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496CC" w14:textId="77777777" w:rsidR="003D233D" w:rsidRPr="00450680" w:rsidRDefault="003D233D" w:rsidP="003D233D">
      <w:pPr>
        <w:pStyle w:val="Title"/>
        <w:spacing w:line="360" w:lineRule="auto"/>
        <w:rPr>
          <w:rFonts w:ascii="Times New Roman" w:hAnsi="Times New Roman" w:cs="Times New Roman"/>
          <w:sz w:val="32"/>
          <w:szCs w:val="32"/>
        </w:rPr>
      </w:pPr>
      <w:bookmarkStart w:id="0" w:name="_Hlk107319476"/>
      <w:r>
        <w:rPr>
          <w:rFonts w:ascii="Times New Roman" w:hAnsi="Times New Roman" w:cs="Times New Roman"/>
          <w:sz w:val="32"/>
          <w:szCs w:val="32"/>
        </w:rPr>
        <w:t>Metaproteomics as a systems-biology approach to characterize the microbiome functionality and interactions in the human gut</w:t>
      </w:r>
    </w:p>
    <w:bookmarkEnd w:id="0"/>
    <w:p w14:paraId="0D4AB8E7" w14:textId="09B6EEC0" w:rsidR="00450680" w:rsidRPr="00476931" w:rsidRDefault="00450680" w:rsidP="00450680">
      <w:pPr>
        <w:pStyle w:val="Title"/>
        <w:spacing w:line="360" w:lineRule="auto"/>
        <w:rPr>
          <w:rFonts w:ascii="Times New Roman" w:hAnsi="Times New Roman" w:cs="Times New Roman"/>
          <w:color w:val="000000" w:themeColor="text1"/>
          <w:sz w:val="32"/>
          <w:szCs w:val="32"/>
        </w:rPr>
      </w:pPr>
      <w:r w:rsidRPr="00476931">
        <w:rPr>
          <w:rFonts w:ascii="Times New Roman" w:hAnsi="Times New Roman" w:cs="Times New Roman"/>
          <w:color w:val="000000" w:themeColor="text1"/>
          <w:sz w:val="32"/>
          <w:szCs w:val="32"/>
        </w:rPr>
        <w:tab/>
      </w:r>
    </w:p>
    <w:p w14:paraId="4C74BF58" w14:textId="77777777" w:rsidR="00310878" w:rsidRPr="00476931" w:rsidRDefault="00310878" w:rsidP="00310878">
      <w:pPr>
        <w:pStyle w:val="Title"/>
        <w:spacing w:line="360" w:lineRule="auto"/>
        <w:rPr>
          <w:rFonts w:ascii="Times New Roman" w:hAnsi="Times New Roman" w:cs="Times New Roman"/>
          <w:color w:val="000000" w:themeColor="text1"/>
          <w:sz w:val="32"/>
          <w:szCs w:val="32"/>
        </w:rPr>
      </w:pPr>
    </w:p>
    <w:p w14:paraId="35DD6803" w14:textId="77777777" w:rsidR="00310878" w:rsidRPr="00476931" w:rsidRDefault="00310878" w:rsidP="00310878">
      <w:pPr>
        <w:pStyle w:val="Title"/>
        <w:spacing w:line="360" w:lineRule="auto"/>
        <w:rPr>
          <w:rFonts w:ascii="Times New Roman" w:hAnsi="Times New Roman" w:cs="Times New Roman"/>
          <w:color w:val="000000" w:themeColor="text1"/>
          <w:sz w:val="32"/>
          <w:szCs w:val="32"/>
        </w:rPr>
      </w:pPr>
    </w:p>
    <w:p w14:paraId="2060BCD7" w14:textId="77777777" w:rsidR="00230EC2" w:rsidRDefault="00230EC2" w:rsidP="00310878">
      <w:pPr>
        <w:pStyle w:val="Title"/>
        <w:spacing w:line="360" w:lineRule="auto"/>
        <w:rPr>
          <w:rFonts w:ascii="Times New Roman" w:hAnsi="Times New Roman" w:cs="Times New Roman"/>
          <w:color w:val="000000" w:themeColor="text1"/>
          <w:sz w:val="32"/>
          <w:szCs w:val="32"/>
        </w:rPr>
      </w:pPr>
    </w:p>
    <w:p w14:paraId="424F4732" w14:textId="77777777" w:rsidR="00230EC2" w:rsidRDefault="00230EC2" w:rsidP="00310878">
      <w:pPr>
        <w:pStyle w:val="Title"/>
        <w:spacing w:line="360" w:lineRule="auto"/>
        <w:rPr>
          <w:rFonts w:ascii="Times New Roman" w:hAnsi="Times New Roman" w:cs="Times New Roman"/>
          <w:color w:val="000000" w:themeColor="text1"/>
          <w:sz w:val="32"/>
          <w:szCs w:val="32"/>
        </w:rPr>
      </w:pPr>
    </w:p>
    <w:p w14:paraId="058CC1A9" w14:textId="77777777" w:rsidR="00230EC2" w:rsidRDefault="00230EC2" w:rsidP="00310878">
      <w:pPr>
        <w:pStyle w:val="Title"/>
        <w:spacing w:line="360" w:lineRule="auto"/>
        <w:rPr>
          <w:rFonts w:ascii="Times New Roman" w:hAnsi="Times New Roman" w:cs="Times New Roman"/>
          <w:color w:val="000000" w:themeColor="text1"/>
          <w:sz w:val="32"/>
          <w:szCs w:val="32"/>
        </w:rPr>
      </w:pPr>
    </w:p>
    <w:p w14:paraId="0024501E" w14:textId="77777777" w:rsidR="00230EC2" w:rsidRDefault="00230EC2" w:rsidP="00310878">
      <w:pPr>
        <w:pStyle w:val="Title"/>
        <w:spacing w:line="360" w:lineRule="auto"/>
        <w:rPr>
          <w:rFonts w:ascii="Times New Roman" w:hAnsi="Times New Roman" w:cs="Times New Roman"/>
          <w:color w:val="000000" w:themeColor="text1"/>
          <w:sz w:val="32"/>
          <w:szCs w:val="32"/>
        </w:rPr>
      </w:pPr>
    </w:p>
    <w:p w14:paraId="17ACE1D2" w14:textId="77777777" w:rsidR="00230EC2" w:rsidRDefault="00230EC2" w:rsidP="00310878">
      <w:pPr>
        <w:pStyle w:val="Title"/>
        <w:spacing w:line="360" w:lineRule="auto"/>
        <w:rPr>
          <w:rFonts w:ascii="Times New Roman" w:hAnsi="Times New Roman" w:cs="Times New Roman"/>
          <w:color w:val="000000" w:themeColor="text1"/>
          <w:sz w:val="32"/>
          <w:szCs w:val="32"/>
        </w:rPr>
      </w:pPr>
    </w:p>
    <w:p w14:paraId="32E522EF" w14:textId="0C223737" w:rsidR="00230EC2" w:rsidRDefault="00310878" w:rsidP="00310878">
      <w:pPr>
        <w:pStyle w:val="Title"/>
        <w:spacing w:line="360" w:lineRule="auto"/>
        <w:rPr>
          <w:rFonts w:ascii="Times New Roman" w:hAnsi="Times New Roman" w:cs="Times New Roman"/>
          <w:color w:val="000000" w:themeColor="text1"/>
          <w:sz w:val="32"/>
          <w:szCs w:val="32"/>
        </w:rPr>
      </w:pPr>
      <w:r w:rsidRPr="00476931">
        <w:rPr>
          <w:rFonts w:ascii="Times New Roman" w:hAnsi="Times New Roman" w:cs="Times New Roman"/>
          <w:color w:val="000000" w:themeColor="text1"/>
          <w:sz w:val="32"/>
          <w:szCs w:val="32"/>
        </w:rPr>
        <w:t xml:space="preserve">A Dissertation Presented for the </w:t>
      </w:r>
    </w:p>
    <w:p w14:paraId="32BB8350" w14:textId="77777777" w:rsidR="00230EC2" w:rsidRDefault="00310878" w:rsidP="00310878">
      <w:pPr>
        <w:pStyle w:val="Title"/>
        <w:spacing w:line="360" w:lineRule="auto"/>
        <w:rPr>
          <w:rFonts w:ascii="Times New Roman" w:hAnsi="Times New Roman" w:cs="Times New Roman"/>
          <w:color w:val="000000" w:themeColor="text1"/>
          <w:sz w:val="32"/>
          <w:szCs w:val="32"/>
        </w:rPr>
      </w:pPr>
      <w:r w:rsidRPr="00476931">
        <w:rPr>
          <w:rFonts w:ascii="Times New Roman" w:hAnsi="Times New Roman" w:cs="Times New Roman"/>
          <w:color w:val="000000" w:themeColor="text1"/>
          <w:sz w:val="32"/>
          <w:szCs w:val="32"/>
        </w:rPr>
        <w:t xml:space="preserve">Doctor of </w:t>
      </w:r>
      <w:r w:rsidR="00450680" w:rsidRPr="00476931">
        <w:rPr>
          <w:rFonts w:ascii="Times New Roman" w:eastAsia="Times New Roman" w:hAnsi="Times New Roman" w:cs="Times New Roman"/>
          <w:color w:val="000000" w:themeColor="text1"/>
          <w:sz w:val="32"/>
          <w:szCs w:val="22"/>
          <w:lang w:val="en-US"/>
        </w:rPr>
        <w:t>Philosophy</w:t>
      </w:r>
      <w:r w:rsidRPr="00476931">
        <w:rPr>
          <w:rFonts w:ascii="Times New Roman" w:hAnsi="Times New Roman" w:cs="Times New Roman"/>
          <w:color w:val="000000" w:themeColor="text1"/>
          <w:sz w:val="32"/>
          <w:szCs w:val="32"/>
        </w:rPr>
        <w:t xml:space="preserve"> </w:t>
      </w:r>
    </w:p>
    <w:p w14:paraId="09EC1B27" w14:textId="1B7A026B" w:rsidR="00310878" w:rsidRPr="00476931" w:rsidRDefault="00310878" w:rsidP="00310878">
      <w:pPr>
        <w:pStyle w:val="Title"/>
        <w:spacing w:line="360" w:lineRule="auto"/>
        <w:rPr>
          <w:rFonts w:ascii="Times New Roman" w:hAnsi="Times New Roman" w:cs="Times New Roman"/>
          <w:color w:val="000000" w:themeColor="text1"/>
          <w:sz w:val="32"/>
          <w:szCs w:val="32"/>
        </w:rPr>
      </w:pPr>
      <w:r w:rsidRPr="00476931">
        <w:rPr>
          <w:rFonts w:ascii="Times New Roman" w:hAnsi="Times New Roman" w:cs="Times New Roman"/>
          <w:color w:val="000000" w:themeColor="text1"/>
          <w:sz w:val="32"/>
          <w:szCs w:val="32"/>
        </w:rPr>
        <w:t>Degree</w:t>
      </w:r>
    </w:p>
    <w:p w14:paraId="41DA5566" w14:textId="77777777" w:rsidR="00310878" w:rsidRPr="00476931" w:rsidRDefault="00310878" w:rsidP="00310878">
      <w:pPr>
        <w:pStyle w:val="Title"/>
        <w:spacing w:line="360" w:lineRule="auto"/>
        <w:rPr>
          <w:rFonts w:ascii="Times New Roman" w:hAnsi="Times New Roman" w:cs="Times New Roman"/>
          <w:color w:val="000000" w:themeColor="text1"/>
          <w:sz w:val="32"/>
          <w:szCs w:val="32"/>
        </w:rPr>
      </w:pPr>
      <w:r w:rsidRPr="00476931">
        <w:rPr>
          <w:rFonts w:ascii="Times New Roman" w:hAnsi="Times New Roman" w:cs="Times New Roman"/>
          <w:color w:val="000000" w:themeColor="text1"/>
          <w:sz w:val="32"/>
          <w:szCs w:val="32"/>
        </w:rPr>
        <w:t>The University of Tennessee, Knoxville</w:t>
      </w:r>
    </w:p>
    <w:p w14:paraId="700B06AA" w14:textId="77777777" w:rsidR="00310878" w:rsidRPr="00476931" w:rsidRDefault="00310878" w:rsidP="00310878">
      <w:pPr>
        <w:pStyle w:val="Title"/>
        <w:spacing w:line="360" w:lineRule="auto"/>
        <w:rPr>
          <w:rFonts w:ascii="Times New Roman" w:hAnsi="Times New Roman" w:cs="Times New Roman"/>
          <w:color w:val="000000" w:themeColor="text1"/>
          <w:sz w:val="32"/>
          <w:szCs w:val="32"/>
        </w:rPr>
      </w:pPr>
    </w:p>
    <w:p w14:paraId="64895529" w14:textId="77777777" w:rsidR="00230EC2" w:rsidRDefault="00230EC2" w:rsidP="00310878">
      <w:pPr>
        <w:pStyle w:val="Title"/>
        <w:spacing w:line="360" w:lineRule="auto"/>
        <w:rPr>
          <w:rFonts w:ascii="Times New Roman" w:hAnsi="Times New Roman" w:cs="Times New Roman"/>
          <w:color w:val="000000" w:themeColor="text1"/>
          <w:sz w:val="32"/>
          <w:szCs w:val="32"/>
        </w:rPr>
      </w:pPr>
    </w:p>
    <w:p w14:paraId="050116D0" w14:textId="0ECFF1CA" w:rsidR="00230EC2" w:rsidRDefault="00230EC2" w:rsidP="00310878">
      <w:pPr>
        <w:pStyle w:val="Title"/>
        <w:spacing w:line="360" w:lineRule="auto"/>
        <w:rPr>
          <w:rFonts w:ascii="Times New Roman" w:hAnsi="Times New Roman" w:cs="Times New Roman"/>
          <w:color w:val="000000" w:themeColor="text1"/>
          <w:sz w:val="32"/>
          <w:szCs w:val="32"/>
        </w:rPr>
      </w:pPr>
    </w:p>
    <w:p w14:paraId="2028AFB1" w14:textId="77777777" w:rsidR="003D233D" w:rsidRDefault="003D233D" w:rsidP="00310878">
      <w:pPr>
        <w:pStyle w:val="Title"/>
        <w:spacing w:line="360" w:lineRule="auto"/>
        <w:rPr>
          <w:rFonts w:ascii="Times New Roman" w:hAnsi="Times New Roman" w:cs="Times New Roman"/>
          <w:color w:val="000000" w:themeColor="text1"/>
          <w:sz w:val="32"/>
          <w:szCs w:val="32"/>
        </w:rPr>
      </w:pPr>
    </w:p>
    <w:p w14:paraId="72019933" w14:textId="77777777" w:rsidR="00230EC2" w:rsidRDefault="00230EC2" w:rsidP="00310878">
      <w:pPr>
        <w:pStyle w:val="Title"/>
        <w:spacing w:line="360" w:lineRule="auto"/>
        <w:rPr>
          <w:rFonts w:ascii="Times New Roman" w:hAnsi="Times New Roman" w:cs="Times New Roman"/>
          <w:color w:val="000000" w:themeColor="text1"/>
          <w:sz w:val="32"/>
          <w:szCs w:val="32"/>
        </w:rPr>
      </w:pPr>
    </w:p>
    <w:p w14:paraId="57930AFF" w14:textId="77777777" w:rsidR="00230EC2" w:rsidRDefault="00230EC2" w:rsidP="00310878">
      <w:pPr>
        <w:pStyle w:val="Title"/>
        <w:spacing w:line="360" w:lineRule="auto"/>
        <w:rPr>
          <w:rFonts w:ascii="Times New Roman" w:hAnsi="Times New Roman" w:cs="Times New Roman"/>
          <w:color w:val="000000" w:themeColor="text1"/>
          <w:sz w:val="32"/>
          <w:szCs w:val="32"/>
        </w:rPr>
      </w:pPr>
    </w:p>
    <w:p w14:paraId="720B9513" w14:textId="3F19BB65" w:rsidR="00310878" w:rsidRPr="00476931" w:rsidRDefault="00310878" w:rsidP="00310878">
      <w:pPr>
        <w:pStyle w:val="Title"/>
        <w:spacing w:line="360" w:lineRule="auto"/>
        <w:rPr>
          <w:rFonts w:ascii="Times New Roman" w:hAnsi="Times New Roman" w:cs="Times New Roman"/>
          <w:color w:val="000000" w:themeColor="text1"/>
          <w:sz w:val="32"/>
          <w:szCs w:val="32"/>
        </w:rPr>
      </w:pPr>
      <w:r w:rsidRPr="00476931">
        <w:rPr>
          <w:rFonts w:ascii="Times New Roman" w:hAnsi="Times New Roman" w:cs="Times New Roman"/>
          <w:color w:val="000000" w:themeColor="text1"/>
          <w:sz w:val="32"/>
          <w:szCs w:val="32"/>
        </w:rPr>
        <w:t>Samantha Peters</w:t>
      </w:r>
    </w:p>
    <w:p w14:paraId="4162FAB4" w14:textId="164ED3D3" w:rsidR="00310878" w:rsidRPr="00476931" w:rsidRDefault="00230EC2" w:rsidP="00310878">
      <w:pPr>
        <w:pStyle w:val="Title"/>
        <w:spacing w:line="360" w:lineRule="auto"/>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t>December</w:t>
      </w:r>
      <w:r w:rsidR="00310878" w:rsidRPr="00476931">
        <w:rPr>
          <w:rFonts w:ascii="Times New Roman" w:hAnsi="Times New Roman" w:cs="Times New Roman"/>
          <w:color w:val="000000" w:themeColor="text1"/>
          <w:sz w:val="32"/>
          <w:szCs w:val="32"/>
        </w:rPr>
        <w:t xml:space="preserve"> 2022</w:t>
      </w:r>
    </w:p>
    <w:p w14:paraId="30C8BE6B" w14:textId="1F8375CE" w:rsidR="00D52B14" w:rsidRDefault="00310878" w:rsidP="00D52B14">
      <w:pPr>
        <w:spacing w:before="1"/>
        <w:ind w:left="0" w:firstLine="0"/>
        <w:rPr>
          <w:rFonts w:ascii="Times New Roman" w:hAnsi="Times New Roman" w:cs="Times New Roman"/>
          <w:color w:val="000000" w:themeColor="text1"/>
        </w:rPr>
      </w:pPr>
      <w:r w:rsidRPr="00987E7F">
        <w:rPr>
          <w:rFonts w:ascii="Times New Roman" w:hAnsi="Times New Roman" w:cs="Times New Roman"/>
          <w:sz w:val="32"/>
          <w:szCs w:val="32"/>
        </w:rPr>
        <w:br w:type="page"/>
      </w:r>
      <w:r w:rsidR="00D52B14" w:rsidRPr="00D52B14">
        <w:rPr>
          <w:rFonts w:ascii="Times New Roman" w:hAnsi="Times New Roman" w:cs="Times New Roman"/>
          <w:color w:val="000000" w:themeColor="text1"/>
        </w:rPr>
        <w:lastRenderedPageBreak/>
        <w:t>Copyright © 202</w:t>
      </w:r>
      <w:r w:rsidR="00D52B14">
        <w:rPr>
          <w:rFonts w:ascii="Times New Roman" w:hAnsi="Times New Roman" w:cs="Times New Roman"/>
          <w:color w:val="000000" w:themeColor="text1"/>
        </w:rPr>
        <w:t>2</w:t>
      </w:r>
      <w:r w:rsidR="00D52B14" w:rsidRPr="00D52B14">
        <w:rPr>
          <w:rFonts w:ascii="Times New Roman" w:hAnsi="Times New Roman" w:cs="Times New Roman"/>
          <w:color w:val="000000" w:themeColor="text1"/>
        </w:rPr>
        <w:t xml:space="preserve"> by </w:t>
      </w:r>
      <w:r w:rsidR="00D52B14">
        <w:rPr>
          <w:rFonts w:ascii="Times New Roman" w:hAnsi="Times New Roman" w:cs="Times New Roman"/>
          <w:color w:val="000000" w:themeColor="text1"/>
        </w:rPr>
        <w:t>Samantha Peters</w:t>
      </w:r>
    </w:p>
    <w:p w14:paraId="6E2F3A81" w14:textId="4A015939" w:rsidR="00D52B14" w:rsidRPr="00D52B14" w:rsidRDefault="00D52B14" w:rsidP="00D52B14">
      <w:pPr>
        <w:spacing w:before="1"/>
        <w:ind w:left="0" w:firstLine="0"/>
        <w:rPr>
          <w:rFonts w:ascii="Times New Roman" w:hAnsi="Times New Roman" w:cs="Times New Roman"/>
          <w:color w:val="000000" w:themeColor="text1"/>
        </w:rPr>
      </w:pPr>
      <w:r w:rsidRPr="00D52B14">
        <w:rPr>
          <w:rFonts w:ascii="Times New Roman" w:hAnsi="Times New Roman" w:cs="Times New Roman"/>
          <w:color w:val="000000" w:themeColor="text1"/>
        </w:rPr>
        <w:t>All rights reserved.</w:t>
      </w:r>
    </w:p>
    <w:p w14:paraId="44EDE69B" w14:textId="24E46352" w:rsidR="00D52B14" w:rsidRDefault="00D52B14">
      <w:pPr>
        <w:spacing w:before="1"/>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br w:type="page"/>
      </w:r>
    </w:p>
    <w:p w14:paraId="616B21A3" w14:textId="6B3E025F" w:rsidR="00310878" w:rsidRPr="00544592" w:rsidRDefault="00310878" w:rsidP="00AC2094">
      <w:pPr>
        <w:ind w:left="0"/>
        <w:jc w:val="center"/>
        <w:rPr>
          <w:rFonts w:ascii="Times New Roman" w:hAnsi="Times New Roman" w:cs="Times New Roman"/>
          <w:b/>
          <w:bCs/>
          <w:color w:val="000000" w:themeColor="text1"/>
          <w:sz w:val="28"/>
          <w:szCs w:val="28"/>
        </w:rPr>
      </w:pPr>
      <w:r w:rsidRPr="00544592">
        <w:rPr>
          <w:rFonts w:ascii="Times New Roman" w:hAnsi="Times New Roman" w:cs="Times New Roman"/>
          <w:b/>
          <w:bCs/>
          <w:color w:val="000000" w:themeColor="text1"/>
          <w:sz w:val="28"/>
          <w:szCs w:val="28"/>
        </w:rPr>
        <w:lastRenderedPageBreak/>
        <w:t>ACKNOWLEDGMENTS</w:t>
      </w:r>
    </w:p>
    <w:p w14:paraId="3BFD8A84" w14:textId="77777777" w:rsidR="00A42D05" w:rsidRPr="00BA1F5A" w:rsidRDefault="00A42D05" w:rsidP="000D25C5"/>
    <w:p w14:paraId="55CD8E94" w14:textId="7A15D4F0" w:rsidR="00C322F9" w:rsidRDefault="00C322F9" w:rsidP="000D25C5">
      <w:pPr>
        <w:ind w:right="0"/>
      </w:pPr>
      <w:r>
        <w:t xml:space="preserve">I would like to thank everyone </w:t>
      </w:r>
      <w:r w:rsidRPr="000F012C">
        <w:t>who made t</w:t>
      </w:r>
      <w:r>
        <w:t xml:space="preserve">he completion of this Ph.D. dissertation a reality.  First and foremost, I would like to thank my research advisor, Robert Hettich for his unwavering guidance. </w:t>
      </w:r>
      <w:r w:rsidR="000D25C5">
        <w:t xml:space="preserve"> </w:t>
      </w:r>
      <w:r>
        <w:t>He taught me to embrace science, especially when it is challenging, and that sometimes the long shots are the most rewarding, with the philosophy of  “If you want to do cutting edge science, you should expect to find a few arrows in your back”.</w:t>
      </w:r>
    </w:p>
    <w:p w14:paraId="49E3A506" w14:textId="77777777" w:rsidR="00C322F9" w:rsidRDefault="00C322F9" w:rsidP="000D25C5">
      <w:pPr>
        <w:ind w:right="0"/>
      </w:pPr>
      <w:r>
        <w:t xml:space="preserve">I would like to thank my mentors and co-workers at </w:t>
      </w:r>
      <w:proofErr w:type="spellStart"/>
      <w:r>
        <w:t>SomaLogic</w:t>
      </w:r>
      <w:proofErr w:type="spellEnd"/>
      <w:r>
        <w:t xml:space="preserve"> who taught me that “DNA isn’t destiny” and introduced me to the wonderful world of proteomics.  Their guidance and support ignited my passion to pursue interdisciplinary collaborative research</w:t>
      </w:r>
      <w:r w:rsidRPr="007F7293">
        <w:t xml:space="preserve"> </w:t>
      </w:r>
      <w:r>
        <w:t>and changed the trajectory of my scientific career. I would also like to thank the entire GST family under the fearless leadership of Dr.</w:t>
      </w:r>
      <w:r>
        <w:rPr>
          <w:spacing w:val="-3"/>
        </w:rPr>
        <w:t xml:space="preserve"> </w:t>
      </w:r>
      <w:r>
        <w:t xml:space="preserve">Albrecht von Arnim for providing the opportunities and environment to pursue genome-based research.  </w:t>
      </w:r>
    </w:p>
    <w:p w14:paraId="3D3EA82D" w14:textId="21E5A398" w:rsidR="00C322F9" w:rsidRDefault="00C322F9" w:rsidP="000D25C5">
      <w:pPr>
        <w:ind w:right="0"/>
      </w:pPr>
      <w:r>
        <w:t>I would like to thank my committee members: Dr. Gladys</w:t>
      </w:r>
      <w:r w:rsidRPr="009C54D4">
        <w:t xml:space="preserve"> </w:t>
      </w:r>
      <w:r>
        <w:t xml:space="preserve">Alexandre, Dr. Melissa Cregger, Dr. </w:t>
      </w:r>
      <w:r w:rsidRPr="00D47DCE">
        <w:t xml:space="preserve">Jesse </w:t>
      </w:r>
      <w:proofErr w:type="spellStart"/>
      <w:r w:rsidRPr="00D47DCE">
        <w:t>Labbé</w:t>
      </w:r>
      <w:proofErr w:type="spellEnd"/>
      <w:r>
        <w:t xml:space="preserve">, and Dr. </w:t>
      </w:r>
      <w:r w:rsidRPr="00DE22B5">
        <w:t xml:space="preserve">Margaret </w:t>
      </w:r>
      <w:proofErr w:type="spellStart"/>
      <w:r w:rsidRPr="00DE22B5">
        <w:t>Staton</w:t>
      </w:r>
      <w:proofErr w:type="spellEnd"/>
      <w:r w:rsidRPr="00DE22B5">
        <w:t xml:space="preserve"> </w:t>
      </w:r>
      <w:r>
        <w:t xml:space="preserve">for their effort and valuable mentorship on this dissertation. Their expertise in omics research and open minds helped me view my research from different perspectives and broaden the scope of the </w:t>
      </w:r>
      <w:r w:rsidRPr="006B2EDA">
        <w:t xml:space="preserve">work. </w:t>
      </w:r>
    </w:p>
    <w:p w14:paraId="27C6ADC0" w14:textId="77777777" w:rsidR="00C322F9" w:rsidRDefault="00C322F9" w:rsidP="000D25C5">
      <w:pPr>
        <w:ind w:right="0"/>
      </w:pPr>
      <w:r w:rsidRPr="006B2EDA">
        <w:t>I would also like</w:t>
      </w:r>
      <w:r>
        <w:t xml:space="preserve"> to</w:t>
      </w:r>
      <w:r w:rsidRPr="006B2EDA">
        <w:t xml:space="preserve"> give thanks to the members of the Hettich lab past and present, for their guidance</w:t>
      </w:r>
      <w:r>
        <w:t xml:space="preserve"> </w:t>
      </w:r>
      <w:r w:rsidRPr="006B2EDA">
        <w:t xml:space="preserve">and </w:t>
      </w:r>
      <w:r>
        <w:t xml:space="preserve">comradery </w:t>
      </w:r>
      <w:r w:rsidRPr="006B2EDA">
        <w:t xml:space="preserve">throughout this journey.  </w:t>
      </w:r>
      <w:proofErr w:type="gramStart"/>
      <w:r w:rsidRPr="006B2EDA">
        <w:t>In particular, I</w:t>
      </w:r>
      <w:proofErr w:type="gramEnd"/>
      <w:r w:rsidRPr="006B2EDA">
        <w:t xml:space="preserve"> would thank Dr. Richard Giannone and Dr. Paul Abraham for their patience in teaching me the technical aspects of </w:t>
      </w:r>
      <w:r>
        <w:t xml:space="preserve">MS and for the brainstorming sessions that made much of this research possible. </w:t>
      </w:r>
    </w:p>
    <w:p w14:paraId="0C046BB4" w14:textId="77777777" w:rsidR="00C322F9" w:rsidRDefault="00C322F9" w:rsidP="000D25C5">
      <w:pPr>
        <w:ind w:right="0"/>
      </w:pPr>
      <w:r>
        <w:t>I would like to thank the many collaborators I have gained along the way who were enthusiastic co-conspirators for the projects presented in this dissertation. They have taught me that good science takes time, but great science also takes teamwork.</w:t>
      </w:r>
    </w:p>
    <w:p w14:paraId="20A4A0C6" w14:textId="7189B420" w:rsidR="00A42D05" w:rsidRDefault="00C322F9" w:rsidP="000D25C5">
      <w:pPr>
        <w:ind w:right="0"/>
      </w:pPr>
      <w:r>
        <w:t xml:space="preserve">Last, but not least, I would like to thank my family and friends who always encouraged me to bet on myself and to find my passion in life.  Without their encouragement to embrace my research curiosity and their support through the ups and downs of my journey, I may never have made it down this path in life. </w:t>
      </w:r>
    </w:p>
    <w:p w14:paraId="38D6429F" w14:textId="36E3AB0F" w:rsidR="00310878" w:rsidRPr="00544592" w:rsidRDefault="00310878" w:rsidP="00C27995">
      <w:pPr>
        <w:pStyle w:val="Title"/>
        <w:spacing w:line="360" w:lineRule="auto"/>
        <w:rPr>
          <w:rFonts w:ascii="Times New Roman" w:hAnsi="Times New Roman" w:cs="Times New Roman"/>
          <w:color w:val="000000" w:themeColor="text1"/>
          <w:szCs w:val="28"/>
        </w:rPr>
      </w:pPr>
      <w:r w:rsidRPr="00544592">
        <w:rPr>
          <w:rFonts w:ascii="Times New Roman" w:hAnsi="Times New Roman" w:cs="Times New Roman"/>
          <w:color w:val="000000" w:themeColor="text1"/>
          <w:szCs w:val="28"/>
        </w:rPr>
        <w:lastRenderedPageBreak/>
        <w:t>ABSTRACT</w:t>
      </w:r>
    </w:p>
    <w:p w14:paraId="57262987" w14:textId="77777777" w:rsidR="00A42D05" w:rsidRPr="00476931" w:rsidRDefault="00A42D05" w:rsidP="00C27995">
      <w:pPr>
        <w:pStyle w:val="Title"/>
        <w:spacing w:line="360" w:lineRule="auto"/>
        <w:rPr>
          <w:rFonts w:ascii="Times New Roman" w:hAnsi="Times New Roman" w:cs="Times New Roman"/>
          <w:color w:val="000000" w:themeColor="text1"/>
          <w:sz w:val="24"/>
        </w:rPr>
      </w:pPr>
    </w:p>
    <w:p w14:paraId="2A0A756B" w14:textId="69B1CC88" w:rsidR="00D23A1C" w:rsidRDefault="00BA1F5A" w:rsidP="000D25C5">
      <w:pPr>
        <w:ind w:right="0"/>
      </w:pPr>
      <w:r>
        <w:t xml:space="preserve">Microbial communities are </w:t>
      </w:r>
      <w:r w:rsidRPr="009E6FAB">
        <w:t>composed of bacteria, archaea, microbial eukaryotes, and viruses</w:t>
      </w:r>
      <w:r>
        <w:t xml:space="preserve">. Organisms in these communities assist with critical functions across diverse environments.  In host-associated microbiomes, such as the human gut microbiome, microbiota carry out activities that modulate the host immune system and provide metabolic benefits to the host. </w:t>
      </w:r>
      <w:r>
        <w:rPr>
          <w:rFonts w:ascii="Times New Roman" w:hAnsi="Times New Roman" w:cs="Times New Roman"/>
        </w:rPr>
        <w:t xml:space="preserve">Due to their diverse and </w:t>
      </w:r>
      <w:r w:rsidRPr="00476931">
        <w:rPr>
          <w:rFonts w:ascii="Times New Roman" w:hAnsi="Times New Roman" w:cs="Times New Roman"/>
        </w:rPr>
        <w:t>importan</w:t>
      </w:r>
      <w:r>
        <w:rPr>
          <w:rFonts w:ascii="Times New Roman" w:hAnsi="Times New Roman" w:cs="Times New Roman"/>
        </w:rPr>
        <w:t xml:space="preserve">t roles </w:t>
      </w:r>
      <w:r w:rsidRPr="00476931">
        <w:rPr>
          <w:rFonts w:ascii="Times New Roman" w:hAnsi="Times New Roman" w:cs="Times New Roman"/>
        </w:rPr>
        <w:t>in ecosystem processes,</w:t>
      </w:r>
      <w:r>
        <w:rPr>
          <w:rFonts w:ascii="Times New Roman" w:hAnsi="Times New Roman" w:cs="Times New Roman"/>
        </w:rPr>
        <w:t xml:space="preserve"> many</w:t>
      </w:r>
      <w:r w:rsidRPr="00476931">
        <w:rPr>
          <w:rFonts w:ascii="Times New Roman" w:hAnsi="Times New Roman" w:cs="Times New Roman"/>
        </w:rPr>
        <w:t xml:space="preserve"> questions </w:t>
      </w:r>
      <w:r>
        <w:rPr>
          <w:rFonts w:ascii="Times New Roman" w:hAnsi="Times New Roman" w:cs="Times New Roman"/>
        </w:rPr>
        <w:t>exist about</w:t>
      </w:r>
      <w:r w:rsidRPr="00476931">
        <w:rPr>
          <w:rFonts w:ascii="Times New Roman" w:hAnsi="Times New Roman" w:cs="Times New Roman"/>
        </w:rPr>
        <w:t xml:space="preserve"> </w:t>
      </w:r>
      <w:r>
        <w:rPr>
          <w:rFonts w:ascii="Times New Roman" w:hAnsi="Times New Roman" w:cs="Times New Roman"/>
        </w:rPr>
        <w:t>microbial community establishment, partitioning of function, and interactions between microbiota with each other and the surrounding environment</w:t>
      </w:r>
      <w:r w:rsidRPr="00476931">
        <w:rPr>
          <w:rFonts w:ascii="Times New Roman" w:hAnsi="Times New Roman" w:cs="Times New Roman"/>
        </w:rPr>
        <w:t xml:space="preserve">.  </w:t>
      </w:r>
      <w:r>
        <w:rPr>
          <w:rFonts w:ascii="Times New Roman" w:hAnsi="Times New Roman" w:cs="Times New Roman"/>
        </w:rPr>
        <w:t>High-throughput meta-omics technologies are powerful methods to address the complexity of microbial communities and give unprecedented insights into the potential and active functions of microbiota within these communities. Among these meta-o</w:t>
      </w:r>
      <w:r>
        <w:t>mics methods, metaproteomics can identify and quantify thousands of proteins from a single environmental sample and can be used to directly measure the active function of individual members of the community.</w:t>
      </w:r>
      <w:r>
        <w:rPr>
          <w:spacing w:val="-4"/>
        </w:rPr>
        <w:t xml:space="preserve"> </w:t>
      </w:r>
      <w:r>
        <w:t>This</w:t>
      </w:r>
      <w:r>
        <w:rPr>
          <w:spacing w:val="-4"/>
        </w:rPr>
        <w:t xml:space="preserve"> </w:t>
      </w:r>
      <w:r>
        <w:t>dissertation</w:t>
      </w:r>
      <w:r>
        <w:rPr>
          <w:spacing w:val="-4"/>
        </w:rPr>
        <w:t xml:space="preserve"> </w:t>
      </w:r>
      <w:r>
        <w:t>combines LC-MS/MS</w:t>
      </w:r>
      <w:r>
        <w:rPr>
          <w:spacing w:val="-3"/>
        </w:rPr>
        <w:t>-</w:t>
      </w:r>
      <w:r>
        <w:t>based</w:t>
      </w:r>
      <w:r>
        <w:rPr>
          <w:spacing w:val="-4"/>
        </w:rPr>
        <w:t xml:space="preserve"> </w:t>
      </w:r>
      <w:r>
        <w:t>metaproteomics</w:t>
      </w:r>
      <w:r>
        <w:rPr>
          <w:spacing w:val="-2"/>
        </w:rPr>
        <w:t xml:space="preserve"> with other meta-omics approaches </w:t>
      </w:r>
      <w:r>
        <w:t>to study interkingdom community interactions and functions in environmental samples</w:t>
      </w:r>
      <w:r w:rsidR="00280537">
        <w:t>,</w:t>
      </w:r>
      <w:r>
        <w:t xml:space="preserve"> with a focus on the human gut microbiome using tractable models. The projects presented here show (1) the application of critical parameters in LC-MS instrumentation and informatics approaches dictate the measurement depth and quality for complex microbiome samples, (2) interspecies competition and cooperation shape relative community composition and are the driving forces behind community utilization of fiber-derived glycans, (3) interactions with the host immune system and functional partitioning among community members facilitates establishment and persistence in the gut environment, and (4) uncultivated gut bacteriophages can use genetic codes different than their bacterial hosts as a regulatory mechanism during infection.  In total, this dissertation makes a major step forward by showing that carefully designed metaproteomic measurements can explain the mechanisms of microbiome interactions and functionality.</w:t>
      </w:r>
    </w:p>
    <w:p w14:paraId="67A4D389" w14:textId="77777777" w:rsidR="00D23A1C" w:rsidRDefault="00D23A1C">
      <w:pPr>
        <w:spacing w:before="1"/>
      </w:pPr>
      <w:r>
        <w:br w:type="page"/>
      </w:r>
    </w:p>
    <w:sdt>
      <w:sdtPr>
        <w:rPr>
          <w:rFonts w:eastAsiaTheme="minorHAnsi" w:cstheme="minorBidi"/>
          <w:b w:val="0"/>
          <w:bCs w:val="0"/>
          <w:caps w:val="0"/>
          <w:color w:val="auto"/>
          <w:sz w:val="24"/>
          <w:szCs w:val="24"/>
        </w:rPr>
        <w:id w:val="1150786097"/>
        <w:docPartObj>
          <w:docPartGallery w:val="Table of Contents"/>
          <w:docPartUnique/>
        </w:docPartObj>
      </w:sdtPr>
      <w:sdtEndPr>
        <w:rPr>
          <w:rFonts w:cstheme="majorHAnsi"/>
          <w:noProof/>
        </w:rPr>
      </w:sdtEndPr>
      <w:sdtContent>
        <w:p w14:paraId="1D84CAB4" w14:textId="6DFD113F" w:rsidR="00FD1EA1" w:rsidRPr="004D6D0F" w:rsidRDefault="00FD1EA1" w:rsidP="00174497">
          <w:pPr>
            <w:pStyle w:val="TOCHeading"/>
            <w:spacing w:line="360" w:lineRule="auto"/>
            <w:jc w:val="center"/>
          </w:pPr>
          <w:r w:rsidRPr="004D6D0F">
            <w:t>Table of Contents</w:t>
          </w:r>
        </w:p>
        <w:p w14:paraId="208B819E" w14:textId="77777777" w:rsidR="00C80591" w:rsidRPr="004D6D0F" w:rsidRDefault="00C80591" w:rsidP="00C80591">
          <w:pPr>
            <w:pStyle w:val="Title"/>
            <w:rPr>
              <w:lang w:val="en-US"/>
            </w:rPr>
          </w:pPr>
        </w:p>
        <w:p w14:paraId="627ADF7D" w14:textId="668023C2" w:rsidR="009902D6" w:rsidRDefault="009902D6">
          <w:pPr>
            <w:pStyle w:val="TOC1"/>
            <w:tabs>
              <w:tab w:val="right" w:leader="dot" w:pos="8630"/>
            </w:tabs>
            <w:rPr>
              <w:rFonts w:asciiTheme="minorHAnsi" w:eastAsiaTheme="minorEastAsia" w:hAnsiTheme="minorHAnsi" w:cstheme="minorBidi"/>
              <w:b w:val="0"/>
              <w:bCs w:val="0"/>
              <w:noProof/>
              <w:szCs w:val="24"/>
            </w:rPr>
          </w:pPr>
          <w:r>
            <w:rPr>
              <w:rFonts w:cstheme="majorHAnsi"/>
              <w:color w:val="000000" w:themeColor="text1"/>
            </w:rPr>
            <w:fldChar w:fldCharType="begin"/>
          </w:r>
          <w:r>
            <w:rPr>
              <w:rFonts w:cstheme="majorHAnsi"/>
              <w:color w:val="000000" w:themeColor="text1"/>
            </w:rPr>
            <w:instrText xml:space="preserve"> TOC \o "1-4" \h \z \u </w:instrText>
          </w:r>
          <w:r>
            <w:rPr>
              <w:rFonts w:cstheme="majorHAnsi"/>
              <w:color w:val="000000" w:themeColor="text1"/>
            </w:rPr>
            <w:fldChar w:fldCharType="separate"/>
          </w:r>
          <w:hyperlink w:anchor="_Toc110250600" w:history="1">
            <w:r w:rsidRPr="00845DB3">
              <w:rPr>
                <w:rStyle w:val="Hyperlink"/>
                <w:noProof/>
              </w:rPr>
              <w:t>Chapter 1 Introduction to mass spectrometry-based metaproteomic characterization of interkingdom interactions in environmental samples.</w:t>
            </w:r>
            <w:r>
              <w:rPr>
                <w:noProof/>
                <w:webHidden/>
              </w:rPr>
              <w:tab/>
            </w:r>
            <w:r>
              <w:rPr>
                <w:noProof/>
                <w:webHidden/>
              </w:rPr>
              <w:fldChar w:fldCharType="begin"/>
            </w:r>
            <w:r>
              <w:rPr>
                <w:noProof/>
                <w:webHidden/>
              </w:rPr>
              <w:instrText xml:space="preserve"> PAGEREF _Toc110250600 \h </w:instrText>
            </w:r>
            <w:r>
              <w:rPr>
                <w:noProof/>
                <w:webHidden/>
              </w:rPr>
            </w:r>
            <w:r>
              <w:rPr>
                <w:noProof/>
                <w:webHidden/>
              </w:rPr>
              <w:fldChar w:fldCharType="separate"/>
            </w:r>
            <w:r>
              <w:rPr>
                <w:noProof/>
                <w:webHidden/>
              </w:rPr>
              <w:t>1</w:t>
            </w:r>
            <w:r>
              <w:rPr>
                <w:noProof/>
                <w:webHidden/>
              </w:rPr>
              <w:fldChar w:fldCharType="end"/>
            </w:r>
          </w:hyperlink>
        </w:p>
        <w:p w14:paraId="1EDCA105" w14:textId="6341CAF5" w:rsidR="009902D6" w:rsidRDefault="00FA115D">
          <w:pPr>
            <w:pStyle w:val="TOC2"/>
            <w:rPr>
              <w:rFonts w:asciiTheme="minorHAnsi" w:eastAsiaTheme="minorEastAsia" w:hAnsiTheme="minorHAnsi" w:cstheme="minorBidi"/>
              <w:b w:val="0"/>
              <w:noProof/>
              <w:szCs w:val="24"/>
            </w:rPr>
          </w:pPr>
          <w:hyperlink w:anchor="_Toc110250601" w:history="1">
            <w:r w:rsidR="009902D6" w:rsidRPr="00845DB3">
              <w:rPr>
                <w:rStyle w:val="Hyperlink"/>
                <w:noProof/>
              </w:rPr>
              <w:t>1.1  The composition of microbial communities.</w:t>
            </w:r>
            <w:r w:rsidR="009902D6">
              <w:rPr>
                <w:noProof/>
                <w:webHidden/>
              </w:rPr>
              <w:tab/>
            </w:r>
            <w:r w:rsidR="009902D6">
              <w:rPr>
                <w:noProof/>
                <w:webHidden/>
              </w:rPr>
              <w:fldChar w:fldCharType="begin"/>
            </w:r>
            <w:r w:rsidR="009902D6">
              <w:rPr>
                <w:noProof/>
                <w:webHidden/>
              </w:rPr>
              <w:instrText xml:space="preserve"> PAGEREF _Toc110250601 \h </w:instrText>
            </w:r>
            <w:r w:rsidR="009902D6">
              <w:rPr>
                <w:noProof/>
                <w:webHidden/>
              </w:rPr>
            </w:r>
            <w:r w:rsidR="009902D6">
              <w:rPr>
                <w:noProof/>
                <w:webHidden/>
              </w:rPr>
              <w:fldChar w:fldCharType="separate"/>
            </w:r>
            <w:r w:rsidR="009902D6">
              <w:rPr>
                <w:noProof/>
                <w:webHidden/>
              </w:rPr>
              <w:t>1</w:t>
            </w:r>
            <w:r w:rsidR="009902D6">
              <w:rPr>
                <w:noProof/>
                <w:webHidden/>
              </w:rPr>
              <w:fldChar w:fldCharType="end"/>
            </w:r>
          </w:hyperlink>
        </w:p>
        <w:p w14:paraId="1119F1CB" w14:textId="1F437325" w:rsidR="009902D6" w:rsidRDefault="00FA115D">
          <w:pPr>
            <w:pStyle w:val="TOC2"/>
            <w:rPr>
              <w:rFonts w:asciiTheme="minorHAnsi" w:eastAsiaTheme="minorEastAsia" w:hAnsiTheme="minorHAnsi" w:cstheme="minorBidi"/>
              <w:b w:val="0"/>
              <w:noProof/>
              <w:szCs w:val="24"/>
            </w:rPr>
          </w:pPr>
          <w:hyperlink w:anchor="_Toc110250602" w:history="1">
            <w:r w:rsidR="009902D6" w:rsidRPr="00845DB3">
              <w:rPr>
                <w:rStyle w:val="Hyperlink"/>
                <w:bCs/>
                <w:noProof/>
              </w:rPr>
              <w:t xml:space="preserve">1.2  </w:t>
            </w:r>
            <w:r w:rsidR="009902D6" w:rsidRPr="00845DB3">
              <w:rPr>
                <w:rStyle w:val="Hyperlink"/>
                <w:noProof/>
              </w:rPr>
              <w:t>Characterizing microbiome functionality using meta-omics technologies.</w:t>
            </w:r>
            <w:r w:rsidR="009902D6">
              <w:rPr>
                <w:noProof/>
                <w:webHidden/>
              </w:rPr>
              <w:tab/>
            </w:r>
            <w:r w:rsidR="009902D6">
              <w:rPr>
                <w:noProof/>
                <w:webHidden/>
              </w:rPr>
              <w:fldChar w:fldCharType="begin"/>
            </w:r>
            <w:r w:rsidR="009902D6">
              <w:rPr>
                <w:noProof/>
                <w:webHidden/>
              </w:rPr>
              <w:instrText xml:space="preserve"> PAGEREF _Toc110250602 \h </w:instrText>
            </w:r>
            <w:r w:rsidR="009902D6">
              <w:rPr>
                <w:noProof/>
                <w:webHidden/>
              </w:rPr>
            </w:r>
            <w:r w:rsidR="009902D6">
              <w:rPr>
                <w:noProof/>
                <w:webHidden/>
              </w:rPr>
              <w:fldChar w:fldCharType="separate"/>
            </w:r>
            <w:r w:rsidR="009902D6">
              <w:rPr>
                <w:noProof/>
                <w:webHidden/>
              </w:rPr>
              <w:t>3</w:t>
            </w:r>
            <w:r w:rsidR="009902D6">
              <w:rPr>
                <w:noProof/>
                <w:webHidden/>
              </w:rPr>
              <w:fldChar w:fldCharType="end"/>
            </w:r>
          </w:hyperlink>
        </w:p>
        <w:p w14:paraId="2B5DBC55" w14:textId="6B245FBD" w:rsidR="009902D6" w:rsidRDefault="00FA115D">
          <w:pPr>
            <w:pStyle w:val="TOC2"/>
            <w:rPr>
              <w:rFonts w:asciiTheme="minorHAnsi" w:eastAsiaTheme="minorEastAsia" w:hAnsiTheme="minorHAnsi" w:cstheme="minorBidi"/>
              <w:b w:val="0"/>
              <w:noProof/>
              <w:szCs w:val="24"/>
            </w:rPr>
          </w:pPr>
          <w:hyperlink w:anchor="_Toc110250603" w:history="1">
            <w:r w:rsidR="009902D6" w:rsidRPr="00845DB3">
              <w:rPr>
                <w:rStyle w:val="Hyperlink"/>
                <w:noProof/>
              </w:rPr>
              <w:t>1.3  Mass spectrometry-based metaproteomics among omics approaches.</w:t>
            </w:r>
            <w:r w:rsidR="009902D6">
              <w:rPr>
                <w:noProof/>
                <w:webHidden/>
              </w:rPr>
              <w:tab/>
            </w:r>
            <w:r w:rsidR="009902D6">
              <w:rPr>
                <w:noProof/>
                <w:webHidden/>
              </w:rPr>
              <w:fldChar w:fldCharType="begin"/>
            </w:r>
            <w:r w:rsidR="009902D6">
              <w:rPr>
                <w:noProof/>
                <w:webHidden/>
              </w:rPr>
              <w:instrText xml:space="preserve"> PAGEREF _Toc110250603 \h </w:instrText>
            </w:r>
            <w:r w:rsidR="009902D6">
              <w:rPr>
                <w:noProof/>
                <w:webHidden/>
              </w:rPr>
            </w:r>
            <w:r w:rsidR="009902D6">
              <w:rPr>
                <w:noProof/>
                <w:webHidden/>
              </w:rPr>
              <w:fldChar w:fldCharType="separate"/>
            </w:r>
            <w:r w:rsidR="009902D6">
              <w:rPr>
                <w:noProof/>
                <w:webHidden/>
              </w:rPr>
              <w:t>7</w:t>
            </w:r>
            <w:r w:rsidR="009902D6">
              <w:rPr>
                <w:noProof/>
                <w:webHidden/>
              </w:rPr>
              <w:fldChar w:fldCharType="end"/>
            </w:r>
          </w:hyperlink>
        </w:p>
        <w:p w14:paraId="460EDC93" w14:textId="07B945AA"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04" w:history="1">
            <w:r w:rsidR="009902D6" w:rsidRPr="00845DB3">
              <w:rPr>
                <w:rStyle w:val="Hyperlink"/>
                <w:noProof/>
              </w:rPr>
              <w:t>1.3.1  Bottom-up vs. middle-down vs. top-down proteomics.</w:t>
            </w:r>
            <w:r w:rsidR="009902D6">
              <w:rPr>
                <w:noProof/>
                <w:webHidden/>
              </w:rPr>
              <w:tab/>
            </w:r>
            <w:r w:rsidR="009902D6">
              <w:rPr>
                <w:noProof/>
                <w:webHidden/>
              </w:rPr>
              <w:fldChar w:fldCharType="begin"/>
            </w:r>
            <w:r w:rsidR="009902D6">
              <w:rPr>
                <w:noProof/>
                <w:webHidden/>
              </w:rPr>
              <w:instrText xml:space="preserve"> PAGEREF _Toc110250604 \h </w:instrText>
            </w:r>
            <w:r w:rsidR="009902D6">
              <w:rPr>
                <w:noProof/>
                <w:webHidden/>
              </w:rPr>
            </w:r>
            <w:r w:rsidR="009902D6">
              <w:rPr>
                <w:noProof/>
                <w:webHidden/>
              </w:rPr>
              <w:fldChar w:fldCharType="separate"/>
            </w:r>
            <w:r w:rsidR="009902D6">
              <w:rPr>
                <w:noProof/>
                <w:webHidden/>
              </w:rPr>
              <w:t>8</w:t>
            </w:r>
            <w:r w:rsidR="009902D6">
              <w:rPr>
                <w:noProof/>
                <w:webHidden/>
              </w:rPr>
              <w:fldChar w:fldCharType="end"/>
            </w:r>
          </w:hyperlink>
        </w:p>
        <w:p w14:paraId="4330C91F" w14:textId="38570CDE"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05" w:history="1">
            <w:r w:rsidR="009902D6" w:rsidRPr="00845DB3">
              <w:rPr>
                <w:rStyle w:val="Hyperlink"/>
                <w:noProof/>
              </w:rPr>
              <w:t>1.3.2. Acquisition methods: DDA vs. DIA vs. targeted proteomics.</w:t>
            </w:r>
            <w:r w:rsidR="009902D6">
              <w:rPr>
                <w:noProof/>
                <w:webHidden/>
              </w:rPr>
              <w:tab/>
            </w:r>
            <w:r w:rsidR="009902D6">
              <w:rPr>
                <w:noProof/>
                <w:webHidden/>
              </w:rPr>
              <w:fldChar w:fldCharType="begin"/>
            </w:r>
            <w:r w:rsidR="009902D6">
              <w:rPr>
                <w:noProof/>
                <w:webHidden/>
              </w:rPr>
              <w:instrText xml:space="preserve"> PAGEREF _Toc110250605 \h </w:instrText>
            </w:r>
            <w:r w:rsidR="009902D6">
              <w:rPr>
                <w:noProof/>
                <w:webHidden/>
              </w:rPr>
            </w:r>
            <w:r w:rsidR="009902D6">
              <w:rPr>
                <w:noProof/>
                <w:webHidden/>
              </w:rPr>
              <w:fldChar w:fldCharType="separate"/>
            </w:r>
            <w:r w:rsidR="009902D6">
              <w:rPr>
                <w:noProof/>
                <w:webHidden/>
              </w:rPr>
              <w:t>11</w:t>
            </w:r>
            <w:r w:rsidR="009902D6">
              <w:rPr>
                <w:noProof/>
                <w:webHidden/>
              </w:rPr>
              <w:fldChar w:fldCharType="end"/>
            </w:r>
          </w:hyperlink>
        </w:p>
        <w:p w14:paraId="41A07C4F" w14:textId="250E0371" w:rsidR="009902D6" w:rsidRDefault="00FA115D">
          <w:pPr>
            <w:pStyle w:val="TOC2"/>
            <w:rPr>
              <w:rFonts w:asciiTheme="minorHAnsi" w:eastAsiaTheme="minorEastAsia" w:hAnsiTheme="minorHAnsi" w:cstheme="minorBidi"/>
              <w:b w:val="0"/>
              <w:noProof/>
              <w:szCs w:val="24"/>
            </w:rPr>
          </w:pPr>
          <w:hyperlink w:anchor="_Toc110250606" w:history="1">
            <w:r w:rsidR="009902D6" w:rsidRPr="00845DB3">
              <w:rPr>
                <w:rStyle w:val="Hyperlink"/>
                <w:noProof/>
              </w:rPr>
              <w:t>1.4  Scope of the dissertation.</w:t>
            </w:r>
            <w:r w:rsidR="009902D6">
              <w:rPr>
                <w:noProof/>
                <w:webHidden/>
              </w:rPr>
              <w:tab/>
            </w:r>
            <w:r w:rsidR="009902D6">
              <w:rPr>
                <w:noProof/>
                <w:webHidden/>
              </w:rPr>
              <w:fldChar w:fldCharType="begin"/>
            </w:r>
            <w:r w:rsidR="009902D6">
              <w:rPr>
                <w:noProof/>
                <w:webHidden/>
              </w:rPr>
              <w:instrText xml:space="preserve"> PAGEREF _Toc110250606 \h </w:instrText>
            </w:r>
            <w:r w:rsidR="009902D6">
              <w:rPr>
                <w:noProof/>
                <w:webHidden/>
              </w:rPr>
            </w:r>
            <w:r w:rsidR="009902D6">
              <w:rPr>
                <w:noProof/>
                <w:webHidden/>
              </w:rPr>
              <w:fldChar w:fldCharType="separate"/>
            </w:r>
            <w:r w:rsidR="009902D6">
              <w:rPr>
                <w:noProof/>
                <w:webHidden/>
              </w:rPr>
              <w:t>13</w:t>
            </w:r>
            <w:r w:rsidR="009902D6">
              <w:rPr>
                <w:noProof/>
                <w:webHidden/>
              </w:rPr>
              <w:fldChar w:fldCharType="end"/>
            </w:r>
          </w:hyperlink>
        </w:p>
        <w:p w14:paraId="44CDB891" w14:textId="1A8A5878" w:rsidR="009902D6" w:rsidRDefault="00FA115D">
          <w:pPr>
            <w:pStyle w:val="TOC1"/>
            <w:tabs>
              <w:tab w:val="right" w:leader="dot" w:pos="8630"/>
            </w:tabs>
            <w:rPr>
              <w:rFonts w:asciiTheme="minorHAnsi" w:eastAsiaTheme="minorEastAsia" w:hAnsiTheme="minorHAnsi" w:cstheme="minorBidi"/>
              <w:b w:val="0"/>
              <w:bCs w:val="0"/>
              <w:noProof/>
              <w:szCs w:val="24"/>
            </w:rPr>
          </w:pPr>
          <w:hyperlink w:anchor="_Toc110250607" w:history="1">
            <w:r w:rsidR="009902D6" w:rsidRPr="00845DB3">
              <w:rPr>
                <w:rStyle w:val="Hyperlink"/>
                <w:noProof/>
              </w:rPr>
              <w:t>Chapter 2 - Fundamentals of LC-MS/MS analyses for microbial communities.</w:t>
            </w:r>
            <w:r w:rsidR="009902D6">
              <w:rPr>
                <w:noProof/>
                <w:webHidden/>
              </w:rPr>
              <w:tab/>
            </w:r>
            <w:r w:rsidR="009902D6">
              <w:rPr>
                <w:noProof/>
                <w:webHidden/>
              </w:rPr>
              <w:fldChar w:fldCharType="begin"/>
            </w:r>
            <w:r w:rsidR="009902D6">
              <w:rPr>
                <w:noProof/>
                <w:webHidden/>
              </w:rPr>
              <w:instrText xml:space="preserve"> PAGEREF _Toc110250607 \h </w:instrText>
            </w:r>
            <w:r w:rsidR="009902D6">
              <w:rPr>
                <w:noProof/>
                <w:webHidden/>
              </w:rPr>
            </w:r>
            <w:r w:rsidR="009902D6">
              <w:rPr>
                <w:noProof/>
                <w:webHidden/>
              </w:rPr>
              <w:fldChar w:fldCharType="separate"/>
            </w:r>
            <w:r w:rsidR="009902D6">
              <w:rPr>
                <w:noProof/>
                <w:webHidden/>
              </w:rPr>
              <w:t>16</w:t>
            </w:r>
            <w:r w:rsidR="009902D6">
              <w:rPr>
                <w:noProof/>
                <w:webHidden/>
              </w:rPr>
              <w:fldChar w:fldCharType="end"/>
            </w:r>
          </w:hyperlink>
        </w:p>
        <w:p w14:paraId="232E72A9" w14:textId="6C5C80B9" w:rsidR="009902D6" w:rsidRDefault="00FA115D">
          <w:pPr>
            <w:pStyle w:val="TOC2"/>
            <w:rPr>
              <w:rFonts w:asciiTheme="minorHAnsi" w:eastAsiaTheme="minorEastAsia" w:hAnsiTheme="minorHAnsi" w:cstheme="minorBidi"/>
              <w:b w:val="0"/>
              <w:noProof/>
              <w:szCs w:val="24"/>
            </w:rPr>
          </w:pPr>
          <w:hyperlink w:anchor="_Toc110250608" w:history="1">
            <w:r w:rsidR="009902D6" w:rsidRPr="00845DB3">
              <w:rPr>
                <w:rStyle w:val="Hyperlink"/>
                <w:noProof/>
              </w:rPr>
              <w:t>2.1  The general workflow for metaproteome measurements.</w:t>
            </w:r>
            <w:r w:rsidR="009902D6">
              <w:rPr>
                <w:noProof/>
                <w:webHidden/>
              </w:rPr>
              <w:tab/>
            </w:r>
            <w:r w:rsidR="009902D6">
              <w:rPr>
                <w:noProof/>
                <w:webHidden/>
              </w:rPr>
              <w:fldChar w:fldCharType="begin"/>
            </w:r>
            <w:r w:rsidR="009902D6">
              <w:rPr>
                <w:noProof/>
                <w:webHidden/>
              </w:rPr>
              <w:instrText xml:space="preserve"> PAGEREF _Toc110250608 \h </w:instrText>
            </w:r>
            <w:r w:rsidR="009902D6">
              <w:rPr>
                <w:noProof/>
                <w:webHidden/>
              </w:rPr>
            </w:r>
            <w:r w:rsidR="009902D6">
              <w:rPr>
                <w:noProof/>
                <w:webHidden/>
              </w:rPr>
              <w:fldChar w:fldCharType="separate"/>
            </w:r>
            <w:r w:rsidR="009902D6">
              <w:rPr>
                <w:noProof/>
                <w:webHidden/>
              </w:rPr>
              <w:t>16</w:t>
            </w:r>
            <w:r w:rsidR="009902D6">
              <w:rPr>
                <w:noProof/>
                <w:webHidden/>
              </w:rPr>
              <w:fldChar w:fldCharType="end"/>
            </w:r>
          </w:hyperlink>
        </w:p>
        <w:p w14:paraId="47F18B05" w14:textId="603B962E" w:rsidR="009902D6" w:rsidRDefault="00FA115D">
          <w:pPr>
            <w:pStyle w:val="TOC2"/>
            <w:rPr>
              <w:rFonts w:asciiTheme="minorHAnsi" w:eastAsiaTheme="minorEastAsia" w:hAnsiTheme="minorHAnsi" w:cstheme="minorBidi"/>
              <w:b w:val="0"/>
              <w:noProof/>
              <w:szCs w:val="24"/>
            </w:rPr>
          </w:pPr>
          <w:hyperlink w:anchor="_Toc110250609" w:history="1">
            <w:r w:rsidR="009902D6" w:rsidRPr="00845DB3">
              <w:rPr>
                <w:rStyle w:val="Hyperlink"/>
                <w:noProof/>
              </w:rPr>
              <w:t>2.2  Sample preparation.</w:t>
            </w:r>
            <w:r w:rsidR="009902D6">
              <w:rPr>
                <w:noProof/>
                <w:webHidden/>
              </w:rPr>
              <w:tab/>
            </w:r>
            <w:r w:rsidR="009902D6">
              <w:rPr>
                <w:noProof/>
                <w:webHidden/>
              </w:rPr>
              <w:fldChar w:fldCharType="begin"/>
            </w:r>
            <w:r w:rsidR="009902D6">
              <w:rPr>
                <w:noProof/>
                <w:webHidden/>
              </w:rPr>
              <w:instrText xml:space="preserve"> PAGEREF _Toc110250609 \h </w:instrText>
            </w:r>
            <w:r w:rsidR="009902D6">
              <w:rPr>
                <w:noProof/>
                <w:webHidden/>
              </w:rPr>
            </w:r>
            <w:r w:rsidR="009902D6">
              <w:rPr>
                <w:noProof/>
                <w:webHidden/>
              </w:rPr>
              <w:fldChar w:fldCharType="separate"/>
            </w:r>
            <w:r w:rsidR="009902D6">
              <w:rPr>
                <w:noProof/>
                <w:webHidden/>
              </w:rPr>
              <w:t>16</w:t>
            </w:r>
            <w:r w:rsidR="009902D6">
              <w:rPr>
                <w:noProof/>
                <w:webHidden/>
              </w:rPr>
              <w:fldChar w:fldCharType="end"/>
            </w:r>
          </w:hyperlink>
        </w:p>
        <w:p w14:paraId="186F1F8D" w14:textId="3F81C315"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10" w:history="1">
            <w:r w:rsidR="009902D6" w:rsidRPr="00845DB3">
              <w:rPr>
                <w:rStyle w:val="Hyperlink"/>
                <w:noProof/>
              </w:rPr>
              <w:t>2.2.1  Sample selection and collection.</w:t>
            </w:r>
            <w:r w:rsidR="009902D6">
              <w:rPr>
                <w:noProof/>
                <w:webHidden/>
              </w:rPr>
              <w:tab/>
            </w:r>
            <w:r w:rsidR="009902D6">
              <w:rPr>
                <w:noProof/>
                <w:webHidden/>
              </w:rPr>
              <w:fldChar w:fldCharType="begin"/>
            </w:r>
            <w:r w:rsidR="009902D6">
              <w:rPr>
                <w:noProof/>
                <w:webHidden/>
              </w:rPr>
              <w:instrText xml:space="preserve"> PAGEREF _Toc110250610 \h </w:instrText>
            </w:r>
            <w:r w:rsidR="009902D6">
              <w:rPr>
                <w:noProof/>
                <w:webHidden/>
              </w:rPr>
            </w:r>
            <w:r w:rsidR="009902D6">
              <w:rPr>
                <w:noProof/>
                <w:webHidden/>
              </w:rPr>
              <w:fldChar w:fldCharType="separate"/>
            </w:r>
            <w:r w:rsidR="009902D6">
              <w:rPr>
                <w:noProof/>
                <w:webHidden/>
              </w:rPr>
              <w:t>18</w:t>
            </w:r>
            <w:r w:rsidR="009902D6">
              <w:rPr>
                <w:noProof/>
                <w:webHidden/>
              </w:rPr>
              <w:fldChar w:fldCharType="end"/>
            </w:r>
          </w:hyperlink>
        </w:p>
        <w:p w14:paraId="7A1A2ACD" w14:textId="70FE3176"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11" w:history="1">
            <w:r w:rsidR="009902D6" w:rsidRPr="00845DB3">
              <w:rPr>
                <w:rStyle w:val="Hyperlink"/>
                <w:noProof/>
              </w:rPr>
              <w:t>2.2.2  Cellular lysis and protein extraction.</w:t>
            </w:r>
            <w:r w:rsidR="009902D6">
              <w:rPr>
                <w:noProof/>
                <w:webHidden/>
              </w:rPr>
              <w:tab/>
            </w:r>
            <w:r w:rsidR="009902D6">
              <w:rPr>
                <w:noProof/>
                <w:webHidden/>
              </w:rPr>
              <w:fldChar w:fldCharType="begin"/>
            </w:r>
            <w:r w:rsidR="009902D6">
              <w:rPr>
                <w:noProof/>
                <w:webHidden/>
              </w:rPr>
              <w:instrText xml:space="preserve"> PAGEREF _Toc110250611 \h </w:instrText>
            </w:r>
            <w:r w:rsidR="009902D6">
              <w:rPr>
                <w:noProof/>
                <w:webHidden/>
              </w:rPr>
            </w:r>
            <w:r w:rsidR="009902D6">
              <w:rPr>
                <w:noProof/>
                <w:webHidden/>
              </w:rPr>
              <w:fldChar w:fldCharType="separate"/>
            </w:r>
            <w:r w:rsidR="009902D6">
              <w:rPr>
                <w:noProof/>
                <w:webHidden/>
              </w:rPr>
              <w:t>20</w:t>
            </w:r>
            <w:r w:rsidR="009902D6">
              <w:rPr>
                <w:noProof/>
                <w:webHidden/>
              </w:rPr>
              <w:fldChar w:fldCharType="end"/>
            </w:r>
          </w:hyperlink>
        </w:p>
        <w:p w14:paraId="58E8FEB8" w14:textId="68FC8C10"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12" w:history="1">
            <w:r w:rsidR="009902D6" w:rsidRPr="00845DB3">
              <w:rPr>
                <w:rStyle w:val="Hyperlink"/>
                <w:noProof/>
              </w:rPr>
              <w:t>2.2.3  Protein denaturation, clean-up, and digestion.</w:t>
            </w:r>
            <w:r w:rsidR="009902D6">
              <w:rPr>
                <w:noProof/>
                <w:webHidden/>
              </w:rPr>
              <w:tab/>
            </w:r>
            <w:r w:rsidR="009902D6">
              <w:rPr>
                <w:noProof/>
                <w:webHidden/>
              </w:rPr>
              <w:fldChar w:fldCharType="begin"/>
            </w:r>
            <w:r w:rsidR="009902D6">
              <w:rPr>
                <w:noProof/>
                <w:webHidden/>
              </w:rPr>
              <w:instrText xml:space="preserve"> PAGEREF _Toc110250612 \h </w:instrText>
            </w:r>
            <w:r w:rsidR="009902D6">
              <w:rPr>
                <w:noProof/>
                <w:webHidden/>
              </w:rPr>
            </w:r>
            <w:r w:rsidR="009902D6">
              <w:rPr>
                <w:noProof/>
                <w:webHidden/>
              </w:rPr>
              <w:fldChar w:fldCharType="separate"/>
            </w:r>
            <w:r w:rsidR="009902D6">
              <w:rPr>
                <w:noProof/>
                <w:webHidden/>
              </w:rPr>
              <w:t>22</w:t>
            </w:r>
            <w:r w:rsidR="009902D6">
              <w:rPr>
                <w:noProof/>
                <w:webHidden/>
              </w:rPr>
              <w:fldChar w:fldCharType="end"/>
            </w:r>
          </w:hyperlink>
        </w:p>
        <w:p w14:paraId="7D80C99B" w14:textId="3AE60F4C" w:rsidR="009902D6" w:rsidRDefault="00FA115D">
          <w:pPr>
            <w:pStyle w:val="TOC2"/>
            <w:rPr>
              <w:rFonts w:asciiTheme="minorHAnsi" w:eastAsiaTheme="minorEastAsia" w:hAnsiTheme="minorHAnsi" w:cstheme="minorBidi"/>
              <w:b w:val="0"/>
              <w:noProof/>
              <w:szCs w:val="24"/>
            </w:rPr>
          </w:pPr>
          <w:hyperlink w:anchor="_Toc110250613" w:history="1">
            <w:r w:rsidR="009902D6" w:rsidRPr="00845DB3">
              <w:rPr>
                <w:rStyle w:val="Hyperlink"/>
                <w:noProof/>
              </w:rPr>
              <w:t>2.3  Analytical measurements.</w:t>
            </w:r>
            <w:r w:rsidR="009902D6">
              <w:rPr>
                <w:noProof/>
                <w:webHidden/>
              </w:rPr>
              <w:tab/>
            </w:r>
            <w:r w:rsidR="009902D6">
              <w:rPr>
                <w:noProof/>
                <w:webHidden/>
              </w:rPr>
              <w:fldChar w:fldCharType="begin"/>
            </w:r>
            <w:r w:rsidR="009902D6">
              <w:rPr>
                <w:noProof/>
                <w:webHidden/>
              </w:rPr>
              <w:instrText xml:space="preserve"> PAGEREF _Toc110250613 \h </w:instrText>
            </w:r>
            <w:r w:rsidR="009902D6">
              <w:rPr>
                <w:noProof/>
                <w:webHidden/>
              </w:rPr>
            </w:r>
            <w:r w:rsidR="009902D6">
              <w:rPr>
                <w:noProof/>
                <w:webHidden/>
              </w:rPr>
              <w:fldChar w:fldCharType="separate"/>
            </w:r>
            <w:r w:rsidR="009902D6">
              <w:rPr>
                <w:noProof/>
                <w:webHidden/>
              </w:rPr>
              <w:t>26</w:t>
            </w:r>
            <w:r w:rsidR="009902D6">
              <w:rPr>
                <w:noProof/>
                <w:webHidden/>
              </w:rPr>
              <w:fldChar w:fldCharType="end"/>
            </w:r>
          </w:hyperlink>
        </w:p>
        <w:p w14:paraId="50C34DAC" w14:textId="064A5393"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14" w:history="1">
            <w:r w:rsidR="009902D6" w:rsidRPr="00845DB3">
              <w:rPr>
                <w:rStyle w:val="Hyperlink"/>
                <w:noProof/>
              </w:rPr>
              <w:t>2.3.1  Liquid Chromatography.</w:t>
            </w:r>
            <w:r w:rsidR="009902D6">
              <w:rPr>
                <w:noProof/>
                <w:webHidden/>
              </w:rPr>
              <w:tab/>
            </w:r>
            <w:r w:rsidR="009902D6">
              <w:rPr>
                <w:noProof/>
                <w:webHidden/>
              </w:rPr>
              <w:fldChar w:fldCharType="begin"/>
            </w:r>
            <w:r w:rsidR="009902D6">
              <w:rPr>
                <w:noProof/>
                <w:webHidden/>
              </w:rPr>
              <w:instrText xml:space="preserve"> PAGEREF _Toc110250614 \h </w:instrText>
            </w:r>
            <w:r w:rsidR="009902D6">
              <w:rPr>
                <w:noProof/>
                <w:webHidden/>
              </w:rPr>
            </w:r>
            <w:r w:rsidR="009902D6">
              <w:rPr>
                <w:noProof/>
                <w:webHidden/>
              </w:rPr>
              <w:fldChar w:fldCharType="separate"/>
            </w:r>
            <w:r w:rsidR="009902D6">
              <w:rPr>
                <w:noProof/>
                <w:webHidden/>
              </w:rPr>
              <w:t>26</w:t>
            </w:r>
            <w:r w:rsidR="009902D6">
              <w:rPr>
                <w:noProof/>
                <w:webHidden/>
              </w:rPr>
              <w:fldChar w:fldCharType="end"/>
            </w:r>
          </w:hyperlink>
        </w:p>
        <w:p w14:paraId="6F879DD1" w14:textId="26A2A4C9"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15" w:history="1">
            <w:r w:rsidR="009902D6" w:rsidRPr="00845DB3">
              <w:rPr>
                <w:rStyle w:val="Hyperlink"/>
                <w:noProof/>
              </w:rPr>
              <w:t>2.3.1.1  One-dimensional liquid chromatography.</w:t>
            </w:r>
            <w:r w:rsidR="009902D6">
              <w:rPr>
                <w:noProof/>
                <w:webHidden/>
              </w:rPr>
              <w:tab/>
            </w:r>
            <w:r w:rsidR="009902D6">
              <w:rPr>
                <w:noProof/>
                <w:webHidden/>
              </w:rPr>
              <w:fldChar w:fldCharType="begin"/>
            </w:r>
            <w:r w:rsidR="009902D6">
              <w:rPr>
                <w:noProof/>
                <w:webHidden/>
              </w:rPr>
              <w:instrText xml:space="preserve"> PAGEREF _Toc110250615 \h </w:instrText>
            </w:r>
            <w:r w:rsidR="009902D6">
              <w:rPr>
                <w:noProof/>
                <w:webHidden/>
              </w:rPr>
            </w:r>
            <w:r w:rsidR="009902D6">
              <w:rPr>
                <w:noProof/>
                <w:webHidden/>
              </w:rPr>
              <w:fldChar w:fldCharType="separate"/>
            </w:r>
            <w:r w:rsidR="009902D6">
              <w:rPr>
                <w:noProof/>
                <w:webHidden/>
              </w:rPr>
              <w:t>27</w:t>
            </w:r>
            <w:r w:rsidR="009902D6">
              <w:rPr>
                <w:noProof/>
                <w:webHidden/>
              </w:rPr>
              <w:fldChar w:fldCharType="end"/>
            </w:r>
          </w:hyperlink>
        </w:p>
        <w:p w14:paraId="40BE4F11" w14:textId="5A47B565"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16" w:history="1">
            <w:r w:rsidR="009902D6" w:rsidRPr="00845DB3">
              <w:rPr>
                <w:rStyle w:val="Hyperlink"/>
                <w:noProof/>
              </w:rPr>
              <w:t>2.3.1.2 Multidimensional liquid chromatography.</w:t>
            </w:r>
            <w:r w:rsidR="009902D6">
              <w:rPr>
                <w:noProof/>
                <w:webHidden/>
              </w:rPr>
              <w:tab/>
            </w:r>
            <w:r w:rsidR="009902D6">
              <w:rPr>
                <w:noProof/>
                <w:webHidden/>
              </w:rPr>
              <w:fldChar w:fldCharType="begin"/>
            </w:r>
            <w:r w:rsidR="009902D6">
              <w:rPr>
                <w:noProof/>
                <w:webHidden/>
              </w:rPr>
              <w:instrText xml:space="preserve"> PAGEREF _Toc110250616 \h </w:instrText>
            </w:r>
            <w:r w:rsidR="009902D6">
              <w:rPr>
                <w:noProof/>
                <w:webHidden/>
              </w:rPr>
            </w:r>
            <w:r w:rsidR="009902D6">
              <w:rPr>
                <w:noProof/>
                <w:webHidden/>
              </w:rPr>
              <w:fldChar w:fldCharType="separate"/>
            </w:r>
            <w:r w:rsidR="009902D6">
              <w:rPr>
                <w:noProof/>
                <w:webHidden/>
              </w:rPr>
              <w:t>29</w:t>
            </w:r>
            <w:r w:rsidR="009902D6">
              <w:rPr>
                <w:noProof/>
                <w:webHidden/>
              </w:rPr>
              <w:fldChar w:fldCharType="end"/>
            </w:r>
          </w:hyperlink>
        </w:p>
        <w:p w14:paraId="5FEC07A1" w14:textId="37888F65"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17" w:history="1">
            <w:r w:rsidR="009902D6" w:rsidRPr="00845DB3">
              <w:rPr>
                <w:rStyle w:val="Hyperlink"/>
                <w:noProof/>
              </w:rPr>
              <w:t>2.3.1.3  Column loading.</w:t>
            </w:r>
            <w:r w:rsidR="009902D6">
              <w:rPr>
                <w:noProof/>
                <w:webHidden/>
              </w:rPr>
              <w:tab/>
            </w:r>
            <w:r w:rsidR="009902D6">
              <w:rPr>
                <w:noProof/>
                <w:webHidden/>
              </w:rPr>
              <w:fldChar w:fldCharType="begin"/>
            </w:r>
            <w:r w:rsidR="009902D6">
              <w:rPr>
                <w:noProof/>
                <w:webHidden/>
              </w:rPr>
              <w:instrText xml:space="preserve"> PAGEREF _Toc110250617 \h </w:instrText>
            </w:r>
            <w:r w:rsidR="009902D6">
              <w:rPr>
                <w:noProof/>
                <w:webHidden/>
              </w:rPr>
            </w:r>
            <w:r w:rsidR="009902D6">
              <w:rPr>
                <w:noProof/>
                <w:webHidden/>
              </w:rPr>
              <w:fldChar w:fldCharType="separate"/>
            </w:r>
            <w:r w:rsidR="009902D6">
              <w:rPr>
                <w:noProof/>
                <w:webHidden/>
              </w:rPr>
              <w:t>32</w:t>
            </w:r>
            <w:r w:rsidR="009902D6">
              <w:rPr>
                <w:noProof/>
                <w:webHidden/>
              </w:rPr>
              <w:fldChar w:fldCharType="end"/>
            </w:r>
          </w:hyperlink>
        </w:p>
        <w:p w14:paraId="7CED9E20" w14:textId="63B53740"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18" w:history="1">
            <w:r w:rsidR="009902D6" w:rsidRPr="00845DB3">
              <w:rPr>
                <w:rStyle w:val="Hyperlink"/>
                <w:noProof/>
              </w:rPr>
              <w:t>2.3.2  Mass Spectrometry.</w:t>
            </w:r>
            <w:r w:rsidR="009902D6">
              <w:rPr>
                <w:noProof/>
                <w:webHidden/>
              </w:rPr>
              <w:tab/>
            </w:r>
            <w:r w:rsidR="009902D6">
              <w:rPr>
                <w:noProof/>
                <w:webHidden/>
              </w:rPr>
              <w:fldChar w:fldCharType="begin"/>
            </w:r>
            <w:r w:rsidR="009902D6">
              <w:rPr>
                <w:noProof/>
                <w:webHidden/>
              </w:rPr>
              <w:instrText xml:space="preserve"> PAGEREF _Toc110250618 \h </w:instrText>
            </w:r>
            <w:r w:rsidR="009902D6">
              <w:rPr>
                <w:noProof/>
                <w:webHidden/>
              </w:rPr>
            </w:r>
            <w:r w:rsidR="009902D6">
              <w:rPr>
                <w:noProof/>
                <w:webHidden/>
              </w:rPr>
              <w:fldChar w:fldCharType="separate"/>
            </w:r>
            <w:r w:rsidR="009902D6">
              <w:rPr>
                <w:noProof/>
                <w:webHidden/>
              </w:rPr>
              <w:t>33</w:t>
            </w:r>
            <w:r w:rsidR="009902D6">
              <w:rPr>
                <w:noProof/>
                <w:webHidden/>
              </w:rPr>
              <w:fldChar w:fldCharType="end"/>
            </w:r>
          </w:hyperlink>
        </w:p>
        <w:p w14:paraId="42D82E61" w14:textId="4FE1D841"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19" w:history="1">
            <w:r w:rsidR="009902D6" w:rsidRPr="00845DB3">
              <w:rPr>
                <w:rStyle w:val="Hyperlink"/>
                <w:noProof/>
              </w:rPr>
              <w:t>2.3.2.1  Analytical figures of merit.</w:t>
            </w:r>
            <w:r w:rsidR="009902D6">
              <w:rPr>
                <w:noProof/>
                <w:webHidden/>
              </w:rPr>
              <w:tab/>
            </w:r>
            <w:r w:rsidR="009902D6">
              <w:rPr>
                <w:noProof/>
                <w:webHidden/>
              </w:rPr>
              <w:fldChar w:fldCharType="begin"/>
            </w:r>
            <w:r w:rsidR="009902D6">
              <w:rPr>
                <w:noProof/>
                <w:webHidden/>
              </w:rPr>
              <w:instrText xml:space="preserve"> PAGEREF _Toc110250619 \h </w:instrText>
            </w:r>
            <w:r w:rsidR="009902D6">
              <w:rPr>
                <w:noProof/>
                <w:webHidden/>
              </w:rPr>
            </w:r>
            <w:r w:rsidR="009902D6">
              <w:rPr>
                <w:noProof/>
                <w:webHidden/>
              </w:rPr>
              <w:fldChar w:fldCharType="separate"/>
            </w:r>
            <w:r w:rsidR="009902D6">
              <w:rPr>
                <w:noProof/>
                <w:webHidden/>
              </w:rPr>
              <w:t>33</w:t>
            </w:r>
            <w:r w:rsidR="009902D6">
              <w:rPr>
                <w:noProof/>
                <w:webHidden/>
              </w:rPr>
              <w:fldChar w:fldCharType="end"/>
            </w:r>
          </w:hyperlink>
        </w:p>
        <w:p w14:paraId="7A7829B5" w14:textId="5367EA67"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20" w:history="1">
            <w:r w:rsidR="009902D6" w:rsidRPr="00845DB3">
              <w:rPr>
                <w:rStyle w:val="Hyperlink"/>
                <w:noProof/>
              </w:rPr>
              <w:t>2.3.2.2  Ionization sources.</w:t>
            </w:r>
            <w:r w:rsidR="009902D6">
              <w:rPr>
                <w:noProof/>
                <w:webHidden/>
              </w:rPr>
              <w:tab/>
            </w:r>
            <w:r w:rsidR="009902D6">
              <w:rPr>
                <w:noProof/>
                <w:webHidden/>
              </w:rPr>
              <w:fldChar w:fldCharType="begin"/>
            </w:r>
            <w:r w:rsidR="009902D6">
              <w:rPr>
                <w:noProof/>
                <w:webHidden/>
              </w:rPr>
              <w:instrText xml:space="preserve"> PAGEREF _Toc110250620 \h </w:instrText>
            </w:r>
            <w:r w:rsidR="009902D6">
              <w:rPr>
                <w:noProof/>
                <w:webHidden/>
              </w:rPr>
            </w:r>
            <w:r w:rsidR="009902D6">
              <w:rPr>
                <w:noProof/>
                <w:webHidden/>
              </w:rPr>
              <w:fldChar w:fldCharType="separate"/>
            </w:r>
            <w:r w:rsidR="009902D6">
              <w:rPr>
                <w:noProof/>
                <w:webHidden/>
              </w:rPr>
              <w:t>36</w:t>
            </w:r>
            <w:r w:rsidR="009902D6">
              <w:rPr>
                <w:noProof/>
                <w:webHidden/>
              </w:rPr>
              <w:fldChar w:fldCharType="end"/>
            </w:r>
          </w:hyperlink>
        </w:p>
        <w:p w14:paraId="6EE50939" w14:textId="5449FD17"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21" w:history="1">
            <w:r w:rsidR="009902D6" w:rsidRPr="00845DB3">
              <w:rPr>
                <w:rStyle w:val="Hyperlink"/>
                <w:noProof/>
              </w:rPr>
              <w:t>2.3.2.3  Mass analyzers and detectors.</w:t>
            </w:r>
            <w:r w:rsidR="009902D6">
              <w:rPr>
                <w:noProof/>
                <w:webHidden/>
              </w:rPr>
              <w:tab/>
            </w:r>
            <w:r w:rsidR="009902D6">
              <w:rPr>
                <w:noProof/>
                <w:webHidden/>
              </w:rPr>
              <w:fldChar w:fldCharType="begin"/>
            </w:r>
            <w:r w:rsidR="009902D6">
              <w:rPr>
                <w:noProof/>
                <w:webHidden/>
              </w:rPr>
              <w:instrText xml:space="preserve"> PAGEREF _Toc110250621 \h </w:instrText>
            </w:r>
            <w:r w:rsidR="009902D6">
              <w:rPr>
                <w:noProof/>
                <w:webHidden/>
              </w:rPr>
            </w:r>
            <w:r w:rsidR="009902D6">
              <w:rPr>
                <w:noProof/>
                <w:webHidden/>
              </w:rPr>
              <w:fldChar w:fldCharType="separate"/>
            </w:r>
            <w:r w:rsidR="009902D6">
              <w:rPr>
                <w:noProof/>
                <w:webHidden/>
              </w:rPr>
              <w:t>39</w:t>
            </w:r>
            <w:r w:rsidR="009902D6">
              <w:rPr>
                <w:noProof/>
                <w:webHidden/>
              </w:rPr>
              <w:fldChar w:fldCharType="end"/>
            </w:r>
          </w:hyperlink>
        </w:p>
        <w:p w14:paraId="639FD54D" w14:textId="0D287CB4"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22" w:history="1">
            <w:r w:rsidR="009902D6" w:rsidRPr="00845DB3">
              <w:rPr>
                <w:rStyle w:val="Hyperlink"/>
                <w:noProof/>
              </w:rPr>
              <w:t>2.3.2.4  Characteristics of MS/MS fragmentation.</w:t>
            </w:r>
            <w:r w:rsidR="009902D6">
              <w:rPr>
                <w:noProof/>
                <w:webHidden/>
              </w:rPr>
              <w:tab/>
            </w:r>
            <w:r w:rsidR="009902D6">
              <w:rPr>
                <w:noProof/>
                <w:webHidden/>
              </w:rPr>
              <w:fldChar w:fldCharType="begin"/>
            </w:r>
            <w:r w:rsidR="009902D6">
              <w:rPr>
                <w:noProof/>
                <w:webHidden/>
              </w:rPr>
              <w:instrText xml:space="preserve"> PAGEREF _Toc110250622 \h </w:instrText>
            </w:r>
            <w:r w:rsidR="009902D6">
              <w:rPr>
                <w:noProof/>
                <w:webHidden/>
              </w:rPr>
            </w:r>
            <w:r w:rsidR="009902D6">
              <w:rPr>
                <w:noProof/>
                <w:webHidden/>
              </w:rPr>
              <w:fldChar w:fldCharType="separate"/>
            </w:r>
            <w:r w:rsidR="009902D6">
              <w:rPr>
                <w:noProof/>
                <w:webHidden/>
              </w:rPr>
              <w:t>42</w:t>
            </w:r>
            <w:r w:rsidR="009902D6">
              <w:rPr>
                <w:noProof/>
                <w:webHidden/>
              </w:rPr>
              <w:fldChar w:fldCharType="end"/>
            </w:r>
          </w:hyperlink>
        </w:p>
        <w:p w14:paraId="05C6E615" w14:textId="00A5AE1B" w:rsidR="009902D6" w:rsidRDefault="00FA115D">
          <w:pPr>
            <w:pStyle w:val="TOC2"/>
            <w:rPr>
              <w:rFonts w:asciiTheme="minorHAnsi" w:eastAsiaTheme="minorEastAsia" w:hAnsiTheme="minorHAnsi" w:cstheme="minorBidi"/>
              <w:b w:val="0"/>
              <w:noProof/>
              <w:szCs w:val="24"/>
            </w:rPr>
          </w:pPr>
          <w:hyperlink w:anchor="_Toc110250623" w:history="1">
            <w:r w:rsidR="009902D6" w:rsidRPr="00845DB3">
              <w:rPr>
                <w:rStyle w:val="Hyperlink"/>
                <w:noProof/>
              </w:rPr>
              <w:t>2.4  Downstream analysis of MS/MS data in bottom-up proteomics.</w:t>
            </w:r>
            <w:r w:rsidR="009902D6">
              <w:rPr>
                <w:noProof/>
                <w:webHidden/>
              </w:rPr>
              <w:tab/>
            </w:r>
            <w:r w:rsidR="009902D6">
              <w:rPr>
                <w:noProof/>
                <w:webHidden/>
              </w:rPr>
              <w:fldChar w:fldCharType="begin"/>
            </w:r>
            <w:r w:rsidR="009902D6">
              <w:rPr>
                <w:noProof/>
                <w:webHidden/>
              </w:rPr>
              <w:instrText xml:space="preserve"> PAGEREF _Toc110250623 \h </w:instrText>
            </w:r>
            <w:r w:rsidR="009902D6">
              <w:rPr>
                <w:noProof/>
                <w:webHidden/>
              </w:rPr>
            </w:r>
            <w:r w:rsidR="009902D6">
              <w:rPr>
                <w:noProof/>
                <w:webHidden/>
              </w:rPr>
              <w:fldChar w:fldCharType="separate"/>
            </w:r>
            <w:r w:rsidR="009902D6">
              <w:rPr>
                <w:noProof/>
                <w:webHidden/>
              </w:rPr>
              <w:t>43</w:t>
            </w:r>
            <w:r w:rsidR="009902D6">
              <w:rPr>
                <w:noProof/>
                <w:webHidden/>
              </w:rPr>
              <w:fldChar w:fldCharType="end"/>
            </w:r>
          </w:hyperlink>
        </w:p>
        <w:p w14:paraId="3A7577D0" w14:textId="3494B619"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24" w:history="1">
            <w:r w:rsidR="009902D6" w:rsidRPr="00845DB3">
              <w:rPr>
                <w:rStyle w:val="Hyperlink"/>
                <w:noProof/>
              </w:rPr>
              <w:t>2.4.1  Peptide identification using database search approaches.</w:t>
            </w:r>
            <w:r w:rsidR="009902D6">
              <w:rPr>
                <w:noProof/>
                <w:webHidden/>
              </w:rPr>
              <w:tab/>
            </w:r>
            <w:r w:rsidR="009902D6">
              <w:rPr>
                <w:noProof/>
                <w:webHidden/>
              </w:rPr>
              <w:fldChar w:fldCharType="begin"/>
            </w:r>
            <w:r w:rsidR="009902D6">
              <w:rPr>
                <w:noProof/>
                <w:webHidden/>
              </w:rPr>
              <w:instrText xml:space="preserve"> PAGEREF _Toc110250624 \h </w:instrText>
            </w:r>
            <w:r w:rsidR="009902D6">
              <w:rPr>
                <w:noProof/>
                <w:webHidden/>
              </w:rPr>
            </w:r>
            <w:r w:rsidR="009902D6">
              <w:rPr>
                <w:noProof/>
                <w:webHidden/>
              </w:rPr>
              <w:fldChar w:fldCharType="separate"/>
            </w:r>
            <w:r w:rsidR="009902D6">
              <w:rPr>
                <w:noProof/>
                <w:webHidden/>
              </w:rPr>
              <w:t>43</w:t>
            </w:r>
            <w:r w:rsidR="009902D6">
              <w:rPr>
                <w:noProof/>
                <w:webHidden/>
              </w:rPr>
              <w:fldChar w:fldCharType="end"/>
            </w:r>
          </w:hyperlink>
        </w:p>
        <w:p w14:paraId="47824BA4" w14:textId="7886A1D7"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25" w:history="1">
            <w:r w:rsidR="009902D6" w:rsidRPr="00845DB3">
              <w:rPr>
                <w:rStyle w:val="Hyperlink"/>
                <w:noProof/>
              </w:rPr>
              <w:t>2.4.1.1  Constructing protein sequence databases for metaproteomics.</w:t>
            </w:r>
            <w:r w:rsidR="009902D6">
              <w:rPr>
                <w:noProof/>
                <w:webHidden/>
              </w:rPr>
              <w:tab/>
            </w:r>
            <w:r w:rsidR="009902D6">
              <w:rPr>
                <w:noProof/>
                <w:webHidden/>
              </w:rPr>
              <w:fldChar w:fldCharType="begin"/>
            </w:r>
            <w:r w:rsidR="009902D6">
              <w:rPr>
                <w:noProof/>
                <w:webHidden/>
              </w:rPr>
              <w:instrText xml:space="preserve"> PAGEREF _Toc110250625 \h </w:instrText>
            </w:r>
            <w:r w:rsidR="009902D6">
              <w:rPr>
                <w:noProof/>
                <w:webHidden/>
              </w:rPr>
            </w:r>
            <w:r w:rsidR="009902D6">
              <w:rPr>
                <w:noProof/>
                <w:webHidden/>
              </w:rPr>
              <w:fldChar w:fldCharType="separate"/>
            </w:r>
            <w:r w:rsidR="009902D6">
              <w:rPr>
                <w:noProof/>
                <w:webHidden/>
              </w:rPr>
              <w:t>45</w:t>
            </w:r>
            <w:r w:rsidR="009902D6">
              <w:rPr>
                <w:noProof/>
                <w:webHidden/>
              </w:rPr>
              <w:fldChar w:fldCharType="end"/>
            </w:r>
          </w:hyperlink>
        </w:p>
        <w:p w14:paraId="6C9CADB0" w14:textId="3310B027"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26" w:history="1">
            <w:r w:rsidR="009902D6" w:rsidRPr="00845DB3">
              <w:rPr>
                <w:rStyle w:val="Hyperlink"/>
                <w:noProof/>
              </w:rPr>
              <w:t>2.4.1.2  Evaluation of False Discovery Rates.</w:t>
            </w:r>
            <w:r w:rsidR="009902D6">
              <w:rPr>
                <w:noProof/>
                <w:webHidden/>
              </w:rPr>
              <w:tab/>
            </w:r>
            <w:r w:rsidR="009902D6">
              <w:rPr>
                <w:noProof/>
                <w:webHidden/>
              </w:rPr>
              <w:fldChar w:fldCharType="begin"/>
            </w:r>
            <w:r w:rsidR="009902D6">
              <w:rPr>
                <w:noProof/>
                <w:webHidden/>
              </w:rPr>
              <w:instrText xml:space="preserve"> PAGEREF _Toc110250626 \h </w:instrText>
            </w:r>
            <w:r w:rsidR="009902D6">
              <w:rPr>
                <w:noProof/>
                <w:webHidden/>
              </w:rPr>
            </w:r>
            <w:r w:rsidR="009902D6">
              <w:rPr>
                <w:noProof/>
                <w:webHidden/>
              </w:rPr>
              <w:fldChar w:fldCharType="separate"/>
            </w:r>
            <w:r w:rsidR="009902D6">
              <w:rPr>
                <w:noProof/>
                <w:webHidden/>
              </w:rPr>
              <w:t>47</w:t>
            </w:r>
            <w:r w:rsidR="009902D6">
              <w:rPr>
                <w:noProof/>
                <w:webHidden/>
              </w:rPr>
              <w:fldChar w:fldCharType="end"/>
            </w:r>
          </w:hyperlink>
        </w:p>
        <w:p w14:paraId="51C03458" w14:textId="16730B1D"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27" w:history="1">
            <w:r w:rsidR="009902D6" w:rsidRPr="00845DB3">
              <w:rPr>
                <w:rStyle w:val="Hyperlink"/>
                <w:noProof/>
              </w:rPr>
              <w:t xml:space="preserve">2.4.2  Peptide identification using </w:t>
            </w:r>
            <w:r w:rsidR="009902D6" w:rsidRPr="00845DB3">
              <w:rPr>
                <w:rStyle w:val="Hyperlink"/>
                <w:i/>
                <w:noProof/>
              </w:rPr>
              <w:t>de novo</w:t>
            </w:r>
            <w:r w:rsidR="009902D6" w:rsidRPr="00845DB3">
              <w:rPr>
                <w:rStyle w:val="Hyperlink"/>
                <w:noProof/>
              </w:rPr>
              <w:t xml:space="preserve"> sequencing approaches.</w:t>
            </w:r>
            <w:r w:rsidR="009902D6">
              <w:rPr>
                <w:noProof/>
                <w:webHidden/>
              </w:rPr>
              <w:tab/>
            </w:r>
            <w:r w:rsidR="009902D6">
              <w:rPr>
                <w:noProof/>
                <w:webHidden/>
              </w:rPr>
              <w:fldChar w:fldCharType="begin"/>
            </w:r>
            <w:r w:rsidR="009902D6">
              <w:rPr>
                <w:noProof/>
                <w:webHidden/>
              </w:rPr>
              <w:instrText xml:space="preserve"> PAGEREF _Toc110250627 \h </w:instrText>
            </w:r>
            <w:r w:rsidR="009902D6">
              <w:rPr>
                <w:noProof/>
                <w:webHidden/>
              </w:rPr>
            </w:r>
            <w:r w:rsidR="009902D6">
              <w:rPr>
                <w:noProof/>
                <w:webHidden/>
              </w:rPr>
              <w:fldChar w:fldCharType="separate"/>
            </w:r>
            <w:r w:rsidR="009902D6">
              <w:rPr>
                <w:noProof/>
                <w:webHidden/>
              </w:rPr>
              <w:t>48</w:t>
            </w:r>
            <w:r w:rsidR="009902D6">
              <w:rPr>
                <w:noProof/>
                <w:webHidden/>
              </w:rPr>
              <w:fldChar w:fldCharType="end"/>
            </w:r>
          </w:hyperlink>
        </w:p>
        <w:p w14:paraId="55A4F41A" w14:textId="57210F7A"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28" w:history="1">
            <w:r w:rsidR="009902D6" w:rsidRPr="00845DB3">
              <w:rPr>
                <w:rStyle w:val="Hyperlink"/>
                <w:noProof/>
              </w:rPr>
              <w:t>2.4.3  Post-search processing of metaproteomics datasets.</w:t>
            </w:r>
            <w:r w:rsidR="009902D6">
              <w:rPr>
                <w:noProof/>
                <w:webHidden/>
              </w:rPr>
              <w:tab/>
            </w:r>
            <w:r w:rsidR="009902D6">
              <w:rPr>
                <w:noProof/>
                <w:webHidden/>
              </w:rPr>
              <w:fldChar w:fldCharType="begin"/>
            </w:r>
            <w:r w:rsidR="009902D6">
              <w:rPr>
                <w:noProof/>
                <w:webHidden/>
              </w:rPr>
              <w:instrText xml:space="preserve"> PAGEREF _Toc110250628 \h </w:instrText>
            </w:r>
            <w:r w:rsidR="009902D6">
              <w:rPr>
                <w:noProof/>
                <w:webHidden/>
              </w:rPr>
            </w:r>
            <w:r w:rsidR="009902D6">
              <w:rPr>
                <w:noProof/>
                <w:webHidden/>
              </w:rPr>
              <w:fldChar w:fldCharType="separate"/>
            </w:r>
            <w:r w:rsidR="009902D6">
              <w:rPr>
                <w:noProof/>
                <w:webHidden/>
              </w:rPr>
              <w:t>51</w:t>
            </w:r>
            <w:r w:rsidR="009902D6">
              <w:rPr>
                <w:noProof/>
                <w:webHidden/>
              </w:rPr>
              <w:fldChar w:fldCharType="end"/>
            </w:r>
          </w:hyperlink>
        </w:p>
        <w:p w14:paraId="34356502" w14:textId="129EDA75" w:rsidR="009902D6" w:rsidRDefault="00FA115D">
          <w:pPr>
            <w:pStyle w:val="TOC2"/>
            <w:rPr>
              <w:rFonts w:asciiTheme="minorHAnsi" w:eastAsiaTheme="minorEastAsia" w:hAnsiTheme="minorHAnsi" w:cstheme="minorBidi"/>
              <w:b w:val="0"/>
              <w:noProof/>
              <w:szCs w:val="24"/>
            </w:rPr>
          </w:pPr>
          <w:hyperlink w:anchor="_Toc110250629" w:history="1">
            <w:r w:rsidR="009902D6" w:rsidRPr="00845DB3">
              <w:rPr>
                <w:rStyle w:val="Hyperlink"/>
                <w:noProof/>
              </w:rPr>
              <w:t>2.5  Summary</w:t>
            </w:r>
            <w:r w:rsidR="009902D6">
              <w:rPr>
                <w:noProof/>
                <w:webHidden/>
              </w:rPr>
              <w:tab/>
            </w:r>
            <w:r w:rsidR="009902D6">
              <w:rPr>
                <w:noProof/>
                <w:webHidden/>
              </w:rPr>
              <w:fldChar w:fldCharType="begin"/>
            </w:r>
            <w:r w:rsidR="009902D6">
              <w:rPr>
                <w:noProof/>
                <w:webHidden/>
              </w:rPr>
              <w:instrText xml:space="preserve"> PAGEREF _Toc110250629 \h </w:instrText>
            </w:r>
            <w:r w:rsidR="009902D6">
              <w:rPr>
                <w:noProof/>
                <w:webHidden/>
              </w:rPr>
            </w:r>
            <w:r w:rsidR="009902D6">
              <w:rPr>
                <w:noProof/>
                <w:webHidden/>
              </w:rPr>
              <w:fldChar w:fldCharType="separate"/>
            </w:r>
            <w:r w:rsidR="009902D6">
              <w:rPr>
                <w:noProof/>
                <w:webHidden/>
              </w:rPr>
              <w:t>54</w:t>
            </w:r>
            <w:r w:rsidR="009902D6">
              <w:rPr>
                <w:noProof/>
                <w:webHidden/>
              </w:rPr>
              <w:fldChar w:fldCharType="end"/>
            </w:r>
          </w:hyperlink>
        </w:p>
        <w:p w14:paraId="7F70D637" w14:textId="26829785" w:rsidR="009902D6" w:rsidRDefault="00FA115D">
          <w:pPr>
            <w:pStyle w:val="TOC1"/>
            <w:tabs>
              <w:tab w:val="right" w:leader="dot" w:pos="8630"/>
            </w:tabs>
            <w:rPr>
              <w:rFonts w:asciiTheme="minorHAnsi" w:eastAsiaTheme="minorEastAsia" w:hAnsiTheme="minorHAnsi" w:cstheme="minorBidi"/>
              <w:b w:val="0"/>
              <w:bCs w:val="0"/>
              <w:noProof/>
              <w:szCs w:val="24"/>
            </w:rPr>
          </w:pPr>
          <w:hyperlink w:anchor="_Toc110250630" w:history="1">
            <w:r w:rsidR="009902D6" w:rsidRPr="00845DB3">
              <w:rPr>
                <w:rStyle w:val="Hyperlink"/>
                <w:noProof/>
                <w:spacing w:val="-2"/>
              </w:rPr>
              <w:t>Chapter 3</w:t>
            </w:r>
            <w:r w:rsidR="009902D6" w:rsidRPr="00845DB3">
              <w:rPr>
                <w:rStyle w:val="Hyperlink"/>
                <w:noProof/>
              </w:rPr>
              <w:t xml:space="preserve"> - Technical considerations and optimization of sample preparation techniques for various complex environmental matrices.</w:t>
            </w:r>
            <w:r w:rsidR="009902D6">
              <w:rPr>
                <w:noProof/>
                <w:webHidden/>
              </w:rPr>
              <w:tab/>
            </w:r>
            <w:r w:rsidR="009902D6">
              <w:rPr>
                <w:noProof/>
                <w:webHidden/>
              </w:rPr>
              <w:fldChar w:fldCharType="begin"/>
            </w:r>
            <w:r w:rsidR="009902D6">
              <w:rPr>
                <w:noProof/>
                <w:webHidden/>
              </w:rPr>
              <w:instrText xml:space="preserve"> PAGEREF _Toc110250630 \h </w:instrText>
            </w:r>
            <w:r w:rsidR="009902D6">
              <w:rPr>
                <w:noProof/>
                <w:webHidden/>
              </w:rPr>
            </w:r>
            <w:r w:rsidR="009902D6">
              <w:rPr>
                <w:noProof/>
                <w:webHidden/>
              </w:rPr>
              <w:fldChar w:fldCharType="separate"/>
            </w:r>
            <w:r w:rsidR="009902D6">
              <w:rPr>
                <w:noProof/>
                <w:webHidden/>
              </w:rPr>
              <w:t>55</w:t>
            </w:r>
            <w:r w:rsidR="009902D6">
              <w:rPr>
                <w:noProof/>
                <w:webHidden/>
              </w:rPr>
              <w:fldChar w:fldCharType="end"/>
            </w:r>
          </w:hyperlink>
        </w:p>
        <w:p w14:paraId="26D6E9AD" w14:textId="7413FA95" w:rsidR="009902D6" w:rsidRDefault="00FA115D">
          <w:pPr>
            <w:pStyle w:val="TOC2"/>
            <w:rPr>
              <w:rFonts w:asciiTheme="minorHAnsi" w:eastAsiaTheme="minorEastAsia" w:hAnsiTheme="minorHAnsi" w:cstheme="minorBidi"/>
              <w:b w:val="0"/>
              <w:noProof/>
              <w:szCs w:val="24"/>
            </w:rPr>
          </w:pPr>
          <w:hyperlink w:anchor="_Toc110250631" w:history="1">
            <w:r w:rsidR="009902D6" w:rsidRPr="00845DB3">
              <w:rPr>
                <w:rStyle w:val="Hyperlink"/>
                <w:noProof/>
              </w:rPr>
              <w:t>3.1  Optimizing elements of sample preparation optimization for metaproteomes.</w:t>
            </w:r>
            <w:r w:rsidR="009902D6">
              <w:rPr>
                <w:noProof/>
                <w:webHidden/>
              </w:rPr>
              <w:tab/>
            </w:r>
            <w:r w:rsidR="009902D6">
              <w:rPr>
                <w:noProof/>
                <w:webHidden/>
              </w:rPr>
              <w:fldChar w:fldCharType="begin"/>
            </w:r>
            <w:r w:rsidR="009902D6">
              <w:rPr>
                <w:noProof/>
                <w:webHidden/>
              </w:rPr>
              <w:instrText xml:space="preserve"> PAGEREF _Toc110250631 \h </w:instrText>
            </w:r>
            <w:r w:rsidR="009902D6">
              <w:rPr>
                <w:noProof/>
                <w:webHidden/>
              </w:rPr>
            </w:r>
            <w:r w:rsidR="009902D6">
              <w:rPr>
                <w:noProof/>
                <w:webHidden/>
              </w:rPr>
              <w:fldChar w:fldCharType="separate"/>
            </w:r>
            <w:r w:rsidR="009902D6">
              <w:rPr>
                <w:noProof/>
                <w:webHidden/>
              </w:rPr>
              <w:t>56</w:t>
            </w:r>
            <w:r w:rsidR="009902D6">
              <w:rPr>
                <w:noProof/>
                <w:webHidden/>
              </w:rPr>
              <w:fldChar w:fldCharType="end"/>
            </w:r>
          </w:hyperlink>
        </w:p>
        <w:p w14:paraId="1DCF68B1" w14:textId="3D2C51E5" w:rsidR="009902D6" w:rsidRDefault="00FA115D">
          <w:pPr>
            <w:pStyle w:val="TOC2"/>
            <w:rPr>
              <w:rFonts w:asciiTheme="minorHAnsi" w:eastAsiaTheme="minorEastAsia" w:hAnsiTheme="minorHAnsi" w:cstheme="minorBidi"/>
              <w:b w:val="0"/>
              <w:noProof/>
              <w:szCs w:val="24"/>
            </w:rPr>
          </w:pPr>
          <w:hyperlink w:anchor="_Toc110250632" w:history="1">
            <w:r w:rsidR="009902D6" w:rsidRPr="00845DB3">
              <w:rPr>
                <w:rStyle w:val="Hyperlink"/>
                <w:rFonts w:eastAsia="Times New Roman"/>
                <w:noProof/>
              </w:rPr>
              <w:t xml:space="preserve">3.2  </w:t>
            </w:r>
            <w:r w:rsidR="009902D6" w:rsidRPr="00845DB3">
              <w:rPr>
                <w:rStyle w:val="Hyperlink"/>
                <w:noProof/>
              </w:rPr>
              <w:t>Extracting proteins from complex environmental matrices with limited microbial biomass.</w:t>
            </w:r>
            <w:r w:rsidR="009902D6">
              <w:rPr>
                <w:noProof/>
                <w:webHidden/>
              </w:rPr>
              <w:tab/>
            </w:r>
            <w:r w:rsidR="009902D6">
              <w:rPr>
                <w:noProof/>
                <w:webHidden/>
              </w:rPr>
              <w:fldChar w:fldCharType="begin"/>
            </w:r>
            <w:r w:rsidR="009902D6">
              <w:rPr>
                <w:noProof/>
                <w:webHidden/>
              </w:rPr>
              <w:instrText xml:space="preserve"> PAGEREF _Toc110250632 \h </w:instrText>
            </w:r>
            <w:r w:rsidR="009902D6">
              <w:rPr>
                <w:noProof/>
                <w:webHidden/>
              </w:rPr>
            </w:r>
            <w:r w:rsidR="009902D6">
              <w:rPr>
                <w:noProof/>
                <w:webHidden/>
              </w:rPr>
              <w:fldChar w:fldCharType="separate"/>
            </w:r>
            <w:r w:rsidR="009902D6">
              <w:rPr>
                <w:noProof/>
                <w:webHidden/>
              </w:rPr>
              <w:t>57</w:t>
            </w:r>
            <w:r w:rsidR="009902D6">
              <w:rPr>
                <w:noProof/>
                <w:webHidden/>
              </w:rPr>
              <w:fldChar w:fldCharType="end"/>
            </w:r>
          </w:hyperlink>
        </w:p>
        <w:p w14:paraId="38F015C8" w14:textId="2FE81668"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33" w:history="1">
            <w:r w:rsidR="009902D6" w:rsidRPr="00845DB3">
              <w:rPr>
                <w:rStyle w:val="Hyperlink"/>
                <w:noProof/>
              </w:rPr>
              <w:t>3.2.1  Challenges with protein extraction from soil matrices.</w:t>
            </w:r>
            <w:r w:rsidR="009902D6">
              <w:rPr>
                <w:noProof/>
                <w:webHidden/>
              </w:rPr>
              <w:tab/>
            </w:r>
            <w:r w:rsidR="009902D6">
              <w:rPr>
                <w:noProof/>
                <w:webHidden/>
              </w:rPr>
              <w:fldChar w:fldCharType="begin"/>
            </w:r>
            <w:r w:rsidR="009902D6">
              <w:rPr>
                <w:noProof/>
                <w:webHidden/>
              </w:rPr>
              <w:instrText xml:space="preserve"> PAGEREF _Toc110250633 \h </w:instrText>
            </w:r>
            <w:r w:rsidR="009902D6">
              <w:rPr>
                <w:noProof/>
                <w:webHidden/>
              </w:rPr>
            </w:r>
            <w:r w:rsidR="009902D6">
              <w:rPr>
                <w:noProof/>
                <w:webHidden/>
              </w:rPr>
              <w:fldChar w:fldCharType="separate"/>
            </w:r>
            <w:r w:rsidR="009902D6">
              <w:rPr>
                <w:noProof/>
                <w:webHidden/>
              </w:rPr>
              <w:t>57</w:t>
            </w:r>
            <w:r w:rsidR="009902D6">
              <w:rPr>
                <w:noProof/>
                <w:webHidden/>
              </w:rPr>
              <w:fldChar w:fldCharType="end"/>
            </w:r>
          </w:hyperlink>
        </w:p>
        <w:p w14:paraId="6D807E6F" w14:textId="6AD18958"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34" w:history="1">
            <w:r w:rsidR="009902D6" w:rsidRPr="00845DB3">
              <w:rPr>
                <w:rStyle w:val="Hyperlink"/>
                <w:noProof/>
              </w:rPr>
              <w:t>3.2.2  Results.</w:t>
            </w:r>
            <w:r w:rsidR="009902D6">
              <w:rPr>
                <w:noProof/>
                <w:webHidden/>
              </w:rPr>
              <w:tab/>
            </w:r>
            <w:r w:rsidR="009902D6">
              <w:rPr>
                <w:noProof/>
                <w:webHidden/>
              </w:rPr>
              <w:fldChar w:fldCharType="begin"/>
            </w:r>
            <w:r w:rsidR="009902D6">
              <w:rPr>
                <w:noProof/>
                <w:webHidden/>
              </w:rPr>
              <w:instrText xml:space="preserve"> PAGEREF _Toc110250634 \h </w:instrText>
            </w:r>
            <w:r w:rsidR="009902D6">
              <w:rPr>
                <w:noProof/>
                <w:webHidden/>
              </w:rPr>
            </w:r>
            <w:r w:rsidR="009902D6">
              <w:rPr>
                <w:noProof/>
                <w:webHidden/>
              </w:rPr>
              <w:fldChar w:fldCharType="separate"/>
            </w:r>
            <w:r w:rsidR="009902D6">
              <w:rPr>
                <w:noProof/>
                <w:webHidden/>
              </w:rPr>
              <w:t>61</w:t>
            </w:r>
            <w:r w:rsidR="009902D6">
              <w:rPr>
                <w:noProof/>
                <w:webHidden/>
              </w:rPr>
              <w:fldChar w:fldCharType="end"/>
            </w:r>
          </w:hyperlink>
        </w:p>
        <w:p w14:paraId="757F4DED" w14:textId="214287F1"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35" w:history="1">
            <w:r w:rsidR="009902D6" w:rsidRPr="00845DB3">
              <w:rPr>
                <w:rStyle w:val="Hyperlink"/>
                <w:noProof/>
              </w:rPr>
              <w:t>3.2.2.1  Adaptation of the protein aggregation capture method to remove co-extracted humic substances from soil samples.</w:t>
            </w:r>
            <w:r w:rsidR="009902D6">
              <w:rPr>
                <w:noProof/>
                <w:webHidden/>
              </w:rPr>
              <w:tab/>
            </w:r>
            <w:r w:rsidR="009902D6">
              <w:rPr>
                <w:noProof/>
                <w:webHidden/>
              </w:rPr>
              <w:fldChar w:fldCharType="begin"/>
            </w:r>
            <w:r w:rsidR="009902D6">
              <w:rPr>
                <w:noProof/>
                <w:webHidden/>
              </w:rPr>
              <w:instrText xml:space="preserve"> PAGEREF _Toc110250635 \h </w:instrText>
            </w:r>
            <w:r w:rsidR="009902D6">
              <w:rPr>
                <w:noProof/>
                <w:webHidden/>
              </w:rPr>
            </w:r>
            <w:r w:rsidR="009902D6">
              <w:rPr>
                <w:noProof/>
                <w:webHidden/>
              </w:rPr>
              <w:fldChar w:fldCharType="separate"/>
            </w:r>
            <w:r w:rsidR="009902D6">
              <w:rPr>
                <w:noProof/>
                <w:webHidden/>
              </w:rPr>
              <w:t>61</w:t>
            </w:r>
            <w:r w:rsidR="009902D6">
              <w:rPr>
                <w:noProof/>
                <w:webHidden/>
              </w:rPr>
              <w:fldChar w:fldCharType="end"/>
            </w:r>
          </w:hyperlink>
        </w:p>
        <w:p w14:paraId="2FDD62A0" w14:textId="30D62B99"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36" w:history="1">
            <w:r w:rsidR="009902D6" w:rsidRPr="00845DB3">
              <w:rPr>
                <w:rStyle w:val="Hyperlink"/>
                <w:noProof/>
              </w:rPr>
              <w:t>3.2.2.2  Optimizing conditions for pressure-assisted protein extraction.</w:t>
            </w:r>
            <w:r w:rsidR="009902D6">
              <w:rPr>
                <w:noProof/>
                <w:webHidden/>
              </w:rPr>
              <w:tab/>
            </w:r>
            <w:r w:rsidR="009902D6">
              <w:rPr>
                <w:noProof/>
                <w:webHidden/>
              </w:rPr>
              <w:fldChar w:fldCharType="begin"/>
            </w:r>
            <w:r w:rsidR="009902D6">
              <w:rPr>
                <w:noProof/>
                <w:webHidden/>
              </w:rPr>
              <w:instrText xml:space="preserve"> PAGEREF _Toc110250636 \h </w:instrText>
            </w:r>
            <w:r w:rsidR="009902D6">
              <w:rPr>
                <w:noProof/>
                <w:webHidden/>
              </w:rPr>
            </w:r>
            <w:r w:rsidR="009902D6">
              <w:rPr>
                <w:noProof/>
                <w:webHidden/>
              </w:rPr>
              <w:fldChar w:fldCharType="separate"/>
            </w:r>
            <w:r w:rsidR="009902D6">
              <w:rPr>
                <w:noProof/>
                <w:webHidden/>
              </w:rPr>
              <w:t>66</w:t>
            </w:r>
            <w:r w:rsidR="009902D6">
              <w:rPr>
                <w:noProof/>
                <w:webHidden/>
              </w:rPr>
              <w:fldChar w:fldCharType="end"/>
            </w:r>
          </w:hyperlink>
        </w:p>
        <w:p w14:paraId="5B1D72C2" w14:textId="3FD08CC0"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37" w:history="1">
            <w:r w:rsidR="009902D6" w:rsidRPr="00845DB3">
              <w:rPr>
                <w:rStyle w:val="Hyperlink"/>
                <w:noProof/>
              </w:rPr>
              <w:t>3.2.2.3  Evaluation of mechanical and chemical extraction methods in topsoil.</w:t>
            </w:r>
            <w:r w:rsidR="009902D6">
              <w:rPr>
                <w:noProof/>
                <w:webHidden/>
              </w:rPr>
              <w:tab/>
            </w:r>
            <w:r w:rsidR="009902D6">
              <w:rPr>
                <w:noProof/>
                <w:webHidden/>
              </w:rPr>
              <w:fldChar w:fldCharType="begin"/>
            </w:r>
            <w:r w:rsidR="009902D6">
              <w:rPr>
                <w:noProof/>
                <w:webHidden/>
              </w:rPr>
              <w:instrText xml:space="preserve"> PAGEREF _Toc110250637 \h </w:instrText>
            </w:r>
            <w:r w:rsidR="009902D6">
              <w:rPr>
                <w:noProof/>
                <w:webHidden/>
              </w:rPr>
            </w:r>
            <w:r w:rsidR="009902D6">
              <w:rPr>
                <w:noProof/>
                <w:webHidden/>
              </w:rPr>
              <w:fldChar w:fldCharType="separate"/>
            </w:r>
            <w:r w:rsidR="009902D6">
              <w:rPr>
                <w:noProof/>
                <w:webHidden/>
              </w:rPr>
              <w:t>70</w:t>
            </w:r>
            <w:r w:rsidR="009902D6">
              <w:rPr>
                <w:noProof/>
                <w:webHidden/>
              </w:rPr>
              <w:fldChar w:fldCharType="end"/>
            </w:r>
          </w:hyperlink>
        </w:p>
        <w:p w14:paraId="13C86621" w14:textId="7D1B36C9"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38" w:history="1">
            <w:r w:rsidR="009902D6" w:rsidRPr="00845DB3">
              <w:rPr>
                <w:rStyle w:val="Hyperlink"/>
                <w:noProof/>
              </w:rPr>
              <w:t>3.2.2.4  Optimizing and evaluating protein extraction in permafrost-derived soils.</w:t>
            </w:r>
            <w:r w:rsidR="009902D6">
              <w:rPr>
                <w:noProof/>
                <w:webHidden/>
              </w:rPr>
              <w:tab/>
            </w:r>
            <w:r w:rsidR="009902D6">
              <w:rPr>
                <w:noProof/>
                <w:webHidden/>
              </w:rPr>
              <w:fldChar w:fldCharType="begin"/>
            </w:r>
            <w:r w:rsidR="009902D6">
              <w:rPr>
                <w:noProof/>
                <w:webHidden/>
              </w:rPr>
              <w:instrText xml:space="preserve"> PAGEREF _Toc110250638 \h </w:instrText>
            </w:r>
            <w:r w:rsidR="009902D6">
              <w:rPr>
                <w:noProof/>
                <w:webHidden/>
              </w:rPr>
            </w:r>
            <w:r w:rsidR="009902D6">
              <w:rPr>
                <w:noProof/>
                <w:webHidden/>
              </w:rPr>
              <w:fldChar w:fldCharType="separate"/>
            </w:r>
            <w:r w:rsidR="009902D6">
              <w:rPr>
                <w:noProof/>
                <w:webHidden/>
              </w:rPr>
              <w:t>74</w:t>
            </w:r>
            <w:r w:rsidR="009902D6">
              <w:rPr>
                <w:noProof/>
                <w:webHidden/>
              </w:rPr>
              <w:fldChar w:fldCharType="end"/>
            </w:r>
          </w:hyperlink>
        </w:p>
        <w:p w14:paraId="0A02B7D0" w14:textId="53562CE8"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39" w:history="1">
            <w:r w:rsidR="009902D6" w:rsidRPr="00845DB3">
              <w:rPr>
                <w:rStyle w:val="Hyperlink"/>
                <w:noProof/>
              </w:rPr>
              <w:t>3.2.3  Discussion.</w:t>
            </w:r>
            <w:r w:rsidR="009902D6">
              <w:rPr>
                <w:noProof/>
                <w:webHidden/>
              </w:rPr>
              <w:tab/>
            </w:r>
            <w:r w:rsidR="009902D6">
              <w:rPr>
                <w:noProof/>
                <w:webHidden/>
              </w:rPr>
              <w:fldChar w:fldCharType="begin"/>
            </w:r>
            <w:r w:rsidR="009902D6">
              <w:rPr>
                <w:noProof/>
                <w:webHidden/>
              </w:rPr>
              <w:instrText xml:space="preserve"> PAGEREF _Toc110250639 \h </w:instrText>
            </w:r>
            <w:r w:rsidR="009902D6">
              <w:rPr>
                <w:noProof/>
                <w:webHidden/>
              </w:rPr>
            </w:r>
            <w:r w:rsidR="009902D6">
              <w:rPr>
                <w:noProof/>
                <w:webHidden/>
              </w:rPr>
              <w:fldChar w:fldCharType="separate"/>
            </w:r>
            <w:r w:rsidR="009902D6">
              <w:rPr>
                <w:noProof/>
                <w:webHidden/>
              </w:rPr>
              <w:t>76</w:t>
            </w:r>
            <w:r w:rsidR="009902D6">
              <w:rPr>
                <w:noProof/>
                <w:webHidden/>
              </w:rPr>
              <w:fldChar w:fldCharType="end"/>
            </w:r>
          </w:hyperlink>
        </w:p>
        <w:p w14:paraId="25526667" w14:textId="2EDE9B41"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40" w:history="1">
            <w:r w:rsidR="009902D6" w:rsidRPr="00845DB3">
              <w:rPr>
                <w:rStyle w:val="Hyperlink"/>
                <w:noProof/>
              </w:rPr>
              <w:t>3.2.4  Methods.</w:t>
            </w:r>
            <w:r w:rsidR="009902D6">
              <w:rPr>
                <w:noProof/>
                <w:webHidden/>
              </w:rPr>
              <w:tab/>
            </w:r>
            <w:r w:rsidR="009902D6">
              <w:rPr>
                <w:noProof/>
                <w:webHidden/>
              </w:rPr>
              <w:fldChar w:fldCharType="begin"/>
            </w:r>
            <w:r w:rsidR="009902D6">
              <w:rPr>
                <w:noProof/>
                <w:webHidden/>
              </w:rPr>
              <w:instrText xml:space="preserve"> PAGEREF _Toc110250640 \h </w:instrText>
            </w:r>
            <w:r w:rsidR="009902D6">
              <w:rPr>
                <w:noProof/>
                <w:webHidden/>
              </w:rPr>
            </w:r>
            <w:r w:rsidR="009902D6">
              <w:rPr>
                <w:noProof/>
                <w:webHidden/>
              </w:rPr>
              <w:fldChar w:fldCharType="separate"/>
            </w:r>
            <w:r w:rsidR="009902D6">
              <w:rPr>
                <w:noProof/>
                <w:webHidden/>
              </w:rPr>
              <w:t>77</w:t>
            </w:r>
            <w:r w:rsidR="009902D6">
              <w:rPr>
                <w:noProof/>
                <w:webHidden/>
              </w:rPr>
              <w:fldChar w:fldCharType="end"/>
            </w:r>
          </w:hyperlink>
        </w:p>
        <w:p w14:paraId="652F4DF7" w14:textId="71094FC3"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41" w:history="1">
            <w:r w:rsidR="009902D6" w:rsidRPr="00845DB3">
              <w:rPr>
                <w:rStyle w:val="Hyperlink"/>
                <w:noProof/>
              </w:rPr>
              <w:t>3.2.4.1  Soil selection.</w:t>
            </w:r>
            <w:r w:rsidR="009902D6">
              <w:rPr>
                <w:noProof/>
                <w:webHidden/>
              </w:rPr>
              <w:tab/>
            </w:r>
            <w:r w:rsidR="009902D6">
              <w:rPr>
                <w:noProof/>
                <w:webHidden/>
              </w:rPr>
              <w:fldChar w:fldCharType="begin"/>
            </w:r>
            <w:r w:rsidR="009902D6">
              <w:rPr>
                <w:noProof/>
                <w:webHidden/>
              </w:rPr>
              <w:instrText xml:space="preserve"> PAGEREF _Toc110250641 \h </w:instrText>
            </w:r>
            <w:r w:rsidR="009902D6">
              <w:rPr>
                <w:noProof/>
                <w:webHidden/>
              </w:rPr>
            </w:r>
            <w:r w:rsidR="009902D6">
              <w:rPr>
                <w:noProof/>
                <w:webHidden/>
              </w:rPr>
              <w:fldChar w:fldCharType="separate"/>
            </w:r>
            <w:r w:rsidR="009902D6">
              <w:rPr>
                <w:noProof/>
                <w:webHidden/>
              </w:rPr>
              <w:t>77</w:t>
            </w:r>
            <w:r w:rsidR="009902D6">
              <w:rPr>
                <w:noProof/>
                <w:webHidden/>
              </w:rPr>
              <w:fldChar w:fldCharType="end"/>
            </w:r>
          </w:hyperlink>
        </w:p>
        <w:p w14:paraId="62CEE0AF" w14:textId="03EA42D4"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42" w:history="1">
            <w:r w:rsidR="009902D6" w:rsidRPr="00845DB3">
              <w:rPr>
                <w:rStyle w:val="Hyperlink"/>
                <w:noProof/>
              </w:rPr>
              <w:t>3.2.4.2  PAC adaption.</w:t>
            </w:r>
            <w:r w:rsidR="009902D6">
              <w:rPr>
                <w:noProof/>
                <w:webHidden/>
              </w:rPr>
              <w:tab/>
            </w:r>
            <w:r w:rsidR="009902D6">
              <w:rPr>
                <w:noProof/>
                <w:webHidden/>
              </w:rPr>
              <w:fldChar w:fldCharType="begin"/>
            </w:r>
            <w:r w:rsidR="009902D6">
              <w:rPr>
                <w:noProof/>
                <w:webHidden/>
              </w:rPr>
              <w:instrText xml:space="preserve"> PAGEREF _Toc110250642 \h </w:instrText>
            </w:r>
            <w:r w:rsidR="009902D6">
              <w:rPr>
                <w:noProof/>
                <w:webHidden/>
              </w:rPr>
            </w:r>
            <w:r w:rsidR="009902D6">
              <w:rPr>
                <w:noProof/>
                <w:webHidden/>
              </w:rPr>
              <w:fldChar w:fldCharType="separate"/>
            </w:r>
            <w:r w:rsidR="009902D6">
              <w:rPr>
                <w:noProof/>
                <w:webHidden/>
              </w:rPr>
              <w:t>77</w:t>
            </w:r>
            <w:r w:rsidR="009902D6">
              <w:rPr>
                <w:noProof/>
                <w:webHidden/>
              </w:rPr>
              <w:fldChar w:fldCharType="end"/>
            </w:r>
          </w:hyperlink>
        </w:p>
        <w:p w14:paraId="358E7F41" w14:textId="7AD97DCC"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43" w:history="1">
            <w:r w:rsidR="009902D6" w:rsidRPr="00845DB3">
              <w:rPr>
                <w:rStyle w:val="Hyperlink"/>
                <w:noProof/>
              </w:rPr>
              <w:t>3.2.4.3  Extractant compatibility.</w:t>
            </w:r>
            <w:r w:rsidR="009902D6">
              <w:rPr>
                <w:noProof/>
                <w:webHidden/>
              </w:rPr>
              <w:tab/>
            </w:r>
            <w:r w:rsidR="009902D6">
              <w:rPr>
                <w:noProof/>
                <w:webHidden/>
              </w:rPr>
              <w:fldChar w:fldCharType="begin"/>
            </w:r>
            <w:r w:rsidR="009902D6">
              <w:rPr>
                <w:noProof/>
                <w:webHidden/>
              </w:rPr>
              <w:instrText xml:space="preserve"> PAGEREF _Toc110250643 \h </w:instrText>
            </w:r>
            <w:r w:rsidR="009902D6">
              <w:rPr>
                <w:noProof/>
                <w:webHidden/>
              </w:rPr>
            </w:r>
            <w:r w:rsidR="009902D6">
              <w:rPr>
                <w:noProof/>
                <w:webHidden/>
              </w:rPr>
              <w:fldChar w:fldCharType="separate"/>
            </w:r>
            <w:r w:rsidR="009902D6">
              <w:rPr>
                <w:noProof/>
                <w:webHidden/>
              </w:rPr>
              <w:t>78</w:t>
            </w:r>
            <w:r w:rsidR="009902D6">
              <w:rPr>
                <w:noProof/>
                <w:webHidden/>
              </w:rPr>
              <w:fldChar w:fldCharType="end"/>
            </w:r>
          </w:hyperlink>
        </w:p>
        <w:p w14:paraId="36B4A6BF" w14:textId="4C64D186"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44" w:history="1">
            <w:r w:rsidR="009902D6" w:rsidRPr="00845DB3">
              <w:rPr>
                <w:rStyle w:val="Hyperlink"/>
                <w:noProof/>
              </w:rPr>
              <w:t>3.2.4.4  Optimizing conditions for pressure-assisted extraction.</w:t>
            </w:r>
            <w:r w:rsidR="009902D6">
              <w:rPr>
                <w:noProof/>
                <w:webHidden/>
              </w:rPr>
              <w:tab/>
            </w:r>
            <w:r w:rsidR="009902D6">
              <w:rPr>
                <w:noProof/>
                <w:webHidden/>
              </w:rPr>
              <w:fldChar w:fldCharType="begin"/>
            </w:r>
            <w:r w:rsidR="009902D6">
              <w:rPr>
                <w:noProof/>
                <w:webHidden/>
              </w:rPr>
              <w:instrText xml:space="preserve"> PAGEREF _Toc110250644 \h </w:instrText>
            </w:r>
            <w:r w:rsidR="009902D6">
              <w:rPr>
                <w:noProof/>
                <w:webHidden/>
              </w:rPr>
            </w:r>
            <w:r w:rsidR="009902D6">
              <w:rPr>
                <w:noProof/>
                <w:webHidden/>
              </w:rPr>
              <w:fldChar w:fldCharType="separate"/>
            </w:r>
            <w:r w:rsidR="009902D6">
              <w:rPr>
                <w:noProof/>
                <w:webHidden/>
              </w:rPr>
              <w:t>78</w:t>
            </w:r>
            <w:r w:rsidR="009902D6">
              <w:rPr>
                <w:noProof/>
                <w:webHidden/>
              </w:rPr>
              <w:fldChar w:fldCharType="end"/>
            </w:r>
          </w:hyperlink>
        </w:p>
        <w:p w14:paraId="4B6DC7D3" w14:textId="4FDCBBC2"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45" w:history="1">
            <w:r w:rsidR="009902D6" w:rsidRPr="00845DB3">
              <w:rPr>
                <w:rStyle w:val="Hyperlink"/>
                <w:noProof/>
              </w:rPr>
              <w:t>3.2.4.5  Comparison of mechanical extraction methods.</w:t>
            </w:r>
            <w:r w:rsidR="009902D6">
              <w:rPr>
                <w:noProof/>
                <w:webHidden/>
              </w:rPr>
              <w:tab/>
            </w:r>
            <w:r w:rsidR="009902D6">
              <w:rPr>
                <w:noProof/>
                <w:webHidden/>
              </w:rPr>
              <w:fldChar w:fldCharType="begin"/>
            </w:r>
            <w:r w:rsidR="009902D6">
              <w:rPr>
                <w:noProof/>
                <w:webHidden/>
              </w:rPr>
              <w:instrText xml:space="preserve"> PAGEREF _Toc110250645 \h </w:instrText>
            </w:r>
            <w:r w:rsidR="009902D6">
              <w:rPr>
                <w:noProof/>
                <w:webHidden/>
              </w:rPr>
            </w:r>
            <w:r w:rsidR="009902D6">
              <w:rPr>
                <w:noProof/>
                <w:webHidden/>
              </w:rPr>
              <w:fldChar w:fldCharType="separate"/>
            </w:r>
            <w:r w:rsidR="009902D6">
              <w:rPr>
                <w:noProof/>
                <w:webHidden/>
              </w:rPr>
              <w:t>79</w:t>
            </w:r>
            <w:r w:rsidR="009902D6">
              <w:rPr>
                <w:noProof/>
                <w:webHidden/>
              </w:rPr>
              <w:fldChar w:fldCharType="end"/>
            </w:r>
          </w:hyperlink>
        </w:p>
        <w:p w14:paraId="4D97CCB5" w14:textId="2CF66DF4"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46" w:history="1">
            <w:r w:rsidR="009902D6" w:rsidRPr="00845DB3">
              <w:rPr>
                <w:rStyle w:val="Hyperlink"/>
                <w:noProof/>
              </w:rPr>
              <w:t>3.2.4.6  Spiking of Soil with Known Bacterial Isolates.</w:t>
            </w:r>
            <w:r w:rsidR="009902D6">
              <w:rPr>
                <w:noProof/>
                <w:webHidden/>
              </w:rPr>
              <w:tab/>
            </w:r>
            <w:r w:rsidR="009902D6">
              <w:rPr>
                <w:noProof/>
                <w:webHidden/>
              </w:rPr>
              <w:fldChar w:fldCharType="begin"/>
            </w:r>
            <w:r w:rsidR="009902D6">
              <w:rPr>
                <w:noProof/>
                <w:webHidden/>
              </w:rPr>
              <w:instrText xml:space="preserve"> PAGEREF _Toc110250646 \h </w:instrText>
            </w:r>
            <w:r w:rsidR="009902D6">
              <w:rPr>
                <w:noProof/>
                <w:webHidden/>
              </w:rPr>
            </w:r>
            <w:r w:rsidR="009902D6">
              <w:rPr>
                <w:noProof/>
                <w:webHidden/>
              </w:rPr>
              <w:fldChar w:fldCharType="separate"/>
            </w:r>
            <w:r w:rsidR="009902D6">
              <w:rPr>
                <w:noProof/>
                <w:webHidden/>
              </w:rPr>
              <w:t>79</w:t>
            </w:r>
            <w:r w:rsidR="009902D6">
              <w:rPr>
                <w:noProof/>
                <w:webHidden/>
              </w:rPr>
              <w:fldChar w:fldCharType="end"/>
            </w:r>
          </w:hyperlink>
        </w:p>
        <w:p w14:paraId="53951A8A" w14:textId="460CB78E"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47" w:history="1">
            <w:r w:rsidR="009902D6" w:rsidRPr="00845DB3">
              <w:rPr>
                <w:rStyle w:val="Hyperlink"/>
                <w:noProof/>
              </w:rPr>
              <w:t>3.2.4.7  Protein extraction and digestion.</w:t>
            </w:r>
            <w:r w:rsidR="009902D6">
              <w:rPr>
                <w:noProof/>
                <w:webHidden/>
              </w:rPr>
              <w:tab/>
            </w:r>
            <w:r w:rsidR="009902D6">
              <w:rPr>
                <w:noProof/>
                <w:webHidden/>
              </w:rPr>
              <w:fldChar w:fldCharType="begin"/>
            </w:r>
            <w:r w:rsidR="009902D6">
              <w:rPr>
                <w:noProof/>
                <w:webHidden/>
              </w:rPr>
              <w:instrText xml:space="preserve"> PAGEREF _Toc110250647 \h </w:instrText>
            </w:r>
            <w:r w:rsidR="009902D6">
              <w:rPr>
                <w:noProof/>
                <w:webHidden/>
              </w:rPr>
            </w:r>
            <w:r w:rsidR="009902D6">
              <w:rPr>
                <w:noProof/>
                <w:webHidden/>
              </w:rPr>
              <w:fldChar w:fldCharType="separate"/>
            </w:r>
            <w:r w:rsidR="009902D6">
              <w:rPr>
                <w:noProof/>
                <w:webHidden/>
              </w:rPr>
              <w:t>80</w:t>
            </w:r>
            <w:r w:rsidR="009902D6">
              <w:rPr>
                <w:noProof/>
                <w:webHidden/>
              </w:rPr>
              <w:fldChar w:fldCharType="end"/>
            </w:r>
          </w:hyperlink>
        </w:p>
        <w:p w14:paraId="1A27F15C" w14:textId="092BB26C"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48" w:history="1">
            <w:r w:rsidR="009902D6" w:rsidRPr="00845DB3">
              <w:rPr>
                <w:rStyle w:val="Hyperlink"/>
                <w:noProof/>
              </w:rPr>
              <w:t>3.2.4.8  Peptide measurement by LC-MS/MS and data analysis.</w:t>
            </w:r>
            <w:r w:rsidR="009902D6">
              <w:rPr>
                <w:noProof/>
                <w:webHidden/>
              </w:rPr>
              <w:tab/>
            </w:r>
            <w:r w:rsidR="009902D6">
              <w:rPr>
                <w:noProof/>
                <w:webHidden/>
              </w:rPr>
              <w:fldChar w:fldCharType="begin"/>
            </w:r>
            <w:r w:rsidR="009902D6">
              <w:rPr>
                <w:noProof/>
                <w:webHidden/>
              </w:rPr>
              <w:instrText xml:space="preserve"> PAGEREF _Toc110250648 \h </w:instrText>
            </w:r>
            <w:r w:rsidR="009902D6">
              <w:rPr>
                <w:noProof/>
                <w:webHidden/>
              </w:rPr>
            </w:r>
            <w:r w:rsidR="009902D6">
              <w:rPr>
                <w:noProof/>
                <w:webHidden/>
              </w:rPr>
              <w:fldChar w:fldCharType="separate"/>
            </w:r>
            <w:r w:rsidR="009902D6">
              <w:rPr>
                <w:noProof/>
                <w:webHidden/>
              </w:rPr>
              <w:t>80</w:t>
            </w:r>
            <w:r w:rsidR="009902D6">
              <w:rPr>
                <w:noProof/>
                <w:webHidden/>
              </w:rPr>
              <w:fldChar w:fldCharType="end"/>
            </w:r>
          </w:hyperlink>
        </w:p>
        <w:p w14:paraId="09630601" w14:textId="47971B89" w:rsidR="009902D6" w:rsidRDefault="00FA115D">
          <w:pPr>
            <w:pStyle w:val="TOC2"/>
            <w:rPr>
              <w:rFonts w:asciiTheme="minorHAnsi" w:eastAsiaTheme="minorEastAsia" w:hAnsiTheme="minorHAnsi" w:cstheme="minorBidi"/>
              <w:b w:val="0"/>
              <w:noProof/>
              <w:szCs w:val="24"/>
            </w:rPr>
          </w:pPr>
          <w:hyperlink w:anchor="_Toc110250649" w:history="1">
            <w:r w:rsidR="009902D6" w:rsidRPr="00845DB3">
              <w:rPr>
                <w:rStyle w:val="Hyperlink"/>
                <w:noProof/>
              </w:rPr>
              <w:t>3.3  Protein clean-up and quantification in the presence of co-extracted interfering molecules.</w:t>
            </w:r>
            <w:r w:rsidR="009902D6">
              <w:rPr>
                <w:noProof/>
                <w:webHidden/>
              </w:rPr>
              <w:tab/>
            </w:r>
            <w:r w:rsidR="009902D6">
              <w:rPr>
                <w:noProof/>
                <w:webHidden/>
              </w:rPr>
              <w:fldChar w:fldCharType="begin"/>
            </w:r>
            <w:r w:rsidR="009902D6">
              <w:rPr>
                <w:noProof/>
                <w:webHidden/>
              </w:rPr>
              <w:instrText xml:space="preserve"> PAGEREF _Toc110250649 \h </w:instrText>
            </w:r>
            <w:r w:rsidR="009902D6">
              <w:rPr>
                <w:noProof/>
                <w:webHidden/>
              </w:rPr>
            </w:r>
            <w:r w:rsidR="009902D6">
              <w:rPr>
                <w:noProof/>
                <w:webHidden/>
              </w:rPr>
              <w:fldChar w:fldCharType="separate"/>
            </w:r>
            <w:r w:rsidR="009902D6">
              <w:rPr>
                <w:noProof/>
                <w:webHidden/>
              </w:rPr>
              <w:t>81</w:t>
            </w:r>
            <w:r w:rsidR="009902D6">
              <w:rPr>
                <w:noProof/>
                <w:webHidden/>
              </w:rPr>
              <w:fldChar w:fldCharType="end"/>
            </w:r>
          </w:hyperlink>
        </w:p>
        <w:p w14:paraId="36EA14F4" w14:textId="0447AA60" w:rsidR="009902D6" w:rsidRDefault="00FA115D">
          <w:pPr>
            <w:pStyle w:val="TOC2"/>
            <w:rPr>
              <w:rFonts w:asciiTheme="minorHAnsi" w:eastAsiaTheme="minorEastAsia" w:hAnsiTheme="minorHAnsi" w:cstheme="minorBidi"/>
              <w:b w:val="0"/>
              <w:noProof/>
              <w:szCs w:val="24"/>
            </w:rPr>
          </w:pPr>
          <w:hyperlink w:anchor="_Toc110250650" w:history="1">
            <w:r w:rsidR="009902D6" w:rsidRPr="00845DB3">
              <w:rPr>
                <w:rStyle w:val="Hyperlink"/>
                <w:noProof/>
              </w:rPr>
              <w:t>3.4  Separation and fractionation of complex peptide mixtures before MS.</w:t>
            </w:r>
            <w:r w:rsidR="009902D6">
              <w:rPr>
                <w:noProof/>
                <w:webHidden/>
              </w:rPr>
              <w:tab/>
            </w:r>
            <w:r w:rsidR="009902D6">
              <w:rPr>
                <w:noProof/>
                <w:webHidden/>
              </w:rPr>
              <w:fldChar w:fldCharType="begin"/>
            </w:r>
            <w:r w:rsidR="009902D6">
              <w:rPr>
                <w:noProof/>
                <w:webHidden/>
              </w:rPr>
              <w:instrText xml:space="preserve"> PAGEREF _Toc110250650 \h </w:instrText>
            </w:r>
            <w:r w:rsidR="009902D6">
              <w:rPr>
                <w:noProof/>
                <w:webHidden/>
              </w:rPr>
            </w:r>
            <w:r w:rsidR="009902D6">
              <w:rPr>
                <w:noProof/>
                <w:webHidden/>
              </w:rPr>
              <w:fldChar w:fldCharType="separate"/>
            </w:r>
            <w:r w:rsidR="009902D6">
              <w:rPr>
                <w:noProof/>
                <w:webHidden/>
              </w:rPr>
              <w:t>84</w:t>
            </w:r>
            <w:r w:rsidR="009902D6">
              <w:rPr>
                <w:noProof/>
                <w:webHidden/>
              </w:rPr>
              <w:fldChar w:fldCharType="end"/>
            </w:r>
          </w:hyperlink>
        </w:p>
        <w:p w14:paraId="4D329E25" w14:textId="00A71100" w:rsidR="009902D6" w:rsidRDefault="00FA115D">
          <w:pPr>
            <w:pStyle w:val="TOC1"/>
            <w:tabs>
              <w:tab w:val="right" w:leader="dot" w:pos="8630"/>
            </w:tabs>
            <w:rPr>
              <w:rFonts w:asciiTheme="minorHAnsi" w:eastAsiaTheme="minorEastAsia" w:hAnsiTheme="minorHAnsi" w:cstheme="minorBidi"/>
              <w:b w:val="0"/>
              <w:bCs w:val="0"/>
              <w:noProof/>
              <w:szCs w:val="24"/>
            </w:rPr>
          </w:pPr>
          <w:hyperlink w:anchor="_Toc110250651" w:history="1">
            <w:r w:rsidR="009902D6" w:rsidRPr="00845DB3">
              <w:rPr>
                <w:rStyle w:val="Hyperlink"/>
                <w:noProof/>
              </w:rPr>
              <w:t>Chapter 4 - Challenges of metaproteomic datasets and informatics approaches.</w:t>
            </w:r>
            <w:r w:rsidR="009902D6">
              <w:rPr>
                <w:noProof/>
                <w:webHidden/>
              </w:rPr>
              <w:tab/>
            </w:r>
            <w:r w:rsidR="009902D6">
              <w:rPr>
                <w:noProof/>
                <w:webHidden/>
              </w:rPr>
              <w:fldChar w:fldCharType="begin"/>
            </w:r>
            <w:r w:rsidR="009902D6">
              <w:rPr>
                <w:noProof/>
                <w:webHidden/>
              </w:rPr>
              <w:instrText xml:space="preserve"> PAGEREF _Toc110250651 \h </w:instrText>
            </w:r>
            <w:r w:rsidR="009902D6">
              <w:rPr>
                <w:noProof/>
                <w:webHidden/>
              </w:rPr>
            </w:r>
            <w:r w:rsidR="009902D6">
              <w:rPr>
                <w:noProof/>
                <w:webHidden/>
              </w:rPr>
              <w:fldChar w:fldCharType="separate"/>
            </w:r>
            <w:r w:rsidR="009902D6">
              <w:rPr>
                <w:noProof/>
                <w:webHidden/>
              </w:rPr>
              <w:t>91</w:t>
            </w:r>
            <w:r w:rsidR="009902D6">
              <w:rPr>
                <w:noProof/>
                <w:webHidden/>
              </w:rPr>
              <w:fldChar w:fldCharType="end"/>
            </w:r>
          </w:hyperlink>
        </w:p>
        <w:p w14:paraId="29E9D28D" w14:textId="4911BE50" w:rsidR="009902D6" w:rsidRDefault="00FA115D">
          <w:pPr>
            <w:pStyle w:val="TOC2"/>
            <w:rPr>
              <w:rFonts w:asciiTheme="minorHAnsi" w:eastAsiaTheme="minorEastAsia" w:hAnsiTheme="minorHAnsi" w:cstheme="minorBidi"/>
              <w:b w:val="0"/>
              <w:noProof/>
              <w:szCs w:val="24"/>
            </w:rPr>
          </w:pPr>
          <w:hyperlink w:anchor="_Toc110250652" w:history="1">
            <w:r w:rsidR="009902D6" w:rsidRPr="00845DB3">
              <w:rPr>
                <w:rStyle w:val="Hyperlink"/>
                <w:noProof/>
              </w:rPr>
              <w:t>4.1  Introduction to adapting proteomic approaches for metaproteomic datasets.</w:t>
            </w:r>
            <w:r w:rsidR="009902D6">
              <w:rPr>
                <w:noProof/>
                <w:webHidden/>
              </w:rPr>
              <w:tab/>
            </w:r>
            <w:r w:rsidR="009902D6">
              <w:rPr>
                <w:noProof/>
                <w:webHidden/>
              </w:rPr>
              <w:fldChar w:fldCharType="begin"/>
            </w:r>
            <w:r w:rsidR="009902D6">
              <w:rPr>
                <w:noProof/>
                <w:webHidden/>
              </w:rPr>
              <w:instrText xml:space="preserve"> PAGEREF _Toc110250652 \h </w:instrText>
            </w:r>
            <w:r w:rsidR="009902D6">
              <w:rPr>
                <w:noProof/>
                <w:webHidden/>
              </w:rPr>
            </w:r>
            <w:r w:rsidR="009902D6">
              <w:rPr>
                <w:noProof/>
                <w:webHidden/>
              </w:rPr>
              <w:fldChar w:fldCharType="separate"/>
            </w:r>
            <w:r w:rsidR="009902D6">
              <w:rPr>
                <w:noProof/>
                <w:webHidden/>
              </w:rPr>
              <w:t>92</w:t>
            </w:r>
            <w:r w:rsidR="009902D6">
              <w:rPr>
                <w:noProof/>
                <w:webHidden/>
              </w:rPr>
              <w:fldChar w:fldCharType="end"/>
            </w:r>
          </w:hyperlink>
        </w:p>
        <w:p w14:paraId="0A3F2E49" w14:textId="39ED83D9" w:rsidR="009902D6" w:rsidRDefault="00FA115D">
          <w:pPr>
            <w:pStyle w:val="TOC2"/>
            <w:rPr>
              <w:rFonts w:asciiTheme="minorHAnsi" w:eastAsiaTheme="minorEastAsia" w:hAnsiTheme="minorHAnsi" w:cstheme="minorBidi"/>
              <w:b w:val="0"/>
              <w:noProof/>
              <w:szCs w:val="24"/>
            </w:rPr>
          </w:pPr>
          <w:hyperlink w:anchor="_Toc110250653" w:history="1">
            <w:r w:rsidR="009902D6" w:rsidRPr="00845DB3">
              <w:rPr>
                <w:rStyle w:val="Hyperlink"/>
                <w:noProof/>
              </w:rPr>
              <w:t>4.2  Evaluating the impact of database search strategies on peptide identification rates.</w:t>
            </w:r>
            <w:r w:rsidR="009902D6">
              <w:rPr>
                <w:noProof/>
                <w:webHidden/>
              </w:rPr>
              <w:tab/>
            </w:r>
            <w:r w:rsidR="009902D6">
              <w:rPr>
                <w:noProof/>
                <w:webHidden/>
              </w:rPr>
              <w:fldChar w:fldCharType="begin"/>
            </w:r>
            <w:r w:rsidR="009902D6">
              <w:rPr>
                <w:noProof/>
                <w:webHidden/>
              </w:rPr>
              <w:instrText xml:space="preserve"> PAGEREF _Toc110250653 \h </w:instrText>
            </w:r>
            <w:r w:rsidR="009902D6">
              <w:rPr>
                <w:noProof/>
                <w:webHidden/>
              </w:rPr>
            </w:r>
            <w:r w:rsidR="009902D6">
              <w:rPr>
                <w:noProof/>
                <w:webHidden/>
              </w:rPr>
              <w:fldChar w:fldCharType="separate"/>
            </w:r>
            <w:r w:rsidR="009902D6">
              <w:rPr>
                <w:noProof/>
                <w:webHidden/>
              </w:rPr>
              <w:t>92</w:t>
            </w:r>
            <w:r w:rsidR="009902D6">
              <w:rPr>
                <w:noProof/>
                <w:webHidden/>
              </w:rPr>
              <w:fldChar w:fldCharType="end"/>
            </w:r>
          </w:hyperlink>
        </w:p>
        <w:p w14:paraId="34DF6FCD" w14:textId="490896BB" w:rsidR="009902D6" w:rsidRDefault="00FA115D">
          <w:pPr>
            <w:pStyle w:val="TOC2"/>
            <w:rPr>
              <w:rFonts w:asciiTheme="minorHAnsi" w:eastAsiaTheme="minorEastAsia" w:hAnsiTheme="minorHAnsi" w:cstheme="minorBidi"/>
              <w:b w:val="0"/>
              <w:noProof/>
              <w:szCs w:val="24"/>
            </w:rPr>
          </w:pPr>
          <w:hyperlink w:anchor="_Toc110250654" w:history="1">
            <w:r w:rsidR="009902D6" w:rsidRPr="00845DB3">
              <w:rPr>
                <w:rStyle w:val="Hyperlink"/>
                <w:noProof/>
              </w:rPr>
              <w:t>4.3  Identification of peptides from chimeric spectra.</w:t>
            </w:r>
            <w:r w:rsidR="009902D6">
              <w:rPr>
                <w:noProof/>
                <w:webHidden/>
              </w:rPr>
              <w:tab/>
            </w:r>
            <w:r w:rsidR="009902D6">
              <w:rPr>
                <w:noProof/>
                <w:webHidden/>
              </w:rPr>
              <w:fldChar w:fldCharType="begin"/>
            </w:r>
            <w:r w:rsidR="009902D6">
              <w:rPr>
                <w:noProof/>
                <w:webHidden/>
              </w:rPr>
              <w:instrText xml:space="preserve"> PAGEREF _Toc110250654 \h </w:instrText>
            </w:r>
            <w:r w:rsidR="009902D6">
              <w:rPr>
                <w:noProof/>
                <w:webHidden/>
              </w:rPr>
            </w:r>
            <w:r w:rsidR="009902D6">
              <w:rPr>
                <w:noProof/>
                <w:webHidden/>
              </w:rPr>
              <w:fldChar w:fldCharType="separate"/>
            </w:r>
            <w:r w:rsidR="009902D6">
              <w:rPr>
                <w:noProof/>
                <w:webHidden/>
              </w:rPr>
              <w:t>97</w:t>
            </w:r>
            <w:r w:rsidR="009902D6">
              <w:rPr>
                <w:noProof/>
                <w:webHidden/>
              </w:rPr>
              <w:fldChar w:fldCharType="end"/>
            </w:r>
          </w:hyperlink>
        </w:p>
        <w:p w14:paraId="7AD0D7AC" w14:textId="7AB5A005" w:rsidR="009902D6" w:rsidRDefault="00FA115D">
          <w:pPr>
            <w:pStyle w:val="TOC2"/>
            <w:rPr>
              <w:rFonts w:asciiTheme="minorHAnsi" w:eastAsiaTheme="minorEastAsia" w:hAnsiTheme="minorHAnsi" w:cstheme="minorBidi"/>
              <w:b w:val="0"/>
              <w:noProof/>
              <w:szCs w:val="24"/>
            </w:rPr>
          </w:pPr>
          <w:hyperlink w:anchor="_Toc110250655" w:history="1">
            <w:r w:rsidR="009902D6" w:rsidRPr="00845DB3">
              <w:rPr>
                <w:rStyle w:val="Hyperlink"/>
                <w:noProof/>
              </w:rPr>
              <w:t>4.4  Peptide quantitation and protein inference.</w:t>
            </w:r>
            <w:r w:rsidR="009902D6">
              <w:rPr>
                <w:noProof/>
                <w:webHidden/>
              </w:rPr>
              <w:tab/>
            </w:r>
            <w:r w:rsidR="009902D6">
              <w:rPr>
                <w:noProof/>
                <w:webHidden/>
              </w:rPr>
              <w:fldChar w:fldCharType="begin"/>
            </w:r>
            <w:r w:rsidR="009902D6">
              <w:rPr>
                <w:noProof/>
                <w:webHidden/>
              </w:rPr>
              <w:instrText xml:space="preserve"> PAGEREF _Toc110250655 \h </w:instrText>
            </w:r>
            <w:r w:rsidR="009902D6">
              <w:rPr>
                <w:noProof/>
                <w:webHidden/>
              </w:rPr>
            </w:r>
            <w:r w:rsidR="009902D6">
              <w:rPr>
                <w:noProof/>
                <w:webHidden/>
              </w:rPr>
              <w:fldChar w:fldCharType="separate"/>
            </w:r>
            <w:r w:rsidR="009902D6">
              <w:rPr>
                <w:noProof/>
                <w:webHidden/>
              </w:rPr>
              <w:t>106</w:t>
            </w:r>
            <w:r w:rsidR="009902D6">
              <w:rPr>
                <w:noProof/>
                <w:webHidden/>
              </w:rPr>
              <w:fldChar w:fldCharType="end"/>
            </w:r>
          </w:hyperlink>
        </w:p>
        <w:p w14:paraId="38EED746" w14:textId="6D8BE636"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56" w:history="1">
            <w:r w:rsidR="009902D6" w:rsidRPr="00845DB3">
              <w:rPr>
                <w:rStyle w:val="Hyperlink"/>
                <w:noProof/>
              </w:rPr>
              <w:t>4.4.1  Match-between-run (MBR) for peptide quantification.</w:t>
            </w:r>
            <w:r w:rsidR="009902D6">
              <w:rPr>
                <w:noProof/>
                <w:webHidden/>
              </w:rPr>
              <w:tab/>
            </w:r>
            <w:r w:rsidR="009902D6">
              <w:rPr>
                <w:noProof/>
                <w:webHidden/>
              </w:rPr>
              <w:fldChar w:fldCharType="begin"/>
            </w:r>
            <w:r w:rsidR="009902D6">
              <w:rPr>
                <w:noProof/>
                <w:webHidden/>
              </w:rPr>
              <w:instrText xml:space="preserve"> PAGEREF _Toc110250656 \h </w:instrText>
            </w:r>
            <w:r w:rsidR="009902D6">
              <w:rPr>
                <w:noProof/>
                <w:webHidden/>
              </w:rPr>
            </w:r>
            <w:r w:rsidR="009902D6">
              <w:rPr>
                <w:noProof/>
                <w:webHidden/>
              </w:rPr>
              <w:fldChar w:fldCharType="separate"/>
            </w:r>
            <w:r w:rsidR="009902D6">
              <w:rPr>
                <w:noProof/>
                <w:webHidden/>
              </w:rPr>
              <w:t>106</w:t>
            </w:r>
            <w:r w:rsidR="009902D6">
              <w:rPr>
                <w:noProof/>
                <w:webHidden/>
              </w:rPr>
              <w:fldChar w:fldCharType="end"/>
            </w:r>
          </w:hyperlink>
        </w:p>
        <w:p w14:paraId="3DC56096" w14:textId="0C81503C"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57" w:history="1">
            <w:r w:rsidR="009902D6" w:rsidRPr="00845DB3">
              <w:rPr>
                <w:rStyle w:val="Hyperlink"/>
                <w:noProof/>
              </w:rPr>
              <w:t>4.4.2  Evaluating false transfer rates associated with MBR.</w:t>
            </w:r>
            <w:r w:rsidR="009902D6">
              <w:rPr>
                <w:noProof/>
                <w:webHidden/>
              </w:rPr>
              <w:tab/>
            </w:r>
            <w:r w:rsidR="009902D6">
              <w:rPr>
                <w:noProof/>
                <w:webHidden/>
              </w:rPr>
              <w:fldChar w:fldCharType="begin"/>
            </w:r>
            <w:r w:rsidR="009902D6">
              <w:rPr>
                <w:noProof/>
                <w:webHidden/>
              </w:rPr>
              <w:instrText xml:space="preserve"> PAGEREF _Toc110250657 \h </w:instrText>
            </w:r>
            <w:r w:rsidR="009902D6">
              <w:rPr>
                <w:noProof/>
                <w:webHidden/>
              </w:rPr>
            </w:r>
            <w:r w:rsidR="009902D6">
              <w:rPr>
                <w:noProof/>
                <w:webHidden/>
              </w:rPr>
              <w:fldChar w:fldCharType="separate"/>
            </w:r>
            <w:r w:rsidR="009902D6">
              <w:rPr>
                <w:noProof/>
                <w:webHidden/>
              </w:rPr>
              <w:t>110</w:t>
            </w:r>
            <w:r w:rsidR="009902D6">
              <w:rPr>
                <w:noProof/>
                <w:webHidden/>
              </w:rPr>
              <w:fldChar w:fldCharType="end"/>
            </w:r>
          </w:hyperlink>
        </w:p>
        <w:p w14:paraId="58173142" w14:textId="1C2337C6"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58" w:history="1">
            <w:r w:rsidR="009902D6" w:rsidRPr="00845DB3">
              <w:rPr>
                <w:rStyle w:val="Hyperlink"/>
                <w:noProof/>
              </w:rPr>
              <w:t>4.4.3  Benchmarking the accuracy of common protein inference strategies for metaproteomic datasets.</w:t>
            </w:r>
            <w:r w:rsidR="009902D6">
              <w:rPr>
                <w:noProof/>
                <w:webHidden/>
              </w:rPr>
              <w:tab/>
            </w:r>
            <w:r w:rsidR="009902D6">
              <w:rPr>
                <w:noProof/>
                <w:webHidden/>
              </w:rPr>
              <w:fldChar w:fldCharType="begin"/>
            </w:r>
            <w:r w:rsidR="009902D6">
              <w:rPr>
                <w:noProof/>
                <w:webHidden/>
              </w:rPr>
              <w:instrText xml:space="preserve"> PAGEREF _Toc110250658 \h </w:instrText>
            </w:r>
            <w:r w:rsidR="009902D6">
              <w:rPr>
                <w:noProof/>
                <w:webHidden/>
              </w:rPr>
            </w:r>
            <w:r w:rsidR="009902D6">
              <w:rPr>
                <w:noProof/>
                <w:webHidden/>
              </w:rPr>
              <w:fldChar w:fldCharType="separate"/>
            </w:r>
            <w:r w:rsidR="009902D6">
              <w:rPr>
                <w:noProof/>
                <w:webHidden/>
              </w:rPr>
              <w:t>111</w:t>
            </w:r>
            <w:r w:rsidR="009902D6">
              <w:rPr>
                <w:noProof/>
                <w:webHidden/>
              </w:rPr>
              <w:fldChar w:fldCharType="end"/>
            </w:r>
          </w:hyperlink>
        </w:p>
        <w:p w14:paraId="0CC997DB" w14:textId="5776469E" w:rsidR="009902D6" w:rsidRDefault="00FA115D">
          <w:pPr>
            <w:pStyle w:val="TOC2"/>
            <w:rPr>
              <w:rFonts w:asciiTheme="minorHAnsi" w:eastAsiaTheme="minorEastAsia" w:hAnsiTheme="minorHAnsi" w:cstheme="minorBidi"/>
              <w:b w:val="0"/>
              <w:noProof/>
              <w:szCs w:val="24"/>
            </w:rPr>
          </w:pPr>
          <w:hyperlink w:anchor="_Toc110250659" w:history="1">
            <w:r w:rsidR="009902D6" w:rsidRPr="00845DB3">
              <w:rPr>
                <w:rStyle w:val="Hyperlink"/>
                <w:noProof/>
              </w:rPr>
              <w:t>4.5  Conclusions.</w:t>
            </w:r>
            <w:r w:rsidR="009902D6">
              <w:rPr>
                <w:noProof/>
                <w:webHidden/>
              </w:rPr>
              <w:tab/>
            </w:r>
            <w:r w:rsidR="009902D6">
              <w:rPr>
                <w:noProof/>
                <w:webHidden/>
              </w:rPr>
              <w:fldChar w:fldCharType="begin"/>
            </w:r>
            <w:r w:rsidR="009902D6">
              <w:rPr>
                <w:noProof/>
                <w:webHidden/>
              </w:rPr>
              <w:instrText xml:space="preserve"> PAGEREF _Toc110250659 \h </w:instrText>
            </w:r>
            <w:r w:rsidR="009902D6">
              <w:rPr>
                <w:noProof/>
                <w:webHidden/>
              </w:rPr>
            </w:r>
            <w:r w:rsidR="009902D6">
              <w:rPr>
                <w:noProof/>
                <w:webHidden/>
              </w:rPr>
              <w:fldChar w:fldCharType="separate"/>
            </w:r>
            <w:r w:rsidR="009902D6">
              <w:rPr>
                <w:noProof/>
                <w:webHidden/>
              </w:rPr>
              <w:t>118</w:t>
            </w:r>
            <w:r w:rsidR="009902D6">
              <w:rPr>
                <w:noProof/>
                <w:webHidden/>
              </w:rPr>
              <w:fldChar w:fldCharType="end"/>
            </w:r>
          </w:hyperlink>
        </w:p>
        <w:p w14:paraId="2CD36F19" w14:textId="6EC44EB4" w:rsidR="009902D6" w:rsidRDefault="00FA115D">
          <w:pPr>
            <w:pStyle w:val="TOC1"/>
            <w:tabs>
              <w:tab w:val="right" w:leader="dot" w:pos="8630"/>
            </w:tabs>
            <w:rPr>
              <w:rFonts w:asciiTheme="minorHAnsi" w:eastAsiaTheme="minorEastAsia" w:hAnsiTheme="minorHAnsi" w:cstheme="minorBidi"/>
              <w:b w:val="0"/>
              <w:bCs w:val="0"/>
              <w:noProof/>
              <w:szCs w:val="24"/>
            </w:rPr>
          </w:pPr>
          <w:hyperlink w:anchor="_Toc110250660" w:history="1">
            <w:r w:rsidR="009902D6" w:rsidRPr="00845DB3">
              <w:rPr>
                <w:rStyle w:val="Hyperlink"/>
                <w:noProof/>
              </w:rPr>
              <w:t>Chapter 5 - Interrogation of bacterial cooperation and competition through diet manipulation of human gut communities in gnotobiotic animals.</w:t>
            </w:r>
            <w:r w:rsidR="009902D6">
              <w:rPr>
                <w:noProof/>
                <w:webHidden/>
              </w:rPr>
              <w:tab/>
            </w:r>
            <w:r w:rsidR="009902D6">
              <w:rPr>
                <w:noProof/>
                <w:webHidden/>
              </w:rPr>
              <w:fldChar w:fldCharType="begin"/>
            </w:r>
            <w:r w:rsidR="009902D6">
              <w:rPr>
                <w:noProof/>
                <w:webHidden/>
              </w:rPr>
              <w:instrText xml:space="preserve"> PAGEREF _Toc110250660 \h </w:instrText>
            </w:r>
            <w:r w:rsidR="009902D6">
              <w:rPr>
                <w:noProof/>
                <w:webHidden/>
              </w:rPr>
            </w:r>
            <w:r w:rsidR="009902D6">
              <w:rPr>
                <w:noProof/>
                <w:webHidden/>
              </w:rPr>
              <w:fldChar w:fldCharType="separate"/>
            </w:r>
            <w:r w:rsidR="009902D6">
              <w:rPr>
                <w:noProof/>
                <w:webHidden/>
              </w:rPr>
              <w:t>119</w:t>
            </w:r>
            <w:r w:rsidR="009902D6">
              <w:rPr>
                <w:noProof/>
                <w:webHidden/>
              </w:rPr>
              <w:fldChar w:fldCharType="end"/>
            </w:r>
          </w:hyperlink>
        </w:p>
        <w:p w14:paraId="4659D0F2" w14:textId="2B61F982" w:rsidR="009902D6" w:rsidRDefault="00FA115D">
          <w:pPr>
            <w:pStyle w:val="TOC2"/>
            <w:rPr>
              <w:rFonts w:asciiTheme="minorHAnsi" w:eastAsiaTheme="minorEastAsia" w:hAnsiTheme="minorHAnsi" w:cstheme="minorBidi"/>
              <w:b w:val="0"/>
              <w:noProof/>
              <w:szCs w:val="24"/>
            </w:rPr>
          </w:pPr>
          <w:hyperlink w:anchor="_Toc110250661" w:history="1">
            <w:r w:rsidR="009902D6" w:rsidRPr="00845DB3">
              <w:rPr>
                <w:rStyle w:val="Hyperlink"/>
                <w:noProof/>
              </w:rPr>
              <w:t>5.1  Introduction.</w:t>
            </w:r>
            <w:r w:rsidR="009902D6">
              <w:rPr>
                <w:noProof/>
                <w:webHidden/>
              </w:rPr>
              <w:tab/>
            </w:r>
            <w:r w:rsidR="009902D6">
              <w:rPr>
                <w:noProof/>
                <w:webHidden/>
              </w:rPr>
              <w:fldChar w:fldCharType="begin"/>
            </w:r>
            <w:r w:rsidR="009902D6">
              <w:rPr>
                <w:noProof/>
                <w:webHidden/>
              </w:rPr>
              <w:instrText xml:space="preserve"> PAGEREF _Toc110250661 \h </w:instrText>
            </w:r>
            <w:r w:rsidR="009902D6">
              <w:rPr>
                <w:noProof/>
                <w:webHidden/>
              </w:rPr>
            </w:r>
            <w:r w:rsidR="009902D6">
              <w:rPr>
                <w:noProof/>
                <w:webHidden/>
              </w:rPr>
              <w:fldChar w:fldCharType="separate"/>
            </w:r>
            <w:r w:rsidR="009902D6">
              <w:rPr>
                <w:noProof/>
                <w:webHidden/>
              </w:rPr>
              <w:t>120</w:t>
            </w:r>
            <w:r w:rsidR="009902D6">
              <w:rPr>
                <w:noProof/>
                <w:webHidden/>
              </w:rPr>
              <w:fldChar w:fldCharType="end"/>
            </w:r>
          </w:hyperlink>
        </w:p>
        <w:p w14:paraId="7EB1BCF6" w14:textId="49503DC4" w:rsidR="009902D6" w:rsidRDefault="00FA115D">
          <w:pPr>
            <w:pStyle w:val="TOC2"/>
            <w:rPr>
              <w:rFonts w:asciiTheme="minorHAnsi" w:eastAsiaTheme="minorEastAsia" w:hAnsiTheme="minorHAnsi" w:cstheme="minorBidi"/>
              <w:b w:val="0"/>
              <w:noProof/>
              <w:szCs w:val="24"/>
            </w:rPr>
          </w:pPr>
          <w:hyperlink w:anchor="_Toc110250662" w:history="1">
            <w:r w:rsidR="009902D6" w:rsidRPr="00845DB3">
              <w:rPr>
                <w:rStyle w:val="Hyperlink"/>
                <w:noProof/>
              </w:rPr>
              <w:t>5.2  Controlled investigation of microbial community dynamics in gnotobiotic animals.</w:t>
            </w:r>
            <w:r w:rsidR="009902D6">
              <w:rPr>
                <w:noProof/>
                <w:webHidden/>
              </w:rPr>
              <w:tab/>
            </w:r>
            <w:r w:rsidR="009902D6">
              <w:rPr>
                <w:noProof/>
                <w:webHidden/>
              </w:rPr>
              <w:fldChar w:fldCharType="begin"/>
            </w:r>
            <w:r w:rsidR="009902D6">
              <w:rPr>
                <w:noProof/>
                <w:webHidden/>
              </w:rPr>
              <w:instrText xml:space="preserve"> PAGEREF _Toc110250662 \h </w:instrText>
            </w:r>
            <w:r w:rsidR="009902D6">
              <w:rPr>
                <w:noProof/>
                <w:webHidden/>
              </w:rPr>
            </w:r>
            <w:r w:rsidR="009902D6">
              <w:rPr>
                <w:noProof/>
                <w:webHidden/>
              </w:rPr>
              <w:fldChar w:fldCharType="separate"/>
            </w:r>
            <w:r w:rsidR="009902D6">
              <w:rPr>
                <w:noProof/>
                <w:webHidden/>
              </w:rPr>
              <w:t>121</w:t>
            </w:r>
            <w:r w:rsidR="009902D6">
              <w:rPr>
                <w:noProof/>
                <w:webHidden/>
              </w:rPr>
              <w:fldChar w:fldCharType="end"/>
            </w:r>
          </w:hyperlink>
        </w:p>
        <w:p w14:paraId="03AB1C89" w14:textId="0BAFAA83" w:rsidR="009902D6" w:rsidRDefault="00FA115D">
          <w:pPr>
            <w:pStyle w:val="TOC2"/>
            <w:rPr>
              <w:rFonts w:asciiTheme="minorHAnsi" w:eastAsiaTheme="minorEastAsia" w:hAnsiTheme="minorHAnsi" w:cstheme="minorBidi"/>
              <w:b w:val="0"/>
              <w:noProof/>
              <w:szCs w:val="24"/>
            </w:rPr>
          </w:pPr>
          <w:hyperlink w:anchor="_Toc110250663" w:history="1">
            <w:r w:rsidR="009902D6" w:rsidRPr="00845DB3">
              <w:rPr>
                <w:rStyle w:val="Hyperlink"/>
                <w:noProof/>
              </w:rPr>
              <w:t>5.3  Characterizing the prevalence of protein post-translational modifications that form in the manufacturing of processed foods.</w:t>
            </w:r>
            <w:r w:rsidR="009902D6">
              <w:rPr>
                <w:noProof/>
                <w:webHidden/>
              </w:rPr>
              <w:tab/>
            </w:r>
            <w:r w:rsidR="009902D6">
              <w:rPr>
                <w:noProof/>
                <w:webHidden/>
              </w:rPr>
              <w:fldChar w:fldCharType="begin"/>
            </w:r>
            <w:r w:rsidR="009902D6">
              <w:rPr>
                <w:noProof/>
                <w:webHidden/>
              </w:rPr>
              <w:instrText xml:space="preserve"> PAGEREF _Toc110250663 \h </w:instrText>
            </w:r>
            <w:r w:rsidR="009902D6">
              <w:rPr>
                <w:noProof/>
                <w:webHidden/>
              </w:rPr>
            </w:r>
            <w:r w:rsidR="009902D6">
              <w:rPr>
                <w:noProof/>
                <w:webHidden/>
              </w:rPr>
              <w:fldChar w:fldCharType="separate"/>
            </w:r>
            <w:r w:rsidR="009902D6">
              <w:rPr>
                <w:noProof/>
                <w:webHidden/>
              </w:rPr>
              <w:t>122</w:t>
            </w:r>
            <w:r w:rsidR="009902D6">
              <w:rPr>
                <w:noProof/>
                <w:webHidden/>
              </w:rPr>
              <w:fldChar w:fldCharType="end"/>
            </w:r>
          </w:hyperlink>
        </w:p>
        <w:p w14:paraId="56726E4A" w14:textId="6286EF29"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64" w:history="1">
            <w:r w:rsidR="009902D6" w:rsidRPr="00845DB3">
              <w:rPr>
                <w:rStyle w:val="Hyperlink"/>
                <w:noProof/>
              </w:rPr>
              <w:t>5.3.1  Project scope.</w:t>
            </w:r>
            <w:r w:rsidR="009902D6">
              <w:rPr>
                <w:noProof/>
                <w:webHidden/>
              </w:rPr>
              <w:tab/>
            </w:r>
            <w:r w:rsidR="009902D6">
              <w:rPr>
                <w:noProof/>
                <w:webHidden/>
              </w:rPr>
              <w:fldChar w:fldCharType="begin"/>
            </w:r>
            <w:r w:rsidR="009902D6">
              <w:rPr>
                <w:noProof/>
                <w:webHidden/>
              </w:rPr>
              <w:instrText xml:space="preserve"> PAGEREF _Toc110250664 \h </w:instrText>
            </w:r>
            <w:r w:rsidR="009902D6">
              <w:rPr>
                <w:noProof/>
                <w:webHidden/>
              </w:rPr>
            </w:r>
            <w:r w:rsidR="009902D6">
              <w:rPr>
                <w:noProof/>
                <w:webHidden/>
              </w:rPr>
              <w:fldChar w:fldCharType="separate"/>
            </w:r>
            <w:r w:rsidR="009902D6">
              <w:rPr>
                <w:noProof/>
                <w:webHidden/>
              </w:rPr>
              <w:t>122</w:t>
            </w:r>
            <w:r w:rsidR="009902D6">
              <w:rPr>
                <w:noProof/>
                <w:webHidden/>
              </w:rPr>
              <w:fldChar w:fldCharType="end"/>
            </w:r>
          </w:hyperlink>
        </w:p>
        <w:p w14:paraId="7EFDE166" w14:textId="44288FD6"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65" w:history="1">
            <w:r w:rsidR="009902D6" w:rsidRPr="00845DB3">
              <w:rPr>
                <w:rStyle w:val="Hyperlink"/>
                <w:noProof/>
                <w:shd w:val="clear" w:color="auto" w:fill="FFFFFF"/>
              </w:rPr>
              <w:t>5.3.2  Results and discussion.</w:t>
            </w:r>
            <w:r w:rsidR="009902D6">
              <w:rPr>
                <w:noProof/>
                <w:webHidden/>
              </w:rPr>
              <w:tab/>
            </w:r>
            <w:r w:rsidR="009902D6">
              <w:rPr>
                <w:noProof/>
                <w:webHidden/>
              </w:rPr>
              <w:fldChar w:fldCharType="begin"/>
            </w:r>
            <w:r w:rsidR="009902D6">
              <w:rPr>
                <w:noProof/>
                <w:webHidden/>
              </w:rPr>
              <w:instrText xml:space="preserve"> PAGEREF _Toc110250665 \h </w:instrText>
            </w:r>
            <w:r w:rsidR="009902D6">
              <w:rPr>
                <w:noProof/>
                <w:webHidden/>
              </w:rPr>
            </w:r>
            <w:r w:rsidR="009902D6">
              <w:rPr>
                <w:noProof/>
                <w:webHidden/>
              </w:rPr>
              <w:fldChar w:fldCharType="separate"/>
            </w:r>
            <w:r w:rsidR="009902D6">
              <w:rPr>
                <w:noProof/>
                <w:webHidden/>
              </w:rPr>
              <w:t>123</w:t>
            </w:r>
            <w:r w:rsidR="009902D6">
              <w:rPr>
                <w:noProof/>
                <w:webHidden/>
              </w:rPr>
              <w:fldChar w:fldCharType="end"/>
            </w:r>
          </w:hyperlink>
        </w:p>
        <w:p w14:paraId="6CBD020F" w14:textId="7E7F4955"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66" w:history="1">
            <w:r w:rsidR="009902D6" w:rsidRPr="00845DB3">
              <w:rPr>
                <w:rStyle w:val="Hyperlink"/>
                <w:noProof/>
              </w:rPr>
              <w:t>5.4.3  Methods.</w:t>
            </w:r>
            <w:r w:rsidR="009902D6">
              <w:rPr>
                <w:noProof/>
                <w:webHidden/>
              </w:rPr>
              <w:tab/>
            </w:r>
            <w:r w:rsidR="009902D6">
              <w:rPr>
                <w:noProof/>
                <w:webHidden/>
              </w:rPr>
              <w:fldChar w:fldCharType="begin"/>
            </w:r>
            <w:r w:rsidR="009902D6">
              <w:rPr>
                <w:noProof/>
                <w:webHidden/>
              </w:rPr>
              <w:instrText xml:space="preserve"> PAGEREF _Toc110250666 \h </w:instrText>
            </w:r>
            <w:r w:rsidR="009902D6">
              <w:rPr>
                <w:noProof/>
                <w:webHidden/>
              </w:rPr>
            </w:r>
            <w:r w:rsidR="009902D6">
              <w:rPr>
                <w:noProof/>
                <w:webHidden/>
              </w:rPr>
              <w:fldChar w:fldCharType="separate"/>
            </w:r>
            <w:r w:rsidR="009902D6">
              <w:rPr>
                <w:noProof/>
                <w:webHidden/>
              </w:rPr>
              <w:t>127</w:t>
            </w:r>
            <w:r w:rsidR="009902D6">
              <w:rPr>
                <w:noProof/>
                <w:webHidden/>
              </w:rPr>
              <w:fldChar w:fldCharType="end"/>
            </w:r>
          </w:hyperlink>
        </w:p>
        <w:p w14:paraId="2A04EAF8" w14:textId="3BC93DC3" w:rsidR="009902D6" w:rsidRDefault="00FA115D">
          <w:pPr>
            <w:pStyle w:val="TOC2"/>
            <w:rPr>
              <w:rFonts w:asciiTheme="minorHAnsi" w:eastAsiaTheme="minorEastAsia" w:hAnsiTheme="minorHAnsi" w:cstheme="minorBidi"/>
              <w:b w:val="0"/>
              <w:noProof/>
              <w:szCs w:val="24"/>
            </w:rPr>
          </w:pPr>
          <w:hyperlink w:anchor="_Toc110250667" w:history="1">
            <w:r w:rsidR="009902D6" w:rsidRPr="00845DB3">
              <w:rPr>
                <w:rStyle w:val="Hyperlink"/>
                <w:noProof/>
              </w:rPr>
              <w:t>5.4  Integration of metaproteomics with other techniques to assess community degradation of dietary fibers.</w:t>
            </w:r>
            <w:r w:rsidR="009902D6">
              <w:rPr>
                <w:noProof/>
                <w:webHidden/>
              </w:rPr>
              <w:tab/>
            </w:r>
            <w:r w:rsidR="009902D6">
              <w:rPr>
                <w:noProof/>
                <w:webHidden/>
              </w:rPr>
              <w:fldChar w:fldCharType="begin"/>
            </w:r>
            <w:r w:rsidR="009902D6">
              <w:rPr>
                <w:noProof/>
                <w:webHidden/>
              </w:rPr>
              <w:instrText xml:space="preserve"> PAGEREF _Toc110250667 \h </w:instrText>
            </w:r>
            <w:r w:rsidR="009902D6">
              <w:rPr>
                <w:noProof/>
                <w:webHidden/>
              </w:rPr>
            </w:r>
            <w:r w:rsidR="009902D6">
              <w:rPr>
                <w:noProof/>
                <w:webHidden/>
              </w:rPr>
              <w:fldChar w:fldCharType="separate"/>
            </w:r>
            <w:r w:rsidR="009902D6">
              <w:rPr>
                <w:noProof/>
                <w:webHidden/>
              </w:rPr>
              <w:t>129</w:t>
            </w:r>
            <w:r w:rsidR="009902D6">
              <w:rPr>
                <w:noProof/>
                <w:webHidden/>
              </w:rPr>
              <w:fldChar w:fldCharType="end"/>
            </w:r>
          </w:hyperlink>
        </w:p>
        <w:p w14:paraId="19B6E6C4" w14:textId="41E7C436"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68" w:history="1">
            <w:r w:rsidR="009902D6" w:rsidRPr="00845DB3">
              <w:rPr>
                <w:rStyle w:val="Hyperlink"/>
                <w:noProof/>
              </w:rPr>
              <w:t>5.4.1  Project scope.</w:t>
            </w:r>
            <w:r w:rsidR="009902D6">
              <w:rPr>
                <w:noProof/>
                <w:webHidden/>
              </w:rPr>
              <w:tab/>
            </w:r>
            <w:r w:rsidR="009902D6">
              <w:rPr>
                <w:noProof/>
                <w:webHidden/>
              </w:rPr>
              <w:fldChar w:fldCharType="begin"/>
            </w:r>
            <w:r w:rsidR="009902D6">
              <w:rPr>
                <w:noProof/>
                <w:webHidden/>
              </w:rPr>
              <w:instrText xml:space="preserve"> PAGEREF _Toc110250668 \h </w:instrText>
            </w:r>
            <w:r w:rsidR="009902D6">
              <w:rPr>
                <w:noProof/>
                <w:webHidden/>
              </w:rPr>
            </w:r>
            <w:r w:rsidR="009902D6">
              <w:rPr>
                <w:noProof/>
                <w:webHidden/>
              </w:rPr>
              <w:fldChar w:fldCharType="separate"/>
            </w:r>
            <w:r w:rsidR="009902D6">
              <w:rPr>
                <w:noProof/>
                <w:webHidden/>
              </w:rPr>
              <w:t>129</w:t>
            </w:r>
            <w:r w:rsidR="009902D6">
              <w:rPr>
                <w:noProof/>
                <w:webHidden/>
              </w:rPr>
              <w:fldChar w:fldCharType="end"/>
            </w:r>
          </w:hyperlink>
        </w:p>
        <w:p w14:paraId="18BFA94C" w14:textId="2421F26E"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69" w:history="1">
            <w:r w:rsidR="009902D6" w:rsidRPr="00845DB3">
              <w:rPr>
                <w:rStyle w:val="Hyperlink"/>
                <w:noProof/>
              </w:rPr>
              <w:t>5.4.2  Results and discussion.</w:t>
            </w:r>
            <w:r w:rsidR="009902D6">
              <w:rPr>
                <w:noProof/>
                <w:webHidden/>
              </w:rPr>
              <w:tab/>
            </w:r>
            <w:r w:rsidR="009902D6">
              <w:rPr>
                <w:noProof/>
                <w:webHidden/>
              </w:rPr>
              <w:fldChar w:fldCharType="begin"/>
            </w:r>
            <w:r w:rsidR="009902D6">
              <w:rPr>
                <w:noProof/>
                <w:webHidden/>
              </w:rPr>
              <w:instrText xml:space="preserve"> PAGEREF _Toc110250669 \h </w:instrText>
            </w:r>
            <w:r w:rsidR="009902D6">
              <w:rPr>
                <w:noProof/>
                <w:webHidden/>
              </w:rPr>
            </w:r>
            <w:r w:rsidR="009902D6">
              <w:rPr>
                <w:noProof/>
                <w:webHidden/>
              </w:rPr>
              <w:fldChar w:fldCharType="separate"/>
            </w:r>
            <w:r w:rsidR="009902D6">
              <w:rPr>
                <w:noProof/>
                <w:webHidden/>
              </w:rPr>
              <w:t>130</w:t>
            </w:r>
            <w:r w:rsidR="009902D6">
              <w:rPr>
                <w:noProof/>
                <w:webHidden/>
              </w:rPr>
              <w:fldChar w:fldCharType="end"/>
            </w:r>
          </w:hyperlink>
        </w:p>
        <w:p w14:paraId="0BCE9604" w14:textId="5061F401"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70" w:history="1">
            <w:r w:rsidR="009902D6" w:rsidRPr="00845DB3">
              <w:rPr>
                <w:rStyle w:val="Hyperlink"/>
                <w:noProof/>
              </w:rPr>
              <w:t>5.4.3  Methods.</w:t>
            </w:r>
            <w:r w:rsidR="009902D6">
              <w:rPr>
                <w:noProof/>
                <w:webHidden/>
              </w:rPr>
              <w:tab/>
            </w:r>
            <w:r w:rsidR="009902D6">
              <w:rPr>
                <w:noProof/>
                <w:webHidden/>
              </w:rPr>
              <w:fldChar w:fldCharType="begin"/>
            </w:r>
            <w:r w:rsidR="009902D6">
              <w:rPr>
                <w:noProof/>
                <w:webHidden/>
              </w:rPr>
              <w:instrText xml:space="preserve"> PAGEREF _Toc110250670 \h </w:instrText>
            </w:r>
            <w:r w:rsidR="009902D6">
              <w:rPr>
                <w:noProof/>
                <w:webHidden/>
              </w:rPr>
            </w:r>
            <w:r w:rsidR="009902D6">
              <w:rPr>
                <w:noProof/>
                <w:webHidden/>
              </w:rPr>
              <w:fldChar w:fldCharType="separate"/>
            </w:r>
            <w:r w:rsidR="009902D6">
              <w:rPr>
                <w:noProof/>
                <w:webHidden/>
              </w:rPr>
              <w:t>140</w:t>
            </w:r>
            <w:r w:rsidR="009902D6">
              <w:rPr>
                <w:noProof/>
                <w:webHidden/>
              </w:rPr>
              <w:fldChar w:fldCharType="end"/>
            </w:r>
          </w:hyperlink>
        </w:p>
        <w:p w14:paraId="0F5DBCEC" w14:textId="7103529C" w:rsidR="009902D6" w:rsidRDefault="00FA115D">
          <w:pPr>
            <w:pStyle w:val="TOC2"/>
            <w:rPr>
              <w:rFonts w:asciiTheme="minorHAnsi" w:eastAsiaTheme="minorEastAsia" w:hAnsiTheme="minorHAnsi" w:cstheme="minorBidi"/>
              <w:b w:val="0"/>
              <w:noProof/>
              <w:szCs w:val="24"/>
            </w:rPr>
          </w:pPr>
          <w:hyperlink w:anchor="_Toc110250671" w:history="1">
            <w:r w:rsidR="009902D6" w:rsidRPr="00845DB3">
              <w:rPr>
                <w:rStyle w:val="Hyperlink"/>
                <w:noProof/>
              </w:rPr>
              <w:t>5.5  Microbiota Functional Activity Biosensors (MFABs).</w:t>
            </w:r>
            <w:r w:rsidR="009902D6">
              <w:rPr>
                <w:noProof/>
                <w:webHidden/>
              </w:rPr>
              <w:tab/>
            </w:r>
            <w:r w:rsidR="009902D6">
              <w:rPr>
                <w:noProof/>
                <w:webHidden/>
              </w:rPr>
              <w:fldChar w:fldCharType="begin"/>
            </w:r>
            <w:r w:rsidR="009902D6">
              <w:rPr>
                <w:noProof/>
                <w:webHidden/>
              </w:rPr>
              <w:instrText xml:space="preserve"> PAGEREF _Toc110250671 \h </w:instrText>
            </w:r>
            <w:r w:rsidR="009902D6">
              <w:rPr>
                <w:noProof/>
                <w:webHidden/>
              </w:rPr>
            </w:r>
            <w:r w:rsidR="009902D6">
              <w:rPr>
                <w:noProof/>
                <w:webHidden/>
              </w:rPr>
              <w:fldChar w:fldCharType="separate"/>
            </w:r>
            <w:r w:rsidR="009902D6">
              <w:rPr>
                <w:noProof/>
                <w:webHidden/>
              </w:rPr>
              <w:t>141</w:t>
            </w:r>
            <w:r w:rsidR="009902D6">
              <w:rPr>
                <w:noProof/>
                <w:webHidden/>
              </w:rPr>
              <w:fldChar w:fldCharType="end"/>
            </w:r>
          </w:hyperlink>
        </w:p>
        <w:p w14:paraId="1A255652" w14:textId="069E3EF4"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72" w:history="1">
            <w:r w:rsidR="009902D6" w:rsidRPr="00845DB3">
              <w:rPr>
                <w:rStyle w:val="Hyperlink"/>
                <w:noProof/>
              </w:rPr>
              <w:t>5.5.1  Project scope.</w:t>
            </w:r>
            <w:r w:rsidR="009902D6">
              <w:rPr>
                <w:noProof/>
                <w:webHidden/>
              </w:rPr>
              <w:tab/>
            </w:r>
            <w:r w:rsidR="009902D6">
              <w:rPr>
                <w:noProof/>
                <w:webHidden/>
              </w:rPr>
              <w:fldChar w:fldCharType="begin"/>
            </w:r>
            <w:r w:rsidR="009902D6">
              <w:rPr>
                <w:noProof/>
                <w:webHidden/>
              </w:rPr>
              <w:instrText xml:space="preserve"> PAGEREF _Toc110250672 \h </w:instrText>
            </w:r>
            <w:r w:rsidR="009902D6">
              <w:rPr>
                <w:noProof/>
                <w:webHidden/>
              </w:rPr>
            </w:r>
            <w:r w:rsidR="009902D6">
              <w:rPr>
                <w:noProof/>
                <w:webHidden/>
              </w:rPr>
              <w:fldChar w:fldCharType="separate"/>
            </w:r>
            <w:r w:rsidR="009902D6">
              <w:rPr>
                <w:noProof/>
                <w:webHidden/>
              </w:rPr>
              <w:t>141</w:t>
            </w:r>
            <w:r w:rsidR="009902D6">
              <w:rPr>
                <w:noProof/>
                <w:webHidden/>
              </w:rPr>
              <w:fldChar w:fldCharType="end"/>
            </w:r>
          </w:hyperlink>
        </w:p>
        <w:p w14:paraId="256D3E30" w14:textId="745A2A69"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73" w:history="1">
            <w:r w:rsidR="009902D6" w:rsidRPr="00845DB3">
              <w:rPr>
                <w:rStyle w:val="Hyperlink"/>
                <w:rFonts w:eastAsia="Times New Roman"/>
                <w:noProof/>
              </w:rPr>
              <w:t>5.5.2  Results and discussion.</w:t>
            </w:r>
            <w:r w:rsidR="009902D6">
              <w:rPr>
                <w:noProof/>
                <w:webHidden/>
              </w:rPr>
              <w:tab/>
            </w:r>
            <w:r w:rsidR="009902D6">
              <w:rPr>
                <w:noProof/>
                <w:webHidden/>
              </w:rPr>
              <w:fldChar w:fldCharType="begin"/>
            </w:r>
            <w:r w:rsidR="009902D6">
              <w:rPr>
                <w:noProof/>
                <w:webHidden/>
              </w:rPr>
              <w:instrText xml:space="preserve"> PAGEREF _Toc110250673 \h </w:instrText>
            </w:r>
            <w:r w:rsidR="009902D6">
              <w:rPr>
                <w:noProof/>
                <w:webHidden/>
              </w:rPr>
            </w:r>
            <w:r w:rsidR="009902D6">
              <w:rPr>
                <w:noProof/>
                <w:webHidden/>
              </w:rPr>
              <w:fldChar w:fldCharType="separate"/>
            </w:r>
            <w:r w:rsidR="009902D6">
              <w:rPr>
                <w:noProof/>
                <w:webHidden/>
              </w:rPr>
              <w:t>143</w:t>
            </w:r>
            <w:r w:rsidR="009902D6">
              <w:rPr>
                <w:noProof/>
                <w:webHidden/>
              </w:rPr>
              <w:fldChar w:fldCharType="end"/>
            </w:r>
          </w:hyperlink>
        </w:p>
        <w:p w14:paraId="6AF78C54" w14:textId="535EA660"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74" w:history="1">
            <w:r w:rsidR="009902D6" w:rsidRPr="00845DB3">
              <w:rPr>
                <w:rStyle w:val="Hyperlink"/>
                <w:rFonts w:eastAsia="Times New Roman"/>
                <w:noProof/>
              </w:rPr>
              <w:t>5.5.3  Methods.</w:t>
            </w:r>
            <w:r w:rsidR="009902D6">
              <w:rPr>
                <w:noProof/>
                <w:webHidden/>
              </w:rPr>
              <w:tab/>
            </w:r>
            <w:r w:rsidR="009902D6">
              <w:rPr>
                <w:noProof/>
                <w:webHidden/>
              </w:rPr>
              <w:fldChar w:fldCharType="begin"/>
            </w:r>
            <w:r w:rsidR="009902D6">
              <w:rPr>
                <w:noProof/>
                <w:webHidden/>
              </w:rPr>
              <w:instrText xml:space="preserve"> PAGEREF _Toc110250674 \h </w:instrText>
            </w:r>
            <w:r w:rsidR="009902D6">
              <w:rPr>
                <w:noProof/>
                <w:webHidden/>
              </w:rPr>
            </w:r>
            <w:r w:rsidR="009902D6">
              <w:rPr>
                <w:noProof/>
                <w:webHidden/>
              </w:rPr>
              <w:fldChar w:fldCharType="separate"/>
            </w:r>
            <w:r w:rsidR="009902D6">
              <w:rPr>
                <w:noProof/>
                <w:webHidden/>
              </w:rPr>
              <w:t>146</w:t>
            </w:r>
            <w:r w:rsidR="009902D6">
              <w:rPr>
                <w:noProof/>
                <w:webHidden/>
              </w:rPr>
              <w:fldChar w:fldCharType="end"/>
            </w:r>
          </w:hyperlink>
        </w:p>
        <w:p w14:paraId="35CF6B00" w14:textId="4E16EA8C" w:rsidR="009902D6" w:rsidRDefault="00FA115D">
          <w:pPr>
            <w:pStyle w:val="TOC1"/>
            <w:tabs>
              <w:tab w:val="right" w:leader="dot" w:pos="8630"/>
            </w:tabs>
            <w:rPr>
              <w:rFonts w:asciiTheme="minorHAnsi" w:eastAsiaTheme="minorEastAsia" w:hAnsiTheme="minorHAnsi" w:cstheme="minorBidi"/>
              <w:b w:val="0"/>
              <w:bCs w:val="0"/>
              <w:noProof/>
              <w:szCs w:val="24"/>
            </w:rPr>
          </w:pPr>
          <w:hyperlink w:anchor="_Toc110250675" w:history="1">
            <w:r w:rsidR="009902D6" w:rsidRPr="00845DB3">
              <w:rPr>
                <w:rStyle w:val="Hyperlink"/>
                <w:noProof/>
              </w:rPr>
              <w:t>Chapter 6 - Probing the diversity of interkingdom interactions in the preterm gut.</w:t>
            </w:r>
            <w:r w:rsidR="009902D6">
              <w:rPr>
                <w:noProof/>
                <w:webHidden/>
              </w:rPr>
              <w:tab/>
            </w:r>
            <w:r w:rsidR="009902D6">
              <w:rPr>
                <w:noProof/>
                <w:webHidden/>
              </w:rPr>
              <w:fldChar w:fldCharType="begin"/>
            </w:r>
            <w:r w:rsidR="009902D6">
              <w:rPr>
                <w:noProof/>
                <w:webHidden/>
              </w:rPr>
              <w:instrText xml:space="preserve"> PAGEREF _Toc110250675 \h </w:instrText>
            </w:r>
            <w:r w:rsidR="009902D6">
              <w:rPr>
                <w:noProof/>
                <w:webHidden/>
              </w:rPr>
            </w:r>
            <w:r w:rsidR="009902D6">
              <w:rPr>
                <w:noProof/>
                <w:webHidden/>
              </w:rPr>
              <w:fldChar w:fldCharType="separate"/>
            </w:r>
            <w:r w:rsidR="009902D6">
              <w:rPr>
                <w:noProof/>
                <w:webHidden/>
              </w:rPr>
              <w:t>147</w:t>
            </w:r>
            <w:r w:rsidR="009902D6">
              <w:rPr>
                <w:noProof/>
                <w:webHidden/>
              </w:rPr>
              <w:fldChar w:fldCharType="end"/>
            </w:r>
          </w:hyperlink>
        </w:p>
        <w:p w14:paraId="7148BBD5" w14:textId="5905BFCF" w:rsidR="009902D6" w:rsidRDefault="00FA115D">
          <w:pPr>
            <w:pStyle w:val="TOC2"/>
            <w:rPr>
              <w:rFonts w:asciiTheme="minorHAnsi" w:eastAsiaTheme="minorEastAsia" w:hAnsiTheme="minorHAnsi" w:cstheme="minorBidi"/>
              <w:b w:val="0"/>
              <w:noProof/>
              <w:szCs w:val="24"/>
            </w:rPr>
          </w:pPr>
          <w:hyperlink w:anchor="_Toc110250676" w:history="1">
            <w:r w:rsidR="009902D6" w:rsidRPr="00845DB3">
              <w:rPr>
                <w:rStyle w:val="Hyperlink"/>
                <w:noProof/>
              </w:rPr>
              <w:t>6.1  Introduction to the preterm gut environment.</w:t>
            </w:r>
            <w:r w:rsidR="009902D6">
              <w:rPr>
                <w:noProof/>
                <w:webHidden/>
              </w:rPr>
              <w:tab/>
            </w:r>
            <w:r w:rsidR="009902D6">
              <w:rPr>
                <w:noProof/>
                <w:webHidden/>
              </w:rPr>
              <w:fldChar w:fldCharType="begin"/>
            </w:r>
            <w:r w:rsidR="009902D6">
              <w:rPr>
                <w:noProof/>
                <w:webHidden/>
              </w:rPr>
              <w:instrText xml:space="preserve"> PAGEREF _Toc110250676 \h </w:instrText>
            </w:r>
            <w:r w:rsidR="009902D6">
              <w:rPr>
                <w:noProof/>
                <w:webHidden/>
              </w:rPr>
            </w:r>
            <w:r w:rsidR="009902D6">
              <w:rPr>
                <w:noProof/>
                <w:webHidden/>
              </w:rPr>
              <w:fldChar w:fldCharType="separate"/>
            </w:r>
            <w:r w:rsidR="009902D6">
              <w:rPr>
                <w:noProof/>
                <w:webHidden/>
              </w:rPr>
              <w:t>147</w:t>
            </w:r>
            <w:r w:rsidR="009902D6">
              <w:rPr>
                <w:noProof/>
                <w:webHidden/>
              </w:rPr>
              <w:fldChar w:fldCharType="end"/>
            </w:r>
          </w:hyperlink>
        </w:p>
        <w:p w14:paraId="0E5ADC9C" w14:textId="14F71FB1" w:rsidR="009902D6" w:rsidRDefault="00FA115D">
          <w:pPr>
            <w:pStyle w:val="TOC2"/>
            <w:rPr>
              <w:rFonts w:asciiTheme="minorHAnsi" w:eastAsiaTheme="minorEastAsia" w:hAnsiTheme="minorHAnsi" w:cstheme="minorBidi"/>
              <w:b w:val="0"/>
              <w:noProof/>
              <w:szCs w:val="24"/>
            </w:rPr>
          </w:pPr>
          <w:hyperlink w:anchor="_Toc110250677" w:history="1">
            <w:r w:rsidR="009902D6" w:rsidRPr="00845DB3">
              <w:rPr>
                <w:rStyle w:val="Hyperlink"/>
                <w:rFonts w:eastAsia="Times New Roman"/>
                <w:noProof/>
              </w:rPr>
              <w:t xml:space="preserve">6.2  </w:t>
            </w:r>
            <w:r w:rsidR="009902D6" w:rsidRPr="00845DB3">
              <w:rPr>
                <w:rStyle w:val="Hyperlink"/>
                <w:noProof/>
              </w:rPr>
              <w:t>Multi-omics characterization of the establishment of the preterm infant gut microbiome in the context of eukaryotic membership.</w:t>
            </w:r>
            <w:r w:rsidR="009902D6">
              <w:rPr>
                <w:noProof/>
                <w:webHidden/>
              </w:rPr>
              <w:tab/>
            </w:r>
            <w:r w:rsidR="009902D6">
              <w:rPr>
                <w:noProof/>
                <w:webHidden/>
              </w:rPr>
              <w:fldChar w:fldCharType="begin"/>
            </w:r>
            <w:r w:rsidR="009902D6">
              <w:rPr>
                <w:noProof/>
                <w:webHidden/>
              </w:rPr>
              <w:instrText xml:space="preserve"> PAGEREF _Toc110250677 \h </w:instrText>
            </w:r>
            <w:r w:rsidR="009902D6">
              <w:rPr>
                <w:noProof/>
                <w:webHidden/>
              </w:rPr>
            </w:r>
            <w:r w:rsidR="009902D6">
              <w:rPr>
                <w:noProof/>
                <w:webHidden/>
              </w:rPr>
              <w:fldChar w:fldCharType="separate"/>
            </w:r>
            <w:r w:rsidR="009902D6">
              <w:rPr>
                <w:noProof/>
                <w:webHidden/>
              </w:rPr>
              <w:t>149</w:t>
            </w:r>
            <w:r w:rsidR="009902D6">
              <w:rPr>
                <w:noProof/>
                <w:webHidden/>
              </w:rPr>
              <w:fldChar w:fldCharType="end"/>
            </w:r>
          </w:hyperlink>
        </w:p>
        <w:p w14:paraId="4ECDF475" w14:textId="3955E1AD"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78" w:history="1">
            <w:r w:rsidR="009902D6" w:rsidRPr="00845DB3">
              <w:rPr>
                <w:rStyle w:val="Hyperlink"/>
                <w:noProof/>
              </w:rPr>
              <w:t>6.2.1  Introduction.</w:t>
            </w:r>
            <w:r w:rsidR="009902D6">
              <w:rPr>
                <w:noProof/>
                <w:webHidden/>
              </w:rPr>
              <w:tab/>
            </w:r>
            <w:r w:rsidR="009902D6">
              <w:rPr>
                <w:noProof/>
                <w:webHidden/>
              </w:rPr>
              <w:fldChar w:fldCharType="begin"/>
            </w:r>
            <w:r w:rsidR="009902D6">
              <w:rPr>
                <w:noProof/>
                <w:webHidden/>
              </w:rPr>
              <w:instrText xml:space="preserve"> PAGEREF _Toc110250678 \h </w:instrText>
            </w:r>
            <w:r w:rsidR="009902D6">
              <w:rPr>
                <w:noProof/>
                <w:webHidden/>
              </w:rPr>
            </w:r>
            <w:r w:rsidR="009902D6">
              <w:rPr>
                <w:noProof/>
                <w:webHidden/>
              </w:rPr>
              <w:fldChar w:fldCharType="separate"/>
            </w:r>
            <w:r w:rsidR="009902D6">
              <w:rPr>
                <w:noProof/>
                <w:webHidden/>
              </w:rPr>
              <w:t>149</w:t>
            </w:r>
            <w:r w:rsidR="009902D6">
              <w:rPr>
                <w:noProof/>
                <w:webHidden/>
              </w:rPr>
              <w:fldChar w:fldCharType="end"/>
            </w:r>
          </w:hyperlink>
        </w:p>
        <w:p w14:paraId="4E2817A7" w14:textId="2B178B40"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79" w:history="1">
            <w:r w:rsidR="009902D6" w:rsidRPr="00845DB3">
              <w:rPr>
                <w:rStyle w:val="Hyperlink"/>
                <w:rFonts w:eastAsia="Times New Roman"/>
                <w:noProof/>
                <w:shd w:val="clear" w:color="auto" w:fill="FFFFFF"/>
              </w:rPr>
              <w:t>6.2.2.1  Metrics and trends of the metaproteomic measurements.</w:t>
            </w:r>
            <w:r w:rsidR="009902D6">
              <w:rPr>
                <w:noProof/>
                <w:webHidden/>
              </w:rPr>
              <w:tab/>
            </w:r>
            <w:r w:rsidR="009902D6">
              <w:rPr>
                <w:noProof/>
                <w:webHidden/>
              </w:rPr>
              <w:fldChar w:fldCharType="begin"/>
            </w:r>
            <w:r w:rsidR="009902D6">
              <w:rPr>
                <w:noProof/>
                <w:webHidden/>
              </w:rPr>
              <w:instrText xml:space="preserve"> PAGEREF _Toc110250679 \h </w:instrText>
            </w:r>
            <w:r w:rsidR="009902D6">
              <w:rPr>
                <w:noProof/>
                <w:webHidden/>
              </w:rPr>
            </w:r>
            <w:r w:rsidR="009902D6">
              <w:rPr>
                <w:noProof/>
                <w:webHidden/>
              </w:rPr>
              <w:fldChar w:fldCharType="separate"/>
            </w:r>
            <w:r w:rsidR="009902D6">
              <w:rPr>
                <w:noProof/>
                <w:webHidden/>
              </w:rPr>
              <w:t>149</w:t>
            </w:r>
            <w:r w:rsidR="009902D6">
              <w:rPr>
                <w:noProof/>
                <w:webHidden/>
              </w:rPr>
              <w:fldChar w:fldCharType="end"/>
            </w:r>
          </w:hyperlink>
        </w:p>
        <w:p w14:paraId="732031C3" w14:textId="45E1D60B"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80" w:history="1">
            <w:r w:rsidR="009902D6" w:rsidRPr="00845DB3">
              <w:rPr>
                <w:rStyle w:val="Hyperlink"/>
                <w:rFonts w:eastAsia="Times New Roman"/>
                <w:noProof/>
                <w:shd w:val="clear" w:color="auto" w:fill="FFFFFF"/>
              </w:rPr>
              <w:t>6.2.2.2  Longitudinal metaproteomic characterization simultaneously reveals the presence and functions of bacteria and eukaryotes in the gut microbiomes of preterm infants.</w:t>
            </w:r>
            <w:r w:rsidR="009902D6">
              <w:rPr>
                <w:noProof/>
                <w:webHidden/>
              </w:rPr>
              <w:tab/>
            </w:r>
            <w:r w:rsidR="009902D6">
              <w:rPr>
                <w:noProof/>
                <w:webHidden/>
              </w:rPr>
              <w:fldChar w:fldCharType="begin"/>
            </w:r>
            <w:r w:rsidR="009902D6">
              <w:rPr>
                <w:noProof/>
                <w:webHidden/>
              </w:rPr>
              <w:instrText xml:space="preserve"> PAGEREF _Toc110250680 \h </w:instrText>
            </w:r>
            <w:r w:rsidR="009902D6">
              <w:rPr>
                <w:noProof/>
                <w:webHidden/>
              </w:rPr>
            </w:r>
            <w:r w:rsidR="009902D6">
              <w:rPr>
                <w:noProof/>
                <w:webHidden/>
              </w:rPr>
              <w:fldChar w:fldCharType="separate"/>
            </w:r>
            <w:r w:rsidR="009902D6">
              <w:rPr>
                <w:noProof/>
                <w:webHidden/>
              </w:rPr>
              <w:t>151</w:t>
            </w:r>
            <w:r w:rsidR="009902D6">
              <w:rPr>
                <w:noProof/>
                <w:webHidden/>
              </w:rPr>
              <w:fldChar w:fldCharType="end"/>
            </w:r>
          </w:hyperlink>
        </w:p>
        <w:p w14:paraId="35220CB6" w14:textId="03A4E867"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81" w:history="1">
            <w:r w:rsidR="009902D6" w:rsidRPr="00845DB3">
              <w:rPr>
                <w:rStyle w:val="Hyperlink"/>
                <w:noProof/>
              </w:rPr>
              <w:t>6.2.2.3  Proteomic analysis of one infant with evidence of Candida parapsilosis colonization.</w:t>
            </w:r>
            <w:r w:rsidR="009902D6">
              <w:rPr>
                <w:noProof/>
                <w:webHidden/>
              </w:rPr>
              <w:tab/>
            </w:r>
            <w:r w:rsidR="009902D6">
              <w:rPr>
                <w:noProof/>
                <w:webHidden/>
              </w:rPr>
              <w:fldChar w:fldCharType="begin"/>
            </w:r>
            <w:r w:rsidR="009902D6">
              <w:rPr>
                <w:noProof/>
                <w:webHidden/>
              </w:rPr>
              <w:instrText xml:space="preserve"> PAGEREF _Toc110250681 \h </w:instrText>
            </w:r>
            <w:r w:rsidR="009902D6">
              <w:rPr>
                <w:noProof/>
                <w:webHidden/>
              </w:rPr>
            </w:r>
            <w:r w:rsidR="009902D6">
              <w:rPr>
                <w:noProof/>
                <w:webHidden/>
              </w:rPr>
              <w:fldChar w:fldCharType="separate"/>
            </w:r>
            <w:r w:rsidR="009902D6">
              <w:rPr>
                <w:noProof/>
                <w:webHidden/>
              </w:rPr>
              <w:t>157</w:t>
            </w:r>
            <w:r w:rsidR="009902D6">
              <w:rPr>
                <w:noProof/>
                <w:webHidden/>
              </w:rPr>
              <w:fldChar w:fldCharType="end"/>
            </w:r>
          </w:hyperlink>
        </w:p>
        <w:p w14:paraId="764E7A28" w14:textId="6DFEA5A6"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82" w:history="1">
            <w:r w:rsidR="009902D6" w:rsidRPr="00845DB3">
              <w:rPr>
                <w:rStyle w:val="Hyperlink"/>
                <w:rFonts w:eastAsia="Times New Roman"/>
                <w:noProof/>
                <w:shd w:val="clear" w:color="auto" w:fill="FFFFFF"/>
              </w:rPr>
              <w:t>6.2.3  Methods.</w:t>
            </w:r>
            <w:r w:rsidR="009902D6">
              <w:rPr>
                <w:noProof/>
                <w:webHidden/>
              </w:rPr>
              <w:tab/>
            </w:r>
            <w:r w:rsidR="009902D6">
              <w:rPr>
                <w:noProof/>
                <w:webHidden/>
              </w:rPr>
              <w:fldChar w:fldCharType="begin"/>
            </w:r>
            <w:r w:rsidR="009902D6">
              <w:rPr>
                <w:noProof/>
                <w:webHidden/>
              </w:rPr>
              <w:instrText xml:space="preserve"> PAGEREF _Toc110250682 \h </w:instrText>
            </w:r>
            <w:r w:rsidR="009902D6">
              <w:rPr>
                <w:noProof/>
                <w:webHidden/>
              </w:rPr>
            </w:r>
            <w:r w:rsidR="009902D6">
              <w:rPr>
                <w:noProof/>
                <w:webHidden/>
              </w:rPr>
              <w:fldChar w:fldCharType="separate"/>
            </w:r>
            <w:r w:rsidR="009902D6">
              <w:rPr>
                <w:noProof/>
                <w:webHidden/>
              </w:rPr>
              <w:t>161</w:t>
            </w:r>
            <w:r w:rsidR="009902D6">
              <w:rPr>
                <w:noProof/>
                <w:webHidden/>
              </w:rPr>
              <w:fldChar w:fldCharType="end"/>
            </w:r>
          </w:hyperlink>
        </w:p>
        <w:p w14:paraId="3BB13AC8" w14:textId="05D7FF07" w:rsidR="009902D6" w:rsidRDefault="00FA115D">
          <w:pPr>
            <w:pStyle w:val="TOC2"/>
            <w:rPr>
              <w:rFonts w:asciiTheme="minorHAnsi" w:eastAsiaTheme="minorEastAsia" w:hAnsiTheme="minorHAnsi" w:cstheme="minorBidi"/>
              <w:b w:val="0"/>
              <w:noProof/>
              <w:szCs w:val="24"/>
            </w:rPr>
          </w:pPr>
          <w:hyperlink w:anchor="_Toc110250683" w:history="1">
            <w:r w:rsidR="009902D6" w:rsidRPr="00845DB3">
              <w:rPr>
                <w:rStyle w:val="Hyperlink"/>
                <w:noProof/>
              </w:rPr>
              <w:t>6.3  Understanding how the developing human preterm infant gut microbiome responds to antibiotic administration and host immune system-induced metal bactericidal control.</w:t>
            </w:r>
            <w:r w:rsidR="009902D6">
              <w:rPr>
                <w:noProof/>
                <w:webHidden/>
              </w:rPr>
              <w:tab/>
            </w:r>
            <w:r w:rsidR="009902D6">
              <w:rPr>
                <w:noProof/>
                <w:webHidden/>
              </w:rPr>
              <w:fldChar w:fldCharType="begin"/>
            </w:r>
            <w:r w:rsidR="009902D6">
              <w:rPr>
                <w:noProof/>
                <w:webHidden/>
              </w:rPr>
              <w:instrText xml:space="preserve"> PAGEREF _Toc110250683 \h </w:instrText>
            </w:r>
            <w:r w:rsidR="009902D6">
              <w:rPr>
                <w:noProof/>
                <w:webHidden/>
              </w:rPr>
            </w:r>
            <w:r w:rsidR="009902D6">
              <w:rPr>
                <w:noProof/>
                <w:webHidden/>
              </w:rPr>
              <w:fldChar w:fldCharType="separate"/>
            </w:r>
            <w:r w:rsidR="009902D6">
              <w:rPr>
                <w:noProof/>
                <w:webHidden/>
              </w:rPr>
              <w:t>164</w:t>
            </w:r>
            <w:r w:rsidR="009902D6">
              <w:rPr>
                <w:noProof/>
                <w:webHidden/>
              </w:rPr>
              <w:fldChar w:fldCharType="end"/>
            </w:r>
          </w:hyperlink>
        </w:p>
        <w:p w14:paraId="1928D404" w14:textId="2B701515"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84" w:history="1">
            <w:r w:rsidR="009902D6" w:rsidRPr="00845DB3">
              <w:rPr>
                <w:rStyle w:val="Hyperlink"/>
                <w:noProof/>
              </w:rPr>
              <w:t>6.3.1  Introduction.</w:t>
            </w:r>
            <w:r w:rsidR="009902D6">
              <w:rPr>
                <w:noProof/>
                <w:webHidden/>
              </w:rPr>
              <w:tab/>
            </w:r>
            <w:r w:rsidR="009902D6">
              <w:rPr>
                <w:noProof/>
                <w:webHidden/>
              </w:rPr>
              <w:fldChar w:fldCharType="begin"/>
            </w:r>
            <w:r w:rsidR="009902D6">
              <w:rPr>
                <w:noProof/>
                <w:webHidden/>
              </w:rPr>
              <w:instrText xml:space="preserve"> PAGEREF _Toc110250684 \h </w:instrText>
            </w:r>
            <w:r w:rsidR="009902D6">
              <w:rPr>
                <w:noProof/>
                <w:webHidden/>
              </w:rPr>
            </w:r>
            <w:r w:rsidR="009902D6">
              <w:rPr>
                <w:noProof/>
                <w:webHidden/>
              </w:rPr>
              <w:fldChar w:fldCharType="separate"/>
            </w:r>
            <w:r w:rsidR="009902D6">
              <w:rPr>
                <w:noProof/>
                <w:webHidden/>
              </w:rPr>
              <w:t>164</w:t>
            </w:r>
            <w:r w:rsidR="009902D6">
              <w:rPr>
                <w:noProof/>
                <w:webHidden/>
              </w:rPr>
              <w:fldChar w:fldCharType="end"/>
            </w:r>
          </w:hyperlink>
        </w:p>
        <w:p w14:paraId="4E5A4A42" w14:textId="651BD93B"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85" w:history="1">
            <w:r w:rsidR="009902D6" w:rsidRPr="00845DB3">
              <w:rPr>
                <w:rStyle w:val="Hyperlink"/>
                <w:noProof/>
              </w:rPr>
              <w:t>6.3.2  Results.</w:t>
            </w:r>
            <w:r w:rsidR="009902D6">
              <w:rPr>
                <w:noProof/>
                <w:webHidden/>
              </w:rPr>
              <w:tab/>
            </w:r>
            <w:r w:rsidR="009902D6">
              <w:rPr>
                <w:noProof/>
                <w:webHidden/>
              </w:rPr>
              <w:fldChar w:fldCharType="begin"/>
            </w:r>
            <w:r w:rsidR="009902D6">
              <w:rPr>
                <w:noProof/>
                <w:webHidden/>
              </w:rPr>
              <w:instrText xml:space="preserve"> PAGEREF _Toc110250685 \h </w:instrText>
            </w:r>
            <w:r w:rsidR="009902D6">
              <w:rPr>
                <w:noProof/>
                <w:webHidden/>
              </w:rPr>
            </w:r>
            <w:r w:rsidR="009902D6">
              <w:rPr>
                <w:noProof/>
                <w:webHidden/>
              </w:rPr>
              <w:fldChar w:fldCharType="separate"/>
            </w:r>
            <w:r w:rsidR="009902D6">
              <w:rPr>
                <w:noProof/>
                <w:webHidden/>
              </w:rPr>
              <w:t>168</w:t>
            </w:r>
            <w:r w:rsidR="009902D6">
              <w:rPr>
                <w:noProof/>
                <w:webHidden/>
              </w:rPr>
              <w:fldChar w:fldCharType="end"/>
            </w:r>
          </w:hyperlink>
        </w:p>
        <w:p w14:paraId="78DFB7A4" w14:textId="1E7CE888"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86" w:history="1">
            <w:r w:rsidR="009902D6" w:rsidRPr="00845DB3">
              <w:rPr>
                <w:rStyle w:val="Hyperlink"/>
                <w:noProof/>
              </w:rPr>
              <w:t>6.3.2.1  Antibiotic resistance mechanisms help selected microbes overcome susceptibility to antibiotics and persist in the environment.</w:t>
            </w:r>
            <w:r w:rsidR="009902D6">
              <w:rPr>
                <w:noProof/>
                <w:webHidden/>
              </w:rPr>
              <w:tab/>
            </w:r>
            <w:r w:rsidR="009902D6">
              <w:rPr>
                <w:noProof/>
                <w:webHidden/>
              </w:rPr>
              <w:fldChar w:fldCharType="begin"/>
            </w:r>
            <w:r w:rsidR="009902D6">
              <w:rPr>
                <w:noProof/>
                <w:webHidden/>
              </w:rPr>
              <w:instrText xml:space="preserve"> PAGEREF _Toc110250686 \h </w:instrText>
            </w:r>
            <w:r w:rsidR="009902D6">
              <w:rPr>
                <w:noProof/>
                <w:webHidden/>
              </w:rPr>
            </w:r>
            <w:r w:rsidR="009902D6">
              <w:rPr>
                <w:noProof/>
                <w:webHidden/>
              </w:rPr>
              <w:fldChar w:fldCharType="separate"/>
            </w:r>
            <w:r w:rsidR="009902D6">
              <w:rPr>
                <w:noProof/>
                <w:webHidden/>
              </w:rPr>
              <w:t>172</w:t>
            </w:r>
            <w:r w:rsidR="009902D6">
              <w:rPr>
                <w:noProof/>
                <w:webHidden/>
              </w:rPr>
              <w:fldChar w:fldCharType="end"/>
            </w:r>
          </w:hyperlink>
        </w:p>
        <w:p w14:paraId="3994FD79" w14:textId="7A627766"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87" w:history="1">
            <w:r w:rsidR="009902D6" w:rsidRPr="00845DB3">
              <w:rPr>
                <w:rStyle w:val="Hyperlink"/>
                <w:noProof/>
              </w:rPr>
              <w:t>6.3.2.2  Host sequestration of manganese and zinc does not impact microbes with enhanced import capabilities.</w:t>
            </w:r>
            <w:r w:rsidR="009902D6">
              <w:rPr>
                <w:noProof/>
                <w:webHidden/>
              </w:rPr>
              <w:tab/>
            </w:r>
            <w:r w:rsidR="009902D6">
              <w:rPr>
                <w:noProof/>
                <w:webHidden/>
              </w:rPr>
              <w:fldChar w:fldCharType="begin"/>
            </w:r>
            <w:r w:rsidR="009902D6">
              <w:rPr>
                <w:noProof/>
                <w:webHidden/>
              </w:rPr>
              <w:instrText xml:space="preserve"> PAGEREF _Toc110250687 \h </w:instrText>
            </w:r>
            <w:r w:rsidR="009902D6">
              <w:rPr>
                <w:noProof/>
                <w:webHidden/>
              </w:rPr>
            </w:r>
            <w:r w:rsidR="009902D6">
              <w:rPr>
                <w:noProof/>
                <w:webHidden/>
              </w:rPr>
              <w:fldChar w:fldCharType="separate"/>
            </w:r>
            <w:r w:rsidR="009902D6">
              <w:rPr>
                <w:noProof/>
                <w:webHidden/>
              </w:rPr>
              <w:t>179</w:t>
            </w:r>
            <w:r w:rsidR="009902D6">
              <w:rPr>
                <w:noProof/>
                <w:webHidden/>
              </w:rPr>
              <w:fldChar w:fldCharType="end"/>
            </w:r>
          </w:hyperlink>
        </w:p>
        <w:p w14:paraId="23CCDE34" w14:textId="7DB5FCEA"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88" w:history="1">
            <w:r w:rsidR="009902D6" w:rsidRPr="00845DB3">
              <w:rPr>
                <w:rStyle w:val="Hyperlink"/>
                <w:bCs/>
                <w:noProof/>
              </w:rPr>
              <w:t xml:space="preserve">6.3.3  </w:t>
            </w:r>
            <w:r w:rsidR="009902D6" w:rsidRPr="00845DB3">
              <w:rPr>
                <w:rStyle w:val="Hyperlink"/>
                <w:noProof/>
              </w:rPr>
              <w:t>Discussion.</w:t>
            </w:r>
            <w:r w:rsidR="009902D6">
              <w:rPr>
                <w:noProof/>
                <w:webHidden/>
              </w:rPr>
              <w:tab/>
            </w:r>
            <w:r w:rsidR="009902D6">
              <w:rPr>
                <w:noProof/>
                <w:webHidden/>
              </w:rPr>
              <w:fldChar w:fldCharType="begin"/>
            </w:r>
            <w:r w:rsidR="009902D6">
              <w:rPr>
                <w:noProof/>
                <w:webHidden/>
              </w:rPr>
              <w:instrText xml:space="preserve"> PAGEREF _Toc110250688 \h </w:instrText>
            </w:r>
            <w:r w:rsidR="009902D6">
              <w:rPr>
                <w:noProof/>
                <w:webHidden/>
              </w:rPr>
            </w:r>
            <w:r w:rsidR="009902D6">
              <w:rPr>
                <w:noProof/>
                <w:webHidden/>
              </w:rPr>
              <w:fldChar w:fldCharType="separate"/>
            </w:r>
            <w:r w:rsidR="009902D6">
              <w:rPr>
                <w:noProof/>
                <w:webHidden/>
              </w:rPr>
              <w:t>186</w:t>
            </w:r>
            <w:r w:rsidR="009902D6">
              <w:rPr>
                <w:noProof/>
                <w:webHidden/>
              </w:rPr>
              <w:fldChar w:fldCharType="end"/>
            </w:r>
          </w:hyperlink>
        </w:p>
        <w:p w14:paraId="0575432A" w14:textId="712B819F"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89" w:history="1">
            <w:r w:rsidR="009902D6" w:rsidRPr="00845DB3">
              <w:rPr>
                <w:rStyle w:val="Hyperlink"/>
                <w:noProof/>
              </w:rPr>
              <w:t>6.3.4  Methods.</w:t>
            </w:r>
            <w:r w:rsidR="009902D6">
              <w:rPr>
                <w:noProof/>
                <w:webHidden/>
              </w:rPr>
              <w:tab/>
            </w:r>
            <w:r w:rsidR="009902D6">
              <w:rPr>
                <w:noProof/>
                <w:webHidden/>
              </w:rPr>
              <w:fldChar w:fldCharType="begin"/>
            </w:r>
            <w:r w:rsidR="009902D6">
              <w:rPr>
                <w:noProof/>
                <w:webHidden/>
              </w:rPr>
              <w:instrText xml:space="preserve"> PAGEREF _Toc110250689 \h </w:instrText>
            </w:r>
            <w:r w:rsidR="009902D6">
              <w:rPr>
                <w:noProof/>
                <w:webHidden/>
              </w:rPr>
            </w:r>
            <w:r w:rsidR="009902D6">
              <w:rPr>
                <w:noProof/>
                <w:webHidden/>
              </w:rPr>
              <w:fldChar w:fldCharType="separate"/>
            </w:r>
            <w:r w:rsidR="009902D6">
              <w:rPr>
                <w:noProof/>
                <w:webHidden/>
              </w:rPr>
              <w:t>193</w:t>
            </w:r>
            <w:r w:rsidR="009902D6">
              <w:rPr>
                <w:noProof/>
                <w:webHidden/>
              </w:rPr>
              <w:fldChar w:fldCharType="end"/>
            </w:r>
          </w:hyperlink>
        </w:p>
        <w:p w14:paraId="7E9E66AA" w14:textId="7DB5D688"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90" w:history="1">
            <w:r w:rsidR="009902D6" w:rsidRPr="00845DB3">
              <w:rPr>
                <w:rStyle w:val="Hyperlink"/>
                <w:noProof/>
              </w:rPr>
              <w:t>6.3.4.1  Sample selection, preparation, and measurement.</w:t>
            </w:r>
            <w:r w:rsidR="009902D6">
              <w:rPr>
                <w:noProof/>
                <w:webHidden/>
              </w:rPr>
              <w:tab/>
            </w:r>
            <w:r w:rsidR="009902D6">
              <w:rPr>
                <w:noProof/>
                <w:webHidden/>
              </w:rPr>
              <w:fldChar w:fldCharType="begin"/>
            </w:r>
            <w:r w:rsidR="009902D6">
              <w:rPr>
                <w:noProof/>
                <w:webHidden/>
              </w:rPr>
              <w:instrText xml:space="preserve"> PAGEREF _Toc110250690 \h </w:instrText>
            </w:r>
            <w:r w:rsidR="009902D6">
              <w:rPr>
                <w:noProof/>
                <w:webHidden/>
              </w:rPr>
            </w:r>
            <w:r w:rsidR="009902D6">
              <w:rPr>
                <w:noProof/>
                <w:webHidden/>
              </w:rPr>
              <w:fldChar w:fldCharType="separate"/>
            </w:r>
            <w:r w:rsidR="009902D6">
              <w:rPr>
                <w:noProof/>
                <w:webHidden/>
              </w:rPr>
              <w:t>193</w:t>
            </w:r>
            <w:r w:rsidR="009902D6">
              <w:rPr>
                <w:noProof/>
                <w:webHidden/>
              </w:rPr>
              <w:fldChar w:fldCharType="end"/>
            </w:r>
          </w:hyperlink>
        </w:p>
        <w:p w14:paraId="1DD581BE" w14:textId="3406295C"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91" w:history="1">
            <w:r w:rsidR="009902D6" w:rsidRPr="00845DB3">
              <w:rPr>
                <w:rStyle w:val="Hyperlink"/>
                <w:noProof/>
              </w:rPr>
              <w:t>6.3.4.2  Database searching and construction of protein datasets.</w:t>
            </w:r>
            <w:r w:rsidR="009902D6">
              <w:rPr>
                <w:noProof/>
                <w:webHidden/>
              </w:rPr>
              <w:tab/>
            </w:r>
            <w:r w:rsidR="009902D6">
              <w:rPr>
                <w:noProof/>
                <w:webHidden/>
              </w:rPr>
              <w:fldChar w:fldCharType="begin"/>
            </w:r>
            <w:r w:rsidR="009902D6">
              <w:rPr>
                <w:noProof/>
                <w:webHidden/>
              </w:rPr>
              <w:instrText xml:space="preserve"> PAGEREF _Toc110250691 \h </w:instrText>
            </w:r>
            <w:r w:rsidR="009902D6">
              <w:rPr>
                <w:noProof/>
                <w:webHidden/>
              </w:rPr>
            </w:r>
            <w:r w:rsidR="009902D6">
              <w:rPr>
                <w:noProof/>
                <w:webHidden/>
              </w:rPr>
              <w:fldChar w:fldCharType="separate"/>
            </w:r>
            <w:r w:rsidR="009902D6">
              <w:rPr>
                <w:noProof/>
                <w:webHidden/>
              </w:rPr>
              <w:t>193</w:t>
            </w:r>
            <w:r w:rsidR="009902D6">
              <w:rPr>
                <w:noProof/>
                <w:webHidden/>
              </w:rPr>
              <w:fldChar w:fldCharType="end"/>
            </w:r>
          </w:hyperlink>
        </w:p>
        <w:p w14:paraId="22DF24C6" w14:textId="3D745082"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92" w:history="1">
            <w:r w:rsidR="009902D6" w:rsidRPr="00845DB3">
              <w:rPr>
                <w:rStyle w:val="Hyperlink"/>
                <w:noProof/>
              </w:rPr>
              <w:t>6.3.4.3  Functional annotation of proteins.</w:t>
            </w:r>
            <w:r w:rsidR="009902D6">
              <w:rPr>
                <w:noProof/>
                <w:webHidden/>
              </w:rPr>
              <w:tab/>
            </w:r>
            <w:r w:rsidR="009902D6">
              <w:rPr>
                <w:noProof/>
                <w:webHidden/>
              </w:rPr>
              <w:fldChar w:fldCharType="begin"/>
            </w:r>
            <w:r w:rsidR="009902D6">
              <w:rPr>
                <w:noProof/>
                <w:webHidden/>
              </w:rPr>
              <w:instrText xml:space="preserve"> PAGEREF _Toc110250692 \h </w:instrText>
            </w:r>
            <w:r w:rsidR="009902D6">
              <w:rPr>
                <w:noProof/>
                <w:webHidden/>
              </w:rPr>
            </w:r>
            <w:r w:rsidR="009902D6">
              <w:rPr>
                <w:noProof/>
                <w:webHidden/>
              </w:rPr>
              <w:fldChar w:fldCharType="separate"/>
            </w:r>
            <w:r w:rsidR="009902D6">
              <w:rPr>
                <w:noProof/>
                <w:webHidden/>
              </w:rPr>
              <w:t>194</w:t>
            </w:r>
            <w:r w:rsidR="009902D6">
              <w:rPr>
                <w:noProof/>
                <w:webHidden/>
              </w:rPr>
              <w:fldChar w:fldCharType="end"/>
            </w:r>
          </w:hyperlink>
        </w:p>
        <w:p w14:paraId="65929618" w14:textId="12AD67C5" w:rsidR="009902D6" w:rsidRDefault="00FA115D">
          <w:pPr>
            <w:pStyle w:val="TOC4"/>
            <w:tabs>
              <w:tab w:val="right" w:leader="dot" w:pos="8630"/>
            </w:tabs>
            <w:rPr>
              <w:rFonts w:asciiTheme="minorHAnsi" w:eastAsiaTheme="minorEastAsia" w:hAnsiTheme="minorHAnsi" w:cstheme="minorBidi"/>
              <w:i w:val="0"/>
              <w:noProof/>
              <w:szCs w:val="24"/>
            </w:rPr>
          </w:pPr>
          <w:hyperlink w:anchor="_Toc110250693" w:history="1">
            <w:r w:rsidR="009902D6" w:rsidRPr="00845DB3">
              <w:rPr>
                <w:rStyle w:val="Hyperlink"/>
                <w:noProof/>
              </w:rPr>
              <w:t>6.3.4.4  Data analysis.</w:t>
            </w:r>
            <w:r w:rsidR="009902D6">
              <w:rPr>
                <w:noProof/>
                <w:webHidden/>
              </w:rPr>
              <w:tab/>
            </w:r>
            <w:r w:rsidR="009902D6">
              <w:rPr>
                <w:noProof/>
                <w:webHidden/>
              </w:rPr>
              <w:fldChar w:fldCharType="begin"/>
            </w:r>
            <w:r w:rsidR="009902D6">
              <w:rPr>
                <w:noProof/>
                <w:webHidden/>
              </w:rPr>
              <w:instrText xml:space="preserve"> PAGEREF _Toc110250693 \h </w:instrText>
            </w:r>
            <w:r w:rsidR="009902D6">
              <w:rPr>
                <w:noProof/>
                <w:webHidden/>
              </w:rPr>
            </w:r>
            <w:r w:rsidR="009902D6">
              <w:rPr>
                <w:noProof/>
                <w:webHidden/>
              </w:rPr>
              <w:fldChar w:fldCharType="separate"/>
            </w:r>
            <w:r w:rsidR="009902D6">
              <w:rPr>
                <w:noProof/>
                <w:webHidden/>
              </w:rPr>
              <w:t>195</w:t>
            </w:r>
            <w:r w:rsidR="009902D6">
              <w:rPr>
                <w:noProof/>
                <w:webHidden/>
              </w:rPr>
              <w:fldChar w:fldCharType="end"/>
            </w:r>
          </w:hyperlink>
        </w:p>
        <w:p w14:paraId="43951293" w14:textId="422F4EB3" w:rsidR="009902D6" w:rsidRDefault="00FA115D">
          <w:pPr>
            <w:pStyle w:val="TOC1"/>
            <w:tabs>
              <w:tab w:val="right" w:leader="dot" w:pos="8630"/>
            </w:tabs>
            <w:rPr>
              <w:rFonts w:asciiTheme="minorHAnsi" w:eastAsiaTheme="minorEastAsia" w:hAnsiTheme="minorHAnsi" w:cstheme="minorBidi"/>
              <w:b w:val="0"/>
              <w:bCs w:val="0"/>
              <w:noProof/>
              <w:szCs w:val="24"/>
            </w:rPr>
          </w:pPr>
          <w:hyperlink w:anchor="_Toc110250694" w:history="1">
            <w:r w:rsidR="009902D6" w:rsidRPr="00845DB3">
              <w:rPr>
                <w:rStyle w:val="Hyperlink"/>
                <w:noProof/>
              </w:rPr>
              <w:t>Chapter 7 - Validation that human microbiome phages use alternative genetic coding.</w:t>
            </w:r>
            <w:r w:rsidR="009902D6">
              <w:rPr>
                <w:noProof/>
                <w:webHidden/>
              </w:rPr>
              <w:tab/>
            </w:r>
            <w:r w:rsidR="009902D6">
              <w:rPr>
                <w:noProof/>
                <w:webHidden/>
              </w:rPr>
              <w:fldChar w:fldCharType="begin"/>
            </w:r>
            <w:r w:rsidR="009902D6">
              <w:rPr>
                <w:noProof/>
                <w:webHidden/>
              </w:rPr>
              <w:instrText xml:space="preserve"> PAGEREF _Toc110250694 \h </w:instrText>
            </w:r>
            <w:r w:rsidR="009902D6">
              <w:rPr>
                <w:noProof/>
                <w:webHidden/>
              </w:rPr>
            </w:r>
            <w:r w:rsidR="009902D6">
              <w:rPr>
                <w:noProof/>
                <w:webHidden/>
              </w:rPr>
              <w:fldChar w:fldCharType="separate"/>
            </w:r>
            <w:r w:rsidR="009902D6">
              <w:rPr>
                <w:noProof/>
                <w:webHidden/>
              </w:rPr>
              <w:t>196</w:t>
            </w:r>
            <w:r w:rsidR="009902D6">
              <w:rPr>
                <w:noProof/>
                <w:webHidden/>
              </w:rPr>
              <w:fldChar w:fldCharType="end"/>
            </w:r>
          </w:hyperlink>
        </w:p>
        <w:p w14:paraId="48F674E8" w14:textId="3D4CD315" w:rsidR="009902D6" w:rsidRDefault="00FA115D">
          <w:pPr>
            <w:pStyle w:val="TOC2"/>
            <w:rPr>
              <w:rFonts w:asciiTheme="minorHAnsi" w:eastAsiaTheme="minorEastAsia" w:hAnsiTheme="minorHAnsi" w:cstheme="minorBidi"/>
              <w:b w:val="0"/>
              <w:noProof/>
              <w:szCs w:val="24"/>
            </w:rPr>
          </w:pPr>
          <w:hyperlink w:anchor="_Toc110250695" w:history="1">
            <w:r w:rsidR="009902D6" w:rsidRPr="00845DB3">
              <w:rPr>
                <w:rStyle w:val="Hyperlink"/>
                <w:noProof/>
              </w:rPr>
              <w:t>7.1  Introduction.</w:t>
            </w:r>
            <w:r w:rsidR="009902D6">
              <w:rPr>
                <w:noProof/>
                <w:webHidden/>
              </w:rPr>
              <w:tab/>
            </w:r>
            <w:r w:rsidR="009902D6">
              <w:rPr>
                <w:noProof/>
                <w:webHidden/>
              </w:rPr>
              <w:fldChar w:fldCharType="begin"/>
            </w:r>
            <w:r w:rsidR="009902D6">
              <w:rPr>
                <w:noProof/>
                <w:webHidden/>
              </w:rPr>
              <w:instrText xml:space="preserve"> PAGEREF _Toc110250695 \h </w:instrText>
            </w:r>
            <w:r w:rsidR="009902D6">
              <w:rPr>
                <w:noProof/>
                <w:webHidden/>
              </w:rPr>
            </w:r>
            <w:r w:rsidR="009902D6">
              <w:rPr>
                <w:noProof/>
                <w:webHidden/>
              </w:rPr>
              <w:fldChar w:fldCharType="separate"/>
            </w:r>
            <w:r w:rsidR="009902D6">
              <w:rPr>
                <w:noProof/>
                <w:webHidden/>
              </w:rPr>
              <w:t>196</w:t>
            </w:r>
            <w:r w:rsidR="009902D6">
              <w:rPr>
                <w:noProof/>
                <w:webHidden/>
              </w:rPr>
              <w:fldChar w:fldCharType="end"/>
            </w:r>
          </w:hyperlink>
        </w:p>
        <w:p w14:paraId="31EFCA83" w14:textId="08BB826A"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96" w:history="1">
            <w:r w:rsidR="009902D6" w:rsidRPr="00845DB3">
              <w:rPr>
                <w:rStyle w:val="Hyperlink"/>
                <w:noProof/>
              </w:rPr>
              <w:t>7.1.1  The role of bacteriophages in the environment.</w:t>
            </w:r>
            <w:r w:rsidR="009902D6">
              <w:rPr>
                <w:noProof/>
                <w:webHidden/>
              </w:rPr>
              <w:tab/>
            </w:r>
            <w:r w:rsidR="009902D6">
              <w:rPr>
                <w:noProof/>
                <w:webHidden/>
              </w:rPr>
              <w:fldChar w:fldCharType="begin"/>
            </w:r>
            <w:r w:rsidR="009902D6">
              <w:rPr>
                <w:noProof/>
                <w:webHidden/>
              </w:rPr>
              <w:instrText xml:space="preserve"> PAGEREF _Toc110250696 \h </w:instrText>
            </w:r>
            <w:r w:rsidR="009902D6">
              <w:rPr>
                <w:noProof/>
                <w:webHidden/>
              </w:rPr>
            </w:r>
            <w:r w:rsidR="009902D6">
              <w:rPr>
                <w:noProof/>
                <w:webHidden/>
              </w:rPr>
              <w:fldChar w:fldCharType="separate"/>
            </w:r>
            <w:r w:rsidR="009902D6">
              <w:rPr>
                <w:noProof/>
                <w:webHidden/>
              </w:rPr>
              <w:t>196</w:t>
            </w:r>
            <w:r w:rsidR="009902D6">
              <w:rPr>
                <w:noProof/>
                <w:webHidden/>
              </w:rPr>
              <w:fldChar w:fldCharType="end"/>
            </w:r>
          </w:hyperlink>
        </w:p>
        <w:p w14:paraId="5738E273" w14:textId="0D2F1E08"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97" w:history="1">
            <w:r w:rsidR="009902D6" w:rsidRPr="00845DB3">
              <w:rPr>
                <w:rStyle w:val="Hyperlink"/>
                <w:noProof/>
              </w:rPr>
              <w:t>7.1.2  Uncultivated gut bacteriophages with alternative genetic code.</w:t>
            </w:r>
            <w:r w:rsidR="009902D6">
              <w:rPr>
                <w:noProof/>
                <w:webHidden/>
              </w:rPr>
              <w:tab/>
            </w:r>
            <w:r w:rsidR="009902D6">
              <w:rPr>
                <w:noProof/>
                <w:webHidden/>
              </w:rPr>
              <w:fldChar w:fldCharType="begin"/>
            </w:r>
            <w:r w:rsidR="009902D6">
              <w:rPr>
                <w:noProof/>
                <w:webHidden/>
              </w:rPr>
              <w:instrText xml:space="preserve"> PAGEREF _Toc110250697 \h </w:instrText>
            </w:r>
            <w:r w:rsidR="009902D6">
              <w:rPr>
                <w:noProof/>
                <w:webHidden/>
              </w:rPr>
            </w:r>
            <w:r w:rsidR="009902D6">
              <w:rPr>
                <w:noProof/>
                <w:webHidden/>
              </w:rPr>
              <w:fldChar w:fldCharType="separate"/>
            </w:r>
            <w:r w:rsidR="009902D6">
              <w:rPr>
                <w:noProof/>
                <w:webHidden/>
              </w:rPr>
              <w:t>197</w:t>
            </w:r>
            <w:r w:rsidR="009902D6">
              <w:rPr>
                <w:noProof/>
                <w:webHidden/>
              </w:rPr>
              <w:fldChar w:fldCharType="end"/>
            </w:r>
          </w:hyperlink>
        </w:p>
        <w:p w14:paraId="3C542DF8" w14:textId="5179D18A" w:rsidR="009902D6" w:rsidRDefault="00FA115D">
          <w:pPr>
            <w:pStyle w:val="TOC2"/>
            <w:rPr>
              <w:rFonts w:asciiTheme="minorHAnsi" w:eastAsiaTheme="minorEastAsia" w:hAnsiTheme="minorHAnsi" w:cstheme="minorBidi"/>
              <w:b w:val="0"/>
              <w:noProof/>
              <w:szCs w:val="24"/>
            </w:rPr>
          </w:pPr>
          <w:hyperlink w:anchor="_Toc110250698" w:history="1">
            <w:r w:rsidR="009902D6" w:rsidRPr="00845DB3">
              <w:rPr>
                <w:rStyle w:val="Hyperlink"/>
                <w:noProof/>
              </w:rPr>
              <w:t>7.2  Results and Discussion.</w:t>
            </w:r>
            <w:r w:rsidR="009902D6">
              <w:rPr>
                <w:noProof/>
                <w:webHidden/>
              </w:rPr>
              <w:tab/>
            </w:r>
            <w:r w:rsidR="009902D6">
              <w:rPr>
                <w:noProof/>
                <w:webHidden/>
              </w:rPr>
              <w:fldChar w:fldCharType="begin"/>
            </w:r>
            <w:r w:rsidR="009902D6">
              <w:rPr>
                <w:noProof/>
                <w:webHidden/>
              </w:rPr>
              <w:instrText xml:space="preserve"> PAGEREF _Toc110250698 \h </w:instrText>
            </w:r>
            <w:r w:rsidR="009902D6">
              <w:rPr>
                <w:noProof/>
                <w:webHidden/>
              </w:rPr>
            </w:r>
            <w:r w:rsidR="009902D6">
              <w:rPr>
                <w:noProof/>
                <w:webHidden/>
              </w:rPr>
              <w:fldChar w:fldCharType="separate"/>
            </w:r>
            <w:r w:rsidR="009902D6">
              <w:rPr>
                <w:noProof/>
                <w:webHidden/>
              </w:rPr>
              <w:t>198</w:t>
            </w:r>
            <w:r w:rsidR="009902D6">
              <w:rPr>
                <w:noProof/>
                <w:webHidden/>
              </w:rPr>
              <w:fldChar w:fldCharType="end"/>
            </w:r>
          </w:hyperlink>
        </w:p>
        <w:p w14:paraId="047454EB" w14:textId="28D0F93E"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699" w:history="1">
            <w:r w:rsidR="009902D6" w:rsidRPr="00845DB3">
              <w:rPr>
                <w:rStyle w:val="Hyperlink"/>
                <w:noProof/>
              </w:rPr>
              <w:t>7.2.1  Selective enrichment of virus-like particles from human feces.</w:t>
            </w:r>
            <w:r w:rsidR="009902D6">
              <w:rPr>
                <w:noProof/>
                <w:webHidden/>
              </w:rPr>
              <w:tab/>
            </w:r>
            <w:r w:rsidR="009902D6">
              <w:rPr>
                <w:noProof/>
                <w:webHidden/>
              </w:rPr>
              <w:fldChar w:fldCharType="begin"/>
            </w:r>
            <w:r w:rsidR="009902D6">
              <w:rPr>
                <w:noProof/>
                <w:webHidden/>
              </w:rPr>
              <w:instrText xml:space="preserve"> PAGEREF _Toc110250699 \h </w:instrText>
            </w:r>
            <w:r w:rsidR="009902D6">
              <w:rPr>
                <w:noProof/>
                <w:webHidden/>
              </w:rPr>
            </w:r>
            <w:r w:rsidR="009902D6">
              <w:rPr>
                <w:noProof/>
                <w:webHidden/>
              </w:rPr>
              <w:fldChar w:fldCharType="separate"/>
            </w:r>
            <w:r w:rsidR="009902D6">
              <w:rPr>
                <w:noProof/>
                <w:webHidden/>
              </w:rPr>
              <w:t>198</w:t>
            </w:r>
            <w:r w:rsidR="009902D6">
              <w:rPr>
                <w:noProof/>
                <w:webHidden/>
              </w:rPr>
              <w:fldChar w:fldCharType="end"/>
            </w:r>
          </w:hyperlink>
        </w:p>
        <w:p w14:paraId="7DEA7C55" w14:textId="28B43322"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700" w:history="1">
            <w:r w:rsidR="009902D6" w:rsidRPr="00845DB3">
              <w:rPr>
                <w:rStyle w:val="Hyperlink"/>
                <w:noProof/>
              </w:rPr>
              <w:t>7.2.2  Confirmation of genetic code 15 usage by gut bacteriophage.</w:t>
            </w:r>
            <w:r w:rsidR="009902D6">
              <w:rPr>
                <w:noProof/>
                <w:webHidden/>
              </w:rPr>
              <w:tab/>
            </w:r>
            <w:r w:rsidR="009902D6">
              <w:rPr>
                <w:noProof/>
                <w:webHidden/>
              </w:rPr>
              <w:fldChar w:fldCharType="begin"/>
            </w:r>
            <w:r w:rsidR="009902D6">
              <w:rPr>
                <w:noProof/>
                <w:webHidden/>
              </w:rPr>
              <w:instrText xml:space="preserve"> PAGEREF _Toc110250700 \h </w:instrText>
            </w:r>
            <w:r w:rsidR="009902D6">
              <w:rPr>
                <w:noProof/>
                <w:webHidden/>
              </w:rPr>
            </w:r>
            <w:r w:rsidR="009902D6">
              <w:rPr>
                <w:noProof/>
                <w:webHidden/>
              </w:rPr>
              <w:fldChar w:fldCharType="separate"/>
            </w:r>
            <w:r w:rsidR="009902D6">
              <w:rPr>
                <w:noProof/>
                <w:webHidden/>
              </w:rPr>
              <w:t>204</w:t>
            </w:r>
            <w:r w:rsidR="009902D6">
              <w:rPr>
                <w:noProof/>
                <w:webHidden/>
              </w:rPr>
              <w:fldChar w:fldCharType="end"/>
            </w:r>
          </w:hyperlink>
        </w:p>
        <w:p w14:paraId="27B0B53A" w14:textId="56AAC599" w:rsidR="009902D6" w:rsidRDefault="00FA115D">
          <w:pPr>
            <w:pStyle w:val="TOC2"/>
            <w:rPr>
              <w:rFonts w:asciiTheme="minorHAnsi" w:eastAsiaTheme="minorEastAsia" w:hAnsiTheme="minorHAnsi" w:cstheme="minorBidi"/>
              <w:b w:val="0"/>
              <w:noProof/>
              <w:szCs w:val="24"/>
            </w:rPr>
          </w:pPr>
          <w:hyperlink w:anchor="_Toc110250701" w:history="1">
            <w:r w:rsidR="009902D6" w:rsidRPr="00845DB3">
              <w:rPr>
                <w:rStyle w:val="Hyperlink"/>
                <w:noProof/>
              </w:rPr>
              <w:t>7.3  Conclusions.</w:t>
            </w:r>
            <w:r w:rsidR="009902D6">
              <w:rPr>
                <w:noProof/>
                <w:webHidden/>
              </w:rPr>
              <w:tab/>
            </w:r>
            <w:r w:rsidR="009902D6">
              <w:rPr>
                <w:noProof/>
                <w:webHidden/>
              </w:rPr>
              <w:fldChar w:fldCharType="begin"/>
            </w:r>
            <w:r w:rsidR="009902D6">
              <w:rPr>
                <w:noProof/>
                <w:webHidden/>
              </w:rPr>
              <w:instrText xml:space="preserve"> PAGEREF _Toc110250701 \h </w:instrText>
            </w:r>
            <w:r w:rsidR="009902D6">
              <w:rPr>
                <w:noProof/>
                <w:webHidden/>
              </w:rPr>
            </w:r>
            <w:r w:rsidR="009902D6">
              <w:rPr>
                <w:noProof/>
                <w:webHidden/>
              </w:rPr>
              <w:fldChar w:fldCharType="separate"/>
            </w:r>
            <w:r w:rsidR="009902D6">
              <w:rPr>
                <w:noProof/>
                <w:webHidden/>
              </w:rPr>
              <w:t>211</w:t>
            </w:r>
            <w:r w:rsidR="009902D6">
              <w:rPr>
                <w:noProof/>
                <w:webHidden/>
              </w:rPr>
              <w:fldChar w:fldCharType="end"/>
            </w:r>
          </w:hyperlink>
        </w:p>
        <w:p w14:paraId="41253EB9" w14:textId="36B5F006" w:rsidR="009902D6" w:rsidRDefault="00FA115D">
          <w:pPr>
            <w:pStyle w:val="TOC2"/>
            <w:rPr>
              <w:rFonts w:asciiTheme="minorHAnsi" w:eastAsiaTheme="minorEastAsia" w:hAnsiTheme="minorHAnsi" w:cstheme="minorBidi"/>
              <w:b w:val="0"/>
              <w:noProof/>
              <w:szCs w:val="24"/>
            </w:rPr>
          </w:pPr>
          <w:hyperlink w:anchor="_Toc110250702" w:history="1">
            <w:r w:rsidR="009902D6" w:rsidRPr="00845DB3">
              <w:rPr>
                <w:rStyle w:val="Hyperlink"/>
                <w:noProof/>
              </w:rPr>
              <w:t>7.4  Methods.</w:t>
            </w:r>
            <w:r w:rsidR="009902D6">
              <w:rPr>
                <w:noProof/>
                <w:webHidden/>
              </w:rPr>
              <w:tab/>
            </w:r>
            <w:r w:rsidR="009902D6">
              <w:rPr>
                <w:noProof/>
                <w:webHidden/>
              </w:rPr>
              <w:fldChar w:fldCharType="begin"/>
            </w:r>
            <w:r w:rsidR="009902D6">
              <w:rPr>
                <w:noProof/>
                <w:webHidden/>
              </w:rPr>
              <w:instrText xml:space="preserve"> PAGEREF _Toc110250702 \h </w:instrText>
            </w:r>
            <w:r w:rsidR="009902D6">
              <w:rPr>
                <w:noProof/>
                <w:webHidden/>
              </w:rPr>
            </w:r>
            <w:r w:rsidR="009902D6">
              <w:rPr>
                <w:noProof/>
                <w:webHidden/>
              </w:rPr>
              <w:fldChar w:fldCharType="separate"/>
            </w:r>
            <w:r w:rsidR="009902D6">
              <w:rPr>
                <w:noProof/>
                <w:webHidden/>
              </w:rPr>
              <w:t>212</w:t>
            </w:r>
            <w:r w:rsidR="009902D6">
              <w:rPr>
                <w:noProof/>
                <w:webHidden/>
              </w:rPr>
              <w:fldChar w:fldCharType="end"/>
            </w:r>
          </w:hyperlink>
        </w:p>
        <w:p w14:paraId="4CE41214" w14:textId="527C8E86"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703" w:history="1">
            <w:r w:rsidR="009902D6" w:rsidRPr="00845DB3">
              <w:rPr>
                <w:rStyle w:val="Hyperlink"/>
                <w:noProof/>
                <w:lang w:val="en"/>
              </w:rPr>
              <w:t>7.4.1  Sample selection.</w:t>
            </w:r>
            <w:r w:rsidR="009902D6">
              <w:rPr>
                <w:noProof/>
                <w:webHidden/>
              </w:rPr>
              <w:tab/>
            </w:r>
            <w:r w:rsidR="009902D6">
              <w:rPr>
                <w:noProof/>
                <w:webHidden/>
              </w:rPr>
              <w:fldChar w:fldCharType="begin"/>
            </w:r>
            <w:r w:rsidR="009902D6">
              <w:rPr>
                <w:noProof/>
                <w:webHidden/>
              </w:rPr>
              <w:instrText xml:space="preserve"> PAGEREF _Toc110250703 \h </w:instrText>
            </w:r>
            <w:r w:rsidR="009902D6">
              <w:rPr>
                <w:noProof/>
                <w:webHidden/>
              </w:rPr>
            </w:r>
            <w:r w:rsidR="009902D6">
              <w:rPr>
                <w:noProof/>
                <w:webHidden/>
              </w:rPr>
              <w:fldChar w:fldCharType="separate"/>
            </w:r>
            <w:r w:rsidR="009902D6">
              <w:rPr>
                <w:noProof/>
                <w:webHidden/>
              </w:rPr>
              <w:t>212</w:t>
            </w:r>
            <w:r w:rsidR="009902D6">
              <w:rPr>
                <w:noProof/>
                <w:webHidden/>
              </w:rPr>
              <w:fldChar w:fldCharType="end"/>
            </w:r>
          </w:hyperlink>
        </w:p>
        <w:p w14:paraId="64965F0E" w14:textId="085AFAA1"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704" w:history="1">
            <w:r w:rsidR="009902D6" w:rsidRPr="00845DB3">
              <w:rPr>
                <w:rStyle w:val="Hyperlink"/>
                <w:noProof/>
              </w:rPr>
              <w:t>7.4.2  Genome predictions and phage genome curation.</w:t>
            </w:r>
            <w:r w:rsidR="009902D6">
              <w:rPr>
                <w:noProof/>
                <w:webHidden/>
              </w:rPr>
              <w:tab/>
            </w:r>
            <w:r w:rsidR="009902D6">
              <w:rPr>
                <w:noProof/>
                <w:webHidden/>
              </w:rPr>
              <w:fldChar w:fldCharType="begin"/>
            </w:r>
            <w:r w:rsidR="009902D6">
              <w:rPr>
                <w:noProof/>
                <w:webHidden/>
              </w:rPr>
              <w:instrText xml:space="preserve"> PAGEREF _Toc110250704 \h </w:instrText>
            </w:r>
            <w:r w:rsidR="009902D6">
              <w:rPr>
                <w:noProof/>
                <w:webHidden/>
              </w:rPr>
            </w:r>
            <w:r w:rsidR="009902D6">
              <w:rPr>
                <w:noProof/>
                <w:webHidden/>
              </w:rPr>
              <w:fldChar w:fldCharType="separate"/>
            </w:r>
            <w:r w:rsidR="009902D6">
              <w:rPr>
                <w:noProof/>
                <w:webHidden/>
              </w:rPr>
              <w:t>212</w:t>
            </w:r>
            <w:r w:rsidR="009902D6">
              <w:rPr>
                <w:noProof/>
                <w:webHidden/>
              </w:rPr>
              <w:fldChar w:fldCharType="end"/>
            </w:r>
          </w:hyperlink>
        </w:p>
        <w:p w14:paraId="77C99B76" w14:textId="0FE7C7EA"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705" w:history="1">
            <w:r w:rsidR="009902D6" w:rsidRPr="00845DB3">
              <w:rPr>
                <w:rStyle w:val="Hyperlink"/>
                <w:noProof/>
              </w:rPr>
              <w:t>7.4.3  Sample preparation for LC-MS/MS.</w:t>
            </w:r>
            <w:r w:rsidR="009902D6">
              <w:rPr>
                <w:noProof/>
                <w:webHidden/>
              </w:rPr>
              <w:tab/>
            </w:r>
            <w:r w:rsidR="009902D6">
              <w:rPr>
                <w:noProof/>
                <w:webHidden/>
              </w:rPr>
              <w:fldChar w:fldCharType="begin"/>
            </w:r>
            <w:r w:rsidR="009902D6">
              <w:rPr>
                <w:noProof/>
                <w:webHidden/>
              </w:rPr>
              <w:instrText xml:space="preserve"> PAGEREF _Toc110250705 \h </w:instrText>
            </w:r>
            <w:r w:rsidR="009902D6">
              <w:rPr>
                <w:noProof/>
                <w:webHidden/>
              </w:rPr>
            </w:r>
            <w:r w:rsidR="009902D6">
              <w:rPr>
                <w:noProof/>
                <w:webHidden/>
              </w:rPr>
              <w:fldChar w:fldCharType="separate"/>
            </w:r>
            <w:r w:rsidR="009902D6">
              <w:rPr>
                <w:noProof/>
                <w:webHidden/>
              </w:rPr>
              <w:t>213</w:t>
            </w:r>
            <w:r w:rsidR="009902D6">
              <w:rPr>
                <w:noProof/>
                <w:webHidden/>
              </w:rPr>
              <w:fldChar w:fldCharType="end"/>
            </w:r>
          </w:hyperlink>
        </w:p>
        <w:p w14:paraId="0C5DF5FB" w14:textId="1043E6B8"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706" w:history="1">
            <w:r w:rsidR="009902D6" w:rsidRPr="00845DB3">
              <w:rPr>
                <w:rStyle w:val="Hyperlink"/>
                <w:noProof/>
                <w:lang w:val="en"/>
              </w:rPr>
              <w:t>7.4.4  LC-MS-MS.</w:t>
            </w:r>
            <w:r w:rsidR="009902D6">
              <w:rPr>
                <w:noProof/>
                <w:webHidden/>
              </w:rPr>
              <w:tab/>
            </w:r>
            <w:r w:rsidR="009902D6">
              <w:rPr>
                <w:noProof/>
                <w:webHidden/>
              </w:rPr>
              <w:fldChar w:fldCharType="begin"/>
            </w:r>
            <w:r w:rsidR="009902D6">
              <w:rPr>
                <w:noProof/>
                <w:webHidden/>
              </w:rPr>
              <w:instrText xml:space="preserve"> PAGEREF _Toc110250706 \h </w:instrText>
            </w:r>
            <w:r w:rsidR="009902D6">
              <w:rPr>
                <w:noProof/>
                <w:webHidden/>
              </w:rPr>
            </w:r>
            <w:r w:rsidR="009902D6">
              <w:rPr>
                <w:noProof/>
                <w:webHidden/>
              </w:rPr>
              <w:fldChar w:fldCharType="separate"/>
            </w:r>
            <w:r w:rsidR="009902D6">
              <w:rPr>
                <w:noProof/>
                <w:webHidden/>
              </w:rPr>
              <w:t>214</w:t>
            </w:r>
            <w:r w:rsidR="009902D6">
              <w:rPr>
                <w:noProof/>
                <w:webHidden/>
              </w:rPr>
              <w:fldChar w:fldCharType="end"/>
            </w:r>
          </w:hyperlink>
        </w:p>
        <w:p w14:paraId="0BB25842" w14:textId="3B7880DD" w:rsidR="009902D6" w:rsidRDefault="00FA115D">
          <w:pPr>
            <w:pStyle w:val="TOC3"/>
            <w:tabs>
              <w:tab w:val="right" w:leader="dot" w:pos="8630"/>
            </w:tabs>
            <w:rPr>
              <w:rFonts w:asciiTheme="minorHAnsi" w:eastAsiaTheme="minorEastAsia" w:hAnsiTheme="minorHAnsi" w:cstheme="minorBidi"/>
              <w:b w:val="0"/>
              <w:iCs w:val="0"/>
              <w:noProof/>
              <w:szCs w:val="24"/>
            </w:rPr>
          </w:pPr>
          <w:hyperlink w:anchor="_Toc110250707" w:history="1">
            <w:r w:rsidR="009902D6" w:rsidRPr="00845DB3">
              <w:rPr>
                <w:rStyle w:val="Hyperlink"/>
                <w:noProof/>
                <w:lang w:val="en"/>
              </w:rPr>
              <w:t>7.4.5  Proteomics data analysis.</w:t>
            </w:r>
            <w:r w:rsidR="009902D6">
              <w:rPr>
                <w:noProof/>
                <w:webHidden/>
              </w:rPr>
              <w:tab/>
            </w:r>
            <w:r w:rsidR="009902D6">
              <w:rPr>
                <w:noProof/>
                <w:webHidden/>
              </w:rPr>
              <w:fldChar w:fldCharType="begin"/>
            </w:r>
            <w:r w:rsidR="009902D6">
              <w:rPr>
                <w:noProof/>
                <w:webHidden/>
              </w:rPr>
              <w:instrText xml:space="preserve"> PAGEREF _Toc110250707 \h </w:instrText>
            </w:r>
            <w:r w:rsidR="009902D6">
              <w:rPr>
                <w:noProof/>
                <w:webHidden/>
              </w:rPr>
            </w:r>
            <w:r w:rsidR="009902D6">
              <w:rPr>
                <w:noProof/>
                <w:webHidden/>
              </w:rPr>
              <w:fldChar w:fldCharType="separate"/>
            </w:r>
            <w:r w:rsidR="009902D6">
              <w:rPr>
                <w:noProof/>
                <w:webHidden/>
              </w:rPr>
              <w:t>215</w:t>
            </w:r>
            <w:r w:rsidR="009902D6">
              <w:rPr>
                <w:noProof/>
                <w:webHidden/>
              </w:rPr>
              <w:fldChar w:fldCharType="end"/>
            </w:r>
          </w:hyperlink>
        </w:p>
        <w:p w14:paraId="53F086AF" w14:textId="1EA52468" w:rsidR="009902D6" w:rsidRDefault="00FA115D">
          <w:pPr>
            <w:pStyle w:val="TOC1"/>
            <w:tabs>
              <w:tab w:val="right" w:leader="dot" w:pos="8630"/>
            </w:tabs>
            <w:rPr>
              <w:rFonts w:asciiTheme="minorHAnsi" w:eastAsiaTheme="minorEastAsia" w:hAnsiTheme="minorHAnsi" w:cstheme="minorBidi"/>
              <w:b w:val="0"/>
              <w:bCs w:val="0"/>
              <w:noProof/>
              <w:szCs w:val="24"/>
            </w:rPr>
          </w:pPr>
          <w:hyperlink w:anchor="_Toc110250708" w:history="1">
            <w:r w:rsidR="009902D6" w:rsidRPr="00845DB3">
              <w:rPr>
                <w:rStyle w:val="Hyperlink"/>
                <w:noProof/>
              </w:rPr>
              <w:t>Chapter 8 - Overview and perspectives on MS-based metaproteomics.</w:t>
            </w:r>
            <w:r w:rsidR="009902D6">
              <w:rPr>
                <w:noProof/>
                <w:webHidden/>
              </w:rPr>
              <w:tab/>
            </w:r>
            <w:r w:rsidR="009902D6">
              <w:rPr>
                <w:noProof/>
                <w:webHidden/>
              </w:rPr>
              <w:fldChar w:fldCharType="begin"/>
            </w:r>
            <w:r w:rsidR="009902D6">
              <w:rPr>
                <w:noProof/>
                <w:webHidden/>
              </w:rPr>
              <w:instrText xml:space="preserve"> PAGEREF _Toc110250708 \h </w:instrText>
            </w:r>
            <w:r w:rsidR="009902D6">
              <w:rPr>
                <w:noProof/>
                <w:webHidden/>
              </w:rPr>
            </w:r>
            <w:r w:rsidR="009902D6">
              <w:rPr>
                <w:noProof/>
                <w:webHidden/>
              </w:rPr>
              <w:fldChar w:fldCharType="separate"/>
            </w:r>
            <w:r w:rsidR="009902D6">
              <w:rPr>
                <w:noProof/>
                <w:webHidden/>
              </w:rPr>
              <w:t>217</w:t>
            </w:r>
            <w:r w:rsidR="009902D6">
              <w:rPr>
                <w:noProof/>
                <w:webHidden/>
              </w:rPr>
              <w:fldChar w:fldCharType="end"/>
            </w:r>
          </w:hyperlink>
        </w:p>
        <w:p w14:paraId="4D6BD5F1" w14:textId="613293A1" w:rsidR="009902D6" w:rsidRDefault="00FA115D">
          <w:pPr>
            <w:pStyle w:val="TOC2"/>
            <w:rPr>
              <w:rFonts w:asciiTheme="minorHAnsi" w:eastAsiaTheme="minorEastAsia" w:hAnsiTheme="minorHAnsi" w:cstheme="minorBidi"/>
              <w:b w:val="0"/>
              <w:noProof/>
              <w:szCs w:val="24"/>
            </w:rPr>
          </w:pPr>
          <w:hyperlink w:anchor="_Toc110250709" w:history="1">
            <w:r w:rsidR="009902D6" w:rsidRPr="00845DB3">
              <w:rPr>
                <w:rStyle w:val="Hyperlink"/>
                <w:noProof/>
              </w:rPr>
              <w:t>8.1  Conclusions.</w:t>
            </w:r>
            <w:r w:rsidR="009902D6">
              <w:rPr>
                <w:noProof/>
                <w:webHidden/>
              </w:rPr>
              <w:tab/>
            </w:r>
            <w:r w:rsidR="009902D6">
              <w:rPr>
                <w:noProof/>
                <w:webHidden/>
              </w:rPr>
              <w:fldChar w:fldCharType="begin"/>
            </w:r>
            <w:r w:rsidR="009902D6">
              <w:rPr>
                <w:noProof/>
                <w:webHidden/>
              </w:rPr>
              <w:instrText xml:space="preserve"> PAGEREF _Toc110250709 \h </w:instrText>
            </w:r>
            <w:r w:rsidR="009902D6">
              <w:rPr>
                <w:noProof/>
                <w:webHidden/>
              </w:rPr>
            </w:r>
            <w:r w:rsidR="009902D6">
              <w:rPr>
                <w:noProof/>
                <w:webHidden/>
              </w:rPr>
              <w:fldChar w:fldCharType="separate"/>
            </w:r>
            <w:r w:rsidR="009902D6">
              <w:rPr>
                <w:noProof/>
                <w:webHidden/>
              </w:rPr>
              <w:t>217</w:t>
            </w:r>
            <w:r w:rsidR="009902D6">
              <w:rPr>
                <w:noProof/>
                <w:webHidden/>
              </w:rPr>
              <w:fldChar w:fldCharType="end"/>
            </w:r>
          </w:hyperlink>
        </w:p>
        <w:p w14:paraId="3CFB6DBF" w14:textId="294EE5BB" w:rsidR="009902D6" w:rsidRDefault="00FA115D">
          <w:pPr>
            <w:pStyle w:val="TOC2"/>
            <w:rPr>
              <w:rFonts w:asciiTheme="minorHAnsi" w:eastAsiaTheme="minorEastAsia" w:hAnsiTheme="minorHAnsi" w:cstheme="minorBidi"/>
              <w:b w:val="0"/>
              <w:noProof/>
              <w:szCs w:val="24"/>
            </w:rPr>
          </w:pPr>
          <w:hyperlink w:anchor="_Toc110250710" w:history="1">
            <w:r w:rsidR="009902D6" w:rsidRPr="00845DB3">
              <w:rPr>
                <w:rStyle w:val="Hyperlink"/>
                <w:noProof/>
              </w:rPr>
              <w:t>8.2  Remaining challenges and future outlook of metaproteomics.</w:t>
            </w:r>
            <w:r w:rsidR="009902D6">
              <w:rPr>
                <w:noProof/>
                <w:webHidden/>
              </w:rPr>
              <w:tab/>
            </w:r>
            <w:r w:rsidR="009902D6">
              <w:rPr>
                <w:noProof/>
                <w:webHidden/>
              </w:rPr>
              <w:fldChar w:fldCharType="begin"/>
            </w:r>
            <w:r w:rsidR="009902D6">
              <w:rPr>
                <w:noProof/>
                <w:webHidden/>
              </w:rPr>
              <w:instrText xml:space="preserve"> PAGEREF _Toc110250710 \h </w:instrText>
            </w:r>
            <w:r w:rsidR="009902D6">
              <w:rPr>
                <w:noProof/>
                <w:webHidden/>
              </w:rPr>
            </w:r>
            <w:r w:rsidR="009902D6">
              <w:rPr>
                <w:noProof/>
                <w:webHidden/>
              </w:rPr>
              <w:fldChar w:fldCharType="separate"/>
            </w:r>
            <w:r w:rsidR="009902D6">
              <w:rPr>
                <w:noProof/>
                <w:webHidden/>
              </w:rPr>
              <w:t>222</w:t>
            </w:r>
            <w:r w:rsidR="009902D6">
              <w:rPr>
                <w:noProof/>
                <w:webHidden/>
              </w:rPr>
              <w:fldChar w:fldCharType="end"/>
            </w:r>
          </w:hyperlink>
        </w:p>
        <w:p w14:paraId="14AE0125" w14:textId="3323A4E1" w:rsidR="009902D6" w:rsidRDefault="00FA115D">
          <w:pPr>
            <w:pStyle w:val="TOC1"/>
            <w:tabs>
              <w:tab w:val="right" w:leader="dot" w:pos="8630"/>
            </w:tabs>
            <w:rPr>
              <w:rFonts w:asciiTheme="minorHAnsi" w:eastAsiaTheme="minorEastAsia" w:hAnsiTheme="minorHAnsi" w:cstheme="minorBidi"/>
              <w:b w:val="0"/>
              <w:bCs w:val="0"/>
              <w:noProof/>
              <w:szCs w:val="24"/>
            </w:rPr>
          </w:pPr>
          <w:hyperlink w:anchor="_Toc110250711" w:history="1">
            <w:r w:rsidR="009902D6" w:rsidRPr="00845DB3">
              <w:rPr>
                <w:rStyle w:val="Hyperlink"/>
                <w:noProof/>
              </w:rPr>
              <w:t>References</w:t>
            </w:r>
            <w:r w:rsidR="009902D6">
              <w:rPr>
                <w:noProof/>
                <w:webHidden/>
              </w:rPr>
              <w:tab/>
            </w:r>
            <w:r w:rsidR="009902D6">
              <w:rPr>
                <w:noProof/>
                <w:webHidden/>
              </w:rPr>
              <w:fldChar w:fldCharType="begin"/>
            </w:r>
            <w:r w:rsidR="009902D6">
              <w:rPr>
                <w:noProof/>
                <w:webHidden/>
              </w:rPr>
              <w:instrText xml:space="preserve"> PAGEREF _Toc110250711 \h </w:instrText>
            </w:r>
            <w:r w:rsidR="009902D6">
              <w:rPr>
                <w:noProof/>
                <w:webHidden/>
              </w:rPr>
            </w:r>
            <w:r w:rsidR="009902D6">
              <w:rPr>
                <w:noProof/>
                <w:webHidden/>
              </w:rPr>
              <w:fldChar w:fldCharType="separate"/>
            </w:r>
            <w:r w:rsidR="009902D6">
              <w:rPr>
                <w:noProof/>
                <w:webHidden/>
              </w:rPr>
              <w:t>226</w:t>
            </w:r>
            <w:r w:rsidR="009902D6">
              <w:rPr>
                <w:noProof/>
                <w:webHidden/>
              </w:rPr>
              <w:fldChar w:fldCharType="end"/>
            </w:r>
          </w:hyperlink>
        </w:p>
        <w:p w14:paraId="726EAA3A" w14:textId="1DFF2A78" w:rsidR="009902D6" w:rsidRDefault="00FA115D">
          <w:pPr>
            <w:pStyle w:val="TOC1"/>
            <w:tabs>
              <w:tab w:val="right" w:leader="dot" w:pos="8630"/>
            </w:tabs>
            <w:rPr>
              <w:rFonts w:asciiTheme="minorHAnsi" w:eastAsiaTheme="minorEastAsia" w:hAnsiTheme="minorHAnsi" w:cstheme="minorBidi"/>
              <w:b w:val="0"/>
              <w:bCs w:val="0"/>
              <w:noProof/>
              <w:szCs w:val="24"/>
            </w:rPr>
          </w:pPr>
          <w:hyperlink w:anchor="_Toc110250712" w:history="1">
            <w:r w:rsidR="009902D6" w:rsidRPr="00845DB3">
              <w:rPr>
                <w:rStyle w:val="Hyperlink"/>
                <w:noProof/>
              </w:rPr>
              <w:t>VITA</w:t>
            </w:r>
            <w:r w:rsidR="009902D6">
              <w:rPr>
                <w:noProof/>
                <w:webHidden/>
              </w:rPr>
              <w:tab/>
            </w:r>
            <w:r w:rsidR="009902D6">
              <w:rPr>
                <w:noProof/>
                <w:webHidden/>
              </w:rPr>
              <w:fldChar w:fldCharType="begin"/>
            </w:r>
            <w:r w:rsidR="009902D6">
              <w:rPr>
                <w:noProof/>
                <w:webHidden/>
              </w:rPr>
              <w:instrText xml:space="preserve"> PAGEREF _Toc110250712 \h </w:instrText>
            </w:r>
            <w:r w:rsidR="009902D6">
              <w:rPr>
                <w:noProof/>
                <w:webHidden/>
              </w:rPr>
            </w:r>
            <w:r w:rsidR="009902D6">
              <w:rPr>
                <w:noProof/>
                <w:webHidden/>
              </w:rPr>
              <w:fldChar w:fldCharType="separate"/>
            </w:r>
            <w:r w:rsidR="009902D6">
              <w:rPr>
                <w:noProof/>
                <w:webHidden/>
              </w:rPr>
              <w:t>254</w:t>
            </w:r>
            <w:r w:rsidR="009902D6">
              <w:rPr>
                <w:noProof/>
                <w:webHidden/>
              </w:rPr>
              <w:fldChar w:fldCharType="end"/>
            </w:r>
          </w:hyperlink>
        </w:p>
        <w:p w14:paraId="56AAB2B6" w14:textId="3966069D" w:rsidR="00310878" w:rsidRPr="00476931" w:rsidRDefault="009902D6" w:rsidP="009902D6">
          <w:pPr>
            <w:ind w:left="0" w:firstLine="0"/>
            <w:rPr>
              <w:rFonts w:ascii="Times New Roman" w:hAnsi="Times New Roman" w:cs="Times New Roman"/>
              <w:b/>
              <w:color w:val="000000" w:themeColor="text1"/>
              <w:lang w:val="en-CA"/>
            </w:rPr>
          </w:pPr>
          <w:r>
            <w:rPr>
              <w:rFonts w:cstheme="majorHAnsi"/>
              <w:color w:val="000000" w:themeColor="text1"/>
              <w:szCs w:val="20"/>
            </w:rPr>
            <w:fldChar w:fldCharType="end"/>
          </w:r>
        </w:p>
      </w:sdtContent>
    </w:sdt>
    <w:p w14:paraId="373D0671" w14:textId="77777777" w:rsidR="009902D6" w:rsidRDefault="009902D6">
      <w:pPr>
        <w:spacing w:before="1"/>
        <w:rPr>
          <w:rFonts w:cstheme="majorHAnsi"/>
          <w:b/>
          <w:bCs/>
          <w:color w:val="000000" w:themeColor="text1"/>
          <w:sz w:val="28"/>
          <w:szCs w:val="28"/>
        </w:rPr>
      </w:pPr>
      <w:r>
        <w:rPr>
          <w:rFonts w:cstheme="majorHAnsi"/>
          <w:b/>
          <w:bCs/>
          <w:color w:val="000000" w:themeColor="text1"/>
          <w:sz w:val="28"/>
          <w:szCs w:val="28"/>
        </w:rPr>
        <w:br w:type="page"/>
      </w:r>
    </w:p>
    <w:p w14:paraId="58976BCF" w14:textId="1A187494" w:rsidR="006613B6" w:rsidRDefault="006613B6" w:rsidP="003979C5">
      <w:pPr>
        <w:spacing w:before="1"/>
        <w:ind w:left="0" w:firstLine="0"/>
        <w:jc w:val="center"/>
        <w:rPr>
          <w:rFonts w:cstheme="majorHAnsi"/>
          <w:b/>
          <w:bCs/>
          <w:color w:val="000000" w:themeColor="text1"/>
          <w:sz w:val="28"/>
          <w:szCs w:val="28"/>
        </w:rPr>
      </w:pPr>
      <w:r w:rsidRPr="00476931">
        <w:rPr>
          <w:rFonts w:cstheme="majorHAnsi"/>
          <w:b/>
          <w:bCs/>
          <w:color w:val="000000" w:themeColor="text1"/>
          <w:sz w:val="28"/>
          <w:szCs w:val="28"/>
        </w:rPr>
        <w:lastRenderedPageBreak/>
        <w:t>LIST OF TABLES</w:t>
      </w:r>
    </w:p>
    <w:p w14:paraId="49B7A537" w14:textId="77777777" w:rsidR="003979C5" w:rsidRDefault="003979C5" w:rsidP="003979C5">
      <w:pPr>
        <w:spacing w:before="1"/>
        <w:ind w:left="0" w:firstLine="0"/>
        <w:jc w:val="center"/>
        <w:rPr>
          <w:rFonts w:cstheme="majorHAnsi"/>
          <w:b/>
          <w:bCs/>
          <w:color w:val="000000" w:themeColor="text1"/>
          <w:sz w:val="28"/>
          <w:szCs w:val="28"/>
        </w:rPr>
      </w:pPr>
    </w:p>
    <w:p w14:paraId="750E57C1" w14:textId="48C86F3A" w:rsidR="003B4DAE" w:rsidRPr="009B672D" w:rsidRDefault="006373A6" w:rsidP="00AA7AD1">
      <w:pPr>
        <w:spacing w:before="1"/>
        <w:ind w:left="540" w:hanging="540"/>
        <w:rPr>
          <w:rFonts w:cstheme="majorHAnsi"/>
          <w:b/>
          <w:bCs/>
          <w:color w:val="000000" w:themeColor="text1"/>
        </w:rPr>
      </w:pPr>
      <w:r w:rsidRPr="009B672D">
        <w:rPr>
          <w:rFonts w:cstheme="majorHAnsi"/>
          <w:b/>
          <w:bCs/>
          <w:color w:val="000000" w:themeColor="text1"/>
        </w:rPr>
        <w:t>T</w:t>
      </w:r>
      <w:r w:rsidR="00F34B06">
        <w:rPr>
          <w:rFonts w:cstheme="majorHAnsi"/>
          <w:b/>
          <w:bCs/>
          <w:color w:val="000000" w:themeColor="text1"/>
        </w:rPr>
        <w:t>able</w:t>
      </w:r>
      <w:r w:rsidRPr="009B672D">
        <w:rPr>
          <w:rFonts w:cstheme="majorHAnsi"/>
          <w:b/>
          <w:bCs/>
          <w:color w:val="000000" w:themeColor="text1"/>
        </w:rPr>
        <w:t xml:space="preserve"> 3</w:t>
      </w:r>
      <w:r w:rsidR="009902D6">
        <w:rPr>
          <w:rFonts w:cstheme="majorHAnsi"/>
          <w:b/>
          <w:bCs/>
          <w:color w:val="000000" w:themeColor="text1"/>
        </w:rPr>
        <w:t>-</w:t>
      </w:r>
      <w:r w:rsidRPr="009B672D">
        <w:rPr>
          <w:rFonts w:cstheme="majorHAnsi"/>
          <w:b/>
          <w:bCs/>
          <w:color w:val="000000" w:themeColor="text1"/>
        </w:rPr>
        <w:t>1  O</w:t>
      </w:r>
      <w:r w:rsidR="009B672D" w:rsidRPr="009B672D">
        <w:rPr>
          <w:rFonts w:cstheme="majorHAnsi"/>
          <w:b/>
          <w:bCs/>
          <w:color w:val="000000" w:themeColor="text1"/>
        </w:rPr>
        <w:t>rganisms used for soil spike-in experiments</w:t>
      </w:r>
      <w:r w:rsidRPr="009B672D">
        <w:rPr>
          <w:rFonts w:cstheme="majorHAnsi"/>
          <w:b/>
          <w:bCs/>
          <w:color w:val="000000" w:themeColor="text1"/>
        </w:rPr>
        <w:t xml:space="preserve"> ……</w:t>
      </w:r>
      <w:r w:rsidR="009B672D" w:rsidRPr="009B672D">
        <w:rPr>
          <w:rFonts w:cstheme="majorHAnsi"/>
          <w:b/>
          <w:bCs/>
          <w:color w:val="000000" w:themeColor="text1"/>
        </w:rPr>
        <w:t>……………….</w:t>
      </w:r>
      <w:r w:rsidRPr="009B672D">
        <w:rPr>
          <w:rFonts w:cstheme="majorHAnsi"/>
          <w:b/>
          <w:bCs/>
          <w:color w:val="000000" w:themeColor="text1"/>
        </w:rPr>
        <w:t>…65</w:t>
      </w:r>
    </w:p>
    <w:p w14:paraId="66B57AFA" w14:textId="314E892E" w:rsidR="00AA7AD1" w:rsidRPr="009B672D" w:rsidRDefault="006373A6" w:rsidP="00AA7AD1">
      <w:pPr>
        <w:spacing w:before="1"/>
        <w:ind w:left="540" w:hanging="540"/>
        <w:rPr>
          <w:rFonts w:cstheme="majorHAnsi"/>
          <w:b/>
          <w:bCs/>
          <w:color w:val="000000" w:themeColor="text1"/>
        </w:rPr>
      </w:pPr>
      <w:r w:rsidRPr="009B672D">
        <w:rPr>
          <w:rFonts w:cstheme="majorHAnsi"/>
          <w:b/>
          <w:bCs/>
          <w:color w:val="000000" w:themeColor="text1"/>
        </w:rPr>
        <w:t>T</w:t>
      </w:r>
      <w:r w:rsidR="00F34B06">
        <w:rPr>
          <w:rFonts w:cstheme="majorHAnsi"/>
          <w:b/>
          <w:bCs/>
          <w:color w:val="000000" w:themeColor="text1"/>
        </w:rPr>
        <w:t>able</w:t>
      </w:r>
      <w:r w:rsidRPr="009B672D">
        <w:rPr>
          <w:rFonts w:cstheme="majorHAnsi"/>
          <w:b/>
          <w:bCs/>
          <w:color w:val="000000" w:themeColor="text1"/>
        </w:rPr>
        <w:t xml:space="preserve"> 4</w:t>
      </w:r>
      <w:r w:rsidR="009902D6">
        <w:rPr>
          <w:rFonts w:cstheme="majorHAnsi"/>
          <w:b/>
          <w:bCs/>
          <w:color w:val="000000" w:themeColor="text1"/>
        </w:rPr>
        <w:t>-</w:t>
      </w:r>
      <w:r w:rsidRPr="009B672D">
        <w:rPr>
          <w:rFonts w:cstheme="majorHAnsi"/>
          <w:b/>
          <w:bCs/>
          <w:color w:val="000000" w:themeColor="text1"/>
        </w:rPr>
        <w:t xml:space="preserve">1  </w:t>
      </w:r>
      <w:r w:rsidR="009B672D" w:rsidRPr="009B672D">
        <w:rPr>
          <w:rFonts w:cstheme="majorHAnsi"/>
          <w:b/>
          <w:bCs/>
          <w:color w:val="000000" w:themeColor="text1"/>
        </w:rPr>
        <w:t>Comparison of database workflows</w:t>
      </w:r>
      <w:r w:rsidRPr="009B672D">
        <w:rPr>
          <w:rFonts w:cstheme="majorHAnsi"/>
          <w:b/>
          <w:bCs/>
          <w:color w:val="000000" w:themeColor="text1"/>
        </w:rPr>
        <w:t>...…</w:t>
      </w:r>
      <w:r w:rsidR="009B672D">
        <w:rPr>
          <w:rFonts w:cstheme="majorHAnsi"/>
          <w:b/>
          <w:bCs/>
          <w:color w:val="000000" w:themeColor="text1"/>
        </w:rPr>
        <w:t>..</w:t>
      </w:r>
      <w:r w:rsidR="00AA7AD1" w:rsidRPr="009B672D">
        <w:rPr>
          <w:rFonts w:cstheme="majorHAnsi"/>
          <w:b/>
          <w:bCs/>
          <w:color w:val="000000" w:themeColor="text1"/>
        </w:rPr>
        <w:t>…</w:t>
      </w:r>
      <w:r w:rsidR="009B672D" w:rsidRPr="009B672D">
        <w:rPr>
          <w:rFonts w:cstheme="majorHAnsi"/>
          <w:b/>
          <w:bCs/>
          <w:color w:val="000000" w:themeColor="text1"/>
        </w:rPr>
        <w:t>……………….</w:t>
      </w:r>
      <w:r w:rsidRPr="009B672D">
        <w:rPr>
          <w:rFonts w:cstheme="majorHAnsi"/>
          <w:b/>
          <w:bCs/>
          <w:color w:val="000000" w:themeColor="text1"/>
        </w:rPr>
        <w:t>…</w:t>
      </w:r>
      <w:r w:rsidR="009B672D">
        <w:rPr>
          <w:rFonts w:cstheme="majorHAnsi"/>
          <w:b/>
          <w:bCs/>
          <w:color w:val="000000" w:themeColor="text1"/>
        </w:rPr>
        <w:t>..</w:t>
      </w:r>
      <w:r w:rsidR="00AA7AD1" w:rsidRPr="009B672D">
        <w:rPr>
          <w:rFonts w:cstheme="majorHAnsi"/>
          <w:b/>
          <w:bCs/>
          <w:color w:val="000000" w:themeColor="text1"/>
        </w:rPr>
        <w:t>…</w:t>
      </w:r>
      <w:r w:rsidR="00F34B06">
        <w:rPr>
          <w:rFonts w:cstheme="majorHAnsi"/>
          <w:b/>
          <w:bCs/>
          <w:color w:val="000000" w:themeColor="text1"/>
        </w:rPr>
        <w:t>.</w:t>
      </w:r>
      <w:r w:rsidRPr="009B672D">
        <w:rPr>
          <w:rFonts w:cstheme="majorHAnsi"/>
          <w:b/>
          <w:bCs/>
          <w:color w:val="000000" w:themeColor="text1"/>
        </w:rPr>
        <w:t>....100</w:t>
      </w:r>
    </w:p>
    <w:p w14:paraId="175A6B78" w14:textId="45363961" w:rsidR="003B4DAE" w:rsidRPr="009B672D" w:rsidRDefault="006373A6" w:rsidP="00AA7AD1">
      <w:pPr>
        <w:spacing w:before="1"/>
        <w:ind w:left="540" w:hanging="540"/>
        <w:rPr>
          <w:rFonts w:cstheme="majorHAnsi"/>
          <w:b/>
          <w:bCs/>
          <w:color w:val="000000" w:themeColor="text1"/>
        </w:rPr>
      </w:pPr>
      <w:r w:rsidRPr="009B672D">
        <w:rPr>
          <w:rFonts w:cstheme="majorHAnsi"/>
          <w:b/>
          <w:bCs/>
          <w:color w:val="000000" w:themeColor="text1"/>
        </w:rPr>
        <w:t>T</w:t>
      </w:r>
      <w:r w:rsidR="00F34B06">
        <w:rPr>
          <w:rFonts w:cstheme="majorHAnsi"/>
          <w:b/>
          <w:bCs/>
          <w:color w:val="000000" w:themeColor="text1"/>
        </w:rPr>
        <w:t>able</w:t>
      </w:r>
      <w:r w:rsidRPr="009B672D">
        <w:rPr>
          <w:rFonts w:cstheme="majorHAnsi"/>
          <w:b/>
          <w:bCs/>
          <w:color w:val="000000" w:themeColor="text1"/>
        </w:rPr>
        <w:t xml:space="preserve"> 6</w:t>
      </w:r>
      <w:r w:rsidR="009902D6">
        <w:rPr>
          <w:rFonts w:cstheme="majorHAnsi"/>
          <w:b/>
          <w:bCs/>
          <w:color w:val="000000" w:themeColor="text1"/>
        </w:rPr>
        <w:t>-</w:t>
      </w:r>
      <w:r w:rsidRPr="009B672D">
        <w:rPr>
          <w:rFonts w:cstheme="majorHAnsi"/>
          <w:b/>
          <w:bCs/>
          <w:color w:val="000000" w:themeColor="text1"/>
        </w:rPr>
        <w:t xml:space="preserve">1  </w:t>
      </w:r>
      <w:r w:rsidR="009B672D" w:rsidRPr="009B672D">
        <w:rPr>
          <w:rFonts w:cstheme="majorHAnsi"/>
          <w:b/>
          <w:bCs/>
          <w:color w:val="000000" w:themeColor="text1"/>
        </w:rPr>
        <w:t xml:space="preserve">Fungal metabolic modules identified in </w:t>
      </w:r>
      <w:r w:rsidR="00F34B06">
        <w:rPr>
          <w:rFonts w:cstheme="majorHAnsi"/>
          <w:b/>
          <w:bCs/>
          <w:color w:val="000000" w:themeColor="text1"/>
        </w:rPr>
        <w:t>GOMIXER</w:t>
      </w:r>
      <w:r w:rsidR="009B672D" w:rsidRPr="009B672D">
        <w:rPr>
          <w:rFonts w:cstheme="majorHAnsi"/>
          <w:b/>
          <w:bCs/>
          <w:color w:val="000000" w:themeColor="text1"/>
        </w:rPr>
        <w:t xml:space="preserve"> analysis</w:t>
      </w:r>
      <w:r w:rsidR="00AA7AD1" w:rsidRPr="009B672D">
        <w:rPr>
          <w:rFonts w:cstheme="majorHAnsi"/>
          <w:b/>
          <w:bCs/>
          <w:color w:val="000000" w:themeColor="text1"/>
        </w:rPr>
        <w:t>……</w:t>
      </w:r>
      <w:r w:rsidR="00F34B06">
        <w:rPr>
          <w:rFonts w:cstheme="majorHAnsi"/>
          <w:b/>
          <w:bCs/>
          <w:color w:val="000000" w:themeColor="text1"/>
        </w:rPr>
        <w:t>…</w:t>
      </w:r>
      <w:r w:rsidRPr="009B672D">
        <w:rPr>
          <w:rFonts w:cstheme="majorHAnsi"/>
          <w:b/>
          <w:bCs/>
          <w:color w:val="000000" w:themeColor="text1"/>
        </w:rPr>
        <w:t>155</w:t>
      </w:r>
    </w:p>
    <w:p w14:paraId="78288A82" w14:textId="4287F6A8" w:rsidR="006613B6" w:rsidRPr="00476931" w:rsidRDefault="006613B6" w:rsidP="006613B6">
      <w:pPr>
        <w:spacing w:before="1"/>
        <w:ind w:left="0" w:firstLine="0"/>
        <w:rPr>
          <w:rFonts w:cstheme="majorHAnsi"/>
          <w:b/>
          <w:color w:val="000000" w:themeColor="text1"/>
          <w:lang w:val="en-CA"/>
        </w:rPr>
      </w:pPr>
      <w:r w:rsidRPr="00476931">
        <w:rPr>
          <w:rFonts w:cstheme="majorHAnsi"/>
          <w:color w:val="000000" w:themeColor="text1"/>
        </w:rPr>
        <w:br w:type="page"/>
      </w:r>
    </w:p>
    <w:p w14:paraId="3755CCA8" w14:textId="2DB3D70C" w:rsidR="006464BD" w:rsidRDefault="006038D7" w:rsidP="006038D7">
      <w:pPr>
        <w:pStyle w:val="TableofFigures"/>
        <w:tabs>
          <w:tab w:val="right" w:leader="dot" w:pos="8630"/>
        </w:tabs>
        <w:jc w:val="center"/>
        <w:rPr>
          <w:sz w:val="28"/>
          <w:szCs w:val="28"/>
          <w:lang w:val="en-GB" w:eastAsia="en-GB"/>
        </w:rPr>
      </w:pPr>
      <w:r w:rsidRPr="006038D7">
        <w:rPr>
          <w:sz w:val="28"/>
          <w:szCs w:val="28"/>
          <w:lang w:val="en-GB" w:eastAsia="en-GB"/>
        </w:rPr>
        <w:lastRenderedPageBreak/>
        <w:t>L</w:t>
      </w:r>
      <w:r>
        <w:rPr>
          <w:sz w:val="28"/>
          <w:szCs w:val="28"/>
          <w:lang w:val="en-GB" w:eastAsia="en-GB"/>
        </w:rPr>
        <w:t>IST OF FIGURES</w:t>
      </w:r>
    </w:p>
    <w:p w14:paraId="674DADDD" w14:textId="77777777" w:rsidR="00544592" w:rsidRPr="00544592" w:rsidRDefault="00544592" w:rsidP="00544592">
      <w:pPr>
        <w:rPr>
          <w:lang w:val="en-GB" w:eastAsia="en-GB"/>
        </w:rPr>
      </w:pPr>
    </w:p>
    <w:p w14:paraId="01D6C60C" w14:textId="372C0E57" w:rsidR="006314F9" w:rsidRDefault="002409D5">
      <w:pPr>
        <w:pStyle w:val="TableofFigures"/>
        <w:tabs>
          <w:tab w:val="right" w:leader="dot" w:pos="8630"/>
        </w:tabs>
        <w:rPr>
          <w:rFonts w:asciiTheme="minorHAnsi" w:eastAsiaTheme="minorEastAsia" w:hAnsiTheme="minorHAnsi" w:cstheme="minorBidi"/>
          <w:b w:val="0"/>
          <w:noProof/>
          <w:szCs w:val="24"/>
        </w:rPr>
      </w:pPr>
      <w:r w:rsidRPr="00081E67">
        <w:rPr>
          <w:b w:val="0"/>
          <w:bCs/>
          <w:sz w:val="28"/>
          <w:szCs w:val="28"/>
          <w:lang w:val="en-GB" w:eastAsia="en-GB"/>
        </w:rPr>
        <w:fldChar w:fldCharType="begin"/>
      </w:r>
      <w:r w:rsidRPr="00081E67">
        <w:rPr>
          <w:b w:val="0"/>
          <w:bCs/>
          <w:sz w:val="28"/>
          <w:szCs w:val="28"/>
          <w:lang w:val="en-GB" w:eastAsia="en-GB"/>
        </w:rPr>
        <w:instrText xml:space="preserve"> TOC \h \z \c "Figure" </w:instrText>
      </w:r>
      <w:r w:rsidRPr="00081E67">
        <w:rPr>
          <w:b w:val="0"/>
          <w:bCs/>
          <w:sz w:val="28"/>
          <w:szCs w:val="28"/>
          <w:lang w:val="en-GB" w:eastAsia="en-GB"/>
        </w:rPr>
        <w:fldChar w:fldCharType="separate"/>
      </w:r>
      <w:hyperlink r:id="rId11" w:anchor="_Toc110246916" w:history="1">
        <w:r w:rsidR="006314F9" w:rsidRPr="00E9733A">
          <w:rPr>
            <w:rStyle w:val="Hyperlink"/>
            <w:noProof/>
          </w:rPr>
          <w:t>Figure 1</w:t>
        </w:r>
        <w:r w:rsidR="006314F9" w:rsidRPr="00E9733A">
          <w:rPr>
            <w:rStyle w:val="Hyperlink"/>
            <w:noProof/>
          </w:rPr>
          <w:noBreakHyphen/>
          <w:t>1  Multi-omics approaches for studying microbiomes enabling comprehensive characterization of microbial ecosystems.</w:t>
        </w:r>
        <w:r w:rsidR="006314F9">
          <w:rPr>
            <w:noProof/>
            <w:webHidden/>
          </w:rPr>
          <w:tab/>
        </w:r>
        <w:r w:rsidR="006314F9">
          <w:rPr>
            <w:noProof/>
            <w:webHidden/>
          </w:rPr>
          <w:fldChar w:fldCharType="begin"/>
        </w:r>
        <w:r w:rsidR="006314F9">
          <w:rPr>
            <w:noProof/>
            <w:webHidden/>
          </w:rPr>
          <w:instrText xml:space="preserve"> PAGEREF _Toc110246916 \h </w:instrText>
        </w:r>
        <w:r w:rsidR="006314F9">
          <w:rPr>
            <w:noProof/>
            <w:webHidden/>
          </w:rPr>
        </w:r>
        <w:r w:rsidR="006314F9">
          <w:rPr>
            <w:noProof/>
            <w:webHidden/>
          </w:rPr>
          <w:fldChar w:fldCharType="separate"/>
        </w:r>
        <w:r w:rsidR="006314F9">
          <w:rPr>
            <w:noProof/>
            <w:webHidden/>
          </w:rPr>
          <w:t>5</w:t>
        </w:r>
        <w:r w:rsidR="006314F9">
          <w:rPr>
            <w:noProof/>
            <w:webHidden/>
          </w:rPr>
          <w:fldChar w:fldCharType="end"/>
        </w:r>
      </w:hyperlink>
    </w:p>
    <w:p w14:paraId="27786AEA" w14:textId="183CAD64"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17" w:history="1">
        <w:r w:rsidR="006314F9" w:rsidRPr="00E9733A">
          <w:rPr>
            <w:rStyle w:val="Hyperlink"/>
            <w:noProof/>
          </w:rPr>
          <w:t>Figure 1</w:t>
        </w:r>
        <w:r w:rsidR="006314F9" w:rsidRPr="00E9733A">
          <w:rPr>
            <w:rStyle w:val="Hyperlink"/>
            <w:noProof/>
          </w:rPr>
          <w:noBreakHyphen/>
          <w:t>2  Bottom-up vs. middle-down vs. top-down proteomic strategies.</w:t>
        </w:r>
        <w:r w:rsidR="006314F9">
          <w:rPr>
            <w:noProof/>
            <w:webHidden/>
          </w:rPr>
          <w:tab/>
        </w:r>
        <w:r w:rsidR="006314F9">
          <w:rPr>
            <w:noProof/>
            <w:webHidden/>
          </w:rPr>
          <w:fldChar w:fldCharType="begin"/>
        </w:r>
        <w:r w:rsidR="006314F9">
          <w:rPr>
            <w:noProof/>
            <w:webHidden/>
          </w:rPr>
          <w:instrText xml:space="preserve"> PAGEREF _Toc110246917 \h </w:instrText>
        </w:r>
        <w:r w:rsidR="006314F9">
          <w:rPr>
            <w:noProof/>
            <w:webHidden/>
          </w:rPr>
        </w:r>
        <w:r w:rsidR="006314F9">
          <w:rPr>
            <w:noProof/>
            <w:webHidden/>
          </w:rPr>
          <w:fldChar w:fldCharType="separate"/>
        </w:r>
        <w:r w:rsidR="006314F9">
          <w:rPr>
            <w:noProof/>
            <w:webHidden/>
          </w:rPr>
          <w:t>9</w:t>
        </w:r>
        <w:r w:rsidR="006314F9">
          <w:rPr>
            <w:noProof/>
            <w:webHidden/>
          </w:rPr>
          <w:fldChar w:fldCharType="end"/>
        </w:r>
      </w:hyperlink>
    </w:p>
    <w:p w14:paraId="51AA6176" w14:textId="26652E95"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18" w:history="1">
        <w:r w:rsidR="006314F9" w:rsidRPr="00E9733A">
          <w:rPr>
            <w:rStyle w:val="Hyperlink"/>
            <w:noProof/>
          </w:rPr>
          <w:t>Figure 2</w:t>
        </w:r>
        <w:r w:rsidR="006314F9" w:rsidRPr="00E9733A">
          <w:rPr>
            <w:rStyle w:val="Hyperlink"/>
            <w:noProof/>
          </w:rPr>
          <w:noBreakHyphen/>
          <w:t>1  General workflow for bottom-up LC-MS/MS proteomics.</w:t>
        </w:r>
        <w:r w:rsidR="006314F9">
          <w:rPr>
            <w:noProof/>
            <w:webHidden/>
          </w:rPr>
          <w:tab/>
        </w:r>
        <w:r w:rsidR="006314F9">
          <w:rPr>
            <w:noProof/>
            <w:webHidden/>
          </w:rPr>
          <w:fldChar w:fldCharType="begin"/>
        </w:r>
        <w:r w:rsidR="006314F9">
          <w:rPr>
            <w:noProof/>
            <w:webHidden/>
          </w:rPr>
          <w:instrText xml:space="preserve"> PAGEREF _Toc110246918 \h </w:instrText>
        </w:r>
        <w:r w:rsidR="006314F9">
          <w:rPr>
            <w:noProof/>
            <w:webHidden/>
          </w:rPr>
        </w:r>
        <w:r w:rsidR="006314F9">
          <w:rPr>
            <w:noProof/>
            <w:webHidden/>
          </w:rPr>
          <w:fldChar w:fldCharType="separate"/>
        </w:r>
        <w:r w:rsidR="006314F9">
          <w:rPr>
            <w:noProof/>
            <w:webHidden/>
          </w:rPr>
          <w:t>17</w:t>
        </w:r>
        <w:r w:rsidR="006314F9">
          <w:rPr>
            <w:noProof/>
            <w:webHidden/>
          </w:rPr>
          <w:fldChar w:fldCharType="end"/>
        </w:r>
      </w:hyperlink>
    </w:p>
    <w:p w14:paraId="1069BD2B" w14:textId="10B00F87"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19" w:history="1">
        <w:r w:rsidR="006314F9" w:rsidRPr="00E9733A">
          <w:rPr>
            <w:rStyle w:val="Hyperlink"/>
            <w:noProof/>
          </w:rPr>
          <w:t>Figure 2</w:t>
        </w:r>
        <w:r w:rsidR="006314F9" w:rsidRPr="00E9733A">
          <w:rPr>
            <w:rStyle w:val="Hyperlink"/>
            <w:noProof/>
          </w:rPr>
          <w:noBreakHyphen/>
          <w:t>2  Chromatographic peak resolution.</w:t>
        </w:r>
        <w:r w:rsidR="006314F9">
          <w:rPr>
            <w:noProof/>
            <w:webHidden/>
          </w:rPr>
          <w:tab/>
        </w:r>
        <w:r w:rsidR="006314F9">
          <w:rPr>
            <w:noProof/>
            <w:webHidden/>
          </w:rPr>
          <w:fldChar w:fldCharType="begin"/>
        </w:r>
        <w:r w:rsidR="006314F9">
          <w:rPr>
            <w:noProof/>
            <w:webHidden/>
          </w:rPr>
          <w:instrText xml:space="preserve"> PAGEREF _Toc110246919 \h </w:instrText>
        </w:r>
        <w:r w:rsidR="006314F9">
          <w:rPr>
            <w:noProof/>
            <w:webHidden/>
          </w:rPr>
        </w:r>
        <w:r w:rsidR="006314F9">
          <w:rPr>
            <w:noProof/>
            <w:webHidden/>
          </w:rPr>
          <w:fldChar w:fldCharType="separate"/>
        </w:r>
        <w:r w:rsidR="006314F9">
          <w:rPr>
            <w:noProof/>
            <w:webHidden/>
          </w:rPr>
          <w:t>28</w:t>
        </w:r>
        <w:r w:rsidR="006314F9">
          <w:rPr>
            <w:noProof/>
            <w:webHidden/>
          </w:rPr>
          <w:fldChar w:fldCharType="end"/>
        </w:r>
      </w:hyperlink>
    </w:p>
    <w:p w14:paraId="438AD12B" w14:textId="18955B95"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20" w:history="1">
        <w:r w:rsidR="006314F9" w:rsidRPr="00E9733A">
          <w:rPr>
            <w:rStyle w:val="Hyperlink"/>
            <w:noProof/>
          </w:rPr>
          <w:t>Figure 2</w:t>
        </w:r>
        <w:r w:rsidR="006314F9" w:rsidRPr="00E9733A">
          <w:rPr>
            <w:rStyle w:val="Hyperlink"/>
            <w:noProof/>
          </w:rPr>
          <w:noBreakHyphen/>
          <w:t>3  MudPIT LC column set-up.</w:t>
        </w:r>
        <w:r w:rsidR="006314F9">
          <w:rPr>
            <w:noProof/>
            <w:webHidden/>
          </w:rPr>
          <w:tab/>
        </w:r>
        <w:r w:rsidR="006314F9">
          <w:rPr>
            <w:noProof/>
            <w:webHidden/>
          </w:rPr>
          <w:fldChar w:fldCharType="begin"/>
        </w:r>
        <w:r w:rsidR="006314F9">
          <w:rPr>
            <w:noProof/>
            <w:webHidden/>
          </w:rPr>
          <w:instrText xml:space="preserve"> PAGEREF _Toc110246920 \h </w:instrText>
        </w:r>
        <w:r w:rsidR="006314F9">
          <w:rPr>
            <w:noProof/>
            <w:webHidden/>
          </w:rPr>
        </w:r>
        <w:r w:rsidR="006314F9">
          <w:rPr>
            <w:noProof/>
            <w:webHidden/>
          </w:rPr>
          <w:fldChar w:fldCharType="separate"/>
        </w:r>
        <w:r w:rsidR="006314F9">
          <w:rPr>
            <w:noProof/>
            <w:webHidden/>
          </w:rPr>
          <w:t>31</w:t>
        </w:r>
        <w:r w:rsidR="006314F9">
          <w:rPr>
            <w:noProof/>
            <w:webHidden/>
          </w:rPr>
          <w:fldChar w:fldCharType="end"/>
        </w:r>
      </w:hyperlink>
    </w:p>
    <w:p w14:paraId="3F874174" w14:textId="3B641DBC"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21" w:history="1">
        <w:r w:rsidR="006314F9" w:rsidRPr="00E9733A">
          <w:rPr>
            <w:rStyle w:val="Hyperlink"/>
            <w:noProof/>
          </w:rPr>
          <w:t>Figure 2</w:t>
        </w:r>
        <w:r w:rsidR="006314F9" w:rsidRPr="00E9733A">
          <w:rPr>
            <w:rStyle w:val="Hyperlink"/>
            <w:noProof/>
          </w:rPr>
          <w:noBreakHyphen/>
          <w:t xml:space="preserve">4  Components of a mass spectrometer.  </w:t>
        </w:r>
        <w:r w:rsidR="006314F9" w:rsidRPr="00E9733A">
          <w:rPr>
            <w:rStyle w:val="Hyperlink"/>
            <w:bCs/>
            <w:noProof/>
          </w:rPr>
          <w:t>All MS instrumentation contains components for ion generation, sorting, and detection.</w:t>
        </w:r>
        <w:r w:rsidR="006314F9">
          <w:rPr>
            <w:noProof/>
            <w:webHidden/>
          </w:rPr>
          <w:tab/>
        </w:r>
        <w:r w:rsidR="006314F9">
          <w:rPr>
            <w:noProof/>
            <w:webHidden/>
          </w:rPr>
          <w:fldChar w:fldCharType="begin"/>
        </w:r>
        <w:r w:rsidR="006314F9">
          <w:rPr>
            <w:noProof/>
            <w:webHidden/>
          </w:rPr>
          <w:instrText xml:space="preserve"> PAGEREF _Toc110246921 \h </w:instrText>
        </w:r>
        <w:r w:rsidR="006314F9">
          <w:rPr>
            <w:noProof/>
            <w:webHidden/>
          </w:rPr>
        </w:r>
        <w:r w:rsidR="006314F9">
          <w:rPr>
            <w:noProof/>
            <w:webHidden/>
          </w:rPr>
          <w:fldChar w:fldCharType="separate"/>
        </w:r>
        <w:r w:rsidR="006314F9">
          <w:rPr>
            <w:noProof/>
            <w:webHidden/>
          </w:rPr>
          <w:t>34</w:t>
        </w:r>
        <w:r w:rsidR="006314F9">
          <w:rPr>
            <w:noProof/>
            <w:webHidden/>
          </w:rPr>
          <w:fldChar w:fldCharType="end"/>
        </w:r>
      </w:hyperlink>
    </w:p>
    <w:p w14:paraId="42E6C905" w14:textId="44257F19"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22" w:history="1">
        <w:r w:rsidR="006314F9" w:rsidRPr="00E9733A">
          <w:rPr>
            <w:rStyle w:val="Hyperlink"/>
            <w:noProof/>
          </w:rPr>
          <w:t>Figure 2</w:t>
        </w:r>
        <w:r w:rsidR="006314F9" w:rsidRPr="00E9733A">
          <w:rPr>
            <w:rStyle w:val="Hyperlink"/>
            <w:noProof/>
          </w:rPr>
          <w:noBreakHyphen/>
          <w:t>5  Analytical figure of merit.</w:t>
        </w:r>
        <w:r w:rsidR="006314F9">
          <w:rPr>
            <w:noProof/>
            <w:webHidden/>
          </w:rPr>
          <w:tab/>
        </w:r>
        <w:r w:rsidR="006314F9">
          <w:rPr>
            <w:noProof/>
            <w:webHidden/>
          </w:rPr>
          <w:fldChar w:fldCharType="begin"/>
        </w:r>
        <w:r w:rsidR="006314F9">
          <w:rPr>
            <w:noProof/>
            <w:webHidden/>
          </w:rPr>
          <w:instrText xml:space="preserve"> PAGEREF _Toc110246922 \h </w:instrText>
        </w:r>
        <w:r w:rsidR="006314F9">
          <w:rPr>
            <w:noProof/>
            <w:webHidden/>
          </w:rPr>
        </w:r>
        <w:r w:rsidR="006314F9">
          <w:rPr>
            <w:noProof/>
            <w:webHidden/>
          </w:rPr>
          <w:fldChar w:fldCharType="separate"/>
        </w:r>
        <w:r w:rsidR="006314F9">
          <w:rPr>
            <w:noProof/>
            <w:webHidden/>
          </w:rPr>
          <w:t>35</w:t>
        </w:r>
        <w:r w:rsidR="006314F9">
          <w:rPr>
            <w:noProof/>
            <w:webHidden/>
          </w:rPr>
          <w:fldChar w:fldCharType="end"/>
        </w:r>
      </w:hyperlink>
    </w:p>
    <w:p w14:paraId="2ABAA267" w14:textId="6A669A21"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23" w:history="1">
        <w:r w:rsidR="006314F9" w:rsidRPr="00E9733A">
          <w:rPr>
            <w:rStyle w:val="Hyperlink"/>
            <w:noProof/>
          </w:rPr>
          <w:t>Figure 2</w:t>
        </w:r>
        <w:r w:rsidR="006314F9" w:rsidRPr="00E9733A">
          <w:rPr>
            <w:rStyle w:val="Hyperlink"/>
            <w:noProof/>
          </w:rPr>
          <w:noBreakHyphen/>
          <w:t>6  Schematic representation of the electrospray ionization (ESI) process.</w:t>
        </w:r>
        <w:r w:rsidR="006314F9">
          <w:rPr>
            <w:noProof/>
            <w:webHidden/>
          </w:rPr>
          <w:tab/>
        </w:r>
        <w:r w:rsidR="006314F9">
          <w:rPr>
            <w:noProof/>
            <w:webHidden/>
          </w:rPr>
          <w:fldChar w:fldCharType="begin"/>
        </w:r>
        <w:r w:rsidR="006314F9">
          <w:rPr>
            <w:noProof/>
            <w:webHidden/>
          </w:rPr>
          <w:instrText xml:space="preserve"> PAGEREF _Toc110246923 \h </w:instrText>
        </w:r>
        <w:r w:rsidR="006314F9">
          <w:rPr>
            <w:noProof/>
            <w:webHidden/>
          </w:rPr>
        </w:r>
        <w:r w:rsidR="006314F9">
          <w:rPr>
            <w:noProof/>
            <w:webHidden/>
          </w:rPr>
          <w:fldChar w:fldCharType="separate"/>
        </w:r>
        <w:r w:rsidR="006314F9">
          <w:rPr>
            <w:noProof/>
            <w:webHidden/>
          </w:rPr>
          <w:t>37</w:t>
        </w:r>
        <w:r w:rsidR="006314F9">
          <w:rPr>
            <w:noProof/>
            <w:webHidden/>
          </w:rPr>
          <w:fldChar w:fldCharType="end"/>
        </w:r>
      </w:hyperlink>
    </w:p>
    <w:p w14:paraId="54F51E3C" w14:textId="641BE725"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24" w:history="1">
        <w:r w:rsidR="006314F9" w:rsidRPr="00E9733A">
          <w:rPr>
            <w:rStyle w:val="Hyperlink"/>
            <w:noProof/>
          </w:rPr>
          <w:t>Figure 2</w:t>
        </w:r>
        <w:r w:rsidR="006314F9" w:rsidRPr="00E9733A">
          <w:rPr>
            <w:rStyle w:val="Hyperlink"/>
            <w:noProof/>
          </w:rPr>
          <w:noBreakHyphen/>
          <w:t>7  Schematic of the Q Exactive Plus mass spectrometer.</w:t>
        </w:r>
        <w:r w:rsidR="006314F9">
          <w:rPr>
            <w:noProof/>
            <w:webHidden/>
          </w:rPr>
          <w:tab/>
        </w:r>
        <w:r w:rsidR="006314F9">
          <w:rPr>
            <w:noProof/>
            <w:webHidden/>
          </w:rPr>
          <w:fldChar w:fldCharType="begin"/>
        </w:r>
        <w:r w:rsidR="006314F9">
          <w:rPr>
            <w:noProof/>
            <w:webHidden/>
          </w:rPr>
          <w:instrText xml:space="preserve"> PAGEREF _Toc110246924 \h </w:instrText>
        </w:r>
        <w:r w:rsidR="006314F9">
          <w:rPr>
            <w:noProof/>
            <w:webHidden/>
          </w:rPr>
        </w:r>
        <w:r w:rsidR="006314F9">
          <w:rPr>
            <w:noProof/>
            <w:webHidden/>
          </w:rPr>
          <w:fldChar w:fldCharType="separate"/>
        </w:r>
        <w:r w:rsidR="006314F9">
          <w:rPr>
            <w:noProof/>
            <w:webHidden/>
          </w:rPr>
          <w:t>41</w:t>
        </w:r>
        <w:r w:rsidR="006314F9">
          <w:rPr>
            <w:noProof/>
            <w:webHidden/>
          </w:rPr>
          <w:fldChar w:fldCharType="end"/>
        </w:r>
      </w:hyperlink>
    </w:p>
    <w:p w14:paraId="5A95D550" w14:textId="7BF86489"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25" w:history="1">
        <w:r w:rsidR="006314F9" w:rsidRPr="00E9733A">
          <w:rPr>
            <w:rStyle w:val="Hyperlink"/>
            <w:noProof/>
          </w:rPr>
          <w:t>Figure 2</w:t>
        </w:r>
        <w:r w:rsidR="006314F9" w:rsidRPr="00E9733A">
          <w:rPr>
            <w:rStyle w:val="Hyperlink"/>
            <w:noProof/>
          </w:rPr>
          <w:noBreakHyphen/>
          <w:t>8  Example of fragmentation ions generated from a peptide.</w:t>
        </w:r>
        <w:r w:rsidR="006314F9">
          <w:rPr>
            <w:noProof/>
            <w:webHidden/>
          </w:rPr>
          <w:tab/>
        </w:r>
        <w:r w:rsidR="006314F9">
          <w:rPr>
            <w:noProof/>
            <w:webHidden/>
          </w:rPr>
          <w:fldChar w:fldCharType="begin"/>
        </w:r>
        <w:r w:rsidR="006314F9">
          <w:rPr>
            <w:noProof/>
            <w:webHidden/>
          </w:rPr>
          <w:instrText xml:space="preserve"> PAGEREF _Toc110246925 \h </w:instrText>
        </w:r>
        <w:r w:rsidR="006314F9">
          <w:rPr>
            <w:noProof/>
            <w:webHidden/>
          </w:rPr>
        </w:r>
        <w:r w:rsidR="006314F9">
          <w:rPr>
            <w:noProof/>
            <w:webHidden/>
          </w:rPr>
          <w:fldChar w:fldCharType="separate"/>
        </w:r>
        <w:r w:rsidR="006314F9">
          <w:rPr>
            <w:noProof/>
            <w:webHidden/>
          </w:rPr>
          <w:t>44</w:t>
        </w:r>
        <w:r w:rsidR="006314F9">
          <w:rPr>
            <w:noProof/>
            <w:webHidden/>
          </w:rPr>
          <w:fldChar w:fldCharType="end"/>
        </w:r>
      </w:hyperlink>
    </w:p>
    <w:p w14:paraId="41253F05" w14:textId="276B0DD5" w:rsidR="006314F9" w:rsidRDefault="00FA115D">
      <w:pPr>
        <w:pStyle w:val="TableofFigures"/>
        <w:tabs>
          <w:tab w:val="right" w:leader="dot" w:pos="8630"/>
        </w:tabs>
        <w:rPr>
          <w:rFonts w:asciiTheme="minorHAnsi" w:eastAsiaTheme="minorEastAsia" w:hAnsiTheme="minorHAnsi" w:cstheme="minorBidi"/>
          <w:b w:val="0"/>
          <w:noProof/>
          <w:szCs w:val="24"/>
        </w:rPr>
      </w:pPr>
      <w:hyperlink r:id="rId12" w:anchor="_Toc110246926" w:history="1">
        <w:r w:rsidR="006314F9" w:rsidRPr="00E9733A">
          <w:rPr>
            <w:rStyle w:val="Hyperlink"/>
            <w:noProof/>
          </w:rPr>
          <w:t>Figure 2</w:t>
        </w:r>
        <w:r w:rsidR="006314F9" w:rsidRPr="00E9733A">
          <w:rPr>
            <w:rStyle w:val="Hyperlink"/>
            <w:noProof/>
          </w:rPr>
          <w:noBreakHyphen/>
          <w:t>9  Experiment-wide false discovery rates (FDR) evaluation with a target-decoy strategy.</w:t>
        </w:r>
        <w:r w:rsidR="006314F9">
          <w:rPr>
            <w:noProof/>
            <w:webHidden/>
          </w:rPr>
          <w:tab/>
        </w:r>
        <w:r w:rsidR="006314F9">
          <w:rPr>
            <w:noProof/>
            <w:webHidden/>
          </w:rPr>
          <w:fldChar w:fldCharType="begin"/>
        </w:r>
        <w:r w:rsidR="006314F9">
          <w:rPr>
            <w:noProof/>
            <w:webHidden/>
          </w:rPr>
          <w:instrText xml:space="preserve"> PAGEREF _Toc110246926 \h </w:instrText>
        </w:r>
        <w:r w:rsidR="006314F9">
          <w:rPr>
            <w:noProof/>
            <w:webHidden/>
          </w:rPr>
        </w:r>
        <w:r w:rsidR="006314F9">
          <w:rPr>
            <w:noProof/>
            <w:webHidden/>
          </w:rPr>
          <w:fldChar w:fldCharType="separate"/>
        </w:r>
        <w:r w:rsidR="006314F9">
          <w:rPr>
            <w:noProof/>
            <w:webHidden/>
          </w:rPr>
          <w:t>49</w:t>
        </w:r>
        <w:r w:rsidR="006314F9">
          <w:rPr>
            <w:noProof/>
            <w:webHidden/>
          </w:rPr>
          <w:fldChar w:fldCharType="end"/>
        </w:r>
      </w:hyperlink>
    </w:p>
    <w:p w14:paraId="4CEF7E4E" w14:textId="4E82B9CA"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27" w:history="1">
        <w:r w:rsidR="006314F9" w:rsidRPr="00E9733A">
          <w:rPr>
            <w:rStyle w:val="Hyperlink"/>
            <w:noProof/>
          </w:rPr>
          <w:t>Figure 3</w:t>
        </w:r>
        <w:r w:rsidR="006314F9" w:rsidRPr="00E9733A">
          <w:rPr>
            <w:rStyle w:val="Hyperlink"/>
            <w:noProof/>
          </w:rPr>
          <w:noBreakHyphen/>
          <w:t>1  Aggregation of proteins and humic acids on magnetic bead microparticles.</w:t>
        </w:r>
        <w:r w:rsidR="006314F9">
          <w:rPr>
            <w:noProof/>
            <w:webHidden/>
          </w:rPr>
          <w:tab/>
        </w:r>
        <w:r w:rsidR="006314F9">
          <w:rPr>
            <w:noProof/>
            <w:webHidden/>
          </w:rPr>
          <w:fldChar w:fldCharType="begin"/>
        </w:r>
        <w:r w:rsidR="006314F9">
          <w:rPr>
            <w:noProof/>
            <w:webHidden/>
          </w:rPr>
          <w:instrText xml:space="preserve"> PAGEREF _Toc110246927 \h </w:instrText>
        </w:r>
        <w:r w:rsidR="006314F9">
          <w:rPr>
            <w:noProof/>
            <w:webHidden/>
          </w:rPr>
        </w:r>
        <w:r w:rsidR="006314F9">
          <w:rPr>
            <w:noProof/>
            <w:webHidden/>
          </w:rPr>
          <w:fldChar w:fldCharType="separate"/>
        </w:r>
        <w:r w:rsidR="006314F9">
          <w:rPr>
            <w:noProof/>
            <w:webHidden/>
          </w:rPr>
          <w:t>63</w:t>
        </w:r>
        <w:r w:rsidR="006314F9">
          <w:rPr>
            <w:noProof/>
            <w:webHidden/>
          </w:rPr>
          <w:fldChar w:fldCharType="end"/>
        </w:r>
      </w:hyperlink>
    </w:p>
    <w:p w14:paraId="1ACD47DC" w14:textId="7A7948C6"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28" w:history="1">
        <w:r w:rsidR="006314F9" w:rsidRPr="00E9733A">
          <w:rPr>
            <w:rStyle w:val="Hyperlink"/>
            <w:noProof/>
          </w:rPr>
          <w:t>Figure 3</w:t>
        </w:r>
        <w:r w:rsidR="006314F9" w:rsidRPr="00E9733A">
          <w:rPr>
            <w:rStyle w:val="Hyperlink"/>
            <w:noProof/>
          </w:rPr>
          <w:noBreakHyphen/>
          <w:t>2  Charge state distribution of precursor ions detected by LC-MS/MS.</w:t>
        </w:r>
        <w:r w:rsidR="006314F9">
          <w:rPr>
            <w:noProof/>
            <w:webHidden/>
          </w:rPr>
          <w:tab/>
        </w:r>
        <w:r w:rsidR="006314F9">
          <w:rPr>
            <w:noProof/>
            <w:webHidden/>
          </w:rPr>
          <w:fldChar w:fldCharType="begin"/>
        </w:r>
        <w:r w:rsidR="006314F9">
          <w:rPr>
            <w:noProof/>
            <w:webHidden/>
          </w:rPr>
          <w:instrText xml:space="preserve"> PAGEREF _Toc110246928 \h </w:instrText>
        </w:r>
        <w:r w:rsidR="006314F9">
          <w:rPr>
            <w:noProof/>
            <w:webHidden/>
          </w:rPr>
        </w:r>
        <w:r w:rsidR="006314F9">
          <w:rPr>
            <w:noProof/>
            <w:webHidden/>
          </w:rPr>
          <w:fldChar w:fldCharType="separate"/>
        </w:r>
        <w:r w:rsidR="006314F9">
          <w:rPr>
            <w:noProof/>
            <w:webHidden/>
          </w:rPr>
          <w:t>67</w:t>
        </w:r>
        <w:r w:rsidR="006314F9">
          <w:rPr>
            <w:noProof/>
            <w:webHidden/>
          </w:rPr>
          <w:fldChar w:fldCharType="end"/>
        </w:r>
      </w:hyperlink>
    </w:p>
    <w:p w14:paraId="504A8E60" w14:textId="361167F9"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29" w:history="1">
        <w:r w:rsidR="006314F9" w:rsidRPr="00E9733A">
          <w:rPr>
            <w:rStyle w:val="Hyperlink"/>
            <w:noProof/>
          </w:rPr>
          <w:t>Figure 3</w:t>
        </w:r>
        <w:r w:rsidR="006314F9" w:rsidRPr="00E9733A">
          <w:rPr>
            <w:rStyle w:val="Hyperlink"/>
            <w:noProof/>
          </w:rPr>
          <w:noBreakHyphen/>
          <w:t>3  Schematic illustration of the sample preparation workflow used to assess protein extraction methods for the analysis of soil metaproteomes.</w:t>
        </w:r>
        <w:r w:rsidR="006314F9">
          <w:rPr>
            <w:noProof/>
            <w:webHidden/>
          </w:rPr>
          <w:tab/>
        </w:r>
        <w:r w:rsidR="006314F9">
          <w:rPr>
            <w:noProof/>
            <w:webHidden/>
          </w:rPr>
          <w:fldChar w:fldCharType="begin"/>
        </w:r>
        <w:r w:rsidR="006314F9">
          <w:rPr>
            <w:noProof/>
            <w:webHidden/>
          </w:rPr>
          <w:instrText xml:space="preserve"> PAGEREF _Toc110246929 \h </w:instrText>
        </w:r>
        <w:r w:rsidR="006314F9">
          <w:rPr>
            <w:noProof/>
            <w:webHidden/>
          </w:rPr>
        </w:r>
        <w:r w:rsidR="006314F9">
          <w:rPr>
            <w:noProof/>
            <w:webHidden/>
          </w:rPr>
          <w:fldChar w:fldCharType="separate"/>
        </w:r>
        <w:r w:rsidR="006314F9">
          <w:rPr>
            <w:noProof/>
            <w:webHidden/>
          </w:rPr>
          <w:t>71</w:t>
        </w:r>
        <w:r w:rsidR="006314F9">
          <w:rPr>
            <w:noProof/>
            <w:webHidden/>
          </w:rPr>
          <w:fldChar w:fldCharType="end"/>
        </w:r>
      </w:hyperlink>
    </w:p>
    <w:p w14:paraId="5744CF57" w14:textId="61DCEA63"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30" w:history="1">
        <w:r w:rsidR="006314F9" w:rsidRPr="00E9733A">
          <w:rPr>
            <w:rStyle w:val="Hyperlink"/>
            <w:noProof/>
          </w:rPr>
          <w:t>Figure 3</w:t>
        </w:r>
        <w:r w:rsidR="006314F9" w:rsidRPr="00E9733A">
          <w:rPr>
            <w:rStyle w:val="Hyperlink"/>
            <w:noProof/>
          </w:rPr>
          <w:noBreakHyphen/>
          <w:t>4  The extracted volume of topsoil samples prior to protein clean-up and digestion.</w:t>
        </w:r>
        <w:r w:rsidR="006314F9">
          <w:rPr>
            <w:noProof/>
            <w:webHidden/>
          </w:rPr>
          <w:tab/>
        </w:r>
        <w:r w:rsidR="006314F9">
          <w:rPr>
            <w:noProof/>
            <w:webHidden/>
          </w:rPr>
          <w:fldChar w:fldCharType="begin"/>
        </w:r>
        <w:r w:rsidR="006314F9">
          <w:rPr>
            <w:noProof/>
            <w:webHidden/>
          </w:rPr>
          <w:instrText xml:space="preserve"> PAGEREF _Toc110246930 \h </w:instrText>
        </w:r>
        <w:r w:rsidR="006314F9">
          <w:rPr>
            <w:noProof/>
            <w:webHidden/>
          </w:rPr>
        </w:r>
        <w:r w:rsidR="006314F9">
          <w:rPr>
            <w:noProof/>
            <w:webHidden/>
          </w:rPr>
          <w:fldChar w:fldCharType="separate"/>
        </w:r>
        <w:r w:rsidR="006314F9">
          <w:rPr>
            <w:noProof/>
            <w:webHidden/>
          </w:rPr>
          <w:t>72</w:t>
        </w:r>
        <w:r w:rsidR="006314F9">
          <w:rPr>
            <w:noProof/>
            <w:webHidden/>
          </w:rPr>
          <w:fldChar w:fldCharType="end"/>
        </w:r>
      </w:hyperlink>
    </w:p>
    <w:p w14:paraId="05D32DFA" w14:textId="02A1253D"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31" w:history="1">
        <w:r w:rsidR="006314F9" w:rsidRPr="00E9733A">
          <w:rPr>
            <w:rStyle w:val="Hyperlink"/>
            <w:noProof/>
          </w:rPr>
          <w:t>Figure 3</w:t>
        </w:r>
        <w:r w:rsidR="006314F9" w:rsidRPr="00E9733A">
          <w:rPr>
            <w:rStyle w:val="Hyperlink"/>
            <w:noProof/>
          </w:rPr>
          <w:noBreakHyphen/>
          <w:t>5  Evaluation of LC-MS/MS results for optimized protein extraction in permafrost soils.</w:t>
        </w:r>
        <w:r w:rsidR="006314F9">
          <w:rPr>
            <w:noProof/>
            <w:webHidden/>
          </w:rPr>
          <w:tab/>
        </w:r>
        <w:r w:rsidR="006314F9">
          <w:rPr>
            <w:noProof/>
            <w:webHidden/>
          </w:rPr>
          <w:fldChar w:fldCharType="begin"/>
        </w:r>
        <w:r w:rsidR="006314F9">
          <w:rPr>
            <w:noProof/>
            <w:webHidden/>
          </w:rPr>
          <w:instrText xml:space="preserve"> PAGEREF _Toc110246931 \h </w:instrText>
        </w:r>
        <w:r w:rsidR="006314F9">
          <w:rPr>
            <w:noProof/>
            <w:webHidden/>
          </w:rPr>
        </w:r>
        <w:r w:rsidR="006314F9">
          <w:rPr>
            <w:noProof/>
            <w:webHidden/>
          </w:rPr>
          <w:fldChar w:fldCharType="separate"/>
        </w:r>
        <w:r w:rsidR="006314F9">
          <w:rPr>
            <w:noProof/>
            <w:webHidden/>
          </w:rPr>
          <w:t>75</w:t>
        </w:r>
        <w:r w:rsidR="006314F9">
          <w:rPr>
            <w:noProof/>
            <w:webHidden/>
          </w:rPr>
          <w:fldChar w:fldCharType="end"/>
        </w:r>
      </w:hyperlink>
    </w:p>
    <w:p w14:paraId="11977C7B" w14:textId="56B9247C" w:rsidR="006314F9" w:rsidRDefault="00FA115D">
      <w:pPr>
        <w:pStyle w:val="TableofFigures"/>
        <w:tabs>
          <w:tab w:val="right" w:leader="dot" w:pos="8630"/>
        </w:tabs>
        <w:rPr>
          <w:rFonts w:asciiTheme="minorHAnsi" w:eastAsiaTheme="minorEastAsia" w:hAnsiTheme="minorHAnsi" w:cstheme="minorBidi"/>
          <w:b w:val="0"/>
          <w:noProof/>
          <w:szCs w:val="24"/>
        </w:rPr>
      </w:pPr>
      <w:hyperlink r:id="rId13" w:anchor="_Toc110246932" w:history="1">
        <w:r w:rsidR="006314F9" w:rsidRPr="00E9733A">
          <w:rPr>
            <w:rStyle w:val="Hyperlink"/>
            <w:noProof/>
          </w:rPr>
          <w:t>Figure 3</w:t>
        </w:r>
        <w:r w:rsidR="006314F9" w:rsidRPr="00E9733A">
          <w:rPr>
            <w:rStyle w:val="Hyperlink"/>
            <w:noProof/>
          </w:rPr>
          <w:noBreakHyphen/>
          <w:t>6  Impact of protein quantification method on LC-MS/MS peptide identification and quantification.</w:t>
        </w:r>
        <w:r w:rsidR="006314F9">
          <w:rPr>
            <w:noProof/>
            <w:webHidden/>
          </w:rPr>
          <w:tab/>
        </w:r>
        <w:r w:rsidR="006314F9">
          <w:rPr>
            <w:noProof/>
            <w:webHidden/>
          </w:rPr>
          <w:fldChar w:fldCharType="begin"/>
        </w:r>
        <w:r w:rsidR="006314F9">
          <w:rPr>
            <w:noProof/>
            <w:webHidden/>
          </w:rPr>
          <w:instrText xml:space="preserve"> PAGEREF _Toc110246932 \h </w:instrText>
        </w:r>
        <w:r w:rsidR="006314F9">
          <w:rPr>
            <w:noProof/>
            <w:webHidden/>
          </w:rPr>
        </w:r>
        <w:r w:rsidR="006314F9">
          <w:rPr>
            <w:noProof/>
            <w:webHidden/>
          </w:rPr>
          <w:fldChar w:fldCharType="separate"/>
        </w:r>
        <w:r w:rsidR="006314F9">
          <w:rPr>
            <w:noProof/>
            <w:webHidden/>
          </w:rPr>
          <w:t>83</w:t>
        </w:r>
        <w:r w:rsidR="006314F9">
          <w:rPr>
            <w:noProof/>
            <w:webHidden/>
          </w:rPr>
          <w:fldChar w:fldCharType="end"/>
        </w:r>
      </w:hyperlink>
    </w:p>
    <w:p w14:paraId="7B8F380C" w14:textId="0F112F3E"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33" w:history="1">
        <w:r w:rsidR="006314F9" w:rsidRPr="00E9733A">
          <w:rPr>
            <w:rStyle w:val="Hyperlink"/>
            <w:noProof/>
          </w:rPr>
          <w:t>Figure 3</w:t>
        </w:r>
        <w:r w:rsidR="006314F9" w:rsidRPr="00E9733A">
          <w:rPr>
            <w:rStyle w:val="Hyperlink"/>
            <w:noProof/>
          </w:rPr>
          <w:noBreakHyphen/>
          <w:t>7  Comparison of 1D-RP-LC measurements of SIHUMIx mock community.</w:t>
        </w:r>
        <w:r w:rsidR="006314F9">
          <w:rPr>
            <w:noProof/>
            <w:webHidden/>
          </w:rPr>
          <w:tab/>
        </w:r>
        <w:r w:rsidR="006314F9">
          <w:rPr>
            <w:noProof/>
            <w:webHidden/>
          </w:rPr>
          <w:fldChar w:fldCharType="begin"/>
        </w:r>
        <w:r w:rsidR="006314F9">
          <w:rPr>
            <w:noProof/>
            <w:webHidden/>
          </w:rPr>
          <w:instrText xml:space="preserve"> PAGEREF _Toc110246933 \h </w:instrText>
        </w:r>
        <w:r w:rsidR="006314F9">
          <w:rPr>
            <w:noProof/>
            <w:webHidden/>
          </w:rPr>
        </w:r>
        <w:r w:rsidR="006314F9">
          <w:rPr>
            <w:noProof/>
            <w:webHidden/>
          </w:rPr>
          <w:fldChar w:fldCharType="separate"/>
        </w:r>
        <w:r w:rsidR="006314F9">
          <w:rPr>
            <w:noProof/>
            <w:webHidden/>
          </w:rPr>
          <w:t>86</w:t>
        </w:r>
        <w:r w:rsidR="006314F9">
          <w:rPr>
            <w:noProof/>
            <w:webHidden/>
          </w:rPr>
          <w:fldChar w:fldCharType="end"/>
        </w:r>
      </w:hyperlink>
    </w:p>
    <w:p w14:paraId="40661B7F" w14:textId="78AE8A2B"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34" w:history="1">
        <w:r w:rsidR="006314F9" w:rsidRPr="00E9733A">
          <w:rPr>
            <w:rStyle w:val="Hyperlink"/>
            <w:noProof/>
          </w:rPr>
          <w:t>Figure 3</w:t>
        </w:r>
        <w:r w:rsidR="006314F9" w:rsidRPr="00E9733A">
          <w:rPr>
            <w:rStyle w:val="Hyperlink"/>
            <w:noProof/>
          </w:rPr>
          <w:noBreakHyphen/>
          <w:t>8  Functional profiles of identified Clostridium ramosum proteins.</w:t>
        </w:r>
        <w:r w:rsidR="006314F9">
          <w:rPr>
            <w:noProof/>
            <w:webHidden/>
          </w:rPr>
          <w:tab/>
        </w:r>
        <w:r w:rsidR="006314F9">
          <w:rPr>
            <w:noProof/>
            <w:webHidden/>
          </w:rPr>
          <w:fldChar w:fldCharType="begin"/>
        </w:r>
        <w:r w:rsidR="006314F9">
          <w:rPr>
            <w:noProof/>
            <w:webHidden/>
          </w:rPr>
          <w:instrText xml:space="preserve"> PAGEREF _Toc110246934 \h </w:instrText>
        </w:r>
        <w:r w:rsidR="006314F9">
          <w:rPr>
            <w:noProof/>
            <w:webHidden/>
          </w:rPr>
        </w:r>
        <w:r w:rsidR="006314F9">
          <w:rPr>
            <w:noProof/>
            <w:webHidden/>
          </w:rPr>
          <w:fldChar w:fldCharType="separate"/>
        </w:r>
        <w:r w:rsidR="006314F9">
          <w:rPr>
            <w:noProof/>
            <w:webHidden/>
          </w:rPr>
          <w:t>87</w:t>
        </w:r>
        <w:r w:rsidR="006314F9">
          <w:rPr>
            <w:noProof/>
            <w:webHidden/>
          </w:rPr>
          <w:fldChar w:fldCharType="end"/>
        </w:r>
      </w:hyperlink>
    </w:p>
    <w:p w14:paraId="2839A9C9" w14:textId="4EBD989E"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35" w:history="1">
        <w:r w:rsidR="006314F9" w:rsidRPr="00E9733A">
          <w:rPr>
            <w:rStyle w:val="Hyperlink"/>
            <w:bCs/>
            <w:noProof/>
          </w:rPr>
          <w:t>Figure 3</w:t>
        </w:r>
        <w:r w:rsidR="006314F9" w:rsidRPr="00E9733A">
          <w:rPr>
            <w:rStyle w:val="Hyperlink"/>
            <w:bCs/>
            <w:noProof/>
          </w:rPr>
          <w:noBreakHyphen/>
          <w:t>9</w:t>
        </w:r>
        <w:r w:rsidR="006314F9" w:rsidRPr="00E9733A">
          <w:rPr>
            <w:rStyle w:val="Hyperlink"/>
            <w:noProof/>
          </w:rPr>
          <w:t xml:space="preserve">  Identified PSMs, peptides, and proteins in a human fecal sample using different LC separation approaches.</w:t>
        </w:r>
        <w:r w:rsidR="006314F9">
          <w:rPr>
            <w:noProof/>
            <w:webHidden/>
          </w:rPr>
          <w:tab/>
        </w:r>
        <w:r w:rsidR="006314F9">
          <w:rPr>
            <w:noProof/>
            <w:webHidden/>
          </w:rPr>
          <w:fldChar w:fldCharType="begin"/>
        </w:r>
        <w:r w:rsidR="006314F9">
          <w:rPr>
            <w:noProof/>
            <w:webHidden/>
          </w:rPr>
          <w:instrText xml:space="preserve"> PAGEREF _Toc110246935 \h </w:instrText>
        </w:r>
        <w:r w:rsidR="006314F9">
          <w:rPr>
            <w:noProof/>
            <w:webHidden/>
          </w:rPr>
        </w:r>
        <w:r w:rsidR="006314F9">
          <w:rPr>
            <w:noProof/>
            <w:webHidden/>
          </w:rPr>
          <w:fldChar w:fldCharType="separate"/>
        </w:r>
        <w:r w:rsidR="006314F9">
          <w:rPr>
            <w:noProof/>
            <w:webHidden/>
          </w:rPr>
          <w:t>89</w:t>
        </w:r>
        <w:r w:rsidR="006314F9">
          <w:rPr>
            <w:noProof/>
            <w:webHidden/>
          </w:rPr>
          <w:fldChar w:fldCharType="end"/>
        </w:r>
      </w:hyperlink>
    </w:p>
    <w:p w14:paraId="473344E8" w14:textId="2143887D"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36" w:history="1">
        <w:r w:rsidR="006314F9" w:rsidRPr="00E9733A">
          <w:rPr>
            <w:rStyle w:val="Hyperlink"/>
            <w:noProof/>
          </w:rPr>
          <w:t>Figure 4</w:t>
        </w:r>
        <w:r w:rsidR="006314F9" w:rsidRPr="00E9733A">
          <w:rPr>
            <w:rStyle w:val="Hyperlink"/>
            <w:noProof/>
          </w:rPr>
          <w:noBreakHyphen/>
          <w:t>1  PSMs, peptides analytes, and proteins identified from the SIHUMIx mixture by three different search algorithm and PSM validation tools.</w:t>
        </w:r>
        <w:r w:rsidR="006314F9">
          <w:rPr>
            <w:noProof/>
            <w:webHidden/>
          </w:rPr>
          <w:tab/>
        </w:r>
        <w:r w:rsidR="006314F9">
          <w:rPr>
            <w:noProof/>
            <w:webHidden/>
          </w:rPr>
          <w:fldChar w:fldCharType="begin"/>
        </w:r>
        <w:r w:rsidR="006314F9">
          <w:rPr>
            <w:noProof/>
            <w:webHidden/>
          </w:rPr>
          <w:instrText xml:space="preserve"> PAGEREF _Toc110246936 \h </w:instrText>
        </w:r>
        <w:r w:rsidR="006314F9">
          <w:rPr>
            <w:noProof/>
            <w:webHidden/>
          </w:rPr>
        </w:r>
        <w:r w:rsidR="006314F9">
          <w:rPr>
            <w:noProof/>
            <w:webHidden/>
          </w:rPr>
          <w:fldChar w:fldCharType="separate"/>
        </w:r>
        <w:r w:rsidR="006314F9">
          <w:rPr>
            <w:noProof/>
            <w:webHidden/>
          </w:rPr>
          <w:t>94</w:t>
        </w:r>
        <w:r w:rsidR="006314F9">
          <w:rPr>
            <w:noProof/>
            <w:webHidden/>
          </w:rPr>
          <w:fldChar w:fldCharType="end"/>
        </w:r>
      </w:hyperlink>
    </w:p>
    <w:p w14:paraId="14E75DAA" w14:textId="4B532CAF"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37" w:history="1">
        <w:r w:rsidR="006314F9" w:rsidRPr="00E9733A">
          <w:rPr>
            <w:rStyle w:val="Hyperlink"/>
            <w:noProof/>
          </w:rPr>
          <w:t>Figure 4</w:t>
        </w:r>
        <w:r w:rsidR="006314F9" w:rsidRPr="00E9733A">
          <w:rPr>
            <w:rStyle w:val="Hyperlink"/>
            <w:noProof/>
          </w:rPr>
          <w:noBreakHyphen/>
          <w:t>2  120-minute gradient unfractionated SDS_PAGE gel band identified proteins.</w:t>
        </w:r>
        <w:r w:rsidR="006314F9">
          <w:rPr>
            <w:noProof/>
            <w:webHidden/>
          </w:rPr>
          <w:tab/>
        </w:r>
        <w:r w:rsidR="006314F9">
          <w:rPr>
            <w:noProof/>
            <w:webHidden/>
          </w:rPr>
          <w:fldChar w:fldCharType="begin"/>
        </w:r>
        <w:r w:rsidR="006314F9">
          <w:rPr>
            <w:noProof/>
            <w:webHidden/>
          </w:rPr>
          <w:instrText xml:space="preserve"> PAGEREF _Toc110246937 \h </w:instrText>
        </w:r>
        <w:r w:rsidR="006314F9">
          <w:rPr>
            <w:noProof/>
            <w:webHidden/>
          </w:rPr>
        </w:r>
        <w:r w:rsidR="006314F9">
          <w:rPr>
            <w:noProof/>
            <w:webHidden/>
          </w:rPr>
          <w:fldChar w:fldCharType="separate"/>
        </w:r>
        <w:r w:rsidR="006314F9">
          <w:rPr>
            <w:noProof/>
            <w:webHidden/>
          </w:rPr>
          <w:t>96</w:t>
        </w:r>
        <w:r w:rsidR="006314F9">
          <w:rPr>
            <w:noProof/>
            <w:webHidden/>
          </w:rPr>
          <w:fldChar w:fldCharType="end"/>
        </w:r>
      </w:hyperlink>
    </w:p>
    <w:p w14:paraId="0B00ED05" w14:textId="691DE7B6"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38" w:history="1">
        <w:r w:rsidR="006314F9" w:rsidRPr="00E9733A">
          <w:rPr>
            <w:rStyle w:val="Hyperlink"/>
            <w:noProof/>
          </w:rPr>
          <w:t>Figure 4</w:t>
        </w:r>
        <w:r w:rsidR="006314F9" w:rsidRPr="00E9733A">
          <w:rPr>
            <w:rStyle w:val="Hyperlink"/>
            <w:noProof/>
          </w:rPr>
          <w:noBreakHyphen/>
          <w:t>3  Co-isolation and co-fragmentation of precursor ions in LC-MS/MS bottom-up proteomics experiments.</w:t>
        </w:r>
        <w:r w:rsidR="006314F9">
          <w:rPr>
            <w:noProof/>
            <w:webHidden/>
          </w:rPr>
          <w:tab/>
        </w:r>
        <w:r w:rsidR="006314F9">
          <w:rPr>
            <w:noProof/>
            <w:webHidden/>
          </w:rPr>
          <w:fldChar w:fldCharType="begin"/>
        </w:r>
        <w:r w:rsidR="006314F9">
          <w:rPr>
            <w:noProof/>
            <w:webHidden/>
          </w:rPr>
          <w:instrText xml:space="preserve"> PAGEREF _Toc110246938 \h </w:instrText>
        </w:r>
        <w:r w:rsidR="006314F9">
          <w:rPr>
            <w:noProof/>
            <w:webHidden/>
          </w:rPr>
        </w:r>
        <w:r w:rsidR="006314F9">
          <w:rPr>
            <w:noProof/>
            <w:webHidden/>
          </w:rPr>
          <w:fldChar w:fldCharType="separate"/>
        </w:r>
        <w:r w:rsidR="006314F9">
          <w:rPr>
            <w:noProof/>
            <w:webHidden/>
          </w:rPr>
          <w:t>98</w:t>
        </w:r>
        <w:r w:rsidR="006314F9">
          <w:rPr>
            <w:noProof/>
            <w:webHidden/>
          </w:rPr>
          <w:fldChar w:fldCharType="end"/>
        </w:r>
      </w:hyperlink>
    </w:p>
    <w:p w14:paraId="3D919D60" w14:textId="2A17FD56"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39" w:history="1">
        <w:r w:rsidR="006314F9" w:rsidRPr="00E9733A">
          <w:rPr>
            <w:rStyle w:val="Hyperlink"/>
            <w:noProof/>
          </w:rPr>
          <w:t>Figure 4</w:t>
        </w:r>
        <w:r w:rsidR="006314F9" w:rsidRPr="00E9733A">
          <w:rPr>
            <w:rStyle w:val="Hyperlink"/>
            <w:noProof/>
          </w:rPr>
          <w:noBreakHyphen/>
          <w:t>4  Distribution of peptide sequence lengths (number of amino acids) of peptides identified in each database search workflow.</w:t>
        </w:r>
        <w:r w:rsidR="006314F9">
          <w:rPr>
            <w:noProof/>
            <w:webHidden/>
          </w:rPr>
          <w:tab/>
        </w:r>
        <w:r w:rsidR="006314F9">
          <w:rPr>
            <w:noProof/>
            <w:webHidden/>
          </w:rPr>
          <w:fldChar w:fldCharType="begin"/>
        </w:r>
        <w:r w:rsidR="006314F9">
          <w:rPr>
            <w:noProof/>
            <w:webHidden/>
          </w:rPr>
          <w:instrText xml:space="preserve"> PAGEREF _Toc110246939 \h </w:instrText>
        </w:r>
        <w:r w:rsidR="006314F9">
          <w:rPr>
            <w:noProof/>
            <w:webHidden/>
          </w:rPr>
        </w:r>
        <w:r w:rsidR="006314F9">
          <w:rPr>
            <w:noProof/>
            <w:webHidden/>
          </w:rPr>
          <w:fldChar w:fldCharType="separate"/>
        </w:r>
        <w:r w:rsidR="006314F9">
          <w:rPr>
            <w:noProof/>
            <w:webHidden/>
          </w:rPr>
          <w:t>101</w:t>
        </w:r>
        <w:r w:rsidR="006314F9">
          <w:rPr>
            <w:noProof/>
            <w:webHidden/>
          </w:rPr>
          <w:fldChar w:fldCharType="end"/>
        </w:r>
      </w:hyperlink>
    </w:p>
    <w:p w14:paraId="164F4D6F" w14:textId="61CF2426"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40" w:history="1">
        <w:r w:rsidR="006314F9" w:rsidRPr="00E9733A">
          <w:rPr>
            <w:rStyle w:val="Hyperlink"/>
            <w:noProof/>
          </w:rPr>
          <w:t>Figure 4</w:t>
        </w:r>
        <w:r w:rsidR="006314F9" w:rsidRPr="00E9733A">
          <w:rPr>
            <w:rStyle w:val="Hyperlink"/>
            <w:noProof/>
          </w:rPr>
          <w:noBreakHyphen/>
          <w:t>5  Comparison of database search strategy identifications of a gnotobiotic mouse fecal sample.</w:t>
        </w:r>
        <w:r w:rsidR="006314F9">
          <w:rPr>
            <w:noProof/>
            <w:webHidden/>
          </w:rPr>
          <w:tab/>
        </w:r>
        <w:r w:rsidR="006314F9">
          <w:rPr>
            <w:noProof/>
            <w:webHidden/>
          </w:rPr>
          <w:fldChar w:fldCharType="begin"/>
        </w:r>
        <w:r w:rsidR="006314F9">
          <w:rPr>
            <w:noProof/>
            <w:webHidden/>
          </w:rPr>
          <w:instrText xml:space="preserve"> PAGEREF _Toc110246940 \h </w:instrText>
        </w:r>
        <w:r w:rsidR="006314F9">
          <w:rPr>
            <w:noProof/>
            <w:webHidden/>
          </w:rPr>
        </w:r>
        <w:r w:rsidR="006314F9">
          <w:rPr>
            <w:noProof/>
            <w:webHidden/>
          </w:rPr>
          <w:fldChar w:fldCharType="separate"/>
        </w:r>
        <w:r w:rsidR="006314F9">
          <w:rPr>
            <w:noProof/>
            <w:webHidden/>
          </w:rPr>
          <w:t>103</w:t>
        </w:r>
        <w:r w:rsidR="006314F9">
          <w:rPr>
            <w:noProof/>
            <w:webHidden/>
          </w:rPr>
          <w:fldChar w:fldCharType="end"/>
        </w:r>
      </w:hyperlink>
    </w:p>
    <w:p w14:paraId="7B5A61D4" w14:textId="5229F4F0"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41" w:history="1">
        <w:r w:rsidR="006314F9" w:rsidRPr="00E9733A">
          <w:rPr>
            <w:rStyle w:val="Hyperlink"/>
            <w:noProof/>
          </w:rPr>
          <w:t>Figure 4</w:t>
        </w:r>
        <w:r w:rsidR="006314F9" w:rsidRPr="00E9733A">
          <w:rPr>
            <w:rStyle w:val="Hyperlink"/>
            <w:noProof/>
          </w:rPr>
          <w:noBreakHyphen/>
          <w:t>6  Community-level comparison of database search strategy identifications of a gnotobiotic mouse fecal sample.</w:t>
        </w:r>
        <w:r w:rsidR="006314F9">
          <w:rPr>
            <w:noProof/>
            <w:webHidden/>
          </w:rPr>
          <w:tab/>
        </w:r>
        <w:r w:rsidR="006314F9">
          <w:rPr>
            <w:noProof/>
            <w:webHidden/>
          </w:rPr>
          <w:fldChar w:fldCharType="begin"/>
        </w:r>
        <w:r w:rsidR="006314F9">
          <w:rPr>
            <w:noProof/>
            <w:webHidden/>
          </w:rPr>
          <w:instrText xml:space="preserve"> PAGEREF _Toc110246941 \h </w:instrText>
        </w:r>
        <w:r w:rsidR="006314F9">
          <w:rPr>
            <w:noProof/>
            <w:webHidden/>
          </w:rPr>
        </w:r>
        <w:r w:rsidR="006314F9">
          <w:rPr>
            <w:noProof/>
            <w:webHidden/>
          </w:rPr>
          <w:fldChar w:fldCharType="separate"/>
        </w:r>
        <w:r w:rsidR="006314F9">
          <w:rPr>
            <w:noProof/>
            <w:webHidden/>
          </w:rPr>
          <w:t>104</w:t>
        </w:r>
        <w:r w:rsidR="006314F9">
          <w:rPr>
            <w:noProof/>
            <w:webHidden/>
          </w:rPr>
          <w:fldChar w:fldCharType="end"/>
        </w:r>
      </w:hyperlink>
    </w:p>
    <w:p w14:paraId="5567FF4B" w14:textId="402C0D1D" w:rsidR="006314F9" w:rsidRDefault="00FA115D">
      <w:pPr>
        <w:pStyle w:val="TableofFigures"/>
        <w:tabs>
          <w:tab w:val="right" w:leader="dot" w:pos="8630"/>
        </w:tabs>
        <w:rPr>
          <w:rFonts w:asciiTheme="minorHAnsi" w:eastAsiaTheme="minorEastAsia" w:hAnsiTheme="minorHAnsi" w:cstheme="minorBidi"/>
          <w:b w:val="0"/>
          <w:noProof/>
          <w:szCs w:val="24"/>
        </w:rPr>
      </w:pPr>
      <w:hyperlink r:id="rId14" w:anchor="_Toc110246942" w:history="1">
        <w:r w:rsidR="006314F9" w:rsidRPr="00E9733A">
          <w:rPr>
            <w:rStyle w:val="Hyperlink"/>
            <w:noProof/>
          </w:rPr>
          <w:t>Figure 4</w:t>
        </w:r>
        <w:r w:rsidR="006314F9" w:rsidRPr="00E9733A">
          <w:rPr>
            <w:rStyle w:val="Hyperlink"/>
            <w:noProof/>
          </w:rPr>
          <w:noBreakHyphen/>
          <w:t>7  MS1 XICs of precursor ion m/z=906.41830.</w:t>
        </w:r>
        <w:r w:rsidR="006314F9">
          <w:rPr>
            <w:noProof/>
            <w:webHidden/>
          </w:rPr>
          <w:tab/>
        </w:r>
        <w:r w:rsidR="006314F9">
          <w:rPr>
            <w:noProof/>
            <w:webHidden/>
          </w:rPr>
          <w:fldChar w:fldCharType="begin"/>
        </w:r>
        <w:r w:rsidR="006314F9">
          <w:rPr>
            <w:noProof/>
            <w:webHidden/>
          </w:rPr>
          <w:instrText xml:space="preserve"> PAGEREF _Toc110246942 \h </w:instrText>
        </w:r>
        <w:r w:rsidR="006314F9">
          <w:rPr>
            <w:noProof/>
            <w:webHidden/>
          </w:rPr>
        </w:r>
        <w:r w:rsidR="006314F9">
          <w:rPr>
            <w:noProof/>
            <w:webHidden/>
          </w:rPr>
          <w:fldChar w:fldCharType="separate"/>
        </w:r>
        <w:r w:rsidR="006314F9">
          <w:rPr>
            <w:noProof/>
            <w:webHidden/>
          </w:rPr>
          <w:t>108</w:t>
        </w:r>
        <w:r w:rsidR="006314F9">
          <w:rPr>
            <w:noProof/>
            <w:webHidden/>
          </w:rPr>
          <w:fldChar w:fldCharType="end"/>
        </w:r>
      </w:hyperlink>
    </w:p>
    <w:p w14:paraId="11B9D510" w14:textId="0F2FEADF"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43" w:history="1">
        <w:r w:rsidR="006314F9" w:rsidRPr="00E9733A">
          <w:rPr>
            <w:rStyle w:val="Hyperlink"/>
            <w:noProof/>
          </w:rPr>
          <w:t>Figure 4</w:t>
        </w:r>
        <w:r w:rsidR="006314F9" w:rsidRPr="00E9733A">
          <w:rPr>
            <w:rStyle w:val="Hyperlink"/>
            <w:noProof/>
          </w:rPr>
          <w:noBreakHyphen/>
          <w:t>8  Percent of data matrix filled using MBR implementation.</w:t>
        </w:r>
        <w:r w:rsidR="006314F9">
          <w:rPr>
            <w:noProof/>
            <w:webHidden/>
          </w:rPr>
          <w:tab/>
        </w:r>
        <w:r w:rsidR="006314F9">
          <w:rPr>
            <w:noProof/>
            <w:webHidden/>
          </w:rPr>
          <w:fldChar w:fldCharType="begin"/>
        </w:r>
        <w:r w:rsidR="006314F9">
          <w:rPr>
            <w:noProof/>
            <w:webHidden/>
          </w:rPr>
          <w:instrText xml:space="preserve"> PAGEREF _Toc110246943 \h </w:instrText>
        </w:r>
        <w:r w:rsidR="006314F9">
          <w:rPr>
            <w:noProof/>
            <w:webHidden/>
          </w:rPr>
        </w:r>
        <w:r w:rsidR="006314F9">
          <w:rPr>
            <w:noProof/>
            <w:webHidden/>
          </w:rPr>
          <w:fldChar w:fldCharType="separate"/>
        </w:r>
        <w:r w:rsidR="006314F9">
          <w:rPr>
            <w:noProof/>
            <w:webHidden/>
          </w:rPr>
          <w:t>109</w:t>
        </w:r>
        <w:r w:rsidR="006314F9">
          <w:rPr>
            <w:noProof/>
            <w:webHidden/>
          </w:rPr>
          <w:fldChar w:fldCharType="end"/>
        </w:r>
      </w:hyperlink>
    </w:p>
    <w:p w14:paraId="212F811C" w14:textId="11B75499"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44" w:history="1">
        <w:r w:rsidR="006314F9" w:rsidRPr="00E9733A">
          <w:rPr>
            <w:rStyle w:val="Hyperlink"/>
            <w:noProof/>
          </w:rPr>
          <w:t>Figure 4</w:t>
        </w:r>
        <w:r w:rsidR="006314F9" w:rsidRPr="00E9733A">
          <w:rPr>
            <w:rStyle w:val="Hyperlink"/>
            <w:noProof/>
          </w:rPr>
          <w:noBreakHyphen/>
          <w:t xml:space="preserve">9  </w:t>
        </w:r>
        <w:r w:rsidR="006314F9" w:rsidRPr="00E9733A">
          <w:rPr>
            <w:rStyle w:val="Hyperlink"/>
            <w:i/>
            <w:noProof/>
          </w:rPr>
          <w:t xml:space="preserve">B. cellulosilyticus </w:t>
        </w:r>
        <w:r w:rsidR="006314F9" w:rsidRPr="00E9733A">
          <w:rPr>
            <w:rStyle w:val="Hyperlink"/>
            <w:noProof/>
          </w:rPr>
          <w:t>peptides utilizing different implementations of MBR.</w:t>
        </w:r>
        <w:r w:rsidR="006314F9">
          <w:rPr>
            <w:noProof/>
            <w:webHidden/>
          </w:rPr>
          <w:tab/>
        </w:r>
        <w:r w:rsidR="006314F9">
          <w:rPr>
            <w:noProof/>
            <w:webHidden/>
          </w:rPr>
          <w:fldChar w:fldCharType="begin"/>
        </w:r>
        <w:r w:rsidR="006314F9">
          <w:rPr>
            <w:noProof/>
            <w:webHidden/>
          </w:rPr>
          <w:instrText xml:space="preserve"> PAGEREF _Toc110246944 \h </w:instrText>
        </w:r>
        <w:r w:rsidR="006314F9">
          <w:rPr>
            <w:noProof/>
            <w:webHidden/>
          </w:rPr>
        </w:r>
        <w:r w:rsidR="006314F9">
          <w:rPr>
            <w:noProof/>
            <w:webHidden/>
          </w:rPr>
          <w:fldChar w:fldCharType="separate"/>
        </w:r>
        <w:r w:rsidR="006314F9">
          <w:rPr>
            <w:noProof/>
            <w:webHidden/>
          </w:rPr>
          <w:t>112</w:t>
        </w:r>
        <w:r w:rsidR="006314F9">
          <w:rPr>
            <w:noProof/>
            <w:webHidden/>
          </w:rPr>
          <w:fldChar w:fldCharType="end"/>
        </w:r>
      </w:hyperlink>
    </w:p>
    <w:p w14:paraId="3678CEC9" w14:textId="30EC6817"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45" w:history="1">
        <w:r w:rsidR="006314F9" w:rsidRPr="00E9733A">
          <w:rPr>
            <w:rStyle w:val="Hyperlink"/>
            <w:noProof/>
          </w:rPr>
          <w:t>Figure 4</w:t>
        </w:r>
        <w:r w:rsidR="006314F9" w:rsidRPr="00E9733A">
          <w:rPr>
            <w:rStyle w:val="Hyperlink"/>
            <w:noProof/>
          </w:rPr>
          <w:noBreakHyphen/>
          <w:t>10  Hitchhiking proteins.</w:t>
        </w:r>
        <w:r w:rsidR="006314F9">
          <w:rPr>
            <w:noProof/>
            <w:webHidden/>
          </w:rPr>
          <w:tab/>
        </w:r>
        <w:r w:rsidR="006314F9">
          <w:rPr>
            <w:noProof/>
            <w:webHidden/>
          </w:rPr>
          <w:fldChar w:fldCharType="begin"/>
        </w:r>
        <w:r w:rsidR="006314F9">
          <w:rPr>
            <w:noProof/>
            <w:webHidden/>
          </w:rPr>
          <w:instrText xml:space="preserve"> PAGEREF _Toc110246945 \h </w:instrText>
        </w:r>
        <w:r w:rsidR="006314F9">
          <w:rPr>
            <w:noProof/>
            <w:webHidden/>
          </w:rPr>
        </w:r>
        <w:r w:rsidR="006314F9">
          <w:rPr>
            <w:noProof/>
            <w:webHidden/>
          </w:rPr>
          <w:fldChar w:fldCharType="separate"/>
        </w:r>
        <w:r w:rsidR="006314F9">
          <w:rPr>
            <w:noProof/>
            <w:webHidden/>
          </w:rPr>
          <w:t>114</w:t>
        </w:r>
        <w:r w:rsidR="006314F9">
          <w:rPr>
            <w:noProof/>
            <w:webHidden/>
          </w:rPr>
          <w:fldChar w:fldCharType="end"/>
        </w:r>
      </w:hyperlink>
    </w:p>
    <w:p w14:paraId="53A1D706" w14:textId="5EA2937B"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46" w:history="1">
        <w:r w:rsidR="006314F9" w:rsidRPr="00E9733A">
          <w:rPr>
            <w:rStyle w:val="Hyperlink"/>
            <w:noProof/>
          </w:rPr>
          <w:t>Figure 4</w:t>
        </w:r>
        <w:r w:rsidR="006314F9" w:rsidRPr="00E9733A">
          <w:rPr>
            <w:rStyle w:val="Hyperlink"/>
            <w:noProof/>
          </w:rPr>
          <w:noBreakHyphen/>
          <w:t xml:space="preserve">12  Theoretical tryptic peptidome of </w:t>
        </w:r>
        <w:r w:rsidR="006314F9" w:rsidRPr="00E9733A">
          <w:rPr>
            <w:rStyle w:val="Hyperlink"/>
            <w:i/>
            <w:noProof/>
          </w:rPr>
          <w:t xml:space="preserve">Bacteroides </w:t>
        </w:r>
        <w:r w:rsidR="006314F9" w:rsidRPr="00E9733A">
          <w:rPr>
            <w:rStyle w:val="Hyperlink"/>
            <w:noProof/>
          </w:rPr>
          <w:t>species in a gnotobiotic mouse model community.</w:t>
        </w:r>
        <w:r w:rsidR="006314F9">
          <w:rPr>
            <w:noProof/>
            <w:webHidden/>
          </w:rPr>
          <w:tab/>
        </w:r>
        <w:r w:rsidR="006314F9">
          <w:rPr>
            <w:noProof/>
            <w:webHidden/>
          </w:rPr>
          <w:fldChar w:fldCharType="begin"/>
        </w:r>
        <w:r w:rsidR="006314F9">
          <w:rPr>
            <w:noProof/>
            <w:webHidden/>
          </w:rPr>
          <w:instrText xml:space="preserve"> PAGEREF _Toc110246946 \h </w:instrText>
        </w:r>
        <w:r w:rsidR="006314F9">
          <w:rPr>
            <w:noProof/>
            <w:webHidden/>
          </w:rPr>
        </w:r>
        <w:r w:rsidR="006314F9">
          <w:rPr>
            <w:noProof/>
            <w:webHidden/>
          </w:rPr>
          <w:fldChar w:fldCharType="separate"/>
        </w:r>
        <w:r w:rsidR="006314F9">
          <w:rPr>
            <w:noProof/>
            <w:webHidden/>
          </w:rPr>
          <w:t>115</w:t>
        </w:r>
        <w:r w:rsidR="006314F9">
          <w:rPr>
            <w:noProof/>
            <w:webHidden/>
          </w:rPr>
          <w:fldChar w:fldCharType="end"/>
        </w:r>
      </w:hyperlink>
    </w:p>
    <w:p w14:paraId="02C2F180" w14:textId="60CA0F70"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47" w:history="1">
        <w:r w:rsidR="006314F9" w:rsidRPr="00E9733A">
          <w:rPr>
            <w:rStyle w:val="Hyperlink"/>
            <w:noProof/>
          </w:rPr>
          <w:t>Figure 4</w:t>
        </w:r>
        <w:r w:rsidR="006314F9" w:rsidRPr="00E9733A">
          <w:rPr>
            <w:rStyle w:val="Hyperlink"/>
            <w:noProof/>
          </w:rPr>
          <w:noBreakHyphen/>
          <w:t xml:space="preserve">13  Relative summed organismal protein abundance of </w:t>
        </w:r>
        <w:r w:rsidR="006314F9" w:rsidRPr="00E9733A">
          <w:rPr>
            <w:rStyle w:val="Hyperlink"/>
            <w:i/>
            <w:noProof/>
          </w:rPr>
          <w:t>Bacteroides</w:t>
        </w:r>
        <w:r w:rsidR="006314F9" w:rsidRPr="00E9733A">
          <w:rPr>
            <w:rStyle w:val="Hyperlink"/>
            <w:noProof/>
          </w:rPr>
          <w:t xml:space="preserve"> members in the samples lacking </w:t>
        </w:r>
        <w:r w:rsidR="006314F9" w:rsidRPr="00E9733A">
          <w:rPr>
            <w:rStyle w:val="Hyperlink"/>
            <w:i/>
            <w:noProof/>
          </w:rPr>
          <w:t>B. cellulosilyticus</w:t>
        </w:r>
        <w:r w:rsidR="006314F9" w:rsidRPr="00E9733A">
          <w:rPr>
            <w:rStyle w:val="Hyperlink"/>
            <w:noProof/>
          </w:rPr>
          <w:t xml:space="preserve"> based on three quantitation methods.</w:t>
        </w:r>
        <w:r w:rsidR="006314F9">
          <w:rPr>
            <w:noProof/>
            <w:webHidden/>
          </w:rPr>
          <w:tab/>
        </w:r>
        <w:r w:rsidR="006314F9">
          <w:rPr>
            <w:noProof/>
            <w:webHidden/>
          </w:rPr>
          <w:fldChar w:fldCharType="begin"/>
        </w:r>
        <w:r w:rsidR="006314F9">
          <w:rPr>
            <w:noProof/>
            <w:webHidden/>
          </w:rPr>
          <w:instrText xml:space="preserve"> PAGEREF _Toc110246947 \h </w:instrText>
        </w:r>
        <w:r w:rsidR="006314F9">
          <w:rPr>
            <w:noProof/>
            <w:webHidden/>
          </w:rPr>
        </w:r>
        <w:r w:rsidR="006314F9">
          <w:rPr>
            <w:noProof/>
            <w:webHidden/>
          </w:rPr>
          <w:fldChar w:fldCharType="separate"/>
        </w:r>
        <w:r w:rsidR="006314F9">
          <w:rPr>
            <w:noProof/>
            <w:webHidden/>
          </w:rPr>
          <w:t>117</w:t>
        </w:r>
        <w:r w:rsidR="006314F9">
          <w:rPr>
            <w:noProof/>
            <w:webHidden/>
          </w:rPr>
          <w:fldChar w:fldCharType="end"/>
        </w:r>
      </w:hyperlink>
    </w:p>
    <w:p w14:paraId="0BB779B2" w14:textId="57482373"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48" w:history="1">
        <w:r w:rsidR="006314F9" w:rsidRPr="00E9733A">
          <w:rPr>
            <w:rStyle w:val="Hyperlink"/>
            <w:noProof/>
          </w:rPr>
          <w:t>Figure 5</w:t>
        </w:r>
        <w:r w:rsidR="006314F9" w:rsidRPr="00E9733A">
          <w:rPr>
            <w:rStyle w:val="Hyperlink"/>
            <w:noProof/>
          </w:rPr>
          <w:noBreakHyphen/>
          <w:t>1  Mass spectrometry analysis of the whey protein isolate.</w:t>
        </w:r>
        <w:r w:rsidR="006314F9">
          <w:rPr>
            <w:noProof/>
            <w:webHidden/>
          </w:rPr>
          <w:tab/>
        </w:r>
        <w:r w:rsidR="006314F9">
          <w:rPr>
            <w:noProof/>
            <w:webHidden/>
          </w:rPr>
          <w:fldChar w:fldCharType="begin"/>
        </w:r>
        <w:r w:rsidR="006314F9">
          <w:rPr>
            <w:noProof/>
            <w:webHidden/>
          </w:rPr>
          <w:instrText xml:space="preserve"> PAGEREF _Toc110246948 \h </w:instrText>
        </w:r>
        <w:r w:rsidR="006314F9">
          <w:rPr>
            <w:noProof/>
            <w:webHidden/>
          </w:rPr>
        </w:r>
        <w:r w:rsidR="006314F9">
          <w:rPr>
            <w:noProof/>
            <w:webHidden/>
          </w:rPr>
          <w:fldChar w:fldCharType="separate"/>
        </w:r>
        <w:r w:rsidR="006314F9">
          <w:rPr>
            <w:noProof/>
            <w:webHidden/>
          </w:rPr>
          <w:t>124</w:t>
        </w:r>
        <w:r w:rsidR="006314F9">
          <w:rPr>
            <w:noProof/>
            <w:webHidden/>
          </w:rPr>
          <w:fldChar w:fldCharType="end"/>
        </w:r>
      </w:hyperlink>
    </w:p>
    <w:p w14:paraId="18C44C01" w14:textId="26B057A1" w:rsidR="006314F9" w:rsidRDefault="00FA115D">
      <w:pPr>
        <w:pStyle w:val="TableofFigures"/>
        <w:tabs>
          <w:tab w:val="right" w:leader="dot" w:pos="8630"/>
        </w:tabs>
        <w:rPr>
          <w:rFonts w:asciiTheme="minorHAnsi" w:eastAsiaTheme="minorEastAsia" w:hAnsiTheme="minorHAnsi" w:cstheme="minorBidi"/>
          <w:b w:val="0"/>
          <w:noProof/>
          <w:szCs w:val="24"/>
        </w:rPr>
      </w:pPr>
      <w:hyperlink r:id="rId15" w:anchor="_Toc110246949" w:history="1">
        <w:r w:rsidR="006314F9" w:rsidRPr="00E9733A">
          <w:rPr>
            <w:rStyle w:val="Hyperlink"/>
            <w:noProof/>
          </w:rPr>
          <w:t>Figure 5</w:t>
        </w:r>
        <w:r w:rsidR="006314F9" w:rsidRPr="00E9733A">
          <w:rPr>
            <w:rStyle w:val="Hyperlink"/>
            <w:noProof/>
          </w:rPr>
          <w:noBreakHyphen/>
          <w:t>2  β-lactoglobulin modified peptides.</w:t>
        </w:r>
        <w:r w:rsidR="006314F9">
          <w:rPr>
            <w:noProof/>
            <w:webHidden/>
          </w:rPr>
          <w:tab/>
        </w:r>
        <w:r w:rsidR="006314F9">
          <w:rPr>
            <w:noProof/>
            <w:webHidden/>
          </w:rPr>
          <w:fldChar w:fldCharType="begin"/>
        </w:r>
        <w:r w:rsidR="006314F9">
          <w:rPr>
            <w:noProof/>
            <w:webHidden/>
          </w:rPr>
          <w:instrText xml:space="preserve"> PAGEREF _Toc110246949 \h </w:instrText>
        </w:r>
        <w:r w:rsidR="006314F9">
          <w:rPr>
            <w:noProof/>
            <w:webHidden/>
          </w:rPr>
        </w:r>
        <w:r w:rsidR="006314F9">
          <w:rPr>
            <w:noProof/>
            <w:webHidden/>
          </w:rPr>
          <w:fldChar w:fldCharType="separate"/>
        </w:r>
        <w:r w:rsidR="006314F9">
          <w:rPr>
            <w:noProof/>
            <w:webHidden/>
          </w:rPr>
          <w:t>126</w:t>
        </w:r>
        <w:r w:rsidR="006314F9">
          <w:rPr>
            <w:noProof/>
            <w:webHidden/>
          </w:rPr>
          <w:fldChar w:fldCharType="end"/>
        </w:r>
      </w:hyperlink>
    </w:p>
    <w:p w14:paraId="3DA47E86" w14:textId="626E3C66" w:rsidR="006314F9" w:rsidRDefault="00FA115D">
      <w:pPr>
        <w:pStyle w:val="TableofFigures"/>
        <w:tabs>
          <w:tab w:val="right" w:leader="dot" w:pos="8630"/>
        </w:tabs>
        <w:rPr>
          <w:rFonts w:asciiTheme="minorHAnsi" w:eastAsiaTheme="minorEastAsia" w:hAnsiTheme="minorHAnsi" w:cstheme="minorBidi"/>
          <w:b w:val="0"/>
          <w:noProof/>
          <w:szCs w:val="24"/>
        </w:rPr>
      </w:pPr>
      <w:hyperlink r:id="rId16" w:anchor="_Toc110246950" w:history="1">
        <w:r w:rsidR="006314F9" w:rsidRPr="00E9733A">
          <w:rPr>
            <w:rStyle w:val="Hyperlink"/>
            <w:noProof/>
          </w:rPr>
          <w:t>Figure 5</w:t>
        </w:r>
        <w:r w:rsidR="006314F9" w:rsidRPr="00E9733A">
          <w:rPr>
            <w:rStyle w:val="Hyperlink"/>
            <w:noProof/>
          </w:rPr>
          <w:noBreakHyphen/>
          <w:t>3  Proteomic and INSeq analyses of fecal samples collected on day 6.</w:t>
        </w:r>
        <w:r w:rsidR="006314F9">
          <w:rPr>
            <w:noProof/>
            <w:webHidden/>
          </w:rPr>
          <w:tab/>
        </w:r>
        <w:r w:rsidR="006314F9">
          <w:rPr>
            <w:noProof/>
            <w:webHidden/>
          </w:rPr>
          <w:fldChar w:fldCharType="begin"/>
        </w:r>
        <w:r w:rsidR="006314F9">
          <w:rPr>
            <w:noProof/>
            <w:webHidden/>
          </w:rPr>
          <w:instrText xml:space="preserve"> PAGEREF _Toc110246950 \h </w:instrText>
        </w:r>
        <w:r w:rsidR="006314F9">
          <w:rPr>
            <w:noProof/>
            <w:webHidden/>
          </w:rPr>
        </w:r>
        <w:r w:rsidR="006314F9">
          <w:rPr>
            <w:noProof/>
            <w:webHidden/>
          </w:rPr>
          <w:fldChar w:fldCharType="separate"/>
        </w:r>
        <w:r w:rsidR="006314F9">
          <w:rPr>
            <w:noProof/>
            <w:webHidden/>
          </w:rPr>
          <w:t>132</w:t>
        </w:r>
        <w:r w:rsidR="006314F9">
          <w:rPr>
            <w:noProof/>
            <w:webHidden/>
          </w:rPr>
          <w:fldChar w:fldCharType="end"/>
        </w:r>
      </w:hyperlink>
    </w:p>
    <w:p w14:paraId="6A969FCC" w14:textId="15B2A407" w:rsidR="006314F9" w:rsidRDefault="00FA115D">
      <w:pPr>
        <w:pStyle w:val="TableofFigures"/>
        <w:tabs>
          <w:tab w:val="right" w:leader="dot" w:pos="8630"/>
        </w:tabs>
        <w:rPr>
          <w:rFonts w:asciiTheme="minorHAnsi" w:eastAsiaTheme="minorEastAsia" w:hAnsiTheme="minorHAnsi" w:cstheme="minorBidi"/>
          <w:b w:val="0"/>
          <w:noProof/>
          <w:szCs w:val="24"/>
        </w:rPr>
      </w:pPr>
      <w:hyperlink r:id="rId17" w:anchor="_Toc110246951" w:history="1">
        <w:r w:rsidR="006314F9" w:rsidRPr="00E9733A">
          <w:rPr>
            <w:rStyle w:val="Hyperlink"/>
            <w:noProof/>
          </w:rPr>
          <w:t>Figure 5</w:t>
        </w:r>
        <w:r w:rsidR="006314F9" w:rsidRPr="00E9733A">
          <w:rPr>
            <w:rStyle w:val="Hyperlink"/>
            <w:noProof/>
          </w:rPr>
          <w:noBreakHyphen/>
          <w:t>4  Deliberate Manipulation of Community Composition Demonstrates Interspecies Competition for Pea Fiber Arabinan.</w:t>
        </w:r>
        <w:r w:rsidR="006314F9">
          <w:rPr>
            <w:noProof/>
            <w:webHidden/>
          </w:rPr>
          <w:tab/>
        </w:r>
        <w:r w:rsidR="006314F9">
          <w:rPr>
            <w:noProof/>
            <w:webHidden/>
          </w:rPr>
          <w:fldChar w:fldCharType="begin"/>
        </w:r>
        <w:r w:rsidR="006314F9">
          <w:rPr>
            <w:noProof/>
            <w:webHidden/>
          </w:rPr>
          <w:instrText xml:space="preserve"> PAGEREF _Toc110246951 \h </w:instrText>
        </w:r>
        <w:r w:rsidR="006314F9">
          <w:rPr>
            <w:noProof/>
            <w:webHidden/>
          </w:rPr>
        </w:r>
        <w:r w:rsidR="006314F9">
          <w:rPr>
            <w:noProof/>
            <w:webHidden/>
          </w:rPr>
          <w:fldChar w:fldCharType="separate"/>
        </w:r>
        <w:r w:rsidR="006314F9">
          <w:rPr>
            <w:noProof/>
            <w:webHidden/>
          </w:rPr>
          <w:t>134</w:t>
        </w:r>
        <w:r w:rsidR="006314F9">
          <w:rPr>
            <w:noProof/>
            <w:webHidden/>
          </w:rPr>
          <w:fldChar w:fldCharType="end"/>
        </w:r>
      </w:hyperlink>
    </w:p>
    <w:p w14:paraId="2F7D57C9" w14:textId="4817BF74"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52" w:history="1">
        <w:r w:rsidR="006314F9" w:rsidRPr="00E9733A">
          <w:rPr>
            <w:rStyle w:val="Hyperlink"/>
            <w:noProof/>
          </w:rPr>
          <w:t>Figure 5</w:t>
        </w:r>
        <w:r w:rsidR="006314F9" w:rsidRPr="00E9733A">
          <w:rPr>
            <w:rStyle w:val="Hyperlink"/>
            <w:noProof/>
          </w:rPr>
          <w:noBreakHyphen/>
          <w:t>5  Detecting Acclimation to the Presence of a Potential Competitor Using Proteomics.</w:t>
        </w:r>
        <w:r w:rsidR="006314F9">
          <w:rPr>
            <w:noProof/>
            <w:webHidden/>
          </w:rPr>
          <w:tab/>
        </w:r>
        <w:r w:rsidR="006314F9">
          <w:rPr>
            <w:noProof/>
            <w:webHidden/>
          </w:rPr>
          <w:fldChar w:fldCharType="begin"/>
        </w:r>
        <w:r w:rsidR="006314F9">
          <w:rPr>
            <w:noProof/>
            <w:webHidden/>
          </w:rPr>
          <w:instrText xml:space="preserve"> PAGEREF _Toc110246952 \h </w:instrText>
        </w:r>
        <w:r w:rsidR="006314F9">
          <w:rPr>
            <w:noProof/>
            <w:webHidden/>
          </w:rPr>
        </w:r>
        <w:r w:rsidR="006314F9">
          <w:rPr>
            <w:noProof/>
            <w:webHidden/>
          </w:rPr>
          <w:fldChar w:fldCharType="separate"/>
        </w:r>
        <w:r w:rsidR="006314F9">
          <w:rPr>
            <w:noProof/>
            <w:webHidden/>
          </w:rPr>
          <w:t>136</w:t>
        </w:r>
        <w:r w:rsidR="006314F9">
          <w:rPr>
            <w:noProof/>
            <w:webHidden/>
          </w:rPr>
          <w:fldChar w:fldCharType="end"/>
        </w:r>
      </w:hyperlink>
    </w:p>
    <w:p w14:paraId="769D8B77" w14:textId="7612BC63"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53" w:history="1">
        <w:r w:rsidR="006314F9" w:rsidRPr="00E9733A">
          <w:rPr>
            <w:rStyle w:val="Hyperlink"/>
            <w:noProof/>
          </w:rPr>
          <w:t>Figure 5</w:t>
        </w:r>
        <w:r w:rsidR="006314F9" w:rsidRPr="00E9733A">
          <w:rPr>
            <w:rStyle w:val="Hyperlink"/>
            <w:noProof/>
          </w:rPr>
          <w:noBreakHyphen/>
          <w:t xml:space="preserve">6  Alleviation of Competition between Arabinoxylan-Consuming </w:t>
        </w:r>
        <w:r w:rsidR="006314F9" w:rsidRPr="00E9733A">
          <w:rPr>
            <w:rStyle w:val="Hyperlink"/>
            <w:i/>
            <w:noProof/>
          </w:rPr>
          <w:t>Bacteroides</w:t>
        </w:r>
        <w:r w:rsidR="006314F9" w:rsidRPr="00E9733A">
          <w:rPr>
            <w:rStyle w:val="Hyperlink"/>
            <w:noProof/>
          </w:rPr>
          <w:t>.</w:t>
        </w:r>
        <w:r w:rsidR="006314F9">
          <w:rPr>
            <w:noProof/>
            <w:webHidden/>
          </w:rPr>
          <w:tab/>
        </w:r>
        <w:r w:rsidR="006314F9">
          <w:rPr>
            <w:noProof/>
            <w:webHidden/>
          </w:rPr>
          <w:fldChar w:fldCharType="begin"/>
        </w:r>
        <w:r w:rsidR="006314F9">
          <w:rPr>
            <w:noProof/>
            <w:webHidden/>
          </w:rPr>
          <w:instrText xml:space="preserve"> PAGEREF _Toc110246953 \h </w:instrText>
        </w:r>
        <w:r w:rsidR="006314F9">
          <w:rPr>
            <w:noProof/>
            <w:webHidden/>
          </w:rPr>
        </w:r>
        <w:r w:rsidR="006314F9">
          <w:rPr>
            <w:noProof/>
            <w:webHidden/>
          </w:rPr>
          <w:fldChar w:fldCharType="separate"/>
        </w:r>
        <w:r w:rsidR="006314F9">
          <w:rPr>
            <w:noProof/>
            <w:webHidden/>
          </w:rPr>
          <w:t>138</w:t>
        </w:r>
        <w:r w:rsidR="006314F9">
          <w:rPr>
            <w:noProof/>
            <w:webHidden/>
          </w:rPr>
          <w:fldChar w:fldCharType="end"/>
        </w:r>
      </w:hyperlink>
    </w:p>
    <w:p w14:paraId="14FC3F15" w14:textId="2B2548DB" w:rsidR="006314F9" w:rsidRDefault="00FA115D">
      <w:pPr>
        <w:pStyle w:val="TableofFigures"/>
        <w:tabs>
          <w:tab w:val="right" w:leader="dot" w:pos="8630"/>
        </w:tabs>
        <w:rPr>
          <w:rFonts w:asciiTheme="minorHAnsi" w:eastAsiaTheme="minorEastAsia" w:hAnsiTheme="minorHAnsi" w:cstheme="minorBidi"/>
          <w:b w:val="0"/>
          <w:noProof/>
          <w:szCs w:val="24"/>
        </w:rPr>
      </w:pPr>
      <w:hyperlink r:id="rId18" w:anchor="_Toc110246954" w:history="1">
        <w:r w:rsidR="006314F9" w:rsidRPr="00E9733A">
          <w:rPr>
            <w:rStyle w:val="Hyperlink"/>
            <w:noProof/>
          </w:rPr>
          <w:t>Figure 5</w:t>
        </w:r>
        <w:r w:rsidR="006314F9" w:rsidRPr="00E9733A">
          <w:rPr>
            <w:rStyle w:val="Hyperlink"/>
            <w:noProof/>
          </w:rPr>
          <w:noBreakHyphen/>
          <w:t>7  The effects of supplementing the HiSF-LoFV control diet with unfractionated pea fiber, PFABN, or SBABN on PUL gene expression.</w:t>
        </w:r>
        <w:r w:rsidR="006314F9">
          <w:rPr>
            <w:noProof/>
            <w:webHidden/>
          </w:rPr>
          <w:tab/>
        </w:r>
        <w:r w:rsidR="006314F9">
          <w:rPr>
            <w:noProof/>
            <w:webHidden/>
          </w:rPr>
          <w:fldChar w:fldCharType="begin"/>
        </w:r>
        <w:r w:rsidR="006314F9">
          <w:rPr>
            <w:noProof/>
            <w:webHidden/>
          </w:rPr>
          <w:instrText xml:space="preserve"> PAGEREF _Toc110246954 \h </w:instrText>
        </w:r>
        <w:r w:rsidR="006314F9">
          <w:rPr>
            <w:noProof/>
            <w:webHidden/>
          </w:rPr>
        </w:r>
        <w:r w:rsidR="006314F9">
          <w:rPr>
            <w:noProof/>
            <w:webHidden/>
          </w:rPr>
          <w:fldChar w:fldCharType="separate"/>
        </w:r>
        <w:r w:rsidR="006314F9">
          <w:rPr>
            <w:noProof/>
            <w:webHidden/>
          </w:rPr>
          <w:t>144</w:t>
        </w:r>
        <w:r w:rsidR="006314F9">
          <w:rPr>
            <w:noProof/>
            <w:webHidden/>
          </w:rPr>
          <w:fldChar w:fldCharType="end"/>
        </w:r>
      </w:hyperlink>
    </w:p>
    <w:p w14:paraId="2C0CBD01" w14:textId="6F9C42FC"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55" w:history="1">
        <w:r w:rsidR="006314F9" w:rsidRPr="00E9733A">
          <w:rPr>
            <w:rStyle w:val="Hyperlink"/>
            <w:noProof/>
          </w:rPr>
          <w:t>Figure 6</w:t>
        </w:r>
        <w:r w:rsidR="006314F9" w:rsidRPr="00E9733A">
          <w:rPr>
            <w:rStyle w:val="Hyperlink"/>
            <w:noProof/>
          </w:rPr>
          <w:noBreakHyphen/>
          <w:t>1  Principal component analysis of all metaproteomic measurements.</w:t>
        </w:r>
        <w:r w:rsidR="006314F9">
          <w:rPr>
            <w:noProof/>
            <w:webHidden/>
          </w:rPr>
          <w:tab/>
        </w:r>
        <w:r w:rsidR="006314F9">
          <w:rPr>
            <w:noProof/>
            <w:webHidden/>
          </w:rPr>
          <w:fldChar w:fldCharType="begin"/>
        </w:r>
        <w:r w:rsidR="006314F9">
          <w:rPr>
            <w:noProof/>
            <w:webHidden/>
          </w:rPr>
          <w:instrText xml:space="preserve"> PAGEREF _Toc110246955 \h </w:instrText>
        </w:r>
        <w:r w:rsidR="006314F9">
          <w:rPr>
            <w:noProof/>
            <w:webHidden/>
          </w:rPr>
        </w:r>
        <w:r w:rsidR="006314F9">
          <w:rPr>
            <w:noProof/>
            <w:webHidden/>
          </w:rPr>
          <w:fldChar w:fldCharType="separate"/>
        </w:r>
        <w:r w:rsidR="006314F9">
          <w:rPr>
            <w:noProof/>
            <w:webHidden/>
          </w:rPr>
          <w:t>150</w:t>
        </w:r>
        <w:r w:rsidR="006314F9">
          <w:rPr>
            <w:noProof/>
            <w:webHidden/>
          </w:rPr>
          <w:fldChar w:fldCharType="end"/>
        </w:r>
      </w:hyperlink>
    </w:p>
    <w:p w14:paraId="7FBBA7ED" w14:textId="0024E552" w:rsidR="006314F9" w:rsidRDefault="00FA115D">
      <w:pPr>
        <w:pStyle w:val="TableofFigures"/>
        <w:tabs>
          <w:tab w:val="right" w:leader="dot" w:pos="8630"/>
        </w:tabs>
        <w:rPr>
          <w:rFonts w:asciiTheme="minorHAnsi" w:eastAsiaTheme="minorEastAsia" w:hAnsiTheme="minorHAnsi" w:cstheme="minorBidi"/>
          <w:b w:val="0"/>
          <w:noProof/>
          <w:szCs w:val="24"/>
        </w:rPr>
      </w:pPr>
      <w:hyperlink r:id="rId19" w:anchor="_Toc110246956" w:history="1">
        <w:r w:rsidR="006314F9" w:rsidRPr="00E9733A">
          <w:rPr>
            <w:rStyle w:val="Hyperlink"/>
            <w:noProof/>
          </w:rPr>
          <w:t>Figure 6</w:t>
        </w:r>
        <w:r w:rsidR="006314F9" w:rsidRPr="00E9733A">
          <w:rPr>
            <w:rStyle w:val="Hyperlink"/>
            <w:noProof/>
          </w:rPr>
          <w:noBreakHyphen/>
          <w:t>2  Taxonomic distribution of quantified proteins across all measurements for infant 06 (A) and infant 74 (B).</w:t>
        </w:r>
        <w:r w:rsidR="006314F9">
          <w:rPr>
            <w:noProof/>
            <w:webHidden/>
          </w:rPr>
          <w:tab/>
        </w:r>
        <w:r w:rsidR="006314F9">
          <w:rPr>
            <w:noProof/>
            <w:webHidden/>
          </w:rPr>
          <w:fldChar w:fldCharType="begin"/>
        </w:r>
        <w:r w:rsidR="006314F9">
          <w:rPr>
            <w:noProof/>
            <w:webHidden/>
          </w:rPr>
          <w:instrText xml:space="preserve"> PAGEREF _Toc110246956 \h </w:instrText>
        </w:r>
        <w:r w:rsidR="006314F9">
          <w:rPr>
            <w:noProof/>
            <w:webHidden/>
          </w:rPr>
        </w:r>
        <w:r w:rsidR="006314F9">
          <w:rPr>
            <w:noProof/>
            <w:webHidden/>
          </w:rPr>
          <w:fldChar w:fldCharType="separate"/>
        </w:r>
        <w:r w:rsidR="006314F9">
          <w:rPr>
            <w:noProof/>
            <w:webHidden/>
          </w:rPr>
          <w:t>152</w:t>
        </w:r>
        <w:r w:rsidR="006314F9">
          <w:rPr>
            <w:noProof/>
            <w:webHidden/>
          </w:rPr>
          <w:fldChar w:fldCharType="end"/>
        </w:r>
      </w:hyperlink>
    </w:p>
    <w:p w14:paraId="5D2623C2" w14:textId="026006DC"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57" w:history="1">
        <w:r w:rsidR="006314F9" w:rsidRPr="00E9733A">
          <w:rPr>
            <w:rStyle w:val="Hyperlink"/>
            <w:noProof/>
          </w:rPr>
          <w:t>Figure 6</w:t>
        </w:r>
        <w:r w:rsidR="006314F9" w:rsidRPr="00E9733A">
          <w:rPr>
            <w:rStyle w:val="Hyperlink"/>
            <w:noProof/>
          </w:rPr>
          <w:noBreakHyphen/>
          <w:t>3  Tri-plot representation of short-chain fatty acid production.</w:t>
        </w:r>
        <w:r w:rsidR="006314F9">
          <w:rPr>
            <w:noProof/>
            <w:webHidden/>
          </w:rPr>
          <w:tab/>
        </w:r>
        <w:r w:rsidR="006314F9">
          <w:rPr>
            <w:noProof/>
            <w:webHidden/>
          </w:rPr>
          <w:fldChar w:fldCharType="begin"/>
        </w:r>
        <w:r w:rsidR="006314F9">
          <w:rPr>
            <w:noProof/>
            <w:webHidden/>
          </w:rPr>
          <w:instrText xml:space="preserve"> PAGEREF _Toc110246957 \h </w:instrText>
        </w:r>
        <w:r w:rsidR="006314F9">
          <w:rPr>
            <w:noProof/>
            <w:webHidden/>
          </w:rPr>
        </w:r>
        <w:r w:rsidR="006314F9">
          <w:rPr>
            <w:noProof/>
            <w:webHidden/>
          </w:rPr>
          <w:fldChar w:fldCharType="separate"/>
        </w:r>
        <w:r w:rsidR="006314F9">
          <w:rPr>
            <w:noProof/>
            <w:webHidden/>
          </w:rPr>
          <w:t>154</w:t>
        </w:r>
        <w:r w:rsidR="006314F9">
          <w:rPr>
            <w:noProof/>
            <w:webHidden/>
          </w:rPr>
          <w:fldChar w:fldCharType="end"/>
        </w:r>
      </w:hyperlink>
    </w:p>
    <w:p w14:paraId="1B36C2A3" w14:textId="35CB981C"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58" w:history="1">
        <w:r w:rsidR="006314F9" w:rsidRPr="00E9733A">
          <w:rPr>
            <w:rStyle w:val="Hyperlink"/>
            <w:noProof/>
          </w:rPr>
          <w:t>Figure 6</w:t>
        </w:r>
        <w:r w:rsidR="006314F9" w:rsidRPr="00E9733A">
          <w:rPr>
            <w:rStyle w:val="Hyperlink"/>
            <w:noProof/>
          </w:rPr>
          <w:noBreakHyphen/>
          <w:t>4  KO terms related to lipopolysaccharide biosynthesis in infant 74.</w:t>
        </w:r>
        <w:r w:rsidR="006314F9">
          <w:rPr>
            <w:noProof/>
            <w:webHidden/>
          </w:rPr>
          <w:tab/>
        </w:r>
        <w:r w:rsidR="006314F9">
          <w:rPr>
            <w:noProof/>
            <w:webHidden/>
          </w:rPr>
          <w:fldChar w:fldCharType="begin"/>
        </w:r>
        <w:r w:rsidR="006314F9">
          <w:rPr>
            <w:noProof/>
            <w:webHidden/>
          </w:rPr>
          <w:instrText xml:space="preserve"> PAGEREF _Toc110246958 \h </w:instrText>
        </w:r>
        <w:r w:rsidR="006314F9">
          <w:rPr>
            <w:noProof/>
            <w:webHidden/>
          </w:rPr>
        </w:r>
        <w:r w:rsidR="006314F9">
          <w:rPr>
            <w:noProof/>
            <w:webHidden/>
          </w:rPr>
          <w:fldChar w:fldCharType="separate"/>
        </w:r>
        <w:r w:rsidR="006314F9">
          <w:rPr>
            <w:noProof/>
            <w:webHidden/>
          </w:rPr>
          <w:t>156</w:t>
        </w:r>
        <w:r w:rsidR="006314F9">
          <w:rPr>
            <w:noProof/>
            <w:webHidden/>
          </w:rPr>
          <w:fldChar w:fldCharType="end"/>
        </w:r>
      </w:hyperlink>
    </w:p>
    <w:p w14:paraId="1ED5B60B" w14:textId="37739F79"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59" w:history="1">
        <w:r w:rsidR="006314F9" w:rsidRPr="00E9733A">
          <w:rPr>
            <w:rStyle w:val="Hyperlink"/>
            <w:noProof/>
          </w:rPr>
          <w:t>Figure 6</w:t>
        </w:r>
        <w:r w:rsidR="006314F9" w:rsidRPr="00E9733A">
          <w:rPr>
            <w:rStyle w:val="Hyperlink"/>
            <w:noProof/>
          </w:rPr>
          <w:noBreakHyphen/>
          <w:t>5  Organismal relative abundance based on summed protein abundances.</w:t>
        </w:r>
        <w:r w:rsidR="006314F9">
          <w:rPr>
            <w:noProof/>
            <w:webHidden/>
          </w:rPr>
          <w:tab/>
        </w:r>
        <w:r w:rsidR="006314F9">
          <w:rPr>
            <w:noProof/>
            <w:webHidden/>
          </w:rPr>
          <w:fldChar w:fldCharType="begin"/>
        </w:r>
        <w:r w:rsidR="006314F9">
          <w:rPr>
            <w:noProof/>
            <w:webHidden/>
          </w:rPr>
          <w:instrText xml:space="preserve"> PAGEREF _Toc110246959 \h </w:instrText>
        </w:r>
        <w:r w:rsidR="006314F9">
          <w:rPr>
            <w:noProof/>
            <w:webHidden/>
          </w:rPr>
        </w:r>
        <w:r w:rsidR="006314F9">
          <w:rPr>
            <w:noProof/>
            <w:webHidden/>
          </w:rPr>
          <w:fldChar w:fldCharType="separate"/>
        </w:r>
        <w:r w:rsidR="006314F9">
          <w:rPr>
            <w:noProof/>
            <w:webHidden/>
          </w:rPr>
          <w:t>158</w:t>
        </w:r>
        <w:r w:rsidR="006314F9">
          <w:rPr>
            <w:noProof/>
            <w:webHidden/>
          </w:rPr>
          <w:fldChar w:fldCharType="end"/>
        </w:r>
      </w:hyperlink>
    </w:p>
    <w:p w14:paraId="07B57AC6" w14:textId="14CA0DA9"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60" w:history="1">
        <w:r w:rsidR="006314F9" w:rsidRPr="00E9733A">
          <w:rPr>
            <w:rStyle w:val="Hyperlink"/>
            <w:noProof/>
          </w:rPr>
          <w:t>Figure 6</w:t>
        </w:r>
        <w:r w:rsidR="006314F9" w:rsidRPr="00E9733A">
          <w:rPr>
            <w:rStyle w:val="Hyperlink"/>
            <w:noProof/>
          </w:rPr>
          <w:noBreakHyphen/>
          <w:t>6  Global KEGG map of metabolism.</w:t>
        </w:r>
        <w:r w:rsidR="006314F9">
          <w:rPr>
            <w:noProof/>
            <w:webHidden/>
          </w:rPr>
          <w:tab/>
        </w:r>
        <w:r w:rsidR="006314F9">
          <w:rPr>
            <w:noProof/>
            <w:webHidden/>
          </w:rPr>
          <w:fldChar w:fldCharType="begin"/>
        </w:r>
        <w:r w:rsidR="006314F9">
          <w:rPr>
            <w:noProof/>
            <w:webHidden/>
          </w:rPr>
          <w:instrText xml:space="preserve"> PAGEREF _Toc110246960 \h </w:instrText>
        </w:r>
        <w:r w:rsidR="006314F9">
          <w:rPr>
            <w:noProof/>
            <w:webHidden/>
          </w:rPr>
        </w:r>
        <w:r w:rsidR="006314F9">
          <w:rPr>
            <w:noProof/>
            <w:webHidden/>
          </w:rPr>
          <w:fldChar w:fldCharType="separate"/>
        </w:r>
        <w:r w:rsidR="006314F9">
          <w:rPr>
            <w:noProof/>
            <w:webHidden/>
          </w:rPr>
          <w:t>160</w:t>
        </w:r>
        <w:r w:rsidR="006314F9">
          <w:rPr>
            <w:noProof/>
            <w:webHidden/>
          </w:rPr>
          <w:fldChar w:fldCharType="end"/>
        </w:r>
      </w:hyperlink>
    </w:p>
    <w:p w14:paraId="5833A8F0" w14:textId="4981B1BB"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61" w:history="1">
        <w:r w:rsidR="006314F9" w:rsidRPr="00E9733A">
          <w:rPr>
            <w:rStyle w:val="Hyperlink"/>
            <w:noProof/>
          </w:rPr>
          <w:t>Figure 6</w:t>
        </w:r>
        <w:r w:rsidR="006314F9" w:rsidRPr="00E9733A">
          <w:rPr>
            <w:rStyle w:val="Hyperlink"/>
            <w:noProof/>
          </w:rPr>
          <w:noBreakHyphen/>
          <w:t>7  Fecal samples collected for metaproteomic measurements for all infants in the study.</w:t>
        </w:r>
        <w:r w:rsidR="006314F9">
          <w:rPr>
            <w:noProof/>
            <w:webHidden/>
          </w:rPr>
          <w:tab/>
        </w:r>
        <w:r w:rsidR="006314F9">
          <w:rPr>
            <w:noProof/>
            <w:webHidden/>
          </w:rPr>
          <w:fldChar w:fldCharType="begin"/>
        </w:r>
        <w:r w:rsidR="006314F9">
          <w:rPr>
            <w:noProof/>
            <w:webHidden/>
          </w:rPr>
          <w:instrText xml:space="preserve"> PAGEREF _Toc110246961 \h </w:instrText>
        </w:r>
        <w:r w:rsidR="006314F9">
          <w:rPr>
            <w:noProof/>
            <w:webHidden/>
          </w:rPr>
        </w:r>
        <w:r w:rsidR="006314F9">
          <w:rPr>
            <w:noProof/>
            <w:webHidden/>
          </w:rPr>
          <w:fldChar w:fldCharType="separate"/>
        </w:r>
        <w:r w:rsidR="006314F9">
          <w:rPr>
            <w:noProof/>
            <w:webHidden/>
          </w:rPr>
          <w:t>169</w:t>
        </w:r>
        <w:r w:rsidR="006314F9">
          <w:rPr>
            <w:noProof/>
            <w:webHidden/>
          </w:rPr>
          <w:fldChar w:fldCharType="end"/>
        </w:r>
      </w:hyperlink>
    </w:p>
    <w:p w14:paraId="50E4E311" w14:textId="49DC8755"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62" w:history="1">
        <w:r w:rsidR="006314F9" w:rsidRPr="00E9733A">
          <w:rPr>
            <w:rStyle w:val="Hyperlink"/>
            <w:noProof/>
          </w:rPr>
          <w:t>Figure 6</w:t>
        </w:r>
        <w:r w:rsidR="006314F9" w:rsidRPr="00E9733A">
          <w:rPr>
            <w:rStyle w:val="Hyperlink"/>
            <w:noProof/>
          </w:rPr>
          <w:noBreakHyphen/>
          <w:t>8  Distribution of protein groups identified in each sample for each protein source (A) and the percentage of human proteins quantified in each Reactome annotation category (B).</w:t>
        </w:r>
        <w:r w:rsidR="006314F9">
          <w:rPr>
            <w:noProof/>
            <w:webHidden/>
          </w:rPr>
          <w:tab/>
        </w:r>
        <w:r w:rsidR="006314F9">
          <w:rPr>
            <w:noProof/>
            <w:webHidden/>
          </w:rPr>
          <w:fldChar w:fldCharType="begin"/>
        </w:r>
        <w:r w:rsidR="006314F9">
          <w:rPr>
            <w:noProof/>
            <w:webHidden/>
          </w:rPr>
          <w:instrText xml:space="preserve"> PAGEREF _Toc110246962 \h </w:instrText>
        </w:r>
        <w:r w:rsidR="006314F9">
          <w:rPr>
            <w:noProof/>
            <w:webHidden/>
          </w:rPr>
        </w:r>
        <w:r w:rsidR="006314F9">
          <w:rPr>
            <w:noProof/>
            <w:webHidden/>
          </w:rPr>
          <w:fldChar w:fldCharType="separate"/>
        </w:r>
        <w:r w:rsidR="006314F9">
          <w:rPr>
            <w:noProof/>
            <w:webHidden/>
          </w:rPr>
          <w:t>170</w:t>
        </w:r>
        <w:r w:rsidR="006314F9">
          <w:rPr>
            <w:noProof/>
            <w:webHidden/>
          </w:rPr>
          <w:fldChar w:fldCharType="end"/>
        </w:r>
      </w:hyperlink>
    </w:p>
    <w:p w14:paraId="77E7E1E2" w14:textId="63850928"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63" w:history="1">
        <w:r w:rsidR="006314F9" w:rsidRPr="00E9733A">
          <w:rPr>
            <w:rStyle w:val="Hyperlink"/>
            <w:noProof/>
          </w:rPr>
          <w:t>Figure 6</w:t>
        </w:r>
        <w:r w:rsidR="006314F9" w:rsidRPr="00E9733A">
          <w:rPr>
            <w:rStyle w:val="Hyperlink"/>
            <w:noProof/>
          </w:rPr>
          <w:noBreakHyphen/>
          <w:t>9  Distribution of antibiotic resistance orthologs (AROs) found in each sample for all 17 infants in the study.</w:t>
        </w:r>
        <w:r w:rsidR="006314F9">
          <w:rPr>
            <w:noProof/>
            <w:webHidden/>
          </w:rPr>
          <w:tab/>
        </w:r>
        <w:r w:rsidR="006314F9">
          <w:rPr>
            <w:noProof/>
            <w:webHidden/>
          </w:rPr>
          <w:fldChar w:fldCharType="begin"/>
        </w:r>
        <w:r w:rsidR="006314F9">
          <w:rPr>
            <w:noProof/>
            <w:webHidden/>
          </w:rPr>
          <w:instrText xml:space="preserve"> PAGEREF _Toc110246963 \h </w:instrText>
        </w:r>
        <w:r w:rsidR="006314F9">
          <w:rPr>
            <w:noProof/>
            <w:webHidden/>
          </w:rPr>
        </w:r>
        <w:r w:rsidR="006314F9">
          <w:rPr>
            <w:noProof/>
            <w:webHidden/>
          </w:rPr>
          <w:fldChar w:fldCharType="separate"/>
        </w:r>
        <w:r w:rsidR="006314F9">
          <w:rPr>
            <w:noProof/>
            <w:webHidden/>
          </w:rPr>
          <w:t>174</w:t>
        </w:r>
        <w:r w:rsidR="006314F9">
          <w:rPr>
            <w:noProof/>
            <w:webHidden/>
          </w:rPr>
          <w:fldChar w:fldCharType="end"/>
        </w:r>
      </w:hyperlink>
    </w:p>
    <w:p w14:paraId="15D18BB9" w14:textId="71DF5CB9"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64" w:history="1">
        <w:r w:rsidR="006314F9" w:rsidRPr="00E9733A">
          <w:rPr>
            <w:rStyle w:val="Hyperlink"/>
            <w:noProof/>
          </w:rPr>
          <w:t>Figure 6</w:t>
        </w:r>
        <w:r w:rsidR="006314F9" w:rsidRPr="00E9733A">
          <w:rPr>
            <w:rStyle w:val="Hyperlink"/>
            <w:noProof/>
          </w:rPr>
          <w:noBreakHyphen/>
          <w:t>10  Relative abundance of organisms at each time point for samples collected for infant 61.</w:t>
        </w:r>
        <w:r w:rsidR="006314F9">
          <w:rPr>
            <w:noProof/>
            <w:webHidden/>
          </w:rPr>
          <w:tab/>
        </w:r>
        <w:r w:rsidR="006314F9">
          <w:rPr>
            <w:noProof/>
            <w:webHidden/>
          </w:rPr>
          <w:fldChar w:fldCharType="begin"/>
        </w:r>
        <w:r w:rsidR="006314F9">
          <w:rPr>
            <w:noProof/>
            <w:webHidden/>
          </w:rPr>
          <w:instrText xml:space="preserve"> PAGEREF _Toc110246964 \h </w:instrText>
        </w:r>
        <w:r w:rsidR="006314F9">
          <w:rPr>
            <w:noProof/>
            <w:webHidden/>
          </w:rPr>
        </w:r>
        <w:r w:rsidR="006314F9">
          <w:rPr>
            <w:noProof/>
            <w:webHidden/>
          </w:rPr>
          <w:fldChar w:fldCharType="separate"/>
        </w:r>
        <w:r w:rsidR="006314F9">
          <w:rPr>
            <w:noProof/>
            <w:webHidden/>
          </w:rPr>
          <w:t>176</w:t>
        </w:r>
        <w:r w:rsidR="006314F9">
          <w:rPr>
            <w:noProof/>
            <w:webHidden/>
          </w:rPr>
          <w:fldChar w:fldCharType="end"/>
        </w:r>
      </w:hyperlink>
    </w:p>
    <w:p w14:paraId="22E9EBFC" w14:textId="722A28AE"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65" w:history="1">
        <w:r w:rsidR="006314F9" w:rsidRPr="00E9733A">
          <w:rPr>
            <w:rStyle w:val="Hyperlink"/>
            <w:noProof/>
          </w:rPr>
          <w:t>Figure 6</w:t>
        </w:r>
        <w:r w:rsidR="006314F9" w:rsidRPr="00E9733A">
          <w:rPr>
            <w:rStyle w:val="Hyperlink"/>
            <w:noProof/>
          </w:rPr>
          <w:noBreakHyphen/>
          <w:t>11  Relative abundance of organisms at each time point for samples collected for infant 39.</w:t>
        </w:r>
        <w:r w:rsidR="006314F9">
          <w:rPr>
            <w:noProof/>
            <w:webHidden/>
          </w:rPr>
          <w:tab/>
        </w:r>
        <w:r w:rsidR="006314F9">
          <w:rPr>
            <w:noProof/>
            <w:webHidden/>
          </w:rPr>
          <w:fldChar w:fldCharType="begin"/>
        </w:r>
        <w:r w:rsidR="006314F9">
          <w:rPr>
            <w:noProof/>
            <w:webHidden/>
          </w:rPr>
          <w:instrText xml:space="preserve"> PAGEREF _Toc110246965 \h </w:instrText>
        </w:r>
        <w:r w:rsidR="006314F9">
          <w:rPr>
            <w:noProof/>
            <w:webHidden/>
          </w:rPr>
        </w:r>
        <w:r w:rsidR="006314F9">
          <w:rPr>
            <w:noProof/>
            <w:webHidden/>
          </w:rPr>
          <w:fldChar w:fldCharType="separate"/>
        </w:r>
        <w:r w:rsidR="006314F9">
          <w:rPr>
            <w:noProof/>
            <w:webHidden/>
          </w:rPr>
          <w:t>180</w:t>
        </w:r>
        <w:r w:rsidR="006314F9">
          <w:rPr>
            <w:noProof/>
            <w:webHidden/>
          </w:rPr>
          <w:fldChar w:fldCharType="end"/>
        </w:r>
      </w:hyperlink>
    </w:p>
    <w:p w14:paraId="030EE9BC" w14:textId="17C332A8"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66" w:history="1">
        <w:r w:rsidR="006314F9" w:rsidRPr="00E9733A">
          <w:rPr>
            <w:rStyle w:val="Hyperlink"/>
            <w:noProof/>
          </w:rPr>
          <w:t>Figure 6</w:t>
        </w:r>
        <w:r w:rsidR="006314F9" w:rsidRPr="00E9733A">
          <w:rPr>
            <w:rStyle w:val="Hyperlink"/>
            <w:noProof/>
          </w:rPr>
          <w:noBreakHyphen/>
          <w:t>12  Functional β-diversity by proteins source for the 12 infants included in the analysis based on maternal antibiotic administration information.</w:t>
        </w:r>
        <w:r w:rsidR="006314F9">
          <w:rPr>
            <w:noProof/>
            <w:webHidden/>
          </w:rPr>
          <w:tab/>
        </w:r>
        <w:r w:rsidR="006314F9">
          <w:rPr>
            <w:noProof/>
            <w:webHidden/>
          </w:rPr>
          <w:fldChar w:fldCharType="begin"/>
        </w:r>
        <w:r w:rsidR="006314F9">
          <w:rPr>
            <w:noProof/>
            <w:webHidden/>
          </w:rPr>
          <w:instrText xml:space="preserve"> PAGEREF _Toc110246966 \h </w:instrText>
        </w:r>
        <w:r w:rsidR="006314F9">
          <w:rPr>
            <w:noProof/>
            <w:webHidden/>
          </w:rPr>
        </w:r>
        <w:r w:rsidR="006314F9">
          <w:rPr>
            <w:noProof/>
            <w:webHidden/>
          </w:rPr>
          <w:fldChar w:fldCharType="separate"/>
        </w:r>
        <w:r w:rsidR="006314F9">
          <w:rPr>
            <w:noProof/>
            <w:webHidden/>
          </w:rPr>
          <w:t>183</w:t>
        </w:r>
        <w:r w:rsidR="006314F9">
          <w:rPr>
            <w:noProof/>
            <w:webHidden/>
          </w:rPr>
          <w:fldChar w:fldCharType="end"/>
        </w:r>
      </w:hyperlink>
    </w:p>
    <w:p w14:paraId="6E2973D6" w14:textId="298DD816"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67" w:history="1">
        <w:r w:rsidR="006314F9" w:rsidRPr="00E9733A">
          <w:rPr>
            <w:rStyle w:val="Hyperlink"/>
            <w:noProof/>
          </w:rPr>
          <w:t>Figure 6</w:t>
        </w:r>
        <w:r w:rsidR="006314F9" w:rsidRPr="00E9733A">
          <w:rPr>
            <w:rStyle w:val="Hyperlink"/>
            <w:noProof/>
          </w:rPr>
          <w:noBreakHyphen/>
          <w:t>13  Metal homeostasis mechanisms of microbiota and corresponding host immune responses.</w:t>
        </w:r>
        <w:r w:rsidR="006314F9">
          <w:rPr>
            <w:noProof/>
            <w:webHidden/>
          </w:rPr>
          <w:tab/>
        </w:r>
        <w:r w:rsidR="006314F9">
          <w:rPr>
            <w:noProof/>
            <w:webHidden/>
          </w:rPr>
          <w:fldChar w:fldCharType="begin"/>
        </w:r>
        <w:r w:rsidR="006314F9">
          <w:rPr>
            <w:noProof/>
            <w:webHidden/>
          </w:rPr>
          <w:instrText xml:space="preserve"> PAGEREF _Toc110246967 \h </w:instrText>
        </w:r>
        <w:r w:rsidR="006314F9">
          <w:rPr>
            <w:noProof/>
            <w:webHidden/>
          </w:rPr>
        </w:r>
        <w:r w:rsidR="006314F9">
          <w:rPr>
            <w:noProof/>
            <w:webHidden/>
          </w:rPr>
          <w:fldChar w:fldCharType="separate"/>
        </w:r>
        <w:r w:rsidR="006314F9">
          <w:rPr>
            <w:noProof/>
            <w:webHidden/>
          </w:rPr>
          <w:t>189</w:t>
        </w:r>
        <w:r w:rsidR="006314F9">
          <w:rPr>
            <w:noProof/>
            <w:webHidden/>
          </w:rPr>
          <w:fldChar w:fldCharType="end"/>
        </w:r>
      </w:hyperlink>
    </w:p>
    <w:p w14:paraId="474DCED5" w14:textId="64AD1496"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68" w:history="1">
        <w:r w:rsidR="006314F9" w:rsidRPr="00E9733A">
          <w:rPr>
            <w:rStyle w:val="Hyperlink"/>
            <w:noProof/>
          </w:rPr>
          <w:t>Figure 7</w:t>
        </w:r>
        <w:r w:rsidR="006314F9" w:rsidRPr="00E9733A">
          <w:rPr>
            <w:rStyle w:val="Hyperlink"/>
            <w:noProof/>
          </w:rPr>
          <w:noBreakHyphen/>
          <w:t>1  Genome curation and variation.</w:t>
        </w:r>
        <w:r w:rsidR="006314F9">
          <w:rPr>
            <w:noProof/>
            <w:webHidden/>
          </w:rPr>
          <w:tab/>
        </w:r>
        <w:r w:rsidR="006314F9">
          <w:rPr>
            <w:noProof/>
            <w:webHidden/>
          </w:rPr>
          <w:fldChar w:fldCharType="begin"/>
        </w:r>
        <w:r w:rsidR="006314F9">
          <w:rPr>
            <w:noProof/>
            <w:webHidden/>
          </w:rPr>
          <w:instrText xml:space="preserve"> PAGEREF _Toc110246968 \h </w:instrText>
        </w:r>
        <w:r w:rsidR="006314F9">
          <w:rPr>
            <w:noProof/>
            <w:webHidden/>
          </w:rPr>
        </w:r>
        <w:r w:rsidR="006314F9">
          <w:rPr>
            <w:noProof/>
            <w:webHidden/>
          </w:rPr>
          <w:fldChar w:fldCharType="separate"/>
        </w:r>
        <w:r w:rsidR="006314F9">
          <w:rPr>
            <w:noProof/>
            <w:webHidden/>
          </w:rPr>
          <w:t>199</w:t>
        </w:r>
        <w:r w:rsidR="006314F9">
          <w:rPr>
            <w:noProof/>
            <w:webHidden/>
          </w:rPr>
          <w:fldChar w:fldCharType="end"/>
        </w:r>
      </w:hyperlink>
    </w:p>
    <w:p w14:paraId="0F049620" w14:textId="25FDED09"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69" w:history="1">
        <w:r w:rsidR="006314F9" w:rsidRPr="00E9733A">
          <w:rPr>
            <w:rStyle w:val="Hyperlink"/>
            <w:noProof/>
          </w:rPr>
          <w:t>Figure 7</w:t>
        </w:r>
        <w:r w:rsidR="006314F9" w:rsidRPr="00E9733A">
          <w:rPr>
            <w:rStyle w:val="Hyperlink"/>
            <w:noProof/>
          </w:rPr>
          <w:noBreakHyphen/>
          <w:t>2  Workflow for phage enrichment from human feces.</w:t>
        </w:r>
        <w:r w:rsidR="006314F9">
          <w:rPr>
            <w:noProof/>
            <w:webHidden/>
          </w:rPr>
          <w:tab/>
        </w:r>
        <w:r w:rsidR="006314F9">
          <w:rPr>
            <w:noProof/>
            <w:webHidden/>
          </w:rPr>
          <w:fldChar w:fldCharType="begin"/>
        </w:r>
        <w:r w:rsidR="006314F9">
          <w:rPr>
            <w:noProof/>
            <w:webHidden/>
          </w:rPr>
          <w:instrText xml:space="preserve"> PAGEREF _Toc110246969 \h </w:instrText>
        </w:r>
        <w:r w:rsidR="006314F9">
          <w:rPr>
            <w:noProof/>
            <w:webHidden/>
          </w:rPr>
        </w:r>
        <w:r w:rsidR="006314F9">
          <w:rPr>
            <w:noProof/>
            <w:webHidden/>
          </w:rPr>
          <w:fldChar w:fldCharType="separate"/>
        </w:r>
        <w:r w:rsidR="006314F9">
          <w:rPr>
            <w:noProof/>
            <w:webHidden/>
          </w:rPr>
          <w:t>202</w:t>
        </w:r>
        <w:r w:rsidR="006314F9">
          <w:rPr>
            <w:noProof/>
            <w:webHidden/>
          </w:rPr>
          <w:fldChar w:fldCharType="end"/>
        </w:r>
      </w:hyperlink>
    </w:p>
    <w:p w14:paraId="3E000DCF" w14:textId="469B36B0" w:rsidR="006314F9" w:rsidRDefault="00FA115D">
      <w:pPr>
        <w:pStyle w:val="TableofFigures"/>
        <w:tabs>
          <w:tab w:val="right" w:leader="dot" w:pos="8630"/>
        </w:tabs>
        <w:rPr>
          <w:rFonts w:asciiTheme="minorHAnsi" w:eastAsiaTheme="minorEastAsia" w:hAnsiTheme="minorHAnsi" w:cstheme="minorBidi"/>
          <w:b w:val="0"/>
          <w:noProof/>
          <w:szCs w:val="24"/>
        </w:rPr>
      </w:pPr>
      <w:hyperlink r:id="rId20" w:anchor="_Toc110246970" w:history="1">
        <w:r w:rsidR="006314F9" w:rsidRPr="00E9733A">
          <w:rPr>
            <w:rStyle w:val="Hyperlink"/>
            <w:noProof/>
          </w:rPr>
          <w:t>Figure 7</w:t>
        </w:r>
        <w:r w:rsidR="006314F9" w:rsidRPr="00E9733A">
          <w:rPr>
            <w:rStyle w:val="Hyperlink"/>
            <w:noProof/>
          </w:rPr>
          <w:noBreakHyphen/>
          <w:t>3  Extracted-ion chromatograms of m/z 522.8003 ion.</w:t>
        </w:r>
        <w:r w:rsidR="006314F9">
          <w:rPr>
            <w:noProof/>
            <w:webHidden/>
          </w:rPr>
          <w:tab/>
        </w:r>
        <w:r w:rsidR="006314F9">
          <w:rPr>
            <w:noProof/>
            <w:webHidden/>
          </w:rPr>
          <w:fldChar w:fldCharType="begin"/>
        </w:r>
        <w:r w:rsidR="006314F9">
          <w:rPr>
            <w:noProof/>
            <w:webHidden/>
          </w:rPr>
          <w:instrText xml:space="preserve"> PAGEREF _Toc110246970 \h </w:instrText>
        </w:r>
        <w:r w:rsidR="006314F9">
          <w:rPr>
            <w:noProof/>
            <w:webHidden/>
          </w:rPr>
        </w:r>
        <w:r w:rsidR="006314F9">
          <w:rPr>
            <w:noProof/>
            <w:webHidden/>
          </w:rPr>
          <w:fldChar w:fldCharType="separate"/>
        </w:r>
        <w:r w:rsidR="006314F9">
          <w:rPr>
            <w:noProof/>
            <w:webHidden/>
          </w:rPr>
          <w:t>203</w:t>
        </w:r>
        <w:r w:rsidR="006314F9">
          <w:rPr>
            <w:noProof/>
            <w:webHidden/>
          </w:rPr>
          <w:fldChar w:fldCharType="end"/>
        </w:r>
      </w:hyperlink>
    </w:p>
    <w:p w14:paraId="231EA348" w14:textId="333D6901"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71" w:history="1">
        <w:r w:rsidR="006314F9" w:rsidRPr="00E9733A">
          <w:rPr>
            <w:rStyle w:val="Hyperlink"/>
            <w:noProof/>
          </w:rPr>
          <w:t>Figure 7</w:t>
        </w:r>
        <w:r w:rsidR="006314F9" w:rsidRPr="00E9733A">
          <w:rPr>
            <w:rStyle w:val="Hyperlink"/>
            <w:noProof/>
          </w:rPr>
          <w:noBreakHyphen/>
          <w:t>4  Proteomic detection of alternatively coded proteins from two phage genomes.</w:t>
        </w:r>
        <w:r w:rsidR="006314F9">
          <w:rPr>
            <w:noProof/>
            <w:webHidden/>
          </w:rPr>
          <w:tab/>
        </w:r>
        <w:r w:rsidR="006314F9">
          <w:rPr>
            <w:noProof/>
            <w:webHidden/>
          </w:rPr>
          <w:fldChar w:fldCharType="begin"/>
        </w:r>
        <w:r w:rsidR="006314F9">
          <w:rPr>
            <w:noProof/>
            <w:webHidden/>
          </w:rPr>
          <w:instrText xml:space="preserve"> PAGEREF _Toc110246971 \h </w:instrText>
        </w:r>
        <w:r w:rsidR="006314F9">
          <w:rPr>
            <w:noProof/>
            <w:webHidden/>
          </w:rPr>
        </w:r>
        <w:r w:rsidR="006314F9">
          <w:rPr>
            <w:noProof/>
            <w:webHidden/>
          </w:rPr>
          <w:fldChar w:fldCharType="separate"/>
        </w:r>
        <w:r w:rsidR="006314F9">
          <w:rPr>
            <w:noProof/>
            <w:webHidden/>
          </w:rPr>
          <w:t>205</w:t>
        </w:r>
        <w:r w:rsidR="006314F9">
          <w:rPr>
            <w:noProof/>
            <w:webHidden/>
          </w:rPr>
          <w:fldChar w:fldCharType="end"/>
        </w:r>
      </w:hyperlink>
    </w:p>
    <w:p w14:paraId="696AB5E7" w14:textId="2BB5EF28"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72" w:history="1">
        <w:r w:rsidR="006314F9" w:rsidRPr="00E9733A">
          <w:rPr>
            <w:rStyle w:val="Hyperlink"/>
            <w:noProof/>
          </w:rPr>
          <w:t>Figure 7</w:t>
        </w:r>
        <w:r w:rsidR="006314F9" w:rsidRPr="00E9733A">
          <w:rPr>
            <w:rStyle w:val="Hyperlink"/>
            <w:noProof/>
          </w:rPr>
          <w:noBreakHyphen/>
          <w:t>5  Protein sequence coverage map of alternative code phage tail-related protein.</w:t>
        </w:r>
        <w:r w:rsidR="006314F9">
          <w:rPr>
            <w:noProof/>
            <w:webHidden/>
          </w:rPr>
          <w:tab/>
        </w:r>
        <w:r w:rsidR="006314F9">
          <w:rPr>
            <w:noProof/>
            <w:webHidden/>
          </w:rPr>
          <w:fldChar w:fldCharType="begin"/>
        </w:r>
        <w:r w:rsidR="006314F9">
          <w:rPr>
            <w:noProof/>
            <w:webHidden/>
          </w:rPr>
          <w:instrText xml:space="preserve"> PAGEREF _Toc110246972 \h </w:instrText>
        </w:r>
        <w:r w:rsidR="006314F9">
          <w:rPr>
            <w:noProof/>
            <w:webHidden/>
          </w:rPr>
        </w:r>
        <w:r w:rsidR="006314F9">
          <w:rPr>
            <w:noProof/>
            <w:webHidden/>
          </w:rPr>
          <w:fldChar w:fldCharType="separate"/>
        </w:r>
        <w:r w:rsidR="006314F9">
          <w:rPr>
            <w:noProof/>
            <w:webHidden/>
          </w:rPr>
          <w:t>207</w:t>
        </w:r>
        <w:r w:rsidR="006314F9">
          <w:rPr>
            <w:noProof/>
            <w:webHidden/>
          </w:rPr>
          <w:fldChar w:fldCharType="end"/>
        </w:r>
      </w:hyperlink>
    </w:p>
    <w:p w14:paraId="3DD15A53" w14:textId="29D4B106"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73" w:history="1">
        <w:r w:rsidR="006314F9" w:rsidRPr="00E9733A">
          <w:rPr>
            <w:rStyle w:val="Hyperlink"/>
            <w:noProof/>
          </w:rPr>
          <w:t>Figure 7</w:t>
        </w:r>
        <w:r w:rsidR="006314F9" w:rsidRPr="00E9733A">
          <w:rPr>
            <w:rStyle w:val="Hyperlink"/>
            <w:noProof/>
          </w:rPr>
          <w:noBreakHyphen/>
          <w:t>6  Example MS/MS spectra of alternative coding tryptic peptides.</w:t>
        </w:r>
        <w:r w:rsidR="006314F9">
          <w:rPr>
            <w:noProof/>
            <w:webHidden/>
          </w:rPr>
          <w:tab/>
        </w:r>
        <w:r w:rsidR="006314F9">
          <w:rPr>
            <w:noProof/>
            <w:webHidden/>
          </w:rPr>
          <w:fldChar w:fldCharType="begin"/>
        </w:r>
        <w:r w:rsidR="006314F9">
          <w:rPr>
            <w:noProof/>
            <w:webHidden/>
          </w:rPr>
          <w:instrText xml:space="preserve"> PAGEREF _Toc110246973 \h </w:instrText>
        </w:r>
        <w:r w:rsidR="006314F9">
          <w:rPr>
            <w:noProof/>
            <w:webHidden/>
          </w:rPr>
        </w:r>
        <w:r w:rsidR="006314F9">
          <w:rPr>
            <w:noProof/>
            <w:webHidden/>
          </w:rPr>
          <w:fldChar w:fldCharType="separate"/>
        </w:r>
        <w:r w:rsidR="006314F9">
          <w:rPr>
            <w:noProof/>
            <w:webHidden/>
          </w:rPr>
          <w:t>209</w:t>
        </w:r>
        <w:r w:rsidR="006314F9">
          <w:rPr>
            <w:noProof/>
            <w:webHidden/>
          </w:rPr>
          <w:fldChar w:fldCharType="end"/>
        </w:r>
      </w:hyperlink>
    </w:p>
    <w:p w14:paraId="23830236" w14:textId="21583F90" w:rsidR="006314F9" w:rsidRDefault="00FA115D">
      <w:pPr>
        <w:pStyle w:val="TableofFigures"/>
        <w:tabs>
          <w:tab w:val="right" w:leader="dot" w:pos="8630"/>
        </w:tabs>
        <w:rPr>
          <w:rFonts w:asciiTheme="minorHAnsi" w:eastAsiaTheme="minorEastAsia" w:hAnsiTheme="minorHAnsi" w:cstheme="minorBidi"/>
          <w:b w:val="0"/>
          <w:noProof/>
          <w:szCs w:val="24"/>
        </w:rPr>
      </w:pPr>
      <w:hyperlink w:anchor="_Toc110246974" w:history="1">
        <w:r w:rsidR="006314F9" w:rsidRPr="00E9733A">
          <w:rPr>
            <w:rStyle w:val="Hyperlink"/>
            <w:noProof/>
          </w:rPr>
          <w:t>Figure 7</w:t>
        </w:r>
        <w:r w:rsidR="006314F9" w:rsidRPr="00E9733A">
          <w:rPr>
            <w:rStyle w:val="Hyperlink"/>
            <w:noProof/>
          </w:rPr>
          <w:noBreakHyphen/>
          <w:t>7  MS/MS spectrum of de novo sequence tag of an alternative coded tryptic peptide (A).</w:t>
        </w:r>
        <w:r w:rsidR="006314F9">
          <w:rPr>
            <w:noProof/>
            <w:webHidden/>
          </w:rPr>
          <w:tab/>
        </w:r>
        <w:r w:rsidR="006314F9">
          <w:rPr>
            <w:noProof/>
            <w:webHidden/>
          </w:rPr>
          <w:fldChar w:fldCharType="begin"/>
        </w:r>
        <w:r w:rsidR="006314F9">
          <w:rPr>
            <w:noProof/>
            <w:webHidden/>
          </w:rPr>
          <w:instrText xml:space="preserve"> PAGEREF _Toc110246974 \h </w:instrText>
        </w:r>
        <w:r w:rsidR="006314F9">
          <w:rPr>
            <w:noProof/>
            <w:webHidden/>
          </w:rPr>
        </w:r>
        <w:r w:rsidR="006314F9">
          <w:rPr>
            <w:noProof/>
            <w:webHidden/>
          </w:rPr>
          <w:fldChar w:fldCharType="separate"/>
        </w:r>
        <w:r w:rsidR="006314F9">
          <w:rPr>
            <w:noProof/>
            <w:webHidden/>
          </w:rPr>
          <w:t>210</w:t>
        </w:r>
        <w:r w:rsidR="006314F9">
          <w:rPr>
            <w:noProof/>
            <w:webHidden/>
          </w:rPr>
          <w:fldChar w:fldCharType="end"/>
        </w:r>
      </w:hyperlink>
    </w:p>
    <w:p w14:paraId="72246985" w14:textId="73F8A635" w:rsidR="006038D7" w:rsidRPr="00081E67" w:rsidRDefault="002409D5" w:rsidP="006464BD">
      <w:pPr>
        <w:spacing w:before="1"/>
        <w:rPr>
          <w:bCs/>
          <w:sz w:val="28"/>
          <w:szCs w:val="28"/>
          <w:lang w:val="en-GB" w:eastAsia="en-GB"/>
        </w:rPr>
      </w:pPr>
      <w:r w:rsidRPr="00081E67">
        <w:rPr>
          <w:bCs/>
          <w:sz w:val="28"/>
          <w:szCs w:val="28"/>
          <w:lang w:val="en-GB" w:eastAsia="en-GB"/>
        </w:rPr>
        <w:fldChar w:fldCharType="end"/>
      </w:r>
      <w:r w:rsidR="00AA7AD1" w:rsidRPr="00081E67">
        <w:rPr>
          <w:bCs/>
          <w:sz w:val="28"/>
          <w:szCs w:val="28"/>
          <w:lang w:val="en-GB" w:eastAsia="en-GB"/>
        </w:rPr>
        <w:br w:type="page"/>
      </w:r>
    </w:p>
    <w:p w14:paraId="7087486A" w14:textId="19EA7E63" w:rsidR="00CF4D81" w:rsidRPr="0023237A" w:rsidRDefault="00CF4D81" w:rsidP="006038D7">
      <w:pPr>
        <w:pStyle w:val="Title"/>
        <w:spacing w:line="360" w:lineRule="auto"/>
        <w:jc w:val="both"/>
        <w:rPr>
          <w:lang w:val="en-GB" w:eastAsia="en-GB"/>
        </w:rPr>
        <w:sectPr w:rsidR="00CF4D81" w:rsidRPr="0023237A" w:rsidSect="004D6D0F">
          <w:footerReference w:type="even" r:id="rId21"/>
          <w:footerReference w:type="default" r:id="rId22"/>
          <w:footerReference w:type="first" r:id="rId23"/>
          <w:pgSz w:w="12240" w:h="15840"/>
          <w:pgMar w:top="1440" w:right="1800" w:bottom="1872" w:left="1800" w:header="720" w:footer="1440" w:gutter="0"/>
          <w:pgNumType w:fmt="lowerRoman" w:start="1"/>
          <w:cols w:space="720"/>
          <w:titlePg/>
          <w:docGrid w:linePitch="360"/>
        </w:sectPr>
      </w:pPr>
    </w:p>
    <w:p w14:paraId="3BAA8842" w14:textId="786ECD29" w:rsidR="00310878" w:rsidRPr="0083097F" w:rsidRDefault="0083097F" w:rsidP="0083097F">
      <w:pPr>
        <w:pStyle w:val="Heading1"/>
      </w:pPr>
      <w:r>
        <w:lastRenderedPageBreak/>
        <w:t xml:space="preserve"> </w:t>
      </w:r>
      <w:bookmarkStart w:id="1" w:name="_Toc110250212"/>
      <w:bookmarkStart w:id="2" w:name="_Toc110250469"/>
      <w:bookmarkStart w:id="3" w:name="_Toc110250600"/>
      <w:r w:rsidR="00310878" w:rsidRPr="0083097F">
        <w:t>Introduction to mass spectrometry-based metaproteomic characterization of interkingdom interactions in environmental samples.</w:t>
      </w:r>
      <w:bookmarkEnd w:id="1"/>
      <w:bookmarkEnd w:id="2"/>
      <w:bookmarkEnd w:id="3"/>
    </w:p>
    <w:p w14:paraId="353C4E98" w14:textId="77777777" w:rsidR="00630F50" w:rsidRPr="00476931" w:rsidRDefault="00630F50" w:rsidP="00630F50">
      <w:pPr>
        <w:pStyle w:val="TOC1"/>
        <w:widowControl w:val="0"/>
        <w:ind w:right="0"/>
        <w:rPr>
          <w:rFonts w:cstheme="minorBidi"/>
          <w:b w:val="0"/>
          <w:bCs w:val="0"/>
          <w:color w:val="000000" w:themeColor="text1"/>
          <w:sz w:val="40"/>
          <w:szCs w:val="40"/>
        </w:rPr>
      </w:pPr>
    </w:p>
    <w:p w14:paraId="659FF1F6" w14:textId="5299AB74" w:rsidR="00630F50" w:rsidRPr="00476931" w:rsidRDefault="008A5CAE" w:rsidP="0060435B">
      <w:pPr>
        <w:pStyle w:val="Heading2"/>
      </w:pPr>
      <w:bookmarkStart w:id="4" w:name="_Toc110250213"/>
      <w:bookmarkStart w:id="5" w:name="_Toc110250470"/>
      <w:bookmarkStart w:id="6" w:name="_Toc110250601"/>
      <w:r w:rsidRPr="00476931">
        <w:t xml:space="preserve">1.1  </w:t>
      </w:r>
      <w:r w:rsidR="00630F50" w:rsidRPr="00476931">
        <w:t>The composition of microbial communities.</w:t>
      </w:r>
      <w:bookmarkEnd w:id="4"/>
      <w:bookmarkEnd w:id="5"/>
      <w:bookmarkEnd w:id="6"/>
    </w:p>
    <w:p w14:paraId="54A2985C" w14:textId="77777777" w:rsidR="008A5CAE" w:rsidRPr="00476931" w:rsidRDefault="008A5CAE" w:rsidP="008A5CAE">
      <w:pPr>
        <w:rPr>
          <w:color w:val="000000" w:themeColor="text1"/>
        </w:rPr>
      </w:pPr>
    </w:p>
    <w:p w14:paraId="244B84EF" w14:textId="2AC1C795" w:rsidR="00FC7924" w:rsidRPr="00476931" w:rsidRDefault="00FC7924" w:rsidP="00FC7924">
      <w:pPr>
        <w:rPr>
          <w:rFonts w:ascii="Times New Roman" w:hAnsi="Times New Roman" w:cs="Times New Roman"/>
          <w:color w:val="000000" w:themeColor="text1"/>
        </w:rPr>
      </w:pPr>
      <w:r w:rsidRPr="00476931">
        <w:rPr>
          <w:rFonts w:ascii="Times New Roman" w:hAnsi="Times New Roman" w:cs="Times New Roman"/>
          <w:color w:val="000000" w:themeColor="text1"/>
          <w:shd w:val="clear" w:color="auto" w:fill="FFFFFF"/>
        </w:rPr>
        <w:t>Microorganisms constitute the largest population group on Earth, with studies predicting the existence of as many as one trillion microbial species</w:t>
      </w:r>
      <w:sdt>
        <w:sdtPr>
          <w:rPr>
            <w:rFonts w:ascii="Times New Roman" w:hAnsi="Times New Roman" w:cs="Times New Roman"/>
            <w:color w:val="000000"/>
            <w:shd w:val="clear" w:color="auto" w:fill="FFFFFF"/>
            <w:vertAlign w:val="superscript"/>
          </w:rPr>
          <w:tag w:val="MENDELEY_CITATION_v3_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"/>
          <w:id w:val="1444963352"/>
          <w:placeholder>
            <w:docPart w:val="8194E67F58534D99A6FE46FE525DDBAA"/>
          </w:placeholder>
        </w:sdtPr>
        <w:sdtEndPr/>
        <w:sdtContent>
          <w:r w:rsidR="003204EA" w:rsidRPr="003204EA">
            <w:rPr>
              <w:rFonts w:eastAsia="Times New Roman"/>
              <w:color w:val="000000"/>
              <w:vertAlign w:val="superscript"/>
            </w:rPr>
            <w:t>1</w:t>
          </w:r>
        </w:sdtContent>
      </w:sdt>
      <w:r w:rsidRPr="00476931">
        <w:rPr>
          <w:rFonts w:ascii="Times New Roman" w:hAnsi="Times New Roman" w:cs="Times New Roman"/>
          <w:color w:val="000000" w:themeColor="text1"/>
          <w:shd w:val="clear" w:color="auto" w:fill="FFFFFF"/>
        </w:rPr>
        <w:t xml:space="preserve">. </w:t>
      </w:r>
      <w:r w:rsidRPr="00476931">
        <w:rPr>
          <w:rFonts w:ascii="Times New Roman" w:hAnsi="Times New Roman" w:cs="Times New Roman"/>
          <w:color w:val="000000" w:themeColor="text1"/>
        </w:rPr>
        <w:t xml:space="preserve">These communities comprise a significant portion of the environment, including the host-associated environments such as the human body and rhizospheres, soils, and oceans.   Microbial activities underlie environmental, industrial, and health-related processes including biogeochemical cycling </w:t>
      </w:r>
      <w:r w:rsidR="002E661D">
        <w:rPr>
          <w:rFonts w:ascii="Times New Roman" w:hAnsi="Times New Roman" w:cs="Times New Roman"/>
          <w:color w:val="000000" w:themeColor="text1"/>
        </w:rPr>
        <w:t xml:space="preserve">and </w:t>
      </w:r>
      <w:r w:rsidRPr="00476931">
        <w:rPr>
          <w:rFonts w:ascii="Times New Roman" w:hAnsi="Times New Roman" w:cs="Times New Roman"/>
          <w:color w:val="000000" w:themeColor="text1"/>
        </w:rPr>
        <w:t>the homeostasis of health and disease</w:t>
      </w:r>
      <w:sdt>
        <w:sdtPr>
          <w:rPr>
            <w:rFonts w:ascii="Times New Roman" w:hAnsi="Times New Roman" w:cs="Times New Roman"/>
            <w:color w:val="000000"/>
            <w:vertAlign w:val="superscript"/>
          </w:rPr>
          <w:tag w:val="MENDELEY_CITATION_v3_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"/>
          <w:id w:val="718172679"/>
          <w:placeholder>
            <w:docPart w:val="8194E67F58534D99A6FE46FE525DDBAA"/>
          </w:placeholder>
        </w:sdtPr>
        <w:sdtEndPr/>
        <w:sdtContent>
          <w:r w:rsidR="003204EA" w:rsidRPr="003204EA">
            <w:rPr>
              <w:rFonts w:eastAsia="Times New Roman"/>
              <w:color w:val="000000"/>
              <w:vertAlign w:val="superscript"/>
            </w:rPr>
            <w:t>2</w:t>
          </w:r>
        </w:sdtContent>
      </w:sdt>
      <w:r w:rsidRPr="00476931">
        <w:rPr>
          <w:rFonts w:ascii="Times New Roman" w:hAnsi="Times New Roman" w:cs="Times New Roman"/>
          <w:color w:val="000000" w:themeColor="text1"/>
        </w:rPr>
        <w:t>.  In fact, they are considered essential for almost all biogeochemical cycling processes</w:t>
      </w:r>
      <w:sdt>
        <w:sdtPr>
          <w:rPr>
            <w:rFonts w:ascii="Times New Roman" w:hAnsi="Times New Roman" w:cs="Times New Roman"/>
            <w:color w:val="000000"/>
            <w:vertAlign w:val="superscript"/>
          </w:rPr>
          <w:tag w:val="MENDELEY_CITATION_v3_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"/>
          <w:id w:val="272676514"/>
          <w:placeholder>
            <w:docPart w:val="8194E67F58534D99A6FE46FE525DDBAA"/>
          </w:placeholder>
        </w:sdtPr>
        <w:sdtEndPr/>
        <w:sdtContent>
          <w:r w:rsidR="003204EA" w:rsidRPr="003204EA">
            <w:rPr>
              <w:rFonts w:eastAsia="Times New Roman"/>
              <w:color w:val="000000"/>
              <w:vertAlign w:val="superscript"/>
            </w:rPr>
            <w:t>3</w:t>
          </w:r>
        </w:sdtContent>
      </w:sdt>
      <w:r w:rsidRPr="00476931">
        <w:rPr>
          <w:rFonts w:ascii="Times New Roman" w:hAnsi="Times New Roman" w:cs="Times New Roman"/>
          <w:color w:val="000000" w:themeColor="text1"/>
        </w:rPr>
        <w:t>.  Bacteria and archaea contain most of the total nitrogen and phosphorus stored in living organisms, along with almost half of the stored carbon</w:t>
      </w:r>
      <w:sdt>
        <w:sdtPr>
          <w:rPr>
            <w:rFonts w:ascii="Times New Roman" w:hAnsi="Times New Roman" w:cs="Times New Roman"/>
            <w:color w:val="000000"/>
            <w:vertAlign w:val="superscript"/>
          </w:rPr>
          <w:tag w:val="MENDELEY_CITATION_v3_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"/>
          <w:id w:val="62147219"/>
          <w:placeholder>
            <w:docPart w:val="8194E67F58534D99A6FE46FE525DDBAA"/>
          </w:placeholder>
        </w:sdtPr>
        <w:sdtEndPr/>
        <w:sdtContent>
          <w:r w:rsidR="003204EA" w:rsidRPr="003204EA">
            <w:rPr>
              <w:rFonts w:eastAsia="Times New Roman"/>
              <w:color w:val="000000"/>
              <w:vertAlign w:val="superscript"/>
            </w:rPr>
            <w:t>4</w:t>
          </w:r>
        </w:sdtContent>
      </w:sdt>
      <w:r w:rsidRPr="00476931">
        <w:rPr>
          <w:rFonts w:ascii="Times New Roman" w:hAnsi="Times New Roman" w:cs="Times New Roman"/>
          <w:color w:val="000000" w:themeColor="text1"/>
        </w:rPr>
        <w:t xml:space="preserve">.  Therefore, microorganisms drive a variety of ecosystem processes including decomposition and the catalysis of important transformations in the carbon, nitrogen, phosphorus, and sulfur cycles.  Despite this importance in ecosystem processes, fundamental questions </w:t>
      </w:r>
      <w:r w:rsidR="00222762">
        <w:rPr>
          <w:rFonts w:ascii="Times New Roman" w:hAnsi="Times New Roman" w:cs="Times New Roman"/>
          <w:color w:val="000000" w:themeColor="text1"/>
        </w:rPr>
        <w:t>exist about</w:t>
      </w:r>
      <w:r w:rsidRPr="00476931">
        <w:rPr>
          <w:rFonts w:ascii="Times New Roman" w:hAnsi="Times New Roman" w:cs="Times New Roman"/>
          <w:color w:val="000000" w:themeColor="text1"/>
        </w:rPr>
        <w:t xml:space="preserve"> how these microbes assemble, interact, and function in communities.  These questions remain in large part </w:t>
      </w:r>
      <w:proofErr w:type="gramStart"/>
      <w:r w:rsidRPr="00476931">
        <w:rPr>
          <w:rFonts w:ascii="Times New Roman" w:hAnsi="Times New Roman" w:cs="Times New Roman"/>
          <w:color w:val="000000" w:themeColor="text1"/>
        </w:rPr>
        <w:t>due to the fact that</w:t>
      </w:r>
      <w:proofErr w:type="gramEnd"/>
      <w:r w:rsidRPr="00476931">
        <w:rPr>
          <w:rFonts w:ascii="Times New Roman" w:hAnsi="Times New Roman" w:cs="Times New Roman"/>
          <w:color w:val="000000" w:themeColor="text1"/>
        </w:rPr>
        <w:t xml:space="preserve"> the majority of microorganisms cannot be isolated or cultured, with estimates that around 25% of microorganisms on Earth belong to phyla with no cultured relatives</w:t>
      </w:r>
      <w:sdt>
        <w:sdtPr>
          <w:rPr>
            <w:rFonts w:ascii="Times New Roman" w:hAnsi="Times New Roman" w:cs="Times New Roman"/>
            <w:color w:val="000000"/>
            <w:vertAlign w:val="superscript"/>
          </w:rPr>
          <w:tag w:val="MENDELEY_CITATION_v3_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"/>
          <w:id w:val="516437235"/>
          <w:placeholder>
            <w:docPart w:val="8194E67F58534D99A6FE46FE525DDBAA"/>
          </w:placeholder>
        </w:sdtPr>
        <w:sdtEndPr/>
        <w:sdtContent>
          <w:r w:rsidR="003204EA" w:rsidRPr="003204EA">
            <w:rPr>
              <w:rFonts w:eastAsia="Times New Roman"/>
              <w:color w:val="000000"/>
              <w:vertAlign w:val="superscript"/>
            </w:rPr>
            <w:t>5</w:t>
          </w:r>
        </w:sdtContent>
      </w:sdt>
      <w:r w:rsidRPr="00476931">
        <w:rPr>
          <w:rFonts w:ascii="Times New Roman" w:hAnsi="Times New Roman" w:cs="Times New Roman"/>
          <w:color w:val="000000" w:themeColor="text1"/>
        </w:rPr>
        <w:t>. Consequently, the mechanistic study of microbial communities is challenging, and our current understanding of the roles of microorganisms in the environment is</w:t>
      </w:r>
      <w:r w:rsidR="007958AA">
        <w:rPr>
          <w:rFonts w:ascii="Times New Roman" w:hAnsi="Times New Roman" w:cs="Times New Roman"/>
          <w:color w:val="000000" w:themeColor="text1"/>
        </w:rPr>
        <w:t xml:space="preserve"> primarily</w:t>
      </w:r>
      <w:r w:rsidRPr="00476931">
        <w:rPr>
          <w:rFonts w:ascii="Times New Roman" w:hAnsi="Times New Roman" w:cs="Times New Roman"/>
          <w:color w:val="000000" w:themeColor="text1"/>
        </w:rPr>
        <w:t xml:space="preserve"> based on observations from a minority of culturable organisms or from data generated from culture-independent studies</w:t>
      </w:r>
      <w:sdt>
        <w:sdtPr>
          <w:rPr>
            <w:rFonts w:ascii="Times New Roman" w:hAnsi="Times New Roman" w:cs="Times New Roman"/>
            <w:color w:val="000000"/>
            <w:vertAlign w:val="superscript"/>
          </w:rPr>
          <w:tag w:val="MENDELEY_CITATION_v3_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"/>
          <w:id w:val="1873417338"/>
          <w:placeholder>
            <w:docPart w:val="8194E67F58534D99A6FE46FE525DDBAA"/>
          </w:placeholder>
        </w:sdtPr>
        <w:sdtEndPr/>
        <w:sdtContent>
          <w:r w:rsidR="003204EA" w:rsidRPr="003204EA">
            <w:rPr>
              <w:rFonts w:eastAsia="Times New Roman"/>
              <w:color w:val="000000"/>
              <w:vertAlign w:val="superscript"/>
            </w:rPr>
            <w:t>6</w:t>
          </w:r>
        </w:sdtContent>
      </w:sdt>
      <w:r w:rsidRPr="00476931">
        <w:rPr>
          <w:rFonts w:ascii="Times New Roman" w:hAnsi="Times New Roman" w:cs="Times New Roman"/>
          <w:color w:val="000000" w:themeColor="text1"/>
        </w:rPr>
        <w:t xml:space="preserve">. </w:t>
      </w:r>
      <w:r w:rsidR="00955F2C">
        <w:rPr>
          <w:rFonts w:ascii="Times New Roman" w:hAnsi="Times New Roman" w:cs="Times New Roman"/>
          <w:color w:val="000000" w:themeColor="text1"/>
        </w:rPr>
        <w:t xml:space="preserve">Therefore, </w:t>
      </w:r>
      <w:r w:rsidR="006C75E9">
        <w:rPr>
          <w:rFonts w:ascii="Times New Roman" w:hAnsi="Times New Roman" w:cs="Times New Roman"/>
          <w:color w:val="000000" w:themeColor="text1"/>
        </w:rPr>
        <w:t>uncultured microbes which might dominate environments</w:t>
      </w:r>
      <w:r w:rsidR="001E2B50">
        <w:rPr>
          <w:rFonts w:ascii="Times New Roman" w:hAnsi="Times New Roman" w:cs="Times New Roman"/>
          <w:color w:val="000000" w:themeColor="text1"/>
        </w:rPr>
        <w:t xml:space="preserve"> may have undiscovered </w:t>
      </w:r>
      <w:r w:rsidR="006F3DAA">
        <w:rPr>
          <w:rFonts w:ascii="Times New Roman" w:hAnsi="Times New Roman" w:cs="Times New Roman"/>
          <w:color w:val="000000" w:themeColor="text1"/>
        </w:rPr>
        <w:t>functions</w:t>
      </w:r>
      <w:r w:rsidR="00BB0EBA">
        <w:rPr>
          <w:rFonts w:ascii="Times New Roman" w:hAnsi="Times New Roman" w:cs="Times New Roman"/>
          <w:color w:val="000000" w:themeColor="text1"/>
        </w:rPr>
        <w:t xml:space="preserve"> and</w:t>
      </w:r>
      <w:r w:rsidR="006F3DAA">
        <w:rPr>
          <w:rFonts w:ascii="Times New Roman" w:hAnsi="Times New Roman" w:cs="Times New Roman"/>
          <w:color w:val="000000" w:themeColor="text1"/>
        </w:rPr>
        <w:t xml:space="preserve"> relationships with other community members</w:t>
      </w:r>
      <w:r w:rsidR="001E2B50">
        <w:rPr>
          <w:rFonts w:ascii="Times New Roman" w:hAnsi="Times New Roman" w:cs="Times New Roman"/>
          <w:color w:val="000000" w:themeColor="text1"/>
        </w:rPr>
        <w:t xml:space="preserve"> that are important </w:t>
      </w:r>
      <w:r w:rsidR="006F3DAA">
        <w:rPr>
          <w:rFonts w:ascii="Times New Roman" w:hAnsi="Times New Roman" w:cs="Times New Roman"/>
          <w:color w:val="000000" w:themeColor="text1"/>
        </w:rPr>
        <w:t>to the ecosystem</w:t>
      </w:r>
      <w:r w:rsidR="00BB0EBA">
        <w:rPr>
          <w:rFonts w:ascii="Times New Roman" w:hAnsi="Times New Roman" w:cs="Times New Roman"/>
          <w:color w:val="000000" w:themeColor="text1"/>
        </w:rPr>
        <w:t xml:space="preserve"> homeostasis</w:t>
      </w:r>
      <w:r w:rsidR="006F3DAA">
        <w:rPr>
          <w:rFonts w:ascii="Times New Roman" w:hAnsi="Times New Roman" w:cs="Times New Roman"/>
          <w:color w:val="000000" w:themeColor="text1"/>
        </w:rPr>
        <w:t xml:space="preserve">. </w:t>
      </w:r>
      <w:r w:rsidRPr="00476931">
        <w:rPr>
          <w:rFonts w:ascii="Times New Roman" w:hAnsi="Times New Roman" w:cs="Times New Roman"/>
          <w:color w:val="000000" w:themeColor="text1"/>
        </w:rPr>
        <w:t>Since the 1990s, advances in large-scale DNA sequencing technologies ha</w:t>
      </w:r>
      <w:r w:rsidR="00955F2C">
        <w:rPr>
          <w:rFonts w:ascii="Times New Roman" w:hAnsi="Times New Roman" w:cs="Times New Roman"/>
          <w:color w:val="000000" w:themeColor="text1"/>
        </w:rPr>
        <w:t>ve</w:t>
      </w:r>
      <w:r w:rsidRPr="00476931">
        <w:rPr>
          <w:rFonts w:ascii="Times New Roman" w:hAnsi="Times New Roman" w:cs="Times New Roman"/>
          <w:color w:val="000000" w:themeColor="text1"/>
        </w:rPr>
        <w:t xml:space="preserve"> greatly expanded the known diversity of </w:t>
      </w:r>
      <w:r w:rsidRPr="00476931">
        <w:rPr>
          <w:rFonts w:ascii="Times New Roman" w:hAnsi="Times New Roman" w:cs="Times New Roman"/>
          <w:color w:val="000000" w:themeColor="text1"/>
        </w:rPr>
        <w:lastRenderedPageBreak/>
        <w:t xml:space="preserve">microbial communities and other complementary omics approaches have emerged to comprehensively study the composition, structure, and function of microbial communities in their </w:t>
      </w:r>
      <w:r w:rsidR="00BB0EBA">
        <w:rPr>
          <w:rFonts w:ascii="Times New Roman" w:hAnsi="Times New Roman" w:cs="Times New Roman"/>
          <w:color w:val="000000" w:themeColor="text1"/>
        </w:rPr>
        <w:t xml:space="preserve">natural </w:t>
      </w:r>
      <w:r w:rsidRPr="00476931">
        <w:rPr>
          <w:rFonts w:ascii="Times New Roman" w:hAnsi="Times New Roman" w:cs="Times New Roman"/>
          <w:color w:val="000000" w:themeColor="text1"/>
        </w:rPr>
        <w:t>habitat.</w:t>
      </w:r>
    </w:p>
    <w:p w14:paraId="1E925EF1" w14:textId="1B99DF01" w:rsidR="00FC7924" w:rsidRPr="00476931" w:rsidRDefault="00C322F9" w:rsidP="00FC7924">
      <w:pPr>
        <w:rPr>
          <w:rFonts w:ascii="Times New Roman" w:hAnsi="Times New Roman" w:cs="Times New Roman"/>
          <w:color w:val="000000" w:themeColor="text1"/>
        </w:rPr>
      </w:pPr>
      <w:r w:rsidRPr="00C322F9">
        <w:rPr>
          <w:rFonts w:ascii="Times New Roman" w:hAnsi="Times New Roman" w:cs="Times New Roman"/>
          <w:color w:val="000000" w:themeColor="text1"/>
        </w:rPr>
        <w:t>Microbial communities are composed of bacteria, archaea, microeukaryotes, and viruses. The term “microbiome” refers to the entire habitat, which includes the microorganisms, their genomes, higher order eukaryotes (for host-associated microbiomes), and the surrounding environment conditions including extracellular metabolites and bidirectionally coupled abiotic physicochemical processes (physical transport processes and abiotic chemical reactions)</w:t>
      </w:r>
      <w:sdt>
        <w:sdtPr>
          <w:rPr>
            <w:rFonts w:ascii="Times New Roman" w:hAnsi="Times New Roman" w:cs="Times New Roman"/>
            <w:color w:val="000000"/>
            <w:vertAlign w:val="superscript"/>
          </w:rPr>
          <w:tag w:val="MENDELEY_CITATION_v3_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"/>
          <w:id w:val="1130826878"/>
          <w:placeholder>
            <w:docPart w:val="A855FD10A8D24C1B92FC4F194B8CD8F5"/>
          </w:placeholder>
        </w:sdtPr>
        <w:sdtEndPr/>
        <w:sdtContent>
          <w:r w:rsidR="003204EA" w:rsidRPr="003204EA">
            <w:rPr>
              <w:rFonts w:eastAsia="Times New Roman"/>
              <w:color w:val="000000"/>
              <w:vertAlign w:val="superscript"/>
            </w:rPr>
            <w:t>7,8</w:t>
          </w:r>
        </w:sdtContent>
      </w:sdt>
      <w:r w:rsidR="00FC7924" w:rsidRPr="00476931">
        <w:rPr>
          <w:rFonts w:ascii="Times New Roman" w:hAnsi="Times New Roman" w:cs="Times New Roman"/>
          <w:color w:val="000000" w:themeColor="text1"/>
        </w:rPr>
        <w:t>. This definition is derived from the term “biome”, referring to the biotic and abiotic factors of a given environment, which can be described as a reasonably well-defined habitat that has distinct bio-physio-chemical properties</w:t>
      </w:r>
      <w:sdt>
        <w:sdtPr>
          <w:rPr>
            <w:rFonts w:ascii="Times New Roman" w:hAnsi="Times New Roman" w:cs="Times New Roman"/>
            <w:color w:val="000000"/>
            <w:vertAlign w:val="superscript"/>
          </w:rPr>
          <w:tag w:val="MENDELEY_CITATION_v3_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"/>
          <w:id w:val="-282578640"/>
          <w:placeholder>
            <w:docPart w:val="A855FD10A8D24C1B92FC4F194B8CD8F5"/>
          </w:placeholder>
        </w:sdtPr>
        <w:sdtEndPr/>
        <w:sdtContent>
          <w:r w:rsidR="003204EA" w:rsidRPr="003204EA">
            <w:rPr>
              <w:rFonts w:eastAsia="Times New Roman"/>
              <w:color w:val="000000"/>
              <w:vertAlign w:val="superscript"/>
            </w:rPr>
            <w:t>9</w:t>
          </w:r>
        </w:sdtContent>
      </w:sdt>
      <w:r w:rsidR="00FC7924" w:rsidRPr="00476931">
        <w:rPr>
          <w:rFonts w:ascii="Times New Roman" w:hAnsi="Times New Roman" w:cs="Times New Roman"/>
          <w:color w:val="000000" w:themeColor="text1"/>
        </w:rPr>
        <w:t>. Microbiome research</w:t>
      </w:r>
      <w:r w:rsidR="00A961E1">
        <w:rPr>
          <w:rFonts w:ascii="Times New Roman" w:hAnsi="Times New Roman" w:cs="Times New Roman"/>
          <w:color w:val="000000" w:themeColor="text1"/>
        </w:rPr>
        <w:t xml:space="preserve"> relies on systems biology approaches</w:t>
      </w:r>
      <w:r w:rsidR="00FC7924" w:rsidRPr="00476931">
        <w:rPr>
          <w:rFonts w:ascii="Times New Roman" w:hAnsi="Times New Roman" w:cs="Times New Roman"/>
          <w:color w:val="000000" w:themeColor="text1"/>
        </w:rPr>
        <w:t>,</w:t>
      </w:r>
      <w:r w:rsidR="00F667B3">
        <w:rPr>
          <w:rFonts w:ascii="Times New Roman" w:hAnsi="Times New Roman" w:cs="Times New Roman"/>
          <w:color w:val="000000" w:themeColor="text1"/>
        </w:rPr>
        <w:t xml:space="preserve"> where the complex biological system is studied through large-scale quantification of biomolecules including DNA, RNA, proteins, and metabolite.</w:t>
      </w:r>
      <w:r w:rsidR="00FC59B1">
        <w:rPr>
          <w:rFonts w:ascii="Times New Roman" w:hAnsi="Times New Roman" w:cs="Times New Roman"/>
          <w:color w:val="000000" w:themeColor="text1"/>
        </w:rPr>
        <w:t xml:space="preserve"> This research area</w:t>
      </w:r>
      <w:r w:rsidR="00FC7924" w:rsidRPr="00476931">
        <w:rPr>
          <w:rFonts w:ascii="Times New Roman" w:hAnsi="Times New Roman" w:cs="Times New Roman"/>
          <w:color w:val="000000" w:themeColor="text1"/>
        </w:rPr>
        <w:t xml:space="preserve"> has emerged as an interdisciplinary field, with ties to agriculture, bioeconomy, biotechnology, food science, mathematics, plant pathology and human medicine</w:t>
      </w:r>
      <w:sdt>
        <w:sdtPr>
          <w:rPr>
            <w:rFonts w:ascii="Times New Roman" w:hAnsi="Times New Roman" w:cs="Times New Roman"/>
            <w:color w:val="000000"/>
            <w:vertAlign w:val="superscript"/>
          </w:rPr>
          <w:tag w:val="MENDELEY_CITATION_v3_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"/>
          <w:id w:val="12043355"/>
          <w:placeholder>
            <w:docPart w:val="A855FD10A8D24C1B92FC4F194B8CD8F5"/>
          </w:placeholder>
        </w:sdtPr>
        <w:sdtEndPr/>
        <w:sdtContent>
          <w:r w:rsidR="003204EA" w:rsidRPr="003204EA">
            <w:rPr>
              <w:rFonts w:eastAsia="Times New Roman"/>
              <w:color w:val="000000"/>
              <w:vertAlign w:val="superscript"/>
            </w:rPr>
            <w:t>9</w:t>
          </w:r>
        </w:sdtContent>
      </w:sdt>
      <w:r w:rsidR="00FC7924" w:rsidRPr="00476931">
        <w:rPr>
          <w:rFonts w:ascii="Times New Roman" w:hAnsi="Times New Roman" w:cs="Times New Roman"/>
          <w:color w:val="000000" w:themeColor="text1"/>
        </w:rPr>
        <w:t>.</w:t>
      </w:r>
    </w:p>
    <w:p w14:paraId="70510077" w14:textId="535561B0" w:rsidR="00FC7924" w:rsidRPr="00476931" w:rsidRDefault="00FC7924" w:rsidP="00FC7924">
      <w:pPr>
        <w:rPr>
          <w:rFonts w:ascii="Times New Roman" w:hAnsi="Times New Roman" w:cs="Times New Roman"/>
          <w:color w:val="000000" w:themeColor="text1"/>
        </w:rPr>
      </w:pPr>
      <w:r w:rsidRPr="00476931">
        <w:rPr>
          <w:rFonts w:ascii="Times New Roman" w:hAnsi="Times New Roman" w:cs="Times New Roman"/>
          <w:color w:val="000000" w:themeColor="text1"/>
        </w:rPr>
        <w:t xml:space="preserve">The impetus for systems biology-driven microbiome research is that we must be able to study biological life within biomes.  In contrast to </w:t>
      </w:r>
      <w:r w:rsidRPr="00476931">
        <w:rPr>
          <w:rFonts w:ascii="Times New Roman" w:hAnsi="Times New Roman" w:cs="Times New Roman"/>
          <w:i/>
          <w:iCs/>
          <w:color w:val="000000" w:themeColor="text1"/>
        </w:rPr>
        <w:t>in vitro</w:t>
      </w:r>
      <w:r w:rsidRPr="00476931">
        <w:rPr>
          <w:rFonts w:ascii="Times New Roman" w:hAnsi="Times New Roman" w:cs="Times New Roman"/>
          <w:color w:val="000000" w:themeColor="text1"/>
        </w:rPr>
        <w:t xml:space="preserve"> settings, which do not fully mimic actual environmental settings, we must be able to examine biological life in the context of </w:t>
      </w:r>
      <w:r w:rsidR="00BC3A39">
        <w:rPr>
          <w:rFonts w:ascii="Times New Roman" w:hAnsi="Times New Roman" w:cs="Times New Roman"/>
          <w:color w:val="000000" w:themeColor="text1"/>
        </w:rPr>
        <w:t>the natural</w:t>
      </w:r>
      <w:r w:rsidRPr="00476931">
        <w:rPr>
          <w:rFonts w:ascii="Times New Roman" w:hAnsi="Times New Roman" w:cs="Times New Roman"/>
          <w:color w:val="000000" w:themeColor="text1"/>
        </w:rPr>
        <w:t xml:space="preserve"> environmental complexity.  This means the measurements used to examine microbial communities must be able to examine multiple kingdoms of life that compose the community, deal with abiotic interferences present in the sample, and the dynamic range of both population and function that exist within a given biome</w:t>
      </w:r>
      <w:r w:rsidR="00A03199">
        <w:rPr>
          <w:rFonts w:ascii="Times New Roman" w:hAnsi="Times New Roman" w:cs="Times New Roman"/>
          <w:color w:val="000000" w:themeColor="text1"/>
        </w:rPr>
        <w:t xml:space="preserve"> and may not be culturable in a laboratory setting</w:t>
      </w:r>
      <w:r w:rsidRPr="00476931">
        <w:rPr>
          <w:rFonts w:ascii="Times New Roman" w:hAnsi="Times New Roman" w:cs="Times New Roman"/>
          <w:color w:val="000000" w:themeColor="text1"/>
        </w:rPr>
        <w:t>.</w:t>
      </w:r>
    </w:p>
    <w:p w14:paraId="6E8BD74E" w14:textId="2A0B4AB2" w:rsidR="00FC7924" w:rsidRPr="00476931" w:rsidRDefault="00FC7924" w:rsidP="00FC7924">
      <w:pPr>
        <w:rPr>
          <w:rFonts w:ascii="Times New Roman" w:hAnsi="Times New Roman" w:cs="Times New Roman"/>
          <w:color w:val="000000" w:themeColor="text1"/>
        </w:rPr>
      </w:pPr>
      <w:r w:rsidRPr="00476931">
        <w:rPr>
          <w:rFonts w:ascii="Times New Roman" w:hAnsi="Times New Roman" w:cs="Times New Roman"/>
          <w:color w:val="000000" w:themeColor="text1"/>
        </w:rPr>
        <w:t xml:space="preserve">Across all these disciplines, there are several driving science questions related to microbial </w:t>
      </w:r>
      <w:r w:rsidR="000E2352">
        <w:rPr>
          <w:rFonts w:ascii="Times New Roman" w:hAnsi="Times New Roman" w:cs="Times New Roman"/>
          <w:color w:val="000000" w:themeColor="text1"/>
        </w:rPr>
        <w:t>about how they assemble</w:t>
      </w:r>
      <w:r w:rsidRPr="00476931">
        <w:rPr>
          <w:rFonts w:ascii="Times New Roman" w:hAnsi="Times New Roman" w:cs="Times New Roman"/>
          <w:color w:val="000000" w:themeColor="text1"/>
        </w:rPr>
        <w:t xml:space="preserve"> </w:t>
      </w:r>
      <w:r w:rsidR="00E46579" w:rsidRPr="00476931">
        <w:rPr>
          <w:rFonts w:ascii="Times New Roman" w:hAnsi="Times New Roman" w:cs="Times New Roman"/>
          <w:color w:val="000000" w:themeColor="text1"/>
        </w:rPr>
        <w:t>function</w:t>
      </w:r>
      <w:r w:rsidR="00E46579">
        <w:rPr>
          <w:rFonts w:ascii="Times New Roman" w:hAnsi="Times New Roman" w:cs="Times New Roman"/>
          <w:color w:val="000000" w:themeColor="text1"/>
        </w:rPr>
        <w:t xml:space="preserve"> and</w:t>
      </w:r>
      <w:r w:rsidRPr="00476931">
        <w:rPr>
          <w:rFonts w:ascii="Times New Roman" w:hAnsi="Times New Roman" w:cs="Times New Roman"/>
          <w:color w:val="000000" w:themeColor="text1"/>
        </w:rPr>
        <w:t xml:space="preserve"> interact with </w:t>
      </w:r>
      <w:r w:rsidR="000E2352">
        <w:rPr>
          <w:rFonts w:ascii="Times New Roman" w:hAnsi="Times New Roman" w:cs="Times New Roman"/>
          <w:color w:val="000000" w:themeColor="text1"/>
        </w:rPr>
        <w:t xml:space="preserve">each other and </w:t>
      </w:r>
      <w:r w:rsidRPr="00476931">
        <w:rPr>
          <w:rFonts w:ascii="Times New Roman" w:hAnsi="Times New Roman" w:cs="Times New Roman"/>
          <w:color w:val="000000" w:themeColor="text1"/>
        </w:rPr>
        <w:t xml:space="preserve">their hosts. Among these are how does the assembly of communities occur and how is the assembly process different across environments and microbial communities of various complexity?  Early research to determine the mechanisms of assembly primarily </w:t>
      </w:r>
      <w:r w:rsidRPr="00476931">
        <w:rPr>
          <w:rFonts w:ascii="Times New Roman" w:hAnsi="Times New Roman" w:cs="Times New Roman"/>
          <w:color w:val="000000" w:themeColor="text1"/>
        </w:rPr>
        <w:lastRenderedPageBreak/>
        <w:t>focused on determining which taxa are the initial colonizers of a community and how community composition changes during the development of the community. However, as several large-scale efforts to characterize microbial community compositions across various environments, such as the human microbiome project (HMP)</w:t>
      </w:r>
      <w:sdt>
        <w:sdtPr>
          <w:rPr>
            <w:rFonts w:ascii="Times New Roman" w:hAnsi="Times New Roman" w:cs="Times New Roman"/>
            <w:color w:val="000000"/>
            <w:vertAlign w:val="superscript"/>
          </w:rPr>
          <w:tag w:val="MENDELEY_CITATION_v3_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"/>
          <w:id w:val="-1596548590"/>
          <w:placeholder>
            <w:docPart w:val="A855FD10A8D24C1B92FC4F194B8CD8F5"/>
          </w:placeholder>
        </w:sdtPr>
        <w:sdtEndPr/>
        <w:sdtContent>
          <w:r w:rsidR="003204EA" w:rsidRPr="003204EA">
            <w:rPr>
              <w:rFonts w:eastAsia="Times New Roman"/>
              <w:color w:val="000000"/>
              <w:vertAlign w:val="superscript"/>
            </w:rPr>
            <w:t>10</w:t>
          </w:r>
        </w:sdtContent>
      </w:sdt>
      <w:r w:rsidRPr="00476931">
        <w:rPr>
          <w:rFonts w:ascii="Times New Roman" w:hAnsi="Times New Roman" w:cs="Times New Roman"/>
          <w:color w:val="000000" w:themeColor="text1"/>
        </w:rPr>
        <w:t>, the Earth Microbiome Project</w:t>
      </w:r>
      <w:sdt>
        <w:sdtPr>
          <w:rPr>
            <w:rFonts w:ascii="Times New Roman" w:hAnsi="Times New Roman" w:cs="Times New Roman"/>
            <w:color w:val="000000"/>
            <w:vertAlign w:val="superscript"/>
          </w:rPr>
          <w:tag w:val="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"/>
          <w:id w:val="939726883"/>
          <w:placeholder>
            <w:docPart w:val="A855FD10A8D24C1B92FC4F194B8CD8F5"/>
          </w:placeholder>
        </w:sdtPr>
        <w:sdtEndPr/>
        <w:sdtContent>
          <w:r w:rsidR="003204EA" w:rsidRPr="003204EA">
            <w:rPr>
              <w:rFonts w:eastAsia="Times New Roman"/>
              <w:color w:val="000000"/>
              <w:vertAlign w:val="superscript"/>
            </w:rPr>
            <w:t>11</w:t>
          </w:r>
        </w:sdtContent>
      </w:sdt>
      <w:r w:rsidRPr="00476931">
        <w:rPr>
          <w:rFonts w:ascii="Times New Roman" w:hAnsi="Times New Roman" w:cs="Times New Roman"/>
          <w:color w:val="000000" w:themeColor="text1"/>
        </w:rPr>
        <w:t xml:space="preserve">, and the </w:t>
      </w:r>
      <w:proofErr w:type="spellStart"/>
      <w:r w:rsidRPr="00476931">
        <w:rPr>
          <w:rFonts w:ascii="Times New Roman" w:hAnsi="Times New Roman" w:cs="Times New Roman"/>
          <w:color w:val="000000" w:themeColor="text1"/>
        </w:rPr>
        <w:t>TerraGenome</w:t>
      </w:r>
      <w:proofErr w:type="spellEnd"/>
      <w:r w:rsidRPr="00476931">
        <w:rPr>
          <w:rFonts w:ascii="Times New Roman" w:hAnsi="Times New Roman" w:cs="Times New Roman"/>
          <w:color w:val="000000" w:themeColor="text1"/>
        </w:rPr>
        <w:t xml:space="preserve"> project</w:t>
      </w:r>
      <w:sdt>
        <w:sdtPr>
          <w:rPr>
            <w:rFonts w:ascii="Times New Roman" w:hAnsi="Times New Roman" w:cs="Times New Roman"/>
            <w:color w:val="000000"/>
            <w:vertAlign w:val="superscript"/>
          </w:rPr>
          <w:tag w:val="MENDELEY_CITATION_v3_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"/>
          <w:id w:val="1203288193"/>
          <w:placeholder>
            <w:docPart w:val="A855FD10A8D24C1B92FC4F194B8CD8F5"/>
          </w:placeholder>
        </w:sdtPr>
        <w:sdtEndPr/>
        <w:sdtContent>
          <w:r w:rsidR="003204EA" w:rsidRPr="003204EA">
            <w:rPr>
              <w:rFonts w:eastAsia="Times New Roman"/>
              <w:color w:val="000000"/>
              <w:vertAlign w:val="superscript"/>
            </w:rPr>
            <w:t>12</w:t>
          </w:r>
        </w:sdtContent>
      </w:sdt>
      <w:r w:rsidRPr="00476931">
        <w:rPr>
          <w:rFonts w:ascii="Times New Roman" w:hAnsi="Times New Roman" w:cs="Times New Roman"/>
          <w:color w:val="000000" w:themeColor="text1"/>
        </w:rPr>
        <w:t>, given the sheer diversity and variation in community complexity, it is becoming clear that factors beyond taxonomy, such as structure and functionality, may be the driving forces of colonization and establishment.</w:t>
      </w:r>
    </w:p>
    <w:p w14:paraId="05CFB1C4" w14:textId="1D83695B" w:rsidR="00FC7924" w:rsidRPr="00476931" w:rsidRDefault="00FC7924" w:rsidP="00FC7924">
      <w:pPr>
        <w:rPr>
          <w:rFonts w:ascii="Times New Roman" w:hAnsi="Times New Roman" w:cs="Times New Roman"/>
          <w:color w:val="000000" w:themeColor="text1"/>
        </w:rPr>
      </w:pPr>
      <w:r w:rsidRPr="00476931">
        <w:rPr>
          <w:rFonts w:ascii="Times New Roman" w:hAnsi="Times New Roman" w:cs="Times New Roman"/>
          <w:color w:val="000000" w:themeColor="text1"/>
        </w:rPr>
        <w:t>Other research foc</w:t>
      </w:r>
      <w:r w:rsidR="00245636">
        <w:rPr>
          <w:rFonts w:ascii="Times New Roman" w:hAnsi="Times New Roman" w:cs="Times New Roman"/>
          <w:color w:val="000000" w:themeColor="text1"/>
        </w:rPr>
        <w:t>i</w:t>
      </w:r>
      <w:r w:rsidRPr="00476931">
        <w:rPr>
          <w:rFonts w:ascii="Times New Roman" w:hAnsi="Times New Roman" w:cs="Times New Roman"/>
          <w:color w:val="000000" w:themeColor="text1"/>
        </w:rPr>
        <w:t xml:space="preserve"> of interest include studying how communities age and  persist </w:t>
      </w:r>
      <w:proofErr w:type="gramStart"/>
      <w:r w:rsidRPr="00476931">
        <w:rPr>
          <w:rFonts w:ascii="Times New Roman" w:hAnsi="Times New Roman" w:cs="Times New Roman"/>
          <w:color w:val="000000" w:themeColor="text1"/>
        </w:rPr>
        <w:t>in spite of</w:t>
      </w:r>
      <w:proofErr w:type="gramEnd"/>
      <w:r w:rsidRPr="00476931">
        <w:rPr>
          <w:rFonts w:ascii="Times New Roman" w:hAnsi="Times New Roman" w:cs="Times New Roman"/>
          <w:color w:val="000000" w:themeColor="text1"/>
        </w:rPr>
        <w:t xml:space="preserve"> environmental stress and </w:t>
      </w:r>
      <w:r w:rsidR="00245636">
        <w:rPr>
          <w:rFonts w:ascii="Times New Roman" w:hAnsi="Times New Roman" w:cs="Times New Roman"/>
          <w:color w:val="000000" w:themeColor="text1"/>
        </w:rPr>
        <w:t>if</w:t>
      </w:r>
      <w:r w:rsidRPr="00476931">
        <w:rPr>
          <w:rFonts w:ascii="Times New Roman" w:hAnsi="Times New Roman" w:cs="Times New Roman"/>
          <w:color w:val="000000" w:themeColor="text1"/>
        </w:rPr>
        <w:t xml:space="preserve"> this persistence is enabled by niche ecologies.  In addition, there is an ongoing interest to determine how organisms sense a complex environment and decide on an optimal response to that environment to dynamically regulate community behavior and function. In terms of community function and interaction with each other, there have been significant efforts over the past years to investigate bacterial quorum sensing, cooperation and competition between community members, protection from external perturbation, and how communities interact with their surrounding environment through processes such as biogeochemical cycling. For microbial communities that are associated with hosts, such as the mammalian gut and plant rhizosphere communities, significant interest is </w:t>
      </w:r>
      <w:r w:rsidR="00245636">
        <w:rPr>
          <w:rFonts w:ascii="Times New Roman" w:hAnsi="Times New Roman" w:cs="Times New Roman"/>
          <w:color w:val="000000" w:themeColor="text1"/>
        </w:rPr>
        <w:t>given</w:t>
      </w:r>
      <w:r w:rsidRPr="00476931">
        <w:rPr>
          <w:rFonts w:ascii="Times New Roman" w:hAnsi="Times New Roman" w:cs="Times New Roman"/>
          <w:color w:val="000000" w:themeColor="text1"/>
        </w:rPr>
        <w:t xml:space="preserve"> towards determining host-microbe interactions, the synergistic balance between host and microbiota in terms of composition and functional activities, to determine how the composition and function of the microbial community ultimately impact host health and disease.</w:t>
      </w:r>
    </w:p>
    <w:p w14:paraId="69646255" w14:textId="77777777" w:rsidR="007F2831" w:rsidRPr="00476931" w:rsidRDefault="007F2831" w:rsidP="008A5CAE">
      <w:pPr>
        <w:rPr>
          <w:rFonts w:cstheme="majorHAnsi"/>
          <w:color w:val="000000" w:themeColor="text1"/>
        </w:rPr>
      </w:pPr>
    </w:p>
    <w:p w14:paraId="2E764E36" w14:textId="3F5275C2" w:rsidR="00630F50" w:rsidRPr="00476931" w:rsidRDefault="007F2831" w:rsidP="0060435B">
      <w:pPr>
        <w:pStyle w:val="Heading2"/>
        <w:rPr>
          <w:rFonts w:eastAsiaTheme="minorHAnsi"/>
        </w:rPr>
      </w:pPr>
      <w:bookmarkStart w:id="7" w:name="_Toc110250214"/>
      <w:bookmarkStart w:id="8" w:name="_Toc110250471"/>
      <w:bookmarkStart w:id="9" w:name="_Toc110250602"/>
      <w:r w:rsidRPr="00476931">
        <w:rPr>
          <w:rFonts w:eastAsiaTheme="minorHAnsi"/>
          <w:bCs/>
        </w:rPr>
        <w:t xml:space="preserve">1.2  </w:t>
      </w:r>
      <w:r w:rsidR="00630F50" w:rsidRPr="00476931">
        <w:rPr>
          <w:rFonts w:eastAsiaTheme="minorHAnsi"/>
        </w:rPr>
        <w:t>Characterizing microbiome functionality using meta-omics technologies.</w:t>
      </w:r>
      <w:bookmarkEnd w:id="7"/>
      <w:bookmarkEnd w:id="8"/>
      <w:bookmarkEnd w:id="9"/>
    </w:p>
    <w:p w14:paraId="38AFEAF3" w14:textId="77777777" w:rsidR="007F2831" w:rsidRPr="00476931" w:rsidRDefault="007F2831" w:rsidP="007F2831">
      <w:pPr>
        <w:rPr>
          <w:color w:val="000000" w:themeColor="text1"/>
        </w:rPr>
      </w:pPr>
    </w:p>
    <w:p w14:paraId="78CC8B63" w14:textId="6C42255B" w:rsidR="00FC7924" w:rsidRPr="00476931" w:rsidRDefault="00FC7924" w:rsidP="00FC7924">
      <w:pPr>
        <w:rPr>
          <w:color w:val="000000" w:themeColor="text1"/>
        </w:rPr>
      </w:pPr>
      <w:r w:rsidRPr="00476931">
        <w:rPr>
          <w:color w:val="000000" w:themeColor="text1"/>
        </w:rPr>
        <w:t>Microbiome research is driven by advances in technology, and various omics technologies have emerged over the past few decades with an aim to measure each of the facets (DNA, RNA, proteins, metabolites</w:t>
      </w:r>
      <w:r w:rsidR="003D6A05">
        <w:rPr>
          <w:color w:val="000000" w:themeColor="text1"/>
        </w:rPr>
        <w:t>)</w:t>
      </w:r>
      <w:r w:rsidRPr="00476931">
        <w:rPr>
          <w:color w:val="000000" w:themeColor="text1"/>
        </w:rPr>
        <w:t xml:space="preserve">, encompassed in the central dogma of molecular biology, which describes the flow of information encoded in DNA to </w:t>
      </w:r>
      <w:r w:rsidRPr="00476931">
        <w:rPr>
          <w:color w:val="000000" w:themeColor="text1"/>
        </w:rPr>
        <w:lastRenderedPageBreak/>
        <w:t xml:space="preserve">downstream </w:t>
      </w:r>
      <w:r w:rsidR="003D6A05">
        <w:rPr>
          <w:color w:val="000000" w:themeColor="text1"/>
        </w:rPr>
        <w:t>expression</w:t>
      </w:r>
      <w:r w:rsidRPr="00476931">
        <w:rPr>
          <w:color w:val="000000" w:themeColor="text1"/>
        </w:rPr>
        <w:t xml:space="preserve"> products. Among the omics technologies available to study microbial communities, each technology has its benefits and limitations, and there is no perfect or universal method.  Integrating multiple omics technologies to study any given microbiome results in a more complete view of the biological system as a whole and can reduce biases that arise from each technology.  </w:t>
      </w:r>
      <w:r w:rsidRPr="00476931">
        <w:rPr>
          <w:b/>
          <w:bCs/>
          <w:color w:val="000000" w:themeColor="text1"/>
        </w:rPr>
        <w:t>Figure 1</w:t>
      </w:r>
      <w:r w:rsidR="005D27CC">
        <w:rPr>
          <w:b/>
          <w:bCs/>
          <w:color w:val="000000" w:themeColor="text1"/>
        </w:rPr>
        <w:t>-</w:t>
      </w:r>
      <w:r w:rsidRPr="00476931">
        <w:rPr>
          <w:b/>
          <w:bCs/>
          <w:color w:val="000000" w:themeColor="text1"/>
        </w:rPr>
        <w:t>1</w:t>
      </w:r>
      <w:r w:rsidRPr="00476931">
        <w:rPr>
          <w:color w:val="000000" w:themeColor="text1"/>
        </w:rPr>
        <w:t xml:space="preserve"> outlines some of the primary omics technologies</w:t>
      </w:r>
      <w:r w:rsidR="007561BD">
        <w:rPr>
          <w:color w:val="000000" w:themeColor="text1"/>
        </w:rPr>
        <w:t xml:space="preserve"> and their science drivers</w:t>
      </w:r>
      <w:r w:rsidRPr="00476931">
        <w:rPr>
          <w:color w:val="000000" w:themeColor="text1"/>
        </w:rPr>
        <w:t xml:space="preserve"> used in microbiome research.  </w:t>
      </w:r>
    </w:p>
    <w:p w14:paraId="5A0C4ECC" w14:textId="01311641" w:rsidR="00FC7924" w:rsidRPr="00476931" w:rsidRDefault="00FC7924" w:rsidP="00FC7924">
      <w:pPr>
        <w:rPr>
          <w:color w:val="000000" w:themeColor="text1"/>
        </w:rPr>
      </w:pPr>
      <w:r w:rsidRPr="00476931">
        <w:rPr>
          <w:color w:val="000000" w:themeColor="text1"/>
        </w:rPr>
        <w:t>To answer the question “Who is there?”, marker gene amplification and sequencing, such as16S rRNA for bacteria and archaea and internal transcribed spacer (ITS) for fungi, is a commonly used method that can provide extensive profiles of microbial communities</w:t>
      </w:r>
      <w:sdt>
        <w:sdtPr>
          <w:rPr>
            <w:color w:val="000000"/>
            <w:vertAlign w:val="superscript"/>
          </w:rPr>
          <w:tag w:val="MENDELEY_CITATION_v3_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"/>
          <w:id w:val="-1159374160"/>
          <w:placeholder>
            <w:docPart w:val="185FD28FB1A741C0A877EFD2B1998830"/>
          </w:placeholder>
        </w:sdtPr>
        <w:sdtEndPr/>
        <w:sdtContent>
          <w:r w:rsidR="003204EA" w:rsidRPr="003204EA">
            <w:rPr>
              <w:rFonts w:eastAsia="Times New Roman"/>
              <w:color w:val="000000"/>
              <w:vertAlign w:val="superscript"/>
            </w:rPr>
            <w:t>13</w:t>
          </w:r>
        </w:sdtContent>
      </w:sdt>
      <w:r w:rsidRPr="00476931">
        <w:rPr>
          <w:color w:val="000000" w:themeColor="text1"/>
        </w:rPr>
        <w:t>.  This is a fast, low-cost, and extensively used method used to obtain information about the composition of the community and can be amenable for low biomass samples.  However, as with all technologies, it is prone to inherent bias that arises during amplification</w:t>
      </w:r>
      <w:sdt>
        <w:sdtPr>
          <w:rPr>
            <w:color w:val="000000"/>
            <w:vertAlign w:val="superscript"/>
          </w:rPr>
          <w:tag w:val="MENDELEY_CITATION_v3_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"/>
          <w:id w:val="-2139493038"/>
          <w:placeholder>
            <w:docPart w:val="185FD28FB1A741C0A877EFD2B1998830"/>
          </w:placeholder>
        </w:sdtPr>
        <w:sdtEndPr/>
        <w:sdtContent>
          <w:r w:rsidR="003204EA" w:rsidRPr="003204EA">
            <w:rPr>
              <w:rFonts w:eastAsia="Times New Roman"/>
              <w:color w:val="000000"/>
              <w:vertAlign w:val="superscript"/>
            </w:rPr>
            <w:t>14</w:t>
          </w:r>
        </w:sdtContent>
      </w:sdt>
      <w:r w:rsidRPr="00476931">
        <w:rPr>
          <w:color w:val="000000" w:themeColor="text1"/>
        </w:rPr>
        <w:t xml:space="preserve"> and it is often restricted to genus-level resolution</w:t>
      </w:r>
      <w:sdt>
        <w:sdtPr>
          <w:rPr>
            <w:color w:val="000000"/>
            <w:vertAlign w:val="superscript"/>
          </w:rPr>
          <w:tag w:val="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"/>
          <w:id w:val="2012791896"/>
          <w:placeholder>
            <w:docPart w:val="185FD28FB1A741C0A877EFD2B1998830"/>
          </w:placeholder>
        </w:sdtPr>
        <w:sdtEndPr/>
        <w:sdtContent>
          <w:r w:rsidR="003204EA" w:rsidRPr="003204EA">
            <w:rPr>
              <w:rFonts w:eastAsia="Times New Roman"/>
              <w:color w:val="000000"/>
              <w:vertAlign w:val="superscript"/>
            </w:rPr>
            <w:t>13,14</w:t>
          </w:r>
        </w:sdtContent>
      </w:sdt>
      <w:r w:rsidRPr="00476931">
        <w:rPr>
          <w:color w:val="000000" w:themeColor="text1"/>
        </w:rPr>
        <w:t>.  Culturomics, the high throughput isolation of microbes under a diverse set of culture conditions paired with identification by matrix-assisted laser desorption ionization–time of flight mass spectrometry (MALDI-TOF</w:t>
      </w:r>
      <w:r w:rsidR="00BF59DD">
        <w:rPr>
          <w:color w:val="000000" w:themeColor="text1"/>
        </w:rPr>
        <w:t>-</w:t>
      </w:r>
      <w:r w:rsidRPr="00476931">
        <w:rPr>
          <w:color w:val="000000" w:themeColor="text1"/>
        </w:rPr>
        <w:t>MS), has gained popularity as a culture-dependent approach to identify bacteria in a microbiome sample</w:t>
      </w:r>
      <w:sdt>
        <w:sdtPr>
          <w:rPr>
            <w:color w:val="000000"/>
            <w:vertAlign w:val="superscript"/>
          </w:rPr>
          <w:tag w:val="MENDELEY_CITATION_v3_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"/>
          <w:id w:val="1109554021"/>
          <w:placeholder>
            <w:docPart w:val="185FD28FB1A741C0A877EFD2B1998830"/>
          </w:placeholder>
        </w:sdtPr>
        <w:sdtEndPr/>
        <w:sdtContent>
          <w:r w:rsidR="003204EA" w:rsidRPr="003204EA">
            <w:rPr>
              <w:rFonts w:eastAsia="Times New Roman"/>
              <w:color w:val="000000"/>
              <w:vertAlign w:val="superscript"/>
            </w:rPr>
            <w:t>15</w:t>
          </w:r>
        </w:sdtContent>
      </w:sdt>
      <w:r w:rsidRPr="00476931">
        <w:rPr>
          <w:color w:val="000000" w:themeColor="text1"/>
        </w:rPr>
        <w:t>.  While not applied as often as culture-independent techniques, the complementarity between 16S rRNA sequencing and culturomics for the identification has been demonstrated, as a 2012 study found only a 15% overlap in bacterial identifications between the two techniques when applied to human stool samples</w:t>
      </w:r>
      <w:sdt>
        <w:sdtPr>
          <w:rPr>
            <w:color w:val="000000"/>
            <w:vertAlign w:val="superscript"/>
          </w:rPr>
          <w:tag w:val="MENDELEY_CITATION_v3_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"/>
          <w:id w:val="-1157530637"/>
          <w:placeholder>
            <w:docPart w:val="185FD28FB1A741C0A877EFD2B1998830"/>
          </w:placeholder>
        </w:sdtPr>
        <w:sdtEndPr/>
        <w:sdtContent>
          <w:r w:rsidR="003204EA" w:rsidRPr="003204EA">
            <w:rPr>
              <w:rFonts w:eastAsia="Times New Roman"/>
              <w:color w:val="000000"/>
              <w:vertAlign w:val="superscript"/>
            </w:rPr>
            <w:t>16</w:t>
          </w:r>
        </w:sdtContent>
      </w:sdt>
      <w:r w:rsidRPr="00476931">
        <w:rPr>
          <w:color w:val="000000" w:themeColor="text1"/>
        </w:rPr>
        <w:t xml:space="preserve">. In addition, while this approach is </w:t>
      </w:r>
      <w:proofErr w:type="gramStart"/>
      <w:r w:rsidRPr="00476931">
        <w:rPr>
          <w:color w:val="000000" w:themeColor="text1"/>
        </w:rPr>
        <w:t>fairly labor</w:t>
      </w:r>
      <w:proofErr w:type="gramEnd"/>
      <w:r w:rsidRPr="00476931">
        <w:rPr>
          <w:color w:val="000000" w:themeColor="text1"/>
        </w:rPr>
        <w:t xml:space="preserve"> and resource intensive, it can result in the cultivation of previously uncultured bacterial lineages for downstream mechanistic study</w:t>
      </w:r>
      <w:sdt>
        <w:sdtPr>
          <w:rPr>
            <w:color w:val="000000"/>
            <w:vertAlign w:val="superscript"/>
          </w:rPr>
          <w:tag w:val="MENDELEY_CITATION_v3_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"/>
          <w:id w:val="522527699"/>
          <w:placeholder>
            <w:docPart w:val="185FD28FB1A741C0A877EFD2B1998830"/>
          </w:placeholder>
        </w:sdtPr>
        <w:sdtEndPr/>
        <w:sdtContent>
          <w:r w:rsidR="003204EA" w:rsidRPr="003204EA">
            <w:rPr>
              <w:rFonts w:eastAsia="Times New Roman"/>
              <w:color w:val="000000"/>
              <w:vertAlign w:val="superscript"/>
            </w:rPr>
            <w:t>6</w:t>
          </w:r>
        </w:sdtContent>
      </w:sdt>
      <w:r w:rsidRPr="00476931">
        <w:rPr>
          <w:color w:val="000000" w:themeColor="text1"/>
        </w:rPr>
        <w:t>.</w:t>
      </w:r>
    </w:p>
    <w:p w14:paraId="2537CF70" w14:textId="7F87F6B3" w:rsidR="00E80B83" w:rsidRPr="00476931" w:rsidRDefault="00FC7924" w:rsidP="00E80B83">
      <w:pPr>
        <w:rPr>
          <w:color w:val="000000" w:themeColor="text1"/>
        </w:rPr>
      </w:pPr>
      <w:r w:rsidRPr="00476931">
        <w:rPr>
          <w:color w:val="000000" w:themeColor="text1"/>
        </w:rPr>
        <w:t xml:space="preserve">To answer the question “What </w:t>
      </w:r>
      <w:r w:rsidRPr="00476931">
        <w:rPr>
          <w:color w:val="000000" w:themeColor="text1"/>
          <w:u w:val="single"/>
        </w:rPr>
        <w:t>can</w:t>
      </w:r>
      <w:r w:rsidRPr="00476931">
        <w:rPr>
          <w:color w:val="000000" w:themeColor="text1"/>
        </w:rPr>
        <w:t xml:space="preserve"> the microbes do?”, metagenomics, the method of sequencing all microbial genomes within a sample, can provide information about the functional genomic capacity or potential of the community.  Compared to marker gene sequencing, it results in deeper taxonomic resolution and more detailed genomic information</w:t>
      </w:r>
      <w:r w:rsidR="006478DF">
        <w:rPr>
          <w:color w:val="000000" w:themeColor="text1"/>
        </w:rPr>
        <w:t>,</w:t>
      </w:r>
      <w:r w:rsidRPr="00476931">
        <w:rPr>
          <w:color w:val="000000" w:themeColor="text1"/>
        </w:rPr>
        <w:t xml:space="preserve"> as it captures all DNA present in the sample, including eukaryotic and viral DNA</w:t>
      </w:r>
      <w:sdt>
        <w:sdtPr>
          <w:rPr>
            <w:color w:val="000000"/>
            <w:vertAlign w:val="superscript"/>
          </w:rPr>
          <w:tag w:val="MENDELEY_CITATION_v3_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"/>
          <w:id w:val="111786920"/>
          <w:placeholder>
            <w:docPart w:val="185FD28FB1A741C0A877EFD2B1998830"/>
          </w:placeholder>
        </w:sdtPr>
        <w:sdtEndPr/>
        <w:sdtContent>
          <w:r w:rsidR="003204EA" w:rsidRPr="003204EA">
            <w:rPr>
              <w:rFonts w:eastAsia="Times New Roman"/>
              <w:color w:val="000000"/>
              <w:vertAlign w:val="superscript"/>
            </w:rPr>
            <w:t>13</w:t>
          </w:r>
        </w:sdtContent>
      </w:sdt>
      <w:r w:rsidRPr="00476931">
        <w:rPr>
          <w:color w:val="000000" w:themeColor="text1"/>
        </w:rPr>
        <w:t xml:space="preserve">.  However, this method does not discriminate between </w:t>
      </w:r>
    </w:p>
    <w:p w14:paraId="3A960F15" w14:textId="63C63EED" w:rsidR="00F33759" w:rsidRDefault="008D13DC" w:rsidP="00C322F9">
      <w:pPr>
        <w:rPr>
          <w:iCs/>
        </w:rPr>
      </w:pPr>
      <w:r w:rsidRPr="00476931">
        <w:rPr>
          <w:color w:val="000000" w:themeColor="text1"/>
        </w:rPr>
        <w:br w:type="page"/>
      </w:r>
      <w:bookmarkStart w:id="10" w:name="_Toc106815175"/>
      <w:bookmarkStart w:id="11" w:name="_Toc106869214"/>
      <w:bookmarkStart w:id="12" w:name="_Toc107517390"/>
      <w:bookmarkStart w:id="13" w:name="_Toc107573786"/>
      <w:bookmarkStart w:id="14" w:name="_Toc107573923"/>
      <w:r w:rsidR="006464BD">
        <w:rPr>
          <w:noProof/>
        </w:rPr>
        <w:lastRenderedPageBreak/>
        <mc:AlternateContent>
          <mc:Choice Requires="wps">
            <w:drawing>
              <wp:anchor distT="0" distB="0" distL="114300" distR="114300" simplePos="0" relativeHeight="251658252" behindDoc="0" locked="0" layoutInCell="1" allowOverlap="1" wp14:anchorId="4768FAB7" wp14:editId="576AADC0">
                <wp:simplePos x="0" y="0"/>
                <wp:positionH relativeFrom="column">
                  <wp:posOffset>66675</wp:posOffset>
                </wp:positionH>
                <wp:positionV relativeFrom="paragraph">
                  <wp:posOffset>6004560</wp:posOffset>
                </wp:positionV>
                <wp:extent cx="5441315" cy="635"/>
                <wp:effectExtent l="0" t="0" r="0" b="12065"/>
                <wp:wrapTopAndBottom/>
                <wp:docPr id="12" name="Text Box 12"/>
                <wp:cNvGraphicFramePr/>
                <a:graphic xmlns:a="http://schemas.openxmlformats.org/drawingml/2006/main">
                  <a:graphicData uri="http://schemas.microsoft.com/office/word/2010/wordprocessingShape">
                    <wps:wsp>
                      <wps:cNvSpPr txBox="1"/>
                      <wps:spPr>
                        <a:xfrm>
                          <a:off x="0" y="0"/>
                          <a:ext cx="5441315" cy="635"/>
                        </a:xfrm>
                        <a:prstGeom prst="rect">
                          <a:avLst/>
                        </a:prstGeom>
                        <a:solidFill>
                          <a:prstClr val="white"/>
                        </a:solidFill>
                        <a:ln>
                          <a:noFill/>
                        </a:ln>
                      </wps:spPr>
                      <wps:txbx>
                        <w:txbxContent>
                          <w:p w14:paraId="7C3BE29D" w14:textId="17E36B99" w:rsidR="00002888" w:rsidRPr="00235112" w:rsidRDefault="006464BD" w:rsidP="00235112">
                            <w:pPr>
                              <w:pStyle w:val="Caption"/>
                              <w:rPr>
                                <w:b w:val="0"/>
                                <w:bCs/>
                              </w:rPr>
                            </w:pPr>
                            <w:bookmarkStart w:id="15" w:name="_Toc110246916"/>
                            <w:r w:rsidRPr="00235112">
                              <w:t xml:space="preserve">Figure </w:t>
                            </w:r>
                            <w:fldSimple w:instr=" STYLEREF 1 \s ">
                              <w:r w:rsidR="00AC2094">
                                <w:rPr>
                                  <w:noProof/>
                                </w:rPr>
                                <w:t>1</w:t>
                              </w:r>
                            </w:fldSimple>
                            <w:r w:rsidR="00AC2094">
                              <w:noBreakHyphen/>
                            </w:r>
                            <w:fldSimple w:instr=" SEQ Figure \* ARABIC \s 1 ">
                              <w:r w:rsidR="00AC2094">
                                <w:rPr>
                                  <w:noProof/>
                                </w:rPr>
                                <w:t>1</w:t>
                              </w:r>
                            </w:fldSimple>
                            <w:r w:rsidR="00002888" w:rsidRPr="00235112">
                              <w:t xml:space="preserve">  Multi-omics approaches for studying microbiomes enabling comprehensive characterization of microbial ecosystems.</w:t>
                            </w:r>
                            <w:bookmarkEnd w:id="15"/>
                            <w:r w:rsidR="00002888" w:rsidRPr="00235112">
                              <w:t xml:space="preserve">  </w:t>
                            </w:r>
                            <w:r w:rsidR="00002888" w:rsidRPr="00235112">
                              <w:rPr>
                                <w:b w:val="0"/>
                                <w:bCs/>
                              </w:rPr>
                              <w:fldChar w:fldCharType="begin"/>
                            </w:r>
                            <w:r w:rsidR="00002888" w:rsidRPr="00235112">
                              <w:rPr>
                                <w:b w:val="0"/>
                                <w:bCs/>
                              </w:rPr>
                              <w:instrText xml:space="preserve"> </w:instrText>
                            </w:r>
                          </w:p>
                          <w:p w14:paraId="207197F3" w14:textId="77777777" w:rsidR="00002888" w:rsidRPr="00235112" w:rsidRDefault="00002888" w:rsidP="00235112">
                            <w:pPr>
                              <w:pStyle w:val="Caption"/>
                              <w:rPr>
                                <w:b w:val="0"/>
                                <w:bCs/>
                              </w:rPr>
                            </w:pPr>
                          </w:p>
                          <w:p w14:paraId="40DF02F2" w14:textId="77777777" w:rsidR="00002888" w:rsidRPr="00235112" w:rsidRDefault="00002888" w:rsidP="00235112">
                            <w:pPr>
                              <w:pStyle w:val="Caption"/>
                              <w:rPr>
                                <w:b w:val="0"/>
                                <w:bCs/>
                              </w:rPr>
                            </w:pPr>
                            <w:r w:rsidRPr="00235112">
                              <w:rPr>
                                <w:b w:val="0"/>
                                <w:bCs/>
                              </w:rPr>
                              <w:instrText xml:space="preserve"> </w:instrText>
                            </w:r>
                            <w:r w:rsidRPr="00235112">
                              <w:rPr>
                                <w:b w:val="0"/>
                                <w:bCs/>
                              </w:rPr>
                              <w:fldChar w:fldCharType="end"/>
                            </w:r>
                            <w:r w:rsidRPr="00235112">
                              <w:rPr>
                                <w:b w:val="0"/>
                                <w:bCs/>
                              </w:rPr>
                              <w:fldChar w:fldCharType="begin"/>
                            </w:r>
                            <w:r w:rsidRPr="00235112">
                              <w:rPr>
                                <w:b w:val="0"/>
                                <w:bCs/>
                              </w:rPr>
                              <w:instrText xml:space="preserve"> </w:instrText>
                            </w:r>
                          </w:p>
                          <w:p w14:paraId="4680C432" w14:textId="77777777" w:rsidR="00002888" w:rsidRPr="00235112" w:rsidRDefault="00002888" w:rsidP="00235112">
                            <w:pPr>
                              <w:pStyle w:val="Caption"/>
                              <w:rPr>
                                <w:b w:val="0"/>
                                <w:bCs/>
                              </w:rPr>
                            </w:pPr>
                          </w:p>
                          <w:p w14:paraId="5AB16D98" w14:textId="40BA4F58" w:rsidR="006464BD" w:rsidRPr="00235112" w:rsidRDefault="00002888" w:rsidP="00235112">
                            <w:pPr>
                              <w:pStyle w:val="Caption"/>
                              <w:rPr>
                                <w:b w:val="0"/>
                                <w:bCs/>
                              </w:rPr>
                            </w:pPr>
                            <w:r w:rsidRPr="00235112">
                              <w:rPr>
                                <w:b w:val="0"/>
                                <w:bCs/>
                              </w:rPr>
                              <w:instrText xml:space="preserve"> </w:instrText>
                            </w:r>
                            <w:r w:rsidRPr="00235112">
                              <w:rPr>
                                <w:b w:val="0"/>
                                <w:bCs/>
                              </w:rPr>
                              <w:fldChar w:fldCharType="end"/>
                            </w:r>
                            <w:r w:rsidRPr="00235112">
                              <w:rPr>
                                <w:b w:val="0"/>
                                <w:bCs/>
                              </w:rPr>
                              <w:t>Microbiome research covers various levels of information (cells, DNA, RNA, protein, and metabolites). Each approach focuses on a different aspect of microbial ecosystems, from determining what microbiota exist in a given habitat (microbial potential) to determining the functional capacity of the community (metabolic potential) to the discovering the active metabolism taking place in the community (metabolic function).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oel="http://schemas.microsoft.com/office/2019/extlst">
            <w:pict>
              <v:shapetype w14:anchorId="4768FAB7" id="_x0000_t202" coordsize="21600,21600" o:spt="202" path="m,l,21600r21600,l21600,xe">
                <v:stroke joinstyle="miter"/>
                <v:path gradientshapeok="t" o:connecttype="rect"/>
              </v:shapetype>
              <v:shape id="Text Box 12" o:spid="_x0000_s1026" type="#_x0000_t202" style="position:absolute;left:0;text-align:left;margin-left:5.25pt;margin-top:472.8pt;width:428.45pt;height:.05pt;z-index:2516582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" stroked="f">
                <v:textbox style="mso-fit-shape-to-text:t" inset="0,0,0,0">
                  <w:txbxContent>
                    <w:p w14:paraId="7C3BE29D" w14:textId="17E36B99" w:rsidR="00002888" w:rsidRPr="00235112" w:rsidRDefault="006464BD" w:rsidP="00235112">
                      <w:pPr>
                        <w:pStyle w:val="Caption"/>
                        <w:rPr>
                          <w:b w:val="0"/>
                          <w:bCs/>
                        </w:rPr>
                      </w:pPr>
                      <w:bookmarkStart w:id="16" w:name="_Toc110246916"/>
                      <w:r w:rsidRPr="00235112">
                        <w:t xml:space="preserve">Figure </w:t>
                      </w:r>
                      <w:r w:rsidR="00000000">
                        <w:fldChar w:fldCharType="begin"/>
                      </w:r>
                      <w:r w:rsidR="00000000">
                        <w:instrText xml:space="preserve"> STYLEREF 1 \s </w:instrText>
                      </w:r>
                      <w:r w:rsidR="00000000">
                        <w:fldChar w:fldCharType="separate"/>
                      </w:r>
                      <w:r w:rsidR="00AC2094">
                        <w:rPr>
                          <w:noProof/>
                        </w:rPr>
                        <w:t>1</w:t>
                      </w:r>
                      <w:r w:rsidR="00000000">
                        <w:rPr>
                          <w:noProof/>
                        </w:rPr>
                        <w:fldChar w:fldCharType="end"/>
                      </w:r>
                      <w:r w:rsidR="00AC2094">
                        <w:noBreakHyphen/>
                      </w:r>
                      <w:r w:rsidR="00000000">
                        <w:fldChar w:fldCharType="begin"/>
                      </w:r>
                      <w:r w:rsidR="00000000">
                        <w:instrText xml:space="preserve"> SEQ Figure \* ARABIC \s 1 </w:instrText>
                      </w:r>
                      <w:r w:rsidR="00000000">
                        <w:fldChar w:fldCharType="separate"/>
                      </w:r>
                      <w:r w:rsidR="00AC2094">
                        <w:rPr>
                          <w:noProof/>
                        </w:rPr>
                        <w:t>1</w:t>
                      </w:r>
                      <w:r w:rsidR="00000000">
                        <w:rPr>
                          <w:noProof/>
                        </w:rPr>
                        <w:fldChar w:fldCharType="end"/>
                      </w:r>
                      <w:r w:rsidR="00002888" w:rsidRPr="00235112">
                        <w:t xml:space="preserve">  </w:t>
                      </w:r>
                      <w:proofErr w:type="gramStart"/>
                      <w:r w:rsidR="00002888" w:rsidRPr="00235112">
                        <w:t>Multi-omics</w:t>
                      </w:r>
                      <w:proofErr w:type="gramEnd"/>
                      <w:r w:rsidR="00002888" w:rsidRPr="00235112">
                        <w:t xml:space="preserve"> approaches for studying microbiomes enabling comprehensive characterization of microbial ecosystems.</w:t>
                      </w:r>
                      <w:bookmarkEnd w:id="16"/>
                      <w:r w:rsidR="00002888" w:rsidRPr="00235112">
                        <w:t xml:space="preserve">  </w:t>
                      </w:r>
                      <w:r w:rsidR="00002888" w:rsidRPr="00235112">
                        <w:rPr>
                          <w:b w:val="0"/>
                          <w:bCs/>
                        </w:rPr>
                        <w:fldChar w:fldCharType="begin"/>
                      </w:r>
                      <w:r w:rsidR="00002888" w:rsidRPr="00235112">
                        <w:rPr>
                          <w:b w:val="0"/>
                          <w:bCs/>
                        </w:rPr>
                        <w:instrText xml:space="preserve"> </w:instrText>
                      </w:r>
                    </w:p>
                    <w:p w14:paraId="207197F3" w14:textId="77777777" w:rsidR="00002888" w:rsidRPr="00235112" w:rsidRDefault="00002888" w:rsidP="00235112">
                      <w:pPr>
                        <w:pStyle w:val="Caption"/>
                        <w:rPr>
                          <w:b w:val="0"/>
                          <w:bCs/>
                        </w:rPr>
                      </w:pPr>
                    </w:p>
                    <w:p w14:paraId="40DF02F2" w14:textId="77777777" w:rsidR="00002888" w:rsidRPr="00235112" w:rsidRDefault="00002888" w:rsidP="00235112">
                      <w:pPr>
                        <w:pStyle w:val="Caption"/>
                        <w:rPr>
                          <w:b w:val="0"/>
                          <w:bCs/>
                        </w:rPr>
                      </w:pPr>
                      <w:r w:rsidRPr="00235112">
                        <w:rPr>
                          <w:b w:val="0"/>
                          <w:bCs/>
                        </w:rPr>
                        <w:instrText xml:space="preserve"> </w:instrText>
                      </w:r>
                      <w:r w:rsidRPr="00235112">
                        <w:rPr>
                          <w:b w:val="0"/>
                          <w:bCs/>
                        </w:rPr>
                        <w:fldChar w:fldCharType="end"/>
                      </w:r>
                      <w:r w:rsidRPr="00235112">
                        <w:rPr>
                          <w:b w:val="0"/>
                          <w:bCs/>
                        </w:rPr>
                        <w:fldChar w:fldCharType="begin"/>
                      </w:r>
                      <w:r w:rsidRPr="00235112">
                        <w:rPr>
                          <w:b w:val="0"/>
                          <w:bCs/>
                        </w:rPr>
                        <w:instrText xml:space="preserve"> </w:instrText>
                      </w:r>
                    </w:p>
                    <w:p w14:paraId="4680C432" w14:textId="77777777" w:rsidR="00002888" w:rsidRPr="00235112" w:rsidRDefault="00002888" w:rsidP="00235112">
                      <w:pPr>
                        <w:pStyle w:val="Caption"/>
                        <w:rPr>
                          <w:b w:val="0"/>
                          <w:bCs/>
                        </w:rPr>
                      </w:pPr>
                    </w:p>
                    <w:p w14:paraId="5AB16D98" w14:textId="40BA4F58" w:rsidR="006464BD" w:rsidRPr="00235112" w:rsidRDefault="00002888" w:rsidP="00235112">
                      <w:pPr>
                        <w:pStyle w:val="Caption"/>
                        <w:rPr>
                          <w:b w:val="0"/>
                          <w:bCs/>
                        </w:rPr>
                      </w:pPr>
                      <w:r w:rsidRPr="00235112">
                        <w:rPr>
                          <w:b w:val="0"/>
                          <w:bCs/>
                        </w:rPr>
                        <w:instrText xml:space="preserve"> </w:instrText>
                      </w:r>
                      <w:r w:rsidRPr="00235112">
                        <w:rPr>
                          <w:b w:val="0"/>
                          <w:bCs/>
                        </w:rPr>
                        <w:fldChar w:fldCharType="end"/>
                      </w:r>
                      <w:r w:rsidRPr="00235112">
                        <w:rPr>
                          <w:b w:val="0"/>
                          <w:bCs/>
                        </w:rPr>
                        <w:t xml:space="preserve">Microbiome research covers various levels of information (cells, DNA, RNA, protein, and metabolites). Each approach focuses on a different aspect of microbial ecosystems, from determining what microbiota exist </w:t>
                      </w:r>
                      <w:proofErr w:type="gramStart"/>
                      <w:r w:rsidRPr="00235112">
                        <w:rPr>
                          <w:b w:val="0"/>
                          <w:bCs/>
                        </w:rPr>
                        <w:t>in a given</w:t>
                      </w:r>
                      <w:proofErr w:type="gramEnd"/>
                      <w:r w:rsidRPr="00235112">
                        <w:rPr>
                          <w:b w:val="0"/>
                          <w:bCs/>
                        </w:rPr>
                        <w:t xml:space="preserve"> habitat (microbial potential) to determining the functional capacity of the community (metabolic potential) to the discovering the active metabolism taking place in the community (metabolic function).</w:t>
                      </w:r>
                    </w:p>
                  </w:txbxContent>
                </v:textbox>
                <w10:wrap type="topAndBottom"/>
              </v:shape>
            </w:pict>
          </mc:Fallback>
        </mc:AlternateContent>
      </w:r>
      <w:r w:rsidR="000464A7" w:rsidRPr="00476931">
        <w:rPr>
          <w:b/>
          <w:bCs/>
          <w:noProof/>
        </w:rPr>
        <w:drawing>
          <wp:anchor distT="0" distB="0" distL="114300" distR="114300" simplePos="0" relativeHeight="251658245" behindDoc="0" locked="0" layoutInCell="1" allowOverlap="1" wp14:anchorId="29357DE4" wp14:editId="3919E72C">
            <wp:simplePos x="0" y="0"/>
            <wp:positionH relativeFrom="column">
              <wp:posOffset>66675</wp:posOffset>
            </wp:positionH>
            <wp:positionV relativeFrom="paragraph">
              <wp:posOffset>111125</wp:posOffset>
            </wp:positionV>
            <wp:extent cx="5441315" cy="5836285"/>
            <wp:effectExtent l="0" t="0" r="6985" b="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41315" cy="5836285"/>
                    </a:xfrm>
                    <a:prstGeom prst="rect">
                      <a:avLst/>
                    </a:prstGeom>
                    <a:noFill/>
                  </pic:spPr>
                </pic:pic>
              </a:graphicData>
            </a:graphic>
            <wp14:sizeRelH relativeFrom="margin">
              <wp14:pctWidth>0</wp14:pctWidth>
            </wp14:sizeRelH>
            <wp14:sizeRelV relativeFrom="margin">
              <wp14:pctHeight>0</wp14:pctHeight>
            </wp14:sizeRelV>
          </wp:anchor>
        </w:drawing>
      </w:r>
      <w:bookmarkEnd w:id="10"/>
      <w:bookmarkEnd w:id="11"/>
      <w:bookmarkEnd w:id="12"/>
      <w:bookmarkEnd w:id="13"/>
      <w:bookmarkEnd w:id="14"/>
      <w:r w:rsidR="00F33759">
        <w:br w:type="page"/>
      </w:r>
    </w:p>
    <w:p w14:paraId="2393B605" w14:textId="1D7E864F" w:rsidR="00E80B83" w:rsidRPr="00476931" w:rsidRDefault="00E80B83" w:rsidP="00C322F9">
      <w:pPr>
        <w:ind w:firstLine="0"/>
      </w:pPr>
      <w:r w:rsidRPr="00476931">
        <w:lastRenderedPageBreak/>
        <w:t>DNA from  live, dead, or active organisms and the analysis of the resulting data can be challenging and laborious depending on the complexity of the community.</w:t>
      </w:r>
    </w:p>
    <w:p w14:paraId="212C0E13" w14:textId="26AD72EF" w:rsidR="00C322F9" w:rsidRDefault="00E80B83" w:rsidP="00C322F9">
      <w:r w:rsidRPr="00476931">
        <w:t xml:space="preserve">To answer the question “What </w:t>
      </w:r>
      <w:r w:rsidRPr="00476931">
        <w:rPr>
          <w:u w:val="single"/>
        </w:rPr>
        <w:t>are</w:t>
      </w:r>
      <w:r w:rsidRPr="00476931">
        <w:t xml:space="preserve"> the microbes doing?”, three primary</w:t>
      </w:r>
      <w:r>
        <w:t xml:space="preserve"> functional genomics</w:t>
      </w:r>
      <w:r w:rsidRPr="00476931">
        <w:t xml:space="preserve"> approaches are used in microbiome research: metatranscriptomics, metaproteomics, </w:t>
      </w:r>
      <w:r w:rsidR="00FC7924" w:rsidRPr="00476931">
        <w:t>and metabolomics.  Metatranscriptomics uses RNA sequencing to profile transcription and can provide dynamic information about what genes are being actively transcribed.  This method inherently discriminates between dead, dormant, or active microorganisms, but is biased toward organisms with higher transcription rates</w:t>
      </w:r>
      <w:sdt>
        <w:sdtPr>
          <w:rPr>
            <w:color w:val="000000"/>
            <w:vertAlign w:val="superscript"/>
          </w:rPr>
          <w:tag w:val="MENDELEY_CITATION_v3_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"/>
          <w:id w:val="-2138635076"/>
          <w:placeholder>
            <w:docPart w:val="F829E3E0327A4F58AF63E66F11E7AD6C"/>
          </w:placeholder>
        </w:sdtPr>
        <w:sdtEndPr/>
        <w:sdtContent>
          <w:r w:rsidR="003204EA" w:rsidRPr="003204EA">
            <w:rPr>
              <w:rFonts w:eastAsia="Times New Roman"/>
              <w:color w:val="000000"/>
              <w:vertAlign w:val="superscript"/>
            </w:rPr>
            <w:t>13</w:t>
          </w:r>
        </w:sdtContent>
      </w:sdt>
      <w:r w:rsidR="00FC7924" w:rsidRPr="00476931">
        <w:t>.</w:t>
      </w:r>
    </w:p>
    <w:p w14:paraId="0CD5BAF7" w14:textId="17CA7248" w:rsidR="00C322F9" w:rsidRDefault="00FC7924" w:rsidP="00C322F9">
      <w:pPr>
        <w:ind w:left="168" w:firstLine="710"/>
      </w:pPr>
      <w:r w:rsidRPr="00476931">
        <w:t xml:space="preserve">Metaproteomics can provide information about what proteins are being translated, and </w:t>
      </w:r>
      <w:r w:rsidR="008C2187">
        <w:t>since</w:t>
      </w:r>
      <w:r w:rsidRPr="00476931">
        <w:t xml:space="preserve"> proteins are major catalytic units in any ecosystem constituting roughly half of the dry mass of a cell</w:t>
      </w:r>
      <w:sdt>
        <w:sdtPr>
          <w:rPr>
            <w:color w:val="000000"/>
            <w:vertAlign w:val="superscript"/>
          </w:rPr>
          <w:tag w:val="MENDELEY_CITATION_v3_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"/>
          <w:id w:val="1105693995"/>
          <w:placeholder>
            <w:docPart w:val="A438B511B32B4201A635987B72D79EA5"/>
          </w:placeholder>
        </w:sdtPr>
        <w:sdtEndPr/>
        <w:sdtContent>
          <w:r w:rsidR="003204EA" w:rsidRPr="003204EA">
            <w:rPr>
              <w:rFonts w:eastAsia="Times New Roman"/>
              <w:color w:val="000000"/>
              <w:vertAlign w:val="superscript"/>
            </w:rPr>
            <w:t>17</w:t>
          </w:r>
        </w:sdtContent>
      </w:sdt>
      <w:r w:rsidRPr="00476931">
        <w:t>, they provide a detailed look at the functional activities of cells in a microbiome sample</w:t>
      </w:r>
      <w:r w:rsidR="00C7191A">
        <w:t xml:space="preserve"> in a spatial context</w:t>
      </w:r>
      <w:r w:rsidRPr="00476931">
        <w:t xml:space="preserve">.  </w:t>
      </w:r>
      <w:r w:rsidR="00C7191A">
        <w:t xml:space="preserve">For example, this </w:t>
      </w:r>
      <w:r w:rsidR="006D7E5B">
        <w:t xml:space="preserve">approach can </w:t>
      </w:r>
      <w:r w:rsidR="00C301E1">
        <w:t>discri</w:t>
      </w:r>
      <w:r w:rsidR="00680EB6">
        <w:t xml:space="preserve">minate between extracellular, membrane-bound, and cytosolic </w:t>
      </w:r>
      <w:r w:rsidR="00EF3D63">
        <w:t xml:space="preserve">proteins and therefore functions. </w:t>
      </w:r>
      <w:r w:rsidR="00C7191A">
        <w:t xml:space="preserve"> </w:t>
      </w:r>
      <w:r w:rsidRPr="00476931">
        <w:t>One benefit over sequencing-based approaches, metaproteomics can capture information about post-transcriptional regulation processes and post-translational modifications (PTM) of proteins</w:t>
      </w:r>
      <w:sdt>
        <w:sdtPr>
          <w:rPr>
            <w:color w:val="000000"/>
            <w:vertAlign w:val="superscript"/>
          </w:rPr>
          <w:tag w:val="MENDELEY_CITATION_v3_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"/>
          <w:id w:val="-81832825"/>
          <w:placeholder>
            <w:docPart w:val="F829E3E0327A4F58AF63E66F11E7AD6C"/>
          </w:placeholder>
        </w:sdtPr>
        <w:sdtEndPr/>
        <w:sdtContent>
          <w:r w:rsidR="003204EA" w:rsidRPr="003204EA">
            <w:rPr>
              <w:rFonts w:eastAsia="Times New Roman"/>
              <w:color w:val="000000"/>
              <w:vertAlign w:val="superscript"/>
            </w:rPr>
            <w:t>18,19</w:t>
          </w:r>
        </w:sdtContent>
      </w:sdt>
      <w:r w:rsidRPr="00476931">
        <w:t xml:space="preserve">.  </w:t>
      </w:r>
      <w:r w:rsidR="00C322F9">
        <w:t>While</w:t>
      </w:r>
      <w:r w:rsidRPr="00476931">
        <w:t xml:space="preserve"> this approach is technically challenging in terms of sample preparation and does not provide the same depth of measurement as sequencing-based approache</w:t>
      </w:r>
      <w:r w:rsidR="00C322F9">
        <w:t>s,</w:t>
      </w:r>
      <w:r w:rsidR="00C322F9" w:rsidRPr="00C322F9">
        <w:t xml:space="preserve"> </w:t>
      </w:r>
      <w:r w:rsidR="00C322F9">
        <w:t>mass spectrometry has emerged as the predominant method to study protein expression in microbial communities</w:t>
      </w:r>
      <w:r w:rsidR="00C322F9" w:rsidRPr="00476931">
        <w:t xml:space="preserve">.  </w:t>
      </w:r>
      <w:r w:rsidR="00C322F9">
        <w:t xml:space="preserve">Metaproteomic analyses require a </w:t>
      </w:r>
      <w:r w:rsidR="00C322F9" w:rsidRPr="00E25511">
        <w:t>dynamic range</w:t>
      </w:r>
      <w:r w:rsidR="00C322F9">
        <w:t xml:space="preserve"> of at least 5,000:1</w:t>
      </w:r>
      <w:r w:rsidR="00C322F9" w:rsidRPr="00E25511">
        <w:t>, mass accuracy</w:t>
      </w:r>
      <w:r w:rsidR="00C322F9">
        <w:t xml:space="preserve"> of &lt;3 parts-per-million (ppm)</w:t>
      </w:r>
      <w:r w:rsidR="00C322F9" w:rsidRPr="00E25511">
        <w:t xml:space="preserve">, </w:t>
      </w:r>
      <w:r w:rsidR="00C322F9">
        <w:t>and mass resolution of 70,000 at m/z</w:t>
      </w:r>
      <w:r w:rsidR="00C322F9">
        <w:rPr>
          <w:spacing w:val="-11"/>
        </w:rPr>
        <w:t xml:space="preserve"> </w:t>
      </w:r>
      <w:r w:rsidR="00C322F9">
        <w:t>200 to provide the necessary metaproteome depth and coverage.  Due to the superior capabilities of MS instrumentation compared to other tools used for protein analysis, including Edman sequencing, gel electrophoresis, antibody-based approaches, protein microarrays, and NMR, this method has emerged over as the protein identification tool of choice for complex microbiome measurement.</w:t>
      </w:r>
    </w:p>
    <w:p w14:paraId="77E6C280" w14:textId="77107C04" w:rsidR="00FC7924" w:rsidRPr="00476931" w:rsidRDefault="00FC7924" w:rsidP="00C322F9">
      <w:pPr>
        <w:ind w:left="168" w:firstLine="710"/>
      </w:pPr>
      <w:r w:rsidRPr="00476931">
        <w:t>Metabolomics</w:t>
      </w:r>
      <w:r w:rsidR="004402A8">
        <w:t xml:space="preserve"> </w:t>
      </w:r>
      <w:r w:rsidRPr="00476931">
        <w:t xml:space="preserve">can provide information about what metabolites are being produced and consumed in a community.   For microbiome research, one primary limitation of metabolomics compared to metatranscriptomics and metaproteomics is </w:t>
      </w:r>
      <w:r w:rsidRPr="00476931">
        <w:lastRenderedPageBreak/>
        <w:t>that this approach cannot link the measured entities (metabolites) back to the organism of origin without complementary gene information</w:t>
      </w:r>
      <w:sdt>
        <w:sdtPr>
          <w:rPr>
            <w:color w:val="000000"/>
            <w:vertAlign w:val="superscript"/>
          </w:rPr>
          <w:tag w:val="MENDELEY_CITATION_v3_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"/>
          <w:id w:val="-1500569021"/>
          <w:placeholder>
            <w:docPart w:val="F829E3E0327A4F58AF63E66F11E7AD6C"/>
          </w:placeholder>
        </w:sdtPr>
        <w:sdtEndPr/>
        <w:sdtContent>
          <w:r w:rsidR="003204EA" w:rsidRPr="003204EA">
            <w:rPr>
              <w:rFonts w:eastAsia="Times New Roman"/>
              <w:color w:val="000000"/>
              <w:vertAlign w:val="superscript"/>
            </w:rPr>
            <w:t>20</w:t>
          </w:r>
        </w:sdtContent>
      </w:sdt>
      <w:r w:rsidRPr="00476931">
        <w:t xml:space="preserve">.  In total, to comprehensively study community composition, structure, and function, a combination of omics techniques should be </w:t>
      </w:r>
      <w:proofErr w:type="gramStart"/>
      <w:r w:rsidRPr="00476931">
        <w:t>utilize</w:t>
      </w:r>
      <w:r w:rsidR="009F1284">
        <w:t>d, since</w:t>
      </w:r>
      <w:proofErr w:type="gramEnd"/>
      <w:r w:rsidR="009F1284">
        <w:t xml:space="preserve"> n</w:t>
      </w:r>
      <w:r w:rsidRPr="00476931">
        <w:t>o one method captures all information necessary to interpret organism interactions with each other and their environment.</w:t>
      </w:r>
    </w:p>
    <w:p w14:paraId="29CC984F" w14:textId="77777777" w:rsidR="00FC7924" w:rsidRPr="00476931" w:rsidRDefault="00FC7924" w:rsidP="00FC7924">
      <w:pPr>
        <w:pStyle w:val="BodyText"/>
        <w:spacing w:line="360" w:lineRule="auto"/>
        <w:rPr>
          <w:iCs/>
          <w:szCs w:val="18"/>
        </w:rPr>
      </w:pPr>
    </w:p>
    <w:p w14:paraId="2C7D858B" w14:textId="30516661" w:rsidR="002C2816" w:rsidRPr="00476931" w:rsidRDefault="002C2816" w:rsidP="0060435B">
      <w:pPr>
        <w:pStyle w:val="Heading2"/>
      </w:pPr>
      <w:bookmarkStart w:id="16" w:name="_Toc110250215"/>
      <w:bookmarkStart w:id="17" w:name="_Toc110250472"/>
      <w:bookmarkStart w:id="18" w:name="_Toc110250603"/>
      <w:r w:rsidRPr="00476931">
        <w:t xml:space="preserve">1.3  Mass spectrometry-based metaproteomics among </w:t>
      </w:r>
      <w:r w:rsidR="00FC7924" w:rsidRPr="00476931">
        <w:t>omic</w:t>
      </w:r>
      <w:r w:rsidRPr="00476931">
        <w:t>s approaches</w:t>
      </w:r>
      <w:r w:rsidR="0067780D">
        <w:t>.</w:t>
      </w:r>
      <w:bookmarkEnd w:id="16"/>
      <w:bookmarkEnd w:id="17"/>
      <w:bookmarkEnd w:id="18"/>
    </w:p>
    <w:p w14:paraId="4C16A188" w14:textId="77777777" w:rsidR="002C2816" w:rsidRPr="00476931" w:rsidRDefault="002C2816" w:rsidP="002C2816">
      <w:pPr>
        <w:rPr>
          <w:color w:val="000000" w:themeColor="text1"/>
        </w:rPr>
      </w:pPr>
    </w:p>
    <w:p w14:paraId="6678E99B" w14:textId="2AAEED77" w:rsidR="002C2816" w:rsidRPr="00476931" w:rsidRDefault="002C2816" w:rsidP="002C2816">
      <w:pPr>
        <w:rPr>
          <w:rFonts w:ascii="Times New Roman" w:eastAsia="Times New Roman" w:hAnsi="Times New Roman" w:cs="Times New Roman"/>
          <w:color w:val="000000" w:themeColor="text1"/>
        </w:rPr>
      </w:pPr>
      <w:r w:rsidRPr="00476931">
        <w:rPr>
          <w:rFonts w:ascii="Times New Roman" w:hAnsi="Times New Roman" w:cs="Times New Roman"/>
          <w:color w:val="000000" w:themeColor="text1"/>
        </w:rPr>
        <w:t xml:space="preserve">Metaproteomics was first described as “the large-scale characterization of the entire protein </w:t>
      </w:r>
      <w:proofErr w:type="gramStart"/>
      <w:r w:rsidRPr="00476931">
        <w:rPr>
          <w:rFonts w:ascii="Times New Roman" w:hAnsi="Times New Roman" w:cs="Times New Roman"/>
          <w:color w:val="000000" w:themeColor="text1"/>
        </w:rPr>
        <w:t>complement</w:t>
      </w:r>
      <w:proofErr w:type="gramEnd"/>
      <w:r w:rsidRPr="00476931">
        <w:rPr>
          <w:rFonts w:ascii="Times New Roman" w:hAnsi="Times New Roman" w:cs="Times New Roman"/>
          <w:color w:val="000000" w:themeColor="text1"/>
        </w:rPr>
        <w:t xml:space="preserve"> of environmental microbiota at a given point in time” by Paul </w:t>
      </w:r>
      <w:proofErr w:type="spellStart"/>
      <w:r w:rsidRPr="00476931">
        <w:rPr>
          <w:rFonts w:ascii="Times New Roman" w:hAnsi="Times New Roman" w:cs="Times New Roman"/>
          <w:color w:val="000000" w:themeColor="text1"/>
        </w:rPr>
        <w:t>Wilmes</w:t>
      </w:r>
      <w:proofErr w:type="spellEnd"/>
      <w:r w:rsidRPr="00476931">
        <w:rPr>
          <w:rFonts w:ascii="Times New Roman" w:hAnsi="Times New Roman" w:cs="Times New Roman"/>
          <w:color w:val="000000" w:themeColor="text1"/>
        </w:rPr>
        <w:t xml:space="preserve"> and Philip Bonds in an examination of prokaryotic microorganisms from a laboratory-scale activated sludge system that was optimized for enhanced biological phosphorus removal</w:t>
      </w:r>
      <w:sdt>
        <w:sdtPr>
          <w:rPr>
            <w:rFonts w:ascii="Times New Roman" w:hAnsi="Times New Roman" w:cs="Times New Roman"/>
            <w:color w:val="000000"/>
            <w:vertAlign w:val="superscript"/>
          </w:rPr>
          <w:tag w:val="MENDELEY_CITATION_v3_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"/>
          <w:id w:val="1739819375"/>
          <w:placeholder>
            <w:docPart w:val="623FFB356E58BB4B95B8A562EE9DF1DE"/>
          </w:placeholder>
        </w:sdtPr>
        <w:sdtEndPr/>
        <w:sdtContent>
          <w:r w:rsidR="003204EA" w:rsidRPr="003204EA">
            <w:rPr>
              <w:rFonts w:eastAsia="Times New Roman"/>
              <w:color w:val="000000"/>
              <w:vertAlign w:val="superscript"/>
            </w:rPr>
            <w:t>21</w:t>
          </w:r>
        </w:sdtContent>
      </w:sdt>
      <w:r w:rsidRPr="00476931">
        <w:rPr>
          <w:rFonts w:ascii="Times New Roman" w:hAnsi="Times New Roman" w:cs="Times New Roman"/>
          <w:color w:val="000000" w:themeColor="text1"/>
        </w:rPr>
        <w:t>.  The operational goal of metaproteomics is to characterize the complete suite of proteins being expressed in a microbial community at any given point in time. In the first demonstration of metaproteomics utilizing 2D-PAGE gel electrophoresis paired with MS to examine protein expression from an activated sludge bacterial consortium, the initial goal of the study was to determine how many spots were observed on the gel compared to how many proteins could be identified.  In this study, three proteins could be identified from a gel with over 700 spots, suggesting that the field had a long way to go to characterizing community function and that additional technological advancements</w:t>
      </w:r>
      <w:r w:rsidR="0020571D">
        <w:rPr>
          <w:rFonts w:ascii="Times New Roman" w:hAnsi="Times New Roman" w:cs="Times New Roman"/>
          <w:color w:val="000000" w:themeColor="text1"/>
        </w:rPr>
        <w:t xml:space="preserve">, </w:t>
      </w:r>
      <w:r w:rsidR="0023547E">
        <w:rPr>
          <w:rFonts w:ascii="Times New Roman" w:hAnsi="Times New Roman" w:cs="Times New Roman"/>
          <w:color w:val="000000" w:themeColor="text1"/>
        </w:rPr>
        <w:t xml:space="preserve">both in metaproteomics and metagenomics, </w:t>
      </w:r>
      <w:r w:rsidR="0023547E">
        <w:t>including better metagenome assemblies for identifying the proteins</w:t>
      </w:r>
      <w:r w:rsidR="0020571D" w:rsidRPr="0020571D">
        <w:rPr>
          <w:rFonts w:ascii="Times New Roman" w:hAnsi="Times New Roman" w:cs="Times New Roman"/>
          <w:color w:val="000000" w:themeColor="text1"/>
        </w:rPr>
        <w:t xml:space="preserve"> </w:t>
      </w:r>
      <w:r w:rsidR="0020571D" w:rsidRPr="00476931">
        <w:rPr>
          <w:rFonts w:ascii="Times New Roman" w:hAnsi="Times New Roman" w:cs="Times New Roman"/>
          <w:color w:val="000000" w:themeColor="text1"/>
        </w:rPr>
        <w:t>were necessary</w:t>
      </w:r>
      <w:r w:rsidR="0023547E">
        <w:rPr>
          <w:rFonts w:ascii="Times New Roman" w:hAnsi="Times New Roman" w:cs="Times New Roman"/>
          <w:color w:val="000000"/>
          <w:vertAlign w:val="superscript"/>
        </w:rPr>
        <w:t xml:space="preserve"> </w:t>
      </w:r>
      <w:sdt>
        <w:sdtPr>
          <w:rPr>
            <w:rFonts w:ascii="Times New Roman" w:hAnsi="Times New Roman" w:cs="Times New Roman"/>
            <w:color w:val="000000"/>
            <w:vertAlign w:val="superscript"/>
          </w:rPr>
          <w:tag w:val="MENDELEY_CITATION_v3_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"/>
          <w:id w:val="363954890"/>
          <w:placeholder>
            <w:docPart w:val="623FFB356E58BB4B95B8A562EE9DF1DE"/>
          </w:placeholder>
        </w:sdtPr>
        <w:sdtEndPr/>
        <w:sdtContent>
          <w:r w:rsidR="003204EA" w:rsidRPr="003204EA">
            <w:rPr>
              <w:rFonts w:eastAsia="Times New Roman"/>
              <w:color w:val="000000"/>
              <w:vertAlign w:val="superscript"/>
            </w:rPr>
            <w:t>21</w:t>
          </w:r>
        </w:sdtContent>
      </w:sdt>
      <w:r w:rsidRPr="00476931">
        <w:rPr>
          <w:rFonts w:ascii="Times New Roman" w:hAnsi="Times New Roman" w:cs="Times New Roman"/>
          <w:color w:val="000000" w:themeColor="text1"/>
        </w:rPr>
        <w:t>.  In 2005, Ram et al. employed the first demonstrated combined genomics and mass spectrometry-based proteomics approach using multidimensional liquid chromatography to study microorganisms present in an acid mine drainage (AMD) biofilm community and identified over 2000 proteins from the five most abundant members in the community</w:t>
      </w:r>
      <w:sdt>
        <w:sdtPr>
          <w:rPr>
            <w:rFonts w:ascii="Times New Roman" w:hAnsi="Times New Roman" w:cs="Times New Roman"/>
            <w:color w:val="000000"/>
            <w:vertAlign w:val="superscript"/>
          </w:rPr>
          <w:tag w:val="MENDELEY_CITATION_v3_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"/>
          <w:id w:val="985898844"/>
          <w:placeholder>
            <w:docPart w:val="623FFB356E58BB4B95B8A562EE9DF1DE"/>
          </w:placeholder>
        </w:sdtPr>
        <w:sdtEndPr/>
        <w:sdtContent>
          <w:r w:rsidR="003204EA" w:rsidRPr="003204EA">
            <w:rPr>
              <w:rFonts w:eastAsia="Times New Roman"/>
              <w:color w:val="000000"/>
              <w:vertAlign w:val="superscript"/>
            </w:rPr>
            <w:t>22</w:t>
          </w:r>
        </w:sdtContent>
      </w:sdt>
      <w:r w:rsidRPr="00476931">
        <w:rPr>
          <w:rFonts w:ascii="Times New Roman" w:hAnsi="Times New Roman" w:cs="Times New Roman"/>
          <w:color w:val="000000" w:themeColor="text1"/>
        </w:rPr>
        <w:t>.  The application of mass spectrometry opened the doors for the development of the field and since this study, the field has continued to grow</w:t>
      </w:r>
      <w:sdt>
        <w:sdtPr>
          <w:rPr>
            <w:rFonts w:ascii="Times New Roman" w:hAnsi="Times New Roman" w:cs="Times New Roman"/>
            <w:color w:val="000000"/>
            <w:vertAlign w:val="superscript"/>
          </w:rPr>
          <w:tag w:val="MENDELEY_CITATION_v3_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"/>
          <w:id w:val="1247915838"/>
          <w:placeholder>
            <w:docPart w:val="A1F7475729FAC543BB1848DACA12A8AC"/>
          </w:placeholder>
        </w:sdtPr>
        <w:sdtEndPr/>
        <w:sdtContent>
          <w:r w:rsidR="003204EA" w:rsidRPr="003204EA">
            <w:rPr>
              <w:rFonts w:eastAsia="Times New Roman"/>
              <w:color w:val="000000"/>
              <w:vertAlign w:val="superscript"/>
            </w:rPr>
            <w:t>23</w:t>
          </w:r>
        </w:sdtContent>
      </w:sdt>
      <w:r w:rsidRPr="00476931">
        <w:rPr>
          <w:rFonts w:ascii="Times New Roman" w:hAnsi="Times New Roman" w:cs="Times New Roman"/>
          <w:color w:val="000000" w:themeColor="text1"/>
        </w:rPr>
        <w:t>.  As MS instrumentation ha</w:t>
      </w:r>
      <w:r w:rsidR="00AF7BAC">
        <w:rPr>
          <w:rFonts w:ascii="Times New Roman" w:hAnsi="Times New Roman" w:cs="Times New Roman"/>
          <w:color w:val="000000" w:themeColor="text1"/>
        </w:rPr>
        <w:t>ve</w:t>
      </w:r>
      <w:r w:rsidRPr="00476931">
        <w:rPr>
          <w:rFonts w:ascii="Times New Roman" w:hAnsi="Times New Roman" w:cs="Times New Roman"/>
          <w:color w:val="000000" w:themeColor="text1"/>
        </w:rPr>
        <w:t xml:space="preserve"> advanced, the dynamic range of instruments is from 5,000-10,000 and mass accuracies are in the parts-per-per-million range.  The </w:t>
      </w:r>
      <w:r w:rsidRPr="00476931">
        <w:rPr>
          <w:rFonts w:ascii="Times New Roman" w:hAnsi="Times New Roman" w:cs="Times New Roman"/>
          <w:color w:val="000000" w:themeColor="text1"/>
        </w:rPr>
        <w:lastRenderedPageBreak/>
        <w:t>measurement depth and accuracy provided by instrumentation developments mean metaproteomics measurements can now confidently identify more than 50,000 non-redundant proteins from complex microbiome samples across a single experimental campaign</w:t>
      </w:r>
      <w:sdt>
        <w:sdtPr>
          <w:rPr>
            <w:rFonts w:ascii="Times New Roman" w:hAnsi="Times New Roman" w:cs="Times New Roman"/>
            <w:color w:val="000000"/>
            <w:vertAlign w:val="superscript"/>
          </w:rPr>
          <w:tag w:val="MENDELEY_CITATION_v3_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"/>
          <w:id w:val="10803788"/>
          <w:placeholder>
            <w:docPart w:val="A1F7475729FAC543BB1848DACA12A8AC"/>
          </w:placeholder>
        </w:sdtPr>
        <w:sdtEndPr/>
        <w:sdtContent>
          <w:r w:rsidR="003204EA" w:rsidRPr="003204EA">
            <w:rPr>
              <w:rFonts w:eastAsia="Times New Roman"/>
              <w:color w:val="000000"/>
              <w:vertAlign w:val="superscript"/>
            </w:rPr>
            <w:t>24</w:t>
          </w:r>
        </w:sdtContent>
      </w:sdt>
      <w:r w:rsidRPr="00476931">
        <w:rPr>
          <w:rFonts w:ascii="Times New Roman" w:hAnsi="Times New Roman" w:cs="Times New Roman"/>
          <w:color w:val="000000" w:themeColor="text1"/>
        </w:rPr>
        <w:t>.</w:t>
      </w:r>
    </w:p>
    <w:p w14:paraId="47A6BD6B" w14:textId="14003112" w:rsidR="002C2816" w:rsidRPr="00476931" w:rsidRDefault="002C2816" w:rsidP="002C2816">
      <w:pPr>
        <w:rPr>
          <w:rFonts w:ascii="Times New Roman" w:hAnsi="Times New Roman" w:cs="Times New Roman"/>
          <w:color w:val="000000" w:themeColor="text1"/>
        </w:rPr>
      </w:pPr>
      <w:r w:rsidRPr="00476931">
        <w:rPr>
          <w:rFonts w:ascii="Times New Roman" w:eastAsia="Times New Roman" w:hAnsi="Times New Roman" w:cs="Times New Roman"/>
          <w:color w:val="000000" w:themeColor="text1"/>
        </w:rPr>
        <w:t xml:space="preserve">In recent years, metaproteomics has been a critical component of microbiome research to advance the field beyond the analysis of the composition and functional potential of the community provided by DNA sequencing methods to better </w:t>
      </w:r>
      <w:r w:rsidRPr="00476931">
        <w:rPr>
          <w:rFonts w:ascii="Times New Roman" w:hAnsi="Times New Roman" w:cs="Times New Roman"/>
          <w:color w:val="000000" w:themeColor="text1"/>
        </w:rPr>
        <w:t>connect the community structure of the gut microbiome to its functional output</w:t>
      </w:r>
      <w:sdt>
        <w:sdtPr>
          <w:rPr>
            <w:rFonts w:ascii="Times New Roman" w:hAnsi="Times New Roman" w:cs="Times New Roman"/>
            <w:color w:val="000000"/>
            <w:vertAlign w:val="superscript"/>
          </w:rPr>
          <w:tag w:val="MENDELEY_CITATION_v3_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"/>
          <w:id w:val="1723949644"/>
          <w:placeholder>
            <w:docPart w:val="27BB9AAC8C49C847BB1FDE3AE608E887"/>
          </w:placeholder>
        </w:sdtPr>
        <w:sdtEndPr/>
        <w:sdtContent>
          <w:r w:rsidR="003204EA" w:rsidRPr="003204EA">
            <w:rPr>
              <w:rFonts w:eastAsia="Times New Roman"/>
              <w:color w:val="000000"/>
              <w:vertAlign w:val="superscript"/>
            </w:rPr>
            <w:t>25</w:t>
          </w:r>
        </w:sdtContent>
      </w:sdt>
      <w:r w:rsidRPr="00476931">
        <w:rPr>
          <w:rFonts w:ascii="Times New Roman" w:eastAsia="Times New Roman" w:hAnsi="Times New Roman" w:cs="Times New Roman"/>
          <w:color w:val="000000" w:themeColor="text1"/>
        </w:rPr>
        <w:t xml:space="preserve">.  </w:t>
      </w:r>
      <w:r w:rsidRPr="00476931">
        <w:rPr>
          <w:rFonts w:ascii="Times New Roman" w:hAnsi="Times New Roman" w:cs="Times New Roman"/>
          <w:color w:val="000000" w:themeColor="text1"/>
        </w:rPr>
        <w:t>Currently, metaproteomics studies have been conducted across a wide array of environments including human microbiomes</w:t>
      </w:r>
      <w:sdt>
        <w:sdtPr>
          <w:rPr>
            <w:rFonts w:ascii="Times New Roman" w:hAnsi="Times New Roman" w:cs="Times New Roman"/>
            <w:color w:val="000000"/>
            <w:vertAlign w:val="superscript"/>
          </w:rPr>
          <w:tag w:val="MENDELEY_CITATION_v3_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"/>
          <w:id w:val="1992757025"/>
          <w:placeholder>
            <w:docPart w:val="A1F7475729FAC543BB1848DACA12A8AC"/>
          </w:placeholder>
        </w:sdtPr>
        <w:sdtEndPr/>
        <w:sdtContent>
          <w:r w:rsidR="003204EA" w:rsidRPr="003204EA">
            <w:rPr>
              <w:rFonts w:eastAsia="Times New Roman"/>
              <w:color w:val="000000"/>
              <w:vertAlign w:val="superscript"/>
            </w:rPr>
            <w:t>26</w:t>
          </w:r>
        </w:sdtContent>
      </w:sdt>
      <w:r w:rsidRPr="00476931">
        <w:rPr>
          <w:rFonts w:ascii="Times New Roman" w:hAnsi="Times New Roman" w:cs="Times New Roman"/>
          <w:color w:val="000000" w:themeColor="text1"/>
        </w:rPr>
        <w:t>, marine environments</w:t>
      </w:r>
      <w:sdt>
        <w:sdtPr>
          <w:rPr>
            <w:rFonts w:ascii="Times New Roman" w:hAnsi="Times New Roman" w:cs="Times New Roman"/>
            <w:color w:val="000000"/>
            <w:vertAlign w:val="superscript"/>
          </w:rPr>
          <w:tag w:val="MENDELEY_CITATION_v3_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"/>
          <w:id w:val="-526096552"/>
          <w:placeholder>
            <w:docPart w:val="A1F7475729FAC543BB1848DACA12A8AC"/>
          </w:placeholder>
        </w:sdtPr>
        <w:sdtEndPr/>
        <w:sdtContent>
          <w:r w:rsidR="003204EA" w:rsidRPr="003204EA">
            <w:rPr>
              <w:rFonts w:eastAsia="Times New Roman"/>
              <w:color w:val="000000"/>
              <w:vertAlign w:val="superscript"/>
            </w:rPr>
            <w:t>27</w:t>
          </w:r>
        </w:sdtContent>
      </w:sdt>
      <w:r w:rsidRPr="00476931">
        <w:rPr>
          <w:rFonts w:ascii="Times New Roman" w:hAnsi="Times New Roman" w:cs="Times New Roman"/>
          <w:color w:val="000000" w:themeColor="text1"/>
        </w:rPr>
        <w:t>, soils</w:t>
      </w:r>
      <w:sdt>
        <w:sdtPr>
          <w:rPr>
            <w:rFonts w:ascii="Times New Roman" w:hAnsi="Times New Roman" w:cs="Times New Roman"/>
            <w:color w:val="000000"/>
            <w:vertAlign w:val="superscript"/>
          </w:rPr>
          <w:tag w:val="MENDELEY_CITATION_v3_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"/>
          <w:id w:val="985048787"/>
          <w:placeholder>
            <w:docPart w:val="A1F7475729FAC543BB1848DACA12A8AC"/>
          </w:placeholder>
        </w:sdtPr>
        <w:sdtEndPr/>
        <w:sdtContent>
          <w:r w:rsidR="003204EA" w:rsidRPr="003204EA">
            <w:rPr>
              <w:rFonts w:eastAsia="Times New Roman"/>
              <w:color w:val="000000"/>
              <w:vertAlign w:val="superscript"/>
            </w:rPr>
            <w:t>28</w:t>
          </w:r>
        </w:sdtContent>
      </w:sdt>
      <w:r w:rsidRPr="00476931">
        <w:rPr>
          <w:rFonts w:ascii="Times New Roman" w:hAnsi="Times New Roman" w:cs="Times New Roman"/>
          <w:color w:val="000000" w:themeColor="text1"/>
        </w:rPr>
        <w:t>, sediments</w:t>
      </w:r>
      <w:sdt>
        <w:sdtPr>
          <w:rPr>
            <w:rFonts w:ascii="Times New Roman" w:hAnsi="Times New Roman" w:cs="Times New Roman"/>
            <w:color w:val="000000"/>
            <w:vertAlign w:val="superscript"/>
          </w:rPr>
          <w:tag w:val="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"/>
          <w:id w:val="-1268768339"/>
          <w:placeholder>
            <w:docPart w:val="A1F7475729FAC543BB1848DACA12A8AC"/>
          </w:placeholder>
        </w:sdtPr>
        <w:sdtEndPr/>
        <w:sdtContent>
          <w:r w:rsidR="003204EA" w:rsidRPr="003204EA">
            <w:rPr>
              <w:rFonts w:eastAsia="Times New Roman"/>
              <w:color w:val="000000"/>
              <w:vertAlign w:val="superscript"/>
            </w:rPr>
            <w:t>29,30</w:t>
          </w:r>
        </w:sdtContent>
      </w:sdt>
      <w:r w:rsidRPr="00476931">
        <w:rPr>
          <w:rFonts w:ascii="Times New Roman" w:hAnsi="Times New Roman" w:cs="Times New Roman"/>
          <w:color w:val="000000" w:themeColor="text1"/>
        </w:rPr>
        <w:t>, industrial wastewater treatment facilities</w:t>
      </w:r>
      <w:sdt>
        <w:sdtPr>
          <w:rPr>
            <w:rFonts w:ascii="Times New Roman" w:hAnsi="Times New Roman" w:cs="Times New Roman"/>
            <w:color w:val="000000"/>
            <w:vertAlign w:val="superscript"/>
          </w:rPr>
          <w:tag w:val="MENDELEY_CITATION_v3_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"/>
          <w:id w:val="-1523623649"/>
          <w:placeholder>
            <w:docPart w:val="A1F7475729FAC543BB1848DACA12A8AC"/>
          </w:placeholder>
        </w:sdtPr>
        <w:sdtEndPr/>
        <w:sdtContent>
          <w:r w:rsidR="003204EA" w:rsidRPr="003204EA">
            <w:rPr>
              <w:rFonts w:eastAsia="Times New Roman"/>
              <w:color w:val="000000"/>
              <w:vertAlign w:val="superscript"/>
            </w:rPr>
            <w:t>31</w:t>
          </w:r>
        </w:sdtContent>
      </w:sdt>
      <w:r w:rsidRPr="00476931">
        <w:rPr>
          <w:rFonts w:ascii="Times New Roman" w:hAnsi="Times New Roman" w:cs="Times New Roman"/>
          <w:color w:val="000000" w:themeColor="text1"/>
        </w:rPr>
        <w:t>, biogas reactors, and plant-associated microbiomes</w:t>
      </w:r>
      <w:sdt>
        <w:sdtPr>
          <w:rPr>
            <w:rFonts w:ascii="Times New Roman" w:hAnsi="Times New Roman" w:cs="Times New Roman"/>
            <w:color w:val="000000"/>
            <w:vertAlign w:val="superscript"/>
          </w:rPr>
          <w:tag w:val="MENDELEY_CITATION_v3_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"/>
          <w:id w:val="1737352518"/>
          <w:placeholder>
            <w:docPart w:val="A1F7475729FAC543BB1848DACA12A8AC"/>
          </w:placeholder>
        </w:sdtPr>
        <w:sdtEndPr/>
        <w:sdtContent>
          <w:r w:rsidR="003204EA" w:rsidRPr="003204EA">
            <w:rPr>
              <w:rFonts w:eastAsia="Times New Roman"/>
              <w:color w:val="000000"/>
              <w:vertAlign w:val="superscript"/>
            </w:rPr>
            <w:t>32</w:t>
          </w:r>
        </w:sdtContent>
      </w:sdt>
      <w:r w:rsidRPr="00476931">
        <w:rPr>
          <w:rFonts w:ascii="Times New Roman" w:hAnsi="Times New Roman" w:cs="Times New Roman"/>
          <w:color w:val="000000" w:themeColor="text1"/>
        </w:rPr>
        <w:t>.  Several studies have integrated metaproteomics into multi-omics integrated analyses to provide key information about community function and dynamics that would not be elucidated with a single omics approach, such as the identification of keystone genes in a community</w:t>
      </w:r>
      <w:sdt>
        <w:sdtPr>
          <w:rPr>
            <w:rFonts w:ascii="Times New Roman" w:hAnsi="Times New Roman" w:cs="Times New Roman"/>
            <w:color w:val="000000"/>
            <w:vertAlign w:val="superscript"/>
          </w:rPr>
          <w:tag w:val="MENDELEY_CITATION_v3_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"/>
          <w:id w:val="1091891295"/>
          <w:placeholder>
            <w:docPart w:val="623FFB356E58BB4B95B8A562EE9DF1DE"/>
          </w:placeholder>
        </w:sdtPr>
        <w:sdtEndPr/>
        <w:sdtContent>
          <w:r w:rsidR="003204EA" w:rsidRPr="003204EA">
            <w:rPr>
              <w:rFonts w:eastAsia="Times New Roman"/>
              <w:color w:val="000000"/>
              <w:vertAlign w:val="superscript"/>
            </w:rPr>
            <w:t>33</w:t>
          </w:r>
        </w:sdtContent>
      </w:sdt>
      <w:r w:rsidRPr="00476931">
        <w:rPr>
          <w:rFonts w:ascii="Times New Roman" w:hAnsi="Times New Roman" w:cs="Times New Roman"/>
          <w:color w:val="000000" w:themeColor="text1"/>
        </w:rPr>
        <w:t>, examination of the niche breadth of members in a mixed microbial community based on fluctuating environmental conditions</w:t>
      </w:r>
      <w:sdt>
        <w:sdtPr>
          <w:rPr>
            <w:rFonts w:ascii="Times New Roman" w:hAnsi="Times New Roman" w:cs="Times New Roman"/>
            <w:color w:val="000000"/>
            <w:vertAlign w:val="superscript"/>
          </w:rPr>
          <w:tag w:val="MENDELEY_CITATION_v3_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"/>
          <w:id w:val="-2113891496"/>
          <w:placeholder>
            <w:docPart w:val="623FFB356E58BB4B95B8A562EE9DF1DE"/>
          </w:placeholder>
        </w:sdtPr>
        <w:sdtEndPr/>
        <w:sdtContent>
          <w:r w:rsidR="003204EA" w:rsidRPr="003204EA">
            <w:rPr>
              <w:rFonts w:eastAsia="Times New Roman"/>
              <w:color w:val="000000"/>
              <w:vertAlign w:val="superscript"/>
            </w:rPr>
            <w:t>34</w:t>
          </w:r>
        </w:sdtContent>
      </w:sdt>
      <w:r w:rsidRPr="00476931">
        <w:rPr>
          <w:rFonts w:ascii="Times New Roman" w:hAnsi="Times New Roman" w:cs="Times New Roman"/>
          <w:color w:val="000000" w:themeColor="text1"/>
        </w:rPr>
        <w:t>,  and defining interactions between bacteriophages, plasmids, and CRISPR-immunity</w:t>
      </w:r>
      <w:sdt>
        <w:sdtPr>
          <w:rPr>
            <w:rFonts w:ascii="Times New Roman" w:hAnsi="Times New Roman" w:cs="Times New Roman"/>
            <w:color w:val="000000"/>
            <w:vertAlign w:val="superscript"/>
          </w:rPr>
          <w:tag w:val="MENDELEY_CITATION_v3_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"/>
          <w:id w:val="1342126190"/>
          <w:placeholder>
            <w:docPart w:val="A1F7475729FAC543BB1848DACA12A8AC"/>
          </w:placeholder>
        </w:sdtPr>
        <w:sdtEndPr/>
        <w:sdtContent>
          <w:r w:rsidR="003204EA" w:rsidRPr="003204EA">
            <w:rPr>
              <w:rFonts w:eastAsia="Times New Roman"/>
              <w:color w:val="000000"/>
              <w:vertAlign w:val="superscript"/>
            </w:rPr>
            <w:t>35</w:t>
          </w:r>
        </w:sdtContent>
      </w:sdt>
      <w:r w:rsidRPr="00476931">
        <w:rPr>
          <w:rFonts w:ascii="Times New Roman" w:hAnsi="Times New Roman" w:cs="Times New Roman"/>
          <w:color w:val="000000" w:themeColor="text1"/>
        </w:rPr>
        <w:t>.</w:t>
      </w:r>
    </w:p>
    <w:p w14:paraId="75BA43FF" w14:textId="77777777" w:rsidR="002C2816" w:rsidRPr="00476931" w:rsidRDefault="002C2816" w:rsidP="002C2816">
      <w:pPr>
        <w:rPr>
          <w:rFonts w:ascii="Times New Roman" w:eastAsia="Times New Roman" w:hAnsi="Times New Roman" w:cs="Times New Roman"/>
          <w:color w:val="000000" w:themeColor="text1"/>
        </w:rPr>
      </w:pPr>
    </w:p>
    <w:p w14:paraId="62BD911A" w14:textId="618D6EAD" w:rsidR="002C2816" w:rsidRPr="00476931" w:rsidRDefault="002C2816" w:rsidP="00921492">
      <w:pPr>
        <w:pStyle w:val="Heading3"/>
      </w:pPr>
      <w:bookmarkStart w:id="19" w:name="_Toc110250216"/>
      <w:bookmarkStart w:id="20" w:name="_Toc110250473"/>
      <w:bookmarkStart w:id="21" w:name="_Toc110250604"/>
      <w:r w:rsidRPr="00476931">
        <w:t xml:space="preserve">1.3.1 </w:t>
      </w:r>
      <w:r w:rsidR="00002888">
        <w:t xml:space="preserve"> </w:t>
      </w:r>
      <w:r w:rsidRPr="00476931">
        <w:t>Bottom-up vs. middle-down vs. top-down proteomics</w:t>
      </w:r>
      <w:r w:rsidR="0067780D">
        <w:t>.</w:t>
      </w:r>
      <w:bookmarkEnd w:id="19"/>
      <w:bookmarkEnd w:id="20"/>
      <w:bookmarkEnd w:id="21"/>
    </w:p>
    <w:p w14:paraId="5FF64481" w14:textId="77777777" w:rsidR="002C2816" w:rsidRPr="00476931" w:rsidRDefault="002C2816" w:rsidP="002C2816">
      <w:pPr>
        <w:pStyle w:val="BodyText"/>
        <w:spacing w:line="360" w:lineRule="auto"/>
        <w:ind w:left="0" w:right="282"/>
        <w:rPr>
          <w:rFonts w:ascii="Times New Roman" w:hAnsi="Times New Roman" w:cs="Times New Roman"/>
          <w:szCs w:val="24"/>
        </w:rPr>
      </w:pPr>
    </w:p>
    <w:p w14:paraId="1D748D7B" w14:textId="24F32A66" w:rsidR="002C2816" w:rsidRPr="00476931" w:rsidRDefault="002C2816" w:rsidP="002C2816">
      <w:pPr>
        <w:pStyle w:val="BodyText"/>
        <w:spacing w:line="360" w:lineRule="auto"/>
        <w:ind w:left="0" w:right="282" w:firstLine="720"/>
        <w:rPr>
          <w:rFonts w:ascii="Times New Roman" w:hAnsi="Times New Roman" w:cs="Times New Roman"/>
          <w:szCs w:val="24"/>
        </w:rPr>
      </w:pPr>
      <w:r w:rsidRPr="00476931">
        <w:rPr>
          <w:rFonts w:ascii="Times New Roman" w:hAnsi="Times New Roman" w:cs="Times New Roman"/>
          <w:szCs w:val="24"/>
        </w:rPr>
        <w:t>Measurement approaches in MS-based (meta)proteomics research can be conducted and classified as either “bottom-up”, “middle-down”, or “top-down” (</w:t>
      </w:r>
      <w:r w:rsidRPr="00476931">
        <w:rPr>
          <w:rFonts w:ascii="Times New Roman" w:hAnsi="Times New Roman" w:cs="Times New Roman"/>
          <w:b/>
          <w:bCs/>
          <w:szCs w:val="24"/>
        </w:rPr>
        <w:t>Figure 1</w:t>
      </w:r>
      <w:r w:rsidR="005D27CC">
        <w:rPr>
          <w:rFonts w:ascii="Times New Roman" w:hAnsi="Times New Roman" w:cs="Times New Roman"/>
          <w:b/>
          <w:bCs/>
          <w:szCs w:val="24"/>
        </w:rPr>
        <w:t>-</w:t>
      </w:r>
      <w:r w:rsidRPr="00476931">
        <w:rPr>
          <w:rFonts w:ascii="Times New Roman" w:hAnsi="Times New Roman" w:cs="Times New Roman"/>
          <w:b/>
          <w:bCs/>
          <w:szCs w:val="24"/>
        </w:rPr>
        <w:t>2</w:t>
      </w:r>
      <w:r w:rsidRPr="00476931">
        <w:rPr>
          <w:rFonts w:ascii="Times New Roman" w:hAnsi="Times New Roman" w:cs="Times New Roman"/>
          <w:szCs w:val="24"/>
        </w:rPr>
        <w:t>). Bottom-up proteomics is the typical method of choice for large-scale investigations of proteins present in a complex biological sample since the robustness and throughput of this method allow for the identification and quantification of thousands of proteins in a single proteomics experiment</w:t>
      </w:r>
      <w:sdt>
        <w:sdtPr>
          <w:rPr>
            <w:rFonts w:ascii="Times New Roman" w:hAnsi="Times New Roman" w:cs="Times New Roman"/>
            <w:color w:val="000000"/>
            <w:szCs w:val="24"/>
            <w:vertAlign w:val="superscript"/>
          </w:rPr>
          <w:tag w:val="MENDELEY_CITATION_v3_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"/>
          <w:id w:val="452981403"/>
          <w:placeholder>
            <w:docPart w:val="A1F7475729FAC543BB1848DACA12A8AC"/>
          </w:placeholder>
        </w:sdtPr>
        <w:sdtEndPr/>
        <w:sdtContent>
          <w:r w:rsidR="003204EA" w:rsidRPr="003204EA">
            <w:rPr>
              <w:rFonts w:eastAsia="Times New Roman"/>
              <w:color w:val="000000"/>
              <w:vertAlign w:val="superscript"/>
            </w:rPr>
            <w:t>36</w:t>
          </w:r>
        </w:sdtContent>
      </w:sdt>
      <w:r w:rsidRPr="00476931">
        <w:rPr>
          <w:rFonts w:ascii="Times New Roman" w:hAnsi="Times New Roman" w:cs="Times New Roman"/>
          <w:szCs w:val="24"/>
        </w:rPr>
        <w:t xml:space="preserve">.  The bottom-up proteomics approach entails proteolytic digestion of proteins into short peptides, typically with sizes of 6-30 amino acids, that can be separated by liquid chromatography (LC) prior to tandem mass spectrometry (MS/MS). While this approach is </w:t>
      </w:r>
      <w:proofErr w:type="gramStart"/>
      <w:r w:rsidRPr="00476931">
        <w:rPr>
          <w:rFonts w:ascii="Times New Roman" w:hAnsi="Times New Roman" w:cs="Times New Roman"/>
          <w:szCs w:val="24"/>
        </w:rPr>
        <w:t>fairly robust</w:t>
      </w:r>
      <w:proofErr w:type="gramEnd"/>
      <w:r w:rsidRPr="00476931">
        <w:rPr>
          <w:rFonts w:ascii="Times New Roman" w:hAnsi="Times New Roman" w:cs="Times New Roman"/>
          <w:szCs w:val="24"/>
        </w:rPr>
        <w:t xml:space="preserve">, it does not </w:t>
      </w:r>
    </w:p>
    <w:p w14:paraId="23D37DCB" w14:textId="77777777" w:rsidR="00002888" w:rsidRDefault="00206E44" w:rsidP="00002888">
      <w:pPr>
        <w:pStyle w:val="BodyText"/>
        <w:keepNext/>
        <w:spacing w:line="360" w:lineRule="auto"/>
        <w:ind w:right="282"/>
      </w:pPr>
      <w:r>
        <w:rPr>
          <w:rFonts w:ascii="Times New Roman" w:hAnsi="Times New Roman" w:cs="Times New Roman"/>
          <w:szCs w:val="24"/>
        </w:rPr>
        <w:br w:type="page"/>
      </w:r>
      <w:r w:rsidRPr="00476931">
        <w:rPr>
          <w:rFonts w:ascii="Times New Roman" w:hAnsi="Times New Roman" w:cs="Times New Roman"/>
          <w:noProof/>
          <w:szCs w:val="24"/>
        </w:rPr>
        <w:lastRenderedPageBreak/>
        <w:drawing>
          <wp:inline distT="0" distB="0" distL="0" distR="0" wp14:anchorId="6D75CBCF" wp14:editId="5B18C034">
            <wp:extent cx="4864735" cy="5834380"/>
            <wp:effectExtent l="0" t="0" r="0" b="0"/>
            <wp:docPr id="63" name="Picture 6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Diagram&#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64735" cy="5834380"/>
                    </a:xfrm>
                    <a:prstGeom prst="rect">
                      <a:avLst/>
                    </a:prstGeom>
                    <a:noFill/>
                  </pic:spPr>
                </pic:pic>
              </a:graphicData>
            </a:graphic>
          </wp:inline>
        </w:drawing>
      </w:r>
    </w:p>
    <w:p w14:paraId="18C857B0" w14:textId="3CF5148D" w:rsidR="00002888" w:rsidRPr="00235112" w:rsidRDefault="00002888" w:rsidP="00002888">
      <w:pPr>
        <w:pStyle w:val="Caption"/>
        <w:rPr>
          <w:b w:val="0"/>
          <w:bCs/>
        </w:rPr>
      </w:pPr>
      <w:bookmarkStart w:id="22" w:name="_Toc110246917"/>
      <w:r>
        <w:t xml:space="preserve">Figure </w:t>
      </w:r>
      <w:fldSimple w:instr=" STYLEREF 1 \s ">
        <w:r w:rsidR="00AC2094">
          <w:rPr>
            <w:noProof/>
          </w:rPr>
          <w:t>1</w:t>
        </w:r>
      </w:fldSimple>
      <w:r w:rsidR="00AC2094">
        <w:noBreakHyphen/>
      </w:r>
      <w:fldSimple w:instr=" SEQ Figure \* ARABIC \s 1 ">
        <w:r w:rsidR="00AC2094">
          <w:rPr>
            <w:noProof/>
          </w:rPr>
          <w:t>2</w:t>
        </w:r>
      </w:fldSimple>
      <w:r>
        <w:t xml:space="preserve">  </w:t>
      </w:r>
      <w:bookmarkStart w:id="23" w:name="_Toc107585808"/>
      <w:bookmarkStart w:id="24" w:name="_Toc107586767"/>
      <w:bookmarkStart w:id="25" w:name="_Toc107586815"/>
      <w:bookmarkStart w:id="26" w:name="_Toc107586911"/>
      <w:bookmarkStart w:id="27" w:name="_Toc107587351"/>
      <w:bookmarkStart w:id="28" w:name="_Toc107587924"/>
      <w:r w:rsidRPr="00002888">
        <w:t>Bottom-up vs. middle-down vs. top-down proteomic strategies.</w:t>
      </w:r>
      <w:bookmarkEnd w:id="22"/>
      <w:bookmarkEnd w:id="23"/>
      <w:bookmarkEnd w:id="24"/>
      <w:bookmarkEnd w:id="25"/>
      <w:bookmarkEnd w:id="26"/>
      <w:bookmarkEnd w:id="27"/>
      <w:bookmarkEnd w:id="28"/>
      <w:r w:rsidRPr="00002888">
        <w:t xml:space="preserve">  </w:t>
      </w:r>
      <w:r w:rsidRPr="00235112">
        <w:rPr>
          <w:b w:val="0"/>
          <w:bCs/>
        </w:rPr>
        <w:fldChar w:fldCharType="begin"/>
      </w:r>
      <w:r w:rsidRPr="00235112">
        <w:rPr>
          <w:b w:val="0"/>
          <w:bCs/>
        </w:rPr>
        <w:instrText xml:space="preserve"> </w:instrText>
      </w:r>
    </w:p>
    <w:p w14:paraId="58D8AB6A" w14:textId="77777777" w:rsidR="00002888" w:rsidRPr="00235112" w:rsidRDefault="00002888" w:rsidP="00002888">
      <w:pPr>
        <w:pStyle w:val="Caption"/>
        <w:ind w:left="504" w:hanging="360"/>
        <w:rPr>
          <w:b w:val="0"/>
          <w:bCs/>
        </w:rPr>
      </w:pPr>
    </w:p>
    <w:p w14:paraId="0B34EF5B" w14:textId="77777777" w:rsidR="00002888" w:rsidRPr="00235112" w:rsidRDefault="00002888" w:rsidP="00002888">
      <w:pPr>
        <w:pStyle w:val="Caption"/>
        <w:ind w:left="504" w:hanging="360"/>
        <w:rPr>
          <w:b w:val="0"/>
          <w:bCs/>
        </w:rPr>
      </w:pPr>
      <w:r w:rsidRPr="00235112">
        <w:rPr>
          <w:b w:val="0"/>
          <w:bCs/>
        </w:rPr>
        <w:instrText xml:space="preserve"> </w:instrText>
      </w:r>
      <w:r w:rsidRPr="00235112">
        <w:rPr>
          <w:b w:val="0"/>
          <w:bCs/>
        </w:rPr>
        <w:fldChar w:fldCharType="end"/>
      </w:r>
      <w:r w:rsidRPr="00235112">
        <w:rPr>
          <w:b w:val="0"/>
          <w:bCs/>
        </w:rPr>
        <w:fldChar w:fldCharType="begin"/>
      </w:r>
      <w:r w:rsidRPr="00235112">
        <w:rPr>
          <w:b w:val="0"/>
          <w:bCs/>
        </w:rPr>
        <w:instrText xml:space="preserve"> </w:instrText>
      </w:r>
    </w:p>
    <w:p w14:paraId="08CF347A" w14:textId="77777777" w:rsidR="00002888" w:rsidRPr="00235112" w:rsidRDefault="00002888" w:rsidP="00002888">
      <w:pPr>
        <w:pStyle w:val="Caption"/>
        <w:ind w:left="504" w:hanging="360"/>
        <w:rPr>
          <w:b w:val="0"/>
          <w:bCs/>
        </w:rPr>
      </w:pPr>
    </w:p>
    <w:p w14:paraId="783E2C66" w14:textId="46F9471C" w:rsidR="009D7E69" w:rsidRPr="00235112" w:rsidRDefault="00002888" w:rsidP="00002888">
      <w:pPr>
        <w:pStyle w:val="Caption"/>
        <w:ind w:left="504" w:hanging="360"/>
        <w:rPr>
          <w:b w:val="0"/>
          <w:bCs/>
        </w:rPr>
      </w:pPr>
      <w:r w:rsidRPr="00235112">
        <w:rPr>
          <w:b w:val="0"/>
          <w:bCs/>
        </w:rPr>
        <w:instrText xml:space="preserve"> </w:instrText>
      </w:r>
      <w:r w:rsidRPr="00235112">
        <w:rPr>
          <w:b w:val="0"/>
          <w:bCs/>
        </w:rPr>
        <w:fldChar w:fldCharType="end"/>
      </w:r>
      <w:r w:rsidRPr="00235112">
        <w:rPr>
          <w:b w:val="0"/>
          <w:bCs/>
        </w:rPr>
        <w:t>The bottom-up and middle-down approaches measure proteolytic peptides digested from proteins that are separated or fractionated prior to MS analysis.  The middle-down approach generates longer peptides compared to the bottom-up approach due to restricted proteolysis by selective proteases.  Protein identification from both approaches is inferred based on peptide identifications.  The top-down approach measures intact proteins which are separated or fractionated before MS analysis.</w:t>
      </w:r>
    </w:p>
    <w:p w14:paraId="341BB429" w14:textId="5C900D2C" w:rsidR="00206E44" w:rsidRPr="00476931" w:rsidRDefault="00206E44" w:rsidP="009D7E69">
      <w:pPr>
        <w:ind w:left="878" w:firstLine="0"/>
        <w:rPr>
          <w:color w:val="000000" w:themeColor="text1"/>
        </w:rPr>
      </w:pPr>
      <w:r w:rsidRPr="00476931">
        <w:rPr>
          <w:color w:val="000000" w:themeColor="text1"/>
        </w:rPr>
        <w:br w:type="page"/>
      </w:r>
    </w:p>
    <w:p w14:paraId="521FFB58" w14:textId="7BAD0D0C" w:rsidR="00280F61" w:rsidRDefault="005D27CC" w:rsidP="00081E67">
      <w:pPr>
        <w:ind w:firstLine="0"/>
      </w:pPr>
      <w:r w:rsidRPr="00476931">
        <w:rPr>
          <w:rFonts w:ascii="Times New Roman" w:hAnsi="Times New Roman" w:cs="Times New Roman"/>
        </w:rPr>
        <w:lastRenderedPageBreak/>
        <w:t>provide a</w:t>
      </w:r>
      <w:r w:rsidRPr="00476931">
        <w:t xml:space="preserve"> </w:t>
      </w:r>
      <w:r w:rsidR="00280F61" w:rsidRPr="00476931">
        <w:t xml:space="preserve">comprehensive characterization of all peptides in a sample. The properties of enzymatically derived peptides, such as the size of the peptides and the location of specific residues in proteins, lead to </w:t>
      </w:r>
      <w:r w:rsidR="00280F61">
        <w:t xml:space="preserve">both the </w:t>
      </w:r>
      <w:r w:rsidR="00280F61" w:rsidRPr="00476931">
        <w:t xml:space="preserve">primary </w:t>
      </w:r>
      <w:r w:rsidR="00280F61">
        <w:t xml:space="preserve">benefits and </w:t>
      </w:r>
      <w:r w:rsidR="00280F61" w:rsidRPr="00476931">
        <w:t xml:space="preserve">shortcoming of this approach.  </w:t>
      </w:r>
      <w:r w:rsidR="00280F61">
        <w:t>For example, t</w:t>
      </w:r>
      <w:r w:rsidR="00280F61" w:rsidRPr="00476931">
        <w:t xml:space="preserve">rypsin, the most used proteolytic enzyme used for protein digestion, can generate </w:t>
      </w:r>
      <w:proofErr w:type="gramStart"/>
      <w:r w:rsidR="00280F61" w:rsidRPr="00476931">
        <w:t>a large number of</w:t>
      </w:r>
      <w:proofErr w:type="gramEnd"/>
      <w:r w:rsidR="00280F61" w:rsidRPr="00476931">
        <w:t xml:space="preserve"> very short peptides which can be ionized and fragmented easily</w:t>
      </w:r>
      <w:r w:rsidR="00280F61">
        <w:t xml:space="preserve"> which is good for LC-MS/MS measurements. However, very short peptide fragments</w:t>
      </w:r>
      <w:r w:rsidR="00280F61" w:rsidRPr="00476931">
        <w:t xml:space="preserve"> are hard to confidently identify and unambiguously assign to proteins</w:t>
      </w:r>
      <w:r w:rsidR="00280F61">
        <w:t>, making protein identification challenging</w:t>
      </w:r>
      <w:r w:rsidR="00280F61" w:rsidRPr="00476931">
        <w:t>.</w:t>
      </w:r>
    </w:p>
    <w:p w14:paraId="1B6464E7" w14:textId="7072F311" w:rsidR="002C2816" w:rsidRPr="00476931" w:rsidRDefault="005A66FB" w:rsidP="00081E67">
      <w:r w:rsidRPr="00476931">
        <w:t xml:space="preserve">The top-down MS approach is an alternative strategy for protein analysis since large, intact proteins can be analyzed without prior proteolysis.  The primary benefit of this approach is the ability to look at 100% sequence coverage for the characterization of all existing proteoforms of a gene that result in structural differences due to variations </w:t>
      </w:r>
      <w:r w:rsidR="00C53B27" w:rsidRPr="00476931">
        <w:t>in the gene sequence at the DNA level, alternative splicing events at the RNA level, and any possible post-translational modifications (PTMs) at the protein level</w:t>
      </w:r>
      <w:sdt>
        <w:sdtPr>
          <w:rPr>
            <w:color w:val="000000"/>
            <w:vertAlign w:val="superscript"/>
          </w:rPr>
          <w:tag w:val="MENDELEY_CITATION_v3_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"/>
          <w:id w:val="-402920522"/>
          <w:placeholder>
            <w:docPart w:val="57FCE5FE4B934B6FA713D9688367B977"/>
          </w:placeholder>
        </w:sdtPr>
        <w:sdtEndPr/>
        <w:sdtContent>
          <w:r w:rsidR="003204EA" w:rsidRPr="003204EA">
            <w:rPr>
              <w:rFonts w:eastAsia="Times New Roman"/>
              <w:color w:val="000000"/>
              <w:vertAlign w:val="superscript"/>
            </w:rPr>
            <w:t>36</w:t>
          </w:r>
        </w:sdtContent>
      </w:sdt>
      <w:r w:rsidR="00C53B27" w:rsidRPr="00476931">
        <w:t xml:space="preserve">. In addition, it is not subject to the same protein inference problem that hinders bottom-up proteomics approaches. However, while this approach seems the more straightforward compared to bottom-up proteomics, there are technical challenges associated with this approach for </w:t>
      </w:r>
      <w:r w:rsidR="002C2816" w:rsidRPr="00476931">
        <w:t>the</w:t>
      </w:r>
      <w:r w:rsidR="00B84A58">
        <w:t xml:space="preserve"> uniform</w:t>
      </w:r>
      <w:r w:rsidR="002C2816" w:rsidRPr="00476931">
        <w:t xml:space="preserve"> detection and identification of multiple proteins present in a biological sample.   These challenges include but are not limited to, the difficulty of separating intact proteins in a mixture by LC, the challenge of ionizing intact proteins, the high instrument resolution and sensitivity required, and the difficulty of confidently matching proteoforms to the observed MS/MS fragmentation information</w:t>
      </w:r>
      <w:sdt>
        <w:sdtPr>
          <w:rPr>
            <w:color w:val="000000"/>
            <w:vertAlign w:val="superscript"/>
          </w:rPr>
          <w:tag w:val="MENDELEY_CITATION_v3_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"/>
          <w:id w:val="-306018764"/>
          <w:placeholder>
            <w:docPart w:val="A1F7475729FAC543BB1848DACA12A8AC"/>
          </w:placeholder>
        </w:sdtPr>
        <w:sdtEndPr/>
        <w:sdtContent>
          <w:r w:rsidR="003204EA" w:rsidRPr="003204EA">
            <w:rPr>
              <w:rFonts w:eastAsia="Times New Roman"/>
              <w:color w:val="000000"/>
              <w:vertAlign w:val="superscript"/>
            </w:rPr>
            <w:t>37</w:t>
          </w:r>
        </w:sdtContent>
      </w:sdt>
      <w:r w:rsidR="002C2816" w:rsidRPr="00476931">
        <w:t>.</w:t>
      </w:r>
    </w:p>
    <w:p w14:paraId="757FB4C0" w14:textId="72287453" w:rsidR="002C2816" w:rsidRPr="00476931" w:rsidRDefault="002C2816" w:rsidP="00081E67">
      <w:r w:rsidRPr="00476931">
        <w:t xml:space="preserve">A third approach, known as middle-down proteomics, has emerged as an alternative to bottom-up and top-down strategies, as it benefits from some of the advantages of each approach while minimizing some of their shortcomings.  In contrast to bottom-up proteomics which is optimized for peptides sizes &lt;3 </w:t>
      </w:r>
      <w:proofErr w:type="spellStart"/>
      <w:r w:rsidRPr="00476931">
        <w:t>kDa</w:t>
      </w:r>
      <w:proofErr w:type="spellEnd"/>
      <w:r w:rsidRPr="00476931">
        <w:t xml:space="preserve">, or top-down proteomics which analyzes proteins or protein fragments 15-50 </w:t>
      </w:r>
      <w:proofErr w:type="spellStart"/>
      <w:r w:rsidRPr="00476931">
        <w:t>kDa</w:t>
      </w:r>
      <w:proofErr w:type="spellEnd"/>
      <w:r w:rsidRPr="00476931">
        <w:t xml:space="preserve"> in size, middle-down proteomics targets protein fragments up to 15 </w:t>
      </w:r>
      <w:proofErr w:type="spellStart"/>
      <w:r w:rsidRPr="00476931">
        <w:t>kDa</w:t>
      </w:r>
      <w:proofErr w:type="spellEnd"/>
      <w:r w:rsidRPr="00476931">
        <w:t xml:space="preserve"> in size</w:t>
      </w:r>
      <w:sdt>
        <w:sdtPr>
          <w:rPr>
            <w:color w:val="000000"/>
            <w:vertAlign w:val="superscript"/>
          </w:rPr>
          <w:tag w:val="MENDELEY_CITATION_v3_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"/>
          <w:id w:val="-192919405"/>
          <w:placeholder>
            <w:docPart w:val="A1F7475729FAC543BB1848DACA12A8AC"/>
          </w:placeholder>
        </w:sdtPr>
        <w:sdtEndPr/>
        <w:sdtContent>
          <w:r w:rsidR="003204EA" w:rsidRPr="003204EA">
            <w:rPr>
              <w:rFonts w:eastAsia="Times New Roman"/>
              <w:color w:val="000000"/>
              <w:vertAlign w:val="superscript"/>
            </w:rPr>
            <w:t>36</w:t>
          </w:r>
        </w:sdtContent>
      </w:sdt>
      <w:r w:rsidRPr="00476931">
        <w:t xml:space="preserve">.  In this approach, proteins are subjected to chemical or enzymatic proteolysis to generate </w:t>
      </w:r>
      <w:r w:rsidRPr="00476931">
        <w:lastRenderedPageBreak/>
        <w:t>larger peptide sequences up to 150 amino acids in length</w:t>
      </w:r>
      <w:sdt>
        <w:sdtPr>
          <w:rPr>
            <w:color w:val="000000"/>
            <w:vertAlign w:val="superscript"/>
          </w:rPr>
          <w:tag w:val="MENDELEY_CITATION_v3_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"/>
          <w:id w:val="672378130"/>
          <w:placeholder>
            <w:docPart w:val="A1F7475729FAC543BB1848DACA12A8AC"/>
          </w:placeholder>
        </w:sdtPr>
        <w:sdtEndPr/>
        <w:sdtContent>
          <w:r w:rsidR="003204EA" w:rsidRPr="003204EA">
            <w:rPr>
              <w:rFonts w:eastAsia="Times New Roman"/>
              <w:color w:val="000000"/>
              <w:vertAlign w:val="superscript"/>
            </w:rPr>
            <w:t>38</w:t>
          </w:r>
        </w:sdtContent>
      </w:sdt>
      <w:r w:rsidRPr="00476931">
        <w:t xml:space="preserve">.  While the complexity of the resulting peptide mixture in a biological sample is reduced compared to bottom-up approaches, the protein sequence coverage achievable increases due to the fragmentation of longer peptides.  In addition, </w:t>
      </w:r>
      <w:proofErr w:type="gramStart"/>
      <w:r w:rsidRPr="00476931">
        <w:t>similar to</w:t>
      </w:r>
      <w:proofErr w:type="gramEnd"/>
      <w:r w:rsidRPr="00476931">
        <w:t xml:space="preserve"> top-down approaches, the probability of the presence of multiple PTMs or single-point mutations that arise from splicing variants is increased due to the creation of longer peptide fragments and this valuable PTM information of multiply modified peptides would not necessarily be observed in bottom-up proteomics.  However, while several technological advancements have been made for top-down and middle-down approaches due to the advent of new instrumentation, due to the simplicity and robustness of bottom-up proteomics methods, this is still the dominant method used to characterize proteomes.  The bottom-up approach was used for all metaproteomic measurements conducted in studies presented in this dissertation.</w:t>
      </w:r>
    </w:p>
    <w:p w14:paraId="3BACDAAF" w14:textId="714E33BA" w:rsidR="00330DFF" w:rsidRPr="00476931" w:rsidRDefault="00330DFF" w:rsidP="002C2816">
      <w:pPr>
        <w:pStyle w:val="BodyText"/>
        <w:spacing w:line="360" w:lineRule="auto"/>
        <w:ind w:left="0" w:right="282" w:firstLine="720"/>
        <w:rPr>
          <w:rFonts w:ascii="Times New Roman" w:hAnsi="Times New Roman" w:cs="Times New Roman"/>
          <w:szCs w:val="24"/>
        </w:rPr>
      </w:pPr>
    </w:p>
    <w:p w14:paraId="48B4B10E" w14:textId="0051484A" w:rsidR="00330DFF" w:rsidRDefault="00330DFF" w:rsidP="00330DFF">
      <w:pPr>
        <w:pStyle w:val="Heading3"/>
      </w:pPr>
      <w:bookmarkStart w:id="29" w:name="_Toc110250217"/>
      <w:bookmarkStart w:id="30" w:name="_Toc110250474"/>
      <w:bookmarkStart w:id="31" w:name="_Toc110250605"/>
      <w:r w:rsidRPr="00476931">
        <w:t>1.3.2. Acquisition methods: DDA vs. DIA vs. targeted proteomics</w:t>
      </w:r>
      <w:r w:rsidR="0067780D">
        <w:t>.</w:t>
      </w:r>
      <w:bookmarkEnd w:id="29"/>
      <w:bookmarkEnd w:id="30"/>
      <w:bookmarkEnd w:id="31"/>
    </w:p>
    <w:p w14:paraId="53B7C00A" w14:textId="77777777" w:rsidR="00002888" w:rsidRPr="00002888" w:rsidRDefault="00002888" w:rsidP="00002888"/>
    <w:p w14:paraId="31AEE8F0" w14:textId="4B9A9132" w:rsidR="00330DFF" w:rsidRPr="00476931" w:rsidRDefault="00B749F5" w:rsidP="00081E67">
      <w:r>
        <w:t>One of the challenges in measuring very complex samples by LC-MS</w:t>
      </w:r>
      <w:r w:rsidR="002B29B5">
        <w:t xml:space="preserve">/MS </w:t>
      </w:r>
      <w:r w:rsidR="001C2AC1">
        <w:t xml:space="preserve">is </w:t>
      </w:r>
      <w:r w:rsidR="002B29B5">
        <w:t>that</w:t>
      </w:r>
      <w:r w:rsidR="00CE664C">
        <w:t xml:space="preserve"> thousands of peptide ions with different m/z values and varying abundances can be scanned and measured in a single sample. </w:t>
      </w:r>
      <w:r w:rsidR="002B29B5">
        <w:t xml:space="preserve"> </w:t>
      </w:r>
      <w:r w:rsidR="00E31821">
        <w:t xml:space="preserve">Even with fast, high-performance MS instrumentation, not </w:t>
      </w:r>
      <w:proofErr w:type="gramStart"/>
      <w:r w:rsidR="00E31821">
        <w:t>all of</w:t>
      </w:r>
      <w:proofErr w:type="gramEnd"/>
      <w:r w:rsidR="00E31821">
        <w:t xml:space="preserve"> these analytes can be </w:t>
      </w:r>
      <w:r w:rsidR="00666F8C">
        <w:t xml:space="preserve">fragmented and analyzed for peptide sequence information </w:t>
      </w:r>
      <w:r w:rsidR="007F0FF0">
        <w:t>within</w:t>
      </w:r>
      <w:r w:rsidR="00666F8C">
        <w:t xml:space="preserve"> a single </w:t>
      </w:r>
      <w:r w:rsidR="00F70023">
        <w:t xml:space="preserve">measurement campaign.  Therefore, </w:t>
      </w:r>
      <w:r w:rsidR="00B60601">
        <w:t xml:space="preserve">for the </w:t>
      </w:r>
      <w:r w:rsidR="007F0FF0">
        <w:t>analysis</w:t>
      </w:r>
      <w:r w:rsidR="00B60601">
        <w:t xml:space="preserve"> of complex samples, intelligent measurement approaches</w:t>
      </w:r>
      <w:r w:rsidR="00B60601" w:rsidRPr="00476931">
        <w:t xml:space="preserve"> </w:t>
      </w:r>
      <w:r w:rsidR="00B60601">
        <w:t xml:space="preserve">are needed to operate the mass spectrometer in a way that </w:t>
      </w:r>
      <w:r w:rsidR="00277D1D">
        <w:t xml:space="preserve">maximizes the efficiency of generating peptide sequence information for protein identification.  </w:t>
      </w:r>
      <w:r w:rsidR="00330DFF" w:rsidRPr="00476931">
        <w:t>There are three approaches to generating bottom-up proteomics data: data-dependent acquisition (DDA), data-independent acquisition (DIA), and targeted proteomics using parallel reaction monitoring (PRM)</w:t>
      </w:r>
      <w:sdt>
        <w:sdtPr>
          <w:rPr>
            <w:color w:val="000000"/>
            <w:vertAlign w:val="superscript"/>
          </w:rPr>
          <w:tag w:val="MENDELEY_CITATION_v3_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"/>
          <w:id w:val="-1783648010"/>
          <w:placeholder>
            <w:docPart w:val="5331324AF8159D45B45006C8B268D1BE"/>
          </w:placeholder>
        </w:sdtPr>
        <w:sdtEndPr/>
        <w:sdtContent>
          <w:r w:rsidR="003204EA" w:rsidRPr="003204EA">
            <w:rPr>
              <w:rFonts w:eastAsia="Times New Roman"/>
              <w:color w:val="000000"/>
              <w:vertAlign w:val="superscript"/>
            </w:rPr>
            <w:t>39</w:t>
          </w:r>
        </w:sdtContent>
      </w:sdt>
      <w:r w:rsidR="00330DFF" w:rsidRPr="00476931">
        <w:t xml:space="preserve">.  All three methods exhibit exquisite protein specificity compared to classical antibody-based methods such as western blotting and immunoprecipitation. Global, or shotgun, proteomics using DDA is the preferred approach of many researchers for discovery-based proteomics to provide unbiased and </w:t>
      </w:r>
      <w:r w:rsidR="00330DFF" w:rsidRPr="00476931">
        <w:lastRenderedPageBreak/>
        <w:t xml:space="preserve">comprehensive coverage of the proteome since </w:t>
      </w:r>
      <w:r w:rsidR="00330DFF" w:rsidRPr="00476931">
        <w:rPr>
          <w:i/>
          <w:iCs/>
        </w:rPr>
        <w:t>a priori</w:t>
      </w:r>
      <w:r w:rsidR="00330DFF" w:rsidRPr="00476931">
        <w:t xml:space="preserve"> knowledge of the proteins present in a biological sample is unnecessary and all proteins can be interrogated in a single LC-MS/MS measurement.  </w:t>
      </w:r>
    </w:p>
    <w:p w14:paraId="2737CD35" w14:textId="6D16EC27" w:rsidR="002C2816" w:rsidRPr="00476931" w:rsidRDefault="00330DFF" w:rsidP="00081E67">
      <w:r w:rsidRPr="00476931">
        <w:t>For the DDA-based approach, the mass spectra of all precursor ion species that co-elute at a particular retention time in the LC elution gradient are recorded at the MS1 level.  For each full scan, a predetermined number of the most abundant precursor ions, typically the top ten or top twenty most abundant ion species, are subjected to fragmentation for the acquisition of fragmentation (MS/MS or MS2) spectra used for peptide identification.</w:t>
      </w:r>
      <w:r w:rsidR="0053328B">
        <w:t xml:space="preserve"> </w:t>
      </w:r>
      <w:r w:rsidR="00661BFD">
        <w:t>This process is generally referred to as top-N DDA.</w:t>
      </w:r>
      <w:r w:rsidRPr="00476931">
        <w:t xml:space="preserve"> As this approach preferentially fragments high abundance ions, lower abundance precursor ions will not be sampled unless repeated fragmentation of high abundance ions is prevented. Dynamic exclusion is an instrumental parameter utilized in DDA which temporarily excludes previously fragmented precursor ions from additional fragmentation events over a predetermined time window, thus increasing the detection of low abundance peptide analytes and overall proteome coverage</w:t>
      </w:r>
      <w:sdt>
        <w:sdtPr>
          <w:rPr>
            <w:color w:val="000000"/>
            <w:vertAlign w:val="superscript"/>
          </w:rPr>
          <w:tag w:val="MENDELEY_CITATION_v3_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"/>
          <w:id w:val="1131134137"/>
          <w:placeholder>
            <w:docPart w:val="5331324AF8159D45B45006C8B268D1BE"/>
          </w:placeholder>
        </w:sdtPr>
        <w:sdtEndPr/>
        <w:sdtContent>
          <w:r w:rsidR="003204EA" w:rsidRPr="003204EA">
            <w:rPr>
              <w:rFonts w:eastAsia="Times New Roman"/>
              <w:color w:val="000000"/>
              <w:vertAlign w:val="superscript"/>
            </w:rPr>
            <w:t>40</w:t>
          </w:r>
        </w:sdtContent>
      </w:sdt>
      <w:r w:rsidRPr="00476931">
        <w:t xml:space="preserve">. However, even with instrumentation capabilities, such as dynamic exclusion, in very complex biological samples, such as metaproteomes, several low abundance peptides can co-elute with high abundance peptides and may not be detected unless the MS measurements are paired with enhanced LC peptide separation techniques. Despite this limitation, DDA is the most common data acquisition method used for bottom-up metaproteomics experiments.   DIA and targeted proteomics have gained some popularity </w:t>
      </w:r>
      <w:r w:rsidR="002C2816" w:rsidRPr="00476931">
        <w:t>over recent years for metaproteomics as high-resolution instrumentation with fast scan speeds, such as Orbitrap and TIMS-TOF, have become available</w:t>
      </w:r>
      <w:sdt>
        <w:sdtPr>
          <w:rPr>
            <w:color w:val="000000"/>
            <w:vertAlign w:val="superscript"/>
          </w:rPr>
          <w:tag w:val="MENDELEY_CITATION_v3_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"/>
          <w:id w:val="-982464384"/>
          <w:placeholder>
            <w:docPart w:val="F18485EA91F8164E80D5101B1C44218E"/>
          </w:placeholder>
        </w:sdtPr>
        <w:sdtEndPr/>
        <w:sdtContent>
          <w:r w:rsidR="003204EA" w:rsidRPr="003204EA">
            <w:rPr>
              <w:rFonts w:eastAsia="Times New Roman"/>
              <w:color w:val="000000"/>
              <w:vertAlign w:val="superscript"/>
            </w:rPr>
            <w:t>27,41</w:t>
          </w:r>
        </w:sdtContent>
      </w:sdt>
      <w:r w:rsidR="002C2816" w:rsidRPr="00476931">
        <w:t xml:space="preserve">. </w:t>
      </w:r>
    </w:p>
    <w:p w14:paraId="22C83243" w14:textId="3246FE5B" w:rsidR="002C2816" w:rsidRPr="00476931" w:rsidRDefault="002C2816" w:rsidP="00081E67">
      <w:r w:rsidRPr="00476931">
        <w:t>In contrast to DDA, where precursor ions are fragmented sequentially, in DIA-based methods, entire m/z ranges, typically spanning 25m/z units, of precursor ions are simultaneously fragmented</w:t>
      </w:r>
      <w:sdt>
        <w:sdtPr>
          <w:rPr>
            <w:color w:val="000000"/>
            <w:vertAlign w:val="superscript"/>
          </w:rPr>
          <w:tag w:val="MENDELEY_CITATION_v3_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"/>
          <w:id w:val="861486925"/>
          <w:placeholder>
            <w:docPart w:val="F18485EA91F8164E80D5101B1C44218E"/>
          </w:placeholder>
        </w:sdtPr>
        <w:sdtEndPr/>
        <w:sdtContent>
          <w:r w:rsidR="003204EA" w:rsidRPr="003204EA">
            <w:rPr>
              <w:rFonts w:eastAsia="Times New Roman"/>
              <w:color w:val="000000"/>
              <w:vertAlign w:val="superscript"/>
            </w:rPr>
            <w:t>39</w:t>
          </w:r>
        </w:sdtContent>
      </w:sdt>
      <w:r w:rsidRPr="00476931">
        <w:t>.  Peptide fragmentation information is interpreted from the resulting multiplexed MS/MS spectra by comparing to known fragment spectra from very large spectral libraries or by generating pseudo-MS/MS spectra directly from the DIA data and conducting traditional database searches</w:t>
      </w:r>
      <w:sdt>
        <w:sdtPr>
          <w:rPr>
            <w:color w:val="000000"/>
            <w:vertAlign w:val="superscript"/>
          </w:rPr>
          <w:tag w:val="MENDELEY_CITATION_v3_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"/>
          <w:id w:val="-1881845953"/>
          <w:placeholder>
            <w:docPart w:val="F18485EA91F8164E80D5101B1C44218E"/>
          </w:placeholder>
        </w:sdtPr>
        <w:sdtEndPr/>
        <w:sdtContent>
          <w:r w:rsidR="003204EA" w:rsidRPr="003204EA">
            <w:rPr>
              <w:rFonts w:eastAsia="Times New Roman"/>
              <w:color w:val="000000"/>
              <w:vertAlign w:val="superscript"/>
            </w:rPr>
            <w:t>42</w:t>
          </w:r>
        </w:sdtContent>
      </w:sdt>
      <w:r w:rsidRPr="00476931">
        <w:t xml:space="preserve">.  Spectral libraries are generated using in-depth DDA measurements of the same samples </w:t>
      </w:r>
      <w:r w:rsidRPr="00476931">
        <w:lastRenderedPageBreak/>
        <w:t>measured in DIA, therefore only peptides previously discovered in the DDA measurements and incorporated into the spectral library can be identified by DIA.  One of the primary pitfalls of the analysis of DIA data is that the spectral library might not represent the actual diversity of the measured samples</w:t>
      </w:r>
      <w:sdt>
        <w:sdtPr>
          <w:rPr>
            <w:color w:val="000000"/>
            <w:vertAlign w:val="superscript"/>
          </w:rPr>
          <w:tag w:val="MENDELEY_CITATION_v3_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"/>
          <w:id w:val="625213522"/>
          <w:placeholder>
            <w:docPart w:val="F18485EA91F8164E80D5101B1C44218E"/>
          </w:placeholder>
        </w:sdtPr>
        <w:sdtEndPr/>
        <w:sdtContent>
          <w:r w:rsidR="003204EA" w:rsidRPr="003204EA">
            <w:rPr>
              <w:rFonts w:eastAsia="Times New Roman"/>
              <w:color w:val="000000"/>
              <w:vertAlign w:val="superscript"/>
            </w:rPr>
            <w:t>41</w:t>
          </w:r>
        </w:sdtContent>
      </w:sdt>
      <w:r w:rsidRPr="00476931">
        <w:t>. In addition, DIA is currently limited to a dynamic range of 4-5 orders of magnitude</w:t>
      </w:r>
      <w:sdt>
        <w:sdtPr>
          <w:rPr>
            <w:color w:val="000000"/>
            <w:vertAlign w:val="superscript"/>
          </w:rPr>
          <w:tag w:val="MENDELEY_CITATION_v3_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"/>
          <w:id w:val="-12002751"/>
          <w:placeholder>
            <w:docPart w:val="F18485EA91F8164E80D5101B1C44218E"/>
          </w:placeholder>
        </w:sdtPr>
        <w:sdtEndPr/>
        <w:sdtContent>
          <w:r w:rsidR="003204EA" w:rsidRPr="003204EA">
            <w:rPr>
              <w:rFonts w:eastAsia="Times New Roman"/>
              <w:color w:val="000000"/>
              <w:vertAlign w:val="superscript"/>
            </w:rPr>
            <w:t>39</w:t>
          </w:r>
        </w:sdtContent>
      </w:sdt>
      <w:r w:rsidRPr="00476931">
        <w:t>, which is not sufficient to comprehensively characterize the entire protein content of a complex biological sample, as even the human plasma proteome has an estimated dynamic range of 9-13 orders of magnitude</w:t>
      </w:r>
      <w:sdt>
        <w:sdtPr>
          <w:rPr>
            <w:color w:val="000000"/>
            <w:vertAlign w:val="superscript"/>
          </w:rPr>
          <w:tag w:val="MENDELEY_CITATION_v3_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"/>
          <w:id w:val="-1570026510"/>
          <w:placeholder>
            <w:docPart w:val="F18485EA91F8164E80D5101B1C44218E"/>
          </w:placeholder>
        </w:sdtPr>
        <w:sdtEndPr/>
        <w:sdtContent>
          <w:r w:rsidR="003204EA" w:rsidRPr="003204EA">
            <w:rPr>
              <w:rFonts w:eastAsia="Times New Roman"/>
              <w:color w:val="000000"/>
              <w:vertAlign w:val="superscript"/>
            </w:rPr>
            <w:t>43</w:t>
          </w:r>
        </w:sdtContent>
      </w:sdt>
      <w:r w:rsidRPr="00476931">
        <w:t>. As this approach is still in its infancy for metaproteomics due to analytical limitations, it is still not widely adopted.</w:t>
      </w:r>
    </w:p>
    <w:p w14:paraId="753CFD2B" w14:textId="7593AF57" w:rsidR="002C2816" w:rsidRPr="00476931" w:rsidRDefault="002C2816" w:rsidP="00081E67">
      <w:r w:rsidRPr="00476931">
        <w:t>While both DDA and D</w:t>
      </w:r>
      <w:r w:rsidR="003F0F2C">
        <w:t>I</w:t>
      </w:r>
      <w:r w:rsidRPr="00476931">
        <w:t>A approaches aim to comprehensively characterize the entire protein content in a biological sample, targeted bottom-up proteomics focused only on the measurement of a select set of peptides for predetermined and known proteins of interest.  In this approach, proteotypic peptides are selectively isolated and fragmented over their chromatographic elution time. The targeted proteomics approach is significantly faster and more sensitive compared to discovery-based methods</w:t>
      </w:r>
      <w:sdt>
        <w:sdtPr>
          <w:rPr>
            <w:color w:val="000000"/>
            <w:vertAlign w:val="superscript"/>
          </w:rPr>
          <w:tag w:val="MENDELEY_CITATION_v3_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"/>
          <w:id w:val="2063598609"/>
          <w:placeholder>
            <w:docPart w:val="F18485EA91F8164E80D5101B1C44218E"/>
          </w:placeholder>
        </w:sdtPr>
        <w:sdtEndPr/>
        <w:sdtContent>
          <w:r w:rsidR="003204EA" w:rsidRPr="003204EA">
            <w:rPr>
              <w:rFonts w:eastAsia="Times New Roman"/>
              <w:color w:val="000000"/>
              <w:vertAlign w:val="superscript"/>
            </w:rPr>
            <w:t>44</w:t>
          </w:r>
        </w:sdtContent>
      </w:sdt>
      <w:r w:rsidRPr="00476931">
        <w:t>. Despite these advantages over discovery-based methods to analyze key proteins of interest, in microbial communities with inherent functional redundancy and therefore many shared peptides, special consideration must be given to select peptides that can identify or quantify specific functions or taxon rather than specific proteins</w:t>
      </w:r>
      <w:sdt>
        <w:sdtPr>
          <w:rPr>
            <w:color w:val="000000"/>
            <w:vertAlign w:val="superscript"/>
          </w:rPr>
          <w:tag w:val="MENDELEY_CITATION_v3_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"/>
          <w:id w:val="1908418793"/>
          <w:placeholder>
            <w:docPart w:val="F18485EA91F8164E80D5101B1C44218E"/>
          </w:placeholder>
        </w:sdtPr>
        <w:sdtEndPr/>
        <w:sdtContent>
          <w:r w:rsidR="003204EA" w:rsidRPr="003204EA">
            <w:rPr>
              <w:rFonts w:eastAsia="Times New Roman"/>
              <w:color w:val="000000"/>
              <w:vertAlign w:val="superscript"/>
            </w:rPr>
            <w:t>44</w:t>
          </w:r>
        </w:sdtContent>
      </w:sdt>
      <w:r w:rsidRPr="00476931">
        <w:t xml:space="preserve">.  Therefore, unless there is </w:t>
      </w:r>
      <w:r w:rsidRPr="00476931">
        <w:rPr>
          <w:i/>
          <w:iCs/>
        </w:rPr>
        <w:t>a priori</w:t>
      </w:r>
      <w:r w:rsidRPr="00476931">
        <w:t xml:space="preserve"> knowledge of what specific peptides may be present in the community based on a matched metagenome and if those peptides are distinguishable enough to answer specific research questions targeted approaches may provide limited value to metaproteomic studies.  For </w:t>
      </w:r>
      <w:proofErr w:type="gramStart"/>
      <w:r w:rsidRPr="00476931">
        <w:t>all of</w:t>
      </w:r>
      <w:proofErr w:type="gramEnd"/>
      <w:r w:rsidRPr="00476931">
        <w:t xml:space="preserve"> the metaproteomic studies presented in this dissertation, DDA-based bottom-up proteomics approaches are used.</w:t>
      </w:r>
    </w:p>
    <w:p w14:paraId="24E8096F" w14:textId="77777777" w:rsidR="007744D0" w:rsidRPr="00476931" w:rsidRDefault="007744D0" w:rsidP="002C2816">
      <w:pPr>
        <w:pStyle w:val="BodyText"/>
        <w:spacing w:line="360" w:lineRule="auto"/>
        <w:ind w:left="0" w:right="282"/>
        <w:rPr>
          <w:rFonts w:ascii="Times New Roman" w:hAnsi="Times New Roman" w:cs="Times New Roman"/>
          <w:szCs w:val="24"/>
        </w:rPr>
      </w:pPr>
    </w:p>
    <w:p w14:paraId="281EBFE3" w14:textId="1B03FA42" w:rsidR="002C2816" w:rsidRPr="00476931" w:rsidRDefault="002C2816" w:rsidP="0060435B">
      <w:pPr>
        <w:pStyle w:val="Heading2"/>
      </w:pPr>
      <w:bookmarkStart w:id="32" w:name="_Toc110250218"/>
      <w:bookmarkStart w:id="33" w:name="_Toc110250475"/>
      <w:bookmarkStart w:id="34" w:name="_Toc110250606"/>
      <w:r w:rsidRPr="00476931">
        <w:t xml:space="preserve">1.4 </w:t>
      </w:r>
      <w:r w:rsidR="00275134" w:rsidRPr="00476931">
        <w:t xml:space="preserve"> </w:t>
      </w:r>
      <w:r w:rsidRPr="00476931">
        <w:t>Scope of the dissertation.</w:t>
      </w:r>
      <w:bookmarkEnd w:id="32"/>
      <w:bookmarkEnd w:id="33"/>
      <w:bookmarkEnd w:id="34"/>
      <w:r w:rsidRPr="00476931">
        <w:t xml:space="preserve"> </w:t>
      </w:r>
    </w:p>
    <w:p w14:paraId="69FEEBA4" w14:textId="77777777" w:rsidR="002C2816" w:rsidRPr="00476931" w:rsidRDefault="002C2816" w:rsidP="002C2816">
      <w:pPr>
        <w:rPr>
          <w:color w:val="000000" w:themeColor="text1"/>
        </w:rPr>
      </w:pPr>
    </w:p>
    <w:p w14:paraId="3EB43457" w14:textId="08E73E84" w:rsidR="002C2816" w:rsidRPr="00476931" w:rsidRDefault="002C2816" w:rsidP="002C2816">
      <w:pPr>
        <w:rPr>
          <w:color w:val="000000" w:themeColor="text1"/>
        </w:rPr>
      </w:pPr>
      <w:r w:rsidRPr="00476931">
        <w:rPr>
          <w:color w:val="000000" w:themeColor="text1"/>
        </w:rPr>
        <w:t xml:space="preserve">This dissertation focuses on </w:t>
      </w:r>
      <w:r w:rsidR="00B04269">
        <w:rPr>
          <w:color w:val="000000" w:themeColor="text1"/>
        </w:rPr>
        <w:t>developing and exploiting</w:t>
      </w:r>
      <w:r w:rsidRPr="00476931">
        <w:rPr>
          <w:color w:val="000000" w:themeColor="text1"/>
        </w:rPr>
        <w:t xml:space="preserve"> mass spectrometry-based metaproteomics to study the functionality and dynamics of environmental </w:t>
      </w:r>
      <w:r w:rsidRPr="00476931">
        <w:rPr>
          <w:color w:val="000000" w:themeColor="text1"/>
        </w:rPr>
        <w:lastRenderedPageBreak/>
        <w:t xml:space="preserve">microbiomes, with an emphasis on the human gut environment.  </w:t>
      </w:r>
      <w:proofErr w:type="gramStart"/>
      <w:r w:rsidR="00EF6E19" w:rsidRPr="00F04AE4">
        <w:rPr>
          <w:color w:val="000000" w:themeColor="text1"/>
        </w:rPr>
        <w:t xml:space="preserve">In particular, </w:t>
      </w:r>
      <w:r w:rsidR="0048011D" w:rsidRPr="00F04AE4">
        <w:rPr>
          <w:color w:val="000000" w:themeColor="text1"/>
        </w:rPr>
        <w:t>metaproteomic</w:t>
      </w:r>
      <w:proofErr w:type="gramEnd"/>
      <w:r w:rsidR="0048011D" w:rsidRPr="00F04AE4">
        <w:rPr>
          <w:color w:val="000000" w:themeColor="text1"/>
        </w:rPr>
        <w:t xml:space="preserve"> measurements of fecal sample w</w:t>
      </w:r>
      <w:r w:rsidR="002250B4" w:rsidRPr="00F04AE4">
        <w:rPr>
          <w:color w:val="000000" w:themeColor="text1"/>
        </w:rPr>
        <w:t xml:space="preserve">ere used to explore </w:t>
      </w:r>
      <w:r w:rsidR="00FB5CE7">
        <w:rPr>
          <w:color w:val="000000" w:themeColor="text1"/>
        </w:rPr>
        <w:t xml:space="preserve">several questions </w:t>
      </w:r>
      <w:r w:rsidR="00E000B3">
        <w:rPr>
          <w:color w:val="000000" w:themeColor="text1"/>
        </w:rPr>
        <w:t>related</w:t>
      </w:r>
      <w:r w:rsidR="00FB5CE7">
        <w:rPr>
          <w:color w:val="000000" w:themeColor="text1"/>
        </w:rPr>
        <w:t xml:space="preserve"> to interkingdom interactions</w:t>
      </w:r>
      <w:r w:rsidR="00714E43">
        <w:rPr>
          <w:color w:val="000000" w:themeColor="text1"/>
        </w:rPr>
        <w:t xml:space="preserve"> that drive community </w:t>
      </w:r>
      <w:r w:rsidR="00590649">
        <w:rPr>
          <w:color w:val="000000" w:themeColor="text1"/>
        </w:rPr>
        <w:t xml:space="preserve">structure and </w:t>
      </w:r>
      <w:r w:rsidR="00714E43">
        <w:rPr>
          <w:color w:val="000000" w:themeColor="text1"/>
        </w:rPr>
        <w:t>function</w:t>
      </w:r>
      <w:r w:rsidR="00FB5CE7">
        <w:rPr>
          <w:color w:val="000000" w:themeColor="text1"/>
        </w:rPr>
        <w:t xml:space="preserve">. </w:t>
      </w:r>
      <w:r w:rsidR="00714E43">
        <w:rPr>
          <w:color w:val="000000" w:themeColor="text1"/>
        </w:rPr>
        <w:t xml:space="preserve">For example, </w:t>
      </w:r>
      <w:r w:rsidR="007436DE">
        <w:rPr>
          <w:color w:val="000000" w:themeColor="text1"/>
        </w:rPr>
        <w:t xml:space="preserve">this dissertation explored </w:t>
      </w:r>
      <w:r w:rsidR="00181104" w:rsidRPr="00F04AE4">
        <w:rPr>
          <w:color w:val="000000" w:themeColor="text1"/>
        </w:rPr>
        <w:t xml:space="preserve">the reciprocal relationship between </w:t>
      </w:r>
      <w:r w:rsidR="00D97C8E" w:rsidRPr="00F04AE4">
        <w:rPr>
          <w:color w:val="000000" w:themeColor="text1"/>
        </w:rPr>
        <w:t>host-associated microbiota</w:t>
      </w:r>
      <w:r w:rsidR="005646C2" w:rsidRPr="00F04AE4">
        <w:rPr>
          <w:color w:val="000000" w:themeColor="text1"/>
        </w:rPr>
        <w:t xml:space="preserve"> and </w:t>
      </w:r>
      <w:r w:rsidR="00181104" w:rsidRPr="00F04AE4">
        <w:rPr>
          <w:color w:val="000000" w:themeColor="text1"/>
        </w:rPr>
        <w:t xml:space="preserve">the host immune system </w:t>
      </w:r>
      <w:r w:rsidR="009D7099" w:rsidRPr="00F04AE4">
        <w:rPr>
          <w:color w:val="000000" w:themeColor="text1"/>
        </w:rPr>
        <w:t>for the establishment and development of microbial communities and host health</w:t>
      </w:r>
      <w:r w:rsidR="005646C2" w:rsidRPr="00F04AE4">
        <w:rPr>
          <w:color w:val="000000" w:themeColor="text1"/>
        </w:rPr>
        <w:t xml:space="preserve">, </w:t>
      </w:r>
      <w:r w:rsidR="007436DE">
        <w:rPr>
          <w:color w:val="000000" w:themeColor="text1"/>
        </w:rPr>
        <w:t xml:space="preserve">the </w:t>
      </w:r>
      <w:r w:rsidR="00E65C30" w:rsidRPr="00F04AE4">
        <w:rPr>
          <w:color w:val="000000" w:themeColor="text1"/>
        </w:rPr>
        <w:t xml:space="preserve">interactions of microbiota with </w:t>
      </w:r>
      <w:r w:rsidR="005646C2" w:rsidRPr="00F04AE4">
        <w:rPr>
          <w:color w:val="000000" w:themeColor="text1"/>
        </w:rPr>
        <w:t xml:space="preserve">each other </w:t>
      </w:r>
      <w:r w:rsidR="00AC2DFA">
        <w:rPr>
          <w:color w:val="000000" w:themeColor="text1"/>
        </w:rPr>
        <w:t xml:space="preserve">to establish functional partitioning among community members </w:t>
      </w:r>
      <w:r w:rsidR="00203BF2">
        <w:rPr>
          <w:color w:val="000000" w:themeColor="text1"/>
        </w:rPr>
        <w:t xml:space="preserve">and </w:t>
      </w:r>
      <w:r w:rsidR="005646C2" w:rsidRPr="00F04AE4">
        <w:rPr>
          <w:color w:val="000000" w:themeColor="text1"/>
        </w:rPr>
        <w:t xml:space="preserve">for the consumption and utilization of dietary </w:t>
      </w:r>
      <w:proofErr w:type="gramStart"/>
      <w:r w:rsidR="00E46579" w:rsidRPr="00F04AE4">
        <w:rPr>
          <w:color w:val="000000" w:themeColor="text1"/>
        </w:rPr>
        <w:t>resources</w:t>
      </w:r>
      <w:r w:rsidR="00E46579">
        <w:rPr>
          <w:color w:val="000000" w:themeColor="text1"/>
        </w:rPr>
        <w:t>, and</w:t>
      </w:r>
      <w:proofErr w:type="gramEnd"/>
      <w:r w:rsidR="00AC2DFA">
        <w:rPr>
          <w:color w:val="000000" w:themeColor="text1"/>
        </w:rPr>
        <w:t xml:space="preserve"> </w:t>
      </w:r>
      <w:r w:rsidR="00203BF2">
        <w:rPr>
          <w:color w:val="000000" w:themeColor="text1"/>
        </w:rPr>
        <w:t xml:space="preserve">examining the genomic underpinning of </w:t>
      </w:r>
      <w:r w:rsidR="00B8002C">
        <w:rPr>
          <w:color w:val="000000" w:themeColor="text1"/>
        </w:rPr>
        <w:t>phage infections of their bacterial hosts.</w:t>
      </w:r>
      <w:r w:rsidR="009D7099">
        <w:rPr>
          <w:color w:val="000000" w:themeColor="text1"/>
        </w:rPr>
        <w:t xml:space="preserve">  </w:t>
      </w:r>
      <w:r w:rsidRPr="00476931">
        <w:rPr>
          <w:color w:val="000000" w:themeColor="text1"/>
        </w:rPr>
        <w:t>As LC-MS/MS-based proteomics is at the core of these metaproteomics investigations, Chapter 2 provides broad explanations of the experimental methods used for investigations covered in Chapters 3-7.</w:t>
      </w:r>
    </w:p>
    <w:p w14:paraId="2248D562" w14:textId="42C6A4CE" w:rsidR="002C2816" w:rsidRPr="00476931" w:rsidRDefault="002C2816" w:rsidP="002C2816">
      <w:pPr>
        <w:rPr>
          <w:color w:val="000000" w:themeColor="text1"/>
        </w:rPr>
      </w:pPr>
      <w:r w:rsidRPr="00476931">
        <w:rPr>
          <w:color w:val="000000" w:themeColor="text1"/>
        </w:rPr>
        <w:t>To approach fundamental questions about the functions and activities of microbial communities, a portion of the dissertation work focused on the development and optimizations in sample preparation, MS measurement metrics, and new bioinformatics approaches</w:t>
      </w:r>
      <w:r w:rsidR="00B04269">
        <w:rPr>
          <w:color w:val="000000" w:themeColor="text1"/>
        </w:rPr>
        <w:t xml:space="preserve"> for complex microbiome samples</w:t>
      </w:r>
      <w:r w:rsidRPr="00476931">
        <w:rPr>
          <w:color w:val="000000" w:themeColor="text1"/>
        </w:rPr>
        <w:t xml:space="preserve">. Chapter 3 highlights </w:t>
      </w:r>
      <w:proofErr w:type="gramStart"/>
      <w:r w:rsidRPr="00476931">
        <w:rPr>
          <w:color w:val="000000" w:themeColor="text1"/>
        </w:rPr>
        <w:t>advances</w:t>
      </w:r>
      <w:proofErr w:type="gramEnd"/>
      <w:r w:rsidRPr="00476931">
        <w:rPr>
          <w:color w:val="000000" w:themeColor="text1"/>
        </w:rPr>
        <w:t xml:space="preserve"> in sample preparation and LC-MS/MS measurements in a variety of different environmental matrices including soils, filters from the collection of ocean water, and laboratory-derived defined bacterial communities. Chapter 4 provides examples of bioinformatics advances for the application of bottom-up proteomics data analysis packages and software for metaproteomic datasets of varying complexity. The advancements in Chapters 3 and 4 were implemented in the research projects presented in Chapters 5-7.</w:t>
      </w:r>
    </w:p>
    <w:p w14:paraId="5F2EDA08" w14:textId="5C2FE97B" w:rsidR="002C2816" w:rsidRPr="00476931" w:rsidRDefault="002C2816" w:rsidP="002C2816">
      <w:pPr>
        <w:rPr>
          <w:color w:val="000000" w:themeColor="text1"/>
        </w:rPr>
      </w:pPr>
      <w:r w:rsidRPr="00476931">
        <w:rPr>
          <w:color w:val="000000" w:themeColor="text1"/>
        </w:rPr>
        <w:t>Chapter 5 is an exploration of controlled human-derived gut communities in gnotobiotic animals and the interaction of microbiota with host dietary compounds</w:t>
      </w:r>
      <w:r w:rsidR="005724BB">
        <w:rPr>
          <w:color w:val="000000" w:themeColor="text1"/>
        </w:rPr>
        <w:t xml:space="preserve"> in those syst</w:t>
      </w:r>
      <w:r w:rsidR="00A436A7">
        <w:rPr>
          <w:color w:val="000000" w:themeColor="text1"/>
        </w:rPr>
        <w:t>ems</w:t>
      </w:r>
      <w:r w:rsidRPr="00476931">
        <w:rPr>
          <w:color w:val="000000" w:themeColor="text1"/>
        </w:rPr>
        <w:t xml:space="preserve">.  This chapter presents three projects where metaproteomics was integrated with other complementary techniques used to study the gut microbiome, including omics technologies such as various sequencing techniques and metabolomics, to provide biological insights into community degradation and utilization of dietary compounds.  In addition, this chapter also includes an analytical </w:t>
      </w:r>
      <w:r w:rsidRPr="00476931">
        <w:rPr>
          <w:color w:val="000000" w:themeColor="text1"/>
        </w:rPr>
        <w:lastRenderedPageBreak/>
        <w:t>study utilizing the bacterial consortium from one of the gnotobiotic models presented in this chapter to help better define the limits of metaproteomic depth of measurement.</w:t>
      </w:r>
    </w:p>
    <w:p w14:paraId="236F3F0C" w14:textId="7C1E935A" w:rsidR="002C2816" w:rsidRPr="00476931" w:rsidRDefault="002C2816" w:rsidP="002C2816">
      <w:pPr>
        <w:rPr>
          <w:color w:val="000000" w:themeColor="text1"/>
        </w:rPr>
      </w:pPr>
      <w:r w:rsidRPr="00476931">
        <w:rPr>
          <w:color w:val="000000" w:themeColor="text1"/>
        </w:rPr>
        <w:t xml:space="preserve">In contrast to Chapter 5, where gut microbiome functionality is evaluated using defined microbial communities, Chapters 6 and 7 explore inter-kingdom interactions using unmanipulated human gut microbiome samples. Chapter 6 presents two studies of the preterm infant gut environment, which is a tractable </w:t>
      </w:r>
      <w:r w:rsidRPr="00476931">
        <w:rPr>
          <w:i/>
          <w:iCs/>
          <w:color w:val="000000" w:themeColor="text1"/>
        </w:rPr>
        <w:t>in vivo</w:t>
      </w:r>
      <w:r w:rsidRPr="00476931">
        <w:rPr>
          <w:color w:val="000000" w:themeColor="text1"/>
        </w:rPr>
        <w:t xml:space="preserve"> model to study colonization dynamics and host-microbe interactions.  The first study explores early-life community colonization and establishment in the context of microeukaryotic membership.  The second study is an in-depth longitudinal analysis looking at bacterial functions and persistence over the first several weeks of life in relation to host immune responses.  Chapter 7 is a proteogenomic analysis of uncultivated bacteriophages in the human gut that utilize different genetic codes than their bacterial hosts during their infection process.</w:t>
      </w:r>
    </w:p>
    <w:p w14:paraId="7DD2768A" w14:textId="77777777" w:rsidR="002C2816" w:rsidRPr="00476931" w:rsidRDefault="002C2816" w:rsidP="002C2816">
      <w:pPr>
        <w:rPr>
          <w:color w:val="000000" w:themeColor="text1"/>
        </w:rPr>
      </w:pPr>
      <w:r w:rsidRPr="00476931">
        <w:rPr>
          <w:color w:val="000000" w:themeColor="text1"/>
        </w:rPr>
        <w:t>Finally, Chapter 8 presents a broad perspective of emerging technological advances in the field of metaproteomics that are under development.  The chapter also describes how these advancements may apply to LC-MS/MS-based metaproteomics studies in coming years to look at microbial community function and how they will help shape microbiome research moving forward.</w:t>
      </w:r>
    </w:p>
    <w:p w14:paraId="6D26C404" w14:textId="77777777" w:rsidR="00310878" w:rsidRPr="00476931" w:rsidRDefault="00310878" w:rsidP="002F1CFD">
      <w:pPr>
        <w:rPr>
          <w:rFonts w:ascii="Times New Roman" w:hAnsi="Times New Roman" w:cs="Times New Roman"/>
          <w:color w:val="000000" w:themeColor="text1"/>
        </w:rPr>
      </w:pPr>
      <w:r w:rsidRPr="00476931">
        <w:rPr>
          <w:rFonts w:ascii="Times New Roman" w:hAnsi="Times New Roman" w:cs="Times New Roman"/>
          <w:color w:val="000000" w:themeColor="text1"/>
        </w:rPr>
        <w:br w:type="page"/>
      </w:r>
    </w:p>
    <w:p w14:paraId="39C27C40" w14:textId="3F1C5559" w:rsidR="002C2816" w:rsidRPr="00476931" w:rsidRDefault="00512C9E" w:rsidP="008437CB">
      <w:pPr>
        <w:pStyle w:val="Heading1"/>
      </w:pPr>
      <w:bookmarkStart w:id="35" w:name="_Toc110250219"/>
      <w:bookmarkStart w:id="36" w:name="_Toc110250476"/>
      <w:bookmarkStart w:id="37" w:name="_Toc110250607"/>
      <w:r w:rsidRPr="00476931">
        <w:lastRenderedPageBreak/>
        <w:t xml:space="preserve">- </w:t>
      </w:r>
      <w:r w:rsidR="00310878" w:rsidRPr="00476931">
        <w:t>Fundamentals of LC-MS/MS analyses for microbial communities</w:t>
      </w:r>
      <w:r w:rsidR="0067780D">
        <w:t>.</w:t>
      </w:r>
      <w:bookmarkEnd w:id="35"/>
      <w:bookmarkEnd w:id="36"/>
      <w:bookmarkEnd w:id="37"/>
    </w:p>
    <w:p w14:paraId="76765593" w14:textId="77777777" w:rsidR="002C2816" w:rsidRPr="00476931" w:rsidRDefault="002C2816" w:rsidP="003C1762">
      <w:pPr>
        <w:jc w:val="left"/>
        <w:rPr>
          <w:color w:val="000000" w:themeColor="text1"/>
          <w:sz w:val="40"/>
          <w:szCs w:val="40"/>
          <w:lang w:val="en-GB" w:eastAsia="en-GB"/>
        </w:rPr>
      </w:pPr>
    </w:p>
    <w:p w14:paraId="0693D2E0" w14:textId="47CA7C70" w:rsidR="002A0F76" w:rsidRPr="00B879D0" w:rsidRDefault="002C2816" w:rsidP="0060435B">
      <w:pPr>
        <w:pStyle w:val="Heading2"/>
      </w:pPr>
      <w:bookmarkStart w:id="38" w:name="_Toc110250220"/>
      <w:bookmarkStart w:id="39" w:name="_Toc110250477"/>
      <w:bookmarkStart w:id="40" w:name="_Toc110250608"/>
      <w:r w:rsidRPr="00476931">
        <w:t xml:space="preserve">2.1  </w:t>
      </w:r>
      <w:r w:rsidR="002A0F76">
        <w:t>T</w:t>
      </w:r>
      <w:r w:rsidR="002A0F76" w:rsidRPr="00B879D0">
        <w:t>he general workflow for metaproteome measurements</w:t>
      </w:r>
      <w:r w:rsidR="0067780D">
        <w:t>.</w:t>
      </w:r>
      <w:bookmarkEnd w:id="38"/>
      <w:bookmarkEnd w:id="39"/>
      <w:bookmarkEnd w:id="40"/>
    </w:p>
    <w:p w14:paraId="44E25230" w14:textId="77777777" w:rsidR="00FB7F2D" w:rsidRDefault="00FB7F2D" w:rsidP="002A0F76">
      <w:pPr>
        <w:pStyle w:val="BodyText"/>
        <w:spacing w:before="72" w:line="360" w:lineRule="auto"/>
        <w:ind w:left="100" w:right="178" w:firstLine="620"/>
        <w:rPr>
          <w:rFonts w:ascii="Times New Roman" w:hAnsi="Times New Roman" w:cs="Times New Roman"/>
          <w:szCs w:val="24"/>
        </w:rPr>
      </w:pPr>
    </w:p>
    <w:p w14:paraId="4A2ECE2C" w14:textId="323FD744" w:rsidR="00927607" w:rsidRPr="00927607" w:rsidRDefault="00927607" w:rsidP="00927607">
      <w:pPr>
        <w:rPr>
          <w:color w:val="000000" w:themeColor="text1"/>
        </w:rPr>
      </w:pPr>
      <w:r w:rsidRPr="00927607">
        <w:rPr>
          <w:color w:val="000000" w:themeColor="text1"/>
        </w:rPr>
        <w:t xml:space="preserve">The MS-based proteomics approach is fundamentally a collection of methodologies involving sample preparation, measurement, and data analysis that each must be considered and optimized for addressing </w:t>
      </w:r>
      <w:proofErr w:type="gramStart"/>
      <w:r w:rsidRPr="00927607">
        <w:rPr>
          <w:color w:val="000000" w:themeColor="text1"/>
        </w:rPr>
        <w:t>particular research</w:t>
      </w:r>
      <w:proofErr w:type="gramEnd"/>
      <w:r w:rsidRPr="00927607">
        <w:rPr>
          <w:color w:val="000000" w:themeColor="text1"/>
        </w:rPr>
        <w:t xml:space="preserve"> questions as each methodology has particular strengths and weaknesses. Therefore, before embarking on any MS-based proteomics experiment, consideration should be given to the type of samples being measured, instrumentation capabilities, and analysis strategy best suited to the biological research questions being addressed in the study. All bottom-up proteomics experiments follow the same general workflow can be adapted at each step.  The shotgun bottom-up proteomics approach via one- or two-dimensional liquid chromatography coupled with nano-electrospray tandem mass spectrometry was employed for all metaproteome experiments described in this dissertation </w:t>
      </w:r>
      <w:r w:rsidRPr="00927607">
        <w:rPr>
          <w:b/>
          <w:bCs/>
          <w:color w:val="000000" w:themeColor="text1"/>
        </w:rPr>
        <w:t>(Figure 2</w:t>
      </w:r>
      <w:r w:rsidR="005D27CC">
        <w:rPr>
          <w:b/>
          <w:bCs/>
          <w:color w:val="000000" w:themeColor="text1"/>
        </w:rPr>
        <w:t>-</w:t>
      </w:r>
      <w:r w:rsidRPr="00927607">
        <w:rPr>
          <w:b/>
          <w:bCs/>
          <w:color w:val="000000" w:themeColor="text1"/>
        </w:rPr>
        <w:t>1).</w:t>
      </w:r>
      <w:r w:rsidRPr="00927607">
        <w:rPr>
          <w:color w:val="000000" w:themeColor="text1"/>
        </w:rPr>
        <w:t xml:space="preserve"> The overall workflow was designed to address two primary challenges that exist for metaproteomics measurement considerations in terms of sample preparation: (1) how can we get microbial proteomes out of complex environmental matrices, and (2) how do we make this method compatible with MS. This general workflow can be adapted for the analysis of proteins from a wide variety of samples, ranging from isolated bacterial cells to complex environmental matrices.</w:t>
      </w:r>
    </w:p>
    <w:p w14:paraId="41F866DF" w14:textId="77777777" w:rsidR="003C1762" w:rsidRPr="00476931" w:rsidRDefault="003C1762" w:rsidP="003C1762">
      <w:pPr>
        <w:rPr>
          <w:color w:val="000000" w:themeColor="text1"/>
        </w:rPr>
      </w:pPr>
    </w:p>
    <w:p w14:paraId="466FB40E" w14:textId="173A0EF7" w:rsidR="003C1762" w:rsidRPr="00476931" w:rsidRDefault="003C1762" w:rsidP="0060435B">
      <w:pPr>
        <w:pStyle w:val="Heading2"/>
      </w:pPr>
      <w:bookmarkStart w:id="41" w:name="_Toc110250221"/>
      <w:bookmarkStart w:id="42" w:name="_Toc110250478"/>
      <w:bookmarkStart w:id="43" w:name="_Toc110250609"/>
      <w:r w:rsidRPr="00476931">
        <w:t>2.2  S</w:t>
      </w:r>
      <w:r w:rsidR="00310878" w:rsidRPr="00476931">
        <w:t>ample preparation</w:t>
      </w:r>
      <w:r w:rsidR="0067780D">
        <w:t>.</w:t>
      </w:r>
      <w:bookmarkEnd w:id="41"/>
      <w:bookmarkEnd w:id="42"/>
      <w:bookmarkEnd w:id="43"/>
    </w:p>
    <w:p w14:paraId="10E8A915" w14:textId="77777777" w:rsidR="003C055D" w:rsidRDefault="003C055D" w:rsidP="003C055D">
      <w:pPr>
        <w:pStyle w:val="BodyText"/>
        <w:spacing w:before="72" w:line="360" w:lineRule="auto"/>
        <w:ind w:left="100" w:right="178" w:firstLine="620"/>
        <w:rPr>
          <w:rFonts w:ascii="Times New Roman" w:hAnsi="Times New Roman" w:cs="Times New Roman"/>
          <w:szCs w:val="24"/>
        </w:rPr>
      </w:pPr>
    </w:p>
    <w:p w14:paraId="73F3DDEB" w14:textId="620264FA" w:rsidR="003C055D" w:rsidRDefault="003C055D" w:rsidP="003C055D">
      <w:pPr>
        <w:pStyle w:val="BodyText"/>
        <w:spacing w:before="72" w:line="360" w:lineRule="auto"/>
        <w:ind w:left="100" w:right="178" w:firstLine="620"/>
        <w:rPr>
          <w:rFonts w:ascii="Times New Roman" w:hAnsi="Times New Roman" w:cs="Times New Roman"/>
          <w:szCs w:val="24"/>
        </w:rPr>
      </w:pPr>
      <w:r>
        <w:rPr>
          <w:rFonts w:ascii="Times New Roman" w:hAnsi="Times New Roman" w:cs="Times New Roman"/>
          <w:szCs w:val="24"/>
        </w:rPr>
        <w:t>The first step in the metaproteomics workflow is the experimental design to appropriately address the posed science question(s), including the selection and collection of samples.  This often involves careful consideration of a several key metrics. After collection, a series of steps in the workflow are conducted related to</w:t>
      </w:r>
      <w:r w:rsidRPr="006167EA">
        <w:rPr>
          <w:rFonts w:ascii="Times New Roman" w:hAnsi="Times New Roman" w:cs="Times New Roman"/>
          <w:szCs w:val="24"/>
        </w:rPr>
        <w:t xml:space="preserve"> </w:t>
      </w:r>
      <w:r>
        <w:rPr>
          <w:rFonts w:ascii="Times New Roman" w:hAnsi="Times New Roman" w:cs="Times New Roman"/>
          <w:szCs w:val="24"/>
        </w:rPr>
        <w:t xml:space="preserve">the liberation </w:t>
      </w:r>
    </w:p>
    <w:p w14:paraId="7EC2E058" w14:textId="77777777" w:rsidR="008437CB" w:rsidRDefault="002A0F76" w:rsidP="008437CB">
      <w:pPr>
        <w:keepNext/>
        <w:spacing w:before="1"/>
        <w:ind w:firstLine="22"/>
      </w:pPr>
      <w:r>
        <w:rPr>
          <w:rFonts w:ascii="Times New Roman" w:hAnsi="Times New Roman" w:cs="Times New Roman"/>
        </w:rPr>
        <w:br w:type="page"/>
      </w:r>
      <w:r>
        <w:rPr>
          <w:rFonts w:ascii="Times New Roman" w:hAnsi="Times New Roman" w:cs="Times New Roman"/>
          <w:noProof/>
        </w:rPr>
        <w:lastRenderedPageBreak/>
        <w:drawing>
          <wp:inline distT="0" distB="0" distL="0" distR="0" wp14:anchorId="0821C705" wp14:editId="12DCC916">
            <wp:extent cx="5414951" cy="5657850"/>
            <wp:effectExtent l="0" t="0" r="0" b="0"/>
            <wp:docPr id="2589" name="Picture 2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16282" cy="5659241"/>
                    </a:xfrm>
                    <a:prstGeom prst="rect">
                      <a:avLst/>
                    </a:prstGeom>
                    <a:noFill/>
                  </pic:spPr>
                </pic:pic>
              </a:graphicData>
            </a:graphic>
          </wp:inline>
        </w:drawing>
      </w:r>
    </w:p>
    <w:p w14:paraId="36E909CD" w14:textId="56DADB0C" w:rsidR="00BA78B0" w:rsidRDefault="008437CB" w:rsidP="00764C01">
      <w:pPr>
        <w:pStyle w:val="Caption"/>
      </w:pPr>
      <w:bookmarkStart w:id="44" w:name="_Toc110246918"/>
      <w:r w:rsidRPr="0060435B">
        <w:t xml:space="preserve">Figure </w:t>
      </w:r>
      <w:fldSimple w:instr=" STYLEREF 1 \s ">
        <w:r w:rsidR="00AC2094">
          <w:rPr>
            <w:noProof/>
          </w:rPr>
          <w:t>2</w:t>
        </w:r>
      </w:fldSimple>
      <w:r w:rsidR="00AC2094">
        <w:noBreakHyphen/>
      </w:r>
      <w:fldSimple w:instr=" SEQ Figure \* ARABIC \s 1 ">
        <w:r w:rsidR="00AC2094">
          <w:rPr>
            <w:noProof/>
          </w:rPr>
          <w:t>1</w:t>
        </w:r>
      </w:fldSimple>
      <w:r w:rsidR="00BA78B0">
        <w:t xml:space="preserve">  General w</w:t>
      </w:r>
      <w:r w:rsidRPr="0060435B">
        <w:t>orkflow for bottom-up LC-MS/MS proteomics.</w:t>
      </w:r>
      <w:bookmarkEnd w:id="44"/>
      <w:r w:rsidR="00BA78B0">
        <w:t xml:space="preserve"> </w:t>
      </w:r>
      <w:r w:rsidR="00BA78B0">
        <w:fldChar w:fldCharType="begin"/>
      </w:r>
      <w:r w:rsidR="00BA78B0">
        <w:instrText xml:space="preserve"> </w:instrText>
      </w:r>
    </w:p>
    <w:p w14:paraId="51A324D2" w14:textId="77777777" w:rsidR="00BA78B0" w:rsidRDefault="00BA78B0" w:rsidP="00764C01">
      <w:pPr>
        <w:pStyle w:val="Caption"/>
      </w:pPr>
    </w:p>
    <w:p w14:paraId="129F4597" w14:textId="7478D7DD" w:rsidR="002409D5" w:rsidRDefault="00BA78B0" w:rsidP="00764C01">
      <w:pPr>
        <w:pStyle w:val="Caption"/>
      </w:pPr>
      <w:r>
        <w:instrText xml:space="preserve"> </w:instrText>
      </w:r>
      <w:r>
        <w:fldChar w:fldCharType="end"/>
      </w:r>
      <w:r>
        <w:fldChar w:fldCharType="begin"/>
      </w:r>
      <w:r>
        <w:instrText xml:space="preserve"> </w:instrText>
      </w:r>
    </w:p>
    <w:p w14:paraId="65B2DC0F" w14:textId="77777777" w:rsidR="002409D5" w:rsidRDefault="002409D5" w:rsidP="0060435B">
      <w:pPr>
        <w:pStyle w:val="Caption"/>
      </w:pPr>
    </w:p>
    <w:p w14:paraId="35D8178F" w14:textId="0214731D" w:rsidR="002A0F76" w:rsidRPr="00235112" w:rsidRDefault="00BA78B0" w:rsidP="0060435B">
      <w:pPr>
        <w:pStyle w:val="Caption"/>
        <w:rPr>
          <w:b w:val="0"/>
          <w:bCs/>
        </w:rPr>
      </w:pPr>
      <w:r>
        <w:instrText xml:space="preserve"> </w:instrText>
      </w:r>
      <w:r>
        <w:fldChar w:fldCharType="end"/>
      </w:r>
      <w:r w:rsidR="008437CB" w:rsidRPr="0060435B">
        <w:t xml:space="preserve"> </w:t>
      </w:r>
      <w:r w:rsidR="008437CB" w:rsidRPr="00235112">
        <w:rPr>
          <w:b w:val="0"/>
          <w:bCs/>
        </w:rPr>
        <w:t>A typical bottom-up proteomics experiment follows six basic steps. (1) Cells are lysed. (2) Proteins are extracted from the resulting lysate and matrix. (3) Extracted proteins are digested into peptides using proteolytic enzymes. (4) Digested peptides are analyzed by LC-MS/MS. (5) Collected MS/MS spectra matched against protein sequence databases to identify peptides. (6) Proteins are inferred from the identified peptides before downstream data analysis.</w:t>
      </w:r>
    </w:p>
    <w:p w14:paraId="697D38D5" w14:textId="77777777" w:rsidR="002A0F76" w:rsidRDefault="002A0F76">
      <w:pPr>
        <w:spacing w:before="1"/>
        <w:rPr>
          <w:rFonts w:ascii="Times New Roman" w:hAnsi="Times New Roman" w:cs="Times New Roman"/>
          <w:iCs/>
          <w:color w:val="000000" w:themeColor="text1"/>
        </w:rPr>
      </w:pPr>
      <w:r>
        <w:rPr>
          <w:rFonts w:ascii="Times New Roman" w:hAnsi="Times New Roman" w:cs="Times New Roman"/>
        </w:rPr>
        <w:br w:type="page"/>
      </w:r>
    </w:p>
    <w:p w14:paraId="1450EFA7" w14:textId="77777777" w:rsidR="00933B86" w:rsidRPr="00933B86" w:rsidRDefault="00933B86" w:rsidP="00933B86">
      <w:pPr>
        <w:ind w:firstLine="0"/>
        <w:rPr>
          <w:rFonts w:ascii="Times New Roman" w:eastAsia="Arial" w:hAnsi="Times New Roman" w:cs="Times New Roman"/>
        </w:rPr>
      </w:pPr>
      <w:r w:rsidRPr="00933B86">
        <w:rPr>
          <w:rFonts w:ascii="Times New Roman" w:eastAsia="Arial" w:hAnsi="Times New Roman" w:cs="Times New Roman"/>
        </w:rPr>
        <w:lastRenderedPageBreak/>
        <w:t xml:space="preserve">and collection of </w:t>
      </w:r>
      <w:proofErr w:type="gramStart"/>
      <w:r w:rsidRPr="00933B86">
        <w:rPr>
          <w:rFonts w:ascii="Times New Roman" w:eastAsia="Arial" w:hAnsi="Times New Roman" w:cs="Times New Roman"/>
        </w:rPr>
        <w:t>all of</w:t>
      </w:r>
      <w:proofErr w:type="gramEnd"/>
      <w:r w:rsidRPr="00933B86">
        <w:rPr>
          <w:rFonts w:ascii="Times New Roman" w:eastAsia="Arial" w:hAnsi="Times New Roman" w:cs="Times New Roman"/>
        </w:rPr>
        <w:t xml:space="preserve"> the proteins present in the sample, including a combination of homogenization and cellular lysis techniques to break up the sample matrix and release proteins from cells.  Proteins are then extracted from the environmental matrix and subjected to clean-up procedures to remove non-proteinaceous material and prepare the samples for enzymatic digestion.  Digested peptides are separated by high-performance liquid chromatography (HPLC) before MS analysis. In the mass spectrometer, the mass to charge (m/z) of peptide analytes are measured in a full mass spectrum (MS1). Peptides with the most abundant peaks from each MS1 spectrum are subjected to fragmentation </w:t>
      </w:r>
      <w:proofErr w:type="gramStart"/>
      <w:r w:rsidRPr="00933B86">
        <w:rPr>
          <w:rFonts w:ascii="Times New Roman" w:eastAsia="Arial" w:hAnsi="Times New Roman" w:cs="Times New Roman"/>
        </w:rPr>
        <w:t>in order to</w:t>
      </w:r>
      <w:proofErr w:type="gramEnd"/>
      <w:r w:rsidRPr="00933B86">
        <w:rPr>
          <w:rFonts w:ascii="Times New Roman" w:eastAsia="Arial" w:hAnsi="Times New Roman" w:cs="Times New Roman"/>
        </w:rPr>
        <w:t xml:space="preserve"> generate tandem mass spectra (MS/MS or MS2) used for amino acid sequence identification by various downstream informatic workflows. Identified peptides are scored for quality and assembled into proteins. Proteins are quantified based on the spectral counts or MS1 intensities of their corresponding peptides. Finally, the proteins can be functionally annotated and analyzed.  Several variations of the general workflow have emerged for metaproteomics analyses, providing the experimental flexibility necessary for diverse environmental matrices.    Since each of the steps in the workflow brings specific challenges and benefits, and can potentially influence the outcomes of the analyses, each needs to be evaluated when determining the specific approach necessary for an individual study.  Specific details and considerations for each step in the workflow are discussed below.</w:t>
      </w:r>
    </w:p>
    <w:p w14:paraId="6FF01F98" w14:textId="77777777" w:rsidR="00933B86" w:rsidRPr="005C5A16" w:rsidRDefault="00933B86" w:rsidP="002A0F76">
      <w:pPr>
        <w:ind w:firstLine="0"/>
        <w:rPr>
          <w:rFonts w:ascii="Times New Roman" w:eastAsia="Arial" w:hAnsi="Times New Roman" w:cs="Times New Roman"/>
        </w:rPr>
      </w:pPr>
    </w:p>
    <w:p w14:paraId="6A9D3639" w14:textId="4FE44395" w:rsidR="00310878" w:rsidRDefault="003C1762" w:rsidP="002A0F76">
      <w:pPr>
        <w:pStyle w:val="Heading3"/>
      </w:pPr>
      <w:bookmarkStart w:id="45" w:name="_Toc110250222"/>
      <w:bookmarkStart w:id="46" w:name="_Toc110250479"/>
      <w:bookmarkStart w:id="47" w:name="_Toc110250610"/>
      <w:r w:rsidRPr="002A0F76">
        <w:t>2.</w:t>
      </w:r>
      <w:r w:rsidR="002A0F76">
        <w:t>2</w:t>
      </w:r>
      <w:r w:rsidR="002A0F76" w:rsidRPr="002A0F76">
        <w:t>.1</w:t>
      </w:r>
      <w:r w:rsidRPr="002A0F76">
        <w:t xml:space="preserve">  </w:t>
      </w:r>
      <w:r w:rsidR="00310878" w:rsidRPr="002A0F76">
        <w:t>Sample selection and collection</w:t>
      </w:r>
      <w:r w:rsidR="0067780D">
        <w:t>.</w:t>
      </w:r>
      <w:bookmarkEnd w:id="45"/>
      <w:bookmarkEnd w:id="46"/>
      <w:bookmarkEnd w:id="47"/>
    </w:p>
    <w:p w14:paraId="33D617A5" w14:textId="77777777" w:rsidR="00FB7F2D" w:rsidRDefault="00FB7F2D" w:rsidP="002A0F76">
      <w:pPr>
        <w:rPr>
          <w:bdr w:val="none" w:sz="0" w:space="0" w:color="auto" w:frame="1"/>
        </w:rPr>
      </w:pPr>
    </w:p>
    <w:p w14:paraId="1BB3FEDD" w14:textId="77777777" w:rsidR="00413812" w:rsidRDefault="00F51D20" w:rsidP="00F51D20">
      <w:pPr>
        <w:rPr>
          <w:bdr w:val="none" w:sz="0" w:space="0" w:color="auto" w:frame="1"/>
        </w:rPr>
      </w:pPr>
      <w:r w:rsidRPr="00F51D20">
        <w:rPr>
          <w:bdr w:val="none" w:sz="0" w:space="0" w:color="auto" w:frame="1"/>
        </w:rPr>
        <w:t>For all research studies, the initial step of determining the appropriate experimental, methodological, and statistical design to generate meaningful data is critical for accurately addressing the specific scientific questions of the study. When designing a study, consideration must be given to the appropriate controls and metadata of the study to create study designs that isolate and interrogate the specific research variables of interest.</w:t>
      </w:r>
      <w:r w:rsidR="00413812" w:rsidRPr="00413812">
        <w:rPr>
          <w:bdr w:val="none" w:sz="0" w:space="0" w:color="auto" w:frame="1"/>
        </w:rPr>
        <w:t xml:space="preserve"> </w:t>
      </w:r>
    </w:p>
    <w:p w14:paraId="1B7499EE" w14:textId="337E9F5A" w:rsidR="00F51D20" w:rsidRDefault="00413812" w:rsidP="00F51D20">
      <w:pPr>
        <w:rPr>
          <w:bdr w:val="none" w:sz="0" w:space="0" w:color="auto" w:frame="1"/>
        </w:rPr>
      </w:pPr>
      <w:r w:rsidRPr="005D0E17">
        <w:rPr>
          <w:bdr w:val="none" w:sz="0" w:space="0" w:color="auto" w:frame="1"/>
        </w:rPr>
        <w:t>Cross-sectional studies can be used to find differences in microbiomes</w:t>
      </w:r>
    </w:p>
    <w:p w14:paraId="0BC85068" w14:textId="68CE1160" w:rsidR="002A0F76" w:rsidRDefault="005D0E17" w:rsidP="00413812">
      <w:pPr>
        <w:ind w:firstLine="0"/>
        <w:rPr>
          <w:bdr w:val="none" w:sz="0" w:space="0" w:color="auto" w:frame="1"/>
        </w:rPr>
      </w:pPr>
      <w:r w:rsidRPr="005D0E17">
        <w:rPr>
          <w:bdr w:val="none" w:sz="0" w:space="0" w:color="auto" w:frame="1"/>
        </w:rPr>
        <w:lastRenderedPageBreak/>
        <w:t>between different study groups across a population (for example, between different sampling environments or between healthy and diseased individuals). However, as microbiomes vary greatly between individuals/site and can be influenced by various environmental factors, differences may arise due to confounding factors other than the research focus of the study, which may obscure patterns in the data if those confounders are not controlled and accounted for in the experimental design</w:t>
      </w:r>
      <w:sdt>
        <w:sdtPr>
          <w:rPr>
            <w:color w:val="000000"/>
            <w:bdr w:val="none" w:sz="0" w:space="0" w:color="auto" w:frame="1"/>
            <w:vertAlign w:val="superscript"/>
          </w:rPr>
          <w:tag w:val="MENDELEY_CITATION_v3_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"/>
          <w:id w:val="-143209640"/>
          <w:placeholder>
            <w:docPart w:val="1B0C46F15FC2C74782817450DED0A1A9"/>
          </w:placeholder>
        </w:sdtPr>
        <w:sdtEndPr/>
        <w:sdtContent>
          <w:r w:rsidR="003204EA" w:rsidRPr="003204EA">
            <w:rPr>
              <w:rFonts w:eastAsia="Times New Roman"/>
              <w:color w:val="000000"/>
              <w:vertAlign w:val="superscript"/>
            </w:rPr>
            <w:t>13</w:t>
          </w:r>
        </w:sdtContent>
      </w:sdt>
      <w:r w:rsidR="002A0F76">
        <w:rPr>
          <w:bdr w:val="none" w:sz="0" w:space="0" w:color="auto" w:frame="1"/>
        </w:rPr>
        <w:t xml:space="preserve">.  </w:t>
      </w:r>
      <w:r w:rsidR="0091565B" w:rsidRPr="0091565B">
        <w:rPr>
          <w:bdr w:val="none" w:sz="0" w:space="0" w:color="auto" w:frame="1"/>
        </w:rPr>
        <w:t>For example, clinical human microbiome research has inherent confounders such as the patient age, gender, diet, medications, and other lifestyle factors that may potentially mask differences between microbiota between study groups.  Since poor study design and metadata collection can negatively influence experimental results, when selecting patients or samples to use for the study, implementing design approaches such as stratification-based designs can help resolve differences caused by confounding effects.  Longitudinal studies can be designed with sampling frequencies selected that are appropriate to capture the temporal and developmental dynamics of the community as an alternative approach to cross-sectional studies that capture one moment in time.  A key benefit of longitudinal analyses is the ability to capture the functional activities of core and transient microbiota in strongly dynamic systems</w:t>
      </w:r>
      <w:r w:rsidR="0091565B" w:rsidRPr="0091565B">
        <w:rPr>
          <w:bdr w:val="none" w:sz="0" w:space="0" w:color="auto" w:frame="1"/>
          <w:vertAlign w:val="superscript"/>
        </w:rPr>
        <w:t xml:space="preserve"> </w:t>
      </w:r>
      <w:sdt>
        <w:sdtPr>
          <w:rPr>
            <w:color w:val="000000"/>
            <w:bdr w:val="none" w:sz="0" w:space="0" w:color="auto" w:frame="1"/>
            <w:vertAlign w:val="superscript"/>
          </w:rPr>
          <w:tag w:val="MENDELEY_CITATION_v3_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"/>
          <w:id w:val="659975667"/>
          <w:placeholder>
            <w:docPart w:val="1B0C46F15FC2C74782817450DED0A1A9"/>
          </w:placeholder>
        </w:sdtPr>
        <w:sdtEndPr/>
        <w:sdtContent>
          <w:r w:rsidR="003204EA" w:rsidRPr="003204EA">
            <w:rPr>
              <w:rFonts w:eastAsia="Times New Roman"/>
              <w:color w:val="000000"/>
              <w:vertAlign w:val="superscript"/>
            </w:rPr>
            <w:t>9</w:t>
          </w:r>
        </w:sdtContent>
      </w:sdt>
      <w:r w:rsidR="002A0F76">
        <w:rPr>
          <w:bdr w:val="none" w:sz="0" w:space="0" w:color="auto" w:frame="1"/>
        </w:rPr>
        <w:t>.</w:t>
      </w:r>
    </w:p>
    <w:p w14:paraId="600D1C7B" w14:textId="77777777" w:rsidR="00DA3076" w:rsidRPr="00DA3076" w:rsidRDefault="00DA3076" w:rsidP="00DA3076">
      <w:pPr>
        <w:rPr>
          <w:bdr w:val="none" w:sz="0" w:space="0" w:color="auto" w:frame="1"/>
        </w:rPr>
      </w:pPr>
      <w:r w:rsidRPr="00DA3076">
        <w:rPr>
          <w:bdr w:val="none" w:sz="0" w:space="0" w:color="auto" w:frame="1"/>
        </w:rPr>
        <w:t xml:space="preserve">Methodological and technical variations should be accounted for when selecting samples for the study. The extraction method used must be considered to determine </w:t>
      </w:r>
      <w:proofErr w:type="gramStart"/>
      <w:r w:rsidRPr="00DA3076">
        <w:rPr>
          <w:bdr w:val="none" w:sz="0" w:space="0" w:color="auto" w:frame="1"/>
        </w:rPr>
        <w:t>whether or not</w:t>
      </w:r>
      <w:proofErr w:type="gramEnd"/>
      <w:r w:rsidRPr="00DA3076">
        <w:rPr>
          <w:bdr w:val="none" w:sz="0" w:space="0" w:color="auto" w:frame="1"/>
        </w:rPr>
        <w:t xml:space="preserve"> it will be biased in the types of microbes or proteins extracted and whether or not there will be sufficient microbial yield from the amount of sample collected. Any potential interferences present in the environmental matrix that may</w:t>
      </w:r>
      <w:r w:rsidRPr="00DA3076">
        <w:rPr>
          <w:b/>
          <w:bCs/>
          <w:bdr w:val="none" w:sz="0" w:space="0" w:color="auto" w:frame="1"/>
        </w:rPr>
        <w:t xml:space="preserve"> </w:t>
      </w:r>
      <w:r w:rsidRPr="00DA3076">
        <w:rPr>
          <w:bdr w:val="none" w:sz="0" w:space="0" w:color="auto" w:frame="1"/>
        </w:rPr>
        <w:t xml:space="preserve">negatively impact measurements must be considered. Appropriate controls, including methodological and reagent blanks, can be incorporated into the sample preparation process to evaluate experimental bias and variability. If replicates are necessary for the study, consideration should be given to what types of replicates are necessary (biological or technical) and constitutes a biological replicate for the system.  As most microbial communities exist in highly dynamic systems with both biotic and abiotic factors, spatial and temporal characteristics must be considered when determining what constitutes a biological replicate.  Finally, when collecting materials, one must </w:t>
      </w:r>
      <w:r w:rsidRPr="00DA3076">
        <w:rPr>
          <w:bdr w:val="none" w:sz="0" w:space="0" w:color="auto" w:frame="1"/>
        </w:rPr>
        <w:lastRenderedPageBreak/>
        <w:t>decide if paired experiments will be conducted using other omics technologies and whether there is enough available material that can be collected for a matched sample for all experiments.  If paired experiments will be conducted appropriate sample handling techniques must be implemented for each technique. For example, the proteome is dynamic compared to the genome, and therefore sample integrity is based on rapid freezing to avoid proteome changes due to improper sample handling.</w:t>
      </w:r>
    </w:p>
    <w:p w14:paraId="17F83E1C" w14:textId="77777777" w:rsidR="003930BA" w:rsidRPr="00476931" w:rsidRDefault="003930BA" w:rsidP="003930BA">
      <w:pPr>
        <w:rPr>
          <w:rFonts w:eastAsiaTheme="minorEastAsia"/>
          <w:color w:val="000000" w:themeColor="text1"/>
        </w:rPr>
      </w:pPr>
    </w:p>
    <w:p w14:paraId="15D021BC" w14:textId="0DC551CD" w:rsidR="00310878" w:rsidRPr="00476931" w:rsidRDefault="003930BA" w:rsidP="002A0F76">
      <w:pPr>
        <w:pStyle w:val="Heading3"/>
      </w:pPr>
      <w:bookmarkStart w:id="48" w:name="_Toc110250223"/>
      <w:bookmarkStart w:id="49" w:name="_Toc110250480"/>
      <w:bookmarkStart w:id="50" w:name="_Toc110250611"/>
      <w:r w:rsidRPr="00476931">
        <w:t>2.</w:t>
      </w:r>
      <w:r w:rsidR="002A0F76">
        <w:t>2.2</w:t>
      </w:r>
      <w:r w:rsidRPr="00476931">
        <w:t xml:space="preserve">  </w:t>
      </w:r>
      <w:r w:rsidR="00310878" w:rsidRPr="00476931">
        <w:t>Cellular lysis and protein extraction</w:t>
      </w:r>
      <w:r w:rsidR="0067780D">
        <w:t>.</w:t>
      </w:r>
      <w:bookmarkEnd w:id="48"/>
      <w:bookmarkEnd w:id="49"/>
      <w:bookmarkEnd w:id="50"/>
    </w:p>
    <w:p w14:paraId="73E1E0EA" w14:textId="77777777" w:rsidR="00FB7F2D" w:rsidRDefault="00FB7F2D" w:rsidP="002A0F76">
      <w:pPr>
        <w:rPr>
          <w:rFonts w:ascii="Times New Roman" w:eastAsia="Times New Roman" w:hAnsi="Times New Roman" w:cs="Times New Roman"/>
          <w:color w:val="000000"/>
        </w:rPr>
      </w:pPr>
    </w:p>
    <w:p w14:paraId="4C34519B" w14:textId="07E32B42" w:rsidR="002A0F76" w:rsidRDefault="00D5227A" w:rsidP="002A0F76">
      <w:pPr>
        <w:rPr>
          <w:rFonts w:ascii="Times New Roman" w:eastAsia="Times New Roman" w:hAnsi="Times New Roman" w:cs="Times New Roman"/>
          <w:color w:val="000000"/>
        </w:rPr>
      </w:pPr>
      <w:r w:rsidRPr="00D5227A">
        <w:rPr>
          <w:rFonts w:ascii="Times New Roman" w:hAnsi="Times New Roman" w:cs="Times New Roman"/>
        </w:rPr>
        <w:t xml:space="preserve">Following sample collection, microbial cells are </w:t>
      </w:r>
      <w:proofErr w:type="gramStart"/>
      <w:r w:rsidRPr="00D5227A">
        <w:rPr>
          <w:rFonts w:ascii="Times New Roman" w:hAnsi="Times New Roman" w:cs="Times New Roman"/>
        </w:rPr>
        <w:t>lysed</w:t>
      </w:r>
      <w:proofErr w:type="gramEnd"/>
      <w:r w:rsidRPr="00D5227A">
        <w:rPr>
          <w:rFonts w:ascii="Times New Roman" w:hAnsi="Times New Roman" w:cs="Times New Roman"/>
        </w:rPr>
        <w:t xml:space="preserve"> and proteins are extracted from the environmental matrix using chemical or mechanical methods, or a combination of both methods.  The choice of a particular lysis approach depends on the sample type, downstream methodology, and user preference. Chemical methods include lysis using detergents, such as sodium dodecyl sulfate (SDS) or Triton X-100, to destabilize cell membrane structure and break lipid-protein interactions. Mechanical disruption includes freeze/thaw treatments, sonication, bead-beating, or homogenization.   As microbiome samples may contain different cell types (Gram-negative and Gram-positive bacteria, archaea, and fungi), each of which have different cell wall structures, and therefore differences in ease of lysis. In addition, environmental samples may have non-cellular abiotic components in the matrix which hinder lysis. Therefore, for large-scale metaproteomics, a combination of chemical and mechanical cell lysis techniques </w:t>
      </w:r>
      <w:proofErr w:type="gramStart"/>
      <w:r w:rsidRPr="00D5227A">
        <w:rPr>
          <w:rFonts w:ascii="Times New Roman" w:hAnsi="Times New Roman" w:cs="Times New Roman"/>
        </w:rPr>
        <w:t>are</w:t>
      </w:r>
      <w:proofErr w:type="gramEnd"/>
      <w:r w:rsidRPr="00D5227A">
        <w:rPr>
          <w:rFonts w:ascii="Times New Roman" w:hAnsi="Times New Roman" w:cs="Times New Roman"/>
        </w:rPr>
        <w:t xml:space="preserve"> often used to increase protein yields from high complexity microbiome samples composed of microbiota with different optimal lysis conditions</w:t>
      </w:r>
      <w:sdt>
        <w:sdtPr>
          <w:rPr>
            <w:rFonts w:ascii="Times New Roman" w:hAnsi="Times New Roman" w:cs="Times New Roman"/>
            <w:color w:val="000000"/>
            <w:vertAlign w:val="superscript"/>
          </w:rPr>
          <w:tag w:val="MENDELEY_CITATION_v3_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"/>
          <w:id w:val="-1320722873"/>
          <w:placeholder>
            <w:docPart w:val="F28380414962BD4EBCCD0D1393DAD3CC"/>
          </w:placeholder>
        </w:sdtPr>
        <w:sdtEndPr/>
        <w:sdtContent>
          <w:r w:rsidR="003204EA" w:rsidRPr="003204EA">
            <w:rPr>
              <w:rFonts w:eastAsia="Times New Roman"/>
              <w:color w:val="000000"/>
              <w:vertAlign w:val="superscript"/>
            </w:rPr>
            <w:t>45,46</w:t>
          </w:r>
        </w:sdtContent>
      </w:sdt>
      <w:r w:rsidR="002A0F76">
        <w:rPr>
          <w:rFonts w:ascii="Times New Roman" w:hAnsi="Times New Roman" w:cs="Times New Roman"/>
        </w:rPr>
        <w:t>.</w:t>
      </w:r>
    </w:p>
    <w:p w14:paraId="0E2B7593" w14:textId="324413BE" w:rsidR="002A0F76" w:rsidRDefault="002F1406" w:rsidP="002A0F76">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For chemical lysis, </w:t>
      </w:r>
      <w:r w:rsidR="00207786">
        <w:rPr>
          <w:rFonts w:ascii="Times New Roman" w:eastAsia="Times New Roman" w:hAnsi="Times New Roman" w:cs="Times New Roman"/>
          <w:color w:val="000000"/>
        </w:rPr>
        <w:t xml:space="preserve">the detergent </w:t>
      </w:r>
      <w:r w:rsidRPr="00492F2D">
        <w:rPr>
          <w:rFonts w:ascii="Times New Roman" w:eastAsia="Times New Roman" w:hAnsi="Times New Roman" w:cs="Times New Roman"/>
          <w:color w:val="000000"/>
        </w:rPr>
        <w:t>sodium dodecyl sulfate</w:t>
      </w:r>
      <w:r>
        <w:rPr>
          <w:rFonts w:ascii="Times New Roman" w:eastAsia="Times New Roman" w:hAnsi="Times New Roman" w:cs="Times New Roman"/>
          <w:color w:val="000000"/>
        </w:rPr>
        <w:t xml:space="preserve"> (</w:t>
      </w:r>
      <w:r w:rsidRPr="00B879D0">
        <w:rPr>
          <w:rFonts w:ascii="Times New Roman" w:eastAsia="Times New Roman" w:hAnsi="Times New Roman" w:cs="Times New Roman"/>
          <w:color w:val="000000"/>
        </w:rPr>
        <w:t>SDS</w:t>
      </w:r>
      <w:r>
        <w:rPr>
          <w:rFonts w:ascii="Times New Roman" w:eastAsia="Times New Roman" w:hAnsi="Times New Roman" w:cs="Times New Roman"/>
          <w:color w:val="000000"/>
        </w:rPr>
        <w:t>)</w:t>
      </w:r>
      <w:r w:rsidRPr="00B879D0">
        <w:rPr>
          <w:rFonts w:ascii="Times New Roman" w:eastAsia="Times New Roman" w:hAnsi="Times New Roman" w:cs="Times New Roman"/>
          <w:color w:val="000000"/>
        </w:rPr>
        <w:t xml:space="preserve"> is widely used in protein extraction </w:t>
      </w:r>
      <w:r w:rsidR="00207786">
        <w:rPr>
          <w:rFonts w:ascii="Times New Roman" w:eastAsia="Times New Roman" w:hAnsi="Times New Roman" w:cs="Times New Roman"/>
          <w:color w:val="000000"/>
        </w:rPr>
        <w:t>methods due to</w:t>
      </w:r>
      <w:r w:rsidRPr="00B879D0">
        <w:rPr>
          <w:rFonts w:ascii="Times New Roman" w:eastAsia="Times New Roman" w:hAnsi="Times New Roman" w:cs="Times New Roman"/>
          <w:color w:val="000000"/>
        </w:rPr>
        <w:t xml:space="preserve"> increased efficiency of </w:t>
      </w:r>
      <w:r w:rsidR="00D71B8C">
        <w:rPr>
          <w:rFonts w:ascii="Times New Roman" w:eastAsia="Times New Roman" w:hAnsi="Times New Roman" w:cs="Times New Roman"/>
          <w:color w:val="000000"/>
        </w:rPr>
        <w:t xml:space="preserve">this detergent for </w:t>
      </w:r>
      <w:r w:rsidRPr="00B879D0">
        <w:rPr>
          <w:rFonts w:ascii="Times New Roman" w:eastAsia="Times New Roman" w:hAnsi="Times New Roman" w:cs="Times New Roman"/>
          <w:color w:val="000000"/>
        </w:rPr>
        <w:t>whole-cell protein solubilization</w:t>
      </w:r>
      <w:r>
        <w:rPr>
          <w:rFonts w:ascii="Times New Roman" w:eastAsia="Times New Roman" w:hAnsi="Times New Roman" w:cs="Times New Roman"/>
          <w:color w:val="000000"/>
        </w:rPr>
        <w:t xml:space="preserve">.  The choice of detergent is for cell lysis and protein extraction is critical, as it impacts downstream sample preparation procedures.  Some detergents can interfere with proteolytic </w:t>
      </w:r>
      <w:proofErr w:type="gramStart"/>
      <w:r>
        <w:rPr>
          <w:rFonts w:ascii="Times New Roman" w:eastAsia="Times New Roman" w:hAnsi="Times New Roman" w:cs="Times New Roman"/>
          <w:color w:val="000000"/>
        </w:rPr>
        <w:t>digestion, and</w:t>
      </w:r>
      <w:proofErr w:type="gramEnd"/>
      <w:r>
        <w:rPr>
          <w:rFonts w:ascii="Times New Roman" w:eastAsia="Times New Roman" w:hAnsi="Times New Roman" w:cs="Times New Roman"/>
          <w:color w:val="000000"/>
        </w:rPr>
        <w:t xml:space="preserve"> can also interfere with LC-MS/MS measurements by clogging the LC columns and damaging the mass </w:t>
      </w:r>
      <w:r>
        <w:rPr>
          <w:rFonts w:ascii="Times New Roman" w:eastAsia="Times New Roman" w:hAnsi="Times New Roman" w:cs="Times New Roman"/>
          <w:color w:val="000000"/>
        </w:rPr>
        <w:lastRenderedPageBreak/>
        <w:t>spectrometry instrumentation, or suppression ion signal</w:t>
      </w:r>
      <w:sdt>
        <w:sdtPr>
          <w:rPr>
            <w:rFonts w:ascii="Times New Roman" w:eastAsia="Times New Roman" w:hAnsi="Times New Roman" w:cs="Times New Roman"/>
            <w:color w:val="000000"/>
            <w:vertAlign w:val="superscript"/>
          </w:rPr>
          <w:tag w:val="MENDELEY_CITATION_v3_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"/>
          <w:id w:val="-1948540654"/>
          <w:placeholder>
            <w:docPart w:val="F28380414962BD4EBCCD0D1393DAD3CC"/>
          </w:placeholder>
        </w:sdtPr>
        <w:sdtEndPr/>
        <w:sdtContent>
          <w:r w:rsidR="003204EA" w:rsidRPr="003204EA">
            <w:rPr>
              <w:rFonts w:eastAsia="Times New Roman"/>
              <w:color w:val="000000"/>
              <w:vertAlign w:val="superscript"/>
            </w:rPr>
            <w:t>47</w:t>
          </w:r>
        </w:sdtContent>
      </w:sdt>
      <w:r w:rsidR="002A0F76">
        <w:rPr>
          <w:rFonts w:ascii="Times New Roman" w:eastAsia="Times New Roman" w:hAnsi="Times New Roman" w:cs="Times New Roman"/>
          <w:color w:val="000000"/>
        </w:rPr>
        <w:t xml:space="preserve">. </w:t>
      </w:r>
      <w:r w:rsidR="0033776F" w:rsidRPr="0033776F">
        <w:rPr>
          <w:rFonts w:ascii="Times New Roman" w:eastAsia="Times New Roman" w:hAnsi="Times New Roman" w:cs="Times New Roman"/>
          <w:color w:val="000000"/>
        </w:rPr>
        <w:t xml:space="preserve">Since SDS can be effectively removed from the sample prior to proteolytic digestion, this detergent is frequently selected for bottom-up proteomics experiments. </w:t>
      </w:r>
      <w:r w:rsidR="005660D6">
        <w:rPr>
          <w:rFonts w:ascii="Times New Roman" w:eastAsia="Times New Roman" w:hAnsi="Times New Roman" w:cs="Times New Roman"/>
          <w:color w:val="000000"/>
        </w:rPr>
        <w:t>Several proteomics</w:t>
      </w:r>
      <w:r w:rsidR="0033776F" w:rsidRPr="0033776F">
        <w:rPr>
          <w:rFonts w:ascii="Times New Roman" w:eastAsia="Times New Roman" w:hAnsi="Times New Roman" w:cs="Times New Roman"/>
          <w:color w:val="000000"/>
        </w:rPr>
        <w:t xml:space="preserve"> publications have demonstrated that </w:t>
      </w:r>
      <w:r w:rsidR="00CF143D">
        <w:rPr>
          <w:rFonts w:ascii="Times New Roman" w:eastAsia="Times New Roman" w:hAnsi="Times New Roman" w:cs="Times New Roman"/>
          <w:color w:val="000000"/>
        </w:rPr>
        <w:t>including</w:t>
      </w:r>
      <w:r w:rsidR="0033776F" w:rsidRPr="0033776F">
        <w:rPr>
          <w:rFonts w:ascii="Times New Roman" w:eastAsia="Times New Roman" w:hAnsi="Times New Roman" w:cs="Times New Roman"/>
          <w:color w:val="000000"/>
        </w:rPr>
        <w:t xml:space="preserve"> </w:t>
      </w:r>
      <w:r w:rsidR="00CF143D">
        <w:rPr>
          <w:rFonts w:ascii="Times New Roman" w:eastAsia="Times New Roman" w:hAnsi="Times New Roman" w:cs="Times New Roman"/>
          <w:color w:val="000000"/>
        </w:rPr>
        <w:t>SDS</w:t>
      </w:r>
      <w:r w:rsidR="0033776F" w:rsidRPr="0033776F">
        <w:rPr>
          <w:rFonts w:ascii="Times New Roman" w:eastAsia="Times New Roman" w:hAnsi="Times New Roman" w:cs="Times New Roman"/>
          <w:color w:val="000000"/>
        </w:rPr>
        <w:t xml:space="preserve"> in </w:t>
      </w:r>
      <w:r w:rsidR="00DD55CF">
        <w:rPr>
          <w:rFonts w:ascii="Times New Roman" w:eastAsia="Times New Roman" w:hAnsi="Times New Roman" w:cs="Times New Roman"/>
          <w:color w:val="000000"/>
        </w:rPr>
        <w:t xml:space="preserve">a </w:t>
      </w:r>
      <w:r w:rsidR="0033776F" w:rsidRPr="0033776F">
        <w:rPr>
          <w:rFonts w:ascii="Times New Roman" w:eastAsia="Times New Roman" w:hAnsi="Times New Roman" w:cs="Times New Roman"/>
          <w:color w:val="000000"/>
        </w:rPr>
        <w:t xml:space="preserve">protein extraction protocol increases </w:t>
      </w:r>
      <w:r w:rsidR="00DD55CF">
        <w:rPr>
          <w:rFonts w:ascii="Times New Roman" w:eastAsia="Times New Roman" w:hAnsi="Times New Roman" w:cs="Times New Roman"/>
          <w:color w:val="000000"/>
        </w:rPr>
        <w:t xml:space="preserve"> the </w:t>
      </w:r>
      <w:r w:rsidR="0033776F" w:rsidRPr="0033776F">
        <w:rPr>
          <w:rFonts w:ascii="Times New Roman" w:eastAsia="Times New Roman" w:hAnsi="Times New Roman" w:cs="Times New Roman"/>
          <w:color w:val="000000"/>
        </w:rPr>
        <w:t>peptide identification rates from a wide range of proteins, including peptides</w:t>
      </w:r>
      <w:r w:rsidR="00DD55CF">
        <w:rPr>
          <w:rFonts w:ascii="Times New Roman" w:eastAsia="Times New Roman" w:hAnsi="Times New Roman" w:cs="Times New Roman"/>
          <w:color w:val="000000"/>
        </w:rPr>
        <w:t xml:space="preserve"> that are</w:t>
      </w:r>
      <w:r w:rsidR="0033776F" w:rsidRPr="0033776F">
        <w:rPr>
          <w:rFonts w:ascii="Times New Roman" w:eastAsia="Times New Roman" w:hAnsi="Times New Roman" w:cs="Times New Roman"/>
          <w:color w:val="000000"/>
        </w:rPr>
        <w:t xml:space="preserve"> found in membrane-associated </w:t>
      </w:r>
      <w:r w:rsidR="0033776F">
        <w:rPr>
          <w:rFonts w:ascii="Times New Roman" w:eastAsia="Times New Roman" w:hAnsi="Times New Roman" w:cs="Times New Roman"/>
          <w:color w:val="000000"/>
        </w:rPr>
        <w:t>prote</w:t>
      </w:r>
      <w:r w:rsidR="002A0F76" w:rsidRPr="00B879D0">
        <w:rPr>
          <w:rFonts w:ascii="Times New Roman" w:eastAsia="Times New Roman" w:hAnsi="Times New Roman" w:cs="Times New Roman"/>
          <w:color w:val="000000"/>
        </w:rPr>
        <w:t>ins</w:t>
      </w:r>
      <w:sdt>
        <w:sdtPr>
          <w:rPr>
            <w:rFonts w:ascii="Times New Roman" w:hAnsi="Times New Roman" w:cs="Times New Roman"/>
            <w:color w:val="000000"/>
            <w:vertAlign w:val="superscript"/>
          </w:rPr>
          <w:tag w:val="MENDELEY_CITATION_v3_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"/>
          <w:id w:val="-400523805"/>
          <w:placeholder>
            <w:docPart w:val="4FB794131B02DE4296689E8E9B432F8B"/>
          </w:placeholder>
        </w:sdtPr>
        <w:sdtEndPr/>
        <w:sdtContent>
          <w:r w:rsidR="003204EA" w:rsidRPr="003204EA">
            <w:rPr>
              <w:rFonts w:eastAsia="Times New Roman"/>
              <w:color w:val="000000"/>
              <w:vertAlign w:val="superscript"/>
            </w:rPr>
            <w:t>48</w:t>
          </w:r>
        </w:sdtContent>
      </w:sdt>
      <w:r w:rsidR="002A0F76">
        <w:rPr>
          <w:rFonts w:ascii="Times New Roman" w:hAnsi="Times New Roman" w:cs="Times New Roman"/>
        </w:rPr>
        <w:t>, even when applied to a v</w:t>
      </w:r>
      <w:r w:rsidR="002A0F76" w:rsidRPr="00B879D0">
        <w:rPr>
          <w:rFonts w:ascii="Times New Roman" w:eastAsia="Times New Roman" w:hAnsi="Times New Roman" w:cs="Times New Roman"/>
          <w:color w:val="000000"/>
        </w:rPr>
        <w:t>ariety of microbial systems</w:t>
      </w:r>
      <w:sdt>
        <w:sdtPr>
          <w:rPr>
            <w:rFonts w:ascii="Times New Roman" w:eastAsia="Times New Roman" w:hAnsi="Times New Roman" w:cs="Times New Roman"/>
            <w:color w:val="000000"/>
            <w:vertAlign w:val="superscript"/>
          </w:rPr>
          <w:tag w:val="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"/>
          <w:id w:val="136927042"/>
          <w:placeholder>
            <w:docPart w:val="F28380414962BD4EBCCD0D1393DAD3CC"/>
          </w:placeholder>
        </w:sdtPr>
        <w:sdtEndPr/>
        <w:sdtContent>
          <w:r w:rsidR="003204EA" w:rsidRPr="003204EA">
            <w:rPr>
              <w:rFonts w:eastAsia="Times New Roman"/>
              <w:color w:val="000000"/>
              <w:vertAlign w:val="superscript"/>
            </w:rPr>
            <w:t>49–51</w:t>
          </w:r>
        </w:sdtContent>
      </w:sdt>
      <w:r w:rsidR="002A0F76" w:rsidRPr="00B879D0">
        <w:rPr>
          <w:rFonts w:ascii="Times New Roman" w:eastAsia="Times New Roman" w:hAnsi="Times New Roman" w:cs="Times New Roman"/>
          <w:color w:val="000000"/>
        </w:rPr>
        <w:t>.</w:t>
      </w:r>
    </w:p>
    <w:p w14:paraId="344A447F" w14:textId="123020C7" w:rsidR="002A0F76" w:rsidRDefault="00F066AC" w:rsidP="002A0F76">
      <w:pPr>
        <w:rPr>
          <w:rFonts w:ascii="Times New Roman" w:hAnsi="Times New Roman" w:cs="Times New Roman"/>
        </w:rPr>
      </w:pPr>
      <w:r>
        <w:rPr>
          <w:rFonts w:ascii="Times New Roman" w:eastAsia="Times New Roman" w:hAnsi="Times New Roman" w:cs="Times New Roman"/>
          <w:color w:val="000000"/>
        </w:rPr>
        <w:t>For mechanical-based cell disruption, a key factor in determining the method applied is the number of samples in the experiment, the amount of microbial biomass in the sample and the presence of abiotic components in the samples. F</w:t>
      </w:r>
      <w:r w:rsidRPr="00B879D0">
        <w:rPr>
          <w:rFonts w:ascii="Times New Roman" w:hAnsi="Times New Roman" w:cs="Times New Roman"/>
        </w:rPr>
        <w:t>or complex environmental microbiome samples in which there is a limited amount of material</w:t>
      </w:r>
      <w:r>
        <w:rPr>
          <w:rFonts w:ascii="Times New Roman" w:hAnsi="Times New Roman" w:cs="Times New Roman"/>
        </w:rPr>
        <w:t xml:space="preserve">, sonication procedures are effective, but this method is prone to cross-contamination </w:t>
      </w:r>
      <w:r w:rsidRPr="00B879D0">
        <w:rPr>
          <w:rFonts w:ascii="Times New Roman" w:hAnsi="Times New Roman" w:cs="Times New Roman"/>
        </w:rPr>
        <w:t>or sample loss associated with direct contact of sonication probes with the sample</w:t>
      </w:r>
      <w:r>
        <w:rPr>
          <w:rFonts w:ascii="Times New Roman" w:hAnsi="Times New Roman" w:cs="Times New Roman"/>
        </w:rPr>
        <w:t>s</w:t>
      </w:r>
      <w:r w:rsidRPr="00B879D0">
        <w:rPr>
          <w:rFonts w:ascii="Times New Roman" w:hAnsi="Times New Roman" w:cs="Times New Roman"/>
        </w:rPr>
        <w:t xml:space="preserve">.  </w:t>
      </w:r>
      <w:r>
        <w:rPr>
          <w:rFonts w:ascii="Times New Roman" w:hAnsi="Times New Roman" w:cs="Times New Roman"/>
        </w:rPr>
        <w:t xml:space="preserve">In addition, for some sample types that contain a lot of large debris, such as soils, to use sonication for cell lysis, additional pre-lysis procedures are necessary to avoid damaging the sonication probe.  Bead-beating is commonly employed in metaproteomics experiments, and the composition, quantity, and size of beads used in the process is dictated by the origin of the sample and the amount of biomass. This approach has been demonstrated to increase protein yields of Gram-positive bacteria and some yeast species without impacting protein recoveries from Gram-negative bacteria compared to other extraction </w:t>
      </w:r>
      <w:r w:rsidR="002A0F76">
        <w:rPr>
          <w:rFonts w:ascii="Times New Roman" w:hAnsi="Times New Roman" w:cs="Times New Roman"/>
        </w:rPr>
        <w:t>methods</w:t>
      </w:r>
      <w:sdt>
        <w:sdtPr>
          <w:rPr>
            <w:rFonts w:ascii="Times New Roman" w:hAnsi="Times New Roman" w:cs="Times New Roman"/>
            <w:color w:val="000000"/>
            <w:vertAlign w:val="superscript"/>
          </w:rPr>
          <w:tag w:val="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"/>
          <w:id w:val="-743025111"/>
          <w:placeholder>
            <w:docPart w:val="F28380414962BD4EBCCD0D1393DAD3CC"/>
          </w:placeholder>
        </w:sdtPr>
        <w:sdtEndPr/>
        <w:sdtContent>
          <w:r w:rsidR="003204EA" w:rsidRPr="003204EA">
            <w:rPr>
              <w:rFonts w:eastAsia="Times New Roman"/>
              <w:color w:val="000000"/>
              <w:vertAlign w:val="superscript"/>
            </w:rPr>
            <w:t>52,53</w:t>
          </w:r>
        </w:sdtContent>
      </w:sdt>
      <w:r w:rsidR="002A0F76">
        <w:rPr>
          <w:rFonts w:ascii="Times New Roman" w:hAnsi="Times New Roman" w:cs="Times New Roman"/>
        </w:rPr>
        <w:t>.</w:t>
      </w:r>
    </w:p>
    <w:p w14:paraId="4E7C53E1" w14:textId="72D02E0D" w:rsidR="008437CB" w:rsidRDefault="002A0F76" w:rsidP="00413812">
      <w:pPr>
        <w:rPr>
          <w:rFonts w:eastAsiaTheme="majorEastAsia" w:cstheme="majorBidi"/>
          <w:b/>
          <w:color w:val="000000" w:themeColor="text1"/>
        </w:rPr>
      </w:pPr>
      <w:r>
        <w:rPr>
          <w:rFonts w:ascii="Times New Roman" w:hAnsi="Times New Roman" w:cs="Times New Roman"/>
        </w:rPr>
        <w:t>In this dissertation, chemical extraction via SDS was combined with mechanical disruption via bead-beating for most of the metaproteome studies presented.  SDS was paired with homogenization or sonication of the soil and ocean metaproteome samples in Chapter 2 and the uncultivated gut bacteriophage fecal samples presented in Chapter 7.</w:t>
      </w:r>
      <w:r w:rsidR="008437CB">
        <w:br w:type="page"/>
      </w:r>
    </w:p>
    <w:p w14:paraId="7105AB3F" w14:textId="5A31F969" w:rsidR="002C470B" w:rsidRPr="00DB23F8" w:rsidRDefault="00310878" w:rsidP="002C470B">
      <w:pPr>
        <w:pStyle w:val="Heading3"/>
      </w:pPr>
      <w:r w:rsidRPr="00476931">
        <w:lastRenderedPageBreak/>
        <w:t xml:space="preserve"> </w:t>
      </w:r>
      <w:bookmarkStart w:id="51" w:name="_Toc110250224"/>
      <w:bookmarkStart w:id="52" w:name="_Toc110250481"/>
      <w:bookmarkStart w:id="53" w:name="_Toc110250612"/>
      <w:r w:rsidR="003930BA" w:rsidRPr="00476931">
        <w:t>2.</w:t>
      </w:r>
      <w:r w:rsidR="002C470B">
        <w:t>2.3</w:t>
      </w:r>
      <w:r w:rsidR="003930BA" w:rsidRPr="00476931">
        <w:t xml:space="preserve">  </w:t>
      </w:r>
      <w:r w:rsidR="002C470B" w:rsidRPr="00DB23F8">
        <w:t>Protein denaturation, clean-up, and digestion</w:t>
      </w:r>
      <w:r w:rsidR="0067780D">
        <w:t>.</w:t>
      </w:r>
      <w:bookmarkEnd w:id="51"/>
      <w:bookmarkEnd w:id="52"/>
      <w:bookmarkEnd w:id="53"/>
    </w:p>
    <w:p w14:paraId="7D20327B" w14:textId="77777777" w:rsidR="00FB7F2D" w:rsidRDefault="00FB7F2D" w:rsidP="002C470B"/>
    <w:p w14:paraId="2B411B88" w14:textId="14601B93" w:rsidR="002C470B" w:rsidRPr="001A7E92" w:rsidRDefault="001A7514" w:rsidP="002C470B">
      <w:r w:rsidRPr="001A7514">
        <w:t>For successful downstream protein digestion, protein denaturation procedures are often performed concurrently with the cell lysis and protein extraction process as many of the reagents and procedures are the same.  Protein denaturation and reduction steps are often included in workflows to generate and maintain protein structures that which are amenable to enzymatic digestion by exposing the proteolytic cleavage sites throughout the protein. In addition to physical protein denaturation processes such as heat treatment or sonication, chemical additives are often included in the lysis buffers that help with protein solubilization and prevent protein renaturation.  Three classes of chemical additives are common in bottom-up proteomics: (1)</w:t>
      </w:r>
      <w:r w:rsidR="00785F8F">
        <w:t xml:space="preserve"> </w:t>
      </w:r>
      <w:proofErr w:type="spellStart"/>
      <w:r w:rsidRPr="001A7514">
        <w:t>chaotropes</w:t>
      </w:r>
      <w:proofErr w:type="spellEnd"/>
      <w:r w:rsidRPr="001A7514">
        <w:t>, (2) detergents, and (3) reducing agents.  Chaotropes, such as urea prevent protein aggregation by disrupting intra- and inter-molecular hydrophobic interactions and hydrogen bonds</w:t>
      </w:r>
      <w:sdt>
        <w:sdtPr>
          <w:rPr>
            <w:color w:val="000000"/>
            <w:vertAlign w:val="superscript"/>
          </w:rPr>
          <w:tag w:val="MENDELEY_CITATION_v3_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"/>
          <w:id w:val="-1301608123"/>
          <w:placeholder>
            <w:docPart w:val="C2C0659DACBFC542886306091CABE38A"/>
          </w:placeholder>
        </w:sdtPr>
        <w:sdtEndPr/>
        <w:sdtContent>
          <w:r w:rsidR="003204EA" w:rsidRPr="003204EA">
            <w:rPr>
              <w:rFonts w:eastAsia="Times New Roman"/>
              <w:color w:val="000000"/>
              <w:vertAlign w:val="superscript"/>
            </w:rPr>
            <w:t>54</w:t>
          </w:r>
        </w:sdtContent>
      </w:sdt>
      <w:r w:rsidR="002C470B">
        <w:t xml:space="preserve">.  </w:t>
      </w:r>
      <w:r w:rsidR="00132222" w:rsidRPr="00132222">
        <w:t>Detergents, such as Triton-X and SDS, are used to increase the solubility of proteins by preventing hydrophobic interactions</w:t>
      </w:r>
      <w:r w:rsidR="00132222" w:rsidRPr="00132222">
        <w:rPr>
          <w:vertAlign w:val="superscript"/>
        </w:rPr>
        <w:t xml:space="preserve"> </w:t>
      </w:r>
      <w:sdt>
        <w:sdtPr>
          <w:rPr>
            <w:color w:val="000000"/>
            <w:vertAlign w:val="superscript"/>
          </w:rPr>
          <w:tag w:val="MENDELEY_CITATION_v3_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"/>
          <w:id w:val="-240876043"/>
          <w:placeholder>
            <w:docPart w:val="C2C0659DACBFC542886306091CABE38A"/>
          </w:placeholder>
        </w:sdtPr>
        <w:sdtEndPr/>
        <w:sdtContent>
          <w:r w:rsidR="003204EA" w:rsidRPr="003204EA">
            <w:rPr>
              <w:rFonts w:eastAsia="Times New Roman"/>
              <w:color w:val="000000"/>
              <w:vertAlign w:val="superscript"/>
            </w:rPr>
            <w:t>47,54</w:t>
          </w:r>
        </w:sdtContent>
      </w:sdt>
      <w:r w:rsidR="002C470B">
        <w:rPr>
          <w:color w:val="000000"/>
        </w:rPr>
        <w:t xml:space="preserve">.  </w:t>
      </w:r>
      <w:r w:rsidR="00E07816" w:rsidRPr="00E07816">
        <w:rPr>
          <w:color w:val="000000"/>
        </w:rPr>
        <w:t>Reducing agents, such as dithiothreitol (DTT) reduce disulfide links and are paired with alkylating agents such as iodoacetamide (IAA).  IAA is added to the samples following disulfide reduction to protect newly produced free sulfhydryl groups by alkylation</w:t>
      </w:r>
      <w:sdt>
        <w:sdtPr>
          <w:rPr>
            <w:color w:val="000000"/>
            <w:vertAlign w:val="superscript"/>
          </w:rPr>
          <w:tag w:val="MENDELEY_CITATION_v3_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"/>
          <w:id w:val="-713578583"/>
          <w:placeholder>
            <w:docPart w:val="C2C0659DACBFC542886306091CABE38A"/>
          </w:placeholder>
        </w:sdtPr>
        <w:sdtEndPr/>
        <w:sdtContent>
          <w:r w:rsidR="003204EA" w:rsidRPr="003204EA">
            <w:rPr>
              <w:rFonts w:eastAsia="Times New Roman"/>
              <w:color w:val="000000"/>
              <w:vertAlign w:val="superscript"/>
            </w:rPr>
            <w:t>54</w:t>
          </w:r>
        </w:sdtContent>
      </w:sdt>
      <w:r w:rsidR="002C470B">
        <w:rPr>
          <w:color w:val="000000"/>
        </w:rPr>
        <w:t>.   For all work presented in this study, proteins were solubilized using heat treatment with SDS followed by reduction and alkylation by DTT and IAA.</w:t>
      </w:r>
    </w:p>
    <w:p w14:paraId="7BCA0BD1" w14:textId="66198BD7" w:rsidR="002C470B" w:rsidRDefault="002C470B" w:rsidP="002C470B">
      <w:r>
        <w:t>M</w:t>
      </w:r>
      <w:r w:rsidRPr="00B879D0">
        <w:t xml:space="preserve">any of the reagents used </w:t>
      </w:r>
      <w:r>
        <w:t>during the cell lysis, protein extraction and denaturation process</w:t>
      </w:r>
      <w:r w:rsidRPr="00B879D0">
        <w:t xml:space="preserve"> are not compatible with ESI-MS experiments.  For example, the presence of incompatible buffers, detergents or salts can interfere with analyte ionization and can introduce adducts into the mass spectrometer that will overwhelm the signal of the peptides</w:t>
      </w:r>
      <w:sdt>
        <w:sdtPr>
          <w:rPr>
            <w:color w:val="000000"/>
            <w:vertAlign w:val="superscript"/>
          </w:rPr>
          <w:tag w:val="MENDELEY_CITATION_v3_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"/>
          <w:id w:val="510959390"/>
          <w:placeholder>
            <w:docPart w:val="C2C0659DACBFC542886306091CABE38A"/>
          </w:placeholder>
        </w:sdtPr>
        <w:sdtEndPr/>
        <w:sdtContent>
          <w:r w:rsidR="003204EA" w:rsidRPr="003204EA">
            <w:rPr>
              <w:rFonts w:eastAsia="Times New Roman"/>
              <w:color w:val="000000"/>
              <w:vertAlign w:val="superscript"/>
            </w:rPr>
            <w:t>55</w:t>
          </w:r>
        </w:sdtContent>
      </w:sdt>
      <w:r w:rsidRPr="00B879D0">
        <w:t xml:space="preserve">. </w:t>
      </w:r>
      <w:r>
        <w:t xml:space="preserve">  Therefore, following protein denaturation and alkylation, various strategies can be implemented to clean up the extracted proteins to remove these incompatible substances prior to proteolytic digestion and LC-MS/MS measurements.  These strategies include, but are not limited to, </w:t>
      </w:r>
      <w:r w:rsidRPr="00B8356E">
        <w:t>trichloroacetic acid</w:t>
      </w:r>
      <w:r>
        <w:t xml:space="preserve"> (TCA) precipitation, </w:t>
      </w:r>
      <w:r w:rsidRPr="003B339E">
        <w:t xml:space="preserve">filter assisted sample preparation (FASP), </w:t>
      </w:r>
      <w:r>
        <w:t xml:space="preserve">chloroform-methanol exchange (CME), and bead-based approaches such as protein aggregation capture </w:t>
      </w:r>
      <w:r>
        <w:lastRenderedPageBreak/>
        <w:t>(PAC).  For the TCA precipitation method, when TCA is added to the cell lysates, proteins are precipitated out of solution and the resulting protein pellet is washed by acetone to effectively remove SDS, salts, and nucleic acids from the sample</w:t>
      </w:r>
      <w:sdt>
        <w:sdtPr>
          <w:rPr>
            <w:color w:val="000000"/>
            <w:vertAlign w:val="superscript"/>
          </w:rPr>
          <w:tag w:val="MENDELEY_CITATION_v3_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"/>
          <w:id w:val="-103583316"/>
          <w:placeholder>
            <w:docPart w:val="C2C0659DACBFC542886306091CABE38A"/>
          </w:placeholder>
        </w:sdtPr>
        <w:sdtEndPr/>
        <w:sdtContent>
          <w:r w:rsidR="003204EA" w:rsidRPr="003204EA">
            <w:rPr>
              <w:rFonts w:eastAsia="Times New Roman"/>
              <w:color w:val="000000"/>
              <w:vertAlign w:val="superscript"/>
            </w:rPr>
            <w:t>54</w:t>
          </w:r>
        </w:sdtContent>
      </w:sdt>
      <w:r>
        <w:t>.   This method has also been shown to help remove other interfering materials present in the sample matric including humic substances in soils</w:t>
      </w:r>
      <w:sdt>
        <w:sdtPr>
          <w:rPr>
            <w:color w:val="000000"/>
            <w:vertAlign w:val="superscript"/>
          </w:rPr>
          <w:tag w:val="MENDELEY_CITATION_v3_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"/>
          <w:id w:val="-1844081596"/>
          <w:placeholder>
            <w:docPart w:val="C2C0659DACBFC542886306091CABE38A"/>
          </w:placeholder>
        </w:sdtPr>
        <w:sdtEndPr/>
        <w:sdtContent>
          <w:r w:rsidR="003204EA" w:rsidRPr="003204EA">
            <w:rPr>
              <w:rFonts w:eastAsia="Times New Roman"/>
              <w:color w:val="000000"/>
              <w:vertAlign w:val="superscript"/>
            </w:rPr>
            <w:t>56</w:t>
          </w:r>
        </w:sdtContent>
      </w:sdt>
      <w:r>
        <w:t>. Chloroform-methanol precipitation was first described to isolate and purify lipids</w:t>
      </w:r>
      <w:sdt>
        <w:sdtPr>
          <w:rPr>
            <w:color w:val="000000"/>
            <w:vertAlign w:val="superscript"/>
          </w:rPr>
          <w:tag w:val="MENDELEY_CITATION_v3_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"/>
          <w:id w:val="1370407810"/>
          <w:placeholder>
            <w:docPart w:val="C2C0659DACBFC542886306091CABE38A"/>
          </w:placeholder>
        </w:sdtPr>
        <w:sdtEndPr/>
        <w:sdtContent>
          <w:r w:rsidR="003204EA" w:rsidRPr="003204EA">
            <w:rPr>
              <w:rFonts w:eastAsia="Times New Roman"/>
              <w:color w:val="000000"/>
              <w:vertAlign w:val="superscript"/>
            </w:rPr>
            <w:t>57</w:t>
          </w:r>
        </w:sdtContent>
      </w:sdt>
      <w:r>
        <w:t xml:space="preserve">, but has since been used in preparation methods for the purification of proteins.  In essence, </w:t>
      </w:r>
      <w:r w:rsidRPr="00F8781C">
        <w:t>methanol, chloroform</w:t>
      </w:r>
      <w:r>
        <w:t xml:space="preserve">, </w:t>
      </w:r>
      <w:r w:rsidRPr="00F8781C">
        <w:t xml:space="preserve">and water </w:t>
      </w:r>
      <w:r>
        <w:t>are added in a</w:t>
      </w:r>
      <w:r w:rsidRPr="00F8781C">
        <w:t xml:space="preserve"> 4:1:3</w:t>
      </w:r>
      <w:r>
        <w:t xml:space="preserve"> volume ratio</w:t>
      </w:r>
      <w:r w:rsidRPr="00F8781C">
        <w:t xml:space="preserve"> </w:t>
      </w:r>
      <w:r>
        <w:t xml:space="preserve">and </w:t>
      </w:r>
      <w:r w:rsidRPr="00F8781C">
        <w:t xml:space="preserve">are </w:t>
      </w:r>
      <w:r>
        <w:t>mixed with the</w:t>
      </w:r>
      <w:r w:rsidRPr="00F8781C">
        <w:t xml:space="preserve"> cell lysate solution. </w:t>
      </w:r>
      <w:r>
        <w:t>Proteins</w:t>
      </w:r>
      <w:r w:rsidRPr="00F8781C">
        <w:t xml:space="preserve"> are separated </w:t>
      </w:r>
      <w:r>
        <w:t xml:space="preserve">at </w:t>
      </w:r>
      <w:r w:rsidRPr="00F8781C">
        <w:t xml:space="preserve">the water-organic interface from </w:t>
      </w:r>
      <w:r>
        <w:t xml:space="preserve">any </w:t>
      </w:r>
      <w:r w:rsidRPr="00F8781C">
        <w:t>unwanted material</w:t>
      </w:r>
      <w:r>
        <w:t xml:space="preserve"> present in the sample, including detergents like SDS.  More recently, bead-based methods, such as the PAC method, have emerged for protein preparation.  These methods </w:t>
      </w:r>
      <w:r w:rsidRPr="00B22FD9">
        <w:t>exploit the inherent instability of denatured</w:t>
      </w:r>
      <w:r>
        <w:t xml:space="preserve"> and precipitated</w:t>
      </w:r>
      <w:r w:rsidRPr="00B22FD9">
        <w:t xml:space="preserve"> proteins </w:t>
      </w:r>
      <w:r w:rsidR="00415036">
        <w:t>to</w:t>
      </w:r>
      <w:r w:rsidRPr="00B22FD9">
        <w:t xml:space="preserve"> nonspecific</w:t>
      </w:r>
      <w:r>
        <w:t xml:space="preserve">ally </w:t>
      </w:r>
      <w:r w:rsidRPr="00B22FD9">
        <w:t>immobiliz</w:t>
      </w:r>
      <w:r>
        <w:t>e on microbeads regardless of the bead surface chemistry</w:t>
      </w:r>
      <w:sdt>
        <w:sdtPr>
          <w:rPr>
            <w:color w:val="000000"/>
            <w:vertAlign w:val="superscript"/>
          </w:rPr>
          <w:tag w:val="MENDELEY_CITATION_v3_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"/>
          <w:id w:val="-268235688"/>
          <w:placeholder>
            <w:docPart w:val="C2C0659DACBFC542886306091CABE38A"/>
          </w:placeholder>
        </w:sdtPr>
        <w:sdtEndPr/>
        <w:sdtContent>
          <w:r w:rsidR="003204EA" w:rsidRPr="003204EA">
            <w:rPr>
              <w:rFonts w:eastAsia="Times New Roman"/>
              <w:color w:val="000000"/>
              <w:vertAlign w:val="superscript"/>
            </w:rPr>
            <w:t>58,59</w:t>
          </w:r>
        </w:sdtContent>
      </w:sdt>
      <w:r>
        <w:t xml:space="preserve">.  This approach can remove MS-incompatible additives such as SDS and is not </w:t>
      </w:r>
      <w:r w:rsidR="0028578B">
        <w:t xml:space="preserve">as </w:t>
      </w:r>
      <w:r>
        <w:t>limited by the amount of proteinaceous biomass in the sample</w:t>
      </w:r>
      <w:r w:rsidR="00A65FEB" w:rsidRPr="00A65FEB">
        <w:t xml:space="preserve"> </w:t>
      </w:r>
      <w:r w:rsidR="00A65FEB">
        <w:t>as other clean-up procedures such as CME</w:t>
      </w:r>
      <w:r>
        <w:t>.  In this dissertation, both the CME method and the PAC method were used for projects presented in Chapters 3-7.</w:t>
      </w:r>
    </w:p>
    <w:p w14:paraId="113441D9" w14:textId="2AB49F61" w:rsidR="002C470B" w:rsidRDefault="002C470B" w:rsidP="002C470B">
      <w:r>
        <w:t xml:space="preserve">Following protein extraction and clean-up, proteins are subjected to proteolysis to generate peptides which are used for LC-MS/MS analysis. For most bottom-up analyses, specific peptide bonds are cleaved </w:t>
      </w:r>
      <w:r w:rsidRPr="00B879D0">
        <w:t>using a</w:t>
      </w:r>
      <w:r>
        <w:t xml:space="preserve"> proteolytic </w:t>
      </w:r>
      <w:r w:rsidRPr="00B879D0">
        <w:t>enzyme</w:t>
      </w:r>
      <w:r>
        <w:t xml:space="preserve"> (protease)</w:t>
      </w:r>
      <w:r w:rsidRPr="00B879D0">
        <w:t xml:space="preserve"> that is suitable </w:t>
      </w:r>
      <w:r>
        <w:t xml:space="preserve">for the </w:t>
      </w:r>
      <w:proofErr w:type="gramStart"/>
      <w:r>
        <w:t>particular research</w:t>
      </w:r>
      <w:proofErr w:type="gramEnd"/>
      <w:r>
        <w:t xml:space="preserve"> questions being addressed</w:t>
      </w:r>
      <w:r w:rsidRPr="00B879D0">
        <w:t xml:space="preserve">. </w:t>
      </w:r>
      <w:r>
        <w:t xml:space="preserve">Each protease has a distinct specificity to cleave </w:t>
      </w:r>
      <w:r w:rsidRPr="00A041A7">
        <w:t>certain amide bonds in the protein primary structure</w:t>
      </w:r>
      <w:r>
        <w:t xml:space="preserve">, therefore producing a very specific pool of </w:t>
      </w:r>
      <w:r w:rsidRPr="00A041A7">
        <w:t xml:space="preserve">under controlled </w:t>
      </w:r>
      <w:r>
        <w:t xml:space="preserve">digestion </w:t>
      </w:r>
      <w:r w:rsidRPr="00A041A7">
        <w:t>conditions</w:t>
      </w:r>
      <w:sdt>
        <w:sdtPr>
          <w:rPr>
            <w:color w:val="000000"/>
            <w:vertAlign w:val="superscript"/>
          </w:rPr>
          <w:tag w:val="MENDELEY_CITATION_v3_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"/>
          <w:id w:val="-535117558"/>
          <w:placeholder>
            <w:docPart w:val="C2C0659DACBFC542886306091CABE38A"/>
          </w:placeholder>
        </w:sdtPr>
        <w:sdtEndPr/>
        <w:sdtContent>
          <w:r w:rsidR="003204EA" w:rsidRPr="003204EA">
            <w:rPr>
              <w:rFonts w:eastAsia="Times New Roman"/>
              <w:color w:val="000000"/>
              <w:vertAlign w:val="superscript"/>
            </w:rPr>
            <w:t>54</w:t>
          </w:r>
        </w:sdtContent>
      </w:sdt>
      <w:r>
        <w:t>.</w:t>
      </w:r>
      <w:r w:rsidRPr="00A041A7">
        <w:t xml:space="preserve"> </w:t>
      </w:r>
      <w:r>
        <w:t xml:space="preserve"> The choice of protease dictates the characteristics of the proteolytic peptides produced, therefore influencing the ability to infer the proteins present in the sample, along with any post-translational modifications of those proteins.</w:t>
      </w:r>
      <w:r w:rsidRPr="00654F7B">
        <w:t xml:space="preserve"> </w:t>
      </w:r>
      <w:r>
        <w:t>The primary goals of protease selection are (1) to produce proteolytic peptides that will be observed via mass spectrometry-based on their biophysical properties such as amino acid length and hydrophobicity, (2) to provide adequate protein sequence coverage, and (3)</w:t>
      </w:r>
      <w:r w:rsidR="00413812" w:rsidRPr="00413812">
        <w:t xml:space="preserve"> </w:t>
      </w:r>
      <w:r w:rsidR="00413812">
        <w:lastRenderedPageBreak/>
        <w:t xml:space="preserve">generate a sufficient </w:t>
      </w:r>
      <w:proofErr w:type="gramStart"/>
      <w:r w:rsidR="00413812">
        <w:t>amount</w:t>
      </w:r>
      <w:proofErr w:type="gramEnd"/>
      <w:r w:rsidR="00413812">
        <w:t xml:space="preserve"> of unique peptides in order to infer specific proteins and </w:t>
      </w:r>
      <w:r>
        <w:t>a large portion of the proteome</w:t>
      </w:r>
      <w:sdt>
        <w:sdtPr>
          <w:rPr>
            <w:color w:val="000000"/>
            <w:vertAlign w:val="superscript"/>
          </w:rPr>
          <w:tag w:val="MENDELEY_CITATION_v3_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"/>
          <w:id w:val="-1077899588"/>
          <w:placeholder>
            <w:docPart w:val="C2C0659DACBFC542886306091CABE38A"/>
          </w:placeholder>
        </w:sdtPr>
        <w:sdtEndPr/>
        <w:sdtContent>
          <w:r w:rsidR="003204EA" w:rsidRPr="003204EA">
            <w:rPr>
              <w:rFonts w:eastAsia="Times New Roman"/>
              <w:color w:val="000000"/>
              <w:vertAlign w:val="superscript"/>
            </w:rPr>
            <w:t>60</w:t>
          </w:r>
        </w:sdtContent>
      </w:sdt>
      <w:r>
        <w:t>.</w:t>
      </w:r>
    </w:p>
    <w:p w14:paraId="128CB030" w14:textId="77777777" w:rsidR="0021011D" w:rsidRPr="0021011D" w:rsidRDefault="0021011D" w:rsidP="0021011D">
      <w:r w:rsidRPr="0021011D">
        <w:t xml:space="preserve">Some factors to consider when choosing one protease over another for protein digestion are the size of the peptides needed for analysis, the selectivity of the protease, and the type of proteins being analyzed.  Generally, smaller peptides sizes and molecular weights that are amenable to mass spectrometric analysis are preferred.  However, the peptides should be long enough in sequence to still be able to confidently identify the amino acid sequence from the MS/MS spectrum.  Optimal peptide size for bottom-up proteomics analysis is a peptide length of 10-15 amino acids and a molecular weight of 5-30kDa. Peptide size can also influence the confidence of PTM identifications.   For example, if the goal is localization of PTMs on specific residues, longer peptide sequences are sufficient for protein identification, but shorter peptide sequences reduce ambiguity among possible PTM localization sites are there are a limited number of possible modification sites.  The activity parameters of each protease, including the pH, denaturant tolerance, and temperature, should also be considered.  These activity parameters are important because how the protein is prepared prior to and during digestion (buffers used, etc.) has an impact on which protease can used. If upstream sample processing steps cannot be adapted for compatibility with a protease of interest, an alternative protease must be selected.  For example, the proteins of interest for the study are membrane proteins, using enzymes that target hydrophobic residues, such as chymotrypsin, pepsin, or </w:t>
      </w:r>
      <w:proofErr w:type="spellStart"/>
      <w:r w:rsidRPr="0021011D">
        <w:t>thermolysin</w:t>
      </w:r>
      <w:proofErr w:type="spellEnd"/>
      <w:r w:rsidRPr="0021011D">
        <w:t>, is generally the best option.  For metaproteomics research, selecting a protease which can generate enough uniquely identifiable is especially important as peptides cannot only be ambiguous between proteins within a single microbial species but also across several species. Therefore, the selected protease should provide high enough coverage to discriminate between organisms with high proteome redundancy.</w:t>
      </w:r>
    </w:p>
    <w:p w14:paraId="44531AF6" w14:textId="38810FE4" w:rsidR="002C470B" w:rsidRDefault="002C470B" w:rsidP="002C470B">
      <w:r w:rsidRPr="00304D09">
        <w:t>Trypsin</w:t>
      </w:r>
      <w:r>
        <w:t xml:space="preserve"> is a serine protease which is</w:t>
      </w:r>
      <w:r w:rsidRPr="00304D09">
        <w:t xml:space="preserve"> highly specific and cuts on the C-terminal side of lysine or arginine residues, but it will miss if proline is on the C-terminal side of either of those residues.</w:t>
      </w:r>
      <w:r w:rsidRPr="00304D09">
        <w:rPr>
          <w:b/>
        </w:rPr>
        <w:t xml:space="preserve"> </w:t>
      </w:r>
      <w:r>
        <w:rPr>
          <w:b/>
        </w:rPr>
        <w:t xml:space="preserve"> </w:t>
      </w:r>
      <w:r>
        <w:rPr>
          <w:bCs/>
        </w:rPr>
        <w:t xml:space="preserve">This is the most widely used protease in bottom-up proteomics because it has several advantages.  First, this enzyme cleaves only after </w:t>
      </w:r>
      <w:r>
        <w:rPr>
          <w:bCs/>
        </w:rPr>
        <w:lastRenderedPageBreak/>
        <w:t xml:space="preserve">lysine or arginine </w:t>
      </w:r>
      <w:proofErr w:type="gramStart"/>
      <w:r>
        <w:rPr>
          <w:bCs/>
        </w:rPr>
        <w:t>residues</w:t>
      </w:r>
      <w:proofErr w:type="gramEnd"/>
      <w:r>
        <w:rPr>
          <w:bCs/>
        </w:rPr>
        <w:t xml:space="preserve"> so it generates peptide sizes of 800-2000 Da, since these particular amino acids occur in proteins approximately every 10-12 residues in the protein sequence</w:t>
      </w:r>
      <w:sdt>
        <w:sdtPr>
          <w:rPr>
            <w:bCs/>
            <w:color w:val="000000"/>
            <w:vertAlign w:val="superscript"/>
          </w:rPr>
          <w:tag w:val="MENDELEY_CITATION_v3_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"/>
          <w:id w:val="1962762216"/>
          <w:placeholder>
            <w:docPart w:val="1EF75DD379F49140814ABA871B35095D"/>
          </w:placeholder>
        </w:sdtPr>
        <w:sdtEndPr/>
        <w:sdtContent>
          <w:r w:rsidR="003204EA" w:rsidRPr="003204EA">
            <w:rPr>
              <w:rFonts w:eastAsia="Times New Roman"/>
              <w:color w:val="000000"/>
              <w:vertAlign w:val="superscript"/>
            </w:rPr>
            <w:t>54</w:t>
          </w:r>
        </w:sdtContent>
      </w:sdt>
      <w:r>
        <w:rPr>
          <w:bCs/>
        </w:rPr>
        <w:t xml:space="preserve">.  </w:t>
      </w:r>
      <w:r w:rsidR="004933DC">
        <w:rPr>
          <w:bCs/>
        </w:rPr>
        <w:t xml:space="preserve">Second, tryptic peptides are easily ionizable and detectable by ESI-MS instrumentation. In the gas phase, the charge is localized the on the C-terminus which favors consistent fragmentation by </w:t>
      </w:r>
      <w:r w:rsidR="004933DC" w:rsidRPr="00607E1F">
        <w:rPr>
          <w:bCs/>
        </w:rPr>
        <w:t>collision induced dissociation (CID)</w:t>
      </w:r>
      <w:r w:rsidR="004933DC">
        <w:rPr>
          <w:bCs/>
        </w:rPr>
        <w:t xml:space="preserve"> and h</w:t>
      </w:r>
      <w:r w:rsidR="004933DC" w:rsidRPr="00607E1F">
        <w:rPr>
          <w:bCs/>
        </w:rPr>
        <w:t>igher energy collisional dissociation (HCD)</w:t>
      </w:r>
      <w:r w:rsidR="004933DC">
        <w:rPr>
          <w:bCs/>
        </w:rPr>
        <w:t xml:space="preserve"> fragmentation method</w:t>
      </w:r>
      <w:r>
        <w:rPr>
          <w:bCs/>
        </w:rPr>
        <w:t>s</w:t>
      </w:r>
      <w:sdt>
        <w:sdtPr>
          <w:rPr>
            <w:bCs/>
            <w:color w:val="000000"/>
            <w:vertAlign w:val="superscript"/>
          </w:rPr>
          <w:tag w:val="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"/>
          <w:id w:val="878820467"/>
          <w:placeholder>
            <w:docPart w:val="C2C0659DACBFC542886306091CABE38A"/>
          </w:placeholder>
        </w:sdtPr>
        <w:sdtEndPr/>
        <w:sdtContent>
          <w:r w:rsidR="003204EA" w:rsidRPr="003204EA">
            <w:rPr>
              <w:rFonts w:eastAsia="Times New Roman"/>
              <w:color w:val="000000"/>
              <w:vertAlign w:val="superscript"/>
            </w:rPr>
            <w:t>61,62</w:t>
          </w:r>
        </w:sdtContent>
      </w:sdt>
      <w:r>
        <w:rPr>
          <w:bCs/>
        </w:rPr>
        <w:t xml:space="preserve">.   The </w:t>
      </w:r>
      <w:r w:rsidRPr="00047BF1">
        <w:t xml:space="preserve">fragmentation spectra </w:t>
      </w:r>
      <w:r>
        <w:t>of tryptic peptides are typically very rich</w:t>
      </w:r>
      <w:r w:rsidRPr="00047BF1">
        <w:t xml:space="preserve">, </w:t>
      </w:r>
      <w:r>
        <w:t xml:space="preserve">which means a protein can often be confidently identified </w:t>
      </w:r>
      <w:r w:rsidRPr="00047BF1">
        <w:t>with the information produced by only one tryptic peptide</w:t>
      </w:r>
      <w:sdt>
        <w:sdtPr>
          <w:rPr>
            <w:color w:val="000000"/>
            <w:vertAlign w:val="superscript"/>
          </w:rPr>
          <w:tag w:val="MENDELEY_CITATION_v3_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"/>
          <w:id w:val="-1618678831"/>
          <w:placeholder>
            <w:docPart w:val="C2C0659DACBFC542886306091CABE38A"/>
          </w:placeholder>
        </w:sdtPr>
        <w:sdtEndPr/>
        <w:sdtContent>
          <w:r w:rsidR="003204EA" w:rsidRPr="003204EA">
            <w:rPr>
              <w:rFonts w:eastAsia="Times New Roman"/>
              <w:color w:val="000000"/>
              <w:vertAlign w:val="superscript"/>
            </w:rPr>
            <w:t>54</w:t>
          </w:r>
        </w:sdtContent>
      </w:sdt>
      <w:r w:rsidRPr="00047BF1">
        <w:t>.</w:t>
      </w:r>
    </w:p>
    <w:p w14:paraId="433E19C5" w14:textId="01B1C47D" w:rsidR="002C470B" w:rsidRDefault="00A077C8" w:rsidP="002C470B">
      <w:r w:rsidRPr="00A077C8">
        <w:t xml:space="preserve">In some cases, an alternative protease to trypsin should be selected depending on the research questions in the study to generate more critical peptides for the identification of specific types of proteins, sequence variants, protein regions, or PTMs of interest.  For example, if the research is exclusively focused on membrane proteins, trypsin might not be the best choice of protease. Since there are not as many lysine or arginine residues within transmembrane segments of proteins, trypsin would not the most efficient protease for proteolytic digestion, as it would not be able to cleave in as many locations and would produce longer peptide fragments that are not as amenable to MS interrogation.  In this case, a nonspecific protease such pepsin may be the better option even though it has less specificity than trypsin. Pepsin will cleave at phenylalanine, leucine, and glutamic acid residues (but not at valine, alanine, or glycine).  It is also tolerant of low pH and low temperatures. Therefore, it will generate </w:t>
      </w:r>
      <w:proofErr w:type="gramStart"/>
      <w:r w:rsidRPr="00A077C8">
        <w:t>a large number of</w:t>
      </w:r>
      <w:proofErr w:type="gramEnd"/>
      <w:r w:rsidRPr="00A077C8">
        <w:t xml:space="preserve"> peptides in transmembrane regions of the protein where there are few lysine or arginine residues</w:t>
      </w:r>
      <w:r w:rsidR="002C470B">
        <w:t>.</w:t>
      </w:r>
    </w:p>
    <w:p w14:paraId="406F8291" w14:textId="77777777" w:rsidR="002C470B" w:rsidRDefault="002C470B" w:rsidP="002C470B">
      <w:r>
        <w:t xml:space="preserve">In Chapter 5, one research study is presented where a combination of proteolytic enzymes was used to interrogate hexose PTMs on lysine and arginine residues.  In this case, proteins were first subjected to trypsin digestion. Since hexose modifications on lysine or arginine residues block tryptic cleavage, a large portion of the proteins remained undigested or under-digested.  To increase protein sequence coverage and provide a complementary set of peptides that contained hexose-modified lysine and arginine residues, these proteins were further digested with chymotrypsin.  </w:t>
      </w:r>
      <w:r>
        <w:lastRenderedPageBreak/>
        <w:t>All other work presented in Chapters 3-7 of this dissertation exclusively relied on trypsin as the protease of choice.</w:t>
      </w:r>
    </w:p>
    <w:p w14:paraId="1AB5EB8F" w14:textId="77777777" w:rsidR="00310878" w:rsidRPr="00476931" w:rsidRDefault="00310878" w:rsidP="00343C78">
      <w:pPr>
        <w:rPr>
          <w:rFonts w:ascii="Times New Roman" w:hAnsi="Times New Roman" w:cs="Times New Roman"/>
          <w:color w:val="000000" w:themeColor="text1"/>
        </w:rPr>
      </w:pPr>
    </w:p>
    <w:p w14:paraId="34709499" w14:textId="5360FDEA" w:rsidR="00A94D8E" w:rsidRPr="0060435B" w:rsidRDefault="003930BA" w:rsidP="0060435B">
      <w:pPr>
        <w:pStyle w:val="Heading2"/>
      </w:pPr>
      <w:bookmarkStart w:id="54" w:name="_Toc110250225"/>
      <w:bookmarkStart w:id="55" w:name="_Toc110250482"/>
      <w:bookmarkStart w:id="56" w:name="_Toc110250613"/>
      <w:r w:rsidRPr="0060435B">
        <w:t>2.</w:t>
      </w:r>
      <w:r w:rsidR="002C470B" w:rsidRPr="0060435B">
        <w:t>3</w:t>
      </w:r>
      <w:r w:rsidRPr="0060435B">
        <w:t xml:space="preserve">  </w:t>
      </w:r>
      <w:r w:rsidR="00A94D8E" w:rsidRPr="0060435B">
        <w:t>Analytical measurements</w:t>
      </w:r>
      <w:r w:rsidR="0067780D">
        <w:t>.</w:t>
      </w:r>
      <w:bookmarkEnd w:id="54"/>
      <w:bookmarkEnd w:id="55"/>
      <w:bookmarkEnd w:id="56"/>
    </w:p>
    <w:p w14:paraId="6E4E8EF9" w14:textId="77777777" w:rsidR="008437CB" w:rsidRPr="008437CB" w:rsidRDefault="008437CB" w:rsidP="008437CB"/>
    <w:p w14:paraId="0359B536" w14:textId="6FFCF4EC" w:rsidR="00892423" w:rsidRPr="00892423" w:rsidRDefault="00892423" w:rsidP="00892423">
      <w:pPr>
        <w:rPr>
          <w:rFonts w:ascii="Times New Roman" w:hAnsi="Times New Roman" w:cs="Times New Roman"/>
        </w:rPr>
      </w:pPr>
      <w:r w:rsidRPr="00892423">
        <w:rPr>
          <w:rFonts w:ascii="Times New Roman" w:hAnsi="Times New Roman" w:cs="Times New Roman"/>
        </w:rPr>
        <w:t>Once proteolytic peptides have been generated, it is advantageous to separate them by liquid chromatography prior to entry into the mass spectrometer for MS/MS interrogation.  The combination of these two techniques (LC and MS) provides a powerful analytical measurement platform to fractionate, identify, and quantify unknown and known molecules, like peptides and metabolites.  The combination also enables elucidation of the chemical and structural properties of those molecules that would not necessarily be possible with one analytical technique alone.  Appropriate selection of the types of liquid chromatography and mass spectrometry used for the analysis depends on the type of data required to answer a particular research question.  While not an exhaustive review of these analytical techniques, the follow</w:t>
      </w:r>
      <w:r w:rsidR="003F0F2C">
        <w:rPr>
          <w:rFonts w:ascii="Times New Roman" w:hAnsi="Times New Roman" w:cs="Times New Roman"/>
        </w:rPr>
        <w:t>ing</w:t>
      </w:r>
      <w:r w:rsidRPr="00892423">
        <w:rPr>
          <w:rFonts w:ascii="Times New Roman" w:hAnsi="Times New Roman" w:cs="Times New Roman"/>
        </w:rPr>
        <w:t xml:space="preserve"> section provides details about each of these analytical techniques that are relevant to the metaproteomics research presented in Chapters 3-7.</w:t>
      </w:r>
    </w:p>
    <w:p w14:paraId="5C62EEA1" w14:textId="77777777" w:rsidR="00973EB1" w:rsidRPr="00973EB1" w:rsidRDefault="00973EB1" w:rsidP="00973EB1">
      <w:pPr>
        <w:rPr>
          <w:rFonts w:ascii="Times New Roman" w:hAnsi="Times New Roman" w:cs="Times New Roman"/>
        </w:rPr>
      </w:pPr>
    </w:p>
    <w:p w14:paraId="067F7ECC" w14:textId="139C3230" w:rsidR="00A94D8E" w:rsidRDefault="00A94D8E" w:rsidP="00A94D8E">
      <w:pPr>
        <w:pStyle w:val="Heading3"/>
      </w:pPr>
      <w:bookmarkStart w:id="57" w:name="_Toc110250226"/>
      <w:bookmarkStart w:id="58" w:name="_Toc110250483"/>
      <w:bookmarkStart w:id="59" w:name="_Toc110250614"/>
      <w:r w:rsidRPr="00476931">
        <w:t>2.</w:t>
      </w:r>
      <w:r>
        <w:t>3.</w:t>
      </w:r>
      <w:r w:rsidR="000E4ABC">
        <w:t>1</w:t>
      </w:r>
      <w:r w:rsidRPr="00476931">
        <w:t xml:space="preserve">  </w:t>
      </w:r>
      <w:r>
        <w:t>Liquid Chromatography</w:t>
      </w:r>
      <w:r w:rsidR="0067780D">
        <w:t>.</w:t>
      </w:r>
      <w:bookmarkEnd w:id="57"/>
      <w:bookmarkEnd w:id="58"/>
      <w:bookmarkEnd w:id="59"/>
    </w:p>
    <w:p w14:paraId="50190DA6" w14:textId="77777777" w:rsidR="008437CB" w:rsidRPr="008437CB" w:rsidRDefault="008437CB" w:rsidP="008437CB"/>
    <w:p w14:paraId="604C8E35" w14:textId="12EBAC04" w:rsidR="00FD76AF" w:rsidRDefault="001F165F" w:rsidP="00EA3269">
      <w:pPr>
        <w:rPr>
          <w:rFonts w:ascii="Times New Roman" w:hAnsi="Times New Roman" w:cs="Times New Roman"/>
        </w:rPr>
      </w:pPr>
      <w:r w:rsidRPr="001F165F">
        <w:rPr>
          <w:rFonts w:ascii="Times New Roman" w:hAnsi="Times New Roman" w:cs="Times New Roman"/>
        </w:rPr>
        <w:t>Liquid chromatography (LC) is a widely used analytical technique that is often paired with mass spectrometry, and is used to separate compounds in a sample, such as proteolytic peptides, prior to MS analysis.   Peptide separation is important for both peptide identification and quantification for bottom-up proteomics with DDA acquisition. The primary goal of liquid chromatography for bottom-up proteomics is to separate the peptide mixture into a series of chromatographic peaks. Enhanced separation strategies prior to MS interrogation have several benefits for peptide identification, including the reduction of ion suppression and co-eluted peptides</w:t>
      </w:r>
      <w:sdt>
        <w:sdtPr>
          <w:rPr>
            <w:rFonts w:ascii="Times New Roman" w:hAnsi="Times New Roman" w:cs="Times New Roman"/>
            <w:color w:val="000000"/>
            <w:vertAlign w:val="superscript"/>
          </w:rPr>
          <w:tag w:val="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"/>
          <w:id w:val="-162555322"/>
          <w:placeholder>
            <w:docPart w:val="DefaultPlaceholder_-1854013440"/>
          </w:placeholder>
        </w:sdtPr>
        <w:sdtEndPr/>
        <w:sdtContent>
          <w:r w:rsidR="003204EA" w:rsidRPr="003204EA">
            <w:rPr>
              <w:rFonts w:ascii="Times New Roman" w:hAnsi="Times New Roman" w:cs="Times New Roman"/>
              <w:color w:val="000000"/>
              <w:vertAlign w:val="superscript"/>
            </w:rPr>
            <w:t>63,64</w:t>
          </w:r>
        </w:sdtContent>
      </w:sdt>
      <w:r w:rsidR="00564B0F">
        <w:rPr>
          <w:rFonts w:ascii="Times New Roman" w:hAnsi="Times New Roman" w:cs="Times New Roman"/>
        </w:rPr>
        <w:t>.</w:t>
      </w:r>
    </w:p>
    <w:p w14:paraId="484BE1CF" w14:textId="59BADAFD" w:rsidR="00460619" w:rsidRDefault="0026769F" w:rsidP="00460619">
      <w:pPr>
        <w:rPr>
          <w:rFonts w:ascii="Times New Roman" w:hAnsi="Times New Roman" w:cs="Times New Roman"/>
        </w:rPr>
      </w:pPr>
      <w:r>
        <w:rPr>
          <w:rFonts w:ascii="Times New Roman" w:hAnsi="Times New Roman" w:cs="Times New Roman"/>
        </w:rPr>
        <w:t xml:space="preserve">Fundamentally, LC-based separation of sample analytes is based on the interaction of the analytes with the LC mobile and stationary phases.  Typically, the </w:t>
      </w:r>
      <w:r>
        <w:rPr>
          <w:rFonts w:ascii="Times New Roman" w:hAnsi="Times New Roman" w:cs="Times New Roman"/>
        </w:rPr>
        <w:lastRenderedPageBreak/>
        <w:t xml:space="preserve">extent of separation is related to each analyte’s competitive affinity for the LC mobile phase vs. the stationary phase. In theory, with sufficient separation, each peak constitutes a single peptide analyte from the mixture and the resolution between two peaks is a quantitative measure of their separation.  Three factors that influence </w:t>
      </w:r>
      <w:r w:rsidR="00460619" w:rsidRPr="00460619">
        <w:rPr>
          <w:rFonts w:ascii="Times New Roman" w:hAnsi="Times New Roman" w:cs="Times New Roman"/>
        </w:rPr>
        <w:t xml:space="preserve">chromatographic resolution are efficiency, retention, and selectivity. Of these three factors, selectivity has the largest impact on resolution and can be defined as a measure of the ability of the LC system to distinguish between eluted analytes.  It can be visualized as the distance between two chromatographic peaks.  For example, </w:t>
      </w:r>
      <w:r w:rsidR="00460619" w:rsidRPr="00460619">
        <w:rPr>
          <w:rFonts w:ascii="Times New Roman" w:hAnsi="Times New Roman" w:cs="Times New Roman"/>
          <w:b/>
          <w:bCs/>
        </w:rPr>
        <w:t>Figure 2</w:t>
      </w:r>
      <w:r w:rsidR="005D27CC">
        <w:rPr>
          <w:rFonts w:ascii="Times New Roman" w:hAnsi="Times New Roman" w:cs="Times New Roman"/>
          <w:b/>
          <w:bCs/>
        </w:rPr>
        <w:t>-</w:t>
      </w:r>
      <w:r w:rsidR="00460619" w:rsidRPr="00460619">
        <w:rPr>
          <w:rFonts w:ascii="Times New Roman" w:hAnsi="Times New Roman" w:cs="Times New Roman"/>
          <w:b/>
          <w:bCs/>
        </w:rPr>
        <w:t>2</w:t>
      </w:r>
      <w:r w:rsidR="00460619" w:rsidRPr="00460619">
        <w:rPr>
          <w:rFonts w:ascii="Times New Roman" w:hAnsi="Times New Roman" w:cs="Times New Roman"/>
        </w:rPr>
        <w:t xml:space="preserve"> shows examples of what two chromatographic peaks would look like if the separation approach provides poor, moderate, or high resolution.  To increase chromatographic resolution, the selectivity can be altered by changing LC conditions related to stationary phase and mobile phase composition.  Details about each type of phase and applications for separation of complex peptide mixtures are described below.</w:t>
      </w:r>
    </w:p>
    <w:p w14:paraId="1609436F" w14:textId="77777777" w:rsidR="008437CB" w:rsidRPr="00460619" w:rsidRDefault="008437CB" w:rsidP="00460619">
      <w:pPr>
        <w:rPr>
          <w:rFonts w:ascii="Times New Roman" w:hAnsi="Times New Roman" w:cs="Times New Roman"/>
        </w:rPr>
      </w:pPr>
    </w:p>
    <w:p w14:paraId="000AAE3A" w14:textId="41C0E376" w:rsidR="005C3BB4" w:rsidRDefault="00836CAE" w:rsidP="008437CB">
      <w:pPr>
        <w:pStyle w:val="Heading4"/>
      </w:pPr>
      <w:bookmarkStart w:id="60" w:name="_Toc110250227"/>
      <w:bookmarkStart w:id="61" w:name="_Toc110250484"/>
      <w:bookmarkStart w:id="62" w:name="_Toc110250615"/>
      <w:r w:rsidRPr="00476931">
        <w:t>2.</w:t>
      </w:r>
      <w:r>
        <w:t>3.1.1</w:t>
      </w:r>
      <w:r w:rsidRPr="00476931">
        <w:t xml:space="preserve">  </w:t>
      </w:r>
      <w:r w:rsidRPr="00006039">
        <w:t xml:space="preserve">One-dimensional </w:t>
      </w:r>
      <w:r w:rsidR="00EE5847" w:rsidRPr="00006039">
        <w:t>liquid chromatography</w:t>
      </w:r>
      <w:r w:rsidR="0067780D">
        <w:t>.</w:t>
      </w:r>
      <w:bookmarkEnd w:id="60"/>
      <w:bookmarkEnd w:id="61"/>
      <w:bookmarkEnd w:id="62"/>
    </w:p>
    <w:p w14:paraId="24E6B84A" w14:textId="77777777" w:rsidR="008437CB" w:rsidRPr="00B879D0" w:rsidRDefault="008437CB" w:rsidP="00460619"/>
    <w:p w14:paraId="654061F8" w14:textId="455ADF59" w:rsidR="00236B1B" w:rsidRDefault="00022C4E" w:rsidP="00D76613">
      <w:pPr>
        <w:keepNext/>
        <w:rPr>
          <w:rFonts w:ascii="Times New Roman" w:hAnsi="Times New Roman" w:cs="Times New Roman"/>
          <w:bCs/>
        </w:rPr>
      </w:pPr>
      <w:r w:rsidRPr="00022C4E">
        <w:rPr>
          <w:rFonts w:ascii="Times New Roman" w:hAnsi="Times New Roman" w:cs="Times New Roman"/>
          <w:bCs/>
        </w:rPr>
        <w:t xml:space="preserve">The most basic design of a LC-MS proteomics workflow separates peptides by a single chromatographic dimension.  Analyte interactions with the stationary phase in an analytical column are influenced by the hydrophobicity, polarity, and nature of the stationary phase. Since analyte interactions directly affect the selectivity of the chromatographic separation, these parameters should be considered when selecting an appropriate stationary phase for the separation of peptides. Three other details to consider in determining the degree of separation for the column is the alkyl length of the hydrocarbon attached to the stationary phase silica particles, the solvent choice used with the stationary, and the slope or separation time </w:t>
      </w:r>
      <w:r w:rsidR="00236B1B" w:rsidRPr="005C3BB4">
        <w:rPr>
          <w:rFonts w:ascii="Times New Roman" w:hAnsi="Times New Roman" w:cs="Times New Roman"/>
          <w:bCs/>
        </w:rPr>
        <w:t>needed</w:t>
      </w:r>
      <w:sdt>
        <w:sdtPr>
          <w:rPr>
            <w:rFonts w:ascii="Times New Roman" w:hAnsi="Times New Roman" w:cs="Times New Roman"/>
            <w:bCs/>
            <w:color w:val="000000"/>
            <w:vertAlign w:val="superscript"/>
          </w:rPr>
          <w:tag w:val="MENDELEY_CITATION_v3_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"/>
          <w:id w:val="-133184447"/>
          <w:placeholder>
            <w:docPart w:val="88325EAA800347FE98BAFD6A3293B0E4"/>
          </w:placeholder>
        </w:sdtPr>
        <w:sdtEndPr/>
        <w:sdtContent>
          <w:r w:rsidR="003204EA" w:rsidRPr="003204EA">
            <w:rPr>
              <w:rFonts w:ascii="Times New Roman" w:hAnsi="Times New Roman" w:cs="Times New Roman"/>
              <w:bCs/>
              <w:color w:val="000000"/>
              <w:vertAlign w:val="superscript"/>
            </w:rPr>
            <w:t>65</w:t>
          </w:r>
        </w:sdtContent>
      </w:sdt>
      <w:r w:rsidR="00236B1B">
        <w:rPr>
          <w:rFonts w:ascii="Times New Roman" w:hAnsi="Times New Roman" w:cs="Times New Roman"/>
          <w:bCs/>
        </w:rPr>
        <w:t>.</w:t>
      </w:r>
    </w:p>
    <w:p w14:paraId="6BEA256F" w14:textId="2E8F51F2" w:rsidR="00FF2BE4" w:rsidRDefault="00FD2DA6" w:rsidP="00C42F04">
      <w:pPr>
        <w:keepNext/>
        <w:rPr>
          <w:rFonts w:ascii="Times New Roman" w:hAnsi="Times New Roman" w:cs="Times New Roman"/>
          <w:bCs/>
        </w:rPr>
      </w:pPr>
      <w:r>
        <w:rPr>
          <w:rFonts w:ascii="Times New Roman" w:hAnsi="Times New Roman" w:cs="Times New Roman"/>
          <w:bCs/>
        </w:rPr>
        <w:t>Reversed phase (RP) is the most common stationary phase used in LC-MS proteomics experiments for the separation of analytes.  This separation approach is based on the hydrophobic interactions between the stationary phase and peptides.  The</w:t>
      </w:r>
      <w:r w:rsidR="00FF2BE4">
        <w:rPr>
          <w:rFonts w:ascii="Times New Roman" w:hAnsi="Times New Roman" w:cs="Times New Roman"/>
          <w:bCs/>
        </w:rPr>
        <w:br w:type="page"/>
      </w:r>
    </w:p>
    <w:p w14:paraId="2C73C641" w14:textId="6871AC41" w:rsidR="00FF2BE4" w:rsidRDefault="00FD2DA6" w:rsidP="00FF2BE4">
      <w:pPr>
        <w:keepNext/>
      </w:pPr>
      <w:r>
        <w:rPr>
          <w:rFonts w:ascii="Times New Roman" w:hAnsi="Times New Roman" w:cs="Times New Roman"/>
          <w:bCs/>
        </w:rPr>
        <w:lastRenderedPageBreak/>
        <w:t xml:space="preserve"> </w:t>
      </w:r>
      <w:r w:rsidR="00FF2BE4" w:rsidRPr="002377C4">
        <w:rPr>
          <w:noProof/>
        </w:rPr>
        <mc:AlternateContent>
          <mc:Choice Requires="wpg">
            <w:drawing>
              <wp:inline distT="0" distB="0" distL="0" distR="0" wp14:anchorId="6DB20831" wp14:editId="61F126E6">
                <wp:extent cx="4318329" cy="5130800"/>
                <wp:effectExtent l="0" t="0" r="25400" b="0"/>
                <wp:docPr id="2096" name="Group 123"/>
                <wp:cNvGraphicFramePr/>
                <a:graphic xmlns:a="http://schemas.openxmlformats.org/drawingml/2006/main">
                  <a:graphicData uri="http://schemas.microsoft.com/office/word/2010/wordprocessingGroup">
                    <wpg:wgp>
                      <wpg:cNvGrpSpPr/>
                      <wpg:grpSpPr>
                        <a:xfrm>
                          <a:off x="0" y="0"/>
                          <a:ext cx="4318329" cy="5130800"/>
                          <a:chOff x="-19358" y="0"/>
                          <a:chExt cx="2622770" cy="3779775"/>
                        </a:xfrm>
                      </wpg:grpSpPr>
                      <wps:wsp>
                        <wps:cNvPr id="2097" name="Freeform 2097"/>
                        <wps:cNvSpPr/>
                        <wps:spPr>
                          <a:xfrm>
                            <a:off x="312432" y="903877"/>
                            <a:ext cx="279889" cy="279551"/>
                          </a:xfrm>
                          <a:custGeom>
                            <a:avLst/>
                            <a:gdLst>
                              <a:gd name="connsiteX0" fmla="*/ 0 w 321734"/>
                              <a:gd name="connsiteY0" fmla="*/ 262617 h 279551"/>
                              <a:gd name="connsiteX1" fmla="*/ 135467 w 321734"/>
                              <a:gd name="connsiteY1" fmla="*/ 228751 h 279551"/>
                              <a:gd name="connsiteX2" fmla="*/ 203200 w 321734"/>
                              <a:gd name="connsiteY2" fmla="*/ 151 h 279551"/>
                              <a:gd name="connsiteX3" fmla="*/ 254000 w 321734"/>
                              <a:gd name="connsiteY3" fmla="*/ 194884 h 279551"/>
                              <a:gd name="connsiteX4" fmla="*/ 321734 w 321734"/>
                              <a:gd name="connsiteY4" fmla="*/ 279551 h 279551"/>
                              <a:gd name="connsiteX0" fmla="*/ 0 w 279889"/>
                              <a:gd name="connsiteY0" fmla="*/ 269798 h 279551"/>
                              <a:gd name="connsiteX1" fmla="*/ 93622 w 279889"/>
                              <a:gd name="connsiteY1" fmla="*/ 228751 h 279551"/>
                              <a:gd name="connsiteX2" fmla="*/ 161355 w 279889"/>
                              <a:gd name="connsiteY2" fmla="*/ 151 h 279551"/>
                              <a:gd name="connsiteX3" fmla="*/ 212155 w 279889"/>
                              <a:gd name="connsiteY3" fmla="*/ 194884 h 279551"/>
                              <a:gd name="connsiteX4" fmla="*/ 279889 w 279889"/>
                              <a:gd name="connsiteY4" fmla="*/ 279551 h 27955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79889" h="279551">
                                <a:moveTo>
                                  <a:pt x="0" y="269798"/>
                                </a:moveTo>
                                <a:cubicBezTo>
                                  <a:pt x="50800" y="274737"/>
                                  <a:pt x="66730" y="273692"/>
                                  <a:pt x="93622" y="228751"/>
                                </a:cubicBezTo>
                                <a:cubicBezTo>
                                  <a:pt x="120514" y="183810"/>
                                  <a:pt x="141600" y="5795"/>
                                  <a:pt x="161355" y="151"/>
                                </a:cubicBezTo>
                                <a:cubicBezTo>
                                  <a:pt x="181111" y="-5494"/>
                                  <a:pt x="192399" y="148317"/>
                                  <a:pt x="212155" y="194884"/>
                                </a:cubicBezTo>
                                <a:cubicBezTo>
                                  <a:pt x="231911" y="241451"/>
                                  <a:pt x="255900" y="260501"/>
                                  <a:pt x="279889" y="279551"/>
                                </a:cubicBezTo>
                              </a:path>
                            </a:pathLst>
                          </a:custGeom>
                          <a:noFill/>
                          <a:ln w="12700" cap="flat" cmpd="sng" algn="ctr">
                            <a:solidFill>
                              <a:srgbClr val="000000"/>
                            </a:solidFill>
                            <a:prstDash val="solid"/>
                            <a:miter lim="800000"/>
                          </a:ln>
                          <a:effectLst/>
                        </wps:spPr>
                        <wps:bodyPr rtlCol="0" anchor="ctr"/>
                      </wps:wsp>
                      <wpg:grpSp>
                        <wpg:cNvPr id="2098" name="Group 2098"/>
                        <wpg:cNvGrpSpPr/>
                        <wpg:grpSpPr>
                          <a:xfrm>
                            <a:off x="216403" y="0"/>
                            <a:ext cx="2385908" cy="3414203"/>
                            <a:chOff x="216403" y="0"/>
                            <a:chExt cx="2385908" cy="3414203"/>
                          </a:xfrm>
                        </wpg:grpSpPr>
                        <wpg:grpSp>
                          <wpg:cNvPr id="2099" name="Group 2099"/>
                          <wpg:cNvGrpSpPr/>
                          <wpg:grpSpPr>
                            <a:xfrm>
                              <a:off x="216403" y="0"/>
                              <a:ext cx="2385908" cy="3378200"/>
                              <a:chOff x="216403" y="0"/>
                              <a:chExt cx="2385908" cy="3378200"/>
                            </a:xfrm>
                          </wpg:grpSpPr>
                          <wps:wsp>
                            <wps:cNvPr id="2100" name="Straight Connector 2100"/>
                            <wps:cNvCnPr/>
                            <wps:spPr>
                              <a:xfrm>
                                <a:off x="216404" y="0"/>
                                <a:ext cx="0" cy="3378200"/>
                              </a:xfrm>
                              <a:prstGeom prst="line">
                                <a:avLst/>
                              </a:prstGeom>
                              <a:noFill/>
                              <a:ln w="12700" cap="flat" cmpd="sng" algn="ctr">
                                <a:solidFill>
                                  <a:srgbClr val="000000"/>
                                </a:solidFill>
                                <a:prstDash val="solid"/>
                                <a:miter lim="800000"/>
                              </a:ln>
                              <a:effectLst/>
                            </wps:spPr>
                            <wps:bodyPr/>
                          </wps:wsp>
                          <wps:wsp>
                            <wps:cNvPr id="2101" name="Straight Connector 2101"/>
                            <wps:cNvCnPr>
                              <a:cxnSpLocks/>
                            </wps:cNvCnPr>
                            <wps:spPr>
                              <a:xfrm flipV="1">
                                <a:off x="224871" y="3368483"/>
                                <a:ext cx="2377440" cy="0"/>
                              </a:xfrm>
                              <a:prstGeom prst="line">
                                <a:avLst/>
                              </a:prstGeom>
                              <a:noFill/>
                              <a:ln w="12700" cap="flat" cmpd="sng" algn="ctr">
                                <a:solidFill>
                                  <a:srgbClr val="000000"/>
                                </a:solidFill>
                                <a:prstDash val="solid"/>
                                <a:miter lim="800000"/>
                              </a:ln>
                              <a:effectLst/>
                            </wps:spPr>
                            <wps:bodyPr/>
                          </wps:wsp>
                          <wps:wsp>
                            <wps:cNvPr id="2102" name="Straight Connector 2102"/>
                            <wps:cNvCnPr>
                              <a:cxnSpLocks/>
                            </wps:cNvCnPr>
                            <wps:spPr>
                              <a:xfrm>
                                <a:off x="216404" y="2262138"/>
                                <a:ext cx="2379133" cy="0"/>
                              </a:xfrm>
                              <a:prstGeom prst="line">
                                <a:avLst/>
                              </a:prstGeom>
                              <a:noFill/>
                              <a:ln w="12700" cap="flat" cmpd="sng" algn="ctr">
                                <a:solidFill>
                                  <a:srgbClr val="000000"/>
                                </a:solidFill>
                                <a:prstDash val="solid"/>
                                <a:miter lim="800000"/>
                              </a:ln>
                              <a:effectLst/>
                            </wps:spPr>
                            <wps:bodyPr/>
                          </wps:wsp>
                          <wps:wsp>
                            <wps:cNvPr id="2103" name="Straight Connector 2103"/>
                            <wps:cNvCnPr>
                              <a:cxnSpLocks/>
                            </wps:cNvCnPr>
                            <wps:spPr>
                              <a:xfrm>
                                <a:off x="216403" y="1178405"/>
                                <a:ext cx="2379133" cy="0"/>
                              </a:xfrm>
                              <a:prstGeom prst="line">
                                <a:avLst/>
                              </a:prstGeom>
                              <a:noFill/>
                              <a:ln w="12700" cap="flat" cmpd="sng" algn="ctr">
                                <a:solidFill>
                                  <a:srgbClr val="000000"/>
                                </a:solidFill>
                                <a:prstDash val="solid"/>
                                <a:miter lim="800000"/>
                              </a:ln>
                              <a:effectLst/>
                            </wps:spPr>
                            <wps:bodyPr/>
                          </wps:wsp>
                        </wpg:grpSp>
                        <wpg:grpSp>
                          <wpg:cNvPr id="2105" name="Group 2105"/>
                          <wpg:cNvGrpSpPr/>
                          <wpg:grpSpPr>
                            <a:xfrm>
                              <a:off x="469558" y="3368483"/>
                              <a:ext cx="1888065" cy="45720"/>
                              <a:chOff x="469558" y="3368483"/>
                              <a:chExt cx="1888065" cy="45720"/>
                            </a:xfrm>
                          </wpg:grpSpPr>
                          <wps:wsp>
                            <wps:cNvPr id="2106" name="Straight Connector 2106"/>
                            <wps:cNvCnPr>
                              <a:cxnSpLocks/>
                            </wps:cNvCnPr>
                            <wps:spPr>
                              <a:xfrm>
                                <a:off x="469558" y="3368483"/>
                                <a:ext cx="0" cy="45720"/>
                              </a:xfrm>
                              <a:prstGeom prst="line">
                                <a:avLst/>
                              </a:prstGeom>
                              <a:noFill/>
                              <a:ln w="12700" cap="flat" cmpd="sng" algn="ctr">
                                <a:solidFill>
                                  <a:srgbClr val="000000"/>
                                </a:solidFill>
                                <a:prstDash val="solid"/>
                                <a:miter lim="800000"/>
                              </a:ln>
                              <a:effectLst/>
                            </wps:spPr>
                            <wps:bodyPr/>
                          </wps:wsp>
                          <wps:wsp>
                            <wps:cNvPr id="2107" name="Straight Connector 2107"/>
                            <wps:cNvCnPr>
                              <a:cxnSpLocks/>
                            </wps:cNvCnPr>
                            <wps:spPr>
                              <a:xfrm>
                                <a:off x="706622" y="3368483"/>
                                <a:ext cx="0" cy="45720"/>
                              </a:xfrm>
                              <a:prstGeom prst="line">
                                <a:avLst/>
                              </a:prstGeom>
                              <a:noFill/>
                              <a:ln w="12700" cap="flat" cmpd="sng" algn="ctr">
                                <a:solidFill>
                                  <a:srgbClr val="000000"/>
                                </a:solidFill>
                                <a:prstDash val="solid"/>
                                <a:miter lim="800000"/>
                              </a:ln>
                              <a:effectLst/>
                            </wps:spPr>
                            <wps:bodyPr/>
                          </wps:wsp>
                          <wps:wsp>
                            <wps:cNvPr id="2108" name="Straight Connector 2108"/>
                            <wps:cNvCnPr>
                              <a:cxnSpLocks/>
                            </wps:cNvCnPr>
                            <wps:spPr>
                              <a:xfrm>
                                <a:off x="943695" y="3368483"/>
                                <a:ext cx="0" cy="45720"/>
                              </a:xfrm>
                              <a:prstGeom prst="line">
                                <a:avLst/>
                              </a:prstGeom>
                              <a:noFill/>
                              <a:ln w="12700" cap="flat" cmpd="sng" algn="ctr">
                                <a:solidFill>
                                  <a:srgbClr val="000000"/>
                                </a:solidFill>
                                <a:prstDash val="solid"/>
                                <a:miter lim="800000"/>
                              </a:ln>
                              <a:effectLst/>
                            </wps:spPr>
                            <wps:bodyPr/>
                          </wps:wsp>
                          <wps:wsp>
                            <wps:cNvPr id="2109" name="Straight Connector 2109"/>
                            <wps:cNvCnPr>
                              <a:cxnSpLocks/>
                            </wps:cNvCnPr>
                            <wps:spPr>
                              <a:xfrm>
                                <a:off x="1180756" y="3368483"/>
                                <a:ext cx="0" cy="45720"/>
                              </a:xfrm>
                              <a:prstGeom prst="line">
                                <a:avLst/>
                              </a:prstGeom>
                              <a:noFill/>
                              <a:ln w="12700" cap="flat" cmpd="sng" algn="ctr">
                                <a:solidFill>
                                  <a:srgbClr val="000000"/>
                                </a:solidFill>
                                <a:prstDash val="solid"/>
                                <a:miter lim="800000"/>
                              </a:ln>
                              <a:effectLst/>
                            </wps:spPr>
                            <wps:bodyPr/>
                          </wps:wsp>
                          <wps:wsp>
                            <wps:cNvPr id="2110" name="Straight Connector 2110"/>
                            <wps:cNvCnPr>
                              <a:cxnSpLocks/>
                            </wps:cNvCnPr>
                            <wps:spPr>
                              <a:xfrm>
                                <a:off x="1417823" y="3368483"/>
                                <a:ext cx="0" cy="45720"/>
                              </a:xfrm>
                              <a:prstGeom prst="line">
                                <a:avLst/>
                              </a:prstGeom>
                              <a:noFill/>
                              <a:ln w="12700" cap="flat" cmpd="sng" algn="ctr">
                                <a:solidFill>
                                  <a:srgbClr val="000000"/>
                                </a:solidFill>
                                <a:prstDash val="solid"/>
                                <a:miter lim="800000"/>
                              </a:ln>
                              <a:effectLst/>
                            </wps:spPr>
                            <wps:bodyPr/>
                          </wps:wsp>
                          <wps:wsp>
                            <wps:cNvPr id="2111" name="Straight Connector 2111"/>
                            <wps:cNvCnPr>
                              <a:cxnSpLocks/>
                            </wps:cNvCnPr>
                            <wps:spPr>
                              <a:xfrm>
                                <a:off x="1637956" y="3368483"/>
                                <a:ext cx="0" cy="45720"/>
                              </a:xfrm>
                              <a:prstGeom prst="line">
                                <a:avLst/>
                              </a:prstGeom>
                              <a:noFill/>
                              <a:ln w="12700" cap="flat" cmpd="sng" algn="ctr">
                                <a:solidFill>
                                  <a:srgbClr val="000000"/>
                                </a:solidFill>
                                <a:prstDash val="solid"/>
                                <a:miter lim="800000"/>
                              </a:ln>
                              <a:effectLst/>
                            </wps:spPr>
                            <wps:bodyPr/>
                          </wps:wsp>
                          <wps:wsp>
                            <wps:cNvPr id="2176" name="Straight Connector 2176"/>
                            <wps:cNvCnPr>
                              <a:cxnSpLocks/>
                            </wps:cNvCnPr>
                            <wps:spPr>
                              <a:xfrm>
                                <a:off x="1883492" y="3368483"/>
                                <a:ext cx="0" cy="45720"/>
                              </a:xfrm>
                              <a:prstGeom prst="line">
                                <a:avLst/>
                              </a:prstGeom>
                              <a:noFill/>
                              <a:ln w="12700" cap="flat" cmpd="sng" algn="ctr">
                                <a:solidFill>
                                  <a:srgbClr val="000000"/>
                                </a:solidFill>
                                <a:prstDash val="solid"/>
                                <a:miter lim="800000"/>
                              </a:ln>
                              <a:effectLst/>
                            </wps:spPr>
                            <wps:bodyPr/>
                          </wps:wsp>
                          <wps:wsp>
                            <wps:cNvPr id="2177" name="Straight Connector 2177"/>
                            <wps:cNvCnPr>
                              <a:cxnSpLocks/>
                            </wps:cNvCnPr>
                            <wps:spPr>
                              <a:xfrm>
                                <a:off x="2112090" y="3368483"/>
                                <a:ext cx="0" cy="45720"/>
                              </a:xfrm>
                              <a:prstGeom prst="line">
                                <a:avLst/>
                              </a:prstGeom>
                              <a:noFill/>
                              <a:ln w="12700" cap="flat" cmpd="sng" algn="ctr">
                                <a:solidFill>
                                  <a:srgbClr val="000000"/>
                                </a:solidFill>
                                <a:prstDash val="solid"/>
                                <a:miter lim="800000"/>
                              </a:ln>
                              <a:effectLst/>
                            </wps:spPr>
                            <wps:bodyPr/>
                          </wps:wsp>
                          <wps:wsp>
                            <wps:cNvPr id="2178" name="Straight Connector 2178"/>
                            <wps:cNvCnPr>
                              <a:cxnSpLocks/>
                            </wps:cNvCnPr>
                            <wps:spPr>
                              <a:xfrm>
                                <a:off x="2357623" y="3368483"/>
                                <a:ext cx="0" cy="45720"/>
                              </a:xfrm>
                              <a:prstGeom prst="line">
                                <a:avLst/>
                              </a:prstGeom>
                              <a:noFill/>
                              <a:ln w="12700" cap="flat" cmpd="sng" algn="ctr">
                                <a:solidFill>
                                  <a:srgbClr val="000000"/>
                                </a:solidFill>
                                <a:prstDash val="solid"/>
                                <a:miter lim="800000"/>
                              </a:ln>
                              <a:effectLst/>
                            </wps:spPr>
                            <wps:bodyPr/>
                          </wps:wsp>
                        </wpg:grpSp>
                        <wpg:grpSp>
                          <wpg:cNvPr id="2179" name="Group 2179"/>
                          <wpg:cNvGrpSpPr/>
                          <wpg:grpSpPr>
                            <a:xfrm>
                              <a:off x="469558" y="2261890"/>
                              <a:ext cx="1888065" cy="45720"/>
                              <a:chOff x="469558" y="2261890"/>
                              <a:chExt cx="1888065" cy="45720"/>
                            </a:xfrm>
                          </wpg:grpSpPr>
                          <wps:wsp>
                            <wps:cNvPr id="2180" name="Straight Connector 2180"/>
                            <wps:cNvCnPr>
                              <a:cxnSpLocks/>
                            </wps:cNvCnPr>
                            <wps:spPr>
                              <a:xfrm>
                                <a:off x="469558" y="2261890"/>
                                <a:ext cx="0" cy="45720"/>
                              </a:xfrm>
                              <a:prstGeom prst="line">
                                <a:avLst/>
                              </a:prstGeom>
                              <a:noFill/>
                              <a:ln w="12700" cap="flat" cmpd="sng" algn="ctr">
                                <a:solidFill>
                                  <a:srgbClr val="000000"/>
                                </a:solidFill>
                                <a:prstDash val="solid"/>
                                <a:miter lim="800000"/>
                              </a:ln>
                              <a:effectLst/>
                            </wps:spPr>
                            <wps:bodyPr/>
                          </wps:wsp>
                          <wps:wsp>
                            <wps:cNvPr id="2181" name="Straight Connector 2181"/>
                            <wps:cNvCnPr>
                              <a:cxnSpLocks/>
                            </wps:cNvCnPr>
                            <wps:spPr>
                              <a:xfrm>
                                <a:off x="706622" y="2261890"/>
                                <a:ext cx="0" cy="45720"/>
                              </a:xfrm>
                              <a:prstGeom prst="line">
                                <a:avLst/>
                              </a:prstGeom>
                              <a:noFill/>
                              <a:ln w="12700" cap="flat" cmpd="sng" algn="ctr">
                                <a:solidFill>
                                  <a:srgbClr val="000000"/>
                                </a:solidFill>
                                <a:prstDash val="solid"/>
                                <a:miter lim="800000"/>
                              </a:ln>
                              <a:effectLst/>
                            </wps:spPr>
                            <wps:bodyPr/>
                          </wps:wsp>
                          <wps:wsp>
                            <wps:cNvPr id="2183" name="Straight Connector 2183"/>
                            <wps:cNvCnPr>
                              <a:cxnSpLocks/>
                            </wps:cNvCnPr>
                            <wps:spPr>
                              <a:xfrm>
                                <a:off x="943695" y="2261890"/>
                                <a:ext cx="0" cy="45720"/>
                              </a:xfrm>
                              <a:prstGeom prst="line">
                                <a:avLst/>
                              </a:prstGeom>
                              <a:noFill/>
                              <a:ln w="12700" cap="flat" cmpd="sng" algn="ctr">
                                <a:solidFill>
                                  <a:srgbClr val="000000"/>
                                </a:solidFill>
                                <a:prstDash val="solid"/>
                                <a:miter lim="800000"/>
                              </a:ln>
                              <a:effectLst/>
                            </wps:spPr>
                            <wps:bodyPr/>
                          </wps:wsp>
                          <wps:wsp>
                            <wps:cNvPr id="2184" name="Straight Connector 2184"/>
                            <wps:cNvCnPr>
                              <a:cxnSpLocks/>
                            </wps:cNvCnPr>
                            <wps:spPr>
                              <a:xfrm>
                                <a:off x="1180756" y="2261890"/>
                                <a:ext cx="0" cy="45720"/>
                              </a:xfrm>
                              <a:prstGeom prst="line">
                                <a:avLst/>
                              </a:prstGeom>
                              <a:noFill/>
                              <a:ln w="12700" cap="flat" cmpd="sng" algn="ctr">
                                <a:solidFill>
                                  <a:srgbClr val="000000"/>
                                </a:solidFill>
                                <a:prstDash val="solid"/>
                                <a:miter lim="800000"/>
                              </a:ln>
                              <a:effectLst/>
                            </wps:spPr>
                            <wps:bodyPr/>
                          </wps:wsp>
                          <wps:wsp>
                            <wps:cNvPr id="2185" name="Straight Connector 2185"/>
                            <wps:cNvCnPr>
                              <a:cxnSpLocks/>
                            </wps:cNvCnPr>
                            <wps:spPr>
                              <a:xfrm>
                                <a:off x="1417823" y="2261890"/>
                                <a:ext cx="0" cy="45720"/>
                              </a:xfrm>
                              <a:prstGeom prst="line">
                                <a:avLst/>
                              </a:prstGeom>
                              <a:noFill/>
                              <a:ln w="12700" cap="flat" cmpd="sng" algn="ctr">
                                <a:solidFill>
                                  <a:srgbClr val="000000"/>
                                </a:solidFill>
                                <a:prstDash val="solid"/>
                                <a:miter lim="800000"/>
                              </a:ln>
                              <a:effectLst/>
                            </wps:spPr>
                            <wps:bodyPr/>
                          </wps:wsp>
                          <wps:wsp>
                            <wps:cNvPr id="2187" name="Straight Connector 2187"/>
                            <wps:cNvCnPr>
                              <a:cxnSpLocks/>
                            </wps:cNvCnPr>
                            <wps:spPr>
                              <a:xfrm>
                                <a:off x="1637956" y="2261890"/>
                                <a:ext cx="0" cy="45720"/>
                              </a:xfrm>
                              <a:prstGeom prst="line">
                                <a:avLst/>
                              </a:prstGeom>
                              <a:noFill/>
                              <a:ln w="12700" cap="flat" cmpd="sng" algn="ctr">
                                <a:solidFill>
                                  <a:srgbClr val="000000"/>
                                </a:solidFill>
                                <a:prstDash val="solid"/>
                                <a:miter lim="800000"/>
                              </a:ln>
                              <a:effectLst/>
                            </wps:spPr>
                            <wps:bodyPr/>
                          </wps:wsp>
                          <wps:wsp>
                            <wps:cNvPr id="2190" name="Straight Connector 2190"/>
                            <wps:cNvCnPr>
                              <a:cxnSpLocks/>
                            </wps:cNvCnPr>
                            <wps:spPr>
                              <a:xfrm>
                                <a:off x="1883492" y="2261890"/>
                                <a:ext cx="0" cy="45720"/>
                              </a:xfrm>
                              <a:prstGeom prst="line">
                                <a:avLst/>
                              </a:prstGeom>
                              <a:noFill/>
                              <a:ln w="12700" cap="flat" cmpd="sng" algn="ctr">
                                <a:solidFill>
                                  <a:srgbClr val="000000"/>
                                </a:solidFill>
                                <a:prstDash val="solid"/>
                                <a:miter lim="800000"/>
                              </a:ln>
                              <a:effectLst/>
                            </wps:spPr>
                            <wps:bodyPr/>
                          </wps:wsp>
                          <wps:wsp>
                            <wps:cNvPr id="2191" name="Straight Connector 2191"/>
                            <wps:cNvCnPr>
                              <a:cxnSpLocks/>
                            </wps:cNvCnPr>
                            <wps:spPr>
                              <a:xfrm>
                                <a:off x="2112090" y="2261890"/>
                                <a:ext cx="0" cy="45720"/>
                              </a:xfrm>
                              <a:prstGeom prst="line">
                                <a:avLst/>
                              </a:prstGeom>
                              <a:noFill/>
                              <a:ln w="12700" cap="flat" cmpd="sng" algn="ctr">
                                <a:solidFill>
                                  <a:srgbClr val="000000"/>
                                </a:solidFill>
                                <a:prstDash val="solid"/>
                                <a:miter lim="800000"/>
                              </a:ln>
                              <a:effectLst/>
                            </wps:spPr>
                            <wps:bodyPr/>
                          </wps:wsp>
                          <wps:wsp>
                            <wps:cNvPr id="2192" name="Straight Connector 2192"/>
                            <wps:cNvCnPr>
                              <a:cxnSpLocks/>
                            </wps:cNvCnPr>
                            <wps:spPr>
                              <a:xfrm>
                                <a:off x="2357623" y="2261890"/>
                                <a:ext cx="0" cy="45720"/>
                              </a:xfrm>
                              <a:prstGeom prst="line">
                                <a:avLst/>
                              </a:prstGeom>
                              <a:noFill/>
                              <a:ln w="12700" cap="flat" cmpd="sng" algn="ctr">
                                <a:solidFill>
                                  <a:srgbClr val="000000"/>
                                </a:solidFill>
                                <a:prstDash val="solid"/>
                                <a:miter lim="800000"/>
                              </a:ln>
                              <a:effectLst/>
                            </wps:spPr>
                            <wps:bodyPr/>
                          </wps:wsp>
                        </wpg:grpSp>
                        <wpg:grpSp>
                          <wpg:cNvPr id="2193" name="Group 2193"/>
                          <wpg:cNvGrpSpPr/>
                          <wpg:grpSpPr>
                            <a:xfrm>
                              <a:off x="469558" y="1178405"/>
                              <a:ext cx="1888065" cy="45720"/>
                              <a:chOff x="469558" y="1178405"/>
                              <a:chExt cx="1888065" cy="45720"/>
                            </a:xfrm>
                          </wpg:grpSpPr>
                          <wps:wsp>
                            <wps:cNvPr id="2194" name="Straight Connector 2194"/>
                            <wps:cNvCnPr>
                              <a:cxnSpLocks/>
                            </wps:cNvCnPr>
                            <wps:spPr>
                              <a:xfrm>
                                <a:off x="469558" y="1178405"/>
                                <a:ext cx="0" cy="45720"/>
                              </a:xfrm>
                              <a:prstGeom prst="line">
                                <a:avLst/>
                              </a:prstGeom>
                              <a:noFill/>
                              <a:ln w="12700" cap="flat" cmpd="sng" algn="ctr">
                                <a:solidFill>
                                  <a:srgbClr val="000000"/>
                                </a:solidFill>
                                <a:prstDash val="solid"/>
                                <a:miter lim="800000"/>
                              </a:ln>
                              <a:effectLst/>
                            </wps:spPr>
                            <wps:bodyPr/>
                          </wps:wsp>
                          <wps:wsp>
                            <wps:cNvPr id="2195" name="Straight Connector 2195"/>
                            <wps:cNvCnPr>
                              <a:cxnSpLocks/>
                            </wps:cNvCnPr>
                            <wps:spPr>
                              <a:xfrm>
                                <a:off x="706622" y="1178405"/>
                                <a:ext cx="0" cy="45720"/>
                              </a:xfrm>
                              <a:prstGeom prst="line">
                                <a:avLst/>
                              </a:prstGeom>
                              <a:noFill/>
                              <a:ln w="12700" cap="flat" cmpd="sng" algn="ctr">
                                <a:solidFill>
                                  <a:srgbClr val="000000"/>
                                </a:solidFill>
                                <a:prstDash val="solid"/>
                                <a:miter lim="800000"/>
                              </a:ln>
                              <a:effectLst/>
                            </wps:spPr>
                            <wps:bodyPr/>
                          </wps:wsp>
                          <wps:wsp>
                            <wps:cNvPr id="2196" name="Straight Connector 2196"/>
                            <wps:cNvCnPr>
                              <a:cxnSpLocks/>
                            </wps:cNvCnPr>
                            <wps:spPr>
                              <a:xfrm>
                                <a:off x="943695" y="1178405"/>
                                <a:ext cx="0" cy="45720"/>
                              </a:xfrm>
                              <a:prstGeom prst="line">
                                <a:avLst/>
                              </a:prstGeom>
                              <a:noFill/>
                              <a:ln w="12700" cap="flat" cmpd="sng" algn="ctr">
                                <a:solidFill>
                                  <a:srgbClr val="000000"/>
                                </a:solidFill>
                                <a:prstDash val="solid"/>
                                <a:miter lim="800000"/>
                              </a:ln>
                              <a:effectLst/>
                            </wps:spPr>
                            <wps:bodyPr/>
                          </wps:wsp>
                          <wps:wsp>
                            <wps:cNvPr id="2197" name="Straight Connector 2197"/>
                            <wps:cNvCnPr>
                              <a:cxnSpLocks/>
                            </wps:cNvCnPr>
                            <wps:spPr>
                              <a:xfrm>
                                <a:off x="1180756" y="1178405"/>
                                <a:ext cx="0" cy="45720"/>
                              </a:xfrm>
                              <a:prstGeom prst="line">
                                <a:avLst/>
                              </a:prstGeom>
                              <a:noFill/>
                              <a:ln w="12700" cap="flat" cmpd="sng" algn="ctr">
                                <a:solidFill>
                                  <a:srgbClr val="000000"/>
                                </a:solidFill>
                                <a:prstDash val="solid"/>
                                <a:miter lim="800000"/>
                              </a:ln>
                              <a:effectLst/>
                            </wps:spPr>
                            <wps:bodyPr/>
                          </wps:wsp>
                          <wps:wsp>
                            <wps:cNvPr id="2198" name="Straight Connector 2198"/>
                            <wps:cNvCnPr>
                              <a:cxnSpLocks/>
                            </wps:cNvCnPr>
                            <wps:spPr>
                              <a:xfrm>
                                <a:off x="1417823" y="1178405"/>
                                <a:ext cx="0" cy="45720"/>
                              </a:xfrm>
                              <a:prstGeom prst="line">
                                <a:avLst/>
                              </a:prstGeom>
                              <a:noFill/>
                              <a:ln w="12700" cap="flat" cmpd="sng" algn="ctr">
                                <a:solidFill>
                                  <a:srgbClr val="000000"/>
                                </a:solidFill>
                                <a:prstDash val="solid"/>
                                <a:miter lim="800000"/>
                              </a:ln>
                              <a:effectLst/>
                            </wps:spPr>
                            <wps:bodyPr/>
                          </wps:wsp>
                          <wps:wsp>
                            <wps:cNvPr id="2199" name="Straight Connector 2199"/>
                            <wps:cNvCnPr>
                              <a:cxnSpLocks/>
                            </wps:cNvCnPr>
                            <wps:spPr>
                              <a:xfrm>
                                <a:off x="1637956" y="1178405"/>
                                <a:ext cx="0" cy="45720"/>
                              </a:xfrm>
                              <a:prstGeom prst="line">
                                <a:avLst/>
                              </a:prstGeom>
                              <a:noFill/>
                              <a:ln w="12700" cap="flat" cmpd="sng" algn="ctr">
                                <a:solidFill>
                                  <a:srgbClr val="000000"/>
                                </a:solidFill>
                                <a:prstDash val="solid"/>
                                <a:miter lim="800000"/>
                              </a:ln>
                              <a:effectLst/>
                            </wps:spPr>
                            <wps:bodyPr/>
                          </wps:wsp>
                          <wps:wsp>
                            <wps:cNvPr id="2200" name="Straight Connector 2200"/>
                            <wps:cNvCnPr>
                              <a:cxnSpLocks/>
                            </wps:cNvCnPr>
                            <wps:spPr>
                              <a:xfrm>
                                <a:off x="1883492" y="1178405"/>
                                <a:ext cx="0" cy="45720"/>
                              </a:xfrm>
                              <a:prstGeom prst="line">
                                <a:avLst/>
                              </a:prstGeom>
                              <a:noFill/>
                              <a:ln w="12700" cap="flat" cmpd="sng" algn="ctr">
                                <a:solidFill>
                                  <a:srgbClr val="000000"/>
                                </a:solidFill>
                                <a:prstDash val="solid"/>
                                <a:miter lim="800000"/>
                              </a:ln>
                              <a:effectLst/>
                            </wps:spPr>
                            <wps:bodyPr/>
                          </wps:wsp>
                          <wps:wsp>
                            <wps:cNvPr id="2201" name="Straight Connector 2201"/>
                            <wps:cNvCnPr>
                              <a:cxnSpLocks/>
                            </wps:cNvCnPr>
                            <wps:spPr>
                              <a:xfrm>
                                <a:off x="2112090" y="1178405"/>
                                <a:ext cx="0" cy="45720"/>
                              </a:xfrm>
                              <a:prstGeom prst="line">
                                <a:avLst/>
                              </a:prstGeom>
                              <a:noFill/>
                              <a:ln w="12700" cap="flat" cmpd="sng" algn="ctr">
                                <a:solidFill>
                                  <a:srgbClr val="000000"/>
                                </a:solidFill>
                                <a:prstDash val="solid"/>
                                <a:miter lim="800000"/>
                              </a:ln>
                              <a:effectLst/>
                            </wps:spPr>
                            <wps:bodyPr/>
                          </wps:wsp>
                          <wps:wsp>
                            <wps:cNvPr id="2202" name="Straight Connector 2202"/>
                            <wps:cNvCnPr>
                              <a:cxnSpLocks/>
                            </wps:cNvCnPr>
                            <wps:spPr>
                              <a:xfrm>
                                <a:off x="2357623" y="1178405"/>
                                <a:ext cx="0" cy="45720"/>
                              </a:xfrm>
                              <a:prstGeom prst="line">
                                <a:avLst/>
                              </a:prstGeom>
                              <a:noFill/>
                              <a:ln w="12700" cap="flat" cmpd="sng" algn="ctr">
                                <a:solidFill>
                                  <a:srgbClr val="000000"/>
                                </a:solidFill>
                                <a:prstDash val="solid"/>
                                <a:miter lim="800000"/>
                              </a:ln>
                              <a:effectLst/>
                            </wps:spPr>
                            <wps:bodyPr/>
                          </wps:wsp>
                        </wpg:grpSp>
                      </wpg:grpSp>
                      <wps:wsp>
                        <wps:cNvPr id="2204" name="Freeform 2204"/>
                        <wps:cNvSpPr/>
                        <wps:spPr>
                          <a:xfrm>
                            <a:off x="1426289" y="327749"/>
                            <a:ext cx="397874" cy="855678"/>
                          </a:xfrm>
                          <a:custGeom>
                            <a:avLst/>
                            <a:gdLst>
                              <a:gd name="connsiteX0" fmla="*/ 0 w 677333"/>
                              <a:gd name="connsiteY0" fmla="*/ 778948 h 849141"/>
                              <a:gd name="connsiteX1" fmla="*/ 211666 w 677333"/>
                              <a:gd name="connsiteY1" fmla="*/ 15 h 849141"/>
                              <a:gd name="connsiteX2" fmla="*/ 448733 w 677333"/>
                              <a:gd name="connsiteY2" fmla="*/ 795882 h 849141"/>
                              <a:gd name="connsiteX3" fmla="*/ 677333 w 677333"/>
                              <a:gd name="connsiteY3" fmla="*/ 762015 h 849141"/>
                              <a:gd name="connsiteX0" fmla="*/ 0 w 524933"/>
                              <a:gd name="connsiteY0" fmla="*/ 778948 h 853268"/>
                              <a:gd name="connsiteX1" fmla="*/ 211666 w 524933"/>
                              <a:gd name="connsiteY1" fmla="*/ 15 h 853268"/>
                              <a:gd name="connsiteX2" fmla="*/ 448733 w 524933"/>
                              <a:gd name="connsiteY2" fmla="*/ 795882 h 853268"/>
                              <a:gd name="connsiteX3" fmla="*/ 524933 w 524933"/>
                              <a:gd name="connsiteY3" fmla="*/ 778948 h 853268"/>
                              <a:gd name="connsiteX0" fmla="*/ 0 w 508000"/>
                              <a:gd name="connsiteY0" fmla="*/ 778948 h 858044"/>
                              <a:gd name="connsiteX1" fmla="*/ 211666 w 508000"/>
                              <a:gd name="connsiteY1" fmla="*/ 15 h 858044"/>
                              <a:gd name="connsiteX2" fmla="*/ 448733 w 508000"/>
                              <a:gd name="connsiteY2" fmla="*/ 795882 h 858044"/>
                              <a:gd name="connsiteX3" fmla="*/ 508000 w 508000"/>
                              <a:gd name="connsiteY3" fmla="*/ 795881 h 858044"/>
                              <a:gd name="connsiteX0" fmla="*/ 0 w 558800"/>
                              <a:gd name="connsiteY0" fmla="*/ 778948 h 877903"/>
                              <a:gd name="connsiteX1" fmla="*/ 211666 w 558800"/>
                              <a:gd name="connsiteY1" fmla="*/ 15 h 877903"/>
                              <a:gd name="connsiteX2" fmla="*/ 448733 w 558800"/>
                              <a:gd name="connsiteY2" fmla="*/ 795882 h 877903"/>
                              <a:gd name="connsiteX3" fmla="*/ 558800 w 558800"/>
                              <a:gd name="connsiteY3" fmla="*/ 846681 h 877903"/>
                              <a:gd name="connsiteX0" fmla="*/ 0 w 550333"/>
                              <a:gd name="connsiteY0" fmla="*/ 787403 h 877892"/>
                              <a:gd name="connsiteX1" fmla="*/ 203199 w 550333"/>
                              <a:gd name="connsiteY1" fmla="*/ 4 h 877892"/>
                              <a:gd name="connsiteX2" fmla="*/ 440266 w 550333"/>
                              <a:gd name="connsiteY2" fmla="*/ 795871 h 877892"/>
                              <a:gd name="connsiteX3" fmla="*/ 550333 w 550333"/>
                              <a:gd name="connsiteY3" fmla="*/ 846670 h 877892"/>
                              <a:gd name="connsiteX0" fmla="*/ 0 w 550333"/>
                              <a:gd name="connsiteY0" fmla="*/ 787402 h 877891"/>
                              <a:gd name="connsiteX1" fmla="*/ 203199 w 550333"/>
                              <a:gd name="connsiteY1" fmla="*/ 3 h 877891"/>
                              <a:gd name="connsiteX2" fmla="*/ 440266 w 550333"/>
                              <a:gd name="connsiteY2" fmla="*/ 795870 h 877891"/>
                              <a:gd name="connsiteX3" fmla="*/ 550333 w 550333"/>
                              <a:gd name="connsiteY3" fmla="*/ 846669 h 877891"/>
                              <a:gd name="connsiteX0" fmla="*/ 0 w 550333"/>
                              <a:gd name="connsiteY0" fmla="*/ 787485 h 857651"/>
                              <a:gd name="connsiteX1" fmla="*/ 203199 w 550333"/>
                              <a:gd name="connsiteY1" fmla="*/ 86 h 857651"/>
                              <a:gd name="connsiteX2" fmla="*/ 440266 w 550333"/>
                              <a:gd name="connsiteY2" fmla="*/ 736686 h 857651"/>
                              <a:gd name="connsiteX3" fmla="*/ 550333 w 550333"/>
                              <a:gd name="connsiteY3" fmla="*/ 846752 h 857651"/>
                              <a:gd name="connsiteX0" fmla="*/ 0 w 550333"/>
                              <a:gd name="connsiteY0" fmla="*/ 787507 h 857673"/>
                              <a:gd name="connsiteX1" fmla="*/ 203199 w 550333"/>
                              <a:gd name="connsiteY1" fmla="*/ 108 h 857673"/>
                              <a:gd name="connsiteX2" fmla="*/ 440266 w 550333"/>
                              <a:gd name="connsiteY2" fmla="*/ 736708 h 857673"/>
                              <a:gd name="connsiteX3" fmla="*/ 550333 w 550333"/>
                              <a:gd name="connsiteY3" fmla="*/ 846774 h 857673"/>
                              <a:gd name="connsiteX0" fmla="*/ 2308 w 552641"/>
                              <a:gd name="connsiteY0" fmla="*/ 788048 h 858214"/>
                              <a:gd name="connsiteX1" fmla="*/ 20781 w 552641"/>
                              <a:gd name="connsiteY1" fmla="*/ 610586 h 858214"/>
                              <a:gd name="connsiteX2" fmla="*/ 205507 w 552641"/>
                              <a:gd name="connsiteY2" fmla="*/ 649 h 858214"/>
                              <a:gd name="connsiteX3" fmla="*/ 442574 w 552641"/>
                              <a:gd name="connsiteY3" fmla="*/ 737249 h 858214"/>
                              <a:gd name="connsiteX4" fmla="*/ 552641 w 552641"/>
                              <a:gd name="connsiteY4" fmla="*/ 847315 h 858214"/>
                              <a:gd name="connsiteX0" fmla="*/ 2308 w 552641"/>
                              <a:gd name="connsiteY0" fmla="*/ 788131 h 858297"/>
                              <a:gd name="connsiteX1" fmla="*/ 20781 w 552641"/>
                              <a:gd name="connsiteY1" fmla="*/ 610669 h 858297"/>
                              <a:gd name="connsiteX2" fmla="*/ 205507 w 552641"/>
                              <a:gd name="connsiteY2" fmla="*/ 732 h 858297"/>
                              <a:gd name="connsiteX3" fmla="*/ 442574 w 552641"/>
                              <a:gd name="connsiteY3" fmla="*/ 737332 h 858297"/>
                              <a:gd name="connsiteX4" fmla="*/ 552641 w 552641"/>
                              <a:gd name="connsiteY4" fmla="*/ 847398 h 858297"/>
                              <a:gd name="connsiteX0" fmla="*/ 13229 w 563562"/>
                              <a:gd name="connsiteY0" fmla="*/ 787403 h 857569"/>
                              <a:gd name="connsiteX1" fmla="*/ 14768 w 563562"/>
                              <a:gd name="connsiteY1" fmla="*/ 745408 h 857569"/>
                              <a:gd name="connsiteX2" fmla="*/ 216428 w 563562"/>
                              <a:gd name="connsiteY2" fmla="*/ 4 h 857569"/>
                              <a:gd name="connsiteX3" fmla="*/ 453495 w 563562"/>
                              <a:gd name="connsiteY3" fmla="*/ 736604 h 857569"/>
                              <a:gd name="connsiteX4" fmla="*/ 563562 w 563562"/>
                              <a:gd name="connsiteY4" fmla="*/ 846670 h 857569"/>
                              <a:gd name="connsiteX0" fmla="*/ 0 w 592666"/>
                              <a:gd name="connsiteY0" fmla="*/ 863603 h 863603"/>
                              <a:gd name="connsiteX1" fmla="*/ 43872 w 592666"/>
                              <a:gd name="connsiteY1" fmla="*/ 745408 h 863603"/>
                              <a:gd name="connsiteX2" fmla="*/ 245532 w 592666"/>
                              <a:gd name="connsiteY2" fmla="*/ 4 h 863603"/>
                              <a:gd name="connsiteX3" fmla="*/ 482599 w 592666"/>
                              <a:gd name="connsiteY3" fmla="*/ 736604 h 863603"/>
                              <a:gd name="connsiteX4" fmla="*/ 592666 w 592666"/>
                              <a:gd name="connsiteY4" fmla="*/ 846670 h 863603"/>
                              <a:gd name="connsiteX0" fmla="*/ 0 w 592666"/>
                              <a:gd name="connsiteY0" fmla="*/ 863628 h 863628"/>
                              <a:gd name="connsiteX1" fmla="*/ 43872 w 592666"/>
                              <a:gd name="connsiteY1" fmla="*/ 745433 h 863628"/>
                              <a:gd name="connsiteX2" fmla="*/ 245532 w 592666"/>
                              <a:gd name="connsiteY2" fmla="*/ 29 h 863628"/>
                              <a:gd name="connsiteX3" fmla="*/ 372532 w 592666"/>
                              <a:gd name="connsiteY3" fmla="*/ 719695 h 863628"/>
                              <a:gd name="connsiteX4" fmla="*/ 592666 w 592666"/>
                              <a:gd name="connsiteY4" fmla="*/ 846695 h 863628"/>
                              <a:gd name="connsiteX0" fmla="*/ 0 w 592666"/>
                              <a:gd name="connsiteY0" fmla="*/ 863914 h 863914"/>
                              <a:gd name="connsiteX1" fmla="*/ 120072 w 592666"/>
                              <a:gd name="connsiteY1" fmla="*/ 635652 h 863914"/>
                              <a:gd name="connsiteX2" fmla="*/ 245532 w 592666"/>
                              <a:gd name="connsiteY2" fmla="*/ 315 h 863914"/>
                              <a:gd name="connsiteX3" fmla="*/ 372532 w 592666"/>
                              <a:gd name="connsiteY3" fmla="*/ 719981 h 863914"/>
                              <a:gd name="connsiteX4" fmla="*/ 592666 w 592666"/>
                              <a:gd name="connsiteY4" fmla="*/ 846981 h 863914"/>
                              <a:gd name="connsiteX0" fmla="*/ 0 w 601133"/>
                              <a:gd name="connsiteY0" fmla="*/ 846981 h 855261"/>
                              <a:gd name="connsiteX1" fmla="*/ 128539 w 601133"/>
                              <a:gd name="connsiteY1" fmla="*/ 635652 h 855261"/>
                              <a:gd name="connsiteX2" fmla="*/ 253999 w 601133"/>
                              <a:gd name="connsiteY2" fmla="*/ 315 h 855261"/>
                              <a:gd name="connsiteX3" fmla="*/ 380999 w 601133"/>
                              <a:gd name="connsiteY3" fmla="*/ 719981 h 855261"/>
                              <a:gd name="connsiteX4" fmla="*/ 601133 w 601133"/>
                              <a:gd name="connsiteY4" fmla="*/ 846981 h 855261"/>
                              <a:gd name="connsiteX0" fmla="*/ 0 w 491067"/>
                              <a:gd name="connsiteY0" fmla="*/ 846981 h 846981"/>
                              <a:gd name="connsiteX1" fmla="*/ 128539 w 491067"/>
                              <a:gd name="connsiteY1" fmla="*/ 635652 h 846981"/>
                              <a:gd name="connsiteX2" fmla="*/ 253999 w 491067"/>
                              <a:gd name="connsiteY2" fmla="*/ 315 h 846981"/>
                              <a:gd name="connsiteX3" fmla="*/ 380999 w 491067"/>
                              <a:gd name="connsiteY3" fmla="*/ 719981 h 846981"/>
                              <a:gd name="connsiteX4" fmla="*/ 491067 w 491067"/>
                              <a:gd name="connsiteY4" fmla="*/ 779248 h 846981"/>
                              <a:gd name="connsiteX0" fmla="*/ 0 w 491067"/>
                              <a:gd name="connsiteY0" fmla="*/ 847053 h 847053"/>
                              <a:gd name="connsiteX1" fmla="*/ 111605 w 491067"/>
                              <a:gd name="connsiteY1" fmla="*/ 627257 h 847053"/>
                              <a:gd name="connsiteX2" fmla="*/ 253999 w 491067"/>
                              <a:gd name="connsiteY2" fmla="*/ 387 h 847053"/>
                              <a:gd name="connsiteX3" fmla="*/ 380999 w 491067"/>
                              <a:gd name="connsiteY3" fmla="*/ 720053 h 847053"/>
                              <a:gd name="connsiteX4" fmla="*/ 491067 w 491067"/>
                              <a:gd name="connsiteY4" fmla="*/ 779320 h 847053"/>
                              <a:gd name="connsiteX0" fmla="*/ 0 w 491067"/>
                              <a:gd name="connsiteY0" fmla="*/ 838594 h 838594"/>
                              <a:gd name="connsiteX1" fmla="*/ 111605 w 491067"/>
                              <a:gd name="connsiteY1" fmla="*/ 618798 h 838594"/>
                              <a:gd name="connsiteX2" fmla="*/ 228599 w 491067"/>
                              <a:gd name="connsiteY2" fmla="*/ 395 h 838594"/>
                              <a:gd name="connsiteX3" fmla="*/ 380999 w 491067"/>
                              <a:gd name="connsiteY3" fmla="*/ 711594 h 838594"/>
                              <a:gd name="connsiteX4" fmla="*/ 491067 w 491067"/>
                              <a:gd name="connsiteY4" fmla="*/ 770861 h 838594"/>
                              <a:gd name="connsiteX0" fmla="*/ 0 w 474134"/>
                              <a:gd name="connsiteY0" fmla="*/ 838594 h 838594"/>
                              <a:gd name="connsiteX1" fmla="*/ 111605 w 474134"/>
                              <a:gd name="connsiteY1" fmla="*/ 618798 h 838594"/>
                              <a:gd name="connsiteX2" fmla="*/ 228599 w 474134"/>
                              <a:gd name="connsiteY2" fmla="*/ 395 h 838594"/>
                              <a:gd name="connsiteX3" fmla="*/ 380999 w 474134"/>
                              <a:gd name="connsiteY3" fmla="*/ 711594 h 838594"/>
                              <a:gd name="connsiteX4" fmla="*/ 474134 w 474134"/>
                              <a:gd name="connsiteY4" fmla="*/ 779327 h 838594"/>
                              <a:gd name="connsiteX0" fmla="*/ 0 w 457201"/>
                              <a:gd name="connsiteY0" fmla="*/ 821661 h 821661"/>
                              <a:gd name="connsiteX1" fmla="*/ 94672 w 457201"/>
                              <a:gd name="connsiteY1" fmla="*/ 618798 h 821661"/>
                              <a:gd name="connsiteX2" fmla="*/ 211666 w 457201"/>
                              <a:gd name="connsiteY2" fmla="*/ 395 h 821661"/>
                              <a:gd name="connsiteX3" fmla="*/ 364066 w 457201"/>
                              <a:gd name="connsiteY3" fmla="*/ 711594 h 821661"/>
                              <a:gd name="connsiteX4" fmla="*/ 457201 w 457201"/>
                              <a:gd name="connsiteY4" fmla="*/ 779327 h 821661"/>
                              <a:gd name="connsiteX0" fmla="*/ 0 w 459631"/>
                              <a:gd name="connsiteY0" fmla="*/ 821661 h 821661"/>
                              <a:gd name="connsiteX1" fmla="*/ 94672 w 459631"/>
                              <a:gd name="connsiteY1" fmla="*/ 618798 h 821661"/>
                              <a:gd name="connsiteX2" fmla="*/ 211666 w 459631"/>
                              <a:gd name="connsiteY2" fmla="*/ 395 h 821661"/>
                              <a:gd name="connsiteX3" fmla="*/ 364066 w 459631"/>
                              <a:gd name="connsiteY3" fmla="*/ 711594 h 821661"/>
                              <a:gd name="connsiteX4" fmla="*/ 457201 w 459631"/>
                              <a:gd name="connsiteY4" fmla="*/ 779327 h 821661"/>
                              <a:gd name="connsiteX5" fmla="*/ 431800 w 459631"/>
                              <a:gd name="connsiteY5" fmla="*/ 775942 h 821661"/>
                              <a:gd name="connsiteX0" fmla="*/ 25400 w 482793"/>
                              <a:gd name="connsiteY0" fmla="*/ 821661 h 826751"/>
                              <a:gd name="connsiteX1" fmla="*/ 120072 w 482793"/>
                              <a:gd name="connsiteY1" fmla="*/ 618798 h 826751"/>
                              <a:gd name="connsiteX2" fmla="*/ 237066 w 482793"/>
                              <a:gd name="connsiteY2" fmla="*/ 395 h 826751"/>
                              <a:gd name="connsiteX3" fmla="*/ 389466 w 482793"/>
                              <a:gd name="connsiteY3" fmla="*/ 711594 h 826751"/>
                              <a:gd name="connsiteX4" fmla="*/ 482601 w 482793"/>
                              <a:gd name="connsiteY4" fmla="*/ 779327 h 826751"/>
                              <a:gd name="connsiteX5" fmla="*/ 0 w 482793"/>
                              <a:gd name="connsiteY5" fmla="*/ 826742 h 826751"/>
                              <a:gd name="connsiteX0" fmla="*/ 25400 w 482793"/>
                              <a:gd name="connsiteY0" fmla="*/ 821661 h 826751"/>
                              <a:gd name="connsiteX1" fmla="*/ 120072 w 482793"/>
                              <a:gd name="connsiteY1" fmla="*/ 618798 h 826751"/>
                              <a:gd name="connsiteX2" fmla="*/ 237066 w 482793"/>
                              <a:gd name="connsiteY2" fmla="*/ 395 h 826751"/>
                              <a:gd name="connsiteX3" fmla="*/ 389466 w 482793"/>
                              <a:gd name="connsiteY3" fmla="*/ 711594 h 826751"/>
                              <a:gd name="connsiteX4" fmla="*/ 482601 w 482793"/>
                              <a:gd name="connsiteY4" fmla="*/ 779327 h 826751"/>
                              <a:gd name="connsiteX5" fmla="*/ 0 w 482793"/>
                              <a:gd name="connsiteY5" fmla="*/ 826742 h 826751"/>
                              <a:gd name="connsiteX0" fmla="*/ 25400 w 482793"/>
                              <a:gd name="connsiteY0" fmla="*/ 821811 h 826901"/>
                              <a:gd name="connsiteX1" fmla="*/ 120072 w 482793"/>
                              <a:gd name="connsiteY1" fmla="*/ 618948 h 826901"/>
                              <a:gd name="connsiteX2" fmla="*/ 237066 w 482793"/>
                              <a:gd name="connsiteY2" fmla="*/ 545 h 826901"/>
                              <a:gd name="connsiteX3" fmla="*/ 414866 w 482793"/>
                              <a:gd name="connsiteY3" fmla="*/ 728677 h 826901"/>
                              <a:gd name="connsiteX4" fmla="*/ 482601 w 482793"/>
                              <a:gd name="connsiteY4" fmla="*/ 779477 h 826901"/>
                              <a:gd name="connsiteX5" fmla="*/ 0 w 482793"/>
                              <a:gd name="connsiteY5" fmla="*/ 826892 h 826901"/>
                              <a:gd name="connsiteX0" fmla="*/ 25400 w 499720"/>
                              <a:gd name="connsiteY0" fmla="*/ 821811 h 830583"/>
                              <a:gd name="connsiteX1" fmla="*/ 120072 w 499720"/>
                              <a:gd name="connsiteY1" fmla="*/ 618948 h 830583"/>
                              <a:gd name="connsiteX2" fmla="*/ 237066 w 499720"/>
                              <a:gd name="connsiteY2" fmla="*/ 545 h 830583"/>
                              <a:gd name="connsiteX3" fmla="*/ 414866 w 499720"/>
                              <a:gd name="connsiteY3" fmla="*/ 728677 h 830583"/>
                              <a:gd name="connsiteX4" fmla="*/ 499534 w 499720"/>
                              <a:gd name="connsiteY4" fmla="*/ 813344 h 830583"/>
                              <a:gd name="connsiteX5" fmla="*/ 0 w 499720"/>
                              <a:gd name="connsiteY5" fmla="*/ 826892 h 830583"/>
                              <a:gd name="connsiteX0" fmla="*/ 8467 w 499720"/>
                              <a:gd name="connsiteY0" fmla="*/ 855678 h 855678"/>
                              <a:gd name="connsiteX1" fmla="*/ 120072 w 499720"/>
                              <a:gd name="connsiteY1" fmla="*/ 618948 h 855678"/>
                              <a:gd name="connsiteX2" fmla="*/ 237066 w 499720"/>
                              <a:gd name="connsiteY2" fmla="*/ 545 h 855678"/>
                              <a:gd name="connsiteX3" fmla="*/ 414866 w 499720"/>
                              <a:gd name="connsiteY3" fmla="*/ 728677 h 855678"/>
                              <a:gd name="connsiteX4" fmla="*/ 499534 w 499720"/>
                              <a:gd name="connsiteY4" fmla="*/ 813344 h 855678"/>
                              <a:gd name="connsiteX5" fmla="*/ 0 w 499720"/>
                              <a:gd name="connsiteY5" fmla="*/ 826892 h 855678"/>
                              <a:gd name="connsiteX0" fmla="*/ 0 w 491256"/>
                              <a:gd name="connsiteY0" fmla="*/ 855678 h 855678"/>
                              <a:gd name="connsiteX1" fmla="*/ 111605 w 491256"/>
                              <a:gd name="connsiteY1" fmla="*/ 618948 h 855678"/>
                              <a:gd name="connsiteX2" fmla="*/ 228599 w 491256"/>
                              <a:gd name="connsiteY2" fmla="*/ 545 h 855678"/>
                              <a:gd name="connsiteX3" fmla="*/ 406399 w 491256"/>
                              <a:gd name="connsiteY3" fmla="*/ 728677 h 855678"/>
                              <a:gd name="connsiteX4" fmla="*/ 491067 w 491256"/>
                              <a:gd name="connsiteY4" fmla="*/ 813344 h 855678"/>
                              <a:gd name="connsiteX5" fmla="*/ 0 w 491256"/>
                              <a:gd name="connsiteY5" fmla="*/ 826892 h 855678"/>
                              <a:gd name="connsiteX0" fmla="*/ 0 w 474329"/>
                              <a:gd name="connsiteY0" fmla="*/ 855678 h 855678"/>
                              <a:gd name="connsiteX1" fmla="*/ 111605 w 474329"/>
                              <a:gd name="connsiteY1" fmla="*/ 618948 h 855678"/>
                              <a:gd name="connsiteX2" fmla="*/ 228599 w 474329"/>
                              <a:gd name="connsiteY2" fmla="*/ 545 h 855678"/>
                              <a:gd name="connsiteX3" fmla="*/ 406399 w 474329"/>
                              <a:gd name="connsiteY3" fmla="*/ 728677 h 855678"/>
                              <a:gd name="connsiteX4" fmla="*/ 474134 w 474329"/>
                              <a:gd name="connsiteY4" fmla="*/ 830277 h 855678"/>
                              <a:gd name="connsiteX5" fmla="*/ 0 w 474329"/>
                              <a:gd name="connsiteY5" fmla="*/ 826892 h 855678"/>
                              <a:gd name="connsiteX0" fmla="*/ 5127 w 479454"/>
                              <a:gd name="connsiteY0" fmla="*/ 855678 h 855678"/>
                              <a:gd name="connsiteX1" fmla="*/ 116732 w 479454"/>
                              <a:gd name="connsiteY1" fmla="*/ 618948 h 855678"/>
                              <a:gd name="connsiteX2" fmla="*/ 233726 w 479454"/>
                              <a:gd name="connsiteY2" fmla="*/ 545 h 855678"/>
                              <a:gd name="connsiteX3" fmla="*/ 411526 w 479454"/>
                              <a:gd name="connsiteY3" fmla="*/ 728677 h 855678"/>
                              <a:gd name="connsiteX4" fmla="*/ 479261 w 479454"/>
                              <a:gd name="connsiteY4" fmla="*/ 830277 h 855678"/>
                              <a:gd name="connsiteX5" fmla="*/ 0 w 479454"/>
                              <a:gd name="connsiteY5" fmla="*/ 839367 h 855678"/>
                              <a:gd name="connsiteX0" fmla="*/ 5127 w 484579"/>
                              <a:gd name="connsiteY0" fmla="*/ 855678 h 855678"/>
                              <a:gd name="connsiteX1" fmla="*/ 116732 w 484579"/>
                              <a:gd name="connsiteY1" fmla="*/ 618948 h 855678"/>
                              <a:gd name="connsiteX2" fmla="*/ 233726 w 484579"/>
                              <a:gd name="connsiteY2" fmla="*/ 545 h 855678"/>
                              <a:gd name="connsiteX3" fmla="*/ 411526 w 484579"/>
                              <a:gd name="connsiteY3" fmla="*/ 728677 h 855678"/>
                              <a:gd name="connsiteX4" fmla="*/ 484388 w 484579"/>
                              <a:gd name="connsiteY4" fmla="*/ 836515 h 855678"/>
                              <a:gd name="connsiteX5" fmla="*/ 0 w 484579"/>
                              <a:gd name="connsiteY5" fmla="*/ 839367 h 85567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84579" h="855678">
                                <a:moveTo>
                                  <a:pt x="5127" y="855678"/>
                                </a:moveTo>
                                <a:cubicBezTo>
                                  <a:pt x="8206" y="826101"/>
                                  <a:pt x="82866" y="750181"/>
                                  <a:pt x="116732" y="618948"/>
                                </a:cubicBezTo>
                                <a:cubicBezTo>
                                  <a:pt x="142131" y="428448"/>
                                  <a:pt x="184594" y="-17743"/>
                                  <a:pt x="233726" y="545"/>
                                </a:cubicBezTo>
                                <a:cubicBezTo>
                                  <a:pt x="282858" y="18833"/>
                                  <a:pt x="325448" y="474677"/>
                                  <a:pt x="411526" y="728677"/>
                                </a:cubicBezTo>
                                <a:cubicBezTo>
                                  <a:pt x="489137" y="855677"/>
                                  <a:pt x="475921" y="860504"/>
                                  <a:pt x="484388" y="836515"/>
                                </a:cubicBezTo>
                                <a:cubicBezTo>
                                  <a:pt x="495677" y="847240"/>
                                  <a:pt x="5292" y="840072"/>
                                  <a:pt x="0" y="839367"/>
                                </a:cubicBezTo>
                              </a:path>
                            </a:pathLst>
                          </a:custGeom>
                          <a:solidFill>
                            <a:srgbClr val="2099D7"/>
                          </a:solidFill>
                          <a:ln w="6350" cap="flat" cmpd="sng" algn="ctr">
                            <a:solidFill>
                              <a:srgbClr val="000000"/>
                            </a:solidFill>
                            <a:prstDash val="solid"/>
                            <a:miter lim="800000"/>
                          </a:ln>
                          <a:effectLst/>
                        </wps:spPr>
                        <wps:bodyPr rtlCol="0" anchor="ctr"/>
                      </wps:wsp>
                      <wps:wsp>
                        <wps:cNvPr id="2205" name="Freeform 2205"/>
                        <wps:cNvSpPr/>
                        <wps:spPr>
                          <a:xfrm>
                            <a:off x="1162817" y="1436497"/>
                            <a:ext cx="982711" cy="828792"/>
                          </a:xfrm>
                          <a:custGeom>
                            <a:avLst/>
                            <a:gdLst>
                              <a:gd name="connsiteX0" fmla="*/ 0 w 677333"/>
                              <a:gd name="connsiteY0" fmla="*/ 778948 h 849141"/>
                              <a:gd name="connsiteX1" fmla="*/ 211666 w 677333"/>
                              <a:gd name="connsiteY1" fmla="*/ 15 h 849141"/>
                              <a:gd name="connsiteX2" fmla="*/ 448733 w 677333"/>
                              <a:gd name="connsiteY2" fmla="*/ 795882 h 849141"/>
                              <a:gd name="connsiteX3" fmla="*/ 677333 w 677333"/>
                              <a:gd name="connsiteY3" fmla="*/ 762015 h 849141"/>
                              <a:gd name="connsiteX0" fmla="*/ 0 w 524933"/>
                              <a:gd name="connsiteY0" fmla="*/ 778948 h 853268"/>
                              <a:gd name="connsiteX1" fmla="*/ 211666 w 524933"/>
                              <a:gd name="connsiteY1" fmla="*/ 15 h 853268"/>
                              <a:gd name="connsiteX2" fmla="*/ 448733 w 524933"/>
                              <a:gd name="connsiteY2" fmla="*/ 795882 h 853268"/>
                              <a:gd name="connsiteX3" fmla="*/ 524933 w 524933"/>
                              <a:gd name="connsiteY3" fmla="*/ 778948 h 853268"/>
                              <a:gd name="connsiteX0" fmla="*/ 0 w 508000"/>
                              <a:gd name="connsiteY0" fmla="*/ 778948 h 858044"/>
                              <a:gd name="connsiteX1" fmla="*/ 211666 w 508000"/>
                              <a:gd name="connsiteY1" fmla="*/ 15 h 858044"/>
                              <a:gd name="connsiteX2" fmla="*/ 448733 w 508000"/>
                              <a:gd name="connsiteY2" fmla="*/ 795882 h 858044"/>
                              <a:gd name="connsiteX3" fmla="*/ 508000 w 508000"/>
                              <a:gd name="connsiteY3" fmla="*/ 795881 h 858044"/>
                              <a:gd name="connsiteX0" fmla="*/ 0 w 558800"/>
                              <a:gd name="connsiteY0" fmla="*/ 778948 h 877903"/>
                              <a:gd name="connsiteX1" fmla="*/ 211666 w 558800"/>
                              <a:gd name="connsiteY1" fmla="*/ 15 h 877903"/>
                              <a:gd name="connsiteX2" fmla="*/ 448733 w 558800"/>
                              <a:gd name="connsiteY2" fmla="*/ 795882 h 877903"/>
                              <a:gd name="connsiteX3" fmla="*/ 558800 w 558800"/>
                              <a:gd name="connsiteY3" fmla="*/ 846681 h 877903"/>
                              <a:gd name="connsiteX0" fmla="*/ 0 w 550333"/>
                              <a:gd name="connsiteY0" fmla="*/ 787403 h 877892"/>
                              <a:gd name="connsiteX1" fmla="*/ 203199 w 550333"/>
                              <a:gd name="connsiteY1" fmla="*/ 4 h 877892"/>
                              <a:gd name="connsiteX2" fmla="*/ 440266 w 550333"/>
                              <a:gd name="connsiteY2" fmla="*/ 795871 h 877892"/>
                              <a:gd name="connsiteX3" fmla="*/ 550333 w 550333"/>
                              <a:gd name="connsiteY3" fmla="*/ 846670 h 877892"/>
                              <a:gd name="connsiteX0" fmla="*/ 0 w 550333"/>
                              <a:gd name="connsiteY0" fmla="*/ 787402 h 877891"/>
                              <a:gd name="connsiteX1" fmla="*/ 203199 w 550333"/>
                              <a:gd name="connsiteY1" fmla="*/ 3 h 877891"/>
                              <a:gd name="connsiteX2" fmla="*/ 440266 w 550333"/>
                              <a:gd name="connsiteY2" fmla="*/ 795870 h 877891"/>
                              <a:gd name="connsiteX3" fmla="*/ 550333 w 550333"/>
                              <a:gd name="connsiteY3" fmla="*/ 846669 h 877891"/>
                              <a:gd name="connsiteX0" fmla="*/ 0 w 550333"/>
                              <a:gd name="connsiteY0" fmla="*/ 787485 h 857651"/>
                              <a:gd name="connsiteX1" fmla="*/ 203199 w 550333"/>
                              <a:gd name="connsiteY1" fmla="*/ 86 h 857651"/>
                              <a:gd name="connsiteX2" fmla="*/ 440266 w 550333"/>
                              <a:gd name="connsiteY2" fmla="*/ 736686 h 857651"/>
                              <a:gd name="connsiteX3" fmla="*/ 550333 w 550333"/>
                              <a:gd name="connsiteY3" fmla="*/ 846752 h 857651"/>
                              <a:gd name="connsiteX0" fmla="*/ 0 w 550333"/>
                              <a:gd name="connsiteY0" fmla="*/ 787507 h 857673"/>
                              <a:gd name="connsiteX1" fmla="*/ 203199 w 550333"/>
                              <a:gd name="connsiteY1" fmla="*/ 108 h 857673"/>
                              <a:gd name="connsiteX2" fmla="*/ 440266 w 550333"/>
                              <a:gd name="connsiteY2" fmla="*/ 736708 h 857673"/>
                              <a:gd name="connsiteX3" fmla="*/ 550333 w 550333"/>
                              <a:gd name="connsiteY3" fmla="*/ 846774 h 857673"/>
                              <a:gd name="connsiteX0" fmla="*/ 2308 w 552641"/>
                              <a:gd name="connsiteY0" fmla="*/ 788048 h 858214"/>
                              <a:gd name="connsiteX1" fmla="*/ 20781 w 552641"/>
                              <a:gd name="connsiteY1" fmla="*/ 610586 h 858214"/>
                              <a:gd name="connsiteX2" fmla="*/ 205507 w 552641"/>
                              <a:gd name="connsiteY2" fmla="*/ 649 h 858214"/>
                              <a:gd name="connsiteX3" fmla="*/ 442574 w 552641"/>
                              <a:gd name="connsiteY3" fmla="*/ 737249 h 858214"/>
                              <a:gd name="connsiteX4" fmla="*/ 552641 w 552641"/>
                              <a:gd name="connsiteY4" fmla="*/ 847315 h 858214"/>
                              <a:gd name="connsiteX0" fmla="*/ 2308 w 552641"/>
                              <a:gd name="connsiteY0" fmla="*/ 788131 h 858297"/>
                              <a:gd name="connsiteX1" fmla="*/ 20781 w 552641"/>
                              <a:gd name="connsiteY1" fmla="*/ 610669 h 858297"/>
                              <a:gd name="connsiteX2" fmla="*/ 205507 w 552641"/>
                              <a:gd name="connsiteY2" fmla="*/ 732 h 858297"/>
                              <a:gd name="connsiteX3" fmla="*/ 442574 w 552641"/>
                              <a:gd name="connsiteY3" fmla="*/ 737332 h 858297"/>
                              <a:gd name="connsiteX4" fmla="*/ 552641 w 552641"/>
                              <a:gd name="connsiteY4" fmla="*/ 847398 h 858297"/>
                              <a:gd name="connsiteX0" fmla="*/ 13229 w 563562"/>
                              <a:gd name="connsiteY0" fmla="*/ 787403 h 857569"/>
                              <a:gd name="connsiteX1" fmla="*/ 14768 w 563562"/>
                              <a:gd name="connsiteY1" fmla="*/ 745408 h 857569"/>
                              <a:gd name="connsiteX2" fmla="*/ 216428 w 563562"/>
                              <a:gd name="connsiteY2" fmla="*/ 4 h 857569"/>
                              <a:gd name="connsiteX3" fmla="*/ 453495 w 563562"/>
                              <a:gd name="connsiteY3" fmla="*/ 736604 h 857569"/>
                              <a:gd name="connsiteX4" fmla="*/ 563562 w 563562"/>
                              <a:gd name="connsiteY4" fmla="*/ 846670 h 857569"/>
                              <a:gd name="connsiteX0" fmla="*/ 0 w 592666"/>
                              <a:gd name="connsiteY0" fmla="*/ 863603 h 863603"/>
                              <a:gd name="connsiteX1" fmla="*/ 43872 w 592666"/>
                              <a:gd name="connsiteY1" fmla="*/ 745408 h 863603"/>
                              <a:gd name="connsiteX2" fmla="*/ 245532 w 592666"/>
                              <a:gd name="connsiteY2" fmla="*/ 4 h 863603"/>
                              <a:gd name="connsiteX3" fmla="*/ 482599 w 592666"/>
                              <a:gd name="connsiteY3" fmla="*/ 736604 h 863603"/>
                              <a:gd name="connsiteX4" fmla="*/ 592666 w 592666"/>
                              <a:gd name="connsiteY4" fmla="*/ 846670 h 863603"/>
                              <a:gd name="connsiteX0" fmla="*/ 0 w 592666"/>
                              <a:gd name="connsiteY0" fmla="*/ 863628 h 863628"/>
                              <a:gd name="connsiteX1" fmla="*/ 43872 w 592666"/>
                              <a:gd name="connsiteY1" fmla="*/ 745433 h 863628"/>
                              <a:gd name="connsiteX2" fmla="*/ 245532 w 592666"/>
                              <a:gd name="connsiteY2" fmla="*/ 29 h 863628"/>
                              <a:gd name="connsiteX3" fmla="*/ 372532 w 592666"/>
                              <a:gd name="connsiteY3" fmla="*/ 719695 h 863628"/>
                              <a:gd name="connsiteX4" fmla="*/ 592666 w 592666"/>
                              <a:gd name="connsiteY4" fmla="*/ 846695 h 863628"/>
                              <a:gd name="connsiteX0" fmla="*/ 0 w 592666"/>
                              <a:gd name="connsiteY0" fmla="*/ 863914 h 863914"/>
                              <a:gd name="connsiteX1" fmla="*/ 120072 w 592666"/>
                              <a:gd name="connsiteY1" fmla="*/ 635652 h 863914"/>
                              <a:gd name="connsiteX2" fmla="*/ 245532 w 592666"/>
                              <a:gd name="connsiteY2" fmla="*/ 315 h 863914"/>
                              <a:gd name="connsiteX3" fmla="*/ 372532 w 592666"/>
                              <a:gd name="connsiteY3" fmla="*/ 719981 h 863914"/>
                              <a:gd name="connsiteX4" fmla="*/ 592666 w 592666"/>
                              <a:gd name="connsiteY4" fmla="*/ 846981 h 863914"/>
                              <a:gd name="connsiteX0" fmla="*/ 0 w 601133"/>
                              <a:gd name="connsiteY0" fmla="*/ 846981 h 855261"/>
                              <a:gd name="connsiteX1" fmla="*/ 128539 w 601133"/>
                              <a:gd name="connsiteY1" fmla="*/ 635652 h 855261"/>
                              <a:gd name="connsiteX2" fmla="*/ 253999 w 601133"/>
                              <a:gd name="connsiteY2" fmla="*/ 315 h 855261"/>
                              <a:gd name="connsiteX3" fmla="*/ 380999 w 601133"/>
                              <a:gd name="connsiteY3" fmla="*/ 719981 h 855261"/>
                              <a:gd name="connsiteX4" fmla="*/ 601133 w 601133"/>
                              <a:gd name="connsiteY4" fmla="*/ 846981 h 855261"/>
                              <a:gd name="connsiteX0" fmla="*/ 0 w 491067"/>
                              <a:gd name="connsiteY0" fmla="*/ 846981 h 846981"/>
                              <a:gd name="connsiteX1" fmla="*/ 128539 w 491067"/>
                              <a:gd name="connsiteY1" fmla="*/ 635652 h 846981"/>
                              <a:gd name="connsiteX2" fmla="*/ 253999 w 491067"/>
                              <a:gd name="connsiteY2" fmla="*/ 315 h 846981"/>
                              <a:gd name="connsiteX3" fmla="*/ 380999 w 491067"/>
                              <a:gd name="connsiteY3" fmla="*/ 719981 h 846981"/>
                              <a:gd name="connsiteX4" fmla="*/ 491067 w 491067"/>
                              <a:gd name="connsiteY4" fmla="*/ 779248 h 846981"/>
                              <a:gd name="connsiteX0" fmla="*/ 0 w 491067"/>
                              <a:gd name="connsiteY0" fmla="*/ 847053 h 847053"/>
                              <a:gd name="connsiteX1" fmla="*/ 111605 w 491067"/>
                              <a:gd name="connsiteY1" fmla="*/ 627257 h 847053"/>
                              <a:gd name="connsiteX2" fmla="*/ 253999 w 491067"/>
                              <a:gd name="connsiteY2" fmla="*/ 387 h 847053"/>
                              <a:gd name="connsiteX3" fmla="*/ 380999 w 491067"/>
                              <a:gd name="connsiteY3" fmla="*/ 720053 h 847053"/>
                              <a:gd name="connsiteX4" fmla="*/ 491067 w 491067"/>
                              <a:gd name="connsiteY4" fmla="*/ 779320 h 847053"/>
                              <a:gd name="connsiteX0" fmla="*/ 0 w 491067"/>
                              <a:gd name="connsiteY0" fmla="*/ 838594 h 838594"/>
                              <a:gd name="connsiteX1" fmla="*/ 111605 w 491067"/>
                              <a:gd name="connsiteY1" fmla="*/ 618798 h 838594"/>
                              <a:gd name="connsiteX2" fmla="*/ 228599 w 491067"/>
                              <a:gd name="connsiteY2" fmla="*/ 395 h 838594"/>
                              <a:gd name="connsiteX3" fmla="*/ 380999 w 491067"/>
                              <a:gd name="connsiteY3" fmla="*/ 711594 h 838594"/>
                              <a:gd name="connsiteX4" fmla="*/ 491067 w 491067"/>
                              <a:gd name="connsiteY4" fmla="*/ 770861 h 838594"/>
                              <a:gd name="connsiteX0" fmla="*/ 0 w 474134"/>
                              <a:gd name="connsiteY0" fmla="*/ 838594 h 838594"/>
                              <a:gd name="connsiteX1" fmla="*/ 111605 w 474134"/>
                              <a:gd name="connsiteY1" fmla="*/ 618798 h 838594"/>
                              <a:gd name="connsiteX2" fmla="*/ 228599 w 474134"/>
                              <a:gd name="connsiteY2" fmla="*/ 395 h 838594"/>
                              <a:gd name="connsiteX3" fmla="*/ 380999 w 474134"/>
                              <a:gd name="connsiteY3" fmla="*/ 711594 h 838594"/>
                              <a:gd name="connsiteX4" fmla="*/ 474134 w 474134"/>
                              <a:gd name="connsiteY4" fmla="*/ 779327 h 838594"/>
                              <a:gd name="connsiteX0" fmla="*/ 0 w 457201"/>
                              <a:gd name="connsiteY0" fmla="*/ 821661 h 821661"/>
                              <a:gd name="connsiteX1" fmla="*/ 94672 w 457201"/>
                              <a:gd name="connsiteY1" fmla="*/ 618798 h 821661"/>
                              <a:gd name="connsiteX2" fmla="*/ 211666 w 457201"/>
                              <a:gd name="connsiteY2" fmla="*/ 395 h 821661"/>
                              <a:gd name="connsiteX3" fmla="*/ 364066 w 457201"/>
                              <a:gd name="connsiteY3" fmla="*/ 711594 h 821661"/>
                              <a:gd name="connsiteX4" fmla="*/ 457201 w 457201"/>
                              <a:gd name="connsiteY4" fmla="*/ 779327 h 821661"/>
                              <a:gd name="connsiteX0" fmla="*/ 0 w 459631"/>
                              <a:gd name="connsiteY0" fmla="*/ 821661 h 821661"/>
                              <a:gd name="connsiteX1" fmla="*/ 94672 w 459631"/>
                              <a:gd name="connsiteY1" fmla="*/ 618798 h 821661"/>
                              <a:gd name="connsiteX2" fmla="*/ 211666 w 459631"/>
                              <a:gd name="connsiteY2" fmla="*/ 395 h 821661"/>
                              <a:gd name="connsiteX3" fmla="*/ 364066 w 459631"/>
                              <a:gd name="connsiteY3" fmla="*/ 711594 h 821661"/>
                              <a:gd name="connsiteX4" fmla="*/ 457201 w 459631"/>
                              <a:gd name="connsiteY4" fmla="*/ 779327 h 821661"/>
                              <a:gd name="connsiteX5" fmla="*/ 431800 w 459631"/>
                              <a:gd name="connsiteY5" fmla="*/ 775942 h 821661"/>
                              <a:gd name="connsiteX0" fmla="*/ 25400 w 482793"/>
                              <a:gd name="connsiteY0" fmla="*/ 821661 h 826751"/>
                              <a:gd name="connsiteX1" fmla="*/ 120072 w 482793"/>
                              <a:gd name="connsiteY1" fmla="*/ 618798 h 826751"/>
                              <a:gd name="connsiteX2" fmla="*/ 237066 w 482793"/>
                              <a:gd name="connsiteY2" fmla="*/ 395 h 826751"/>
                              <a:gd name="connsiteX3" fmla="*/ 389466 w 482793"/>
                              <a:gd name="connsiteY3" fmla="*/ 711594 h 826751"/>
                              <a:gd name="connsiteX4" fmla="*/ 482601 w 482793"/>
                              <a:gd name="connsiteY4" fmla="*/ 779327 h 826751"/>
                              <a:gd name="connsiteX5" fmla="*/ 0 w 482793"/>
                              <a:gd name="connsiteY5" fmla="*/ 826742 h 826751"/>
                              <a:gd name="connsiteX0" fmla="*/ 25400 w 482793"/>
                              <a:gd name="connsiteY0" fmla="*/ 821661 h 826751"/>
                              <a:gd name="connsiteX1" fmla="*/ 120072 w 482793"/>
                              <a:gd name="connsiteY1" fmla="*/ 618798 h 826751"/>
                              <a:gd name="connsiteX2" fmla="*/ 237066 w 482793"/>
                              <a:gd name="connsiteY2" fmla="*/ 395 h 826751"/>
                              <a:gd name="connsiteX3" fmla="*/ 389466 w 482793"/>
                              <a:gd name="connsiteY3" fmla="*/ 711594 h 826751"/>
                              <a:gd name="connsiteX4" fmla="*/ 482601 w 482793"/>
                              <a:gd name="connsiteY4" fmla="*/ 779327 h 826751"/>
                              <a:gd name="connsiteX5" fmla="*/ 0 w 482793"/>
                              <a:gd name="connsiteY5" fmla="*/ 826742 h 826751"/>
                              <a:gd name="connsiteX0" fmla="*/ 25400 w 482793"/>
                              <a:gd name="connsiteY0" fmla="*/ 821811 h 826901"/>
                              <a:gd name="connsiteX1" fmla="*/ 120072 w 482793"/>
                              <a:gd name="connsiteY1" fmla="*/ 618948 h 826901"/>
                              <a:gd name="connsiteX2" fmla="*/ 237066 w 482793"/>
                              <a:gd name="connsiteY2" fmla="*/ 545 h 826901"/>
                              <a:gd name="connsiteX3" fmla="*/ 414866 w 482793"/>
                              <a:gd name="connsiteY3" fmla="*/ 728677 h 826901"/>
                              <a:gd name="connsiteX4" fmla="*/ 482601 w 482793"/>
                              <a:gd name="connsiteY4" fmla="*/ 779477 h 826901"/>
                              <a:gd name="connsiteX5" fmla="*/ 0 w 482793"/>
                              <a:gd name="connsiteY5" fmla="*/ 826892 h 826901"/>
                              <a:gd name="connsiteX0" fmla="*/ 25400 w 499720"/>
                              <a:gd name="connsiteY0" fmla="*/ 821811 h 830583"/>
                              <a:gd name="connsiteX1" fmla="*/ 120072 w 499720"/>
                              <a:gd name="connsiteY1" fmla="*/ 618948 h 830583"/>
                              <a:gd name="connsiteX2" fmla="*/ 237066 w 499720"/>
                              <a:gd name="connsiteY2" fmla="*/ 545 h 830583"/>
                              <a:gd name="connsiteX3" fmla="*/ 414866 w 499720"/>
                              <a:gd name="connsiteY3" fmla="*/ 728677 h 830583"/>
                              <a:gd name="connsiteX4" fmla="*/ 499534 w 499720"/>
                              <a:gd name="connsiteY4" fmla="*/ 813344 h 830583"/>
                              <a:gd name="connsiteX5" fmla="*/ 0 w 499720"/>
                              <a:gd name="connsiteY5" fmla="*/ 826892 h 830583"/>
                              <a:gd name="connsiteX0" fmla="*/ 8467 w 499720"/>
                              <a:gd name="connsiteY0" fmla="*/ 855678 h 855678"/>
                              <a:gd name="connsiteX1" fmla="*/ 120072 w 499720"/>
                              <a:gd name="connsiteY1" fmla="*/ 618948 h 855678"/>
                              <a:gd name="connsiteX2" fmla="*/ 237066 w 499720"/>
                              <a:gd name="connsiteY2" fmla="*/ 545 h 855678"/>
                              <a:gd name="connsiteX3" fmla="*/ 414866 w 499720"/>
                              <a:gd name="connsiteY3" fmla="*/ 728677 h 855678"/>
                              <a:gd name="connsiteX4" fmla="*/ 499534 w 499720"/>
                              <a:gd name="connsiteY4" fmla="*/ 813344 h 855678"/>
                              <a:gd name="connsiteX5" fmla="*/ 0 w 499720"/>
                              <a:gd name="connsiteY5" fmla="*/ 826892 h 855678"/>
                              <a:gd name="connsiteX0" fmla="*/ 0 w 491256"/>
                              <a:gd name="connsiteY0" fmla="*/ 855678 h 855678"/>
                              <a:gd name="connsiteX1" fmla="*/ 111605 w 491256"/>
                              <a:gd name="connsiteY1" fmla="*/ 618948 h 855678"/>
                              <a:gd name="connsiteX2" fmla="*/ 228599 w 491256"/>
                              <a:gd name="connsiteY2" fmla="*/ 545 h 855678"/>
                              <a:gd name="connsiteX3" fmla="*/ 406399 w 491256"/>
                              <a:gd name="connsiteY3" fmla="*/ 728677 h 855678"/>
                              <a:gd name="connsiteX4" fmla="*/ 491067 w 491256"/>
                              <a:gd name="connsiteY4" fmla="*/ 813344 h 855678"/>
                              <a:gd name="connsiteX5" fmla="*/ 0 w 491256"/>
                              <a:gd name="connsiteY5" fmla="*/ 826892 h 855678"/>
                              <a:gd name="connsiteX0" fmla="*/ 0 w 474329"/>
                              <a:gd name="connsiteY0" fmla="*/ 855678 h 855678"/>
                              <a:gd name="connsiteX1" fmla="*/ 111605 w 474329"/>
                              <a:gd name="connsiteY1" fmla="*/ 618948 h 855678"/>
                              <a:gd name="connsiteX2" fmla="*/ 228599 w 474329"/>
                              <a:gd name="connsiteY2" fmla="*/ 545 h 855678"/>
                              <a:gd name="connsiteX3" fmla="*/ 406399 w 474329"/>
                              <a:gd name="connsiteY3" fmla="*/ 728677 h 855678"/>
                              <a:gd name="connsiteX4" fmla="*/ 474134 w 474329"/>
                              <a:gd name="connsiteY4" fmla="*/ 830277 h 855678"/>
                              <a:gd name="connsiteX5" fmla="*/ 0 w 474329"/>
                              <a:gd name="connsiteY5" fmla="*/ 826892 h 855678"/>
                              <a:gd name="connsiteX0" fmla="*/ 127000 w 601289"/>
                              <a:gd name="connsiteY0" fmla="*/ 855678 h 855678"/>
                              <a:gd name="connsiteX1" fmla="*/ 238605 w 601289"/>
                              <a:gd name="connsiteY1" fmla="*/ 618948 h 855678"/>
                              <a:gd name="connsiteX2" fmla="*/ 355599 w 601289"/>
                              <a:gd name="connsiteY2" fmla="*/ 545 h 855678"/>
                              <a:gd name="connsiteX3" fmla="*/ 533399 w 601289"/>
                              <a:gd name="connsiteY3" fmla="*/ 728677 h 855678"/>
                              <a:gd name="connsiteX4" fmla="*/ 601134 w 601289"/>
                              <a:gd name="connsiteY4" fmla="*/ 830277 h 855678"/>
                              <a:gd name="connsiteX5" fmla="*/ 0 w 601289"/>
                              <a:gd name="connsiteY5" fmla="*/ 818426 h 855678"/>
                              <a:gd name="connsiteX0" fmla="*/ 16934 w 601289"/>
                              <a:gd name="connsiteY0" fmla="*/ 821811 h 842925"/>
                              <a:gd name="connsiteX1" fmla="*/ 238605 w 601289"/>
                              <a:gd name="connsiteY1" fmla="*/ 618948 h 842925"/>
                              <a:gd name="connsiteX2" fmla="*/ 355599 w 601289"/>
                              <a:gd name="connsiteY2" fmla="*/ 545 h 842925"/>
                              <a:gd name="connsiteX3" fmla="*/ 533399 w 601289"/>
                              <a:gd name="connsiteY3" fmla="*/ 728677 h 842925"/>
                              <a:gd name="connsiteX4" fmla="*/ 601134 w 601289"/>
                              <a:gd name="connsiteY4" fmla="*/ 830277 h 842925"/>
                              <a:gd name="connsiteX5" fmla="*/ 0 w 601289"/>
                              <a:gd name="connsiteY5" fmla="*/ 818426 h 842925"/>
                              <a:gd name="connsiteX0" fmla="*/ 16934 w 601289"/>
                              <a:gd name="connsiteY0" fmla="*/ 821811 h 842925"/>
                              <a:gd name="connsiteX1" fmla="*/ 179339 w 601289"/>
                              <a:gd name="connsiteY1" fmla="*/ 618948 h 842925"/>
                              <a:gd name="connsiteX2" fmla="*/ 355599 w 601289"/>
                              <a:gd name="connsiteY2" fmla="*/ 545 h 842925"/>
                              <a:gd name="connsiteX3" fmla="*/ 533399 w 601289"/>
                              <a:gd name="connsiteY3" fmla="*/ 728677 h 842925"/>
                              <a:gd name="connsiteX4" fmla="*/ 601134 w 601289"/>
                              <a:gd name="connsiteY4" fmla="*/ 830277 h 842925"/>
                              <a:gd name="connsiteX5" fmla="*/ 0 w 601289"/>
                              <a:gd name="connsiteY5" fmla="*/ 818426 h 842925"/>
                              <a:gd name="connsiteX0" fmla="*/ 16934 w 753658"/>
                              <a:gd name="connsiteY0" fmla="*/ 821811 h 836560"/>
                              <a:gd name="connsiteX1" fmla="*/ 179339 w 753658"/>
                              <a:gd name="connsiteY1" fmla="*/ 618948 h 836560"/>
                              <a:gd name="connsiteX2" fmla="*/ 355599 w 753658"/>
                              <a:gd name="connsiteY2" fmla="*/ 545 h 836560"/>
                              <a:gd name="connsiteX3" fmla="*/ 533399 w 753658"/>
                              <a:gd name="connsiteY3" fmla="*/ 728677 h 836560"/>
                              <a:gd name="connsiteX4" fmla="*/ 753534 w 753658"/>
                              <a:gd name="connsiteY4" fmla="*/ 821810 h 836560"/>
                              <a:gd name="connsiteX5" fmla="*/ 0 w 753658"/>
                              <a:gd name="connsiteY5" fmla="*/ 818426 h 836560"/>
                              <a:gd name="connsiteX0" fmla="*/ 16934 w 753658"/>
                              <a:gd name="connsiteY0" fmla="*/ 821478 h 828792"/>
                              <a:gd name="connsiteX1" fmla="*/ 179339 w 753658"/>
                              <a:gd name="connsiteY1" fmla="*/ 618615 h 828792"/>
                              <a:gd name="connsiteX2" fmla="*/ 355599 w 753658"/>
                              <a:gd name="connsiteY2" fmla="*/ 212 h 828792"/>
                              <a:gd name="connsiteX3" fmla="*/ 575733 w 753658"/>
                              <a:gd name="connsiteY3" fmla="*/ 686010 h 828792"/>
                              <a:gd name="connsiteX4" fmla="*/ 753534 w 753658"/>
                              <a:gd name="connsiteY4" fmla="*/ 821477 h 828792"/>
                              <a:gd name="connsiteX5" fmla="*/ 0 w 753658"/>
                              <a:gd name="connsiteY5" fmla="*/ 818093 h 82879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53658" h="828792">
                                <a:moveTo>
                                  <a:pt x="16934" y="821478"/>
                                </a:moveTo>
                                <a:cubicBezTo>
                                  <a:pt x="20013" y="791901"/>
                                  <a:pt x="145473" y="749848"/>
                                  <a:pt x="179339" y="618615"/>
                                </a:cubicBezTo>
                                <a:cubicBezTo>
                                  <a:pt x="204738" y="428115"/>
                                  <a:pt x="289533" y="-11020"/>
                                  <a:pt x="355599" y="212"/>
                                </a:cubicBezTo>
                                <a:cubicBezTo>
                                  <a:pt x="421665" y="11444"/>
                                  <a:pt x="489655" y="432010"/>
                                  <a:pt x="575733" y="686010"/>
                                </a:cubicBezTo>
                                <a:cubicBezTo>
                                  <a:pt x="653344" y="813010"/>
                                  <a:pt x="745067" y="845466"/>
                                  <a:pt x="753534" y="821477"/>
                                </a:cubicBezTo>
                                <a:cubicBezTo>
                                  <a:pt x="764823" y="832202"/>
                                  <a:pt x="5292" y="818798"/>
                                  <a:pt x="0" y="818093"/>
                                </a:cubicBezTo>
                              </a:path>
                            </a:pathLst>
                          </a:custGeom>
                          <a:solidFill>
                            <a:srgbClr val="2099D7"/>
                          </a:solidFill>
                          <a:ln w="6350" cap="flat" cmpd="sng" algn="ctr">
                            <a:solidFill>
                              <a:srgbClr val="000000"/>
                            </a:solidFill>
                            <a:prstDash val="solid"/>
                            <a:miter lim="800000"/>
                          </a:ln>
                          <a:effectLst/>
                        </wps:spPr>
                        <wps:bodyPr rtlCol="0" anchor="ctr"/>
                      </wps:wsp>
                      <wps:wsp>
                        <wps:cNvPr id="2206" name="Freeform 2206"/>
                        <wps:cNvSpPr/>
                        <wps:spPr>
                          <a:xfrm>
                            <a:off x="879052" y="2571260"/>
                            <a:ext cx="1515318" cy="794564"/>
                          </a:xfrm>
                          <a:custGeom>
                            <a:avLst/>
                            <a:gdLst>
                              <a:gd name="connsiteX0" fmla="*/ 0 w 677333"/>
                              <a:gd name="connsiteY0" fmla="*/ 778948 h 849141"/>
                              <a:gd name="connsiteX1" fmla="*/ 211666 w 677333"/>
                              <a:gd name="connsiteY1" fmla="*/ 15 h 849141"/>
                              <a:gd name="connsiteX2" fmla="*/ 448733 w 677333"/>
                              <a:gd name="connsiteY2" fmla="*/ 795882 h 849141"/>
                              <a:gd name="connsiteX3" fmla="*/ 677333 w 677333"/>
                              <a:gd name="connsiteY3" fmla="*/ 762015 h 849141"/>
                              <a:gd name="connsiteX0" fmla="*/ 0 w 524933"/>
                              <a:gd name="connsiteY0" fmla="*/ 778948 h 853268"/>
                              <a:gd name="connsiteX1" fmla="*/ 211666 w 524933"/>
                              <a:gd name="connsiteY1" fmla="*/ 15 h 853268"/>
                              <a:gd name="connsiteX2" fmla="*/ 448733 w 524933"/>
                              <a:gd name="connsiteY2" fmla="*/ 795882 h 853268"/>
                              <a:gd name="connsiteX3" fmla="*/ 524933 w 524933"/>
                              <a:gd name="connsiteY3" fmla="*/ 778948 h 853268"/>
                              <a:gd name="connsiteX0" fmla="*/ 0 w 508000"/>
                              <a:gd name="connsiteY0" fmla="*/ 778948 h 858044"/>
                              <a:gd name="connsiteX1" fmla="*/ 211666 w 508000"/>
                              <a:gd name="connsiteY1" fmla="*/ 15 h 858044"/>
                              <a:gd name="connsiteX2" fmla="*/ 448733 w 508000"/>
                              <a:gd name="connsiteY2" fmla="*/ 795882 h 858044"/>
                              <a:gd name="connsiteX3" fmla="*/ 508000 w 508000"/>
                              <a:gd name="connsiteY3" fmla="*/ 795881 h 858044"/>
                              <a:gd name="connsiteX0" fmla="*/ 0 w 558800"/>
                              <a:gd name="connsiteY0" fmla="*/ 778948 h 877903"/>
                              <a:gd name="connsiteX1" fmla="*/ 211666 w 558800"/>
                              <a:gd name="connsiteY1" fmla="*/ 15 h 877903"/>
                              <a:gd name="connsiteX2" fmla="*/ 448733 w 558800"/>
                              <a:gd name="connsiteY2" fmla="*/ 795882 h 877903"/>
                              <a:gd name="connsiteX3" fmla="*/ 558800 w 558800"/>
                              <a:gd name="connsiteY3" fmla="*/ 846681 h 877903"/>
                              <a:gd name="connsiteX0" fmla="*/ 0 w 550333"/>
                              <a:gd name="connsiteY0" fmla="*/ 787403 h 877892"/>
                              <a:gd name="connsiteX1" fmla="*/ 203199 w 550333"/>
                              <a:gd name="connsiteY1" fmla="*/ 4 h 877892"/>
                              <a:gd name="connsiteX2" fmla="*/ 440266 w 550333"/>
                              <a:gd name="connsiteY2" fmla="*/ 795871 h 877892"/>
                              <a:gd name="connsiteX3" fmla="*/ 550333 w 550333"/>
                              <a:gd name="connsiteY3" fmla="*/ 846670 h 877892"/>
                              <a:gd name="connsiteX0" fmla="*/ 0 w 550333"/>
                              <a:gd name="connsiteY0" fmla="*/ 787402 h 877891"/>
                              <a:gd name="connsiteX1" fmla="*/ 203199 w 550333"/>
                              <a:gd name="connsiteY1" fmla="*/ 3 h 877891"/>
                              <a:gd name="connsiteX2" fmla="*/ 440266 w 550333"/>
                              <a:gd name="connsiteY2" fmla="*/ 795870 h 877891"/>
                              <a:gd name="connsiteX3" fmla="*/ 550333 w 550333"/>
                              <a:gd name="connsiteY3" fmla="*/ 846669 h 877891"/>
                              <a:gd name="connsiteX0" fmla="*/ 0 w 550333"/>
                              <a:gd name="connsiteY0" fmla="*/ 787485 h 857651"/>
                              <a:gd name="connsiteX1" fmla="*/ 203199 w 550333"/>
                              <a:gd name="connsiteY1" fmla="*/ 86 h 857651"/>
                              <a:gd name="connsiteX2" fmla="*/ 440266 w 550333"/>
                              <a:gd name="connsiteY2" fmla="*/ 736686 h 857651"/>
                              <a:gd name="connsiteX3" fmla="*/ 550333 w 550333"/>
                              <a:gd name="connsiteY3" fmla="*/ 846752 h 857651"/>
                              <a:gd name="connsiteX0" fmla="*/ 0 w 550333"/>
                              <a:gd name="connsiteY0" fmla="*/ 787507 h 857673"/>
                              <a:gd name="connsiteX1" fmla="*/ 203199 w 550333"/>
                              <a:gd name="connsiteY1" fmla="*/ 108 h 857673"/>
                              <a:gd name="connsiteX2" fmla="*/ 440266 w 550333"/>
                              <a:gd name="connsiteY2" fmla="*/ 736708 h 857673"/>
                              <a:gd name="connsiteX3" fmla="*/ 550333 w 550333"/>
                              <a:gd name="connsiteY3" fmla="*/ 846774 h 857673"/>
                              <a:gd name="connsiteX0" fmla="*/ 2308 w 552641"/>
                              <a:gd name="connsiteY0" fmla="*/ 788048 h 858214"/>
                              <a:gd name="connsiteX1" fmla="*/ 20781 w 552641"/>
                              <a:gd name="connsiteY1" fmla="*/ 610586 h 858214"/>
                              <a:gd name="connsiteX2" fmla="*/ 205507 w 552641"/>
                              <a:gd name="connsiteY2" fmla="*/ 649 h 858214"/>
                              <a:gd name="connsiteX3" fmla="*/ 442574 w 552641"/>
                              <a:gd name="connsiteY3" fmla="*/ 737249 h 858214"/>
                              <a:gd name="connsiteX4" fmla="*/ 552641 w 552641"/>
                              <a:gd name="connsiteY4" fmla="*/ 847315 h 858214"/>
                              <a:gd name="connsiteX0" fmla="*/ 2308 w 552641"/>
                              <a:gd name="connsiteY0" fmla="*/ 788131 h 858297"/>
                              <a:gd name="connsiteX1" fmla="*/ 20781 w 552641"/>
                              <a:gd name="connsiteY1" fmla="*/ 610669 h 858297"/>
                              <a:gd name="connsiteX2" fmla="*/ 205507 w 552641"/>
                              <a:gd name="connsiteY2" fmla="*/ 732 h 858297"/>
                              <a:gd name="connsiteX3" fmla="*/ 442574 w 552641"/>
                              <a:gd name="connsiteY3" fmla="*/ 737332 h 858297"/>
                              <a:gd name="connsiteX4" fmla="*/ 552641 w 552641"/>
                              <a:gd name="connsiteY4" fmla="*/ 847398 h 858297"/>
                              <a:gd name="connsiteX0" fmla="*/ 13229 w 563562"/>
                              <a:gd name="connsiteY0" fmla="*/ 787403 h 857569"/>
                              <a:gd name="connsiteX1" fmla="*/ 14768 w 563562"/>
                              <a:gd name="connsiteY1" fmla="*/ 745408 h 857569"/>
                              <a:gd name="connsiteX2" fmla="*/ 216428 w 563562"/>
                              <a:gd name="connsiteY2" fmla="*/ 4 h 857569"/>
                              <a:gd name="connsiteX3" fmla="*/ 453495 w 563562"/>
                              <a:gd name="connsiteY3" fmla="*/ 736604 h 857569"/>
                              <a:gd name="connsiteX4" fmla="*/ 563562 w 563562"/>
                              <a:gd name="connsiteY4" fmla="*/ 846670 h 857569"/>
                              <a:gd name="connsiteX0" fmla="*/ 0 w 592666"/>
                              <a:gd name="connsiteY0" fmla="*/ 863603 h 863603"/>
                              <a:gd name="connsiteX1" fmla="*/ 43872 w 592666"/>
                              <a:gd name="connsiteY1" fmla="*/ 745408 h 863603"/>
                              <a:gd name="connsiteX2" fmla="*/ 245532 w 592666"/>
                              <a:gd name="connsiteY2" fmla="*/ 4 h 863603"/>
                              <a:gd name="connsiteX3" fmla="*/ 482599 w 592666"/>
                              <a:gd name="connsiteY3" fmla="*/ 736604 h 863603"/>
                              <a:gd name="connsiteX4" fmla="*/ 592666 w 592666"/>
                              <a:gd name="connsiteY4" fmla="*/ 846670 h 863603"/>
                              <a:gd name="connsiteX0" fmla="*/ 0 w 592666"/>
                              <a:gd name="connsiteY0" fmla="*/ 863628 h 863628"/>
                              <a:gd name="connsiteX1" fmla="*/ 43872 w 592666"/>
                              <a:gd name="connsiteY1" fmla="*/ 745433 h 863628"/>
                              <a:gd name="connsiteX2" fmla="*/ 245532 w 592666"/>
                              <a:gd name="connsiteY2" fmla="*/ 29 h 863628"/>
                              <a:gd name="connsiteX3" fmla="*/ 372532 w 592666"/>
                              <a:gd name="connsiteY3" fmla="*/ 719695 h 863628"/>
                              <a:gd name="connsiteX4" fmla="*/ 592666 w 592666"/>
                              <a:gd name="connsiteY4" fmla="*/ 846695 h 863628"/>
                              <a:gd name="connsiteX0" fmla="*/ 0 w 592666"/>
                              <a:gd name="connsiteY0" fmla="*/ 863914 h 863914"/>
                              <a:gd name="connsiteX1" fmla="*/ 120072 w 592666"/>
                              <a:gd name="connsiteY1" fmla="*/ 635652 h 863914"/>
                              <a:gd name="connsiteX2" fmla="*/ 245532 w 592666"/>
                              <a:gd name="connsiteY2" fmla="*/ 315 h 863914"/>
                              <a:gd name="connsiteX3" fmla="*/ 372532 w 592666"/>
                              <a:gd name="connsiteY3" fmla="*/ 719981 h 863914"/>
                              <a:gd name="connsiteX4" fmla="*/ 592666 w 592666"/>
                              <a:gd name="connsiteY4" fmla="*/ 846981 h 863914"/>
                              <a:gd name="connsiteX0" fmla="*/ 0 w 601133"/>
                              <a:gd name="connsiteY0" fmla="*/ 846981 h 855261"/>
                              <a:gd name="connsiteX1" fmla="*/ 128539 w 601133"/>
                              <a:gd name="connsiteY1" fmla="*/ 635652 h 855261"/>
                              <a:gd name="connsiteX2" fmla="*/ 253999 w 601133"/>
                              <a:gd name="connsiteY2" fmla="*/ 315 h 855261"/>
                              <a:gd name="connsiteX3" fmla="*/ 380999 w 601133"/>
                              <a:gd name="connsiteY3" fmla="*/ 719981 h 855261"/>
                              <a:gd name="connsiteX4" fmla="*/ 601133 w 601133"/>
                              <a:gd name="connsiteY4" fmla="*/ 846981 h 855261"/>
                              <a:gd name="connsiteX0" fmla="*/ 0 w 491067"/>
                              <a:gd name="connsiteY0" fmla="*/ 846981 h 846981"/>
                              <a:gd name="connsiteX1" fmla="*/ 128539 w 491067"/>
                              <a:gd name="connsiteY1" fmla="*/ 635652 h 846981"/>
                              <a:gd name="connsiteX2" fmla="*/ 253999 w 491067"/>
                              <a:gd name="connsiteY2" fmla="*/ 315 h 846981"/>
                              <a:gd name="connsiteX3" fmla="*/ 380999 w 491067"/>
                              <a:gd name="connsiteY3" fmla="*/ 719981 h 846981"/>
                              <a:gd name="connsiteX4" fmla="*/ 491067 w 491067"/>
                              <a:gd name="connsiteY4" fmla="*/ 779248 h 846981"/>
                              <a:gd name="connsiteX0" fmla="*/ 0 w 491067"/>
                              <a:gd name="connsiteY0" fmla="*/ 847053 h 847053"/>
                              <a:gd name="connsiteX1" fmla="*/ 111605 w 491067"/>
                              <a:gd name="connsiteY1" fmla="*/ 627257 h 847053"/>
                              <a:gd name="connsiteX2" fmla="*/ 253999 w 491067"/>
                              <a:gd name="connsiteY2" fmla="*/ 387 h 847053"/>
                              <a:gd name="connsiteX3" fmla="*/ 380999 w 491067"/>
                              <a:gd name="connsiteY3" fmla="*/ 720053 h 847053"/>
                              <a:gd name="connsiteX4" fmla="*/ 491067 w 491067"/>
                              <a:gd name="connsiteY4" fmla="*/ 779320 h 847053"/>
                              <a:gd name="connsiteX0" fmla="*/ 0 w 491067"/>
                              <a:gd name="connsiteY0" fmla="*/ 838594 h 838594"/>
                              <a:gd name="connsiteX1" fmla="*/ 111605 w 491067"/>
                              <a:gd name="connsiteY1" fmla="*/ 618798 h 838594"/>
                              <a:gd name="connsiteX2" fmla="*/ 228599 w 491067"/>
                              <a:gd name="connsiteY2" fmla="*/ 395 h 838594"/>
                              <a:gd name="connsiteX3" fmla="*/ 380999 w 491067"/>
                              <a:gd name="connsiteY3" fmla="*/ 711594 h 838594"/>
                              <a:gd name="connsiteX4" fmla="*/ 491067 w 491067"/>
                              <a:gd name="connsiteY4" fmla="*/ 770861 h 838594"/>
                              <a:gd name="connsiteX0" fmla="*/ 0 w 474134"/>
                              <a:gd name="connsiteY0" fmla="*/ 838594 h 838594"/>
                              <a:gd name="connsiteX1" fmla="*/ 111605 w 474134"/>
                              <a:gd name="connsiteY1" fmla="*/ 618798 h 838594"/>
                              <a:gd name="connsiteX2" fmla="*/ 228599 w 474134"/>
                              <a:gd name="connsiteY2" fmla="*/ 395 h 838594"/>
                              <a:gd name="connsiteX3" fmla="*/ 380999 w 474134"/>
                              <a:gd name="connsiteY3" fmla="*/ 711594 h 838594"/>
                              <a:gd name="connsiteX4" fmla="*/ 474134 w 474134"/>
                              <a:gd name="connsiteY4" fmla="*/ 779327 h 838594"/>
                              <a:gd name="connsiteX0" fmla="*/ 0 w 457201"/>
                              <a:gd name="connsiteY0" fmla="*/ 821661 h 821661"/>
                              <a:gd name="connsiteX1" fmla="*/ 94672 w 457201"/>
                              <a:gd name="connsiteY1" fmla="*/ 618798 h 821661"/>
                              <a:gd name="connsiteX2" fmla="*/ 211666 w 457201"/>
                              <a:gd name="connsiteY2" fmla="*/ 395 h 821661"/>
                              <a:gd name="connsiteX3" fmla="*/ 364066 w 457201"/>
                              <a:gd name="connsiteY3" fmla="*/ 711594 h 821661"/>
                              <a:gd name="connsiteX4" fmla="*/ 457201 w 457201"/>
                              <a:gd name="connsiteY4" fmla="*/ 779327 h 821661"/>
                              <a:gd name="connsiteX0" fmla="*/ 0 w 459631"/>
                              <a:gd name="connsiteY0" fmla="*/ 821661 h 821661"/>
                              <a:gd name="connsiteX1" fmla="*/ 94672 w 459631"/>
                              <a:gd name="connsiteY1" fmla="*/ 618798 h 821661"/>
                              <a:gd name="connsiteX2" fmla="*/ 211666 w 459631"/>
                              <a:gd name="connsiteY2" fmla="*/ 395 h 821661"/>
                              <a:gd name="connsiteX3" fmla="*/ 364066 w 459631"/>
                              <a:gd name="connsiteY3" fmla="*/ 711594 h 821661"/>
                              <a:gd name="connsiteX4" fmla="*/ 457201 w 459631"/>
                              <a:gd name="connsiteY4" fmla="*/ 779327 h 821661"/>
                              <a:gd name="connsiteX5" fmla="*/ 431800 w 459631"/>
                              <a:gd name="connsiteY5" fmla="*/ 775942 h 821661"/>
                              <a:gd name="connsiteX0" fmla="*/ 25400 w 482793"/>
                              <a:gd name="connsiteY0" fmla="*/ 821661 h 826751"/>
                              <a:gd name="connsiteX1" fmla="*/ 120072 w 482793"/>
                              <a:gd name="connsiteY1" fmla="*/ 618798 h 826751"/>
                              <a:gd name="connsiteX2" fmla="*/ 237066 w 482793"/>
                              <a:gd name="connsiteY2" fmla="*/ 395 h 826751"/>
                              <a:gd name="connsiteX3" fmla="*/ 389466 w 482793"/>
                              <a:gd name="connsiteY3" fmla="*/ 711594 h 826751"/>
                              <a:gd name="connsiteX4" fmla="*/ 482601 w 482793"/>
                              <a:gd name="connsiteY4" fmla="*/ 779327 h 826751"/>
                              <a:gd name="connsiteX5" fmla="*/ 0 w 482793"/>
                              <a:gd name="connsiteY5" fmla="*/ 826742 h 826751"/>
                              <a:gd name="connsiteX0" fmla="*/ 25400 w 482793"/>
                              <a:gd name="connsiteY0" fmla="*/ 821661 h 826751"/>
                              <a:gd name="connsiteX1" fmla="*/ 120072 w 482793"/>
                              <a:gd name="connsiteY1" fmla="*/ 618798 h 826751"/>
                              <a:gd name="connsiteX2" fmla="*/ 237066 w 482793"/>
                              <a:gd name="connsiteY2" fmla="*/ 395 h 826751"/>
                              <a:gd name="connsiteX3" fmla="*/ 389466 w 482793"/>
                              <a:gd name="connsiteY3" fmla="*/ 711594 h 826751"/>
                              <a:gd name="connsiteX4" fmla="*/ 482601 w 482793"/>
                              <a:gd name="connsiteY4" fmla="*/ 779327 h 826751"/>
                              <a:gd name="connsiteX5" fmla="*/ 0 w 482793"/>
                              <a:gd name="connsiteY5" fmla="*/ 826742 h 826751"/>
                              <a:gd name="connsiteX0" fmla="*/ 25400 w 482793"/>
                              <a:gd name="connsiteY0" fmla="*/ 821811 h 826901"/>
                              <a:gd name="connsiteX1" fmla="*/ 120072 w 482793"/>
                              <a:gd name="connsiteY1" fmla="*/ 618948 h 826901"/>
                              <a:gd name="connsiteX2" fmla="*/ 237066 w 482793"/>
                              <a:gd name="connsiteY2" fmla="*/ 545 h 826901"/>
                              <a:gd name="connsiteX3" fmla="*/ 414866 w 482793"/>
                              <a:gd name="connsiteY3" fmla="*/ 728677 h 826901"/>
                              <a:gd name="connsiteX4" fmla="*/ 482601 w 482793"/>
                              <a:gd name="connsiteY4" fmla="*/ 779477 h 826901"/>
                              <a:gd name="connsiteX5" fmla="*/ 0 w 482793"/>
                              <a:gd name="connsiteY5" fmla="*/ 826892 h 826901"/>
                              <a:gd name="connsiteX0" fmla="*/ 25400 w 499720"/>
                              <a:gd name="connsiteY0" fmla="*/ 821811 h 830583"/>
                              <a:gd name="connsiteX1" fmla="*/ 120072 w 499720"/>
                              <a:gd name="connsiteY1" fmla="*/ 618948 h 830583"/>
                              <a:gd name="connsiteX2" fmla="*/ 237066 w 499720"/>
                              <a:gd name="connsiteY2" fmla="*/ 545 h 830583"/>
                              <a:gd name="connsiteX3" fmla="*/ 414866 w 499720"/>
                              <a:gd name="connsiteY3" fmla="*/ 728677 h 830583"/>
                              <a:gd name="connsiteX4" fmla="*/ 499534 w 499720"/>
                              <a:gd name="connsiteY4" fmla="*/ 813344 h 830583"/>
                              <a:gd name="connsiteX5" fmla="*/ 0 w 499720"/>
                              <a:gd name="connsiteY5" fmla="*/ 826892 h 830583"/>
                              <a:gd name="connsiteX0" fmla="*/ 8467 w 499720"/>
                              <a:gd name="connsiteY0" fmla="*/ 855678 h 855678"/>
                              <a:gd name="connsiteX1" fmla="*/ 120072 w 499720"/>
                              <a:gd name="connsiteY1" fmla="*/ 618948 h 855678"/>
                              <a:gd name="connsiteX2" fmla="*/ 237066 w 499720"/>
                              <a:gd name="connsiteY2" fmla="*/ 545 h 855678"/>
                              <a:gd name="connsiteX3" fmla="*/ 414866 w 499720"/>
                              <a:gd name="connsiteY3" fmla="*/ 728677 h 855678"/>
                              <a:gd name="connsiteX4" fmla="*/ 499534 w 499720"/>
                              <a:gd name="connsiteY4" fmla="*/ 813344 h 855678"/>
                              <a:gd name="connsiteX5" fmla="*/ 0 w 499720"/>
                              <a:gd name="connsiteY5" fmla="*/ 826892 h 855678"/>
                              <a:gd name="connsiteX0" fmla="*/ 0 w 491256"/>
                              <a:gd name="connsiteY0" fmla="*/ 855678 h 855678"/>
                              <a:gd name="connsiteX1" fmla="*/ 111605 w 491256"/>
                              <a:gd name="connsiteY1" fmla="*/ 618948 h 855678"/>
                              <a:gd name="connsiteX2" fmla="*/ 228599 w 491256"/>
                              <a:gd name="connsiteY2" fmla="*/ 545 h 855678"/>
                              <a:gd name="connsiteX3" fmla="*/ 406399 w 491256"/>
                              <a:gd name="connsiteY3" fmla="*/ 728677 h 855678"/>
                              <a:gd name="connsiteX4" fmla="*/ 491067 w 491256"/>
                              <a:gd name="connsiteY4" fmla="*/ 813344 h 855678"/>
                              <a:gd name="connsiteX5" fmla="*/ 0 w 491256"/>
                              <a:gd name="connsiteY5" fmla="*/ 826892 h 855678"/>
                              <a:gd name="connsiteX0" fmla="*/ 0 w 474329"/>
                              <a:gd name="connsiteY0" fmla="*/ 855678 h 855678"/>
                              <a:gd name="connsiteX1" fmla="*/ 111605 w 474329"/>
                              <a:gd name="connsiteY1" fmla="*/ 618948 h 855678"/>
                              <a:gd name="connsiteX2" fmla="*/ 228599 w 474329"/>
                              <a:gd name="connsiteY2" fmla="*/ 545 h 855678"/>
                              <a:gd name="connsiteX3" fmla="*/ 406399 w 474329"/>
                              <a:gd name="connsiteY3" fmla="*/ 728677 h 855678"/>
                              <a:gd name="connsiteX4" fmla="*/ 474134 w 474329"/>
                              <a:gd name="connsiteY4" fmla="*/ 830277 h 855678"/>
                              <a:gd name="connsiteX5" fmla="*/ 0 w 474329"/>
                              <a:gd name="connsiteY5" fmla="*/ 826892 h 855678"/>
                              <a:gd name="connsiteX0" fmla="*/ 152400 w 626683"/>
                              <a:gd name="connsiteY0" fmla="*/ 855678 h 855678"/>
                              <a:gd name="connsiteX1" fmla="*/ 264005 w 626683"/>
                              <a:gd name="connsiteY1" fmla="*/ 618948 h 855678"/>
                              <a:gd name="connsiteX2" fmla="*/ 380999 w 626683"/>
                              <a:gd name="connsiteY2" fmla="*/ 545 h 855678"/>
                              <a:gd name="connsiteX3" fmla="*/ 558799 w 626683"/>
                              <a:gd name="connsiteY3" fmla="*/ 728677 h 855678"/>
                              <a:gd name="connsiteX4" fmla="*/ 626534 w 626683"/>
                              <a:gd name="connsiteY4" fmla="*/ 830277 h 855678"/>
                              <a:gd name="connsiteX5" fmla="*/ 0 w 626683"/>
                              <a:gd name="connsiteY5" fmla="*/ 776092 h 855678"/>
                              <a:gd name="connsiteX0" fmla="*/ 8467 w 626683"/>
                              <a:gd name="connsiteY0" fmla="*/ 804878 h 842925"/>
                              <a:gd name="connsiteX1" fmla="*/ 264005 w 626683"/>
                              <a:gd name="connsiteY1" fmla="*/ 618948 h 842925"/>
                              <a:gd name="connsiteX2" fmla="*/ 380999 w 626683"/>
                              <a:gd name="connsiteY2" fmla="*/ 545 h 842925"/>
                              <a:gd name="connsiteX3" fmla="*/ 558799 w 626683"/>
                              <a:gd name="connsiteY3" fmla="*/ 728677 h 842925"/>
                              <a:gd name="connsiteX4" fmla="*/ 626534 w 626683"/>
                              <a:gd name="connsiteY4" fmla="*/ 830277 h 842925"/>
                              <a:gd name="connsiteX5" fmla="*/ 0 w 626683"/>
                              <a:gd name="connsiteY5" fmla="*/ 776092 h 842925"/>
                              <a:gd name="connsiteX0" fmla="*/ 8467 w 626683"/>
                              <a:gd name="connsiteY0" fmla="*/ 805925 h 843972"/>
                              <a:gd name="connsiteX1" fmla="*/ 221671 w 626683"/>
                              <a:gd name="connsiteY1" fmla="*/ 552261 h 843972"/>
                              <a:gd name="connsiteX2" fmla="*/ 380999 w 626683"/>
                              <a:gd name="connsiteY2" fmla="*/ 1592 h 843972"/>
                              <a:gd name="connsiteX3" fmla="*/ 558799 w 626683"/>
                              <a:gd name="connsiteY3" fmla="*/ 729724 h 843972"/>
                              <a:gd name="connsiteX4" fmla="*/ 626534 w 626683"/>
                              <a:gd name="connsiteY4" fmla="*/ 831324 h 843972"/>
                              <a:gd name="connsiteX5" fmla="*/ 0 w 626683"/>
                              <a:gd name="connsiteY5" fmla="*/ 777139 h 843972"/>
                              <a:gd name="connsiteX0" fmla="*/ 8467 w 804450"/>
                              <a:gd name="connsiteY0" fmla="*/ 805925 h 811746"/>
                              <a:gd name="connsiteX1" fmla="*/ 221671 w 804450"/>
                              <a:gd name="connsiteY1" fmla="*/ 552261 h 811746"/>
                              <a:gd name="connsiteX2" fmla="*/ 380999 w 804450"/>
                              <a:gd name="connsiteY2" fmla="*/ 1592 h 811746"/>
                              <a:gd name="connsiteX3" fmla="*/ 558799 w 804450"/>
                              <a:gd name="connsiteY3" fmla="*/ 729724 h 811746"/>
                              <a:gd name="connsiteX4" fmla="*/ 804334 w 804450"/>
                              <a:gd name="connsiteY4" fmla="*/ 780524 h 811746"/>
                              <a:gd name="connsiteX5" fmla="*/ 0 w 804450"/>
                              <a:gd name="connsiteY5" fmla="*/ 777139 h 811746"/>
                              <a:gd name="connsiteX0" fmla="*/ 8467 w 804450"/>
                              <a:gd name="connsiteY0" fmla="*/ 804647 h 804647"/>
                              <a:gd name="connsiteX1" fmla="*/ 221671 w 804450"/>
                              <a:gd name="connsiteY1" fmla="*/ 550983 h 804647"/>
                              <a:gd name="connsiteX2" fmla="*/ 380999 w 804450"/>
                              <a:gd name="connsiteY2" fmla="*/ 314 h 804647"/>
                              <a:gd name="connsiteX3" fmla="*/ 592666 w 804450"/>
                              <a:gd name="connsiteY3" fmla="*/ 626846 h 804647"/>
                              <a:gd name="connsiteX4" fmla="*/ 804334 w 804450"/>
                              <a:gd name="connsiteY4" fmla="*/ 779246 h 804647"/>
                              <a:gd name="connsiteX5" fmla="*/ 0 w 804450"/>
                              <a:gd name="connsiteY5" fmla="*/ 775861 h 804647"/>
                              <a:gd name="connsiteX0" fmla="*/ 8467 w 804450"/>
                              <a:gd name="connsiteY0" fmla="*/ 804390 h 804390"/>
                              <a:gd name="connsiteX1" fmla="*/ 170871 w 804450"/>
                              <a:gd name="connsiteY1" fmla="*/ 593060 h 804390"/>
                              <a:gd name="connsiteX2" fmla="*/ 380999 w 804450"/>
                              <a:gd name="connsiteY2" fmla="*/ 57 h 804390"/>
                              <a:gd name="connsiteX3" fmla="*/ 592666 w 804450"/>
                              <a:gd name="connsiteY3" fmla="*/ 626589 h 804390"/>
                              <a:gd name="connsiteX4" fmla="*/ 804334 w 804450"/>
                              <a:gd name="connsiteY4" fmla="*/ 778989 h 804390"/>
                              <a:gd name="connsiteX5" fmla="*/ 0 w 804450"/>
                              <a:gd name="connsiteY5" fmla="*/ 775604 h 804390"/>
                              <a:gd name="connsiteX0" fmla="*/ 8467 w 804450"/>
                              <a:gd name="connsiteY0" fmla="*/ 804576 h 804576"/>
                              <a:gd name="connsiteX1" fmla="*/ 213204 w 804450"/>
                              <a:gd name="connsiteY1" fmla="*/ 559379 h 804576"/>
                              <a:gd name="connsiteX2" fmla="*/ 380999 w 804450"/>
                              <a:gd name="connsiteY2" fmla="*/ 243 h 804576"/>
                              <a:gd name="connsiteX3" fmla="*/ 592666 w 804450"/>
                              <a:gd name="connsiteY3" fmla="*/ 626775 h 804576"/>
                              <a:gd name="connsiteX4" fmla="*/ 804334 w 804450"/>
                              <a:gd name="connsiteY4" fmla="*/ 779175 h 804576"/>
                              <a:gd name="connsiteX5" fmla="*/ 0 w 804450"/>
                              <a:gd name="connsiteY5" fmla="*/ 775790 h 804576"/>
                              <a:gd name="connsiteX0" fmla="*/ 3341 w 804450"/>
                              <a:gd name="connsiteY0" fmla="*/ 810813 h 810813"/>
                              <a:gd name="connsiteX1" fmla="*/ 213204 w 804450"/>
                              <a:gd name="connsiteY1" fmla="*/ 559379 h 810813"/>
                              <a:gd name="connsiteX2" fmla="*/ 380999 w 804450"/>
                              <a:gd name="connsiteY2" fmla="*/ 243 h 810813"/>
                              <a:gd name="connsiteX3" fmla="*/ 592666 w 804450"/>
                              <a:gd name="connsiteY3" fmla="*/ 626775 h 810813"/>
                              <a:gd name="connsiteX4" fmla="*/ 804334 w 804450"/>
                              <a:gd name="connsiteY4" fmla="*/ 779175 h 810813"/>
                              <a:gd name="connsiteX5" fmla="*/ 0 w 804450"/>
                              <a:gd name="connsiteY5" fmla="*/ 775790 h 810813"/>
                              <a:gd name="connsiteX0" fmla="*/ 13594 w 804450"/>
                              <a:gd name="connsiteY0" fmla="*/ 785864 h 785864"/>
                              <a:gd name="connsiteX1" fmla="*/ 213204 w 804450"/>
                              <a:gd name="connsiteY1" fmla="*/ 559379 h 785864"/>
                              <a:gd name="connsiteX2" fmla="*/ 380999 w 804450"/>
                              <a:gd name="connsiteY2" fmla="*/ 243 h 785864"/>
                              <a:gd name="connsiteX3" fmla="*/ 592666 w 804450"/>
                              <a:gd name="connsiteY3" fmla="*/ 626775 h 785864"/>
                              <a:gd name="connsiteX4" fmla="*/ 804334 w 804450"/>
                              <a:gd name="connsiteY4" fmla="*/ 779175 h 785864"/>
                              <a:gd name="connsiteX5" fmla="*/ 0 w 804450"/>
                              <a:gd name="connsiteY5" fmla="*/ 775790 h 785864"/>
                              <a:gd name="connsiteX0" fmla="*/ 13594 w 804450"/>
                              <a:gd name="connsiteY0" fmla="*/ 785864 h 794564"/>
                              <a:gd name="connsiteX1" fmla="*/ 213204 w 804450"/>
                              <a:gd name="connsiteY1" fmla="*/ 559379 h 794564"/>
                              <a:gd name="connsiteX2" fmla="*/ 380999 w 804450"/>
                              <a:gd name="connsiteY2" fmla="*/ 243 h 794564"/>
                              <a:gd name="connsiteX3" fmla="*/ 592666 w 804450"/>
                              <a:gd name="connsiteY3" fmla="*/ 626775 h 794564"/>
                              <a:gd name="connsiteX4" fmla="*/ 804334 w 804450"/>
                              <a:gd name="connsiteY4" fmla="*/ 779175 h 794564"/>
                              <a:gd name="connsiteX5" fmla="*/ 0 w 804450"/>
                              <a:gd name="connsiteY5" fmla="*/ 794502 h 7945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04450" h="794564">
                                <a:moveTo>
                                  <a:pt x="13594" y="785864"/>
                                </a:moveTo>
                                <a:cubicBezTo>
                                  <a:pt x="16673" y="756287"/>
                                  <a:pt x="179338" y="690612"/>
                                  <a:pt x="213204" y="559379"/>
                                </a:cubicBezTo>
                                <a:cubicBezTo>
                                  <a:pt x="238603" y="368879"/>
                                  <a:pt x="317755" y="-10990"/>
                                  <a:pt x="380999" y="243"/>
                                </a:cubicBezTo>
                                <a:cubicBezTo>
                                  <a:pt x="444243" y="11476"/>
                                  <a:pt x="506588" y="372775"/>
                                  <a:pt x="592666" y="626775"/>
                                </a:cubicBezTo>
                                <a:cubicBezTo>
                                  <a:pt x="670277" y="753775"/>
                                  <a:pt x="795867" y="803164"/>
                                  <a:pt x="804334" y="779175"/>
                                </a:cubicBezTo>
                                <a:cubicBezTo>
                                  <a:pt x="815623" y="789900"/>
                                  <a:pt x="5292" y="795207"/>
                                  <a:pt x="0" y="794502"/>
                                </a:cubicBezTo>
                              </a:path>
                            </a:pathLst>
                          </a:custGeom>
                          <a:solidFill>
                            <a:srgbClr val="2099D7"/>
                          </a:solidFill>
                          <a:ln w="6350" cap="flat" cmpd="sng" algn="ctr">
                            <a:solidFill>
                              <a:srgbClr val="000000"/>
                            </a:solidFill>
                            <a:prstDash val="solid"/>
                            <a:miter lim="800000"/>
                          </a:ln>
                          <a:effectLst/>
                        </wps:spPr>
                        <wps:bodyPr rtlCol="0" anchor="ctr"/>
                      </wps:wsp>
                      <wps:wsp>
                        <wps:cNvPr id="2207" name="Freeform 2207"/>
                        <wps:cNvSpPr/>
                        <wps:spPr>
                          <a:xfrm>
                            <a:off x="1615106" y="1220595"/>
                            <a:ext cx="729917" cy="1043688"/>
                          </a:xfrm>
                          <a:custGeom>
                            <a:avLst/>
                            <a:gdLst>
                              <a:gd name="connsiteX0" fmla="*/ 0 w 677333"/>
                              <a:gd name="connsiteY0" fmla="*/ 778948 h 849141"/>
                              <a:gd name="connsiteX1" fmla="*/ 211666 w 677333"/>
                              <a:gd name="connsiteY1" fmla="*/ 15 h 849141"/>
                              <a:gd name="connsiteX2" fmla="*/ 448733 w 677333"/>
                              <a:gd name="connsiteY2" fmla="*/ 795882 h 849141"/>
                              <a:gd name="connsiteX3" fmla="*/ 677333 w 677333"/>
                              <a:gd name="connsiteY3" fmla="*/ 762015 h 849141"/>
                              <a:gd name="connsiteX0" fmla="*/ 0 w 524933"/>
                              <a:gd name="connsiteY0" fmla="*/ 778948 h 853268"/>
                              <a:gd name="connsiteX1" fmla="*/ 211666 w 524933"/>
                              <a:gd name="connsiteY1" fmla="*/ 15 h 853268"/>
                              <a:gd name="connsiteX2" fmla="*/ 448733 w 524933"/>
                              <a:gd name="connsiteY2" fmla="*/ 795882 h 853268"/>
                              <a:gd name="connsiteX3" fmla="*/ 524933 w 524933"/>
                              <a:gd name="connsiteY3" fmla="*/ 778948 h 853268"/>
                              <a:gd name="connsiteX0" fmla="*/ 0 w 508000"/>
                              <a:gd name="connsiteY0" fmla="*/ 778948 h 858044"/>
                              <a:gd name="connsiteX1" fmla="*/ 211666 w 508000"/>
                              <a:gd name="connsiteY1" fmla="*/ 15 h 858044"/>
                              <a:gd name="connsiteX2" fmla="*/ 448733 w 508000"/>
                              <a:gd name="connsiteY2" fmla="*/ 795882 h 858044"/>
                              <a:gd name="connsiteX3" fmla="*/ 508000 w 508000"/>
                              <a:gd name="connsiteY3" fmla="*/ 795881 h 858044"/>
                              <a:gd name="connsiteX0" fmla="*/ 0 w 558800"/>
                              <a:gd name="connsiteY0" fmla="*/ 778948 h 877903"/>
                              <a:gd name="connsiteX1" fmla="*/ 211666 w 558800"/>
                              <a:gd name="connsiteY1" fmla="*/ 15 h 877903"/>
                              <a:gd name="connsiteX2" fmla="*/ 448733 w 558800"/>
                              <a:gd name="connsiteY2" fmla="*/ 795882 h 877903"/>
                              <a:gd name="connsiteX3" fmla="*/ 558800 w 558800"/>
                              <a:gd name="connsiteY3" fmla="*/ 846681 h 877903"/>
                              <a:gd name="connsiteX0" fmla="*/ 0 w 550333"/>
                              <a:gd name="connsiteY0" fmla="*/ 787403 h 877892"/>
                              <a:gd name="connsiteX1" fmla="*/ 203199 w 550333"/>
                              <a:gd name="connsiteY1" fmla="*/ 4 h 877892"/>
                              <a:gd name="connsiteX2" fmla="*/ 440266 w 550333"/>
                              <a:gd name="connsiteY2" fmla="*/ 795871 h 877892"/>
                              <a:gd name="connsiteX3" fmla="*/ 550333 w 550333"/>
                              <a:gd name="connsiteY3" fmla="*/ 846670 h 877892"/>
                              <a:gd name="connsiteX0" fmla="*/ 0 w 550333"/>
                              <a:gd name="connsiteY0" fmla="*/ 787402 h 877891"/>
                              <a:gd name="connsiteX1" fmla="*/ 203199 w 550333"/>
                              <a:gd name="connsiteY1" fmla="*/ 3 h 877891"/>
                              <a:gd name="connsiteX2" fmla="*/ 440266 w 550333"/>
                              <a:gd name="connsiteY2" fmla="*/ 795870 h 877891"/>
                              <a:gd name="connsiteX3" fmla="*/ 550333 w 550333"/>
                              <a:gd name="connsiteY3" fmla="*/ 846669 h 877891"/>
                              <a:gd name="connsiteX0" fmla="*/ 0 w 550333"/>
                              <a:gd name="connsiteY0" fmla="*/ 787485 h 857651"/>
                              <a:gd name="connsiteX1" fmla="*/ 203199 w 550333"/>
                              <a:gd name="connsiteY1" fmla="*/ 86 h 857651"/>
                              <a:gd name="connsiteX2" fmla="*/ 440266 w 550333"/>
                              <a:gd name="connsiteY2" fmla="*/ 736686 h 857651"/>
                              <a:gd name="connsiteX3" fmla="*/ 550333 w 550333"/>
                              <a:gd name="connsiteY3" fmla="*/ 846752 h 857651"/>
                              <a:gd name="connsiteX0" fmla="*/ 0 w 550333"/>
                              <a:gd name="connsiteY0" fmla="*/ 787507 h 857673"/>
                              <a:gd name="connsiteX1" fmla="*/ 203199 w 550333"/>
                              <a:gd name="connsiteY1" fmla="*/ 108 h 857673"/>
                              <a:gd name="connsiteX2" fmla="*/ 440266 w 550333"/>
                              <a:gd name="connsiteY2" fmla="*/ 736708 h 857673"/>
                              <a:gd name="connsiteX3" fmla="*/ 550333 w 550333"/>
                              <a:gd name="connsiteY3" fmla="*/ 846774 h 857673"/>
                              <a:gd name="connsiteX0" fmla="*/ 2308 w 552641"/>
                              <a:gd name="connsiteY0" fmla="*/ 788048 h 858214"/>
                              <a:gd name="connsiteX1" fmla="*/ 20781 w 552641"/>
                              <a:gd name="connsiteY1" fmla="*/ 610586 h 858214"/>
                              <a:gd name="connsiteX2" fmla="*/ 205507 w 552641"/>
                              <a:gd name="connsiteY2" fmla="*/ 649 h 858214"/>
                              <a:gd name="connsiteX3" fmla="*/ 442574 w 552641"/>
                              <a:gd name="connsiteY3" fmla="*/ 737249 h 858214"/>
                              <a:gd name="connsiteX4" fmla="*/ 552641 w 552641"/>
                              <a:gd name="connsiteY4" fmla="*/ 847315 h 858214"/>
                              <a:gd name="connsiteX0" fmla="*/ 2308 w 552641"/>
                              <a:gd name="connsiteY0" fmla="*/ 788131 h 858297"/>
                              <a:gd name="connsiteX1" fmla="*/ 20781 w 552641"/>
                              <a:gd name="connsiteY1" fmla="*/ 610669 h 858297"/>
                              <a:gd name="connsiteX2" fmla="*/ 205507 w 552641"/>
                              <a:gd name="connsiteY2" fmla="*/ 732 h 858297"/>
                              <a:gd name="connsiteX3" fmla="*/ 442574 w 552641"/>
                              <a:gd name="connsiteY3" fmla="*/ 737332 h 858297"/>
                              <a:gd name="connsiteX4" fmla="*/ 552641 w 552641"/>
                              <a:gd name="connsiteY4" fmla="*/ 847398 h 858297"/>
                              <a:gd name="connsiteX0" fmla="*/ 13229 w 563562"/>
                              <a:gd name="connsiteY0" fmla="*/ 787403 h 857569"/>
                              <a:gd name="connsiteX1" fmla="*/ 14768 w 563562"/>
                              <a:gd name="connsiteY1" fmla="*/ 745408 h 857569"/>
                              <a:gd name="connsiteX2" fmla="*/ 216428 w 563562"/>
                              <a:gd name="connsiteY2" fmla="*/ 4 h 857569"/>
                              <a:gd name="connsiteX3" fmla="*/ 453495 w 563562"/>
                              <a:gd name="connsiteY3" fmla="*/ 736604 h 857569"/>
                              <a:gd name="connsiteX4" fmla="*/ 563562 w 563562"/>
                              <a:gd name="connsiteY4" fmla="*/ 846670 h 857569"/>
                              <a:gd name="connsiteX0" fmla="*/ 0 w 592666"/>
                              <a:gd name="connsiteY0" fmla="*/ 863603 h 863603"/>
                              <a:gd name="connsiteX1" fmla="*/ 43872 w 592666"/>
                              <a:gd name="connsiteY1" fmla="*/ 745408 h 863603"/>
                              <a:gd name="connsiteX2" fmla="*/ 245532 w 592666"/>
                              <a:gd name="connsiteY2" fmla="*/ 4 h 863603"/>
                              <a:gd name="connsiteX3" fmla="*/ 482599 w 592666"/>
                              <a:gd name="connsiteY3" fmla="*/ 736604 h 863603"/>
                              <a:gd name="connsiteX4" fmla="*/ 592666 w 592666"/>
                              <a:gd name="connsiteY4" fmla="*/ 846670 h 863603"/>
                              <a:gd name="connsiteX0" fmla="*/ 0 w 592666"/>
                              <a:gd name="connsiteY0" fmla="*/ 863628 h 863628"/>
                              <a:gd name="connsiteX1" fmla="*/ 43872 w 592666"/>
                              <a:gd name="connsiteY1" fmla="*/ 745433 h 863628"/>
                              <a:gd name="connsiteX2" fmla="*/ 245532 w 592666"/>
                              <a:gd name="connsiteY2" fmla="*/ 29 h 863628"/>
                              <a:gd name="connsiteX3" fmla="*/ 372532 w 592666"/>
                              <a:gd name="connsiteY3" fmla="*/ 719695 h 863628"/>
                              <a:gd name="connsiteX4" fmla="*/ 592666 w 592666"/>
                              <a:gd name="connsiteY4" fmla="*/ 846695 h 863628"/>
                              <a:gd name="connsiteX0" fmla="*/ 0 w 592666"/>
                              <a:gd name="connsiteY0" fmla="*/ 863914 h 863914"/>
                              <a:gd name="connsiteX1" fmla="*/ 120072 w 592666"/>
                              <a:gd name="connsiteY1" fmla="*/ 635652 h 863914"/>
                              <a:gd name="connsiteX2" fmla="*/ 245532 w 592666"/>
                              <a:gd name="connsiteY2" fmla="*/ 315 h 863914"/>
                              <a:gd name="connsiteX3" fmla="*/ 372532 w 592666"/>
                              <a:gd name="connsiteY3" fmla="*/ 719981 h 863914"/>
                              <a:gd name="connsiteX4" fmla="*/ 592666 w 592666"/>
                              <a:gd name="connsiteY4" fmla="*/ 846981 h 863914"/>
                              <a:gd name="connsiteX0" fmla="*/ 0 w 601133"/>
                              <a:gd name="connsiteY0" fmla="*/ 846981 h 855261"/>
                              <a:gd name="connsiteX1" fmla="*/ 128539 w 601133"/>
                              <a:gd name="connsiteY1" fmla="*/ 635652 h 855261"/>
                              <a:gd name="connsiteX2" fmla="*/ 253999 w 601133"/>
                              <a:gd name="connsiteY2" fmla="*/ 315 h 855261"/>
                              <a:gd name="connsiteX3" fmla="*/ 380999 w 601133"/>
                              <a:gd name="connsiteY3" fmla="*/ 719981 h 855261"/>
                              <a:gd name="connsiteX4" fmla="*/ 601133 w 601133"/>
                              <a:gd name="connsiteY4" fmla="*/ 846981 h 855261"/>
                              <a:gd name="connsiteX0" fmla="*/ 0 w 491067"/>
                              <a:gd name="connsiteY0" fmla="*/ 846981 h 846981"/>
                              <a:gd name="connsiteX1" fmla="*/ 128539 w 491067"/>
                              <a:gd name="connsiteY1" fmla="*/ 635652 h 846981"/>
                              <a:gd name="connsiteX2" fmla="*/ 253999 w 491067"/>
                              <a:gd name="connsiteY2" fmla="*/ 315 h 846981"/>
                              <a:gd name="connsiteX3" fmla="*/ 380999 w 491067"/>
                              <a:gd name="connsiteY3" fmla="*/ 719981 h 846981"/>
                              <a:gd name="connsiteX4" fmla="*/ 491067 w 491067"/>
                              <a:gd name="connsiteY4" fmla="*/ 779248 h 846981"/>
                              <a:gd name="connsiteX0" fmla="*/ 0 w 491067"/>
                              <a:gd name="connsiteY0" fmla="*/ 847053 h 847053"/>
                              <a:gd name="connsiteX1" fmla="*/ 111605 w 491067"/>
                              <a:gd name="connsiteY1" fmla="*/ 627257 h 847053"/>
                              <a:gd name="connsiteX2" fmla="*/ 253999 w 491067"/>
                              <a:gd name="connsiteY2" fmla="*/ 387 h 847053"/>
                              <a:gd name="connsiteX3" fmla="*/ 380999 w 491067"/>
                              <a:gd name="connsiteY3" fmla="*/ 720053 h 847053"/>
                              <a:gd name="connsiteX4" fmla="*/ 491067 w 491067"/>
                              <a:gd name="connsiteY4" fmla="*/ 779320 h 847053"/>
                              <a:gd name="connsiteX0" fmla="*/ 0 w 491067"/>
                              <a:gd name="connsiteY0" fmla="*/ 838594 h 838594"/>
                              <a:gd name="connsiteX1" fmla="*/ 111605 w 491067"/>
                              <a:gd name="connsiteY1" fmla="*/ 618798 h 838594"/>
                              <a:gd name="connsiteX2" fmla="*/ 228599 w 491067"/>
                              <a:gd name="connsiteY2" fmla="*/ 395 h 838594"/>
                              <a:gd name="connsiteX3" fmla="*/ 380999 w 491067"/>
                              <a:gd name="connsiteY3" fmla="*/ 711594 h 838594"/>
                              <a:gd name="connsiteX4" fmla="*/ 491067 w 491067"/>
                              <a:gd name="connsiteY4" fmla="*/ 770861 h 838594"/>
                              <a:gd name="connsiteX0" fmla="*/ 0 w 474134"/>
                              <a:gd name="connsiteY0" fmla="*/ 838594 h 838594"/>
                              <a:gd name="connsiteX1" fmla="*/ 111605 w 474134"/>
                              <a:gd name="connsiteY1" fmla="*/ 618798 h 838594"/>
                              <a:gd name="connsiteX2" fmla="*/ 228599 w 474134"/>
                              <a:gd name="connsiteY2" fmla="*/ 395 h 838594"/>
                              <a:gd name="connsiteX3" fmla="*/ 380999 w 474134"/>
                              <a:gd name="connsiteY3" fmla="*/ 711594 h 838594"/>
                              <a:gd name="connsiteX4" fmla="*/ 474134 w 474134"/>
                              <a:gd name="connsiteY4" fmla="*/ 779327 h 838594"/>
                              <a:gd name="connsiteX0" fmla="*/ 0 w 457201"/>
                              <a:gd name="connsiteY0" fmla="*/ 821661 h 821661"/>
                              <a:gd name="connsiteX1" fmla="*/ 94672 w 457201"/>
                              <a:gd name="connsiteY1" fmla="*/ 618798 h 821661"/>
                              <a:gd name="connsiteX2" fmla="*/ 211666 w 457201"/>
                              <a:gd name="connsiteY2" fmla="*/ 395 h 821661"/>
                              <a:gd name="connsiteX3" fmla="*/ 364066 w 457201"/>
                              <a:gd name="connsiteY3" fmla="*/ 711594 h 821661"/>
                              <a:gd name="connsiteX4" fmla="*/ 457201 w 457201"/>
                              <a:gd name="connsiteY4" fmla="*/ 779327 h 821661"/>
                              <a:gd name="connsiteX0" fmla="*/ 0 w 459631"/>
                              <a:gd name="connsiteY0" fmla="*/ 821661 h 821661"/>
                              <a:gd name="connsiteX1" fmla="*/ 94672 w 459631"/>
                              <a:gd name="connsiteY1" fmla="*/ 618798 h 821661"/>
                              <a:gd name="connsiteX2" fmla="*/ 211666 w 459631"/>
                              <a:gd name="connsiteY2" fmla="*/ 395 h 821661"/>
                              <a:gd name="connsiteX3" fmla="*/ 364066 w 459631"/>
                              <a:gd name="connsiteY3" fmla="*/ 711594 h 821661"/>
                              <a:gd name="connsiteX4" fmla="*/ 457201 w 459631"/>
                              <a:gd name="connsiteY4" fmla="*/ 779327 h 821661"/>
                              <a:gd name="connsiteX5" fmla="*/ 431800 w 459631"/>
                              <a:gd name="connsiteY5" fmla="*/ 775942 h 821661"/>
                              <a:gd name="connsiteX0" fmla="*/ 25400 w 482793"/>
                              <a:gd name="connsiteY0" fmla="*/ 821661 h 826751"/>
                              <a:gd name="connsiteX1" fmla="*/ 120072 w 482793"/>
                              <a:gd name="connsiteY1" fmla="*/ 618798 h 826751"/>
                              <a:gd name="connsiteX2" fmla="*/ 237066 w 482793"/>
                              <a:gd name="connsiteY2" fmla="*/ 395 h 826751"/>
                              <a:gd name="connsiteX3" fmla="*/ 389466 w 482793"/>
                              <a:gd name="connsiteY3" fmla="*/ 711594 h 826751"/>
                              <a:gd name="connsiteX4" fmla="*/ 482601 w 482793"/>
                              <a:gd name="connsiteY4" fmla="*/ 779327 h 826751"/>
                              <a:gd name="connsiteX5" fmla="*/ 0 w 482793"/>
                              <a:gd name="connsiteY5" fmla="*/ 826742 h 826751"/>
                              <a:gd name="connsiteX0" fmla="*/ 25400 w 482793"/>
                              <a:gd name="connsiteY0" fmla="*/ 821661 h 826751"/>
                              <a:gd name="connsiteX1" fmla="*/ 120072 w 482793"/>
                              <a:gd name="connsiteY1" fmla="*/ 618798 h 826751"/>
                              <a:gd name="connsiteX2" fmla="*/ 237066 w 482793"/>
                              <a:gd name="connsiteY2" fmla="*/ 395 h 826751"/>
                              <a:gd name="connsiteX3" fmla="*/ 389466 w 482793"/>
                              <a:gd name="connsiteY3" fmla="*/ 711594 h 826751"/>
                              <a:gd name="connsiteX4" fmla="*/ 482601 w 482793"/>
                              <a:gd name="connsiteY4" fmla="*/ 779327 h 826751"/>
                              <a:gd name="connsiteX5" fmla="*/ 0 w 482793"/>
                              <a:gd name="connsiteY5" fmla="*/ 826742 h 826751"/>
                              <a:gd name="connsiteX0" fmla="*/ 25400 w 482793"/>
                              <a:gd name="connsiteY0" fmla="*/ 821811 h 826901"/>
                              <a:gd name="connsiteX1" fmla="*/ 120072 w 482793"/>
                              <a:gd name="connsiteY1" fmla="*/ 618948 h 826901"/>
                              <a:gd name="connsiteX2" fmla="*/ 237066 w 482793"/>
                              <a:gd name="connsiteY2" fmla="*/ 545 h 826901"/>
                              <a:gd name="connsiteX3" fmla="*/ 414866 w 482793"/>
                              <a:gd name="connsiteY3" fmla="*/ 728677 h 826901"/>
                              <a:gd name="connsiteX4" fmla="*/ 482601 w 482793"/>
                              <a:gd name="connsiteY4" fmla="*/ 779477 h 826901"/>
                              <a:gd name="connsiteX5" fmla="*/ 0 w 482793"/>
                              <a:gd name="connsiteY5" fmla="*/ 826892 h 826901"/>
                              <a:gd name="connsiteX0" fmla="*/ 25400 w 499720"/>
                              <a:gd name="connsiteY0" fmla="*/ 821811 h 830583"/>
                              <a:gd name="connsiteX1" fmla="*/ 120072 w 499720"/>
                              <a:gd name="connsiteY1" fmla="*/ 618948 h 830583"/>
                              <a:gd name="connsiteX2" fmla="*/ 237066 w 499720"/>
                              <a:gd name="connsiteY2" fmla="*/ 545 h 830583"/>
                              <a:gd name="connsiteX3" fmla="*/ 414866 w 499720"/>
                              <a:gd name="connsiteY3" fmla="*/ 728677 h 830583"/>
                              <a:gd name="connsiteX4" fmla="*/ 499534 w 499720"/>
                              <a:gd name="connsiteY4" fmla="*/ 813344 h 830583"/>
                              <a:gd name="connsiteX5" fmla="*/ 0 w 499720"/>
                              <a:gd name="connsiteY5" fmla="*/ 826892 h 830583"/>
                              <a:gd name="connsiteX0" fmla="*/ 8467 w 499720"/>
                              <a:gd name="connsiteY0" fmla="*/ 855678 h 855678"/>
                              <a:gd name="connsiteX1" fmla="*/ 120072 w 499720"/>
                              <a:gd name="connsiteY1" fmla="*/ 618948 h 855678"/>
                              <a:gd name="connsiteX2" fmla="*/ 237066 w 499720"/>
                              <a:gd name="connsiteY2" fmla="*/ 545 h 855678"/>
                              <a:gd name="connsiteX3" fmla="*/ 414866 w 499720"/>
                              <a:gd name="connsiteY3" fmla="*/ 728677 h 855678"/>
                              <a:gd name="connsiteX4" fmla="*/ 499534 w 499720"/>
                              <a:gd name="connsiteY4" fmla="*/ 813344 h 855678"/>
                              <a:gd name="connsiteX5" fmla="*/ 0 w 499720"/>
                              <a:gd name="connsiteY5" fmla="*/ 826892 h 855678"/>
                              <a:gd name="connsiteX0" fmla="*/ 0 w 491256"/>
                              <a:gd name="connsiteY0" fmla="*/ 855678 h 855678"/>
                              <a:gd name="connsiteX1" fmla="*/ 111605 w 491256"/>
                              <a:gd name="connsiteY1" fmla="*/ 618948 h 855678"/>
                              <a:gd name="connsiteX2" fmla="*/ 228599 w 491256"/>
                              <a:gd name="connsiteY2" fmla="*/ 545 h 855678"/>
                              <a:gd name="connsiteX3" fmla="*/ 406399 w 491256"/>
                              <a:gd name="connsiteY3" fmla="*/ 728677 h 855678"/>
                              <a:gd name="connsiteX4" fmla="*/ 491067 w 491256"/>
                              <a:gd name="connsiteY4" fmla="*/ 813344 h 855678"/>
                              <a:gd name="connsiteX5" fmla="*/ 0 w 491256"/>
                              <a:gd name="connsiteY5" fmla="*/ 826892 h 855678"/>
                              <a:gd name="connsiteX0" fmla="*/ 0 w 474329"/>
                              <a:gd name="connsiteY0" fmla="*/ 855678 h 855678"/>
                              <a:gd name="connsiteX1" fmla="*/ 111605 w 474329"/>
                              <a:gd name="connsiteY1" fmla="*/ 618948 h 855678"/>
                              <a:gd name="connsiteX2" fmla="*/ 228599 w 474329"/>
                              <a:gd name="connsiteY2" fmla="*/ 545 h 855678"/>
                              <a:gd name="connsiteX3" fmla="*/ 406399 w 474329"/>
                              <a:gd name="connsiteY3" fmla="*/ 728677 h 855678"/>
                              <a:gd name="connsiteX4" fmla="*/ 474134 w 474329"/>
                              <a:gd name="connsiteY4" fmla="*/ 830277 h 855678"/>
                              <a:gd name="connsiteX5" fmla="*/ 0 w 474329"/>
                              <a:gd name="connsiteY5" fmla="*/ 826892 h 855678"/>
                              <a:gd name="connsiteX0" fmla="*/ 0 w 474333"/>
                              <a:gd name="connsiteY0" fmla="*/ 855678 h 855678"/>
                              <a:gd name="connsiteX1" fmla="*/ 111605 w 474333"/>
                              <a:gd name="connsiteY1" fmla="*/ 618948 h 855678"/>
                              <a:gd name="connsiteX2" fmla="*/ 228599 w 474333"/>
                              <a:gd name="connsiteY2" fmla="*/ 545 h 855678"/>
                              <a:gd name="connsiteX3" fmla="*/ 406399 w 474333"/>
                              <a:gd name="connsiteY3" fmla="*/ 728677 h 855678"/>
                              <a:gd name="connsiteX4" fmla="*/ 474134 w 474333"/>
                              <a:gd name="connsiteY4" fmla="*/ 830277 h 855678"/>
                              <a:gd name="connsiteX5" fmla="*/ 8467 w 474333"/>
                              <a:gd name="connsiteY5" fmla="*/ 818426 h 855678"/>
                              <a:gd name="connsiteX0" fmla="*/ 0 w 474344"/>
                              <a:gd name="connsiteY0" fmla="*/ 855678 h 855678"/>
                              <a:gd name="connsiteX1" fmla="*/ 111605 w 474344"/>
                              <a:gd name="connsiteY1" fmla="*/ 618948 h 855678"/>
                              <a:gd name="connsiteX2" fmla="*/ 228599 w 474344"/>
                              <a:gd name="connsiteY2" fmla="*/ 545 h 855678"/>
                              <a:gd name="connsiteX3" fmla="*/ 406399 w 474344"/>
                              <a:gd name="connsiteY3" fmla="*/ 728677 h 855678"/>
                              <a:gd name="connsiteX4" fmla="*/ 474134 w 474344"/>
                              <a:gd name="connsiteY4" fmla="*/ 830277 h 855678"/>
                              <a:gd name="connsiteX5" fmla="*/ 33867 w 474344"/>
                              <a:gd name="connsiteY5" fmla="*/ 682960 h 855678"/>
                              <a:gd name="connsiteX0" fmla="*/ 0 w 474344"/>
                              <a:gd name="connsiteY0" fmla="*/ 830278 h 842925"/>
                              <a:gd name="connsiteX1" fmla="*/ 111605 w 474344"/>
                              <a:gd name="connsiteY1" fmla="*/ 618948 h 842925"/>
                              <a:gd name="connsiteX2" fmla="*/ 228599 w 474344"/>
                              <a:gd name="connsiteY2" fmla="*/ 545 h 842925"/>
                              <a:gd name="connsiteX3" fmla="*/ 406399 w 474344"/>
                              <a:gd name="connsiteY3" fmla="*/ 728677 h 842925"/>
                              <a:gd name="connsiteX4" fmla="*/ 474134 w 474344"/>
                              <a:gd name="connsiteY4" fmla="*/ 830277 h 842925"/>
                              <a:gd name="connsiteX5" fmla="*/ 33867 w 474344"/>
                              <a:gd name="connsiteY5" fmla="*/ 682960 h 842925"/>
                              <a:gd name="connsiteX0" fmla="*/ 8466 w 482792"/>
                              <a:gd name="connsiteY0" fmla="*/ 830278 h 842925"/>
                              <a:gd name="connsiteX1" fmla="*/ 120071 w 482792"/>
                              <a:gd name="connsiteY1" fmla="*/ 618948 h 842925"/>
                              <a:gd name="connsiteX2" fmla="*/ 237065 w 482792"/>
                              <a:gd name="connsiteY2" fmla="*/ 545 h 842925"/>
                              <a:gd name="connsiteX3" fmla="*/ 414865 w 482792"/>
                              <a:gd name="connsiteY3" fmla="*/ 728677 h 842925"/>
                              <a:gd name="connsiteX4" fmla="*/ 482600 w 482792"/>
                              <a:gd name="connsiteY4" fmla="*/ 830277 h 842925"/>
                              <a:gd name="connsiteX5" fmla="*/ 0 w 482792"/>
                              <a:gd name="connsiteY5" fmla="*/ 818427 h 842925"/>
                              <a:gd name="connsiteX0" fmla="*/ 8466 w 482792"/>
                              <a:gd name="connsiteY0" fmla="*/ 830278 h 830278"/>
                              <a:gd name="connsiteX1" fmla="*/ 120071 w 482792"/>
                              <a:gd name="connsiteY1" fmla="*/ 618948 h 830278"/>
                              <a:gd name="connsiteX2" fmla="*/ 237065 w 482792"/>
                              <a:gd name="connsiteY2" fmla="*/ 545 h 830278"/>
                              <a:gd name="connsiteX3" fmla="*/ 414865 w 482792"/>
                              <a:gd name="connsiteY3" fmla="*/ 728677 h 830278"/>
                              <a:gd name="connsiteX4" fmla="*/ 482600 w 482792"/>
                              <a:gd name="connsiteY4" fmla="*/ 804877 h 830278"/>
                              <a:gd name="connsiteX5" fmla="*/ 0 w 482792"/>
                              <a:gd name="connsiteY5" fmla="*/ 818427 h 830278"/>
                              <a:gd name="connsiteX0" fmla="*/ 8466 w 482792"/>
                              <a:gd name="connsiteY0" fmla="*/ 1041772 h 1041772"/>
                              <a:gd name="connsiteX1" fmla="*/ 120071 w 482792"/>
                              <a:gd name="connsiteY1" fmla="*/ 830442 h 1041772"/>
                              <a:gd name="connsiteX2" fmla="*/ 228598 w 482792"/>
                              <a:gd name="connsiteY2" fmla="*/ 373 h 1041772"/>
                              <a:gd name="connsiteX3" fmla="*/ 414865 w 482792"/>
                              <a:gd name="connsiteY3" fmla="*/ 940171 h 1041772"/>
                              <a:gd name="connsiteX4" fmla="*/ 482600 w 482792"/>
                              <a:gd name="connsiteY4" fmla="*/ 1016371 h 1041772"/>
                              <a:gd name="connsiteX5" fmla="*/ 0 w 482792"/>
                              <a:gd name="connsiteY5" fmla="*/ 1029921 h 1041772"/>
                              <a:gd name="connsiteX0" fmla="*/ 16932 w 491255"/>
                              <a:gd name="connsiteY0" fmla="*/ 1041772 h 1041772"/>
                              <a:gd name="connsiteX1" fmla="*/ 128537 w 491255"/>
                              <a:gd name="connsiteY1" fmla="*/ 830442 h 1041772"/>
                              <a:gd name="connsiteX2" fmla="*/ 237064 w 491255"/>
                              <a:gd name="connsiteY2" fmla="*/ 373 h 1041772"/>
                              <a:gd name="connsiteX3" fmla="*/ 423331 w 491255"/>
                              <a:gd name="connsiteY3" fmla="*/ 940171 h 1041772"/>
                              <a:gd name="connsiteX4" fmla="*/ 491066 w 491255"/>
                              <a:gd name="connsiteY4" fmla="*/ 1016371 h 1041772"/>
                              <a:gd name="connsiteX5" fmla="*/ 0 w 491255"/>
                              <a:gd name="connsiteY5" fmla="*/ 869055 h 1041772"/>
                              <a:gd name="connsiteX0" fmla="*/ 16932 w 491255"/>
                              <a:gd name="connsiteY0" fmla="*/ 1033305 h 1036505"/>
                              <a:gd name="connsiteX1" fmla="*/ 128537 w 491255"/>
                              <a:gd name="connsiteY1" fmla="*/ 830442 h 1036505"/>
                              <a:gd name="connsiteX2" fmla="*/ 237064 w 491255"/>
                              <a:gd name="connsiteY2" fmla="*/ 373 h 1036505"/>
                              <a:gd name="connsiteX3" fmla="*/ 423331 w 491255"/>
                              <a:gd name="connsiteY3" fmla="*/ 940171 h 1036505"/>
                              <a:gd name="connsiteX4" fmla="*/ 491066 w 491255"/>
                              <a:gd name="connsiteY4" fmla="*/ 1016371 h 1036505"/>
                              <a:gd name="connsiteX5" fmla="*/ 0 w 491255"/>
                              <a:gd name="connsiteY5" fmla="*/ 869055 h 1036505"/>
                              <a:gd name="connsiteX0" fmla="*/ 0 w 474329"/>
                              <a:gd name="connsiteY0" fmla="*/ 1033305 h 1036505"/>
                              <a:gd name="connsiteX1" fmla="*/ 111605 w 474329"/>
                              <a:gd name="connsiteY1" fmla="*/ 830442 h 1036505"/>
                              <a:gd name="connsiteX2" fmla="*/ 220132 w 474329"/>
                              <a:gd name="connsiteY2" fmla="*/ 373 h 1036505"/>
                              <a:gd name="connsiteX3" fmla="*/ 406399 w 474329"/>
                              <a:gd name="connsiteY3" fmla="*/ 940171 h 1036505"/>
                              <a:gd name="connsiteX4" fmla="*/ 474134 w 474329"/>
                              <a:gd name="connsiteY4" fmla="*/ 1016371 h 1036505"/>
                              <a:gd name="connsiteX5" fmla="*/ 2 w 474329"/>
                              <a:gd name="connsiteY5" fmla="*/ 1021455 h 1036505"/>
                              <a:gd name="connsiteX0" fmla="*/ 0 w 474329"/>
                              <a:gd name="connsiteY0" fmla="*/ 1033007 h 1036207"/>
                              <a:gd name="connsiteX1" fmla="*/ 94672 w 474329"/>
                              <a:gd name="connsiteY1" fmla="*/ 889410 h 1036207"/>
                              <a:gd name="connsiteX2" fmla="*/ 220132 w 474329"/>
                              <a:gd name="connsiteY2" fmla="*/ 75 h 1036207"/>
                              <a:gd name="connsiteX3" fmla="*/ 406399 w 474329"/>
                              <a:gd name="connsiteY3" fmla="*/ 939873 h 1036207"/>
                              <a:gd name="connsiteX4" fmla="*/ 474134 w 474329"/>
                              <a:gd name="connsiteY4" fmla="*/ 1016073 h 1036207"/>
                              <a:gd name="connsiteX5" fmla="*/ 2 w 474329"/>
                              <a:gd name="connsiteY5" fmla="*/ 1021157 h 1036207"/>
                              <a:gd name="connsiteX0" fmla="*/ 0 w 474329"/>
                              <a:gd name="connsiteY0" fmla="*/ 1032966 h 1032966"/>
                              <a:gd name="connsiteX1" fmla="*/ 94672 w 474329"/>
                              <a:gd name="connsiteY1" fmla="*/ 889369 h 1032966"/>
                              <a:gd name="connsiteX2" fmla="*/ 220132 w 474329"/>
                              <a:gd name="connsiteY2" fmla="*/ 34 h 1032966"/>
                              <a:gd name="connsiteX3" fmla="*/ 380999 w 474329"/>
                              <a:gd name="connsiteY3" fmla="*/ 922898 h 1032966"/>
                              <a:gd name="connsiteX4" fmla="*/ 474134 w 474329"/>
                              <a:gd name="connsiteY4" fmla="*/ 1016032 h 1032966"/>
                              <a:gd name="connsiteX5" fmla="*/ 2 w 474329"/>
                              <a:gd name="connsiteY5" fmla="*/ 1021116 h 1032966"/>
                              <a:gd name="connsiteX0" fmla="*/ 0 w 474329"/>
                              <a:gd name="connsiteY0" fmla="*/ 992702 h 992702"/>
                              <a:gd name="connsiteX1" fmla="*/ 94672 w 474329"/>
                              <a:gd name="connsiteY1" fmla="*/ 849105 h 992702"/>
                              <a:gd name="connsiteX2" fmla="*/ 220132 w 474329"/>
                              <a:gd name="connsiteY2" fmla="*/ 36 h 992702"/>
                              <a:gd name="connsiteX3" fmla="*/ 380999 w 474329"/>
                              <a:gd name="connsiteY3" fmla="*/ 882634 h 992702"/>
                              <a:gd name="connsiteX4" fmla="*/ 474134 w 474329"/>
                              <a:gd name="connsiteY4" fmla="*/ 975768 h 992702"/>
                              <a:gd name="connsiteX5" fmla="*/ 2 w 474329"/>
                              <a:gd name="connsiteY5" fmla="*/ 980852 h 9927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74329" h="992702">
                                <a:moveTo>
                                  <a:pt x="0" y="992702"/>
                                </a:moveTo>
                                <a:cubicBezTo>
                                  <a:pt x="3079" y="963125"/>
                                  <a:pt x="60806" y="980338"/>
                                  <a:pt x="94672" y="849105"/>
                                </a:cubicBezTo>
                                <a:cubicBezTo>
                                  <a:pt x="120071" y="658605"/>
                                  <a:pt x="172411" y="-5552"/>
                                  <a:pt x="220132" y="36"/>
                                </a:cubicBezTo>
                                <a:cubicBezTo>
                                  <a:pt x="267853" y="5624"/>
                                  <a:pt x="294921" y="628634"/>
                                  <a:pt x="380999" y="882634"/>
                                </a:cubicBezTo>
                                <a:cubicBezTo>
                                  <a:pt x="458610" y="1009634"/>
                                  <a:pt x="465667" y="999757"/>
                                  <a:pt x="474134" y="975768"/>
                                </a:cubicBezTo>
                                <a:cubicBezTo>
                                  <a:pt x="485423" y="986493"/>
                                  <a:pt x="5294" y="981557"/>
                                  <a:pt x="2" y="980852"/>
                                </a:cubicBezTo>
                              </a:path>
                            </a:pathLst>
                          </a:custGeom>
                          <a:solidFill>
                            <a:srgbClr val="F47F44">
                              <a:alpha val="80000"/>
                            </a:srgbClr>
                          </a:solidFill>
                          <a:ln w="6350" cap="flat" cmpd="sng" algn="ctr">
                            <a:solidFill>
                              <a:srgbClr val="000000"/>
                            </a:solidFill>
                            <a:prstDash val="solid"/>
                            <a:miter lim="800000"/>
                          </a:ln>
                          <a:effectLst/>
                        </wps:spPr>
                        <wps:bodyPr rtlCol="0" anchor="ctr"/>
                      </wps:wsp>
                      <wps:wsp>
                        <wps:cNvPr id="2208" name="Freeform 2208"/>
                        <wps:cNvSpPr/>
                        <wps:spPr>
                          <a:xfrm>
                            <a:off x="1768243" y="139755"/>
                            <a:ext cx="397873" cy="1043672"/>
                          </a:xfrm>
                          <a:custGeom>
                            <a:avLst/>
                            <a:gdLst>
                              <a:gd name="connsiteX0" fmla="*/ 0 w 677333"/>
                              <a:gd name="connsiteY0" fmla="*/ 778948 h 849141"/>
                              <a:gd name="connsiteX1" fmla="*/ 211666 w 677333"/>
                              <a:gd name="connsiteY1" fmla="*/ 15 h 849141"/>
                              <a:gd name="connsiteX2" fmla="*/ 448733 w 677333"/>
                              <a:gd name="connsiteY2" fmla="*/ 795882 h 849141"/>
                              <a:gd name="connsiteX3" fmla="*/ 677333 w 677333"/>
                              <a:gd name="connsiteY3" fmla="*/ 762015 h 849141"/>
                              <a:gd name="connsiteX0" fmla="*/ 0 w 524933"/>
                              <a:gd name="connsiteY0" fmla="*/ 778948 h 853268"/>
                              <a:gd name="connsiteX1" fmla="*/ 211666 w 524933"/>
                              <a:gd name="connsiteY1" fmla="*/ 15 h 853268"/>
                              <a:gd name="connsiteX2" fmla="*/ 448733 w 524933"/>
                              <a:gd name="connsiteY2" fmla="*/ 795882 h 853268"/>
                              <a:gd name="connsiteX3" fmla="*/ 524933 w 524933"/>
                              <a:gd name="connsiteY3" fmla="*/ 778948 h 853268"/>
                              <a:gd name="connsiteX0" fmla="*/ 0 w 508000"/>
                              <a:gd name="connsiteY0" fmla="*/ 778948 h 858044"/>
                              <a:gd name="connsiteX1" fmla="*/ 211666 w 508000"/>
                              <a:gd name="connsiteY1" fmla="*/ 15 h 858044"/>
                              <a:gd name="connsiteX2" fmla="*/ 448733 w 508000"/>
                              <a:gd name="connsiteY2" fmla="*/ 795882 h 858044"/>
                              <a:gd name="connsiteX3" fmla="*/ 508000 w 508000"/>
                              <a:gd name="connsiteY3" fmla="*/ 795881 h 858044"/>
                              <a:gd name="connsiteX0" fmla="*/ 0 w 558800"/>
                              <a:gd name="connsiteY0" fmla="*/ 778948 h 877903"/>
                              <a:gd name="connsiteX1" fmla="*/ 211666 w 558800"/>
                              <a:gd name="connsiteY1" fmla="*/ 15 h 877903"/>
                              <a:gd name="connsiteX2" fmla="*/ 448733 w 558800"/>
                              <a:gd name="connsiteY2" fmla="*/ 795882 h 877903"/>
                              <a:gd name="connsiteX3" fmla="*/ 558800 w 558800"/>
                              <a:gd name="connsiteY3" fmla="*/ 846681 h 877903"/>
                              <a:gd name="connsiteX0" fmla="*/ 0 w 550333"/>
                              <a:gd name="connsiteY0" fmla="*/ 787403 h 877892"/>
                              <a:gd name="connsiteX1" fmla="*/ 203199 w 550333"/>
                              <a:gd name="connsiteY1" fmla="*/ 4 h 877892"/>
                              <a:gd name="connsiteX2" fmla="*/ 440266 w 550333"/>
                              <a:gd name="connsiteY2" fmla="*/ 795871 h 877892"/>
                              <a:gd name="connsiteX3" fmla="*/ 550333 w 550333"/>
                              <a:gd name="connsiteY3" fmla="*/ 846670 h 877892"/>
                              <a:gd name="connsiteX0" fmla="*/ 0 w 550333"/>
                              <a:gd name="connsiteY0" fmla="*/ 787402 h 877891"/>
                              <a:gd name="connsiteX1" fmla="*/ 203199 w 550333"/>
                              <a:gd name="connsiteY1" fmla="*/ 3 h 877891"/>
                              <a:gd name="connsiteX2" fmla="*/ 440266 w 550333"/>
                              <a:gd name="connsiteY2" fmla="*/ 795870 h 877891"/>
                              <a:gd name="connsiteX3" fmla="*/ 550333 w 550333"/>
                              <a:gd name="connsiteY3" fmla="*/ 846669 h 877891"/>
                              <a:gd name="connsiteX0" fmla="*/ 0 w 550333"/>
                              <a:gd name="connsiteY0" fmla="*/ 787485 h 857651"/>
                              <a:gd name="connsiteX1" fmla="*/ 203199 w 550333"/>
                              <a:gd name="connsiteY1" fmla="*/ 86 h 857651"/>
                              <a:gd name="connsiteX2" fmla="*/ 440266 w 550333"/>
                              <a:gd name="connsiteY2" fmla="*/ 736686 h 857651"/>
                              <a:gd name="connsiteX3" fmla="*/ 550333 w 550333"/>
                              <a:gd name="connsiteY3" fmla="*/ 846752 h 857651"/>
                              <a:gd name="connsiteX0" fmla="*/ 0 w 550333"/>
                              <a:gd name="connsiteY0" fmla="*/ 787507 h 857673"/>
                              <a:gd name="connsiteX1" fmla="*/ 203199 w 550333"/>
                              <a:gd name="connsiteY1" fmla="*/ 108 h 857673"/>
                              <a:gd name="connsiteX2" fmla="*/ 440266 w 550333"/>
                              <a:gd name="connsiteY2" fmla="*/ 736708 h 857673"/>
                              <a:gd name="connsiteX3" fmla="*/ 550333 w 550333"/>
                              <a:gd name="connsiteY3" fmla="*/ 846774 h 857673"/>
                              <a:gd name="connsiteX0" fmla="*/ 2308 w 552641"/>
                              <a:gd name="connsiteY0" fmla="*/ 788048 h 858214"/>
                              <a:gd name="connsiteX1" fmla="*/ 20781 w 552641"/>
                              <a:gd name="connsiteY1" fmla="*/ 610586 h 858214"/>
                              <a:gd name="connsiteX2" fmla="*/ 205507 w 552641"/>
                              <a:gd name="connsiteY2" fmla="*/ 649 h 858214"/>
                              <a:gd name="connsiteX3" fmla="*/ 442574 w 552641"/>
                              <a:gd name="connsiteY3" fmla="*/ 737249 h 858214"/>
                              <a:gd name="connsiteX4" fmla="*/ 552641 w 552641"/>
                              <a:gd name="connsiteY4" fmla="*/ 847315 h 858214"/>
                              <a:gd name="connsiteX0" fmla="*/ 2308 w 552641"/>
                              <a:gd name="connsiteY0" fmla="*/ 788131 h 858297"/>
                              <a:gd name="connsiteX1" fmla="*/ 20781 w 552641"/>
                              <a:gd name="connsiteY1" fmla="*/ 610669 h 858297"/>
                              <a:gd name="connsiteX2" fmla="*/ 205507 w 552641"/>
                              <a:gd name="connsiteY2" fmla="*/ 732 h 858297"/>
                              <a:gd name="connsiteX3" fmla="*/ 442574 w 552641"/>
                              <a:gd name="connsiteY3" fmla="*/ 737332 h 858297"/>
                              <a:gd name="connsiteX4" fmla="*/ 552641 w 552641"/>
                              <a:gd name="connsiteY4" fmla="*/ 847398 h 858297"/>
                              <a:gd name="connsiteX0" fmla="*/ 13229 w 563562"/>
                              <a:gd name="connsiteY0" fmla="*/ 787403 h 857569"/>
                              <a:gd name="connsiteX1" fmla="*/ 14768 w 563562"/>
                              <a:gd name="connsiteY1" fmla="*/ 745408 h 857569"/>
                              <a:gd name="connsiteX2" fmla="*/ 216428 w 563562"/>
                              <a:gd name="connsiteY2" fmla="*/ 4 h 857569"/>
                              <a:gd name="connsiteX3" fmla="*/ 453495 w 563562"/>
                              <a:gd name="connsiteY3" fmla="*/ 736604 h 857569"/>
                              <a:gd name="connsiteX4" fmla="*/ 563562 w 563562"/>
                              <a:gd name="connsiteY4" fmla="*/ 846670 h 857569"/>
                              <a:gd name="connsiteX0" fmla="*/ 0 w 592666"/>
                              <a:gd name="connsiteY0" fmla="*/ 863603 h 863603"/>
                              <a:gd name="connsiteX1" fmla="*/ 43872 w 592666"/>
                              <a:gd name="connsiteY1" fmla="*/ 745408 h 863603"/>
                              <a:gd name="connsiteX2" fmla="*/ 245532 w 592666"/>
                              <a:gd name="connsiteY2" fmla="*/ 4 h 863603"/>
                              <a:gd name="connsiteX3" fmla="*/ 482599 w 592666"/>
                              <a:gd name="connsiteY3" fmla="*/ 736604 h 863603"/>
                              <a:gd name="connsiteX4" fmla="*/ 592666 w 592666"/>
                              <a:gd name="connsiteY4" fmla="*/ 846670 h 863603"/>
                              <a:gd name="connsiteX0" fmla="*/ 0 w 592666"/>
                              <a:gd name="connsiteY0" fmla="*/ 863628 h 863628"/>
                              <a:gd name="connsiteX1" fmla="*/ 43872 w 592666"/>
                              <a:gd name="connsiteY1" fmla="*/ 745433 h 863628"/>
                              <a:gd name="connsiteX2" fmla="*/ 245532 w 592666"/>
                              <a:gd name="connsiteY2" fmla="*/ 29 h 863628"/>
                              <a:gd name="connsiteX3" fmla="*/ 372532 w 592666"/>
                              <a:gd name="connsiteY3" fmla="*/ 719695 h 863628"/>
                              <a:gd name="connsiteX4" fmla="*/ 592666 w 592666"/>
                              <a:gd name="connsiteY4" fmla="*/ 846695 h 863628"/>
                              <a:gd name="connsiteX0" fmla="*/ 0 w 592666"/>
                              <a:gd name="connsiteY0" fmla="*/ 863914 h 863914"/>
                              <a:gd name="connsiteX1" fmla="*/ 120072 w 592666"/>
                              <a:gd name="connsiteY1" fmla="*/ 635652 h 863914"/>
                              <a:gd name="connsiteX2" fmla="*/ 245532 w 592666"/>
                              <a:gd name="connsiteY2" fmla="*/ 315 h 863914"/>
                              <a:gd name="connsiteX3" fmla="*/ 372532 w 592666"/>
                              <a:gd name="connsiteY3" fmla="*/ 719981 h 863914"/>
                              <a:gd name="connsiteX4" fmla="*/ 592666 w 592666"/>
                              <a:gd name="connsiteY4" fmla="*/ 846981 h 863914"/>
                              <a:gd name="connsiteX0" fmla="*/ 0 w 601133"/>
                              <a:gd name="connsiteY0" fmla="*/ 846981 h 855261"/>
                              <a:gd name="connsiteX1" fmla="*/ 128539 w 601133"/>
                              <a:gd name="connsiteY1" fmla="*/ 635652 h 855261"/>
                              <a:gd name="connsiteX2" fmla="*/ 253999 w 601133"/>
                              <a:gd name="connsiteY2" fmla="*/ 315 h 855261"/>
                              <a:gd name="connsiteX3" fmla="*/ 380999 w 601133"/>
                              <a:gd name="connsiteY3" fmla="*/ 719981 h 855261"/>
                              <a:gd name="connsiteX4" fmla="*/ 601133 w 601133"/>
                              <a:gd name="connsiteY4" fmla="*/ 846981 h 855261"/>
                              <a:gd name="connsiteX0" fmla="*/ 0 w 491067"/>
                              <a:gd name="connsiteY0" fmla="*/ 846981 h 846981"/>
                              <a:gd name="connsiteX1" fmla="*/ 128539 w 491067"/>
                              <a:gd name="connsiteY1" fmla="*/ 635652 h 846981"/>
                              <a:gd name="connsiteX2" fmla="*/ 253999 w 491067"/>
                              <a:gd name="connsiteY2" fmla="*/ 315 h 846981"/>
                              <a:gd name="connsiteX3" fmla="*/ 380999 w 491067"/>
                              <a:gd name="connsiteY3" fmla="*/ 719981 h 846981"/>
                              <a:gd name="connsiteX4" fmla="*/ 491067 w 491067"/>
                              <a:gd name="connsiteY4" fmla="*/ 779248 h 846981"/>
                              <a:gd name="connsiteX0" fmla="*/ 0 w 491067"/>
                              <a:gd name="connsiteY0" fmla="*/ 847053 h 847053"/>
                              <a:gd name="connsiteX1" fmla="*/ 111605 w 491067"/>
                              <a:gd name="connsiteY1" fmla="*/ 627257 h 847053"/>
                              <a:gd name="connsiteX2" fmla="*/ 253999 w 491067"/>
                              <a:gd name="connsiteY2" fmla="*/ 387 h 847053"/>
                              <a:gd name="connsiteX3" fmla="*/ 380999 w 491067"/>
                              <a:gd name="connsiteY3" fmla="*/ 720053 h 847053"/>
                              <a:gd name="connsiteX4" fmla="*/ 491067 w 491067"/>
                              <a:gd name="connsiteY4" fmla="*/ 779320 h 847053"/>
                              <a:gd name="connsiteX0" fmla="*/ 0 w 491067"/>
                              <a:gd name="connsiteY0" fmla="*/ 838594 h 838594"/>
                              <a:gd name="connsiteX1" fmla="*/ 111605 w 491067"/>
                              <a:gd name="connsiteY1" fmla="*/ 618798 h 838594"/>
                              <a:gd name="connsiteX2" fmla="*/ 228599 w 491067"/>
                              <a:gd name="connsiteY2" fmla="*/ 395 h 838594"/>
                              <a:gd name="connsiteX3" fmla="*/ 380999 w 491067"/>
                              <a:gd name="connsiteY3" fmla="*/ 711594 h 838594"/>
                              <a:gd name="connsiteX4" fmla="*/ 491067 w 491067"/>
                              <a:gd name="connsiteY4" fmla="*/ 770861 h 838594"/>
                              <a:gd name="connsiteX0" fmla="*/ 0 w 474134"/>
                              <a:gd name="connsiteY0" fmla="*/ 838594 h 838594"/>
                              <a:gd name="connsiteX1" fmla="*/ 111605 w 474134"/>
                              <a:gd name="connsiteY1" fmla="*/ 618798 h 838594"/>
                              <a:gd name="connsiteX2" fmla="*/ 228599 w 474134"/>
                              <a:gd name="connsiteY2" fmla="*/ 395 h 838594"/>
                              <a:gd name="connsiteX3" fmla="*/ 380999 w 474134"/>
                              <a:gd name="connsiteY3" fmla="*/ 711594 h 838594"/>
                              <a:gd name="connsiteX4" fmla="*/ 474134 w 474134"/>
                              <a:gd name="connsiteY4" fmla="*/ 779327 h 838594"/>
                              <a:gd name="connsiteX0" fmla="*/ 0 w 457201"/>
                              <a:gd name="connsiteY0" fmla="*/ 821661 h 821661"/>
                              <a:gd name="connsiteX1" fmla="*/ 94672 w 457201"/>
                              <a:gd name="connsiteY1" fmla="*/ 618798 h 821661"/>
                              <a:gd name="connsiteX2" fmla="*/ 211666 w 457201"/>
                              <a:gd name="connsiteY2" fmla="*/ 395 h 821661"/>
                              <a:gd name="connsiteX3" fmla="*/ 364066 w 457201"/>
                              <a:gd name="connsiteY3" fmla="*/ 711594 h 821661"/>
                              <a:gd name="connsiteX4" fmla="*/ 457201 w 457201"/>
                              <a:gd name="connsiteY4" fmla="*/ 779327 h 821661"/>
                              <a:gd name="connsiteX0" fmla="*/ 0 w 459631"/>
                              <a:gd name="connsiteY0" fmla="*/ 821661 h 821661"/>
                              <a:gd name="connsiteX1" fmla="*/ 94672 w 459631"/>
                              <a:gd name="connsiteY1" fmla="*/ 618798 h 821661"/>
                              <a:gd name="connsiteX2" fmla="*/ 211666 w 459631"/>
                              <a:gd name="connsiteY2" fmla="*/ 395 h 821661"/>
                              <a:gd name="connsiteX3" fmla="*/ 364066 w 459631"/>
                              <a:gd name="connsiteY3" fmla="*/ 711594 h 821661"/>
                              <a:gd name="connsiteX4" fmla="*/ 457201 w 459631"/>
                              <a:gd name="connsiteY4" fmla="*/ 779327 h 821661"/>
                              <a:gd name="connsiteX5" fmla="*/ 431800 w 459631"/>
                              <a:gd name="connsiteY5" fmla="*/ 775942 h 821661"/>
                              <a:gd name="connsiteX0" fmla="*/ 25400 w 482793"/>
                              <a:gd name="connsiteY0" fmla="*/ 821661 h 826751"/>
                              <a:gd name="connsiteX1" fmla="*/ 120072 w 482793"/>
                              <a:gd name="connsiteY1" fmla="*/ 618798 h 826751"/>
                              <a:gd name="connsiteX2" fmla="*/ 237066 w 482793"/>
                              <a:gd name="connsiteY2" fmla="*/ 395 h 826751"/>
                              <a:gd name="connsiteX3" fmla="*/ 389466 w 482793"/>
                              <a:gd name="connsiteY3" fmla="*/ 711594 h 826751"/>
                              <a:gd name="connsiteX4" fmla="*/ 482601 w 482793"/>
                              <a:gd name="connsiteY4" fmla="*/ 779327 h 826751"/>
                              <a:gd name="connsiteX5" fmla="*/ 0 w 482793"/>
                              <a:gd name="connsiteY5" fmla="*/ 826742 h 826751"/>
                              <a:gd name="connsiteX0" fmla="*/ 25400 w 482793"/>
                              <a:gd name="connsiteY0" fmla="*/ 821661 h 826751"/>
                              <a:gd name="connsiteX1" fmla="*/ 120072 w 482793"/>
                              <a:gd name="connsiteY1" fmla="*/ 618798 h 826751"/>
                              <a:gd name="connsiteX2" fmla="*/ 237066 w 482793"/>
                              <a:gd name="connsiteY2" fmla="*/ 395 h 826751"/>
                              <a:gd name="connsiteX3" fmla="*/ 389466 w 482793"/>
                              <a:gd name="connsiteY3" fmla="*/ 711594 h 826751"/>
                              <a:gd name="connsiteX4" fmla="*/ 482601 w 482793"/>
                              <a:gd name="connsiteY4" fmla="*/ 779327 h 826751"/>
                              <a:gd name="connsiteX5" fmla="*/ 0 w 482793"/>
                              <a:gd name="connsiteY5" fmla="*/ 826742 h 826751"/>
                              <a:gd name="connsiteX0" fmla="*/ 25400 w 482793"/>
                              <a:gd name="connsiteY0" fmla="*/ 821811 h 826901"/>
                              <a:gd name="connsiteX1" fmla="*/ 120072 w 482793"/>
                              <a:gd name="connsiteY1" fmla="*/ 618948 h 826901"/>
                              <a:gd name="connsiteX2" fmla="*/ 237066 w 482793"/>
                              <a:gd name="connsiteY2" fmla="*/ 545 h 826901"/>
                              <a:gd name="connsiteX3" fmla="*/ 414866 w 482793"/>
                              <a:gd name="connsiteY3" fmla="*/ 728677 h 826901"/>
                              <a:gd name="connsiteX4" fmla="*/ 482601 w 482793"/>
                              <a:gd name="connsiteY4" fmla="*/ 779477 h 826901"/>
                              <a:gd name="connsiteX5" fmla="*/ 0 w 482793"/>
                              <a:gd name="connsiteY5" fmla="*/ 826892 h 826901"/>
                              <a:gd name="connsiteX0" fmla="*/ 25400 w 499720"/>
                              <a:gd name="connsiteY0" fmla="*/ 821811 h 830583"/>
                              <a:gd name="connsiteX1" fmla="*/ 120072 w 499720"/>
                              <a:gd name="connsiteY1" fmla="*/ 618948 h 830583"/>
                              <a:gd name="connsiteX2" fmla="*/ 237066 w 499720"/>
                              <a:gd name="connsiteY2" fmla="*/ 545 h 830583"/>
                              <a:gd name="connsiteX3" fmla="*/ 414866 w 499720"/>
                              <a:gd name="connsiteY3" fmla="*/ 728677 h 830583"/>
                              <a:gd name="connsiteX4" fmla="*/ 499534 w 499720"/>
                              <a:gd name="connsiteY4" fmla="*/ 813344 h 830583"/>
                              <a:gd name="connsiteX5" fmla="*/ 0 w 499720"/>
                              <a:gd name="connsiteY5" fmla="*/ 826892 h 830583"/>
                              <a:gd name="connsiteX0" fmla="*/ 8467 w 499720"/>
                              <a:gd name="connsiteY0" fmla="*/ 855678 h 855678"/>
                              <a:gd name="connsiteX1" fmla="*/ 120072 w 499720"/>
                              <a:gd name="connsiteY1" fmla="*/ 618948 h 855678"/>
                              <a:gd name="connsiteX2" fmla="*/ 237066 w 499720"/>
                              <a:gd name="connsiteY2" fmla="*/ 545 h 855678"/>
                              <a:gd name="connsiteX3" fmla="*/ 414866 w 499720"/>
                              <a:gd name="connsiteY3" fmla="*/ 728677 h 855678"/>
                              <a:gd name="connsiteX4" fmla="*/ 499534 w 499720"/>
                              <a:gd name="connsiteY4" fmla="*/ 813344 h 855678"/>
                              <a:gd name="connsiteX5" fmla="*/ 0 w 499720"/>
                              <a:gd name="connsiteY5" fmla="*/ 826892 h 855678"/>
                              <a:gd name="connsiteX0" fmla="*/ 0 w 491256"/>
                              <a:gd name="connsiteY0" fmla="*/ 855678 h 855678"/>
                              <a:gd name="connsiteX1" fmla="*/ 111605 w 491256"/>
                              <a:gd name="connsiteY1" fmla="*/ 618948 h 855678"/>
                              <a:gd name="connsiteX2" fmla="*/ 228599 w 491256"/>
                              <a:gd name="connsiteY2" fmla="*/ 545 h 855678"/>
                              <a:gd name="connsiteX3" fmla="*/ 406399 w 491256"/>
                              <a:gd name="connsiteY3" fmla="*/ 728677 h 855678"/>
                              <a:gd name="connsiteX4" fmla="*/ 491067 w 491256"/>
                              <a:gd name="connsiteY4" fmla="*/ 813344 h 855678"/>
                              <a:gd name="connsiteX5" fmla="*/ 0 w 491256"/>
                              <a:gd name="connsiteY5" fmla="*/ 826892 h 855678"/>
                              <a:gd name="connsiteX0" fmla="*/ 0 w 474329"/>
                              <a:gd name="connsiteY0" fmla="*/ 855678 h 855678"/>
                              <a:gd name="connsiteX1" fmla="*/ 111605 w 474329"/>
                              <a:gd name="connsiteY1" fmla="*/ 618948 h 855678"/>
                              <a:gd name="connsiteX2" fmla="*/ 228599 w 474329"/>
                              <a:gd name="connsiteY2" fmla="*/ 545 h 855678"/>
                              <a:gd name="connsiteX3" fmla="*/ 406399 w 474329"/>
                              <a:gd name="connsiteY3" fmla="*/ 728677 h 855678"/>
                              <a:gd name="connsiteX4" fmla="*/ 474134 w 474329"/>
                              <a:gd name="connsiteY4" fmla="*/ 830277 h 855678"/>
                              <a:gd name="connsiteX5" fmla="*/ 0 w 474329"/>
                              <a:gd name="connsiteY5" fmla="*/ 826892 h 855678"/>
                              <a:gd name="connsiteX0" fmla="*/ 0 w 474333"/>
                              <a:gd name="connsiteY0" fmla="*/ 855678 h 855678"/>
                              <a:gd name="connsiteX1" fmla="*/ 111605 w 474333"/>
                              <a:gd name="connsiteY1" fmla="*/ 618948 h 855678"/>
                              <a:gd name="connsiteX2" fmla="*/ 228599 w 474333"/>
                              <a:gd name="connsiteY2" fmla="*/ 545 h 855678"/>
                              <a:gd name="connsiteX3" fmla="*/ 406399 w 474333"/>
                              <a:gd name="connsiteY3" fmla="*/ 728677 h 855678"/>
                              <a:gd name="connsiteX4" fmla="*/ 474134 w 474333"/>
                              <a:gd name="connsiteY4" fmla="*/ 830277 h 855678"/>
                              <a:gd name="connsiteX5" fmla="*/ 8467 w 474333"/>
                              <a:gd name="connsiteY5" fmla="*/ 818426 h 855678"/>
                              <a:gd name="connsiteX0" fmla="*/ 0 w 474344"/>
                              <a:gd name="connsiteY0" fmla="*/ 855678 h 855678"/>
                              <a:gd name="connsiteX1" fmla="*/ 111605 w 474344"/>
                              <a:gd name="connsiteY1" fmla="*/ 618948 h 855678"/>
                              <a:gd name="connsiteX2" fmla="*/ 228599 w 474344"/>
                              <a:gd name="connsiteY2" fmla="*/ 545 h 855678"/>
                              <a:gd name="connsiteX3" fmla="*/ 406399 w 474344"/>
                              <a:gd name="connsiteY3" fmla="*/ 728677 h 855678"/>
                              <a:gd name="connsiteX4" fmla="*/ 474134 w 474344"/>
                              <a:gd name="connsiteY4" fmla="*/ 830277 h 855678"/>
                              <a:gd name="connsiteX5" fmla="*/ 33867 w 474344"/>
                              <a:gd name="connsiteY5" fmla="*/ 682960 h 855678"/>
                              <a:gd name="connsiteX0" fmla="*/ 0 w 474344"/>
                              <a:gd name="connsiteY0" fmla="*/ 830278 h 842925"/>
                              <a:gd name="connsiteX1" fmla="*/ 111605 w 474344"/>
                              <a:gd name="connsiteY1" fmla="*/ 618948 h 842925"/>
                              <a:gd name="connsiteX2" fmla="*/ 228599 w 474344"/>
                              <a:gd name="connsiteY2" fmla="*/ 545 h 842925"/>
                              <a:gd name="connsiteX3" fmla="*/ 406399 w 474344"/>
                              <a:gd name="connsiteY3" fmla="*/ 728677 h 842925"/>
                              <a:gd name="connsiteX4" fmla="*/ 474134 w 474344"/>
                              <a:gd name="connsiteY4" fmla="*/ 830277 h 842925"/>
                              <a:gd name="connsiteX5" fmla="*/ 33867 w 474344"/>
                              <a:gd name="connsiteY5" fmla="*/ 682960 h 842925"/>
                              <a:gd name="connsiteX0" fmla="*/ 8466 w 482792"/>
                              <a:gd name="connsiteY0" fmla="*/ 830278 h 842925"/>
                              <a:gd name="connsiteX1" fmla="*/ 120071 w 482792"/>
                              <a:gd name="connsiteY1" fmla="*/ 618948 h 842925"/>
                              <a:gd name="connsiteX2" fmla="*/ 237065 w 482792"/>
                              <a:gd name="connsiteY2" fmla="*/ 545 h 842925"/>
                              <a:gd name="connsiteX3" fmla="*/ 414865 w 482792"/>
                              <a:gd name="connsiteY3" fmla="*/ 728677 h 842925"/>
                              <a:gd name="connsiteX4" fmla="*/ 482600 w 482792"/>
                              <a:gd name="connsiteY4" fmla="*/ 830277 h 842925"/>
                              <a:gd name="connsiteX5" fmla="*/ 0 w 482792"/>
                              <a:gd name="connsiteY5" fmla="*/ 818427 h 842925"/>
                              <a:gd name="connsiteX0" fmla="*/ 8466 w 482792"/>
                              <a:gd name="connsiteY0" fmla="*/ 830278 h 830278"/>
                              <a:gd name="connsiteX1" fmla="*/ 120071 w 482792"/>
                              <a:gd name="connsiteY1" fmla="*/ 618948 h 830278"/>
                              <a:gd name="connsiteX2" fmla="*/ 237065 w 482792"/>
                              <a:gd name="connsiteY2" fmla="*/ 545 h 830278"/>
                              <a:gd name="connsiteX3" fmla="*/ 414865 w 482792"/>
                              <a:gd name="connsiteY3" fmla="*/ 728677 h 830278"/>
                              <a:gd name="connsiteX4" fmla="*/ 482600 w 482792"/>
                              <a:gd name="connsiteY4" fmla="*/ 804877 h 830278"/>
                              <a:gd name="connsiteX5" fmla="*/ 0 w 482792"/>
                              <a:gd name="connsiteY5" fmla="*/ 818427 h 830278"/>
                              <a:gd name="connsiteX0" fmla="*/ 8466 w 482792"/>
                              <a:gd name="connsiteY0" fmla="*/ 1041772 h 1041772"/>
                              <a:gd name="connsiteX1" fmla="*/ 120071 w 482792"/>
                              <a:gd name="connsiteY1" fmla="*/ 830442 h 1041772"/>
                              <a:gd name="connsiteX2" fmla="*/ 228598 w 482792"/>
                              <a:gd name="connsiteY2" fmla="*/ 373 h 1041772"/>
                              <a:gd name="connsiteX3" fmla="*/ 414865 w 482792"/>
                              <a:gd name="connsiteY3" fmla="*/ 940171 h 1041772"/>
                              <a:gd name="connsiteX4" fmla="*/ 482600 w 482792"/>
                              <a:gd name="connsiteY4" fmla="*/ 1016371 h 1041772"/>
                              <a:gd name="connsiteX5" fmla="*/ 0 w 482792"/>
                              <a:gd name="connsiteY5" fmla="*/ 1029921 h 1041772"/>
                              <a:gd name="connsiteX0" fmla="*/ 16932 w 491255"/>
                              <a:gd name="connsiteY0" fmla="*/ 1041772 h 1041772"/>
                              <a:gd name="connsiteX1" fmla="*/ 128537 w 491255"/>
                              <a:gd name="connsiteY1" fmla="*/ 830442 h 1041772"/>
                              <a:gd name="connsiteX2" fmla="*/ 237064 w 491255"/>
                              <a:gd name="connsiteY2" fmla="*/ 373 h 1041772"/>
                              <a:gd name="connsiteX3" fmla="*/ 423331 w 491255"/>
                              <a:gd name="connsiteY3" fmla="*/ 940171 h 1041772"/>
                              <a:gd name="connsiteX4" fmla="*/ 491066 w 491255"/>
                              <a:gd name="connsiteY4" fmla="*/ 1016371 h 1041772"/>
                              <a:gd name="connsiteX5" fmla="*/ 0 w 491255"/>
                              <a:gd name="connsiteY5" fmla="*/ 869055 h 1041772"/>
                              <a:gd name="connsiteX0" fmla="*/ 16932 w 491255"/>
                              <a:gd name="connsiteY0" fmla="*/ 1033305 h 1036505"/>
                              <a:gd name="connsiteX1" fmla="*/ 128537 w 491255"/>
                              <a:gd name="connsiteY1" fmla="*/ 830442 h 1036505"/>
                              <a:gd name="connsiteX2" fmla="*/ 237064 w 491255"/>
                              <a:gd name="connsiteY2" fmla="*/ 373 h 1036505"/>
                              <a:gd name="connsiteX3" fmla="*/ 423331 w 491255"/>
                              <a:gd name="connsiteY3" fmla="*/ 940171 h 1036505"/>
                              <a:gd name="connsiteX4" fmla="*/ 491066 w 491255"/>
                              <a:gd name="connsiteY4" fmla="*/ 1016371 h 1036505"/>
                              <a:gd name="connsiteX5" fmla="*/ 0 w 491255"/>
                              <a:gd name="connsiteY5" fmla="*/ 869055 h 1036505"/>
                              <a:gd name="connsiteX0" fmla="*/ 0 w 474329"/>
                              <a:gd name="connsiteY0" fmla="*/ 1033305 h 1036505"/>
                              <a:gd name="connsiteX1" fmla="*/ 111605 w 474329"/>
                              <a:gd name="connsiteY1" fmla="*/ 830442 h 1036505"/>
                              <a:gd name="connsiteX2" fmla="*/ 220132 w 474329"/>
                              <a:gd name="connsiteY2" fmla="*/ 373 h 1036505"/>
                              <a:gd name="connsiteX3" fmla="*/ 406399 w 474329"/>
                              <a:gd name="connsiteY3" fmla="*/ 940171 h 1036505"/>
                              <a:gd name="connsiteX4" fmla="*/ 474134 w 474329"/>
                              <a:gd name="connsiteY4" fmla="*/ 1016371 h 1036505"/>
                              <a:gd name="connsiteX5" fmla="*/ 2 w 474329"/>
                              <a:gd name="connsiteY5" fmla="*/ 1021455 h 1036505"/>
                              <a:gd name="connsiteX0" fmla="*/ 0 w 474329"/>
                              <a:gd name="connsiteY0" fmla="*/ 1033007 h 1036207"/>
                              <a:gd name="connsiteX1" fmla="*/ 94672 w 474329"/>
                              <a:gd name="connsiteY1" fmla="*/ 889410 h 1036207"/>
                              <a:gd name="connsiteX2" fmla="*/ 220132 w 474329"/>
                              <a:gd name="connsiteY2" fmla="*/ 75 h 1036207"/>
                              <a:gd name="connsiteX3" fmla="*/ 406399 w 474329"/>
                              <a:gd name="connsiteY3" fmla="*/ 939873 h 1036207"/>
                              <a:gd name="connsiteX4" fmla="*/ 474134 w 474329"/>
                              <a:gd name="connsiteY4" fmla="*/ 1016073 h 1036207"/>
                              <a:gd name="connsiteX5" fmla="*/ 2 w 474329"/>
                              <a:gd name="connsiteY5" fmla="*/ 1021157 h 1036207"/>
                              <a:gd name="connsiteX0" fmla="*/ 0 w 474329"/>
                              <a:gd name="connsiteY0" fmla="*/ 1032966 h 1032966"/>
                              <a:gd name="connsiteX1" fmla="*/ 94672 w 474329"/>
                              <a:gd name="connsiteY1" fmla="*/ 889369 h 1032966"/>
                              <a:gd name="connsiteX2" fmla="*/ 220132 w 474329"/>
                              <a:gd name="connsiteY2" fmla="*/ 34 h 1032966"/>
                              <a:gd name="connsiteX3" fmla="*/ 380999 w 474329"/>
                              <a:gd name="connsiteY3" fmla="*/ 922898 h 1032966"/>
                              <a:gd name="connsiteX4" fmla="*/ 474134 w 474329"/>
                              <a:gd name="connsiteY4" fmla="*/ 1016032 h 1032966"/>
                              <a:gd name="connsiteX5" fmla="*/ 2 w 474329"/>
                              <a:gd name="connsiteY5" fmla="*/ 1021116 h 1032966"/>
                              <a:gd name="connsiteX0" fmla="*/ 0 w 474329"/>
                              <a:gd name="connsiteY0" fmla="*/ 992702 h 992702"/>
                              <a:gd name="connsiteX1" fmla="*/ 94672 w 474329"/>
                              <a:gd name="connsiteY1" fmla="*/ 849105 h 992702"/>
                              <a:gd name="connsiteX2" fmla="*/ 220132 w 474329"/>
                              <a:gd name="connsiteY2" fmla="*/ 36 h 992702"/>
                              <a:gd name="connsiteX3" fmla="*/ 380999 w 474329"/>
                              <a:gd name="connsiteY3" fmla="*/ 882634 h 992702"/>
                              <a:gd name="connsiteX4" fmla="*/ 474134 w 474329"/>
                              <a:gd name="connsiteY4" fmla="*/ 975768 h 992702"/>
                              <a:gd name="connsiteX5" fmla="*/ 2 w 474329"/>
                              <a:gd name="connsiteY5" fmla="*/ 980852 h 992702"/>
                              <a:gd name="connsiteX0" fmla="*/ 0 w 474329"/>
                              <a:gd name="connsiteY0" fmla="*/ 992687 h 992687"/>
                              <a:gd name="connsiteX1" fmla="*/ 94672 w 474329"/>
                              <a:gd name="connsiteY1" fmla="*/ 849090 h 992687"/>
                              <a:gd name="connsiteX2" fmla="*/ 220132 w 474329"/>
                              <a:gd name="connsiteY2" fmla="*/ 21 h 992687"/>
                              <a:gd name="connsiteX3" fmla="*/ 372532 w 474329"/>
                              <a:gd name="connsiteY3" fmla="*/ 874566 h 992687"/>
                              <a:gd name="connsiteX4" fmla="*/ 474134 w 474329"/>
                              <a:gd name="connsiteY4" fmla="*/ 975753 h 992687"/>
                              <a:gd name="connsiteX5" fmla="*/ 2 w 474329"/>
                              <a:gd name="connsiteY5" fmla="*/ 980837 h 9926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74329" h="992687">
                                <a:moveTo>
                                  <a:pt x="0" y="992687"/>
                                </a:moveTo>
                                <a:cubicBezTo>
                                  <a:pt x="3079" y="963110"/>
                                  <a:pt x="60806" y="980323"/>
                                  <a:pt x="94672" y="849090"/>
                                </a:cubicBezTo>
                                <a:cubicBezTo>
                                  <a:pt x="120071" y="658590"/>
                                  <a:pt x="173822" y="-4225"/>
                                  <a:pt x="220132" y="21"/>
                                </a:cubicBezTo>
                                <a:cubicBezTo>
                                  <a:pt x="266442" y="4267"/>
                                  <a:pt x="286454" y="620566"/>
                                  <a:pt x="372532" y="874566"/>
                                </a:cubicBezTo>
                                <a:cubicBezTo>
                                  <a:pt x="450143" y="1001566"/>
                                  <a:pt x="465667" y="999742"/>
                                  <a:pt x="474134" y="975753"/>
                                </a:cubicBezTo>
                                <a:cubicBezTo>
                                  <a:pt x="485423" y="986478"/>
                                  <a:pt x="5294" y="981542"/>
                                  <a:pt x="2" y="980837"/>
                                </a:cubicBezTo>
                              </a:path>
                            </a:pathLst>
                          </a:custGeom>
                          <a:solidFill>
                            <a:srgbClr val="F47F44">
                              <a:alpha val="80000"/>
                            </a:srgbClr>
                          </a:solidFill>
                          <a:ln w="6350" cap="flat" cmpd="sng" algn="ctr">
                            <a:solidFill>
                              <a:srgbClr val="000000"/>
                            </a:solidFill>
                            <a:prstDash val="solid"/>
                            <a:miter lim="800000"/>
                          </a:ln>
                          <a:effectLst/>
                        </wps:spPr>
                        <wps:bodyPr rtlCol="0" anchor="ctr"/>
                      </wps:wsp>
                      <wps:wsp>
                        <wps:cNvPr id="2209" name="Freeform 2209"/>
                        <wps:cNvSpPr/>
                        <wps:spPr>
                          <a:xfrm>
                            <a:off x="1374996" y="2333924"/>
                            <a:ext cx="1228416" cy="1043672"/>
                          </a:xfrm>
                          <a:custGeom>
                            <a:avLst/>
                            <a:gdLst>
                              <a:gd name="connsiteX0" fmla="*/ 0 w 677333"/>
                              <a:gd name="connsiteY0" fmla="*/ 778948 h 849141"/>
                              <a:gd name="connsiteX1" fmla="*/ 211666 w 677333"/>
                              <a:gd name="connsiteY1" fmla="*/ 15 h 849141"/>
                              <a:gd name="connsiteX2" fmla="*/ 448733 w 677333"/>
                              <a:gd name="connsiteY2" fmla="*/ 795882 h 849141"/>
                              <a:gd name="connsiteX3" fmla="*/ 677333 w 677333"/>
                              <a:gd name="connsiteY3" fmla="*/ 762015 h 849141"/>
                              <a:gd name="connsiteX0" fmla="*/ 0 w 524933"/>
                              <a:gd name="connsiteY0" fmla="*/ 778948 h 853268"/>
                              <a:gd name="connsiteX1" fmla="*/ 211666 w 524933"/>
                              <a:gd name="connsiteY1" fmla="*/ 15 h 853268"/>
                              <a:gd name="connsiteX2" fmla="*/ 448733 w 524933"/>
                              <a:gd name="connsiteY2" fmla="*/ 795882 h 853268"/>
                              <a:gd name="connsiteX3" fmla="*/ 524933 w 524933"/>
                              <a:gd name="connsiteY3" fmla="*/ 778948 h 853268"/>
                              <a:gd name="connsiteX0" fmla="*/ 0 w 508000"/>
                              <a:gd name="connsiteY0" fmla="*/ 778948 h 858044"/>
                              <a:gd name="connsiteX1" fmla="*/ 211666 w 508000"/>
                              <a:gd name="connsiteY1" fmla="*/ 15 h 858044"/>
                              <a:gd name="connsiteX2" fmla="*/ 448733 w 508000"/>
                              <a:gd name="connsiteY2" fmla="*/ 795882 h 858044"/>
                              <a:gd name="connsiteX3" fmla="*/ 508000 w 508000"/>
                              <a:gd name="connsiteY3" fmla="*/ 795881 h 858044"/>
                              <a:gd name="connsiteX0" fmla="*/ 0 w 558800"/>
                              <a:gd name="connsiteY0" fmla="*/ 778948 h 877903"/>
                              <a:gd name="connsiteX1" fmla="*/ 211666 w 558800"/>
                              <a:gd name="connsiteY1" fmla="*/ 15 h 877903"/>
                              <a:gd name="connsiteX2" fmla="*/ 448733 w 558800"/>
                              <a:gd name="connsiteY2" fmla="*/ 795882 h 877903"/>
                              <a:gd name="connsiteX3" fmla="*/ 558800 w 558800"/>
                              <a:gd name="connsiteY3" fmla="*/ 846681 h 877903"/>
                              <a:gd name="connsiteX0" fmla="*/ 0 w 550333"/>
                              <a:gd name="connsiteY0" fmla="*/ 787403 h 877892"/>
                              <a:gd name="connsiteX1" fmla="*/ 203199 w 550333"/>
                              <a:gd name="connsiteY1" fmla="*/ 4 h 877892"/>
                              <a:gd name="connsiteX2" fmla="*/ 440266 w 550333"/>
                              <a:gd name="connsiteY2" fmla="*/ 795871 h 877892"/>
                              <a:gd name="connsiteX3" fmla="*/ 550333 w 550333"/>
                              <a:gd name="connsiteY3" fmla="*/ 846670 h 877892"/>
                              <a:gd name="connsiteX0" fmla="*/ 0 w 550333"/>
                              <a:gd name="connsiteY0" fmla="*/ 787402 h 877891"/>
                              <a:gd name="connsiteX1" fmla="*/ 203199 w 550333"/>
                              <a:gd name="connsiteY1" fmla="*/ 3 h 877891"/>
                              <a:gd name="connsiteX2" fmla="*/ 440266 w 550333"/>
                              <a:gd name="connsiteY2" fmla="*/ 795870 h 877891"/>
                              <a:gd name="connsiteX3" fmla="*/ 550333 w 550333"/>
                              <a:gd name="connsiteY3" fmla="*/ 846669 h 877891"/>
                              <a:gd name="connsiteX0" fmla="*/ 0 w 550333"/>
                              <a:gd name="connsiteY0" fmla="*/ 787485 h 857651"/>
                              <a:gd name="connsiteX1" fmla="*/ 203199 w 550333"/>
                              <a:gd name="connsiteY1" fmla="*/ 86 h 857651"/>
                              <a:gd name="connsiteX2" fmla="*/ 440266 w 550333"/>
                              <a:gd name="connsiteY2" fmla="*/ 736686 h 857651"/>
                              <a:gd name="connsiteX3" fmla="*/ 550333 w 550333"/>
                              <a:gd name="connsiteY3" fmla="*/ 846752 h 857651"/>
                              <a:gd name="connsiteX0" fmla="*/ 0 w 550333"/>
                              <a:gd name="connsiteY0" fmla="*/ 787507 h 857673"/>
                              <a:gd name="connsiteX1" fmla="*/ 203199 w 550333"/>
                              <a:gd name="connsiteY1" fmla="*/ 108 h 857673"/>
                              <a:gd name="connsiteX2" fmla="*/ 440266 w 550333"/>
                              <a:gd name="connsiteY2" fmla="*/ 736708 h 857673"/>
                              <a:gd name="connsiteX3" fmla="*/ 550333 w 550333"/>
                              <a:gd name="connsiteY3" fmla="*/ 846774 h 857673"/>
                              <a:gd name="connsiteX0" fmla="*/ 2308 w 552641"/>
                              <a:gd name="connsiteY0" fmla="*/ 788048 h 858214"/>
                              <a:gd name="connsiteX1" fmla="*/ 20781 w 552641"/>
                              <a:gd name="connsiteY1" fmla="*/ 610586 h 858214"/>
                              <a:gd name="connsiteX2" fmla="*/ 205507 w 552641"/>
                              <a:gd name="connsiteY2" fmla="*/ 649 h 858214"/>
                              <a:gd name="connsiteX3" fmla="*/ 442574 w 552641"/>
                              <a:gd name="connsiteY3" fmla="*/ 737249 h 858214"/>
                              <a:gd name="connsiteX4" fmla="*/ 552641 w 552641"/>
                              <a:gd name="connsiteY4" fmla="*/ 847315 h 858214"/>
                              <a:gd name="connsiteX0" fmla="*/ 2308 w 552641"/>
                              <a:gd name="connsiteY0" fmla="*/ 788131 h 858297"/>
                              <a:gd name="connsiteX1" fmla="*/ 20781 w 552641"/>
                              <a:gd name="connsiteY1" fmla="*/ 610669 h 858297"/>
                              <a:gd name="connsiteX2" fmla="*/ 205507 w 552641"/>
                              <a:gd name="connsiteY2" fmla="*/ 732 h 858297"/>
                              <a:gd name="connsiteX3" fmla="*/ 442574 w 552641"/>
                              <a:gd name="connsiteY3" fmla="*/ 737332 h 858297"/>
                              <a:gd name="connsiteX4" fmla="*/ 552641 w 552641"/>
                              <a:gd name="connsiteY4" fmla="*/ 847398 h 858297"/>
                              <a:gd name="connsiteX0" fmla="*/ 13229 w 563562"/>
                              <a:gd name="connsiteY0" fmla="*/ 787403 h 857569"/>
                              <a:gd name="connsiteX1" fmla="*/ 14768 w 563562"/>
                              <a:gd name="connsiteY1" fmla="*/ 745408 h 857569"/>
                              <a:gd name="connsiteX2" fmla="*/ 216428 w 563562"/>
                              <a:gd name="connsiteY2" fmla="*/ 4 h 857569"/>
                              <a:gd name="connsiteX3" fmla="*/ 453495 w 563562"/>
                              <a:gd name="connsiteY3" fmla="*/ 736604 h 857569"/>
                              <a:gd name="connsiteX4" fmla="*/ 563562 w 563562"/>
                              <a:gd name="connsiteY4" fmla="*/ 846670 h 857569"/>
                              <a:gd name="connsiteX0" fmla="*/ 0 w 592666"/>
                              <a:gd name="connsiteY0" fmla="*/ 863603 h 863603"/>
                              <a:gd name="connsiteX1" fmla="*/ 43872 w 592666"/>
                              <a:gd name="connsiteY1" fmla="*/ 745408 h 863603"/>
                              <a:gd name="connsiteX2" fmla="*/ 245532 w 592666"/>
                              <a:gd name="connsiteY2" fmla="*/ 4 h 863603"/>
                              <a:gd name="connsiteX3" fmla="*/ 482599 w 592666"/>
                              <a:gd name="connsiteY3" fmla="*/ 736604 h 863603"/>
                              <a:gd name="connsiteX4" fmla="*/ 592666 w 592666"/>
                              <a:gd name="connsiteY4" fmla="*/ 846670 h 863603"/>
                              <a:gd name="connsiteX0" fmla="*/ 0 w 592666"/>
                              <a:gd name="connsiteY0" fmla="*/ 863628 h 863628"/>
                              <a:gd name="connsiteX1" fmla="*/ 43872 w 592666"/>
                              <a:gd name="connsiteY1" fmla="*/ 745433 h 863628"/>
                              <a:gd name="connsiteX2" fmla="*/ 245532 w 592666"/>
                              <a:gd name="connsiteY2" fmla="*/ 29 h 863628"/>
                              <a:gd name="connsiteX3" fmla="*/ 372532 w 592666"/>
                              <a:gd name="connsiteY3" fmla="*/ 719695 h 863628"/>
                              <a:gd name="connsiteX4" fmla="*/ 592666 w 592666"/>
                              <a:gd name="connsiteY4" fmla="*/ 846695 h 863628"/>
                              <a:gd name="connsiteX0" fmla="*/ 0 w 592666"/>
                              <a:gd name="connsiteY0" fmla="*/ 863914 h 863914"/>
                              <a:gd name="connsiteX1" fmla="*/ 120072 w 592666"/>
                              <a:gd name="connsiteY1" fmla="*/ 635652 h 863914"/>
                              <a:gd name="connsiteX2" fmla="*/ 245532 w 592666"/>
                              <a:gd name="connsiteY2" fmla="*/ 315 h 863914"/>
                              <a:gd name="connsiteX3" fmla="*/ 372532 w 592666"/>
                              <a:gd name="connsiteY3" fmla="*/ 719981 h 863914"/>
                              <a:gd name="connsiteX4" fmla="*/ 592666 w 592666"/>
                              <a:gd name="connsiteY4" fmla="*/ 846981 h 863914"/>
                              <a:gd name="connsiteX0" fmla="*/ 0 w 601133"/>
                              <a:gd name="connsiteY0" fmla="*/ 846981 h 855261"/>
                              <a:gd name="connsiteX1" fmla="*/ 128539 w 601133"/>
                              <a:gd name="connsiteY1" fmla="*/ 635652 h 855261"/>
                              <a:gd name="connsiteX2" fmla="*/ 253999 w 601133"/>
                              <a:gd name="connsiteY2" fmla="*/ 315 h 855261"/>
                              <a:gd name="connsiteX3" fmla="*/ 380999 w 601133"/>
                              <a:gd name="connsiteY3" fmla="*/ 719981 h 855261"/>
                              <a:gd name="connsiteX4" fmla="*/ 601133 w 601133"/>
                              <a:gd name="connsiteY4" fmla="*/ 846981 h 855261"/>
                              <a:gd name="connsiteX0" fmla="*/ 0 w 491067"/>
                              <a:gd name="connsiteY0" fmla="*/ 846981 h 846981"/>
                              <a:gd name="connsiteX1" fmla="*/ 128539 w 491067"/>
                              <a:gd name="connsiteY1" fmla="*/ 635652 h 846981"/>
                              <a:gd name="connsiteX2" fmla="*/ 253999 w 491067"/>
                              <a:gd name="connsiteY2" fmla="*/ 315 h 846981"/>
                              <a:gd name="connsiteX3" fmla="*/ 380999 w 491067"/>
                              <a:gd name="connsiteY3" fmla="*/ 719981 h 846981"/>
                              <a:gd name="connsiteX4" fmla="*/ 491067 w 491067"/>
                              <a:gd name="connsiteY4" fmla="*/ 779248 h 846981"/>
                              <a:gd name="connsiteX0" fmla="*/ 0 w 491067"/>
                              <a:gd name="connsiteY0" fmla="*/ 847053 h 847053"/>
                              <a:gd name="connsiteX1" fmla="*/ 111605 w 491067"/>
                              <a:gd name="connsiteY1" fmla="*/ 627257 h 847053"/>
                              <a:gd name="connsiteX2" fmla="*/ 253999 w 491067"/>
                              <a:gd name="connsiteY2" fmla="*/ 387 h 847053"/>
                              <a:gd name="connsiteX3" fmla="*/ 380999 w 491067"/>
                              <a:gd name="connsiteY3" fmla="*/ 720053 h 847053"/>
                              <a:gd name="connsiteX4" fmla="*/ 491067 w 491067"/>
                              <a:gd name="connsiteY4" fmla="*/ 779320 h 847053"/>
                              <a:gd name="connsiteX0" fmla="*/ 0 w 491067"/>
                              <a:gd name="connsiteY0" fmla="*/ 838594 h 838594"/>
                              <a:gd name="connsiteX1" fmla="*/ 111605 w 491067"/>
                              <a:gd name="connsiteY1" fmla="*/ 618798 h 838594"/>
                              <a:gd name="connsiteX2" fmla="*/ 228599 w 491067"/>
                              <a:gd name="connsiteY2" fmla="*/ 395 h 838594"/>
                              <a:gd name="connsiteX3" fmla="*/ 380999 w 491067"/>
                              <a:gd name="connsiteY3" fmla="*/ 711594 h 838594"/>
                              <a:gd name="connsiteX4" fmla="*/ 491067 w 491067"/>
                              <a:gd name="connsiteY4" fmla="*/ 770861 h 838594"/>
                              <a:gd name="connsiteX0" fmla="*/ 0 w 474134"/>
                              <a:gd name="connsiteY0" fmla="*/ 838594 h 838594"/>
                              <a:gd name="connsiteX1" fmla="*/ 111605 w 474134"/>
                              <a:gd name="connsiteY1" fmla="*/ 618798 h 838594"/>
                              <a:gd name="connsiteX2" fmla="*/ 228599 w 474134"/>
                              <a:gd name="connsiteY2" fmla="*/ 395 h 838594"/>
                              <a:gd name="connsiteX3" fmla="*/ 380999 w 474134"/>
                              <a:gd name="connsiteY3" fmla="*/ 711594 h 838594"/>
                              <a:gd name="connsiteX4" fmla="*/ 474134 w 474134"/>
                              <a:gd name="connsiteY4" fmla="*/ 779327 h 838594"/>
                              <a:gd name="connsiteX0" fmla="*/ 0 w 457201"/>
                              <a:gd name="connsiteY0" fmla="*/ 821661 h 821661"/>
                              <a:gd name="connsiteX1" fmla="*/ 94672 w 457201"/>
                              <a:gd name="connsiteY1" fmla="*/ 618798 h 821661"/>
                              <a:gd name="connsiteX2" fmla="*/ 211666 w 457201"/>
                              <a:gd name="connsiteY2" fmla="*/ 395 h 821661"/>
                              <a:gd name="connsiteX3" fmla="*/ 364066 w 457201"/>
                              <a:gd name="connsiteY3" fmla="*/ 711594 h 821661"/>
                              <a:gd name="connsiteX4" fmla="*/ 457201 w 457201"/>
                              <a:gd name="connsiteY4" fmla="*/ 779327 h 821661"/>
                              <a:gd name="connsiteX0" fmla="*/ 0 w 459631"/>
                              <a:gd name="connsiteY0" fmla="*/ 821661 h 821661"/>
                              <a:gd name="connsiteX1" fmla="*/ 94672 w 459631"/>
                              <a:gd name="connsiteY1" fmla="*/ 618798 h 821661"/>
                              <a:gd name="connsiteX2" fmla="*/ 211666 w 459631"/>
                              <a:gd name="connsiteY2" fmla="*/ 395 h 821661"/>
                              <a:gd name="connsiteX3" fmla="*/ 364066 w 459631"/>
                              <a:gd name="connsiteY3" fmla="*/ 711594 h 821661"/>
                              <a:gd name="connsiteX4" fmla="*/ 457201 w 459631"/>
                              <a:gd name="connsiteY4" fmla="*/ 779327 h 821661"/>
                              <a:gd name="connsiteX5" fmla="*/ 431800 w 459631"/>
                              <a:gd name="connsiteY5" fmla="*/ 775942 h 821661"/>
                              <a:gd name="connsiteX0" fmla="*/ 25400 w 482793"/>
                              <a:gd name="connsiteY0" fmla="*/ 821661 h 826751"/>
                              <a:gd name="connsiteX1" fmla="*/ 120072 w 482793"/>
                              <a:gd name="connsiteY1" fmla="*/ 618798 h 826751"/>
                              <a:gd name="connsiteX2" fmla="*/ 237066 w 482793"/>
                              <a:gd name="connsiteY2" fmla="*/ 395 h 826751"/>
                              <a:gd name="connsiteX3" fmla="*/ 389466 w 482793"/>
                              <a:gd name="connsiteY3" fmla="*/ 711594 h 826751"/>
                              <a:gd name="connsiteX4" fmla="*/ 482601 w 482793"/>
                              <a:gd name="connsiteY4" fmla="*/ 779327 h 826751"/>
                              <a:gd name="connsiteX5" fmla="*/ 0 w 482793"/>
                              <a:gd name="connsiteY5" fmla="*/ 826742 h 826751"/>
                              <a:gd name="connsiteX0" fmla="*/ 25400 w 482793"/>
                              <a:gd name="connsiteY0" fmla="*/ 821661 h 826751"/>
                              <a:gd name="connsiteX1" fmla="*/ 120072 w 482793"/>
                              <a:gd name="connsiteY1" fmla="*/ 618798 h 826751"/>
                              <a:gd name="connsiteX2" fmla="*/ 237066 w 482793"/>
                              <a:gd name="connsiteY2" fmla="*/ 395 h 826751"/>
                              <a:gd name="connsiteX3" fmla="*/ 389466 w 482793"/>
                              <a:gd name="connsiteY3" fmla="*/ 711594 h 826751"/>
                              <a:gd name="connsiteX4" fmla="*/ 482601 w 482793"/>
                              <a:gd name="connsiteY4" fmla="*/ 779327 h 826751"/>
                              <a:gd name="connsiteX5" fmla="*/ 0 w 482793"/>
                              <a:gd name="connsiteY5" fmla="*/ 826742 h 826751"/>
                              <a:gd name="connsiteX0" fmla="*/ 25400 w 482793"/>
                              <a:gd name="connsiteY0" fmla="*/ 821811 h 826901"/>
                              <a:gd name="connsiteX1" fmla="*/ 120072 w 482793"/>
                              <a:gd name="connsiteY1" fmla="*/ 618948 h 826901"/>
                              <a:gd name="connsiteX2" fmla="*/ 237066 w 482793"/>
                              <a:gd name="connsiteY2" fmla="*/ 545 h 826901"/>
                              <a:gd name="connsiteX3" fmla="*/ 414866 w 482793"/>
                              <a:gd name="connsiteY3" fmla="*/ 728677 h 826901"/>
                              <a:gd name="connsiteX4" fmla="*/ 482601 w 482793"/>
                              <a:gd name="connsiteY4" fmla="*/ 779477 h 826901"/>
                              <a:gd name="connsiteX5" fmla="*/ 0 w 482793"/>
                              <a:gd name="connsiteY5" fmla="*/ 826892 h 826901"/>
                              <a:gd name="connsiteX0" fmla="*/ 25400 w 499720"/>
                              <a:gd name="connsiteY0" fmla="*/ 821811 h 830583"/>
                              <a:gd name="connsiteX1" fmla="*/ 120072 w 499720"/>
                              <a:gd name="connsiteY1" fmla="*/ 618948 h 830583"/>
                              <a:gd name="connsiteX2" fmla="*/ 237066 w 499720"/>
                              <a:gd name="connsiteY2" fmla="*/ 545 h 830583"/>
                              <a:gd name="connsiteX3" fmla="*/ 414866 w 499720"/>
                              <a:gd name="connsiteY3" fmla="*/ 728677 h 830583"/>
                              <a:gd name="connsiteX4" fmla="*/ 499534 w 499720"/>
                              <a:gd name="connsiteY4" fmla="*/ 813344 h 830583"/>
                              <a:gd name="connsiteX5" fmla="*/ 0 w 499720"/>
                              <a:gd name="connsiteY5" fmla="*/ 826892 h 830583"/>
                              <a:gd name="connsiteX0" fmla="*/ 8467 w 499720"/>
                              <a:gd name="connsiteY0" fmla="*/ 855678 h 855678"/>
                              <a:gd name="connsiteX1" fmla="*/ 120072 w 499720"/>
                              <a:gd name="connsiteY1" fmla="*/ 618948 h 855678"/>
                              <a:gd name="connsiteX2" fmla="*/ 237066 w 499720"/>
                              <a:gd name="connsiteY2" fmla="*/ 545 h 855678"/>
                              <a:gd name="connsiteX3" fmla="*/ 414866 w 499720"/>
                              <a:gd name="connsiteY3" fmla="*/ 728677 h 855678"/>
                              <a:gd name="connsiteX4" fmla="*/ 499534 w 499720"/>
                              <a:gd name="connsiteY4" fmla="*/ 813344 h 855678"/>
                              <a:gd name="connsiteX5" fmla="*/ 0 w 499720"/>
                              <a:gd name="connsiteY5" fmla="*/ 826892 h 855678"/>
                              <a:gd name="connsiteX0" fmla="*/ 0 w 491256"/>
                              <a:gd name="connsiteY0" fmla="*/ 855678 h 855678"/>
                              <a:gd name="connsiteX1" fmla="*/ 111605 w 491256"/>
                              <a:gd name="connsiteY1" fmla="*/ 618948 h 855678"/>
                              <a:gd name="connsiteX2" fmla="*/ 228599 w 491256"/>
                              <a:gd name="connsiteY2" fmla="*/ 545 h 855678"/>
                              <a:gd name="connsiteX3" fmla="*/ 406399 w 491256"/>
                              <a:gd name="connsiteY3" fmla="*/ 728677 h 855678"/>
                              <a:gd name="connsiteX4" fmla="*/ 491067 w 491256"/>
                              <a:gd name="connsiteY4" fmla="*/ 813344 h 855678"/>
                              <a:gd name="connsiteX5" fmla="*/ 0 w 491256"/>
                              <a:gd name="connsiteY5" fmla="*/ 826892 h 855678"/>
                              <a:gd name="connsiteX0" fmla="*/ 0 w 474329"/>
                              <a:gd name="connsiteY0" fmla="*/ 855678 h 855678"/>
                              <a:gd name="connsiteX1" fmla="*/ 111605 w 474329"/>
                              <a:gd name="connsiteY1" fmla="*/ 618948 h 855678"/>
                              <a:gd name="connsiteX2" fmla="*/ 228599 w 474329"/>
                              <a:gd name="connsiteY2" fmla="*/ 545 h 855678"/>
                              <a:gd name="connsiteX3" fmla="*/ 406399 w 474329"/>
                              <a:gd name="connsiteY3" fmla="*/ 728677 h 855678"/>
                              <a:gd name="connsiteX4" fmla="*/ 474134 w 474329"/>
                              <a:gd name="connsiteY4" fmla="*/ 830277 h 855678"/>
                              <a:gd name="connsiteX5" fmla="*/ 0 w 474329"/>
                              <a:gd name="connsiteY5" fmla="*/ 826892 h 855678"/>
                              <a:gd name="connsiteX0" fmla="*/ 0 w 474333"/>
                              <a:gd name="connsiteY0" fmla="*/ 855678 h 855678"/>
                              <a:gd name="connsiteX1" fmla="*/ 111605 w 474333"/>
                              <a:gd name="connsiteY1" fmla="*/ 618948 h 855678"/>
                              <a:gd name="connsiteX2" fmla="*/ 228599 w 474333"/>
                              <a:gd name="connsiteY2" fmla="*/ 545 h 855678"/>
                              <a:gd name="connsiteX3" fmla="*/ 406399 w 474333"/>
                              <a:gd name="connsiteY3" fmla="*/ 728677 h 855678"/>
                              <a:gd name="connsiteX4" fmla="*/ 474134 w 474333"/>
                              <a:gd name="connsiteY4" fmla="*/ 830277 h 855678"/>
                              <a:gd name="connsiteX5" fmla="*/ 8467 w 474333"/>
                              <a:gd name="connsiteY5" fmla="*/ 818426 h 855678"/>
                              <a:gd name="connsiteX0" fmla="*/ 0 w 474344"/>
                              <a:gd name="connsiteY0" fmla="*/ 855678 h 855678"/>
                              <a:gd name="connsiteX1" fmla="*/ 111605 w 474344"/>
                              <a:gd name="connsiteY1" fmla="*/ 618948 h 855678"/>
                              <a:gd name="connsiteX2" fmla="*/ 228599 w 474344"/>
                              <a:gd name="connsiteY2" fmla="*/ 545 h 855678"/>
                              <a:gd name="connsiteX3" fmla="*/ 406399 w 474344"/>
                              <a:gd name="connsiteY3" fmla="*/ 728677 h 855678"/>
                              <a:gd name="connsiteX4" fmla="*/ 474134 w 474344"/>
                              <a:gd name="connsiteY4" fmla="*/ 830277 h 855678"/>
                              <a:gd name="connsiteX5" fmla="*/ 33867 w 474344"/>
                              <a:gd name="connsiteY5" fmla="*/ 682960 h 855678"/>
                              <a:gd name="connsiteX0" fmla="*/ 0 w 474344"/>
                              <a:gd name="connsiteY0" fmla="*/ 830278 h 842925"/>
                              <a:gd name="connsiteX1" fmla="*/ 111605 w 474344"/>
                              <a:gd name="connsiteY1" fmla="*/ 618948 h 842925"/>
                              <a:gd name="connsiteX2" fmla="*/ 228599 w 474344"/>
                              <a:gd name="connsiteY2" fmla="*/ 545 h 842925"/>
                              <a:gd name="connsiteX3" fmla="*/ 406399 w 474344"/>
                              <a:gd name="connsiteY3" fmla="*/ 728677 h 842925"/>
                              <a:gd name="connsiteX4" fmla="*/ 474134 w 474344"/>
                              <a:gd name="connsiteY4" fmla="*/ 830277 h 842925"/>
                              <a:gd name="connsiteX5" fmla="*/ 33867 w 474344"/>
                              <a:gd name="connsiteY5" fmla="*/ 682960 h 842925"/>
                              <a:gd name="connsiteX0" fmla="*/ 8466 w 482792"/>
                              <a:gd name="connsiteY0" fmla="*/ 830278 h 842925"/>
                              <a:gd name="connsiteX1" fmla="*/ 120071 w 482792"/>
                              <a:gd name="connsiteY1" fmla="*/ 618948 h 842925"/>
                              <a:gd name="connsiteX2" fmla="*/ 237065 w 482792"/>
                              <a:gd name="connsiteY2" fmla="*/ 545 h 842925"/>
                              <a:gd name="connsiteX3" fmla="*/ 414865 w 482792"/>
                              <a:gd name="connsiteY3" fmla="*/ 728677 h 842925"/>
                              <a:gd name="connsiteX4" fmla="*/ 482600 w 482792"/>
                              <a:gd name="connsiteY4" fmla="*/ 830277 h 842925"/>
                              <a:gd name="connsiteX5" fmla="*/ 0 w 482792"/>
                              <a:gd name="connsiteY5" fmla="*/ 818427 h 842925"/>
                              <a:gd name="connsiteX0" fmla="*/ 8466 w 482792"/>
                              <a:gd name="connsiteY0" fmla="*/ 830278 h 830278"/>
                              <a:gd name="connsiteX1" fmla="*/ 120071 w 482792"/>
                              <a:gd name="connsiteY1" fmla="*/ 618948 h 830278"/>
                              <a:gd name="connsiteX2" fmla="*/ 237065 w 482792"/>
                              <a:gd name="connsiteY2" fmla="*/ 545 h 830278"/>
                              <a:gd name="connsiteX3" fmla="*/ 414865 w 482792"/>
                              <a:gd name="connsiteY3" fmla="*/ 728677 h 830278"/>
                              <a:gd name="connsiteX4" fmla="*/ 482600 w 482792"/>
                              <a:gd name="connsiteY4" fmla="*/ 804877 h 830278"/>
                              <a:gd name="connsiteX5" fmla="*/ 0 w 482792"/>
                              <a:gd name="connsiteY5" fmla="*/ 818427 h 830278"/>
                              <a:gd name="connsiteX0" fmla="*/ 8466 w 482792"/>
                              <a:gd name="connsiteY0" fmla="*/ 1041772 h 1041772"/>
                              <a:gd name="connsiteX1" fmla="*/ 120071 w 482792"/>
                              <a:gd name="connsiteY1" fmla="*/ 830442 h 1041772"/>
                              <a:gd name="connsiteX2" fmla="*/ 228598 w 482792"/>
                              <a:gd name="connsiteY2" fmla="*/ 373 h 1041772"/>
                              <a:gd name="connsiteX3" fmla="*/ 414865 w 482792"/>
                              <a:gd name="connsiteY3" fmla="*/ 940171 h 1041772"/>
                              <a:gd name="connsiteX4" fmla="*/ 482600 w 482792"/>
                              <a:gd name="connsiteY4" fmla="*/ 1016371 h 1041772"/>
                              <a:gd name="connsiteX5" fmla="*/ 0 w 482792"/>
                              <a:gd name="connsiteY5" fmla="*/ 1029921 h 1041772"/>
                              <a:gd name="connsiteX0" fmla="*/ 16932 w 491255"/>
                              <a:gd name="connsiteY0" fmla="*/ 1041772 h 1041772"/>
                              <a:gd name="connsiteX1" fmla="*/ 128537 w 491255"/>
                              <a:gd name="connsiteY1" fmla="*/ 830442 h 1041772"/>
                              <a:gd name="connsiteX2" fmla="*/ 237064 w 491255"/>
                              <a:gd name="connsiteY2" fmla="*/ 373 h 1041772"/>
                              <a:gd name="connsiteX3" fmla="*/ 423331 w 491255"/>
                              <a:gd name="connsiteY3" fmla="*/ 940171 h 1041772"/>
                              <a:gd name="connsiteX4" fmla="*/ 491066 w 491255"/>
                              <a:gd name="connsiteY4" fmla="*/ 1016371 h 1041772"/>
                              <a:gd name="connsiteX5" fmla="*/ 0 w 491255"/>
                              <a:gd name="connsiteY5" fmla="*/ 869055 h 1041772"/>
                              <a:gd name="connsiteX0" fmla="*/ 16932 w 491255"/>
                              <a:gd name="connsiteY0" fmla="*/ 1033305 h 1036505"/>
                              <a:gd name="connsiteX1" fmla="*/ 128537 w 491255"/>
                              <a:gd name="connsiteY1" fmla="*/ 830442 h 1036505"/>
                              <a:gd name="connsiteX2" fmla="*/ 237064 w 491255"/>
                              <a:gd name="connsiteY2" fmla="*/ 373 h 1036505"/>
                              <a:gd name="connsiteX3" fmla="*/ 423331 w 491255"/>
                              <a:gd name="connsiteY3" fmla="*/ 940171 h 1036505"/>
                              <a:gd name="connsiteX4" fmla="*/ 491066 w 491255"/>
                              <a:gd name="connsiteY4" fmla="*/ 1016371 h 1036505"/>
                              <a:gd name="connsiteX5" fmla="*/ 0 w 491255"/>
                              <a:gd name="connsiteY5" fmla="*/ 869055 h 1036505"/>
                              <a:gd name="connsiteX0" fmla="*/ 0 w 474329"/>
                              <a:gd name="connsiteY0" fmla="*/ 1033305 h 1036505"/>
                              <a:gd name="connsiteX1" fmla="*/ 111605 w 474329"/>
                              <a:gd name="connsiteY1" fmla="*/ 830442 h 1036505"/>
                              <a:gd name="connsiteX2" fmla="*/ 220132 w 474329"/>
                              <a:gd name="connsiteY2" fmla="*/ 373 h 1036505"/>
                              <a:gd name="connsiteX3" fmla="*/ 406399 w 474329"/>
                              <a:gd name="connsiteY3" fmla="*/ 940171 h 1036505"/>
                              <a:gd name="connsiteX4" fmla="*/ 474134 w 474329"/>
                              <a:gd name="connsiteY4" fmla="*/ 1016371 h 1036505"/>
                              <a:gd name="connsiteX5" fmla="*/ 2 w 474329"/>
                              <a:gd name="connsiteY5" fmla="*/ 1021455 h 1036505"/>
                              <a:gd name="connsiteX0" fmla="*/ 0 w 474329"/>
                              <a:gd name="connsiteY0" fmla="*/ 1033007 h 1036207"/>
                              <a:gd name="connsiteX1" fmla="*/ 94672 w 474329"/>
                              <a:gd name="connsiteY1" fmla="*/ 889410 h 1036207"/>
                              <a:gd name="connsiteX2" fmla="*/ 220132 w 474329"/>
                              <a:gd name="connsiteY2" fmla="*/ 75 h 1036207"/>
                              <a:gd name="connsiteX3" fmla="*/ 406399 w 474329"/>
                              <a:gd name="connsiteY3" fmla="*/ 939873 h 1036207"/>
                              <a:gd name="connsiteX4" fmla="*/ 474134 w 474329"/>
                              <a:gd name="connsiteY4" fmla="*/ 1016073 h 1036207"/>
                              <a:gd name="connsiteX5" fmla="*/ 2 w 474329"/>
                              <a:gd name="connsiteY5" fmla="*/ 1021157 h 1036207"/>
                              <a:gd name="connsiteX0" fmla="*/ 0 w 474329"/>
                              <a:gd name="connsiteY0" fmla="*/ 1032966 h 1032966"/>
                              <a:gd name="connsiteX1" fmla="*/ 94672 w 474329"/>
                              <a:gd name="connsiteY1" fmla="*/ 889369 h 1032966"/>
                              <a:gd name="connsiteX2" fmla="*/ 220132 w 474329"/>
                              <a:gd name="connsiteY2" fmla="*/ 34 h 1032966"/>
                              <a:gd name="connsiteX3" fmla="*/ 380999 w 474329"/>
                              <a:gd name="connsiteY3" fmla="*/ 922898 h 1032966"/>
                              <a:gd name="connsiteX4" fmla="*/ 474134 w 474329"/>
                              <a:gd name="connsiteY4" fmla="*/ 1016032 h 1032966"/>
                              <a:gd name="connsiteX5" fmla="*/ 2 w 474329"/>
                              <a:gd name="connsiteY5" fmla="*/ 1021116 h 1032966"/>
                              <a:gd name="connsiteX0" fmla="*/ 0 w 474329"/>
                              <a:gd name="connsiteY0" fmla="*/ 992702 h 992702"/>
                              <a:gd name="connsiteX1" fmla="*/ 94672 w 474329"/>
                              <a:gd name="connsiteY1" fmla="*/ 849105 h 992702"/>
                              <a:gd name="connsiteX2" fmla="*/ 220132 w 474329"/>
                              <a:gd name="connsiteY2" fmla="*/ 36 h 992702"/>
                              <a:gd name="connsiteX3" fmla="*/ 380999 w 474329"/>
                              <a:gd name="connsiteY3" fmla="*/ 882634 h 992702"/>
                              <a:gd name="connsiteX4" fmla="*/ 474134 w 474329"/>
                              <a:gd name="connsiteY4" fmla="*/ 975768 h 992702"/>
                              <a:gd name="connsiteX5" fmla="*/ 2 w 474329"/>
                              <a:gd name="connsiteY5" fmla="*/ 980852 h 992702"/>
                              <a:gd name="connsiteX0" fmla="*/ 0 w 474329"/>
                              <a:gd name="connsiteY0" fmla="*/ 992687 h 992687"/>
                              <a:gd name="connsiteX1" fmla="*/ 94672 w 474329"/>
                              <a:gd name="connsiteY1" fmla="*/ 849090 h 992687"/>
                              <a:gd name="connsiteX2" fmla="*/ 220132 w 474329"/>
                              <a:gd name="connsiteY2" fmla="*/ 21 h 992687"/>
                              <a:gd name="connsiteX3" fmla="*/ 372532 w 474329"/>
                              <a:gd name="connsiteY3" fmla="*/ 874566 h 992687"/>
                              <a:gd name="connsiteX4" fmla="*/ 474134 w 474329"/>
                              <a:gd name="connsiteY4" fmla="*/ 975753 h 992687"/>
                              <a:gd name="connsiteX5" fmla="*/ 2 w 474329"/>
                              <a:gd name="connsiteY5" fmla="*/ 980837 h 9926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74329" h="992687">
                                <a:moveTo>
                                  <a:pt x="0" y="992687"/>
                                </a:moveTo>
                                <a:cubicBezTo>
                                  <a:pt x="3079" y="963110"/>
                                  <a:pt x="60806" y="980323"/>
                                  <a:pt x="94672" y="849090"/>
                                </a:cubicBezTo>
                                <a:cubicBezTo>
                                  <a:pt x="120071" y="658590"/>
                                  <a:pt x="173822" y="-4225"/>
                                  <a:pt x="220132" y="21"/>
                                </a:cubicBezTo>
                                <a:cubicBezTo>
                                  <a:pt x="266442" y="4267"/>
                                  <a:pt x="286454" y="620566"/>
                                  <a:pt x="372532" y="874566"/>
                                </a:cubicBezTo>
                                <a:cubicBezTo>
                                  <a:pt x="450143" y="1001566"/>
                                  <a:pt x="465667" y="999742"/>
                                  <a:pt x="474134" y="975753"/>
                                </a:cubicBezTo>
                                <a:cubicBezTo>
                                  <a:pt x="485423" y="986478"/>
                                  <a:pt x="5294" y="981542"/>
                                  <a:pt x="2" y="980837"/>
                                </a:cubicBezTo>
                              </a:path>
                            </a:pathLst>
                          </a:custGeom>
                          <a:solidFill>
                            <a:srgbClr val="F47F44">
                              <a:alpha val="80000"/>
                            </a:srgbClr>
                          </a:solidFill>
                          <a:ln w="6350" cap="flat" cmpd="sng" algn="ctr">
                            <a:solidFill>
                              <a:srgbClr val="000000"/>
                            </a:solidFill>
                            <a:prstDash val="solid"/>
                            <a:miter lim="800000"/>
                          </a:ln>
                          <a:effectLst/>
                        </wps:spPr>
                        <wps:bodyPr rtlCol="0" anchor="ctr"/>
                      </wps:wsp>
                      <wps:wsp>
                        <wps:cNvPr id="2210" name="TextBox 132"/>
                        <wps:cNvSpPr txBox="1"/>
                        <wps:spPr>
                          <a:xfrm>
                            <a:off x="117983" y="3377900"/>
                            <a:ext cx="201855" cy="196473"/>
                          </a:xfrm>
                          <a:prstGeom prst="rect">
                            <a:avLst/>
                          </a:prstGeom>
                          <a:noFill/>
                        </wps:spPr>
                        <wps:txbx>
                          <w:txbxContent>
                            <w:p w14:paraId="6B798A73" w14:textId="77777777" w:rsidR="00FF2BE4" w:rsidRDefault="00FF2BE4" w:rsidP="00FF2BE4">
                              <w:pPr>
                                <w:textAlignment w:val="baseline"/>
                                <w:rPr>
                                  <w:rFonts w:ascii="Arial" w:hAnsi="Arial" w:cs="Arial"/>
                                  <w:color w:val="000000"/>
                                  <w:sz w:val="16"/>
                                  <w:szCs w:val="16"/>
                                </w:rPr>
                              </w:pPr>
                              <w:r>
                                <w:rPr>
                                  <w:rFonts w:ascii="Arial" w:hAnsi="Arial" w:cs="Arial"/>
                                  <w:color w:val="000000"/>
                                  <w:sz w:val="16"/>
                                  <w:szCs w:val="16"/>
                                </w:rPr>
                                <w:t>0</w:t>
                              </w:r>
                            </w:p>
                          </w:txbxContent>
                        </wps:txbx>
                        <wps:bodyPr wrap="square" rtlCol="0">
                          <a:noAutofit/>
                        </wps:bodyPr>
                      </wps:wsp>
                      <wps:wsp>
                        <wps:cNvPr id="2211" name="TextBox 133"/>
                        <wps:cNvSpPr txBox="1"/>
                        <wps:spPr>
                          <a:xfrm>
                            <a:off x="600575" y="3377900"/>
                            <a:ext cx="201855" cy="196473"/>
                          </a:xfrm>
                          <a:prstGeom prst="rect">
                            <a:avLst/>
                          </a:prstGeom>
                          <a:noFill/>
                        </wps:spPr>
                        <wps:txbx>
                          <w:txbxContent>
                            <w:p w14:paraId="30C14F5F" w14:textId="77777777" w:rsidR="00FF2BE4" w:rsidRDefault="00FF2BE4" w:rsidP="00FF2BE4">
                              <w:pPr>
                                <w:textAlignment w:val="baseline"/>
                                <w:rPr>
                                  <w:rFonts w:ascii="Arial" w:hAnsi="Arial" w:cs="Arial"/>
                                  <w:color w:val="000000"/>
                                  <w:sz w:val="16"/>
                                  <w:szCs w:val="16"/>
                                </w:rPr>
                              </w:pPr>
                              <w:r>
                                <w:rPr>
                                  <w:rFonts w:ascii="Arial" w:hAnsi="Arial" w:cs="Arial"/>
                                  <w:color w:val="000000"/>
                                  <w:sz w:val="16"/>
                                  <w:szCs w:val="16"/>
                                </w:rPr>
                                <w:t>2</w:t>
                              </w:r>
                            </w:p>
                          </w:txbxContent>
                        </wps:txbx>
                        <wps:bodyPr wrap="square" rtlCol="0">
                          <a:noAutofit/>
                        </wps:bodyPr>
                      </wps:wsp>
                      <wps:wsp>
                        <wps:cNvPr id="2212" name="TextBox 134"/>
                        <wps:cNvSpPr txBox="1"/>
                        <wps:spPr>
                          <a:xfrm>
                            <a:off x="1081387" y="3378772"/>
                            <a:ext cx="201855" cy="196473"/>
                          </a:xfrm>
                          <a:prstGeom prst="rect">
                            <a:avLst/>
                          </a:prstGeom>
                          <a:noFill/>
                        </wps:spPr>
                        <wps:txbx>
                          <w:txbxContent>
                            <w:p w14:paraId="030EB114" w14:textId="77777777" w:rsidR="00FF2BE4" w:rsidRDefault="00FF2BE4" w:rsidP="00FF2BE4">
                              <w:pPr>
                                <w:textAlignment w:val="baseline"/>
                                <w:rPr>
                                  <w:rFonts w:ascii="Arial" w:hAnsi="Arial" w:cs="Arial"/>
                                  <w:color w:val="000000"/>
                                  <w:sz w:val="16"/>
                                  <w:szCs w:val="16"/>
                                </w:rPr>
                              </w:pPr>
                              <w:r>
                                <w:rPr>
                                  <w:rFonts w:ascii="Arial" w:hAnsi="Arial" w:cs="Arial"/>
                                  <w:color w:val="000000"/>
                                  <w:sz w:val="16"/>
                                  <w:szCs w:val="16"/>
                                </w:rPr>
                                <w:t>4</w:t>
                              </w:r>
                            </w:p>
                          </w:txbxContent>
                        </wps:txbx>
                        <wps:bodyPr wrap="square" rtlCol="0">
                          <a:noAutofit/>
                        </wps:bodyPr>
                      </wps:wsp>
                      <wps:wsp>
                        <wps:cNvPr id="2214" name="TextBox 135"/>
                        <wps:cNvSpPr txBox="1"/>
                        <wps:spPr>
                          <a:xfrm>
                            <a:off x="1544254" y="3379670"/>
                            <a:ext cx="202240" cy="196473"/>
                          </a:xfrm>
                          <a:prstGeom prst="rect">
                            <a:avLst/>
                          </a:prstGeom>
                          <a:noFill/>
                        </wps:spPr>
                        <wps:txbx>
                          <w:txbxContent>
                            <w:p w14:paraId="65ABFD44" w14:textId="77777777" w:rsidR="00FF2BE4" w:rsidRDefault="00FF2BE4" w:rsidP="00FF2BE4">
                              <w:pPr>
                                <w:textAlignment w:val="baseline"/>
                                <w:rPr>
                                  <w:rFonts w:ascii="Arial" w:hAnsi="Arial" w:cs="Arial"/>
                                  <w:color w:val="000000"/>
                                  <w:sz w:val="16"/>
                                  <w:szCs w:val="16"/>
                                </w:rPr>
                              </w:pPr>
                              <w:r>
                                <w:rPr>
                                  <w:rFonts w:ascii="Arial" w:hAnsi="Arial" w:cs="Arial"/>
                                  <w:color w:val="000000"/>
                                  <w:sz w:val="16"/>
                                  <w:szCs w:val="16"/>
                                </w:rPr>
                                <w:t>6</w:t>
                              </w:r>
                            </w:p>
                          </w:txbxContent>
                        </wps:txbx>
                        <wps:bodyPr wrap="square" rtlCol="0">
                          <a:noAutofit/>
                        </wps:bodyPr>
                      </wps:wsp>
                      <wps:wsp>
                        <wps:cNvPr id="2215" name="TextBox 136"/>
                        <wps:cNvSpPr txBox="1"/>
                        <wps:spPr>
                          <a:xfrm>
                            <a:off x="2015369" y="3378024"/>
                            <a:ext cx="201855" cy="196473"/>
                          </a:xfrm>
                          <a:prstGeom prst="rect">
                            <a:avLst/>
                          </a:prstGeom>
                          <a:noFill/>
                        </wps:spPr>
                        <wps:txbx>
                          <w:txbxContent>
                            <w:p w14:paraId="122011F8" w14:textId="77777777" w:rsidR="00FF2BE4" w:rsidRDefault="00FF2BE4" w:rsidP="00FF2BE4">
                              <w:pPr>
                                <w:textAlignment w:val="baseline"/>
                                <w:rPr>
                                  <w:rFonts w:ascii="Arial" w:hAnsi="Arial" w:cs="Arial"/>
                                  <w:color w:val="000000"/>
                                  <w:sz w:val="16"/>
                                  <w:szCs w:val="16"/>
                                </w:rPr>
                              </w:pPr>
                              <w:r>
                                <w:rPr>
                                  <w:rFonts w:ascii="Arial" w:hAnsi="Arial" w:cs="Arial"/>
                                  <w:color w:val="000000"/>
                                  <w:sz w:val="16"/>
                                  <w:szCs w:val="16"/>
                                </w:rPr>
                                <w:t>8</w:t>
                              </w:r>
                            </w:p>
                          </w:txbxContent>
                        </wps:txbx>
                        <wps:bodyPr wrap="square" rtlCol="0">
                          <a:noAutofit/>
                        </wps:bodyPr>
                      </wps:wsp>
                      <wps:wsp>
                        <wps:cNvPr id="2216" name="TextBox 137"/>
                        <wps:cNvSpPr txBox="1"/>
                        <wps:spPr>
                          <a:xfrm rot="16200000">
                            <a:off x="-459572" y="1785460"/>
                            <a:ext cx="1068442" cy="188014"/>
                          </a:xfrm>
                          <a:prstGeom prst="rect">
                            <a:avLst/>
                          </a:prstGeom>
                          <a:noFill/>
                        </wps:spPr>
                        <wps:txbx>
                          <w:txbxContent>
                            <w:p w14:paraId="735E0FA9" w14:textId="77777777" w:rsidR="00FF2BE4" w:rsidRDefault="00FF2BE4" w:rsidP="00FF2BE4">
                              <w:pPr>
                                <w:jc w:val="center"/>
                                <w:rPr>
                                  <w:rFonts w:ascii="Arial" w:hAnsi="Arial" w:cs="Arial"/>
                                  <w:color w:val="000000"/>
                                  <w:sz w:val="20"/>
                                  <w:szCs w:val="20"/>
                                </w:rPr>
                              </w:pPr>
                              <w:r>
                                <w:rPr>
                                  <w:rFonts w:ascii="Arial" w:hAnsi="Arial" w:cs="Arial"/>
                                  <w:color w:val="000000"/>
                                  <w:sz w:val="20"/>
                                  <w:szCs w:val="20"/>
                                </w:rPr>
                                <w:t>Signal</w:t>
                              </w:r>
                            </w:p>
                          </w:txbxContent>
                        </wps:txbx>
                        <wps:bodyPr wrap="square" rtlCol="0">
                          <a:noAutofit/>
                        </wps:bodyPr>
                      </wps:wsp>
                      <wps:wsp>
                        <wps:cNvPr id="2217" name="TextBox 138"/>
                        <wps:cNvSpPr txBox="1"/>
                        <wps:spPr>
                          <a:xfrm>
                            <a:off x="865414" y="3599210"/>
                            <a:ext cx="958473" cy="180565"/>
                          </a:xfrm>
                          <a:prstGeom prst="rect">
                            <a:avLst/>
                          </a:prstGeom>
                          <a:noFill/>
                        </wps:spPr>
                        <wps:txbx>
                          <w:txbxContent>
                            <w:p w14:paraId="7A8BCBEA" w14:textId="77777777" w:rsidR="00FF2BE4" w:rsidRDefault="00FF2BE4" w:rsidP="00FF2BE4">
                              <w:pPr>
                                <w:jc w:val="center"/>
                                <w:textAlignment w:val="baseline"/>
                                <w:rPr>
                                  <w:rFonts w:ascii="Arial" w:hAnsi="Arial" w:cs="Arial"/>
                                  <w:color w:val="000000"/>
                                  <w:sz w:val="20"/>
                                  <w:szCs w:val="20"/>
                                </w:rPr>
                              </w:pPr>
                              <w:r>
                                <w:rPr>
                                  <w:rFonts w:ascii="Arial" w:hAnsi="Arial" w:cs="Arial"/>
                                  <w:color w:val="000000"/>
                                  <w:sz w:val="20"/>
                                  <w:szCs w:val="20"/>
                                </w:rPr>
                                <w:t>Time (min)</w:t>
                              </w:r>
                            </w:p>
                          </w:txbxContent>
                        </wps:txbx>
                        <wps:bodyPr wrap="square" rtlCol="0">
                          <a:noAutofit/>
                        </wps:bodyPr>
                      </wps:wsp>
                      <wps:wsp>
                        <wps:cNvPr id="2218" name="TextBox 139"/>
                        <wps:cNvSpPr txBox="1"/>
                        <wps:spPr>
                          <a:xfrm>
                            <a:off x="322516" y="89359"/>
                            <a:ext cx="1192677" cy="228751"/>
                          </a:xfrm>
                          <a:prstGeom prst="rect">
                            <a:avLst/>
                          </a:prstGeom>
                          <a:noFill/>
                        </wps:spPr>
                        <wps:txbx>
                          <w:txbxContent>
                            <w:p w14:paraId="601AC438" w14:textId="77777777" w:rsidR="00FF2BE4" w:rsidRDefault="00FF2BE4" w:rsidP="00FF2BE4">
                              <w:pPr>
                                <w:textAlignment w:val="baseline"/>
                                <w:rPr>
                                  <w:rFonts w:ascii="Arial" w:hAnsi="Arial" w:cs="Arial"/>
                                  <w:color w:val="000000"/>
                                  <w:sz w:val="20"/>
                                  <w:szCs w:val="20"/>
                                </w:rPr>
                              </w:pPr>
                              <w:r>
                                <w:rPr>
                                  <w:rFonts w:ascii="Arial" w:hAnsi="Arial" w:cs="Arial"/>
                                  <w:color w:val="000000"/>
                                  <w:sz w:val="20"/>
                                  <w:szCs w:val="20"/>
                                </w:rPr>
                                <w:t>High Resolution</w:t>
                              </w:r>
                            </w:p>
                          </w:txbxContent>
                        </wps:txbx>
                        <wps:bodyPr wrap="square" rtlCol="0">
                          <a:noAutofit/>
                        </wps:bodyPr>
                      </wps:wsp>
                      <wps:wsp>
                        <wps:cNvPr id="2219" name="TextBox 140"/>
                        <wps:cNvSpPr txBox="1"/>
                        <wps:spPr>
                          <a:xfrm>
                            <a:off x="322516" y="1337834"/>
                            <a:ext cx="1364927" cy="228751"/>
                          </a:xfrm>
                          <a:prstGeom prst="rect">
                            <a:avLst/>
                          </a:prstGeom>
                          <a:noFill/>
                        </wps:spPr>
                        <wps:txbx>
                          <w:txbxContent>
                            <w:p w14:paraId="7DE68E0D" w14:textId="77777777" w:rsidR="00FF2BE4" w:rsidRDefault="00FF2BE4" w:rsidP="00FF2BE4">
                              <w:pPr>
                                <w:textAlignment w:val="baseline"/>
                                <w:rPr>
                                  <w:rFonts w:ascii="Arial" w:hAnsi="Arial" w:cs="Arial"/>
                                  <w:color w:val="000000"/>
                                  <w:sz w:val="20"/>
                                  <w:szCs w:val="20"/>
                                </w:rPr>
                              </w:pPr>
                              <w:r>
                                <w:rPr>
                                  <w:rFonts w:ascii="Arial" w:hAnsi="Arial" w:cs="Arial"/>
                                  <w:color w:val="000000"/>
                                  <w:sz w:val="20"/>
                                  <w:szCs w:val="20"/>
                                </w:rPr>
                                <w:t>Moderate Resolution</w:t>
                              </w:r>
                            </w:p>
                          </w:txbxContent>
                        </wps:txbx>
                        <wps:bodyPr wrap="square" rtlCol="0">
                          <a:noAutofit/>
                        </wps:bodyPr>
                      </wps:wsp>
                      <wps:wsp>
                        <wps:cNvPr id="2220" name="TextBox 141"/>
                        <wps:cNvSpPr txBox="1"/>
                        <wps:spPr>
                          <a:xfrm>
                            <a:off x="322516" y="2438265"/>
                            <a:ext cx="1304178" cy="228751"/>
                          </a:xfrm>
                          <a:prstGeom prst="rect">
                            <a:avLst/>
                          </a:prstGeom>
                          <a:noFill/>
                        </wps:spPr>
                        <wps:txbx>
                          <w:txbxContent>
                            <w:p w14:paraId="10E496A4" w14:textId="77777777" w:rsidR="00FF2BE4" w:rsidRDefault="00FF2BE4" w:rsidP="00FF2BE4">
                              <w:pPr>
                                <w:textAlignment w:val="baseline"/>
                                <w:rPr>
                                  <w:rFonts w:ascii="Arial" w:hAnsi="Arial" w:cs="Arial"/>
                                  <w:color w:val="000000"/>
                                  <w:sz w:val="20"/>
                                  <w:szCs w:val="20"/>
                                </w:rPr>
                              </w:pPr>
                              <w:r>
                                <w:rPr>
                                  <w:rFonts w:ascii="Arial" w:hAnsi="Arial" w:cs="Arial"/>
                                  <w:color w:val="000000"/>
                                  <w:sz w:val="20"/>
                                  <w:szCs w:val="20"/>
                                </w:rPr>
                                <w:t>Low Resolution</w:t>
                              </w:r>
                            </w:p>
                          </w:txbxContent>
                        </wps:txbx>
                        <wps:bodyPr wrap="square" rtlCol="0">
                          <a:noAutofit/>
                        </wps:bodyPr>
                      </wps:wsp>
                    </wpg:wgp>
                  </a:graphicData>
                </a:graphic>
              </wp:inline>
            </w:drawing>
          </mc:Choice>
          <mc:Fallback xmlns:oel="http://schemas.microsoft.com/office/2019/extlst">
            <w:pict>
              <v:group w14:anchorId="6DB20831" id="Group 123" o:spid="_x0000_s1027" style="width:340.05pt;height:404pt;mso-position-horizontal-relative:char;mso-position-vertical-relative:line" coordorigin="-193" coordsize="26227,37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">
                <v:shape id="Freeform 2097" o:spid="_x0000_s1028" style="position:absolute;left:3124;top:9038;width:2799;height:2796;visibility:visible;mso-wrap-style:square;v-text-anchor:middle" coordsize="279889,279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" path="m,269798v50800,4939,66730,3894,93622,-41047c120514,183810,141600,5795,161355,151v19756,-5645,31044,148166,50800,194733c231911,241451,255900,260501,279889,279551e" filled="f" strokeweight="1pt">
                  <v:stroke joinstyle="miter"/>
                  <v:path arrowok="t" o:connecttype="custom" o:connectlocs="0,269798;93622,228751;161355,151;212155,194884;279889,279551" o:connectangles="0,0,0,0,0"/>
                </v:shape>
                <v:group id="Group 2098" o:spid="_x0000_s1029" style="position:absolute;left:2164;width:23859;height:34142" coordorigin="2164" coordsize="23859,34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">
                  <v:group id="Group 2099" o:spid="_x0000_s1030" style="position:absolute;left:2164;width:23859;height:33782" coordorigin="2164" coordsize="23859,33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">
                    <v:line id="Straight Connector 2100" o:spid="_x0000_s1031" style="position:absolute;visibility:visible;mso-wrap-style:square" from="2164,0" to="2164,33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" strokeweight="1pt">
                      <v:stroke joinstyle="miter"/>
                    </v:line>
                    <v:line id="Straight Connector 2101" o:spid="_x0000_s1032" style="position:absolute;flip:y;visibility:visible;mso-wrap-style:square" from="2248,33684" to="26023,33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" strokeweight="1pt">
                      <v:stroke joinstyle="miter"/>
                      <o:lock v:ext="edit" shapetype="f"/>
                    </v:line>
                    <v:line id="Straight Connector 2102" o:spid="_x0000_s1033" style="position:absolute;visibility:visible;mso-wrap-style:square" from="2164,22621" to="25955,22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" strokeweight="1pt">
                      <v:stroke joinstyle="miter"/>
                      <o:lock v:ext="edit" shapetype="f"/>
                    </v:line>
                    <v:line id="Straight Connector 2103" o:spid="_x0000_s1034" style="position:absolute;visibility:visible;mso-wrap-style:square" from="2164,11784" to="25955,11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" strokeweight="1pt">
                      <v:stroke joinstyle="miter"/>
                      <o:lock v:ext="edit" shapetype="f"/>
                    </v:line>
                  </v:group>
                  <v:group id="Group 2105" o:spid="_x0000_s1035" style="position:absolute;left:4695;top:33684;width:18881;height:458" coordorigin="4695,33684" coordsize="18880,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">
                    <v:line id="Straight Connector 2106" o:spid="_x0000_s1036" style="position:absolute;visibility:visible;mso-wrap-style:square" from="4695,33684" to="4695,34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" strokeweight="1pt">
                      <v:stroke joinstyle="miter"/>
                      <o:lock v:ext="edit" shapetype="f"/>
                    </v:line>
                    <v:line id="Straight Connector 2107" o:spid="_x0000_s1037" style="position:absolute;visibility:visible;mso-wrap-style:square" from="7066,33684" to="7066,34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" strokeweight="1pt">
                      <v:stroke joinstyle="miter"/>
                      <o:lock v:ext="edit" shapetype="f"/>
                    </v:line>
                    <v:line id="Straight Connector 2108" o:spid="_x0000_s1038" style="position:absolute;visibility:visible;mso-wrap-style:square" from="9436,33684" to="9436,34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" strokeweight="1pt">
                      <v:stroke joinstyle="miter"/>
                      <o:lock v:ext="edit" shapetype="f"/>
                    </v:line>
                    <v:line id="Straight Connector 2109" o:spid="_x0000_s1039" style="position:absolute;visibility:visible;mso-wrap-style:square" from="11807,33684" to="11807,34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" strokeweight="1pt">
                      <v:stroke joinstyle="miter"/>
                      <o:lock v:ext="edit" shapetype="f"/>
                    </v:line>
                    <v:line id="Straight Connector 2110" o:spid="_x0000_s1040" style="position:absolute;visibility:visible;mso-wrap-style:square" from="14178,33684" to="14178,34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" strokeweight="1pt">
                      <v:stroke joinstyle="miter"/>
                      <o:lock v:ext="edit" shapetype="f"/>
                    </v:line>
                    <v:line id="Straight Connector 2111" o:spid="_x0000_s1041" style="position:absolute;visibility:visible;mso-wrap-style:square" from="16379,33684" to="16379,34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" strokeweight="1pt">
                      <v:stroke joinstyle="miter"/>
                      <o:lock v:ext="edit" shapetype="f"/>
                    </v:line>
                    <v:line id="Straight Connector 2176" o:spid="_x0000_s1042" style="position:absolute;visibility:visible;mso-wrap-style:square" from="18834,33684" to="18834,34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" strokeweight="1pt">
                      <v:stroke joinstyle="miter"/>
                      <o:lock v:ext="edit" shapetype="f"/>
                    </v:line>
                    <v:line id="Straight Connector 2177" o:spid="_x0000_s1043" style="position:absolute;visibility:visible;mso-wrap-style:square" from="21120,33684" to="21120,34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" strokeweight="1pt">
                      <v:stroke joinstyle="miter"/>
                      <o:lock v:ext="edit" shapetype="f"/>
                    </v:line>
                    <v:line id="Straight Connector 2178" o:spid="_x0000_s1044" style="position:absolute;visibility:visible;mso-wrap-style:square" from="23576,33684" to="23576,34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" strokeweight="1pt">
                      <v:stroke joinstyle="miter"/>
                      <o:lock v:ext="edit" shapetype="f"/>
                    </v:line>
                  </v:group>
                  <v:group id="Group 2179" o:spid="_x0000_s1045" style="position:absolute;left:4695;top:22618;width:18881;height:458" coordorigin="4695,22618" coordsize="18880,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">
                    <v:line id="Straight Connector 2180" o:spid="_x0000_s1046" style="position:absolute;visibility:visible;mso-wrap-style:square" from="4695,22618" to="4695,23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" strokeweight="1pt">
                      <v:stroke joinstyle="miter"/>
                      <o:lock v:ext="edit" shapetype="f"/>
                    </v:line>
                    <v:line id="Straight Connector 2181" o:spid="_x0000_s1047" style="position:absolute;visibility:visible;mso-wrap-style:square" from="7066,22618" to="7066,23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" strokeweight="1pt">
                      <v:stroke joinstyle="miter"/>
                      <o:lock v:ext="edit" shapetype="f"/>
                    </v:line>
                    <v:line id="Straight Connector 2183" o:spid="_x0000_s1048" style="position:absolute;visibility:visible;mso-wrap-style:square" from="9436,22618" to="9436,23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" strokeweight="1pt">
                      <v:stroke joinstyle="miter"/>
                      <o:lock v:ext="edit" shapetype="f"/>
                    </v:line>
                    <v:line id="Straight Connector 2184" o:spid="_x0000_s1049" style="position:absolute;visibility:visible;mso-wrap-style:square" from="11807,22618" to="11807,23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" strokeweight="1pt">
                      <v:stroke joinstyle="miter"/>
                      <o:lock v:ext="edit" shapetype="f"/>
                    </v:line>
                    <v:line id="Straight Connector 2185" o:spid="_x0000_s1050" style="position:absolute;visibility:visible;mso-wrap-style:square" from="14178,22618" to="14178,23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" strokeweight="1pt">
                      <v:stroke joinstyle="miter"/>
                      <o:lock v:ext="edit" shapetype="f"/>
                    </v:line>
                    <v:line id="Straight Connector 2187" o:spid="_x0000_s1051" style="position:absolute;visibility:visible;mso-wrap-style:square" from="16379,22618" to="16379,23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" strokeweight="1pt">
                      <v:stroke joinstyle="miter"/>
                      <o:lock v:ext="edit" shapetype="f"/>
                    </v:line>
                    <v:line id="Straight Connector 2190" o:spid="_x0000_s1052" style="position:absolute;visibility:visible;mso-wrap-style:square" from="18834,22618" to="18834,23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" strokeweight="1pt">
                      <v:stroke joinstyle="miter"/>
                      <o:lock v:ext="edit" shapetype="f"/>
                    </v:line>
                    <v:line id="Straight Connector 2191" o:spid="_x0000_s1053" style="position:absolute;visibility:visible;mso-wrap-style:square" from="21120,22618" to="21120,23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" strokeweight="1pt">
                      <v:stroke joinstyle="miter"/>
                      <o:lock v:ext="edit" shapetype="f"/>
                    </v:line>
                    <v:line id="Straight Connector 2192" o:spid="_x0000_s1054" style="position:absolute;visibility:visible;mso-wrap-style:square" from="23576,22618" to="23576,23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" strokeweight="1pt">
                      <v:stroke joinstyle="miter"/>
                      <o:lock v:ext="edit" shapetype="f"/>
                    </v:line>
                  </v:group>
                  <v:group id="Group 2193" o:spid="_x0000_s1055" style="position:absolute;left:4695;top:11784;width:18881;height:457" coordorigin="4695,11784" coordsize="18880,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">
                    <v:line id="Straight Connector 2194" o:spid="_x0000_s1056" style="position:absolute;visibility:visible;mso-wrap-style:square" from="4695,11784" to="4695,12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" strokeweight="1pt">
                      <v:stroke joinstyle="miter"/>
                      <o:lock v:ext="edit" shapetype="f"/>
                    </v:line>
                    <v:line id="Straight Connector 2195" o:spid="_x0000_s1057" style="position:absolute;visibility:visible;mso-wrap-style:square" from="7066,11784" to="7066,12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" strokeweight="1pt">
                      <v:stroke joinstyle="miter"/>
                      <o:lock v:ext="edit" shapetype="f"/>
                    </v:line>
                    <v:line id="Straight Connector 2196" o:spid="_x0000_s1058" style="position:absolute;visibility:visible;mso-wrap-style:square" from="9436,11784" to="9436,12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" strokeweight="1pt">
                      <v:stroke joinstyle="miter"/>
                      <o:lock v:ext="edit" shapetype="f"/>
                    </v:line>
                    <v:line id="Straight Connector 2197" o:spid="_x0000_s1059" style="position:absolute;visibility:visible;mso-wrap-style:square" from="11807,11784" to="11807,12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" strokeweight="1pt">
                      <v:stroke joinstyle="miter"/>
                      <o:lock v:ext="edit" shapetype="f"/>
                    </v:line>
                    <v:line id="Straight Connector 2198" o:spid="_x0000_s1060" style="position:absolute;visibility:visible;mso-wrap-style:square" from="14178,11784" to="14178,12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" strokeweight="1pt">
                      <v:stroke joinstyle="miter"/>
                      <o:lock v:ext="edit" shapetype="f"/>
                    </v:line>
                    <v:line id="Straight Connector 2199" o:spid="_x0000_s1061" style="position:absolute;visibility:visible;mso-wrap-style:square" from="16379,11784" to="16379,12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" strokeweight="1pt">
                      <v:stroke joinstyle="miter"/>
                      <o:lock v:ext="edit" shapetype="f"/>
                    </v:line>
                    <v:line id="Straight Connector 2200" o:spid="_x0000_s1062" style="position:absolute;visibility:visible;mso-wrap-style:square" from="18834,11784" to="18834,12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" strokeweight="1pt">
                      <v:stroke joinstyle="miter"/>
                      <o:lock v:ext="edit" shapetype="f"/>
                    </v:line>
                    <v:line id="Straight Connector 2201" o:spid="_x0000_s1063" style="position:absolute;visibility:visible;mso-wrap-style:square" from="21120,11784" to="21120,12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" strokeweight="1pt">
                      <v:stroke joinstyle="miter"/>
                      <o:lock v:ext="edit" shapetype="f"/>
                    </v:line>
                    <v:line id="Straight Connector 2202" o:spid="_x0000_s1064" style="position:absolute;visibility:visible;mso-wrap-style:square" from="23576,11784" to="23576,12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" strokeweight="1pt">
                      <v:stroke joinstyle="miter"/>
                      <o:lock v:ext="edit" shapetype="f"/>
                    </v:line>
                  </v:group>
                </v:group>
                <v:shape id="Freeform 2204" o:spid="_x0000_s1065" style="position:absolute;left:14262;top:3277;width:3979;height:8557;visibility:visible;mso-wrap-style:square;v-text-anchor:middle" coordsize="484579,855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" path="m5127,855678c8206,826101,82866,750181,116732,618948,142131,428448,184594,-17743,233726,545v49132,18288,91722,474132,177800,728132c489137,855677,475921,860504,484388,836515,495677,847240,5292,840072,,839367e" fillcolor="#2099d7" strokeweight=".5pt">
                  <v:stroke joinstyle="miter"/>
                  <v:path arrowok="t" o:connecttype="custom" o:connectlocs="4210,855678;95845,618948;191906,545;337892,728677;397717,836515;0,839367" o:connectangles="0,0,0,0,0,0"/>
                </v:shape>
                <v:shape id="Freeform 2205" o:spid="_x0000_s1066" style="position:absolute;left:11628;top:14364;width:9827;height:8288;visibility:visible;mso-wrap-style:square;v-text-anchor:middle" coordsize="753658,828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" path="m16934,821478c20013,791901,145473,749848,179339,618615,204738,428115,289533,-11020,355599,212v66066,11232,134056,431798,220134,685798c653344,813010,745067,845466,753534,821477,764823,832202,5292,818798,,818093e" fillcolor="#2099d7" strokeweight=".5pt">
                  <v:stroke joinstyle="miter"/>
                  <v:path arrowok="t" o:connecttype="custom" o:connectlocs="22081,821478;233844,618615;463673,212;750711,686010;982549,821477;0,818093" o:connectangles="0,0,0,0,0,0"/>
                </v:shape>
                <v:shape id="Freeform 2206" o:spid="_x0000_s1067" style="position:absolute;left:8790;top:25712;width:15153;height:7946;visibility:visible;mso-wrap-style:square;v-text-anchor:middle" coordsize="804450,794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" path="m13594,785864c16673,756287,179338,690612,213204,559379,238603,368879,317755,-10990,380999,243v63244,11233,125589,372532,211667,626532c670277,753775,795867,803164,804334,779175,815623,789900,5292,795207,,794502e" fillcolor="#2099d7" strokeweight=".5pt">
                  <v:stroke joinstyle="miter"/>
                  <v:path arrowok="t" o:connecttype="custom" o:connectlocs="25607,785864;401606,559379;717676,243;1116387,626775;1515099,779175;0,794502" o:connectangles="0,0,0,0,0,0"/>
                </v:shape>
                <v:shape id="Freeform 2207" o:spid="_x0000_s1068" style="position:absolute;left:16151;top:12205;width:7299;height:10437;visibility:visible;mso-wrap-style:square;v-text-anchor:middle" coordsize="474329,992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" path="m,992702c3079,963125,60806,980338,94672,849105,120071,658605,172411,-5552,220132,36v47721,5588,74789,628598,160867,882598c458610,1009634,465667,999757,474134,975768,485423,986493,5294,981557,2,980852e" fillcolor="#f47f44" strokeweight=".5pt">
                  <v:fill opacity="52428f"/>
                  <v:stroke joinstyle="miter"/>
                  <v:path arrowok="t" o:connecttype="custom" o:connectlocs="0,1043688;145685,892716;338748,38;586297,927967;729617,1025884;3,1031229" o:connectangles="0,0,0,0,0,0"/>
                </v:shape>
                <v:shape id="Freeform 2208" o:spid="_x0000_s1069" style="position:absolute;left:17682;top:1397;width:3979;height:10437;visibility:visible;mso-wrap-style:square;v-text-anchor:middle" coordsize="474329,992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" path="m,992687c3079,963110,60806,980323,94672,849090,120071,658590,173822,-4225,220132,21v46310,4246,66322,620545,152400,874545c450143,1001566,465667,999742,474134,975753,485423,986478,5294,981542,2,980837e" fillcolor="#f47f44" strokeweight=".5pt">
                  <v:fill opacity="52428f"/>
                  <v:stroke joinstyle="miter"/>
                  <v:path arrowok="t" o:connecttype="custom" o:connectlocs="0,1043672;79412,892700;184649,22;312484,919484;397709,1025868;2,1031213" o:connectangles="0,0,0,0,0,0"/>
                </v:shape>
                <v:shape id="Freeform 2209" o:spid="_x0000_s1070" style="position:absolute;left:13749;top:23339;width:12285;height:10436;visibility:visible;mso-wrap-style:square;v-text-anchor:middle" coordsize="474329,992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" path="m,992687c3079,963110,60806,980323,94672,849090,120071,658590,173822,-4225,220132,21v46310,4246,66322,620545,152400,874545c450143,1001566,465667,999742,474134,975753,485423,986478,5294,981542,2,980837e" fillcolor="#f47f44" strokeweight=".5pt">
                  <v:fill opacity="52428f"/>
                  <v:stroke joinstyle="miter"/>
                  <v:path arrowok="t" o:connecttype="custom" o:connectlocs="0,1043672;245181,892700;570097,22;964782,919484;1227911,1025868;5,1031213" o:connectangles="0,0,0,0,0,0"/>
                </v:shape>
                <v:shape id="TextBox 132" o:spid="_x0000_s1071" type="#_x0000_t202" style="position:absolute;left:1179;top:33779;width:2019;height:1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" filled="f" stroked="f">
                  <v:textbox>
                    <w:txbxContent>
                      <w:p w14:paraId="6B798A73" w14:textId="77777777" w:rsidR="00FF2BE4" w:rsidRDefault="00FF2BE4" w:rsidP="00FF2BE4">
                        <w:pPr>
                          <w:textAlignment w:val="baseline"/>
                          <w:rPr>
                            <w:rFonts w:ascii="Arial" w:hAnsi="Arial" w:cs="Arial"/>
                            <w:color w:val="000000"/>
                            <w:sz w:val="16"/>
                            <w:szCs w:val="16"/>
                          </w:rPr>
                        </w:pPr>
                        <w:r>
                          <w:rPr>
                            <w:rFonts w:ascii="Arial" w:hAnsi="Arial" w:cs="Arial"/>
                            <w:color w:val="000000"/>
                            <w:sz w:val="16"/>
                            <w:szCs w:val="16"/>
                          </w:rPr>
                          <w:t>0</w:t>
                        </w:r>
                      </w:p>
                    </w:txbxContent>
                  </v:textbox>
                </v:shape>
                <v:shape id="TextBox 133" o:spid="_x0000_s1072" type="#_x0000_t202" style="position:absolute;left:6005;top:33779;width:2019;height:1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" filled="f" stroked="f">
                  <v:textbox>
                    <w:txbxContent>
                      <w:p w14:paraId="30C14F5F" w14:textId="77777777" w:rsidR="00FF2BE4" w:rsidRDefault="00FF2BE4" w:rsidP="00FF2BE4">
                        <w:pPr>
                          <w:textAlignment w:val="baseline"/>
                          <w:rPr>
                            <w:rFonts w:ascii="Arial" w:hAnsi="Arial" w:cs="Arial"/>
                            <w:color w:val="000000"/>
                            <w:sz w:val="16"/>
                            <w:szCs w:val="16"/>
                          </w:rPr>
                        </w:pPr>
                        <w:r>
                          <w:rPr>
                            <w:rFonts w:ascii="Arial" w:hAnsi="Arial" w:cs="Arial"/>
                            <w:color w:val="000000"/>
                            <w:sz w:val="16"/>
                            <w:szCs w:val="16"/>
                          </w:rPr>
                          <w:t>2</w:t>
                        </w:r>
                      </w:p>
                    </w:txbxContent>
                  </v:textbox>
                </v:shape>
                <v:shape id="TextBox 134" o:spid="_x0000_s1073" type="#_x0000_t202" style="position:absolute;left:10813;top:33787;width:2019;height:1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" filled="f" stroked="f">
                  <v:textbox>
                    <w:txbxContent>
                      <w:p w14:paraId="030EB114" w14:textId="77777777" w:rsidR="00FF2BE4" w:rsidRDefault="00FF2BE4" w:rsidP="00FF2BE4">
                        <w:pPr>
                          <w:textAlignment w:val="baseline"/>
                          <w:rPr>
                            <w:rFonts w:ascii="Arial" w:hAnsi="Arial" w:cs="Arial"/>
                            <w:color w:val="000000"/>
                            <w:sz w:val="16"/>
                            <w:szCs w:val="16"/>
                          </w:rPr>
                        </w:pPr>
                        <w:r>
                          <w:rPr>
                            <w:rFonts w:ascii="Arial" w:hAnsi="Arial" w:cs="Arial"/>
                            <w:color w:val="000000"/>
                            <w:sz w:val="16"/>
                            <w:szCs w:val="16"/>
                          </w:rPr>
                          <w:t>4</w:t>
                        </w:r>
                      </w:p>
                    </w:txbxContent>
                  </v:textbox>
                </v:shape>
                <v:shape id="TextBox 135" o:spid="_x0000_s1074" type="#_x0000_t202" style="position:absolute;left:15442;top:33796;width:2022;height:1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" filled="f" stroked="f">
                  <v:textbox>
                    <w:txbxContent>
                      <w:p w14:paraId="65ABFD44" w14:textId="77777777" w:rsidR="00FF2BE4" w:rsidRDefault="00FF2BE4" w:rsidP="00FF2BE4">
                        <w:pPr>
                          <w:textAlignment w:val="baseline"/>
                          <w:rPr>
                            <w:rFonts w:ascii="Arial" w:hAnsi="Arial" w:cs="Arial"/>
                            <w:color w:val="000000"/>
                            <w:sz w:val="16"/>
                            <w:szCs w:val="16"/>
                          </w:rPr>
                        </w:pPr>
                        <w:r>
                          <w:rPr>
                            <w:rFonts w:ascii="Arial" w:hAnsi="Arial" w:cs="Arial"/>
                            <w:color w:val="000000"/>
                            <w:sz w:val="16"/>
                            <w:szCs w:val="16"/>
                          </w:rPr>
                          <w:t>6</w:t>
                        </w:r>
                      </w:p>
                    </w:txbxContent>
                  </v:textbox>
                </v:shape>
                <v:shape id="TextBox 136" o:spid="_x0000_s1075" type="#_x0000_t202" style="position:absolute;left:20153;top:33780;width:2019;height:1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" filled="f" stroked="f">
                  <v:textbox>
                    <w:txbxContent>
                      <w:p w14:paraId="122011F8" w14:textId="77777777" w:rsidR="00FF2BE4" w:rsidRDefault="00FF2BE4" w:rsidP="00FF2BE4">
                        <w:pPr>
                          <w:textAlignment w:val="baseline"/>
                          <w:rPr>
                            <w:rFonts w:ascii="Arial" w:hAnsi="Arial" w:cs="Arial"/>
                            <w:color w:val="000000"/>
                            <w:sz w:val="16"/>
                            <w:szCs w:val="16"/>
                          </w:rPr>
                        </w:pPr>
                        <w:r>
                          <w:rPr>
                            <w:rFonts w:ascii="Arial" w:hAnsi="Arial" w:cs="Arial"/>
                            <w:color w:val="000000"/>
                            <w:sz w:val="16"/>
                            <w:szCs w:val="16"/>
                          </w:rPr>
                          <w:t>8</w:t>
                        </w:r>
                      </w:p>
                    </w:txbxContent>
                  </v:textbox>
                </v:shape>
                <v:shape id="TextBox 137" o:spid="_x0000_s1076" type="#_x0000_t202" style="position:absolute;left:-4595;top:17854;width:10684;height:187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" filled="f" stroked="f">
                  <v:textbox>
                    <w:txbxContent>
                      <w:p w14:paraId="735E0FA9" w14:textId="77777777" w:rsidR="00FF2BE4" w:rsidRDefault="00FF2BE4" w:rsidP="00FF2BE4">
                        <w:pPr>
                          <w:jc w:val="center"/>
                          <w:rPr>
                            <w:rFonts w:ascii="Arial" w:hAnsi="Arial" w:cs="Arial"/>
                            <w:color w:val="000000"/>
                            <w:sz w:val="20"/>
                            <w:szCs w:val="20"/>
                          </w:rPr>
                        </w:pPr>
                        <w:r>
                          <w:rPr>
                            <w:rFonts w:ascii="Arial" w:hAnsi="Arial" w:cs="Arial"/>
                            <w:color w:val="000000"/>
                            <w:sz w:val="20"/>
                            <w:szCs w:val="20"/>
                          </w:rPr>
                          <w:t>Signal</w:t>
                        </w:r>
                      </w:p>
                    </w:txbxContent>
                  </v:textbox>
                </v:shape>
                <v:shape id="TextBox 138" o:spid="_x0000_s1077" type="#_x0000_t202" style="position:absolute;left:8654;top:35992;width:9584;height:1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" filled="f" stroked="f">
                  <v:textbox>
                    <w:txbxContent>
                      <w:p w14:paraId="7A8BCBEA" w14:textId="77777777" w:rsidR="00FF2BE4" w:rsidRDefault="00FF2BE4" w:rsidP="00FF2BE4">
                        <w:pPr>
                          <w:jc w:val="center"/>
                          <w:textAlignment w:val="baseline"/>
                          <w:rPr>
                            <w:rFonts w:ascii="Arial" w:hAnsi="Arial" w:cs="Arial"/>
                            <w:color w:val="000000"/>
                            <w:sz w:val="20"/>
                            <w:szCs w:val="20"/>
                          </w:rPr>
                        </w:pPr>
                        <w:r>
                          <w:rPr>
                            <w:rFonts w:ascii="Arial" w:hAnsi="Arial" w:cs="Arial"/>
                            <w:color w:val="000000"/>
                            <w:sz w:val="20"/>
                            <w:szCs w:val="20"/>
                          </w:rPr>
                          <w:t>Time (min)</w:t>
                        </w:r>
                      </w:p>
                    </w:txbxContent>
                  </v:textbox>
                </v:shape>
                <v:shape id="TextBox 139" o:spid="_x0000_s1078" type="#_x0000_t202" style="position:absolute;left:3225;top:893;width:11926;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" filled="f" stroked="f">
                  <v:textbox>
                    <w:txbxContent>
                      <w:p w14:paraId="601AC438" w14:textId="77777777" w:rsidR="00FF2BE4" w:rsidRDefault="00FF2BE4" w:rsidP="00FF2BE4">
                        <w:pPr>
                          <w:textAlignment w:val="baseline"/>
                          <w:rPr>
                            <w:rFonts w:ascii="Arial" w:hAnsi="Arial" w:cs="Arial"/>
                            <w:color w:val="000000"/>
                            <w:sz w:val="20"/>
                            <w:szCs w:val="20"/>
                          </w:rPr>
                        </w:pPr>
                        <w:r>
                          <w:rPr>
                            <w:rFonts w:ascii="Arial" w:hAnsi="Arial" w:cs="Arial"/>
                            <w:color w:val="000000"/>
                            <w:sz w:val="20"/>
                            <w:szCs w:val="20"/>
                          </w:rPr>
                          <w:t>High Resolution</w:t>
                        </w:r>
                      </w:p>
                    </w:txbxContent>
                  </v:textbox>
                </v:shape>
                <v:shape id="TextBox 140" o:spid="_x0000_s1079" type="#_x0000_t202" style="position:absolute;left:3225;top:13378;width:13649;height:2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" filled="f" stroked="f">
                  <v:textbox>
                    <w:txbxContent>
                      <w:p w14:paraId="7DE68E0D" w14:textId="77777777" w:rsidR="00FF2BE4" w:rsidRDefault="00FF2BE4" w:rsidP="00FF2BE4">
                        <w:pPr>
                          <w:textAlignment w:val="baseline"/>
                          <w:rPr>
                            <w:rFonts w:ascii="Arial" w:hAnsi="Arial" w:cs="Arial"/>
                            <w:color w:val="000000"/>
                            <w:sz w:val="20"/>
                            <w:szCs w:val="20"/>
                          </w:rPr>
                        </w:pPr>
                        <w:r>
                          <w:rPr>
                            <w:rFonts w:ascii="Arial" w:hAnsi="Arial" w:cs="Arial"/>
                            <w:color w:val="000000"/>
                            <w:sz w:val="20"/>
                            <w:szCs w:val="20"/>
                          </w:rPr>
                          <w:t>Moderate Resolution</w:t>
                        </w:r>
                      </w:p>
                    </w:txbxContent>
                  </v:textbox>
                </v:shape>
                <v:shape id="TextBox 141" o:spid="_x0000_s1080" type="#_x0000_t202" style="position:absolute;left:3225;top:24382;width:13041;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" filled="f" stroked="f">
                  <v:textbox>
                    <w:txbxContent>
                      <w:p w14:paraId="10E496A4" w14:textId="77777777" w:rsidR="00FF2BE4" w:rsidRDefault="00FF2BE4" w:rsidP="00FF2BE4">
                        <w:pPr>
                          <w:textAlignment w:val="baseline"/>
                          <w:rPr>
                            <w:rFonts w:ascii="Arial" w:hAnsi="Arial" w:cs="Arial"/>
                            <w:color w:val="000000"/>
                            <w:sz w:val="20"/>
                            <w:szCs w:val="20"/>
                          </w:rPr>
                        </w:pPr>
                        <w:r>
                          <w:rPr>
                            <w:rFonts w:ascii="Arial" w:hAnsi="Arial" w:cs="Arial"/>
                            <w:color w:val="000000"/>
                            <w:sz w:val="20"/>
                            <w:szCs w:val="20"/>
                          </w:rPr>
                          <w:t>Low Resolution</w:t>
                        </w:r>
                      </w:p>
                    </w:txbxContent>
                  </v:textbox>
                </v:shape>
                <w10:anchorlock/>
              </v:group>
            </w:pict>
          </mc:Fallback>
        </mc:AlternateContent>
      </w:r>
    </w:p>
    <w:p w14:paraId="1F1EAB27" w14:textId="11F4B120" w:rsidR="00BA78B0" w:rsidRDefault="00FF2BE4" w:rsidP="00FF2BE4">
      <w:pPr>
        <w:pStyle w:val="Caption"/>
        <w:ind w:left="504" w:hanging="360"/>
      </w:pPr>
      <w:bookmarkStart w:id="63" w:name="_Toc110246919"/>
      <w:r>
        <w:t xml:space="preserve">Figure </w:t>
      </w:r>
      <w:fldSimple w:instr=" STYLEREF 1 \s ">
        <w:r w:rsidR="00AC2094">
          <w:rPr>
            <w:noProof/>
          </w:rPr>
          <w:t>2</w:t>
        </w:r>
      </w:fldSimple>
      <w:r w:rsidR="00AC2094">
        <w:noBreakHyphen/>
      </w:r>
      <w:fldSimple w:instr=" SEQ Figure \* ARABIC \s 1 ">
        <w:r w:rsidR="00AC2094">
          <w:rPr>
            <w:noProof/>
          </w:rPr>
          <w:t>2</w:t>
        </w:r>
      </w:fldSimple>
      <w:r>
        <w:t xml:space="preserve">  </w:t>
      </w:r>
      <w:r w:rsidRPr="008437CB">
        <w:t>Chromatographic peak resolution.</w:t>
      </w:r>
      <w:bookmarkEnd w:id="63"/>
      <w:r w:rsidR="00BA78B0">
        <w:fldChar w:fldCharType="begin"/>
      </w:r>
      <w:r w:rsidR="00BA78B0">
        <w:instrText xml:space="preserve"> </w:instrText>
      </w:r>
    </w:p>
    <w:p w14:paraId="5A97E4F2" w14:textId="77777777" w:rsidR="00BA78B0" w:rsidRDefault="00BA78B0" w:rsidP="00FF2BE4">
      <w:pPr>
        <w:pStyle w:val="Caption"/>
        <w:ind w:left="504" w:hanging="360"/>
      </w:pPr>
    </w:p>
    <w:p w14:paraId="708979B0" w14:textId="291ECA05" w:rsidR="00FF2BE4" w:rsidRPr="00235112" w:rsidRDefault="00BA78B0" w:rsidP="00FF2BE4">
      <w:pPr>
        <w:pStyle w:val="Caption"/>
        <w:ind w:left="504" w:hanging="360"/>
        <w:rPr>
          <w:b w:val="0"/>
          <w:bCs/>
        </w:rPr>
      </w:pPr>
      <w:r>
        <w:instrText xml:space="preserve"> </w:instrText>
      </w:r>
      <w:r>
        <w:fldChar w:fldCharType="end"/>
      </w:r>
      <w:r>
        <w:t xml:space="preserve"> </w:t>
      </w:r>
      <w:r w:rsidR="00FF2BE4" w:rsidRPr="008437CB">
        <w:t xml:space="preserve"> </w:t>
      </w:r>
      <w:r w:rsidR="00FF2BE4" w:rsidRPr="00235112">
        <w:rPr>
          <w:b w:val="0"/>
          <w:bCs/>
        </w:rPr>
        <w:t>The depicted examples show the relationship between the separation and the resolution of two analytes in a mixture.  The orange and blue peaks each represent the elution profiles of two peptide analytes. The white peak represents the chromatographic void volume, where unretained analytes are eluted at the beginning of the separation gradient.</w:t>
      </w:r>
    </w:p>
    <w:p w14:paraId="501AF949" w14:textId="10AAFBC7" w:rsidR="00FF2BE4" w:rsidRDefault="00FF2BE4">
      <w:pPr>
        <w:spacing w:before="1"/>
        <w:rPr>
          <w:rFonts w:ascii="Times New Roman" w:hAnsi="Times New Roman" w:cs="Times New Roman"/>
          <w:bCs/>
        </w:rPr>
      </w:pPr>
      <w:r>
        <w:rPr>
          <w:rFonts w:ascii="Times New Roman" w:hAnsi="Times New Roman" w:cs="Times New Roman"/>
          <w:bCs/>
        </w:rPr>
        <w:br w:type="page"/>
      </w:r>
    </w:p>
    <w:p w14:paraId="4E3899E0" w14:textId="270F2D5F" w:rsidR="00FD2DA6" w:rsidRDefault="00FD2DA6" w:rsidP="00FF2BE4">
      <w:pPr>
        <w:ind w:firstLine="0"/>
        <w:rPr>
          <w:rFonts w:ascii="Times New Roman" w:hAnsi="Times New Roman" w:cs="Times New Roman"/>
          <w:bCs/>
        </w:rPr>
      </w:pPr>
      <w:r>
        <w:rPr>
          <w:rFonts w:ascii="Times New Roman" w:hAnsi="Times New Roman" w:cs="Times New Roman"/>
          <w:bCs/>
        </w:rPr>
        <w:lastRenderedPageBreak/>
        <w:t>bound peptides can then be efficiently concentrated on the column and desalted for better MS performance. Over a user-defined separation period, the organic solvent concentration of the elution buffer is gradually shifted from low organic conditions to low aqueous conditions, and peptides will elute off the column according to the strength of the hydrophobic interactions with the RP resin</w:t>
      </w:r>
      <w:sdt>
        <w:sdtPr>
          <w:rPr>
            <w:rFonts w:ascii="Times New Roman" w:hAnsi="Times New Roman" w:cs="Times New Roman"/>
            <w:bCs/>
            <w:color w:val="000000"/>
            <w:vertAlign w:val="superscript"/>
          </w:rPr>
          <w:tag w:val="MENDELEY_CITATION_v3_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"/>
          <w:id w:val="-211181"/>
          <w:placeholder>
            <w:docPart w:val="F362EF6F87774DDF9E367014474AF190"/>
          </w:placeholder>
        </w:sdtPr>
        <w:sdtEndPr/>
        <w:sdtContent>
          <w:r w:rsidR="003204EA" w:rsidRPr="003204EA">
            <w:rPr>
              <w:rFonts w:ascii="Times New Roman" w:hAnsi="Times New Roman" w:cs="Times New Roman"/>
              <w:bCs/>
              <w:color w:val="000000"/>
              <w:vertAlign w:val="superscript"/>
            </w:rPr>
            <w:t>66</w:t>
          </w:r>
        </w:sdtContent>
      </w:sdt>
      <w:r>
        <w:rPr>
          <w:rFonts w:ascii="Times New Roman" w:hAnsi="Times New Roman" w:cs="Times New Roman"/>
          <w:bCs/>
        </w:rPr>
        <w:t>.  The most common RP</w:t>
      </w:r>
    </w:p>
    <w:p w14:paraId="70272EA9" w14:textId="7B2CD2E9" w:rsidR="00207C91" w:rsidRDefault="00E438E3" w:rsidP="001C5723">
      <w:pPr>
        <w:ind w:firstLine="0"/>
        <w:rPr>
          <w:rFonts w:ascii="Times New Roman" w:hAnsi="Times New Roman" w:cs="Times New Roman"/>
          <w:bCs/>
        </w:rPr>
      </w:pPr>
      <w:r>
        <w:rPr>
          <w:rFonts w:ascii="Times New Roman" w:hAnsi="Times New Roman" w:cs="Times New Roman"/>
          <w:bCs/>
        </w:rPr>
        <w:t xml:space="preserve">stationary phase is </w:t>
      </w:r>
      <w:r w:rsidR="00E74DF6" w:rsidRPr="00E74DF6">
        <w:rPr>
          <w:rFonts w:ascii="Times New Roman" w:hAnsi="Times New Roman" w:cs="Times New Roman"/>
          <w:bCs/>
        </w:rPr>
        <w:t>C</w:t>
      </w:r>
      <w:r w:rsidR="00E74DF6" w:rsidRPr="002327EA">
        <w:rPr>
          <w:rFonts w:ascii="Times New Roman" w:hAnsi="Times New Roman" w:cs="Times New Roman"/>
          <w:bCs/>
          <w:vertAlign w:val="subscript"/>
        </w:rPr>
        <w:t>18</w:t>
      </w:r>
      <w:r w:rsidR="00E74DF6" w:rsidRPr="00E74DF6">
        <w:rPr>
          <w:rFonts w:ascii="Times New Roman" w:hAnsi="Times New Roman" w:cs="Times New Roman"/>
          <w:bCs/>
        </w:rPr>
        <w:t xml:space="preserve"> covalently bound to a base silica material</w:t>
      </w:r>
      <w:r w:rsidR="002327EA">
        <w:rPr>
          <w:rFonts w:ascii="Times New Roman" w:hAnsi="Times New Roman" w:cs="Times New Roman"/>
          <w:bCs/>
        </w:rPr>
        <w:t>, although other alkyl chain lengths are available</w:t>
      </w:r>
      <w:r w:rsidR="00E74DF6">
        <w:rPr>
          <w:rFonts w:ascii="Times New Roman" w:hAnsi="Times New Roman" w:cs="Times New Roman"/>
          <w:bCs/>
        </w:rPr>
        <w:t>.</w:t>
      </w:r>
    </w:p>
    <w:p w14:paraId="697F0892" w14:textId="2BFB8A38" w:rsidR="004B659D" w:rsidRDefault="004B659D" w:rsidP="004B659D">
      <w:pPr>
        <w:rPr>
          <w:rFonts w:ascii="Times New Roman" w:hAnsi="Times New Roman" w:cs="Times New Roman"/>
          <w:bCs/>
        </w:rPr>
      </w:pPr>
      <w:r>
        <w:rPr>
          <w:rFonts w:ascii="Times New Roman" w:hAnsi="Times New Roman" w:cs="Times New Roman"/>
          <w:bCs/>
        </w:rPr>
        <w:t xml:space="preserve">Significant of research has been conducted with the aim of enhancing the quality or efficiency of separation.  Separation efficiency can be calculated by the peak capacity of the column, which is the maximum number of analytes that can be separated </w:t>
      </w:r>
      <w:proofErr w:type="gramStart"/>
      <w:r>
        <w:rPr>
          <w:rFonts w:ascii="Times New Roman" w:hAnsi="Times New Roman" w:cs="Times New Roman"/>
          <w:bCs/>
        </w:rPr>
        <w:t>in a given</w:t>
      </w:r>
      <w:proofErr w:type="gramEnd"/>
      <w:r>
        <w:rPr>
          <w:rFonts w:ascii="Times New Roman" w:hAnsi="Times New Roman" w:cs="Times New Roman"/>
          <w:bCs/>
        </w:rPr>
        <w:t xml:space="preserve"> separation period. Peak capacity is determined by the column length and the particle size of the stationary phase. Therefore, for one-dimensional approaches, increasing peak resolution is often achieved by using longer column lengths and decreasing particle sizes to increase peak capacity or by increasing the separation time. In addition, decreasing column diameter to the micrometer scale to operate in a nanoflow regime (nano-LC) improves sensitivity and ionization efficiency </w:t>
      </w:r>
      <w:proofErr w:type="gramStart"/>
      <w:r>
        <w:rPr>
          <w:rFonts w:ascii="Times New Roman" w:hAnsi="Times New Roman" w:cs="Times New Roman"/>
          <w:bCs/>
        </w:rPr>
        <w:t>and also</w:t>
      </w:r>
      <w:proofErr w:type="gramEnd"/>
      <w:r>
        <w:rPr>
          <w:rFonts w:ascii="Times New Roman" w:hAnsi="Times New Roman" w:cs="Times New Roman"/>
          <w:bCs/>
        </w:rPr>
        <w:t xml:space="preserve"> is beneficial for samples with limited biomass as it requires less material for column loading compared to larger diameter columns</w:t>
      </w:r>
      <w:sdt>
        <w:sdtPr>
          <w:rPr>
            <w:rFonts w:ascii="Times New Roman" w:hAnsi="Times New Roman" w:cs="Times New Roman"/>
            <w:bCs/>
            <w:color w:val="000000"/>
            <w:vertAlign w:val="superscript"/>
          </w:rPr>
          <w:tag w:val="MENDELEY_CITATION_v3_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"/>
          <w:id w:val="259417228"/>
          <w:placeholder>
            <w:docPart w:val="DefaultPlaceholder_-1854013440"/>
          </w:placeholder>
        </w:sdtPr>
        <w:sdtEndPr/>
        <w:sdtContent>
          <w:r w:rsidR="003204EA" w:rsidRPr="003204EA">
            <w:rPr>
              <w:rFonts w:ascii="Times New Roman" w:hAnsi="Times New Roman" w:cs="Times New Roman"/>
              <w:bCs/>
              <w:color w:val="000000"/>
              <w:vertAlign w:val="superscript"/>
            </w:rPr>
            <w:t>67</w:t>
          </w:r>
        </w:sdtContent>
      </w:sdt>
      <w:r w:rsidR="00361FDA">
        <w:rPr>
          <w:rFonts w:ascii="Times New Roman" w:hAnsi="Times New Roman" w:cs="Times New Roman"/>
          <w:bCs/>
        </w:rPr>
        <w:t>.</w:t>
      </w:r>
    </w:p>
    <w:p w14:paraId="54A208FE" w14:textId="77777777" w:rsidR="00224C50" w:rsidRDefault="00224C50" w:rsidP="00FF2BE4">
      <w:pPr>
        <w:pStyle w:val="Heading4"/>
      </w:pPr>
    </w:p>
    <w:p w14:paraId="20B07137" w14:textId="1FE2F00C" w:rsidR="00EE5847" w:rsidRDefault="00872AA5" w:rsidP="00FF2BE4">
      <w:pPr>
        <w:pStyle w:val="Heading4"/>
      </w:pPr>
      <w:bookmarkStart w:id="64" w:name="_Toc110250228"/>
      <w:bookmarkStart w:id="65" w:name="_Toc110250485"/>
      <w:bookmarkStart w:id="66" w:name="_Toc110250616"/>
      <w:r w:rsidRPr="00476931">
        <w:t>2.</w:t>
      </w:r>
      <w:r>
        <w:t>3.1.2</w:t>
      </w:r>
      <w:r w:rsidRPr="00476931">
        <w:t xml:space="preserve"> Multidimensional</w:t>
      </w:r>
      <w:r w:rsidR="00EE5847">
        <w:t xml:space="preserve"> liquid chromatography</w:t>
      </w:r>
      <w:r w:rsidR="0067780D">
        <w:t>.</w:t>
      </w:r>
      <w:bookmarkEnd w:id="64"/>
      <w:bookmarkEnd w:id="65"/>
      <w:bookmarkEnd w:id="66"/>
    </w:p>
    <w:p w14:paraId="5AE1E99E" w14:textId="77777777" w:rsidR="00FF2BE4" w:rsidRPr="00FF2BE4" w:rsidRDefault="00FF2BE4" w:rsidP="00FF2BE4"/>
    <w:p w14:paraId="053590C3" w14:textId="564F8B76" w:rsidR="00EC6439" w:rsidRDefault="00EC6439" w:rsidP="00FF2BE4">
      <w:bookmarkStart w:id="67" w:name="_Hlk107674529"/>
      <w:r w:rsidRPr="00184E03">
        <w:t xml:space="preserve">For samples with increasing biological complexity, one-dimensional </w:t>
      </w:r>
      <w:r>
        <w:t xml:space="preserve">(1D) </w:t>
      </w:r>
      <w:r w:rsidRPr="00184E03">
        <w:t>separation strategies do not always provide the chromatographic resolution necessary for the analysis of protein mixtures which prompted the development of multidimensional liquid chromatography for p</w:t>
      </w:r>
      <w:r w:rsidRPr="001A705C">
        <w:t>roteomics</w:t>
      </w:r>
      <w:sdt>
        <w:sdtPr>
          <w:rPr>
            <w:color w:val="000000"/>
            <w:vertAlign w:val="superscript"/>
          </w:rPr>
          <w:tag w:val="MENDELEY_CITATION_v3_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"/>
          <w:id w:val="-1640868084"/>
          <w:placeholder>
            <w:docPart w:val="DefaultPlaceholder_-1854013440"/>
          </w:placeholder>
        </w:sdtPr>
        <w:sdtEndPr/>
        <w:sdtContent>
          <w:r w:rsidR="003204EA" w:rsidRPr="003204EA">
            <w:rPr>
              <w:color w:val="000000"/>
              <w:vertAlign w:val="superscript"/>
            </w:rPr>
            <w:t>68</w:t>
          </w:r>
        </w:sdtContent>
      </w:sdt>
      <w:r w:rsidR="001A705C" w:rsidRPr="001A705C">
        <w:t>.</w:t>
      </w:r>
      <w:r w:rsidRPr="001A705C">
        <w:t xml:space="preserve"> Multidimensional</w:t>
      </w:r>
      <w:r>
        <w:t xml:space="preserve"> liquid </w:t>
      </w:r>
      <w:bookmarkEnd w:id="67"/>
      <w:r>
        <w:t xml:space="preserve">chromatography approaches combine two or more forms of chromatography for orthogonal separation of peptide mixtures. This combination of LC approaches increases peak capacity, and therefore resolving power, of the separations </w:t>
      </w:r>
      <w:proofErr w:type="gramStart"/>
      <w:r>
        <w:t>in order to</w:t>
      </w:r>
      <w:proofErr w:type="gramEnd"/>
      <w:r>
        <w:t xml:space="preserve"> better fractionate the eluting peptides prior to MS interrogation</w:t>
      </w:r>
      <w:sdt>
        <w:sdtPr>
          <w:rPr>
            <w:color w:val="000000"/>
            <w:vertAlign w:val="superscript"/>
          </w:rPr>
          <w:tag w:val="MENDELEY_CITATION_v3_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"/>
          <w:id w:val="-352490962"/>
          <w:placeholder>
            <w:docPart w:val="74C27E6325B7444F858DE8FB2154F2C9"/>
          </w:placeholder>
        </w:sdtPr>
        <w:sdtEndPr/>
        <w:sdtContent>
          <w:r w:rsidR="003204EA" w:rsidRPr="003204EA">
            <w:rPr>
              <w:color w:val="000000"/>
              <w:vertAlign w:val="superscript"/>
            </w:rPr>
            <w:t>68</w:t>
          </w:r>
        </w:sdtContent>
      </w:sdt>
      <w:r>
        <w:t xml:space="preserve">.  Compared to 1D approaches, multidimensional separations provide better resolution of peptides that </w:t>
      </w:r>
      <w:r>
        <w:lastRenderedPageBreak/>
        <w:t>differ in charge and hydrophobicity, leading to three primary benefits: (1) minimize ion suppression, (2) improve ionization efficiency, and (3) minimizes under-sampling by simplifying the complexity of peptides entering the MS at a particular point in time</w:t>
      </w:r>
      <w:sdt>
        <w:sdtPr>
          <w:rPr>
            <w:color w:val="000000"/>
            <w:vertAlign w:val="superscript"/>
          </w:rPr>
          <w:tag w:val="MENDELEY_CITATION_v3_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"/>
          <w:id w:val="-579750702"/>
          <w:placeholder>
            <w:docPart w:val="74C27E6325B7444F858DE8FB2154F2C9"/>
          </w:placeholder>
        </w:sdtPr>
        <w:sdtEndPr/>
        <w:sdtContent>
          <w:r w:rsidR="003204EA" w:rsidRPr="003204EA">
            <w:rPr>
              <w:color w:val="000000"/>
              <w:vertAlign w:val="superscript"/>
            </w:rPr>
            <w:t>68</w:t>
          </w:r>
        </w:sdtContent>
      </w:sdt>
      <w:r>
        <w:t xml:space="preserve">.  These benefits are especially important for complex metaproteomic samples when DDA acquisition is used since the higher resolution and peak capacity improve data acquisition in a </w:t>
      </w:r>
      <w:r w:rsidR="00DD70B1">
        <w:t>t</w:t>
      </w:r>
      <w:r>
        <w:t>op</w:t>
      </w:r>
      <w:r w:rsidR="00DD70B1">
        <w:t>-</w:t>
      </w:r>
      <w:r>
        <w:t xml:space="preserve">N strategy. Improved data acquisition results in a larger dynamic range of the measurement and a better representation of the peptides present in the sample.  </w:t>
      </w:r>
      <w:r w:rsidR="00CA10EF">
        <w:t>However, these gains in resolution and dynamic range come at the cost of significantly longer LC run times compared to 1D separation strategies.</w:t>
      </w:r>
    </w:p>
    <w:p w14:paraId="15F6DA64" w14:textId="167AC727" w:rsidR="00F92B06" w:rsidRDefault="006F25B1" w:rsidP="00FF2BE4">
      <w:r>
        <w:t>There are several</w:t>
      </w:r>
      <w:r w:rsidR="001C025E">
        <w:t xml:space="preserve"> multidimensional separation strategies, where s</w:t>
      </w:r>
      <w:r w:rsidR="00EC6439" w:rsidRPr="006A6F06">
        <w:t xml:space="preserve">eparation </w:t>
      </w:r>
      <w:r w:rsidR="001C025E">
        <w:t>is</w:t>
      </w:r>
      <w:r w:rsidR="00EC6439" w:rsidRPr="006A6F06">
        <w:t xml:space="preserve"> achieved using </w:t>
      </w:r>
      <w:r w:rsidR="00491482">
        <w:t>columns that combine RP with other stationary phases such</w:t>
      </w:r>
      <w:r w:rsidR="00BA2747">
        <w:t xml:space="preserve"> as </w:t>
      </w:r>
      <w:r w:rsidR="00EC6439" w:rsidRPr="006A6F06">
        <w:t xml:space="preserve">cation </w:t>
      </w:r>
      <w:r w:rsidR="00BA2747">
        <w:t xml:space="preserve">(strong cation exchange (SCX), weak cation exchange (WCX)) </w:t>
      </w:r>
      <w:r w:rsidR="00EC6439" w:rsidRPr="006A6F06">
        <w:t>or anion exchange columns (</w:t>
      </w:r>
      <w:r w:rsidR="00BA2747">
        <w:t>strong anion ex</w:t>
      </w:r>
      <w:r w:rsidR="00E96B2B">
        <w:t>change (</w:t>
      </w:r>
      <w:r w:rsidR="00EC6439" w:rsidRPr="006A6F06">
        <w:t>SAX</w:t>
      </w:r>
      <w:r w:rsidR="00E96B2B">
        <w:t>), weak anion exchange (</w:t>
      </w:r>
      <w:r w:rsidR="00EC6439" w:rsidRPr="006A6F06">
        <w:t>WAX)</w:t>
      </w:r>
      <w:r w:rsidR="00E96B2B">
        <w:t>)</w:t>
      </w:r>
      <w:r w:rsidR="00EC6439" w:rsidRPr="006A6F06">
        <w:t xml:space="preserve"> or by </w:t>
      </w:r>
      <w:r w:rsidR="00E96B2B">
        <w:t>RP separations</w:t>
      </w:r>
      <w:r w:rsidR="00EC6439" w:rsidRPr="006A6F06">
        <w:t xml:space="preserve"> at low or high pH, </w:t>
      </w:r>
      <w:proofErr w:type="gramStart"/>
      <w:r w:rsidR="00E96B2B">
        <w:t xml:space="preserve">in order </w:t>
      </w:r>
      <w:r w:rsidR="00EC6439" w:rsidRPr="006A6F06">
        <w:t>to</w:t>
      </w:r>
      <w:proofErr w:type="gramEnd"/>
      <w:r w:rsidR="00EC6439" w:rsidRPr="006A6F06">
        <w:t xml:space="preserve"> achieve deeper and </w:t>
      </w:r>
      <w:r w:rsidR="00E96B2B">
        <w:t xml:space="preserve">orthogonal </w:t>
      </w:r>
      <w:r w:rsidR="00EC6439" w:rsidRPr="006A6F06">
        <w:t>separation</w:t>
      </w:r>
      <w:sdt>
        <w:sdtPr>
          <w:rPr>
            <w:color w:val="000000"/>
            <w:vertAlign w:val="superscript"/>
          </w:rPr>
          <w:tag w:val="MENDELEY_CITATION_v3_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"/>
          <w:id w:val="1309824865"/>
          <w:placeholder>
            <w:docPart w:val="74C27E6325B7444F858DE8FB2154F2C9"/>
          </w:placeholder>
        </w:sdtPr>
        <w:sdtEndPr/>
        <w:sdtContent>
          <w:r w:rsidR="003204EA" w:rsidRPr="003204EA">
            <w:rPr>
              <w:color w:val="000000"/>
              <w:vertAlign w:val="superscript"/>
            </w:rPr>
            <w:t>66,69</w:t>
          </w:r>
        </w:sdtContent>
      </w:sdt>
      <w:r w:rsidR="00EC6439" w:rsidRPr="006A6F06">
        <w:t>.</w:t>
      </w:r>
      <w:r w:rsidR="00C079B0">
        <w:t xml:space="preserve"> </w:t>
      </w:r>
      <w:r w:rsidR="00EC6439">
        <w:t xml:space="preserve">Among the most popular separation approach for complex mixtures is a two-dimensional (2D) separation strategy known as </w:t>
      </w:r>
      <w:r w:rsidR="00EC6439" w:rsidRPr="00B879D0">
        <w:t>Multidimensional Protein Identification Technology (MudPIT</w:t>
      </w:r>
      <w:r w:rsidR="00EC6439">
        <w:t>)</w:t>
      </w:r>
      <w:sdt>
        <w:sdtPr>
          <w:rPr>
            <w:color w:val="000000"/>
            <w:vertAlign w:val="superscript"/>
          </w:rPr>
          <w:tag w:val="MENDELEY_CITATION_v3_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"/>
          <w:id w:val="197441751"/>
          <w:placeholder>
            <w:docPart w:val="74C27E6325B7444F858DE8FB2154F2C9"/>
          </w:placeholder>
        </w:sdtPr>
        <w:sdtEndPr/>
        <w:sdtContent>
          <w:r w:rsidR="003204EA" w:rsidRPr="003204EA">
            <w:rPr>
              <w:color w:val="000000"/>
              <w:vertAlign w:val="superscript"/>
            </w:rPr>
            <w:t>70</w:t>
          </w:r>
        </w:sdtContent>
      </w:sdt>
      <w:r w:rsidR="00EC6439" w:rsidRPr="00B879D0">
        <w:t xml:space="preserve">. </w:t>
      </w:r>
      <w:r w:rsidR="00E30B11">
        <w:t xml:space="preserve">The approach exploits two stationary phases, RP and </w:t>
      </w:r>
      <w:r w:rsidR="00172FA1">
        <w:t xml:space="preserve">SCX, for orthogonal separation of peptides by both </w:t>
      </w:r>
      <w:r w:rsidR="00172FA1" w:rsidRPr="00555587">
        <w:t xml:space="preserve">hydrophobicity and </w:t>
      </w:r>
      <w:r w:rsidR="00692E49" w:rsidRPr="00555587">
        <w:t>charge</w:t>
      </w:r>
      <w:r w:rsidR="00A572D1" w:rsidRPr="00555587">
        <w:t xml:space="preserve"> (</w:t>
      </w:r>
      <w:r w:rsidR="00A572D1" w:rsidRPr="00555587">
        <w:rPr>
          <w:b/>
        </w:rPr>
        <w:t>Figure 2</w:t>
      </w:r>
      <w:r w:rsidR="005D27CC">
        <w:rPr>
          <w:b/>
        </w:rPr>
        <w:t>-</w:t>
      </w:r>
      <w:r w:rsidR="00D76613" w:rsidRPr="00555587">
        <w:rPr>
          <w:b/>
        </w:rPr>
        <w:t>3</w:t>
      </w:r>
      <w:r w:rsidR="00A572D1" w:rsidRPr="00555587">
        <w:t>)</w:t>
      </w:r>
      <w:r w:rsidR="00692E49" w:rsidRPr="00555587">
        <w:t>.</w:t>
      </w:r>
      <w:r w:rsidR="00C079B0" w:rsidRPr="00555587">
        <w:t xml:space="preserve"> </w:t>
      </w:r>
      <w:r w:rsidR="00EC6439" w:rsidRPr="00555587">
        <w:t>It</w:t>
      </w:r>
      <w:r w:rsidR="00EC6439" w:rsidRPr="00B879D0">
        <w:t xml:space="preserve"> </w:t>
      </w:r>
      <w:r w:rsidR="00EC6439">
        <w:t>can be a</w:t>
      </w:r>
      <w:r w:rsidR="00EC6439" w:rsidRPr="00B879D0">
        <w:t xml:space="preserve"> fully automated, online two-dimensional separation approach where samples are loaded onto back and front columns for </w:t>
      </w:r>
      <w:r w:rsidR="00EC6439">
        <w:t xml:space="preserve">in-line </w:t>
      </w:r>
      <w:r w:rsidR="00EC6439" w:rsidRPr="00B879D0">
        <w:t>clean-up and separation prior to MS/MS</w:t>
      </w:r>
      <w:r w:rsidR="00C079B0">
        <w:t xml:space="preserve"> to minimize sample loss</w:t>
      </w:r>
      <w:r w:rsidR="00EC6439" w:rsidRPr="00B879D0">
        <w:t xml:space="preserve">. </w:t>
      </w:r>
      <w:r w:rsidR="00EC6439">
        <w:t xml:space="preserve"> </w:t>
      </w:r>
    </w:p>
    <w:p w14:paraId="3DE69C71" w14:textId="74711F0C" w:rsidR="00FF2BE4" w:rsidRDefault="00EC6439" w:rsidP="00FF2BE4">
      <w:r>
        <w:rPr>
          <w:bCs/>
        </w:rPr>
        <w:t>There are t</w:t>
      </w:r>
      <w:r w:rsidRPr="00B879D0">
        <w:t>hree major steps of the approach:</w:t>
      </w:r>
      <w:r>
        <w:t xml:space="preserve"> (1) sample loading, (2) salt cuts, and (3) LC-MS/MS analysis. </w:t>
      </w:r>
      <w:r w:rsidRPr="00B879D0">
        <w:t>In th</w:t>
      </w:r>
      <w:r>
        <w:t>e first</w:t>
      </w:r>
      <w:r w:rsidRPr="00B879D0">
        <w:t xml:space="preserve"> step, the sample is loaded </w:t>
      </w:r>
      <w:r>
        <w:t>onto the</w:t>
      </w:r>
      <w:r w:rsidRPr="00B879D0">
        <w:t xml:space="preserve"> RP segment of the back column for washing and desalting with solvent A</w:t>
      </w:r>
      <w:r w:rsidR="005F4BAF">
        <w:t xml:space="preserve"> (low organic </w:t>
      </w:r>
      <w:r w:rsidR="00841B27">
        <w:t>content)</w:t>
      </w:r>
      <w:r w:rsidRPr="00B879D0">
        <w:t xml:space="preserve">.  </w:t>
      </w:r>
      <w:r w:rsidR="00787E59" w:rsidRPr="00787E59">
        <w:t xml:space="preserve">Then solvent B (high organic content) is flowed over the column and the peptides are eluted from the RP onto the SCX segment of the column for the second step of the process. In the second step, peptides are separated by charge/ionic strength.  Step elution of SCX is conducted by flowing increasing amounts of ammonium acetate across the column to displace fractions of peptides from the SCX onto the second RP </w:t>
      </w:r>
      <w:r w:rsidR="00413812" w:rsidRPr="00787E59">
        <w:t xml:space="preserve">segment of the back column. The fraction of peptides that has been pushed on to the </w:t>
      </w:r>
      <w:r w:rsidR="00FF2BE4">
        <w:br w:type="page"/>
      </w:r>
    </w:p>
    <w:p w14:paraId="5B3DF88F" w14:textId="77777777" w:rsidR="00B72647" w:rsidRPr="00555587" w:rsidRDefault="00B72647" w:rsidP="00B72647">
      <w:pPr>
        <w:keepNext/>
        <w:ind w:firstLine="22"/>
      </w:pPr>
      <w:r w:rsidRPr="00555587">
        <w:rPr>
          <w:noProof/>
        </w:rPr>
        <w:lastRenderedPageBreak/>
        <w:drawing>
          <wp:inline distT="0" distB="0" distL="0" distR="0" wp14:anchorId="327088F9" wp14:editId="224384F6">
            <wp:extent cx="5486400" cy="3649345"/>
            <wp:effectExtent l="0" t="0" r="0" b="0"/>
            <wp:docPr id="2412" name="Picture 241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2" name="Picture 2412" descr="Graphical user interface&#10;&#10;Description automatically generated"/>
                    <pic:cNvPicPr/>
                  </pic:nvPicPr>
                  <pic:blipFill>
                    <a:blip r:embed="rId27"/>
                    <a:stretch>
                      <a:fillRect/>
                    </a:stretch>
                  </pic:blipFill>
                  <pic:spPr>
                    <a:xfrm>
                      <a:off x="0" y="0"/>
                      <a:ext cx="5486400" cy="3649345"/>
                    </a:xfrm>
                    <a:prstGeom prst="rect">
                      <a:avLst/>
                    </a:prstGeom>
                  </pic:spPr>
                </pic:pic>
              </a:graphicData>
            </a:graphic>
          </wp:inline>
        </w:drawing>
      </w:r>
    </w:p>
    <w:p w14:paraId="542EC8FE" w14:textId="304ABF2C" w:rsidR="00BA78B0" w:rsidRDefault="0060435B" w:rsidP="0060435B">
      <w:pPr>
        <w:pStyle w:val="Caption"/>
      </w:pPr>
      <w:bookmarkStart w:id="68" w:name="_Toc110246920"/>
      <w:r w:rsidRPr="0060435B">
        <w:t xml:space="preserve">Figure </w:t>
      </w:r>
      <w:fldSimple w:instr=" STYLEREF 1 \s ">
        <w:r w:rsidR="00AC2094">
          <w:rPr>
            <w:noProof/>
          </w:rPr>
          <w:t>2</w:t>
        </w:r>
      </w:fldSimple>
      <w:r w:rsidR="00AC2094">
        <w:noBreakHyphen/>
      </w:r>
      <w:fldSimple w:instr=" SEQ Figure \* ARABIC \s 1 ">
        <w:r w:rsidR="00AC2094">
          <w:rPr>
            <w:noProof/>
          </w:rPr>
          <w:t>3</w:t>
        </w:r>
      </w:fldSimple>
      <w:r w:rsidRPr="0060435B">
        <w:t xml:space="preserve">  MudPIT LC column set-up.</w:t>
      </w:r>
      <w:bookmarkEnd w:id="68"/>
      <w:r w:rsidR="00BA78B0">
        <w:fldChar w:fldCharType="begin"/>
      </w:r>
      <w:r w:rsidR="00BA78B0">
        <w:instrText xml:space="preserve"> </w:instrText>
      </w:r>
    </w:p>
    <w:p w14:paraId="69DC8418" w14:textId="77777777" w:rsidR="00BA78B0" w:rsidRDefault="00BA78B0" w:rsidP="0060435B">
      <w:pPr>
        <w:pStyle w:val="Caption"/>
      </w:pPr>
    </w:p>
    <w:p w14:paraId="692B0520" w14:textId="4E874998" w:rsidR="00B72647" w:rsidRPr="00235112" w:rsidRDefault="00BA78B0" w:rsidP="0060435B">
      <w:pPr>
        <w:pStyle w:val="Caption"/>
        <w:rPr>
          <w:b w:val="0"/>
          <w:bCs/>
        </w:rPr>
      </w:pPr>
      <w:r>
        <w:instrText xml:space="preserve"> </w:instrText>
      </w:r>
      <w:r>
        <w:fldChar w:fldCharType="end"/>
      </w:r>
      <w:r w:rsidR="0060435B" w:rsidRPr="0060435B">
        <w:t xml:space="preserve">  </w:t>
      </w:r>
      <w:r w:rsidR="0060435B" w:rsidRPr="00235112">
        <w:rPr>
          <w:b w:val="0"/>
          <w:bCs/>
        </w:rPr>
        <w:t>A triphasic back column is packed with C-18 resin and SCX resin for in-line clean-up desalting and orthogonal separation.  This back-column is paired with a C-18 RP packed analytical column.  Following chromatographic separations, peptides elute of the analytical column and are ionized using ESI before introduction into the mass spectrometer.</w:t>
      </w:r>
      <w:r w:rsidR="00B72647" w:rsidRPr="00235112">
        <w:rPr>
          <w:b w:val="0"/>
          <w:bCs/>
        </w:rPr>
        <w:br w:type="page"/>
      </w:r>
    </w:p>
    <w:p w14:paraId="3C042563" w14:textId="0CAA6025" w:rsidR="00FF2BE4" w:rsidRPr="00787E59" w:rsidRDefault="00FF2BE4" w:rsidP="00FF2BE4">
      <w:pPr>
        <w:ind w:firstLine="0"/>
      </w:pPr>
      <w:r w:rsidRPr="00787E59">
        <w:lastRenderedPageBreak/>
        <w:t>RP segment is ready for the third step in the approach.  In the final step of the process, peptides are separated based on hydrophobicity.  In this step, a gradient elution profile is set up where increasing concentrations of solvent B is applied to the column to separate peptides over the front column.  Eluting peptides are then directed into the ESI source for ionization and subsequent measurement by MS/MS.</w:t>
      </w:r>
    </w:p>
    <w:p w14:paraId="1E0D0704" w14:textId="20822EA0" w:rsidR="00EE7AD9" w:rsidRDefault="00FF2BE4" w:rsidP="00FF2BE4">
      <w:pPr>
        <w:rPr>
          <w:rFonts w:ascii="Times New Roman" w:hAnsi="Times New Roman" w:cs="Times New Roman"/>
        </w:rPr>
      </w:pPr>
      <w:r>
        <w:t xml:space="preserve">One alternative to the MudPIT approach using RP and SCX to separate peptide </w:t>
      </w:r>
      <w:r w:rsidR="00C17046">
        <w:rPr>
          <w:rFonts w:ascii="Times New Roman" w:hAnsi="Times New Roman" w:cs="Times New Roman"/>
        </w:rPr>
        <w:t xml:space="preserve">mixtures, another two-dimensional strategy exploits the separation of peptides based </w:t>
      </w:r>
      <w:r w:rsidR="00EE7AD9">
        <w:rPr>
          <w:rFonts w:ascii="Times New Roman" w:hAnsi="Times New Roman" w:cs="Times New Roman"/>
        </w:rPr>
        <w:t xml:space="preserve">on pH in combination with RP.  </w:t>
      </w:r>
      <w:r w:rsidR="00EE7AD9" w:rsidRPr="00165957">
        <w:rPr>
          <w:rFonts w:ascii="Times New Roman" w:hAnsi="Times New Roman" w:cs="Times New Roman"/>
        </w:rPr>
        <w:t xml:space="preserve">Changes in pH of the </w:t>
      </w:r>
      <w:r w:rsidR="00EE7AD9">
        <w:rPr>
          <w:rFonts w:ascii="Times New Roman" w:hAnsi="Times New Roman" w:cs="Times New Roman"/>
        </w:rPr>
        <w:t xml:space="preserve">peptide </w:t>
      </w:r>
      <w:r w:rsidR="00EE7AD9" w:rsidRPr="00165957">
        <w:rPr>
          <w:rFonts w:ascii="Times New Roman" w:hAnsi="Times New Roman" w:cs="Times New Roman"/>
        </w:rPr>
        <w:t xml:space="preserve">solution is used to protonate or deprotonate the peptides. Separation of the peptides is based on the protonation level.  At low pH, the peptides retain their protons because there are enough protons in the solution and the peptide will be retained on the RP column.  At higher pH, the peptides will be deprotonated and will no longer be retained on the RP column.  </w:t>
      </w:r>
    </w:p>
    <w:p w14:paraId="3EBFC12E" w14:textId="602ABCED" w:rsidR="00B72647" w:rsidRDefault="00B72647" w:rsidP="00B72647">
      <w:pPr>
        <w:ind w:left="0" w:firstLine="0"/>
      </w:pPr>
    </w:p>
    <w:p w14:paraId="5D62DDDF" w14:textId="601FCF74" w:rsidR="00B72647" w:rsidRDefault="00B72647" w:rsidP="00B72647">
      <w:pPr>
        <w:pStyle w:val="Heading4"/>
      </w:pPr>
      <w:bookmarkStart w:id="69" w:name="_Toc110250229"/>
      <w:bookmarkStart w:id="70" w:name="_Toc110250486"/>
      <w:bookmarkStart w:id="71" w:name="_Toc110250617"/>
      <w:r w:rsidRPr="00476931">
        <w:t>2.</w:t>
      </w:r>
      <w:r>
        <w:t>3.1.</w:t>
      </w:r>
      <w:r w:rsidR="00120069">
        <w:t>3</w:t>
      </w:r>
      <w:r w:rsidRPr="00476931">
        <w:t xml:space="preserve">  </w:t>
      </w:r>
      <w:r w:rsidR="00120069">
        <w:t>Column loading</w:t>
      </w:r>
      <w:r w:rsidR="0067780D">
        <w:t>.</w:t>
      </w:r>
      <w:bookmarkEnd w:id="69"/>
      <w:bookmarkEnd w:id="70"/>
      <w:bookmarkEnd w:id="71"/>
    </w:p>
    <w:p w14:paraId="03A56D52" w14:textId="34E69DE3" w:rsidR="00EC6439" w:rsidRPr="00165957" w:rsidRDefault="00EC6439" w:rsidP="00EC6439">
      <w:pPr>
        <w:rPr>
          <w:rFonts w:ascii="Times New Roman" w:hAnsi="Times New Roman" w:cs="Times New Roman"/>
        </w:rPr>
      </w:pPr>
    </w:p>
    <w:p w14:paraId="6FBA18C1" w14:textId="11E06CA7" w:rsidR="009902FF" w:rsidRDefault="00CF0FDF" w:rsidP="0062580A">
      <w:pPr>
        <w:rPr>
          <w:rFonts w:ascii="Times New Roman" w:hAnsi="Times New Roman" w:cs="Times New Roman"/>
        </w:rPr>
      </w:pPr>
      <w:r w:rsidRPr="00CF0FDF">
        <w:rPr>
          <w:rFonts w:ascii="Times New Roman" w:hAnsi="Times New Roman" w:cs="Times New Roman"/>
        </w:rPr>
        <w:t>Regardless of the liquid chromatography approached used to measure peptide mixtures, column loading is an important consideration. If insufficient amounts of peptides are loaded onto the column, this can result in ion signals that are below the mass spectrometer’s limit of detection. This leads to a reduction in the number of peptide and protein identifications.  It also hampers peak area quantification as the low signal-to-noise ratio makes peak integration difficult</w:t>
      </w:r>
      <w:sdt>
        <w:sdtPr>
          <w:rPr>
            <w:rFonts w:ascii="Times New Roman" w:hAnsi="Times New Roman" w:cs="Times New Roman"/>
            <w:color w:val="000000"/>
            <w:vertAlign w:val="superscript"/>
          </w:rPr>
          <w:tag w:val="MENDELEY_CITATION_v3_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"/>
          <w:id w:val="476105727"/>
          <w:placeholder>
            <w:docPart w:val="60839992AEFA4049810AC4BEE66ACD6B"/>
          </w:placeholder>
        </w:sdtPr>
        <w:sdtEndPr/>
        <w:sdtContent>
          <w:r w:rsidR="003204EA" w:rsidRPr="003204EA">
            <w:rPr>
              <w:rFonts w:ascii="Times New Roman" w:hAnsi="Times New Roman" w:cs="Times New Roman"/>
              <w:color w:val="000000"/>
              <w:vertAlign w:val="superscript"/>
            </w:rPr>
            <w:t>71</w:t>
          </w:r>
        </w:sdtContent>
      </w:sdt>
      <w:r w:rsidR="0062580A" w:rsidRPr="00B879D0">
        <w:rPr>
          <w:rFonts w:ascii="Times New Roman" w:hAnsi="Times New Roman" w:cs="Times New Roman"/>
        </w:rPr>
        <w:t xml:space="preserve">.  </w:t>
      </w:r>
      <w:r w:rsidR="00784D28" w:rsidRPr="00784D28">
        <w:rPr>
          <w:rFonts w:ascii="Times New Roman" w:hAnsi="Times New Roman" w:cs="Times New Roman"/>
        </w:rPr>
        <w:t>Column overloading, where excess amounts of peptides are added to the resin, has also been demonstrated to decrease peptide and protein identification rates</w:t>
      </w:r>
      <w:r w:rsidR="00784D28" w:rsidRPr="00784D28">
        <w:rPr>
          <w:rFonts w:ascii="Times New Roman" w:hAnsi="Times New Roman" w:cs="Times New Roman"/>
          <w:vertAlign w:val="superscript"/>
        </w:rPr>
        <w:t xml:space="preserve"> </w:t>
      </w:r>
      <w:sdt>
        <w:sdtPr>
          <w:rPr>
            <w:rFonts w:ascii="Times New Roman" w:hAnsi="Times New Roman" w:cs="Times New Roman"/>
            <w:color w:val="000000"/>
            <w:vertAlign w:val="superscript"/>
          </w:rPr>
          <w:tag w:val="MENDELEY_CITATION_v3_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"/>
          <w:id w:val="-1440525215"/>
          <w:placeholder>
            <w:docPart w:val="60839992AEFA4049810AC4BEE66ACD6B"/>
          </w:placeholder>
        </w:sdtPr>
        <w:sdtEndPr/>
        <w:sdtContent>
          <w:r w:rsidR="003204EA" w:rsidRPr="003204EA">
            <w:rPr>
              <w:rFonts w:ascii="Times New Roman" w:hAnsi="Times New Roman" w:cs="Times New Roman"/>
              <w:color w:val="000000"/>
              <w:vertAlign w:val="superscript"/>
            </w:rPr>
            <w:t>72</w:t>
          </w:r>
        </w:sdtContent>
      </w:sdt>
      <w:r w:rsidR="0062580A" w:rsidRPr="00B879D0">
        <w:rPr>
          <w:rFonts w:ascii="Times New Roman" w:hAnsi="Times New Roman" w:cs="Times New Roman"/>
        </w:rPr>
        <w:t xml:space="preserve">.  </w:t>
      </w:r>
      <w:r w:rsidR="00BD6073" w:rsidRPr="00BD6073">
        <w:rPr>
          <w:rFonts w:ascii="Times New Roman" w:hAnsi="Times New Roman" w:cs="Times New Roman"/>
        </w:rPr>
        <w:t>Column overloading results in peak tailing, retention time shifts, high ionization competition, and poorer peptide separation</w:t>
      </w:r>
      <w:r w:rsidR="00BD6073" w:rsidRPr="00BD6073">
        <w:rPr>
          <w:rFonts w:ascii="Times New Roman" w:hAnsi="Times New Roman" w:cs="Times New Roman"/>
          <w:vertAlign w:val="superscript"/>
        </w:rPr>
        <w:t xml:space="preserve"> </w:t>
      </w:r>
      <w:sdt>
        <w:sdtPr>
          <w:rPr>
            <w:rFonts w:ascii="Times New Roman" w:hAnsi="Times New Roman" w:cs="Times New Roman"/>
            <w:color w:val="000000"/>
            <w:vertAlign w:val="superscript"/>
          </w:rPr>
          <w:tag w:val="MENDELEY_CITATION_v3_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"/>
          <w:id w:val="-239948972"/>
          <w:placeholder>
            <w:docPart w:val="60839992AEFA4049810AC4BEE66ACD6B"/>
          </w:placeholder>
        </w:sdtPr>
        <w:sdtEndPr/>
        <w:sdtContent>
          <w:r w:rsidR="003204EA" w:rsidRPr="003204EA">
            <w:rPr>
              <w:rFonts w:ascii="Times New Roman" w:hAnsi="Times New Roman" w:cs="Times New Roman"/>
              <w:color w:val="000000"/>
              <w:vertAlign w:val="superscript"/>
            </w:rPr>
            <w:t>71</w:t>
          </w:r>
        </w:sdtContent>
      </w:sdt>
      <w:r w:rsidR="0062580A" w:rsidRPr="00B879D0">
        <w:rPr>
          <w:rFonts w:ascii="Times New Roman" w:hAnsi="Times New Roman" w:cs="Times New Roman"/>
        </w:rPr>
        <w:t xml:space="preserve">.   </w:t>
      </w:r>
      <w:r w:rsidR="00643DDB" w:rsidRPr="00B879D0">
        <w:rPr>
          <w:rFonts w:ascii="Times New Roman" w:hAnsi="Times New Roman" w:cs="Times New Roman"/>
        </w:rPr>
        <w:t>It can also lead to column clogging resulting in sample loss or increased variability in the sample measurements.</w:t>
      </w:r>
      <w:r w:rsidR="00643DDB">
        <w:rPr>
          <w:rFonts w:ascii="Times New Roman" w:hAnsi="Times New Roman" w:cs="Times New Roman"/>
        </w:rPr>
        <w:t xml:space="preserve">  </w:t>
      </w:r>
    </w:p>
    <w:p w14:paraId="580C1A6D" w14:textId="77777777" w:rsidR="00104B8F" w:rsidRDefault="00104B8F" w:rsidP="00104B8F">
      <w:pPr>
        <w:rPr>
          <w:rFonts w:ascii="Times New Roman" w:hAnsi="Times New Roman" w:cs="Times New Roman"/>
        </w:rPr>
      </w:pPr>
      <w:r>
        <w:rPr>
          <w:rFonts w:ascii="Times New Roman" w:hAnsi="Times New Roman" w:cs="Times New Roman"/>
        </w:rPr>
        <w:t xml:space="preserve">Work presented in Chapter 3 will explore how aspects of liquid chromatography can impact peptide identification for mixtures of varying complexity.  </w:t>
      </w:r>
      <w:r>
        <w:rPr>
          <w:rFonts w:ascii="Times New Roman" w:hAnsi="Times New Roman" w:cs="Times New Roman"/>
        </w:rPr>
        <w:lastRenderedPageBreak/>
        <w:t>In particular, the impact of different stationary phase separation strategies and column loading will be optimized for LC-MS/MS workflow of metaproteomics samples.</w:t>
      </w:r>
    </w:p>
    <w:p w14:paraId="593F5ED3" w14:textId="77777777" w:rsidR="00104B8F" w:rsidRDefault="00104B8F" w:rsidP="00973EB1">
      <w:pPr>
        <w:pStyle w:val="Heading3"/>
      </w:pPr>
    </w:p>
    <w:p w14:paraId="3F8ED057" w14:textId="31827A49" w:rsidR="00973EB1" w:rsidRDefault="00A94D8E" w:rsidP="00973EB1">
      <w:pPr>
        <w:pStyle w:val="Heading3"/>
      </w:pPr>
      <w:bookmarkStart w:id="72" w:name="_Toc110250230"/>
      <w:bookmarkStart w:id="73" w:name="_Toc110250487"/>
      <w:bookmarkStart w:id="74" w:name="_Toc110250618"/>
      <w:r w:rsidRPr="00476931">
        <w:t>2.</w:t>
      </w:r>
      <w:r>
        <w:t>3.</w:t>
      </w:r>
      <w:r w:rsidR="000E4ABC">
        <w:t>2</w:t>
      </w:r>
      <w:r w:rsidRPr="00476931">
        <w:t xml:space="preserve">  </w:t>
      </w:r>
      <w:r>
        <w:t>Mass Spectrometry</w:t>
      </w:r>
      <w:r w:rsidR="0067780D">
        <w:t>.</w:t>
      </w:r>
      <w:bookmarkEnd w:id="72"/>
      <w:bookmarkEnd w:id="73"/>
      <w:bookmarkEnd w:id="74"/>
    </w:p>
    <w:p w14:paraId="1D7A34F0" w14:textId="77777777" w:rsidR="00C4093E" w:rsidRPr="00C4093E" w:rsidRDefault="00C4093E" w:rsidP="00C4093E"/>
    <w:p w14:paraId="2C0664D0" w14:textId="76314579" w:rsidR="00C7784B" w:rsidRDefault="00A114F6" w:rsidP="00C7784B">
      <w:pPr>
        <w:rPr>
          <w:rFonts w:ascii="Times New Roman" w:hAnsi="Times New Roman" w:cs="Times New Roman"/>
        </w:rPr>
      </w:pPr>
      <w:r w:rsidRPr="00A114F6">
        <w:rPr>
          <w:rFonts w:ascii="Times New Roman" w:hAnsi="Times New Roman" w:cs="Times New Roman"/>
        </w:rPr>
        <w:t>In principle, mass spectrometers measure the mass-to-charge ratio (m/z) of gas-phase ions. The basic design of all mass spectrometers includes three primary components: (1) an ionization source, (2) a mass analyzer, and (3) an ion detector</w:t>
      </w:r>
      <w:r w:rsidRPr="00A114F6">
        <w:rPr>
          <w:rFonts w:ascii="Times New Roman" w:hAnsi="Times New Roman" w:cs="Times New Roman"/>
          <w:b/>
          <w:bCs/>
        </w:rPr>
        <w:t xml:space="preserve"> (Figure 2</w:t>
      </w:r>
      <w:r w:rsidR="005D27CC">
        <w:rPr>
          <w:rFonts w:ascii="Times New Roman" w:hAnsi="Times New Roman" w:cs="Times New Roman"/>
          <w:b/>
          <w:bCs/>
        </w:rPr>
        <w:t>-</w:t>
      </w:r>
      <w:r w:rsidRPr="00A114F6">
        <w:rPr>
          <w:rFonts w:ascii="Times New Roman" w:hAnsi="Times New Roman" w:cs="Times New Roman"/>
          <w:b/>
          <w:bCs/>
        </w:rPr>
        <w:t>4).</w:t>
      </w:r>
      <w:r w:rsidRPr="00A114F6">
        <w:rPr>
          <w:rFonts w:ascii="Times New Roman" w:hAnsi="Times New Roman" w:cs="Times New Roman"/>
        </w:rPr>
        <w:t xml:space="preserve">  After sample introduction to the mass spectrometer, the ion source </w:t>
      </w:r>
      <w:r w:rsidR="00601D4A">
        <w:rPr>
          <w:rFonts w:ascii="Times New Roman" w:hAnsi="Times New Roman" w:cs="Times New Roman"/>
        </w:rPr>
        <w:t xml:space="preserve">generates gas-phase ions which are separated by a mass analyzer and detected by the ion detector.   </w:t>
      </w:r>
      <w:r w:rsidR="00601D4A" w:rsidRPr="00A639E5">
        <w:rPr>
          <w:rFonts w:ascii="Times New Roman" w:hAnsi="Times New Roman" w:cs="Times New Roman"/>
        </w:rPr>
        <w:t xml:space="preserve">As there are </w:t>
      </w:r>
      <w:r w:rsidR="00601D4A">
        <w:rPr>
          <w:rFonts w:ascii="Times New Roman" w:hAnsi="Times New Roman" w:cs="Times New Roman"/>
        </w:rPr>
        <w:t>numerous combinations of MS components and therefore several</w:t>
      </w:r>
      <w:r w:rsidR="00601D4A" w:rsidRPr="00A639E5">
        <w:rPr>
          <w:rFonts w:ascii="Times New Roman" w:hAnsi="Times New Roman" w:cs="Times New Roman"/>
        </w:rPr>
        <w:t xml:space="preserve"> ways to ionize, analyze, and detect peptides</w:t>
      </w:r>
      <w:r w:rsidR="00601D4A">
        <w:rPr>
          <w:rFonts w:ascii="Times New Roman" w:hAnsi="Times New Roman" w:cs="Times New Roman"/>
        </w:rPr>
        <w:t xml:space="preserve">, </w:t>
      </w:r>
      <w:r w:rsidR="00601D4A" w:rsidRPr="00A639E5">
        <w:rPr>
          <w:rFonts w:ascii="Times New Roman" w:hAnsi="Times New Roman" w:cs="Times New Roman"/>
        </w:rPr>
        <w:t>there is no single MS instrument configuration that is superior to all others</w:t>
      </w:r>
      <w:r w:rsidR="00601D4A">
        <w:rPr>
          <w:rFonts w:ascii="Times New Roman" w:hAnsi="Times New Roman" w:cs="Times New Roman"/>
        </w:rPr>
        <w:t>.  However</w:t>
      </w:r>
      <w:r w:rsidR="00601D4A" w:rsidRPr="00A639E5">
        <w:rPr>
          <w:rFonts w:ascii="Times New Roman" w:hAnsi="Times New Roman" w:cs="Times New Roman"/>
        </w:rPr>
        <w:t xml:space="preserve">, </w:t>
      </w:r>
      <w:r w:rsidR="00601D4A">
        <w:rPr>
          <w:rFonts w:ascii="Times New Roman" w:hAnsi="Times New Roman" w:cs="Times New Roman"/>
        </w:rPr>
        <w:t xml:space="preserve">there are generally a few types of </w:t>
      </w:r>
      <w:r w:rsidR="00601D4A" w:rsidRPr="00A639E5">
        <w:rPr>
          <w:rFonts w:ascii="Times New Roman" w:hAnsi="Times New Roman" w:cs="Times New Roman"/>
        </w:rPr>
        <w:t xml:space="preserve">MS instrumentation </w:t>
      </w:r>
      <w:r w:rsidR="00601D4A">
        <w:rPr>
          <w:rFonts w:ascii="Times New Roman" w:hAnsi="Times New Roman" w:cs="Times New Roman"/>
        </w:rPr>
        <w:t xml:space="preserve">that </w:t>
      </w:r>
      <w:r w:rsidR="00601D4A" w:rsidRPr="00A639E5">
        <w:rPr>
          <w:rFonts w:ascii="Times New Roman" w:hAnsi="Times New Roman" w:cs="Times New Roman"/>
        </w:rPr>
        <w:t>dominate proteomics</w:t>
      </w:r>
      <w:r w:rsidR="00601D4A">
        <w:rPr>
          <w:rFonts w:ascii="Times New Roman" w:hAnsi="Times New Roman" w:cs="Times New Roman"/>
        </w:rPr>
        <w:t xml:space="preserve"> research due to the intrinsic capabilities of these instruments</w:t>
      </w:r>
      <w:r w:rsidR="00601D4A" w:rsidRPr="00A639E5">
        <w:rPr>
          <w:rFonts w:ascii="Times New Roman" w:hAnsi="Times New Roman" w:cs="Times New Roman"/>
        </w:rPr>
        <w:t>.</w:t>
      </w:r>
      <w:r w:rsidR="00601D4A">
        <w:rPr>
          <w:rFonts w:ascii="Times New Roman" w:hAnsi="Times New Roman" w:cs="Times New Roman"/>
        </w:rPr>
        <w:t xml:space="preserve"> Details about each of these mass spectrometer components that are relevant for the work presented throughout the dissertation are discussed in this section.  </w:t>
      </w:r>
    </w:p>
    <w:p w14:paraId="0365A6DF" w14:textId="77777777" w:rsidR="00B72647" w:rsidRDefault="00B72647" w:rsidP="00C7784B">
      <w:pPr>
        <w:rPr>
          <w:rFonts w:ascii="Times New Roman" w:hAnsi="Times New Roman" w:cs="Times New Roman"/>
        </w:rPr>
      </w:pPr>
    </w:p>
    <w:p w14:paraId="37D57F65" w14:textId="5A4327C1" w:rsidR="000E4ABC" w:rsidRDefault="000E4ABC" w:rsidP="000E4ABC">
      <w:pPr>
        <w:pStyle w:val="Heading4"/>
      </w:pPr>
      <w:bookmarkStart w:id="75" w:name="_Toc110250231"/>
      <w:bookmarkStart w:id="76" w:name="_Toc110250488"/>
      <w:bookmarkStart w:id="77" w:name="_Toc110250619"/>
      <w:r w:rsidRPr="00476931">
        <w:t>2.</w:t>
      </w:r>
      <w:r>
        <w:t>3.2.1</w:t>
      </w:r>
      <w:r w:rsidRPr="00476931">
        <w:t xml:space="preserve">  </w:t>
      </w:r>
      <w:r>
        <w:t>Analytical figures of merit</w:t>
      </w:r>
      <w:r w:rsidR="0067780D">
        <w:t>.</w:t>
      </w:r>
      <w:bookmarkEnd w:id="75"/>
      <w:bookmarkEnd w:id="76"/>
      <w:bookmarkEnd w:id="77"/>
    </w:p>
    <w:p w14:paraId="2781AA07" w14:textId="77777777" w:rsidR="00C4093E" w:rsidRPr="00C4093E" w:rsidRDefault="00C4093E" w:rsidP="00C4093E"/>
    <w:p w14:paraId="0FA7E7B4" w14:textId="397F1B21" w:rsidR="00C4093E" w:rsidRDefault="005C1E03" w:rsidP="00C4093E">
      <w:r w:rsidRPr="005C1E03">
        <w:t xml:space="preserve">To determine the appropriate MS instrumentation required for a research project, it is useful to compare MS components based on some analytical figures of merit. There are several figures of merit that are used for evaluating MS instrumentation, some of which are depicted in </w:t>
      </w:r>
      <w:r w:rsidRPr="005C1E03">
        <w:rPr>
          <w:b/>
          <w:bCs/>
        </w:rPr>
        <w:t>Figure 2</w:t>
      </w:r>
      <w:r w:rsidR="005D27CC">
        <w:rPr>
          <w:b/>
          <w:bCs/>
        </w:rPr>
        <w:t>-</w:t>
      </w:r>
      <w:r w:rsidRPr="005C1E03">
        <w:rPr>
          <w:b/>
          <w:bCs/>
        </w:rPr>
        <w:t>5</w:t>
      </w:r>
      <w:r w:rsidRPr="005C1E03">
        <w:t xml:space="preserve">. These include mass resolution/resolving power (the ability to differentiate between two adjacent peaks in a mass spectrum, which can be given as the full width at half-height of a single well-resolved peak), mass accuracy (the difference between the measured mass to the calculated mass and stated as the error in terms of parts-per-million (ppm) or a percentage),  mass range (the range of molecular masses, from smallest to largest, that can be measured), dynamic range (the measure of the detection range that can be </w:t>
      </w:r>
      <w:r w:rsidR="00C4093E">
        <w:br w:type="page"/>
      </w:r>
    </w:p>
    <w:p w14:paraId="11C91880" w14:textId="77777777" w:rsidR="00C4093E" w:rsidRDefault="00C4093E" w:rsidP="00C4093E">
      <w:pPr>
        <w:pStyle w:val="BodyText"/>
        <w:keepNext/>
      </w:pPr>
      <w:r w:rsidRPr="000D7DE2">
        <w:rPr>
          <w:noProof/>
        </w:rPr>
        <w:lastRenderedPageBreak/>
        <w:drawing>
          <wp:inline distT="0" distB="0" distL="0" distR="0" wp14:anchorId="04BAA495" wp14:editId="0F710098">
            <wp:extent cx="5486400" cy="1363980"/>
            <wp:effectExtent l="0" t="0" r="0" b="0"/>
            <wp:docPr id="2432" name="Picture 2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486400" cy="1363980"/>
                    </a:xfrm>
                    <a:prstGeom prst="rect">
                      <a:avLst/>
                    </a:prstGeom>
                  </pic:spPr>
                </pic:pic>
              </a:graphicData>
            </a:graphic>
          </wp:inline>
        </w:drawing>
      </w:r>
    </w:p>
    <w:p w14:paraId="7C233445" w14:textId="1415E002" w:rsidR="00C4093E" w:rsidRDefault="00C4093E" w:rsidP="00C4093E">
      <w:pPr>
        <w:pStyle w:val="Caption"/>
      </w:pPr>
      <w:bookmarkStart w:id="78" w:name="_Toc110246921"/>
      <w:r>
        <w:t xml:space="preserve">Figure </w:t>
      </w:r>
      <w:fldSimple w:instr=" STYLEREF 1 \s ">
        <w:r w:rsidR="00AC2094">
          <w:rPr>
            <w:noProof/>
          </w:rPr>
          <w:t>2</w:t>
        </w:r>
      </w:fldSimple>
      <w:r w:rsidR="00AC2094">
        <w:noBreakHyphen/>
      </w:r>
      <w:fldSimple w:instr=" SEQ Figure \* ARABIC \s 1 ">
        <w:r w:rsidR="00AC2094">
          <w:rPr>
            <w:noProof/>
          </w:rPr>
          <w:t>4</w:t>
        </w:r>
      </w:fldSimple>
      <w:r>
        <w:t xml:space="preserve">  </w:t>
      </w:r>
      <w:r w:rsidRPr="00C4093E">
        <w:t xml:space="preserve">Components of a mass spectrometer.  </w:t>
      </w:r>
      <w:r w:rsidRPr="00235112">
        <w:rPr>
          <w:b w:val="0"/>
          <w:bCs/>
        </w:rPr>
        <w:t>All MS instrumentation contains components for ion generation, sorting, and detection.</w:t>
      </w:r>
      <w:bookmarkEnd w:id="78"/>
    </w:p>
    <w:p w14:paraId="2AC2D4F8" w14:textId="77777777" w:rsidR="00C4093E" w:rsidRDefault="00C4093E">
      <w:pPr>
        <w:spacing w:before="1"/>
      </w:pPr>
      <w:r>
        <w:br w:type="page"/>
      </w:r>
    </w:p>
    <w:p w14:paraId="642F7043" w14:textId="77777777" w:rsidR="00DF1A42" w:rsidRDefault="00DF1A42" w:rsidP="00DF1A42">
      <w:pPr>
        <w:pStyle w:val="BodyText"/>
        <w:keepNext/>
      </w:pPr>
      <w:r>
        <w:rPr>
          <w:noProof/>
        </w:rPr>
        <w:lastRenderedPageBreak/>
        <w:drawing>
          <wp:inline distT="0" distB="0" distL="0" distR="0" wp14:anchorId="0AB4F5B3" wp14:editId="7168A1F5">
            <wp:extent cx="5486400" cy="2723515"/>
            <wp:effectExtent l="0" t="0" r="0" b="0"/>
            <wp:docPr id="2077" name="Picture 207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 name="Picture 2077" descr="Diagram&#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86400" cy="2723515"/>
                    </a:xfrm>
                    <a:prstGeom prst="rect">
                      <a:avLst/>
                    </a:prstGeom>
                    <a:noFill/>
                  </pic:spPr>
                </pic:pic>
              </a:graphicData>
            </a:graphic>
          </wp:inline>
        </w:drawing>
      </w:r>
    </w:p>
    <w:p w14:paraId="5F01C77D" w14:textId="2AD42B75" w:rsidR="00DF1A42" w:rsidRPr="00235112" w:rsidRDefault="00DF1A42" w:rsidP="00DF1A42">
      <w:pPr>
        <w:pStyle w:val="Caption"/>
        <w:rPr>
          <w:b w:val="0"/>
          <w:bCs/>
        </w:rPr>
      </w:pPr>
      <w:bookmarkStart w:id="79" w:name="_Toc110246922"/>
      <w:r>
        <w:t xml:space="preserve">Figure </w:t>
      </w:r>
      <w:fldSimple w:instr=" STYLEREF 1 \s ">
        <w:r w:rsidR="00AC2094">
          <w:rPr>
            <w:noProof/>
          </w:rPr>
          <w:t>2</w:t>
        </w:r>
      </w:fldSimple>
      <w:r w:rsidR="00AC2094">
        <w:noBreakHyphen/>
      </w:r>
      <w:fldSimple w:instr=" SEQ Figure \* ARABIC \s 1 ">
        <w:r w:rsidR="00AC2094">
          <w:rPr>
            <w:noProof/>
          </w:rPr>
          <w:t>5</w:t>
        </w:r>
      </w:fldSimple>
      <w:r>
        <w:t xml:space="preserve">  </w:t>
      </w:r>
      <w:r w:rsidRPr="00DF1A42">
        <w:t>Analytical figure of merit.</w:t>
      </w:r>
      <w:bookmarkEnd w:id="79"/>
      <w:r w:rsidRPr="008B2544">
        <w:rPr>
          <w:bCs/>
        </w:rPr>
        <w:t xml:space="preserve">  </w:t>
      </w:r>
      <w:r w:rsidRPr="00235112">
        <w:rPr>
          <w:b w:val="0"/>
          <w:bCs/>
        </w:rPr>
        <w:fldChar w:fldCharType="begin"/>
      </w:r>
      <w:r w:rsidRPr="00235112">
        <w:rPr>
          <w:b w:val="0"/>
          <w:bCs/>
        </w:rPr>
        <w:instrText xml:space="preserve"> </w:instrText>
      </w:r>
    </w:p>
    <w:p w14:paraId="624EFBBF" w14:textId="77777777" w:rsidR="00DF1A42" w:rsidRPr="00235112" w:rsidRDefault="00DF1A42" w:rsidP="00DF1A42">
      <w:pPr>
        <w:pStyle w:val="Caption"/>
        <w:rPr>
          <w:b w:val="0"/>
          <w:bCs/>
        </w:rPr>
      </w:pPr>
    </w:p>
    <w:p w14:paraId="0AF2B1A1" w14:textId="6803ACFF" w:rsidR="00DF1A42" w:rsidRPr="00235112" w:rsidRDefault="00DF1A42" w:rsidP="00DF1A42">
      <w:pPr>
        <w:pStyle w:val="Caption"/>
        <w:rPr>
          <w:b w:val="0"/>
          <w:bCs/>
        </w:rPr>
      </w:pPr>
      <w:r w:rsidRPr="00235112">
        <w:rPr>
          <w:b w:val="0"/>
          <w:bCs/>
        </w:rPr>
        <w:instrText xml:space="preserve"> </w:instrText>
      </w:r>
      <w:r w:rsidRPr="00235112">
        <w:rPr>
          <w:b w:val="0"/>
          <w:bCs/>
        </w:rPr>
        <w:fldChar w:fldCharType="end"/>
      </w:r>
      <w:r w:rsidRPr="00235112">
        <w:rPr>
          <w:b w:val="0"/>
          <w:bCs/>
        </w:rPr>
        <w:t>Figure of merit relevant to the selection of MS instrumentation.</w:t>
      </w:r>
    </w:p>
    <w:p w14:paraId="2DBC633B" w14:textId="071FA5FC" w:rsidR="00DF1A42" w:rsidRDefault="00DF1A42" w:rsidP="00DF1A42">
      <w:pPr>
        <w:pStyle w:val="BodyText"/>
      </w:pPr>
      <w:r>
        <w:br w:type="page"/>
      </w:r>
    </w:p>
    <w:p w14:paraId="6C64385C" w14:textId="0A63B250" w:rsidR="005C1E03" w:rsidRDefault="005C1E03" w:rsidP="00DF1A42">
      <w:pPr>
        <w:ind w:firstLine="0"/>
      </w:pPr>
      <w:r w:rsidRPr="005C1E03">
        <w:lastRenderedPageBreak/>
        <w:t>detected in a single sample and is calculated as the ratio between the largest and smallest detectable signal), the duty cycle (which is the fraction of time that an instrument is collecting data), the detection limits (defined as the smallest amount of sample that can be detected with a signal to noise ratio of 3:1), and the scan speed (which is the number of spectra that can be collected in a given unit of time).  Relevant figures of merit for metaproteomics measurements will be described in this chapter.</w:t>
      </w:r>
    </w:p>
    <w:p w14:paraId="125AC345" w14:textId="77777777" w:rsidR="00C4093E" w:rsidRDefault="00C4093E" w:rsidP="005C1E03"/>
    <w:p w14:paraId="435DBB9D" w14:textId="5D591059" w:rsidR="00883868" w:rsidRDefault="00883868" w:rsidP="00883868">
      <w:pPr>
        <w:pStyle w:val="Heading4"/>
      </w:pPr>
      <w:bookmarkStart w:id="80" w:name="_Toc110250232"/>
      <w:bookmarkStart w:id="81" w:name="_Toc110250489"/>
      <w:bookmarkStart w:id="82" w:name="_Toc110250620"/>
      <w:r w:rsidRPr="00476931">
        <w:t>2.</w:t>
      </w:r>
      <w:r>
        <w:t>3.2.2</w:t>
      </w:r>
      <w:r w:rsidRPr="00476931">
        <w:t xml:space="preserve">  </w:t>
      </w:r>
      <w:r>
        <w:t>Ionization sources</w:t>
      </w:r>
      <w:r w:rsidR="0067780D">
        <w:t>.</w:t>
      </w:r>
      <w:bookmarkEnd w:id="80"/>
      <w:bookmarkEnd w:id="81"/>
      <w:bookmarkEnd w:id="82"/>
    </w:p>
    <w:p w14:paraId="498C1CC2" w14:textId="77777777" w:rsidR="00C4093E" w:rsidRDefault="00C4093E" w:rsidP="00883868">
      <w:pPr>
        <w:rPr>
          <w:rFonts w:ascii="Times New Roman" w:hAnsi="Times New Roman" w:cs="Times New Roman"/>
        </w:rPr>
      </w:pPr>
    </w:p>
    <w:p w14:paraId="66B4C1D1" w14:textId="12F6D584" w:rsidR="00C4093E" w:rsidRPr="00C4093E" w:rsidRDefault="00883868" w:rsidP="00D71B8C">
      <w:pPr>
        <w:ind w:left="0" w:firstLine="0"/>
        <w:rPr>
          <w:rFonts w:ascii="Times New Roman" w:hAnsi="Times New Roman" w:cs="Times New Roman"/>
        </w:rPr>
      </w:pPr>
      <w:r w:rsidRPr="00D30DEE">
        <w:rPr>
          <w:rFonts w:ascii="Times New Roman" w:hAnsi="Times New Roman" w:cs="Times New Roman"/>
        </w:rPr>
        <w:t>There are several ionization methods used in mass spectrometry, including electron ionization (EI), chemical ionization (CI), Atmospheric Pressure Chemical Ionization (APCI), Electrospray ionization (ESI), and Matrix-Assisted Laser</w:t>
      </w:r>
      <w:r w:rsidR="00D71B8C">
        <w:rPr>
          <w:rFonts w:ascii="Times New Roman" w:hAnsi="Times New Roman" w:cs="Times New Roman"/>
        </w:rPr>
        <w:t xml:space="preserve"> </w:t>
      </w:r>
      <w:r w:rsidR="00C4093E" w:rsidRPr="00C4093E">
        <w:rPr>
          <w:rFonts w:ascii="Times New Roman" w:hAnsi="Times New Roman" w:cs="Times New Roman"/>
        </w:rPr>
        <w:t>Desorption/Ionization (MALDI).  The primary factor for selecting an ionization technique is the type of analyte molecules being measured.  Two of the most common methods, ESI</w:t>
      </w:r>
      <w:r w:rsidR="00C4093E" w:rsidRPr="00C4093E">
        <w:rPr>
          <w:rFonts w:ascii="Times New Roman" w:hAnsi="Times New Roman" w:cs="Times New Roman"/>
          <w:vertAlign w:val="superscript"/>
        </w:rPr>
        <w:t xml:space="preserve"> </w:t>
      </w:r>
      <w:sdt>
        <w:sdtPr>
          <w:rPr>
            <w:rFonts w:ascii="Times New Roman" w:hAnsi="Times New Roman" w:cs="Times New Roman"/>
            <w:color w:val="000000"/>
            <w:vertAlign w:val="superscript"/>
          </w:rPr>
          <w:tag w:val="MENDELEY_CITATION_v3_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"/>
          <w:id w:val="-226918155"/>
          <w:placeholder>
            <w:docPart w:val="16BF8247761EF44F8D5B40A78238D0FC"/>
          </w:placeholder>
        </w:sdtPr>
        <w:sdtEndPr/>
        <w:sdtContent>
          <w:r w:rsidR="003204EA" w:rsidRPr="003204EA">
            <w:rPr>
              <w:rFonts w:ascii="Times New Roman" w:hAnsi="Times New Roman" w:cs="Times New Roman"/>
              <w:color w:val="000000"/>
              <w:vertAlign w:val="superscript"/>
            </w:rPr>
            <w:t>73</w:t>
          </w:r>
        </w:sdtContent>
      </w:sdt>
      <w:r w:rsidR="00C4093E" w:rsidRPr="00C4093E">
        <w:rPr>
          <w:rFonts w:ascii="Times New Roman" w:hAnsi="Times New Roman" w:cs="Times New Roman"/>
        </w:rPr>
        <w:t xml:space="preserve"> and MALDI</w:t>
      </w:r>
      <w:sdt>
        <w:sdtPr>
          <w:rPr>
            <w:rFonts w:ascii="Times New Roman" w:hAnsi="Times New Roman" w:cs="Times New Roman"/>
            <w:color w:val="000000"/>
            <w:vertAlign w:val="superscript"/>
          </w:rPr>
          <w:tag w:val="MENDELEY_CITATION_v3_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"/>
          <w:id w:val="-1696539257"/>
          <w:placeholder>
            <w:docPart w:val="16BF8247761EF44F8D5B40A78238D0FC"/>
          </w:placeholder>
        </w:sdtPr>
        <w:sdtEndPr/>
        <w:sdtContent>
          <w:r w:rsidR="003204EA" w:rsidRPr="003204EA">
            <w:rPr>
              <w:rFonts w:ascii="Times New Roman" w:hAnsi="Times New Roman" w:cs="Times New Roman"/>
              <w:color w:val="000000"/>
              <w:vertAlign w:val="superscript"/>
            </w:rPr>
            <w:t>74</w:t>
          </w:r>
        </w:sdtContent>
      </w:sdt>
      <w:r w:rsidR="00C4093E" w:rsidRPr="00C4093E">
        <w:rPr>
          <w:rFonts w:ascii="Times New Roman" w:hAnsi="Times New Roman" w:cs="Times New Roman"/>
        </w:rPr>
        <w:t xml:space="preserve">are soft ionization methods that are applicable for biological samples as they </w:t>
      </w:r>
      <w:proofErr w:type="gramStart"/>
      <w:r w:rsidR="00C4093E" w:rsidRPr="00C4093E">
        <w:rPr>
          <w:rFonts w:ascii="Times New Roman" w:hAnsi="Times New Roman" w:cs="Times New Roman"/>
        </w:rPr>
        <w:t>are able to</w:t>
      </w:r>
      <w:proofErr w:type="gramEnd"/>
      <w:r w:rsidR="00C4093E" w:rsidRPr="00C4093E">
        <w:rPr>
          <w:rFonts w:ascii="Times New Roman" w:hAnsi="Times New Roman" w:cs="Times New Roman"/>
        </w:rPr>
        <w:t xml:space="preserve"> convert larger molecular weight compounds, like peptides and proteins into gas-phase ions. Soft-ionization techniques are preferred for proteomics because hardly any internal energy is transferred to the ions, which minimizes in-source fragmentation</w:t>
      </w:r>
      <w:sdt>
        <w:sdtPr>
          <w:rPr>
            <w:rFonts w:ascii="Times New Roman" w:hAnsi="Times New Roman" w:cs="Times New Roman"/>
            <w:color w:val="000000"/>
            <w:vertAlign w:val="superscript"/>
          </w:rPr>
          <w:tag w:val="MENDELEY_CITATION_v3_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"/>
          <w:id w:val="-453407262"/>
          <w:placeholder>
            <w:docPart w:val="16BF8247761EF44F8D5B40A78238D0FC"/>
          </w:placeholder>
        </w:sdtPr>
        <w:sdtEndPr/>
        <w:sdtContent>
          <w:r w:rsidR="003204EA" w:rsidRPr="003204EA">
            <w:rPr>
              <w:rFonts w:ascii="Times New Roman" w:hAnsi="Times New Roman" w:cs="Times New Roman"/>
              <w:color w:val="000000"/>
              <w:vertAlign w:val="superscript"/>
            </w:rPr>
            <w:t>75</w:t>
          </w:r>
        </w:sdtContent>
      </w:sdt>
      <w:r w:rsidR="00C4093E" w:rsidRPr="00C4093E">
        <w:rPr>
          <w:rFonts w:ascii="Times New Roman" w:hAnsi="Times New Roman" w:cs="Times New Roman"/>
        </w:rPr>
        <w:t>.  As all work presented in this dissertation utilizes ESI, this method will be described in further detail.</w:t>
      </w:r>
    </w:p>
    <w:p w14:paraId="0BE3A525" w14:textId="338F3F10" w:rsidR="00DF1A42" w:rsidRDefault="00C4093E" w:rsidP="00DF1A42">
      <w:pPr>
        <w:rPr>
          <w:rFonts w:ascii="Times New Roman" w:hAnsi="Times New Roman" w:cs="Times New Roman"/>
        </w:rPr>
      </w:pPr>
      <w:proofErr w:type="gramStart"/>
      <w:r w:rsidRPr="00C4093E">
        <w:rPr>
          <w:rFonts w:ascii="Times New Roman" w:hAnsi="Times New Roman" w:cs="Times New Roman"/>
        </w:rPr>
        <w:t>In order to</w:t>
      </w:r>
      <w:proofErr w:type="gramEnd"/>
      <w:r w:rsidRPr="00C4093E">
        <w:rPr>
          <w:rFonts w:ascii="Times New Roman" w:hAnsi="Times New Roman" w:cs="Times New Roman"/>
        </w:rPr>
        <w:t xml:space="preserve"> transfer a charged peptide analyte from solution to the gas phase via ESI, there are three basic steps: (1) the production of charged droplets from the high-voltage capillary (emitter) tip when the analyte solution is introduced, (2) solvent evaporation and disintegration of the droplets into very small and highly charged droplets, and (3) the formation of gas-phase ions</w:t>
      </w:r>
      <w:sdt>
        <w:sdtPr>
          <w:rPr>
            <w:rFonts w:ascii="Times New Roman" w:hAnsi="Times New Roman" w:cs="Times New Roman"/>
            <w:color w:val="000000"/>
            <w:vertAlign w:val="superscript"/>
          </w:rPr>
          <w:tag w:val="MENDELEY_CITATION_v3_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"/>
          <w:id w:val="921528587"/>
          <w:placeholder>
            <w:docPart w:val="4688F8DCF71576478B947E0CC0D9EA17"/>
          </w:placeholder>
        </w:sdtPr>
        <w:sdtEndPr/>
        <w:sdtContent>
          <w:r w:rsidR="003204EA" w:rsidRPr="003204EA">
            <w:rPr>
              <w:rFonts w:ascii="Times New Roman" w:hAnsi="Times New Roman" w:cs="Times New Roman"/>
              <w:color w:val="000000"/>
              <w:vertAlign w:val="superscript"/>
            </w:rPr>
            <w:t>76</w:t>
          </w:r>
        </w:sdtContent>
      </w:sdt>
      <w:r w:rsidRPr="00C4093E">
        <w:rPr>
          <w:rFonts w:ascii="Times New Roman" w:hAnsi="Times New Roman" w:cs="Times New Roman"/>
        </w:rPr>
        <w:t xml:space="preserve"> </w:t>
      </w:r>
      <w:r w:rsidRPr="00C4093E">
        <w:rPr>
          <w:rFonts w:ascii="Times New Roman" w:hAnsi="Times New Roman" w:cs="Times New Roman"/>
          <w:b/>
          <w:bCs/>
        </w:rPr>
        <w:t>(Figure 2</w:t>
      </w:r>
      <w:r w:rsidR="005D27CC">
        <w:rPr>
          <w:rFonts w:ascii="Times New Roman" w:hAnsi="Times New Roman" w:cs="Times New Roman"/>
          <w:b/>
          <w:bCs/>
        </w:rPr>
        <w:t>-</w:t>
      </w:r>
      <w:r w:rsidRPr="00C4093E">
        <w:rPr>
          <w:rFonts w:ascii="Times New Roman" w:hAnsi="Times New Roman" w:cs="Times New Roman"/>
          <w:b/>
          <w:bCs/>
        </w:rPr>
        <w:t>6).</w:t>
      </w:r>
      <w:r w:rsidRPr="00C4093E">
        <w:rPr>
          <w:rFonts w:ascii="Times New Roman" w:hAnsi="Times New Roman" w:cs="Times New Roman"/>
        </w:rPr>
        <w:t xml:space="preserve"> Protonation or deprotonation of peptides is achieved through solvent additives.  For example, to generate positively charged peptide ions, acids such as trifluoroacetic acid (TFA) or formic acid (FA) are often added to peptide solvent to lower the pH of the mobile phase, which protonates the acidic side chains of the peptides. To produce charged droplets in positive ion mode, a high-voltage electric field is applied at the emitter tip </w:t>
      </w:r>
    </w:p>
    <w:p w14:paraId="0A6C5EAD" w14:textId="77777777" w:rsidR="00DF1A42" w:rsidRDefault="00DF1A42" w:rsidP="00DF1A42">
      <w:pPr>
        <w:pStyle w:val="BodyText"/>
        <w:keepNext/>
      </w:pPr>
      <w:r w:rsidRPr="0043552B">
        <w:rPr>
          <w:noProof/>
        </w:rPr>
        <w:lastRenderedPageBreak/>
        <w:drawing>
          <wp:inline distT="0" distB="0" distL="0" distR="0" wp14:anchorId="50C38E19" wp14:editId="792F40C0">
            <wp:extent cx="5342965" cy="3759316"/>
            <wp:effectExtent l="0" t="0" r="3810" b="0"/>
            <wp:docPr id="2433" name="Picture 2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355615" cy="3768216"/>
                    </a:xfrm>
                    <a:prstGeom prst="rect">
                      <a:avLst/>
                    </a:prstGeom>
                  </pic:spPr>
                </pic:pic>
              </a:graphicData>
            </a:graphic>
          </wp:inline>
        </w:drawing>
      </w:r>
    </w:p>
    <w:p w14:paraId="4C62C483" w14:textId="4F16FBE8" w:rsidR="00DF1A42" w:rsidRPr="00DF1A42" w:rsidRDefault="00DF1A42" w:rsidP="007B37FD">
      <w:pPr>
        <w:pStyle w:val="Caption"/>
        <w:rPr>
          <w:rFonts w:ascii="Times New Roman" w:hAnsi="Times New Roman" w:cs="Times New Roman"/>
        </w:rPr>
      </w:pPr>
      <w:bookmarkStart w:id="83" w:name="_Toc110246923"/>
      <w:r>
        <w:t xml:space="preserve">Figure </w:t>
      </w:r>
      <w:fldSimple w:instr=" STYLEREF 1 \s ">
        <w:r w:rsidR="00AC2094">
          <w:rPr>
            <w:noProof/>
          </w:rPr>
          <w:t>2</w:t>
        </w:r>
      </w:fldSimple>
      <w:r w:rsidR="00AC2094">
        <w:noBreakHyphen/>
      </w:r>
      <w:fldSimple w:instr=" SEQ Figure \* ARABIC \s 1 ">
        <w:r w:rsidR="00AC2094">
          <w:rPr>
            <w:noProof/>
          </w:rPr>
          <w:t>6</w:t>
        </w:r>
      </w:fldSimple>
      <w:r>
        <w:t xml:space="preserve">  </w:t>
      </w:r>
      <w:r w:rsidRPr="00DF1A42">
        <w:t>Schematic representation of the electrospray ionization (ESI) process.</w:t>
      </w:r>
      <w:bookmarkEnd w:id="83"/>
    </w:p>
    <w:p w14:paraId="4FC026EC" w14:textId="6C3BC789" w:rsidR="00DF1A42" w:rsidRPr="00DF1A42" w:rsidRDefault="00DF1A42" w:rsidP="007B37FD">
      <w:pPr>
        <w:pStyle w:val="Caption"/>
        <w:rPr>
          <w:rFonts w:ascii="Times New Roman" w:hAnsi="Times New Roman" w:cs="Times New Roman"/>
        </w:rPr>
      </w:pPr>
      <w:r w:rsidRPr="00DF1A42">
        <w:rPr>
          <w:rFonts w:ascii="Times New Roman" w:hAnsi="Times New Roman" w:cs="Times New Roman"/>
        </w:rPr>
        <w:br w:type="page"/>
      </w:r>
    </w:p>
    <w:p w14:paraId="529E069E" w14:textId="7E4B569E" w:rsidR="001A01A7" w:rsidRDefault="00C4093E" w:rsidP="00DF1A42">
      <w:pPr>
        <w:ind w:firstLine="0"/>
      </w:pPr>
      <w:r w:rsidRPr="00C4093E">
        <w:rPr>
          <w:rFonts w:ascii="Times New Roman" w:hAnsi="Times New Roman" w:cs="Times New Roman"/>
        </w:rPr>
        <w:lastRenderedPageBreak/>
        <w:t>from the LC set-up, which causes polarization of the solvent near the meniscus of the solution that contains the peptides or other analytes of interest. This leads to an enrichment of positive ions at the meniscus near the tip surface and negative ions away from the meniscus</w:t>
      </w:r>
      <w:sdt>
        <w:sdtPr>
          <w:rPr>
            <w:rFonts w:ascii="Times New Roman" w:hAnsi="Times New Roman" w:cs="Times New Roman"/>
            <w:color w:val="000000"/>
            <w:vertAlign w:val="superscript"/>
          </w:rPr>
          <w:tag w:val="MENDELEY_CITATION_v3_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"/>
          <w:id w:val="917450047"/>
          <w:placeholder>
            <w:docPart w:val="671794220FD21742877ADD322B48392D"/>
          </w:placeholder>
        </w:sdtPr>
        <w:sdtEndPr/>
        <w:sdtContent>
          <w:r w:rsidR="003204EA" w:rsidRPr="003204EA">
            <w:rPr>
              <w:rFonts w:ascii="Times New Roman" w:hAnsi="Times New Roman" w:cs="Times New Roman"/>
              <w:color w:val="000000"/>
              <w:vertAlign w:val="superscript"/>
            </w:rPr>
            <w:t>76</w:t>
          </w:r>
        </w:sdtContent>
      </w:sdt>
      <w:r w:rsidRPr="00C4093E">
        <w:rPr>
          <w:rFonts w:ascii="Times New Roman" w:hAnsi="Times New Roman" w:cs="Times New Roman"/>
        </w:rPr>
        <w:t>, leading to the formation of the “Taylor cone” where distortion of the meniscus creates a cone-shaped spray that points towards a counter electrode on the mass spectrometer.  As charged droplets get expelled from the emitter, they travel towards the mass spectrometer and the droplet solvent evaporates. As the solvent of the charged parent droplets evaporates, the droplets disintegrate into smaller offspring droplets</w:t>
      </w:r>
    </w:p>
    <w:p w14:paraId="15ED0813" w14:textId="7926C63F" w:rsidR="00FB7ED2" w:rsidRPr="00FB7ED2" w:rsidRDefault="00FB7ED2" w:rsidP="00FB7ED2">
      <w:pPr>
        <w:rPr>
          <w:rFonts w:ascii="Times New Roman" w:hAnsi="Times New Roman" w:cs="Times New Roman"/>
        </w:rPr>
      </w:pPr>
      <w:r w:rsidRPr="00FB7ED2">
        <w:rPr>
          <w:rFonts w:ascii="Times New Roman" w:hAnsi="Times New Roman" w:cs="Times New Roman"/>
        </w:rPr>
        <w:t xml:space="preserve">At this point, the gas-phase ions are formed from the highly charged droplets by one of two proposed mechanisms. Researchers debate this concept because there are opposing theories on the exact mechanism by which the final gas-phase ions are produced.  In the charge residual model, the charged droplets would only be able to get so small before the surface density of charges would become so high that some of the surface ions would be ejected and pushed directly into the gas phase.  In a second mechanism, the </w:t>
      </w:r>
      <w:proofErr w:type="gramStart"/>
      <w:r w:rsidRPr="00FB7ED2">
        <w:rPr>
          <w:rFonts w:ascii="Times New Roman" w:hAnsi="Times New Roman" w:cs="Times New Roman"/>
        </w:rPr>
        <w:t>highly-charged</w:t>
      </w:r>
      <w:proofErr w:type="gramEnd"/>
      <w:r w:rsidRPr="00FB7ED2">
        <w:rPr>
          <w:rFonts w:ascii="Times New Roman" w:hAnsi="Times New Roman" w:cs="Times New Roman"/>
        </w:rPr>
        <w:t xml:space="preserve"> droplets undergo asymmetric fission to form smaller droplets.  In this process, as enough solvent evaporates, the charged droplets reach an unstable state as they reach the Rayleigh limit, where the surface tension is equal to the repulsion forces of the charges</w:t>
      </w:r>
      <w:sdt>
        <w:sdtPr>
          <w:rPr>
            <w:rFonts w:ascii="Times New Roman" w:hAnsi="Times New Roman" w:cs="Times New Roman"/>
            <w:color w:val="000000"/>
            <w:vertAlign w:val="superscript"/>
          </w:rPr>
          <w:tag w:val="MENDELEY_CITATION_v3_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"/>
          <w:id w:val="179552068"/>
          <w:placeholder>
            <w:docPart w:val="15E59D60357241028F767E2764375FF7"/>
          </w:placeholder>
        </w:sdtPr>
        <w:sdtEndPr/>
        <w:sdtContent>
          <w:r w:rsidR="003204EA" w:rsidRPr="003204EA">
            <w:rPr>
              <w:rFonts w:ascii="Times New Roman" w:hAnsi="Times New Roman" w:cs="Times New Roman"/>
              <w:color w:val="000000"/>
              <w:vertAlign w:val="superscript"/>
            </w:rPr>
            <w:t>77</w:t>
          </w:r>
        </w:sdtContent>
      </w:sdt>
      <w:r w:rsidRPr="00FB7ED2">
        <w:rPr>
          <w:rFonts w:ascii="Times New Roman" w:hAnsi="Times New Roman" w:cs="Times New Roman"/>
        </w:rPr>
        <w:t>, and the droplets can no longer sustain the Coulomb force of repulsion.  At this point, the droplets undergo Coulomb fission, where a lot of small droplets that are highly charged will break from the larger parent droplet.     As the droplets break apart, they don’t break apart symmetrically. Each droplet typically loses 2% of the total mass and 15% of the total charge of the parent droplet after each fission event</w:t>
      </w:r>
      <w:sdt>
        <w:sdtPr>
          <w:rPr>
            <w:rFonts w:ascii="Times New Roman" w:hAnsi="Times New Roman" w:cs="Times New Roman"/>
            <w:color w:val="000000"/>
            <w:vertAlign w:val="superscript"/>
          </w:rPr>
          <w:tag w:val="MENDELEY_CITATION_v3_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"/>
          <w:id w:val="-200484592"/>
          <w:placeholder>
            <w:docPart w:val="15E59D60357241028F767E2764375FF7"/>
          </w:placeholder>
        </w:sdtPr>
        <w:sdtEndPr/>
        <w:sdtContent>
          <w:r w:rsidR="003204EA" w:rsidRPr="003204EA">
            <w:rPr>
              <w:rFonts w:ascii="Times New Roman" w:hAnsi="Times New Roman" w:cs="Times New Roman"/>
              <w:color w:val="000000"/>
              <w:vertAlign w:val="superscript"/>
            </w:rPr>
            <w:t>78</w:t>
          </w:r>
        </w:sdtContent>
      </w:sdt>
      <w:r w:rsidRPr="00FB7ED2">
        <w:rPr>
          <w:rFonts w:ascii="Times New Roman" w:hAnsi="Times New Roman" w:cs="Times New Roman"/>
        </w:rPr>
        <w:t xml:space="preserve">. This fission process continues until single ions, typically multiply charged, are emitted from the small droplets after </w:t>
      </w:r>
      <w:proofErr w:type="gramStart"/>
      <w:r w:rsidRPr="00FB7ED2">
        <w:rPr>
          <w:rFonts w:ascii="Times New Roman" w:hAnsi="Times New Roman" w:cs="Times New Roman"/>
        </w:rPr>
        <w:t>all of</w:t>
      </w:r>
      <w:proofErr w:type="gramEnd"/>
      <w:r w:rsidRPr="00FB7ED2">
        <w:rPr>
          <w:rFonts w:ascii="Times New Roman" w:hAnsi="Times New Roman" w:cs="Times New Roman"/>
        </w:rPr>
        <w:t xml:space="preserve"> the solvent has evaporated from the droplet.  Some of these </w:t>
      </w:r>
      <w:r w:rsidR="0069278D">
        <w:rPr>
          <w:rFonts w:ascii="Times New Roman" w:hAnsi="Times New Roman" w:cs="Times New Roman"/>
        </w:rPr>
        <w:t>desolvated</w:t>
      </w:r>
      <w:r w:rsidRPr="00FB7ED2">
        <w:rPr>
          <w:rFonts w:ascii="Times New Roman" w:hAnsi="Times New Roman" w:cs="Times New Roman"/>
        </w:rPr>
        <w:t xml:space="preserve"> ions then enter the enter the mass analyzer.</w:t>
      </w:r>
    </w:p>
    <w:p w14:paraId="415B77FA" w14:textId="104209F2" w:rsidR="00FB7ED2" w:rsidRPr="00FB7ED2" w:rsidRDefault="00FB7ED2" w:rsidP="00FB7ED2">
      <w:pPr>
        <w:rPr>
          <w:rFonts w:ascii="Times New Roman" w:hAnsi="Times New Roman" w:cs="Times New Roman"/>
        </w:rPr>
      </w:pPr>
      <w:r w:rsidRPr="00FB7ED2">
        <w:rPr>
          <w:rFonts w:ascii="Times New Roman" w:hAnsi="Times New Roman" w:cs="Times New Roman"/>
        </w:rPr>
        <w:t>One major drawback of ESI is that it susceptible to ion suppression.  In the presence of nonvolatile solutes, such as ammonium sulfate, changes the efficiency of droplet formation and evaporation, which inhibits formation of gas-phase ions</w:t>
      </w:r>
      <w:sdt>
        <w:sdtPr>
          <w:rPr>
            <w:rFonts w:ascii="Times New Roman" w:hAnsi="Times New Roman" w:cs="Times New Roman"/>
            <w:color w:val="000000"/>
            <w:vertAlign w:val="superscript"/>
          </w:rPr>
          <w:tag w:val="MENDELEY_CITATION_v3_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"/>
          <w:id w:val="-1251423665"/>
          <w:placeholder>
            <w:docPart w:val="651E05D9149D4E579EDEF346666232AA"/>
          </w:placeholder>
        </w:sdtPr>
        <w:sdtEndPr/>
        <w:sdtContent>
          <w:r w:rsidR="003204EA" w:rsidRPr="003204EA">
            <w:rPr>
              <w:rFonts w:ascii="Times New Roman" w:hAnsi="Times New Roman" w:cs="Times New Roman"/>
              <w:color w:val="000000"/>
              <w:vertAlign w:val="superscript"/>
            </w:rPr>
            <w:t>79</w:t>
          </w:r>
        </w:sdtContent>
      </w:sdt>
      <w:r w:rsidRPr="00FB7ED2">
        <w:rPr>
          <w:rFonts w:ascii="Times New Roman" w:hAnsi="Times New Roman" w:cs="Times New Roman"/>
        </w:rPr>
        <w:t xml:space="preserve">.  In </w:t>
      </w:r>
      <w:r w:rsidRPr="00FB7ED2">
        <w:rPr>
          <w:rFonts w:ascii="Times New Roman" w:hAnsi="Times New Roman" w:cs="Times New Roman"/>
        </w:rPr>
        <w:lastRenderedPageBreak/>
        <w:t>addition, in high concentration samples, the efficiency of ion formation is also decreased by competition between compounds for limited charges or space on the droplet surface</w:t>
      </w:r>
      <w:sdt>
        <w:sdtPr>
          <w:rPr>
            <w:rFonts w:ascii="Times New Roman" w:hAnsi="Times New Roman" w:cs="Times New Roman"/>
            <w:color w:val="000000"/>
            <w:vertAlign w:val="superscript"/>
          </w:rPr>
          <w:tag w:val="MENDELEY_CITATION_v3_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"/>
          <w:id w:val="-1882082514"/>
          <w:placeholder>
            <w:docPart w:val="651E05D9149D4E579EDEF346666232AA"/>
          </w:placeholder>
        </w:sdtPr>
        <w:sdtEndPr/>
        <w:sdtContent>
          <w:r w:rsidR="003204EA" w:rsidRPr="003204EA">
            <w:rPr>
              <w:rFonts w:ascii="Times New Roman" w:hAnsi="Times New Roman" w:cs="Times New Roman"/>
              <w:color w:val="000000"/>
              <w:vertAlign w:val="superscript"/>
            </w:rPr>
            <w:t>55</w:t>
          </w:r>
        </w:sdtContent>
      </w:sdt>
      <w:r w:rsidRPr="00FB7ED2">
        <w:rPr>
          <w:rFonts w:ascii="Times New Roman" w:hAnsi="Times New Roman" w:cs="Times New Roman"/>
        </w:rPr>
        <w:t>. To overcome or minimize ion suppression during ESI, several strategies can be implemented into the proteomics workflow.  These include protein clean-up/purifications steps like solid-phase extraction (SPE) or protein precipitation to remove salts from the sample, changing chromatographic conditions by shifting the retention times of eluting analytes away from regions affected by ion suppression or by changing mobile phase additives</w:t>
      </w:r>
      <w:sdt>
        <w:sdtPr>
          <w:rPr>
            <w:rFonts w:ascii="Times New Roman" w:hAnsi="Times New Roman" w:cs="Times New Roman"/>
            <w:color w:val="000000"/>
            <w:vertAlign w:val="superscript"/>
          </w:rPr>
          <w:tag w:val="MENDELEY_CITATION_v3_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"/>
          <w:id w:val="1105858113"/>
          <w:placeholder>
            <w:docPart w:val="651E05D9149D4E579EDEF346666232AA"/>
          </w:placeholder>
        </w:sdtPr>
        <w:sdtEndPr/>
        <w:sdtContent>
          <w:r w:rsidR="003204EA" w:rsidRPr="003204EA">
            <w:rPr>
              <w:rFonts w:ascii="Times New Roman" w:hAnsi="Times New Roman" w:cs="Times New Roman"/>
              <w:color w:val="000000"/>
              <w:vertAlign w:val="superscript"/>
            </w:rPr>
            <w:t>75</w:t>
          </w:r>
        </w:sdtContent>
      </w:sdt>
      <w:r w:rsidRPr="00FB7ED2">
        <w:rPr>
          <w:rFonts w:ascii="Times New Roman" w:hAnsi="Times New Roman" w:cs="Times New Roman"/>
        </w:rPr>
        <w:t>.  Another way to decrease ion suppression is by reducing the amount of sample being introduced to the ion source, through minimizing the volume of sample injected, diluting the sample, or reducing the ESI flow rates.  ESI flow rates can be substantially reduced by using nano-electrospray ionization (nano-ESI), which decreases the number of analytes and nonvolatile compounds being introduced into the source and enhances the droplet desolvation process</w:t>
      </w:r>
      <w:sdt>
        <w:sdtPr>
          <w:rPr>
            <w:rFonts w:ascii="Times New Roman" w:hAnsi="Times New Roman" w:cs="Times New Roman"/>
            <w:color w:val="000000"/>
            <w:vertAlign w:val="superscript"/>
          </w:rPr>
          <w:tag w:val="MENDELEY_CITATION_v3_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"/>
          <w:id w:val="710076432"/>
          <w:placeholder>
            <w:docPart w:val="651E05D9149D4E579EDEF346666232AA"/>
          </w:placeholder>
        </w:sdtPr>
        <w:sdtEndPr/>
        <w:sdtContent>
          <w:r w:rsidR="003204EA" w:rsidRPr="003204EA">
            <w:rPr>
              <w:rFonts w:ascii="Times New Roman" w:hAnsi="Times New Roman" w:cs="Times New Roman"/>
              <w:color w:val="000000"/>
              <w:vertAlign w:val="superscript"/>
            </w:rPr>
            <w:t>80,81</w:t>
          </w:r>
        </w:sdtContent>
      </w:sdt>
      <w:r w:rsidRPr="00FB7ED2">
        <w:rPr>
          <w:rFonts w:ascii="Times New Roman" w:hAnsi="Times New Roman" w:cs="Times New Roman"/>
        </w:rPr>
        <w:t xml:space="preserve">.  The advent of nano-ESI had greatly improved the sensitivity of ESI, which traditionally has been lower than MALDI, and is the ionization method of choice for peptide analysis of samples with limited amount of material available, which can be common in metaproteomics. </w:t>
      </w:r>
      <w:r w:rsidR="00DF1A42">
        <w:rPr>
          <w:rFonts w:ascii="Times New Roman" w:hAnsi="Times New Roman" w:cs="Times New Roman"/>
        </w:rPr>
        <w:t xml:space="preserve"> </w:t>
      </w:r>
      <w:r w:rsidRPr="00FB7ED2">
        <w:rPr>
          <w:rFonts w:ascii="Times New Roman" w:hAnsi="Times New Roman" w:cs="Times New Roman"/>
        </w:rPr>
        <w:t>Nano-ESI was used for all measurements presented in this dissertation.</w:t>
      </w:r>
    </w:p>
    <w:p w14:paraId="1867483E" w14:textId="624A50E7" w:rsidR="003129C0" w:rsidRPr="00A178E3" w:rsidRDefault="003129C0" w:rsidP="003129C0">
      <w:pPr>
        <w:rPr>
          <w:rFonts w:ascii="Times New Roman" w:hAnsi="Times New Roman" w:cs="Times New Roman"/>
        </w:rPr>
      </w:pPr>
    </w:p>
    <w:p w14:paraId="3438D1DE" w14:textId="3CD4FC20" w:rsidR="00024A46" w:rsidRDefault="00024A46" w:rsidP="00024A46">
      <w:pPr>
        <w:pStyle w:val="Heading4"/>
      </w:pPr>
      <w:bookmarkStart w:id="84" w:name="_Toc110250233"/>
      <w:bookmarkStart w:id="85" w:name="_Toc110250490"/>
      <w:bookmarkStart w:id="86" w:name="_Toc110250621"/>
      <w:r w:rsidRPr="00476931">
        <w:t>2.</w:t>
      </w:r>
      <w:r>
        <w:t>3.2.3</w:t>
      </w:r>
      <w:r w:rsidRPr="00476931">
        <w:t xml:space="preserve">  </w:t>
      </w:r>
      <w:r>
        <w:t>Mass analyzers and detectors</w:t>
      </w:r>
      <w:r w:rsidR="0067780D">
        <w:t>.</w:t>
      </w:r>
      <w:bookmarkEnd w:id="84"/>
      <w:bookmarkEnd w:id="85"/>
      <w:bookmarkEnd w:id="86"/>
    </w:p>
    <w:p w14:paraId="3E2F5F52" w14:textId="77777777" w:rsidR="00DF1A42" w:rsidRPr="00DF1A42" w:rsidRDefault="00DF1A42" w:rsidP="00DF1A42"/>
    <w:p w14:paraId="06B41674" w14:textId="5B4491F3" w:rsidR="00315964" w:rsidRDefault="005B2B86" w:rsidP="00315964">
      <w:pPr>
        <w:pStyle w:val="BodyText"/>
        <w:spacing w:line="362" w:lineRule="auto"/>
        <w:ind w:right="279" w:firstLine="720"/>
      </w:pPr>
      <w:r w:rsidRPr="005B2B86">
        <w:t>After ions have been transferred into the gas phase by ESI and introduced into the mass spectrometer, the mass analyzer separates ions by their m/z before they reach the ion detector where the number of ions that are resolved by the mass analyzer are recorded.  All mass analyzers selectively separate ions using either electric or magnetic fields that are static or dynamic. A mass analyzer can be used as a stand-alone system or can be combined into tandem MS (MS/MS) systems depending on research needs</w:t>
      </w:r>
      <w:sdt>
        <w:sdtPr>
          <w:rPr>
            <w:color w:val="000000"/>
            <w:vertAlign w:val="superscript"/>
          </w:rPr>
          <w:tag w:val="MENDELEY_CITATION_v3_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"/>
          <w:id w:val="-1400060093"/>
          <w:placeholder>
            <w:docPart w:val="78A60C9921FB4893B16C8EB65E71E822"/>
          </w:placeholder>
        </w:sdtPr>
        <w:sdtEndPr/>
        <w:sdtContent>
          <w:r w:rsidR="003204EA" w:rsidRPr="003204EA">
            <w:rPr>
              <w:color w:val="000000"/>
              <w:vertAlign w:val="superscript"/>
            </w:rPr>
            <w:t>82</w:t>
          </w:r>
        </w:sdtContent>
      </w:sdt>
      <w:r w:rsidRPr="005B2B86">
        <w:t>.  For proteomics workflows that use ESI for ion generation, four types of mass analyzers are generally employed: (1) ion traps (including quadrupole ion traps, linear ion traps, and Orbitraps), (2) quadrupoles, (3) time-of-flight (TOF), and (4) Fourier-</w:t>
      </w:r>
      <w:r w:rsidRPr="005B2B86">
        <w:lastRenderedPageBreak/>
        <w:t>transform ion cyclotron resonance (FTICR) mass analyzers</w:t>
      </w:r>
      <w:sdt>
        <w:sdtPr>
          <w:rPr>
            <w:color w:val="000000"/>
            <w:vertAlign w:val="superscript"/>
          </w:rPr>
          <w:tag w:val="MENDELEY_CITATION_v3_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"/>
          <w:id w:val="-1532187044"/>
          <w:placeholder>
            <w:docPart w:val="DefaultPlaceholder_-1854013440"/>
          </w:placeholder>
        </w:sdtPr>
        <w:sdtEndPr/>
        <w:sdtContent>
          <w:r w:rsidR="003204EA" w:rsidRPr="003204EA">
            <w:rPr>
              <w:rFonts w:eastAsia="Times New Roman"/>
              <w:color w:val="000000"/>
              <w:vertAlign w:val="superscript"/>
            </w:rPr>
            <w:t>83</w:t>
          </w:r>
        </w:sdtContent>
      </w:sdt>
      <w:r w:rsidR="00601F0A">
        <w:t xml:space="preserve">.  </w:t>
      </w:r>
      <w:r w:rsidR="00A30864" w:rsidRPr="00A30864">
        <w:t>Hybrid instruments</w:t>
      </w:r>
      <w:r w:rsidR="00A30864">
        <w:t>, which have</w:t>
      </w:r>
      <w:r w:rsidR="00A30864" w:rsidRPr="00A30864">
        <w:t xml:space="preserve"> been designed to combine the</w:t>
      </w:r>
      <w:r w:rsidR="00D8649C">
        <w:t xml:space="preserve"> analytical characteristics and</w:t>
      </w:r>
      <w:r w:rsidR="00A30864" w:rsidRPr="00A30864">
        <w:t xml:space="preserve"> capabilities of different mass analyzers</w:t>
      </w:r>
      <w:r w:rsidR="00D8649C">
        <w:t xml:space="preserve"> are used in bottom-up </w:t>
      </w:r>
      <w:r w:rsidR="00950769">
        <w:t>MS/MS proteomics for peptide sequence identification.</w:t>
      </w:r>
    </w:p>
    <w:p w14:paraId="13576F74" w14:textId="209CBE48" w:rsidR="0062449A" w:rsidRDefault="00532B83" w:rsidP="0062449A">
      <w:pPr>
        <w:pStyle w:val="BodyText"/>
        <w:spacing w:line="360" w:lineRule="auto"/>
        <w:ind w:right="279" w:firstLine="720"/>
      </w:pPr>
      <w:r>
        <w:t>Among the most common mass analyzers used currently for bottom</w:t>
      </w:r>
      <w:r w:rsidR="00033F51">
        <w:t>-</w:t>
      </w:r>
      <w:r>
        <w:t>up proteomics is the Orbitrap.  D</w:t>
      </w:r>
      <w:r w:rsidR="00EB193A">
        <w:t xml:space="preserve">ata acquisition </w:t>
      </w:r>
      <w:r w:rsidR="00DA6244" w:rsidRPr="00DA6244">
        <w:t xml:space="preserve">in an </w:t>
      </w:r>
      <w:r w:rsidR="00EB193A">
        <w:t>O</w:t>
      </w:r>
      <w:r w:rsidR="00DA6244" w:rsidRPr="00DA6244">
        <w:t xml:space="preserve">rbitrap </w:t>
      </w:r>
      <w:r w:rsidR="00EB193A">
        <w:t>mass analyzer</w:t>
      </w:r>
      <w:r w:rsidR="00DA6244" w:rsidRPr="00DA6244">
        <w:t xml:space="preserve"> is based on Fourier transformation</w:t>
      </w:r>
      <w:r w:rsidR="00EB193A">
        <w:t>s</w:t>
      </w:r>
      <w:r w:rsidR="00DA6244" w:rsidRPr="00DA6244">
        <w:t xml:space="preserve"> of image currents of trapped ions</w:t>
      </w:r>
      <w:sdt>
        <w:sdtPr>
          <w:rPr>
            <w:color w:val="000000"/>
            <w:vertAlign w:val="superscript"/>
          </w:rPr>
          <w:tag w:val="MENDELEY_CITATION_v3_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"/>
          <w:id w:val="745454201"/>
          <w:placeholder>
            <w:docPart w:val="DefaultPlaceholder_-1854013440"/>
          </w:placeholder>
        </w:sdtPr>
        <w:sdtEndPr/>
        <w:sdtContent>
          <w:r w:rsidR="003204EA" w:rsidRPr="003204EA">
            <w:rPr>
              <w:rFonts w:eastAsia="Times New Roman"/>
              <w:color w:val="000000"/>
              <w:vertAlign w:val="superscript"/>
            </w:rPr>
            <w:t>82</w:t>
          </w:r>
        </w:sdtContent>
      </w:sdt>
      <w:r w:rsidR="00DA6244" w:rsidRPr="00DA6244">
        <w:t>.</w:t>
      </w:r>
      <w:r w:rsidR="00DA6244">
        <w:t xml:space="preserve"> </w:t>
      </w:r>
      <w:r w:rsidR="00E256D5">
        <w:t>The Orbitrap mass analyze</w:t>
      </w:r>
      <w:r w:rsidR="00461DF4">
        <w:t>r operates as a</w:t>
      </w:r>
      <w:r>
        <w:t>n</w:t>
      </w:r>
      <w:r w:rsidR="00461DF4">
        <w:t xml:space="preserve"> electrostatic trap that is composed of</w:t>
      </w:r>
      <w:r w:rsidR="00DA79D5">
        <w:t xml:space="preserve"> three electrodes. </w:t>
      </w:r>
      <w:r w:rsidR="00F15021">
        <w:t>It contains</w:t>
      </w:r>
      <w:r w:rsidR="00461DF4">
        <w:tab/>
      </w:r>
      <w:r w:rsidR="0045534C">
        <w:t xml:space="preserve"> two </w:t>
      </w:r>
      <w:r w:rsidR="00200B8C">
        <w:t xml:space="preserve">cup-shaped </w:t>
      </w:r>
      <w:r w:rsidR="0045534C">
        <w:t>outer electrodes</w:t>
      </w:r>
      <w:r w:rsidR="00F15021">
        <w:t xml:space="preserve"> that </w:t>
      </w:r>
      <w:r w:rsidR="00200B8C">
        <w:t>are facing each other</w:t>
      </w:r>
      <w:r w:rsidR="0045534C">
        <w:t xml:space="preserve"> and a central </w:t>
      </w:r>
      <w:r w:rsidR="00AE73E0">
        <w:t>spindle</w:t>
      </w:r>
      <w:r w:rsidR="00200B8C">
        <w:t xml:space="preserve">-shaped </w:t>
      </w:r>
      <w:r w:rsidR="0045534C">
        <w:t>electrode</w:t>
      </w:r>
      <w:r w:rsidR="00740F63">
        <w:t xml:space="preserve">.  When </w:t>
      </w:r>
      <w:r w:rsidR="00FA00F9">
        <w:t xml:space="preserve">a voltage is applied between the electrodes, </w:t>
      </w:r>
      <w:r w:rsidR="00AE73E0">
        <w:t>populations of i</w:t>
      </w:r>
      <w:r w:rsidR="0062449A">
        <w:t>ons</w:t>
      </w:r>
      <w:r w:rsidR="0062449A">
        <w:rPr>
          <w:spacing w:val="-14"/>
        </w:rPr>
        <w:t xml:space="preserve"> </w:t>
      </w:r>
      <w:r w:rsidR="0062449A">
        <w:t xml:space="preserve">are </w:t>
      </w:r>
      <w:r w:rsidR="00E81117">
        <w:t xml:space="preserve">trapped and </w:t>
      </w:r>
      <w:r w:rsidR="009B3FF4">
        <w:t>orbit around a c</w:t>
      </w:r>
      <w:r w:rsidR="0047626F">
        <w:t>entral</w:t>
      </w:r>
      <w:r w:rsidR="00DC7BD5">
        <w:t xml:space="preserve">.  </w:t>
      </w:r>
      <w:r w:rsidR="00A261F3">
        <w:t xml:space="preserve">Since the electric field is </w:t>
      </w:r>
      <w:r w:rsidR="007D7950">
        <w:t>linear along the axis, the</w:t>
      </w:r>
      <w:r w:rsidR="0062449A">
        <w:t xml:space="preserve"> </w:t>
      </w:r>
      <w:r w:rsidR="007D7950">
        <w:t xml:space="preserve">axial </w:t>
      </w:r>
      <w:r w:rsidR="0062449A">
        <w:t>oscillation</w:t>
      </w:r>
      <w:r w:rsidR="008D5A51">
        <w:t>s are maintained</w:t>
      </w:r>
      <w:r w:rsidR="0062449A">
        <w:t xml:space="preserve"> with a frequency that is characteristic of their </w:t>
      </w:r>
      <w:r w:rsidR="0062449A">
        <w:rPr>
          <w:i/>
        </w:rPr>
        <w:t xml:space="preserve">m/z </w:t>
      </w:r>
      <w:r w:rsidR="0062449A">
        <w:t>value</w:t>
      </w:r>
      <w:r w:rsidR="00C368CA">
        <w:t>s</w:t>
      </w:r>
      <w:sdt>
        <w:sdtPr>
          <w:rPr>
            <w:color w:val="000000"/>
            <w:vertAlign w:val="superscript"/>
          </w:rPr>
          <w:tag w:val="MENDELEY_CITATION_v3_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"/>
          <w:id w:val="321773412"/>
          <w:placeholder>
            <w:docPart w:val="DefaultPlaceholder_-1854013440"/>
          </w:placeholder>
        </w:sdtPr>
        <w:sdtEndPr/>
        <w:sdtContent>
          <w:r w:rsidR="003204EA" w:rsidRPr="003204EA">
            <w:rPr>
              <w:rFonts w:eastAsia="Times New Roman"/>
              <w:color w:val="000000"/>
              <w:vertAlign w:val="superscript"/>
            </w:rPr>
            <w:t>84</w:t>
          </w:r>
        </w:sdtContent>
      </w:sdt>
      <w:r w:rsidR="00C368CA">
        <w:t>.</w:t>
      </w:r>
      <w:r w:rsidR="00351CE9">
        <w:t xml:space="preserve">  </w:t>
      </w:r>
      <w:r w:rsidR="00E67DEA">
        <w:t>This ion movement generates an</w:t>
      </w:r>
      <w:r w:rsidR="00351CE9" w:rsidRPr="00351CE9">
        <w:t xml:space="preserve"> image current in the outer electrodes that is</w:t>
      </w:r>
      <w:r w:rsidR="00D6778B">
        <w:t xml:space="preserve"> then</w:t>
      </w:r>
      <w:r w:rsidR="00351CE9" w:rsidRPr="00351CE9">
        <w:t xml:space="preserve"> Fourier transformed into the time domain </w:t>
      </w:r>
      <w:r w:rsidR="00D6778B">
        <w:t>to produce</w:t>
      </w:r>
      <w:r w:rsidR="00351CE9" w:rsidRPr="00351CE9">
        <w:t xml:space="preserve"> mass spectra</w:t>
      </w:r>
      <w:sdt>
        <w:sdtPr>
          <w:rPr>
            <w:color w:val="000000"/>
            <w:vertAlign w:val="superscript"/>
          </w:rPr>
          <w:tag w:val="MENDELEY_CITATION_v3_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"/>
          <w:id w:val="1953591504"/>
          <w:placeholder>
            <w:docPart w:val="DefaultPlaceholder_-1854013440"/>
          </w:placeholder>
        </w:sdtPr>
        <w:sdtEndPr/>
        <w:sdtContent>
          <w:r w:rsidR="003204EA" w:rsidRPr="003204EA">
            <w:rPr>
              <w:rFonts w:eastAsia="Times New Roman"/>
              <w:color w:val="000000"/>
              <w:vertAlign w:val="superscript"/>
            </w:rPr>
            <w:t>83</w:t>
          </w:r>
        </w:sdtContent>
      </w:sdt>
      <w:r w:rsidR="00D6778B">
        <w:t>.</w:t>
      </w:r>
      <w:r>
        <w:t xml:space="preserve">  </w:t>
      </w:r>
    </w:p>
    <w:p w14:paraId="7D4C4662" w14:textId="6E8FAEA9" w:rsidR="00B556E7" w:rsidRDefault="00532B83" w:rsidP="00B556E7">
      <w:pPr>
        <w:pStyle w:val="BodyText"/>
        <w:spacing w:line="360" w:lineRule="auto"/>
        <w:ind w:right="279" w:firstLine="720"/>
      </w:pPr>
      <w:r>
        <w:t xml:space="preserve">All research presented in this dissertation </w:t>
      </w:r>
      <w:r w:rsidR="007A6AEA">
        <w:t>was conducted using a</w:t>
      </w:r>
      <w:r>
        <w:t xml:space="preserve"> Q-Exactive Plus </w:t>
      </w:r>
      <w:r w:rsidR="007A6AEA">
        <w:t>mass spectrometer</w:t>
      </w:r>
      <w:r>
        <w:t xml:space="preserve"> (</w:t>
      </w:r>
      <w:proofErr w:type="spellStart"/>
      <w:r>
        <w:t>Thermo</w:t>
      </w:r>
      <w:proofErr w:type="spellEnd"/>
      <w:r>
        <w:t xml:space="preserve"> Scientific), which is a hybrid </w:t>
      </w:r>
      <w:r w:rsidR="008A535D">
        <w:t>quadrupole-</w:t>
      </w:r>
      <w:r>
        <w:t xml:space="preserve">Orbitrap </w:t>
      </w:r>
      <w:r w:rsidR="008A535D">
        <w:t>instrument</w:t>
      </w:r>
      <w:sdt>
        <w:sdtPr>
          <w:rPr>
            <w:color w:val="000000"/>
            <w:vertAlign w:val="superscript"/>
          </w:rPr>
          <w:tag w:val="MENDELEY_CITATION_v3_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"/>
          <w:id w:val="1275830774"/>
          <w:placeholder>
            <w:docPart w:val="1DF2EF26D4404081877A4F1D32180B96"/>
          </w:placeholder>
        </w:sdtPr>
        <w:sdtEndPr/>
        <w:sdtContent>
          <w:r w:rsidR="003204EA" w:rsidRPr="003204EA">
            <w:rPr>
              <w:rFonts w:eastAsia="Times New Roman"/>
              <w:color w:val="000000"/>
              <w:vertAlign w:val="superscript"/>
            </w:rPr>
            <w:t>85</w:t>
          </w:r>
        </w:sdtContent>
      </w:sdt>
      <w:r>
        <w:t xml:space="preserve">.  </w:t>
      </w:r>
      <w:r w:rsidR="00FC7872" w:rsidRPr="00FC7872">
        <w:t>Inside this mass spectrometer there are five basic components: (1) radio frequency (RF) lens, (2) Advanced Active Beam Guide (AABG), (3) Quadrupole Mass Filter, (4) Orbitrap mass analyzer, and (5) HCD collision cell (</w:t>
      </w:r>
      <w:r w:rsidR="00FC7872" w:rsidRPr="00FC7872">
        <w:rPr>
          <w:b/>
          <w:bCs/>
        </w:rPr>
        <w:t>Figure 2</w:t>
      </w:r>
      <w:r w:rsidR="005D27CC">
        <w:rPr>
          <w:b/>
          <w:bCs/>
        </w:rPr>
        <w:t>-</w:t>
      </w:r>
      <w:r w:rsidR="00FC7872" w:rsidRPr="00FC7872">
        <w:rPr>
          <w:b/>
          <w:bCs/>
        </w:rPr>
        <w:t>7</w:t>
      </w:r>
      <w:r w:rsidR="00FC7872" w:rsidRPr="00FC7872">
        <w:t xml:space="preserve">).  Briefly, under DDA top-N conditions, after ions are generated by ESI and introduced into the MS via an ion transfer tube which is heated to enhance ion solvation, they pass through the RF lens, also known as a </w:t>
      </w:r>
      <w:proofErr w:type="spellStart"/>
      <w:r w:rsidR="00FC7872" w:rsidRPr="00FC7872">
        <w:t>shrig</w:t>
      </w:r>
      <w:proofErr w:type="spellEnd"/>
      <w:r w:rsidR="00FC7872" w:rsidRPr="00FC7872">
        <w:t xml:space="preserve"> or s-lens, which is a stacked-ring RF ion guide.  The RF lens focuses the ions into a tight beam, which increases sensitivity.  Termed the “advanced axial beam guide” or AABG, ions then pass over an injection flatapole and axial bent flatapole to reduce noise by preventing high-velocity ion clusters and uncharged neutral ion species from entering the quadrupole.  After passing through the bent flatapole, ions enter the quadrupole for mass filtering.  The quadrupole transmits and filters ions according to their m/z values before they are collected into packets in the C-trap (a “C”-shaped RF-based quadrupole, where </w:t>
      </w:r>
      <w:r w:rsidR="00B556E7" w:rsidRPr="0043552B">
        <w:rPr>
          <w:noProof/>
        </w:rPr>
        <w:lastRenderedPageBreak/>
        <w:drawing>
          <wp:inline distT="0" distB="0" distL="0" distR="0" wp14:anchorId="01CDE789" wp14:editId="074FEA7E">
            <wp:extent cx="5486400" cy="2209800"/>
            <wp:effectExtent l="0" t="0" r="0" b="0"/>
            <wp:docPr id="2436" name="Picture 2436"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6" name="Picture 2436" descr="Diagram, engineering drawing&#10;&#10;Description automatically generated"/>
                    <pic:cNvPicPr/>
                  </pic:nvPicPr>
                  <pic:blipFill>
                    <a:blip r:embed="rId31"/>
                    <a:stretch>
                      <a:fillRect/>
                    </a:stretch>
                  </pic:blipFill>
                  <pic:spPr>
                    <a:xfrm>
                      <a:off x="0" y="0"/>
                      <a:ext cx="5486400" cy="2209800"/>
                    </a:xfrm>
                    <a:prstGeom prst="rect">
                      <a:avLst/>
                    </a:prstGeom>
                  </pic:spPr>
                </pic:pic>
              </a:graphicData>
            </a:graphic>
          </wp:inline>
        </w:drawing>
      </w:r>
    </w:p>
    <w:p w14:paraId="5690DE46" w14:textId="2F4367DA" w:rsidR="004E77BA" w:rsidRPr="004E77BA" w:rsidRDefault="00B556E7" w:rsidP="00B556E7">
      <w:pPr>
        <w:pStyle w:val="Caption"/>
        <w:rPr>
          <w:b w:val="0"/>
          <w:bCs/>
        </w:rPr>
      </w:pPr>
      <w:bookmarkStart w:id="87" w:name="_Toc110246924"/>
      <w:r>
        <w:t xml:space="preserve">Figure </w:t>
      </w:r>
      <w:fldSimple w:instr=" STYLEREF 1 \s ">
        <w:r w:rsidR="00AC2094">
          <w:rPr>
            <w:noProof/>
          </w:rPr>
          <w:t>2</w:t>
        </w:r>
      </w:fldSimple>
      <w:r w:rsidR="00AC2094">
        <w:noBreakHyphen/>
      </w:r>
      <w:fldSimple w:instr=" SEQ Figure \* ARABIC \s 1 ">
        <w:r w:rsidR="00AC2094">
          <w:rPr>
            <w:noProof/>
          </w:rPr>
          <w:t>7</w:t>
        </w:r>
      </w:fldSimple>
      <w:r>
        <w:t xml:space="preserve">  </w:t>
      </w:r>
      <w:r w:rsidRPr="00B556E7">
        <w:t>Schematic of the Q Exactive Plus mass spectrometer</w:t>
      </w:r>
      <w:r w:rsidR="004E77BA">
        <w:t>.</w:t>
      </w:r>
      <w:bookmarkEnd w:id="87"/>
      <w:r w:rsidR="004E77BA">
        <w:t xml:space="preserve">  </w:t>
      </w:r>
      <w:r w:rsidR="004E77BA">
        <w:rPr>
          <w:b w:val="0"/>
          <w:bCs/>
        </w:rPr>
        <w:fldChar w:fldCharType="begin"/>
      </w:r>
      <w:r w:rsidR="004E77BA">
        <w:rPr>
          <w:b w:val="0"/>
          <w:bCs/>
        </w:rPr>
        <w:instrText xml:space="preserve"> </w:instrText>
      </w:r>
    </w:p>
    <w:p w14:paraId="76B2D6A6" w14:textId="77777777" w:rsidR="004E77BA" w:rsidRPr="004E77BA" w:rsidRDefault="004E77BA" w:rsidP="00B556E7">
      <w:pPr>
        <w:pStyle w:val="Caption"/>
        <w:rPr>
          <w:b w:val="0"/>
          <w:bCs/>
        </w:rPr>
      </w:pPr>
    </w:p>
    <w:p w14:paraId="72352A8A" w14:textId="7BF22E50" w:rsidR="00B556E7" w:rsidRPr="00235112" w:rsidRDefault="004E77BA" w:rsidP="00B556E7">
      <w:pPr>
        <w:pStyle w:val="Caption"/>
        <w:rPr>
          <w:b w:val="0"/>
          <w:bCs/>
        </w:rPr>
      </w:pPr>
      <w:r>
        <w:rPr>
          <w:b w:val="0"/>
          <w:bCs/>
        </w:rPr>
        <w:instrText xml:space="preserve"> </w:instrText>
      </w:r>
      <w:r>
        <w:rPr>
          <w:b w:val="0"/>
          <w:bCs/>
        </w:rPr>
        <w:fldChar w:fldCharType="end"/>
      </w:r>
      <w:r w:rsidRPr="004E77BA">
        <w:rPr>
          <w:b w:val="0"/>
          <w:bCs/>
        </w:rPr>
        <w:t>T</w:t>
      </w:r>
      <w:r w:rsidR="00B556E7" w:rsidRPr="00235112">
        <w:rPr>
          <w:b w:val="0"/>
          <w:bCs/>
        </w:rPr>
        <w:t xml:space="preserve">his MS was used for all proteomic measurements conducted in Chapters 3-7.  Image taken from </w:t>
      </w:r>
      <w:proofErr w:type="spellStart"/>
      <w:r w:rsidR="00B556E7" w:rsidRPr="00235112">
        <w:rPr>
          <w:b w:val="0"/>
          <w:bCs/>
        </w:rPr>
        <w:t>Thermo</w:t>
      </w:r>
      <w:proofErr w:type="spellEnd"/>
      <w:r w:rsidR="00B556E7" w:rsidRPr="00235112">
        <w:rPr>
          <w:b w:val="0"/>
          <w:bCs/>
        </w:rPr>
        <w:t xml:space="preserve"> Scientific product documentation.</w:t>
      </w:r>
    </w:p>
    <w:p w14:paraId="63D2A419" w14:textId="6529526F" w:rsidR="00B556E7" w:rsidRDefault="00B556E7" w:rsidP="00B556E7">
      <w:pPr>
        <w:pStyle w:val="BodyText"/>
        <w:rPr>
          <w:highlight w:val="yellow"/>
        </w:rPr>
      </w:pPr>
      <w:r>
        <w:rPr>
          <w:highlight w:val="yellow"/>
        </w:rPr>
        <w:br w:type="page"/>
      </w:r>
    </w:p>
    <w:p w14:paraId="53DFD004" w14:textId="2CD9B192" w:rsidR="00532B83" w:rsidRDefault="00FC7872" w:rsidP="00B556E7">
      <w:pPr>
        <w:ind w:firstLine="0"/>
      </w:pPr>
      <w:r w:rsidRPr="00B556E7">
        <w:lastRenderedPageBreak/>
        <w:t>ions</w:t>
      </w:r>
      <w:r w:rsidRPr="00FC7872">
        <w:t xml:space="preserve"> are cooled using nitrogen gas) and stabilized before being sent to the Orbitrap for MS1 detectio</w:t>
      </w:r>
      <w:r>
        <w:t>n</w:t>
      </w:r>
      <w:sdt>
        <w:sdtPr>
          <w:rPr>
            <w:color w:val="000000"/>
            <w:vertAlign w:val="superscript"/>
          </w:rPr>
          <w:tag w:val="MENDELEY_CITATION_v3_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"/>
          <w:id w:val="-170952814"/>
          <w:placeholder>
            <w:docPart w:val="DefaultPlaceholder_-1854013440"/>
          </w:placeholder>
        </w:sdtPr>
        <w:sdtEndPr/>
        <w:sdtContent>
          <w:r w:rsidR="003204EA" w:rsidRPr="003204EA">
            <w:rPr>
              <w:rFonts w:eastAsia="Times New Roman"/>
              <w:color w:val="000000"/>
              <w:vertAlign w:val="superscript"/>
            </w:rPr>
            <w:t>86</w:t>
          </w:r>
        </w:sdtContent>
      </w:sdt>
      <w:r w:rsidR="00274662">
        <w:t xml:space="preserve">. </w:t>
      </w:r>
      <w:r w:rsidR="00BA0B00">
        <w:t xml:space="preserve"> </w:t>
      </w:r>
      <w:r w:rsidR="00385E63" w:rsidRPr="00385E63">
        <w:t xml:space="preserve">For MS/MS data collection, MS1 precursor ions are passed to the HCD collision cell (higher-energy RF-only collision </w:t>
      </w:r>
      <w:proofErr w:type="spellStart"/>
      <w:r w:rsidR="00385E63" w:rsidRPr="00385E63">
        <w:t>octapoles</w:t>
      </w:r>
      <w:proofErr w:type="spellEnd"/>
      <w:r w:rsidR="00385E63" w:rsidRPr="00385E63">
        <w:t>) for fragmentation.  These fragment ions are then collected into packets in the C-trap and sent tangentially to the Orbitrap for detection.  The process is repeated until all the most abundant precursor ions eluting at that time, based upon the top-N user selection, are fragmented and MS/MS spectra are collected.</w:t>
      </w:r>
    </w:p>
    <w:p w14:paraId="6FF1F947" w14:textId="04957540" w:rsidR="003F2176" w:rsidRDefault="00B97182" w:rsidP="00B556E7">
      <w:r w:rsidRPr="00B97182">
        <w:t>The Q-Exactive Plus features several characteristics that make it particularly amenable to bottom-up metaproteomic analyses. It includes performance specifications that are necessary for measurement of complex microbiome samples,</w:t>
      </w:r>
      <w:r w:rsidR="00B556E7">
        <w:t xml:space="preserve"> </w:t>
      </w:r>
      <w:r w:rsidR="00F31310">
        <w:t>which were described briefly in Chapter 1. These include a mass range of 50-6,000 m/z, which can sufficiently capture proteolytic peptides and a</w:t>
      </w:r>
      <w:r w:rsidR="00F31310" w:rsidRPr="00C43F03">
        <w:t xml:space="preserve">ttomole-femtomole </w:t>
      </w:r>
      <w:r w:rsidR="005B32DC" w:rsidRPr="00C43F03">
        <w:t>sensitivity</w:t>
      </w:r>
      <w:r w:rsidR="005B32DC">
        <w:t xml:space="preserve">. It features a mass resolving power up to 140,000 at </w:t>
      </w:r>
      <w:r w:rsidR="005B32DC" w:rsidRPr="00C43F03">
        <w:t xml:space="preserve">m/z </w:t>
      </w:r>
      <w:r w:rsidR="005B32DC">
        <w:t>200, a dynamic range &gt;5,000:1, and a ~2 ppm mass accuracy.  Finally, this instrument is very fast with scan speeds up to 12 Hz and duty cycle times of one second for a top10 method</w:t>
      </w:r>
      <w:sdt>
        <w:sdtPr>
          <w:rPr>
            <w:color w:val="000000"/>
            <w:vertAlign w:val="superscript"/>
          </w:rPr>
          <w:tag w:val="MENDELEY_CITATION_v3_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"/>
          <w:id w:val="401645934"/>
          <w:placeholder>
            <w:docPart w:val="DefaultPlaceholder_-1854013440"/>
          </w:placeholder>
        </w:sdtPr>
        <w:sdtEndPr/>
        <w:sdtContent>
          <w:r w:rsidR="003204EA" w:rsidRPr="003204EA">
            <w:rPr>
              <w:rFonts w:eastAsia="Times New Roman"/>
              <w:color w:val="000000"/>
              <w:vertAlign w:val="superscript"/>
            </w:rPr>
            <w:t>85</w:t>
          </w:r>
        </w:sdtContent>
      </w:sdt>
      <w:r w:rsidR="00DE139B">
        <w:t>.</w:t>
      </w:r>
      <w:r w:rsidR="003003D3" w:rsidRPr="003003D3">
        <w:t xml:space="preserve"> </w:t>
      </w:r>
      <w:r w:rsidR="003003D3">
        <w:t>Therefore, combined with enhanced LC separation strategies, this instrumentation provides the depth, sensitivity, and accuracy needed to sufficiently measure complex microbiome samples.</w:t>
      </w:r>
    </w:p>
    <w:p w14:paraId="2A80E297" w14:textId="77777777" w:rsidR="004667CE" w:rsidRDefault="004667CE" w:rsidP="0062449A">
      <w:pPr>
        <w:pStyle w:val="BodyText"/>
        <w:spacing w:line="360" w:lineRule="auto"/>
        <w:ind w:right="279" w:firstLine="720"/>
      </w:pPr>
    </w:p>
    <w:p w14:paraId="49076A45" w14:textId="51D930A4" w:rsidR="005D57E4" w:rsidRDefault="005D57E4" w:rsidP="005D57E4">
      <w:pPr>
        <w:pStyle w:val="Heading4"/>
      </w:pPr>
      <w:bookmarkStart w:id="88" w:name="_Toc110250234"/>
      <w:bookmarkStart w:id="89" w:name="_Toc110250491"/>
      <w:bookmarkStart w:id="90" w:name="_Toc110250622"/>
      <w:r w:rsidRPr="00476931">
        <w:t>2.</w:t>
      </w:r>
      <w:r>
        <w:t>3.2.4</w:t>
      </w:r>
      <w:r w:rsidRPr="00476931">
        <w:t xml:space="preserve">  </w:t>
      </w:r>
      <w:r>
        <w:t>Characteristics of MS/MS fragmentation</w:t>
      </w:r>
      <w:r w:rsidR="0067780D">
        <w:t>.</w:t>
      </w:r>
      <w:bookmarkEnd w:id="88"/>
      <w:bookmarkEnd w:id="89"/>
      <w:bookmarkEnd w:id="90"/>
    </w:p>
    <w:p w14:paraId="255949AD" w14:textId="77777777" w:rsidR="00B556E7" w:rsidRPr="00B556E7" w:rsidRDefault="00B556E7" w:rsidP="00B556E7"/>
    <w:p w14:paraId="23DE072C" w14:textId="616C4EAF" w:rsidR="00334512" w:rsidRDefault="00D357F9" w:rsidP="0062449A">
      <w:pPr>
        <w:pStyle w:val="BodyText"/>
        <w:spacing w:line="360" w:lineRule="auto"/>
        <w:ind w:right="279" w:firstLine="720"/>
      </w:pPr>
      <w:r>
        <w:t>The type and quality of MS/MS spectra generated is based in part by the fragmentation method used.  Each MS instrument can perform one or more types of fragmentation type, which is selected based on instrument capability and application.  The two most common types of fragmentation in bottom-up proteomics are</w:t>
      </w:r>
      <w:r>
        <w:rPr>
          <w:spacing w:val="-7"/>
        </w:rPr>
        <w:t xml:space="preserve"> </w:t>
      </w:r>
      <w:r>
        <w:t>collisional induced dissociation (CID) and</w:t>
      </w:r>
      <w:r>
        <w:rPr>
          <w:spacing w:val="-9"/>
        </w:rPr>
        <w:t xml:space="preserve"> </w:t>
      </w:r>
      <w:r>
        <w:t>(2) higher energy collisional</w:t>
      </w:r>
      <w:r>
        <w:rPr>
          <w:spacing w:val="25"/>
        </w:rPr>
        <w:t xml:space="preserve"> </w:t>
      </w:r>
      <w:r>
        <w:t>dissociation (HCD</w:t>
      </w:r>
      <w:r w:rsidR="00D7264E">
        <w:t>)</w:t>
      </w:r>
      <w:sdt>
        <w:sdtPr>
          <w:rPr>
            <w:color w:val="000000"/>
            <w:vertAlign w:val="superscript"/>
          </w:rPr>
          <w:tag w:val="MENDELEY_CITATION_v3_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"/>
          <w:id w:val="1888909876"/>
          <w:placeholder>
            <w:docPart w:val="DefaultPlaceholder_-1854013440"/>
          </w:placeholder>
        </w:sdtPr>
        <w:sdtEndPr/>
        <w:sdtContent>
          <w:r w:rsidR="003204EA" w:rsidRPr="003204EA">
            <w:rPr>
              <w:rFonts w:eastAsia="Times New Roman"/>
              <w:color w:val="000000"/>
              <w:vertAlign w:val="superscript"/>
            </w:rPr>
            <w:t>62</w:t>
          </w:r>
        </w:sdtContent>
      </w:sdt>
      <w:r w:rsidR="00981C8F">
        <w:t>.</w:t>
      </w:r>
      <w:r w:rsidR="005F17C1">
        <w:t xml:space="preserve">  </w:t>
      </w:r>
      <w:r w:rsidR="00D92781">
        <w:t xml:space="preserve">Less common types of peptide fragmentation include </w:t>
      </w:r>
      <w:r w:rsidR="005B1541">
        <w:t>electron-capture dissociation (ECD)</w:t>
      </w:r>
      <w:r w:rsidR="005B1541">
        <w:rPr>
          <w:spacing w:val="-16"/>
        </w:rPr>
        <w:t xml:space="preserve"> </w:t>
      </w:r>
      <w:r w:rsidR="005B1541">
        <w:t xml:space="preserve">and electron-transfer dissociation (ETD), </w:t>
      </w:r>
      <w:r w:rsidR="00945741">
        <w:t>which</w:t>
      </w:r>
      <w:r w:rsidR="005B1541">
        <w:t xml:space="preserve"> are used for specialized proteomics applications </w:t>
      </w:r>
      <w:r w:rsidR="008369CA">
        <w:t xml:space="preserve">like PTM localization </w:t>
      </w:r>
      <w:r w:rsidR="00527FBD">
        <w:t xml:space="preserve">and </w:t>
      </w:r>
      <w:r w:rsidR="003A311D">
        <w:t xml:space="preserve">glycopeptide analysis </w:t>
      </w:r>
      <w:r w:rsidR="008369CA">
        <w:t>studies</w:t>
      </w:r>
      <w:sdt>
        <w:sdtPr>
          <w:rPr>
            <w:color w:val="000000"/>
            <w:vertAlign w:val="superscript"/>
          </w:rPr>
          <w:tag w:val="MENDELEY_CITATION_v3_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"/>
          <w:id w:val="1884752352"/>
          <w:placeholder>
            <w:docPart w:val="DefaultPlaceholder_-1854013440"/>
          </w:placeholder>
        </w:sdtPr>
        <w:sdtEndPr/>
        <w:sdtContent>
          <w:r w:rsidR="003204EA" w:rsidRPr="003204EA">
            <w:rPr>
              <w:rFonts w:eastAsia="Times New Roman"/>
              <w:color w:val="000000"/>
              <w:vertAlign w:val="superscript"/>
            </w:rPr>
            <w:t>82</w:t>
          </w:r>
        </w:sdtContent>
      </w:sdt>
      <w:r w:rsidR="005B1541">
        <w:t>.</w:t>
      </w:r>
      <w:r w:rsidR="003A311D">
        <w:t xml:space="preserve">  </w:t>
      </w:r>
      <w:r w:rsidR="009A5C98">
        <w:t>Fragment ions are characterized by where</w:t>
      </w:r>
      <w:r w:rsidR="005D2ED5">
        <w:t xml:space="preserve"> bonds are broken along the </w:t>
      </w:r>
      <w:r w:rsidR="005D2ED5" w:rsidRPr="001A01A7">
        <w:t xml:space="preserve">peptide </w:t>
      </w:r>
      <w:r w:rsidR="005D2ED5" w:rsidRPr="001A01A7">
        <w:lastRenderedPageBreak/>
        <w:t>backbone (</w:t>
      </w:r>
      <w:r w:rsidR="005D2ED5" w:rsidRPr="001A01A7">
        <w:rPr>
          <w:b/>
          <w:bCs/>
        </w:rPr>
        <w:t>Figure 2</w:t>
      </w:r>
      <w:r w:rsidR="005D27CC">
        <w:rPr>
          <w:b/>
          <w:bCs/>
        </w:rPr>
        <w:t>-</w:t>
      </w:r>
      <w:r w:rsidR="001A01A7" w:rsidRPr="001A01A7">
        <w:rPr>
          <w:b/>
          <w:bCs/>
        </w:rPr>
        <w:t>8</w:t>
      </w:r>
      <w:r w:rsidR="005D2ED5" w:rsidRPr="001A01A7">
        <w:rPr>
          <w:b/>
          <w:bCs/>
        </w:rPr>
        <w:t>A</w:t>
      </w:r>
      <w:r w:rsidR="005D2ED5" w:rsidRPr="001A01A7">
        <w:t xml:space="preserve">).  </w:t>
      </w:r>
      <w:r w:rsidR="006B6D67" w:rsidRPr="001A01A7">
        <w:t>CID</w:t>
      </w:r>
      <w:r w:rsidR="006B6D67">
        <w:t xml:space="preserve"> and HCD</w:t>
      </w:r>
      <w:r w:rsidR="006B28C5" w:rsidRPr="003B7490">
        <w:t xml:space="preserve"> </w:t>
      </w:r>
      <w:r w:rsidR="006B28C5">
        <w:t>fragmentation</w:t>
      </w:r>
      <w:r w:rsidR="006B6D67">
        <w:t xml:space="preserve"> types</w:t>
      </w:r>
      <w:r w:rsidR="006B28C5">
        <w:t xml:space="preserve"> produce</w:t>
      </w:r>
      <w:r w:rsidR="006B6D67">
        <w:t xml:space="preserve"> </w:t>
      </w:r>
      <w:r w:rsidR="006B28C5">
        <w:t xml:space="preserve">series </w:t>
      </w:r>
      <w:r w:rsidR="006B28C5" w:rsidRPr="006B6D67">
        <w:t>of</w:t>
      </w:r>
      <w:r w:rsidR="006B28C5" w:rsidRPr="003B7490">
        <w:t xml:space="preserve"> </w:t>
      </w:r>
      <w:r w:rsidR="006B28C5" w:rsidRPr="006B6D67">
        <w:t>b</w:t>
      </w:r>
      <w:r w:rsidR="006B6D67" w:rsidRPr="006B6D67">
        <w:t>-</w:t>
      </w:r>
      <w:r w:rsidR="006B28C5" w:rsidRPr="006B6D67">
        <w:t xml:space="preserve"> and</w:t>
      </w:r>
      <w:r w:rsidR="006B28C5" w:rsidRPr="003B7490">
        <w:t xml:space="preserve"> </w:t>
      </w:r>
      <w:r w:rsidR="006B28C5" w:rsidRPr="006B6D67">
        <w:t>y</w:t>
      </w:r>
      <w:r w:rsidR="006B6D67" w:rsidRPr="006B6D67">
        <w:t>-</w:t>
      </w:r>
      <w:r w:rsidR="006B28C5" w:rsidRPr="006B6D67">
        <w:t>fragment</w:t>
      </w:r>
      <w:r w:rsidR="006B28C5" w:rsidRPr="003B7490">
        <w:t xml:space="preserve"> </w:t>
      </w:r>
      <w:r w:rsidR="006B28C5">
        <w:t>ions</w:t>
      </w:r>
      <w:r w:rsidR="006B6D67" w:rsidRPr="003B7490">
        <w:t xml:space="preserve">, while </w:t>
      </w:r>
      <w:r w:rsidR="006B6D67">
        <w:t xml:space="preserve">ETD and ECD produce </w:t>
      </w:r>
      <w:r w:rsidR="006B6D67" w:rsidRPr="003B7490">
        <w:t xml:space="preserve">c- </w:t>
      </w:r>
      <w:r w:rsidR="006B6D67">
        <w:t xml:space="preserve">and </w:t>
      </w:r>
      <w:r w:rsidR="006B6D67" w:rsidRPr="003B7490">
        <w:t>z</w:t>
      </w:r>
      <w:r w:rsidR="003B7490" w:rsidRPr="003B7490">
        <w:t>-</w:t>
      </w:r>
      <w:r w:rsidR="006B6D67">
        <w:t>fragment ion structures</w:t>
      </w:r>
      <w:sdt>
        <w:sdtPr>
          <w:rPr>
            <w:color w:val="000000"/>
            <w:vertAlign w:val="superscript"/>
          </w:rPr>
          <w:tag w:val="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"/>
          <w:id w:val="-1454699845"/>
          <w:placeholder>
            <w:docPart w:val="DefaultPlaceholder_-1854013440"/>
          </w:placeholder>
        </w:sdtPr>
        <w:sdtEndPr/>
        <w:sdtContent>
          <w:r w:rsidR="003204EA" w:rsidRPr="003204EA">
            <w:rPr>
              <w:rFonts w:eastAsia="Times New Roman"/>
              <w:color w:val="000000"/>
              <w:vertAlign w:val="superscript"/>
            </w:rPr>
            <w:t>61,82,83</w:t>
          </w:r>
        </w:sdtContent>
      </w:sdt>
      <w:r w:rsidR="003B7490">
        <w:t xml:space="preserve">.  </w:t>
      </w:r>
      <w:r w:rsidR="00103E03">
        <w:t xml:space="preserve">B- and </w:t>
      </w:r>
      <w:r w:rsidR="00103E03" w:rsidRPr="004E4745">
        <w:t xml:space="preserve">y-ions, which differ based on </w:t>
      </w:r>
      <w:r w:rsidR="002E0DE2" w:rsidRPr="004E4745">
        <w:t>charge location (</w:t>
      </w:r>
      <w:r w:rsidR="002E0DE2" w:rsidRPr="004E4745">
        <w:rPr>
          <w:b/>
          <w:bCs/>
        </w:rPr>
        <w:t>Figure 2</w:t>
      </w:r>
      <w:r w:rsidR="005D27CC">
        <w:rPr>
          <w:b/>
          <w:bCs/>
        </w:rPr>
        <w:t>-</w:t>
      </w:r>
      <w:r w:rsidR="004E4745" w:rsidRPr="004E4745">
        <w:rPr>
          <w:b/>
          <w:bCs/>
        </w:rPr>
        <w:t>8</w:t>
      </w:r>
      <w:r w:rsidR="002E0DE2" w:rsidRPr="004E4745">
        <w:rPr>
          <w:b/>
          <w:bCs/>
        </w:rPr>
        <w:t>B</w:t>
      </w:r>
      <w:r w:rsidR="002E0DE2" w:rsidRPr="004E4745">
        <w:t xml:space="preserve">), are useful for determining </w:t>
      </w:r>
      <w:r w:rsidR="004667CE" w:rsidRPr="004E4745">
        <w:t>peptide</w:t>
      </w:r>
      <w:r w:rsidR="002E0DE2" w:rsidRPr="004E4745">
        <w:t xml:space="preserve"> amino acid sequence</w:t>
      </w:r>
      <w:r w:rsidR="00CF4A3E" w:rsidRPr="004E4745">
        <w:t xml:space="preserve">s. </w:t>
      </w:r>
      <w:r w:rsidR="00534D24" w:rsidRPr="004E4745">
        <w:t xml:space="preserve">Peptide sequence can be determined manually by associating the m/z difference between fragmentation ions with the masses of individual amino acids.  </w:t>
      </w:r>
      <w:r w:rsidR="00CF4A3E" w:rsidRPr="004E4745">
        <w:rPr>
          <w:b/>
          <w:bCs/>
        </w:rPr>
        <w:t>Figure 2</w:t>
      </w:r>
      <w:r w:rsidR="005D27CC">
        <w:rPr>
          <w:b/>
          <w:bCs/>
        </w:rPr>
        <w:t>-</w:t>
      </w:r>
      <w:r w:rsidR="004E4745" w:rsidRPr="004E4745">
        <w:rPr>
          <w:b/>
          <w:bCs/>
        </w:rPr>
        <w:t>8</w:t>
      </w:r>
      <w:r w:rsidR="00CF4A3E" w:rsidRPr="004E4745">
        <w:rPr>
          <w:b/>
          <w:bCs/>
        </w:rPr>
        <w:t xml:space="preserve">C </w:t>
      </w:r>
      <w:r w:rsidR="00CF4A3E" w:rsidRPr="004E4745">
        <w:t xml:space="preserve">shows a MS/MS spectrum </w:t>
      </w:r>
      <w:r w:rsidR="00424A30" w:rsidRPr="004E4745">
        <w:t>where the complete</w:t>
      </w:r>
      <w:r w:rsidR="00534D24" w:rsidRPr="004E4745">
        <w:t xml:space="preserve"> b- and y-ion </w:t>
      </w:r>
      <w:r w:rsidR="008A4330" w:rsidRPr="004E4745">
        <w:t xml:space="preserve">series was </w:t>
      </w:r>
      <w:r w:rsidR="002C6492">
        <w:t>observed</w:t>
      </w:r>
      <w:r w:rsidR="008A4330" w:rsidRPr="004E4745">
        <w:t xml:space="preserve">. </w:t>
      </w:r>
      <w:r w:rsidR="00301D7D" w:rsidRPr="004E4745">
        <w:t>While</w:t>
      </w:r>
      <w:r w:rsidR="00301D7D">
        <w:t xml:space="preserve"> MS/MS spectra can be manually interpreted to identify peptides in a sample, several c</w:t>
      </w:r>
      <w:r w:rsidR="008A4330">
        <w:t xml:space="preserve">omputational </w:t>
      </w:r>
      <w:r w:rsidR="00A01C4A">
        <w:t>algorithms</w:t>
      </w:r>
      <w:r w:rsidR="008A4330">
        <w:t xml:space="preserve"> </w:t>
      </w:r>
      <w:r w:rsidR="004667CE">
        <w:t xml:space="preserve">have been developed for fast, reliable, and automated </w:t>
      </w:r>
      <w:r w:rsidR="00301A9B">
        <w:t xml:space="preserve">identification of peptide analytes.  These </w:t>
      </w:r>
      <w:r w:rsidR="00A01C4A">
        <w:t>approaches are discussed below.</w:t>
      </w:r>
    </w:p>
    <w:p w14:paraId="21E754C4" w14:textId="34F0F381" w:rsidR="000D7DE2" w:rsidRPr="000D7DE2" w:rsidRDefault="000D7DE2" w:rsidP="004E4745">
      <w:pPr>
        <w:pStyle w:val="Caption"/>
        <w:numPr>
          <w:ilvl w:val="0"/>
          <w:numId w:val="0"/>
        </w:numPr>
      </w:pPr>
    </w:p>
    <w:p w14:paraId="345BD2CB" w14:textId="7240C8AA" w:rsidR="002C470B" w:rsidRDefault="002C470B" w:rsidP="0060435B">
      <w:pPr>
        <w:pStyle w:val="Heading2"/>
      </w:pPr>
      <w:bookmarkStart w:id="91" w:name="_Toc110250235"/>
      <w:bookmarkStart w:id="92" w:name="_Toc110250492"/>
      <w:bookmarkStart w:id="93" w:name="_Toc110250623"/>
      <w:r>
        <w:t>2.</w:t>
      </w:r>
      <w:r w:rsidR="000C1C19">
        <w:t>4</w:t>
      </w:r>
      <w:r>
        <w:t xml:space="preserve">  </w:t>
      </w:r>
      <w:r w:rsidRPr="00FB516D">
        <w:t>Downstream analysis of MS/MS data in bottom-up proteomics</w:t>
      </w:r>
      <w:r w:rsidR="0067780D">
        <w:t>.</w:t>
      </w:r>
      <w:bookmarkEnd w:id="91"/>
      <w:bookmarkEnd w:id="92"/>
      <w:bookmarkEnd w:id="93"/>
    </w:p>
    <w:p w14:paraId="28F6DA22" w14:textId="77777777" w:rsidR="00B556E7" w:rsidRDefault="00B556E7" w:rsidP="00B556E7"/>
    <w:p w14:paraId="28E74947" w14:textId="78BDEB3F" w:rsidR="00B556E7" w:rsidRDefault="00B556E7" w:rsidP="00B556E7">
      <w:r>
        <w:t xml:space="preserve">In this dissertation, two methods were used to analyze collected MS/MS spectra for the identification and quantification of peptides.  MS/MS spectra were interrogated by database search approaches for all work presented in Chapters 3-6.  In Chapter 7, database searches were complemented by </w:t>
      </w:r>
      <w:r w:rsidRPr="00FD71E2">
        <w:rPr>
          <w:i/>
          <w:iCs/>
        </w:rPr>
        <w:t xml:space="preserve">de novo </w:t>
      </w:r>
      <w:r>
        <w:t xml:space="preserve">peptide sequencing.  Both strategies will be described in the following sections, along with specifics regarding the implementation of each approach and methods to analyze the resulting peptide information.   </w:t>
      </w:r>
    </w:p>
    <w:p w14:paraId="4BF2EEB3" w14:textId="77777777" w:rsidR="00B556E7" w:rsidRDefault="00B556E7" w:rsidP="00B556E7">
      <w:pPr>
        <w:pStyle w:val="Heading3"/>
      </w:pPr>
    </w:p>
    <w:p w14:paraId="41BC34ED" w14:textId="06D4DC1E" w:rsidR="00B556E7" w:rsidRPr="00FB516D" w:rsidRDefault="00B556E7" w:rsidP="00B556E7">
      <w:pPr>
        <w:pStyle w:val="Heading3"/>
      </w:pPr>
      <w:bookmarkStart w:id="94" w:name="_Toc110250236"/>
      <w:bookmarkStart w:id="95" w:name="_Toc110250493"/>
      <w:bookmarkStart w:id="96" w:name="_Toc110250624"/>
      <w:r>
        <w:t>2.4.1</w:t>
      </w:r>
      <w:r w:rsidRPr="002C470B">
        <w:t xml:space="preserve"> </w:t>
      </w:r>
      <w:r>
        <w:t xml:space="preserve"> </w:t>
      </w:r>
      <w:r w:rsidRPr="00FB516D">
        <w:t>Peptide identification using datab</w:t>
      </w:r>
      <w:r>
        <w:t>ase search approaches</w:t>
      </w:r>
      <w:r w:rsidR="0067780D">
        <w:t>.</w:t>
      </w:r>
      <w:bookmarkEnd w:id="94"/>
      <w:bookmarkEnd w:id="95"/>
      <w:bookmarkEnd w:id="96"/>
    </w:p>
    <w:p w14:paraId="6C473126" w14:textId="77777777" w:rsidR="00B556E7" w:rsidRDefault="00B556E7" w:rsidP="00B556E7">
      <w:pPr>
        <w:rPr>
          <w:rFonts w:ascii="Times New Roman" w:hAnsi="Times New Roman" w:cs="Times New Roman"/>
        </w:rPr>
      </w:pPr>
    </w:p>
    <w:p w14:paraId="116A7E20" w14:textId="4F357BEE" w:rsidR="00B556E7" w:rsidRDefault="00B556E7" w:rsidP="00413812">
      <w:pPr>
        <w:rPr>
          <w:rFonts w:ascii="Times New Roman" w:hAnsi="Times New Roman" w:cs="Times New Roman"/>
        </w:rPr>
      </w:pPr>
      <w:r>
        <w:rPr>
          <w:rFonts w:ascii="Times New Roman" w:hAnsi="Times New Roman" w:cs="Times New Roman"/>
        </w:rPr>
        <w:t xml:space="preserve">In bottom-up proteomics workflows, after MS/MS spectra are collected for the peptides present in the sample, those MS/MS spectra are interrogated to determine the amino acid sequences of the identified peptides.  This peptide identification is </w:t>
      </w:r>
      <w:proofErr w:type="gramStart"/>
      <w:r>
        <w:rPr>
          <w:rFonts w:ascii="Times New Roman" w:hAnsi="Times New Roman" w:cs="Times New Roman"/>
        </w:rPr>
        <w:t>most commonly performed</w:t>
      </w:r>
      <w:proofErr w:type="gramEnd"/>
      <w:r>
        <w:rPr>
          <w:rFonts w:ascii="Times New Roman" w:hAnsi="Times New Roman" w:cs="Times New Roman"/>
        </w:rPr>
        <w:t xml:space="preserve"> via database search engines where the acquired experimental MS/MS spectra are matched against theoretical spectra derived from a constructed protein database.  These matches, known as peptide spectrum matches (PSMs), are</w:t>
      </w:r>
      <w:r w:rsidR="00413812">
        <w:rPr>
          <w:rFonts w:ascii="Times New Roman" w:hAnsi="Times New Roman" w:cs="Times New Roman"/>
        </w:rPr>
        <w:t xml:space="preserve"> then scored for each spectrum, with the highest scoring PSM matching the theoretical</w:t>
      </w:r>
      <w:r>
        <w:rPr>
          <w:rFonts w:ascii="Times New Roman" w:hAnsi="Times New Roman" w:cs="Times New Roman"/>
        </w:rPr>
        <w:br w:type="page"/>
      </w:r>
    </w:p>
    <w:p w14:paraId="1FBBD161" w14:textId="77777777" w:rsidR="00B556E7" w:rsidRDefault="00CD5D40" w:rsidP="00B556E7">
      <w:pPr>
        <w:keepNext/>
        <w:spacing w:before="1"/>
        <w:ind w:firstLine="22"/>
      </w:pPr>
      <w:r w:rsidRPr="0053712C">
        <w:rPr>
          <w:noProof/>
        </w:rPr>
        <w:lastRenderedPageBreak/>
        <w:drawing>
          <wp:inline distT="0" distB="0" distL="0" distR="0" wp14:anchorId="369B3E60" wp14:editId="65C59939">
            <wp:extent cx="5010150" cy="5766892"/>
            <wp:effectExtent l="0" t="0" r="0" b="5715"/>
            <wp:docPr id="2587" name="Picture 2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028135" cy="5787594"/>
                    </a:xfrm>
                    <a:prstGeom prst="rect">
                      <a:avLst/>
                    </a:prstGeom>
                  </pic:spPr>
                </pic:pic>
              </a:graphicData>
            </a:graphic>
          </wp:inline>
        </w:drawing>
      </w:r>
    </w:p>
    <w:p w14:paraId="027E5A16" w14:textId="211B515D" w:rsidR="00B556E7" w:rsidRPr="00235112" w:rsidRDefault="00B556E7" w:rsidP="00B556E7">
      <w:pPr>
        <w:pStyle w:val="Caption"/>
        <w:rPr>
          <w:b w:val="0"/>
        </w:rPr>
      </w:pPr>
      <w:bookmarkStart w:id="97" w:name="_Toc110246925"/>
      <w:r>
        <w:t xml:space="preserve">Figure </w:t>
      </w:r>
      <w:fldSimple w:instr=" STYLEREF 1 \s ">
        <w:r w:rsidR="00AC2094">
          <w:rPr>
            <w:noProof/>
          </w:rPr>
          <w:t>2</w:t>
        </w:r>
      </w:fldSimple>
      <w:r w:rsidR="00AC2094">
        <w:noBreakHyphen/>
      </w:r>
      <w:fldSimple w:instr=" SEQ Figure \* ARABIC \s 1 ">
        <w:r w:rsidR="00AC2094">
          <w:rPr>
            <w:noProof/>
          </w:rPr>
          <w:t>8</w:t>
        </w:r>
      </w:fldSimple>
      <w:r>
        <w:t xml:space="preserve">  </w:t>
      </w:r>
      <w:r w:rsidRPr="00B556E7">
        <w:t>Example of fragmentation ions generated from a peptide.</w:t>
      </w:r>
      <w:bookmarkEnd w:id="97"/>
      <w:r w:rsidRPr="00B556E7">
        <w:t xml:space="preserve">  </w:t>
      </w:r>
      <w:r w:rsidRPr="00235112">
        <w:rPr>
          <w:b w:val="0"/>
        </w:rPr>
        <w:fldChar w:fldCharType="begin"/>
      </w:r>
      <w:r w:rsidRPr="00235112">
        <w:rPr>
          <w:b w:val="0"/>
        </w:rPr>
        <w:instrText xml:space="preserve"> </w:instrText>
      </w:r>
    </w:p>
    <w:p w14:paraId="4452A495" w14:textId="77777777" w:rsidR="00B556E7" w:rsidRPr="00235112" w:rsidRDefault="00B556E7" w:rsidP="00B556E7">
      <w:pPr>
        <w:pStyle w:val="Caption"/>
        <w:rPr>
          <w:b w:val="0"/>
        </w:rPr>
      </w:pPr>
    </w:p>
    <w:p w14:paraId="3180B083" w14:textId="77777777" w:rsidR="00B556E7" w:rsidRPr="00B556E7" w:rsidRDefault="00B556E7" w:rsidP="00B556E7">
      <w:pPr>
        <w:pStyle w:val="Caption"/>
      </w:pPr>
      <w:r w:rsidRPr="00235112">
        <w:rPr>
          <w:b w:val="0"/>
        </w:rPr>
        <w:instrText xml:space="preserve"> </w:instrText>
      </w:r>
      <w:r w:rsidRPr="00235112">
        <w:rPr>
          <w:b w:val="0"/>
        </w:rPr>
        <w:fldChar w:fldCharType="end"/>
      </w:r>
      <w:r w:rsidRPr="00235112">
        <w:rPr>
          <w:b w:val="0"/>
        </w:rPr>
        <w:t>(A) An illustration of peptide backbone containing four amino acid residues (R</w:t>
      </w:r>
      <w:r w:rsidRPr="00235112">
        <w:rPr>
          <w:b w:val="0"/>
          <w:vertAlign w:val="subscript"/>
        </w:rPr>
        <w:t>1</w:t>
      </w:r>
      <w:r w:rsidRPr="00235112">
        <w:rPr>
          <w:b w:val="0"/>
        </w:rPr>
        <w:t>, R</w:t>
      </w:r>
      <w:r w:rsidRPr="00235112">
        <w:rPr>
          <w:b w:val="0"/>
          <w:vertAlign w:val="subscript"/>
        </w:rPr>
        <w:t>2</w:t>
      </w:r>
      <w:r w:rsidRPr="00235112">
        <w:rPr>
          <w:b w:val="0"/>
        </w:rPr>
        <w:t xml:space="preserve"> R</w:t>
      </w:r>
      <w:r w:rsidRPr="00235112">
        <w:rPr>
          <w:b w:val="0"/>
          <w:vertAlign w:val="subscript"/>
        </w:rPr>
        <w:t>3</w:t>
      </w:r>
      <w:r w:rsidRPr="00235112">
        <w:rPr>
          <w:b w:val="0"/>
        </w:rPr>
        <w:t>, R</w:t>
      </w:r>
      <w:r w:rsidRPr="00235112">
        <w:rPr>
          <w:b w:val="0"/>
          <w:vertAlign w:val="subscript"/>
        </w:rPr>
        <w:t>4</w:t>
      </w:r>
      <w:r w:rsidRPr="00235112">
        <w:rPr>
          <w:b w:val="0"/>
        </w:rPr>
        <w:t>) and the types of fragment ions generated in a MS/MS spectrum. Fragmentation ions are classified as a, b, or c  ions if the charge is retained on the N-terminal side, a, b, or c. If the charge is retained on the C-terminal side of the peptide, the fragment ion is classified as either is x, y, or z.  HCD fragmentation generates b and y ions. (B) The structures of a b and y fragmentation ions showing charge location. (C) An example MS/MS spectrum where the peptide amino acid sequence is determined based on the difference in mass between b or y ions.</w:t>
      </w:r>
    </w:p>
    <w:p w14:paraId="2E447F4D" w14:textId="71D61CBE" w:rsidR="00CD5D40" w:rsidRPr="005233D3" w:rsidRDefault="00CD5D40" w:rsidP="00CD5D40">
      <w:pPr>
        <w:pStyle w:val="Caption"/>
      </w:pPr>
      <w:r w:rsidRPr="005233D3">
        <w:br w:type="page"/>
      </w:r>
    </w:p>
    <w:p w14:paraId="2DD3127D" w14:textId="5D2628CB" w:rsidR="00B556E7" w:rsidRDefault="00B556E7" w:rsidP="00B556E7">
      <w:pPr>
        <w:ind w:firstLine="0"/>
        <w:rPr>
          <w:rFonts w:ascii="Times New Roman" w:hAnsi="Times New Roman" w:cs="Times New Roman"/>
        </w:rPr>
      </w:pPr>
      <w:r>
        <w:rPr>
          <w:rFonts w:ascii="Times New Roman" w:hAnsi="Times New Roman" w:cs="Times New Roman"/>
        </w:rPr>
        <w:lastRenderedPageBreak/>
        <w:t xml:space="preserve">spectrum </w:t>
      </w:r>
      <w:r w:rsidR="00CD604A">
        <w:rPr>
          <w:rFonts w:ascii="Times New Roman" w:hAnsi="Times New Roman" w:cs="Times New Roman"/>
        </w:rPr>
        <w:t xml:space="preserve">most </w:t>
      </w:r>
      <w:r>
        <w:rPr>
          <w:rFonts w:ascii="Times New Roman" w:hAnsi="Times New Roman" w:cs="Times New Roman"/>
        </w:rPr>
        <w:t>closely</w:t>
      </w:r>
      <w:sdt>
        <w:sdtPr>
          <w:rPr>
            <w:rFonts w:ascii="Times New Roman" w:hAnsi="Times New Roman" w:cs="Times New Roman"/>
            <w:color w:val="000000"/>
            <w:vertAlign w:val="superscript"/>
          </w:rPr>
          <w:tag w:val="MENDELEY_CITATION_v3_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"/>
          <w:id w:val="1893067049"/>
          <w:placeholder>
            <w:docPart w:val="CBC1CCCAFED6E046A477596684A8DC06"/>
          </w:placeholder>
        </w:sdtPr>
        <w:sdtEndPr/>
        <w:sdtContent>
          <w:r w:rsidR="003204EA" w:rsidRPr="003204EA">
            <w:rPr>
              <w:rFonts w:eastAsia="Times New Roman"/>
              <w:color w:val="000000"/>
              <w:vertAlign w:val="superscript"/>
            </w:rPr>
            <w:t>87</w:t>
          </w:r>
        </w:sdtContent>
      </w:sdt>
      <w:r>
        <w:rPr>
          <w:rFonts w:ascii="Times New Roman" w:hAnsi="Times New Roman" w:cs="Times New Roman"/>
        </w:rPr>
        <w:t>.</w:t>
      </w:r>
    </w:p>
    <w:p w14:paraId="366CF214" w14:textId="77777777" w:rsidR="002C470B" w:rsidRDefault="002C470B" w:rsidP="004057CA">
      <w:pPr>
        <w:pStyle w:val="Heading3"/>
      </w:pPr>
    </w:p>
    <w:p w14:paraId="410D771B" w14:textId="52DDB8B1" w:rsidR="00BD0E0D" w:rsidRPr="00FB516D" w:rsidRDefault="00BD0E0D" w:rsidP="00BD0E0D">
      <w:pPr>
        <w:pStyle w:val="Heading4"/>
      </w:pPr>
      <w:bookmarkStart w:id="98" w:name="_Toc110250237"/>
      <w:bookmarkStart w:id="99" w:name="_Toc110250494"/>
      <w:bookmarkStart w:id="100" w:name="_Toc110250625"/>
      <w:r>
        <w:t>2.</w:t>
      </w:r>
      <w:r w:rsidR="000C1C19">
        <w:t>4</w:t>
      </w:r>
      <w:r>
        <w:t xml:space="preserve">.1.1  </w:t>
      </w:r>
      <w:r w:rsidRPr="00FB516D">
        <w:t>Constructing protein sequence databases for metaproteomics</w:t>
      </w:r>
      <w:r w:rsidR="0067780D">
        <w:t>.</w:t>
      </w:r>
      <w:bookmarkEnd w:id="98"/>
      <w:bookmarkEnd w:id="99"/>
      <w:bookmarkEnd w:id="100"/>
    </w:p>
    <w:p w14:paraId="24B6F89E" w14:textId="77777777" w:rsidR="00FB7F2D" w:rsidRDefault="00FB7F2D" w:rsidP="00BD0E0D">
      <w:pPr>
        <w:rPr>
          <w:rFonts w:ascii="Times New Roman" w:hAnsi="Times New Roman" w:cs="Times New Roman"/>
        </w:rPr>
      </w:pPr>
    </w:p>
    <w:p w14:paraId="115B63AA" w14:textId="332F842A" w:rsidR="00BD0E0D" w:rsidRDefault="007D31C6" w:rsidP="00BD0E0D">
      <w:pPr>
        <w:rPr>
          <w:rFonts w:ascii="Times New Roman" w:hAnsi="Times New Roman" w:cs="Times New Roman"/>
        </w:rPr>
      </w:pPr>
      <w:r>
        <w:rPr>
          <w:rFonts w:ascii="Times New Roman" w:hAnsi="Times New Roman" w:cs="Times New Roman"/>
        </w:rPr>
        <w:t>One of the most critical steps for a successful database search is the careful construction of a protein sequence database used to generate theoretical spectra for peptide spectrum matching. Ideally, the constructed database should contain any protein sequence that is expected to be present in the measured peptide mixture, including proteins from common mass spectrometry-based sample preparation contaminants</w:t>
      </w:r>
      <w:sdt>
        <w:sdtPr>
          <w:rPr>
            <w:rFonts w:ascii="Times New Roman" w:hAnsi="Times New Roman" w:cs="Times New Roman"/>
            <w:color w:val="000000"/>
            <w:vertAlign w:val="superscript"/>
          </w:rPr>
          <w:tag w:val="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"/>
          <w:id w:val="1475866851"/>
          <w:placeholder>
            <w:docPart w:val="5BD0CFC433694FECA161616CFCDA7194"/>
          </w:placeholder>
        </w:sdtPr>
        <w:sdtEndPr/>
        <w:sdtContent>
          <w:r w:rsidR="003204EA" w:rsidRPr="003204EA">
            <w:rPr>
              <w:rFonts w:eastAsia="Times New Roman"/>
              <w:color w:val="000000"/>
              <w:vertAlign w:val="superscript"/>
            </w:rPr>
            <w:t>88</w:t>
          </w:r>
        </w:sdtContent>
      </w:sdt>
      <w:r>
        <w:rPr>
          <w:rFonts w:ascii="Times New Roman" w:hAnsi="Times New Roman" w:cs="Times New Roman"/>
        </w:rPr>
        <w:t>. The comprehensiveness and size of the database are two key metrics that influence the number of PSMs that can be identified using a particular database</w:t>
      </w:r>
      <w:sdt>
        <w:sdtPr>
          <w:rPr>
            <w:rFonts w:ascii="Times New Roman" w:hAnsi="Times New Roman" w:cs="Times New Roman"/>
            <w:color w:val="000000"/>
            <w:vertAlign w:val="superscript"/>
          </w:rPr>
          <w:tag w:val="MENDELEY_CITATION_v3_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"/>
          <w:id w:val="1357931823"/>
          <w:placeholder>
            <w:docPart w:val="CBD3E01BACACFB469155EC8B579B7BAC"/>
          </w:placeholder>
        </w:sdtPr>
        <w:sdtEndPr/>
        <w:sdtContent>
          <w:r w:rsidR="003204EA" w:rsidRPr="003204EA">
            <w:rPr>
              <w:rFonts w:eastAsia="Times New Roman"/>
              <w:color w:val="000000"/>
              <w:vertAlign w:val="superscript"/>
            </w:rPr>
            <w:t>89</w:t>
          </w:r>
        </w:sdtContent>
      </w:sdt>
      <w:r w:rsidR="00BD0E0D">
        <w:rPr>
          <w:rFonts w:ascii="Times New Roman" w:hAnsi="Times New Roman" w:cs="Times New Roman"/>
        </w:rPr>
        <w:t xml:space="preserve">. Database searching will only identify PSMs from the acquired MS/MS spectra if the proteins for those PSMs are included in the constructed database.  Therefore, to </w:t>
      </w:r>
      <w:r w:rsidR="00121BA1">
        <w:rPr>
          <w:rFonts w:ascii="Times New Roman" w:hAnsi="Times New Roman" w:cs="Times New Roman"/>
        </w:rPr>
        <w:t>maximize PSM identifications, it is essential to make sure the database is comprehensive as possible to ensure that all proteins that are present in the sample are represented in the database. While larger database sizes increase the number of identified PSMs, if the database contains protein sequences that are not expected to be present in the sample, this has the undesirable consequence of increasing the chance of high-scoring false positive identifications. In a similar fashion, a database that is not comprehensive and does not contain protein sequences that are present in the sample, can also lead to false identifications.  If the database contains a sequence that generates a very similar theoretical spectrum with a similar precursor mass and shared b- and y-ions, this can result in a peptide spectrum match that would have a lower score if the real sequence was represented in the database</w:t>
      </w:r>
      <w:sdt>
        <w:sdtPr>
          <w:rPr>
            <w:rFonts w:ascii="Times New Roman" w:hAnsi="Times New Roman" w:cs="Times New Roman"/>
            <w:color w:val="000000"/>
            <w:vertAlign w:val="superscript"/>
          </w:rPr>
          <w:tag w:val="MENDELEY_CITATION_v3_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"/>
          <w:id w:val="2134056527"/>
          <w:placeholder>
            <w:docPart w:val="CBD3E01BACACFB469155EC8B579B7BAC"/>
          </w:placeholder>
        </w:sdtPr>
        <w:sdtEndPr/>
        <w:sdtContent>
          <w:r w:rsidR="003204EA" w:rsidRPr="003204EA">
            <w:rPr>
              <w:rFonts w:eastAsia="Times New Roman"/>
              <w:color w:val="000000"/>
              <w:vertAlign w:val="superscript"/>
            </w:rPr>
            <w:t>89</w:t>
          </w:r>
        </w:sdtContent>
      </w:sdt>
      <w:r w:rsidR="00BD0E0D">
        <w:rPr>
          <w:rFonts w:ascii="Times New Roman" w:hAnsi="Times New Roman" w:cs="Times New Roman"/>
        </w:rPr>
        <w:t>.  In addition, the expanded search space associated with very large databases results in extended computational time for database search algorithms.</w:t>
      </w:r>
    </w:p>
    <w:p w14:paraId="7A0B2CD9" w14:textId="3D6AED47" w:rsidR="00BD0E0D" w:rsidRDefault="00BD0E0D" w:rsidP="00BD0E0D">
      <w:pPr>
        <w:rPr>
          <w:rFonts w:ascii="Times New Roman" w:hAnsi="Times New Roman" w:cs="Times New Roman"/>
        </w:rPr>
      </w:pPr>
      <w:r>
        <w:rPr>
          <w:rFonts w:ascii="Times New Roman" w:hAnsi="Times New Roman" w:cs="Times New Roman"/>
        </w:rPr>
        <w:tab/>
      </w:r>
      <w:r w:rsidR="007F586C">
        <w:rPr>
          <w:rFonts w:ascii="Times New Roman" w:hAnsi="Times New Roman" w:cs="Times New Roman"/>
        </w:rPr>
        <w:tab/>
        <w:t xml:space="preserve">The database searching approach was initially developed to analyze proteomes of individual organisms. For single proteomes, the construction of a protein database is </w:t>
      </w:r>
      <w:proofErr w:type="gramStart"/>
      <w:r w:rsidR="007F586C">
        <w:rPr>
          <w:rFonts w:ascii="Times New Roman" w:hAnsi="Times New Roman" w:cs="Times New Roman"/>
        </w:rPr>
        <w:t>fairly straightforward</w:t>
      </w:r>
      <w:proofErr w:type="gramEnd"/>
      <w:r w:rsidR="007F586C">
        <w:rPr>
          <w:rFonts w:ascii="Times New Roman" w:hAnsi="Times New Roman" w:cs="Times New Roman"/>
        </w:rPr>
        <w:t xml:space="preserve">, and in an ideal setting, the constructed database is derived from the organism’s previously sequenced genome.  Metaproteomics presents unique </w:t>
      </w:r>
      <w:r w:rsidR="007F586C">
        <w:rPr>
          <w:rFonts w:ascii="Times New Roman" w:hAnsi="Times New Roman" w:cs="Times New Roman"/>
        </w:rPr>
        <w:lastRenderedPageBreak/>
        <w:t xml:space="preserve">challenges related to protein database construction that accurately captures the full protein content of organisms in a highly diverse microbial community.  Protein database construction for metaproteomics should include protein information from the genomes of every organism present in the microbial community, as well as proteins from the host or dietary components if applicable and known. </w:t>
      </w:r>
      <w:proofErr w:type="gramStart"/>
      <w:r w:rsidR="007F586C">
        <w:rPr>
          <w:rFonts w:ascii="Times New Roman" w:hAnsi="Times New Roman" w:cs="Times New Roman"/>
        </w:rPr>
        <w:t>With the exception of</w:t>
      </w:r>
      <w:proofErr w:type="gramEnd"/>
      <w:r w:rsidR="007F586C">
        <w:rPr>
          <w:rFonts w:ascii="Times New Roman" w:hAnsi="Times New Roman" w:cs="Times New Roman"/>
        </w:rPr>
        <w:t xml:space="preserve"> defined artificial communities, such as the ones described in Chapter 5, fully comprehensive and representative databases cannot be constructed without DNA sequencing of the community</w:t>
      </w:r>
      <w:r>
        <w:rPr>
          <w:rFonts w:ascii="Times New Roman" w:hAnsi="Times New Roman" w:cs="Times New Roman"/>
        </w:rPr>
        <w:t>.</w:t>
      </w:r>
    </w:p>
    <w:p w14:paraId="19C48B9A" w14:textId="7BB196C1" w:rsidR="00BD0E0D" w:rsidRDefault="00BD0E0D" w:rsidP="00BD0E0D">
      <w:pPr>
        <w:rPr>
          <w:rFonts w:ascii="Times New Roman" w:hAnsi="Times New Roman" w:cs="Times New Roman"/>
        </w:rPr>
      </w:pPr>
      <w:r>
        <w:rPr>
          <w:rFonts w:ascii="Times New Roman" w:hAnsi="Times New Roman" w:cs="Times New Roman"/>
        </w:rPr>
        <w:t>There are four sources of sequence information that used to construct protein databases for metaproteomics: (1) matched metagenomes, (2) unmatched metagenomes, (3) unrestricted reference databases, and (4) restricted reference databases</w:t>
      </w:r>
      <w:sdt>
        <w:sdtPr>
          <w:rPr>
            <w:rFonts w:ascii="Times New Roman" w:hAnsi="Times New Roman" w:cs="Times New Roman"/>
            <w:color w:val="000000"/>
            <w:vertAlign w:val="superscript"/>
          </w:rPr>
          <w:tag w:val="MENDELEY_CITATION_v3_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"/>
          <w:id w:val="-130402655"/>
          <w:placeholder>
            <w:docPart w:val="CBD3E01BACACFB469155EC8B579B7BAC"/>
          </w:placeholder>
        </w:sdtPr>
        <w:sdtEndPr/>
        <w:sdtContent>
          <w:r w:rsidR="003204EA" w:rsidRPr="003204EA">
            <w:rPr>
              <w:rFonts w:eastAsia="Times New Roman"/>
              <w:color w:val="000000"/>
              <w:vertAlign w:val="superscript"/>
            </w:rPr>
            <w:t>89</w:t>
          </w:r>
        </w:sdtContent>
      </w:sdt>
      <w:r>
        <w:rPr>
          <w:rFonts w:ascii="Times New Roman" w:hAnsi="Times New Roman" w:cs="Times New Roman"/>
        </w:rPr>
        <w:t xml:space="preserve">. Matched metagenomes, where the same sample is used to generate both </w:t>
      </w:r>
      <w:r w:rsidR="006E1583">
        <w:rPr>
          <w:rFonts w:ascii="Times New Roman" w:hAnsi="Times New Roman" w:cs="Times New Roman"/>
        </w:rPr>
        <w:t>the metagenomics and metaproteomics datasets, provide the most accurate list of proteins that may be present in the sample.  However, matched metagenome sequence information is the most expensive among the four sources in terms of the monetary cost of sequencing the samples, the time and computational resources, and the expertise to assemble the metagenomes. For unmatched metagenomes, sequence information is derived from metagenomic sequencing data from the same environmental system, but not the specific samples analyzed by metaproteomics.  This includes metagenomics data included in gene catalogs for a particular system such the mouse or human</w:t>
      </w:r>
      <w:r>
        <w:rPr>
          <w:rFonts w:ascii="Times New Roman" w:hAnsi="Times New Roman" w:cs="Times New Roman"/>
        </w:rPr>
        <w:t xml:space="preserve"> gut</w:t>
      </w:r>
      <w:sdt>
        <w:sdtPr>
          <w:rPr>
            <w:rFonts w:ascii="Times New Roman" w:hAnsi="Times New Roman" w:cs="Times New Roman"/>
            <w:color w:val="000000"/>
            <w:vertAlign w:val="superscript"/>
          </w:rPr>
          <w:tag w:val="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"/>
          <w:id w:val="-882867939"/>
          <w:placeholder>
            <w:docPart w:val="CBD3E01BACACFB469155EC8B579B7BAC"/>
          </w:placeholder>
        </w:sdtPr>
        <w:sdtEndPr/>
        <w:sdtContent>
          <w:r w:rsidR="003204EA" w:rsidRPr="003204EA">
            <w:rPr>
              <w:rFonts w:eastAsia="Times New Roman"/>
              <w:color w:val="000000"/>
              <w:vertAlign w:val="superscript"/>
            </w:rPr>
            <w:t>10,90,91</w:t>
          </w:r>
        </w:sdtContent>
      </w:sdt>
      <w:r>
        <w:rPr>
          <w:rFonts w:ascii="Times New Roman" w:hAnsi="Times New Roman" w:cs="Times New Roman"/>
        </w:rPr>
        <w:t>. Due to the high level of taxonomic variation in microbiome samples even within the same system</w:t>
      </w:r>
      <w:sdt>
        <w:sdtPr>
          <w:rPr>
            <w:rFonts w:ascii="Times New Roman" w:hAnsi="Times New Roman" w:cs="Times New Roman"/>
            <w:color w:val="000000"/>
            <w:vertAlign w:val="superscript"/>
          </w:rPr>
          <w:tag w:val="MENDELEY_CITATION_v3_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"/>
          <w:id w:val="600388927"/>
          <w:placeholder>
            <w:docPart w:val="CBD3E01BACACFB469155EC8B579B7BAC"/>
          </w:placeholder>
        </w:sdtPr>
        <w:sdtEndPr/>
        <w:sdtContent>
          <w:r w:rsidR="003204EA" w:rsidRPr="003204EA">
            <w:rPr>
              <w:rFonts w:eastAsia="Times New Roman"/>
              <w:color w:val="000000"/>
              <w:vertAlign w:val="superscript"/>
            </w:rPr>
            <w:t>92</w:t>
          </w:r>
        </w:sdtContent>
      </w:sdt>
      <w:r>
        <w:rPr>
          <w:rFonts w:ascii="Times New Roman" w:hAnsi="Times New Roman" w:cs="Times New Roman"/>
        </w:rPr>
        <w:t xml:space="preserve">, these databases may contain millions of protein sequences, </w:t>
      </w:r>
      <w:r w:rsidR="00BC1C87">
        <w:rPr>
          <w:rFonts w:ascii="Times New Roman" w:hAnsi="Times New Roman" w:cs="Times New Roman"/>
        </w:rPr>
        <w:t xml:space="preserve">so this source of sequencing information can potentially include large numbers of protein sequences that are not actually present in the samples. While this source of sequencing information has no monetary cost, it presents computational challenges related to the extremely large search space. Unrestricted reference databases, such as the NCBI </w:t>
      </w:r>
      <w:proofErr w:type="spellStart"/>
      <w:r w:rsidR="00BC1C87">
        <w:rPr>
          <w:rFonts w:ascii="Times New Roman" w:hAnsi="Times New Roman" w:cs="Times New Roman"/>
        </w:rPr>
        <w:t>RefSeq</w:t>
      </w:r>
      <w:proofErr w:type="spellEnd"/>
      <w:r w:rsidR="00BC1C87">
        <w:rPr>
          <w:rFonts w:ascii="Times New Roman" w:hAnsi="Times New Roman" w:cs="Times New Roman"/>
        </w:rPr>
        <w:t xml:space="preserve"> database, which contain all sequences that have been deposited in a sequence repository, cover a large sequencing search space.  As this search space is not specific to the sample, or even to the system, suffers from </w:t>
      </w:r>
      <w:proofErr w:type="gramStart"/>
      <w:r w:rsidR="00BC1C87">
        <w:rPr>
          <w:rFonts w:ascii="Times New Roman" w:hAnsi="Times New Roman" w:cs="Times New Roman"/>
        </w:rPr>
        <w:t>a large number of</w:t>
      </w:r>
      <w:proofErr w:type="gramEnd"/>
      <w:r w:rsidR="00BC1C87">
        <w:rPr>
          <w:rFonts w:ascii="Times New Roman" w:hAnsi="Times New Roman" w:cs="Times New Roman"/>
        </w:rPr>
        <w:t xml:space="preserve"> false hits and therefore low PSM identifications after controlling for </w:t>
      </w:r>
      <w:r w:rsidR="00BC1C87">
        <w:rPr>
          <w:rFonts w:ascii="Times New Roman" w:hAnsi="Times New Roman" w:cs="Times New Roman"/>
        </w:rPr>
        <w:lastRenderedPageBreak/>
        <w:t xml:space="preserve">a desired false discovery rate (FDR). In addition, public sequencing repositories many </w:t>
      </w:r>
      <w:proofErr w:type="gramStart"/>
      <w:r w:rsidR="00BC1C87">
        <w:rPr>
          <w:rFonts w:ascii="Times New Roman" w:hAnsi="Times New Roman" w:cs="Times New Roman"/>
        </w:rPr>
        <w:t>not have</w:t>
      </w:r>
      <w:proofErr w:type="gramEnd"/>
      <w:r w:rsidR="00BC1C87">
        <w:rPr>
          <w:rFonts w:ascii="Times New Roman" w:hAnsi="Times New Roman" w:cs="Times New Roman"/>
        </w:rPr>
        <w:t xml:space="preserve"> adequate representation for all members of the community</w:t>
      </w:r>
      <w:sdt>
        <w:sdtPr>
          <w:rPr>
            <w:rFonts w:ascii="Times New Roman" w:hAnsi="Times New Roman" w:cs="Times New Roman"/>
            <w:color w:val="000000"/>
            <w:vertAlign w:val="superscript"/>
          </w:rPr>
          <w:tag w:val="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"/>
          <w:id w:val="-960647930"/>
          <w:placeholder>
            <w:docPart w:val="CBD3E01BACACFB469155EC8B579B7BAC"/>
          </w:placeholder>
        </w:sdtPr>
        <w:sdtEndPr/>
        <w:sdtContent>
          <w:r w:rsidR="003204EA" w:rsidRPr="003204EA">
            <w:rPr>
              <w:rFonts w:eastAsia="Times New Roman"/>
              <w:color w:val="000000"/>
              <w:vertAlign w:val="superscript"/>
            </w:rPr>
            <w:t>5,93</w:t>
          </w:r>
        </w:sdtContent>
      </w:sdt>
      <w:r>
        <w:rPr>
          <w:rFonts w:ascii="Times New Roman" w:hAnsi="Times New Roman" w:cs="Times New Roman"/>
        </w:rPr>
        <w:t xml:space="preserve">. </w:t>
      </w:r>
      <w:r w:rsidR="00E93721">
        <w:rPr>
          <w:rFonts w:ascii="Times New Roman" w:hAnsi="Times New Roman" w:cs="Times New Roman"/>
        </w:rPr>
        <w:t xml:space="preserve">The restricted reference database approach is based on prior knowledge about the taxonomic composition of the community, typically through </w:t>
      </w:r>
      <w:r w:rsidR="00E93721" w:rsidRPr="000504A0">
        <w:rPr>
          <w:rFonts w:ascii="Times New Roman" w:hAnsi="Times New Roman" w:cs="Times New Roman"/>
        </w:rPr>
        <w:t>16S rRNA gene sequencing</w:t>
      </w:r>
      <w:r w:rsidR="00E93721">
        <w:rPr>
          <w:rFonts w:ascii="Times New Roman" w:hAnsi="Times New Roman" w:cs="Times New Roman"/>
        </w:rPr>
        <w:t xml:space="preserve"> or other information, to build pseudo-metagenomes using publicly available reference genomes for taxonomically relevant organisms</w:t>
      </w:r>
      <w:sdt>
        <w:sdtPr>
          <w:rPr>
            <w:rFonts w:ascii="Times New Roman" w:hAnsi="Times New Roman" w:cs="Times New Roman"/>
            <w:color w:val="000000"/>
            <w:vertAlign w:val="superscript"/>
          </w:rPr>
          <w:tag w:val="MENDELEY_CITATION_v3_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"/>
          <w:id w:val="20915554"/>
          <w:placeholder>
            <w:docPart w:val="CBD3E01BACACFB469155EC8B579B7BAC"/>
          </w:placeholder>
        </w:sdtPr>
        <w:sdtEndPr/>
        <w:sdtContent>
          <w:r w:rsidR="003204EA" w:rsidRPr="003204EA">
            <w:rPr>
              <w:rFonts w:eastAsia="Times New Roman"/>
              <w:color w:val="000000"/>
              <w:vertAlign w:val="superscript"/>
            </w:rPr>
            <w:t>94</w:t>
          </w:r>
        </w:sdtContent>
      </w:sdt>
      <w:r>
        <w:rPr>
          <w:rFonts w:ascii="Times New Roman" w:hAnsi="Times New Roman" w:cs="Times New Roman"/>
        </w:rPr>
        <w:t>.</w:t>
      </w:r>
    </w:p>
    <w:p w14:paraId="242C55B5" w14:textId="59E85DEF" w:rsidR="00BD0E0D" w:rsidRDefault="00C071BB" w:rsidP="00BD0E0D">
      <w:pPr>
        <w:rPr>
          <w:rFonts w:ascii="Times New Roman" w:hAnsi="Times New Roman" w:cs="Times New Roman"/>
        </w:rPr>
      </w:pPr>
      <w:r>
        <w:rPr>
          <w:rFonts w:ascii="Times New Roman" w:hAnsi="Times New Roman" w:cs="Times New Roman"/>
        </w:rPr>
        <w:t>Finally, complex metaproteomics datasets often contain more mass spectra in a single study compared to studies of single organisms and require larger search spaces based on the large database size.  Not all database search algorithms can handle the time or memory resources needed to process this data type.  This computational limitation has prompted the development of metaproteomics-centric database search algorithms capable of processing datasets with massive search space and are compatible with operating on high-performance computing (HPC) cluster</w:t>
      </w:r>
      <w:sdt>
        <w:sdtPr>
          <w:rPr>
            <w:rFonts w:ascii="Times New Roman" w:hAnsi="Times New Roman" w:cs="Times New Roman"/>
            <w:color w:val="000000"/>
            <w:vertAlign w:val="superscript"/>
          </w:rPr>
          <w:tag w:val="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"/>
          <w:id w:val="-2035572072"/>
          <w:placeholder>
            <w:docPart w:val="CBD3E01BACACFB469155EC8B579B7BAC"/>
          </w:placeholder>
        </w:sdtPr>
        <w:sdtEndPr/>
        <w:sdtContent>
          <w:r w:rsidR="003204EA" w:rsidRPr="003204EA">
            <w:rPr>
              <w:rFonts w:eastAsia="Times New Roman"/>
              <w:color w:val="000000"/>
              <w:vertAlign w:val="superscript"/>
            </w:rPr>
            <w:t>95,96</w:t>
          </w:r>
        </w:sdtContent>
      </w:sdt>
      <w:r w:rsidR="00BD0E0D">
        <w:rPr>
          <w:rFonts w:ascii="Times New Roman" w:hAnsi="Times New Roman" w:cs="Times New Roman"/>
        </w:rPr>
        <w:t>.</w:t>
      </w:r>
    </w:p>
    <w:p w14:paraId="030E8B0B" w14:textId="195DEEF1" w:rsidR="002C470B" w:rsidRDefault="002C470B" w:rsidP="004057CA">
      <w:pPr>
        <w:pStyle w:val="Heading3"/>
      </w:pPr>
    </w:p>
    <w:p w14:paraId="5AD4E166" w14:textId="1F0350DE" w:rsidR="00BD0E0D" w:rsidRPr="00FB516D" w:rsidRDefault="00BD0E0D" w:rsidP="00BD0E0D">
      <w:pPr>
        <w:pStyle w:val="Heading4"/>
      </w:pPr>
      <w:bookmarkStart w:id="101" w:name="_Toc110250238"/>
      <w:bookmarkStart w:id="102" w:name="_Toc110250495"/>
      <w:bookmarkStart w:id="103" w:name="_Toc110250626"/>
      <w:r>
        <w:t>2.</w:t>
      </w:r>
      <w:r w:rsidR="00BC5E0B">
        <w:t>4</w:t>
      </w:r>
      <w:r>
        <w:t xml:space="preserve">.1.2  </w:t>
      </w:r>
      <w:r w:rsidRPr="00FB516D">
        <w:t>Evaluation of False Discovery Rates</w:t>
      </w:r>
      <w:r w:rsidR="0067780D">
        <w:t>.</w:t>
      </w:r>
      <w:bookmarkEnd w:id="101"/>
      <w:bookmarkEnd w:id="102"/>
      <w:bookmarkEnd w:id="103"/>
    </w:p>
    <w:p w14:paraId="43A44036" w14:textId="33D7FEEA" w:rsidR="00BD0E0D" w:rsidRPr="00BD0E0D" w:rsidRDefault="00BD0E0D" w:rsidP="00BD0E0D"/>
    <w:p w14:paraId="6E613943" w14:textId="5D7BE179" w:rsidR="00BD0E0D" w:rsidRDefault="00BD0E0D" w:rsidP="00BD0E0D">
      <w:pPr>
        <w:rPr>
          <w:rFonts w:ascii="Times New Roman" w:hAnsi="Times New Roman" w:cs="Times New Roman"/>
        </w:rPr>
      </w:pPr>
      <w:r>
        <w:rPr>
          <w:rFonts w:ascii="Times New Roman" w:hAnsi="Times New Roman" w:cs="Times New Roman"/>
        </w:rPr>
        <w:t>One downside of peptide-spectrum-matching is that it can sometimes lead to false positive identifications, especially with larger datasets that are common in metaproteomics</w:t>
      </w:r>
      <w:sdt>
        <w:sdtPr>
          <w:rPr>
            <w:rFonts w:ascii="Times New Roman" w:hAnsi="Times New Roman" w:cs="Times New Roman"/>
            <w:color w:val="000000"/>
            <w:vertAlign w:val="superscript"/>
          </w:rPr>
          <w:tag w:val="MENDELEY_CITATION_v3_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"/>
          <w:id w:val="405827"/>
          <w:placeholder>
            <w:docPart w:val="15A5453B803A6F418F7F476C5FFE40A0"/>
          </w:placeholder>
        </w:sdtPr>
        <w:sdtEndPr/>
        <w:sdtContent>
          <w:r w:rsidR="003204EA" w:rsidRPr="003204EA">
            <w:rPr>
              <w:rFonts w:eastAsia="Times New Roman"/>
              <w:color w:val="000000"/>
              <w:vertAlign w:val="superscript"/>
            </w:rPr>
            <w:t>97</w:t>
          </w:r>
        </w:sdtContent>
      </w:sdt>
      <w:r>
        <w:rPr>
          <w:rFonts w:ascii="Times New Roman" w:hAnsi="Times New Roman" w:cs="Times New Roman"/>
        </w:rPr>
        <w:t xml:space="preserve">.  Factors such as </w:t>
      </w:r>
      <w:r w:rsidRPr="00364583">
        <w:rPr>
          <w:rFonts w:ascii="Times New Roman" w:hAnsi="Times New Roman" w:cs="Times New Roman"/>
        </w:rPr>
        <w:t>erroneous sequence</w:t>
      </w:r>
      <w:r>
        <w:rPr>
          <w:rFonts w:ascii="Times New Roman" w:hAnsi="Times New Roman" w:cs="Times New Roman"/>
        </w:rPr>
        <w:t>s in the database and low-quality spectra can contribute to false positive identifications. To avoid drawing incorrect biological conclusions from the data based on the inclusion of false positive identifications, statistical procedures are often implemented to limit the false discovery proportion (FDP). In essence, the FDP is the proportion of false positive identifications, or mismatches, among all PSMs identified in the dataset.  It is impossible to precisely calculate the FDP due to the random nature of mismatches during peptide spectrum matching</w:t>
      </w:r>
      <w:sdt>
        <w:sdtPr>
          <w:rPr>
            <w:rFonts w:ascii="Times New Roman" w:hAnsi="Times New Roman" w:cs="Times New Roman"/>
            <w:color w:val="000000"/>
            <w:vertAlign w:val="superscript"/>
          </w:rPr>
          <w:tag w:val="MENDELEY_CITATION_v3_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"/>
          <w:id w:val="-706107220"/>
          <w:placeholder>
            <w:docPart w:val="15A5453B803A6F418F7F476C5FFE40A0"/>
          </w:placeholder>
        </w:sdtPr>
        <w:sdtEndPr/>
        <w:sdtContent>
          <w:r w:rsidR="003204EA" w:rsidRPr="003204EA">
            <w:rPr>
              <w:rFonts w:eastAsia="Times New Roman"/>
              <w:color w:val="000000"/>
              <w:vertAlign w:val="superscript"/>
            </w:rPr>
            <w:t>97</w:t>
          </w:r>
        </w:sdtContent>
      </w:sdt>
      <w:r>
        <w:rPr>
          <w:rFonts w:ascii="Times New Roman" w:hAnsi="Times New Roman" w:cs="Times New Roman"/>
        </w:rPr>
        <w:t>.  However, statistical procedures, such as false discovery rate (FDR) calculations can be used to estimate the FDP of a dataset.</w:t>
      </w:r>
    </w:p>
    <w:p w14:paraId="5ED16A1D" w14:textId="6A77FC69" w:rsidR="005D7BE1" w:rsidRDefault="00400E3E" w:rsidP="00B97C0B">
      <w:r>
        <w:t>To date,</w:t>
      </w:r>
      <w:r w:rsidRPr="008460E2">
        <w:t xml:space="preserve"> </w:t>
      </w:r>
      <w:r>
        <w:t xml:space="preserve">FDR </w:t>
      </w:r>
      <w:r w:rsidRPr="008460E2">
        <w:t>is the most accepted</w:t>
      </w:r>
      <w:r>
        <w:t xml:space="preserve"> global confidence measure </w:t>
      </w:r>
      <w:r w:rsidRPr="008460E2">
        <w:t xml:space="preserve">to assess </w:t>
      </w:r>
      <w:r>
        <w:t xml:space="preserve">the error </w:t>
      </w:r>
      <w:r w:rsidRPr="00B879D0">
        <w:t>rate across a</w:t>
      </w:r>
      <w:r>
        <w:t xml:space="preserve"> bottom-up proteomics dataset </w:t>
      </w:r>
      <w:proofErr w:type="gramStart"/>
      <w:r>
        <w:t>in order to</w:t>
      </w:r>
      <w:proofErr w:type="gramEnd"/>
      <w:r>
        <w:t xml:space="preserve"> estimate the PSM, peptide, and protein identification confidence</w:t>
      </w:r>
      <w:r w:rsidRPr="0069278D">
        <w:rPr>
          <w:color w:val="000000"/>
          <w:vertAlign w:val="superscript"/>
        </w:rPr>
        <w:t xml:space="preserve"> </w:t>
      </w:r>
      <w:sdt>
        <w:sdtPr>
          <w:rPr>
            <w:color w:val="000000"/>
            <w:vertAlign w:val="superscript"/>
          </w:rPr>
          <w:tag w:val="MENDELEY_CITATION_v3_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"/>
          <w:id w:val="1326700702"/>
          <w:placeholder>
            <w:docPart w:val="15A5453B803A6F418F7F476C5FFE40A0"/>
          </w:placeholder>
        </w:sdtPr>
        <w:sdtEndPr/>
        <w:sdtContent>
          <w:r w:rsidR="003204EA" w:rsidRPr="003204EA">
            <w:rPr>
              <w:rFonts w:eastAsia="Times New Roman"/>
              <w:color w:val="000000"/>
              <w:vertAlign w:val="superscript"/>
            </w:rPr>
            <w:t>87</w:t>
          </w:r>
        </w:sdtContent>
      </w:sdt>
      <w:r w:rsidR="00BD0E0D" w:rsidRPr="008460E2">
        <w:t xml:space="preserve">.  </w:t>
      </w:r>
      <w:r w:rsidR="0094703A" w:rsidRPr="008460E2">
        <w:t xml:space="preserve">The target-decoy method is the most common </w:t>
      </w:r>
      <w:r w:rsidR="0094703A" w:rsidRPr="008460E2">
        <w:lastRenderedPageBreak/>
        <w:t>approach used</w:t>
      </w:r>
      <w:r w:rsidR="0094703A">
        <w:t xml:space="preserve"> to determine the FDR in bottom-up proteomics</w:t>
      </w:r>
      <w:sdt>
        <w:sdtPr>
          <w:rPr>
            <w:color w:val="000000"/>
            <w:vertAlign w:val="superscript"/>
          </w:rPr>
          <w:tag w:val="MENDELEY_CITATION_v3_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"/>
          <w:id w:val="-481774721"/>
          <w:placeholder>
            <w:docPart w:val="15A5453B803A6F418F7F476C5FFE40A0"/>
          </w:placeholder>
        </w:sdtPr>
        <w:sdtEndPr/>
        <w:sdtContent>
          <w:r w:rsidR="003204EA" w:rsidRPr="003204EA">
            <w:rPr>
              <w:rFonts w:eastAsia="Times New Roman"/>
              <w:color w:val="000000"/>
              <w:vertAlign w:val="superscript"/>
            </w:rPr>
            <w:t>98</w:t>
          </w:r>
        </w:sdtContent>
      </w:sdt>
      <w:r w:rsidR="005827C6" w:rsidRPr="005827C6">
        <w:t xml:space="preserve"> </w:t>
      </w:r>
      <w:r w:rsidR="005827C6" w:rsidRPr="008460E2">
        <w:t>In this case</w:t>
      </w:r>
      <w:r w:rsidR="005827C6">
        <w:t>,</w:t>
      </w:r>
      <w:r w:rsidR="005827C6" w:rsidRPr="008460E2">
        <w:t xml:space="preserve"> a decoy database is appended to the target database with the assumption that the number of false PSMs in a decoy search is equivalent to the number of false PSMs in a target search</w:t>
      </w:r>
      <w:r w:rsidR="005827C6">
        <w:t xml:space="preserve"> </w:t>
      </w:r>
      <w:r w:rsidR="005827C6" w:rsidRPr="0057481E">
        <w:rPr>
          <w:b/>
          <w:bCs/>
        </w:rPr>
        <w:t>(Figure 2</w:t>
      </w:r>
      <w:r w:rsidR="005D27CC">
        <w:rPr>
          <w:b/>
          <w:bCs/>
        </w:rPr>
        <w:t>-</w:t>
      </w:r>
      <w:r w:rsidR="005827C6">
        <w:rPr>
          <w:b/>
          <w:bCs/>
        </w:rPr>
        <w:t>9</w:t>
      </w:r>
      <w:r w:rsidR="005827C6" w:rsidRPr="0057481E">
        <w:rPr>
          <w:b/>
          <w:bCs/>
        </w:rPr>
        <w:t xml:space="preserve">A). </w:t>
      </w:r>
      <w:r w:rsidR="005827C6" w:rsidRPr="008460E2">
        <w:t xml:space="preserve"> The decoy database is composed a reversed (or shuffled) version of the target database.  Reversed decoy databases are commonly used over shuffled because the </w:t>
      </w:r>
      <w:r w:rsidR="005827C6" w:rsidRPr="008460E2">
        <w:rPr>
          <w:i/>
          <w:iCs/>
        </w:rPr>
        <w:t>in</w:t>
      </w:r>
      <w:r w:rsidR="00CD604A">
        <w:rPr>
          <w:i/>
          <w:iCs/>
        </w:rPr>
        <w:t>-</w:t>
      </w:r>
      <w:r w:rsidR="005827C6" w:rsidRPr="008460E2">
        <w:rPr>
          <w:i/>
          <w:iCs/>
        </w:rPr>
        <w:t>silico</w:t>
      </w:r>
      <w:r w:rsidR="005827C6" w:rsidRPr="008460E2">
        <w:t xml:space="preserve"> digest of a reversed database will have the same frequency and lengths of peptides which gives the same number of peptide</w:t>
      </w:r>
      <w:r w:rsidR="00CD604A">
        <w:t>s</w:t>
      </w:r>
      <w:r w:rsidR="005827C6" w:rsidRPr="008460E2">
        <w:t xml:space="preserve"> being used in the decoy database as the target database.  The reason this is a good model is because it is simple to implement, and it gives an equal chance of true and false PSMs being hit.  </w:t>
      </w:r>
      <w:r w:rsidR="005827C6">
        <w:t xml:space="preserve">Since matches to the decoy database (decoy hits) are false identifications, the FDR </w:t>
      </w:r>
      <w:r w:rsidR="00BD0E0D">
        <w:t>of the experiment can be calculated as FDR = (</w:t>
      </w:r>
      <w:r w:rsidR="0012728F">
        <w:t>2*(</w:t>
      </w:r>
      <w:r w:rsidR="00BD0E0D">
        <w:t># of decoy hits</w:t>
      </w:r>
      <w:r w:rsidR="0012728F">
        <w:t>)</w:t>
      </w:r>
      <w:r w:rsidR="00BD0E0D">
        <w:t>)/ (# of target hits)</w:t>
      </w:r>
      <w:sdt>
        <w:sdtPr>
          <w:rPr>
            <w:color w:val="000000"/>
            <w:vertAlign w:val="superscript"/>
          </w:rPr>
          <w:tag w:val="MENDELEY_CITATION_v3_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"/>
          <w:id w:val="1015503967"/>
          <w:placeholder>
            <w:docPart w:val="15A5453B803A6F418F7F476C5FFE40A0"/>
          </w:placeholder>
        </w:sdtPr>
        <w:sdtEndPr/>
        <w:sdtContent>
          <w:r w:rsidR="003204EA" w:rsidRPr="003204EA">
            <w:rPr>
              <w:rFonts w:eastAsia="Times New Roman"/>
              <w:color w:val="000000"/>
              <w:vertAlign w:val="superscript"/>
            </w:rPr>
            <w:t>98</w:t>
          </w:r>
        </w:sdtContent>
      </w:sdt>
      <w:r w:rsidR="00BD0E0D">
        <w:t>.</w:t>
      </w:r>
    </w:p>
    <w:p w14:paraId="633ABBFE" w14:textId="67D34599" w:rsidR="00AD0F8C" w:rsidRDefault="005D7BE1" w:rsidP="005D7BE1">
      <w:pPr>
        <w:rPr>
          <w:rFonts w:ascii="Times New Roman" w:hAnsi="Times New Roman" w:cs="Times New Roman"/>
        </w:rPr>
      </w:pPr>
      <w:r>
        <w:t xml:space="preserve">User-defined scoring thresholds can be set during the database searches based on the </w:t>
      </w:r>
      <w:r>
        <w:rPr>
          <w:rFonts w:ascii="Times New Roman" w:hAnsi="Times New Roman" w:cs="Times New Roman"/>
        </w:rPr>
        <w:t xml:space="preserve">desired false discovery rate for the experiment </w:t>
      </w:r>
      <w:r w:rsidRPr="0057481E">
        <w:rPr>
          <w:rFonts w:ascii="Times New Roman" w:hAnsi="Times New Roman" w:cs="Times New Roman"/>
          <w:b/>
          <w:bCs/>
        </w:rPr>
        <w:t>(Figure 2</w:t>
      </w:r>
      <w:r w:rsidR="005D27CC">
        <w:rPr>
          <w:rFonts w:ascii="Times New Roman" w:hAnsi="Times New Roman" w:cs="Times New Roman"/>
          <w:b/>
          <w:bCs/>
        </w:rPr>
        <w:t>-</w:t>
      </w:r>
      <w:r>
        <w:rPr>
          <w:rFonts w:ascii="Times New Roman" w:hAnsi="Times New Roman" w:cs="Times New Roman"/>
          <w:b/>
          <w:bCs/>
        </w:rPr>
        <w:t>9</w:t>
      </w:r>
      <w:r w:rsidRPr="0057481E">
        <w:rPr>
          <w:rFonts w:ascii="Times New Roman" w:hAnsi="Times New Roman" w:cs="Times New Roman"/>
          <w:b/>
          <w:bCs/>
        </w:rPr>
        <w:t>B).</w:t>
      </w:r>
      <w:r>
        <w:rPr>
          <w:rFonts w:ascii="Times New Roman" w:hAnsi="Times New Roman" w:cs="Times New Roman"/>
        </w:rPr>
        <w:t xml:space="preserve">  Typically, thresholds are set at the PSM, peptide, and/or protein level.  For example, all work in this dissertation implemented a peptide-level FDR threshold of 1%, meaning no more than 1% of the peptides in the entire dataset could be assumed to be false identifications.  One consideration for this strategy is that it relies on the assumption that the size of the target database is representative of the true protein content in the sample.  If the size of the target database is very large and contains </w:t>
      </w:r>
      <w:proofErr w:type="gramStart"/>
      <w:r>
        <w:rPr>
          <w:rFonts w:ascii="Times New Roman" w:hAnsi="Times New Roman" w:cs="Times New Roman"/>
        </w:rPr>
        <w:t>a number of</w:t>
      </w:r>
      <w:proofErr w:type="gramEnd"/>
      <w:r>
        <w:rPr>
          <w:rFonts w:ascii="Times New Roman" w:hAnsi="Times New Roman" w:cs="Times New Roman"/>
        </w:rPr>
        <w:t xml:space="preserve"> protein sequences that are not expected to be in the sample, the number of hits to the corresponding decoy database would increase compared to an appropriately sized database. To maintain the desired experimental FDR for an oversized database, a stricter scoring threshold would need to be set, and thus more real or true PSMs would be filtered out of the dataset</w:t>
      </w:r>
      <w:sdt>
        <w:sdtPr>
          <w:rPr>
            <w:rFonts w:ascii="Times New Roman" w:hAnsi="Times New Roman" w:cs="Times New Roman"/>
            <w:color w:val="000000"/>
            <w:vertAlign w:val="superscript"/>
          </w:rPr>
          <w:tag w:val="MENDELEY_CITATION_v3_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"/>
          <w:id w:val="1266500465"/>
          <w:placeholder>
            <w:docPart w:val="6180E616FFBCFC44A5E858D8CB8DBFD2"/>
          </w:placeholder>
        </w:sdtPr>
        <w:sdtEndPr/>
        <w:sdtContent>
          <w:r w:rsidR="003204EA" w:rsidRPr="003204EA">
            <w:rPr>
              <w:rFonts w:eastAsia="Times New Roman"/>
              <w:color w:val="000000"/>
              <w:vertAlign w:val="superscript"/>
            </w:rPr>
            <w:t>89</w:t>
          </w:r>
        </w:sdtContent>
      </w:sdt>
      <w:r>
        <w:rPr>
          <w:rFonts w:ascii="Times New Roman" w:hAnsi="Times New Roman" w:cs="Times New Roman"/>
        </w:rPr>
        <w:t>.   Therefore, increasing the accuracy of the PSMs identification comes at the cost of sensitivity.</w:t>
      </w:r>
    </w:p>
    <w:p w14:paraId="05A8AAF6" w14:textId="77777777" w:rsidR="000505A9" w:rsidRDefault="000505A9" w:rsidP="000505A9">
      <w:pPr>
        <w:pStyle w:val="Heading3"/>
      </w:pPr>
    </w:p>
    <w:p w14:paraId="1E11E3CD" w14:textId="071CE413" w:rsidR="000505A9" w:rsidRPr="00FB516D" w:rsidRDefault="000505A9" w:rsidP="000505A9">
      <w:pPr>
        <w:pStyle w:val="Heading3"/>
      </w:pPr>
      <w:bookmarkStart w:id="104" w:name="_Toc110250239"/>
      <w:bookmarkStart w:id="105" w:name="_Toc110250496"/>
      <w:bookmarkStart w:id="106" w:name="_Toc110250627"/>
      <w:r>
        <w:t xml:space="preserve">2.4.2  </w:t>
      </w:r>
      <w:r w:rsidRPr="00FB516D">
        <w:t xml:space="preserve">Peptide identification using </w:t>
      </w:r>
      <w:r w:rsidRPr="00FB516D">
        <w:rPr>
          <w:i/>
          <w:iCs/>
        </w:rPr>
        <w:t>de novo</w:t>
      </w:r>
      <w:r w:rsidRPr="00FB516D">
        <w:t xml:space="preserve"> sequencing approaches</w:t>
      </w:r>
      <w:r>
        <w:t>.</w:t>
      </w:r>
      <w:bookmarkEnd w:id="104"/>
      <w:bookmarkEnd w:id="105"/>
      <w:bookmarkEnd w:id="106"/>
    </w:p>
    <w:p w14:paraId="2F5CF169" w14:textId="77777777" w:rsidR="000505A9" w:rsidRDefault="000505A9" w:rsidP="000505A9">
      <w:pPr>
        <w:rPr>
          <w:rFonts w:ascii="Times New Roman" w:hAnsi="Times New Roman" w:cs="Times New Roman"/>
        </w:rPr>
      </w:pPr>
    </w:p>
    <w:p w14:paraId="5946735D" w14:textId="13BDB3CD" w:rsidR="00AD0F8C" w:rsidRDefault="000505A9" w:rsidP="000505A9">
      <w:pPr>
        <w:spacing w:before="1"/>
        <w:rPr>
          <w:rFonts w:ascii="Times New Roman" w:hAnsi="Times New Roman" w:cs="Times New Roman"/>
        </w:rPr>
      </w:pPr>
      <w:r>
        <w:rPr>
          <w:rFonts w:ascii="Times New Roman" w:hAnsi="Times New Roman" w:cs="Times New Roman"/>
        </w:rPr>
        <w:t xml:space="preserve">While the database search strategy is the primary method to identify peptides </w:t>
      </w:r>
      <w:r w:rsidR="005D6CC5">
        <w:rPr>
          <w:rFonts w:ascii="Times New Roman" w:hAnsi="Times New Roman" w:cs="Times New Roman"/>
        </w:rPr>
        <w:t xml:space="preserve">and proteins in bottom-up proteomics workflows, the amino acid sequence of a peptide </w:t>
      </w:r>
      <w:r w:rsidR="00AD0F8C">
        <w:rPr>
          <w:rFonts w:ascii="Times New Roman" w:hAnsi="Times New Roman" w:cs="Times New Roman"/>
        </w:rPr>
        <w:br w:type="page"/>
      </w:r>
    </w:p>
    <w:p w14:paraId="7F81C1E7" w14:textId="531627FB" w:rsidR="00AD0F8C" w:rsidRDefault="00AD0F8C">
      <w:pPr>
        <w:spacing w:before="1"/>
        <w:rPr>
          <w:rFonts w:ascii="Times New Roman" w:hAnsi="Times New Roman" w:cs="Times New Roman"/>
        </w:rPr>
      </w:pPr>
      <w:r>
        <w:rPr>
          <w:noProof/>
        </w:rPr>
        <w:lastRenderedPageBreak/>
        <mc:AlternateContent>
          <mc:Choice Requires="wps">
            <w:drawing>
              <wp:anchor distT="0" distB="0" distL="114300" distR="114300" simplePos="0" relativeHeight="251658254" behindDoc="0" locked="0" layoutInCell="1" allowOverlap="1" wp14:anchorId="1408B3A2" wp14:editId="5C49C792">
                <wp:simplePos x="0" y="0"/>
                <wp:positionH relativeFrom="column">
                  <wp:posOffset>0</wp:posOffset>
                </wp:positionH>
                <wp:positionV relativeFrom="paragraph">
                  <wp:posOffset>4946015</wp:posOffset>
                </wp:positionV>
                <wp:extent cx="5495925" cy="635"/>
                <wp:effectExtent l="0" t="0" r="3175" b="12065"/>
                <wp:wrapTopAndBottom/>
                <wp:docPr id="13" name="Text Box 13"/>
                <wp:cNvGraphicFramePr/>
                <a:graphic xmlns:a="http://schemas.openxmlformats.org/drawingml/2006/main">
                  <a:graphicData uri="http://schemas.microsoft.com/office/word/2010/wordprocessingShape">
                    <wps:wsp>
                      <wps:cNvSpPr txBox="1"/>
                      <wps:spPr>
                        <a:xfrm>
                          <a:off x="0" y="0"/>
                          <a:ext cx="5495925" cy="635"/>
                        </a:xfrm>
                        <a:prstGeom prst="rect">
                          <a:avLst/>
                        </a:prstGeom>
                        <a:solidFill>
                          <a:prstClr val="white"/>
                        </a:solidFill>
                        <a:ln>
                          <a:noFill/>
                        </a:ln>
                      </wps:spPr>
                      <wps:txbx>
                        <w:txbxContent>
                          <w:p w14:paraId="7BE86812" w14:textId="114150E1" w:rsidR="00AD0F8C" w:rsidRPr="00235112" w:rsidRDefault="00AD0F8C" w:rsidP="00AD0F8C">
                            <w:pPr>
                              <w:pStyle w:val="Caption"/>
                              <w:rPr>
                                <w:b w:val="0"/>
                                <w:bCs/>
                              </w:rPr>
                            </w:pPr>
                            <w:bookmarkStart w:id="107" w:name="_Toc110246926"/>
                            <w:r>
                              <w:t xml:space="preserve">Figure </w:t>
                            </w:r>
                            <w:fldSimple w:instr=" STYLEREF 1 \s ">
                              <w:r w:rsidR="00AC2094">
                                <w:rPr>
                                  <w:noProof/>
                                </w:rPr>
                                <w:t>2</w:t>
                              </w:r>
                            </w:fldSimple>
                            <w:r w:rsidR="00AC2094">
                              <w:noBreakHyphen/>
                            </w:r>
                            <w:fldSimple w:instr=" SEQ Figure \* ARABIC \s 1 ">
                              <w:r w:rsidR="00AC2094">
                                <w:rPr>
                                  <w:noProof/>
                                </w:rPr>
                                <w:t>9</w:t>
                              </w:r>
                            </w:fldSimple>
                            <w:r>
                              <w:t xml:space="preserve">  </w:t>
                            </w:r>
                            <w:r w:rsidRPr="00BD0E0D">
                              <w:t>Experiment-wide false discovery rates (FDR) evaluation with a target-decoy strategy.</w:t>
                            </w:r>
                            <w:bookmarkEnd w:id="107"/>
                            <w:r w:rsidRPr="00BD0E0D">
                              <w:t xml:space="preserve"> </w:t>
                            </w:r>
                            <w:r>
                              <w:t xml:space="preserve"> </w:t>
                            </w:r>
                            <w:r w:rsidRPr="00235112">
                              <w:rPr>
                                <w:b w:val="0"/>
                                <w:bCs/>
                              </w:rPr>
                              <w:fldChar w:fldCharType="begin"/>
                            </w:r>
                            <w:r w:rsidRPr="00235112">
                              <w:rPr>
                                <w:b w:val="0"/>
                                <w:bCs/>
                              </w:rPr>
                              <w:instrText xml:space="preserve"> </w:instrText>
                            </w:r>
                          </w:p>
                          <w:p w14:paraId="1DED7AD2" w14:textId="77777777" w:rsidR="00AD0F8C" w:rsidRPr="00235112" w:rsidRDefault="00AD0F8C" w:rsidP="00AD0F8C">
                            <w:pPr>
                              <w:rPr>
                                <w:bCs/>
                              </w:rPr>
                            </w:pPr>
                          </w:p>
                          <w:p w14:paraId="435C9D95" w14:textId="71043C29" w:rsidR="00AD0F8C" w:rsidRPr="00235112" w:rsidRDefault="00AD0F8C" w:rsidP="00AD0F8C">
                            <w:pPr>
                              <w:pStyle w:val="Caption"/>
                              <w:rPr>
                                <w:rFonts w:ascii="Times New Roman" w:hAnsi="Times New Roman" w:cs="Times New Roman"/>
                                <w:b w:val="0"/>
                                <w:bCs/>
                                <w:noProof/>
                              </w:rPr>
                            </w:pPr>
                            <w:r w:rsidRPr="00235112">
                              <w:rPr>
                                <w:b w:val="0"/>
                                <w:bCs/>
                              </w:rPr>
                              <w:instrText xml:space="preserve"> </w:instrText>
                            </w:r>
                            <w:r w:rsidRPr="00235112">
                              <w:rPr>
                                <w:b w:val="0"/>
                                <w:bCs/>
                              </w:rPr>
                              <w:fldChar w:fldCharType="end"/>
                            </w:r>
                            <w:r w:rsidRPr="00235112">
                              <w:rPr>
                                <w:b w:val="0"/>
                                <w:bCs/>
                              </w:rPr>
                              <w:t>(A) Database searching is conducted against a concatenated protein database containing target and decoy sequences.  When the decoy database is constructed suitably, the false identifications should distribute between target hits and decoy hits. The resulting proportion of decoy hits compared to target hits can be used to estimate the experimental FDR. (B) Target and decoy scores are sorted using software scoring functions to separate true and false identifications and user-defined PSM score thresholds can then be applied until a desired FDR is achieved, where the FDR is the proportion of false positive above the threshold.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oel="http://schemas.microsoft.com/office/2019/extlst">
            <w:pict>
              <v:shape w14:anchorId="1408B3A2" id="Text Box 13" o:spid="_x0000_s1081" type="#_x0000_t202" style="position:absolute;left:0;text-align:left;margin-left:0;margin-top:389.45pt;width:432.75pt;height:.05pt;z-index:25165825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" stroked="f">
                <v:textbox style="mso-fit-shape-to-text:t" inset="0,0,0,0">
                  <w:txbxContent>
                    <w:p w14:paraId="7BE86812" w14:textId="114150E1" w:rsidR="00AD0F8C" w:rsidRPr="00235112" w:rsidRDefault="00AD0F8C" w:rsidP="00AD0F8C">
                      <w:pPr>
                        <w:pStyle w:val="Caption"/>
                        <w:rPr>
                          <w:b w:val="0"/>
                          <w:bCs/>
                        </w:rPr>
                      </w:pPr>
                      <w:bookmarkStart w:id="109" w:name="_Toc110246926"/>
                      <w:r>
                        <w:t xml:space="preserve">Figure </w:t>
                      </w:r>
                      <w:r w:rsidR="00000000">
                        <w:fldChar w:fldCharType="begin"/>
                      </w:r>
                      <w:r w:rsidR="00000000">
                        <w:instrText xml:space="preserve"> STYLEREF 1 \s </w:instrText>
                      </w:r>
                      <w:r w:rsidR="00000000">
                        <w:fldChar w:fldCharType="separate"/>
                      </w:r>
                      <w:r w:rsidR="00AC2094">
                        <w:rPr>
                          <w:noProof/>
                        </w:rPr>
                        <w:t>2</w:t>
                      </w:r>
                      <w:r w:rsidR="00000000">
                        <w:rPr>
                          <w:noProof/>
                        </w:rPr>
                        <w:fldChar w:fldCharType="end"/>
                      </w:r>
                      <w:r w:rsidR="00AC2094">
                        <w:noBreakHyphen/>
                      </w:r>
                      <w:r w:rsidR="00000000">
                        <w:fldChar w:fldCharType="begin"/>
                      </w:r>
                      <w:r w:rsidR="00000000">
                        <w:instrText xml:space="preserve"> SEQ Figure \* ARABIC \s 1 </w:instrText>
                      </w:r>
                      <w:r w:rsidR="00000000">
                        <w:fldChar w:fldCharType="separate"/>
                      </w:r>
                      <w:r w:rsidR="00AC2094">
                        <w:rPr>
                          <w:noProof/>
                        </w:rPr>
                        <w:t>9</w:t>
                      </w:r>
                      <w:r w:rsidR="00000000">
                        <w:rPr>
                          <w:noProof/>
                        </w:rPr>
                        <w:fldChar w:fldCharType="end"/>
                      </w:r>
                      <w:r>
                        <w:t xml:space="preserve">  </w:t>
                      </w:r>
                      <w:r w:rsidRPr="00BD0E0D">
                        <w:t>Experiment-wide false discovery rates (FDR) evaluation with a target-decoy strategy.</w:t>
                      </w:r>
                      <w:bookmarkEnd w:id="109"/>
                      <w:r w:rsidRPr="00BD0E0D">
                        <w:t xml:space="preserve"> </w:t>
                      </w:r>
                      <w:r>
                        <w:t xml:space="preserve"> </w:t>
                      </w:r>
                      <w:r w:rsidRPr="00235112">
                        <w:rPr>
                          <w:b w:val="0"/>
                          <w:bCs/>
                        </w:rPr>
                        <w:fldChar w:fldCharType="begin"/>
                      </w:r>
                      <w:r w:rsidRPr="00235112">
                        <w:rPr>
                          <w:b w:val="0"/>
                          <w:bCs/>
                        </w:rPr>
                        <w:instrText xml:space="preserve"> </w:instrText>
                      </w:r>
                    </w:p>
                    <w:p w14:paraId="1DED7AD2" w14:textId="77777777" w:rsidR="00AD0F8C" w:rsidRPr="00235112" w:rsidRDefault="00AD0F8C" w:rsidP="00AD0F8C">
                      <w:pPr>
                        <w:rPr>
                          <w:bCs/>
                        </w:rPr>
                      </w:pPr>
                    </w:p>
                    <w:p w14:paraId="435C9D95" w14:textId="71043C29" w:rsidR="00AD0F8C" w:rsidRPr="00235112" w:rsidRDefault="00AD0F8C" w:rsidP="00AD0F8C">
                      <w:pPr>
                        <w:pStyle w:val="Caption"/>
                        <w:rPr>
                          <w:rFonts w:ascii="Times New Roman" w:hAnsi="Times New Roman" w:cs="Times New Roman"/>
                          <w:b w:val="0"/>
                          <w:bCs/>
                          <w:noProof/>
                        </w:rPr>
                      </w:pPr>
                      <w:r w:rsidRPr="00235112">
                        <w:rPr>
                          <w:b w:val="0"/>
                          <w:bCs/>
                        </w:rPr>
                        <w:instrText xml:space="preserve"> </w:instrText>
                      </w:r>
                      <w:r w:rsidRPr="00235112">
                        <w:rPr>
                          <w:b w:val="0"/>
                          <w:bCs/>
                        </w:rPr>
                        <w:fldChar w:fldCharType="end"/>
                      </w:r>
                      <w:r w:rsidRPr="00235112">
                        <w:rPr>
                          <w:b w:val="0"/>
                          <w:bCs/>
                        </w:rPr>
                        <w:t xml:space="preserve">(A) Database searching is conducted against a concatenated protein database containing target and decoy sequences.  When the decoy database is constructed suitably, the false identifications should distribute between target hits and decoy hits. The resulting proportion of decoy hits compared to target hits can be used to estimate the experimental FDR. (B) Target and decoy scores are sorted using software scoring functions to separate true and false identifications and </w:t>
                      </w:r>
                      <w:proofErr w:type="gramStart"/>
                      <w:r w:rsidRPr="00235112">
                        <w:rPr>
                          <w:b w:val="0"/>
                          <w:bCs/>
                        </w:rPr>
                        <w:t>user-defined</w:t>
                      </w:r>
                      <w:proofErr w:type="gramEnd"/>
                      <w:r w:rsidRPr="00235112">
                        <w:rPr>
                          <w:b w:val="0"/>
                          <w:bCs/>
                        </w:rPr>
                        <w:t xml:space="preserve"> PSM score thresholds can then be applied until a desired FDR is achieved, where the FDR is the proportion of false positive above the threshold.</w:t>
                      </w:r>
                    </w:p>
                  </w:txbxContent>
                </v:textbox>
                <w10:wrap type="topAndBottom"/>
              </v:shape>
            </w:pict>
          </mc:Fallback>
        </mc:AlternateContent>
      </w:r>
      <w:r>
        <w:rPr>
          <w:rFonts w:ascii="Times New Roman" w:hAnsi="Times New Roman" w:cs="Times New Roman"/>
          <w:noProof/>
        </w:rPr>
        <w:drawing>
          <wp:anchor distT="0" distB="0" distL="114300" distR="114300" simplePos="0" relativeHeight="251658253" behindDoc="0" locked="0" layoutInCell="1" allowOverlap="1" wp14:anchorId="2D337507" wp14:editId="36C4553B">
            <wp:simplePos x="0" y="0"/>
            <wp:positionH relativeFrom="column">
              <wp:posOffset>0</wp:posOffset>
            </wp:positionH>
            <wp:positionV relativeFrom="paragraph">
              <wp:posOffset>266700</wp:posOffset>
            </wp:positionV>
            <wp:extent cx="5495925" cy="4622165"/>
            <wp:effectExtent l="0" t="0" r="0" b="0"/>
            <wp:wrapTopAndBottom/>
            <wp:docPr id="2441" name="Picture 244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 name="Picture 2441" descr="A picture containing diagram&#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95925" cy="4622165"/>
                    </a:xfrm>
                    <a:prstGeom prst="rect">
                      <a:avLst/>
                    </a:prstGeom>
                    <a:noFill/>
                  </pic:spPr>
                </pic:pic>
              </a:graphicData>
            </a:graphic>
            <wp14:sizeRelH relativeFrom="margin">
              <wp14:pctWidth>0</wp14:pctWidth>
            </wp14:sizeRelH>
            <wp14:sizeRelV relativeFrom="margin">
              <wp14:pctHeight>0</wp14:pctHeight>
            </wp14:sizeRelV>
          </wp:anchor>
        </w:drawing>
      </w:r>
    </w:p>
    <w:p w14:paraId="7C6AE09A" w14:textId="77777777" w:rsidR="00AD0F8C" w:rsidRDefault="00AD0F8C">
      <w:pPr>
        <w:spacing w:before="1"/>
        <w:rPr>
          <w:rFonts w:eastAsiaTheme="majorEastAsia" w:cstheme="majorBidi"/>
          <w:b/>
          <w:color w:val="000000" w:themeColor="text1"/>
        </w:rPr>
      </w:pPr>
      <w:r>
        <w:br w:type="page"/>
      </w:r>
    </w:p>
    <w:p w14:paraId="07FBE7EE" w14:textId="256AF820" w:rsidR="0052260F" w:rsidRDefault="00797785" w:rsidP="000505A9">
      <w:pPr>
        <w:ind w:firstLine="0"/>
        <w:rPr>
          <w:rFonts w:ascii="Times New Roman" w:hAnsi="Times New Roman" w:cs="Times New Roman"/>
        </w:rPr>
      </w:pPr>
      <w:r>
        <w:rPr>
          <w:rFonts w:ascii="Times New Roman" w:hAnsi="Times New Roman" w:cs="Times New Roman"/>
        </w:rPr>
        <w:lastRenderedPageBreak/>
        <w:t xml:space="preserve">can also be determined from MS/MS fragmentation information by using </w:t>
      </w:r>
      <w:r w:rsidRPr="00367AD9">
        <w:rPr>
          <w:rFonts w:ascii="Times New Roman" w:hAnsi="Times New Roman" w:cs="Times New Roman"/>
          <w:i/>
          <w:iCs/>
        </w:rPr>
        <w:t>de novo</w:t>
      </w:r>
      <w:r>
        <w:rPr>
          <w:rFonts w:ascii="Times New Roman" w:hAnsi="Times New Roman" w:cs="Times New Roman"/>
        </w:rPr>
        <w:t xml:space="preserve"> peptide sequencing algorithms. </w:t>
      </w:r>
      <w:r w:rsidRPr="004F38A2">
        <w:rPr>
          <w:rFonts w:ascii="Times New Roman" w:hAnsi="Times New Roman" w:cs="Times New Roman"/>
          <w:i/>
          <w:iCs/>
        </w:rPr>
        <w:t>De novo</w:t>
      </w:r>
      <w:r>
        <w:rPr>
          <w:rFonts w:ascii="Times New Roman" w:hAnsi="Times New Roman" w:cs="Times New Roman"/>
        </w:rPr>
        <w:t xml:space="preserve"> peptide sequencing has gained popularity in recent years as a database-independent approach to peptide identification since it is not hindered by database-related limitations that remain a challenge for </w:t>
      </w:r>
      <w:r w:rsidRPr="003E4613">
        <w:rPr>
          <w:rFonts w:ascii="Times New Roman" w:hAnsi="Times New Roman" w:cs="Times New Roman"/>
        </w:rPr>
        <w:t>peptide-spectrum-matching</w:t>
      </w:r>
      <w:r>
        <w:rPr>
          <w:rFonts w:ascii="Times New Roman" w:hAnsi="Times New Roman" w:cs="Times New Roman"/>
        </w:rPr>
        <w:t xml:space="preserve"> approaches.  Historically, </w:t>
      </w:r>
      <w:r w:rsidRPr="00EC5DEF">
        <w:rPr>
          <w:rFonts w:ascii="Times New Roman" w:hAnsi="Times New Roman" w:cs="Times New Roman"/>
          <w:i/>
          <w:iCs/>
        </w:rPr>
        <w:t>de novo</w:t>
      </w:r>
      <w:r>
        <w:rPr>
          <w:rFonts w:ascii="Times New Roman" w:hAnsi="Times New Roman" w:cs="Times New Roman"/>
        </w:rPr>
        <w:t xml:space="preserve"> sequencing algorithms were considered inferior to database search algorithms due to factors related to MS instrumentation performance and computational resources. </w:t>
      </w:r>
      <w:r w:rsidRPr="00F749DE">
        <w:rPr>
          <w:rFonts w:ascii="Times New Roman" w:hAnsi="Times New Roman" w:cs="Times New Roman"/>
          <w:i/>
          <w:iCs/>
        </w:rPr>
        <w:t>De novo</w:t>
      </w:r>
      <w:r>
        <w:rPr>
          <w:rFonts w:ascii="Times New Roman" w:hAnsi="Times New Roman" w:cs="Times New Roman"/>
        </w:rPr>
        <w:t xml:space="preserve"> sequencing from low-resolution MS/MS spectra generated results with poor accuracy, but as high-resolution MS instruments have been developed, the performance of </w:t>
      </w:r>
      <w:r w:rsidRPr="00F749DE">
        <w:rPr>
          <w:rFonts w:ascii="Times New Roman" w:hAnsi="Times New Roman" w:cs="Times New Roman"/>
          <w:i/>
          <w:iCs/>
        </w:rPr>
        <w:t>de novo</w:t>
      </w:r>
      <w:r>
        <w:rPr>
          <w:rFonts w:ascii="Times New Roman" w:hAnsi="Times New Roman" w:cs="Times New Roman"/>
        </w:rPr>
        <w:t xml:space="preserve"> algorithms has improved.  In addition, in the past, </w:t>
      </w:r>
      <w:r w:rsidRPr="00EC5DEF">
        <w:rPr>
          <w:rFonts w:ascii="Times New Roman" w:hAnsi="Times New Roman" w:cs="Times New Roman"/>
          <w:i/>
          <w:iCs/>
        </w:rPr>
        <w:t>de novo</w:t>
      </w:r>
      <w:r>
        <w:rPr>
          <w:rFonts w:ascii="Times New Roman" w:hAnsi="Times New Roman" w:cs="Times New Roman"/>
        </w:rPr>
        <w:t xml:space="preserve"> sequencing algorithms </w:t>
      </w:r>
      <w:r w:rsidR="00BD0E0D">
        <w:rPr>
          <w:rFonts w:ascii="Times New Roman" w:hAnsi="Times New Roman" w:cs="Times New Roman"/>
        </w:rPr>
        <w:t xml:space="preserve">were </w:t>
      </w:r>
      <w:r w:rsidR="0052260F">
        <w:rPr>
          <w:rFonts w:ascii="Times New Roman" w:hAnsi="Times New Roman" w:cs="Times New Roman"/>
        </w:rPr>
        <w:t xml:space="preserve">less efficient in terms of computational time and resources compared to database search algorithms due to the large unrestricted search space.  As high-performance computing capabilities have improved, the current de novo algorithms are comparable in speed. </w:t>
      </w:r>
    </w:p>
    <w:p w14:paraId="18858F7E" w14:textId="736C01AF" w:rsidR="00BD0E0D" w:rsidRPr="00521BD6" w:rsidRDefault="0052260F" w:rsidP="0052260F">
      <w:pPr>
        <w:rPr>
          <w:rFonts w:ascii="Times New Roman" w:hAnsi="Times New Roman" w:cs="Times New Roman"/>
        </w:rPr>
      </w:pPr>
      <w:r>
        <w:rPr>
          <w:rFonts w:ascii="Times New Roman" w:hAnsi="Times New Roman" w:cs="Times New Roman"/>
        </w:rPr>
        <w:t xml:space="preserve">Among available </w:t>
      </w:r>
      <w:r w:rsidRPr="00816143">
        <w:rPr>
          <w:rFonts w:ascii="Times New Roman" w:hAnsi="Times New Roman" w:cs="Times New Roman"/>
          <w:i/>
          <w:iCs/>
        </w:rPr>
        <w:t>de novo</w:t>
      </w:r>
      <w:r>
        <w:rPr>
          <w:rFonts w:ascii="Times New Roman" w:hAnsi="Times New Roman" w:cs="Times New Roman"/>
        </w:rPr>
        <w:t xml:space="preserve"> sequencing </w:t>
      </w:r>
      <w:proofErr w:type="gramStart"/>
      <w:r>
        <w:rPr>
          <w:rFonts w:ascii="Times New Roman" w:hAnsi="Times New Roman" w:cs="Times New Roman"/>
        </w:rPr>
        <w:t>pipelines,</w:t>
      </w:r>
      <w:proofErr w:type="gramEnd"/>
      <w:r>
        <w:rPr>
          <w:rFonts w:ascii="Times New Roman" w:hAnsi="Times New Roman" w:cs="Times New Roman"/>
        </w:rPr>
        <w:t xml:space="preserve"> the </w:t>
      </w:r>
      <w:r w:rsidRPr="00F27161">
        <w:rPr>
          <w:rFonts w:ascii="Times New Roman" w:hAnsi="Times New Roman" w:cs="Times New Roman"/>
        </w:rPr>
        <w:t xml:space="preserve">PEAKS </w:t>
      </w:r>
      <w:r>
        <w:rPr>
          <w:rFonts w:ascii="Times New Roman" w:hAnsi="Times New Roman" w:cs="Times New Roman"/>
        </w:rPr>
        <w:t xml:space="preserve">platform has been developed as a high throughput method for identifying peptides using am automated </w:t>
      </w:r>
      <w:r w:rsidRPr="00F74ABD">
        <w:rPr>
          <w:rFonts w:ascii="Times New Roman" w:hAnsi="Times New Roman" w:cs="Times New Roman"/>
          <w:i/>
          <w:iCs/>
        </w:rPr>
        <w:t xml:space="preserve">de novo </w:t>
      </w:r>
      <w:r>
        <w:rPr>
          <w:rFonts w:ascii="Times New Roman" w:hAnsi="Times New Roman" w:cs="Times New Roman"/>
        </w:rPr>
        <w:t>peptide sequencing based approach</w:t>
      </w:r>
      <w:sdt>
        <w:sdtPr>
          <w:rPr>
            <w:rFonts w:ascii="Times New Roman" w:hAnsi="Times New Roman" w:cs="Times New Roman"/>
            <w:color w:val="000000"/>
            <w:vertAlign w:val="superscript"/>
          </w:rPr>
          <w:tag w:val="MENDELEY_CITATION_v3_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"/>
          <w:id w:val="94839391"/>
          <w:placeholder>
            <w:docPart w:val="A47738F1AD3D574DB6550DEF42B92548"/>
          </w:placeholder>
        </w:sdtPr>
        <w:sdtEndPr/>
        <w:sdtContent>
          <w:r w:rsidR="003204EA" w:rsidRPr="003204EA">
            <w:rPr>
              <w:rFonts w:eastAsia="Times New Roman"/>
              <w:color w:val="000000"/>
              <w:vertAlign w:val="superscript"/>
            </w:rPr>
            <w:t>99,100</w:t>
          </w:r>
        </w:sdtContent>
      </w:sdt>
      <w:r w:rsidR="00BD0E0D">
        <w:rPr>
          <w:rFonts w:ascii="Times New Roman" w:hAnsi="Times New Roman" w:cs="Times New Roman"/>
        </w:rPr>
        <w:t xml:space="preserve">. </w:t>
      </w:r>
      <w:r w:rsidR="007C3E20">
        <w:rPr>
          <w:rFonts w:ascii="Times New Roman" w:hAnsi="Times New Roman" w:cs="Times New Roman"/>
        </w:rPr>
        <w:t xml:space="preserve">This platform incorporates algorithms for four distinct components for peptide identification: (1) </w:t>
      </w:r>
      <w:r w:rsidR="007C3E20" w:rsidRPr="00F74ABD">
        <w:rPr>
          <w:rFonts w:ascii="Times New Roman" w:hAnsi="Times New Roman" w:cs="Times New Roman"/>
          <w:i/>
          <w:iCs/>
        </w:rPr>
        <w:t xml:space="preserve">de novo </w:t>
      </w:r>
      <w:r w:rsidR="007C3E20">
        <w:rPr>
          <w:rFonts w:ascii="Times New Roman" w:hAnsi="Times New Roman" w:cs="Times New Roman"/>
        </w:rPr>
        <w:t xml:space="preserve">peptide sequencing, (2) database searching, (3) PTM analysis, and (4) peptide mutation analysis.  To identify peptides, MS/MS data is first interrogated by automated </w:t>
      </w:r>
      <w:r w:rsidR="007C3E20" w:rsidRPr="00EA0C92">
        <w:rPr>
          <w:rFonts w:ascii="Times New Roman" w:hAnsi="Times New Roman" w:cs="Times New Roman"/>
          <w:i/>
          <w:iCs/>
        </w:rPr>
        <w:t xml:space="preserve">de novo </w:t>
      </w:r>
      <w:r w:rsidR="007C3E20">
        <w:rPr>
          <w:rFonts w:ascii="Times New Roman" w:hAnsi="Times New Roman" w:cs="Times New Roman"/>
        </w:rPr>
        <w:t>sequencing followed by databased searching.  T</w:t>
      </w:r>
      <w:r w:rsidR="007C3E20" w:rsidRPr="00973526">
        <w:rPr>
          <w:rFonts w:ascii="Times New Roman" w:hAnsi="Times New Roman" w:cs="Times New Roman"/>
        </w:rPr>
        <w:t>he combination of de novo sequencing</w:t>
      </w:r>
      <w:r w:rsidR="007C3E20">
        <w:rPr>
          <w:rFonts w:ascii="Times New Roman" w:hAnsi="Times New Roman" w:cs="Times New Roman"/>
        </w:rPr>
        <w:t xml:space="preserve"> with database searching has two primary benefits.  First, peptides from proteins that are present in the sample can be identified even if the proteins are not included in the database. Second, the combination of the two complementary identification approaches results in improved accuracy and confidence of the identified peptides since a match between the</w:t>
      </w:r>
      <w:r w:rsidR="007C3E20" w:rsidRPr="00BD41C2">
        <w:rPr>
          <w:rFonts w:ascii="Times New Roman" w:hAnsi="Times New Roman" w:cs="Times New Roman"/>
        </w:rPr>
        <w:t xml:space="preserve"> </w:t>
      </w:r>
      <w:r w:rsidR="007C3E20" w:rsidRPr="00BD41C2">
        <w:rPr>
          <w:rFonts w:ascii="Times New Roman" w:hAnsi="Times New Roman" w:cs="Times New Roman"/>
          <w:i/>
          <w:iCs/>
        </w:rPr>
        <w:t>de novo</w:t>
      </w:r>
      <w:r w:rsidR="007C3E20" w:rsidRPr="00BD41C2">
        <w:rPr>
          <w:rFonts w:ascii="Times New Roman" w:hAnsi="Times New Roman" w:cs="Times New Roman"/>
        </w:rPr>
        <w:t xml:space="preserve"> sequencing and the database search </w:t>
      </w:r>
      <w:r w:rsidR="007C3E20">
        <w:rPr>
          <w:rFonts w:ascii="Times New Roman" w:hAnsi="Times New Roman" w:cs="Times New Roman"/>
        </w:rPr>
        <w:t xml:space="preserve">results </w:t>
      </w:r>
      <w:r w:rsidR="007C3E20" w:rsidRPr="00BD41C2">
        <w:rPr>
          <w:rFonts w:ascii="Times New Roman" w:hAnsi="Times New Roman" w:cs="Times New Roman"/>
        </w:rPr>
        <w:t>is a good indicat</w:t>
      </w:r>
      <w:r w:rsidR="007C3E20">
        <w:rPr>
          <w:rFonts w:ascii="Times New Roman" w:hAnsi="Times New Roman" w:cs="Times New Roman"/>
        </w:rPr>
        <w:t>or</w:t>
      </w:r>
      <w:r w:rsidR="007C3E20" w:rsidRPr="00BD41C2">
        <w:rPr>
          <w:rFonts w:ascii="Times New Roman" w:hAnsi="Times New Roman" w:cs="Times New Roman"/>
        </w:rPr>
        <w:t xml:space="preserve"> that the database search result</w:t>
      </w:r>
      <w:r w:rsidR="007C3E20">
        <w:rPr>
          <w:rFonts w:ascii="Times New Roman" w:hAnsi="Times New Roman" w:cs="Times New Roman"/>
        </w:rPr>
        <w:t>s are</w:t>
      </w:r>
      <w:r w:rsidR="007C3E20" w:rsidRPr="00BD41C2">
        <w:rPr>
          <w:rFonts w:ascii="Times New Roman" w:hAnsi="Times New Roman" w:cs="Times New Roman"/>
        </w:rPr>
        <w:t xml:space="preserve"> correct</w:t>
      </w:r>
      <w:r w:rsidR="007C3E20">
        <w:rPr>
          <w:rFonts w:ascii="Times New Roman" w:hAnsi="Times New Roman" w:cs="Times New Roman"/>
        </w:rPr>
        <w:t>. T</w:t>
      </w:r>
      <w:r w:rsidR="007C3E20" w:rsidRPr="00521BD6">
        <w:rPr>
          <w:rFonts w:ascii="Times New Roman" w:hAnsi="Times New Roman" w:cs="Times New Roman"/>
        </w:rPr>
        <w:t xml:space="preserve">wo additional algorithms </w:t>
      </w:r>
      <w:r w:rsidR="007C3E20">
        <w:rPr>
          <w:rFonts w:ascii="Times New Roman" w:hAnsi="Times New Roman" w:cs="Times New Roman"/>
        </w:rPr>
        <w:t>in the workflow are used to identify PTMs and peptide mutations.</w:t>
      </w:r>
      <w:r w:rsidR="007C3E20" w:rsidRPr="00DB5F19">
        <w:rPr>
          <w:rFonts w:ascii="Times New Roman" w:hAnsi="Times New Roman" w:cs="Times New Roman"/>
        </w:rPr>
        <w:t xml:space="preserve"> PEAKS PTM is an algorithm that enables searching an unlimited number of</w:t>
      </w:r>
      <w:r w:rsidR="007C3E20">
        <w:rPr>
          <w:rFonts w:ascii="Times New Roman" w:hAnsi="Times New Roman" w:cs="Times New Roman"/>
        </w:rPr>
        <w:t xml:space="preserve"> </w:t>
      </w:r>
      <w:r w:rsidR="007C3E20" w:rsidRPr="00DB5F19">
        <w:rPr>
          <w:rFonts w:ascii="Times New Roman" w:hAnsi="Times New Roman" w:cs="Times New Roman"/>
        </w:rPr>
        <w:t>PTMs</w:t>
      </w:r>
      <w:r w:rsidR="007C3E20">
        <w:rPr>
          <w:rFonts w:ascii="Times New Roman" w:hAnsi="Times New Roman" w:cs="Times New Roman"/>
        </w:rPr>
        <w:t xml:space="preserve"> to </w:t>
      </w:r>
      <w:r w:rsidR="007C3E20" w:rsidRPr="00DB5F19">
        <w:rPr>
          <w:rFonts w:ascii="Times New Roman" w:hAnsi="Times New Roman" w:cs="Times New Roman"/>
        </w:rPr>
        <w:t>improve the peptide identification rate of modified peptides</w:t>
      </w:r>
      <w:sdt>
        <w:sdtPr>
          <w:rPr>
            <w:rFonts w:ascii="Times New Roman" w:hAnsi="Times New Roman" w:cs="Times New Roman"/>
            <w:color w:val="000000"/>
            <w:vertAlign w:val="superscript"/>
          </w:rPr>
          <w:tag w:val="MENDELEY_CITATION_v3_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"/>
          <w:id w:val="-38602470"/>
          <w:placeholder>
            <w:docPart w:val="A47738F1AD3D574DB6550DEF42B92548"/>
          </w:placeholder>
        </w:sdtPr>
        <w:sdtEndPr/>
        <w:sdtContent>
          <w:r w:rsidR="003204EA" w:rsidRPr="003204EA">
            <w:rPr>
              <w:rFonts w:eastAsia="Times New Roman"/>
              <w:color w:val="000000"/>
              <w:vertAlign w:val="superscript"/>
            </w:rPr>
            <w:t>101</w:t>
          </w:r>
        </w:sdtContent>
      </w:sdt>
      <w:r w:rsidR="00BD0E0D" w:rsidRPr="00DB5F19">
        <w:rPr>
          <w:rFonts w:ascii="Times New Roman" w:hAnsi="Times New Roman" w:cs="Times New Roman"/>
        </w:rPr>
        <w:t xml:space="preserve">. </w:t>
      </w:r>
      <w:r w:rsidR="0052163B" w:rsidRPr="00DB5F19">
        <w:rPr>
          <w:rFonts w:ascii="Times New Roman" w:hAnsi="Times New Roman" w:cs="Times New Roman"/>
        </w:rPr>
        <w:t>SPIDER is a peptide mutation</w:t>
      </w:r>
      <w:r w:rsidR="0052163B">
        <w:rPr>
          <w:rFonts w:ascii="Times New Roman" w:hAnsi="Times New Roman" w:cs="Times New Roman"/>
        </w:rPr>
        <w:t xml:space="preserve"> </w:t>
      </w:r>
      <w:r w:rsidR="0052163B" w:rsidRPr="00DB5F19">
        <w:rPr>
          <w:rFonts w:ascii="Times New Roman" w:hAnsi="Times New Roman" w:cs="Times New Roman"/>
        </w:rPr>
        <w:t xml:space="preserve">and </w:t>
      </w:r>
      <w:r w:rsidR="0052163B" w:rsidRPr="00DB5F19">
        <w:rPr>
          <w:rFonts w:ascii="Times New Roman" w:hAnsi="Times New Roman" w:cs="Times New Roman"/>
        </w:rPr>
        <w:lastRenderedPageBreak/>
        <w:t>homology search algorithm that is incorporated into the PEAKS workflow that reconstructs the correct</w:t>
      </w:r>
      <w:r w:rsidR="0052163B">
        <w:rPr>
          <w:rFonts w:ascii="Times New Roman" w:hAnsi="Times New Roman" w:cs="Times New Roman"/>
        </w:rPr>
        <w:t xml:space="preserve"> </w:t>
      </w:r>
      <w:r w:rsidR="0052163B" w:rsidRPr="00DB5F19">
        <w:rPr>
          <w:rFonts w:ascii="Times New Roman" w:hAnsi="Times New Roman" w:cs="Times New Roman"/>
        </w:rPr>
        <w:t xml:space="preserve">peptide sequence based on sequence tags identified during </w:t>
      </w:r>
      <w:r w:rsidR="0052163B" w:rsidRPr="00F95144">
        <w:rPr>
          <w:rFonts w:ascii="Times New Roman" w:hAnsi="Times New Roman" w:cs="Times New Roman"/>
          <w:i/>
          <w:iCs/>
        </w:rPr>
        <w:t xml:space="preserve">de novo </w:t>
      </w:r>
      <w:r w:rsidR="0052163B" w:rsidRPr="00DB5F19">
        <w:rPr>
          <w:rFonts w:ascii="Times New Roman" w:hAnsi="Times New Roman" w:cs="Times New Roman"/>
        </w:rPr>
        <w:t>sequencing and the homologous sequences in the database</w:t>
      </w:r>
      <w:sdt>
        <w:sdtPr>
          <w:rPr>
            <w:rFonts w:ascii="Times New Roman" w:hAnsi="Times New Roman" w:cs="Times New Roman"/>
            <w:color w:val="000000"/>
            <w:vertAlign w:val="superscript"/>
          </w:rPr>
          <w:tag w:val="MENDELEY_CITATION_v3_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"/>
          <w:id w:val="1940721118"/>
          <w:placeholder>
            <w:docPart w:val="A47738F1AD3D574DB6550DEF42B92548"/>
          </w:placeholder>
        </w:sdtPr>
        <w:sdtEndPr/>
        <w:sdtContent>
          <w:r w:rsidR="003204EA" w:rsidRPr="003204EA">
            <w:rPr>
              <w:rFonts w:eastAsia="Times New Roman"/>
              <w:color w:val="000000"/>
              <w:vertAlign w:val="superscript"/>
            </w:rPr>
            <w:t>102</w:t>
          </w:r>
        </w:sdtContent>
      </w:sdt>
      <w:r w:rsidR="00BD0E0D" w:rsidRPr="00DB5F19">
        <w:rPr>
          <w:rFonts w:ascii="Times New Roman" w:hAnsi="Times New Roman" w:cs="Times New Roman"/>
        </w:rPr>
        <w:t>.</w:t>
      </w:r>
    </w:p>
    <w:p w14:paraId="56DE9B94" w14:textId="125B9A45" w:rsidR="00BD0E0D" w:rsidRPr="00521BD6" w:rsidRDefault="004C678F" w:rsidP="00BD0E0D">
      <w:pPr>
        <w:rPr>
          <w:rFonts w:ascii="Times New Roman" w:hAnsi="Times New Roman" w:cs="Times New Roman"/>
        </w:rPr>
      </w:pPr>
      <w:r>
        <w:rPr>
          <w:rFonts w:ascii="Times New Roman" w:hAnsi="Times New Roman" w:cs="Times New Roman"/>
        </w:rPr>
        <w:t xml:space="preserve">As the construction of an accurate protein database remains especially challenging for complex microbiomes, new </w:t>
      </w:r>
      <w:r w:rsidRPr="00C96814">
        <w:rPr>
          <w:rFonts w:ascii="Times New Roman" w:hAnsi="Times New Roman" w:cs="Times New Roman"/>
          <w:i/>
          <w:iCs/>
        </w:rPr>
        <w:t xml:space="preserve">de novo </w:t>
      </w:r>
      <w:r>
        <w:rPr>
          <w:rFonts w:ascii="Times New Roman" w:hAnsi="Times New Roman" w:cs="Times New Roman"/>
        </w:rPr>
        <w:t xml:space="preserve">peptide sequencing pipelines customized for metaproteomic datasets, such as </w:t>
      </w:r>
      <w:proofErr w:type="spellStart"/>
      <w:r>
        <w:rPr>
          <w:rFonts w:ascii="Times New Roman" w:hAnsi="Times New Roman" w:cs="Times New Roman"/>
        </w:rPr>
        <w:t>NovoBridge</w:t>
      </w:r>
      <w:proofErr w:type="spellEnd"/>
      <w:r>
        <w:rPr>
          <w:rFonts w:ascii="Times New Roman" w:hAnsi="Times New Roman" w:cs="Times New Roman"/>
        </w:rPr>
        <w:t>, have also been developed</w:t>
      </w:r>
      <w:sdt>
        <w:sdtPr>
          <w:rPr>
            <w:rFonts w:ascii="Times New Roman" w:hAnsi="Times New Roman" w:cs="Times New Roman"/>
            <w:color w:val="000000"/>
            <w:vertAlign w:val="superscript"/>
          </w:rPr>
          <w:tag w:val="MENDELEY_CITATION_v3_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"/>
          <w:id w:val="2131818067"/>
          <w:placeholder>
            <w:docPart w:val="A47738F1AD3D574DB6550DEF42B92548"/>
          </w:placeholder>
        </w:sdtPr>
        <w:sdtEndPr/>
        <w:sdtContent>
          <w:r w:rsidR="003204EA" w:rsidRPr="003204EA">
            <w:rPr>
              <w:rFonts w:eastAsia="Times New Roman"/>
              <w:color w:val="000000"/>
              <w:vertAlign w:val="superscript"/>
            </w:rPr>
            <w:t>103</w:t>
          </w:r>
        </w:sdtContent>
      </w:sdt>
      <w:r w:rsidR="00BD0E0D">
        <w:rPr>
          <w:rFonts w:ascii="Times New Roman" w:hAnsi="Times New Roman" w:cs="Times New Roman"/>
        </w:rPr>
        <w:t xml:space="preserve">.  </w:t>
      </w:r>
      <w:r w:rsidR="00263C77">
        <w:rPr>
          <w:rFonts w:ascii="Times New Roman" w:hAnsi="Times New Roman" w:cs="Times New Roman"/>
        </w:rPr>
        <w:t xml:space="preserve">Due to the benefits of a database-independent approach, </w:t>
      </w:r>
      <w:r w:rsidR="00263C77" w:rsidRPr="001951BA">
        <w:rPr>
          <w:rFonts w:ascii="Times New Roman" w:hAnsi="Times New Roman" w:cs="Times New Roman"/>
          <w:i/>
          <w:iCs/>
        </w:rPr>
        <w:t>de novo</w:t>
      </w:r>
      <w:r w:rsidR="00263C77">
        <w:rPr>
          <w:rFonts w:ascii="Times New Roman" w:hAnsi="Times New Roman" w:cs="Times New Roman"/>
        </w:rPr>
        <w:t xml:space="preserve"> sequencing strategies can be implemented into stand-alone or hybrid </w:t>
      </w:r>
      <w:r w:rsidR="00263C77" w:rsidRPr="00372AC0">
        <w:rPr>
          <w:rFonts w:ascii="Times New Roman" w:hAnsi="Times New Roman" w:cs="Times New Roman"/>
          <w:i/>
          <w:iCs/>
        </w:rPr>
        <w:t>de novo</w:t>
      </w:r>
      <w:r w:rsidR="00263C77">
        <w:rPr>
          <w:rFonts w:ascii="Times New Roman" w:hAnsi="Times New Roman" w:cs="Times New Roman"/>
        </w:rPr>
        <w:t xml:space="preserve">-assisted database search workflows.  One final consideration is that the </w:t>
      </w:r>
      <w:r w:rsidR="00263C77" w:rsidRPr="00DE6CFF">
        <w:rPr>
          <w:rFonts w:ascii="Times New Roman" w:hAnsi="Times New Roman" w:cs="Times New Roman"/>
          <w:i/>
          <w:iCs/>
        </w:rPr>
        <w:t>de novo</w:t>
      </w:r>
      <w:r w:rsidR="00263C77">
        <w:rPr>
          <w:rFonts w:ascii="Times New Roman" w:hAnsi="Times New Roman" w:cs="Times New Roman"/>
        </w:rPr>
        <w:t xml:space="preserve"> sequencing strategy as a stand-alone tool is limited to a peptide-centric view of the metaproteome, and a protein database is still required for protein inference and confident biological interpretation of the data</w:t>
      </w:r>
      <w:sdt>
        <w:sdtPr>
          <w:rPr>
            <w:rFonts w:ascii="Times New Roman" w:hAnsi="Times New Roman" w:cs="Times New Roman"/>
            <w:color w:val="000000"/>
            <w:vertAlign w:val="superscript"/>
          </w:rPr>
          <w:tag w:val="MENDELEY_CITATION_v3_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"/>
          <w:id w:val="2084260230"/>
          <w:placeholder>
            <w:docPart w:val="A47738F1AD3D574DB6550DEF42B92548"/>
          </w:placeholder>
        </w:sdtPr>
        <w:sdtEndPr/>
        <w:sdtContent>
          <w:r w:rsidR="003204EA" w:rsidRPr="003204EA">
            <w:rPr>
              <w:rFonts w:eastAsia="Times New Roman"/>
              <w:color w:val="000000"/>
              <w:vertAlign w:val="superscript"/>
            </w:rPr>
            <w:t>104</w:t>
          </w:r>
        </w:sdtContent>
      </w:sdt>
      <w:r w:rsidR="00BD0E0D">
        <w:rPr>
          <w:rFonts w:ascii="Times New Roman" w:hAnsi="Times New Roman" w:cs="Times New Roman"/>
        </w:rPr>
        <w:t xml:space="preserve">. </w:t>
      </w:r>
    </w:p>
    <w:p w14:paraId="30D364F7" w14:textId="77777777" w:rsidR="00FB7F2D" w:rsidRPr="00FB7F2D" w:rsidRDefault="00FB7F2D" w:rsidP="00FB7F2D"/>
    <w:p w14:paraId="1BC37499" w14:textId="2AF78923" w:rsidR="00FB7F2D" w:rsidRPr="00FB516D" w:rsidRDefault="00FB7F2D" w:rsidP="00890527">
      <w:pPr>
        <w:pStyle w:val="Heading3"/>
      </w:pPr>
      <w:bookmarkStart w:id="108" w:name="_Toc110250240"/>
      <w:bookmarkStart w:id="109" w:name="_Toc110250497"/>
      <w:bookmarkStart w:id="110" w:name="_Toc110250628"/>
      <w:r>
        <w:t>2.</w:t>
      </w:r>
      <w:r w:rsidR="00D911AE">
        <w:t>4.3</w:t>
      </w:r>
      <w:r>
        <w:t xml:space="preserve">  </w:t>
      </w:r>
      <w:proofErr w:type="gramStart"/>
      <w:r w:rsidRPr="00FB516D">
        <w:t>Post-search</w:t>
      </w:r>
      <w:proofErr w:type="gramEnd"/>
      <w:r w:rsidRPr="00FB516D">
        <w:t xml:space="preserve"> processing of metaproteomics datasets</w:t>
      </w:r>
      <w:r w:rsidR="0067780D">
        <w:t>.</w:t>
      </w:r>
      <w:bookmarkEnd w:id="108"/>
      <w:bookmarkEnd w:id="109"/>
      <w:bookmarkEnd w:id="110"/>
    </w:p>
    <w:p w14:paraId="465CD190" w14:textId="77777777" w:rsidR="00FB7F2D" w:rsidRDefault="00FB7F2D" w:rsidP="00FB7F2D">
      <w:pPr>
        <w:ind w:firstLine="360"/>
        <w:rPr>
          <w:rFonts w:ascii="Times New Roman" w:hAnsi="Times New Roman" w:cs="Times New Roman"/>
        </w:rPr>
      </w:pPr>
    </w:p>
    <w:p w14:paraId="44352AD9" w14:textId="2DF5534C" w:rsidR="00FB7F2D" w:rsidRDefault="00263C77" w:rsidP="00FB7F2D">
      <w:pPr>
        <w:ind w:firstLine="360"/>
        <w:rPr>
          <w:rFonts w:ascii="Times New Roman" w:hAnsi="Times New Roman" w:cs="Times New Roman"/>
        </w:rPr>
      </w:pPr>
      <w:r>
        <w:rPr>
          <w:rFonts w:ascii="Times New Roman" w:hAnsi="Times New Roman" w:cs="Times New Roman"/>
        </w:rPr>
        <w:t xml:space="preserve">Following the identification of peptides via database searching or </w:t>
      </w:r>
      <w:r w:rsidRPr="00167723">
        <w:rPr>
          <w:rFonts w:ascii="Times New Roman" w:hAnsi="Times New Roman" w:cs="Times New Roman"/>
          <w:i/>
          <w:iCs/>
        </w:rPr>
        <w:t>de novo</w:t>
      </w:r>
      <w:r>
        <w:rPr>
          <w:rFonts w:ascii="Times New Roman" w:hAnsi="Times New Roman" w:cs="Times New Roman"/>
        </w:rPr>
        <w:t xml:space="preserve"> sequencing strategies, several procedures are implemented in bottom-up proteomics workflows to prepare the date for biological interpretation.  First, the presence of specific proteins is inferred based on the identified peptides. Details on commonly used protein inference strategies are discussed in Chapter 4.  The quantitative information for the PSMs or peptides used during inference procedures is used to quantify protein abundances.  All work in this dissertation is based on label-free quantification (LFQ), which is considered a </w:t>
      </w:r>
      <w:proofErr w:type="gramStart"/>
      <w:r>
        <w:rPr>
          <w:rFonts w:ascii="Times New Roman" w:hAnsi="Times New Roman" w:cs="Times New Roman"/>
        </w:rPr>
        <w:t>fairly robust</w:t>
      </w:r>
      <w:proofErr w:type="gramEnd"/>
      <w:r>
        <w:rPr>
          <w:rFonts w:ascii="Times New Roman" w:hAnsi="Times New Roman" w:cs="Times New Roman"/>
        </w:rPr>
        <w:t xml:space="preserve"> method for protein identification and quantification with the laborious and expensive upstream labeling of proteins used in isotopic labeling strategies</w:t>
      </w:r>
      <w:sdt>
        <w:sdtPr>
          <w:rPr>
            <w:rFonts w:ascii="Times New Roman" w:hAnsi="Times New Roman" w:cs="Times New Roman"/>
            <w:color w:val="000000"/>
            <w:vertAlign w:val="superscript"/>
          </w:rPr>
          <w:tag w:val="MENDELEY_CITATION_v3_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"/>
          <w:id w:val="487440191"/>
          <w:placeholder>
            <w:docPart w:val="9023070CD387D6498E163F7F217434A8"/>
          </w:placeholder>
        </w:sdtPr>
        <w:sdtEndPr/>
        <w:sdtContent>
          <w:r w:rsidR="003204EA" w:rsidRPr="003204EA">
            <w:rPr>
              <w:rFonts w:eastAsia="Times New Roman"/>
              <w:color w:val="000000"/>
              <w:vertAlign w:val="superscript"/>
            </w:rPr>
            <w:t>105</w:t>
          </w:r>
        </w:sdtContent>
      </w:sdt>
      <w:r w:rsidR="00FB7F2D">
        <w:rPr>
          <w:rFonts w:ascii="Times New Roman" w:hAnsi="Times New Roman" w:cs="Times New Roman"/>
        </w:rPr>
        <w:t>.</w:t>
      </w:r>
      <w:r w:rsidR="003C5BAF">
        <w:rPr>
          <w:rFonts w:ascii="Times New Roman" w:hAnsi="Times New Roman" w:cs="Times New Roman"/>
        </w:rPr>
        <w:t xml:space="preserve"> </w:t>
      </w:r>
      <w:r w:rsidR="00FE2E6D">
        <w:rPr>
          <w:rFonts w:ascii="Times New Roman" w:hAnsi="Times New Roman" w:cs="Times New Roman"/>
        </w:rPr>
        <w:t>LFQ is a method for quantifying relative changes in abundance in two or more samples rather than measuring proteins that have been labeled with a stable isotope-containing compounds</w:t>
      </w:r>
      <w:sdt>
        <w:sdtPr>
          <w:rPr>
            <w:rFonts w:ascii="Times New Roman" w:hAnsi="Times New Roman" w:cs="Times New Roman"/>
            <w:color w:val="000000"/>
            <w:vertAlign w:val="superscript"/>
          </w:rPr>
          <w:tag w:val="MENDELEY_CITATION_v3_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"/>
          <w:id w:val="-1993870340"/>
          <w:placeholder>
            <w:docPart w:val="0A66241B39F546F2AC021A67120E7B5A"/>
          </w:placeholder>
        </w:sdtPr>
        <w:sdtEndPr/>
        <w:sdtContent>
          <w:r w:rsidR="003204EA" w:rsidRPr="003204EA">
            <w:rPr>
              <w:rFonts w:ascii="Times New Roman" w:hAnsi="Times New Roman" w:cs="Times New Roman"/>
              <w:color w:val="000000"/>
              <w:vertAlign w:val="superscript"/>
            </w:rPr>
            <w:t>106</w:t>
          </w:r>
        </w:sdtContent>
      </w:sdt>
      <w:r w:rsidR="00FE2E6D">
        <w:rPr>
          <w:rFonts w:ascii="Times New Roman" w:hAnsi="Times New Roman" w:cs="Times New Roman"/>
        </w:rPr>
        <w:t xml:space="preserve">. Although there are many different algorithms and workflows for LFQ  in bottom-up proteomics, there is no gold standard for proteins quantification.  However, </w:t>
      </w:r>
      <w:proofErr w:type="gramStart"/>
      <w:r w:rsidR="00FE2E6D">
        <w:rPr>
          <w:rFonts w:ascii="Times New Roman" w:hAnsi="Times New Roman" w:cs="Times New Roman"/>
        </w:rPr>
        <w:t>all of</w:t>
      </w:r>
      <w:proofErr w:type="gramEnd"/>
      <w:r w:rsidR="00FE2E6D">
        <w:rPr>
          <w:rFonts w:ascii="Times New Roman" w:hAnsi="Times New Roman" w:cs="Times New Roman"/>
        </w:rPr>
        <w:t xml:space="preserve"> these approaches use one of two predominant methods: (1) </w:t>
      </w:r>
      <w:r w:rsidR="00FE2E6D" w:rsidRPr="00870D30">
        <w:rPr>
          <w:rFonts w:ascii="Times New Roman" w:hAnsi="Times New Roman" w:cs="Times New Roman"/>
        </w:rPr>
        <w:t>MS</w:t>
      </w:r>
      <w:r w:rsidR="00FE2E6D">
        <w:rPr>
          <w:rFonts w:ascii="Times New Roman" w:hAnsi="Times New Roman" w:cs="Times New Roman"/>
        </w:rPr>
        <w:t xml:space="preserve">1-based methods, where the intensity of the </w:t>
      </w:r>
      <w:r w:rsidR="00FE2E6D">
        <w:rPr>
          <w:rFonts w:ascii="Times New Roman" w:hAnsi="Times New Roman" w:cs="Times New Roman"/>
        </w:rPr>
        <w:lastRenderedPageBreak/>
        <w:t>unfragmented precursor ion is used for quantification, and (2) MS2-based methods that count the number of MS/MS spectra identified for a specific protein as a quantitative metri</w:t>
      </w:r>
      <w:r w:rsidR="00FB7F2D">
        <w:rPr>
          <w:rFonts w:ascii="Times New Roman" w:hAnsi="Times New Roman" w:cs="Times New Roman"/>
        </w:rPr>
        <w:t>c</w:t>
      </w:r>
      <w:sdt>
        <w:sdtPr>
          <w:rPr>
            <w:rFonts w:ascii="Times New Roman" w:hAnsi="Times New Roman" w:cs="Times New Roman"/>
            <w:color w:val="000000"/>
            <w:vertAlign w:val="superscript"/>
          </w:rPr>
          <w:tag w:val="MENDELEY_CITATION_v3_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"/>
          <w:id w:val="447199509"/>
          <w:placeholder>
            <w:docPart w:val="9023070CD387D6498E163F7F217434A8"/>
          </w:placeholder>
        </w:sdtPr>
        <w:sdtEndPr/>
        <w:sdtContent>
          <w:r w:rsidR="003204EA" w:rsidRPr="003204EA">
            <w:rPr>
              <w:rFonts w:eastAsia="Times New Roman"/>
              <w:color w:val="000000"/>
              <w:vertAlign w:val="superscript"/>
            </w:rPr>
            <w:t>94</w:t>
          </w:r>
        </w:sdtContent>
      </w:sdt>
      <w:r w:rsidR="00FB7F2D">
        <w:rPr>
          <w:rFonts w:ascii="Times New Roman" w:hAnsi="Times New Roman" w:cs="Times New Roman"/>
        </w:rPr>
        <w:t xml:space="preserve">. </w:t>
      </w:r>
      <w:r w:rsidR="00B65F72">
        <w:rPr>
          <w:rFonts w:ascii="Times New Roman" w:hAnsi="Times New Roman" w:cs="Times New Roman"/>
        </w:rPr>
        <w:t>For MS1-based approaches, where the peak area of the MS1precursor intensity is determined from an extracted ion chromatogram (XIC), these MS1 approaches are generally considered more sensitive to smaller abundance changes than MS2-based counting approaches</w:t>
      </w:r>
      <w:sdt>
        <w:sdtPr>
          <w:rPr>
            <w:rFonts w:ascii="Times New Roman" w:hAnsi="Times New Roman" w:cs="Times New Roman"/>
            <w:color w:val="000000"/>
            <w:vertAlign w:val="superscript"/>
          </w:rPr>
          <w:tag w:val="MENDELEY_CITATION_v3_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"/>
          <w:id w:val="417606642"/>
          <w:placeholder>
            <w:docPart w:val="9023070CD387D6498E163F7F217434A8"/>
          </w:placeholder>
        </w:sdtPr>
        <w:sdtEndPr/>
        <w:sdtContent>
          <w:r w:rsidR="003204EA" w:rsidRPr="003204EA">
            <w:rPr>
              <w:rFonts w:eastAsia="Times New Roman"/>
              <w:color w:val="000000"/>
              <w:vertAlign w:val="superscript"/>
            </w:rPr>
            <w:t>107</w:t>
          </w:r>
        </w:sdtContent>
      </w:sdt>
      <w:r w:rsidR="00FB7F2D">
        <w:rPr>
          <w:rFonts w:ascii="Times New Roman" w:hAnsi="Times New Roman" w:cs="Times New Roman"/>
        </w:rPr>
        <w:t xml:space="preserve">.  </w:t>
      </w:r>
      <w:r w:rsidR="004F6A69">
        <w:rPr>
          <w:rFonts w:ascii="Times New Roman" w:hAnsi="Times New Roman" w:cs="Times New Roman"/>
        </w:rPr>
        <w:t>Spectral counts are defined at the total number of MS/MS spectra identified for a protein and are heavily influenced by factors such as chromatographic separations, sample complexity, MS instrumentation choice, and dynamic exclusion parameters</w:t>
      </w:r>
      <w:sdt>
        <w:sdtPr>
          <w:rPr>
            <w:rFonts w:ascii="Times New Roman" w:hAnsi="Times New Roman" w:cs="Times New Roman"/>
            <w:color w:val="000000"/>
            <w:vertAlign w:val="superscript"/>
          </w:rPr>
          <w:tag w:val="MENDELEY_CITATION_v3_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"/>
          <w:id w:val="498158286"/>
          <w:placeholder>
            <w:docPart w:val="9023070CD387D6498E163F7F217434A8"/>
          </w:placeholder>
        </w:sdtPr>
        <w:sdtEndPr/>
        <w:sdtContent>
          <w:r w:rsidR="003204EA" w:rsidRPr="003204EA">
            <w:rPr>
              <w:rFonts w:eastAsia="Times New Roman"/>
              <w:color w:val="000000"/>
              <w:vertAlign w:val="superscript"/>
            </w:rPr>
            <w:t>108</w:t>
          </w:r>
        </w:sdtContent>
      </w:sdt>
      <w:r w:rsidR="00FB7F2D">
        <w:rPr>
          <w:rFonts w:ascii="Times New Roman" w:hAnsi="Times New Roman" w:cs="Times New Roman"/>
        </w:rPr>
        <w:t xml:space="preserve">.  For example, spectral counting methods </w:t>
      </w:r>
      <w:proofErr w:type="spellStart"/>
      <w:r w:rsidR="00095E6C">
        <w:rPr>
          <w:rFonts w:ascii="Times New Roman" w:hAnsi="Times New Roman" w:cs="Times New Roman"/>
        </w:rPr>
        <w:t>methods</w:t>
      </w:r>
      <w:proofErr w:type="spellEnd"/>
      <w:r w:rsidR="00095E6C">
        <w:rPr>
          <w:rFonts w:ascii="Times New Roman" w:hAnsi="Times New Roman" w:cs="Times New Roman"/>
        </w:rPr>
        <w:t xml:space="preserve"> depend on MS/MS fragmentation, and thus relies on the </w:t>
      </w:r>
      <w:proofErr w:type="spellStart"/>
      <w:r w:rsidR="00095E6C">
        <w:rPr>
          <w:rFonts w:ascii="Times New Roman" w:hAnsi="Times New Roman" w:cs="Times New Roman"/>
        </w:rPr>
        <w:t>TopN</w:t>
      </w:r>
      <w:proofErr w:type="spellEnd"/>
      <w:r w:rsidR="00095E6C">
        <w:rPr>
          <w:rFonts w:ascii="Times New Roman" w:hAnsi="Times New Roman" w:cs="Times New Roman"/>
        </w:rPr>
        <w:t xml:space="preserve"> selection process during DDA analysis.  Since the </w:t>
      </w:r>
      <w:proofErr w:type="spellStart"/>
      <w:r w:rsidR="00095E6C">
        <w:rPr>
          <w:rFonts w:ascii="Times New Roman" w:hAnsi="Times New Roman" w:cs="Times New Roman"/>
        </w:rPr>
        <w:t>TopN</w:t>
      </w:r>
      <w:proofErr w:type="spellEnd"/>
      <w:r w:rsidR="00095E6C">
        <w:rPr>
          <w:rFonts w:ascii="Times New Roman" w:hAnsi="Times New Roman" w:cs="Times New Roman"/>
        </w:rPr>
        <w:t xml:space="preserve"> selection process can be a stochastic process, especially with complex metaproteome samples, spectral counting is generally considered less accurate and robust than MS1 intensity-based methods for metaproteomics and should be considered semi-quantitative and semi-random</w:t>
      </w:r>
      <w:sdt>
        <w:sdtPr>
          <w:rPr>
            <w:rFonts w:ascii="Times New Roman" w:hAnsi="Times New Roman" w:cs="Times New Roman"/>
            <w:color w:val="000000"/>
            <w:vertAlign w:val="superscript"/>
          </w:rPr>
          <w:tag w:val="MENDELEY_CITATION_v3_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"/>
          <w:id w:val="1841120397"/>
          <w:placeholder>
            <w:docPart w:val="9023070CD387D6498E163F7F217434A8"/>
          </w:placeholder>
        </w:sdtPr>
        <w:sdtEndPr/>
        <w:sdtContent>
          <w:r w:rsidR="003204EA" w:rsidRPr="003204EA">
            <w:rPr>
              <w:rFonts w:eastAsia="Times New Roman"/>
              <w:color w:val="000000"/>
              <w:vertAlign w:val="superscript"/>
            </w:rPr>
            <w:t>94</w:t>
          </w:r>
        </w:sdtContent>
      </w:sdt>
      <w:r w:rsidR="00FB7F2D">
        <w:rPr>
          <w:rFonts w:ascii="Times New Roman" w:hAnsi="Times New Roman" w:cs="Times New Roman"/>
        </w:rPr>
        <w:t xml:space="preserve">.  </w:t>
      </w:r>
      <w:r w:rsidR="00F13BAF">
        <w:rPr>
          <w:rFonts w:ascii="Times New Roman" w:hAnsi="Times New Roman" w:cs="Times New Roman"/>
        </w:rPr>
        <w:t xml:space="preserve">The difference in sensitivity between the two strategies is in part due to the structure of the data captured by each method. </w:t>
      </w:r>
      <w:r w:rsidR="00F13BAF" w:rsidRPr="00F66CB0">
        <w:rPr>
          <w:rFonts w:ascii="Times New Roman" w:hAnsi="Times New Roman" w:cs="Times New Roman"/>
        </w:rPr>
        <w:t>MS1-based strategies are continuous data types, they provide more sensitivity than spectral counting</w:t>
      </w:r>
      <w:r w:rsidR="00F13BAF">
        <w:rPr>
          <w:rFonts w:ascii="Times New Roman" w:hAnsi="Times New Roman" w:cs="Times New Roman"/>
        </w:rPr>
        <w:t>,</w:t>
      </w:r>
      <w:r w:rsidR="00F13BAF" w:rsidRPr="00F66CB0">
        <w:rPr>
          <w:rFonts w:ascii="Times New Roman" w:hAnsi="Times New Roman" w:cs="Times New Roman"/>
        </w:rPr>
        <w:t xml:space="preserve"> which is a discrete data type.</w:t>
      </w:r>
      <w:r w:rsidR="00F13BAF" w:rsidRPr="00F66CB0">
        <w:t xml:space="preserve"> </w:t>
      </w:r>
      <w:r w:rsidR="00F13BAF">
        <w:rPr>
          <w:rFonts w:ascii="Times New Roman" w:hAnsi="Times New Roman" w:cs="Times New Roman"/>
        </w:rPr>
        <w:t>As such, MS2-based</w:t>
      </w:r>
      <w:r w:rsidR="00F13BAF" w:rsidRPr="00F66CB0">
        <w:rPr>
          <w:rFonts w:ascii="Times New Roman" w:hAnsi="Times New Roman" w:cs="Times New Roman"/>
        </w:rPr>
        <w:t xml:space="preserve"> spectral counting does not accurately capture low abundance analytes that may only be sampled once</w:t>
      </w:r>
      <w:r w:rsidR="00F13BAF">
        <w:rPr>
          <w:rFonts w:ascii="Times New Roman" w:hAnsi="Times New Roman" w:cs="Times New Roman"/>
        </w:rPr>
        <w:t xml:space="preserve"> during measurement</w:t>
      </w:r>
      <w:r w:rsidR="00F13BAF" w:rsidRPr="00F66CB0">
        <w:rPr>
          <w:rFonts w:ascii="Times New Roman" w:hAnsi="Times New Roman" w:cs="Times New Roman"/>
        </w:rPr>
        <w:t xml:space="preserve">.  </w:t>
      </w:r>
      <w:r w:rsidR="00F13BAF">
        <w:rPr>
          <w:rFonts w:ascii="Times New Roman" w:hAnsi="Times New Roman" w:cs="Times New Roman"/>
        </w:rPr>
        <w:t>MS1 intensity-based</w:t>
      </w:r>
      <w:r w:rsidR="00F13BAF" w:rsidRPr="00F66CB0">
        <w:rPr>
          <w:rFonts w:ascii="Times New Roman" w:hAnsi="Times New Roman" w:cs="Times New Roman"/>
        </w:rPr>
        <w:t xml:space="preserve"> quantification</w:t>
      </w:r>
      <w:r w:rsidR="00F13BAF">
        <w:rPr>
          <w:rFonts w:ascii="Times New Roman" w:hAnsi="Times New Roman" w:cs="Times New Roman"/>
        </w:rPr>
        <w:t xml:space="preserve"> methods will</w:t>
      </w:r>
      <w:r w:rsidR="00F13BAF" w:rsidRPr="00F66CB0">
        <w:rPr>
          <w:rFonts w:ascii="Times New Roman" w:hAnsi="Times New Roman" w:cs="Times New Roman"/>
        </w:rPr>
        <w:t xml:space="preserve"> provide a non-digital quantification valu</w:t>
      </w:r>
      <w:r w:rsidR="00F13BAF">
        <w:rPr>
          <w:rFonts w:ascii="Times New Roman" w:hAnsi="Times New Roman" w:cs="Times New Roman"/>
        </w:rPr>
        <w:t>e</w:t>
      </w:r>
      <w:r w:rsidR="00F13BAF" w:rsidRPr="00F66CB0">
        <w:rPr>
          <w:rFonts w:ascii="Times New Roman" w:hAnsi="Times New Roman" w:cs="Times New Roman"/>
        </w:rPr>
        <w:t xml:space="preserve"> to capture the variation between low abundance analytes</w:t>
      </w:r>
      <w:r w:rsidR="00F13BAF">
        <w:rPr>
          <w:rFonts w:ascii="Times New Roman" w:hAnsi="Times New Roman" w:cs="Times New Roman"/>
        </w:rPr>
        <w:t>, which is</w:t>
      </w:r>
      <w:r w:rsidR="00F13BAF" w:rsidRPr="00F66CB0">
        <w:rPr>
          <w:rFonts w:ascii="Times New Roman" w:hAnsi="Times New Roman" w:cs="Times New Roman"/>
        </w:rPr>
        <w:t xml:space="preserve"> particularly useful for complex metaproteomes. </w:t>
      </w:r>
      <w:r w:rsidR="00F13BAF">
        <w:rPr>
          <w:rFonts w:ascii="Times New Roman" w:hAnsi="Times New Roman" w:cs="Times New Roman"/>
        </w:rPr>
        <w:t xml:space="preserve">One consideration for the selection of a quantification method for metaproteomics is the ease of implementation. Many software packages built for protein inference and quantification were designed for single proteomes, and still lack for the ability to handle complex metaproteomic datasets. Since metaproteomes generally have high proteome redundancies, the assignment of shared peptide abundance values for a particular protein is a challenging task.  Procedures related to protein inference and quantification is discussed in detail in Chapter 4.  In addition, since metaproteomic measurements often have very complex chromatograms where peptides are co-eluted, MS2-based counting methods are generally considered easier </w:t>
      </w:r>
      <w:r w:rsidR="00F13BAF">
        <w:rPr>
          <w:rFonts w:ascii="Times New Roman" w:hAnsi="Times New Roman" w:cs="Times New Roman"/>
        </w:rPr>
        <w:lastRenderedPageBreak/>
        <w:t>to correctly assess peptide abundances in most generic bottom-up proteomics workflows</w:t>
      </w:r>
      <w:sdt>
        <w:sdtPr>
          <w:rPr>
            <w:rFonts w:ascii="Times New Roman" w:hAnsi="Times New Roman" w:cs="Times New Roman"/>
            <w:color w:val="000000"/>
          </w:rPr>
          <w:tag w:val="MENDELEY_CITATION_v3_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"/>
          <w:id w:val="-2076036954"/>
          <w:placeholder>
            <w:docPart w:val="DA24D5F743514CDD87A4C26DE5DE8AF7"/>
          </w:placeholder>
        </w:sdtPr>
        <w:sdtEndPr/>
        <w:sdtContent>
          <w:r w:rsidR="003204EA" w:rsidRPr="003204EA">
            <w:rPr>
              <w:rFonts w:eastAsia="Times New Roman"/>
              <w:color w:val="000000"/>
            </w:rPr>
            <w:t>72</w:t>
          </w:r>
        </w:sdtContent>
      </w:sdt>
      <w:r w:rsidR="00F13BAF">
        <w:rPr>
          <w:rFonts w:ascii="Times New Roman" w:hAnsi="Times New Roman" w:cs="Times New Roman"/>
        </w:rPr>
        <w:t xml:space="preserve">.  </w:t>
      </w:r>
      <w:r w:rsidR="00F13BAF" w:rsidRPr="00F66CB0">
        <w:rPr>
          <w:rFonts w:ascii="Times New Roman" w:hAnsi="Times New Roman" w:cs="Times New Roman"/>
        </w:rPr>
        <w:t xml:space="preserve"> </w:t>
      </w:r>
      <w:r w:rsidR="00F13BAF">
        <w:rPr>
          <w:rFonts w:ascii="Times New Roman" w:hAnsi="Times New Roman" w:cs="Times New Roman"/>
        </w:rPr>
        <w:t>Finally, the choice of quantification method used will have an impact on the accuracy of different statistical approaches and should be considered when selecting a downstream data processing workflow</w:t>
      </w:r>
      <w:sdt>
        <w:sdtPr>
          <w:rPr>
            <w:rFonts w:ascii="Times New Roman" w:hAnsi="Times New Roman" w:cs="Times New Roman"/>
            <w:color w:val="000000"/>
            <w:vertAlign w:val="superscript"/>
          </w:rPr>
          <w:tag w:val="MENDELEY_CITATION_v3_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"/>
          <w:id w:val="-609826874"/>
          <w:placeholder>
            <w:docPart w:val="9023070CD387D6498E163F7F217434A8"/>
          </w:placeholder>
        </w:sdtPr>
        <w:sdtEndPr/>
        <w:sdtContent>
          <w:r w:rsidR="003204EA" w:rsidRPr="003204EA">
            <w:rPr>
              <w:rFonts w:eastAsia="Times New Roman"/>
              <w:color w:val="000000"/>
              <w:vertAlign w:val="superscript"/>
            </w:rPr>
            <w:t>108</w:t>
          </w:r>
        </w:sdtContent>
      </w:sdt>
      <w:r w:rsidR="00FB7F2D">
        <w:rPr>
          <w:rFonts w:ascii="Times New Roman" w:hAnsi="Times New Roman" w:cs="Times New Roman"/>
        </w:rPr>
        <w:t xml:space="preserve">. </w:t>
      </w:r>
    </w:p>
    <w:p w14:paraId="46B9A89D" w14:textId="1DA76EBF" w:rsidR="00FB7F2D" w:rsidRDefault="00F55665" w:rsidP="00FB7F2D">
      <w:pPr>
        <w:ind w:firstLine="360"/>
        <w:rPr>
          <w:rFonts w:ascii="Times New Roman" w:hAnsi="Times New Roman" w:cs="Times New Roman"/>
        </w:rPr>
      </w:pPr>
      <w:r>
        <w:rPr>
          <w:rFonts w:ascii="Times New Roman" w:hAnsi="Times New Roman" w:cs="Times New Roman"/>
        </w:rPr>
        <w:t xml:space="preserve">Following protein quantification, abundance values in LFQ datasets are often normalized across samples. This normalization process is aimed at accounting for the inherent biases of MS data, ranging from sample handling to instrumentation measurement differences, </w:t>
      </w:r>
      <w:proofErr w:type="gramStart"/>
      <w:r>
        <w:rPr>
          <w:rFonts w:ascii="Times New Roman" w:hAnsi="Times New Roman" w:cs="Times New Roman"/>
        </w:rPr>
        <w:t>in order to</w:t>
      </w:r>
      <w:proofErr w:type="gramEnd"/>
      <w:r>
        <w:rPr>
          <w:rFonts w:ascii="Times New Roman" w:hAnsi="Times New Roman" w:cs="Times New Roman"/>
        </w:rPr>
        <w:t xml:space="preserve"> make the samples more comparable</w:t>
      </w:r>
      <w:sdt>
        <w:sdtPr>
          <w:rPr>
            <w:rFonts w:ascii="Times New Roman" w:hAnsi="Times New Roman" w:cs="Times New Roman"/>
            <w:color w:val="000000"/>
            <w:vertAlign w:val="superscript"/>
          </w:rPr>
          <w:tag w:val="MENDELEY_CITATION_v3_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"/>
          <w:id w:val="2119641465"/>
          <w:placeholder>
            <w:docPart w:val="9023070CD387D6498E163F7F217434A8"/>
          </w:placeholder>
        </w:sdtPr>
        <w:sdtEndPr/>
        <w:sdtContent>
          <w:r w:rsidR="003204EA" w:rsidRPr="003204EA">
            <w:rPr>
              <w:rFonts w:eastAsia="Times New Roman"/>
              <w:color w:val="000000"/>
              <w:vertAlign w:val="superscript"/>
            </w:rPr>
            <w:t>109</w:t>
          </w:r>
        </w:sdtContent>
      </w:sdt>
      <w:r w:rsidR="00FB7F2D">
        <w:rPr>
          <w:rFonts w:ascii="Times New Roman" w:hAnsi="Times New Roman" w:cs="Times New Roman"/>
        </w:rPr>
        <w:t>.  There are numerous normalization approaches which should be selected based on the type of samples and measurements used to generate the data, but in general, all normalization methods have been adapted from DNA microarray techniques</w:t>
      </w:r>
      <w:sdt>
        <w:sdtPr>
          <w:rPr>
            <w:rFonts w:ascii="Times New Roman" w:hAnsi="Times New Roman" w:cs="Times New Roman"/>
            <w:color w:val="000000"/>
            <w:vertAlign w:val="superscript"/>
          </w:rPr>
          <w:tag w:val="MENDELEY_CITATION_v3_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"/>
          <w:id w:val="-1008828089"/>
          <w:placeholder>
            <w:docPart w:val="9023070CD387D6498E163F7F217434A8"/>
          </w:placeholder>
        </w:sdtPr>
        <w:sdtEndPr/>
        <w:sdtContent>
          <w:r w:rsidR="003204EA" w:rsidRPr="003204EA">
            <w:rPr>
              <w:rFonts w:eastAsia="Times New Roman"/>
              <w:color w:val="000000"/>
              <w:vertAlign w:val="superscript"/>
            </w:rPr>
            <w:t>109</w:t>
          </w:r>
        </w:sdtContent>
      </w:sdt>
      <w:r w:rsidR="00FB7F2D">
        <w:rPr>
          <w:rFonts w:ascii="Times New Roman" w:hAnsi="Times New Roman" w:cs="Times New Roman"/>
        </w:rPr>
        <w:t xml:space="preserve">.  </w:t>
      </w:r>
      <w:r w:rsidR="006C7B8A">
        <w:rPr>
          <w:rFonts w:ascii="Times New Roman" w:hAnsi="Times New Roman" w:cs="Times New Roman"/>
        </w:rPr>
        <w:t>Missing values in quantitative data matrix often occur in due to the stochastic nature of sampling of DDA-based LC-MS/MS measurements, and up to 50% of the data matrix may be missing quantitative values</w:t>
      </w:r>
      <w:sdt>
        <w:sdtPr>
          <w:rPr>
            <w:rFonts w:ascii="Times New Roman" w:hAnsi="Times New Roman" w:cs="Times New Roman"/>
            <w:color w:val="000000"/>
            <w:vertAlign w:val="superscript"/>
          </w:rPr>
          <w:tag w:val="MENDELEY_CITATION_v3_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"/>
          <w:id w:val="-315571462"/>
          <w:placeholder>
            <w:docPart w:val="9023070CD387D6498E163F7F217434A8"/>
          </w:placeholder>
        </w:sdtPr>
        <w:sdtEndPr/>
        <w:sdtContent>
          <w:r w:rsidR="003204EA" w:rsidRPr="003204EA">
            <w:rPr>
              <w:rFonts w:eastAsia="Times New Roman"/>
              <w:color w:val="000000"/>
              <w:vertAlign w:val="superscript"/>
            </w:rPr>
            <w:t>110</w:t>
          </w:r>
        </w:sdtContent>
      </w:sdt>
      <w:r w:rsidR="00FB7F2D">
        <w:rPr>
          <w:rFonts w:ascii="Times New Roman" w:hAnsi="Times New Roman" w:cs="Times New Roman"/>
        </w:rPr>
        <w:t xml:space="preserve">.  As many statistical approaches require filled-in data matrices, this missing information prevents comprehensive and accurate assessment of the data.  Thus, various procedures are used to impute missing values in the data matrix to facilitate downstream analyses.  </w:t>
      </w:r>
    </w:p>
    <w:p w14:paraId="5B866A72" w14:textId="35654B3F" w:rsidR="00FB7F2D" w:rsidRDefault="00FB7F2D" w:rsidP="00FB7F2D">
      <w:pPr>
        <w:ind w:firstLine="360"/>
        <w:rPr>
          <w:rFonts w:ascii="Times New Roman" w:hAnsi="Times New Roman" w:cs="Times New Roman"/>
        </w:rPr>
      </w:pPr>
      <w:r>
        <w:rPr>
          <w:rFonts w:ascii="Times New Roman" w:hAnsi="Times New Roman" w:cs="Times New Roman"/>
        </w:rPr>
        <w:t xml:space="preserve">Beyond evaluating abundance changes of individual protein sequences across datasets, functional and taxonomic annotation of the proteins is necessary to elucidate what biological processes are occurring in the community and which organisms are carrying out those functions. Numerous tools and databases are available for functional annotation of proteins, including </w:t>
      </w:r>
      <w:proofErr w:type="spellStart"/>
      <w:r w:rsidRPr="00AC0FAA">
        <w:rPr>
          <w:rFonts w:ascii="Times New Roman" w:hAnsi="Times New Roman" w:cs="Times New Roman"/>
        </w:rPr>
        <w:t>eggNOG</w:t>
      </w:r>
      <w:proofErr w:type="spellEnd"/>
      <w:r w:rsidRPr="00AC0FAA">
        <w:rPr>
          <w:rFonts w:ascii="Times New Roman" w:hAnsi="Times New Roman" w:cs="Times New Roman"/>
        </w:rPr>
        <w:t xml:space="preserve"> (evolutionary genealogy of genes: Non-supervised Orthologous Groups)</w:t>
      </w:r>
      <w:sdt>
        <w:sdtPr>
          <w:rPr>
            <w:rFonts w:ascii="Times New Roman" w:hAnsi="Times New Roman" w:cs="Times New Roman"/>
            <w:color w:val="000000"/>
            <w:vertAlign w:val="superscript"/>
          </w:rPr>
          <w:tag w:val="MENDELEY_CITATION_v3_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"/>
          <w:id w:val="-1923099687"/>
          <w:placeholder>
            <w:docPart w:val="9023070CD387D6498E163F7F217434A8"/>
          </w:placeholder>
        </w:sdtPr>
        <w:sdtEndPr/>
        <w:sdtContent>
          <w:r w:rsidR="003204EA" w:rsidRPr="003204EA">
            <w:rPr>
              <w:rFonts w:eastAsia="Times New Roman"/>
              <w:color w:val="000000"/>
              <w:vertAlign w:val="superscript"/>
            </w:rPr>
            <w:t>111</w:t>
          </w:r>
        </w:sdtContent>
      </w:sdt>
      <w:r>
        <w:rPr>
          <w:rFonts w:ascii="Times New Roman" w:hAnsi="Times New Roman" w:cs="Times New Roman"/>
        </w:rPr>
        <w:t xml:space="preserve">, </w:t>
      </w:r>
      <w:r w:rsidRPr="00AC0FAA">
        <w:rPr>
          <w:rFonts w:ascii="Times New Roman" w:hAnsi="Times New Roman" w:cs="Times New Roman"/>
        </w:rPr>
        <w:t xml:space="preserve"> </w:t>
      </w:r>
      <w:r w:rsidRPr="00B05C07">
        <w:rPr>
          <w:rFonts w:ascii="Times New Roman" w:hAnsi="Times New Roman" w:cs="Times New Roman"/>
        </w:rPr>
        <w:t>Kyoto Encyclopedia for Genes and Genomes (KEGG)</w:t>
      </w:r>
      <w:r>
        <w:rPr>
          <w:rFonts w:ascii="Times New Roman" w:hAnsi="Times New Roman" w:cs="Times New Roman"/>
        </w:rPr>
        <w:t xml:space="preserve">, and </w:t>
      </w:r>
      <w:proofErr w:type="spellStart"/>
      <w:r w:rsidRPr="00B05C07">
        <w:rPr>
          <w:rFonts w:ascii="Times New Roman" w:hAnsi="Times New Roman" w:cs="Times New Roman"/>
        </w:rPr>
        <w:t>MetaCyc</w:t>
      </w:r>
      <w:proofErr w:type="spellEnd"/>
      <w:r w:rsidRPr="00B05C07">
        <w:rPr>
          <w:rFonts w:ascii="Times New Roman" w:hAnsi="Times New Roman" w:cs="Times New Roman"/>
        </w:rPr>
        <w:t xml:space="preserve"> (metabolic Pathway Database)</w:t>
      </w:r>
      <w:sdt>
        <w:sdtPr>
          <w:rPr>
            <w:rFonts w:ascii="Times New Roman" w:hAnsi="Times New Roman" w:cs="Times New Roman"/>
            <w:color w:val="000000"/>
            <w:vertAlign w:val="superscript"/>
          </w:rPr>
          <w:tag w:val="MENDELEY_CITATION_v3_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"/>
          <w:id w:val="198438081"/>
          <w:placeholder>
            <w:docPart w:val="9023070CD387D6498E163F7F217434A8"/>
          </w:placeholder>
        </w:sdtPr>
        <w:sdtEndPr/>
        <w:sdtContent>
          <w:r w:rsidR="003204EA" w:rsidRPr="003204EA">
            <w:rPr>
              <w:rFonts w:eastAsia="Times New Roman"/>
              <w:color w:val="000000"/>
              <w:vertAlign w:val="superscript"/>
            </w:rPr>
            <w:t>112</w:t>
          </w:r>
        </w:sdtContent>
      </w:sdt>
      <w:r>
        <w:rPr>
          <w:rFonts w:ascii="Times New Roman" w:hAnsi="Times New Roman" w:cs="Times New Roman"/>
        </w:rPr>
        <w:t>.  The functionally annotated proteins can then be used to determine what proteins in specific metabolic pathways are expressed and therefore, what biological activities are occurring at the time of sample collection.</w:t>
      </w:r>
    </w:p>
    <w:p w14:paraId="4BB35CC7" w14:textId="77777777" w:rsidR="00FB7F2D" w:rsidRDefault="00FB7F2D" w:rsidP="00FB7F2D">
      <w:pPr>
        <w:ind w:firstLine="360"/>
        <w:rPr>
          <w:rFonts w:ascii="Times New Roman" w:hAnsi="Times New Roman" w:cs="Times New Roman"/>
        </w:rPr>
      </w:pPr>
    </w:p>
    <w:p w14:paraId="22F8B959" w14:textId="77777777" w:rsidR="000505A9" w:rsidRDefault="000505A9" w:rsidP="0060435B">
      <w:pPr>
        <w:pStyle w:val="Heading2"/>
      </w:pPr>
    </w:p>
    <w:p w14:paraId="07FCCE6A" w14:textId="77777777" w:rsidR="005D6CC5" w:rsidRDefault="005D6CC5">
      <w:pPr>
        <w:spacing w:before="1"/>
        <w:rPr>
          <w:rFonts w:eastAsiaTheme="majorEastAsia" w:cstheme="majorBidi"/>
          <w:b/>
          <w:color w:val="000000" w:themeColor="text1"/>
          <w:szCs w:val="26"/>
        </w:rPr>
      </w:pPr>
      <w:r>
        <w:br w:type="page"/>
      </w:r>
    </w:p>
    <w:p w14:paraId="5B2446F7" w14:textId="46CDA42D" w:rsidR="00FB7F2D" w:rsidRDefault="00FB7F2D" w:rsidP="0060435B">
      <w:pPr>
        <w:pStyle w:val="Heading2"/>
      </w:pPr>
      <w:bookmarkStart w:id="111" w:name="_Toc110250241"/>
      <w:bookmarkStart w:id="112" w:name="_Toc110250498"/>
      <w:bookmarkStart w:id="113" w:name="_Toc110250629"/>
      <w:r>
        <w:lastRenderedPageBreak/>
        <w:t>2.</w:t>
      </w:r>
      <w:r w:rsidR="00D911AE">
        <w:t>5</w:t>
      </w:r>
      <w:r>
        <w:t xml:space="preserve">  Summary</w:t>
      </w:r>
      <w:bookmarkEnd w:id="111"/>
      <w:bookmarkEnd w:id="112"/>
      <w:bookmarkEnd w:id="113"/>
    </w:p>
    <w:p w14:paraId="31A90F40" w14:textId="77777777" w:rsidR="00FB7F2D" w:rsidRDefault="00FB7F2D" w:rsidP="00FB7F2D">
      <w:pPr>
        <w:ind w:firstLine="360"/>
        <w:rPr>
          <w:rFonts w:ascii="Times New Roman" w:hAnsi="Times New Roman" w:cs="Times New Roman"/>
        </w:rPr>
      </w:pPr>
    </w:p>
    <w:p w14:paraId="598B0584" w14:textId="50F066EA" w:rsidR="00FB7F2D" w:rsidRPr="002C2AB8" w:rsidRDefault="00FB7F2D" w:rsidP="00FB7F2D">
      <w:pPr>
        <w:ind w:firstLine="360"/>
        <w:rPr>
          <w:rFonts w:ascii="Times New Roman" w:hAnsi="Times New Roman" w:cs="Times New Roman"/>
        </w:rPr>
      </w:pPr>
      <w:r>
        <w:rPr>
          <w:rFonts w:ascii="Times New Roman" w:hAnsi="Times New Roman" w:cs="Times New Roman"/>
        </w:rPr>
        <w:t xml:space="preserve">Overall, the concepts and methodologies covered in this chapter provide the framework for conducting the various metaproteomic measurements necessary for characterizing microbiome </w:t>
      </w:r>
      <w:r w:rsidRPr="00DB59DA">
        <w:rPr>
          <w:rFonts w:ascii="Times New Roman" w:hAnsi="Times New Roman" w:cs="Times New Roman"/>
        </w:rPr>
        <w:t xml:space="preserve">functionality and interactions </w:t>
      </w:r>
      <w:r>
        <w:rPr>
          <w:rFonts w:ascii="Times New Roman" w:hAnsi="Times New Roman" w:cs="Times New Roman"/>
        </w:rPr>
        <w:t>that are presented in the rest of this dissertation.  In the following two chapters, several steps in the sample preparation and measurement workflow are evaluated and optimized to</w:t>
      </w:r>
      <w:r w:rsidRPr="002C2AB8">
        <w:rPr>
          <w:rFonts w:ascii="Times New Roman" w:hAnsi="Times New Roman" w:cs="Times New Roman"/>
        </w:rPr>
        <w:t xml:space="preserve"> </w:t>
      </w:r>
      <w:r>
        <w:rPr>
          <w:rFonts w:ascii="Times New Roman" w:hAnsi="Times New Roman" w:cs="Times New Roman"/>
        </w:rPr>
        <w:t>produce</w:t>
      </w:r>
      <w:r w:rsidRPr="002C2AB8">
        <w:rPr>
          <w:rFonts w:ascii="Times New Roman" w:hAnsi="Times New Roman" w:cs="Times New Roman"/>
        </w:rPr>
        <w:t xml:space="preserve"> </w:t>
      </w:r>
      <w:r>
        <w:rPr>
          <w:rFonts w:ascii="Times New Roman" w:hAnsi="Times New Roman" w:cs="Times New Roman"/>
        </w:rPr>
        <w:t xml:space="preserve">a </w:t>
      </w:r>
      <w:r w:rsidRPr="002C2AB8">
        <w:rPr>
          <w:rFonts w:ascii="Times New Roman" w:hAnsi="Times New Roman" w:cs="Times New Roman"/>
        </w:rPr>
        <w:t>robust workflow that provide</w:t>
      </w:r>
      <w:r>
        <w:rPr>
          <w:rFonts w:ascii="Times New Roman" w:hAnsi="Times New Roman" w:cs="Times New Roman"/>
        </w:rPr>
        <w:t xml:space="preserve">s </w:t>
      </w:r>
      <w:r w:rsidRPr="002C2AB8">
        <w:rPr>
          <w:rFonts w:ascii="Times New Roman" w:hAnsi="Times New Roman" w:cs="Times New Roman"/>
        </w:rPr>
        <w:t>high yields of peptides from high complexity metaproteome samples</w:t>
      </w:r>
      <w:r>
        <w:rPr>
          <w:rFonts w:ascii="Times New Roman" w:hAnsi="Times New Roman" w:cs="Times New Roman"/>
        </w:rPr>
        <w:t xml:space="preserve"> across a range of environmental microbiomes</w:t>
      </w:r>
      <w:r w:rsidRPr="002C2AB8">
        <w:rPr>
          <w:rFonts w:ascii="Times New Roman" w:hAnsi="Times New Roman" w:cs="Times New Roman"/>
        </w:rPr>
        <w:t xml:space="preserve">.  </w:t>
      </w:r>
    </w:p>
    <w:p w14:paraId="5C9D1CF1" w14:textId="77777777" w:rsidR="00FB7F2D" w:rsidRPr="00FB7F2D" w:rsidRDefault="00FB7F2D" w:rsidP="00FB7F2D"/>
    <w:p w14:paraId="5E9673B9" w14:textId="4CE26B94" w:rsidR="002377C4" w:rsidRDefault="002377C4">
      <w:pPr>
        <w:spacing w:before="1"/>
        <w:rPr>
          <w:rFonts w:ascii="Times New Roman" w:eastAsia="Times New Roman" w:hAnsi="Times New Roman" w:cs="Arial"/>
          <w:b/>
          <w:bCs/>
          <w:color w:val="000000" w:themeColor="text1"/>
          <w:kern w:val="32"/>
          <w:sz w:val="28"/>
          <w:szCs w:val="28"/>
          <w:lang w:val="en-GB" w:eastAsia="en-GB"/>
        </w:rPr>
      </w:pPr>
      <w:r>
        <w:rPr>
          <w:color w:val="000000" w:themeColor="text1"/>
          <w:sz w:val="28"/>
          <w:szCs w:val="28"/>
        </w:rPr>
        <w:br w:type="page"/>
      </w:r>
    </w:p>
    <w:p w14:paraId="2ACCABE6" w14:textId="2B24D738" w:rsidR="00F2061D" w:rsidRPr="00F2061D" w:rsidRDefault="00512C9E" w:rsidP="00F2061D">
      <w:pPr>
        <w:pStyle w:val="Heading1"/>
        <w:rPr>
          <w:color w:val="000000" w:themeColor="text1"/>
          <w:spacing w:val="-2"/>
        </w:rPr>
      </w:pPr>
      <w:bookmarkStart w:id="114" w:name="_Toc110250242"/>
      <w:bookmarkStart w:id="115" w:name="_Toc110250499"/>
      <w:bookmarkStart w:id="116" w:name="_Toc110250630"/>
      <w:r w:rsidRPr="00235112">
        <w:lastRenderedPageBreak/>
        <w:t xml:space="preserve">- </w:t>
      </w:r>
      <w:r w:rsidR="00310878" w:rsidRPr="00235112">
        <w:t>Technical considerations and optimization of sample preparation techniques for various complex environmental matrices</w:t>
      </w:r>
      <w:bookmarkStart w:id="117" w:name="_Hlk106867087"/>
      <w:r w:rsidR="0067780D">
        <w:t>.</w:t>
      </w:r>
      <w:bookmarkEnd w:id="114"/>
      <w:bookmarkEnd w:id="115"/>
      <w:bookmarkEnd w:id="116"/>
    </w:p>
    <w:p w14:paraId="46E296CD" w14:textId="77777777" w:rsidR="00F2061D" w:rsidRPr="000D25C5" w:rsidRDefault="00F2061D" w:rsidP="000D25C5">
      <w:pPr>
        <w:rPr>
          <w:sz w:val="40"/>
          <w:szCs w:val="40"/>
        </w:rPr>
      </w:pPr>
    </w:p>
    <w:p w14:paraId="2CE76069" w14:textId="08EB532D" w:rsidR="00015F62" w:rsidRPr="00F2061D" w:rsidRDefault="00E24E1F" w:rsidP="000D25C5">
      <w:pPr>
        <w:ind w:firstLine="0"/>
      </w:pPr>
      <w:r w:rsidRPr="00F2061D">
        <w:t>Data presented in this chapter was generated for the</w:t>
      </w:r>
      <w:r w:rsidR="00310878" w:rsidRPr="00F2061D">
        <w:t xml:space="preserve"> following published</w:t>
      </w:r>
      <w:r w:rsidR="005C33E7" w:rsidRPr="00F2061D">
        <w:t xml:space="preserve"> </w:t>
      </w:r>
      <w:r w:rsidR="00310878" w:rsidRPr="00F2061D">
        <w:t>journal articles</w:t>
      </w:r>
      <w:r w:rsidR="005C33E7" w:rsidRPr="00F2061D">
        <w:t xml:space="preserve"> and in-preparation manuscripts</w:t>
      </w:r>
      <w:r w:rsidR="00310878" w:rsidRPr="00F2061D">
        <w:t>:</w:t>
      </w:r>
    </w:p>
    <w:p w14:paraId="6476EAA6" w14:textId="0C88316B" w:rsidR="00015F62" w:rsidRDefault="00015F62" w:rsidP="000D25C5">
      <w:pPr>
        <w:rPr>
          <w:color w:val="000000" w:themeColor="text1"/>
          <w:spacing w:val="-2"/>
        </w:rPr>
      </w:pPr>
      <w:r w:rsidRPr="00206E44">
        <w:rPr>
          <w:noProof/>
          <w:color w:val="000000" w:themeColor="text1"/>
        </w:rPr>
        <mc:AlternateContent>
          <mc:Choice Requires="wps">
            <w:drawing>
              <wp:anchor distT="0" distB="0" distL="0" distR="0" simplePos="0" relativeHeight="251658243" behindDoc="1" locked="0" layoutInCell="1" allowOverlap="1" wp14:anchorId="19C4625E" wp14:editId="30428043">
                <wp:simplePos x="0" y="0"/>
                <wp:positionH relativeFrom="page">
                  <wp:posOffset>1266825</wp:posOffset>
                </wp:positionH>
                <wp:positionV relativeFrom="paragraph">
                  <wp:posOffset>202341</wp:posOffset>
                </wp:positionV>
                <wp:extent cx="5197475" cy="45085"/>
                <wp:effectExtent l="0" t="12700" r="9525" b="0"/>
                <wp:wrapTopAndBottom/>
                <wp:docPr id="2065" name="Freeform: Shape 20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97475" cy="45085"/>
                        </a:xfrm>
                        <a:custGeom>
                          <a:avLst/>
                          <a:gdLst>
                            <a:gd name="T0" fmla="+- 0 1455 1455"/>
                            <a:gd name="T1" fmla="*/ T0 w 9285"/>
                            <a:gd name="T2" fmla="+- 0 10740 1455"/>
                            <a:gd name="T3" fmla="*/ T2 w 9285"/>
                          </a:gdLst>
                          <a:ahLst/>
                          <a:cxnLst>
                            <a:cxn ang="0">
                              <a:pos x="T1" y="0"/>
                            </a:cxn>
                            <a:cxn ang="0">
                              <a:pos x="T3" y="0"/>
                            </a:cxn>
                          </a:cxnLst>
                          <a:rect l="0" t="0" r="r" b="b"/>
                          <a:pathLst>
                            <a:path w="9285">
                              <a:moveTo>
                                <a:pt x="0" y="0"/>
                              </a:moveTo>
                              <a:lnTo>
                                <a:pt x="9285" y="0"/>
                              </a:lnTo>
                            </a:path>
                          </a:pathLst>
                        </a:custGeom>
                        <a:noFill/>
                        <a:ln w="19050">
                          <a:solidFill>
                            <a:srgbClr val="7E7E7E"/>
                          </a:solidFill>
                          <a:prstDash val="sysDash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032DBB1" id="Freeform: Shape 2065" o:spid="_x0000_s1026" style="position:absolute;margin-left:99.75pt;margin-top:15.95pt;width:409.25pt;height:3.55pt;z-index:-251672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" path="m,l9285,e" filled="f" strokecolor="#7e7e7e" strokeweight="1.5pt">
                <v:stroke dashstyle="3 1 1 1"/>
                <v:path arrowok="t" o:connecttype="custom" o:connectlocs="0,0;5197475,0" o:connectangles="0,0"/>
                <w10:wrap type="topAndBottom" anchorx="page"/>
              </v:shape>
            </w:pict>
          </mc:Fallback>
        </mc:AlternateContent>
      </w:r>
    </w:p>
    <w:p w14:paraId="61841E9E" w14:textId="255ED047" w:rsidR="00310878" w:rsidRPr="00206E44" w:rsidRDefault="00310878" w:rsidP="000D25C5">
      <w:pPr>
        <w:ind w:firstLine="0"/>
        <w:rPr>
          <w:color w:val="000000" w:themeColor="text1"/>
        </w:rPr>
      </w:pPr>
      <w:r w:rsidRPr="00206E44">
        <w:rPr>
          <w:color w:val="000000" w:themeColor="text1"/>
        </w:rPr>
        <w:t xml:space="preserve">Van Den </w:t>
      </w:r>
      <w:proofErr w:type="spellStart"/>
      <w:r w:rsidRPr="00206E44">
        <w:rPr>
          <w:color w:val="000000" w:themeColor="text1"/>
        </w:rPr>
        <w:t>Bossche</w:t>
      </w:r>
      <w:proofErr w:type="spellEnd"/>
      <w:r w:rsidRPr="00206E44">
        <w:rPr>
          <w:color w:val="000000" w:themeColor="text1"/>
        </w:rPr>
        <w:t xml:space="preserve">, T., </w:t>
      </w:r>
      <w:proofErr w:type="spellStart"/>
      <w:r w:rsidRPr="00206E44">
        <w:rPr>
          <w:color w:val="000000" w:themeColor="text1"/>
        </w:rPr>
        <w:t>Kunath</w:t>
      </w:r>
      <w:proofErr w:type="spellEnd"/>
      <w:r w:rsidRPr="00206E44">
        <w:rPr>
          <w:color w:val="000000" w:themeColor="text1"/>
        </w:rPr>
        <w:t xml:space="preserve">, B. J., </w:t>
      </w:r>
      <w:proofErr w:type="spellStart"/>
      <w:r w:rsidRPr="00206E44">
        <w:rPr>
          <w:color w:val="000000" w:themeColor="text1"/>
        </w:rPr>
        <w:t>Schallert</w:t>
      </w:r>
      <w:proofErr w:type="spellEnd"/>
      <w:r w:rsidRPr="00206E44">
        <w:rPr>
          <w:color w:val="000000" w:themeColor="text1"/>
        </w:rPr>
        <w:t xml:space="preserve">, K., </w:t>
      </w:r>
      <w:proofErr w:type="spellStart"/>
      <w:r w:rsidRPr="00206E44">
        <w:rPr>
          <w:color w:val="000000" w:themeColor="text1"/>
        </w:rPr>
        <w:t>Schäpe</w:t>
      </w:r>
      <w:proofErr w:type="spellEnd"/>
      <w:r w:rsidRPr="00206E44">
        <w:rPr>
          <w:color w:val="000000" w:themeColor="text1"/>
        </w:rPr>
        <w:t xml:space="preserve">, S. S., </w:t>
      </w:r>
      <w:r w:rsidRPr="00206E44">
        <w:rPr>
          <w:b/>
          <w:bCs/>
          <w:color w:val="000000" w:themeColor="text1"/>
        </w:rPr>
        <w:t>Peters, S.L</w:t>
      </w:r>
      <w:r w:rsidRPr="00206E44">
        <w:rPr>
          <w:color w:val="000000" w:themeColor="text1"/>
        </w:rPr>
        <w:t xml:space="preserve">., Abraham, P. E., </w:t>
      </w:r>
      <w:proofErr w:type="spellStart"/>
      <w:r w:rsidRPr="00206E44">
        <w:rPr>
          <w:color w:val="000000" w:themeColor="text1"/>
        </w:rPr>
        <w:t>Armengaud</w:t>
      </w:r>
      <w:proofErr w:type="spellEnd"/>
      <w:r w:rsidRPr="00206E44">
        <w:rPr>
          <w:color w:val="000000" w:themeColor="text1"/>
        </w:rPr>
        <w:t xml:space="preserve">, J., </w:t>
      </w:r>
      <w:proofErr w:type="spellStart"/>
      <w:r w:rsidRPr="00206E44">
        <w:rPr>
          <w:color w:val="000000" w:themeColor="text1"/>
        </w:rPr>
        <w:t>Arntzen</w:t>
      </w:r>
      <w:proofErr w:type="spellEnd"/>
      <w:r w:rsidRPr="00206E44">
        <w:rPr>
          <w:color w:val="000000" w:themeColor="text1"/>
        </w:rPr>
        <w:t xml:space="preserve">, M. Ø., </w:t>
      </w:r>
      <w:proofErr w:type="spellStart"/>
      <w:r w:rsidRPr="00206E44">
        <w:rPr>
          <w:color w:val="000000" w:themeColor="text1"/>
        </w:rPr>
        <w:t>Bassignani</w:t>
      </w:r>
      <w:proofErr w:type="spellEnd"/>
      <w:r w:rsidRPr="00206E44">
        <w:rPr>
          <w:color w:val="000000" w:themeColor="text1"/>
        </w:rPr>
        <w:t xml:space="preserve">, A., </w:t>
      </w:r>
      <w:proofErr w:type="spellStart"/>
      <w:r w:rsidRPr="00206E44">
        <w:rPr>
          <w:color w:val="000000" w:themeColor="text1"/>
        </w:rPr>
        <w:t>Benndorf</w:t>
      </w:r>
      <w:proofErr w:type="spellEnd"/>
      <w:r w:rsidRPr="00206E44">
        <w:rPr>
          <w:color w:val="000000" w:themeColor="text1"/>
        </w:rPr>
        <w:t xml:space="preserve">, D., Fuchs, S., Giannone, R. J., Griffin, T. J., Hagen, L. H., Halder, R., Henry, C., Hettich, R. L., </w:t>
      </w:r>
      <w:proofErr w:type="spellStart"/>
      <w:r w:rsidRPr="00206E44">
        <w:rPr>
          <w:color w:val="000000" w:themeColor="text1"/>
        </w:rPr>
        <w:t>Heyer</w:t>
      </w:r>
      <w:proofErr w:type="spellEnd"/>
      <w:r w:rsidRPr="00206E44">
        <w:rPr>
          <w:color w:val="000000" w:themeColor="text1"/>
        </w:rPr>
        <w:t xml:space="preserve">, R., Jagtap, P., </w:t>
      </w:r>
      <w:proofErr w:type="spellStart"/>
      <w:r w:rsidRPr="00206E44">
        <w:rPr>
          <w:color w:val="000000" w:themeColor="text1"/>
        </w:rPr>
        <w:t>Jehmlich</w:t>
      </w:r>
      <w:proofErr w:type="spellEnd"/>
      <w:r w:rsidRPr="00206E44">
        <w:rPr>
          <w:color w:val="000000" w:themeColor="text1"/>
        </w:rPr>
        <w:t xml:space="preserve">, N., … </w:t>
      </w:r>
      <w:proofErr w:type="spellStart"/>
      <w:r w:rsidRPr="00206E44">
        <w:rPr>
          <w:color w:val="000000" w:themeColor="text1"/>
        </w:rPr>
        <w:t>Muth</w:t>
      </w:r>
      <w:proofErr w:type="spellEnd"/>
      <w:r w:rsidRPr="00206E44">
        <w:rPr>
          <w:color w:val="000000" w:themeColor="text1"/>
        </w:rPr>
        <w:t xml:space="preserve">, T. (2021). Critical Assessment of </w:t>
      </w:r>
      <w:proofErr w:type="spellStart"/>
      <w:r w:rsidRPr="00206E44">
        <w:rPr>
          <w:color w:val="000000" w:themeColor="text1"/>
        </w:rPr>
        <w:t>MetaProteome</w:t>
      </w:r>
      <w:proofErr w:type="spellEnd"/>
      <w:r w:rsidRPr="00206E44">
        <w:rPr>
          <w:color w:val="000000" w:themeColor="text1"/>
        </w:rPr>
        <w:t xml:space="preserve"> Investigation (CAMPI): a multi-laboratory comparison of established workflows. </w:t>
      </w:r>
      <w:r w:rsidRPr="00206E44">
        <w:rPr>
          <w:iCs/>
          <w:color w:val="000000" w:themeColor="text1"/>
        </w:rPr>
        <w:t>Nature Communications</w:t>
      </w:r>
      <w:r w:rsidRPr="00206E44">
        <w:rPr>
          <w:color w:val="000000" w:themeColor="text1"/>
        </w:rPr>
        <w:t xml:space="preserve">, 12(1), 7305–7305. </w:t>
      </w:r>
      <w:hyperlink r:id="rId34" w:history="1">
        <w:r w:rsidR="00EB3C97" w:rsidRPr="00206E44">
          <w:rPr>
            <w:rStyle w:val="Hyperlink"/>
            <w:color w:val="000000" w:themeColor="text1"/>
          </w:rPr>
          <w:t>https://doi.org/10.1038/s41467-021-27542-8</w:t>
        </w:r>
      </w:hyperlink>
    </w:p>
    <w:p w14:paraId="29C2C743" w14:textId="60D629D6" w:rsidR="00EB3C97" w:rsidRPr="00206E44" w:rsidRDefault="00EB3C97" w:rsidP="000D25C5">
      <w:pPr>
        <w:rPr>
          <w:color w:val="000000" w:themeColor="text1"/>
        </w:rPr>
      </w:pPr>
    </w:p>
    <w:p w14:paraId="1B21E7B2" w14:textId="4CF30F85" w:rsidR="00450680" w:rsidRPr="00206E44" w:rsidRDefault="00450680" w:rsidP="000D25C5">
      <w:pPr>
        <w:ind w:firstLine="0"/>
        <w:rPr>
          <w:i/>
          <w:color w:val="000000" w:themeColor="text1"/>
        </w:rPr>
      </w:pPr>
      <w:r w:rsidRPr="00206E44">
        <w:rPr>
          <w:i/>
          <w:color w:val="000000" w:themeColor="text1"/>
        </w:rPr>
        <w:t>S.L.P</w:t>
      </w:r>
      <w:r w:rsidRPr="00206E44">
        <w:rPr>
          <w:i/>
          <w:color w:val="000000" w:themeColor="text1"/>
          <w:spacing w:val="-2"/>
        </w:rPr>
        <w:t xml:space="preserve"> </w:t>
      </w:r>
      <w:r w:rsidRPr="00206E44">
        <w:rPr>
          <w:i/>
          <w:color w:val="000000" w:themeColor="text1"/>
        </w:rPr>
        <w:t>contributions</w:t>
      </w:r>
      <w:r w:rsidRPr="00206E44">
        <w:rPr>
          <w:i/>
          <w:color w:val="000000" w:themeColor="text1"/>
          <w:spacing w:val="-3"/>
        </w:rPr>
        <w:t xml:space="preserve"> </w:t>
      </w:r>
      <w:r w:rsidRPr="00206E44">
        <w:rPr>
          <w:i/>
          <w:color w:val="000000" w:themeColor="text1"/>
        </w:rPr>
        <w:t>include</w:t>
      </w:r>
      <w:r w:rsidRPr="00206E44">
        <w:rPr>
          <w:i/>
          <w:color w:val="000000" w:themeColor="text1"/>
          <w:spacing w:val="-5"/>
        </w:rPr>
        <w:t xml:space="preserve"> </w:t>
      </w:r>
      <w:r w:rsidR="005C33E7" w:rsidRPr="00206E44">
        <w:rPr>
          <w:i/>
          <w:color w:val="000000" w:themeColor="text1"/>
          <w:spacing w:val="-5"/>
        </w:rPr>
        <w:t xml:space="preserve">metaproteomic measurements, </w:t>
      </w:r>
      <w:r w:rsidRPr="00206E44">
        <w:rPr>
          <w:i/>
          <w:color w:val="000000" w:themeColor="text1"/>
        </w:rPr>
        <w:t>data</w:t>
      </w:r>
      <w:r w:rsidRPr="00206E44">
        <w:rPr>
          <w:i/>
          <w:color w:val="000000" w:themeColor="text1"/>
          <w:spacing w:val="-4"/>
        </w:rPr>
        <w:t xml:space="preserve"> </w:t>
      </w:r>
      <w:r w:rsidRPr="00206E44">
        <w:rPr>
          <w:i/>
          <w:color w:val="000000" w:themeColor="text1"/>
        </w:rPr>
        <w:t>analysis,</w:t>
      </w:r>
      <w:r w:rsidRPr="00206E44">
        <w:rPr>
          <w:i/>
          <w:color w:val="000000" w:themeColor="text1"/>
          <w:spacing w:val="-4"/>
        </w:rPr>
        <w:t xml:space="preserve"> </w:t>
      </w:r>
      <w:r w:rsidRPr="00206E44">
        <w:rPr>
          <w:i/>
          <w:color w:val="000000" w:themeColor="text1"/>
        </w:rPr>
        <w:t>writing and editing</w:t>
      </w:r>
      <w:r w:rsidRPr="00206E44">
        <w:rPr>
          <w:i/>
          <w:color w:val="000000" w:themeColor="text1"/>
          <w:spacing w:val="-4"/>
        </w:rPr>
        <w:t xml:space="preserve"> </w:t>
      </w:r>
      <w:r w:rsidRPr="00206E44">
        <w:rPr>
          <w:i/>
          <w:color w:val="000000" w:themeColor="text1"/>
        </w:rPr>
        <w:t>of</w:t>
      </w:r>
      <w:r w:rsidRPr="00206E44">
        <w:rPr>
          <w:i/>
          <w:color w:val="000000" w:themeColor="text1"/>
          <w:spacing w:val="-4"/>
        </w:rPr>
        <w:t xml:space="preserve"> the </w:t>
      </w:r>
      <w:r w:rsidRPr="00206E44">
        <w:rPr>
          <w:i/>
          <w:color w:val="000000" w:themeColor="text1"/>
        </w:rPr>
        <w:t>original</w:t>
      </w:r>
      <w:r w:rsidRPr="00206E44">
        <w:rPr>
          <w:i/>
          <w:color w:val="000000" w:themeColor="text1"/>
          <w:spacing w:val="-4"/>
        </w:rPr>
        <w:t xml:space="preserve"> </w:t>
      </w:r>
      <w:r w:rsidRPr="00206E44">
        <w:rPr>
          <w:i/>
          <w:color w:val="000000" w:themeColor="text1"/>
        </w:rPr>
        <w:t>manuscript</w:t>
      </w:r>
      <w:r w:rsidR="005C33E7" w:rsidRPr="00206E44">
        <w:rPr>
          <w:i/>
          <w:color w:val="000000" w:themeColor="text1"/>
        </w:rPr>
        <w:t xml:space="preserve"> </w:t>
      </w:r>
      <w:r w:rsidRPr="00206E44">
        <w:rPr>
          <w:i/>
          <w:color w:val="000000" w:themeColor="text1"/>
        </w:rPr>
        <w:t>and response to reviewers.</w:t>
      </w:r>
    </w:p>
    <w:p w14:paraId="130FF3A7" w14:textId="77777777" w:rsidR="00450680" w:rsidRPr="00206E44" w:rsidRDefault="00450680" w:rsidP="000D25C5">
      <w:pPr>
        <w:rPr>
          <w:color w:val="000000" w:themeColor="text1"/>
        </w:rPr>
      </w:pPr>
    </w:p>
    <w:p w14:paraId="24977B8D" w14:textId="0D3FEABE" w:rsidR="00310878" w:rsidRPr="00206E44" w:rsidRDefault="00310878" w:rsidP="000D25C5">
      <w:pPr>
        <w:ind w:firstLine="0"/>
        <w:rPr>
          <w:iCs/>
          <w:color w:val="000000" w:themeColor="text1"/>
        </w:rPr>
      </w:pPr>
      <w:r w:rsidRPr="00206E44">
        <w:rPr>
          <w:color w:val="000000" w:themeColor="text1"/>
        </w:rPr>
        <w:t xml:space="preserve">Saunders, J., </w:t>
      </w:r>
      <w:proofErr w:type="spellStart"/>
      <w:r w:rsidRPr="00206E44">
        <w:rPr>
          <w:color w:val="000000" w:themeColor="text1"/>
        </w:rPr>
        <w:t>McIlvin</w:t>
      </w:r>
      <w:proofErr w:type="spellEnd"/>
      <w:r w:rsidRPr="00206E44">
        <w:rPr>
          <w:color w:val="000000" w:themeColor="text1"/>
        </w:rPr>
        <w:t xml:space="preserve">, M., </w:t>
      </w:r>
      <w:r w:rsidRPr="00206E44">
        <w:rPr>
          <w:b/>
          <w:bCs/>
          <w:color w:val="000000" w:themeColor="text1"/>
        </w:rPr>
        <w:t>Peters, S. L.</w:t>
      </w:r>
      <w:r w:rsidRPr="00206E44">
        <w:rPr>
          <w:color w:val="000000" w:themeColor="text1"/>
        </w:rPr>
        <w:t xml:space="preserve">, Bertrand, E., </w:t>
      </w:r>
      <w:proofErr w:type="spellStart"/>
      <w:r w:rsidRPr="00206E44">
        <w:rPr>
          <w:color w:val="000000" w:themeColor="text1"/>
        </w:rPr>
        <w:t>Breier</w:t>
      </w:r>
      <w:proofErr w:type="spellEnd"/>
      <w:r w:rsidRPr="00206E44">
        <w:rPr>
          <w:color w:val="000000" w:themeColor="text1"/>
        </w:rPr>
        <w:t xml:space="preserve">, J., </w:t>
      </w:r>
      <w:proofErr w:type="spellStart"/>
      <w:r w:rsidRPr="00206E44">
        <w:rPr>
          <w:color w:val="000000" w:themeColor="text1"/>
        </w:rPr>
        <w:t>Brisbin</w:t>
      </w:r>
      <w:proofErr w:type="spellEnd"/>
      <w:r w:rsidRPr="00206E44">
        <w:rPr>
          <w:color w:val="000000" w:themeColor="text1"/>
        </w:rPr>
        <w:t xml:space="preserve">, M., Colston, S., Compton, J. R., Griffin, T., Hervey, J, Hettich, R., Jagtap, P., … Saito, M. Ocean Metaproteomic Laboratory Intercomparison from the North Atlantic Ocean using Data Dependent Acquisition. </w:t>
      </w:r>
      <w:r w:rsidRPr="00206E44">
        <w:rPr>
          <w:iCs/>
          <w:color w:val="000000" w:themeColor="text1"/>
        </w:rPr>
        <w:t>ISME.</w:t>
      </w:r>
      <w:r w:rsidR="005D206F">
        <w:rPr>
          <w:iCs/>
          <w:color w:val="000000" w:themeColor="text1"/>
        </w:rPr>
        <w:t xml:space="preserve"> (Under preparation, Fall 2022)</w:t>
      </w:r>
    </w:p>
    <w:p w14:paraId="4CE0FF46" w14:textId="77777777" w:rsidR="005C33E7" w:rsidRPr="00206E44" w:rsidRDefault="005C33E7" w:rsidP="000D25C5">
      <w:pPr>
        <w:rPr>
          <w:i/>
          <w:color w:val="000000" w:themeColor="text1"/>
        </w:rPr>
      </w:pPr>
    </w:p>
    <w:p w14:paraId="53EC08EE" w14:textId="29C0EF9F" w:rsidR="005C33E7" w:rsidRPr="00206E44" w:rsidRDefault="005C33E7" w:rsidP="000D25C5">
      <w:pPr>
        <w:ind w:firstLine="0"/>
        <w:rPr>
          <w:i/>
          <w:color w:val="000000" w:themeColor="text1"/>
        </w:rPr>
      </w:pPr>
      <w:r w:rsidRPr="00206E44">
        <w:rPr>
          <w:i/>
          <w:color w:val="000000" w:themeColor="text1"/>
        </w:rPr>
        <w:t>S.L.P</w:t>
      </w:r>
      <w:r w:rsidRPr="00206E44">
        <w:rPr>
          <w:i/>
          <w:color w:val="000000" w:themeColor="text1"/>
          <w:spacing w:val="-2"/>
        </w:rPr>
        <w:t xml:space="preserve"> </w:t>
      </w:r>
      <w:r w:rsidRPr="00206E44">
        <w:rPr>
          <w:i/>
          <w:color w:val="000000" w:themeColor="text1"/>
        </w:rPr>
        <w:t>contributions</w:t>
      </w:r>
      <w:r w:rsidRPr="00206E44">
        <w:rPr>
          <w:i/>
          <w:color w:val="000000" w:themeColor="text1"/>
          <w:spacing w:val="-3"/>
        </w:rPr>
        <w:t xml:space="preserve"> </w:t>
      </w:r>
      <w:r w:rsidRPr="00206E44">
        <w:rPr>
          <w:i/>
          <w:color w:val="000000" w:themeColor="text1"/>
        </w:rPr>
        <w:t>include</w:t>
      </w:r>
      <w:r w:rsidRPr="00206E44">
        <w:rPr>
          <w:i/>
          <w:color w:val="000000" w:themeColor="text1"/>
          <w:spacing w:val="-5"/>
        </w:rPr>
        <w:t xml:space="preserve"> metaproteomic measurements, </w:t>
      </w:r>
      <w:r w:rsidRPr="00206E44">
        <w:rPr>
          <w:i/>
          <w:color w:val="000000" w:themeColor="text1"/>
        </w:rPr>
        <w:t>data</w:t>
      </w:r>
      <w:r w:rsidRPr="00206E44">
        <w:rPr>
          <w:i/>
          <w:color w:val="000000" w:themeColor="text1"/>
          <w:spacing w:val="-4"/>
        </w:rPr>
        <w:t xml:space="preserve"> </w:t>
      </w:r>
      <w:r w:rsidRPr="00206E44">
        <w:rPr>
          <w:i/>
          <w:color w:val="000000" w:themeColor="text1"/>
        </w:rPr>
        <w:t>analysis,</w:t>
      </w:r>
      <w:r w:rsidRPr="00206E44">
        <w:rPr>
          <w:i/>
          <w:color w:val="000000" w:themeColor="text1"/>
          <w:spacing w:val="-4"/>
        </w:rPr>
        <w:t xml:space="preserve"> </w:t>
      </w:r>
      <w:r w:rsidRPr="00206E44">
        <w:rPr>
          <w:i/>
          <w:color w:val="000000" w:themeColor="text1"/>
        </w:rPr>
        <w:t>and editing</w:t>
      </w:r>
      <w:r w:rsidRPr="00206E44">
        <w:rPr>
          <w:i/>
          <w:color w:val="000000" w:themeColor="text1"/>
          <w:spacing w:val="-4"/>
        </w:rPr>
        <w:t xml:space="preserve"> </w:t>
      </w:r>
      <w:r w:rsidRPr="00206E44">
        <w:rPr>
          <w:i/>
          <w:color w:val="000000" w:themeColor="text1"/>
        </w:rPr>
        <w:t>of</w:t>
      </w:r>
      <w:r w:rsidRPr="00206E44">
        <w:rPr>
          <w:i/>
          <w:color w:val="000000" w:themeColor="text1"/>
          <w:spacing w:val="-4"/>
        </w:rPr>
        <w:t xml:space="preserve"> the </w:t>
      </w:r>
      <w:r w:rsidRPr="00206E44">
        <w:rPr>
          <w:i/>
          <w:color w:val="000000" w:themeColor="text1"/>
        </w:rPr>
        <w:t>original</w:t>
      </w:r>
      <w:r w:rsidRPr="00206E44">
        <w:rPr>
          <w:i/>
          <w:color w:val="000000" w:themeColor="text1"/>
          <w:spacing w:val="-4"/>
        </w:rPr>
        <w:t xml:space="preserve"> </w:t>
      </w:r>
      <w:r w:rsidRPr="00206E44">
        <w:rPr>
          <w:i/>
          <w:color w:val="000000" w:themeColor="text1"/>
        </w:rPr>
        <w:t>manuscript.</w:t>
      </w:r>
    </w:p>
    <w:bookmarkStart w:id="118" w:name="_Toc108103552"/>
    <w:bookmarkEnd w:id="117"/>
    <w:p w14:paraId="78A12C29" w14:textId="4AA4C5D2" w:rsidR="005C33E7" w:rsidRPr="00476931" w:rsidRDefault="00206E44" w:rsidP="000D25C5">
      <w:r w:rsidRPr="00206E44">
        <w:rPr>
          <w:noProof/>
        </w:rPr>
        <mc:AlternateContent>
          <mc:Choice Requires="wps">
            <w:drawing>
              <wp:anchor distT="0" distB="0" distL="0" distR="0" simplePos="0" relativeHeight="251658244" behindDoc="1" locked="0" layoutInCell="1" allowOverlap="1" wp14:anchorId="43DEDBAF" wp14:editId="016DCFEC">
                <wp:simplePos x="0" y="0"/>
                <wp:positionH relativeFrom="page">
                  <wp:posOffset>1257114</wp:posOffset>
                </wp:positionH>
                <wp:positionV relativeFrom="paragraph">
                  <wp:posOffset>53527</wp:posOffset>
                </wp:positionV>
                <wp:extent cx="5200650" cy="45085"/>
                <wp:effectExtent l="0" t="12700" r="19050" b="0"/>
                <wp:wrapTopAndBottom/>
                <wp:docPr id="2067" name="Freeform: Shape 20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00650" cy="45085"/>
                        </a:xfrm>
                        <a:custGeom>
                          <a:avLst/>
                          <a:gdLst>
                            <a:gd name="T0" fmla="+- 0 1455 1455"/>
                            <a:gd name="T1" fmla="*/ T0 w 9285"/>
                            <a:gd name="T2" fmla="+- 0 10740 1455"/>
                            <a:gd name="T3" fmla="*/ T2 w 9285"/>
                          </a:gdLst>
                          <a:ahLst/>
                          <a:cxnLst>
                            <a:cxn ang="0">
                              <a:pos x="T1" y="0"/>
                            </a:cxn>
                            <a:cxn ang="0">
                              <a:pos x="T3" y="0"/>
                            </a:cxn>
                          </a:cxnLst>
                          <a:rect l="0" t="0" r="r" b="b"/>
                          <a:pathLst>
                            <a:path w="9285">
                              <a:moveTo>
                                <a:pt x="0" y="0"/>
                              </a:moveTo>
                              <a:lnTo>
                                <a:pt x="9285" y="0"/>
                              </a:lnTo>
                            </a:path>
                          </a:pathLst>
                        </a:custGeom>
                        <a:noFill/>
                        <a:ln w="19050">
                          <a:solidFill>
                            <a:srgbClr val="7E7E7E"/>
                          </a:solidFill>
                          <a:prstDash val="sysDash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44C6B2A" id="Freeform: Shape 2067" o:spid="_x0000_s1026" style="position:absolute;margin-left:99pt;margin-top:4.2pt;width:409.5pt;height:3.55pt;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" path="m,l9285,e" filled="f" strokecolor="#7e7e7e" strokeweight="1.5pt">
                <v:stroke dashstyle="3 1 1 1"/>
                <v:path arrowok="t" o:connecttype="custom" o:connectlocs="0,0;5200650,0" o:connectangles="0,0"/>
                <w10:wrap type="topAndBottom" anchorx="page"/>
              </v:shape>
            </w:pict>
          </mc:Fallback>
        </mc:AlternateContent>
      </w:r>
      <w:bookmarkEnd w:id="118"/>
    </w:p>
    <w:p w14:paraId="560634F3" w14:textId="77777777" w:rsidR="00235112" w:rsidRDefault="00235112">
      <w:pPr>
        <w:spacing w:before="1"/>
        <w:rPr>
          <w:rFonts w:eastAsiaTheme="majorEastAsia" w:cstheme="majorBidi"/>
          <w:b/>
          <w:color w:val="000000" w:themeColor="text1"/>
          <w:szCs w:val="26"/>
        </w:rPr>
      </w:pPr>
      <w:r>
        <w:br w:type="page"/>
      </w:r>
    </w:p>
    <w:p w14:paraId="546B5BE2" w14:textId="67090AEC" w:rsidR="00310878" w:rsidRPr="00476931" w:rsidRDefault="00EB3C97" w:rsidP="0060435B">
      <w:pPr>
        <w:pStyle w:val="Heading2"/>
      </w:pPr>
      <w:bookmarkStart w:id="119" w:name="_Toc110250243"/>
      <w:bookmarkStart w:id="120" w:name="_Toc110250500"/>
      <w:bookmarkStart w:id="121" w:name="_Toc110250631"/>
      <w:r w:rsidRPr="00476931">
        <w:lastRenderedPageBreak/>
        <w:t xml:space="preserve">3.1  </w:t>
      </w:r>
      <w:r w:rsidR="00310878" w:rsidRPr="00476931">
        <w:t>Optimizing elements of sample preparation optimization for metaproteomes</w:t>
      </w:r>
      <w:r w:rsidR="00235112">
        <w:t>.</w:t>
      </w:r>
      <w:bookmarkEnd w:id="119"/>
      <w:bookmarkEnd w:id="120"/>
      <w:bookmarkEnd w:id="121"/>
    </w:p>
    <w:p w14:paraId="478F83AB" w14:textId="77777777" w:rsidR="00EB3C97" w:rsidRPr="00476931" w:rsidRDefault="00EB3C97" w:rsidP="00EB3C97">
      <w:pPr>
        <w:rPr>
          <w:color w:val="000000" w:themeColor="text1"/>
        </w:rPr>
      </w:pPr>
    </w:p>
    <w:p w14:paraId="35B0DC85" w14:textId="6307E148" w:rsidR="00310878" w:rsidRPr="00476931" w:rsidRDefault="00310878" w:rsidP="00EB3C97">
      <w:pPr>
        <w:rPr>
          <w:rFonts w:ascii="Times New Roman" w:hAnsi="Times New Roman" w:cs="Times New Roman"/>
          <w:color w:val="000000" w:themeColor="text1"/>
        </w:rPr>
      </w:pPr>
      <w:r w:rsidRPr="00476931">
        <w:rPr>
          <w:rFonts w:ascii="Times New Roman" w:hAnsi="Times New Roman" w:cs="Times New Roman"/>
          <w:color w:val="000000" w:themeColor="text1"/>
        </w:rPr>
        <w:t xml:space="preserve">To enable the measurement campaigns for the studies detailed in chapters 5 through 7, a substantial amount of work for the dissertation focused on aspects of wet lab methodology advancements to increase the performance and depth of metaproteome measurements.  </w:t>
      </w:r>
      <w:proofErr w:type="gramStart"/>
      <w:r w:rsidRPr="00476931">
        <w:rPr>
          <w:rFonts w:ascii="Times New Roman" w:hAnsi="Times New Roman" w:cs="Times New Roman"/>
          <w:color w:val="000000" w:themeColor="text1"/>
        </w:rPr>
        <w:t>In particular, work</w:t>
      </w:r>
      <w:proofErr w:type="gramEnd"/>
      <w:r w:rsidRPr="00476931">
        <w:rPr>
          <w:rFonts w:ascii="Times New Roman" w:hAnsi="Times New Roman" w:cs="Times New Roman"/>
          <w:color w:val="000000" w:themeColor="text1"/>
        </w:rPr>
        <w:t xml:space="preserve"> has been completed for developments and optimizations in sample preparation related to protein extraction, clean-up, quantification, and liquid chromatography peptide separation prior to MS measurement. These developments have increased reproducibility, throughput, and reduced measurement carry-over between samples for various environmental matrices, which have enabled high-quality data for in-depth characterization of microbial community function for the projects outlined in chapters 5 through 7.  The methodological considerations and advancements explored in this chapter feature environmental matrices that differ from the fecal samples in the projects from chapters 5 through 7</w:t>
      </w:r>
      <w:r w:rsidR="009F3292">
        <w:rPr>
          <w:rFonts w:ascii="Times New Roman" w:hAnsi="Times New Roman" w:cs="Times New Roman"/>
          <w:color w:val="000000" w:themeColor="text1"/>
        </w:rPr>
        <w:t xml:space="preserve"> but still represent complex media</w:t>
      </w:r>
      <w:r w:rsidRPr="00476931">
        <w:rPr>
          <w:rFonts w:ascii="Times New Roman" w:hAnsi="Times New Roman" w:cs="Times New Roman"/>
          <w:color w:val="000000" w:themeColor="text1"/>
        </w:rPr>
        <w:t xml:space="preserve">.  </w:t>
      </w:r>
      <w:r w:rsidR="009F3292">
        <w:rPr>
          <w:rFonts w:ascii="Times New Roman" w:hAnsi="Times New Roman" w:cs="Times New Roman"/>
          <w:color w:val="000000" w:themeColor="text1"/>
        </w:rPr>
        <w:t>Thus</w:t>
      </w:r>
      <w:r w:rsidRPr="00476931">
        <w:rPr>
          <w:rFonts w:ascii="Times New Roman" w:hAnsi="Times New Roman" w:cs="Times New Roman"/>
          <w:color w:val="000000" w:themeColor="text1"/>
        </w:rPr>
        <w:t xml:space="preserve">, the sample preparation factors presented in chapter 3 should be considered when embarking on any metaproteomic measurement campaign and can be broadly applied to all work presented in this dissertation.  </w:t>
      </w:r>
    </w:p>
    <w:p w14:paraId="5D08B7FA" w14:textId="581D5417" w:rsidR="00310878" w:rsidRPr="00476931" w:rsidRDefault="00310878" w:rsidP="00EB3C97">
      <w:pPr>
        <w:rPr>
          <w:rFonts w:ascii="Times New Roman" w:hAnsi="Times New Roman" w:cs="Times New Roman"/>
          <w:color w:val="000000" w:themeColor="text1"/>
        </w:rPr>
      </w:pPr>
      <w:r w:rsidRPr="00476931">
        <w:rPr>
          <w:rFonts w:ascii="Times New Roman" w:eastAsia="Times New Roman" w:hAnsi="Times New Roman" w:cs="Times New Roman"/>
          <w:color w:val="000000" w:themeColor="text1"/>
        </w:rPr>
        <w:t xml:space="preserve">The first portion of this chapter explores some of the challenges of extracting proteins from complex environmental matrices with limited microbial biomass.  Second, the impact of interfering compounds on protein quantification during the sample preparation process is highlighted.  Finally, the impact of different </w:t>
      </w:r>
      <w:r w:rsidRPr="00476931">
        <w:rPr>
          <w:rFonts w:ascii="Times New Roman" w:hAnsi="Times New Roman" w:cs="Times New Roman"/>
          <w:color w:val="000000" w:themeColor="text1"/>
        </w:rPr>
        <w:t>liquid chromatography-based peptide separation methods on mass spectrometry measurement depth is evaluated for samples with varying microbial complexity.</w:t>
      </w:r>
    </w:p>
    <w:p w14:paraId="782FE6BF" w14:textId="77777777" w:rsidR="00EB3C97" w:rsidRPr="00476931" w:rsidRDefault="00EB3C97" w:rsidP="00EB3C97">
      <w:pPr>
        <w:rPr>
          <w:rFonts w:ascii="Times New Roman" w:eastAsia="Times New Roman" w:hAnsi="Times New Roman" w:cs="Times New Roman"/>
          <w:color w:val="000000" w:themeColor="text1"/>
        </w:rPr>
      </w:pPr>
    </w:p>
    <w:p w14:paraId="524BEBB6" w14:textId="77777777" w:rsidR="005D6CC5" w:rsidRDefault="005D6CC5" w:rsidP="000505A9">
      <w:pPr>
        <w:pStyle w:val="Heading2"/>
        <w:rPr>
          <w:rFonts w:eastAsia="Times New Roman"/>
        </w:rPr>
      </w:pPr>
      <w:r>
        <w:rPr>
          <w:rFonts w:eastAsia="Times New Roman"/>
        </w:rPr>
        <w:br/>
      </w:r>
    </w:p>
    <w:p w14:paraId="6CE0CA05" w14:textId="77777777" w:rsidR="005D6CC5" w:rsidRDefault="005D6CC5">
      <w:pPr>
        <w:spacing w:before="1"/>
        <w:rPr>
          <w:rFonts w:eastAsia="Times New Roman" w:cstheme="majorBidi"/>
          <w:b/>
          <w:color w:val="000000" w:themeColor="text1"/>
          <w:szCs w:val="26"/>
        </w:rPr>
      </w:pPr>
      <w:r>
        <w:rPr>
          <w:rFonts w:eastAsia="Times New Roman"/>
        </w:rPr>
        <w:br w:type="page"/>
      </w:r>
    </w:p>
    <w:p w14:paraId="32C20731" w14:textId="6982100C" w:rsidR="000505A9" w:rsidRPr="00476931" w:rsidRDefault="000505A9" w:rsidP="000505A9">
      <w:pPr>
        <w:pStyle w:val="Heading2"/>
      </w:pPr>
      <w:bookmarkStart w:id="122" w:name="_Toc110250244"/>
      <w:bookmarkStart w:id="123" w:name="_Toc110250501"/>
      <w:bookmarkStart w:id="124" w:name="_Toc110250632"/>
      <w:r w:rsidRPr="00476931">
        <w:rPr>
          <w:rFonts w:eastAsia="Times New Roman"/>
        </w:rPr>
        <w:lastRenderedPageBreak/>
        <w:t xml:space="preserve">3.2  </w:t>
      </w:r>
      <w:r w:rsidRPr="00476931">
        <w:t>Extracting proteins from complex environmental matrices with limited microbial biomass</w:t>
      </w:r>
      <w:r>
        <w:t>.</w:t>
      </w:r>
      <w:bookmarkEnd w:id="122"/>
      <w:bookmarkEnd w:id="123"/>
      <w:bookmarkEnd w:id="124"/>
    </w:p>
    <w:p w14:paraId="589AB033" w14:textId="77777777" w:rsidR="000505A9" w:rsidRPr="00476931" w:rsidRDefault="000505A9" w:rsidP="000505A9">
      <w:pPr>
        <w:rPr>
          <w:color w:val="000000" w:themeColor="text1"/>
        </w:rPr>
      </w:pPr>
    </w:p>
    <w:p w14:paraId="788AA0B3" w14:textId="5D148B70" w:rsidR="00310878" w:rsidRPr="00476931" w:rsidRDefault="000505A9" w:rsidP="005D6CC5">
      <w:pPr>
        <w:spacing w:before="1"/>
        <w:rPr>
          <w:color w:val="000000" w:themeColor="text1"/>
        </w:rPr>
      </w:pPr>
      <w:r w:rsidRPr="00476931">
        <w:rPr>
          <w:color w:val="000000" w:themeColor="text1"/>
        </w:rPr>
        <w:t>As outlined in chapter 2, for proteomic analysis, the initial step of obtaining</w:t>
      </w:r>
      <w:r w:rsidR="005D6CC5">
        <w:rPr>
          <w:color w:val="000000" w:themeColor="text1"/>
        </w:rPr>
        <w:t xml:space="preserve"> </w:t>
      </w:r>
      <w:r w:rsidR="00310878" w:rsidRPr="00476931">
        <w:rPr>
          <w:color w:val="000000" w:themeColor="text1"/>
        </w:rPr>
        <w:t xml:space="preserve">protein biomass during the preparation process is critical to accurately capture the full protein complement of the sample.  This step is more complicated for metaproteomic analysis of microbial communities than single proteome samples due to the sample matrix.  Environmental </w:t>
      </w:r>
      <w:r w:rsidR="009C5A7E">
        <w:rPr>
          <w:color w:val="000000" w:themeColor="text1"/>
        </w:rPr>
        <w:t xml:space="preserve">microbiome </w:t>
      </w:r>
      <w:r w:rsidR="00310878" w:rsidRPr="00476931">
        <w:rPr>
          <w:color w:val="000000" w:themeColor="text1"/>
        </w:rPr>
        <w:t xml:space="preserve">samples, such as feces and soil, are complex mixtures that can contain microbial cells, eukaryotic host cells, plant-derived fibrous materials, and other abiotic components, which means the up-front cellular lysis methods have significant impacts on downstream protein and peptide yields. Therefore, </w:t>
      </w:r>
      <w:r w:rsidR="009800C9" w:rsidRPr="00476931">
        <w:rPr>
          <w:color w:val="000000" w:themeColor="text1"/>
        </w:rPr>
        <w:t>when choosing an appropriate strategy for cellular lysis and protein extraction</w:t>
      </w:r>
      <w:r w:rsidR="009800C9">
        <w:rPr>
          <w:color w:val="000000" w:themeColor="text1"/>
        </w:rPr>
        <w:t xml:space="preserve">, </w:t>
      </w:r>
      <w:r w:rsidR="009800C9" w:rsidRPr="00476931">
        <w:rPr>
          <w:color w:val="000000" w:themeColor="text1"/>
        </w:rPr>
        <w:t xml:space="preserve"> </w:t>
      </w:r>
      <w:r w:rsidR="00310878" w:rsidRPr="00476931">
        <w:rPr>
          <w:color w:val="000000" w:themeColor="text1"/>
        </w:rPr>
        <w:t>the composition of th</w:t>
      </w:r>
      <w:r w:rsidR="009800C9">
        <w:rPr>
          <w:color w:val="000000" w:themeColor="text1"/>
        </w:rPr>
        <w:t>e sample in terms of the</w:t>
      </w:r>
      <w:r w:rsidR="00310878" w:rsidRPr="00476931">
        <w:rPr>
          <w:color w:val="000000" w:themeColor="text1"/>
        </w:rPr>
        <w:t>se components must be considered.  </w:t>
      </w:r>
      <w:r w:rsidR="009C2C4A">
        <w:rPr>
          <w:color w:val="000000" w:themeColor="text1"/>
        </w:rPr>
        <w:t>Commonly</w:t>
      </w:r>
      <w:r w:rsidR="00310878" w:rsidRPr="00476931">
        <w:rPr>
          <w:color w:val="000000" w:themeColor="text1"/>
        </w:rPr>
        <w:t xml:space="preserve"> used methods for each step in the sample preparation workflow are relatively robust, with unbiased lysis of heterogeneous community microbial cells and extraction of proteins from complex matrices. </w:t>
      </w:r>
      <w:r w:rsidR="00E66BE4">
        <w:rPr>
          <w:color w:val="000000" w:themeColor="text1"/>
        </w:rPr>
        <w:t>However</w:t>
      </w:r>
      <w:r w:rsidR="00310878" w:rsidRPr="00476931">
        <w:rPr>
          <w:color w:val="000000" w:themeColor="text1"/>
        </w:rPr>
        <w:t>, the preparation approach needs to be customized for each environmental matrix.  The key motivation for this project was to develop and optimize a robust method to extract proteinaceous biomass from complex soil matrices for proteomic interrogation by LC-MS/MS.  Specifically, the methodological approach needed to be optimized for permafrost-</w:t>
      </w:r>
      <w:r w:rsidR="00E66BE4">
        <w:rPr>
          <w:color w:val="000000" w:themeColor="text1"/>
        </w:rPr>
        <w:t xml:space="preserve">derived </w:t>
      </w:r>
      <w:r w:rsidR="00310878" w:rsidRPr="00476931">
        <w:rPr>
          <w:color w:val="000000" w:themeColor="text1"/>
        </w:rPr>
        <w:t xml:space="preserve">soil samples that are limited in microbial biomass, high in clay content, and contain co-extracted humic substances and variable amounts of moisture. </w:t>
      </w:r>
    </w:p>
    <w:p w14:paraId="4435B7FA" w14:textId="77777777" w:rsidR="00C9124F" w:rsidRPr="00476931" w:rsidRDefault="00C9124F" w:rsidP="00C9124F">
      <w:pPr>
        <w:ind w:left="0" w:firstLine="0"/>
        <w:rPr>
          <w:rFonts w:ascii="Times New Roman" w:hAnsi="Times New Roman" w:cs="Times New Roman"/>
          <w:b/>
          <w:bCs/>
          <w:color w:val="000000" w:themeColor="text1"/>
        </w:rPr>
      </w:pPr>
    </w:p>
    <w:p w14:paraId="599D952A" w14:textId="547285CC" w:rsidR="00C9124F" w:rsidRPr="00476931" w:rsidRDefault="00C9124F" w:rsidP="00C9124F">
      <w:pPr>
        <w:pStyle w:val="Heading3"/>
      </w:pPr>
      <w:bookmarkStart w:id="125" w:name="_Toc110250245"/>
      <w:bookmarkStart w:id="126" w:name="_Toc110250502"/>
      <w:bookmarkStart w:id="127" w:name="_Toc110250633"/>
      <w:r w:rsidRPr="00476931">
        <w:t>3.2.1</w:t>
      </w:r>
      <w:r w:rsidR="00275134" w:rsidRPr="00476931">
        <w:t xml:space="preserve"> </w:t>
      </w:r>
      <w:r w:rsidRPr="00476931">
        <w:t xml:space="preserve"> </w:t>
      </w:r>
      <w:r w:rsidR="00310878" w:rsidRPr="00476931">
        <w:t>Challenges with protein extraction from soil matrices</w:t>
      </w:r>
      <w:r w:rsidRPr="00476931">
        <w:t>.</w:t>
      </w:r>
      <w:bookmarkEnd w:id="125"/>
      <w:bookmarkEnd w:id="126"/>
      <w:bookmarkEnd w:id="127"/>
    </w:p>
    <w:p w14:paraId="0B4623D5" w14:textId="77777777" w:rsidR="00C9124F" w:rsidRPr="00476931" w:rsidRDefault="00C9124F" w:rsidP="00C9124F">
      <w:pPr>
        <w:rPr>
          <w:color w:val="000000" w:themeColor="text1"/>
        </w:rPr>
      </w:pPr>
    </w:p>
    <w:p w14:paraId="7943FAB8" w14:textId="50C04013" w:rsidR="00310878" w:rsidRPr="00476931" w:rsidRDefault="00310878" w:rsidP="00C9124F">
      <w:pPr>
        <w:rPr>
          <w:color w:val="000000" w:themeColor="text1"/>
        </w:rPr>
      </w:pPr>
      <w:r w:rsidRPr="00476931">
        <w:rPr>
          <w:color w:val="000000" w:themeColor="text1"/>
        </w:rPr>
        <w:t>Soils, in general, are one of the most challenging environmental matrices to sample for metaproteomics.  Soils often feature spatial distribution and heterogeneity and temporal heterogeneity</w:t>
      </w:r>
      <w:sdt>
        <w:sdtPr>
          <w:rPr>
            <w:color w:val="000000"/>
            <w:vertAlign w:val="superscript"/>
          </w:rPr>
          <w:tag w:val="MENDELEY_CITATION_v3_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"/>
          <w:id w:val="2023437774"/>
          <w:placeholder>
            <w:docPart w:val="B45FADC50A324E4486C4324FBA958C61"/>
          </w:placeholder>
        </w:sdtPr>
        <w:sdtEndPr/>
        <w:sdtContent>
          <w:r w:rsidR="003204EA" w:rsidRPr="003204EA">
            <w:rPr>
              <w:rFonts w:eastAsia="Times New Roman"/>
              <w:color w:val="000000"/>
              <w:vertAlign w:val="superscript"/>
            </w:rPr>
            <w:t>113</w:t>
          </w:r>
        </w:sdtContent>
      </w:sdt>
      <w:r w:rsidRPr="00476931">
        <w:rPr>
          <w:color w:val="000000" w:themeColor="text1"/>
        </w:rPr>
        <w:t xml:space="preserve">, which makes selecting representative and replicative samples difficult, especially for some of the questions addressed regarding fundamental soil biology. In addition, many soil types characteristically have very </w:t>
      </w:r>
      <w:r w:rsidRPr="00476931">
        <w:rPr>
          <w:color w:val="000000" w:themeColor="text1"/>
        </w:rPr>
        <w:lastRenderedPageBreak/>
        <w:t>high microbial diversity, with upwards of thousands of species of bacteria, archaea, and fungi identified in a single gram of soil</w:t>
      </w:r>
      <w:sdt>
        <w:sdtPr>
          <w:rPr>
            <w:color w:val="000000"/>
            <w:vertAlign w:val="superscript"/>
          </w:rPr>
          <w:tag w:val="MENDELEY_CITATION_v3_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"/>
          <w:id w:val="-498665350"/>
          <w:placeholder>
            <w:docPart w:val="B45FADC50A324E4486C4324FBA958C61"/>
          </w:placeholder>
        </w:sdtPr>
        <w:sdtEndPr/>
        <w:sdtContent>
          <w:r w:rsidR="003204EA" w:rsidRPr="003204EA">
            <w:rPr>
              <w:rFonts w:eastAsia="Times New Roman"/>
              <w:color w:val="000000"/>
              <w:vertAlign w:val="superscript"/>
            </w:rPr>
            <w:t>28</w:t>
          </w:r>
        </w:sdtContent>
      </w:sdt>
      <w:r w:rsidRPr="00476931">
        <w:rPr>
          <w:color w:val="000000" w:themeColor="text1"/>
        </w:rPr>
        <w:t xml:space="preserve">.  In many cases, most microbes are on the edge of life, persisting in dormant or sporulated states, with only a few members dominating at a particular point in time.   While there is a high diversity of microbes in the soil, the microbial biomass is often low.  Therefore, the abundance of microbes and proteins that can be extracted from the soil is typically low compared to other environmental matrices. </w:t>
      </w:r>
    </w:p>
    <w:p w14:paraId="3FF66340" w14:textId="01D7EB73" w:rsidR="00310878" w:rsidRPr="00476931" w:rsidRDefault="00310878" w:rsidP="00C9124F">
      <w:pPr>
        <w:rPr>
          <w:color w:val="000000" w:themeColor="text1"/>
        </w:rPr>
      </w:pPr>
      <w:r w:rsidRPr="00476931">
        <w:rPr>
          <w:color w:val="000000" w:themeColor="text1"/>
        </w:rPr>
        <w:t>The composition and physical characteristics of the soil matrix significantly impact protein extraction efficiency.  The presence and amount of organic matter and clay minerals, and the pH of the soil have been previously shown to be the key factors influencing the recovery of proteins from different soil types as they all affect the adsorption of protein to soil particles and the ease of extraction</w:t>
      </w:r>
      <w:sdt>
        <w:sdtPr>
          <w:rPr>
            <w:color w:val="000000"/>
            <w:vertAlign w:val="superscript"/>
          </w:rPr>
          <w:tag w:val="MENDELEY_CITATION_v3_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"/>
          <w:id w:val="1180705012"/>
          <w:placeholder>
            <w:docPart w:val="B45FADC50A324E4486C4324FBA958C61"/>
          </w:placeholder>
        </w:sdtPr>
        <w:sdtEndPr/>
        <w:sdtContent>
          <w:r w:rsidR="003204EA" w:rsidRPr="003204EA">
            <w:rPr>
              <w:rFonts w:eastAsia="Times New Roman"/>
              <w:color w:val="000000"/>
              <w:vertAlign w:val="superscript"/>
            </w:rPr>
            <w:t>114</w:t>
          </w:r>
        </w:sdtContent>
      </w:sdt>
      <w:r w:rsidRPr="00476931">
        <w:rPr>
          <w:color w:val="000000" w:themeColor="text1"/>
        </w:rPr>
        <w:t xml:space="preserve">.  Humic substances are heterogeneous organic matter </w:t>
      </w:r>
      <w:r w:rsidR="00446378">
        <w:rPr>
          <w:color w:val="000000" w:themeColor="text1"/>
        </w:rPr>
        <w:t xml:space="preserve">that are products of </w:t>
      </w:r>
      <w:r w:rsidR="00446378" w:rsidRPr="00476931">
        <w:rPr>
          <w:color w:val="000000" w:themeColor="text1"/>
        </w:rPr>
        <w:t xml:space="preserve"> </w:t>
      </w:r>
      <w:r w:rsidRPr="00476931">
        <w:rPr>
          <w:color w:val="000000" w:themeColor="text1"/>
        </w:rPr>
        <w:t xml:space="preserve">microbial metabolism. </w:t>
      </w:r>
      <w:r w:rsidR="00446378">
        <w:rPr>
          <w:color w:val="000000" w:themeColor="text1"/>
        </w:rPr>
        <w:t>Humic substance</w:t>
      </w:r>
      <w:r w:rsidR="005759F7">
        <w:rPr>
          <w:color w:val="000000" w:themeColor="text1"/>
        </w:rPr>
        <w:t>s</w:t>
      </w:r>
      <w:r w:rsidR="00446378" w:rsidRPr="00476931">
        <w:rPr>
          <w:color w:val="000000" w:themeColor="text1"/>
        </w:rPr>
        <w:t xml:space="preserve"> </w:t>
      </w:r>
      <w:r w:rsidRPr="00476931">
        <w:rPr>
          <w:color w:val="000000" w:themeColor="text1"/>
        </w:rPr>
        <w:t xml:space="preserve">consist of </w:t>
      </w:r>
      <w:r w:rsidR="005759F7">
        <w:rPr>
          <w:color w:val="000000" w:themeColor="text1"/>
        </w:rPr>
        <w:t>a variety of</w:t>
      </w:r>
      <w:r w:rsidRPr="00476931">
        <w:rPr>
          <w:color w:val="000000" w:themeColor="text1"/>
        </w:rPr>
        <w:t xml:space="preserve"> aromatic and aliphatic compounds </w:t>
      </w:r>
      <w:r w:rsidR="0079659F">
        <w:rPr>
          <w:color w:val="000000" w:themeColor="text1"/>
        </w:rPr>
        <w:t xml:space="preserve">that form </w:t>
      </w:r>
      <w:r w:rsidRPr="00476931">
        <w:rPr>
          <w:color w:val="000000" w:themeColor="text1"/>
        </w:rPr>
        <w:t>a complex array of </w:t>
      </w:r>
      <w:r w:rsidR="0079659F">
        <w:rPr>
          <w:color w:val="000000" w:themeColor="text1"/>
        </w:rPr>
        <w:t xml:space="preserve">structures with different </w:t>
      </w:r>
      <w:r w:rsidRPr="00476931">
        <w:rPr>
          <w:color w:val="000000" w:themeColor="text1"/>
        </w:rPr>
        <w:t>molecular sizes</w:t>
      </w:r>
      <w:r w:rsidR="00C8387F">
        <w:rPr>
          <w:color w:val="000000" w:themeColor="text1"/>
        </w:rPr>
        <w:t xml:space="preserve"> </w:t>
      </w:r>
      <w:r w:rsidRPr="00476931">
        <w:rPr>
          <w:color w:val="000000" w:themeColor="text1"/>
        </w:rPr>
        <w:t>that can be measured by the mass spectrometer along with any proteins if they are present in the sample. Humic substances are produced through biotic–abiotic transformations of postmortem plant, animal, and microbial debris</w:t>
      </w:r>
      <w:sdt>
        <w:sdtPr>
          <w:rPr>
            <w:color w:val="000000"/>
            <w:vertAlign w:val="superscript"/>
          </w:rPr>
          <w:tag w:val="MENDELEY_CITATION_v3_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"/>
          <w:id w:val="1661268820"/>
          <w:placeholder>
            <w:docPart w:val="B45FADC50A324E4486C4324FBA958C61"/>
          </w:placeholder>
        </w:sdtPr>
        <w:sdtEndPr/>
        <w:sdtContent>
          <w:r w:rsidR="003204EA" w:rsidRPr="003204EA">
            <w:rPr>
              <w:rFonts w:eastAsia="Times New Roman"/>
              <w:color w:val="000000"/>
              <w:vertAlign w:val="superscript"/>
            </w:rPr>
            <w:t>115</w:t>
          </w:r>
        </w:sdtContent>
      </w:sdt>
      <w:r w:rsidRPr="00476931">
        <w:rPr>
          <w:color w:val="000000" w:themeColor="text1"/>
        </w:rPr>
        <w:t>. Humic substances are divided into three fractions that can be separated by differential solubility</w:t>
      </w:r>
      <w:r w:rsidR="0079544A">
        <w:rPr>
          <w:color w:val="000000" w:themeColor="text1"/>
        </w:rPr>
        <w:t xml:space="preserve">, including </w:t>
      </w:r>
      <w:proofErr w:type="spellStart"/>
      <w:r w:rsidR="0079544A">
        <w:rPr>
          <w:color w:val="000000" w:themeColor="text1"/>
        </w:rPr>
        <w:t>humin</w:t>
      </w:r>
      <w:proofErr w:type="spellEnd"/>
      <w:r w:rsidR="00422531">
        <w:rPr>
          <w:color w:val="000000" w:themeColor="text1"/>
        </w:rPr>
        <w:t>,</w:t>
      </w:r>
      <w:r w:rsidR="0079544A">
        <w:rPr>
          <w:color w:val="000000" w:themeColor="text1"/>
        </w:rPr>
        <w:t xml:space="preserve"> fulvic acids, and humic acids</w:t>
      </w:r>
      <w:r w:rsidRPr="00476931">
        <w:rPr>
          <w:color w:val="000000" w:themeColor="text1"/>
        </w:rPr>
        <w:t xml:space="preserve">. </w:t>
      </w:r>
      <w:r w:rsidR="00422531">
        <w:rPr>
          <w:color w:val="000000" w:themeColor="text1"/>
        </w:rPr>
        <w:t xml:space="preserve">The </w:t>
      </w:r>
      <w:proofErr w:type="spellStart"/>
      <w:r w:rsidR="00422531">
        <w:rPr>
          <w:color w:val="000000" w:themeColor="text1"/>
        </w:rPr>
        <w:t>h</w:t>
      </w:r>
      <w:r w:rsidRPr="00476931">
        <w:rPr>
          <w:color w:val="000000" w:themeColor="text1"/>
        </w:rPr>
        <w:t>umin</w:t>
      </w:r>
      <w:proofErr w:type="spellEnd"/>
      <w:r w:rsidR="00422531">
        <w:rPr>
          <w:color w:val="000000" w:themeColor="text1"/>
        </w:rPr>
        <w:t xml:space="preserve"> fraction</w:t>
      </w:r>
      <w:r w:rsidRPr="00476931">
        <w:rPr>
          <w:color w:val="000000" w:themeColor="text1"/>
        </w:rPr>
        <w:t xml:space="preserve"> </w:t>
      </w:r>
      <w:r w:rsidR="00422531">
        <w:rPr>
          <w:color w:val="000000" w:themeColor="text1"/>
        </w:rPr>
        <w:t>is</w:t>
      </w:r>
      <w:r w:rsidR="00410F08">
        <w:rPr>
          <w:color w:val="000000" w:themeColor="text1"/>
        </w:rPr>
        <w:t xml:space="preserve"> insoluble in both</w:t>
      </w:r>
      <w:r w:rsidRPr="00476931">
        <w:rPr>
          <w:color w:val="000000" w:themeColor="text1"/>
        </w:rPr>
        <w:t xml:space="preserve"> alkali </w:t>
      </w:r>
      <w:proofErr w:type="gramStart"/>
      <w:r w:rsidRPr="00476931">
        <w:rPr>
          <w:color w:val="000000" w:themeColor="text1"/>
        </w:rPr>
        <w:t>or</w:t>
      </w:r>
      <w:proofErr w:type="gramEnd"/>
      <w:r w:rsidRPr="00476931">
        <w:rPr>
          <w:color w:val="000000" w:themeColor="text1"/>
        </w:rPr>
        <w:t xml:space="preserve"> acid solvents. </w:t>
      </w:r>
      <w:r w:rsidR="00410F08">
        <w:rPr>
          <w:color w:val="000000" w:themeColor="text1"/>
        </w:rPr>
        <w:t>F</w:t>
      </w:r>
      <w:r w:rsidRPr="00476931">
        <w:rPr>
          <w:color w:val="000000" w:themeColor="text1"/>
        </w:rPr>
        <w:t>ulvic acids are soluble in a wide range of pH conditions, and humic acids are</w:t>
      </w:r>
      <w:r w:rsidR="00554063" w:rsidRPr="00476931">
        <w:rPr>
          <w:color w:val="000000" w:themeColor="text1"/>
        </w:rPr>
        <w:t xml:space="preserve"> soluble under alkali conditions</w:t>
      </w:r>
      <w:r w:rsidR="00554063">
        <w:rPr>
          <w:color w:val="000000" w:themeColor="text1"/>
        </w:rPr>
        <w:t xml:space="preserve"> but are</w:t>
      </w:r>
      <w:r w:rsidR="00554063" w:rsidRPr="00476931">
        <w:rPr>
          <w:color w:val="000000" w:themeColor="text1"/>
        </w:rPr>
        <w:t xml:space="preserve"> </w:t>
      </w:r>
      <w:r w:rsidRPr="00476931">
        <w:rPr>
          <w:color w:val="000000" w:themeColor="text1"/>
        </w:rPr>
        <w:t>insoluble in strong acids</w:t>
      </w:r>
      <w:r w:rsidR="00554063">
        <w:rPr>
          <w:color w:val="000000" w:themeColor="text1"/>
        </w:rPr>
        <w:t>.</w:t>
      </w:r>
      <w:r w:rsidRPr="00476931">
        <w:rPr>
          <w:color w:val="000000" w:themeColor="text1"/>
        </w:rPr>
        <w:t xml:space="preserve"> </w:t>
      </w:r>
      <w:r w:rsidR="00601C02">
        <w:rPr>
          <w:color w:val="000000" w:themeColor="text1"/>
        </w:rPr>
        <w:t>E</w:t>
      </w:r>
      <w:r w:rsidRPr="00476931">
        <w:rPr>
          <w:color w:val="000000" w:themeColor="text1"/>
        </w:rPr>
        <w:t>xtractable humic acids and fulvic acids are the main humic interferences that impede protein characterization</w:t>
      </w:r>
      <w:r w:rsidR="00601C02">
        <w:rPr>
          <w:color w:val="000000" w:themeColor="text1"/>
        </w:rPr>
        <w:t xml:space="preserve"> since the </w:t>
      </w:r>
      <w:proofErr w:type="spellStart"/>
      <w:r w:rsidR="00601C02">
        <w:rPr>
          <w:color w:val="000000" w:themeColor="text1"/>
        </w:rPr>
        <w:t>humi</w:t>
      </w:r>
      <w:r w:rsidR="00422531">
        <w:rPr>
          <w:color w:val="000000" w:themeColor="text1"/>
        </w:rPr>
        <w:t>n</w:t>
      </w:r>
      <w:proofErr w:type="spellEnd"/>
      <w:r w:rsidR="00601C02">
        <w:rPr>
          <w:color w:val="000000" w:themeColor="text1"/>
        </w:rPr>
        <w:t xml:space="preserve"> fraction is insoluble under a wide range of conditions</w:t>
      </w:r>
      <w:r w:rsidRPr="00476931">
        <w:rPr>
          <w:color w:val="000000" w:themeColor="text1"/>
        </w:rPr>
        <w:t xml:space="preserve">.  These humic substances </w:t>
      </w:r>
      <w:r w:rsidR="008D25C8">
        <w:rPr>
          <w:color w:val="000000" w:themeColor="text1"/>
        </w:rPr>
        <w:t>confound</w:t>
      </w:r>
      <w:r w:rsidRPr="00476931">
        <w:rPr>
          <w:color w:val="000000" w:themeColor="text1"/>
        </w:rPr>
        <w:t xml:space="preserve"> protein characterization as they interfere with all steps in the sample preparation process, including protein extraction, clean-up, and identification by LC-MS/MS.   First, many chemical methods used to enhance protein extraction, like detergents, also enhance humic and fulvic acid extraction. Proteins can become entrapped in the humic acid matrix during the sample preparation process, </w:t>
      </w:r>
      <w:r w:rsidR="008D25C8">
        <w:rPr>
          <w:color w:val="000000" w:themeColor="text1"/>
        </w:rPr>
        <w:t xml:space="preserve">thereby </w:t>
      </w:r>
      <w:r w:rsidRPr="00476931">
        <w:rPr>
          <w:color w:val="000000" w:themeColor="text1"/>
        </w:rPr>
        <w:t>protecting those proteins from proteolysis</w:t>
      </w:r>
      <w:sdt>
        <w:sdtPr>
          <w:rPr>
            <w:color w:val="000000"/>
            <w:vertAlign w:val="superscript"/>
          </w:rPr>
          <w:tag w:val="MENDELEY_CITATION_v3_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"/>
          <w:id w:val="1263035025"/>
          <w:placeholder>
            <w:docPart w:val="B45FADC50A324E4486C4324FBA958C61"/>
          </w:placeholder>
        </w:sdtPr>
        <w:sdtEndPr/>
        <w:sdtContent>
          <w:r w:rsidR="003204EA" w:rsidRPr="003204EA">
            <w:rPr>
              <w:rFonts w:eastAsia="Times New Roman"/>
              <w:color w:val="000000"/>
              <w:vertAlign w:val="superscript"/>
            </w:rPr>
            <w:t>116</w:t>
          </w:r>
        </w:sdtContent>
      </w:sdt>
      <w:r w:rsidRPr="00476931">
        <w:rPr>
          <w:color w:val="000000" w:themeColor="text1"/>
        </w:rPr>
        <w:t xml:space="preserve">. Humic acids also interfere with mass </w:t>
      </w:r>
      <w:r w:rsidRPr="00476931">
        <w:rPr>
          <w:color w:val="000000" w:themeColor="text1"/>
        </w:rPr>
        <w:lastRenderedPageBreak/>
        <w:t>spectrometry measurements. They can suppress the ionization of peptides and consist of readily ionizable low-molecular-weight compo</w:t>
      </w:r>
      <w:r w:rsidR="00F0341F">
        <w:rPr>
          <w:color w:val="000000" w:themeColor="text1"/>
        </w:rPr>
        <w:t xml:space="preserve">unds that are less than </w:t>
      </w:r>
      <w:r w:rsidRPr="00476931">
        <w:rPr>
          <w:color w:val="000000" w:themeColor="text1"/>
        </w:rPr>
        <w:t>2000 Da</w:t>
      </w:r>
      <w:r w:rsidR="00C8387F">
        <w:rPr>
          <w:color w:val="000000" w:themeColor="text1"/>
        </w:rPr>
        <w:t xml:space="preserve"> </w:t>
      </w:r>
      <w:r w:rsidR="00F0341F">
        <w:rPr>
          <w:color w:val="000000" w:themeColor="text1"/>
        </w:rPr>
        <w:t>which</w:t>
      </w:r>
      <w:r w:rsidRPr="00476931">
        <w:rPr>
          <w:color w:val="000000" w:themeColor="text1"/>
        </w:rPr>
        <w:t xml:space="preserve"> can be easily detected </w:t>
      </w:r>
      <w:r w:rsidR="00F0341F">
        <w:rPr>
          <w:color w:val="000000" w:themeColor="text1"/>
        </w:rPr>
        <w:t>by</w:t>
      </w:r>
      <w:r w:rsidR="00F0341F" w:rsidRPr="00476931">
        <w:rPr>
          <w:color w:val="000000" w:themeColor="text1"/>
        </w:rPr>
        <w:t xml:space="preserve"> </w:t>
      </w:r>
      <w:r w:rsidRPr="00476931">
        <w:rPr>
          <w:color w:val="000000" w:themeColor="text1"/>
        </w:rPr>
        <w:t>ESI mass spectrometry</w:t>
      </w:r>
      <w:sdt>
        <w:sdtPr>
          <w:rPr>
            <w:color w:val="000000"/>
            <w:vertAlign w:val="superscript"/>
          </w:rPr>
          <w:tag w:val="MENDELEY_CITATION_v3_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"/>
          <w:id w:val="279770387"/>
          <w:placeholder>
            <w:docPart w:val="DefaultPlaceholder_-1854013440"/>
          </w:placeholder>
        </w:sdtPr>
        <w:sdtEndPr/>
        <w:sdtContent>
          <w:r w:rsidR="004D4B25" w:rsidRPr="004D4B25">
            <w:rPr>
              <w:color w:val="000000"/>
              <w:vertAlign w:val="superscript"/>
            </w:rPr>
            <w:t>56</w:t>
          </w:r>
        </w:sdtContent>
      </w:sdt>
      <w:r w:rsidRPr="00476931">
        <w:rPr>
          <w:color w:val="000000" w:themeColor="text1"/>
        </w:rPr>
        <w:t xml:space="preserve">. Finally, peptide samples containing a </w:t>
      </w:r>
      <w:r w:rsidR="000526D3">
        <w:rPr>
          <w:color w:val="000000" w:themeColor="text1"/>
        </w:rPr>
        <w:t>large</w:t>
      </w:r>
      <w:r w:rsidRPr="00476931">
        <w:rPr>
          <w:color w:val="000000" w:themeColor="text1"/>
        </w:rPr>
        <w:t xml:space="preserve"> </w:t>
      </w:r>
      <w:proofErr w:type="gramStart"/>
      <w:r w:rsidRPr="00476931">
        <w:rPr>
          <w:color w:val="000000" w:themeColor="text1"/>
        </w:rPr>
        <w:t>amount</w:t>
      </w:r>
      <w:proofErr w:type="gramEnd"/>
      <w:r w:rsidRPr="00476931">
        <w:rPr>
          <w:color w:val="000000" w:themeColor="text1"/>
        </w:rPr>
        <w:t xml:space="preserve"> of humic acids are difficult to load onto LC trapping column</w:t>
      </w:r>
      <w:r w:rsidR="000942A3">
        <w:rPr>
          <w:color w:val="000000" w:themeColor="text1"/>
        </w:rPr>
        <w:t xml:space="preserve">s and </w:t>
      </w:r>
      <w:r w:rsidRPr="00476931">
        <w:rPr>
          <w:color w:val="000000" w:themeColor="text1"/>
        </w:rPr>
        <w:t xml:space="preserve">often leading to flow obstruction. </w:t>
      </w:r>
      <w:r w:rsidR="000942A3">
        <w:rPr>
          <w:color w:val="000000" w:themeColor="text1"/>
        </w:rPr>
        <w:t>Since many soil samples contain</w:t>
      </w:r>
      <w:r w:rsidRPr="00476931">
        <w:rPr>
          <w:color w:val="000000" w:themeColor="text1"/>
        </w:rPr>
        <w:t xml:space="preserve"> limited microbial biomass in some soil samples, it is often necessary to load the entire sample for a single MS to yield sufficient signal intensity in the mass spectra</w:t>
      </w:r>
      <w:r w:rsidR="000942A3">
        <w:rPr>
          <w:color w:val="000000" w:themeColor="text1"/>
        </w:rPr>
        <w:t xml:space="preserve">. Therefore, there is a high risk of column clogging and </w:t>
      </w:r>
      <w:r w:rsidRPr="00476931">
        <w:rPr>
          <w:color w:val="000000" w:themeColor="text1"/>
        </w:rPr>
        <w:t>sample loss</w:t>
      </w:r>
      <w:sdt>
        <w:sdtPr>
          <w:rPr>
            <w:color w:val="000000"/>
            <w:vertAlign w:val="superscript"/>
          </w:rPr>
          <w:tag w:val="MENDELEY_CITATION_v3_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"/>
          <w:id w:val="1192341298"/>
          <w:placeholder>
            <w:docPart w:val="B45FADC50A324E4486C4324FBA958C61"/>
          </w:placeholder>
        </w:sdtPr>
        <w:sdtEndPr/>
        <w:sdtContent>
          <w:r w:rsidR="003204EA" w:rsidRPr="003204EA">
            <w:rPr>
              <w:rFonts w:eastAsia="Times New Roman"/>
              <w:color w:val="000000"/>
              <w:vertAlign w:val="superscript"/>
            </w:rPr>
            <w:t>56</w:t>
          </w:r>
        </w:sdtContent>
      </w:sdt>
      <w:r w:rsidRPr="00476931">
        <w:rPr>
          <w:color w:val="000000" w:themeColor="text1"/>
        </w:rPr>
        <w:t xml:space="preserve">. This means we </w:t>
      </w:r>
      <w:proofErr w:type="gramStart"/>
      <w:r w:rsidRPr="00476931">
        <w:rPr>
          <w:color w:val="000000" w:themeColor="text1"/>
        </w:rPr>
        <w:t>have to</w:t>
      </w:r>
      <w:proofErr w:type="gramEnd"/>
      <w:r w:rsidRPr="00476931">
        <w:rPr>
          <w:color w:val="000000" w:themeColor="text1"/>
        </w:rPr>
        <w:t xml:space="preserve"> consider humic substances while optimizing our protocol to minimize their impact on the measurements.</w:t>
      </w:r>
    </w:p>
    <w:p w14:paraId="6A4A5235" w14:textId="7386C44A" w:rsidR="00310878" w:rsidRPr="00476931" w:rsidRDefault="00310878" w:rsidP="00C9124F">
      <w:pPr>
        <w:rPr>
          <w:color w:val="000000" w:themeColor="text1"/>
        </w:rPr>
      </w:pPr>
      <w:r w:rsidRPr="00476931">
        <w:rPr>
          <w:color w:val="000000" w:themeColor="text1"/>
        </w:rPr>
        <w:t>Clay minerals also have a significant impact on the extractability of proteins.  While direct extraction of proteins from soil has been shown to be beneficial compared to indirect extraction</w:t>
      </w:r>
      <w:sdt>
        <w:sdtPr>
          <w:rPr>
            <w:color w:val="000000"/>
            <w:vertAlign w:val="superscript"/>
          </w:rPr>
          <w:tag w:val="MENDELEY_CITATION_v3_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"/>
          <w:id w:val="1925921557"/>
          <w:placeholder>
            <w:docPart w:val="B45FADC50A324E4486C4324FBA958C61"/>
          </w:placeholder>
        </w:sdtPr>
        <w:sdtEndPr/>
        <w:sdtContent>
          <w:r w:rsidR="003204EA" w:rsidRPr="003204EA">
            <w:rPr>
              <w:rFonts w:eastAsia="Times New Roman"/>
              <w:color w:val="000000"/>
              <w:vertAlign w:val="superscript"/>
            </w:rPr>
            <w:t>113,117</w:t>
          </w:r>
        </w:sdtContent>
      </w:sdt>
      <w:r w:rsidRPr="00476931">
        <w:rPr>
          <w:color w:val="000000" w:themeColor="text1"/>
        </w:rPr>
        <w:t xml:space="preserve">, where the microbes are enriched/isolated from the soil matrix before protein extraction, direct extraction also raised additional challenges in terms of the soil mineralogy.  One of the main problems with extracting microbial proteins directly from the soil is that biomolecules, such as proteins and nucleic acids, often strongly adhere or adsorb onto clay minerals.  This process is reversible to a limited extent, but it obstructs protein extraction and purification and quantification, separation, and identification.  </w:t>
      </w:r>
      <w:r w:rsidR="00633314">
        <w:rPr>
          <w:color w:val="000000" w:themeColor="text1"/>
        </w:rPr>
        <w:t>Soil a</w:t>
      </w:r>
      <w:r w:rsidRPr="00476931">
        <w:rPr>
          <w:color w:val="000000" w:themeColor="text1"/>
        </w:rPr>
        <w:t xml:space="preserve">dsorption of proteins has implications for soil proteomics because </w:t>
      </w:r>
      <w:r w:rsidR="00633314">
        <w:rPr>
          <w:color w:val="000000" w:themeColor="text1"/>
        </w:rPr>
        <w:t>the soil matrix</w:t>
      </w:r>
      <w:r w:rsidRPr="00476931">
        <w:rPr>
          <w:color w:val="000000" w:themeColor="text1"/>
        </w:rPr>
        <w:t xml:space="preserve"> stabilizes proteins and protects them against proteolysis.</w:t>
      </w:r>
    </w:p>
    <w:p w14:paraId="4040B1CA" w14:textId="2F673F84" w:rsidR="00310878" w:rsidRPr="00476931" w:rsidRDefault="00310878" w:rsidP="00C9124F">
      <w:pPr>
        <w:rPr>
          <w:color w:val="000000" w:themeColor="text1"/>
        </w:rPr>
      </w:pPr>
      <w:r w:rsidRPr="00476931">
        <w:rPr>
          <w:color w:val="000000" w:themeColor="text1"/>
        </w:rPr>
        <w:t>Finally, additional characteristics, such as the hydration and the pH of the soil samples, need to be considered before choosing an extraction method.  If not accounted for at the start of the extraction method, the hydration level of the soil will impact the weight of the starting material and influence the overall estimation of protein recovery from the initial sample mass.  Depending on the soil type and variability of hydration levels between samples in the experiment, an additional upfront sample pre-processing step, such as lyophilization, can be added to remove water from the soil matrix with minimal impact on the microbial activity and protein structure</w:t>
      </w:r>
      <w:sdt>
        <w:sdtPr>
          <w:rPr>
            <w:color w:val="000000"/>
            <w:vertAlign w:val="superscript"/>
          </w:rPr>
          <w:tag w:val="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"/>
          <w:id w:val="140475283"/>
          <w:placeholder>
            <w:docPart w:val="B45FADC50A324E4486C4324FBA958C61"/>
          </w:placeholder>
        </w:sdtPr>
        <w:sdtEndPr/>
        <w:sdtContent>
          <w:r w:rsidR="003204EA" w:rsidRPr="003204EA">
            <w:rPr>
              <w:rFonts w:eastAsia="Times New Roman"/>
              <w:color w:val="000000"/>
              <w:vertAlign w:val="superscript"/>
            </w:rPr>
            <w:t>118,119</w:t>
          </w:r>
        </w:sdtContent>
      </w:sdt>
      <w:r w:rsidRPr="00476931">
        <w:rPr>
          <w:color w:val="000000" w:themeColor="text1"/>
        </w:rPr>
        <w:t xml:space="preserve">.  This pre-processing step is beneficial in two ways.  First, if the soil </w:t>
      </w:r>
      <w:r w:rsidRPr="00476931">
        <w:rPr>
          <w:color w:val="000000" w:themeColor="text1"/>
        </w:rPr>
        <w:lastRenderedPageBreak/>
        <w:t>matrix contains a high amount of clay, removing larger particles that do not contain much proteinaceous biomass, such as rocks and twigs, will be difficult when the soil matrix is fully saturated.  Lyophilization will enable the sifting of the samples to remove large debris.  Second, estimating the necessary amount of sample to be processed for sufficient protein extraction will be difficult using the wet weight of the soil. If there is variability in soil matrix hydration levels, pre-lyophilization of the samples will allow for dry weight measurements to estimate the necessary amount of material for protein extraction.  The dry weight estimate will ensure the same amount of material is processed per sample regardless of the initial water saturation of the soil.  Other studies have demonstrated that soil pH is an important factor in protein recovery, as pH influences the adsorption of protein to soil particles and the ease of extraction</w:t>
      </w:r>
      <w:sdt>
        <w:sdtPr>
          <w:rPr>
            <w:color w:val="000000"/>
            <w:vertAlign w:val="superscript"/>
          </w:rPr>
          <w:tag w:val="MENDELEY_CITATION_v3_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"/>
          <w:id w:val="-128246506"/>
          <w:placeholder>
            <w:docPart w:val="B45FADC50A324E4486C4324FBA958C61"/>
          </w:placeholder>
        </w:sdtPr>
        <w:sdtEndPr/>
        <w:sdtContent>
          <w:r w:rsidR="003204EA" w:rsidRPr="003204EA">
            <w:rPr>
              <w:rFonts w:eastAsia="Times New Roman"/>
              <w:color w:val="000000"/>
              <w:vertAlign w:val="superscript"/>
            </w:rPr>
            <w:t>114,120</w:t>
          </w:r>
        </w:sdtContent>
      </w:sdt>
      <w:r w:rsidRPr="00476931">
        <w:rPr>
          <w:color w:val="000000" w:themeColor="text1"/>
        </w:rPr>
        <w:t xml:space="preserve">. </w:t>
      </w:r>
    </w:p>
    <w:p w14:paraId="0CF179DD" w14:textId="06D306E0" w:rsidR="00310878" w:rsidRPr="00476931" w:rsidRDefault="00310878" w:rsidP="00C9124F">
      <w:pPr>
        <w:rPr>
          <w:color w:val="000000" w:themeColor="text1"/>
        </w:rPr>
      </w:pPr>
      <w:r w:rsidRPr="00476931">
        <w:rPr>
          <w:color w:val="000000" w:themeColor="text1"/>
        </w:rPr>
        <w:t>In soil metaproteomics, no universal extraction methodology has been established. Given the physicochemical diversity of soils, there is unlikely to be a single approach that works for all soil types.  There are two primarily used approaches to extract proteins from a soil matrix.  Indirect protein extraction is based on the enrichment of microbial cells from the environmental matrix prior to protein extraction using techniques such as density gradient centrifugation</w:t>
      </w:r>
      <w:sdt>
        <w:sdtPr>
          <w:rPr>
            <w:color w:val="000000"/>
            <w:vertAlign w:val="superscript"/>
          </w:rPr>
          <w:tag w:val="MENDELEY_CITATION_v3_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"/>
          <w:id w:val="1790853908"/>
          <w:placeholder>
            <w:docPart w:val="B45FADC50A324E4486C4324FBA958C61"/>
          </w:placeholder>
        </w:sdtPr>
        <w:sdtEndPr/>
        <w:sdtContent>
          <w:r w:rsidR="003204EA" w:rsidRPr="003204EA">
            <w:rPr>
              <w:rFonts w:eastAsia="Times New Roman"/>
              <w:color w:val="000000"/>
              <w:vertAlign w:val="superscript"/>
            </w:rPr>
            <w:t>113</w:t>
          </w:r>
        </w:sdtContent>
      </w:sdt>
      <w:r w:rsidRPr="00476931">
        <w:rPr>
          <w:color w:val="000000" w:themeColor="text1"/>
        </w:rPr>
        <w:t>. While this approach can reduce the number of proteins that bind to mineral particles or soil organic matter, it has been shown to introduce bias by selectively enriching actively growing cells</w:t>
      </w:r>
      <w:sdt>
        <w:sdtPr>
          <w:rPr>
            <w:color w:val="000000"/>
            <w:vertAlign w:val="superscript"/>
          </w:rPr>
          <w:tag w:val="MENDELEY_CITATION_v3_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"/>
          <w:id w:val="-876551139"/>
          <w:placeholder>
            <w:docPart w:val="B45FADC50A324E4486C4324FBA958C61"/>
          </w:placeholder>
        </w:sdtPr>
        <w:sdtEndPr/>
        <w:sdtContent>
          <w:r w:rsidR="003204EA" w:rsidRPr="003204EA">
            <w:rPr>
              <w:rFonts w:eastAsia="Times New Roman"/>
              <w:color w:val="000000"/>
              <w:vertAlign w:val="superscript"/>
            </w:rPr>
            <w:t>121</w:t>
          </w:r>
        </w:sdtContent>
      </w:sdt>
      <w:r w:rsidRPr="00476931">
        <w:rPr>
          <w:color w:val="000000" w:themeColor="text1"/>
        </w:rPr>
        <w:t xml:space="preserve">.   In recent years, many soil protein extraction methods for metaproteomics rely on direct extraction of the proteins from the soil matrix for unbiased extraction of proteins from all organisms present in the community </w:t>
      </w:r>
      <w:sdt>
        <w:sdtPr>
          <w:rPr>
            <w:color w:val="000000"/>
            <w:vertAlign w:val="superscript"/>
          </w:rPr>
          <w:tag w:val="MENDELEY_CITATION_v3_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"/>
          <w:id w:val="831193778"/>
          <w:placeholder>
            <w:docPart w:val="B45FADC50A324E4486C4324FBA958C61"/>
          </w:placeholder>
        </w:sdtPr>
        <w:sdtEndPr/>
        <w:sdtContent>
          <w:r w:rsidR="003204EA" w:rsidRPr="003204EA">
            <w:rPr>
              <w:rFonts w:eastAsia="Times New Roman"/>
              <w:color w:val="000000"/>
              <w:vertAlign w:val="superscript"/>
            </w:rPr>
            <w:t>28,117</w:t>
          </w:r>
        </w:sdtContent>
      </w:sdt>
      <w:r w:rsidRPr="00476931">
        <w:rPr>
          <w:color w:val="000000" w:themeColor="text1"/>
        </w:rPr>
        <w:t xml:space="preserve">.  This direct extraction approach is often completed by making a soil slurry and vortexing with extractants such as SDS or NaOH prior to mechanical disruption of the cell membranes via sonication or bead beating.  After cellular lysis, proteins are extracted and cleaned up via methods such as TCA precipitation or chloroform-methanol extraction before proteolytic digestion. There have been several methodological advancements outside of metaproteomics for the extraction of other soil components, such as DNA or chemical compounds, that may be applied to extract </w:t>
      </w:r>
      <w:r w:rsidRPr="00476931">
        <w:rPr>
          <w:color w:val="000000" w:themeColor="text1"/>
        </w:rPr>
        <w:lastRenderedPageBreak/>
        <w:t>proteins.  For example, a pressurized liquid extraction (PLE) method using a hard cap espresso machine has been applied to extract polycyclic aromatic hydrocarbons (PAHs) from soil and sediment samples</w:t>
      </w:r>
      <w:sdt>
        <w:sdtPr>
          <w:rPr>
            <w:color w:val="000000"/>
            <w:vertAlign w:val="superscript"/>
          </w:rPr>
          <w:tag w:val="MENDELEY_CITATION_v3_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"/>
          <w:id w:val="792100333"/>
          <w:placeholder>
            <w:docPart w:val="7D79B69B0F616E4A8A8F5C102537D7B7"/>
          </w:placeholder>
        </w:sdtPr>
        <w:sdtEndPr/>
        <w:sdtContent>
          <w:r w:rsidR="003204EA" w:rsidRPr="003204EA">
            <w:rPr>
              <w:rFonts w:eastAsia="Times New Roman"/>
              <w:color w:val="000000"/>
              <w:vertAlign w:val="superscript"/>
            </w:rPr>
            <w:t>122</w:t>
          </w:r>
        </w:sdtContent>
      </w:sdt>
      <w:r w:rsidRPr="00476931">
        <w:rPr>
          <w:color w:val="000000" w:themeColor="text1"/>
        </w:rPr>
        <w:t xml:space="preserve">. The introduction of heat, pressure, and upfront filtration to the extraction process may enhance protein extraction without the co-extraction of interfering compounds. The combination of lysis and extraction steps needs to be customized for each soil matrix type to ensure the best clean-up of co-extracted interfering compounds such as humic and fulvic acids.  To date, most soil protein extraction methods still have some issues with unbiased protein recovery, and there is room for improvement in the methodologies, especially for challenging soil types. </w:t>
      </w:r>
    </w:p>
    <w:p w14:paraId="26DCC0D8" w14:textId="1CD94C6B" w:rsidR="00310878" w:rsidRPr="00476931" w:rsidRDefault="00310878" w:rsidP="00C9124F">
      <w:pPr>
        <w:rPr>
          <w:color w:val="000000" w:themeColor="text1"/>
        </w:rPr>
      </w:pPr>
      <w:r w:rsidRPr="00476931">
        <w:rPr>
          <w:color w:val="000000" w:themeColor="text1"/>
        </w:rPr>
        <w:t>The primary goal of this</w:t>
      </w:r>
      <w:r w:rsidRPr="00476931" w:rsidDel="0083633B">
        <w:rPr>
          <w:color w:val="000000" w:themeColor="text1"/>
        </w:rPr>
        <w:t xml:space="preserve"> </w:t>
      </w:r>
      <w:r w:rsidRPr="00476931">
        <w:rPr>
          <w:color w:val="000000" w:themeColor="text1"/>
        </w:rPr>
        <w:t>project was dedicated to enhancing protein extraction methods for soil samples that have (1) low microbial biomass, (2) variable clay content, and (3) the presence of co-extracted humic substances.  Three components of the sample preparation process were evaluated.  First, the adaptation of the protein aggregation capture (PAC) method for protein clean-up and digestion was assessed to include an additional acid crash step to remove fulvic acids. Second, the co-extraction of interfering substances from both soil types resulting from the chemical extractant used in the extraction was assessed.  Third, vortex-based and pressure-assisted extraction methods were compared to determine the impact on protein recovery.</w:t>
      </w:r>
    </w:p>
    <w:p w14:paraId="19708755" w14:textId="77777777" w:rsidR="00C9124F" w:rsidRPr="00476931" w:rsidRDefault="00C9124F" w:rsidP="00C9124F">
      <w:pPr>
        <w:ind w:left="0" w:firstLine="0"/>
        <w:rPr>
          <w:color w:val="000000" w:themeColor="text1"/>
        </w:rPr>
      </w:pPr>
    </w:p>
    <w:p w14:paraId="7DDEE2BA" w14:textId="3E1D8B6F" w:rsidR="00310878" w:rsidRDefault="00C9124F" w:rsidP="00C9124F">
      <w:pPr>
        <w:pStyle w:val="Heading3"/>
      </w:pPr>
      <w:bookmarkStart w:id="128" w:name="_Toc110250246"/>
      <w:bookmarkStart w:id="129" w:name="_Toc110250503"/>
      <w:bookmarkStart w:id="130" w:name="_Toc110250634"/>
      <w:r w:rsidRPr="00476931">
        <w:t xml:space="preserve">3.2.2  </w:t>
      </w:r>
      <w:r w:rsidR="00310878" w:rsidRPr="00476931">
        <w:t>Results</w:t>
      </w:r>
      <w:r w:rsidR="0067780D">
        <w:t>.</w:t>
      </w:r>
      <w:bookmarkEnd w:id="128"/>
      <w:bookmarkEnd w:id="129"/>
      <w:bookmarkEnd w:id="130"/>
    </w:p>
    <w:p w14:paraId="3B7DF46D" w14:textId="77777777" w:rsidR="00235112" w:rsidRPr="00235112" w:rsidRDefault="00235112" w:rsidP="00235112"/>
    <w:p w14:paraId="6641F5A8" w14:textId="0E5E04F0" w:rsidR="00C9124F" w:rsidRPr="0067780D" w:rsidRDefault="00C9124F" w:rsidP="0067780D">
      <w:pPr>
        <w:pStyle w:val="Heading4"/>
        <w:rPr>
          <w:rStyle w:val="Heading3Char"/>
          <w:rFonts w:cs="Times New Roman (Headings CS)"/>
          <w:b w:val="0"/>
        </w:rPr>
      </w:pPr>
      <w:bookmarkStart w:id="131" w:name="_Toc110250247"/>
      <w:bookmarkStart w:id="132" w:name="_Toc110250504"/>
      <w:bookmarkStart w:id="133" w:name="_Toc110250635"/>
      <w:r w:rsidRPr="0067780D">
        <w:rPr>
          <w:rStyle w:val="Heading3Char"/>
          <w:rFonts w:cs="Times New Roman (Headings CS)"/>
          <w:b w:val="0"/>
        </w:rPr>
        <w:t xml:space="preserve">3.2.2.1  </w:t>
      </w:r>
      <w:r w:rsidR="00310878" w:rsidRPr="0067780D">
        <w:rPr>
          <w:rStyle w:val="Heading3Char"/>
          <w:rFonts w:cs="Times New Roman (Headings CS)"/>
          <w:b w:val="0"/>
        </w:rPr>
        <w:t>Adaptation of the protein aggregation capture method to remove co-extracted humic substances from soil samples.</w:t>
      </w:r>
      <w:bookmarkEnd w:id="131"/>
      <w:bookmarkEnd w:id="132"/>
      <w:bookmarkEnd w:id="133"/>
    </w:p>
    <w:p w14:paraId="63E303CD" w14:textId="77777777" w:rsidR="00C9124F" w:rsidRPr="00476931" w:rsidRDefault="00C9124F" w:rsidP="00C9124F">
      <w:pPr>
        <w:ind w:firstLine="0"/>
        <w:rPr>
          <w:rStyle w:val="Heading3Char"/>
        </w:rPr>
      </w:pPr>
    </w:p>
    <w:p w14:paraId="6AACE59D" w14:textId="18BC8421" w:rsidR="00310878" w:rsidRPr="00476931" w:rsidRDefault="00310878" w:rsidP="00C9124F">
      <w:pPr>
        <w:rPr>
          <w:b/>
          <w:bCs/>
          <w:color w:val="000000" w:themeColor="text1"/>
        </w:rPr>
      </w:pPr>
      <w:r w:rsidRPr="00476931">
        <w:rPr>
          <w:color w:val="000000" w:themeColor="text1"/>
        </w:rPr>
        <w:t xml:space="preserve">Many soils, including the permafrost-affected soils in this project, have very low microbial biomass per gram of soil, so large amounts of soil are often processed to get sufficient peptide yields for LC-MS/MS measurements. Soil components such as humic substances and small clay particles interfere with detecting peptides that are co-extracted with proteins and should be removed to the best extent possible before </w:t>
      </w:r>
      <w:r w:rsidRPr="00476931">
        <w:rPr>
          <w:color w:val="000000" w:themeColor="text1"/>
        </w:rPr>
        <w:lastRenderedPageBreak/>
        <w:t>LC-MS/MS.  The protein aggregation capture (PAC) method can be adapted for this workflow to work with substantial sample amounts (10-100</w:t>
      </w:r>
      <w:r w:rsidR="00F10142">
        <w:rPr>
          <w:color w:val="000000" w:themeColor="text1"/>
        </w:rPr>
        <w:t xml:space="preserve"> </w:t>
      </w:r>
      <w:r w:rsidRPr="00476931">
        <w:rPr>
          <w:color w:val="000000" w:themeColor="text1"/>
        </w:rPr>
        <w:t xml:space="preserve">g of soil) to increase protein yields but not significantly increase the carry-over of non-proteinaceous material. </w:t>
      </w:r>
    </w:p>
    <w:p w14:paraId="05F1B58B" w14:textId="45CDDB7A" w:rsidR="00C9124F" w:rsidRPr="00476931" w:rsidRDefault="00310878" w:rsidP="00C9124F">
      <w:pPr>
        <w:rPr>
          <w:color w:val="000000" w:themeColor="text1"/>
        </w:rPr>
      </w:pPr>
      <w:r w:rsidRPr="00476931">
        <w:rPr>
          <w:color w:val="000000" w:themeColor="text1"/>
        </w:rPr>
        <w:t>To successfully adapt the PAC protocol for soil samples, we first confirmed that co-extracted humic acids bind to the magnetic bead microparticles.    Different amounts of a commercially available humic acid standard (0, 12.5, 25, 50, 100, 200, 400</w:t>
      </w:r>
      <w:r w:rsidR="00F10142">
        <w:rPr>
          <w:color w:val="000000" w:themeColor="text1"/>
        </w:rPr>
        <w:t xml:space="preserve"> </w:t>
      </w:r>
      <w:r w:rsidRPr="00476931">
        <w:rPr>
          <w:color w:val="000000" w:themeColor="text1"/>
        </w:rPr>
        <w:t>µg) were added to 400</w:t>
      </w:r>
      <w:r w:rsidR="00F10142">
        <w:rPr>
          <w:color w:val="000000" w:themeColor="text1"/>
        </w:rPr>
        <w:t xml:space="preserve"> </w:t>
      </w:r>
      <w:r w:rsidRPr="00476931">
        <w:rPr>
          <w:color w:val="000000" w:themeColor="text1"/>
        </w:rPr>
        <w:t xml:space="preserve">µg of </w:t>
      </w:r>
      <w:r w:rsidRPr="00476931">
        <w:rPr>
          <w:i/>
          <w:iCs/>
          <w:color w:val="000000" w:themeColor="text1"/>
        </w:rPr>
        <w:t>C</w:t>
      </w:r>
      <w:r w:rsidRPr="00476931">
        <w:rPr>
          <w:color w:val="000000" w:themeColor="text1"/>
        </w:rPr>
        <w:t xml:space="preserve">. </w:t>
      </w:r>
      <w:r w:rsidRPr="00476931">
        <w:rPr>
          <w:i/>
          <w:iCs/>
          <w:color w:val="000000" w:themeColor="text1"/>
        </w:rPr>
        <w:t>autoethanogenum</w:t>
      </w:r>
      <w:r w:rsidRPr="00476931">
        <w:rPr>
          <w:color w:val="000000" w:themeColor="text1"/>
        </w:rPr>
        <w:t xml:space="preserve"> proteins and 400</w:t>
      </w:r>
      <w:r w:rsidR="00F10142">
        <w:rPr>
          <w:color w:val="000000" w:themeColor="text1"/>
        </w:rPr>
        <w:t xml:space="preserve"> </w:t>
      </w:r>
      <w:r w:rsidRPr="00476931">
        <w:rPr>
          <w:color w:val="000000" w:themeColor="text1"/>
        </w:rPr>
        <w:t xml:space="preserve">µg of magnetic beads.  Acetonitrile addition induced the immobilization of the protein/humic acid mixtures onto the magnetic beads.  After the aggregation and wash steps, the size of the resulting bead pellet was visually inspected to determine if humic acids were binding to the magnetic bead microparticles.  </w:t>
      </w:r>
      <w:r w:rsidRPr="00476931">
        <w:rPr>
          <w:b/>
          <w:bCs/>
          <w:color w:val="000000" w:themeColor="text1"/>
        </w:rPr>
        <w:t>Figure 3</w:t>
      </w:r>
      <w:r w:rsidR="005D27CC">
        <w:rPr>
          <w:b/>
          <w:bCs/>
          <w:color w:val="000000" w:themeColor="text1"/>
        </w:rPr>
        <w:t>-</w:t>
      </w:r>
      <w:r w:rsidRPr="00476931">
        <w:rPr>
          <w:b/>
          <w:bCs/>
          <w:color w:val="000000" w:themeColor="text1"/>
        </w:rPr>
        <w:t>1</w:t>
      </w:r>
      <w:r w:rsidRPr="00476931">
        <w:rPr>
          <w:color w:val="000000" w:themeColor="text1"/>
        </w:rPr>
        <w:t xml:space="preserve"> shows that the size of the bead pellets increases with increasing amounts of humic acid standard.  The bead pellet with 400</w:t>
      </w:r>
      <w:r w:rsidR="00F10142">
        <w:rPr>
          <w:color w:val="000000" w:themeColor="text1"/>
        </w:rPr>
        <w:t xml:space="preserve"> </w:t>
      </w:r>
      <w:r w:rsidRPr="00476931">
        <w:rPr>
          <w:color w:val="000000" w:themeColor="text1"/>
        </w:rPr>
        <w:t>µg of protein and 400</w:t>
      </w:r>
      <w:r w:rsidR="00F10142">
        <w:rPr>
          <w:color w:val="000000" w:themeColor="text1"/>
        </w:rPr>
        <w:t xml:space="preserve"> </w:t>
      </w:r>
      <w:r w:rsidRPr="00476931">
        <w:rPr>
          <w:color w:val="000000" w:themeColor="text1"/>
        </w:rPr>
        <w:t>µg of humic acid was ~3x larger than the bead pellet that only contained 400</w:t>
      </w:r>
      <w:r w:rsidR="00F10142">
        <w:rPr>
          <w:color w:val="000000" w:themeColor="text1"/>
        </w:rPr>
        <w:t xml:space="preserve"> </w:t>
      </w:r>
      <w:r w:rsidRPr="00476931">
        <w:rPr>
          <w:color w:val="000000" w:themeColor="text1"/>
        </w:rPr>
        <w:t xml:space="preserve">µg, confirming that humic acids will aggregate on microparticles with the introduction of high organic solvent concentrations.  </w:t>
      </w:r>
    </w:p>
    <w:p w14:paraId="471F61A5" w14:textId="7B8FB0DE" w:rsidR="009653CC" w:rsidRDefault="001510C4" w:rsidP="000505A9">
      <w:pPr>
        <w:ind w:left="168" w:firstLine="0"/>
      </w:pPr>
      <w:r w:rsidRPr="00476931">
        <w:t xml:space="preserve">Fulvic acids and humic acids can be separated based on their differential solubility.  Previous work using other protein clean-up methods has shown that </w:t>
      </w:r>
      <w:r w:rsidR="00015F62" w:rsidRPr="00476931">
        <w:t>incorporating an acidic solution during a key step in the digestion process can remove a significant fraction of these co-extracted humic substances</w:t>
      </w:r>
      <w:sdt>
        <w:sdtPr>
          <w:rPr>
            <w:color w:val="000000"/>
            <w:vertAlign w:val="superscript"/>
          </w:rPr>
          <w:tag w:val="MENDELEY_CITATION_v3_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"/>
          <w:id w:val="-1005285654"/>
          <w:placeholder>
            <w:docPart w:val="A06EB97F246BFC418BA32946025EEA9E"/>
          </w:placeholder>
        </w:sdtPr>
        <w:sdtEndPr/>
        <w:sdtContent>
          <w:r w:rsidR="003204EA" w:rsidRPr="003204EA">
            <w:rPr>
              <w:rFonts w:eastAsia="Times New Roman"/>
              <w:color w:val="000000"/>
              <w:vertAlign w:val="superscript"/>
            </w:rPr>
            <w:t>56</w:t>
          </w:r>
        </w:sdtContent>
      </w:sdt>
      <w:r w:rsidR="00015F62" w:rsidRPr="00476931">
        <w:t xml:space="preserve">.  Utilizing the knowledge that fulvic acids are soluble at a wide pH range while humic acids are insoluble at low pH, we set out to adapt the PAC protocol to remove fulvic acids from the sample by incorporating an acidified aqueous wash after the protein aggregation step.  In theory, after the addition of an acidic solution, the </w:t>
      </w:r>
      <w:proofErr w:type="gramStart"/>
      <w:r w:rsidR="00015F62" w:rsidRPr="00476931">
        <w:t>proteins</w:t>
      </w:r>
      <w:proofErr w:type="gramEnd"/>
      <w:r w:rsidR="00015F62" w:rsidRPr="00476931">
        <w:t xml:space="preserve"> and humic acids, which are insoluble at low pH, would immobilize on the magnetic bead microparticles, and the fulvic acids would remain in the solution.  The fulvic acids could then be easily removed before protein digestion. To confirm that incorporating this acidified aqueous wash does not lead to protein loss, proteins from </w:t>
      </w:r>
      <w:r w:rsidR="00015F62" w:rsidRPr="00476931">
        <w:rPr>
          <w:i/>
          <w:iCs/>
        </w:rPr>
        <w:t>C</w:t>
      </w:r>
      <w:r w:rsidR="00015F62" w:rsidRPr="00476931">
        <w:t xml:space="preserve">. </w:t>
      </w:r>
      <w:r w:rsidR="00015F62" w:rsidRPr="00476931">
        <w:rPr>
          <w:i/>
          <w:iCs/>
        </w:rPr>
        <w:t>autoethanogenum</w:t>
      </w:r>
      <w:r w:rsidR="00015F62" w:rsidRPr="00476931">
        <w:t xml:space="preserve"> cell lysates were aggregated on magnetic beads and washed with either 1% formic acid solution or LC-</w:t>
      </w:r>
      <w:r w:rsidR="000505A9" w:rsidRPr="000505A9">
        <w:t xml:space="preserve"> </w:t>
      </w:r>
      <w:r w:rsidR="000505A9" w:rsidRPr="00476931">
        <w:t>MS/MS grade H</w:t>
      </w:r>
      <w:r w:rsidR="000505A9" w:rsidRPr="00476931">
        <w:rPr>
          <w:vertAlign w:val="subscript"/>
        </w:rPr>
        <w:t>2</w:t>
      </w:r>
      <w:r w:rsidR="000505A9" w:rsidRPr="00476931">
        <w:t xml:space="preserve">O.  After washes, proteins were detached from the magnetic beads </w:t>
      </w:r>
    </w:p>
    <w:p w14:paraId="51C1126A" w14:textId="77777777" w:rsidR="00CF4D81" w:rsidRDefault="007744D0" w:rsidP="00CF4D81">
      <w:pPr>
        <w:keepNext/>
        <w:ind w:firstLine="22"/>
        <w:jc w:val="left"/>
      </w:pPr>
      <w:r w:rsidRPr="00476931">
        <w:rPr>
          <w:rFonts w:ascii="Times New Roman" w:hAnsi="Times New Roman" w:cs="Times New Roman"/>
          <w:b/>
          <w:bCs/>
          <w:noProof/>
          <w:color w:val="000000" w:themeColor="text1"/>
        </w:rPr>
        <w:lastRenderedPageBreak/>
        <w:drawing>
          <wp:inline distT="0" distB="0" distL="0" distR="0" wp14:anchorId="1F9EBD58" wp14:editId="3C71411A">
            <wp:extent cx="5219700" cy="13208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21589" cy="1321278"/>
                    </a:xfrm>
                    <a:prstGeom prst="rect">
                      <a:avLst/>
                    </a:prstGeom>
                    <a:noFill/>
                  </pic:spPr>
                </pic:pic>
              </a:graphicData>
            </a:graphic>
          </wp:inline>
        </w:drawing>
      </w:r>
    </w:p>
    <w:p w14:paraId="0394056B" w14:textId="78B263E9" w:rsidR="009653CC" w:rsidRPr="009653CC" w:rsidRDefault="009653CC" w:rsidP="009653CC">
      <w:pPr>
        <w:pStyle w:val="Caption"/>
        <w:rPr>
          <w:b w:val="0"/>
          <w:bCs/>
        </w:rPr>
      </w:pPr>
      <w:bookmarkStart w:id="134" w:name="_Toc110246927"/>
      <w:bookmarkStart w:id="135" w:name="_Toc107587359"/>
      <w:bookmarkStart w:id="136" w:name="_Toc107587932"/>
      <w:r>
        <w:t xml:space="preserve">Figure </w:t>
      </w:r>
      <w:fldSimple w:instr=" STYLEREF 1 \s ">
        <w:r w:rsidR="00AC2094">
          <w:rPr>
            <w:noProof/>
          </w:rPr>
          <w:t>3</w:t>
        </w:r>
      </w:fldSimple>
      <w:r w:rsidR="00AC2094">
        <w:noBreakHyphen/>
      </w:r>
      <w:fldSimple w:instr=" SEQ Figure \* ARABIC \s 1 ">
        <w:r w:rsidR="00AC2094">
          <w:rPr>
            <w:noProof/>
          </w:rPr>
          <w:t>1</w:t>
        </w:r>
      </w:fldSimple>
      <w:r>
        <w:t xml:space="preserve">  </w:t>
      </w:r>
      <w:r w:rsidRPr="009653CC">
        <w:t>Aggregation of proteins and humic acids on magnetic bead microparticles.</w:t>
      </w:r>
      <w:bookmarkEnd w:id="134"/>
      <w:r>
        <w:rPr>
          <w:b w:val="0"/>
          <w:bCs/>
        </w:rPr>
        <w:fldChar w:fldCharType="begin"/>
      </w:r>
      <w:r>
        <w:rPr>
          <w:b w:val="0"/>
          <w:bCs/>
        </w:rPr>
        <w:instrText xml:space="preserve"> </w:instrText>
      </w:r>
    </w:p>
    <w:p w14:paraId="0958ACA6" w14:textId="77777777" w:rsidR="009653CC" w:rsidRPr="009653CC" w:rsidRDefault="009653CC" w:rsidP="009653CC">
      <w:pPr>
        <w:pStyle w:val="Caption"/>
        <w:rPr>
          <w:b w:val="0"/>
          <w:bCs/>
        </w:rPr>
      </w:pPr>
    </w:p>
    <w:p w14:paraId="7ED7CED5" w14:textId="2B445417" w:rsidR="009653CC" w:rsidRPr="009653CC" w:rsidRDefault="009653CC" w:rsidP="009653CC">
      <w:pPr>
        <w:pStyle w:val="Caption"/>
        <w:rPr>
          <w:b w:val="0"/>
          <w:bCs/>
        </w:rPr>
      </w:pPr>
      <w:r>
        <w:rPr>
          <w:b w:val="0"/>
          <w:bCs/>
        </w:rPr>
        <w:instrText xml:space="preserve"> </w:instrText>
      </w:r>
      <w:r>
        <w:rPr>
          <w:b w:val="0"/>
          <w:bCs/>
        </w:rPr>
        <w:fldChar w:fldCharType="end"/>
      </w:r>
      <w:r w:rsidRPr="009653CC">
        <w:t xml:space="preserve">  </w:t>
      </w:r>
      <w:r w:rsidRPr="009653CC">
        <w:rPr>
          <w:b w:val="0"/>
          <w:bCs/>
        </w:rPr>
        <w:fldChar w:fldCharType="begin"/>
      </w:r>
      <w:r w:rsidRPr="009653CC">
        <w:rPr>
          <w:b w:val="0"/>
          <w:bCs/>
        </w:rPr>
        <w:instrText xml:space="preserve"> </w:instrText>
      </w:r>
    </w:p>
    <w:p w14:paraId="3826C002" w14:textId="77777777" w:rsidR="009653CC" w:rsidRPr="009653CC" w:rsidRDefault="009653CC" w:rsidP="009653CC">
      <w:pPr>
        <w:pStyle w:val="Caption"/>
        <w:rPr>
          <w:b w:val="0"/>
          <w:bCs/>
        </w:rPr>
      </w:pPr>
    </w:p>
    <w:p w14:paraId="41A0E5AB" w14:textId="77777777" w:rsidR="009653CC" w:rsidRPr="009653CC" w:rsidRDefault="009653CC" w:rsidP="009653CC">
      <w:pPr>
        <w:pStyle w:val="Caption"/>
        <w:rPr>
          <w:b w:val="0"/>
          <w:bCs/>
        </w:rPr>
      </w:pPr>
      <w:r w:rsidRPr="009653CC">
        <w:rPr>
          <w:b w:val="0"/>
          <w:bCs/>
        </w:rPr>
        <w:instrText xml:space="preserve"> </w:instrText>
      </w:r>
      <w:r w:rsidRPr="009653CC">
        <w:rPr>
          <w:b w:val="0"/>
          <w:bCs/>
        </w:rPr>
        <w:fldChar w:fldCharType="end"/>
      </w:r>
      <w:r w:rsidRPr="009653CC">
        <w:rPr>
          <w:b w:val="0"/>
          <w:bCs/>
        </w:rPr>
        <w:t>400µg of C. autoethanogenum proteins immobilized on hydrophobic magnetic beads with increasing amounts of a humic acid standard (0-400µg).  The tube on the far right (HA) is a control sample with only 400µg of humic acids (no proteins) immobilized on the beads.</w:t>
      </w:r>
    </w:p>
    <w:bookmarkEnd w:id="135"/>
    <w:bookmarkEnd w:id="136"/>
    <w:p w14:paraId="2A8BD90B" w14:textId="77777777" w:rsidR="007744D0" w:rsidRPr="00476931" w:rsidRDefault="007744D0" w:rsidP="007744D0">
      <w:pPr>
        <w:spacing w:before="1"/>
        <w:rPr>
          <w:rFonts w:ascii="Times New Roman" w:hAnsi="Times New Roman" w:cs="Times New Roman"/>
          <w:color w:val="000000" w:themeColor="text1"/>
        </w:rPr>
      </w:pPr>
      <w:r w:rsidRPr="00476931">
        <w:rPr>
          <w:rFonts w:ascii="Times New Roman" w:hAnsi="Times New Roman" w:cs="Times New Roman"/>
          <w:color w:val="000000" w:themeColor="text1"/>
        </w:rPr>
        <w:br w:type="page"/>
      </w:r>
    </w:p>
    <w:p w14:paraId="52813C58" w14:textId="77777777" w:rsidR="005D6CC5" w:rsidRDefault="005D6CC5" w:rsidP="005D6CC5">
      <w:pPr>
        <w:ind w:left="168" w:firstLine="0"/>
      </w:pPr>
      <w:r w:rsidRPr="00476931">
        <w:lastRenderedPageBreak/>
        <w:t>and quantified with a UV-Vis spectrophotometer.  No protein loss was observed with the addition of formic acid during the washing process, indicating that fulvic acids can be removed with minimal protein loss.</w:t>
      </w:r>
    </w:p>
    <w:p w14:paraId="54039841" w14:textId="77777777" w:rsidR="009653CC" w:rsidRDefault="009653CC" w:rsidP="009653CC">
      <w:r w:rsidRPr="00476931">
        <w:t xml:space="preserve">Reducing or removing humic acids is more challenging than removing fulvic acids at the protein level as they have similar characteristics to proteins, such as size and solubility in different pH ranges.  Removal of humic acids at this stage in the </w:t>
      </w:r>
    </w:p>
    <w:p w14:paraId="3B053DBE" w14:textId="799F5EBB" w:rsidR="00015F62" w:rsidRDefault="009F28DB" w:rsidP="007744D0">
      <w:pPr>
        <w:ind w:firstLine="0"/>
        <w:rPr>
          <w:color w:val="000000" w:themeColor="text1"/>
        </w:rPr>
      </w:pPr>
      <w:r w:rsidRPr="00476931">
        <w:t xml:space="preserve">sample preparation process also has the undesirable effect of protein removal.  </w:t>
      </w:r>
      <w:r w:rsidR="00001D67">
        <w:rPr>
          <w:rFonts w:ascii="Times New Roman" w:hAnsi="Times New Roman" w:cs="Times New Roman"/>
        </w:rPr>
        <w:t xml:space="preserve">However, most humic acids have larger molecular weights than peptides and remain insoluble at low pH, so filtration with a 10kDa MWCO filter after the digestion process is stopped does remove many large molecular weight humic acids from the sample without impacting peptide recovery.  </w:t>
      </w:r>
    </w:p>
    <w:p w14:paraId="6984E8D8" w14:textId="25020712" w:rsidR="00310878" w:rsidRPr="00476931" w:rsidRDefault="00310878" w:rsidP="00433114">
      <w:pPr>
        <w:ind w:left="160" w:firstLine="718"/>
        <w:rPr>
          <w:color w:val="000000" w:themeColor="text1"/>
        </w:rPr>
      </w:pPr>
      <w:r w:rsidRPr="00476931">
        <w:rPr>
          <w:color w:val="000000" w:themeColor="text1"/>
        </w:rPr>
        <w:t xml:space="preserve">To assess the efficiency of the modified PAC protocol for removing humic substances from soil samples, 15g of topsoil samples were spiked with a mixture of unlysed bacterial cells from organisms listed in </w:t>
      </w:r>
      <w:r w:rsidRPr="00476931">
        <w:rPr>
          <w:b/>
          <w:bCs/>
          <w:color w:val="000000" w:themeColor="text1"/>
        </w:rPr>
        <w:t>Table 3</w:t>
      </w:r>
      <w:r w:rsidR="009E08D4">
        <w:rPr>
          <w:b/>
          <w:bCs/>
          <w:color w:val="000000" w:themeColor="text1"/>
        </w:rPr>
        <w:t>-</w:t>
      </w:r>
      <w:r w:rsidRPr="00476931">
        <w:rPr>
          <w:b/>
          <w:bCs/>
          <w:color w:val="000000" w:themeColor="text1"/>
        </w:rPr>
        <w:t>1</w:t>
      </w:r>
      <w:r w:rsidRPr="00476931">
        <w:rPr>
          <w:color w:val="000000" w:themeColor="text1"/>
        </w:rPr>
        <w:t xml:space="preserve"> at a concentration of 1 x 10</w:t>
      </w:r>
      <w:r w:rsidRPr="00476931">
        <w:rPr>
          <w:color w:val="000000" w:themeColor="text1"/>
          <w:vertAlign w:val="superscript"/>
        </w:rPr>
        <w:t>8</w:t>
      </w:r>
      <w:r w:rsidRPr="00476931">
        <w:rPr>
          <w:color w:val="000000" w:themeColor="text1"/>
        </w:rPr>
        <w:t xml:space="preserve"> bacterial cells per gram of soil.  After vortexing and cellular lysis procedures, samples were processed by the unmodified PAC method or the modified PAC method including an acidified aqueous wash.  We assessed the impact of humic substance removal from the samples using the charge states of the measured ion</w:t>
      </w:r>
      <w:r w:rsidR="006470DC">
        <w:rPr>
          <w:color w:val="000000" w:themeColor="text1"/>
        </w:rPr>
        <w:t>s</w:t>
      </w:r>
      <w:r w:rsidRPr="00476931">
        <w:rPr>
          <w:color w:val="000000" w:themeColor="text1"/>
        </w:rPr>
        <w:t xml:space="preserve"> as a proxy for the </w:t>
      </w:r>
      <w:proofErr w:type="gramStart"/>
      <w:r w:rsidRPr="00476931">
        <w:rPr>
          <w:color w:val="000000" w:themeColor="text1"/>
        </w:rPr>
        <w:t>amount</w:t>
      </w:r>
      <w:proofErr w:type="gramEnd"/>
      <w:r w:rsidRPr="00476931">
        <w:rPr>
          <w:color w:val="000000" w:themeColor="text1"/>
        </w:rPr>
        <w:t xml:space="preserve"> of humic substances remaining in the samples at the time of LC-MS/MS measurement.  Humic substances are primarily singly charged ions, while tryptic peptides are typically doubly or triply charged</w:t>
      </w:r>
      <w:sdt>
        <w:sdtPr>
          <w:rPr>
            <w:color w:val="000000"/>
            <w:vertAlign w:val="superscript"/>
          </w:rPr>
          <w:tag w:val="MENDELEY_CITATION_v3_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"/>
          <w:id w:val="616108070"/>
          <w:placeholder>
            <w:docPart w:val="71C961156B4B084689937643ADA1E714"/>
          </w:placeholder>
        </w:sdtPr>
        <w:sdtEndPr/>
        <w:sdtContent>
          <w:r w:rsidR="003204EA" w:rsidRPr="003204EA">
            <w:rPr>
              <w:rFonts w:eastAsia="Times New Roman"/>
              <w:color w:val="000000"/>
              <w:vertAlign w:val="superscript"/>
            </w:rPr>
            <w:t>56,123</w:t>
          </w:r>
        </w:sdtContent>
      </w:sdt>
      <w:r w:rsidRPr="00476931">
        <w:rPr>
          <w:color w:val="000000" w:themeColor="text1"/>
        </w:rPr>
        <w:t xml:space="preserve">.  In addition, the LC-MS/MS </w:t>
      </w:r>
      <w:r w:rsidR="00C00138">
        <w:rPr>
          <w:color w:val="000000" w:themeColor="text1"/>
        </w:rPr>
        <w:t xml:space="preserve">charge distribution </w:t>
      </w:r>
      <w:r w:rsidRPr="00476931">
        <w:rPr>
          <w:color w:val="000000" w:themeColor="text1"/>
        </w:rPr>
        <w:t>results from a fecal sample of a gnotobiotic mouse that was colonized with bacteria isolated from the human gut and fed a high-fat diet with limited fruits and vegetables</w:t>
      </w:r>
      <w:r w:rsidR="00C00138">
        <w:rPr>
          <w:color w:val="000000" w:themeColor="text1"/>
        </w:rPr>
        <w:t xml:space="preserve"> was compared to the results from the soil samples as a</w:t>
      </w:r>
      <w:r w:rsidR="000628DF">
        <w:rPr>
          <w:color w:val="000000" w:themeColor="text1"/>
        </w:rPr>
        <w:t xml:space="preserve"> type of control</w:t>
      </w:r>
      <w:r w:rsidRPr="00476931">
        <w:rPr>
          <w:color w:val="000000" w:themeColor="text1"/>
        </w:rPr>
        <w:t xml:space="preserve">.  </w:t>
      </w:r>
      <w:r w:rsidR="00F66AF5">
        <w:rPr>
          <w:color w:val="000000" w:themeColor="text1"/>
        </w:rPr>
        <w:t xml:space="preserve">Since fecal materials are expected to have lower concentrations of humic substances compared to some soil types, the mouse fecal pellet was included as a </w:t>
      </w:r>
      <w:r w:rsidRPr="00476931">
        <w:rPr>
          <w:color w:val="000000" w:themeColor="text1"/>
        </w:rPr>
        <w:t xml:space="preserve">control sample to show the charge state distribution of precursor ions in a complex environmental sample </w:t>
      </w:r>
      <w:r w:rsidR="008E13D4">
        <w:rPr>
          <w:color w:val="000000" w:themeColor="text1"/>
        </w:rPr>
        <w:t xml:space="preserve">with </w:t>
      </w:r>
      <w:r w:rsidRPr="00476931">
        <w:rPr>
          <w:color w:val="000000" w:themeColor="text1"/>
        </w:rPr>
        <w:t xml:space="preserve">less </w:t>
      </w:r>
      <w:r w:rsidR="008E13D4">
        <w:rPr>
          <w:color w:val="000000" w:themeColor="text1"/>
        </w:rPr>
        <w:t xml:space="preserve">expected </w:t>
      </w:r>
      <w:r w:rsidRPr="00476931">
        <w:rPr>
          <w:color w:val="000000" w:themeColor="text1"/>
        </w:rPr>
        <w:t>humic substances present that was</w:t>
      </w:r>
      <w:r w:rsidR="001C1764">
        <w:rPr>
          <w:color w:val="000000" w:themeColor="text1"/>
        </w:rPr>
        <w:t xml:space="preserve"> also</w:t>
      </w:r>
      <w:r w:rsidRPr="00476931">
        <w:rPr>
          <w:color w:val="000000" w:themeColor="text1"/>
        </w:rPr>
        <w:t xml:space="preserve"> processed with the standard PAC method. </w:t>
      </w:r>
    </w:p>
    <w:p w14:paraId="06741C3B" w14:textId="68A2291A" w:rsidR="000505A9" w:rsidRDefault="00433114" w:rsidP="00433114">
      <w:pPr>
        <w:rPr>
          <w:b/>
          <w:bCs/>
        </w:rPr>
      </w:pPr>
      <w:bookmarkStart w:id="137" w:name="_Toc106869121"/>
      <w:r w:rsidRPr="00476931">
        <w:t>Comparing the distribution of charge states of the measured ions in topsoil</w:t>
      </w:r>
    </w:p>
    <w:p w14:paraId="63CB0D35" w14:textId="6D9B6F12" w:rsidR="009653CC" w:rsidRPr="004F4C84" w:rsidRDefault="009653CC" w:rsidP="009653CC">
      <w:pPr>
        <w:ind w:firstLine="22"/>
        <w:rPr>
          <w:b/>
          <w:bCs/>
        </w:rPr>
      </w:pPr>
      <w:r w:rsidRPr="004F4C84">
        <w:rPr>
          <w:b/>
          <w:bCs/>
        </w:rPr>
        <w:lastRenderedPageBreak/>
        <w:t>Table 3</w:t>
      </w:r>
      <w:r w:rsidR="00F34B06">
        <w:rPr>
          <w:b/>
          <w:bCs/>
        </w:rPr>
        <w:t>-</w:t>
      </w:r>
      <w:r w:rsidRPr="004F4C84">
        <w:rPr>
          <w:b/>
          <w:bCs/>
        </w:rPr>
        <w:fldChar w:fldCharType="begin"/>
      </w:r>
      <w:r w:rsidRPr="004F4C84">
        <w:rPr>
          <w:b/>
          <w:bCs/>
        </w:rPr>
        <w:instrText xml:space="preserve"> SEQ Table \* ARABIC \s 1 </w:instrText>
      </w:r>
      <w:r w:rsidRPr="004F4C84">
        <w:rPr>
          <w:b/>
          <w:bCs/>
        </w:rPr>
        <w:fldChar w:fldCharType="separate"/>
      </w:r>
      <w:r w:rsidRPr="004F4C84">
        <w:rPr>
          <w:b/>
          <w:bCs/>
        </w:rPr>
        <w:t>1</w:t>
      </w:r>
      <w:r w:rsidRPr="004F4C84">
        <w:rPr>
          <w:b/>
          <w:bCs/>
        </w:rPr>
        <w:fldChar w:fldCharType="end"/>
      </w:r>
      <w:r w:rsidRPr="004F4C84">
        <w:rPr>
          <w:b/>
          <w:bCs/>
        </w:rPr>
        <w:t xml:space="preserve">  Organisms used for soil spike-in experiments</w:t>
      </w:r>
      <w:bookmarkEnd w:id="137"/>
    </w:p>
    <w:p w14:paraId="7FC690E7" w14:textId="77777777" w:rsidR="009653CC" w:rsidRPr="00476931" w:rsidRDefault="009653CC" w:rsidP="009653CC">
      <w:pPr>
        <w:ind w:left="878" w:firstLine="0"/>
        <w:rPr>
          <w:color w:val="000000" w:themeColor="text1"/>
        </w:rPr>
      </w:pPr>
    </w:p>
    <w:tbl>
      <w:tblPr>
        <w:tblStyle w:val="TableGrid"/>
        <w:tblW w:w="0" w:type="auto"/>
        <w:jc w:val="center"/>
        <w:tblLook w:val="04A0" w:firstRow="1" w:lastRow="0" w:firstColumn="1" w:lastColumn="0" w:noHBand="0" w:noVBand="1"/>
      </w:tblPr>
      <w:tblGrid>
        <w:gridCol w:w="3589"/>
        <w:gridCol w:w="2102"/>
      </w:tblGrid>
      <w:tr w:rsidR="009653CC" w:rsidRPr="00476931" w14:paraId="200502B1" w14:textId="77777777" w:rsidTr="00151844">
        <w:trPr>
          <w:trHeight w:val="427"/>
          <w:jc w:val="center"/>
        </w:trPr>
        <w:tc>
          <w:tcPr>
            <w:tcW w:w="0" w:type="auto"/>
          </w:tcPr>
          <w:p w14:paraId="7FB1E846" w14:textId="77777777" w:rsidR="009653CC" w:rsidRPr="00476931" w:rsidRDefault="009653CC" w:rsidP="00151844">
            <w:pPr>
              <w:spacing w:line="360" w:lineRule="auto"/>
              <w:ind w:left="158" w:right="288"/>
              <w:jc w:val="both"/>
              <w:rPr>
                <w:rFonts w:ascii="Times New Roman" w:hAnsi="Times New Roman" w:cs="Times New Roman"/>
                <w:b/>
                <w:bCs/>
                <w:color w:val="000000" w:themeColor="text1"/>
                <w:sz w:val="24"/>
                <w:szCs w:val="24"/>
              </w:rPr>
            </w:pPr>
            <w:r w:rsidRPr="00476931">
              <w:rPr>
                <w:rFonts w:ascii="Times New Roman" w:hAnsi="Times New Roman" w:cs="Times New Roman"/>
                <w:b/>
                <w:bCs/>
                <w:color w:val="000000" w:themeColor="text1"/>
                <w:sz w:val="24"/>
                <w:szCs w:val="24"/>
              </w:rPr>
              <w:t>Organism</w:t>
            </w:r>
          </w:p>
        </w:tc>
        <w:tc>
          <w:tcPr>
            <w:tcW w:w="0" w:type="auto"/>
          </w:tcPr>
          <w:p w14:paraId="6728B718" w14:textId="77777777" w:rsidR="009653CC" w:rsidRPr="00476931" w:rsidRDefault="009653CC" w:rsidP="00151844">
            <w:pPr>
              <w:spacing w:line="360" w:lineRule="auto"/>
              <w:ind w:left="158" w:right="288"/>
              <w:jc w:val="both"/>
              <w:rPr>
                <w:rFonts w:ascii="Times New Roman" w:hAnsi="Times New Roman" w:cs="Times New Roman"/>
                <w:b/>
                <w:bCs/>
                <w:color w:val="000000" w:themeColor="text1"/>
                <w:sz w:val="24"/>
                <w:szCs w:val="24"/>
              </w:rPr>
            </w:pPr>
            <w:r w:rsidRPr="00476931">
              <w:rPr>
                <w:rFonts w:ascii="Times New Roman" w:hAnsi="Times New Roman" w:cs="Times New Roman"/>
                <w:b/>
                <w:bCs/>
                <w:color w:val="000000" w:themeColor="text1"/>
                <w:sz w:val="24"/>
                <w:szCs w:val="24"/>
              </w:rPr>
              <w:t>Gram stain</w:t>
            </w:r>
          </w:p>
        </w:tc>
      </w:tr>
      <w:tr w:rsidR="009653CC" w:rsidRPr="00476931" w14:paraId="72CAF0A5" w14:textId="77777777" w:rsidTr="00151844">
        <w:trPr>
          <w:trHeight w:val="427"/>
          <w:jc w:val="center"/>
        </w:trPr>
        <w:tc>
          <w:tcPr>
            <w:tcW w:w="0" w:type="auto"/>
          </w:tcPr>
          <w:p w14:paraId="7B44F426" w14:textId="77777777" w:rsidR="009653CC" w:rsidRPr="00476931" w:rsidRDefault="009653CC" w:rsidP="00151844">
            <w:pPr>
              <w:spacing w:line="360" w:lineRule="auto"/>
              <w:ind w:left="158" w:right="288"/>
              <w:jc w:val="center"/>
              <w:rPr>
                <w:rFonts w:ascii="Times New Roman" w:hAnsi="Times New Roman" w:cs="Times New Roman"/>
                <w:i/>
                <w:iCs/>
                <w:color w:val="000000" w:themeColor="text1"/>
                <w:sz w:val="24"/>
                <w:szCs w:val="24"/>
              </w:rPr>
            </w:pPr>
            <w:r w:rsidRPr="00476931">
              <w:rPr>
                <w:rFonts w:ascii="Times New Roman" w:hAnsi="Times New Roman" w:cs="Times New Roman"/>
                <w:i/>
                <w:iCs/>
                <w:color w:val="000000" w:themeColor="text1"/>
                <w:sz w:val="24"/>
                <w:szCs w:val="24"/>
              </w:rPr>
              <w:t>Bacteroides ovatus</w:t>
            </w:r>
          </w:p>
        </w:tc>
        <w:tc>
          <w:tcPr>
            <w:tcW w:w="0" w:type="auto"/>
          </w:tcPr>
          <w:p w14:paraId="1F574A52" w14:textId="77777777" w:rsidR="009653CC" w:rsidRPr="00476931" w:rsidRDefault="009653CC" w:rsidP="00151844">
            <w:pPr>
              <w:spacing w:line="360" w:lineRule="auto"/>
              <w:ind w:left="158" w:right="28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Gram-negative</w:t>
            </w:r>
          </w:p>
        </w:tc>
      </w:tr>
      <w:tr w:rsidR="009653CC" w:rsidRPr="00476931" w14:paraId="44CB26C9" w14:textId="77777777" w:rsidTr="00151844">
        <w:trPr>
          <w:trHeight w:val="449"/>
          <w:jc w:val="center"/>
        </w:trPr>
        <w:tc>
          <w:tcPr>
            <w:tcW w:w="0" w:type="auto"/>
          </w:tcPr>
          <w:p w14:paraId="6E7EE75E" w14:textId="77777777" w:rsidR="009653CC" w:rsidRPr="00476931" w:rsidRDefault="009653CC" w:rsidP="00151844">
            <w:pPr>
              <w:spacing w:line="360" w:lineRule="auto"/>
              <w:ind w:left="158" w:right="288"/>
              <w:jc w:val="center"/>
              <w:rPr>
                <w:rFonts w:ascii="Times New Roman" w:hAnsi="Times New Roman" w:cs="Times New Roman"/>
                <w:color w:val="000000" w:themeColor="text1"/>
                <w:sz w:val="24"/>
                <w:szCs w:val="24"/>
              </w:rPr>
            </w:pPr>
            <w:r w:rsidRPr="00476931">
              <w:rPr>
                <w:rFonts w:ascii="Times New Roman" w:hAnsi="Times New Roman" w:cs="Times New Roman"/>
                <w:i/>
                <w:iCs/>
                <w:color w:val="000000" w:themeColor="text1"/>
                <w:sz w:val="24"/>
                <w:szCs w:val="24"/>
              </w:rPr>
              <w:t>Clostridium autoethanogenum</w:t>
            </w:r>
          </w:p>
        </w:tc>
        <w:tc>
          <w:tcPr>
            <w:tcW w:w="0" w:type="auto"/>
          </w:tcPr>
          <w:p w14:paraId="157F040D" w14:textId="77777777" w:rsidR="009653CC" w:rsidRPr="00476931" w:rsidRDefault="009653CC" w:rsidP="00151844">
            <w:pPr>
              <w:spacing w:line="360" w:lineRule="auto"/>
              <w:ind w:left="158" w:right="28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Gram-positive</w:t>
            </w:r>
          </w:p>
        </w:tc>
      </w:tr>
      <w:tr w:rsidR="009653CC" w:rsidRPr="00476931" w14:paraId="00BA38AA" w14:textId="77777777" w:rsidTr="00151844">
        <w:trPr>
          <w:trHeight w:val="427"/>
          <w:jc w:val="center"/>
        </w:trPr>
        <w:tc>
          <w:tcPr>
            <w:tcW w:w="0" w:type="auto"/>
          </w:tcPr>
          <w:p w14:paraId="409BD279" w14:textId="77777777" w:rsidR="009653CC" w:rsidRPr="00476931" w:rsidRDefault="009653CC" w:rsidP="00151844">
            <w:pPr>
              <w:spacing w:line="360" w:lineRule="auto"/>
              <w:ind w:left="158" w:right="288"/>
              <w:jc w:val="center"/>
              <w:rPr>
                <w:rFonts w:ascii="Times New Roman" w:hAnsi="Times New Roman" w:cs="Times New Roman"/>
                <w:i/>
                <w:iCs/>
                <w:color w:val="000000" w:themeColor="text1"/>
                <w:sz w:val="24"/>
                <w:szCs w:val="24"/>
              </w:rPr>
            </w:pPr>
            <w:r w:rsidRPr="00476931">
              <w:rPr>
                <w:rFonts w:ascii="Times New Roman" w:hAnsi="Times New Roman" w:cs="Times New Roman"/>
                <w:i/>
                <w:iCs/>
                <w:color w:val="000000" w:themeColor="text1"/>
                <w:sz w:val="24"/>
                <w:szCs w:val="24"/>
              </w:rPr>
              <w:t>Collinsella aerofaciens</w:t>
            </w:r>
          </w:p>
        </w:tc>
        <w:tc>
          <w:tcPr>
            <w:tcW w:w="0" w:type="auto"/>
          </w:tcPr>
          <w:p w14:paraId="34E6438D" w14:textId="77777777" w:rsidR="009653CC" w:rsidRPr="00476931" w:rsidRDefault="009653CC" w:rsidP="00151844">
            <w:pPr>
              <w:spacing w:line="360" w:lineRule="auto"/>
              <w:ind w:left="158" w:right="28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Gram-positive</w:t>
            </w:r>
          </w:p>
        </w:tc>
      </w:tr>
      <w:tr w:rsidR="009653CC" w:rsidRPr="00476931" w14:paraId="6F0F2CAC" w14:textId="77777777" w:rsidTr="00151844">
        <w:trPr>
          <w:trHeight w:val="427"/>
          <w:jc w:val="center"/>
        </w:trPr>
        <w:tc>
          <w:tcPr>
            <w:tcW w:w="0" w:type="auto"/>
          </w:tcPr>
          <w:p w14:paraId="031C8D54" w14:textId="77777777" w:rsidR="009653CC" w:rsidRPr="00476931" w:rsidRDefault="009653CC" w:rsidP="00151844">
            <w:pPr>
              <w:spacing w:line="360" w:lineRule="auto"/>
              <w:ind w:left="158" w:right="288"/>
              <w:jc w:val="center"/>
              <w:rPr>
                <w:rFonts w:ascii="Times New Roman" w:hAnsi="Times New Roman" w:cs="Times New Roman"/>
                <w:color w:val="000000" w:themeColor="text1"/>
                <w:sz w:val="24"/>
                <w:szCs w:val="24"/>
              </w:rPr>
            </w:pPr>
            <w:r w:rsidRPr="00476931">
              <w:rPr>
                <w:rFonts w:ascii="Times New Roman" w:hAnsi="Times New Roman" w:cs="Times New Roman"/>
                <w:i/>
                <w:iCs/>
                <w:color w:val="000000" w:themeColor="text1"/>
                <w:sz w:val="24"/>
                <w:szCs w:val="24"/>
              </w:rPr>
              <w:t xml:space="preserve">Escherichia. coli </w:t>
            </w:r>
            <w:r w:rsidRPr="00476931">
              <w:rPr>
                <w:rFonts w:ascii="Times New Roman" w:hAnsi="Times New Roman" w:cs="Times New Roman"/>
                <w:color w:val="000000" w:themeColor="text1"/>
                <w:sz w:val="24"/>
                <w:szCs w:val="24"/>
              </w:rPr>
              <w:t>K12</w:t>
            </w:r>
          </w:p>
        </w:tc>
        <w:tc>
          <w:tcPr>
            <w:tcW w:w="0" w:type="auto"/>
          </w:tcPr>
          <w:p w14:paraId="79669280" w14:textId="77777777" w:rsidR="009653CC" w:rsidRPr="00476931" w:rsidRDefault="009653CC" w:rsidP="00151844">
            <w:pPr>
              <w:spacing w:line="360" w:lineRule="auto"/>
              <w:ind w:left="158" w:right="28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Gram-negative</w:t>
            </w:r>
          </w:p>
        </w:tc>
      </w:tr>
      <w:tr w:rsidR="009653CC" w:rsidRPr="00476931" w14:paraId="397EC6F4" w14:textId="77777777" w:rsidTr="00151844">
        <w:trPr>
          <w:trHeight w:val="427"/>
          <w:jc w:val="center"/>
        </w:trPr>
        <w:tc>
          <w:tcPr>
            <w:tcW w:w="0" w:type="auto"/>
          </w:tcPr>
          <w:p w14:paraId="3431B0DB" w14:textId="77777777" w:rsidR="009653CC" w:rsidRPr="00476931" w:rsidRDefault="009653CC" w:rsidP="00151844">
            <w:pPr>
              <w:spacing w:line="360" w:lineRule="auto"/>
              <w:ind w:left="158" w:right="288"/>
              <w:jc w:val="center"/>
              <w:rPr>
                <w:rFonts w:ascii="Times New Roman" w:hAnsi="Times New Roman" w:cs="Times New Roman"/>
                <w:i/>
                <w:iCs/>
                <w:color w:val="000000" w:themeColor="text1"/>
                <w:sz w:val="24"/>
                <w:szCs w:val="24"/>
              </w:rPr>
            </w:pPr>
            <w:r w:rsidRPr="00476931">
              <w:rPr>
                <w:rFonts w:ascii="Times New Roman" w:hAnsi="Times New Roman" w:cs="Times New Roman"/>
                <w:i/>
                <w:iCs/>
                <w:color w:val="000000" w:themeColor="text1"/>
                <w:sz w:val="24"/>
                <w:szCs w:val="24"/>
              </w:rPr>
              <w:t xml:space="preserve">Odoribacter </w:t>
            </w:r>
            <w:proofErr w:type="spellStart"/>
            <w:r w:rsidRPr="00476931">
              <w:rPr>
                <w:rFonts w:ascii="Times New Roman" w:hAnsi="Times New Roman" w:cs="Times New Roman"/>
                <w:i/>
                <w:iCs/>
                <w:color w:val="000000" w:themeColor="text1"/>
                <w:sz w:val="24"/>
                <w:szCs w:val="24"/>
              </w:rPr>
              <w:t>splanchnicus</w:t>
            </w:r>
            <w:proofErr w:type="spellEnd"/>
          </w:p>
        </w:tc>
        <w:tc>
          <w:tcPr>
            <w:tcW w:w="0" w:type="auto"/>
          </w:tcPr>
          <w:p w14:paraId="715A8A76" w14:textId="77777777" w:rsidR="009653CC" w:rsidRPr="00476931" w:rsidRDefault="009653CC" w:rsidP="00151844">
            <w:pPr>
              <w:spacing w:line="360" w:lineRule="auto"/>
              <w:ind w:left="158" w:right="28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Gram-negative</w:t>
            </w:r>
          </w:p>
        </w:tc>
      </w:tr>
    </w:tbl>
    <w:p w14:paraId="4FA362AB" w14:textId="77777777" w:rsidR="009653CC" w:rsidRDefault="009653CC" w:rsidP="009653CC">
      <w:pPr>
        <w:spacing w:before="1"/>
        <w:ind w:left="0" w:firstLine="0"/>
        <w:rPr>
          <w:color w:val="000000" w:themeColor="text1"/>
        </w:rPr>
      </w:pPr>
    </w:p>
    <w:p w14:paraId="3EA6A2EC" w14:textId="77777777" w:rsidR="009653CC" w:rsidRDefault="009653CC">
      <w:pPr>
        <w:spacing w:before="1"/>
        <w:rPr>
          <w:color w:val="000000" w:themeColor="text1"/>
        </w:rPr>
      </w:pPr>
      <w:r>
        <w:rPr>
          <w:color w:val="000000" w:themeColor="text1"/>
        </w:rPr>
        <w:br w:type="page"/>
      </w:r>
    </w:p>
    <w:p w14:paraId="63C15206" w14:textId="33C6B1DD" w:rsidR="005D6CC5" w:rsidRDefault="005D6CC5" w:rsidP="00433114">
      <w:pPr>
        <w:ind w:firstLine="0"/>
        <w:rPr>
          <w:color w:val="000000" w:themeColor="text1"/>
        </w:rPr>
      </w:pPr>
      <w:r w:rsidRPr="00476931">
        <w:rPr>
          <w:color w:val="000000" w:themeColor="text1"/>
        </w:rPr>
        <w:lastRenderedPageBreak/>
        <w:t xml:space="preserve">between the two protocols shows that adding an acidified aqueous wash to the PAC </w:t>
      </w:r>
    </w:p>
    <w:p w14:paraId="225E16C8" w14:textId="04FB3989" w:rsidR="009653CC" w:rsidRDefault="00310878" w:rsidP="009653CC">
      <w:pPr>
        <w:ind w:firstLine="0"/>
        <w:rPr>
          <w:color w:val="000000" w:themeColor="text1"/>
        </w:rPr>
      </w:pPr>
      <w:r w:rsidRPr="00476931">
        <w:rPr>
          <w:color w:val="000000" w:themeColor="text1"/>
        </w:rPr>
        <w:t xml:space="preserve">protocol reduces the number of ions that couldn’t be assigned a charge state and the number of singly charged ions </w:t>
      </w:r>
      <w:r w:rsidRPr="00476931">
        <w:rPr>
          <w:b/>
          <w:bCs/>
          <w:color w:val="000000" w:themeColor="text1"/>
        </w:rPr>
        <w:t>(Figure 3</w:t>
      </w:r>
      <w:r w:rsidR="009E08D4">
        <w:rPr>
          <w:b/>
          <w:bCs/>
          <w:color w:val="000000" w:themeColor="text1"/>
        </w:rPr>
        <w:t>-</w:t>
      </w:r>
      <w:r w:rsidRPr="00476931">
        <w:rPr>
          <w:b/>
          <w:bCs/>
          <w:color w:val="000000" w:themeColor="text1"/>
        </w:rPr>
        <w:t>2).</w:t>
      </w:r>
      <w:r w:rsidRPr="00476931">
        <w:rPr>
          <w:color w:val="000000" w:themeColor="text1"/>
        </w:rPr>
        <w:t xml:space="preserve">  The percentage of singly charged precursor ions decreased by 9% with the addition of an acid wash, and the number of precursor ions that could not be assigned a charge was also reduced by 14%.  At the same time, the percent of doubly or triply charged ions, which are the typical charge </w:t>
      </w:r>
      <w:r w:rsidR="009653CC" w:rsidRPr="00476931">
        <w:rPr>
          <w:color w:val="000000" w:themeColor="text1"/>
        </w:rPr>
        <w:t>states of peptide ions, increased by 23% with the addition of the acidified aqueous wash.  This increase in peptide-like precursor ion charge states is reflected in the peptide identifications from the database searches of the five organisms spiked into the sample.  There were 130 peptides identified in the sample with an additional acidified aqueous wash compared to only two peptides identified in the soil sample prepared with the unmodified PAC method.  These results show that adding an acidified aqueous wash didn’t reduce peptide recovery. However, there is still an increased amount of precursor ions with unassigned or single charge states compared</w:t>
      </w:r>
    </w:p>
    <w:p w14:paraId="2E56C812" w14:textId="5CB771B3" w:rsidR="009653CC" w:rsidRDefault="009653CC" w:rsidP="009653CC">
      <w:pPr>
        <w:ind w:firstLine="0"/>
      </w:pPr>
      <w:r w:rsidRPr="00476931">
        <w:t xml:space="preserve">to other environmental samples containing fewer humic substances.  Sixty-two percent of the precursor ions in the control sample were doubly or triply charged compared to 33% of ions in the acid-washed soil sample and 10% of ions in the unmodified PAC method soil sample. Due to the large percentage of unassigned and singly charged precursor ions still in the samples with the modified PAC protocol, our efforts turned to optimize the methodology to reduce the initial co-extraction of humic substances from the soil matrix </w:t>
      </w:r>
      <w:proofErr w:type="gramStart"/>
      <w:r w:rsidRPr="00476931">
        <w:t>in an attempt to</w:t>
      </w:r>
      <w:proofErr w:type="gramEnd"/>
      <w:r w:rsidRPr="00476931">
        <w:t xml:space="preserve"> increase the peptide identification rate. </w:t>
      </w:r>
    </w:p>
    <w:p w14:paraId="0491D778" w14:textId="77777777" w:rsidR="009653CC" w:rsidRDefault="009653CC" w:rsidP="009653CC">
      <w:pPr>
        <w:ind w:firstLine="0"/>
      </w:pPr>
    </w:p>
    <w:p w14:paraId="5246392C" w14:textId="77777777" w:rsidR="009653CC" w:rsidRPr="00476931" w:rsidRDefault="009653CC" w:rsidP="009653CC">
      <w:pPr>
        <w:pStyle w:val="Heading4"/>
      </w:pPr>
      <w:bookmarkStart w:id="138" w:name="_Toc110250248"/>
      <w:bookmarkStart w:id="139" w:name="_Toc110250505"/>
      <w:bookmarkStart w:id="140" w:name="_Toc110250636"/>
      <w:r w:rsidRPr="00476931">
        <w:t>3.2.2.2  Optimizing conditions for pressure-assisted protein extraction.</w:t>
      </w:r>
      <w:bookmarkEnd w:id="138"/>
      <w:bookmarkEnd w:id="139"/>
      <w:bookmarkEnd w:id="140"/>
    </w:p>
    <w:p w14:paraId="6B0C36A2" w14:textId="77777777" w:rsidR="009653CC" w:rsidRPr="00476931" w:rsidRDefault="009653CC" w:rsidP="009653CC">
      <w:pPr>
        <w:ind w:firstLine="0"/>
        <w:rPr>
          <w:rFonts w:ascii="Times New Roman" w:hAnsi="Times New Roman" w:cs="Times New Roman"/>
          <w:color w:val="000000" w:themeColor="text1"/>
        </w:rPr>
      </w:pPr>
    </w:p>
    <w:p w14:paraId="0363BA07" w14:textId="77777777" w:rsidR="002B30B8" w:rsidRDefault="009653CC" w:rsidP="002B30B8">
      <w:pPr>
        <w:ind w:firstLine="0"/>
      </w:pPr>
      <w:r w:rsidRPr="00476931">
        <w:rPr>
          <w:rFonts w:ascii="Times New Roman" w:hAnsi="Times New Roman" w:cs="Times New Roman"/>
          <w:color w:val="000000" w:themeColor="text1"/>
        </w:rPr>
        <w:t>To increase protein extraction efficiency, we set out to adapt the espresso machine for a modified low-cost pressurized liquid extraction (PLE) method to extract proteins from soils.  Typical PLE operate at elevated temperature (25–200°C) and pressure (500–3000 psi)</w:t>
      </w:r>
      <w:sdt>
        <w:sdtPr>
          <w:rPr>
            <w:rFonts w:ascii="Times New Roman" w:hAnsi="Times New Roman" w:cs="Times New Roman"/>
            <w:color w:val="000000"/>
            <w:vertAlign w:val="superscript"/>
          </w:rPr>
          <w:tag w:val="MENDELEY_CITATION_v3_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"/>
          <w:id w:val="408735353"/>
          <w:placeholder>
            <w:docPart w:val="AE6BDD6037B83B4E986178F6D1D6A8F2"/>
          </w:placeholder>
        </w:sdtPr>
        <w:sdtEndPr/>
        <w:sdtContent>
          <w:r w:rsidR="003204EA" w:rsidRPr="003204EA">
            <w:rPr>
              <w:rFonts w:eastAsia="Times New Roman"/>
              <w:color w:val="000000"/>
              <w:vertAlign w:val="superscript"/>
            </w:rPr>
            <w:t>124</w:t>
          </w:r>
        </w:sdtContent>
      </w:sdt>
      <w:r w:rsidRPr="00476931">
        <w:rPr>
          <w:rFonts w:ascii="Times New Roman" w:hAnsi="Times New Roman" w:cs="Times New Roman"/>
          <w:color w:val="000000" w:themeColor="text1"/>
        </w:rPr>
        <w:t>.  Espresso machines operate at temperatures of 80°C and up to 200</w:t>
      </w:r>
      <w:r>
        <w:rPr>
          <w:rFonts w:ascii="Times New Roman" w:hAnsi="Times New Roman" w:cs="Times New Roman"/>
          <w:color w:val="000000" w:themeColor="text1"/>
        </w:rPr>
        <w:t xml:space="preserve"> </w:t>
      </w:r>
      <w:r w:rsidRPr="00476931">
        <w:rPr>
          <w:rFonts w:ascii="Times New Roman" w:hAnsi="Times New Roman" w:cs="Times New Roman"/>
          <w:color w:val="000000" w:themeColor="text1"/>
        </w:rPr>
        <w:t xml:space="preserve">psi, adding both a heat and pressure element to the extraction process compared to </w:t>
      </w:r>
      <w:r w:rsidR="00433114" w:rsidRPr="00433114">
        <w:t>traditional vortex-based protein extraction methods. In addition, the additional</w:t>
      </w:r>
    </w:p>
    <w:p w14:paraId="13D6A5AB" w14:textId="23E44B34" w:rsidR="009653CC" w:rsidRDefault="009653CC" w:rsidP="002B30B8">
      <w:pPr>
        <w:ind w:firstLine="0"/>
      </w:pPr>
      <w:r w:rsidRPr="00476931">
        <w:rPr>
          <w:rFonts w:ascii="Times New Roman" w:hAnsi="Times New Roman" w:cs="Times New Roman"/>
          <w:noProof/>
          <w:color w:val="000000" w:themeColor="text1"/>
        </w:rPr>
        <w:lastRenderedPageBreak/>
        <w:drawing>
          <wp:inline distT="0" distB="0" distL="0" distR="0" wp14:anchorId="75C6F649" wp14:editId="6CE34A86">
            <wp:extent cx="4351865" cy="3263900"/>
            <wp:effectExtent l="0" t="0" r="4445" b="0"/>
            <wp:docPr id="15"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extLst>
                        <a:ext uri="{96DAC541-7B7A-43D3-8B79-37D633B846F1}">
                          <asvg:svgBlip xmlns:asvg="http://schemas.microsoft.com/office/drawing/2016/SVG/main" r:embed="rId37"/>
                        </a:ext>
                      </a:extLst>
                    </a:blip>
                    <a:srcRect l="4167" t="5865" r="50694" b="33951"/>
                    <a:stretch/>
                  </pic:blipFill>
                  <pic:spPr bwMode="auto">
                    <a:xfrm>
                      <a:off x="0" y="0"/>
                      <a:ext cx="4381645" cy="3286235"/>
                    </a:xfrm>
                    <a:prstGeom prst="rect">
                      <a:avLst/>
                    </a:prstGeom>
                    <a:ln>
                      <a:noFill/>
                    </a:ln>
                    <a:extLst>
                      <a:ext uri="{53640926-AAD7-44D8-BBD7-CCE9431645EC}">
                        <a14:shadowObscured xmlns:a14="http://schemas.microsoft.com/office/drawing/2010/main"/>
                      </a:ext>
                    </a:extLst>
                  </pic:spPr>
                </pic:pic>
              </a:graphicData>
            </a:graphic>
          </wp:inline>
        </w:drawing>
      </w:r>
    </w:p>
    <w:p w14:paraId="6FADBB0B" w14:textId="16F9258B" w:rsidR="009653CC" w:rsidRDefault="009653CC" w:rsidP="009653CC">
      <w:pPr>
        <w:pStyle w:val="Caption"/>
      </w:pPr>
      <w:bookmarkStart w:id="141" w:name="_Toc110246928"/>
      <w:r>
        <w:t xml:space="preserve">Figure </w:t>
      </w:r>
      <w:fldSimple w:instr=" STYLEREF 1 \s ">
        <w:r w:rsidR="00AC2094">
          <w:rPr>
            <w:noProof/>
          </w:rPr>
          <w:t>3</w:t>
        </w:r>
      </w:fldSimple>
      <w:r w:rsidR="00AC2094">
        <w:noBreakHyphen/>
      </w:r>
      <w:fldSimple w:instr=" SEQ Figure \* ARABIC \s 1 ">
        <w:r w:rsidR="00AC2094">
          <w:rPr>
            <w:noProof/>
          </w:rPr>
          <w:t>2</w:t>
        </w:r>
      </w:fldSimple>
      <w:r>
        <w:t xml:space="preserve">  </w:t>
      </w:r>
      <w:r w:rsidRPr="009653CC">
        <w:t>Charge state distribution of precursor ions detected by LC-MS/MS.</w:t>
      </w:r>
      <w:bookmarkEnd w:id="141"/>
      <w:r>
        <w:fldChar w:fldCharType="begin"/>
      </w:r>
      <w:r>
        <w:instrText xml:space="preserve"> </w:instrText>
      </w:r>
    </w:p>
    <w:p w14:paraId="1395B672" w14:textId="77777777" w:rsidR="009653CC" w:rsidRDefault="009653CC" w:rsidP="009653CC">
      <w:pPr>
        <w:pStyle w:val="Caption"/>
      </w:pPr>
    </w:p>
    <w:p w14:paraId="2A6EC11B" w14:textId="160FE2AC" w:rsidR="009653CC" w:rsidRPr="009653CC" w:rsidRDefault="009653CC" w:rsidP="009653CC">
      <w:pPr>
        <w:pStyle w:val="Caption"/>
      </w:pPr>
      <w:r>
        <w:instrText xml:space="preserve"> </w:instrText>
      </w:r>
      <w:r>
        <w:fldChar w:fldCharType="end"/>
      </w:r>
      <w:r w:rsidRPr="009653CC">
        <w:fldChar w:fldCharType="begin"/>
      </w:r>
      <w:r w:rsidRPr="009653CC">
        <w:instrText xml:space="preserve"> </w:instrText>
      </w:r>
    </w:p>
    <w:p w14:paraId="75F30425" w14:textId="77777777" w:rsidR="009653CC" w:rsidRPr="009653CC" w:rsidRDefault="009653CC" w:rsidP="009653CC">
      <w:pPr>
        <w:pStyle w:val="Caption"/>
      </w:pPr>
    </w:p>
    <w:p w14:paraId="06F2E965" w14:textId="77777777" w:rsidR="009653CC" w:rsidRPr="009653CC" w:rsidRDefault="009653CC" w:rsidP="009653CC">
      <w:pPr>
        <w:pStyle w:val="Caption"/>
        <w:rPr>
          <w:b w:val="0"/>
          <w:bCs/>
        </w:rPr>
      </w:pPr>
      <w:r w:rsidRPr="009653CC">
        <w:instrText xml:space="preserve"> </w:instrText>
      </w:r>
      <w:r w:rsidRPr="009653CC">
        <w:fldChar w:fldCharType="end"/>
      </w:r>
      <w:r w:rsidRPr="009653CC">
        <w:t xml:space="preserve">  </w:t>
      </w:r>
      <w:r w:rsidRPr="009653CC">
        <w:rPr>
          <w:b w:val="0"/>
          <w:bCs/>
        </w:rPr>
        <w:fldChar w:fldCharType="begin"/>
      </w:r>
      <w:r w:rsidRPr="009653CC">
        <w:rPr>
          <w:b w:val="0"/>
          <w:bCs/>
        </w:rPr>
        <w:instrText xml:space="preserve"> </w:instrText>
      </w:r>
    </w:p>
    <w:p w14:paraId="2FF0752D" w14:textId="77777777" w:rsidR="009653CC" w:rsidRPr="009653CC" w:rsidRDefault="009653CC" w:rsidP="009653CC">
      <w:pPr>
        <w:pStyle w:val="Caption"/>
        <w:rPr>
          <w:b w:val="0"/>
          <w:bCs/>
        </w:rPr>
      </w:pPr>
    </w:p>
    <w:p w14:paraId="36CBFCA4" w14:textId="77777777" w:rsidR="009653CC" w:rsidRPr="009653CC" w:rsidRDefault="009653CC" w:rsidP="009653CC">
      <w:pPr>
        <w:pStyle w:val="Caption"/>
        <w:rPr>
          <w:b w:val="0"/>
          <w:bCs/>
        </w:rPr>
      </w:pPr>
      <w:r w:rsidRPr="009653CC">
        <w:rPr>
          <w:b w:val="0"/>
          <w:bCs/>
        </w:rPr>
        <w:instrText xml:space="preserve"> </w:instrText>
      </w:r>
      <w:r w:rsidRPr="009653CC">
        <w:rPr>
          <w:b w:val="0"/>
          <w:bCs/>
        </w:rPr>
        <w:fldChar w:fldCharType="end"/>
      </w:r>
      <w:r w:rsidRPr="009653CC">
        <w:rPr>
          <w:b w:val="0"/>
          <w:bCs/>
        </w:rPr>
        <w:t>The bar chart shows the relative proportion of each charge state for all precursor ions identified in each sample. If no charge state could be determined for a precursor ion, the charge state was marked as unassigned. All precursor ions with a charge state of +6 or higher were grouped into a single group (6+).  Two topsoil samples were prepared with or without an incorporated acidified aqueous wash.  The charge state distribution of a mouse fecal sample prepared with no incorporated acidified aqueous wash is shown as a control.</w:t>
      </w:r>
    </w:p>
    <w:p w14:paraId="231F226E" w14:textId="436DE8F3" w:rsidR="00015F62" w:rsidRDefault="00015F62" w:rsidP="009653CC">
      <w:pPr>
        <w:ind w:firstLine="22"/>
        <w:rPr>
          <w:color w:val="000000" w:themeColor="text1"/>
        </w:rPr>
      </w:pPr>
      <w:r>
        <w:rPr>
          <w:color w:val="000000" w:themeColor="text1"/>
        </w:rPr>
        <w:br w:type="page"/>
      </w:r>
    </w:p>
    <w:p w14:paraId="3F25A3E3" w14:textId="31D56539" w:rsidR="005D6CC5" w:rsidRDefault="00433114" w:rsidP="005D6CC5">
      <w:pPr>
        <w:ind w:firstLine="0"/>
        <w:rPr>
          <w:color w:val="000000" w:themeColor="text1"/>
        </w:rPr>
      </w:pPr>
      <w:r w:rsidRPr="00476931">
        <w:rPr>
          <w:rFonts w:ascii="Times New Roman" w:hAnsi="Times New Roman" w:cs="Times New Roman"/>
          <w:color w:val="000000" w:themeColor="text1"/>
        </w:rPr>
        <w:lastRenderedPageBreak/>
        <w:t xml:space="preserve">filtration </w:t>
      </w:r>
      <w:r w:rsidR="005D6CC5" w:rsidRPr="00476931">
        <w:rPr>
          <w:rFonts w:ascii="Times New Roman" w:hAnsi="Times New Roman" w:cs="Times New Roman"/>
          <w:color w:val="000000" w:themeColor="text1"/>
        </w:rPr>
        <w:t>provided by the espresso machine has the benefits of reducing the amount of</w:t>
      </w:r>
    </w:p>
    <w:p w14:paraId="3CFFC159" w14:textId="2BBFC4FE" w:rsidR="00310878" w:rsidRPr="00476931" w:rsidRDefault="00310878" w:rsidP="00543158">
      <w:pPr>
        <w:ind w:firstLine="0"/>
        <w:rPr>
          <w:rFonts w:ascii="Times New Roman" w:hAnsi="Times New Roman" w:cs="Times New Roman"/>
          <w:color w:val="000000" w:themeColor="text1"/>
        </w:rPr>
      </w:pPr>
      <w:r w:rsidRPr="00476931">
        <w:rPr>
          <w:rFonts w:ascii="Times New Roman" w:hAnsi="Times New Roman" w:cs="Times New Roman"/>
          <w:color w:val="000000" w:themeColor="text1"/>
        </w:rPr>
        <w:t>soil mineral particles retained throughout the sample preparation process. To adapt the espresso machine to be compatible with protein extraction from a variety of soil types, we tested several parameters: additional filtration in the portafilter to reduce sample clogging, the ratio of sample to packing material to maintain appropriate pressure for extraction, and the wetness of the soil prior to extraction needed to prevent over-pressurization of the system.</w:t>
      </w:r>
    </w:p>
    <w:p w14:paraId="3AA93EA3" w14:textId="4C44C6B9" w:rsidR="00310878" w:rsidRPr="00476931" w:rsidRDefault="00310878" w:rsidP="00343C78">
      <w:pPr>
        <w:rPr>
          <w:rFonts w:ascii="Times New Roman" w:hAnsi="Times New Roman" w:cs="Times New Roman"/>
          <w:color w:val="000000" w:themeColor="text1"/>
        </w:rPr>
      </w:pPr>
      <w:r w:rsidRPr="00476931">
        <w:rPr>
          <w:rFonts w:ascii="Times New Roman" w:hAnsi="Times New Roman" w:cs="Times New Roman"/>
          <w:color w:val="000000" w:themeColor="text1"/>
        </w:rPr>
        <w:t>First, we looked at implementing an additional layer of filtration in the portafilter during extraction since preliminary extractions with no filter additions led to soil particles clogging the portafilter holes during the extraction process.  The clogging of the portafilter holes resulted in extraction failure due to over-pressurization of the system or inconsistent volumes extracted.  Placing a Whatman 0.2µm filter paper at the bottom of the portafilter prior to soil addition did reduce the frequency and amount of portafilter holes clogging and therefore reduced extraction failures. Still, the extraction volumes were not consistent using this type of filtration.  Lining the portafilter with a paper coffee filter prior to soil addition completely prevented portafilter clogging and yielded consistent extraction volumes of 20mL.  Paper coffee filters generally have a large pore size of around 10-20µm to allow for liquid percolation</w:t>
      </w:r>
      <w:sdt>
        <w:sdtPr>
          <w:rPr>
            <w:rFonts w:ascii="Times New Roman" w:hAnsi="Times New Roman" w:cs="Times New Roman"/>
            <w:color w:val="000000"/>
            <w:vertAlign w:val="superscript"/>
          </w:rPr>
          <w:tag w:val="MENDELEY_CITATION_v3_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"/>
          <w:id w:val="-329603009"/>
          <w:placeholder>
            <w:docPart w:val="B45FADC50A324E4486C4324FBA958C61"/>
          </w:placeholder>
        </w:sdtPr>
        <w:sdtEndPr/>
        <w:sdtContent>
          <w:r w:rsidR="003204EA" w:rsidRPr="003204EA">
            <w:rPr>
              <w:rFonts w:eastAsia="Times New Roman"/>
              <w:color w:val="000000"/>
              <w:vertAlign w:val="superscript"/>
            </w:rPr>
            <w:t>125</w:t>
          </w:r>
        </w:sdtContent>
      </w:sdt>
      <w:r w:rsidRPr="00476931">
        <w:rPr>
          <w:rFonts w:ascii="Times New Roman" w:hAnsi="Times New Roman" w:cs="Times New Roman"/>
          <w:color w:val="000000" w:themeColor="text1"/>
        </w:rPr>
        <w:t xml:space="preserve"> and do not remove most unlysed bacterial cells from the extracted sample.  In terms of clay minerals in soil samples, while this approach does not remove primary particles, which are less than 2µm in size, it is sufficient to remove larger </w:t>
      </w:r>
      <w:proofErr w:type="spellStart"/>
      <w:r w:rsidRPr="00476931">
        <w:rPr>
          <w:rFonts w:ascii="Times New Roman" w:hAnsi="Times New Roman" w:cs="Times New Roman"/>
          <w:color w:val="000000" w:themeColor="text1"/>
        </w:rPr>
        <w:t>flocculi</w:t>
      </w:r>
      <w:proofErr w:type="spellEnd"/>
      <w:r w:rsidRPr="00476931">
        <w:rPr>
          <w:rFonts w:ascii="Times New Roman" w:hAnsi="Times New Roman" w:cs="Times New Roman"/>
          <w:color w:val="000000" w:themeColor="text1"/>
        </w:rPr>
        <w:t xml:space="preserve"> (10-20µm)</w:t>
      </w:r>
      <w:r w:rsidR="008D04D6">
        <w:rPr>
          <w:rFonts w:ascii="Times New Roman" w:hAnsi="Times New Roman" w:cs="Times New Roman"/>
          <w:color w:val="000000" w:themeColor="text1"/>
        </w:rPr>
        <w:t xml:space="preserve"> and</w:t>
      </w:r>
      <w:r w:rsidRPr="00476931">
        <w:rPr>
          <w:rFonts w:ascii="Times New Roman" w:hAnsi="Times New Roman" w:cs="Times New Roman"/>
          <w:color w:val="000000" w:themeColor="text1"/>
        </w:rPr>
        <w:t xml:space="preserve"> </w:t>
      </w:r>
      <w:proofErr w:type="spellStart"/>
      <w:r w:rsidRPr="00476931">
        <w:rPr>
          <w:rFonts w:ascii="Times New Roman" w:hAnsi="Times New Roman" w:cs="Times New Roman"/>
          <w:color w:val="000000" w:themeColor="text1"/>
        </w:rPr>
        <w:t>microflocs</w:t>
      </w:r>
      <w:proofErr w:type="spellEnd"/>
      <w:r w:rsidRPr="00476931">
        <w:rPr>
          <w:rFonts w:ascii="Times New Roman" w:hAnsi="Times New Roman" w:cs="Times New Roman"/>
          <w:color w:val="000000" w:themeColor="text1"/>
        </w:rPr>
        <w:t xml:space="preserve"> (50-500µm)</w:t>
      </w:r>
      <w:sdt>
        <w:sdtPr>
          <w:rPr>
            <w:rFonts w:ascii="Times New Roman" w:hAnsi="Times New Roman" w:cs="Times New Roman"/>
            <w:color w:val="000000"/>
            <w:vertAlign w:val="superscript"/>
          </w:rPr>
          <w:tag w:val="MENDELEY_CITATION_v3_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"/>
          <w:id w:val="751471717"/>
          <w:placeholder>
            <w:docPart w:val="B45FADC50A324E4486C4324FBA958C61"/>
          </w:placeholder>
        </w:sdtPr>
        <w:sdtEndPr/>
        <w:sdtContent>
          <w:r w:rsidR="003204EA" w:rsidRPr="003204EA">
            <w:rPr>
              <w:rFonts w:eastAsia="Times New Roman"/>
              <w:color w:val="000000"/>
              <w:vertAlign w:val="superscript"/>
            </w:rPr>
            <w:t>126</w:t>
          </w:r>
        </w:sdtContent>
      </w:sdt>
      <w:r w:rsidRPr="00476931">
        <w:rPr>
          <w:rFonts w:ascii="Times New Roman" w:hAnsi="Times New Roman" w:cs="Times New Roman"/>
          <w:color w:val="000000" w:themeColor="text1"/>
        </w:rPr>
        <w:t>.  Due to these filtration characteristics and the reproducibility of expresso machine extraction using this filtration method, we decided to implement coffee paper filters into the extraction workflow.</w:t>
      </w:r>
    </w:p>
    <w:p w14:paraId="09D4BBC0" w14:textId="6F925E81" w:rsidR="00310878" w:rsidRPr="00476931" w:rsidRDefault="00310878" w:rsidP="00343C78">
      <w:pPr>
        <w:rPr>
          <w:rFonts w:ascii="Times New Roman" w:hAnsi="Times New Roman" w:cs="Times New Roman"/>
          <w:color w:val="000000" w:themeColor="text1"/>
        </w:rPr>
      </w:pPr>
      <w:r w:rsidRPr="00476931">
        <w:rPr>
          <w:rFonts w:ascii="Times New Roman" w:hAnsi="Times New Roman" w:cs="Times New Roman"/>
          <w:color w:val="000000" w:themeColor="text1"/>
        </w:rPr>
        <w:t>Second, we tested the implementation of packing material in the portafilter to maintain consistent pressure during the extraction. The back</w:t>
      </w:r>
      <w:r w:rsidR="00D71B64">
        <w:rPr>
          <w:rFonts w:ascii="Times New Roman" w:hAnsi="Times New Roman" w:cs="Times New Roman"/>
          <w:color w:val="000000" w:themeColor="text1"/>
        </w:rPr>
        <w:t xml:space="preserve"> </w:t>
      </w:r>
      <w:r w:rsidRPr="00476931">
        <w:rPr>
          <w:rFonts w:ascii="Times New Roman" w:hAnsi="Times New Roman" w:cs="Times New Roman"/>
          <w:color w:val="000000" w:themeColor="text1"/>
        </w:rPr>
        <w:t>pressure acquired by the machine during extraction is determined by the particle sizes of the material packed into the portafilter</w:t>
      </w:r>
      <w:sdt>
        <w:sdtPr>
          <w:rPr>
            <w:rFonts w:ascii="Times New Roman" w:hAnsi="Times New Roman" w:cs="Times New Roman"/>
            <w:color w:val="000000"/>
            <w:vertAlign w:val="superscript"/>
          </w:rPr>
          <w:tag w:val="MENDELEY_CITATION_v3_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"/>
          <w:id w:val="1161351268"/>
          <w:placeholder>
            <w:docPart w:val="B45FADC50A324E4486C4324FBA958C61"/>
          </w:placeholder>
        </w:sdtPr>
        <w:sdtEndPr/>
        <w:sdtContent>
          <w:r w:rsidR="003204EA" w:rsidRPr="003204EA">
            <w:rPr>
              <w:rFonts w:eastAsia="Times New Roman"/>
              <w:color w:val="000000"/>
              <w:vertAlign w:val="superscript"/>
            </w:rPr>
            <w:t>122</w:t>
          </w:r>
        </w:sdtContent>
      </w:sdt>
      <w:r w:rsidRPr="00476931">
        <w:rPr>
          <w:rFonts w:ascii="Times New Roman" w:hAnsi="Times New Roman" w:cs="Times New Roman"/>
          <w:color w:val="000000" w:themeColor="text1"/>
        </w:rPr>
        <w:t>.  Typically</w:t>
      </w:r>
      <w:r w:rsidR="00730B0A">
        <w:rPr>
          <w:rFonts w:ascii="Times New Roman" w:hAnsi="Times New Roman" w:cs="Times New Roman"/>
          <w:color w:val="000000" w:themeColor="text1"/>
        </w:rPr>
        <w:t>,</w:t>
      </w:r>
      <w:r w:rsidRPr="00476931">
        <w:rPr>
          <w:rFonts w:ascii="Times New Roman" w:hAnsi="Times New Roman" w:cs="Times New Roman"/>
          <w:color w:val="000000" w:themeColor="text1"/>
        </w:rPr>
        <w:t xml:space="preserve"> PLE methods disperse the sample with an inert packing material, such as sand, prior to placement in the extraction vessel to ensure </w:t>
      </w:r>
      <w:r w:rsidRPr="00476931">
        <w:rPr>
          <w:rFonts w:ascii="Times New Roman" w:hAnsi="Times New Roman" w:cs="Times New Roman"/>
          <w:color w:val="000000" w:themeColor="text1"/>
        </w:rPr>
        <w:lastRenderedPageBreak/>
        <w:t>better extraction solvent-matrix contact, prevent agglomeration, and reduce uneven extraction solvent flow</w:t>
      </w:r>
      <w:sdt>
        <w:sdtPr>
          <w:rPr>
            <w:rFonts w:ascii="Times New Roman" w:hAnsi="Times New Roman" w:cs="Times New Roman"/>
            <w:color w:val="000000"/>
            <w:vertAlign w:val="superscript"/>
          </w:rPr>
          <w:tag w:val="MENDELEY_CITATION_v3_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"/>
          <w:id w:val="1491058729"/>
          <w:placeholder>
            <w:docPart w:val="B45FADC50A324E4486C4324FBA958C61"/>
          </w:placeholder>
        </w:sdtPr>
        <w:sdtEndPr/>
        <w:sdtContent>
          <w:r w:rsidR="003204EA" w:rsidRPr="003204EA">
            <w:rPr>
              <w:rFonts w:eastAsia="Times New Roman"/>
              <w:color w:val="000000"/>
              <w:vertAlign w:val="superscript"/>
            </w:rPr>
            <w:t>127,128</w:t>
          </w:r>
        </w:sdtContent>
      </w:sdt>
      <w:r w:rsidRPr="00476931">
        <w:rPr>
          <w:rFonts w:ascii="Times New Roman" w:hAnsi="Times New Roman" w:cs="Times New Roman"/>
          <w:color w:val="000000" w:themeColor="text1"/>
        </w:rPr>
        <w:t xml:space="preserve">.  Four </w:t>
      </w:r>
      <w:proofErr w:type="spellStart"/>
      <w:proofErr w:type="gramStart"/>
      <w:r w:rsidRPr="00476931">
        <w:rPr>
          <w:rFonts w:ascii="Times New Roman" w:hAnsi="Times New Roman" w:cs="Times New Roman"/>
          <w:color w:val="000000" w:themeColor="text1"/>
        </w:rPr>
        <w:t>sand</w:t>
      </w:r>
      <w:proofErr w:type="gramEnd"/>
      <w:r w:rsidRPr="00476931">
        <w:rPr>
          <w:rFonts w:ascii="Times New Roman" w:hAnsi="Times New Roman" w:cs="Times New Roman"/>
          <w:color w:val="000000" w:themeColor="text1"/>
        </w:rPr>
        <w:t>:sample</w:t>
      </w:r>
      <w:proofErr w:type="spellEnd"/>
      <w:r w:rsidRPr="00476931">
        <w:rPr>
          <w:rFonts w:ascii="Times New Roman" w:hAnsi="Times New Roman" w:cs="Times New Roman"/>
          <w:color w:val="000000" w:themeColor="text1"/>
        </w:rPr>
        <w:t xml:space="preserve"> packing ratios were tested (0:1 </w:t>
      </w:r>
      <w:proofErr w:type="spellStart"/>
      <w:r w:rsidRPr="00476931">
        <w:rPr>
          <w:rFonts w:ascii="Times New Roman" w:hAnsi="Times New Roman" w:cs="Times New Roman"/>
          <w:color w:val="000000" w:themeColor="text1"/>
        </w:rPr>
        <w:t>sand:soil</w:t>
      </w:r>
      <w:proofErr w:type="spellEnd"/>
      <w:r w:rsidRPr="00476931">
        <w:rPr>
          <w:rFonts w:ascii="Times New Roman" w:hAnsi="Times New Roman" w:cs="Times New Roman"/>
          <w:color w:val="000000" w:themeColor="text1"/>
        </w:rPr>
        <w:t xml:space="preserve">, 1:1 </w:t>
      </w:r>
      <w:proofErr w:type="spellStart"/>
      <w:r w:rsidRPr="00476931">
        <w:rPr>
          <w:rFonts w:ascii="Times New Roman" w:hAnsi="Times New Roman" w:cs="Times New Roman"/>
          <w:color w:val="000000" w:themeColor="text1"/>
        </w:rPr>
        <w:t>sand:soil</w:t>
      </w:r>
      <w:proofErr w:type="spellEnd"/>
      <w:r w:rsidRPr="00476931">
        <w:rPr>
          <w:rFonts w:ascii="Times New Roman" w:hAnsi="Times New Roman" w:cs="Times New Roman"/>
          <w:color w:val="000000" w:themeColor="text1"/>
        </w:rPr>
        <w:t xml:space="preserve">, 2:1 </w:t>
      </w:r>
      <w:proofErr w:type="spellStart"/>
      <w:r w:rsidRPr="00476931">
        <w:rPr>
          <w:rFonts w:ascii="Times New Roman" w:hAnsi="Times New Roman" w:cs="Times New Roman"/>
          <w:color w:val="000000" w:themeColor="text1"/>
        </w:rPr>
        <w:t>sand:soil</w:t>
      </w:r>
      <w:proofErr w:type="spellEnd"/>
      <w:r w:rsidRPr="00476931">
        <w:rPr>
          <w:rFonts w:ascii="Times New Roman" w:hAnsi="Times New Roman" w:cs="Times New Roman"/>
          <w:color w:val="000000" w:themeColor="text1"/>
        </w:rPr>
        <w:t xml:space="preserve">, 3:1 </w:t>
      </w:r>
      <w:proofErr w:type="spellStart"/>
      <w:r w:rsidRPr="00476931">
        <w:rPr>
          <w:rFonts w:ascii="Times New Roman" w:hAnsi="Times New Roman" w:cs="Times New Roman"/>
          <w:color w:val="000000" w:themeColor="text1"/>
        </w:rPr>
        <w:t>sand:soil</w:t>
      </w:r>
      <w:proofErr w:type="spellEnd"/>
      <w:r w:rsidRPr="00476931">
        <w:rPr>
          <w:rFonts w:ascii="Times New Roman" w:hAnsi="Times New Roman" w:cs="Times New Roman"/>
          <w:color w:val="000000" w:themeColor="text1"/>
        </w:rPr>
        <w:t>).  The extractions with no sand added or equivalent amounts of sand and soil did not provide even solvent flow, and soil samples with a high clay content tended to cake, which caused over-pressurization of the system.  Both the 2:1 and 3:1 sand to soil ratios worked well to maintain consistent pressure during the extraction process.  We decided to use the 2:1 ratio for future experiments as this provided the largest amount of soil in a single extraction attempt, which could be important for protein extraction with low microbial biomass soil samples.</w:t>
      </w:r>
    </w:p>
    <w:p w14:paraId="413361A2" w14:textId="48C0FA47" w:rsidR="00310878" w:rsidRPr="00476931" w:rsidRDefault="00310878" w:rsidP="00343C78">
      <w:pPr>
        <w:rPr>
          <w:rFonts w:ascii="Times New Roman" w:hAnsi="Times New Roman" w:cs="Times New Roman"/>
          <w:color w:val="000000" w:themeColor="text1"/>
        </w:rPr>
      </w:pPr>
      <w:r w:rsidRPr="00476931">
        <w:rPr>
          <w:rFonts w:ascii="Times New Roman" w:hAnsi="Times New Roman" w:cs="Times New Roman"/>
          <w:color w:val="000000" w:themeColor="text1"/>
        </w:rPr>
        <w:t>Finally, we tested the compatibility of espresso machine-based extraction with commonly used extractants for soil samples.   From early extraction trials, the wetness of the soil had an apparent impact on the pressure maintenance of the espresso machine during extraction.  To determine if we could add the extraction buffer directly to the soil matrix after packing in the portafilter, we tested three different soil wetness levels (fully saturated with 20mL of extraction buffer, partially saturated with 4mL of extraction buffer, and dry soil samples with no extraction buffer added). Repeated extraction attempts with the different wetness levels showed that dry soil was critical for the robust operation of the espresso machine, as any amount of liquid added to soils with a high clay content caused over-pressurization of the system and uneven extraction solvent flow through the soil matrix.    For the remaining experiments, samples were lyophilized after extraction buffer was added to ensure dryness before espresso machine extraction.  Extractants for soil protein recovery include simple salts (sodium pyrophosphate), bases (sodium hydroxide (NaOH)), organic acids (sodium citrate), and surfactants (Sodium dodecyl sulfate (SDS)).  Previous work has shown that the effectiveness of extractant type for protein recovery is highly dependent on the physicochemical properties of the soil matrix</w:t>
      </w:r>
      <w:sdt>
        <w:sdtPr>
          <w:rPr>
            <w:rFonts w:ascii="Times New Roman" w:hAnsi="Times New Roman" w:cs="Times New Roman"/>
            <w:color w:val="000000"/>
            <w:vertAlign w:val="superscript"/>
          </w:rPr>
          <w:tag w:val="MENDELEY_CITATION_v3_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"/>
          <w:id w:val="703601760"/>
          <w:placeholder>
            <w:docPart w:val="B45FADC50A324E4486C4324FBA958C61"/>
          </w:placeholder>
        </w:sdtPr>
        <w:sdtEndPr/>
        <w:sdtContent>
          <w:r w:rsidR="003204EA" w:rsidRPr="003204EA">
            <w:rPr>
              <w:rFonts w:eastAsia="Times New Roman"/>
              <w:color w:val="000000"/>
              <w:vertAlign w:val="superscript"/>
            </w:rPr>
            <w:t>114,129</w:t>
          </w:r>
        </w:sdtContent>
      </w:sdt>
      <w:r w:rsidRPr="00476931">
        <w:rPr>
          <w:rFonts w:ascii="Times New Roman" w:hAnsi="Times New Roman" w:cs="Times New Roman"/>
          <w:color w:val="000000" w:themeColor="text1"/>
        </w:rPr>
        <w:t xml:space="preserve">.  For this study, we looked at two of the </w:t>
      </w:r>
      <w:proofErr w:type="gramStart"/>
      <w:r w:rsidRPr="00476931">
        <w:rPr>
          <w:rFonts w:ascii="Times New Roman" w:hAnsi="Times New Roman" w:cs="Times New Roman"/>
          <w:color w:val="000000" w:themeColor="text1"/>
        </w:rPr>
        <w:t>most commonly used</w:t>
      </w:r>
      <w:proofErr w:type="gramEnd"/>
      <w:r w:rsidRPr="00476931">
        <w:rPr>
          <w:rFonts w:ascii="Times New Roman" w:hAnsi="Times New Roman" w:cs="Times New Roman"/>
          <w:color w:val="000000" w:themeColor="text1"/>
        </w:rPr>
        <w:t xml:space="preserve"> extractants, NaOH and SDS.  Four extraction buffers were prepared for comparison: water only, 0.1M NaOH, 3% SDS, 0.1M NaOH + 3% SDS.  Both extraction buffers containing SDS foamed during the extraction process </w:t>
      </w:r>
      <w:r w:rsidRPr="00476931">
        <w:rPr>
          <w:rFonts w:ascii="Times New Roman" w:hAnsi="Times New Roman" w:cs="Times New Roman"/>
          <w:color w:val="000000" w:themeColor="text1"/>
        </w:rPr>
        <w:lastRenderedPageBreak/>
        <w:t xml:space="preserve">and caused over-pressurization of the espresso machine, and therefore deemed incompatible with this type of extraction. No observational differences were found in the operation of the espresso machine between the water extraction and NaOH extraction.    As other studies have shown that NaOH aids in the extraction of proteins from soil samples, we decided to use this extraction buffer for future experiments.  With </w:t>
      </w:r>
      <w:proofErr w:type="gramStart"/>
      <w:r w:rsidRPr="00476931">
        <w:rPr>
          <w:rFonts w:ascii="Times New Roman" w:hAnsi="Times New Roman" w:cs="Times New Roman"/>
          <w:color w:val="000000" w:themeColor="text1"/>
        </w:rPr>
        <w:t>all of</w:t>
      </w:r>
      <w:proofErr w:type="gramEnd"/>
      <w:r w:rsidRPr="00476931">
        <w:rPr>
          <w:rFonts w:ascii="Times New Roman" w:hAnsi="Times New Roman" w:cs="Times New Roman"/>
          <w:color w:val="000000" w:themeColor="text1"/>
        </w:rPr>
        <w:t xml:space="preserve"> these adaptations to the workflow to enable robust and reproducible operation of the espresso machine, we set out to determine differences in protein recovery based on extraction method (espresso machine vs. vortex).</w:t>
      </w:r>
    </w:p>
    <w:p w14:paraId="1BDB56D4" w14:textId="19D8BE92" w:rsidR="00543158" w:rsidRDefault="00543158" w:rsidP="00343C78">
      <w:pPr>
        <w:rPr>
          <w:rFonts w:ascii="Times New Roman" w:hAnsi="Times New Roman" w:cs="Times New Roman"/>
          <w:color w:val="000000" w:themeColor="text1"/>
        </w:rPr>
      </w:pPr>
    </w:p>
    <w:p w14:paraId="6B35561F" w14:textId="232C1DFB" w:rsidR="00310878" w:rsidRPr="00476931" w:rsidRDefault="00543158" w:rsidP="00F33FBD">
      <w:pPr>
        <w:pStyle w:val="Heading4"/>
      </w:pPr>
      <w:bookmarkStart w:id="142" w:name="_Toc110250249"/>
      <w:bookmarkStart w:id="143" w:name="_Toc110250506"/>
      <w:bookmarkStart w:id="144" w:name="_Toc110250637"/>
      <w:r w:rsidRPr="00476931">
        <w:t xml:space="preserve">3.2.2.3  </w:t>
      </w:r>
      <w:r w:rsidR="00310878" w:rsidRPr="00476931">
        <w:t>Evaluation of mechanical and chemical extraction methods in topsoil</w:t>
      </w:r>
      <w:r w:rsidR="00CB0E1A" w:rsidRPr="00476931">
        <w:t>.</w:t>
      </w:r>
      <w:bookmarkEnd w:id="142"/>
      <w:bookmarkEnd w:id="143"/>
      <w:bookmarkEnd w:id="144"/>
    </w:p>
    <w:p w14:paraId="47B264AE" w14:textId="77777777" w:rsidR="00CB0E1A" w:rsidRPr="00476931" w:rsidRDefault="00CB0E1A" w:rsidP="00CB0E1A">
      <w:pPr>
        <w:rPr>
          <w:color w:val="000000" w:themeColor="text1"/>
        </w:rPr>
      </w:pPr>
    </w:p>
    <w:p w14:paraId="7835CE08" w14:textId="4E39B2D1" w:rsidR="00CB0E1A" w:rsidRPr="00476931" w:rsidRDefault="00310878" w:rsidP="00CB0E1A">
      <w:pPr>
        <w:rPr>
          <w:rFonts w:ascii="Times New Roman" w:hAnsi="Times New Roman" w:cs="Times New Roman"/>
          <w:color w:val="000000" w:themeColor="text1"/>
        </w:rPr>
      </w:pPr>
      <w:r w:rsidRPr="00476931">
        <w:rPr>
          <w:rFonts w:ascii="Times New Roman" w:hAnsi="Times New Roman" w:cs="Times New Roman"/>
          <w:color w:val="000000" w:themeColor="text1"/>
        </w:rPr>
        <w:t xml:space="preserve">To fully evaluate mechanical extraction methods and extraction buffers, an experiment was set up with known amounts of </w:t>
      </w:r>
      <w:r w:rsidRPr="00476931">
        <w:rPr>
          <w:rFonts w:ascii="Times New Roman" w:hAnsi="Times New Roman" w:cs="Times New Roman"/>
          <w:i/>
          <w:iCs/>
          <w:color w:val="000000" w:themeColor="text1"/>
        </w:rPr>
        <w:t xml:space="preserve">E. coli </w:t>
      </w:r>
      <w:r w:rsidRPr="00476931">
        <w:rPr>
          <w:rFonts w:ascii="Times New Roman" w:hAnsi="Times New Roman" w:cs="Times New Roman"/>
          <w:color w:val="000000" w:themeColor="text1"/>
        </w:rPr>
        <w:t>cells (10</w:t>
      </w:r>
      <w:r w:rsidRPr="00476931">
        <w:rPr>
          <w:rFonts w:ascii="Times New Roman" w:hAnsi="Times New Roman" w:cs="Times New Roman"/>
          <w:color w:val="000000" w:themeColor="text1"/>
          <w:vertAlign w:val="superscript"/>
        </w:rPr>
        <w:t>8</w:t>
      </w:r>
      <w:r w:rsidRPr="00476931">
        <w:rPr>
          <w:rFonts w:ascii="Times New Roman" w:hAnsi="Times New Roman" w:cs="Times New Roman"/>
          <w:color w:val="000000" w:themeColor="text1"/>
        </w:rPr>
        <w:t xml:space="preserve"> cells per gram of soil) added to topsoil samples to compare traditional vortex-based vs. pressure-assisted espresso machine extraction using either water or 0.1M NaOH as an extractant </w:t>
      </w:r>
      <w:r w:rsidRPr="00476931">
        <w:rPr>
          <w:rFonts w:ascii="Times New Roman" w:hAnsi="Times New Roman" w:cs="Times New Roman"/>
          <w:b/>
          <w:bCs/>
          <w:color w:val="000000" w:themeColor="text1"/>
        </w:rPr>
        <w:t>(Figure 3</w:t>
      </w:r>
      <w:r w:rsidR="009E08D4">
        <w:rPr>
          <w:rFonts w:ascii="Times New Roman" w:hAnsi="Times New Roman" w:cs="Times New Roman"/>
          <w:b/>
          <w:bCs/>
          <w:color w:val="000000" w:themeColor="text1"/>
        </w:rPr>
        <w:t>-</w:t>
      </w:r>
      <w:r w:rsidRPr="00476931">
        <w:rPr>
          <w:rFonts w:ascii="Times New Roman" w:hAnsi="Times New Roman" w:cs="Times New Roman"/>
          <w:b/>
          <w:bCs/>
          <w:color w:val="000000" w:themeColor="text1"/>
        </w:rPr>
        <w:t>3).</w:t>
      </w:r>
      <w:r w:rsidRPr="00476931">
        <w:rPr>
          <w:rFonts w:ascii="Times New Roman" w:hAnsi="Times New Roman" w:cs="Times New Roman"/>
          <w:color w:val="000000" w:themeColor="text1"/>
        </w:rPr>
        <w:t xml:space="preserve">  After extraction and sonication, samples were centrifuged, and the resulting supernatant was processed for proteolytic digestion via the modified PAC method.  </w:t>
      </w:r>
    </w:p>
    <w:p w14:paraId="02759D1A" w14:textId="5B79846C" w:rsidR="00CB0E1A" w:rsidRPr="00476931" w:rsidRDefault="001510C4">
      <w:pPr>
        <w:spacing w:before="1"/>
        <w:rPr>
          <w:rFonts w:ascii="Times New Roman" w:hAnsi="Times New Roman" w:cs="Times New Roman"/>
          <w:color w:val="000000" w:themeColor="text1"/>
        </w:rPr>
      </w:pPr>
      <w:r w:rsidRPr="00476931">
        <w:rPr>
          <w:color w:val="000000" w:themeColor="text1"/>
        </w:rPr>
        <w:t xml:space="preserve">After centrifugation to remove large soil debris, there were very visible differences between extraction approaches and extraction buffers </w:t>
      </w:r>
      <w:r w:rsidRPr="00476931">
        <w:rPr>
          <w:b/>
          <w:bCs/>
          <w:color w:val="000000" w:themeColor="text1"/>
        </w:rPr>
        <w:t>(Figure 3</w:t>
      </w:r>
      <w:r w:rsidR="009E08D4">
        <w:rPr>
          <w:b/>
          <w:bCs/>
          <w:color w:val="000000" w:themeColor="text1"/>
        </w:rPr>
        <w:t>-</w:t>
      </w:r>
      <w:r w:rsidRPr="00476931">
        <w:rPr>
          <w:b/>
          <w:bCs/>
          <w:color w:val="000000" w:themeColor="text1"/>
        </w:rPr>
        <w:t>4).</w:t>
      </w:r>
      <w:r w:rsidRPr="00476931">
        <w:rPr>
          <w:color w:val="000000" w:themeColor="text1"/>
        </w:rPr>
        <w:t xml:space="preserve">  The</w:t>
      </w:r>
    </w:p>
    <w:p w14:paraId="3A505CDB" w14:textId="5A25F205" w:rsidR="00762C1C" w:rsidRDefault="001510C4" w:rsidP="001510C4">
      <w:pPr>
        <w:ind w:firstLine="0"/>
        <w:rPr>
          <w:color w:val="000000" w:themeColor="text1"/>
        </w:rPr>
      </w:pPr>
      <w:r w:rsidRPr="00476931">
        <w:rPr>
          <w:color w:val="000000" w:themeColor="text1"/>
        </w:rPr>
        <w:t xml:space="preserve">vortex method was much darker in color and murkier compared to samples prepared with espresso machine extraction throughout the prep.  Samples prepared with NaOH were also darker in color compared to the corresponding water extraction samples.  </w:t>
      </w:r>
    </w:p>
    <w:p w14:paraId="2768736C" w14:textId="77777777" w:rsidR="00433114" w:rsidRDefault="007744D0" w:rsidP="007744D0">
      <w:pPr>
        <w:rPr>
          <w:color w:val="000000" w:themeColor="text1"/>
        </w:rPr>
      </w:pPr>
      <w:r w:rsidRPr="00476931">
        <w:rPr>
          <w:color w:val="000000" w:themeColor="text1"/>
        </w:rPr>
        <w:t>These color differences were due to non-proteinaceous material present after extraction, including humic substances and clay mineral particles.  Darker supernatants had larger pellet sizes during PAC. These pellets were hard to resuspend before trypsin digestion, which could negatively impact the protein digestion efficiency if proteins are shielded in the pellet from trypsin during the digestion.</w:t>
      </w:r>
      <w:r w:rsidR="00433114" w:rsidRPr="00433114">
        <w:rPr>
          <w:color w:val="000000" w:themeColor="text1"/>
        </w:rPr>
        <w:t xml:space="preserve"> </w:t>
      </w:r>
    </w:p>
    <w:p w14:paraId="00DB016E" w14:textId="513633A7" w:rsidR="007744D0" w:rsidRPr="00476931" w:rsidRDefault="00433114" w:rsidP="007744D0">
      <w:pPr>
        <w:rPr>
          <w:color w:val="000000" w:themeColor="text1"/>
        </w:rPr>
      </w:pPr>
      <w:r w:rsidRPr="00476931">
        <w:rPr>
          <w:color w:val="000000" w:themeColor="text1"/>
        </w:rPr>
        <w:t xml:space="preserve">The results of the database searches against the theoretical </w:t>
      </w:r>
      <w:r w:rsidRPr="00476931">
        <w:rPr>
          <w:i/>
          <w:iCs/>
          <w:color w:val="000000" w:themeColor="text1"/>
        </w:rPr>
        <w:t xml:space="preserve">E. coli </w:t>
      </w:r>
      <w:r w:rsidRPr="00476931">
        <w:rPr>
          <w:color w:val="000000" w:themeColor="text1"/>
        </w:rPr>
        <w:t>proteome showed that the espresso machine pressure-assisted extraction with sodium hydroxide</w:t>
      </w:r>
    </w:p>
    <w:p w14:paraId="12063956" w14:textId="77777777" w:rsidR="009653CC" w:rsidRDefault="009653CC" w:rsidP="009653CC">
      <w:pPr>
        <w:pStyle w:val="BodyText"/>
        <w:keepNext/>
      </w:pPr>
      <w:r w:rsidRPr="00366AD4">
        <w:rPr>
          <w:noProof/>
        </w:rPr>
        <w:lastRenderedPageBreak/>
        <w:drawing>
          <wp:inline distT="0" distB="0" distL="0" distR="0" wp14:anchorId="41CF12C9" wp14:editId="52DE39E3">
            <wp:extent cx="5486400" cy="2631440"/>
            <wp:effectExtent l="0" t="0" r="0" b="0"/>
            <wp:docPr id="2591" name="Picture 2591"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1" name="Picture 2591" descr="Background pattern&#10;&#10;Description automatically generated with low confidence"/>
                    <pic:cNvPicPr/>
                  </pic:nvPicPr>
                  <pic:blipFill>
                    <a:blip r:embed="rId38"/>
                    <a:stretch>
                      <a:fillRect/>
                    </a:stretch>
                  </pic:blipFill>
                  <pic:spPr>
                    <a:xfrm>
                      <a:off x="0" y="0"/>
                      <a:ext cx="5486400" cy="2631440"/>
                    </a:xfrm>
                    <a:prstGeom prst="rect">
                      <a:avLst/>
                    </a:prstGeom>
                  </pic:spPr>
                </pic:pic>
              </a:graphicData>
            </a:graphic>
          </wp:inline>
        </w:drawing>
      </w:r>
    </w:p>
    <w:p w14:paraId="64F36A57" w14:textId="4DE5328E" w:rsidR="009653CC" w:rsidRPr="009653CC" w:rsidRDefault="009653CC" w:rsidP="009653CC">
      <w:pPr>
        <w:pStyle w:val="Caption"/>
        <w:rPr>
          <w:b w:val="0"/>
          <w:bCs/>
        </w:rPr>
      </w:pPr>
      <w:bookmarkStart w:id="145" w:name="_Toc110246929"/>
      <w:r>
        <w:t xml:space="preserve">Figure </w:t>
      </w:r>
      <w:fldSimple w:instr=" STYLEREF 1 \s ">
        <w:r w:rsidR="00AC2094">
          <w:rPr>
            <w:noProof/>
          </w:rPr>
          <w:t>3</w:t>
        </w:r>
      </w:fldSimple>
      <w:r w:rsidR="00AC2094">
        <w:noBreakHyphen/>
      </w:r>
      <w:fldSimple w:instr=" SEQ Figure \* ARABIC \s 1 ">
        <w:r w:rsidR="00AC2094">
          <w:rPr>
            <w:noProof/>
          </w:rPr>
          <w:t>3</w:t>
        </w:r>
      </w:fldSimple>
      <w:r>
        <w:t xml:space="preserve">  </w:t>
      </w:r>
      <w:r w:rsidRPr="009653CC">
        <w:t>Schematic illustration of the sample preparation workflow used to assess protein extraction methods for the analysis of soil metaproteomes.</w:t>
      </w:r>
      <w:bookmarkEnd w:id="145"/>
      <w:r>
        <w:rPr>
          <w:b w:val="0"/>
          <w:bCs/>
        </w:rPr>
        <w:fldChar w:fldCharType="begin"/>
      </w:r>
      <w:r>
        <w:rPr>
          <w:b w:val="0"/>
          <w:bCs/>
        </w:rPr>
        <w:instrText xml:space="preserve"> </w:instrText>
      </w:r>
    </w:p>
    <w:p w14:paraId="5B4C846D" w14:textId="77777777" w:rsidR="009653CC" w:rsidRPr="009653CC" w:rsidRDefault="009653CC" w:rsidP="009653CC">
      <w:pPr>
        <w:pStyle w:val="Caption"/>
        <w:rPr>
          <w:b w:val="0"/>
          <w:bCs/>
        </w:rPr>
      </w:pPr>
    </w:p>
    <w:p w14:paraId="3BE0954E" w14:textId="7604E5A5" w:rsidR="009653CC" w:rsidRPr="009653CC" w:rsidRDefault="009653CC" w:rsidP="009653CC">
      <w:pPr>
        <w:pStyle w:val="Caption"/>
        <w:rPr>
          <w:b w:val="0"/>
          <w:bCs/>
        </w:rPr>
      </w:pPr>
      <w:r>
        <w:rPr>
          <w:b w:val="0"/>
          <w:bCs/>
        </w:rPr>
        <w:instrText xml:space="preserve"> </w:instrText>
      </w:r>
      <w:r>
        <w:rPr>
          <w:b w:val="0"/>
          <w:bCs/>
        </w:rPr>
        <w:fldChar w:fldCharType="end"/>
      </w:r>
      <w:r w:rsidRPr="009653CC">
        <w:t xml:space="preserve">  </w:t>
      </w:r>
      <w:r w:rsidRPr="009653CC">
        <w:rPr>
          <w:b w:val="0"/>
          <w:bCs/>
        </w:rPr>
        <w:fldChar w:fldCharType="begin"/>
      </w:r>
      <w:r w:rsidRPr="009653CC">
        <w:rPr>
          <w:b w:val="0"/>
          <w:bCs/>
        </w:rPr>
        <w:instrText xml:space="preserve"> </w:instrText>
      </w:r>
    </w:p>
    <w:p w14:paraId="31CCA81B" w14:textId="77777777" w:rsidR="009653CC" w:rsidRPr="009653CC" w:rsidRDefault="009653CC" w:rsidP="009653CC">
      <w:pPr>
        <w:pStyle w:val="Caption"/>
        <w:rPr>
          <w:b w:val="0"/>
          <w:bCs/>
        </w:rPr>
      </w:pPr>
    </w:p>
    <w:p w14:paraId="2D86B880" w14:textId="58390609" w:rsidR="009653CC" w:rsidRDefault="009653CC" w:rsidP="00FE3DF9">
      <w:pPr>
        <w:pStyle w:val="Caption"/>
      </w:pPr>
      <w:r w:rsidRPr="009653CC">
        <w:rPr>
          <w:b w:val="0"/>
          <w:bCs/>
        </w:rPr>
        <w:instrText xml:space="preserve"> </w:instrText>
      </w:r>
      <w:r w:rsidRPr="009653CC">
        <w:rPr>
          <w:b w:val="0"/>
          <w:bCs/>
        </w:rPr>
        <w:fldChar w:fldCharType="end"/>
      </w:r>
      <w:bookmarkStart w:id="146" w:name="_Toc107573931"/>
      <w:r w:rsidRPr="009653CC">
        <w:rPr>
          <w:b w:val="0"/>
          <w:bCs/>
        </w:rPr>
        <w:t>The four steps marked in orange (red text) represent critical steps in the process where different variables were tested (extraction buffers, extraction method, acid wash) using both permafrost-affected soils and commercially available topsoil.</w:t>
      </w:r>
      <w:bookmarkEnd w:id="146"/>
    </w:p>
    <w:p w14:paraId="60A12B96" w14:textId="0616A363" w:rsidR="009653CC" w:rsidRDefault="009653CC" w:rsidP="009653CC">
      <w:pPr>
        <w:pStyle w:val="BodyText"/>
      </w:pPr>
      <w:r>
        <w:br w:type="page"/>
      </w:r>
    </w:p>
    <w:p w14:paraId="6DEB14F1" w14:textId="77777777" w:rsidR="009653CC" w:rsidRDefault="009653CC" w:rsidP="009653CC">
      <w:pPr>
        <w:pStyle w:val="BodyText"/>
        <w:keepNext/>
      </w:pPr>
      <w:bookmarkStart w:id="147" w:name="_Toc106815664"/>
      <w:bookmarkStart w:id="148" w:name="_Toc106815822"/>
      <w:bookmarkStart w:id="149" w:name="_Toc106816085"/>
      <w:r w:rsidRPr="00476931">
        <w:rPr>
          <w:noProof/>
        </w:rPr>
        <w:lastRenderedPageBreak/>
        <w:drawing>
          <wp:inline distT="0" distB="0" distL="0" distR="0" wp14:anchorId="3F2AC918" wp14:editId="67716EDD">
            <wp:extent cx="5283200" cy="4097437"/>
            <wp:effectExtent l="0" t="0" r="0" b="5080"/>
            <wp:docPr id="44" name="Content Placeholder 7" descr="A group of test tubes&#10;&#10;Description automatically generated with low confidence">
              <a:extLst xmlns:a="http://schemas.openxmlformats.org/drawingml/2006/main">
                <a:ext uri="{FF2B5EF4-FFF2-40B4-BE49-F238E27FC236}">
                  <a16:creationId xmlns:a16="http://schemas.microsoft.com/office/drawing/2014/main" id="{970BF413-C40B-496F-9BC8-669F079DE5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ntent Placeholder 7" descr="A group of test tubes&#10;&#10;Description automatically generated with low confidence">
                      <a:extLst>
                        <a:ext uri="{FF2B5EF4-FFF2-40B4-BE49-F238E27FC236}">
                          <a16:creationId xmlns:a16="http://schemas.microsoft.com/office/drawing/2014/main" id="{970BF413-C40B-496F-9BC8-669F079DE5AB}"/>
                        </a:ext>
                      </a:extLst>
                    </pic:cNvPr>
                    <pic:cNvPicPr>
                      <a:picLocks noChangeAspect="1"/>
                    </pic:cNvPicPr>
                  </pic:nvPicPr>
                  <pic:blipFill rotWithShape="1">
                    <a:blip r:embed="rId39" cstate="print">
                      <a:extLst>
                        <a:ext uri="{28A0092B-C50C-407E-A947-70E740481C1C}">
                          <a14:useLocalDpi xmlns:a14="http://schemas.microsoft.com/office/drawing/2010/main" val="0"/>
                        </a:ext>
                      </a:extLst>
                    </a:blip>
                    <a:srcRect l="13663" r="5255" b="16147"/>
                    <a:stretch/>
                  </pic:blipFill>
                  <pic:spPr bwMode="auto">
                    <a:xfrm>
                      <a:off x="0" y="0"/>
                      <a:ext cx="5329551" cy="4133385"/>
                    </a:xfrm>
                    <a:prstGeom prst="rect">
                      <a:avLst/>
                    </a:prstGeom>
                    <a:noFill/>
                    <a:ln w="9525">
                      <a:noFill/>
                      <a:miter lim="800000"/>
                      <a:headEnd/>
                      <a:tailEnd/>
                    </a:ln>
                  </pic:spPr>
                </pic:pic>
              </a:graphicData>
            </a:graphic>
          </wp:inline>
        </w:drawing>
      </w:r>
      <w:bookmarkEnd w:id="147"/>
      <w:bookmarkEnd w:id="148"/>
      <w:bookmarkEnd w:id="149"/>
    </w:p>
    <w:p w14:paraId="3DBB0EFA" w14:textId="77C2EA58" w:rsidR="009653CC" w:rsidRPr="009653CC" w:rsidRDefault="009653CC" w:rsidP="009653CC">
      <w:pPr>
        <w:pStyle w:val="Caption"/>
        <w:rPr>
          <w:b w:val="0"/>
          <w:bCs/>
        </w:rPr>
      </w:pPr>
      <w:bookmarkStart w:id="150" w:name="_Toc110246930"/>
      <w:r>
        <w:t xml:space="preserve">Figure </w:t>
      </w:r>
      <w:fldSimple w:instr=" STYLEREF 1 \s ">
        <w:r w:rsidR="00AC2094">
          <w:rPr>
            <w:noProof/>
          </w:rPr>
          <w:t>3</w:t>
        </w:r>
      </w:fldSimple>
      <w:r w:rsidR="00AC2094">
        <w:noBreakHyphen/>
      </w:r>
      <w:fldSimple w:instr=" SEQ Figure \* ARABIC \s 1 ">
        <w:r w:rsidR="00AC2094">
          <w:rPr>
            <w:noProof/>
          </w:rPr>
          <w:t>4</w:t>
        </w:r>
      </w:fldSimple>
      <w:r>
        <w:t xml:space="preserve">  </w:t>
      </w:r>
      <w:r w:rsidRPr="009653CC">
        <w:t>The extracted volume of topsoil samples prior to protein clean-up and digestion.</w:t>
      </w:r>
      <w:bookmarkStart w:id="151" w:name="_Toc106815666"/>
      <w:bookmarkStart w:id="152" w:name="_Toc106815824"/>
      <w:bookmarkStart w:id="153" w:name="_Toc106816087"/>
      <w:bookmarkEnd w:id="150"/>
      <w:r w:rsidRPr="009653CC">
        <w:t xml:space="preserve">  </w:t>
      </w:r>
      <w:r w:rsidRPr="009653CC">
        <w:rPr>
          <w:b w:val="0"/>
          <w:bCs/>
        </w:rPr>
        <w:fldChar w:fldCharType="begin"/>
      </w:r>
      <w:r w:rsidRPr="009653CC">
        <w:rPr>
          <w:b w:val="0"/>
          <w:bCs/>
        </w:rPr>
        <w:instrText xml:space="preserve"> </w:instrText>
      </w:r>
    </w:p>
    <w:p w14:paraId="4C3A6071" w14:textId="77777777" w:rsidR="009653CC" w:rsidRPr="009653CC" w:rsidRDefault="009653CC" w:rsidP="009653CC">
      <w:pPr>
        <w:pStyle w:val="Caption"/>
        <w:rPr>
          <w:b w:val="0"/>
          <w:bCs/>
        </w:rPr>
      </w:pPr>
    </w:p>
    <w:p w14:paraId="76929DCC" w14:textId="77777777" w:rsidR="009653CC" w:rsidRPr="009653CC" w:rsidRDefault="009653CC" w:rsidP="009653CC">
      <w:pPr>
        <w:pStyle w:val="Caption"/>
        <w:rPr>
          <w:b w:val="0"/>
          <w:bCs/>
        </w:rPr>
      </w:pPr>
      <w:r w:rsidRPr="009653CC">
        <w:rPr>
          <w:b w:val="0"/>
          <w:bCs/>
        </w:rPr>
        <w:instrText xml:space="preserve"> </w:instrText>
      </w:r>
      <w:r w:rsidRPr="009653CC">
        <w:rPr>
          <w:b w:val="0"/>
          <w:bCs/>
        </w:rPr>
        <w:fldChar w:fldCharType="end"/>
      </w:r>
      <w:bookmarkStart w:id="154" w:name="_Toc107573933"/>
      <w:r w:rsidRPr="009653CC">
        <w:rPr>
          <w:b w:val="0"/>
          <w:bCs/>
        </w:rPr>
        <w:t>Order (left to right): Espresso machine extraction with H2O, Espresso machine extraction with NaOH, Vortex extraction with H2O, Vortex extraction with NaOH.  Vortex-based extractions resulted in darker supernatants after low-speed centrifugation to remove large soil particles than espresso machine-based pressure-assisted extractions.  In addition, extractions with NaOH resulted in darker supernatants compared to H2O-based extractions.</w:t>
      </w:r>
      <w:bookmarkEnd w:id="151"/>
      <w:bookmarkEnd w:id="152"/>
      <w:bookmarkEnd w:id="153"/>
      <w:bookmarkEnd w:id="154"/>
    </w:p>
    <w:p w14:paraId="7CC28321" w14:textId="59F903D5" w:rsidR="00762C1C" w:rsidRDefault="00762C1C" w:rsidP="007744D0">
      <w:pPr>
        <w:spacing w:before="1"/>
        <w:rPr>
          <w:color w:val="000000" w:themeColor="text1"/>
        </w:rPr>
      </w:pPr>
      <w:r>
        <w:rPr>
          <w:color w:val="000000" w:themeColor="text1"/>
        </w:rPr>
        <w:br w:type="page"/>
      </w:r>
    </w:p>
    <w:p w14:paraId="6B08623B" w14:textId="3D2C294A" w:rsidR="005D6CC5" w:rsidRDefault="005D6CC5" w:rsidP="00433114">
      <w:pPr>
        <w:spacing w:before="1"/>
        <w:ind w:firstLine="0"/>
        <w:rPr>
          <w:color w:val="000000" w:themeColor="text1"/>
        </w:rPr>
      </w:pPr>
      <w:r w:rsidRPr="00476931">
        <w:rPr>
          <w:color w:val="000000" w:themeColor="text1"/>
        </w:rPr>
        <w:lastRenderedPageBreak/>
        <w:t xml:space="preserve">pretreatment had the highest number of detected peptides in any sample.  However, </w:t>
      </w:r>
    </w:p>
    <w:p w14:paraId="00925CF9" w14:textId="4A3DD42A" w:rsidR="00310878" w:rsidRDefault="009653CC" w:rsidP="009653CC">
      <w:pPr>
        <w:ind w:firstLine="0"/>
      </w:pPr>
      <w:r w:rsidRPr="00476931">
        <w:t xml:space="preserve">repeated extractions using this approach yielded inconsistent recoveries of peptides, indicating more optimization is needed for the method. </w:t>
      </w:r>
      <w:proofErr w:type="gramStart"/>
      <w:r w:rsidRPr="00476931">
        <w:t>Both of the vortex</w:t>
      </w:r>
      <w:proofErr w:type="gramEnd"/>
      <w:r w:rsidRPr="00476931">
        <w:t xml:space="preserve"> extraction </w:t>
      </w:r>
      <w:r w:rsidR="008D04D6" w:rsidRPr="00476931">
        <w:t xml:space="preserve">samples (+/- NaOH) with bacterial spike-ins also had a large number of proteins recovered.  However, based on the charge state distribution of the samples, there were many more singly charged ions than espresso machine pressure-assisted extraction samples, indicating a large </w:t>
      </w:r>
      <w:proofErr w:type="gramStart"/>
      <w:r w:rsidR="008D04D6" w:rsidRPr="00476931">
        <w:t>amount</w:t>
      </w:r>
      <w:proofErr w:type="gramEnd"/>
      <w:r w:rsidR="008D04D6" w:rsidRPr="00476931">
        <w:t xml:space="preserve"> of humic substances were co-extracted with proteins using this method.   Furthermore, the vortex extraction sample prepared with NaOH had lower </w:t>
      </w:r>
      <w:r w:rsidR="008D04D6" w:rsidRPr="00476931">
        <w:rPr>
          <w:i/>
          <w:iCs/>
        </w:rPr>
        <w:t>E. coli</w:t>
      </w:r>
      <w:r w:rsidR="008D04D6" w:rsidRPr="00476931">
        <w:t xml:space="preserve"> peptides detected compared to the vortex extraction prepared </w:t>
      </w:r>
      <w:r w:rsidR="007744D0" w:rsidRPr="00476931">
        <w:t xml:space="preserve">with water only. While NaOH enhances protein extraction from </w:t>
      </w:r>
      <w:r w:rsidR="00310878" w:rsidRPr="00476931">
        <w:t>soils, it is also used to extract humic substances</w:t>
      </w:r>
      <w:sdt>
        <w:sdtPr>
          <w:rPr>
            <w:color w:val="000000"/>
            <w:vertAlign w:val="superscript"/>
          </w:rPr>
          <w:tag w:val="MENDELEY_CITATION_v3_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"/>
          <w:id w:val="288952280"/>
          <w:placeholder>
            <w:docPart w:val="B45FADC50A324E4486C4324FBA958C61"/>
          </w:placeholder>
        </w:sdtPr>
        <w:sdtEndPr/>
        <w:sdtContent>
          <w:r w:rsidR="003204EA" w:rsidRPr="003204EA">
            <w:rPr>
              <w:rFonts w:eastAsia="Times New Roman"/>
              <w:color w:val="000000"/>
              <w:vertAlign w:val="superscript"/>
            </w:rPr>
            <w:t>130</w:t>
          </w:r>
        </w:sdtContent>
      </w:sdt>
      <w:r w:rsidR="00310878" w:rsidRPr="00476931">
        <w:t xml:space="preserve">. The presence of humic acids in the sample may explain the lower number of </w:t>
      </w:r>
      <w:r w:rsidR="00310878" w:rsidRPr="00476931">
        <w:rPr>
          <w:i/>
          <w:iCs/>
        </w:rPr>
        <w:t>E. coli</w:t>
      </w:r>
      <w:r w:rsidR="00310878" w:rsidRPr="00476931">
        <w:t xml:space="preserve"> peptides detected in samples, as the humic substances may have suppressed the ionization of peptides.  In addition, since the digested peptides from vortex-based extraction samples contained more non-proteinaceous material compared to the espresso samples, this decreased the longevity of the LC analytical column and the MS instrument cleanliness.  Overall, the addition of NaOH to the extraction buffer appears to help the recovery of proteins from soil samples as long as efforts are taken to reduce the </w:t>
      </w:r>
      <w:proofErr w:type="gramStart"/>
      <w:r w:rsidR="00310878" w:rsidRPr="00476931">
        <w:t>amount</w:t>
      </w:r>
      <w:proofErr w:type="gramEnd"/>
      <w:r w:rsidR="00310878" w:rsidRPr="00476931">
        <w:t xml:space="preserve"> of interfering compounds, such as fulvic and humic acids.  In addition, while preliminary extraction attempts showed pressure-assisted extractions had higher protein yields and less non-proteinaceous material compared to vortex-based extraction, these results were not consistently reproducible with repeated extraction attempts.  Vortex-based extractions also recovered a high </w:t>
      </w:r>
      <w:proofErr w:type="gramStart"/>
      <w:r w:rsidR="00310878" w:rsidRPr="00476931">
        <w:t>amount</w:t>
      </w:r>
      <w:proofErr w:type="gramEnd"/>
      <w:r w:rsidR="00310878" w:rsidRPr="00476931">
        <w:t xml:space="preserve"> of proteins, but the presence of co-extracted non-proteinaceous material made sample processing challenging and decreased LC-MS/MS performance.  As soil chemistry plays a significant role in determining the success of protein extraction, extractant choice and extraction method need to be customized for the </w:t>
      </w:r>
      <w:proofErr w:type="gramStart"/>
      <w:r w:rsidR="00310878" w:rsidRPr="00476931">
        <w:t>particular soil</w:t>
      </w:r>
      <w:proofErr w:type="gramEnd"/>
      <w:r w:rsidR="00310878" w:rsidRPr="00476931">
        <w:t xml:space="preserve"> type being analyzed.</w:t>
      </w:r>
    </w:p>
    <w:p w14:paraId="74D8FBDF" w14:textId="77777777" w:rsidR="000505A9" w:rsidRPr="00476931" w:rsidRDefault="000505A9" w:rsidP="009653CC">
      <w:pPr>
        <w:ind w:firstLine="0"/>
      </w:pPr>
    </w:p>
    <w:p w14:paraId="1CF29090" w14:textId="77777777" w:rsidR="00433114" w:rsidRDefault="00433114" w:rsidP="000505A9">
      <w:pPr>
        <w:pStyle w:val="Heading4"/>
        <w:rPr>
          <w:rStyle w:val="Heading3Char"/>
          <w:rFonts w:cs="Times New Roman (Headings CS)"/>
          <w:b w:val="0"/>
        </w:rPr>
      </w:pPr>
    </w:p>
    <w:p w14:paraId="7BE3D79D" w14:textId="0907194D" w:rsidR="000505A9" w:rsidRPr="00476931" w:rsidRDefault="000505A9" w:rsidP="000505A9">
      <w:pPr>
        <w:pStyle w:val="Heading4"/>
      </w:pPr>
      <w:bookmarkStart w:id="155" w:name="_Toc110250250"/>
      <w:bookmarkStart w:id="156" w:name="_Toc110250507"/>
      <w:bookmarkStart w:id="157" w:name="_Toc110250638"/>
      <w:r w:rsidRPr="00476931">
        <w:rPr>
          <w:rStyle w:val="Heading3Char"/>
          <w:rFonts w:cs="Times New Roman (Headings CS)"/>
          <w:b w:val="0"/>
        </w:rPr>
        <w:t>3.2.2.4  Optimizing and evaluating protein extraction in permafrost-</w:t>
      </w:r>
      <w:r>
        <w:rPr>
          <w:rStyle w:val="Heading3Char"/>
          <w:rFonts w:cs="Times New Roman (Headings CS)"/>
          <w:b w:val="0"/>
        </w:rPr>
        <w:t>derived</w:t>
      </w:r>
      <w:r w:rsidRPr="00476931">
        <w:rPr>
          <w:rStyle w:val="Heading3Char"/>
          <w:rFonts w:cs="Times New Roman (Headings CS)"/>
          <w:b w:val="0"/>
        </w:rPr>
        <w:t xml:space="preserve"> soils</w:t>
      </w:r>
      <w:r w:rsidRPr="00476931">
        <w:t>.</w:t>
      </w:r>
      <w:bookmarkEnd w:id="155"/>
      <w:bookmarkEnd w:id="156"/>
      <w:bookmarkEnd w:id="157"/>
    </w:p>
    <w:p w14:paraId="6ED3A8D4" w14:textId="77777777" w:rsidR="000505A9" w:rsidRPr="00476931" w:rsidRDefault="000505A9" w:rsidP="000505A9">
      <w:pPr>
        <w:ind w:firstLine="0"/>
        <w:rPr>
          <w:rFonts w:ascii="Times New Roman" w:hAnsi="Times New Roman" w:cs="Times New Roman"/>
          <w:b/>
          <w:bCs/>
          <w:color w:val="000000" w:themeColor="text1"/>
        </w:rPr>
      </w:pPr>
    </w:p>
    <w:p w14:paraId="3C4CEA0B" w14:textId="4900C487" w:rsidR="00F33FBD" w:rsidRPr="00476931" w:rsidRDefault="000505A9" w:rsidP="000505A9">
      <w:pPr>
        <w:ind w:firstLine="0"/>
        <w:rPr>
          <w:rStyle w:val="Heading3Char"/>
        </w:rPr>
      </w:pPr>
      <w:r w:rsidRPr="00476931">
        <w:rPr>
          <w:color w:val="000000" w:themeColor="text1"/>
        </w:rPr>
        <w:t>Preliminary measurements using a vortex-based extraction of 2g of soil from core</w:t>
      </w:r>
    </w:p>
    <w:p w14:paraId="5B747A36" w14:textId="4D801D84" w:rsidR="00433114" w:rsidRDefault="00310878" w:rsidP="00433114">
      <w:pPr>
        <w:ind w:firstLine="0"/>
      </w:pPr>
      <w:r w:rsidRPr="00476931">
        <w:rPr>
          <w:color w:val="000000" w:themeColor="text1"/>
        </w:rPr>
        <w:t xml:space="preserve">samples collected from </w:t>
      </w:r>
      <w:proofErr w:type="spellStart"/>
      <w:r w:rsidRPr="00476931">
        <w:rPr>
          <w:color w:val="000000" w:themeColor="text1"/>
        </w:rPr>
        <w:t>Bayelva</w:t>
      </w:r>
      <w:proofErr w:type="spellEnd"/>
      <w:r w:rsidRPr="00476931">
        <w:rPr>
          <w:color w:val="000000" w:themeColor="text1"/>
        </w:rPr>
        <w:t>, Svalbard, yielded only two detectable peptide-like features. These soil samples have high clay content, limited estimated microbial biomass (~10</w:t>
      </w:r>
      <w:r w:rsidRPr="00476931">
        <w:rPr>
          <w:color w:val="000000" w:themeColor="text1"/>
          <w:vertAlign w:val="superscript"/>
        </w:rPr>
        <w:t>4</w:t>
      </w:r>
      <w:r w:rsidRPr="00476931">
        <w:rPr>
          <w:color w:val="000000" w:themeColor="text1"/>
        </w:rPr>
        <w:t xml:space="preserve"> cells per gram of soil), and humic substances in the soils also interfere with the protein extraction process and follow-up LC-MS/MS measurements. Therefore, the lack of detectable peptides without optimization was not unexpected.  Based on the results of the methodology testing with topsoil samples, 15g of lyophilized and sifted permafrost affected soils were processed using both the vortex-based and pressure-assisted extraction methods with a NaOH-based extraction buffer and an acidified aqueous wash incorporated into the PAC procedure. </w:t>
      </w:r>
      <w:r w:rsidRPr="00476931">
        <w:rPr>
          <w:b/>
          <w:bCs/>
          <w:color w:val="000000" w:themeColor="text1"/>
        </w:rPr>
        <w:t>Figure</w:t>
      </w:r>
      <w:r w:rsidRPr="00476931">
        <w:rPr>
          <w:color w:val="000000" w:themeColor="text1"/>
        </w:rPr>
        <w:t xml:space="preserve"> </w:t>
      </w:r>
      <w:r w:rsidRPr="00476931">
        <w:rPr>
          <w:b/>
          <w:bCs/>
          <w:color w:val="000000" w:themeColor="text1"/>
        </w:rPr>
        <w:t>3</w:t>
      </w:r>
      <w:r w:rsidR="009E08D4">
        <w:rPr>
          <w:b/>
          <w:bCs/>
          <w:color w:val="000000" w:themeColor="text1"/>
        </w:rPr>
        <w:t>-</w:t>
      </w:r>
      <w:r w:rsidRPr="00476931">
        <w:rPr>
          <w:b/>
          <w:bCs/>
          <w:color w:val="000000" w:themeColor="text1"/>
        </w:rPr>
        <w:t xml:space="preserve">5A </w:t>
      </w:r>
      <w:r w:rsidRPr="00476931">
        <w:rPr>
          <w:color w:val="000000" w:themeColor="text1"/>
        </w:rPr>
        <w:t xml:space="preserve">shows that both modified extraction methods reduce the relative abundance of singly charged precursor ions from a sample even with 7.5x material processed compared to the original methodology.  Doubly and triply charged ions, indicative of peptide-like ions, represented ~50% of precursor ions detected in each of the samples with optimized methodology, compared to 6% of the ion population in the original method.  This is a much higher percentage compared to the fraction of doubly and triply charged ions found in topsoil samples from the previous experiments utilizing the same methodology, indicating these permafrost soils had fewer interfering compounds present in the measured peptide mixture.  As no matching metagenomes were available for the permafrost samples used for methodology testing, </w:t>
      </w:r>
      <w:r w:rsidRPr="00476931">
        <w:rPr>
          <w:i/>
          <w:iCs/>
          <w:color w:val="000000" w:themeColor="text1"/>
        </w:rPr>
        <w:t>de novo</w:t>
      </w:r>
      <w:r w:rsidRPr="00476931">
        <w:rPr>
          <w:color w:val="000000" w:themeColor="text1"/>
        </w:rPr>
        <w:t xml:space="preserve"> peptide sequencing was used to determine the amino acid sequences of all peptide-like features.  In total, the original method yielded only two high-quality </w:t>
      </w:r>
      <w:r w:rsidRPr="00476931">
        <w:rPr>
          <w:i/>
          <w:iCs/>
          <w:color w:val="000000" w:themeColor="text1"/>
        </w:rPr>
        <w:t>de novo</w:t>
      </w:r>
      <w:r w:rsidRPr="00476931">
        <w:rPr>
          <w:color w:val="000000" w:themeColor="text1"/>
        </w:rPr>
        <w:t xml:space="preserve"> sequence tags compared to 270 and 6900 </w:t>
      </w:r>
      <w:r w:rsidRPr="00476931">
        <w:rPr>
          <w:i/>
          <w:iCs/>
          <w:color w:val="000000" w:themeColor="text1"/>
        </w:rPr>
        <w:t>de novo</w:t>
      </w:r>
      <w:r w:rsidRPr="00476931">
        <w:rPr>
          <w:color w:val="000000" w:themeColor="text1"/>
        </w:rPr>
        <w:t xml:space="preserve"> sequence tags identified in the pressure-</w:t>
      </w:r>
      <w:r w:rsidR="007744D0" w:rsidRPr="007744D0">
        <w:t xml:space="preserve"> </w:t>
      </w:r>
      <w:r w:rsidR="007744D0" w:rsidRPr="00476931">
        <w:t>assisted extraction and the optimized vortex-based extraction, respectively. The optimized vortex method ha</w:t>
      </w:r>
      <w:r w:rsidR="0089608E">
        <w:t>d the</w:t>
      </w:r>
      <w:r w:rsidR="007744D0" w:rsidRPr="00476931">
        <w:t xml:space="preserve"> most peptide-like features identified. However, the depth level is still limited compared to what would be expected for optimal</w:t>
      </w:r>
      <w:r w:rsidR="002B30B8">
        <w:t xml:space="preserve"> </w:t>
      </w:r>
      <w:r w:rsidR="002B30B8" w:rsidRPr="00476931">
        <w:t xml:space="preserve">metaproteome coverage in an environmental sample.  Of the 6900 </w:t>
      </w:r>
      <w:r w:rsidR="002B30B8" w:rsidRPr="00476931">
        <w:rPr>
          <w:i/>
          <w:iCs/>
        </w:rPr>
        <w:t>de novo</w:t>
      </w:r>
      <w:r w:rsidR="002B30B8" w:rsidRPr="00476931">
        <w:t xml:space="preserve"> sequence</w:t>
      </w:r>
    </w:p>
    <w:p w14:paraId="4A7BBF10" w14:textId="42553F91" w:rsidR="009653CC" w:rsidRDefault="009653CC" w:rsidP="00433114">
      <w:pPr>
        <w:ind w:firstLine="0"/>
      </w:pPr>
      <w:r w:rsidRPr="00476931">
        <w:rPr>
          <w:noProof/>
        </w:rPr>
        <w:lastRenderedPageBreak/>
        <w:drawing>
          <wp:inline distT="0" distB="0" distL="0" distR="0" wp14:anchorId="65FF4996" wp14:editId="0DB6DCEE">
            <wp:extent cx="5194300" cy="2019115"/>
            <wp:effectExtent l="0" t="0" r="0" b="635"/>
            <wp:docPr id="2051" name="Graphic 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extLst>
                        <a:ext uri="{96DAC541-7B7A-43D3-8B79-37D633B846F1}">
                          <asvg:svgBlip xmlns:asvg="http://schemas.microsoft.com/office/drawing/2016/SVG/main" r:embed="rId41"/>
                        </a:ext>
                      </a:extLst>
                    </a:blip>
                    <a:srcRect t="6173" b="30864"/>
                    <a:stretch/>
                  </pic:blipFill>
                  <pic:spPr bwMode="auto">
                    <a:xfrm>
                      <a:off x="0" y="0"/>
                      <a:ext cx="5222231" cy="2029972"/>
                    </a:xfrm>
                    <a:prstGeom prst="rect">
                      <a:avLst/>
                    </a:prstGeom>
                    <a:ln>
                      <a:noFill/>
                    </a:ln>
                    <a:extLst>
                      <a:ext uri="{53640926-AAD7-44D8-BBD7-CCE9431645EC}">
                        <a14:shadowObscured xmlns:a14="http://schemas.microsoft.com/office/drawing/2010/main"/>
                      </a:ext>
                    </a:extLst>
                  </pic:spPr>
                </pic:pic>
              </a:graphicData>
            </a:graphic>
          </wp:inline>
        </w:drawing>
      </w:r>
    </w:p>
    <w:p w14:paraId="7F3DCEAB" w14:textId="2439DCB2" w:rsidR="004E77BA" w:rsidRPr="004E77BA" w:rsidRDefault="009653CC" w:rsidP="009653CC">
      <w:pPr>
        <w:pStyle w:val="Caption"/>
        <w:rPr>
          <w:b w:val="0"/>
          <w:bCs/>
        </w:rPr>
      </w:pPr>
      <w:bookmarkStart w:id="158" w:name="_Toc110246931"/>
      <w:r>
        <w:t xml:space="preserve">Figure </w:t>
      </w:r>
      <w:fldSimple w:instr=" STYLEREF 1 \s ">
        <w:r w:rsidR="00AC2094">
          <w:rPr>
            <w:noProof/>
          </w:rPr>
          <w:t>3</w:t>
        </w:r>
      </w:fldSimple>
      <w:r w:rsidR="00AC2094">
        <w:noBreakHyphen/>
      </w:r>
      <w:fldSimple w:instr=" SEQ Figure \* ARABIC \s 1 ">
        <w:r w:rsidR="00AC2094">
          <w:rPr>
            <w:noProof/>
          </w:rPr>
          <w:t>5</w:t>
        </w:r>
      </w:fldSimple>
      <w:r>
        <w:t xml:space="preserve">  </w:t>
      </w:r>
      <w:r w:rsidR="004E77BA" w:rsidRPr="004E77BA">
        <w:t>Evaluation of LC-MS/MS results for optimized protein extraction in permafrost soils</w:t>
      </w:r>
      <w:r w:rsidR="004E77BA">
        <w:t>.</w:t>
      </w:r>
      <w:bookmarkEnd w:id="158"/>
      <w:r w:rsidR="004E77BA">
        <w:t xml:space="preserve"> </w:t>
      </w:r>
      <w:r w:rsidR="004E77BA" w:rsidRPr="004E77BA">
        <w:t xml:space="preserve"> </w:t>
      </w:r>
      <w:r w:rsidR="004E77BA">
        <w:rPr>
          <w:b w:val="0"/>
          <w:bCs/>
        </w:rPr>
        <w:fldChar w:fldCharType="begin"/>
      </w:r>
      <w:r w:rsidR="004E77BA">
        <w:rPr>
          <w:b w:val="0"/>
          <w:bCs/>
        </w:rPr>
        <w:instrText xml:space="preserve"> </w:instrText>
      </w:r>
    </w:p>
    <w:p w14:paraId="6F36179F" w14:textId="77777777" w:rsidR="004E77BA" w:rsidRPr="004E77BA" w:rsidRDefault="004E77BA" w:rsidP="009653CC">
      <w:pPr>
        <w:pStyle w:val="Caption"/>
        <w:rPr>
          <w:b w:val="0"/>
          <w:bCs/>
        </w:rPr>
      </w:pPr>
    </w:p>
    <w:p w14:paraId="39E6402A" w14:textId="5449E5A1" w:rsidR="009653CC" w:rsidRPr="009653CC" w:rsidRDefault="004E77BA" w:rsidP="009653CC">
      <w:pPr>
        <w:pStyle w:val="Caption"/>
        <w:rPr>
          <w:b w:val="0"/>
          <w:bCs/>
        </w:rPr>
      </w:pPr>
      <w:r>
        <w:rPr>
          <w:b w:val="0"/>
          <w:bCs/>
        </w:rPr>
        <w:instrText xml:space="preserve"> </w:instrText>
      </w:r>
      <w:r>
        <w:rPr>
          <w:b w:val="0"/>
          <w:bCs/>
        </w:rPr>
        <w:fldChar w:fldCharType="end"/>
      </w:r>
      <w:r w:rsidR="009653CC" w:rsidRPr="009653CC">
        <w:rPr>
          <w:b w:val="0"/>
          <w:bCs/>
        </w:rPr>
        <w:t xml:space="preserve">(A) The charge state distribution of precursor ions detected by LC-MS/MS for permafrost-affected soils using different extraction techniques.  </w:t>
      </w:r>
      <w:r w:rsidR="009653CC" w:rsidRPr="009653CC">
        <w:rPr>
          <w:b w:val="0"/>
          <w:bCs/>
        </w:rPr>
        <w:fldChar w:fldCharType="begin"/>
      </w:r>
      <w:r w:rsidR="009653CC" w:rsidRPr="009653CC">
        <w:rPr>
          <w:b w:val="0"/>
          <w:bCs/>
        </w:rPr>
        <w:instrText xml:space="preserve"> </w:instrText>
      </w:r>
    </w:p>
    <w:p w14:paraId="51386060" w14:textId="77777777" w:rsidR="009653CC" w:rsidRPr="009653CC" w:rsidRDefault="009653CC" w:rsidP="009653CC">
      <w:pPr>
        <w:pStyle w:val="Caption"/>
        <w:rPr>
          <w:b w:val="0"/>
          <w:bCs/>
        </w:rPr>
      </w:pPr>
    </w:p>
    <w:p w14:paraId="0A38E485" w14:textId="09F7C80B" w:rsidR="009653CC" w:rsidRDefault="009653CC" w:rsidP="00864A2A">
      <w:pPr>
        <w:pStyle w:val="Caption"/>
      </w:pPr>
      <w:r w:rsidRPr="009653CC">
        <w:rPr>
          <w:b w:val="0"/>
          <w:bCs/>
        </w:rPr>
        <w:instrText xml:space="preserve"> </w:instrText>
      </w:r>
      <w:r w:rsidRPr="009653CC">
        <w:rPr>
          <w:b w:val="0"/>
          <w:bCs/>
        </w:rPr>
        <w:fldChar w:fldCharType="end"/>
      </w:r>
      <w:bookmarkStart w:id="159" w:name="_Toc107573935"/>
      <w:r w:rsidRPr="009653CC">
        <w:rPr>
          <w:b w:val="0"/>
          <w:bCs/>
        </w:rPr>
        <w:t xml:space="preserve">Three extraction methods were evaluated using soil collected in a single soil core at the same depth (30cm below the soil surface).  Two grams of soil were prepared for the original vortex-based extraction.  Fifteen grams of soil were prepared for the optimized vortex-based extraction and the espresso machine pressure-assisted extraction.  (B) </w:t>
      </w:r>
      <w:proofErr w:type="spellStart"/>
      <w:r w:rsidRPr="009653CC">
        <w:rPr>
          <w:b w:val="0"/>
          <w:bCs/>
        </w:rPr>
        <w:t>Unipept</w:t>
      </w:r>
      <w:proofErr w:type="spellEnd"/>
      <w:r w:rsidRPr="009653CC">
        <w:rPr>
          <w:b w:val="0"/>
          <w:bCs/>
        </w:rPr>
        <w:t xml:space="preserve"> phylum-level taxonomy of high-quality de novo sequence tags with no matching database entries based on a lowest common ancestor (LCA) analysis.  De novo sequence tags were considered high quality if they had an average local confidence score of greater than 80% and a minimum of six amino acids.   Only de novo sequence tags with no matches to database entries for common mass spectrometry contaminants were analyzed.</w:t>
      </w:r>
      <w:bookmarkEnd w:id="159"/>
    </w:p>
    <w:p w14:paraId="065A84F7" w14:textId="0806DC2A" w:rsidR="009653CC" w:rsidRDefault="009653CC" w:rsidP="009653CC">
      <w:pPr>
        <w:pStyle w:val="BodyText"/>
      </w:pPr>
      <w:r>
        <w:br w:type="page"/>
      </w:r>
    </w:p>
    <w:p w14:paraId="791D0176" w14:textId="6069F9BA" w:rsidR="005D6CC5" w:rsidRDefault="00433114" w:rsidP="005D6CC5">
      <w:pPr>
        <w:ind w:firstLine="0"/>
      </w:pPr>
      <w:r w:rsidRPr="00476931">
        <w:lastRenderedPageBreak/>
        <w:t>tags, only 884 of these sequence tags could be matched to tryptic peptides with</w:t>
      </w:r>
      <w:r>
        <w:t xml:space="preserve"> </w:t>
      </w:r>
      <w:r w:rsidR="005D6CC5" w:rsidRPr="00476931">
        <w:t xml:space="preserve">UniProt entries. Many of these peptides mapped to proteins related to core activities like translation, such as elongation factors and ribosomal proteins.  </w:t>
      </w:r>
      <w:r w:rsidR="005D6CC5" w:rsidRPr="00476931">
        <w:rPr>
          <w:b/>
          <w:bCs/>
        </w:rPr>
        <w:t>Figure 3</w:t>
      </w:r>
      <w:r w:rsidR="009E08D4">
        <w:rPr>
          <w:b/>
          <w:bCs/>
        </w:rPr>
        <w:t>-</w:t>
      </w:r>
      <w:r w:rsidR="005D6CC5" w:rsidRPr="00476931">
        <w:rPr>
          <w:b/>
          <w:bCs/>
        </w:rPr>
        <w:t>5B</w:t>
      </w:r>
      <w:r w:rsidR="005D6CC5" w:rsidRPr="00476931">
        <w:t xml:space="preserve"> shows</w:t>
      </w:r>
      <w:r w:rsidR="005D6CC5" w:rsidRPr="000505A9">
        <w:t xml:space="preserve"> </w:t>
      </w:r>
      <w:r w:rsidR="005D6CC5" w:rsidRPr="00476931">
        <w:t xml:space="preserve">a </w:t>
      </w:r>
      <w:proofErr w:type="spellStart"/>
      <w:r w:rsidR="005D6CC5" w:rsidRPr="00476931">
        <w:t>treemap</w:t>
      </w:r>
      <w:proofErr w:type="spellEnd"/>
      <w:r w:rsidR="005D6CC5" w:rsidRPr="00476931">
        <w:t xml:space="preserve"> of the phylum-level results from a biodiversity analysis where the lowest</w:t>
      </w:r>
    </w:p>
    <w:p w14:paraId="6D3D7CC9" w14:textId="05EFCACB" w:rsidR="007744D0" w:rsidRPr="00476931" w:rsidRDefault="007744D0" w:rsidP="007744D0">
      <w:pPr>
        <w:ind w:firstLine="0"/>
      </w:pPr>
      <w:r w:rsidRPr="00476931">
        <w:t xml:space="preserve">common ancestor of each UniProt entry for matching peptides was calculated. Most </w:t>
      </w:r>
      <w:r w:rsidRPr="00476931">
        <w:rPr>
          <w:i/>
          <w:iCs/>
        </w:rPr>
        <w:t>de novo</w:t>
      </w:r>
      <w:r w:rsidRPr="00476931">
        <w:t xml:space="preserve"> sequence tags mapped to bacterial proteins for organisms commonly found in </w:t>
      </w:r>
    </w:p>
    <w:p w14:paraId="1362C4AE" w14:textId="4A3C3449" w:rsidR="0089608E" w:rsidRDefault="0089608E" w:rsidP="0089608E">
      <w:pPr>
        <w:ind w:firstLine="0"/>
      </w:pPr>
      <w:r w:rsidRPr="00476931">
        <w:t>soil samples.  Many of the microorganisms identified matched organisms identified in the metagenomic analysis of soil cores collected near the sampling site in this study</w:t>
      </w:r>
      <w:sdt>
        <w:sdtPr>
          <w:rPr>
            <w:color w:val="000000"/>
            <w:vertAlign w:val="superscript"/>
          </w:rPr>
          <w:tag w:val="MENDELEY_CITATION_v3_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"/>
          <w:id w:val="183948320"/>
          <w:placeholder>
            <w:docPart w:val="05CCF127058B4A54BEC63B6351B3608B"/>
          </w:placeholder>
        </w:sdtPr>
        <w:sdtEndPr/>
        <w:sdtContent>
          <w:r w:rsidR="003204EA" w:rsidRPr="003204EA">
            <w:rPr>
              <w:rFonts w:eastAsia="Times New Roman"/>
              <w:color w:val="000000"/>
              <w:vertAlign w:val="superscript"/>
            </w:rPr>
            <w:t>131</w:t>
          </w:r>
        </w:sdtContent>
      </w:sdt>
      <w:r w:rsidRPr="00476931">
        <w:t xml:space="preserve">.  At this shallow measurement depth, metaproteomics can provide insights into which organisms in a community are active but cannot provide many details about specific functions and processes being carried out by those organisms.  </w:t>
      </w:r>
    </w:p>
    <w:p w14:paraId="347A4ECE" w14:textId="77777777" w:rsidR="0089608E" w:rsidRDefault="0089608E" w:rsidP="0089608E">
      <w:pPr>
        <w:ind w:firstLine="0"/>
      </w:pPr>
    </w:p>
    <w:p w14:paraId="3E6C6383" w14:textId="54F3882E" w:rsidR="00310878" w:rsidRPr="00F2061D" w:rsidRDefault="006B38CD" w:rsidP="00F2061D">
      <w:pPr>
        <w:pStyle w:val="Heading3"/>
      </w:pPr>
      <w:bookmarkStart w:id="160" w:name="_Toc110250251"/>
      <w:bookmarkStart w:id="161" w:name="_Toc110250508"/>
      <w:bookmarkStart w:id="162" w:name="_Toc110250639"/>
      <w:r w:rsidRPr="00F2061D">
        <w:t xml:space="preserve">3.2.3  </w:t>
      </w:r>
      <w:r w:rsidR="00310878" w:rsidRPr="00F2061D">
        <w:t>Discussion</w:t>
      </w:r>
      <w:r w:rsidR="0067780D">
        <w:t>.</w:t>
      </w:r>
      <w:bookmarkEnd w:id="160"/>
      <w:bookmarkEnd w:id="161"/>
      <w:bookmarkEnd w:id="162"/>
    </w:p>
    <w:p w14:paraId="439A23FD" w14:textId="77777777" w:rsidR="006B38CD" w:rsidRPr="00476931" w:rsidRDefault="006B38CD" w:rsidP="006B38CD">
      <w:pPr>
        <w:rPr>
          <w:color w:val="000000" w:themeColor="text1"/>
        </w:rPr>
      </w:pPr>
    </w:p>
    <w:p w14:paraId="5F325C79" w14:textId="75191B0B" w:rsidR="00310878" w:rsidRPr="00476931" w:rsidRDefault="00310878" w:rsidP="00343C78">
      <w:pPr>
        <w:rPr>
          <w:rFonts w:ascii="Times New Roman" w:hAnsi="Times New Roman" w:cs="Times New Roman"/>
          <w:color w:val="000000" w:themeColor="text1"/>
        </w:rPr>
      </w:pPr>
      <w:r w:rsidRPr="00476931">
        <w:rPr>
          <w:rFonts w:ascii="Times New Roman" w:hAnsi="Times New Roman" w:cs="Times New Roman"/>
          <w:color w:val="000000" w:themeColor="text1"/>
        </w:rPr>
        <w:t>In total, this study highlights the challenges associated with extracting proteins from complex soil matrices.  Factors such as low microbial biomass, co-extraction of interfering compounds, and soil mineralogy impact the protein extraction efficiency and resulting LC-MS/MS measurements. As shown in this study, the success of protein extraction and removal of interfering compounds can be very different between soil types when the same exact method is used for extraction, emphasizing that there is not a universal approach to extracting proteins from all soil types.  In an ideal setting, each step in the methodology approach, including the type of extraction, chemical extractants, and protein clean-up method, should be assessed and optimized for the analyzed soil type. Furthermore, depending on the experimental questions being addressed in a study, alternative approaches may be necessary to achieve the metaproteome depth required to answer those questions.  These alternative approaches include indirect protein extraction methods where microbial cells are enriched before extraction. Many indirect protein extraction methods introduce some bias since</w:t>
      </w:r>
      <w:r w:rsidRPr="00476931">
        <w:rPr>
          <w:rFonts w:ascii="Times New Roman" w:hAnsi="Times New Roman" w:cs="Times New Roman"/>
          <w:b/>
          <w:bCs/>
          <w:color w:val="000000" w:themeColor="text1"/>
        </w:rPr>
        <w:t xml:space="preserve"> </w:t>
      </w:r>
      <w:r w:rsidRPr="00476931">
        <w:rPr>
          <w:rFonts w:ascii="Times New Roman" w:hAnsi="Times New Roman" w:cs="Times New Roman"/>
          <w:color w:val="000000" w:themeColor="text1"/>
        </w:rPr>
        <w:t xml:space="preserve">only a small fraction of the cells in the soil are extracted, and the extracted cells do not always accurately represent the total biodiversity in the soil sample. Care should be taken to </w:t>
      </w:r>
      <w:r w:rsidRPr="00476931">
        <w:rPr>
          <w:rFonts w:ascii="Times New Roman" w:hAnsi="Times New Roman" w:cs="Times New Roman"/>
          <w:color w:val="000000" w:themeColor="text1"/>
        </w:rPr>
        <w:lastRenderedPageBreak/>
        <w:t>determine what measurement depth is necessary and to not come to false or incomplete interpretations of the data based on methodological bias introduced in sample preparation.  Despite these limitations, metaproteomics directly measures the function</w:t>
      </w:r>
      <w:r w:rsidR="00895D16">
        <w:rPr>
          <w:rFonts w:ascii="Times New Roman" w:hAnsi="Times New Roman" w:cs="Times New Roman"/>
          <w:color w:val="000000" w:themeColor="text1"/>
        </w:rPr>
        <w:t xml:space="preserve"> </w:t>
      </w:r>
      <w:r w:rsidR="00895D16" w:rsidRPr="00476931">
        <w:rPr>
          <w:rFonts w:ascii="Times New Roman" w:hAnsi="Times New Roman" w:cs="Times New Roman"/>
          <w:color w:val="000000" w:themeColor="text1"/>
        </w:rPr>
        <w:t xml:space="preserve">of soil microbiota. It provides an excellent complement to other omics approaches </w:t>
      </w:r>
      <w:r w:rsidRPr="00476931">
        <w:rPr>
          <w:rFonts w:ascii="Times New Roman" w:hAnsi="Times New Roman" w:cs="Times New Roman"/>
          <w:color w:val="000000" w:themeColor="text1"/>
        </w:rPr>
        <w:t>where microbial activity cannot be directly measured.</w:t>
      </w:r>
    </w:p>
    <w:p w14:paraId="47EF545B" w14:textId="77777777" w:rsidR="006B38CD" w:rsidRPr="00476931" w:rsidRDefault="006B38CD" w:rsidP="00343C78">
      <w:pPr>
        <w:rPr>
          <w:rFonts w:ascii="Times New Roman" w:hAnsi="Times New Roman" w:cs="Times New Roman"/>
          <w:color w:val="000000" w:themeColor="text1"/>
        </w:rPr>
      </w:pPr>
    </w:p>
    <w:p w14:paraId="2A127D87" w14:textId="68B2EEB7" w:rsidR="00310878" w:rsidRPr="00476931" w:rsidRDefault="006B38CD" w:rsidP="00F33FBD">
      <w:pPr>
        <w:pStyle w:val="Heading3"/>
      </w:pPr>
      <w:bookmarkStart w:id="163" w:name="_Toc110250252"/>
      <w:bookmarkStart w:id="164" w:name="_Toc110250509"/>
      <w:bookmarkStart w:id="165" w:name="_Toc110250640"/>
      <w:r w:rsidRPr="00476931">
        <w:t xml:space="preserve">3.2.4  </w:t>
      </w:r>
      <w:r w:rsidR="00310878" w:rsidRPr="00476931">
        <w:t>Methods</w:t>
      </w:r>
      <w:r w:rsidR="0067780D">
        <w:t>.</w:t>
      </w:r>
      <w:bookmarkEnd w:id="163"/>
      <w:bookmarkEnd w:id="164"/>
      <w:bookmarkEnd w:id="165"/>
    </w:p>
    <w:p w14:paraId="73FB3DAE" w14:textId="77777777" w:rsidR="006B38CD" w:rsidRPr="00476931" w:rsidRDefault="006B38CD" w:rsidP="006B38CD">
      <w:pPr>
        <w:ind w:firstLine="0"/>
        <w:rPr>
          <w:rFonts w:ascii="Times New Roman" w:hAnsi="Times New Roman" w:cs="Times New Roman"/>
          <w:b/>
          <w:bCs/>
          <w:color w:val="000000" w:themeColor="text1"/>
        </w:rPr>
      </w:pPr>
    </w:p>
    <w:p w14:paraId="5BE01C14" w14:textId="37862E4B" w:rsidR="006B38CD" w:rsidRDefault="006B38CD" w:rsidP="00F33FBD">
      <w:pPr>
        <w:pStyle w:val="Heading4"/>
      </w:pPr>
      <w:bookmarkStart w:id="166" w:name="_Toc110250253"/>
      <w:bookmarkStart w:id="167" w:name="_Toc110250510"/>
      <w:bookmarkStart w:id="168" w:name="_Toc110250641"/>
      <w:r w:rsidRPr="00476931">
        <w:t xml:space="preserve">3.2.4.1  </w:t>
      </w:r>
      <w:r w:rsidR="00310878" w:rsidRPr="00476931">
        <w:t>Soil selection</w:t>
      </w:r>
      <w:r w:rsidR="0067780D">
        <w:t>.</w:t>
      </w:r>
      <w:bookmarkEnd w:id="166"/>
      <w:bookmarkEnd w:id="167"/>
      <w:bookmarkEnd w:id="168"/>
    </w:p>
    <w:p w14:paraId="0D6891FB" w14:textId="77777777" w:rsidR="00BE2923" w:rsidRPr="00BE2923" w:rsidRDefault="00BE2923" w:rsidP="00BE2923"/>
    <w:p w14:paraId="22666947" w14:textId="7FB511F7" w:rsidR="00310878" w:rsidRPr="00476931" w:rsidRDefault="00310878" w:rsidP="006B38CD">
      <w:pPr>
        <w:rPr>
          <w:color w:val="000000" w:themeColor="text1"/>
        </w:rPr>
      </w:pPr>
      <w:r w:rsidRPr="00476931">
        <w:rPr>
          <w:color w:val="000000" w:themeColor="text1"/>
        </w:rPr>
        <w:t>For this experiment, two different soil types were selected for testing protein extraction methods to evaluate the robustness of the methodology across various soil chemistries.</w:t>
      </w:r>
      <w:r w:rsidRPr="00476931">
        <w:rPr>
          <w:b/>
          <w:bCs/>
          <w:color w:val="000000" w:themeColor="text1"/>
        </w:rPr>
        <w:t xml:space="preserve">  </w:t>
      </w:r>
      <w:r w:rsidRPr="00476931">
        <w:rPr>
          <w:color w:val="000000" w:themeColor="text1"/>
        </w:rPr>
        <w:t xml:space="preserve">For the collection of permafrost-affected soils, an active layer core was collected from permafrost sites near the </w:t>
      </w:r>
      <w:proofErr w:type="spellStart"/>
      <w:r w:rsidRPr="00476931">
        <w:rPr>
          <w:color w:val="000000" w:themeColor="text1"/>
        </w:rPr>
        <w:t>Bayelva</w:t>
      </w:r>
      <w:proofErr w:type="spellEnd"/>
      <w:r w:rsidRPr="00476931">
        <w:rPr>
          <w:color w:val="000000" w:themeColor="text1"/>
        </w:rPr>
        <w:t xml:space="preserve"> River in the </w:t>
      </w:r>
      <w:proofErr w:type="spellStart"/>
      <w:r w:rsidRPr="00476931">
        <w:rPr>
          <w:color w:val="000000" w:themeColor="text1"/>
        </w:rPr>
        <w:t>Leirhaugen</w:t>
      </w:r>
      <w:proofErr w:type="spellEnd"/>
      <w:r w:rsidRPr="00476931">
        <w:rPr>
          <w:color w:val="000000" w:themeColor="text1"/>
        </w:rPr>
        <w:t xml:space="preserve"> glacier moraine in Ny </w:t>
      </w:r>
      <w:proofErr w:type="spellStart"/>
      <w:r w:rsidRPr="00476931">
        <w:rPr>
          <w:color w:val="000000" w:themeColor="text1"/>
        </w:rPr>
        <w:t>Ålesund</w:t>
      </w:r>
      <w:proofErr w:type="spellEnd"/>
      <w:r w:rsidRPr="00476931">
        <w:rPr>
          <w:color w:val="000000" w:themeColor="text1"/>
        </w:rPr>
        <w:t xml:space="preserve">, Svalbard, Norway.  The soil core consisted of the first 30cm of soil below surface level and was removed in core liners to retain the permafrost structure.  The texture and physical characteristics of the soil varied with depth, and colored layers could be observed from different depths of the same borehole—indicating that different soil layers contained different geochemistry and </w:t>
      </w:r>
      <w:r w:rsidRPr="00476931">
        <w:rPr>
          <w:i/>
          <w:iCs/>
          <w:color w:val="000000" w:themeColor="text1"/>
        </w:rPr>
        <w:t>in situ</w:t>
      </w:r>
      <w:r w:rsidRPr="00476931">
        <w:rPr>
          <w:color w:val="000000" w:themeColor="text1"/>
        </w:rPr>
        <w:t xml:space="preserve"> microbial metabolism.  The core was sliced into 2-cm depth intervals using a sterile geological sampling hammer and chisel and frozen at -80C until processing.  Commercially available topsoil was used in the experiments as a secondary soil type. </w:t>
      </w:r>
    </w:p>
    <w:p w14:paraId="488A15F5" w14:textId="77777777" w:rsidR="006B38CD" w:rsidRPr="00476931" w:rsidRDefault="006B38CD" w:rsidP="006B38CD">
      <w:pPr>
        <w:ind w:left="0" w:firstLine="0"/>
        <w:rPr>
          <w:rStyle w:val="Heading3Char"/>
        </w:rPr>
      </w:pPr>
    </w:p>
    <w:p w14:paraId="4DEA956B" w14:textId="31AAB303" w:rsidR="006B38CD" w:rsidRPr="00476931" w:rsidRDefault="006B38CD" w:rsidP="00F33FBD">
      <w:pPr>
        <w:pStyle w:val="Heading4"/>
      </w:pPr>
      <w:bookmarkStart w:id="169" w:name="_Toc110250254"/>
      <w:bookmarkStart w:id="170" w:name="_Toc110250511"/>
      <w:bookmarkStart w:id="171" w:name="_Toc110250642"/>
      <w:r w:rsidRPr="00476931">
        <w:t xml:space="preserve">3.2.4.2  </w:t>
      </w:r>
      <w:r w:rsidR="00310878" w:rsidRPr="00476931">
        <w:t>PAC adaptio</w:t>
      </w:r>
      <w:r w:rsidR="00F33FBD" w:rsidRPr="00476931">
        <w:t>n</w:t>
      </w:r>
      <w:r w:rsidR="0067780D">
        <w:t>.</w:t>
      </w:r>
      <w:bookmarkEnd w:id="169"/>
      <w:bookmarkEnd w:id="170"/>
      <w:bookmarkEnd w:id="171"/>
    </w:p>
    <w:p w14:paraId="0C79BA02" w14:textId="77777777" w:rsidR="00F33FBD" w:rsidRPr="00476931" w:rsidRDefault="00F33FBD" w:rsidP="00F33FBD">
      <w:pPr>
        <w:rPr>
          <w:color w:val="000000" w:themeColor="text1"/>
        </w:rPr>
      </w:pPr>
    </w:p>
    <w:p w14:paraId="4DE19C56" w14:textId="4E05EA3C" w:rsidR="00310878" w:rsidRPr="00476931" w:rsidRDefault="00310878" w:rsidP="006B38CD">
      <w:pPr>
        <w:rPr>
          <w:color w:val="000000" w:themeColor="text1"/>
          <w:lang w:val="en"/>
        </w:rPr>
      </w:pPr>
      <w:r w:rsidRPr="00476931">
        <w:rPr>
          <w:color w:val="000000" w:themeColor="text1"/>
        </w:rPr>
        <w:t xml:space="preserve">To assess whether humic acids bind to microparticles in addition to proteins, 1mg of commercial humic acid standard (Sigma Aldrich) was dissolved in 1mL of 1 mL of 100 mM Tris-HCl buffer (pH 8).   Varying amounts of the dissolved humic acid standard (0, 12.5, 25, 50, 100, 200, and 400µg) were added to 400µg of proteins from </w:t>
      </w:r>
      <w:r w:rsidRPr="00476931">
        <w:rPr>
          <w:i/>
          <w:iCs/>
          <w:color w:val="000000" w:themeColor="text1"/>
        </w:rPr>
        <w:t>C. autoethanogenum</w:t>
      </w:r>
      <w:r w:rsidRPr="00476931">
        <w:rPr>
          <w:color w:val="000000" w:themeColor="text1"/>
        </w:rPr>
        <w:t xml:space="preserve"> cell lysates.  </w:t>
      </w:r>
      <w:r w:rsidRPr="00476931">
        <w:rPr>
          <w:color w:val="000000" w:themeColor="text1"/>
          <w:lang w:val="en"/>
        </w:rPr>
        <w:t xml:space="preserve">300ug of magnetic beads (1 micron, </w:t>
      </w:r>
      <w:proofErr w:type="spellStart"/>
      <w:r w:rsidRPr="00476931">
        <w:rPr>
          <w:color w:val="000000" w:themeColor="text1"/>
          <w:lang w:val="en"/>
        </w:rPr>
        <w:t>SpeedBead</w:t>
      </w:r>
      <w:proofErr w:type="spellEnd"/>
      <w:r w:rsidRPr="00476931">
        <w:rPr>
          <w:color w:val="000000" w:themeColor="text1"/>
          <w:lang w:val="en"/>
        </w:rPr>
        <w:t xml:space="preserve"> </w:t>
      </w:r>
      <w:r w:rsidRPr="00476931">
        <w:rPr>
          <w:color w:val="000000" w:themeColor="text1"/>
          <w:lang w:val="en"/>
        </w:rPr>
        <w:lastRenderedPageBreak/>
        <w:t>Magnetic Carboxylate; GE Healthcare UK) was added to each sample. Samples were then adjusted to 70% acetonitrile to induce aggregation of proteins and humic acids. Aggregated proteins and humic acids were washed on a magnetic rack with 1mL of 100% acetonitrile, followed by 1mL of 70% ethanol. The binding of humic acid standards to the magnetic beads during the aggregation process was evaluated by the size of the resulting bead/protein/humic acid pellet.</w:t>
      </w:r>
    </w:p>
    <w:p w14:paraId="63377D63" w14:textId="2403EF07" w:rsidR="00310878" w:rsidRPr="00476931" w:rsidRDefault="00310878" w:rsidP="006B38CD">
      <w:pPr>
        <w:rPr>
          <w:color w:val="000000" w:themeColor="text1"/>
        </w:rPr>
      </w:pPr>
      <w:r w:rsidRPr="00476931">
        <w:rPr>
          <w:color w:val="000000" w:themeColor="text1"/>
          <w:lang w:val="en"/>
        </w:rPr>
        <w:t>To assess the possibility that adding an acidified aqueous wash step following protein aggregation on the magnetic beads</w:t>
      </w:r>
      <w:r w:rsidRPr="00476931">
        <w:rPr>
          <w:color w:val="000000" w:themeColor="text1"/>
        </w:rPr>
        <w:t xml:space="preserve"> interferes with the protein digestion process and reduces protein recovery</w:t>
      </w:r>
      <w:r w:rsidRPr="00476931">
        <w:rPr>
          <w:color w:val="000000" w:themeColor="text1"/>
          <w:lang w:val="en"/>
        </w:rPr>
        <w:t xml:space="preserve">, 300µg of crude proteins from </w:t>
      </w:r>
      <w:r w:rsidRPr="00476931">
        <w:rPr>
          <w:i/>
          <w:iCs/>
          <w:color w:val="000000" w:themeColor="text1"/>
        </w:rPr>
        <w:t>C. autoethanogenum</w:t>
      </w:r>
      <w:r w:rsidRPr="00476931">
        <w:rPr>
          <w:color w:val="000000" w:themeColor="text1"/>
        </w:rPr>
        <w:t xml:space="preserve"> cell lysates were aggregated on microparticle beads.  Proteins were then washed according to the PAC protocol, with the optional wash of 1mL 1% formic acid/</w:t>
      </w:r>
      <w:r w:rsidRPr="00476931">
        <w:rPr>
          <w:rFonts w:eastAsiaTheme="minorEastAsia"/>
          <w:color w:val="000000" w:themeColor="text1"/>
          <w:kern w:val="24"/>
        </w:rPr>
        <w:t xml:space="preserve"> </w:t>
      </w:r>
      <w:r w:rsidRPr="00476931">
        <w:rPr>
          <w:color w:val="000000" w:themeColor="text1"/>
        </w:rPr>
        <w:t>LC-MS/MS grade H</w:t>
      </w:r>
      <w:r w:rsidRPr="00476931">
        <w:rPr>
          <w:color w:val="000000" w:themeColor="text1"/>
          <w:vertAlign w:val="subscript"/>
        </w:rPr>
        <w:t>2</w:t>
      </w:r>
      <w:r w:rsidRPr="00476931">
        <w:rPr>
          <w:color w:val="000000" w:themeColor="text1"/>
        </w:rPr>
        <w:t>O. After washing, captured proteins were resuspended in 4% SDS/100 mM Tris-HCl buffer (pH 8) and boiled at 90°C for 10 minutes. Recovered proteins were quantified via NanoDrop Scopes A205.</w:t>
      </w:r>
    </w:p>
    <w:p w14:paraId="45F5AEE4" w14:textId="77777777" w:rsidR="006B38CD" w:rsidRPr="00476931" w:rsidRDefault="006B38CD" w:rsidP="006B38CD">
      <w:pPr>
        <w:rPr>
          <w:color w:val="000000" w:themeColor="text1"/>
        </w:rPr>
      </w:pPr>
    </w:p>
    <w:p w14:paraId="2D99B61D" w14:textId="7CA243AB" w:rsidR="00F33FBD" w:rsidRPr="00476931" w:rsidRDefault="006B38CD" w:rsidP="00F33FBD">
      <w:pPr>
        <w:pStyle w:val="Heading4"/>
      </w:pPr>
      <w:bookmarkStart w:id="172" w:name="_Toc110250255"/>
      <w:bookmarkStart w:id="173" w:name="_Toc110250512"/>
      <w:bookmarkStart w:id="174" w:name="_Toc110250643"/>
      <w:r w:rsidRPr="00476931">
        <w:t xml:space="preserve">3.2.4.3  </w:t>
      </w:r>
      <w:r w:rsidR="00310878" w:rsidRPr="00476931">
        <w:t>Extractant compatibility</w:t>
      </w:r>
      <w:r w:rsidR="0067780D">
        <w:t>.</w:t>
      </w:r>
      <w:bookmarkEnd w:id="172"/>
      <w:bookmarkEnd w:id="173"/>
      <w:bookmarkEnd w:id="174"/>
    </w:p>
    <w:p w14:paraId="0C6D773F" w14:textId="77777777" w:rsidR="00F33FBD" w:rsidRPr="00476931" w:rsidRDefault="00F33FBD" w:rsidP="00F33FBD">
      <w:pPr>
        <w:pStyle w:val="Heading3"/>
      </w:pPr>
    </w:p>
    <w:p w14:paraId="62D21940" w14:textId="7CEC3300" w:rsidR="00310878" w:rsidRPr="00476931" w:rsidRDefault="00310878" w:rsidP="00F33FBD">
      <w:pPr>
        <w:rPr>
          <w:color w:val="000000" w:themeColor="text1"/>
        </w:rPr>
      </w:pPr>
      <w:r w:rsidRPr="00476931">
        <w:rPr>
          <w:color w:val="000000" w:themeColor="text1"/>
        </w:rPr>
        <w:t>The compatibility of various chemical extractants was evaluated for both soil and mechanical extraction types.  For each extraction method tested, four different extraction buffers were used (LC-MS/MS grade H</w:t>
      </w:r>
      <w:r w:rsidRPr="00476931">
        <w:rPr>
          <w:color w:val="000000" w:themeColor="text1"/>
          <w:vertAlign w:val="subscript"/>
        </w:rPr>
        <w:t>2</w:t>
      </w:r>
      <w:r w:rsidRPr="00476931">
        <w:rPr>
          <w:color w:val="000000" w:themeColor="text1"/>
        </w:rPr>
        <w:t>O, 0.1M NaOH, 3% SDS, 0.1M NaOH + 3% SDS). Compatibility was assessed by determining the resulting protein yields using each buffer, and the recovery of non-proteinaceous material in the digested peptide sample at the end of the extraction process.</w:t>
      </w:r>
    </w:p>
    <w:p w14:paraId="7873C5AD" w14:textId="77777777" w:rsidR="00DB2642" w:rsidRPr="00476931" w:rsidRDefault="00DB2642" w:rsidP="00DB2642">
      <w:pPr>
        <w:ind w:left="0" w:firstLine="0"/>
        <w:rPr>
          <w:rFonts w:ascii="Times New Roman" w:hAnsi="Times New Roman" w:cs="Times New Roman"/>
          <w:b/>
          <w:bCs/>
          <w:color w:val="000000" w:themeColor="text1"/>
        </w:rPr>
      </w:pPr>
    </w:p>
    <w:p w14:paraId="5C21C349" w14:textId="780ADF32" w:rsidR="00DB2642" w:rsidRPr="00476931" w:rsidRDefault="00DB2642" w:rsidP="00F33FBD">
      <w:pPr>
        <w:pStyle w:val="Heading4"/>
      </w:pPr>
      <w:bookmarkStart w:id="175" w:name="_Toc110250256"/>
      <w:bookmarkStart w:id="176" w:name="_Toc110250513"/>
      <w:bookmarkStart w:id="177" w:name="_Toc110250644"/>
      <w:r w:rsidRPr="00476931">
        <w:t xml:space="preserve">3.2.4.4  </w:t>
      </w:r>
      <w:r w:rsidR="00310878" w:rsidRPr="00476931">
        <w:t>Optimizing conditions for pressure-assisted extraction</w:t>
      </w:r>
      <w:r w:rsidR="0067780D">
        <w:t>.</w:t>
      </w:r>
      <w:bookmarkEnd w:id="175"/>
      <w:bookmarkEnd w:id="176"/>
      <w:bookmarkEnd w:id="177"/>
    </w:p>
    <w:p w14:paraId="5B21E2F6" w14:textId="77777777" w:rsidR="00DB2642" w:rsidRPr="00476931" w:rsidRDefault="00DB2642" w:rsidP="00DB2642">
      <w:pPr>
        <w:rPr>
          <w:color w:val="000000" w:themeColor="text1"/>
        </w:rPr>
      </w:pPr>
    </w:p>
    <w:p w14:paraId="311FA7BC" w14:textId="64FA2BBA" w:rsidR="00310878" w:rsidRPr="00476931" w:rsidRDefault="00310878" w:rsidP="00DB2642">
      <w:pPr>
        <w:rPr>
          <w:rFonts w:ascii="Times New Roman" w:hAnsi="Times New Roman" w:cs="Times New Roman"/>
          <w:color w:val="000000" w:themeColor="text1"/>
        </w:rPr>
      </w:pPr>
      <w:r w:rsidRPr="00476931">
        <w:rPr>
          <w:rFonts w:ascii="Times New Roman" w:hAnsi="Times New Roman" w:cs="Times New Roman"/>
          <w:color w:val="000000" w:themeColor="text1"/>
        </w:rPr>
        <w:t xml:space="preserve">Several parameters were tested to develop a robust and reproducible method for pressure-assisted protein extraction using a </w:t>
      </w:r>
      <w:proofErr w:type="spellStart"/>
      <w:r w:rsidRPr="00476931">
        <w:rPr>
          <w:rFonts w:ascii="Times New Roman" w:hAnsi="Times New Roman" w:cs="Times New Roman"/>
          <w:color w:val="000000" w:themeColor="text1"/>
        </w:rPr>
        <w:t>Breville</w:t>
      </w:r>
      <w:proofErr w:type="spellEnd"/>
      <w:r w:rsidRPr="00476931">
        <w:rPr>
          <w:rFonts w:ascii="Times New Roman" w:hAnsi="Times New Roman" w:cs="Times New Roman"/>
          <w:color w:val="000000" w:themeColor="text1"/>
        </w:rPr>
        <w:t xml:space="preserve"> Barista Express® espresso machine.  Two types of additional filters were tested to reduce portafilter clogging during the extraction process: a paper coffee filter and Whatman 0.2µm filter paper.  </w:t>
      </w:r>
      <w:r w:rsidRPr="00476931">
        <w:rPr>
          <w:rFonts w:ascii="Times New Roman" w:hAnsi="Times New Roman" w:cs="Times New Roman"/>
          <w:color w:val="000000" w:themeColor="text1"/>
        </w:rPr>
        <w:lastRenderedPageBreak/>
        <w:t xml:space="preserve">To evaluate the maintenance of the overall pressure of the system during the extraction process varying ratios of soil to packing material were tested (0:1 </w:t>
      </w:r>
      <w:proofErr w:type="spellStart"/>
      <w:r w:rsidRPr="00476931">
        <w:rPr>
          <w:rFonts w:ascii="Times New Roman" w:hAnsi="Times New Roman" w:cs="Times New Roman"/>
          <w:color w:val="000000" w:themeColor="text1"/>
        </w:rPr>
        <w:t>sand:topsoil</w:t>
      </w:r>
      <w:proofErr w:type="spellEnd"/>
      <w:r w:rsidRPr="00476931">
        <w:rPr>
          <w:rFonts w:ascii="Times New Roman" w:hAnsi="Times New Roman" w:cs="Times New Roman"/>
          <w:color w:val="000000" w:themeColor="text1"/>
        </w:rPr>
        <w:t xml:space="preserve">, 1:1 </w:t>
      </w:r>
      <w:proofErr w:type="spellStart"/>
      <w:r w:rsidRPr="00476931">
        <w:rPr>
          <w:rFonts w:ascii="Times New Roman" w:hAnsi="Times New Roman" w:cs="Times New Roman"/>
          <w:color w:val="000000" w:themeColor="text1"/>
        </w:rPr>
        <w:t>sand:topsoil</w:t>
      </w:r>
      <w:proofErr w:type="spellEnd"/>
      <w:r w:rsidRPr="00476931">
        <w:rPr>
          <w:rFonts w:ascii="Times New Roman" w:hAnsi="Times New Roman" w:cs="Times New Roman"/>
          <w:color w:val="000000" w:themeColor="text1"/>
        </w:rPr>
        <w:t xml:space="preserve">, 2:1 </w:t>
      </w:r>
      <w:proofErr w:type="spellStart"/>
      <w:r w:rsidRPr="00476931">
        <w:rPr>
          <w:rFonts w:ascii="Times New Roman" w:hAnsi="Times New Roman" w:cs="Times New Roman"/>
          <w:color w:val="000000" w:themeColor="text1"/>
        </w:rPr>
        <w:t>sand:topsoil</w:t>
      </w:r>
      <w:proofErr w:type="spellEnd"/>
      <w:r w:rsidRPr="00476931">
        <w:rPr>
          <w:rFonts w:ascii="Times New Roman" w:hAnsi="Times New Roman" w:cs="Times New Roman"/>
          <w:color w:val="000000" w:themeColor="text1"/>
        </w:rPr>
        <w:t xml:space="preserve">, 3:1 </w:t>
      </w:r>
      <w:proofErr w:type="spellStart"/>
      <w:r w:rsidRPr="00476931">
        <w:rPr>
          <w:rFonts w:ascii="Times New Roman" w:hAnsi="Times New Roman" w:cs="Times New Roman"/>
          <w:color w:val="000000" w:themeColor="text1"/>
        </w:rPr>
        <w:t>sand:topsoil</w:t>
      </w:r>
      <w:proofErr w:type="spellEnd"/>
      <w:r w:rsidRPr="00476931">
        <w:rPr>
          <w:rFonts w:ascii="Times New Roman" w:hAnsi="Times New Roman" w:cs="Times New Roman"/>
          <w:color w:val="000000" w:themeColor="text1"/>
        </w:rPr>
        <w:t>).  The impact of soil wetness on the pressure maintenance of the system and the resulting extraction volume was tested.  For each 15g of lyophilized permafrost soil or topsoil, three levels of soil wetness were evaluated: fully dry (no extraction buffer added), partially saturated (4mL of extraction buffer added), and fully saturated (20mL extraction buffer added).</w:t>
      </w:r>
    </w:p>
    <w:p w14:paraId="146730AC" w14:textId="77777777" w:rsidR="00DB2642" w:rsidRPr="00476931" w:rsidRDefault="00DB2642" w:rsidP="00DB2642">
      <w:pPr>
        <w:ind w:firstLine="0"/>
        <w:rPr>
          <w:rFonts w:ascii="Times New Roman" w:hAnsi="Times New Roman" w:cs="Times New Roman"/>
          <w:b/>
          <w:bCs/>
          <w:color w:val="000000" w:themeColor="text1"/>
        </w:rPr>
      </w:pPr>
    </w:p>
    <w:p w14:paraId="4432EA84" w14:textId="5421668B" w:rsidR="00DB2642" w:rsidRPr="00476931" w:rsidRDefault="00DB2642" w:rsidP="00F33FBD">
      <w:pPr>
        <w:pStyle w:val="Heading4"/>
      </w:pPr>
      <w:bookmarkStart w:id="178" w:name="_Toc110250257"/>
      <w:bookmarkStart w:id="179" w:name="_Toc110250514"/>
      <w:bookmarkStart w:id="180" w:name="_Toc110250645"/>
      <w:r w:rsidRPr="00476931">
        <w:t xml:space="preserve">3.2.4.5  </w:t>
      </w:r>
      <w:r w:rsidR="00310878" w:rsidRPr="00476931">
        <w:t>Comparison of mechanical extraction methods</w:t>
      </w:r>
      <w:r w:rsidR="0067780D">
        <w:t>.</w:t>
      </w:r>
      <w:bookmarkEnd w:id="178"/>
      <w:bookmarkEnd w:id="179"/>
      <w:bookmarkEnd w:id="180"/>
    </w:p>
    <w:p w14:paraId="78F5A007" w14:textId="77777777" w:rsidR="00DB2642" w:rsidRPr="00476931" w:rsidRDefault="00DB2642" w:rsidP="00DB2642">
      <w:pPr>
        <w:ind w:firstLine="0"/>
        <w:rPr>
          <w:rFonts w:ascii="Times New Roman" w:hAnsi="Times New Roman" w:cs="Times New Roman"/>
          <w:color w:val="000000" w:themeColor="text1"/>
        </w:rPr>
      </w:pPr>
    </w:p>
    <w:p w14:paraId="267297F6" w14:textId="3CE8727D" w:rsidR="00310878" w:rsidRPr="00476931" w:rsidRDefault="00310878" w:rsidP="00DB2642">
      <w:pPr>
        <w:rPr>
          <w:color w:val="000000" w:themeColor="text1"/>
        </w:rPr>
      </w:pPr>
      <w:r w:rsidRPr="00476931">
        <w:rPr>
          <w:color w:val="000000" w:themeColor="text1"/>
        </w:rPr>
        <w:t xml:space="preserve">To compare protein extraction efficiency between traditional vortex methods and the optimized pressure-assisted espresso machine extraction method, a series of experiments were set up following the general workflow outlined in </w:t>
      </w:r>
      <w:r w:rsidRPr="00476931">
        <w:rPr>
          <w:b/>
          <w:bCs/>
          <w:color w:val="000000" w:themeColor="text1"/>
        </w:rPr>
        <w:t>Figure 3</w:t>
      </w:r>
      <w:r w:rsidR="009E08D4">
        <w:rPr>
          <w:b/>
          <w:bCs/>
          <w:color w:val="000000" w:themeColor="text1"/>
        </w:rPr>
        <w:t>-</w:t>
      </w:r>
      <w:r w:rsidRPr="00476931">
        <w:rPr>
          <w:b/>
          <w:bCs/>
          <w:color w:val="000000" w:themeColor="text1"/>
        </w:rPr>
        <w:t>1</w:t>
      </w:r>
      <w:r w:rsidRPr="00476931">
        <w:rPr>
          <w:color w:val="000000" w:themeColor="text1"/>
        </w:rPr>
        <w:t>.  Although some of the procedures were not necessary for the vortex method, such as re-lyophilization of the samples after the addition of NaOH, they were included for all samples as they were essential for successful pressure-assisted espresso machine extractions.   Standardizing these steps enabled uniform comparison between the two methods.  The methods outlined in the workflow were tested with both topsoil and permafrost-affected soil samples.</w:t>
      </w:r>
    </w:p>
    <w:p w14:paraId="17365105" w14:textId="77777777" w:rsidR="00DB2642" w:rsidRPr="00476931" w:rsidRDefault="00DB2642" w:rsidP="00DB2642">
      <w:pPr>
        <w:rPr>
          <w:color w:val="000000" w:themeColor="text1"/>
        </w:rPr>
      </w:pPr>
    </w:p>
    <w:p w14:paraId="3D861FBB" w14:textId="2067B332" w:rsidR="00DB2642" w:rsidRPr="00476931" w:rsidRDefault="00DB2642" w:rsidP="00F33FBD">
      <w:pPr>
        <w:pStyle w:val="Heading4"/>
      </w:pPr>
      <w:bookmarkStart w:id="181" w:name="_Toc110250258"/>
      <w:bookmarkStart w:id="182" w:name="_Toc110250515"/>
      <w:bookmarkStart w:id="183" w:name="_Toc110250646"/>
      <w:r w:rsidRPr="00476931">
        <w:t xml:space="preserve">3.2.4.6  </w:t>
      </w:r>
      <w:r w:rsidR="00310878" w:rsidRPr="00476931">
        <w:t>Spiking of Soil with Known Bacterial Isolates</w:t>
      </w:r>
      <w:r w:rsidR="0067780D">
        <w:t>.</w:t>
      </w:r>
      <w:bookmarkEnd w:id="181"/>
      <w:bookmarkEnd w:id="182"/>
      <w:bookmarkEnd w:id="183"/>
    </w:p>
    <w:p w14:paraId="7CBC69B4" w14:textId="77777777" w:rsidR="00DB2642" w:rsidRPr="00476931" w:rsidRDefault="00DB2642" w:rsidP="00DB2642">
      <w:pPr>
        <w:ind w:firstLine="0"/>
        <w:rPr>
          <w:rFonts w:ascii="Times New Roman" w:hAnsi="Times New Roman" w:cs="Times New Roman"/>
          <w:color w:val="000000" w:themeColor="text1"/>
        </w:rPr>
      </w:pPr>
    </w:p>
    <w:p w14:paraId="379EF7F3" w14:textId="200326D3" w:rsidR="00DB2642" w:rsidRDefault="00310878" w:rsidP="00DB2642">
      <w:pPr>
        <w:rPr>
          <w:color w:val="000000" w:themeColor="text1"/>
        </w:rPr>
      </w:pPr>
      <w:r w:rsidRPr="00476931">
        <w:rPr>
          <w:color w:val="000000" w:themeColor="text1"/>
        </w:rPr>
        <w:t xml:space="preserve">To track microbial proteins in the absence of a sample matched metagenome, selected soil samples were prepared for methodology testing with the addition of 3 Gram-negative and 2 Gram-positive bacterial isolates listed in </w:t>
      </w:r>
      <w:r w:rsidRPr="00476931">
        <w:rPr>
          <w:b/>
          <w:bCs/>
          <w:color w:val="000000" w:themeColor="text1"/>
        </w:rPr>
        <w:t>Table 3</w:t>
      </w:r>
      <w:r w:rsidR="009E08D4">
        <w:rPr>
          <w:b/>
          <w:bCs/>
          <w:color w:val="000000" w:themeColor="text1"/>
        </w:rPr>
        <w:t>-</w:t>
      </w:r>
      <w:r w:rsidRPr="00476931">
        <w:rPr>
          <w:b/>
          <w:bCs/>
          <w:color w:val="000000" w:themeColor="text1"/>
        </w:rPr>
        <w:t>1.</w:t>
      </w:r>
      <w:r w:rsidRPr="00476931">
        <w:rPr>
          <w:color w:val="000000" w:themeColor="text1"/>
        </w:rPr>
        <w:t xml:space="preserve"> Bacterial cells from one organism or mixtures of organisms with equivalent cellular biomass were added to soil samples either at the concentration estimated to be necessary for successful protein extraction (1 x 10</w:t>
      </w:r>
      <w:r w:rsidRPr="00476931">
        <w:rPr>
          <w:color w:val="000000" w:themeColor="text1"/>
          <w:vertAlign w:val="superscript"/>
        </w:rPr>
        <w:t>8</w:t>
      </w:r>
      <w:r w:rsidRPr="00476931">
        <w:rPr>
          <w:color w:val="000000" w:themeColor="text1"/>
        </w:rPr>
        <w:t xml:space="preserve"> cells/gram of soil) or at the concentration of cells estimated to be present in the permafrost affected soils (1 x 10</w:t>
      </w:r>
      <w:r w:rsidRPr="00476931">
        <w:rPr>
          <w:color w:val="000000" w:themeColor="text1"/>
          <w:vertAlign w:val="superscript"/>
        </w:rPr>
        <w:t>4</w:t>
      </w:r>
      <w:r w:rsidRPr="00476931">
        <w:rPr>
          <w:color w:val="000000" w:themeColor="text1"/>
        </w:rPr>
        <w:t xml:space="preserve"> cells/gram of soil). </w:t>
      </w:r>
    </w:p>
    <w:p w14:paraId="5350919F" w14:textId="1AAA39C8" w:rsidR="005040B1" w:rsidRPr="00476931" w:rsidRDefault="005040B1" w:rsidP="005040B1">
      <w:pPr>
        <w:pStyle w:val="Heading4"/>
      </w:pPr>
      <w:bookmarkStart w:id="184" w:name="_Toc110250259"/>
      <w:bookmarkStart w:id="185" w:name="_Toc110250516"/>
      <w:bookmarkStart w:id="186" w:name="_Toc110250647"/>
      <w:r w:rsidRPr="00476931">
        <w:lastRenderedPageBreak/>
        <w:t>3.2.4.7  Protein extraction and digestion</w:t>
      </w:r>
      <w:r w:rsidR="0067780D">
        <w:t>.</w:t>
      </w:r>
      <w:bookmarkEnd w:id="184"/>
      <w:bookmarkEnd w:id="185"/>
      <w:bookmarkEnd w:id="186"/>
    </w:p>
    <w:p w14:paraId="54EF69BC" w14:textId="77777777" w:rsidR="005040B1" w:rsidRPr="00476931" w:rsidRDefault="005040B1" w:rsidP="005040B1">
      <w:pPr>
        <w:rPr>
          <w:color w:val="000000" w:themeColor="text1"/>
        </w:rPr>
      </w:pPr>
    </w:p>
    <w:p w14:paraId="7FB83D7D" w14:textId="24F72765" w:rsidR="005040B1" w:rsidRPr="00476931" w:rsidRDefault="005040B1" w:rsidP="005040B1">
      <w:pPr>
        <w:rPr>
          <w:color w:val="000000" w:themeColor="text1"/>
        </w:rPr>
      </w:pPr>
      <w:r w:rsidRPr="00476931">
        <w:rPr>
          <w:color w:val="000000" w:themeColor="text1"/>
        </w:rPr>
        <w:t>To ensure complete lysis of cells from the environmental matrix, samples were centrifuged and subjected to sonication and chemical lysis vis SDS after vortexing or pressure-assisted espresso machine extraction.  Protein extraction, clean-up, and digestion were conducted with modifications to the protein aggregation capture (PAC) method</w:t>
      </w:r>
      <w:sdt>
        <w:sdtPr>
          <w:rPr>
            <w:color w:val="000000"/>
            <w:vertAlign w:val="superscript"/>
          </w:rPr>
          <w:tag w:val="MENDELEY_CITATION_v3_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"/>
          <w:id w:val="-1974361491"/>
          <w:placeholder>
            <w:docPart w:val="B7E52A5234284A8A8EDB389EAC57280B"/>
          </w:placeholder>
        </w:sdtPr>
        <w:sdtEndPr/>
        <w:sdtContent>
          <w:r w:rsidR="003204EA" w:rsidRPr="003204EA">
            <w:rPr>
              <w:rFonts w:eastAsia="Times New Roman"/>
              <w:color w:val="000000"/>
              <w:vertAlign w:val="superscript"/>
            </w:rPr>
            <w:t>59</w:t>
          </w:r>
        </w:sdtContent>
      </w:sdt>
      <w:r w:rsidRPr="00476931">
        <w:rPr>
          <w:color w:val="000000" w:themeColor="text1"/>
        </w:rPr>
        <w:t xml:space="preserve"> to account for the large volumes and co-extracted humic substances present in these samples.  Most importantly, the addition of a 1% formic acid acidified aqueous was incorporated after initial aggregation on the magnetic beads to remove soluble fulvic acids from the sample.  Trypsin was selected as the proteolytic enzyme for protein digestion. The resulting peptides were adjusted to 0.5% formic acid and filtered on a 10kDa MWCO filter to remove any under-digested proteins and remaining humic acids. </w:t>
      </w:r>
    </w:p>
    <w:p w14:paraId="24AA8283" w14:textId="77777777" w:rsidR="00610930" w:rsidRPr="00476931" w:rsidRDefault="00610930" w:rsidP="00343C78">
      <w:pPr>
        <w:rPr>
          <w:rFonts w:ascii="Times New Roman" w:hAnsi="Times New Roman" w:cs="Times New Roman"/>
          <w:b/>
          <w:bCs/>
          <w:color w:val="000000" w:themeColor="text1"/>
        </w:rPr>
      </w:pPr>
    </w:p>
    <w:p w14:paraId="0DB5593D" w14:textId="01EE73BE" w:rsidR="00610930" w:rsidRPr="00476931" w:rsidRDefault="00610930" w:rsidP="00F33FBD">
      <w:pPr>
        <w:pStyle w:val="Heading4"/>
      </w:pPr>
      <w:bookmarkStart w:id="187" w:name="_Toc110250260"/>
      <w:bookmarkStart w:id="188" w:name="_Toc110250517"/>
      <w:bookmarkStart w:id="189" w:name="_Toc110250648"/>
      <w:r w:rsidRPr="00476931">
        <w:t xml:space="preserve">3.2.4.8  </w:t>
      </w:r>
      <w:r w:rsidR="00310878" w:rsidRPr="00476931">
        <w:t>Peptide measurement by LC-MS/MS and data analysis</w:t>
      </w:r>
      <w:r w:rsidR="0067780D">
        <w:t>.</w:t>
      </w:r>
      <w:bookmarkEnd w:id="187"/>
      <w:bookmarkEnd w:id="188"/>
      <w:bookmarkEnd w:id="189"/>
    </w:p>
    <w:p w14:paraId="48306F00" w14:textId="77777777" w:rsidR="00610930" w:rsidRPr="00476931" w:rsidRDefault="00610930" w:rsidP="00610930">
      <w:pPr>
        <w:ind w:firstLine="0"/>
        <w:rPr>
          <w:rFonts w:ascii="Times New Roman" w:hAnsi="Times New Roman" w:cs="Times New Roman"/>
          <w:b/>
          <w:bCs/>
          <w:color w:val="000000" w:themeColor="text1"/>
        </w:rPr>
      </w:pPr>
    </w:p>
    <w:p w14:paraId="274BF476" w14:textId="53107729" w:rsidR="00310878" w:rsidRPr="00476931" w:rsidRDefault="00310878" w:rsidP="00610930">
      <w:pPr>
        <w:rPr>
          <w:color w:val="000000" w:themeColor="text1"/>
          <w:lang w:val="en"/>
        </w:rPr>
      </w:pPr>
      <w:r w:rsidRPr="00476931">
        <w:rPr>
          <w:color w:val="000000" w:themeColor="text1"/>
        </w:rPr>
        <w:t>3ug of proteolytic peptides were analyzed via automated 1D-RP-LC−MS/MS with a 180-minute linear gradient as previously described in chapter 2.  The resulting</w:t>
      </w:r>
      <w:r w:rsidRPr="00476931">
        <w:rPr>
          <w:b/>
          <w:bCs/>
          <w:color w:val="000000" w:themeColor="text1"/>
        </w:rPr>
        <w:t xml:space="preserve"> </w:t>
      </w:r>
      <w:r w:rsidRPr="00476931">
        <w:rPr>
          <w:color w:val="000000" w:themeColor="text1"/>
          <w:lang w:val="en"/>
        </w:rPr>
        <w:t>MS/MS spectra were interrogated by database searching in Proteome Discoverer 2.5 (</w:t>
      </w:r>
      <w:proofErr w:type="spellStart"/>
      <w:r w:rsidRPr="00476931">
        <w:rPr>
          <w:color w:val="000000" w:themeColor="text1"/>
        </w:rPr>
        <w:t>SequestHT</w:t>
      </w:r>
      <w:proofErr w:type="spellEnd"/>
      <w:r w:rsidRPr="00476931">
        <w:rPr>
          <w:color w:val="000000" w:themeColor="text1"/>
          <w:lang w:val="en"/>
        </w:rPr>
        <w:t xml:space="preserve">/Percolator) and through </w:t>
      </w:r>
      <w:r w:rsidRPr="00476931">
        <w:rPr>
          <w:i/>
          <w:iCs/>
          <w:color w:val="000000" w:themeColor="text1"/>
          <w:lang w:val="en"/>
        </w:rPr>
        <w:t>de novo</w:t>
      </w:r>
      <w:r w:rsidRPr="00476931">
        <w:rPr>
          <w:color w:val="000000" w:themeColor="text1"/>
          <w:lang w:val="en"/>
        </w:rPr>
        <w:t>–assisted database searching</w:t>
      </w:r>
      <w:sdt>
        <w:sdtPr>
          <w:rPr>
            <w:color w:val="000000"/>
            <w:vertAlign w:val="superscript"/>
            <w:lang w:val="en"/>
          </w:rPr>
          <w:tag w:val="MENDELEY_CITATION_v3_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"/>
          <w:id w:val="-1017229671"/>
          <w:placeholder>
            <w:docPart w:val="99CA647BB68D30469924B0E915BC5753"/>
          </w:placeholder>
        </w:sdtPr>
        <w:sdtEndPr/>
        <w:sdtContent>
          <w:r w:rsidR="003204EA" w:rsidRPr="003204EA">
            <w:rPr>
              <w:rFonts w:eastAsia="Times New Roman"/>
              <w:color w:val="000000"/>
              <w:vertAlign w:val="superscript"/>
            </w:rPr>
            <w:t>99</w:t>
          </w:r>
        </w:sdtContent>
      </w:sdt>
      <w:r w:rsidRPr="00476931">
        <w:rPr>
          <w:color w:val="000000" w:themeColor="text1"/>
          <w:lang w:val="en"/>
        </w:rPr>
        <w:t xml:space="preserve"> in PEAKS Studio 10.6 (Bioinformatics Solutions). Custom-built proteome databases were derived from the combination of each bacterial isolate used in the spike-in experiments </w:t>
      </w:r>
      <w:r w:rsidRPr="00476931">
        <w:rPr>
          <w:b/>
          <w:bCs/>
          <w:color w:val="000000" w:themeColor="text1"/>
          <w:lang w:val="en"/>
        </w:rPr>
        <w:t>(Table 3.1)</w:t>
      </w:r>
      <w:r w:rsidRPr="00476931">
        <w:rPr>
          <w:color w:val="000000" w:themeColor="text1"/>
          <w:lang w:val="en"/>
        </w:rPr>
        <w:t xml:space="preserve"> and against common LC-MS/MS contaminant proteins.  </w:t>
      </w:r>
      <w:r w:rsidRPr="00476931">
        <w:rPr>
          <w:color w:val="000000" w:themeColor="text1"/>
        </w:rPr>
        <w:t xml:space="preserve">No soil-specific protein databases were available for database searching.  Identified peptides and </w:t>
      </w:r>
      <w:r w:rsidRPr="00476931">
        <w:rPr>
          <w:i/>
          <w:iCs/>
          <w:color w:val="000000" w:themeColor="text1"/>
        </w:rPr>
        <w:t>de novo</w:t>
      </w:r>
      <w:r w:rsidRPr="00476931">
        <w:rPr>
          <w:color w:val="000000" w:themeColor="text1"/>
        </w:rPr>
        <w:t xml:space="preserve"> sequence tags were required to have six amino acids minimum length of 6 amino acids. Sequence tags were also required to have a minimum average local confidence score of &gt;80% to only retain high-quality </w:t>
      </w:r>
      <w:r w:rsidRPr="00476931">
        <w:rPr>
          <w:i/>
          <w:iCs/>
          <w:color w:val="000000" w:themeColor="text1"/>
        </w:rPr>
        <w:t>de novo</w:t>
      </w:r>
      <w:r w:rsidRPr="00476931">
        <w:rPr>
          <w:color w:val="000000" w:themeColor="text1"/>
        </w:rPr>
        <w:t xml:space="preserve"> sequencing tags. </w:t>
      </w:r>
      <w:r w:rsidRPr="00476931">
        <w:rPr>
          <w:color w:val="000000" w:themeColor="text1"/>
          <w:lang w:val="en"/>
        </w:rPr>
        <w:t xml:space="preserve">Database searching in Proteome Discoverer was used to assess the charge state distribution of identified consensus features.  </w:t>
      </w:r>
      <w:r w:rsidRPr="00476931">
        <w:rPr>
          <w:i/>
          <w:iCs/>
          <w:color w:val="000000" w:themeColor="text1"/>
          <w:lang w:val="en"/>
        </w:rPr>
        <w:t>De novo</w:t>
      </w:r>
      <w:r w:rsidRPr="00476931">
        <w:rPr>
          <w:color w:val="000000" w:themeColor="text1"/>
          <w:lang w:val="en"/>
        </w:rPr>
        <w:t xml:space="preserve">–assisted database searching in PEAKS aided in identifying non-endogenous peptides resulting from the bacterial additions and </w:t>
      </w:r>
      <w:r w:rsidRPr="00476931">
        <w:rPr>
          <w:color w:val="000000" w:themeColor="text1"/>
          <w:lang w:val="en"/>
        </w:rPr>
        <w:lastRenderedPageBreak/>
        <w:t xml:space="preserve">endogenous </w:t>
      </w:r>
      <w:r w:rsidRPr="00476931">
        <w:rPr>
          <w:i/>
          <w:iCs/>
          <w:color w:val="000000" w:themeColor="text1"/>
          <w:lang w:val="en"/>
        </w:rPr>
        <w:t>de novo</w:t>
      </w:r>
      <w:r w:rsidRPr="00476931">
        <w:rPr>
          <w:color w:val="000000" w:themeColor="text1"/>
          <w:lang w:val="en"/>
        </w:rPr>
        <w:t xml:space="preserve"> peptide sequence tags resulting from </w:t>
      </w:r>
      <w:r w:rsidRPr="00476931">
        <w:rPr>
          <w:i/>
          <w:iCs/>
          <w:color w:val="000000" w:themeColor="text1"/>
          <w:lang w:val="en"/>
        </w:rPr>
        <w:t xml:space="preserve">in situ </w:t>
      </w:r>
      <w:r w:rsidRPr="00476931">
        <w:rPr>
          <w:color w:val="000000" w:themeColor="text1"/>
          <w:lang w:val="en"/>
        </w:rPr>
        <w:t xml:space="preserve">soil organisms not represented in the protein databases.  </w:t>
      </w:r>
      <w:r w:rsidRPr="00476931">
        <w:rPr>
          <w:i/>
          <w:iCs/>
          <w:color w:val="000000" w:themeColor="text1"/>
          <w:lang w:val="en"/>
        </w:rPr>
        <w:t>De novo</w:t>
      </w:r>
      <w:r w:rsidRPr="00476931">
        <w:rPr>
          <w:color w:val="000000" w:themeColor="text1"/>
          <w:lang w:val="en"/>
        </w:rPr>
        <w:t xml:space="preserve"> sequence tags that didn’t match any protein database entries were subjected to a lowest common ancestor (LCA) analysis in </w:t>
      </w:r>
      <w:proofErr w:type="spellStart"/>
      <w:r w:rsidRPr="00476931">
        <w:rPr>
          <w:color w:val="000000" w:themeColor="text1"/>
          <w:lang w:val="en"/>
        </w:rPr>
        <w:t>Unipept</w:t>
      </w:r>
      <w:proofErr w:type="spellEnd"/>
      <w:sdt>
        <w:sdtPr>
          <w:rPr>
            <w:color w:val="000000"/>
            <w:vertAlign w:val="superscript"/>
            <w:lang w:val="en"/>
          </w:rPr>
          <w:tag w:val="MENDELEY_CITATION_v3_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"/>
          <w:id w:val="-1005740534"/>
          <w:placeholder>
            <w:docPart w:val="EDCAAF127C89A241A412749C87CEB2A5"/>
          </w:placeholder>
        </w:sdtPr>
        <w:sdtEndPr/>
        <w:sdtContent>
          <w:r w:rsidR="003204EA" w:rsidRPr="003204EA">
            <w:rPr>
              <w:rFonts w:eastAsia="Times New Roman"/>
              <w:color w:val="000000"/>
              <w:vertAlign w:val="superscript"/>
            </w:rPr>
            <w:t>132</w:t>
          </w:r>
        </w:sdtContent>
      </w:sdt>
      <w:r w:rsidRPr="00476931">
        <w:rPr>
          <w:color w:val="000000" w:themeColor="text1"/>
          <w:lang w:val="en"/>
        </w:rPr>
        <w:t xml:space="preserve"> to assess the potential taxonomic diversity of organisms present in the soil samples.</w:t>
      </w:r>
    </w:p>
    <w:p w14:paraId="74094BCA" w14:textId="77777777" w:rsidR="00610930" w:rsidRPr="00476931" w:rsidRDefault="00610930" w:rsidP="00610930">
      <w:pPr>
        <w:rPr>
          <w:color w:val="000000" w:themeColor="text1"/>
          <w:lang w:val="en"/>
        </w:rPr>
      </w:pPr>
    </w:p>
    <w:p w14:paraId="27EE2A63" w14:textId="3F2F2F7D" w:rsidR="00310878" w:rsidRPr="00476931" w:rsidRDefault="00610930" w:rsidP="0060435B">
      <w:pPr>
        <w:pStyle w:val="Heading2"/>
      </w:pPr>
      <w:bookmarkStart w:id="190" w:name="_Toc110250261"/>
      <w:bookmarkStart w:id="191" w:name="_Toc110250518"/>
      <w:bookmarkStart w:id="192" w:name="_Toc110250649"/>
      <w:r w:rsidRPr="00476931">
        <w:t xml:space="preserve">3.3  </w:t>
      </w:r>
      <w:r w:rsidR="00310878" w:rsidRPr="00476931">
        <w:t>Protein clean-up and quantification in the presence of co-extracted interfering molecules</w:t>
      </w:r>
      <w:r w:rsidR="0067780D">
        <w:t>.</w:t>
      </w:r>
      <w:bookmarkEnd w:id="190"/>
      <w:bookmarkEnd w:id="191"/>
      <w:bookmarkEnd w:id="192"/>
    </w:p>
    <w:p w14:paraId="18D24352" w14:textId="77777777" w:rsidR="002C09ED" w:rsidRDefault="002C09ED" w:rsidP="00716574">
      <w:pPr>
        <w:ind w:left="180" w:firstLine="0"/>
        <w:rPr>
          <w:color w:val="000000" w:themeColor="text1"/>
          <w:spacing w:val="-3"/>
        </w:rPr>
      </w:pPr>
    </w:p>
    <w:p w14:paraId="0129023B" w14:textId="7DB1919A" w:rsidR="00716574" w:rsidRPr="003C7207" w:rsidRDefault="00B36D72" w:rsidP="00716574">
      <w:pPr>
        <w:ind w:left="180" w:firstLine="0"/>
        <w:rPr>
          <w:i/>
          <w:iCs/>
          <w:color w:val="000000" w:themeColor="text1"/>
        </w:rPr>
      </w:pPr>
      <w:r w:rsidRPr="003C7207">
        <w:rPr>
          <w:i/>
          <w:iCs/>
          <w:color w:val="000000" w:themeColor="text1"/>
          <w:spacing w:val="-3"/>
        </w:rPr>
        <w:t xml:space="preserve">Data </w:t>
      </w:r>
      <w:r w:rsidR="002C09ED" w:rsidRPr="003C7207">
        <w:rPr>
          <w:i/>
          <w:iCs/>
          <w:color w:val="000000" w:themeColor="text1"/>
          <w:spacing w:val="-3"/>
        </w:rPr>
        <w:t>generated</w:t>
      </w:r>
      <w:r w:rsidR="003C7207" w:rsidRPr="003C7207">
        <w:rPr>
          <w:i/>
          <w:iCs/>
          <w:color w:val="000000" w:themeColor="text1"/>
          <w:spacing w:val="-3"/>
        </w:rPr>
        <w:t xml:space="preserve"> and analyzed</w:t>
      </w:r>
      <w:r w:rsidRPr="003C7207">
        <w:rPr>
          <w:i/>
          <w:iCs/>
          <w:color w:val="000000" w:themeColor="text1"/>
          <w:spacing w:val="-3"/>
        </w:rPr>
        <w:t xml:space="preserve"> </w:t>
      </w:r>
      <w:r w:rsidR="004D262E" w:rsidRPr="003C7207">
        <w:rPr>
          <w:i/>
          <w:iCs/>
          <w:color w:val="000000" w:themeColor="text1"/>
          <w:spacing w:val="-3"/>
        </w:rPr>
        <w:t>for the Ocean Metaproteomic Laboratory Intercompariso</w:t>
      </w:r>
      <w:r w:rsidR="003C7207" w:rsidRPr="003C7207">
        <w:rPr>
          <w:i/>
          <w:iCs/>
          <w:color w:val="000000" w:themeColor="text1"/>
          <w:spacing w:val="-3"/>
        </w:rPr>
        <w:t>n as presented in</w:t>
      </w:r>
      <w:r w:rsidR="00716574" w:rsidRPr="003C7207">
        <w:rPr>
          <w:i/>
          <w:iCs/>
          <w:color w:val="000000" w:themeColor="text1"/>
          <w:spacing w:val="-2"/>
        </w:rPr>
        <w:t xml:space="preserve"> </w:t>
      </w:r>
      <w:r w:rsidRPr="003C7207">
        <w:rPr>
          <w:i/>
          <w:iCs/>
          <w:color w:val="000000" w:themeColor="text1"/>
        </w:rPr>
        <w:t>Saunders</w:t>
      </w:r>
      <w:r w:rsidR="00716574" w:rsidRPr="003C7207">
        <w:rPr>
          <w:i/>
          <w:iCs/>
          <w:color w:val="000000" w:themeColor="text1"/>
          <w:spacing w:val="-3"/>
        </w:rPr>
        <w:t xml:space="preserve"> </w:t>
      </w:r>
      <w:r w:rsidR="00716574" w:rsidRPr="003C7207">
        <w:rPr>
          <w:i/>
          <w:iCs/>
          <w:color w:val="000000" w:themeColor="text1"/>
        </w:rPr>
        <w:t>et</w:t>
      </w:r>
      <w:r w:rsidR="00716574" w:rsidRPr="003C7207">
        <w:rPr>
          <w:i/>
          <w:iCs/>
          <w:color w:val="000000" w:themeColor="text1"/>
          <w:spacing w:val="-2"/>
        </w:rPr>
        <w:t xml:space="preserve"> </w:t>
      </w:r>
      <w:r w:rsidR="00716574" w:rsidRPr="003C7207">
        <w:rPr>
          <w:i/>
          <w:iCs/>
          <w:color w:val="000000" w:themeColor="text1"/>
        </w:rPr>
        <w:t>al., 202</w:t>
      </w:r>
      <w:r w:rsidRPr="003C7207">
        <w:rPr>
          <w:i/>
          <w:iCs/>
          <w:color w:val="000000" w:themeColor="text1"/>
        </w:rPr>
        <w:t>2 (anticipated)</w:t>
      </w:r>
      <w:r w:rsidR="00716574" w:rsidRPr="003C7207">
        <w:rPr>
          <w:i/>
          <w:iCs/>
          <w:color w:val="000000" w:themeColor="text1"/>
        </w:rPr>
        <w:t>.</w:t>
      </w:r>
      <w:r w:rsidR="00716574" w:rsidRPr="003C7207">
        <w:rPr>
          <w:i/>
          <w:iCs/>
          <w:color w:val="000000" w:themeColor="text1"/>
          <w:spacing w:val="-3"/>
        </w:rPr>
        <w:t xml:space="preserve"> </w:t>
      </w:r>
      <w:r w:rsidRPr="003C7207">
        <w:rPr>
          <w:i/>
          <w:iCs/>
          <w:color w:val="000000" w:themeColor="text1"/>
          <w:spacing w:val="-3"/>
        </w:rPr>
        <w:t>ISME</w:t>
      </w:r>
      <w:r w:rsidR="00716574" w:rsidRPr="003C7207">
        <w:rPr>
          <w:i/>
          <w:iCs/>
          <w:color w:val="000000" w:themeColor="text1"/>
          <w:spacing w:val="-5"/>
        </w:rPr>
        <w:t>.</w:t>
      </w:r>
    </w:p>
    <w:p w14:paraId="42CF5EDD" w14:textId="77777777" w:rsidR="00716574" w:rsidRDefault="00716574" w:rsidP="00610930">
      <w:pPr>
        <w:rPr>
          <w:color w:val="000000" w:themeColor="text1"/>
        </w:rPr>
      </w:pPr>
    </w:p>
    <w:p w14:paraId="76DCD16F" w14:textId="6E6AC982" w:rsidR="00310878" w:rsidRPr="00476931" w:rsidRDefault="00310878" w:rsidP="00610930">
      <w:pPr>
        <w:rPr>
          <w:color w:val="000000" w:themeColor="text1"/>
        </w:rPr>
      </w:pPr>
      <w:r w:rsidRPr="00476931">
        <w:rPr>
          <w:color w:val="000000" w:themeColor="text1"/>
        </w:rPr>
        <w:t>The quantification of proteins and peptides throughout the sample preparation process is an important consideration during the sample preparation process for metaproteomics. While this is typically considered a more trivial aspect of the sample preparation process for low-complexity samples such as individual proteins or bacterial isolates, it plays a more prominent role when working with environmental samples containing co-extracted molecules that may interfere with the protein and peptide quantification process.  For example, feces often contain bilirubin, soils contain humic substances, and plant samples can contain chlorophyll.  Different assays, such as the Bradford assay, BCA assay, fluorometer, and UV-</w:t>
      </w:r>
      <w:proofErr w:type="gramStart"/>
      <w:r w:rsidRPr="00476931">
        <w:rPr>
          <w:color w:val="000000" w:themeColor="text1"/>
        </w:rPr>
        <w:t>Vis</w:t>
      </w:r>
      <w:proofErr w:type="gramEnd"/>
      <w:r w:rsidRPr="00476931">
        <w:rPr>
          <w:color w:val="000000" w:themeColor="text1"/>
        </w:rPr>
        <w:t xml:space="preserve"> spectroscopy, all have sensitivities that may interfere with specific compounds.  The appropriateness of each assay for a particular sample type should be considered in the sample preparation process.   Protein/peptide quantitation should also be conducted at an appropriate time in the sample preparation process, depending on the sample type.  At the protein level, quantification of proteins helps determine the proper amount of proteolytic enzyme to be added during digestion procedures to prevent under or over-digestion of proteins.  As some of the co-extracted molecules can be removed or reduced in the sample during the clean-up process, for some samples, quantifying the amount of protein extracted from the samples after clean-up procedures can be crucial </w:t>
      </w:r>
      <w:r w:rsidRPr="00476931">
        <w:rPr>
          <w:color w:val="000000" w:themeColor="text1"/>
        </w:rPr>
        <w:lastRenderedPageBreak/>
        <w:t xml:space="preserve">for accurate estimation of protein concentrations.  At the peptide level, the </w:t>
      </w:r>
      <w:proofErr w:type="gramStart"/>
      <w:r w:rsidRPr="00476931">
        <w:rPr>
          <w:color w:val="000000" w:themeColor="text1"/>
        </w:rPr>
        <w:t>amount</w:t>
      </w:r>
      <w:proofErr w:type="gramEnd"/>
      <w:r w:rsidRPr="00476931">
        <w:rPr>
          <w:color w:val="000000" w:themeColor="text1"/>
        </w:rPr>
        <w:t xml:space="preserve"> of peptides loaded onto the LC columns directly influences measurement depth and the number of peptides detected during an LC-MS/MS measurement.   Under- or overloading the columns can decrease peptide separation, identification rates, and the reliability of quantification</w:t>
      </w:r>
      <w:sdt>
        <w:sdtPr>
          <w:rPr>
            <w:color w:val="000000"/>
            <w:vertAlign w:val="superscript"/>
          </w:rPr>
          <w:tag w:val="MENDELEY_CITATION_v3_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"/>
          <w:id w:val="1091588473"/>
          <w:placeholder>
            <w:docPart w:val="B45FADC50A324E4486C4324FBA958C61"/>
          </w:placeholder>
        </w:sdtPr>
        <w:sdtEndPr/>
        <w:sdtContent>
          <w:r w:rsidR="003204EA" w:rsidRPr="003204EA">
            <w:rPr>
              <w:rFonts w:eastAsia="Times New Roman"/>
              <w:color w:val="000000"/>
              <w:vertAlign w:val="superscript"/>
            </w:rPr>
            <w:t>71</w:t>
          </w:r>
        </w:sdtContent>
      </w:sdt>
      <w:r w:rsidRPr="00476931">
        <w:rPr>
          <w:color w:val="000000" w:themeColor="text1"/>
        </w:rPr>
        <w:t xml:space="preserve">.  For metaproteome samples, this reduced identification rate can hamper biological insights into the protein expression and function of low-abundance members of a community.  While it is good practice to adjust the </w:t>
      </w:r>
      <w:proofErr w:type="gramStart"/>
      <w:r w:rsidRPr="00476931">
        <w:rPr>
          <w:color w:val="000000" w:themeColor="text1"/>
        </w:rPr>
        <w:t>amount</w:t>
      </w:r>
      <w:proofErr w:type="gramEnd"/>
      <w:r w:rsidRPr="00476931">
        <w:rPr>
          <w:color w:val="000000" w:themeColor="text1"/>
        </w:rPr>
        <w:t xml:space="preserve"> of peptides loaded based on particular sample types and the LC set-up utilized, when and how proteins and peptides are being quantified during the sample preparation process influences the reproducibility of measurements for complex environmental samples. </w:t>
      </w:r>
    </w:p>
    <w:p w14:paraId="5D27EC95" w14:textId="7A777471" w:rsidR="00762C1C" w:rsidRDefault="00310878" w:rsidP="00762C1C">
      <w:pPr>
        <w:rPr>
          <w:color w:val="000000" w:themeColor="text1"/>
        </w:rPr>
      </w:pPr>
      <w:r w:rsidRPr="00476931">
        <w:rPr>
          <w:color w:val="000000" w:themeColor="text1"/>
        </w:rPr>
        <w:t>For example, in a recent intercomparison effort to assess the reproducibility of metaproteome measurements of environmental ocean samples</w:t>
      </w:r>
      <w:r w:rsidR="003F51AC">
        <w:rPr>
          <w:color w:val="000000" w:themeColor="text1"/>
        </w:rPr>
        <w:t xml:space="preserve"> work </w:t>
      </w:r>
      <w:r w:rsidR="00664DF5">
        <w:rPr>
          <w:color w:val="000000" w:themeColor="text1"/>
        </w:rPr>
        <w:t xml:space="preserve">was conducted in collaboration with </w:t>
      </w:r>
      <w:r w:rsidRPr="00476931">
        <w:rPr>
          <w:color w:val="000000" w:themeColor="text1"/>
        </w:rPr>
        <w:t xml:space="preserve">eight </w:t>
      </w:r>
      <w:r w:rsidR="00664DF5">
        <w:rPr>
          <w:color w:val="000000" w:themeColor="text1"/>
        </w:rPr>
        <w:t xml:space="preserve">(meta)proteomics </w:t>
      </w:r>
      <w:r w:rsidRPr="00476931">
        <w:rPr>
          <w:color w:val="000000" w:themeColor="text1"/>
        </w:rPr>
        <w:t>lab</w:t>
      </w:r>
      <w:r w:rsidR="00664DF5">
        <w:rPr>
          <w:color w:val="000000" w:themeColor="text1"/>
        </w:rPr>
        <w:t>oratories</w:t>
      </w:r>
      <w:r w:rsidRPr="00476931">
        <w:rPr>
          <w:color w:val="000000" w:themeColor="text1"/>
        </w:rPr>
        <w:t xml:space="preserve"> worldwide</w:t>
      </w:r>
      <w:r w:rsidR="00AC7B7C">
        <w:rPr>
          <w:color w:val="000000" w:themeColor="text1"/>
        </w:rPr>
        <w:t xml:space="preserve"> that have</w:t>
      </w:r>
      <w:r w:rsidRPr="00476931">
        <w:rPr>
          <w:color w:val="000000" w:themeColor="text1"/>
        </w:rPr>
        <w:t xml:space="preserve"> different sample preparation processes and instrumentation. Each lab was given a portion of a filter used to collect samples from the euphotic zone of the North Atlantic Ocean with instructions to process and measure 2ug of the prepared peptide mixture by LC-MS/MS. </w:t>
      </w:r>
      <w:r w:rsidR="00F64F3C">
        <w:rPr>
          <w:color w:val="000000" w:themeColor="text1"/>
        </w:rPr>
        <w:t>Only the measurements and analysis collected for this dissertation are</w:t>
      </w:r>
      <w:r w:rsidR="00FA7303">
        <w:rPr>
          <w:color w:val="000000" w:themeColor="text1"/>
        </w:rPr>
        <w:t xml:space="preserve"> presented </w:t>
      </w:r>
      <w:r w:rsidR="00F64F3C">
        <w:rPr>
          <w:color w:val="000000" w:themeColor="text1"/>
        </w:rPr>
        <w:t>here.</w:t>
      </w:r>
      <w:r w:rsidR="00FA7303">
        <w:rPr>
          <w:color w:val="000000" w:themeColor="text1"/>
        </w:rPr>
        <w:t xml:space="preserve"> </w:t>
      </w:r>
      <w:r w:rsidRPr="00476931">
        <w:rPr>
          <w:color w:val="000000" w:themeColor="text1"/>
        </w:rPr>
        <w:t xml:space="preserve"> Figures </w:t>
      </w:r>
      <w:r w:rsidRPr="00476931">
        <w:rPr>
          <w:b/>
          <w:bCs/>
          <w:color w:val="000000" w:themeColor="text1"/>
        </w:rPr>
        <w:t>3</w:t>
      </w:r>
      <w:r w:rsidR="009E08D4">
        <w:rPr>
          <w:b/>
          <w:bCs/>
          <w:color w:val="000000" w:themeColor="text1"/>
        </w:rPr>
        <w:t>-</w:t>
      </w:r>
      <w:r w:rsidRPr="00476931">
        <w:rPr>
          <w:b/>
          <w:bCs/>
          <w:color w:val="000000" w:themeColor="text1"/>
        </w:rPr>
        <w:t>6A and 3</w:t>
      </w:r>
      <w:r w:rsidR="009E08D4">
        <w:rPr>
          <w:b/>
          <w:bCs/>
          <w:color w:val="000000" w:themeColor="text1"/>
        </w:rPr>
        <w:t>-</w:t>
      </w:r>
      <w:r w:rsidRPr="00476931">
        <w:rPr>
          <w:b/>
          <w:bCs/>
          <w:color w:val="000000" w:themeColor="text1"/>
        </w:rPr>
        <w:t xml:space="preserve">6B </w:t>
      </w:r>
      <w:r w:rsidRPr="00476931">
        <w:rPr>
          <w:color w:val="000000" w:themeColor="text1"/>
        </w:rPr>
        <w:t xml:space="preserve">show the variation in quantification for a single sample at both the protein and peptide level, depending on the quantification method used. At each level, the estimated amount recovered according to quantification using NanoDrop Scopes A205, which are sensitive to interferences in the sample that absorb around 205nm in the UV-Vis spectrum (like peptides), was more than 2.6x greater than the estimated amount recovered by BCA assay.  This highlights the notion that the </w:t>
      </w:r>
      <w:proofErr w:type="gramStart"/>
      <w:r w:rsidRPr="00476931">
        <w:rPr>
          <w:color w:val="000000" w:themeColor="text1"/>
        </w:rPr>
        <w:t>amount</w:t>
      </w:r>
      <w:proofErr w:type="gramEnd"/>
      <w:r w:rsidRPr="00476931">
        <w:rPr>
          <w:color w:val="000000" w:themeColor="text1"/>
        </w:rPr>
        <w:t xml:space="preserve"> of peptides loaded should not be standardized for reproducibility unless the quantification method is also standardized. Figures </w:t>
      </w:r>
      <w:r w:rsidRPr="00476931">
        <w:rPr>
          <w:b/>
          <w:bCs/>
          <w:color w:val="000000" w:themeColor="text1"/>
        </w:rPr>
        <w:t>3</w:t>
      </w:r>
      <w:r w:rsidR="009E08D4">
        <w:rPr>
          <w:b/>
          <w:bCs/>
          <w:color w:val="000000" w:themeColor="text1"/>
        </w:rPr>
        <w:t>-</w:t>
      </w:r>
      <w:r w:rsidRPr="00476931">
        <w:rPr>
          <w:b/>
          <w:bCs/>
          <w:color w:val="000000" w:themeColor="text1"/>
        </w:rPr>
        <w:t>6C and 3</w:t>
      </w:r>
      <w:r w:rsidR="009E08D4">
        <w:rPr>
          <w:b/>
          <w:bCs/>
          <w:color w:val="000000" w:themeColor="text1"/>
        </w:rPr>
        <w:t>-</w:t>
      </w:r>
      <w:r w:rsidRPr="00476931">
        <w:rPr>
          <w:b/>
          <w:bCs/>
          <w:color w:val="000000" w:themeColor="text1"/>
        </w:rPr>
        <w:t xml:space="preserve">6D </w:t>
      </w:r>
      <w:r w:rsidRPr="00476931">
        <w:rPr>
          <w:color w:val="000000" w:themeColor="text1"/>
        </w:rPr>
        <w:t xml:space="preserve">show how variable amounts of peptides loaded onto an LC column impact the peptide identification in a single sample containing hundreds of organisms and drastically impact AUC quantification, especially among lower abundance members.  </w:t>
      </w:r>
    </w:p>
    <w:p w14:paraId="6955D939" w14:textId="4502A3C1" w:rsidR="00BE2923" w:rsidRDefault="00BE2923">
      <w:pPr>
        <w:spacing w:before="1"/>
        <w:rPr>
          <w:rFonts w:eastAsiaTheme="majorEastAsia" w:cstheme="majorBidi"/>
          <w:b/>
          <w:color w:val="000000" w:themeColor="text1"/>
          <w:szCs w:val="26"/>
        </w:rPr>
      </w:pPr>
      <w:r>
        <w:br w:type="page"/>
      </w:r>
    </w:p>
    <w:p w14:paraId="787B4CB4" w14:textId="38D0606C" w:rsidR="001E6232" w:rsidRDefault="00BE2923" w:rsidP="00BE2923">
      <w:pPr>
        <w:ind w:left="180"/>
        <w:rPr>
          <w:color w:val="000000" w:themeColor="text1"/>
        </w:rPr>
      </w:pPr>
      <w:r>
        <w:rPr>
          <w:noProof/>
        </w:rPr>
        <w:lastRenderedPageBreak/>
        <mc:AlternateContent>
          <mc:Choice Requires="wps">
            <w:drawing>
              <wp:anchor distT="0" distB="0" distL="114300" distR="114300" simplePos="0" relativeHeight="251658256" behindDoc="0" locked="0" layoutInCell="1" allowOverlap="1" wp14:anchorId="39399F2E" wp14:editId="1FFC9AEE">
                <wp:simplePos x="0" y="0"/>
                <wp:positionH relativeFrom="column">
                  <wp:posOffset>152400</wp:posOffset>
                </wp:positionH>
                <wp:positionV relativeFrom="paragraph">
                  <wp:posOffset>3300095</wp:posOffset>
                </wp:positionV>
                <wp:extent cx="5202555" cy="635"/>
                <wp:effectExtent l="0" t="0" r="4445" b="12065"/>
                <wp:wrapTopAndBottom/>
                <wp:docPr id="1" name="Text Box 1"/>
                <wp:cNvGraphicFramePr/>
                <a:graphic xmlns:a="http://schemas.openxmlformats.org/drawingml/2006/main">
                  <a:graphicData uri="http://schemas.microsoft.com/office/word/2010/wordprocessingShape">
                    <wps:wsp>
                      <wps:cNvSpPr txBox="1"/>
                      <wps:spPr>
                        <a:xfrm>
                          <a:off x="0" y="0"/>
                          <a:ext cx="5202555" cy="635"/>
                        </a:xfrm>
                        <a:prstGeom prst="rect">
                          <a:avLst/>
                        </a:prstGeom>
                        <a:solidFill>
                          <a:prstClr val="white"/>
                        </a:solidFill>
                        <a:ln>
                          <a:noFill/>
                        </a:ln>
                      </wps:spPr>
                      <wps:txbx>
                        <w:txbxContent>
                          <w:p w14:paraId="54A66320" w14:textId="3AB7006E" w:rsidR="00BE2923" w:rsidRPr="00BE2923" w:rsidRDefault="00BE2923" w:rsidP="00BE2923">
                            <w:pPr>
                              <w:pStyle w:val="Caption"/>
                              <w:rPr>
                                <w:b w:val="0"/>
                                <w:bCs/>
                              </w:rPr>
                            </w:pPr>
                            <w:bookmarkStart w:id="193" w:name="_Toc110246932"/>
                            <w:r>
                              <w:t xml:space="preserve">Figure </w:t>
                            </w:r>
                            <w:fldSimple w:instr=" STYLEREF 1 \s ">
                              <w:r w:rsidR="00AC2094">
                                <w:rPr>
                                  <w:noProof/>
                                </w:rPr>
                                <w:t>3</w:t>
                              </w:r>
                            </w:fldSimple>
                            <w:r w:rsidR="00AC2094">
                              <w:noBreakHyphen/>
                            </w:r>
                            <w:fldSimple w:instr=" SEQ Figure \* ARABIC \s 1 ">
                              <w:r w:rsidR="00AC2094">
                                <w:rPr>
                                  <w:noProof/>
                                </w:rPr>
                                <w:t>6</w:t>
                              </w:r>
                            </w:fldSimple>
                            <w:r>
                              <w:t xml:space="preserve">  </w:t>
                            </w:r>
                            <w:r w:rsidRPr="00BE2923">
                              <w:t>Impact of protein quantification method on LC-MS/MS peptide identification and quantification.</w:t>
                            </w:r>
                            <w:bookmarkEnd w:id="193"/>
                            <w:r>
                              <w:rPr>
                                <w:b w:val="0"/>
                                <w:bCs/>
                              </w:rPr>
                              <w:fldChar w:fldCharType="begin"/>
                            </w:r>
                            <w:r>
                              <w:rPr>
                                <w:b w:val="0"/>
                                <w:bCs/>
                              </w:rPr>
                              <w:instrText xml:space="preserve"> </w:instrText>
                            </w:r>
                          </w:p>
                          <w:p w14:paraId="394A7835" w14:textId="77777777" w:rsidR="00BE2923" w:rsidRPr="00BE2923" w:rsidRDefault="00BE2923" w:rsidP="00BE2923">
                            <w:pPr>
                              <w:pStyle w:val="Caption"/>
                              <w:rPr>
                                <w:b w:val="0"/>
                                <w:bCs/>
                              </w:rPr>
                            </w:pPr>
                          </w:p>
                          <w:p w14:paraId="726B61D2" w14:textId="0252699D" w:rsidR="00BE2923" w:rsidRPr="00BE2923" w:rsidRDefault="00BE2923" w:rsidP="00BE2923">
                            <w:pPr>
                              <w:pStyle w:val="Caption"/>
                              <w:rPr>
                                <w:b w:val="0"/>
                                <w:bCs/>
                              </w:rPr>
                            </w:pPr>
                            <w:r>
                              <w:rPr>
                                <w:b w:val="0"/>
                                <w:bCs/>
                              </w:rPr>
                              <w:instrText xml:space="preserve"> </w:instrText>
                            </w:r>
                            <w:r>
                              <w:rPr>
                                <w:b w:val="0"/>
                                <w:bCs/>
                              </w:rPr>
                              <w:fldChar w:fldCharType="end"/>
                            </w:r>
                            <w:r w:rsidRPr="00BE2923">
                              <w:t xml:space="preserve">  </w:t>
                            </w:r>
                            <w:r w:rsidRPr="00BE2923">
                              <w:rPr>
                                <w:b w:val="0"/>
                                <w:bCs/>
                              </w:rPr>
                              <w:fldChar w:fldCharType="begin"/>
                            </w:r>
                            <w:r w:rsidRPr="00BE2923">
                              <w:rPr>
                                <w:b w:val="0"/>
                                <w:bCs/>
                              </w:rPr>
                              <w:instrText xml:space="preserve"> </w:instrText>
                            </w:r>
                          </w:p>
                          <w:p w14:paraId="1C9497F9" w14:textId="77777777" w:rsidR="00BE2923" w:rsidRPr="00BE2923" w:rsidRDefault="00BE2923" w:rsidP="00BE2923">
                            <w:pPr>
                              <w:pStyle w:val="Caption"/>
                              <w:rPr>
                                <w:b w:val="0"/>
                                <w:bCs/>
                              </w:rPr>
                            </w:pPr>
                          </w:p>
                          <w:p w14:paraId="0B96E77A" w14:textId="77777777" w:rsidR="00BE2923" w:rsidRPr="00BE2923" w:rsidRDefault="00BE2923" w:rsidP="00BE2923">
                            <w:pPr>
                              <w:pStyle w:val="Caption"/>
                              <w:rPr>
                                <w:b w:val="0"/>
                                <w:bCs/>
                              </w:rPr>
                            </w:pPr>
                            <w:r w:rsidRPr="00BE2923">
                              <w:rPr>
                                <w:b w:val="0"/>
                                <w:bCs/>
                              </w:rPr>
                              <w:instrText xml:space="preserve"> </w:instrText>
                            </w:r>
                            <w:r w:rsidRPr="00BE2923">
                              <w:rPr>
                                <w:b w:val="0"/>
                                <w:bCs/>
                              </w:rPr>
                              <w:fldChar w:fldCharType="end"/>
                            </w:r>
                            <w:bookmarkStart w:id="194" w:name="_Toc107573937"/>
                            <w:r w:rsidRPr="00BE2923">
                              <w:rPr>
                                <w:b w:val="0"/>
                                <w:bCs/>
                              </w:rPr>
                              <w:t>(A) Protein concentration of an ocean filter sample quantified by corrected absorbance (Scopes) at 205 nm (NanoDrop OneC) or by the bicinchoninic acid  (BCA) protein assay after cellular lysis. (B) Peptide concentration of an ocean filter sample quantified by corrected absorbance (Scopes) at 205 nm (NanoDrop OneC) or by the bicinchoninic acid (BCA) protein assay after digestion and MWCO filtration.  (C) Summed MS1 intensities of an ocean filter peptides loaded onto an RP-LC column at various amounts (500ng-5000ng).  Peptides were loaded onto the column based on the peptide concentrations determined by the BCA protein assay.  The number of detected peptide analytes detected for each load amount is listed above each column.  (D) Genus-level organismal relative abundances based on summed AUC protein abundance for each load amount based on the peptide concentrations determined by the BCA protein assay.</w:t>
                            </w:r>
                            <w:bookmarkEnd w:id="19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oel="http://schemas.microsoft.com/office/2019/extlst">
            <w:pict>
              <v:shape w14:anchorId="39399F2E" id="Text Box 1" o:spid="_x0000_s1082" type="#_x0000_t202" style="position:absolute;left:0;text-align:left;margin-left:12pt;margin-top:259.85pt;width:409.65pt;height:.05pt;z-index:251658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" stroked="f">
                <v:textbox style="mso-fit-shape-to-text:t" inset="0,0,0,0">
                  <w:txbxContent>
                    <w:p w14:paraId="54A66320" w14:textId="3AB7006E" w:rsidR="00BE2923" w:rsidRPr="00BE2923" w:rsidRDefault="00BE2923" w:rsidP="00BE2923">
                      <w:pPr>
                        <w:pStyle w:val="Caption"/>
                        <w:rPr>
                          <w:b w:val="0"/>
                          <w:bCs/>
                        </w:rPr>
                      </w:pPr>
                      <w:bookmarkStart w:id="197" w:name="_Toc110246932"/>
                      <w:r>
                        <w:t xml:space="preserve">Figure </w:t>
                      </w:r>
                      <w:r w:rsidR="00000000">
                        <w:fldChar w:fldCharType="begin"/>
                      </w:r>
                      <w:r w:rsidR="00000000">
                        <w:instrText xml:space="preserve"> STYLEREF 1 \s </w:instrText>
                      </w:r>
                      <w:r w:rsidR="00000000">
                        <w:fldChar w:fldCharType="separate"/>
                      </w:r>
                      <w:r w:rsidR="00AC2094">
                        <w:rPr>
                          <w:noProof/>
                        </w:rPr>
                        <w:t>3</w:t>
                      </w:r>
                      <w:r w:rsidR="00000000">
                        <w:rPr>
                          <w:noProof/>
                        </w:rPr>
                        <w:fldChar w:fldCharType="end"/>
                      </w:r>
                      <w:r w:rsidR="00AC2094">
                        <w:noBreakHyphen/>
                      </w:r>
                      <w:r w:rsidR="00000000">
                        <w:fldChar w:fldCharType="begin"/>
                      </w:r>
                      <w:r w:rsidR="00000000">
                        <w:instrText xml:space="preserve"> SEQ Figure \* ARABIC \s 1 </w:instrText>
                      </w:r>
                      <w:r w:rsidR="00000000">
                        <w:fldChar w:fldCharType="separate"/>
                      </w:r>
                      <w:r w:rsidR="00AC2094">
                        <w:rPr>
                          <w:noProof/>
                        </w:rPr>
                        <w:t>6</w:t>
                      </w:r>
                      <w:r w:rsidR="00000000">
                        <w:rPr>
                          <w:noProof/>
                        </w:rPr>
                        <w:fldChar w:fldCharType="end"/>
                      </w:r>
                      <w:r>
                        <w:t xml:space="preserve">  </w:t>
                      </w:r>
                      <w:r w:rsidRPr="00BE2923">
                        <w:t>Impact of protein quantification method on LC-MS/MS peptide identification and quantification.</w:t>
                      </w:r>
                      <w:bookmarkEnd w:id="197"/>
                      <w:r>
                        <w:rPr>
                          <w:b w:val="0"/>
                          <w:bCs/>
                        </w:rPr>
                        <w:fldChar w:fldCharType="begin"/>
                      </w:r>
                      <w:r>
                        <w:rPr>
                          <w:b w:val="0"/>
                          <w:bCs/>
                        </w:rPr>
                        <w:instrText xml:space="preserve"> </w:instrText>
                      </w:r>
                    </w:p>
                    <w:p w14:paraId="394A7835" w14:textId="77777777" w:rsidR="00BE2923" w:rsidRPr="00BE2923" w:rsidRDefault="00BE2923" w:rsidP="00BE2923">
                      <w:pPr>
                        <w:pStyle w:val="Caption"/>
                        <w:rPr>
                          <w:b w:val="0"/>
                          <w:bCs/>
                        </w:rPr>
                      </w:pPr>
                    </w:p>
                    <w:p w14:paraId="726B61D2" w14:textId="0252699D" w:rsidR="00BE2923" w:rsidRPr="00BE2923" w:rsidRDefault="00BE2923" w:rsidP="00BE2923">
                      <w:pPr>
                        <w:pStyle w:val="Caption"/>
                        <w:rPr>
                          <w:b w:val="0"/>
                          <w:bCs/>
                        </w:rPr>
                      </w:pPr>
                      <w:r>
                        <w:rPr>
                          <w:b w:val="0"/>
                          <w:bCs/>
                        </w:rPr>
                        <w:instrText xml:space="preserve"> </w:instrText>
                      </w:r>
                      <w:r>
                        <w:rPr>
                          <w:b w:val="0"/>
                          <w:bCs/>
                        </w:rPr>
                        <w:fldChar w:fldCharType="end"/>
                      </w:r>
                      <w:r w:rsidRPr="00BE2923">
                        <w:t xml:space="preserve">  </w:t>
                      </w:r>
                      <w:r w:rsidRPr="00BE2923">
                        <w:rPr>
                          <w:b w:val="0"/>
                          <w:bCs/>
                        </w:rPr>
                        <w:fldChar w:fldCharType="begin"/>
                      </w:r>
                      <w:r w:rsidRPr="00BE2923">
                        <w:rPr>
                          <w:b w:val="0"/>
                          <w:bCs/>
                        </w:rPr>
                        <w:instrText xml:space="preserve"> </w:instrText>
                      </w:r>
                    </w:p>
                    <w:p w14:paraId="1C9497F9" w14:textId="77777777" w:rsidR="00BE2923" w:rsidRPr="00BE2923" w:rsidRDefault="00BE2923" w:rsidP="00BE2923">
                      <w:pPr>
                        <w:pStyle w:val="Caption"/>
                        <w:rPr>
                          <w:b w:val="0"/>
                          <w:bCs/>
                        </w:rPr>
                      </w:pPr>
                    </w:p>
                    <w:p w14:paraId="0B96E77A" w14:textId="77777777" w:rsidR="00BE2923" w:rsidRPr="00BE2923" w:rsidRDefault="00BE2923" w:rsidP="00BE2923">
                      <w:pPr>
                        <w:pStyle w:val="Caption"/>
                        <w:rPr>
                          <w:b w:val="0"/>
                          <w:bCs/>
                        </w:rPr>
                      </w:pPr>
                      <w:r w:rsidRPr="00BE2923">
                        <w:rPr>
                          <w:b w:val="0"/>
                          <w:bCs/>
                        </w:rPr>
                        <w:instrText xml:space="preserve"> </w:instrText>
                      </w:r>
                      <w:r w:rsidRPr="00BE2923">
                        <w:rPr>
                          <w:b w:val="0"/>
                          <w:bCs/>
                        </w:rPr>
                        <w:fldChar w:fldCharType="end"/>
                      </w:r>
                      <w:bookmarkStart w:id="198" w:name="_Toc107573937"/>
                      <w:r w:rsidRPr="00BE2923">
                        <w:rPr>
                          <w:b w:val="0"/>
                          <w:bCs/>
                        </w:rPr>
                        <w:t>(A) Protein concentration of an ocean filter sample quantified by corrected absorbance (Scopes) at 205 nm (</w:t>
                      </w:r>
                      <w:proofErr w:type="spellStart"/>
                      <w:r w:rsidRPr="00BE2923">
                        <w:rPr>
                          <w:b w:val="0"/>
                          <w:bCs/>
                        </w:rPr>
                        <w:t>NanoDrop</w:t>
                      </w:r>
                      <w:proofErr w:type="spellEnd"/>
                      <w:r w:rsidRPr="00BE2923">
                        <w:rPr>
                          <w:b w:val="0"/>
                          <w:bCs/>
                        </w:rPr>
                        <w:t xml:space="preserve"> </w:t>
                      </w:r>
                      <w:proofErr w:type="spellStart"/>
                      <w:r w:rsidRPr="00BE2923">
                        <w:rPr>
                          <w:b w:val="0"/>
                          <w:bCs/>
                        </w:rPr>
                        <w:t>OneC</w:t>
                      </w:r>
                      <w:proofErr w:type="spellEnd"/>
                      <w:r w:rsidRPr="00BE2923">
                        <w:rPr>
                          <w:b w:val="0"/>
                          <w:bCs/>
                        </w:rPr>
                        <w:t>) or by the bicinchoninic acid  (BCA) protein assay after cellular lysis. (B) Peptide concentration of an ocean filter sample quantified by corrected absorbance (Scopes) at 205 nm (</w:t>
                      </w:r>
                      <w:proofErr w:type="spellStart"/>
                      <w:r w:rsidRPr="00BE2923">
                        <w:rPr>
                          <w:b w:val="0"/>
                          <w:bCs/>
                        </w:rPr>
                        <w:t>NanoDrop</w:t>
                      </w:r>
                      <w:proofErr w:type="spellEnd"/>
                      <w:r w:rsidRPr="00BE2923">
                        <w:rPr>
                          <w:b w:val="0"/>
                          <w:bCs/>
                        </w:rPr>
                        <w:t xml:space="preserve"> </w:t>
                      </w:r>
                      <w:proofErr w:type="spellStart"/>
                      <w:r w:rsidRPr="00BE2923">
                        <w:rPr>
                          <w:b w:val="0"/>
                          <w:bCs/>
                        </w:rPr>
                        <w:t>OneC</w:t>
                      </w:r>
                      <w:proofErr w:type="spellEnd"/>
                      <w:r w:rsidRPr="00BE2923">
                        <w:rPr>
                          <w:b w:val="0"/>
                          <w:bCs/>
                        </w:rPr>
                        <w:t>) or by the bicinchoninic acid (BCA) protein assay after digestion and MWCO filtration.  (C) Summed MS1 intensities of an ocean filter peptides loaded onto an RP-LC column at various amounts (500ng-5000ng).  Peptides were loaded onto the column based on the peptide concentrations determined by the BCA protein assay.  The number of detected peptide analytes detected for each load amount is listed above each column.  (D) Genus-level organismal relative abundances based on summed AUC protein abundance for each load amount based on the peptide concentrations determined by the BCA protein assay.</w:t>
                      </w:r>
                      <w:bookmarkEnd w:id="198"/>
                    </w:p>
                  </w:txbxContent>
                </v:textbox>
                <w10:wrap type="topAndBottom"/>
              </v:shape>
            </w:pict>
          </mc:Fallback>
        </mc:AlternateContent>
      </w:r>
      <w:r w:rsidRPr="00476931">
        <w:rPr>
          <w:rFonts w:ascii="Times New Roman" w:hAnsi="Times New Roman" w:cs="Times New Roman"/>
          <w:noProof/>
          <w:color w:val="000000" w:themeColor="text1"/>
        </w:rPr>
        <w:drawing>
          <wp:anchor distT="0" distB="0" distL="114300" distR="114300" simplePos="0" relativeHeight="251658255" behindDoc="0" locked="0" layoutInCell="1" allowOverlap="1" wp14:anchorId="081BCBA2" wp14:editId="41586B69">
            <wp:simplePos x="0" y="0"/>
            <wp:positionH relativeFrom="column">
              <wp:posOffset>228600</wp:posOffset>
            </wp:positionH>
            <wp:positionV relativeFrom="paragraph">
              <wp:posOffset>88900</wp:posOffset>
            </wp:positionV>
            <wp:extent cx="5202936" cy="3090672"/>
            <wp:effectExtent l="0" t="0" r="4445" b="0"/>
            <wp:wrapTopAndBottom/>
            <wp:docPr id="2057" name="Picture 2057"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 name="Picture 2057" descr="Chart, bar chart&#10;&#10;Description automatically generated"/>
                    <pic:cNvPicPr>
                      <a:picLocks noChangeAspect="1" noChangeArrowheads="1"/>
                    </pic:cNvPicPr>
                  </pic:nvPicPr>
                  <pic:blipFill rotWithShape="1">
                    <a:blip r:embed="rId42">
                      <a:extLst>
                        <a:ext uri="{28A0092B-C50C-407E-A947-70E740481C1C}">
                          <a14:useLocalDpi xmlns:a14="http://schemas.microsoft.com/office/drawing/2010/main" val="0"/>
                        </a:ext>
                      </a:extLst>
                    </a:blip>
                    <a:srcRect l="8437" t="4168" r="14384" b="14444"/>
                    <a:stretch/>
                  </pic:blipFill>
                  <pic:spPr bwMode="auto">
                    <a:xfrm>
                      <a:off x="0" y="0"/>
                      <a:ext cx="5202936" cy="309067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E6232">
        <w:rPr>
          <w:color w:val="000000" w:themeColor="text1"/>
        </w:rPr>
        <w:br w:type="page"/>
      </w:r>
    </w:p>
    <w:p w14:paraId="1556A9BF" w14:textId="6A9EEA33" w:rsidR="00BE2923" w:rsidRPr="00476931" w:rsidRDefault="00BE2923" w:rsidP="00BE2923">
      <w:pPr>
        <w:pStyle w:val="Heading2"/>
      </w:pPr>
      <w:bookmarkStart w:id="195" w:name="_Toc110250262"/>
      <w:bookmarkStart w:id="196" w:name="_Toc110250519"/>
      <w:bookmarkStart w:id="197" w:name="_Toc110250650"/>
      <w:r w:rsidRPr="00476931">
        <w:lastRenderedPageBreak/>
        <w:t>3.4  Separation and fractionation of complex peptide mixtures before MS</w:t>
      </w:r>
      <w:r w:rsidR="0067780D">
        <w:t>.</w:t>
      </w:r>
      <w:bookmarkEnd w:id="195"/>
      <w:bookmarkEnd w:id="196"/>
      <w:bookmarkEnd w:id="197"/>
    </w:p>
    <w:p w14:paraId="38BAB371" w14:textId="77777777" w:rsidR="00BE2923" w:rsidRDefault="00BE2923" w:rsidP="00BE2923">
      <w:pPr>
        <w:rPr>
          <w:color w:val="000000" w:themeColor="text1"/>
        </w:rPr>
      </w:pPr>
    </w:p>
    <w:p w14:paraId="6D82D296" w14:textId="77777777" w:rsidR="00BE2923" w:rsidRPr="003C7207" w:rsidRDefault="00BE2923" w:rsidP="00BE2923">
      <w:pPr>
        <w:ind w:left="180" w:firstLine="0"/>
        <w:rPr>
          <w:i/>
          <w:iCs/>
          <w:color w:val="000000" w:themeColor="text1"/>
        </w:rPr>
      </w:pPr>
      <w:r w:rsidRPr="003C7207">
        <w:rPr>
          <w:i/>
          <w:iCs/>
          <w:color w:val="000000" w:themeColor="text1"/>
          <w:spacing w:val="-3"/>
        </w:rPr>
        <w:t xml:space="preserve">Data generated and analyzed for the </w:t>
      </w:r>
      <w:r w:rsidRPr="00CA7F51">
        <w:rPr>
          <w:i/>
          <w:iCs/>
          <w:color w:val="000000" w:themeColor="text1"/>
          <w:spacing w:val="-3"/>
        </w:rPr>
        <w:t>Critical Assessment of Metaproteome Investigation (CAMPI)</w:t>
      </w:r>
      <w:r w:rsidRPr="003C7207">
        <w:rPr>
          <w:i/>
          <w:iCs/>
          <w:color w:val="000000" w:themeColor="text1"/>
          <w:spacing w:val="-3"/>
        </w:rPr>
        <w:t xml:space="preserve"> as presented in</w:t>
      </w:r>
      <w:r w:rsidRPr="003C7207">
        <w:rPr>
          <w:i/>
          <w:iCs/>
          <w:color w:val="000000" w:themeColor="text1"/>
          <w:spacing w:val="-2"/>
        </w:rPr>
        <w:t xml:space="preserve"> </w:t>
      </w:r>
      <w:r w:rsidRPr="00CA7F51">
        <w:rPr>
          <w:i/>
          <w:iCs/>
          <w:color w:val="000000" w:themeColor="text1"/>
        </w:rPr>
        <w:t xml:space="preserve">Van Den </w:t>
      </w:r>
      <w:proofErr w:type="spellStart"/>
      <w:r w:rsidRPr="00CA7F51">
        <w:rPr>
          <w:i/>
          <w:iCs/>
          <w:color w:val="000000" w:themeColor="text1"/>
        </w:rPr>
        <w:t>Bossche</w:t>
      </w:r>
      <w:proofErr w:type="spellEnd"/>
      <w:r w:rsidRPr="003C7207">
        <w:rPr>
          <w:i/>
          <w:iCs/>
          <w:color w:val="000000" w:themeColor="text1"/>
          <w:spacing w:val="-3"/>
        </w:rPr>
        <w:t xml:space="preserve"> </w:t>
      </w:r>
      <w:r w:rsidRPr="003C7207">
        <w:rPr>
          <w:i/>
          <w:iCs/>
          <w:color w:val="000000" w:themeColor="text1"/>
        </w:rPr>
        <w:t>et</w:t>
      </w:r>
      <w:r w:rsidRPr="003C7207">
        <w:rPr>
          <w:i/>
          <w:iCs/>
          <w:color w:val="000000" w:themeColor="text1"/>
          <w:spacing w:val="-2"/>
        </w:rPr>
        <w:t xml:space="preserve"> </w:t>
      </w:r>
      <w:r w:rsidRPr="003C7207">
        <w:rPr>
          <w:i/>
          <w:iCs/>
          <w:color w:val="000000" w:themeColor="text1"/>
        </w:rPr>
        <w:t>al., 202</w:t>
      </w:r>
      <w:r>
        <w:rPr>
          <w:i/>
          <w:iCs/>
          <w:color w:val="000000" w:themeColor="text1"/>
        </w:rPr>
        <w:t>1</w:t>
      </w:r>
      <w:r w:rsidRPr="003C7207">
        <w:rPr>
          <w:i/>
          <w:iCs/>
          <w:color w:val="000000" w:themeColor="text1"/>
        </w:rPr>
        <w:t>.</w:t>
      </w:r>
      <w:r w:rsidRPr="003C7207">
        <w:rPr>
          <w:i/>
          <w:iCs/>
          <w:color w:val="000000" w:themeColor="text1"/>
          <w:spacing w:val="-3"/>
        </w:rPr>
        <w:t xml:space="preserve"> </w:t>
      </w:r>
      <w:r>
        <w:rPr>
          <w:i/>
          <w:iCs/>
          <w:color w:val="000000" w:themeColor="text1"/>
          <w:spacing w:val="-3"/>
        </w:rPr>
        <w:t>Nature Communications</w:t>
      </w:r>
      <w:r w:rsidRPr="003C7207">
        <w:rPr>
          <w:i/>
          <w:iCs/>
          <w:color w:val="000000" w:themeColor="text1"/>
          <w:spacing w:val="-5"/>
        </w:rPr>
        <w:t>.</w:t>
      </w:r>
    </w:p>
    <w:p w14:paraId="7607FF1A" w14:textId="77777777" w:rsidR="00BE2923" w:rsidRDefault="00BE2923" w:rsidP="001666D1">
      <w:pPr>
        <w:ind w:firstLine="0"/>
        <w:rPr>
          <w:color w:val="000000" w:themeColor="text1"/>
        </w:rPr>
      </w:pPr>
    </w:p>
    <w:p w14:paraId="2B86D18A" w14:textId="154690A3" w:rsidR="00310878" w:rsidRPr="00476931" w:rsidRDefault="001E05B8" w:rsidP="001666D1">
      <w:pPr>
        <w:ind w:firstLine="0"/>
        <w:rPr>
          <w:color w:val="000000" w:themeColor="text1"/>
        </w:rPr>
      </w:pPr>
      <w:r w:rsidRPr="00476931">
        <w:rPr>
          <w:color w:val="000000" w:themeColor="text1"/>
        </w:rPr>
        <w:t xml:space="preserve">As mentioned in chapter 2, while 1D-RP-LC is robust and reproducible for separating peptide mixtures, the peak capacity of the PR-LC column may be exceeded </w:t>
      </w:r>
      <w:r w:rsidR="00CA7F51" w:rsidRPr="00476931">
        <w:rPr>
          <w:color w:val="000000" w:themeColor="text1"/>
        </w:rPr>
        <w:t xml:space="preserve">as the sample complexity increases and may not be sufficient to separate metaproteomic samples that contain thousands to tens of thousands of peptide analytes in a single sample. For highly complex samples, additional peptide separation </w:t>
      </w:r>
      <w:r w:rsidR="00E03EB5" w:rsidRPr="00476931">
        <w:rPr>
          <w:color w:val="000000" w:themeColor="text1"/>
        </w:rPr>
        <w:t>strategies, either with pre-fractionation of the peptide mixtures with SDS-PAGE or multidimensional liquid chromatography, are often necessary to improve the taxonomic and functional characterization of the microbial community being characterized</w:t>
      </w:r>
      <w:sdt>
        <w:sdtPr>
          <w:rPr>
            <w:color w:val="000000"/>
            <w:vertAlign w:val="superscript"/>
          </w:rPr>
          <w:tag w:val="MENDELEY_CITATION_v3_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"/>
          <w:id w:val="-175957901"/>
          <w:placeholder>
            <w:docPart w:val="47B41178402C41F9872F7EED37069D2D"/>
          </w:placeholder>
        </w:sdtPr>
        <w:sdtEndPr/>
        <w:sdtContent>
          <w:r w:rsidR="003204EA" w:rsidRPr="003204EA">
            <w:rPr>
              <w:rFonts w:eastAsia="Times New Roman"/>
              <w:color w:val="000000"/>
              <w:vertAlign w:val="superscript"/>
            </w:rPr>
            <w:t>133</w:t>
          </w:r>
        </w:sdtContent>
      </w:sdt>
      <w:r w:rsidR="00E03EB5" w:rsidRPr="00476931">
        <w:rPr>
          <w:color w:val="000000" w:themeColor="text1"/>
        </w:rPr>
        <w:t>.  The limitation of using additional separation strategies to increase identification rates and quantification accuracy is that it comes at the cost of increased instrument measurement time, potential sample loss, and increased resource cost.  Due to the varying complexity of metaproteomic samples, the presence of interfering</w:t>
      </w:r>
      <w:r w:rsidR="00E03EB5" w:rsidRPr="007744D0">
        <w:rPr>
          <w:color w:val="000000" w:themeColor="text1"/>
        </w:rPr>
        <w:t xml:space="preserve"> </w:t>
      </w:r>
      <w:r w:rsidR="00E03EB5" w:rsidRPr="00476931">
        <w:rPr>
          <w:color w:val="000000" w:themeColor="text1"/>
        </w:rPr>
        <w:t xml:space="preserve">compounds, and the wide dynamic range of protein abundances within the sample, it is necessary to optimize liquid chromatography-based peptide separation without compromising throughput. This optimization requires the evaluation of optimal </w:t>
      </w:r>
      <w:r w:rsidR="001666D1" w:rsidRPr="00476931">
        <w:rPr>
          <w:color w:val="000000" w:themeColor="text1"/>
        </w:rPr>
        <w:t xml:space="preserve">peptide loads, gradient lengths, and fractionation strategy for the specific </w:t>
      </w:r>
      <w:r w:rsidR="00310878" w:rsidRPr="00476931">
        <w:rPr>
          <w:color w:val="000000" w:themeColor="text1"/>
        </w:rPr>
        <w:t xml:space="preserve">samples based on the complexity of the microbial community to maximize data acquisition times without sacrificing the overall instrument run times.  </w:t>
      </w:r>
    </w:p>
    <w:p w14:paraId="6E21715F" w14:textId="5F281533" w:rsidR="00310878" w:rsidRPr="00476931" w:rsidRDefault="00310878" w:rsidP="00FD08C4">
      <w:pPr>
        <w:rPr>
          <w:color w:val="000000" w:themeColor="text1"/>
        </w:rPr>
      </w:pPr>
      <w:r w:rsidRPr="00476931">
        <w:rPr>
          <w:color w:val="000000" w:themeColor="text1"/>
        </w:rPr>
        <w:t>To highlight how the functional taxonomic insights derived from MS/MS measurements are impacted by the LC separation strategy applied, different metaproteomic samples of varying microbial complexity were measured by several common LC separation techniques.  This work was conducted as part of an international multi-lab comparison of metaproteomic workflows using two samples: a simplified, laboratory-assembled human intestinal model and a human fecal sample.</w:t>
      </w:r>
      <w:r w:rsidR="002B30B8" w:rsidRPr="002B30B8">
        <w:rPr>
          <w:color w:val="000000" w:themeColor="text1"/>
        </w:rPr>
        <w:t xml:space="preserve"> </w:t>
      </w:r>
      <w:r w:rsidR="002B30B8" w:rsidRPr="00476931">
        <w:rPr>
          <w:color w:val="000000" w:themeColor="text1"/>
        </w:rPr>
        <w:tab/>
        <w:t>The low complexity microbial community is a simplified mock community simulating</w:t>
      </w:r>
    </w:p>
    <w:p w14:paraId="413C7005" w14:textId="0DC31ECC" w:rsidR="00BE2923" w:rsidRPr="00476931" w:rsidRDefault="00310878" w:rsidP="00BE2923">
      <w:pPr>
        <w:ind w:firstLine="0"/>
        <w:rPr>
          <w:color w:val="000000" w:themeColor="text1"/>
        </w:rPr>
      </w:pPr>
      <w:r w:rsidRPr="00476931">
        <w:rPr>
          <w:color w:val="000000" w:themeColor="text1"/>
        </w:rPr>
        <w:lastRenderedPageBreak/>
        <w:t>the gut microbiome (</w:t>
      </w:r>
      <w:proofErr w:type="spellStart"/>
      <w:r w:rsidRPr="00476931">
        <w:rPr>
          <w:color w:val="000000" w:themeColor="text1"/>
        </w:rPr>
        <w:t>SIHUMIx</w:t>
      </w:r>
      <w:proofErr w:type="spellEnd"/>
      <w:r w:rsidRPr="00476931">
        <w:rPr>
          <w:color w:val="000000" w:themeColor="text1"/>
        </w:rPr>
        <w:t>)</w:t>
      </w:r>
      <w:sdt>
        <w:sdtPr>
          <w:rPr>
            <w:color w:val="000000"/>
            <w:vertAlign w:val="superscript"/>
          </w:rPr>
          <w:tag w:val="MENDELEY_CITATION_v3_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"/>
          <w:id w:val="-1110506530"/>
          <w:placeholder>
            <w:docPart w:val="B45FADC50A324E4486C4324FBA958C61"/>
          </w:placeholder>
        </w:sdtPr>
        <w:sdtEndPr/>
        <w:sdtContent>
          <w:r w:rsidR="003204EA" w:rsidRPr="003204EA">
            <w:rPr>
              <w:rFonts w:eastAsia="Times New Roman"/>
              <w:color w:val="000000"/>
              <w:vertAlign w:val="superscript"/>
            </w:rPr>
            <w:t>134</w:t>
          </w:r>
        </w:sdtContent>
      </w:sdt>
      <w:r w:rsidRPr="00476931">
        <w:rPr>
          <w:color w:val="000000" w:themeColor="text1"/>
        </w:rPr>
        <w:t xml:space="preserve"> composed of eight organisms initially isolated from the human gut.   Since the separation time on a 1D-RP-LC directly impacts the number of peptides and proteins detected, this mock community was measured via 1D-RP-LC-MS/MS with a linear gradient of 120 minutes or 240 minutes.  At the protein level, 2,674 and 3,636 proteins were identified for the 120-</w:t>
      </w:r>
      <w:r w:rsidR="00BE2923" w:rsidRPr="00BE2923">
        <w:rPr>
          <w:color w:val="000000" w:themeColor="text1"/>
        </w:rPr>
        <w:t xml:space="preserve"> </w:t>
      </w:r>
      <w:r w:rsidR="00BE2923" w:rsidRPr="00476931">
        <w:rPr>
          <w:color w:val="000000" w:themeColor="text1"/>
        </w:rPr>
        <w:t xml:space="preserve">minute and 240-minute linear-gradient measurements, respectively </w:t>
      </w:r>
      <w:r w:rsidR="00BE2923" w:rsidRPr="00476931">
        <w:rPr>
          <w:b/>
          <w:color w:val="000000" w:themeColor="text1"/>
        </w:rPr>
        <w:t>(Figure 3</w:t>
      </w:r>
      <w:r w:rsidR="009E08D4">
        <w:rPr>
          <w:b/>
          <w:color w:val="000000" w:themeColor="text1"/>
        </w:rPr>
        <w:t>-</w:t>
      </w:r>
      <w:r w:rsidR="00BE2923" w:rsidRPr="00476931">
        <w:rPr>
          <w:b/>
          <w:color w:val="000000" w:themeColor="text1"/>
        </w:rPr>
        <w:t>7A).</w:t>
      </w:r>
      <w:r w:rsidR="00BE2923" w:rsidRPr="00476931">
        <w:rPr>
          <w:color w:val="000000" w:themeColor="text1"/>
        </w:rPr>
        <w:t xml:space="preserve">  Doubling the retention time of the LC separation led to a 36% increase in protein identifications. 61% of all proteins identified were found in both samples. 7% of proteins were only found in the 120-minute gradient sample, and 32% of identified proteins were only found in the 240-minute gradient measurement. </w:t>
      </w:r>
      <w:r w:rsidR="00BE2923" w:rsidRPr="00476931">
        <w:rPr>
          <w:b/>
          <w:bCs/>
          <w:color w:val="000000" w:themeColor="text1"/>
        </w:rPr>
        <w:t>Figure 3</w:t>
      </w:r>
      <w:r w:rsidR="009E08D4">
        <w:rPr>
          <w:b/>
          <w:bCs/>
          <w:color w:val="000000" w:themeColor="text1"/>
        </w:rPr>
        <w:t>-</w:t>
      </w:r>
      <w:r w:rsidR="00BE2923" w:rsidRPr="00476931">
        <w:rPr>
          <w:b/>
          <w:bCs/>
          <w:color w:val="000000" w:themeColor="text1"/>
        </w:rPr>
        <w:t xml:space="preserve">7B </w:t>
      </w:r>
      <w:r w:rsidR="00BE2923" w:rsidRPr="00476931">
        <w:rPr>
          <w:color w:val="000000" w:themeColor="text1"/>
        </w:rPr>
        <w:t>shows the protein abundance distribution of organisms in the community. At the community level, this increase in protein identification enables more accurate quantification where the relative protein abundance of each organism more closely matched the abundance distribution of the stabilized community assessed in the original study of this community</w:t>
      </w:r>
      <w:sdt>
        <w:sdtPr>
          <w:rPr>
            <w:color w:val="000000"/>
            <w:vertAlign w:val="superscript"/>
          </w:rPr>
          <w:tag w:val="MENDELEY_CITATION_v3_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"/>
          <w:id w:val="780080654"/>
          <w:placeholder>
            <w:docPart w:val="38312CE1AA66F546A67EEA24811CB9E6"/>
          </w:placeholder>
        </w:sdtPr>
        <w:sdtEndPr/>
        <w:sdtContent>
          <w:r w:rsidR="003204EA" w:rsidRPr="003204EA">
            <w:rPr>
              <w:rFonts w:eastAsia="Times New Roman"/>
              <w:color w:val="000000"/>
              <w:vertAlign w:val="superscript"/>
            </w:rPr>
            <w:t>134</w:t>
          </w:r>
        </w:sdtContent>
      </w:sdt>
      <w:r w:rsidR="00BE2923" w:rsidRPr="00476931">
        <w:rPr>
          <w:color w:val="000000" w:themeColor="text1"/>
        </w:rPr>
        <w:t>.</w:t>
      </w:r>
      <w:r w:rsidR="00BE2923" w:rsidRPr="00476931">
        <w:rPr>
          <w:i/>
          <w:color w:val="000000" w:themeColor="text1"/>
        </w:rPr>
        <w:t xml:space="preserve"> </w:t>
      </w:r>
      <w:r w:rsidR="00BE2923" w:rsidRPr="00476931">
        <w:rPr>
          <w:color w:val="000000" w:themeColor="text1"/>
        </w:rPr>
        <w:t xml:space="preserve"> </w:t>
      </w:r>
    </w:p>
    <w:p w14:paraId="1547158D" w14:textId="30CE976E" w:rsidR="00BE2923" w:rsidRDefault="00BE2923" w:rsidP="00BE2923">
      <w:pPr>
        <w:rPr>
          <w:color w:val="000000" w:themeColor="text1"/>
        </w:rPr>
      </w:pPr>
      <w:r w:rsidRPr="00476931">
        <w:rPr>
          <w:color w:val="000000" w:themeColor="text1"/>
        </w:rPr>
        <w:t xml:space="preserve">For some lower abundance community members, such as </w:t>
      </w:r>
      <w:r w:rsidRPr="00476931">
        <w:rPr>
          <w:i/>
          <w:iCs/>
          <w:color w:val="000000" w:themeColor="text1"/>
        </w:rPr>
        <w:t xml:space="preserve">Clostridium ramosum, </w:t>
      </w:r>
      <w:r w:rsidRPr="00476931">
        <w:rPr>
          <w:color w:val="000000" w:themeColor="text1"/>
        </w:rPr>
        <w:t xml:space="preserve">the increase in protein identifications allowed in-depth characterization of metabolic activity that would have otherwise been missed using a shorter gradient.  Among identified proteins that are unique to </w:t>
      </w:r>
      <w:r w:rsidRPr="00476931">
        <w:rPr>
          <w:i/>
          <w:color w:val="000000" w:themeColor="text1"/>
        </w:rPr>
        <w:t xml:space="preserve">C. </w:t>
      </w:r>
      <w:r w:rsidRPr="00476931">
        <w:rPr>
          <w:i/>
          <w:iCs/>
          <w:color w:val="000000" w:themeColor="text1"/>
        </w:rPr>
        <w:t>ramosum,</w:t>
      </w:r>
      <w:r w:rsidRPr="00476931">
        <w:rPr>
          <w:color w:val="000000" w:themeColor="text1"/>
        </w:rPr>
        <w:t xml:space="preserve"> identifications increased from 156 protein groups to 492 protein groups when the linear gradient was doubled </w:t>
      </w:r>
      <w:r w:rsidRPr="00476931">
        <w:rPr>
          <w:b/>
          <w:color w:val="000000" w:themeColor="text1"/>
        </w:rPr>
        <w:t xml:space="preserve">(Figure </w:t>
      </w:r>
      <w:r w:rsidRPr="00476931">
        <w:rPr>
          <w:b/>
          <w:bCs/>
          <w:color w:val="000000" w:themeColor="text1"/>
        </w:rPr>
        <w:t>3</w:t>
      </w:r>
      <w:r w:rsidR="009E08D4">
        <w:rPr>
          <w:b/>
          <w:bCs/>
          <w:color w:val="000000" w:themeColor="text1"/>
        </w:rPr>
        <w:t>-</w:t>
      </w:r>
      <w:r w:rsidRPr="00476931">
        <w:rPr>
          <w:b/>
          <w:bCs/>
          <w:color w:val="000000" w:themeColor="text1"/>
        </w:rPr>
        <w:t xml:space="preserve">8A). </w:t>
      </w:r>
      <w:r w:rsidRPr="00476931">
        <w:rPr>
          <w:color w:val="000000" w:themeColor="text1"/>
        </w:rPr>
        <w:t xml:space="preserve">At a functional level, these identification gains lead to functional evidence of this member in the community at a pathway level. </w:t>
      </w:r>
      <w:r w:rsidRPr="00476931">
        <w:rPr>
          <w:b/>
          <w:color w:val="000000" w:themeColor="text1"/>
        </w:rPr>
        <w:t xml:space="preserve"> </w:t>
      </w:r>
      <w:r w:rsidRPr="00476931">
        <w:rPr>
          <w:b/>
          <w:bCs/>
          <w:color w:val="000000" w:themeColor="text1"/>
        </w:rPr>
        <w:t>Figure 3</w:t>
      </w:r>
      <w:r w:rsidR="009E08D4">
        <w:rPr>
          <w:b/>
          <w:bCs/>
          <w:color w:val="000000" w:themeColor="text1"/>
        </w:rPr>
        <w:t>-</w:t>
      </w:r>
      <w:r w:rsidRPr="00476931">
        <w:rPr>
          <w:b/>
          <w:bCs/>
          <w:color w:val="000000" w:themeColor="text1"/>
        </w:rPr>
        <w:t>8B</w:t>
      </w:r>
      <w:r w:rsidRPr="00476931">
        <w:rPr>
          <w:color w:val="000000" w:themeColor="text1"/>
        </w:rPr>
        <w:t xml:space="preserve"> shows the KEGG pathways of </w:t>
      </w:r>
      <w:r w:rsidRPr="00476931">
        <w:rPr>
          <w:i/>
          <w:iCs/>
          <w:color w:val="000000" w:themeColor="text1"/>
        </w:rPr>
        <w:t>Clostridium ramosum</w:t>
      </w:r>
      <w:r w:rsidRPr="00476931">
        <w:rPr>
          <w:color w:val="000000" w:themeColor="text1"/>
        </w:rPr>
        <w:t xml:space="preserve"> proteins identified in each of the two samples.  As noted in the figure, several pathways were only identified with deeper measurements.  In addition, </w:t>
      </w:r>
      <w:r w:rsidRPr="00476931">
        <w:rPr>
          <w:b/>
          <w:bCs/>
          <w:color w:val="000000" w:themeColor="text1"/>
        </w:rPr>
        <w:t>Figure 3</w:t>
      </w:r>
      <w:r w:rsidR="009E08D4">
        <w:rPr>
          <w:b/>
          <w:bCs/>
          <w:color w:val="000000" w:themeColor="text1"/>
        </w:rPr>
        <w:t>-</w:t>
      </w:r>
      <w:r w:rsidRPr="00476931">
        <w:rPr>
          <w:b/>
          <w:bCs/>
          <w:color w:val="000000" w:themeColor="text1"/>
        </w:rPr>
        <w:t>8C</w:t>
      </w:r>
      <w:r w:rsidRPr="00476931">
        <w:rPr>
          <w:color w:val="000000" w:themeColor="text1"/>
        </w:rPr>
        <w:t xml:space="preserve"> shows GO terms related to biological processes found in proteins exclusive to the 240-minute gradient sample.  Many of the proteins that were unique to the extended gradient run were lower abundance proteins that matched to GO terms related to stress response pathways such as a response to heat, methylglyoxal biosynthetic process, protein refolding, and oxidation-reduction processes. At a high level, detecting low abundance stress-related proteins in lower </w:t>
      </w:r>
      <w:r w:rsidR="002B30B8" w:rsidRPr="00476931">
        <w:rPr>
          <w:color w:val="000000" w:themeColor="text1"/>
        </w:rPr>
        <w:t>abundance members may give more insight into the overall dynamics of the</w:t>
      </w:r>
      <w:r w:rsidR="00B72052">
        <w:rPr>
          <w:color w:val="000000" w:themeColor="text1"/>
        </w:rPr>
        <w:t xml:space="preserve"> </w:t>
      </w:r>
    </w:p>
    <w:p w14:paraId="0CF2EDB8" w14:textId="77777777" w:rsidR="00BE2923" w:rsidRDefault="00BE2923" w:rsidP="00BE2923">
      <w:pPr>
        <w:pStyle w:val="BodyText"/>
        <w:keepNext/>
      </w:pPr>
      <w:r w:rsidRPr="00476931">
        <w:rPr>
          <w:noProof/>
        </w:rPr>
        <w:lastRenderedPageBreak/>
        <w:drawing>
          <wp:inline distT="0" distB="0" distL="0" distR="0" wp14:anchorId="03659E67" wp14:editId="6C7A95C7">
            <wp:extent cx="5219700" cy="1571565"/>
            <wp:effectExtent l="0" t="0" r="0" b="3810"/>
            <wp:docPr id="2063" name="Graphic 2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extLst>
                        <a:ext uri="{96DAC541-7B7A-43D3-8B79-37D633B846F1}">
                          <asvg:svgBlip xmlns:asvg="http://schemas.microsoft.com/office/drawing/2016/SVG/main" r:embed="rId44"/>
                        </a:ext>
                      </a:extLst>
                    </a:blip>
                    <a:srcRect l="6077" t="4013" r="4514" b="50309"/>
                    <a:stretch/>
                  </pic:blipFill>
                  <pic:spPr bwMode="auto">
                    <a:xfrm>
                      <a:off x="0" y="0"/>
                      <a:ext cx="5254255" cy="1581969"/>
                    </a:xfrm>
                    <a:prstGeom prst="rect">
                      <a:avLst/>
                    </a:prstGeom>
                    <a:ln>
                      <a:noFill/>
                    </a:ln>
                    <a:extLst>
                      <a:ext uri="{53640926-AAD7-44D8-BBD7-CCE9431645EC}">
                        <a14:shadowObscured xmlns:a14="http://schemas.microsoft.com/office/drawing/2010/main"/>
                      </a:ext>
                    </a:extLst>
                  </pic:spPr>
                </pic:pic>
              </a:graphicData>
            </a:graphic>
          </wp:inline>
        </w:drawing>
      </w:r>
    </w:p>
    <w:p w14:paraId="05F35F55" w14:textId="4D1B721E" w:rsidR="00BE2923" w:rsidRPr="00BE2923" w:rsidRDefault="00BE2923" w:rsidP="00BE2923">
      <w:pPr>
        <w:pStyle w:val="Caption"/>
        <w:rPr>
          <w:b w:val="0"/>
          <w:bCs/>
        </w:rPr>
      </w:pPr>
      <w:bookmarkStart w:id="198" w:name="_Toc110246933"/>
      <w:r>
        <w:t xml:space="preserve">Figure </w:t>
      </w:r>
      <w:fldSimple w:instr=" STYLEREF 1 \s ">
        <w:r w:rsidR="00AC2094">
          <w:rPr>
            <w:noProof/>
          </w:rPr>
          <w:t>3</w:t>
        </w:r>
      </w:fldSimple>
      <w:r w:rsidR="00AC2094">
        <w:noBreakHyphen/>
      </w:r>
      <w:fldSimple w:instr=" SEQ Figure \* ARABIC \s 1 ">
        <w:r w:rsidR="00AC2094">
          <w:rPr>
            <w:noProof/>
          </w:rPr>
          <w:t>7</w:t>
        </w:r>
      </w:fldSimple>
      <w:r>
        <w:t xml:space="preserve">  </w:t>
      </w:r>
      <w:r w:rsidRPr="00BE2923">
        <w:t xml:space="preserve">Comparison of 1D-RP-LC measurements of </w:t>
      </w:r>
      <w:proofErr w:type="spellStart"/>
      <w:r w:rsidRPr="00BE2923">
        <w:t>SIHUMIx</w:t>
      </w:r>
      <w:proofErr w:type="spellEnd"/>
      <w:r w:rsidRPr="00BE2923">
        <w:t xml:space="preserve"> mock community.</w:t>
      </w:r>
      <w:bookmarkEnd w:id="198"/>
      <w:r w:rsidRPr="00BE2923">
        <w:t xml:space="preserve">  </w:t>
      </w:r>
      <w:r w:rsidRPr="00BE2923">
        <w:rPr>
          <w:b w:val="0"/>
          <w:bCs/>
        </w:rPr>
        <w:fldChar w:fldCharType="begin"/>
      </w:r>
      <w:r w:rsidRPr="00BE2923">
        <w:rPr>
          <w:b w:val="0"/>
          <w:bCs/>
        </w:rPr>
        <w:instrText xml:space="preserve"> </w:instrText>
      </w:r>
    </w:p>
    <w:p w14:paraId="649CFF0B" w14:textId="77777777" w:rsidR="00BE2923" w:rsidRPr="00BE2923" w:rsidRDefault="00BE2923" w:rsidP="00BE2923">
      <w:pPr>
        <w:pStyle w:val="Caption"/>
        <w:rPr>
          <w:b w:val="0"/>
          <w:bCs/>
        </w:rPr>
      </w:pPr>
    </w:p>
    <w:p w14:paraId="75F1278D" w14:textId="77777777" w:rsidR="00BE2923" w:rsidRPr="00BE2923" w:rsidRDefault="00BE2923" w:rsidP="00BE2923">
      <w:pPr>
        <w:pStyle w:val="Caption"/>
        <w:rPr>
          <w:b w:val="0"/>
          <w:bCs/>
        </w:rPr>
      </w:pPr>
      <w:r w:rsidRPr="00BE2923">
        <w:rPr>
          <w:b w:val="0"/>
          <w:bCs/>
        </w:rPr>
        <w:instrText xml:space="preserve"> </w:instrText>
      </w:r>
      <w:r w:rsidRPr="00BE2923">
        <w:rPr>
          <w:b w:val="0"/>
          <w:bCs/>
        </w:rPr>
        <w:fldChar w:fldCharType="end"/>
      </w:r>
      <w:bookmarkStart w:id="199" w:name="_Toc107573939"/>
      <w:r w:rsidRPr="00BE2923">
        <w:rPr>
          <w:b w:val="0"/>
          <w:bCs/>
        </w:rPr>
        <w:t>(A) Venn diagram showing the overlap of identified proteins in the 120-minute linear-gradient measurement (SIHMUI_Bd16_ctrl) and the 240-minute linear-gradient measurement (ORNL_240min_C1). (B) Organismal relative abundances based on summed AUC protein abundance.</w:t>
      </w:r>
      <w:bookmarkEnd w:id="199"/>
      <w:r w:rsidRPr="00BE2923">
        <w:rPr>
          <w:b w:val="0"/>
          <w:bCs/>
        </w:rPr>
        <w:t xml:space="preserve"> </w:t>
      </w:r>
    </w:p>
    <w:p w14:paraId="575998C4" w14:textId="6A7B081B" w:rsidR="00BE2923" w:rsidRDefault="00BE2923" w:rsidP="00BE2923">
      <w:pPr>
        <w:pStyle w:val="BodyText"/>
      </w:pPr>
      <w:r>
        <w:br w:type="page"/>
      </w:r>
    </w:p>
    <w:p w14:paraId="5B8F4866" w14:textId="77777777" w:rsidR="00BE2923" w:rsidRDefault="00BE2923" w:rsidP="00BE2923">
      <w:pPr>
        <w:pStyle w:val="BodyText"/>
        <w:keepNext/>
      </w:pPr>
      <w:r w:rsidRPr="00476931">
        <w:rPr>
          <w:noProof/>
        </w:rPr>
        <w:lastRenderedPageBreak/>
        <w:drawing>
          <wp:inline distT="0" distB="0" distL="0" distR="0" wp14:anchorId="1372BD75" wp14:editId="33DAF5C4">
            <wp:extent cx="5156200" cy="4617275"/>
            <wp:effectExtent l="0" t="0" r="0" b="5715"/>
            <wp:docPr id="2064" name="Graphic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extLst>
                        <a:ext uri="{96DAC541-7B7A-43D3-8B79-37D633B846F1}">
                          <asvg:svgBlip xmlns:asvg="http://schemas.microsoft.com/office/drawing/2016/SVG/main" r:embed="rId46"/>
                        </a:ext>
                      </a:extLst>
                    </a:blip>
                    <a:srcRect l="2779" t="2160" r="35763"/>
                    <a:stretch/>
                  </pic:blipFill>
                  <pic:spPr bwMode="auto">
                    <a:xfrm>
                      <a:off x="0" y="0"/>
                      <a:ext cx="5171754" cy="4631204"/>
                    </a:xfrm>
                    <a:prstGeom prst="rect">
                      <a:avLst/>
                    </a:prstGeom>
                    <a:ln>
                      <a:noFill/>
                    </a:ln>
                    <a:extLst>
                      <a:ext uri="{53640926-AAD7-44D8-BBD7-CCE9431645EC}">
                        <a14:shadowObscured xmlns:a14="http://schemas.microsoft.com/office/drawing/2010/main"/>
                      </a:ext>
                    </a:extLst>
                  </pic:spPr>
                </pic:pic>
              </a:graphicData>
            </a:graphic>
          </wp:inline>
        </w:drawing>
      </w:r>
    </w:p>
    <w:p w14:paraId="40C8BA6C" w14:textId="4AC7FDE9" w:rsidR="00BE2923" w:rsidRPr="00BE2923" w:rsidRDefault="00BE2923" w:rsidP="00BE2923">
      <w:pPr>
        <w:pStyle w:val="Caption"/>
        <w:rPr>
          <w:b w:val="0"/>
          <w:bCs/>
        </w:rPr>
      </w:pPr>
      <w:bookmarkStart w:id="200" w:name="_Toc110246934"/>
      <w:r>
        <w:t xml:space="preserve">Figure </w:t>
      </w:r>
      <w:fldSimple w:instr=" STYLEREF 1 \s ">
        <w:r w:rsidR="00AC2094">
          <w:rPr>
            <w:noProof/>
          </w:rPr>
          <w:t>3</w:t>
        </w:r>
      </w:fldSimple>
      <w:r w:rsidR="00AC2094">
        <w:noBreakHyphen/>
      </w:r>
      <w:fldSimple w:instr=" SEQ Figure \* ARABIC \s 1 ">
        <w:r w:rsidR="00AC2094">
          <w:rPr>
            <w:noProof/>
          </w:rPr>
          <w:t>8</w:t>
        </w:r>
      </w:fldSimple>
      <w:r>
        <w:t xml:space="preserve">  </w:t>
      </w:r>
      <w:r w:rsidRPr="00BE2923">
        <w:t>Functional profiles of identified Clostridium ramosum proteins.</w:t>
      </w:r>
      <w:bookmarkEnd w:id="200"/>
      <w:r w:rsidRPr="00BE2923">
        <w:t xml:space="preserve">  </w:t>
      </w:r>
      <w:r w:rsidRPr="00BE2923">
        <w:rPr>
          <w:b w:val="0"/>
          <w:bCs/>
        </w:rPr>
        <w:fldChar w:fldCharType="begin"/>
      </w:r>
      <w:r w:rsidRPr="00BE2923">
        <w:rPr>
          <w:b w:val="0"/>
          <w:bCs/>
        </w:rPr>
        <w:instrText xml:space="preserve"> </w:instrText>
      </w:r>
    </w:p>
    <w:p w14:paraId="174E6B8E" w14:textId="77777777" w:rsidR="00BE2923" w:rsidRPr="00BE2923" w:rsidRDefault="00BE2923" w:rsidP="00BE2923">
      <w:pPr>
        <w:pStyle w:val="Caption"/>
        <w:rPr>
          <w:b w:val="0"/>
          <w:bCs/>
        </w:rPr>
      </w:pPr>
    </w:p>
    <w:p w14:paraId="79313E54" w14:textId="07C76EA9" w:rsidR="00BE2923" w:rsidRPr="00BE2923" w:rsidRDefault="00BE2923" w:rsidP="00BE2923">
      <w:pPr>
        <w:pStyle w:val="Caption"/>
        <w:rPr>
          <w:b w:val="0"/>
          <w:bCs/>
        </w:rPr>
      </w:pPr>
      <w:r w:rsidRPr="00BE2923">
        <w:rPr>
          <w:b w:val="0"/>
          <w:bCs/>
        </w:rPr>
        <w:instrText xml:space="preserve"> </w:instrText>
      </w:r>
      <w:r w:rsidRPr="00BE2923">
        <w:rPr>
          <w:b w:val="0"/>
          <w:bCs/>
        </w:rPr>
        <w:fldChar w:fldCharType="end"/>
      </w:r>
      <w:r w:rsidRPr="00BE2923">
        <w:rPr>
          <w:b w:val="0"/>
          <w:bCs/>
        </w:rPr>
        <w:fldChar w:fldCharType="begin"/>
      </w:r>
      <w:r w:rsidRPr="00BE2923">
        <w:rPr>
          <w:b w:val="0"/>
          <w:bCs/>
        </w:rPr>
        <w:instrText xml:space="preserve"> </w:instrText>
      </w:r>
    </w:p>
    <w:p w14:paraId="7131106D" w14:textId="77777777" w:rsidR="00BE2923" w:rsidRPr="00BE2923" w:rsidRDefault="00BE2923" w:rsidP="00BE2923">
      <w:pPr>
        <w:pStyle w:val="Caption"/>
        <w:rPr>
          <w:b w:val="0"/>
          <w:bCs/>
        </w:rPr>
      </w:pPr>
    </w:p>
    <w:p w14:paraId="025025CE" w14:textId="77777777" w:rsidR="00BE2923" w:rsidRPr="00BE2923" w:rsidRDefault="00BE2923" w:rsidP="00BE2923">
      <w:pPr>
        <w:pStyle w:val="Caption"/>
        <w:rPr>
          <w:b w:val="0"/>
          <w:bCs/>
        </w:rPr>
      </w:pPr>
      <w:r w:rsidRPr="00BE2923">
        <w:rPr>
          <w:b w:val="0"/>
          <w:bCs/>
        </w:rPr>
        <w:instrText xml:space="preserve"> </w:instrText>
      </w:r>
      <w:r w:rsidRPr="00BE2923">
        <w:rPr>
          <w:b w:val="0"/>
          <w:bCs/>
        </w:rPr>
        <w:fldChar w:fldCharType="end"/>
      </w:r>
      <w:bookmarkStart w:id="201" w:name="_Toc107573941"/>
      <w:r w:rsidRPr="00BE2923">
        <w:rPr>
          <w:b w:val="0"/>
          <w:bCs/>
        </w:rPr>
        <w:t>(A) Venn diagram of C. ramosum proteins identified in each LC gradient (B) KEGG pathways of Clostridium ramosum proteins.  Pathways noted in blue were exclusively identified in the 240-minute gradient run.  Pathways noted in blue were identified solely in the 120-minute gradient run.  Pathways noted in green were identified in both LC measurements.  (C) GO terms related to biological processes found in proteins exclusive to 240-minute gradient run.  The colored blocks are clusters of semantically similar GO terms (195 terms identified in the sample). The term listed in each box is representative of the cluster based on its semantic ‘uniqueness’ compared to the other terms in the cluster. The size of the box refers to the frequency the representative GO term appears in the UniProt-GOA annotation database.  Some of the boxes have the same color if they can be further collapsed into super-clusters of loosely related terms.  The super-cluster is also given a representative GO term based on uniqueness.</w:t>
      </w:r>
      <w:bookmarkEnd w:id="201"/>
    </w:p>
    <w:p w14:paraId="0E97703F" w14:textId="5A85D6D3" w:rsidR="00BE2923" w:rsidRDefault="00BE2923" w:rsidP="00BE2923">
      <w:pPr>
        <w:pStyle w:val="BodyText"/>
      </w:pPr>
      <w:r>
        <w:br w:type="page"/>
      </w:r>
    </w:p>
    <w:p w14:paraId="46A24562" w14:textId="35E59D77" w:rsidR="00BE2923" w:rsidRPr="00476931" w:rsidRDefault="00BE2923" w:rsidP="00BE2923">
      <w:pPr>
        <w:ind w:firstLine="0"/>
        <w:rPr>
          <w:color w:val="000000" w:themeColor="text1"/>
        </w:rPr>
      </w:pPr>
      <w:r w:rsidRPr="00476931">
        <w:rPr>
          <w:color w:val="000000" w:themeColor="text1"/>
        </w:rPr>
        <w:lastRenderedPageBreak/>
        <w:t>community than the detection of high abundance proteins in a dominant member.</w:t>
      </w:r>
    </w:p>
    <w:p w14:paraId="146ABB62" w14:textId="10EC42C6" w:rsidR="00930C36" w:rsidRDefault="001666D1" w:rsidP="003E1275">
      <w:r w:rsidRPr="00476931">
        <w:t xml:space="preserve">To compare the incorporation of orthogonal separation before RP-LC, three LC set-ups were used to measure a fecal sample from a healthy adult donor.  This sample has an unknown composition of microbial cells, host cells, plant-derived </w:t>
      </w:r>
      <w:r w:rsidR="001E05B8" w:rsidRPr="00476931">
        <w:t xml:space="preserve">fibrous materials, and other abiotic components, all of which increase the complexity of the sample.  Two of the conducted measurements incorporated SDS-PAGE </w:t>
      </w:r>
      <w:r w:rsidR="00E00864" w:rsidRPr="00476931">
        <w:t xml:space="preserve">separation of the peptide mixture prior to LC-MS/MS measurement.  The first SDS-PAGE sample contained one gel band measured over a 120-minute RP-LC gradient.  The second SDS-PAGE sample contained four gel band fractions, each measured for </w:t>
      </w:r>
      <w:r w:rsidR="00930C36" w:rsidRPr="00476931">
        <w:t xml:space="preserve">60 minutes by RP-LC for a combined separation time of 240 minutes.  In addition to SDS-PAGE fractionation, the same fecal sample was processed and measured by a 4-step MudPIT strategy, with peptide eluted off the SCX resin in four pulses of increasing salt concentration followed by 210 minutes RP-LC gradient.  </w:t>
      </w:r>
    </w:p>
    <w:p w14:paraId="2817AB81" w14:textId="325E57AD" w:rsidR="00895D16" w:rsidRDefault="00930C36" w:rsidP="00B72052">
      <w:r w:rsidRPr="00476931">
        <w:rPr>
          <w:b/>
          <w:bCs/>
        </w:rPr>
        <w:t>Figures 3</w:t>
      </w:r>
      <w:r w:rsidR="009E08D4">
        <w:rPr>
          <w:b/>
          <w:bCs/>
        </w:rPr>
        <w:t>-</w:t>
      </w:r>
      <w:r w:rsidRPr="00476931">
        <w:rPr>
          <w:b/>
          <w:bCs/>
        </w:rPr>
        <w:t>9A-C</w:t>
      </w:r>
      <w:r w:rsidRPr="00476931">
        <w:t xml:space="preserve"> show the database search results at the PSM, peptide, and protein levels.  At the PSM level, both SDS-PAGE gel band samples outperformed the MudPIT sample, with more than 5,500 more PSMs detected in each of these samples compared to the MudPIT sample.  However, many of these additional PSMs mapped to peptides with multiple PSMs, so the SDS-PAGE samples did not outperform the MudPIT samples at the peptide and protein levels.  In addition, while</w:t>
      </w:r>
      <w:r w:rsidRPr="00930C36">
        <w:t xml:space="preserve"> </w:t>
      </w:r>
      <w:r w:rsidRPr="00476931">
        <w:t>all three samples identified around 210 human proteins, the MudPIT sample had around 500 more microbial proteins identified than either of the SDS-PAGE gel band samples.  In terms of protein quantification, these additional microbial protein identifications meant that 90% of the summed protein intensity was microbial in origin, compared to 81-82% in the SDS-PAGE samples (</w:t>
      </w:r>
      <w:r w:rsidRPr="00476931">
        <w:rPr>
          <w:b/>
          <w:bCs/>
        </w:rPr>
        <w:t>Figure 3</w:t>
      </w:r>
      <w:r w:rsidR="009E08D4">
        <w:rPr>
          <w:b/>
          <w:bCs/>
        </w:rPr>
        <w:t>-</w:t>
      </w:r>
      <w:r w:rsidRPr="00476931">
        <w:rPr>
          <w:b/>
          <w:bCs/>
        </w:rPr>
        <w:t>9D</w:t>
      </w:r>
      <w:r w:rsidRPr="00476931">
        <w:t xml:space="preserve">). Comparing the two SDS-PAGE gel band samples to each other, while the protein abundance ratios between human and microbial proteins were similar, incorporating fractionation of the gel bands enabled the identification of 180 additional microbial proteins.  Preparing SDS-PAGE gel bands for LC-MS/MS analysis is relatively labor-intensive. It requires </w:t>
      </w:r>
      <w:r w:rsidR="00895D16" w:rsidRPr="00476931">
        <w:t>a lot more handling of the samples prior to LC-MS/MS measurement compared to the</w:t>
      </w:r>
      <w:r w:rsidR="00B72052">
        <w:t xml:space="preserve"> </w:t>
      </w:r>
      <w:r w:rsidR="00B72052" w:rsidRPr="00476931">
        <w:t>MudPIT separation approach.  Therefore, the chance of sample loss and contamination</w:t>
      </w:r>
    </w:p>
    <w:p w14:paraId="6CF3A614" w14:textId="77777777" w:rsidR="00BE2923" w:rsidRDefault="00BE2923" w:rsidP="00D71B8C">
      <w:r w:rsidRPr="00476931">
        <w:rPr>
          <w:noProof/>
        </w:rPr>
        <w:lastRenderedPageBreak/>
        <w:drawing>
          <wp:inline distT="0" distB="0" distL="0" distR="0" wp14:anchorId="5F35DB8F" wp14:editId="3034F356">
            <wp:extent cx="5212835" cy="3352800"/>
            <wp:effectExtent l="0" t="0" r="0" b="0"/>
            <wp:docPr id="2058" name="Graphic 2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extLst>
                        <a:ext uri="{96DAC541-7B7A-43D3-8B79-37D633B846F1}">
                          <asvg:svgBlip xmlns:asvg="http://schemas.microsoft.com/office/drawing/2016/SVG/main" r:embed="rId48"/>
                        </a:ext>
                      </a:extLst>
                    </a:blip>
                    <a:srcRect l="8854" t="3704" r="14757" b="8950"/>
                    <a:stretch/>
                  </pic:blipFill>
                  <pic:spPr bwMode="auto">
                    <a:xfrm>
                      <a:off x="0" y="0"/>
                      <a:ext cx="5233169" cy="3365879"/>
                    </a:xfrm>
                    <a:prstGeom prst="rect">
                      <a:avLst/>
                    </a:prstGeom>
                    <a:ln>
                      <a:noFill/>
                    </a:ln>
                    <a:extLst>
                      <a:ext uri="{53640926-AAD7-44D8-BBD7-CCE9431645EC}">
                        <a14:shadowObscured xmlns:a14="http://schemas.microsoft.com/office/drawing/2010/main"/>
                      </a:ext>
                    </a:extLst>
                  </pic:spPr>
                </pic:pic>
              </a:graphicData>
            </a:graphic>
          </wp:inline>
        </w:drawing>
      </w:r>
    </w:p>
    <w:p w14:paraId="31D5330C" w14:textId="6C85B38A" w:rsidR="00BE2923" w:rsidRPr="00BE2923" w:rsidRDefault="00BE2923" w:rsidP="00D71B8C">
      <w:pPr>
        <w:ind w:firstLine="0"/>
        <w:rPr>
          <w:bCs/>
        </w:rPr>
      </w:pPr>
      <w:bookmarkStart w:id="202" w:name="_Toc110246935"/>
      <w:r w:rsidRPr="00D71B8C">
        <w:rPr>
          <w:b/>
          <w:bCs/>
        </w:rPr>
        <w:t xml:space="preserve">Figure </w:t>
      </w:r>
      <w:r w:rsidR="00AC2094">
        <w:rPr>
          <w:b/>
          <w:bCs/>
        </w:rPr>
        <w:fldChar w:fldCharType="begin"/>
      </w:r>
      <w:r w:rsidR="00AC2094">
        <w:rPr>
          <w:b/>
          <w:bCs/>
        </w:rPr>
        <w:instrText xml:space="preserve"> STYLEREF 1 \s </w:instrText>
      </w:r>
      <w:r w:rsidR="00AC2094">
        <w:rPr>
          <w:b/>
          <w:bCs/>
        </w:rPr>
        <w:fldChar w:fldCharType="separate"/>
      </w:r>
      <w:r w:rsidR="00AC2094">
        <w:rPr>
          <w:b/>
          <w:bCs/>
          <w:noProof/>
        </w:rPr>
        <w:t>3</w:t>
      </w:r>
      <w:r w:rsidR="00AC2094">
        <w:rPr>
          <w:b/>
          <w:bCs/>
        </w:rPr>
        <w:fldChar w:fldCharType="end"/>
      </w:r>
      <w:r w:rsidR="00AC2094">
        <w:rPr>
          <w:b/>
          <w:bCs/>
        </w:rPr>
        <w:noBreakHyphen/>
      </w:r>
      <w:r w:rsidR="00AC2094">
        <w:rPr>
          <w:b/>
          <w:bCs/>
        </w:rPr>
        <w:fldChar w:fldCharType="begin"/>
      </w:r>
      <w:r w:rsidR="00AC2094">
        <w:rPr>
          <w:b/>
          <w:bCs/>
        </w:rPr>
        <w:instrText xml:space="preserve"> SEQ Figure \* ARABIC \s 1 </w:instrText>
      </w:r>
      <w:r w:rsidR="00AC2094">
        <w:rPr>
          <w:b/>
          <w:bCs/>
        </w:rPr>
        <w:fldChar w:fldCharType="separate"/>
      </w:r>
      <w:r w:rsidR="00AC2094">
        <w:rPr>
          <w:b/>
          <w:bCs/>
          <w:noProof/>
        </w:rPr>
        <w:t>9</w:t>
      </w:r>
      <w:r w:rsidR="00AC2094">
        <w:rPr>
          <w:b/>
          <w:bCs/>
        </w:rPr>
        <w:fldChar w:fldCharType="end"/>
      </w:r>
      <w:r>
        <w:t xml:space="preserve">  </w:t>
      </w:r>
      <w:r w:rsidRPr="00BE2923">
        <w:t>Identified PSMs, peptides, and proteins in a human fecal sample using different LC separation approaches.</w:t>
      </w:r>
      <w:bookmarkEnd w:id="202"/>
      <w:r w:rsidRPr="00BE2923">
        <w:t xml:space="preserve">  </w:t>
      </w:r>
      <w:r w:rsidRPr="00BE2923">
        <w:rPr>
          <w:b/>
          <w:bCs/>
        </w:rPr>
        <w:fldChar w:fldCharType="begin"/>
      </w:r>
      <w:r w:rsidRPr="00BE2923">
        <w:rPr>
          <w:bCs/>
        </w:rPr>
        <w:instrText xml:space="preserve"> </w:instrText>
      </w:r>
    </w:p>
    <w:p w14:paraId="2E5C231E" w14:textId="77777777" w:rsidR="00BE2923" w:rsidRPr="00BE2923" w:rsidRDefault="00BE2923" w:rsidP="00E46579">
      <w:pPr>
        <w:rPr>
          <w:bCs/>
        </w:rPr>
      </w:pPr>
    </w:p>
    <w:p w14:paraId="7A8F92CD" w14:textId="0A02B660" w:rsidR="00BE2923" w:rsidRPr="00BE2923" w:rsidRDefault="00BE2923" w:rsidP="00E46579">
      <w:pPr>
        <w:rPr>
          <w:bCs/>
        </w:rPr>
      </w:pPr>
      <w:r w:rsidRPr="00BE2923">
        <w:rPr>
          <w:bCs/>
        </w:rPr>
        <w:instrText xml:space="preserve"> </w:instrText>
      </w:r>
      <w:r w:rsidRPr="00BE2923">
        <w:rPr>
          <w:b/>
          <w:bCs/>
        </w:rPr>
        <w:fldChar w:fldCharType="end"/>
      </w:r>
      <w:r w:rsidRPr="00BE2923">
        <w:rPr>
          <w:b/>
          <w:bCs/>
        </w:rPr>
        <w:fldChar w:fldCharType="begin"/>
      </w:r>
      <w:r w:rsidRPr="00BE2923">
        <w:rPr>
          <w:bCs/>
        </w:rPr>
        <w:instrText xml:space="preserve"> </w:instrText>
      </w:r>
    </w:p>
    <w:p w14:paraId="70FFCB10" w14:textId="77777777" w:rsidR="00BE2923" w:rsidRPr="00BE2923" w:rsidRDefault="00BE2923" w:rsidP="00E46579">
      <w:pPr>
        <w:rPr>
          <w:bCs/>
        </w:rPr>
      </w:pPr>
    </w:p>
    <w:p w14:paraId="201E2A1D" w14:textId="77777777" w:rsidR="00BE2923" w:rsidRPr="00BE2923" w:rsidRDefault="00BE2923" w:rsidP="00E46579">
      <w:pPr>
        <w:rPr>
          <w:bCs/>
        </w:rPr>
      </w:pPr>
      <w:r w:rsidRPr="00BE2923">
        <w:rPr>
          <w:bCs/>
        </w:rPr>
        <w:instrText xml:space="preserve"> </w:instrText>
      </w:r>
      <w:r w:rsidRPr="00BE2923">
        <w:rPr>
          <w:b/>
          <w:bCs/>
        </w:rPr>
        <w:fldChar w:fldCharType="end"/>
      </w:r>
      <w:bookmarkStart w:id="203" w:name="_Toc107573943"/>
      <w:r w:rsidRPr="00BE2923">
        <w:rPr>
          <w:bCs/>
        </w:rPr>
        <w:t>(A). Detected PSMs per sample (B).  Detected peptide analytes per sample (C). Identified proteins per sample, clustered at 100% amino acid sequence identity. (D). Relative abundance of microbial and human proteins per sample, based on summed peak apex MS1 intensities.</w:t>
      </w:r>
      <w:bookmarkEnd w:id="203"/>
    </w:p>
    <w:p w14:paraId="2CDA5B8C" w14:textId="47825197" w:rsidR="00BE2923" w:rsidRDefault="00BE2923" w:rsidP="00E46579">
      <w:r>
        <w:br w:type="page"/>
      </w:r>
    </w:p>
    <w:p w14:paraId="4206AD5D" w14:textId="398CFAE7" w:rsidR="00BE2923" w:rsidRDefault="00930C36">
      <w:pPr>
        <w:ind w:firstLine="0"/>
      </w:pPr>
      <w:r w:rsidRPr="00476931">
        <w:lastRenderedPageBreak/>
        <w:t xml:space="preserve">of samples with common mass spectrometry contaminants such as human keratins </w:t>
      </w:r>
      <w:proofErr w:type="gramStart"/>
      <w:r w:rsidRPr="00476931">
        <w:t>increases</w:t>
      </w:r>
      <w:proofErr w:type="gramEnd"/>
      <w:r w:rsidRPr="00476931">
        <w:t xml:space="preserve"> with the SDS-PAGE approach, which may explain why fewer microbial proteins </w:t>
      </w:r>
      <w:r w:rsidR="007475CC">
        <w:t>w</w:t>
      </w:r>
      <w:r w:rsidRPr="00476931">
        <w:t xml:space="preserve">ere identified in these samples in the presence of highly abundant host proteins.  In addition, the increased measurement time by both the MudPIT approach </w:t>
      </w:r>
      <w:r w:rsidR="001E05B8" w:rsidRPr="00476931">
        <w:t xml:space="preserve">and the gel band fractionation approach gave an additional level of separation that led to a higher number of identifications.  Without this extra level of separation, several </w:t>
      </w:r>
      <w:r w:rsidR="00E00864" w:rsidRPr="00476931">
        <w:t xml:space="preserve">lower abundance peptides were not measured or quantified, including many low abundance microbial peptides.  In total, while additional LC separation approaches add to the overall measurement time, for complex microbiome samples with a wide </w:t>
      </w:r>
      <w:r w:rsidRPr="00476931">
        <w:t>dynamic range of protein abundances, these approaches may be necessary to detect low abundance proteins of interest and low abundance organisms in the community.</w:t>
      </w:r>
    </w:p>
    <w:p w14:paraId="019338AD" w14:textId="6ABE5243" w:rsidR="00B06F92" w:rsidRDefault="00B06F92" w:rsidP="00B06F92">
      <w:r>
        <w:tab/>
        <w:t xml:space="preserve">In total, </w:t>
      </w:r>
      <w:r w:rsidR="008413D9">
        <w:t xml:space="preserve">these measurements </w:t>
      </w:r>
      <w:r w:rsidR="00FB7527">
        <w:t xml:space="preserve">were conducted as </w:t>
      </w:r>
      <w:r w:rsidR="00EF182C">
        <w:t xml:space="preserve">part of a </w:t>
      </w:r>
      <w:r w:rsidR="00EF182C" w:rsidRPr="00EF182C">
        <w:t>community-driven, multi-laboratory comparison in metaproteomics</w:t>
      </w:r>
      <w:r w:rsidR="00EF182C">
        <w:t xml:space="preserve">.  This laboratory intercomparison across several different labs with very different </w:t>
      </w:r>
      <w:r w:rsidR="00075F6B">
        <w:t xml:space="preserve">workflows showed that for metaproteomic samples, variability </w:t>
      </w:r>
      <w:r w:rsidR="00384EDE">
        <w:t xml:space="preserve">of peptide level identifications is predominantly due to sample processing, with </w:t>
      </w:r>
      <w:r w:rsidR="00625EA7" w:rsidRPr="00625EA7">
        <w:t>bioinformatic pipelines</w:t>
      </w:r>
      <w:r w:rsidR="00625EA7">
        <w:t xml:space="preserve"> making</w:t>
      </w:r>
      <w:r w:rsidR="00625EA7" w:rsidRPr="00625EA7">
        <w:t xml:space="preserve"> </w:t>
      </w:r>
      <w:r w:rsidR="00384EDE">
        <w:t>a smaller im</w:t>
      </w:r>
      <w:r w:rsidR="00625EA7">
        <w:t xml:space="preserve">pact on the identification rates. This </w:t>
      </w:r>
      <w:r w:rsidR="004F7C16">
        <w:t xml:space="preserve">finding was observed regardless of the complexity of the community. </w:t>
      </w:r>
      <w:r w:rsidR="009C69C0">
        <w:t xml:space="preserve">In general, sample preparation strategies with </w:t>
      </w:r>
      <w:r w:rsidR="009C69C0" w:rsidRPr="00546060">
        <w:t xml:space="preserve">more extensive sample fractionation and faster instruments </w:t>
      </w:r>
      <w:r w:rsidR="009C69C0">
        <w:t xml:space="preserve">correlated with </w:t>
      </w:r>
      <w:r w:rsidR="008E0371">
        <w:t>deeper analytical dep</w:t>
      </w:r>
      <w:r w:rsidR="00EC5859">
        <w:t xml:space="preserve">th.  </w:t>
      </w:r>
      <w:r w:rsidR="00837F23">
        <w:t xml:space="preserve">Thus, separation and fractionation levels should be considered when measuring complex microbiome samples.  </w:t>
      </w:r>
      <w:r w:rsidR="004413EB">
        <w:t>Despite the variation in peptide-level identification rates</w:t>
      </w:r>
      <w:r w:rsidR="008F1F1A">
        <w:t xml:space="preserve">, </w:t>
      </w:r>
      <w:r w:rsidR="004413EB">
        <w:t xml:space="preserve">this </w:t>
      </w:r>
      <w:r w:rsidR="00DC4782">
        <w:t xml:space="preserve">multi-laboratory comparison found that </w:t>
      </w:r>
      <w:r w:rsidR="00DB0BE7">
        <w:t xml:space="preserve">much of the variation between workflows disappeared when viewing the data at the protein and </w:t>
      </w:r>
      <w:r w:rsidR="007277C9">
        <w:t xml:space="preserve">functional profile level.  </w:t>
      </w:r>
    </w:p>
    <w:p w14:paraId="0678661E" w14:textId="77B6FCA1" w:rsidR="00593E34" w:rsidRPr="00476931" w:rsidRDefault="00593E34" w:rsidP="00BE2923">
      <w:pPr>
        <w:ind w:firstLine="0"/>
        <w:rPr>
          <w:rFonts w:ascii="Times New Roman" w:hAnsi="Times New Roman" w:cs="Times New Roman"/>
          <w:color w:val="000000" w:themeColor="text1"/>
        </w:rPr>
      </w:pPr>
      <w:r w:rsidRPr="00476931">
        <w:rPr>
          <w:rFonts w:ascii="Times New Roman" w:hAnsi="Times New Roman" w:cs="Times New Roman"/>
          <w:color w:val="000000" w:themeColor="text1"/>
        </w:rPr>
        <w:br w:type="page"/>
      </w:r>
    </w:p>
    <w:p w14:paraId="417EC051" w14:textId="7BE36645" w:rsidR="00310878" w:rsidRPr="00476931" w:rsidRDefault="00512C9E" w:rsidP="00DC639F">
      <w:pPr>
        <w:pStyle w:val="Heading1"/>
      </w:pPr>
      <w:bookmarkStart w:id="204" w:name="_Toc110250263"/>
      <w:bookmarkStart w:id="205" w:name="_Toc110250520"/>
      <w:bookmarkStart w:id="206" w:name="_Toc110250651"/>
      <w:r w:rsidRPr="00476931">
        <w:lastRenderedPageBreak/>
        <w:t xml:space="preserve">- </w:t>
      </w:r>
      <w:r w:rsidR="00310878" w:rsidRPr="00476931">
        <w:t>Challenges of metaproteomic datasets and informatics approaches</w:t>
      </w:r>
      <w:r w:rsidR="0067780D">
        <w:t>.</w:t>
      </w:r>
      <w:bookmarkEnd w:id="204"/>
      <w:bookmarkEnd w:id="205"/>
      <w:bookmarkEnd w:id="206"/>
    </w:p>
    <w:p w14:paraId="660B1ED4" w14:textId="77777777" w:rsidR="005C33E7" w:rsidRPr="00DC639F" w:rsidRDefault="005C33E7" w:rsidP="005C33E7">
      <w:pPr>
        <w:spacing w:after="120"/>
        <w:ind w:firstLine="0"/>
        <w:rPr>
          <w:color w:val="000000" w:themeColor="text1"/>
          <w:sz w:val="40"/>
          <w:szCs w:val="40"/>
        </w:rPr>
      </w:pPr>
    </w:p>
    <w:p w14:paraId="132AC33B" w14:textId="3AA8B16A" w:rsidR="005C33E7" w:rsidRDefault="00E24E1F" w:rsidP="001E6232">
      <w:pPr>
        <w:spacing w:after="120"/>
        <w:ind w:firstLine="0"/>
        <w:rPr>
          <w:color w:val="000000" w:themeColor="text1"/>
          <w:spacing w:val="-2"/>
        </w:rPr>
      </w:pPr>
      <w:r w:rsidRPr="00476931">
        <w:rPr>
          <w:color w:val="000000" w:themeColor="text1"/>
        </w:rPr>
        <w:t>Data presented in this chapter was generated for t</w:t>
      </w:r>
      <w:r w:rsidR="005C33E7" w:rsidRPr="00476931">
        <w:rPr>
          <w:color w:val="000000" w:themeColor="text1"/>
        </w:rPr>
        <w:t>he</w:t>
      </w:r>
      <w:r w:rsidR="005C33E7" w:rsidRPr="00476931">
        <w:rPr>
          <w:color w:val="000000" w:themeColor="text1"/>
          <w:spacing w:val="-13"/>
        </w:rPr>
        <w:t xml:space="preserve"> </w:t>
      </w:r>
      <w:r w:rsidR="005C33E7" w:rsidRPr="00476931">
        <w:rPr>
          <w:color w:val="000000" w:themeColor="text1"/>
        </w:rPr>
        <w:t xml:space="preserve">following published journal </w:t>
      </w:r>
      <w:r w:rsidR="005C33E7" w:rsidRPr="00476931">
        <w:rPr>
          <w:color w:val="000000" w:themeColor="text1"/>
          <w:spacing w:val="-2"/>
        </w:rPr>
        <w:t>articles:</w:t>
      </w:r>
    </w:p>
    <w:p w14:paraId="6E4BBE38" w14:textId="74AAF8DC" w:rsidR="001E6232" w:rsidRPr="00476931" w:rsidRDefault="001E6232" w:rsidP="001E6232">
      <w:pPr>
        <w:spacing w:after="120"/>
        <w:ind w:firstLine="0"/>
        <w:rPr>
          <w:color w:val="000000" w:themeColor="text1"/>
          <w:spacing w:val="-2"/>
        </w:rPr>
      </w:pPr>
      <w:r w:rsidRPr="00476931">
        <w:rPr>
          <w:noProof/>
          <w:color w:val="000000" w:themeColor="text1"/>
        </w:rPr>
        <mc:AlternateContent>
          <mc:Choice Requires="wps">
            <w:drawing>
              <wp:anchor distT="0" distB="0" distL="0" distR="0" simplePos="0" relativeHeight="251658246" behindDoc="1" locked="0" layoutInCell="1" allowOverlap="1" wp14:anchorId="290C7C86" wp14:editId="55560240">
                <wp:simplePos x="0" y="0"/>
                <wp:positionH relativeFrom="page">
                  <wp:posOffset>1320613</wp:posOffset>
                </wp:positionH>
                <wp:positionV relativeFrom="paragraph">
                  <wp:posOffset>199166</wp:posOffset>
                </wp:positionV>
                <wp:extent cx="5197475" cy="45085"/>
                <wp:effectExtent l="0" t="12700" r="9525" b="0"/>
                <wp:wrapTopAndBottom/>
                <wp:docPr id="17" name="Freeform: 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97475" cy="45085"/>
                        </a:xfrm>
                        <a:custGeom>
                          <a:avLst/>
                          <a:gdLst>
                            <a:gd name="T0" fmla="+- 0 1455 1455"/>
                            <a:gd name="T1" fmla="*/ T0 w 9285"/>
                            <a:gd name="T2" fmla="+- 0 10740 1455"/>
                            <a:gd name="T3" fmla="*/ T2 w 9285"/>
                          </a:gdLst>
                          <a:ahLst/>
                          <a:cxnLst>
                            <a:cxn ang="0">
                              <a:pos x="T1" y="0"/>
                            </a:cxn>
                            <a:cxn ang="0">
                              <a:pos x="T3" y="0"/>
                            </a:cxn>
                          </a:cxnLst>
                          <a:rect l="0" t="0" r="r" b="b"/>
                          <a:pathLst>
                            <a:path w="9285">
                              <a:moveTo>
                                <a:pt x="0" y="0"/>
                              </a:moveTo>
                              <a:lnTo>
                                <a:pt x="9285" y="0"/>
                              </a:lnTo>
                            </a:path>
                          </a:pathLst>
                        </a:custGeom>
                        <a:noFill/>
                        <a:ln w="19050">
                          <a:solidFill>
                            <a:srgbClr val="7E7E7E"/>
                          </a:solidFill>
                          <a:prstDash val="sysDash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DCE67C2" id="Freeform: Shape 17" o:spid="_x0000_s1026" style="position:absolute;margin-left:104pt;margin-top:15.7pt;width:409.25pt;height:3.55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" path="m,l9285,e" filled="f" strokecolor="#7e7e7e" strokeweight="1.5pt">
                <v:stroke dashstyle="3 1 1 1"/>
                <v:path arrowok="t" o:connecttype="custom" o:connectlocs="0,0;5197475,0" o:connectangles="0,0"/>
                <w10:wrap type="topAndBottom" anchorx="page"/>
              </v:shape>
            </w:pict>
          </mc:Fallback>
        </mc:AlternateContent>
      </w:r>
    </w:p>
    <w:p w14:paraId="6A906D99" w14:textId="34F27949" w:rsidR="005C33E7" w:rsidRPr="00476931" w:rsidRDefault="005C33E7" w:rsidP="001E6232">
      <w:pPr>
        <w:spacing w:after="120"/>
        <w:ind w:firstLine="0"/>
        <w:rPr>
          <w:color w:val="000000" w:themeColor="text1"/>
        </w:rPr>
      </w:pPr>
      <w:bookmarkStart w:id="207" w:name="_Hlk106871333"/>
      <w:r w:rsidRPr="00476931">
        <w:rPr>
          <w:color w:val="000000" w:themeColor="text1"/>
        </w:rPr>
        <w:t xml:space="preserve">Van Den </w:t>
      </w:r>
      <w:proofErr w:type="spellStart"/>
      <w:r w:rsidRPr="00476931">
        <w:rPr>
          <w:color w:val="000000" w:themeColor="text1"/>
        </w:rPr>
        <w:t>Bossche</w:t>
      </w:r>
      <w:bookmarkEnd w:id="207"/>
      <w:proofErr w:type="spellEnd"/>
      <w:r w:rsidRPr="00476931">
        <w:rPr>
          <w:color w:val="000000" w:themeColor="text1"/>
        </w:rPr>
        <w:t xml:space="preserve">, T., </w:t>
      </w:r>
      <w:proofErr w:type="spellStart"/>
      <w:r w:rsidRPr="00476931">
        <w:rPr>
          <w:color w:val="000000" w:themeColor="text1"/>
        </w:rPr>
        <w:t>Kunath</w:t>
      </w:r>
      <w:proofErr w:type="spellEnd"/>
      <w:r w:rsidRPr="00476931">
        <w:rPr>
          <w:color w:val="000000" w:themeColor="text1"/>
        </w:rPr>
        <w:t xml:space="preserve">, B. J., </w:t>
      </w:r>
      <w:proofErr w:type="spellStart"/>
      <w:r w:rsidRPr="00476931">
        <w:rPr>
          <w:color w:val="000000" w:themeColor="text1"/>
        </w:rPr>
        <w:t>Schallert</w:t>
      </w:r>
      <w:proofErr w:type="spellEnd"/>
      <w:r w:rsidRPr="00476931">
        <w:rPr>
          <w:color w:val="000000" w:themeColor="text1"/>
        </w:rPr>
        <w:t xml:space="preserve">, K., </w:t>
      </w:r>
      <w:proofErr w:type="spellStart"/>
      <w:r w:rsidRPr="00476931">
        <w:rPr>
          <w:color w:val="000000" w:themeColor="text1"/>
        </w:rPr>
        <w:t>Schäpe</w:t>
      </w:r>
      <w:proofErr w:type="spellEnd"/>
      <w:r w:rsidRPr="00476931">
        <w:rPr>
          <w:color w:val="000000" w:themeColor="text1"/>
        </w:rPr>
        <w:t xml:space="preserve">, S. S., </w:t>
      </w:r>
      <w:r w:rsidRPr="00476931">
        <w:rPr>
          <w:b/>
          <w:bCs/>
          <w:color w:val="000000" w:themeColor="text1"/>
        </w:rPr>
        <w:t>Peters, S.L</w:t>
      </w:r>
      <w:r w:rsidRPr="00476931">
        <w:rPr>
          <w:color w:val="000000" w:themeColor="text1"/>
        </w:rPr>
        <w:t xml:space="preserve">., Abraham, P. E., </w:t>
      </w:r>
      <w:proofErr w:type="spellStart"/>
      <w:r w:rsidRPr="00476931">
        <w:rPr>
          <w:color w:val="000000" w:themeColor="text1"/>
        </w:rPr>
        <w:t>Armengaud</w:t>
      </w:r>
      <w:proofErr w:type="spellEnd"/>
      <w:r w:rsidRPr="00476931">
        <w:rPr>
          <w:color w:val="000000" w:themeColor="text1"/>
        </w:rPr>
        <w:t xml:space="preserve">, J., </w:t>
      </w:r>
      <w:proofErr w:type="spellStart"/>
      <w:r w:rsidRPr="00476931">
        <w:rPr>
          <w:color w:val="000000" w:themeColor="text1"/>
        </w:rPr>
        <w:t>Arntzen</w:t>
      </w:r>
      <w:proofErr w:type="spellEnd"/>
      <w:r w:rsidRPr="00476931">
        <w:rPr>
          <w:color w:val="000000" w:themeColor="text1"/>
        </w:rPr>
        <w:t xml:space="preserve">, M. Ø., </w:t>
      </w:r>
      <w:proofErr w:type="spellStart"/>
      <w:r w:rsidRPr="00476931">
        <w:rPr>
          <w:color w:val="000000" w:themeColor="text1"/>
        </w:rPr>
        <w:t>Bassignani</w:t>
      </w:r>
      <w:proofErr w:type="spellEnd"/>
      <w:r w:rsidRPr="00476931">
        <w:rPr>
          <w:color w:val="000000" w:themeColor="text1"/>
        </w:rPr>
        <w:t xml:space="preserve">, A., </w:t>
      </w:r>
      <w:proofErr w:type="spellStart"/>
      <w:r w:rsidRPr="00476931">
        <w:rPr>
          <w:color w:val="000000" w:themeColor="text1"/>
        </w:rPr>
        <w:t>Benndorf</w:t>
      </w:r>
      <w:proofErr w:type="spellEnd"/>
      <w:r w:rsidRPr="00476931">
        <w:rPr>
          <w:color w:val="000000" w:themeColor="text1"/>
        </w:rPr>
        <w:t xml:space="preserve">, D., Fuchs, S., Giannone, R. J., Griffin, T. J., Hagen, L. H., Halder, R., Henry, C., Hettich, R. L., </w:t>
      </w:r>
      <w:proofErr w:type="spellStart"/>
      <w:r w:rsidRPr="00476931">
        <w:rPr>
          <w:color w:val="000000" w:themeColor="text1"/>
        </w:rPr>
        <w:t>Heyer</w:t>
      </w:r>
      <w:proofErr w:type="spellEnd"/>
      <w:r w:rsidRPr="00476931">
        <w:rPr>
          <w:color w:val="000000" w:themeColor="text1"/>
        </w:rPr>
        <w:t xml:space="preserve">, R., Jagtap, P., </w:t>
      </w:r>
      <w:proofErr w:type="spellStart"/>
      <w:r w:rsidRPr="00476931">
        <w:rPr>
          <w:color w:val="000000" w:themeColor="text1"/>
        </w:rPr>
        <w:t>Jehmlich</w:t>
      </w:r>
      <w:proofErr w:type="spellEnd"/>
      <w:r w:rsidRPr="00476931">
        <w:rPr>
          <w:color w:val="000000" w:themeColor="text1"/>
        </w:rPr>
        <w:t xml:space="preserve">, N., … </w:t>
      </w:r>
      <w:proofErr w:type="spellStart"/>
      <w:r w:rsidRPr="00476931">
        <w:rPr>
          <w:color w:val="000000" w:themeColor="text1"/>
        </w:rPr>
        <w:t>Muth</w:t>
      </w:r>
      <w:proofErr w:type="spellEnd"/>
      <w:r w:rsidRPr="00476931">
        <w:rPr>
          <w:color w:val="000000" w:themeColor="text1"/>
        </w:rPr>
        <w:t xml:space="preserve">, T. (2021). Critical Assessment of </w:t>
      </w:r>
      <w:proofErr w:type="spellStart"/>
      <w:r w:rsidRPr="00476931">
        <w:rPr>
          <w:color w:val="000000" w:themeColor="text1"/>
        </w:rPr>
        <w:t>MetaProteome</w:t>
      </w:r>
      <w:proofErr w:type="spellEnd"/>
      <w:r w:rsidRPr="00476931">
        <w:rPr>
          <w:color w:val="000000" w:themeColor="text1"/>
        </w:rPr>
        <w:t xml:space="preserve"> Investigation (CAMPI): a multi-laboratory comparison of established workflows. </w:t>
      </w:r>
      <w:r w:rsidRPr="00476931">
        <w:rPr>
          <w:iCs/>
          <w:color w:val="000000" w:themeColor="text1"/>
        </w:rPr>
        <w:t>Nature Communications</w:t>
      </w:r>
      <w:r w:rsidRPr="00476931">
        <w:rPr>
          <w:color w:val="000000" w:themeColor="text1"/>
        </w:rPr>
        <w:t xml:space="preserve">, 12(1), 7305–7305. </w:t>
      </w:r>
      <w:hyperlink r:id="rId49" w:history="1">
        <w:r w:rsidRPr="00476931">
          <w:rPr>
            <w:rStyle w:val="Hyperlink"/>
            <w:color w:val="000000" w:themeColor="text1"/>
          </w:rPr>
          <w:t>https://doi.org/10.1038/s41467-021-27542-8</w:t>
        </w:r>
      </w:hyperlink>
    </w:p>
    <w:p w14:paraId="41C96524" w14:textId="77777777" w:rsidR="005C33E7" w:rsidRPr="00476931" w:rsidRDefault="005C33E7" w:rsidP="001E6232">
      <w:pPr>
        <w:ind w:firstLine="0"/>
        <w:rPr>
          <w:color w:val="000000" w:themeColor="text1"/>
        </w:rPr>
      </w:pPr>
    </w:p>
    <w:p w14:paraId="6639F8C2" w14:textId="77777777" w:rsidR="005C33E7" w:rsidRPr="00476931" w:rsidRDefault="005C33E7" w:rsidP="001E6232">
      <w:pPr>
        <w:ind w:firstLine="0"/>
        <w:rPr>
          <w:i/>
          <w:color w:val="000000" w:themeColor="text1"/>
        </w:rPr>
      </w:pPr>
      <w:r w:rsidRPr="00476931">
        <w:rPr>
          <w:i/>
          <w:color w:val="000000" w:themeColor="text1"/>
        </w:rPr>
        <w:t>S.L.P</w:t>
      </w:r>
      <w:r w:rsidRPr="00476931">
        <w:rPr>
          <w:i/>
          <w:color w:val="000000" w:themeColor="text1"/>
          <w:spacing w:val="-2"/>
        </w:rPr>
        <w:t xml:space="preserve"> </w:t>
      </w:r>
      <w:r w:rsidRPr="00476931">
        <w:rPr>
          <w:i/>
          <w:color w:val="000000" w:themeColor="text1"/>
        </w:rPr>
        <w:t>contributions</w:t>
      </w:r>
      <w:r w:rsidRPr="00476931">
        <w:rPr>
          <w:i/>
          <w:color w:val="000000" w:themeColor="text1"/>
          <w:spacing w:val="-3"/>
        </w:rPr>
        <w:t xml:space="preserve"> </w:t>
      </w:r>
      <w:r w:rsidRPr="00476931">
        <w:rPr>
          <w:i/>
          <w:color w:val="000000" w:themeColor="text1"/>
        </w:rPr>
        <w:t>include</w:t>
      </w:r>
      <w:r w:rsidRPr="00476931">
        <w:rPr>
          <w:i/>
          <w:color w:val="000000" w:themeColor="text1"/>
          <w:spacing w:val="-5"/>
        </w:rPr>
        <w:t xml:space="preserve"> metaproteomic measurements, </w:t>
      </w:r>
      <w:r w:rsidRPr="00476931">
        <w:rPr>
          <w:i/>
          <w:color w:val="000000" w:themeColor="text1"/>
        </w:rPr>
        <w:t>data</w:t>
      </w:r>
      <w:r w:rsidRPr="00476931">
        <w:rPr>
          <w:i/>
          <w:color w:val="000000" w:themeColor="text1"/>
          <w:spacing w:val="-4"/>
        </w:rPr>
        <w:t xml:space="preserve"> </w:t>
      </w:r>
      <w:r w:rsidRPr="00476931">
        <w:rPr>
          <w:i/>
          <w:color w:val="000000" w:themeColor="text1"/>
        </w:rPr>
        <w:t>analysis,</w:t>
      </w:r>
      <w:r w:rsidRPr="00476931">
        <w:rPr>
          <w:i/>
          <w:color w:val="000000" w:themeColor="text1"/>
          <w:spacing w:val="-4"/>
        </w:rPr>
        <w:t xml:space="preserve"> </w:t>
      </w:r>
      <w:r w:rsidRPr="00476931">
        <w:rPr>
          <w:i/>
          <w:color w:val="000000" w:themeColor="text1"/>
        </w:rPr>
        <w:t>writing and editing</w:t>
      </w:r>
      <w:r w:rsidRPr="00476931">
        <w:rPr>
          <w:i/>
          <w:color w:val="000000" w:themeColor="text1"/>
          <w:spacing w:val="-4"/>
        </w:rPr>
        <w:t xml:space="preserve"> </w:t>
      </w:r>
      <w:r w:rsidRPr="00476931">
        <w:rPr>
          <w:i/>
          <w:color w:val="000000" w:themeColor="text1"/>
        </w:rPr>
        <w:t>of</w:t>
      </w:r>
      <w:r w:rsidRPr="00476931">
        <w:rPr>
          <w:i/>
          <w:color w:val="000000" w:themeColor="text1"/>
          <w:spacing w:val="-4"/>
        </w:rPr>
        <w:t xml:space="preserve"> the </w:t>
      </w:r>
      <w:r w:rsidRPr="00476931">
        <w:rPr>
          <w:i/>
          <w:color w:val="000000" w:themeColor="text1"/>
        </w:rPr>
        <w:t>original</w:t>
      </w:r>
      <w:r w:rsidRPr="00476931">
        <w:rPr>
          <w:i/>
          <w:color w:val="000000" w:themeColor="text1"/>
          <w:spacing w:val="-4"/>
        </w:rPr>
        <w:t xml:space="preserve"> </w:t>
      </w:r>
      <w:r w:rsidRPr="00476931">
        <w:rPr>
          <w:i/>
          <w:color w:val="000000" w:themeColor="text1"/>
        </w:rPr>
        <w:t>manuscript and response to reviewers.</w:t>
      </w:r>
    </w:p>
    <w:p w14:paraId="59090CC8" w14:textId="77777777" w:rsidR="005C33E7" w:rsidRPr="00476931" w:rsidRDefault="005C33E7" w:rsidP="001E6232">
      <w:pPr>
        <w:ind w:firstLine="0"/>
        <w:rPr>
          <w:color w:val="000000" w:themeColor="text1"/>
        </w:rPr>
      </w:pPr>
    </w:p>
    <w:p w14:paraId="06694180" w14:textId="77777777" w:rsidR="00E24E1F" w:rsidRPr="00476931" w:rsidRDefault="00E24E1F" w:rsidP="001E6232">
      <w:pPr>
        <w:ind w:firstLine="0"/>
        <w:rPr>
          <w:color w:val="000000" w:themeColor="text1"/>
        </w:rPr>
      </w:pPr>
      <w:r w:rsidRPr="00476931">
        <w:rPr>
          <w:color w:val="000000" w:themeColor="text1"/>
        </w:rPr>
        <w:t xml:space="preserve">Patnode, M. L., </w:t>
      </w:r>
      <w:proofErr w:type="spellStart"/>
      <w:r w:rsidRPr="00476931">
        <w:rPr>
          <w:color w:val="000000" w:themeColor="text1"/>
        </w:rPr>
        <w:t>Beller</w:t>
      </w:r>
      <w:proofErr w:type="spellEnd"/>
      <w:r w:rsidRPr="00476931">
        <w:rPr>
          <w:color w:val="000000" w:themeColor="text1"/>
        </w:rPr>
        <w:t xml:space="preserve">, Z. W., Han, N. D., Cheng, J., </w:t>
      </w:r>
      <w:r w:rsidRPr="00476931">
        <w:rPr>
          <w:b/>
          <w:bCs/>
          <w:color w:val="000000" w:themeColor="text1"/>
        </w:rPr>
        <w:t>Peters, S. L</w:t>
      </w:r>
      <w:r w:rsidRPr="00476931">
        <w:rPr>
          <w:color w:val="000000" w:themeColor="text1"/>
        </w:rPr>
        <w:t xml:space="preserve">., </w:t>
      </w:r>
      <w:proofErr w:type="spellStart"/>
      <w:r w:rsidRPr="00476931">
        <w:rPr>
          <w:color w:val="000000" w:themeColor="text1"/>
        </w:rPr>
        <w:t>Terrapon</w:t>
      </w:r>
      <w:proofErr w:type="spellEnd"/>
      <w:r w:rsidRPr="00476931">
        <w:rPr>
          <w:color w:val="000000" w:themeColor="text1"/>
        </w:rPr>
        <w:t xml:space="preserve">, N., </w:t>
      </w:r>
      <w:proofErr w:type="spellStart"/>
      <w:r w:rsidRPr="00476931">
        <w:rPr>
          <w:color w:val="000000" w:themeColor="text1"/>
        </w:rPr>
        <w:t>Henrissat</w:t>
      </w:r>
      <w:proofErr w:type="spellEnd"/>
      <w:r w:rsidRPr="00476931">
        <w:rPr>
          <w:color w:val="000000" w:themeColor="text1"/>
        </w:rPr>
        <w:t xml:space="preserve">, B., Le Gall, S., Saulnier, L., Hayashi, D. K., </w:t>
      </w:r>
      <w:proofErr w:type="spellStart"/>
      <w:r w:rsidRPr="00476931">
        <w:rPr>
          <w:color w:val="000000" w:themeColor="text1"/>
        </w:rPr>
        <w:t>Meynier</w:t>
      </w:r>
      <w:proofErr w:type="spellEnd"/>
      <w:r w:rsidRPr="00476931">
        <w:rPr>
          <w:color w:val="000000" w:themeColor="text1"/>
        </w:rPr>
        <w:t xml:space="preserve">, A., </w:t>
      </w:r>
      <w:proofErr w:type="spellStart"/>
      <w:r w:rsidRPr="00476931">
        <w:rPr>
          <w:color w:val="000000" w:themeColor="text1"/>
        </w:rPr>
        <w:t>Vinoy</w:t>
      </w:r>
      <w:proofErr w:type="spellEnd"/>
      <w:r w:rsidRPr="00476931">
        <w:rPr>
          <w:color w:val="000000" w:themeColor="text1"/>
        </w:rPr>
        <w:t xml:space="preserve">, S., Giannone, R. J., Hettich, R. L., &amp; Gordon, J. I. (2019). Interspecies Competition Impacts Targeted Manipulation of Human Gut Bacteria by Fiber-Derived Glycans. </w:t>
      </w:r>
      <w:r w:rsidRPr="00476931">
        <w:rPr>
          <w:i/>
          <w:iCs/>
          <w:color w:val="000000" w:themeColor="text1"/>
        </w:rPr>
        <w:t>Cell</w:t>
      </w:r>
      <w:r w:rsidRPr="00476931">
        <w:rPr>
          <w:color w:val="000000" w:themeColor="text1"/>
        </w:rPr>
        <w:t>, 179(1), 59–73.e13. https://doi.org/10.1016/j.cell.2019.08.011</w:t>
      </w:r>
    </w:p>
    <w:p w14:paraId="609C7B1D" w14:textId="77777777" w:rsidR="005C33E7" w:rsidRPr="00476931" w:rsidRDefault="005C33E7" w:rsidP="001E6232">
      <w:pPr>
        <w:ind w:firstLine="0"/>
        <w:rPr>
          <w:i/>
          <w:color w:val="000000" w:themeColor="text1"/>
        </w:rPr>
      </w:pPr>
    </w:p>
    <w:p w14:paraId="010F2CF3" w14:textId="40AF677E" w:rsidR="00E24E1F" w:rsidRPr="00476931" w:rsidRDefault="001E6232" w:rsidP="001E6232">
      <w:pPr>
        <w:ind w:firstLine="0"/>
        <w:rPr>
          <w:i/>
          <w:color w:val="000000" w:themeColor="text1"/>
        </w:rPr>
      </w:pPr>
      <w:r w:rsidRPr="00476931">
        <w:rPr>
          <w:noProof/>
          <w:color w:val="000000" w:themeColor="text1"/>
        </w:rPr>
        <mc:AlternateContent>
          <mc:Choice Requires="wps">
            <w:drawing>
              <wp:anchor distT="0" distB="0" distL="0" distR="0" simplePos="0" relativeHeight="251658247" behindDoc="1" locked="0" layoutInCell="1" allowOverlap="1" wp14:anchorId="4F74159C" wp14:editId="4F5A39F1">
                <wp:simplePos x="0" y="0"/>
                <wp:positionH relativeFrom="page">
                  <wp:posOffset>1313628</wp:posOffset>
                </wp:positionH>
                <wp:positionV relativeFrom="paragraph">
                  <wp:posOffset>678180</wp:posOffset>
                </wp:positionV>
                <wp:extent cx="5200650" cy="45085"/>
                <wp:effectExtent l="0" t="12700" r="19050" b="0"/>
                <wp:wrapTopAndBottom/>
                <wp:docPr id="21" name="Freeform: 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00650" cy="45085"/>
                        </a:xfrm>
                        <a:custGeom>
                          <a:avLst/>
                          <a:gdLst>
                            <a:gd name="T0" fmla="+- 0 1455 1455"/>
                            <a:gd name="T1" fmla="*/ T0 w 9285"/>
                            <a:gd name="T2" fmla="+- 0 10740 1455"/>
                            <a:gd name="T3" fmla="*/ T2 w 9285"/>
                          </a:gdLst>
                          <a:ahLst/>
                          <a:cxnLst>
                            <a:cxn ang="0">
                              <a:pos x="T1" y="0"/>
                            </a:cxn>
                            <a:cxn ang="0">
                              <a:pos x="T3" y="0"/>
                            </a:cxn>
                          </a:cxnLst>
                          <a:rect l="0" t="0" r="r" b="b"/>
                          <a:pathLst>
                            <a:path w="9285">
                              <a:moveTo>
                                <a:pt x="0" y="0"/>
                              </a:moveTo>
                              <a:lnTo>
                                <a:pt x="9285" y="0"/>
                              </a:lnTo>
                            </a:path>
                          </a:pathLst>
                        </a:custGeom>
                        <a:noFill/>
                        <a:ln w="19050">
                          <a:solidFill>
                            <a:srgbClr val="7E7E7E"/>
                          </a:solidFill>
                          <a:prstDash val="sysDash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469D065" id="Freeform: Shape 21" o:spid="_x0000_s1026" style="position:absolute;margin-left:103.45pt;margin-top:53.4pt;width:409.5pt;height:3.55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" path="m,l9285,e" filled="f" strokecolor="#7e7e7e" strokeweight="1.5pt">
                <v:stroke dashstyle="3 1 1 1"/>
                <v:path arrowok="t" o:connecttype="custom" o:connectlocs="0,0;5200650,0" o:connectangles="0,0"/>
                <w10:wrap type="topAndBottom" anchorx="page"/>
              </v:shape>
            </w:pict>
          </mc:Fallback>
        </mc:AlternateContent>
      </w:r>
      <w:r w:rsidR="00E24E1F" w:rsidRPr="00476931">
        <w:rPr>
          <w:i/>
          <w:color w:val="000000" w:themeColor="text1"/>
        </w:rPr>
        <w:t>S.L.P</w:t>
      </w:r>
      <w:r w:rsidR="00E24E1F" w:rsidRPr="00476931">
        <w:rPr>
          <w:i/>
          <w:color w:val="000000" w:themeColor="text1"/>
          <w:spacing w:val="-2"/>
        </w:rPr>
        <w:t xml:space="preserve"> </w:t>
      </w:r>
      <w:r w:rsidR="00E24E1F" w:rsidRPr="00476931">
        <w:rPr>
          <w:i/>
          <w:color w:val="000000" w:themeColor="text1"/>
        </w:rPr>
        <w:t>contributions</w:t>
      </w:r>
      <w:r w:rsidR="00E24E1F" w:rsidRPr="00476931">
        <w:rPr>
          <w:i/>
          <w:color w:val="000000" w:themeColor="text1"/>
          <w:spacing w:val="-3"/>
        </w:rPr>
        <w:t xml:space="preserve"> </w:t>
      </w:r>
      <w:r w:rsidR="00E24E1F" w:rsidRPr="00476931">
        <w:rPr>
          <w:i/>
          <w:color w:val="000000" w:themeColor="text1"/>
        </w:rPr>
        <w:t>include</w:t>
      </w:r>
      <w:r w:rsidR="00E24E1F" w:rsidRPr="00476931">
        <w:rPr>
          <w:i/>
          <w:color w:val="000000" w:themeColor="text1"/>
          <w:spacing w:val="-5"/>
        </w:rPr>
        <w:t xml:space="preserve"> metaproteomic measurements, </w:t>
      </w:r>
      <w:r w:rsidR="00E24E1F" w:rsidRPr="00476931">
        <w:rPr>
          <w:i/>
          <w:color w:val="000000" w:themeColor="text1"/>
        </w:rPr>
        <w:t>data</w:t>
      </w:r>
      <w:r w:rsidR="00E24E1F" w:rsidRPr="00476931">
        <w:rPr>
          <w:i/>
          <w:color w:val="000000" w:themeColor="text1"/>
          <w:spacing w:val="-4"/>
        </w:rPr>
        <w:t xml:space="preserve"> </w:t>
      </w:r>
      <w:r w:rsidR="00E24E1F" w:rsidRPr="00476931">
        <w:rPr>
          <w:i/>
          <w:color w:val="000000" w:themeColor="text1"/>
        </w:rPr>
        <w:t>analysis,</w:t>
      </w:r>
      <w:r w:rsidR="00E24E1F" w:rsidRPr="00476931">
        <w:rPr>
          <w:i/>
          <w:color w:val="000000" w:themeColor="text1"/>
          <w:spacing w:val="-4"/>
        </w:rPr>
        <w:t xml:space="preserve"> </w:t>
      </w:r>
      <w:r w:rsidR="00E24E1F" w:rsidRPr="00476931">
        <w:rPr>
          <w:i/>
          <w:color w:val="000000" w:themeColor="text1"/>
        </w:rPr>
        <w:t>editing</w:t>
      </w:r>
      <w:r w:rsidR="00E24E1F" w:rsidRPr="00476931">
        <w:rPr>
          <w:i/>
          <w:color w:val="000000" w:themeColor="text1"/>
          <w:spacing w:val="-4"/>
        </w:rPr>
        <w:t xml:space="preserve"> </w:t>
      </w:r>
      <w:r w:rsidR="00E24E1F" w:rsidRPr="00476931">
        <w:rPr>
          <w:i/>
          <w:color w:val="000000" w:themeColor="text1"/>
        </w:rPr>
        <w:t>of</w:t>
      </w:r>
      <w:r w:rsidR="00E24E1F" w:rsidRPr="00476931">
        <w:rPr>
          <w:i/>
          <w:color w:val="000000" w:themeColor="text1"/>
          <w:spacing w:val="-4"/>
        </w:rPr>
        <w:t xml:space="preserve"> the </w:t>
      </w:r>
      <w:r w:rsidR="00E24E1F" w:rsidRPr="00476931">
        <w:rPr>
          <w:i/>
          <w:color w:val="000000" w:themeColor="text1"/>
        </w:rPr>
        <w:t>original</w:t>
      </w:r>
      <w:r w:rsidR="00E24E1F" w:rsidRPr="00476931">
        <w:rPr>
          <w:i/>
          <w:color w:val="000000" w:themeColor="text1"/>
          <w:spacing w:val="-4"/>
        </w:rPr>
        <w:t xml:space="preserve"> </w:t>
      </w:r>
      <w:r w:rsidR="00E24E1F" w:rsidRPr="00476931">
        <w:rPr>
          <w:i/>
          <w:color w:val="000000" w:themeColor="text1"/>
        </w:rPr>
        <w:t>manuscript, revisions, and response to reviewers.</w:t>
      </w:r>
    </w:p>
    <w:p w14:paraId="6E2C0018" w14:textId="7EE56061" w:rsidR="005C33E7" w:rsidRPr="00476931" w:rsidRDefault="005C33E7" w:rsidP="005C33E7">
      <w:pPr>
        <w:spacing w:line="276" w:lineRule="auto"/>
        <w:ind w:firstLine="0"/>
        <w:rPr>
          <w:i/>
          <w:color w:val="000000" w:themeColor="text1"/>
        </w:rPr>
      </w:pPr>
    </w:p>
    <w:p w14:paraId="3B136BC9" w14:textId="77777777" w:rsidR="001666D1" w:rsidRDefault="001666D1" w:rsidP="0060435B">
      <w:pPr>
        <w:pStyle w:val="Heading2"/>
      </w:pPr>
    </w:p>
    <w:p w14:paraId="36A4B240" w14:textId="793520E4" w:rsidR="00310878" w:rsidRDefault="00593E34" w:rsidP="0067780D">
      <w:pPr>
        <w:pStyle w:val="Heading2"/>
        <w:ind w:right="180"/>
      </w:pPr>
      <w:bookmarkStart w:id="208" w:name="_Toc110250264"/>
      <w:bookmarkStart w:id="209" w:name="_Toc110250521"/>
      <w:bookmarkStart w:id="210" w:name="_Toc110250652"/>
      <w:r w:rsidRPr="00476931">
        <w:lastRenderedPageBreak/>
        <w:t xml:space="preserve">4.1  </w:t>
      </w:r>
      <w:r w:rsidR="00310878" w:rsidRPr="00476931">
        <w:t>Introduction to adapting proteomic approaches for metaproteomic datasets</w:t>
      </w:r>
      <w:r w:rsidR="0067780D">
        <w:t>.</w:t>
      </w:r>
      <w:bookmarkEnd w:id="208"/>
      <w:bookmarkEnd w:id="209"/>
      <w:bookmarkEnd w:id="210"/>
    </w:p>
    <w:p w14:paraId="47EEDEE7" w14:textId="77777777" w:rsidR="005D686D" w:rsidRPr="005D686D" w:rsidRDefault="005D686D" w:rsidP="005D686D"/>
    <w:p w14:paraId="67571E62" w14:textId="1887B68D" w:rsidR="00310878" w:rsidRPr="00476931" w:rsidRDefault="00310878" w:rsidP="00593E34">
      <w:pPr>
        <w:rPr>
          <w:rFonts w:ascii="Times New Roman" w:hAnsi="Times New Roman" w:cs="Times New Roman"/>
          <w:color w:val="000000" w:themeColor="text1"/>
        </w:rPr>
      </w:pPr>
      <w:r w:rsidRPr="00476931">
        <w:rPr>
          <w:rFonts w:ascii="Times New Roman" w:hAnsi="Times New Roman" w:cs="Times New Roman"/>
          <w:color w:val="000000" w:themeColor="text1"/>
          <w:shd w:val="clear" w:color="auto" w:fill="FFFFFF"/>
        </w:rPr>
        <w:t xml:space="preserve">Many computational challenges associated with </w:t>
      </w:r>
      <w:r w:rsidR="00E5633B">
        <w:rPr>
          <w:rFonts w:ascii="Times New Roman" w:hAnsi="Times New Roman" w:cs="Times New Roman"/>
          <w:color w:val="000000" w:themeColor="text1"/>
          <w:shd w:val="clear" w:color="auto" w:fill="FFFFFF"/>
        </w:rPr>
        <w:t>processing datasets</w:t>
      </w:r>
      <w:r w:rsidRPr="00476931">
        <w:rPr>
          <w:rFonts w:ascii="Times New Roman" w:hAnsi="Times New Roman" w:cs="Times New Roman"/>
          <w:color w:val="000000" w:themeColor="text1"/>
          <w:shd w:val="clear" w:color="auto" w:fill="FFFFFF"/>
        </w:rPr>
        <w:t xml:space="preserve"> for a single proteome become even more challenging for metaproteomes as sample complexity increases.  Several database search features designed to address these issues in single proteomes need to be carefully evaluated and </w:t>
      </w:r>
      <w:r w:rsidR="00E5633B">
        <w:rPr>
          <w:rFonts w:ascii="Times New Roman" w:hAnsi="Times New Roman" w:cs="Times New Roman"/>
          <w:color w:val="000000" w:themeColor="text1"/>
          <w:shd w:val="clear" w:color="auto" w:fill="FFFFFF"/>
        </w:rPr>
        <w:t>adapted</w:t>
      </w:r>
      <w:r w:rsidRPr="00476931">
        <w:rPr>
          <w:rFonts w:ascii="Times New Roman" w:hAnsi="Times New Roman" w:cs="Times New Roman"/>
          <w:color w:val="000000" w:themeColor="text1"/>
          <w:shd w:val="clear" w:color="auto" w:fill="FFFFFF"/>
        </w:rPr>
        <w:t xml:space="preserve"> for metaproteomic samples to ensure accurate interpretation of both the functional and taxonomic results. Over the course of this dissertation, s</w:t>
      </w:r>
      <w:r w:rsidRPr="00476931">
        <w:rPr>
          <w:rFonts w:ascii="Times New Roman" w:hAnsi="Times New Roman" w:cs="Times New Roman"/>
          <w:color w:val="000000" w:themeColor="text1"/>
        </w:rPr>
        <w:t xml:space="preserve">everal back-end bioinformatic approaches have been evaluated for compatibility with metaproteomic datasets and implemented to improve data analysis of the collected measurements for projects in chapters 5-7.  Database search features that were investigated include aspects related to peptide identification, quantification, and protein inference. The primary data analysis platform under investigation was Proteome Discoverer, which is a </w:t>
      </w:r>
      <w:proofErr w:type="spellStart"/>
      <w:r w:rsidRPr="00476931">
        <w:rPr>
          <w:rFonts w:ascii="Times New Roman" w:hAnsi="Times New Roman" w:cs="Times New Roman"/>
          <w:color w:val="000000" w:themeColor="text1"/>
        </w:rPr>
        <w:t>Thermo</w:t>
      </w:r>
      <w:proofErr w:type="spellEnd"/>
      <w:r w:rsidRPr="00476931">
        <w:rPr>
          <w:rFonts w:ascii="Times New Roman" w:hAnsi="Times New Roman" w:cs="Times New Roman"/>
          <w:color w:val="000000" w:themeColor="text1"/>
        </w:rPr>
        <w:t xml:space="preserve"> Scientific data analysis platform used to analyze spectral data from a wide variety of mass spectrometers.  This platform is compatible with metaproteome datasets, including datasets from fractionated LC-MS/MS measurements, which are common in metaproteomics.  It has several features designed to enable increased proteome coverage and increased measurement depth independent of instrumentation advancements.  </w:t>
      </w:r>
    </w:p>
    <w:p w14:paraId="11BCA49D" w14:textId="77777777" w:rsidR="00593E34" w:rsidRPr="00476931" w:rsidRDefault="00593E34" w:rsidP="00593E34">
      <w:pPr>
        <w:rPr>
          <w:rFonts w:ascii="Times New Roman" w:hAnsi="Times New Roman" w:cs="Times New Roman"/>
          <w:color w:val="000000" w:themeColor="text1"/>
          <w:shd w:val="clear" w:color="auto" w:fill="FFFFFF"/>
        </w:rPr>
      </w:pPr>
    </w:p>
    <w:p w14:paraId="14358D57" w14:textId="223F1C04" w:rsidR="00310878" w:rsidRDefault="00593E34" w:rsidP="0060435B">
      <w:pPr>
        <w:pStyle w:val="Heading2"/>
      </w:pPr>
      <w:bookmarkStart w:id="211" w:name="_Toc110250265"/>
      <w:bookmarkStart w:id="212" w:name="_Toc110250522"/>
      <w:bookmarkStart w:id="213" w:name="_Toc110250653"/>
      <w:r w:rsidRPr="00476931">
        <w:t xml:space="preserve">4.2  </w:t>
      </w:r>
      <w:r w:rsidR="00310878" w:rsidRPr="00476931">
        <w:t>Evaluating the impact of database search strategies on peptide identification rates</w:t>
      </w:r>
      <w:r w:rsidR="0067780D">
        <w:t>.</w:t>
      </w:r>
      <w:bookmarkEnd w:id="211"/>
      <w:bookmarkEnd w:id="212"/>
      <w:bookmarkEnd w:id="213"/>
    </w:p>
    <w:p w14:paraId="7FF710F4" w14:textId="77777777" w:rsidR="005D686D" w:rsidRPr="005D686D" w:rsidRDefault="005D686D" w:rsidP="005D686D"/>
    <w:p w14:paraId="049ABB5B" w14:textId="77777777" w:rsidR="00BD7308" w:rsidRPr="003C7207" w:rsidRDefault="00BD7308" w:rsidP="00BD7308">
      <w:pPr>
        <w:ind w:left="180" w:firstLine="0"/>
        <w:rPr>
          <w:i/>
          <w:iCs/>
          <w:color w:val="000000" w:themeColor="text1"/>
        </w:rPr>
      </w:pPr>
      <w:r w:rsidRPr="003C7207">
        <w:rPr>
          <w:i/>
          <w:iCs/>
          <w:color w:val="000000" w:themeColor="text1"/>
          <w:spacing w:val="-3"/>
        </w:rPr>
        <w:t xml:space="preserve">Data generated and analyzed for the </w:t>
      </w:r>
      <w:r w:rsidRPr="00CA7F51">
        <w:rPr>
          <w:i/>
          <w:iCs/>
          <w:color w:val="000000" w:themeColor="text1"/>
          <w:spacing w:val="-3"/>
        </w:rPr>
        <w:t>Critical Assessment of Metaproteome Investigation (CAMPI)</w:t>
      </w:r>
      <w:r w:rsidRPr="003C7207">
        <w:rPr>
          <w:i/>
          <w:iCs/>
          <w:color w:val="000000" w:themeColor="text1"/>
          <w:spacing w:val="-3"/>
        </w:rPr>
        <w:t xml:space="preserve"> as presented in</w:t>
      </w:r>
      <w:r w:rsidRPr="003C7207">
        <w:rPr>
          <w:i/>
          <w:iCs/>
          <w:color w:val="000000" w:themeColor="text1"/>
          <w:spacing w:val="-2"/>
        </w:rPr>
        <w:t xml:space="preserve"> </w:t>
      </w:r>
      <w:r w:rsidRPr="00CA7F51">
        <w:rPr>
          <w:i/>
          <w:iCs/>
          <w:color w:val="000000" w:themeColor="text1"/>
        </w:rPr>
        <w:t xml:space="preserve">Van Den </w:t>
      </w:r>
      <w:proofErr w:type="spellStart"/>
      <w:r w:rsidRPr="00CA7F51">
        <w:rPr>
          <w:i/>
          <w:iCs/>
          <w:color w:val="000000" w:themeColor="text1"/>
        </w:rPr>
        <w:t>Bossche</w:t>
      </w:r>
      <w:proofErr w:type="spellEnd"/>
      <w:r w:rsidRPr="003C7207">
        <w:rPr>
          <w:i/>
          <w:iCs/>
          <w:color w:val="000000" w:themeColor="text1"/>
          <w:spacing w:val="-3"/>
        </w:rPr>
        <w:t xml:space="preserve"> </w:t>
      </w:r>
      <w:r w:rsidRPr="003C7207">
        <w:rPr>
          <w:i/>
          <w:iCs/>
          <w:color w:val="000000" w:themeColor="text1"/>
        </w:rPr>
        <w:t>et</w:t>
      </w:r>
      <w:r w:rsidRPr="003C7207">
        <w:rPr>
          <w:i/>
          <w:iCs/>
          <w:color w:val="000000" w:themeColor="text1"/>
          <w:spacing w:val="-2"/>
        </w:rPr>
        <w:t xml:space="preserve"> </w:t>
      </w:r>
      <w:r w:rsidRPr="003C7207">
        <w:rPr>
          <w:i/>
          <w:iCs/>
          <w:color w:val="000000" w:themeColor="text1"/>
        </w:rPr>
        <w:t>al., 202</w:t>
      </w:r>
      <w:r>
        <w:rPr>
          <w:i/>
          <w:iCs/>
          <w:color w:val="000000" w:themeColor="text1"/>
        </w:rPr>
        <w:t>1</w:t>
      </w:r>
      <w:r w:rsidRPr="003C7207">
        <w:rPr>
          <w:i/>
          <w:iCs/>
          <w:color w:val="000000" w:themeColor="text1"/>
        </w:rPr>
        <w:t>.</w:t>
      </w:r>
      <w:r w:rsidRPr="003C7207">
        <w:rPr>
          <w:i/>
          <w:iCs/>
          <w:color w:val="000000" w:themeColor="text1"/>
          <w:spacing w:val="-3"/>
        </w:rPr>
        <w:t xml:space="preserve"> </w:t>
      </w:r>
      <w:r>
        <w:rPr>
          <w:i/>
          <w:iCs/>
          <w:color w:val="000000" w:themeColor="text1"/>
          <w:spacing w:val="-3"/>
        </w:rPr>
        <w:t>Nature Communications</w:t>
      </w:r>
      <w:r w:rsidRPr="003C7207">
        <w:rPr>
          <w:i/>
          <w:iCs/>
          <w:color w:val="000000" w:themeColor="text1"/>
          <w:spacing w:val="-5"/>
        </w:rPr>
        <w:t>.</w:t>
      </w:r>
    </w:p>
    <w:p w14:paraId="7A5DF03D" w14:textId="77777777" w:rsidR="00593E34" w:rsidRPr="00476931" w:rsidRDefault="00593E34" w:rsidP="00E24E1F">
      <w:pPr>
        <w:ind w:left="0" w:firstLine="0"/>
        <w:rPr>
          <w:rFonts w:ascii="Times New Roman" w:hAnsi="Times New Roman" w:cs="Times New Roman"/>
          <w:color w:val="000000" w:themeColor="text1"/>
        </w:rPr>
      </w:pPr>
    </w:p>
    <w:p w14:paraId="657C001F" w14:textId="7DCEDA38" w:rsidR="00310878" w:rsidRPr="00476931" w:rsidRDefault="00310878" w:rsidP="00593E34">
      <w:pPr>
        <w:rPr>
          <w:color w:val="000000" w:themeColor="text1"/>
        </w:rPr>
      </w:pPr>
      <w:r w:rsidRPr="00476931">
        <w:rPr>
          <w:color w:val="000000" w:themeColor="text1"/>
        </w:rPr>
        <w:t xml:space="preserve">The choice of database search strategy implemented can influence the outcome of the number of identified peptides and proteins in a metaproteome.  Bioinformatic challenges related to database searching are exacerbated in metaproteome samples compared to single proteomes due to the extremely large search space associated with </w:t>
      </w:r>
      <w:r w:rsidRPr="00476931">
        <w:rPr>
          <w:color w:val="000000" w:themeColor="text1"/>
        </w:rPr>
        <w:lastRenderedPageBreak/>
        <w:t>metaproteomes. The bioinformatic pipeline selected must be able to operate with very large protein databases containing up to millions of proteins and very large data files that are often generated for metaproteomic measurements, including fractionated data if additional LC separation was necessary for sample measurement. In addition, protein inference becomes particularly challenging with metaproteomes due to the number of homologous proteins that may be present in a sample</w:t>
      </w:r>
      <w:sdt>
        <w:sdtPr>
          <w:rPr>
            <w:color w:val="000000"/>
            <w:vertAlign w:val="superscript"/>
          </w:rPr>
          <w:tag w:val="MENDELEY_CITATION_v3_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"/>
          <w:id w:val="1507794606"/>
          <w:placeholder>
            <w:docPart w:val="B45FADC50A324E4486C4324FBA958C61"/>
          </w:placeholder>
        </w:sdtPr>
        <w:sdtEndPr/>
        <w:sdtContent>
          <w:r w:rsidR="003204EA" w:rsidRPr="003204EA">
            <w:rPr>
              <w:rFonts w:eastAsia="Times New Roman"/>
              <w:color w:val="000000"/>
              <w:vertAlign w:val="superscript"/>
            </w:rPr>
            <w:t>135,136</w:t>
          </w:r>
        </w:sdtContent>
      </w:sdt>
      <w:r w:rsidR="00A805B9">
        <w:rPr>
          <w:color w:val="000000" w:themeColor="text1"/>
        </w:rPr>
        <w:t>, thus</w:t>
      </w:r>
      <w:r w:rsidRPr="00476931">
        <w:rPr>
          <w:color w:val="000000" w:themeColor="text1"/>
        </w:rPr>
        <w:t xml:space="preserve"> the protein inference implementation by each search strategy needs to be able to resolve protein redundancies.  To assess the impact of database search algorithms on the identification rates, the three simplified defined community samples used for measurement evaluations in Chapter 3 </w:t>
      </w:r>
      <w:r w:rsidR="00A805B9">
        <w:rPr>
          <w:color w:val="000000" w:themeColor="text1"/>
        </w:rPr>
        <w:t>were</w:t>
      </w:r>
      <w:r w:rsidRPr="00476931">
        <w:rPr>
          <w:color w:val="000000" w:themeColor="text1"/>
        </w:rPr>
        <w:t xml:space="preserve"> compared using three distinct search platforms: Crux/moFF, MyriMatch/IDPicker (MM/IDP) and MS Amanda 2.0/Elutator).</w:t>
      </w:r>
    </w:p>
    <w:p w14:paraId="611D83F8" w14:textId="6616D1DC" w:rsidR="00310878" w:rsidRPr="00476931" w:rsidRDefault="00310878" w:rsidP="00593E34">
      <w:pPr>
        <w:rPr>
          <w:color w:val="000000" w:themeColor="text1"/>
          <w:highlight w:val="yellow"/>
        </w:rPr>
      </w:pPr>
      <w:r w:rsidRPr="00476931">
        <w:rPr>
          <w:color w:val="000000" w:themeColor="text1"/>
        </w:rPr>
        <w:t>The Crux software toolkit is an open-source search workflow developed to analyze a variety of types of shotgun proteomics data</w:t>
      </w:r>
      <w:sdt>
        <w:sdtPr>
          <w:rPr>
            <w:color w:val="000000"/>
            <w:vertAlign w:val="superscript"/>
          </w:rPr>
          <w:tag w:val="MENDELEY_CITATION_v3_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"/>
          <w:id w:val="-347256962"/>
          <w:placeholder>
            <w:docPart w:val="B45FADC50A324E4486C4324FBA958C61"/>
          </w:placeholder>
        </w:sdtPr>
        <w:sdtEndPr/>
        <w:sdtContent>
          <w:r w:rsidR="003204EA" w:rsidRPr="003204EA">
            <w:rPr>
              <w:rFonts w:eastAsia="Times New Roman"/>
              <w:color w:val="000000"/>
              <w:vertAlign w:val="superscript"/>
            </w:rPr>
            <w:t>136</w:t>
          </w:r>
        </w:sdtContent>
      </w:sdt>
      <w:r w:rsidRPr="00476931">
        <w:rPr>
          <w:color w:val="000000" w:themeColor="text1"/>
        </w:rPr>
        <w:t>, and different search algorithms and PSM validation tools can be incorporated into workflows. For our analysis, we used the Tide search algorithm, which implements SEQUEST-style searching</w:t>
      </w:r>
      <w:sdt>
        <w:sdtPr>
          <w:rPr>
            <w:color w:val="000000"/>
            <w:vertAlign w:val="superscript"/>
          </w:rPr>
          <w:tag w:val="MENDELEY_CITATION_v3_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"/>
          <w:id w:val="425388682"/>
          <w:placeholder>
            <w:docPart w:val="B45FADC50A324E4486C4324FBA958C61"/>
          </w:placeholder>
        </w:sdtPr>
        <w:sdtEndPr/>
        <w:sdtContent>
          <w:r w:rsidR="003204EA" w:rsidRPr="003204EA">
            <w:rPr>
              <w:rFonts w:eastAsia="Times New Roman"/>
              <w:color w:val="000000"/>
              <w:vertAlign w:val="superscript"/>
            </w:rPr>
            <w:t>137</w:t>
          </w:r>
        </w:sdtContent>
      </w:sdt>
      <w:r w:rsidRPr="00476931">
        <w:rPr>
          <w:color w:val="000000" w:themeColor="text1"/>
        </w:rPr>
        <w:t>, for peptide identifications</w:t>
      </w:r>
      <w:r w:rsidR="00A805B9">
        <w:rPr>
          <w:color w:val="000000" w:themeColor="text1"/>
        </w:rPr>
        <w:t>,</w:t>
      </w:r>
      <w:r w:rsidRPr="00476931">
        <w:rPr>
          <w:color w:val="000000" w:themeColor="text1"/>
        </w:rPr>
        <w:t xml:space="preserve"> and Percolator for PSM scoring and protein inference</w:t>
      </w:r>
      <w:sdt>
        <w:sdtPr>
          <w:rPr>
            <w:color w:val="000000"/>
            <w:vertAlign w:val="superscript"/>
          </w:rPr>
          <w:tag w:val="MENDELEY_CITATION_v3_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"/>
          <w:id w:val="1142699908"/>
          <w:placeholder>
            <w:docPart w:val="B45FADC50A324E4486C4324FBA958C61"/>
          </w:placeholder>
        </w:sdtPr>
        <w:sdtEndPr/>
        <w:sdtContent>
          <w:r w:rsidR="003204EA" w:rsidRPr="003204EA">
            <w:rPr>
              <w:rFonts w:eastAsia="Times New Roman"/>
              <w:color w:val="000000"/>
              <w:vertAlign w:val="superscript"/>
            </w:rPr>
            <w:t>138</w:t>
          </w:r>
        </w:sdtContent>
      </w:sdt>
      <w:r w:rsidRPr="00476931">
        <w:rPr>
          <w:color w:val="000000" w:themeColor="text1"/>
        </w:rPr>
        <w:t>. The identified peptides were then quantified using modest Feature Finder (moFF), which is an open-source tool for quantification of label-free proteomics data</w:t>
      </w:r>
      <w:sdt>
        <w:sdtPr>
          <w:rPr>
            <w:color w:val="000000"/>
            <w:vertAlign w:val="superscript"/>
          </w:rPr>
          <w:tag w:val="MENDELEY_CITATION_v3_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"/>
          <w:id w:val="103470690"/>
          <w:placeholder>
            <w:docPart w:val="B45FADC50A324E4486C4324FBA958C61"/>
          </w:placeholder>
        </w:sdtPr>
        <w:sdtEndPr/>
        <w:sdtContent>
          <w:r w:rsidR="003204EA" w:rsidRPr="003204EA">
            <w:rPr>
              <w:rFonts w:eastAsia="Times New Roman"/>
              <w:color w:val="000000"/>
              <w:vertAlign w:val="superscript"/>
            </w:rPr>
            <w:t>139</w:t>
          </w:r>
        </w:sdtContent>
      </w:sdt>
      <w:r w:rsidRPr="00476931">
        <w:rPr>
          <w:color w:val="000000" w:themeColor="text1"/>
        </w:rPr>
        <w:t>.  The MyriMatch database search is another open-source database search algorithm</w:t>
      </w:r>
      <w:sdt>
        <w:sdtPr>
          <w:rPr>
            <w:color w:val="000000"/>
            <w:vertAlign w:val="superscript"/>
          </w:rPr>
          <w:tag w:val="MENDELEY_CITATION_v3_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"/>
          <w:id w:val="1299581129"/>
          <w:placeholder>
            <w:docPart w:val="B45FADC50A324E4486C4324FBA958C61"/>
          </w:placeholder>
        </w:sdtPr>
        <w:sdtEndPr/>
        <w:sdtContent>
          <w:r w:rsidR="003204EA" w:rsidRPr="003204EA">
            <w:rPr>
              <w:rFonts w:eastAsia="Times New Roman"/>
              <w:color w:val="000000"/>
              <w:vertAlign w:val="superscript"/>
            </w:rPr>
            <w:t>140</w:t>
          </w:r>
        </w:sdtContent>
      </w:sdt>
      <w:r w:rsidRPr="00476931">
        <w:rPr>
          <w:color w:val="000000" w:themeColor="text1"/>
        </w:rPr>
        <w:t xml:space="preserve"> that can be paired with the PSM validation and protein assembly tool IDPicker</w:t>
      </w:r>
      <w:sdt>
        <w:sdtPr>
          <w:rPr>
            <w:color w:val="000000"/>
            <w:vertAlign w:val="superscript"/>
          </w:rPr>
          <w:tag w:val="MENDELEY_CITATION_v3_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"/>
          <w:id w:val="1584255046"/>
          <w:placeholder>
            <w:docPart w:val="B45FADC50A324E4486C4324FBA958C61"/>
          </w:placeholder>
        </w:sdtPr>
        <w:sdtEndPr/>
        <w:sdtContent>
          <w:r w:rsidR="003204EA" w:rsidRPr="003204EA">
            <w:rPr>
              <w:rFonts w:eastAsia="Times New Roman"/>
              <w:color w:val="000000"/>
              <w:vertAlign w:val="superscript"/>
            </w:rPr>
            <w:t>141</w:t>
          </w:r>
        </w:sdtContent>
      </w:sdt>
      <w:r w:rsidRPr="00476931">
        <w:rPr>
          <w:color w:val="000000" w:themeColor="text1"/>
        </w:rPr>
        <w:t>. The MS Amanda 2.0 search algorithm is paired with the Elutator tool for PSM scoring and validation</w:t>
      </w:r>
      <w:sdt>
        <w:sdtPr>
          <w:rPr>
            <w:color w:val="000000"/>
            <w:vertAlign w:val="superscript"/>
          </w:rPr>
          <w:tag w:val="MENDELEY_CITATION_v3_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"/>
          <w:id w:val="1566067525"/>
          <w:placeholder>
            <w:docPart w:val="B45FADC50A324E4486C4324FBA958C61"/>
          </w:placeholder>
        </w:sdtPr>
        <w:sdtEndPr/>
        <w:sdtContent>
          <w:r w:rsidR="003204EA" w:rsidRPr="003204EA">
            <w:rPr>
              <w:rFonts w:eastAsia="Times New Roman"/>
              <w:color w:val="000000"/>
              <w:vertAlign w:val="superscript"/>
            </w:rPr>
            <w:t>142</w:t>
          </w:r>
        </w:sdtContent>
      </w:sdt>
      <w:r w:rsidRPr="00476931">
        <w:rPr>
          <w:color w:val="000000" w:themeColor="text1"/>
        </w:rPr>
        <w:t>.  This is one of the search pipelines implemented in the Proteome Discoverer platform.</w:t>
      </w:r>
    </w:p>
    <w:p w14:paraId="122B5D1B" w14:textId="5555E9F4" w:rsidR="005D686D" w:rsidRDefault="00310878" w:rsidP="00593E34">
      <w:pPr>
        <w:rPr>
          <w:color w:val="000000" w:themeColor="text1"/>
        </w:rPr>
      </w:pPr>
      <w:r w:rsidRPr="00476931">
        <w:rPr>
          <w:color w:val="000000" w:themeColor="text1"/>
        </w:rPr>
        <w:t xml:space="preserve">To enable a reliable and accurate comparison of the three database search pipelines, we fixed the search parameters such as minimum lengths of peptides and the number of tryptic miscleavages allowed, as well as parameters related to the instrumentation (mass tolerances of precursor and fragmentation ions, etc.).  </w:t>
      </w:r>
      <w:r w:rsidRPr="00476931">
        <w:rPr>
          <w:b/>
          <w:bCs/>
          <w:color w:val="000000" w:themeColor="text1"/>
        </w:rPr>
        <w:t>Figure 4</w:t>
      </w:r>
      <w:r w:rsidR="009E08D4">
        <w:rPr>
          <w:b/>
          <w:bCs/>
          <w:color w:val="000000" w:themeColor="text1"/>
        </w:rPr>
        <w:t>-</w:t>
      </w:r>
      <w:r w:rsidRPr="00476931">
        <w:rPr>
          <w:b/>
          <w:bCs/>
          <w:color w:val="000000" w:themeColor="text1"/>
        </w:rPr>
        <w:t xml:space="preserve">1 </w:t>
      </w:r>
      <w:r w:rsidRPr="00476931">
        <w:rPr>
          <w:color w:val="000000" w:themeColor="text1"/>
        </w:rPr>
        <w:t xml:space="preserve">shows the variation in the identifications between the three search pipelines at the PSM, peptide and protein levels.  In general, while there is more variability between search platforms at the PSM and peptide analyte levels, all three platforms were fairly </w:t>
      </w:r>
    </w:p>
    <w:p w14:paraId="27AC2B32" w14:textId="77777777" w:rsidR="005D686D" w:rsidRDefault="005D686D" w:rsidP="005D686D">
      <w:pPr>
        <w:pStyle w:val="BodyText"/>
        <w:keepNext/>
      </w:pPr>
      <w:r w:rsidRPr="00476931">
        <w:rPr>
          <w:noProof/>
        </w:rPr>
        <w:lastRenderedPageBreak/>
        <w:drawing>
          <wp:inline distT="0" distB="0" distL="0" distR="0" wp14:anchorId="24173197" wp14:editId="28D62C7F">
            <wp:extent cx="5270500" cy="2976880"/>
            <wp:effectExtent l="0" t="0" r="0" b="0"/>
            <wp:docPr id="2189" name="Picture 2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270500" cy="2976880"/>
                    </a:xfrm>
                    <a:prstGeom prst="rect">
                      <a:avLst/>
                    </a:prstGeom>
                  </pic:spPr>
                </pic:pic>
              </a:graphicData>
            </a:graphic>
          </wp:inline>
        </w:drawing>
      </w:r>
    </w:p>
    <w:p w14:paraId="5867D74A" w14:textId="395CCDD9" w:rsidR="005D686D" w:rsidRPr="005D686D" w:rsidRDefault="005D686D" w:rsidP="005D686D">
      <w:pPr>
        <w:pStyle w:val="Caption"/>
        <w:rPr>
          <w:b w:val="0"/>
          <w:bCs/>
        </w:rPr>
      </w:pPr>
      <w:bookmarkStart w:id="214" w:name="_Toc110246936"/>
      <w:r>
        <w:t xml:space="preserve">Figure </w:t>
      </w:r>
      <w:fldSimple w:instr=" STYLEREF 1 \s ">
        <w:r w:rsidR="00AC2094">
          <w:rPr>
            <w:noProof/>
          </w:rPr>
          <w:t>4</w:t>
        </w:r>
      </w:fldSimple>
      <w:r w:rsidR="00AC2094">
        <w:noBreakHyphen/>
      </w:r>
      <w:fldSimple w:instr=" SEQ Figure \* ARABIC \s 1 ">
        <w:r w:rsidR="00AC2094">
          <w:rPr>
            <w:noProof/>
          </w:rPr>
          <w:t>1</w:t>
        </w:r>
      </w:fldSimple>
      <w:r>
        <w:t xml:space="preserve">  </w:t>
      </w:r>
      <w:r w:rsidRPr="005D686D">
        <w:t xml:space="preserve">PSMs, peptides analytes, and proteins identified from the </w:t>
      </w:r>
      <w:proofErr w:type="spellStart"/>
      <w:r w:rsidRPr="005D686D">
        <w:t>SIHUMIx</w:t>
      </w:r>
      <w:proofErr w:type="spellEnd"/>
      <w:r w:rsidRPr="005D686D">
        <w:t xml:space="preserve"> mixture by three different search algorithm and PSM validation tools.</w:t>
      </w:r>
      <w:bookmarkEnd w:id="214"/>
      <w:r w:rsidRPr="005D686D">
        <w:t xml:space="preserve">  </w:t>
      </w:r>
      <w:r>
        <w:rPr>
          <w:b w:val="0"/>
          <w:bCs/>
        </w:rPr>
        <w:fldChar w:fldCharType="begin"/>
      </w:r>
      <w:r>
        <w:rPr>
          <w:b w:val="0"/>
          <w:bCs/>
        </w:rPr>
        <w:instrText xml:space="preserve"> </w:instrText>
      </w:r>
    </w:p>
    <w:p w14:paraId="00977D86" w14:textId="77777777" w:rsidR="005D686D" w:rsidRPr="005D686D" w:rsidRDefault="005D686D" w:rsidP="005D686D">
      <w:pPr>
        <w:pStyle w:val="Caption"/>
        <w:rPr>
          <w:b w:val="0"/>
          <w:bCs/>
        </w:rPr>
      </w:pPr>
    </w:p>
    <w:p w14:paraId="33F044BD" w14:textId="65B773C3" w:rsidR="005D686D" w:rsidRPr="005D686D" w:rsidRDefault="005D686D" w:rsidP="005D686D">
      <w:pPr>
        <w:pStyle w:val="Caption"/>
        <w:rPr>
          <w:b w:val="0"/>
          <w:bCs/>
        </w:rPr>
      </w:pPr>
      <w:r>
        <w:rPr>
          <w:b w:val="0"/>
          <w:bCs/>
        </w:rPr>
        <w:instrText xml:space="preserve"> </w:instrText>
      </w:r>
      <w:r>
        <w:rPr>
          <w:b w:val="0"/>
          <w:bCs/>
        </w:rPr>
        <w:fldChar w:fldCharType="end"/>
      </w:r>
      <w:r w:rsidRPr="005D686D">
        <w:rPr>
          <w:b w:val="0"/>
          <w:bCs/>
        </w:rPr>
        <w:fldChar w:fldCharType="begin"/>
      </w:r>
      <w:r w:rsidRPr="005D686D">
        <w:rPr>
          <w:b w:val="0"/>
          <w:bCs/>
        </w:rPr>
        <w:instrText xml:space="preserve"> </w:instrText>
      </w:r>
    </w:p>
    <w:p w14:paraId="2389E406" w14:textId="77777777" w:rsidR="005D686D" w:rsidRPr="005D686D" w:rsidRDefault="005D686D" w:rsidP="005D686D">
      <w:pPr>
        <w:pStyle w:val="Caption"/>
        <w:rPr>
          <w:b w:val="0"/>
          <w:bCs/>
        </w:rPr>
      </w:pPr>
    </w:p>
    <w:p w14:paraId="7BFD7A17" w14:textId="77777777" w:rsidR="005D686D" w:rsidRPr="005D686D" w:rsidRDefault="005D686D" w:rsidP="005D686D">
      <w:pPr>
        <w:pStyle w:val="Caption"/>
        <w:rPr>
          <w:b w:val="0"/>
          <w:bCs/>
        </w:rPr>
      </w:pPr>
      <w:r w:rsidRPr="005D686D">
        <w:rPr>
          <w:b w:val="0"/>
          <w:bCs/>
        </w:rPr>
        <w:instrText xml:space="preserve"> </w:instrText>
      </w:r>
      <w:r w:rsidRPr="005D686D">
        <w:rPr>
          <w:b w:val="0"/>
          <w:bCs/>
        </w:rPr>
        <w:fldChar w:fldCharType="end"/>
      </w:r>
      <w:bookmarkStart w:id="215" w:name="_Toc107573945"/>
      <w:r w:rsidRPr="005D686D">
        <w:rPr>
          <w:b w:val="0"/>
          <w:bCs/>
        </w:rPr>
        <w:t>Each search pipeline was compared to three LC-MS/MS measurements of the defined microbial community (a MudPIT measurement with four salt cuts and a 210-minute RP-LC gradient, an SDS-PAGE gel band measured over a 120-minute RP-LC gradient, and a fractionated SDS-PAGE gel band sample with four gel band fractions each eluted over a 60-minute RP-LC.</w:t>
      </w:r>
      <w:bookmarkEnd w:id="215"/>
    </w:p>
    <w:p w14:paraId="164DA06E" w14:textId="5406E5D6" w:rsidR="005D686D" w:rsidRDefault="005D686D" w:rsidP="005D686D">
      <w:pPr>
        <w:pStyle w:val="BodyText"/>
      </w:pPr>
      <w:r>
        <w:br w:type="page"/>
      </w:r>
    </w:p>
    <w:p w14:paraId="6337F585" w14:textId="2A5867F8" w:rsidR="001666D1" w:rsidRDefault="00310878" w:rsidP="001666D1">
      <w:pPr>
        <w:ind w:firstLine="0"/>
        <w:rPr>
          <w:color w:val="000000" w:themeColor="text1"/>
        </w:rPr>
      </w:pPr>
      <w:r w:rsidRPr="00476931">
        <w:rPr>
          <w:color w:val="000000" w:themeColor="text1"/>
        </w:rPr>
        <w:t xml:space="preserve">consistent at the protein level.  Interestingly, at the protein level, there was the least variation between search pipelines for the unfractionated SDS-PAGE sample.  The larger variation between search pipelines for both fractionated samples may be due in </w:t>
      </w:r>
      <w:r w:rsidR="001666D1" w:rsidRPr="00476931">
        <w:rPr>
          <w:color w:val="000000" w:themeColor="text1"/>
        </w:rPr>
        <w:t>part to parameters implemented into some of the search platforms related to factors such as retention time realignment</w:t>
      </w:r>
      <w:r w:rsidR="00C93A31">
        <w:rPr>
          <w:color w:val="000000" w:themeColor="text1"/>
        </w:rPr>
        <w:t>,</w:t>
      </w:r>
      <w:r w:rsidR="001666D1" w:rsidRPr="00476931">
        <w:rPr>
          <w:color w:val="000000" w:themeColor="text1"/>
        </w:rPr>
        <w:t xml:space="preserve"> which would be more likely to impact</w:t>
      </w:r>
      <w:r w:rsidR="001666D1" w:rsidRPr="006912DD">
        <w:rPr>
          <w:color w:val="000000" w:themeColor="text1"/>
        </w:rPr>
        <w:t xml:space="preserve"> </w:t>
      </w:r>
      <w:r w:rsidR="001666D1" w:rsidRPr="00476931">
        <w:rPr>
          <w:color w:val="000000" w:themeColor="text1"/>
        </w:rPr>
        <w:t>fractionated</w:t>
      </w:r>
    </w:p>
    <w:p w14:paraId="445CB1B6" w14:textId="1E955F58" w:rsidR="00593E34" w:rsidRPr="00476931" w:rsidRDefault="00310878" w:rsidP="006912DD">
      <w:pPr>
        <w:ind w:left="180" w:firstLine="0"/>
      </w:pPr>
      <w:r w:rsidRPr="00476931">
        <w:t>samples compared to unfractionated samples with shorter gradients.</w:t>
      </w:r>
    </w:p>
    <w:p w14:paraId="1B957DC4" w14:textId="29130D93" w:rsidR="00702A39" w:rsidRPr="00476931" w:rsidRDefault="00702A39" w:rsidP="00702A39">
      <w:pPr>
        <w:rPr>
          <w:color w:val="000000" w:themeColor="text1"/>
        </w:rPr>
      </w:pPr>
      <w:r w:rsidRPr="00476931">
        <w:rPr>
          <w:color w:val="000000" w:themeColor="text1"/>
        </w:rPr>
        <w:t xml:space="preserve">To elucidate differences between search algorithms, the unfractionated sample was more closely examined to look at the protein identification overlap and detected protein abundance. For this sample, twenty-five percent of identified proteins for the unfractionated SDS-PAGE gel band sample were shared between the three search pipelines </w:t>
      </w:r>
      <w:r w:rsidRPr="00476931">
        <w:rPr>
          <w:b/>
          <w:bCs/>
          <w:color w:val="000000" w:themeColor="text1"/>
        </w:rPr>
        <w:t>(Figure 4</w:t>
      </w:r>
      <w:r w:rsidR="009E08D4">
        <w:rPr>
          <w:b/>
          <w:bCs/>
          <w:color w:val="000000" w:themeColor="text1"/>
        </w:rPr>
        <w:t>-</w:t>
      </w:r>
      <w:r w:rsidRPr="00476931">
        <w:rPr>
          <w:b/>
          <w:bCs/>
          <w:color w:val="000000" w:themeColor="text1"/>
        </w:rPr>
        <w:t xml:space="preserve">2A).  </w:t>
      </w:r>
      <w:r w:rsidRPr="00476931">
        <w:rPr>
          <w:color w:val="000000" w:themeColor="text1"/>
        </w:rPr>
        <w:t>Among the identified proteins, MM/IDP and the MS Amanda/Elutator pipelines both identified around 300 more proteins than the Crux/moFF pipeline.  In addition, an overlapping histogram of the relative protein abundances of identified proteins in the sample by each search algorithm (</w:t>
      </w:r>
      <w:r w:rsidRPr="00476931">
        <w:rPr>
          <w:b/>
          <w:bCs/>
          <w:color w:val="000000" w:themeColor="text1"/>
        </w:rPr>
        <w:t>Figure 4</w:t>
      </w:r>
      <w:r w:rsidR="009E08D4">
        <w:rPr>
          <w:b/>
          <w:bCs/>
          <w:color w:val="000000" w:themeColor="text1"/>
        </w:rPr>
        <w:t>-</w:t>
      </w:r>
      <w:r w:rsidRPr="00476931">
        <w:rPr>
          <w:b/>
          <w:bCs/>
          <w:color w:val="000000" w:themeColor="text1"/>
        </w:rPr>
        <w:t>2B</w:t>
      </w:r>
      <w:r w:rsidRPr="00476931">
        <w:rPr>
          <w:color w:val="000000" w:themeColor="text1"/>
        </w:rPr>
        <w:t xml:space="preserve">) shows that the dynamic range of proteins identified with MS Amanda/Elutator pipeline in Proteome Discoverer is the largest of the three pipelines, with six orders of magnitude difference between the lowest abundance and highest abundance proteins. The Crux/moFF search workflow has smallest dynamic range but identifies more proteins in the lower abundance region compared to the other two workflows.  In summary, the choice of database search approach has an impact on the peptides and proteins identified in a sample. </w:t>
      </w:r>
      <w:r w:rsidR="00A31217">
        <w:rPr>
          <w:color w:val="000000" w:themeColor="text1"/>
        </w:rPr>
        <w:t xml:space="preserve">As </w:t>
      </w:r>
      <w:r w:rsidR="00E62226">
        <w:rPr>
          <w:color w:val="000000" w:themeColor="text1"/>
        </w:rPr>
        <w:t>complex</w:t>
      </w:r>
      <w:r w:rsidR="00A31217">
        <w:rPr>
          <w:color w:val="000000" w:themeColor="text1"/>
        </w:rPr>
        <w:t xml:space="preserve"> </w:t>
      </w:r>
      <w:r w:rsidR="00223B9D">
        <w:rPr>
          <w:color w:val="000000" w:themeColor="text1"/>
        </w:rPr>
        <w:t>microbiome samples</w:t>
      </w:r>
      <w:r w:rsidR="00E62226">
        <w:rPr>
          <w:color w:val="000000" w:themeColor="text1"/>
        </w:rPr>
        <w:t xml:space="preserve"> have dynamic ranges </w:t>
      </w:r>
      <w:r w:rsidR="004A70B4">
        <w:rPr>
          <w:color w:val="000000" w:themeColor="text1"/>
        </w:rPr>
        <w:t>at both the organism and protein level</w:t>
      </w:r>
      <w:r w:rsidR="00223B9D">
        <w:rPr>
          <w:color w:val="000000" w:themeColor="text1"/>
        </w:rPr>
        <w:t>,</w:t>
      </w:r>
      <w:r w:rsidR="00E62226">
        <w:rPr>
          <w:color w:val="000000" w:themeColor="text1"/>
        </w:rPr>
        <w:t xml:space="preserve"> the </w:t>
      </w:r>
      <w:r w:rsidR="004A70B4">
        <w:rPr>
          <w:color w:val="000000" w:themeColor="text1"/>
        </w:rPr>
        <w:t xml:space="preserve">fact that the </w:t>
      </w:r>
      <w:r w:rsidR="00223B9D" w:rsidRPr="00476931">
        <w:rPr>
          <w:color w:val="000000" w:themeColor="text1"/>
        </w:rPr>
        <w:t>MS Amanda/Elutator pipeline in Proteome Discoverer</w:t>
      </w:r>
      <w:r w:rsidR="00223B9D">
        <w:rPr>
          <w:color w:val="000000" w:themeColor="text1"/>
        </w:rPr>
        <w:t xml:space="preserve"> </w:t>
      </w:r>
      <w:r w:rsidR="004A70B4">
        <w:rPr>
          <w:color w:val="000000" w:themeColor="text1"/>
        </w:rPr>
        <w:t xml:space="preserve">can detect </w:t>
      </w:r>
      <w:r w:rsidR="00E96365">
        <w:rPr>
          <w:color w:val="000000" w:themeColor="text1"/>
        </w:rPr>
        <w:t xml:space="preserve">a dynamic range of </w:t>
      </w:r>
      <w:r w:rsidR="004A70B4" w:rsidRPr="00476931">
        <w:rPr>
          <w:color w:val="000000" w:themeColor="text1"/>
        </w:rPr>
        <w:t>six orders of magnitude</w:t>
      </w:r>
      <w:r w:rsidR="00E96365">
        <w:rPr>
          <w:color w:val="000000" w:themeColor="text1"/>
        </w:rPr>
        <w:t xml:space="preserve"> makes it particularly amenable to this sample type.</w:t>
      </w:r>
      <w:r w:rsidRPr="00476931">
        <w:rPr>
          <w:color w:val="000000" w:themeColor="text1"/>
        </w:rPr>
        <w:t xml:space="preserve"> However, factors beyond the choice of search algorithm that are implemented in database search pipelines, such as the ability to identify peptides from chimeric spectra and how quantification is applied, should also be considered when choosing a database search strategy for a particular sample and LC-MS/MS measurement type. </w:t>
      </w:r>
    </w:p>
    <w:p w14:paraId="623175EB" w14:textId="77777777" w:rsidR="006912DD" w:rsidRDefault="006912DD" w:rsidP="0060435B">
      <w:pPr>
        <w:pStyle w:val="Heading2"/>
      </w:pPr>
    </w:p>
    <w:p w14:paraId="7189AD52" w14:textId="77777777" w:rsidR="005D686D" w:rsidRDefault="005D686D">
      <w:pPr>
        <w:spacing w:before="1"/>
        <w:rPr>
          <w:rFonts w:eastAsiaTheme="majorEastAsia" w:cstheme="majorBidi"/>
          <w:b/>
          <w:color w:val="000000" w:themeColor="text1"/>
          <w:szCs w:val="26"/>
        </w:rPr>
      </w:pPr>
      <w:r>
        <w:br w:type="page"/>
      </w:r>
    </w:p>
    <w:p w14:paraId="6C71D815" w14:textId="77777777" w:rsidR="005D686D" w:rsidRDefault="005D686D" w:rsidP="005D686D">
      <w:pPr>
        <w:pStyle w:val="BodyText"/>
        <w:keepNext/>
      </w:pPr>
      <w:r w:rsidRPr="00476931">
        <w:rPr>
          <w:noProof/>
        </w:rPr>
        <w:drawing>
          <wp:inline distT="0" distB="0" distL="0" distR="0" wp14:anchorId="2E35525E" wp14:editId="01741432">
            <wp:extent cx="5448714" cy="2124075"/>
            <wp:effectExtent l="0" t="0" r="0" b="0"/>
            <wp:docPr id="2074" name="Picture 2074"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 name="Picture 2074" descr="Chart, histogram&#10;&#10;Description automatically generated"/>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51402" cy="2125123"/>
                    </a:xfrm>
                    <a:prstGeom prst="rect">
                      <a:avLst/>
                    </a:prstGeom>
                    <a:noFill/>
                  </pic:spPr>
                </pic:pic>
              </a:graphicData>
            </a:graphic>
          </wp:inline>
        </w:drawing>
      </w:r>
    </w:p>
    <w:p w14:paraId="3DE7E07F" w14:textId="0BFC9FF9" w:rsidR="005D686D" w:rsidRPr="005D686D" w:rsidRDefault="005D686D" w:rsidP="005D686D">
      <w:pPr>
        <w:pStyle w:val="Caption"/>
        <w:rPr>
          <w:b w:val="0"/>
          <w:bCs/>
        </w:rPr>
      </w:pPr>
      <w:bookmarkStart w:id="216" w:name="_Toc110246937"/>
      <w:r>
        <w:t xml:space="preserve">Figure </w:t>
      </w:r>
      <w:fldSimple w:instr=" STYLEREF 1 \s ">
        <w:r w:rsidR="00AC2094">
          <w:rPr>
            <w:noProof/>
          </w:rPr>
          <w:t>4</w:t>
        </w:r>
      </w:fldSimple>
      <w:r w:rsidR="00AC2094">
        <w:noBreakHyphen/>
      </w:r>
      <w:fldSimple w:instr=" SEQ Figure \* ARABIC \s 1 ">
        <w:r w:rsidR="00AC2094">
          <w:rPr>
            <w:noProof/>
          </w:rPr>
          <w:t>2</w:t>
        </w:r>
      </w:fldSimple>
      <w:r>
        <w:t xml:space="preserve">  </w:t>
      </w:r>
      <w:r w:rsidRPr="005D686D">
        <w:t>120-minute gradient unfractionated SDS_PAGE gel band identified proteins.</w:t>
      </w:r>
      <w:bookmarkEnd w:id="216"/>
      <w:r w:rsidRPr="005D686D">
        <w:t xml:space="preserve">  </w:t>
      </w:r>
      <w:r>
        <w:rPr>
          <w:b w:val="0"/>
          <w:bCs/>
        </w:rPr>
        <w:fldChar w:fldCharType="begin"/>
      </w:r>
      <w:r>
        <w:rPr>
          <w:b w:val="0"/>
          <w:bCs/>
        </w:rPr>
        <w:instrText xml:space="preserve"> </w:instrText>
      </w:r>
    </w:p>
    <w:p w14:paraId="1D2E7EE6" w14:textId="77777777" w:rsidR="005D686D" w:rsidRPr="005D686D" w:rsidRDefault="005D686D" w:rsidP="005D686D">
      <w:pPr>
        <w:pStyle w:val="Caption"/>
        <w:rPr>
          <w:b w:val="0"/>
          <w:bCs/>
        </w:rPr>
      </w:pPr>
    </w:p>
    <w:p w14:paraId="130FD656" w14:textId="3D07CFD3" w:rsidR="005D686D" w:rsidRPr="005D686D" w:rsidRDefault="005D686D" w:rsidP="005D686D">
      <w:pPr>
        <w:pStyle w:val="Caption"/>
        <w:rPr>
          <w:b w:val="0"/>
          <w:bCs/>
        </w:rPr>
      </w:pPr>
      <w:r>
        <w:rPr>
          <w:b w:val="0"/>
          <w:bCs/>
        </w:rPr>
        <w:instrText xml:space="preserve"> </w:instrText>
      </w:r>
      <w:r>
        <w:rPr>
          <w:b w:val="0"/>
          <w:bCs/>
        </w:rPr>
        <w:fldChar w:fldCharType="end"/>
      </w:r>
      <w:r w:rsidRPr="005D686D">
        <w:rPr>
          <w:b w:val="0"/>
          <w:bCs/>
        </w:rPr>
        <w:fldChar w:fldCharType="begin"/>
      </w:r>
      <w:r w:rsidRPr="005D686D">
        <w:rPr>
          <w:b w:val="0"/>
          <w:bCs/>
        </w:rPr>
        <w:instrText xml:space="preserve"> </w:instrText>
      </w:r>
    </w:p>
    <w:p w14:paraId="619E4BF3" w14:textId="77777777" w:rsidR="005D686D" w:rsidRPr="005D686D" w:rsidRDefault="005D686D" w:rsidP="005D686D">
      <w:pPr>
        <w:pStyle w:val="Caption"/>
        <w:rPr>
          <w:b w:val="0"/>
          <w:bCs/>
        </w:rPr>
      </w:pPr>
    </w:p>
    <w:p w14:paraId="10D497A6" w14:textId="77777777" w:rsidR="005D686D" w:rsidRPr="005D686D" w:rsidRDefault="005D686D" w:rsidP="005D686D">
      <w:pPr>
        <w:pStyle w:val="Caption"/>
      </w:pPr>
      <w:r w:rsidRPr="005D686D">
        <w:rPr>
          <w:b w:val="0"/>
          <w:bCs/>
        </w:rPr>
        <w:instrText xml:space="preserve"> </w:instrText>
      </w:r>
      <w:r w:rsidRPr="005D686D">
        <w:rPr>
          <w:b w:val="0"/>
          <w:bCs/>
        </w:rPr>
        <w:fldChar w:fldCharType="end"/>
      </w:r>
      <w:r w:rsidRPr="005D686D">
        <w:rPr>
          <w:b w:val="0"/>
          <w:bCs/>
        </w:rPr>
        <w:t>(A) Venn diagram recording the number of identified proteins by pipeline. (B) The relative amount of protein abundances with each search algorithm.</w:t>
      </w:r>
    </w:p>
    <w:p w14:paraId="11AB34C8" w14:textId="7D7AD607" w:rsidR="005D686D" w:rsidRDefault="005D686D" w:rsidP="005D686D">
      <w:pPr>
        <w:pStyle w:val="BodyText"/>
        <w:rPr>
          <w:rFonts w:eastAsiaTheme="majorEastAsia" w:cstheme="majorBidi"/>
          <w:szCs w:val="26"/>
        </w:rPr>
      </w:pPr>
      <w:r>
        <w:br w:type="page"/>
      </w:r>
    </w:p>
    <w:p w14:paraId="0F12BB16" w14:textId="6AD389C1" w:rsidR="006912DD" w:rsidRPr="00476931" w:rsidRDefault="006912DD" w:rsidP="0060435B">
      <w:pPr>
        <w:pStyle w:val="Heading2"/>
      </w:pPr>
      <w:bookmarkStart w:id="217" w:name="_Toc110250266"/>
      <w:bookmarkStart w:id="218" w:name="_Toc110250523"/>
      <w:bookmarkStart w:id="219" w:name="_Toc110250654"/>
      <w:r w:rsidRPr="00476931">
        <w:t>4.3  Identification of peptides from chimeric spectra</w:t>
      </w:r>
      <w:r w:rsidR="0067780D">
        <w:t>.</w:t>
      </w:r>
      <w:bookmarkEnd w:id="217"/>
      <w:bookmarkEnd w:id="218"/>
      <w:bookmarkEnd w:id="219"/>
    </w:p>
    <w:p w14:paraId="12A5A28F" w14:textId="77777777" w:rsidR="005B0126" w:rsidRDefault="005B0126" w:rsidP="005B0126">
      <w:pPr>
        <w:ind w:left="180" w:firstLine="0"/>
        <w:rPr>
          <w:i/>
          <w:iCs/>
          <w:color w:val="000000" w:themeColor="text1"/>
          <w:spacing w:val="-3"/>
        </w:rPr>
      </w:pPr>
    </w:p>
    <w:p w14:paraId="19F31085" w14:textId="363AFBFE" w:rsidR="005B0126" w:rsidRPr="003C7207" w:rsidRDefault="005B0126" w:rsidP="005B0126">
      <w:pPr>
        <w:ind w:left="180" w:firstLine="0"/>
        <w:rPr>
          <w:i/>
          <w:iCs/>
          <w:color w:val="000000" w:themeColor="text1"/>
        </w:rPr>
      </w:pPr>
      <w:r w:rsidRPr="003C7207">
        <w:rPr>
          <w:i/>
          <w:iCs/>
          <w:color w:val="000000" w:themeColor="text1"/>
          <w:spacing w:val="-3"/>
        </w:rPr>
        <w:t>Data generated</w:t>
      </w:r>
      <w:r w:rsidR="00476447">
        <w:rPr>
          <w:i/>
          <w:iCs/>
          <w:color w:val="000000" w:themeColor="text1"/>
          <w:spacing w:val="-3"/>
        </w:rPr>
        <w:t xml:space="preserve">, </w:t>
      </w:r>
      <w:r w:rsidRPr="003C7207">
        <w:rPr>
          <w:i/>
          <w:iCs/>
          <w:color w:val="000000" w:themeColor="text1"/>
          <w:spacing w:val="-3"/>
        </w:rPr>
        <w:t>analyzed</w:t>
      </w:r>
      <w:r w:rsidR="00476447">
        <w:rPr>
          <w:i/>
          <w:iCs/>
          <w:color w:val="000000" w:themeColor="text1"/>
          <w:spacing w:val="-3"/>
        </w:rPr>
        <w:t>, and adapted from</w:t>
      </w:r>
      <w:r w:rsidRPr="003C7207">
        <w:rPr>
          <w:i/>
          <w:iCs/>
          <w:color w:val="000000" w:themeColor="text1"/>
          <w:spacing w:val="-3"/>
        </w:rPr>
        <w:t xml:space="preserve"> </w:t>
      </w:r>
      <w:r w:rsidR="00476447">
        <w:rPr>
          <w:i/>
          <w:iCs/>
          <w:color w:val="000000" w:themeColor="text1"/>
          <w:spacing w:val="-3"/>
        </w:rPr>
        <w:t>Patnode</w:t>
      </w:r>
      <w:r w:rsidRPr="003C7207">
        <w:rPr>
          <w:i/>
          <w:iCs/>
          <w:color w:val="000000" w:themeColor="text1"/>
          <w:spacing w:val="-3"/>
        </w:rPr>
        <w:t xml:space="preserve"> </w:t>
      </w:r>
      <w:r w:rsidRPr="003C7207">
        <w:rPr>
          <w:i/>
          <w:iCs/>
          <w:color w:val="000000" w:themeColor="text1"/>
        </w:rPr>
        <w:t>et</w:t>
      </w:r>
      <w:r w:rsidRPr="003C7207">
        <w:rPr>
          <w:i/>
          <w:iCs/>
          <w:color w:val="000000" w:themeColor="text1"/>
          <w:spacing w:val="-2"/>
        </w:rPr>
        <w:t xml:space="preserve"> </w:t>
      </w:r>
      <w:r w:rsidRPr="003C7207">
        <w:rPr>
          <w:i/>
          <w:iCs/>
          <w:color w:val="000000" w:themeColor="text1"/>
        </w:rPr>
        <w:t>al., 20</w:t>
      </w:r>
      <w:r w:rsidR="00476447">
        <w:rPr>
          <w:i/>
          <w:iCs/>
          <w:color w:val="000000" w:themeColor="text1"/>
        </w:rPr>
        <w:t>19.</w:t>
      </w:r>
      <w:r w:rsidRPr="003C7207">
        <w:rPr>
          <w:i/>
          <w:iCs/>
          <w:color w:val="000000" w:themeColor="text1"/>
          <w:spacing w:val="-3"/>
        </w:rPr>
        <w:t xml:space="preserve"> </w:t>
      </w:r>
      <w:r w:rsidR="00476447">
        <w:rPr>
          <w:i/>
          <w:iCs/>
          <w:color w:val="000000" w:themeColor="text1"/>
          <w:spacing w:val="-3"/>
        </w:rPr>
        <w:t>Cell</w:t>
      </w:r>
      <w:r w:rsidRPr="003C7207">
        <w:rPr>
          <w:i/>
          <w:iCs/>
          <w:color w:val="000000" w:themeColor="text1"/>
          <w:spacing w:val="-5"/>
        </w:rPr>
        <w:t>.</w:t>
      </w:r>
    </w:p>
    <w:p w14:paraId="5C9FEF24" w14:textId="77777777" w:rsidR="006912DD" w:rsidRPr="00476931" w:rsidRDefault="006912DD" w:rsidP="006912DD">
      <w:pPr>
        <w:ind w:left="0" w:firstLine="0"/>
        <w:rPr>
          <w:color w:val="000000" w:themeColor="text1"/>
        </w:rPr>
      </w:pPr>
    </w:p>
    <w:p w14:paraId="4B69BF46" w14:textId="275FD214" w:rsidR="008E7F63" w:rsidRPr="00476931" w:rsidRDefault="006912DD" w:rsidP="005D686D">
      <w:pPr>
        <w:rPr>
          <w:color w:val="000000" w:themeColor="text1"/>
        </w:rPr>
      </w:pPr>
      <w:r w:rsidRPr="00476931">
        <w:rPr>
          <w:color w:val="000000" w:themeColor="text1"/>
        </w:rPr>
        <w:t xml:space="preserve">In typical DDA-based bottom-up shotgun proteomics experiments, precursor ions are selected for MS/MS fragmentation within a narrow isolation window of 1-3 m/z.  Due to the complexity of peptides present in a mixture, especially in metaproteomic samples, there are often many peptide ions with similar m/z </w:t>
      </w:r>
      <w:r w:rsidR="00E96365">
        <w:rPr>
          <w:color w:val="000000" w:themeColor="text1"/>
        </w:rPr>
        <w:t>that</w:t>
      </w:r>
      <w:r w:rsidRPr="00476931">
        <w:rPr>
          <w:color w:val="000000" w:themeColor="text1"/>
        </w:rPr>
        <w:t xml:space="preserve"> co-elute at any given retention time.  These peptides are co-isolated within the same </w:t>
      </w:r>
      <w:r w:rsidR="001666D1" w:rsidRPr="00476931">
        <w:rPr>
          <w:color w:val="000000" w:themeColor="text1"/>
        </w:rPr>
        <w:t xml:space="preserve">m/z window and co-fragmented </w:t>
      </w:r>
      <w:r w:rsidR="001666D1" w:rsidRPr="00476931">
        <w:rPr>
          <w:b/>
          <w:bCs/>
          <w:color w:val="000000" w:themeColor="text1"/>
        </w:rPr>
        <w:t>(Figure 4</w:t>
      </w:r>
      <w:r w:rsidR="009E08D4">
        <w:rPr>
          <w:b/>
          <w:bCs/>
          <w:color w:val="000000" w:themeColor="text1"/>
        </w:rPr>
        <w:t>-</w:t>
      </w:r>
      <w:r w:rsidR="001666D1" w:rsidRPr="00476931">
        <w:rPr>
          <w:b/>
          <w:bCs/>
          <w:color w:val="000000" w:themeColor="text1"/>
        </w:rPr>
        <w:t>3)</w:t>
      </w:r>
      <w:r w:rsidR="001666D1" w:rsidRPr="00476931">
        <w:rPr>
          <w:color w:val="000000" w:themeColor="text1"/>
        </w:rPr>
        <w:t>. The resulting MS/MS spectra of the co-fragmented peptides are known as chimeric spectra</w:t>
      </w:r>
      <w:sdt>
        <w:sdtPr>
          <w:rPr>
            <w:color w:val="000000"/>
            <w:vertAlign w:val="superscript"/>
          </w:rPr>
          <w:tag w:val="MENDELEY_CITATION_v3_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"/>
          <w:id w:val="-1386248698"/>
          <w:placeholder>
            <w:docPart w:val="43D955C1FF1C1A4E91C5B4B953AAA0FE"/>
          </w:placeholder>
        </w:sdtPr>
        <w:sdtEndPr/>
        <w:sdtContent>
          <w:r w:rsidR="003204EA" w:rsidRPr="003204EA">
            <w:rPr>
              <w:rFonts w:eastAsia="Times New Roman"/>
              <w:color w:val="000000"/>
              <w:vertAlign w:val="superscript"/>
            </w:rPr>
            <w:t>143</w:t>
          </w:r>
        </w:sdtContent>
      </w:sdt>
      <w:r w:rsidR="001666D1" w:rsidRPr="00476931">
        <w:rPr>
          <w:color w:val="000000" w:themeColor="text1"/>
        </w:rPr>
        <w:t xml:space="preserve">. Advancements in instrument </w:t>
      </w:r>
      <w:r w:rsidRPr="00476931">
        <w:rPr>
          <w:color w:val="000000" w:themeColor="text1"/>
        </w:rPr>
        <w:t>precision,</w:t>
      </w:r>
      <w:r>
        <w:rPr>
          <w:color w:val="000000" w:themeColor="text1"/>
        </w:rPr>
        <w:t xml:space="preserve"> </w:t>
      </w:r>
      <w:r w:rsidR="00310878" w:rsidRPr="00476931">
        <w:rPr>
          <w:color w:val="000000" w:themeColor="text1"/>
        </w:rPr>
        <w:t>chromatography separation schemes, and narrower isolation windows can reduce the number of chimeric spectra present in a measurement of a complex peptide mixture.  However, analyses have shown that even within a peptide mixture of a single proteome, up to 50% of MS/MS spectra collected are chimeric</w:t>
      </w:r>
      <w:sdt>
        <w:sdtPr>
          <w:rPr>
            <w:color w:val="000000"/>
            <w:vertAlign w:val="superscript"/>
          </w:rPr>
          <w:tag w:val="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"/>
          <w:id w:val="263189275"/>
          <w:placeholder>
            <w:docPart w:val="B45FADC50A324E4486C4324FBA958C61"/>
          </w:placeholder>
        </w:sdtPr>
        <w:sdtEndPr/>
        <w:sdtContent>
          <w:r w:rsidR="003204EA" w:rsidRPr="003204EA">
            <w:rPr>
              <w:rFonts w:eastAsia="Times New Roman"/>
              <w:color w:val="000000"/>
              <w:vertAlign w:val="superscript"/>
            </w:rPr>
            <w:t>63,143,144</w:t>
          </w:r>
        </w:sdtContent>
      </w:sdt>
      <w:r w:rsidR="00310878" w:rsidRPr="00476931">
        <w:rPr>
          <w:color w:val="000000" w:themeColor="text1"/>
        </w:rPr>
        <w:t>. Chimeric spectra reduce peptide identification rates and present a computational challenge as most database search algorithms operate under the assumption that there is one peptide match per MS/MS spectrum</w:t>
      </w:r>
      <w:sdt>
        <w:sdtPr>
          <w:rPr>
            <w:color w:val="000000"/>
            <w:vertAlign w:val="superscript"/>
          </w:rPr>
          <w:tag w:val="MENDELEY_CITATION_v3_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"/>
          <w:id w:val="1769188083"/>
          <w:placeholder>
            <w:docPart w:val="B45FADC50A324E4486C4324FBA958C61"/>
          </w:placeholder>
        </w:sdtPr>
        <w:sdtEndPr/>
        <w:sdtContent>
          <w:r w:rsidR="003204EA" w:rsidRPr="003204EA">
            <w:rPr>
              <w:rFonts w:eastAsia="Times New Roman"/>
              <w:color w:val="000000"/>
              <w:vertAlign w:val="superscript"/>
            </w:rPr>
            <w:t>144</w:t>
          </w:r>
        </w:sdtContent>
      </w:sdt>
      <w:r w:rsidR="00310878" w:rsidRPr="00476931">
        <w:rPr>
          <w:color w:val="000000" w:themeColor="text1"/>
        </w:rPr>
        <w:t xml:space="preserve">.  </w:t>
      </w:r>
    </w:p>
    <w:p w14:paraId="09AD643C" w14:textId="4F81AB31" w:rsidR="005D686D" w:rsidRDefault="00611136" w:rsidP="00611136">
      <w:pPr>
        <w:rPr>
          <w:color w:val="000000" w:themeColor="text1"/>
        </w:rPr>
      </w:pPr>
      <w:r w:rsidRPr="00476931">
        <w:rPr>
          <w:color w:val="000000" w:themeColor="text1"/>
        </w:rPr>
        <w:t xml:space="preserve">To address the low peptide identification rates caused by chimeric spectra, tools have been developed to identify and validate multiple </w:t>
      </w:r>
      <w:proofErr w:type="gramStart"/>
      <w:r w:rsidRPr="00476931">
        <w:rPr>
          <w:color w:val="000000" w:themeColor="text1"/>
        </w:rPr>
        <w:t>peptide</w:t>
      </w:r>
      <w:proofErr w:type="gramEnd"/>
      <w:r w:rsidRPr="00476931">
        <w:rPr>
          <w:color w:val="000000" w:themeColor="text1"/>
        </w:rPr>
        <w:t xml:space="preserve"> matches for an MS/MS spectrum (mPSM)</w:t>
      </w:r>
      <w:sdt>
        <w:sdtPr>
          <w:rPr>
            <w:color w:val="000000"/>
            <w:vertAlign w:val="superscript"/>
          </w:rPr>
          <w:tag w:val="MENDELEY_CITATION_v3_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"/>
          <w:id w:val="-999190607"/>
          <w:placeholder>
            <w:docPart w:val="7995D281BD9BD44C9AFC8C05D833D40F"/>
          </w:placeholder>
        </w:sdtPr>
        <w:sdtEndPr/>
        <w:sdtContent>
          <w:r w:rsidR="003204EA" w:rsidRPr="003204EA">
            <w:rPr>
              <w:rFonts w:eastAsia="Times New Roman"/>
              <w:color w:val="000000"/>
              <w:vertAlign w:val="superscript"/>
            </w:rPr>
            <w:t>145</w:t>
          </w:r>
        </w:sdtContent>
      </w:sdt>
      <w:r w:rsidRPr="00476931">
        <w:rPr>
          <w:color w:val="000000" w:themeColor="text1"/>
        </w:rPr>
        <w:t>.  Among these tools is the CharmeRT workflow</w:t>
      </w:r>
      <w:sdt>
        <w:sdtPr>
          <w:rPr>
            <w:color w:val="000000"/>
            <w:vertAlign w:val="superscript"/>
          </w:rPr>
          <w:tag w:val="MENDELEY_CITATION_v3_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"/>
          <w:id w:val="-1795664034"/>
          <w:placeholder>
            <w:docPart w:val="7995D281BD9BD44C9AFC8C05D833D40F"/>
          </w:placeholder>
        </w:sdtPr>
        <w:sdtEndPr/>
        <w:sdtContent>
          <w:r w:rsidR="003204EA" w:rsidRPr="003204EA">
            <w:rPr>
              <w:rFonts w:eastAsia="Times New Roman"/>
              <w:color w:val="000000"/>
              <w:vertAlign w:val="superscript"/>
            </w:rPr>
            <w:t>142</w:t>
          </w:r>
        </w:sdtContent>
      </w:sdt>
      <w:r w:rsidRPr="00476931">
        <w:rPr>
          <w:color w:val="000000" w:themeColor="text1"/>
        </w:rPr>
        <w:t>, which first identifies chimeric spectra using a second search approach with the MS Amanda database search algorithm</w:t>
      </w:r>
      <w:sdt>
        <w:sdtPr>
          <w:rPr>
            <w:color w:val="000000"/>
            <w:vertAlign w:val="superscript"/>
          </w:rPr>
          <w:tag w:val="MENDELEY_CITATION_v3_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"/>
          <w:id w:val="-1093015373"/>
          <w:placeholder>
            <w:docPart w:val="7995D281BD9BD44C9AFC8C05D833D40F"/>
          </w:placeholder>
        </w:sdtPr>
        <w:sdtEndPr/>
        <w:sdtContent>
          <w:r w:rsidR="003204EA" w:rsidRPr="003204EA">
            <w:rPr>
              <w:rFonts w:eastAsia="Times New Roman"/>
              <w:color w:val="000000"/>
              <w:vertAlign w:val="superscript"/>
            </w:rPr>
            <w:t>146</w:t>
          </w:r>
        </w:sdtContent>
      </w:sdt>
      <w:r w:rsidRPr="00476931">
        <w:rPr>
          <w:color w:val="000000" w:themeColor="text1"/>
        </w:rPr>
        <w:t xml:space="preserve"> and validates the detected PSMs using retention time prediction with the tool Elutator.  MS Amanda differs from other search algorithms as it was developed for searching high-resolution tandem mass spectrometry data, leveraging both high mass accuracy and consideration of fragment ion intensities</w:t>
      </w:r>
      <w:sdt>
        <w:sdtPr>
          <w:rPr>
            <w:color w:val="000000"/>
            <w:vertAlign w:val="superscript"/>
          </w:rPr>
          <w:tag w:val="MENDELEY_CITATION_v3_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"/>
          <w:id w:val="-1053460672"/>
          <w:placeholder>
            <w:docPart w:val="7995D281BD9BD44C9AFC8C05D833D40F"/>
          </w:placeholder>
        </w:sdtPr>
        <w:sdtEndPr/>
        <w:sdtContent>
          <w:r w:rsidR="003204EA" w:rsidRPr="003204EA">
            <w:rPr>
              <w:rFonts w:eastAsia="Times New Roman"/>
              <w:color w:val="000000"/>
              <w:vertAlign w:val="superscript"/>
            </w:rPr>
            <w:t>147</w:t>
          </w:r>
        </w:sdtContent>
      </w:sdt>
      <w:r w:rsidRPr="00476931">
        <w:rPr>
          <w:color w:val="000000" w:themeColor="text1"/>
        </w:rPr>
        <w:t>.  The second search approach strategy involves removing all peaks of the highest-scoring PSMs after the initial search is completed before re-searching the data for the detection of additional PSMs.  To validate detected mPSMs, Elutator was built upon the principles of Percolator</w:t>
      </w:r>
      <w:sdt>
        <w:sdtPr>
          <w:rPr>
            <w:color w:val="000000"/>
            <w:vertAlign w:val="superscript"/>
          </w:rPr>
          <w:tag w:val="MENDELEY_CITATION_v3_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"/>
          <w:id w:val="-626860270"/>
          <w:placeholder>
            <w:docPart w:val="7995D281BD9BD44C9AFC8C05D833D40F"/>
          </w:placeholder>
        </w:sdtPr>
        <w:sdtEndPr/>
        <w:sdtContent>
          <w:r w:rsidR="003204EA" w:rsidRPr="003204EA">
            <w:rPr>
              <w:rFonts w:eastAsia="Times New Roman"/>
              <w:color w:val="000000"/>
              <w:vertAlign w:val="superscript"/>
            </w:rPr>
            <w:t>148</w:t>
          </w:r>
        </w:sdtContent>
      </w:sdt>
      <w:r w:rsidRPr="00476931">
        <w:rPr>
          <w:color w:val="000000" w:themeColor="text1"/>
        </w:rPr>
        <w:t xml:space="preserve">.  Elutator has been optimized for MS </w:t>
      </w:r>
    </w:p>
    <w:p w14:paraId="47D49AE2" w14:textId="77777777" w:rsidR="005D686D" w:rsidRDefault="005D686D" w:rsidP="005D686D">
      <w:pPr>
        <w:pStyle w:val="BodyText"/>
        <w:keepNext/>
      </w:pPr>
      <w:r w:rsidRPr="00476931">
        <w:rPr>
          <w:noProof/>
        </w:rPr>
        <w:drawing>
          <wp:inline distT="0" distB="0" distL="0" distR="0" wp14:anchorId="333B8E26" wp14:editId="0EC92791">
            <wp:extent cx="5168900" cy="2141220"/>
            <wp:effectExtent l="0" t="0" r="0" b="0"/>
            <wp:docPr id="2082" name="Picture 2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168900" cy="2141220"/>
                    </a:xfrm>
                    <a:prstGeom prst="rect">
                      <a:avLst/>
                    </a:prstGeom>
                  </pic:spPr>
                </pic:pic>
              </a:graphicData>
            </a:graphic>
          </wp:inline>
        </w:drawing>
      </w:r>
    </w:p>
    <w:p w14:paraId="73C4B286" w14:textId="2013E308" w:rsidR="005D686D" w:rsidRPr="005D686D" w:rsidRDefault="005D686D" w:rsidP="005D686D">
      <w:pPr>
        <w:pStyle w:val="Caption"/>
      </w:pPr>
      <w:bookmarkStart w:id="220" w:name="_Toc110246938"/>
      <w:r>
        <w:t xml:space="preserve">Figure </w:t>
      </w:r>
      <w:fldSimple w:instr=" STYLEREF 1 \s ">
        <w:r w:rsidR="00AC2094">
          <w:rPr>
            <w:noProof/>
          </w:rPr>
          <w:t>4</w:t>
        </w:r>
      </w:fldSimple>
      <w:r w:rsidR="00AC2094">
        <w:noBreakHyphen/>
      </w:r>
      <w:fldSimple w:instr=" SEQ Figure \* ARABIC \s 1 ">
        <w:r w:rsidR="00AC2094">
          <w:rPr>
            <w:noProof/>
          </w:rPr>
          <w:t>3</w:t>
        </w:r>
      </w:fldSimple>
      <w:r>
        <w:t xml:space="preserve">  </w:t>
      </w:r>
      <w:r w:rsidRPr="005D686D">
        <w:t>Co-isolation and co-fragmentation of precursor ions in LC-MS/MS bottom-up proteomics experiments.</w:t>
      </w:r>
      <w:bookmarkEnd w:id="220"/>
      <w:r w:rsidRPr="005D686D">
        <w:fldChar w:fldCharType="begin"/>
      </w:r>
      <w:r w:rsidRPr="005D686D">
        <w:instrText xml:space="preserve"> </w:instrText>
      </w:r>
    </w:p>
    <w:p w14:paraId="5C01B43E" w14:textId="77777777" w:rsidR="005D686D" w:rsidRPr="005D686D" w:rsidRDefault="005D686D" w:rsidP="005D686D">
      <w:pPr>
        <w:pStyle w:val="Caption"/>
      </w:pPr>
    </w:p>
    <w:p w14:paraId="6B5F6904" w14:textId="24B9FCD9" w:rsidR="005D686D" w:rsidRPr="005D686D" w:rsidRDefault="005D686D" w:rsidP="005D686D">
      <w:pPr>
        <w:pStyle w:val="Caption"/>
        <w:rPr>
          <w:b w:val="0"/>
          <w:bCs/>
        </w:rPr>
      </w:pPr>
      <w:r w:rsidRPr="005D686D">
        <w:instrText xml:space="preserve"> </w:instrText>
      </w:r>
      <w:r w:rsidRPr="005D686D">
        <w:fldChar w:fldCharType="end"/>
      </w:r>
      <w:r w:rsidRPr="005D686D">
        <w:t xml:space="preserve">  </w:t>
      </w:r>
      <w:bookmarkStart w:id="221" w:name="_Toc107573949"/>
      <w:r>
        <w:rPr>
          <w:b w:val="0"/>
          <w:bCs/>
        </w:rPr>
        <w:fldChar w:fldCharType="begin"/>
      </w:r>
      <w:r>
        <w:rPr>
          <w:b w:val="0"/>
          <w:bCs/>
        </w:rPr>
        <w:instrText xml:space="preserve"> </w:instrText>
      </w:r>
    </w:p>
    <w:p w14:paraId="07F63378" w14:textId="77777777" w:rsidR="005D686D" w:rsidRPr="005D686D" w:rsidRDefault="005D686D" w:rsidP="005D686D">
      <w:pPr>
        <w:pStyle w:val="Caption"/>
        <w:rPr>
          <w:b w:val="0"/>
          <w:bCs/>
        </w:rPr>
      </w:pPr>
    </w:p>
    <w:p w14:paraId="486C8836" w14:textId="16F5A1C1" w:rsidR="005D686D" w:rsidRPr="005D686D" w:rsidRDefault="005D686D" w:rsidP="005D686D">
      <w:pPr>
        <w:pStyle w:val="Caption"/>
        <w:rPr>
          <w:b w:val="0"/>
          <w:bCs/>
        </w:rPr>
      </w:pPr>
      <w:r>
        <w:rPr>
          <w:b w:val="0"/>
          <w:bCs/>
        </w:rPr>
        <w:instrText xml:space="preserve"> </w:instrText>
      </w:r>
      <w:r>
        <w:rPr>
          <w:b w:val="0"/>
          <w:bCs/>
        </w:rPr>
        <w:fldChar w:fldCharType="end"/>
      </w:r>
      <w:r w:rsidRPr="005D686D">
        <w:rPr>
          <w:b w:val="0"/>
          <w:bCs/>
        </w:rPr>
        <w:t>Chimeric spectra are generated by the co-isolation of precursor ions with similar m/z that are selected for MS/MS fragmentation. (A) MS1 spectrum of co-eluting peptide ions, including three precursor ions within the same narrow m/z isolation window selected for MS/MS fragmentation. (B) MS/MS spectrum of fragment ions from the three co-eluted and co-isolated precursor ions.  These fragmentation ions belong to three distinct peptides.</w:t>
      </w:r>
      <w:bookmarkEnd w:id="221"/>
    </w:p>
    <w:p w14:paraId="4246A6CB" w14:textId="06B269B8" w:rsidR="005D686D" w:rsidRDefault="005D686D" w:rsidP="005D686D">
      <w:pPr>
        <w:pStyle w:val="Caption"/>
      </w:pPr>
    </w:p>
    <w:p w14:paraId="62A63B0E" w14:textId="3C774D13" w:rsidR="005D686D" w:rsidRDefault="005D686D" w:rsidP="005D686D">
      <w:pPr>
        <w:pStyle w:val="BodyText"/>
      </w:pPr>
      <w:r>
        <w:br w:type="page"/>
      </w:r>
    </w:p>
    <w:p w14:paraId="3DA65867" w14:textId="5BEB0832" w:rsidR="00611136" w:rsidRPr="00476931" w:rsidRDefault="00611136" w:rsidP="005D686D">
      <w:pPr>
        <w:ind w:firstLine="0"/>
        <w:rPr>
          <w:color w:val="000000" w:themeColor="text1"/>
        </w:rPr>
      </w:pPr>
      <w:r w:rsidRPr="00476931">
        <w:rPr>
          <w:color w:val="000000" w:themeColor="text1"/>
        </w:rPr>
        <w:t>Amanda search results using several features such as the difference between the measured and predicted retention time of an eluted peptide and recalibration of masses for all precursor ions and fragment ions.</w:t>
      </w:r>
    </w:p>
    <w:p w14:paraId="4DC8B567" w14:textId="1BC548BB" w:rsidR="005D686D" w:rsidRDefault="00611136" w:rsidP="005D686D">
      <w:pPr>
        <w:rPr>
          <w:rFonts w:ascii="Times New Roman" w:hAnsi="Times New Roman" w:cs="Times New Roman"/>
          <w:color w:val="000000" w:themeColor="text1"/>
        </w:rPr>
      </w:pPr>
      <w:r w:rsidRPr="00476931">
        <w:rPr>
          <w:rFonts w:ascii="Times New Roman" w:hAnsi="Times New Roman" w:cs="Times New Roman"/>
          <w:color w:val="000000" w:themeColor="text1"/>
        </w:rPr>
        <w:t xml:space="preserve">To assess the impact of chimeric spectra on the peptide identification rate in metaproteomic samples, the CharmeRT workflow was compared to workflows that only identify one peptide per MS/MS spectrum using MS data acquisition file collected for gnotobiotic mouse feces.  </w:t>
      </w:r>
      <w:r w:rsidR="00035E9B">
        <w:rPr>
          <w:rFonts w:ascii="Times New Roman" w:hAnsi="Times New Roman" w:cs="Times New Roman"/>
          <w:color w:val="000000" w:themeColor="text1"/>
        </w:rPr>
        <w:t>Details about these samples are further described in</w:t>
      </w:r>
      <w:r w:rsidR="00D063D6">
        <w:rPr>
          <w:rFonts w:ascii="Times New Roman" w:hAnsi="Times New Roman" w:cs="Times New Roman"/>
          <w:color w:val="000000" w:themeColor="text1"/>
        </w:rPr>
        <w:t xml:space="preserve"> detail in</w:t>
      </w:r>
      <w:r w:rsidR="00035E9B">
        <w:rPr>
          <w:rFonts w:ascii="Times New Roman" w:hAnsi="Times New Roman" w:cs="Times New Roman"/>
          <w:color w:val="000000" w:themeColor="text1"/>
        </w:rPr>
        <w:t xml:space="preserve"> Chapter 5</w:t>
      </w:r>
      <w:r w:rsidR="00964B21">
        <w:rPr>
          <w:rFonts w:ascii="Times New Roman" w:hAnsi="Times New Roman" w:cs="Times New Roman"/>
          <w:color w:val="000000" w:themeColor="text1"/>
        </w:rPr>
        <w:t xml:space="preserve">.4. </w:t>
      </w:r>
      <w:r w:rsidR="00D063D6">
        <w:rPr>
          <w:rFonts w:ascii="Times New Roman" w:hAnsi="Times New Roman" w:cs="Times New Roman"/>
          <w:color w:val="000000" w:themeColor="text1"/>
        </w:rPr>
        <w:t xml:space="preserve">In brief, </w:t>
      </w:r>
      <w:r w:rsidR="002C782C">
        <w:rPr>
          <w:rFonts w:ascii="Times New Roman" w:hAnsi="Times New Roman" w:cs="Times New Roman"/>
          <w:color w:val="000000" w:themeColor="text1"/>
        </w:rPr>
        <w:t xml:space="preserve">germ-free mice were colonized with a defined community of up to fourteen bacteria.  For this </w:t>
      </w:r>
      <w:r w:rsidR="007C52FA">
        <w:rPr>
          <w:rFonts w:ascii="Times New Roman" w:hAnsi="Times New Roman" w:cs="Times New Roman"/>
          <w:color w:val="000000" w:themeColor="text1"/>
        </w:rPr>
        <w:t xml:space="preserve">analysis, samples containing  the full community were compared to drop-out samples, where one of the fourteen members was omitted </w:t>
      </w:r>
      <w:r w:rsidR="00BD480D">
        <w:rPr>
          <w:rFonts w:ascii="Times New Roman" w:hAnsi="Times New Roman" w:cs="Times New Roman"/>
          <w:color w:val="000000" w:themeColor="text1"/>
        </w:rPr>
        <w:t xml:space="preserve">from the community. </w:t>
      </w:r>
      <w:r w:rsidRPr="00476931">
        <w:rPr>
          <w:rFonts w:ascii="Times New Roman" w:hAnsi="Times New Roman" w:cs="Times New Roman"/>
          <w:color w:val="000000" w:themeColor="text1"/>
        </w:rPr>
        <w:t>For a single fecal sample collected from a mouse fed a pea fiber supplemented diet, six database search workflows were compared (</w:t>
      </w:r>
      <w:r w:rsidRPr="00476931">
        <w:rPr>
          <w:rFonts w:ascii="Times New Roman" w:hAnsi="Times New Roman" w:cs="Times New Roman"/>
          <w:b/>
          <w:bCs/>
          <w:color w:val="000000" w:themeColor="text1"/>
        </w:rPr>
        <w:t>Table 4</w:t>
      </w:r>
      <w:r w:rsidR="009E08D4">
        <w:rPr>
          <w:rFonts w:ascii="Times New Roman" w:hAnsi="Times New Roman" w:cs="Times New Roman"/>
          <w:b/>
          <w:bCs/>
          <w:color w:val="000000" w:themeColor="text1"/>
        </w:rPr>
        <w:t>-</w:t>
      </w:r>
      <w:r w:rsidRPr="00476931">
        <w:rPr>
          <w:rFonts w:ascii="Times New Roman" w:hAnsi="Times New Roman" w:cs="Times New Roman"/>
          <w:b/>
          <w:bCs/>
          <w:color w:val="000000" w:themeColor="text1"/>
        </w:rPr>
        <w:t>1</w:t>
      </w:r>
      <w:r w:rsidRPr="00476931">
        <w:rPr>
          <w:rFonts w:ascii="Times New Roman" w:hAnsi="Times New Roman" w:cs="Times New Roman"/>
          <w:color w:val="000000" w:themeColor="text1"/>
        </w:rPr>
        <w:t xml:space="preserve">).  </w:t>
      </w:r>
    </w:p>
    <w:p w14:paraId="3CECB48A" w14:textId="28D195C8" w:rsidR="005D686D" w:rsidRPr="00476931" w:rsidRDefault="005D686D" w:rsidP="005D686D">
      <w:pPr>
        <w:rPr>
          <w:color w:val="000000" w:themeColor="text1"/>
        </w:rPr>
      </w:pPr>
      <w:r w:rsidRPr="00476931">
        <w:rPr>
          <w:color w:val="000000" w:themeColor="text1"/>
        </w:rPr>
        <w:t>The MM/IDP workflow has previously been used for peptide identification in fecal metaproteomes</w:t>
      </w:r>
      <w:sdt>
        <w:sdtPr>
          <w:rPr>
            <w:color w:val="000000"/>
            <w:vertAlign w:val="superscript"/>
          </w:rPr>
          <w:tag w:val="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"/>
          <w:id w:val="1472942369"/>
          <w:placeholder>
            <w:docPart w:val="E7880240E3A7D546A715085875AD966E"/>
          </w:placeholder>
        </w:sdtPr>
        <w:sdtEndPr/>
        <w:sdtContent>
          <w:r w:rsidR="003204EA" w:rsidRPr="003204EA">
            <w:rPr>
              <w:rFonts w:eastAsia="Times New Roman"/>
              <w:color w:val="000000"/>
              <w:vertAlign w:val="superscript"/>
            </w:rPr>
            <w:t>49,149,150</w:t>
          </w:r>
        </w:sdtContent>
      </w:sdt>
      <w:r w:rsidRPr="00476931">
        <w:rPr>
          <w:color w:val="000000" w:themeColor="text1"/>
        </w:rPr>
        <w:t xml:space="preserve">.  The AP workflow utilizes the MS Amanda search engine, which </w:t>
      </w:r>
      <w:proofErr w:type="gramStart"/>
      <w:r w:rsidRPr="00476931">
        <w:rPr>
          <w:color w:val="000000" w:themeColor="text1"/>
        </w:rPr>
        <w:t>is capable of detecting</w:t>
      </w:r>
      <w:proofErr w:type="gramEnd"/>
      <w:r w:rsidRPr="00476931">
        <w:rPr>
          <w:color w:val="000000" w:themeColor="text1"/>
        </w:rPr>
        <w:t xml:space="preserve"> multiple PSMs per MS/MS spectrum and Percolator, a commonly used PSM validation tool.   cRT0, cRT1, cRT2, and cRT3 are different executions of the CharmeRT workflow, using Elutator for PSM validation.  Each of the CharmeRT workflows differs by the number of additional searches implemented.</w:t>
      </w:r>
    </w:p>
    <w:p w14:paraId="5FD6E5E7" w14:textId="32A47136" w:rsidR="005D686D" w:rsidRPr="00476931" w:rsidRDefault="005D686D" w:rsidP="005D686D">
      <w:pPr>
        <w:rPr>
          <w:color w:val="000000" w:themeColor="text1"/>
        </w:rPr>
      </w:pPr>
      <w:r w:rsidRPr="00476931">
        <w:rPr>
          <w:color w:val="000000" w:themeColor="text1"/>
        </w:rPr>
        <w:t>Each of the six workflows performed similarly in terms of the distribution of peptide sequence lengths for peptides containing more than 17 amino acids. However, there were differences in identification rates between search pipelines for smaller peptides (&lt;17 amino acids), with the greatest differences between workflow for identification peptide of peptides with fewer than 10 amino acids.  Among the CharmeRT workflows, additional searches to identify peptides resulting from chimeric spectra were particularly beneficial for peptides with lengths of 10-15 amino acids. (</w:t>
      </w:r>
      <w:r w:rsidRPr="00476931">
        <w:rPr>
          <w:b/>
          <w:bCs/>
          <w:color w:val="000000" w:themeColor="text1"/>
        </w:rPr>
        <w:t>Figure 4</w:t>
      </w:r>
      <w:r w:rsidR="009E08D4">
        <w:rPr>
          <w:b/>
          <w:bCs/>
          <w:color w:val="000000" w:themeColor="text1"/>
        </w:rPr>
        <w:t>-</w:t>
      </w:r>
      <w:r w:rsidRPr="00476931">
        <w:rPr>
          <w:b/>
          <w:bCs/>
          <w:color w:val="000000" w:themeColor="text1"/>
        </w:rPr>
        <w:t>4</w:t>
      </w:r>
      <w:r w:rsidRPr="00476931">
        <w:rPr>
          <w:color w:val="000000" w:themeColor="text1"/>
        </w:rPr>
        <w:t>)</w:t>
      </w:r>
    </w:p>
    <w:p w14:paraId="50E44500" w14:textId="4571C793" w:rsidR="005D686D" w:rsidRDefault="005D686D" w:rsidP="005D686D">
      <w:pPr>
        <w:rPr>
          <w:rFonts w:ascii="Times New Roman" w:hAnsi="Times New Roman" w:cs="Times New Roman"/>
          <w:color w:val="000000" w:themeColor="text1"/>
        </w:rPr>
      </w:pPr>
      <w:r w:rsidRPr="00476931">
        <w:rPr>
          <w:color w:val="000000" w:themeColor="text1"/>
        </w:rPr>
        <w:t xml:space="preserve">Among the identified peptides, the largest gains in identification rates were based on the implementation of the MS Amanda 2.0 search engine and PSM validation </w:t>
      </w:r>
      <w:r>
        <w:rPr>
          <w:rFonts w:ascii="Times New Roman" w:hAnsi="Times New Roman" w:cs="Times New Roman"/>
          <w:color w:val="000000" w:themeColor="text1"/>
        </w:rPr>
        <w:br w:type="page"/>
      </w:r>
    </w:p>
    <w:p w14:paraId="62A8430D" w14:textId="626BFC9E" w:rsidR="00670142" w:rsidRPr="00774A58" w:rsidRDefault="00670142" w:rsidP="001666D1">
      <w:pPr>
        <w:ind w:firstLine="0"/>
        <w:rPr>
          <w:b/>
          <w:bCs/>
        </w:rPr>
      </w:pPr>
      <w:bookmarkStart w:id="222" w:name="_Toc107517406"/>
      <w:r w:rsidRPr="00774A58">
        <w:rPr>
          <w:b/>
          <w:bCs/>
        </w:rPr>
        <w:t>Table 4</w:t>
      </w:r>
      <w:r w:rsidR="00F34B06">
        <w:rPr>
          <w:b/>
          <w:bCs/>
        </w:rPr>
        <w:t>-</w:t>
      </w:r>
      <w:r w:rsidRPr="00774A58">
        <w:rPr>
          <w:b/>
          <w:bCs/>
        </w:rPr>
        <w:fldChar w:fldCharType="begin"/>
      </w:r>
      <w:r w:rsidRPr="00774A58">
        <w:rPr>
          <w:b/>
          <w:bCs/>
        </w:rPr>
        <w:instrText xml:space="preserve"> SEQ Table \* ARABIC \s 1 </w:instrText>
      </w:r>
      <w:r w:rsidRPr="00774A58">
        <w:rPr>
          <w:b/>
          <w:bCs/>
        </w:rPr>
        <w:fldChar w:fldCharType="separate"/>
      </w:r>
      <w:r w:rsidRPr="00774A58">
        <w:rPr>
          <w:b/>
          <w:bCs/>
        </w:rPr>
        <w:t>1</w:t>
      </w:r>
      <w:r w:rsidRPr="00774A58">
        <w:rPr>
          <w:b/>
          <w:bCs/>
        </w:rPr>
        <w:fldChar w:fldCharType="end"/>
      </w:r>
      <w:r w:rsidRPr="00774A58">
        <w:rPr>
          <w:b/>
          <w:bCs/>
        </w:rPr>
        <w:t xml:space="preserve">  Comparison of </w:t>
      </w:r>
      <w:r w:rsidR="009E08D4">
        <w:rPr>
          <w:b/>
          <w:bCs/>
        </w:rPr>
        <w:t>d</w:t>
      </w:r>
      <w:r w:rsidRPr="00774A58">
        <w:rPr>
          <w:b/>
          <w:bCs/>
        </w:rPr>
        <w:t xml:space="preserve">atabase </w:t>
      </w:r>
      <w:r w:rsidR="009E08D4">
        <w:rPr>
          <w:b/>
          <w:bCs/>
        </w:rPr>
        <w:t>w</w:t>
      </w:r>
      <w:r w:rsidR="005D686D" w:rsidRPr="00774A58">
        <w:rPr>
          <w:b/>
          <w:bCs/>
        </w:rPr>
        <w:t>orkflows</w:t>
      </w:r>
      <w:bookmarkEnd w:id="222"/>
    </w:p>
    <w:p w14:paraId="6C214594" w14:textId="77777777" w:rsidR="00670142" w:rsidRPr="00476931" w:rsidRDefault="00670142" w:rsidP="00670142">
      <w:pPr>
        <w:jc w:val="center"/>
        <w:rPr>
          <w:color w:val="000000" w:themeColor="text1"/>
        </w:rPr>
      </w:pPr>
    </w:p>
    <w:tbl>
      <w:tblPr>
        <w:tblStyle w:val="TableGrid"/>
        <w:tblpPr w:leftFromText="180" w:rightFromText="180" w:vertAnchor="text" w:horzAnchor="margin" w:tblpY="-10"/>
        <w:tblW w:w="0" w:type="auto"/>
        <w:tblLook w:val="04A0" w:firstRow="1" w:lastRow="0" w:firstColumn="1" w:lastColumn="0" w:noHBand="0" w:noVBand="1"/>
      </w:tblPr>
      <w:tblGrid>
        <w:gridCol w:w="2157"/>
        <w:gridCol w:w="2157"/>
        <w:gridCol w:w="2158"/>
        <w:gridCol w:w="2158"/>
      </w:tblGrid>
      <w:tr w:rsidR="00670142" w:rsidRPr="00476931" w14:paraId="68CF5080" w14:textId="77777777" w:rsidTr="00BC6775">
        <w:tc>
          <w:tcPr>
            <w:tcW w:w="2157" w:type="dxa"/>
          </w:tcPr>
          <w:p w14:paraId="53772DBC" w14:textId="77777777" w:rsidR="00670142" w:rsidRPr="00476931" w:rsidRDefault="00670142" w:rsidP="00BC6775">
            <w:pPr>
              <w:spacing w:line="360" w:lineRule="auto"/>
              <w:ind w:left="158"/>
              <w:jc w:val="center"/>
              <w:rPr>
                <w:rFonts w:ascii="Times New Roman" w:hAnsi="Times New Roman" w:cs="Times New Roman"/>
                <w:b/>
                <w:bCs/>
                <w:color w:val="000000" w:themeColor="text1"/>
                <w:sz w:val="24"/>
                <w:szCs w:val="24"/>
              </w:rPr>
            </w:pPr>
            <w:r w:rsidRPr="00476931">
              <w:rPr>
                <w:rFonts w:ascii="Times New Roman" w:hAnsi="Times New Roman" w:cs="Times New Roman"/>
                <w:b/>
                <w:bCs/>
                <w:color w:val="000000" w:themeColor="text1"/>
                <w:sz w:val="24"/>
                <w:szCs w:val="24"/>
              </w:rPr>
              <w:t>Workflow</w:t>
            </w:r>
          </w:p>
        </w:tc>
        <w:tc>
          <w:tcPr>
            <w:tcW w:w="2157" w:type="dxa"/>
          </w:tcPr>
          <w:p w14:paraId="1E225F96" w14:textId="77777777" w:rsidR="00670142" w:rsidRPr="00476931" w:rsidRDefault="00670142" w:rsidP="00BC6775">
            <w:pPr>
              <w:spacing w:line="360" w:lineRule="auto"/>
              <w:ind w:left="158"/>
              <w:jc w:val="center"/>
              <w:rPr>
                <w:rFonts w:ascii="Times New Roman" w:hAnsi="Times New Roman" w:cs="Times New Roman"/>
                <w:b/>
                <w:bCs/>
                <w:color w:val="000000" w:themeColor="text1"/>
                <w:sz w:val="24"/>
                <w:szCs w:val="24"/>
              </w:rPr>
            </w:pPr>
            <w:r w:rsidRPr="00476931">
              <w:rPr>
                <w:rFonts w:ascii="Times New Roman" w:hAnsi="Times New Roman" w:cs="Times New Roman"/>
                <w:b/>
                <w:bCs/>
                <w:color w:val="000000" w:themeColor="text1"/>
                <w:sz w:val="24"/>
                <w:szCs w:val="24"/>
              </w:rPr>
              <w:t>Database Search Algorithm</w:t>
            </w:r>
          </w:p>
        </w:tc>
        <w:tc>
          <w:tcPr>
            <w:tcW w:w="2158" w:type="dxa"/>
          </w:tcPr>
          <w:p w14:paraId="27B9D29D" w14:textId="77777777" w:rsidR="00670142" w:rsidRPr="00476931" w:rsidRDefault="00670142" w:rsidP="00BC6775">
            <w:pPr>
              <w:spacing w:line="360" w:lineRule="auto"/>
              <w:ind w:left="158"/>
              <w:jc w:val="center"/>
              <w:rPr>
                <w:rFonts w:ascii="Times New Roman" w:hAnsi="Times New Roman" w:cs="Times New Roman"/>
                <w:b/>
                <w:bCs/>
                <w:color w:val="000000" w:themeColor="text1"/>
                <w:sz w:val="24"/>
                <w:szCs w:val="24"/>
              </w:rPr>
            </w:pPr>
            <w:r w:rsidRPr="00476931">
              <w:rPr>
                <w:rFonts w:ascii="Times New Roman" w:hAnsi="Times New Roman" w:cs="Times New Roman"/>
                <w:b/>
                <w:bCs/>
                <w:color w:val="000000" w:themeColor="text1"/>
                <w:sz w:val="24"/>
                <w:szCs w:val="24"/>
              </w:rPr>
              <w:t>PSM Validation Tool</w:t>
            </w:r>
          </w:p>
        </w:tc>
        <w:tc>
          <w:tcPr>
            <w:tcW w:w="2158" w:type="dxa"/>
          </w:tcPr>
          <w:p w14:paraId="1ED191B3" w14:textId="77777777" w:rsidR="00670142" w:rsidRPr="00476931" w:rsidRDefault="00670142" w:rsidP="00BC6775">
            <w:pPr>
              <w:spacing w:line="360" w:lineRule="auto"/>
              <w:ind w:left="158"/>
              <w:jc w:val="center"/>
              <w:rPr>
                <w:rFonts w:ascii="Times New Roman" w:hAnsi="Times New Roman" w:cs="Times New Roman"/>
                <w:b/>
                <w:bCs/>
                <w:color w:val="000000" w:themeColor="text1"/>
                <w:sz w:val="24"/>
                <w:szCs w:val="24"/>
              </w:rPr>
            </w:pPr>
            <w:r w:rsidRPr="00476931">
              <w:rPr>
                <w:rFonts w:ascii="Times New Roman" w:hAnsi="Times New Roman" w:cs="Times New Roman"/>
                <w:b/>
                <w:bCs/>
                <w:color w:val="000000" w:themeColor="text1"/>
                <w:sz w:val="24"/>
                <w:szCs w:val="24"/>
              </w:rPr>
              <w:t xml:space="preserve"># </w:t>
            </w:r>
            <w:proofErr w:type="gramStart"/>
            <w:r w:rsidRPr="00476931">
              <w:rPr>
                <w:rFonts w:ascii="Times New Roman" w:hAnsi="Times New Roman" w:cs="Times New Roman"/>
                <w:b/>
                <w:bCs/>
                <w:color w:val="000000" w:themeColor="text1"/>
                <w:sz w:val="24"/>
                <w:szCs w:val="24"/>
              </w:rPr>
              <w:t>of</w:t>
            </w:r>
            <w:proofErr w:type="gramEnd"/>
            <w:r w:rsidRPr="00476931">
              <w:rPr>
                <w:rFonts w:ascii="Times New Roman" w:hAnsi="Times New Roman" w:cs="Times New Roman"/>
                <w:b/>
                <w:bCs/>
                <w:color w:val="000000" w:themeColor="text1"/>
                <w:sz w:val="24"/>
                <w:szCs w:val="24"/>
              </w:rPr>
              <w:t xml:space="preserve"> Additional Searches</w:t>
            </w:r>
          </w:p>
        </w:tc>
      </w:tr>
      <w:tr w:rsidR="00670142" w:rsidRPr="00476931" w14:paraId="44468439" w14:textId="77777777" w:rsidTr="00BC6775">
        <w:tc>
          <w:tcPr>
            <w:tcW w:w="2157" w:type="dxa"/>
          </w:tcPr>
          <w:p w14:paraId="74501B7C" w14:textId="77777777" w:rsidR="00670142" w:rsidRPr="00476931" w:rsidRDefault="00670142" w:rsidP="006F0C15">
            <w:pPr>
              <w:spacing w:line="360" w:lineRule="auto"/>
              <w:ind w:left="15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MM/IDP</w:t>
            </w:r>
          </w:p>
        </w:tc>
        <w:tc>
          <w:tcPr>
            <w:tcW w:w="2157" w:type="dxa"/>
          </w:tcPr>
          <w:p w14:paraId="403B4DD9" w14:textId="77777777" w:rsidR="00670142" w:rsidRPr="00476931" w:rsidRDefault="00670142" w:rsidP="006F0C15">
            <w:pPr>
              <w:spacing w:line="360" w:lineRule="auto"/>
              <w:ind w:left="15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MyriMatch</w:t>
            </w:r>
          </w:p>
        </w:tc>
        <w:tc>
          <w:tcPr>
            <w:tcW w:w="2158" w:type="dxa"/>
          </w:tcPr>
          <w:p w14:paraId="3E264397" w14:textId="77777777" w:rsidR="00670142" w:rsidRPr="00476931" w:rsidRDefault="00670142" w:rsidP="006F0C15">
            <w:pPr>
              <w:spacing w:line="360" w:lineRule="auto"/>
              <w:ind w:left="15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IDPicker</w:t>
            </w:r>
          </w:p>
        </w:tc>
        <w:tc>
          <w:tcPr>
            <w:tcW w:w="2158" w:type="dxa"/>
          </w:tcPr>
          <w:p w14:paraId="5CFBD5D0" w14:textId="77777777" w:rsidR="00670142" w:rsidRPr="00476931" w:rsidRDefault="00670142" w:rsidP="006F0C15">
            <w:pPr>
              <w:spacing w:line="360" w:lineRule="auto"/>
              <w:ind w:left="15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0</w:t>
            </w:r>
          </w:p>
        </w:tc>
      </w:tr>
      <w:tr w:rsidR="00670142" w:rsidRPr="00476931" w14:paraId="15BA6B20" w14:textId="77777777" w:rsidTr="00BC6775">
        <w:tc>
          <w:tcPr>
            <w:tcW w:w="2157" w:type="dxa"/>
          </w:tcPr>
          <w:p w14:paraId="604B5B9E" w14:textId="77777777" w:rsidR="00670142" w:rsidRPr="00476931" w:rsidRDefault="00670142" w:rsidP="006F0C15">
            <w:pPr>
              <w:spacing w:line="360" w:lineRule="auto"/>
              <w:ind w:left="15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AP</w:t>
            </w:r>
          </w:p>
        </w:tc>
        <w:tc>
          <w:tcPr>
            <w:tcW w:w="2157" w:type="dxa"/>
          </w:tcPr>
          <w:p w14:paraId="46069F3B" w14:textId="77777777" w:rsidR="00670142" w:rsidRPr="00476931" w:rsidRDefault="00670142" w:rsidP="006F0C15">
            <w:pPr>
              <w:spacing w:line="360" w:lineRule="auto"/>
              <w:ind w:left="15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MS Amanda 2.0</w:t>
            </w:r>
          </w:p>
        </w:tc>
        <w:tc>
          <w:tcPr>
            <w:tcW w:w="2158" w:type="dxa"/>
          </w:tcPr>
          <w:p w14:paraId="07176451" w14:textId="77777777" w:rsidR="00670142" w:rsidRPr="00476931" w:rsidRDefault="00670142" w:rsidP="006F0C15">
            <w:pPr>
              <w:spacing w:line="360" w:lineRule="auto"/>
              <w:ind w:left="15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Percolator</w:t>
            </w:r>
          </w:p>
        </w:tc>
        <w:tc>
          <w:tcPr>
            <w:tcW w:w="2158" w:type="dxa"/>
          </w:tcPr>
          <w:p w14:paraId="27702EA6" w14:textId="77777777" w:rsidR="00670142" w:rsidRPr="00476931" w:rsidRDefault="00670142" w:rsidP="006F0C15">
            <w:pPr>
              <w:spacing w:line="360" w:lineRule="auto"/>
              <w:ind w:left="15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0</w:t>
            </w:r>
          </w:p>
        </w:tc>
      </w:tr>
      <w:tr w:rsidR="00670142" w:rsidRPr="00476931" w14:paraId="10B37088" w14:textId="77777777" w:rsidTr="00BC6775">
        <w:tc>
          <w:tcPr>
            <w:tcW w:w="2157" w:type="dxa"/>
          </w:tcPr>
          <w:p w14:paraId="2BAC75C8" w14:textId="77777777" w:rsidR="00670142" w:rsidRPr="00476931" w:rsidRDefault="00670142" w:rsidP="006F0C15">
            <w:pPr>
              <w:spacing w:line="360" w:lineRule="auto"/>
              <w:ind w:left="15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cRT0</w:t>
            </w:r>
          </w:p>
        </w:tc>
        <w:tc>
          <w:tcPr>
            <w:tcW w:w="2157" w:type="dxa"/>
          </w:tcPr>
          <w:p w14:paraId="122F3441" w14:textId="77777777" w:rsidR="00670142" w:rsidRPr="00476931" w:rsidRDefault="00670142" w:rsidP="006F0C15">
            <w:pPr>
              <w:spacing w:line="360" w:lineRule="auto"/>
              <w:ind w:left="15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MS Amanda 2.0</w:t>
            </w:r>
          </w:p>
        </w:tc>
        <w:tc>
          <w:tcPr>
            <w:tcW w:w="2158" w:type="dxa"/>
          </w:tcPr>
          <w:p w14:paraId="37F456BD" w14:textId="77777777" w:rsidR="00670142" w:rsidRPr="00476931" w:rsidRDefault="00670142" w:rsidP="006F0C15">
            <w:pPr>
              <w:spacing w:line="360" w:lineRule="auto"/>
              <w:ind w:left="15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Elutator</w:t>
            </w:r>
          </w:p>
        </w:tc>
        <w:tc>
          <w:tcPr>
            <w:tcW w:w="2158" w:type="dxa"/>
          </w:tcPr>
          <w:p w14:paraId="33B0622F" w14:textId="77777777" w:rsidR="00670142" w:rsidRPr="00476931" w:rsidRDefault="00670142" w:rsidP="006F0C15">
            <w:pPr>
              <w:spacing w:line="360" w:lineRule="auto"/>
              <w:ind w:left="15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0</w:t>
            </w:r>
          </w:p>
        </w:tc>
      </w:tr>
      <w:tr w:rsidR="00670142" w:rsidRPr="00476931" w14:paraId="05161DAE" w14:textId="77777777" w:rsidTr="00BC6775">
        <w:tc>
          <w:tcPr>
            <w:tcW w:w="2157" w:type="dxa"/>
          </w:tcPr>
          <w:p w14:paraId="4EF0C182" w14:textId="77777777" w:rsidR="00670142" w:rsidRPr="00476931" w:rsidRDefault="00670142" w:rsidP="006F0C15">
            <w:pPr>
              <w:spacing w:line="360" w:lineRule="auto"/>
              <w:ind w:left="15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cRT1</w:t>
            </w:r>
          </w:p>
        </w:tc>
        <w:tc>
          <w:tcPr>
            <w:tcW w:w="2157" w:type="dxa"/>
          </w:tcPr>
          <w:p w14:paraId="053C8999" w14:textId="77777777" w:rsidR="00670142" w:rsidRPr="00476931" w:rsidRDefault="00670142" w:rsidP="006F0C15">
            <w:pPr>
              <w:spacing w:line="360" w:lineRule="auto"/>
              <w:ind w:left="15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MS Amanda 2.0</w:t>
            </w:r>
          </w:p>
        </w:tc>
        <w:tc>
          <w:tcPr>
            <w:tcW w:w="2158" w:type="dxa"/>
          </w:tcPr>
          <w:p w14:paraId="7E775F3C" w14:textId="77777777" w:rsidR="00670142" w:rsidRPr="00476931" w:rsidRDefault="00670142" w:rsidP="006F0C15">
            <w:pPr>
              <w:spacing w:line="360" w:lineRule="auto"/>
              <w:ind w:left="15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Elutator</w:t>
            </w:r>
          </w:p>
        </w:tc>
        <w:tc>
          <w:tcPr>
            <w:tcW w:w="2158" w:type="dxa"/>
          </w:tcPr>
          <w:p w14:paraId="448D8AE4" w14:textId="77777777" w:rsidR="00670142" w:rsidRPr="00476931" w:rsidRDefault="00670142" w:rsidP="006F0C15">
            <w:pPr>
              <w:spacing w:line="360" w:lineRule="auto"/>
              <w:ind w:left="15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1</w:t>
            </w:r>
          </w:p>
        </w:tc>
      </w:tr>
      <w:tr w:rsidR="00670142" w:rsidRPr="00476931" w14:paraId="1A8DF88B" w14:textId="77777777" w:rsidTr="00BC6775">
        <w:tc>
          <w:tcPr>
            <w:tcW w:w="2157" w:type="dxa"/>
          </w:tcPr>
          <w:p w14:paraId="3C7D4F50" w14:textId="77777777" w:rsidR="00670142" w:rsidRPr="00476931" w:rsidRDefault="00670142" w:rsidP="006F0C15">
            <w:pPr>
              <w:spacing w:line="360" w:lineRule="auto"/>
              <w:ind w:left="15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cRT2</w:t>
            </w:r>
          </w:p>
        </w:tc>
        <w:tc>
          <w:tcPr>
            <w:tcW w:w="2157" w:type="dxa"/>
          </w:tcPr>
          <w:p w14:paraId="2E588542" w14:textId="77777777" w:rsidR="00670142" w:rsidRPr="00476931" w:rsidRDefault="00670142" w:rsidP="006F0C15">
            <w:pPr>
              <w:spacing w:line="360" w:lineRule="auto"/>
              <w:ind w:left="15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MS Amanda 2.0</w:t>
            </w:r>
          </w:p>
        </w:tc>
        <w:tc>
          <w:tcPr>
            <w:tcW w:w="2158" w:type="dxa"/>
          </w:tcPr>
          <w:p w14:paraId="14FCFC9C" w14:textId="77777777" w:rsidR="00670142" w:rsidRPr="00476931" w:rsidRDefault="00670142" w:rsidP="006F0C15">
            <w:pPr>
              <w:spacing w:line="360" w:lineRule="auto"/>
              <w:ind w:left="15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Elutator</w:t>
            </w:r>
          </w:p>
        </w:tc>
        <w:tc>
          <w:tcPr>
            <w:tcW w:w="2158" w:type="dxa"/>
          </w:tcPr>
          <w:p w14:paraId="4873B906" w14:textId="77777777" w:rsidR="00670142" w:rsidRPr="00476931" w:rsidRDefault="00670142" w:rsidP="006F0C15">
            <w:pPr>
              <w:spacing w:line="360" w:lineRule="auto"/>
              <w:ind w:left="15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2</w:t>
            </w:r>
          </w:p>
        </w:tc>
      </w:tr>
      <w:tr w:rsidR="00670142" w:rsidRPr="00476931" w14:paraId="4BE3BF3C" w14:textId="77777777" w:rsidTr="00BC6775">
        <w:tc>
          <w:tcPr>
            <w:tcW w:w="2157" w:type="dxa"/>
          </w:tcPr>
          <w:p w14:paraId="5384AC69" w14:textId="77777777" w:rsidR="00670142" w:rsidRPr="00476931" w:rsidRDefault="00670142" w:rsidP="006F0C15">
            <w:pPr>
              <w:spacing w:line="360" w:lineRule="auto"/>
              <w:ind w:left="15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cRT3</w:t>
            </w:r>
          </w:p>
        </w:tc>
        <w:tc>
          <w:tcPr>
            <w:tcW w:w="2157" w:type="dxa"/>
          </w:tcPr>
          <w:p w14:paraId="23D70FAA" w14:textId="77777777" w:rsidR="00670142" w:rsidRPr="00476931" w:rsidRDefault="00670142" w:rsidP="006F0C15">
            <w:pPr>
              <w:spacing w:line="360" w:lineRule="auto"/>
              <w:ind w:left="15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MS Amanda 2.0</w:t>
            </w:r>
          </w:p>
        </w:tc>
        <w:tc>
          <w:tcPr>
            <w:tcW w:w="2158" w:type="dxa"/>
          </w:tcPr>
          <w:p w14:paraId="0C80A63B" w14:textId="77777777" w:rsidR="00670142" w:rsidRPr="00476931" w:rsidRDefault="00670142" w:rsidP="006F0C15">
            <w:pPr>
              <w:spacing w:line="360" w:lineRule="auto"/>
              <w:ind w:left="15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Elutator</w:t>
            </w:r>
          </w:p>
        </w:tc>
        <w:tc>
          <w:tcPr>
            <w:tcW w:w="2158" w:type="dxa"/>
          </w:tcPr>
          <w:p w14:paraId="3E75E520" w14:textId="77777777" w:rsidR="00670142" w:rsidRPr="00476931" w:rsidRDefault="00670142" w:rsidP="006F0C15">
            <w:pPr>
              <w:spacing w:line="360" w:lineRule="auto"/>
              <w:ind w:left="158"/>
              <w:jc w:val="center"/>
              <w:rPr>
                <w:rFonts w:ascii="Times New Roman" w:hAnsi="Times New Roman" w:cs="Times New Roman"/>
                <w:color w:val="000000" w:themeColor="text1"/>
                <w:sz w:val="24"/>
                <w:szCs w:val="24"/>
              </w:rPr>
            </w:pPr>
            <w:r w:rsidRPr="00476931">
              <w:rPr>
                <w:rFonts w:ascii="Times New Roman" w:hAnsi="Times New Roman" w:cs="Times New Roman"/>
                <w:color w:val="000000" w:themeColor="text1"/>
                <w:sz w:val="24"/>
                <w:szCs w:val="24"/>
              </w:rPr>
              <w:t>3</w:t>
            </w:r>
          </w:p>
        </w:tc>
      </w:tr>
    </w:tbl>
    <w:p w14:paraId="7B2C4CFD" w14:textId="77777777" w:rsidR="00670142" w:rsidRPr="00476931" w:rsidRDefault="00670142" w:rsidP="00670142">
      <w:pPr>
        <w:rPr>
          <w:rFonts w:ascii="Times New Roman" w:hAnsi="Times New Roman" w:cs="Times New Roman"/>
          <w:color w:val="000000" w:themeColor="text1"/>
        </w:rPr>
      </w:pPr>
    </w:p>
    <w:p w14:paraId="6D929133" w14:textId="77777777" w:rsidR="00670142" w:rsidRPr="00476931" w:rsidRDefault="00670142" w:rsidP="00670142">
      <w:pPr>
        <w:spacing w:before="1"/>
        <w:rPr>
          <w:rFonts w:ascii="Times New Roman" w:hAnsi="Times New Roman" w:cs="Times New Roman"/>
          <w:color w:val="000000" w:themeColor="text1"/>
        </w:rPr>
      </w:pPr>
      <w:r w:rsidRPr="00476931">
        <w:rPr>
          <w:rFonts w:ascii="Times New Roman" w:hAnsi="Times New Roman" w:cs="Times New Roman"/>
          <w:color w:val="000000" w:themeColor="text1"/>
        </w:rPr>
        <w:br w:type="page"/>
      </w:r>
    </w:p>
    <w:p w14:paraId="68BFABC2" w14:textId="77777777" w:rsidR="005D686D" w:rsidRDefault="005D686D" w:rsidP="005D686D">
      <w:pPr>
        <w:pStyle w:val="BodyText"/>
        <w:keepNext/>
      </w:pPr>
      <w:r w:rsidRPr="00476931">
        <w:rPr>
          <w:noProof/>
        </w:rPr>
        <w:drawing>
          <wp:inline distT="0" distB="0" distL="0" distR="0" wp14:anchorId="6F91AB2E" wp14:editId="006AB995">
            <wp:extent cx="5486400" cy="3547110"/>
            <wp:effectExtent l="0" t="0" r="0" b="0"/>
            <wp:docPr id="2084" name="Picture 2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486400" cy="3547110"/>
                    </a:xfrm>
                    <a:prstGeom prst="rect">
                      <a:avLst/>
                    </a:prstGeom>
                  </pic:spPr>
                </pic:pic>
              </a:graphicData>
            </a:graphic>
          </wp:inline>
        </w:drawing>
      </w:r>
    </w:p>
    <w:p w14:paraId="1C2D1EF3" w14:textId="182B3BC2" w:rsidR="005D686D" w:rsidRDefault="005D686D" w:rsidP="005D686D">
      <w:pPr>
        <w:pStyle w:val="Caption"/>
      </w:pPr>
      <w:bookmarkStart w:id="223" w:name="_Toc110246939"/>
      <w:r>
        <w:t xml:space="preserve">Figure </w:t>
      </w:r>
      <w:fldSimple w:instr=" STYLEREF 1 \s ">
        <w:r w:rsidR="00AC2094">
          <w:rPr>
            <w:noProof/>
          </w:rPr>
          <w:t>4</w:t>
        </w:r>
      </w:fldSimple>
      <w:r w:rsidR="00AC2094">
        <w:noBreakHyphen/>
      </w:r>
      <w:fldSimple w:instr=" SEQ Figure \* ARABIC \s 1 ">
        <w:r w:rsidR="00AC2094">
          <w:rPr>
            <w:noProof/>
          </w:rPr>
          <w:t>4</w:t>
        </w:r>
      </w:fldSimple>
      <w:r>
        <w:t xml:space="preserve">  </w:t>
      </w:r>
      <w:r w:rsidRPr="005D686D">
        <w:t>Distribution of peptide sequence lengths (number of amino acids) of peptides identified in each database search workflow.</w:t>
      </w:r>
      <w:bookmarkEnd w:id="223"/>
      <w:r>
        <w:t xml:space="preserve"> </w:t>
      </w:r>
    </w:p>
    <w:p w14:paraId="773CF75E" w14:textId="61ADEF3C" w:rsidR="005D686D" w:rsidRDefault="005D686D" w:rsidP="005D686D">
      <w:pPr>
        <w:pStyle w:val="BodyText"/>
      </w:pPr>
      <w:r>
        <w:br w:type="page"/>
      </w:r>
    </w:p>
    <w:p w14:paraId="1A1AB8CE" w14:textId="740EFDDA" w:rsidR="00BD480D" w:rsidRDefault="00BD480D" w:rsidP="00BD480D">
      <w:pPr>
        <w:ind w:firstLine="0"/>
        <w:rPr>
          <w:color w:val="000000" w:themeColor="text1"/>
        </w:rPr>
      </w:pPr>
      <w:r w:rsidRPr="00476931">
        <w:rPr>
          <w:color w:val="000000" w:themeColor="text1"/>
        </w:rPr>
        <w:t>using Elutator to leverage precursor ion mass recalibration and retention time prediction.  Adding one additional search in the CharmeRT workflow (cRT1) increased peptide identifications to 16,879 from 16,538 peptides identified in the initial search (cRT0).</w:t>
      </w:r>
    </w:p>
    <w:p w14:paraId="3F40C802" w14:textId="2B54AF4B" w:rsidR="005D686D" w:rsidRDefault="00670142" w:rsidP="00670142">
      <w:r w:rsidRPr="00476931">
        <w:t>Transitioning from a traditional database search pipeline (MM/IDP) to a pipeline tailored for the identification of chimeric spectra from high-resolution MS/MS data (cRT1) increased peptide identifications by 23%</w:t>
      </w:r>
      <w:r w:rsidRPr="00476931">
        <w:rPr>
          <w:b/>
          <w:bCs/>
        </w:rPr>
        <w:t xml:space="preserve"> (Figure 4</w:t>
      </w:r>
      <w:r w:rsidR="009E08D4">
        <w:rPr>
          <w:b/>
          <w:bCs/>
        </w:rPr>
        <w:t>-</w:t>
      </w:r>
      <w:r w:rsidRPr="00476931">
        <w:rPr>
          <w:b/>
          <w:bCs/>
        </w:rPr>
        <w:t>5A).</w:t>
      </w:r>
      <w:r w:rsidRPr="00476931">
        <w:t xml:space="preserve">  At the protein level, the observed identification trends between search workflows were </w:t>
      </w:r>
      <w:proofErr w:type="gramStart"/>
      <w:r w:rsidRPr="00476931">
        <w:t>similar to</w:t>
      </w:r>
      <w:proofErr w:type="gramEnd"/>
      <w:r w:rsidRPr="00476931">
        <w:t xml:space="preserve"> the performance trends at the peptide level </w:t>
      </w:r>
      <w:r w:rsidRPr="00476931">
        <w:rPr>
          <w:b/>
          <w:bCs/>
        </w:rPr>
        <w:t>(Figure 4</w:t>
      </w:r>
      <w:r w:rsidR="009E08D4">
        <w:rPr>
          <w:b/>
          <w:bCs/>
        </w:rPr>
        <w:t>-</w:t>
      </w:r>
      <w:r w:rsidRPr="00476931">
        <w:rPr>
          <w:b/>
          <w:bCs/>
        </w:rPr>
        <w:t>5B).</w:t>
      </w:r>
      <w:r w:rsidRPr="00476931">
        <w:t xml:space="preserve">   At the protein level, the number of quantified proteins increased by 42% with the cRT1 workflow compared to the MM/IDP workflow.  Incorporating a second search strategy to identify additional peptides from chimeric spectra resulted in the identification of nearly 300 additional proteins with quantitative information in the fecal sample.</w:t>
      </w:r>
    </w:p>
    <w:p w14:paraId="3197E51B" w14:textId="1E471822" w:rsidR="005D686D" w:rsidRDefault="005D686D" w:rsidP="006F0C15">
      <w:pPr>
        <w:rPr>
          <w:color w:val="000000" w:themeColor="text1"/>
        </w:rPr>
      </w:pPr>
      <w:r w:rsidRPr="00476931">
        <w:t xml:space="preserve">In total, 5,355 distinct proteins were found in this sample using either the MM/IDP workflow or the cRT1 workflow.  Only 55% of proteins were shared between the two search pipelines.  1,918 proteins were only found using the cRT1 workflow compared to 477 proteins exclusively found in the MM/IDP workflow.  Since additional peptides identified from chimeric spectra are typically low abundance analytes, the identification of these peptides improves metaproteome measurement depth and measurement reproducibility.  </w:t>
      </w:r>
      <w:r w:rsidRPr="00476931">
        <w:rPr>
          <w:b/>
          <w:bCs/>
        </w:rPr>
        <w:t>Figure 4</w:t>
      </w:r>
      <w:r w:rsidR="009E08D4">
        <w:rPr>
          <w:b/>
          <w:bCs/>
        </w:rPr>
        <w:t>-</w:t>
      </w:r>
      <w:r w:rsidRPr="00476931">
        <w:rPr>
          <w:b/>
          <w:bCs/>
        </w:rPr>
        <w:t>6A</w:t>
      </w:r>
      <w:r w:rsidRPr="00476931">
        <w:t xml:space="preserve"> shows the number of quantified proteins identified in the fecal sample using either the MM/IDP or cRT1 workflow. The identification of more low abundance peptides that uniquely map one protein in the metaproteome by searching chimeric spectra resulted in roughly double the quantifiable proteins for some low abundance organisms in the community, such as </w:t>
      </w:r>
      <w:r w:rsidRPr="00476931">
        <w:rPr>
          <w:i/>
          <w:iCs/>
        </w:rPr>
        <w:t>Odoribacter sphanchnicus</w:t>
      </w:r>
      <w:r w:rsidRPr="00476931">
        <w:t xml:space="preserve"> and </w:t>
      </w:r>
      <w:proofErr w:type="spellStart"/>
      <w:r w:rsidRPr="00476931">
        <w:rPr>
          <w:i/>
          <w:iCs/>
        </w:rPr>
        <w:t>Ruminococcaceae</w:t>
      </w:r>
      <w:proofErr w:type="spellEnd"/>
      <w:r w:rsidRPr="00476931">
        <w:rPr>
          <w:i/>
          <w:iCs/>
        </w:rPr>
        <w:t xml:space="preserve"> </w:t>
      </w:r>
      <w:r w:rsidRPr="00476931">
        <w:t xml:space="preserve">species. In addition, for some bacteria with a high level of proteome redundancy, such as </w:t>
      </w:r>
      <w:r w:rsidRPr="00476931">
        <w:rPr>
          <w:i/>
          <w:iCs/>
        </w:rPr>
        <w:t>Bacteroides finegoldii</w:t>
      </w:r>
      <w:r w:rsidRPr="00476931">
        <w:t xml:space="preserve"> and </w:t>
      </w:r>
      <w:r w:rsidRPr="00476931">
        <w:rPr>
          <w:i/>
          <w:iCs/>
        </w:rPr>
        <w:t>Bacteroides massiliensis</w:t>
      </w:r>
      <w:r w:rsidRPr="00476931">
        <w:t xml:space="preserve">, the increased measurement depth using second search strategies enabled the identification of peptides that uniquely map to proteins from specific organisms.  Figure </w:t>
      </w:r>
      <w:r w:rsidRPr="00476931">
        <w:rPr>
          <w:b/>
          <w:bCs/>
        </w:rPr>
        <w:t>4</w:t>
      </w:r>
      <w:r w:rsidR="009E08D4">
        <w:rPr>
          <w:b/>
          <w:bCs/>
        </w:rPr>
        <w:t>-</w:t>
      </w:r>
      <w:r w:rsidRPr="00476931">
        <w:rPr>
          <w:b/>
          <w:bCs/>
        </w:rPr>
        <w:t>6B</w:t>
      </w:r>
      <w:r w:rsidRPr="00476931">
        <w:t xml:space="preserve"> shows that increasing the number of unique peptide identifications with a second search approach results in microbial proteins </w:t>
      </w:r>
    </w:p>
    <w:p w14:paraId="7C2FC40D" w14:textId="77777777" w:rsidR="005D686D" w:rsidRDefault="005D686D" w:rsidP="005D686D">
      <w:pPr>
        <w:pStyle w:val="BodyText"/>
        <w:keepNext/>
      </w:pPr>
      <w:r w:rsidRPr="00476931">
        <w:rPr>
          <w:noProof/>
        </w:rPr>
        <w:drawing>
          <wp:inline distT="0" distB="0" distL="0" distR="0" wp14:anchorId="196131D1" wp14:editId="0D1428B9">
            <wp:extent cx="5486400" cy="1561465"/>
            <wp:effectExtent l="0" t="0" r="0" b="0"/>
            <wp:docPr id="2085" name="Picture 2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486400" cy="1561465"/>
                    </a:xfrm>
                    <a:prstGeom prst="rect">
                      <a:avLst/>
                    </a:prstGeom>
                  </pic:spPr>
                </pic:pic>
              </a:graphicData>
            </a:graphic>
          </wp:inline>
        </w:drawing>
      </w:r>
    </w:p>
    <w:p w14:paraId="14DCEE16" w14:textId="65E3D657" w:rsidR="005D686D" w:rsidRPr="00CA0045" w:rsidRDefault="005D686D" w:rsidP="005D686D">
      <w:pPr>
        <w:pStyle w:val="Caption"/>
        <w:rPr>
          <w:b w:val="0"/>
          <w:bCs/>
        </w:rPr>
      </w:pPr>
      <w:bookmarkStart w:id="224" w:name="_Toc110246940"/>
      <w:r>
        <w:t xml:space="preserve">Figure </w:t>
      </w:r>
      <w:fldSimple w:instr=" STYLEREF 1 \s ">
        <w:r w:rsidR="00AC2094">
          <w:rPr>
            <w:noProof/>
          </w:rPr>
          <w:t>4</w:t>
        </w:r>
      </w:fldSimple>
      <w:r w:rsidR="00AC2094">
        <w:noBreakHyphen/>
      </w:r>
      <w:fldSimple w:instr=" SEQ Figure \* ARABIC \s 1 ">
        <w:r w:rsidR="00AC2094">
          <w:rPr>
            <w:noProof/>
          </w:rPr>
          <w:t>5</w:t>
        </w:r>
      </w:fldSimple>
      <w:r>
        <w:t xml:space="preserve">  </w:t>
      </w:r>
      <w:r w:rsidRPr="005D686D">
        <w:t>Comparison of database search strategy identifications of a gnotobiotic mouse fecal sample.</w:t>
      </w:r>
      <w:bookmarkEnd w:id="224"/>
      <w:r w:rsidRPr="005D686D">
        <w:t xml:space="preserve">  </w:t>
      </w:r>
      <w:r w:rsidR="00CA0045" w:rsidRPr="00CA0045">
        <w:rPr>
          <w:b w:val="0"/>
          <w:bCs/>
        </w:rPr>
        <w:fldChar w:fldCharType="begin"/>
      </w:r>
      <w:r w:rsidR="00CA0045" w:rsidRPr="00CA0045">
        <w:rPr>
          <w:b w:val="0"/>
          <w:bCs/>
        </w:rPr>
        <w:instrText xml:space="preserve"> </w:instrText>
      </w:r>
    </w:p>
    <w:p w14:paraId="5E31D70F" w14:textId="77777777" w:rsidR="005D686D" w:rsidRPr="00CA0045" w:rsidRDefault="005D686D" w:rsidP="005D686D">
      <w:pPr>
        <w:pStyle w:val="Caption"/>
        <w:rPr>
          <w:b w:val="0"/>
          <w:bCs/>
        </w:rPr>
      </w:pPr>
    </w:p>
    <w:p w14:paraId="32C6F686" w14:textId="36583656" w:rsidR="005D686D" w:rsidRPr="005D686D" w:rsidRDefault="00CA0045" w:rsidP="005D686D">
      <w:pPr>
        <w:pStyle w:val="Caption"/>
        <w:rPr>
          <w:b w:val="0"/>
          <w:bCs/>
        </w:rPr>
      </w:pPr>
      <w:r w:rsidRPr="00CA0045">
        <w:rPr>
          <w:b w:val="0"/>
          <w:bCs/>
        </w:rPr>
        <w:instrText xml:space="preserve"> </w:instrText>
      </w:r>
      <w:r w:rsidRPr="00CA0045">
        <w:rPr>
          <w:b w:val="0"/>
          <w:bCs/>
        </w:rPr>
        <w:fldChar w:fldCharType="end"/>
      </w:r>
      <w:r w:rsidR="005D686D" w:rsidRPr="005D686D">
        <w:rPr>
          <w:b w:val="0"/>
          <w:bCs/>
        </w:rPr>
        <w:fldChar w:fldCharType="begin"/>
      </w:r>
      <w:r w:rsidR="005D686D" w:rsidRPr="005D686D">
        <w:rPr>
          <w:b w:val="0"/>
          <w:bCs/>
        </w:rPr>
        <w:instrText xml:space="preserve"> </w:instrText>
      </w:r>
    </w:p>
    <w:p w14:paraId="15EC4208" w14:textId="77777777" w:rsidR="005D686D" w:rsidRPr="005D686D" w:rsidRDefault="005D686D" w:rsidP="005D686D">
      <w:pPr>
        <w:pStyle w:val="Caption"/>
        <w:rPr>
          <w:b w:val="0"/>
          <w:bCs/>
        </w:rPr>
      </w:pPr>
    </w:p>
    <w:p w14:paraId="23ADEE19" w14:textId="77777777" w:rsidR="005D686D" w:rsidRPr="005D686D" w:rsidRDefault="005D686D" w:rsidP="005D686D">
      <w:pPr>
        <w:pStyle w:val="Caption"/>
        <w:rPr>
          <w:b w:val="0"/>
          <w:bCs/>
        </w:rPr>
      </w:pPr>
      <w:r w:rsidRPr="005D686D">
        <w:rPr>
          <w:b w:val="0"/>
          <w:bCs/>
        </w:rPr>
        <w:instrText xml:space="preserve"> </w:instrText>
      </w:r>
      <w:r w:rsidRPr="005D686D">
        <w:rPr>
          <w:b w:val="0"/>
          <w:bCs/>
        </w:rPr>
        <w:fldChar w:fldCharType="end"/>
      </w:r>
      <w:bookmarkStart w:id="225" w:name="_Toc107573952"/>
      <w:r w:rsidRPr="005D686D">
        <w:rPr>
          <w:b w:val="0"/>
          <w:bCs/>
        </w:rPr>
        <w:t>(A) Peptides identified using each database search workflow.  (B) Proteins quantified from unique peptides identified in each database search workflow.</w:t>
      </w:r>
      <w:bookmarkEnd w:id="225"/>
    </w:p>
    <w:p w14:paraId="5DAF7D1C" w14:textId="7851FBA4" w:rsidR="005D686D" w:rsidRDefault="005D686D" w:rsidP="005D686D">
      <w:pPr>
        <w:pStyle w:val="BodyText"/>
      </w:pPr>
      <w:r>
        <w:br w:type="page"/>
      </w:r>
    </w:p>
    <w:p w14:paraId="3822DC88" w14:textId="77777777" w:rsidR="00CA0045" w:rsidRDefault="00CA0045" w:rsidP="00CA0045">
      <w:pPr>
        <w:pStyle w:val="BodyText"/>
        <w:keepNext/>
      </w:pPr>
      <w:bookmarkStart w:id="226" w:name="_Toc106816100"/>
      <w:r w:rsidRPr="00476931">
        <w:rPr>
          <w:noProof/>
        </w:rPr>
        <w:drawing>
          <wp:inline distT="0" distB="0" distL="0" distR="0" wp14:anchorId="6FB01FC1" wp14:editId="09D4A2ED">
            <wp:extent cx="5486400" cy="6083300"/>
            <wp:effectExtent l="0" t="0" r="0" b="0"/>
            <wp:docPr id="2306" name="Picture 2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486400" cy="6083300"/>
                    </a:xfrm>
                    <a:prstGeom prst="rect">
                      <a:avLst/>
                    </a:prstGeom>
                  </pic:spPr>
                </pic:pic>
              </a:graphicData>
            </a:graphic>
          </wp:inline>
        </w:drawing>
      </w:r>
      <w:bookmarkEnd w:id="226"/>
    </w:p>
    <w:p w14:paraId="553849DE" w14:textId="73F0A559" w:rsidR="00CA0045" w:rsidRPr="00CA0045" w:rsidRDefault="00CA0045" w:rsidP="00CA0045">
      <w:pPr>
        <w:pStyle w:val="Caption"/>
        <w:rPr>
          <w:b w:val="0"/>
          <w:bCs/>
        </w:rPr>
      </w:pPr>
      <w:bookmarkStart w:id="227" w:name="_Toc110246941"/>
      <w:r>
        <w:t xml:space="preserve">Figure </w:t>
      </w:r>
      <w:fldSimple w:instr=" STYLEREF 1 \s ">
        <w:r w:rsidR="00AC2094">
          <w:rPr>
            <w:noProof/>
          </w:rPr>
          <w:t>4</w:t>
        </w:r>
      </w:fldSimple>
      <w:r w:rsidR="00AC2094">
        <w:noBreakHyphen/>
      </w:r>
      <w:fldSimple w:instr=" SEQ Figure \* ARABIC \s 1 ">
        <w:r w:rsidR="00AC2094">
          <w:rPr>
            <w:noProof/>
          </w:rPr>
          <w:t>6</w:t>
        </w:r>
      </w:fldSimple>
      <w:r>
        <w:t xml:space="preserve">  </w:t>
      </w:r>
      <w:r w:rsidRPr="00CA0045">
        <w:t>Community-level comparison of database search strategy identifications of a gnotobiotic mouse fecal sample.</w:t>
      </w:r>
      <w:bookmarkEnd w:id="227"/>
      <w:r w:rsidRPr="00CA0045">
        <w:t xml:space="preserve">  </w:t>
      </w:r>
      <w:r w:rsidRPr="00CA0045">
        <w:rPr>
          <w:b w:val="0"/>
          <w:bCs/>
        </w:rPr>
        <w:fldChar w:fldCharType="begin"/>
      </w:r>
      <w:r w:rsidRPr="00CA0045">
        <w:rPr>
          <w:b w:val="0"/>
          <w:bCs/>
        </w:rPr>
        <w:instrText xml:space="preserve"> </w:instrText>
      </w:r>
    </w:p>
    <w:p w14:paraId="44112590" w14:textId="77777777" w:rsidR="00CA0045" w:rsidRPr="00CA0045" w:rsidRDefault="00CA0045" w:rsidP="00CA0045">
      <w:pPr>
        <w:pStyle w:val="Caption"/>
        <w:rPr>
          <w:b w:val="0"/>
          <w:bCs/>
        </w:rPr>
      </w:pPr>
    </w:p>
    <w:p w14:paraId="782A6656" w14:textId="459EC4A3" w:rsidR="00CA0045" w:rsidRPr="00CA0045" w:rsidRDefault="00CA0045" w:rsidP="00CA0045">
      <w:pPr>
        <w:pStyle w:val="Caption"/>
        <w:rPr>
          <w:b w:val="0"/>
          <w:bCs/>
        </w:rPr>
      </w:pPr>
      <w:r w:rsidRPr="00CA0045">
        <w:rPr>
          <w:b w:val="0"/>
          <w:bCs/>
        </w:rPr>
        <w:instrText xml:space="preserve"> </w:instrText>
      </w:r>
      <w:r w:rsidRPr="00CA0045">
        <w:rPr>
          <w:b w:val="0"/>
          <w:bCs/>
        </w:rPr>
        <w:fldChar w:fldCharType="end"/>
      </w:r>
      <w:r w:rsidRPr="00CA0045">
        <w:rPr>
          <w:b w:val="0"/>
          <w:bCs/>
        </w:rPr>
        <w:fldChar w:fldCharType="begin"/>
      </w:r>
      <w:r w:rsidRPr="00CA0045">
        <w:rPr>
          <w:b w:val="0"/>
          <w:bCs/>
        </w:rPr>
        <w:instrText xml:space="preserve"> </w:instrText>
      </w:r>
    </w:p>
    <w:p w14:paraId="0DA4F771" w14:textId="77777777" w:rsidR="00CA0045" w:rsidRPr="00CA0045" w:rsidRDefault="00CA0045" w:rsidP="00CA0045">
      <w:pPr>
        <w:pStyle w:val="Caption"/>
        <w:rPr>
          <w:b w:val="0"/>
          <w:bCs/>
        </w:rPr>
      </w:pPr>
    </w:p>
    <w:p w14:paraId="0CB569D1" w14:textId="0C378BA5" w:rsidR="00CA0045" w:rsidRPr="00CA0045" w:rsidRDefault="00CA0045" w:rsidP="00CA0045">
      <w:pPr>
        <w:pStyle w:val="Caption"/>
        <w:rPr>
          <w:b w:val="0"/>
          <w:bCs/>
        </w:rPr>
      </w:pPr>
      <w:r w:rsidRPr="00CA0045">
        <w:rPr>
          <w:b w:val="0"/>
          <w:bCs/>
        </w:rPr>
        <w:instrText xml:space="preserve"> </w:instrText>
      </w:r>
      <w:r w:rsidRPr="00CA0045">
        <w:rPr>
          <w:b w:val="0"/>
          <w:bCs/>
        </w:rPr>
        <w:fldChar w:fldCharType="end"/>
      </w:r>
      <w:bookmarkStart w:id="228" w:name="_Toc107573954"/>
      <w:r w:rsidRPr="00CA0045">
        <w:rPr>
          <w:b w:val="0"/>
          <w:bCs/>
        </w:rPr>
        <w:t>(A) The number of quantifiable proteins for each organism in the defined community found exclusively in the MM/IDP or cRT1 workflows or found using both workflows. (B) Relative organismal abundances based on protein abundances derived from uniquely mapping peptides.</w:t>
      </w:r>
      <w:bookmarkEnd w:id="228"/>
    </w:p>
    <w:p w14:paraId="23283AFC" w14:textId="5D76F85C" w:rsidR="005D686D" w:rsidRDefault="005D686D" w:rsidP="00CA0045">
      <w:pPr>
        <w:pStyle w:val="BodyText"/>
      </w:pPr>
      <w:r>
        <w:br w:type="page"/>
      </w:r>
    </w:p>
    <w:p w14:paraId="5BD90613" w14:textId="593C932B" w:rsidR="005D686D" w:rsidRPr="00476931" w:rsidRDefault="00BD480D" w:rsidP="005D686D">
      <w:pPr>
        <w:ind w:firstLine="0"/>
        <w:rPr>
          <w:color w:val="000000" w:themeColor="text1"/>
        </w:rPr>
      </w:pPr>
      <w:r w:rsidRPr="00476931">
        <w:t xml:space="preserve">contributing to more of the overall sample abundance.  When there are more uniquely mapping peptides detected in a metaproteome sample, the microbial origin of proteins is more likely to be resolved during the protein inference process, resulting in a protein </w:t>
      </w:r>
      <w:r w:rsidRPr="00476931">
        <w:rPr>
          <w:color w:val="000000" w:themeColor="text1"/>
        </w:rPr>
        <w:t xml:space="preserve">data matrix that more closely resembles the true proportions of organismal abundance </w:t>
      </w:r>
      <w:r w:rsidR="005D686D" w:rsidRPr="00476931">
        <w:rPr>
          <w:color w:val="000000" w:themeColor="text1"/>
        </w:rPr>
        <w:t xml:space="preserve">in a community.  </w:t>
      </w:r>
    </w:p>
    <w:p w14:paraId="00495EB8" w14:textId="1CE35C5E" w:rsidR="00CB41BC" w:rsidRPr="00476931" w:rsidRDefault="00670142" w:rsidP="00CA0045">
      <w:pPr>
        <w:rPr>
          <w:color w:val="000000" w:themeColor="text1"/>
        </w:rPr>
      </w:pPr>
      <w:r w:rsidRPr="00476931">
        <w:t>One caveat with implementing second search strategies is that peptide quantification can be inaccurate in some database search platforms, such as Proteome Discoverer, based on how quantitative MS1 intensities are matched to peptides identified from MS/MS spectra.</w:t>
      </w:r>
      <w:r w:rsidRPr="00670142">
        <w:rPr>
          <w:color w:val="000000" w:themeColor="text1"/>
        </w:rPr>
        <w:t xml:space="preserve"> </w:t>
      </w:r>
      <w:r>
        <w:rPr>
          <w:color w:val="000000" w:themeColor="text1"/>
        </w:rPr>
        <w:t xml:space="preserve"> </w:t>
      </w:r>
      <w:r w:rsidRPr="00476931">
        <w:rPr>
          <w:color w:val="000000" w:themeColor="text1"/>
        </w:rPr>
        <w:t>Additional testing of the second search approach was conducted using defined metaproteome mixtures with exclusion of some proteomes from the mixture in some samples.  The drop-out samples</w:t>
      </w:r>
      <w:r w:rsidR="00BD480D">
        <w:rPr>
          <w:color w:val="000000" w:themeColor="text1"/>
        </w:rPr>
        <w:t xml:space="preserve"> (</w:t>
      </w:r>
      <w:r w:rsidR="00AD14C9">
        <w:rPr>
          <w:color w:val="000000" w:themeColor="text1"/>
        </w:rPr>
        <w:t xml:space="preserve">where </w:t>
      </w:r>
      <w:r w:rsidR="00AD14C9" w:rsidRPr="00AD14C9">
        <w:rPr>
          <w:i/>
          <w:iCs/>
          <w:color w:val="000000" w:themeColor="text1"/>
        </w:rPr>
        <w:t xml:space="preserve">B. cellulosilyticus </w:t>
      </w:r>
      <w:r w:rsidR="00AD14C9">
        <w:rPr>
          <w:color w:val="000000" w:themeColor="text1"/>
        </w:rPr>
        <w:t>was omitted from community)</w:t>
      </w:r>
      <w:r w:rsidRPr="00476931">
        <w:rPr>
          <w:color w:val="000000" w:themeColor="text1"/>
        </w:rPr>
        <w:t xml:space="preserve"> showed that while peptide identifications of</w:t>
      </w:r>
      <w:r w:rsidRPr="00670142">
        <w:rPr>
          <w:color w:val="000000" w:themeColor="text1"/>
        </w:rPr>
        <w:t xml:space="preserve"> </w:t>
      </w:r>
      <w:r w:rsidRPr="00476931">
        <w:rPr>
          <w:color w:val="000000" w:themeColor="text1"/>
        </w:rPr>
        <w:t xml:space="preserve">mPSMs from chimeric spectra based on the MS/MS fragmentation events </w:t>
      </w:r>
      <w:r w:rsidR="00310878" w:rsidRPr="00476931">
        <w:rPr>
          <w:color w:val="000000" w:themeColor="text1"/>
        </w:rPr>
        <w:t xml:space="preserve">were accurate, the quantitative MS1 peak intensities (consensus features) of the precursor ions associated with chimeric spectra were only accurate for the most abundant precursor ion that was co-fragmented.  Specifically, we found that the Proteome Discoverer platform assigned the consensus feature derived for the most abundant precursor ion to every precursor ion identified </w:t>
      </w:r>
      <w:proofErr w:type="gramStart"/>
      <w:r w:rsidR="00310878" w:rsidRPr="00476931">
        <w:rPr>
          <w:color w:val="000000" w:themeColor="text1"/>
        </w:rPr>
        <w:t>in a given</w:t>
      </w:r>
      <w:proofErr w:type="gramEnd"/>
      <w:r w:rsidR="00310878" w:rsidRPr="00476931">
        <w:rPr>
          <w:color w:val="000000" w:themeColor="text1"/>
        </w:rPr>
        <w:t xml:space="preserve"> chimeric spectrum.  Using the defined microbial mixtures, we found that the misassignment occurs irrespective of the complexity of the sample but seems to be exacerbated with complex metaproteomes with high redundancy.   We found in the drop-out community validation experiments those missing members appeared to be prevalent members of the community when a second search strategy (cRT1, cRT2, cRT3) was implemented for quantitative values.  Therefore, with the current strategy used by the Proteome Discover platform to match consensus features to MS/MS identifications, second search approaches to detect additional peptides derived from chimeric spectra should only be used for peptide identification and not peptide quantification for metaproteome samples.</w:t>
      </w:r>
    </w:p>
    <w:p w14:paraId="4D4A6EB9" w14:textId="77777777" w:rsidR="00C7280B" w:rsidRPr="00476931" w:rsidRDefault="00C7280B" w:rsidP="0060435B">
      <w:pPr>
        <w:pStyle w:val="Heading2"/>
      </w:pPr>
    </w:p>
    <w:p w14:paraId="35F13B98" w14:textId="5620C6F7" w:rsidR="0070007A" w:rsidRDefault="0070007A">
      <w:pPr>
        <w:spacing w:before="1"/>
        <w:rPr>
          <w:rFonts w:eastAsiaTheme="majorEastAsia" w:cstheme="majorBidi"/>
          <w:b/>
          <w:color w:val="000000" w:themeColor="text1"/>
          <w:szCs w:val="26"/>
        </w:rPr>
      </w:pPr>
      <w:r>
        <w:br w:type="page"/>
      </w:r>
    </w:p>
    <w:p w14:paraId="0282265D" w14:textId="44CF3726" w:rsidR="00C7280B" w:rsidRPr="00476931" w:rsidRDefault="00C7280B" w:rsidP="0060435B">
      <w:pPr>
        <w:pStyle w:val="Heading2"/>
      </w:pPr>
      <w:bookmarkStart w:id="229" w:name="_Toc110250267"/>
      <w:bookmarkStart w:id="230" w:name="_Toc110250524"/>
      <w:bookmarkStart w:id="231" w:name="_Toc110250655"/>
      <w:r w:rsidRPr="00476931">
        <w:t>4.4  Peptide quantitation and protein inference.</w:t>
      </w:r>
      <w:bookmarkEnd w:id="229"/>
      <w:bookmarkEnd w:id="230"/>
      <w:bookmarkEnd w:id="231"/>
      <w:r w:rsidRPr="00476931">
        <w:t xml:space="preserve">  </w:t>
      </w:r>
    </w:p>
    <w:p w14:paraId="56066426" w14:textId="77777777" w:rsidR="00C7280B" w:rsidRPr="00476931" w:rsidRDefault="00C7280B" w:rsidP="00C7280B">
      <w:pPr>
        <w:rPr>
          <w:color w:val="000000" w:themeColor="text1"/>
        </w:rPr>
      </w:pPr>
    </w:p>
    <w:p w14:paraId="4C372944" w14:textId="3AF2F81D" w:rsidR="00310878" w:rsidRPr="00476931" w:rsidRDefault="00C7280B" w:rsidP="00D6394B">
      <w:pPr>
        <w:spacing w:before="1"/>
        <w:rPr>
          <w:rFonts w:ascii="Times New Roman" w:hAnsi="Times New Roman" w:cs="Times New Roman"/>
          <w:color w:val="000000" w:themeColor="text1"/>
        </w:rPr>
      </w:pPr>
      <w:r w:rsidRPr="00476931">
        <w:rPr>
          <w:rFonts w:ascii="Times New Roman" w:hAnsi="Times New Roman" w:cs="Times New Roman"/>
          <w:color w:val="000000" w:themeColor="text1"/>
        </w:rPr>
        <w:t xml:space="preserve">In addition to increasing the number of peptides identified in metaproteome samples, we assessed the accuracy of emerging tools used for peptide quantification and protein inference. Many aspects of peptide and protein inference are evaluated </w:t>
      </w:r>
      <w:r w:rsidR="00310878" w:rsidRPr="00476931">
        <w:rPr>
          <w:rFonts w:ascii="Times New Roman" w:hAnsi="Times New Roman" w:cs="Times New Roman"/>
          <w:color w:val="000000" w:themeColor="text1"/>
        </w:rPr>
        <w:t xml:space="preserve">with data collected from measurements of single proteomes. Validation of platforms that perform peptide quantitation using single proteome datasets may not be appropriate to address challenges associated with complex metaproteomes with high protein redundancy.  Assessment of critical database search decisions for protein inference and quantitation in metaproteomics using “ground-truth” defined microbial communities is necessary when implementing new database search strategies for metaproteomics.  To evaluate peptide quantification and protein inference aspects for metaproteomics, we used a gnotobiotic mouse model composed of the host and fourteen colonized microorganisms including several </w:t>
      </w:r>
      <w:r w:rsidR="00310878" w:rsidRPr="00476931">
        <w:rPr>
          <w:rFonts w:ascii="Times New Roman" w:hAnsi="Times New Roman" w:cs="Times New Roman"/>
          <w:i/>
          <w:color w:val="000000" w:themeColor="text1"/>
        </w:rPr>
        <w:t>Bacteroides</w:t>
      </w:r>
      <w:r w:rsidR="00310878" w:rsidRPr="00476931">
        <w:rPr>
          <w:rFonts w:ascii="Times New Roman" w:hAnsi="Times New Roman" w:cs="Times New Roman"/>
          <w:color w:val="000000" w:themeColor="text1"/>
        </w:rPr>
        <w:t xml:space="preserve"> species.  Measurements were made for the evaluation of peptide quantitation and protein inference with some samples composed of all members in the community and some samples composed of the same organisms, but with </w:t>
      </w:r>
      <w:r w:rsidR="00310878" w:rsidRPr="00476931">
        <w:rPr>
          <w:rFonts w:ascii="Times New Roman" w:hAnsi="Times New Roman" w:cs="Times New Roman"/>
          <w:i/>
          <w:color w:val="000000" w:themeColor="text1"/>
        </w:rPr>
        <w:t xml:space="preserve">Bacteroides cellulosilyticus WH2 </w:t>
      </w:r>
      <w:r w:rsidR="00310878" w:rsidRPr="00476931">
        <w:rPr>
          <w:rFonts w:ascii="Times New Roman" w:hAnsi="Times New Roman" w:cs="Times New Roman"/>
          <w:color w:val="000000" w:themeColor="text1"/>
        </w:rPr>
        <w:t xml:space="preserve">removed from the community. </w:t>
      </w:r>
    </w:p>
    <w:p w14:paraId="03F3BBA6" w14:textId="77777777" w:rsidR="00CB41BC" w:rsidRPr="00476931" w:rsidRDefault="00CB41BC" w:rsidP="00CB41BC">
      <w:pPr>
        <w:rPr>
          <w:rFonts w:ascii="Times New Roman" w:hAnsi="Times New Roman" w:cs="Times New Roman"/>
          <w:color w:val="000000" w:themeColor="text1"/>
        </w:rPr>
      </w:pPr>
    </w:p>
    <w:p w14:paraId="7B36F742" w14:textId="5D423BAA" w:rsidR="00310878" w:rsidRPr="00476931" w:rsidRDefault="00CB41BC" w:rsidP="00CB41BC">
      <w:pPr>
        <w:pStyle w:val="Heading3"/>
      </w:pPr>
      <w:bookmarkStart w:id="232" w:name="_Toc110250268"/>
      <w:bookmarkStart w:id="233" w:name="_Toc110250525"/>
      <w:bookmarkStart w:id="234" w:name="_Toc110250656"/>
      <w:r w:rsidRPr="00476931">
        <w:t xml:space="preserve">4.4.1  </w:t>
      </w:r>
      <w:r w:rsidR="00310878" w:rsidRPr="00476931">
        <w:t>Match-between-run (MBR) for peptide quantification.</w:t>
      </w:r>
      <w:bookmarkEnd w:id="232"/>
      <w:bookmarkEnd w:id="233"/>
      <w:bookmarkEnd w:id="234"/>
      <w:r w:rsidR="00310878" w:rsidRPr="00476931">
        <w:t xml:space="preserve"> </w:t>
      </w:r>
    </w:p>
    <w:p w14:paraId="78A808D2" w14:textId="77777777" w:rsidR="00996D2C" w:rsidRDefault="00996D2C" w:rsidP="00996D2C">
      <w:pPr>
        <w:ind w:left="180" w:firstLine="0"/>
        <w:rPr>
          <w:i/>
          <w:iCs/>
          <w:color w:val="000000" w:themeColor="text1"/>
          <w:spacing w:val="-3"/>
        </w:rPr>
      </w:pPr>
    </w:p>
    <w:p w14:paraId="3E65165F" w14:textId="40A0ECC5" w:rsidR="00996D2C" w:rsidRPr="003C7207" w:rsidRDefault="00996D2C" w:rsidP="00996D2C">
      <w:pPr>
        <w:ind w:left="180" w:firstLine="0"/>
        <w:rPr>
          <w:i/>
          <w:iCs/>
          <w:color w:val="000000" w:themeColor="text1"/>
        </w:rPr>
      </w:pPr>
      <w:r w:rsidRPr="003C7207">
        <w:rPr>
          <w:i/>
          <w:iCs/>
          <w:color w:val="000000" w:themeColor="text1"/>
          <w:spacing w:val="-3"/>
        </w:rPr>
        <w:t>Data generated</w:t>
      </w:r>
      <w:r>
        <w:rPr>
          <w:i/>
          <w:iCs/>
          <w:color w:val="000000" w:themeColor="text1"/>
          <w:spacing w:val="-3"/>
        </w:rPr>
        <w:t xml:space="preserve">, </w:t>
      </w:r>
      <w:r w:rsidRPr="003C7207">
        <w:rPr>
          <w:i/>
          <w:iCs/>
          <w:color w:val="000000" w:themeColor="text1"/>
          <w:spacing w:val="-3"/>
        </w:rPr>
        <w:t>analyzed</w:t>
      </w:r>
      <w:r>
        <w:rPr>
          <w:i/>
          <w:iCs/>
          <w:color w:val="000000" w:themeColor="text1"/>
          <w:spacing w:val="-3"/>
        </w:rPr>
        <w:t>, and adapted from</w:t>
      </w:r>
      <w:r w:rsidRPr="003C7207">
        <w:rPr>
          <w:i/>
          <w:iCs/>
          <w:color w:val="000000" w:themeColor="text1"/>
          <w:spacing w:val="-3"/>
        </w:rPr>
        <w:t xml:space="preserve"> </w:t>
      </w:r>
      <w:r>
        <w:rPr>
          <w:i/>
          <w:iCs/>
          <w:color w:val="000000" w:themeColor="text1"/>
          <w:spacing w:val="-3"/>
        </w:rPr>
        <w:t>Patnode</w:t>
      </w:r>
      <w:r w:rsidRPr="003C7207">
        <w:rPr>
          <w:i/>
          <w:iCs/>
          <w:color w:val="000000" w:themeColor="text1"/>
          <w:spacing w:val="-3"/>
        </w:rPr>
        <w:t xml:space="preserve"> </w:t>
      </w:r>
      <w:r w:rsidRPr="003C7207">
        <w:rPr>
          <w:i/>
          <w:iCs/>
          <w:color w:val="000000" w:themeColor="text1"/>
        </w:rPr>
        <w:t>et</w:t>
      </w:r>
      <w:r w:rsidRPr="003C7207">
        <w:rPr>
          <w:i/>
          <w:iCs/>
          <w:color w:val="000000" w:themeColor="text1"/>
          <w:spacing w:val="-2"/>
        </w:rPr>
        <w:t xml:space="preserve"> </w:t>
      </w:r>
      <w:r w:rsidRPr="003C7207">
        <w:rPr>
          <w:i/>
          <w:iCs/>
          <w:color w:val="000000" w:themeColor="text1"/>
        </w:rPr>
        <w:t>al., 20</w:t>
      </w:r>
      <w:r>
        <w:rPr>
          <w:i/>
          <w:iCs/>
          <w:color w:val="000000" w:themeColor="text1"/>
        </w:rPr>
        <w:t>19.</w:t>
      </w:r>
      <w:r w:rsidRPr="003C7207">
        <w:rPr>
          <w:i/>
          <w:iCs/>
          <w:color w:val="000000" w:themeColor="text1"/>
          <w:spacing w:val="-3"/>
        </w:rPr>
        <w:t xml:space="preserve"> </w:t>
      </w:r>
      <w:r>
        <w:rPr>
          <w:i/>
          <w:iCs/>
          <w:color w:val="000000" w:themeColor="text1"/>
          <w:spacing w:val="-3"/>
        </w:rPr>
        <w:t>Cell</w:t>
      </w:r>
      <w:r w:rsidRPr="003C7207">
        <w:rPr>
          <w:i/>
          <w:iCs/>
          <w:color w:val="000000" w:themeColor="text1"/>
          <w:spacing w:val="-5"/>
        </w:rPr>
        <w:t>.</w:t>
      </w:r>
    </w:p>
    <w:p w14:paraId="25440AF5" w14:textId="77777777" w:rsidR="00996D2C" w:rsidRPr="00476931" w:rsidRDefault="00996D2C" w:rsidP="00CB41BC">
      <w:pPr>
        <w:rPr>
          <w:color w:val="000000" w:themeColor="text1"/>
        </w:rPr>
      </w:pPr>
    </w:p>
    <w:p w14:paraId="06B88BDA" w14:textId="415A5627" w:rsidR="00310878" w:rsidRPr="00476931" w:rsidRDefault="00310878" w:rsidP="00CB41BC">
      <w:pPr>
        <w:rPr>
          <w:b/>
          <w:bCs/>
          <w:color w:val="000000" w:themeColor="text1"/>
        </w:rPr>
      </w:pPr>
      <w:r w:rsidRPr="00476931">
        <w:rPr>
          <w:color w:val="000000" w:themeColor="text1"/>
        </w:rPr>
        <w:t>Peptide quantification for bottom-up DDA shotgun proteomics experiments is typically</w:t>
      </w:r>
      <w:r w:rsidR="00AD14C9">
        <w:rPr>
          <w:color w:val="000000" w:themeColor="text1"/>
        </w:rPr>
        <w:t xml:space="preserve"> based on</w:t>
      </w:r>
      <w:r w:rsidRPr="00476931">
        <w:rPr>
          <w:color w:val="000000" w:themeColor="text1"/>
        </w:rPr>
        <w:t xml:space="preserve"> label-free </w:t>
      </w:r>
      <w:r w:rsidR="0071082A">
        <w:rPr>
          <w:color w:val="000000" w:themeColor="text1"/>
        </w:rPr>
        <w:t>analyses, in which the pep</w:t>
      </w:r>
      <w:r w:rsidRPr="00476931">
        <w:rPr>
          <w:color w:val="000000" w:themeColor="text1"/>
        </w:rPr>
        <w:t>tide’s m/z and chromatographic information</w:t>
      </w:r>
      <w:r w:rsidR="0071082A">
        <w:rPr>
          <w:color w:val="000000" w:themeColor="text1"/>
        </w:rPr>
        <w:t xml:space="preserve"> are leveraged</w:t>
      </w:r>
      <w:r w:rsidRPr="00476931">
        <w:rPr>
          <w:color w:val="000000" w:themeColor="text1"/>
        </w:rPr>
        <w:t>. Stochasticity is an important issue for quantitative multi-run label-free data-dependent acquisition</w:t>
      </w:r>
      <w:sdt>
        <w:sdtPr>
          <w:rPr>
            <w:color w:val="000000"/>
            <w:vertAlign w:val="superscript"/>
          </w:rPr>
          <w:tag w:val="MENDELEY_CITATION_v3_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"/>
          <w:id w:val="329730797"/>
          <w:placeholder>
            <w:docPart w:val="B45FADC50A324E4486C4324FBA958C61"/>
          </w:placeholder>
        </w:sdtPr>
        <w:sdtEndPr/>
        <w:sdtContent>
          <w:r w:rsidR="003204EA" w:rsidRPr="003204EA">
            <w:rPr>
              <w:rFonts w:eastAsia="Times New Roman"/>
              <w:color w:val="000000"/>
              <w:vertAlign w:val="superscript"/>
            </w:rPr>
            <w:t>151</w:t>
          </w:r>
        </w:sdtContent>
      </w:sdt>
      <w:r w:rsidRPr="00476931">
        <w:rPr>
          <w:color w:val="000000" w:themeColor="text1"/>
        </w:rPr>
        <w:t xml:space="preserve"> and especially for metaproteomic datasets. Due to the stochastic nature of sampling, there are often lots of missing values in the quantitative data matrix for metaproteomics.</w:t>
      </w:r>
      <w:r w:rsidRPr="00476931">
        <w:rPr>
          <w:rFonts w:eastAsia="Times New Roman"/>
          <w:color w:val="000000" w:themeColor="text1"/>
          <w:kern w:val="24"/>
        </w:rPr>
        <w:t xml:space="preserve"> Traditionally, statistical imputation is implemented to fill in the missing values in the quantitative data matrix </w:t>
      </w:r>
      <w:proofErr w:type="gramStart"/>
      <w:r w:rsidRPr="00476931">
        <w:rPr>
          <w:rFonts w:eastAsia="Times New Roman"/>
          <w:color w:val="000000" w:themeColor="text1"/>
          <w:kern w:val="24"/>
        </w:rPr>
        <w:t>in order to</w:t>
      </w:r>
      <w:proofErr w:type="gramEnd"/>
      <w:r w:rsidRPr="00476931">
        <w:rPr>
          <w:rFonts w:eastAsia="Times New Roman"/>
          <w:color w:val="000000" w:themeColor="text1"/>
          <w:kern w:val="24"/>
        </w:rPr>
        <w:t xml:space="preserve"> perform downstream statistical analyses of the data.  </w:t>
      </w:r>
      <w:r w:rsidRPr="00476931">
        <w:rPr>
          <w:color w:val="000000" w:themeColor="text1"/>
        </w:rPr>
        <w:t xml:space="preserve">An alternative to statistical imputation that has gained popularity over the past several years is to perform an identification transfer, known as match-between-runs (MBR) between all samples measured in the experiment.  MBR is implemented to reduce missing values in the data matrix by leveraging m/z and chromatographic information to quantify peptides without MS/MS information by matching unidentified peaks in samples that have similar m/z and charge states within a narrow RT window as high-quality PSMs in other samples. </w:t>
      </w:r>
      <w:r w:rsidRPr="00476931">
        <w:rPr>
          <w:b/>
          <w:bCs/>
          <w:color w:val="000000" w:themeColor="text1"/>
        </w:rPr>
        <w:t>Figure 4</w:t>
      </w:r>
      <w:r w:rsidR="009E08D4">
        <w:rPr>
          <w:b/>
          <w:bCs/>
          <w:color w:val="000000" w:themeColor="text1"/>
        </w:rPr>
        <w:t>-</w:t>
      </w:r>
      <w:r w:rsidRPr="00476931">
        <w:rPr>
          <w:b/>
          <w:bCs/>
          <w:color w:val="000000" w:themeColor="text1"/>
        </w:rPr>
        <w:t xml:space="preserve">7 </w:t>
      </w:r>
      <w:r w:rsidRPr="00476931">
        <w:rPr>
          <w:color w:val="000000" w:themeColor="text1"/>
        </w:rPr>
        <w:t xml:space="preserve">shows an example of XICs from a precursor ion found in two biological replicates of gnotobiotic mouse fecal samples.  </w:t>
      </w:r>
      <w:r w:rsidR="0071082A">
        <w:rPr>
          <w:color w:val="000000" w:themeColor="text1"/>
        </w:rPr>
        <w:t>The selected</w:t>
      </w:r>
      <w:r w:rsidRPr="00476931">
        <w:rPr>
          <w:color w:val="000000" w:themeColor="text1"/>
        </w:rPr>
        <w:t xml:space="preserve"> ion had MS/MS sequencing events in two out of three replicates, and the corresponding MS1 peak area was found in the third replicate in the replicate set using MBR in Proteome Discoverer.  These extracted ion chromatograms (XICs) demonstrate that MBR is matching real peaks in the samples where MS/MS events were not triggered to fill in the quantitative data matrix.</w:t>
      </w:r>
      <w:r w:rsidRPr="00476931">
        <w:rPr>
          <w:b/>
          <w:bCs/>
          <w:color w:val="000000" w:themeColor="text1"/>
        </w:rPr>
        <w:t xml:space="preserve"> </w:t>
      </w:r>
    </w:p>
    <w:p w14:paraId="5926FD71" w14:textId="5F7373A5" w:rsidR="00CA0045" w:rsidRPr="00476931" w:rsidRDefault="00611136" w:rsidP="0003562F">
      <w:r w:rsidRPr="00476931">
        <w:t>MBR implementation across a dataset of samples that included gnotobiotic mice colonized with the full 14-member community or with the drop-out community</w:t>
      </w:r>
      <w:r w:rsidR="00CA0045" w:rsidRPr="00CA0045">
        <w:t xml:space="preserve"> </w:t>
      </w:r>
      <w:r w:rsidR="00CA0045" w:rsidRPr="00476931">
        <w:t>led to a more populated data matrix (</w:t>
      </w:r>
      <w:r w:rsidR="00CA0045" w:rsidRPr="00476931">
        <w:rPr>
          <w:b/>
          <w:bCs/>
        </w:rPr>
        <w:t>Figure 4</w:t>
      </w:r>
      <w:r w:rsidR="009E08D4">
        <w:rPr>
          <w:b/>
          <w:bCs/>
        </w:rPr>
        <w:t>-</w:t>
      </w:r>
      <w:r w:rsidR="00CA0045" w:rsidRPr="00476931">
        <w:rPr>
          <w:b/>
          <w:bCs/>
        </w:rPr>
        <w:t>8</w:t>
      </w:r>
      <w:r w:rsidR="00CA0045" w:rsidRPr="00476931">
        <w:t>).  Across the entire dataset, MBR implementation increased the quantitative values in the data matrix by 23%, equating to 134,379 “found” data points in the data matrix.  In addition, when looking at the relative abundance of each organism in the community among biological replicates, the wobble observed in organismal abundances within replicate sets is decreased using MBR.  The average RSD values of organismal abundance within replicate sets decreased by 2.7%.  In total, MBR is an effective computational approach to address stochasticity issues that arise in bottom-up shotgun metaproteomics experiments and is a useful alternative to statistical imputation to fill in missing values in a data matrix.</w:t>
      </w:r>
    </w:p>
    <w:p w14:paraId="47D5AC1F" w14:textId="77777777" w:rsidR="00CA0045" w:rsidRPr="00476931" w:rsidRDefault="00CA0045" w:rsidP="00CA0045">
      <w:pPr>
        <w:rPr>
          <w:b/>
          <w:bCs/>
          <w:color w:val="000000" w:themeColor="text1"/>
        </w:rPr>
      </w:pPr>
    </w:p>
    <w:p w14:paraId="658B0048" w14:textId="6703C133" w:rsidR="00CA0045" w:rsidRDefault="00CA0045">
      <w:pPr>
        <w:spacing w:before="1"/>
        <w:rPr>
          <w:color w:val="000000" w:themeColor="text1"/>
        </w:rPr>
      </w:pPr>
      <w:r>
        <w:rPr>
          <w:noProof/>
        </w:rPr>
        <mc:AlternateContent>
          <mc:Choice Requires="wps">
            <w:drawing>
              <wp:anchor distT="0" distB="0" distL="114300" distR="114300" simplePos="0" relativeHeight="251658258" behindDoc="0" locked="0" layoutInCell="1" allowOverlap="1" wp14:anchorId="1617ABC7" wp14:editId="0EAF0FB1">
                <wp:simplePos x="0" y="0"/>
                <wp:positionH relativeFrom="column">
                  <wp:posOffset>0</wp:posOffset>
                </wp:positionH>
                <wp:positionV relativeFrom="paragraph">
                  <wp:posOffset>1887220</wp:posOffset>
                </wp:positionV>
                <wp:extent cx="5295900" cy="635"/>
                <wp:effectExtent l="0" t="0" r="0" b="12065"/>
                <wp:wrapTopAndBottom/>
                <wp:docPr id="18" name="Text Box 18"/>
                <wp:cNvGraphicFramePr/>
                <a:graphic xmlns:a="http://schemas.openxmlformats.org/drawingml/2006/main">
                  <a:graphicData uri="http://schemas.microsoft.com/office/word/2010/wordprocessingShape">
                    <wps:wsp>
                      <wps:cNvSpPr txBox="1"/>
                      <wps:spPr>
                        <a:xfrm>
                          <a:off x="0" y="0"/>
                          <a:ext cx="5295900" cy="635"/>
                        </a:xfrm>
                        <a:prstGeom prst="rect">
                          <a:avLst/>
                        </a:prstGeom>
                        <a:solidFill>
                          <a:prstClr val="white"/>
                        </a:solidFill>
                        <a:ln>
                          <a:noFill/>
                        </a:ln>
                      </wps:spPr>
                      <wps:txbx>
                        <w:txbxContent>
                          <w:p w14:paraId="7A1D0F3D" w14:textId="44D86818" w:rsidR="00CA0045" w:rsidRPr="00CA0045" w:rsidRDefault="00CA0045" w:rsidP="00CA0045">
                            <w:pPr>
                              <w:pStyle w:val="Caption"/>
                              <w:rPr>
                                <w:b w:val="0"/>
                                <w:bCs/>
                              </w:rPr>
                            </w:pPr>
                            <w:bookmarkStart w:id="235" w:name="_Toc110246942"/>
                            <w:r>
                              <w:t xml:space="preserve">Figure </w:t>
                            </w:r>
                            <w:fldSimple w:instr=" STYLEREF 1 \s ">
                              <w:r w:rsidR="00AC2094">
                                <w:rPr>
                                  <w:noProof/>
                                </w:rPr>
                                <w:t>4</w:t>
                              </w:r>
                            </w:fldSimple>
                            <w:r w:rsidR="00AC2094">
                              <w:noBreakHyphen/>
                            </w:r>
                            <w:fldSimple w:instr=" SEQ Figure \* ARABIC \s 1 ">
                              <w:r w:rsidR="00AC2094">
                                <w:rPr>
                                  <w:noProof/>
                                </w:rPr>
                                <w:t>7</w:t>
                              </w:r>
                            </w:fldSimple>
                            <w:r>
                              <w:t xml:space="preserve">  </w:t>
                            </w:r>
                            <w:r w:rsidRPr="00CA0045">
                              <w:t>MS1 XICs of precursor ion m/z=906.41830.</w:t>
                            </w:r>
                            <w:bookmarkEnd w:id="235"/>
                            <w:r w:rsidRPr="00CA0045">
                              <w:t xml:space="preserve">  </w:t>
                            </w:r>
                            <w:r w:rsidRPr="00CA0045">
                              <w:rPr>
                                <w:b w:val="0"/>
                                <w:bCs/>
                              </w:rPr>
                              <w:fldChar w:fldCharType="begin"/>
                            </w:r>
                            <w:r w:rsidRPr="00CA0045">
                              <w:rPr>
                                <w:b w:val="0"/>
                                <w:bCs/>
                              </w:rPr>
                              <w:instrText xml:space="preserve"> </w:instrText>
                            </w:r>
                          </w:p>
                          <w:p w14:paraId="3DB2C6F4" w14:textId="77777777" w:rsidR="00CA0045" w:rsidRPr="00CA0045" w:rsidRDefault="00CA0045" w:rsidP="00CA0045">
                            <w:pPr>
                              <w:pStyle w:val="Caption"/>
                              <w:rPr>
                                <w:b w:val="0"/>
                                <w:bCs/>
                              </w:rPr>
                            </w:pPr>
                          </w:p>
                          <w:p w14:paraId="2DF37750" w14:textId="75ED7FCC" w:rsidR="00CA0045" w:rsidRPr="00CA0045" w:rsidRDefault="00CA0045" w:rsidP="00CA0045">
                            <w:pPr>
                              <w:pStyle w:val="Caption"/>
                              <w:rPr>
                                <w:b w:val="0"/>
                                <w:bCs/>
                              </w:rPr>
                            </w:pPr>
                            <w:r w:rsidRPr="00CA0045">
                              <w:rPr>
                                <w:b w:val="0"/>
                                <w:bCs/>
                              </w:rPr>
                              <w:instrText xml:space="preserve"> </w:instrText>
                            </w:r>
                            <w:r w:rsidRPr="00CA0045">
                              <w:rPr>
                                <w:b w:val="0"/>
                                <w:bCs/>
                              </w:rPr>
                              <w:fldChar w:fldCharType="end"/>
                            </w:r>
                            <w:r w:rsidRPr="00CA0045">
                              <w:rPr>
                                <w:b w:val="0"/>
                                <w:bCs/>
                              </w:rPr>
                              <w:fldChar w:fldCharType="begin"/>
                            </w:r>
                            <w:r w:rsidRPr="00CA0045">
                              <w:rPr>
                                <w:b w:val="0"/>
                                <w:bCs/>
                              </w:rPr>
                              <w:instrText xml:space="preserve"> </w:instrText>
                            </w:r>
                          </w:p>
                          <w:p w14:paraId="70350337" w14:textId="77777777" w:rsidR="00CA0045" w:rsidRPr="00CA0045" w:rsidRDefault="00CA0045" w:rsidP="00CA0045">
                            <w:pPr>
                              <w:pStyle w:val="Caption"/>
                              <w:rPr>
                                <w:b w:val="0"/>
                                <w:bCs/>
                              </w:rPr>
                            </w:pPr>
                          </w:p>
                          <w:p w14:paraId="3CC935F0" w14:textId="77777777" w:rsidR="00CA0045" w:rsidRPr="00CA0045" w:rsidRDefault="00CA0045" w:rsidP="00CA0045">
                            <w:pPr>
                              <w:pStyle w:val="Caption"/>
                              <w:rPr>
                                <w:b w:val="0"/>
                                <w:bCs/>
                              </w:rPr>
                            </w:pPr>
                            <w:r w:rsidRPr="00CA0045">
                              <w:rPr>
                                <w:b w:val="0"/>
                                <w:bCs/>
                              </w:rPr>
                              <w:instrText xml:space="preserve"> </w:instrText>
                            </w:r>
                            <w:r w:rsidRPr="00CA0045">
                              <w:rPr>
                                <w:b w:val="0"/>
                                <w:bCs/>
                              </w:rPr>
                              <w:fldChar w:fldCharType="end"/>
                            </w:r>
                            <w:bookmarkStart w:id="236" w:name="_Toc107573956"/>
                            <w:r w:rsidRPr="00CA0045">
                              <w:rPr>
                                <w:b w:val="0"/>
                                <w:bCs/>
                              </w:rPr>
                              <w:t>This is the precursor ion of peptide YAYEAGQMALHDTDVK. XICs of this precursor ion that was selected for MS/MS fragmentation (top) and found by MBR (bottom).</w:t>
                            </w:r>
                            <w:bookmarkEnd w:id="23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oel="http://schemas.microsoft.com/office/2019/extlst">
            <w:pict>
              <v:shape w14:anchorId="1617ABC7" id="Text Box 18" o:spid="_x0000_s1083" type="#_x0000_t202" style="position:absolute;left:0;text-align:left;margin-left:0;margin-top:148.6pt;width:417pt;height:.05pt;z-index:25165825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" stroked="f">
                <v:textbox style="mso-fit-shape-to-text:t" inset="0,0,0,0">
                  <w:txbxContent>
                    <w:p w14:paraId="7A1D0F3D" w14:textId="44D86818" w:rsidR="00CA0045" w:rsidRPr="00CA0045" w:rsidRDefault="00CA0045" w:rsidP="00CA0045">
                      <w:pPr>
                        <w:pStyle w:val="Caption"/>
                        <w:rPr>
                          <w:b w:val="0"/>
                          <w:bCs/>
                        </w:rPr>
                      </w:pPr>
                      <w:bookmarkStart w:id="241" w:name="_Toc110246942"/>
                      <w:r>
                        <w:t xml:space="preserve">Figure </w:t>
                      </w:r>
                      <w:r w:rsidR="00000000">
                        <w:fldChar w:fldCharType="begin"/>
                      </w:r>
                      <w:r w:rsidR="00000000">
                        <w:instrText xml:space="preserve"> STYLEREF 1 \s </w:instrText>
                      </w:r>
                      <w:r w:rsidR="00000000">
                        <w:fldChar w:fldCharType="separate"/>
                      </w:r>
                      <w:r w:rsidR="00AC2094">
                        <w:rPr>
                          <w:noProof/>
                        </w:rPr>
                        <w:t>4</w:t>
                      </w:r>
                      <w:r w:rsidR="00000000">
                        <w:rPr>
                          <w:noProof/>
                        </w:rPr>
                        <w:fldChar w:fldCharType="end"/>
                      </w:r>
                      <w:r w:rsidR="00AC2094">
                        <w:noBreakHyphen/>
                      </w:r>
                      <w:r w:rsidR="00000000">
                        <w:fldChar w:fldCharType="begin"/>
                      </w:r>
                      <w:r w:rsidR="00000000">
                        <w:instrText xml:space="preserve"> SEQ Figure \* ARABIC \s 1 </w:instrText>
                      </w:r>
                      <w:r w:rsidR="00000000">
                        <w:fldChar w:fldCharType="separate"/>
                      </w:r>
                      <w:r w:rsidR="00AC2094">
                        <w:rPr>
                          <w:noProof/>
                        </w:rPr>
                        <w:t>7</w:t>
                      </w:r>
                      <w:r w:rsidR="00000000">
                        <w:rPr>
                          <w:noProof/>
                        </w:rPr>
                        <w:fldChar w:fldCharType="end"/>
                      </w:r>
                      <w:r>
                        <w:t xml:space="preserve">  </w:t>
                      </w:r>
                      <w:r w:rsidRPr="00CA0045">
                        <w:t>MS1 XICs of precursor ion m/z=906.41830.</w:t>
                      </w:r>
                      <w:bookmarkEnd w:id="241"/>
                      <w:r w:rsidRPr="00CA0045">
                        <w:t xml:space="preserve">  </w:t>
                      </w:r>
                      <w:r w:rsidRPr="00CA0045">
                        <w:rPr>
                          <w:b w:val="0"/>
                          <w:bCs/>
                        </w:rPr>
                        <w:fldChar w:fldCharType="begin"/>
                      </w:r>
                      <w:r w:rsidRPr="00CA0045">
                        <w:rPr>
                          <w:b w:val="0"/>
                          <w:bCs/>
                        </w:rPr>
                        <w:instrText xml:space="preserve"> </w:instrText>
                      </w:r>
                    </w:p>
                    <w:p w14:paraId="3DB2C6F4" w14:textId="77777777" w:rsidR="00CA0045" w:rsidRPr="00CA0045" w:rsidRDefault="00CA0045" w:rsidP="00CA0045">
                      <w:pPr>
                        <w:pStyle w:val="Caption"/>
                        <w:rPr>
                          <w:b w:val="0"/>
                          <w:bCs/>
                        </w:rPr>
                      </w:pPr>
                    </w:p>
                    <w:p w14:paraId="2DF37750" w14:textId="75ED7FCC" w:rsidR="00CA0045" w:rsidRPr="00CA0045" w:rsidRDefault="00CA0045" w:rsidP="00CA0045">
                      <w:pPr>
                        <w:pStyle w:val="Caption"/>
                        <w:rPr>
                          <w:b w:val="0"/>
                          <w:bCs/>
                        </w:rPr>
                      </w:pPr>
                      <w:r w:rsidRPr="00CA0045">
                        <w:rPr>
                          <w:b w:val="0"/>
                          <w:bCs/>
                        </w:rPr>
                        <w:instrText xml:space="preserve"> </w:instrText>
                      </w:r>
                      <w:r w:rsidRPr="00CA0045">
                        <w:rPr>
                          <w:b w:val="0"/>
                          <w:bCs/>
                        </w:rPr>
                        <w:fldChar w:fldCharType="end"/>
                      </w:r>
                      <w:r w:rsidRPr="00CA0045">
                        <w:rPr>
                          <w:b w:val="0"/>
                          <w:bCs/>
                        </w:rPr>
                        <w:fldChar w:fldCharType="begin"/>
                      </w:r>
                      <w:r w:rsidRPr="00CA0045">
                        <w:rPr>
                          <w:b w:val="0"/>
                          <w:bCs/>
                        </w:rPr>
                        <w:instrText xml:space="preserve"> </w:instrText>
                      </w:r>
                    </w:p>
                    <w:p w14:paraId="70350337" w14:textId="77777777" w:rsidR="00CA0045" w:rsidRPr="00CA0045" w:rsidRDefault="00CA0045" w:rsidP="00CA0045">
                      <w:pPr>
                        <w:pStyle w:val="Caption"/>
                        <w:rPr>
                          <w:b w:val="0"/>
                          <w:bCs/>
                        </w:rPr>
                      </w:pPr>
                    </w:p>
                    <w:p w14:paraId="3CC935F0" w14:textId="77777777" w:rsidR="00CA0045" w:rsidRPr="00CA0045" w:rsidRDefault="00CA0045" w:rsidP="00CA0045">
                      <w:pPr>
                        <w:pStyle w:val="Caption"/>
                        <w:rPr>
                          <w:b w:val="0"/>
                          <w:bCs/>
                        </w:rPr>
                      </w:pPr>
                      <w:r w:rsidRPr="00CA0045">
                        <w:rPr>
                          <w:b w:val="0"/>
                          <w:bCs/>
                        </w:rPr>
                        <w:instrText xml:space="preserve"> </w:instrText>
                      </w:r>
                      <w:r w:rsidRPr="00CA0045">
                        <w:rPr>
                          <w:b w:val="0"/>
                          <w:bCs/>
                        </w:rPr>
                        <w:fldChar w:fldCharType="end"/>
                      </w:r>
                      <w:bookmarkStart w:id="242" w:name="_Toc107573956"/>
                      <w:r w:rsidRPr="00CA0045">
                        <w:rPr>
                          <w:b w:val="0"/>
                          <w:bCs/>
                        </w:rPr>
                        <w:t>This is the precursor ion of peptide YAYEAGQMALHDTDVK. XICs of this precursor ion that was selected for MS/MS fragmentation (top) and found by MBR (bottom).</w:t>
                      </w:r>
                      <w:bookmarkEnd w:id="242"/>
                    </w:p>
                  </w:txbxContent>
                </v:textbox>
                <w10:wrap type="topAndBottom"/>
              </v:shape>
            </w:pict>
          </mc:Fallback>
        </mc:AlternateContent>
      </w:r>
      <w:r w:rsidRPr="00476931">
        <w:rPr>
          <w:rFonts w:ascii="Times New Roman" w:hAnsi="Times New Roman" w:cs="Times New Roman"/>
          <w:noProof/>
          <w:color w:val="000000" w:themeColor="text1"/>
        </w:rPr>
        <w:drawing>
          <wp:anchor distT="0" distB="0" distL="114300" distR="114300" simplePos="0" relativeHeight="251658257" behindDoc="0" locked="0" layoutInCell="1" allowOverlap="1" wp14:anchorId="41A17899" wp14:editId="6318822E">
            <wp:simplePos x="0" y="0"/>
            <wp:positionH relativeFrom="column">
              <wp:posOffset>0</wp:posOffset>
            </wp:positionH>
            <wp:positionV relativeFrom="paragraph">
              <wp:posOffset>0</wp:posOffset>
            </wp:positionV>
            <wp:extent cx="5295900" cy="1830070"/>
            <wp:effectExtent l="0" t="0" r="0" b="0"/>
            <wp:wrapTopAndBottom/>
            <wp:docPr id="2069" name="Picture 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295900" cy="1830070"/>
                    </a:xfrm>
                    <a:prstGeom prst="rect">
                      <a:avLst/>
                    </a:prstGeom>
                    <a:noFill/>
                  </pic:spPr>
                </pic:pic>
              </a:graphicData>
            </a:graphic>
            <wp14:sizeRelH relativeFrom="margin">
              <wp14:pctWidth>0</wp14:pctWidth>
            </wp14:sizeRelH>
          </wp:anchor>
        </w:drawing>
      </w:r>
      <w:r>
        <w:rPr>
          <w:color w:val="000000" w:themeColor="text1"/>
        </w:rPr>
        <w:br w:type="page"/>
      </w:r>
    </w:p>
    <w:p w14:paraId="30F49F0E" w14:textId="77777777" w:rsidR="00CA0045" w:rsidRDefault="00CA0045" w:rsidP="00CA0045">
      <w:pPr>
        <w:pStyle w:val="BodyText"/>
        <w:keepNext/>
      </w:pPr>
      <w:r w:rsidRPr="00476931">
        <w:rPr>
          <w:noProof/>
        </w:rPr>
        <w:drawing>
          <wp:inline distT="0" distB="0" distL="0" distR="0" wp14:anchorId="1C3B70DF" wp14:editId="2F65E09F">
            <wp:extent cx="5232400" cy="3421881"/>
            <wp:effectExtent l="0" t="0" r="0" b="0"/>
            <wp:docPr id="2090" name="Picture 2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265421" cy="3443476"/>
                    </a:xfrm>
                    <a:prstGeom prst="rect">
                      <a:avLst/>
                    </a:prstGeom>
                  </pic:spPr>
                </pic:pic>
              </a:graphicData>
            </a:graphic>
          </wp:inline>
        </w:drawing>
      </w:r>
    </w:p>
    <w:p w14:paraId="026FC8B6" w14:textId="29A123DA" w:rsidR="00CA0045" w:rsidRPr="00CA0045" w:rsidRDefault="00CA0045" w:rsidP="00CA0045">
      <w:pPr>
        <w:pStyle w:val="Caption"/>
        <w:rPr>
          <w:b w:val="0"/>
          <w:bCs/>
        </w:rPr>
      </w:pPr>
      <w:bookmarkStart w:id="237" w:name="_Toc110246943"/>
      <w:r>
        <w:t xml:space="preserve">Figure </w:t>
      </w:r>
      <w:fldSimple w:instr=" STYLEREF 1 \s ">
        <w:r w:rsidR="00AC2094">
          <w:rPr>
            <w:noProof/>
          </w:rPr>
          <w:t>4</w:t>
        </w:r>
      </w:fldSimple>
      <w:r w:rsidR="00AC2094">
        <w:noBreakHyphen/>
      </w:r>
      <w:fldSimple w:instr=" SEQ Figure \* ARABIC \s 1 ">
        <w:r w:rsidR="00AC2094">
          <w:rPr>
            <w:noProof/>
          </w:rPr>
          <w:t>8</w:t>
        </w:r>
      </w:fldSimple>
      <w:r>
        <w:t xml:space="preserve">  </w:t>
      </w:r>
      <w:r w:rsidRPr="00CA0045">
        <w:t>Percent of data matrix filled using MBR implementation.</w:t>
      </w:r>
      <w:bookmarkEnd w:id="237"/>
      <w:r w:rsidRPr="00CA0045">
        <w:t xml:space="preserve">  </w:t>
      </w:r>
      <w:r w:rsidRPr="00CA0045">
        <w:rPr>
          <w:b w:val="0"/>
          <w:bCs/>
        </w:rPr>
        <w:fldChar w:fldCharType="begin"/>
      </w:r>
      <w:r w:rsidRPr="00CA0045">
        <w:rPr>
          <w:b w:val="0"/>
          <w:bCs/>
        </w:rPr>
        <w:instrText xml:space="preserve"> </w:instrText>
      </w:r>
    </w:p>
    <w:p w14:paraId="0E3C4AB8" w14:textId="77777777" w:rsidR="00CA0045" w:rsidRPr="00CA0045" w:rsidRDefault="00CA0045" w:rsidP="00CA0045">
      <w:pPr>
        <w:pStyle w:val="Caption"/>
        <w:rPr>
          <w:b w:val="0"/>
          <w:bCs/>
        </w:rPr>
      </w:pPr>
    </w:p>
    <w:p w14:paraId="73B2BFAE" w14:textId="586A2B38" w:rsidR="00CA0045" w:rsidRPr="00CA0045" w:rsidRDefault="00CA0045" w:rsidP="00CA0045">
      <w:pPr>
        <w:pStyle w:val="Caption"/>
        <w:rPr>
          <w:b w:val="0"/>
          <w:bCs/>
        </w:rPr>
      </w:pPr>
      <w:r w:rsidRPr="00CA0045">
        <w:rPr>
          <w:b w:val="0"/>
          <w:bCs/>
        </w:rPr>
        <w:instrText xml:space="preserve"> </w:instrText>
      </w:r>
      <w:r w:rsidRPr="00CA0045">
        <w:rPr>
          <w:b w:val="0"/>
          <w:bCs/>
        </w:rPr>
        <w:fldChar w:fldCharType="end"/>
      </w:r>
      <w:r w:rsidRPr="00CA0045">
        <w:rPr>
          <w:b w:val="0"/>
          <w:bCs/>
        </w:rPr>
        <w:fldChar w:fldCharType="begin"/>
      </w:r>
      <w:r w:rsidRPr="00CA0045">
        <w:rPr>
          <w:b w:val="0"/>
          <w:bCs/>
        </w:rPr>
        <w:instrText xml:space="preserve"> </w:instrText>
      </w:r>
    </w:p>
    <w:p w14:paraId="2B705FDD" w14:textId="77777777" w:rsidR="00CA0045" w:rsidRPr="00CA0045" w:rsidRDefault="00CA0045" w:rsidP="00CA0045">
      <w:pPr>
        <w:pStyle w:val="Caption"/>
        <w:rPr>
          <w:b w:val="0"/>
          <w:bCs/>
        </w:rPr>
      </w:pPr>
    </w:p>
    <w:p w14:paraId="111A5943" w14:textId="3A87DE83" w:rsidR="00CA0045" w:rsidRPr="00CA0045" w:rsidRDefault="00CA0045" w:rsidP="00CA0045">
      <w:pPr>
        <w:pStyle w:val="Caption"/>
        <w:rPr>
          <w:b w:val="0"/>
          <w:bCs/>
        </w:rPr>
      </w:pPr>
      <w:r w:rsidRPr="00CA0045">
        <w:rPr>
          <w:b w:val="0"/>
          <w:bCs/>
        </w:rPr>
        <w:instrText xml:space="preserve"> </w:instrText>
      </w:r>
      <w:r w:rsidRPr="00CA0045">
        <w:rPr>
          <w:b w:val="0"/>
          <w:bCs/>
        </w:rPr>
        <w:fldChar w:fldCharType="end"/>
      </w:r>
      <w:bookmarkStart w:id="238" w:name="_Toc107573958"/>
      <w:r w:rsidRPr="00CA0045">
        <w:rPr>
          <w:b w:val="0"/>
          <w:bCs/>
        </w:rPr>
        <w:t xml:space="preserve">MBR applied across all ten samples examined, including five biological replicates for the full community samples and five biological replicates for the </w:t>
      </w:r>
      <w:r w:rsidRPr="007475CC">
        <w:rPr>
          <w:b w:val="0"/>
          <w:bCs/>
          <w:i/>
          <w:iCs w:val="0"/>
        </w:rPr>
        <w:t xml:space="preserve">B. </w:t>
      </w:r>
      <w:r w:rsidR="007475CC" w:rsidRPr="007475CC">
        <w:rPr>
          <w:b w:val="0"/>
          <w:bCs/>
          <w:i/>
          <w:iCs w:val="0"/>
        </w:rPr>
        <w:t>cellulosilyticus</w:t>
      </w:r>
      <w:r w:rsidRPr="00CA0045">
        <w:rPr>
          <w:b w:val="0"/>
          <w:bCs/>
        </w:rPr>
        <w:t xml:space="preserve"> drop-out samples.  MBR implementation increased the percent of quantitative values in the data matrix.</w:t>
      </w:r>
      <w:bookmarkEnd w:id="238"/>
    </w:p>
    <w:p w14:paraId="52677C69" w14:textId="0C018269" w:rsidR="00CA0045" w:rsidRDefault="00CA0045" w:rsidP="00CA0045">
      <w:pPr>
        <w:pStyle w:val="BodyText"/>
      </w:pPr>
      <w:r>
        <w:br w:type="page"/>
      </w:r>
    </w:p>
    <w:p w14:paraId="2248B215" w14:textId="0920D56D" w:rsidR="0070007A" w:rsidRPr="00476931" w:rsidRDefault="0070007A" w:rsidP="0070007A">
      <w:pPr>
        <w:pStyle w:val="Heading3"/>
      </w:pPr>
      <w:bookmarkStart w:id="239" w:name="_Toc110250269"/>
      <w:bookmarkStart w:id="240" w:name="_Toc110250526"/>
      <w:bookmarkStart w:id="241" w:name="_Toc110250657"/>
      <w:r w:rsidRPr="00476931">
        <w:t>4.4.2  Evaluating false transfer rates associated with MBR.</w:t>
      </w:r>
      <w:bookmarkEnd w:id="239"/>
      <w:bookmarkEnd w:id="240"/>
      <w:bookmarkEnd w:id="241"/>
      <w:r w:rsidRPr="00476931">
        <w:t xml:space="preserve">  </w:t>
      </w:r>
    </w:p>
    <w:p w14:paraId="59E493BD" w14:textId="77777777" w:rsidR="0070007A" w:rsidRDefault="0070007A" w:rsidP="0070007A">
      <w:pPr>
        <w:ind w:left="180" w:firstLine="0"/>
        <w:rPr>
          <w:i/>
          <w:iCs/>
          <w:color w:val="000000" w:themeColor="text1"/>
          <w:spacing w:val="-3"/>
        </w:rPr>
      </w:pPr>
    </w:p>
    <w:p w14:paraId="310497C5" w14:textId="77777777" w:rsidR="0070007A" w:rsidRDefault="0070007A" w:rsidP="0070007A">
      <w:pPr>
        <w:ind w:left="180" w:firstLine="0"/>
        <w:rPr>
          <w:color w:val="000000" w:themeColor="text1"/>
        </w:rPr>
      </w:pPr>
      <w:r w:rsidRPr="003C7207">
        <w:rPr>
          <w:i/>
          <w:iCs/>
          <w:color w:val="000000" w:themeColor="text1"/>
          <w:spacing w:val="-3"/>
        </w:rPr>
        <w:t>Data generated</w:t>
      </w:r>
      <w:r>
        <w:rPr>
          <w:i/>
          <w:iCs/>
          <w:color w:val="000000" w:themeColor="text1"/>
          <w:spacing w:val="-3"/>
        </w:rPr>
        <w:t xml:space="preserve">, </w:t>
      </w:r>
      <w:r w:rsidRPr="003C7207">
        <w:rPr>
          <w:i/>
          <w:iCs/>
          <w:color w:val="000000" w:themeColor="text1"/>
          <w:spacing w:val="-3"/>
        </w:rPr>
        <w:t>analyzed</w:t>
      </w:r>
      <w:r>
        <w:rPr>
          <w:i/>
          <w:iCs/>
          <w:color w:val="000000" w:themeColor="text1"/>
          <w:spacing w:val="-3"/>
        </w:rPr>
        <w:t>, and adapted from</w:t>
      </w:r>
      <w:r w:rsidRPr="003C7207">
        <w:rPr>
          <w:i/>
          <w:iCs/>
          <w:color w:val="000000" w:themeColor="text1"/>
          <w:spacing w:val="-3"/>
        </w:rPr>
        <w:t xml:space="preserve"> </w:t>
      </w:r>
      <w:r>
        <w:rPr>
          <w:i/>
          <w:iCs/>
          <w:color w:val="000000" w:themeColor="text1"/>
          <w:spacing w:val="-3"/>
        </w:rPr>
        <w:t>Patnode</w:t>
      </w:r>
      <w:r w:rsidRPr="003C7207">
        <w:rPr>
          <w:i/>
          <w:iCs/>
          <w:color w:val="000000" w:themeColor="text1"/>
          <w:spacing w:val="-3"/>
        </w:rPr>
        <w:t xml:space="preserve"> </w:t>
      </w:r>
      <w:r w:rsidRPr="003C7207">
        <w:rPr>
          <w:i/>
          <w:iCs/>
          <w:color w:val="000000" w:themeColor="text1"/>
        </w:rPr>
        <w:t>et</w:t>
      </w:r>
      <w:r w:rsidRPr="003C7207">
        <w:rPr>
          <w:i/>
          <w:iCs/>
          <w:color w:val="000000" w:themeColor="text1"/>
          <w:spacing w:val="-2"/>
        </w:rPr>
        <w:t xml:space="preserve"> </w:t>
      </w:r>
      <w:r w:rsidRPr="003C7207">
        <w:rPr>
          <w:i/>
          <w:iCs/>
          <w:color w:val="000000" w:themeColor="text1"/>
        </w:rPr>
        <w:t>al., 20</w:t>
      </w:r>
      <w:r>
        <w:rPr>
          <w:i/>
          <w:iCs/>
          <w:color w:val="000000" w:themeColor="text1"/>
        </w:rPr>
        <w:t>19.</w:t>
      </w:r>
      <w:r w:rsidRPr="003C7207">
        <w:rPr>
          <w:i/>
          <w:iCs/>
          <w:color w:val="000000" w:themeColor="text1"/>
          <w:spacing w:val="-3"/>
        </w:rPr>
        <w:t xml:space="preserve"> </w:t>
      </w:r>
      <w:r>
        <w:rPr>
          <w:i/>
          <w:iCs/>
          <w:color w:val="000000" w:themeColor="text1"/>
          <w:spacing w:val="-3"/>
        </w:rPr>
        <w:t>Cell</w:t>
      </w:r>
      <w:r w:rsidRPr="003C7207">
        <w:rPr>
          <w:i/>
          <w:iCs/>
          <w:color w:val="000000" w:themeColor="text1"/>
          <w:spacing w:val="-5"/>
        </w:rPr>
        <w:t>.</w:t>
      </w:r>
      <w:r w:rsidRPr="0070007A">
        <w:rPr>
          <w:color w:val="000000" w:themeColor="text1"/>
        </w:rPr>
        <w:t xml:space="preserve"> </w:t>
      </w:r>
    </w:p>
    <w:p w14:paraId="183F3FCE" w14:textId="77777777" w:rsidR="0070007A" w:rsidRDefault="0070007A" w:rsidP="0070007A">
      <w:pPr>
        <w:ind w:left="180" w:firstLine="0"/>
        <w:rPr>
          <w:color w:val="000000" w:themeColor="text1"/>
        </w:rPr>
      </w:pPr>
    </w:p>
    <w:p w14:paraId="4D7F7024" w14:textId="77777777" w:rsidR="0070007A" w:rsidRPr="003C7207" w:rsidRDefault="0070007A" w:rsidP="0070007A">
      <w:pPr>
        <w:ind w:left="180" w:firstLine="0"/>
        <w:rPr>
          <w:i/>
          <w:iCs/>
          <w:color w:val="000000" w:themeColor="text1"/>
        </w:rPr>
      </w:pPr>
      <w:r w:rsidRPr="00476931">
        <w:rPr>
          <w:color w:val="000000" w:themeColor="text1"/>
        </w:rPr>
        <w:t>A previous study evaluating the authenticity of identification transfers with MBR</w:t>
      </w:r>
    </w:p>
    <w:p w14:paraId="2CFDF8A9" w14:textId="77777777" w:rsidR="0070007A" w:rsidRDefault="0070007A" w:rsidP="0070007A">
      <w:pPr>
        <w:ind w:firstLine="22"/>
        <w:rPr>
          <w:color w:val="000000" w:themeColor="text1"/>
        </w:rPr>
      </w:pPr>
      <w:r w:rsidRPr="00476931">
        <w:rPr>
          <w:color w:val="000000" w:themeColor="text1"/>
        </w:rPr>
        <w:t>using a two-proteome dataset composted of human cell lysates (HCT116 cells) and yeast cell lysates (</w:t>
      </w:r>
      <w:r w:rsidRPr="00036D3B">
        <w:rPr>
          <w:i/>
          <w:color w:val="000000" w:themeColor="text1"/>
        </w:rPr>
        <w:t>Saccharomyces cerevisiae</w:t>
      </w:r>
      <w:r w:rsidRPr="00476931">
        <w:rPr>
          <w:color w:val="000000" w:themeColor="text1"/>
        </w:rPr>
        <w:t xml:space="preserve">) showed that false transfers from the </w:t>
      </w:r>
    </w:p>
    <w:p w14:paraId="507C7E6D" w14:textId="73554B8F" w:rsidR="00CA0045" w:rsidRPr="00476931" w:rsidRDefault="00C46159" w:rsidP="00CA0045">
      <w:pPr>
        <w:ind w:firstLine="22"/>
        <w:rPr>
          <w:color w:val="000000" w:themeColor="text1"/>
        </w:rPr>
      </w:pPr>
      <w:r w:rsidRPr="00476931">
        <w:rPr>
          <w:color w:val="000000" w:themeColor="text1"/>
        </w:rPr>
        <w:t>MBR algorithm implemented in the MaxQuant proteomics platform do occur at a measurable rate</w:t>
      </w:r>
      <w:r w:rsidRPr="00476931">
        <w:rPr>
          <w:color w:val="000000" w:themeColor="text1"/>
          <w:vertAlign w:val="superscript"/>
        </w:rPr>
        <w:t xml:space="preserve"> </w:t>
      </w:r>
      <w:sdt>
        <w:sdtPr>
          <w:rPr>
            <w:color w:val="000000"/>
            <w:vertAlign w:val="superscript"/>
          </w:rPr>
          <w:tag w:val="MENDELEY_CITATION_v3_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"/>
          <w:id w:val="-243731638"/>
          <w:placeholder>
            <w:docPart w:val="54831E4A164F493FB6C41C0F951CE09A"/>
          </w:placeholder>
        </w:sdtPr>
        <w:sdtEndPr/>
        <w:sdtContent>
          <w:r w:rsidR="003204EA" w:rsidRPr="003204EA">
            <w:rPr>
              <w:rFonts w:eastAsia="Times New Roman"/>
              <w:color w:val="000000"/>
              <w:vertAlign w:val="superscript"/>
            </w:rPr>
            <w:t>152</w:t>
          </w:r>
        </w:sdtContent>
      </w:sdt>
      <w:r w:rsidRPr="00476931">
        <w:rPr>
          <w:color w:val="000000" w:themeColor="text1"/>
        </w:rPr>
        <w:t xml:space="preserve">.  In this study, 44% of proteins from yeast cells in the two-proteome mix were incorrectly transferred to measurements in the human-only cells.  However, </w:t>
      </w:r>
      <w:r w:rsidR="00CA0045" w:rsidRPr="00476931">
        <w:rPr>
          <w:color w:val="000000" w:themeColor="text1"/>
        </w:rPr>
        <w:t>the authors found that most of the false transfers were spurious and resulted from MS/MS identifications that were only found once across the entire dataset.  Implementation of additional quantitation filters in this platform prevented the spurious transfers, which prevented incorrect quantitation of peptides in the dataset.</w:t>
      </w:r>
    </w:p>
    <w:p w14:paraId="1B849CCF" w14:textId="191CC455" w:rsidR="00310878" w:rsidRPr="00476931" w:rsidRDefault="00D6394B" w:rsidP="00CA0045">
      <w:pPr>
        <w:rPr>
          <w:color w:val="000000" w:themeColor="text1"/>
        </w:rPr>
      </w:pPr>
      <w:r w:rsidRPr="00476931">
        <w:rPr>
          <w:color w:val="000000" w:themeColor="text1"/>
        </w:rPr>
        <w:t xml:space="preserve">Initial testing of the false transfer rate from MBR implementation in the Proteome Discoverer platform with this same two-proteome model showed that false transfers also occur during the MBR process in Proteome Discoverer </w:t>
      </w:r>
      <w:proofErr w:type="gramStart"/>
      <w:r w:rsidRPr="00476931">
        <w:rPr>
          <w:color w:val="000000" w:themeColor="text1"/>
        </w:rPr>
        <w:t>similar to</w:t>
      </w:r>
      <w:proofErr w:type="gramEnd"/>
      <w:r w:rsidRPr="00476931">
        <w:rPr>
          <w:color w:val="000000" w:themeColor="text1"/>
        </w:rPr>
        <w:t xml:space="preserve"> the false-transfer issues observed in the MaxQuant platform. This demonstrates that the false transfer issue associated with MBR is platform agnostic.  In Proteome Discoverer, these false transfers can be controlled by addressing ambiguous extracted ion chromatogram (XIC) features (consensus features) in the dataset.    One way to address ambiguous consensus features is to implement a rule that a certain number of MS/MS fragmentation events must occur in the dataset </w:t>
      </w:r>
      <w:proofErr w:type="gramStart"/>
      <w:r w:rsidRPr="00476931">
        <w:rPr>
          <w:color w:val="000000" w:themeColor="text1"/>
        </w:rPr>
        <w:t>in order for</w:t>
      </w:r>
      <w:proofErr w:type="gramEnd"/>
      <w:r w:rsidRPr="00476931">
        <w:rPr>
          <w:color w:val="000000" w:themeColor="text1"/>
        </w:rPr>
        <w:t xml:space="preserve"> quantitative values to be transferred to samples that have MS1 precursor ion evidence but no MS/MS</w:t>
      </w:r>
      <w:r>
        <w:rPr>
          <w:color w:val="000000" w:themeColor="text1"/>
        </w:rPr>
        <w:t xml:space="preserve"> </w:t>
      </w:r>
      <w:r w:rsidR="00310878" w:rsidRPr="00476931">
        <w:rPr>
          <w:color w:val="000000" w:themeColor="text1"/>
        </w:rPr>
        <w:t>fragmentation evidence of the peptide. The specific number of MS/MS fragmentation events should be assessed for each dataset based on the complexity of the samples, the size of the overall dataset, and the number of replicates for each condition tested.</w:t>
      </w:r>
    </w:p>
    <w:p w14:paraId="698A1101" w14:textId="7AAF682B" w:rsidR="00CA0045" w:rsidRDefault="00310878" w:rsidP="008D253E">
      <w:pPr>
        <w:rPr>
          <w:color w:val="000000" w:themeColor="text1"/>
        </w:rPr>
      </w:pPr>
      <w:r w:rsidRPr="00476931">
        <w:rPr>
          <w:color w:val="000000" w:themeColor="text1"/>
        </w:rPr>
        <w:t xml:space="preserve">The gnotobiotic mouse model dataset was used to further evaluate MBR false transfer rates in complex metaproteomes. To assess the level of false transfers in the dataset, we looked at quantitative values assigned for </w:t>
      </w:r>
      <w:r w:rsidRPr="00476931">
        <w:rPr>
          <w:i/>
          <w:color w:val="000000" w:themeColor="text1"/>
        </w:rPr>
        <w:t>B. cellulosilyticus</w:t>
      </w:r>
      <w:r w:rsidRPr="00476931">
        <w:rPr>
          <w:color w:val="000000" w:themeColor="text1"/>
        </w:rPr>
        <w:t xml:space="preserve"> peptides, since </w:t>
      </w:r>
    </w:p>
    <w:p w14:paraId="4980742F" w14:textId="05C2413F" w:rsidR="008D253E" w:rsidRPr="00476931" w:rsidRDefault="0070007A" w:rsidP="00CA0045">
      <w:pPr>
        <w:ind w:firstLine="0"/>
        <w:rPr>
          <w:b/>
          <w:bCs/>
          <w:color w:val="000000" w:themeColor="text1"/>
        </w:rPr>
      </w:pPr>
      <w:r w:rsidRPr="00476931">
        <w:rPr>
          <w:color w:val="000000" w:themeColor="text1"/>
        </w:rPr>
        <w:t>this was the organism omitted from the community in some samples</w:t>
      </w:r>
      <w:r w:rsidRPr="00476931">
        <w:rPr>
          <w:b/>
          <w:bCs/>
          <w:color w:val="000000" w:themeColor="text1"/>
        </w:rPr>
        <w:t xml:space="preserve"> (Figure 4</w:t>
      </w:r>
      <w:r w:rsidR="009E08D4">
        <w:rPr>
          <w:b/>
          <w:bCs/>
          <w:color w:val="000000" w:themeColor="text1"/>
        </w:rPr>
        <w:t>-</w:t>
      </w:r>
      <w:r w:rsidRPr="00476931">
        <w:rPr>
          <w:b/>
          <w:bCs/>
          <w:color w:val="000000" w:themeColor="text1"/>
        </w:rPr>
        <w:t xml:space="preserve">9). </w:t>
      </w:r>
      <w:r w:rsidRPr="00476931">
        <w:rPr>
          <w:color w:val="000000" w:themeColor="text1"/>
        </w:rPr>
        <w:t xml:space="preserve">MBR implementation alone increases the number of quantitative values for </w:t>
      </w:r>
      <w:r w:rsidRPr="00476931">
        <w:rPr>
          <w:i/>
          <w:color w:val="000000" w:themeColor="text1"/>
        </w:rPr>
        <w:t>B.</w:t>
      </w:r>
      <w:r w:rsidRPr="00476931">
        <w:rPr>
          <w:iCs/>
          <w:color w:val="000000" w:themeColor="text1"/>
        </w:rPr>
        <w:t xml:space="preserve"> </w:t>
      </w:r>
      <w:r w:rsidRPr="00476931">
        <w:rPr>
          <w:i/>
          <w:color w:val="000000" w:themeColor="text1"/>
        </w:rPr>
        <w:t>cellulosilyticus</w:t>
      </w:r>
      <w:r w:rsidRPr="00476931">
        <w:rPr>
          <w:color w:val="000000" w:themeColor="text1"/>
        </w:rPr>
        <w:t xml:space="preserve"> within replicate sets by ~20%.  However, in the samples </w:t>
      </w:r>
      <w:r w:rsidRPr="00476931">
        <w:rPr>
          <w:i/>
          <w:iCs/>
          <w:color w:val="000000" w:themeColor="text1"/>
        </w:rPr>
        <w:t xml:space="preserve">where B. cellulosilyticus </w:t>
      </w:r>
      <w:r w:rsidRPr="00476931">
        <w:rPr>
          <w:color w:val="000000" w:themeColor="text1"/>
        </w:rPr>
        <w:t xml:space="preserve">was absent, the gains achieved by MBR were due to false transfers.  Requiring at least one MS/MS fragmentation event within the replicate set for MBR values to be included in the dataset reduces the number of false transfers while still increasing the number of high-quality quantitative values in the full-community data </w:t>
      </w:r>
      <w:r w:rsidR="00C46159" w:rsidRPr="00476931">
        <w:rPr>
          <w:color w:val="000000" w:themeColor="text1"/>
        </w:rPr>
        <w:t xml:space="preserve">matrix.  This MS/MS fragmentation event requirement reduced the identification transfers of quantitative values for </w:t>
      </w:r>
      <w:r w:rsidR="00C46159" w:rsidRPr="00476931">
        <w:rPr>
          <w:i/>
          <w:color w:val="000000" w:themeColor="text1"/>
        </w:rPr>
        <w:t>B. cellulosilyticus</w:t>
      </w:r>
      <w:r w:rsidR="00C46159" w:rsidRPr="00476931">
        <w:rPr>
          <w:color w:val="000000" w:themeColor="text1"/>
        </w:rPr>
        <w:t xml:space="preserve"> peptides from 11,185 to 45 erroneous quantitative values. The remaining quantitative values were low abundance </w:t>
      </w:r>
      <w:r w:rsidR="00310878" w:rsidRPr="00476931">
        <w:rPr>
          <w:color w:val="000000" w:themeColor="text1"/>
        </w:rPr>
        <w:t>and can be further filtered out of the data matrix with either stricter MBR thresholds or during downstream protein inference processes.  Control of MBR implementation during searching reduced false transfers, while still decreasing missing values by more than five percent across the entire dataset and up to ten percent within replicate sets compared to no MBR implementation. MBR with additional filtering of matched XIC features based on MS/MS fragmentation events should be implemented to ensure stochastic hits causing erroneous transfers are minimized.</w:t>
      </w:r>
    </w:p>
    <w:p w14:paraId="58C368B7" w14:textId="77777777" w:rsidR="00CA0045" w:rsidRDefault="00CA0045" w:rsidP="00CA0045">
      <w:pPr>
        <w:pStyle w:val="Heading3"/>
        <w:numPr>
          <w:ilvl w:val="0"/>
          <w:numId w:val="0"/>
        </w:numPr>
      </w:pPr>
    </w:p>
    <w:p w14:paraId="0F1BB64B" w14:textId="0682501D" w:rsidR="001666D1" w:rsidRPr="00476931" w:rsidRDefault="001666D1" w:rsidP="00CA0045">
      <w:pPr>
        <w:pStyle w:val="Heading3"/>
        <w:numPr>
          <w:ilvl w:val="0"/>
          <w:numId w:val="0"/>
        </w:numPr>
      </w:pPr>
      <w:bookmarkStart w:id="242" w:name="_Toc110250270"/>
      <w:bookmarkStart w:id="243" w:name="_Toc110250527"/>
      <w:bookmarkStart w:id="244" w:name="_Toc110250658"/>
      <w:r w:rsidRPr="00476931">
        <w:t>4.4.3  Benchmarking the accuracy of common protein inference strategies for metaproteomic datasets</w:t>
      </w:r>
      <w:r w:rsidR="0003562F">
        <w:t>.</w:t>
      </w:r>
      <w:bookmarkEnd w:id="242"/>
      <w:bookmarkEnd w:id="243"/>
      <w:bookmarkEnd w:id="244"/>
      <w:r w:rsidRPr="00476931">
        <w:t xml:space="preserve"> </w:t>
      </w:r>
    </w:p>
    <w:p w14:paraId="2043B6B9" w14:textId="488BC050" w:rsidR="001666D1" w:rsidRDefault="001666D1" w:rsidP="009123CE">
      <w:pPr>
        <w:spacing w:before="1"/>
        <w:ind w:left="0" w:firstLine="0"/>
        <w:rPr>
          <w:color w:val="000000" w:themeColor="text1"/>
        </w:rPr>
      </w:pPr>
    </w:p>
    <w:p w14:paraId="04565A66" w14:textId="77777777" w:rsidR="009123CE" w:rsidRPr="003C7207" w:rsidRDefault="009123CE" w:rsidP="009123CE">
      <w:pPr>
        <w:ind w:left="180" w:firstLine="0"/>
        <w:rPr>
          <w:i/>
          <w:iCs/>
          <w:color w:val="000000" w:themeColor="text1"/>
        </w:rPr>
      </w:pPr>
      <w:r w:rsidRPr="003C7207">
        <w:rPr>
          <w:i/>
          <w:iCs/>
          <w:color w:val="000000" w:themeColor="text1"/>
          <w:spacing w:val="-3"/>
        </w:rPr>
        <w:t>Data generated</w:t>
      </w:r>
      <w:r>
        <w:rPr>
          <w:i/>
          <w:iCs/>
          <w:color w:val="000000" w:themeColor="text1"/>
          <w:spacing w:val="-3"/>
        </w:rPr>
        <w:t xml:space="preserve">, </w:t>
      </w:r>
      <w:r w:rsidRPr="003C7207">
        <w:rPr>
          <w:i/>
          <w:iCs/>
          <w:color w:val="000000" w:themeColor="text1"/>
          <w:spacing w:val="-3"/>
        </w:rPr>
        <w:t>analyzed</w:t>
      </w:r>
      <w:r>
        <w:rPr>
          <w:i/>
          <w:iCs/>
          <w:color w:val="000000" w:themeColor="text1"/>
          <w:spacing w:val="-3"/>
        </w:rPr>
        <w:t>, and adapted from</w:t>
      </w:r>
      <w:r w:rsidRPr="003C7207">
        <w:rPr>
          <w:i/>
          <w:iCs/>
          <w:color w:val="000000" w:themeColor="text1"/>
          <w:spacing w:val="-3"/>
        </w:rPr>
        <w:t xml:space="preserve"> </w:t>
      </w:r>
      <w:r>
        <w:rPr>
          <w:i/>
          <w:iCs/>
          <w:color w:val="000000" w:themeColor="text1"/>
          <w:spacing w:val="-3"/>
        </w:rPr>
        <w:t>Patnode</w:t>
      </w:r>
      <w:r w:rsidRPr="003C7207">
        <w:rPr>
          <w:i/>
          <w:iCs/>
          <w:color w:val="000000" w:themeColor="text1"/>
          <w:spacing w:val="-3"/>
        </w:rPr>
        <w:t xml:space="preserve"> </w:t>
      </w:r>
      <w:r w:rsidRPr="003C7207">
        <w:rPr>
          <w:i/>
          <w:iCs/>
          <w:color w:val="000000" w:themeColor="text1"/>
        </w:rPr>
        <w:t>et</w:t>
      </w:r>
      <w:r w:rsidRPr="003C7207">
        <w:rPr>
          <w:i/>
          <w:iCs/>
          <w:color w:val="000000" w:themeColor="text1"/>
          <w:spacing w:val="-2"/>
        </w:rPr>
        <w:t xml:space="preserve"> </w:t>
      </w:r>
      <w:r w:rsidRPr="003C7207">
        <w:rPr>
          <w:i/>
          <w:iCs/>
          <w:color w:val="000000" w:themeColor="text1"/>
        </w:rPr>
        <w:t>al., 20</w:t>
      </w:r>
      <w:r>
        <w:rPr>
          <w:i/>
          <w:iCs/>
          <w:color w:val="000000" w:themeColor="text1"/>
        </w:rPr>
        <w:t>19.</w:t>
      </w:r>
      <w:r w:rsidRPr="003C7207">
        <w:rPr>
          <w:i/>
          <w:iCs/>
          <w:color w:val="000000" w:themeColor="text1"/>
          <w:spacing w:val="-3"/>
        </w:rPr>
        <w:t xml:space="preserve"> </w:t>
      </w:r>
      <w:r>
        <w:rPr>
          <w:i/>
          <w:iCs/>
          <w:color w:val="000000" w:themeColor="text1"/>
          <w:spacing w:val="-3"/>
        </w:rPr>
        <w:t>Cell</w:t>
      </w:r>
      <w:r w:rsidRPr="003C7207">
        <w:rPr>
          <w:i/>
          <w:iCs/>
          <w:color w:val="000000" w:themeColor="text1"/>
          <w:spacing w:val="-5"/>
        </w:rPr>
        <w:t>.</w:t>
      </w:r>
    </w:p>
    <w:p w14:paraId="345D8F7C" w14:textId="77777777" w:rsidR="009123CE" w:rsidRDefault="009123CE" w:rsidP="009123CE">
      <w:pPr>
        <w:spacing w:before="1"/>
        <w:ind w:left="0" w:firstLine="0"/>
        <w:rPr>
          <w:color w:val="000000" w:themeColor="text1"/>
        </w:rPr>
      </w:pPr>
    </w:p>
    <w:p w14:paraId="03D6E8FC" w14:textId="6CDDC3DE" w:rsidR="00CA0045" w:rsidRDefault="00C7280B" w:rsidP="00C7280B">
      <w:pPr>
        <w:spacing w:before="1"/>
        <w:rPr>
          <w:color w:val="000000" w:themeColor="text1"/>
        </w:rPr>
      </w:pPr>
      <w:r w:rsidRPr="00476931">
        <w:rPr>
          <w:color w:val="000000" w:themeColor="text1"/>
        </w:rPr>
        <w:t xml:space="preserve">One of the major challenges with metaproteomics is the correct assignment of peptides into proteins due to the redundancy of the proteomes.  When a peptide maps to several proteins across organisms, relying on the quantitative values of ambiguous identifications can lead to incorrect interpretation of functional and taxonomic results. For example, in a concept known as protein “hitchhiking”, proteins included in the database used for database searching that are not actually present in the measured sample can “hitchhike” and be inferred as present in the samples if they share peptides </w:t>
      </w:r>
    </w:p>
    <w:p w14:paraId="4B97E5DD" w14:textId="77777777" w:rsidR="003653E2" w:rsidRDefault="003653E2" w:rsidP="00CA0045">
      <w:pPr>
        <w:pStyle w:val="BodyText"/>
        <w:keepNext/>
      </w:pPr>
      <w:r w:rsidRPr="00476931">
        <w:rPr>
          <w:noProof/>
        </w:rPr>
        <w:drawing>
          <wp:inline distT="0" distB="0" distL="0" distR="0" wp14:anchorId="38FC5317" wp14:editId="6695105E">
            <wp:extent cx="5486400" cy="20574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486400" cy="2057400"/>
                    </a:xfrm>
                    <a:prstGeom prst="rect">
                      <a:avLst/>
                    </a:prstGeom>
                  </pic:spPr>
                </pic:pic>
              </a:graphicData>
            </a:graphic>
          </wp:inline>
        </w:drawing>
      </w:r>
    </w:p>
    <w:p w14:paraId="0C9B1174" w14:textId="65814A2A" w:rsidR="00CA0045" w:rsidRDefault="00CA0045" w:rsidP="00CA0045">
      <w:pPr>
        <w:pStyle w:val="BodyText"/>
        <w:keepNext/>
      </w:pPr>
    </w:p>
    <w:p w14:paraId="379F69E9" w14:textId="2182B68D" w:rsidR="00AC2094" w:rsidRPr="00AC2094" w:rsidRDefault="003653E2" w:rsidP="003653E2">
      <w:pPr>
        <w:pStyle w:val="Caption"/>
        <w:rPr>
          <w:b w:val="0"/>
          <w:bCs/>
        </w:rPr>
      </w:pPr>
      <w:bookmarkStart w:id="245" w:name="_Toc110246944"/>
      <w:r>
        <w:t xml:space="preserve">Figure </w:t>
      </w:r>
      <w:fldSimple w:instr=" STYLEREF 1 \s ">
        <w:r w:rsidR="00AC2094">
          <w:rPr>
            <w:noProof/>
          </w:rPr>
          <w:t>4</w:t>
        </w:r>
      </w:fldSimple>
      <w:r w:rsidR="00AC2094">
        <w:noBreakHyphen/>
      </w:r>
      <w:fldSimple w:instr=" SEQ Figure \* ARABIC \s 1 ">
        <w:r w:rsidR="00AC2094">
          <w:rPr>
            <w:noProof/>
          </w:rPr>
          <w:t>9</w:t>
        </w:r>
      </w:fldSimple>
      <w:r>
        <w:t xml:space="preserve">  </w:t>
      </w:r>
      <w:r w:rsidRPr="009423F4">
        <w:rPr>
          <w:i/>
          <w:iCs w:val="0"/>
        </w:rPr>
        <w:t xml:space="preserve">B. cellulosilyticus </w:t>
      </w:r>
      <w:r w:rsidRPr="00CA0045">
        <w:t>peptides utilizing different implementations of MBR.</w:t>
      </w:r>
      <w:bookmarkEnd w:id="245"/>
      <w:r w:rsidR="00AC2094">
        <w:t xml:space="preserve">  </w:t>
      </w:r>
      <w:r w:rsidR="00AC2094">
        <w:fldChar w:fldCharType="begin"/>
      </w:r>
      <w:r w:rsidR="00AC2094">
        <w:instrText xml:space="preserve"> </w:instrText>
      </w:r>
    </w:p>
    <w:p w14:paraId="470662CC" w14:textId="77777777" w:rsidR="00AC2094" w:rsidRPr="00AC2094" w:rsidRDefault="00AC2094" w:rsidP="003653E2">
      <w:pPr>
        <w:pStyle w:val="Caption"/>
        <w:rPr>
          <w:b w:val="0"/>
          <w:bCs/>
        </w:rPr>
      </w:pPr>
    </w:p>
    <w:p w14:paraId="0B686C70" w14:textId="79AEEEA7" w:rsidR="00AC2094" w:rsidRPr="00AC2094" w:rsidRDefault="00AC2094" w:rsidP="003653E2">
      <w:pPr>
        <w:pStyle w:val="Caption"/>
        <w:rPr>
          <w:b w:val="0"/>
          <w:bCs/>
        </w:rPr>
      </w:pPr>
      <w:r>
        <w:instrText xml:space="preserve"> </w:instrText>
      </w:r>
      <w:r>
        <w:fldChar w:fldCharType="end"/>
      </w:r>
      <w:r>
        <w:fldChar w:fldCharType="begin"/>
      </w:r>
      <w:r>
        <w:instrText xml:space="preserve"> </w:instrText>
      </w:r>
    </w:p>
    <w:p w14:paraId="78037CBE" w14:textId="77777777" w:rsidR="00AC2094" w:rsidRPr="00AC2094" w:rsidRDefault="00AC2094" w:rsidP="003653E2">
      <w:pPr>
        <w:pStyle w:val="Caption"/>
        <w:rPr>
          <w:b w:val="0"/>
          <w:bCs/>
        </w:rPr>
      </w:pPr>
    </w:p>
    <w:p w14:paraId="147F36CB" w14:textId="4014C62D" w:rsidR="003653E2" w:rsidRPr="00CA0045" w:rsidRDefault="00AC2094" w:rsidP="003653E2">
      <w:pPr>
        <w:pStyle w:val="Caption"/>
        <w:rPr>
          <w:b w:val="0"/>
          <w:bCs/>
        </w:rPr>
      </w:pPr>
      <w:r>
        <w:instrText xml:space="preserve"> </w:instrText>
      </w:r>
      <w:r>
        <w:fldChar w:fldCharType="end"/>
      </w:r>
      <w:r w:rsidR="003653E2" w:rsidRPr="00CA0045">
        <w:rPr>
          <w:b w:val="0"/>
          <w:bCs/>
        </w:rPr>
        <w:fldChar w:fldCharType="begin"/>
      </w:r>
      <w:r w:rsidR="003653E2" w:rsidRPr="00CA0045">
        <w:rPr>
          <w:b w:val="0"/>
          <w:bCs/>
        </w:rPr>
        <w:instrText xml:space="preserve"> </w:instrText>
      </w:r>
    </w:p>
    <w:p w14:paraId="6F65CED4" w14:textId="77777777" w:rsidR="003653E2" w:rsidRPr="00CA0045" w:rsidRDefault="003653E2" w:rsidP="003653E2">
      <w:pPr>
        <w:pStyle w:val="Caption"/>
        <w:rPr>
          <w:b w:val="0"/>
          <w:bCs/>
        </w:rPr>
      </w:pPr>
    </w:p>
    <w:p w14:paraId="2FBC86FD" w14:textId="77777777" w:rsidR="003653E2" w:rsidRPr="00CA0045" w:rsidRDefault="003653E2" w:rsidP="003653E2">
      <w:pPr>
        <w:pStyle w:val="Caption"/>
        <w:rPr>
          <w:b w:val="0"/>
          <w:bCs/>
        </w:rPr>
      </w:pPr>
      <w:r w:rsidRPr="00CA0045">
        <w:rPr>
          <w:b w:val="0"/>
          <w:bCs/>
        </w:rPr>
        <w:instrText xml:space="preserve"> </w:instrText>
      </w:r>
      <w:r w:rsidRPr="00CA0045">
        <w:rPr>
          <w:b w:val="0"/>
          <w:bCs/>
        </w:rPr>
        <w:fldChar w:fldCharType="end"/>
      </w:r>
      <w:r w:rsidRPr="00CA0045">
        <w:rPr>
          <w:b w:val="0"/>
          <w:bCs/>
        </w:rPr>
        <w:fldChar w:fldCharType="begin"/>
      </w:r>
      <w:r w:rsidRPr="00CA0045">
        <w:rPr>
          <w:b w:val="0"/>
          <w:bCs/>
        </w:rPr>
        <w:instrText xml:space="preserve"> </w:instrText>
      </w:r>
    </w:p>
    <w:p w14:paraId="6E936802" w14:textId="77777777" w:rsidR="003653E2" w:rsidRPr="00CA0045" w:rsidRDefault="003653E2" w:rsidP="003653E2">
      <w:pPr>
        <w:pStyle w:val="Caption"/>
        <w:rPr>
          <w:b w:val="0"/>
          <w:bCs/>
        </w:rPr>
      </w:pPr>
    </w:p>
    <w:p w14:paraId="2809F53C" w14:textId="77777777" w:rsidR="003653E2" w:rsidRPr="00CA0045" w:rsidRDefault="003653E2" w:rsidP="003653E2">
      <w:pPr>
        <w:pStyle w:val="Caption"/>
        <w:rPr>
          <w:b w:val="0"/>
          <w:bCs/>
        </w:rPr>
      </w:pPr>
      <w:r w:rsidRPr="00CA0045">
        <w:rPr>
          <w:b w:val="0"/>
          <w:bCs/>
        </w:rPr>
        <w:instrText xml:space="preserve"> </w:instrText>
      </w:r>
      <w:r w:rsidRPr="00CA0045">
        <w:rPr>
          <w:b w:val="0"/>
          <w:bCs/>
        </w:rPr>
        <w:fldChar w:fldCharType="end"/>
      </w:r>
      <w:r w:rsidRPr="00CA0045">
        <w:rPr>
          <w:b w:val="0"/>
          <w:bCs/>
        </w:rPr>
        <w:t>Percentage values show the proportion of the respective data matrix that is filled with quantitative values.   MBR implemented with additional post-search filters (minimum MS/MS fragmentation events per replicate set requirement) led to the highest increase in quantitative values with minimal false transfers.</w:t>
      </w:r>
    </w:p>
    <w:p w14:paraId="2111D6D7" w14:textId="77777777" w:rsidR="003653E2" w:rsidRDefault="003653E2" w:rsidP="003653E2">
      <w:pPr>
        <w:pStyle w:val="BodyText"/>
      </w:pPr>
      <w:r>
        <w:br w:type="page"/>
      </w:r>
    </w:p>
    <w:p w14:paraId="1936D914" w14:textId="2A6759CE" w:rsidR="00C7280B" w:rsidRPr="00476931" w:rsidRDefault="0070007A" w:rsidP="003653E2">
      <w:pPr>
        <w:spacing w:before="1"/>
        <w:ind w:firstLine="0"/>
        <w:rPr>
          <w:color w:val="000000" w:themeColor="text1"/>
        </w:rPr>
      </w:pPr>
      <w:r w:rsidRPr="00476931">
        <w:rPr>
          <w:color w:val="000000" w:themeColor="text1"/>
        </w:rPr>
        <w:t xml:space="preserve">with other proteins that are present in the sample </w:t>
      </w:r>
      <w:r w:rsidRPr="00476931">
        <w:rPr>
          <w:b/>
          <w:bCs/>
          <w:color w:val="000000" w:themeColor="text1"/>
        </w:rPr>
        <w:t>(Figure 4</w:t>
      </w:r>
      <w:r w:rsidR="009E08D4">
        <w:rPr>
          <w:b/>
          <w:bCs/>
          <w:color w:val="000000" w:themeColor="text1"/>
        </w:rPr>
        <w:t>-</w:t>
      </w:r>
      <w:r w:rsidRPr="00476931">
        <w:rPr>
          <w:b/>
          <w:bCs/>
          <w:color w:val="000000" w:themeColor="text1"/>
        </w:rPr>
        <w:t xml:space="preserve">10).  </w:t>
      </w:r>
      <w:r w:rsidRPr="00476931">
        <w:rPr>
          <w:color w:val="000000" w:themeColor="text1"/>
        </w:rPr>
        <w:t>This phenomenon is common in metaproteomes</w:t>
      </w:r>
      <w:r>
        <w:rPr>
          <w:color w:val="000000" w:themeColor="text1"/>
        </w:rPr>
        <w:t>,</w:t>
      </w:r>
      <w:r w:rsidRPr="00476931">
        <w:rPr>
          <w:color w:val="000000" w:themeColor="text1"/>
        </w:rPr>
        <w:t xml:space="preserve"> as there are often </w:t>
      </w:r>
      <w:proofErr w:type="gramStart"/>
      <w:r w:rsidRPr="00476931">
        <w:rPr>
          <w:color w:val="000000" w:themeColor="text1"/>
        </w:rPr>
        <w:t>a number of</w:t>
      </w:r>
      <w:proofErr w:type="gramEnd"/>
      <w:r w:rsidRPr="00476931">
        <w:rPr>
          <w:color w:val="000000" w:themeColor="text1"/>
        </w:rPr>
        <w:t xml:space="preserve"> closely related organisms in a community that share a number of homologous proteins</w:t>
      </w:r>
      <w:sdt>
        <w:sdtPr>
          <w:rPr>
            <w:color w:val="000000"/>
            <w:vertAlign w:val="superscript"/>
          </w:rPr>
          <w:tag w:val="MENDELEY_CITATION_v3_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"/>
          <w:id w:val="-92870305"/>
          <w:placeholder>
            <w:docPart w:val="739808A5B646A94EA7283156382CECA3"/>
          </w:placeholder>
        </w:sdtPr>
        <w:sdtEndPr/>
        <w:sdtContent>
          <w:r w:rsidR="003204EA" w:rsidRPr="003204EA">
            <w:rPr>
              <w:rFonts w:eastAsia="Times New Roman"/>
              <w:color w:val="000000"/>
              <w:vertAlign w:val="superscript"/>
            </w:rPr>
            <w:t>153</w:t>
          </w:r>
        </w:sdtContent>
      </w:sdt>
      <w:r w:rsidRPr="00476931">
        <w:rPr>
          <w:color w:val="000000" w:themeColor="text1"/>
        </w:rPr>
        <w:t xml:space="preserve">.  Peptides are classified into two types, shared or unique peptides.  Unique peptides only map to one protein in the protein database, while shared peptides can map to multiple proteins in the database.  Many protein inference methods rely on the principle of parsimony </w:t>
      </w:r>
      <w:proofErr w:type="gramStart"/>
      <w:r w:rsidRPr="00476931">
        <w:rPr>
          <w:color w:val="000000" w:themeColor="text1"/>
        </w:rPr>
        <w:t>in order to</w:t>
      </w:r>
      <w:proofErr w:type="gramEnd"/>
      <w:r w:rsidRPr="00476931">
        <w:rPr>
          <w:color w:val="000000" w:themeColor="text1"/>
        </w:rPr>
        <w:t xml:space="preserve"> explain the detected peptides with a minimal set of proteins.  Proteome Discover</w:t>
      </w:r>
      <w:r>
        <w:rPr>
          <w:color w:val="000000" w:themeColor="text1"/>
        </w:rPr>
        <w:t>er</w:t>
      </w:r>
      <w:r w:rsidRPr="00476931">
        <w:rPr>
          <w:color w:val="000000" w:themeColor="text1"/>
        </w:rPr>
        <w:t xml:space="preserve"> can implement different styles of protein inference for shared peptides which cannot be unambiguously assigned to one protein in the database.  The first method of protein inference only uses unique peptides that only map to one protein in the database for </w:t>
      </w:r>
      <w:r w:rsidR="00C7280B" w:rsidRPr="00476931">
        <w:rPr>
          <w:color w:val="000000" w:themeColor="text1"/>
        </w:rPr>
        <w:t xml:space="preserve">protein inference.  All shared peptides, which can compose more than half of the identified peptides in a metaproteome with high protein redundancy, are excluded.  </w:t>
      </w:r>
    </w:p>
    <w:p w14:paraId="6F6AC0DD" w14:textId="4421F36E" w:rsidR="001666D1" w:rsidRDefault="00C7280B" w:rsidP="00CA0045">
      <w:pPr>
        <w:spacing w:before="1"/>
        <w:rPr>
          <w:color w:val="000000" w:themeColor="text1"/>
        </w:rPr>
      </w:pPr>
      <w:r w:rsidRPr="00476931">
        <w:rPr>
          <w:color w:val="000000" w:themeColor="text1"/>
        </w:rPr>
        <w:t xml:space="preserve">The second method, based on rules of parsimony, distinguishes peptides as unique, razor, or shared. In this case, a razor peptide is defined as a shared </w:t>
      </w:r>
      <w:r w:rsidR="00310878" w:rsidRPr="00476931">
        <w:rPr>
          <w:color w:val="000000" w:themeColor="text1"/>
        </w:rPr>
        <w:t>peptide that has been assigned to a protein with the largest number of total peptides identified and is not assigned to any other matching proteins in the database. Shared protein are any remaining peptides that cannot be assigned as a razor peptide.  In these cases, the proteins these peptides map to have the same number of total peptide identifications. The final protein inference method available in Proteome Discoverer</w:t>
      </w:r>
      <w:r w:rsidR="00CA0045">
        <w:rPr>
          <w:color w:val="000000" w:themeColor="text1"/>
        </w:rPr>
        <w:t xml:space="preserve"> </w:t>
      </w:r>
      <w:r w:rsidR="001666D1" w:rsidRPr="00476931">
        <w:rPr>
          <w:color w:val="000000" w:themeColor="text1"/>
        </w:rPr>
        <w:t>is to use all identified peptides for protein inference.  In the case of peptides that map to multiple proteins in the database, they are assigned to all matching proteins.</w:t>
      </w:r>
    </w:p>
    <w:p w14:paraId="1F7C9C0B" w14:textId="7124F1B7" w:rsidR="00CA0045" w:rsidRDefault="00350CB9" w:rsidP="00C7280B">
      <w:pPr>
        <w:rPr>
          <w:color w:val="000000" w:themeColor="text1"/>
        </w:rPr>
      </w:pPr>
      <w:r w:rsidRPr="00476931">
        <w:rPr>
          <w:color w:val="000000" w:themeColor="text1"/>
        </w:rPr>
        <w:t xml:space="preserve">To assess how protein quantities change based on the peptides used for protein inference, the same gnotobiotic mouse model colonized with 14 microorganisms, with </w:t>
      </w:r>
      <w:r w:rsidR="00C7280B" w:rsidRPr="00476931">
        <w:rPr>
          <w:color w:val="000000" w:themeColor="text1"/>
        </w:rPr>
        <w:t xml:space="preserve">samples composed of all members and samples lacking </w:t>
      </w:r>
      <w:r w:rsidR="00C7280B" w:rsidRPr="00476931">
        <w:rPr>
          <w:i/>
          <w:iCs/>
          <w:color w:val="000000" w:themeColor="text1"/>
        </w:rPr>
        <w:t>B. cellulosilyticus</w:t>
      </w:r>
      <w:r w:rsidR="00C7280B" w:rsidRPr="00476931">
        <w:rPr>
          <w:color w:val="000000" w:themeColor="text1"/>
        </w:rPr>
        <w:t xml:space="preserve"> used to assess peptide identification from chimeric spectra and match-between-runs implementation, was used as a ground-truth dataset to validate the accuracy of protein inference strategies in the Proteome Discoverer platform. Within this community, a significant number of peptides are shared between community members, especially among the seven</w:t>
      </w:r>
      <w:r w:rsidR="00C7280B" w:rsidRPr="00476931">
        <w:rPr>
          <w:i/>
          <w:color w:val="000000" w:themeColor="text1"/>
        </w:rPr>
        <w:t xml:space="preserve"> Bacter</w:t>
      </w:r>
      <w:r w:rsidR="00D71B64">
        <w:rPr>
          <w:i/>
          <w:color w:val="000000" w:themeColor="text1"/>
        </w:rPr>
        <w:t>oi</w:t>
      </w:r>
      <w:r w:rsidR="00C7280B" w:rsidRPr="00476931">
        <w:rPr>
          <w:i/>
          <w:color w:val="000000" w:themeColor="text1"/>
        </w:rPr>
        <w:t>des</w:t>
      </w:r>
      <w:r w:rsidR="00C7280B" w:rsidRPr="00476931">
        <w:rPr>
          <w:color w:val="000000" w:themeColor="text1"/>
        </w:rPr>
        <w:t xml:space="preserve"> species in this defined community.  </w:t>
      </w:r>
      <w:r w:rsidR="00C7280B" w:rsidRPr="00476931">
        <w:rPr>
          <w:b/>
          <w:bCs/>
          <w:color w:val="000000" w:themeColor="text1"/>
        </w:rPr>
        <w:t>Figure 4</w:t>
      </w:r>
      <w:r w:rsidR="009E08D4">
        <w:rPr>
          <w:b/>
          <w:bCs/>
          <w:color w:val="000000" w:themeColor="text1"/>
        </w:rPr>
        <w:t>-</w:t>
      </w:r>
      <w:r w:rsidR="00C7280B" w:rsidRPr="00476931">
        <w:rPr>
          <w:b/>
          <w:bCs/>
          <w:color w:val="000000" w:themeColor="text1"/>
        </w:rPr>
        <w:t>11</w:t>
      </w:r>
      <w:r w:rsidR="00C7280B" w:rsidRPr="00476931">
        <w:rPr>
          <w:color w:val="000000" w:themeColor="text1"/>
        </w:rPr>
        <w:t xml:space="preserve"> shows the pairwise similarities of tryptic peptidomes based on minimum similarity clustering </w:t>
      </w:r>
    </w:p>
    <w:p w14:paraId="160B3B04" w14:textId="77777777" w:rsidR="00AC2094" w:rsidRDefault="003653E2" w:rsidP="00AC2094">
      <w:pPr>
        <w:pStyle w:val="Caption"/>
        <w:keepNext/>
      </w:pPr>
      <w:r w:rsidRPr="00476931">
        <w:rPr>
          <w:noProof/>
        </w:rPr>
        <w:drawing>
          <wp:inline distT="0" distB="0" distL="0" distR="0" wp14:anchorId="6A9B563C" wp14:editId="64482D50">
            <wp:extent cx="5181600" cy="1966595"/>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181600" cy="1966595"/>
                    </a:xfrm>
                    <a:prstGeom prst="rect">
                      <a:avLst/>
                    </a:prstGeom>
                  </pic:spPr>
                </pic:pic>
              </a:graphicData>
            </a:graphic>
          </wp:inline>
        </w:drawing>
      </w:r>
    </w:p>
    <w:p w14:paraId="511AE293" w14:textId="77777777" w:rsidR="00AC2094" w:rsidRPr="00AC2094" w:rsidRDefault="00AC2094" w:rsidP="00AC2094">
      <w:pPr>
        <w:pStyle w:val="Caption"/>
        <w:rPr>
          <w:b w:val="0"/>
          <w:bCs/>
        </w:rPr>
      </w:pPr>
      <w:bookmarkStart w:id="246" w:name="_Toc110246945"/>
      <w:r>
        <w:t xml:space="preserve">Figure </w:t>
      </w:r>
      <w:fldSimple w:instr=" STYLEREF 1 \s ">
        <w:r>
          <w:rPr>
            <w:noProof/>
          </w:rPr>
          <w:t>4</w:t>
        </w:r>
      </w:fldSimple>
      <w:r>
        <w:noBreakHyphen/>
      </w:r>
      <w:fldSimple w:instr=" SEQ Figure \* ARABIC \s 1 ">
        <w:r>
          <w:rPr>
            <w:noProof/>
          </w:rPr>
          <w:t>10</w:t>
        </w:r>
      </w:fldSimple>
      <w:r>
        <w:t xml:space="preserve">  Hitchhiking proteins.</w:t>
      </w:r>
      <w:bookmarkEnd w:id="246"/>
      <w:r>
        <w:fldChar w:fldCharType="begin"/>
      </w:r>
      <w:r>
        <w:instrText xml:space="preserve"> </w:instrText>
      </w:r>
    </w:p>
    <w:p w14:paraId="47EF78C6" w14:textId="77777777" w:rsidR="00AC2094" w:rsidRPr="00AC2094" w:rsidRDefault="00AC2094" w:rsidP="00AC2094">
      <w:pPr>
        <w:pStyle w:val="Caption"/>
        <w:rPr>
          <w:b w:val="0"/>
          <w:bCs/>
        </w:rPr>
      </w:pPr>
    </w:p>
    <w:p w14:paraId="7A03E5F9" w14:textId="48F92809" w:rsidR="00AC2094" w:rsidRPr="0070007A" w:rsidRDefault="00AC2094" w:rsidP="00AC2094">
      <w:pPr>
        <w:pStyle w:val="Caption"/>
        <w:rPr>
          <w:b w:val="0"/>
          <w:bCs/>
        </w:rPr>
      </w:pPr>
      <w:r>
        <w:instrText xml:space="preserve"> </w:instrText>
      </w:r>
      <w:r>
        <w:fldChar w:fldCharType="end"/>
      </w:r>
      <w:r w:rsidRPr="00AC2094">
        <w:rPr>
          <w:b w:val="0"/>
          <w:bCs/>
        </w:rPr>
        <w:t xml:space="preserve"> </w:t>
      </w:r>
      <w:r>
        <w:rPr>
          <w:b w:val="0"/>
          <w:bCs/>
        </w:rPr>
        <w:t xml:space="preserve"> </w:t>
      </w:r>
      <w:r w:rsidRPr="0070007A">
        <w:rPr>
          <w:b w:val="0"/>
          <w:bCs/>
        </w:rPr>
        <w:fldChar w:fldCharType="begin"/>
      </w:r>
      <w:r w:rsidRPr="0070007A">
        <w:rPr>
          <w:b w:val="0"/>
          <w:bCs/>
        </w:rPr>
        <w:instrText xml:space="preserve"> </w:instrText>
      </w:r>
    </w:p>
    <w:p w14:paraId="029A8D81" w14:textId="77777777" w:rsidR="00AC2094" w:rsidRPr="0070007A" w:rsidRDefault="00AC2094" w:rsidP="00AC2094">
      <w:pPr>
        <w:pStyle w:val="Caption"/>
        <w:rPr>
          <w:b w:val="0"/>
          <w:bCs/>
        </w:rPr>
      </w:pPr>
    </w:p>
    <w:p w14:paraId="7E332DB4" w14:textId="77777777" w:rsidR="00AC2094" w:rsidRPr="0070007A" w:rsidRDefault="00AC2094" w:rsidP="00AC2094">
      <w:pPr>
        <w:pStyle w:val="Caption"/>
        <w:rPr>
          <w:b w:val="0"/>
          <w:bCs/>
        </w:rPr>
      </w:pPr>
      <w:r w:rsidRPr="0070007A">
        <w:rPr>
          <w:b w:val="0"/>
          <w:bCs/>
        </w:rPr>
        <w:instrText xml:space="preserve"> </w:instrText>
      </w:r>
      <w:r w:rsidRPr="0070007A">
        <w:rPr>
          <w:b w:val="0"/>
          <w:bCs/>
        </w:rPr>
        <w:fldChar w:fldCharType="end"/>
      </w:r>
      <w:r w:rsidRPr="0070007A">
        <w:rPr>
          <w:b w:val="0"/>
          <w:bCs/>
        </w:rPr>
        <w:t>During the protein inference process, proteins that are included in the protein database but are not present in the sample can be inferred as present if they share peptides with another protein that is included in the database and present in the sample.</w:t>
      </w:r>
    </w:p>
    <w:p w14:paraId="74E1FA42" w14:textId="36155B83" w:rsidR="003653E2" w:rsidRPr="0070007A" w:rsidRDefault="003653E2" w:rsidP="003653E2">
      <w:pPr>
        <w:pStyle w:val="Caption"/>
        <w:rPr>
          <w:bCs/>
        </w:rPr>
      </w:pPr>
      <w:r w:rsidRPr="0070007A">
        <w:rPr>
          <w:bCs/>
        </w:rPr>
        <w:fldChar w:fldCharType="begin"/>
      </w:r>
      <w:r w:rsidRPr="0070007A">
        <w:rPr>
          <w:bCs/>
        </w:rPr>
        <w:instrText xml:space="preserve"> </w:instrText>
      </w:r>
    </w:p>
    <w:p w14:paraId="1C4AB1C3" w14:textId="77777777" w:rsidR="003653E2" w:rsidRPr="0070007A" w:rsidRDefault="003653E2" w:rsidP="003653E2">
      <w:pPr>
        <w:pStyle w:val="Caption"/>
        <w:rPr>
          <w:b w:val="0"/>
          <w:bCs/>
        </w:rPr>
      </w:pPr>
    </w:p>
    <w:p w14:paraId="6E53A938" w14:textId="586A1DBE" w:rsidR="003653E2" w:rsidRDefault="003653E2" w:rsidP="00AC2094">
      <w:pPr>
        <w:pStyle w:val="Caption"/>
      </w:pPr>
      <w:r w:rsidRPr="0070007A">
        <w:rPr>
          <w:b w:val="0"/>
          <w:bCs/>
        </w:rPr>
        <w:instrText xml:space="preserve"> </w:instrText>
      </w:r>
      <w:r w:rsidRPr="0070007A">
        <w:rPr>
          <w:b w:val="0"/>
          <w:bCs/>
        </w:rPr>
        <w:fldChar w:fldCharType="end"/>
      </w:r>
      <w:r>
        <w:br w:type="page"/>
      </w:r>
    </w:p>
    <w:p w14:paraId="2585CF4F" w14:textId="77777777" w:rsidR="00CA0045" w:rsidRDefault="00CA0045" w:rsidP="00CA0045">
      <w:pPr>
        <w:pStyle w:val="BodyText"/>
        <w:keepNext/>
      </w:pPr>
      <w:bookmarkStart w:id="247" w:name="_Toc106816107"/>
      <w:r w:rsidRPr="00476931">
        <w:rPr>
          <w:noProof/>
        </w:rPr>
        <w:drawing>
          <wp:inline distT="0" distB="0" distL="0" distR="0" wp14:anchorId="33144F58" wp14:editId="06425033">
            <wp:extent cx="5486400" cy="3375515"/>
            <wp:effectExtent l="0" t="0" r="0" b="0"/>
            <wp:docPr id="2186" name="Picture 2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486400" cy="3375515"/>
                    </a:xfrm>
                    <a:prstGeom prst="rect">
                      <a:avLst/>
                    </a:prstGeom>
                  </pic:spPr>
                </pic:pic>
              </a:graphicData>
            </a:graphic>
          </wp:inline>
        </w:drawing>
      </w:r>
      <w:bookmarkEnd w:id="247"/>
    </w:p>
    <w:p w14:paraId="4FCE0F24" w14:textId="77BA3F2F" w:rsidR="00CA0045" w:rsidRPr="00CA0045" w:rsidRDefault="00CA0045" w:rsidP="00CA0045">
      <w:pPr>
        <w:pStyle w:val="Caption"/>
      </w:pPr>
      <w:bookmarkStart w:id="248" w:name="_Toc110246946"/>
      <w:r>
        <w:t xml:space="preserve">Figure </w:t>
      </w:r>
      <w:fldSimple w:instr=" STYLEREF 1 \s ">
        <w:r w:rsidR="00AC2094">
          <w:rPr>
            <w:noProof/>
          </w:rPr>
          <w:t>4</w:t>
        </w:r>
      </w:fldSimple>
      <w:r w:rsidR="00AC2094">
        <w:noBreakHyphen/>
      </w:r>
      <w:fldSimple w:instr=" SEQ Figure \* ARABIC \s 1 ">
        <w:r w:rsidR="00AC2094">
          <w:rPr>
            <w:noProof/>
          </w:rPr>
          <w:t>12</w:t>
        </w:r>
      </w:fldSimple>
      <w:r>
        <w:t xml:space="preserve">  </w:t>
      </w:r>
      <w:r w:rsidRPr="00CA0045">
        <w:t xml:space="preserve">Theoretical tryptic peptidome of </w:t>
      </w:r>
      <w:r w:rsidRPr="00320C22">
        <w:rPr>
          <w:i/>
          <w:iCs w:val="0"/>
        </w:rPr>
        <w:t xml:space="preserve">Bacteroides </w:t>
      </w:r>
      <w:r w:rsidRPr="00CA0045">
        <w:t>species in a gnotobiotic mouse model community.</w:t>
      </w:r>
      <w:bookmarkEnd w:id="248"/>
      <w:r w:rsidRPr="00CA0045">
        <w:fldChar w:fldCharType="begin"/>
      </w:r>
      <w:r w:rsidRPr="00CA0045">
        <w:instrText xml:space="preserve"> </w:instrText>
      </w:r>
    </w:p>
    <w:p w14:paraId="2F27A5C8" w14:textId="77777777" w:rsidR="00CA0045" w:rsidRPr="00CA0045" w:rsidRDefault="00CA0045" w:rsidP="00CA0045">
      <w:pPr>
        <w:pStyle w:val="Caption"/>
      </w:pPr>
    </w:p>
    <w:p w14:paraId="10ADDD38" w14:textId="09FE0C3F" w:rsidR="00CA0045" w:rsidRPr="00CA0045" w:rsidRDefault="00CA0045" w:rsidP="00CA0045">
      <w:pPr>
        <w:pStyle w:val="Caption"/>
        <w:rPr>
          <w:b w:val="0"/>
          <w:bCs/>
        </w:rPr>
      </w:pPr>
      <w:r w:rsidRPr="00CA0045">
        <w:instrText xml:space="preserve"> </w:instrText>
      </w:r>
      <w:r w:rsidRPr="00CA0045">
        <w:fldChar w:fldCharType="end"/>
      </w:r>
      <w:r w:rsidRPr="00CA0045">
        <w:t xml:space="preserve">  </w:t>
      </w:r>
      <w:bookmarkStart w:id="249" w:name="_Toc107573964"/>
      <w:r>
        <w:rPr>
          <w:b w:val="0"/>
          <w:bCs/>
        </w:rPr>
        <w:fldChar w:fldCharType="begin"/>
      </w:r>
      <w:r>
        <w:rPr>
          <w:b w:val="0"/>
          <w:bCs/>
        </w:rPr>
        <w:instrText xml:space="preserve"> </w:instrText>
      </w:r>
    </w:p>
    <w:p w14:paraId="6BABC14B" w14:textId="77777777" w:rsidR="00CA0045" w:rsidRPr="00CA0045" w:rsidRDefault="00CA0045" w:rsidP="00CA0045">
      <w:pPr>
        <w:pStyle w:val="Caption"/>
        <w:rPr>
          <w:b w:val="0"/>
          <w:bCs/>
        </w:rPr>
      </w:pPr>
    </w:p>
    <w:p w14:paraId="1F0FAAFF" w14:textId="61210D3B" w:rsidR="00CA0045" w:rsidRPr="00CA0045" w:rsidRDefault="00CA0045" w:rsidP="00CA0045">
      <w:pPr>
        <w:pStyle w:val="Caption"/>
        <w:rPr>
          <w:b w:val="0"/>
          <w:bCs/>
        </w:rPr>
      </w:pPr>
      <w:r>
        <w:rPr>
          <w:b w:val="0"/>
          <w:bCs/>
        </w:rPr>
        <w:instrText xml:space="preserve"> </w:instrText>
      </w:r>
      <w:r>
        <w:rPr>
          <w:b w:val="0"/>
          <w:bCs/>
        </w:rPr>
        <w:fldChar w:fldCharType="end"/>
      </w:r>
      <w:r w:rsidRPr="00CA0045">
        <w:rPr>
          <w:b w:val="0"/>
          <w:bCs/>
        </w:rPr>
        <w:t>The theoretical tryptic peptidome is the complete set of all tryptic peptides encoded in an organism’s predicted proteome.  Pairwise similarities between tryptic peptidomes were calculated using the minimum similarity measure where the size of the intersection is divided by the minimum size of the two unions.  On the left, a phylogenetic tree is shown based on the unweighted pair group method with arithmetic mean (UPGMA) clustering of the pairwise similarities.  The x-axis on the phylogenetic tree represents the percent similarity for each pairwise similarity calculated.</w:t>
      </w:r>
      <w:bookmarkEnd w:id="249"/>
    </w:p>
    <w:p w14:paraId="31A9A9C9" w14:textId="42893A13" w:rsidR="00CA0045" w:rsidRDefault="00CA0045" w:rsidP="00CA0045">
      <w:pPr>
        <w:pStyle w:val="BodyText"/>
      </w:pPr>
      <w:r>
        <w:br w:type="page"/>
      </w:r>
    </w:p>
    <w:p w14:paraId="19BB7ABA" w14:textId="3ACDF6E9" w:rsidR="00C7280B" w:rsidRPr="00476931" w:rsidRDefault="0070007A" w:rsidP="00CA0045">
      <w:pPr>
        <w:ind w:firstLine="0"/>
        <w:rPr>
          <w:color w:val="000000" w:themeColor="text1"/>
        </w:rPr>
      </w:pPr>
      <w:r w:rsidRPr="00476931">
        <w:rPr>
          <w:color w:val="000000" w:themeColor="text1"/>
        </w:rPr>
        <w:t xml:space="preserve">of all seven </w:t>
      </w:r>
      <w:r w:rsidRPr="00277B02">
        <w:rPr>
          <w:i/>
          <w:iCs/>
          <w:color w:val="000000" w:themeColor="text1"/>
        </w:rPr>
        <w:t>Bacteroides</w:t>
      </w:r>
      <w:r w:rsidRPr="00476931">
        <w:rPr>
          <w:color w:val="000000" w:themeColor="text1"/>
        </w:rPr>
        <w:t xml:space="preserve"> in the gnotobiotic mouse dataset. Many of the theoretical tryptic peptidomes of the seven </w:t>
      </w:r>
      <w:r w:rsidRPr="00476931">
        <w:rPr>
          <w:i/>
          <w:color w:val="000000" w:themeColor="text1"/>
        </w:rPr>
        <w:t>Bacteroides</w:t>
      </w:r>
      <w:r w:rsidRPr="00476931">
        <w:rPr>
          <w:color w:val="000000" w:themeColor="text1"/>
        </w:rPr>
        <w:t xml:space="preserve"> species share peptides with proteins from other </w:t>
      </w:r>
      <w:r w:rsidRPr="00320C22">
        <w:rPr>
          <w:i/>
          <w:color w:val="000000" w:themeColor="text1"/>
        </w:rPr>
        <w:t xml:space="preserve">Bacteroides </w:t>
      </w:r>
      <w:r w:rsidRPr="00476931">
        <w:rPr>
          <w:color w:val="000000" w:themeColor="text1"/>
        </w:rPr>
        <w:t xml:space="preserve">species and the other seven organisms in the community, and based on the inference method used, these shared peptides may or may not be used for quantitation. For example, 40% of </w:t>
      </w:r>
      <w:r w:rsidRPr="00476931">
        <w:rPr>
          <w:i/>
          <w:color w:val="000000" w:themeColor="text1"/>
        </w:rPr>
        <w:t>B. finegoldii</w:t>
      </w:r>
      <w:r w:rsidRPr="00476931">
        <w:rPr>
          <w:color w:val="000000" w:themeColor="text1"/>
        </w:rPr>
        <w:t xml:space="preserve"> predicted peptides are shared with </w:t>
      </w:r>
      <w:r w:rsidRPr="00476931">
        <w:rPr>
          <w:i/>
          <w:color w:val="000000" w:themeColor="text1"/>
        </w:rPr>
        <w:t>B. ovatus</w:t>
      </w:r>
      <w:r w:rsidRPr="00476931">
        <w:rPr>
          <w:color w:val="000000" w:themeColor="text1"/>
        </w:rPr>
        <w:t xml:space="preserve">.  This overlap means that up to 34,093 shared peptides between these two organisms </w:t>
      </w:r>
      <w:r>
        <w:rPr>
          <w:color w:val="000000" w:themeColor="text1"/>
        </w:rPr>
        <w:t>w</w:t>
      </w:r>
      <w:r w:rsidRPr="00476931">
        <w:rPr>
          <w:color w:val="000000" w:themeColor="text1"/>
        </w:rPr>
        <w:t xml:space="preserve">ould be discarded during protein inference if only unique peptides are used for protein inference.  However, if these shared peptides are used for protein inference, they could be inaccurately assigned to the wrong organism if only one </w:t>
      </w:r>
      <w:r w:rsidR="00BD4B74" w:rsidRPr="00476931">
        <w:rPr>
          <w:color w:val="000000" w:themeColor="text1"/>
        </w:rPr>
        <w:t xml:space="preserve">organism is expressing the source organism of the shared peptides.  Therefore, the assignment of </w:t>
      </w:r>
      <w:r w:rsidR="00C7280B" w:rsidRPr="00476931">
        <w:rPr>
          <w:color w:val="000000" w:themeColor="text1"/>
        </w:rPr>
        <w:t>the shared peptides significantly impact</w:t>
      </w:r>
      <w:r w:rsidR="00870CE6">
        <w:rPr>
          <w:color w:val="000000" w:themeColor="text1"/>
        </w:rPr>
        <w:t>s</w:t>
      </w:r>
      <w:r w:rsidR="00C7280B" w:rsidRPr="00476931">
        <w:rPr>
          <w:color w:val="000000" w:themeColor="text1"/>
        </w:rPr>
        <w:t xml:space="preserve"> the quantitative accuracy of these highly related organisms in microbial communities.  </w:t>
      </w:r>
    </w:p>
    <w:p w14:paraId="21926BC1" w14:textId="53DA1C04" w:rsidR="001666D1" w:rsidRDefault="00C7280B" w:rsidP="00CA0045">
      <w:r w:rsidRPr="00476931">
        <w:t>To assess the accuracy of the various protein inference methods implemented in Proteome Discoverer, protein inference was tested using only unique peptides,</w:t>
      </w:r>
      <w:r w:rsidR="00D6394B" w:rsidRPr="00D6394B">
        <w:t xml:space="preserve"> </w:t>
      </w:r>
      <w:r w:rsidR="00D6394B" w:rsidRPr="00476931">
        <w:t xml:space="preserve">unique plus razor peptides, or all peptides regardless of whether they are unique or shared peptides.  Protein inference relies on the correct assignment of peptides to proteins and makes a significant impact on protein quantitation in communities with members containing highly redundant proteomes. Protein quantitation based on ambiguous peptides can skew peptide assignment results. Choices made at the peptide </w:t>
      </w:r>
      <w:r w:rsidR="001666D1" w:rsidRPr="00476931">
        <w:t>level have a major impact on the interpretation of both protein-level and organism- level results in functionally redundant communities.</w:t>
      </w:r>
    </w:p>
    <w:p w14:paraId="5AE5997E" w14:textId="5FEFACCF" w:rsidR="003C22B4" w:rsidRPr="00476931" w:rsidRDefault="0092367A" w:rsidP="00B245C6">
      <w:r w:rsidRPr="00476931">
        <w:rPr>
          <w:b/>
          <w:bCs/>
        </w:rPr>
        <w:t>Figure 4</w:t>
      </w:r>
      <w:r w:rsidR="009E08D4">
        <w:rPr>
          <w:b/>
          <w:bCs/>
        </w:rPr>
        <w:t>-</w:t>
      </w:r>
      <w:r w:rsidRPr="00476931">
        <w:rPr>
          <w:b/>
          <w:bCs/>
        </w:rPr>
        <w:t>12</w:t>
      </w:r>
      <w:r w:rsidRPr="00476931">
        <w:t xml:space="preserve"> shows the relative</w:t>
      </w:r>
      <w:r w:rsidR="003C22B4" w:rsidRPr="00476931">
        <w:t xml:space="preserve"> distribution of abundances for the seven </w:t>
      </w:r>
      <w:r w:rsidR="003C22B4" w:rsidRPr="00476931">
        <w:rPr>
          <w:i/>
          <w:iCs/>
        </w:rPr>
        <w:t xml:space="preserve">Bacteroides </w:t>
      </w:r>
      <w:r w:rsidR="003C22B4" w:rsidRPr="00476931">
        <w:t xml:space="preserve">members in the community using each protein inference method. Even though </w:t>
      </w:r>
      <w:r w:rsidR="003C22B4" w:rsidRPr="00476931">
        <w:rPr>
          <w:i/>
        </w:rPr>
        <w:t>B. cellulosilyticus</w:t>
      </w:r>
      <w:r w:rsidR="003C22B4" w:rsidRPr="00476931">
        <w:t xml:space="preserve"> was not present in the sample, because of its proteome redundancy with other members in the community, using razor or shared peptides for protein inference resulted in the apparent presence of this organism in the sample. Therefore, the inclusion of razor peptides and shared peptides for label-free quantitation should be avoided for high-confidence functional and taxonomic interpretation of metaproteomes.</w:t>
      </w:r>
    </w:p>
    <w:p w14:paraId="353E691D" w14:textId="77777777" w:rsidR="003C22B4" w:rsidRPr="00476931" w:rsidRDefault="003C22B4" w:rsidP="0060435B">
      <w:pPr>
        <w:pStyle w:val="Heading2"/>
      </w:pPr>
    </w:p>
    <w:p w14:paraId="655C0C8A" w14:textId="77777777" w:rsidR="00CA0045" w:rsidRDefault="00CA0045" w:rsidP="00CA0045">
      <w:pPr>
        <w:pStyle w:val="BodyText"/>
        <w:keepNext/>
      </w:pPr>
      <w:bookmarkStart w:id="250" w:name="_Toc106816109"/>
      <w:r w:rsidRPr="00476931">
        <w:rPr>
          <w:noProof/>
        </w:rPr>
        <w:drawing>
          <wp:inline distT="0" distB="0" distL="0" distR="0" wp14:anchorId="1356CC3F" wp14:editId="77FE11F3">
            <wp:extent cx="5486400" cy="2569210"/>
            <wp:effectExtent l="0" t="0" r="0" b="0"/>
            <wp:docPr id="2188" name="Picture 2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486400" cy="2569210"/>
                    </a:xfrm>
                    <a:prstGeom prst="rect">
                      <a:avLst/>
                    </a:prstGeom>
                  </pic:spPr>
                </pic:pic>
              </a:graphicData>
            </a:graphic>
          </wp:inline>
        </w:drawing>
      </w:r>
      <w:bookmarkEnd w:id="250"/>
    </w:p>
    <w:p w14:paraId="5681FCC2" w14:textId="0EA48EA6" w:rsidR="00CA0045" w:rsidRPr="00CA0045" w:rsidRDefault="00CA0045" w:rsidP="00CA0045">
      <w:pPr>
        <w:pStyle w:val="Caption"/>
        <w:rPr>
          <w:b w:val="0"/>
          <w:bCs/>
        </w:rPr>
      </w:pPr>
      <w:bookmarkStart w:id="251" w:name="_Toc110246947"/>
      <w:r>
        <w:t xml:space="preserve">Figure </w:t>
      </w:r>
      <w:fldSimple w:instr=" STYLEREF 1 \s ">
        <w:r w:rsidR="00AC2094">
          <w:rPr>
            <w:noProof/>
          </w:rPr>
          <w:t>4</w:t>
        </w:r>
      </w:fldSimple>
      <w:r w:rsidR="00AC2094">
        <w:noBreakHyphen/>
      </w:r>
      <w:fldSimple w:instr=" SEQ Figure \* ARABIC \s 1 ">
        <w:r w:rsidR="00AC2094">
          <w:rPr>
            <w:noProof/>
          </w:rPr>
          <w:t>13</w:t>
        </w:r>
      </w:fldSimple>
      <w:r>
        <w:t xml:space="preserve">  </w:t>
      </w:r>
      <w:r w:rsidRPr="00CA0045">
        <w:t xml:space="preserve">Relative summed organismal protein abundance of </w:t>
      </w:r>
      <w:r w:rsidRPr="009423F4">
        <w:rPr>
          <w:i/>
          <w:iCs w:val="0"/>
        </w:rPr>
        <w:t>Bacteroides</w:t>
      </w:r>
      <w:r w:rsidRPr="00CA0045">
        <w:t xml:space="preserve"> members in the samples lacking </w:t>
      </w:r>
      <w:r w:rsidRPr="009423F4">
        <w:rPr>
          <w:i/>
          <w:iCs w:val="0"/>
        </w:rPr>
        <w:t>B. cellulosilyticus</w:t>
      </w:r>
      <w:r w:rsidRPr="00CA0045">
        <w:t xml:space="preserve"> based on three quantitation methods.</w:t>
      </w:r>
      <w:bookmarkEnd w:id="251"/>
      <w:r w:rsidRPr="00CA0045">
        <w:t xml:space="preserve">  </w:t>
      </w:r>
      <w:r w:rsidRPr="00CA0045">
        <w:rPr>
          <w:b w:val="0"/>
          <w:bCs/>
        </w:rPr>
        <w:fldChar w:fldCharType="begin"/>
      </w:r>
      <w:r w:rsidRPr="00CA0045">
        <w:rPr>
          <w:b w:val="0"/>
          <w:bCs/>
        </w:rPr>
        <w:instrText xml:space="preserve"> </w:instrText>
      </w:r>
    </w:p>
    <w:p w14:paraId="53CA9576" w14:textId="77777777" w:rsidR="00CA0045" w:rsidRPr="00CA0045" w:rsidRDefault="00CA0045" w:rsidP="00CA0045">
      <w:pPr>
        <w:pStyle w:val="Caption"/>
        <w:rPr>
          <w:b w:val="0"/>
          <w:bCs/>
        </w:rPr>
      </w:pPr>
    </w:p>
    <w:p w14:paraId="1DD4BACB" w14:textId="77777777" w:rsidR="00CA0045" w:rsidRPr="00CA0045" w:rsidRDefault="00CA0045" w:rsidP="00CA0045">
      <w:pPr>
        <w:pStyle w:val="Caption"/>
        <w:rPr>
          <w:b w:val="0"/>
          <w:bCs/>
        </w:rPr>
      </w:pPr>
      <w:r w:rsidRPr="00CA0045">
        <w:rPr>
          <w:b w:val="0"/>
          <w:bCs/>
        </w:rPr>
        <w:instrText xml:space="preserve"> </w:instrText>
      </w:r>
      <w:r w:rsidRPr="00CA0045">
        <w:rPr>
          <w:b w:val="0"/>
          <w:bCs/>
        </w:rPr>
        <w:fldChar w:fldCharType="end"/>
      </w:r>
      <w:bookmarkStart w:id="252" w:name="_Toc107573966"/>
      <w:r w:rsidRPr="00CA0045">
        <w:rPr>
          <w:b w:val="0"/>
          <w:bCs/>
        </w:rPr>
        <w:t xml:space="preserve">Protein quantitation based all peptides, unique and razor peptides, or unique peptides. When using razor and shared peptides, </w:t>
      </w:r>
      <w:r w:rsidRPr="009423F4">
        <w:rPr>
          <w:b w:val="0"/>
          <w:bCs/>
          <w:i/>
          <w:iCs w:val="0"/>
        </w:rPr>
        <w:t>B. cellulosilyticus</w:t>
      </w:r>
      <w:r w:rsidRPr="00CA0045">
        <w:rPr>
          <w:b w:val="0"/>
          <w:bCs/>
        </w:rPr>
        <w:t xml:space="preserve"> appeared to make up more than 11% of </w:t>
      </w:r>
      <w:r w:rsidRPr="009423F4">
        <w:rPr>
          <w:b w:val="0"/>
          <w:bCs/>
          <w:i/>
          <w:iCs w:val="0"/>
        </w:rPr>
        <w:t>Bacteroides</w:t>
      </w:r>
      <w:r w:rsidRPr="00CA0045">
        <w:rPr>
          <w:b w:val="0"/>
          <w:bCs/>
        </w:rPr>
        <w:t xml:space="preserve"> abundance, even though this member was not present in the sample.</w:t>
      </w:r>
      <w:bookmarkEnd w:id="252"/>
    </w:p>
    <w:p w14:paraId="137D6F00" w14:textId="3D9056BB" w:rsidR="00CA0045" w:rsidRDefault="00CA0045" w:rsidP="00CA0045">
      <w:pPr>
        <w:pStyle w:val="BodyText"/>
      </w:pPr>
      <w:r>
        <w:br w:type="page"/>
      </w:r>
    </w:p>
    <w:p w14:paraId="00D6E04F" w14:textId="1598215E" w:rsidR="0070007A" w:rsidRPr="00476931" w:rsidRDefault="0070007A" w:rsidP="0070007A">
      <w:pPr>
        <w:pStyle w:val="Heading2"/>
      </w:pPr>
      <w:bookmarkStart w:id="253" w:name="_Toc110250271"/>
      <w:bookmarkStart w:id="254" w:name="_Toc110250528"/>
      <w:bookmarkStart w:id="255" w:name="_Toc110250659"/>
      <w:r w:rsidRPr="00476931">
        <w:t>4.5  Conclusions</w:t>
      </w:r>
      <w:r w:rsidR="0003562F">
        <w:t>.</w:t>
      </w:r>
      <w:bookmarkEnd w:id="253"/>
      <w:bookmarkEnd w:id="254"/>
      <w:bookmarkEnd w:id="255"/>
    </w:p>
    <w:p w14:paraId="4E67D771" w14:textId="77777777" w:rsidR="0070007A" w:rsidRPr="00476931" w:rsidRDefault="0070007A" w:rsidP="0070007A">
      <w:pPr>
        <w:rPr>
          <w:color w:val="000000" w:themeColor="text1"/>
        </w:rPr>
      </w:pPr>
    </w:p>
    <w:p w14:paraId="1340E8F9" w14:textId="75859AF4" w:rsidR="003C22B4" w:rsidRPr="00476931" w:rsidRDefault="0070007A" w:rsidP="0070007A">
      <w:pPr>
        <w:rPr>
          <w:b/>
          <w:color w:val="000000" w:themeColor="text1"/>
        </w:rPr>
      </w:pPr>
      <w:r w:rsidRPr="00476931">
        <w:rPr>
          <w:color w:val="000000" w:themeColor="text1"/>
        </w:rPr>
        <w:t xml:space="preserve">In total, decisions made during the database search process can have large impacts on the interpretation of the functional composition of the measured sample.  Parameters related to peptide identification, quantification, and protein inference should be considered for every metaproteomics campaign based on the type of LC-MS/MS data collected and the functional redundancy of organism present in the sample.  Careful evaluation of these parameters has resulted in database search </w:t>
      </w:r>
      <w:r w:rsidR="00BD4B74" w:rsidRPr="00476931">
        <w:rPr>
          <w:color w:val="000000" w:themeColor="text1"/>
        </w:rPr>
        <w:t xml:space="preserve">strategy enhancements which have simultaneously improved metaproteome measurement depth and measurement reproducibility.  These enhancements have </w:t>
      </w:r>
      <w:r w:rsidR="003C22B4" w:rsidRPr="00476931">
        <w:rPr>
          <w:color w:val="000000" w:themeColor="text1"/>
        </w:rPr>
        <w:t>provided a robust foundation to help address the biological questions within the projects covered in Chapters 5-7.</w:t>
      </w:r>
    </w:p>
    <w:p w14:paraId="7EB25416" w14:textId="77777777" w:rsidR="00CA0045" w:rsidRDefault="00CA0045">
      <w:pPr>
        <w:spacing w:before="1"/>
        <w:rPr>
          <w:rFonts w:ascii="Times New Roman" w:eastAsia="Times New Roman" w:hAnsi="Times New Roman" w:cs="Arial"/>
          <w:b/>
          <w:bCs/>
          <w:color w:val="000000" w:themeColor="text1"/>
          <w:kern w:val="32"/>
          <w:sz w:val="28"/>
          <w:szCs w:val="28"/>
          <w:lang w:val="en-GB" w:eastAsia="en-GB"/>
        </w:rPr>
      </w:pPr>
      <w:r>
        <w:rPr>
          <w:color w:val="000000" w:themeColor="text1"/>
          <w:szCs w:val="28"/>
        </w:rPr>
        <w:br w:type="page"/>
      </w:r>
    </w:p>
    <w:p w14:paraId="3DA05B80" w14:textId="10F9B1A9" w:rsidR="00863807" w:rsidRPr="00476931" w:rsidRDefault="00863807" w:rsidP="003F4ADA">
      <w:pPr>
        <w:pStyle w:val="Heading1"/>
      </w:pPr>
      <w:bookmarkStart w:id="256" w:name="_Toc110250272"/>
      <w:bookmarkStart w:id="257" w:name="_Toc110250529"/>
      <w:bookmarkStart w:id="258" w:name="_Toc110250660"/>
      <w:r w:rsidRPr="00476931">
        <w:t xml:space="preserve">- </w:t>
      </w:r>
      <w:r w:rsidR="00310878" w:rsidRPr="00476931">
        <w:t>Interrogation of bacterial cooperation and competition through diet manipulation of human gut communities in gnotobiotic animals</w:t>
      </w:r>
      <w:r w:rsidR="0003562F">
        <w:t>.</w:t>
      </w:r>
      <w:bookmarkEnd w:id="256"/>
      <w:bookmarkEnd w:id="257"/>
      <w:bookmarkEnd w:id="258"/>
    </w:p>
    <w:p w14:paraId="33987380" w14:textId="77777777" w:rsidR="005C33E7" w:rsidRPr="003F4ADA" w:rsidRDefault="005C33E7" w:rsidP="005C33E7">
      <w:pPr>
        <w:spacing w:after="120" w:line="276" w:lineRule="auto"/>
        <w:ind w:firstLine="0"/>
        <w:rPr>
          <w:color w:val="000000" w:themeColor="text1"/>
          <w:sz w:val="40"/>
          <w:szCs w:val="40"/>
        </w:rPr>
      </w:pPr>
    </w:p>
    <w:p w14:paraId="4E485D5B" w14:textId="209D294F" w:rsidR="005C33E7" w:rsidRDefault="005C33E7" w:rsidP="00350CB9">
      <w:pPr>
        <w:spacing w:after="120"/>
        <w:ind w:firstLine="0"/>
        <w:rPr>
          <w:color w:val="000000" w:themeColor="text1"/>
          <w:spacing w:val="-2"/>
        </w:rPr>
      </w:pPr>
      <w:r w:rsidRPr="00476931">
        <w:rPr>
          <w:noProof/>
          <w:color w:val="000000" w:themeColor="text1"/>
        </w:rPr>
        <mc:AlternateContent>
          <mc:Choice Requires="wps">
            <w:drawing>
              <wp:anchor distT="0" distB="0" distL="0" distR="0" simplePos="0" relativeHeight="251658248" behindDoc="1" locked="0" layoutInCell="1" allowOverlap="1" wp14:anchorId="7EAD04A2" wp14:editId="721C7136">
                <wp:simplePos x="0" y="0"/>
                <wp:positionH relativeFrom="page">
                  <wp:posOffset>1266825</wp:posOffset>
                </wp:positionH>
                <wp:positionV relativeFrom="paragraph">
                  <wp:posOffset>532205</wp:posOffset>
                </wp:positionV>
                <wp:extent cx="5197475" cy="45085"/>
                <wp:effectExtent l="0" t="12700" r="9525" b="0"/>
                <wp:wrapTopAndBottom/>
                <wp:docPr id="22" name="Freeform: 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97475" cy="45085"/>
                        </a:xfrm>
                        <a:custGeom>
                          <a:avLst/>
                          <a:gdLst>
                            <a:gd name="T0" fmla="+- 0 1455 1455"/>
                            <a:gd name="T1" fmla="*/ T0 w 9285"/>
                            <a:gd name="T2" fmla="+- 0 10740 1455"/>
                            <a:gd name="T3" fmla="*/ T2 w 9285"/>
                          </a:gdLst>
                          <a:ahLst/>
                          <a:cxnLst>
                            <a:cxn ang="0">
                              <a:pos x="T1" y="0"/>
                            </a:cxn>
                            <a:cxn ang="0">
                              <a:pos x="T3" y="0"/>
                            </a:cxn>
                          </a:cxnLst>
                          <a:rect l="0" t="0" r="r" b="b"/>
                          <a:pathLst>
                            <a:path w="9285">
                              <a:moveTo>
                                <a:pt x="0" y="0"/>
                              </a:moveTo>
                              <a:lnTo>
                                <a:pt x="9285" y="0"/>
                              </a:lnTo>
                            </a:path>
                          </a:pathLst>
                        </a:custGeom>
                        <a:noFill/>
                        <a:ln w="19050">
                          <a:solidFill>
                            <a:srgbClr val="7E7E7E"/>
                          </a:solidFill>
                          <a:prstDash val="sysDash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7AE80A2" id="Freeform: Shape 22" o:spid="_x0000_s1026" style="position:absolute;margin-left:99.75pt;margin-top:41.9pt;width:409.25pt;height:3.5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" path="m,l9285,e" filled="f" strokecolor="#7e7e7e" strokeweight="1.5pt">
                <v:stroke dashstyle="3 1 1 1"/>
                <v:path arrowok="t" o:connecttype="custom" o:connectlocs="0,0;5197475,0" o:connectangles="0,0"/>
                <w10:wrap type="topAndBottom" anchorx="page"/>
              </v:shape>
            </w:pict>
          </mc:Fallback>
        </mc:AlternateContent>
      </w:r>
      <w:r w:rsidRPr="00476931">
        <w:rPr>
          <w:color w:val="000000" w:themeColor="text1"/>
        </w:rPr>
        <w:t>Text</w:t>
      </w:r>
      <w:r w:rsidRPr="00476931">
        <w:rPr>
          <w:color w:val="000000" w:themeColor="text1"/>
          <w:spacing w:val="-11"/>
        </w:rPr>
        <w:t xml:space="preserve"> </w:t>
      </w:r>
      <w:r w:rsidRPr="00476931">
        <w:rPr>
          <w:color w:val="000000" w:themeColor="text1"/>
        </w:rPr>
        <w:t>and</w:t>
      </w:r>
      <w:r w:rsidRPr="00476931">
        <w:rPr>
          <w:color w:val="000000" w:themeColor="text1"/>
          <w:spacing w:val="-13"/>
        </w:rPr>
        <w:t xml:space="preserve"> </w:t>
      </w:r>
      <w:r w:rsidRPr="00476931">
        <w:rPr>
          <w:color w:val="000000" w:themeColor="text1"/>
        </w:rPr>
        <w:t>figures</w:t>
      </w:r>
      <w:r w:rsidRPr="00476931">
        <w:rPr>
          <w:color w:val="000000" w:themeColor="text1"/>
          <w:spacing w:val="-1"/>
        </w:rPr>
        <w:t xml:space="preserve"> </w:t>
      </w:r>
      <w:r w:rsidRPr="00476931">
        <w:rPr>
          <w:color w:val="000000" w:themeColor="text1"/>
        </w:rPr>
        <w:t>were</w:t>
      </w:r>
      <w:r w:rsidRPr="00476931">
        <w:rPr>
          <w:color w:val="000000" w:themeColor="text1"/>
          <w:spacing w:val="-12"/>
        </w:rPr>
        <w:t xml:space="preserve"> </w:t>
      </w:r>
      <w:r w:rsidRPr="00476931">
        <w:rPr>
          <w:color w:val="000000" w:themeColor="text1"/>
        </w:rPr>
        <w:t>adapted from</w:t>
      </w:r>
      <w:r w:rsidRPr="00476931">
        <w:rPr>
          <w:color w:val="000000" w:themeColor="text1"/>
          <w:spacing w:val="-1"/>
        </w:rPr>
        <w:t xml:space="preserve"> </w:t>
      </w:r>
      <w:r w:rsidRPr="00476931">
        <w:rPr>
          <w:color w:val="000000" w:themeColor="text1"/>
        </w:rPr>
        <w:t>the</w:t>
      </w:r>
      <w:r w:rsidRPr="00476931">
        <w:rPr>
          <w:color w:val="000000" w:themeColor="text1"/>
          <w:spacing w:val="-13"/>
        </w:rPr>
        <w:t xml:space="preserve"> </w:t>
      </w:r>
      <w:r w:rsidRPr="00476931">
        <w:rPr>
          <w:color w:val="000000" w:themeColor="text1"/>
        </w:rPr>
        <w:t xml:space="preserve">following published journal </w:t>
      </w:r>
      <w:r w:rsidRPr="00476931">
        <w:rPr>
          <w:color w:val="000000" w:themeColor="text1"/>
          <w:spacing w:val="-2"/>
        </w:rPr>
        <w:t>articles:</w:t>
      </w:r>
    </w:p>
    <w:p w14:paraId="48466FB3" w14:textId="77777777" w:rsidR="00350CB9" w:rsidRPr="00476931" w:rsidRDefault="00350CB9" w:rsidP="00350CB9">
      <w:pPr>
        <w:spacing w:after="120"/>
        <w:ind w:firstLine="0"/>
        <w:rPr>
          <w:color w:val="000000" w:themeColor="text1"/>
          <w:spacing w:val="-2"/>
        </w:rPr>
      </w:pPr>
    </w:p>
    <w:p w14:paraId="334C8CBB" w14:textId="77777777" w:rsidR="00E24E1F" w:rsidRPr="00476931" w:rsidRDefault="00E24E1F" w:rsidP="00350CB9">
      <w:pPr>
        <w:ind w:firstLine="0"/>
        <w:rPr>
          <w:color w:val="000000" w:themeColor="text1"/>
        </w:rPr>
      </w:pPr>
      <w:r w:rsidRPr="00476931">
        <w:rPr>
          <w:color w:val="000000" w:themeColor="text1"/>
        </w:rPr>
        <w:t xml:space="preserve">Wolf, A. R., </w:t>
      </w:r>
      <w:proofErr w:type="spellStart"/>
      <w:r w:rsidRPr="00476931">
        <w:rPr>
          <w:color w:val="000000" w:themeColor="text1"/>
        </w:rPr>
        <w:t>Wesener</w:t>
      </w:r>
      <w:proofErr w:type="spellEnd"/>
      <w:r w:rsidRPr="00476931">
        <w:rPr>
          <w:color w:val="000000" w:themeColor="text1"/>
        </w:rPr>
        <w:t xml:space="preserve">, D. A., Cheng, J., Houston-Ludlam, A. N., </w:t>
      </w:r>
      <w:proofErr w:type="spellStart"/>
      <w:r w:rsidRPr="00476931">
        <w:rPr>
          <w:color w:val="000000" w:themeColor="text1"/>
        </w:rPr>
        <w:t>Beller</w:t>
      </w:r>
      <w:proofErr w:type="spellEnd"/>
      <w:r w:rsidRPr="00476931">
        <w:rPr>
          <w:color w:val="000000" w:themeColor="text1"/>
        </w:rPr>
        <w:t xml:space="preserve">, Z. W., Hibberd, M. C., Giannone, R. J., </w:t>
      </w:r>
      <w:r w:rsidRPr="00476931">
        <w:rPr>
          <w:b/>
          <w:bCs/>
          <w:color w:val="000000" w:themeColor="text1"/>
        </w:rPr>
        <w:t>Peters, S. L.,</w:t>
      </w:r>
      <w:r w:rsidRPr="00476931">
        <w:rPr>
          <w:color w:val="000000" w:themeColor="text1"/>
        </w:rPr>
        <w:t xml:space="preserve"> Hettich, R. L., </w:t>
      </w:r>
      <w:proofErr w:type="spellStart"/>
      <w:r w:rsidRPr="00476931">
        <w:rPr>
          <w:color w:val="000000" w:themeColor="text1"/>
        </w:rPr>
        <w:t>Leyn</w:t>
      </w:r>
      <w:proofErr w:type="spellEnd"/>
      <w:r w:rsidRPr="00476931">
        <w:rPr>
          <w:color w:val="000000" w:themeColor="text1"/>
        </w:rPr>
        <w:t xml:space="preserve">, S. A., </w:t>
      </w:r>
      <w:proofErr w:type="spellStart"/>
      <w:r w:rsidRPr="00476931">
        <w:rPr>
          <w:color w:val="000000" w:themeColor="text1"/>
        </w:rPr>
        <w:t>Rodionov</w:t>
      </w:r>
      <w:proofErr w:type="spellEnd"/>
      <w:r w:rsidRPr="00476931">
        <w:rPr>
          <w:color w:val="000000" w:themeColor="text1"/>
        </w:rPr>
        <w:t xml:space="preserve">, D. A., Osterman, A. L., &amp; Gordon, J. I. (2019). Bioremediation of a Common Product of Food Processing by a Human Gut Bacterium. </w:t>
      </w:r>
      <w:r w:rsidRPr="00476931">
        <w:rPr>
          <w:i/>
          <w:iCs/>
          <w:color w:val="000000" w:themeColor="text1"/>
        </w:rPr>
        <w:t>Cell Host &amp; Microbe</w:t>
      </w:r>
      <w:r w:rsidRPr="00476931">
        <w:rPr>
          <w:color w:val="000000" w:themeColor="text1"/>
        </w:rPr>
        <w:t>, 26(4), 463–477.e8. https://doi.org/10.1016/j.chom.2019.09.001</w:t>
      </w:r>
    </w:p>
    <w:p w14:paraId="75D0ED76" w14:textId="77777777" w:rsidR="005C33E7" w:rsidRPr="00476931" w:rsidRDefault="005C33E7" w:rsidP="00350CB9">
      <w:pPr>
        <w:ind w:firstLine="0"/>
        <w:rPr>
          <w:color w:val="000000" w:themeColor="text1"/>
        </w:rPr>
      </w:pPr>
    </w:p>
    <w:p w14:paraId="042C13CA" w14:textId="6DBB8132" w:rsidR="00E24E1F" w:rsidRPr="00476931" w:rsidRDefault="00E24E1F" w:rsidP="00350CB9">
      <w:pPr>
        <w:ind w:firstLine="0"/>
        <w:rPr>
          <w:i/>
          <w:color w:val="000000" w:themeColor="text1"/>
        </w:rPr>
      </w:pPr>
      <w:r w:rsidRPr="00476931">
        <w:rPr>
          <w:i/>
          <w:color w:val="000000" w:themeColor="text1"/>
        </w:rPr>
        <w:t>S.L.P</w:t>
      </w:r>
      <w:r w:rsidRPr="00476931">
        <w:rPr>
          <w:i/>
          <w:color w:val="000000" w:themeColor="text1"/>
          <w:spacing w:val="-2"/>
        </w:rPr>
        <w:t xml:space="preserve"> </w:t>
      </w:r>
      <w:r w:rsidRPr="00476931">
        <w:rPr>
          <w:i/>
          <w:color w:val="000000" w:themeColor="text1"/>
        </w:rPr>
        <w:t>contributions</w:t>
      </w:r>
      <w:r w:rsidRPr="00476931">
        <w:rPr>
          <w:i/>
          <w:color w:val="000000" w:themeColor="text1"/>
          <w:spacing w:val="-3"/>
        </w:rPr>
        <w:t xml:space="preserve"> </w:t>
      </w:r>
      <w:r w:rsidRPr="00476931">
        <w:rPr>
          <w:i/>
          <w:color w:val="000000" w:themeColor="text1"/>
        </w:rPr>
        <w:t>include</w:t>
      </w:r>
      <w:r w:rsidRPr="00476931">
        <w:rPr>
          <w:i/>
          <w:color w:val="000000" w:themeColor="text1"/>
          <w:spacing w:val="-5"/>
        </w:rPr>
        <w:t xml:space="preserve"> metaproteomic measurements, </w:t>
      </w:r>
      <w:r w:rsidRPr="00476931">
        <w:rPr>
          <w:i/>
          <w:color w:val="000000" w:themeColor="text1"/>
        </w:rPr>
        <w:t>data</w:t>
      </w:r>
      <w:r w:rsidRPr="00476931">
        <w:rPr>
          <w:i/>
          <w:color w:val="000000" w:themeColor="text1"/>
          <w:spacing w:val="-4"/>
        </w:rPr>
        <w:t xml:space="preserve"> </w:t>
      </w:r>
      <w:r w:rsidRPr="00476931">
        <w:rPr>
          <w:i/>
          <w:color w:val="000000" w:themeColor="text1"/>
        </w:rPr>
        <w:t>analysis,</w:t>
      </w:r>
      <w:r w:rsidRPr="00476931">
        <w:rPr>
          <w:i/>
          <w:color w:val="000000" w:themeColor="text1"/>
          <w:spacing w:val="-4"/>
        </w:rPr>
        <w:t xml:space="preserve"> figure generation, </w:t>
      </w:r>
      <w:r w:rsidRPr="00476931">
        <w:rPr>
          <w:i/>
          <w:color w:val="000000" w:themeColor="text1"/>
        </w:rPr>
        <w:t>editing</w:t>
      </w:r>
      <w:r w:rsidRPr="00476931">
        <w:rPr>
          <w:i/>
          <w:color w:val="000000" w:themeColor="text1"/>
          <w:spacing w:val="-4"/>
        </w:rPr>
        <w:t xml:space="preserve"> </w:t>
      </w:r>
      <w:r w:rsidRPr="00476931">
        <w:rPr>
          <w:i/>
          <w:color w:val="000000" w:themeColor="text1"/>
        </w:rPr>
        <w:t>of</w:t>
      </w:r>
      <w:r w:rsidRPr="00476931">
        <w:rPr>
          <w:i/>
          <w:color w:val="000000" w:themeColor="text1"/>
          <w:spacing w:val="-4"/>
        </w:rPr>
        <w:t xml:space="preserve"> the </w:t>
      </w:r>
      <w:r w:rsidRPr="00476931">
        <w:rPr>
          <w:i/>
          <w:color w:val="000000" w:themeColor="text1"/>
        </w:rPr>
        <w:t>original</w:t>
      </w:r>
      <w:r w:rsidRPr="00476931">
        <w:rPr>
          <w:i/>
          <w:color w:val="000000" w:themeColor="text1"/>
          <w:spacing w:val="-4"/>
        </w:rPr>
        <w:t xml:space="preserve"> </w:t>
      </w:r>
      <w:r w:rsidRPr="00476931">
        <w:rPr>
          <w:i/>
          <w:color w:val="000000" w:themeColor="text1"/>
        </w:rPr>
        <w:t>manuscript, revisions, and response to reviewers.</w:t>
      </w:r>
    </w:p>
    <w:p w14:paraId="154396F3" w14:textId="77777777" w:rsidR="005C33E7" w:rsidRPr="00476931" w:rsidRDefault="005C33E7" w:rsidP="00350CB9">
      <w:pPr>
        <w:ind w:firstLine="0"/>
        <w:rPr>
          <w:color w:val="000000" w:themeColor="text1"/>
        </w:rPr>
      </w:pPr>
    </w:p>
    <w:p w14:paraId="0ABFA55D" w14:textId="753794DB" w:rsidR="00E24E1F" w:rsidRPr="00476931" w:rsidRDefault="00E24E1F" w:rsidP="00350CB9">
      <w:pPr>
        <w:ind w:firstLine="0"/>
        <w:rPr>
          <w:color w:val="000000" w:themeColor="text1"/>
        </w:rPr>
      </w:pPr>
      <w:r w:rsidRPr="00476931">
        <w:rPr>
          <w:color w:val="000000" w:themeColor="text1"/>
        </w:rPr>
        <w:t xml:space="preserve">Wolf, A. R., </w:t>
      </w:r>
      <w:proofErr w:type="spellStart"/>
      <w:r w:rsidRPr="00476931">
        <w:rPr>
          <w:color w:val="000000" w:themeColor="text1"/>
        </w:rPr>
        <w:t>Wesener</w:t>
      </w:r>
      <w:proofErr w:type="spellEnd"/>
      <w:r w:rsidRPr="00476931">
        <w:rPr>
          <w:color w:val="000000" w:themeColor="text1"/>
        </w:rPr>
        <w:t xml:space="preserve">, D. A., Cheng, J., Houston-Ludlam, A. N., </w:t>
      </w:r>
      <w:proofErr w:type="spellStart"/>
      <w:r w:rsidRPr="00476931">
        <w:rPr>
          <w:color w:val="000000" w:themeColor="text1"/>
        </w:rPr>
        <w:t>Beller</w:t>
      </w:r>
      <w:proofErr w:type="spellEnd"/>
      <w:r w:rsidRPr="00476931">
        <w:rPr>
          <w:color w:val="000000" w:themeColor="text1"/>
        </w:rPr>
        <w:t xml:space="preserve">, Z. W., Hibberd, M. C., Giannone, R. J., </w:t>
      </w:r>
      <w:r w:rsidRPr="00476931">
        <w:rPr>
          <w:b/>
          <w:bCs/>
          <w:color w:val="000000" w:themeColor="text1"/>
        </w:rPr>
        <w:t>Peters, S. L.,</w:t>
      </w:r>
      <w:r w:rsidRPr="00476931">
        <w:rPr>
          <w:color w:val="000000" w:themeColor="text1"/>
        </w:rPr>
        <w:t xml:space="preserve"> Hettich, R. L., </w:t>
      </w:r>
      <w:proofErr w:type="spellStart"/>
      <w:r w:rsidRPr="00476931">
        <w:rPr>
          <w:color w:val="000000" w:themeColor="text1"/>
        </w:rPr>
        <w:t>Leyn</w:t>
      </w:r>
      <w:proofErr w:type="spellEnd"/>
      <w:r w:rsidRPr="00476931">
        <w:rPr>
          <w:color w:val="000000" w:themeColor="text1"/>
        </w:rPr>
        <w:t xml:space="preserve">, S. A., </w:t>
      </w:r>
      <w:proofErr w:type="spellStart"/>
      <w:r w:rsidRPr="00476931">
        <w:rPr>
          <w:color w:val="000000" w:themeColor="text1"/>
        </w:rPr>
        <w:t>Rodionov</w:t>
      </w:r>
      <w:proofErr w:type="spellEnd"/>
      <w:r w:rsidRPr="00476931">
        <w:rPr>
          <w:color w:val="000000" w:themeColor="text1"/>
        </w:rPr>
        <w:t xml:space="preserve">, D. A., Osterman, A. L., &amp; Gordon, J. I. (2019). Bioremediation of a Common Product of Food Processing by a Human Gut Bacterium. </w:t>
      </w:r>
      <w:r w:rsidRPr="00476931">
        <w:rPr>
          <w:i/>
          <w:iCs/>
          <w:color w:val="000000" w:themeColor="text1"/>
        </w:rPr>
        <w:t>Cell Host &amp; Microbe</w:t>
      </w:r>
      <w:r w:rsidRPr="00476931">
        <w:rPr>
          <w:color w:val="000000" w:themeColor="text1"/>
        </w:rPr>
        <w:t>, 26(4), 463–477.e8. https://doi.org/10.1016/j.chom.2019.09.001</w:t>
      </w:r>
    </w:p>
    <w:p w14:paraId="4A860B40" w14:textId="77777777" w:rsidR="005C33E7" w:rsidRPr="00476931" w:rsidRDefault="005C33E7" w:rsidP="00350CB9">
      <w:pPr>
        <w:ind w:firstLine="0"/>
        <w:rPr>
          <w:color w:val="000000" w:themeColor="text1"/>
        </w:rPr>
      </w:pPr>
    </w:p>
    <w:p w14:paraId="3673A58E" w14:textId="02C96B75" w:rsidR="00E24E1F" w:rsidRPr="00476931" w:rsidRDefault="00E24E1F" w:rsidP="00350CB9">
      <w:pPr>
        <w:ind w:firstLine="0"/>
        <w:rPr>
          <w:i/>
          <w:color w:val="000000" w:themeColor="text1"/>
        </w:rPr>
      </w:pPr>
      <w:r w:rsidRPr="00476931">
        <w:rPr>
          <w:i/>
          <w:color w:val="000000" w:themeColor="text1"/>
        </w:rPr>
        <w:t>S.L.P</w:t>
      </w:r>
      <w:r w:rsidRPr="00476931">
        <w:rPr>
          <w:i/>
          <w:color w:val="000000" w:themeColor="text1"/>
          <w:spacing w:val="-2"/>
        </w:rPr>
        <w:t xml:space="preserve"> </w:t>
      </w:r>
      <w:r w:rsidRPr="00476931">
        <w:rPr>
          <w:i/>
          <w:color w:val="000000" w:themeColor="text1"/>
        </w:rPr>
        <w:t>contributions</w:t>
      </w:r>
      <w:r w:rsidRPr="00476931">
        <w:rPr>
          <w:i/>
          <w:color w:val="000000" w:themeColor="text1"/>
          <w:spacing w:val="-3"/>
        </w:rPr>
        <w:t xml:space="preserve"> </w:t>
      </w:r>
      <w:r w:rsidRPr="00476931">
        <w:rPr>
          <w:i/>
          <w:color w:val="000000" w:themeColor="text1"/>
        </w:rPr>
        <w:t>include</w:t>
      </w:r>
      <w:r w:rsidRPr="00476931">
        <w:rPr>
          <w:i/>
          <w:color w:val="000000" w:themeColor="text1"/>
          <w:spacing w:val="-5"/>
        </w:rPr>
        <w:t xml:space="preserve"> metaproteomic measurements, </w:t>
      </w:r>
      <w:r w:rsidRPr="00476931">
        <w:rPr>
          <w:i/>
          <w:color w:val="000000" w:themeColor="text1"/>
        </w:rPr>
        <w:t>data</w:t>
      </w:r>
      <w:r w:rsidRPr="00476931">
        <w:rPr>
          <w:i/>
          <w:color w:val="000000" w:themeColor="text1"/>
          <w:spacing w:val="-4"/>
        </w:rPr>
        <w:t xml:space="preserve"> </w:t>
      </w:r>
      <w:r w:rsidRPr="00476931">
        <w:rPr>
          <w:i/>
          <w:color w:val="000000" w:themeColor="text1"/>
        </w:rPr>
        <w:t>analysis,</w:t>
      </w:r>
      <w:r w:rsidRPr="00476931">
        <w:rPr>
          <w:i/>
          <w:color w:val="000000" w:themeColor="text1"/>
          <w:spacing w:val="-4"/>
        </w:rPr>
        <w:t xml:space="preserve"> </w:t>
      </w:r>
      <w:r w:rsidRPr="00476931">
        <w:rPr>
          <w:i/>
          <w:color w:val="000000" w:themeColor="text1"/>
        </w:rPr>
        <w:t>editing</w:t>
      </w:r>
      <w:r w:rsidRPr="00476931">
        <w:rPr>
          <w:i/>
          <w:color w:val="000000" w:themeColor="text1"/>
          <w:spacing w:val="-4"/>
        </w:rPr>
        <w:t xml:space="preserve"> </w:t>
      </w:r>
      <w:r w:rsidRPr="00476931">
        <w:rPr>
          <w:i/>
          <w:color w:val="000000" w:themeColor="text1"/>
        </w:rPr>
        <w:t>of</w:t>
      </w:r>
      <w:r w:rsidRPr="00476931">
        <w:rPr>
          <w:i/>
          <w:color w:val="000000" w:themeColor="text1"/>
          <w:spacing w:val="-4"/>
        </w:rPr>
        <w:t xml:space="preserve"> the </w:t>
      </w:r>
      <w:r w:rsidRPr="00476931">
        <w:rPr>
          <w:i/>
          <w:color w:val="000000" w:themeColor="text1"/>
        </w:rPr>
        <w:t>original</w:t>
      </w:r>
      <w:r w:rsidRPr="00476931">
        <w:rPr>
          <w:i/>
          <w:color w:val="000000" w:themeColor="text1"/>
          <w:spacing w:val="-4"/>
        </w:rPr>
        <w:t xml:space="preserve"> </w:t>
      </w:r>
      <w:r w:rsidRPr="00476931">
        <w:rPr>
          <w:i/>
          <w:color w:val="000000" w:themeColor="text1"/>
        </w:rPr>
        <w:t>manuscript, revisions, and response to reviewers.</w:t>
      </w:r>
    </w:p>
    <w:p w14:paraId="325DF764" w14:textId="77777777" w:rsidR="005C33E7" w:rsidRPr="00476931" w:rsidRDefault="005C33E7" w:rsidP="00350CB9">
      <w:pPr>
        <w:ind w:firstLine="0"/>
        <w:rPr>
          <w:color w:val="000000" w:themeColor="text1"/>
        </w:rPr>
      </w:pPr>
    </w:p>
    <w:p w14:paraId="566B8F9D" w14:textId="77777777" w:rsidR="00E24E1F" w:rsidRPr="00476931" w:rsidRDefault="00E24E1F" w:rsidP="00350CB9">
      <w:pPr>
        <w:ind w:firstLine="0"/>
        <w:rPr>
          <w:color w:val="000000" w:themeColor="text1"/>
        </w:rPr>
      </w:pPr>
      <w:proofErr w:type="spellStart"/>
      <w:r w:rsidRPr="00476931">
        <w:rPr>
          <w:color w:val="000000" w:themeColor="text1"/>
        </w:rPr>
        <w:t>Wesener</w:t>
      </w:r>
      <w:proofErr w:type="spellEnd"/>
      <w:r w:rsidRPr="00476931">
        <w:rPr>
          <w:color w:val="000000" w:themeColor="text1"/>
        </w:rPr>
        <w:t xml:space="preserve">, D. A., </w:t>
      </w:r>
      <w:proofErr w:type="spellStart"/>
      <w:r w:rsidRPr="00476931">
        <w:rPr>
          <w:color w:val="000000" w:themeColor="text1"/>
        </w:rPr>
        <w:t>Beller</w:t>
      </w:r>
      <w:proofErr w:type="spellEnd"/>
      <w:r w:rsidRPr="00476931">
        <w:rPr>
          <w:color w:val="000000" w:themeColor="text1"/>
        </w:rPr>
        <w:t xml:space="preserve">, Z. W., </w:t>
      </w:r>
      <w:r w:rsidRPr="00476931">
        <w:rPr>
          <w:b/>
          <w:bCs/>
          <w:color w:val="000000" w:themeColor="text1"/>
        </w:rPr>
        <w:t>Peters, S. L.,</w:t>
      </w:r>
      <w:r w:rsidRPr="00476931">
        <w:rPr>
          <w:color w:val="000000" w:themeColor="text1"/>
        </w:rPr>
        <w:t xml:space="preserve"> </w:t>
      </w:r>
      <w:proofErr w:type="spellStart"/>
      <w:r w:rsidRPr="00476931">
        <w:rPr>
          <w:color w:val="000000" w:themeColor="text1"/>
        </w:rPr>
        <w:t>Rajabi</w:t>
      </w:r>
      <w:proofErr w:type="spellEnd"/>
      <w:r w:rsidRPr="00476931">
        <w:rPr>
          <w:color w:val="000000" w:themeColor="text1"/>
        </w:rPr>
        <w:t xml:space="preserve">, A., </w:t>
      </w:r>
      <w:proofErr w:type="spellStart"/>
      <w:r w:rsidRPr="00476931">
        <w:rPr>
          <w:color w:val="000000" w:themeColor="text1"/>
        </w:rPr>
        <w:t>Dimartino</w:t>
      </w:r>
      <w:proofErr w:type="spellEnd"/>
      <w:r w:rsidRPr="00476931">
        <w:rPr>
          <w:color w:val="000000" w:themeColor="text1"/>
        </w:rPr>
        <w:t xml:space="preserve">, G., Giannone, R. J., Hettich, R. L., &amp; Gordon, J. I. (2021). Microbiota functional activity biosensors for characterizing nutrient metabolism in vivo. </w:t>
      </w:r>
      <w:proofErr w:type="spellStart"/>
      <w:r w:rsidRPr="00476931">
        <w:rPr>
          <w:i/>
          <w:iCs/>
          <w:color w:val="000000" w:themeColor="text1"/>
        </w:rPr>
        <w:t>eLife</w:t>
      </w:r>
      <w:proofErr w:type="spellEnd"/>
      <w:r w:rsidRPr="00476931">
        <w:rPr>
          <w:color w:val="000000" w:themeColor="text1"/>
        </w:rPr>
        <w:t>, 10(</w:t>
      </w:r>
      <w:proofErr w:type="spellStart"/>
      <w:r w:rsidRPr="00476931">
        <w:rPr>
          <w:color w:val="000000" w:themeColor="text1"/>
        </w:rPr>
        <w:t>na</w:t>
      </w:r>
      <w:proofErr w:type="spellEnd"/>
      <w:r w:rsidRPr="00476931">
        <w:rPr>
          <w:color w:val="000000" w:themeColor="text1"/>
        </w:rPr>
        <w:t>). https://doi.org/10.7554/eLife.64478</w:t>
      </w:r>
    </w:p>
    <w:p w14:paraId="479412FE" w14:textId="77777777" w:rsidR="005C33E7" w:rsidRPr="00476931" w:rsidRDefault="005C33E7" w:rsidP="00350CB9">
      <w:pPr>
        <w:ind w:firstLine="0"/>
        <w:rPr>
          <w:i/>
          <w:color w:val="000000" w:themeColor="text1"/>
        </w:rPr>
      </w:pPr>
    </w:p>
    <w:p w14:paraId="16A979A9" w14:textId="0C3A989B" w:rsidR="005C33E7" w:rsidRPr="00476931" w:rsidRDefault="00350CB9" w:rsidP="00350CB9">
      <w:pPr>
        <w:ind w:firstLine="0"/>
        <w:rPr>
          <w:i/>
          <w:color w:val="000000" w:themeColor="text1"/>
        </w:rPr>
      </w:pPr>
      <w:r w:rsidRPr="00476931">
        <w:rPr>
          <w:noProof/>
          <w:color w:val="000000" w:themeColor="text1"/>
        </w:rPr>
        <mc:AlternateContent>
          <mc:Choice Requires="wps">
            <w:drawing>
              <wp:anchor distT="0" distB="0" distL="0" distR="0" simplePos="0" relativeHeight="251658249" behindDoc="1" locked="0" layoutInCell="1" allowOverlap="1" wp14:anchorId="2E29573F" wp14:editId="378EDCDC">
                <wp:simplePos x="0" y="0"/>
                <wp:positionH relativeFrom="page">
                  <wp:posOffset>1278218</wp:posOffset>
                </wp:positionH>
                <wp:positionV relativeFrom="paragraph">
                  <wp:posOffset>642060</wp:posOffset>
                </wp:positionV>
                <wp:extent cx="5200650" cy="45085"/>
                <wp:effectExtent l="0" t="12700" r="19050" b="0"/>
                <wp:wrapTopAndBottom/>
                <wp:docPr id="27" name="Freeform: 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00650" cy="45085"/>
                        </a:xfrm>
                        <a:custGeom>
                          <a:avLst/>
                          <a:gdLst>
                            <a:gd name="T0" fmla="+- 0 1455 1455"/>
                            <a:gd name="T1" fmla="*/ T0 w 9285"/>
                            <a:gd name="T2" fmla="+- 0 10740 1455"/>
                            <a:gd name="T3" fmla="*/ T2 w 9285"/>
                          </a:gdLst>
                          <a:ahLst/>
                          <a:cxnLst>
                            <a:cxn ang="0">
                              <a:pos x="T1" y="0"/>
                            </a:cxn>
                            <a:cxn ang="0">
                              <a:pos x="T3" y="0"/>
                            </a:cxn>
                          </a:cxnLst>
                          <a:rect l="0" t="0" r="r" b="b"/>
                          <a:pathLst>
                            <a:path w="9285">
                              <a:moveTo>
                                <a:pt x="0" y="0"/>
                              </a:moveTo>
                              <a:lnTo>
                                <a:pt x="9285" y="0"/>
                              </a:lnTo>
                            </a:path>
                          </a:pathLst>
                        </a:custGeom>
                        <a:noFill/>
                        <a:ln w="19050">
                          <a:solidFill>
                            <a:srgbClr val="7E7E7E"/>
                          </a:solidFill>
                          <a:prstDash val="sysDash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FAE1C92" id="Freeform: Shape 27" o:spid="_x0000_s1026" style="position:absolute;margin-left:100.65pt;margin-top:50.55pt;width:409.5pt;height:3.5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" path="m,l9285,e" filled="f" strokecolor="#7e7e7e" strokeweight="1.5pt">
                <v:stroke dashstyle="3 1 1 1"/>
                <v:path arrowok="t" o:connecttype="custom" o:connectlocs="0,0;5200650,0" o:connectangles="0,0"/>
                <w10:wrap type="topAndBottom" anchorx="page"/>
              </v:shape>
            </w:pict>
          </mc:Fallback>
        </mc:AlternateContent>
      </w:r>
      <w:r w:rsidR="005C33E7" w:rsidRPr="00476931">
        <w:rPr>
          <w:i/>
          <w:color w:val="000000" w:themeColor="text1"/>
        </w:rPr>
        <w:t>S.L.P</w:t>
      </w:r>
      <w:r w:rsidR="005C33E7" w:rsidRPr="00476931">
        <w:rPr>
          <w:i/>
          <w:color w:val="000000" w:themeColor="text1"/>
          <w:spacing w:val="-2"/>
        </w:rPr>
        <w:t xml:space="preserve"> </w:t>
      </w:r>
      <w:r w:rsidR="005C33E7" w:rsidRPr="00476931">
        <w:rPr>
          <w:i/>
          <w:color w:val="000000" w:themeColor="text1"/>
        </w:rPr>
        <w:t>contributions</w:t>
      </w:r>
      <w:r w:rsidR="005C33E7" w:rsidRPr="00476931">
        <w:rPr>
          <w:i/>
          <w:color w:val="000000" w:themeColor="text1"/>
          <w:spacing w:val="-3"/>
        </w:rPr>
        <w:t xml:space="preserve"> </w:t>
      </w:r>
      <w:r w:rsidR="005C33E7" w:rsidRPr="00476931">
        <w:rPr>
          <w:i/>
          <w:color w:val="000000" w:themeColor="text1"/>
        </w:rPr>
        <w:t>include</w:t>
      </w:r>
      <w:r w:rsidR="005C33E7" w:rsidRPr="00476931">
        <w:rPr>
          <w:i/>
          <w:color w:val="000000" w:themeColor="text1"/>
          <w:spacing w:val="-5"/>
        </w:rPr>
        <w:t xml:space="preserve"> metaproteomic measurements, </w:t>
      </w:r>
      <w:r w:rsidR="005C33E7" w:rsidRPr="00476931">
        <w:rPr>
          <w:i/>
          <w:color w:val="000000" w:themeColor="text1"/>
        </w:rPr>
        <w:t>data</w:t>
      </w:r>
      <w:r w:rsidR="005C33E7" w:rsidRPr="00476931">
        <w:rPr>
          <w:i/>
          <w:color w:val="000000" w:themeColor="text1"/>
          <w:spacing w:val="-4"/>
        </w:rPr>
        <w:t xml:space="preserve"> </w:t>
      </w:r>
      <w:r w:rsidR="005C33E7" w:rsidRPr="00476931">
        <w:rPr>
          <w:i/>
          <w:color w:val="000000" w:themeColor="text1"/>
        </w:rPr>
        <w:t>analysis,</w:t>
      </w:r>
      <w:r w:rsidR="005C33E7" w:rsidRPr="00476931">
        <w:rPr>
          <w:i/>
          <w:color w:val="000000" w:themeColor="text1"/>
          <w:spacing w:val="-4"/>
        </w:rPr>
        <w:t xml:space="preserve"> </w:t>
      </w:r>
      <w:r w:rsidR="00E24E1F" w:rsidRPr="00476931">
        <w:rPr>
          <w:i/>
          <w:color w:val="000000" w:themeColor="text1"/>
          <w:spacing w:val="-4"/>
        </w:rPr>
        <w:t xml:space="preserve">writing and </w:t>
      </w:r>
      <w:r w:rsidR="005C33E7" w:rsidRPr="00476931">
        <w:rPr>
          <w:i/>
          <w:color w:val="000000" w:themeColor="text1"/>
        </w:rPr>
        <w:t>editing</w:t>
      </w:r>
      <w:r w:rsidR="005C33E7" w:rsidRPr="00476931">
        <w:rPr>
          <w:i/>
          <w:color w:val="000000" w:themeColor="text1"/>
          <w:spacing w:val="-4"/>
        </w:rPr>
        <w:t xml:space="preserve"> </w:t>
      </w:r>
      <w:r w:rsidR="005C33E7" w:rsidRPr="00476931">
        <w:rPr>
          <w:i/>
          <w:color w:val="000000" w:themeColor="text1"/>
        </w:rPr>
        <w:t>of</w:t>
      </w:r>
      <w:r w:rsidR="005C33E7" w:rsidRPr="00476931">
        <w:rPr>
          <w:i/>
          <w:color w:val="000000" w:themeColor="text1"/>
          <w:spacing w:val="-4"/>
        </w:rPr>
        <w:t xml:space="preserve"> the </w:t>
      </w:r>
      <w:r w:rsidR="005C33E7" w:rsidRPr="00476931">
        <w:rPr>
          <w:i/>
          <w:color w:val="000000" w:themeColor="text1"/>
        </w:rPr>
        <w:t>original</w:t>
      </w:r>
      <w:r w:rsidR="005C33E7" w:rsidRPr="00476931">
        <w:rPr>
          <w:i/>
          <w:color w:val="000000" w:themeColor="text1"/>
          <w:spacing w:val="-4"/>
        </w:rPr>
        <w:t xml:space="preserve"> </w:t>
      </w:r>
      <w:r w:rsidR="005C33E7" w:rsidRPr="00476931">
        <w:rPr>
          <w:i/>
          <w:color w:val="000000" w:themeColor="text1"/>
        </w:rPr>
        <w:t>manuscript</w:t>
      </w:r>
      <w:r w:rsidR="00E24E1F" w:rsidRPr="00476931">
        <w:rPr>
          <w:i/>
          <w:color w:val="000000" w:themeColor="text1"/>
        </w:rPr>
        <w:t>, revisions, and response to reviewers</w:t>
      </w:r>
      <w:r w:rsidR="005C33E7" w:rsidRPr="00476931">
        <w:rPr>
          <w:i/>
          <w:color w:val="000000" w:themeColor="text1"/>
        </w:rPr>
        <w:t>.</w:t>
      </w:r>
    </w:p>
    <w:p w14:paraId="5EFBEF31" w14:textId="24026DCA" w:rsidR="005C33E7" w:rsidRPr="00476931" w:rsidRDefault="005C33E7" w:rsidP="0060435B">
      <w:pPr>
        <w:pStyle w:val="Heading2"/>
      </w:pPr>
    </w:p>
    <w:p w14:paraId="67235CDA" w14:textId="214BF38F" w:rsidR="00310878" w:rsidRPr="00476931" w:rsidRDefault="00863807" w:rsidP="0060435B">
      <w:pPr>
        <w:pStyle w:val="Heading2"/>
      </w:pPr>
      <w:bookmarkStart w:id="259" w:name="_Toc110250273"/>
      <w:bookmarkStart w:id="260" w:name="_Toc110250530"/>
      <w:bookmarkStart w:id="261" w:name="_Toc110250661"/>
      <w:r w:rsidRPr="00476931">
        <w:t xml:space="preserve">5.1  </w:t>
      </w:r>
      <w:r w:rsidR="00310878" w:rsidRPr="00476931">
        <w:t>Introduction</w:t>
      </w:r>
      <w:r w:rsidR="0003562F">
        <w:t>.</w:t>
      </w:r>
      <w:bookmarkEnd w:id="259"/>
      <w:bookmarkEnd w:id="260"/>
      <w:bookmarkEnd w:id="261"/>
    </w:p>
    <w:p w14:paraId="7052CF0E" w14:textId="77777777" w:rsidR="00863807" w:rsidRPr="00476931" w:rsidRDefault="00863807" w:rsidP="00863807">
      <w:pPr>
        <w:rPr>
          <w:color w:val="000000" w:themeColor="text1"/>
        </w:rPr>
      </w:pPr>
    </w:p>
    <w:p w14:paraId="52AE1500" w14:textId="05EB7BC3" w:rsidR="00310878" w:rsidRPr="00476931" w:rsidRDefault="00310878" w:rsidP="00863807">
      <w:pPr>
        <w:rPr>
          <w:rFonts w:eastAsiaTheme="minorEastAsia"/>
          <w:color w:val="000000" w:themeColor="text1"/>
          <w:kern w:val="24"/>
        </w:rPr>
      </w:pPr>
      <w:r w:rsidRPr="00476931">
        <w:rPr>
          <w:color w:val="000000" w:themeColor="text1"/>
        </w:rPr>
        <w:t xml:space="preserve">Massive changes in food preferences in recent years have implications on our biology and the disease risks associated with those dietary patterns.  One method to study the biological implications of food choice is to use diet oscillation studies to define the role of gut microbiota on host nutritional status.  The core focus of the projects presented in this chapter is the interrelationships between the food we eat in Westernized diets and their interactions with our gut microbiota. Understanding of these interactions should give insights into host physiology and metabolism and may emphasize how food is a driver or modulator of health.  </w:t>
      </w:r>
      <w:r w:rsidRPr="00476931">
        <w:rPr>
          <w:color w:val="000000" w:themeColor="text1"/>
          <w:shd w:val="clear" w:color="auto" w:fill="FFFFFF"/>
        </w:rPr>
        <w:t xml:space="preserve">These projects are based on gnotobiotic models of the human gut microbiota and a combination of experimental tools to look at how different dietary components added to a representative Western diet configure the microbial community structure and function. </w:t>
      </w:r>
      <w:r w:rsidRPr="00476931">
        <w:rPr>
          <w:color w:val="000000" w:themeColor="text1"/>
        </w:rPr>
        <w:t>The main goal of these projects is to identify dietary components that shape gut microbial community composition and function in ways that improve host wellness.</w:t>
      </w:r>
      <w:r w:rsidRPr="00476931">
        <w:rPr>
          <w:color w:val="000000" w:themeColor="text1"/>
          <w:shd w:val="clear" w:color="auto" w:fill="FFFFFF"/>
        </w:rPr>
        <w:t xml:space="preserve"> In this chapter, the proteomics and metaproteomics work is presented from </w:t>
      </w:r>
      <w:r w:rsidR="0064713E">
        <w:rPr>
          <w:color w:val="000000" w:themeColor="text1"/>
          <w:shd w:val="clear" w:color="auto" w:fill="FFFFFF"/>
        </w:rPr>
        <w:t>three projects</w:t>
      </w:r>
      <w:r w:rsidRPr="00476931">
        <w:rPr>
          <w:color w:val="000000" w:themeColor="text1"/>
          <w:shd w:val="clear" w:color="auto" w:fill="FFFFFF"/>
        </w:rPr>
        <w:t xml:space="preserve"> that were conducted in collaboration with Jeffrey Gordon’s laboratory at Washington University in St. Louis.  </w:t>
      </w:r>
      <w:r w:rsidRPr="00476931">
        <w:rPr>
          <w:rFonts w:eastAsiaTheme="minorEastAsia"/>
          <w:color w:val="000000" w:themeColor="text1"/>
          <w:shd w:val="clear" w:color="auto" w:fill="FFFFFF"/>
        </w:rPr>
        <w:t>The scope of th</w:t>
      </w:r>
      <w:r w:rsidRPr="00476931">
        <w:rPr>
          <w:color w:val="000000" w:themeColor="text1"/>
          <w:shd w:val="clear" w:color="auto" w:fill="FFFFFF"/>
        </w:rPr>
        <w:t>e first</w:t>
      </w:r>
      <w:r w:rsidRPr="00476931">
        <w:rPr>
          <w:rFonts w:eastAsiaTheme="minorEastAsia"/>
          <w:color w:val="000000" w:themeColor="text1"/>
          <w:shd w:val="clear" w:color="auto" w:fill="FFFFFF"/>
        </w:rPr>
        <w:t xml:space="preserve"> project is to understand how a member of the human gut microbiota (</w:t>
      </w:r>
      <w:r w:rsidRPr="00476931">
        <w:rPr>
          <w:rFonts w:eastAsiaTheme="minorEastAsia"/>
          <w:i/>
          <w:color w:val="000000" w:themeColor="text1"/>
          <w:shd w:val="clear" w:color="auto" w:fill="FFFFFF"/>
        </w:rPr>
        <w:t>Collinsella sp</w:t>
      </w:r>
      <w:r w:rsidRPr="00476931">
        <w:rPr>
          <w:rFonts w:eastAsiaTheme="minorEastAsia"/>
          <w:color w:val="000000" w:themeColor="text1"/>
          <w:shd w:val="clear" w:color="auto" w:fill="FFFFFF"/>
        </w:rPr>
        <w:t>.) responds to a common chemical modification of food (fructoselysine) introduced by food processing</w:t>
      </w:r>
      <w:r w:rsidRPr="00476931">
        <w:rPr>
          <w:color w:val="000000" w:themeColor="text1"/>
          <w:shd w:val="clear" w:color="auto" w:fill="FFFFFF"/>
        </w:rPr>
        <w:t>.  Proteomics work was conducted to determine the extent of this chemical modification in the processed dietary whey fed to the mice during the study.  The second project was aimed at</w:t>
      </w:r>
      <w:r w:rsidRPr="00476931">
        <w:rPr>
          <w:rFonts w:eastAsia="Roboto Light"/>
          <w:color w:val="000000" w:themeColor="text1"/>
          <w:shd w:val="clear" w:color="auto" w:fill="FFFFFF"/>
        </w:rPr>
        <w:t xml:space="preserve"> </w:t>
      </w:r>
      <w:r w:rsidRPr="00476931">
        <w:rPr>
          <w:color w:val="000000" w:themeColor="text1"/>
          <w:shd w:val="clear" w:color="auto" w:fill="FFFFFF"/>
        </w:rPr>
        <w:t>identifying</w:t>
      </w:r>
      <w:r w:rsidRPr="00476931">
        <w:rPr>
          <w:rFonts w:eastAsia="Roboto Light"/>
          <w:color w:val="000000" w:themeColor="text1"/>
          <w:shd w:val="clear" w:color="auto" w:fill="FFFFFF"/>
        </w:rPr>
        <w:t xml:space="preserve"> different dietary fibers and their bioactive components that increase the fitness of </w:t>
      </w:r>
      <w:proofErr w:type="gramStart"/>
      <w:r w:rsidRPr="00476931">
        <w:rPr>
          <w:rFonts w:eastAsia="Roboto Light"/>
          <w:color w:val="000000" w:themeColor="text1"/>
          <w:shd w:val="clear" w:color="auto" w:fill="FFFFFF"/>
        </w:rPr>
        <w:t xml:space="preserve">particular </w:t>
      </w:r>
      <w:r w:rsidRPr="00476931">
        <w:rPr>
          <w:rFonts w:eastAsia="Roboto Light"/>
          <w:i/>
          <w:color w:val="000000" w:themeColor="text1"/>
          <w:shd w:val="clear" w:color="auto" w:fill="FFFFFF"/>
        </w:rPr>
        <w:t>Bacteroides</w:t>
      </w:r>
      <w:proofErr w:type="gramEnd"/>
      <w:r w:rsidRPr="00476931">
        <w:rPr>
          <w:rFonts w:eastAsia="Roboto Light"/>
          <w:iCs/>
          <w:color w:val="000000" w:themeColor="text1"/>
          <w:shd w:val="clear" w:color="auto" w:fill="FFFFFF"/>
        </w:rPr>
        <w:t xml:space="preserve"> </w:t>
      </w:r>
      <w:r w:rsidRPr="00476931">
        <w:rPr>
          <w:rFonts w:eastAsia="Roboto Light"/>
          <w:color w:val="000000" w:themeColor="text1"/>
          <w:shd w:val="clear" w:color="auto" w:fill="FFFFFF"/>
        </w:rPr>
        <w:t>species in the context of a representative Western diet using humanized gnotobiotic mice.</w:t>
      </w:r>
      <w:r w:rsidRPr="00476931">
        <w:rPr>
          <w:color w:val="000000" w:themeColor="text1"/>
          <w:shd w:val="clear" w:color="auto" w:fill="FFFFFF"/>
        </w:rPr>
        <w:t xml:space="preserve">  Longitudinal metaproteomic measurements of fecal samples were conducted for gnotobiotic mice colonized with a defined microbial community including various </w:t>
      </w:r>
      <w:r w:rsidRPr="00476931">
        <w:rPr>
          <w:i/>
          <w:color w:val="000000" w:themeColor="text1"/>
          <w:shd w:val="clear" w:color="auto" w:fill="FFFFFF"/>
        </w:rPr>
        <w:t>Bacteroides</w:t>
      </w:r>
      <w:r w:rsidRPr="00476931">
        <w:rPr>
          <w:color w:val="000000" w:themeColor="text1"/>
          <w:shd w:val="clear" w:color="auto" w:fill="FFFFFF"/>
        </w:rPr>
        <w:t xml:space="preserve"> members and fed a representative Western diet supplemented with </w:t>
      </w:r>
      <w:r w:rsidRPr="00476931">
        <w:rPr>
          <w:rFonts w:eastAsiaTheme="minorEastAsia"/>
          <w:color w:val="000000" w:themeColor="text1"/>
          <w:shd w:val="clear" w:color="auto" w:fill="FFFFFF"/>
        </w:rPr>
        <w:t>food-grade fiber preparations from the byproducts of food manufacturing</w:t>
      </w:r>
      <w:r w:rsidRPr="00476931">
        <w:rPr>
          <w:color w:val="000000" w:themeColor="text1"/>
          <w:shd w:val="clear" w:color="auto" w:fill="FFFFFF"/>
        </w:rPr>
        <w:t xml:space="preserve">.  The third project focuses on defining the responses of community members to </w:t>
      </w:r>
      <w:r w:rsidRPr="00476931">
        <w:rPr>
          <w:color w:val="000000" w:themeColor="text1"/>
        </w:rPr>
        <w:t xml:space="preserve">two structurally distinct arabinan polysaccharides, one isolated from the endosperm of pea and the other from sugar beet.  We used metaproteomics to compare the degradation of these two glycans by several </w:t>
      </w:r>
      <w:r w:rsidRPr="00476931">
        <w:rPr>
          <w:i/>
          <w:iCs/>
          <w:color w:val="000000" w:themeColor="text1"/>
        </w:rPr>
        <w:t>Bacteroides</w:t>
      </w:r>
      <w:r w:rsidRPr="00476931">
        <w:rPr>
          <w:color w:val="000000" w:themeColor="text1"/>
        </w:rPr>
        <w:t xml:space="preserve"> spp. </w:t>
      </w:r>
      <w:r w:rsidRPr="00476931">
        <w:rPr>
          <w:color w:val="000000" w:themeColor="text1"/>
          <w:shd w:val="clear" w:color="auto" w:fill="FFFFFF"/>
        </w:rPr>
        <w:t>in the bacterial consortium</w:t>
      </w:r>
      <w:r w:rsidRPr="00476931">
        <w:rPr>
          <w:color w:val="000000" w:themeColor="text1"/>
        </w:rPr>
        <w:t xml:space="preserve"> when fed a glycan-supplemented representative Western diet.</w:t>
      </w:r>
    </w:p>
    <w:p w14:paraId="7B6879DD" w14:textId="77777777" w:rsidR="00310878" w:rsidRPr="00476931" w:rsidRDefault="00310878" w:rsidP="00343C78">
      <w:pPr>
        <w:pStyle w:val="NormalWeb"/>
        <w:kinsoku w:val="0"/>
        <w:overflowPunct w:val="0"/>
        <w:spacing w:before="79" w:beforeAutospacing="0" w:after="0" w:afterAutospacing="0" w:line="360" w:lineRule="auto"/>
        <w:ind w:left="158"/>
        <w:jc w:val="both"/>
        <w:textAlignment w:val="baseline"/>
        <w:rPr>
          <w:rFonts w:eastAsiaTheme="minorEastAsia"/>
          <w:color w:val="000000" w:themeColor="text1"/>
          <w:kern w:val="24"/>
        </w:rPr>
      </w:pPr>
    </w:p>
    <w:p w14:paraId="7217FD75" w14:textId="58E7F34E" w:rsidR="00310878" w:rsidRPr="00476931" w:rsidRDefault="008F5608" w:rsidP="0060435B">
      <w:pPr>
        <w:pStyle w:val="Heading2"/>
      </w:pPr>
      <w:bookmarkStart w:id="262" w:name="_Toc110250274"/>
      <w:bookmarkStart w:id="263" w:name="_Toc110250531"/>
      <w:bookmarkStart w:id="264" w:name="_Toc110250662"/>
      <w:r w:rsidRPr="00476931">
        <w:t xml:space="preserve">5.2  </w:t>
      </w:r>
      <w:r w:rsidR="00310878" w:rsidRPr="00476931">
        <w:t>Controlled investigation of microbial community dynamics in gnotobiotic animals</w:t>
      </w:r>
      <w:r w:rsidR="0003562F">
        <w:t>.</w:t>
      </w:r>
      <w:bookmarkEnd w:id="262"/>
      <w:bookmarkEnd w:id="263"/>
      <w:bookmarkEnd w:id="264"/>
    </w:p>
    <w:p w14:paraId="79FB1FE4" w14:textId="77777777" w:rsidR="008F5608" w:rsidRPr="00476931" w:rsidRDefault="008F5608" w:rsidP="008F5608">
      <w:pPr>
        <w:rPr>
          <w:color w:val="000000" w:themeColor="text1"/>
        </w:rPr>
      </w:pPr>
    </w:p>
    <w:p w14:paraId="1D635A2E" w14:textId="12BF8287" w:rsidR="00310878" w:rsidRPr="00476931" w:rsidRDefault="00310878" w:rsidP="008F5608">
      <w:pPr>
        <w:rPr>
          <w:color w:val="000000" w:themeColor="text1"/>
        </w:rPr>
      </w:pPr>
      <w:r w:rsidRPr="00476931">
        <w:rPr>
          <w:color w:val="000000" w:themeColor="text1"/>
        </w:rPr>
        <w:t xml:space="preserve">One approach for mechanistic studies of the gut microbiome is the use of germ-free or gnotobiotic models. Genetically identical germ-free and gnotobiotic animals are tractable models in gut microbiome research in which precise experimental analysis can be conducted in a highly controlled environment.  Studies with germ-free models can implicate </w:t>
      </w:r>
      <w:proofErr w:type="gramStart"/>
      <w:r w:rsidRPr="00476931">
        <w:rPr>
          <w:color w:val="000000" w:themeColor="text1"/>
        </w:rPr>
        <w:t>whether or not</w:t>
      </w:r>
      <w:proofErr w:type="gramEnd"/>
      <w:r w:rsidRPr="00476931">
        <w:rPr>
          <w:color w:val="000000" w:themeColor="text1"/>
        </w:rPr>
        <w:t xml:space="preserve"> the presence of microbiota in the gut has an impact on host phenotype. When the phenotype of germ-free mice is different than conventionally raised counterparts, this suggests that the microbiota </w:t>
      </w:r>
      <w:proofErr w:type="gramStart"/>
      <w:r w:rsidRPr="00476931">
        <w:rPr>
          <w:color w:val="000000" w:themeColor="text1"/>
        </w:rPr>
        <w:t>are</w:t>
      </w:r>
      <w:proofErr w:type="gramEnd"/>
      <w:r w:rsidRPr="00476931">
        <w:rPr>
          <w:color w:val="000000" w:themeColor="text1"/>
        </w:rPr>
        <w:t xml:space="preserve"> involved in the development of the phenotype.  </w:t>
      </w:r>
      <w:proofErr w:type="gramStart"/>
      <w:r w:rsidRPr="00476931">
        <w:rPr>
          <w:color w:val="000000" w:themeColor="text1"/>
        </w:rPr>
        <w:t>A number of</w:t>
      </w:r>
      <w:proofErr w:type="gramEnd"/>
      <w:r w:rsidRPr="00476931">
        <w:rPr>
          <w:color w:val="000000" w:themeColor="text1"/>
        </w:rPr>
        <w:t xml:space="preserve"> studies have implicated gut microbiota in the development of numerous host phenotypes</w:t>
      </w:r>
      <w:sdt>
        <w:sdtPr>
          <w:rPr>
            <w:color w:val="000000"/>
            <w:vertAlign w:val="superscript"/>
          </w:rPr>
          <w:tag w:val="MENDELEY_CITATION_v3_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"/>
          <w:id w:val="1173067972"/>
          <w:placeholder>
            <w:docPart w:val="B45FADC50A324E4486C4324FBA958C61"/>
          </w:placeholder>
        </w:sdtPr>
        <w:sdtEndPr/>
        <w:sdtContent>
          <w:r w:rsidR="003204EA" w:rsidRPr="003204EA">
            <w:rPr>
              <w:rFonts w:eastAsia="Times New Roman"/>
              <w:color w:val="000000"/>
              <w:vertAlign w:val="superscript"/>
            </w:rPr>
            <w:t>154</w:t>
          </w:r>
        </w:sdtContent>
      </w:sdt>
      <w:r w:rsidRPr="00476931">
        <w:rPr>
          <w:color w:val="000000" w:themeColor="text1"/>
        </w:rPr>
        <w:t>. Mono-associated models, where germ-free mice are colonized with a single bacterium, can aid in identif</w:t>
      </w:r>
      <w:r w:rsidR="00880D6B">
        <w:rPr>
          <w:color w:val="000000" w:themeColor="text1"/>
        </w:rPr>
        <w:t xml:space="preserve">ying </w:t>
      </w:r>
      <w:r w:rsidRPr="00476931">
        <w:rPr>
          <w:color w:val="000000" w:themeColor="text1"/>
        </w:rPr>
        <w:t xml:space="preserve"> of bacterial species that are responsible for</w:t>
      </w:r>
      <w:r w:rsidR="00880D6B">
        <w:rPr>
          <w:color w:val="000000" w:themeColor="text1"/>
        </w:rPr>
        <w:t xml:space="preserve"> the production of </w:t>
      </w:r>
      <w:r w:rsidRPr="00476931">
        <w:rPr>
          <w:color w:val="000000" w:themeColor="text1"/>
        </w:rPr>
        <w:t xml:space="preserve"> specific products that are putative drivers of disease, as well as other host-microbe interactions. A notable example of host interactions that were elucidated through studies of mono-associated mice is the induction of host T regulatory cells by polysaccharide A that is produced by </w:t>
      </w:r>
      <w:r w:rsidRPr="00476931">
        <w:rPr>
          <w:i/>
          <w:iCs/>
          <w:color w:val="000000" w:themeColor="text1"/>
        </w:rPr>
        <w:t>Bacteroides fragilis</w:t>
      </w:r>
      <w:sdt>
        <w:sdtPr>
          <w:rPr>
            <w:iCs/>
            <w:color w:val="000000"/>
            <w:vertAlign w:val="superscript"/>
          </w:rPr>
          <w:tag w:val="MENDELEY_CITATION_v3_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"/>
          <w:id w:val="-1072348191"/>
          <w:placeholder>
            <w:docPart w:val="B45FADC50A324E4486C4324FBA958C61"/>
          </w:placeholder>
        </w:sdtPr>
        <w:sdtEndPr/>
        <w:sdtContent>
          <w:r w:rsidR="003204EA" w:rsidRPr="003204EA">
            <w:rPr>
              <w:rFonts w:eastAsia="Times New Roman"/>
              <w:color w:val="000000"/>
              <w:vertAlign w:val="superscript"/>
            </w:rPr>
            <w:t>155</w:t>
          </w:r>
        </w:sdtContent>
      </w:sdt>
      <w:r w:rsidRPr="00476931">
        <w:rPr>
          <w:color w:val="000000" w:themeColor="text1"/>
        </w:rPr>
        <w:t xml:space="preserve">.  Defined and complex community models may </w:t>
      </w:r>
      <w:r w:rsidR="009D0E1B">
        <w:rPr>
          <w:color w:val="000000" w:themeColor="text1"/>
        </w:rPr>
        <w:t>validate the causal role of bacterial</w:t>
      </w:r>
      <w:r w:rsidRPr="00476931">
        <w:rPr>
          <w:color w:val="000000" w:themeColor="text1"/>
        </w:rPr>
        <w:t xml:space="preserve"> agents in a context that is more translatable to human health</w:t>
      </w:r>
      <w:sdt>
        <w:sdtPr>
          <w:rPr>
            <w:color w:val="000000"/>
            <w:vertAlign w:val="superscript"/>
          </w:rPr>
          <w:tag w:val="MENDELEY_CITATION_v3_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"/>
          <w:id w:val="948205617"/>
          <w:placeholder>
            <w:docPart w:val="B45FADC50A324E4486C4324FBA958C61"/>
          </w:placeholder>
        </w:sdtPr>
        <w:sdtEndPr/>
        <w:sdtContent>
          <w:r w:rsidR="003204EA" w:rsidRPr="003204EA">
            <w:rPr>
              <w:rFonts w:eastAsia="Times New Roman"/>
              <w:color w:val="000000"/>
              <w:vertAlign w:val="superscript"/>
            </w:rPr>
            <w:t>156</w:t>
          </w:r>
        </w:sdtContent>
      </w:sdt>
      <w:r w:rsidRPr="00476931">
        <w:rPr>
          <w:color w:val="000000" w:themeColor="text1"/>
        </w:rPr>
        <w:t>.  Typically, gnotobiotic mice are germ-free mice that have been colonized with custom-designed communities with a defined microbial membership to answer a specific research question.  These models circumvent some of the physiologic abnormalities that can be observed in germ-free or mono-associated mice</w:t>
      </w:r>
      <w:sdt>
        <w:sdtPr>
          <w:rPr>
            <w:color w:val="000000"/>
            <w:vertAlign w:val="superscript"/>
          </w:rPr>
          <w:tag w:val="MENDELEY_CITATION_v3_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"/>
          <w:id w:val="-546525319"/>
          <w:placeholder>
            <w:docPart w:val="B45FADC50A324E4486C4324FBA958C61"/>
          </w:placeholder>
        </w:sdtPr>
        <w:sdtEndPr/>
        <w:sdtContent>
          <w:r w:rsidR="003204EA" w:rsidRPr="003204EA">
            <w:rPr>
              <w:rFonts w:eastAsia="Times New Roman"/>
              <w:color w:val="000000"/>
              <w:vertAlign w:val="superscript"/>
            </w:rPr>
            <w:t>156</w:t>
          </w:r>
        </w:sdtContent>
      </w:sdt>
      <w:r w:rsidRPr="00476931">
        <w:rPr>
          <w:color w:val="000000" w:themeColor="text1"/>
        </w:rPr>
        <w:t>. In addition, germ-free mice can be humanized by colonizing with microbiota from the human gut</w:t>
      </w:r>
      <w:sdt>
        <w:sdtPr>
          <w:rPr>
            <w:color w:val="000000"/>
            <w:vertAlign w:val="superscript"/>
          </w:rPr>
          <w:tag w:val="MENDELEY_CITATION_v3_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"/>
          <w:id w:val="1278059743"/>
          <w:placeholder>
            <w:docPart w:val="B45FADC50A324E4486C4324FBA958C61"/>
          </w:placeholder>
        </w:sdtPr>
        <w:sdtEndPr/>
        <w:sdtContent>
          <w:r w:rsidR="003204EA" w:rsidRPr="003204EA">
            <w:rPr>
              <w:rFonts w:eastAsia="Times New Roman"/>
              <w:color w:val="000000"/>
              <w:vertAlign w:val="superscript"/>
            </w:rPr>
            <w:t>157,158</w:t>
          </w:r>
        </w:sdtContent>
      </w:sdt>
      <w:r w:rsidRPr="00476931">
        <w:rPr>
          <w:color w:val="000000" w:themeColor="text1"/>
        </w:rPr>
        <w:t xml:space="preserve">.  In total, these models provide a complex </w:t>
      </w:r>
      <w:r w:rsidRPr="00476931">
        <w:rPr>
          <w:i/>
          <w:iCs/>
          <w:color w:val="000000" w:themeColor="text1"/>
        </w:rPr>
        <w:t>in vivo</w:t>
      </w:r>
      <w:r w:rsidRPr="00476931">
        <w:rPr>
          <w:color w:val="000000" w:themeColor="text1"/>
        </w:rPr>
        <w:t xml:space="preserve"> system to study microbiome interactions in a highly controlled and defined environment.</w:t>
      </w:r>
    </w:p>
    <w:p w14:paraId="4853A421" w14:textId="77777777" w:rsidR="008F5608" w:rsidRPr="00476931" w:rsidRDefault="008F5608" w:rsidP="008F5608">
      <w:pPr>
        <w:rPr>
          <w:b/>
          <w:color w:val="000000" w:themeColor="text1"/>
        </w:rPr>
      </w:pPr>
    </w:p>
    <w:p w14:paraId="4975B115" w14:textId="637A4D9C" w:rsidR="008F5608" w:rsidRPr="00476931" w:rsidRDefault="00167F7F" w:rsidP="0060435B">
      <w:pPr>
        <w:pStyle w:val="Heading2"/>
      </w:pPr>
      <w:bookmarkStart w:id="265" w:name="_Toc110250275"/>
      <w:bookmarkStart w:id="266" w:name="_Toc110250532"/>
      <w:bookmarkStart w:id="267" w:name="_Toc110250663"/>
      <w:r w:rsidRPr="00476931">
        <w:t xml:space="preserve">5.3  </w:t>
      </w:r>
      <w:r w:rsidR="00310878" w:rsidRPr="00476931">
        <w:t>Characterizing the prevalence of protein post-translational modifications that form in the manufacturing of processed foods</w:t>
      </w:r>
      <w:r w:rsidR="0003562F">
        <w:t>.</w:t>
      </w:r>
      <w:bookmarkEnd w:id="265"/>
      <w:bookmarkEnd w:id="266"/>
      <w:bookmarkEnd w:id="267"/>
    </w:p>
    <w:p w14:paraId="00261C3B" w14:textId="77777777" w:rsidR="00E2090C" w:rsidRPr="00476931" w:rsidRDefault="00E2090C" w:rsidP="00E2090C">
      <w:pPr>
        <w:rPr>
          <w:color w:val="000000" w:themeColor="text1"/>
        </w:rPr>
      </w:pPr>
    </w:p>
    <w:p w14:paraId="2D3D6388" w14:textId="442CD591" w:rsidR="00E24E1F" w:rsidRPr="009123CE" w:rsidRDefault="00E24E1F" w:rsidP="00E2090C">
      <w:pPr>
        <w:ind w:left="180" w:firstLine="0"/>
        <w:rPr>
          <w:i/>
          <w:iCs/>
          <w:color w:val="000000" w:themeColor="text1"/>
        </w:rPr>
      </w:pPr>
      <w:r w:rsidRPr="009123CE">
        <w:rPr>
          <w:i/>
          <w:iCs/>
          <w:color w:val="000000" w:themeColor="text1"/>
        </w:rPr>
        <w:t>Text and figures</w:t>
      </w:r>
      <w:r w:rsidRPr="009123CE">
        <w:rPr>
          <w:i/>
          <w:iCs/>
          <w:color w:val="000000" w:themeColor="text1"/>
          <w:spacing w:val="-3"/>
        </w:rPr>
        <w:t xml:space="preserve"> </w:t>
      </w:r>
      <w:r w:rsidRPr="009123CE">
        <w:rPr>
          <w:i/>
          <w:iCs/>
          <w:color w:val="000000" w:themeColor="text1"/>
        </w:rPr>
        <w:t>adapted</w:t>
      </w:r>
      <w:r w:rsidRPr="009123CE">
        <w:rPr>
          <w:i/>
          <w:iCs/>
          <w:color w:val="000000" w:themeColor="text1"/>
          <w:spacing w:val="-2"/>
        </w:rPr>
        <w:t xml:space="preserve"> </w:t>
      </w:r>
      <w:r w:rsidRPr="009123CE">
        <w:rPr>
          <w:i/>
          <w:iCs/>
          <w:color w:val="000000" w:themeColor="text1"/>
        </w:rPr>
        <w:t>from</w:t>
      </w:r>
      <w:r w:rsidRPr="009123CE">
        <w:rPr>
          <w:i/>
          <w:iCs/>
          <w:color w:val="000000" w:themeColor="text1"/>
          <w:spacing w:val="-2"/>
        </w:rPr>
        <w:t xml:space="preserve"> </w:t>
      </w:r>
      <w:r w:rsidRPr="009123CE">
        <w:rPr>
          <w:i/>
          <w:iCs/>
          <w:color w:val="000000" w:themeColor="text1"/>
        </w:rPr>
        <w:t>Wolf</w:t>
      </w:r>
      <w:r w:rsidRPr="009123CE">
        <w:rPr>
          <w:i/>
          <w:iCs/>
          <w:color w:val="000000" w:themeColor="text1"/>
          <w:spacing w:val="-3"/>
        </w:rPr>
        <w:t xml:space="preserve"> </w:t>
      </w:r>
      <w:r w:rsidRPr="009123CE">
        <w:rPr>
          <w:i/>
          <w:iCs/>
          <w:color w:val="000000" w:themeColor="text1"/>
        </w:rPr>
        <w:t>et</w:t>
      </w:r>
      <w:r w:rsidRPr="009123CE">
        <w:rPr>
          <w:i/>
          <w:iCs/>
          <w:color w:val="000000" w:themeColor="text1"/>
          <w:spacing w:val="-2"/>
        </w:rPr>
        <w:t xml:space="preserve"> </w:t>
      </w:r>
      <w:r w:rsidRPr="009123CE">
        <w:rPr>
          <w:i/>
          <w:iCs/>
          <w:color w:val="000000" w:themeColor="text1"/>
        </w:rPr>
        <w:t>al., 2021.</w:t>
      </w:r>
      <w:r w:rsidRPr="009123CE">
        <w:rPr>
          <w:i/>
          <w:iCs/>
          <w:color w:val="000000" w:themeColor="text1"/>
          <w:spacing w:val="-3"/>
        </w:rPr>
        <w:t xml:space="preserve"> Cell Host &amp; Microbe</w:t>
      </w:r>
      <w:r w:rsidRPr="009123CE">
        <w:rPr>
          <w:i/>
          <w:iCs/>
          <w:color w:val="000000" w:themeColor="text1"/>
          <w:spacing w:val="-5"/>
        </w:rPr>
        <w:t>.</w:t>
      </w:r>
    </w:p>
    <w:p w14:paraId="1FD8706F" w14:textId="77777777" w:rsidR="00167F7F" w:rsidRPr="00476931" w:rsidRDefault="00167F7F" w:rsidP="00E24E1F">
      <w:pPr>
        <w:ind w:left="0" w:firstLine="0"/>
        <w:rPr>
          <w:color w:val="000000" w:themeColor="text1"/>
        </w:rPr>
      </w:pPr>
    </w:p>
    <w:p w14:paraId="708B7330" w14:textId="18BA7910" w:rsidR="00310878" w:rsidRPr="00476931" w:rsidRDefault="00167F7F" w:rsidP="00167F7F">
      <w:pPr>
        <w:pStyle w:val="Heading3"/>
      </w:pPr>
      <w:bookmarkStart w:id="268" w:name="_Toc110250276"/>
      <w:bookmarkStart w:id="269" w:name="_Toc110250533"/>
      <w:bookmarkStart w:id="270" w:name="_Toc110250664"/>
      <w:r w:rsidRPr="00476931">
        <w:t xml:space="preserve">5.3.1  </w:t>
      </w:r>
      <w:r w:rsidR="00310878" w:rsidRPr="00476931">
        <w:t>Project scope</w:t>
      </w:r>
      <w:r w:rsidR="0003562F">
        <w:t>.</w:t>
      </w:r>
      <w:bookmarkEnd w:id="268"/>
      <w:bookmarkEnd w:id="269"/>
      <w:bookmarkEnd w:id="270"/>
    </w:p>
    <w:p w14:paraId="023758DD" w14:textId="77777777" w:rsidR="00167F7F" w:rsidRPr="00476931" w:rsidRDefault="00167F7F" w:rsidP="00167F7F">
      <w:pPr>
        <w:rPr>
          <w:color w:val="000000" w:themeColor="text1"/>
        </w:rPr>
      </w:pPr>
    </w:p>
    <w:p w14:paraId="30CEE65C" w14:textId="4C991486" w:rsidR="00310878" w:rsidRPr="00476931" w:rsidRDefault="00310878" w:rsidP="00167F7F">
      <w:pPr>
        <w:rPr>
          <w:color w:val="000000" w:themeColor="text1"/>
        </w:rPr>
      </w:pPr>
      <w:r w:rsidRPr="00476931">
        <w:rPr>
          <w:color w:val="000000" w:themeColor="text1"/>
        </w:rPr>
        <w:t>Previous work has shown that fructoselysine forms during the processing of milk to whey with heat treatment through a process known as a Maillard reaction</w:t>
      </w:r>
      <w:sdt>
        <w:sdtPr>
          <w:rPr>
            <w:color w:val="000000"/>
            <w:vertAlign w:val="superscript"/>
          </w:rPr>
          <w:tag w:val="MENDELEY_CITATION_v3_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"/>
          <w:id w:val="506563524"/>
          <w:placeholder>
            <w:docPart w:val="B45FADC50A324E4486C4324FBA958C61"/>
          </w:placeholder>
        </w:sdtPr>
        <w:sdtEndPr/>
        <w:sdtContent>
          <w:r w:rsidR="003204EA" w:rsidRPr="003204EA">
            <w:rPr>
              <w:rFonts w:eastAsia="Times New Roman"/>
              <w:color w:val="000000"/>
              <w:vertAlign w:val="superscript"/>
            </w:rPr>
            <w:t>159</w:t>
          </w:r>
        </w:sdtContent>
      </w:sdt>
      <w:r w:rsidRPr="00476931">
        <w:rPr>
          <w:color w:val="000000" w:themeColor="text1"/>
        </w:rPr>
        <w:t>. Some Maillard reaction products (MRPs) in processed foods have been associated with several diseases such as cancer and diabetes</w:t>
      </w:r>
      <w:sdt>
        <w:sdtPr>
          <w:rPr>
            <w:color w:val="000000"/>
            <w:vertAlign w:val="superscript"/>
          </w:rPr>
          <w:tag w:val="MENDELEY_CITATION_v3_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"/>
          <w:id w:val="-119763868"/>
          <w:placeholder>
            <w:docPart w:val="B45FADC50A324E4486C4324FBA958C61"/>
          </w:placeholder>
        </w:sdtPr>
        <w:sdtEndPr/>
        <w:sdtContent>
          <w:r w:rsidR="003204EA" w:rsidRPr="003204EA">
            <w:rPr>
              <w:rFonts w:eastAsia="Times New Roman"/>
              <w:color w:val="000000"/>
              <w:vertAlign w:val="superscript"/>
            </w:rPr>
            <w:t>160,161</w:t>
          </w:r>
        </w:sdtContent>
      </w:sdt>
      <w:r w:rsidRPr="00476931">
        <w:rPr>
          <w:color w:val="000000" w:themeColor="text1"/>
        </w:rPr>
        <w:t xml:space="preserve">. In this study, gnotobiotic mice colonized with 54 phylogenetically diverse human gut bacterial strains, including several Collinsella species and were fed defined sugar-rich diets with whey as the sole protein source.  While </w:t>
      </w:r>
      <w:r w:rsidRPr="00476931">
        <w:rPr>
          <w:i/>
          <w:iCs/>
          <w:color w:val="000000" w:themeColor="text1"/>
        </w:rPr>
        <w:t xml:space="preserve">Collinsella </w:t>
      </w:r>
      <w:r w:rsidRPr="00476931">
        <w:rPr>
          <w:color w:val="000000" w:themeColor="text1"/>
        </w:rPr>
        <w:t xml:space="preserve">spp. are normal inhabitants of the human gut, increases in the abundances of some </w:t>
      </w:r>
      <w:r w:rsidRPr="00476931">
        <w:rPr>
          <w:i/>
          <w:iCs/>
          <w:color w:val="000000" w:themeColor="text1"/>
        </w:rPr>
        <w:t xml:space="preserve">Collinsella </w:t>
      </w:r>
      <w:r w:rsidRPr="00476931">
        <w:rPr>
          <w:color w:val="000000" w:themeColor="text1"/>
        </w:rPr>
        <w:t>species have been implicated in Type 2 diabetes disease progression</w:t>
      </w:r>
      <w:sdt>
        <w:sdtPr>
          <w:rPr>
            <w:color w:val="000000"/>
            <w:vertAlign w:val="superscript"/>
          </w:rPr>
          <w:tag w:val="MENDELEY_CITATION_v3_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"/>
          <w:id w:val="184879923"/>
          <w:placeholder>
            <w:docPart w:val="B45FADC50A324E4486C4324FBA958C61"/>
          </w:placeholder>
        </w:sdtPr>
        <w:sdtEndPr/>
        <w:sdtContent>
          <w:r w:rsidR="003204EA" w:rsidRPr="003204EA">
            <w:rPr>
              <w:rFonts w:eastAsia="Times New Roman"/>
              <w:color w:val="000000"/>
              <w:vertAlign w:val="superscript"/>
            </w:rPr>
            <w:t>162</w:t>
          </w:r>
        </w:sdtContent>
      </w:sdt>
      <w:r w:rsidRPr="00476931">
        <w:rPr>
          <w:color w:val="000000" w:themeColor="text1"/>
        </w:rPr>
        <w:t>.   In this model system, fructoselysine moieties in the whey protein isolate serve as a representative MRP which were used to illustrate how chemical modifications of processed food can impact gut microbiota and may lead to harmful impacts on host health.</w:t>
      </w:r>
    </w:p>
    <w:p w14:paraId="0C681CE2" w14:textId="4682EF35" w:rsidR="00310878" w:rsidRPr="00476931" w:rsidRDefault="00310878" w:rsidP="00167F7F">
      <w:pPr>
        <w:rPr>
          <w:color w:val="000000" w:themeColor="text1"/>
          <w:shd w:val="clear" w:color="auto" w:fill="FFFFFF"/>
        </w:rPr>
      </w:pPr>
      <w:r w:rsidRPr="00476931">
        <w:rPr>
          <w:color w:val="000000" w:themeColor="text1"/>
          <w:shd w:val="clear" w:color="auto" w:fill="FFFFFF"/>
        </w:rPr>
        <w:t>To confirm that hexose-modified lysine residues exist in the whey protein isolate preparation used for diet supplementation in the gnotobiotic mouse experiments, an analysis of post-translational modifications of whey proteins was conducted.  Tryptic peptides of powdered bovine whey protein isolates were subjected to multidimensional LC-MS/MS analysis.</w:t>
      </w:r>
    </w:p>
    <w:p w14:paraId="490B5AD6" w14:textId="77777777" w:rsidR="00E2090C" w:rsidRPr="00476931" w:rsidRDefault="00E2090C" w:rsidP="00167F7F">
      <w:pPr>
        <w:pStyle w:val="Heading3"/>
        <w:rPr>
          <w:shd w:val="clear" w:color="auto" w:fill="FFFFFF"/>
        </w:rPr>
      </w:pPr>
    </w:p>
    <w:p w14:paraId="1128CC31" w14:textId="745D391A" w:rsidR="00310878" w:rsidRPr="00476931" w:rsidRDefault="00167F7F" w:rsidP="00167F7F">
      <w:pPr>
        <w:pStyle w:val="Heading3"/>
        <w:rPr>
          <w:shd w:val="clear" w:color="auto" w:fill="FFFFFF"/>
        </w:rPr>
      </w:pPr>
      <w:bookmarkStart w:id="271" w:name="_Toc110250277"/>
      <w:bookmarkStart w:id="272" w:name="_Toc110250534"/>
      <w:bookmarkStart w:id="273" w:name="_Toc110250665"/>
      <w:r w:rsidRPr="00476931">
        <w:rPr>
          <w:shd w:val="clear" w:color="auto" w:fill="FFFFFF"/>
        </w:rPr>
        <w:t xml:space="preserve">5.3.2  </w:t>
      </w:r>
      <w:r w:rsidR="00310878" w:rsidRPr="00476931">
        <w:rPr>
          <w:shd w:val="clear" w:color="auto" w:fill="FFFFFF"/>
        </w:rPr>
        <w:t xml:space="preserve">Results and </w:t>
      </w:r>
      <w:r w:rsidR="0003562F">
        <w:rPr>
          <w:shd w:val="clear" w:color="auto" w:fill="FFFFFF"/>
        </w:rPr>
        <w:t>d</w:t>
      </w:r>
      <w:r w:rsidR="00310878" w:rsidRPr="00476931">
        <w:rPr>
          <w:shd w:val="clear" w:color="auto" w:fill="FFFFFF"/>
        </w:rPr>
        <w:t>iscussion</w:t>
      </w:r>
      <w:r w:rsidR="0003562F">
        <w:rPr>
          <w:shd w:val="clear" w:color="auto" w:fill="FFFFFF"/>
        </w:rPr>
        <w:t>.</w:t>
      </w:r>
      <w:bookmarkEnd w:id="271"/>
      <w:bookmarkEnd w:id="272"/>
      <w:bookmarkEnd w:id="273"/>
    </w:p>
    <w:p w14:paraId="1603F112" w14:textId="77777777" w:rsidR="00167F7F" w:rsidRPr="00476931" w:rsidRDefault="00167F7F" w:rsidP="00167F7F">
      <w:pPr>
        <w:rPr>
          <w:color w:val="000000" w:themeColor="text1"/>
        </w:rPr>
      </w:pPr>
    </w:p>
    <w:p w14:paraId="652E2F38" w14:textId="4133AA3A" w:rsidR="00310878" w:rsidRPr="00476931" w:rsidRDefault="00310878" w:rsidP="00167F7F">
      <w:pPr>
        <w:rPr>
          <w:color w:val="000000" w:themeColor="text1"/>
        </w:rPr>
      </w:pPr>
      <w:r w:rsidRPr="00476931">
        <w:rPr>
          <w:color w:val="000000" w:themeColor="text1"/>
          <w:shd w:val="clear" w:color="auto" w:fill="FFFFFF"/>
        </w:rPr>
        <w:t>In this sample, over 150 proteins were identified.  The five most abundant proteins identified in the sample comprised</w:t>
      </w:r>
      <w:r w:rsidRPr="00476931">
        <w:rPr>
          <w:color w:val="000000" w:themeColor="text1"/>
        </w:rPr>
        <w:t xml:space="preserve"> 62% of the total peptide abundance in the sample </w:t>
      </w:r>
      <w:r w:rsidRPr="00476931">
        <w:rPr>
          <w:b/>
          <w:bCs/>
          <w:color w:val="000000" w:themeColor="text1"/>
        </w:rPr>
        <w:t>(Figure 5</w:t>
      </w:r>
      <w:r w:rsidR="00AD0AE0">
        <w:rPr>
          <w:b/>
          <w:bCs/>
          <w:color w:val="000000" w:themeColor="text1"/>
        </w:rPr>
        <w:t>-</w:t>
      </w:r>
      <w:r w:rsidRPr="00476931">
        <w:rPr>
          <w:b/>
          <w:bCs/>
          <w:color w:val="000000" w:themeColor="text1"/>
        </w:rPr>
        <w:t xml:space="preserve">1A).  </w:t>
      </w:r>
      <w:r w:rsidRPr="00476931">
        <w:rPr>
          <w:color w:val="000000" w:themeColor="text1"/>
        </w:rPr>
        <w:t xml:space="preserve">These five proteins also showed the largest frequency of hexose modifications at any residue among all proteins in the sample, with 87% of the total hexose modifications identified in the sample belonging to these five proteins. To quantify the PTMs across the five most abundant proteins, we looked at three different views of the data: (1) The number of peptide sequences identified per protein either unmodified or modified with a particular PTM. (2) The number of peptide-spectral matches (PSM) per protein either unmodified or modified with a particular PTM. A PSM is a more quantitative measure relative the identified peptides as each peptide can have multiple PSMs measurements (i.e.MS/MS fragmentation events). This is usually correlated with the abundance of each </w:t>
      </w:r>
      <w:proofErr w:type="gramStart"/>
      <w:r w:rsidRPr="00476931">
        <w:rPr>
          <w:color w:val="000000" w:themeColor="text1"/>
        </w:rPr>
        <w:t>particular peptide</w:t>
      </w:r>
      <w:proofErr w:type="gramEnd"/>
      <w:r w:rsidRPr="00476931">
        <w:rPr>
          <w:color w:val="000000" w:themeColor="text1"/>
        </w:rPr>
        <w:t xml:space="preserve">. (3) Area-under-the-curve (AUC) peptide abundance per modification per protein. AUC abundance is most accurate of the three views to quantify proteins and peptides and uses the chromatographic area of each peptide peak to establish peptide and therefore protein abundance. </w:t>
      </w:r>
    </w:p>
    <w:p w14:paraId="6C0DC8BE" w14:textId="022D8F93" w:rsidR="00350CB9" w:rsidRDefault="00310878" w:rsidP="00350CB9">
      <w:r w:rsidRPr="00476931">
        <w:t xml:space="preserve">The </w:t>
      </w:r>
      <w:r w:rsidRPr="00476931">
        <w:rPr>
          <w:shd w:val="clear" w:color="auto" w:fill="FFFFFF"/>
        </w:rPr>
        <w:t xml:space="preserve">PTM assessment of </w:t>
      </w:r>
      <w:r w:rsidRPr="00476931">
        <w:t>these five proteins determined the relative</w:t>
      </w:r>
      <w:r w:rsidRPr="00476931">
        <w:rPr>
          <w:shd w:val="clear" w:color="auto" w:fill="FFFFFF"/>
        </w:rPr>
        <w:t xml:space="preserve"> frequency of the two glycosylation modifications of interest, fructosylation (one hexose with a mass shift of +162.0528 Da) or </w:t>
      </w:r>
      <w:r w:rsidRPr="00476931">
        <w:t xml:space="preserve">lactosylation (two hexose with a mass shift of +324.1056 Da), which occurred on lysine and arginine residues.  In terms of the number of modified PSMs compared to the unmodified counterparts, the majority of PSMs were unmodified in the five proteins, with 95% of the PSMs per protein lacking a Hex(1) or Hex (2).  </w:t>
      </w:r>
      <w:proofErr w:type="gramStart"/>
      <w:r w:rsidRPr="00476931">
        <w:t>The majority of</w:t>
      </w:r>
      <w:proofErr w:type="gramEnd"/>
      <w:r w:rsidRPr="00476931">
        <w:t xml:space="preserve"> modifications occurred on lysine residues</w:t>
      </w:r>
      <w:r w:rsidRPr="00476931">
        <w:rPr>
          <w:b/>
          <w:bCs/>
        </w:rPr>
        <w:t xml:space="preserve"> (Figure 5</w:t>
      </w:r>
      <w:r w:rsidR="009E08D4">
        <w:rPr>
          <w:b/>
          <w:bCs/>
        </w:rPr>
        <w:t>-</w:t>
      </w:r>
      <w:r w:rsidRPr="00476931">
        <w:rPr>
          <w:b/>
          <w:bCs/>
        </w:rPr>
        <w:t>1B and 5</w:t>
      </w:r>
      <w:r w:rsidR="009E08D4">
        <w:rPr>
          <w:b/>
          <w:bCs/>
        </w:rPr>
        <w:t>-</w:t>
      </w:r>
      <w:r w:rsidRPr="00476931">
        <w:rPr>
          <w:b/>
          <w:bCs/>
        </w:rPr>
        <w:t xml:space="preserve">1D). </w:t>
      </w:r>
      <w:r w:rsidRPr="00476931">
        <w:t>At the peptide identification level, 80% of peptides were</w:t>
      </w:r>
    </w:p>
    <w:p w14:paraId="5987A3AA" w14:textId="77777777" w:rsidR="003F4ADA" w:rsidRDefault="00350CB9" w:rsidP="003F4ADA">
      <w:pPr>
        <w:keepNext/>
        <w:ind w:left="180" w:firstLine="0"/>
      </w:pPr>
      <w:bookmarkStart w:id="274" w:name="_Toc106816111"/>
      <w:r w:rsidRPr="00476931">
        <w:rPr>
          <w:noProof/>
        </w:rPr>
        <w:drawing>
          <wp:inline distT="0" distB="0" distL="0" distR="0" wp14:anchorId="6E321F6B" wp14:editId="4B81D2F2">
            <wp:extent cx="5262842" cy="5892226"/>
            <wp:effectExtent l="0" t="0" r="0" b="0"/>
            <wp:docPr id="2182" name="Picture 218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2" name="Picture 2182" descr="Graphical user interface&#10;&#10;Description automatically generated"/>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271505" cy="5901925"/>
                    </a:xfrm>
                    <a:prstGeom prst="rect">
                      <a:avLst/>
                    </a:prstGeom>
                    <a:noFill/>
                  </pic:spPr>
                </pic:pic>
              </a:graphicData>
            </a:graphic>
          </wp:inline>
        </w:drawing>
      </w:r>
      <w:bookmarkEnd w:id="274"/>
    </w:p>
    <w:p w14:paraId="4105BBFE" w14:textId="1720A358" w:rsidR="003F4ADA" w:rsidRPr="003F4ADA" w:rsidRDefault="003F4ADA" w:rsidP="003F4ADA">
      <w:pPr>
        <w:pStyle w:val="Caption"/>
      </w:pPr>
      <w:bookmarkStart w:id="275" w:name="_Toc110246948"/>
      <w:r>
        <w:t xml:space="preserve">Figure </w:t>
      </w:r>
      <w:fldSimple w:instr=" STYLEREF 1 \s ">
        <w:r w:rsidR="00AC2094">
          <w:rPr>
            <w:noProof/>
          </w:rPr>
          <w:t>5</w:t>
        </w:r>
      </w:fldSimple>
      <w:r w:rsidR="00AC2094">
        <w:noBreakHyphen/>
      </w:r>
      <w:fldSimple w:instr=" SEQ Figure \* ARABIC \s 1 ">
        <w:r w:rsidR="00AC2094">
          <w:rPr>
            <w:noProof/>
          </w:rPr>
          <w:t>1</w:t>
        </w:r>
      </w:fldSimple>
      <w:r>
        <w:t xml:space="preserve">  </w:t>
      </w:r>
      <w:r w:rsidRPr="003F4ADA">
        <w:t>Mass spectrometry analysis of the whey protein isolate.</w:t>
      </w:r>
      <w:bookmarkStart w:id="276" w:name="_Toc106816113"/>
      <w:bookmarkEnd w:id="275"/>
      <w:r w:rsidRPr="003F4ADA">
        <w:fldChar w:fldCharType="begin"/>
      </w:r>
      <w:r w:rsidRPr="003F4ADA">
        <w:instrText xml:space="preserve"> </w:instrText>
      </w:r>
    </w:p>
    <w:p w14:paraId="1409D691" w14:textId="77777777" w:rsidR="003F4ADA" w:rsidRPr="003F4ADA" w:rsidRDefault="003F4ADA" w:rsidP="003F4ADA">
      <w:pPr>
        <w:pStyle w:val="Caption"/>
      </w:pPr>
    </w:p>
    <w:p w14:paraId="4429F879" w14:textId="6A1B0F9E" w:rsidR="003F4ADA" w:rsidRPr="003F4ADA" w:rsidRDefault="003F4ADA" w:rsidP="003F4ADA">
      <w:pPr>
        <w:pStyle w:val="Caption"/>
        <w:rPr>
          <w:b w:val="0"/>
          <w:bCs/>
        </w:rPr>
      </w:pPr>
      <w:r w:rsidRPr="003F4ADA">
        <w:instrText xml:space="preserve"> </w:instrText>
      </w:r>
      <w:r w:rsidRPr="003F4ADA">
        <w:fldChar w:fldCharType="end"/>
      </w:r>
      <w:r w:rsidRPr="003F4ADA">
        <w:t xml:space="preserve">  </w:t>
      </w:r>
      <w:bookmarkStart w:id="277" w:name="_Toc107573968"/>
      <w:r w:rsidRPr="003F4ADA">
        <w:rPr>
          <w:b w:val="0"/>
          <w:bCs/>
        </w:rPr>
        <w:fldChar w:fldCharType="begin"/>
      </w:r>
      <w:r w:rsidRPr="003F4ADA">
        <w:rPr>
          <w:b w:val="0"/>
          <w:bCs/>
        </w:rPr>
        <w:instrText xml:space="preserve"> </w:instrText>
      </w:r>
    </w:p>
    <w:p w14:paraId="19EAD191" w14:textId="77777777" w:rsidR="003F4ADA" w:rsidRPr="003F4ADA" w:rsidRDefault="003F4ADA" w:rsidP="003F4ADA">
      <w:pPr>
        <w:pStyle w:val="Caption"/>
        <w:rPr>
          <w:b w:val="0"/>
          <w:bCs/>
        </w:rPr>
      </w:pPr>
    </w:p>
    <w:p w14:paraId="5879439A" w14:textId="37D01620" w:rsidR="003F4ADA" w:rsidRPr="003F4ADA" w:rsidRDefault="003F4ADA" w:rsidP="003F4ADA">
      <w:pPr>
        <w:pStyle w:val="Caption"/>
        <w:rPr>
          <w:b w:val="0"/>
          <w:bCs/>
        </w:rPr>
      </w:pPr>
      <w:r w:rsidRPr="003F4ADA">
        <w:rPr>
          <w:b w:val="0"/>
          <w:bCs/>
        </w:rPr>
        <w:instrText xml:space="preserve"> </w:instrText>
      </w:r>
      <w:r w:rsidRPr="003F4ADA">
        <w:rPr>
          <w:b w:val="0"/>
          <w:bCs/>
        </w:rPr>
        <w:fldChar w:fldCharType="end"/>
      </w:r>
      <w:r w:rsidRPr="003F4ADA">
        <w:rPr>
          <w:b w:val="0"/>
          <w:bCs/>
        </w:rPr>
        <w:t>Tryptic peptides generated from proteins in the whey protein isolate preparation. Protein abundance distribution of the sample, show the abundances of the five most abundant proteins in the sample and the combined abundance of all other proteins (A). The percentage of peptide spectral matches (PSMs) or peptides modified by zero, one or two hexoses at any residue are quantified in panels (B) and (C), respectively. Peptides modified by one or two hexoses at lysine residues were also quantified by PSMs (D) or peptides (E).</w:t>
      </w:r>
      <w:bookmarkEnd w:id="276"/>
      <w:bookmarkEnd w:id="277"/>
    </w:p>
    <w:p w14:paraId="37D652C2" w14:textId="1486C1AE" w:rsidR="00310878" w:rsidRPr="00476931" w:rsidRDefault="00E7167B" w:rsidP="00E7167B">
      <w:pPr>
        <w:ind w:firstLine="0"/>
      </w:pPr>
      <w:r>
        <w:rPr>
          <w:rFonts w:cs="Times New Roman (Body CS)"/>
        </w:rPr>
        <w:t>un</w:t>
      </w:r>
      <w:r w:rsidRPr="00476931">
        <w:t xml:space="preserve">modified at either lysine or arginine residues </w:t>
      </w:r>
      <w:r w:rsidRPr="00476931">
        <w:rPr>
          <w:b/>
          <w:bCs/>
        </w:rPr>
        <w:t>(Figure 5</w:t>
      </w:r>
      <w:r w:rsidR="009E08D4">
        <w:rPr>
          <w:b/>
          <w:bCs/>
        </w:rPr>
        <w:t>-</w:t>
      </w:r>
      <w:r w:rsidRPr="00476931">
        <w:rPr>
          <w:b/>
          <w:bCs/>
        </w:rPr>
        <w:t>1C)</w:t>
      </w:r>
      <w:r w:rsidRPr="00476931">
        <w:t xml:space="preserve"> and 83% of lysine </w:t>
      </w:r>
      <w:r w:rsidR="00310878" w:rsidRPr="00476931">
        <w:t xml:space="preserve">residues were unmodified </w:t>
      </w:r>
      <w:r w:rsidR="00310878" w:rsidRPr="00476931">
        <w:rPr>
          <w:b/>
          <w:bCs/>
        </w:rPr>
        <w:t>(Figure 5</w:t>
      </w:r>
      <w:r w:rsidR="009E08D4">
        <w:rPr>
          <w:b/>
          <w:bCs/>
        </w:rPr>
        <w:t>-</w:t>
      </w:r>
      <w:r w:rsidR="00310878" w:rsidRPr="00476931">
        <w:rPr>
          <w:b/>
          <w:bCs/>
        </w:rPr>
        <w:t xml:space="preserve">1E).  </w:t>
      </w:r>
      <w:r w:rsidR="00310878" w:rsidRPr="00476931">
        <w:t xml:space="preserve">In general, hexose modification of proteins represented a small portion of the whey proteome compared to unmodified proteins. However, the hexose-modified proteins encompassed a large proportion of the identified PTM space per protein.  </w:t>
      </w:r>
    </w:p>
    <w:p w14:paraId="5CE7F8EE" w14:textId="10C7B978" w:rsidR="0092367A" w:rsidRPr="00476931" w:rsidRDefault="00A66C7F" w:rsidP="0092367A">
      <w:pPr>
        <w:rPr>
          <w:b/>
          <w:bCs/>
          <w:color w:val="000000" w:themeColor="text1"/>
        </w:rPr>
      </w:pPr>
      <w:r>
        <w:rPr>
          <w:color w:val="000000" w:themeColor="text1"/>
        </w:rPr>
        <w:t>Inspection of</w:t>
      </w:r>
      <w:r w:rsidR="0092367A" w:rsidRPr="00476931">
        <w:rPr>
          <w:color w:val="000000" w:themeColor="text1"/>
        </w:rPr>
        <w:t xml:space="preserve"> both the number of identified peptides and the AUC abundances of peptides for each of the most abundant proteins, there was a generally low modification frequency relative to unmodified peptides.  However, the hexose modifications appeared to encompass a large proportion of the total identified PTM space per protein. For example, looking at the most abundant protein, β-lactoglobulin, peptides with PTMs that were not induced by the sample preparation method represented more than half of the identified peptides.  Of those peptides with PTMs, peptides with Hex(1) or Hex(2) modifications on lysine residues represented 38% of the identified peptides </w:t>
      </w:r>
      <w:r w:rsidR="0092367A" w:rsidRPr="00476931">
        <w:rPr>
          <w:b/>
          <w:bCs/>
          <w:color w:val="000000" w:themeColor="text1"/>
        </w:rPr>
        <w:t>(Figure 5</w:t>
      </w:r>
      <w:r w:rsidR="009E08D4">
        <w:rPr>
          <w:b/>
          <w:bCs/>
          <w:color w:val="000000" w:themeColor="text1"/>
        </w:rPr>
        <w:t>-</w:t>
      </w:r>
      <w:r w:rsidR="0092367A" w:rsidRPr="00476931">
        <w:rPr>
          <w:b/>
          <w:bCs/>
          <w:color w:val="000000" w:themeColor="text1"/>
        </w:rPr>
        <w:t xml:space="preserve">2A).  </w:t>
      </w:r>
      <w:r w:rsidR="0092367A" w:rsidRPr="00476931">
        <w:rPr>
          <w:color w:val="000000" w:themeColor="text1"/>
        </w:rPr>
        <w:t xml:space="preserve">Looking at protein AUC abundances, only 1% of the total protein abundance came from modified peptides.  However, of that small percentage, </w:t>
      </w:r>
      <w:proofErr w:type="gramStart"/>
      <w:r w:rsidR="0092367A" w:rsidRPr="00476931">
        <w:rPr>
          <w:color w:val="000000" w:themeColor="text1"/>
        </w:rPr>
        <w:t>the majority of</w:t>
      </w:r>
      <w:proofErr w:type="gramEnd"/>
      <w:r w:rsidR="0092367A" w:rsidRPr="00476931">
        <w:rPr>
          <w:color w:val="000000" w:themeColor="text1"/>
        </w:rPr>
        <w:t xml:space="preserve"> the signal was from hexose-modified peptides </w:t>
      </w:r>
      <w:r w:rsidR="0092367A" w:rsidRPr="00476931">
        <w:rPr>
          <w:b/>
          <w:bCs/>
          <w:color w:val="000000" w:themeColor="text1"/>
        </w:rPr>
        <w:t>(Figure 5</w:t>
      </w:r>
      <w:r w:rsidR="009E08D4">
        <w:rPr>
          <w:b/>
          <w:bCs/>
          <w:color w:val="000000" w:themeColor="text1"/>
        </w:rPr>
        <w:t>-</w:t>
      </w:r>
      <w:r w:rsidR="0092367A" w:rsidRPr="00476931">
        <w:rPr>
          <w:b/>
          <w:bCs/>
          <w:color w:val="000000" w:themeColor="text1"/>
        </w:rPr>
        <w:t>2B).</w:t>
      </w:r>
    </w:p>
    <w:p w14:paraId="14CA27A7" w14:textId="3EBF28BA" w:rsidR="003F4ADA" w:rsidRDefault="0092367A" w:rsidP="00AA27F4">
      <w:pPr>
        <w:spacing w:before="1"/>
        <w:rPr>
          <w:color w:val="000000" w:themeColor="text1"/>
        </w:rPr>
      </w:pPr>
      <w:r w:rsidRPr="00476931">
        <w:rPr>
          <w:color w:val="000000" w:themeColor="text1"/>
        </w:rPr>
        <w:t xml:space="preserve">In summary, </w:t>
      </w:r>
      <w:r w:rsidR="00516D1D">
        <w:rPr>
          <w:color w:val="000000" w:themeColor="text1"/>
        </w:rPr>
        <w:t>proteomics</w:t>
      </w:r>
      <w:r w:rsidRPr="00476931">
        <w:rPr>
          <w:color w:val="000000" w:themeColor="text1"/>
        </w:rPr>
        <w:t xml:space="preserve"> confirms that the whey protein isolate being fed to the mice during the study is being chemically modified to form fructoselysine during the manufacturing process.  </w:t>
      </w:r>
      <w:r w:rsidR="00AA16D5">
        <w:rPr>
          <w:color w:val="000000" w:themeColor="text1"/>
        </w:rPr>
        <w:t>In total, this study shows that a</w:t>
      </w:r>
      <w:r w:rsidRPr="00476931">
        <w:rPr>
          <w:color w:val="000000" w:themeColor="text1"/>
        </w:rPr>
        <w:t xml:space="preserve">mong different </w:t>
      </w:r>
      <w:r w:rsidRPr="00476931">
        <w:rPr>
          <w:i/>
          <w:iCs/>
          <w:color w:val="000000" w:themeColor="text1"/>
        </w:rPr>
        <w:t xml:space="preserve">Collinsella </w:t>
      </w:r>
      <w:r w:rsidRPr="00476931">
        <w:rPr>
          <w:color w:val="000000" w:themeColor="text1"/>
        </w:rPr>
        <w:t xml:space="preserve">spp. in the defined community, both </w:t>
      </w:r>
      <w:r w:rsidRPr="00476931">
        <w:rPr>
          <w:i/>
          <w:iCs/>
          <w:color w:val="000000" w:themeColor="text1"/>
        </w:rPr>
        <w:t>C. intestinalis</w:t>
      </w:r>
      <w:r w:rsidRPr="00476931">
        <w:rPr>
          <w:color w:val="000000" w:themeColor="text1"/>
        </w:rPr>
        <w:t xml:space="preserve"> and </w:t>
      </w:r>
      <w:r w:rsidRPr="00476931">
        <w:rPr>
          <w:i/>
          <w:iCs/>
          <w:color w:val="000000" w:themeColor="text1"/>
        </w:rPr>
        <w:t>C. aerofaciens</w:t>
      </w:r>
      <w:r w:rsidRPr="00476931">
        <w:rPr>
          <w:color w:val="000000" w:themeColor="text1"/>
        </w:rPr>
        <w:t xml:space="preserve"> </w:t>
      </w:r>
      <w:proofErr w:type="gramStart"/>
      <w:r w:rsidRPr="00476931">
        <w:rPr>
          <w:color w:val="000000" w:themeColor="text1"/>
        </w:rPr>
        <w:t>are able to</w:t>
      </w:r>
      <w:proofErr w:type="gramEnd"/>
      <w:r w:rsidRPr="00476931">
        <w:rPr>
          <w:color w:val="000000" w:themeColor="text1"/>
        </w:rPr>
        <w:t xml:space="preserve"> convert fructoselysine to glucose 6-phosphate and lysine, and that glucose 6-phosphate is shuttled through glycolysis and exported in part as acetate and </w:t>
      </w:r>
      <w:proofErr w:type="spellStart"/>
      <w:r w:rsidRPr="00476931">
        <w:rPr>
          <w:color w:val="000000" w:themeColor="text1"/>
        </w:rPr>
        <w:t>formate</w:t>
      </w:r>
      <w:proofErr w:type="spellEnd"/>
      <w:r w:rsidRPr="00476931">
        <w:rPr>
          <w:color w:val="000000" w:themeColor="text1"/>
        </w:rPr>
        <w:t xml:space="preserve">. In an environment containing glucose and fructoselysine versus glucose alone, </w:t>
      </w:r>
      <w:r w:rsidRPr="00476931">
        <w:rPr>
          <w:i/>
          <w:iCs/>
          <w:color w:val="000000" w:themeColor="text1"/>
        </w:rPr>
        <w:t xml:space="preserve">C. intestinalis </w:t>
      </w:r>
      <w:r w:rsidRPr="00476931">
        <w:rPr>
          <w:color w:val="000000" w:themeColor="text1"/>
        </w:rPr>
        <w:t xml:space="preserve">induces expression of fructoselysine utilization genes so it could use it as a carbon source, while </w:t>
      </w:r>
      <w:r w:rsidRPr="00476931">
        <w:rPr>
          <w:i/>
          <w:iCs/>
          <w:color w:val="000000" w:themeColor="text1"/>
        </w:rPr>
        <w:t xml:space="preserve">C. aerofaciens </w:t>
      </w:r>
      <w:r w:rsidRPr="00476931">
        <w:rPr>
          <w:color w:val="000000" w:themeColor="text1"/>
        </w:rPr>
        <w:t xml:space="preserve">does not. Additionally, </w:t>
      </w:r>
      <w:r w:rsidRPr="00476931">
        <w:rPr>
          <w:i/>
          <w:iCs/>
          <w:color w:val="000000" w:themeColor="text1"/>
        </w:rPr>
        <w:t xml:space="preserve">C. intestinalis </w:t>
      </w:r>
      <w:r w:rsidRPr="00476931">
        <w:rPr>
          <w:color w:val="000000" w:themeColor="text1"/>
        </w:rPr>
        <w:t xml:space="preserve">grows at a faster rate </w:t>
      </w:r>
      <w:r w:rsidRPr="00476931">
        <w:rPr>
          <w:i/>
          <w:iCs/>
          <w:color w:val="000000" w:themeColor="text1"/>
        </w:rPr>
        <w:t xml:space="preserve">in vitro </w:t>
      </w:r>
      <w:r w:rsidRPr="00476931">
        <w:rPr>
          <w:color w:val="000000" w:themeColor="text1"/>
        </w:rPr>
        <w:t xml:space="preserve">on fructoselysine than on glucose.  Overall, this study shows a nice example of how closely related microbes </w:t>
      </w:r>
      <w:proofErr w:type="gramStart"/>
      <w:r w:rsidRPr="00476931">
        <w:rPr>
          <w:color w:val="000000" w:themeColor="text1"/>
        </w:rPr>
        <w:t>are able to</w:t>
      </w:r>
      <w:proofErr w:type="gramEnd"/>
      <w:r w:rsidRPr="00476931">
        <w:rPr>
          <w:color w:val="000000" w:themeColor="text1"/>
        </w:rPr>
        <w:t xml:space="preserve"> handle chemical modifications on food</w:t>
      </w:r>
      <w:r w:rsidR="00896762">
        <w:rPr>
          <w:color w:val="000000" w:themeColor="text1"/>
        </w:rPr>
        <w:t xml:space="preserve"> that are introduced during the food manufacturing process</w:t>
      </w:r>
      <w:r w:rsidRPr="00476931">
        <w:rPr>
          <w:color w:val="000000" w:themeColor="text1"/>
        </w:rPr>
        <w:t xml:space="preserve"> differently, and</w:t>
      </w:r>
      <w:r w:rsidR="00896762">
        <w:rPr>
          <w:color w:val="000000" w:themeColor="text1"/>
        </w:rPr>
        <w:t xml:space="preserve"> how</w:t>
      </w:r>
      <w:r w:rsidRPr="00476931">
        <w:rPr>
          <w:color w:val="000000" w:themeColor="text1"/>
        </w:rPr>
        <w:t xml:space="preserve"> this can lead to changes in microbiome structure and function.</w:t>
      </w:r>
    </w:p>
    <w:p w14:paraId="468A49A7" w14:textId="60466283" w:rsidR="003F4ADA" w:rsidRDefault="003F4ADA">
      <w:pPr>
        <w:spacing w:before="1"/>
        <w:rPr>
          <w:color w:val="000000" w:themeColor="text1"/>
        </w:rPr>
      </w:pPr>
      <w:r>
        <w:rPr>
          <w:noProof/>
        </w:rPr>
        <mc:AlternateContent>
          <mc:Choice Requires="wps">
            <w:drawing>
              <wp:anchor distT="0" distB="0" distL="114300" distR="114300" simplePos="0" relativeHeight="251658260" behindDoc="0" locked="0" layoutInCell="1" allowOverlap="1" wp14:anchorId="073E28FD" wp14:editId="55287E13">
                <wp:simplePos x="0" y="0"/>
                <wp:positionH relativeFrom="column">
                  <wp:posOffset>139700</wp:posOffset>
                </wp:positionH>
                <wp:positionV relativeFrom="paragraph">
                  <wp:posOffset>2882265</wp:posOffset>
                </wp:positionV>
                <wp:extent cx="5156200" cy="635"/>
                <wp:effectExtent l="0" t="0" r="0" b="12065"/>
                <wp:wrapTopAndBottom/>
                <wp:docPr id="23" name="Text Box 23"/>
                <wp:cNvGraphicFramePr/>
                <a:graphic xmlns:a="http://schemas.openxmlformats.org/drawingml/2006/main">
                  <a:graphicData uri="http://schemas.microsoft.com/office/word/2010/wordprocessingShape">
                    <wps:wsp>
                      <wps:cNvSpPr txBox="1"/>
                      <wps:spPr>
                        <a:xfrm>
                          <a:off x="0" y="0"/>
                          <a:ext cx="5156200" cy="635"/>
                        </a:xfrm>
                        <a:prstGeom prst="rect">
                          <a:avLst/>
                        </a:prstGeom>
                        <a:solidFill>
                          <a:prstClr val="white"/>
                        </a:solidFill>
                        <a:ln>
                          <a:noFill/>
                        </a:ln>
                      </wps:spPr>
                      <wps:txbx>
                        <w:txbxContent>
                          <w:p w14:paraId="6CFD2494" w14:textId="2D7EA0C2" w:rsidR="003F4ADA" w:rsidRPr="003F4ADA" w:rsidRDefault="003F4ADA" w:rsidP="003F4ADA">
                            <w:pPr>
                              <w:pStyle w:val="Caption"/>
                            </w:pPr>
                            <w:bookmarkStart w:id="278" w:name="_Toc110246949"/>
                            <w:r>
                              <w:t xml:space="preserve">Figure </w:t>
                            </w:r>
                            <w:fldSimple w:instr=" STYLEREF 1 \s ">
                              <w:r w:rsidR="00AC2094">
                                <w:rPr>
                                  <w:noProof/>
                                </w:rPr>
                                <w:t>5</w:t>
                              </w:r>
                            </w:fldSimple>
                            <w:r w:rsidR="00AC2094">
                              <w:noBreakHyphen/>
                            </w:r>
                            <w:fldSimple w:instr=" SEQ Figure \* ARABIC \s 1 ">
                              <w:r w:rsidR="00AC2094">
                                <w:rPr>
                                  <w:noProof/>
                                </w:rPr>
                                <w:t>2</w:t>
                              </w:r>
                            </w:fldSimple>
                            <w:r>
                              <w:t xml:space="preserve">  </w:t>
                            </w:r>
                            <w:r w:rsidRPr="003F4ADA">
                              <w:t>β-lactoglobulin modified peptides.</w:t>
                            </w:r>
                            <w:bookmarkEnd w:id="278"/>
                            <w:r w:rsidRPr="003F4ADA">
                              <w:fldChar w:fldCharType="begin"/>
                            </w:r>
                            <w:r w:rsidRPr="003F4ADA">
                              <w:instrText xml:space="preserve"> </w:instrText>
                            </w:r>
                          </w:p>
                          <w:p w14:paraId="467138E7" w14:textId="77777777" w:rsidR="003F4ADA" w:rsidRPr="003F4ADA" w:rsidRDefault="003F4ADA" w:rsidP="003F4ADA">
                            <w:pPr>
                              <w:pStyle w:val="Caption"/>
                            </w:pPr>
                          </w:p>
                          <w:p w14:paraId="4AB48C6D" w14:textId="50D4B3F9" w:rsidR="003F4ADA" w:rsidRPr="003F4ADA" w:rsidRDefault="003F4ADA" w:rsidP="003F4ADA">
                            <w:pPr>
                              <w:pStyle w:val="Caption"/>
                              <w:rPr>
                                <w:b w:val="0"/>
                                <w:bCs/>
                              </w:rPr>
                            </w:pPr>
                            <w:r w:rsidRPr="003F4ADA">
                              <w:instrText xml:space="preserve"> </w:instrText>
                            </w:r>
                            <w:r w:rsidRPr="003F4ADA">
                              <w:fldChar w:fldCharType="end"/>
                            </w:r>
                            <w:r w:rsidRPr="003F4ADA">
                              <w:t xml:space="preserve">  </w:t>
                            </w:r>
                            <w:bookmarkStart w:id="279" w:name="_Toc107573970"/>
                            <w:r w:rsidRPr="003F4ADA">
                              <w:rPr>
                                <w:b w:val="0"/>
                                <w:bCs/>
                              </w:rPr>
                              <w:fldChar w:fldCharType="begin"/>
                            </w:r>
                            <w:r w:rsidRPr="003F4ADA">
                              <w:rPr>
                                <w:b w:val="0"/>
                                <w:bCs/>
                              </w:rPr>
                              <w:instrText xml:space="preserve"> </w:instrText>
                            </w:r>
                          </w:p>
                          <w:p w14:paraId="32B283A2" w14:textId="77777777" w:rsidR="003F4ADA" w:rsidRPr="003F4ADA" w:rsidRDefault="003F4ADA" w:rsidP="003F4ADA">
                            <w:pPr>
                              <w:pStyle w:val="Caption"/>
                              <w:rPr>
                                <w:b w:val="0"/>
                                <w:bCs/>
                              </w:rPr>
                            </w:pPr>
                          </w:p>
                          <w:p w14:paraId="00A0D3F5" w14:textId="4FED96DA" w:rsidR="003F4ADA" w:rsidRPr="003F4ADA" w:rsidRDefault="003F4ADA" w:rsidP="003F4ADA">
                            <w:pPr>
                              <w:pStyle w:val="Caption"/>
                              <w:rPr>
                                <w:b w:val="0"/>
                                <w:bCs/>
                              </w:rPr>
                            </w:pPr>
                            <w:r w:rsidRPr="003F4ADA">
                              <w:rPr>
                                <w:b w:val="0"/>
                                <w:bCs/>
                              </w:rPr>
                              <w:instrText xml:space="preserve"> </w:instrText>
                            </w:r>
                            <w:r w:rsidRPr="003F4ADA">
                              <w:rPr>
                                <w:b w:val="0"/>
                                <w:bCs/>
                              </w:rPr>
                              <w:fldChar w:fldCharType="end"/>
                            </w:r>
                            <w:r w:rsidRPr="003F4ADA">
                              <w:rPr>
                                <w:b w:val="0"/>
                                <w:bCs/>
                              </w:rPr>
                              <w:t>The number of PTMS identified in the targeted PTM search of the glycosylation modifications of interest and the most abundant modifications identified in the open search.  As oxidation of methionine residues (MetOx) and carbamidomethylation of cysteine residues (IAA) are generally artifacts of the sample preparation, these two modifications were counted with the unmodified peptides.  The number of peptide sequences identified for β-lactoglobulin that were either unmodified or modified with a particular PTM (A). Area-under-the-curve (AUC) peptide abundance per modification for β-lactoglobulin (B).</w:t>
                            </w:r>
                            <w:bookmarkEnd w:id="27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oel="http://schemas.microsoft.com/office/2019/extlst">
            <w:pict>
              <v:shape w14:anchorId="073E28FD" id="Text Box 23" o:spid="_x0000_s1084" type="#_x0000_t202" style="position:absolute;left:0;text-align:left;margin-left:11pt;margin-top:226.95pt;width:406pt;height:.05pt;z-index:2516582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" stroked="f">
                <v:textbox style="mso-fit-shape-to-text:t" inset="0,0,0,0">
                  <w:txbxContent>
                    <w:p w14:paraId="6CFD2494" w14:textId="2D7EA0C2" w:rsidR="003F4ADA" w:rsidRPr="003F4ADA" w:rsidRDefault="003F4ADA" w:rsidP="003F4ADA">
                      <w:pPr>
                        <w:pStyle w:val="Caption"/>
                      </w:pPr>
                      <w:bookmarkStart w:id="286" w:name="_Toc110246949"/>
                      <w:r>
                        <w:t xml:space="preserve">Figure </w:t>
                      </w:r>
                      <w:r w:rsidR="00000000">
                        <w:fldChar w:fldCharType="begin"/>
                      </w:r>
                      <w:r w:rsidR="00000000">
                        <w:instrText xml:space="preserve"> STYLEREF 1 \s </w:instrText>
                      </w:r>
                      <w:r w:rsidR="00000000">
                        <w:fldChar w:fldCharType="separate"/>
                      </w:r>
                      <w:r w:rsidR="00AC2094">
                        <w:rPr>
                          <w:noProof/>
                        </w:rPr>
                        <w:t>5</w:t>
                      </w:r>
                      <w:r w:rsidR="00000000">
                        <w:rPr>
                          <w:noProof/>
                        </w:rPr>
                        <w:fldChar w:fldCharType="end"/>
                      </w:r>
                      <w:r w:rsidR="00AC2094">
                        <w:noBreakHyphen/>
                      </w:r>
                      <w:r w:rsidR="00000000">
                        <w:fldChar w:fldCharType="begin"/>
                      </w:r>
                      <w:r w:rsidR="00000000">
                        <w:instrText xml:space="preserve"> SEQ Figure \* ARABIC \s 1 </w:instrText>
                      </w:r>
                      <w:r w:rsidR="00000000">
                        <w:fldChar w:fldCharType="separate"/>
                      </w:r>
                      <w:r w:rsidR="00AC2094">
                        <w:rPr>
                          <w:noProof/>
                        </w:rPr>
                        <w:t>2</w:t>
                      </w:r>
                      <w:r w:rsidR="00000000">
                        <w:rPr>
                          <w:noProof/>
                        </w:rPr>
                        <w:fldChar w:fldCharType="end"/>
                      </w:r>
                      <w:r>
                        <w:t xml:space="preserve">  </w:t>
                      </w:r>
                      <w:r w:rsidRPr="003F4ADA">
                        <w:t>β-lactoglobulin modified peptides.</w:t>
                      </w:r>
                      <w:bookmarkEnd w:id="286"/>
                      <w:r w:rsidRPr="003F4ADA">
                        <w:fldChar w:fldCharType="begin"/>
                      </w:r>
                      <w:r w:rsidRPr="003F4ADA">
                        <w:instrText xml:space="preserve"> </w:instrText>
                      </w:r>
                    </w:p>
                    <w:p w14:paraId="467138E7" w14:textId="77777777" w:rsidR="003F4ADA" w:rsidRPr="003F4ADA" w:rsidRDefault="003F4ADA" w:rsidP="003F4ADA">
                      <w:pPr>
                        <w:pStyle w:val="Caption"/>
                      </w:pPr>
                    </w:p>
                    <w:p w14:paraId="4AB48C6D" w14:textId="50D4B3F9" w:rsidR="003F4ADA" w:rsidRPr="003F4ADA" w:rsidRDefault="003F4ADA" w:rsidP="003F4ADA">
                      <w:pPr>
                        <w:pStyle w:val="Caption"/>
                        <w:rPr>
                          <w:b w:val="0"/>
                          <w:bCs/>
                        </w:rPr>
                      </w:pPr>
                      <w:r w:rsidRPr="003F4ADA">
                        <w:instrText xml:space="preserve"> </w:instrText>
                      </w:r>
                      <w:r w:rsidRPr="003F4ADA">
                        <w:fldChar w:fldCharType="end"/>
                      </w:r>
                      <w:r w:rsidRPr="003F4ADA">
                        <w:t xml:space="preserve">  </w:t>
                      </w:r>
                      <w:bookmarkStart w:id="287" w:name="_Toc107573970"/>
                      <w:r w:rsidRPr="003F4ADA">
                        <w:rPr>
                          <w:b w:val="0"/>
                          <w:bCs/>
                        </w:rPr>
                        <w:fldChar w:fldCharType="begin"/>
                      </w:r>
                      <w:r w:rsidRPr="003F4ADA">
                        <w:rPr>
                          <w:b w:val="0"/>
                          <w:bCs/>
                        </w:rPr>
                        <w:instrText xml:space="preserve"> </w:instrText>
                      </w:r>
                    </w:p>
                    <w:p w14:paraId="32B283A2" w14:textId="77777777" w:rsidR="003F4ADA" w:rsidRPr="003F4ADA" w:rsidRDefault="003F4ADA" w:rsidP="003F4ADA">
                      <w:pPr>
                        <w:pStyle w:val="Caption"/>
                        <w:rPr>
                          <w:b w:val="0"/>
                          <w:bCs/>
                        </w:rPr>
                      </w:pPr>
                    </w:p>
                    <w:p w14:paraId="00A0D3F5" w14:textId="4FED96DA" w:rsidR="003F4ADA" w:rsidRPr="003F4ADA" w:rsidRDefault="003F4ADA" w:rsidP="003F4ADA">
                      <w:pPr>
                        <w:pStyle w:val="Caption"/>
                        <w:rPr>
                          <w:b w:val="0"/>
                          <w:bCs/>
                        </w:rPr>
                      </w:pPr>
                      <w:r w:rsidRPr="003F4ADA">
                        <w:rPr>
                          <w:b w:val="0"/>
                          <w:bCs/>
                        </w:rPr>
                        <w:instrText xml:space="preserve"> </w:instrText>
                      </w:r>
                      <w:r w:rsidRPr="003F4ADA">
                        <w:rPr>
                          <w:b w:val="0"/>
                          <w:bCs/>
                        </w:rPr>
                        <w:fldChar w:fldCharType="end"/>
                      </w:r>
                      <w:r w:rsidRPr="003F4ADA">
                        <w:rPr>
                          <w:b w:val="0"/>
                          <w:bCs/>
                        </w:rPr>
                        <w:t>The number of PTMS identified in the targeted PTM search of the glycosylation modifications of interest and the most abundant modifications identified in the open search.  As oxidation of methionine residues (</w:t>
                      </w:r>
                      <w:proofErr w:type="spellStart"/>
                      <w:r w:rsidRPr="003F4ADA">
                        <w:rPr>
                          <w:b w:val="0"/>
                          <w:bCs/>
                        </w:rPr>
                        <w:t>MetOx</w:t>
                      </w:r>
                      <w:proofErr w:type="spellEnd"/>
                      <w:r w:rsidRPr="003F4ADA">
                        <w:rPr>
                          <w:b w:val="0"/>
                          <w:bCs/>
                        </w:rPr>
                        <w:t xml:space="preserve">) and </w:t>
                      </w:r>
                      <w:proofErr w:type="spellStart"/>
                      <w:r w:rsidRPr="003F4ADA">
                        <w:rPr>
                          <w:b w:val="0"/>
                          <w:bCs/>
                        </w:rPr>
                        <w:t>carbamidomethylation</w:t>
                      </w:r>
                      <w:proofErr w:type="spellEnd"/>
                      <w:r w:rsidRPr="003F4ADA">
                        <w:rPr>
                          <w:b w:val="0"/>
                          <w:bCs/>
                        </w:rPr>
                        <w:t xml:space="preserve"> of cysteine residues (IAA) are generally artifacts of the sample preparation, these two modifications were counted with the unmodified peptides.  The number of peptide sequences identified for β-lactoglobulin that were either unmodified or modified with a particular PTM (A). Area-under-the-curve (AUC) peptide abundance per modification for β-lactoglobulin (B).</w:t>
                      </w:r>
                      <w:bookmarkEnd w:id="287"/>
                    </w:p>
                  </w:txbxContent>
                </v:textbox>
                <w10:wrap type="topAndBottom"/>
              </v:shape>
            </w:pict>
          </mc:Fallback>
        </mc:AlternateContent>
      </w:r>
      <w:r w:rsidRPr="00476931">
        <w:rPr>
          <w:noProof/>
          <w:color w:val="000000" w:themeColor="text1"/>
        </w:rPr>
        <w:drawing>
          <wp:anchor distT="0" distB="0" distL="114300" distR="114300" simplePos="0" relativeHeight="251658259" behindDoc="0" locked="0" layoutInCell="1" allowOverlap="1" wp14:anchorId="6A417F02" wp14:editId="0F3443F1">
            <wp:simplePos x="0" y="0"/>
            <wp:positionH relativeFrom="column">
              <wp:posOffset>139700</wp:posOffset>
            </wp:positionH>
            <wp:positionV relativeFrom="page">
              <wp:posOffset>1168400</wp:posOffset>
            </wp:positionV>
            <wp:extent cx="5156200" cy="2571115"/>
            <wp:effectExtent l="0" t="0" r="0" b="0"/>
            <wp:wrapTopAndBottom/>
            <wp:docPr id="2203" name="Picture 2203"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3" name="Picture 2203" descr="A picture containing logo&#10;&#10;Description automatically generated"/>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156200" cy="2571115"/>
                    </a:xfrm>
                    <a:prstGeom prst="rect">
                      <a:avLst/>
                    </a:prstGeom>
                    <a:noFill/>
                  </pic:spPr>
                </pic:pic>
              </a:graphicData>
            </a:graphic>
            <wp14:sizeRelH relativeFrom="margin">
              <wp14:pctWidth>0</wp14:pctWidth>
            </wp14:sizeRelH>
            <wp14:sizeRelV relativeFrom="margin">
              <wp14:pctHeight>0</wp14:pctHeight>
            </wp14:sizeRelV>
          </wp:anchor>
        </w:drawing>
      </w:r>
      <w:r>
        <w:rPr>
          <w:color w:val="000000" w:themeColor="text1"/>
        </w:rPr>
        <w:br w:type="page"/>
      </w:r>
    </w:p>
    <w:p w14:paraId="63287080" w14:textId="6F7C68D9" w:rsidR="00C7280B" w:rsidRPr="00476931" w:rsidRDefault="00C7280B" w:rsidP="00C7280B">
      <w:pPr>
        <w:pStyle w:val="Heading3"/>
      </w:pPr>
      <w:bookmarkStart w:id="280" w:name="_Toc110250278"/>
      <w:bookmarkStart w:id="281" w:name="_Toc110250535"/>
      <w:bookmarkStart w:id="282" w:name="_Toc110250666"/>
      <w:r w:rsidRPr="00476931">
        <w:t>5.4.3  Methods</w:t>
      </w:r>
      <w:r w:rsidR="0003562F">
        <w:t>.</w:t>
      </w:r>
      <w:bookmarkEnd w:id="280"/>
      <w:bookmarkEnd w:id="281"/>
      <w:bookmarkEnd w:id="282"/>
    </w:p>
    <w:p w14:paraId="2170C12F" w14:textId="36079FCB" w:rsidR="00C7280B" w:rsidRPr="00476931" w:rsidRDefault="00C7280B" w:rsidP="00C7280B">
      <w:pPr>
        <w:rPr>
          <w:color w:val="000000" w:themeColor="text1"/>
        </w:rPr>
      </w:pPr>
    </w:p>
    <w:p w14:paraId="51AB99C1" w14:textId="66F309C1" w:rsidR="00167F7F" w:rsidRPr="00476931" w:rsidRDefault="00C7280B" w:rsidP="00AA27F4">
      <w:pPr>
        <w:spacing w:before="1"/>
        <w:rPr>
          <w:iCs/>
          <w:color w:val="000000" w:themeColor="text1"/>
          <w:szCs w:val="18"/>
        </w:rPr>
      </w:pPr>
      <w:r w:rsidRPr="00476931">
        <w:rPr>
          <w:color w:val="000000" w:themeColor="text1"/>
        </w:rPr>
        <w:t xml:space="preserve">Powdered bovine whey protein isolate (Fonterra Co., New Zealand) was resolubilized in denaturation buffer (2% sodium deoxycholate, 100-mM ammonium bicarbonate, 10 mM dithiothreitol, pH 8.0) and incubated at 80°C for 10 minutes. The sample was then adjusted to 30 mM iodoacetamide and incubated at room temperature for 15 minutes in the dark. Five hundred micrograms of the denatured and reduced whey protein isolate were then transferred to a 10 </w:t>
      </w:r>
      <w:proofErr w:type="spellStart"/>
      <w:r w:rsidRPr="00476931">
        <w:rPr>
          <w:color w:val="000000" w:themeColor="text1"/>
        </w:rPr>
        <w:t>kDa</w:t>
      </w:r>
      <w:proofErr w:type="spellEnd"/>
      <w:r w:rsidRPr="00476931">
        <w:rPr>
          <w:color w:val="000000" w:themeColor="text1"/>
        </w:rPr>
        <w:t xml:space="preserve"> MWCO spin filter (</w:t>
      </w:r>
      <w:proofErr w:type="spellStart"/>
      <w:r w:rsidRPr="00476931">
        <w:rPr>
          <w:color w:val="000000" w:themeColor="text1"/>
        </w:rPr>
        <w:t>Vivaspin</w:t>
      </w:r>
      <w:proofErr w:type="spellEnd"/>
      <w:r w:rsidRPr="00476931">
        <w:rPr>
          <w:color w:val="000000" w:themeColor="text1"/>
        </w:rPr>
        <w:t xml:space="preserve"> 500, Sartorius) for in situ clean-up and digestion with sequencing-grade trypsin (1:50 </w:t>
      </w:r>
    </w:p>
    <w:p w14:paraId="50ED0BFA" w14:textId="6923CC87" w:rsidR="00310878" w:rsidRPr="00476931" w:rsidRDefault="00310878" w:rsidP="00C7280B">
      <w:pPr>
        <w:ind w:firstLine="22"/>
        <w:rPr>
          <w:color w:val="000000" w:themeColor="text1"/>
        </w:rPr>
      </w:pPr>
      <w:r w:rsidRPr="00476931">
        <w:rPr>
          <w:color w:val="000000" w:themeColor="text1"/>
        </w:rPr>
        <w:t xml:space="preserve"> (w/w); Pierce) using previously described conditions</w:t>
      </w:r>
      <w:sdt>
        <w:sdtPr>
          <w:rPr>
            <w:color w:val="000000"/>
            <w:vertAlign w:val="superscript"/>
          </w:rPr>
          <w:tag w:val="MENDELEY_CITATION_v3_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"/>
          <w:id w:val="886772472"/>
          <w:placeholder>
            <w:docPart w:val="B45FADC50A324E4486C4324FBA958C61"/>
          </w:placeholder>
        </w:sdtPr>
        <w:sdtEndPr/>
        <w:sdtContent>
          <w:r w:rsidR="003204EA" w:rsidRPr="003204EA">
            <w:rPr>
              <w:rFonts w:eastAsia="Times New Roman"/>
              <w:color w:val="000000"/>
              <w:vertAlign w:val="superscript"/>
            </w:rPr>
            <w:t>163</w:t>
          </w:r>
        </w:sdtContent>
      </w:sdt>
      <w:r w:rsidRPr="00476931">
        <w:rPr>
          <w:color w:val="000000" w:themeColor="text1"/>
        </w:rPr>
        <w:t>. Tryptic peptides were collected by centrifugation (12,000 x g at 4°C). Un(der)digested proteins that remained atop the filter were re-solubilized in denaturation buffer and digested again with chymotrypsin (1:50 (w/w); Pierce) to obtain a complementary set of peptides for better protein sequence coverage and to recover larger peptides that may have blocked lysine and arginine residues due to the hexose post-translational modifications</w:t>
      </w:r>
      <w:sdt>
        <w:sdtPr>
          <w:rPr>
            <w:color w:val="000000"/>
            <w:vertAlign w:val="superscript"/>
          </w:rPr>
          <w:tag w:val="MENDELEY_CITATION_v3_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"/>
          <w:id w:val="-1281725355"/>
          <w:placeholder>
            <w:docPart w:val="B45FADC50A324E4486C4324FBA958C61"/>
          </w:placeholder>
        </w:sdtPr>
        <w:sdtEndPr/>
        <w:sdtContent>
          <w:r w:rsidR="003204EA" w:rsidRPr="003204EA">
            <w:rPr>
              <w:rFonts w:eastAsia="Times New Roman"/>
              <w:color w:val="000000"/>
              <w:vertAlign w:val="superscript"/>
            </w:rPr>
            <w:t>164</w:t>
          </w:r>
        </w:sdtContent>
      </w:sdt>
      <w:r w:rsidRPr="00476931">
        <w:rPr>
          <w:color w:val="000000" w:themeColor="text1"/>
        </w:rPr>
        <w:t xml:space="preserve">. Chymotryptic peptides were collected by centrifugation (12,000 x g at 4°C). Tryptic and chymotryptic peptides were treated with formic acid (to 1%) to precipitate residual sodium deoxycholate, and the precipitate was removed from the peptide solutions with water-saturated ethyl acetate. Peptide solutions were concentrated by </w:t>
      </w:r>
      <w:proofErr w:type="spellStart"/>
      <w:r w:rsidRPr="00476931">
        <w:rPr>
          <w:color w:val="000000" w:themeColor="text1"/>
        </w:rPr>
        <w:t>SpeedVac</w:t>
      </w:r>
      <w:proofErr w:type="spellEnd"/>
      <w:r w:rsidRPr="00476931">
        <w:rPr>
          <w:color w:val="000000" w:themeColor="text1"/>
        </w:rPr>
        <w:t xml:space="preserve"> and quantified by BCA assay (Pierce). </w:t>
      </w:r>
    </w:p>
    <w:p w14:paraId="30F15368" w14:textId="48C6FB4B" w:rsidR="00310878" w:rsidRPr="00476931" w:rsidRDefault="00310878" w:rsidP="00A515CA">
      <w:pPr>
        <w:rPr>
          <w:color w:val="000000" w:themeColor="text1"/>
        </w:rPr>
      </w:pPr>
      <w:r w:rsidRPr="00476931">
        <w:rPr>
          <w:color w:val="000000" w:themeColor="text1"/>
        </w:rPr>
        <w:t>Whey-derived tryptic peptides were sequenced by LC-MS/MS using a Vanquish ultra-high performance liquid chromatography (UHPLC) system plumbed directly in-line with a Q Exactive Plus mass spectrometer (</w:t>
      </w:r>
      <w:proofErr w:type="spellStart"/>
      <w:r w:rsidRPr="00476931">
        <w:rPr>
          <w:color w:val="000000" w:themeColor="text1"/>
        </w:rPr>
        <w:t>Thermo</w:t>
      </w:r>
      <w:proofErr w:type="spellEnd"/>
      <w:r w:rsidRPr="00476931">
        <w:rPr>
          <w:color w:val="000000" w:themeColor="text1"/>
        </w:rPr>
        <w:t xml:space="preserve"> Scientific) outfitted with a triphasic MudPIT back column (RP-SCX-RP) coupled to a nanospray emitter packed with 30 cm of 5 mm Kinetex C18 RP resin (Phenomenex). For each sample, 3 mg of peptides were loaded, desalted, </w:t>
      </w:r>
      <w:proofErr w:type="gramStart"/>
      <w:r w:rsidRPr="00476931">
        <w:rPr>
          <w:color w:val="000000" w:themeColor="text1"/>
        </w:rPr>
        <w:t>separated</w:t>
      </w:r>
      <w:proofErr w:type="gramEnd"/>
      <w:r w:rsidRPr="00476931">
        <w:rPr>
          <w:color w:val="000000" w:themeColor="text1"/>
        </w:rPr>
        <w:t xml:space="preserve"> and analyzed by one salt cut of ammonium acetate (500 mM), followed by a 100-minute organic gradient and column re-equilibration</w:t>
      </w:r>
      <w:sdt>
        <w:sdtPr>
          <w:rPr>
            <w:color w:val="000000"/>
            <w:vertAlign w:val="superscript"/>
          </w:rPr>
          <w:tag w:val="MENDELEY_CITATION_v3_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"/>
          <w:id w:val="1382825709"/>
          <w:placeholder>
            <w:docPart w:val="B45FADC50A324E4486C4324FBA958C61"/>
          </w:placeholder>
        </w:sdtPr>
        <w:sdtEndPr/>
        <w:sdtContent>
          <w:r w:rsidR="003204EA" w:rsidRPr="003204EA">
            <w:rPr>
              <w:rFonts w:eastAsia="Times New Roman"/>
              <w:color w:val="000000"/>
              <w:vertAlign w:val="superscript"/>
            </w:rPr>
            <w:t>163</w:t>
          </w:r>
        </w:sdtContent>
      </w:sdt>
      <w:r w:rsidRPr="00476931">
        <w:rPr>
          <w:color w:val="000000" w:themeColor="text1"/>
        </w:rPr>
        <w:t>. Eluting peptides were measured and sequenced by data-dependent acquisition on the Q Exactive MS. Acquired MS/MS spectra of tryptic peptides were first searched against the Bos taurus proteome (UniProt ID: UP000009136) using MyriMatch/IDPicker</w:t>
      </w:r>
      <w:sdt>
        <w:sdtPr>
          <w:rPr>
            <w:color w:val="000000"/>
            <w:vertAlign w:val="superscript"/>
          </w:rPr>
          <w:tag w:val="MENDELEY_CITATION_v3_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"/>
          <w:id w:val="-1064790930"/>
          <w:placeholder>
            <w:docPart w:val="B45FADC50A324E4486C4324FBA958C61"/>
          </w:placeholder>
        </w:sdtPr>
        <w:sdtEndPr/>
        <w:sdtContent>
          <w:r w:rsidR="003204EA" w:rsidRPr="003204EA">
            <w:rPr>
              <w:rFonts w:eastAsia="Times New Roman"/>
              <w:color w:val="000000"/>
              <w:vertAlign w:val="superscript"/>
            </w:rPr>
            <w:t>165</w:t>
          </w:r>
        </w:sdtContent>
      </w:sdt>
      <w:r w:rsidRPr="00476931">
        <w:rPr>
          <w:color w:val="000000" w:themeColor="text1"/>
        </w:rPr>
        <w:t xml:space="preserve"> to identify the major components of the bovine whey protein isolate. A sub-data- base of the top 400 proteins was created and used for our subsequent PTM analysis. Reversed decoy sequences were appended to the sub-database to assess the false discovery rate in a generic open search with a wide precursor mass tolerance to identify peptides with all possible modifications</w:t>
      </w:r>
      <w:sdt>
        <w:sdtPr>
          <w:rPr>
            <w:color w:val="000000"/>
            <w:vertAlign w:val="superscript"/>
          </w:rPr>
          <w:tag w:val="MENDELEY_CITATION_v3_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"/>
          <w:id w:val="10655262"/>
          <w:placeholder>
            <w:docPart w:val="B45FADC50A324E4486C4324FBA958C61"/>
          </w:placeholder>
        </w:sdtPr>
        <w:sdtEndPr/>
        <w:sdtContent>
          <w:r w:rsidR="003204EA" w:rsidRPr="003204EA">
            <w:rPr>
              <w:rFonts w:eastAsia="Times New Roman"/>
              <w:color w:val="000000"/>
              <w:vertAlign w:val="superscript"/>
            </w:rPr>
            <w:t>166</w:t>
          </w:r>
        </w:sdtContent>
      </w:sdt>
      <w:r w:rsidRPr="00476931">
        <w:rPr>
          <w:color w:val="000000" w:themeColor="text1"/>
        </w:rPr>
        <w:t xml:space="preserve">. The </w:t>
      </w:r>
      <w:proofErr w:type="spellStart"/>
      <w:r w:rsidRPr="00476931">
        <w:rPr>
          <w:color w:val="000000" w:themeColor="text1"/>
        </w:rPr>
        <w:t>MSFragger</w:t>
      </w:r>
      <w:proofErr w:type="spellEnd"/>
      <w:r w:rsidRPr="00476931">
        <w:rPr>
          <w:color w:val="000000" w:themeColor="text1"/>
        </w:rPr>
        <w:t xml:space="preserve"> open search was configured with the following parameters to identify common mass shifts on peptides: precursor mass tolerance of 500 Da, fragment mass tolerance of 10 ppm, and a maximum number of three variable modifications. In addition, an open search was performed on </w:t>
      </w:r>
      <w:r w:rsidRPr="00476931">
        <w:rPr>
          <w:i/>
          <w:iCs/>
          <w:color w:val="000000" w:themeColor="text1"/>
        </w:rPr>
        <w:t>Clostridium thermocellum</w:t>
      </w:r>
      <w:r w:rsidRPr="00476931">
        <w:rPr>
          <w:color w:val="000000" w:themeColor="text1"/>
        </w:rPr>
        <w:t xml:space="preserve"> with the same </w:t>
      </w:r>
      <w:proofErr w:type="spellStart"/>
      <w:r w:rsidRPr="00476931">
        <w:rPr>
          <w:color w:val="000000" w:themeColor="text1"/>
        </w:rPr>
        <w:t>MSFragger</w:t>
      </w:r>
      <w:proofErr w:type="spellEnd"/>
      <w:r w:rsidRPr="00476931">
        <w:rPr>
          <w:color w:val="000000" w:themeColor="text1"/>
        </w:rPr>
        <w:t xml:space="preserve"> settings to confirm the specificity of fructosylation and lactosylation of lysine residues in the whey protein isolate sample relative to an organism that does not contain proteins with such modifications. </w:t>
      </w:r>
    </w:p>
    <w:p w14:paraId="3519919A" w14:textId="0B094023" w:rsidR="00310878" w:rsidRPr="00476931" w:rsidRDefault="00310878" w:rsidP="00A515CA">
      <w:pPr>
        <w:rPr>
          <w:color w:val="000000" w:themeColor="text1"/>
        </w:rPr>
      </w:pPr>
      <w:r w:rsidRPr="00476931">
        <w:rPr>
          <w:color w:val="000000" w:themeColor="text1"/>
        </w:rPr>
        <w:t xml:space="preserve">Following the open search, a targeted PTM search of MS/MS spectra of tryptic and chymotryptic peptides was performed using MS Amanda 2.0, Percolator, and </w:t>
      </w:r>
      <w:proofErr w:type="spellStart"/>
      <w:r w:rsidRPr="00476931">
        <w:rPr>
          <w:color w:val="000000" w:themeColor="text1"/>
        </w:rPr>
        <w:t>ptmRS</w:t>
      </w:r>
      <w:proofErr w:type="spellEnd"/>
      <w:r w:rsidRPr="00476931">
        <w:rPr>
          <w:color w:val="000000" w:themeColor="text1"/>
        </w:rPr>
        <w:t xml:space="preserve"> in the Proteome Discoverer 2.2 software package (</w:t>
      </w:r>
      <w:proofErr w:type="spellStart"/>
      <w:r w:rsidRPr="00476931">
        <w:rPr>
          <w:color w:val="000000" w:themeColor="text1"/>
        </w:rPr>
        <w:t>Thermo</w:t>
      </w:r>
      <w:proofErr w:type="spellEnd"/>
      <w:r w:rsidRPr="00476931">
        <w:rPr>
          <w:color w:val="000000" w:themeColor="text1"/>
        </w:rPr>
        <w:t xml:space="preserve"> Scientific), focusing on the two glycosylation modifications of interest as well as several abundant modifications identified in the </w:t>
      </w:r>
      <w:proofErr w:type="spellStart"/>
      <w:r w:rsidRPr="00476931">
        <w:rPr>
          <w:color w:val="000000" w:themeColor="text1"/>
        </w:rPr>
        <w:t>MSFragger</w:t>
      </w:r>
      <w:proofErr w:type="spellEnd"/>
      <w:r w:rsidRPr="00476931">
        <w:rPr>
          <w:color w:val="000000" w:themeColor="text1"/>
        </w:rPr>
        <w:t xml:space="preserve"> open search. The specific modifications targeted in the closed search included a static modification of carbamidomethylation (C+57.0214 Da) and the following dynamic modifications; oxidation of methionine (M+15.9949 Da), </w:t>
      </w:r>
      <w:proofErr w:type="spellStart"/>
      <w:r w:rsidRPr="00476931">
        <w:rPr>
          <w:color w:val="000000" w:themeColor="text1"/>
        </w:rPr>
        <w:t>acetylhypusine</w:t>
      </w:r>
      <w:proofErr w:type="spellEnd"/>
      <w:r w:rsidRPr="00476931">
        <w:rPr>
          <w:color w:val="000000" w:themeColor="text1"/>
        </w:rPr>
        <w:t xml:space="preserve"> on lysine (K+113.0841 Da), phosphorylation of serine, threonine or tyrosine (STY+79.9663 Da), acetylation of lysine (K+42.0106 Da), Fe++ cation replacement of proton on aspartate or glutamate, fructosylation of lysine or arginine (KR+162.05280), and lactosylation of lysine or arginine (KR+324.10560). Post-processing of the data was completed with Percolator using peptide-spectrum match filtering to &lt;1% peptide-level FDR. Precursor ion intensity (area under the curve) was used to derive relative abundance values of peptides. PTM site localization was assessed with </w:t>
      </w:r>
      <w:proofErr w:type="spellStart"/>
      <w:r w:rsidRPr="00476931">
        <w:rPr>
          <w:color w:val="000000" w:themeColor="text1"/>
        </w:rPr>
        <w:t>ptmRS</w:t>
      </w:r>
      <w:proofErr w:type="spellEnd"/>
      <w:r w:rsidRPr="00476931">
        <w:rPr>
          <w:color w:val="000000" w:themeColor="text1"/>
        </w:rPr>
        <w:t>.</w:t>
      </w:r>
    </w:p>
    <w:p w14:paraId="30F38C1A" w14:textId="7D7D012D" w:rsidR="00310878" w:rsidRPr="00476931" w:rsidRDefault="00310878" w:rsidP="00A515CA">
      <w:pPr>
        <w:rPr>
          <w:color w:val="000000" w:themeColor="text1"/>
        </w:rPr>
      </w:pPr>
      <w:r w:rsidRPr="00476931">
        <w:rPr>
          <w:color w:val="000000" w:themeColor="text1"/>
        </w:rPr>
        <w:t>Subsequent analysis focused on the five proteins in the sample with the most hexose modifications, which include the most abundant proteins identified: beta-lactoglobulin, alpha-lactoglobulin, albumin, enterotoxin-binding glycoprotein PP20K, and beta-casein. For the hexose-modified proteins of interest, the number of peptide-spectral matches (PSMs) and peptides with an identified Hex(1) or Hex(2) modification were analyzed for all lysine and arginine residues. In cases where there was an ambiguous modification [Hex(1) and a Hex(2) on the peptide], the peptide was counted as being both Hex(1)-modified and Hex(2)- modified.</w:t>
      </w:r>
    </w:p>
    <w:p w14:paraId="3FA31DF3" w14:textId="77777777" w:rsidR="00A515CA" w:rsidRPr="00476931" w:rsidRDefault="00A515CA" w:rsidP="00A515CA">
      <w:pPr>
        <w:rPr>
          <w:color w:val="000000" w:themeColor="text1"/>
        </w:rPr>
      </w:pPr>
    </w:p>
    <w:p w14:paraId="0A527C0B" w14:textId="66292D46" w:rsidR="00310878" w:rsidRPr="00476931" w:rsidRDefault="00A515CA" w:rsidP="0060435B">
      <w:pPr>
        <w:pStyle w:val="Heading2"/>
      </w:pPr>
      <w:bookmarkStart w:id="283" w:name="_Toc110250279"/>
      <w:bookmarkStart w:id="284" w:name="_Toc110250536"/>
      <w:bookmarkStart w:id="285" w:name="_Toc110250667"/>
      <w:r w:rsidRPr="00476931">
        <w:t xml:space="preserve">5.4  </w:t>
      </w:r>
      <w:r w:rsidR="00310878" w:rsidRPr="00476931">
        <w:t>Integration of metaproteomics with other techniques to assess community degradation of dietary fibers</w:t>
      </w:r>
      <w:r w:rsidR="0003562F">
        <w:t>.</w:t>
      </w:r>
      <w:bookmarkEnd w:id="283"/>
      <w:bookmarkEnd w:id="284"/>
      <w:bookmarkEnd w:id="285"/>
    </w:p>
    <w:p w14:paraId="31560185" w14:textId="52FF7521" w:rsidR="00E24E1F" w:rsidRPr="00476931" w:rsidRDefault="00E24E1F" w:rsidP="00E2090C">
      <w:pPr>
        <w:spacing w:before="219"/>
        <w:ind w:left="180" w:firstLine="0"/>
        <w:rPr>
          <w:color w:val="000000" w:themeColor="text1"/>
        </w:rPr>
      </w:pPr>
      <w:r w:rsidRPr="00476931">
        <w:rPr>
          <w:i/>
          <w:color w:val="000000" w:themeColor="text1"/>
        </w:rPr>
        <w:t>Text and figures</w:t>
      </w:r>
      <w:r w:rsidRPr="00476931">
        <w:rPr>
          <w:i/>
          <w:color w:val="000000" w:themeColor="text1"/>
          <w:spacing w:val="-3"/>
        </w:rPr>
        <w:t xml:space="preserve"> </w:t>
      </w:r>
      <w:r w:rsidRPr="00476931">
        <w:rPr>
          <w:i/>
          <w:color w:val="000000" w:themeColor="text1"/>
        </w:rPr>
        <w:t>adapted</w:t>
      </w:r>
      <w:r w:rsidRPr="00476931">
        <w:rPr>
          <w:i/>
          <w:color w:val="000000" w:themeColor="text1"/>
          <w:spacing w:val="-2"/>
        </w:rPr>
        <w:t xml:space="preserve"> </w:t>
      </w:r>
      <w:r w:rsidRPr="00476931">
        <w:rPr>
          <w:i/>
          <w:color w:val="000000" w:themeColor="text1"/>
        </w:rPr>
        <w:t>from</w:t>
      </w:r>
      <w:r w:rsidRPr="00476931">
        <w:rPr>
          <w:i/>
          <w:color w:val="000000" w:themeColor="text1"/>
          <w:spacing w:val="-2"/>
        </w:rPr>
        <w:t xml:space="preserve"> Patnode</w:t>
      </w:r>
      <w:r w:rsidRPr="00476931">
        <w:rPr>
          <w:i/>
          <w:color w:val="000000" w:themeColor="text1"/>
          <w:spacing w:val="-3"/>
        </w:rPr>
        <w:t xml:space="preserve"> </w:t>
      </w:r>
      <w:r w:rsidRPr="00476931">
        <w:rPr>
          <w:i/>
          <w:color w:val="000000" w:themeColor="text1"/>
        </w:rPr>
        <w:t>et</w:t>
      </w:r>
      <w:r w:rsidRPr="00476931">
        <w:rPr>
          <w:i/>
          <w:color w:val="000000" w:themeColor="text1"/>
          <w:spacing w:val="-2"/>
        </w:rPr>
        <w:t xml:space="preserve"> </w:t>
      </w:r>
      <w:r w:rsidRPr="00476931">
        <w:rPr>
          <w:i/>
          <w:color w:val="000000" w:themeColor="text1"/>
        </w:rPr>
        <w:t>al., 2019.</w:t>
      </w:r>
      <w:r w:rsidRPr="00476931">
        <w:rPr>
          <w:i/>
          <w:color w:val="000000" w:themeColor="text1"/>
          <w:spacing w:val="-3"/>
        </w:rPr>
        <w:t xml:space="preserve"> </w:t>
      </w:r>
      <w:r w:rsidRPr="00476931">
        <w:rPr>
          <w:i/>
          <w:color w:val="000000" w:themeColor="text1"/>
        </w:rPr>
        <w:t>Cell</w:t>
      </w:r>
      <w:r w:rsidRPr="00476931">
        <w:rPr>
          <w:color w:val="000000" w:themeColor="text1"/>
          <w:spacing w:val="-5"/>
        </w:rPr>
        <w:t>.</w:t>
      </w:r>
    </w:p>
    <w:p w14:paraId="07E64C68" w14:textId="77777777" w:rsidR="00A515CA" w:rsidRPr="00476931" w:rsidRDefault="00A515CA" w:rsidP="00E24E1F">
      <w:pPr>
        <w:ind w:left="0" w:firstLine="0"/>
        <w:rPr>
          <w:color w:val="000000" w:themeColor="text1"/>
        </w:rPr>
      </w:pPr>
    </w:p>
    <w:p w14:paraId="07FC37BF" w14:textId="02AE86A7" w:rsidR="00A515CA" w:rsidRDefault="00A515CA" w:rsidP="00A515CA">
      <w:pPr>
        <w:pStyle w:val="Heading3"/>
      </w:pPr>
      <w:bookmarkStart w:id="286" w:name="_Toc110250280"/>
      <w:bookmarkStart w:id="287" w:name="_Toc110250537"/>
      <w:bookmarkStart w:id="288" w:name="_Toc110250668"/>
      <w:r w:rsidRPr="00476931">
        <w:t xml:space="preserve">5.4.1  </w:t>
      </w:r>
      <w:r w:rsidR="00310878" w:rsidRPr="00476931">
        <w:t>Project scope</w:t>
      </w:r>
      <w:r w:rsidR="0003562F">
        <w:t>.</w:t>
      </w:r>
      <w:bookmarkEnd w:id="286"/>
      <w:bookmarkEnd w:id="287"/>
      <w:bookmarkEnd w:id="288"/>
    </w:p>
    <w:p w14:paraId="579B43E5" w14:textId="77777777" w:rsidR="003F4ADA" w:rsidRPr="003F4ADA" w:rsidRDefault="003F4ADA" w:rsidP="003F4ADA"/>
    <w:p w14:paraId="196D671F" w14:textId="759E473F" w:rsidR="00310878" w:rsidRPr="00476931" w:rsidRDefault="00310878" w:rsidP="00A515CA">
      <w:pPr>
        <w:rPr>
          <w:color w:val="000000" w:themeColor="text1"/>
        </w:rPr>
      </w:pPr>
      <w:r w:rsidRPr="00476931">
        <w:rPr>
          <w:color w:val="000000" w:themeColor="text1"/>
        </w:rPr>
        <w:t xml:space="preserve">In a second study using defined human gut-derived bacterial communities, the scope of the project was to identify different dietary fibers and their bioactive components that increase the fitness of </w:t>
      </w:r>
      <w:proofErr w:type="gramStart"/>
      <w:r w:rsidRPr="00476931">
        <w:rPr>
          <w:color w:val="000000" w:themeColor="text1"/>
        </w:rPr>
        <w:t xml:space="preserve">particular </w:t>
      </w:r>
      <w:r w:rsidRPr="00476931">
        <w:rPr>
          <w:i/>
          <w:iCs/>
          <w:color w:val="000000" w:themeColor="text1"/>
        </w:rPr>
        <w:t>Bacteroides</w:t>
      </w:r>
      <w:proofErr w:type="gramEnd"/>
      <w:r w:rsidRPr="00476931">
        <w:rPr>
          <w:color w:val="000000" w:themeColor="text1"/>
        </w:rPr>
        <w:t xml:space="preserve"> species in the context of a representative Western diet.  Gnotobiotic mice were colonized in a defined 14-species community of human gut-derived bacterial strains that are robust colonizers of the gut in a high-fat/low-fiber diet and that capture </w:t>
      </w:r>
      <w:proofErr w:type="gramStart"/>
      <w:r w:rsidRPr="00476931">
        <w:rPr>
          <w:color w:val="000000" w:themeColor="text1"/>
        </w:rPr>
        <w:t>the majority of</w:t>
      </w:r>
      <w:proofErr w:type="gramEnd"/>
      <w:r w:rsidRPr="00476931">
        <w:rPr>
          <w:color w:val="000000" w:themeColor="text1"/>
        </w:rPr>
        <w:t xml:space="preserve"> bacterial taxa present in a human fecal microbiota sample</w:t>
      </w:r>
      <w:sdt>
        <w:sdtPr>
          <w:rPr>
            <w:color w:val="000000"/>
            <w:vertAlign w:val="superscript"/>
          </w:rPr>
          <w:tag w:val="MENDELEY_CITATION_v3_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"/>
          <w:id w:val="2079403706"/>
          <w:placeholder>
            <w:docPart w:val="B45FADC50A324E4486C4324FBA958C61"/>
          </w:placeholder>
        </w:sdtPr>
        <w:sdtEndPr/>
        <w:sdtContent>
          <w:r w:rsidR="003204EA" w:rsidRPr="003204EA">
            <w:rPr>
              <w:rFonts w:eastAsia="Times New Roman"/>
              <w:color w:val="000000"/>
              <w:vertAlign w:val="superscript"/>
            </w:rPr>
            <w:t>167</w:t>
          </w:r>
        </w:sdtContent>
      </w:sdt>
      <w:r w:rsidRPr="00476931">
        <w:rPr>
          <w:color w:val="000000" w:themeColor="text1"/>
        </w:rPr>
        <w:t xml:space="preserve">.  Included in this microbial consortium are </w:t>
      </w:r>
      <w:r w:rsidRPr="00476931">
        <w:rPr>
          <w:i/>
          <w:iCs/>
          <w:color w:val="000000" w:themeColor="text1"/>
        </w:rPr>
        <w:t>Bacteroides</w:t>
      </w:r>
      <w:r w:rsidRPr="00476931">
        <w:rPr>
          <w:color w:val="000000" w:themeColor="text1"/>
        </w:rPr>
        <w:t xml:space="preserve"> species that were previously correlated with protection from the increased obese (Ob) phenotypes that developed in co-housed Ob-Ob control mice</w:t>
      </w:r>
      <w:sdt>
        <w:sdtPr>
          <w:rPr>
            <w:color w:val="000000"/>
            <w:vertAlign w:val="superscript"/>
          </w:rPr>
          <w:tag w:val="MENDELEY_CITATION_v3_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"/>
          <w:id w:val="-1543428689"/>
          <w:placeholder>
            <w:docPart w:val="B45FADC50A324E4486C4324FBA958C61"/>
          </w:placeholder>
        </w:sdtPr>
        <w:sdtEndPr/>
        <w:sdtContent>
          <w:r w:rsidR="003204EA" w:rsidRPr="003204EA">
            <w:rPr>
              <w:rFonts w:eastAsia="Times New Roman"/>
              <w:color w:val="000000"/>
              <w:vertAlign w:val="superscript"/>
            </w:rPr>
            <w:t>168</w:t>
          </w:r>
        </w:sdtContent>
      </w:sdt>
      <w:r w:rsidRPr="00476931">
        <w:rPr>
          <w:color w:val="000000" w:themeColor="text1"/>
        </w:rPr>
        <w:t xml:space="preserve">.   These </w:t>
      </w:r>
      <w:r w:rsidRPr="00476931">
        <w:rPr>
          <w:i/>
          <w:iCs/>
          <w:color w:val="000000" w:themeColor="text1"/>
        </w:rPr>
        <w:t>Bacteroides</w:t>
      </w:r>
      <w:r w:rsidRPr="00476931">
        <w:rPr>
          <w:color w:val="000000" w:themeColor="text1"/>
        </w:rPr>
        <w:t xml:space="preserve"> species were originally correlated with protection against host obesity phenotypes in a study where germ-free mice were colonized with fecal microbiota from twin pairs that were stably discordant for obesity.  When mice colonized with the lean (Ln) or Ob phenotype microbiota were co-housed, the Ob recipient mice did not develop obesity or metabolic abnormalities.  This outcome occurred because of the invasion of Ln-donor species (</w:t>
      </w:r>
      <w:r w:rsidRPr="00476931">
        <w:rPr>
          <w:i/>
          <w:iCs/>
          <w:color w:val="000000" w:themeColor="text1"/>
        </w:rPr>
        <w:t>B. thetaiotaomicron, B. vulgatus</w:t>
      </w:r>
      <w:r w:rsidRPr="00476931">
        <w:rPr>
          <w:color w:val="000000" w:themeColor="text1"/>
        </w:rPr>
        <w:t xml:space="preserve">, </w:t>
      </w:r>
      <w:r w:rsidRPr="00476931">
        <w:rPr>
          <w:i/>
          <w:iCs/>
          <w:color w:val="000000" w:themeColor="text1"/>
        </w:rPr>
        <w:t>B. caccae</w:t>
      </w:r>
      <w:r w:rsidRPr="00476931">
        <w:rPr>
          <w:color w:val="000000" w:themeColor="text1"/>
        </w:rPr>
        <w:t xml:space="preserve">, </w:t>
      </w:r>
      <w:r w:rsidRPr="00476931">
        <w:rPr>
          <w:i/>
          <w:iCs/>
          <w:color w:val="000000" w:themeColor="text1"/>
        </w:rPr>
        <w:t>B. ovatus</w:t>
      </w:r>
      <w:r w:rsidRPr="00476931">
        <w:rPr>
          <w:color w:val="000000" w:themeColor="text1"/>
        </w:rPr>
        <w:t xml:space="preserve"> and </w:t>
      </w:r>
      <w:r w:rsidRPr="00476931">
        <w:rPr>
          <w:i/>
          <w:iCs/>
          <w:color w:val="000000" w:themeColor="text1"/>
        </w:rPr>
        <w:t>B. cellulosilyticus</w:t>
      </w:r>
      <w:r w:rsidRPr="00476931">
        <w:rPr>
          <w:color w:val="000000" w:themeColor="text1"/>
        </w:rPr>
        <w:t xml:space="preserve">) into the Ob mice under specific diet contexts. Specifically, the invasion of these </w:t>
      </w:r>
      <w:r w:rsidRPr="00476931">
        <w:rPr>
          <w:i/>
          <w:iCs/>
          <w:color w:val="000000" w:themeColor="text1"/>
        </w:rPr>
        <w:t>Bacter</w:t>
      </w:r>
      <w:r w:rsidR="00D71B64">
        <w:rPr>
          <w:i/>
          <w:iCs/>
          <w:color w:val="000000" w:themeColor="text1"/>
        </w:rPr>
        <w:t>oi</w:t>
      </w:r>
      <w:r w:rsidRPr="00476931">
        <w:rPr>
          <w:i/>
          <w:iCs/>
          <w:color w:val="000000" w:themeColor="text1"/>
        </w:rPr>
        <w:t xml:space="preserve">des </w:t>
      </w:r>
      <w:r w:rsidRPr="00476931">
        <w:rPr>
          <w:color w:val="000000" w:themeColor="text1"/>
        </w:rPr>
        <w:t>species only occurred with a diet is low in saturated fats and high fruits and vegetables (</w:t>
      </w:r>
      <w:proofErr w:type="spellStart"/>
      <w:r w:rsidRPr="00476931">
        <w:rPr>
          <w:color w:val="000000" w:themeColor="text1"/>
        </w:rPr>
        <w:t>LoSF</w:t>
      </w:r>
      <w:proofErr w:type="spellEnd"/>
      <w:r w:rsidRPr="00476931">
        <w:rPr>
          <w:color w:val="000000" w:themeColor="text1"/>
        </w:rPr>
        <w:t>/</w:t>
      </w:r>
      <w:proofErr w:type="spellStart"/>
      <w:r w:rsidRPr="00476931">
        <w:rPr>
          <w:color w:val="000000" w:themeColor="text1"/>
        </w:rPr>
        <w:t>HiFV</w:t>
      </w:r>
      <w:proofErr w:type="spellEnd"/>
      <w:r w:rsidRPr="00476931">
        <w:rPr>
          <w:color w:val="000000" w:themeColor="text1"/>
        </w:rPr>
        <w:t xml:space="preserve">).  Invasion did not occur in a diet that is high in saturated fats and low in fruits and vegetable with (HiSF/LoFV). </w:t>
      </w:r>
    </w:p>
    <w:p w14:paraId="1519E1C9" w14:textId="725210EF" w:rsidR="00310878" w:rsidRPr="00476931" w:rsidRDefault="00310878" w:rsidP="00A515CA">
      <w:pPr>
        <w:rPr>
          <w:color w:val="000000" w:themeColor="text1"/>
        </w:rPr>
      </w:pPr>
      <w:r w:rsidRPr="00476931">
        <w:rPr>
          <w:color w:val="000000" w:themeColor="text1"/>
        </w:rPr>
        <w:t xml:space="preserve">Through the combination of forward genetic screens and quantitative LC-MS/MS of bacterial gene expression, we conducted a series of diet oscillation experiments paired with direct community manipulation to develop an understanding of the effects of different bioactive food components on the gut microbiota as well as community modulation </w:t>
      </w:r>
      <w:proofErr w:type="gramStart"/>
      <w:r w:rsidRPr="00476931">
        <w:rPr>
          <w:color w:val="000000" w:themeColor="text1"/>
        </w:rPr>
        <w:t>as a result of</w:t>
      </w:r>
      <w:proofErr w:type="gramEnd"/>
      <w:r w:rsidRPr="00476931">
        <w:rPr>
          <w:color w:val="000000" w:themeColor="text1"/>
        </w:rPr>
        <w:t xml:space="preserve"> fiber administration. A base representative Western diet (HiSF/LoFV) was constructed based on the result of the consumption patterns from U.S. National Health and nutrition survey (NHANES) database</w:t>
      </w:r>
      <w:sdt>
        <w:sdtPr>
          <w:rPr>
            <w:color w:val="000000"/>
            <w:vertAlign w:val="superscript"/>
          </w:rPr>
          <w:tag w:val="MENDELEY_CITATION_v3_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"/>
          <w:id w:val="-317733181"/>
          <w:placeholder>
            <w:docPart w:val="B45FADC50A324E4486C4324FBA958C61"/>
          </w:placeholder>
        </w:sdtPr>
        <w:sdtEndPr/>
        <w:sdtContent>
          <w:r w:rsidR="003204EA" w:rsidRPr="003204EA">
            <w:rPr>
              <w:rFonts w:eastAsia="Times New Roman"/>
              <w:color w:val="000000"/>
              <w:vertAlign w:val="superscript"/>
            </w:rPr>
            <w:t>168</w:t>
          </w:r>
        </w:sdtContent>
      </w:sdt>
      <w:r w:rsidRPr="00476931">
        <w:rPr>
          <w:color w:val="000000" w:themeColor="text1"/>
        </w:rPr>
        <w:t xml:space="preserve">. This base diet was supplemented with thirty-two food-grade fiber preparations from the byproducts of food manufacturing and screening experiments were conducted with 16S rRNA sequencing to analyze the relative abundance of each community member at the end of each diet treatment.  This resulted in 21 fibers that increased some species by 1% for every 1% increase in fiber administration, and supplementation with four of the fibers significantly increased the abundance of at least one of the targeted </w:t>
      </w:r>
      <w:r w:rsidRPr="00476931">
        <w:rPr>
          <w:i/>
          <w:iCs/>
          <w:color w:val="000000" w:themeColor="text1"/>
        </w:rPr>
        <w:t>Bacteroides</w:t>
      </w:r>
      <w:r w:rsidRPr="00476931">
        <w:rPr>
          <w:color w:val="000000" w:themeColor="text1"/>
        </w:rPr>
        <w:t xml:space="preserve"> species. The four lead fiber preparations (pea fiber, citrus pectin, orange peel, tomato peel) were selected for metaproteomics analyses.</w:t>
      </w:r>
    </w:p>
    <w:p w14:paraId="157E0A4F" w14:textId="77777777" w:rsidR="00A515CA" w:rsidRPr="00476931" w:rsidRDefault="00A515CA" w:rsidP="00A515CA">
      <w:pPr>
        <w:rPr>
          <w:color w:val="000000" w:themeColor="text1"/>
        </w:rPr>
      </w:pPr>
    </w:p>
    <w:p w14:paraId="1CF7A77A" w14:textId="54DF84B7" w:rsidR="00310878" w:rsidRDefault="00A515CA" w:rsidP="00A515CA">
      <w:pPr>
        <w:pStyle w:val="Heading3"/>
      </w:pPr>
      <w:bookmarkStart w:id="289" w:name="_Toc110250281"/>
      <w:bookmarkStart w:id="290" w:name="_Toc110250538"/>
      <w:bookmarkStart w:id="291" w:name="_Toc110250669"/>
      <w:r w:rsidRPr="00476931">
        <w:t xml:space="preserve">5.4.2  </w:t>
      </w:r>
      <w:r w:rsidR="00310878" w:rsidRPr="00476931">
        <w:t xml:space="preserve">Results </w:t>
      </w:r>
      <w:r w:rsidR="0003562F">
        <w:t>and d</w:t>
      </w:r>
      <w:r w:rsidR="00310878" w:rsidRPr="00476931">
        <w:t>iscussion</w:t>
      </w:r>
      <w:r w:rsidR="0003562F">
        <w:t>.</w:t>
      </w:r>
      <w:bookmarkEnd w:id="289"/>
      <w:bookmarkEnd w:id="290"/>
      <w:bookmarkEnd w:id="291"/>
    </w:p>
    <w:p w14:paraId="19A14732" w14:textId="77777777" w:rsidR="003F4ADA" w:rsidRPr="003F4ADA" w:rsidRDefault="003F4ADA" w:rsidP="003F4ADA"/>
    <w:p w14:paraId="63E0A36C" w14:textId="77777777" w:rsidR="00310878" w:rsidRPr="00476931" w:rsidRDefault="00310878" w:rsidP="00A515CA">
      <w:pPr>
        <w:rPr>
          <w:color w:val="000000" w:themeColor="text1"/>
        </w:rPr>
      </w:pPr>
      <w:r w:rsidRPr="00476931">
        <w:rPr>
          <w:color w:val="000000" w:themeColor="text1"/>
        </w:rPr>
        <w:t xml:space="preserve">In an initial metaproteomics screening experiment where mice were fed the baseline HiSF/LoFV diet and supplemented with the four lead fibers prior to LC-MS/MS measurements, there were distinct shifts in the functional relative abundance of some community members based on summed protein expression.  Since pea fiber and citrus pectin had the most pronounced effects on distinct sets of taxa, these two fiber preparations were selected for detailed functional studies of bioactive polysaccharide utilization. Structural analysis of the two lead fibers using </w:t>
      </w:r>
      <w:proofErr w:type="spellStart"/>
      <w:r w:rsidRPr="00476931">
        <w:rPr>
          <w:color w:val="000000" w:themeColor="text1"/>
        </w:rPr>
        <w:t>permethylation</w:t>
      </w:r>
      <w:proofErr w:type="spellEnd"/>
      <w:r w:rsidRPr="00476931">
        <w:rPr>
          <w:color w:val="000000" w:themeColor="text1"/>
        </w:rPr>
        <w:t xml:space="preserve"> and GC-MS identified arabinan as the most abundant polysaccharide in pea fiber, after accounting for starch, which is typically degraded and absorbed by the host, and cellulose, which is not metabolized by</w:t>
      </w:r>
      <w:r w:rsidRPr="00476931">
        <w:rPr>
          <w:i/>
          <w:iCs/>
          <w:color w:val="000000" w:themeColor="text1"/>
        </w:rPr>
        <w:t xml:space="preserve"> Bacteroides</w:t>
      </w:r>
      <w:r w:rsidRPr="00476931">
        <w:rPr>
          <w:color w:val="000000" w:themeColor="text1"/>
        </w:rPr>
        <w:t xml:space="preserve"> spp.  The citrus pectin contained predominantly homogalacturonan.  </w:t>
      </w:r>
    </w:p>
    <w:p w14:paraId="3BEA579A" w14:textId="5ACD723D" w:rsidR="00310878" w:rsidRPr="00476931" w:rsidRDefault="00310878" w:rsidP="00A515CA">
      <w:pPr>
        <w:rPr>
          <w:color w:val="000000" w:themeColor="text1"/>
        </w:rPr>
      </w:pPr>
      <w:r w:rsidRPr="00476931">
        <w:rPr>
          <w:color w:val="000000" w:themeColor="text1"/>
        </w:rPr>
        <w:t xml:space="preserve">To assess </w:t>
      </w:r>
      <w:proofErr w:type="gramStart"/>
      <w:r w:rsidRPr="00476931">
        <w:rPr>
          <w:color w:val="000000" w:themeColor="text1"/>
        </w:rPr>
        <w:t>whether or not</w:t>
      </w:r>
      <w:proofErr w:type="gramEnd"/>
      <w:r w:rsidRPr="00476931">
        <w:rPr>
          <w:color w:val="000000" w:themeColor="text1"/>
        </w:rPr>
        <w:t xml:space="preserve"> any species use these specific polysaccharides as nutrient sources</w:t>
      </w:r>
      <w:r w:rsidR="00D77558">
        <w:rPr>
          <w:color w:val="000000" w:themeColor="text1"/>
        </w:rPr>
        <w:t>,</w:t>
      </w:r>
      <w:r w:rsidRPr="00476931">
        <w:rPr>
          <w:color w:val="000000" w:themeColor="text1"/>
        </w:rPr>
        <w:t xml:space="preserve"> we set up a longitudinal strain-omission experiment for metaproteomics analysis </w:t>
      </w:r>
      <w:r w:rsidRPr="00476931">
        <w:rPr>
          <w:b/>
          <w:bCs/>
          <w:color w:val="000000" w:themeColor="text1"/>
        </w:rPr>
        <w:t>(Figure 5</w:t>
      </w:r>
      <w:r w:rsidR="009E08D4">
        <w:rPr>
          <w:b/>
          <w:bCs/>
          <w:color w:val="000000" w:themeColor="text1"/>
        </w:rPr>
        <w:t>-</w:t>
      </w:r>
      <w:r w:rsidRPr="00476931">
        <w:rPr>
          <w:b/>
          <w:bCs/>
          <w:color w:val="000000" w:themeColor="text1"/>
        </w:rPr>
        <w:t>3A).</w:t>
      </w:r>
      <w:r w:rsidRPr="00476931">
        <w:rPr>
          <w:color w:val="000000" w:themeColor="text1"/>
        </w:rPr>
        <w:t xml:space="preserve">  Metaproteomic measurements were coupled with multi-taxon insertion sequencing (INSeq) of the transposon (Tn) libraries of four </w:t>
      </w:r>
      <w:r w:rsidRPr="00476931">
        <w:rPr>
          <w:i/>
          <w:iCs/>
          <w:color w:val="000000" w:themeColor="text1"/>
        </w:rPr>
        <w:t>Bacteroides</w:t>
      </w:r>
      <w:r w:rsidRPr="00476931">
        <w:rPr>
          <w:color w:val="000000" w:themeColor="text1"/>
        </w:rPr>
        <w:t xml:space="preserve"> species (</w:t>
      </w:r>
      <w:r w:rsidRPr="00476931">
        <w:rPr>
          <w:i/>
          <w:iCs/>
          <w:color w:val="000000" w:themeColor="text1"/>
        </w:rPr>
        <w:t>B. thetaiotaomicron, B. vulgatus</w:t>
      </w:r>
      <w:r w:rsidRPr="00476931">
        <w:rPr>
          <w:color w:val="000000" w:themeColor="text1"/>
        </w:rPr>
        <w:t xml:space="preserve">, </w:t>
      </w:r>
      <w:r w:rsidRPr="00476931">
        <w:rPr>
          <w:i/>
          <w:iCs/>
          <w:color w:val="000000" w:themeColor="text1"/>
        </w:rPr>
        <w:t>B. ovatus</w:t>
      </w:r>
      <w:r w:rsidRPr="00476931">
        <w:rPr>
          <w:color w:val="000000" w:themeColor="text1"/>
        </w:rPr>
        <w:t xml:space="preserve"> and </w:t>
      </w:r>
      <w:r w:rsidRPr="00476931">
        <w:rPr>
          <w:i/>
          <w:iCs/>
          <w:color w:val="000000" w:themeColor="text1"/>
        </w:rPr>
        <w:t>B. cellulosilyticus)</w:t>
      </w:r>
      <w:r w:rsidRPr="00476931">
        <w:rPr>
          <w:color w:val="000000" w:themeColor="text1"/>
        </w:rPr>
        <w:t xml:space="preserve"> to characterize the effects of monotonous feeding of selected fiber preparations on the community’s expressed proteome and on the fitness of Tn mutants. The goal of integrating results from the two techniques is that</w:t>
      </w:r>
      <w:r w:rsidRPr="00476931">
        <w:rPr>
          <w:i/>
          <w:iCs/>
          <w:color w:val="000000" w:themeColor="text1"/>
        </w:rPr>
        <w:t xml:space="preserve"> </w:t>
      </w:r>
      <w:r w:rsidRPr="00476931">
        <w:rPr>
          <w:color w:val="000000" w:themeColor="text1"/>
        </w:rPr>
        <w:t>by identifying polysaccharide processing genes whose expression is increased and that function as key fitness determinants, we could infer which components of the fiber preparations were bioactive.</w:t>
      </w:r>
      <w:r w:rsidRPr="00476931">
        <w:rPr>
          <w:i/>
          <w:iCs/>
          <w:color w:val="000000" w:themeColor="text1"/>
        </w:rPr>
        <w:t xml:space="preserve"> </w:t>
      </w:r>
      <w:r w:rsidRPr="00476931">
        <w:rPr>
          <w:color w:val="000000" w:themeColor="text1"/>
        </w:rPr>
        <w:t xml:space="preserve"> </w:t>
      </w:r>
      <w:r w:rsidRPr="00476931">
        <w:rPr>
          <w:b/>
          <w:bCs/>
          <w:color w:val="000000" w:themeColor="text1"/>
        </w:rPr>
        <w:t>Figures 5</w:t>
      </w:r>
      <w:r w:rsidR="009E08D4">
        <w:rPr>
          <w:b/>
          <w:bCs/>
          <w:color w:val="000000" w:themeColor="text1"/>
        </w:rPr>
        <w:t>-</w:t>
      </w:r>
      <w:r w:rsidRPr="00476931">
        <w:rPr>
          <w:b/>
          <w:bCs/>
          <w:color w:val="000000" w:themeColor="text1"/>
        </w:rPr>
        <w:t>3B-I</w:t>
      </w:r>
      <w:r w:rsidRPr="00476931">
        <w:rPr>
          <w:color w:val="000000" w:themeColor="text1"/>
        </w:rPr>
        <w:t xml:space="preserve"> show the combined results of the metaproteomics and INSeq measurements for fecal material collected from gnotobiotic mice fed the HiSF/LoFV diet supplemented with either pea fiber or citrus pectin.  Several genes were identified in the INSeq analysis that had significant effects on the fitness of the organism depending on the supplementation of different fiber preparation, and many of these corresponded with proteins that showed a significant change in abundance upon fiber supplementation compared to the control diet (colored dots on the figures).  Significant genes were classified as responsive to fiber supplementation if they showed a significant positive fold-change in protein abundance and negative fitness effect when mutated.  These genes appear in the bottom right quadrants of each orthogonal protein-fitness plots.  </w:t>
      </w:r>
    </w:p>
    <w:p w14:paraId="63E6B0F5" w14:textId="77777777" w:rsidR="003F4ADA" w:rsidRDefault="00310878" w:rsidP="00A515CA">
      <w:pPr>
        <w:rPr>
          <w:color w:val="000000" w:themeColor="text1"/>
        </w:rPr>
      </w:pPr>
      <w:r w:rsidRPr="00476931">
        <w:rPr>
          <w:color w:val="000000" w:themeColor="text1"/>
        </w:rPr>
        <w:t xml:space="preserve">Interestingly, among differentially enriched proteins, 85 proteins that were significantly altered by pea fiber and 134 proteins that were significantly affected by citrus pectin administration were encoded by designated polysaccharide utilization loci (PULs).  Most </w:t>
      </w:r>
      <w:r w:rsidRPr="003A4B23">
        <w:rPr>
          <w:i/>
          <w:iCs/>
          <w:color w:val="000000" w:themeColor="text1"/>
        </w:rPr>
        <w:t>Bacteroides</w:t>
      </w:r>
      <w:r w:rsidRPr="00476931">
        <w:rPr>
          <w:color w:val="000000" w:themeColor="text1"/>
        </w:rPr>
        <w:t xml:space="preserve"> species contain multiple polysaccharide utilization loci (PULs) in their genomes, which provide a fitness advantage by endowing a species with the ability to sense, import, and process complex glycans.</w:t>
      </w:r>
      <w:r w:rsidRPr="00476931">
        <w:rPr>
          <w:b/>
          <w:bCs/>
          <w:color w:val="000000" w:themeColor="text1"/>
        </w:rPr>
        <w:t xml:space="preserve">  </w:t>
      </w:r>
      <w:r w:rsidRPr="00476931">
        <w:rPr>
          <w:color w:val="000000" w:themeColor="text1"/>
        </w:rPr>
        <w:t xml:space="preserve">PULs encode genes such as carbohydrate-responsive transcription factors, </w:t>
      </w:r>
      <w:proofErr w:type="spellStart"/>
      <w:r w:rsidRPr="00476931">
        <w:rPr>
          <w:color w:val="000000" w:themeColor="text1"/>
        </w:rPr>
        <w:t>SusC</w:t>
      </w:r>
      <w:proofErr w:type="spellEnd"/>
      <w:r w:rsidRPr="00476931">
        <w:rPr>
          <w:color w:val="000000" w:themeColor="text1"/>
        </w:rPr>
        <w:t>/</w:t>
      </w:r>
      <w:proofErr w:type="spellStart"/>
      <w:r w:rsidRPr="00476931">
        <w:rPr>
          <w:color w:val="000000" w:themeColor="text1"/>
        </w:rPr>
        <w:t>SusD</w:t>
      </w:r>
      <w:proofErr w:type="spellEnd"/>
      <w:r w:rsidRPr="00476931">
        <w:rPr>
          <w:color w:val="000000" w:themeColor="text1"/>
        </w:rPr>
        <w:t xml:space="preserve">-like transporters, </w:t>
      </w:r>
    </w:p>
    <w:p w14:paraId="6CA0B675" w14:textId="292980EB" w:rsidR="003F4ADA" w:rsidRDefault="003F4ADA">
      <w:pPr>
        <w:spacing w:before="1"/>
        <w:rPr>
          <w:color w:val="000000" w:themeColor="text1"/>
        </w:rPr>
      </w:pPr>
      <w:r>
        <w:rPr>
          <w:noProof/>
        </w:rPr>
        <mc:AlternateContent>
          <mc:Choice Requires="wps">
            <w:drawing>
              <wp:anchor distT="0" distB="0" distL="114300" distR="114300" simplePos="0" relativeHeight="251658262" behindDoc="0" locked="0" layoutInCell="1" allowOverlap="1" wp14:anchorId="38437C4E" wp14:editId="13CE211A">
                <wp:simplePos x="0" y="0"/>
                <wp:positionH relativeFrom="column">
                  <wp:posOffset>190500</wp:posOffset>
                </wp:positionH>
                <wp:positionV relativeFrom="paragraph">
                  <wp:posOffset>4581525</wp:posOffset>
                </wp:positionV>
                <wp:extent cx="5424170" cy="635"/>
                <wp:effectExtent l="0" t="0" r="0" b="12065"/>
                <wp:wrapTopAndBottom/>
                <wp:docPr id="39" name="Text Box 39"/>
                <wp:cNvGraphicFramePr/>
                <a:graphic xmlns:a="http://schemas.openxmlformats.org/drawingml/2006/main">
                  <a:graphicData uri="http://schemas.microsoft.com/office/word/2010/wordprocessingShape">
                    <wps:wsp>
                      <wps:cNvSpPr txBox="1"/>
                      <wps:spPr>
                        <a:xfrm>
                          <a:off x="0" y="0"/>
                          <a:ext cx="5424170" cy="635"/>
                        </a:xfrm>
                        <a:prstGeom prst="rect">
                          <a:avLst/>
                        </a:prstGeom>
                        <a:solidFill>
                          <a:prstClr val="white"/>
                        </a:solidFill>
                        <a:ln>
                          <a:noFill/>
                        </a:ln>
                      </wps:spPr>
                      <wps:txbx>
                        <w:txbxContent>
                          <w:p w14:paraId="6893506E" w14:textId="5129C81B" w:rsidR="003F4ADA" w:rsidRPr="003F4ADA" w:rsidRDefault="003F4ADA" w:rsidP="003F4ADA">
                            <w:pPr>
                              <w:pStyle w:val="Caption"/>
                              <w:rPr>
                                <w:b w:val="0"/>
                                <w:bCs/>
                              </w:rPr>
                            </w:pPr>
                            <w:bookmarkStart w:id="292" w:name="_Toc110246950"/>
                            <w:r>
                              <w:t xml:space="preserve">Figure </w:t>
                            </w:r>
                            <w:fldSimple w:instr=" STYLEREF 1 \s ">
                              <w:r w:rsidR="00AC2094">
                                <w:rPr>
                                  <w:noProof/>
                                </w:rPr>
                                <w:t>5</w:t>
                              </w:r>
                            </w:fldSimple>
                            <w:r w:rsidR="00AC2094">
                              <w:noBreakHyphen/>
                            </w:r>
                            <w:fldSimple w:instr=" SEQ Figure \* ARABIC \s 1 ">
                              <w:r w:rsidR="00AC2094">
                                <w:rPr>
                                  <w:noProof/>
                                </w:rPr>
                                <w:t>3</w:t>
                              </w:r>
                            </w:fldSimple>
                            <w:r>
                              <w:t xml:space="preserve">  </w:t>
                            </w:r>
                            <w:r w:rsidRPr="003F4ADA">
                              <w:t>Proteomic and INSeq analyses of fecal samples collected on day 6.</w:t>
                            </w:r>
                            <w:bookmarkEnd w:id="292"/>
                            <w:r w:rsidRPr="003F4ADA">
                              <w:t xml:space="preserve">  </w:t>
                            </w:r>
                            <w:r>
                              <w:rPr>
                                <w:b w:val="0"/>
                                <w:bCs/>
                              </w:rPr>
                              <w:fldChar w:fldCharType="begin"/>
                            </w:r>
                            <w:r>
                              <w:rPr>
                                <w:b w:val="0"/>
                                <w:bCs/>
                              </w:rPr>
                              <w:instrText xml:space="preserve"> </w:instrText>
                            </w:r>
                          </w:p>
                          <w:p w14:paraId="62F3988A" w14:textId="77777777" w:rsidR="003F4ADA" w:rsidRPr="003F4ADA" w:rsidRDefault="003F4ADA" w:rsidP="003F4ADA">
                            <w:pPr>
                              <w:pStyle w:val="Caption"/>
                              <w:rPr>
                                <w:b w:val="0"/>
                                <w:bCs/>
                              </w:rPr>
                            </w:pPr>
                          </w:p>
                          <w:p w14:paraId="43618171" w14:textId="64BB98E6" w:rsidR="003F4ADA" w:rsidRPr="003F4ADA" w:rsidRDefault="003F4ADA" w:rsidP="003F4ADA">
                            <w:pPr>
                              <w:pStyle w:val="Caption"/>
                              <w:rPr>
                                <w:b w:val="0"/>
                                <w:bCs/>
                              </w:rPr>
                            </w:pPr>
                            <w:r>
                              <w:rPr>
                                <w:b w:val="0"/>
                                <w:bCs/>
                              </w:rPr>
                              <w:instrText xml:space="preserve"> </w:instrText>
                            </w:r>
                            <w:r>
                              <w:rPr>
                                <w:b w:val="0"/>
                                <w:bCs/>
                              </w:rPr>
                              <w:fldChar w:fldCharType="end"/>
                            </w:r>
                            <w:r w:rsidRPr="003F4ADA">
                              <w:rPr>
                                <w:b w:val="0"/>
                                <w:bCs/>
                              </w:rPr>
                              <w:fldChar w:fldCharType="begin"/>
                            </w:r>
                            <w:r w:rsidRPr="003F4ADA">
                              <w:rPr>
                                <w:b w:val="0"/>
                                <w:bCs/>
                              </w:rPr>
                              <w:instrText xml:space="preserve"> </w:instrText>
                            </w:r>
                          </w:p>
                          <w:p w14:paraId="0EAF940F" w14:textId="77777777" w:rsidR="003F4ADA" w:rsidRPr="003F4ADA" w:rsidRDefault="003F4ADA" w:rsidP="003F4ADA">
                            <w:pPr>
                              <w:pStyle w:val="Caption"/>
                              <w:rPr>
                                <w:b w:val="0"/>
                                <w:bCs/>
                              </w:rPr>
                            </w:pPr>
                          </w:p>
                          <w:p w14:paraId="00CFCC49" w14:textId="77777777" w:rsidR="003F4ADA" w:rsidRPr="003F4ADA" w:rsidRDefault="003F4ADA" w:rsidP="003F4ADA">
                            <w:pPr>
                              <w:pStyle w:val="Caption"/>
                              <w:rPr>
                                <w:b w:val="0"/>
                                <w:bCs/>
                              </w:rPr>
                            </w:pPr>
                            <w:r w:rsidRPr="003F4ADA">
                              <w:rPr>
                                <w:b w:val="0"/>
                                <w:bCs/>
                              </w:rPr>
                              <w:instrText xml:space="preserve"> </w:instrText>
                            </w:r>
                            <w:r w:rsidRPr="003F4ADA">
                              <w:rPr>
                                <w:b w:val="0"/>
                                <w:bCs/>
                              </w:rPr>
                              <w:fldChar w:fldCharType="end"/>
                            </w:r>
                            <w:bookmarkStart w:id="293" w:name="_Toc107573972"/>
                            <w:r w:rsidRPr="003F4ADA">
                              <w:rPr>
                                <w:b w:val="0"/>
                                <w:bCs/>
                              </w:rPr>
                              <w:t xml:space="preserve">Monotonous feeding of the HiSF-LoFV control diet supplemented with or without pea fiber or citrus pectin to mice colonized with the whole community (A). Genes from </w:t>
                            </w:r>
                            <w:r w:rsidRPr="009916C2">
                              <w:rPr>
                                <w:b w:val="0"/>
                                <w:bCs/>
                                <w:i/>
                                <w:iCs w:val="0"/>
                              </w:rPr>
                              <w:t>B. thetaiotaomicron</w:t>
                            </w:r>
                            <w:r w:rsidRPr="003F4ADA">
                              <w:rPr>
                                <w:b w:val="0"/>
                                <w:bCs/>
                              </w:rPr>
                              <w:t xml:space="preserve"> (B), </w:t>
                            </w:r>
                            <w:r w:rsidRPr="009916C2">
                              <w:rPr>
                                <w:b w:val="0"/>
                                <w:bCs/>
                                <w:i/>
                                <w:iCs w:val="0"/>
                              </w:rPr>
                              <w:t>B. ovatus</w:t>
                            </w:r>
                            <w:r w:rsidRPr="003F4ADA">
                              <w:rPr>
                                <w:b w:val="0"/>
                                <w:bCs/>
                              </w:rPr>
                              <w:t xml:space="preserve"> (C), </w:t>
                            </w:r>
                            <w:r w:rsidRPr="009916C2">
                              <w:rPr>
                                <w:b w:val="0"/>
                                <w:bCs/>
                                <w:i/>
                                <w:iCs w:val="0"/>
                              </w:rPr>
                              <w:t>B. cellulosilyticus</w:t>
                            </w:r>
                            <w:r w:rsidRPr="003F4ADA">
                              <w:rPr>
                                <w:b w:val="0"/>
                                <w:bCs/>
                              </w:rPr>
                              <w:t xml:space="preserve"> (D), and </w:t>
                            </w:r>
                            <w:r w:rsidRPr="009916C2">
                              <w:rPr>
                                <w:b w:val="0"/>
                                <w:bCs/>
                                <w:i/>
                                <w:iCs w:val="0"/>
                              </w:rPr>
                              <w:t>B. vulgatus</w:t>
                            </w:r>
                            <w:r w:rsidRPr="003F4ADA">
                              <w:rPr>
                                <w:b w:val="0"/>
                                <w:bCs/>
                              </w:rPr>
                              <w:t xml:space="preserve"> (E) represented in both the protein dataset and INSeq mutant pool from the pea fiber supplemented diet vs. the control diet.  Genes from </w:t>
                            </w:r>
                            <w:r w:rsidRPr="009916C2">
                              <w:rPr>
                                <w:b w:val="0"/>
                                <w:bCs/>
                                <w:i/>
                                <w:iCs w:val="0"/>
                              </w:rPr>
                              <w:t>B. thetaiotaomicron</w:t>
                            </w:r>
                            <w:r w:rsidRPr="003F4ADA">
                              <w:rPr>
                                <w:b w:val="0"/>
                                <w:bCs/>
                              </w:rPr>
                              <w:t xml:space="preserve"> (F), </w:t>
                            </w:r>
                            <w:r w:rsidRPr="009916C2">
                              <w:rPr>
                                <w:b w:val="0"/>
                                <w:bCs/>
                                <w:i/>
                                <w:iCs w:val="0"/>
                              </w:rPr>
                              <w:t>B. ovatus</w:t>
                            </w:r>
                            <w:r w:rsidRPr="003F4ADA">
                              <w:rPr>
                                <w:b w:val="0"/>
                                <w:bCs/>
                              </w:rPr>
                              <w:t xml:space="preserve"> (G), </w:t>
                            </w:r>
                            <w:r w:rsidRPr="009916C2">
                              <w:rPr>
                                <w:b w:val="0"/>
                                <w:bCs/>
                                <w:i/>
                                <w:iCs w:val="0"/>
                              </w:rPr>
                              <w:t xml:space="preserve">B. cellulosilyticus </w:t>
                            </w:r>
                            <w:r w:rsidRPr="003F4ADA">
                              <w:rPr>
                                <w:b w:val="0"/>
                                <w:bCs/>
                              </w:rPr>
                              <w:t xml:space="preserve">(H), and </w:t>
                            </w:r>
                            <w:r w:rsidRPr="009916C2">
                              <w:rPr>
                                <w:b w:val="0"/>
                                <w:bCs/>
                                <w:i/>
                                <w:iCs w:val="0"/>
                              </w:rPr>
                              <w:t xml:space="preserve">B. vulgatus </w:t>
                            </w:r>
                            <w:r w:rsidRPr="003F4ADA">
                              <w:rPr>
                                <w:b w:val="0"/>
                                <w:bCs/>
                              </w:rPr>
                              <w:t>(I) represented in both the protein dataset and INSeq mutant pool from the citrus pectin supplemented diet vs. the control diet.  All genes found in both the proteomics and INSeq dataset are plotted as gray dots. Colored dots highlight genes that are significantly affected by the supplemented fiber as judged by levels of their protein products or their contribution to fitness; open circles mark the subset of these genes that are encoded by PULs. Genes that are present in predicted arabinan, arabinose, rhamnogalacturonan I, or homogalacturonan-processing PULs are labeled with a PUL number.</w:t>
                            </w:r>
                            <w:bookmarkEnd w:id="29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oel="http://schemas.microsoft.com/office/2019/extlst">
            <w:pict>
              <v:shape w14:anchorId="38437C4E" id="Text Box 39" o:spid="_x0000_s1085" type="#_x0000_t202" style="position:absolute;left:0;text-align:left;margin-left:15pt;margin-top:360.75pt;width:427.1pt;height:.05pt;z-index:25165826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" stroked="f">
                <v:textbox style="mso-fit-shape-to-text:t" inset="0,0,0,0">
                  <w:txbxContent>
                    <w:p w14:paraId="6893506E" w14:textId="5129C81B" w:rsidR="003F4ADA" w:rsidRPr="003F4ADA" w:rsidRDefault="003F4ADA" w:rsidP="003F4ADA">
                      <w:pPr>
                        <w:pStyle w:val="Caption"/>
                        <w:rPr>
                          <w:b w:val="0"/>
                          <w:bCs/>
                        </w:rPr>
                      </w:pPr>
                      <w:bookmarkStart w:id="302" w:name="_Toc110246950"/>
                      <w:r>
                        <w:t xml:space="preserve">Figure </w:t>
                      </w:r>
                      <w:r w:rsidR="00000000">
                        <w:fldChar w:fldCharType="begin"/>
                      </w:r>
                      <w:r w:rsidR="00000000">
                        <w:instrText xml:space="preserve"> STYLEREF 1 \s </w:instrText>
                      </w:r>
                      <w:r w:rsidR="00000000">
                        <w:fldChar w:fldCharType="separate"/>
                      </w:r>
                      <w:r w:rsidR="00AC2094">
                        <w:rPr>
                          <w:noProof/>
                        </w:rPr>
                        <w:t>5</w:t>
                      </w:r>
                      <w:r w:rsidR="00000000">
                        <w:rPr>
                          <w:noProof/>
                        </w:rPr>
                        <w:fldChar w:fldCharType="end"/>
                      </w:r>
                      <w:r w:rsidR="00AC2094">
                        <w:noBreakHyphen/>
                      </w:r>
                      <w:r w:rsidR="00000000">
                        <w:fldChar w:fldCharType="begin"/>
                      </w:r>
                      <w:r w:rsidR="00000000">
                        <w:instrText xml:space="preserve"> SEQ Figure \* ARABIC \s 1 </w:instrText>
                      </w:r>
                      <w:r w:rsidR="00000000">
                        <w:fldChar w:fldCharType="separate"/>
                      </w:r>
                      <w:r w:rsidR="00AC2094">
                        <w:rPr>
                          <w:noProof/>
                        </w:rPr>
                        <w:t>3</w:t>
                      </w:r>
                      <w:r w:rsidR="00000000">
                        <w:rPr>
                          <w:noProof/>
                        </w:rPr>
                        <w:fldChar w:fldCharType="end"/>
                      </w:r>
                      <w:r>
                        <w:t xml:space="preserve">  </w:t>
                      </w:r>
                      <w:r w:rsidRPr="003F4ADA">
                        <w:t>Proteomic and INSeq analyses of fecal samples collected on day 6.</w:t>
                      </w:r>
                      <w:bookmarkEnd w:id="302"/>
                      <w:r w:rsidRPr="003F4ADA">
                        <w:t xml:space="preserve">  </w:t>
                      </w:r>
                      <w:r>
                        <w:rPr>
                          <w:b w:val="0"/>
                          <w:bCs/>
                        </w:rPr>
                        <w:fldChar w:fldCharType="begin"/>
                      </w:r>
                      <w:r>
                        <w:rPr>
                          <w:b w:val="0"/>
                          <w:bCs/>
                        </w:rPr>
                        <w:instrText xml:space="preserve"> </w:instrText>
                      </w:r>
                    </w:p>
                    <w:p w14:paraId="62F3988A" w14:textId="77777777" w:rsidR="003F4ADA" w:rsidRPr="003F4ADA" w:rsidRDefault="003F4ADA" w:rsidP="003F4ADA">
                      <w:pPr>
                        <w:pStyle w:val="Caption"/>
                        <w:rPr>
                          <w:b w:val="0"/>
                          <w:bCs/>
                        </w:rPr>
                      </w:pPr>
                    </w:p>
                    <w:p w14:paraId="43618171" w14:textId="64BB98E6" w:rsidR="003F4ADA" w:rsidRPr="003F4ADA" w:rsidRDefault="003F4ADA" w:rsidP="003F4ADA">
                      <w:pPr>
                        <w:pStyle w:val="Caption"/>
                        <w:rPr>
                          <w:b w:val="0"/>
                          <w:bCs/>
                        </w:rPr>
                      </w:pPr>
                      <w:r>
                        <w:rPr>
                          <w:b w:val="0"/>
                          <w:bCs/>
                        </w:rPr>
                        <w:instrText xml:space="preserve"> </w:instrText>
                      </w:r>
                      <w:r>
                        <w:rPr>
                          <w:b w:val="0"/>
                          <w:bCs/>
                        </w:rPr>
                        <w:fldChar w:fldCharType="end"/>
                      </w:r>
                      <w:r w:rsidRPr="003F4ADA">
                        <w:rPr>
                          <w:b w:val="0"/>
                          <w:bCs/>
                        </w:rPr>
                        <w:fldChar w:fldCharType="begin"/>
                      </w:r>
                      <w:r w:rsidRPr="003F4ADA">
                        <w:rPr>
                          <w:b w:val="0"/>
                          <w:bCs/>
                        </w:rPr>
                        <w:instrText xml:space="preserve"> </w:instrText>
                      </w:r>
                    </w:p>
                    <w:p w14:paraId="0EAF940F" w14:textId="77777777" w:rsidR="003F4ADA" w:rsidRPr="003F4ADA" w:rsidRDefault="003F4ADA" w:rsidP="003F4ADA">
                      <w:pPr>
                        <w:pStyle w:val="Caption"/>
                        <w:rPr>
                          <w:b w:val="0"/>
                          <w:bCs/>
                        </w:rPr>
                      </w:pPr>
                    </w:p>
                    <w:p w14:paraId="00CFCC49" w14:textId="77777777" w:rsidR="003F4ADA" w:rsidRPr="003F4ADA" w:rsidRDefault="003F4ADA" w:rsidP="003F4ADA">
                      <w:pPr>
                        <w:pStyle w:val="Caption"/>
                        <w:rPr>
                          <w:b w:val="0"/>
                          <w:bCs/>
                        </w:rPr>
                      </w:pPr>
                      <w:r w:rsidRPr="003F4ADA">
                        <w:rPr>
                          <w:b w:val="0"/>
                          <w:bCs/>
                        </w:rPr>
                        <w:instrText xml:space="preserve"> </w:instrText>
                      </w:r>
                      <w:r w:rsidRPr="003F4ADA">
                        <w:rPr>
                          <w:b w:val="0"/>
                          <w:bCs/>
                        </w:rPr>
                        <w:fldChar w:fldCharType="end"/>
                      </w:r>
                      <w:bookmarkStart w:id="303" w:name="_Toc107573972"/>
                      <w:r w:rsidRPr="003F4ADA">
                        <w:rPr>
                          <w:b w:val="0"/>
                          <w:bCs/>
                        </w:rPr>
                        <w:t xml:space="preserve">Monotonous feeding of the HiSF-LoFV control diet supplemented with or without pea fiber or citrus pectin to mice colonized with the whole community (A). Genes from </w:t>
                      </w:r>
                      <w:r w:rsidRPr="009916C2">
                        <w:rPr>
                          <w:b w:val="0"/>
                          <w:bCs/>
                          <w:i/>
                          <w:iCs w:val="0"/>
                        </w:rPr>
                        <w:t>B. thetaiotaomicron</w:t>
                      </w:r>
                      <w:r w:rsidRPr="003F4ADA">
                        <w:rPr>
                          <w:b w:val="0"/>
                          <w:bCs/>
                        </w:rPr>
                        <w:t xml:space="preserve"> (B), </w:t>
                      </w:r>
                      <w:r w:rsidRPr="009916C2">
                        <w:rPr>
                          <w:b w:val="0"/>
                          <w:bCs/>
                          <w:i/>
                          <w:iCs w:val="0"/>
                        </w:rPr>
                        <w:t>B. ovatus</w:t>
                      </w:r>
                      <w:r w:rsidRPr="003F4ADA">
                        <w:rPr>
                          <w:b w:val="0"/>
                          <w:bCs/>
                        </w:rPr>
                        <w:t xml:space="preserve"> (C), </w:t>
                      </w:r>
                      <w:r w:rsidRPr="009916C2">
                        <w:rPr>
                          <w:b w:val="0"/>
                          <w:bCs/>
                          <w:i/>
                          <w:iCs w:val="0"/>
                        </w:rPr>
                        <w:t>B. cellulosilyticus</w:t>
                      </w:r>
                      <w:r w:rsidRPr="003F4ADA">
                        <w:rPr>
                          <w:b w:val="0"/>
                          <w:bCs/>
                        </w:rPr>
                        <w:t xml:space="preserve"> (D), and </w:t>
                      </w:r>
                      <w:r w:rsidRPr="009916C2">
                        <w:rPr>
                          <w:b w:val="0"/>
                          <w:bCs/>
                          <w:i/>
                          <w:iCs w:val="0"/>
                        </w:rPr>
                        <w:t>B. vulgatus</w:t>
                      </w:r>
                      <w:r w:rsidRPr="003F4ADA">
                        <w:rPr>
                          <w:b w:val="0"/>
                          <w:bCs/>
                        </w:rPr>
                        <w:t xml:space="preserve"> (E) represented in both the protein dataset and INSeq mutant pool from the pea fiber supplemented diet vs. the control diet.  Genes from </w:t>
                      </w:r>
                      <w:r w:rsidRPr="009916C2">
                        <w:rPr>
                          <w:b w:val="0"/>
                          <w:bCs/>
                          <w:i/>
                          <w:iCs w:val="0"/>
                        </w:rPr>
                        <w:t>B. thetaiotaomicron</w:t>
                      </w:r>
                      <w:r w:rsidRPr="003F4ADA">
                        <w:rPr>
                          <w:b w:val="0"/>
                          <w:bCs/>
                        </w:rPr>
                        <w:t xml:space="preserve"> (F), </w:t>
                      </w:r>
                      <w:r w:rsidRPr="009916C2">
                        <w:rPr>
                          <w:b w:val="0"/>
                          <w:bCs/>
                          <w:i/>
                          <w:iCs w:val="0"/>
                        </w:rPr>
                        <w:t>B. ovatus</w:t>
                      </w:r>
                      <w:r w:rsidRPr="003F4ADA">
                        <w:rPr>
                          <w:b w:val="0"/>
                          <w:bCs/>
                        </w:rPr>
                        <w:t xml:space="preserve"> (G), </w:t>
                      </w:r>
                      <w:r w:rsidRPr="009916C2">
                        <w:rPr>
                          <w:b w:val="0"/>
                          <w:bCs/>
                          <w:i/>
                          <w:iCs w:val="0"/>
                        </w:rPr>
                        <w:t xml:space="preserve">B. cellulosilyticus </w:t>
                      </w:r>
                      <w:r w:rsidRPr="003F4ADA">
                        <w:rPr>
                          <w:b w:val="0"/>
                          <w:bCs/>
                        </w:rPr>
                        <w:t xml:space="preserve">(H), and </w:t>
                      </w:r>
                      <w:r w:rsidRPr="009916C2">
                        <w:rPr>
                          <w:b w:val="0"/>
                          <w:bCs/>
                          <w:i/>
                          <w:iCs w:val="0"/>
                        </w:rPr>
                        <w:t xml:space="preserve">B. vulgatus </w:t>
                      </w:r>
                      <w:r w:rsidRPr="003F4ADA">
                        <w:rPr>
                          <w:b w:val="0"/>
                          <w:bCs/>
                        </w:rPr>
                        <w:t>(I) represented in both the protein dataset and INSeq mutant pool from the citrus pectin supplemented diet vs. the control diet.  All genes found in both the proteomics and INSeq dataset are plotted as gray dots. Colored dots highlight genes that are significantly affected by the supplemented fiber as judged by levels of their protein products or their contribution to fitness; open circles mark the subset of these genes that are encoded by PULs. Genes that are present in predicted arabinan, arabinose, rhamnogalacturonan I, or homogalacturonan-processing PULs are labeled with a PUL number.</w:t>
                      </w:r>
                      <w:bookmarkEnd w:id="303"/>
                    </w:p>
                  </w:txbxContent>
                </v:textbox>
                <w10:wrap type="topAndBottom"/>
              </v:shape>
            </w:pict>
          </mc:Fallback>
        </mc:AlternateContent>
      </w:r>
      <w:r w:rsidRPr="00476931">
        <w:rPr>
          <w:rFonts w:ascii="Times New Roman" w:hAnsi="Times New Roman" w:cs="Times New Roman"/>
          <w:noProof/>
          <w:color w:val="000000" w:themeColor="text1"/>
        </w:rPr>
        <w:drawing>
          <wp:anchor distT="0" distB="0" distL="114300" distR="114300" simplePos="0" relativeHeight="251658261" behindDoc="0" locked="0" layoutInCell="1" allowOverlap="1" wp14:anchorId="5C84D279" wp14:editId="090A91B1">
            <wp:simplePos x="0" y="0"/>
            <wp:positionH relativeFrom="column">
              <wp:posOffset>190500</wp:posOffset>
            </wp:positionH>
            <wp:positionV relativeFrom="paragraph">
              <wp:posOffset>266700</wp:posOffset>
            </wp:positionV>
            <wp:extent cx="5424170" cy="4257675"/>
            <wp:effectExtent l="0" t="0" r="5080" b="9525"/>
            <wp:wrapTopAndBottom/>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424170" cy="4257675"/>
                    </a:xfrm>
                    <a:prstGeom prst="rect">
                      <a:avLst/>
                    </a:prstGeom>
                    <a:noFill/>
                  </pic:spPr>
                </pic:pic>
              </a:graphicData>
            </a:graphic>
            <wp14:sizeRelH relativeFrom="margin">
              <wp14:pctWidth>0</wp14:pctWidth>
            </wp14:sizeRelH>
            <wp14:sizeRelV relativeFrom="margin">
              <wp14:pctHeight>0</wp14:pctHeight>
            </wp14:sizeRelV>
          </wp:anchor>
        </w:drawing>
      </w:r>
      <w:r>
        <w:rPr>
          <w:color w:val="000000" w:themeColor="text1"/>
        </w:rPr>
        <w:br w:type="page"/>
      </w:r>
    </w:p>
    <w:p w14:paraId="282F81F8" w14:textId="12BA469F" w:rsidR="00310878" w:rsidRPr="00476931" w:rsidRDefault="00310878" w:rsidP="003F4ADA">
      <w:pPr>
        <w:ind w:firstLine="0"/>
        <w:rPr>
          <w:color w:val="000000" w:themeColor="text1"/>
        </w:rPr>
      </w:pPr>
      <w:r w:rsidRPr="00476931">
        <w:rPr>
          <w:color w:val="000000" w:themeColor="text1"/>
        </w:rPr>
        <w:t xml:space="preserve">and </w:t>
      </w:r>
      <w:proofErr w:type="spellStart"/>
      <w:r w:rsidRPr="00476931">
        <w:rPr>
          <w:color w:val="000000" w:themeColor="text1"/>
        </w:rPr>
        <w:t>CAZymes</w:t>
      </w:r>
      <w:proofErr w:type="spellEnd"/>
      <w:r w:rsidRPr="00476931">
        <w:rPr>
          <w:b/>
          <w:bCs/>
          <w:color w:val="000000" w:themeColor="text1"/>
        </w:rPr>
        <w:t xml:space="preserve">.  </w:t>
      </w:r>
      <w:r w:rsidRPr="00476931">
        <w:rPr>
          <w:color w:val="000000" w:themeColor="text1"/>
        </w:rPr>
        <w:t>Previous work has shown that</w:t>
      </w:r>
      <w:r w:rsidRPr="00476931">
        <w:rPr>
          <w:b/>
          <w:bCs/>
          <w:color w:val="000000" w:themeColor="text1"/>
        </w:rPr>
        <w:t xml:space="preserve"> </w:t>
      </w:r>
      <w:r w:rsidRPr="00476931">
        <w:rPr>
          <w:color w:val="000000" w:themeColor="text1"/>
        </w:rPr>
        <w:t>regulated expression of PULs allows bacteria to acquire nutrients within the highly competitive gut environment</w:t>
      </w:r>
      <w:sdt>
        <w:sdtPr>
          <w:rPr>
            <w:color w:val="000000"/>
            <w:vertAlign w:val="superscript"/>
          </w:rPr>
          <w:tag w:val="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"/>
          <w:id w:val="311303896"/>
          <w:placeholder>
            <w:docPart w:val="B45FADC50A324E4486C4324FBA958C61"/>
          </w:placeholder>
        </w:sdtPr>
        <w:sdtEndPr/>
        <w:sdtContent>
          <w:r w:rsidR="003204EA" w:rsidRPr="003204EA">
            <w:rPr>
              <w:rFonts w:eastAsia="Times New Roman"/>
              <w:color w:val="000000"/>
              <w:vertAlign w:val="superscript"/>
            </w:rPr>
            <w:t>169,170</w:t>
          </w:r>
        </w:sdtContent>
      </w:sdt>
      <w:r w:rsidRPr="00476931">
        <w:rPr>
          <w:color w:val="000000" w:themeColor="text1"/>
        </w:rPr>
        <w:t>.</w:t>
      </w:r>
    </w:p>
    <w:p w14:paraId="5DAB9B2B" w14:textId="07F20E84" w:rsidR="00B245C6" w:rsidRDefault="00C7280B" w:rsidP="00C7280B">
      <w:pPr>
        <w:rPr>
          <w:color w:val="000000" w:themeColor="text1"/>
        </w:rPr>
      </w:pPr>
      <w:r w:rsidRPr="00476931">
        <w:rPr>
          <w:color w:val="000000" w:themeColor="text1"/>
        </w:rPr>
        <w:t>Analysis of the fiber responsive genes encoded in the PULs showed that each species in the community displayed different carbohydrate prioritizing strategies for the carbohydrates present in pea fiber (arabinan and rhamnogalacturonan I (RGI)) and citrus pectin (galacturonan and starch).  For example, we observed overlapping reliance of arabinan degradation pathways for three organism (</w:t>
      </w:r>
      <w:r w:rsidRPr="00476931">
        <w:rPr>
          <w:i/>
          <w:iCs/>
          <w:color w:val="000000" w:themeColor="text1"/>
        </w:rPr>
        <w:t>B. thetaiotaomicron</w:t>
      </w:r>
      <w:r w:rsidRPr="00476931">
        <w:rPr>
          <w:color w:val="000000" w:themeColor="text1"/>
        </w:rPr>
        <w:t xml:space="preserve">, </w:t>
      </w:r>
      <w:r w:rsidRPr="00476931">
        <w:rPr>
          <w:i/>
          <w:iCs/>
          <w:color w:val="000000" w:themeColor="text1"/>
        </w:rPr>
        <w:t>B. vulgatus</w:t>
      </w:r>
      <w:r w:rsidRPr="00476931">
        <w:rPr>
          <w:color w:val="000000" w:themeColor="text1"/>
        </w:rPr>
        <w:t xml:space="preserve">, and </w:t>
      </w:r>
      <w:r w:rsidRPr="00476931">
        <w:rPr>
          <w:i/>
          <w:iCs/>
          <w:color w:val="000000" w:themeColor="text1"/>
        </w:rPr>
        <w:t>B. cellulosilyticus</w:t>
      </w:r>
      <w:r w:rsidRPr="00476931">
        <w:rPr>
          <w:color w:val="000000" w:themeColor="text1"/>
        </w:rPr>
        <w:t xml:space="preserve">) which indicates that these species might directly </w:t>
      </w:r>
      <w:proofErr w:type="gramStart"/>
      <w:r w:rsidRPr="00476931">
        <w:rPr>
          <w:color w:val="000000" w:themeColor="text1"/>
        </w:rPr>
        <w:t>compete with each other</w:t>
      </w:r>
      <w:proofErr w:type="gramEnd"/>
      <w:r w:rsidRPr="00476931">
        <w:rPr>
          <w:color w:val="000000" w:themeColor="text1"/>
        </w:rPr>
        <w:t xml:space="preserve"> for arabinan.    Competition for nutrients may explain the observed dominance of </w:t>
      </w:r>
      <w:r w:rsidRPr="00476931">
        <w:rPr>
          <w:i/>
          <w:iCs/>
          <w:color w:val="000000" w:themeColor="text1"/>
        </w:rPr>
        <w:t xml:space="preserve">B. cellulosilyticus </w:t>
      </w:r>
      <w:r w:rsidRPr="00476931">
        <w:rPr>
          <w:color w:val="000000" w:themeColor="text1"/>
        </w:rPr>
        <w:t xml:space="preserve">in relative community abundance compared to other </w:t>
      </w:r>
      <w:r w:rsidRPr="00476931">
        <w:rPr>
          <w:i/>
          <w:iCs/>
          <w:color w:val="000000" w:themeColor="text1"/>
        </w:rPr>
        <w:t xml:space="preserve">Bacteroides </w:t>
      </w:r>
      <w:r w:rsidRPr="00476931">
        <w:rPr>
          <w:color w:val="000000" w:themeColor="text1"/>
        </w:rPr>
        <w:t>species with similar PULs encoded in their genomes.</w:t>
      </w:r>
    </w:p>
    <w:p w14:paraId="0566EC88" w14:textId="677EA135" w:rsidR="003F4ADA" w:rsidRDefault="00310878" w:rsidP="00696A3C">
      <w:pPr>
        <w:rPr>
          <w:i/>
          <w:iCs/>
          <w:color w:val="000000" w:themeColor="text1"/>
        </w:rPr>
      </w:pPr>
      <w:r w:rsidRPr="00476931">
        <w:rPr>
          <w:color w:val="000000" w:themeColor="text1"/>
        </w:rPr>
        <w:t xml:space="preserve">To assess </w:t>
      </w:r>
      <w:proofErr w:type="gramStart"/>
      <w:r w:rsidRPr="00476931">
        <w:rPr>
          <w:color w:val="000000" w:themeColor="text1"/>
        </w:rPr>
        <w:t>whether or not</w:t>
      </w:r>
      <w:proofErr w:type="gramEnd"/>
      <w:r w:rsidRPr="00476931">
        <w:rPr>
          <w:color w:val="000000" w:themeColor="text1"/>
        </w:rPr>
        <w:t xml:space="preserve"> </w:t>
      </w:r>
      <w:r w:rsidRPr="00476931">
        <w:rPr>
          <w:i/>
          <w:iCs/>
          <w:color w:val="000000" w:themeColor="text1"/>
        </w:rPr>
        <w:t>B. cellulosilyticus</w:t>
      </w:r>
      <w:r w:rsidRPr="00476931">
        <w:rPr>
          <w:color w:val="000000" w:themeColor="text1"/>
        </w:rPr>
        <w:t xml:space="preserve"> directly competes for pea fiber arabinan, we set up another longitudinal strain-omission experiment </w:t>
      </w:r>
      <w:r w:rsidRPr="00476931">
        <w:rPr>
          <w:b/>
          <w:bCs/>
          <w:color w:val="000000" w:themeColor="text1"/>
        </w:rPr>
        <w:t>(Figure 5</w:t>
      </w:r>
      <w:r w:rsidR="009E08D4">
        <w:rPr>
          <w:b/>
          <w:bCs/>
          <w:color w:val="000000" w:themeColor="text1"/>
        </w:rPr>
        <w:t>-</w:t>
      </w:r>
      <w:r w:rsidRPr="00476931">
        <w:rPr>
          <w:b/>
          <w:bCs/>
          <w:color w:val="000000" w:themeColor="text1"/>
        </w:rPr>
        <w:t>4A).</w:t>
      </w:r>
      <w:r w:rsidRPr="00476931">
        <w:rPr>
          <w:color w:val="000000" w:themeColor="text1"/>
        </w:rPr>
        <w:t xml:space="preserve">  For this experiment we tested for interactions between </w:t>
      </w:r>
      <w:r w:rsidRPr="00476931">
        <w:rPr>
          <w:i/>
          <w:iCs/>
          <w:color w:val="000000" w:themeColor="text1"/>
        </w:rPr>
        <w:t>B. cellulosilyticus</w:t>
      </w:r>
      <w:r w:rsidRPr="00476931">
        <w:rPr>
          <w:color w:val="000000" w:themeColor="text1"/>
        </w:rPr>
        <w:t xml:space="preserve"> and other species by comparing fecal samples from mice colonized with the full community or a derivative community lacking </w:t>
      </w:r>
      <w:r w:rsidRPr="00476931">
        <w:rPr>
          <w:i/>
          <w:iCs/>
          <w:color w:val="000000" w:themeColor="text1"/>
        </w:rPr>
        <w:t>B. cellulosilyticus</w:t>
      </w:r>
      <w:r w:rsidRPr="00476931">
        <w:rPr>
          <w:color w:val="000000" w:themeColor="text1"/>
        </w:rPr>
        <w:t xml:space="preserve">. The abundance of </w:t>
      </w:r>
      <w:r w:rsidRPr="00476931">
        <w:rPr>
          <w:i/>
          <w:iCs/>
          <w:color w:val="000000" w:themeColor="text1"/>
        </w:rPr>
        <w:t>B. thetaiota</w:t>
      </w:r>
      <w:r w:rsidR="00D013FE">
        <w:rPr>
          <w:i/>
          <w:iCs/>
          <w:color w:val="000000" w:themeColor="text1"/>
        </w:rPr>
        <w:t>o</w:t>
      </w:r>
      <w:r w:rsidRPr="00476931">
        <w:rPr>
          <w:i/>
          <w:iCs/>
          <w:color w:val="000000" w:themeColor="text1"/>
        </w:rPr>
        <w:t>micron</w:t>
      </w:r>
      <w:r w:rsidRPr="00476931">
        <w:rPr>
          <w:color w:val="000000" w:themeColor="text1"/>
        </w:rPr>
        <w:t xml:space="preserve"> didn’t increase when </w:t>
      </w:r>
      <w:r w:rsidRPr="00476931">
        <w:rPr>
          <w:i/>
          <w:iCs/>
          <w:color w:val="000000" w:themeColor="text1"/>
        </w:rPr>
        <w:t>B. cellulosilyticus</w:t>
      </w:r>
      <w:r w:rsidRPr="00476931">
        <w:rPr>
          <w:color w:val="000000" w:themeColor="text1"/>
        </w:rPr>
        <w:t xml:space="preserve"> was omitted from the community, suggested these two organisms don’t compete for arabinan </w:t>
      </w:r>
      <w:r w:rsidRPr="00476931">
        <w:rPr>
          <w:b/>
          <w:bCs/>
          <w:color w:val="000000" w:themeColor="text1"/>
        </w:rPr>
        <w:t>(Figure 5</w:t>
      </w:r>
      <w:r w:rsidR="009E08D4">
        <w:rPr>
          <w:b/>
          <w:bCs/>
          <w:color w:val="000000" w:themeColor="text1"/>
        </w:rPr>
        <w:t>-</w:t>
      </w:r>
      <w:r w:rsidRPr="00476931">
        <w:rPr>
          <w:b/>
          <w:bCs/>
          <w:color w:val="000000" w:themeColor="text1"/>
        </w:rPr>
        <w:t>4B).</w:t>
      </w:r>
      <w:r w:rsidRPr="00476931">
        <w:rPr>
          <w:color w:val="000000" w:themeColor="text1"/>
        </w:rPr>
        <w:t xml:space="preserve">  This observation was supported by expression of proteins in </w:t>
      </w:r>
      <w:r w:rsidRPr="00476931">
        <w:rPr>
          <w:i/>
          <w:iCs/>
          <w:color w:val="000000" w:themeColor="text1"/>
        </w:rPr>
        <w:t>B. thetaiotaomicron</w:t>
      </w:r>
      <w:r w:rsidRPr="00476931">
        <w:rPr>
          <w:color w:val="000000" w:themeColor="text1"/>
        </w:rPr>
        <w:t xml:space="preserve"> PUL7 that increased with fiber supplementation did not increase further when </w:t>
      </w:r>
      <w:r w:rsidRPr="00476931">
        <w:rPr>
          <w:i/>
          <w:iCs/>
          <w:color w:val="000000" w:themeColor="text1"/>
        </w:rPr>
        <w:t>B. cellulosilyticus</w:t>
      </w:r>
      <w:r w:rsidRPr="00476931">
        <w:rPr>
          <w:color w:val="000000" w:themeColor="text1"/>
        </w:rPr>
        <w:t xml:space="preserve"> in the absence of </w:t>
      </w:r>
      <w:r w:rsidRPr="00476931">
        <w:rPr>
          <w:i/>
          <w:iCs/>
          <w:color w:val="000000" w:themeColor="text1"/>
        </w:rPr>
        <w:t>B. cellulosilyticus</w:t>
      </w:r>
      <w:r w:rsidRPr="00476931">
        <w:rPr>
          <w:color w:val="000000" w:themeColor="text1"/>
        </w:rPr>
        <w:t xml:space="preserve"> </w:t>
      </w:r>
      <w:r w:rsidRPr="00476931">
        <w:rPr>
          <w:b/>
          <w:bCs/>
          <w:color w:val="000000" w:themeColor="text1"/>
        </w:rPr>
        <w:t>(Figure 5</w:t>
      </w:r>
      <w:r w:rsidR="009E08D4">
        <w:rPr>
          <w:b/>
          <w:bCs/>
          <w:color w:val="000000" w:themeColor="text1"/>
        </w:rPr>
        <w:t>-</w:t>
      </w:r>
      <w:r w:rsidRPr="00476931">
        <w:rPr>
          <w:b/>
          <w:bCs/>
          <w:color w:val="000000" w:themeColor="text1"/>
        </w:rPr>
        <w:t>4C).</w:t>
      </w:r>
      <w:r w:rsidRPr="00476931">
        <w:rPr>
          <w:color w:val="000000" w:themeColor="text1"/>
        </w:rPr>
        <w:t xml:space="preserve">  In contrast, </w:t>
      </w:r>
      <w:r w:rsidRPr="00476931">
        <w:rPr>
          <w:i/>
          <w:iCs/>
          <w:color w:val="000000" w:themeColor="text1"/>
        </w:rPr>
        <w:t>B. vulgatus</w:t>
      </w:r>
      <w:r w:rsidRPr="00476931">
        <w:rPr>
          <w:color w:val="000000" w:themeColor="text1"/>
        </w:rPr>
        <w:t xml:space="preserve"> the only member in the community that was significantly increased in abundance upon pea fiber administration when </w:t>
      </w:r>
      <w:r w:rsidRPr="00476931">
        <w:rPr>
          <w:i/>
          <w:iCs/>
          <w:color w:val="000000" w:themeColor="text1"/>
        </w:rPr>
        <w:t>B. cellulosilyticus</w:t>
      </w:r>
      <w:r w:rsidRPr="00476931">
        <w:rPr>
          <w:color w:val="000000" w:themeColor="text1"/>
        </w:rPr>
        <w:t xml:space="preserve"> was omitted from the community </w:t>
      </w:r>
      <w:r w:rsidRPr="00476931">
        <w:rPr>
          <w:b/>
          <w:bCs/>
          <w:color w:val="000000" w:themeColor="text1"/>
        </w:rPr>
        <w:t xml:space="preserve">(Figure </w:t>
      </w:r>
      <w:r w:rsidR="00697361">
        <w:rPr>
          <w:b/>
          <w:bCs/>
          <w:color w:val="000000" w:themeColor="text1"/>
        </w:rPr>
        <w:t>5-</w:t>
      </w:r>
      <w:r w:rsidRPr="00476931">
        <w:rPr>
          <w:b/>
          <w:bCs/>
          <w:color w:val="000000" w:themeColor="text1"/>
        </w:rPr>
        <w:t>4D).</w:t>
      </w:r>
      <w:r w:rsidRPr="00476931">
        <w:rPr>
          <w:color w:val="000000" w:themeColor="text1"/>
        </w:rPr>
        <w:t xml:space="preserve">   Metaproteomic analysis showed that the abundances of </w:t>
      </w:r>
      <w:r w:rsidRPr="00476931">
        <w:rPr>
          <w:i/>
          <w:iCs/>
          <w:color w:val="000000" w:themeColor="text1"/>
        </w:rPr>
        <w:t xml:space="preserve">B. vulgatus </w:t>
      </w:r>
      <w:r w:rsidRPr="00476931">
        <w:rPr>
          <w:color w:val="000000" w:themeColor="text1"/>
        </w:rPr>
        <w:t xml:space="preserve">arabinose operon and PUL27 encoded proteins were persistently increased with pea fiber administration regardless of </w:t>
      </w:r>
      <w:r w:rsidRPr="00476931">
        <w:rPr>
          <w:i/>
          <w:iCs/>
          <w:color w:val="000000" w:themeColor="text1"/>
        </w:rPr>
        <w:t>B. cellulosilyticus</w:t>
      </w:r>
      <w:r w:rsidRPr="00476931">
        <w:rPr>
          <w:color w:val="000000" w:themeColor="text1"/>
        </w:rPr>
        <w:t xml:space="preserve"> presence </w:t>
      </w:r>
      <w:r w:rsidRPr="00476931">
        <w:rPr>
          <w:b/>
          <w:bCs/>
          <w:color w:val="000000" w:themeColor="text1"/>
        </w:rPr>
        <w:t>(Figure 5</w:t>
      </w:r>
      <w:r w:rsidR="00697361">
        <w:rPr>
          <w:b/>
          <w:bCs/>
          <w:color w:val="000000" w:themeColor="text1"/>
        </w:rPr>
        <w:t>-</w:t>
      </w:r>
      <w:r w:rsidRPr="00476931">
        <w:rPr>
          <w:b/>
          <w:bCs/>
          <w:color w:val="000000" w:themeColor="text1"/>
        </w:rPr>
        <w:t>4E).</w:t>
      </w:r>
      <w:r w:rsidRPr="00476931">
        <w:rPr>
          <w:color w:val="000000" w:themeColor="text1"/>
        </w:rPr>
        <w:t xml:space="preserve">   In total, these results show a negative interaction between </w:t>
      </w:r>
      <w:r w:rsidRPr="00476931">
        <w:rPr>
          <w:i/>
          <w:iCs/>
          <w:color w:val="000000" w:themeColor="text1"/>
        </w:rPr>
        <w:t>B. vulgatus</w:t>
      </w:r>
      <w:r w:rsidRPr="00476931">
        <w:rPr>
          <w:color w:val="000000" w:themeColor="text1"/>
        </w:rPr>
        <w:t xml:space="preserve"> and </w:t>
      </w:r>
      <w:r w:rsidRPr="00476931">
        <w:rPr>
          <w:i/>
          <w:iCs/>
          <w:color w:val="000000" w:themeColor="text1"/>
        </w:rPr>
        <w:t>B. cellulosilyticus</w:t>
      </w:r>
      <w:r w:rsidRPr="00476931">
        <w:rPr>
          <w:color w:val="000000" w:themeColor="text1"/>
        </w:rPr>
        <w:t xml:space="preserve"> and suggest that the suppression of </w:t>
      </w:r>
      <w:r w:rsidRPr="00476931">
        <w:rPr>
          <w:i/>
          <w:iCs/>
          <w:color w:val="000000" w:themeColor="text1"/>
        </w:rPr>
        <w:t>B. vulgatus</w:t>
      </w:r>
      <w:r w:rsidRPr="00476931">
        <w:rPr>
          <w:color w:val="000000" w:themeColor="text1"/>
        </w:rPr>
        <w:t xml:space="preserve"> in the community in the presence of </w:t>
      </w:r>
      <w:r w:rsidRPr="00476931">
        <w:rPr>
          <w:i/>
          <w:iCs/>
          <w:color w:val="000000" w:themeColor="text1"/>
        </w:rPr>
        <w:t>B. cellulosilyticus</w:t>
      </w:r>
      <w:r w:rsidRPr="00476931">
        <w:rPr>
          <w:color w:val="000000" w:themeColor="text1"/>
        </w:rPr>
        <w:t xml:space="preserve"> because of persistent competition between these organisms for arabinan in pea fiber. Competition for arabinan between</w:t>
      </w:r>
      <w:r w:rsidRPr="00476931">
        <w:rPr>
          <w:i/>
          <w:iCs/>
          <w:color w:val="000000" w:themeColor="text1"/>
        </w:rPr>
        <w:t xml:space="preserve"> </w:t>
      </w:r>
    </w:p>
    <w:p w14:paraId="2E4193BF" w14:textId="5127B3F3" w:rsidR="003F4ADA" w:rsidRDefault="003F4ADA">
      <w:pPr>
        <w:spacing w:before="1"/>
        <w:rPr>
          <w:i/>
          <w:iCs/>
          <w:color w:val="000000" w:themeColor="text1"/>
        </w:rPr>
      </w:pPr>
      <w:r>
        <w:rPr>
          <w:noProof/>
        </w:rPr>
        <mc:AlternateContent>
          <mc:Choice Requires="wps">
            <w:drawing>
              <wp:anchor distT="0" distB="0" distL="114300" distR="114300" simplePos="0" relativeHeight="251658264" behindDoc="0" locked="0" layoutInCell="1" allowOverlap="1" wp14:anchorId="1DF05F0C" wp14:editId="7F9FE1E9">
                <wp:simplePos x="0" y="0"/>
                <wp:positionH relativeFrom="column">
                  <wp:posOffset>177800</wp:posOffset>
                </wp:positionH>
                <wp:positionV relativeFrom="paragraph">
                  <wp:posOffset>5320030</wp:posOffset>
                </wp:positionV>
                <wp:extent cx="5054600" cy="635"/>
                <wp:effectExtent l="0" t="0" r="0" b="12065"/>
                <wp:wrapTopAndBottom/>
                <wp:docPr id="41" name="Text Box 41"/>
                <wp:cNvGraphicFramePr/>
                <a:graphic xmlns:a="http://schemas.openxmlformats.org/drawingml/2006/main">
                  <a:graphicData uri="http://schemas.microsoft.com/office/word/2010/wordprocessingShape">
                    <wps:wsp>
                      <wps:cNvSpPr txBox="1"/>
                      <wps:spPr>
                        <a:xfrm>
                          <a:off x="0" y="0"/>
                          <a:ext cx="5054600" cy="635"/>
                        </a:xfrm>
                        <a:prstGeom prst="rect">
                          <a:avLst/>
                        </a:prstGeom>
                        <a:solidFill>
                          <a:prstClr val="white"/>
                        </a:solidFill>
                        <a:ln>
                          <a:noFill/>
                        </a:ln>
                      </wps:spPr>
                      <wps:txbx>
                        <w:txbxContent>
                          <w:p w14:paraId="6C7E4E2A" w14:textId="08E58BDD" w:rsidR="003F4ADA" w:rsidRPr="003F4ADA" w:rsidRDefault="003F4ADA" w:rsidP="003F4ADA">
                            <w:pPr>
                              <w:pStyle w:val="Caption"/>
                              <w:rPr>
                                <w:b w:val="0"/>
                                <w:bCs/>
                              </w:rPr>
                            </w:pPr>
                            <w:bookmarkStart w:id="294" w:name="_Toc110246951"/>
                            <w:r>
                              <w:t xml:space="preserve">Figure </w:t>
                            </w:r>
                            <w:fldSimple w:instr=" STYLEREF 1 \s ">
                              <w:r w:rsidR="00AC2094">
                                <w:rPr>
                                  <w:noProof/>
                                </w:rPr>
                                <w:t>5</w:t>
                              </w:r>
                            </w:fldSimple>
                            <w:r w:rsidR="00AC2094">
                              <w:noBreakHyphen/>
                            </w:r>
                            <w:fldSimple w:instr=" SEQ Figure \* ARABIC \s 1 ">
                              <w:r w:rsidR="00AC2094">
                                <w:rPr>
                                  <w:noProof/>
                                </w:rPr>
                                <w:t>4</w:t>
                              </w:r>
                            </w:fldSimple>
                            <w:r>
                              <w:t xml:space="preserve">  </w:t>
                            </w:r>
                            <w:r w:rsidRPr="003F4ADA">
                              <w:t>Deliberate Manipulation of Community Composition Demonstrates Interspecies Competition for Pea Fiber Arabinan.</w:t>
                            </w:r>
                            <w:bookmarkEnd w:id="294"/>
                            <w:r w:rsidRPr="003F4ADA">
                              <w:t xml:space="preserve">  </w:t>
                            </w:r>
                            <w:r w:rsidRPr="003F4ADA">
                              <w:rPr>
                                <w:b w:val="0"/>
                                <w:bCs/>
                              </w:rPr>
                              <w:fldChar w:fldCharType="begin"/>
                            </w:r>
                            <w:r w:rsidRPr="003F4ADA">
                              <w:rPr>
                                <w:b w:val="0"/>
                                <w:bCs/>
                              </w:rPr>
                              <w:instrText xml:space="preserve"> </w:instrText>
                            </w:r>
                          </w:p>
                          <w:p w14:paraId="44899D6A" w14:textId="77777777" w:rsidR="003F4ADA" w:rsidRPr="003F4ADA" w:rsidRDefault="003F4ADA" w:rsidP="003F4ADA">
                            <w:pPr>
                              <w:pStyle w:val="Caption"/>
                              <w:rPr>
                                <w:b w:val="0"/>
                                <w:bCs/>
                              </w:rPr>
                            </w:pPr>
                          </w:p>
                          <w:p w14:paraId="2245D73B" w14:textId="0E17503F" w:rsidR="003F4ADA" w:rsidRPr="003F4ADA" w:rsidRDefault="003F4ADA" w:rsidP="007D641B">
                            <w:pPr>
                              <w:pStyle w:val="Caption"/>
                              <w:rPr>
                                <w:bCs/>
                                <w:noProof/>
                              </w:rPr>
                            </w:pPr>
                            <w:r w:rsidRPr="003F4ADA">
                              <w:rPr>
                                <w:b w:val="0"/>
                                <w:bCs/>
                              </w:rPr>
                              <w:instrText xml:space="preserve"> </w:instrText>
                            </w:r>
                            <w:r w:rsidRPr="003F4ADA">
                              <w:rPr>
                                <w:b w:val="0"/>
                                <w:bCs/>
                              </w:rPr>
                              <w:fldChar w:fldCharType="end"/>
                            </w:r>
                            <w:bookmarkStart w:id="295" w:name="_Toc107573974"/>
                            <w:r w:rsidRPr="003F4ADA">
                              <w:rPr>
                                <w:b w:val="0"/>
                                <w:bCs/>
                              </w:rPr>
                              <w:t xml:space="preserve">(A) Experimental design for feeding of the HiSF-LoFV control diet supplemented with pea fiber to mice colonized with the full or derivitive community. (B and D) Relative abundance of </w:t>
                            </w:r>
                            <w:r w:rsidRPr="00320C22">
                              <w:rPr>
                                <w:b w:val="0"/>
                                <w:bCs/>
                                <w:i/>
                                <w:iCs w:val="0"/>
                              </w:rPr>
                              <w:t>B. thetaiotaomicron</w:t>
                            </w:r>
                            <w:r w:rsidRPr="003F4ADA">
                              <w:rPr>
                                <w:b w:val="0"/>
                                <w:bCs/>
                              </w:rPr>
                              <w:t xml:space="preserve"> (B) and </w:t>
                            </w:r>
                            <w:r w:rsidRPr="00320C22">
                              <w:rPr>
                                <w:b w:val="0"/>
                                <w:bCs/>
                                <w:i/>
                                <w:iCs w:val="0"/>
                              </w:rPr>
                              <w:t>B. vulgatus</w:t>
                            </w:r>
                            <w:r w:rsidRPr="003F4ADA">
                              <w:rPr>
                                <w:b w:val="0"/>
                                <w:bCs/>
                              </w:rPr>
                              <w:t xml:space="preserve"> (D) in fecal samples. Key: circles, individual mice; lines, mean values; shading, 95% CI (n = 4–10 mice per group). *p &lt; 0.05; (diet-by-community interaction; ANOVA). (C and E) Proteomic results from feces sampled on experimental days 6, 12, 19, and 25. Genes in </w:t>
                            </w:r>
                            <w:r w:rsidRPr="00320C22">
                              <w:rPr>
                                <w:b w:val="0"/>
                                <w:bCs/>
                                <w:i/>
                                <w:iCs w:val="0"/>
                              </w:rPr>
                              <w:t xml:space="preserve">B. thetaiotaomicron </w:t>
                            </w:r>
                            <w:r w:rsidRPr="003F4ADA">
                              <w:rPr>
                                <w:b w:val="0"/>
                                <w:bCs/>
                              </w:rPr>
                              <w:t xml:space="preserve">(C) and </w:t>
                            </w:r>
                            <w:r w:rsidRPr="00320C22">
                              <w:rPr>
                                <w:b w:val="0"/>
                                <w:bCs/>
                                <w:i/>
                                <w:iCs w:val="0"/>
                              </w:rPr>
                              <w:t xml:space="preserve">B. vulgatus </w:t>
                            </w:r>
                            <w:r w:rsidRPr="003F4ADA">
                              <w:rPr>
                                <w:b w:val="0"/>
                                <w:bCs/>
                              </w:rPr>
                              <w:t>(D) PULs of interest are shown along the x axis. Mean values ± SD (vertical shading) for each day are indicated in each of the four columns presented for each protein (n = 5 animals/treatment group). *p &lt; 0.05, fold change &gt; log2(1.2) (HiSF-LoFV + pea fiber versus HiSF-LoFV diet; limma).</w:t>
                            </w:r>
                            <w:bookmarkEnd w:id="29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oel="http://schemas.microsoft.com/office/2019/extlst">
            <w:pict>
              <v:shape w14:anchorId="1DF05F0C" id="Text Box 41" o:spid="_x0000_s1086" type="#_x0000_t202" style="position:absolute;left:0;text-align:left;margin-left:14pt;margin-top:418.9pt;width:398pt;height:.05pt;z-index:251658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" stroked="f">
                <v:textbox style="mso-fit-shape-to-text:t" inset="0,0,0,0">
                  <w:txbxContent>
                    <w:p w14:paraId="6C7E4E2A" w14:textId="08E58BDD" w:rsidR="003F4ADA" w:rsidRPr="003F4ADA" w:rsidRDefault="003F4ADA" w:rsidP="003F4ADA">
                      <w:pPr>
                        <w:pStyle w:val="Caption"/>
                        <w:rPr>
                          <w:b w:val="0"/>
                          <w:bCs/>
                        </w:rPr>
                      </w:pPr>
                      <w:bookmarkStart w:id="306" w:name="_Toc110246951"/>
                      <w:r>
                        <w:t xml:space="preserve">Figure </w:t>
                      </w:r>
                      <w:r w:rsidR="00000000">
                        <w:fldChar w:fldCharType="begin"/>
                      </w:r>
                      <w:r w:rsidR="00000000">
                        <w:instrText xml:space="preserve"> STYLEREF 1 \s </w:instrText>
                      </w:r>
                      <w:r w:rsidR="00000000">
                        <w:fldChar w:fldCharType="separate"/>
                      </w:r>
                      <w:r w:rsidR="00AC2094">
                        <w:rPr>
                          <w:noProof/>
                        </w:rPr>
                        <w:t>5</w:t>
                      </w:r>
                      <w:r w:rsidR="00000000">
                        <w:rPr>
                          <w:noProof/>
                        </w:rPr>
                        <w:fldChar w:fldCharType="end"/>
                      </w:r>
                      <w:r w:rsidR="00AC2094">
                        <w:noBreakHyphen/>
                      </w:r>
                      <w:r w:rsidR="00000000">
                        <w:fldChar w:fldCharType="begin"/>
                      </w:r>
                      <w:r w:rsidR="00000000">
                        <w:instrText xml:space="preserve"> SEQ Figure \* ARABIC \s 1 </w:instrText>
                      </w:r>
                      <w:r w:rsidR="00000000">
                        <w:fldChar w:fldCharType="separate"/>
                      </w:r>
                      <w:r w:rsidR="00AC2094">
                        <w:rPr>
                          <w:noProof/>
                        </w:rPr>
                        <w:t>4</w:t>
                      </w:r>
                      <w:r w:rsidR="00000000">
                        <w:rPr>
                          <w:noProof/>
                        </w:rPr>
                        <w:fldChar w:fldCharType="end"/>
                      </w:r>
                      <w:r>
                        <w:t xml:space="preserve">  </w:t>
                      </w:r>
                      <w:r w:rsidRPr="003F4ADA">
                        <w:t>Deliberate Manipulation of Community Composition Demonstrates Interspecies Competition for Pea Fiber Arabinan.</w:t>
                      </w:r>
                      <w:bookmarkEnd w:id="306"/>
                      <w:r w:rsidRPr="003F4ADA">
                        <w:t xml:space="preserve">  </w:t>
                      </w:r>
                      <w:r w:rsidRPr="003F4ADA">
                        <w:rPr>
                          <w:b w:val="0"/>
                          <w:bCs/>
                        </w:rPr>
                        <w:fldChar w:fldCharType="begin"/>
                      </w:r>
                      <w:r w:rsidRPr="003F4ADA">
                        <w:rPr>
                          <w:b w:val="0"/>
                          <w:bCs/>
                        </w:rPr>
                        <w:instrText xml:space="preserve"> </w:instrText>
                      </w:r>
                    </w:p>
                    <w:p w14:paraId="44899D6A" w14:textId="77777777" w:rsidR="003F4ADA" w:rsidRPr="003F4ADA" w:rsidRDefault="003F4ADA" w:rsidP="003F4ADA">
                      <w:pPr>
                        <w:pStyle w:val="Caption"/>
                        <w:rPr>
                          <w:b w:val="0"/>
                          <w:bCs/>
                        </w:rPr>
                      </w:pPr>
                    </w:p>
                    <w:p w14:paraId="2245D73B" w14:textId="0E17503F" w:rsidR="003F4ADA" w:rsidRPr="003F4ADA" w:rsidRDefault="003F4ADA" w:rsidP="007D641B">
                      <w:pPr>
                        <w:pStyle w:val="Caption"/>
                        <w:rPr>
                          <w:bCs/>
                          <w:noProof/>
                        </w:rPr>
                      </w:pPr>
                      <w:r w:rsidRPr="003F4ADA">
                        <w:rPr>
                          <w:b w:val="0"/>
                          <w:bCs/>
                        </w:rPr>
                        <w:instrText xml:space="preserve"> </w:instrText>
                      </w:r>
                      <w:r w:rsidRPr="003F4ADA">
                        <w:rPr>
                          <w:b w:val="0"/>
                          <w:bCs/>
                        </w:rPr>
                        <w:fldChar w:fldCharType="end"/>
                      </w:r>
                      <w:bookmarkStart w:id="307" w:name="_Toc107573974"/>
                      <w:r w:rsidRPr="003F4ADA">
                        <w:rPr>
                          <w:b w:val="0"/>
                          <w:bCs/>
                        </w:rPr>
                        <w:t xml:space="preserve">(A) Experimental design for feeding of the HiSF-LoFV control diet supplemented with pea fiber to mice colonized with the full or </w:t>
                      </w:r>
                      <w:proofErr w:type="spellStart"/>
                      <w:r w:rsidRPr="003F4ADA">
                        <w:rPr>
                          <w:b w:val="0"/>
                          <w:bCs/>
                        </w:rPr>
                        <w:t>derivitive</w:t>
                      </w:r>
                      <w:proofErr w:type="spellEnd"/>
                      <w:r w:rsidRPr="003F4ADA">
                        <w:rPr>
                          <w:b w:val="0"/>
                          <w:bCs/>
                        </w:rPr>
                        <w:t xml:space="preserve"> community. (B and D) Relative abundance of </w:t>
                      </w:r>
                      <w:r w:rsidRPr="00320C22">
                        <w:rPr>
                          <w:b w:val="0"/>
                          <w:bCs/>
                          <w:i/>
                          <w:iCs w:val="0"/>
                        </w:rPr>
                        <w:t>B. thetaiotaomicron</w:t>
                      </w:r>
                      <w:r w:rsidRPr="003F4ADA">
                        <w:rPr>
                          <w:b w:val="0"/>
                          <w:bCs/>
                        </w:rPr>
                        <w:t xml:space="preserve"> (B) and </w:t>
                      </w:r>
                      <w:r w:rsidRPr="00320C22">
                        <w:rPr>
                          <w:b w:val="0"/>
                          <w:bCs/>
                          <w:i/>
                          <w:iCs w:val="0"/>
                        </w:rPr>
                        <w:t>B. vulgatus</w:t>
                      </w:r>
                      <w:r w:rsidRPr="003F4ADA">
                        <w:rPr>
                          <w:b w:val="0"/>
                          <w:bCs/>
                        </w:rPr>
                        <w:t xml:space="preserve"> (D) in fecal samples. Key: circles, individual mice; lines, mean values; shading, 95% CI (n = 4–10 mice per group). *p &lt; 0.05; (diet-by-community interaction; ANOVA). (C and E) Proteomic results from feces sampled on experimental days 6, 12, 19, and 25. Genes in </w:t>
                      </w:r>
                      <w:r w:rsidRPr="00320C22">
                        <w:rPr>
                          <w:b w:val="0"/>
                          <w:bCs/>
                          <w:i/>
                          <w:iCs w:val="0"/>
                        </w:rPr>
                        <w:t xml:space="preserve">B. thetaiotaomicron </w:t>
                      </w:r>
                      <w:r w:rsidRPr="003F4ADA">
                        <w:rPr>
                          <w:b w:val="0"/>
                          <w:bCs/>
                        </w:rPr>
                        <w:t xml:space="preserve">(C) and </w:t>
                      </w:r>
                      <w:r w:rsidRPr="00320C22">
                        <w:rPr>
                          <w:b w:val="0"/>
                          <w:bCs/>
                          <w:i/>
                          <w:iCs w:val="0"/>
                        </w:rPr>
                        <w:t xml:space="preserve">B. vulgatus </w:t>
                      </w:r>
                      <w:r w:rsidRPr="003F4ADA">
                        <w:rPr>
                          <w:b w:val="0"/>
                          <w:bCs/>
                        </w:rPr>
                        <w:t xml:space="preserve">(D) PULs of interest are shown along the x axis. Mean values ± SD (vertical shading) for each day </w:t>
                      </w:r>
                      <w:proofErr w:type="gramStart"/>
                      <w:r w:rsidRPr="003F4ADA">
                        <w:rPr>
                          <w:b w:val="0"/>
                          <w:bCs/>
                        </w:rPr>
                        <w:t>are</w:t>
                      </w:r>
                      <w:proofErr w:type="gramEnd"/>
                      <w:r w:rsidRPr="003F4ADA">
                        <w:rPr>
                          <w:b w:val="0"/>
                          <w:bCs/>
                        </w:rPr>
                        <w:t xml:space="preserve"> indicated in each of the four columns presented for each protein (n = 5 animals/treatment group). *p &lt; 0.05, fold change &gt; log2(1.2) (HiSF-LoFV + pea fiber versus </w:t>
                      </w:r>
                      <w:proofErr w:type="spellStart"/>
                      <w:r w:rsidRPr="003F4ADA">
                        <w:rPr>
                          <w:b w:val="0"/>
                          <w:bCs/>
                        </w:rPr>
                        <w:t>HiSF-LoFV</w:t>
                      </w:r>
                      <w:proofErr w:type="spellEnd"/>
                      <w:r w:rsidRPr="003F4ADA">
                        <w:rPr>
                          <w:b w:val="0"/>
                          <w:bCs/>
                        </w:rPr>
                        <w:t xml:space="preserve"> diet; </w:t>
                      </w:r>
                      <w:proofErr w:type="spellStart"/>
                      <w:r w:rsidRPr="003F4ADA">
                        <w:rPr>
                          <w:b w:val="0"/>
                          <w:bCs/>
                        </w:rPr>
                        <w:t>limma</w:t>
                      </w:r>
                      <w:proofErr w:type="spellEnd"/>
                      <w:r w:rsidRPr="003F4ADA">
                        <w:rPr>
                          <w:b w:val="0"/>
                          <w:bCs/>
                        </w:rPr>
                        <w:t>).</w:t>
                      </w:r>
                      <w:bookmarkEnd w:id="307"/>
                    </w:p>
                  </w:txbxContent>
                </v:textbox>
                <w10:wrap type="topAndBottom"/>
              </v:shape>
            </w:pict>
          </mc:Fallback>
        </mc:AlternateContent>
      </w:r>
      <w:r w:rsidRPr="00476931">
        <w:rPr>
          <w:b/>
          <w:bCs/>
          <w:noProof/>
        </w:rPr>
        <w:drawing>
          <wp:anchor distT="0" distB="0" distL="114300" distR="114300" simplePos="0" relativeHeight="251658263" behindDoc="0" locked="0" layoutInCell="1" allowOverlap="1" wp14:anchorId="79A4DFCA" wp14:editId="56425691">
            <wp:simplePos x="0" y="0"/>
            <wp:positionH relativeFrom="margin">
              <wp:posOffset>177800</wp:posOffset>
            </wp:positionH>
            <wp:positionV relativeFrom="paragraph">
              <wp:posOffset>88900</wp:posOffset>
            </wp:positionV>
            <wp:extent cx="5054600" cy="5130800"/>
            <wp:effectExtent l="0" t="0" r="0" b="0"/>
            <wp:wrapTopAndBottom/>
            <wp:docPr id="2267" name="Picture 2267"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7" name="Picture 2267" descr="A picture containing diagram&#10;&#10;Description automatically generated"/>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054600" cy="5130800"/>
                    </a:xfrm>
                    <a:prstGeom prst="rect">
                      <a:avLst/>
                    </a:prstGeom>
                    <a:noFill/>
                  </pic:spPr>
                </pic:pic>
              </a:graphicData>
            </a:graphic>
            <wp14:sizeRelH relativeFrom="margin">
              <wp14:pctWidth>0</wp14:pctWidth>
            </wp14:sizeRelH>
            <wp14:sizeRelV relativeFrom="margin">
              <wp14:pctHeight>0</wp14:pctHeight>
            </wp14:sizeRelV>
          </wp:anchor>
        </w:drawing>
      </w:r>
      <w:r>
        <w:rPr>
          <w:i/>
          <w:iCs/>
          <w:color w:val="000000" w:themeColor="text1"/>
        </w:rPr>
        <w:br w:type="page"/>
      </w:r>
    </w:p>
    <w:p w14:paraId="33A765D2" w14:textId="588CD7D9" w:rsidR="00310878" w:rsidRPr="00476931" w:rsidRDefault="00310878" w:rsidP="003F4ADA">
      <w:pPr>
        <w:ind w:firstLine="0"/>
        <w:rPr>
          <w:color w:val="000000" w:themeColor="text1"/>
        </w:rPr>
      </w:pPr>
      <w:r w:rsidRPr="00476931">
        <w:rPr>
          <w:i/>
          <w:iCs/>
          <w:color w:val="000000" w:themeColor="text1"/>
        </w:rPr>
        <w:t xml:space="preserve">B. cellulosilyticus </w:t>
      </w:r>
      <w:r w:rsidRPr="00476931">
        <w:rPr>
          <w:color w:val="000000" w:themeColor="text1"/>
        </w:rPr>
        <w:t xml:space="preserve">and </w:t>
      </w:r>
      <w:r w:rsidRPr="00476931">
        <w:rPr>
          <w:i/>
          <w:iCs/>
          <w:color w:val="000000" w:themeColor="text1"/>
        </w:rPr>
        <w:t>thetaiotaomicron</w:t>
      </w:r>
      <w:r w:rsidRPr="00476931">
        <w:rPr>
          <w:color w:val="000000" w:themeColor="text1"/>
        </w:rPr>
        <w:t xml:space="preserve"> does not suppress B </w:t>
      </w:r>
      <w:r w:rsidRPr="00476931">
        <w:rPr>
          <w:i/>
          <w:iCs/>
          <w:color w:val="000000" w:themeColor="text1"/>
        </w:rPr>
        <w:t>thetaiotaomicron</w:t>
      </w:r>
      <w:r w:rsidRPr="00476931">
        <w:rPr>
          <w:b/>
          <w:bCs/>
          <w:color w:val="000000" w:themeColor="text1"/>
        </w:rPr>
        <w:t xml:space="preserve"> </w:t>
      </w:r>
      <w:r w:rsidRPr="00476931">
        <w:rPr>
          <w:color w:val="000000" w:themeColor="text1"/>
        </w:rPr>
        <w:t xml:space="preserve">abundance in the community when </w:t>
      </w:r>
      <w:r w:rsidRPr="00476931">
        <w:rPr>
          <w:i/>
          <w:iCs/>
          <w:color w:val="000000" w:themeColor="text1"/>
        </w:rPr>
        <w:t>B. cellulosilyticus</w:t>
      </w:r>
      <w:r w:rsidRPr="00476931">
        <w:rPr>
          <w:color w:val="000000" w:themeColor="text1"/>
        </w:rPr>
        <w:t xml:space="preserve"> is present.</w:t>
      </w:r>
    </w:p>
    <w:p w14:paraId="7FCCC78E" w14:textId="2DD7D23C" w:rsidR="00310878" w:rsidRPr="00476931" w:rsidRDefault="00B245C6" w:rsidP="00B245C6">
      <w:pPr>
        <w:rPr>
          <w:color w:val="000000" w:themeColor="text1"/>
        </w:rPr>
      </w:pPr>
      <w:r w:rsidRPr="00476931">
        <w:rPr>
          <w:color w:val="000000" w:themeColor="text1"/>
        </w:rPr>
        <w:tab/>
        <w:t xml:space="preserve">Based on the observation that </w:t>
      </w:r>
      <w:r w:rsidRPr="00476931">
        <w:rPr>
          <w:i/>
          <w:iCs/>
          <w:color w:val="000000" w:themeColor="text1"/>
        </w:rPr>
        <w:t xml:space="preserve">Bacteroides </w:t>
      </w:r>
      <w:r w:rsidRPr="00476931">
        <w:rPr>
          <w:color w:val="000000" w:themeColor="text1"/>
        </w:rPr>
        <w:t xml:space="preserve">species in our community encode PULs in their genomes related to arabinan degradation proteins from these PULs increase in abundance upon pea fiber supplementation we assessed whether absence of </w:t>
      </w:r>
      <w:r w:rsidRPr="00476931">
        <w:rPr>
          <w:i/>
          <w:iCs/>
          <w:color w:val="000000" w:themeColor="text1"/>
        </w:rPr>
        <w:t>B.</w:t>
      </w:r>
      <w:r w:rsidRPr="00476931">
        <w:rPr>
          <w:color w:val="000000" w:themeColor="text1"/>
        </w:rPr>
        <w:t xml:space="preserve"> </w:t>
      </w:r>
      <w:r w:rsidRPr="00476931">
        <w:rPr>
          <w:i/>
          <w:iCs/>
          <w:color w:val="000000" w:themeColor="text1"/>
        </w:rPr>
        <w:t>cellulosilyticus</w:t>
      </w:r>
      <w:r w:rsidRPr="00476931">
        <w:rPr>
          <w:color w:val="000000" w:themeColor="text1"/>
        </w:rPr>
        <w:t xml:space="preserve"> compromised the efficiency of community arabinan utilization. To do this, an </w:t>
      </w:r>
      <w:r w:rsidRPr="00476931">
        <w:rPr>
          <w:i/>
          <w:iCs/>
          <w:color w:val="000000" w:themeColor="text1"/>
        </w:rPr>
        <w:t xml:space="preserve">in vivo </w:t>
      </w:r>
      <w:r w:rsidRPr="00476931">
        <w:rPr>
          <w:color w:val="000000" w:themeColor="text1"/>
        </w:rPr>
        <w:t xml:space="preserve">degradation assay was set up where mice colonized with the full community, or the derivative community were fed pea fiber or arabinoxylan coated beads. Wheat arabinoxylan, composed of 38% arabinose and 62% xylose, was used as one of the experimental controls as it has been demonstrated to support </w:t>
      </w:r>
      <w:r w:rsidRPr="00476931">
        <w:rPr>
          <w:i/>
          <w:iCs/>
          <w:color w:val="000000" w:themeColor="text1"/>
        </w:rPr>
        <w:t>in vitro</w:t>
      </w:r>
      <w:r w:rsidRPr="00476931">
        <w:rPr>
          <w:color w:val="000000" w:themeColor="text1"/>
        </w:rPr>
        <w:t xml:space="preserve"> grown of </w:t>
      </w:r>
      <w:r w:rsidRPr="00476931">
        <w:rPr>
          <w:i/>
          <w:iCs/>
          <w:color w:val="000000" w:themeColor="text1"/>
        </w:rPr>
        <w:t>B. cellulosilyticus</w:t>
      </w:r>
      <w:sdt>
        <w:sdtPr>
          <w:rPr>
            <w:color w:val="000000"/>
            <w:vertAlign w:val="superscript"/>
          </w:rPr>
          <w:tag w:val="MENDELEY_CITATION_v3_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"/>
          <w:id w:val="-1198858161"/>
          <w:placeholder>
            <w:docPart w:val="A851240765080441A54949AC4D223B93"/>
          </w:placeholder>
        </w:sdtPr>
        <w:sdtEndPr/>
        <w:sdtContent>
          <w:r w:rsidR="003204EA" w:rsidRPr="003204EA">
            <w:rPr>
              <w:rFonts w:eastAsia="Times New Roman"/>
              <w:color w:val="000000"/>
              <w:vertAlign w:val="superscript"/>
            </w:rPr>
            <w:t>171</w:t>
          </w:r>
        </w:sdtContent>
      </w:sdt>
      <w:r w:rsidRPr="00476931">
        <w:rPr>
          <w:color w:val="000000" w:themeColor="text1"/>
        </w:rPr>
        <w:t xml:space="preserve"> but not </w:t>
      </w:r>
      <w:r w:rsidRPr="00476931">
        <w:rPr>
          <w:i/>
          <w:iCs/>
          <w:color w:val="000000" w:themeColor="text1"/>
        </w:rPr>
        <w:t>B. vulgatus</w:t>
      </w:r>
      <w:sdt>
        <w:sdtPr>
          <w:rPr>
            <w:iCs/>
            <w:color w:val="000000"/>
            <w:vertAlign w:val="superscript"/>
          </w:rPr>
          <w:tag w:val="MENDELEY_CITATION_v3_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"/>
          <w:id w:val="1358851163"/>
          <w:placeholder>
            <w:docPart w:val="A851240765080441A54949AC4D223B93"/>
          </w:placeholder>
        </w:sdtPr>
        <w:sdtEndPr/>
        <w:sdtContent>
          <w:r w:rsidR="003204EA" w:rsidRPr="003204EA">
            <w:rPr>
              <w:rFonts w:eastAsia="Times New Roman"/>
              <w:color w:val="000000"/>
              <w:vertAlign w:val="superscript"/>
            </w:rPr>
            <w:t>172</w:t>
          </w:r>
        </w:sdtContent>
      </w:sdt>
      <w:r w:rsidRPr="00476931">
        <w:rPr>
          <w:color w:val="000000" w:themeColor="text1"/>
        </w:rPr>
        <w:t xml:space="preserve">. Analysis of the beads recovered from </w:t>
      </w:r>
      <w:r w:rsidR="00C7280B" w:rsidRPr="00476931">
        <w:rPr>
          <w:color w:val="000000" w:themeColor="text1"/>
        </w:rPr>
        <w:t xml:space="preserve">the </w:t>
      </w:r>
      <w:proofErr w:type="gramStart"/>
      <w:r w:rsidR="00C7280B" w:rsidRPr="00476931">
        <w:rPr>
          <w:color w:val="000000" w:themeColor="text1"/>
        </w:rPr>
        <w:t>cecal</w:t>
      </w:r>
      <w:proofErr w:type="gramEnd"/>
      <w:r w:rsidR="00C7280B" w:rsidRPr="00476931">
        <w:rPr>
          <w:color w:val="000000" w:themeColor="text1"/>
        </w:rPr>
        <w:t xml:space="preserve"> and colonic contents of the mice showed that the presence of </w:t>
      </w:r>
      <w:r w:rsidR="00C7280B" w:rsidRPr="00476931">
        <w:rPr>
          <w:i/>
          <w:iCs/>
          <w:color w:val="000000" w:themeColor="text1"/>
        </w:rPr>
        <w:t>B.</w:t>
      </w:r>
      <w:r w:rsidR="00C7280B" w:rsidRPr="00476931">
        <w:rPr>
          <w:color w:val="000000" w:themeColor="text1"/>
        </w:rPr>
        <w:t xml:space="preserve"> </w:t>
      </w:r>
      <w:r w:rsidR="00C7280B" w:rsidRPr="00476931">
        <w:rPr>
          <w:i/>
          <w:iCs/>
          <w:color w:val="000000" w:themeColor="text1"/>
        </w:rPr>
        <w:t xml:space="preserve">cellulosilyticus </w:t>
      </w:r>
      <w:r w:rsidR="00C7280B" w:rsidRPr="00476931">
        <w:rPr>
          <w:color w:val="000000" w:themeColor="text1"/>
        </w:rPr>
        <w:t xml:space="preserve">did not impact the level of community pea fiber degradation.  In contrast, the capacity of the community to process arabinoxylan decreased in the absence of </w:t>
      </w:r>
      <w:r w:rsidR="00C7280B" w:rsidRPr="00476931">
        <w:rPr>
          <w:i/>
          <w:iCs/>
          <w:color w:val="000000" w:themeColor="text1"/>
        </w:rPr>
        <w:t>B.</w:t>
      </w:r>
      <w:r w:rsidR="00C7280B" w:rsidRPr="00476931">
        <w:rPr>
          <w:color w:val="000000" w:themeColor="text1"/>
        </w:rPr>
        <w:t xml:space="preserve"> </w:t>
      </w:r>
      <w:r w:rsidR="00C7280B" w:rsidRPr="00476931">
        <w:rPr>
          <w:i/>
          <w:iCs/>
          <w:color w:val="000000" w:themeColor="text1"/>
        </w:rPr>
        <w:t xml:space="preserve">cellulosilyticus. </w:t>
      </w:r>
      <w:r w:rsidR="00C7280B" w:rsidRPr="00476931">
        <w:rPr>
          <w:color w:val="000000" w:themeColor="text1"/>
        </w:rPr>
        <w:t xml:space="preserve">This result was confounding as </w:t>
      </w:r>
      <w:r w:rsidR="00C7280B" w:rsidRPr="00476931">
        <w:rPr>
          <w:i/>
          <w:iCs/>
          <w:color w:val="000000" w:themeColor="text1"/>
        </w:rPr>
        <w:t>B. ovatus</w:t>
      </w:r>
      <w:r w:rsidR="00C7280B" w:rsidRPr="00476931">
        <w:rPr>
          <w:color w:val="000000" w:themeColor="text1"/>
        </w:rPr>
        <w:t xml:space="preserve"> is significantly expanded in the community when </w:t>
      </w:r>
      <w:r w:rsidR="00C7280B" w:rsidRPr="00476931">
        <w:rPr>
          <w:i/>
          <w:iCs/>
          <w:color w:val="000000" w:themeColor="text1"/>
        </w:rPr>
        <w:t>B.</w:t>
      </w:r>
      <w:r w:rsidR="00C7280B" w:rsidRPr="00476931">
        <w:rPr>
          <w:color w:val="000000" w:themeColor="text1"/>
        </w:rPr>
        <w:t xml:space="preserve"> </w:t>
      </w:r>
      <w:r w:rsidR="00C7280B" w:rsidRPr="00476931">
        <w:rPr>
          <w:i/>
          <w:iCs/>
          <w:color w:val="000000" w:themeColor="text1"/>
        </w:rPr>
        <w:t>cellulosilyticus</w:t>
      </w:r>
      <w:r w:rsidR="00C7280B" w:rsidRPr="00476931">
        <w:rPr>
          <w:color w:val="000000" w:themeColor="text1"/>
        </w:rPr>
        <w:t xml:space="preserve"> is omitted. </w:t>
      </w:r>
      <w:r w:rsidR="00C7280B" w:rsidRPr="00476931">
        <w:rPr>
          <w:i/>
          <w:iCs/>
          <w:color w:val="000000" w:themeColor="text1"/>
        </w:rPr>
        <w:t>B. ovatus</w:t>
      </w:r>
      <w:r w:rsidR="00C7280B" w:rsidRPr="00476931">
        <w:rPr>
          <w:color w:val="000000" w:themeColor="text1"/>
        </w:rPr>
        <w:t xml:space="preserve"> which </w:t>
      </w:r>
      <w:r w:rsidR="00310878" w:rsidRPr="00476931">
        <w:rPr>
          <w:color w:val="000000" w:themeColor="text1"/>
        </w:rPr>
        <w:t xml:space="preserve">encodes PULs involved in the degradation of arabinoxylan, so it is interesting that the increased abundance of this organism did not rescue arabinoxylan in the derivative community. This suggests </w:t>
      </w:r>
      <w:r w:rsidR="00310878" w:rsidRPr="00476931">
        <w:rPr>
          <w:i/>
          <w:iCs/>
          <w:color w:val="000000" w:themeColor="text1"/>
        </w:rPr>
        <w:t>B.</w:t>
      </w:r>
      <w:r w:rsidR="00310878" w:rsidRPr="00476931">
        <w:rPr>
          <w:color w:val="000000" w:themeColor="text1"/>
        </w:rPr>
        <w:t xml:space="preserve"> </w:t>
      </w:r>
      <w:r w:rsidR="00310878" w:rsidRPr="00476931">
        <w:rPr>
          <w:i/>
          <w:iCs/>
          <w:color w:val="000000" w:themeColor="text1"/>
        </w:rPr>
        <w:t>cellulosilyticus</w:t>
      </w:r>
      <w:r w:rsidR="00310878" w:rsidRPr="00476931">
        <w:rPr>
          <w:color w:val="000000" w:themeColor="text1"/>
        </w:rPr>
        <w:t xml:space="preserve"> and </w:t>
      </w:r>
      <w:r w:rsidR="00310878" w:rsidRPr="00476931">
        <w:rPr>
          <w:i/>
          <w:iCs/>
          <w:color w:val="000000" w:themeColor="text1"/>
        </w:rPr>
        <w:t>B.</w:t>
      </w:r>
      <w:r w:rsidR="00310878" w:rsidRPr="00476931">
        <w:rPr>
          <w:color w:val="000000" w:themeColor="text1"/>
        </w:rPr>
        <w:t xml:space="preserve"> </w:t>
      </w:r>
      <w:r w:rsidR="00310878" w:rsidRPr="00476931">
        <w:rPr>
          <w:i/>
          <w:iCs/>
          <w:color w:val="000000" w:themeColor="text1"/>
        </w:rPr>
        <w:t xml:space="preserve">ovatus </w:t>
      </w:r>
      <w:r w:rsidR="00310878" w:rsidRPr="00476931">
        <w:rPr>
          <w:color w:val="000000" w:themeColor="text1"/>
        </w:rPr>
        <w:t xml:space="preserve">may </w:t>
      </w:r>
      <w:r w:rsidR="00D013FE" w:rsidRPr="00476931">
        <w:rPr>
          <w:color w:val="000000" w:themeColor="text1"/>
        </w:rPr>
        <w:t>exhibit</w:t>
      </w:r>
      <w:r w:rsidR="00310878" w:rsidRPr="00476931">
        <w:rPr>
          <w:color w:val="000000" w:themeColor="text1"/>
        </w:rPr>
        <w:t xml:space="preserve"> a different nutrient harvesting relationship compared to the direct compet</w:t>
      </w:r>
      <w:r w:rsidR="00D013FE">
        <w:rPr>
          <w:color w:val="000000" w:themeColor="text1"/>
        </w:rPr>
        <w:t>it</w:t>
      </w:r>
      <w:r w:rsidR="00310878" w:rsidRPr="00476931">
        <w:rPr>
          <w:color w:val="000000" w:themeColor="text1"/>
        </w:rPr>
        <w:t xml:space="preserve">ion for arabinan observed between </w:t>
      </w:r>
      <w:r w:rsidR="00310878" w:rsidRPr="00476931">
        <w:rPr>
          <w:i/>
          <w:iCs/>
          <w:color w:val="000000" w:themeColor="text1"/>
        </w:rPr>
        <w:t>B.</w:t>
      </w:r>
      <w:r w:rsidR="00310878" w:rsidRPr="00476931">
        <w:rPr>
          <w:color w:val="000000" w:themeColor="text1"/>
        </w:rPr>
        <w:t xml:space="preserve"> </w:t>
      </w:r>
      <w:r w:rsidR="00310878" w:rsidRPr="00476931">
        <w:rPr>
          <w:i/>
          <w:iCs/>
          <w:color w:val="000000" w:themeColor="text1"/>
        </w:rPr>
        <w:t xml:space="preserve">cellulosilyticus </w:t>
      </w:r>
      <w:r w:rsidR="00310878" w:rsidRPr="00476931">
        <w:rPr>
          <w:color w:val="000000" w:themeColor="text1"/>
        </w:rPr>
        <w:t xml:space="preserve">and </w:t>
      </w:r>
      <w:r w:rsidR="00310878" w:rsidRPr="00476931">
        <w:rPr>
          <w:i/>
          <w:iCs/>
          <w:color w:val="000000" w:themeColor="text1"/>
        </w:rPr>
        <w:t>B. vulgatus.</w:t>
      </w:r>
    </w:p>
    <w:p w14:paraId="6E108CB7" w14:textId="66F267EA" w:rsidR="00310878" w:rsidRPr="00476931" w:rsidRDefault="00310878" w:rsidP="00696A3C">
      <w:pPr>
        <w:rPr>
          <w:color w:val="000000" w:themeColor="text1"/>
        </w:rPr>
      </w:pPr>
      <w:r w:rsidRPr="00476931">
        <w:rPr>
          <w:color w:val="000000" w:themeColor="text1"/>
        </w:rPr>
        <w:tab/>
        <w:t xml:space="preserve">To test this potential interspecies relationship, another experiment was set up for metaproteomic analysis of PUL protein expression in the organisms </w:t>
      </w:r>
      <w:r w:rsidRPr="00476931">
        <w:rPr>
          <w:b/>
          <w:bCs/>
          <w:color w:val="000000" w:themeColor="text1"/>
        </w:rPr>
        <w:t>(Figure 5</w:t>
      </w:r>
      <w:r w:rsidR="00697361">
        <w:rPr>
          <w:b/>
          <w:bCs/>
          <w:color w:val="000000" w:themeColor="text1"/>
        </w:rPr>
        <w:t>-</w:t>
      </w:r>
      <w:r w:rsidRPr="00476931">
        <w:rPr>
          <w:b/>
          <w:bCs/>
          <w:color w:val="000000" w:themeColor="text1"/>
        </w:rPr>
        <w:t xml:space="preserve">5A).  </w:t>
      </w:r>
      <w:r w:rsidRPr="00476931">
        <w:rPr>
          <w:color w:val="000000" w:themeColor="text1"/>
        </w:rPr>
        <w:t xml:space="preserve">As arabinoxylan is present in the HiSF-LoFV diet, no additional fiber supplementation was necessary.  Fecal samples collected from mice colonized with the full community were compared to two derivative communities; the first community lacked </w:t>
      </w:r>
      <w:r w:rsidRPr="00476931">
        <w:rPr>
          <w:i/>
          <w:iCs/>
          <w:color w:val="000000" w:themeColor="text1"/>
        </w:rPr>
        <w:t>B.</w:t>
      </w:r>
      <w:r w:rsidRPr="00476931">
        <w:rPr>
          <w:color w:val="000000" w:themeColor="text1"/>
        </w:rPr>
        <w:t xml:space="preserve"> </w:t>
      </w:r>
      <w:r w:rsidRPr="00476931">
        <w:rPr>
          <w:i/>
          <w:iCs/>
          <w:color w:val="000000" w:themeColor="text1"/>
        </w:rPr>
        <w:t xml:space="preserve">cellulosilyticus </w:t>
      </w:r>
      <w:r w:rsidRPr="00476931">
        <w:rPr>
          <w:color w:val="000000" w:themeColor="text1"/>
        </w:rPr>
        <w:t xml:space="preserve">(a potential competitor for arabinoxylan) and the second community lacked </w:t>
      </w:r>
      <w:r w:rsidRPr="00476931">
        <w:rPr>
          <w:i/>
          <w:iCs/>
          <w:color w:val="000000" w:themeColor="text1"/>
        </w:rPr>
        <w:t xml:space="preserve">B. vulgatus </w:t>
      </w:r>
      <w:r w:rsidRPr="00476931">
        <w:rPr>
          <w:color w:val="000000" w:themeColor="text1"/>
        </w:rPr>
        <w:t xml:space="preserve">(an organism unable to process arabinoxylan). </w:t>
      </w:r>
    </w:p>
    <w:p w14:paraId="4F2F8829" w14:textId="77777777" w:rsidR="003F4ADA" w:rsidRDefault="00310878" w:rsidP="00703115">
      <w:r w:rsidRPr="00476931">
        <w:tab/>
      </w:r>
      <w:r w:rsidRPr="00476931">
        <w:rPr>
          <w:i/>
          <w:iCs/>
        </w:rPr>
        <w:t>B. ovatus</w:t>
      </w:r>
      <w:r w:rsidRPr="00476931">
        <w:t xml:space="preserve"> showed persistently increased abundance when </w:t>
      </w:r>
      <w:r w:rsidRPr="00476931">
        <w:rPr>
          <w:i/>
          <w:iCs/>
        </w:rPr>
        <w:t>B.</w:t>
      </w:r>
      <w:r w:rsidRPr="00476931">
        <w:t xml:space="preserve"> </w:t>
      </w:r>
      <w:r w:rsidRPr="00476931">
        <w:rPr>
          <w:i/>
          <w:iCs/>
        </w:rPr>
        <w:t>cellulosilyticus</w:t>
      </w:r>
      <w:r w:rsidRPr="00476931">
        <w:t xml:space="preserve"> was absent, but not difference in abundance between the full community and the </w:t>
      </w:r>
    </w:p>
    <w:p w14:paraId="4FCD1237" w14:textId="77777777" w:rsidR="003F4ADA" w:rsidRDefault="003F4ADA" w:rsidP="003F4ADA">
      <w:pPr>
        <w:pStyle w:val="BodyText"/>
        <w:keepNext/>
      </w:pPr>
      <w:r w:rsidRPr="00476931">
        <w:rPr>
          <w:noProof/>
        </w:rPr>
        <w:drawing>
          <wp:inline distT="0" distB="0" distL="0" distR="0" wp14:anchorId="60EBFFD4" wp14:editId="58C240A8">
            <wp:extent cx="5253317" cy="3657600"/>
            <wp:effectExtent l="0" t="0" r="5080" b="0"/>
            <wp:docPr id="2304" name="Picture 230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4" name="Picture 2304" descr="Graphical user interface&#10;&#10;Description automatically generated"/>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298219" cy="3688863"/>
                    </a:xfrm>
                    <a:prstGeom prst="rect">
                      <a:avLst/>
                    </a:prstGeom>
                    <a:noFill/>
                  </pic:spPr>
                </pic:pic>
              </a:graphicData>
            </a:graphic>
          </wp:inline>
        </w:drawing>
      </w:r>
    </w:p>
    <w:p w14:paraId="51074ADA" w14:textId="3CFDFB68" w:rsidR="003F4ADA" w:rsidRPr="003F4ADA" w:rsidRDefault="003F4ADA" w:rsidP="003F4ADA">
      <w:pPr>
        <w:pStyle w:val="Caption"/>
        <w:rPr>
          <w:b w:val="0"/>
          <w:bCs/>
        </w:rPr>
      </w:pPr>
      <w:bookmarkStart w:id="296" w:name="_Toc110246952"/>
      <w:r>
        <w:t xml:space="preserve">Figure </w:t>
      </w:r>
      <w:fldSimple w:instr=" STYLEREF 1 \s ">
        <w:r w:rsidR="00AC2094">
          <w:rPr>
            <w:noProof/>
          </w:rPr>
          <w:t>5</w:t>
        </w:r>
      </w:fldSimple>
      <w:r w:rsidR="00AC2094">
        <w:noBreakHyphen/>
      </w:r>
      <w:fldSimple w:instr=" SEQ Figure \* ARABIC \s 1 ">
        <w:r w:rsidR="00AC2094">
          <w:rPr>
            <w:noProof/>
          </w:rPr>
          <w:t>5</w:t>
        </w:r>
      </w:fldSimple>
      <w:r>
        <w:t xml:space="preserve">  </w:t>
      </w:r>
      <w:r w:rsidRPr="003F4ADA">
        <w:t>Detecting Acclimation to the Presence of a Potential Competitor Using Proteomics.</w:t>
      </w:r>
      <w:bookmarkEnd w:id="296"/>
      <w:r w:rsidRPr="003F4ADA">
        <w:t xml:space="preserve">  </w:t>
      </w:r>
      <w:r w:rsidRPr="003F4ADA">
        <w:rPr>
          <w:b w:val="0"/>
          <w:bCs/>
        </w:rPr>
        <w:fldChar w:fldCharType="begin"/>
      </w:r>
      <w:r w:rsidRPr="003F4ADA">
        <w:rPr>
          <w:b w:val="0"/>
          <w:bCs/>
        </w:rPr>
        <w:instrText xml:space="preserve"> </w:instrText>
      </w:r>
    </w:p>
    <w:p w14:paraId="72155CEC" w14:textId="77777777" w:rsidR="003F4ADA" w:rsidRPr="003F4ADA" w:rsidRDefault="003F4ADA" w:rsidP="003F4ADA">
      <w:pPr>
        <w:pStyle w:val="Caption"/>
        <w:rPr>
          <w:b w:val="0"/>
          <w:bCs/>
        </w:rPr>
      </w:pPr>
    </w:p>
    <w:p w14:paraId="65F84A17" w14:textId="240B5BE7" w:rsidR="003F4ADA" w:rsidRPr="003F4ADA" w:rsidRDefault="003F4ADA" w:rsidP="003F4ADA">
      <w:pPr>
        <w:pStyle w:val="Caption"/>
        <w:rPr>
          <w:b w:val="0"/>
          <w:bCs/>
        </w:rPr>
      </w:pPr>
      <w:r w:rsidRPr="003F4ADA">
        <w:rPr>
          <w:b w:val="0"/>
          <w:bCs/>
        </w:rPr>
        <w:instrText xml:space="preserve"> </w:instrText>
      </w:r>
      <w:r w:rsidRPr="003F4ADA">
        <w:rPr>
          <w:b w:val="0"/>
          <w:bCs/>
        </w:rPr>
        <w:fldChar w:fldCharType="end"/>
      </w:r>
      <w:r w:rsidRPr="003F4ADA">
        <w:rPr>
          <w:b w:val="0"/>
          <w:bCs/>
        </w:rPr>
        <w:fldChar w:fldCharType="begin"/>
      </w:r>
      <w:r w:rsidRPr="003F4ADA">
        <w:rPr>
          <w:b w:val="0"/>
          <w:bCs/>
        </w:rPr>
        <w:instrText xml:space="preserve"> </w:instrText>
      </w:r>
    </w:p>
    <w:p w14:paraId="013F4474" w14:textId="77777777" w:rsidR="003F4ADA" w:rsidRPr="003F4ADA" w:rsidRDefault="003F4ADA" w:rsidP="003F4ADA">
      <w:pPr>
        <w:pStyle w:val="Caption"/>
        <w:rPr>
          <w:b w:val="0"/>
          <w:bCs/>
        </w:rPr>
      </w:pPr>
    </w:p>
    <w:p w14:paraId="7331BF6C" w14:textId="77777777" w:rsidR="003F4ADA" w:rsidRPr="003F4ADA" w:rsidRDefault="003F4ADA" w:rsidP="003F4ADA">
      <w:pPr>
        <w:pStyle w:val="Caption"/>
        <w:rPr>
          <w:b w:val="0"/>
          <w:bCs/>
        </w:rPr>
      </w:pPr>
      <w:r w:rsidRPr="003F4ADA">
        <w:rPr>
          <w:b w:val="0"/>
          <w:bCs/>
        </w:rPr>
        <w:instrText xml:space="preserve"> </w:instrText>
      </w:r>
      <w:r w:rsidRPr="003F4ADA">
        <w:rPr>
          <w:b w:val="0"/>
          <w:bCs/>
        </w:rPr>
        <w:fldChar w:fldCharType="end"/>
      </w:r>
      <w:r w:rsidRPr="003F4ADA">
        <w:rPr>
          <w:b w:val="0"/>
          <w:bCs/>
        </w:rPr>
        <w:fldChar w:fldCharType="begin"/>
      </w:r>
      <w:r w:rsidRPr="003F4ADA">
        <w:rPr>
          <w:b w:val="0"/>
          <w:bCs/>
        </w:rPr>
        <w:instrText xml:space="preserve"> </w:instrText>
      </w:r>
    </w:p>
    <w:p w14:paraId="568995A9" w14:textId="77777777" w:rsidR="003F4ADA" w:rsidRPr="003F4ADA" w:rsidRDefault="003F4ADA" w:rsidP="003F4ADA">
      <w:pPr>
        <w:pStyle w:val="Caption"/>
        <w:rPr>
          <w:b w:val="0"/>
          <w:bCs/>
        </w:rPr>
      </w:pPr>
    </w:p>
    <w:p w14:paraId="773F4A56" w14:textId="77777777" w:rsidR="003F4ADA" w:rsidRPr="003F4ADA" w:rsidRDefault="003F4ADA" w:rsidP="003F4ADA">
      <w:pPr>
        <w:pStyle w:val="Caption"/>
        <w:rPr>
          <w:b w:val="0"/>
          <w:bCs/>
        </w:rPr>
      </w:pPr>
      <w:r w:rsidRPr="003F4ADA">
        <w:rPr>
          <w:b w:val="0"/>
          <w:bCs/>
        </w:rPr>
        <w:instrText xml:space="preserve"> </w:instrText>
      </w:r>
      <w:r w:rsidRPr="003F4ADA">
        <w:rPr>
          <w:b w:val="0"/>
          <w:bCs/>
        </w:rPr>
        <w:fldChar w:fldCharType="end"/>
      </w:r>
      <w:bookmarkStart w:id="297" w:name="_Toc107573976"/>
      <w:r w:rsidRPr="003F4ADA">
        <w:rPr>
          <w:b w:val="0"/>
          <w:bCs/>
        </w:rPr>
        <w:t xml:space="preserve">(A) Experimental design monotonous feeding of the HiSF-LoFV control diet to mice colonized with the whole community or derivative communities.  (B) Relative abundance of </w:t>
      </w:r>
      <w:r w:rsidRPr="00BF0A5A">
        <w:rPr>
          <w:b w:val="0"/>
          <w:bCs/>
          <w:i/>
          <w:iCs w:val="0"/>
        </w:rPr>
        <w:t xml:space="preserve">B. ovatus </w:t>
      </w:r>
      <w:r w:rsidRPr="003F4ADA">
        <w:rPr>
          <w:b w:val="0"/>
          <w:bCs/>
        </w:rPr>
        <w:t xml:space="preserve">in fecal samples from gnotobiotic mice harboring derivatives of the full community. Mice received the control HiSF-LoFV diet in the presence (gray closed circles) or absence of </w:t>
      </w:r>
      <w:r w:rsidRPr="00BF0A5A">
        <w:rPr>
          <w:b w:val="0"/>
          <w:bCs/>
          <w:i/>
          <w:iCs w:val="0"/>
        </w:rPr>
        <w:t>B. cellulosilyticus</w:t>
      </w:r>
      <w:r w:rsidRPr="003F4ADA">
        <w:rPr>
          <w:b w:val="0"/>
          <w:bCs/>
        </w:rPr>
        <w:t xml:space="preserve"> or </w:t>
      </w:r>
      <w:r w:rsidRPr="00BF0A5A">
        <w:rPr>
          <w:b w:val="0"/>
          <w:bCs/>
          <w:i/>
          <w:iCs w:val="0"/>
        </w:rPr>
        <w:t>B. vulgatus</w:t>
      </w:r>
      <w:r w:rsidRPr="003F4ADA">
        <w:rPr>
          <w:b w:val="0"/>
          <w:bCs/>
        </w:rPr>
        <w:t xml:space="preserve"> (open circles; magenta and brown respectively). Key: circles, individual mice; lines, mean values; shading, 95% confidence interval. (C) Mean protein abundance in fecal samples from day 6 in the minus </w:t>
      </w:r>
      <w:r w:rsidRPr="00BF0A5A">
        <w:rPr>
          <w:b w:val="0"/>
          <w:bCs/>
          <w:i/>
          <w:iCs w:val="0"/>
        </w:rPr>
        <w:t>B. cellulosilyticus</w:t>
      </w:r>
      <w:r w:rsidRPr="003F4ADA">
        <w:rPr>
          <w:b w:val="0"/>
          <w:bCs/>
        </w:rPr>
        <w:t xml:space="preserve"> group relative to the </w:t>
      </w:r>
      <w:r w:rsidRPr="00BF0A5A">
        <w:rPr>
          <w:b w:val="0"/>
          <w:bCs/>
          <w:i/>
          <w:iCs w:val="0"/>
        </w:rPr>
        <w:t>plus B. cellulosilyticus</w:t>
      </w:r>
      <w:r w:rsidRPr="003F4ADA">
        <w:rPr>
          <w:b w:val="0"/>
          <w:bCs/>
        </w:rPr>
        <w:t xml:space="preserve"> group; proteins whose levels are significantly different between the groups and encoded by genes in PULs are highlighted with open circles, while those encoded by genes in arabinoxylan processing PULs are labeled with their PUL number. (D) Protein abundance for </w:t>
      </w:r>
      <w:r w:rsidRPr="00BF0A5A">
        <w:rPr>
          <w:b w:val="0"/>
          <w:bCs/>
          <w:i/>
          <w:iCs w:val="0"/>
        </w:rPr>
        <w:t>B. ovatus</w:t>
      </w:r>
      <w:r w:rsidRPr="003F4ADA">
        <w:rPr>
          <w:b w:val="0"/>
          <w:bCs/>
        </w:rPr>
        <w:t xml:space="preserve"> genes in arabinoxylan PULs shown along the x axis. Mean values ± SD (vertical shading) are indicated (n = 5 animals/treatment group). Genes are color-coded according to functional annotation. HTCS stands for hybrid two-component system. Key for circles: gray, 15-member community; magenta or brown, mice harboring communities without </w:t>
      </w:r>
      <w:r w:rsidRPr="00BF0A5A">
        <w:rPr>
          <w:b w:val="0"/>
          <w:bCs/>
          <w:i/>
          <w:iCs w:val="0"/>
        </w:rPr>
        <w:t>B. cellulosilyticus</w:t>
      </w:r>
      <w:r w:rsidRPr="003F4ADA">
        <w:rPr>
          <w:b w:val="0"/>
          <w:bCs/>
        </w:rPr>
        <w:t xml:space="preserve"> or </w:t>
      </w:r>
      <w:r w:rsidRPr="00BF0A5A">
        <w:rPr>
          <w:b w:val="0"/>
          <w:bCs/>
          <w:i/>
          <w:iCs w:val="0"/>
        </w:rPr>
        <w:t>B. vulgatus</w:t>
      </w:r>
      <w:r w:rsidRPr="003F4ADA">
        <w:rPr>
          <w:b w:val="0"/>
          <w:bCs/>
        </w:rPr>
        <w:t xml:space="preserve">, respectively. *p &lt; 0.05, fold change &gt; log2(1.2) (plus </w:t>
      </w:r>
      <w:r w:rsidRPr="00BF0A5A">
        <w:rPr>
          <w:b w:val="0"/>
          <w:bCs/>
          <w:i/>
          <w:iCs w:val="0"/>
        </w:rPr>
        <w:t>B. cellulosilyticus</w:t>
      </w:r>
      <w:r w:rsidRPr="003F4ADA">
        <w:rPr>
          <w:b w:val="0"/>
          <w:bCs/>
        </w:rPr>
        <w:t xml:space="preserve"> versus minus </w:t>
      </w:r>
      <w:r w:rsidRPr="00BF0A5A">
        <w:rPr>
          <w:b w:val="0"/>
          <w:bCs/>
          <w:i/>
          <w:iCs w:val="0"/>
        </w:rPr>
        <w:t>B. cellulosilyticus</w:t>
      </w:r>
      <w:r w:rsidRPr="003F4ADA">
        <w:rPr>
          <w:b w:val="0"/>
          <w:bCs/>
        </w:rPr>
        <w:t xml:space="preserve">.; </w:t>
      </w:r>
      <w:proofErr w:type="spellStart"/>
      <w:r w:rsidRPr="003F4ADA">
        <w:rPr>
          <w:b w:val="0"/>
          <w:bCs/>
        </w:rPr>
        <w:t>limma</w:t>
      </w:r>
      <w:proofErr w:type="spellEnd"/>
      <w:r w:rsidRPr="003F4ADA">
        <w:rPr>
          <w:b w:val="0"/>
          <w:bCs/>
        </w:rPr>
        <w:t>).</w:t>
      </w:r>
      <w:bookmarkEnd w:id="297"/>
    </w:p>
    <w:p w14:paraId="0190A88A" w14:textId="3239004B" w:rsidR="003F4ADA" w:rsidRDefault="003F4ADA" w:rsidP="003F4ADA">
      <w:pPr>
        <w:pStyle w:val="BodyText"/>
      </w:pPr>
      <w:r>
        <w:br w:type="page"/>
      </w:r>
    </w:p>
    <w:p w14:paraId="0BF34BAF" w14:textId="57C11975" w:rsidR="00696A3C" w:rsidRPr="00476931" w:rsidRDefault="00310878" w:rsidP="00F06ED3">
      <w:pPr>
        <w:ind w:firstLine="0"/>
        <w:rPr>
          <w:b/>
          <w:bCs/>
          <w:color w:val="000000" w:themeColor="text1"/>
        </w:rPr>
      </w:pPr>
      <w:r w:rsidRPr="00476931">
        <w:t xml:space="preserve">community lacking </w:t>
      </w:r>
      <w:r w:rsidRPr="00476931">
        <w:rPr>
          <w:i/>
          <w:iCs/>
        </w:rPr>
        <w:t xml:space="preserve">B. vulgatus </w:t>
      </w:r>
      <w:r w:rsidRPr="00476931">
        <w:rPr>
          <w:b/>
          <w:bCs/>
        </w:rPr>
        <w:t>(Figure 5</w:t>
      </w:r>
      <w:r w:rsidR="00697361">
        <w:rPr>
          <w:b/>
          <w:bCs/>
        </w:rPr>
        <w:t>-</w:t>
      </w:r>
      <w:r w:rsidRPr="00476931">
        <w:rPr>
          <w:b/>
          <w:bCs/>
        </w:rPr>
        <w:t xml:space="preserve">5B).  </w:t>
      </w:r>
      <w:r w:rsidRPr="00476931">
        <w:t xml:space="preserve">In contrast to our previous observations that </w:t>
      </w:r>
      <w:r w:rsidRPr="00476931">
        <w:rPr>
          <w:i/>
          <w:iCs/>
        </w:rPr>
        <w:t xml:space="preserve">B. vulgatus </w:t>
      </w:r>
      <w:r w:rsidRPr="00476931">
        <w:t xml:space="preserve">PUL protein expression is not changed in response to the </w:t>
      </w:r>
      <w:r w:rsidRPr="00476931">
        <w:rPr>
          <w:color w:val="000000" w:themeColor="text1"/>
        </w:rPr>
        <w:t>presence of a direct competitor, B.</w:t>
      </w:r>
      <w:r w:rsidRPr="00476931">
        <w:rPr>
          <w:i/>
          <w:iCs/>
          <w:color w:val="000000" w:themeColor="text1"/>
        </w:rPr>
        <w:t xml:space="preserve"> ovat</w:t>
      </w:r>
      <w:r w:rsidRPr="00476931">
        <w:rPr>
          <w:color w:val="000000" w:themeColor="text1"/>
        </w:rPr>
        <w:t xml:space="preserve">us exhibited metabolic flexibility when </w:t>
      </w:r>
      <w:r w:rsidRPr="00476931">
        <w:rPr>
          <w:i/>
          <w:iCs/>
          <w:color w:val="000000" w:themeColor="text1"/>
        </w:rPr>
        <w:t xml:space="preserve">B. cellulosilyticus </w:t>
      </w:r>
      <w:r w:rsidRPr="00476931">
        <w:rPr>
          <w:color w:val="000000" w:themeColor="text1"/>
        </w:rPr>
        <w:t xml:space="preserve">was absent versus present.  Proteins encoded by two arabinoxylan-processing PULs (PUL26 and PUL81) predominated among those whose abundances were increased based on the presence of this potential competitor </w:t>
      </w:r>
      <w:r w:rsidRPr="00476931">
        <w:rPr>
          <w:b/>
          <w:bCs/>
          <w:color w:val="000000" w:themeColor="text1"/>
        </w:rPr>
        <w:t>(Figure 5</w:t>
      </w:r>
      <w:r w:rsidR="00697361">
        <w:rPr>
          <w:b/>
          <w:bCs/>
          <w:color w:val="000000" w:themeColor="text1"/>
        </w:rPr>
        <w:t>-</w:t>
      </w:r>
      <w:r w:rsidRPr="00476931">
        <w:rPr>
          <w:b/>
          <w:bCs/>
          <w:color w:val="000000" w:themeColor="text1"/>
        </w:rPr>
        <w:t xml:space="preserve">5C).  </w:t>
      </w:r>
      <w:r w:rsidRPr="00476931">
        <w:rPr>
          <w:color w:val="000000" w:themeColor="text1"/>
        </w:rPr>
        <w:t xml:space="preserve">Looking at the metaproteome datasets with the full and </w:t>
      </w:r>
      <w:r w:rsidRPr="00476931">
        <w:rPr>
          <w:i/>
          <w:iCs/>
          <w:color w:val="000000" w:themeColor="text1"/>
        </w:rPr>
        <w:t xml:space="preserve">B. cellulosilyticus </w:t>
      </w:r>
      <w:r w:rsidRPr="00476931">
        <w:rPr>
          <w:color w:val="000000" w:themeColor="text1"/>
        </w:rPr>
        <w:t xml:space="preserve">omitted communities, the metabolic flexibility displayed by </w:t>
      </w:r>
      <w:r w:rsidRPr="00476931">
        <w:rPr>
          <w:i/>
          <w:iCs/>
          <w:color w:val="000000" w:themeColor="text1"/>
        </w:rPr>
        <w:t>B. ovatus</w:t>
      </w:r>
      <w:r w:rsidRPr="00476931">
        <w:rPr>
          <w:color w:val="000000" w:themeColor="text1"/>
        </w:rPr>
        <w:t xml:space="preserve"> was apparent regardless of diet (HiSF-LoFV, pea fiber, or citrus pectin), which is consistent with the presence of arabinoxylan in the base diet.  In addition, metaproteomics results demonstrated that omission of </w:t>
      </w:r>
      <w:r w:rsidRPr="00476931">
        <w:rPr>
          <w:i/>
          <w:iCs/>
          <w:color w:val="000000" w:themeColor="text1"/>
        </w:rPr>
        <w:t>B</w:t>
      </w:r>
      <w:r w:rsidRPr="00476931">
        <w:rPr>
          <w:color w:val="000000" w:themeColor="text1"/>
        </w:rPr>
        <w:t xml:space="preserve">. </w:t>
      </w:r>
      <w:r w:rsidRPr="00476931">
        <w:rPr>
          <w:i/>
          <w:iCs/>
          <w:color w:val="000000" w:themeColor="text1"/>
        </w:rPr>
        <w:t xml:space="preserve">vulgatus </w:t>
      </w:r>
      <w:r w:rsidRPr="00476931">
        <w:rPr>
          <w:color w:val="000000" w:themeColor="text1"/>
        </w:rPr>
        <w:t xml:space="preserve">did not induce changes in either the levels of proteins encoded by </w:t>
      </w:r>
      <w:r w:rsidRPr="00476931">
        <w:rPr>
          <w:i/>
          <w:iCs/>
          <w:color w:val="000000" w:themeColor="text1"/>
        </w:rPr>
        <w:t>B. ovatus</w:t>
      </w:r>
      <w:r w:rsidRPr="00476931">
        <w:rPr>
          <w:color w:val="000000" w:themeColor="text1"/>
        </w:rPr>
        <w:t xml:space="preserve"> PULs, but omission of </w:t>
      </w:r>
      <w:r w:rsidRPr="00476931">
        <w:rPr>
          <w:i/>
          <w:iCs/>
          <w:color w:val="000000" w:themeColor="text1"/>
        </w:rPr>
        <w:t>B.</w:t>
      </w:r>
      <w:r w:rsidRPr="00476931">
        <w:rPr>
          <w:color w:val="000000" w:themeColor="text1"/>
        </w:rPr>
        <w:t xml:space="preserve"> </w:t>
      </w:r>
      <w:r w:rsidRPr="00476931">
        <w:rPr>
          <w:i/>
          <w:iCs/>
          <w:color w:val="000000" w:themeColor="text1"/>
        </w:rPr>
        <w:t>cellulosilyticus</w:t>
      </w:r>
      <w:r w:rsidRPr="00476931">
        <w:rPr>
          <w:color w:val="000000" w:themeColor="text1"/>
        </w:rPr>
        <w:t xml:space="preserve"> induced persistent increases in the expression of those proteins </w:t>
      </w:r>
      <w:r w:rsidRPr="00476931">
        <w:rPr>
          <w:b/>
          <w:bCs/>
          <w:color w:val="000000" w:themeColor="text1"/>
        </w:rPr>
        <w:t>(Figure 5</w:t>
      </w:r>
      <w:r w:rsidR="00697361">
        <w:rPr>
          <w:b/>
          <w:bCs/>
          <w:color w:val="000000" w:themeColor="text1"/>
        </w:rPr>
        <w:t>-</w:t>
      </w:r>
      <w:r w:rsidRPr="00476931">
        <w:rPr>
          <w:b/>
          <w:bCs/>
          <w:color w:val="000000" w:themeColor="text1"/>
        </w:rPr>
        <w:t>5D).</w:t>
      </w:r>
    </w:p>
    <w:p w14:paraId="48385790" w14:textId="77777777" w:rsidR="00AC46A2" w:rsidRPr="00476931" w:rsidRDefault="00AC46A2" w:rsidP="00AC46A2">
      <w:pPr>
        <w:rPr>
          <w:color w:val="000000" w:themeColor="text1"/>
        </w:rPr>
      </w:pPr>
      <w:r w:rsidRPr="00476931">
        <w:rPr>
          <w:color w:val="000000" w:themeColor="text1"/>
        </w:rPr>
        <w:t xml:space="preserve">Complementary to the metaproteomic results regarding proteins from </w:t>
      </w:r>
      <w:r w:rsidRPr="002D271D">
        <w:rPr>
          <w:i/>
          <w:iCs/>
          <w:color w:val="000000" w:themeColor="text1"/>
        </w:rPr>
        <w:t>B. ovatus</w:t>
      </w:r>
      <w:r w:rsidRPr="00476931">
        <w:rPr>
          <w:color w:val="000000" w:themeColor="text1"/>
        </w:rPr>
        <w:t xml:space="preserve"> PULs PUL26 and PUL81, the INSeq results showed that genes in these two arabinoxylan PULs were the most affected by omission of </w:t>
      </w:r>
      <w:r w:rsidRPr="00476931">
        <w:rPr>
          <w:i/>
          <w:iCs/>
          <w:color w:val="000000" w:themeColor="text1"/>
        </w:rPr>
        <w:t>B. cellulosilyticus</w:t>
      </w:r>
      <w:r w:rsidRPr="00476931">
        <w:rPr>
          <w:color w:val="000000" w:themeColor="text1"/>
        </w:rPr>
        <w:t xml:space="preserve">.  In total, these results indicate that </w:t>
      </w:r>
      <w:r w:rsidRPr="00476931">
        <w:rPr>
          <w:i/>
          <w:iCs/>
          <w:color w:val="000000" w:themeColor="text1"/>
        </w:rPr>
        <w:t>B. ovatus</w:t>
      </w:r>
      <w:r w:rsidRPr="00476931">
        <w:rPr>
          <w:color w:val="000000" w:themeColor="text1"/>
        </w:rPr>
        <w:t xml:space="preserve"> exhibits a marked decrease in its reliance on arabinoxylan in the full community context and increases its arabinoxylan processing capabilities in the absence of a potential competitor. </w:t>
      </w:r>
    </w:p>
    <w:p w14:paraId="428EF143" w14:textId="3A07629F" w:rsidR="003F4ADA" w:rsidRDefault="00AC46A2" w:rsidP="007A18CB">
      <w:r w:rsidRPr="00476931">
        <w:tab/>
        <w:t xml:space="preserve">To test </w:t>
      </w:r>
      <w:proofErr w:type="gramStart"/>
      <w:r w:rsidRPr="00476931">
        <w:t>whether or not</w:t>
      </w:r>
      <w:proofErr w:type="gramEnd"/>
      <w:r w:rsidRPr="00476931">
        <w:t xml:space="preserve"> metabolic flexibility allows </w:t>
      </w:r>
      <w:r w:rsidRPr="00476931">
        <w:rPr>
          <w:i/>
          <w:iCs/>
        </w:rPr>
        <w:t xml:space="preserve">B. ovatus </w:t>
      </w:r>
      <w:r w:rsidRPr="00476931">
        <w:t xml:space="preserve">to acclimate to the presence of </w:t>
      </w:r>
      <w:r w:rsidRPr="00476931">
        <w:rPr>
          <w:i/>
          <w:iCs/>
        </w:rPr>
        <w:t>B. cellulosilyticus</w:t>
      </w:r>
      <w:r w:rsidRPr="00476931">
        <w:t xml:space="preserve"> by shifting its nutrient harvesting strategies to mitigate competition between the two species for arabinoxylan, we performed an experiment with gnotobiotic mice colonized with the full community or defined communities omitting </w:t>
      </w:r>
      <w:r w:rsidRPr="00476931">
        <w:rPr>
          <w:i/>
          <w:iCs/>
        </w:rPr>
        <w:t>B. cellulosilyticus</w:t>
      </w:r>
      <w:r w:rsidRPr="00476931">
        <w:t xml:space="preserve">, </w:t>
      </w:r>
      <w:r w:rsidRPr="00476931">
        <w:rPr>
          <w:i/>
          <w:iCs/>
        </w:rPr>
        <w:t>B. ovatus</w:t>
      </w:r>
      <w:r w:rsidRPr="00476931">
        <w:t xml:space="preserve">, or both species from the full bacterial consortium (Figure 5.6A).  Based on measurements collected 6 days after gavage, </w:t>
      </w:r>
      <w:r w:rsidRPr="00476931">
        <w:rPr>
          <w:i/>
          <w:iCs/>
        </w:rPr>
        <w:t>B. ovatus</w:t>
      </w:r>
      <w:r w:rsidRPr="00476931">
        <w:t xml:space="preserve"> increased in abundance in the absence of </w:t>
      </w:r>
      <w:r w:rsidRPr="00476931">
        <w:rPr>
          <w:i/>
          <w:iCs/>
        </w:rPr>
        <w:t>B. cellulosilyticus</w:t>
      </w:r>
      <w:r w:rsidRPr="00476931">
        <w:t xml:space="preserve"> </w:t>
      </w:r>
      <w:r w:rsidRPr="00476931">
        <w:rPr>
          <w:b/>
          <w:bCs/>
        </w:rPr>
        <w:t>(Figure 5</w:t>
      </w:r>
      <w:r w:rsidR="00697361">
        <w:rPr>
          <w:b/>
          <w:bCs/>
        </w:rPr>
        <w:t>-</w:t>
      </w:r>
      <w:r w:rsidRPr="00476931">
        <w:rPr>
          <w:b/>
          <w:bCs/>
        </w:rPr>
        <w:t xml:space="preserve">6B), </w:t>
      </w:r>
      <w:r w:rsidRPr="00476931">
        <w:t xml:space="preserve">but </w:t>
      </w:r>
      <w:r w:rsidRPr="00476931">
        <w:rPr>
          <w:i/>
          <w:iCs/>
        </w:rPr>
        <w:t xml:space="preserve">B. cellulosilyticus </w:t>
      </w:r>
      <w:r w:rsidRPr="00476931">
        <w:t xml:space="preserve">did not significantly change in abundance in the absence of </w:t>
      </w:r>
      <w:r w:rsidRPr="00476931">
        <w:rPr>
          <w:i/>
          <w:iCs/>
        </w:rPr>
        <w:t xml:space="preserve">B. ovatus </w:t>
      </w:r>
      <w:r w:rsidRPr="00476931">
        <w:rPr>
          <w:b/>
          <w:bCs/>
        </w:rPr>
        <w:t>(Figure 5</w:t>
      </w:r>
      <w:r w:rsidR="00697361">
        <w:rPr>
          <w:b/>
          <w:bCs/>
        </w:rPr>
        <w:t>-</w:t>
      </w:r>
      <w:r w:rsidRPr="00476931">
        <w:rPr>
          <w:b/>
          <w:bCs/>
        </w:rPr>
        <w:t>6C)</w:t>
      </w:r>
      <w:r w:rsidRPr="00476931">
        <w:t xml:space="preserve">.  The analysis of proteins expressed by arabinoxylan-processing PULs showed an increase in abundance of 16 proteins from </w:t>
      </w:r>
      <w:r w:rsidRPr="00476931">
        <w:rPr>
          <w:i/>
          <w:iCs/>
        </w:rPr>
        <w:t>B. ovatus</w:t>
      </w:r>
      <w:r w:rsidRPr="00476931">
        <w:t xml:space="preserve"> PUL26 and PUL81 </w:t>
      </w:r>
      <w:r w:rsidRPr="00476931">
        <w:rPr>
          <w:b/>
          <w:bCs/>
        </w:rPr>
        <w:t>(Figure 5</w:t>
      </w:r>
      <w:r w:rsidR="00697361">
        <w:rPr>
          <w:b/>
          <w:bCs/>
        </w:rPr>
        <w:t>-</w:t>
      </w:r>
      <w:r w:rsidRPr="00476931">
        <w:rPr>
          <w:b/>
          <w:bCs/>
        </w:rPr>
        <w:t>6C)</w:t>
      </w:r>
      <w:r w:rsidRPr="00476931">
        <w:t xml:space="preserve">. Only one protein encoded by one of the two </w:t>
      </w:r>
    </w:p>
    <w:p w14:paraId="171420B7" w14:textId="77777777" w:rsidR="003F4ADA" w:rsidRDefault="003F4ADA" w:rsidP="003F4ADA">
      <w:pPr>
        <w:pStyle w:val="BodyText"/>
        <w:keepNext/>
      </w:pPr>
      <w:r w:rsidRPr="00476931">
        <w:rPr>
          <w:noProof/>
        </w:rPr>
        <w:drawing>
          <wp:inline distT="0" distB="0" distL="0" distR="0" wp14:anchorId="6DAD5529" wp14:editId="2DA8E607">
            <wp:extent cx="5181600" cy="3008630"/>
            <wp:effectExtent l="0" t="0" r="0" b="1270"/>
            <wp:docPr id="2307" name="Picture 2307"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7" name="Picture 2307" descr="Graphical user interface&#10;&#10;Description automatically generated"/>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193740" cy="3015679"/>
                    </a:xfrm>
                    <a:prstGeom prst="rect">
                      <a:avLst/>
                    </a:prstGeom>
                    <a:noFill/>
                  </pic:spPr>
                </pic:pic>
              </a:graphicData>
            </a:graphic>
          </wp:inline>
        </w:drawing>
      </w:r>
    </w:p>
    <w:p w14:paraId="3FA95C40" w14:textId="67CB5A91" w:rsidR="003F4ADA" w:rsidRPr="003F4ADA" w:rsidRDefault="003F4ADA" w:rsidP="003F4ADA">
      <w:pPr>
        <w:pStyle w:val="Caption"/>
        <w:rPr>
          <w:b w:val="0"/>
          <w:bCs/>
        </w:rPr>
      </w:pPr>
      <w:bookmarkStart w:id="298" w:name="_Toc110246953"/>
      <w:r>
        <w:t xml:space="preserve">Figure </w:t>
      </w:r>
      <w:fldSimple w:instr=" STYLEREF 1 \s ">
        <w:r w:rsidR="00AC2094">
          <w:rPr>
            <w:noProof/>
          </w:rPr>
          <w:t>5</w:t>
        </w:r>
      </w:fldSimple>
      <w:r w:rsidR="00AC2094">
        <w:noBreakHyphen/>
      </w:r>
      <w:fldSimple w:instr=" SEQ Figure \* ARABIC \s 1 ">
        <w:r w:rsidR="00AC2094">
          <w:rPr>
            <w:noProof/>
          </w:rPr>
          <w:t>6</w:t>
        </w:r>
      </w:fldSimple>
      <w:r>
        <w:t xml:space="preserve">  </w:t>
      </w:r>
      <w:r w:rsidRPr="003F4ADA">
        <w:t xml:space="preserve">Alleviation of Competition between Arabinoxylan-Consuming </w:t>
      </w:r>
      <w:r w:rsidRPr="002D271D">
        <w:rPr>
          <w:i/>
          <w:iCs w:val="0"/>
        </w:rPr>
        <w:t>Bacteroides</w:t>
      </w:r>
      <w:r w:rsidRPr="003F4ADA">
        <w:t>.</w:t>
      </w:r>
      <w:bookmarkEnd w:id="298"/>
      <w:r w:rsidRPr="003F4ADA">
        <w:t xml:space="preserve">  </w:t>
      </w:r>
      <w:r>
        <w:rPr>
          <w:b w:val="0"/>
          <w:bCs/>
        </w:rPr>
        <w:fldChar w:fldCharType="begin"/>
      </w:r>
      <w:r>
        <w:rPr>
          <w:b w:val="0"/>
          <w:bCs/>
        </w:rPr>
        <w:instrText xml:space="preserve"> </w:instrText>
      </w:r>
    </w:p>
    <w:p w14:paraId="6D252C95" w14:textId="77777777" w:rsidR="003F4ADA" w:rsidRPr="003F4ADA" w:rsidRDefault="003F4ADA" w:rsidP="003F4ADA">
      <w:pPr>
        <w:pStyle w:val="Caption"/>
        <w:rPr>
          <w:b w:val="0"/>
          <w:bCs/>
        </w:rPr>
      </w:pPr>
    </w:p>
    <w:p w14:paraId="4BC25CD6" w14:textId="287813A7" w:rsidR="003F4ADA" w:rsidRPr="003F4ADA" w:rsidRDefault="003F4ADA" w:rsidP="003F4ADA">
      <w:pPr>
        <w:pStyle w:val="Caption"/>
        <w:rPr>
          <w:b w:val="0"/>
          <w:bCs/>
        </w:rPr>
      </w:pPr>
      <w:r>
        <w:rPr>
          <w:b w:val="0"/>
          <w:bCs/>
        </w:rPr>
        <w:instrText xml:space="preserve"> </w:instrText>
      </w:r>
      <w:r>
        <w:rPr>
          <w:b w:val="0"/>
          <w:bCs/>
        </w:rPr>
        <w:fldChar w:fldCharType="end"/>
      </w:r>
      <w:r w:rsidRPr="003F4ADA">
        <w:rPr>
          <w:b w:val="0"/>
          <w:bCs/>
        </w:rPr>
        <w:fldChar w:fldCharType="begin"/>
      </w:r>
      <w:r w:rsidRPr="003F4ADA">
        <w:rPr>
          <w:b w:val="0"/>
          <w:bCs/>
        </w:rPr>
        <w:instrText xml:space="preserve"> </w:instrText>
      </w:r>
    </w:p>
    <w:p w14:paraId="7A7057CE" w14:textId="77777777" w:rsidR="003F4ADA" w:rsidRPr="003F4ADA" w:rsidRDefault="003F4ADA" w:rsidP="003F4ADA">
      <w:pPr>
        <w:pStyle w:val="Caption"/>
        <w:rPr>
          <w:b w:val="0"/>
          <w:bCs/>
        </w:rPr>
      </w:pPr>
    </w:p>
    <w:p w14:paraId="42E56BE1" w14:textId="77777777" w:rsidR="003F4ADA" w:rsidRPr="003F4ADA" w:rsidRDefault="003F4ADA" w:rsidP="003F4ADA">
      <w:pPr>
        <w:pStyle w:val="Caption"/>
        <w:rPr>
          <w:b w:val="0"/>
          <w:bCs/>
        </w:rPr>
      </w:pPr>
      <w:r w:rsidRPr="003F4ADA">
        <w:rPr>
          <w:b w:val="0"/>
          <w:bCs/>
        </w:rPr>
        <w:instrText xml:space="preserve"> </w:instrText>
      </w:r>
      <w:r w:rsidRPr="003F4ADA">
        <w:rPr>
          <w:b w:val="0"/>
          <w:bCs/>
        </w:rPr>
        <w:fldChar w:fldCharType="end"/>
      </w:r>
      <w:bookmarkStart w:id="299" w:name="_Toc107573978"/>
      <w:r w:rsidRPr="003F4ADA">
        <w:rPr>
          <w:b w:val="0"/>
          <w:bCs/>
        </w:rPr>
        <w:t xml:space="preserve">(A) Experimental design monotonous feeding of the HiSF-LoFV control diet to mice colonized with the whole community or derivative communities. (B and C) Relative abundance of </w:t>
      </w:r>
      <w:r w:rsidRPr="002D271D">
        <w:rPr>
          <w:b w:val="0"/>
          <w:bCs/>
          <w:i/>
          <w:iCs w:val="0"/>
        </w:rPr>
        <w:t>B. ovatus</w:t>
      </w:r>
      <w:r w:rsidRPr="003F4ADA">
        <w:rPr>
          <w:b w:val="0"/>
          <w:bCs/>
        </w:rPr>
        <w:t xml:space="preserve"> (B), and </w:t>
      </w:r>
      <w:r w:rsidRPr="002D271D">
        <w:rPr>
          <w:b w:val="0"/>
          <w:bCs/>
          <w:i/>
          <w:iCs w:val="0"/>
        </w:rPr>
        <w:t>B. cellulosilyticus</w:t>
      </w:r>
      <w:r w:rsidRPr="003F4ADA">
        <w:rPr>
          <w:b w:val="0"/>
          <w:bCs/>
        </w:rPr>
        <w:t xml:space="preserve"> (C) in fecal samples from gnotobiotic mice harboring derivatives of the full community. Animals fed the control HiSF-LoFV diet in the presence (closed circles) or absence of </w:t>
      </w:r>
      <w:r w:rsidRPr="002D271D">
        <w:rPr>
          <w:b w:val="0"/>
          <w:bCs/>
          <w:i/>
          <w:iCs w:val="0"/>
        </w:rPr>
        <w:t>B. cellulosilyticus</w:t>
      </w:r>
      <w:r w:rsidRPr="003F4ADA">
        <w:rPr>
          <w:b w:val="0"/>
          <w:bCs/>
        </w:rPr>
        <w:t xml:space="preserve"> or </w:t>
      </w:r>
      <w:r w:rsidRPr="002D271D">
        <w:rPr>
          <w:b w:val="0"/>
          <w:bCs/>
          <w:i/>
          <w:iCs w:val="0"/>
        </w:rPr>
        <w:t>B. ovatus</w:t>
      </w:r>
      <w:r w:rsidRPr="003F4ADA">
        <w:rPr>
          <w:b w:val="0"/>
          <w:bCs/>
        </w:rPr>
        <w:t xml:space="preserve"> or both species (open circles; magenta, orange, or cyan respectively). Key: circles, individual mice; lines, mean values; shading, 95% confidence interval. (D and E) Mean protein abundances in fecal samples obtained on experimental day 6. Proteins in </w:t>
      </w:r>
      <w:r w:rsidRPr="009916C2">
        <w:rPr>
          <w:b w:val="0"/>
          <w:bCs/>
          <w:i/>
          <w:iCs w:val="0"/>
        </w:rPr>
        <w:t>B. ovatus</w:t>
      </w:r>
      <w:r w:rsidRPr="003F4ADA">
        <w:rPr>
          <w:b w:val="0"/>
          <w:bCs/>
        </w:rPr>
        <w:t xml:space="preserve"> (D) and </w:t>
      </w:r>
      <w:r w:rsidRPr="009916C2">
        <w:rPr>
          <w:b w:val="0"/>
          <w:bCs/>
          <w:i/>
          <w:iCs w:val="0"/>
        </w:rPr>
        <w:t>B. cellulosilyticus</w:t>
      </w:r>
      <w:r w:rsidRPr="003F4ADA">
        <w:rPr>
          <w:b w:val="0"/>
          <w:bCs/>
        </w:rPr>
        <w:t xml:space="preserve"> (E) arabinoxylan-processing PULs are shown along the x axis relative to full community condition. Mean values ± standard deviation (vertical shading) </w:t>
      </w:r>
      <w:proofErr w:type="gramStart"/>
      <w:r w:rsidRPr="003F4ADA">
        <w:rPr>
          <w:b w:val="0"/>
          <w:bCs/>
        </w:rPr>
        <w:t>are</w:t>
      </w:r>
      <w:proofErr w:type="gramEnd"/>
      <w:r w:rsidRPr="003F4ADA">
        <w:rPr>
          <w:b w:val="0"/>
          <w:bCs/>
        </w:rPr>
        <w:t xml:space="preserve"> indicated (n = 5–7 animals/treatment group). Proteins are color-coded according to functional annotation (see key). HTCS stands for hybrid two-component system. Key for circles is the same as in (B-C). *p &lt; 0.05 (full community versus derivative community]; </w:t>
      </w:r>
      <w:proofErr w:type="spellStart"/>
      <w:r w:rsidRPr="003F4ADA">
        <w:rPr>
          <w:b w:val="0"/>
          <w:bCs/>
        </w:rPr>
        <w:t>limma</w:t>
      </w:r>
      <w:proofErr w:type="spellEnd"/>
      <w:r w:rsidRPr="003F4ADA">
        <w:rPr>
          <w:b w:val="0"/>
          <w:bCs/>
        </w:rPr>
        <w:t>.</w:t>
      </w:r>
      <w:bookmarkEnd w:id="299"/>
    </w:p>
    <w:p w14:paraId="726497DF" w14:textId="5C71DC0F" w:rsidR="003F4ADA" w:rsidRDefault="003F4ADA" w:rsidP="003F4ADA">
      <w:pPr>
        <w:pStyle w:val="BodyText"/>
      </w:pPr>
      <w:r>
        <w:br w:type="page"/>
      </w:r>
    </w:p>
    <w:p w14:paraId="1DD3B2F7" w14:textId="28BF7421" w:rsidR="00C7280B" w:rsidRPr="00476931" w:rsidRDefault="00AC46A2" w:rsidP="00F06ED3">
      <w:pPr>
        <w:ind w:firstLine="0"/>
      </w:pPr>
      <w:r w:rsidRPr="00476931">
        <w:t xml:space="preserve">arabinoxylan-processing PULs in </w:t>
      </w:r>
      <w:r w:rsidRPr="00476931">
        <w:rPr>
          <w:i/>
          <w:iCs/>
        </w:rPr>
        <w:t>B. cellulosilyticus</w:t>
      </w:r>
      <w:r w:rsidRPr="00476931">
        <w:t>, PUL6 and PUL87, increased in</w:t>
      </w:r>
      <w:r w:rsidR="00C7280B" w:rsidRPr="00476931">
        <w:t xml:space="preserve"> abundance when </w:t>
      </w:r>
      <w:r w:rsidR="00C7280B" w:rsidRPr="00476931">
        <w:rPr>
          <w:i/>
          <w:iCs/>
        </w:rPr>
        <w:t>B. ovatus</w:t>
      </w:r>
      <w:r w:rsidR="00C7280B" w:rsidRPr="00476931">
        <w:t xml:space="preserve"> was omitted from the community. The results from this</w:t>
      </w:r>
      <w:r w:rsidR="00F06ED3" w:rsidRPr="00F06ED3">
        <w:t xml:space="preserve"> </w:t>
      </w:r>
      <w:r w:rsidR="00F06ED3" w:rsidRPr="00476931">
        <w:t>experiment</w:t>
      </w:r>
      <w:r w:rsidR="003F4ADA">
        <w:t xml:space="preserve"> </w:t>
      </w:r>
      <w:r w:rsidR="00C7280B" w:rsidRPr="00476931">
        <w:t xml:space="preserve">combined with the INSeq observation in the previous experiment that arabinoxylan-processing genes are only important for the fitness of </w:t>
      </w:r>
      <w:r w:rsidR="00C7280B" w:rsidRPr="00476931">
        <w:rPr>
          <w:i/>
          <w:iCs/>
        </w:rPr>
        <w:t>B. ovatus</w:t>
      </w:r>
      <w:r w:rsidR="00C7280B" w:rsidRPr="00476931">
        <w:t xml:space="preserve"> when </w:t>
      </w:r>
      <w:r w:rsidR="00C7280B" w:rsidRPr="00476931">
        <w:rPr>
          <w:i/>
          <w:iCs/>
        </w:rPr>
        <w:t>B. cellulosilyticus</w:t>
      </w:r>
      <w:r w:rsidR="00C7280B" w:rsidRPr="00476931">
        <w:t xml:space="preserve"> is not present indicate that the metabolic flexibility of </w:t>
      </w:r>
      <w:r w:rsidR="00C7280B" w:rsidRPr="00476931">
        <w:rPr>
          <w:i/>
          <w:iCs/>
        </w:rPr>
        <w:t xml:space="preserve">B. ovatus </w:t>
      </w:r>
      <w:r w:rsidR="00C7280B" w:rsidRPr="00476931">
        <w:t xml:space="preserve">mitigates competition with </w:t>
      </w:r>
      <w:r w:rsidR="00C7280B" w:rsidRPr="00476931">
        <w:rPr>
          <w:i/>
          <w:iCs/>
        </w:rPr>
        <w:t xml:space="preserve">B. cellulosilyticus, </w:t>
      </w:r>
      <w:r w:rsidR="00C7280B" w:rsidRPr="00476931">
        <w:t>even though these two species both have the capacity to process the same nutrient resource.</w:t>
      </w:r>
    </w:p>
    <w:p w14:paraId="1F40DDBE" w14:textId="335FAD6F" w:rsidR="00AC46A2" w:rsidRPr="00476931" w:rsidRDefault="00C7280B" w:rsidP="002139B1">
      <w:pPr>
        <w:rPr>
          <w:color w:val="000000" w:themeColor="text1"/>
        </w:rPr>
      </w:pPr>
      <w:r w:rsidRPr="00476931">
        <w:rPr>
          <w:color w:val="000000" w:themeColor="text1"/>
        </w:rPr>
        <w:t xml:space="preserve">In summary, </w:t>
      </w:r>
      <w:r w:rsidR="002139B1">
        <w:rPr>
          <w:color w:val="000000" w:themeColor="text1"/>
        </w:rPr>
        <w:t xml:space="preserve">this paper showed that </w:t>
      </w:r>
      <w:r w:rsidRPr="00476931">
        <w:rPr>
          <w:color w:val="000000" w:themeColor="text1"/>
        </w:rPr>
        <w:t xml:space="preserve">plant polysaccharides (PPS) that can produce distinct shifts in the relative abundance of targeted </w:t>
      </w:r>
      <w:r w:rsidRPr="00476931">
        <w:rPr>
          <w:i/>
          <w:iCs/>
          <w:color w:val="000000" w:themeColor="text1"/>
        </w:rPr>
        <w:t>Bacteroides</w:t>
      </w:r>
      <w:r w:rsidRPr="00476931">
        <w:rPr>
          <w:color w:val="000000" w:themeColor="text1"/>
        </w:rPr>
        <w:t xml:space="preserve"> species with diet supplementation were identified.  </w:t>
      </w:r>
      <w:r w:rsidR="00367B97">
        <w:rPr>
          <w:color w:val="000000" w:themeColor="text1"/>
        </w:rPr>
        <w:t>Based</w:t>
      </w:r>
      <w:r w:rsidRPr="00476931">
        <w:rPr>
          <w:color w:val="000000" w:themeColor="text1"/>
        </w:rPr>
        <w:t xml:space="preserve"> on these identified bioactive fiber components, we were able to directly characterize how </w:t>
      </w:r>
      <w:r w:rsidRPr="00476931">
        <w:rPr>
          <w:i/>
          <w:iCs/>
          <w:color w:val="000000" w:themeColor="text1"/>
        </w:rPr>
        <w:t xml:space="preserve">Bacteroides </w:t>
      </w:r>
      <w:r w:rsidRPr="00476931">
        <w:rPr>
          <w:color w:val="000000" w:themeColor="text1"/>
        </w:rPr>
        <w:t>with distinct, as well as overlapping,</w:t>
      </w:r>
      <w:r w:rsidR="002139B1">
        <w:rPr>
          <w:color w:val="000000" w:themeColor="text1"/>
        </w:rPr>
        <w:t xml:space="preserve"> </w:t>
      </w:r>
      <w:r w:rsidR="00AC46A2" w:rsidRPr="00476931">
        <w:rPr>
          <w:color w:val="000000" w:themeColor="text1"/>
        </w:rPr>
        <w:t>nutrient harvesting capacities respond to specific plant polysaccharides, including arabinan and arabinoxylan. In addition, many of the techniques used to study t</w:t>
      </w:r>
      <w:r w:rsidR="00367B97">
        <w:rPr>
          <w:color w:val="000000" w:themeColor="text1"/>
        </w:rPr>
        <w:t>his</w:t>
      </w:r>
      <w:r w:rsidR="00AC46A2" w:rsidRPr="00476931">
        <w:rPr>
          <w:color w:val="000000" w:themeColor="text1"/>
        </w:rPr>
        <w:t xml:space="preserve"> microbiome provide similar results, such as organismal abundances as determined by COPRO-Seq and metaproteomics, providing orthogonal validation of the observations gained with each approach. However, each of these techniques provided unique, but complementary information, such the functional importance of PUL genes as measured by metaproteomics and INSeq, which enabled key biological insights that may not have been elucidated without integration of these approaches. </w:t>
      </w:r>
      <w:r w:rsidR="009B49D4">
        <w:rPr>
          <w:color w:val="000000" w:themeColor="text1"/>
        </w:rPr>
        <w:t>Finally, this stud</w:t>
      </w:r>
      <w:r w:rsidR="00A60BF0">
        <w:rPr>
          <w:color w:val="000000" w:themeColor="text1"/>
        </w:rPr>
        <w:t>y provided a</w:t>
      </w:r>
      <w:r w:rsidR="00FF7320">
        <w:rPr>
          <w:color w:val="000000" w:themeColor="text1"/>
        </w:rPr>
        <w:t xml:space="preserve">n </w:t>
      </w:r>
      <w:r w:rsidR="00FF7320" w:rsidRPr="00FF7320">
        <w:rPr>
          <w:i/>
          <w:iCs/>
          <w:color w:val="000000" w:themeColor="text1"/>
        </w:rPr>
        <w:t>in vivo</w:t>
      </w:r>
      <w:r w:rsidR="00A60BF0">
        <w:rPr>
          <w:color w:val="000000" w:themeColor="text1"/>
        </w:rPr>
        <w:t xml:space="preserve"> demonstration of using artificial food</w:t>
      </w:r>
      <w:r w:rsidR="003D0588">
        <w:rPr>
          <w:color w:val="000000" w:themeColor="text1"/>
        </w:rPr>
        <w:t xml:space="preserve"> particles as biosensors of community-wide glycan metabolism</w:t>
      </w:r>
      <w:r w:rsidR="00FF7320">
        <w:rPr>
          <w:color w:val="000000" w:themeColor="text1"/>
        </w:rPr>
        <w:t xml:space="preserve">. </w:t>
      </w:r>
      <w:r w:rsidR="00AC46A2" w:rsidRPr="00476931">
        <w:rPr>
          <w:color w:val="000000" w:themeColor="text1"/>
        </w:rPr>
        <w:t>In total the direct community manipulation paired with quantitative multi-omic</w:t>
      </w:r>
      <w:r w:rsidR="00434AB3">
        <w:rPr>
          <w:color w:val="000000" w:themeColor="text1"/>
        </w:rPr>
        <w:t>s</w:t>
      </w:r>
      <w:r w:rsidR="00AC46A2" w:rsidRPr="00476931">
        <w:rPr>
          <w:color w:val="000000" w:themeColor="text1"/>
        </w:rPr>
        <w:t xml:space="preserve"> measurements provided insights into specific microbe-microbe interactions in response to the administration of plant polysaccharides. </w:t>
      </w:r>
      <w:r w:rsidR="00FF7320">
        <w:rPr>
          <w:color w:val="000000" w:themeColor="text1"/>
        </w:rPr>
        <w:t xml:space="preserve"> These findings open the door to developing microbiota-directed foods </w:t>
      </w:r>
      <w:r w:rsidR="00CA3BFA">
        <w:rPr>
          <w:color w:val="000000" w:themeColor="text1"/>
        </w:rPr>
        <w:t xml:space="preserve">that selectively increase the abundance of beneficial </w:t>
      </w:r>
      <w:r w:rsidR="00CE322F">
        <w:rPr>
          <w:color w:val="000000" w:themeColor="text1"/>
        </w:rPr>
        <w:t xml:space="preserve">microbes and </w:t>
      </w:r>
      <w:r w:rsidR="00CA3BFA">
        <w:rPr>
          <w:color w:val="000000" w:themeColor="text1"/>
        </w:rPr>
        <w:t xml:space="preserve">provide metabolic benefits to </w:t>
      </w:r>
      <w:r w:rsidR="00CE322F">
        <w:rPr>
          <w:color w:val="000000" w:themeColor="text1"/>
        </w:rPr>
        <w:t>the host.</w:t>
      </w:r>
    </w:p>
    <w:p w14:paraId="25FF0589" w14:textId="53D6CD0F" w:rsidR="00310878" w:rsidRDefault="00310878" w:rsidP="00343C78">
      <w:pPr>
        <w:spacing w:line="276" w:lineRule="auto"/>
        <w:rPr>
          <w:rFonts w:ascii="Times New Roman" w:hAnsi="Times New Roman" w:cs="Times New Roman"/>
          <w:color w:val="000000" w:themeColor="text1"/>
        </w:rPr>
      </w:pPr>
    </w:p>
    <w:p w14:paraId="7285A5B1" w14:textId="3B5AD0FE" w:rsidR="00061FA9" w:rsidRDefault="00061FA9">
      <w:pPr>
        <w:spacing w:before="1"/>
        <w:rPr>
          <w:rFonts w:ascii="Times New Roman" w:hAnsi="Times New Roman" w:cs="Times New Roman"/>
          <w:color w:val="000000" w:themeColor="text1"/>
        </w:rPr>
      </w:pPr>
      <w:r>
        <w:rPr>
          <w:rFonts w:ascii="Times New Roman" w:hAnsi="Times New Roman" w:cs="Times New Roman"/>
          <w:color w:val="000000" w:themeColor="text1"/>
        </w:rPr>
        <w:br w:type="page"/>
      </w:r>
    </w:p>
    <w:p w14:paraId="59704053" w14:textId="5ADA51F6" w:rsidR="00C7280B" w:rsidRPr="00476931" w:rsidRDefault="00C7280B" w:rsidP="00C7280B">
      <w:pPr>
        <w:pStyle w:val="Heading3"/>
      </w:pPr>
      <w:bookmarkStart w:id="300" w:name="_Toc110250282"/>
      <w:bookmarkStart w:id="301" w:name="_Toc110250539"/>
      <w:bookmarkStart w:id="302" w:name="_Toc110250670"/>
      <w:r w:rsidRPr="00476931">
        <w:t>5.4.3  Methods</w:t>
      </w:r>
      <w:r w:rsidR="0003562F">
        <w:t>.</w:t>
      </w:r>
      <w:bookmarkEnd w:id="300"/>
      <w:bookmarkEnd w:id="301"/>
      <w:bookmarkEnd w:id="302"/>
    </w:p>
    <w:p w14:paraId="4260A351" w14:textId="77777777" w:rsidR="00C7280B" w:rsidRPr="00476931" w:rsidRDefault="00C7280B" w:rsidP="00C7280B">
      <w:pPr>
        <w:rPr>
          <w:color w:val="000000" w:themeColor="text1"/>
        </w:rPr>
      </w:pPr>
    </w:p>
    <w:p w14:paraId="4D7CED99" w14:textId="3EE1FD9E" w:rsidR="00310878" w:rsidRPr="00476931" w:rsidRDefault="00C7280B" w:rsidP="00F06ED3">
      <w:pPr>
        <w:spacing w:before="1"/>
        <w:rPr>
          <w:color w:val="000000" w:themeColor="text1"/>
        </w:rPr>
      </w:pPr>
      <w:r w:rsidRPr="00476931">
        <w:rPr>
          <w:color w:val="000000" w:themeColor="text1"/>
        </w:rPr>
        <w:t xml:space="preserve">Lysates were prepared from fecal samples by bead beating in SDS buffer (4% SDS, 100 mM Tris-HCl, 10 mM dithiothreitol, pH 8.0) using 0.15 mm diameter zirconium oxide beads, followed by centrifugation at 21,000 x g for 10 minutes. Pre-cleared protein lysates were further denatured by incubation at 85°C for 10 </w:t>
      </w:r>
      <w:proofErr w:type="gramStart"/>
      <w:r w:rsidRPr="00476931">
        <w:rPr>
          <w:color w:val="000000" w:themeColor="text1"/>
        </w:rPr>
        <w:t>minutes, and</w:t>
      </w:r>
      <w:proofErr w:type="gramEnd"/>
      <w:r w:rsidRPr="00476931">
        <w:rPr>
          <w:color w:val="000000" w:themeColor="text1"/>
        </w:rPr>
        <w:t xml:space="preserve"> adjusted to 30 mM iodoacetamide to alkylate reduced cysteines. After incubation in the dark for 20 minutes at room temperature, protein was isolated by chloroform-methanol extraction. Protein pellets were then washed with methanol, air-dried, and re-solubilized in 4% sodium deoxycholate (SDC) in 100 mM ammonium bicarbonate (ABC) buffer, pH 8.0. Protein concentrations were measured using the BCA (bicinchoninic acid) assay (Pierce). Protein samples (250 mg) were then transferred to a 10 </w:t>
      </w:r>
      <w:proofErr w:type="spellStart"/>
      <w:r w:rsidRPr="00476931">
        <w:rPr>
          <w:color w:val="000000" w:themeColor="text1"/>
        </w:rPr>
        <w:t>kDa</w:t>
      </w:r>
      <w:proofErr w:type="spellEnd"/>
      <w:r w:rsidRPr="00476931">
        <w:rPr>
          <w:color w:val="000000" w:themeColor="text1"/>
        </w:rPr>
        <w:t xml:space="preserve"> MWCO spin filter (</w:t>
      </w:r>
      <w:proofErr w:type="spellStart"/>
      <w:r w:rsidRPr="00476931">
        <w:rPr>
          <w:color w:val="000000" w:themeColor="text1"/>
        </w:rPr>
        <w:t>Vivaspin</w:t>
      </w:r>
      <w:proofErr w:type="spellEnd"/>
      <w:r w:rsidRPr="00476931">
        <w:rPr>
          <w:color w:val="000000" w:themeColor="text1"/>
        </w:rPr>
        <w:t xml:space="preserve"> 500, Sartorius), concentrated, rinsed with ABC buffer, and digested in situ with sequencing-grade trypsin</w:t>
      </w:r>
      <w:sdt>
        <w:sdtPr>
          <w:rPr>
            <w:color w:val="000000"/>
            <w:vertAlign w:val="superscript"/>
          </w:rPr>
          <w:tag w:val="MENDELEY_CITATION_v3_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"/>
          <w:id w:val="1149090546"/>
          <w:placeholder>
            <w:docPart w:val="16BD8E0E79395B43BD3B33887AF4003C"/>
          </w:placeholder>
        </w:sdtPr>
        <w:sdtEndPr/>
        <w:sdtContent>
          <w:r w:rsidR="003204EA" w:rsidRPr="003204EA">
            <w:rPr>
              <w:rFonts w:eastAsia="Times New Roman"/>
              <w:color w:val="000000"/>
              <w:vertAlign w:val="superscript"/>
            </w:rPr>
            <w:t>163</w:t>
          </w:r>
        </w:sdtContent>
      </w:sdt>
      <w:r w:rsidRPr="00476931">
        <w:rPr>
          <w:color w:val="000000" w:themeColor="text1"/>
        </w:rPr>
        <w:t>. The tryptic peptide solution was then passed through the spin-filter membrane, adjusted to 1% formic acid to precipitate the remaining SDC, and the precipitate removed from the peptide solution with water-saturated ethyl acetate. Peptide samples were concentrated using</w:t>
      </w:r>
      <w:r w:rsidR="00F06ED3">
        <w:rPr>
          <w:color w:val="000000" w:themeColor="text1"/>
        </w:rPr>
        <w:t xml:space="preserve"> </w:t>
      </w:r>
      <w:r w:rsidRPr="00476931">
        <w:rPr>
          <w:color w:val="000000" w:themeColor="text1"/>
        </w:rPr>
        <w:t xml:space="preserve">a </w:t>
      </w:r>
      <w:proofErr w:type="spellStart"/>
      <w:r w:rsidRPr="00476931">
        <w:rPr>
          <w:color w:val="000000" w:themeColor="text1"/>
        </w:rPr>
        <w:t>SpeedVac</w:t>
      </w:r>
      <w:proofErr w:type="spellEnd"/>
      <w:r w:rsidRPr="00476931">
        <w:rPr>
          <w:color w:val="000000" w:themeColor="text1"/>
        </w:rPr>
        <w:t xml:space="preserve">, measured by BCA assay and analyzed by automated 2D-LC-MS/MS using </w:t>
      </w:r>
      <w:r w:rsidR="00310878" w:rsidRPr="00476931">
        <w:rPr>
          <w:color w:val="000000" w:themeColor="text1"/>
        </w:rPr>
        <w:t>a Vanquish UHPLC with autosampler plumbed directly in-line with a Q Exactive Plus mass spectrometer (</w:t>
      </w:r>
      <w:proofErr w:type="spellStart"/>
      <w:r w:rsidR="00310878" w:rsidRPr="00476931">
        <w:rPr>
          <w:color w:val="000000" w:themeColor="text1"/>
        </w:rPr>
        <w:t>Thermo</w:t>
      </w:r>
      <w:proofErr w:type="spellEnd"/>
      <w:r w:rsidR="00310878" w:rsidRPr="00476931">
        <w:rPr>
          <w:color w:val="000000" w:themeColor="text1"/>
        </w:rPr>
        <w:t xml:space="preserve"> Scientific) outfitted with a 100 mm ID triphasic back column [RP-SCX-RP; reversed-phase (5 mm Kinetex C18) and strong-cation exchange (5 mm Luna SCX) chromatographic resins; Phenomenex] coupled to an in-house pulled, 75 mm</w:t>
      </w:r>
      <w:r w:rsidR="00D013FE">
        <w:rPr>
          <w:color w:val="000000" w:themeColor="text1"/>
        </w:rPr>
        <w:t xml:space="preserve"> </w:t>
      </w:r>
      <w:r w:rsidR="00310878" w:rsidRPr="00476931">
        <w:rPr>
          <w:color w:val="000000" w:themeColor="text1"/>
        </w:rPr>
        <w:t xml:space="preserve">ID nanospray emitter packed with 30 cm Kinetex C18 resin. For each sample, 12 mg of peptides were autoloaded, desalted, </w:t>
      </w:r>
      <w:proofErr w:type="gramStart"/>
      <w:r w:rsidR="00310878" w:rsidRPr="00476931">
        <w:rPr>
          <w:color w:val="000000" w:themeColor="text1"/>
        </w:rPr>
        <w:t>separated</w:t>
      </w:r>
      <w:proofErr w:type="gramEnd"/>
      <w:r w:rsidR="00310878" w:rsidRPr="00476931">
        <w:rPr>
          <w:color w:val="000000" w:themeColor="text1"/>
        </w:rPr>
        <w:t xml:space="preserve"> and analyzed across four successive salt cuts of ammonium acetate (35, 50, 100 and 500 mM), each followed by a 105-minute organic gradient. Eluting peptides were measured and sequenced by data-dependent acquisition on the Q Exactive Plus</w:t>
      </w:r>
      <w:sdt>
        <w:sdtPr>
          <w:rPr>
            <w:color w:val="000000"/>
            <w:vertAlign w:val="superscript"/>
          </w:rPr>
          <w:tag w:val="MENDELEY_CITATION_v3_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"/>
          <w:id w:val="787097043"/>
          <w:placeholder>
            <w:docPart w:val="B45FADC50A324E4486C4324FBA958C61"/>
          </w:placeholder>
        </w:sdtPr>
        <w:sdtEndPr/>
        <w:sdtContent>
          <w:r w:rsidR="003204EA" w:rsidRPr="003204EA">
            <w:rPr>
              <w:rFonts w:eastAsia="Times New Roman"/>
              <w:color w:val="000000"/>
              <w:vertAlign w:val="superscript"/>
            </w:rPr>
            <w:t>163</w:t>
          </w:r>
        </w:sdtContent>
      </w:sdt>
      <w:r w:rsidR="00310878" w:rsidRPr="00476931">
        <w:rPr>
          <w:color w:val="000000" w:themeColor="text1"/>
        </w:rPr>
        <w:t>. MS/MS spectra were searched with MyriMatch v.2.2</w:t>
      </w:r>
      <w:sdt>
        <w:sdtPr>
          <w:rPr>
            <w:color w:val="000000"/>
            <w:vertAlign w:val="superscript"/>
          </w:rPr>
          <w:tag w:val="MENDELEY_CITATION_v3_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"/>
          <w:id w:val="1772125110"/>
          <w:placeholder>
            <w:docPart w:val="B45FADC50A324E4486C4324FBA958C61"/>
          </w:placeholder>
        </w:sdtPr>
        <w:sdtEndPr/>
        <w:sdtContent>
          <w:r w:rsidR="003204EA" w:rsidRPr="003204EA">
            <w:rPr>
              <w:rFonts w:eastAsia="Times New Roman"/>
              <w:color w:val="000000"/>
              <w:vertAlign w:val="superscript"/>
            </w:rPr>
            <w:t>140</w:t>
          </w:r>
        </w:sdtContent>
      </w:sdt>
      <w:r w:rsidR="00310878" w:rsidRPr="00476931">
        <w:rPr>
          <w:color w:val="000000" w:themeColor="text1"/>
        </w:rPr>
        <w:t xml:space="preserve"> against a proteome database derived from the genomes of the strains in the defined model community concatenated with major dietary protein sequences, common protein contaminants, and reversed entries to estimate false-discovery rates (FDR). Since the relative abundance of </w:t>
      </w:r>
      <w:r w:rsidR="00310878" w:rsidRPr="00476931">
        <w:rPr>
          <w:i/>
          <w:iCs/>
          <w:color w:val="000000" w:themeColor="text1"/>
        </w:rPr>
        <w:t>B. thetaiotaomicron</w:t>
      </w:r>
      <w:r w:rsidR="00310878" w:rsidRPr="00476931">
        <w:rPr>
          <w:color w:val="000000" w:themeColor="text1"/>
        </w:rPr>
        <w:t xml:space="preserve"> 7330 was low on day 6 [0.11% ± 0.22% (mean ± SD) for all groups], we chose to analyze all peptides that mapped to the </w:t>
      </w:r>
      <w:r w:rsidR="00310878" w:rsidRPr="00476931">
        <w:rPr>
          <w:i/>
          <w:iCs/>
          <w:color w:val="000000" w:themeColor="text1"/>
        </w:rPr>
        <w:t>B. thetaiotaomicron</w:t>
      </w:r>
      <w:r w:rsidR="00310878" w:rsidRPr="00476931">
        <w:rPr>
          <w:color w:val="000000" w:themeColor="text1"/>
        </w:rPr>
        <w:t xml:space="preserve"> VPI-5482 proteome, regardless of whether they also mapped to </w:t>
      </w:r>
      <w:r w:rsidR="00310878" w:rsidRPr="00476931">
        <w:rPr>
          <w:i/>
          <w:iCs/>
          <w:color w:val="000000" w:themeColor="text1"/>
        </w:rPr>
        <w:t xml:space="preserve">B. thetaiotaomicron </w:t>
      </w:r>
      <w:r w:rsidR="00310878" w:rsidRPr="00476931">
        <w:rPr>
          <w:color w:val="000000" w:themeColor="text1"/>
        </w:rPr>
        <w:t xml:space="preserve">7330. Peptide spectrum matches (PSM) were required to be fully tryptic with any number of missed </w:t>
      </w:r>
      <w:proofErr w:type="gramStart"/>
      <w:r w:rsidR="00310878" w:rsidRPr="00476931">
        <w:rPr>
          <w:color w:val="000000" w:themeColor="text1"/>
        </w:rPr>
        <w:t>cleavages, and</w:t>
      </w:r>
      <w:proofErr w:type="gramEnd"/>
      <w:r w:rsidR="00310878" w:rsidRPr="00476931">
        <w:rPr>
          <w:color w:val="000000" w:themeColor="text1"/>
        </w:rPr>
        <w:t xml:space="preserve"> contain a static modification of 57.0214 Da on cysteine and a dynamic modification of 15.9949 Da on methionine. PSMs were filtered using IDPicker v.3.0</w:t>
      </w:r>
      <w:sdt>
        <w:sdtPr>
          <w:rPr>
            <w:color w:val="000000"/>
            <w:vertAlign w:val="superscript"/>
          </w:rPr>
          <w:tag w:val="MENDELEY_CITATION_v3_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"/>
          <w:id w:val="-1194688595"/>
          <w:placeholder>
            <w:docPart w:val="B45FADC50A324E4486C4324FBA958C61"/>
          </w:placeholder>
        </w:sdtPr>
        <w:sdtEndPr/>
        <w:sdtContent>
          <w:r w:rsidR="003204EA" w:rsidRPr="003204EA">
            <w:rPr>
              <w:rFonts w:eastAsia="Times New Roman"/>
              <w:color w:val="000000"/>
              <w:vertAlign w:val="superscript"/>
            </w:rPr>
            <w:t>141</w:t>
          </w:r>
        </w:sdtContent>
      </w:sdt>
      <w:r w:rsidR="00310878" w:rsidRPr="00476931">
        <w:rPr>
          <w:color w:val="000000" w:themeColor="text1"/>
        </w:rPr>
        <w:t xml:space="preserve"> with an experiment-wide FDR &lt; 1%at the peptide-level. Peptide intensities were assessed by chromatographic area-under-the-curve (label-free quantification option in IDPicker). To remove cases of extreme sequence redundancy, the community meta-proteome was clustered at 100% sequence identity post-database search (UCLUST)</w:t>
      </w:r>
      <w:sdt>
        <w:sdtPr>
          <w:rPr>
            <w:color w:val="000000"/>
            <w:vertAlign w:val="superscript"/>
          </w:rPr>
          <w:tag w:val="MENDELEY_CITATION_v3_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"/>
          <w:id w:val="1162732767"/>
          <w:placeholder>
            <w:docPart w:val="B45FADC50A324E4486C4324FBA958C61"/>
          </w:placeholder>
        </w:sdtPr>
        <w:sdtEndPr/>
        <w:sdtContent>
          <w:r w:rsidR="003204EA" w:rsidRPr="003204EA">
            <w:rPr>
              <w:rFonts w:eastAsia="Times New Roman"/>
              <w:color w:val="000000"/>
              <w:vertAlign w:val="superscript"/>
            </w:rPr>
            <w:t>173</w:t>
          </w:r>
        </w:sdtContent>
      </w:sdt>
      <w:r w:rsidR="00310878" w:rsidRPr="00476931">
        <w:rPr>
          <w:color w:val="000000" w:themeColor="text1"/>
        </w:rPr>
        <w:t xml:space="preserve"> and peptide intensities were summed to their respective protein groups (seeds) to estimate overall protein abundance. Proteins were included in the analysis only if they were detected in more than three biological replicates in at least one experimental group. After considering only peptides that uniquely mapped to a single seed protein, the summed abundances proteins advanced to quantitative analysis yielded 59% from community members, 36% from mouse, and 2% from diet. Missing values were imputed to simulate the limit of detection of the mass spectrometer, using mean minus 2.2 x standard deviation with a width of 0.3 x standard deviation. Four additional imputed distributions produced results that were in general agreement with this approach in terms of fold-abundance change induced by fiber treatment and statistical significance.</w:t>
      </w:r>
    </w:p>
    <w:p w14:paraId="49915936" w14:textId="452A2366" w:rsidR="00061FA9" w:rsidRDefault="00061FA9">
      <w:pPr>
        <w:spacing w:before="1"/>
        <w:rPr>
          <w:rFonts w:eastAsiaTheme="majorEastAsia" w:cstheme="majorBidi"/>
          <w:b/>
          <w:color w:val="000000" w:themeColor="text1"/>
          <w:szCs w:val="26"/>
        </w:rPr>
      </w:pPr>
    </w:p>
    <w:p w14:paraId="2DB509E3" w14:textId="4CAB6A2F" w:rsidR="00310878" w:rsidRPr="00061FA9" w:rsidRDefault="00F43469" w:rsidP="0060435B">
      <w:pPr>
        <w:pStyle w:val="Heading2"/>
        <w:rPr>
          <w:szCs w:val="24"/>
        </w:rPr>
      </w:pPr>
      <w:bookmarkStart w:id="303" w:name="_Toc110250283"/>
      <w:bookmarkStart w:id="304" w:name="_Toc110250540"/>
      <w:bookmarkStart w:id="305" w:name="_Toc110250671"/>
      <w:r w:rsidRPr="00061FA9">
        <w:rPr>
          <w:szCs w:val="24"/>
        </w:rPr>
        <w:t xml:space="preserve">5.5  </w:t>
      </w:r>
      <w:r w:rsidR="00310878" w:rsidRPr="00061FA9">
        <w:rPr>
          <w:szCs w:val="24"/>
        </w:rPr>
        <w:t>Microbiota Functional Activity Biosensors (MFABs)</w:t>
      </w:r>
      <w:r w:rsidR="0003562F">
        <w:rPr>
          <w:szCs w:val="24"/>
        </w:rPr>
        <w:t>.</w:t>
      </w:r>
      <w:bookmarkEnd w:id="303"/>
      <w:bookmarkEnd w:id="304"/>
      <w:bookmarkEnd w:id="305"/>
    </w:p>
    <w:p w14:paraId="7583720B" w14:textId="6CE1E689" w:rsidR="00E24E1F" w:rsidRPr="00061FA9" w:rsidRDefault="00E24E1F" w:rsidP="00E2090C">
      <w:pPr>
        <w:spacing w:before="219"/>
        <w:ind w:left="180" w:firstLine="0"/>
        <w:rPr>
          <w:color w:val="000000" w:themeColor="text1"/>
        </w:rPr>
      </w:pPr>
      <w:r w:rsidRPr="00061FA9">
        <w:rPr>
          <w:i/>
          <w:color w:val="000000" w:themeColor="text1"/>
        </w:rPr>
        <w:t>Text and figures</w:t>
      </w:r>
      <w:r w:rsidRPr="00061FA9">
        <w:rPr>
          <w:i/>
          <w:color w:val="000000" w:themeColor="text1"/>
          <w:spacing w:val="-3"/>
        </w:rPr>
        <w:t xml:space="preserve"> </w:t>
      </w:r>
      <w:r w:rsidRPr="00061FA9">
        <w:rPr>
          <w:i/>
          <w:color w:val="000000" w:themeColor="text1"/>
        </w:rPr>
        <w:t>adapted</w:t>
      </w:r>
      <w:r w:rsidRPr="00061FA9">
        <w:rPr>
          <w:i/>
          <w:color w:val="000000" w:themeColor="text1"/>
          <w:spacing w:val="-2"/>
        </w:rPr>
        <w:t xml:space="preserve"> </w:t>
      </w:r>
      <w:r w:rsidRPr="00061FA9">
        <w:rPr>
          <w:i/>
          <w:color w:val="000000" w:themeColor="text1"/>
        </w:rPr>
        <w:t>from</w:t>
      </w:r>
      <w:r w:rsidRPr="00061FA9">
        <w:rPr>
          <w:i/>
          <w:color w:val="000000" w:themeColor="text1"/>
          <w:spacing w:val="-2"/>
        </w:rPr>
        <w:t xml:space="preserve"> </w:t>
      </w:r>
      <w:proofErr w:type="spellStart"/>
      <w:r w:rsidRPr="00061FA9">
        <w:rPr>
          <w:i/>
          <w:color w:val="000000" w:themeColor="text1"/>
        </w:rPr>
        <w:t>Wesener</w:t>
      </w:r>
      <w:proofErr w:type="spellEnd"/>
      <w:r w:rsidRPr="00061FA9">
        <w:rPr>
          <w:i/>
          <w:color w:val="000000" w:themeColor="text1"/>
          <w:spacing w:val="-3"/>
        </w:rPr>
        <w:t xml:space="preserve"> </w:t>
      </w:r>
      <w:r w:rsidRPr="00061FA9">
        <w:rPr>
          <w:i/>
          <w:color w:val="000000" w:themeColor="text1"/>
        </w:rPr>
        <w:t>et</w:t>
      </w:r>
      <w:r w:rsidRPr="00061FA9">
        <w:rPr>
          <w:i/>
          <w:color w:val="000000" w:themeColor="text1"/>
          <w:spacing w:val="-2"/>
        </w:rPr>
        <w:t xml:space="preserve"> </w:t>
      </w:r>
      <w:r w:rsidRPr="00061FA9">
        <w:rPr>
          <w:i/>
          <w:color w:val="000000" w:themeColor="text1"/>
        </w:rPr>
        <w:t>al., 2021.</w:t>
      </w:r>
      <w:r w:rsidRPr="00061FA9">
        <w:rPr>
          <w:i/>
          <w:color w:val="000000" w:themeColor="text1"/>
          <w:spacing w:val="-3"/>
        </w:rPr>
        <w:t xml:space="preserve"> </w:t>
      </w:r>
      <w:proofErr w:type="spellStart"/>
      <w:r w:rsidRPr="00061FA9">
        <w:rPr>
          <w:i/>
          <w:color w:val="000000" w:themeColor="text1"/>
        </w:rPr>
        <w:t>eLife</w:t>
      </w:r>
      <w:proofErr w:type="spellEnd"/>
      <w:r w:rsidRPr="00061FA9">
        <w:rPr>
          <w:color w:val="000000" w:themeColor="text1"/>
          <w:spacing w:val="-5"/>
        </w:rPr>
        <w:t>.</w:t>
      </w:r>
    </w:p>
    <w:p w14:paraId="166E956F" w14:textId="77777777" w:rsidR="00F43469" w:rsidRPr="00061FA9" w:rsidRDefault="00F43469" w:rsidP="00F43469">
      <w:pPr>
        <w:ind w:left="0" w:firstLine="0"/>
        <w:rPr>
          <w:rFonts w:ascii="Times New Roman" w:hAnsi="Times New Roman" w:cs="Times New Roman"/>
          <w:b/>
          <w:bCs/>
          <w:color w:val="000000" w:themeColor="text1"/>
        </w:rPr>
      </w:pPr>
    </w:p>
    <w:p w14:paraId="351221F9" w14:textId="316419AB" w:rsidR="00F43469" w:rsidRPr="00476931" w:rsidRDefault="00F43469" w:rsidP="00F43469">
      <w:pPr>
        <w:pStyle w:val="Heading3"/>
      </w:pPr>
      <w:bookmarkStart w:id="306" w:name="_Toc110250284"/>
      <w:bookmarkStart w:id="307" w:name="_Toc110250541"/>
      <w:bookmarkStart w:id="308" w:name="_Toc110250672"/>
      <w:r w:rsidRPr="00476931">
        <w:t xml:space="preserve">5.5.1  </w:t>
      </w:r>
      <w:r w:rsidR="00310878" w:rsidRPr="00476931">
        <w:t>Project scope</w:t>
      </w:r>
      <w:r w:rsidR="0003562F">
        <w:t>.</w:t>
      </w:r>
      <w:bookmarkEnd w:id="306"/>
      <w:bookmarkEnd w:id="307"/>
      <w:bookmarkEnd w:id="308"/>
    </w:p>
    <w:p w14:paraId="4A80A705" w14:textId="77777777" w:rsidR="00F43469" w:rsidRPr="00476931" w:rsidRDefault="00F43469" w:rsidP="00F43469">
      <w:pPr>
        <w:rPr>
          <w:color w:val="000000" w:themeColor="text1"/>
        </w:rPr>
      </w:pPr>
    </w:p>
    <w:p w14:paraId="15491E36" w14:textId="1EDAE47A" w:rsidR="00310878" w:rsidRPr="00476931" w:rsidRDefault="00310878" w:rsidP="00F43469">
      <w:pPr>
        <w:rPr>
          <w:rFonts w:eastAsia="Times New Roman"/>
          <w:color w:val="000000" w:themeColor="text1"/>
        </w:rPr>
      </w:pPr>
      <w:r w:rsidRPr="00476931">
        <w:rPr>
          <w:color w:val="000000" w:themeColor="text1"/>
        </w:rPr>
        <w:t xml:space="preserve">The primary focus of this project was to develop a novel method for measuring biochemical activities expressed by the gut microbiome in an </w:t>
      </w:r>
      <w:r w:rsidRPr="00476931">
        <w:rPr>
          <w:i/>
          <w:iCs/>
          <w:color w:val="000000" w:themeColor="text1"/>
        </w:rPr>
        <w:t xml:space="preserve">in vivo </w:t>
      </w:r>
      <w:r w:rsidRPr="00476931">
        <w:rPr>
          <w:color w:val="000000" w:themeColor="text1"/>
        </w:rPr>
        <w:t xml:space="preserve">setting </w:t>
      </w:r>
      <w:proofErr w:type="gramStart"/>
      <w:r w:rsidRPr="00476931">
        <w:rPr>
          <w:color w:val="000000" w:themeColor="text1"/>
        </w:rPr>
        <w:t>in order to</w:t>
      </w:r>
      <w:proofErr w:type="gramEnd"/>
      <w:r w:rsidRPr="00476931">
        <w:rPr>
          <w:color w:val="000000" w:themeColor="text1"/>
        </w:rPr>
        <w:t xml:space="preserve"> quantitatively characterize function.  Specifically, the study was focused on the development of a recoverable, chemical probe based on microscopic silica paramagnetic beads, known as</w:t>
      </w:r>
      <w:r w:rsidRPr="00476931">
        <w:rPr>
          <w:rFonts w:eastAsia="Times New Roman"/>
          <w:color w:val="000000" w:themeColor="text1"/>
        </w:rPr>
        <w:t xml:space="preserve"> </w:t>
      </w:r>
      <w:r w:rsidRPr="00476931">
        <w:rPr>
          <w:color w:val="000000" w:themeColor="text1"/>
        </w:rPr>
        <w:t>‘Microbiota Functional Activity Biosensors’ (MFABs). MFABs can be designed to contain different covalently bound polysaccharide preparation and distinct fluorophores based on the research question of interest.</w:t>
      </w:r>
      <w:r w:rsidRPr="00476931">
        <w:rPr>
          <w:rFonts w:eastAsia="Times New Roman"/>
          <w:color w:val="000000" w:themeColor="text1"/>
        </w:rPr>
        <w:t xml:space="preserve"> </w:t>
      </w:r>
      <w:r w:rsidR="00BC28CB">
        <w:rPr>
          <w:rFonts w:eastAsia="Times New Roman"/>
          <w:color w:val="000000" w:themeColor="text1"/>
        </w:rPr>
        <w:t>While the previous study presented in</w:t>
      </w:r>
      <w:r w:rsidR="00152AB9">
        <w:rPr>
          <w:rFonts w:eastAsia="Times New Roman"/>
          <w:color w:val="000000" w:themeColor="text1"/>
        </w:rPr>
        <w:t xml:space="preserve"> Chapter</w:t>
      </w:r>
      <w:r w:rsidR="00BC28CB">
        <w:rPr>
          <w:rFonts w:eastAsia="Times New Roman"/>
          <w:color w:val="000000" w:themeColor="text1"/>
        </w:rPr>
        <w:t xml:space="preserve"> </w:t>
      </w:r>
      <w:r w:rsidR="00152AB9">
        <w:rPr>
          <w:rFonts w:eastAsia="Times New Roman"/>
          <w:color w:val="000000" w:themeColor="text1"/>
        </w:rPr>
        <w:t xml:space="preserve">5.4 </w:t>
      </w:r>
      <w:r w:rsidR="008A215A">
        <w:rPr>
          <w:rFonts w:eastAsia="Times New Roman"/>
          <w:color w:val="000000" w:themeColor="text1"/>
        </w:rPr>
        <w:t xml:space="preserve">provided an </w:t>
      </w:r>
      <w:r w:rsidR="008A215A" w:rsidRPr="00DF1B27">
        <w:rPr>
          <w:rFonts w:eastAsia="Times New Roman"/>
          <w:i/>
          <w:iCs/>
          <w:color w:val="000000" w:themeColor="text1"/>
        </w:rPr>
        <w:t xml:space="preserve">in vivo </w:t>
      </w:r>
      <w:r w:rsidR="008A215A">
        <w:rPr>
          <w:rFonts w:eastAsia="Times New Roman"/>
          <w:color w:val="000000" w:themeColor="text1"/>
        </w:rPr>
        <w:t>demonstratio</w:t>
      </w:r>
      <w:r w:rsidR="00617493">
        <w:rPr>
          <w:rFonts w:eastAsia="Times New Roman"/>
          <w:color w:val="000000" w:themeColor="text1"/>
        </w:rPr>
        <w:t xml:space="preserve">n using glycan coated beads to assess community-wide </w:t>
      </w:r>
      <w:r w:rsidR="0016789E">
        <w:rPr>
          <w:rFonts w:eastAsia="Times New Roman"/>
          <w:color w:val="000000" w:themeColor="text1"/>
        </w:rPr>
        <w:t xml:space="preserve">glycan degradation, </w:t>
      </w:r>
      <w:r w:rsidR="00903822">
        <w:rPr>
          <w:rFonts w:eastAsia="Times New Roman"/>
          <w:color w:val="000000" w:themeColor="text1"/>
        </w:rPr>
        <w:t xml:space="preserve">the current approach for covalent </w:t>
      </w:r>
      <w:r w:rsidR="00F62484">
        <w:rPr>
          <w:rFonts w:eastAsia="Times New Roman"/>
          <w:color w:val="000000" w:themeColor="text1"/>
        </w:rPr>
        <w:t>attachment of glycans to</w:t>
      </w:r>
      <w:r w:rsidR="00F62484" w:rsidRPr="00F62484">
        <w:t xml:space="preserve"> </w:t>
      </w:r>
      <w:r w:rsidR="00F62484" w:rsidRPr="00F62484">
        <w:rPr>
          <w:rFonts w:eastAsia="Times New Roman"/>
          <w:color w:val="000000" w:themeColor="text1"/>
        </w:rPr>
        <w:t>microscopic paramagnetic glass beads with different covalently bound fluorophores</w:t>
      </w:r>
      <w:r w:rsidR="00F62484">
        <w:rPr>
          <w:rFonts w:eastAsia="Times New Roman"/>
          <w:color w:val="000000" w:themeColor="text1"/>
        </w:rPr>
        <w:t xml:space="preserve"> e</w:t>
      </w:r>
      <w:r w:rsidR="00F62484" w:rsidRPr="00F62484">
        <w:rPr>
          <w:rFonts w:eastAsia="Times New Roman"/>
          <w:color w:val="000000" w:themeColor="text1"/>
        </w:rPr>
        <w:t>liminat</w:t>
      </w:r>
      <w:r w:rsidR="00F62484">
        <w:rPr>
          <w:rFonts w:eastAsia="Times New Roman"/>
          <w:color w:val="000000" w:themeColor="text1"/>
        </w:rPr>
        <w:t>es</w:t>
      </w:r>
      <w:r w:rsidR="00EC28FD">
        <w:rPr>
          <w:rFonts w:eastAsia="Times New Roman"/>
          <w:color w:val="000000" w:themeColor="text1"/>
        </w:rPr>
        <w:t xml:space="preserve"> </w:t>
      </w:r>
      <w:r w:rsidR="00F62484" w:rsidRPr="00F62484">
        <w:rPr>
          <w:rFonts w:eastAsia="Times New Roman"/>
          <w:color w:val="000000" w:themeColor="text1"/>
        </w:rPr>
        <w:t xml:space="preserve"> the proteinaceous component of </w:t>
      </w:r>
      <w:r w:rsidR="00EC28FD">
        <w:rPr>
          <w:rFonts w:eastAsia="Times New Roman"/>
          <w:color w:val="000000" w:themeColor="text1"/>
        </w:rPr>
        <w:t>the previous bead design</w:t>
      </w:r>
      <w:r w:rsidR="00F62484" w:rsidRPr="00F62484">
        <w:rPr>
          <w:rFonts w:eastAsia="Times New Roman"/>
          <w:color w:val="000000" w:themeColor="text1"/>
        </w:rPr>
        <w:t xml:space="preserve"> that relies on streptavidin-coated beads and biotin-conjugated polysaccharide</w:t>
      </w:r>
      <w:r w:rsidR="0072746A">
        <w:rPr>
          <w:rFonts w:eastAsia="Times New Roman"/>
          <w:color w:val="000000" w:themeColor="text1"/>
        </w:rPr>
        <w:t>s</w:t>
      </w:r>
      <w:r w:rsidR="00EE3A92">
        <w:rPr>
          <w:rFonts w:eastAsia="Times New Roman"/>
          <w:color w:val="000000" w:themeColor="text1"/>
        </w:rPr>
        <w:t xml:space="preserve"> and provides</w:t>
      </w:r>
      <w:r w:rsidR="001232A7">
        <w:rPr>
          <w:rFonts w:eastAsia="Times New Roman"/>
          <w:color w:val="000000" w:themeColor="text1"/>
        </w:rPr>
        <w:t xml:space="preserve"> more </w:t>
      </w:r>
      <w:r w:rsidR="000460EE">
        <w:rPr>
          <w:rFonts w:eastAsia="Times New Roman"/>
          <w:color w:val="000000" w:themeColor="text1"/>
        </w:rPr>
        <w:t>attachment sites on the bead surface.</w:t>
      </w:r>
      <w:r w:rsidR="00F62484">
        <w:rPr>
          <w:rFonts w:eastAsia="Times New Roman"/>
          <w:color w:val="000000" w:themeColor="text1"/>
        </w:rPr>
        <w:t xml:space="preserve"> </w:t>
      </w:r>
      <w:r w:rsidR="00903822">
        <w:rPr>
          <w:rFonts w:eastAsia="Times New Roman"/>
          <w:color w:val="000000" w:themeColor="text1"/>
        </w:rPr>
        <w:t xml:space="preserve">  </w:t>
      </w:r>
      <w:r w:rsidRPr="00476931">
        <w:rPr>
          <w:rFonts w:eastAsia="Times New Roman"/>
          <w:color w:val="000000" w:themeColor="text1"/>
        </w:rPr>
        <w:t xml:space="preserve">For </w:t>
      </w:r>
      <w:r w:rsidRPr="00CE322F">
        <w:rPr>
          <w:rFonts w:eastAsia="Times New Roman"/>
          <w:i/>
          <w:iCs/>
          <w:color w:val="000000" w:themeColor="text1"/>
        </w:rPr>
        <w:t>in vivo</w:t>
      </w:r>
      <w:r w:rsidRPr="00476931">
        <w:rPr>
          <w:rFonts w:eastAsia="Times New Roman"/>
          <w:color w:val="000000" w:themeColor="text1"/>
        </w:rPr>
        <w:t xml:space="preserve"> gut microbiome research, MFABs can be pooled and gavaged into gnotobiotic mice colonized with a defined consortium bacterial species and the beads can be recovered from the cecum or feces. Recovered beads can be analyzed using gas chromatography mass spectrometry to quantify the amount of remaining bead bound polysaccharides to assess bacterial community metabolism in different human diet contexts. In this study, the utility of MFABs was illustrated in three different experimental settings. Metaproteomics was used a complementary approach in the first application to assess which community members were expressing proteins to actively utilize the polysaccharides that were degraded on the gavaged beads. </w:t>
      </w:r>
    </w:p>
    <w:p w14:paraId="3118C1CE" w14:textId="4D5FD2E5" w:rsidR="00310878" w:rsidRPr="00476931" w:rsidRDefault="00310878" w:rsidP="00F43469">
      <w:pPr>
        <w:rPr>
          <w:rFonts w:eastAsia="Times New Roman"/>
          <w:color w:val="000000" w:themeColor="text1"/>
        </w:rPr>
      </w:pPr>
      <w:r w:rsidRPr="00476931">
        <w:rPr>
          <w:color w:val="000000" w:themeColor="text1"/>
        </w:rPr>
        <w:t xml:space="preserve">Using the same defined community from the study described in Chapter 5.4, a series of experiments was set up using the gnotobiotic mice to further characterize community degradation of arabinan, the primary polysaccharide component found in pea fiber.  </w:t>
      </w:r>
      <w:r w:rsidRPr="00476931">
        <w:rPr>
          <w:rFonts w:eastAsia="Times New Roman"/>
          <w:color w:val="000000" w:themeColor="text1"/>
        </w:rPr>
        <w:t xml:space="preserve">We used MFABs, DNA sequencing approaches, and metaproteomics to compare community degradation of arabinan from a raw or unfractionated pea fiber preparation to two structurally distinct arabinan polysaccharides, one isolated from the endosperm of pea (PFABN) and the other from sugar beet (SBABN).  Gnotobiotic mice were colonized with the defined bacterial consortium and fed </w:t>
      </w:r>
      <w:r w:rsidRPr="00476931">
        <w:rPr>
          <w:color w:val="000000" w:themeColor="text1"/>
        </w:rPr>
        <w:t>HiSF/LoFV</w:t>
      </w:r>
      <w:r w:rsidRPr="00476931">
        <w:rPr>
          <w:rFonts w:eastAsia="Times New Roman"/>
          <w:color w:val="000000" w:themeColor="text1"/>
        </w:rPr>
        <w:t xml:space="preserve"> control diet with or without glycan supplementation. </w:t>
      </w:r>
    </w:p>
    <w:p w14:paraId="1DCFBA8E" w14:textId="779C3A80" w:rsidR="00310878" w:rsidRPr="00476931" w:rsidRDefault="00F43469" w:rsidP="00F43469">
      <w:pPr>
        <w:pStyle w:val="Heading3"/>
        <w:rPr>
          <w:rFonts w:eastAsia="Times New Roman"/>
        </w:rPr>
      </w:pPr>
      <w:bookmarkStart w:id="309" w:name="_Toc110250285"/>
      <w:bookmarkStart w:id="310" w:name="_Toc110250542"/>
      <w:bookmarkStart w:id="311" w:name="_Toc110250673"/>
      <w:r w:rsidRPr="00476931">
        <w:rPr>
          <w:rFonts w:eastAsia="Times New Roman"/>
        </w:rPr>
        <w:t xml:space="preserve">5.5.2  </w:t>
      </w:r>
      <w:r w:rsidR="00310878" w:rsidRPr="00476931">
        <w:rPr>
          <w:rFonts w:eastAsia="Times New Roman"/>
        </w:rPr>
        <w:t xml:space="preserve">Results </w:t>
      </w:r>
      <w:r w:rsidR="0003562F">
        <w:rPr>
          <w:rFonts w:eastAsia="Times New Roman"/>
        </w:rPr>
        <w:t>and d</w:t>
      </w:r>
      <w:r w:rsidR="00310878" w:rsidRPr="00476931">
        <w:rPr>
          <w:rFonts w:eastAsia="Times New Roman"/>
        </w:rPr>
        <w:t>iscussion</w:t>
      </w:r>
      <w:r w:rsidR="0003562F">
        <w:rPr>
          <w:rFonts w:eastAsia="Times New Roman"/>
        </w:rPr>
        <w:t>.</w:t>
      </w:r>
      <w:bookmarkEnd w:id="309"/>
      <w:bookmarkEnd w:id="310"/>
      <w:bookmarkEnd w:id="311"/>
    </w:p>
    <w:p w14:paraId="630A7275" w14:textId="77777777" w:rsidR="00F43469" w:rsidRPr="00476931" w:rsidRDefault="00F43469" w:rsidP="00F43469">
      <w:pPr>
        <w:rPr>
          <w:color w:val="000000" w:themeColor="text1"/>
        </w:rPr>
      </w:pPr>
    </w:p>
    <w:p w14:paraId="79293CCF" w14:textId="096A7AB5" w:rsidR="00061FA9" w:rsidRPr="00061FA9" w:rsidRDefault="00310878" w:rsidP="00061FA9">
      <w:pPr>
        <w:rPr>
          <w:color w:val="000000" w:themeColor="text1"/>
        </w:rPr>
      </w:pPr>
      <w:r w:rsidRPr="00476931">
        <w:rPr>
          <w:color w:val="000000" w:themeColor="text1"/>
        </w:rPr>
        <w:t>COPRO-Seq was used to assess colonization of each community member in response to different diets, and results showed that five members of the community exhibited statistically significant differences in abundance in response to diets with supplementation of different glycan preparations. To complement these results, we measured matching fecal samples collected at six days post gavage (</w:t>
      </w:r>
      <w:proofErr w:type="spellStart"/>
      <w:r w:rsidRPr="00476931">
        <w:rPr>
          <w:color w:val="000000" w:themeColor="text1"/>
        </w:rPr>
        <w:t>dpg</w:t>
      </w:r>
      <w:proofErr w:type="spellEnd"/>
      <w:r w:rsidRPr="00476931">
        <w:rPr>
          <w:color w:val="000000" w:themeColor="text1"/>
        </w:rPr>
        <w:t xml:space="preserve">) by LC-MS/MS-based metaproteomics in two independent experiments with a total of eleven mice per treatment arm </w:t>
      </w:r>
      <w:r w:rsidRPr="00476931">
        <w:rPr>
          <w:b/>
          <w:bCs/>
          <w:color w:val="000000" w:themeColor="text1"/>
        </w:rPr>
        <w:t>(Figure 5</w:t>
      </w:r>
      <w:r w:rsidR="00697361">
        <w:rPr>
          <w:b/>
          <w:bCs/>
          <w:color w:val="000000" w:themeColor="text1"/>
        </w:rPr>
        <w:t>-</w:t>
      </w:r>
      <w:r w:rsidRPr="00476931">
        <w:rPr>
          <w:b/>
          <w:bCs/>
          <w:color w:val="000000" w:themeColor="text1"/>
        </w:rPr>
        <w:t>7A).</w:t>
      </w:r>
      <w:r w:rsidRPr="00476931">
        <w:rPr>
          <w:color w:val="000000" w:themeColor="text1"/>
        </w:rPr>
        <w:t xml:space="preserve"> Looking at the summed proteins abundances of each organism in the community, metaproteomics confirmed the five members identified by COPRO-Seq displayed distinct responses to different glycan </w:t>
      </w:r>
      <w:bookmarkStart w:id="312" w:name="_Toc107573979"/>
      <w:r w:rsidR="00061FA9" w:rsidRPr="00061FA9">
        <w:rPr>
          <w:color w:val="000000" w:themeColor="text1"/>
        </w:rPr>
        <w:t xml:space="preserve">preparations.  Specifically, </w:t>
      </w:r>
      <w:r w:rsidR="00061FA9" w:rsidRPr="00061FA9">
        <w:rPr>
          <w:i/>
          <w:iCs/>
          <w:color w:val="000000" w:themeColor="text1"/>
        </w:rPr>
        <w:t xml:space="preserve">B. thetaiotaomicron </w:t>
      </w:r>
      <w:r w:rsidR="00061FA9" w:rsidRPr="00061FA9">
        <w:rPr>
          <w:color w:val="000000" w:themeColor="text1"/>
        </w:rPr>
        <w:t xml:space="preserve">increased in abundance for all three supplemented diets compared to the control diet.  </w:t>
      </w:r>
      <w:r w:rsidR="00061FA9" w:rsidRPr="00061FA9">
        <w:rPr>
          <w:i/>
          <w:iCs/>
          <w:color w:val="000000" w:themeColor="text1"/>
        </w:rPr>
        <w:t>B. ovatus</w:t>
      </w:r>
      <w:r w:rsidR="00061FA9" w:rsidRPr="00061FA9">
        <w:rPr>
          <w:color w:val="000000" w:themeColor="text1"/>
        </w:rPr>
        <w:t xml:space="preserve"> responded to exposure to both intact pea fiber and </w:t>
      </w:r>
      <w:proofErr w:type="gramStart"/>
      <w:r w:rsidR="00061FA9" w:rsidRPr="00061FA9">
        <w:rPr>
          <w:color w:val="000000" w:themeColor="text1"/>
        </w:rPr>
        <w:t>PFABN, but</w:t>
      </w:r>
      <w:proofErr w:type="gramEnd"/>
      <w:r w:rsidR="00061FA9" w:rsidRPr="00061FA9">
        <w:rPr>
          <w:color w:val="000000" w:themeColor="text1"/>
        </w:rPr>
        <w:t xml:space="preserve"> did not increase with SBABN supplementation</w:t>
      </w:r>
      <w:r w:rsidR="00061FA9" w:rsidRPr="00061FA9">
        <w:rPr>
          <w:i/>
          <w:iCs/>
          <w:color w:val="000000" w:themeColor="text1"/>
        </w:rPr>
        <w:t>. B. vulgatus</w:t>
      </w:r>
      <w:r w:rsidR="00061FA9" w:rsidRPr="00061FA9">
        <w:rPr>
          <w:color w:val="000000" w:themeColor="text1"/>
        </w:rPr>
        <w:t xml:space="preserve"> increased in protein abundance only with SBABN supplementation.  Both</w:t>
      </w:r>
      <w:r w:rsidR="00061FA9" w:rsidRPr="00061FA9">
        <w:rPr>
          <w:i/>
          <w:iCs/>
          <w:color w:val="000000" w:themeColor="text1"/>
        </w:rPr>
        <w:t>. B. cellulosilyticus WH2</w:t>
      </w:r>
      <w:r w:rsidR="00061FA9" w:rsidRPr="00061FA9">
        <w:rPr>
          <w:color w:val="000000" w:themeColor="text1"/>
        </w:rPr>
        <w:t xml:space="preserve"> and </w:t>
      </w:r>
      <w:proofErr w:type="spellStart"/>
      <w:r w:rsidR="00061FA9" w:rsidRPr="00061FA9">
        <w:rPr>
          <w:i/>
          <w:iCs/>
          <w:color w:val="000000" w:themeColor="text1"/>
        </w:rPr>
        <w:t>Ruminococcaceae</w:t>
      </w:r>
      <w:proofErr w:type="spellEnd"/>
      <w:r w:rsidR="00061FA9" w:rsidRPr="00061FA9">
        <w:rPr>
          <w:i/>
          <w:iCs/>
          <w:color w:val="000000" w:themeColor="text1"/>
        </w:rPr>
        <w:t xml:space="preserve"> sp.</w:t>
      </w:r>
      <w:r w:rsidR="00061FA9" w:rsidRPr="00061FA9">
        <w:rPr>
          <w:color w:val="000000" w:themeColor="text1"/>
        </w:rPr>
        <w:t xml:space="preserve"> increased in abundance when exposed to intact pea fiber supplementation, but not to either of the isolated arabinan preparations. </w:t>
      </w:r>
    </w:p>
    <w:p w14:paraId="5F069FA4" w14:textId="6AA781CA" w:rsidR="00A450EA" w:rsidRDefault="00061FA9" w:rsidP="00A450EA">
      <w:pPr>
        <w:ind w:firstLine="0"/>
        <w:rPr>
          <w:color w:val="000000" w:themeColor="text1"/>
        </w:rPr>
      </w:pPr>
      <w:r w:rsidRPr="00061FA9">
        <w:rPr>
          <w:color w:val="000000" w:themeColor="text1"/>
        </w:rPr>
        <w:t>To explain underlying mechanisms of this diet-driven shift in community composition, we looked at protein expression within PULs possessed by the four</w:t>
      </w:r>
      <w:r w:rsidR="00A450EA">
        <w:rPr>
          <w:color w:val="000000" w:themeColor="text1"/>
        </w:rPr>
        <w:t xml:space="preserve"> </w:t>
      </w:r>
      <w:r w:rsidR="00A450EA" w:rsidRPr="00476931">
        <w:rPr>
          <w:i/>
          <w:iCs/>
        </w:rPr>
        <w:t>Bacter</w:t>
      </w:r>
      <w:r w:rsidR="003A4B23">
        <w:rPr>
          <w:i/>
          <w:iCs/>
        </w:rPr>
        <w:t>oi</w:t>
      </w:r>
      <w:r w:rsidR="00A450EA" w:rsidRPr="00476931">
        <w:rPr>
          <w:i/>
          <w:iCs/>
        </w:rPr>
        <w:t>des</w:t>
      </w:r>
      <w:r w:rsidR="00A450EA" w:rsidRPr="00476931">
        <w:t xml:space="preserve"> species in the community that responded to arabinan supplementation.</w:t>
      </w:r>
      <w:r w:rsidR="00A450EA">
        <w:t xml:space="preserve"> </w:t>
      </w:r>
      <w:r w:rsidR="00A450EA" w:rsidRPr="00476931">
        <w:t xml:space="preserve"> Using gene set enrichment analysis, there were 14, 12, 11, and 8 PULs identified that were considered responsive to at least one of the diet supplements in </w:t>
      </w:r>
      <w:r w:rsidR="00A450EA" w:rsidRPr="00476931">
        <w:rPr>
          <w:i/>
          <w:iCs/>
        </w:rPr>
        <w:t>B</w:t>
      </w:r>
      <w:r w:rsidR="00A450EA">
        <w:rPr>
          <w:i/>
          <w:iCs/>
        </w:rPr>
        <w:t xml:space="preserve"> </w:t>
      </w:r>
      <w:r w:rsidR="00A450EA" w:rsidRPr="00476931">
        <w:rPr>
          <w:i/>
          <w:iCs/>
        </w:rPr>
        <w:t>thetaiotaomicron</w:t>
      </w:r>
      <w:r w:rsidR="00A450EA" w:rsidRPr="00476931">
        <w:t xml:space="preserve">, </w:t>
      </w:r>
      <w:r w:rsidR="00A450EA" w:rsidRPr="00476931">
        <w:rPr>
          <w:i/>
          <w:iCs/>
        </w:rPr>
        <w:t>B. ovatus,</w:t>
      </w:r>
      <w:r w:rsidR="00A450EA" w:rsidRPr="00476931">
        <w:t xml:space="preserve"> </w:t>
      </w:r>
      <w:r w:rsidR="00A450EA" w:rsidRPr="00476931">
        <w:rPr>
          <w:i/>
          <w:iCs/>
        </w:rPr>
        <w:t>B. cellulosilyticus WH2</w:t>
      </w:r>
      <w:r w:rsidR="00A450EA" w:rsidRPr="00476931">
        <w:t xml:space="preserve">, and </w:t>
      </w:r>
      <w:r w:rsidR="00A450EA" w:rsidRPr="00476931">
        <w:rPr>
          <w:i/>
          <w:iCs/>
        </w:rPr>
        <w:t>B. vulgatus</w:t>
      </w:r>
      <w:r w:rsidR="00A450EA" w:rsidRPr="00476931">
        <w:t xml:space="preserve">, respectively </w:t>
      </w:r>
      <w:r w:rsidR="00A450EA" w:rsidRPr="00476931">
        <w:rPr>
          <w:b/>
          <w:bCs/>
        </w:rPr>
        <w:t>(Figure 5</w:t>
      </w:r>
      <w:r w:rsidR="00697361">
        <w:rPr>
          <w:b/>
          <w:bCs/>
        </w:rPr>
        <w:t>-</w:t>
      </w:r>
      <w:r w:rsidR="00A450EA" w:rsidRPr="00476931">
        <w:rPr>
          <w:b/>
          <w:bCs/>
        </w:rPr>
        <w:t>7B).</w:t>
      </w:r>
      <w:r w:rsidR="00A450EA" w:rsidRPr="00476931">
        <w:t xml:space="preserve">  </w:t>
      </w:r>
      <w:r w:rsidR="00A450EA" w:rsidRPr="00476931">
        <w:rPr>
          <w:color w:val="000000" w:themeColor="text1"/>
        </w:rPr>
        <w:t xml:space="preserve">The results of </w:t>
      </w:r>
      <w:r w:rsidR="00A450EA">
        <w:rPr>
          <w:color w:val="000000" w:themeColor="text1"/>
        </w:rPr>
        <w:t xml:space="preserve">the </w:t>
      </w:r>
      <w:r w:rsidR="00A450EA" w:rsidRPr="0055199D">
        <w:rPr>
          <w:i/>
          <w:iCs/>
          <w:color w:val="000000" w:themeColor="text1"/>
        </w:rPr>
        <w:t>in vivo</w:t>
      </w:r>
      <w:r w:rsidR="00A450EA" w:rsidRPr="00476931">
        <w:rPr>
          <w:color w:val="000000" w:themeColor="text1"/>
        </w:rPr>
        <w:t xml:space="preserve"> metaproteomics analysis comparing the differential expression of PULs was also consistent with a</w:t>
      </w:r>
      <w:r w:rsidR="00A450EA">
        <w:rPr>
          <w:color w:val="000000" w:themeColor="text1"/>
        </w:rPr>
        <w:t xml:space="preserve"> follow-up </w:t>
      </w:r>
      <w:r w:rsidR="00A450EA" w:rsidRPr="00891DFC">
        <w:rPr>
          <w:i/>
          <w:iCs/>
          <w:color w:val="000000" w:themeColor="text1"/>
        </w:rPr>
        <w:t>in vitro</w:t>
      </w:r>
      <w:r w:rsidR="00A450EA" w:rsidRPr="00476931">
        <w:rPr>
          <w:color w:val="000000" w:themeColor="text1"/>
        </w:rPr>
        <w:t xml:space="preserve"> MFAB-based PFABN degradation</w:t>
      </w:r>
      <w:r w:rsidR="00A450EA">
        <w:rPr>
          <w:color w:val="000000" w:themeColor="text1"/>
        </w:rPr>
        <w:t xml:space="preserve"> experiment</w:t>
      </w:r>
      <w:r w:rsidR="00A450EA" w:rsidRPr="00476931">
        <w:rPr>
          <w:color w:val="000000" w:themeColor="text1"/>
        </w:rPr>
        <w:t xml:space="preserve"> which demonstrated the ability of MFABs to induce the expression PULs involved in PFABN utilization.</w:t>
      </w:r>
    </w:p>
    <w:p w14:paraId="380A5013" w14:textId="3492CB4B" w:rsidR="00061FA9" w:rsidRDefault="006373A6" w:rsidP="00061FA9">
      <w:pPr>
        <w:rPr>
          <w:color w:val="000000" w:themeColor="text1"/>
        </w:rPr>
      </w:pPr>
      <w:r w:rsidRPr="00882685">
        <w:rPr>
          <w:color w:val="000000" w:themeColor="text1"/>
        </w:rPr>
        <w:t>In total, this study demonstrates an approach to identify bioactive components</w:t>
      </w:r>
    </w:p>
    <w:p w14:paraId="10C26C96" w14:textId="640DAFEF" w:rsidR="00061FA9" w:rsidRDefault="00061FA9">
      <w:pPr>
        <w:spacing w:before="1"/>
        <w:rPr>
          <w:color w:val="000000" w:themeColor="text1"/>
        </w:rPr>
      </w:pPr>
      <w:r>
        <w:rPr>
          <w:noProof/>
        </w:rPr>
        <mc:AlternateContent>
          <mc:Choice Requires="wps">
            <w:drawing>
              <wp:anchor distT="0" distB="0" distL="114300" distR="114300" simplePos="0" relativeHeight="251658266" behindDoc="0" locked="0" layoutInCell="1" allowOverlap="1" wp14:anchorId="7C234AC6" wp14:editId="2E4B5A1C">
                <wp:simplePos x="0" y="0"/>
                <wp:positionH relativeFrom="column">
                  <wp:posOffset>125095</wp:posOffset>
                </wp:positionH>
                <wp:positionV relativeFrom="paragraph">
                  <wp:posOffset>3181350</wp:posOffset>
                </wp:positionV>
                <wp:extent cx="5308600" cy="635"/>
                <wp:effectExtent l="0" t="0" r="0" b="12065"/>
                <wp:wrapTopAndBottom/>
                <wp:docPr id="42" name="Text Box 42"/>
                <wp:cNvGraphicFramePr/>
                <a:graphic xmlns:a="http://schemas.openxmlformats.org/drawingml/2006/main">
                  <a:graphicData uri="http://schemas.microsoft.com/office/word/2010/wordprocessingShape">
                    <wps:wsp>
                      <wps:cNvSpPr txBox="1"/>
                      <wps:spPr>
                        <a:xfrm>
                          <a:off x="0" y="0"/>
                          <a:ext cx="5308600" cy="635"/>
                        </a:xfrm>
                        <a:prstGeom prst="rect">
                          <a:avLst/>
                        </a:prstGeom>
                        <a:solidFill>
                          <a:prstClr val="white"/>
                        </a:solidFill>
                        <a:ln>
                          <a:noFill/>
                        </a:ln>
                      </wps:spPr>
                      <wps:txbx>
                        <w:txbxContent>
                          <w:p w14:paraId="39CC80BD" w14:textId="6C77C99A" w:rsidR="00061FA9" w:rsidRPr="00061FA9" w:rsidRDefault="00061FA9" w:rsidP="00061FA9">
                            <w:pPr>
                              <w:pStyle w:val="Caption"/>
                              <w:rPr>
                                <w:b w:val="0"/>
                                <w:bCs/>
                              </w:rPr>
                            </w:pPr>
                            <w:bookmarkStart w:id="313" w:name="_Toc110246954"/>
                            <w:r>
                              <w:t xml:space="preserve">Figure </w:t>
                            </w:r>
                            <w:fldSimple w:instr=" STYLEREF 1 \s ">
                              <w:r w:rsidR="00AC2094">
                                <w:rPr>
                                  <w:noProof/>
                                </w:rPr>
                                <w:t>5</w:t>
                              </w:r>
                            </w:fldSimple>
                            <w:r w:rsidR="00AC2094">
                              <w:noBreakHyphen/>
                            </w:r>
                            <w:fldSimple w:instr=" SEQ Figure \* ARABIC \s 1 ">
                              <w:r w:rsidR="00AC2094">
                                <w:rPr>
                                  <w:noProof/>
                                </w:rPr>
                                <w:t>7</w:t>
                              </w:r>
                            </w:fldSimple>
                            <w:r>
                              <w:t xml:space="preserve">  </w:t>
                            </w:r>
                            <w:r w:rsidRPr="00061FA9">
                              <w:t>The effects of supplementing the HiSF-LoFV control diet with unfractionated pea fiber, PFABN, or SBABN on PUL gene expression.</w:t>
                            </w:r>
                            <w:bookmarkEnd w:id="313"/>
                            <w:r w:rsidRPr="00061FA9">
                              <w:t xml:space="preserve">  </w:t>
                            </w:r>
                            <w:r w:rsidRPr="00061FA9">
                              <w:rPr>
                                <w:b w:val="0"/>
                                <w:bCs/>
                              </w:rPr>
                              <w:fldChar w:fldCharType="begin"/>
                            </w:r>
                            <w:r w:rsidRPr="00061FA9">
                              <w:rPr>
                                <w:b w:val="0"/>
                                <w:bCs/>
                              </w:rPr>
                              <w:instrText xml:space="preserve"> </w:instrText>
                            </w:r>
                          </w:p>
                          <w:p w14:paraId="70770A23" w14:textId="77777777" w:rsidR="00061FA9" w:rsidRPr="00061FA9" w:rsidRDefault="00061FA9" w:rsidP="00061FA9">
                            <w:pPr>
                              <w:pStyle w:val="Caption"/>
                              <w:rPr>
                                <w:b w:val="0"/>
                                <w:bCs/>
                              </w:rPr>
                            </w:pPr>
                          </w:p>
                          <w:p w14:paraId="0D52AF11" w14:textId="49878404" w:rsidR="00061FA9" w:rsidRPr="00061FA9" w:rsidRDefault="00061FA9" w:rsidP="00061FA9">
                            <w:pPr>
                              <w:pStyle w:val="Caption"/>
                              <w:rPr>
                                <w:b w:val="0"/>
                                <w:bCs/>
                              </w:rPr>
                            </w:pPr>
                            <w:r w:rsidRPr="00061FA9">
                              <w:rPr>
                                <w:b w:val="0"/>
                                <w:bCs/>
                              </w:rPr>
                              <w:instrText xml:space="preserve"> </w:instrText>
                            </w:r>
                            <w:r w:rsidRPr="00061FA9">
                              <w:rPr>
                                <w:b w:val="0"/>
                                <w:bCs/>
                              </w:rPr>
                              <w:fldChar w:fldCharType="end"/>
                            </w:r>
                            <w:r w:rsidRPr="00061FA9">
                              <w:rPr>
                                <w:b w:val="0"/>
                                <w:bCs/>
                              </w:rPr>
                              <w:t xml:space="preserve">(A) Monotonous feeding experiments of the HiSF-LoFV control diet supplemented with or glycan supplementation for metaproteomic analyses.  (B) Heat maps for </w:t>
                            </w:r>
                            <w:r w:rsidRPr="00320C22">
                              <w:rPr>
                                <w:b w:val="0"/>
                                <w:bCs/>
                                <w:i/>
                                <w:iCs w:val="0"/>
                              </w:rPr>
                              <w:t>Bacteroides</w:t>
                            </w:r>
                            <w:r w:rsidRPr="00061FA9">
                              <w:rPr>
                                <w:b w:val="0"/>
                                <w:bCs/>
                              </w:rPr>
                              <w:t xml:space="preserve"> species of interest, showing the average log2 fold change in abundance of proteins found within PULs identified as supplement-responsive using GSEA. *p&lt;0.05 (unpaired one-sample Z-test, FDR corrected) compared to PUL protein abundance when mice were fed the base HiSF-LoFV diet.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oel="http://schemas.microsoft.com/office/2019/extlst">
            <w:pict>
              <v:shape w14:anchorId="7C234AC6" id="Text Box 42" o:spid="_x0000_s1087" type="#_x0000_t202" style="position:absolute;left:0;text-align:left;margin-left:9.85pt;margin-top:250.5pt;width:418pt;height:.05pt;z-index:25165826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" stroked="f">
                <v:textbox style="mso-fit-shape-to-text:t" inset="0,0,0,0">
                  <w:txbxContent>
                    <w:p w14:paraId="39CC80BD" w14:textId="6C77C99A" w:rsidR="00061FA9" w:rsidRPr="00061FA9" w:rsidRDefault="00061FA9" w:rsidP="00061FA9">
                      <w:pPr>
                        <w:pStyle w:val="Caption"/>
                        <w:rPr>
                          <w:b w:val="0"/>
                          <w:bCs/>
                        </w:rPr>
                      </w:pPr>
                      <w:bookmarkStart w:id="326" w:name="_Toc110246954"/>
                      <w:r>
                        <w:t xml:space="preserve">Figure </w:t>
                      </w:r>
                      <w:r w:rsidR="00000000">
                        <w:fldChar w:fldCharType="begin"/>
                      </w:r>
                      <w:r w:rsidR="00000000">
                        <w:instrText xml:space="preserve"> STYLEREF 1 \s </w:instrText>
                      </w:r>
                      <w:r w:rsidR="00000000">
                        <w:fldChar w:fldCharType="separate"/>
                      </w:r>
                      <w:r w:rsidR="00AC2094">
                        <w:rPr>
                          <w:noProof/>
                        </w:rPr>
                        <w:t>5</w:t>
                      </w:r>
                      <w:r w:rsidR="00000000">
                        <w:rPr>
                          <w:noProof/>
                        </w:rPr>
                        <w:fldChar w:fldCharType="end"/>
                      </w:r>
                      <w:r w:rsidR="00AC2094">
                        <w:noBreakHyphen/>
                      </w:r>
                      <w:r w:rsidR="00000000">
                        <w:fldChar w:fldCharType="begin"/>
                      </w:r>
                      <w:r w:rsidR="00000000">
                        <w:instrText xml:space="preserve"> SEQ Figure \* ARABIC \s 1 </w:instrText>
                      </w:r>
                      <w:r w:rsidR="00000000">
                        <w:fldChar w:fldCharType="separate"/>
                      </w:r>
                      <w:r w:rsidR="00AC2094">
                        <w:rPr>
                          <w:noProof/>
                        </w:rPr>
                        <w:t>7</w:t>
                      </w:r>
                      <w:r w:rsidR="00000000">
                        <w:rPr>
                          <w:noProof/>
                        </w:rPr>
                        <w:fldChar w:fldCharType="end"/>
                      </w:r>
                      <w:r>
                        <w:t xml:space="preserve">  </w:t>
                      </w:r>
                      <w:r w:rsidRPr="00061FA9">
                        <w:t>The effects of supplementing the HiSF-LoFV control diet with unfractionated pea fiber, PFABN, or SBABN on PUL gene expression.</w:t>
                      </w:r>
                      <w:bookmarkEnd w:id="326"/>
                      <w:r w:rsidRPr="00061FA9">
                        <w:t xml:space="preserve">  </w:t>
                      </w:r>
                      <w:r w:rsidRPr="00061FA9">
                        <w:rPr>
                          <w:b w:val="0"/>
                          <w:bCs/>
                        </w:rPr>
                        <w:fldChar w:fldCharType="begin"/>
                      </w:r>
                      <w:r w:rsidRPr="00061FA9">
                        <w:rPr>
                          <w:b w:val="0"/>
                          <w:bCs/>
                        </w:rPr>
                        <w:instrText xml:space="preserve"> </w:instrText>
                      </w:r>
                    </w:p>
                    <w:p w14:paraId="70770A23" w14:textId="77777777" w:rsidR="00061FA9" w:rsidRPr="00061FA9" w:rsidRDefault="00061FA9" w:rsidP="00061FA9">
                      <w:pPr>
                        <w:pStyle w:val="Caption"/>
                        <w:rPr>
                          <w:b w:val="0"/>
                          <w:bCs/>
                        </w:rPr>
                      </w:pPr>
                    </w:p>
                    <w:p w14:paraId="0D52AF11" w14:textId="49878404" w:rsidR="00061FA9" w:rsidRPr="00061FA9" w:rsidRDefault="00061FA9" w:rsidP="00061FA9">
                      <w:pPr>
                        <w:pStyle w:val="Caption"/>
                        <w:rPr>
                          <w:b w:val="0"/>
                          <w:bCs/>
                        </w:rPr>
                      </w:pPr>
                      <w:r w:rsidRPr="00061FA9">
                        <w:rPr>
                          <w:b w:val="0"/>
                          <w:bCs/>
                        </w:rPr>
                        <w:instrText xml:space="preserve"> </w:instrText>
                      </w:r>
                      <w:r w:rsidRPr="00061FA9">
                        <w:rPr>
                          <w:b w:val="0"/>
                          <w:bCs/>
                        </w:rPr>
                        <w:fldChar w:fldCharType="end"/>
                      </w:r>
                      <w:r w:rsidRPr="00061FA9">
                        <w:rPr>
                          <w:b w:val="0"/>
                          <w:bCs/>
                        </w:rPr>
                        <w:t xml:space="preserve">(A) Monotonous feeding experiments of the HiSF-LoFV control diet supplemented with or glycan supplementation for metaproteomic analyses.  (B) Heat maps for </w:t>
                      </w:r>
                      <w:r w:rsidRPr="00320C22">
                        <w:rPr>
                          <w:b w:val="0"/>
                          <w:bCs/>
                          <w:i/>
                          <w:iCs w:val="0"/>
                        </w:rPr>
                        <w:t>Bacteroides</w:t>
                      </w:r>
                      <w:r w:rsidRPr="00061FA9">
                        <w:rPr>
                          <w:b w:val="0"/>
                          <w:bCs/>
                        </w:rPr>
                        <w:t xml:space="preserve"> species of interest, showing the average log2 fold change in abundance of proteins found within PULs identified as supplement-responsive using GSEA. *p&lt;0.05 (unpaired one-sample Z-test, FDR corrected) compared to PUL protein abundance when mice were fed the base HiSF-LoFV diet.</w:t>
                      </w:r>
                    </w:p>
                  </w:txbxContent>
                </v:textbox>
                <w10:wrap type="topAndBottom"/>
              </v:shape>
            </w:pict>
          </mc:Fallback>
        </mc:AlternateContent>
      </w:r>
      <w:r w:rsidRPr="00476931">
        <w:rPr>
          <w:rFonts w:ascii="Times New Roman" w:hAnsi="Times New Roman" w:cs="Times New Roman"/>
          <w:b/>
          <w:noProof/>
          <w:color w:val="000000" w:themeColor="text1"/>
        </w:rPr>
        <w:drawing>
          <wp:anchor distT="0" distB="0" distL="114300" distR="114300" simplePos="0" relativeHeight="251658265" behindDoc="0" locked="0" layoutInCell="1" allowOverlap="1" wp14:anchorId="77159197" wp14:editId="117F44C5">
            <wp:simplePos x="0" y="0"/>
            <wp:positionH relativeFrom="column">
              <wp:posOffset>125095</wp:posOffset>
            </wp:positionH>
            <wp:positionV relativeFrom="paragraph">
              <wp:posOffset>83185</wp:posOffset>
            </wp:positionV>
            <wp:extent cx="5308600" cy="3041015"/>
            <wp:effectExtent l="0" t="0" r="0" b="0"/>
            <wp:wrapTopAndBottom/>
            <wp:docPr id="2308" name="Picture 2308"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8" name="Picture 2308" descr="Calendar&#10;&#10;Description automatically generated"/>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308600" cy="3041015"/>
                    </a:xfrm>
                    <a:prstGeom prst="rect">
                      <a:avLst/>
                    </a:prstGeom>
                    <a:noFill/>
                  </pic:spPr>
                </pic:pic>
              </a:graphicData>
            </a:graphic>
            <wp14:sizeRelH relativeFrom="margin">
              <wp14:pctWidth>0</wp14:pctWidth>
            </wp14:sizeRelH>
            <wp14:sizeRelV relativeFrom="margin">
              <wp14:pctHeight>0</wp14:pctHeight>
            </wp14:sizeRelV>
          </wp:anchor>
        </w:drawing>
      </w:r>
      <w:r>
        <w:rPr>
          <w:color w:val="000000" w:themeColor="text1"/>
        </w:rPr>
        <w:t xml:space="preserve"> </w:t>
      </w:r>
      <w:r>
        <w:rPr>
          <w:color w:val="000000" w:themeColor="text1"/>
        </w:rPr>
        <w:br w:type="page"/>
      </w:r>
    </w:p>
    <w:bookmarkEnd w:id="312"/>
    <w:p w14:paraId="5FF76487" w14:textId="62D8DC92" w:rsidR="00882685" w:rsidRPr="00882685" w:rsidRDefault="00882685" w:rsidP="006373A6">
      <w:pPr>
        <w:ind w:firstLine="0"/>
        <w:rPr>
          <w:color w:val="000000" w:themeColor="text1"/>
        </w:rPr>
      </w:pPr>
      <w:r w:rsidRPr="00882685">
        <w:rPr>
          <w:color w:val="000000" w:themeColor="text1"/>
        </w:rPr>
        <w:t xml:space="preserve">of dietary fibers and define how they affect and are utilized by human gut microbiota.  Specifically, this approach illustrates how to isolate bioactive arabinan-enriched fractions from plant fibers (pea fiber and sugar beet), define their structures, and characterize how gut microbiota respond to arabinans from unfractionated pea fiber versus isolated fractions of two structurally distinct arabinans. For the characterization, we analyzed feces collected from gnotobiotic mice colonized with a defined human gut model community, including several saccharolytic </w:t>
      </w:r>
      <w:r w:rsidRPr="00882685">
        <w:rPr>
          <w:i/>
          <w:iCs/>
          <w:color w:val="000000" w:themeColor="text1"/>
        </w:rPr>
        <w:t>Bacteroides</w:t>
      </w:r>
      <w:r w:rsidRPr="00882685">
        <w:rPr>
          <w:color w:val="000000" w:themeColor="text1"/>
        </w:rPr>
        <w:t xml:space="preserve"> species, using forward genetic screens and metaproteomic analyses to demonstrate the response sensitivity of distinct organisms to structural differences in arabinans.  This study also presents a generalizable method to design collections of artificial food particles (MFABs), where microscopic paramagnetic glass beads have identifying fluorescent tags and different glycans covalently bound to the surface of the beads. The unique design of these beads enables: (1) retrieval of the beads following oral gavage in </w:t>
      </w:r>
      <w:r w:rsidRPr="00882685">
        <w:rPr>
          <w:i/>
          <w:iCs/>
          <w:color w:val="000000" w:themeColor="text1"/>
        </w:rPr>
        <w:t>in vivo</w:t>
      </w:r>
      <w:r w:rsidRPr="00882685">
        <w:rPr>
          <w:color w:val="000000" w:themeColor="text1"/>
        </w:rPr>
        <w:t xml:space="preserve"> experiments based on their magnetism, (2) bead sorting based on the surface-bound fluorophores, and (3) the quantification of bound polysaccharide degradation through the comparison of the amount of glycan on input beads to the amount remaining on the beads after recovery of beads from feces.  In addition, as the bead design allows multiple types of ligands to be simultaneously attached to the bead surface, this study showed that pairing different combinations of glycans together enhanced the degradation of each glycan compared to supplementation with one glycan alone.   In total, pairing </w:t>
      </w:r>
      <w:proofErr w:type="gramStart"/>
      <w:r w:rsidRPr="00882685">
        <w:rPr>
          <w:color w:val="000000" w:themeColor="text1"/>
        </w:rPr>
        <w:t>bead-based</w:t>
      </w:r>
      <w:proofErr w:type="gramEnd"/>
      <w:r w:rsidRPr="00882685">
        <w:rPr>
          <w:color w:val="000000" w:themeColor="text1"/>
        </w:rPr>
        <w:t xml:space="preserve"> MFAB glycan degradation experiments to quantify </w:t>
      </w:r>
      <w:r w:rsidRPr="00882685">
        <w:rPr>
          <w:color w:val="000000" w:themeColor="text1"/>
          <w:u w:val="single"/>
        </w:rPr>
        <w:t>what</w:t>
      </w:r>
      <w:r w:rsidRPr="00882685">
        <w:rPr>
          <w:color w:val="000000" w:themeColor="text1"/>
        </w:rPr>
        <w:t xml:space="preserve"> bioactive dietary components are being utilized with forward genetic and metaproteomic analyses to define </w:t>
      </w:r>
      <w:r w:rsidRPr="00882685">
        <w:rPr>
          <w:color w:val="000000" w:themeColor="text1"/>
          <w:u w:val="single"/>
        </w:rPr>
        <w:t>how</w:t>
      </w:r>
      <w:r w:rsidRPr="00882685">
        <w:rPr>
          <w:color w:val="000000" w:themeColor="text1"/>
        </w:rPr>
        <w:t xml:space="preserve"> each member of the community is utilizing those bioactive components provides a holistic approach to studying bacterial metabolism </w:t>
      </w:r>
      <w:r w:rsidRPr="00882685">
        <w:rPr>
          <w:i/>
          <w:iCs/>
          <w:color w:val="000000" w:themeColor="text1"/>
        </w:rPr>
        <w:t>in vivo</w:t>
      </w:r>
      <w:r w:rsidRPr="00882685">
        <w:rPr>
          <w:color w:val="000000" w:themeColor="text1"/>
        </w:rPr>
        <w:t>. Overall, the results presented in the study indicate that MFABs can be used as a complement for multi-omic approaches for characterizing biochemical activities of the human gut microbiome and in the future, MFABs may be used in the development of microbiome-directed diagnostics and therapeutics.</w:t>
      </w:r>
    </w:p>
    <w:p w14:paraId="06BD2828" w14:textId="77777777" w:rsidR="00784C7B" w:rsidRPr="00476931" w:rsidRDefault="00784C7B" w:rsidP="00F43469">
      <w:pPr>
        <w:rPr>
          <w:color w:val="000000" w:themeColor="text1"/>
        </w:rPr>
      </w:pPr>
    </w:p>
    <w:p w14:paraId="22B9B766" w14:textId="77777777" w:rsidR="006373A6" w:rsidRDefault="006373A6" w:rsidP="00C7280B">
      <w:pPr>
        <w:pStyle w:val="Heading3"/>
        <w:rPr>
          <w:rFonts w:eastAsia="Times New Roman"/>
        </w:rPr>
      </w:pPr>
    </w:p>
    <w:p w14:paraId="1444ED47" w14:textId="148F32EE" w:rsidR="00C7280B" w:rsidRPr="00476931" w:rsidRDefault="00C7280B" w:rsidP="00C7280B">
      <w:pPr>
        <w:pStyle w:val="Heading3"/>
        <w:rPr>
          <w:rFonts w:eastAsia="Times New Roman"/>
        </w:rPr>
      </w:pPr>
      <w:bookmarkStart w:id="314" w:name="_Toc110250286"/>
      <w:bookmarkStart w:id="315" w:name="_Toc110250543"/>
      <w:bookmarkStart w:id="316" w:name="_Toc110250674"/>
      <w:r w:rsidRPr="00476931">
        <w:rPr>
          <w:rFonts w:eastAsia="Times New Roman"/>
        </w:rPr>
        <w:t>5.5.3  Methods</w:t>
      </w:r>
      <w:r w:rsidR="0003562F">
        <w:rPr>
          <w:rFonts w:eastAsia="Times New Roman"/>
        </w:rPr>
        <w:t>.</w:t>
      </w:r>
      <w:bookmarkEnd w:id="314"/>
      <w:bookmarkEnd w:id="315"/>
      <w:bookmarkEnd w:id="316"/>
    </w:p>
    <w:p w14:paraId="334F89AC" w14:textId="77777777" w:rsidR="00C7280B" w:rsidRPr="00476931" w:rsidRDefault="00C7280B" w:rsidP="00C7280B">
      <w:pPr>
        <w:rPr>
          <w:color w:val="000000" w:themeColor="text1"/>
        </w:rPr>
      </w:pPr>
    </w:p>
    <w:p w14:paraId="68CFDCFB" w14:textId="0BE14EBD" w:rsidR="00B245C6" w:rsidRDefault="00C7280B" w:rsidP="00C7280B">
      <w:pPr>
        <w:rPr>
          <w:color w:val="000000" w:themeColor="text1"/>
        </w:rPr>
      </w:pPr>
      <w:r w:rsidRPr="00476931">
        <w:rPr>
          <w:color w:val="000000" w:themeColor="text1"/>
        </w:rPr>
        <w:t xml:space="preserve">The protocol for mass spectrometry-based metaproteomic analysis of the fecal samples has been described in detail in the study presented in Chapter 5.4 (Patnode et al., 2019, </w:t>
      </w:r>
      <w:r w:rsidRPr="00476931">
        <w:rPr>
          <w:i/>
          <w:iCs/>
          <w:color w:val="000000" w:themeColor="text1"/>
        </w:rPr>
        <w:t>Cell</w:t>
      </w:r>
      <w:r w:rsidRPr="00476931">
        <w:rPr>
          <w:color w:val="000000" w:themeColor="text1"/>
        </w:rPr>
        <w:t xml:space="preserve">). </w:t>
      </w:r>
    </w:p>
    <w:p w14:paraId="3A934E90" w14:textId="77777777" w:rsidR="00061FA9" w:rsidRDefault="00061FA9">
      <w:pPr>
        <w:spacing w:before="1"/>
        <w:rPr>
          <w:rFonts w:ascii="Times New Roman" w:eastAsia="Times New Roman" w:hAnsi="Times New Roman" w:cs="Arial"/>
          <w:b/>
          <w:bCs/>
          <w:color w:val="000000" w:themeColor="text1"/>
          <w:kern w:val="32"/>
          <w:sz w:val="28"/>
          <w:szCs w:val="28"/>
          <w:lang w:val="en-GB" w:eastAsia="en-GB"/>
        </w:rPr>
      </w:pPr>
      <w:r>
        <w:rPr>
          <w:color w:val="000000" w:themeColor="text1"/>
          <w:szCs w:val="28"/>
        </w:rPr>
        <w:br w:type="page"/>
      </w:r>
    </w:p>
    <w:p w14:paraId="2A3524D3" w14:textId="4D19CAEA" w:rsidR="00310878" w:rsidRPr="00476931" w:rsidRDefault="00A66C57" w:rsidP="00061FA9">
      <w:pPr>
        <w:pStyle w:val="Heading1"/>
      </w:pPr>
      <w:bookmarkStart w:id="317" w:name="_Toc110250287"/>
      <w:bookmarkStart w:id="318" w:name="_Toc110250544"/>
      <w:bookmarkStart w:id="319" w:name="_Toc110250675"/>
      <w:r w:rsidRPr="00476931">
        <w:t>-</w:t>
      </w:r>
      <w:r w:rsidR="00310878" w:rsidRPr="00476931">
        <w:t xml:space="preserve"> Probing the diversity of interkingdom interactions in the preterm gut</w:t>
      </w:r>
      <w:r w:rsidR="0003562F">
        <w:t>.</w:t>
      </w:r>
      <w:bookmarkEnd w:id="317"/>
      <w:bookmarkEnd w:id="318"/>
      <w:bookmarkEnd w:id="319"/>
    </w:p>
    <w:p w14:paraId="7B2D90FD" w14:textId="77777777" w:rsidR="00A03BED" w:rsidRPr="00061FA9" w:rsidRDefault="00A03BED" w:rsidP="00A03BED">
      <w:pPr>
        <w:pStyle w:val="paragraph"/>
        <w:rPr>
          <w:color w:val="000000" w:themeColor="text1"/>
          <w:sz w:val="40"/>
          <w:szCs w:val="40"/>
          <w:lang w:val="en-GB" w:eastAsia="en-GB"/>
        </w:rPr>
      </w:pPr>
    </w:p>
    <w:p w14:paraId="45F509E3" w14:textId="1EC5752E" w:rsidR="009E3F82" w:rsidRDefault="009E3F82" w:rsidP="009E3F82">
      <w:pPr>
        <w:spacing w:after="120"/>
        <w:ind w:firstLine="0"/>
        <w:rPr>
          <w:color w:val="000000" w:themeColor="text1"/>
          <w:spacing w:val="-2"/>
        </w:rPr>
      </w:pPr>
      <w:r w:rsidRPr="00476931">
        <w:rPr>
          <w:color w:val="000000" w:themeColor="text1"/>
        </w:rPr>
        <w:t>Text</w:t>
      </w:r>
      <w:r w:rsidRPr="00476931">
        <w:rPr>
          <w:color w:val="000000" w:themeColor="text1"/>
          <w:spacing w:val="-11"/>
        </w:rPr>
        <w:t xml:space="preserve"> </w:t>
      </w:r>
      <w:r w:rsidRPr="00476931">
        <w:rPr>
          <w:color w:val="000000" w:themeColor="text1"/>
        </w:rPr>
        <w:t>and</w:t>
      </w:r>
      <w:r w:rsidRPr="00476931">
        <w:rPr>
          <w:color w:val="000000" w:themeColor="text1"/>
          <w:spacing w:val="-13"/>
        </w:rPr>
        <w:t xml:space="preserve"> </w:t>
      </w:r>
      <w:r w:rsidRPr="00476931">
        <w:rPr>
          <w:color w:val="000000" w:themeColor="text1"/>
        </w:rPr>
        <w:t>figures</w:t>
      </w:r>
      <w:r w:rsidRPr="00476931">
        <w:rPr>
          <w:color w:val="000000" w:themeColor="text1"/>
          <w:spacing w:val="-1"/>
        </w:rPr>
        <w:t xml:space="preserve"> </w:t>
      </w:r>
      <w:r w:rsidRPr="00476931">
        <w:rPr>
          <w:color w:val="000000" w:themeColor="text1"/>
        </w:rPr>
        <w:t>were</w:t>
      </w:r>
      <w:r w:rsidRPr="00476931">
        <w:rPr>
          <w:color w:val="000000" w:themeColor="text1"/>
          <w:spacing w:val="-12"/>
        </w:rPr>
        <w:t xml:space="preserve"> </w:t>
      </w:r>
      <w:r w:rsidRPr="00476931">
        <w:rPr>
          <w:color w:val="000000" w:themeColor="text1"/>
        </w:rPr>
        <w:t>adapted from</w:t>
      </w:r>
      <w:r w:rsidRPr="00476931">
        <w:rPr>
          <w:color w:val="000000" w:themeColor="text1"/>
          <w:spacing w:val="-1"/>
        </w:rPr>
        <w:t xml:space="preserve"> </w:t>
      </w:r>
      <w:r w:rsidRPr="00476931">
        <w:rPr>
          <w:color w:val="000000" w:themeColor="text1"/>
        </w:rPr>
        <w:t>the</w:t>
      </w:r>
      <w:r w:rsidRPr="00476931">
        <w:rPr>
          <w:color w:val="000000" w:themeColor="text1"/>
          <w:spacing w:val="-13"/>
        </w:rPr>
        <w:t xml:space="preserve"> </w:t>
      </w:r>
      <w:r w:rsidRPr="00476931">
        <w:rPr>
          <w:color w:val="000000" w:themeColor="text1"/>
        </w:rPr>
        <w:t xml:space="preserve">following published journal </w:t>
      </w:r>
      <w:r w:rsidRPr="00476931">
        <w:rPr>
          <w:color w:val="000000" w:themeColor="text1"/>
          <w:spacing w:val="-2"/>
        </w:rPr>
        <w:t>articles and in-preparation manuscripts:</w:t>
      </w:r>
    </w:p>
    <w:p w14:paraId="3C174CA6" w14:textId="182D22A1" w:rsidR="00061FA9" w:rsidRPr="00476931" w:rsidRDefault="00061FA9" w:rsidP="009E3F82">
      <w:pPr>
        <w:spacing w:after="120"/>
        <w:ind w:firstLine="0"/>
        <w:rPr>
          <w:color w:val="000000" w:themeColor="text1"/>
          <w:spacing w:val="-2"/>
        </w:rPr>
      </w:pPr>
      <w:r w:rsidRPr="00476931">
        <w:rPr>
          <w:noProof/>
          <w:color w:val="000000" w:themeColor="text1"/>
        </w:rPr>
        <mc:AlternateContent>
          <mc:Choice Requires="wps">
            <w:drawing>
              <wp:anchor distT="0" distB="0" distL="0" distR="0" simplePos="0" relativeHeight="251658250" behindDoc="1" locked="0" layoutInCell="1" allowOverlap="1" wp14:anchorId="58FF7741" wp14:editId="1D6DC749">
                <wp:simplePos x="0" y="0"/>
                <wp:positionH relativeFrom="page">
                  <wp:posOffset>1266825</wp:posOffset>
                </wp:positionH>
                <wp:positionV relativeFrom="paragraph">
                  <wp:posOffset>207645</wp:posOffset>
                </wp:positionV>
                <wp:extent cx="5197475" cy="45085"/>
                <wp:effectExtent l="0" t="12700" r="9525" b="0"/>
                <wp:wrapTopAndBottom/>
                <wp:docPr id="2240" name="Freeform: Shape 2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97475" cy="45085"/>
                        </a:xfrm>
                        <a:custGeom>
                          <a:avLst/>
                          <a:gdLst>
                            <a:gd name="T0" fmla="+- 0 1455 1455"/>
                            <a:gd name="T1" fmla="*/ T0 w 9285"/>
                            <a:gd name="T2" fmla="+- 0 10740 1455"/>
                            <a:gd name="T3" fmla="*/ T2 w 9285"/>
                          </a:gdLst>
                          <a:ahLst/>
                          <a:cxnLst>
                            <a:cxn ang="0">
                              <a:pos x="T1" y="0"/>
                            </a:cxn>
                            <a:cxn ang="0">
                              <a:pos x="T3" y="0"/>
                            </a:cxn>
                          </a:cxnLst>
                          <a:rect l="0" t="0" r="r" b="b"/>
                          <a:pathLst>
                            <a:path w="9285">
                              <a:moveTo>
                                <a:pt x="0" y="0"/>
                              </a:moveTo>
                              <a:lnTo>
                                <a:pt x="9285" y="0"/>
                              </a:lnTo>
                            </a:path>
                          </a:pathLst>
                        </a:custGeom>
                        <a:noFill/>
                        <a:ln w="19050">
                          <a:solidFill>
                            <a:srgbClr val="7E7E7E"/>
                          </a:solidFill>
                          <a:prstDash val="sysDash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A10EDCD" id="Freeform: Shape 2240" o:spid="_x0000_s1026" style="position:absolute;margin-left:99.75pt;margin-top:16.35pt;width:409.25pt;height:3.5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" path="m,l9285,e" filled="f" strokecolor="#7e7e7e" strokeweight="1.5pt">
                <v:stroke dashstyle="3 1 1 1"/>
                <v:path arrowok="t" o:connecttype="custom" o:connectlocs="0,0;5197475,0" o:connectangles="0,0"/>
                <w10:wrap type="topAndBottom" anchorx="page"/>
              </v:shape>
            </w:pict>
          </mc:Fallback>
        </mc:AlternateContent>
      </w:r>
    </w:p>
    <w:p w14:paraId="6D254A43" w14:textId="039E3A5E" w:rsidR="009E3F82" w:rsidRPr="00476931" w:rsidRDefault="009E3F82" w:rsidP="003F0548">
      <w:pPr>
        <w:pStyle w:val="BodyText"/>
        <w:spacing w:line="360" w:lineRule="auto"/>
        <w:rPr>
          <w:bCs/>
        </w:rPr>
      </w:pPr>
      <w:r w:rsidRPr="00476931">
        <w:rPr>
          <w:bCs/>
        </w:rPr>
        <w:t xml:space="preserve">West, P.T., </w:t>
      </w:r>
      <w:r w:rsidRPr="00476931">
        <w:rPr>
          <w:b/>
        </w:rPr>
        <w:t>Peters, S. L.,</w:t>
      </w:r>
      <w:r w:rsidRPr="00476931">
        <w:rPr>
          <w:bCs/>
        </w:rPr>
        <w:t xml:space="preserve"> Olm, M. R., Yu, F. B., </w:t>
      </w:r>
      <w:proofErr w:type="spellStart"/>
      <w:r w:rsidRPr="00476931">
        <w:rPr>
          <w:bCs/>
        </w:rPr>
        <w:t>Gause</w:t>
      </w:r>
      <w:proofErr w:type="spellEnd"/>
      <w:r w:rsidRPr="00476931">
        <w:rPr>
          <w:bCs/>
        </w:rPr>
        <w:t xml:space="preserve">, H., Lou, Y. C., </w:t>
      </w:r>
      <w:proofErr w:type="spellStart"/>
      <w:r w:rsidRPr="00476931">
        <w:rPr>
          <w:bCs/>
        </w:rPr>
        <w:t>Firek</w:t>
      </w:r>
      <w:proofErr w:type="spellEnd"/>
      <w:r w:rsidRPr="00476931">
        <w:rPr>
          <w:bCs/>
        </w:rPr>
        <w:t xml:space="preserve">, B. A., Baker, R., Johnson, A. D., Morowitz, M. J., Hettich, R. L., &amp; Banfield, J. F. (2021). Genetic and behavioral adaptation of </w:t>
      </w:r>
      <w:r w:rsidRPr="00F30BBE">
        <w:rPr>
          <w:bCs/>
          <w:i/>
          <w:iCs/>
        </w:rPr>
        <w:t>Candida parapsilosis</w:t>
      </w:r>
      <w:r w:rsidRPr="00476931">
        <w:rPr>
          <w:bCs/>
        </w:rPr>
        <w:t xml:space="preserve"> to the microbiome of hospitalized infants revealed by in situ genomics, transcriptomics, and proteomics. </w:t>
      </w:r>
      <w:r w:rsidRPr="00476931">
        <w:rPr>
          <w:bCs/>
          <w:iCs/>
        </w:rPr>
        <w:t>Microbiome</w:t>
      </w:r>
      <w:r w:rsidRPr="00476931">
        <w:rPr>
          <w:bCs/>
        </w:rPr>
        <w:t>, 9(1), 142–142. https://doi.org/10.1186/s40168-021-01085-y</w:t>
      </w:r>
    </w:p>
    <w:p w14:paraId="7DFF2347" w14:textId="77777777" w:rsidR="009E3F82" w:rsidRPr="00476931" w:rsidRDefault="009E3F82" w:rsidP="003F0548">
      <w:pPr>
        <w:ind w:firstLine="0"/>
        <w:rPr>
          <w:color w:val="000000" w:themeColor="text1"/>
        </w:rPr>
      </w:pPr>
    </w:p>
    <w:p w14:paraId="3FF958BF" w14:textId="0DA72A8E" w:rsidR="009E3F82" w:rsidRPr="00476931" w:rsidRDefault="009E3F82" w:rsidP="003F0548">
      <w:pPr>
        <w:ind w:firstLine="0"/>
        <w:rPr>
          <w:i/>
          <w:color w:val="000000" w:themeColor="text1"/>
        </w:rPr>
      </w:pPr>
      <w:r w:rsidRPr="00476931">
        <w:rPr>
          <w:i/>
          <w:color w:val="000000" w:themeColor="text1"/>
        </w:rPr>
        <w:t>S.L.P</w:t>
      </w:r>
      <w:r w:rsidRPr="00476931">
        <w:rPr>
          <w:i/>
          <w:color w:val="000000" w:themeColor="text1"/>
          <w:spacing w:val="-2"/>
        </w:rPr>
        <w:t xml:space="preserve"> </w:t>
      </w:r>
      <w:r w:rsidRPr="00476931">
        <w:rPr>
          <w:i/>
          <w:color w:val="000000" w:themeColor="text1"/>
        </w:rPr>
        <w:t>contributions</w:t>
      </w:r>
      <w:r w:rsidRPr="00476931">
        <w:rPr>
          <w:i/>
          <w:color w:val="000000" w:themeColor="text1"/>
          <w:spacing w:val="-3"/>
        </w:rPr>
        <w:t xml:space="preserve"> </w:t>
      </w:r>
      <w:r w:rsidRPr="00476931">
        <w:rPr>
          <w:i/>
          <w:color w:val="000000" w:themeColor="text1"/>
        </w:rPr>
        <w:t>include</w:t>
      </w:r>
      <w:r w:rsidRPr="00476931">
        <w:rPr>
          <w:i/>
          <w:color w:val="000000" w:themeColor="text1"/>
          <w:spacing w:val="-5"/>
        </w:rPr>
        <w:t xml:space="preserve"> metaproteomic measurements, </w:t>
      </w:r>
      <w:r w:rsidRPr="00476931">
        <w:rPr>
          <w:i/>
          <w:color w:val="000000" w:themeColor="text1"/>
        </w:rPr>
        <w:t>data</w:t>
      </w:r>
      <w:r w:rsidRPr="00476931">
        <w:rPr>
          <w:i/>
          <w:color w:val="000000" w:themeColor="text1"/>
          <w:spacing w:val="-4"/>
        </w:rPr>
        <w:t xml:space="preserve"> </w:t>
      </w:r>
      <w:r w:rsidRPr="00476931">
        <w:rPr>
          <w:i/>
          <w:color w:val="000000" w:themeColor="text1"/>
        </w:rPr>
        <w:t>analysis,</w:t>
      </w:r>
      <w:r w:rsidRPr="00476931">
        <w:rPr>
          <w:i/>
          <w:color w:val="000000" w:themeColor="text1"/>
          <w:spacing w:val="-4"/>
        </w:rPr>
        <w:t xml:space="preserve"> figure generation, </w:t>
      </w:r>
      <w:r w:rsidRPr="00476931">
        <w:rPr>
          <w:i/>
          <w:color w:val="000000" w:themeColor="text1"/>
        </w:rPr>
        <w:t>writing and editing</w:t>
      </w:r>
      <w:r w:rsidRPr="00476931">
        <w:rPr>
          <w:i/>
          <w:color w:val="000000" w:themeColor="text1"/>
          <w:spacing w:val="-4"/>
        </w:rPr>
        <w:t xml:space="preserve"> </w:t>
      </w:r>
      <w:r w:rsidRPr="00476931">
        <w:rPr>
          <w:i/>
          <w:color w:val="000000" w:themeColor="text1"/>
        </w:rPr>
        <w:t>of</w:t>
      </w:r>
      <w:r w:rsidRPr="00476931">
        <w:rPr>
          <w:i/>
          <w:color w:val="000000" w:themeColor="text1"/>
          <w:spacing w:val="-4"/>
        </w:rPr>
        <w:t xml:space="preserve"> the </w:t>
      </w:r>
      <w:r w:rsidRPr="00476931">
        <w:rPr>
          <w:i/>
          <w:color w:val="000000" w:themeColor="text1"/>
        </w:rPr>
        <w:t>original</w:t>
      </w:r>
      <w:r w:rsidRPr="00476931">
        <w:rPr>
          <w:i/>
          <w:color w:val="000000" w:themeColor="text1"/>
          <w:spacing w:val="-4"/>
        </w:rPr>
        <w:t xml:space="preserve"> </w:t>
      </w:r>
      <w:r w:rsidRPr="00476931">
        <w:rPr>
          <w:i/>
          <w:color w:val="000000" w:themeColor="text1"/>
        </w:rPr>
        <w:t>manuscript and response to reviewers.</w:t>
      </w:r>
    </w:p>
    <w:p w14:paraId="7D33BED9" w14:textId="77777777" w:rsidR="009E3F82" w:rsidRPr="00476931" w:rsidRDefault="009E3F82" w:rsidP="003F0548">
      <w:pPr>
        <w:ind w:firstLine="0"/>
        <w:rPr>
          <w:color w:val="000000" w:themeColor="text1"/>
        </w:rPr>
      </w:pPr>
    </w:p>
    <w:p w14:paraId="6AAC1F67" w14:textId="73343B9D" w:rsidR="00E24E1F" w:rsidRPr="00476931" w:rsidRDefault="00E24E1F" w:rsidP="003F0548">
      <w:pPr>
        <w:pStyle w:val="BodyText"/>
        <w:spacing w:line="360" w:lineRule="auto"/>
        <w:rPr>
          <w:b/>
          <w:bCs/>
          <w:lang w:val="en-GB"/>
        </w:rPr>
      </w:pPr>
      <w:r w:rsidRPr="00476931">
        <w:rPr>
          <w:b/>
          <w:bCs/>
        </w:rPr>
        <w:t xml:space="preserve">Peters, S.L., </w:t>
      </w:r>
      <w:r w:rsidRPr="00476931">
        <w:t xml:space="preserve">Morowitz, M.J., and Hettich, R.L., (2022). </w:t>
      </w:r>
      <w:r w:rsidRPr="00476931">
        <w:rPr>
          <w:lang w:val="en-GB"/>
        </w:rPr>
        <w:t xml:space="preserve">Understanding how the developing human preterm infant gut microbiome responds to antibiotic administration and host immune system-induced metal bactericidal control. </w:t>
      </w:r>
      <w:r w:rsidRPr="00476931">
        <w:rPr>
          <w:i/>
          <w:iCs/>
          <w:lang w:val="en-GB"/>
        </w:rPr>
        <w:t xml:space="preserve">Frontiers in Microbiology </w:t>
      </w:r>
      <w:r w:rsidRPr="00476931">
        <w:rPr>
          <w:lang w:val="en-GB"/>
        </w:rPr>
        <w:t>(in submission)</w:t>
      </w:r>
    </w:p>
    <w:p w14:paraId="64A53E63" w14:textId="77777777" w:rsidR="009E3F82" w:rsidRPr="00476931" w:rsidRDefault="009E3F82" w:rsidP="003F0548">
      <w:pPr>
        <w:ind w:firstLine="0"/>
        <w:rPr>
          <w:i/>
          <w:color w:val="000000" w:themeColor="text1"/>
        </w:rPr>
      </w:pPr>
    </w:p>
    <w:p w14:paraId="32574504" w14:textId="2613A41D" w:rsidR="009E3F82" w:rsidRPr="00476931" w:rsidRDefault="003F0548" w:rsidP="003F0548">
      <w:pPr>
        <w:ind w:firstLine="0"/>
        <w:rPr>
          <w:i/>
          <w:color w:val="000000" w:themeColor="text1"/>
        </w:rPr>
      </w:pPr>
      <w:r w:rsidRPr="00476931">
        <w:rPr>
          <w:noProof/>
          <w:color w:val="000000" w:themeColor="text1"/>
        </w:rPr>
        <mc:AlternateContent>
          <mc:Choice Requires="wps">
            <w:drawing>
              <wp:anchor distT="0" distB="0" distL="0" distR="0" simplePos="0" relativeHeight="251658251" behindDoc="1" locked="0" layoutInCell="1" allowOverlap="1" wp14:anchorId="1237D1CA" wp14:editId="369B92A8">
                <wp:simplePos x="0" y="0"/>
                <wp:positionH relativeFrom="page">
                  <wp:posOffset>1206500</wp:posOffset>
                </wp:positionH>
                <wp:positionV relativeFrom="paragraph">
                  <wp:posOffset>615165</wp:posOffset>
                </wp:positionV>
                <wp:extent cx="5200650" cy="45085"/>
                <wp:effectExtent l="0" t="12700" r="19050" b="0"/>
                <wp:wrapTopAndBottom/>
                <wp:docPr id="2241" name="Freeform: Shape 2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00650" cy="45085"/>
                        </a:xfrm>
                        <a:custGeom>
                          <a:avLst/>
                          <a:gdLst>
                            <a:gd name="T0" fmla="+- 0 1455 1455"/>
                            <a:gd name="T1" fmla="*/ T0 w 9285"/>
                            <a:gd name="T2" fmla="+- 0 10740 1455"/>
                            <a:gd name="T3" fmla="*/ T2 w 9285"/>
                          </a:gdLst>
                          <a:ahLst/>
                          <a:cxnLst>
                            <a:cxn ang="0">
                              <a:pos x="T1" y="0"/>
                            </a:cxn>
                            <a:cxn ang="0">
                              <a:pos x="T3" y="0"/>
                            </a:cxn>
                          </a:cxnLst>
                          <a:rect l="0" t="0" r="r" b="b"/>
                          <a:pathLst>
                            <a:path w="9285">
                              <a:moveTo>
                                <a:pt x="0" y="0"/>
                              </a:moveTo>
                              <a:lnTo>
                                <a:pt x="9285" y="0"/>
                              </a:lnTo>
                            </a:path>
                          </a:pathLst>
                        </a:custGeom>
                        <a:noFill/>
                        <a:ln w="19050">
                          <a:solidFill>
                            <a:srgbClr val="7E7E7E"/>
                          </a:solidFill>
                          <a:prstDash val="sysDash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2992138" id="Freeform: Shape 2241" o:spid="_x0000_s1026" style="position:absolute;margin-left:95pt;margin-top:48.45pt;width:409.5pt;height:3.5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" path="m,l9285,e" filled="f" strokecolor="#7e7e7e" strokeweight="1.5pt">
                <v:stroke dashstyle="3 1 1 1"/>
                <v:path arrowok="t" o:connecttype="custom" o:connectlocs="0,0;5200650,0" o:connectangles="0,0"/>
                <w10:wrap type="topAndBottom" anchorx="page"/>
              </v:shape>
            </w:pict>
          </mc:Fallback>
        </mc:AlternateContent>
      </w:r>
      <w:r w:rsidR="009E3F82" w:rsidRPr="00476931">
        <w:rPr>
          <w:i/>
          <w:color w:val="000000" w:themeColor="text1"/>
        </w:rPr>
        <w:t>S.L.P</w:t>
      </w:r>
      <w:r w:rsidR="009E3F82" w:rsidRPr="00476931">
        <w:rPr>
          <w:i/>
          <w:color w:val="000000" w:themeColor="text1"/>
          <w:spacing w:val="-2"/>
        </w:rPr>
        <w:t xml:space="preserve"> </w:t>
      </w:r>
      <w:r w:rsidR="009E3F82" w:rsidRPr="00476931">
        <w:rPr>
          <w:i/>
          <w:color w:val="000000" w:themeColor="text1"/>
        </w:rPr>
        <w:t>contributions</w:t>
      </w:r>
      <w:r w:rsidR="009E3F82" w:rsidRPr="00476931">
        <w:rPr>
          <w:i/>
          <w:color w:val="000000" w:themeColor="text1"/>
          <w:spacing w:val="-3"/>
        </w:rPr>
        <w:t xml:space="preserve"> </w:t>
      </w:r>
      <w:r w:rsidR="009E3F82" w:rsidRPr="00476931">
        <w:rPr>
          <w:i/>
          <w:color w:val="000000" w:themeColor="text1"/>
        </w:rPr>
        <w:t>include</w:t>
      </w:r>
      <w:r w:rsidR="009E3F82" w:rsidRPr="00476931">
        <w:rPr>
          <w:i/>
          <w:color w:val="000000" w:themeColor="text1"/>
          <w:spacing w:val="-5"/>
        </w:rPr>
        <w:t xml:space="preserve"> </w:t>
      </w:r>
      <w:r w:rsidR="00E24E1F" w:rsidRPr="00476931">
        <w:rPr>
          <w:i/>
          <w:color w:val="000000" w:themeColor="text1"/>
          <w:spacing w:val="-5"/>
        </w:rPr>
        <w:t xml:space="preserve">study conception, </w:t>
      </w:r>
      <w:r w:rsidR="009E3F82" w:rsidRPr="00476931">
        <w:rPr>
          <w:i/>
          <w:color w:val="000000" w:themeColor="text1"/>
        </w:rPr>
        <w:t>data</w:t>
      </w:r>
      <w:r w:rsidR="009E3F82" w:rsidRPr="00476931">
        <w:rPr>
          <w:i/>
          <w:color w:val="000000" w:themeColor="text1"/>
          <w:spacing w:val="-4"/>
        </w:rPr>
        <w:t xml:space="preserve"> </w:t>
      </w:r>
      <w:r w:rsidR="009E3F82" w:rsidRPr="00476931">
        <w:rPr>
          <w:i/>
          <w:color w:val="000000" w:themeColor="text1"/>
        </w:rPr>
        <w:t>analysis,</w:t>
      </w:r>
      <w:r w:rsidR="009E3F82" w:rsidRPr="00476931">
        <w:rPr>
          <w:i/>
          <w:color w:val="000000" w:themeColor="text1"/>
          <w:spacing w:val="-4"/>
        </w:rPr>
        <w:t xml:space="preserve"> </w:t>
      </w:r>
      <w:r w:rsidR="00E24E1F" w:rsidRPr="00476931">
        <w:rPr>
          <w:i/>
          <w:color w:val="000000" w:themeColor="text1"/>
          <w:spacing w:val="-4"/>
        </w:rPr>
        <w:t xml:space="preserve">writing </w:t>
      </w:r>
      <w:r w:rsidR="009E3F82" w:rsidRPr="00476931">
        <w:rPr>
          <w:i/>
          <w:color w:val="000000" w:themeColor="text1"/>
        </w:rPr>
        <w:t>and editing</w:t>
      </w:r>
      <w:r w:rsidR="009E3F82" w:rsidRPr="00476931">
        <w:rPr>
          <w:i/>
          <w:color w:val="000000" w:themeColor="text1"/>
          <w:spacing w:val="-4"/>
        </w:rPr>
        <w:t xml:space="preserve"> </w:t>
      </w:r>
      <w:r w:rsidR="009E3F82" w:rsidRPr="00476931">
        <w:rPr>
          <w:i/>
          <w:color w:val="000000" w:themeColor="text1"/>
        </w:rPr>
        <w:t>of</w:t>
      </w:r>
      <w:r w:rsidR="009E3F82" w:rsidRPr="00476931">
        <w:rPr>
          <w:i/>
          <w:color w:val="000000" w:themeColor="text1"/>
          <w:spacing w:val="-4"/>
        </w:rPr>
        <w:t xml:space="preserve"> the </w:t>
      </w:r>
      <w:r w:rsidR="009E3F82" w:rsidRPr="00476931">
        <w:rPr>
          <w:i/>
          <w:color w:val="000000" w:themeColor="text1"/>
        </w:rPr>
        <w:t>original</w:t>
      </w:r>
      <w:r w:rsidR="009E3F82" w:rsidRPr="00476931">
        <w:rPr>
          <w:i/>
          <w:color w:val="000000" w:themeColor="text1"/>
          <w:spacing w:val="-4"/>
        </w:rPr>
        <w:t xml:space="preserve"> </w:t>
      </w:r>
      <w:r w:rsidR="009E3F82" w:rsidRPr="00476931">
        <w:rPr>
          <w:i/>
          <w:color w:val="000000" w:themeColor="text1"/>
        </w:rPr>
        <w:t>manuscript.</w:t>
      </w:r>
    </w:p>
    <w:p w14:paraId="0906A8D4" w14:textId="44FFD824" w:rsidR="009E3F82" w:rsidRPr="00476931" w:rsidRDefault="009E3F82" w:rsidP="0060435B">
      <w:pPr>
        <w:pStyle w:val="Heading2"/>
      </w:pPr>
    </w:p>
    <w:p w14:paraId="53D26A8C" w14:textId="45A514D0" w:rsidR="00310878" w:rsidRPr="00476931" w:rsidRDefault="00A66C57" w:rsidP="0060435B">
      <w:pPr>
        <w:pStyle w:val="Heading2"/>
      </w:pPr>
      <w:bookmarkStart w:id="320" w:name="_Toc110250288"/>
      <w:bookmarkStart w:id="321" w:name="_Toc110250545"/>
      <w:bookmarkStart w:id="322" w:name="_Toc110250676"/>
      <w:r w:rsidRPr="00476931">
        <w:t xml:space="preserve">6.1  </w:t>
      </w:r>
      <w:r w:rsidR="00310878" w:rsidRPr="00476931">
        <w:t>Introduction to the preterm gut environment</w:t>
      </w:r>
      <w:r w:rsidR="0003562F">
        <w:t>.</w:t>
      </w:r>
      <w:bookmarkEnd w:id="320"/>
      <w:bookmarkEnd w:id="321"/>
      <w:bookmarkEnd w:id="322"/>
    </w:p>
    <w:p w14:paraId="1ACE4352" w14:textId="77777777" w:rsidR="00A66C57" w:rsidRPr="00476931" w:rsidRDefault="00A66C57" w:rsidP="00A66C57">
      <w:pPr>
        <w:rPr>
          <w:color w:val="000000" w:themeColor="text1"/>
        </w:rPr>
      </w:pPr>
    </w:p>
    <w:p w14:paraId="4A4E6A08" w14:textId="2A8DCA23" w:rsidR="00310878" w:rsidRPr="00476931" w:rsidRDefault="00310878" w:rsidP="00A66C57">
      <w:pPr>
        <w:rPr>
          <w:color w:val="000000" w:themeColor="text1"/>
        </w:rPr>
      </w:pPr>
      <w:r w:rsidRPr="00476931">
        <w:rPr>
          <w:color w:val="000000" w:themeColor="text1"/>
          <w:shd w:val="clear" w:color="auto" w:fill="FFFFFF"/>
        </w:rPr>
        <w:t>The human microbiome is composed of bacteria, archaea, microbial eukaryotes, and viruses that inhabit all environment-facing parts of our bodies</w:t>
      </w:r>
      <w:r w:rsidRPr="00476931">
        <w:rPr>
          <w:rFonts w:eastAsia="Times New Roman"/>
          <w:color w:val="000000" w:themeColor="text1"/>
        </w:rPr>
        <w:t>. The intestinal microbiota’s diversity and function play significant roles in host health and disease. The microbiome is linked closely linked to inflammation and metabolism—with diet, environment, age, and geography all having an impact on the diversity of the microbiome.  The hospitalized preterm infant microbiome can be used as a tractable model to look at microbial colonization and development within the host compared to the more fully established adult gut microbiome</w:t>
      </w:r>
      <w:r w:rsidRPr="00476931">
        <w:rPr>
          <w:rFonts w:eastAsia="Times New Roman"/>
          <w:b/>
          <w:bCs/>
          <w:color w:val="000000" w:themeColor="text1"/>
        </w:rPr>
        <w:t xml:space="preserve">. </w:t>
      </w:r>
      <w:r w:rsidRPr="00476931">
        <w:rPr>
          <w:rFonts w:eastAsia="Times New Roman"/>
          <w:color w:val="000000" w:themeColor="text1"/>
        </w:rPr>
        <w:t>While an adult gut is colonized by hundreds to thousands of species</w:t>
      </w:r>
      <w:sdt>
        <w:sdtPr>
          <w:rPr>
            <w:rFonts w:eastAsia="Times New Roman"/>
            <w:color w:val="000000"/>
            <w:vertAlign w:val="superscript"/>
          </w:rPr>
          <w:tag w:val="MENDELEY_CITATION_v3_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"/>
          <w:id w:val="157894738"/>
          <w:placeholder>
            <w:docPart w:val="E4B5E21686F2314088D58853EA72C37C"/>
          </w:placeholder>
        </w:sdtPr>
        <w:sdtEndPr/>
        <w:sdtContent>
          <w:r w:rsidR="003204EA" w:rsidRPr="003204EA">
            <w:rPr>
              <w:rFonts w:eastAsia="Times New Roman"/>
              <w:color w:val="000000"/>
              <w:vertAlign w:val="superscript"/>
            </w:rPr>
            <w:t>174</w:t>
          </w:r>
        </w:sdtContent>
      </w:sdt>
      <w:r w:rsidRPr="00476931">
        <w:rPr>
          <w:rFonts w:eastAsia="Times New Roman"/>
          <w:color w:val="000000" w:themeColor="text1"/>
        </w:rPr>
        <w:t xml:space="preserve">, the infant gut progresses from sterility at birth to colonization levels </w:t>
      </w:r>
      <w:proofErr w:type="gramStart"/>
      <w:r w:rsidRPr="00476931">
        <w:rPr>
          <w:rFonts w:eastAsia="Times New Roman"/>
          <w:color w:val="000000" w:themeColor="text1"/>
        </w:rPr>
        <w:t>similar to</w:t>
      </w:r>
      <w:proofErr w:type="gramEnd"/>
      <w:r w:rsidRPr="00476931">
        <w:rPr>
          <w:rFonts w:eastAsia="Times New Roman"/>
          <w:color w:val="000000" w:themeColor="text1"/>
        </w:rPr>
        <w:t xml:space="preserve"> an adult over the first year of life</w:t>
      </w:r>
      <w:sdt>
        <w:sdtPr>
          <w:rPr>
            <w:rFonts w:eastAsia="Times New Roman"/>
            <w:color w:val="000000"/>
            <w:vertAlign w:val="superscript"/>
          </w:rPr>
          <w:tag w:val="MENDELEY_CITATION_v3_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"/>
          <w:id w:val="294652768"/>
          <w:placeholder>
            <w:docPart w:val="E4B5E21686F2314088D58853EA72C37C"/>
          </w:placeholder>
        </w:sdtPr>
        <w:sdtEndPr/>
        <w:sdtContent>
          <w:r w:rsidR="003204EA" w:rsidRPr="003204EA">
            <w:rPr>
              <w:rFonts w:eastAsia="Times New Roman"/>
              <w:color w:val="000000"/>
              <w:vertAlign w:val="superscript"/>
            </w:rPr>
            <w:t>175</w:t>
          </w:r>
        </w:sdtContent>
      </w:sdt>
      <w:r w:rsidRPr="00476931">
        <w:rPr>
          <w:rFonts w:eastAsia="Times New Roman"/>
          <w:color w:val="000000" w:themeColor="text1"/>
        </w:rPr>
        <w:t>.  Hospitalized preterm infants make a particularly amenable model to study colonization as samples are readily accessible for collection in a controlled hospital environment.</w:t>
      </w:r>
      <w:r w:rsidRPr="00476931">
        <w:rPr>
          <w:rFonts w:eastAsia="Times New Roman"/>
          <w:b/>
          <w:bCs/>
          <w:color w:val="000000" w:themeColor="text1"/>
        </w:rPr>
        <w:t xml:space="preserve"> </w:t>
      </w:r>
      <w:r w:rsidRPr="00476931">
        <w:rPr>
          <w:color w:val="000000" w:themeColor="text1"/>
        </w:rPr>
        <w:t xml:space="preserve">The study of establishment dynamics is of broad interest, as the gut microbiome develops during the early stages of life and plays an essential role in host health through the production of metabolic resources and stimulation and training of the immune system. </w:t>
      </w:r>
    </w:p>
    <w:p w14:paraId="79E5C90B" w14:textId="77777777" w:rsidR="00A66C57" w:rsidRPr="00476931" w:rsidRDefault="00310878" w:rsidP="00A66C57">
      <w:pPr>
        <w:rPr>
          <w:rFonts w:eastAsia="Times New Roman"/>
          <w:color w:val="000000" w:themeColor="text1"/>
        </w:rPr>
      </w:pPr>
      <w:r w:rsidRPr="00476931">
        <w:rPr>
          <w:rFonts w:eastAsia="Times New Roman"/>
          <w:color w:val="000000" w:themeColor="text1"/>
        </w:rPr>
        <w:t xml:space="preserve">The two projects in this chapter probe interkingdom interactions in the hospitalized infant gut environment to elucidate how these interactions impact persistence and functionality of the gut microbiota in early life.  First, a time course metaproteomics study on fecal samples from hospitalized premature infants diagnosed with </w:t>
      </w:r>
      <w:r w:rsidRPr="00476931">
        <w:rPr>
          <w:rFonts w:eastAsia="Times New Roman"/>
          <w:i/>
          <w:iCs/>
          <w:color w:val="000000" w:themeColor="text1"/>
        </w:rPr>
        <w:t>Candida</w:t>
      </w:r>
      <w:r w:rsidRPr="00476931">
        <w:rPr>
          <w:i/>
          <w:iCs/>
          <w:color w:val="000000" w:themeColor="text1"/>
          <w:shd w:val="clear" w:color="auto" w:fill="FFFFFF"/>
        </w:rPr>
        <w:t xml:space="preserve"> </w:t>
      </w:r>
      <w:r w:rsidRPr="00476931">
        <w:rPr>
          <w:rFonts w:eastAsia="Times New Roman"/>
          <w:i/>
          <w:iCs/>
          <w:color w:val="000000" w:themeColor="text1"/>
        </w:rPr>
        <w:t>parapsilosis</w:t>
      </w:r>
      <w:r w:rsidRPr="00476931">
        <w:rPr>
          <w:rFonts w:eastAsia="Times New Roman"/>
          <w:color w:val="000000" w:themeColor="text1"/>
        </w:rPr>
        <w:t xml:space="preserve"> blood or urine infections revealed distinct functional partitioning among microbiota in the presence of low abundance microbial eukaryotes. Second, the second study is an exploration of temporal relationships between microbial activities and the host immune system during the normal and abnormal establishment of the gut microbiome.</w:t>
      </w:r>
    </w:p>
    <w:p w14:paraId="6F86E1ED" w14:textId="77777777" w:rsidR="00A66C57" w:rsidRPr="00476931" w:rsidRDefault="00A66C57" w:rsidP="00A66C57">
      <w:pPr>
        <w:rPr>
          <w:rFonts w:eastAsia="Times New Roman"/>
          <w:color w:val="000000" w:themeColor="text1"/>
        </w:rPr>
      </w:pPr>
    </w:p>
    <w:p w14:paraId="1E4DE1CA" w14:textId="77777777" w:rsidR="00061FA9" w:rsidRDefault="00061FA9">
      <w:pPr>
        <w:spacing w:before="1"/>
        <w:rPr>
          <w:rFonts w:eastAsia="Times New Roman" w:cstheme="majorBidi"/>
          <w:b/>
          <w:color w:val="000000" w:themeColor="text1"/>
          <w:szCs w:val="26"/>
        </w:rPr>
      </w:pPr>
      <w:r>
        <w:rPr>
          <w:rFonts w:eastAsia="Times New Roman"/>
        </w:rPr>
        <w:br w:type="page"/>
      </w:r>
    </w:p>
    <w:p w14:paraId="54DC7E35" w14:textId="34883AAA" w:rsidR="00310878" w:rsidRPr="00476931" w:rsidRDefault="00A66C57" w:rsidP="0060435B">
      <w:pPr>
        <w:pStyle w:val="Heading2"/>
      </w:pPr>
      <w:bookmarkStart w:id="323" w:name="_Toc110250289"/>
      <w:bookmarkStart w:id="324" w:name="_Toc110250546"/>
      <w:bookmarkStart w:id="325" w:name="_Toc110250677"/>
      <w:r w:rsidRPr="00476931">
        <w:rPr>
          <w:rFonts w:eastAsia="Times New Roman"/>
        </w:rPr>
        <w:t xml:space="preserve">6.2  </w:t>
      </w:r>
      <w:proofErr w:type="gramStart"/>
      <w:r w:rsidR="00310878" w:rsidRPr="00476931">
        <w:t>Multi-omics</w:t>
      </w:r>
      <w:proofErr w:type="gramEnd"/>
      <w:r w:rsidR="00310878" w:rsidRPr="00476931">
        <w:t xml:space="preserve"> characterization of the establishment of the preterm infant gut microbiome in the context of eukaryotic membership</w:t>
      </w:r>
      <w:r w:rsidR="0003562F">
        <w:t>.</w:t>
      </w:r>
      <w:bookmarkEnd w:id="323"/>
      <w:bookmarkEnd w:id="324"/>
      <w:bookmarkEnd w:id="325"/>
    </w:p>
    <w:p w14:paraId="4DAA2CA5" w14:textId="5BD348A7" w:rsidR="009E3F82" w:rsidRPr="00476931" w:rsidRDefault="009E3F82" w:rsidP="00E2090C">
      <w:pPr>
        <w:spacing w:before="219"/>
        <w:ind w:left="180" w:firstLine="0"/>
        <w:rPr>
          <w:color w:val="000000" w:themeColor="text1"/>
        </w:rPr>
      </w:pPr>
      <w:r w:rsidRPr="00476931">
        <w:rPr>
          <w:i/>
          <w:color w:val="000000" w:themeColor="text1"/>
        </w:rPr>
        <w:t>Text</w:t>
      </w:r>
      <w:r w:rsidR="00E24E1F" w:rsidRPr="00476931">
        <w:rPr>
          <w:i/>
          <w:color w:val="000000" w:themeColor="text1"/>
        </w:rPr>
        <w:t xml:space="preserve"> and figures</w:t>
      </w:r>
      <w:r w:rsidRPr="00476931">
        <w:rPr>
          <w:i/>
          <w:color w:val="000000" w:themeColor="text1"/>
          <w:spacing w:val="-3"/>
        </w:rPr>
        <w:t xml:space="preserve"> </w:t>
      </w:r>
      <w:r w:rsidRPr="00476931">
        <w:rPr>
          <w:i/>
          <w:color w:val="000000" w:themeColor="text1"/>
        </w:rPr>
        <w:t>adapted</w:t>
      </w:r>
      <w:r w:rsidRPr="00476931">
        <w:rPr>
          <w:i/>
          <w:color w:val="000000" w:themeColor="text1"/>
          <w:spacing w:val="-2"/>
        </w:rPr>
        <w:t xml:space="preserve"> </w:t>
      </w:r>
      <w:r w:rsidRPr="00476931">
        <w:rPr>
          <w:i/>
          <w:color w:val="000000" w:themeColor="text1"/>
        </w:rPr>
        <w:t>from</w:t>
      </w:r>
      <w:r w:rsidRPr="00476931">
        <w:rPr>
          <w:i/>
          <w:color w:val="000000" w:themeColor="text1"/>
          <w:spacing w:val="-2"/>
        </w:rPr>
        <w:t xml:space="preserve"> </w:t>
      </w:r>
      <w:r w:rsidR="00E24E1F" w:rsidRPr="00476931">
        <w:rPr>
          <w:i/>
          <w:color w:val="000000" w:themeColor="text1"/>
        </w:rPr>
        <w:t>West</w:t>
      </w:r>
      <w:r w:rsidRPr="00476931">
        <w:rPr>
          <w:i/>
          <w:color w:val="000000" w:themeColor="text1"/>
          <w:spacing w:val="-3"/>
        </w:rPr>
        <w:t xml:space="preserve"> </w:t>
      </w:r>
      <w:r w:rsidRPr="00476931">
        <w:rPr>
          <w:i/>
          <w:color w:val="000000" w:themeColor="text1"/>
        </w:rPr>
        <w:t>et</w:t>
      </w:r>
      <w:r w:rsidRPr="00476931">
        <w:rPr>
          <w:i/>
          <w:color w:val="000000" w:themeColor="text1"/>
          <w:spacing w:val="-2"/>
        </w:rPr>
        <w:t xml:space="preserve"> </w:t>
      </w:r>
      <w:r w:rsidRPr="00476931">
        <w:rPr>
          <w:i/>
          <w:color w:val="000000" w:themeColor="text1"/>
        </w:rPr>
        <w:t>al.</w:t>
      </w:r>
      <w:r w:rsidR="00E24E1F" w:rsidRPr="00476931">
        <w:rPr>
          <w:i/>
          <w:color w:val="000000" w:themeColor="text1"/>
        </w:rPr>
        <w:t xml:space="preserve">, </w:t>
      </w:r>
      <w:r w:rsidRPr="00476931">
        <w:rPr>
          <w:i/>
          <w:color w:val="000000" w:themeColor="text1"/>
        </w:rPr>
        <w:t>20</w:t>
      </w:r>
      <w:r w:rsidR="00E24E1F" w:rsidRPr="00476931">
        <w:rPr>
          <w:i/>
          <w:color w:val="000000" w:themeColor="text1"/>
        </w:rPr>
        <w:t>21</w:t>
      </w:r>
      <w:r w:rsidRPr="00476931">
        <w:rPr>
          <w:i/>
          <w:color w:val="000000" w:themeColor="text1"/>
        </w:rPr>
        <w:t>.</w:t>
      </w:r>
      <w:r w:rsidRPr="00476931">
        <w:rPr>
          <w:i/>
          <w:color w:val="000000" w:themeColor="text1"/>
          <w:spacing w:val="-3"/>
        </w:rPr>
        <w:t xml:space="preserve"> </w:t>
      </w:r>
      <w:r w:rsidRPr="00476931">
        <w:rPr>
          <w:i/>
          <w:color w:val="000000" w:themeColor="text1"/>
        </w:rPr>
        <w:t>Microbiome</w:t>
      </w:r>
      <w:r w:rsidRPr="00476931">
        <w:rPr>
          <w:color w:val="000000" w:themeColor="text1"/>
          <w:spacing w:val="-5"/>
        </w:rPr>
        <w:t>.</w:t>
      </w:r>
    </w:p>
    <w:p w14:paraId="0B2F38FE" w14:textId="77777777" w:rsidR="00E24E1F" w:rsidRPr="00476931" w:rsidRDefault="00E24E1F" w:rsidP="000E4AB4">
      <w:pPr>
        <w:pStyle w:val="Heading3"/>
      </w:pPr>
    </w:p>
    <w:p w14:paraId="384E04BC" w14:textId="4F8B90F4" w:rsidR="00310878" w:rsidRPr="00476931" w:rsidRDefault="000E4AB4" w:rsidP="000E4AB4">
      <w:pPr>
        <w:pStyle w:val="Heading3"/>
      </w:pPr>
      <w:bookmarkStart w:id="326" w:name="_Toc110250290"/>
      <w:bookmarkStart w:id="327" w:name="_Toc110250547"/>
      <w:bookmarkStart w:id="328" w:name="_Toc110250678"/>
      <w:r w:rsidRPr="00476931">
        <w:t xml:space="preserve">6.2.1  </w:t>
      </w:r>
      <w:r w:rsidR="00310878" w:rsidRPr="00476931">
        <w:t>Introduction</w:t>
      </w:r>
      <w:r w:rsidR="0003562F">
        <w:t>.</w:t>
      </w:r>
      <w:bookmarkEnd w:id="326"/>
      <w:bookmarkEnd w:id="327"/>
      <w:bookmarkEnd w:id="328"/>
    </w:p>
    <w:p w14:paraId="23EA393D" w14:textId="77777777" w:rsidR="00784C7B" w:rsidRPr="00476931" w:rsidRDefault="00784C7B" w:rsidP="00784C7B">
      <w:pPr>
        <w:rPr>
          <w:color w:val="000000" w:themeColor="text1"/>
        </w:rPr>
      </w:pPr>
    </w:p>
    <w:p w14:paraId="241876D7" w14:textId="3EDDDFCB" w:rsidR="00310878" w:rsidRPr="00476931" w:rsidRDefault="00310878" w:rsidP="000E4AB4">
      <w:pPr>
        <w:rPr>
          <w:color w:val="000000" w:themeColor="text1"/>
        </w:rPr>
      </w:pPr>
      <w:r w:rsidRPr="00476931">
        <w:rPr>
          <w:color w:val="000000" w:themeColor="text1"/>
        </w:rPr>
        <w:t>Studies of the gut microbiome tend to focus on bacteria without consideration of microbial eukaryotes, despite their functional importance to the community</w:t>
      </w:r>
      <w:sdt>
        <w:sdtPr>
          <w:rPr>
            <w:color w:val="000000"/>
            <w:vertAlign w:val="superscript"/>
          </w:rPr>
          <w:tag w:val="MENDELEY_CITATION_v3_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"/>
          <w:id w:val="-1637636602"/>
          <w:placeholder>
            <w:docPart w:val="E4B5E21686F2314088D58853EA72C37C"/>
          </w:placeholder>
        </w:sdtPr>
        <w:sdtEndPr/>
        <w:sdtContent>
          <w:r w:rsidR="003204EA" w:rsidRPr="003204EA">
            <w:rPr>
              <w:rFonts w:eastAsia="Times New Roman"/>
              <w:color w:val="000000"/>
              <w:vertAlign w:val="superscript"/>
            </w:rPr>
            <w:t>176</w:t>
          </w:r>
        </w:sdtContent>
      </w:sdt>
      <w:r w:rsidRPr="00476931">
        <w:rPr>
          <w:color w:val="000000" w:themeColor="text1"/>
        </w:rPr>
        <w:t>. Microbial eukaryotes are commonly found within the human gut microbiome but can have significant impacts on host health. Studies have linked the presence of fungal pathogens within the gut microbiome to substantial effects on morbidity and mortality among newborns</w:t>
      </w:r>
      <w:sdt>
        <w:sdtPr>
          <w:rPr>
            <w:color w:val="000000"/>
            <w:vertAlign w:val="superscript"/>
          </w:rPr>
          <w:tag w:val="MENDELEY_CITATION_v3_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"/>
          <w:id w:val="-72201676"/>
          <w:placeholder>
            <w:docPart w:val="E4B5E21686F2314088D58853EA72C37C"/>
          </w:placeholder>
        </w:sdtPr>
        <w:sdtEndPr/>
        <w:sdtContent>
          <w:r w:rsidR="003204EA" w:rsidRPr="003204EA">
            <w:rPr>
              <w:rFonts w:eastAsia="Times New Roman"/>
              <w:color w:val="000000"/>
              <w:vertAlign w:val="superscript"/>
            </w:rPr>
            <w:t>177</w:t>
          </w:r>
        </w:sdtContent>
      </w:sdt>
      <w:r w:rsidRPr="00476931">
        <w:rPr>
          <w:color w:val="000000" w:themeColor="text1"/>
        </w:rPr>
        <w:t>. Despite this correlation with host health, very little is known about eukaryotic establishment within the preterm gut microbiome and their interactions with bacterial microbiota and the host</w:t>
      </w:r>
      <w:sdt>
        <w:sdtPr>
          <w:rPr>
            <w:color w:val="000000"/>
            <w:vertAlign w:val="superscript"/>
          </w:rPr>
          <w:tag w:val="MENDELEY_CITATION_v3_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"/>
          <w:id w:val="1356152374"/>
          <w:placeholder>
            <w:docPart w:val="E4B5E21686F2314088D58853EA72C37C"/>
          </w:placeholder>
        </w:sdtPr>
        <w:sdtEndPr/>
        <w:sdtContent>
          <w:r w:rsidR="003204EA" w:rsidRPr="003204EA">
            <w:rPr>
              <w:rFonts w:eastAsia="Times New Roman"/>
              <w:color w:val="000000"/>
              <w:vertAlign w:val="superscript"/>
            </w:rPr>
            <w:t>178</w:t>
          </w:r>
        </w:sdtContent>
      </w:sdt>
      <w:r w:rsidRPr="00476931">
        <w:rPr>
          <w:color w:val="000000" w:themeColor="text1"/>
        </w:rPr>
        <w:t xml:space="preserve">. This study investigates the metagenomic and metaproteome signatures of preterm infant gut microbiomes </w:t>
      </w:r>
      <w:r w:rsidR="004A55EB">
        <w:rPr>
          <w:color w:val="000000" w:themeColor="text1"/>
        </w:rPr>
        <w:t xml:space="preserve">from </w:t>
      </w:r>
      <w:r w:rsidR="00606A7A">
        <w:rPr>
          <w:color w:val="000000" w:themeColor="text1"/>
        </w:rPr>
        <w:t xml:space="preserve">two infants </w:t>
      </w:r>
      <w:r w:rsidR="00F347E1">
        <w:rPr>
          <w:color w:val="000000" w:themeColor="text1"/>
        </w:rPr>
        <w:t xml:space="preserve">who presented a clinical diagnosis of </w:t>
      </w:r>
      <w:r w:rsidR="004A55EB">
        <w:rPr>
          <w:rFonts w:eastAsia="Times New Roman"/>
          <w:color w:val="000000" w:themeColor="text1"/>
        </w:rPr>
        <w:t>blood or urine fungal infection</w:t>
      </w:r>
      <w:r w:rsidR="00606A7A">
        <w:rPr>
          <w:rFonts w:eastAsia="Times New Roman"/>
          <w:color w:val="000000" w:themeColor="text1"/>
        </w:rPr>
        <w:t xml:space="preserve"> while hospitalized in a neonatal intensive care unit</w:t>
      </w:r>
      <w:r w:rsidR="004A55EB">
        <w:rPr>
          <w:rFonts w:eastAsia="Times New Roman"/>
          <w:color w:val="000000" w:themeColor="text1"/>
        </w:rPr>
        <w:t xml:space="preserve"> </w:t>
      </w:r>
      <w:r w:rsidRPr="00476931">
        <w:rPr>
          <w:color w:val="000000" w:themeColor="text1"/>
        </w:rPr>
        <w:t>to examine and identify the presence of eukaryotes and to examine how community members interact, partition function, and establish stability over time.</w:t>
      </w:r>
    </w:p>
    <w:p w14:paraId="6072EF44" w14:textId="77777777" w:rsidR="000E4AB4" w:rsidRPr="00476931" w:rsidRDefault="000E4AB4" w:rsidP="00343C78">
      <w:pPr>
        <w:shd w:val="clear" w:color="auto" w:fill="FFFFFF"/>
        <w:textAlignment w:val="baseline"/>
        <w:rPr>
          <w:rFonts w:ascii="Times New Roman" w:eastAsia="Times New Roman" w:hAnsi="Times New Roman" w:cs="Times New Roman"/>
          <w:b/>
          <w:bCs/>
          <w:color w:val="000000" w:themeColor="text1"/>
          <w:shd w:val="clear" w:color="auto" w:fill="FFFFFF"/>
        </w:rPr>
      </w:pPr>
    </w:p>
    <w:p w14:paraId="5993E813" w14:textId="00C0E4B4" w:rsidR="00310878" w:rsidRPr="00476931" w:rsidRDefault="000E4AB4" w:rsidP="000E4AB4">
      <w:pPr>
        <w:pStyle w:val="Heading4"/>
        <w:rPr>
          <w:rFonts w:eastAsia="Times New Roman"/>
          <w:shd w:val="clear" w:color="auto" w:fill="FFFFFF"/>
        </w:rPr>
      </w:pPr>
      <w:bookmarkStart w:id="329" w:name="_Toc110250291"/>
      <w:bookmarkStart w:id="330" w:name="_Toc110250548"/>
      <w:bookmarkStart w:id="331" w:name="_Toc110250679"/>
      <w:r w:rsidRPr="00476931">
        <w:rPr>
          <w:rFonts w:eastAsia="Times New Roman"/>
          <w:shd w:val="clear" w:color="auto" w:fill="FFFFFF"/>
        </w:rPr>
        <w:t xml:space="preserve">6.2.2.1  </w:t>
      </w:r>
      <w:r w:rsidR="00310878" w:rsidRPr="00476931">
        <w:rPr>
          <w:rFonts w:eastAsia="Times New Roman"/>
          <w:shd w:val="clear" w:color="auto" w:fill="FFFFFF"/>
        </w:rPr>
        <w:t>Metrics and trends of the metaproteomic measurements</w:t>
      </w:r>
      <w:r w:rsidR="0003562F">
        <w:rPr>
          <w:rFonts w:eastAsia="Times New Roman"/>
          <w:shd w:val="clear" w:color="auto" w:fill="FFFFFF"/>
        </w:rPr>
        <w:t>.</w:t>
      </w:r>
      <w:bookmarkEnd w:id="329"/>
      <w:bookmarkEnd w:id="330"/>
      <w:bookmarkEnd w:id="331"/>
    </w:p>
    <w:p w14:paraId="55EE9B67" w14:textId="77777777" w:rsidR="00784C7B" w:rsidRPr="00476931" w:rsidRDefault="00784C7B" w:rsidP="00784C7B">
      <w:pPr>
        <w:ind w:left="180"/>
        <w:rPr>
          <w:color w:val="000000" w:themeColor="text1"/>
          <w:shd w:val="clear" w:color="auto" w:fill="FFFFFF"/>
        </w:rPr>
      </w:pPr>
    </w:p>
    <w:p w14:paraId="1A3B162B" w14:textId="4912E309" w:rsidR="000E4AB4" w:rsidRPr="00476931" w:rsidRDefault="00310878" w:rsidP="00784C7B">
      <w:pPr>
        <w:ind w:left="180"/>
        <w:rPr>
          <w:color w:val="000000" w:themeColor="text1"/>
        </w:rPr>
      </w:pPr>
      <w:r w:rsidRPr="00476931">
        <w:rPr>
          <w:color w:val="000000" w:themeColor="text1"/>
          <w:shd w:val="clear" w:color="auto" w:fill="FFFFFF"/>
        </w:rPr>
        <w:t>O</w:t>
      </w:r>
      <w:r w:rsidRPr="00476931">
        <w:rPr>
          <w:color w:val="000000" w:themeColor="text1"/>
        </w:rPr>
        <w:t>ver 7,000 protein groups were quantified per infant.  Around 25,000 peptides were identified per sample, with 21,000 unique peptides.  There was considerable proteome variation across samples at the taxonomic and protein group levels with distinct differences between individuals (</w:t>
      </w:r>
      <w:r w:rsidRPr="00476931">
        <w:rPr>
          <w:b/>
          <w:bCs/>
          <w:color w:val="000000" w:themeColor="text1"/>
        </w:rPr>
        <w:t>Figure 6</w:t>
      </w:r>
      <w:r w:rsidR="00697361">
        <w:rPr>
          <w:b/>
          <w:bCs/>
          <w:color w:val="000000" w:themeColor="text1"/>
        </w:rPr>
        <w:t>-</w:t>
      </w:r>
      <w:r w:rsidRPr="00476931">
        <w:rPr>
          <w:b/>
          <w:bCs/>
          <w:color w:val="000000" w:themeColor="text1"/>
        </w:rPr>
        <w:t>1A</w:t>
      </w:r>
      <w:r w:rsidRPr="00476931">
        <w:rPr>
          <w:color w:val="000000" w:themeColor="text1"/>
        </w:rPr>
        <w:t>) and across time points within an individual (</w:t>
      </w:r>
      <w:r w:rsidRPr="00476931">
        <w:rPr>
          <w:b/>
          <w:bCs/>
          <w:color w:val="000000" w:themeColor="text1"/>
        </w:rPr>
        <w:t>Figure 6</w:t>
      </w:r>
      <w:r w:rsidR="00697361">
        <w:rPr>
          <w:b/>
          <w:bCs/>
          <w:color w:val="000000" w:themeColor="text1"/>
        </w:rPr>
        <w:t>-</w:t>
      </w:r>
      <w:r w:rsidRPr="00476931">
        <w:rPr>
          <w:b/>
          <w:bCs/>
          <w:color w:val="000000" w:themeColor="text1"/>
        </w:rPr>
        <w:t>1B</w:t>
      </w:r>
      <w:r w:rsidRPr="00476931">
        <w:rPr>
          <w:color w:val="000000" w:themeColor="text1"/>
        </w:rPr>
        <w:t xml:space="preserve">). </w:t>
      </w:r>
    </w:p>
    <w:p w14:paraId="4739DFF7" w14:textId="50AC06F6" w:rsidR="00D0557C" w:rsidRDefault="00784C7B" w:rsidP="001C0BDE">
      <w:pPr>
        <w:ind w:left="180"/>
        <w:rPr>
          <w:color w:val="000000" w:themeColor="text1"/>
        </w:rPr>
      </w:pPr>
      <w:r w:rsidRPr="00476931">
        <w:rPr>
          <w:color w:val="000000" w:themeColor="text1"/>
        </w:rPr>
        <w:t>Annotation databases such as KEGG can be used to classify protein groups into orthologous groups based on their shared biochemical function</w:t>
      </w:r>
      <w:sdt>
        <w:sdtPr>
          <w:rPr>
            <w:color w:val="000000"/>
            <w:vertAlign w:val="superscript"/>
          </w:rPr>
          <w:tag w:val="MENDELEY_CITATION_v3_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"/>
          <w:id w:val="846297996"/>
          <w:placeholder>
            <w:docPart w:val="124DD55DD73BBC45AA98F16C3B8724E1"/>
          </w:placeholder>
        </w:sdtPr>
        <w:sdtEndPr/>
        <w:sdtContent>
          <w:r w:rsidR="003204EA" w:rsidRPr="003204EA">
            <w:rPr>
              <w:rFonts w:eastAsia="Times New Roman"/>
              <w:color w:val="000000"/>
              <w:vertAlign w:val="superscript"/>
            </w:rPr>
            <w:t>179</w:t>
          </w:r>
        </w:sdtContent>
      </w:sdt>
      <w:r w:rsidRPr="00476931">
        <w:rPr>
          <w:color w:val="000000" w:themeColor="text1"/>
        </w:rPr>
        <w:t xml:space="preserve">.  Utilization of </w:t>
      </w:r>
    </w:p>
    <w:p w14:paraId="6DB8E378" w14:textId="77777777" w:rsidR="00D0557C" w:rsidRDefault="00D0557C" w:rsidP="00D0557C">
      <w:pPr>
        <w:pStyle w:val="BodyText"/>
        <w:keepNext/>
      </w:pPr>
      <w:r w:rsidRPr="00476931">
        <w:rPr>
          <w:noProof/>
        </w:rPr>
        <w:drawing>
          <wp:inline distT="0" distB="0" distL="0" distR="0" wp14:anchorId="45D86CFC" wp14:editId="1AD9CFDF">
            <wp:extent cx="5219700" cy="3076575"/>
            <wp:effectExtent l="0" t="0" r="0" b="0"/>
            <wp:docPr id="25" name="Graphic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a:extLst>
                        <a:ext uri="{96DAC541-7B7A-43D3-8B79-37D633B846F1}">
                          <asvg:svgBlip xmlns:asvg="http://schemas.microsoft.com/office/drawing/2016/SVG/main" r:embed="rId70"/>
                        </a:ext>
                      </a:extLst>
                    </a:blip>
                    <a:srcRect r="8975" b="16897"/>
                    <a:stretch/>
                  </pic:blipFill>
                  <pic:spPr bwMode="auto">
                    <a:xfrm>
                      <a:off x="0" y="0"/>
                      <a:ext cx="5228512" cy="3081769"/>
                    </a:xfrm>
                    <a:prstGeom prst="rect">
                      <a:avLst/>
                    </a:prstGeom>
                    <a:ln>
                      <a:noFill/>
                    </a:ln>
                    <a:extLst>
                      <a:ext uri="{53640926-AAD7-44D8-BBD7-CCE9431645EC}">
                        <a14:shadowObscured xmlns:a14="http://schemas.microsoft.com/office/drawing/2010/main"/>
                      </a:ext>
                    </a:extLst>
                  </pic:spPr>
                </pic:pic>
              </a:graphicData>
            </a:graphic>
          </wp:inline>
        </w:drawing>
      </w:r>
    </w:p>
    <w:p w14:paraId="1FE644D2" w14:textId="2493C671" w:rsidR="00D0557C" w:rsidRPr="00D0557C" w:rsidRDefault="00D0557C" w:rsidP="00D0557C">
      <w:pPr>
        <w:pStyle w:val="Caption"/>
      </w:pPr>
      <w:bookmarkStart w:id="332" w:name="_Toc110246955"/>
      <w:r>
        <w:t xml:space="preserve">Figure </w:t>
      </w:r>
      <w:fldSimple w:instr=" STYLEREF 1 \s ">
        <w:r w:rsidR="00AC2094">
          <w:rPr>
            <w:noProof/>
          </w:rPr>
          <w:t>6</w:t>
        </w:r>
      </w:fldSimple>
      <w:r w:rsidR="00AC2094">
        <w:noBreakHyphen/>
      </w:r>
      <w:fldSimple w:instr=" SEQ Figure \* ARABIC \s 1 ">
        <w:r w:rsidR="00AC2094">
          <w:rPr>
            <w:noProof/>
          </w:rPr>
          <w:t>1</w:t>
        </w:r>
      </w:fldSimple>
      <w:r>
        <w:t xml:space="preserve">  </w:t>
      </w:r>
      <w:r w:rsidRPr="00D0557C">
        <w:t>Principal component analysis of all metaproteomic measurements.</w:t>
      </w:r>
      <w:bookmarkEnd w:id="332"/>
      <w:r w:rsidRPr="00D0557C">
        <w:fldChar w:fldCharType="begin"/>
      </w:r>
      <w:r w:rsidRPr="00D0557C">
        <w:instrText xml:space="preserve"> </w:instrText>
      </w:r>
    </w:p>
    <w:p w14:paraId="5FEAED7A" w14:textId="77777777" w:rsidR="00D0557C" w:rsidRPr="00D0557C" w:rsidRDefault="00D0557C" w:rsidP="00D0557C">
      <w:pPr>
        <w:pStyle w:val="Caption"/>
      </w:pPr>
    </w:p>
    <w:p w14:paraId="5048E654" w14:textId="0B4F5ABD" w:rsidR="00D0557C" w:rsidRPr="00D0557C" w:rsidRDefault="00D0557C" w:rsidP="00D0557C">
      <w:pPr>
        <w:pStyle w:val="Caption"/>
        <w:rPr>
          <w:b w:val="0"/>
          <w:bCs/>
        </w:rPr>
      </w:pPr>
      <w:r w:rsidRPr="00D0557C">
        <w:instrText xml:space="preserve"> </w:instrText>
      </w:r>
      <w:r w:rsidRPr="00D0557C">
        <w:fldChar w:fldCharType="end"/>
      </w:r>
      <w:r>
        <w:t xml:space="preserve">  </w:t>
      </w:r>
      <w:r w:rsidRPr="00D0557C">
        <w:rPr>
          <w:b w:val="0"/>
          <w:bCs/>
        </w:rPr>
        <w:fldChar w:fldCharType="begin"/>
      </w:r>
      <w:r w:rsidRPr="00D0557C">
        <w:rPr>
          <w:b w:val="0"/>
          <w:bCs/>
        </w:rPr>
        <w:instrText xml:space="preserve"> </w:instrText>
      </w:r>
    </w:p>
    <w:p w14:paraId="2E1CC514" w14:textId="77777777" w:rsidR="00D0557C" w:rsidRPr="00D0557C" w:rsidRDefault="00D0557C" w:rsidP="00D0557C">
      <w:pPr>
        <w:pStyle w:val="Caption"/>
        <w:rPr>
          <w:b w:val="0"/>
          <w:bCs/>
        </w:rPr>
      </w:pPr>
    </w:p>
    <w:p w14:paraId="52A53C35" w14:textId="7E58C2C6" w:rsidR="00D0557C" w:rsidRPr="00D0557C" w:rsidRDefault="00D0557C" w:rsidP="00D0557C">
      <w:pPr>
        <w:pStyle w:val="Caption"/>
        <w:rPr>
          <w:b w:val="0"/>
          <w:bCs/>
        </w:rPr>
      </w:pPr>
      <w:r w:rsidRPr="00D0557C">
        <w:rPr>
          <w:b w:val="0"/>
          <w:bCs/>
        </w:rPr>
        <w:instrText xml:space="preserve"> </w:instrText>
      </w:r>
      <w:r w:rsidRPr="00D0557C">
        <w:rPr>
          <w:b w:val="0"/>
          <w:bCs/>
        </w:rPr>
        <w:fldChar w:fldCharType="end"/>
      </w:r>
      <w:r w:rsidRPr="00D0557C">
        <w:rPr>
          <w:b w:val="0"/>
          <w:bCs/>
        </w:rPr>
        <w:t xml:space="preserve">(A). Distinct metaproteome composition between individuals and high reproducibility between technical replicates were observed. There was also a distinct separation between samples collected at early and late time points in both infants. Pearson correlation plot of infant 06 measurements (B).  Within an individual, there is a higher correlation between close time points but an overall separation of the metaproteome across time.  Variation of protein groups (C) and KEGG orthologs (KO) (D). The percent of the total quantified protein groups or KO terms found in both infants </w:t>
      </w:r>
      <w:proofErr w:type="gramStart"/>
      <w:r w:rsidRPr="00D0557C">
        <w:rPr>
          <w:b w:val="0"/>
          <w:bCs/>
        </w:rPr>
        <w:t>or</w:t>
      </w:r>
      <w:proofErr w:type="gramEnd"/>
      <w:r w:rsidRPr="00D0557C">
        <w:rPr>
          <w:b w:val="0"/>
          <w:bCs/>
        </w:rPr>
        <w:t xml:space="preserve"> found in only one infant was assessed at each functional level.  The relative proportions of assignments are shown for all protein groups/KOs or protein groups/KOs belonging to the host or the microbiota.</w:t>
      </w:r>
    </w:p>
    <w:p w14:paraId="6C295B4D" w14:textId="01853117" w:rsidR="00D0557C" w:rsidRDefault="00D0557C" w:rsidP="00D0557C">
      <w:pPr>
        <w:pStyle w:val="BodyText"/>
      </w:pPr>
      <w:r>
        <w:br w:type="page"/>
      </w:r>
    </w:p>
    <w:p w14:paraId="68C39E9B" w14:textId="6CA8B3DC" w:rsidR="000E4AB4" w:rsidRPr="00476931" w:rsidRDefault="00784C7B" w:rsidP="00D0557C">
      <w:pPr>
        <w:ind w:left="180" w:firstLine="0"/>
        <w:rPr>
          <w:color w:val="000000" w:themeColor="text1"/>
        </w:rPr>
      </w:pPr>
      <w:r w:rsidRPr="00476931">
        <w:rPr>
          <w:color w:val="000000" w:themeColor="text1"/>
        </w:rPr>
        <w:t xml:space="preserve">these annotations can be a useful way to assess the similarity of functional activities between microbiomes with limited taxonomic overlap.  To assess the difference in the metaproteomic measurements between individuals at different functional levels, the relative proportion of the total protein group of KO term identifications was compared at three levels: (1) all identifications, (2) human identification, and (3) microbial identifications.  There was a high level of overlap of host protein groups, but no overlap of microbial protein groups </w:t>
      </w:r>
      <w:r w:rsidRPr="00476931">
        <w:rPr>
          <w:b/>
          <w:bCs/>
          <w:color w:val="000000" w:themeColor="text1"/>
        </w:rPr>
        <w:t>(Figure 6</w:t>
      </w:r>
      <w:r w:rsidR="00697361">
        <w:rPr>
          <w:b/>
          <w:bCs/>
          <w:color w:val="000000" w:themeColor="text1"/>
        </w:rPr>
        <w:t>-</w:t>
      </w:r>
      <w:r w:rsidRPr="00476931">
        <w:rPr>
          <w:b/>
          <w:bCs/>
          <w:color w:val="000000" w:themeColor="text1"/>
        </w:rPr>
        <w:t>1C)</w:t>
      </w:r>
      <w:r w:rsidRPr="00476931">
        <w:rPr>
          <w:color w:val="000000" w:themeColor="text1"/>
        </w:rPr>
        <w:t xml:space="preserve">.  This finding was expected, as the host proteome is conserved between samples, while </w:t>
      </w:r>
      <w:proofErr w:type="gramStart"/>
      <w:r w:rsidRPr="00476931">
        <w:rPr>
          <w:color w:val="000000" w:themeColor="text1"/>
        </w:rPr>
        <w:t>each individual</w:t>
      </w:r>
      <w:proofErr w:type="gramEnd"/>
      <w:r w:rsidRPr="00476931">
        <w:rPr>
          <w:color w:val="000000" w:themeColor="text1"/>
        </w:rPr>
        <w:t xml:space="preserve"> may be colonized by very distinct microbiota.  Restricting the dataset to the functional level by assigning KO terms to protein groups enabled the comparison of microbial functions between infants (</w:t>
      </w:r>
      <w:r w:rsidRPr="00476931">
        <w:rPr>
          <w:b/>
          <w:bCs/>
          <w:color w:val="000000" w:themeColor="text1"/>
        </w:rPr>
        <w:t>Figure 6</w:t>
      </w:r>
      <w:r w:rsidR="00697361">
        <w:rPr>
          <w:b/>
          <w:bCs/>
          <w:color w:val="000000" w:themeColor="text1"/>
        </w:rPr>
        <w:t>-</w:t>
      </w:r>
      <w:r w:rsidRPr="00476931">
        <w:rPr>
          <w:b/>
          <w:bCs/>
          <w:color w:val="000000" w:themeColor="text1"/>
        </w:rPr>
        <w:t>1D</w:t>
      </w:r>
      <w:r w:rsidRPr="00476931">
        <w:rPr>
          <w:color w:val="000000" w:themeColor="text1"/>
        </w:rPr>
        <w:t>).</w:t>
      </w:r>
    </w:p>
    <w:p w14:paraId="6BAF1609" w14:textId="362A362B" w:rsidR="00310878" w:rsidRPr="00476931" w:rsidRDefault="00310878" w:rsidP="000E4AB4">
      <w:pPr>
        <w:shd w:val="clear" w:color="auto" w:fill="FFFFFF"/>
        <w:ind w:hanging="68"/>
        <w:textAlignment w:val="baseline"/>
        <w:rPr>
          <w:rFonts w:ascii="Times New Roman" w:hAnsi="Times New Roman" w:cs="Times New Roman"/>
          <w:color w:val="000000" w:themeColor="text1"/>
        </w:rPr>
      </w:pPr>
    </w:p>
    <w:p w14:paraId="4DEB9214" w14:textId="77777777" w:rsidR="00784C7B" w:rsidRPr="00476931" w:rsidRDefault="00784C7B" w:rsidP="00784C7B">
      <w:pPr>
        <w:pStyle w:val="Heading4"/>
        <w:ind w:left="180" w:hanging="22"/>
        <w:rPr>
          <w:rFonts w:eastAsia="Times New Roman"/>
          <w:shd w:val="clear" w:color="auto" w:fill="FFFFFF"/>
        </w:rPr>
      </w:pPr>
      <w:bookmarkStart w:id="333" w:name="_Toc110250292"/>
      <w:bookmarkStart w:id="334" w:name="_Toc110250549"/>
      <w:bookmarkStart w:id="335" w:name="_Toc110250680"/>
      <w:r w:rsidRPr="00476931">
        <w:rPr>
          <w:rFonts w:eastAsia="Times New Roman"/>
          <w:shd w:val="clear" w:color="auto" w:fill="FFFFFF"/>
        </w:rPr>
        <w:t>6.2.2.2  Longitudinal metaproteomic characterization simultaneously reveals the presence and functions of bacteria and eukaryotes in the gut microbiomes of preterm infants.</w:t>
      </w:r>
      <w:bookmarkEnd w:id="333"/>
      <w:bookmarkEnd w:id="334"/>
      <w:bookmarkEnd w:id="335"/>
    </w:p>
    <w:p w14:paraId="614FF709" w14:textId="77777777" w:rsidR="00784C7B" w:rsidRPr="00476931" w:rsidRDefault="00784C7B" w:rsidP="00784C7B">
      <w:pPr>
        <w:rPr>
          <w:color w:val="000000" w:themeColor="text1"/>
        </w:rPr>
      </w:pPr>
    </w:p>
    <w:p w14:paraId="5AF1A913" w14:textId="58284C03" w:rsidR="00D0557C" w:rsidRDefault="00784C7B" w:rsidP="00784C7B">
      <w:pPr>
        <w:ind w:left="180"/>
        <w:rPr>
          <w:rFonts w:ascii="Times New Roman" w:eastAsia="Times New Roman" w:hAnsi="Times New Roman" w:cs="Times New Roman"/>
          <w:color w:val="000000" w:themeColor="text1"/>
        </w:rPr>
      </w:pPr>
      <w:r w:rsidRPr="00476931">
        <w:rPr>
          <w:rFonts w:ascii="Times New Roman" w:hAnsi="Times New Roman" w:cs="Times New Roman"/>
          <w:color w:val="000000" w:themeColor="text1"/>
        </w:rPr>
        <w:t>Genomic and protein evidence of microbial eukaryotes was detected in one of the individuals</w:t>
      </w:r>
      <w:r w:rsidRPr="00476931">
        <w:rPr>
          <w:rFonts w:ascii="Times New Roman" w:hAnsi="Times New Roman" w:cs="Times New Roman"/>
          <w:noProof/>
          <w:color w:val="000000" w:themeColor="text1"/>
        </w:rPr>
        <w:t xml:space="preserve">. The functional taxonomy of bacterial community members was very distinct between the two infants, Firmicutes comprising the </w:t>
      </w:r>
      <w:r w:rsidR="00310878" w:rsidRPr="00476931">
        <w:rPr>
          <w:rFonts w:ascii="Times New Roman" w:hAnsi="Times New Roman" w:cs="Times New Roman"/>
          <w:noProof/>
          <w:color w:val="000000" w:themeColor="text1"/>
        </w:rPr>
        <w:t>source of the majority of quantified proteins in the infant co-colonized with microeukaryotes and quantified proteins from Proteobacteria dominating the gut of the infant with no evidence of fungal colonization (</w:t>
      </w:r>
      <w:r w:rsidR="00310878" w:rsidRPr="00476931">
        <w:rPr>
          <w:rFonts w:ascii="Times New Roman" w:hAnsi="Times New Roman" w:cs="Times New Roman"/>
          <w:b/>
          <w:bCs/>
          <w:noProof/>
          <w:color w:val="000000" w:themeColor="text1"/>
        </w:rPr>
        <w:t>Figure 6</w:t>
      </w:r>
      <w:r w:rsidR="00697361">
        <w:rPr>
          <w:rFonts w:ascii="Times New Roman" w:hAnsi="Times New Roman" w:cs="Times New Roman"/>
          <w:b/>
          <w:bCs/>
          <w:noProof/>
          <w:color w:val="000000" w:themeColor="text1"/>
        </w:rPr>
        <w:t>-</w:t>
      </w:r>
      <w:r w:rsidR="00310878" w:rsidRPr="00476931">
        <w:rPr>
          <w:rFonts w:ascii="Times New Roman" w:hAnsi="Times New Roman" w:cs="Times New Roman"/>
          <w:b/>
          <w:bCs/>
          <w:noProof/>
          <w:color w:val="000000" w:themeColor="text1"/>
        </w:rPr>
        <w:t>2A and 6</w:t>
      </w:r>
      <w:r w:rsidR="00697361">
        <w:rPr>
          <w:rFonts w:ascii="Times New Roman" w:hAnsi="Times New Roman" w:cs="Times New Roman"/>
          <w:b/>
          <w:bCs/>
          <w:noProof/>
          <w:color w:val="000000" w:themeColor="text1"/>
        </w:rPr>
        <w:t>-</w:t>
      </w:r>
      <w:r w:rsidR="00310878" w:rsidRPr="00476931">
        <w:rPr>
          <w:rFonts w:ascii="Times New Roman" w:hAnsi="Times New Roman" w:cs="Times New Roman"/>
          <w:b/>
          <w:bCs/>
          <w:noProof/>
          <w:color w:val="000000" w:themeColor="text1"/>
        </w:rPr>
        <w:t>2B</w:t>
      </w:r>
      <w:r w:rsidR="00310878" w:rsidRPr="00476931">
        <w:rPr>
          <w:rFonts w:ascii="Times New Roman" w:hAnsi="Times New Roman" w:cs="Times New Roman"/>
          <w:noProof/>
          <w:color w:val="000000" w:themeColor="text1"/>
        </w:rPr>
        <w:t>).   There were cl</w:t>
      </w:r>
      <w:r w:rsidR="00310878" w:rsidRPr="00476931">
        <w:rPr>
          <w:rFonts w:ascii="Times New Roman" w:hAnsi="Times New Roman" w:cs="Times New Roman"/>
          <w:color w:val="000000" w:themeColor="text1"/>
        </w:rPr>
        <w:t>ear indications of robust establishment across all measured time points as well as active function and stability of these microbes within the gut microbiome</w:t>
      </w:r>
      <w:r w:rsidR="00310878" w:rsidRPr="00476931">
        <w:rPr>
          <w:rFonts w:ascii="Times New Roman" w:eastAsia="Times New Roman" w:hAnsi="Times New Roman" w:cs="Times New Roman"/>
          <w:color w:val="000000" w:themeColor="text1"/>
        </w:rPr>
        <w:t>.   Infant 06 shows early establishment of microeukaryotes, with eukaryotic proteins representing up to 15% of the microbial abundance at any time point and overall community stability across time (</w:t>
      </w:r>
      <w:r w:rsidR="00310878" w:rsidRPr="00476931">
        <w:rPr>
          <w:rFonts w:ascii="Times New Roman" w:eastAsia="Times New Roman" w:hAnsi="Times New Roman" w:cs="Times New Roman"/>
          <w:b/>
          <w:bCs/>
          <w:color w:val="000000" w:themeColor="text1"/>
        </w:rPr>
        <w:t>Figure 6</w:t>
      </w:r>
      <w:r w:rsidR="00697361">
        <w:rPr>
          <w:rFonts w:ascii="Times New Roman" w:eastAsia="Times New Roman" w:hAnsi="Times New Roman" w:cs="Times New Roman"/>
          <w:b/>
          <w:bCs/>
          <w:color w:val="000000" w:themeColor="text1"/>
        </w:rPr>
        <w:t>-</w:t>
      </w:r>
      <w:r w:rsidR="00310878" w:rsidRPr="00476931">
        <w:rPr>
          <w:rFonts w:ascii="Times New Roman" w:eastAsia="Times New Roman" w:hAnsi="Times New Roman" w:cs="Times New Roman"/>
          <w:b/>
          <w:bCs/>
          <w:color w:val="000000" w:themeColor="text1"/>
        </w:rPr>
        <w:t>2C)</w:t>
      </w:r>
      <w:r w:rsidR="00310878" w:rsidRPr="00476931">
        <w:rPr>
          <w:rFonts w:ascii="Times New Roman" w:eastAsia="Times New Roman" w:hAnsi="Times New Roman" w:cs="Times New Roman"/>
          <w:color w:val="000000" w:themeColor="text1"/>
        </w:rPr>
        <w:t xml:space="preserve">. </w:t>
      </w:r>
      <w:r w:rsidR="00310878" w:rsidRPr="00476931">
        <w:rPr>
          <w:rFonts w:ascii="Times New Roman" w:eastAsia="+mn-ea" w:hAnsi="Times New Roman" w:cs="Times New Roman"/>
          <w:color w:val="000000" w:themeColor="text1"/>
          <w:kern w:val="24"/>
        </w:rPr>
        <w:t xml:space="preserve"> </w:t>
      </w:r>
      <w:r w:rsidR="00310878" w:rsidRPr="00476931">
        <w:rPr>
          <w:rFonts w:ascii="Times New Roman" w:eastAsia="Times New Roman" w:hAnsi="Times New Roman" w:cs="Times New Roman"/>
          <w:color w:val="000000" w:themeColor="text1"/>
        </w:rPr>
        <w:t>The normal pH range of the intestinal tract is between 4 and 7. In vitro studies have shown that </w:t>
      </w:r>
      <w:r w:rsidR="00310878" w:rsidRPr="00476931">
        <w:rPr>
          <w:rFonts w:ascii="Times New Roman" w:eastAsia="Times New Roman" w:hAnsi="Times New Roman" w:cs="Times New Roman"/>
          <w:i/>
          <w:iCs/>
          <w:color w:val="000000" w:themeColor="text1"/>
        </w:rPr>
        <w:t>C. parapsilosis</w:t>
      </w:r>
      <w:r w:rsidR="00310878" w:rsidRPr="00476931">
        <w:rPr>
          <w:rFonts w:ascii="Times New Roman" w:eastAsia="Times New Roman" w:hAnsi="Times New Roman" w:cs="Times New Roman"/>
          <w:color w:val="000000" w:themeColor="text1"/>
        </w:rPr>
        <w:t> has optimal enzymatic activity at pH 4.5</w:t>
      </w:r>
      <w:sdt>
        <w:sdtPr>
          <w:rPr>
            <w:rFonts w:ascii="Times New Roman" w:eastAsia="Times New Roman" w:hAnsi="Times New Roman" w:cs="Times New Roman"/>
            <w:color w:val="000000"/>
            <w:vertAlign w:val="superscript"/>
          </w:rPr>
          <w:tag w:val="MENDELEY_CITATION_v3_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"/>
          <w:id w:val="-1212113330"/>
          <w:placeholder>
            <w:docPart w:val="E4B5E21686F2314088D58853EA72C37C"/>
          </w:placeholder>
        </w:sdtPr>
        <w:sdtEndPr/>
        <w:sdtContent>
          <w:r w:rsidR="003204EA" w:rsidRPr="003204EA">
            <w:rPr>
              <w:rFonts w:eastAsia="Times New Roman"/>
              <w:color w:val="000000"/>
              <w:vertAlign w:val="superscript"/>
            </w:rPr>
            <w:t>180</w:t>
          </w:r>
        </w:sdtContent>
      </w:sdt>
      <w:r w:rsidR="00310878" w:rsidRPr="00476931">
        <w:rPr>
          <w:rFonts w:ascii="Times New Roman" w:eastAsia="Times New Roman" w:hAnsi="Times New Roman" w:cs="Times New Roman"/>
          <w:color w:val="000000" w:themeColor="text1"/>
        </w:rPr>
        <w:t>. Since Firmicutes are more tolerant of acidic conditions than Proteobacteria, environment conditions produced by the bacteria may impact the favorability of</w:t>
      </w:r>
      <w:r w:rsidR="00310878" w:rsidRPr="00476931">
        <w:rPr>
          <w:rFonts w:ascii="Times New Roman" w:eastAsia="Times New Roman" w:hAnsi="Times New Roman" w:cs="Times New Roman"/>
          <w:i/>
          <w:iCs/>
          <w:color w:val="000000" w:themeColor="text1"/>
        </w:rPr>
        <w:t> C. parapsilosis </w:t>
      </w:r>
      <w:r w:rsidR="00310878" w:rsidRPr="00476931">
        <w:rPr>
          <w:rFonts w:ascii="Times New Roman" w:eastAsia="Times New Roman" w:hAnsi="Times New Roman" w:cs="Times New Roman"/>
          <w:color w:val="000000" w:themeColor="text1"/>
        </w:rPr>
        <w:t>co-</w:t>
      </w:r>
    </w:p>
    <w:p w14:paraId="303B3E1F" w14:textId="23525D3B" w:rsidR="00D0557C" w:rsidRDefault="00D0557C">
      <w:pPr>
        <w:spacing w:before="1"/>
        <w:rPr>
          <w:rFonts w:ascii="Times New Roman" w:eastAsia="Times New Roman" w:hAnsi="Times New Roman" w:cs="Times New Roman"/>
          <w:color w:val="000000" w:themeColor="text1"/>
        </w:rPr>
      </w:pPr>
      <w:r>
        <w:rPr>
          <w:noProof/>
        </w:rPr>
        <mc:AlternateContent>
          <mc:Choice Requires="wps">
            <w:drawing>
              <wp:anchor distT="0" distB="0" distL="114300" distR="114300" simplePos="0" relativeHeight="251658268" behindDoc="0" locked="0" layoutInCell="1" allowOverlap="1" wp14:anchorId="29CF5C3A" wp14:editId="69A0C253">
                <wp:simplePos x="0" y="0"/>
                <wp:positionH relativeFrom="column">
                  <wp:posOffset>0</wp:posOffset>
                </wp:positionH>
                <wp:positionV relativeFrom="paragraph">
                  <wp:posOffset>3126105</wp:posOffset>
                </wp:positionV>
                <wp:extent cx="5208270" cy="635"/>
                <wp:effectExtent l="0" t="0" r="0" b="12065"/>
                <wp:wrapSquare wrapText="bothSides"/>
                <wp:docPr id="43" name="Text Box 43"/>
                <wp:cNvGraphicFramePr/>
                <a:graphic xmlns:a="http://schemas.openxmlformats.org/drawingml/2006/main">
                  <a:graphicData uri="http://schemas.microsoft.com/office/word/2010/wordprocessingShape">
                    <wps:wsp>
                      <wps:cNvSpPr txBox="1"/>
                      <wps:spPr>
                        <a:xfrm>
                          <a:off x="0" y="0"/>
                          <a:ext cx="5208270" cy="635"/>
                        </a:xfrm>
                        <a:prstGeom prst="rect">
                          <a:avLst/>
                        </a:prstGeom>
                        <a:solidFill>
                          <a:prstClr val="white"/>
                        </a:solidFill>
                        <a:ln>
                          <a:noFill/>
                        </a:ln>
                      </wps:spPr>
                      <wps:txbx>
                        <w:txbxContent>
                          <w:p w14:paraId="7C6DC2B8" w14:textId="298243A6" w:rsidR="00D0557C" w:rsidRPr="00D0557C" w:rsidRDefault="00D0557C" w:rsidP="00D0557C">
                            <w:pPr>
                              <w:pStyle w:val="Caption"/>
                            </w:pPr>
                            <w:bookmarkStart w:id="336" w:name="_Toc110246956"/>
                            <w:r>
                              <w:t xml:space="preserve">Figure </w:t>
                            </w:r>
                            <w:fldSimple w:instr=" STYLEREF 1 \s ">
                              <w:r w:rsidR="00AC2094">
                                <w:rPr>
                                  <w:noProof/>
                                </w:rPr>
                                <w:t>6</w:t>
                              </w:r>
                            </w:fldSimple>
                            <w:r w:rsidR="00AC2094">
                              <w:noBreakHyphen/>
                            </w:r>
                            <w:fldSimple w:instr=" SEQ Figure \* ARABIC \s 1 ">
                              <w:r w:rsidR="00AC2094">
                                <w:rPr>
                                  <w:noProof/>
                                </w:rPr>
                                <w:t>2</w:t>
                              </w:r>
                            </w:fldSimple>
                            <w:r>
                              <w:t xml:space="preserve">  </w:t>
                            </w:r>
                            <w:r w:rsidRPr="00D0557C">
                              <w:t>Taxonomic distribution of quantified proteins across all measurements for infant 06 (A) and infant 74 (B).</w:t>
                            </w:r>
                            <w:bookmarkEnd w:id="336"/>
                            <w:r w:rsidRPr="00D0557C">
                              <w:fldChar w:fldCharType="begin"/>
                            </w:r>
                            <w:r w:rsidRPr="00D0557C">
                              <w:instrText xml:space="preserve"> </w:instrText>
                            </w:r>
                          </w:p>
                          <w:p w14:paraId="19D3FAFE" w14:textId="77777777" w:rsidR="00D0557C" w:rsidRPr="00D0557C" w:rsidRDefault="00D0557C" w:rsidP="00D0557C">
                            <w:pPr>
                              <w:pStyle w:val="Caption"/>
                            </w:pPr>
                          </w:p>
                          <w:p w14:paraId="2437B6A1" w14:textId="6D0A28DA" w:rsidR="00D0557C" w:rsidRPr="00D0557C" w:rsidRDefault="00D0557C" w:rsidP="00D0557C">
                            <w:pPr>
                              <w:pStyle w:val="Caption"/>
                              <w:rPr>
                                <w:b w:val="0"/>
                                <w:bCs/>
                              </w:rPr>
                            </w:pPr>
                            <w:r w:rsidRPr="00D0557C">
                              <w:instrText xml:space="preserve"> </w:instrText>
                            </w:r>
                            <w:r w:rsidRPr="00D0557C">
                              <w:fldChar w:fldCharType="end"/>
                            </w:r>
                            <w:bookmarkStart w:id="337" w:name="_Toc107573983"/>
                            <w:r>
                              <w:t xml:space="preserve">  </w:t>
                            </w:r>
                            <w:r w:rsidRPr="00D0557C">
                              <w:rPr>
                                <w:b w:val="0"/>
                                <w:bCs/>
                              </w:rPr>
                              <w:fldChar w:fldCharType="begin"/>
                            </w:r>
                            <w:r w:rsidRPr="00D0557C">
                              <w:rPr>
                                <w:b w:val="0"/>
                                <w:bCs/>
                              </w:rPr>
                              <w:instrText xml:space="preserve"> </w:instrText>
                            </w:r>
                          </w:p>
                          <w:p w14:paraId="4B8A30AF" w14:textId="77777777" w:rsidR="00D0557C" w:rsidRPr="00D0557C" w:rsidRDefault="00D0557C" w:rsidP="00D0557C">
                            <w:pPr>
                              <w:pStyle w:val="Caption"/>
                              <w:rPr>
                                <w:b w:val="0"/>
                                <w:bCs/>
                              </w:rPr>
                            </w:pPr>
                          </w:p>
                          <w:p w14:paraId="74509659" w14:textId="6B9FD933" w:rsidR="00D0557C" w:rsidRPr="00D0557C" w:rsidRDefault="00D0557C" w:rsidP="00D0557C">
                            <w:pPr>
                              <w:pStyle w:val="Caption"/>
                              <w:rPr>
                                <w:b w:val="0"/>
                                <w:bCs/>
                              </w:rPr>
                            </w:pPr>
                            <w:r w:rsidRPr="00D0557C">
                              <w:rPr>
                                <w:b w:val="0"/>
                                <w:bCs/>
                              </w:rPr>
                              <w:instrText xml:space="preserve"> </w:instrText>
                            </w:r>
                            <w:r w:rsidRPr="00D0557C">
                              <w:rPr>
                                <w:b w:val="0"/>
                                <w:bCs/>
                              </w:rPr>
                              <w:fldChar w:fldCharType="end"/>
                            </w:r>
                            <w:r w:rsidRPr="00D0557C">
                              <w:rPr>
                                <w:b w:val="0"/>
                                <w:bCs/>
                              </w:rPr>
                              <w:t>7274 proteins were quantified for infant 06 and 7932 proteins were quantified in infant 74 using the CharmeRT workflow.  The taxonomic profiles of the gut metaproteomes of the two infants were very different and microbial eukaryotes were only detected in one individual. Relative abundance of microbial proteins across time for infant 06 (C) and infant 74 (D).</w:t>
                            </w:r>
                            <w:bookmarkEnd w:id="33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oel="http://schemas.microsoft.com/office/2019/extlst">
            <w:pict>
              <v:shape w14:anchorId="29CF5C3A" id="Text Box 43" o:spid="_x0000_s1088" type="#_x0000_t202" style="position:absolute;left:0;text-align:left;margin-left:0;margin-top:246.15pt;width:410.1pt;height:.05pt;z-index:2516582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" stroked="f">
                <v:textbox style="mso-fit-shape-to-text:t" inset="0,0,0,0">
                  <w:txbxContent>
                    <w:p w14:paraId="7C6DC2B8" w14:textId="298243A6" w:rsidR="00D0557C" w:rsidRPr="00D0557C" w:rsidRDefault="00D0557C" w:rsidP="00D0557C">
                      <w:pPr>
                        <w:pStyle w:val="Caption"/>
                      </w:pPr>
                      <w:bookmarkStart w:id="351" w:name="_Toc110246956"/>
                      <w:r>
                        <w:t xml:space="preserve">Figure </w:t>
                      </w:r>
                      <w:r w:rsidR="00000000">
                        <w:fldChar w:fldCharType="begin"/>
                      </w:r>
                      <w:r w:rsidR="00000000">
                        <w:instrText xml:space="preserve"> STYLEREF 1 \s </w:instrText>
                      </w:r>
                      <w:r w:rsidR="00000000">
                        <w:fldChar w:fldCharType="separate"/>
                      </w:r>
                      <w:r w:rsidR="00AC2094">
                        <w:rPr>
                          <w:noProof/>
                        </w:rPr>
                        <w:t>6</w:t>
                      </w:r>
                      <w:r w:rsidR="00000000">
                        <w:rPr>
                          <w:noProof/>
                        </w:rPr>
                        <w:fldChar w:fldCharType="end"/>
                      </w:r>
                      <w:r w:rsidR="00AC2094">
                        <w:noBreakHyphen/>
                      </w:r>
                      <w:r w:rsidR="00000000">
                        <w:fldChar w:fldCharType="begin"/>
                      </w:r>
                      <w:r w:rsidR="00000000">
                        <w:instrText xml:space="preserve"> SEQ Figure \* ARABIC \s 1 </w:instrText>
                      </w:r>
                      <w:r w:rsidR="00000000">
                        <w:fldChar w:fldCharType="separate"/>
                      </w:r>
                      <w:r w:rsidR="00AC2094">
                        <w:rPr>
                          <w:noProof/>
                        </w:rPr>
                        <w:t>2</w:t>
                      </w:r>
                      <w:r w:rsidR="00000000">
                        <w:rPr>
                          <w:noProof/>
                        </w:rPr>
                        <w:fldChar w:fldCharType="end"/>
                      </w:r>
                      <w:r>
                        <w:t xml:space="preserve">  </w:t>
                      </w:r>
                      <w:r w:rsidRPr="00D0557C">
                        <w:t>Taxonomic distribution of quantified proteins across all measurements for infant 06 (A) and infant 74 (B).</w:t>
                      </w:r>
                      <w:bookmarkEnd w:id="351"/>
                      <w:r w:rsidRPr="00D0557C">
                        <w:fldChar w:fldCharType="begin"/>
                      </w:r>
                      <w:r w:rsidRPr="00D0557C">
                        <w:instrText xml:space="preserve"> </w:instrText>
                      </w:r>
                    </w:p>
                    <w:p w14:paraId="19D3FAFE" w14:textId="77777777" w:rsidR="00D0557C" w:rsidRPr="00D0557C" w:rsidRDefault="00D0557C" w:rsidP="00D0557C">
                      <w:pPr>
                        <w:pStyle w:val="Caption"/>
                      </w:pPr>
                    </w:p>
                    <w:p w14:paraId="2437B6A1" w14:textId="6D0A28DA" w:rsidR="00D0557C" w:rsidRPr="00D0557C" w:rsidRDefault="00D0557C" w:rsidP="00D0557C">
                      <w:pPr>
                        <w:pStyle w:val="Caption"/>
                        <w:rPr>
                          <w:b w:val="0"/>
                          <w:bCs/>
                        </w:rPr>
                      </w:pPr>
                      <w:r w:rsidRPr="00D0557C">
                        <w:instrText xml:space="preserve"> </w:instrText>
                      </w:r>
                      <w:r w:rsidRPr="00D0557C">
                        <w:fldChar w:fldCharType="end"/>
                      </w:r>
                      <w:bookmarkStart w:id="352" w:name="_Toc107573983"/>
                      <w:r>
                        <w:t xml:space="preserve">  </w:t>
                      </w:r>
                      <w:r w:rsidRPr="00D0557C">
                        <w:rPr>
                          <w:b w:val="0"/>
                          <w:bCs/>
                        </w:rPr>
                        <w:fldChar w:fldCharType="begin"/>
                      </w:r>
                      <w:r w:rsidRPr="00D0557C">
                        <w:rPr>
                          <w:b w:val="0"/>
                          <w:bCs/>
                        </w:rPr>
                        <w:instrText xml:space="preserve"> </w:instrText>
                      </w:r>
                    </w:p>
                    <w:p w14:paraId="4B8A30AF" w14:textId="77777777" w:rsidR="00D0557C" w:rsidRPr="00D0557C" w:rsidRDefault="00D0557C" w:rsidP="00D0557C">
                      <w:pPr>
                        <w:pStyle w:val="Caption"/>
                        <w:rPr>
                          <w:b w:val="0"/>
                          <w:bCs/>
                        </w:rPr>
                      </w:pPr>
                    </w:p>
                    <w:p w14:paraId="74509659" w14:textId="6B9FD933" w:rsidR="00D0557C" w:rsidRPr="00D0557C" w:rsidRDefault="00D0557C" w:rsidP="00D0557C">
                      <w:pPr>
                        <w:pStyle w:val="Caption"/>
                        <w:rPr>
                          <w:b w:val="0"/>
                          <w:bCs/>
                        </w:rPr>
                      </w:pPr>
                      <w:r w:rsidRPr="00D0557C">
                        <w:rPr>
                          <w:b w:val="0"/>
                          <w:bCs/>
                        </w:rPr>
                        <w:instrText xml:space="preserve"> </w:instrText>
                      </w:r>
                      <w:r w:rsidRPr="00D0557C">
                        <w:rPr>
                          <w:b w:val="0"/>
                          <w:bCs/>
                        </w:rPr>
                        <w:fldChar w:fldCharType="end"/>
                      </w:r>
                      <w:r w:rsidRPr="00D0557C">
                        <w:rPr>
                          <w:b w:val="0"/>
                          <w:bCs/>
                        </w:rPr>
                        <w:t>7274 proteins were quantified for infant 06 and 7932 proteins were quantified in infant 74 using the CharmeRT workflow.  The taxonomic profiles of the gut metaproteomes of the two infants were very different and microbial eukaryotes were only detected in one individual. Relative abundance of microbial proteins across time for infant 06 (C) and infant 74 (D).</w:t>
                      </w:r>
                      <w:bookmarkEnd w:id="352"/>
                    </w:p>
                  </w:txbxContent>
                </v:textbox>
                <w10:wrap type="square"/>
              </v:shape>
            </w:pict>
          </mc:Fallback>
        </mc:AlternateContent>
      </w:r>
      <w:r w:rsidRPr="00476931">
        <w:rPr>
          <w:rFonts w:ascii="Times New Roman" w:hAnsi="Times New Roman" w:cs="Times New Roman"/>
          <w:noProof/>
          <w:color w:val="000000" w:themeColor="text1"/>
        </w:rPr>
        <w:drawing>
          <wp:anchor distT="0" distB="0" distL="114300" distR="114300" simplePos="0" relativeHeight="251658267" behindDoc="0" locked="0" layoutInCell="1" allowOverlap="1" wp14:anchorId="504B14DE" wp14:editId="41D9CC0C">
            <wp:simplePos x="0" y="0"/>
            <wp:positionH relativeFrom="column">
              <wp:posOffset>0</wp:posOffset>
            </wp:positionH>
            <wp:positionV relativeFrom="paragraph">
              <wp:posOffset>25400</wp:posOffset>
            </wp:positionV>
            <wp:extent cx="5208270" cy="3043555"/>
            <wp:effectExtent l="0" t="0" r="0" b="4445"/>
            <wp:wrapSquare wrapText="bothSides"/>
            <wp:docPr id="31" name="Graphic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a:extLst>
                        <a:ext uri="{28A0092B-C50C-407E-A947-70E740481C1C}">
                          <a14:useLocalDpi xmlns:a14="http://schemas.microsoft.com/office/drawing/2010/main" val="0"/>
                        </a:ext>
                        <a:ext uri="{96DAC541-7B7A-43D3-8B79-37D633B846F1}">
                          <asvg:svgBlip xmlns:asvg="http://schemas.microsoft.com/office/drawing/2016/SVG/main" r:embed="rId72"/>
                        </a:ext>
                      </a:extLst>
                    </a:blip>
                    <a:srcRect l="5031" r="8283" b="15143"/>
                    <a:stretch/>
                  </pic:blipFill>
                  <pic:spPr bwMode="auto">
                    <a:xfrm>
                      <a:off x="0" y="0"/>
                      <a:ext cx="5208270" cy="30435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color w:val="000000" w:themeColor="text1"/>
        </w:rPr>
        <w:br w:type="page"/>
      </w:r>
    </w:p>
    <w:p w14:paraId="40D2FEA9" w14:textId="16F262C5" w:rsidR="00310878" w:rsidRPr="00476931" w:rsidRDefault="00310878" w:rsidP="000B5429">
      <w:pPr>
        <w:ind w:left="180" w:firstLine="0"/>
        <w:rPr>
          <w:rFonts w:ascii="Times New Roman" w:eastAsia="Times New Roman" w:hAnsi="Times New Roman" w:cs="Times New Roman"/>
          <w:b/>
          <w:bCs/>
          <w:color w:val="000000" w:themeColor="text1"/>
        </w:rPr>
      </w:pPr>
      <w:r w:rsidRPr="00476931">
        <w:rPr>
          <w:rFonts w:ascii="Times New Roman" w:eastAsia="Times New Roman" w:hAnsi="Times New Roman" w:cs="Times New Roman"/>
          <w:color w:val="000000" w:themeColor="text1"/>
        </w:rPr>
        <w:t>colonization</w:t>
      </w:r>
      <w:r w:rsidRPr="00476931">
        <w:rPr>
          <w:rFonts w:ascii="Times New Roman" w:eastAsia="+mn-ea" w:hAnsi="Times New Roman" w:cs="Times New Roman"/>
          <w:color w:val="000000" w:themeColor="text1"/>
          <w:kern w:val="24"/>
        </w:rPr>
        <w:t xml:space="preserve">. </w:t>
      </w:r>
      <w:r w:rsidRPr="00476931">
        <w:rPr>
          <w:rFonts w:ascii="Times New Roman" w:eastAsia="Times New Roman" w:hAnsi="Times New Roman" w:cs="Times New Roman"/>
          <w:color w:val="000000" w:themeColor="text1"/>
        </w:rPr>
        <w:t xml:space="preserve">Infant 74 showed much more variation in community membership between the two dominant phyla across time </w:t>
      </w:r>
      <w:r w:rsidRPr="00476931">
        <w:rPr>
          <w:rFonts w:ascii="Times New Roman" w:eastAsia="Times New Roman" w:hAnsi="Times New Roman" w:cs="Times New Roman"/>
          <w:b/>
          <w:bCs/>
          <w:color w:val="000000" w:themeColor="text1"/>
        </w:rPr>
        <w:t>(Figure 6</w:t>
      </w:r>
      <w:r w:rsidR="00697361">
        <w:rPr>
          <w:rFonts w:ascii="Times New Roman" w:eastAsia="Times New Roman" w:hAnsi="Times New Roman" w:cs="Times New Roman"/>
          <w:b/>
          <w:bCs/>
          <w:color w:val="000000" w:themeColor="text1"/>
        </w:rPr>
        <w:t>-</w:t>
      </w:r>
      <w:r w:rsidRPr="00476931">
        <w:rPr>
          <w:rFonts w:ascii="Times New Roman" w:eastAsia="Times New Roman" w:hAnsi="Times New Roman" w:cs="Times New Roman"/>
          <w:b/>
          <w:bCs/>
          <w:color w:val="000000" w:themeColor="text1"/>
        </w:rPr>
        <w:t>2D).</w:t>
      </w:r>
    </w:p>
    <w:p w14:paraId="48E78F45" w14:textId="31B38EF2" w:rsidR="000B5429" w:rsidRPr="00476931" w:rsidRDefault="00784C7B" w:rsidP="000B5429">
      <w:pPr>
        <w:ind w:left="180"/>
        <w:rPr>
          <w:color w:val="000000" w:themeColor="text1"/>
        </w:rPr>
      </w:pPr>
      <w:r w:rsidRPr="00476931">
        <w:rPr>
          <w:color w:val="000000" w:themeColor="text1"/>
        </w:rPr>
        <w:t>A gut-specific framework (</w:t>
      </w:r>
      <w:proofErr w:type="spellStart"/>
      <w:r w:rsidRPr="00476931">
        <w:rPr>
          <w:color w:val="000000" w:themeColor="text1"/>
        </w:rPr>
        <w:t>GOMixer</w:t>
      </w:r>
      <w:proofErr w:type="spellEnd"/>
      <w:r w:rsidRPr="00476931">
        <w:rPr>
          <w:color w:val="000000" w:themeColor="text1"/>
        </w:rPr>
        <w:t xml:space="preserve">) was applied to infer species-associated gut metabolic modules (GMMs). A module is </w:t>
      </w:r>
      <w:r w:rsidR="00FE65B1">
        <w:rPr>
          <w:color w:val="000000" w:themeColor="text1"/>
        </w:rPr>
        <w:t xml:space="preserve">defined as </w:t>
      </w:r>
      <w:r w:rsidRPr="00476931">
        <w:rPr>
          <w:color w:val="000000" w:themeColor="text1"/>
        </w:rPr>
        <w:t xml:space="preserve">a set of tightly related enzymatic functions </w:t>
      </w:r>
      <w:r w:rsidR="008F71C6">
        <w:rPr>
          <w:color w:val="000000" w:themeColor="text1"/>
        </w:rPr>
        <w:t xml:space="preserve">which </w:t>
      </w:r>
      <w:r w:rsidRPr="00476931">
        <w:rPr>
          <w:color w:val="000000" w:themeColor="text1"/>
        </w:rPr>
        <w:t xml:space="preserve">represent a </w:t>
      </w:r>
      <w:r w:rsidR="008F71C6">
        <w:rPr>
          <w:color w:val="000000" w:themeColor="text1"/>
        </w:rPr>
        <w:t xml:space="preserve">specific </w:t>
      </w:r>
      <w:r w:rsidRPr="00476931">
        <w:rPr>
          <w:color w:val="000000" w:themeColor="text1"/>
        </w:rPr>
        <w:t>cellular process with defined</w:t>
      </w:r>
      <w:r w:rsidR="008F71C6">
        <w:rPr>
          <w:color w:val="000000" w:themeColor="text1"/>
        </w:rPr>
        <w:t xml:space="preserve"> metabolic</w:t>
      </w:r>
      <w:r w:rsidRPr="00476931">
        <w:rPr>
          <w:color w:val="000000" w:themeColor="text1"/>
        </w:rPr>
        <w:t xml:space="preserve"> input</w:t>
      </w:r>
      <w:r w:rsidR="008F71C6">
        <w:rPr>
          <w:color w:val="000000" w:themeColor="text1"/>
        </w:rPr>
        <w:t>s</w:t>
      </w:r>
      <w:r w:rsidRPr="00476931">
        <w:rPr>
          <w:color w:val="000000" w:themeColor="text1"/>
        </w:rPr>
        <w:t xml:space="preserve"> and output</w:t>
      </w:r>
      <w:r w:rsidR="008F71C6">
        <w:rPr>
          <w:color w:val="000000" w:themeColor="text1"/>
        </w:rPr>
        <w:t>s</w:t>
      </w:r>
      <w:r w:rsidRPr="00476931">
        <w:rPr>
          <w:color w:val="000000" w:themeColor="text1"/>
        </w:rPr>
        <w:t>. Across both infants, metabolic processes including central metabolic processes, protection against oxidative stress, the production of butyrate, and acetogenesis were overrepresented in the infant six community compared to the infant 74 community (</w:t>
      </w:r>
      <w:r w:rsidRPr="00476931">
        <w:rPr>
          <w:b/>
          <w:bCs/>
          <w:color w:val="000000" w:themeColor="text1"/>
        </w:rPr>
        <w:t>Figure 6</w:t>
      </w:r>
      <w:r w:rsidR="00697361">
        <w:rPr>
          <w:b/>
          <w:bCs/>
          <w:color w:val="000000" w:themeColor="text1"/>
        </w:rPr>
        <w:t>-</w:t>
      </w:r>
      <w:r w:rsidRPr="00476931">
        <w:rPr>
          <w:b/>
          <w:bCs/>
          <w:color w:val="000000" w:themeColor="text1"/>
        </w:rPr>
        <w:t>3A</w:t>
      </w:r>
      <w:r w:rsidRPr="00476931">
        <w:rPr>
          <w:color w:val="000000" w:themeColor="text1"/>
        </w:rPr>
        <w:t xml:space="preserve">). </w:t>
      </w:r>
      <w:proofErr w:type="spellStart"/>
      <w:r w:rsidRPr="00476931">
        <w:rPr>
          <w:color w:val="000000" w:themeColor="text1"/>
        </w:rPr>
        <w:t>Triplots</w:t>
      </w:r>
      <w:proofErr w:type="spellEnd"/>
      <w:r w:rsidRPr="00476931">
        <w:rPr>
          <w:color w:val="000000" w:themeColor="text1"/>
        </w:rPr>
        <w:t xml:space="preserve"> were generated to visualize the relative community metabolic investment of user-defined metabolic modules. </w:t>
      </w:r>
      <w:r w:rsidRPr="00476931">
        <w:rPr>
          <w:b/>
          <w:bCs/>
          <w:color w:val="000000" w:themeColor="text1"/>
        </w:rPr>
        <w:t>Figure 6</w:t>
      </w:r>
      <w:r w:rsidR="00697361">
        <w:rPr>
          <w:b/>
          <w:bCs/>
          <w:color w:val="000000" w:themeColor="text1"/>
        </w:rPr>
        <w:t>-</w:t>
      </w:r>
      <w:r w:rsidRPr="00476931">
        <w:rPr>
          <w:b/>
          <w:bCs/>
          <w:color w:val="000000" w:themeColor="text1"/>
        </w:rPr>
        <w:t>3B</w:t>
      </w:r>
      <w:r w:rsidRPr="00476931">
        <w:rPr>
          <w:color w:val="000000" w:themeColor="text1"/>
        </w:rPr>
        <w:t xml:space="preserve"> is based on the relative abundance associated with the metabolism of the three predominant SCFAs (butyrate,</w:t>
      </w:r>
      <w:r w:rsidR="001C0BDE" w:rsidRPr="001C0BDE">
        <w:rPr>
          <w:color w:val="000000" w:themeColor="text1"/>
        </w:rPr>
        <w:t xml:space="preserve"> </w:t>
      </w:r>
      <w:r w:rsidR="001C0BDE" w:rsidRPr="00476931">
        <w:rPr>
          <w:color w:val="000000" w:themeColor="text1"/>
        </w:rPr>
        <w:t xml:space="preserve">propionate, and acetate). Short-chain fatty acids are major energy sources and immune </w:t>
      </w:r>
      <w:r w:rsidR="000B5429" w:rsidRPr="00476931">
        <w:rPr>
          <w:color w:val="000000" w:themeColor="text1"/>
        </w:rPr>
        <w:t xml:space="preserve">propionate, and acetate). Short-chain fatty acids are major energy sources and </w:t>
      </w:r>
      <w:r w:rsidR="000B5429">
        <w:rPr>
          <w:color w:val="000000" w:themeColor="text1"/>
        </w:rPr>
        <w:t xml:space="preserve">immune </w:t>
      </w:r>
      <w:r w:rsidR="000B5429" w:rsidRPr="00476931">
        <w:rPr>
          <w:color w:val="000000" w:themeColor="text1"/>
        </w:rPr>
        <w:t>modulators for the host. Distinct priorities in SCFA production are observed between infants.  Infant 06 microbes showed clear investment in butyrate metabolism while members of the infant 74 microbes showed a preference for propionate metabolism. There was also longitudinal separation in SCFA production preference with a shift towards more generalized SCFA production at later days of life in both infants.</w:t>
      </w:r>
    </w:p>
    <w:p w14:paraId="76702D58" w14:textId="39CF645D" w:rsidR="000B5429" w:rsidRDefault="000B5429" w:rsidP="000B5429">
      <w:pPr>
        <w:ind w:left="180"/>
        <w:rPr>
          <w:b/>
          <w:bCs/>
          <w:color w:val="000000" w:themeColor="text1"/>
        </w:rPr>
      </w:pPr>
      <w:r w:rsidRPr="00476931">
        <w:rPr>
          <w:color w:val="000000" w:themeColor="text1"/>
        </w:rPr>
        <w:t>Among the functional activities of individual microbiota in each community, there was ample evidence of eukaryotic activity related to several processes, including central metabolism, alcohol metabolism, and organic acid metabolism (</w:t>
      </w:r>
      <w:r w:rsidRPr="00476931">
        <w:rPr>
          <w:b/>
          <w:bCs/>
          <w:color w:val="000000" w:themeColor="text1"/>
        </w:rPr>
        <w:t>Table 6</w:t>
      </w:r>
      <w:r w:rsidR="00697361">
        <w:rPr>
          <w:b/>
          <w:bCs/>
          <w:color w:val="000000" w:themeColor="text1"/>
        </w:rPr>
        <w:t>-</w:t>
      </w:r>
      <w:r w:rsidRPr="00476931">
        <w:rPr>
          <w:b/>
          <w:bCs/>
          <w:color w:val="000000" w:themeColor="text1"/>
        </w:rPr>
        <w:t>1</w:t>
      </w:r>
      <w:r w:rsidRPr="00476931">
        <w:rPr>
          <w:color w:val="000000" w:themeColor="text1"/>
        </w:rPr>
        <w:t xml:space="preserve">).  Expressional evidence of these metabolic activities indicates stability of </w:t>
      </w:r>
      <w:r w:rsidRPr="002D6D78">
        <w:rPr>
          <w:i/>
          <w:iCs/>
          <w:color w:val="000000" w:themeColor="text1"/>
        </w:rPr>
        <w:t>C. parapsilosis</w:t>
      </w:r>
      <w:r w:rsidRPr="00476931">
        <w:rPr>
          <w:color w:val="000000" w:themeColor="text1"/>
        </w:rPr>
        <w:t xml:space="preserve"> within the microbiome of infant 06.  In addition, several bacterial functional activities were observed within each infant, including the production of lipopolysaccharide, Microbial-derived lipopolysaccharide is thought to be a primary driver of host immune response, and evidence of microbial LPS biosynthesis was observed in infant 74 across most time points (</w:t>
      </w:r>
      <w:r w:rsidRPr="00476931">
        <w:rPr>
          <w:b/>
          <w:bCs/>
          <w:color w:val="000000" w:themeColor="text1"/>
        </w:rPr>
        <w:t>Figure 6</w:t>
      </w:r>
      <w:r w:rsidR="00697361">
        <w:rPr>
          <w:b/>
          <w:bCs/>
          <w:color w:val="000000" w:themeColor="text1"/>
        </w:rPr>
        <w:t>-</w:t>
      </w:r>
      <w:r w:rsidRPr="00476931">
        <w:rPr>
          <w:b/>
          <w:bCs/>
          <w:color w:val="000000" w:themeColor="text1"/>
        </w:rPr>
        <w:t>4).</w:t>
      </w:r>
    </w:p>
    <w:p w14:paraId="6A60E580" w14:textId="77777777" w:rsidR="00AA07DA" w:rsidRDefault="001C0BDE" w:rsidP="00AA07DA">
      <w:pPr>
        <w:keepNext/>
        <w:shd w:val="clear" w:color="auto" w:fill="FFFFFF"/>
        <w:ind w:firstLine="22"/>
        <w:textAlignment w:val="baseline"/>
      </w:pPr>
      <w:r w:rsidRPr="00476931">
        <w:rPr>
          <w:rFonts w:ascii="Times New Roman" w:hAnsi="Times New Roman" w:cs="Times New Roman"/>
          <w:noProof/>
          <w:color w:val="000000" w:themeColor="text1"/>
        </w:rPr>
        <w:drawing>
          <wp:inline distT="0" distB="0" distL="0" distR="0" wp14:anchorId="0F594C74" wp14:editId="6FD6AAA5">
            <wp:extent cx="5194300" cy="2209800"/>
            <wp:effectExtent l="0" t="0" r="0" b="0"/>
            <wp:docPr id="32" name="Graphic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3">
                      <a:extLst>
                        <a:ext uri="{96DAC541-7B7A-43D3-8B79-37D633B846F1}">
                          <asvg:svgBlip xmlns:asvg="http://schemas.microsoft.com/office/drawing/2016/SVG/main" r:embed="rId74"/>
                        </a:ext>
                      </a:extLst>
                    </a:blip>
                    <a:srcRect l="8385" t="2808" r="14670" b="51054"/>
                    <a:stretch/>
                  </pic:blipFill>
                  <pic:spPr bwMode="auto">
                    <a:xfrm>
                      <a:off x="0" y="0"/>
                      <a:ext cx="5203670" cy="2213786"/>
                    </a:xfrm>
                    <a:prstGeom prst="rect">
                      <a:avLst/>
                    </a:prstGeom>
                    <a:ln>
                      <a:noFill/>
                    </a:ln>
                    <a:extLst>
                      <a:ext uri="{53640926-AAD7-44D8-BBD7-CCE9431645EC}">
                        <a14:shadowObscured xmlns:a14="http://schemas.microsoft.com/office/drawing/2010/main"/>
                      </a:ext>
                    </a:extLst>
                  </pic:spPr>
                </pic:pic>
              </a:graphicData>
            </a:graphic>
          </wp:inline>
        </w:drawing>
      </w:r>
    </w:p>
    <w:p w14:paraId="7CDE0208" w14:textId="27E10DB8" w:rsidR="00AA07DA" w:rsidRPr="00AA07DA" w:rsidRDefault="00AA07DA" w:rsidP="00AA07DA">
      <w:pPr>
        <w:pStyle w:val="Caption"/>
        <w:rPr>
          <w:b w:val="0"/>
          <w:bCs/>
        </w:rPr>
      </w:pPr>
      <w:bookmarkStart w:id="338" w:name="_Toc110246957"/>
      <w:r>
        <w:t xml:space="preserve">Figure </w:t>
      </w:r>
      <w:fldSimple w:instr=" STYLEREF 1 \s ">
        <w:r w:rsidR="00AC2094">
          <w:rPr>
            <w:noProof/>
          </w:rPr>
          <w:t>6</w:t>
        </w:r>
      </w:fldSimple>
      <w:r w:rsidR="00AC2094">
        <w:noBreakHyphen/>
      </w:r>
      <w:fldSimple w:instr=" SEQ Figure \* ARABIC \s 1 ">
        <w:r w:rsidR="00AC2094">
          <w:rPr>
            <w:noProof/>
          </w:rPr>
          <w:t>3</w:t>
        </w:r>
      </w:fldSimple>
      <w:r>
        <w:t xml:space="preserve">  </w:t>
      </w:r>
      <w:r w:rsidRPr="00AA07DA">
        <w:t>Tri-plot representation of short-chain fatty acid production.</w:t>
      </w:r>
      <w:bookmarkEnd w:id="338"/>
      <w:r w:rsidRPr="00AA07DA">
        <w:t xml:space="preserve">  </w:t>
      </w:r>
      <w:r w:rsidRPr="00AA07DA">
        <w:rPr>
          <w:b w:val="0"/>
          <w:bCs/>
        </w:rPr>
        <w:fldChar w:fldCharType="begin"/>
      </w:r>
      <w:r w:rsidRPr="00AA07DA">
        <w:rPr>
          <w:b w:val="0"/>
          <w:bCs/>
        </w:rPr>
        <w:instrText xml:space="preserve"> </w:instrText>
      </w:r>
    </w:p>
    <w:p w14:paraId="78DD50C7" w14:textId="77777777" w:rsidR="00AA07DA" w:rsidRPr="00AA07DA" w:rsidRDefault="00AA07DA" w:rsidP="00AA07DA">
      <w:pPr>
        <w:pStyle w:val="Caption"/>
        <w:rPr>
          <w:b w:val="0"/>
          <w:bCs/>
        </w:rPr>
      </w:pPr>
    </w:p>
    <w:p w14:paraId="794AF0FC" w14:textId="4D7781DA" w:rsidR="00AA07DA" w:rsidRPr="00AA07DA" w:rsidRDefault="00AA07DA" w:rsidP="00AA07DA">
      <w:pPr>
        <w:pStyle w:val="Caption"/>
        <w:rPr>
          <w:b w:val="0"/>
          <w:bCs/>
        </w:rPr>
      </w:pPr>
      <w:r w:rsidRPr="00AA07DA">
        <w:rPr>
          <w:b w:val="0"/>
          <w:bCs/>
        </w:rPr>
        <w:instrText xml:space="preserve"> </w:instrText>
      </w:r>
      <w:r w:rsidRPr="00AA07DA">
        <w:rPr>
          <w:b w:val="0"/>
          <w:bCs/>
        </w:rPr>
        <w:fldChar w:fldCharType="end"/>
      </w:r>
      <w:r w:rsidRPr="00AA07DA">
        <w:rPr>
          <w:b w:val="0"/>
          <w:bCs/>
        </w:rPr>
        <w:fldChar w:fldCharType="begin"/>
      </w:r>
      <w:r w:rsidRPr="00AA07DA">
        <w:rPr>
          <w:b w:val="0"/>
          <w:bCs/>
        </w:rPr>
        <w:instrText xml:space="preserve"> </w:instrText>
      </w:r>
    </w:p>
    <w:p w14:paraId="4B0BEB6F" w14:textId="77777777" w:rsidR="00AA07DA" w:rsidRPr="00AA07DA" w:rsidRDefault="00AA07DA" w:rsidP="00AA07DA">
      <w:pPr>
        <w:pStyle w:val="Caption"/>
        <w:rPr>
          <w:b w:val="0"/>
          <w:bCs/>
        </w:rPr>
      </w:pPr>
    </w:p>
    <w:p w14:paraId="2353CCC7" w14:textId="77777777" w:rsidR="00AA07DA" w:rsidRPr="00AA07DA" w:rsidRDefault="00AA07DA" w:rsidP="00AA07DA">
      <w:pPr>
        <w:pStyle w:val="Caption"/>
        <w:rPr>
          <w:b w:val="0"/>
          <w:bCs/>
        </w:rPr>
      </w:pPr>
      <w:r w:rsidRPr="00AA07DA">
        <w:rPr>
          <w:b w:val="0"/>
          <w:bCs/>
        </w:rPr>
        <w:instrText xml:space="preserve"> </w:instrText>
      </w:r>
      <w:r w:rsidRPr="00AA07DA">
        <w:rPr>
          <w:b w:val="0"/>
          <w:bCs/>
        </w:rPr>
        <w:fldChar w:fldCharType="end"/>
      </w:r>
      <w:r w:rsidRPr="00AA07DA">
        <w:rPr>
          <w:b w:val="0"/>
          <w:bCs/>
        </w:rPr>
        <w:fldChar w:fldCharType="begin"/>
      </w:r>
      <w:r w:rsidRPr="00AA07DA">
        <w:rPr>
          <w:b w:val="0"/>
          <w:bCs/>
        </w:rPr>
        <w:instrText xml:space="preserve"> </w:instrText>
      </w:r>
    </w:p>
    <w:p w14:paraId="60E3C4C2" w14:textId="77777777" w:rsidR="00AA07DA" w:rsidRPr="00AA07DA" w:rsidRDefault="00AA07DA" w:rsidP="00AA07DA">
      <w:pPr>
        <w:pStyle w:val="Caption"/>
        <w:rPr>
          <w:b w:val="0"/>
          <w:bCs/>
        </w:rPr>
      </w:pPr>
    </w:p>
    <w:p w14:paraId="1D0037D8" w14:textId="77777777" w:rsidR="00AA07DA" w:rsidRPr="00AA07DA" w:rsidRDefault="00AA07DA" w:rsidP="00AA07DA">
      <w:pPr>
        <w:pStyle w:val="Caption"/>
        <w:rPr>
          <w:b w:val="0"/>
          <w:bCs/>
        </w:rPr>
      </w:pPr>
      <w:r w:rsidRPr="00AA07DA">
        <w:rPr>
          <w:b w:val="0"/>
          <w:bCs/>
        </w:rPr>
        <w:instrText xml:space="preserve"> </w:instrText>
      </w:r>
      <w:r w:rsidRPr="00AA07DA">
        <w:rPr>
          <w:b w:val="0"/>
          <w:bCs/>
        </w:rPr>
        <w:fldChar w:fldCharType="end"/>
      </w:r>
      <w:r w:rsidRPr="00AA07DA">
        <w:rPr>
          <w:b w:val="0"/>
          <w:bCs/>
        </w:rPr>
        <w:fldChar w:fldCharType="begin"/>
      </w:r>
      <w:r w:rsidRPr="00AA07DA">
        <w:rPr>
          <w:b w:val="0"/>
          <w:bCs/>
        </w:rPr>
        <w:instrText xml:space="preserve"> </w:instrText>
      </w:r>
    </w:p>
    <w:p w14:paraId="2C6B2C7E" w14:textId="77777777" w:rsidR="00AA07DA" w:rsidRPr="00AA07DA" w:rsidRDefault="00AA07DA" w:rsidP="00AA07DA">
      <w:pPr>
        <w:pStyle w:val="Caption"/>
        <w:rPr>
          <w:b w:val="0"/>
          <w:bCs/>
        </w:rPr>
      </w:pPr>
    </w:p>
    <w:p w14:paraId="26969B24" w14:textId="77777777" w:rsidR="00AA07DA" w:rsidRPr="00AA07DA" w:rsidRDefault="00AA07DA" w:rsidP="00AA07DA">
      <w:pPr>
        <w:pStyle w:val="Caption"/>
        <w:rPr>
          <w:b w:val="0"/>
          <w:bCs/>
        </w:rPr>
      </w:pPr>
      <w:r w:rsidRPr="00AA07DA">
        <w:rPr>
          <w:b w:val="0"/>
          <w:bCs/>
        </w:rPr>
        <w:instrText xml:space="preserve"> </w:instrText>
      </w:r>
      <w:r w:rsidRPr="00AA07DA">
        <w:rPr>
          <w:b w:val="0"/>
          <w:bCs/>
        </w:rPr>
        <w:fldChar w:fldCharType="end"/>
      </w:r>
      <w:r w:rsidRPr="00AA07DA">
        <w:rPr>
          <w:b w:val="0"/>
          <w:bCs/>
        </w:rPr>
        <w:fldChar w:fldCharType="begin"/>
      </w:r>
      <w:r w:rsidRPr="00AA07DA">
        <w:rPr>
          <w:b w:val="0"/>
          <w:bCs/>
        </w:rPr>
        <w:instrText xml:space="preserve"> </w:instrText>
      </w:r>
    </w:p>
    <w:p w14:paraId="7ACA84D9" w14:textId="77777777" w:rsidR="00AA07DA" w:rsidRPr="00AA07DA" w:rsidRDefault="00AA07DA" w:rsidP="00AA07DA">
      <w:pPr>
        <w:pStyle w:val="Caption"/>
        <w:rPr>
          <w:b w:val="0"/>
          <w:bCs/>
        </w:rPr>
      </w:pPr>
    </w:p>
    <w:p w14:paraId="465771B1" w14:textId="77777777" w:rsidR="00AA07DA" w:rsidRPr="00AA07DA" w:rsidRDefault="00AA07DA" w:rsidP="00AA07DA">
      <w:pPr>
        <w:pStyle w:val="Caption"/>
        <w:rPr>
          <w:b w:val="0"/>
          <w:bCs/>
        </w:rPr>
      </w:pPr>
      <w:r w:rsidRPr="00AA07DA">
        <w:rPr>
          <w:b w:val="0"/>
          <w:bCs/>
        </w:rPr>
        <w:instrText xml:space="preserve"> </w:instrText>
      </w:r>
      <w:r w:rsidRPr="00AA07DA">
        <w:rPr>
          <w:b w:val="0"/>
          <w:bCs/>
        </w:rPr>
        <w:fldChar w:fldCharType="end"/>
      </w:r>
      <w:r w:rsidRPr="00AA07DA">
        <w:rPr>
          <w:b w:val="0"/>
          <w:bCs/>
        </w:rPr>
        <w:t>(A).  Overview of the main metabolic processes between infants.  (B).</w:t>
      </w:r>
      <w:r w:rsidRPr="00AA07DA">
        <w:rPr>
          <w:b w:val="0"/>
          <w:bCs/>
        </w:rPr>
        <w:fldChar w:fldCharType="begin"/>
      </w:r>
      <w:r w:rsidRPr="00AA07DA">
        <w:rPr>
          <w:b w:val="0"/>
          <w:bCs/>
        </w:rPr>
        <w:instrText xml:space="preserve"> </w:instrText>
      </w:r>
    </w:p>
    <w:p w14:paraId="23B16CB1" w14:textId="77777777" w:rsidR="00AA07DA" w:rsidRPr="00AA07DA" w:rsidRDefault="00AA07DA" w:rsidP="00AA07DA">
      <w:pPr>
        <w:pStyle w:val="Caption"/>
        <w:rPr>
          <w:b w:val="0"/>
          <w:bCs/>
        </w:rPr>
      </w:pPr>
    </w:p>
    <w:p w14:paraId="68A39086" w14:textId="77777777" w:rsidR="00AA07DA" w:rsidRPr="00AA07DA" w:rsidRDefault="00AA07DA" w:rsidP="00AA07DA">
      <w:pPr>
        <w:pStyle w:val="Caption"/>
        <w:rPr>
          <w:b w:val="0"/>
          <w:bCs/>
        </w:rPr>
      </w:pPr>
      <w:r w:rsidRPr="00AA07DA">
        <w:rPr>
          <w:b w:val="0"/>
          <w:bCs/>
        </w:rPr>
        <w:instrText xml:space="preserve"> </w:instrText>
      </w:r>
      <w:r w:rsidRPr="00AA07DA">
        <w:rPr>
          <w:b w:val="0"/>
          <w:bCs/>
        </w:rPr>
        <w:fldChar w:fldCharType="end"/>
      </w:r>
      <w:r w:rsidRPr="00AA07DA">
        <w:rPr>
          <w:b w:val="0"/>
          <w:bCs/>
        </w:rPr>
        <w:t xml:space="preserve"> The sum of metabolic module differences was used to determine a global representation difference between infants.  The color scale reflects the representation of the metabolic processes.  Modules that were over-represented in infant 06 compared to infant 74 in all phyla are highlighted in red.  Under-represented modules in infant 06 are listed in blue.</w:t>
      </w:r>
    </w:p>
    <w:p w14:paraId="07E2B21D" w14:textId="09B89C4D" w:rsidR="002238BC" w:rsidRPr="002E47FE" w:rsidRDefault="001C0BDE" w:rsidP="002238BC">
      <w:pPr>
        <w:spacing w:before="1"/>
        <w:ind w:firstLine="22"/>
        <w:rPr>
          <w:b/>
          <w:bCs/>
        </w:rPr>
      </w:pPr>
      <w:r w:rsidRPr="00476931">
        <w:rPr>
          <w:rFonts w:ascii="Times New Roman" w:hAnsi="Times New Roman" w:cs="Times New Roman"/>
          <w:color w:val="000000" w:themeColor="text1"/>
        </w:rPr>
        <w:br w:type="page"/>
      </w:r>
      <w:r w:rsidR="002238BC" w:rsidRPr="002E47FE">
        <w:rPr>
          <w:b/>
          <w:bCs/>
        </w:rPr>
        <w:t>Table 6</w:t>
      </w:r>
      <w:r w:rsidR="00697361">
        <w:rPr>
          <w:b/>
          <w:bCs/>
        </w:rPr>
        <w:t>-</w:t>
      </w:r>
      <w:r w:rsidR="002238BC" w:rsidRPr="002E47FE">
        <w:rPr>
          <w:b/>
          <w:bCs/>
        </w:rPr>
        <w:fldChar w:fldCharType="begin"/>
      </w:r>
      <w:r w:rsidR="002238BC" w:rsidRPr="002E47FE">
        <w:rPr>
          <w:b/>
          <w:bCs/>
        </w:rPr>
        <w:instrText xml:space="preserve"> SEQ Table \* ARABIC \s 1 </w:instrText>
      </w:r>
      <w:r w:rsidR="002238BC" w:rsidRPr="002E47FE">
        <w:rPr>
          <w:b/>
          <w:bCs/>
        </w:rPr>
        <w:fldChar w:fldCharType="separate"/>
      </w:r>
      <w:r w:rsidR="002238BC" w:rsidRPr="002E47FE">
        <w:rPr>
          <w:b/>
          <w:bCs/>
        </w:rPr>
        <w:t>1</w:t>
      </w:r>
      <w:r w:rsidR="002238BC" w:rsidRPr="002E47FE">
        <w:rPr>
          <w:b/>
          <w:bCs/>
        </w:rPr>
        <w:fldChar w:fldCharType="end"/>
      </w:r>
      <w:r w:rsidR="002238BC" w:rsidRPr="002E47FE">
        <w:rPr>
          <w:b/>
          <w:bCs/>
        </w:rPr>
        <w:t xml:space="preserve">  Fungal metabolic modules identified in </w:t>
      </w:r>
      <w:proofErr w:type="spellStart"/>
      <w:r w:rsidR="002238BC" w:rsidRPr="002E47FE">
        <w:rPr>
          <w:b/>
          <w:bCs/>
        </w:rPr>
        <w:t>GoMIXER</w:t>
      </w:r>
      <w:proofErr w:type="spellEnd"/>
      <w:r w:rsidR="002238BC" w:rsidRPr="002E47FE">
        <w:rPr>
          <w:b/>
          <w:bCs/>
        </w:rPr>
        <w:t xml:space="preserve"> analysis.</w:t>
      </w:r>
    </w:p>
    <w:p w14:paraId="1ED7B9E9" w14:textId="77777777" w:rsidR="002238BC" w:rsidRDefault="002238BC" w:rsidP="002238BC">
      <w:pPr>
        <w:rPr>
          <w:color w:val="000000" w:themeColor="text1"/>
        </w:rPr>
      </w:pPr>
    </w:p>
    <w:tbl>
      <w:tblPr>
        <w:tblStyle w:val="TableGrid"/>
        <w:tblW w:w="0" w:type="auto"/>
        <w:tblInd w:w="158" w:type="dxa"/>
        <w:tblLook w:val="04A0" w:firstRow="1" w:lastRow="0" w:firstColumn="1" w:lastColumn="0" w:noHBand="0" w:noVBand="1"/>
      </w:tblPr>
      <w:tblGrid>
        <w:gridCol w:w="2627"/>
        <w:gridCol w:w="2700"/>
        <w:gridCol w:w="3145"/>
      </w:tblGrid>
      <w:tr w:rsidR="002238BC" w14:paraId="7B36DB55" w14:textId="77777777" w:rsidTr="00151844">
        <w:trPr>
          <w:trHeight w:val="611"/>
        </w:trPr>
        <w:tc>
          <w:tcPr>
            <w:tcW w:w="2627" w:type="dxa"/>
            <w:shd w:val="clear" w:color="auto" w:fill="2099D7" w:themeFill="accent1"/>
            <w:vAlign w:val="center"/>
          </w:tcPr>
          <w:p w14:paraId="5503DC09" w14:textId="77777777" w:rsidR="002238BC" w:rsidRDefault="002238BC" w:rsidP="00151844">
            <w:pPr>
              <w:jc w:val="center"/>
              <w:rPr>
                <w:color w:val="000000" w:themeColor="text1"/>
              </w:rPr>
            </w:pPr>
            <w:r>
              <w:rPr>
                <w:color w:val="000000" w:themeColor="text1"/>
              </w:rPr>
              <w:t>Hierarchy Level 1</w:t>
            </w:r>
          </w:p>
        </w:tc>
        <w:tc>
          <w:tcPr>
            <w:tcW w:w="2700" w:type="dxa"/>
            <w:shd w:val="clear" w:color="auto" w:fill="2099D7" w:themeFill="accent1"/>
            <w:vAlign w:val="center"/>
          </w:tcPr>
          <w:p w14:paraId="101D2E8C" w14:textId="77777777" w:rsidR="002238BC" w:rsidRDefault="002238BC" w:rsidP="00151844">
            <w:pPr>
              <w:jc w:val="center"/>
              <w:rPr>
                <w:color w:val="000000" w:themeColor="text1"/>
              </w:rPr>
            </w:pPr>
            <w:r>
              <w:rPr>
                <w:color w:val="000000" w:themeColor="text1"/>
              </w:rPr>
              <w:t>Hierarchy Level 2</w:t>
            </w:r>
          </w:p>
        </w:tc>
        <w:tc>
          <w:tcPr>
            <w:tcW w:w="3145" w:type="dxa"/>
            <w:shd w:val="clear" w:color="auto" w:fill="2099D7" w:themeFill="accent1"/>
            <w:vAlign w:val="center"/>
          </w:tcPr>
          <w:p w14:paraId="4A8F6C34" w14:textId="77777777" w:rsidR="002238BC" w:rsidRDefault="002238BC" w:rsidP="00151844">
            <w:pPr>
              <w:jc w:val="center"/>
              <w:rPr>
                <w:color w:val="000000" w:themeColor="text1"/>
              </w:rPr>
            </w:pPr>
            <w:r>
              <w:rPr>
                <w:color w:val="000000" w:themeColor="text1"/>
              </w:rPr>
              <w:t>Name</w:t>
            </w:r>
          </w:p>
        </w:tc>
      </w:tr>
      <w:tr w:rsidR="002238BC" w14:paraId="48BD5C95" w14:textId="77777777" w:rsidTr="00151844">
        <w:tc>
          <w:tcPr>
            <w:tcW w:w="2627" w:type="dxa"/>
            <w:vMerge w:val="restart"/>
          </w:tcPr>
          <w:p w14:paraId="028940EC" w14:textId="77777777" w:rsidR="002238BC" w:rsidRDefault="002238BC" w:rsidP="00151844">
            <w:pPr>
              <w:jc w:val="center"/>
              <w:rPr>
                <w:color w:val="000000" w:themeColor="text1"/>
              </w:rPr>
            </w:pPr>
            <w:r w:rsidRPr="00AA07DA">
              <w:rPr>
                <w:color w:val="000000" w:themeColor="text1"/>
              </w:rPr>
              <w:t>alcohol metabolism</w:t>
            </w:r>
          </w:p>
        </w:tc>
        <w:tc>
          <w:tcPr>
            <w:tcW w:w="2700" w:type="dxa"/>
            <w:vMerge w:val="restart"/>
          </w:tcPr>
          <w:p w14:paraId="668C46B8" w14:textId="77777777" w:rsidR="002238BC" w:rsidRDefault="002238BC" w:rsidP="00151844">
            <w:pPr>
              <w:jc w:val="center"/>
              <w:rPr>
                <w:color w:val="000000" w:themeColor="text1"/>
              </w:rPr>
            </w:pPr>
            <w:r w:rsidRPr="00AA07DA">
              <w:rPr>
                <w:color w:val="000000" w:themeColor="text1"/>
              </w:rPr>
              <w:t>ethanol metabolism</w:t>
            </w:r>
          </w:p>
        </w:tc>
        <w:tc>
          <w:tcPr>
            <w:tcW w:w="3145" w:type="dxa"/>
          </w:tcPr>
          <w:p w14:paraId="2E81E866" w14:textId="77777777" w:rsidR="002238BC" w:rsidRDefault="002238BC" w:rsidP="00151844">
            <w:pPr>
              <w:jc w:val="center"/>
              <w:rPr>
                <w:color w:val="000000" w:themeColor="text1"/>
              </w:rPr>
            </w:pPr>
            <w:r w:rsidRPr="00AA07DA">
              <w:rPr>
                <w:color w:val="000000" w:themeColor="text1"/>
              </w:rPr>
              <w:t>ethanol production (CO2 pathway)</w:t>
            </w:r>
          </w:p>
        </w:tc>
      </w:tr>
      <w:tr w:rsidR="002238BC" w14:paraId="0E1A072E" w14:textId="77777777" w:rsidTr="00151844">
        <w:tc>
          <w:tcPr>
            <w:tcW w:w="2627" w:type="dxa"/>
            <w:vMerge/>
          </w:tcPr>
          <w:p w14:paraId="23959D91" w14:textId="77777777" w:rsidR="002238BC" w:rsidRDefault="002238BC" w:rsidP="00151844">
            <w:pPr>
              <w:jc w:val="center"/>
              <w:rPr>
                <w:color w:val="000000" w:themeColor="text1"/>
              </w:rPr>
            </w:pPr>
          </w:p>
        </w:tc>
        <w:tc>
          <w:tcPr>
            <w:tcW w:w="2700" w:type="dxa"/>
            <w:vMerge/>
          </w:tcPr>
          <w:p w14:paraId="3DCA8A8F" w14:textId="77777777" w:rsidR="002238BC" w:rsidRDefault="002238BC" w:rsidP="00151844">
            <w:pPr>
              <w:jc w:val="center"/>
              <w:rPr>
                <w:color w:val="000000" w:themeColor="text1"/>
              </w:rPr>
            </w:pPr>
          </w:p>
        </w:tc>
        <w:tc>
          <w:tcPr>
            <w:tcW w:w="3145" w:type="dxa"/>
          </w:tcPr>
          <w:p w14:paraId="1E326359" w14:textId="77777777" w:rsidR="002238BC" w:rsidRDefault="002238BC" w:rsidP="00151844">
            <w:pPr>
              <w:jc w:val="center"/>
              <w:rPr>
                <w:color w:val="000000" w:themeColor="text1"/>
              </w:rPr>
            </w:pPr>
            <w:r w:rsidRPr="00AA07DA">
              <w:rPr>
                <w:color w:val="000000" w:themeColor="text1"/>
              </w:rPr>
              <w:t>ethanol production (</w:t>
            </w:r>
            <w:proofErr w:type="spellStart"/>
            <w:r w:rsidRPr="00AA07DA">
              <w:rPr>
                <w:color w:val="000000" w:themeColor="text1"/>
              </w:rPr>
              <w:t>formate</w:t>
            </w:r>
            <w:proofErr w:type="spellEnd"/>
            <w:r w:rsidRPr="00AA07DA">
              <w:rPr>
                <w:color w:val="000000" w:themeColor="text1"/>
              </w:rPr>
              <w:t xml:space="preserve"> pathway)</w:t>
            </w:r>
          </w:p>
        </w:tc>
      </w:tr>
      <w:tr w:rsidR="002238BC" w14:paraId="36A9C30F" w14:textId="77777777" w:rsidTr="00151844">
        <w:tc>
          <w:tcPr>
            <w:tcW w:w="2627" w:type="dxa"/>
            <w:vMerge w:val="restart"/>
          </w:tcPr>
          <w:p w14:paraId="17922BE2"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amino acid degradation</w:t>
            </w:r>
          </w:p>
        </w:tc>
        <w:tc>
          <w:tcPr>
            <w:tcW w:w="2700" w:type="dxa"/>
            <w:vMerge w:val="restart"/>
          </w:tcPr>
          <w:p w14:paraId="5DAA2B1B"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nonpolar, aliphatic amino acid degradation</w:t>
            </w:r>
          </w:p>
        </w:tc>
        <w:tc>
          <w:tcPr>
            <w:tcW w:w="3145" w:type="dxa"/>
          </w:tcPr>
          <w:p w14:paraId="644498E0" w14:textId="77777777" w:rsidR="002238BC" w:rsidRDefault="002238BC" w:rsidP="00151844">
            <w:pPr>
              <w:jc w:val="center"/>
              <w:rPr>
                <w:color w:val="000000" w:themeColor="text1"/>
              </w:rPr>
            </w:pPr>
            <w:r w:rsidRPr="00AA07DA">
              <w:rPr>
                <w:color w:val="000000" w:themeColor="text1"/>
              </w:rPr>
              <w:t>isoleucine degradation</w:t>
            </w:r>
          </w:p>
        </w:tc>
      </w:tr>
      <w:tr w:rsidR="002238BC" w14:paraId="2CE33B6D" w14:textId="77777777" w:rsidTr="00151844">
        <w:tc>
          <w:tcPr>
            <w:tcW w:w="2627" w:type="dxa"/>
            <w:vMerge/>
          </w:tcPr>
          <w:p w14:paraId="29ACEFB1" w14:textId="77777777" w:rsidR="002238BC" w:rsidRDefault="002238BC" w:rsidP="00151844">
            <w:pPr>
              <w:jc w:val="center"/>
              <w:rPr>
                <w:color w:val="000000" w:themeColor="text1"/>
              </w:rPr>
            </w:pPr>
          </w:p>
        </w:tc>
        <w:tc>
          <w:tcPr>
            <w:tcW w:w="2700" w:type="dxa"/>
            <w:vMerge/>
          </w:tcPr>
          <w:p w14:paraId="6A741996" w14:textId="77777777" w:rsidR="002238BC" w:rsidRDefault="002238BC" w:rsidP="00151844">
            <w:pPr>
              <w:jc w:val="center"/>
              <w:rPr>
                <w:color w:val="000000" w:themeColor="text1"/>
              </w:rPr>
            </w:pPr>
          </w:p>
        </w:tc>
        <w:tc>
          <w:tcPr>
            <w:tcW w:w="3145" w:type="dxa"/>
          </w:tcPr>
          <w:p w14:paraId="030689DB" w14:textId="77777777" w:rsidR="002238BC" w:rsidRDefault="002238BC" w:rsidP="00151844">
            <w:pPr>
              <w:jc w:val="center"/>
              <w:rPr>
                <w:color w:val="000000" w:themeColor="text1"/>
              </w:rPr>
            </w:pPr>
            <w:r w:rsidRPr="00AA07DA">
              <w:rPr>
                <w:color w:val="000000" w:themeColor="text1"/>
              </w:rPr>
              <w:t>valine degradation</w:t>
            </w:r>
          </w:p>
        </w:tc>
      </w:tr>
      <w:tr w:rsidR="002238BC" w14:paraId="083A4E87" w14:textId="77777777" w:rsidTr="00151844">
        <w:tc>
          <w:tcPr>
            <w:tcW w:w="2627" w:type="dxa"/>
          </w:tcPr>
          <w:p w14:paraId="246B862A"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carbohydrate degradation</w:t>
            </w:r>
          </w:p>
        </w:tc>
        <w:tc>
          <w:tcPr>
            <w:tcW w:w="2700" w:type="dxa"/>
          </w:tcPr>
          <w:p w14:paraId="4C06C143"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sugar alcohol degradation</w:t>
            </w:r>
          </w:p>
        </w:tc>
        <w:tc>
          <w:tcPr>
            <w:tcW w:w="3145" w:type="dxa"/>
          </w:tcPr>
          <w:p w14:paraId="3A311689"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xylitol degradation</w:t>
            </w:r>
          </w:p>
        </w:tc>
      </w:tr>
      <w:tr w:rsidR="002238BC" w14:paraId="4EB450ED" w14:textId="77777777" w:rsidTr="00151844">
        <w:tc>
          <w:tcPr>
            <w:tcW w:w="2627" w:type="dxa"/>
            <w:vMerge w:val="restart"/>
          </w:tcPr>
          <w:p w14:paraId="3FE352D5"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central metabolism</w:t>
            </w:r>
          </w:p>
        </w:tc>
        <w:tc>
          <w:tcPr>
            <w:tcW w:w="2700" w:type="dxa"/>
            <w:vMerge w:val="restart"/>
          </w:tcPr>
          <w:p w14:paraId="0EED7B4A"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energy metabolism</w:t>
            </w:r>
          </w:p>
        </w:tc>
        <w:tc>
          <w:tcPr>
            <w:tcW w:w="3145" w:type="dxa"/>
          </w:tcPr>
          <w:p w14:paraId="479F8B6B" w14:textId="77777777" w:rsidR="002238BC" w:rsidRDefault="002238BC" w:rsidP="00151844">
            <w:pPr>
              <w:jc w:val="center"/>
              <w:rPr>
                <w:color w:val="000000" w:themeColor="text1"/>
              </w:rPr>
            </w:pPr>
            <w:proofErr w:type="spellStart"/>
            <w:r w:rsidRPr="00476931">
              <w:rPr>
                <w:rFonts w:ascii="Times New Roman" w:eastAsia="Times New Roman" w:hAnsi="Times New Roman" w:cs="Times New Roman"/>
                <w:color w:val="000000" w:themeColor="text1"/>
              </w:rPr>
              <w:t>bifidobacterium</w:t>
            </w:r>
            <w:proofErr w:type="spellEnd"/>
            <w:r w:rsidRPr="00476931">
              <w:rPr>
                <w:rFonts w:ascii="Times New Roman" w:eastAsia="Times New Roman" w:hAnsi="Times New Roman" w:cs="Times New Roman"/>
                <w:color w:val="000000" w:themeColor="text1"/>
              </w:rPr>
              <w:t xml:space="preserve"> shunt</w:t>
            </w:r>
          </w:p>
        </w:tc>
      </w:tr>
      <w:tr w:rsidR="002238BC" w14:paraId="49EEBB80" w14:textId="77777777" w:rsidTr="00151844">
        <w:tc>
          <w:tcPr>
            <w:tcW w:w="2627" w:type="dxa"/>
            <w:vMerge/>
          </w:tcPr>
          <w:p w14:paraId="769171C1" w14:textId="77777777" w:rsidR="002238BC" w:rsidRDefault="002238BC" w:rsidP="00151844">
            <w:pPr>
              <w:jc w:val="center"/>
              <w:rPr>
                <w:color w:val="000000" w:themeColor="text1"/>
              </w:rPr>
            </w:pPr>
          </w:p>
        </w:tc>
        <w:tc>
          <w:tcPr>
            <w:tcW w:w="2700" w:type="dxa"/>
            <w:vMerge/>
          </w:tcPr>
          <w:p w14:paraId="44C5FB44" w14:textId="77777777" w:rsidR="002238BC" w:rsidRDefault="002238BC" w:rsidP="00151844">
            <w:pPr>
              <w:jc w:val="center"/>
              <w:rPr>
                <w:color w:val="000000" w:themeColor="text1"/>
              </w:rPr>
            </w:pPr>
          </w:p>
        </w:tc>
        <w:tc>
          <w:tcPr>
            <w:tcW w:w="3145" w:type="dxa"/>
          </w:tcPr>
          <w:p w14:paraId="7A4526CF"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Glycolysis (pay-off phase)</w:t>
            </w:r>
          </w:p>
        </w:tc>
      </w:tr>
      <w:tr w:rsidR="002238BC" w14:paraId="1950F815" w14:textId="77777777" w:rsidTr="00151844">
        <w:tc>
          <w:tcPr>
            <w:tcW w:w="2627" w:type="dxa"/>
            <w:vMerge/>
          </w:tcPr>
          <w:p w14:paraId="669BF158" w14:textId="77777777" w:rsidR="002238BC" w:rsidRDefault="002238BC" w:rsidP="00151844">
            <w:pPr>
              <w:jc w:val="center"/>
              <w:rPr>
                <w:color w:val="000000" w:themeColor="text1"/>
              </w:rPr>
            </w:pPr>
          </w:p>
        </w:tc>
        <w:tc>
          <w:tcPr>
            <w:tcW w:w="2700" w:type="dxa"/>
            <w:vMerge/>
          </w:tcPr>
          <w:p w14:paraId="0786A0A1" w14:textId="77777777" w:rsidR="002238BC" w:rsidRDefault="002238BC" w:rsidP="00151844">
            <w:pPr>
              <w:jc w:val="center"/>
              <w:rPr>
                <w:color w:val="000000" w:themeColor="text1"/>
              </w:rPr>
            </w:pPr>
          </w:p>
        </w:tc>
        <w:tc>
          <w:tcPr>
            <w:tcW w:w="3145" w:type="dxa"/>
          </w:tcPr>
          <w:p w14:paraId="52CCE3EE"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Glycolysis (preparatory phase)</w:t>
            </w:r>
          </w:p>
        </w:tc>
      </w:tr>
      <w:tr w:rsidR="002238BC" w14:paraId="0BA946C6" w14:textId="77777777" w:rsidTr="00151844">
        <w:tc>
          <w:tcPr>
            <w:tcW w:w="2627" w:type="dxa"/>
            <w:vMerge/>
          </w:tcPr>
          <w:p w14:paraId="5249F034" w14:textId="77777777" w:rsidR="002238BC" w:rsidRDefault="002238BC" w:rsidP="00151844">
            <w:pPr>
              <w:jc w:val="center"/>
              <w:rPr>
                <w:color w:val="000000" w:themeColor="text1"/>
              </w:rPr>
            </w:pPr>
          </w:p>
        </w:tc>
        <w:tc>
          <w:tcPr>
            <w:tcW w:w="2700" w:type="dxa"/>
            <w:vMerge/>
          </w:tcPr>
          <w:p w14:paraId="7990EC07" w14:textId="77777777" w:rsidR="002238BC" w:rsidRDefault="002238BC" w:rsidP="00151844">
            <w:pPr>
              <w:jc w:val="center"/>
              <w:rPr>
                <w:color w:val="000000" w:themeColor="text1"/>
              </w:rPr>
            </w:pPr>
          </w:p>
        </w:tc>
        <w:tc>
          <w:tcPr>
            <w:tcW w:w="3145" w:type="dxa"/>
          </w:tcPr>
          <w:p w14:paraId="47BBD363"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pentose phosphate pathway (non-oxidative branch)</w:t>
            </w:r>
          </w:p>
        </w:tc>
      </w:tr>
      <w:tr w:rsidR="002238BC" w14:paraId="4DCFE5C8" w14:textId="77777777" w:rsidTr="00151844">
        <w:tc>
          <w:tcPr>
            <w:tcW w:w="2627" w:type="dxa"/>
            <w:vMerge/>
          </w:tcPr>
          <w:p w14:paraId="780CCA2E" w14:textId="77777777" w:rsidR="002238BC" w:rsidRDefault="002238BC" w:rsidP="00151844">
            <w:pPr>
              <w:jc w:val="center"/>
              <w:rPr>
                <w:color w:val="000000" w:themeColor="text1"/>
              </w:rPr>
            </w:pPr>
          </w:p>
        </w:tc>
        <w:tc>
          <w:tcPr>
            <w:tcW w:w="2700" w:type="dxa"/>
            <w:vMerge/>
          </w:tcPr>
          <w:p w14:paraId="1DB54604" w14:textId="77777777" w:rsidR="002238BC" w:rsidRDefault="002238BC" w:rsidP="00151844">
            <w:pPr>
              <w:jc w:val="center"/>
              <w:rPr>
                <w:color w:val="000000" w:themeColor="text1"/>
              </w:rPr>
            </w:pPr>
          </w:p>
        </w:tc>
        <w:tc>
          <w:tcPr>
            <w:tcW w:w="3145" w:type="dxa"/>
          </w:tcPr>
          <w:p w14:paraId="4E4BD24E"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pentose phosphate pathway (oxidative branch)</w:t>
            </w:r>
          </w:p>
        </w:tc>
      </w:tr>
      <w:tr w:rsidR="002238BC" w14:paraId="2F245627" w14:textId="77777777" w:rsidTr="00151844">
        <w:tc>
          <w:tcPr>
            <w:tcW w:w="2627" w:type="dxa"/>
            <w:vMerge/>
          </w:tcPr>
          <w:p w14:paraId="3BAF15A1" w14:textId="77777777" w:rsidR="002238BC" w:rsidRDefault="002238BC" w:rsidP="00151844">
            <w:pPr>
              <w:jc w:val="center"/>
              <w:rPr>
                <w:color w:val="000000" w:themeColor="text1"/>
              </w:rPr>
            </w:pPr>
          </w:p>
        </w:tc>
        <w:tc>
          <w:tcPr>
            <w:tcW w:w="2700" w:type="dxa"/>
            <w:vMerge/>
          </w:tcPr>
          <w:p w14:paraId="46DD9183" w14:textId="77777777" w:rsidR="002238BC" w:rsidRDefault="002238BC" w:rsidP="00151844">
            <w:pPr>
              <w:jc w:val="center"/>
              <w:rPr>
                <w:color w:val="000000" w:themeColor="text1"/>
              </w:rPr>
            </w:pPr>
          </w:p>
        </w:tc>
        <w:tc>
          <w:tcPr>
            <w:tcW w:w="3145" w:type="dxa"/>
          </w:tcPr>
          <w:p w14:paraId="3D242821"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pyruvate dehydrogenase complex</w:t>
            </w:r>
          </w:p>
        </w:tc>
      </w:tr>
      <w:tr w:rsidR="002238BC" w14:paraId="4CB11F37" w14:textId="77777777" w:rsidTr="00151844">
        <w:tc>
          <w:tcPr>
            <w:tcW w:w="2627" w:type="dxa"/>
            <w:vMerge/>
          </w:tcPr>
          <w:p w14:paraId="2009D9AE" w14:textId="77777777" w:rsidR="002238BC" w:rsidRDefault="002238BC" w:rsidP="00151844">
            <w:pPr>
              <w:jc w:val="center"/>
              <w:rPr>
                <w:color w:val="000000" w:themeColor="text1"/>
              </w:rPr>
            </w:pPr>
          </w:p>
        </w:tc>
        <w:tc>
          <w:tcPr>
            <w:tcW w:w="2700" w:type="dxa"/>
            <w:vMerge/>
          </w:tcPr>
          <w:p w14:paraId="34F0B4F0" w14:textId="77777777" w:rsidR="002238BC" w:rsidRDefault="002238BC" w:rsidP="00151844">
            <w:pPr>
              <w:jc w:val="center"/>
              <w:rPr>
                <w:color w:val="000000" w:themeColor="text1"/>
              </w:rPr>
            </w:pPr>
          </w:p>
        </w:tc>
        <w:tc>
          <w:tcPr>
            <w:tcW w:w="3145" w:type="dxa"/>
          </w:tcPr>
          <w:p w14:paraId="115A3508"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TCA cycle</w:t>
            </w:r>
          </w:p>
        </w:tc>
      </w:tr>
      <w:tr w:rsidR="002238BC" w14:paraId="7E92307B" w14:textId="77777777" w:rsidTr="00151844">
        <w:tc>
          <w:tcPr>
            <w:tcW w:w="2627" w:type="dxa"/>
            <w:vMerge/>
          </w:tcPr>
          <w:p w14:paraId="42075A5F" w14:textId="77777777" w:rsidR="002238BC" w:rsidRDefault="002238BC" w:rsidP="00151844">
            <w:pPr>
              <w:jc w:val="center"/>
              <w:rPr>
                <w:color w:val="000000" w:themeColor="text1"/>
              </w:rPr>
            </w:pPr>
          </w:p>
        </w:tc>
        <w:tc>
          <w:tcPr>
            <w:tcW w:w="2700" w:type="dxa"/>
            <w:vMerge/>
          </w:tcPr>
          <w:p w14:paraId="2F22BCBD" w14:textId="77777777" w:rsidR="002238BC" w:rsidRDefault="002238BC" w:rsidP="00151844">
            <w:pPr>
              <w:jc w:val="center"/>
              <w:rPr>
                <w:color w:val="000000" w:themeColor="text1"/>
              </w:rPr>
            </w:pPr>
          </w:p>
        </w:tc>
        <w:tc>
          <w:tcPr>
            <w:tcW w:w="3145" w:type="dxa"/>
          </w:tcPr>
          <w:p w14:paraId="62AF6A69"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TCA cycle (Mycobacterium pathway)</w:t>
            </w:r>
          </w:p>
        </w:tc>
      </w:tr>
      <w:tr w:rsidR="002238BC" w14:paraId="4079CAFC" w14:textId="77777777" w:rsidTr="00151844">
        <w:tc>
          <w:tcPr>
            <w:tcW w:w="2627" w:type="dxa"/>
            <w:vMerge w:val="restart"/>
          </w:tcPr>
          <w:p w14:paraId="495AE5EE"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lipid degradation</w:t>
            </w:r>
          </w:p>
        </w:tc>
        <w:tc>
          <w:tcPr>
            <w:tcW w:w="2700" w:type="dxa"/>
          </w:tcPr>
          <w:p w14:paraId="3F33B00E"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glycerol degradation</w:t>
            </w:r>
          </w:p>
        </w:tc>
        <w:tc>
          <w:tcPr>
            <w:tcW w:w="3145" w:type="dxa"/>
          </w:tcPr>
          <w:p w14:paraId="3CF5E5B3"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glycerol degradation (dihydroxyacetone pathway)</w:t>
            </w:r>
          </w:p>
        </w:tc>
      </w:tr>
      <w:tr w:rsidR="002238BC" w14:paraId="4082C1F4" w14:textId="77777777" w:rsidTr="00151844">
        <w:tc>
          <w:tcPr>
            <w:tcW w:w="2627" w:type="dxa"/>
            <w:vMerge/>
          </w:tcPr>
          <w:p w14:paraId="1B6CFFEA" w14:textId="77777777" w:rsidR="002238BC" w:rsidRDefault="002238BC" w:rsidP="00151844">
            <w:pPr>
              <w:jc w:val="center"/>
              <w:rPr>
                <w:color w:val="000000" w:themeColor="text1"/>
              </w:rPr>
            </w:pPr>
          </w:p>
        </w:tc>
        <w:tc>
          <w:tcPr>
            <w:tcW w:w="2700" w:type="dxa"/>
          </w:tcPr>
          <w:p w14:paraId="3FA269BB"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glyoxylate bypass</w:t>
            </w:r>
          </w:p>
        </w:tc>
        <w:tc>
          <w:tcPr>
            <w:tcW w:w="3145" w:type="dxa"/>
          </w:tcPr>
          <w:p w14:paraId="54BF0DD7"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glyoxylate bypass</w:t>
            </w:r>
          </w:p>
        </w:tc>
      </w:tr>
      <w:tr w:rsidR="002238BC" w14:paraId="56A147EF" w14:textId="77777777" w:rsidTr="00151844">
        <w:tc>
          <w:tcPr>
            <w:tcW w:w="2627" w:type="dxa"/>
            <w:vMerge w:val="restart"/>
          </w:tcPr>
          <w:p w14:paraId="7357871A"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organic acid metabolism</w:t>
            </w:r>
          </w:p>
        </w:tc>
        <w:tc>
          <w:tcPr>
            <w:tcW w:w="2700" w:type="dxa"/>
          </w:tcPr>
          <w:p w14:paraId="7FE6EC00"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acetate metabolism</w:t>
            </w:r>
          </w:p>
        </w:tc>
        <w:tc>
          <w:tcPr>
            <w:tcW w:w="3145" w:type="dxa"/>
          </w:tcPr>
          <w:p w14:paraId="58F8AA12"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acetyl-CoA to acetate</w:t>
            </w:r>
          </w:p>
        </w:tc>
      </w:tr>
      <w:tr w:rsidR="002238BC" w14:paraId="1B25F928" w14:textId="77777777" w:rsidTr="00151844">
        <w:tc>
          <w:tcPr>
            <w:tcW w:w="2627" w:type="dxa"/>
            <w:vMerge/>
          </w:tcPr>
          <w:p w14:paraId="04517C09" w14:textId="77777777" w:rsidR="002238BC" w:rsidRDefault="002238BC" w:rsidP="00151844">
            <w:pPr>
              <w:jc w:val="center"/>
              <w:rPr>
                <w:color w:val="000000" w:themeColor="text1"/>
              </w:rPr>
            </w:pPr>
          </w:p>
        </w:tc>
        <w:tc>
          <w:tcPr>
            <w:tcW w:w="2700" w:type="dxa"/>
          </w:tcPr>
          <w:p w14:paraId="45102170"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butyrate metabolism</w:t>
            </w:r>
          </w:p>
        </w:tc>
        <w:tc>
          <w:tcPr>
            <w:tcW w:w="3145" w:type="dxa"/>
          </w:tcPr>
          <w:p w14:paraId="16DF9A0F"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acetyl-CoA to crotonyl-CoA</w:t>
            </w:r>
          </w:p>
        </w:tc>
      </w:tr>
      <w:tr w:rsidR="002238BC" w14:paraId="5322B4D0" w14:textId="77777777" w:rsidTr="00151844">
        <w:tc>
          <w:tcPr>
            <w:tcW w:w="2627" w:type="dxa"/>
            <w:vMerge w:val="restart"/>
          </w:tcPr>
          <w:p w14:paraId="1AD446DB"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protection against oxidative stress</w:t>
            </w:r>
          </w:p>
        </w:tc>
        <w:tc>
          <w:tcPr>
            <w:tcW w:w="2700" w:type="dxa"/>
          </w:tcPr>
          <w:p w14:paraId="5CAEF26F"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peroxidase</w:t>
            </w:r>
          </w:p>
        </w:tc>
        <w:tc>
          <w:tcPr>
            <w:tcW w:w="3145" w:type="dxa"/>
          </w:tcPr>
          <w:p w14:paraId="3E9772FA"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peroxidase</w:t>
            </w:r>
          </w:p>
        </w:tc>
      </w:tr>
      <w:tr w:rsidR="002238BC" w14:paraId="7569F2C2" w14:textId="77777777" w:rsidTr="00151844">
        <w:tc>
          <w:tcPr>
            <w:tcW w:w="2627" w:type="dxa"/>
            <w:vMerge/>
          </w:tcPr>
          <w:p w14:paraId="757F8127" w14:textId="77777777" w:rsidR="002238BC" w:rsidRDefault="002238BC" w:rsidP="00151844">
            <w:pPr>
              <w:jc w:val="center"/>
              <w:rPr>
                <w:color w:val="000000" w:themeColor="text1"/>
              </w:rPr>
            </w:pPr>
          </w:p>
        </w:tc>
        <w:tc>
          <w:tcPr>
            <w:tcW w:w="2700" w:type="dxa"/>
          </w:tcPr>
          <w:p w14:paraId="378A9D18"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superoxide dismutase</w:t>
            </w:r>
          </w:p>
        </w:tc>
        <w:tc>
          <w:tcPr>
            <w:tcW w:w="3145" w:type="dxa"/>
          </w:tcPr>
          <w:p w14:paraId="5BB97929" w14:textId="77777777" w:rsidR="002238BC" w:rsidRDefault="002238BC" w:rsidP="00151844">
            <w:pPr>
              <w:jc w:val="center"/>
              <w:rPr>
                <w:color w:val="000000" w:themeColor="text1"/>
              </w:rPr>
            </w:pPr>
            <w:r w:rsidRPr="00476931">
              <w:rPr>
                <w:rFonts w:ascii="Times New Roman" w:eastAsia="Times New Roman" w:hAnsi="Times New Roman" w:cs="Times New Roman"/>
                <w:color w:val="000000" w:themeColor="text1"/>
              </w:rPr>
              <w:t>superoxide dismutase</w:t>
            </w:r>
          </w:p>
        </w:tc>
      </w:tr>
    </w:tbl>
    <w:p w14:paraId="2AA756FB" w14:textId="77777777" w:rsidR="002238BC" w:rsidRDefault="002238BC" w:rsidP="002238BC">
      <w:pPr>
        <w:spacing w:before="1"/>
        <w:rPr>
          <w:color w:val="000000" w:themeColor="text1"/>
        </w:rPr>
      </w:pPr>
      <w:r>
        <w:rPr>
          <w:color w:val="000000" w:themeColor="text1"/>
        </w:rPr>
        <w:br w:type="page"/>
      </w:r>
    </w:p>
    <w:p w14:paraId="31DFFB60" w14:textId="77777777" w:rsidR="002238BC" w:rsidRDefault="002238BC" w:rsidP="002238BC">
      <w:pPr>
        <w:keepNext/>
        <w:shd w:val="clear" w:color="auto" w:fill="FFFFFF"/>
        <w:ind w:firstLine="22"/>
        <w:textAlignment w:val="baseline"/>
      </w:pPr>
      <w:r w:rsidRPr="00476931">
        <w:rPr>
          <w:rFonts w:ascii="Times New Roman" w:hAnsi="Times New Roman" w:cs="Times New Roman"/>
          <w:noProof/>
          <w:color w:val="000000" w:themeColor="text1"/>
        </w:rPr>
        <w:drawing>
          <wp:inline distT="0" distB="0" distL="0" distR="0" wp14:anchorId="268D4C12" wp14:editId="15AC0965">
            <wp:extent cx="5207000" cy="3328670"/>
            <wp:effectExtent l="0" t="0" r="0" b="0"/>
            <wp:docPr id="33" name="Picture 1" descr="A picture containing text, map&#10;&#10;Description automatically generated">
              <a:extLst xmlns:a="http://schemas.openxmlformats.org/drawingml/2006/main">
                <a:ext uri="{FF2B5EF4-FFF2-40B4-BE49-F238E27FC236}">
                  <a16:creationId xmlns:a16="http://schemas.microsoft.com/office/drawing/2014/main" id="{652D5815-3567-4991-A7CF-33D754A2F1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icture containing text, map&#10;&#10;Description automatically generated">
                      <a:extLst>
                        <a:ext uri="{FF2B5EF4-FFF2-40B4-BE49-F238E27FC236}">
                          <a16:creationId xmlns:a16="http://schemas.microsoft.com/office/drawing/2014/main" id="{652D5815-3567-4991-A7CF-33D754A2F18B}"/>
                        </a:ext>
                      </a:extLst>
                    </pic:cNvPr>
                    <pic:cNvPicPr>
                      <a:picLocks noChangeAspect="1"/>
                    </pic:cNvPicPr>
                  </pic:nvPicPr>
                  <pic:blipFill rotWithShape="1">
                    <a:blip r:embed="rId75"/>
                    <a:srcRect l="2335" t="1966" r="18522" b="61611"/>
                    <a:stretch/>
                  </pic:blipFill>
                  <pic:spPr>
                    <a:xfrm>
                      <a:off x="0" y="0"/>
                      <a:ext cx="5207000" cy="3328670"/>
                    </a:xfrm>
                    <a:prstGeom prst="rect">
                      <a:avLst/>
                    </a:prstGeom>
                  </pic:spPr>
                </pic:pic>
              </a:graphicData>
            </a:graphic>
          </wp:inline>
        </w:drawing>
      </w:r>
    </w:p>
    <w:p w14:paraId="78BB5C6D" w14:textId="196F66EF" w:rsidR="002238BC" w:rsidRPr="002238BC" w:rsidRDefault="002238BC" w:rsidP="002238BC">
      <w:pPr>
        <w:pStyle w:val="Caption"/>
        <w:rPr>
          <w:b w:val="0"/>
          <w:bCs/>
        </w:rPr>
      </w:pPr>
      <w:bookmarkStart w:id="339" w:name="_Toc110246958"/>
      <w:r>
        <w:t xml:space="preserve">Figure </w:t>
      </w:r>
      <w:fldSimple w:instr=" STYLEREF 1 \s ">
        <w:r w:rsidR="00AC2094">
          <w:rPr>
            <w:noProof/>
          </w:rPr>
          <w:t>6</w:t>
        </w:r>
      </w:fldSimple>
      <w:r w:rsidR="00AC2094">
        <w:noBreakHyphen/>
      </w:r>
      <w:fldSimple w:instr=" SEQ Figure \* ARABIC \s 1 ">
        <w:r w:rsidR="00AC2094">
          <w:rPr>
            <w:noProof/>
          </w:rPr>
          <w:t>4</w:t>
        </w:r>
      </w:fldSimple>
      <w:r>
        <w:t xml:space="preserve">  </w:t>
      </w:r>
      <w:r w:rsidRPr="002238BC">
        <w:t>KO terms related to lipopolysaccharide biosynthesis in infant 74.</w:t>
      </w:r>
      <w:bookmarkEnd w:id="339"/>
      <w:r w:rsidRPr="002238BC">
        <w:t xml:space="preserve">  </w:t>
      </w:r>
      <w:r w:rsidRPr="002238BC">
        <w:rPr>
          <w:b w:val="0"/>
          <w:bCs/>
        </w:rPr>
        <w:fldChar w:fldCharType="begin"/>
      </w:r>
      <w:r w:rsidRPr="002238BC">
        <w:rPr>
          <w:b w:val="0"/>
          <w:bCs/>
        </w:rPr>
        <w:instrText xml:space="preserve"> </w:instrText>
      </w:r>
    </w:p>
    <w:p w14:paraId="46D5B789" w14:textId="77777777" w:rsidR="002238BC" w:rsidRPr="002238BC" w:rsidRDefault="002238BC" w:rsidP="002238BC">
      <w:pPr>
        <w:pStyle w:val="Caption"/>
        <w:rPr>
          <w:b w:val="0"/>
          <w:bCs/>
        </w:rPr>
      </w:pPr>
    </w:p>
    <w:p w14:paraId="0FEED904" w14:textId="77777777" w:rsidR="002238BC" w:rsidRPr="002238BC" w:rsidRDefault="002238BC" w:rsidP="002238BC">
      <w:pPr>
        <w:pStyle w:val="Caption"/>
        <w:rPr>
          <w:b w:val="0"/>
          <w:bCs/>
        </w:rPr>
      </w:pPr>
      <w:r w:rsidRPr="002238BC">
        <w:rPr>
          <w:b w:val="0"/>
          <w:bCs/>
        </w:rPr>
        <w:instrText xml:space="preserve"> </w:instrText>
      </w:r>
      <w:r w:rsidRPr="002238BC">
        <w:rPr>
          <w:b w:val="0"/>
          <w:bCs/>
        </w:rPr>
        <w:fldChar w:fldCharType="end"/>
      </w:r>
      <w:r w:rsidRPr="002238BC">
        <w:rPr>
          <w:b w:val="0"/>
          <w:bCs/>
        </w:rPr>
        <w:fldChar w:fldCharType="begin"/>
      </w:r>
      <w:r w:rsidRPr="002238BC">
        <w:rPr>
          <w:b w:val="0"/>
          <w:bCs/>
        </w:rPr>
        <w:instrText xml:space="preserve"> </w:instrText>
      </w:r>
    </w:p>
    <w:p w14:paraId="5908248D" w14:textId="77777777" w:rsidR="002238BC" w:rsidRPr="002238BC" w:rsidRDefault="002238BC" w:rsidP="002238BC">
      <w:pPr>
        <w:pStyle w:val="Caption"/>
        <w:rPr>
          <w:b w:val="0"/>
          <w:bCs/>
        </w:rPr>
      </w:pPr>
    </w:p>
    <w:p w14:paraId="286F149C" w14:textId="77777777" w:rsidR="002238BC" w:rsidRPr="002238BC" w:rsidRDefault="002238BC" w:rsidP="002238BC">
      <w:pPr>
        <w:pStyle w:val="Caption"/>
        <w:rPr>
          <w:b w:val="0"/>
          <w:bCs/>
        </w:rPr>
      </w:pPr>
      <w:r w:rsidRPr="002238BC">
        <w:rPr>
          <w:b w:val="0"/>
          <w:bCs/>
        </w:rPr>
        <w:instrText xml:space="preserve"> </w:instrText>
      </w:r>
      <w:r w:rsidRPr="002238BC">
        <w:rPr>
          <w:b w:val="0"/>
          <w:bCs/>
        </w:rPr>
        <w:fldChar w:fldCharType="end"/>
      </w:r>
      <w:r w:rsidRPr="002238BC">
        <w:rPr>
          <w:b w:val="0"/>
          <w:bCs/>
        </w:rPr>
        <w:fldChar w:fldCharType="begin"/>
      </w:r>
      <w:r w:rsidRPr="002238BC">
        <w:rPr>
          <w:b w:val="0"/>
          <w:bCs/>
        </w:rPr>
        <w:instrText xml:space="preserve"> </w:instrText>
      </w:r>
    </w:p>
    <w:p w14:paraId="487660EA" w14:textId="77777777" w:rsidR="002238BC" w:rsidRPr="002238BC" w:rsidRDefault="002238BC" w:rsidP="002238BC">
      <w:pPr>
        <w:pStyle w:val="Caption"/>
        <w:rPr>
          <w:b w:val="0"/>
          <w:bCs/>
        </w:rPr>
      </w:pPr>
    </w:p>
    <w:p w14:paraId="0070CC59" w14:textId="77777777" w:rsidR="002238BC" w:rsidRPr="002238BC" w:rsidRDefault="002238BC" w:rsidP="002238BC">
      <w:pPr>
        <w:pStyle w:val="Caption"/>
        <w:rPr>
          <w:b w:val="0"/>
          <w:bCs/>
        </w:rPr>
      </w:pPr>
      <w:r w:rsidRPr="002238BC">
        <w:rPr>
          <w:b w:val="0"/>
          <w:bCs/>
        </w:rPr>
        <w:instrText xml:space="preserve"> </w:instrText>
      </w:r>
      <w:r w:rsidRPr="002238BC">
        <w:rPr>
          <w:b w:val="0"/>
          <w:bCs/>
        </w:rPr>
        <w:fldChar w:fldCharType="end"/>
      </w:r>
      <w:bookmarkStart w:id="340" w:name="_Toc107573986"/>
      <w:r w:rsidRPr="002238BC">
        <w:rPr>
          <w:b w:val="0"/>
          <w:bCs/>
        </w:rPr>
        <w:t>Protein evidence of microbial production of lipopolysaccharides (LPS) is found at multiple time points (blue).</w:t>
      </w:r>
      <w:bookmarkEnd w:id="340"/>
    </w:p>
    <w:p w14:paraId="025C35EC" w14:textId="77777777" w:rsidR="002238BC" w:rsidRPr="00476931" w:rsidRDefault="002238BC" w:rsidP="002238BC">
      <w:pPr>
        <w:spacing w:before="1"/>
        <w:rPr>
          <w:rStyle w:val="BodyTextChar"/>
          <w:iCs/>
        </w:rPr>
      </w:pPr>
      <w:r w:rsidRPr="00476931">
        <w:rPr>
          <w:rStyle w:val="BodyTextChar"/>
        </w:rPr>
        <w:br w:type="page"/>
      </w:r>
    </w:p>
    <w:p w14:paraId="0FEC6DC7" w14:textId="77777777" w:rsidR="00A450EA" w:rsidRPr="00476931" w:rsidRDefault="00A450EA" w:rsidP="00A450EA">
      <w:pPr>
        <w:ind w:left="180"/>
        <w:rPr>
          <w:b/>
          <w:bCs/>
          <w:color w:val="000000" w:themeColor="text1"/>
        </w:rPr>
      </w:pPr>
      <w:r w:rsidRPr="00476931">
        <w:rPr>
          <w:color w:val="000000" w:themeColor="text1"/>
        </w:rPr>
        <w:t>In response to microbial proteins, several host proteins related to the initiation of inflammation and the innate immune response were in high abundance in both infants. This indicates a robust host immune response to microbial organisms in both</w:t>
      </w:r>
    </w:p>
    <w:p w14:paraId="5C3C31F9" w14:textId="76220D76" w:rsidR="00784C7B" w:rsidRPr="00476931" w:rsidRDefault="00784C7B" w:rsidP="00AA07DA">
      <w:pPr>
        <w:ind w:left="180" w:firstLine="0"/>
        <w:rPr>
          <w:color w:val="000000" w:themeColor="text1"/>
        </w:rPr>
      </w:pPr>
      <w:r w:rsidRPr="00476931">
        <w:rPr>
          <w:color w:val="000000" w:themeColor="text1"/>
        </w:rPr>
        <w:t>individuals.  A transition from antimicrobial peptide production at early time points to the Toll-like receptor cascade was observed in infant 74.  Adaptive immune response pathways varied across time in infant 06. These infant-specific immune responses mirror the observed infant-specific microbial metabolic processes.</w:t>
      </w:r>
    </w:p>
    <w:p w14:paraId="0C560756" w14:textId="77777777" w:rsidR="00784C7B" w:rsidRPr="00476931" w:rsidRDefault="00784C7B" w:rsidP="00784C7B">
      <w:pPr>
        <w:ind w:left="180"/>
        <w:rPr>
          <w:color w:val="000000" w:themeColor="text1"/>
        </w:rPr>
      </w:pPr>
    </w:p>
    <w:p w14:paraId="5B64149B" w14:textId="03128537" w:rsidR="00784C7B" w:rsidRPr="00476931" w:rsidRDefault="00784C7B" w:rsidP="00784C7B">
      <w:pPr>
        <w:pStyle w:val="Heading4"/>
        <w:ind w:left="180" w:hanging="22"/>
      </w:pPr>
      <w:bookmarkStart w:id="341" w:name="_Toc110250293"/>
      <w:bookmarkStart w:id="342" w:name="_Toc110250550"/>
      <w:bookmarkStart w:id="343" w:name="_Toc110250681"/>
      <w:r w:rsidRPr="00476931">
        <w:t>6.2.2.3  Proteomic analysis of one infant with evidence of Candida parapsilosis colonization</w:t>
      </w:r>
      <w:r w:rsidR="0003562F">
        <w:t>.</w:t>
      </w:r>
      <w:bookmarkEnd w:id="341"/>
      <w:bookmarkEnd w:id="342"/>
      <w:bookmarkEnd w:id="343"/>
    </w:p>
    <w:p w14:paraId="29775826" w14:textId="77777777" w:rsidR="00784C7B" w:rsidRPr="00476931" w:rsidRDefault="00784C7B" w:rsidP="00784C7B">
      <w:pPr>
        <w:ind w:left="180"/>
        <w:rPr>
          <w:color w:val="000000" w:themeColor="text1"/>
        </w:rPr>
      </w:pPr>
    </w:p>
    <w:p w14:paraId="33EA0E19" w14:textId="77777777" w:rsidR="00AA07DA" w:rsidRDefault="00784C7B" w:rsidP="00AA07DA">
      <w:pPr>
        <w:spacing w:before="1"/>
        <w:rPr>
          <w:color w:val="000000" w:themeColor="text1"/>
        </w:rPr>
      </w:pPr>
      <w:r w:rsidRPr="00476931">
        <w:rPr>
          <w:color w:val="000000" w:themeColor="text1"/>
        </w:rPr>
        <w:t xml:space="preserve">Further analysis was conducted for the individual with genomic and proteomic evidence of microeukaryotic colonization of the gut environment.   Infant 06 was diagnosed with a </w:t>
      </w:r>
      <w:r w:rsidRPr="00476931">
        <w:rPr>
          <w:i/>
          <w:iCs/>
          <w:color w:val="000000" w:themeColor="text1"/>
        </w:rPr>
        <w:t>Candida parapsilosis</w:t>
      </w:r>
      <w:r w:rsidRPr="00476931">
        <w:rPr>
          <w:color w:val="000000" w:themeColor="text1"/>
        </w:rPr>
        <w:t xml:space="preserve"> blood infection during hospitalization, and there were several proteins from this organism. detected in the fecal samples collected </w:t>
      </w:r>
      <w:bookmarkStart w:id="344" w:name="_Toc106869123"/>
      <w:bookmarkStart w:id="345" w:name="_Toc107517436"/>
    </w:p>
    <w:p w14:paraId="6F07B2E7" w14:textId="5E5AA3F7" w:rsidR="00AA07DA" w:rsidRDefault="00AA07DA" w:rsidP="00AA07DA">
      <w:pPr>
        <w:ind w:firstLine="0"/>
      </w:pPr>
      <w:r w:rsidRPr="00476931">
        <w:t>from this infant.  Across the entire proteome dataset at all time points collected for this infant, 7063 host and microbial protein groups were quantifiable, with an average of 4872 protein groups at each time point. Among these quantifiable proteins, 5312 human protein groups and 1751 bacterial/microbial proteins were detected in the dataset.</w:t>
      </w:r>
      <w:r w:rsidRPr="00476931">
        <w:rPr>
          <w:b/>
          <w:bCs/>
        </w:rPr>
        <w:t xml:space="preserve"> Figure 6</w:t>
      </w:r>
      <w:r w:rsidR="00697361">
        <w:rPr>
          <w:b/>
          <w:bCs/>
        </w:rPr>
        <w:t>-</w:t>
      </w:r>
      <w:r w:rsidRPr="00476931">
        <w:rPr>
          <w:b/>
          <w:bCs/>
        </w:rPr>
        <w:t>5</w:t>
      </w:r>
      <w:r w:rsidRPr="00476931">
        <w:t xml:space="preserve"> shows the relative abundance of each organism in each sample. The limited amount of fecal material available for metaproteomic sample processing precluded the depletion of human cells before cellular lysis and protein</w:t>
      </w:r>
      <w:r>
        <w:t xml:space="preserve"> </w:t>
      </w:r>
      <w:r w:rsidRPr="00476931">
        <w:t xml:space="preserve">extraction.  Due to the inability to enrich the microbiome fraction before measurement, human proteins constituted more than 90% of the peptide abundance in each sample.  </w:t>
      </w:r>
      <w:r>
        <w:t xml:space="preserve"> </w:t>
      </w:r>
    </w:p>
    <w:p w14:paraId="521CB836" w14:textId="6A313084" w:rsidR="00AA07DA" w:rsidRDefault="00AA07DA" w:rsidP="00AA07DA">
      <w:r w:rsidRPr="00476931">
        <w:t>While this reduces the coverage depth of the microbial membership, it does allow simultaneous examination of both host and microbiome metabolic activities.  Among the microbial proteins, there were 349 </w:t>
      </w:r>
      <w:r w:rsidRPr="00476931">
        <w:rPr>
          <w:rStyle w:val="Emphasis"/>
          <w:color w:val="000000" w:themeColor="text1"/>
        </w:rPr>
        <w:t>C. parapsilosis</w:t>
      </w:r>
      <w:r w:rsidRPr="00476931">
        <w:t> proteins quantified across all samples measured in the dataset, with a minimum of 126 </w:t>
      </w:r>
      <w:r w:rsidRPr="00476931">
        <w:rPr>
          <w:rStyle w:val="Emphasis"/>
          <w:color w:val="000000" w:themeColor="text1"/>
        </w:rPr>
        <w:t>C. parapsilosis</w:t>
      </w:r>
      <w:r w:rsidRPr="00476931">
        <w:t xml:space="preserve"> proteins per sample. The relative protein abundance of this organism was highest in samples collected on day of life 29. While 349 proteins only represent </w:t>
      </w:r>
    </w:p>
    <w:bookmarkEnd w:id="344"/>
    <w:bookmarkEnd w:id="345"/>
    <w:p w14:paraId="37A73CE6" w14:textId="77777777" w:rsidR="002238BC" w:rsidRDefault="002238BC" w:rsidP="00EC3A93">
      <w:pPr>
        <w:spacing w:before="1"/>
        <w:ind w:hanging="68"/>
      </w:pPr>
      <w:r w:rsidRPr="00476931">
        <w:rPr>
          <w:noProof/>
          <w:color w:val="000000" w:themeColor="text1"/>
        </w:rPr>
        <w:drawing>
          <wp:inline distT="0" distB="0" distL="0" distR="0" wp14:anchorId="1EA2E2E1" wp14:editId="69E68792">
            <wp:extent cx="5359400" cy="2872105"/>
            <wp:effectExtent l="0" t="0" r="12700" b="10795"/>
            <wp:docPr id="34" name="Chart 34">
              <a:extLst xmlns:a="http://schemas.openxmlformats.org/drawingml/2006/main">
                <a:ext uri="{FF2B5EF4-FFF2-40B4-BE49-F238E27FC236}">
                  <a16:creationId xmlns:a16="http://schemas.microsoft.com/office/drawing/2014/main" id="{C80E4044-0C72-450F-B476-6A3ED00397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27995D6D" w14:textId="657463D2" w:rsidR="002238BC" w:rsidRPr="002238BC" w:rsidRDefault="002238BC" w:rsidP="002238BC">
      <w:pPr>
        <w:pStyle w:val="Caption"/>
        <w:rPr>
          <w:b w:val="0"/>
          <w:bCs/>
        </w:rPr>
      </w:pPr>
      <w:bookmarkStart w:id="346" w:name="_Toc110246959"/>
      <w:r>
        <w:t xml:space="preserve">Figure </w:t>
      </w:r>
      <w:fldSimple w:instr=" STYLEREF 1 \s ">
        <w:r w:rsidR="00AC2094">
          <w:rPr>
            <w:noProof/>
          </w:rPr>
          <w:t>6</w:t>
        </w:r>
      </w:fldSimple>
      <w:r w:rsidR="00AC2094">
        <w:noBreakHyphen/>
      </w:r>
      <w:fldSimple w:instr=" SEQ Figure \* ARABIC \s 1 ">
        <w:r w:rsidR="00AC2094">
          <w:rPr>
            <w:noProof/>
          </w:rPr>
          <w:t>5</w:t>
        </w:r>
      </w:fldSimple>
      <w:r>
        <w:t xml:space="preserve">  </w:t>
      </w:r>
      <w:r w:rsidRPr="002238BC">
        <w:t>Organismal relative abundance based on summed protein abundances.</w:t>
      </w:r>
      <w:bookmarkEnd w:id="346"/>
      <w:r w:rsidRPr="002238BC">
        <w:t xml:space="preserve">  </w:t>
      </w:r>
      <w:r w:rsidRPr="002238BC">
        <w:rPr>
          <w:b w:val="0"/>
          <w:bCs/>
        </w:rPr>
        <w:fldChar w:fldCharType="begin"/>
      </w:r>
      <w:r w:rsidRPr="002238BC">
        <w:rPr>
          <w:b w:val="0"/>
          <w:bCs/>
        </w:rPr>
        <w:instrText xml:space="preserve"> </w:instrText>
      </w:r>
    </w:p>
    <w:p w14:paraId="7AFEB24D" w14:textId="77777777" w:rsidR="002238BC" w:rsidRPr="002238BC" w:rsidRDefault="002238BC" w:rsidP="002238BC">
      <w:pPr>
        <w:pStyle w:val="Caption"/>
        <w:rPr>
          <w:b w:val="0"/>
          <w:bCs/>
        </w:rPr>
      </w:pPr>
    </w:p>
    <w:p w14:paraId="6E9EA005" w14:textId="7E1D33DA" w:rsidR="002238BC" w:rsidRPr="002238BC" w:rsidRDefault="002238BC" w:rsidP="002238BC">
      <w:pPr>
        <w:pStyle w:val="Caption"/>
        <w:rPr>
          <w:b w:val="0"/>
          <w:bCs/>
        </w:rPr>
      </w:pPr>
      <w:r w:rsidRPr="002238BC">
        <w:rPr>
          <w:b w:val="0"/>
          <w:bCs/>
        </w:rPr>
        <w:instrText xml:space="preserve"> </w:instrText>
      </w:r>
      <w:r w:rsidRPr="002238BC">
        <w:rPr>
          <w:b w:val="0"/>
          <w:bCs/>
        </w:rPr>
        <w:fldChar w:fldCharType="end"/>
      </w:r>
      <w:r w:rsidRPr="002238BC">
        <w:rPr>
          <w:b w:val="0"/>
          <w:bCs/>
        </w:rPr>
        <w:fldChar w:fldCharType="begin"/>
      </w:r>
      <w:r w:rsidRPr="002238BC">
        <w:rPr>
          <w:b w:val="0"/>
          <w:bCs/>
        </w:rPr>
        <w:instrText xml:space="preserve"> </w:instrText>
      </w:r>
    </w:p>
    <w:p w14:paraId="566DC75E" w14:textId="77777777" w:rsidR="002238BC" w:rsidRPr="002238BC" w:rsidRDefault="002238BC" w:rsidP="002238BC">
      <w:pPr>
        <w:pStyle w:val="Caption"/>
        <w:rPr>
          <w:b w:val="0"/>
          <w:bCs/>
        </w:rPr>
      </w:pPr>
    </w:p>
    <w:p w14:paraId="4C863C30" w14:textId="77777777" w:rsidR="002238BC" w:rsidRPr="002238BC" w:rsidRDefault="002238BC" w:rsidP="002238BC">
      <w:pPr>
        <w:pStyle w:val="Caption"/>
        <w:rPr>
          <w:b w:val="0"/>
          <w:bCs/>
        </w:rPr>
      </w:pPr>
      <w:r w:rsidRPr="002238BC">
        <w:rPr>
          <w:b w:val="0"/>
          <w:bCs/>
        </w:rPr>
        <w:instrText xml:space="preserve"> </w:instrText>
      </w:r>
      <w:r w:rsidRPr="002238BC">
        <w:rPr>
          <w:b w:val="0"/>
          <w:bCs/>
        </w:rPr>
        <w:fldChar w:fldCharType="end"/>
      </w:r>
      <w:r w:rsidRPr="002238BC">
        <w:rPr>
          <w:b w:val="0"/>
          <w:bCs/>
        </w:rPr>
        <w:t xml:space="preserve">In addition to highly abundant host proteins, protein evidence </w:t>
      </w:r>
      <w:r w:rsidRPr="00D15746">
        <w:rPr>
          <w:b w:val="0"/>
          <w:bCs/>
          <w:i/>
          <w:iCs w:val="0"/>
        </w:rPr>
        <w:t xml:space="preserve">of C. parapsilosis </w:t>
      </w:r>
      <w:r w:rsidRPr="002238BC">
        <w:rPr>
          <w:b w:val="0"/>
          <w:bCs/>
        </w:rPr>
        <w:t>and bacterial members was detected in all sampling time points.  All members were established by day of life 12 and persisted across time.</w:t>
      </w:r>
    </w:p>
    <w:p w14:paraId="7AE2F3CB" w14:textId="77777777" w:rsidR="002238BC" w:rsidRDefault="002238BC">
      <w:pPr>
        <w:spacing w:before="1"/>
      </w:pPr>
      <w:r>
        <w:br w:type="page"/>
      </w:r>
    </w:p>
    <w:p w14:paraId="1CCB43BF" w14:textId="77777777" w:rsidR="00EC3A93" w:rsidRDefault="00EC3A93" w:rsidP="00EC3A93">
      <w:pPr>
        <w:ind w:firstLine="0"/>
      </w:pPr>
      <w:r w:rsidRPr="00476931">
        <w:t>around 6% of the predicted </w:t>
      </w:r>
      <w:r w:rsidRPr="00476931">
        <w:rPr>
          <w:rStyle w:val="Emphasis"/>
          <w:color w:val="000000" w:themeColor="text1"/>
        </w:rPr>
        <w:t>C. parapsilosis </w:t>
      </w:r>
      <w:r w:rsidRPr="00476931">
        <w:t xml:space="preserve">proteome, there was still ample evidence across time points to observe this organism's establishment and stability across time </w:t>
      </w:r>
    </w:p>
    <w:p w14:paraId="01D0964B" w14:textId="5AEAC05F" w:rsidR="00AA07DA" w:rsidRDefault="00AA07DA" w:rsidP="00AA07DA">
      <w:pPr>
        <w:ind w:firstLine="0"/>
        <w:rPr>
          <w:color w:val="000000" w:themeColor="text1"/>
        </w:rPr>
      </w:pPr>
      <w:r w:rsidRPr="00476931">
        <w:t>and decipher some of the general metabolic activities of the organism in the gut environment.</w:t>
      </w:r>
    </w:p>
    <w:p w14:paraId="6F685C88" w14:textId="77777777" w:rsidR="00784C7B" w:rsidRPr="00476931" w:rsidRDefault="00784C7B" w:rsidP="00784C7B">
      <w:pPr>
        <w:ind w:left="180"/>
        <w:rPr>
          <w:color w:val="000000" w:themeColor="text1"/>
        </w:rPr>
      </w:pPr>
      <w:r w:rsidRPr="00476931">
        <w:rPr>
          <w:color w:val="000000" w:themeColor="text1"/>
        </w:rPr>
        <w:t xml:space="preserve">Among human proteins detected, there was ample evidence of neutrophil degranulation among the human proteins detected, with 324 out of 480 human proteins involved in the neutrophil degranulation pathway quantified across the entire dataset, with an average of 294 proteins detected at each sampling timepoint as annotated in the </w:t>
      </w:r>
      <w:proofErr w:type="spellStart"/>
      <w:r w:rsidRPr="00476931">
        <w:rPr>
          <w:color w:val="000000" w:themeColor="text1"/>
        </w:rPr>
        <w:t>Reactome</w:t>
      </w:r>
      <w:proofErr w:type="spellEnd"/>
      <w:r w:rsidRPr="00476931">
        <w:rPr>
          <w:color w:val="000000" w:themeColor="text1"/>
        </w:rPr>
        <w:t xml:space="preserve"> database. Based on an over-representation analysis, proteins related to neutrophil degranulation were found to be statistically enriched, with proteins detected in all ten of the reactions associated with this pathway.  Taken together, functional information detected in the dataset indicates an active host immune response </w:t>
      </w:r>
      <w:proofErr w:type="gramStart"/>
      <w:r w:rsidRPr="00476931">
        <w:rPr>
          <w:color w:val="000000" w:themeColor="text1"/>
        </w:rPr>
        <w:t>during the course of</w:t>
      </w:r>
      <w:proofErr w:type="gramEnd"/>
      <w:r w:rsidRPr="00476931">
        <w:rPr>
          <w:color w:val="000000" w:themeColor="text1"/>
        </w:rPr>
        <w:t xml:space="preserve"> sample collection. </w:t>
      </w:r>
    </w:p>
    <w:p w14:paraId="7643D6EE" w14:textId="619BCE10" w:rsidR="002238BC" w:rsidRPr="00476931" w:rsidRDefault="00801078" w:rsidP="002238BC">
      <w:pPr>
        <w:ind w:left="180"/>
        <w:rPr>
          <w:color w:val="000000" w:themeColor="text1"/>
        </w:rPr>
      </w:pPr>
      <w:r w:rsidRPr="00476931">
        <w:rPr>
          <w:color w:val="000000" w:themeColor="text1"/>
        </w:rPr>
        <w:t xml:space="preserve">Among microbial proteins, </w:t>
      </w:r>
      <w:r w:rsidRPr="00476931">
        <w:rPr>
          <w:b/>
          <w:bCs/>
          <w:color w:val="000000" w:themeColor="text1"/>
        </w:rPr>
        <w:t>Figure 6</w:t>
      </w:r>
      <w:r w:rsidR="00697361">
        <w:rPr>
          <w:b/>
          <w:bCs/>
          <w:color w:val="000000" w:themeColor="text1"/>
        </w:rPr>
        <w:t>-</w:t>
      </w:r>
      <w:r w:rsidRPr="00476931">
        <w:rPr>
          <w:b/>
          <w:bCs/>
          <w:color w:val="000000" w:themeColor="text1"/>
        </w:rPr>
        <w:t>6</w:t>
      </w:r>
      <w:r w:rsidRPr="00476931">
        <w:rPr>
          <w:color w:val="000000" w:themeColor="text1"/>
        </w:rPr>
        <w:t xml:space="preserve"> shows the metabolic activities of the microbiota across all sampling time points. Pathways containing reactions with</w:t>
      </w:r>
      <w:r w:rsidR="002238BC">
        <w:rPr>
          <w:color w:val="000000" w:themeColor="text1"/>
        </w:rPr>
        <w:t xml:space="preserve"> </w:t>
      </w:r>
      <w:r w:rsidR="002238BC" w:rsidRPr="00476931">
        <w:rPr>
          <w:color w:val="000000" w:themeColor="text1"/>
        </w:rPr>
        <w:t xml:space="preserve">protein evidence from more than one organism are denoted as a shared activity. Pathways that include reactions with associated protein evidence from an individual organism are marked as an organism-specific pathway. As noted in </w:t>
      </w:r>
      <w:r w:rsidR="002238BC" w:rsidRPr="00476931">
        <w:rPr>
          <w:b/>
          <w:bCs/>
          <w:color w:val="000000" w:themeColor="text1"/>
        </w:rPr>
        <w:t>Figure 6</w:t>
      </w:r>
      <w:r w:rsidR="00697361">
        <w:rPr>
          <w:b/>
          <w:bCs/>
          <w:color w:val="000000" w:themeColor="text1"/>
        </w:rPr>
        <w:t>-</w:t>
      </w:r>
      <w:r w:rsidR="002238BC" w:rsidRPr="00476931">
        <w:rPr>
          <w:b/>
          <w:bCs/>
          <w:color w:val="000000" w:themeColor="text1"/>
        </w:rPr>
        <w:t>6</w:t>
      </w:r>
      <w:r w:rsidR="002238BC" w:rsidRPr="00476931">
        <w:rPr>
          <w:color w:val="000000" w:themeColor="text1"/>
        </w:rPr>
        <w:t>, there is detectable evidence of </w:t>
      </w:r>
      <w:r w:rsidR="002238BC" w:rsidRPr="00476931">
        <w:rPr>
          <w:rStyle w:val="Emphasis"/>
          <w:color w:val="000000" w:themeColor="text1"/>
        </w:rPr>
        <w:t>C. parapsilosis </w:t>
      </w:r>
      <w:r w:rsidR="002238BC" w:rsidRPr="00476931">
        <w:rPr>
          <w:color w:val="000000" w:themeColor="text1"/>
        </w:rPr>
        <w:t>core metabolic activities such as glycolysis, the TCA cycle, and organic acid metabolism. Repeated detection of similar abundances of these proteins across the 24-day timespan of collected samples indicates the establishment and stability of</w:t>
      </w:r>
      <w:r w:rsidR="002238BC" w:rsidRPr="00476931">
        <w:rPr>
          <w:rStyle w:val="Emphasis"/>
          <w:color w:val="000000" w:themeColor="text1"/>
        </w:rPr>
        <w:t> C. parapsilosis </w:t>
      </w:r>
      <w:r w:rsidR="002238BC" w:rsidRPr="00476931">
        <w:rPr>
          <w:color w:val="000000" w:themeColor="text1"/>
        </w:rPr>
        <w:t>in the gut environment. Superoxide dismutase and heat shock proteins were among the most abundant</w:t>
      </w:r>
      <w:r w:rsidR="002238BC" w:rsidRPr="00476931">
        <w:rPr>
          <w:rStyle w:val="Emphasis"/>
          <w:color w:val="000000" w:themeColor="text1"/>
        </w:rPr>
        <w:t> C. parapsilosis </w:t>
      </w:r>
      <w:r w:rsidR="002238BC" w:rsidRPr="00476931">
        <w:rPr>
          <w:color w:val="000000" w:themeColor="text1"/>
        </w:rPr>
        <w:t>proteins across all samples, suggesting an active response to oxidative stress. The presence of these proteins indicates </w:t>
      </w:r>
      <w:r w:rsidR="002238BC" w:rsidRPr="00476931">
        <w:rPr>
          <w:rStyle w:val="Emphasis"/>
          <w:color w:val="000000" w:themeColor="text1"/>
        </w:rPr>
        <w:t>C. parapsilosis </w:t>
      </w:r>
      <w:r w:rsidR="002238BC" w:rsidRPr="00476931">
        <w:rPr>
          <w:color w:val="000000" w:themeColor="text1"/>
        </w:rPr>
        <w:t>was actively responding to, and adapting to, environmental stressors. In addition to </w:t>
      </w:r>
      <w:r w:rsidR="002238BC" w:rsidRPr="00476931">
        <w:rPr>
          <w:rStyle w:val="Emphasis"/>
          <w:color w:val="000000" w:themeColor="text1"/>
        </w:rPr>
        <w:t>C. parapsilosis</w:t>
      </w:r>
      <w:r w:rsidR="002238BC" w:rsidRPr="00476931">
        <w:rPr>
          <w:color w:val="000000" w:themeColor="text1"/>
        </w:rPr>
        <w:t> metabolic activities, it is clear based on the protein evidence from participating metabolic reactions that the other microbes were also active within the community.</w:t>
      </w:r>
    </w:p>
    <w:p w14:paraId="74EFDCE1" w14:textId="77777777" w:rsidR="002238BC" w:rsidRDefault="00310878" w:rsidP="002238BC">
      <w:pPr>
        <w:keepNext/>
        <w:shd w:val="clear" w:color="auto" w:fill="FFFFFF"/>
        <w:ind w:hanging="68"/>
        <w:textAlignment w:val="baseline"/>
      </w:pPr>
      <w:r w:rsidRPr="00476931">
        <w:rPr>
          <w:rFonts w:ascii="Times New Roman" w:hAnsi="Times New Roman" w:cs="Times New Roman"/>
          <w:noProof/>
          <w:color w:val="000000" w:themeColor="text1"/>
        </w:rPr>
        <w:drawing>
          <wp:inline distT="0" distB="0" distL="0" distR="0" wp14:anchorId="6853CDC1" wp14:editId="45986CC4">
            <wp:extent cx="5295900" cy="3543935"/>
            <wp:effectExtent l="0" t="0" r="0" b="0"/>
            <wp:docPr id="35" name="Picture 1" descr="Diagram&#10;&#10;Description automatically generated">
              <a:extLst xmlns:a="http://schemas.openxmlformats.org/drawingml/2006/main">
                <a:ext uri="{FF2B5EF4-FFF2-40B4-BE49-F238E27FC236}">
                  <a16:creationId xmlns:a16="http://schemas.microsoft.com/office/drawing/2014/main" id="{CD5CA827-5939-42C9-8087-B786D54988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Diagram&#10;&#10;Description automatically generated">
                      <a:extLst>
                        <a:ext uri="{FF2B5EF4-FFF2-40B4-BE49-F238E27FC236}">
                          <a16:creationId xmlns:a16="http://schemas.microsoft.com/office/drawing/2014/main" id="{CD5CA827-5939-42C9-8087-B786D5498840}"/>
                        </a:ext>
                      </a:extLst>
                    </pic:cNvPr>
                    <pic:cNvPicPr>
                      <a:picLocks noChangeAspect="1"/>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295900" cy="3543935"/>
                    </a:xfrm>
                    <a:prstGeom prst="rect">
                      <a:avLst/>
                    </a:prstGeom>
                  </pic:spPr>
                </pic:pic>
              </a:graphicData>
            </a:graphic>
          </wp:inline>
        </w:drawing>
      </w:r>
    </w:p>
    <w:p w14:paraId="1A992CFA" w14:textId="3ABFB6A5" w:rsidR="002238BC" w:rsidRPr="002238BC" w:rsidRDefault="002238BC" w:rsidP="002238BC">
      <w:pPr>
        <w:pStyle w:val="Caption"/>
        <w:rPr>
          <w:b w:val="0"/>
          <w:bCs/>
        </w:rPr>
      </w:pPr>
      <w:bookmarkStart w:id="347" w:name="_Toc110246960"/>
      <w:r>
        <w:t xml:space="preserve">Figure </w:t>
      </w:r>
      <w:fldSimple w:instr=" STYLEREF 1 \s ">
        <w:r w:rsidR="00AC2094">
          <w:rPr>
            <w:noProof/>
          </w:rPr>
          <w:t>6</w:t>
        </w:r>
      </w:fldSimple>
      <w:r w:rsidR="00AC2094">
        <w:noBreakHyphen/>
      </w:r>
      <w:fldSimple w:instr=" SEQ Figure \* ARABIC \s 1 ">
        <w:r w:rsidR="00AC2094">
          <w:rPr>
            <w:noProof/>
          </w:rPr>
          <w:t>6</w:t>
        </w:r>
      </w:fldSimple>
      <w:r>
        <w:t xml:space="preserve">  </w:t>
      </w:r>
      <w:r w:rsidRPr="002238BC">
        <w:t>Global KEGG map of metabolism.</w:t>
      </w:r>
      <w:bookmarkEnd w:id="347"/>
      <w:r w:rsidRPr="002238BC">
        <w:t xml:space="preserve">  </w:t>
      </w:r>
      <w:r w:rsidRPr="002238BC">
        <w:rPr>
          <w:b w:val="0"/>
          <w:bCs/>
        </w:rPr>
        <w:fldChar w:fldCharType="begin"/>
      </w:r>
      <w:r w:rsidRPr="002238BC">
        <w:rPr>
          <w:b w:val="0"/>
          <w:bCs/>
        </w:rPr>
        <w:instrText xml:space="preserve"> </w:instrText>
      </w:r>
    </w:p>
    <w:p w14:paraId="3E88B287" w14:textId="77777777" w:rsidR="002238BC" w:rsidRPr="002238BC" w:rsidRDefault="002238BC" w:rsidP="002238BC">
      <w:pPr>
        <w:pStyle w:val="Caption"/>
        <w:rPr>
          <w:b w:val="0"/>
          <w:bCs/>
        </w:rPr>
      </w:pPr>
    </w:p>
    <w:p w14:paraId="161B87CE" w14:textId="2EFA82FE" w:rsidR="002238BC" w:rsidRPr="002238BC" w:rsidRDefault="002238BC" w:rsidP="002238BC">
      <w:pPr>
        <w:pStyle w:val="Caption"/>
        <w:rPr>
          <w:b w:val="0"/>
          <w:bCs/>
        </w:rPr>
      </w:pPr>
      <w:r w:rsidRPr="002238BC">
        <w:rPr>
          <w:b w:val="0"/>
          <w:bCs/>
        </w:rPr>
        <w:instrText xml:space="preserve"> </w:instrText>
      </w:r>
      <w:r w:rsidRPr="002238BC">
        <w:rPr>
          <w:b w:val="0"/>
          <w:bCs/>
        </w:rPr>
        <w:fldChar w:fldCharType="end"/>
      </w:r>
      <w:r w:rsidRPr="002238BC">
        <w:rPr>
          <w:b w:val="0"/>
          <w:bCs/>
        </w:rPr>
        <w:fldChar w:fldCharType="begin"/>
      </w:r>
      <w:r w:rsidRPr="002238BC">
        <w:rPr>
          <w:b w:val="0"/>
          <w:bCs/>
        </w:rPr>
        <w:instrText xml:space="preserve"> </w:instrText>
      </w:r>
    </w:p>
    <w:p w14:paraId="3935B1C5" w14:textId="77777777" w:rsidR="002238BC" w:rsidRPr="002238BC" w:rsidRDefault="002238BC" w:rsidP="002238BC">
      <w:pPr>
        <w:pStyle w:val="Caption"/>
        <w:rPr>
          <w:b w:val="0"/>
          <w:bCs/>
        </w:rPr>
      </w:pPr>
    </w:p>
    <w:p w14:paraId="5BF1946D" w14:textId="77777777" w:rsidR="002238BC" w:rsidRPr="002238BC" w:rsidRDefault="002238BC" w:rsidP="002238BC">
      <w:pPr>
        <w:pStyle w:val="Caption"/>
        <w:rPr>
          <w:b w:val="0"/>
          <w:bCs/>
        </w:rPr>
      </w:pPr>
      <w:r w:rsidRPr="002238BC">
        <w:rPr>
          <w:b w:val="0"/>
          <w:bCs/>
        </w:rPr>
        <w:instrText xml:space="preserve"> </w:instrText>
      </w:r>
      <w:r w:rsidRPr="002238BC">
        <w:rPr>
          <w:b w:val="0"/>
          <w:bCs/>
        </w:rPr>
        <w:fldChar w:fldCharType="end"/>
      </w:r>
      <w:r w:rsidRPr="002238BC">
        <w:rPr>
          <w:b w:val="0"/>
          <w:bCs/>
        </w:rPr>
        <w:t xml:space="preserve">Pathways are colored based on the organisms with protein evidence of participation in those pathways—shared metabolism (yellow), </w:t>
      </w:r>
      <w:r w:rsidRPr="00D15746">
        <w:rPr>
          <w:b w:val="0"/>
          <w:bCs/>
          <w:i/>
          <w:iCs w:val="0"/>
        </w:rPr>
        <w:t>C. parapsilosis</w:t>
      </w:r>
      <w:r w:rsidRPr="002238BC">
        <w:rPr>
          <w:b w:val="0"/>
          <w:bCs/>
        </w:rPr>
        <w:t xml:space="preserve"> (red), </w:t>
      </w:r>
      <w:r w:rsidRPr="00D15746">
        <w:rPr>
          <w:b w:val="0"/>
          <w:bCs/>
          <w:i/>
          <w:iCs w:val="0"/>
        </w:rPr>
        <w:t>E. faecalis</w:t>
      </w:r>
      <w:r w:rsidRPr="002238BC">
        <w:rPr>
          <w:b w:val="0"/>
          <w:bCs/>
        </w:rPr>
        <w:t xml:space="preserve"> (blue), </w:t>
      </w:r>
      <w:r w:rsidRPr="00D15746">
        <w:rPr>
          <w:b w:val="0"/>
          <w:bCs/>
          <w:i/>
          <w:iCs w:val="0"/>
        </w:rPr>
        <w:t xml:space="preserve">L. </w:t>
      </w:r>
      <w:proofErr w:type="spellStart"/>
      <w:r w:rsidRPr="00D15746">
        <w:rPr>
          <w:b w:val="0"/>
          <w:bCs/>
          <w:i/>
          <w:iCs w:val="0"/>
        </w:rPr>
        <w:t>gasseri</w:t>
      </w:r>
      <w:proofErr w:type="spellEnd"/>
      <w:r w:rsidRPr="002238BC">
        <w:rPr>
          <w:b w:val="0"/>
          <w:bCs/>
        </w:rPr>
        <w:t xml:space="preserve"> (green), </w:t>
      </w:r>
      <w:r w:rsidRPr="00D15746">
        <w:rPr>
          <w:b w:val="0"/>
          <w:bCs/>
          <w:i/>
          <w:iCs w:val="0"/>
        </w:rPr>
        <w:t>S. epidermidis</w:t>
      </w:r>
      <w:r w:rsidRPr="002238BC">
        <w:rPr>
          <w:b w:val="0"/>
          <w:bCs/>
        </w:rPr>
        <w:t xml:space="preserve"> (purple). Metabolic activities show distinct evidence of taxa-specific functional partitioning between </w:t>
      </w:r>
      <w:r w:rsidRPr="00D15746">
        <w:rPr>
          <w:b w:val="0"/>
          <w:bCs/>
          <w:i/>
          <w:iCs w:val="0"/>
        </w:rPr>
        <w:t xml:space="preserve">C. parapsilosis </w:t>
      </w:r>
      <w:r w:rsidRPr="002238BC">
        <w:rPr>
          <w:b w:val="0"/>
          <w:bCs/>
        </w:rPr>
        <w:t xml:space="preserve">and </w:t>
      </w:r>
      <w:proofErr w:type="gramStart"/>
      <w:r w:rsidRPr="002238BC">
        <w:rPr>
          <w:b w:val="0"/>
          <w:bCs/>
        </w:rPr>
        <w:t>other</w:t>
      </w:r>
      <w:proofErr w:type="gramEnd"/>
      <w:r w:rsidRPr="002238BC">
        <w:rPr>
          <w:b w:val="0"/>
          <w:bCs/>
        </w:rPr>
        <w:t xml:space="preserve"> microbiota.</w:t>
      </w:r>
    </w:p>
    <w:p w14:paraId="256D7C2C" w14:textId="77777777" w:rsidR="00467924" w:rsidRPr="00476931" w:rsidRDefault="00467924">
      <w:pPr>
        <w:spacing w:before="1"/>
        <w:rPr>
          <w:rStyle w:val="BodyTextChar"/>
          <w:iCs/>
        </w:rPr>
      </w:pPr>
      <w:r w:rsidRPr="00476931">
        <w:rPr>
          <w:rStyle w:val="BodyTextChar"/>
        </w:rPr>
        <w:br w:type="page"/>
      </w:r>
    </w:p>
    <w:p w14:paraId="7CA9EFCA" w14:textId="77777777" w:rsidR="00EC3A93" w:rsidRDefault="00EC3A93" w:rsidP="00EC3A93">
      <w:pPr>
        <w:ind w:left="180"/>
        <w:rPr>
          <w:color w:val="000000" w:themeColor="text1"/>
        </w:rPr>
      </w:pPr>
      <w:r w:rsidRPr="00476931">
        <w:rPr>
          <w:color w:val="000000" w:themeColor="text1"/>
        </w:rPr>
        <w:t xml:space="preserve">In summary, segregation of functional activities was observed within the metaproteome of infant 06 between </w:t>
      </w:r>
      <w:r w:rsidRPr="00476931">
        <w:rPr>
          <w:rStyle w:val="Emphasis"/>
          <w:rFonts w:ascii="Times New Roman" w:hAnsi="Times New Roman" w:cs="Times New Roman"/>
          <w:color w:val="000000" w:themeColor="text1"/>
        </w:rPr>
        <w:t>C. parapsilosis</w:t>
      </w:r>
      <w:r w:rsidRPr="00476931">
        <w:rPr>
          <w:color w:val="000000" w:themeColor="text1"/>
        </w:rPr>
        <w:t xml:space="preserve"> and bacterial members of the community. Taxa-specific metabolic partitioning within the metaproteome gives</w:t>
      </w:r>
    </w:p>
    <w:p w14:paraId="307B805D" w14:textId="25C6251C" w:rsidR="002238BC" w:rsidRDefault="002238BC" w:rsidP="002238BC">
      <w:pPr>
        <w:ind w:left="180" w:firstLine="0"/>
        <w:rPr>
          <w:color w:val="000000" w:themeColor="text1"/>
        </w:rPr>
      </w:pPr>
      <w:r w:rsidRPr="00476931">
        <w:rPr>
          <w:color w:val="000000" w:themeColor="text1"/>
        </w:rPr>
        <w:t>insights into cooperation and potential competition between community members. This metaproteome information provides insights into the kingdom-level functional partitioning of the preterm gut microbiome—specifically the functional importance and interactions of microbial eukaryotes within the intestinal microbial community during early life.</w:t>
      </w:r>
    </w:p>
    <w:p w14:paraId="4523CDDE" w14:textId="414B8625" w:rsidR="00310878" w:rsidRPr="006C0007" w:rsidRDefault="00B2219E" w:rsidP="00801078">
      <w:pPr>
        <w:ind w:left="180"/>
        <w:rPr>
          <w:color w:val="000000" w:themeColor="text1"/>
        </w:rPr>
      </w:pPr>
      <w:r>
        <w:rPr>
          <w:color w:val="000000" w:themeColor="text1"/>
        </w:rPr>
        <w:t xml:space="preserve">In addition to the metaproteomics </w:t>
      </w:r>
      <w:r w:rsidR="00FF5E82">
        <w:rPr>
          <w:color w:val="000000" w:themeColor="text1"/>
        </w:rPr>
        <w:t>work presented here, this study</w:t>
      </w:r>
      <w:r w:rsidR="00F36557">
        <w:rPr>
          <w:color w:val="000000" w:themeColor="text1"/>
        </w:rPr>
        <w:t xml:space="preserve"> utilized metagenomics and metatranscriptomics to compare</w:t>
      </w:r>
      <w:r w:rsidR="006C0007">
        <w:rPr>
          <w:color w:val="000000" w:themeColor="text1"/>
        </w:rPr>
        <w:t xml:space="preserve"> </w:t>
      </w:r>
      <w:r w:rsidR="00524612">
        <w:rPr>
          <w:color w:val="000000" w:themeColor="text1"/>
        </w:rPr>
        <w:t xml:space="preserve">five </w:t>
      </w:r>
      <w:r w:rsidR="006C0007">
        <w:rPr>
          <w:color w:val="000000" w:themeColor="text1"/>
        </w:rPr>
        <w:t xml:space="preserve">unique </w:t>
      </w:r>
      <w:r w:rsidR="006C0007" w:rsidRPr="00476931">
        <w:rPr>
          <w:rStyle w:val="Emphasis"/>
          <w:rFonts w:ascii="Times New Roman" w:hAnsi="Times New Roman" w:cs="Times New Roman"/>
          <w:color w:val="000000" w:themeColor="text1"/>
        </w:rPr>
        <w:t>C. parapsilosis</w:t>
      </w:r>
      <w:r w:rsidR="006C0007">
        <w:rPr>
          <w:rStyle w:val="Emphasis"/>
          <w:rFonts w:ascii="Times New Roman" w:hAnsi="Times New Roman" w:cs="Times New Roman"/>
          <w:i w:val="0"/>
          <w:iCs w:val="0"/>
          <w:color w:val="000000" w:themeColor="text1"/>
        </w:rPr>
        <w:t xml:space="preserve"> genomes assembled from preterm infant microbiomes </w:t>
      </w:r>
      <w:r w:rsidR="00835443">
        <w:rPr>
          <w:rStyle w:val="Emphasis"/>
          <w:rFonts w:ascii="Times New Roman" w:hAnsi="Times New Roman" w:cs="Times New Roman"/>
          <w:i w:val="0"/>
          <w:iCs w:val="0"/>
          <w:color w:val="000000" w:themeColor="text1"/>
        </w:rPr>
        <w:t xml:space="preserve">and </w:t>
      </w:r>
      <w:r w:rsidR="008B65B5">
        <w:rPr>
          <w:rStyle w:val="Emphasis"/>
          <w:rFonts w:ascii="Times New Roman" w:hAnsi="Times New Roman" w:cs="Times New Roman"/>
          <w:i w:val="0"/>
          <w:iCs w:val="0"/>
          <w:color w:val="000000" w:themeColor="text1"/>
        </w:rPr>
        <w:t>environmental samples</w:t>
      </w:r>
      <w:r w:rsidR="00130D79">
        <w:rPr>
          <w:rStyle w:val="Emphasis"/>
          <w:rFonts w:ascii="Times New Roman" w:hAnsi="Times New Roman" w:cs="Times New Roman"/>
          <w:i w:val="0"/>
          <w:iCs w:val="0"/>
          <w:color w:val="000000" w:themeColor="text1"/>
        </w:rPr>
        <w:t>.  G</w:t>
      </w:r>
      <w:r w:rsidR="00A85142">
        <w:rPr>
          <w:rStyle w:val="Emphasis"/>
          <w:rFonts w:ascii="Times New Roman" w:hAnsi="Times New Roman" w:cs="Times New Roman"/>
          <w:i w:val="0"/>
          <w:iCs w:val="0"/>
          <w:color w:val="000000" w:themeColor="text1"/>
        </w:rPr>
        <w:t>enome structure</w:t>
      </w:r>
      <w:r w:rsidR="00172021">
        <w:rPr>
          <w:rStyle w:val="Emphasis"/>
          <w:rFonts w:ascii="Times New Roman" w:hAnsi="Times New Roman" w:cs="Times New Roman"/>
          <w:i w:val="0"/>
          <w:iCs w:val="0"/>
          <w:color w:val="000000" w:themeColor="text1"/>
        </w:rPr>
        <w:t>s</w:t>
      </w:r>
      <w:r w:rsidR="00A85142">
        <w:rPr>
          <w:rStyle w:val="Emphasis"/>
          <w:rFonts w:ascii="Times New Roman" w:hAnsi="Times New Roman" w:cs="Times New Roman"/>
          <w:i w:val="0"/>
          <w:iCs w:val="0"/>
          <w:color w:val="000000" w:themeColor="text1"/>
        </w:rPr>
        <w:t>, population diversity,</w:t>
      </w:r>
      <w:r w:rsidR="00172021">
        <w:rPr>
          <w:rStyle w:val="Emphasis"/>
          <w:rFonts w:ascii="Times New Roman" w:hAnsi="Times New Roman" w:cs="Times New Roman"/>
          <w:i w:val="0"/>
          <w:iCs w:val="0"/>
          <w:color w:val="000000" w:themeColor="text1"/>
        </w:rPr>
        <w:t xml:space="preserve"> </w:t>
      </w:r>
      <w:r w:rsidR="00A85142">
        <w:rPr>
          <w:rStyle w:val="Emphasis"/>
          <w:rFonts w:ascii="Times New Roman" w:hAnsi="Times New Roman" w:cs="Times New Roman"/>
          <w:i w:val="0"/>
          <w:iCs w:val="0"/>
          <w:color w:val="000000" w:themeColor="text1"/>
        </w:rPr>
        <w:t xml:space="preserve">and </w:t>
      </w:r>
      <w:r w:rsidR="00A85142" w:rsidRPr="00A85142">
        <w:rPr>
          <w:rStyle w:val="Emphasis"/>
          <w:rFonts w:ascii="Times New Roman" w:hAnsi="Times New Roman" w:cs="Times New Roman"/>
          <w:color w:val="000000" w:themeColor="text1"/>
        </w:rPr>
        <w:t>in situ</w:t>
      </w:r>
      <w:r w:rsidR="00A85142">
        <w:rPr>
          <w:rStyle w:val="Emphasis"/>
          <w:rFonts w:ascii="Times New Roman" w:hAnsi="Times New Roman" w:cs="Times New Roman"/>
          <w:i w:val="0"/>
          <w:iCs w:val="0"/>
          <w:color w:val="000000" w:themeColor="text1"/>
        </w:rPr>
        <w:t xml:space="preserve"> activity relative to </w:t>
      </w:r>
      <w:r w:rsidR="00F36557" w:rsidRPr="00C10341">
        <w:rPr>
          <w:rStyle w:val="Emphasis"/>
          <w:rFonts w:ascii="Times New Roman" w:hAnsi="Times New Roman" w:cs="Times New Roman"/>
          <w:color w:val="000000" w:themeColor="text1"/>
        </w:rPr>
        <w:t xml:space="preserve">C. parapsilosis </w:t>
      </w:r>
      <w:r w:rsidR="00A85142">
        <w:rPr>
          <w:rStyle w:val="Emphasis"/>
          <w:rFonts w:ascii="Times New Roman" w:hAnsi="Times New Roman" w:cs="Times New Roman"/>
          <w:i w:val="0"/>
          <w:iCs w:val="0"/>
          <w:color w:val="000000" w:themeColor="text1"/>
        </w:rPr>
        <w:t>reference strains grown in isolation</w:t>
      </w:r>
      <w:r w:rsidR="00130D79">
        <w:rPr>
          <w:rStyle w:val="Emphasis"/>
          <w:rFonts w:ascii="Times New Roman" w:hAnsi="Times New Roman" w:cs="Times New Roman"/>
          <w:i w:val="0"/>
          <w:iCs w:val="0"/>
          <w:color w:val="000000" w:themeColor="text1"/>
        </w:rPr>
        <w:t xml:space="preserve"> were assessed</w:t>
      </w:r>
      <w:r w:rsidR="00A85142">
        <w:rPr>
          <w:rStyle w:val="Emphasis"/>
          <w:rFonts w:ascii="Times New Roman" w:hAnsi="Times New Roman" w:cs="Times New Roman"/>
          <w:i w:val="0"/>
          <w:iCs w:val="0"/>
          <w:color w:val="000000" w:themeColor="text1"/>
        </w:rPr>
        <w:t xml:space="preserve">. </w:t>
      </w:r>
      <w:r w:rsidR="00C81150" w:rsidRPr="00C81150">
        <w:rPr>
          <w:rFonts w:cstheme="majorHAnsi"/>
          <w:color w:val="333333"/>
          <w:shd w:val="clear" w:color="auto" w:fill="FFFFFF"/>
        </w:rPr>
        <w:t xml:space="preserve">All five </w:t>
      </w:r>
      <w:r w:rsidR="00C81150">
        <w:rPr>
          <w:rFonts w:cstheme="majorHAnsi"/>
          <w:color w:val="333333"/>
          <w:shd w:val="clear" w:color="auto" w:fill="FFFFFF"/>
        </w:rPr>
        <w:t xml:space="preserve">of the assembled </w:t>
      </w:r>
      <w:r w:rsidR="00C81150" w:rsidRPr="00C81150">
        <w:rPr>
          <w:rFonts w:cstheme="majorHAnsi"/>
          <w:color w:val="333333"/>
          <w:shd w:val="clear" w:color="auto" w:fill="FFFFFF"/>
        </w:rPr>
        <w:t>genomes contain</w:t>
      </w:r>
      <w:r w:rsidR="003B6707">
        <w:rPr>
          <w:rFonts w:cstheme="majorHAnsi"/>
          <w:color w:val="333333"/>
          <w:shd w:val="clear" w:color="auto" w:fill="FFFFFF"/>
        </w:rPr>
        <w:t>ed</w:t>
      </w:r>
      <w:r w:rsidR="00C81150" w:rsidRPr="00C81150">
        <w:rPr>
          <w:rFonts w:cstheme="majorHAnsi"/>
          <w:color w:val="333333"/>
          <w:shd w:val="clear" w:color="auto" w:fill="FFFFFF"/>
        </w:rPr>
        <w:t xml:space="preserve"> hotspots of single nucleotide variants</w:t>
      </w:r>
      <w:r w:rsidR="003B6707">
        <w:rPr>
          <w:rFonts w:cstheme="majorHAnsi"/>
          <w:color w:val="333333"/>
          <w:shd w:val="clear" w:color="auto" w:fill="FFFFFF"/>
        </w:rPr>
        <w:t xml:space="preserve"> (SNVs)</w:t>
      </w:r>
      <w:r w:rsidR="00F30380">
        <w:rPr>
          <w:rFonts w:cstheme="majorHAnsi"/>
          <w:color w:val="333333"/>
          <w:shd w:val="clear" w:color="auto" w:fill="FFFFFF"/>
        </w:rPr>
        <w:t xml:space="preserve"> that were </w:t>
      </w:r>
      <w:r w:rsidR="00F30380" w:rsidRPr="00F30380">
        <w:rPr>
          <w:rFonts w:cstheme="majorHAnsi"/>
          <w:color w:val="333333"/>
          <w:shd w:val="clear" w:color="auto" w:fill="FFFFFF"/>
        </w:rPr>
        <w:t>shared by</w:t>
      </w:r>
      <w:r w:rsidR="00C10341" w:rsidRPr="00C10341">
        <w:rPr>
          <w:rStyle w:val="Emphasis"/>
          <w:rFonts w:ascii="Times New Roman" w:hAnsi="Times New Roman" w:cs="Times New Roman"/>
          <w:i w:val="0"/>
          <w:iCs w:val="0"/>
          <w:color w:val="000000" w:themeColor="text1"/>
        </w:rPr>
        <w:t xml:space="preserve"> </w:t>
      </w:r>
      <w:r w:rsidR="00C10341" w:rsidRPr="00C10341">
        <w:rPr>
          <w:rStyle w:val="Emphasis"/>
          <w:rFonts w:ascii="Times New Roman" w:hAnsi="Times New Roman" w:cs="Times New Roman"/>
          <w:color w:val="000000" w:themeColor="text1"/>
        </w:rPr>
        <w:t>C. parapsilosis</w:t>
      </w:r>
      <w:r w:rsidR="00F30380" w:rsidRPr="00F30380">
        <w:rPr>
          <w:rFonts w:cstheme="majorHAnsi"/>
          <w:color w:val="333333"/>
          <w:shd w:val="clear" w:color="auto" w:fill="FFFFFF"/>
        </w:rPr>
        <w:t xml:space="preserve"> strains from multiple hospitals.</w:t>
      </w:r>
      <w:r w:rsidR="00C81150" w:rsidRPr="00C81150">
        <w:rPr>
          <w:rFonts w:cstheme="majorHAnsi"/>
          <w:color w:val="333333"/>
          <w:shd w:val="clear" w:color="auto" w:fill="FFFFFF"/>
        </w:rPr>
        <w:t xml:space="preserve"> Four of the newly reconstructed </w:t>
      </w:r>
      <w:r w:rsidR="00C81150" w:rsidRPr="00C81150">
        <w:rPr>
          <w:rFonts w:cstheme="majorHAnsi"/>
          <w:i/>
          <w:iCs/>
          <w:color w:val="333333"/>
          <w:shd w:val="clear" w:color="auto" w:fill="FFFFFF"/>
        </w:rPr>
        <w:t>C. parapsilosis</w:t>
      </w:r>
      <w:r w:rsidR="00C81150" w:rsidRPr="00C81150">
        <w:rPr>
          <w:rFonts w:cstheme="majorHAnsi"/>
          <w:color w:val="333333"/>
          <w:shd w:val="clear" w:color="auto" w:fill="FFFFFF"/>
        </w:rPr>
        <w:t xml:space="preserve"> genomes have </w:t>
      </w:r>
      <w:r w:rsidR="00D54BB1">
        <w:rPr>
          <w:rFonts w:cstheme="majorHAnsi"/>
          <w:color w:val="333333"/>
          <w:shd w:val="clear" w:color="auto" w:fill="FFFFFF"/>
        </w:rPr>
        <w:t>multiple</w:t>
      </w:r>
      <w:r w:rsidR="00C81150" w:rsidRPr="00C81150">
        <w:rPr>
          <w:rFonts w:cstheme="majorHAnsi"/>
          <w:color w:val="333333"/>
          <w:shd w:val="clear" w:color="auto" w:fill="FFFFFF"/>
        </w:rPr>
        <w:t xml:space="preserve"> copies of the RTA3</w:t>
      </w:r>
      <w:r w:rsidR="00D54BB1">
        <w:rPr>
          <w:rFonts w:cstheme="majorHAnsi"/>
          <w:color w:val="333333"/>
          <w:shd w:val="clear" w:color="auto" w:fill="FFFFFF"/>
        </w:rPr>
        <w:t xml:space="preserve"> gene</w:t>
      </w:r>
      <w:r w:rsidR="00C81150" w:rsidRPr="00C81150">
        <w:rPr>
          <w:rFonts w:cstheme="majorHAnsi"/>
          <w:color w:val="333333"/>
          <w:shd w:val="clear" w:color="auto" w:fill="FFFFFF"/>
        </w:rPr>
        <w:t xml:space="preserve">, which is implicated in antifungal resistance, potentially indicating </w:t>
      </w:r>
      <w:r w:rsidR="009C489A" w:rsidRPr="008920FE">
        <w:rPr>
          <w:rStyle w:val="Emphasis"/>
          <w:rFonts w:ascii="Times New Roman" w:hAnsi="Times New Roman" w:cs="Times New Roman"/>
          <w:color w:val="000000" w:themeColor="text1"/>
        </w:rPr>
        <w:t>C. parapsilosis</w:t>
      </w:r>
      <w:r w:rsidR="009C489A" w:rsidRPr="00643FB7">
        <w:rPr>
          <w:rStyle w:val="Emphasis"/>
          <w:rFonts w:ascii="Times New Roman" w:hAnsi="Times New Roman" w:cs="Times New Roman"/>
          <w:i w:val="0"/>
          <w:iCs w:val="0"/>
          <w:color w:val="000000" w:themeColor="text1"/>
        </w:rPr>
        <w:t xml:space="preserve"> </w:t>
      </w:r>
      <w:r w:rsidR="00C81150" w:rsidRPr="00C81150">
        <w:rPr>
          <w:rFonts w:cstheme="majorHAnsi"/>
          <w:color w:val="333333"/>
          <w:shd w:val="clear" w:color="auto" w:fill="FFFFFF"/>
        </w:rPr>
        <w:t>adaptation to hospital antifungal use.</w:t>
      </w:r>
      <w:r w:rsidR="00C81150" w:rsidRPr="009F6410">
        <w:rPr>
          <w:rStyle w:val="Emphasis"/>
          <w:rFonts w:ascii="Times New Roman" w:hAnsi="Times New Roman" w:cs="Times New Roman"/>
          <w:i w:val="0"/>
          <w:iCs w:val="0"/>
          <w:color w:val="000000" w:themeColor="text1"/>
        </w:rPr>
        <w:t xml:space="preserve"> </w:t>
      </w:r>
      <w:r w:rsidR="00F76054">
        <w:rPr>
          <w:rStyle w:val="Emphasis"/>
          <w:rFonts w:ascii="Times New Roman" w:hAnsi="Times New Roman" w:cs="Times New Roman"/>
          <w:i w:val="0"/>
          <w:iCs w:val="0"/>
          <w:color w:val="000000" w:themeColor="text1"/>
        </w:rPr>
        <w:t xml:space="preserve">Metatranscriptomic </w:t>
      </w:r>
      <w:r w:rsidR="00524612">
        <w:rPr>
          <w:rStyle w:val="Emphasis"/>
          <w:rFonts w:ascii="Times New Roman" w:hAnsi="Times New Roman" w:cs="Times New Roman"/>
          <w:i w:val="0"/>
          <w:iCs w:val="0"/>
          <w:color w:val="000000" w:themeColor="text1"/>
        </w:rPr>
        <w:t>analyses showed that</w:t>
      </w:r>
      <w:r w:rsidR="00524612" w:rsidRPr="00643FB7">
        <w:rPr>
          <w:rStyle w:val="Emphasis"/>
          <w:rFonts w:ascii="Times New Roman" w:hAnsi="Times New Roman" w:cs="Times New Roman"/>
          <w:i w:val="0"/>
          <w:iCs w:val="0"/>
          <w:color w:val="000000" w:themeColor="text1"/>
        </w:rPr>
        <w:t xml:space="preserve"> </w:t>
      </w:r>
      <w:r w:rsidR="00524612" w:rsidRPr="008920FE">
        <w:rPr>
          <w:rStyle w:val="Emphasis"/>
          <w:rFonts w:ascii="Times New Roman" w:hAnsi="Times New Roman" w:cs="Times New Roman"/>
          <w:color w:val="000000" w:themeColor="text1"/>
        </w:rPr>
        <w:t>C. parapsilosis</w:t>
      </w:r>
      <w:r w:rsidR="00524612" w:rsidRPr="00643FB7">
        <w:rPr>
          <w:rStyle w:val="Emphasis"/>
          <w:rFonts w:ascii="Times New Roman" w:hAnsi="Times New Roman" w:cs="Times New Roman"/>
          <w:i w:val="0"/>
          <w:iCs w:val="0"/>
          <w:color w:val="000000" w:themeColor="text1"/>
        </w:rPr>
        <w:t xml:space="preserve"> has a highly distinct profile </w:t>
      </w:r>
      <w:r w:rsidR="00524612" w:rsidRPr="008920FE">
        <w:rPr>
          <w:rStyle w:val="Emphasis"/>
          <w:rFonts w:ascii="Times New Roman" w:hAnsi="Times New Roman" w:cs="Times New Roman"/>
          <w:color w:val="000000" w:themeColor="text1"/>
        </w:rPr>
        <w:t>in situ</w:t>
      </w:r>
      <w:r w:rsidR="00524612" w:rsidRPr="00643FB7">
        <w:rPr>
          <w:rStyle w:val="Emphasis"/>
          <w:rFonts w:ascii="Times New Roman" w:hAnsi="Times New Roman" w:cs="Times New Roman"/>
          <w:i w:val="0"/>
          <w:iCs w:val="0"/>
          <w:color w:val="000000" w:themeColor="text1"/>
        </w:rPr>
        <w:t xml:space="preserve"> vs</w:t>
      </w:r>
      <w:r w:rsidR="00524612">
        <w:rPr>
          <w:rStyle w:val="Emphasis"/>
          <w:rFonts w:ascii="Times New Roman" w:hAnsi="Times New Roman" w:cs="Times New Roman"/>
          <w:i w:val="0"/>
          <w:iCs w:val="0"/>
          <w:color w:val="000000" w:themeColor="text1"/>
        </w:rPr>
        <w:t xml:space="preserve">. </w:t>
      </w:r>
      <w:r w:rsidR="00524612" w:rsidRPr="00643FB7">
        <w:rPr>
          <w:rStyle w:val="Emphasis"/>
          <w:rFonts w:ascii="Times New Roman" w:hAnsi="Times New Roman" w:cs="Times New Roman"/>
          <w:i w:val="0"/>
          <w:iCs w:val="0"/>
          <w:color w:val="000000" w:themeColor="text1"/>
        </w:rPr>
        <w:t xml:space="preserve">in </w:t>
      </w:r>
      <w:r w:rsidR="00524612">
        <w:rPr>
          <w:rStyle w:val="Emphasis"/>
          <w:rFonts w:ascii="Times New Roman" w:hAnsi="Times New Roman" w:cs="Times New Roman"/>
          <w:i w:val="0"/>
          <w:iCs w:val="0"/>
          <w:color w:val="000000" w:themeColor="text1"/>
        </w:rPr>
        <w:t xml:space="preserve">pure </w:t>
      </w:r>
      <w:r w:rsidR="00524612" w:rsidRPr="00643FB7">
        <w:rPr>
          <w:rStyle w:val="Emphasis"/>
          <w:rFonts w:ascii="Times New Roman" w:hAnsi="Times New Roman" w:cs="Times New Roman"/>
          <w:i w:val="0"/>
          <w:iCs w:val="0"/>
          <w:color w:val="000000" w:themeColor="text1"/>
        </w:rPr>
        <w:t>culture.</w:t>
      </w:r>
      <w:r w:rsidR="00524612" w:rsidRPr="009F6410">
        <w:t xml:space="preserve"> </w:t>
      </w:r>
      <w:r w:rsidR="00757250">
        <w:t xml:space="preserve">Specifically, genes related to </w:t>
      </w:r>
      <w:r w:rsidR="00757250" w:rsidRPr="00757250">
        <w:t xml:space="preserve">biofilm formation were relatively less expressed </w:t>
      </w:r>
      <w:r w:rsidR="00757250" w:rsidRPr="00757250">
        <w:rPr>
          <w:i/>
          <w:iCs/>
        </w:rPr>
        <w:t>in situ</w:t>
      </w:r>
      <w:r w:rsidR="00247544">
        <w:t xml:space="preserve"> and </w:t>
      </w:r>
      <w:r w:rsidR="00757250" w:rsidRPr="00757250">
        <w:t xml:space="preserve">genes </w:t>
      </w:r>
      <w:r w:rsidR="00247544">
        <w:t xml:space="preserve">involved </w:t>
      </w:r>
      <w:r w:rsidR="00757250" w:rsidRPr="00757250">
        <w:t xml:space="preserve">oxygen utilization </w:t>
      </w:r>
      <w:r w:rsidR="00247544">
        <w:t>differentially expressed between the two settings</w:t>
      </w:r>
      <w:r w:rsidR="00757250" w:rsidRPr="00757250">
        <w:t>, indicat</w:t>
      </w:r>
      <w:r w:rsidR="00247544">
        <w:t>ing</w:t>
      </w:r>
      <w:r w:rsidR="00757250" w:rsidRPr="00757250">
        <w:t xml:space="preserve"> growth </w:t>
      </w:r>
      <w:r w:rsidR="00A10FC5">
        <w:t xml:space="preserve">adaptations </w:t>
      </w:r>
      <w:r w:rsidR="00757250" w:rsidRPr="00757250">
        <w:t xml:space="preserve">in </w:t>
      </w:r>
      <w:r w:rsidR="00683002">
        <w:t>response to the oxygen availability in the</w:t>
      </w:r>
      <w:r w:rsidR="00757250" w:rsidRPr="00757250">
        <w:t xml:space="preserve"> environment</w:t>
      </w:r>
      <w:r w:rsidR="00A10FC5">
        <w:t>.</w:t>
      </w:r>
      <w:r w:rsidR="00757250" w:rsidRPr="00757250">
        <w:rPr>
          <w:rStyle w:val="Emphasis"/>
          <w:i w:val="0"/>
          <w:iCs w:val="0"/>
        </w:rPr>
        <w:t xml:space="preserve"> </w:t>
      </w:r>
      <w:r w:rsidR="009F6410" w:rsidRPr="009F6410">
        <w:rPr>
          <w:rStyle w:val="Emphasis"/>
          <w:rFonts w:ascii="Times New Roman" w:hAnsi="Times New Roman" w:cs="Times New Roman"/>
          <w:i w:val="0"/>
          <w:iCs w:val="0"/>
          <w:color w:val="000000" w:themeColor="text1"/>
        </w:rPr>
        <w:t xml:space="preserve">Overall, </w:t>
      </w:r>
      <w:r w:rsidR="009C489A">
        <w:rPr>
          <w:rStyle w:val="Emphasis"/>
          <w:rFonts w:ascii="Times New Roman" w:hAnsi="Times New Roman" w:cs="Times New Roman"/>
          <w:i w:val="0"/>
          <w:iCs w:val="0"/>
          <w:color w:val="000000" w:themeColor="text1"/>
        </w:rPr>
        <w:t>the</w:t>
      </w:r>
      <w:r w:rsidR="00683002">
        <w:rPr>
          <w:rStyle w:val="Emphasis"/>
          <w:rFonts w:ascii="Times New Roman" w:hAnsi="Times New Roman" w:cs="Times New Roman"/>
          <w:i w:val="0"/>
          <w:iCs w:val="0"/>
          <w:color w:val="000000" w:themeColor="text1"/>
        </w:rPr>
        <w:t>se</w:t>
      </w:r>
      <w:r w:rsidR="009C489A">
        <w:rPr>
          <w:rStyle w:val="Emphasis"/>
          <w:rFonts w:ascii="Times New Roman" w:hAnsi="Times New Roman" w:cs="Times New Roman"/>
          <w:i w:val="0"/>
          <w:iCs w:val="0"/>
          <w:color w:val="000000" w:themeColor="text1"/>
        </w:rPr>
        <w:t xml:space="preserve"> multi-</w:t>
      </w:r>
      <w:r w:rsidR="00683002">
        <w:rPr>
          <w:rStyle w:val="Emphasis"/>
          <w:rFonts w:ascii="Times New Roman" w:hAnsi="Times New Roman" w:cs="Times New Roman"/>
          <w:i w:val="0"/>
          <w:iCs w:val="0"/>
          <w:color w:val="000000" w:themeColor="text1"/>
        </w:rPr>
        <w:t>omics</w:t>
      </w:r>
      <w:r w:rsidR="009C489A">
        <w:rPr>
          <w:rStyle w:val="Emphasis"/>
          <w:rFonts w:ascii="Times New Roman" w:hAnsi="Times New Roman" w:cs="Times New Roman"/>
          <w:i w:val="0"/>
          <w:iCs w:val="0"/>
          <w:color w:val="000000" w:themeColor="text1"/>
        </w:rPr>
        <w:t xml:space="preserve"> results </w:t>
      </w:r>
      <w:r w:rsidR="009F6410" w:rsidRPr="009F6410">
        <w:rPr>
          <w:rStyle w:val="Emphasis"/>
          <w:rFonts w:ascii="Times New Roman" w:hAnsi="Times New Roman" w:cs="Times New Roman"/>
          <w:i w:val="0"/>
          <w:iCs w:val="0"/>
          <w:color w:val="000000" w:themeColor="text1"/>
        </w:rPr>
        <w:t xml:space="preserve">demonstrate that </w:t>
      </w:r>
      <w:r w:rsidR="009F6410" w:rsidRPr="0002174F">
        <w:rPr>
          <w:rStyle w:val="Emphasis"/>
          <w:rFonts w:ascii="Times New Roman" w:hAnsi="Times New Roman" w:cs="Times New Roman"/>
          <w:color w:val="000000" w:themeColor="text1"/>
        </w:rPr>
        <w:t>in situ</w:t>
      </w:r>
      <w:r w:rsidR="009F6410" w:rsidRPr="009F6410">
        <w:rPr>
          <w:rStyle w:val="Emphasis"/>
          <w:rFonts w:ascii="Times New Roman" w:hAnsi="Times New Roman" w:cs="Times New Roman"/>
          <w:i w:val="0"/>
          <w:iCs w:val="0"/>
          <w:color w:val="000000" w:themeColor="text1"/>
        </w:rPr>
        <w:t xml:space="preserve"> study of </w:t>
      </w:r>
      <w:r w:rsidR="009F6410" w:rsidRPr="0002174F">
        <w:rPr>
          <w:rStyle w:val="Emphasis"/>
          <w:rFonts w:ascii="Times New Roman" w:hAnsi="Times New Roman" w:cs="Times New Roman"/>
          <w:color w:val="000000" w:themeColor="text1"/>
        </w:rPr>
        <w:t>C. parapsilosis</w:t>
      </w:r>
      <w:r w:rsidR="009F6410" w:rsidRPr="009F6410">
        <w:rPr>
          <w:rStyle w:val="Emphasis"/>
          <w:rFonts w:ascii="Times New Roman" w:hAnsi="Times New Roman" w:cs="Times New Roman"/>
          <w:i w:val="0"/>
          <w:iCs w:val="0"/>
          <w:color w:val="000000" w:themeColor="text1"/>
        </w:rPr>
        <w:t xml:space="preserve"> and other </w:t>
      </w:r>
      <w:r w:rsidR="0002174F">
        <w:rPr>
          <w:rStyle w:val="Emphasis"/>
          <w:rFonts w:ascii="Times New Roman" w:hAnsi="Times New Roman" w:cs="Times New Roman"/>
          <w:i w:val="0"/>
          <w:iCs w:val="0"/>
          <w:color w:val="000000" w:themeColor="text1"/>
        </w:rPr>
        <w:t>microeukaryotes</w:t>
      </w:r>
      <w:r w:rsidR="009F6410" w:rsidRPr="009F6410">
        <w:rPr>
          <w:rStyle w:val="Emphasis"/>
          <w:rFonts w:ascii="Times New Roman" w:hAnsi="Times New Roman" w:cs="Times New Roman"/>
          <w:i w:val="0"/>
          <w:iCs w:val="0"/>
          <w:color w:val="000000" w:themeColor="text1"/>
        </w:rPr>
        <w:t xml:space="preserve"> is necessary for a more holistic understanding of their biology</w:t>
      </w:r>
      <w:r w:rsidR="0002174F">
        <w:rPr>
          <w:rStyle w:val="Emphasis"/>
          <w:rFonts w:ascii="Times New Roman" w:hAnsi="Times New Roman" w:cs="Times New Roman"/>
          <w:i w:val="0"/>
          <w:iCs w:val="0"/>
          <w:color w:val="000000" w:themeColor="text1"/>
        </w:rPr>
        <w:t xml:space="preserve"> in a community context.</w:t>
      </w:r>
    </w:p>
    <w:p w14:paraId="099D9DA3" w14:textId="77777777" w:rsidR="00310878" w:rsidRPr="00476931" w:rsidRDefault="00310878" w:rsidP="00343C78">
      <w:pPr>
        <w:rPr>
          <w:rFonts w:ascii="Times New Roman" w:eastAsia="Times New Roman" w:hAnsi="Times New Roman" w:cs="Times New Roman"/>
          <w:b/>
          <w:color w:val="000000" w:themeColor="text1"/>
          <w:shd w:val="clear" w:color="auto" w:fill="FFFFFF"/>
        </w:rPr>
      </w:pPr>
    </w:p>
    <w:p w14:paraId="7EB51D79" w14:textId="7A922695" w:rsidR="00310878" w:rsidRPr="00476931" w:rsidRDefault="00467924" w:rsidP="00081E67">
      <w:pPr>
        <w:pStyle w:val="Heading3"/>
        <w:rPr>
          <w:rFonts w:eastAsia="Times New Roman"/>
          <w:shd w:val="clear" w:color="auto" w:fill="FFFFFF"/>
        </w:rPr>
      </w:pPr>
      <w:bookmarkStart w:id="348" w:name="_Toc110250294"/>
      <w:bookmarkStart w:id="349" w:name="_Toc110250551"/>
      <w:bookmarkStart w:id="350" w:name="_Toc110250682"/>
      <w:r w:rsidRPr="00476931">
        <w:rPr>
          <w:rFonts w:eastAsia="Times New Roman"/>
          <w:shd w:val="clear" w:color="auto" w:fill="FFFFFF"/>
        </w:rPr>
        <w:t>6.</w:t>
      </w:r>
      <w:r w:rsidR="007E65A0" w:rsidRPr="00476931">
        <w:rPr>
          <w:rFonts w:eastAsia="Times New Roman"/>
          <w:shd w:val="clear" w:color="auto" w:fill="FFFFFF"/>
        </w:rPr>
        <w:t>2.3</w:t>
      </w:r>
      <w:r w:rsidRPr="00476931">
        <w:rPr>
          <w:rFonts w:eastAsia="Times New Roman"/>
          <w:shd w:val="clear" w:color="auto" w:fill="FFFFFF"/>
        </w:rPr>
        <w:t xml:space="preserve">  </w:t>
      </w:r>
      <w:r w:rsidR="00310878" w:rsidRPr="00476931">
        <w:rPr>
          <w:rFonts w:eastAsia="Times New Roman"/>
          <w:shd w:val="clear" w:color="auto" w:fill="FFFFFF"/>
        </w:rPr>
        <w:t>Methods</w:t>
      </w:r>
      <w:r w:rsidR="0003562F">
        <w:rPr>
          <w:rFonts w:eastAsia="Times New Roman"/>
          <w:shd w:val="clear" w:color="auto" w:fill="FFFFFF"/>
        </w:rPr>
        <w:t>.</w:t>
      </w:r>
      <w:bookmarkEnd w:id="348"/>
      <w:bookmarkEnd w:id="349"/>
      <w:bookmarkEnd w:id="350"/>
    </w:p>
    <w:p w14:paraId="632D49EF" w14:textId="77777777" w:rsidR="00467924" w:rsidRPr="00476931" w:rsidRDefault="00467924" w:rsidP="00467924">
      <w:pPr>
        <w:rPr>
          <w:color w:val="000000" w:themeColor="text1"/>
        </w:rPr>
      </w:pPr>
    </w:p>
    <w:p w14:paraId="0538B20F" w14:textId="77777777" w:rsidR="00310878" w:rsidRPr="00476931" w:rsidRDefault="00310878" w:rsidP="00467924">
      <w:pPr>
        <w:rPr>
          <w:color w:val="000000" w:themeColor="text1"/>
        </w:rPr>
      </w:pPr>
      <w:r w:rsidRPr="00476931">
        <w:rPr>
          <w:color w:val="000000" w:themeColor="text1"/>
        </w:rPr>
        <w:t xml:space="preserve">Longitudinal fecal samples collected from two preterm infants that had clinical isolation of </w:t>
      </w:r>
      <w:r w:rsidRPr="00F30BBE">
        <w:rPr>
          <w:i/>
          <w:iCs/>
          <w:color w:val="000000" w:themeColor="text1"/>
        </w:rPr>
        <w:t>Candida</w:t>
      </w:r>
      <w:r w:rsidRPr="00F30BBE">
        <w:rPr>
          <w:i/>
          <w:iCs/>
          <w:color w:val="000000" w:themeColor="text1"/>
          <w:shd w:val="clear" w:color="auto" w:fill="FFFFFF"/>
        </w:rPr>
        <w:t xml:space="preserve"> </w:t>
      </w:r>
      <w:r w:rsidRPr="00F30BBE">
        <w:rPr>
          <w:i/>
          <w:iCs/>
          <w:color w:val="000000" w:themeColor="text1"/>
        </w:rPr>
        <w:t>parapsilosis</w:t>
      </w:r>
      <w:r w:rsidRPr="00476931">
        <w:rPr>
          <w:color w:val="000000" w:themeColor="text1"/>
        </w:rPr>
        <w:t> in blood or urine samples were analyzed using metagenomic sequencing and metaproteomic measurements.  Untargeted DNA shotgun sequencing was performed in technical replicate for matching samples for all time points analyzed by MS.  Metagenomic sequencing reads were assembled and binned to generate genomic representations of the bacteria and eukaryotes present.  For the generation of the proteomic datasets, lysates were prepared from ~ 50 mg of fecal material by bead beating in SDS buffer (4% SDS, 100 mM Tris-HCl, pH 8.0) using 0.15–mm diameter zirconium oxide beads. Cell debris was cleared by centrifugation (21,000×</w:t>
      </w:r>
      <w:r w:rsidRPr="00476931">
        <w:rPr>
          <w:iCs/>
          <w:color w:val="000000" w:themeColor="text1"/>
        </w:rPr>
        <w:t>g</w:t>
      </w:r>
      <w:r w:rsidRPr="00476931">
        <w:rPr>
          <w:color w:val="000000" w:themeColor="text1"/>
        </w:rPr>
        <w:t> for 10 min). Pre-cleared protein lysates were adjusted to 25 mM dithiothreitol and incubated at 85 °C for 10 min to further denature proteins and reduce disulfide bonds. Cysteine residues were alkylated with 75 mM iodoacetamide, followed by a 20-min incubation at room temperature in the dark. After incubation, proteins were isolated by chloroform-methanol extraction. Protein pellets were washed with methanol, air-dried, and resolubilized in 4% sodium deoxycholate (SDC) in 100 mM ammonium bicarbonate (ABC) buffer, pH 8.0. Protein samples were quantified by BCA assay (Pierce) and transferred to a 10-kDa MWCO spin filter (</w:t>
      </w:r>
      <w:proofErr w:type="spellStart"/>
      <w:r w:rsidRPr="00476931">
        <w:rPr>
          <w:color w:val="000000" w:themeColor="text1"/>
        </w:rPr>
        <w:t>Vivaspin</w:t>
      </w:r>
      <w:proofErr w:type="spellEnd"/>
      <w:r w:rsidRPr="00476931">
        <w:rPr>
          <w:color w:val="000000" w:themeColor="text1"/>
        </w:rPr>
        <w:t xml:space="preserve"> 500; Sartorius) before centrifugation at 12,000×</w:t>
      </w:r>
      <w:r w:rsidRPr="00476931">
        <w:rPr>
          <w:iCs/>
          <w:color w:val="000000" w:themeColor="text1"/>
        </w:rPr>
        <w:t>g</w:t>
      </w:r>
      <w:r w:rsidRPr="00476931">
        <w:rPr>
          <w:color w:val="000000" w:themeColor="text1"/>
        </w:rPr>
        <w:t> to collect denatured and reduced proteins atop the filter membrane. The concentrated proteins were washed with 100 mM ABC (2× the initial sample volume) followed by centrifugation. Proteins were resuspended in a 1× volume of ABC before proteolytic digestion. Protein samples were digested in situ using sequencing-grade trypsin (G-Biosciences) at a 1:75 (</w:t>
      </w:r>
      <w:proofErr w:type="spellStart"/>
      <w:r w:rsidRPr="00476931">
        <w:rPr>
          <w:color w:val="000000" w:themeColor="text1"/>
        </w:rPr>
        <w:t>wt</w:t>
      </w:r>
      <w:proofErr w:type="spellEnd"/>
      <w:r w:rsidRPr="00476931">
        <w:rPr>
          <w:color w:val="000000" w:themeColor="text1"/>
        </w:rPr>
        <w:t>/</w:t>
      </w:r>
      <w:proofErr w:type="spellStart"/>
      <w:r w:rsidRPr="00476931">
        <w:rPr>
          <w:color w:val="000000" w:themeColor="text1"/>
        </w:rPr>
        <w:t>wt</w:t>
      </w:r>
      <w:proofErr w:type="spellEnd"/>
      <w:r w:rsidRPr="00476931">
        <w:rPr>
          <w:color w:val="000000" w:themeColor="text1"/>
        </w:rPr>
        <w:t>) ratio and incubated at 37 °C overnight. Samples were diluted with a 1× volume of 100 mM ABC, supplied with another 1:75 (</w:t>
      </w:r>
      <w:proofErr w:type="spellStart"/>
      <w:r w:rsidRPr="00476931">
        <w:rPr>
          <w:color w:val="000000" w:themeColor="text1"/>
        </w:rPr>
        <w:t>wt</w:t>
      </w:r>
      <w:proofErr w:type="spellEnd"/>
      <w:r w:rsidRPr="00476931">
        <w:rPr>
          <w:color w:val="000000" w:themeColor="text1"/>
        </w:rPr>
        <w:t>/</w:t>
      </w:r>
      <w:proofErr w:type="spellStart"/>
      <w:r w:rsidRPr="00476931">
        <w:rPr>
          <w:color w:val="000000" w:themeColor="text1"/>
        </w:rPr>
        <w:t>wt</w:t>
      </w:r>
      <w:proofErr w:type="spellEnd"/>
      <w:r w:rsidRPr="00476931">
        <w:rPr>
          <w:color w:val="000000" w:themeColor="text1"/>
        </w:rPr>
        <w:t xml:space="preserve">) aliquot of trypsin, and incubated at 37 °C for an additional 3 h. Tryptic peptides were then spin-filtered through the MWCO membrane and acidified to 1% formic acid to precipitate the residual SDC. The SDC precipitate was removed from the peptide solution with water-saturated ethyl acetate extraction. Samples were concentrated via </w:t>
      </w:r>
      <w:proofErr w:type="spellStart"/>
      <w:r w:rsidRPr="00476931">
        <w:rPr>
          <w:color w:val="000000" w:themeColor="text1"/>
        </w:rPr>
        <w:t>SpeedVac</w:t>
      </w:r>
      <w:proofErr w:type="spellEnd"/>
      <w:r w:rsidRPr="00476931">
        <w:rPr>
          <w:color w:val="000000" w:themeColor="text1"/>
        </w:rPr>
        <w:t xml:space="preserve"> (</w:t>
      </w:r>
      <w:proofErr w:type="spellStart"/>
      <w:r w:rsidRPr="00476931">
        <w:rPr>
          <w:color w:val="000000" w:themeColor="text1"/>
        </w:rPr>
        <w:t>Thermo</w:t>
      </w:r>
      <w:proofErr w:type="spellEnd"/>
      <w:r w:rsidRPr="00476931">
        <w:rPr>
          <w:color w:val="000000" w:themeColor="text1"/>
        </w:rPr>
        <w:t xml:space="preserve"> Fisher), and peptides were quantified by BCA assay (Pierce) before LC-MS/MS analysis.</w:t>
      </w:r>
    </w:p>
    <w:p w14:paraId="6B1389BE" w14:textId="77777777" w:rsidR="00310878" w:rsidRPr="00476931" w:rsidRDefault="00310878" w:rsidP="00467924">
      <w:pPr>
        <w:rPr>
          <w:color w:val="000000" w:themeColor="text1"/>
        </w:rPr>
      </w:pPr>
      <w:r w:rsidRPr="00476931">
        <w:rPr>
          <w:color w:val="000000" w:themeColor="text1"/>
        </w:rPr>
        <w:t>Twelve micrograms of each peptide sample were analyzed by automated 2D LC-MS/MS using a Vanquish UHPLC with an autosampler plumbed directly in line with a Q Exactive Plus mass spectrometer (</w:t>
      </w:r>
      <w:proofErr w:type="spellStart"/>
      <w:r w:rsidRPr="00476931">
        <w:rPr>
          <w:color w:val="000000" w:themeColor="text1"/>
        </w:rPr>
        <w:t>Thermo</w:t>
      </w:r>
      <w:proofErr w:type="spellEnd"/>
      <w:r w:rsidRPr="00476931">
        <w:rPr>
          <w:color w:val="000000" w:themeColor="text1"/>
        </w:rPr>
        <w:t xml:space="preserve"> Scientific). A 100-μm inner diameter (ID) triphasic back column [RP-SCX-RP; reversed-phase (5 </w:t>
      </w:r>
      <w:proofErr w:type="spellStart"/>
      <w:r w:rsidRPr="00476931">
        <w:rPr>
          <w:color w:val="000000" w:themeColor="text1"/>
        </w:rPr>
        <w:t>μm</w:t>
      </w:r>
      <w:proofErr w:type="spellEnd"/>
      <w:r w:rsidRPr="00476931">
        <w:rPr>
          <w:color w:val="000000" w:themeColor="text1"/>
        </w:rPr>
        <w:t xml:space="preserve"> Kinetex C18) and strong-cation exchange (5 </w:t>
      </w:r>
      <w:proofErr w:type="spellStart"/>
      <w:r w:rsidRPr="00476931">
        <w:rPr>
          <w:color w:val="000000" w:themeColor="text1"/>
        </w:rPr>
        <w:t>μm</w:t>
      </w:r>
      <w:proofErr w:type="spellEnd"/>
      <w:r w:rsidRPr="00476931">
        <w:rPr>
          <w:color w:val="000000" w:themeColor="text1"/>
        </w:rPr>
        <w:t xml:space="preserve"> Luna SCX) chromatographic resins; Phenomenex] was coupled to an in-house pulled, 75 </w:t>
      </w:r>
      <w:proofErr w:type="spellStart"/>
      <w:r w:rsidRPr="00476931">
        <w:rPr>
          <w:color w:val="000000" w:themeColor="text1"/>
        </w:rPr>
        <w:t>μm</w:t>
      </w:r>
      <w:proofErr w:type="spellEnd"/>
      <w:r w:rsidRPr="00476931">
        <w:rPr>
          <w:color w:val="000000" w:themeColor="text1"/>
        </w:rPr>
        <w:t xml:space="preserve"> ID nanospray emitter packed with 30 cm Kinetex C18 resin. Peptides were autoloaded, desalted, separated, and analyzed across four successive salt cuts of ammonium acetate (35, 50, 100, and 500 mM), each followed by a 105-min organic gradient. Mass spectra were acquired in a data-dependent mode with the following parameters: a mass range of 400 to 1500 m/z; MS and MS/MS resolution of 35 K and 17.5 K, respectively; isolation window = 2.2 m/z with a 0.5-m/z isolation offset; unassigned charges and charge states of + 1, + 5, + 6, + 7, and + 8 were excluded; dynamic exclusion was enabled with a mass exclusion window of 10 ppm and an exclusion duration of 45 s.</w:t>
      </w:r>
    </w:p>
    <w:p w14:paraId="679822E0" w14:textId="600AD5AE" w:rsidR="00310878" w:rsidRPr="00476931" w:rsidRDefault="00310878" w:rsidP="00467924">
      <w:pPr>
        <w:rPr>
          <w:color w:val="000000" w:themeColor="text1"/>
        </w:rPr>
      </w:pPr>
      <w:r w:rsidRPr="00476931">
        <w:rPr>
          <w:color w:val="000000" w:themeColor="text1"/>
        </w:rPr>
        <w:t>MS/MS spectra were searched against custom-built databases composed of the concatenated sequenced metagenome-derived predicted proteomes from all time-points, the human reference proteome from UniProt, common protein contaminants, and reversed-decoy sequences using Proteome Discover 2.2 (</w:t>
      </w:r>
      <w:proofErr w:type="spellStart"/>
      <w:r w:rsidRPr="00476931">
        <w:rPr>
          <w:color w:val="000000" w:themeColor="text1"/>
        </w:rPr>
        <w:t>Thermo</w:t>
      </w:r>
      <w:proofErr w:type="spellEnd"/>
      <w:r w:rsidRPr="00476931">
        <w:rPr>
          <w:color w:val="000000" w:themeColor="text1"/>
        </w:rPr>
        <w:t xml:space="preserve"> Scientific), employing the CharmeRT workflow, with second search parameters turned off</w:t>
      </w:r>
      <w:sdt>
        <w:sdtPr>
          <w:rPr>
            <w:color w:val="000000"/>
            <w:vertAlign w:val="superscript"/>
          </w:rPr>
          <w:tag w:val="MENDELEY_CITATION_v3_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"/>
          <w:id w:val="1345597182"/>
          <w:placeholder>
            <w:docPart w:val="041751536CA6964C804BF226843AFE5F"/>
          </w:placeholder>
        </w:sdtPr>
        <w:sdtEndPr/>
        <w:sdtContent>
          <w:r w:rsidR="003204EA" w:rsidRPr="003204EA">
            <w:rPr>
              <w:rFonts w:eastAsia="Times New Roman"/>
              <w:color w:val="000000"/>
              <w:vertAlign w:val="superscript"/>
            </w:rPr>
            <w:t>142</w:t>
          </w:r>
        </w:sdtContent>
      </w:sdt>
      <w:r w:rsidRPr="00476931">
        <w:rPr>
          <w:color w:val="000000" w:themeColor="text1"/>
        </w:rPr>
        <w:t>. Peptide spectrum matches (PSMs) were required to be fully tryptic with two miscleavages, a static modification of 57.0214 Da on cysteine (carbamidomethylated) residues, and a dynamic modification of 15.9949 Da on methionine (oxidized) residues. False-discovery rates (FDRs), as assessed by matches to decoy sequences, were initially controlled at 1% at the peptide level. To alleviate the ambiguity associated with shared peptides, proteins were clustered into protein groups by 100% identity for microbial proteins and 90% amino acid sequence identity for human proteins using USEARCH</w:t>
      </w:r>
      <w:sdt>
        <w:sdtPr>
          <w:rPr>
            <w:color w:val="000000"/>
            <w:vertAlign w:val="superscript"/>
          </w:rPr>
          <w:tag w:val="MENDELEY_CITATION_v3_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"/>
          <w:id w:val="675697214"/>
          <w:placeholder>
            <w:docPart w:val="041751536CA6964C804BF226843AFE5F"/>
          </w:placeholder>
        </w:sdtPr>
        <w:sdtEndPr/>
        <w:sdtContent>
          <w:r w:rsidR="003204EA" w:rsidRPr="003204EA">
            <w:rPr>
              <w:rFonts w:eastAsia="Times New Roman"/>
              <w:color w:val="000000"/>
              <w:vertAlign w:val="superscript"/>
            </w:rPr>
            <w:t>173</w:t>
          </w:r>
        </w:sdtContent>
      </w:sdt>
      <w:r w:rsidRPr="00476931">
        <w:rPr>
          <w:color w:val="000000" w:themeColor="text1"/>
        </w:rPr>
        <w:t>. FDR-controlled peptides were then quantified according to the chromatographic area under the curve (AUC) and mapped to their respective proteins. Peptide intensities were summed to estimate protein-level abundance based on peptides that uniquely mapped to one protein group. Protein abundance distributions were then normalized across samples using InfernoRDN</w:t>
      </w:r>
      <w:sdt>
        <w:sdtPr>
          <w:rPr>
            <w:color w:val="000000"/>
            <w:vertAlign w:val="superscript"/>
          </w:rPr>
          <w:tag w:val="MENDELEY_CITATION_v3_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"/>
          <w:id w:val="-1737704109"/>
          <w:placeholder>
            <w:docPart w:val="041751536CA6964C804BF226843AFE5F"/>
          </w:placeholder>
        </w:sdtPr>
        <w:sdtEndPr/>
        <w:sdtContent>
          <w:r w:rsidR="003204EA" w:rsidRPr="003204EA">
            <w:rPr>
              <w:rFonts w:eastAsia="Times New Roman"/>
              <w:color w:val="000000"/>
              <w:vertAlign w:val="superscript"/>
            </w:rPr>
            <w:t>181</w:t>
          </w:r>
        </w:sdtContent>
      </w:sdt>
      <w:r w:rsidRPr="00476931">
        <w:rPr>
          <w:color w:val="000000" w:themeColor="text1"/>
        </w:rPr>
        <w:t>, and missing values were imputed to simulate the mass spectrometer’s limit of detection using Perseus</w:t>
      </w:r>
      <w:sdt>
        <w:sdtPr>
          <w:rPr>
            <w:color w:val="000000"/>
            <w:vertAlign w:val="superscript"/>
          </w:rPr>
          <w:tag w:val="MENDELEY_CITATION_v3_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"/>
          <w:id w:val="-223213044"/>
          <w:placeholder>
            <w:docPart w:val="041751536CA6964C804BF226843AFE5F"/>
          </w:placeholder>
        </w:sdtPr>
        <w:sdtEndPr/>
        <w:sdtContent>
          <w:r w:rsidR="003204EA" w:rsidRPr="003204EA">
            <w:rPr>
              <w:rFonts w:eastAsia="Times New Roman"/>
              <w:color w:val="000000"/>
              <w:vertAlign w:val="superscript"/>
            </w:rPr>
            <w:t>182</w:t>
          </w:r>
        </w:sdtContent>
      </w:sdt>
      <w:r w:rsidRPr="00476931">
        <w:rPr>
          <w:color w:val="000000" w:themeColor="text1"/>
        </w:rPr>
        <w:t>.   KO terms were generated using GhostKOALA</w:t>
      </w:r>
      <w:sdt>
        <w:sdtPr>
          <w:rPr>
            <w:color w:val="000000"/>
            <w:vertAlign w:val="superscript"/>
          </w:rPr>
          <w:tag w:val="MENDELEY_CITATION_v3_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"/>
          <w:id w:val="1958980249"/>
          <w:placeholder>
            <w:docPart w:val="041751536CA6964C804BF226843AFE5F"/>
          </w:placeholder>
        </w:sdtPr>
        <w:sdtEndPr/>
        <w:sdtContent>
          <w:r w:rsidR="003204EA" w:rsidRPr="003204EA">
            <w:rPr>
              <w:rFonts w:eastAsia="Times New Roman"/>
              <w:color w:val="000000"/>
              <w:vertAlign w:val="superscript"/>
            </w:rPr>
            <w:t>183</w:t>
          </w:r>
        </w:sdtContent>
      </w:sdt>
      <w:r w:rsidRPr="00476931">
        <w:rPr>
          <w:color w:val="000000" w:themeColor="text1"/>
        </w:rPr>
        <w:t xml:space="preserve">.  </w:t>
      </w:r>
      <w:proofErr w:type="spellStart"/>
      <w:r w:rsidRPr="00476931">
        <w:rPr>
          <w:color w:val="000000" w:themeColor="text1"/>
        </w:rPr>
        <w:t>GOMixer</w:t>
      </w:r>
      <w:proofErr w:type="spellEnd"/>
      <w:r w:rsidRPr="00476931">
        <w:rPr>
          <w:color w:val="000000" w:themeColor="text1"/>
        </w:rPr>
        <w:t xml:space="preserve"> was used to evaluate taxonomic specific metabolic modules</w:t>
      </w:r>
      <w:sdt>
        <w:sdtPr>
          <w:rPr>
            <w:color w:val="000000"/>
            <w:vertAlign w:val="superscript"/>
          </w:rPr>
          <w:tag w:val="MENDELEY_CITATION_v3_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"/>
          <w:id w:val="-853880049"/>
          <w:placeholder>
            <w:docPart w:val="041751536CA6964C804BF226843AFE5F"/>
          </w:placeholder>
        </w:sdtPr>
        <w:sdtEndPr/>
        <w:sdtContent>
          <w:r w:rsidR="003204EA" w:rsidRPr="003204EA">
            <w:rPr>
              <w:rFonts w:eastAsia="Times New Roman"/>
              <w:color w:val="000000"/>
              <w:vertAlign w:val="superscript"/>
            </w:rPr>
            <w:t>184</w:t>
          </w:r>
        </w:sdtContent>
      </w:sdt>
      <w:r w:rsidRPr="00476931">
        <w:rPr>
          <w:color w:val="000000" w:themeColor="text1"/>
        </w:rPr>
        <w:t xml:space="preserve">.  A metabolic module was inferred if more than 1/3 of the enzymatic steps in the module were covered within a single phylum. The phylum abundance of each module was calculated in </w:t>
      </w:r>
      <w:proofErr w:type="spellStart"/>
      <w:r w:rsidRPr="00476931">
        <w:rPr>
          <w:color w:val="000000" w:themeColor="text1"/>
        </w:rPr>
        <w:t>GOMixer</w:t>
      </w:r>
      <w:proofErr w:type="spellEnd"/>
      <w:r w:rsidRPr="00476931">
        <w:rPr>
          <w:color w:val="000000" w:themeColor="text1"/>
        </w:rPr>
        <w:t xml:space="preserve"> by using the summed area under the curve (AUC) abundance of each phylum’s KO terms that mapped to the module.​ </w:t>
      </w:r>
      <w:proofErr w:type="spellStart"/>
      <w:r w:rsidRPr="00476931">
        <w:rPr>
          <w:color w:val="000000" w:themeColor="text1"/>
        </w:rPr>
        <w:t>Pathview</w:t>
      </w:r>
      <w:proofErr w:type="spellEnd"/>
      <w:r w:rsidRPr="00476931">
        <w:rPr>
          <w:color w:val="000000" w:themeColor="text1"/>
        </w:rPr>
        <w:t xml:space="preserve"> was used to visualize detailed pathway maps</w:t>
      </w:r>
      <w:sdt>
        <w:sdtPr>
          <w:rPr>
            <w:color w:val="000000"/>
            <w:vertAlign w:val="superscript"/>
          </w:rPr>
          <w:tag w:val="MENDELEY_CITATION_v3_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"/>
          <w:id w:val="-1468189552"/>
          <w:placeholder>
            <w:docPart w:val="041751536CA6964C804BF226843AFE5F"/>
          </w:placeholder>
        </w:sdtPr>
        <w:sdtEndPr/>
        <w:sdtContent>
          <w:r w:rsidR="003204EA" w:rsidRPr="003204EA">
            <w:rPr>
              <w:rFonts w:eastAsia="Times New Roman"/>
              <w:color w:val="000000"/>
              <w:vertAlign w:val="superscript"/>
            </w:rPr>
            <w:t>185</w:t>
          </w:r>
        </w:sdtContent>
      </w:sdt>
      <w:r w:rsidRPr="00476931">
        <w:rPr>
          <w:color w:val="000000" w:themeColor="text1"/>
        </w:rPr>
        <w:t>, and iPath3 was used for global maps</w:t>
      </w:r>
      <w:sdt>
        <w:sdtPr>
          <w:rPr>
            <w:color w:val="000000"/>
            <w:vertAlign w:val="superscript"/>
          </w:rPr>
          <w:tag w:val="MENDELEY_CITATION_v3_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"/>
          <w:id w:val="856311507"/>
          <w:placeholder>
            <w:docPart w:val="041751536CA6964C804BF226843AFE5F"/>
          </w:placeholder>
        </w:sdtPr>
        <w:sdtEndPr/>
        <w:sdtContent>
          <w:r w:rsidR="003204EA" w:rsidRPr="003204EA">
            <w:rPr>
              <w:rFonts w:eastAsia="Times New Roman"/>
              <w:color w:val="000000"/>
              <w:vertAlign w:val="superscript"/>
            </w:rPr>
            <w:t>186</w:t>
          </w:r>
        </w:sdtContent>
      </w:sdt>
      <w:r w:rsidRPr="00476931">
        <w:rPr>
          <w:color w:val="000000" w:themeColor="text1"/>
        </w:rPr>
        <w:t xml:space="preserve">.  The </w:t>
      </w:r>
      <w:proofErr w:type="spellStart"/>
      <w:r w:rsidRPr="00476931">
        <w:rPr>
          <w:color w:val="000000" w:themeColor="text1"/>
        </w:rPr>
        <w:t>Reactome</w:t>
      </w:r>
      <w:proofErr w:type="spellEnd"/>
      <w:r w:rsidRPr="00476931">
        <w:rPr>
          <w:color w:val="000000" w:themeColor="text1"/>
        </w:rPr>
        <w:t xml:space="preserve"> database (version 68) was used for annotation of human immune system proteins</w:t>
      </w:r>
      <w:sdt>
        <w:sdtPr>
          <w:rPr>
            <w:color w:val="000000"/>
            <w:vertAlign w:val="superscript"/>
          </w:rPr>
          <w:tag w:val="MENDELEY_CITATION_v3_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"/>
          <w:id w:val="-696307251"/>
          <w:placeholder>
            <w:docPart w:val="041751536CA6964C804BF226843AFE5F"/>
          </w:placeholder>
        </w:sdtPr>
        <w:sdtEndPr/>
        <w:sdtContent>
          <w:r w:rsidR="003204EA" w:rsidRPr="003204EA">
            <w:rPr>
              <w:rFonts w:eastAsia="Times New Roman"/>
              <w:color w:val="000000"/>
              <w:vertAlign w:val="superscript"/>
            </w:rPr>
            <w:t>187</w:t>
          </w:r>
        </w:sdtContent>
      </w:sdt>
      <w:r w:rsidRPr="00476931">
        <w:rPr>
          <w:color w:val="000000" w:themeColor="text1"/>
        </w:rPr>
        <w:t>.</w:t>
      </w:r>
    </w:p>
    <w:p w14:paraId="527ED818" w14:textId="77777777" w:rsidR="00310878" w:rsidRPr="00476931" w:rsidRDefault="00310878" w:rsidP="00343C78">
      <w:pPr>
        <w:shd w:val="clear" w:color="auto" w:fill="FFFFFF"/>
        <w:textAlignment w:val="baseline"/>
        <w:rPr>
          <w:rFonts w:ascii="Times New Roman" w:hAnsi="Times New Roman" w:cs="Times New Roman"/>
          <w:color w:val="000000" w:themeColor="text1"/>
        </w:rPr>
      </w:pPr>
    </w:p>
    <w:p w14:paraId="77503C80" w14:textId="672A26F6" w:rsidR="00310878" w:rsidRPr="00476931" w:rsidRDefault="007E65A0" w:rsidP="0060435B">
      <w:pPr>
        <w:pStyle w:val="Heading2"/>
      </w:pPr>
      <w:bookmarkStart w:id="351" w:name="_Toc110250295"/>
      <w:bookmarkStart w:id="352" w:name="_Toc110250552"/>
      <w:bookmarkStart w:id="353" w:name="_Toc110250683"/>
      <w:r w:rsidRPr="00476931">
        <w:t xml:space="preserve">6.3  </w:t>
      </w:r>
      <w:r w:rsidR="00310878" w:rsidRPr="00476931">
        <w:t>Understanding how the developing human preterm infant gut microbiome responds to antibiotic administration and host immune system-induced metal bactericidal control</w:t>
      </w:r>
      <w:r w:rsidR="0003562F">
        <w:t>.</w:t>
      </w:r>
      <w:bookmarkEnd w:id="351"/>
      <w:bookmarkEnd w:id="352"/>
      <w:bookmarkEnd w:id="353"/>
    </w:p>
    <w:p w14:paraId="736FF57A" w14:textId="79E7A017" w:rsidR="00E24E1F" w:rsidRPr="00476931" w:rsidRDefault="00E24E1F" w:rsidP="00E2090C">
      <w:pPr>
        <w:spacing w:before="219"/>
        <w:ind w:left="180" w:firstLine="0"/>
        <w:rPr>
          <w:color w:val="000000" w:themeColor="text1"/>
        </w:rPr>
      </w:pPr>
      <w:r w:rsidRPr="00476931">
        <w:rPr>
          <w:i/>
          <w:color w:val="000000" w:themeColor="text1"/>
        </w:rPr>
        <w:t>Text</w:t>
      </w:r>
      <w:r w:rsidRPr="00476931">
        <w:rPr>
          <w:i/>
          <w:color w:val="000000" w:themeColor="text1"/>
          <w:spacing w:val="-3"/>
        </w:rPr>
        <w:t xml:space="preserve"> and figures </w:t>
      </w:r>
      <w:r w:rsidRPr="00476931">
        <w:rPr>
          <w:i/>
          <w:color w:val="000000" w:themeColor="text1"/>
        </w:rPr>
        <w:t>adapted</w:t>
      </w:r>
      <w:r w:rsidRPr="00476931">
        <w:rPr>
          <w:i/>
          <w:color w:val="000000" w:themeColor="text1"/>
          <w:spacing w:val="-2"/>
        </w:rPr>
        <w:t xml:space="preserve"> </w:t>
      </w:r>
      <w:r w:rsidRPr="00476931">
        <w:rPr>
          <w:i/>
          <w:color w:val="000000" w:themeColor="text1"/>
        </w:rPr>
        <w:t>from</w:t>
      </w:r>
      <w:r w:rsidRPr="00476931">
        <w:rPr>
          <w:i/>
          <w:color w:val="000000" w:themeColor="text1"/>
          <w:spacing w:val="-2"/>
        </w:rPr>
        <w:t xml:space="preserve"> </w:t>
      </w:r>
      <w:r w:rsidRPr="00476931">
        <w:rPr>
          <w:i/>
          <w:color w:val="000000" w:themeColor="text1"/>
        </w:rPr>
        <w:t>Peters et</w:t>
      </w:r>
      <w:r w:rsidRPr="00476931">
        <w:rPr>
          <w:i/>
          <w:color w:val="000000" w:themeColor="text1"/>
          <w:spacing w:val="-2"/>
        </w:rPr>
        <w:t xml:space="preserve"> </w:t>
      </w:r>
      <w:r w:rsidRPr="00476931">
        <w:rPr>
          <w:i/>
          <w:color w:val="000000" w:themeColor="text1"/>
        </w:rPr>
        <w:t>al., 2022.</w:t>
      </w:r>
      <w:r w:rsidRPr="00476931">
        <w:rPr>
          <w:i/>
          <w:color w:val="000000" w:themeColor="text1"/>
          <w:spacing w:val="-3"/>
        </w:rPr>
        <w:t xml:space="preserve"> Frontiers in Microbiology (in submission)</w:t>
      </w:r>
      <w:r w:rsidRPr="00476931">
        <w:rPr>
          <w:color w:val="000000" w:themeColor="text1"/>
          <w:spacing w:val="-5"/>
        </w:rPr>
        <w:t>.</w:t>
      </w:r>
    </w:p>
    <w:p w14:paraId="2D60F5E9" w14:textId="77777777" w:rsidR="007E65A0" w:rsidRPr="00476931" w:rsidRDefault="007E65A0" w:rsidP="007E65A0">
      <w:pPr>
        <w:pStyle w:val="Heading3"/>
      </w:pPr>
    </w:p>
    <w:p w14:paraId="57493CD9" w14:textId="24DE3FD4" w:rsidR="00310878" w:rsidRPr="00476931" w:rsidRDefault="007E65A0" w:rsidP="007E65A0">
      <w:pPr>
        <w:pStyle w:val="Heading3"/>
      </w:pPr>
      <w:bookmarkStart w:id="354" w:name="_Toc110250296"/>
      <w:bookmarkStart w:id="355" w:name="_Toc110250553"/>
      <w:bookmarkStart w:id="356" w:name="_Toc110250684"/>
      <w:r w:rsidRPr="00476931">
        <w:t>6.3.1  Introduction</w:t>
      </w:r>
      <w:r w:rsidR="0003562F">
        <w:t>.</w:t>
      </w:r>
      <w:bookmarkEnd w:id="354"/>
      <w:bookmarkEnd w:id="355"/>
      <w:bookmarkEnd w:id="356"/>
    </w:p>
    <w:p w14:paraId="0F0C8BD7" w14:textId="77777777" w:rsidR="007E65A0" w:rsidRPr="00476931" w:rsidRDefault="007E65A0" w:rsidP="007E65A0">
      <w:pPr>
        <w:rPr>
          <w:color w:val="000000" w:themeColor="text1"/>
        </w:rPr>
      </w:pPr>
    </w:p>
    <w:p w14:paraId="2FB030BE" w14:textId="61F83480" w:rsidR="00310878" w:rsidRPr="00476931" w:rsidRDefault="00310878" w:rsidP="007E65A0">
      <w:pPr>
        <w:rPr>
          <w:color w:val="000000" w:themeColor="text1"/>
        </w:rPr>
      </w:pPr>
      <w:r w:rsidRPr="00476931">
        <w:rPr>
          <w:color w:val="000000" w:themeColor="text1"/>
        </w:rPr>
        <w:t>Early-life microbial colonization of mucosal surfaces in the gut during infancy is critical for balanced priming and education of the host immune system. Recent studies are defining the period in early development, a so-called “window of opportunity,” where disruption of critical host-commensal interactions have lasting and sometimes irreversible impacts on the training of specific immune subset</w:t>
      </w:r>
      <w:sdt>
        <w:sdtPr>
          <w:rPr>
            <w:color w:val="000000"/>
            <w:vertAlign w:val="superscript"/>
          </w:rPr>
          <w:tag w:val="MENDELEY_CITATION_v3_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"/>
          <w:id w:val="-914852217"/>
          <w:placeholder>
            <w:docPart w:val="BD2EA2F9CCAF8B44A251C377D4581768"/>
          </w:placeholder>
        </w:sdtPr>
        <w:sdtEndPr/>
        <w:sdtContent>
          <w:r w:rsidR="003204EA" w:rsidRPr="003204EA">
            <w:rPr>
              <w:rFonts w:eastAsia="Times New Roman"/>
              <w:color w:val="000000"/>
              <w:vertAlign w:val="superscript"/>
            </w:rPr>
            <w:t>188</w:t>
          </w:r>
        </w:sdtContent>
      </w:sdt>
      <w:r w:rsidRPr="00476931">
        <w:rPr>
          <w:color w:val="000000" w:themeColor="text1"/>
        </w:rPr>
        <w:t>.   Studies using rodent models have shown that a brief, postnatal germfree period caused permanent changes in levels of systemic regulatory T cells, natural killer cells, and cytokine production</w:t>
      </w:r>
      <w:sdt>
        <w:sdtPr>
          <w:rPr>
            <w:color w:val="000000"/>
            <w:vertAlign w:val="superscript"/>
          </w:rPr>
          <w:tag w:val="MENDELEY_CITATION_v3_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"/>
          <w:id w:val="1279838310"/>
          <w:placeholder>
            <w:docPart w:val="9778F450844AC647A1DFBD91BCE1ACCF"/>
          </w:placeholder>
        </w:sdtPr>
        <w:sdtEndPr/>
        <w:sdtContent>
          <w:r w:rsidR="003204EA" w:rsidRPr="003204EA">
            <w:rPr>
              <w:rFonts w:eastAsia="Times New Roman"/>
              <w:color w:val="000000"/>
              <w:vertAlign w:val="superscript"/>
            </w:rPr>
            <w:t>189</w:t>
          </w:r>
        </w:sdtContent>
      </w:sdt>
      <w:r w:rsidRPr="00476931">
        <w:rPr>
          <w:color w:val="000000" w:themeColor="text1"/>
        </w:rPr>
        <w:t xml:space="preserve"> and that microbial exposure during early life has persistent effects on natural killer T cell function, which was shown to be crucial in the development of intestinal inflammatory disorders such as colitis</w:t>
      </w:r>
      <w:sdt>
        <w:sdtPr>
          <w:rPr>
            <w:color w:val="000000"/>
            <w:vertAlign w:val="superscript"/>
          </w:rPr>
          <w:tag w:val="MENDELEY_CITATION_v3_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"/>
          <w:id w:val="-2124599148"/>
          <w:placeholder>
            <w:docPart w:val="9778F450844AC647A1DFBD91BCE1ACCF"/>
          </w:placeholder>
        </w:sdtPr>
        <w:sdtEndPr/>
        <w:sdtContent>
          <w:r w:rsidR="003204EA" w:rsidRPr="003204EA">
            <w:rPr>
              <w:rFonts w:eastAsia="Times New Roman"/>
              <w:color w:val="000000"/>
              <w:vertAlign w:val="superscript"/>
            </w:rPr>
            <w:t>190</w:t>
          </w:r>
        </w:sdtContent>
      </w:sdt>
      <w:r w:rsidRPr="00476931">
        <w:rPr>
          <w:color w:val="000000" w:themeColor="text1"/>
        </w:rPr>
        <w:t>. Other intestinal inflammatory diseases, such as necrotizing enterocolitis, can result from exaggerated immune responses</w:t>
      </w:r>
      <w:sdt>
        <w:sdtPr>
          <w:rPr>
            <w:color w:val="000000"/>
            <w:vertAlign w:val="superscript"/>
          </w:rPr>
          <w:tag w:val="MENDELEY_CITATION_v3_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"/>
          <w:id w:val="525219174"/>
          <w:placeholder>
            <w:docPart w:val="1C024F93EC09C349BA1D125ADCDB1BF4"/>
          </w:placeholder>
        </w:sdtPr>
        <w:sdtEndPr/>
        <w:sdtContent>
          <w:r w:rsidR="003204EA" w:rsidRPr="003204EA">
            <w:rPr>
              <w:rFonts w:eastAsia="Times New Roman"/>
              <w:color w:val="000000"/>
              <w:vertAlign w:val="superscript"/>
            </w:rPr>
            <w:t>191,192</w:t>
          </w:r>
        </w:sdtContent>
      </w:sdt>
      <w:r w:rsidRPr="00476931">
        <w:rPr>
          <w:color w:val="000000" w:themeColor="text1"/>
        </w:rPr>
        <w:t>.  Necrotizing enterocolitis (NEC) is a fatal disease of neonatal preterm infants in 30-50% of cases</w:t>
      </w:r>
      <w:sdt>
        <w:sdtPr>
          <w:rPr>
            <w:color w:val="000000"/>
            <w:vertAlign w:val="superscript"/>
          </w:rPr>
          <w:tag w:val="MENDELEY_CITATION_v3_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"/>
          <w:id w:val="745142072"/>
          <w:placeholder>
            <w:docPart w:val="F3F6992EED94864082AF753525BEC6D2"/>
          </w:placeholder>
        </w:sdtPr>
        <w:sdtEndPr/>
        <w:sdtContent>
          <w:r w:rsidR="003204EA" w:rsidRPr="003204EA">
            <w:rPr>
              <w:rFonts w:eastAsia="Times New Roman"/>
              <w:color w:val="000000"/>
              <w:vertAlign w:val="superscript"/>
            </w:rPr>
            <w:t>193</w:t>
          </w:r>
        </w:sdtContent>
      </w:sdt>
      <w:r w:rsidRPr="00476931">
        <w:rPr>
          <w:color w:val="000000" w:themeColor="text1"/>
        </w:rPr>
        <w:t>. It is associated with intestinal inflammation driven by the microbiota, making it an ideal model for studying early-life host-microbe interactions in a dysbiotic gut</w:t>
      </w:r>
      <w:sdt>
        <w:sdtPr>
          <w:rPr>
            <w:color w:val="000000"/>
            <w:vertAlign w:val="superscript"/>
          </w:rPr>
          <w:tag w:val="MENDELEY_CITATION_v3_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"/>
          <w:id w:val="-906690618"/>
          <w:placeholder>
            <w:docPart w:val="73B504778A72D149818372C99AFC4672"/>
          </w:placeholder>
        </w:sdtPr>
        <w:sdtEndPr/>
        <w:sdtContent>
          <w:r w:rsidR="003204EA" w:rsidRPr="003204EA">
            <w:rPr>
              <w:rFonts w:eastAsia="Times New Roman"/>
              <w:color w:val="000000"/>
              <w:vertAlign w:val="superscript"/>
            </w:rPr>
            <w:t>194,195</w:t>
          </w:r>
        </w:sdtContent>
      </w:sdt>
      <w:r w:rsidRPr="00476931">
        <w:rPr>
          <w:color w:val="000000" w:themeColor="text1"/>
        </w:rPr>
        <w:t xml:space="preserve">. Most interactions between microbiota and the host immune system occur on the mucosal surface of the large intestines.  This surface is lined with intestinal epithelial cells (IECs), which create a physical barrier between the microbiota in the intestinal lumen and the surrounding tissue.  IECs secrete antimicrobial peptides such as </w:t>
      </w:r>
      <w:r w:rsidR="0048648B">
        <w:rPr>
          <w:color w:val="000000" w:themeColor="text1"/>
        </w:rPr>
        <w:t xml:space="preserve">chemokines, cytokines, and </w:t>
      </w:r>
      <w:r w:rsidRPr="00476931">
        <w:rPr>
          <w:color w:val="000000" w:themeColor="text1"/>
        </w:rPr>
        <w:t>defensins that function to prevent bacterial from breaching the gut wall</w:t>
      </w:r>
      <w:sdt>
        <w:sdtPr>
          <w:rPr>
            <w:color w:val="000000"/>
            <w:vertAlign w:val="superscript"/>
          </w:rPr>
          <w:tag w:val="MENDELEY_CITATION_v3_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"/>
          <w:id w:val="1993831248"/>
          <w:placeholder>
            <w:docPart w:val="248294201BC2F64D86FDF283EC0887A0"/>
          </w:placeholder>
        </w:sdtPr>
        <w:sdtEndPr/>
        <w:sdtContent>
          <w:r w:rsidR="003204EA" w:rsidRPr="003204EA">
            <w:rPr>
              <w:rFonts w:eastAsia="Times New Roman"/>
              <w:color w:val="000000"/>
              <w:vertAlign w:val="superscript"/>
            </w:rPr>
            <w:t>196</w:t>
          </w:r>
        </w:sdtContent>
      </w:sdt>
      <w:r w:rsidRPr="00476931">
        <w:rPr>
          <w:color w:val="000000" w:themeColor="text1"/>
          <w:vertAlign w:val="superscript"/>
        </w:rPr>
        <w:t>.</w:t>
      </w:r>
      <w:r w:rsidRPr="00476931">
        <w:rPr>
          <w:color w:val="000000" w:themeColor="text1"/>
        </w:rPr>
        <w:t xml:space="preserve"> Bacterial toxins and pathogen-associated molecular patterns (PAMPs), including bacterial flagellin, unmethylated CpG oligodeoxynucleotides, lipopolysaccharide (LPS), lipoteichoic acid, are recognized by host toll-like receptors, which can activate pro-inflammatory responses.  There is a delicate balance related to these host-microbe interactions </w:t>
      </w:r>
      <w:proofErr w:type="gramStart"/>
      <w:r w:rsidRPr="00476931">
        <w:rPr>
          <w:color w:val="000000" w:themeColor="text1"/>
        </w:rPr>
        <w:t>in order to</w:t>
      </w:r>
      <w:proofErr w:type="gramEnd"/>
      <w:r w:rsidRPr="00476931">
        <w:rPr>
          <w:color w:val="000000" w:themeColor="text1"/>
        </w:rPr>
        <w:t xml:space="preserve"> maintain homeostasis in the environment.  However, the underpinnings of this balance are largely unknown, especially related to the temporal aspects of host-microbe interactions during the development of dysbiosis and inflammation. It is still unclear whether microbial community and functional shifts precede inflammation or are a consequence of it.</w:t>
      </w:r>
    </w:p>
    <w:p w14:paraId="154AAFAF" w14:textId="5AA09068" w:rsidR="00310878" w:rsidRPr="00476931" w:rsidRDefault="00310878" w:rsidP="007E65A0">
      <w:pPr>
        <w:rPr>
          <w:color w:val="000000" w:themeColor="text1"/>
        </w:rPr>
      </w:pPr>
      <w:r w:rsidRPr="00476931">
        <w:rPr>
          <w:color w:val="000000" w:themeColor="text1"/>
        </w:rPr>
        <w:t>In addition to the still poorly understood interplay between the host immune system and microbiota, other external factors, such as antibiotic administration impact the developing gut environment.  Preterm infants commonly receive antibiotics early and frequently in life due to their vulnerability to infection</w:t>
      </w:r>
      <w:sdt>
        <w:sdtPr>
          <w:rPr>
            <w:color w:val="000000"/>
            <w:vertAlign w:val="superscript"/>
          </w:rPr>
          <w:tag w:val="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"/>
          <w:id w:val="-1689972526"/>
          <w:placeholder>
            <w:docPart w:val="DFD82C3E27EDA8438440522BD30823A0"/>
          </w:placeholder>
        </w:sdtPr>
        <w:sdtEndPr/>
        <w:sdtContent>
          <w:r w:rsidR="003204EA" w:rsidRPr="003204EA">
            <w:rPr>
              <w:rFonts w:eastAsia="Times New Roman"/>
              <w:color w:val="000000"/>
              <w:vertAlign w:val="superscript"/>
            </w:rPr>
            <w:t>197,198</w:t>
          </w:r>
        </w:sdtContent>
      </w:sdt>
      <w:r w:rsidRPr="00476931">
        <w:rPr>
          <w:color w:val="000000" w:themeColor="text1"/>
        </w:rPr>
        <w:t>. Previous metagenomics studies have shown enrichment in antibiotic resistance genes in preterm infants that receive early-life antibiotics</w:t>
      </w:r>
      <w:sdt>
        <w:sdtPr>
          <w:rPr>
            <w:color w:val="000000"/>
            <w:vertAlign w:val="superscript"/>
          </w:rPr>
          <w:tag w:val="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"/>
          <w:id w:val="1810052044"/>
          <w:placeholder>
            <w:docPart w:val="DFD82C3E27EDA8438440522BD30823A0"/>
          </w:placeholder>
        </w:sdtPr>
        <w:sdtEndPr/>
        <w:sdtContent>
          <w:r w:rsidR="003204EA" w:rsidRPr="003204EA">
            <w:rPr>
              <w:rFonts w:eastAsia="Times New Roman"/>
              <w:color w:val="000000"/>
              <w:vertAlign w:val="superscript"/>
            </w:rPr>
            <w:t>197,199</w:t>
          </w:r>
        </w:sdtContent>
      </w:sdt>
      <w:r w:rsidRPr="00476931">
        <w:rPr>
          <w:color w:val="000000" w:themeColor="text1"/>
        </w:rPr>
        <w:t>. This perturbation of optimal microbiota colonization likely has long-term impacts on microbial establishment patterns and, ultimately, host health outcomes</w:t>
      </w:r>
      <w:sdt>
        <w:sdtPr>
          <w:rPr>
            <w:color w:val="000000"/>
            <w:vertAlign w:val="superscript"/>
          </w:rPr>
          <w:tag w:val="MENDELEY_CITATION_v3_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"/>
          <w:id w:val="1489817011"/>
          <w:placeholder>
            <w:docPart w:val="78E6830DC518BA49B384D207808FD63A"/>
          </w:placeholder>
        </w:sdtPr>
        <w:sdtEndPr/>
        <w:sdtContent>
          <w:r w:rsidR="003204EA" w:rsidRPr="003204EA">
            <w:rPr>
              <w:rFonts w:eastAsia="Times New Roman"/>
              <w:color w:val="000000"/>
              <w:vertAlign w:val="superscript"/>
            </w:rPr>
            <w:t>200,201</w:t>
          </w:r>
        </w:sdtContent>
      </w:sdt>
      <w:r w:rsidRPr="00476931">
        <w:rPr>
          <w:color w:val="000000" w:themeColor="text1"/>
        </w:rPr>
        <w:t>.  In addition, intrapartum antibiotics are often given to the mother as a preventative measure during the delivery process</w:t>
      </w:r>
      <w:sdt>
        <w:sdtPr>
          <w:rPr>
            <w:color w:val="000000"/>
            <w:vertAlign w:val="superscript"/>
          </w:rPr>
          <w:tag w:val="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"/>
          <w:id w:val="262277276"/>
          <w:placeholder>
            <w:docPart w:val="E4B5E21686F2314088D58853EA72C37C"/>
          </w:placeholder>
        </w:sdtPr>
        <w:sdtEndPr/>
        <w:sdtContent>
          <w:r w:rsidR="003204EA" w:rsidRPr="003204EA">
            <w:rPr>
              <w:rFonts w:eastAsia="Times New Roman"/>
              <w:color w:val="000000"/>
              <w:vertAlign w:val="superscript"/>
            </w:rPr>
            <w:t>202,203</w:t>
          </w:r>
        </w:sdtContent>
      </w:sdt>
      <w:r w:rsidRPr="00476931">
        <w:rPr>
          <w:color w:val="000000" w:themeColor="text1"/>
        </w:rPr>
        <w:t>.  Previous work has demonstrated that the administration of antibiotics before birth profoundly impacts the composition of the gut microbiome and ultimately patient health status</w:t>
      </w:r>
      <w:sdt>
        <w:sdtPr>
          <w:rPr>
            <w:color w:val="000000"/>
            <w:vertAlign w:val="superscript"/>
          </w:rPr>
          <w:tag w:val="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"/>
          <w:id w:val="-1929101473"/>
          <w:placeholder>
            <w:docPart w:val="E4B5E21686F2314088D58853EA72C37C"/>
          </w:placeholder>
        </w:sdtPr>
        <w:sdtEndPr/>
        <w:sdtContent>
          <w:r w:rsidR="003204EA" w:rsidRPr="003204EA">
            <w:rPr>
              <w:rFonts w:eastAsia="Times New Roman"/>
              <w:color w:val="000000"/>
              <w:vertAlign w:val="superscript"/>
            </w:rPr>
            <w:t>204–206</w:t>
          </w:r>
        </w:sdtContent>
      </w:sdt>
      <w:r w:rsidRPr="00476931">
        <w:rPr>
          <w:color w:val="000000" w:themeColor="text1"/>
        </w:rPr>
        <w:t>.  While host health outcomes based on gut microbial perturbations caused by both maternal and infant antibiotic administration have been widely demonstrated</w:t>
      </w:r>
      <w:sdt>
        <w:sdtPr>
          <w:rPr>
            <w:color w:val="000000"/>
            <w:vertAlign w:val="superscript"/>
          </w:rPr>
          <w:tag w:val="MENDELEY_CITATION_v3_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"/>
          <w:id w:val="-1082440774"/>
          <w:placeholder>
            <w:docPart w:val="DFD82C3E27EDA8438440522BD30823A0"/>
          </w:placeholder>
        </w:sdtPr>
        <w:sdtEndPr/>
        <w:sdtContent>
          <w:r w:rsidR="003204EA" w:rsidRPr="003204EA">
            <w:rPr>
              <w:rFonts w:eastAsia="Times New Roman"/>
              <w:color w:val="000000"/>
              <w:vertAlign w:val="superscript"/>
            </w:rPr>
            <w:t>207</w:t>
          </w:r>
        </w:sdtContent>
      </w:sdt>
      <w:r w:rsidRPr="00476931">
        <w:rPr>
          <w:color w:val="000000" w:themeColor="text1"/>
        </w:rPr>
        <w:t>, the exact mechanism by which it plays on the priming of the developing immune system is still unclear.</w:t>
      </w:r>
    </w:p>
    <w:p w14:paraId="6D428B10" w14:textId="4C86367B" w:rsidR="00310878" w:rsidRPr="00476931" w:rsidRDefault="00310878" w:rsidP="007E65A0">
      <w:pPr>
        <w:rPr>
          <w:color w:val="000000" w:themeColor="text1"/>
        </w:rPr>
      </w:pPr>
      <w:r w:rsidRPr="00476931">
        <w:rPr>
          <w:color w:val="000000" w:themeColor="text1"/>
        </w:rPr>
        <w:t>Several studies have shown that antibiotic resistance is linked to tolerance of high environmental concentrations of metals such as copper</w:t>
      </w:r>
      <w:sdt>
        <w:sdtPr>
          <w:rPr>
            <w:color w:val="000000"/>
            <w:vertAlign w:val="superscript"/>
          </w:rPr>
          <w:tag w:val="MENDELEY_CITATION_v3_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"/>
          <w:id w:val="-226612882"/>
          <w:placeholder>
            <w:docPart w:val="B9795911811A7143BC7BEE01638231F7"/>
          </w:placeholder>
        </w:sdtPr>
        <w:sdtEndPr/>
        <w:sdtContent>
          <w:r w:rsidR="003204EA" w:rsidRPr="003204EA">
            <w:rPr>
              <w:rFonts w:eastAsia="Times New Roman"/>
              <w:color w:val="000000"/>
              <w:vertAlign w:val="superscript"/>
            </w:rPr>
            <w:t>208,209</w:t>
          </w:r>
        </w:sdtContent>
      </w:sdt>
      <w:r w:rsidRPr="00476931">
        <w:rPr>
          <w:color w:val="000000" w:themeColor="text1"/>
        </w:rPr>
        <w:t>.  The phenomenon of co-resistance to antibiotics and excess metals has been observed in several organisms commonly found in the human gut</w:t>
      </w:r>
      <w:sdt>
        <w:sdtPr>
          <w:rPr>
            <w:color w:val="000000"/>
            <w:vertAlign w:val="superscript"/>
          </w:rPr>
          <w:tag w:val="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"/>
          <w:id w:val="-1709554780"/>
          <w:placeholder>
            <w:docPart w:val="B9795911811A7143BC7BEE01638231F7"/>
          </w:placeholder>
        </w:sdtPr>
        <w:sdtEndPr/>
        <w:sdtContent>
          <w:r w:rsidR="003204EA" w:rsidRPr="003204EA">
            <w:rPr>
              <w:rFonts w:eastAsia="Times New Roman"/>
              <w:color w:val="000000"/>
              <w:vertAlign w:val="superscript"/>
            </w:rPr>
            <w:t>210–214</w:t>
          </w:r>
        </w:sdtContent>
      </w:sdt>
      <w:r w:rsidRPr="00476931">
        <w:rPr>
          <w:color w:val="000000" w:themeColor="text1"/>
        </w:rPr>
        <w:t xml:space="preserve">, including one study that reported that multi-drug-resistant </w:t>
      </w:r>
      <w:proofErr w:type="spellStart"/>
      <w:r w:rsidRPr="00476931">
        <w:rPr>
          <w:color w:val="000000" w:themeColor="text1"/>
        </w:rPr>
        <w:t>Enterobacterales</w:t>
      </w:r>
      <w:proofErr w:type="spellEnd"/>
      <w:r w:rsidRPr="00476931">
        <w:rPr>
          <w:color w:val="000000" w:themeColor="text1"/>
        </w:rPr>
        <w:t xml:space="preserve"> carried metal resistance genes up to seven times more frequently compared to antibiotic-sensitive strains</w:t>
      </w:r>
      <w:sdt>
        <w:sdtPr>
          <w:rPr>
            <w:color w:val="000000"/>
            <w:vertAlign w:val="superscript"/>
          </w:rPr>
          <w:tag w:val="MENDELEY_CITATION_v3_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"/>
          <w:id w:val="1167068110"/>
          <w:placeholder>
            <w:docPart w:val="B9795911811A7143BC7BEE01638231F7"/>
          </w:placeholder>
        </w:sdtPr>
        <w:sdtEndPr/>
        <w:sdtContent>
          <w:r w:rsidR="003204EA" w:rsidRPr="003204EA">
            <w:rPr>
              <w:rFonts w:eastAsia="Times New Roman"/>
              <w:color w:val="000000"/>
              <w:vertAlign w:val="superscript"/>
            </w:rPr>
            <w:t>215</w:t>
          </w:r>
        </w:sdtContent>
      </w:sdt>
      <w:r w:rsidRPr="00476931">
        <w:rPr>
          <w:color w:val="000000" w:themeColor="text1"/>
        </w:rPr>
        <w:t>. Disrupting the availability of metals in the environment is an evolutionarily ancient strategy to limit bacterial growth, and vertebrates have developed immune-related mechanisms, in processes referred to as nutritional immunity, that restrict the availability of some metals to microbiota in the environment while at the same time flooding infection sites with antimicrobial levels of other metals</w:t>
      </w:r>
      <w:sdt>
        <w:sdtPr>
          <w:rPr>
            <w:color w:val="000000"/>
            <w:vertAlign w:val="superscript"/>
          </w:rPr>
          <w:tag w:val="MENDELEY_CITATION_v3_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"/>
          <w:id w:val="1511179567"/>
          <w:placeholder>
            <w:docPart w:val="E352EA3DC9FD0149AFD29021DB583C52"/>
          </w:placeholder>
        </w:sdtPr>
        <w:sdtEndPr/>
        <w:sdtContent>
          <w:r w:rsidR="003204EA" w:rsidRPr="003204EA">
            <w:rPr>
              <w:rFonts w:eastAsia="Times New Roman"/>
              <w:color w:val="000000"/>
              <w:vertAlign w:val="superscript"/>
            </w:rPr>
            <w:t>216,217</w:t>
          </w:r>
        </w:sdtContent>
      </w:sdt>
      <w:r w:rsidRPr="00476931">
        <w:rPr>
          <w:color w:val="000000" w:themeColor="text1"/>
        </w:rPr>
        <w:t>. Concurrently, many organisms have developed mechanisms to maintain intracellular metal homeostasis, including resistance to excess environmental concentrations, as the balance of metals in the cell is necessary to prevent mismetallation and cell damage</w:t>
      </w:r>
      <w:sdt>
        <w:sdtPr>
          <w:rPr>
            <w:color w:val="000000"/>
            <w:vertAlign w:val="superscript"/>
          </w:rPr>
          <w:tag w:val="MENDELEY_CITATION_v3_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"/>
          <w:id w:val="1455747794"/>
          <w:placeholder>
            <w:docPart w:val="E352EA3DC9FD0149AFD29021DB583C52"/>
          </w:placeholder>
        </w:sdtPr>
        <w:sdtEndPr/>
        <w:sdtContent>
          <w:r w:rsidR="003204EA" w:rsidRPr="003204EA">
            <w:rPr>
              <w:rFonts w:eastAsia="Times New Roman"/>
              <w:color w:val="000000"/>
              <w:vertAlign w:val="superscript"/>
            </w:rPr>
            <w:t>218,219</w:t>
          </w:r>
        </w:sdtContent>
      </w:sdt>
      <w:r w:rsidRPr="00476931">
        <w:rPr>
          <w:color w:val="000000" w:themeColor="text1"/>
        </w:rPr>
        <w:t>.  In vivo characterization of metal homeostasis in the gut environment is challenging due to the technical limitations of most traditional microbiome research methods.  Nevertheless, this is an understudied area that needs to be considered for its unrecognized role in shaping the early life gut.</w:t>
      </w:r>
    </w:p>
    <w:p w14:paraId="2CDDD163" w14:textId="0A742954" w:rsidR="00310878" w:rsidRPr="00476931" w:rsidRDefault="00310878" w:rsidP="007E65A0">
      <w:pPr>
        <w:rPr>
          <w:color w:val="000000" w:themeColor="text1"/>
        </w:rPr>
      </w:pPr>
      <w:r w:rsidRPr="00476931">
        <w:rPr>
          <w:color w:val="000000" w:themeColor="text1"/>
        </w:rPr>
        <w:t xml:space="preserve">To this end, this study was designed to examine the gut microbiota response to human host-imposed immune control during establishment of the developing gut microbiome over the first few months of life, specifically utilizing a high-resolution LC-MS/MS approach that enables simultaneous investigation of host and microbial functions that impact this colonization process. This was based on a genome-assembled metaproteomics longitudinal study of fecal microbiome samples collected from hospitalized premature infants, including a subset of infants who developed NEC during the study. The developing infant gut is an ideal model system because infant microbiomes are far less complex than adult microbiomes. The early-life period is critical in the maturation of both the immune system and microbial communities. </w:t>
      </w:r>
      <w:r w:rsidRPr="00476931">
        <w:rPr>
          <w:rFonts w:eastAsiaTheme="minorEastAsia"/>
          <w:color w:val="000000" w:themeColor="text1"/>
          <w:kern w:val="24"/>
        </w:rPr>
        <w:t xml:space="preserve">Earlier investigations on a subset of the samples used in the present analysis </w:t>
      </w:r>
      <w:r w:rsidRPr="00476931">
        <w:rPr>
          <w:color w:val="000000" w:themeColor="text1"/>
        </w:rPr>
        <w:t>predominantly focused on microbial metabolic functions and community composition</w:t>
      </w:r>
      <w:sdt>
        <w:sdtPr>
          <w:rPr>
            <w:color w:val="000000"/>
            <w:vertAlign w:val="superscript"/>
          </w:rPr>
          <w:tag w:val="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"/>
          <w:id w:val="118119471"/>
          <w:placeholder>
            <w:docPart w:val="8F2D25B7EFE20C43977C8507133BE2B2"/>
          </w:placeholder>
        </w:sdtPr>
        <w:sdtEndPr/>
        <w:sdtContent>
          <w:r w:rsidR="003204EA" w:rsidRPr="003204EA">
            <w:rPr>
              <w:rFonts w:eastAsia="Times New Roman"/>
              <w:color w:val="000000"/>
              <w:vertAlign w:val="superscript"/>
            </w:rPr>
            <w:t>150,220</w:t>
          </w:r>
        </w:sdtContent>
      </w:sdt>
      <w:r w:rsidRPr="00476931">
        <w:rPr>
          <w:color w:val="000000" w:themeColor="text1"/>
        </w:rPr>
        <w:t>.  These investigations led to a few key findings that expand understanding of the establishment dynamics in the early-life preterm gut.  First, the initial investigation focused on four of the infants used in the present analysis demonstrated that the premature infant microbiome is highly variable, with metaproteome measurements showing drastic differences in functional composition between infants and across time. Second, following these findings, an expanded analysis was conducted for paired metagenomic and metaproteomic measurements for samples collected from fifteen infants, which revealed that genetically similar organisms colonizing different infants have very distinct proteomes with unique metabolic profiles, supporting the idea that microbiome function largely depends on microbial responses to the physiological conditions present at a given point in time in the infant gut and is not solely dependent upon which organisms are present. Third, microbiome diversity was lower in samples collected during or within five days of antibiotic treatment.  Using replication rates and overall abundances of organisms within these infants demonstrated that some organisms in the preterm infant gut persisted and continued replicating in the presence of administered antibiotics, indicating some level of resistance to those antibiotics.  Finally, in several instances, there were shifts in both taxonomy and microbial function preceding NEC diagnosis; however, no specific species or metaproteome type could explain all infants who developed this condition during the study.  However, these works largely ignored the contribution of the host immune system, which plays a crucial role in shaping the early-life gut environment</w:t>
      </w:r>
      <w:sdt>
        <w:sdtPr>
          <w:rPr>
            <w:color w:val="000000"/>
            <w:vertAlign w:val="superscript"/>
          </w:rPr>
          <w:tag w:val="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"/>
          <w:id w:val="-517693672"/>
          <w:placeholder>
            <w:docPart w:val="8F2D25B7EFE20C43977C8507133BE2B2"/>
          </w:placeholder>
        </w:sdtPr>
        <w:sdtEndPr/>
        <w:sdtContent>
          <w:r w:rsidR="003204EA" w:rsidRPr="003204EA">
            <w:rPr>
              <w:rFonts w:eastAsia="Times New Roman"/>
              <w:color w:val="000000"/>
              <w:vertAlign w:val="superscript"/>
            </w:rPr>
            <w:t>189,221–224</w:t>
          </w:r>
        </w:sdtContent>
      </w:sdt>
      <w:r w:rsidRPr="00476931">
        <w:rPr>
          <w:color w:val="000000" w:themeColor="text1"/>
        </w:rPr>
        <w:t>, although the exact mechanisms of this process are still poorly understood. A clear understanding of host-microbe interactions during the colonization process depends upon the intrinsic capabilities of metaproteomics measurements to capture host and microbiota functional information simultaneously and link measured entities back to source organisms. In the present analysis, we set out to elucidate the host immune system's specific roles on microbial establishment dynamics and to study how microbes modulate their function during the colonization process in response to and as a stimulant of the developing host immune system.</w:t>
      </w:r>
    </w:p>
    <w:p w14:paraId="37129D22" w14:textId="77777777" w:rsidR="002238BC" w:rsidRDefault="002238BC">
      <w:pPr>
        <w:spacing w:before="1"/>
        <w:rPr>
          <w:rFonts w:eastAsiaTheme="majorEastAsia" w:cstheme="majorBidi"/>
          <w:b/>
          <w:color w:val="000000" w:themeColor="text1"/>
        </w:rPr>
      </w:pPr>
      <w:r>
        <w:br w:type="page"/>
      </w:r>
    </w:p>
    <w:p w14:paraId="54B67E15" w14:textId="1F0C5147" w:rsidR="00310878" w:rsidRPr="00476931" w:rsidRDefault="007E65A0" w:rsidP="007E65A0">
      <w:pPr>
        <w:pStyle w:val="Heading3"/>
      </w:pPr>
      <w:bookmarkStart w:id="357" w:name="_Toc110250297"/>
      <w:bookmarkStart w:id="358" w:name="_Toc110250554"/>
      <w:bookmarkStart w:id="359" w:name="_Toc110250685"/>
      <w:r w:rsidRPr="00476931">
        <w:t xml:space="preserve">6.3.2  </w:t>
      </w:r>
      <w:r w:rsidR="00310878" w:rsidRPr="00476931">
        <w:t>Results</w:t>
      </w:r>
      <w:r w:rsidR="0003562F">
        <w:t>.</w:t>
      </w:r>
      <w:bookmarkEnd w:id="357"/>
      <w:bookmarkEnd w:id="358"/>
      <w:bookmarkEnd w:id="359"/>
    </w:p>
    <w:p w14:paraId="73A9F8A7" w14:textId="77777777" w:rsidR="007E65A0" w:rsidRPr="00476931" w:rsidRDefault="007E65A0" w:rsidP="007E65A0">
      <w:pPr>
        <w:rPr>
          <w:color w:val="000000" w:themeColor="text1"/>
        </w:rPr>
      </w:pPr>
    </w:p>
    <w:p w14:paraId="780FD187" w14:textId="143FE21F" w:rsidR="007E65A0" w:rsidRPr="00476931" w:rsidRDefault="00310878" w:rsidP="007E65A0">
      <w:pPr>
        <w:rPr>
          <w:color w:val="000000" w:themeColor="text1"/>
        </w:rPr>
      </w:pPr>
      <w:r w:rsidRPr="00476931">
        <w:rPr>
          <w:color w:val="000000" w:themeColor="text1"/>
        </w:rPr>
        <w:t>Metaproteomics measurements reveal simultaneous information about host immune processes and microbial functions in the fecal samples</w:t>
      </w:r>
      <w:r w:rsidR="00D013FE">
        <w:rPr>
          <w:color w:val="000000" w:themeColor="text1"/>
        </w:rPr>
        <w:t>.</w:t>
      </w:r>
      <w:r w:rsidRPr="00476931">
        <w:rPr>
          <w:color w:val="000000" w:themeColor="text1"/>
        </w:rPr>
        <w:t xml:space="preserve"> Samples were collected during the first three months of life from hospitalized premature infants, including six infants that went on to develop necrotizing enterocolitis (NEC) during the study.  In total, 91 stool samples from 17 infants were measured and analyzed </w:t>
      </w:r>
      <w:r w:rsidRPr="00727486">
        <w:rPr>
          <w:b/>
          <w:bCs/>
          <w:color w:val="000000" w:themeColor="text1"/>
        </w:rPr>
        <w:t>(Figure 6</w:t>
      </w:r>
      <w:r w:rsidR="00697361">
        <w:rPr>
          <w:b/>
          <w:bCs/>
          <w:color w:val="000000" w:themeColor="text1"/>
        </w:rPr>
        <w:t>-</w:t>
      </w:r>
      <w:r w:rsidRPr="00727486">
        <w:rPr>
          <w:b/>
          <w:bCs/>
          <w:color w:val="000000" w:themeColor="text1"/>
        </w:rPr>
        <w:t>7)</w:t>
      </w:r>
      <w:r w:rsidRPr="00476931">
        <w:rPr>
          <w:color w:val="000000" w:themeColor="text1"/>
        </w:rPr>
        <w:t xml:space="preserve">.  Due to the nature of sample collection in this clinical study, there were unavoidable differences between infants related to the number of samples collected and the times that samples were collected among infants in the study. </w:t>
      </w:r>
    </w:p>
    <w:p w14:paraId="4BD3F879" w14:textId="06AD2863" w:rsidR="00A03BED" w:rsidRPr="00476931" w:rsidRDefault="00801078" w:rsidP="00AD0AE0">
      <w:pPr>
        <w:ind w:left="180"/>
        <w:rPr>
          <w:color w:val="000000" w:themeColor="text1"/>
        </w:rPr>
      </w:pPr>
      <w:r w:rsidRPr="00AD0AE0">
        <w:t>Across the entire dataset, 595,324 peptide</w:t>
      </w:r>
      <w:r w:rsidRPr="00476931">
        <w:rPr>
          <w:color w:val="000000" w:themeColor="text1"/>
        </w:rPr>
        <w:t xml:space="preserve"> sequences were measured across all 91 samples. This equated to, on average, 2000 human and 5000 microbial protein groups quantified per sample, respectively (</w:t>
      </w:r>
      <w:r w:rsidRPr="00476931">
        <w:rPr>
          <w:b/>
          <w:bCs/>
          <w:color w:val="000000" w:themeColor="text1"/>
        </w:rPr>
        <w:t>Figure 6</w:t>
      </w:r>
      <w:r w:rsidR="00697361">
        <w:rPr>
          <w:b/>
          <w:bCs/>
          <w:color w:val="000000" w:themeColor="text1"/>
        </w:rPr>
        <w:t>-</w:t>
      </w:r>
      <w:r w:rsidR="00AD0AE0">
        <w:rPr>
          <w:b/>
          <w:bCs/>
          <w:color w:val="000000" w:themeColor="text1"/>
        </w:rPr>
        <w:t>8</w:t>
      </w:r>
      <w:r w:rsidRPr="00476931">
        <w:rPr>
          <w:b/>
          <w:bCs/>
          <w:color w:val="000000" w:themeColor="text1"/>
        </w:rPr>
        <w:t>A</w:t>
      </w:r>
      <w:r w:rsidRPr="00476931">
        <w:rPr>
          <w:color w:val="000000" w:themeColor="text1"/>
        </w:rPr>
        <w:t xml:space="preserve">).  Although a newer distinct database searching strategy was utilized in the present study, the average number of peptides and protein groups identified per sample was </w:t>
      </w:r>
      <w:proofErr w:type="gramStart"/>
      <w:r w:rsidRPr="00476931">
        <w:rPr>
          <w:color w:val="000000" w:themeColor="text1"/>
        </w:rPr>
        <w:t>similar to</w:t>
      </w:r>
      <w:proofErr w:type="gramEnd"/>
      <w:r w:rsidRPr="00476931">
        <w:rPr>
          <w:color w:val="000000" w:themeColor="text1"/>
        </w:rPr>
        <w:t xml:space="preserve"> results obtained with the alternative approaches used in previous investigations.  In each sample, human and microbial protein group identifications had similar relative proportions, with microbial proteins composing ~ 70% of the identified protein groups.  Both the number of samples collected per infant and the timespan between timepoints impacted protein identifications.  Individuals with several collected samples spanning an extensive time range had more unique protein identifications than infants with only a few samples collected over a very short period. However, when looking at a higher level (pathways and protein classes), the functional categories were </w:t>
      </w:r>
      <w:proofErr w:type="gramStart"/>
      <w:r w:rsidRPr="00476931">
        <w:rPr>
          <w:color w:val="000000" w:themeColor="text1"/>
        </w:rPr>
        <w:t>fairly uniform</w:t>
      </w:r>
      <w:proofErr w:type="gramEnd"/>
      <w:r w:rsidRPr="00476931">
        <w:rPr>
          <w:color w:val="000000" w:themeColor="text1"/>
        </w:rPr>
        <w:t xml:space="preserve"> across samples from all infants.  Among human protein groups, immune protein groups make up around </w:t>
      </w:r>
      <w:r w:rsidR="00A03BED" w:rsidRPr="00476931">
        <w:rPr>
          <w:color w:val="000000" w:themeColor="text1"/>
        </w:rPr>
        <w:t>10-15% of relative abundance when looking at protein groups that are uniquely mapped to one category (</w:t>
      </w:r>
      <w:r w:rsidR="00A03BED" w:rsidRPr="00476931">
        <w:rPr>
          <w:b/>
          <w:bCs/>
          <w:color w:val="000000" w:themeColor="text1"/>
        </w:rPr>
        <w:t>Figure 6</w:t>
      </w:r>
      <w:r w:rsidR="00697361">
        <w:rPr>
          <w:b/>
          <w:bCs/>
          <w:color w:val="000000" w:themeColor="text1"/>
        </w:rPr>
        <w:t>-</w:t>
      </w:r>
      <w:r w:rsidR="00A03BED" w:rsidRPr="00476931">
        <w:rPr>
          <w:b/>
          <w:bCs/>
          <w:color w:val="000000" w:themeColor="text1"/>
        </w:rPr>
        <w:t>8B</w:t>
      </w:r>
      <w:r w:rsidR="00A03BED" w:rsidRPr="00476931">
        <w:rPr>
          <w:color w:val="000000" w:themeColor="text1"/>
        </w:rPr>
        <w:t xml:space="preserve">), with ~45% of quantified proteins unique to each specific immune pathway. </w:t>
      </w:r>
    </w:p>
    <w:p w14:paraId="1FE5F6C0" w14:textId="2A07C166" w:rsidR="00801078" w:rsidRPr="00476931" w:rsidRDefault="00A03BED" w:rsidP="00A03BED">
      <w:pPr>
        <w:rPr>
          <w:color w:val="000000" w:themeColor="text1"/>
        </w:rPr>
      </w:pPr>
      <w:r w:rsidRPr="00476931">
        <w:rPr>
          <w:color w:val="000000" w:themeColor="text1"/>
        </w:rPr>
        <w:t>Functional β-diversity of host and microbial proteins reveals distinct partitioning which is quite variable and is highly infant-specific</w:t>
      </w:r>
      <w:r w:rsidR="00697361">
        <w:rPr>
          <w:color w:val="000000" w:themeColor="text1"/>
        </w:rPr>
        <w:t>.</w:t>
      </w:r>
      <w:r w:rsidRPr="00476931">
        <w:rPr>
          <w:color w:val="000000" w:themeColor="text1"/>
        </w:rPr>
        <w:t xml:space="preserve"> To narrow the investigation to focus on biological drivers of microbiome function related to host </w:t>
      </w:r>
    </w:p>
    <w:p w14:paraId="260E91F5" w14:textId="77777777" w:rsidR="002238BC" w:rsidRDefault="00310878" w:rsidP="002238BC">
      <w:pPr>
        <w:keepNext/>
        <w:ind w:hanging="68"/>
      </w:pPr>
      <w:r w:rsidRPr="00476931">
        <w:rPr>
          <w:rFonts w:ascii="Times New Roman" w:hAnsi="Times New Roman" w:cs="Times New Roman"/>
          <w:noProof/>
          <w:color w:val="000000" w:themeColor="text1"/>
        </w:rPr>
        <w:drawing>
          <wp:inline distT="0" distB="0" distL="0" distR="0" wp14:anchorId="6690A33D" wp14:editId="5DC99D2F">
            <wp:extent cx="5503056" cy="3251200"/>
            <wp:effectExtent l="0" t="0" r="0" b="0"/>
            <wp:docPr id="45" name="Graphic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extLst>
                        <a:ext uri="{96DAC541-7B7A-43D3-8B79-37D633B846F1}">
                          <asvg:svgBlip xmlns:asvg="http://schemas.microsoft.com/office/drawing/2016/SVG/main" r:embed="rId79"/>
                        </a:ext>
                      </a:extLst>
                    </a:blip>
                    <a:stretch>
                      <a:fillRect/>
                    </a:stretch>
                  </pic:blipFill>
                  <pic:spPr>
                    <a:xfrm>
                      <a:off x="0" y="0"/>
                      <a:ext cx="5507873" cy="3254046"/>
                    </a:xfrm>
                    <a:prstGeom prst="rect">
                      <a:avLst/>
                    </a:prstGeom>
                  </pic:spPr>
                </pic:pic>
              </a:graphicData>
            </a:graphic>
          </wp:inline>
        </w:drawing>
      </w:r>
    </w:p>
    <w:p w14:paraId="7701EEA1" w14:textId="069CD67E" w:rsidR="002238BC" w:rsidRPr="002238BC" w:rsidRDefault="002238BC" w:rsidP="002238BC">
      <w:pPr>
        <w:pStyle w:val="Caption"/>
        <w:rPr>
          <w:b w:val="0"/>
          <w:bCs/>
        </w:rPr>
      </w:pPr>
      <w:bookmarkStart w:id="360" w:name="_Toc110246961"/>
      <w:r>
        <w:t xml:space="preserve">Figure </w:t>
      </w:r>
      <w:fldSimple w:instr=" STYLEREF 1 \s ">
        <w:r w:rsidR="00AC2094">
          <w:rPr>
            <w:noProof/>
          </w:rPr>
          <w:t>6</w:t>
        </w:r>
      </w:fldSimple>
      <w:r w:rsidR="00AC2094">
        <w:noBreakHyphen/>
      </w:r>
      <w:fldSimple w:instr=" SEQ Figure \* ARABIC \s 1 ">
        <w:r w:rsidR="00AC2094">
          <w:rPr>
            <w:noProof/>
          </w:rPr>
          <w:t>7</w:t>
        </w:r>
      </w:fldSimple>
      <w:r>
        <w:t xml:space="preserve">  </w:t>
      </w:r>
      <w:r w:rsidRPr="002238BC">
        <w:t>Fecal samples collected for metaproteomic measurements for all infants in the study.</w:t>
      </w:r>
      <w:bookmarkEnd w:id="360"/>
      <w:r w:rsidRPr="002238BC">
        <w:t xml:space="preserve">  </w:t>
      </w:r>
      <w:r w:rsidRPr="002238BC">
        <w:rPr>
          <w:b w:val="0"/>
          <w:bCs/>
        </w:rPr>
        <w:fldChar w:fldCharType="begin"/>
      </w:r>
      <w:r w:rsidRPr="002238BC">
        <w:rPr>
          <w:b w:val="0"/>
          <w:bCs/>
        </w:rPr>
        <w:instrText xml:space="preserve"> </w:instrText>
      </w:r>
    </w:p>
    <w:p w14:paraId="67A6CC9A" w14:textId="77777777" w:rsidR="002238BC" w:rsidRPr="002238BC" w:rsidRDefault="002238BC" w:rsidP="002238BC">
      <w:pPr>
        <w:pStyle w:val="Caption"/>
        <w:rPr>
          <w:b w:val="0"/>
          <w:bCs/>
        </w:rPr>
      </w:pPr>
    </w:p>
    <w:p w14:paraId="5ACAFD11" w14:textId="0B7EA194" w:rsidR="002238BC" w:rsidRPr="002238BC" w:rsidRDefault="002238BC" w:rsidP="002238BC">
      <w:pPr>
        <w:pStyle w:val="Caption"/>
        <w:rPr>
          <w:b w:val="0"/>
          <w:bCs/>
        </w:rPr>
      </w:pPr>
      <w:r w:rsidRPr="002238BC">
        <w:rPr>
          <w:b w:val="0"/>
          <w:bCs/>
        </w:rPr>
        <w:instrText xml:space="preserve"> </w:instrText>
      </w:r>
      <w:r w:rsidRPr="002238BC">
        <w:rPr>
          <w:b w:val="0"/>
          <w:bCs/>
        </w:rPr>
        <w:fldChar w:fldCharType="end"/>
      </w:r>
      <w:r w:rsidRPr="002238BC">
        <w:rPr>
          <w:b w:val="0"/>
          <w:bCs/>
        </w:rPr>
        <w:fldChar w:fldCharType="begin"/>
      </w:r>
      <w:r w:rsidRPr="002238BC">
        <w:rPr>
          <w:b w:val="0"/>
          <w:bCs/>
        </w:rPr>
        <w:instrText xml:space="preserve"> </w:instrText>
      </w:r>
    </w:p>
    <w:p w14:paraId="385B627F" w14:textId="77777777" w:rsidR="002238BC" w:rsidRPr="002238BC" w:rsidRDefault="002238BC" w:rsidP="002238BC">
      <w:pPr>
        <w:pStyle w:val="Caption"/>
        <w:rPr>
          <w:b w:val="0"/>
          <w:bCs/>
        </w:rPr>
      </w:pPr>
    </w:p>
    <w:p w14:paraId="24DE7C81" w14:textId="77777777" w:rsidR="002238BC" w:rsidRPr="002238BC" w:rsidRDefault="002238BC" w:rsidP="002238BC">
      <w:pPr>
        <w:pStyle w:val="Caption"/>
        <w:rPr>
          <w:b w:val="0"/>
          <w:bCs/>
        </w:rPr>
      </w:pPr>
      <w:r w:rsidRPr="002238BC">
        <w:rPr>
          <w:b w:val="0"/>
          <w:bCs/>
        </w:rPr>
        <w:instrText xml:space="preserve"> </w:instrText>
      </w:r>
      <w:r w:rsidRPr="002238BC">
        <w:rPr>
          <w:b w:val="0"/>
          <w:bCs/>
        </w:rPr>
        <w:fldChar w:fldCharType="end"/>
      </w:r>
      <w:r w:rsidRPr="002238BC">
        <w:rPr>
          <w:b w:val="0"/>
          <w:bCs/>
        </w:rPr>
        <w:t>Using necrotizing enterocolitis (NEC) as a representative dysbiotic condition, 91 fecal samples (blue circles) were taken from seventeen preterm infants over the first 90 days of life. Multiple time points were measured per infant to assess intraindividual variability over time.  Six infants developed NEC during the early stages of life (underlined in red on the y-axis). Birth age (in gestational weeks) is noted for each infant with black squares.</w:t>
      </w:r>
    </w:p>
    <w:p w14:paraId="7DFBC803" w14:textId="77777777" w:rsidR="007E65A0" w:rsidRPr="00476931" w:rsidRDefault="007E65A0">
      <w:pPr>
        <w:spacing w:before="1"/>
        <w:rPr>
          <w:rStyle w:val="BodyTextChar"/>
          <w:iCs/>
        </w:rPr>
      </w:pPr>
      <w:r w:rsidRPr="00476931">
        <w:rPr>
          <w:rStyle w:val="BodyTextChar"/>
        </w:rPr>
        <w:br w:type="page"/>
      </w:r>
    </w:p>
    <w:p w14:paraId="383C0150" w14:textId="77777777" w:rsidR="00C96DEF" w:rsidRDefault="00C96DEF" w:rsidP="00C96DEF">
      <w:pPr>
        <w:keepNext/>
        <w:ind w:left="360" w:firstLine="0"/>
      </w:pPr>
      <w:r w:rsidRPr="00C96DEF">
        <w:rPr>
          <w:noProof/>
          <w:color w:val="000000" w:themeColor="text1"/>
        </w:rPr>
        <mc:AlternateContent>
          <mc:Choice Requires="wpg">
            <w:drawing>
              <wp:inline distT="0" distB="0" distL="0" distR="0" wp14:anchorId="0EC90FCD" wp14:editId="3613FC81">
                <wp:extent cx="5003800" cy="2133600"/>
                <wp:effectExtent l="0" t="0" r="0" b="0"/>
                <wp:docPr id="3" name="Group 2">
                  <a:extLst xmlns:a="http://schemas.openxmlformats.org/drawingml/2006/main">
                    <a:ext uri="{FF2B5EF4-FFF2-40B4-BE49-F238E27FC236}">
                      <a16:creationId xmlns:a16="http://schemas.microsoft.com/office/drawing/2014/main" id="{24D70573-8F57-BFE9-C0B3-37EA9D027E94}"/>
                    </a:ext>
                  </a:extLst>
                </wp:docPr>
                <wp:cNvGraphicFramePr/>
                <a:graphic xmlns:a="http://schemas.openxmlformats.org/drawingml/2006/main">
                  <a:graphicData uri="http://schemas.microsoft.com/office/word/2010/wordprocessingGroup">
                    <wpg:wgp>
                      <wpg:cNvGrpSpPr/>
                      <wpg:grpSpPr>
                        <a:xfrm>
                          <a:off x="0" y="0"/>
                          <a:ext cx="5003800" cy="2133600"/>
                          <a:chOff x="0" y="0"/>
                          <a:chExt cx="4658205" cy="1875670"/>
                        </a:xfrm>
                      </wpg:grpSpPr>
                      <pic:pic xmlns:pic="http://schemas.openxmlformats.org/drawingml/2006/picture">
                        <pic:nvPicPr>
                          <pic:cNvPr id="14" name="Picture 2">
                            <a:extLst>
                              <a:ext uri="{FF2B5EF4-FFF2-40B4-BE49-F238E27FC236}">
                                <a16:creationId xmlns:a16="http://schemas.microsoft.com/office/drawing/2014/main" id="{8A514108-5EA9-458A-B94F-38E0BFCACF84}"/>
                              </a:ext>
                            </a:extLst>
                          </pic:cNvPr>
                          <pic:cNvPicPr>
                            <a:picLocks noChangeAspect="1"/>
                          </pic:cNvPicPr>
                        </pic:nvPicPr>
                        <pic:blipFill>
                          <a:blip r:embed="rId80">
                            <a:clrChange>
                              <a:clrFrom>
                                <a:srgbClr val="FFFFFF"/>
                              </a:clrFrom>
                              <a:clrTo>
                                <a:srgbClr val="FFFFFF">
                                  <a:alpha val="0"/>
                                </a:srgbClr>
                              </a:clrTo>
                            </a:clrChange>
                          </a:blip>
                          <a:stretch>
                            <a:fillRect/>
                          </a:stretch>
                        </pic:blipFill>
                        <pic:spPr>
                          <a:xfrm>
                            <a:off x="0" y="0"/>
                            <a:ext cx="1904276" cy="1875670"/>
                          </a:xfrm>
                          <a:prstGeom prst="rect">
                            <a:avLst/>
                          </a:prstGeom>
                        </pic:spPr>
                      </pic:pic>
                      <pic:pic xmlns:pic="http://schemas.openxmlformats.org/drawingml/2006/picture">
                        <pic:nvPicPr>
                          <pic:cNvPr id="16" name="Picture 4">
                            <a:extLst>
                              <a:ext uri="{FF2B5EF4-FFF2-40B4-BE49-F238E27FC236}">
                                <a16:creationId xmlns:a16="http://schemas.microsoft.com/office/drawing/2014/main" id="{050DC108-F744-45CF-A7D4-59184CD5C736}"/>
                              </a:ext>
                            </a:extLst>
                          </pic:cNvPr>
                          <pic:cNvPicPr>
                            <a:picLocks noChangeAspect="1"/>
                          </pic:cNvPicPr>
                        </pic:nvPicPr>
                        <pic:blipFill>
                          <a:blip r:embed="rId81"/>
                          <a:stretch>
                            <a:fillRect/>
                          </a:stretch>
                        </pic:blipFill>
                        <pic:spPr>
                          <a:xfrm>
                            <a:off x="1996219" y="0"/>
                            <a:ext cx="2661986" cy="1875670"/>
                          </a:xfrm>
                          <a:prstGeom prst="rect">
                            <a:avLst/>
                          </a:prstGeom>
                        </pic:spPr>
                      </pic:pic>
                    </wpg:wgp>
                  </a:graphicData>
                </a:graphic>
              </wp:inline>
            </w:drawing>
          </mc:Choice>
          <mc:Fallback xmlns:oel="http://schemas.microsoft.com/office/2019/extlst">
            <w:pict>
              <v:group w14:anchorId="03DCCF61" id="Group 2" o:spid="_x0000_s1026" style="width:394pt;height:168pt;mso-position-horizontal-relative:char;mso-position-vertical-relative:line" coordsize="46582,187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19042;height:18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">
                  <v:imagedata r:id="rId85" o:title="" chromakey="white"/>
                </v:shape>
                <v:shape id="Picture 4" o:spid="_x0000_s1028" type="#_x0000_t75" style="position:absolute;left:19962;width:26620;height:18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">
                  <v:imagedata r:id="rId86" o:title=""/>
                </v:shape>
                <w10:anchorlock/>
              </v:group>
            </w:pict>
          </mc:Fallback>
        </mc:AlternateContent>
      </w:r>
    </w:p>
    <w:p w14:paraId="030E8F78" w14:textId="56AC0660" w:rsidR="00C96DEF" w:rsidRPr="00C96DEF" w:rsidRDefault="00C96DEF" w:rsidP="00C96DEF">
      <w:pPr>
        <w:pStyle w:val="Caption"/>
      </w:pPr>
      <w:bookmarkStart w:id="361" w:name="_Toc110246962"/>
      <w:r>
        <w:t xml:space="preserve">Figure </w:t>
      </w:r>
      <w:fldSimple w:instr=" STYLEREF 1 \s ">
        <w:r w:rsidR="00AC2094">
          <w:rPr>
            <w:noProof/>
          </w:rPr>
          <w:t>6</w:t>
        </w:r>
      </w:fldSimple>
      <w:r w:rsidR="00AC2094">
        <w:noBreakHyphen/>
      </w:r>
      <w:fldSimple w:instr=" SEQ Figure \* ARABIC \s 1 ">
        <w:r w:rsidR="00AC2094">
          <w:rPr>
            <w:noProof/>
          </w:rPr>
          <w:t>8</w:t>
        </w:r>
      </w:fldSimple>
      <w:r>
        <w:t xml:space="preserve">  </w:t>
      </w:r>
      <w:r w:rsidRPr="00C96DEF">
        <w:t xml:space="preserve">Distribution of protein groups identified in each sample for each protein source (A) and the percentage of human proteins quantified in each </w:t>
      </w:r>
      <w:proofErr w:type="spellStart"/>
      <w:r w:rsidRPr="00C96DEF">
        <w:t>Reactome</w:t>
      </w:r>
      <w:proofErr w:type="spellEnd"/>
      <w:r w:rsidRPr="00C96DEF">
        <w:t xml:space="preserve"> annotation category (B).</w:t>
      </w:r>
      <w:bookmarkEnd w:id="361"/>
      <w:r w:rsidRPr="00C96DEF">
        <w:fldChar w:fldCharType="begin"/>
      </w:r>
      <w:r w:rsidRPr="00C96DEF">
        <w:instrText xml:space="preserve"> </w:instrText>
      </w:r>
    </w:p>
    <w:p w14:paraId="60A28FC9" w14:textId="77777777" w:rsidR="00C96DEF" w:rsidRPr="00C96DEF" w:rsidRDefault="00C96DEF" w:rsidP="00C96DEF">
      <w:pPr>
        <w:pStyle w:val="Caption"/>
      </w:pPr>
    </w:p>
    <w:p w14:paraId="39041A07" w14:textId="265E00FF" w:rsidR="00C96DEF" w:rsidRPr="00C96DEF" w:rsidRDefault="00C96DEF" w:rsidP="00C96DEF">
      <w:pPr>
        <w:pStyle w:val="Caption"/>
        <w:rPr>
          <w:b w:val="0"/>
          <w:bCs/>
        </w:rPr>
      </w:pPr>
      <w:r w:rsidRPr="00C96DEF">
        <w:instrText xml:space="preserve"> </w:instrText>
      </w:r>
      <w:r w:rsidRPr="00C96DEF">
        <w:fldChar w:fldCharType="end"/>
      </w:r>
      <w:r>
        <w:t xml:space="preserve">  </w:t>
      </w:r>
      <w:r w:rsidRPr="00C96DEF">
        <w:rPr>
          <w:b w:val="0"/>
          <w:bCs/>
        </w:rPr>
        <w:fldChar w:fldCharType="begin"/>
      </w:r>
      <w:r w:rsidRPr="00C96DEF">
        <w:rPr>
          <w:b w:val="0"/>
          <w:bCs/>
        </w:rPr>
        <w:instrText xml:space="preserve"> </w:instrText>
      </w:r>
    </w:p>
    <w:p w14:paraId="3262C601" w14:textId="77777777" w:rsidR="00C96DEF" w:rsidRPr="00C96DEF" w:rsidRDefault="00C96DEF" w:rsidP="00C96DEF">
      <w:pPr>
        <w:pStyle w:val="Caption"/>
        <w:rPr>
          <w:b w:val="0"/>
          <w:bCs/>
        </w:rPr>
      </w:pPr>
    </w:p>
    <w:p w14:paraId="5772FDC5" w14:textId="1272139A" w:rsidR="00C96DEF" w:rsidRPr="00C96DEF" w:rsidRDefault="00C96DEF" w:rsidP="00C96DEF">
      <w:pPr>
        <w:pStyle w:val="Caption"/>
        <w:rPr>
          <w:b w:val="0"/>
          <w:bCs/>
        </w:rPr>
      </w:pPr>
      <w:r w:rsidRPr="00C96DEF">
        <w:rPr>
          <w:b w:val="0"/>
          <w:bCs/>
        </w:rPr>
        <w:instrText xml:space="preserve"> </w:instrText>
      </w:r>
      <w:r w:rsidRPr="00C96DEF">
        <w:rPr>
          <w:b w:val="0"/>
          <w:bCs/>
        </w:rPr>
        <w:fldChar w:fldCharType="end"/>
      </w:r>
      <w:r w:rsidRPr="00C96DEF">
        <w:rPr>
          <w:b w:val="0"/>
          <w:bCs/>
        </w:rPr>
        <w:t xml:space="preserve">In panel A, protein group identifications were based on uniquely mapping peptides.  Microbial and human proteins were clustered at 100% and 85% sequence similarity, respectively. Each violin plot illustrates the kernel probability density for all samples collected (the width represents the proportion of the data) and the horizontal bars on the box plot depict the median and interquartile range of the distribution. In panel B, the </w:t>
      </w:r>
      <w:proofErr w:type="spellStart"/>
      <w:r w:rsidRPr="00C96DEF">
        <w:rPr>
          <w:b w:val="0"/>
          <w:bCs/>
        </w:rPr>
        <w:t>Reactome</w:t>
      </w:r>
      <w:proofErr w:type="spellEnd"/>
      <w:r w:rsidRPr="00C96DEF">
        <w:rPr>
          <w:b w:val="0"/>
          <w:bCs/>
        </w:rPr>
        <w:t xml:space="preserve"> database was used to annotate human proteins based on proteins that uniquely map to one category.  The bar plots show the proportion of proteins in each </w:t>
      </w:r>
      <w:proofErr w:type="spellStart"/>
      <w:r w:rsidRPr="00C96DEF">
        <w:rPr>
          <w:b w:val="0"/>
          <w:bCs/>
        </w:rPr>
        <w:t>Reactome</w:t>
      </w:r>
      <w:proofErr w:type="spellEnd"/>
      <w:r w:rsidRPr="00C96DEF">
        <w:rPr>
          <w:b w:val="0"/>
          <w:bCs/>
        </w:rPr>
        <w:t xml:space="preserve"> category quantified per infant. Among the quantified human proteins, proteins related to immune functions (lime green bars) represent around 10-15% of human protein identifications. </w:t>
      </w:r>
    </w:p>
    <w:p w14:paraId="1E6083D7" w14:textId="77777777" w:rsidR="00727486" w:rsidRPr="00476931" w:rsidRDefault="00727486" w:rsidP="00727486">
      <w:pPr>
        <w:ind w:left="878" w:firstLine="0"/>
        <w:rPr>
          <w:color w:val="000000" w:themeColor="text1"/>
        </w:rPr>
      </w:pPr>
      <w:r w:rsidRPr="00476931">
        <w:rPr>
          <w:color w:val="000000" w:themeColor="text1"/>
        </w:rPr>
        <w:br w:type="page"/>
      </w:r>
    </w:p>
    <w:p w14:paraId="604AD05C" w14:textId="0F08DCDC" w:rsidR="00A03BED" w:rsidRPr="00476931" w:rsidRDefault="00C7280B" w:rsidP="00A03BED">
      <w:pPr>
        <w:ind w:firstLine="22"/>
        <w:rPr>
          <w:color w:val="000000" w:themeColor="text1"/>
        </w:rPr>
      </w:pPr>
      <w:r w:rsidRPr="00476931">
        <w:rPr>
          <w:color w:val="000000" w:themeColor="text1"/>
        </w:rPr>
        <w:t>immune mechanisms, we used non-metric multidimensional scaling of Jaccard distances to assess the functional β-diversity of samples based on the presence</w:t>
      </w:r>
      <w:r w:rsidR="006D3BB0">
        <w:rPr>
          <w:color w:val="000000" w:themeColor="text1"/>
        </w:rPr>
        <w:t xml:space="preserve"> </w:t>
      </w:r>
      <w:r w:rsidR="00801078" w:rsidRPr="00476931">
        <w:rPr>
          <w:color w:val="000000" w:themeColor="text1"/>
        </w:rPr>
        <w:t>quantified in each sample.  The functional dissimilarities between samples were explored on four different levels: (1) all quantified human protein and microbial KEGG orthology (KO) terms, (2) only microbial KO terms, (3) all human proteins, and (4) only immune-related human proteins.   In this study, NEC was used as a representative dysbiotic condition to compare normal and abnormal establishment of the gut environment. Due to the heterogeneity in colonization patterns among infants who did or did not go on to develop this condition, it is apparent that other health factors can also have critical impacts on both host and microbial protein expression during this phase of life. To explore the impact of these other factors, ordination analysis was paired with PERMANOVA statistical testing to see if any health metadata categories were significant drivers of separation between samples. Among the metadata factors that played a role in the functional β-diversity of the samples, the ordination analysis revealed functional partitioning among samples based on several metadata categories including infant number, delivery mode, feeding type, and the development of infection, sepsis, or NEC. Other factors such as the age of the infants based on gestational age or day of life, birth age, and birth weight did not significantly impact the functional dissimilarity of the samples at any of the four protein levels considered.  The largest factor contributing to the variance between samples considering all four functional levels was the infant each sample was collected from, with 79% of the variance across all proteins measured in the dataset explained by this factor.</w:t>
      </w:r>
    </w:p>
    <w:p w14:paraId="22E0137E" w14:textId="620D99A5" w:rsidR="00310878" w:rsidRPr="00476931" w:rsidRDefault="00A03BED" w:rsidP="00727486">
      <w:pPr>
        <w:ind w:firstLine="742"/>
        <w:rPr>
          <w:color w:val="000000" w:themeColor="text1"/>
        </w:rPr>
      </w:pPr>
      <w:r w:rsidRPr="00476931">
        <w:rPr>
          <w:color w:val="000000" w:themeColor="text1"/>
        </w:rPr>
        <w:t xml:space="preserve">Due to the heterogeneity in both infant health characteristics (delivery mode, gestational age, disease status, antibiotic administration, time of sample collection, etc.), many of the observed trends were largely infant-specific.  Based on this level of global analysis, it was clear that the approach of evaluating all samples from the infants in the cohort together could lead to a confounded interpretation of the data, as host-microbial interactions are highly dependent on the environmental context at the time of sample collection. In addition, grouping samples without accounting for sampling time washed out some observations of highly dynamic, time-dependent processes. The ability to interrogate these temporal dynamics was a key strength of this sample set, which led us to the conclusion that an alternative approach needed to be taken to </w:t>
      </w:r>
      <w:r w:rsidR="00310878" w:rsidRPr="00476931">
        <w:rPr>
          <w:color w:val="000000" w:themeColor="text1"/>
        </w:rPr>
        <w:t xml:space="preserve">analyze the data further.  </w:t>
      </w:r>
      <w:proofErr w:type="gramStart"/>
      <w:r w:rsidR="00310878" w:rsidRPr="00476931">
        <w:rPr>
          <w:color w:val="000000" w:themeColor="text1"/>
        </w:rPr>
        <w:t>In light of</w:t>
      </w:r>
      <w:proofErr w:type="gramEnd"/>
      <w:r w:rsidR="00310878" w:rsidRPr="00476931">
        <w:rPr>
          <w:color w:val="000000" w:themeColor="text1"/>
        </w:rPr>
        <w:t xml:space="preserve"> this conclusion, we set out to investigate some of the unanswered questions that arose in previous analyses of this dataset related to antibiotic resistance and shifts in community abundance that were not associated with times of disease onset.</w:t>
      </w:r>
    </w:p>
    <w:p w14:paraId="09588A31" w14:textId="77777777" w:rsidR="00310878" w:rsidRPr="00476931" w:rsidRDefault="00310878" w:rsidP="00343C78">
      <w:pPr>
        <w:pStyle w:val="paragraph"/>
        <w:spacing w:before="0" w:beforeAutospacing="0" w:after="0" w:afterAutospacing="0" w:line="360" w:lineRule="auto"/>
        <w:ind w:left="158"/>
        <w:jc w:val="both"/>
        <w:textAlignment w:val="baseline"/>
        <w:rPr>
          <w:color w:val="000000" w:themeColor="text1"/>
        </w:rPr>
      </w:pPr>
    </w:p>
    <w:p w14:paraId="48C2F9A6" w14:textId="1ED9C778" w:rsidR="005808D5" w:rsidRPr="00476931" w:rsidRDefault="005808D5" w:rsidP="00343C78">
      <w:pPr>
        <w:pStyle w:val="paragraph"/>
        <w:spacing w:before="0" w:beforeAutospacing="0" w:after="0" w:afterAutospacing="0" w:line="360" w:lineRule="auto"/>
        <w:ind w:left="158"/>
        <w:jc w:val="both"/>
        <w:textAlignment w:val="baseline"/>
        <w:rPr>
          <w:rStyle w:val="Heading4Char"/>
        </w:rPr>
      </w:pPr>
      <w:bookmarkStart w:id="362" w:name="_Toc110250298"/>
      <w:bookmarkStart w:id="363" w:name="_Toc110250555"/>
      <w:bookmarkStart w:id="364" w:name="_Toc110250686"/>
      <w:r w:rsidRPr="00476931">
        <w:rPr>
          <w:rStyle w:val="Heading4Char"/>
        </w:rPr>
        <w:t>6.3.2.</w:t>
      </w:r>
      <w:r w:rsidR="00326E1F">
        <w:rPr>
          <w:rStyle w:val="Heading4Char"/>
        </w:rPr>
        <w:t>1</w:t>
      </w:r>
      <w:r w:rsidRPr="00476931">
        <w:rPr>
          <w:rStyle w:val="Heading4Char"/>
        </w:rPr>
        <w:t xml:space="preserve">  </w:t>
      </w:r>
      <w:r w:rsidR="00310878" w:rsidRPr="00476931">
        <w:rPr>
          <w:rStyle w:val="Heading4Char"/>
        </w:rPr>
        <w:t>Antibiotic resistance mechanisms help selected microbes overcome susceptibility to antibiotics and persist in the environment</w:t>
      </w:r>
      <w:bookmarkEnd w:id="362"/>
      <w:bookmarkEnd w:id="363"/>
      <w:r w:rsidR="009902D6">
        <w:rPr>
          <w:rStyle w:val="Heading4Char"/>
        </w:rPr>
        <w:t>.</w:t>
      </w:r>
      <w:bookmarkEnd w:id="364"/>
    </w:p>
    <w:p w14:paraId="6A16FE14" w14:textId="77777777" w:rsidR="005808D5" w:rsidRPr="00476931" w:rsidRDefault="005808D5" w:rsidP="00343C78">
      <w:pPr>
        <w:pStyle w:val="paragraph"/>
        <w:spacing w:before="0" w:beforeAutospacing="0" w:after="0" w:afterAutospacing="0" w:line="360" w:lineRule="auto"/>
        <w:ind w:left="158"/>
        <w:jc w:val="both"/>
        <w:textAlignment w:val="baseline"/>
        <w:rPr>
          <w:rStyle w:val="Heading4Char"/>
        </w:rPr>
      </w:pPr>
    </w:p>
    <w:p w14:paraId="24BA1CDF" w14:textId="4D1D6A2A" w:rsidR="00310878" w:rsidRPr="00476931" w:rsidRDefault="00310878" w:rsidP="007500D0">
      <w:pPr>
        <w:ind w:left="180"/>
        <w:rPr>
          <w:color w:val="000000" w:themeColor="text1"/>
        </w:rPr>
      </w:pPr>
      <w:r w:rsidRPr="00476931">
        <w:rPr>
          <w:color w:val="000000" w:themeColor="text1"/>
        </w:rPr>
        <w:t>Based on previous findings</w:t>
      </w:r>
      <w:sdt>
        <w:sdtPr>
          <w:rPr>
            <w:color w:val="000000"/>
            <w:vertAlign w:val="superscript"/>
          </w:rPr>
          <w:tag w:val="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"/>
          <w:id w:val="69855502"/>
          <w:placeholder>
            <w:docPart w:val="1BA3A62A86EA9C4F97FFF48C514F655F"/>
          </w:placeholder>
        </w:sdtPr>
        <w:sdtEndPr/>
        <w:sdtContent>
          <w:r w:rsidR="003204EA" w:rsidRPr="003204EA">
            <w:rPr>
              <w:rFonts w:eastAsia="Times New Roman"/>
              <w:color w:val="000000"/>
              <w:vertAlign w:val="superscript"/>
            </w:rPr>
            <w:t>150,220</w:t>
          </w:r>
        </w:sdtContent>
      </w:sdt>
      <w:r w:rsidRPr="00476931">
        <w:rPr>
          <w:color w:val="000000" w:themeColor="text1"/>
        </w:rPr>
        <w:t>, it was apparent that there were antibiotic resistance-related proteins in</w:t>
      </w:r>
      <w:r w:rsidRPr="00D15746">
        <w:rPr>
          <w:i/>
          <w:iCs/>
          <w:color w:val="000000" w:themeColor="text1"/>
        </w:rPr>
        <w:t xml:space="preserve"> E. faecalis </w:t>
      </w:r>
      <w:r w:rsidRPr="00476931">
        <w:rPr>
          <w:color w:val="000000" w:themeColor="text1"/>
        </w:rPr>
        <w:t>within some of the infants in this cohort and the replication rates of selected microbes during periods of antibiotic administration indicated antibiotic resistance might be highly prevalent in organisms dominating the early-life gut environment. However, protein expression of the specific antibiotic resistance mechanisms used by any microbes in this dataset was not interrogated.  Here, we set out to determine the extent of antibiotic resistance in the gut microbiome for all infants in this cohort and to characterize the diversity of antibiotic resistance</w:t>
      </w:r>
      <w:r w:rsidRPr="00476931">
        <w:rPr>
          <w:color w:val="000000" w:themeColor="text1"/>
          <w:vertAlign w:val="superscript"/>
        </w:rPr>
        <w:t xml:space="preserve"> </w:t>
      </w:r>
      <w:r w:rsidRPr="00476931">
        <w:rPr>
          <w:color w:val="000000" w:themeColor="text1"/>
        </w:rPr>
        <w:t>mechanisms being utilized by the microbiota. All quantified microbial proteins were searched against the comprehensive antibiotic resistance database (CARD). In total, 241 protein sequences were identified across all 17 infants that mapped to 93 antibiotic resistance ontology (ARO) terms. These proteins represented six different resistance mechanisms. This protein overlap illustrates the functional redundancy of gut microbiota—with several organisms simultaneously expressing the same antibiotic resistance protein. It also supports the previous inference that the infant’s gut is a reservoir for antibiotic resistance genes</w:t>
      </w:r>
      <w:sdt>
        <w:sdtPr>
          <w:rPr>
            <w:color w:val="000000"/>
            <w:vertAlign w:val="superscript"/>
          </w:rPr>
          <w:tag w:val="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"/>
          <w:id w:val="693436435"/>
          <w:placeholder>
            <w:docPart w:val="45DBEDEB4059AC409B8320F8876742BF"/>
          </w:placeholder>
        </w:sdtPr>
        <w:sdtEndPr/>
        <w:sdtContent>
          <w:r w:rsidR="003204EA" w:rsidRPr="003204EA">
            <w:rPr>
              <w:rFonts w:eastAsia="Times New Roman"/>
              <w:color w:val="000000"/>
              <w:vertAlign w:val="superscript"/>
            </w:rPr>
            <w:t>201,225,226</w:t>
          </w:r>
        </w:sdtContent>
      </w:sdt>
      <w:r w:rsidRPr="00476931">
        <w:rPr>
          <w:color w:val="000000" w:themeColor="text1"/>
        </w:rPr>
        <w:t>.</w:t>
      </w:r>
    </w:p>
    <w:p w14:paraId="12F24ACA" w14:textId="595D6D7E" w:rsidR="005808D5" w:rsidRPr="00476931" w:rsidRDefault="00310878" w:rsidP="007500D0">
      <w:pPr>
        <w:ind w:left="180"/>
        <w:rPr>
          <w:color w:val="000000" w:themeColor="text1"/>
        </w:rPr>
      </w:pPr>
      <w:r w:rsidRPr="00476931">
        <w:rPr>
          <w:color w:val="000000" w:themeColor="text1"/>
        </w:rPr>
        <w:t xml:space="preserve">On average, 17 AROs were found in each timepoint across infants. In general, while the overall abundances of antibiotic resistance proteins changed over time, the relative contribution of individual resistance mechanisms utilized by microbiota remained unchanged across time in a specific individual unless perturbation of the system by administration of antibiotics. In addition, the overall ARO composition was highly variable among infants.  Among the entire infant cohort </w:t>
      </w:r>
      <w:r w:rsidRPr="00534286">
        <w:rPr>
          <w:b/>
          <w:bCs/>
          <w:color w:val="000000" w:themeColor="text1"/>
        </w:rPr>
        <w:t>(Figure 6</w:t>
      </w:r>
      <w:r w:rsidR="00697361">
        <w:rPr>
          <w:b/>
          <w:bCs/>
          <w:color w:val="000000" w:themeColor="text1"/>
        </w:rPr>
        <w:t>-</w:t>
      </w:r>
      <w:r w:rsidRPr="00534286">
        <w:rPr>
          <w:b/>
          <w:bCs/>
          <w:color w:val="000000" w:themeColor="text1"/>
        </w:rPr>
        <w:t>9)</w:t>
      </w:r>
      <w:r w:rsidRPr="00476931">
        <w:rPr>
          <w:color w:val="000000" w:themeColor="text1"/>
        </w:rPr>
        <w:t xml:space="preserve"> only four infants (3, 35, 65, and 71) had evident variations in the resistance mechanisms over time without antibiotic administration. In these infants, over time there was a change in the types of resistance mechanisms being expressed that did not correspond with periods of administered antibiotics.  In addition, in several infants, there was a change in the expression of AROs (based on summed abundance) that was not proportional to the change in the overall abundance of organisms expressing those proteins at those times. Overall, the antibiotic resistance patterns are somewhat chaotic over time, and observations regarding antibiotic resistance are best made at the level of the infant. </w:t>
      </w:r>
    </w:p>
    <w:p w14:paraId="43FFFE97" w14:textId="77777777" w:rsidR="00A03BED" w:rsidRPr="00476931" w:rsidRDefault="007500D0" w:rsidP="00A03BED">
      <w:pPr>
        <w:ind w:left="180" w:firstLine="0"/>
        <w:rPr>
          <w:color w:val="000000" w:themeColor="text1"/>
        </w:rPr>
      </w:pPr>
      <w:r w:rsidRPr="00476931">
        <w:rPr>
          <w:color w:val="000000" w:themeColor="text1"/>
        </w:rPr>
        <w:t xml:space="preserve">Upon examining the relative summed protein abundance of each organism in the community across the longitudinal series for each infant, some changes in community composition were observed, as would be expected based on antibiotic treatment of the infants over the first several weeks of life. In samples collected after the antibiotics were administered, there was a dramatic shift in the relative community composition based on this perturbation. While the susceptibility to antibiotics and associated resistance mechanisms expressed by microbes played an essential role in establishment dynamics, several dramatic changes in organismal abundance were not explained by the expression, or lack thereof, of antibiotic resistance-related proteins in individual microbes.  This indicates there must be other drivers of community establishment dynamics, and we hypothesized that microbial responses to host </w:t>
      </w:r>
      <w:r w:rsidR="00A03BED" w:rsidRPr="00476931">
        <w:rPr>
          <w:color w:val="000000" w:themeColor="text1"/>
        </w:rPr>
        <w:t xml:space="preserve">immune mechanisms might explain some shifts in relative organismal abundance across time in each infant.  </w:t>
      </w:r>
    </w:p>
    <w:p w14:paraId="1849C7D2" w14:textId="40A5E082" w:rsidR="006D3BB0" w:rsidRDefault="00A03BED" w:rsidP="006D3BB0">
      <w:pPr>
        <w:ind w:left="180"/>
        <w:rPr>
          <w:color w:val="000000" w:themeColor="text1"/>
        </w:rPr>
      </w:pPr>
      <w:r w:rsidRPr="00476931">
        <w:rPr>
          <w:color w:val="000000" w:themeColor="text1"/>
        </w:rPr>
        <w:t xml:space="preserve">Looking at samples across time within </w:t>
      </w:r>
      <w:proofErr w:type="gramStart"/>
      <w:r w:rsidRPr="00476931">
        <w:rPr>
          <w:color w:val="000000" w:themeColor="text1"/>
        </w:rPr>
        <w:t>each individual</w:t>
      </w:r>
      <w:proofErr w:type="gramEnd"/>
      <w:r w:rsidRPr="00476931">
        <w:rPr>
          <w:color w:val="000000" w:themeColor="text1"/>
        </w:rPr>
        <w:t xml:space="preserve"> yielded unique patterns of community dynamics in response to antibiotic administration and host processes when patient medical information was considered.  Leveraging patient metadata regarding disease onset and the timing and types of antibiotics administered to each infant, functional shifts of individual microbiota could be differentiated between</w:t>
      </w:r>
      <w:r w:rsidR="006D3BB0">
        <w:rPr>
          <w:color w:val="000000" w:themeColor="text1"/>
        </w:rPr>
        <w:t xml:space="preserve"> </w:t>
      </w:r>
      <w:r w:rsidR="006D3BB0" w:rsidRPr="006D3BB0">
        <w:rPr>
          <w:color w:val="000000" w:themeColor="text1"/>
        </w:rPr>
        <w:t xml:space="preserve">microbial responses to known and external perturbations on the gut environment </w:t>
      </w:r>
    </w:p>
    <w:p w14:paraId="42D1EA75" w14:textId="77777777" w:rsidR="00D23FD4" w:rsidRDefault="00D23FD4" w:rsidP="00D23FD4">
      <w:pPr>
        <w:keepNext/>
        <w:ind w:left="180" w:firstLine="0"/>
      </w:pPr>
      <w:r w:rsidRPr="00D23FD4">
        <w:rPr>
          <w:noProof/>
        </w:rPr>
        <w:drawing>
          <wp:inline distT="0" distB="0" distL="0" distR="0" wp14:anchorId="39B8180A" wp14:editId="667F10CC">
            <wp:extent cx="5042414" cy="2313854"/>
            <wp:effectExtent l="0" t="0" r="0" b="0"/>
            <wp:docPr id="49" name="Picture 3" descr="Chart, diagram&#10;&#10;Description automatically generated">
              <a:extLst xmlns:a="http://schemas.openxmlformats.org/drawingml/2006/main">
                <a:ext uri="{FF2B5EF4-FFF2-40B4-BE49-F238E27FC236}">
                  <a16:creationId xmlns:a16="http://schemas.microsoft.com/office/drawing/2014/main" id="{39169ED6-85C0-48C8-AC08-E96850F9A7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hart, diagram&#10;&#10;Description automatically generated">
                      <a:extLst>
                        <a:ext uri="{FF2B5EF4-FFF2-40B4-BE49-F238E27FC236}">
                          <a16:creationId xmlns:a16="http://schemas.microsoft.com/office/drawing/2014/main" id="{39169ED6-85C0-48C8-AC08-E96850F9A718}"/>
                        </a:ext>
                      </a:extLst>
                    </pic:cNvPr>
                    <pic:cNvPicPr>
                      <a:picLocks noChangeAspect="1"/>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042414" cy="2313854"/>
                    </a:xfrm>
                    <a:prstGeom prst="rect">
                      <a:avLst/>
                    </a:prstGeom>
                  </pic:spPr>
                </pic:pic>
              </a:graphicData>
            </a:graphic>
          </wp:inline>
        </w:drawing>
      </w:r>
    </w:p>
    <w:p w14:paraId="1DF55218" w14:textId="7CEFBBF3" w:rsidR="00D23FD4" w:rsidRDefault="00D23FD4" w:rsidP="00D23FD4">
      <w:pPr>
        <w:pStyle w:val="Caption"/>
      </w:pPr>
      <w:bookmarkStart w:id="365" w:name="_Toc110246963"/>
      <w:r>
        <w:t xml:space="preserve">Figure </w:t>
      </w:r>
      <w:fldSimple w:instr=" STYLEREF 1 \s ">
        <w:r w:rsidR="00AC2094">
          <w:rPr>
            <w:noProof/>
          </w:rPr>
          <w:t>6</w:t>
        </w:r>
      </w:fldSimple>
      <w:r w:rsidR="00AC2094">
        <w:noBreakHyphen/>
      </w:r>
      <w:fldSimple w:instr=" SEQ Figure \* ARABIC \s 1 ">
        <w:r w:rsidR="00AC2094">
          <w:rPr>
            <w:noProof/>
          </w:rPr>
          <w:t>9</w:t>
        </w:r>
      </w:fldSimple>
      <w:r>
        <w:t xml:space="preserve">  </w:t>
      </w:r>
      <w:r w:rsidR="00C96DEF" w:rsidRPr="00D23FD4">
        <w:t>Distribution of antibiotic resistance orthologs (AROs) found in each sample for all 17 infants in the study.</w:t>
      </w:r>
      <w:bookmarkEnd w:id="365"/>
      <w:r w:rsidR="00C96DEF" w:rsidRPr="00D23FD4">
        <w:t xml:space="preserve">  </w:t>
      </w:r>
      <w:r>
        <w:fldChar w:fldCharType="begin"/>
      </w:r>
      <w:r>
        <w:instrText xml:space="preserve"> </w:instrText>
      </w:r>
    </w:p>
    <w:p w14:paraId="2C10721B" w14:textId="77777777" w:rsidR="00D23FD4" w:rsidRDefault="00D23FD4" w:rsidP="00D23FD4">
      <w:pPr>
        <w:pStyle w:val="Caption"/>
      </w:pPr>
    </w:p>
    <w:p w14:paraId="79A59A98" w14:textId="3AAB63E3" w:rsidR="00C96DEF" w:rsidRPr="00D23FD4" w:rsidRDefault="00D23FD4" w:rsidP="00D23FD4">
      <w:pPr>
        <w:pStyle w:val="Caption"/>
      </w:pPr>
      <w:r>
        <w:instrText xml:space="preserve"> </w:instrText>
      </w:r>
      <w:r>
        <w:fldChar w:fldCharType="end"/>
      </w:r>
      <w:r w:rsidR="00C96DEF" w:rsidRPr="00D23FD4">
        <w:fldChar w:fldCharType="begin"/>
      </w:r>
      <w:r w:rsidR="00C96DEF" w:rsidRPr="00D23FD4">
        <w:instrText xml:space="preserve"> </w:instrText>
      </w:r>
    </w:p>
    <w:p w14:paraId="6FD77327" w14:textId="77777777" w:rsidR="00C96DEF" w:rsidRPr="00D23FD4" w:rsidRDefault="00C96DEF" w:rsidP="00D23FD4">
      <w:pPr>
        <w:ind w:left="878" w:firstLine="0"/>
      </w:pPr>
    </w:p>
    <w:p w14:paraId="3DE06FF4" w14:textId="67539104" w:rsidR="00C96DEF" w:rsidRPr="00D23FD4" w:rsidRDefault="00C96DEF" w:rsidP="00D23FD4">
      <w:pPr>
        <w:ind w:left="878" w:firstLine="0"/>
      </w:pPr>
      <w:r w:rsidRPr="00D23FD4">
        <w:instrText xml:space="preserve"> </w:instrText>
      </w:r>
      <w:r w:rsidRPr="00D23FD4">
        <w:fldChar w:fldCharType="end"/>
      </w:r>
      <w:r w:rsidRPr="00D23FD4">
        <w:fldChar w:fldCharType="begin"/>
      </w:r>
      <w:r w:rsidRPr="00D23FD4">
        <w:instrText xml:space="preserve"> </w:instrText>
      </w:r>
    </w:p>
    <w:p w14:paraId="6633B682" w14:textId="77777777" w:rsidR="00C96DEF" w:rsidRPr="00D23FD4" w:rsidRDefault="00C96DEF" w:rsidP="00D23FD4">
      <w:pPr>
        <w:ind w:left="878" w:firstLine="0"/>
      </w:pPr>
    </w:p>
    <w:p w14:paraId="5B8F126C" w14:textId="77777777" w:rsidR="00D23FD4" w:rsidRDefault="00C96DEF" w:rsidP="00D23FD4">
      <w:pPr>
        <w:ind w:left="878" w:firstLine="0"/>
      </w:pPr>
      <w:r w:rsidRPr="00D23FD4">
        <w:instrText xml:space="preserve"> </w:instrText>
      </w:r>
      <w:r w:rsidRPr="00D23FD4">
        <w:fldChar w:fldCharType="end"/>
      </w:r>
      <w:r w:rsidRPr="00D23FD4">
        <w:t>Samples are plotted based on time of collection (DOL) on the x-axis and by the infant on the y-axis.  The size of the bubble indicated the summed ARO abundance in the sample. The pie charts indicate the contribution of each CARD database antibiotic resistance mechanism identified in the sample to the overall summed ARO abundance. Also plotted are markers indicating dates of disease diagnosis and bars to indicate periods of time when antibiotics were administered.</w:t>
      </w:r>
    </w:p>
    <w:p w14:paraId="36856695" w14:textId="77777777" w:rsidR="00D23FD4" w:rsidRDefault="00D23FD4">
      <w:pPr>
        <w:spacing w:before="1"/>
      </w:pPr>
      <w:r>
        <w:br w:type="page"/>
      </w:r>
    </w:p>
    <w:p w14:paraId="74C1A718" w14:textId="1AC29972" w:rsidR="00310878" w:rsidRPr="00476931" w:rsidRDefault="00534286" w:rsidP="00D23FD4">
      <w:pPr>
        <w:ind w:firstLine="0"/>
      </w:pPr>
      <w:r w:rsidRPr="00476931">
        <w:t xml:space="preserve">analysis is highly individual-specific, it provides insights into community </w:t>
      </w:r>
      <w:r w:rsidR="00A03BED" w:rsidRPr="00476931">
        <w:t xml:space="preserve">establishment caused by antibiotic administration and unknown and internal perturbations caused by interactions with host processes and other community members.  While this type of </w:t>
      </w:r>
      <w:r w:rsidR="00310878" w:rsidRPr="00476931">
        <w:t>dynamics that would otherwise be missed if samples from infants were generalized to broad analysis classes without accounting for the heterogeneity of all longitudinal and environmental factors which have a non-negligent impact on the colonization of the gut environment.  To highlight this type of health-status-based longitudinal analysis, a few example infants will be highlighted and discussed that have a wide range of sampling time points leading up to disease diagnosis and subsequent antibiotic treatment and samples collected during and after antibiotic administration.  Although only two infants are described in detail for the following analysis, the protein expression profiles are not unique to these example infants but are found in multiple infants across the cohort.</w:t>
      </w:r>
    </w:p>
    <w:p w14:paraId="304ACFB2" w14:textId="2420E71D" w:rsidR="00D23FD4" w:rsidRDefault="00310878" w:rsidP="00D23FD4">
      <w:r w:rsidRPr="00476931">
        <w:t xml:space="preserve">Metal homeostasis mechanisms help microbes overcome host-imposed copper toxicity and iron restriction Out of the 17 infants in the cohort, infant 61 was the only infant diagnosed with sepsis and recurrent NEC.  Several samples were collected from subsequent days prior to the initial NEC diagnosis as well as samples collected during and after antibiotic administration.  This sampling allowed us to examine the observed changes in microbial functional composition preceding antibiotic administration.  In infant 61, after antibiotic treatment is initiated on day nine, there is a dramatic shift in the relative community composition based on this perturbation with both a reduction of some community members and a subsequent rebound in the relative abundance of those members observed after antibiotic treatment is completed </w:t>
      </w:r>
      <w:r w:rsidRPr="00534286">
        <w:rPr>
          <w:b/>
          <w:bCs/>
        </w:rPr>
        <w:t>(Figure 6</w:t>
      </w:r>
      <w:r w:rsidR="00697361">
        <w:rPr>
          <w:b/>
          <w:bCs/>
        </w:rPr>
        <w:t>-</w:t>
      </w:r>
      <w:r w:rsidRPr="00534286">
        <w:rPr>
          <w:b/>
          <w:bCs/>
        </w:rPr>
        <w:t>10)</w:t>
      </w:r>
      <w:r w:rsidRPr="00476931">
        <w:t>. However, not all changes in organismal abundance can be explained by susceptibility to antibiotics and associated resistance mechanisms being expressed.  Among the three dominant organisms in this infant (</w:t>
      </w:r>
      <w:r w:rsidRPr="00476931">
        <w:rPr>
          <w:i/>
        </w:rPr>
        <w:t>Enterococcus faecalis, Klebsiella</w:t>
      </w:r>
      <w:r w:rsidRPr="00476931">
        <w:t xml:space="preserve"> </w:t>
      </w:r>
      <w:r w:rsidRPr="00476931">
        <w:rPr>
          <w:i/>
        </w:rPr>
        <w:t>pnuemoniae</w:t>
      </w:r>
      <w:r w:rsidRPr="00476931">
        <w:t xml:space="preserve">, and </w:t>
      </w:r>
      <w:r w:rsidRPr="00476931">
        <w:rPr>
          <w:i/>
        </w:rPr>
        <w:t>Enterobacter cloacae</w:t>
      </w:r>
      <w:r w:rsidRPr="00476931">
        <w:t xml:space="preserve">), all three are typically susceptible to the types of antibiotics delivered </w:t>
      </w:r>
      <w:proofErr w:type="gramStart"/>
      <w:r w:rsidRPr="00476931">
        <w:t>during the course of</w:t>
      </w:r>
      <w:proofErr w:type="gramEnd"/>
      <w:r w:rsidRPr="00476931">
        <w:t xml:space="preserve"> the study. </w:t>
      </w:r>
      <w:r w:rsidRPr="00476931">
        <w:rPr>
          <w:i/>
        </w:rPr>
        <w:t>E. faecalis</w:t>
      </w:r>
      <w:r w:rsidRPr="00476931">
        <w:t xml:space="preserve"> was the dominant organism leading up to NEC diagnosis on day nine and decreased in relative</w:t>
      </w:r>
      <w:r w:rsidR="00D23FD4">
        <w:t xml:space="preserve"> </w:t>
      </w:r>
      <w:r w:rsidR="00D23FD4" w:rsidRPr="00476931">
        <w:t>abundance following subsequent initiation of antibiotic treatment.  After six days of</w:t>
      </w:r>
      <w:r w:rsidR="00D23FD4" w:rsidRPr="00D23FD4">
        <w:t xml:space="preserve"> </w:t>
      </w:r>
      <w:r w:rsidR="00D23FD4" w:rsidRPr="00476931">
        <w:t>continuous</w:t>
      </w:r>
    </w:p>
    <w:p w14:paraId="1F77730D" w14:textId="3573F58A" w:rsidR="00D23FD4" w:rsidRPr="00D23FD4" w:rsidRDefault="00D23FD4" w:rsidP="00D23FD4">
      <w:pPr>
        <w:pStyle w:val="Caption"/>
      </w:pPr>
      <w:bookmarkStart w:id="366" w:name="_Toc110246964"/>
      <w:r w:rsidRPr="00476931">
        <w:rPr>
          <w:noProof/>
        </w:rPr>
        <w:drawing>
          <wp:anchor distT="0" distB="0" distL="114300" distR="114300" simplePos="0" relativeHeight="251658269" behindDoc="0" locked="0" layoutInCell="1" allowOverlap="1" wp14:anchorId="2C00521F" wp14:editId="79AC212D">
            <wp:simplePos x="0" y="0"/>
            <wp:positionH relativeFrom="column">
              <wp:posOffset>0</wp:posOffset>
            </wp:positionH>
            <wp:positionV relativeFrom="paragraph">
              <wp:posOffset>110490</wp:posOffset>
            </wp:positionV>
            <wp:extent cx="5537200" cy="3138805"/>
            <wp:effectExtent l="0" t="0" r="0" b="0"/>
            <wp:wrapSquare wrapText="bothSides"/>
            <wp:docPr id="48" name="Graphic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8">
                      <a:extLst>
                        <a:ext uri="{28A0092B-C50C-407E-A947-70E740481C1C}">
                          <a14:useLocalDpi xmlns:a14="http://schemas.microsoft.com/office/drawing/2010/main" val="0"/>
                        </a:ext>
                        <a:ext uri="{96DAC541-7B7A-43D3-8B79-37D633B846F1}">
                          <asvg:svgBlip xmlns:asvg="http://schemas.microsoft.com/office/drawing/2016/SVG/main" r:embed="rId89"/>
                        </a:ext>
                      </a:extLst>
                    </a:blip>
                    <a:srcRect r="3816" b="6104"/>
                    <a:stretch/>
                  </pic:blipFill>
                  <pic:spPr bwMode="auto">
                    <a:xfrm>
                      <a:off x="0" y="0"/>
                      <a:ext cx="5537200" cy="31388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t xml:space="preserve">Figure </w:t>
      </w:r>
      <w:fldSimple w:instr=" STYLEREF 1 \s ">
        <w:r w:rsidR="00AC2094">
          <w:rPr>
            <w:noProof/>
          </w:rPr>
          <w:t>6</w:t>
        </w:r>
      </w:fldSimple>
      <w:r w:rsidR="00AC2094">
        <w:noBreakHyphen/>
      </w:r>
      <w:fldSimple w:instr=" SEQ Figure \* ARABIC \s 1 ">
        <w:r w:rsidR="00AC2094">
          <w:rPr>
            <w:noProof/>
          </w:rPr>
          <w:t>10</w:t>
        </w:r>
      </w:fldSimple>
      <w:r>
        <w:t xml:space="preserve">  </w:t>
      </w:r>
      <w:r w:rsidRPr="00D23FD4">
        <w:t>Relative abundance of organisms at each time point for samples collected for infant 61.</w:t>
      </w:r>
      <w:bookmarkEnd w:id="366"/>
    </w:p>
    <w:p w14:paraId="6993E234" w14:textId="448586AD" w:rsidR="00D23FD4" w:rsidRDefault="00D23FD4" w:rsidP="00D23FD4">
      <w:pPr>
        <w:pStyle w:val="Caption"/>
      </w:pPr>
      <w:r>
        <w:br w:type="page"/>
      </w:r>
    </w:p>
    <w:p w14:paraId="20922F5A" w14:textId="15B003CC" w:rsidR="005808D5" w:rsidRPr="00476931" w:rsidRDefault="00310878" w:rsidP="00D23FD4">
      <w:pPr>
        <w:ind w:firstLine="0"/>
      </w:pPr>
      <w:r w:rsidRPr="00476931">
        <w:t xml:space="preserve">antibiotics, it was drastically reduced in relative abundance, corresponding to its susceptibility to the antibiotics administered and the lack of resistance mechanisms. </w:t>
      </w:r>
      <w:r w:rsidRPr="00476931">
        <w:rPr>
          <w:i/>
        </w:rPr>
        <w:t>E. cloacae</w:t>
      </w:r>
      <w:r w:rsidRPr="00476931">
        <w:t xml:space="preserve"> increased in relative abundance after the administration of antibiotics on day nine and persisted as the dominant organism in the community until the measurement on day 82. </w:t>
      </w:r>
      <w:r w:rsidRPr="00476931">
        <w:rPr>
          <w:i/>
        </w:rPr>
        <w:t>K.</w:t>
      </w:r>
      <w:r w:rsidRPr="00476931">
        <w:t xml:space="preserve"> </w:t>
      </w:r>
      <w:r w:rsidRPr="00476931">
        <w:rPr>
          <w:i/>
        </w:rPr>
        <w:t>pnuemoniae</w:t>
      </w:r>
      <w:r w:rsidRPr="00476931">
        <w:t xml:space="preserve"> was the dominant organism with protein expression relating to antibiotic resistance mechanisms</w:t>
      </w:r>
      <w:r w:rsidRPr="00476931">
        <w:rPr>
          <w:b/>
        </w:rPr>
        <w:t xml:space="preserve">. </w:t>
      </w:r>
      <w:r w:rsidRPr="00476931">
        <w:t>However, this organism's relative abundance was already decreasing by day nine, before the start of antibiotic treatment, which indicates there are additional drivers of community establishment. We hypothesized that host immune responses might be contributing to the community shift.</w:t>
      </w:r>
    </w:p>
    <w:p w14:paraId="564D26EC" w14:textId="09E5BE22" w:rsidR="007500D0" w:rsidRPr="00476931" w:rsidRDefault="007500D0" w:rsidP="00D23FD4">
      <w:r w:rsidRPr="00476931">
        <w:t xml:space="preserve">Among host proteins related to immune response, there was increased host expression of proteins related to copper trafficking for antimicrobial activity starting at day eight.  Expression of host proteins related to copper trafficking, including PDZD11 and binding partner PLEKHA5, was observed in five out of the six timepoints collected for infant 61. In addition, there was also evidence of host trafficking of iron observed in this infant, with all timepoints in this infant displaying the highest average abundance of the siderophore binding protein, lipocalin-2 (LCN2), observed across the entire infant cohort. LCN2 is known for its ability to bind bacterial siderophores, microbial proteins that assist in iron harvesting, such as enterobactin and </w:t>
      </w:r>
      <w:proofErr w:type="spellStart"/>
      <w:r w:rsidRPr="00476931">
        <w:t>salmochelin</w:t>
      </w:r>
      <w:proofErr w:type="spellEnd"/>
      <w:r w:rsidRPr="00476931">
        <w:t>, to limit the bacterial iron acquisition and subsequently hamper the growth of microbes</w:t>
      </w:r>
      <w:sdt>
        <w:sdtPr>
          <w:rPr>
            <w:color w:val="000000"/>
            <w:vertAlign w:val="superscript"/>
          </w:rPr>
          <w:tag w:val="MENDELEY_CITATION_v3_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"/>
          <w:id w:val="1950504563"/>
          <w:placeholder>
            <w:docPart w:val="CAA4B1B22D3E5C4DBFEB438F66814AD3"/>
          </w:placeholder>
        </w:sdtPr>
        <w:sdtEndPr/>
        <w:sdtContent>
          <w:r w:rsidR="003204EA" w:rsidRPr="003204EA">
            <w:rPr>
              <w:color w:val="000000"/>
              <w:vertAlign w:val="superscript"/>
            </w:rPr>
            <w:t>227</w:t>
          </w:r>
        </w:sdtContent>
      </w:sdt>
      <w:r w:rsidRPr="00476931">
        <w:t>.</w:t>
      </w:r>
    </w:p>
    <w:p w14:paraId="67DA5906" w14:textId="27C8FCD5" w:rsidR="005808D5" w:rsidRPr="00534286" w:rsidRDefault="00A03BED" w:rsidP="00D23FD4">
      <w:r w:rsidRPr="00476931">
        <w:rPr>
          <w:rFonts w:ascii="Times New Roman" w:hAnsi="Times New Roman" w:cs="Times New Roman"/>
        </w:rPr>
        <w:t xml:space="preserve">Based on the indications that some infants were mounting an active immune response utilizing copper and iron trafficking-related antimicrobial activities, we focused on related metal trafficking activities in the microbiota.  In each infant </w:t>
      </w:r>
      <w:r w:rsidR="00594E96">
        <w:rPr>
          <w:rFonts w:ascii="Times New Roman" w:hAnsi="Times New Roman" w:cs="Times New Roman"/>
        </w:rPr>
        <w:t xml:space="preserve"> based on the </w:t>
      </w:r>
      <w:r w:rsidR="00B667C6">
        <w:rPr>
          <w:rFonts w:ascii="Times New Roman" w:hAnsi="Times New Roman" w:cs="Times New Roman"/>
        </w:rPr>
        <w:t>inc</w:t>
      </w:r>
      <w:r w:rsidRPr="00476931">
        <w:rPr>
          <w:rFonts w:ascii="Times New Roman" w:hAnsi="Times New Roman" w:cs="Times New Roman"/>
        </w:rPr>
        <w:t>reased host expression of proteins related to copper toxicity as an immune response, including</w:t>
      </w:r>
      <w:r w:rsidR="00594E96">
        <w:rPr>
          <w:rFonts w:ascii="Times New Roman" w:hAnsi="Times New Roman" w:cs="Times New Roman"/>
        </w:rPr>
        <w:t xml:space="preserve"> in </w:t>
      </w:r>
      <w:r w:rsidRPr="00476931">
        <w:rPr>
          <w:rFonts w:ascii="Times New Roman" w:hAnsi="Times New Roman" w:cs="Times New Roman"/>
        </w:rPr>
        <w:t xml:space="preserve"> infant 61, </w:t>
      </w:r>
      <w:r w:rsidR="00594E96">
        <w:rPr>
          <w:rFonts w:ascii="Times New Roman" w:hAnsi="Times New Roman" w:cs="Times New Roman"/>
        </w:rPr>
        <w:t xml:space="preserve">there was a corresponding microbial expression of </w:t>
      </w:r>
      <w:r w:rsidRPr="00476931">
        <w:rPr>
          <w:rFonts w:ascii="Times New Roman" w:hAnsi="Times New Roman" w:cs="Times New Roman"/>
        </w:rPr>
        <w:t xml:space="preserve"> expressed proteins associated with copper toxicity resistance or tolerance, including </w:t>
      </w:r>
      <w:proofErr w:type="spellStart"/>
      <w:r w:rsidRPr="00476931">
        <w:rPr>
          <w:rFonts w:ascii="Times New Roman" w:hAnsi="Times New Roman" w:cs="Times New Roman"/>
        </w:rPr>
        <w:t>CueR</w:t>
      </w:r>
      <w:proofErr w:type="spellEnd"/>
      <w:r w:rsidRPr="00476931">
        <w:rPr>
          <w:rFonts w:ascii="Times New Roman" w:hAnsi="Times New Roman" w:cs="Times New Roman"/>
        </w:rPr>
        <w:t xml:space="preserve">, CueO, and </w:t>
      </w:r>
      <w:proofErr w:type="spellStart"/>
      <w:r w:rsidRPr="00476931">
        <w:rPr>
          <w:rFonts w:ascii="Times New Roman" w:hAnsi="Times New Roman" w:cs="Times New Roman"/>
        </w:rPr>
        <w:t>CopA</w:t>
      </w:r>
      <w:proofErr w:type="spellEnd"/>
      <w:r w:rsidR="00594E96">
        <w:rPr>
          <w:rFonts w:ascii="Times New Roman" w:hAnsi="Times New Roman" w:cs="Times New Roman"/>
        </w:rPr>
        <w:t xml:space="preserve"> in some bacteria</w:t>
      </w:r>
      <w:r w:rsidRPr="00476931">
        <w:rPr>
          <w:rFonts w:ascii="Times New Roman" w:hAnsi="Times New Roman" w:cs="Times New Roman"/>
        </w:rPr>
        <w:t xml:space="preserve">.  These proteins are specifically involved in the efflux of Cu(I) from the cell and the transformation of Cu(I) into Cu(II). This resistance mechanism explains how some organisms within these infants might be persisting despite pressure from both host </w:t>
      </w:r>
      <w:r w:rsidR="00606F8D" w:rsidRPr="00476931">
        <w:rPr>
          <w:rFonts w:ascii="Times New Roman" w:hAnsi="Times New Roman" w:cs="Times New Roman"/>
        </w:rPr>
        <w:t>defenses</w:t>
      </w:r>
      <w:r w:rsidRPr="00476931">
        <w:rPr>
          <w:rFonts w:ascii="Times New Roman" w:hAnsi="Times New Roman" w:cs="Times New Roman"/>
        </w:rPr>
        <w:t xml:space="preserve"> and antibiotic administration.</w:t>
      </w:r>
    </w:p>
    <w:p w14:paraId="00827C65" w14:textId="6E778037" w:rsidR="00310878" w:rsidRPr="00476931" w:rsidRDefault="00310878" w:rsidP="007500D0">
      <w:pPr>
        <w:ind w:left="180"/>
        <w:rPr>
          <w:rFonts w:ascii="Times New Roman" w:hAnsi="Times New Roman" w:cs="Times New Roman"/>
          <w:color w:val="000000" w:themeColor="text1"/>
        </w:rPr>
      </w:pPr>
      <w:r w:rsidRPr="00476931">
        <w:rPr>
          <w:rFonts w:ascii="Times New Roman" w:hAnsi="Times New Roman" w:cs="Times New Roman"/>
          <w:color w:val="000000" w:themeColor="text1"/>
        </w:rPr>
        <w:t xml:space="preserve">Comparing the functional activities of the individual microbes in this infant, we found that </w:t>
      </w:r>
      <w:r w:rsidRPr="00B97C0B">
        <w:rPr>
          <w:rFonts w:ascii="Times New Roman" w:hAnsi="Times New Roman" w:cs="Times New Roman"/>
          <w:i/>
          <w:iCs/>
          <w:color w:val="000000" w:themeColor="text1"/>
        </w:rPr>
        <w:t>E. cloacae</w:t>
      </w:r>
      <w:r w:rsidRPr="00476931">
        <w:rPr>
          <w:rFonts w:ascii="Times New Roman" w:hAnsi="Times New Roman" w:cs="Times New Roman"/>
          <w:color w:val="000000" w:themeColor="text1"/>
        </w:rPr>
        <w:t xml:space="preserve"> expressed many proteins related to copper efflux.  These proteins were either not observed, in reduced abundance, or with fewer observed proteins in the other microbes in this infant.  This suggests copper efflux and resistance were not as prominent in these organisms, even if there was an active response to excess copper.  In addition, some of the proteins involved in the copper response identified in the two other dominant organisms do not have definitive physiological roles, unlike the proteins observed in </w:t>
      </w:r>
      <w:r w:rsidRPr="00606F8D">
        <w:rPr>
          <w:rFonts w:ascii="Times New Roman" w:hAnsi="Times New Roman" w:cs="Times New Roman"/>
          <w:i/>
          <w:iCs/>
          <w:color w:val="000000" w:themeColor="text1"/>
        </w:rPr>
        <w:t>E. cloacae</w:t>
      </w:r>
      <w:r w:rsidRPr="00476931">
        <w:rPr>
          <w:rFonts w:ascii="Times New Roman" w:hAnsi="Times New Roman" w:cs="Times New Roman"/>
          <w:color w:val="000000" w:themeColor="text1"/>
        </w:rPr>
        <w:t xml:space="preserve">, where there is a definitive path of efflux and detoxification of copper.  Among the other dominant organisms in infant 61, </w:t>
      </w:r>
      <w:r w:rsidRPr="00606F8D">
        <w:rPr>
          <w:rFonts w:ascii="Times New Roman" w:hAnsi="Times New Roman" w:cs="Times New Roman"/>
          <w:i/>
          <w:iCs/>
          <w:color w:val="000000" w:themeColor="text1"/>
        </w:rPr>
        <w:t>E. faecalis</w:t>
      </w:r>
      <w:r w:rsidRPr="00476931">
        <w:rPr>
          <w:rFonts w:ascii="Times New Roman" w:hAnsi="Times New Roman" w:cs="Times New Roman"/>
          <w:color w:val="000000" w:themeColor="text1"/>
        </w:rPr>
        <w:t xml:space="preserve"> was also found to express copper homeostasis-related proteins (</w:t>
      </w:r>
      <w:proofErr w:type="spellStart"/>
      <w:r w:rsidRPr="00476931">
        <w:rPr>
          <w:rFonts w:ascii="Times New Roman" w:hAnsi="Times New Roman" w:cs="Times New Roman"/>
          <w:color w:val="000000" w:themeColor="text1"/>
        </w:rPr>
        <w:t>CopA</w:t>
      </w:r>
      <w:proofErr w:type="spellEnd"/>
      <w:r w:rsidRPr="00476931">
        <w:rPr>
          <w:rFonts w:ascii="Times New Roman" w:hAnsi="Times New Roman" w:cs="Times New Roman"/>
          <w:color w:val="000000" w:themeColor="text1"/>
        </w:rPr>
        <w:t xml:space="preserve">, </w:t>
      </w:r>
      <w:proofErr w:type="spellStart"/>
      <w:r w:rsidRPr="00476931">
        <w:rPr>
          <w:rFonts w:ascii="Times New Roman" w:hAnsi="Times New Roman" w:cs="Times New Roman"/>
          <w:color w:val="000000" w:themeColor="text1"/>
        </w:rPr>
        <w:t>CopB</w:t>
      </w:r>
      <w:proofErr w:type="spellEnd"/>
      <w:r w:rsidRPr="00476931">
        <w:rPr>
          <w:rFonts w:ascii="Times New Roman" w:hAnsi="Times New Roman" w:cs="Times New Roman"/>
          <w:color w:val="000000" w:themeColor="text1"/>
        </w:rPr>
        <w:t xml:space="preserve">, and </w:t>
      </w:r>
      <w:proofErr w:type="spellStart"/>
      <w:r w:rsidRPr="00476931">
        <w:rPr>
          <w:rFonts w:ascii="Times New Roman" w:hAnsi="Times New Roman" w:cs="Times New Roman"/>
          <w:color w:val="000000" w:themeColor="text1"/>
        </w:rPr>
        <w:t>CutC</w:t>
      </w:r>
      <w:proofErr w:type="spellEnd"/>
      <w:r w:rsidRPr="00476931">
        <w:rPr>
          <w:rFonts w:ascii="Times New Roman" w:hAnsi="Times New Roman" w:cs="Times New Roman"/>
          <w:color w:val="000000" w:themeColor="text1"/>
        </w:rPr>
        <w:t xml:space="preserve">), but at lower levels than </w:t>
      </w:r>
      <w:r w:rsidRPr="00606F8D">
        <w:rPr>
          <w:rFonts w:ascii="Times New Roman" w:hAnsi="Times New Roman" w:cs="Times New Roman"/>
          <w:i/>
          <w:iCs/>
          <w:color w:val="000000" w:themeColor="text1"/>
        </w:rPr>
        <w:t>E. cloacae</w:t>
      </w:r>
      <w:r w:rsidRPr="00476931">
        <w:rPr>
          <w:rFonts w:ascii="Times New Roman" w:hAnsi="Times New Roman" w:cs="Times New Roman"/>
          <w:color w:val="000000" w:themeColor="text1"/>
        </w:rPr>
        <w:t xml:space="preserve">.  In addition to proteins involved in mitigating intracellular copper toxicity, only </w:t>
      </w:r>
      <w:r w:rsidRPr="00606F8D">
        <w:rPr>
          <w:rFonts w:ascii="Times New Roman" w:hAnsi="Times New Roman" w:cs="Times New Roman"/>
          <w:i/>
          <w:iCs/>
          <w:color w:val="000000" w:themeColor="text1"/>
        </w:rPr>
        <w:t>E. cloacae</w:t>
      </w:r>
      <w:r w:rsidRPr="00476931">
        <w:rPr>
          <w:rFonts w:ascii="Times New Roman" w:hAnsi="Times New Roman" w:cs="Times New Roman"/>
          <w:color w:val="000000" w:themeColor="text1"/>
        </w:rPr>
        <w:t xml:space="preserve"> showed expression of multiple proteins related to the biosynthesis of the siderophore enterobactin among the organisms in this infant. As only </w:t>
      </w:r>
      <w:r w:rsidRPr="00606F8D">
        <w:rPr>
          <w:rFonts w:ascii="Times New Roman" w:hAnsi="Times New Roman" w:cs="Times New Roman"/>
          <w:i/>
          <w:iCs/>
          <w:color w:val="000000" w:themeColor="text1"/>
        </w:rPr>
        <w:t>E. cloacae</w:t>
      </w:r>
      <w:r w:rsidRPr="00476931">
        <w:rPr>
          <w:rFonts w:ascii="Times New Roman" w:hAnsi="Times New Roman" w:cs="Times New Roman"/>
          <w:color w:val="000000" w:themeColor="text1"/>
        </w:rPr>
        <w:t xml:space="preserve"> was the only organism with observed expressional evidence of producing and importing enterobactin in this infant due to the elevated demand for iron-based on high levels of Cu(I) ions produced through host defense mechanisms, the other species were compromised by their inability to offset Cu(I) levels intracellularly with iron and the lack of different mechanisms to export Cu(I).</w:t>
      </w:r>
    </w:p>
    <w:p w14:paraId="28EAE039" w14:textId="10717F79" w:rsidR="00310878" w:rsidRPr="00476931" w:rsidRDefault="00310878" w:rsidP="007500D0">
      <w:pPr>
        <w:ind w:left="180"/>
        <w:rPr>
          <w:rFonts w:ascii="Times New Roman" w:hAnsi="Times New Roman" w:cs="Times New Roman"/>
          <w:color w:val="000000" w:themeColor="text1"/>
        </w:rPr>
      </w:pPr>
      <w:r w:rsidRPr="00476931">
        <w:rPr>
          <w:rFonts w:ascii="Times New Roman" w:hAnsi="Times New Roman" w:cs="Times New Roman"/>
          <w:color w:val="000000" w:themeColor="text1"/>
        </w:rPr>
        <w:t xml:space="preserve">Overall, the longitudinal measurements of microbial functional dynamics in this infant indicate that following the increase in the apparent host-imposed copper toxicity on day eight, the relative abundance of the microbiota is driven by the ability to respond to this host immune response. In summary, the observed organismal abundance trends in this infant during periods of antibiotic administration and host immune-mediated metal toxicity show that microbial resistance and homeostasis mechanisms to </w:t>
      </w:r>
      <w:proofErr w:type="gramStart"/>
      <w:r w:rsidRPr="00476931">
        <w:rPr>
          <w:rFonts w:ascii="Times New Roman" w:hAnsi="Times New Roman" w:cs="Times New Roman"/>
          <w:color w:val="000000" w:themeColor="text1"/>
        </w:rPr>
        <w:t>both of these</w:t>
      </w:r>
      <w:proofErr w:type="gramEnd"/>
      <w:r w:rsidRPr="00476931">
        <w:rPr>
          <w:rFonts w:ascii="Times New Roman" w:hAnsi="Times New Roman" w:cs="Times New Roman"/>
          <w:color w:val="000000" w:themeColor="text1"/>
        </w:rPr>
        <w:t xml:space="preserve"> perturbations are critical for persistence and maintaining establishment in the developing gut.  For example, lacking either antibiotic resistance mechanisms (</w:t>
      </w:r>
      <w:r w:rsidRPr="00606F8D">
        <w:rPr>
          <w:rFonts w:ascii="Times New Roman" w:hAnsi="Times New Roman" w:cs="Times New Roman"/>
          <w:i/>
          <w:iCs/>
          <w:color w:val="000000" w:themeColor="text1"/>
        </w:rPr>
        <w:t>E. faecalis</w:t>
      </w:r>
      <w:r w:rsidRPr="00476931">
        <w:rPr>
          <w:rFonts w:ascii="Times New Roman" w:hAnsi="Times New Roman" w:cs="Times New Roman"/>
          <w:color w:val="000000" w:themeColor="text1"/>
        </w:rPr>
        <w:t>) or copper efflux proteins (</w:t>
      </w:r>
      <w:r w:rsidRPr="00606F8D">
        <w:rPr>
          <w:rFonts w:ascii="Times New Roman" w:hAnsi="Times New Roman" w:cs="Times New Roman"/>
          <w:i/>
          <w:iCs/>
          <w:color w:val="000000" w:themeColor="text1"/>
        </w:rPr>
        <w:t>K. pnuemoniae</w:t>
      </w:r>
      <w:r w:rsidRPr="00476931">
        <w:rPr>
          <w:rFonts w:ascii="Times New Roman" w:hAnsi="Times New Roman" w:cs="Times New Roman"/>
          <w:color w:val="000000" w:themeColor="text1"/>
        </w:rPr>
        <w:t xml:space="preserve">) relate to a decrease in relative abundance, while expression of proteins related to </w:t>
      </w:r>
      <w:proofErr w:type="gramStart"/>
      <w:r w:rsidRPr="00476931">
        <w:rPr>
          <w:rFonts w:ascii="Times New Roman" w:hAnsi="Times New Roman" w:cs="Times New Roman"/>
          <w:color w:val="000000" w:themeColor="text1"/>
        </w:rPr>
        <w:t>both of these</w:t>
      </w:r>
      <w:proofErr w:type="gramEnd"/>
      <w:r w:rsidRPr="00476931">
        <w:rPr>
          <w:rFonts w:ascii="Times New Roman" w:hAnsi="Times New Roman" w:cs="Times New Roman"/>
          <w:color w:val="000000" w:themeColor="text1"/>
        </w:rPr>
        <w:t xml:space="preserve"> mechanisms (</w:t>
      </w:r>
      <w:r w:rsidRPr="00476931">
        <w:rPr>
          <w:rFonts w:ascii="Times New Roman" w:hAnsi="Times New Roman" w:cs="Times New Roman"/>
          <w:i/>
          <w:color w:val="000000" w:themeColor="text1"/>
        </w:rPr>
        <w:t>E. cloacae</w:t>
      </w:r>
      <w:r w:rsidRPr="00476931">
        <w:rPr>
          <w:rFonts w:ascii="Times New Roman" w:hAnsi="Times New Roman" w:cs="Times New Roman"/>
          <w:color w:val="000000" w:themeColor="text1"/>
        </w:rPr>
        <w:t>) relates to increased relative abundance in the community after environmental stress.</w:t>
      </w:r>
    </w:p>
    <w:p w14:paraId="55A8A0A8" w14:textId="77777777" w:rsidR="00310878" w:rsidRPr="00476931" w:rsidRDefault="00310878" w:rsidP="007500D0">
      <w:pPr>
        <w:ind w:left="180"/>
        <w:rPr>
          <w:rFonts w:ascii="Times New Roman" w:hAnsi="Times New Roman" w:cs="Times New Roman"/>
          <w:i/>
          <w:color w:val="000000" w:themeColor="text1"/>
        </w:rPr>
      </w:pPr>
    </w:p>
    <w:p w14:paraId="18813675" w14:textId="5B23C2BD" w:rsidR="005808D5" w:rsidRDefault="005808D5" w:rsidP="007500D0">
      <w:pPr>
        <w:ind w:left="180" w:hanging="22"/>
        <w:rPr>
          <w:rFonts w:ascii="Times New Roman" w:hAnsi="Times New Roman" w:cs="Times New Roman"/>
          <w:b/>
          <w:i/>
          <w:color w:val="000000" w:themeColor="text1"/>
        </w:rPr>
      </w:pPr>
      <w:bookmarkStart w:id="367" w:name="_Toc110250299"/>
      <w:bookmarkStart w:id="368" w:name="_Toc110250556"/>
      <w:bookmarkStart w:id="369" w:name="_Toc110250687"/>
      <w:r w:rsidRPr="00476931">
        <w:rPr>
          <w:rStyle w:val="Heading4Char"/>
        </w:rPr>
        <w:t>6.3.2.</w:t>
      </w:r>
      <w:r w:rsidR="00326E1F">
        <w:rPr>
          <w:rStyle w:val="Heading4Char"/>
        </w:rPr>
        <w:t>2</w:t>
      </w:r>
      <w:r w:rsidRPr="00476931">
        <w:rPr>
          <w:rStyle w:val="Heading4Char"/>
        </w:rPr>
        <w:t xml:space="preserve">  </w:t>
      </w:r>
      <w:r w:rsidR="00310878" w:rsidRPr="00476931">
        <w:rPr>
          <w:rStyle w:val="Heading4Char"/>
        </w:rPr>
        <w:t>Host sequestration of manganese and zinc does not impact microbes with enhanced import capabilities</w:t>
      </w:r>
      <w:r w:rsidR="0003562F">
        <w:rPr>
          <w:rStyle w:val="Heading4Char"/>
        </w:rPr>
        <w:t>.</w:t>
      </w:r>
      <w:bookmarkEnd w:id="367"/>
      <w:bookmarkEnd w:id="368"/>
      <w:bookmarkEnd w:id="369"/>
      <w:r w:rsidR="00310878" w:rsidRPr="00476931">
        <w:rPr>
          <w:rFonts w:ascii="Times New Roman" w:hAnsi="Times New Roman" w:cs="Times New Roman"/>
          <w:b/>
          <w:i/>
          <w:color w:val="000000" w:themeColor="text1"/>
        </w:rPr>
        <w:t xml:space="preserve"> </w:t>
      </w:r>
    </w:p>
    <w:p w14:paraId="0CC634AC" w14:textId="77777777" w:rsidR="00D23FD4" w:rsidRPr="00476931" w:rsidRDefault="00D23FD4" w:rsidP="007500D0">
      <w:pPr>
        <w:ind w:left="180" w:hanging="22"/>
        <w:rPr>
          <w:rFonts w:ascii="Times New Roman" w:hAnsi="Times New Roman" w:cs="Times New Roman"/>
          <w:b/>
          <w:i/>
          <w:color w:val="000000" w:themeColor="text1"/>
        </w:rPr>
      </w:pPr>
    </w:p>
    <w:p w14:paraId="412829FB" w14:textId="79B1BC65" w:rsidR="005808D5" w:rsidRPr="00476931" w:rsidRDefault="00310878" w:rsidP="007500D0">
      <w:pPr>
        <w:ind w:left="180"/>
        <w:rPr>
          <w:color w:val="000000" w:themeColor="text1"/>
        </w:rPr>
      </w:pPr>
      <w:r w:rsidRPr="00476931">
        <w:rPr>
          <w:color w:val="000000" w:themeColor="text1"/>
        </w:rPr>
        <w:t xml:space="preserve">Infant 39 had multiple time points sampled across the first several weeks of life, with samples collected before and after NEC diagnosis and subsequent antibiotic administration.  There was a shift in community structure at the time of NEC diagnosis on day 24 and the subsequent treatment, which we presume was predominantly caused by the administration of antibiotics </w:t>
      </w:r>
      <w:r w:rsidRPr="00476931">
        <w:rPr>
          <w:b/>
          <w:color w:val="000000" w:themeColor="text1"/>
        </w:rPr>
        <w:t>(Figure 6</w:t>
      </w:r>
      <w:r w:rsidR="00697361">
        <w:rPr>
          <w:b/>
          <w:color w:val="000000" w:themeColor="text1"/>
        </w:rPr>
        <w:t>-</w:t>
      </w:r>
      <w:r w:rsidRPr="00476931">
        <w:rPr>
          <w:b/>
          <w:color w:val="000000" w:themeColor="text1"/>
        </w:rPr>
        <w:t>11).</w:t>
      </w:r>
      <w:r w:rsidRPr="00476931">
        <w:rPr>
          <w:color w:val="000000" w:themeColor="text1"/>
        </w:rPr>
        <w:t xml:space="preserve"> For example, </w:t>
      </w:r>
      <w:r w:rsidRPr="00476931">
        <w:rPr>
          <w:i/>
          <w:color w:val="000000" w:themeColor="text1"/>
        </w:rPr>
        <w:t>C. freundii</w:t>
      </w:r>
      <w:r w:rsidRPr="00476931">
        <w:rPr>
          <w:color w:val="000000" w:themeColor="text1"/>
        </w:rPr>
        <w:t xml:space="preserve"> expressed </w:t>
      </w:r>
      <w:proofErr w:type="gramStart"/>
      <w:r w:rsidRPr="00476931">
        <w:rPr>
          <w:color w:val="000000" w:themeColor="text1"/>
        </w:rPr>
        <w:t>the majority of</w:t>
      </w:r>
      <w:proofErr w:type="gramEnd"/>
      <w:r w:rsidRPr="00476931">
        <w:rPr>
          <w:color w:val="000000" w:themeColor="text1"/>
        </w:rPr>
        <w:t xml:space="preserve"> the antibiotic resistance-related proteins in this infant and dramatically increased in abundance after administration of these antibiotics.  This supports the idea that organisms with antibiotic resistance mechanisms may persist and expand while the organisms lacking these mechanisms become dramatically reduced in abundance after antibiotic treatment.  While the expression of antibiotic resistance genes by organisms during periods of antibiotic administration plays a role in shaping overall community composition, there are also changes in organismal abundance that are not correlated to microbial response to antibiotic treatment. </w:t>
      </w:r>
    </w:p>
    <w:p w14:paraId="0848C543" w14:textId="40BAE1AD" w:rsidR="00534286" w:rsidRDefault="00A03BED">
      <w:pPr>
        <w:spacing w:before="1"/>
        <w:rPr>
          <w:color w:val="000000" w:themeColor="text1"/>
        </w:rPr>
      </w:pPr>
      <w:r w:rsidRPr="00476931">
        <w:rPr>
          <w:color w:val="000000" w:themeColor="text1"/>
        </w:rPr>
        <w:t xml:space="preserve">There was also an unexplained shift in community functional composition between samples on DOL 13 and 20. During this </w:t>
      </w:r>
      <w:proofErr w:type="gramStart"/>
      <w:r w:rsidRPr="00476931">
        <w:rPr>
          <w:color w:val="000000" w:themeColor="text1"/>
        </w:rPr>
        <w:t>time period</w:t>
      </w:r>
      <w:proofErr w:type="gramEnd"/>
      <w:r w:rsidRPr="00476931">
        <w:rPr>
          <w:color w:val="000000" w:themeColor="text1"/>
        </w:rPr>
        <w:t xml:space="preserve">, there was a corresponding host expression of host immune proteins related to manganese and zinc trafficking.  Two host proteins, S100A8 and S100A9, can be involved in metal sequestration by antimicrobial peptides and were found in high abundance across all 91 samples in the dataset.   These two proteins form the heterodimer calprotectin, which is often used as a fecal biomarker of </w:t>
      </w:r>
      <w:proofErr w:type="gramStart"/>
      <w:r w:rsidRPr="00476931">
        <w:rPr>
          <w:color w:val="000000" w:themeColor="text1"/>
        </w:rPr>
        <w:t>inflammation, and</w:t>
      </w:r>
      <w:proofErr w:type="gramEnd"/>
      <w:r w:rsidRPr="00476931">
        <w:rPr>
          <w:color w:val="000000" w:themeColor="text1"/>
        </w:rPr>
        <w:t xml:space="preserve"> sequesters both zinc (Zn) and manganese (Mn) when it is released by neutrophils at infection sites </w:t>
      </w:r>
      <w:sdt>
        <w:sdtPr>
          <w:rPr>
            <w:color w:val="000000"/>
            <w:vertAlign w:val="superscript"/>
          </w:rPr>
          <w:tag w:val="MENDELEY_CITATION_v3_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"/>
          <w:id w:val="937480656"/>
          <w:placeholder>
            <w:docPart w:val="2893C0B04C743E4283E194365604CC2C"/>
          </w:placeholder>
        </w:sdtPr>
        <w:sdtEndPr/>
        <w:sdtContent>
          <w:r w:rsidR="003204EA" w:rsidRPr="003204EA">
            <w:rPr>
              <w:rFonts w:eastAsia="Times New Roman"/>
              <w:color w:val="000000"/>
              <w:vertAlign w:val="superscript"/>
            </w:rPr>
            <w:t>228</w:t>
          </w:r>
        </w:sdtContent>
      </w:sdt>
      <w:r w:rsidRPr="00476931">
        <w:rPr>
          <w:color w:val="000000" w:themeColor="text1"/>
        </w:rPr>
        <w:t>.    In infant 39, calprotectin showed more than a three-fold increase during this period before returning to early-life levels at DOL 44.  The most dramatically shifting</w:t>
      </w:r>
    </w:p>
    <w:p w14:paraId="324C19C3" w14:textId="77777777" w:rsidR="00D23FD4" w:rsidRDefault="00534286" w:rsidP="00D23FD4">
      <w:pPr>
        <w:keepNext/>
        <w:ind w:firstLine="22"/>
      </w:pPr>
      <w:r w:rsidRPr="00476931">
        <w:rPr>
          <w:rFonts w:ascii="Times New Roman" w:hAnsi="Times New Roman" w:cs="Times New Roman"/>
          <w:noProof/>
          <w:color w:val="000000" w:themeColor="text1"/>
        </w:rPr>
        <w:drawing>
          <wp:inline distT="0" distB="0" distL="0" distR="0" wp14:anchorId="5146FA3D" wp14:editId="2AFADDDD">
            <wp:extent cx="5422900" cy="3135434"/>
            <wp:effectExtent l="0" t="0" r="0" b="1905"/>
            <wp:docPr id="2048" name="Graphic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0">
                      <a:extLst>
                        <a:ext uri="{96DAC541-7B7A-43D3-8B79-37D633B846F1}">
                          <asvg:svgBlip xmlns:asvg="http://schemas.microsoft.com/office/drawing/2016/SVG/main" r:embed="rId91"/>
                        </a:ext>
                      </a:extLst>
                    </a:blip>
                    <a:srcRect r="7328" b="14072"/>
                    <a:stretch/>
                  </pic:blipFill>
                  <pic:spPr bwMode="auto">
                    <a:xfrm>
                      <a:off x="0" y="0"/>
                      <a:ext cx="5437614" cy="3143941"/>
                    </a:xfrm>
                    <a:prstGeom prst="rect">
                      <a:avLst/>
                    </a:prstGeom>
                    <a:ln>
                      <a:noFill/>
                    </a:ln>
                    <a:extLst>
                      <a:ext uri="{53640926-AAD7-44D8-BBD7-CCE9431645EC}">
                        <a14:shadowObscured xmlns:a14="http://schemas.microsoft.com/office/drawing/2010/main"/>
                      </a:ext>
                    </a:extLst>
                  </pic:spPr>
                </pic:pic>
              </a:graphicData>
            </a:graphic>
          </wp:inline>
        </w:drawing>
      </w:r>
    </w:p>
    <w:p w14:paraId="39641C6A" w14:textId="2995DDD7" w:rsidR="00D23FD4" w:rsidRPr="00D23FD4" w:rsidRDefault="00D23FD4" w:rsidP="00D23FD4">
      <w:pPr>
        <w:pStyle w:val="Caption"/>
      </w:pPr>
      <w:bookmarkStart w:id="370" w:name="_Toc110246965"/>
      <w:r>
        <w:t xml:space="preserve">Figure </w:t>
      </w:r>
      <w:fldSimple w:instr=" STYLEREF 1 \s ">
        <w:r w:rsidR="00AC2094">
          <w:rPr>
            <w:noProof/>
          </w:rPr>
          <w:t>6</w:t>
        </w:r>
      </w:fldSimple>
      <w:r w:rsidR="00AC2094">
        <w:noBreakHyphen/>
      </w:r>
      <w:fldSimple w:instr=" SEQ Figure \* ARABIC \s 1 ">
        <w:r w:rsidR="00AC2094">
          <w:rPr>
            <w:noProof/>
          </w:rPr>
          <w:t>11</w:t>
        </w:r>
      </w:fldSimple>
      <w:r>
        <w:t xml:space="preserve">  </w:t>
      </w:r>
      <w:r w:rsidRPr="00D23FD4">
        <w:t>Relative abundance of organisms at each time point for samples collected for infant 39.</w:t>
      </w:r>
      <w:bookmarkEnd w:id="370"/>
    </w:p>
    <w:p w14:paraId="0169C213" w14:textId="77777777" w:rsidR="00534286" w:rsidRPr="00476931" w:rsidRDefault="00534286" w:rsidP="00534286">
      <w:pPr>
        <w:spacing w:before="1"/>
        <w:rPr>
          <w:rFonts w:ascii="Times New Roman" w:hAnsi="Times New Roman" w:cs="Times New Roman"/>
          <w:color w:val="000000" w:themeColor="text1"/>
        </w:rPr>
      </w:pPr>
      <w:r w:rsidRPr="00476931">
        <w:rPr>
          <w:rFonts w:ascii="Times New Roman" w:hAnsi="Times New Roman" w:cs="Times New Roman"/>
          <w:color w:val="000000" w:themeColor="text1"/>
        </w:rPr>
        <w:br w:type="page"/>
      </w:r>
    </w:p>
    <w:p w14:paraId="01D8D5AD" w14:textId="7A809DA3" w:rsidR="00310878" w:rsidRPr="00476931" w:rsidRDefault="00D23FD4" w:rsidP="00534286">
      <w:pPr>
        <w:spacing w:before="1"/>
        <w:ind w:firstLine="0"/>
        <w:rPr>
          <w:color w:val="000000" w:themeColor="text1"/>
        </w:rPr>
      </w:pPr>
      <w:r w:rsidRPr="00476931">
        <w:rPr>
          <w:color w:val="000000" w:themeColor="text1"/>
        </w:rPr>
        <w:t xml:space="preserve">organism </w:t>
      </w:r>
      <w:r w:rsidR="00A03BED" w:rsidRPr="00476931">
        <w:rPr>
          <w:color w:val="000000" w:themeColor="text1"/>
        </w:rPr>
        <w:t xml:space="preserve">between days 13 and 20 was </w:t>
      </w:r>
      <w:r w:rsidR="00A03BED" w:rsidRPr="001B1493">
        <w:rPr>
          <w:i/>
          <w:iCs/>
          <w:color w:val="000000" w:themeColor="text1"/>
        </w:rPr>
        <w:t>Lactobacillus rhamnosus</w:t>
      </w:r>
      <w:r w:rsidR="00A03BED" w:rsidRPr="00476931">
        <w:rPr>
          <w:color w:val="000000" w:themeColor="text1"/>
        </w:rPr>
        <w:t>.  We hypothesized that the dramatic increase and later decrease of calprotectin might be influencing the</w:t>
      </w:r>
      <w:r w:rsidR="00534286">
        <w:rPr>
          <w:color w:val="000000" w:themeColor="text1"/>
        </w:rPr>
        <w:t xml:space="preserve"> </w:t>
      </w:r>
      <w:r w:rsidR="00A03BED" w:rsidRPr="00476931">
        <w:rPr>
          <w:color w:val="000000" w:themeColor="text1"/>
        </w:rPr>
        <w:t xml:space="preserve">relative abundance of </w:t>
      </w:r>
      <w:r w:rsidR="00A03BED" w:rsidRPr="001B1493">
        <w:rPr>
          <w:i/>
          <w:iCs/>
          <w:color w:val="000000" w:themeColor="text1"/>
        </w:rPr>
        <w:t>L. rhamnosus</w:t>
      </w:r>
      <w:r w:rsidR="00A03BED" w:rsidRPr="00476931">
        <w:rPr>
          <w:color w:val="000000" w:themeColor="text1"/>
        </w:rPr>
        <w:t xml:space="preserve"> over the first several weeks of life.   As calprotectin inhibits bacterial growth through chelation of manganese and zinc, we looked to associated mechanisms, such as membrane transporters, in </w:t>
      </w:r>
      <w:r w:rsidR="00A03BED" w:rsidRPr="001B1493">
        <w:rPr>
          <w:i/>
          <w:iCs/>
          <w:color w:val="000000" w:themeColor="text1"/>
        </w:rPr>
        <w:t>L. rhamnosus</w:t>
      </w:r>
      <w:r w:rsidR="00A03BED" w:rsidRPr="00476931">
        <w:rPr>
          <w:color w:val="000000" w:themeColor="text1"/>
        </w:rPr>
        <w:t xml:space="preserve"> related to manganese and zinc import that helped this organism import these metals </w:t>
      </w:r>
      <w:r w:rsidR="00310878" w:rsidRPr="00476931">
        <w:rPr>
          <w:color w:val="000000" w:themeColor="text1"/>
        </w:rPr>
        <w:t xml:space="preserve">into the cell to overcome the host-imposed metal limitation.  This organism was expressing </w:t>
      </w:r>
      <w:proofErr w:type="spellStart"/>
      <w:r w:rsidR="00310878" w:rsidRPr="00476931">
        <w:rPr>
          <w:color w:val="000000" w:themeColor="text1"/>
        </w:rPr>
        <w:t>mntA</w:t>
      </w:r>
      <w:proofErr w:type="spellEnd"/>
      <w:r w:rsidR="00310878" w:rsidRPr="00476931">
        <w:rPr>
          <w:color w:val="000000" w:themeColor="text1"/>
        </w:rPr>
        <w:t xml:space="preserve">, </w:t>
      </w:r>
      <w:proofErr w:type="spellStart"/>
      <w:r w:rsidR="00310878" w:rsidRPr="00476931">
        <w:rPr>
          <w:color w:val="000000" w:themeColor="text1"/>
        </w:rPr>
        <w:t>mntB</w:t>
      </w:r>
      <w:proofErr w:type="spellEnd"/>
      <w:r w:rsidR="00310878" w:rsidRPr="00476931">
        <w:rPr>
          <w:color w:val="000000" w:themeColor="text1"/>
        </w:rPr>
        <w:t xml:space="preserve">, </w:t>
      </w:r>
      <w:proofErr w:type="spellStart"/>
      <w:r w:rsidR="00310878" w:rsidRPr="00476931">
        <w:rPr>
          <w:color w:val="000000" w:themeColor="text1"/>
        </w:rPr>
        <w:t>mntC</w:t>
      </w:r>
      <w:proofErr w:type="spellEnd"/>
      <w:r w:rsidR="00310878" w:rsidRPr="00476931">
        <w:rPr>
          <w:color w:val="000000" w:themeColor="text1"/>
        </w:rPr>
        <w:t xml:space="preserve">, and </w:t>
      </w:r>
      <w:proofErr w:type="spellStart"/>
      <w:r w:rsidR="00310878" w:rsidRPr="00476931">
        <w:rPr>
          <w:color w:val="000000" w:themeColor="text1"/>
        </w:rPr>
        <w:t>mntH</w:t>
      </w:r>
      <w:proofErr w:type="spellEnd"/>
      <w:r w:rsidR="00310878" w:rsidRPr="00476931">
        <w:rPr>
          <w:color w:val="000000" w:themeColor="text1"/>
        </w:rPr>
        <w:t xml:space="preserve">.  </w:t>
      </w:r>
      <w:proofErr w:type="spellStart"/>
      <w:r w:rsidR="00310878" w:rsidRPr="00476931">
        <w:rPr>
          <w:color w:val="000000" w:themeColor="text1"/>
        </w:rPr>
        <w:t>MntABC</w:t>
      </w:r>
      <w:proofErr w:type="spellEnd"/>
      <w:r w:rsidR="00310878" w:rsidRPr="00476931">
        <w:rPr>
          <w:color w:val="000000" w:themeColor="text1"/>
        </w:rPr>
        <w:t xml:space="preserve"> has been demonstrated to import manganese during low Mn supply, and </w:t>
      </w:r>
      <w:proofErr w:type="spellStart"/>
      <w:r w:rsidR="00310878" w:rsidRPr="00476931">
        <w:rPr>
          <w:color w:val="000000" w:themeColor="text1"/>
        </w:rPr>
        <w:t>mntH</w:t>
      </w:r>
      <w:proofErr w:type="spellEnd"/>
      <w:r w:rsidR="00310878" w:rsidRPr="00476931">
        <w:rPr>
          <w:color w:val="000000" w:themeColor="text1"/>
        </w:rPr>
        <w:t xml:space="preserve"> specifically competes with calprotectin for luminal manganese</w:t>
      </w:r>
      <w:sdt>
        <w:sdtPr>
          <w:rPr>
            <w:color w:val="000000"/>
            <w:vertAlign w:val="superscript"/>
          </w:rPr>
          <w:tag w:val="MENDELEY_CITATION_v3_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"/>
          <w:id w:val="-1688202067"/>
          <w:placeholder>
            <w:docPart w:val="0151A06CC664A449BE92D047E540500D"/>
          </w:placeholder>
        </w:sdtPr>
        <w:sdtEndPr/>
        <w:sdtContent>
          <w:r w:rsidR="003204EA" w:rsidRPr="003204EA">
            <w:rPr>
              <w:rFonts w:eastAsia="Times New Roman"/>
              <w:color w:val="000000"/>
              <w:vertAlign w:val="superscript"/>
            </w:rPr>
            <w:t>229</w:t>
          </w:r>
        </w:sdtContent>
      </w:sdt>
      <w:r w:rsidR="00310878" w:rsidRPr="00476931">
        <w:rPr>
          <w:color w:val="000000" w:themeColor="text1"/>
        </w:rPr>
        <w:t xml:space="preserve">.  In addition to manganese-specific transport proteins, several proteins were either specific to zinc transport or related to the non-specific transport of zinc and manganese, which indicates the microbes in this gut environment were actively coping with zinc and manganese limitations in the surrounding environment.  </w:t>
      </w:r>
      <w:r w:rsidR="00310878" w:rsidRPr="001B1493">
        <w:rPr>
          <w:i/>
          <w:iCs/>
          <w:color w:val="000000" w:themeColor="text1"/>
        </w:rPr>
        <w:t>L. rhamnosus</w:t>
      </w:r>
      <w:r w:rsidR="00310878" w:rsidRPr="00476931">
        <w:rPr>
          <w:color w:val="000000" w:themeColor="text1"/>
        </w:rPr>
        <w:t xml:space="preserve"> expressed non-specific zinc/manganese transport system substrate-binding proteins and a manganese-dependent inorganic pyrophosphatase (</w:t>
      </w:r>
      <w:proofErr w:type="spellStart"/>
      <w:r w:rsidR="00310878" w:rsidRPr="00476931">
        <w:rPr>
          <w:color w:val="000000" w:themeColor="text1"/>
        </w:rPr>
        <w:t>ppaC</w:t>
      </w:r>
      <w:proofErr w:type="spellEnd"/>
      <w:r w:rsidR="00310878" w:rsidRPr="00476931">
        <w:rPr>
          <w:color w:val="000000" w:themeColor="text1"/>
        </w:rPr>
        <w:t xml:space="preserve">), which indicates the microbe was actively importing manganese and utilizing it within the cell.  In summary, based on the presence of these transporters and the expression of several manganese-dependent proteins in microbes who increased in abundance during periods of high host expression of calprotectin, we can infer host sequestration of this metal does not impact the growth of </w:t>
      </w:r>
      <w:r w:rsidR="00310878" w:rsidRPr="001B1493">
        <w:rPr>
          <w:i/>
          <w:iCs/>
          <w:color w:val="000000" w:themeColor="text1"/>
        </w:rPr>
        <w:t>L. rhamnosus</w:t>
      </w:r>
      <w:r w:rsidR="00310878" w:rsidRPr="00476931">
        <w:rPr>
          <w:color w:val="000000" w:themeColor="text1"/>
        </w:rPr>
        <w:t xml:space="preserve"> in this infant.  This enables </w:t>
      </w:r>
      <w:r w:rsidR="00310878" w:rsidRPr="001B1493">
        <w:rPr>
          <w:i/>
          <w:iCs/>
          <w:color w:val="000000" w:themeColor="text1"/>
        </w:rPr>
        <w:t>L. rhamnosus</w:t>
      </w:r>
      <w:r w:rsidR="00310878" w:rsidRPr="00476931">
        <w:rPr>
          <w:color w:val="000000" w:themeColor="text1"/>
        </w:rPr>
        <w:t>, and other microbes with these enhanced manganese and zinc import capabilities, to outcompete other microbes lacking these mechanisms (</w:t>
      </w:r>
      <w:r w:rsidR="00310878" w:rsidRPr="001B1493">
        <w:rPr>
          <w:i/>
          <w:iCs/>
          <w:color w:val="000000" w:themeColor="text1"/>
        </w:rPr>
        <w:t>C. freundii</w:t>
      </w:r>
      <w:r w:rsidR="00310878" w:rsidRPr="00476931">
        <w:rPr>
          <w:color w:val="000000" w:themeColor="text1"/>
        </w:rPr>
        <w:t>) in manganese and zinc-limited environments.</w:t>
      </w:r>
    </w:p>
    <w:p w14:paraId="26422BC3" w14:textId="7972B9B2" w:rsidR="00310878" w:rsidRPr="00476931" w:rsidRDefault="00310878" w:rsidP="007500D0">
      <w:pPr>
        <w:ind w:left="180"/>
        <w:rPr>
          <w:color w:val="000000" w:themeColor="text1"/>
        </w:rPr>
      </w:pPr>
      <w:r w:rsidRPr="00476931">
        <w:rPr>
          <w:bCs/>
          <w:color w:val="000000" w:themeColor="text1"/>
        </w:rPr>
        <w:t>Maternal intrapartum antibiotic administration drives grouping of samples based on host and microbial proteins</w:t>
      </w:r>
      <w:r w:rsidRPr="00476931">
        <w:rPr>
          <w:color w:val="000000" w:themeColor="text1"/>
        </w:rPr>
        <w:t xml:space="preserve"> Due to the scope of the study, there was limited focus on the impact of intrapartum antibiotic administration on the development of the gut microbiome and impact on infant health outcomes at the time of sample collection.  Considering this, comprehensive records of maternal antibiotics administered prior to delivery were not collected for all mothers for infants in this cohort.  Despite this limitation, some interesting results emerged when evaluating the limited metadata for this environmental factor.  Conclusions about the findings presented for this infant cohort might be different with more complete metadata collection and therefore should not be generalized to all preterm infants.  However, the findings of this analysis are still presented in the current study for two reasons.  First, the analysis methods utilized in this study can be applied to other studies where more comprehensive medical information is collected at the time of sample collection to further interrogate how external environmental factors, such intrapartum antibiotic administration, help shape the development of the early-life gut environment.  Second, we attempted to reduce the impact of missing metadata on the findings, by removing infants from the analysis with missing maternal metadata, so the findings might still be the same even with better recording of maternal medical information.</w:t>
      </w:r>
    </w:p>
    <w:p w14:paraId="1F567536" w14:textId="6C900C3D" w:rsidR="00534286" w:rsidRDefault="00310878" w:rsidP="007500D0">
      <w:pPr>
        <w:ind w:left="180"/>
        <w:rPr>
          <w:color w:val="000000" w:themeColor="text1"/>
        </w:rPr>
      </w:pPr>
      <w:r w:rsidRPr="00476931">
        <w:rPr>
          <w:color w:val="000000" w:themeColor="text1"/>
        </w:rPr>
        <w:t xml:space="preserve">Among the metadata factors that played a role in the functional β-diversity of the samples, the ordination analysis revealed functional partitioning among infants based on the timing of maternal antibiotic administration </w:t>
      </w:r>
      <w:r w:rsidRPr="00534286">
        <w:rPr>
          <w:b/>
          <w:color w:val="000000" w:themeColor="text1"/>
        </w:rPr>
        <w:t>(Figure 6</w:t>
      </w:r>
      <w:r w:rsidR="00697361">
        <w:rPr>
          <w:b/>
          <w:color w:val="000000" w:themeColor="text1"/>
        </w:rPr>
        <w:t>-</w:t>
      </w:r>
      <w:r w:rsidRPr="00534286">
        <w:rPr>
          <w:b/>
          <w:color w:val="000000" w:themeColor="text1"/>
        </w:rPr>
        <w:t>12 A-C)</w:t>
      </w:r>
      <w:r w:rsidRPr="00476931">
        <w:rPr>
          <w:bCs/>
          <w:color w:val="000000" w:themeColor="text1"/>
        </w:rPr>
        <w:t>.</w:t>
      </w:r>
      <w:r w:rsidRPr="00476931">
        <w:rPr>
          <w:color w:val="000000" w:themeColor="text1"/>
        </w:rPr>
        <w:t xml:space="preserve"> Within this cohort, infants were selected for further analysis based on maternal medical information detailing when prophylactic intrapartum antibiotics (IAP) administration was initiated.  Four out of the 17 infants were excluded based on a lack of information related to IAP timing. Another infant was excluded from further analysis due to maternal administration of antibiotics in addition to ampicillin and gentamycin for the treatment of a group B streptococcus infection (GBS) and chlamydia. Of the twelve infants where sufficient metadata was provided, the </w:t>
      </w:r>
      <w:proofErr w:type="spellStart"/>
      <w:r w:rsidRPr="00476931">
        <w:rPr>
          <w:color w:val="000000" w:themeColor="text1"/>
        </w:rPr>
        <w:t>nMDS</w:t>
      </w:r>
      <w:proofErr w:type="spellEnd"/>
      <w:r w:rsidRPr="00476931">
        <w:rPr>
          <w:color w:val="000000" w:themeColor="text1"/>
        </w:rPr>
        <w:t xml:space="preserve"> ordinations showed 9% of the variance between the samples was explained by </w:t>
      </w:r>
      <w:proofErr w:type="gramStart"/>
      <w:r w:rsidRPr="00476931">
        <w:rPr>
          <w:color w:val="000000" w:themeColor="text1"/>
        </w:rPr>
        <w:t>whether or not</w:t>
      </w:r>
      <w:proofErr w:type="gramEnd"/>
      <w:r w:rsidRPr="00476931">
        <w:rPr>
          <w:color w:val="000000" w:themeColor="text1"/>
        </w:rPr>
        <w:t xml:space="preserve"> maternal antibiotic administration was initiated more than 24 prior to delivery.  Of the 62 samples included in the down-selected cohort, the sampling distributions based on maternal antibiotic timing were fairly even between the two groups based on the day of life timescale compared to the gestational </w:t>
      </w:r>
      <w:proofErr w:type="spellStart"/>
      <w:proofErr w:type="gramStart"/>
      <w:r w:rsidRPr="00476931">
        <w:rPr>
          <w:color w:val="000000" w:themeColor="text1"/>
        </w:rPr>
        <w:t>weeks</w:t>
      </w:r>
      <w:proofErr w:type="spellEnd"/>
      <w:proofErr w:type="gramEnd"/>
      <w:r w:rsidRPr="00476931">
        <w:rPr>
          <w:color w:val="000000" w:themeColor="text1"/>
        </w:rPr>
        <w:t xml:space="preserve"> timescale </w:t>
      </w:r>
      <w:r w:rsidRPr="00534286">
        <w:rPr>
          <w:b/>
          <w:bCs/>
          <w:color w:val="000000" w:themeColor="text1"/>
        </w:rPr>
        <w:t>(Figure 6</w:t>
      </w:r>
      <w:r w:rsidR="00697361">
        <w:rPr>
          <w:b/>
          <w:bCs/>
          <w:color w:val="000000" w:themeColor="text1"/>
        </w:rPr>
        <w:t>-</w:t>
      </w:r>
      <w:r w:rsidRPr="00534286">
        <w:rPr>
          <w:b/>
          <w:bCs/>
          <w:color w:val="000000" w:themeColor="text1"/>
        </w:rPr>
        <w:t>12D)</w:t>
      </w:r>
      <w:r w:rsidRPr="00476931">
        <w:rPr>
          <w:color w:val="000000" w:themeColor="text1"/>
        </w:rPr>
        <w:t>. As many of the infants whose mothers received intrapartum antibiotics less than 24 hours prior to delivery were younger in gestational age than infants in the other group, further</w:t>
      </w:r>
      <w:r w:rsidR="00D23FD4">
        <w:rPr>
          <w:color w:val="000000" w:themeColor="text1"/>
        </w:rPr>
        <w:t xml:space="preserve"> </w:t>
      </w:r>
      <w:r w:rsidR="00D23FD4" w:rsidRPr="00476931">
        <w:rPr>
          <w:color w:val="000000" w:themeColor="text1"/>
        </w:rPr>
        <w:t>analysis was conducted considering the day of life timescale due to the even sampling</w:t>
      </w:r>
      <w:r w:rsidR="00D23FD4" w:rsidRPr="00D23FD4">
        <w:rPr>
          <w:color w:val="000000" w:themeColor="text1"/>
        </w:rPr>
        <w:t xml:space="preserve"> </w:t>
      </w:r>
      <w:r w:rsidR="00D23FD4" w:rsidRPr="00476931">
        <w:rPr>
          <w:color w:val="000000" w:themeColor="text1"/>
        </w:rPr>
        <w:t>distribution.  Both the human immune proteins and the microbial KOs had significant</w:t>
      </w:r>
    </w:p>
    <w:p w14:paraId="38074122" w14:textId="77777777" w:rsidR="00F717EE" w:rsidRDefault="00F717EE" w:rsidP="00F717EE">
      <w:pPr>
        <w:keepNext/>
        <w:ind w:left="180" w:firstLine="0"/>
      </w:pPr>
      <w:r w:rsidRPr="00F717EE">
        <w:rPr>
          <w:noProof/>
          <w:color w:val="000000" w:themeColor="text1"/>
        </w:rPr>
        <w:drawing>
          <wp:inline distT="0" distB="0" distL="0" distR="0" wp14:anchorId="2C1681DB" wp14:editId="76806627">
            <wp:extent cx="5410200" cy="3352800"/>
            <wp:effectExtent l="0" t="0" r="0" b="0"/>
            <wp:docPr id="2254" name="Picture 2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410200" cy="3352800"/>
                    </a:xfrm>
                    <a:prstGeom prst="rect">
                      <a:avLst/>
                    </a:prstGeom>
                  </pic:spPr>
                </pic:pic>
              </a:graphicData>
            </a:graphic>
          </wp:inline>
        </w:drawing>
      </w:r>
    </w:p>
    <w:p w14:paraId="5E518901" w14:textId="51E0FD05" w:rsidR="00F717EE" w:rsidRPr="00F717EE" w:rsidRDefault="00F717EE" w:rsidP="00F717EE">
      <w:pPr>
        <w:pStyle w:val="Caption"/>
        <w:rPr>
          <w:b w:val="0"/>
          <w:bCs/>
        </w:rPr>
      </w:pPr>
      <w:bookmarkStart w:id="371" w:name="_Toc110246966"/>
      <w:r>
        <w:t xml:space="preserve">Figure </w:t>
      </w:r>
      <w:fldSimple w:instr=" STYLEREF 1 \s ">
        <w:r w:rsidR="00AC2094">
          <w:rPr>
            <w:noProof/>
          </w:rPr>
          <w:t>6</w:t>
        </w:r>
      </w:fldSimple>
      <w:r w:rsidR="00AC2094">
        <w:noBreakHyphen/>
      </w:r>
      <w:fldSimple w:instr=" SEQ Figure \* ARABIC \s 1 ">
        <w:r w:rsidR="00AC2094">
          <w:rPr>
            <w:noProof/>
          </w:rPr>
          <w:t>12</w:t>
        </w:r>
      </w:fldSimple>
      <w:r>
        <w:t xml:space="preserve">  </w:t>
      </w:r>
      <w:r w:rsidRPr="00F717EE">
        <w:t>Functional β-diversity by proteins source for the 12 infants included in the analysis based on maternal antibiotic administration information.</w:t>
      </w:r>
      <w:bookmarkEnd w:id="371"/>
      <w:r w:rsidRPr="00F717EE">
        <w:t xml:space="preserve">  </w:t>
      </w:r>
      <w:r w:rsidRPr="00F717EE">
        <w:rPr>
          <w:b w:val="0"/>
          <w:bCs/>
        </w:rPr>
        <w:fldChar w:fldCharType="begin"/>
      </w:r>
      <w:r w:rsidRPr="00F717EE">
        <w:rPr>
          <w:b w:val="0"/>
          <w:bCs/>
        </w:rPr>
        <w:instrText xml:space="preserve"> </w:instrText>
      </w:r>
    </w:p>
    <w:p w14:paraId="54CBE3FE" w14:textId="77777777" w:rsidR="00F717EE" w:rsidRPr="00F717EE" w:rsidRDefault="00F717EE" w:rsidP="00F717EE">
      <w:pPr>
        <w:pStyle w:val="Caption"/>
        <w:rPr>
          <w:b w:val="0"/>
          <w:bCs/>
        </w:rPr>
      </w:pPr>
    </w:p>
    <w:p w14:paraId="3A931971" w14:textId="0331E4A0" w:rsidR="00F717EE" w:rsidRPr="00F717EE" w:rsidRDefault="00F717EE" w:rsidP="00F717EE">
      <w:pPr>
        <w:pStyle w:val="Caption"/>
        <w:rPr>
          <w:b w:val="0"/>
          <w:bCs/>
        </w:rPr>
      </w:pPr>
      <w:r w:rsidRPr="00F717EE">
        <w:rPr>
          <w:b w:val="0"/>
          <w:bCs/>
        </w:rPr>
        <w:instrText xml:space="preserve"> </w:instrText>
      </w:r>
      <w:r w:rsidRPr="00F717EE">
        <w:rPr>
          <w:b w:val="0"/>
          <w:bCs/>
        </w:rPr>
        <w:fldChar w:fldCharType="end"/>
      </w:r>
      <w:r w:rsidRPr="00F717EE">
        <w:rPr>
          <w:b w:val="0"/>
          <w:bCs/>
        </w:rPr>
        <w:fldChar w:fldCharType="begin"/>
      </w:r>
      <w:r w:rsidRPr="00F717EE">
        <w:rPr>
          <w:b w:val="0"/>
          <w:bCs/>
        </w:rPr>
        <w:instrText xml:space="preserve"> </w:instrText>
      </w:r>
    </w:p>
    <w:p w14:paraId="3843DF2A" w14:textId="77777777" w:rsidR="00F717EE" w:rsidRPr="00F717EE" w:rsidRDefault="00F717EE" w:rsidP="00F717EE">
      <w:pPr>
        <w:pStyle w:val="Caption"/>
        <w:rPr>
          <w:b w:val="0"/>
          <w:bCs/>
        </w:rPr>
      </w:pPr>
    </w:p>
    <w:p w14:paraId="1ED5234E" w14:textId="77777777" w:rsidR="00F717EE" w:rsidRPr="00F717EE" w:rsidRDefault="00F717EE" w:rsidP="00F717EE">
      <w:pPr>
        <w:pStyle w:val="Caption"/>
        <w:rPr>
          <w:b w:val="0"/>
          <w:bCs/>
        </w:rPr>
      </w:pPr>
      <w:r w:rsidRPr="00F717EE">
        <w:rPr>
          <w:b w:val="0"/>
          <w:bCs/>
        </w:rPr>
        <w:instrText xml:space="preserve"> </w:instrText>
      </w:r>
      <w:r w:rsidRPr="00F717EE">
        <w:rPr>
          <w:b w:val="0"/>
          <w:bCs/>
        </w:rPr>
        <w:fldChar w:fldCharType="end"/>
      </w:r>
      <w:r w:rsidRPr="00F717EE">
        <w:rPr>
          <w:b w:val="0"/>
          <w:bCs/>
        </w:rPr>
        <w:t xml:space="preserve">Non-metric multidimensional scaling (NMDS) of Jaccard distances for the collective functionality (based on presence or absence of proteins or KEGG ortholog groups [KOs]) of each sample for (A) Human immune proteins and microbial KOs, (B) human immune proteins, (C) microbial KOs. ** indicates a p-value &lt; 0.05 by Adonis test.  (D) Density plot of DOL sampling distribution for the 62 samples included in the analysis. Venn diagrams of (E) human immune proteins or (F) microbial KOs were quantified in groups of samples based on </w:t>
      </w:r>
      <w:proofErr w:type="gramStart"/>
      <w:r w:rsidRPr="00F717EE">
        <w:rPr>
          <w:b w:val="0"/>
          <w:bCs/>
        </w:rPr>
        <w:t>whether or not</w:t>
      </w:r>
      <w:proofErr w:type="gramEnd"/>
      <w:r w:rsidRPr="00F717EE">
        <w:rPr>
          <w:b w:val="0"/>
          <w:bCs/>
        </w:rPr>
        <w:t xml:space="preserve"> maternal antibiotic administration was initiated more than 24 prior to delivery.</w:t>
      </w:r>
    </w:p>
    <w:p w14:paraId="107659C3" w14:textId="653D2CC1" w:rsidR="00534286" w:rsidRPr="00476931" w:rsidRDefault="00D4445F" w:rsidP="00534286">
      <w:pPr>
        <w:ind w:left="180" w:firstLine="0"/>
        <w:rPr>
          <w:b/>
          <w:bCs/>
          <w:color w:val="000000" w:themeColor="text1"/>
        </w:rPr>
      </w:pPr>
      <w:r w:rsidRPr="00D4445F">
        <w:rPr>
          <w:color w:val="000000" w:themeColor="text1"/>
        </w:rPr>
        <w:t xml:space="preserve"> </w:t>
      </w:r>
      <w:r w:rsidR="00534286">
        <w:rPr>
          <w:color w:val="000000" w:themeColor="text1"/>
        </w:rPr>
        <w:br w:type="page"/>
      </w:r>
    </w:p>
    <w:p w14:paraId="2CF71E1D" w14:textId="11E9AEA8" w:rsidR="005808D5" w:rsidRPr="00476931" w:rsidRDefault="00310878" w:rsidP="00534286">
      <w:pPr>
        <w:ind w:left="180" w:firstLine="0"/>
        <w:rPr>
          <w:color w:val="000000" w:themeColor="text1"/>
        </w:rPr>
      </w:pPr>
      <w:r w:rsidRPr="00476931">
        <w:rPr>
          <w:color w:val="000000" w:themeColor="text1"/>
        </w:rPr>
        <w:t>results. However, 19% of the variance in detected immune proteins was explained by the maternal antibiotic delivery timing (&lt; or &gt; 24-hour PTD). In contrast, only 6% of the variance in microbial KOs across samples was explained by this metadata category.  As both host and microbial protein expression were significantly different between samples in each group, further analysis was conducted to determine if specific pathways or protein classes significantly differed across time between infants based on the timing of maternal antibiotics.</w:t>
      </w:r>
    </w:p>
    <w:p w14:paraId="2C52E2B3" w14:textId="425CC506" w:rsidR="00A03BED" w:rsidRPr="00476931" w:rsidRDefault="007500D0" w:rsidP="007500D0">
      <w:pPr>
        <w:ind w:left="180"/>
        <w:rPr>
          <w:color w:val="000000" w:themeColor="text1"/>
        </w:rPr>
      </w:pPr>
      <w:r w:rsidRPr="00476931">
        <w:rPr>
          <w:color w:val="000000" w:themeColor="text1"/>
        </w:rPr>
        <w:t xml:space="preserve">Both antibiotic timing groups (&lt; or &gt; 24-hour PTD) had considerable overlap with many immune proteins or microbial KO terms shared between samples in both groups </w:t>
      </w:r>
      <w:r w:rsidRPr="00534286">
        <w:rPr>
          <w:b/>
          <w:color w:val="000000" w:themeColor="text1"/>
        </w:rPr>
        <w:t>(Figure 6</w:t>
      </w:r>
      <w:r w:rsidR="00697361">
        <w:rPr>
          <w:b/>
          <w:color w:val="000000" w:themeColor="text1"/>
        </w:rPr>
        <w:t>-</w:t>
      </w:r>
      <w:r w:rsidRPr="00534286">
        <w:rPr>
          <w:b/>
          <w:color w:val="000000" w:themeColor="text1"/>
        </w:rPr>
        <w:t>12E-F)</w:t>
      </w:r>
      <w:r w:rsidRPr="00476931">
        <w:rPr>
          <w:bCs/>
          <w:color w:val="000000" w:themeColor="text1"/>
        </w:rPr>
        <w:t>.</w:t>
      </w:r>
      <w:r w:rsidRPr="00476931">
        <w:rPr>
          <w:color w:val="000000" w:themeColor="text1"/>
        </w:rPr>
        <w:t xml:space="preserve">  However, many of the proteins or KO terms that were only found in samples of a particular group were largely infant-specific and not necessarily representative of each </w:t>
      </w:r>
      <w:proofErr w:type="gramStart"/>
      <w:r w:rsidRPr="00476931">
        <w:rPr>
          <w:color w:val="000000" w:themeColor="text1"/>
        </w:rPr>
        <w:t>group as a whole</w:t>
      </w:r>
      <w:proofErr w:type="gramEnd"/>
      <w:r w:rsidRPr="00476931">
        <w:rPr>
          <w:color w:val="000000" w:themeColor="text1"/>
        </w:rPr>
        <w:t xml:space="preserve">.  Other approaches beyond looking at the presence or absence of specific proteins were incorporated into the analysis to understand better which specific pathways or functions were different between groups across all infants within each group. To test whether the trajectories of host immune and microbial pathways were different between groups of infants in the maternal antibiotic administration sample subset, spline-based statistical analysis was used to determine if the protein pathways follow different trajectories between the two groups </w:t>
      </w:r>
    </w:p>
    <w:p w14:paraId="5EE81CED" w14:textId="77777777" w:rsidR="00C7280B" w:rsidRPr="00476931" w:rsidRDefault="00C7280B" w:rsidP="00C7280B">
      <w:pPr>
        <w:ind w:left="180" w:firstLine="0"/>
        <w:rPr>
          <w:color w:val="000000" w:themeColor="text1"/>
        </w:rPr>
      </w:pPr>
      <w:r w:rsidRPr="00476931">
        <w:rPr>
          <w:color w:val="000000" w:themeColor="text1"/>
        </w:rPr>
        <w:t>of infants over time than would be expected by random chance.  For the host immune pathways, six pathways had significantly different trajectories between infants based on the timing of maternal antibiotics prior to delivery. These include interferon signaling, MHC class II antigen presentation, cytosolic sensors of pathogen-associated DNA, neutrophil degranulation, interferon signaling, class I</w:t>
      </w:r>
    </w:p>
    <w:p w14:paraId="09AAA31E" w14:textId="72242D04" w:rsidR="00C7280B" w:rsidRPr="00476931" w:rsidRDefault="00C7280B" w:rsidP="00C7280B">
      <w:pPr>
        <w:ind w:left="180"/>
        <w:rPr>
          <w:color w:val="000000" w:themeColor="text1"/>
        </w:rPr>
      </w:pPr>
      <w:r w:rsidRPr="00476931">
        <w:rPr>
          <w:color w:val="000000" w:themeColor="text1"/>
        </w:rPr>
        <w:t>MHC mediated antigen processing &amp; presentation, and ROS and RNS production in phagocytes.  In addition to host proteins, longitudinal trajectories of several microbial pathways were significantly different between the two infant groups, including the expression of antibiotic resistance genes and some ABC transporters.</w:t>
      </w:r>
    </w:p>
    <w:p w14:paraId="551B6EFA" w14:textId="717296F4" w:rsidR="00310878" w:rsidRPr="00476931" w:rsidRDefault="00310878" w:rsidP="00ED4E03">
      <w:pPr>
        <w:ind w:left="180"/>
        <w:rPr>
          <w:rFonts w:ascii="Times New Roman" w:hAnsi="Times New Roman" w:cs="Times New Roman"/>
          <w:color w:val="000000" w:themeColor="text1"/>
        </w:rPr>
      </w:pPr>
      <w:r w:rsidRPr="00476931">
        <w:rPr>
          <w:rFonts w:ascii="Times New Roman" w:hAnsi="Times New Roman" w:cs="Times New Roman"/>
          <w:color w:val="000000" w:themeColor="text1"/>
        </w:rPr>
        <w:t xml:space="preserve">As a complementary approach to the trajectory significance testing between the maternal antibiotic administration subset, an indicator value analysis was performed using the </w:t>
      </w:r>
      <w:proofErr w:type="spellStart"/>
      <w:r w:rsidRPr="00476931">
        <w:rPr>
          <w:rFonts w:ascii="Times New Roman" w:hAnsi="Times New Roman" w:cs="Times New Roman"/>
          <w:color w:val="000000" w:themeColor="text1"/>
        </w:rPr>
        <w:t>IndVal</w:t>
      </w:r>
      <w:proofErr w:type="spellEnd"/>
      <w:r w:rsidRPr="00476931">
        <w:rPr>
          <w:rFonts w:ascii="Times New Roman" w:hAnsi="Times New Roman" w:cs="Times New Roman"/>
          <w:color w:val="000000" w:themeColor="text1"/>
        </w:rPr>
        <w:t xml:space="preserve"> package in R to determine which specific immune proteins are driving the separation of groups the NMDS ordination/PERMANOVA analysis.  Of the 1140 immune-related proteins identified across the 62 samples in the maternal antibiotic administration subset, 529 of these proteins were considered significant indicators based on an adjusted p-value of &lt;0.05.  28 of these proteins were indicators for the &gt; 24 hours PTD group and 501 proteins were indicators of the &lt;24 hours PTD group.  To further refine the results, an additional filter of an </w:t>
      </w:r>
      <w:proofErr w:type="spellStart"/>
      <w:r w:rsidRPr="00476931">
        <w:rPr>
          <w:rFonts w:ascii="Times New Roman" w:hAnsi="Times New Roman" w:cs="Times New Roman"/>
          <w:color w:val="000000" w:themeColor="text1"/>
        </w:rPr>
        <w:t>IndVal</w:t>
      </w:r>
      <w:proofErr w:type="spellEnd"/>
      <w:r w:rsidRPr="00476931">
        <w:rPr>
          <w:rFonts w:ascii="Times New Roman" w:hAnsi="Times New Roman" w:cs="Times New Roman"/>
          <w:color w:val="000000" w:themeColor="text1"/>
        </w:rPr>
        <w:t xml:space="preserve">&gt;0.5 was included to increase stringency as many of the significant indicators were low abundance proteins or were found in one or a few samples.  Using these thresholds, 235 indicator proteins were found to be significant indicator proteins.  Hierarchical clustering of these 235 proteins resulted in three main groups.   Within each maternal antibiotic administration group, there was no pattern related to the age of the infant for the samples.  The first cluster of 149 proteins is dominated by proteins that are in low abundance in the &lt;24 hours PTD group and are mostly absent in the &gt;24 hours PTD group. The top over-represented pathways in this cluster included neutrophil degranulation, MHC class II antigen presentation, and signaling by interleukins.  In addition to immune pathways, cellular responses to chemical stress pathways were overrepresented, including ROS sensing by NFE2L2.  Cluster 2 contains 64 proteins that were of medium abundance in the &lt;24 hours PTD group and lower abundance in the &gt; 24 hours PTD group.  Enriched pathways include neutrophil degranulation, </w:t>
      </w:r>
      <w:proofErr w:type="gramStart"/>
      <w:r w:rsidRPr="00476931">
        <w:rPr>
          <w:rFonts w:ascii="Times New Roman" w:hAnsi="Times New Roman" w:cs="Times New Roman"/>
          <w:color w:val="000000" w:themeColor="text1"/>
        </w:rPr>
        <w:t>binding</w:t>
      </w:r>
      <w:proofErr w:type="gramEnd"/>
      <w:r w:rsidRPr="00476931">
        <w:rPr>
          <w:rFonts w:ascii="Times New Roman" w:hAnsi="Times New Roman" w:cs="Times New Roman"/>
          <w:color w:val="000000" w:themeColor="text1"/>
        </w:rPr>
        <w:t xml:space="preserve"> and uptake of scavenger receptors (which is not an immune pathway, but shares many proteins with immune pathways), FC epsilon receptor signaling, and signaling by the B cell receptor.  The third cluster contained 22 proteins that were present in all 62 samples and high abundance in the &lt;24 hours PTD group and lower abundance proteins in the &gt;24 hours PTD group.  In this cluster, within the &lt; 24-hour PTD group, proteins were highest at early in life, with stable or decreasing abundances over time.  Protein abundances were relatively stable across time in the &gt;24 hours PTD group.  Of the 22 proteins, neutrophil degranulation, the initial triggering and regulation of the complement cascade, and antimicrobial peptides (specifically metal sequestration by antimicrobial peptides) were enriched based on these significant indicator value proteins.</w:t>
      </w:r>
    </w:p>
    <w:p w14:paraId="187D5426" w14:textId="79E83189" w:rsidR="00310878" w:rsidRPr="00476931" w:rsidRDefault="00310878" w:rsidP="00ED4E03">
      <w:pPr>
        <w:ind w:left="180"/>
        <w:rPr>
          <w:rFonts w:ascii="Times New Roman" w:hAnsi="Times New Roman" w:cs="Times New Roman"/>
          <w:color w:val="000000" w:themeColor="text1"/>
        </w:rPr>
      </w:pPr>
      <w:r w:rsidRPr="00476931">
        <w:rPr>
          <w:rFonts w:ascii="Times New Roman" w:hAnsi="Times New Roman" w:cs="Times New Roman"/>
          <w:color w:val="000000" w:themeColor="text1"/>
        </w:rPr>
        <w:t>In addition, this analysis based on microbial proteins yielded 634 indicator proteins to differentiate between groups of infants based on maternal antibiotic administration.  255 proteins were found to be indicators of the microbial metaproteome of an infant with administration &lt;24 hours PTD.  However, most of these were part of core metabolic processes and were mostly low abundance proteins.  They most likely met indicator value significance thresholds due to presence or absence in a particular group as they were near the limit of detection, and not because they are indicative of a particular group.</w:t>
      </w:r>
    </w:p>
    <w:p w14:paraId="5BC15E69" w14:textId="77777777" w:rsidR="005808D5" w:rsidRPr="00476931" w:rsidRDefault="005808D5" w:rsidP="005808D5">
      <w:pPr>
        <w:ind w:left="900"/>
        <w:rPr>
          <w:rFonts w:ascii="Times New Roman" w:hAnsi="Times New Roman" w:cs="Times New Roman"/>
          <w:color w:val="000000" w:themeColor="text1"/>
        </w:rPr>
      </w:pPr>
    </w:p>
    <w:p w14:paraId="1B11FBCA" w14:textId="59248C26" w:rsidR="00310878" w:rsidRPr="00476931" w:rsidRDefault="005808D5" w:rsidP="005808D5">
      <w:pPr>
        <w:pStyle w:val="Heading3"/>
      </w:pPr>
      <w:bookmarkStart w:id="372" w:name="_Toc110250300"/>
      <w:bookmarkStart w:id="373" w:name="_Toc110250557"/>
      <w:bookmarkStart w:id="374" w:name="_Toc110250688"/>
      <w:r w:rsidRPr="00476931">
        <w:rPr>
          <w:bCs/>
        </w:rPr>
        <w:t xml:space="preserve">6.3.3  </w:t>
      </w:r>
      <w:r w:rsidR="00310878" w:rsidRPr="00476931">
        <w:t>Discussion</w:t>
      </w:r>
      <w:r w:rsidR="0003562F">
        <w:t>.</w:t>
      </w:r>
      <w:bookmarkEnd w:id="372"/>
      <w:bookmarkEnd w:id="373"/>
      <w:bookmarkEnd w:id="374"/>
    </w:p>
    <w:p w14:paraId="25CE1779" w14:textId="77777777" w:rsidR="005808D5" w:rsidRPr="00476931" w:rsidRDefault="005808D5" w:rsidP="005808D5">
      <w:pPr>
        <w:rPr>
          <w:color w:val="000000" w:themeColor="text1"/>
        </w:rPr>
      </w:pPr>
    </w:p>
    <w:p w14:paraId="1BF540E3" w14:textId="19F2C2F7" w:rsidR="00310878" w:rsidRPr="00476931" w:rsidRDefault="00310878" w:rsidP="005808D5">
      <w:pPr>
        <w:rPr>
          <w:color w:val="000000" w:themeColor="text1"/>
        </w:rPr>
      </w:pPr>
      <w:r w:rsidRPr="00476931">
        <w:rPr>
          <w:color w:val="000000" w:themeColor="text1"/>
        </w:rPr>
        <w:t xml:space="preserve">Across the entire dataset, there were thousands of microbial and human peptides measured per sample, which equated to an average of 3000 human proteins and 9000 microbial proteins identified per infant. This proteomic coverage achieved allowed in-depth elucidation of both host and microbiota function in the early-life preterm gut. Among the host proteins related to immune function, which represented 10-15% of human proteins quantified in the dataset, 40-50% of these quantified proteins were unique to specific immune pathways, which led to the confident interpretation of the host functional data related to the research questions addressed in this study.  In the previous investigations of some samples in this cohort, it was apparent that the microbial metaproteome is highly variable over the first several weeks of life and between individuals.  The functional β-diversity analysis in the present investigation with the inclusion of additional infants reaffirmed this finding.  The functional β-diversity analysis showed that this intra- and inter-individual functional variability is not restricted to the microbiota.  Host protein expression related to immune function was variable and dependent on the environmental context each infant faced during this early-life period.  </w:t>
      </w:r>
      <w:proofErr w:type="gramStart"/>
      <w:r w:rsidRPr="00476931">
        <w:rPr>
          <w:color w:val="000000" w:themeColor="text1"/>
        </w:rPr>
        <w:t>In spite of</w:t>
      </w:r>
      <w:proofErr w:type="gramEnd"/>
      <w:r w:rsidRPr="00476931">
        <w:rPr>
          <w:color w:val="000000" w:themeColor="text1"/>
        </w:rPr>
        <w:t xml:space="preserve"> the inter-individual variability, the longitudinal measurements collected in this study enabled an in-depth investigation of intra-individual variability of microbial and host immune function simultaneously. Intra-individual variability corresponded with microbial responses to both external perturbations of the gut environment, through the administration of antibiotics, </w:t>
      </w:r>
      <w:proofErr w:type="gramStart"/>
      <w:r w:rsidRPr="00476931">
        <w:rPr>
          <w:color w:val="000000" w:themeColor="text1"/>
        </w:rPr>
        <w:t>and also</w:t>
      </w:r>
      <w:proofErr w:type="gramEnd"/>
      <w:r w:rsidRPr="00476931">
        <w:rPr>
          <w:color w:val="000000" w:themeColor="text1"/>
        </w:rPr>
        <w:t xml:space="preserve"> to host immune functions.</w:t>
      </w:r>
    </w:p>
    <w:p w14:paraId="30C06C17" w14:textId="4304ADE8" w:rsidR="00310878" w:rsidRPr="00476931" w:rsidRDefault="00310878" w:rsidP="005808D5">
      <w:pPr>
        <w:rPr>
          <w:color w:val="000000" w:themeColor="text1"/>
        </w:rPr>
      </w:pPr>
      <w:r w:rsidRPr="00476931">
        <w:rPr>
          <w:color w:val="000000" w:themeColor="text1"/>
        </w:rPr>
        <w:t>The present study demonstrated that the timing of maternal antibiotic administration before delivery could significantly impact an infant’s levels of expressed proteins related to immune processes, such as neutrophil degranulation and toll-like receptor cascades over the first few months of life.  While previous research has established that maternal administration, and the timing of those antibiotics, can have profound effects on the colonization of the infant gut</w:t>
      </w:r>
      <w:sdt>
        <w:sdtPr>
          <w:rPr>
            <w:color w:val="000000"/>
            <w:vertAlign w:val="superscript"/>
          </w:rPr>
          <w:tag w:val="MENDELEY_CITATION_v3_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"/>
          <w:id w:val="-100185435"/>
          <w:placeholder>
            <w:docPart w:val="E4B5E21686F2314088D58853EA72C37C"/>
          </w:placeholder>
        </w:sdtPr>
        <w:sdtEndPr/>
        <w:sdtContent>
          <w:r w:rsidR="003204EA" w:rsidRPr="003204EA">
            <w:rPr>
              <w:rFonts w:eastAsia="Times New Roman"/>
              <w:color w:val="000000"/>
              <w:vertAlign w:val="superscript"/>
            </w:rPr>
            <w:t>206,230</w:t>
          </w:r>
        </w:sdtContent>
      </w:sdt>
      <w:r w:rsidRPr="00476931">
        <w:rPr>
          <w:color w:val="000000" w:themeColor="text1"/>
        </w:rPr>
        <w:t>, very few studies have also investigated the impact of this administration on the development of specific immune processes.  Further research is needed to fully understand the impact maternal antibiotic timing has on both the developing host immune system and colonizing microbiota.</w:t>
      </w:r>
    </w:p>
    <w:p w14:paraId="45DC5A8D" w14:textId="55B543EF" w:rsidR="00310878" w:rsidRPr="00476931" w:rsidRDefault="00310878" w:rsidP="005808D5">
      <w:pPr>
        <w:rPr>
          <w:color w:val="000000" w:themeColor="text1"/>
        </w:rPr>
      </w:pPr>
      <w:r w:rsidRPr="00476931">
        <w:rPr>
          <w:color w:val="000000" w:themeColor="text1"/>
        </w:rPr>
        <w:t>Microbial mechanisms, such as antibiotic resistance, play a pivotal role in shaping the early-life preterm gut.  The present study indicates that, in addition to antibiotic resistance mechanisms, metal homeostasis mechanisms correlate with community establishment dynamics.  In fact, metal homeostasis may play a more prominent role in early-life community establishment than previously recognized.  Metals are involved in many reactions and are essential to life. They are essential cofactors required for many reactions for both the host and microbes in the intestinal environment, and lack of these metals leads to organismal damage and death</w:t>
      </w:r>
      <w:sdt>
        <w:sdtPr>
          <w:rPr>
            <w:color w:val="000000"/>
            <w:vertAlign w:val="superscript"/>
          </w:rPr>
          <w:tag w:val="MENDELEY_CITATION_v3_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"/>
          <w:id w:val="816381387"/>
          <w:placeholder>
            <w:docPart w:val="629D9A348B036442B8B0A9D5534F74DC"/>
          </w:placeholder>
        </w:sdtPr>
        <w:sdtEndPr/>
        <w:sdtContent>
          <w:r w:rsidR="003204EA" w:rsidRPr="003204EA">
            <w:rPr>
              <w:rFonts w:eastAsia="Times New Roman"/>
              <w:color w:val="000000"/>
              <w:vertAlign w:val="superscript"/>
            </w:rPr>
            <w:t>231</w:t>
          </w:r>
        </w:sdtContent>
      </w:sdt>
      <w:r w:rsidRPr="00476931">
        <w:rPr>
          <w:color w:val="000000" w:themeColor="text1"/>
        </w:rPr>
        <w:t>. However, excess levels of metals also have negative impacts on cellular processes, such as the mismetallation of proteins, and high metal concentrations can be toxic due to their ability to disrupt normal metabolic functions and cause spontaneous redox cycling</w:t>
      </w:r>
      <w:sdt>
        <w:sdtPr>
          <w:rPr>
            <w:color w:val="000000"/>
            <w:vertAlign w:val="superscript"/>
          </w:rPr>
          <w:tag w:val="MENDELEY_CITATION_v3_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"/>
          <w:id w:val="219788247"/>
          <w:placeholder>
            <w:docPart w:val="170E61BC35FBB749A5E7309823AB9CC0"/>
          </w:placeholder>
        </w:sdtPr>
        <w:sdtEndPr/>
        <w:sdtContent>
          <w:r w:rsidR="003204EA" w:rsidRPr="003204EA">
            <w:rPr>
              <w:rFonts w:eastAsia="Times New Roman"/>
              <w:color w:val="000000"/>
              <w:vertAlign w:val="superscript"/>
            </w:rPr>
            <w:t>216</w:t>
          </w:r>
        </w:sdtContent>
      </w:sdt>
      <w:r w:rsidRPr="00476931">
        <w:rPr>
          <w:color w:val="000000" w:themeColor="text1"/>
        </w:rPr>
        <w:t>.  Organisms that have developed mechanisms that lead to resistance to host defenses involved in the trafficking of metals, based on either toxicity or starvation, have a better chance of survival and establishment in the gut.  These early-life community dynamics play critical roles in developing the host immune system and ultimately host health through the interactions between microbiota and the host immune proteins.</w:t>
      </w:r>
    </w:p>
    <w:p w14:paraId="54A237B5" w14:textId="0A221D88" w:rsidR="00326E1F" w:rsidRDefault="00310878" w:rsidP="00940FA3">
      <w:r w:rsidRPr="00476931">
        <w:t>Among metal trafficking activities, the interplay between host immune responses and gut microbiota for the utilization of copper and iron appears to play a vital role in community assembly for some infants in this cohort. While copper is essential for biological processes, excess intracellular copper is toxic because of its potential to mismetallate proteins since it has a higher affinity for noncognate ligands due to its location in the Irving-Williams series, which allows it to disrupt the binding of other transition metals like iron, manganese, and zinc</w:t>
      </w:r>
      <w:sdt>
        <w:sdtPr>
          <w:rPr>
            <w:color w:val="000000"/>
            <w:vertAlign w:val="superscript"/>
          </w:rPr>
          <w:tag w:val="MENDELEY_CITATION_v3_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"/>
          <w:id w:val="1298881107"/>
          <w:placeholder>
            <w:docPart w:val="5ABC2B0731680446B71C2D491D202804"/>
          </w:placeholder>
        </w:sdtPr>
        <w:sdtEndPr/>
        <w:sdtContent>
          <w:r w:rsidR="003204EA" w:rsidRPr="003204EA">
            <w:rPr>
              <w:rFonts w:eastAsia="Times New Roman"/>
              <w:color w:val="000000"/>
              <w:vertAlign w:val="superscript"/>
            </w:rPr>
            <w:t>232</w:t>
          </w:r>
        </w:sdtContent>
      </w:sdt>
      <w:r w:rsidRPr="00476931">
        <w:t>. Previous studies of bacterial isolates have demonstrated that copper toxicity targets iron-sulfur-containing proteins via iron displacement from solvent-exposed iron-sulfur clusters</w:t>
      </w:r>
      <w:sdt>
        <w:sdtPr>
          <w:rPr>
            <w:color w:val="000000"/>
            <w:vertAlign w:val="superscript"/>
          </w:rPr>
          <w:tag w:val="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"/>
          <w:id w:val="-1804526414"/>
          <w:placeholder>
            <w:docPart w:val="C73A84347C660A4CAFE6A0C35DE21921"/>
          </w:placeholder>
        </w:sdtPr>
        <w:sdtEndPr/>
        <w:sdtContent>
          <w:r w:rsidR="003204EA" w:rsidRPr="003204EA">
            <w:rPr>
              <w:rFonts w:eastAsia="Times New Roman"/>
              <w:color w:val="000000"/>
              <w:vertAlign w:val="superscript"/>
            </w:rPr>
            <w:t>233–235</w:t>
          </w:r>
        </w:sdtContent>
      </w:sdt>
      <w:r w:rsidRPr="00476931">
        <w:t xml:space="preserve">.  Organisms have developed several strategies based on the trafficking of both copper and iron to deal with host-imposed copper toxicity. Based on the observed protein expression infant 61, </w:t>
      </w:r>
      <w:r w:rsidRPr="00534286">
        <w:rPr>
          <w:b/>
          <w:bCs/>
        </w:rPr>
        <w:t>Figure 6</w:t>
      </w:r>
      <w:r w:rsidR="00697361">
        <w:rPr>
          <w:b/>
          <w:bCs/>
        </w:rPr>
        <w:t>-</w:t>
      </w:r>
      <w:r w:rsidRPr="00534286">
        <w:rPr>
          <w:b/>
          <w:bCs/>
        </w:rPr>
        <w:t>13A</w:t>
      </w:r>
      <w:r w:rsidRPr="00476931">
        <w:t xml:space="preserve"> is a simplified representation of interactions between the host immune response and </w:t>
      </w:r>
      <w:r w:rsidRPr="00D15746">
        <w:rPr>
          <w:i/>
          <w:iCs/>
        </w:rPr>
        <w:t>E. cloacae</w:t>
      </w:r>
      <w:r w:rsidRPr="00476931">
        <w:t xml:space="preserve"> in this infant.   Following phagocytosis, inflammatory agents</w:t>
      </w:r>
      <w:r w:rsidRPr="00476931" w:rsidDel="00E04AB9">
        <w:t>,</w:t>
      </w:r>
      <w:r w:rsidRPr="00476931">
        <w:t xml:space="preserve"> such as lipopolysaccharide stimulate copper uptake in macrophages by inducing the expression of copper importers at the plasma membrane.  Cytoplasmic Cu(I) is then delivered to copper pumps which undergoes trafficking to the phagolysosome compartment where copper ions are loaded. </w:t>
      </w:r>
      <w:r w:rsidR="00237BFA">
        <w:t>The a</w:t>
      </w:r>
      <w:r w:rsidRPr="00476931">
        <w:t>ccumulation of Cu(I) within the phagolysosome contributes to bacterial killing through membrane damage, displacement of iron by copper in iron-sulfur (Fe-S) clusters, and formation of reactive oxygen species</w:t>
      </w:r>
      <w:sdt>
        <w:sdtPr>
          <w:rPr>
            <w:color w:val="000000"/>
            <w:vertAlign w:val="superscript"/>
          </w:rPr>
          <w:tag w:val="MENDELEY_CITATION_v3_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"/>
          <w:id w:val="-1715961059"/>
          <w:placeholder>
            <w:docPart w:val="E57D1172C6F6874FA1CB263B97B8E168"/>
          </w:placeholder>
        </w:sdtPr>
        <w:sdtEndPr/>
        <w:sdtContent>
          <w:r w:rsidR="003204EA" w:rsidRPr="003204EA">
            <w:rPr>
              <w:rFonts w:eastAsia="Times New Roman"/>
              <w:color w:val="000000"/>
              <w:vertAlign w:val="superscript"/>
            </w:rPr>
            <w:t>236,237</w:t>
          </w:r>
        </w:sdtContent>
      </w:sdt>
      <w:r w:rsidRPr="00476931">
        <w:t xml:space="preserve">. In the bacterial cytoplasm, sensing of cytoplasmic Cu(I) by </w:t>
      </w:r>
      <w:proofErr w:type="spellStart"/>
      <w:r w:rsidRPr="00476931">
        <w:t>CueR</w:t>
      </w:r>
      <w:proofErr w:type="spellEnd"/>
      <w:r w:rsidRPr="00476931">
        <w:t xml:space="preserve"> induces the expression of copper transporter </w:t>
      </w:r>
      <w:proofErr w:type="spellStart"/>
      <w:r w:rsidRPr="00476931">
        <w:t>CopA</w:t>
      </w:r>
      <w:proofErr w:type="spellEnd"/>
      <w:r w:rsidRPr="00476931">
        <w:t xml:space="preserve">, which effluxes Cu(I) into the periplasm.  It is then transformed into the less toxic form of Cu(II) by the multicopper oxidase CueO or exported out of the cell.  Both </w:t>
      </w:r>
      <w:proofErr w:type="spellStart"/>
      <w:r w:rsidRPr="00476931">
        <w:t>CopA</w:t>
      </w:r>
      <w:proofErr w:type="spellEnd"/>
      <w:r w:rsidRPr="00476931">
        <w:t xml:space="preserve"> and </w:t>
      </w:r>
      <w:proofErr w:type="spellStart"/>
      <w:r w:rsidRPr="00476931">
        <w:t>CopB</w:t>
      </w:r>
      <w:proofErr w:type="spellEnd"/>
      <w:r w:rsidRPr="00476931">
        <w:t xml:space="preserve"> are copper P-type ATPases; however, the exact physiological function of </w:t>
      </w:r>
      <w:proofErr w:type="spellStart"/>
      <w:r w:rsidRPr="00476931">
        <w:t>CopB</w:t>
      </w:r>
      <w:proofErr w:type="spellEnd"/>
      <w:r w:rsidRPr="00476931">
        <w:t xml:space="preserve"> has not been determined</w:t>
      </w:r>
      <w:sdt>
        <w:sdtPr>
          <w:rPr>
            <w:color w:val="000000"/>
            <w:vertAlign w:val="superscript"/>
          </w:rPr>
          <w:tag w:val="MENDELEY_CITATION_v3_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"/>
          <w:id w:val="325719621"/>
          <w:placeholder>
            <w:docPart w:val="6363965D547A1549AC24DB36BF3389E8"/>
          </w:placeholder>
        </w:sdtPr>
        <w:sdtEndPr/>
        <w:sdtContent>
          <w:r w:rsidR="003204EA" w:rsidRPr="003204EA">
            <w:rPr>
              <w:rFonts w:eastAsia="Times New Roman"/>
              <w:color w:val="000000"/>
              <w:vertAlign w:val="superscript"/>
            </w:rPr>
            <w:t>238</w:t>
          </w:r>
        </w:sdtContent>
      </w:sdt>
      <w:r w:rsidRPr="00476931">
        <w:t xml:space="preserve">.  </w:t>
      </w:r>
      <w:proofErr w:type="spellStart"/>
      <w:r w:rsidRPr="00476931">
        <w:t>CopA</w:t>
      </w:r>
      <w:proofErr w:type="spellEnd"/>
      <w:r w:rsidRPr="00476931">
        <w:t xml:space="preserve"> has a low Cu(I) affinity and high turnover rate and is involved in exporting excess Cu(I) into the periplasm. </w:t>
      </w:r>
      <w:proofErr w:type="spellStart"/>
      <w:r w:rsidRPr="00476931">
        <w:t>CopB</w:t>
      </w:r>
      <w:proofErr w:type="spellEnd"/>
      <w:r w:rsidRPr="00476931">
        <w:t xml:space="preserve"> has</w:t>
      </w:r>
      <w:r w:rsidR="00326E1F" w:rsidRPr="00326E1F">
        <w:rPr>
          <w:color w:val="000000" w:themeColor="text1"/>
        </w:rPr>
        <w:t xml:space="preserve"> </w:t>
      </w:r>
      <w:r w:rsidR="00326E1F" w:rsidRPr="00476931">
        <w:rPr>
          <w:color w:val="000000" w:themeColor="text1"/>
        </w:rPr>
        <w:t>a high Cu(I) affinity and low turnover rate and is suggested to transport Cu(I) into the</w:t>
      </w:r>
      <w:r w:rsidR="00326E1F" w:rsidRPr="00326E1F">
        <w:rPr>
          <w:color w:val="000000" w:themeColor="text1"/>
        </w:rPr>
        <w:t xml:space="preserve"> </w:t>
      </w:r>
      <w:r w:rsidR="00326E1F" w:rsidRPr="00476931">
        <w:rPr>
          <w:color w:val="000000" w:themeColor="text1"/>
        </w:rPr>
        <w:t>periplasm for subsequent insertion into cuproenzymes)</w:t>
      </w:r>
      <w:sdt>
        <w:sdtPr>
          <w:rPr>
            <w:color w:val="000000"/>
            <w:vertAlign w:val="superscript"/>
          </w:rPr>
          <w:tag w:val="MENDELEY_CITATION_v3_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"/>
          <w:id w:val="1127591000"/>
          <w:placeholder>
            <w:docPart w:val="5DB363AAAEC30042A980B7A055EE1B51"/>
          </w:placeholder>
        </w:sdtPr>
        <w:sdtEndPr/>
        <w:sdtContent>
          <w:r w:rsidR="003204EA" w:rsidRPr="003204EA">
            <w:rPr>
              <w:rFonts w:eastAsia="Times New Roman"/>
              <w:color w:val="000000"/>
              <w:vertAlign w:val="superscript"/>
            </w:rPr>
            <w:t>239</w:t>
          </w:r>
        </w:sdtContent>
      </w:sdt>
      <w:r w:rsidR="00326E1F" w:rsidRPr="00476931">
        <w:rPr>
          <w:color w:val="000000" w:themeColor="text1"/>
        </w:rPr>
        <w:t>.  To complement strategies</w:t>
      </w:r>
    </w:p>
    <w:p w14:paraId="0901072C" w14:textId="77777777" w:rsidR="00F717EE" w:rsidRDefault="00534286" w:rsidP="00F717EE">
      <w:pPr>
        <w:keepNext/>
        <w:spacing w:before="1"/>
        <w:ind w:left="0" w:firstLine="0"/>
      </w:pPr>
      <w:r>
        <w:rPr>
          <w:color w:val="000000" w:themeColor="text1"/>
        </w:rPr>
        <w:br w:type="page"/>
      </w:r>
      <w:r w:rsidRPr="00476931">
        <w:rPr>
          <w:rFonts w:ascii="Times New Roman" w:hAnsi="Times New Roman" w:cs="Times New Roman"/>
          <w:noProof/>
          <w:color w:val="000000" w:themeColor="text1"/>
        </w:rPr>
        <w:drawing>
          <wp:inline distT="0" distB="0" distL="0" distR="0" wp14:anchorId="3F360CD3" wp14:editId="1796C642">
            <wp:extent cx="5166438" cy="3149600"/>
            <wp:effectExtent l="0" t="0" r="2540" b="0"/>
            <wp:docPr id="2052" name="Graphic 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3">
                      <a:extLst>
                        <a:ext uri="{96DAC541-7B7A-43D3-8B79-37D633B846F1}">
                          <asvg:svgBlip xmlns:asvg="http://schemas.microsoft.com/office/drawing/2016/SVG/main" r:embed="rId94"/>
                        </a:ext>
                      </a:extLst>
                    </a:blip>
                    <a:srcRect t="8185" r="27074" b="12780"/>
                    <a:stretch/>
                  </pic:blipFill>
                  <pic:spPr bwMode="auto">
                    <a:xfrm>
                      <a:off x="0" y="0"/>
                      <a:ext cx="5182708" cy="3159519"/>
                    </a:xfrm>
                    <a:prstGeom prst="rect">
                      <a:avLst/>
                    </a:prstGeom>
                    <a:ln>
                      <a:noFill/>
                    </a:ln>
                    <a:extLst>
                      <a:ext uri="{53640926-AAD7-44D8-BBD7-CCE9431645EC}">
                        <a14:shadowObscured xmlns:a14="http://schemas.microsoft.com/office/drawing/2010/main"/>
                      </a:ext>
                    </a:extLst>
                  </pic:spPr>
                </pic:pic>
              </a:graphicData>
            </a:graphic>
          </wp:inline>
        </w:drawing>
      </w:r>
    </w:p>
    <w:p w14:paraId="1AA73782" w14:textId="1BC0FABE" w:rsidR="00E5196A" w:rsidRPr="00E5196A" w:rsidRDefault="00F717EE" w:rsidP="00E5196A">
      <w:pPr>
        <w:pStyle w:val="Caption"/>
        <w:rPr>
          <w:b w:val="0"/>
          <w:bCs/>
        </w:rPr>
      </w:pPr>
      <w:bookmarkStart w:id="375" w:name="_Toc110246967"/>
      <w:r>
        <w:t xml:space="preserve">Figure </w:t>
      </w:r>
      <w:fldSimple w:instr=" STYLEREF 1 \s ">
        <w:r w:rsidR="00AC2094">
          <w:rPr>
            <w:noProof/>
          </w:rPr>
          <w:t>6</w:t>
        </w:r>
      </w:fldSimple>
      <w:r w:rsidR="00AC2094">
        <w:noBreakHyphen/>
      </w:r>
      <w:fldSimple w:instr=" SEQ Figure \* ARABIC \s 1 ">
        <w:r w:rsidR="00AC2094">
          <w:rPr>
            <w:noProof/>
          </w:rPr>
          <w:t>13</w:t>
        </w:r>
      </w:fldSimple>
      <w:r>
        <w:t xml:space="preserve">  </w:t>
      </w:r>
      <w:r w:rsidR="00E5196A" w:rsidRPr="00E5196A">
        <w:t>Metal homeostasis mechanisms of microbiota and corresponding host immune responses</w:t>
      </w:r>
      <w:r w:rsidR="00E5196A">
        <w:t>.</w:t>
      </w:r>
      <w:bookmarkEnd w:id="375"/>
      <w:r w:rsidR="00E5196A">
        <w:t xml:space="preserve"> </w:t>
      </w:r>
      <w:r w:rsidR="00E5196A" w:rsidRPr="00E5196A">
        <w:t xml:space="preserve"> </w:t>
      </w:r>
      <w:r w:rsidR="00E5196A" w:rsidRPr="00E5196A">
        <w:rPr>
          <w:b w:val="0"/>
          <w:bCs/>
        </w:rPr>
        <w:fldChar w:fldCharType="begin"/>
      </w:r>
      <w:r w:rsidR="00E5196A" w:rsidRPr="00E5196A">
        <w:rPr>
          <w:b w:val="0"/>
          <w:bCs/>
        </w:rPr>
        <w:instrText xml:space="preserve"> </w:instrText>
      </w:r>
    </w:p>
    <w:p w14:paraId="29F5C902" w14:textId="77777777" w:rsidR="00E5196A" w:rsidRPr="00E5196A" w:rsidRDefault="00E5196A" w:rsidP="00E5196A">
      <w:pPr>
        <w:pStyle w:val="Caption"/>
        <w:rPr>
          <w:b w:val="0"/>
          <w:bCs/>
        </w:rPr>
      </w:pPr>
    </w:p>
    <w:p w14:paraId="37082A6E" w14:textId="3E52495A" w:rsidR="00E5196A" w:rsidRPr="00E5196A" w:rsidRDefault="00E5196A" w:rsidP="00E5196A">
      <w:pPr>
        <w:pStyle w:val="Caption"/>
        <w:rPr>
          <w:b w:val="0"/>
          <w:bCs/>
        </w:rPr>
      </w:pPr>
      <w:r w:rsidRPr="00E5196A">
        <w:rPr>
          <w:b w:val="0"/>
          <w:bCs/>
        </w:rPr>
        <w:instrText xml:space="preserve"> </w:instrText>
      </w:r>
      <w:r w:rsidRPr="00E5196A">
        <w:rPr>
          <w:b w:val="0"/>
          <w:bCs/>
        </w:rPr>
        <w:fldChar w:fldCharType="end"/>
      </w:r>
      <w:r w:rsidRPr="00E5196A">
        <w:rPr>
          <w:b w:val="0"/>
          <w:bCs/>
        </w:rPr>
        <w:t xml:space="preserve">(A) Graphical representation of copper/iron-related activities between the host immune system and </w:t>
      </w:r>
      <w:r w:rsidRPr="00D15746">
        <w:rPr>
          <w:b w:val="0"/>
          <w:bCs/>
          <w:i/>
          <w:iCs w:val="0"/>
        </w:rPr>
        <w:t>E. cloacae</w:t>
      </w:r>
      <w:r w:rsidRPr="00E5196A">
        <w:rPr>
          <w:b w:val="0"/>
          <w:bCs/>
        </w:rPr>
        <w:t xml:space="preserve"> in infant 61 based on the pathways and proteins detected in samples from this infant.  </w:t>
      </w:r>
      <w:r w:rsidRPr="00E5196A">
        <w:rPr>
          <w:b w:val="0"/>
          <w:bCs/>
        </w:rPr>
        <w:fldChar w:fldCharType="begin"/>
      </w:r>
      <w:r w:rsidRPr="00E5196A">
        <w:rPr>
          <w:b w:val="0"/>
          <w:bCs/>
        </w:rPr>
        <w:instrText xml:space="preserve"> </w:instrText>
      </w:r>
    </w:p>
    <w:p w14:paraId="4F509567" w14:textId="77777777" w:rsidR="00E5196A" w:rsidRPr="00E5196A" w:rsidRDefault="00E5196A" w:rsidP="00E5196A">
      <w:pPr>
        <w:pStyle w:val="Caption"/>
        <w:rPr>
          <w:b w:val="0"/>
          <w:bCs/>
        </w:rPr>
      </w:pPr>
    </w:p>
    <w:p w14:paraId="61806948" w14:textId="77777777" w:rsidR="00E5196A" w:rsidRPr="00E5196A" w:rsidRDefault="00E5196A" w:rsidP="00E5196A">
      <w:pPr>
        <w:pStyle w:val="Caption"/>
        <w:rPr>
          <w:b w:val="0"/>
          <w:bCs/>
        </w:rPr>
      </w:pPr>
      <w:r w:rsidRPr="00E5196A">
        <w:rPr>
          <w:b w:val="0"/>
          <w:bCs/>
        </w:rPr>
        <w:instrText xml:space="preserve"> </w:instrText>
      </w:r>
      <w:r w:rsidRPr="00E5196A">
        <w:rPr>
          <w:b w:val="0"/>
          <w:bCs/>
        </w:rPr>
        <w:fldChar w:fldCharType="end"/>
      </w:r>
      <w:r w:rsidRPr="00E5196A">
        <w:rPr>
          <w:b w:val="0"/>
          <w:bCs/>
        </w:rPr>
        <w:t xml:space="preserve">Additional proteins related to these processes were also identified. (B) Graphical representation of manganese-related activities between the host immune system and </w:t>
      </w:r>
      <w:r w:rsidRPr="00D15746">
        <w:rPr>
          <w:b w:val="0"/>
          <w:bCs/>
          <w:i/>
          <w:iCs w:val="0"/>
        </w:rPr>
        <w:t>L. rhamnosus</w:t>
      </w:r>
      <w:r w:rsidRPr="00E5196A">
        <w:rPr>
          <w:b w:val="0"/>
          <w:bCs/>
        </w:rPr>
        <w:t xml:space="preserve"> in infant 39 based on the pathways and proteins detected in samples from this infant. Additional proteins related to these processes, as well as microbial manganese/zinc non-specific transporters were also identified.</w:t>
      </w:r>
    </w:p>
    <w:p w14:paraId="3F1B26B1" w14:textId="77777777" w:rsidR="00534286" w:rsidRPr="00476931" w:rsidRDefault="00534286" w:rsidP="00534286">
      <w:pPr>
        <w:spacing w:before="1"/>
        <w:rPr>
          <w:color w:val="000000" w:themeColor="text1"/>
        </w:rPr>
      </w:pPr>
      <w:r w:rsidRPr="00476931">
        <w:rPr>
          <w:color w:val="000000" w:themeColor="text1"/>
        </w:rPr>
        <w:br w:type="page"/>
      </w:r>
    </w:p>
    <w:p w14:paraId="318AB66E" w14:textId="1D788218" w:rsidR="00310878" w:rsidRPr="00476931" w:rsidRDefault="00310878" w:rsidP="00940FA3">
      <w:pPr>
        <w:ind w:firstLine="0"/>
        <w:rPr>
          <w:color w:val="000000" w:themeColor="text1"/>
        </w:rPr>
      </w:pPr>
      <w:r w:rsidRPr="00476931">
        <w:rPr>
          <w:color w:val="000000" w:themeColor="text1"/>
        </w:rPr>
        <w:t>to export excess Cu(I) out of the cell or transform it to a usable form, previous work has</w:t>
      </w:r>
      <w:r w:rsidRPr="00476931">
        <w:rPr>
          <w:color w:val="000000" w:themeColor="text1"/>
          <w:shd w:val="clear" w:color="auto" w:fill="FFFFFF"/>
        </w:rPr>
        <w:t xml:space="preserve"> demonstrated that some microbes have developed tactics to oxidize siderophores as a mechanism to deal with high levels of intracellular copper</w:t>
      </w:r>
      <w:sdt>
        <w:sdtPr>
          <w:rPr>
            <w:color w:val="000000"/>
            <w:shd w:val="clear" w:color="auto" w:fill="FFFFFF"/>
            <w:vertAlign w:val="superscript"/>
          </w:rPr>
          <w:tag w:val="MENDELEY_CITATION_v3_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"/>
          <w:id w:val="-1170872059"/>
          <w:placeholder>
            <w:docPart w:val="91BFED3ECC402349BFDF7C0619D88390"/>
          </w:placeholder>
        </w:sdtPr>
        <w:sdtEndPr/>
        <w:sdtContent>
          <w:r w:rsidR="003204EA" w:rsidRPr="003204EA">
            <w:rPr>
              <w:rFonts w:eastAsia="Times New Roman"/>
              <w:color w:val="000000"/>
              <w:vertAlign w:val="superscript"/>
            </w:rPr>
            <w:t>240</w:t>
          </w:r>
        </w:sdtContent>
      </w:sdt>
      <w:r w:rsidRPr="00476931">
        <w:rPr>
          <w:color w:val="000000" w:themeColor="text1"/>
          <w:shd w:val="clear" w:color="auto" w:fill="FFFFFF"/>
        </w:rPr>
        <w:t>. In the presence of copper, the multicopper oxidase CueO oxidizes enterobactin, which circumvents enterobactin-mediated reduction of Cu(II) to Cu(I), and the resulting oxidation product, 2-carboxymuconate, sequesters copper. The oxidation process also releases chelated iron from the siderophores, maintaining the proper balance of copper and iron concentrations in the periplasm, which helps prevent mismetallation and damage to the cell.</w:t>
      </w:r>
      <w:r w:rsidRPr="00476931">
        <w:rPr>
          <w:color w:val="000000" w:themeColor="text1"/>
        </w:rPr>
        <w:t xml:space="preserve">  Studies have shown that </w:t>
      </w:r>
      <w:r w:rsidRPr="001B1493">
        <w:rPr>
          <w:i/>
          <w:iCs/>
          <w:color w:val="000000" w:themeColor="text1"/>
        </w:rPr>
        <w:t>E. coli</w:t>
      </w:r>
      <w:r w:rsidRPr="00476931">
        <w:rPr>
          <w:color w:val="000000" w:themeColor="text1"/>
        </w:rPr>
        <w:t xml:space="preserve"> lacking or defective in enterobactin biosynthesis and ferric-enterobactin uptake are more sensitive to copper toxicity</w:t>
      </w:r>
      <w:sdt>
        <w:sdtPr>
          <w:rPr>
            <w:color w:val="000000"/>
            <w:vertAlign w:val="superscript"/>
          </w:rPr>
          <w:tag w:val="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"/>
          <w:id w:val="-578447122"/>
          <w:placeholder>
            <w:docPart w:val="91BFED3ECC402349BFDF7C0619D88390"/>
          </w:placeholder>
        </w:sdtPr>
        <w:sdtEndPr/>
        <w:sdtContent>
          <w:r w:rsidR="003204EA" w:rsidRPr="003204EA">
            <w:rPr>
              <w:rFonts w:eastAsia="Times New Roman"/>
              <w:color w:val="000000"/>
              <w:vertAlign w:val="superscript"/>
            </w:rPr>
            <w:t>226,232</w:t>
          </w:r>
        </w:sdtContent>
      </w:sdt>
      <w:r w:rsidRPr="00476931">
        <w:rPr>
          <w:color w:val="000000" w:themeColor="text1"/>
        </w:rPr>
        <w:t>.</w:t>
      </w:r>
    </w:p>
    <w:p w14:paraId="44B631E3" w14:textId="712B24AA" w:rsidR="00310878" w:rsidRPr="00476931" w:rsidRDefault="00ED4E03" w:rsidP="00326E1F">
      <w:pPr>
        <w:rPr>
          <w:color w:val="000000" w:themeColor="text1"/>
        </w:rPr>
      </w:pPr>
      <w:r w:rsidRPr="00476931">
        <w:rPr>
          <w:color w:val="000000" w:themeColor="text1"/>
        </w:rPr>
        <w:t xml:space="preserve">While there are many similarities in the usage of copper and iron by bacteria, the host has developed very different mechanisms to utilize these transition metals to restrict bacterial growth through either toxicity or limitation.  During </w:t>
      </w:r>
      <w:r w:rsidR="006B22DF">
        <w:rPr>
          <w:color w:val="000000" w:themeColor="text1"/>
        </w:rPr>
        <w:t xml:space="preserve">the </w:t>
      </w:r>
      <w:r w:rsidRPr="00476931">
        <w:rPr>
          <w:color w:val="000000" w:themeColor="text1"/>
        </w:rPr>
        <w:t>bacterial infection</w:t>
      </w:r>
      <w:r w:rsidR="006B22DF">
        <w:rPr>
          <w:color w:val="000000" w:themeColor="text1"/>
        </w:rPr>
        <w:t xml:space="preserve"> process</w:t>
      </w:r>
      <w:r w:rsidRPr="00476931">
        <w:rPr>
          <w:color w:val="000000" w:themeColor="text1"/>
        </w:rPr>
        <w:t xml:space="preserve">,  Cu(I) </w:t>
      </w:r>
      <w:r w:rsidR="003B1B36">
        <w:rPr>
          <w:color w:val="000000" w:themeColor="text1"/>
        </w:rPr>
        <w:t xml:space="preserve">is accumulated in </w:t>
      </w:r>
      <w:r w:rsidR="007029C5">
        <w:rPr>
          <w:color w:val="000000" w:themeColor="text1"/>
        </w:rPr>
        <w:t xml:space="preserve">cytoplasmic vesicles of </w:t>
      </w:r>
      <w:r w:rsidR="003B1B36">
        <w:rPr>
          <w:color w:val="000000" w:themeColor="text1"/>
        </w:rPr>
        <w:t xml:space="preserve">phagocytic cells </w:t>
      </w:r>
      <w:r w:rsidRPr="00476931">
        <w:rPr>
          <w:color w:val="000000" w:themeColor="text1"/>
        </w:rPr>
        <w:t>that partially fuse with the phagolysosome, flooding invading microbes with toxic levels of copper ions</w:t>
      </w:r>
      <w:sdt>
        <w:sdtPr>
          <w:rPr>
            <w:color w:val="000000"/>
            <w:vertAlign w:val="superscript"/>
          </w:rPr>
          <w:tag w:val="MENDELEY_CITATION_v3_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"/>
          <w:id w:val="-1334754170"/>
          <w:placeholder>
            <w:docPart w:val="F22422A99A3FF542AE56201DC96FE1F1"/>
          </w:placeholder>
        </w:sdtPr>
        <w:sdtEndPr/>
        <w:sdtContent>
          <w:r w:rsidR="003204EA" w:rsidRPr="003204EA">
            <w:rPr>
              <w:rFonts w:eastAsia="Times New Roman"/>
              <w:color w:val="000000"/>
              <w:vertAlign w:val="superscript"/>
            </w:rPr>
            <w:t>237</w:t>
          </w:r>
        </w:sdtContent>
      </w:sdt>
      <w:r w:rsidRPr="00476931">
        <w:rPr>
          <w:color w:val="000000" w:themeColor="text1"/>
        </w:rPr>
        <w:t>. The accumulation of Cu(I) in the phagolysosome may depend upon the trafficking of ATP7A to the membranes of these vesicles</w:t>
      </w:r>
      <w:sdt>
        <w:sdtPr>
          <w:rPr>
            <w:color w:val="000000"/>
            <w:vertAlign w:val="superscript"/>
          </w:rPr>
          <w:tag w:val="MENDELEY_CITATION_v3_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"/>
          <w:id w:val="-251594248"/>
          <w:placeholder>
            <w:docPart w:val="F22422A99A3FF542AE56201DC96FE1F1"/>
          </w:placeholder>
        </w:sdtPr>
        <w:sdtEndPr/>
        <w:sdtContent>
          <w:r w:rsidR="003204EA" w:rsidRPr="003204EA">
            <w:rPr>
              <w:rFonts w:eastAsia="Times New Roman"/>
              <w:color w:val="000000"/>
              <w:vertAlign w:val="superscript"/>
            </w:rPr>
            <w:t>241</w:t>
          </w:r>
        </w:sdtContent>
      </w:sdt>
      <w:r w:rsidRPr="00476931">
        <w:rPr>
          <w:color w:val="000000" w:themeColor="text1"/>
        </w:rPr>
        <w:t>. ATP7A is a Cu-ATPase</w:t>
      </w:r>
      <w:r w:rsidR="00C7280B" w:rsidRPr="00476931">
        <w:rPr>
          <w:color w:val="000000" w:themeColor="text1"/>
        </w:rPr>
        <w:t xml:space="preserve"> of silencing ATP7A expression in mouse macrophages attenuated bacterial killing, which suggests a role for ATP7A-dependent copper transport in the bactericidal activity of macrophages</w:t>
      </w:r>
      <w:sdt>
        <w:sdtPr>
          <w:rPr>
            <w:color w:val="000000"/>
            <w:vertAlign w:val="superscript"/>
          </w:rPr>
          <w:tag w:val="MENDELEY_CITATION_v3_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"/>
          <w:id w:val="1826543111"/>
          <w:placeholder>
            <w:docPart w:val="172BE239E2D82D4F8DF7FD39D0279C33"/>
          </w:placeholder>
        </w:sdtPr>
        <w:sdtEndPr/>
        <w:sdtContent>
          <w:r w:rsidR="003204EA" w:rsidRPr="003204EA">
            <w:rPr>
              <w:rFonts w:eastAsia="Times New Roman"/>
              <w:color w:val="000000"/>
              <w:vertAlign w:val="superscript"/>
            </w:rPr>
            <w:t>242</w:t>
          </w:r>
        </w:sdtContent>
      </w:sdt>
      <w:r w:rsidR="00C7280B" w:rsidRPr="00476931">
        <w:rPr>
          <w:color w:val="000000" w:themeColor="text1"/>
        </w:rPr>
        <w:t>. In addition, another study has shown that expression of ATP7A was downregulated in mouse colon tissue following antibiotic treatment, further supporting the idea that the presence of microbiota is essential in initiating this host immune response</w:t>
      </w:r>
      <w:sdt>
        <w:sdtPr>
          <w:rPr>
            <w:color w:val="000000"/>
            <w:vertAlign w:val="superscript"/>
          </w:rPr>
          <w:tag w:val="MENDELEY_CITATION_v3_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"/>
          <w:id w:val="271823436"/>
          <w:placeholder>
            <w:docPart w:val="CF42AEB3D83FB540A27C33919014ED99"/>
          </w:placeholder>
        </w:sdtPr>
        <w:sdtEndPr/>
        <w:sdtContent>
          <w:r w:rsidR="003204EA" w:rsidRPr="003204EA">
            <w:rPr>
              <w:rFonts w:eastAsia="Times New Roman"/>
              <w:color w:val="000000"/>
              <w:vertAlign w:val="superscript"/>
            </w:rPr>
            <w:t>243</w:t>
          </w:r>
        </w:sdtContent>
      </w:sdt>
      <w:r w:rsidR="00C7280B" w:rsidRPr="00476931">
        <w:rPr>
          <w:color w:val="000000" w:themeColor="text1"/>
        </w:rPr>
        <w:t>.  PDZD11 and binding partner PLEKHA5 interact with ATP7A to influence its activity in cellular copper trafficking</w:t>
      </w:r>
      <w:sdt>
        <w:sdtPr>
          <w:rPr>
            <w:color w:val="000000"/>
            <w:vertAlign w:val="superscript"/>
          </w:rPr>
          <w:tag w:val="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"/>
          <w:id w:val="-817653151"/>
          <w:placeholder>
            <w:docPart w:val="C5903DD175A6DF4EAD3B37A7AED204B1"/>
          </w:placeholder>
        </w:sdtPr>
        <w:sdtEndPr/>
        <w:sdtContent>
          <w:r w:rsidR="003204EA" w:rsidRPr="003204EA">
            <w:rPr>
              <w:rFonts w:eastAsia="Times New Roman"/>
              <w:color w:val="000000"/>
              <w:vertAlign w:val="superscript"/>
            </w:rPr>
            <w:t>244,245</w:t>
          </w:r>
        </w:sdtContent>
      </w:sdt>
      <w:r w:rsidR="00C7280B" w:rsidRPr="00476931">
        <w:rPr>
          <w:color w:val="000000" w:themeColor="text1"/>
        </w:rPr>
        <w:t>.  In total, six out of 17 infants expressed proteins related to copper trafficking for antimicrobial activities, including ATP7A, PDZD11, CTR1, and PLEKHA5. In this study, the increase in the expression of host proteins related to ATP7A corresponding to shifts in microbial dietary changes or antibiotic treatment suggest that initiation of this host immune</w:t>
      </w:r>
      <w:r w:rsidR="00326E1F">
        <w:rPr>
          <w:color w:val="000000" w:themeColor="text1"/>
        </w:rPr>
        <w:t xml:space="preserve"> </w:t>
      </w:r>
      <w:r w:rsidR="00310878" w:rsidRPr="00476931">
        <w:rPr>
          <w:color w:val="000000" w:themeColor="text1"/>
        </w:rPr>
        <w:t>response was correlated to shifts in the abundance of these organisms.  The host utilizes several mechanisms for maintaining iron homeostasis to limit pathogenic growth at mucosal interfaces through the restriction of metal-chelating proteins such as lactoferrin and lipocalin-2 (LCN2).   As lactoferrin is a typical mass spectrometry contaminant (found in exocrine secretions such as sweat), this protein was removed from the analysis as the source of this protein could not be confirmed in the measurement.  One proposed mechanism to enhance the host's antimicrobial activities of copper toxicity is the increased expression of the inflammation-associated protein LCN2 to control the competition for iron during infection by binding and sequestering various siderophores produced by enteric bacteria</w:t>
      </w:r>
      <w:sdt>
        <w:sdtPr>
          <w:rPr>
            <w:color w:val="000000"/>
            <w:vertAlign w:val="superscript"/>
          </w:rPr>
          <w:tag w:val="MENDELEY_CITATION_v3_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"/>
          <w:id w:val="-480155149"/>
          <w:placeholder>
            <w:docPart w:val="48E862463FD7684C868E66D03A2325DA"/>
          </w:placeholder>
        </w:sdtPr>
        <w:sdtEndPr/>
        <w:sdtContent>
          <w:r w:rsidR="003204EA" w:rsidRPr="003204EA">
            <w:rPr>
              <w:rFonts w:eastAsia="Times New Roman"/>
              <w:color w:val="000000"/>
              <w:vertAlign w:val="superscript"/>
            </w:rPr>
            <w:t>246</w:t>
          </w:r>
        </w:sdtContent>
      </w:sdt>
      <w:r w:rsidR="00310878" w:rsidRPr="00476931">
        <w:rPr>
          <w:color w:val="000000" w:themeColor="text1"/>
        </w:rPr>
        <w:t>.    In this study, LCN2 was present in 90 samples, and the expression of LCN2 by almost all infants in the study indicates an active attempt by the host to limit iron harvesting and ultimately bacterial growth by the microbes producing siderophores.  Overall, the observation that a microbe’s ability to circumvent the host’s attempt to limit some microbial growth through copper-mediated toxicity and limitation of iron harvesting contributed to its persistence and establishment in the environment.</w:t>
      </w:r>
    </w:p>
    <w:p w14:paraId="1CA49820" w14:textId="79EAAB73" w:rsidR="00310878" w:rsidRPr="00476931" w:rsidRDefault="00310878" w:rsidP="005808D5">
      <w:pPr>
        <w:rPr>
          <w:rFonts w:ascii="Times New Roman" w:hAnsi="Times New Roman" w:cs="Times New Roman"/>
          <w:color w:val="000000" w:themeColor="text1"/>
        </w:rPr>
      </w:pPr>
      <w:r w:rsidRPr="00476931">
        <w:rPr>
          <w:rFonts w:ascii="Times New Roman" w:hAnsi="Times New Roman" w:cs="Times New Roman"/>
          <w:color w:val="000000" w:themeColor="text1"/>
        </w:rPr>
        <w:t>Several studies investigating the activity of calprotectin during bacterial infections have found that it can be detected in the feces of patients with other types of intestinal inflammation, such as colon cancer and inflammatory bowel disorders</w:t>
      </w:r>
      <w:sdt>
        <w:sdtPr>
          <w:rPr>
            <w:rFonts w:ascii="Times New Roman" w:hAnsi="Times New Roman" w:cs="Times New Roman"/>
            <w:color w:val="000000"/>
            <w:vertAlign w:val="superscript"/>
          </w:rPr>
          <w:tag w:val="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"/>
          <w:id w:val="1509483727"/>
          <w:placeholder>
            <w:docPart w:val="B236298731225148BC53F62517F9B5DB"/>
          </w:placeholder>
        </w:sdtPr>
        <w:sdtEndPr/>
        <w:sdtContent>
          <w:r w:rsidR="003204EA" w:rsidRPr="003204EA">
            <w:rPr>
              <w:rFonts w:eastAsia="Times New Roman"/>
              <w:color w:val="000000"/>
              <w:vertAlign w:val="superscript"/>
            </w:rPr>
            <w:t>228,247,248</w:t>
          </w:r>
        </w:sdtContent>
      </w:sdt>
      <w:r w:rsidRPr="00476931">
        <w:rPr>
          <w:rFonts w:ascii="Times New Roman" w:hAnsi="Times New Roman" w:cs="Times New Roman"/>
          <w:color w:val="000000" w:themeColor="text1"/>
        </w:rPr>
        <w:t>.  Breastmilk contains high levels of calprotectin, and this heterodimer has been suggested to be involved in host immune regulation</w:t>
      </w:r>
      <w:sdt>
        <w:sdtPr>
          <w:rPr>
            <w:rFonts w:ascii="Times New Roman" w:hAnsi="Times New Roman" w:cs="Times New Roman"/>
            <w:color w:val="000000"/>
            <w:vertAlign w:val="superscript"/>
          </w:rPr>
          <w:tag w:val="MENDELEY_CITATION_v3_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"/>
          <w:id w:val="991749277"/>
          <w:placeholder>
            <w:docPart w:val="33EFA801D6B0F546B568FA71D8FADAF9"/>
          </w:placeholder>
        </w:sdtPr>
        <w:sdtEndPr/>
        <w:sdtContent>
          <w:r w:rsidR="003204EA" w:rsidRPr="003204EA">
            <w:rPr>
              <w:rFonts w:eastAsia="Times New Roman"/>
              <w:color w:val="000000"/>
              <w:vertAlign w:val="superscript"/>
            </w:rPr>
            <w:t>201</w:t>
          </w:r>
        </w:sdtContent>
      </w:sdt>
      <w:r w:rsidRPr="00476931">
        <w:rPr>
          <w:rFonts w:ascii="Times New Roman" w:hAnsi="Times New Roman" w:cs="Times New Roman"/>
          <w:color w:val="000000" w:themeColor="text1"/>
        </w:rPr>
        <w:t>.  In this cohort, we observed changes in fecal calprotectin levels that were not associated with changes in consumption of formula and breastmilk, supporting the idea that changes in calprotectin levels were due to an inflammatory response and not due to diet.  During the periods of altered host expression of calprotectin, there was a corresponding pattern of increased manganese import in selected organisms in several infants based on the expression of proteins related to the import of this metal.  Figure 6</w:t>
      </w:r>
      <w:r w:rsidR="00AD0AE0">
        <w:rPr>
          <w:rFonts w:ascii="Times New Roman" w:hAnsi="Times New Roman" w:cs="Times New Roman"/>
          <w:color w:val="000000" w:themeColor="text1"/>
        </w:rPr>
        <w:t>-</w:t>
      </w:r>
      <w:r w:rsidRPr="00476931">
        <w:rPr>
          <w:rFonts w:ascii="Times New Roman" w:hAnsi="Times New Roman" w:cs="Times New Roman"/>
          <w:color w:val="000000" w:themeColor="text1"/>
        </w:rPr>
        <w:t>13B illustrates how the host can impose manganese and zinc starvation, and one mechanism microbes might use to overcome this, as observed in infant 39 during the period of increased host expression of calprotectin. During the infection process, enterocytes are stimulated to express the cytokines, such as IL-17 and IL-22, which bind to receptors on neutrophils, thereby promoting transmigration of the neutrophils to the site of infection where they release calprotectin into the intestinal lumen where it binds to zinc and manganese, making these nutrients unavailable to the microbes</w:t>
      </w:r>
      <w:sdt>
        <w:sdtPr>
          <w:rPr>
            <w:rFonts w:ascii="Times New Roman" w:hAnsi="Times New Roman" w:cs="Times New Roman"/>
            <w:color w:val="000000"/>
            <w:vertAlign w:val="superscript"/>
          </w:rPr>
          <w:tag w:val="MENDELEY_CITATION_v3_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"/>
          <w:id w:val="-709116386"/>
          <w:placeholder>
            <w:docPart w:val="378EE3EDE401AA4E9C4ACC0CAEB7C3DD"/>
          </w:placeholder>
        </w:sdtPr>
        <w:sdtEndPr/>
        <w:sdtContent>
          <w:r w:rsidR="003204EA" w:rsidRPr="003204EA">
            <w:rPr>
              <w:rFonts w:eastAsia="Times New Roman"/>
              <w:color w:val="000000"/>
              <w:vertAlign w:val="superscript"/>
            </w:rPr>
            <w:t>249</w:t>
          </w:r>
        </w:sdtContent>
      </w:sdt>
      <w:r w:rsidRPr="00476931">
        <w:rPr>
          <w:rFonts w:ascii="Times New Roman" w:hAnsi="Times New Roman" w:cs="Times New Roman"/>
          <w:color w:val="000000" w:themeColor="text1"/>
        </w:rPr>
        <w:t>.</w:t>
      </w:r>
    </w:p>
    <w:p w14:paraId="716CC21D" w14:textId="427E7460" w:rsidR="00310878" w:rsidRPr="00476931" w:rsidRDefault="00310878" w:rsidP="005808D5">
      <w:pPr>
        <w:rPr>
          <w:rFonts w:ascii="Times New Roman" w:hAnsi="Times New Roman" w:cs="Times New Roman"/>
          <w:color w:val="000000" w:themeColor="text1"/>
        </w:rPr>
      </w:pPr>
      <w:r w:rsidRPr="00476931">
        <w:rPr>
          <w:rFonts w:ascii="Times New Roman" w:hAnsi="Times New Roman" w:cs="Times New Roman"/>
          <w:color w:val="000000" w:themeColor="text1"/>
        </w:rPr>
        <w:t>Some microbes have overcome this strategy by utilizing additional membrane transporters such as the ones shown in the figure that enhance their ability to import manganese into the cell. As both manganese and zinc are cofactors for many enzymes involved in critical processes required for bacterial growth, including central metabolism, mechanisms for bacteria to compete with the host for these metals are essential for the survival of the organisms</w:t>
      </w:r>
      <w:sdt>
        <w:sdtPr>
          <w:rPr>
            <w:rFonts w:ascii="Times New Roman" w:hAnsi="Times New Roman" w:cs="Times New Roman"/>
            <w:color w:val="000000"/>
            <w:vertAlign w:val="superscript"/>
          </w:rPr>
          <w:tag w:val="MENDELEY_CITATION_v3_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"/>
          <w:id w:val="-1596471395"/>
          <w:placeholder>
            <w:docPart w:val="A490F0E7294A2C4BBCFA2020C690EE15"/>
          </w:placeholder>
        </w:sdtPr>
        <w:sdtEndPr/>
        <w:sdtContent>
          <w:r w:rsidR="003204EA" w:rsidRPr="003204EA">
            <w:rPr>
              <w:rFonts w:eastAsia="Times New Roman"/>
              <w:color w:val="000000"/>
              <w:vertAlign w:val="superscript"/>
            </w:rPr>
            <w:t>216</w:t>
          </w:r>
        </w:sdtContent>
      </w:sdt>
      <w:r w:rsidRPr="00476931">
        <w:rPr>
          <w:rFonts w:ascii="Times New Roman" w:hAnsi="Times New Roman" w:cs="Times New Roman"/>
          <w:color w:val="000000" w:themeColor="text1"/>
        </w:rPr>
        <w:t>.  Both manganese and zinc are also cofactors for several proteins directly involved in microbial response to other innate immune responses and to antibiotic intervention for the treatment of infection. Specifically, enteric pathogens require manganese as a cofactor for superoxide dismutase to protect the cell from host-imposed oxidative stress</w:t>
      </w:r>
      <w:sdt>
        <w:sdtPr>
          <w:rPr>
            <w:rFonts w:ascii="Times New Roman" w:hAnsi="Times New Roman" w:cs="Times New Roman"/>
            <w:color w:val="000000"/>
            <w:vertAlign w:val="superscript"/>
          </w:rPr>
          <w:tag w:val="MENDELEY_CITATION_v3_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"/>
          <w:id w:val="2059972570"/>
          <w:placeholder>
            <w:docPart w:val="A490F0E7294A2C4BBCFA2020C690EE15"/>
          </w:placeholder>
        </w:sdtPr>
        <w:sdtEndPr/>
        <w:sdtContent>
          <w:r w:rsidR="003204EA" w:rsidRPr="003204EA">
            <w:rPr>
              <w:rFonts w:eastAsia="Times New Roman"/>
              <w:color w:val="000000"/>
              <w:vertAlign w:val="superscript"/>
            </w:rPr>
            <w:t>248</w:t>
          </w:r>
        </w:sdtContent>
      </w:sdt>
      <w:r w:rsidRPr="00476931">
        <w:rPr>
          <w:rFonts w:ascii="Times New Roman" w:hAnsi="Times New Roman" w:cs="Times New Roman"/>
          <w:color w:val="000000" w:themeColor="text1"/>
        </w:rPr>
        <w:t xml:space="preserve">. Interestingly, zinc is a necessary cofactor for </w:t>
      </w:r>
      <w:proofErr w:type="spellStart"/>
      <w:r w:rsidRPr="00476931">
        <w:rPr>
          <w:rFonts w:ascii="Times New Roman" w:hAnsi="Times New Roman" w:cs="Times New Roman"/>
          <w:color w:val="000000" w:themeColor="text1"/>
        </w:rPr>
        <w:t>metallo</w:t>
      </w:r>
      <w:proofErr w:type="spellEnd"/>
      <w:r w:rsidRPr="00476931">
        <w:rPr>
          <w:rFonts w:ascii="Times New Roman" w:hAnsi="Times New Roman" w:cs="Times New Roman"/>
          <w:color w:val="000000" w:themeColor="text1"/>
        </w:rPr>
        <w:t>-beta-lactamases, which are capable of inactivating beta-lactam antibiotics</w:t>
      </w:r>
      <w:sdt>
        <w:sdtPr>
          <w:rPr>
            <w:rFonts w:ascii="Times New Roman" w:hAnsi="Times New Roman" w:cs="Times New Roman"/>
            <w:color w:val="000000"/>
            <w:vertAlign w:val="superscript"/>
          </w:rPr>
          <w:tag w:val="MENDELEY_CITATION_v3_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"/>
          <w:id w:val="1689555895"/>
          <w:placeholder>
            <w:docPart w:val="A490F0E7294A2C4BBCFA2020C690EE15"/>
          </w:placeholder>
        </w:sdtPr>
        <w:sdtEndPr/>
        <w:sdtContent>
          <w:r w:rsidR="003204EA" w:rsidRPr="003204EA">
            <w:rPr>
              <w:rFonts w:eastAsia="Times New Roman"/>
              <w:color w:val="000000"/>
              <w:vertAlign w:val="superscript"/>
            </w:rPr>
            <w:t>250</w:t>
          </w:r>
        </w:sdtContent>
      </w:sdt>
      <w:r w:rsidRPr="00476931">
        <w:rPr>
          <w:rFonts w:ascii="Times New Roman" w:hAnsi="Times New Roman" w:cs="Times New Roman"/>
          <w:color w:val="000000" w:themeColor="text1"/>
        </w:rPr>
        <w:t>. This may explain why some of the organisms in this study that expressed both the relevant antibiotic resistance-related proteins and manganese import proteins increased in relative abundance during periods of antibiotic administration in contrast to organisms with similar antibiotic resistance capabilities that lacked manganese importers, which decreased in abundance.  In general, as both manganese and zinc are attractive targets for the host to limit as part of an immune response, microbial homeostasis mechanisms for these metals may play a more significant role in community assembly in the preterm infant gut than previously recognized.</w:t>
      </w:r>
    </w:p>
    <w:p w14:paraId="745FBF1A" w14:textId="3AC7E6FD" w:rsidR="00310878" w:rsidRPr="00476931" w:rsidRDefault="00310878" w:rsidP="005808D5">
      <w:pPr>
        <w:rPr>
          <w:rFonts w:ascii="Times New Roman" w:hAnsi="Times New Roman" w:cs="Times New Roman"/>
          <w:color w:val="000000" w:themeColor="text1"/>
        </w:rPr>
      </w:pPr>
      <w:r w:rsidRPr="00476931">
        <w:rPr>
          <w:rFonts w:ascii="Times New Roman" w:hAnsi="Times New Roman" w:cs="Times New Roman"/>
          <w:color w:val="000000" w:themeColor="text1"/>
        </w:rPr>
        <w:t>The observations relating to antibiotic administration and metal homeostasis cannot be generalized to a larger cohort as other environmental factors (delivery mode, feeding type, hospital environment, etc.)  can have non-negligent influences on the composition and functionality of gut microbiota and host.  To fully explore the observations in the present study, more longitudinal studies with the recruitment of larger cohorts and a more balanced experimental design in terms of the timing of sample collection will enable more types of longitudinal analyses capable of handling uneven sampling distributions.  Tracking the longitudinal trajectories of proteins early in life can clarify colonization processes and community dynamics compared to single timepoint measurements. In general, longitudinal measurements can improve our understanding of disease progression to better predict host health outcomes. Future studies can leverage longitudinal measurements of real clinical samples where known perturbations to the system (i.e., antibiotic administration) are incorporated into the sampling time series to study the impact of these perturbations on community establishment dynamics.</w:t>
      </w:r>
    </w:p>
    <w:p w14:paraId="21F53A60" w14:textId="77777777" w:rsidR="005808D5" w:rsidRPr="00476931" w:rsidRDefault="005808D5" w:rsidP="005808D5">
      <w:pPr>
        <w:rPr>
          <w:rFonts w:ascii="Times New Roman" w:hAnsi="Times New Roman" w:cs="Times New Roman"/>
          <w:color w:val="000000" w:themeColor="text1"/>
        </w:rPr>
      </w:pPr>
    </w:p>
    <w:p w14:paraId="16313271" w14:textId="046B45C5" w:rsidR="00A03BED" w:rsidRPr="00476931" w:rsidRDefault="001505C6" w:rsidP="00D4445F">
      <w:pPr>
        <w:pStyle w:val="Heading3"/>
        <w:rPr>
          <w:bCs/>
        </w:rPr>
      </w:pPr>
      <w:bookmarkStart w:id="376" w:name="_Toc110250301"/>
      <w:bookmarkStart w:id="377" w:name="_Toc110250558"/>
      <w:bookmarkStart w:id="378" w:name="_Toc110250689"/>
      <w:r w:rsidRPr="00476931">
        <w:t xml:space="preserve">6.3.4  </w:t>
      </w:r>
      <w:r w:rsidR="00310878" w:rsidRPr="00476931">
        <w:t>Methods</w:t>
      </w:r>
      <w:r w:rsidR="0003562F">
        <w:t>.</w:t>
      </w:r>
      <w:bookmarkEnd w:id="376"/>
      <w:bookmarkEnd w:id="377"/>
      <w:bookmarkEnd w:id="378"/>
    </w:p>
    <w:p w14:paraId="6863FE3D" w14:textId="77777777" w:rsidR="00A03BED" w:rsidRPr="00326E1F" w:rsidRDefault="00A03BED" w:rsidP="00A03BED">
      <w:pPr>
        <w:pStyle w:val="Heading1"/>
        <w:numPr>
          <w:ilvl w:val="0"/>
          <w:numId w:val="0"/>
        </w:numPr>
        <w:ind w:left="158"/>
        <w:rPr>
          <w:rFonts w:cs="Times New Roman"/>
          <w:bCs w:val="0"/>
          <w:color w:val="000000" w:themeColor="text1"/>
          <w:sz w:val="24"/>
          <w:szCs w:val="24"/>
        </w:rPr>
      </w:pPr>
    </w:p>
    <w:p w14:paraId="740E3157" w14:textId="4C254D33" w:rsidR="001505C6" w:rsidRPr="00476931" w:rsidRDefault="001505C6" w:rsidP="00D4445F">
      <w:pPr>
        <w:pStyle w:val="Heading4"/>
      </w:pPr>
      <w:bookmarkStart w:id="379" w:name="_Toc110250302"/>
      <w:bookmarkStart w:id="380" w:name="_Toc110250559"/>
      <w:bookmarkStart w:id="381" w:name="_Toc110250690"/>
      <w:r w:rsidRPr="00476931">
        <w:t xml:space="preserve">6.3.4.1  </w:t>
      </w:r>
      <w:r w:rsidR="00310878" w:rsidRPr="00476931">
        <w:t>Sample selection, preparation, and measurement</w:t>
      </w:r>
      <w:r w:rsidR="0003562F">
        <w:t>.</w:t>
      </w:r>
      <w:bookmarkEnd w:id="379"/>
      <w:bookmarkEnd w:id="380"/>
      <w:bookmarkEnd w:id="381"/>
    </w:p>
    <w:p w14:paraId="67D711FF" w14:textId="77777777" w:rsidR="00ED4E03" w:rsidRPr="00476931" w:rsidRDefault="00ED4E03" w:rsidP="00ED4E03">
      <w:pPr>
        <w:rPr>
          <w:color w:val="000000" w:themeColor="text1"/>
        </w:rPr>
      </w:pPr>
    </w:p>
    <w:p w14:paraId="3B55D540" w14:textId="3AE8BCD4" w:rsidR="001505C6" w:rsidRPr="00476931" w:rsidRDefault="00310878" w:rsidP="00ED4E03">
      <w:pPr>
        <w:ind w:left="180"/>
        <w:rPr>
          <w:color w:val="000000" w:themeColor="text1"/>
        </w:rPr>
      </w:pPr>
      <w:r w:rsidRPr="00476931">
        <w:rPr>
          <w:color w:val="000000" w:themeColor="text1"/>
        </w:rPr>
        <w:t xml:space="preserve"> Sample collection, processing, and measurements by LC-MS/MS were already described</w:t>
      </w:r>
      <w:sdt>
        <w:sdtPr>
          <w:rPr>
            <w:color w:val="000000"/>
            <w:vertAlign w:val="superscript"/>
          </w:rPr>
          <w:tag w:val="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"/>
          <w:id w:val="-1698295506"/>
          <w:placeholder>
            <w:docPart w:val="51B80CA42C02D44AAB0E5498BC943234"/>
          </w:placeholder>
        </w:sdtPr>
        <w:sdtEndPr/>
        <w:sdtContent>
          <w:r w:rsidR="003204EA" w:rsidRPr="003204EA">
            <w:rPr>
              <w:rFonts w:eastAsia="Times New Roman"/>
              <w:color w:val="000000"/>
              <w:vertAlign w:val="superscript"/>
            </w:rPr>
            <w:t>150,220</w:t>
          </w:r>
        </w:sdtContent>
      </w:sdt>
      <w:r w:rsidRPr="00476931">
        <w:rPr>
          <w:color w:val="000000" w:themeColor="text1"/>
        </w:rPr>
        <w:t>.  Briefly, using necrotizing enterocolitis (NEC) as a representative dysbiotic condition, 91 metaproteomic measurements were taken from 17 preterm infant fecal samples over the first 90 days of life. Six infants developed NEC during the study. 0.3 g of raw fecal stool was processed using an indirect enrichment strategy</w:t>
      </w:r>
      <w:sdt>
        <w:sdtPr>
          <w:rPr>
            <w:color w:val="000000"/>
            <w:vertAlign w:val="superscript"/>
          </w:rPr>
          <w:tag w:val="MENDELEY_CITATION_v3_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"/>
          <w:id w:val="-197236080"/>
          <w:placeholder>
            <w:docPart w:val="492B5639DBE04948AC19ACC72AB0D18C"/>
          </w:placeholder>
        </w:sdtPr>
        <w:sdtEndPr/>
        <w:sdtContent>
          <w:r w:rsidR="003204EA" w:rsidRPr="003204EA">
            <w:rPr>
              <w:rFonts w:eastAsia="Times New Roman"/>
              <w:color w:val="000000"/>
              <w:vertAlign w:val="superscript"/>
            </w:rPr>
            <w:t>251</w:t>
          </w:r>
        </w:sdtContent>
      </w:sdt>
      <w:r w:rsidRPr="00476931">
        <w:rPr>
          <w:color w:val="000000" w:themeColor="text1"/>
        </w:rPr>
        <w:t>, and 50ug of digested peptides were analyzed in technical duplicate via two-dimensional nanospray liquid chromatography-tandem mass spectrometry (LC-MS/MS) on an LTQ-Orbitrap Elite mass spectrometer (</w:t>
      </w:r>
      <w:proofErr w:type="spellStart"/>
      <w:r w:rsidRPr="00476931">
        <w:rPr>
          <w:color w:val="000000" w:themeColor="text1"/>
        </w:rPr>
        <w:t>Thermo</w:t>
      </w:r>
      <w:proofErr w:type="spellEnd"/>
      <w:r w:rsidRPr="00476931">
        <w:rPr>
          <w:color w:val="000000" w:themeColor="text1"/>
        </w:rPr>
        <w:t xml:space="preserve"> Scientific).</w:t>
      </w:r>
    </w:p>
    <w:p w14:paraId="284EDAC2" w14:textId="77777777" w:rsidR="001505C6" w:rsidRPr="00476931" w:rsidRDefault="001505C6" w:rsidP="001505C6">
      <w:pPr>
        <w:ind w:left="900"/>
        <w:rPr>
          <w:color w:val="000000" w:themeColor="text1"/>
        </w:rPr>
      </w:pPr>
    </w:p>
    <w:p w14:paraId="36E4F1B9" w14:textId="4E0F8501" w:rsidR="001505C6" w:rsidRPr="00476931" w:rsidRDefault="001505C6" w:rsidP="001505C6">
      <w:pPr>
        <w:pStyle w:val="Heading4"/>
      </w:pPr>
      <w:bookmarkStart w:id="382" w:name="_Toc110250303"/>
      <w:bookmarkStart w:id="383" w:name="_Toc110250560"/>
      <w:bookmarkStart w:id="384" w:name="_Toc110250691"/>
      <w:r w:rsidRPr="00476931">
        <w:t xml:space="preserve">6.3.4.2  </w:t>
      </w:r>
      <w:r w:rsidR="00310878" w:rsidRPr="00476931">
        <w:t>Database searching and construction of protein datasets</w:t>
      </w:r>
      <w:r w:rsidR="0003562F">
        <w:t>.</w:t>
      </w:r>
      <w:bookmarkEnd w:id="382"/>
      <w:bookmarkEnd w:id="383"/>
      <w:bookmarkEnd w:id="384"/>
    </w:p>
    <w:p w14:paraId="09F15138" w14:textId="77777777" w:rsidR="001505C6" w:rsidRPr="00476931" w:rsidRDefault="001505C6" w:rsidP="001505C6">
      <w:pPr>
        <w:rPr>
          <w:color w:val="000000" w:themeColor="text1"/>
        </w:rPr>
      </w:pPr>
    </w:p>
    <w:p w14:paraId="476FB56A" w14:textId="5DB34D62" w:rsidR="00310878" w:rsidRPr="00476931" w:rsidRDefault="00310878" w:rsidP="00ED4E03">
      <w:pPr>
        <w:ind w:left="180"/>
        <w:rPr>
          <w:color w:val="000000" w:themeColor="text1"/>
        </w:rPr>
      </w:pPr>
      <w:r w:rsidRPr="00476931">
        <w:rPr>
          <w:color w:val="000000" w:themeColor="text1"/>
        </w:rPr>
        <w:t>Matched metagenome-derived protein databases for each sample were compiled into infant-specific databases containing any predicted proteins for that individual.  In addition, the databases contained protein sequences from the human reference proteome (</w:t>
      </w:r>
      <w:proofErr w:type="spellStart"/>
      <w:r w:rsidRPr="00476931">
        <w:rPr>
          <w:color w:val="000000" w:themeColor="text1"/>
        </w:rPr>
        <w:t>UniProtKB</w:t>
      </w:r>
      <w:proofErr w:type="spellEnd"/>
      <w:r w:rsidRPr="00476931">
        <w:rPr>
          <w:color w:val="000000" w:themeColor="text1"/>
        </w:rPr>
        <w:t>/</w:t>
      </w:r>
      <w:proofErr w:type="spellStart"/>
      <w:r w:rsidRPr="00476931">
        <w:rPr>
          <w:color w:val="000000" w:themeColor="text1"/>
        </w:rPr>
        <w:t>TrEMBL</w:t>
      </w:r>
      <w:proofErr w:type="spellEnd"/>
      <w:r w:rsidRPr="00476931">
        <w:rPr>
          <w:color w:val="000000" w:themeColor="text1"/>
        </w:rPr>
        <w:t xml:space="preserve">, </w:t>
      </w:r>
      <w:r w:rsidRPr="00476931">
        <w:rPr>
          <w:color w:val="000000" w:themeColor="text1"/>
          <w:shd w:val="clear" w:color="auto" w:fill="FFFFFF"/>
        </w:rPr>
        <w:t>UP000005640), common mass spectrometry contaminants, and reverse sequences of all entries in the database to control the false discovery rate (FDR)</w:t>
      </w:r>
      <w:r w:rsidRPr="00476931">
        <w:rPr>
          <w:color w:val="000000" w:themeColor="text1"/>
        </w:rPr>
        <w:t>.  Previously collected MS/MS spectra were searched using Proteome Discover 2.3 (</w:t>
      </w:r>
      <w:proofErr w:type="spellStart"/>
      <w:r w:rsidRPr="00476931">
        <w:rPr>
          <w:color w:val="000000" w:themeColor="text1"/>
        </w:rPr>
        <w:t>Thermo</w:t>
      </w:r>
      <w:proofErr w:type="spellEnd"/>
      <w:r w:rsidRPr="00476931">
        <w:rPr>
          <w:color w:val="000000" w:themeColor="text1"/>
        </w:rPr>
        <w:t xml:space="preserve"> Scientific), employing </w:t>
      </w:r>
      <w:proofErr w:type="spellStart"/>
      <w:r w:rsidRPr="00476931">
        <w:rPr>
          <w:color w:val="000000" w:themeColor="text1"/>
        </w:rPr>
        <w:t>MSAmanda</w:t>
      </w:r>
      <w:proofErr w:type="spellEnd"/>
      <w:r w:rsidRPr="00476931">
        <w:rPr>
          <w:color w:val="000000" w:themeColor="text1"/>
        </w:rPr>
        <w:t xml:space="preserve"> 2.0 and Elutator</w:t>
      </w:r>
      <w:sdt>
        <w:sdtPr>
          <w:rPr>
            <w:color w:val="000000"/>
            <w:vertAlign w:val="superscript"/>
          </w:rPr>
          <w:tag w:val="MENDELEY_CITATION_v3_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"/>
          <w:id w:val="-182522808"/>
          <w:placeholder>
            <w:docPart w:val="0F9C4BAB20CC0145A24A17C7FE1D5B39"/>
          </w:placeholder>
        </w:sdtPr>
        <w:sdtEndPr/>
        <w:sdtContent>
          <w:r w:rsidR="003204EA" w:rsidRPr="003204EA">
            <w:rPr>
              <w:rFonts w:eastAsia="Times New Roman"/>
              <w:color w:val="000000"/>
              <w:vertAlign w:val="superscript"/>
            </w:rPr>
            <w:t>142,146</w:t>
          </w:r>
        </w:sdtContent>
      </w:sdt>
      <w:r w:rsidRPr="00476931">
        <w:rPr>
          <w:color w:val="000000" w:themeColor="text1"/>
        </w:rPr>
        <w:t xml:space="preserve"> with the second search feature in MSAmanda2.0 turned off. Peptide spectrum matches (PSMs) were required to be fully tryptic with up to two miscleavages, a static carbamidomethylation modification of 57.0214 Da </w:t>
      </w:r>
      <w:proofErr w:type="gramStart"/>
      <w:r w:rsidRPr="00476931">
        <w:rPr>
          <w:color w:val="000000" w:themeColor="text1"/>
        </w:rPr>
        <w:t>for cysteine</w:t>
      </w:r>
      <w:proofErr w:type="gramEnd"/>
      <w:r w:rsidRPr="00476931">
        <w:rPr>
          <w:color w:val="000000" w:themeColor="text1"/>
        </w:rPr>
        <w:t xml:space="preserve"> residues, and a dynamic oxidation modification of 15.9949 Da for methionine residues. FDR was assessed by matches to reverse decoy sequences and controlled at 1% on the peptide level. To alleviate the ambiguity associated with shared peptides, proteins were clustered into protein groups by 100% identity for microbial proteins and 85% amino acid sequence identity for human proteins using UCLUST</w:t>
      </w:r>
      <w:sdt>
        <w:sdtPr>
          <w:rPr>
            <w:color w:val="000000"/>
            <w:vertAlign w:val="superscript"/>
          </w:rPr>
          <w:tag w:val="MENDELEY_CITATION_v3_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"/>
          <w:id w:val="-1258292978"/>
          <w:placeholder>
            <w:docPart w:val="0F9C4BAB20CC0145A24A17C7FE1D5B39"/>
          </w:placeholder>
        </w:sdtPr>
        <w:sdtEndPr/>
        <w:sdtContent>
          <w:r w:rsidR="003204EA" w:rsidRPr="003204EA">
            <w:rPr>
              <w:rFonts w:eastAsia="Times New Roman"/>
              <w:color w:val="000000"/>
              <w:vertAlign w:val="superscript"/>
            </w:rPr>
            <w:t>173</w:t>
          </w:r>
        </w:sdtContent>
      </w:sdt>
      <w:r w:rsidRPr="00476931">
        <w:rPr>
          <w:color w:val="000000" w:themeColor="text1"/>
        </w:rPr>
        <w:t xml:space="preserve">. FDR-controlled peptides were then quantified according to the chromatographic area under the curve (AUC). Peptide AUC values obtained through match-between-runs (MBR) were included for each sample if there was one MS2 event per sample group (infant).   Peptide intensities were summed to estimate protein-level abundance based on peptides that uniquely mapped to one protein group. Technical replicates were merged at the protein level after protein roll-up. One of the files for infant 65 (DOL 17) was not searchable, so only the other replicate was included in the analysis.  Protein abundances from all 91 samples were </w:t>
      </w:r>
      <w:r w:rsidRPr="00476931">
        <w:rPr>
          <w:rFonts w:eastAsia="Calibri"/>
          <w:color w:val="000000" w:themeColor="text1"/>
        </w:rPr>
        <w:t>log-transformed, normalized at the sample level by LOESS, and standardized across the entire dataset by median absolute deviation (MAD) and median centering</w:t>
      </w:r>
      <w:r w:rsidRPr="00476931">
        <w:rPr>
          <w:color w:val="000000" w:themeColor="text1"/>
        </w:rPr>
        <w:t xml:space="preserve">. Missing values were imputed to simulate the mass spectrometer’s limit of detection with a downshift of 2.4 and a width of 0.3. </w:t>
      </w:r>
    </w:p>
    <w:p w14:paraId="238F8810" w14:textId="77777777" w:rsidR="00310878" w:rsidRPr="00476931" w:rsidRDefault="00310878" w:rsidP="00343C78">
      <w:pPr>
        <w:rPr>
          <w:rFonts w:ascii="Times New Roman" w:hAnsi="Times New Roman" w:cs="Times New Roman"/>
          <w:color w:val="000000" w:themeColor="text1"/>
        </w:rPr>
      </w:pPr>
    </w:p>
    <w:p w14:paraId="56FB44EA" w14:textId="446E4B48" w:rsidR="001505C6" w:rsidRPr="00476931" w:rsidRDefault="001505C6" w:rsidP="001505C6">
      <w:pPr>
        <w:pStyle w:val="Heading4"/>
      </w:pPr>
      <w:bookmarkStart w:id="385" w:name="_Toc110250304"/>
      <w:bookmarkStart w:id="386" w:name="_Toc110250561"/>
      <w:bookmarkStart w:id="387" w:name="_Toc110250692"/>
      <w:r w:rsidRPr="00476931">
        <w:t xml:space="preserve">6.3.4.3  </w:t>
      </w:r>
      <w:r w:rsidR="00310878" w:rsidRPr="00476931">
        <w:t>Functional annotation of proteins</w:t>
      </w:r>
      <w:r w:rsidR="0003562F">
        <w:t>.</w:t>
      </w:r>
      <w:bookmarkEnd w:id="385"/>
      <w:bookmarkEnd w:id="386"/>
      <w:bookmarkEnd w:id="387"/>
      <w:r w:rsidR="00310878" w:rsidRPr="00476931">
        <w:t xml:space="preserve"> </w:t>
      </w:r>
    </w:p>
    <w:p w14:paraId="78D305FA" w14:textId="77777777" w:rsidR="001505C6" w:rsidRPr="00476931" w:rsidRDefault="001505C6" w:rsidP="001505C6">
      <w:pPr>
        <w:rPr>
          <w:color w:val="000000" w:themeColor="text1"/>
        </w:rPr>
      </w:pPr>
    </w:p>
    <w:p w14:paraId="54639E82" w14:textId="11A94413" w:rsidR="00310878" w:rsidRPr="00476931" w:rsidRDefault="00310878" w:rsidP="00ED4E03">
      <w:pPr>
        <w:ind w:left="180"/>
        <w:rPr>
          <w:color w:val="000000" w:themeColor="text1"/>
        </w:rPr>
      </w:pPr>
      <w:r w:rsidRPr="00476931">
        <w:rPr>
          <w:color w:val="000000" w:themeColor="text1"/>
        </w:rPr>
        <w:t xml:space="preserve">Annotation of immune-related proteins was performed using the </w:t>
      </w:r>
      <w:proofErr w:type="spellStart"/>
      <w:r w:rsidRPr="00476931">
        <w:rPr>
          <w:color w:val="000000" w:themeColor="text1"/>
        </w:rPr>
        <w:t>Reactome</w:t>
      </w:r>
      <w:proofErr w:type="spellEnd"/>
      <w:r w:rsidRPr="00476931">
        <w:rPr>
          <w:color w:val="000000" w:themeColor="text1"/>
        </w:rPr>
        <w:t xml:space="preserve"> Database (version 77).  Proteins that mapped to several immune pathways were counted for each pathway. Further analysis was performed at the pathway level with the requirement that at least one protein in the pathway is unique.  For annotation of microbial proteins, taxonomy assignments were performed as previously described</w:t>
      </w:r>
      <w:sdt>
        <w:sdtPr>
          <w:rPr>
            <w:color w:val="000000"/>
            <w:vertAlign w:val="superscript"/>
          </w:rPr>
          <w:tag w:val="MENDELEY_CITATION_v3_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"/>
          <w:id w:val="736359065"/>
          <w:placeholder>
            <w:docPart w:val="B2EF6573E74F2648B67222D64B2BEDFD"/>
          </w:placeholder>
        </w:sdtPr>
        <w:sdtEndPr/>
        <w:sdtContent>
          <w:r w:rsidR="003204EA" w:rsidRPr="003204EA">
            <w:rPr>
              <w:rFonts w:eastAsia="Times New Roman"/>
              <w:color w:val="000000"/>
              <w:vertAlign w:val="superscript"/>
            </w:rPr>
            <w:t>220</w:t>
          </w:r>
        </w:sdtContent>
      </w:sdt>
      <w:r w:rsidRPr="00476931">
        <w:rPr>
          <w:color w:val="000000" w:themeColor="text1"/>
        </w:rPr>
        <w:t xml:space="preserve">.  KO terms were identified using the </w:t>
      </w:r>
      <w:proofErr w:type="spellStart"/>
      <w:r w:rsidRPr="00476931">
        <w:rPr>
          <w:color w:val="000000" w:themeColor="text1"/>
        </w:rPr>
        <w:t>eggNOG</w:t>
      </w:r>
      <w:proofErr w:type="spellEnd"/>
      <w:r w:rsidRPr="00476931">
        <w:rPr>
          <w:color w:val="000000" w:themeColor="text1"/>
        </w:rPr>
        <w:t xml:space="preserve"> database </w:t>
      </w:r>
      <w:proofErr w:type="spellStart"/>
      <w:r w:rsidRPr="00476931">
        <w:rPr>
          <w:color w:val="000000" w:themeColor="text1"/>
        </w:rPr>
        <w:t>emapper</w:t>
      </w:r>
      <w:proofErr w:type="spellEnd"/>
      <w:r w:rsidRPr="00476931">
        <w:rPr>
          <w:color w:val="000000" w:themeColor="text1"/>
        </w:rPr>
        <w:t xml:space="preserve"> function (version emapper-1.0.3-35-g63c274b)</w:t>
      </w:r>
      <w:sdt>
        <w:sdtPr>
          <w:rPr>
            <w:color w:val="000000"/>
            <w:vertAlign w:val="superscript"/>
          </w:rPr>
          <w:tag w:val="MENDELEY_CITATION_v3_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"/>
          <w:id w:val="194664354"/>
          <w:placeholder>
            <w:docPart w:val="DF645E9633BBF94A95668463FE1A54A6"/>
          </w:placeholder>
        </w:sdtPr>
        <w:sdtEndPr/>
        <w:sdtContent>
          <w:r w:rsidR="003204EA" w:rsidRPr="003204EA">
            <w:rPr>
              <w:rFonts w:eastAsia="Times New Roman"/>
              <w:color w:val="000000"/>
              <w:vertAlign w:val="superscript"/>
            </w:rPr>
            <w:t>111</w:t>
          </w:r>
        </w:sdtContent>
      </w:sdt>
      <w:r w:rsidRPr="00476931">
        <w:rPr>
          <w:color w:val="000000" w:themeColor="text1"/>
        </w:rPr>
        <w:t xml:space="preserve"> . All quantified microbial protein groups  were searched against the Comprehensive Antibiotic Resistance Database (CARD)</w:t>
      </w:r>
      <w:sdt>
        <w:sdtPr>
          <w:rPr>
            <w:color w:val="000000"/>
            <w:vertAlign w:val="superscript"/>
          </w:rPr>
          <w:tag w:val="MENDELEY_CITATION_v3_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"/>
          <w:id w:val="-180975457"/>
          <w:placeholder>
            <w:docPart w:val="DF645E9633BBF94A95668463FE1A54A6"/>
          </w:placeholder>
        </w:sdtPr>
        <w:sdtEndPr/>
        <w:sdtContent>
          <w:r w:rsidR="003204EA" w:rsidRPr="003204EA">
            <w:rPr>
              <w:rFonts w:eastAsia="Times New Roman"/>
              <w:color w:val="000000"/>
              <w:vertAlign w:val="superscript"/>
            </w:rPr>
            <w:t>252</w:t>
          </w:r>
        </w:sdtContent>
      </w:sdt>
      <w:r w:rsidRPr="00476931">
        <w:rPr>
          <w:color w:val="000000" w:themeColor="text1"/>
        </w:rPr>
        <w:t xml:space="preserve"> to identify antibiotic resistance-related proteins.  Protein sequence hits to the database that mapped to more than one antibiotic resistance ortholog (ARO) were counted for each matching ARO.   Both perfect and strict hits were included in the analysis.  </w:t>
      </w:r>
    </w:p>
    <w:p w14:paraId="0CC4D31F" w14:textId="77777777" w:rsidR="00310878" w:rsidRPr="00476931" w:rsidRDefault="00310878" w:rsidP="00343C78">
      <w:pPr>
        <w:rPr>
          <w:rFonts w:ascii="Times New Roman" w:hAnsi="Times New Roman" w:cs="Times New Roman"/>
          <w:color w:val="000000" w:themeColor="text1"/>
        </w:rPr>
      </w:pPr>
    </w:p>
    <w:p w14:paraId="66EC4BCC" w14:textId="564AF3C7" w:rsidR="001505C6" w:rsidRDefault="001505C6" w:rsidP="001505C6">
      <w:pPr>
        <w:pStyle w:val="Heading4"/>
      </w:pPr>
      <w:bookmarkStart w:id="388" w:name="_Toc110250305"/>
      <w:bookmarkStart w:id="389" w:name="_Toc110250562"/>
      <w:bookmarkStart w:id="390" w:name="_Toc110250693"/>
      <w:r w:rsidRPr="00476931">
        <w:t xml:space="preserve">6.3.4.4  </w:t>
      </w:r>
      <w:r w:rsidR="00310878" w:rsidRPr="00476931">
        <w:t>Data analysis</w:t>
      </w:r>
      <w:r w:rsidR="0003562F">
        <w:t>.</w:t>
      </w:r>
      <w:bookmarkEnd w:id="388"/>
      <w:bookmarkEnd w:id="389"/>
      <w:bookmarkEnd w:id="390"/>
      <w:r w:rsidR="00310878" w:rsidRPr="00476931">
        <w:t xml:space="preserve"> </w:t>
      </w:r>
    </w:p>
    <w:p w14:paraId="374B0278" w14:textId="77777777" w:rsidR="00D4445F" w:rsidRPr="00D4445F" w:rsidRDefault="00D4445F" w:rsidP="00D4445F"/>
    <w:p w14:paraId="75E40355" w14:textId="52DCF505" w:rsidR="001505C6" w:rsidRPr="00476931" w:rsidRDefault="00310878" w:rsidP="00ED4E03">
      <w:pPr>
        <w:ind w:left="180"/>
        <w:rPr>
          <w:rFonts w:ascii="Times New Roman" w:hAnsi="Times New Roman" w:cs="Times New Roman"/>
          <w:color w:val="000000" w:themeColor="text1"/>
        </w:rPr>
      </w:pPr>
      <w:r w:rsidRPr="00476931">
        <w:rPr>
          <w:rFonts w:ascii="Times New Roman" w:hAnsi="Times New Roman" w:cs="Times New Roman"/>
          <w:color w:val="000000" w:themeColor="text1"/>
        </w:rPr>
        <w:t xml:space="preserve">The samples' dissimilarities were assessed using Jaccard distances' NMDS ordinations using the </w:t>
      </w:r>
      <w:proofErr w:type="spellStart"/>
      <w:r w:rsidRPr="00476931">
        <w:rPr>
          <w:rFonts w:ascii="Times New Roman" w:hAnsi="Times New Roman" w:cs="Times New Roman"/>
          <w:color w:val="000000" w:themeColor="text1"/>
        </w:rPr>
        <w:t>metaMDS</w:t>
      </w:r>
      <w:proofErr w:type="spellEnd"/>
      <w:r w:rsidRPr="00476931">
        <w:rPr>
          <w:rFonts w:ascii="Times New Roman" w:hAnsi="Times New Roman" w:cs="Times New Roman"/>
          <w:color w:val="000000" w:themeColor="text1"/>
        </w:rPr>
        <w:t xml:space="preserve">() function in the vegan R package. Before the Jaccard distance calculations, the microbial protein groups were summed to the KO term level.  Permutational multivariate analysis of variance (PERMANOVA), applying 999 permutations, was used to assess statistical significance in beta diversity between categorical variables of interest—related to patient health metadata, including delivery mode, antibiotic usage, health/disease status, etc. The </w:t>
      </w:r>
      <w:proofErr w:type="spellStart"/>
      <w:r w:rsidRPr="00476931">
        <w:rPr>
          <w:rFonts w:ascii="Times New Roman" w:hAnsi="Times New Roman" w:cs="Times New Roman"/>
          <w:color w:val="000000" w:themeColor="text1"/>
        </w:rPr>
        <w:t>betadisper</w:t>
      </w:r>
      <w:proofErr w:type="spellEnd"/>
      <w:r w:rsidRPr="00476931">
        <w:rPr>
          <w:rFonts w:ascii="Times New Roman" w:hAnsi="Times New Roman" w:cs="Times New Roman"/>
          <w:color w:val="000000" w:themeColor="text1"/>
        </w:rPr>
        <w:t xml:space="preserve"> package in R was used as a complementary assessment to the PERMANOVA testing to test for </w:t>
      </w:r>
      <w:r w:rsidRPr="00476931">
        <w:rPr>
          <w:rFonts w:ascii="Times New Roman" w:hAnsi="Times New Roman" w:cs="Times New Roman"/>
          <w:color w:val="000000" w:themeColor="text1"/>
          <w:shd w:val="clear" w:color="auto" w:fill="FFFFFF"/>
        </w:rPr>
        <w:t xml:space="preserve">homogeneity of multivariate dispersion to </w:t>
      </w:r>
      <w:r w:rsidRPr="00476931">
        <w:rPr>
          <w:rFonts w:ascii="Times New Roman" w:hAnsi="Times New Roman" w:cs="Times New Roman"/>
          <w:color w:val="000000" w:themeColor="text1"/>
        </w:rPr>
        <w:t xml:space="preserve">ensure the within-group dispersion was not significant using 999 permutations.  A category </w:t>
      </w:r>
      <w:proofErr w:type="gramStart"/>
      <w:r w:rsidRPr="00476931">
        <w:rPr>
          <w:rFonts w:ascii="Times New Roman" w:hAnsi="Times New Roman" w:cs="Times New Roman"/>
          <w:color w:val="000000" w:themeColor="text1"/>
        </w:rPr>
        <w:t>was considered to be</w:t>
      </w:r>
      <w:proofErr w:type="gramEnd"/>
      <w:r w:rsidRPr="00476931">
        <w:rPr>
          <w:rFonts w:ascii="Times New Roman" w:hAnsi="Times New Roman" w:cs="Times New Roman"/>
          <w:color w:val="000000" w:themeColor="text1"/>
        </w:rPr>
        <w:t xml:space="preserve"> significant in the analysis if there was a significant PERMANOVA result (p-value &lt;0.05) and an insignificant </w:t>
      </w:r>
      <w:proofErr w:type="spellStart"/>
      <w:r w:rsidRPr="00476931">
        <w:rPr>
          <w:rFonts w:ascii="Times New Roman" w:hAnsi="Times New Roman" w:cs="Times New Roman"/>
          <w:color w:val="000000" w:themeColor="text1"/>
        </w:rPr>
        <w:t>betadisper</w:t>
      </w:r>
      <w:proofErr w:type="spellEnd"/>
      <w:r w:rsidRPr="00476931">
        <w:rPr>
          <w:rFonts w:ascii="Times New Roman" w:hAnsi="Times New Roman" w:cs="Times New Roman"/>
          <w:color w:val="000000" w:themeColor="text1"/>
        </w:rPr>
        <w:t xml:space="preserve"> result (p-value&gt;0.05) after </w:t>
      </w:r>
      <w:proofErr w:type="spellStart"/>
      <w:r w:rsidRPr="00476931">
        <w:rPr>
          <w:rFonts w:ascii="Times New Roman" w:hAnsi="Times New Roman" w:cs="Times New Roman"/>
          <w:color w:val="000000" w:themeColor="text1"/>
        </w:rPr>
        <w:t>Benjamini</w:t>
      </w:r>
      <w:proofErr w:type="spellEnd"/>
      <w:r w:rsidRPr="00476931">
        <w:rPr>
          <w:rFonts w:ascii="Times New Roman" w:hAnsi="Times New Roman" w:cs="Times New Roman"/>
          <w:color w:val="000000" w:themeColor="text1"/>
        </w:rPr>
        <w:t xml:space="preserve">-Hochberg correction.  The </w:t>
      </w:r>
      <w:proofErr w:type="spellStart"/>
      <w:r w:rsidRPr="00476931">
        <w:rPr>
          <w:rFonts w:ascii="Times New Roman" w:hAnsi="Times New Roman" w:cs="Times New Roman"/>
          <w:color w:val="000000" w:themeColor="text1"/>
        </w:rPr>
        <w:t>IndVal</w:t>
      </w:r>
      <w:proofErr w:type="spellEnd"/>
      <w:r w:rsidRPr="00476931">
        <w:rPr>
          <w:rFonts w:ascii="Times New Roman" w:hAnsi="Times New Roman" w:cs="Times New Roman"/>
          <w:color w:val="000000" w:themeColor="text1"/>
        </w:rPr>
        <w:t xml:space="preserve"> package in R was used to evaluate what specific proteins were driving the separation between samples based on metadata factors determined as significant in the functional β-diversity analysis. For the relative organismal abundance alluvial plots, the “other” category all proteins with no genus or species level taxonomy classification or if the total organismal abundance was less than 1% of total abundance for any timepoint in the infant.</w:t>
      </w:r>
    </w:p>
    <w:p w14:paraId="3A227767" w14:textId="77777777" w:rsidR="001505C6" w:rsidRPr="00476931" w:rsidRDefault="001505C6">
      <w:pPr>
        <w:spacing w:before="1"/>
        <w:rPr>
          <w:rFonts w:ascii="Times New Roman" w:hAnsi="Times New Roman" w:cs="Times New Roman"/>
          <w:color w:val="000000" w:themeColor="text1"/>
        </w:rPr>
      </w:pPr>
      <w:r w:rsidRPr="00476931">
        <w:rPr>
          <w:rFonts w:ascii="Times New Roman" w:hAnsi="Times New Roman" w:cs="Times New Roman"/>
          <w:color w:val="000000" w:themeColor="text1"/>
        </w:rPr>
        <w:br w:type="page"/>
      </w:r>
    </w:p>
    <w:p w14:paraId="5F6D3A20" w14:textId="770B5B77" w:rsidR="00310878" w:rsidRPr="00476931" w:rsidRDefault="00714B8A" w:rsidP="00D4445F">
      <w:pPr>
        <w:pStyle w:val="Heading1"/>
      </w:pPr>
      <w:bookmarkStart w:id="391" w:name="_Toc110250306"/>
      <w:bookmarkStart w:id="392" w:name="_Toc110250563"/>
      <w:bookmarkStart w:id="393" w:name="_Toc110250694"/>
      <w:r w:rsidRPr="00476931">
        <w:t xml:space="preserve">- </w:t>
      </w:r>
      <w:r w:rsidR="00310878" w:rsidRPr="00476931">
        <w:t xml:space="preserve">Validation that human microbiome </w:t>
      </w:r>
      <w:proofErr w:type="spellStart"/>
      <w:r w:rsidR="00310878" w:rsidRPr="00476931">
        <w:t>phages</w:t>
      </w:r>
      <w:proofErr w:type="spellEnd"/>
      <w:r w:rsidR="00310878" w:rsidRPr="00476931">
        <w:t xml:space="preserve"> use alternative genetic coding</w:t>
      </w:r>
      <w:r w:rsidR="0003562F">
        <w:t>.</w:t>
      </w:r>
      <w:bookmarkEnd w:id="391"/>
      <w:bookmarkEnd w:id="392"/>
      <w:bookmarkEnd w:id="393"/>
    </w:p>
    <w:p w14:paraId="56ECA228" w14:textId="77777777" w:rsidR="001505C6" w:rsidRPr="00476931" w:rsidRDefault="001505C6" w:rsidP="00343C78">
      <w:pPr>
        <w:pStyle w:val="ListParagraph"/>
        <w:spacing w:line="360" w:lineRule="auto"/>
        <w:ind w:left="158"/>
        <w:jc w:val="both"/>
        <w:rPr>
          <w:rFonts w:ascii="Times New Roman" w:hAnsi="Times New Roman" w:cs="Times New Roman"/>
          <w:color w:val="000000" w:themeColor="text1"/>
          <w:sz w:val="40"/>
          <w:szCs w:val="40"/>
        </w:rPr>
      </w:pPr>
    </w:p>
    <w:p w14:paraId="7C5BCEFD" w14:textId="4CD05E1E" w:rsidR="00310878" w:rsidRPr="00476931" w:rsidRDefault="00940FA3" w:rsidP="00940FA3">
      <w:pPr>
        <w:pStyle w:val="ListParagraph"/>
        <w:spacing w:line="360" w:lineRule="auto"/>
        <w:ind w:left="158"/>
        <w:jc w:val="both"/>
        <w:rPr>
          <w:rFonts w:ascii="Times New Roman" w:hAnsi="Times New Roman" w:cs="Times New Roman"/>
          <w:color w:val="000000" w:themeColor="text1"/>
          <w:sz w:val="24"/>
          <w:szCs w:val="24"/>
        </w:rPr>
      </w:pPr>
      <w:r w:rsidRPr="00476931">
        <w:rPr>
          <w:rFonts w:ascii="Times New Roman" w:hAnsi="Times New Roman" w:cs="Times New Roman"/>
          <w:noProof/>
          <w:color w:val="000000" w:themeColor="text1"/>
          <w:sz w:val="24"/>
          <w:szCs w:val="24"/>
        </w:rPr>
        <mc:AlternateContent>
          <mc:Choice Requires="wps">
            <w:drawing>
              <wp:anchor distT="0" distB="0" distL="0" distR="0" simplePos="0" relativeHeight="251658240" behindDoc="1" locked="0" layoutInCell="1" allowOverlap="1" wp14:anchorId="520F89D5" wp14:editId="15F14597">
                <wp:simplePos x="0" y="0"/>
                <wp:positionH relativeFrom="page">
                  <wp:posOffset>1241425</wp:posOffset>
                </wp:positionH>
                <wp:positionV relativeFrom="paragraph">
                  <wp:posOffset>384437</wp:posOffset>
                </wp:positionV>
                <wp:extent cx="5286375" cy="45085"/>
                <wp:effectExtent l="0" t="12700" r="9525" b="0"/>
                <wp:wrapTopAndBottom/>
                <wp:docPr id="2"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86375" cy="45085"/>
                        </a:xfrm>
                        <a:custGeom>
                          <a:avLst/>
                          <a:gdLst>
                            <a:gd name="T0" fmla="+- 0 1455 1455"/>
                            <a:gd name="T1" fmla="*/ T0 w 9285"/>
                            <a:gd name="T2" fmla="+- 0 10740 1455"/>
                            <a:gd name="T3" fmla="*/ T2 w 9285"/>
                          </a:gdLst>
                          <a:ahLst/>
                          <a:cxnLst>
                            <a:cxn ang="0">
                              <a:pos x="T1" y="0"/>
                            </a:cxn>
                            <a:cxn ang="0">
                              <a:pos x="T3" y="0"/>
                            </a:cxn>
                          </a:cxnLst>
                          <a:rect l="0" t="0" r="r" b="b"/>
                          <a:pathLst>
                            <a:path w="9285">
                              <a:moveTo>
                                <a:pt x="0" y="0"/>
                              </a:moveTo>
                              <a:lnTo>
                                <a:pt x="9285" y="0"/>
                              </a:lnTo>
                            </a:path>
                          </a:pathLst>
                        </a:custGeom>
                        <a:noFill/>
                        <a:ln w="19050">
                          <a:solidFill>
                            <a:srgbClr val="7E7E7E"/>
                          </a:solidFill>
                          <a:prstDash val="sysDash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A25D7A7" id="Freeform: Shape 14" o:spid="_x0000_s1026" style="position:absolute;margin-left:97.75pt;margin-top:30.25pt;width:416.25pt;height:3.55pt;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" path="m,l9285,e" filled="f" strokecolor="#7e7e7e" strokeweight="1.5pt">
                <v:stroke dashstyle="3 1 1 1"/>
                <v:path arrowok="t" o:connecttype="custom" o:connectlocs="0,0;5286375,0" o:connectangles="0,0"/>
                <w10:wrap type="topAndBottom" anchorx="page"/>
              </v:shape>
            </w:pict>
          </mc:Fallback>
        </mc:AlternateContent>
      </w:r>
      <w:r w:rsidR="00310878" w:rsidRPr="00476931">
        <w:rPr>
          <w:rFonts w:ascii="Times New Roman" w:hAnsi="Times New Roman" w:cs="Times New Roman"/>
          <w:color w:val="000000" w:themeColor="text1"/>
          <w:sz w:val="24"/>
          <w:szCs w:val="24"/>
        </w:rPr>
        <w:t>Text</w:t>
      </w:r>
      <w:r w:rsidR="00310878" w:rsidRPr="00476931">
        <w:rPr>
          <w:rFonts w:ascii="Times New Roman" w:hAnsi="Times New Roman" w:cs="Times New Roman"/>
          <w:color w:val="000000" w:themeColor="text1"/>
          <w:spacing w:val="-11"/>
          <w:sz w:val="24"/>
          <w:szCs w:val="24"/>
        </w:rPr>
        <w:t xml:space="preserve"> </w:t>
      </w:r>
      <w:r w:rsidR="00310878" w:rsidRPr="00476931">
        <w:rPr>
          <w:rFonts w:ascii="Times New Roman" w:hAnsi="Times New Roman" w:cs="Times New Roman"/>
          <w:color w:val="000000" w:themeColor="text1"/>
          <w:sz w:val="24"/>
          <w:szCs w:val="24"/>
        </w:rPr>
        <w:t>and</w:t>
      </w:r>
      <w:r w:rsidR="00310878" w:rsidRPr="00476931">
        <w:rPr>
          <w:rFonts w:ascii="Times New Roman" w:hAnsi="Times New Roman" w:cs="Times New Roman"/>
          <w:color w:val="000000" w:themeColor="text1"/>
          <w:spacing w:val="-13"/>
          <w:sz w:val="24"/>
          <w:szCs w:val="24"/>
        </w:rPr>
        <w:t xml:space="preserve"> </w:t>
      </w:r>
      <w:r w:rsidR="00310878" w:rsidRPr="00476931">
        <w:rPr>
          <w:rFonts w:ascii="Times New Roman" w:hAnsi="Times New Roman" w:cs="Times New Roman"/>
          <w:color w:val="000000" w:themeColor="text1"/>
          <w:sz w:val="24"/>
          <w:szCs w:val="24"/>
        </w:rPr>
        <w:t>figures</w:t>
      </w:r>
      <w:r w:rsidR="00310878" w:rsidRPr="00476931">
        <w:rPr>
          <w:rFonts w:ascii="Times New Roman" w:hAnsi="Times New Roman" w:cs="Times New Roman"/>
          <w:color w:val="000000" w:themeColor="text1"/>
          <w:spacing w:val="-1"/>
          <w:sz w:val="24"/>
          <w:szCs w:val="24"/>
        </w:rPr>
        <w:t xml:space="preserve"> </w:t>
      </w:r>
      <w:r w:rsidR="00310878" w:rsidRPr="00476931">
        <w:rPr>
          <w:rFonts w:ascii="Times New Roman" w:hAnsi="Times New Roman" w:cs="Times New Roman"/>
          <w:color w:val="000000" w:themeColor="text1"/>
          <w:sz w:val="24"/>
          <w:szCs w:val="24"/>
        </w:rPr>
        <w:t>were</w:t>
      </w:r>
      <w:r w:rsidR="00310878" w:rsidRPr="00476931">
        <w:rPr>
          <w:rFonts w:ascii="Times New Roman" w:hAnsi="Times New Roman" w:cs="Times New Roman"/>
          <w:color w:val="000000" w:themeColor="text1"/>
          <w:spacing w:val="-12"/>
          <w:sz w:val="24"/>
          <w:szCs w:val="24"/>
        </w:rPr>
        <w:t xml:space="preserve"> </w:t>
      </w:r>
      <w:r w:rsidR="00310878" w:rsidRPr="00476931">
        <w:rPr>
          <w:rFonts w:ascii="Times New Roman" w:hAnsi="Times New Roman" w:cs="Times New Roman"/>
          <w:color w:val="000000" w:themeColor="text1"/>
          <w:sz w:val="24"/>
          <w:szCs w:val="24"/>
        </w:rPr>
        <w:t>adapted from</w:t>
      </w:r>
      <w:r w:rsidR="00310878" w:rsidRPr="00476931">
        <w:rPr>
          <w:rFonts w:ascii="Times New Roman" w:hAnsi="Times New Roman" w:cs="Times New Roman"/>
          <w:color w:val="000000" w:themeColor="text1"/>
          <w:spacing w:val="-1"/>
          <w:sz w:val="24"/>
          <w:szCs w:val="24"/>
        </w:rPr>
        <w:t xml:space="preserve"> </w:t>
      </w:r>
      <w:r w:rsidR="00310878" w:rsidRPr="00476931">
        <w:rPr>
          <w:rFonts w:ascii="Times New Roman" w:hAnsi="Times New Roman" w:cs="Times New Roman"/>
          <w:color w:val="000000" w:themeColor="text1"/>
          <w:sz w:val="24"/>
          <w:szCs w:val="24"/>
        </w:rPr>
        <w:t>the</w:t>
      </w:r>
      <w:r w:rsidR="00310878" w:rsidRPr="00476931">
        <w:rPr>
          <w:rFonts w:ascii="Times New Roman" w:hAnsi="Times New Roman" w:cs="Times New Roman"/>
          <w:color w:val="000000" w:themeColor="text1"/>
          <w:spacing w:val="-13"/>
          <w:sz w:val="24"/>
          <w:szCs w:val="24"/>
        </w:rPr>
        <w:t xml:space="preserve"> </w:t>
      </w:r>
      <w:r w:rsidR="00310878" w:rsidRPr="00476931">
        <w:rPr>
          <w:rFonts w:ascii="Times New Roman" w:hAnsi="Times New Roman" w:cs="Times New Roman"/>
          <w:color w:val="000000" w:themeColor="text1"/>
          <w:sz w:val="24"/>
          <w:szCs w:val="24"/>
        </w:rPr>
        <w:t>following manuscript currently under rev</w:t>
      </w:r>
      <w:r w:rsidR="00E24E1F" w:rsidRPr="00476931">
        <w:rPr>
          <w:rFonts w:ascii="Times New Roman" w:hAnsi="Times New Roman" w:cs="Times New Roman"/>
          <w:color w:val="000000" w:themeColor="text1"/>
          <w:sz w:val="24"/>
          <w:szCs w:val="24"/>
        </w:rPr>
        <w:t>iew</w:t>
      </w:r>
      <w:r w:rsidR="00310878" w:rsidRPr="00476931">
        <w:rPr>
          <w:rFonts w:ascii="Times New Roman" w:hAnsi="Times New Roman" w:cs="Times New Roman"/>
          <w:color w:val="000000" w:themeColor="text1"/>
          <w:spacing w:val="-2"/>
          <w:sz w:val="24"/>
          <w:szCs w:val="24"/>
        </w:rPr>
        <w:t>:</w:t>
      </w:r>
    </w:p>
    <w:p w14:paraId="6920B94B" w14:textId="3BB68AAC" w:rsidR="00310878" w:rsidRPr="00476931" w:rsidRDefault="00310878" w:rsidP="00940FA3">
      <w:pPr>
        <w:pStyle w:val="BodyText"/>
        <w:spacing w:line="360" w:lineRule="auto"/>
      </w:pPr>
      <w:r w:rsidRPr="00476931">
        <w:rPr>
          <w:bCs/>
        </w:rPr>
        <w:t>Peters, S.L.,</w:t>
      </w:r>
      <w:r w:rsidRPr="00476931">
        <w:t xml:space="preserve"> Borges, A.B., Giannone, R.J, Morowitz, M.J., Banfield, J.F. and Hettich, R.L., (2022). Validation that human microbiome phages use alternative genetic coding.  </w:t>
      </w:r>
      <w:r w:rsidRPr="00476931">
        <w:rPr>
          <w:iCs/>
        </w:rPr>
        <w:t xml:space="preserve">Nature Communications </w:t>
      </w:r>
      <w:r w:rsidRPr="00476931">
        <w:t>(under re</w:t>
      </w:r>
      <w:r w:rsidR="0021284D">
        <w:t>vision</w:t>
      </w:r>
      <w:r w:rsidR="00E24E1F" w:rsidRPr="00476931">
        <w:t>).</w:t>
      </w:r>
    </w:p>
    <w:p w14:paraId="4E75A33A" w14:textId="77777777" w:rsidR="00E24E1F" w:rsidRPr="00476931" w:rsidRDefault="00E24E1F" w:rsidP="00940FA3">
      <w:pPr>
        <w:ind w:firstLine="0"/>
        <w:rPr>
          <w:i/>
          <w:color w:val="000000" w:themeColor="text1"/>
        </w:rPr>
      </w:pPr>
    </w:p>
    <w:p w14:paraId="227B3861" w14:textId="354FFAA3" w:rsidR="00E24E1F" w:rsidRPr="00476931" w:rsidRDefault="00E24E1F" w:rsidP="00940FA3">
      <w:pPr>
        <w:ind w:firstLine="0"/>
        <w:rPr>
          <w:i/>
          <w:color w:val="000000" w:themeColor="text1"/>
        </w:rPr>
      </w:pPr>
      <w:r w:rsidRPr="00476931">
        <w:rPr>
          <w:noProof/>
          <w:color w:val="000000" w:themeColor="text1"/>
        </w:rPr>
        <mc:AlternateContent>
          <mc:Choice Requires="wps">
            <w:drawing>
              <wp:anchor distT="0" distB="0" distL="0" distR="0" simplePos="0" relativeHeight="251658241" behindDoc="1" locked="0" layoutInCell="1" allowOverlap="1" wp14:anchorId="3ED42229" wp14:editId="1CC377F6">
                <wp:simplePos x="0" y="0"/>
                <wp:positionH relativeFrom="page">
                  <wp:posOffset>1235075</wp:posOffset>
                </wp:positionH>
                <wp:positionV relativeFrom="paragraph">
                  <wp:posOffset>881007</wp:posOffset>
                </wp:positionV>
                <wp:extent cx="5276850" cy="45085"/>
                <wp:effectExtent l="0" t="12700" r="19050" b="0"/>
                <wp:wrapTopAndBottom/>
                <wp:docPr id="24" name="Freeform: 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76850" cy="45085"/>
                        </a:xfrm>
                        <a:custGeom>
                          <a:avLst/>
                          <a:gdLst>
                            <a:gd name="T0" fmla="+- 0 1455 1455"/>
                            <a:gd name="T1" fmla="*/ T0 w 9285"/>
                            <a:gd name="T2" fmla="+- 0 10740 1455"/>
                            <a:gd name="T3" fmla="*/ T2 w 9285"/>
                          </a:gdLst>
                          <a:ahLst/>
                          <a:cxnLst>
                            <a:cxn ang="0">
                              <a:pos x="T1" y="0"/>
                            </a:cxn>
                            <a:cxn ang="0">
                              <a:pos x="T3" y="0"/>
                            </a:cxn>
                          </a:cxnLst>
                          <a:rect l="0" t="0" r="r" b="b"/>
                          <a:pathLst>
                            <a:path w="9285">
                              <a:moveTo>
                                <a:pt x="0" y="0"/>
                              </a:moveTo>
                              <a:lnTo>
                                <a:pt x="9285" y="0"/>
                              </a:lnTo>
                            </a:path>
                          </a:pathLst>
                        </a:custGeom>
                        <a:noFill/>
                        <a:ln w="19050">
                          <a:solidFill>
                            <a:srgbClr val="7E7E7E"/>
                          </a:solidFill>
                          <a:prstDash val="sysDash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0D3B0BD" id="Freeform: Shape 24" o:spid="_x0000_s1026" style="position:absolute;margin-left:97.25pt;margin-top:69.35pt;width:415.5pt;height:3.55pt;z-index:-251676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" path="m,l9285,e" filled="f" strokecolor="#7e7e7e" strokeweight="1.5pt">
                <v:stroke dashstyle="3 1 1 1"/>
                <v:path arrowok="t" o:connecttype="custom" o:connectlocs="0,0;5276850,0" o:connectangles="0,0"/>
                <w10:wrap type="topAndBottom" anchorx="page"/>
              </v:shape>
            </w:pict>
          </mc:Fallback>
        </mc:AlternateContent>
      </w:r>
      <w:r w:rsidRPr="00476931">
        <w:rPr>
          <w:i/>
          <w:color w:val="000000" w:themeColor="text1"/>
        </w:rPr>
        <w:t>S.L.P</w:t>
      </w:r>
      <w:r w:rsidRPr="00476931">
        <w:rPr>
          <w:i/>
          <w:color w:val="000000" w:themeColor="text1"/>
          <w:spacing w:val="-2"/>
        </w:rPr>
        <w:t xml:space="preserve"> </w:t>
      </w:r>
      <w:r w:rsidRPr="00476931">
        <w:rPr>
          <w:i/>
          <w:color w:val="000000" w:themeColor="text1"/>
        </w:rPr>
        <w:t>contributions</w:t>
      </w:r>
      <w:r w:rsidRPr="00476931">
        <w:rPr>
          <w:i/>
          <w:color w:val="000000" w:themeColor="text1"/>
          <w:spacing w:val="-3"/>
        </w:rPr>
        <w:t xml:space="preserve"> </w:t>
      </w:r>
      <w:r w:rsidRPr="00476931">
        <w:rPr>
          <w:i/>
          <w:color w:val="000000" w:themeColor="text1"/>
        </w:rPr>
        <w:t>include</w:t>
      </w:r>
      <w:r w:rsidRPr="00476931">
        <w:rPr>
          <w:i/>
          <w:color w:val="000000" w:themeColor="text1"/>
          <w:spacing w:val="-5"/>
        </w:rPr>
        <w:t xml:space="preserve"> experimental design, metaproteomic measurements, </w:t>
      </w:r>
      <w:r w:rsidRPr="00476931">
        <w:rPr>
          <w:i/>
          <w:color w:val="000000" w:themeColor="text1"/>
        </w:rPr>
        <w:t>data</w:t>
      </w:r>
      <w:r w:rsidRPr="00476931">
        <w:rPr>
          <w:i/>
          <w:color w:val="000000" w:themeColor="text1"/>
          <w:spacing w:val="-4"/>
        </w:rPr>
        <w:t xml:space="preserve"> </w:t>
      </w:r>
      <w:r w:rsidRPr="00476931">
        <w:rPr>
          <w:i/>
          <w:color w:val="000000" w:themeColor="text1"/>
        </w:rPr>
        <w:t>analysis,</w:t>
      </w:r>
      <w:r w:rsidRPr="00476931">
        <w:rPr>
          <w:i/>
          <w:color w:val="000000" w:themeColor="text1"/>
          <w:spacing w:val="-4"/>
        </w:rPr>
        <w:t xml:space="preserve"> figure generation, </w:t>
      </w:r>
      <w:r w:rsidRPr="00476931">
        <w:rPr>
          <w:i/>
          <w:color w:val="000000" w:themeColor="text1"/>
        </w:rPr>
        <w:t>writing and editing</w:t>
      </w:r>
      <w:r w:rsidRPr="00476931">
        <w:rPr>
          <w:i/>
          <w:color w:val="000000" w:themeColor="text1"/>
          <w:spacing w:val="-4"/>
        </w:rPr>
        <w:t xml:space="preserve"> </w:t>
      </w:r>
      <w:r w:rsidRPr="00476931">
        <w:rPr>
          <w:i/>
          <w:color w:val="000000" w:themeColor="text1"/>
        </w:rPr>
        <w:t>of</w:t>
      </w:r>
      <w:r w:rsidRPr="00476931">
        <w:rPr>
          <w:i/>
          <w:color w:val="000000" w:themeColor="text1"/>
          <w:spacing w:val="-4"/>
        </w:rPr>
        <w:t xml:space="preserve"> the </w:t>
      </w:r>
      <w:r w:rsidRPr="00476931">
        <w:rPr>
          <w:i/>
          <w:color w:val="000000" w:themeColor="text1"/>
        </w:rPr>
        <w:t>original</w:t>
      </w:r>
      <w:r w:rsidRPr="00476931">
        <w:rPr>
          <w:i/>
          <w:color w:val="000000" w:themeColor="text1"/>
          <w:spacing w:val="-4"/>
        </w:rPr>
        <w:t xml:space="preserve"> </w:t>
      </w:r>
      <w:r w:rsidRPr="00476931">
        <w:rPr>
          <w:i/>
          <w:color w:val="000000" w:themeColor="text1"/>
        </w:rPr>
        <w:t xml:space="preserve">manuscript, </w:t>
      </w:r>
      <w:proofErr w:type="gramStart"/>
      <w:r w:rsidRPr="00476931">
        <w:rPr>
          <w:i/>
          <w:color w:val="000000" w:themeColor="text1"/>
        </w:rPr>
        <w:t>revisions</w:t>
      </w:r>
      <w:proofErr w:type="gramEnd"/>
      <w:r w:rsidRPr="00476931">
        <w:rPr>
          <w:i/>
          <w:color w:val="000000" w:themeColor="text1"/>
        </w:rPr>
        <w:t xml:space="preserve"> and response to reviewers.</w:t>
      </w:r>
    </w:p>
    <w:p w14:paraId="08D1BB77" w14:textId="40575C5F" w:rsidR="001505C6" w:rsidRPr="00476931" w:rsidRDefault="001505C6" w:rsidP="00E24E1F">
      <w:pPr>
        <w:pStyle w:val="BodyText"/>
        <w:rPr>
          <w:rFonts w:ascii="Times New Roman" w:hAnsi="Times New Roman" w:cs="Times New Roman"/>
          <w:b/>
          <w:bCs/>
        </w:rPr>
      </w:pPr>
    </w:p>
    <w:p w14:paraId="01AE21B8" w14:textId="289082E5" w:rsidR="00310878" w:rsidRPr="00476931" w:rsidRDefault="004E6699" w:rsidP="0060435B">
      <w:pPr>
        <w:pStyle w:val="Heading2"/>
      </w:pPr>
      <w:bookmarkStart w:id="394" w:name="_Toc110250307"/>
      <w:bookmarkStart w:id="395" w:name="_Toc110250564"/>
      <w:bookmarkStart w:id="396" w:name="_Toc110250695"/>
      <w:r w:rsidRPr="00476931">
        <w:t xml:space="preserve">7.1  </w:t>
      </w:r>
      <w:r w:rsidR="00310878" w:rsidRPr="00476931">
        <w:t>Introduction</w:t>
      </w:r>
      <w:r w:rsidR="0003562F">
        <w:t>.</w:t>
      </w:r>
      <w:bookmarkEnd w:id="394"/>
      <w:bookmarkEnd w:id="395"/>
      <w:bookmarkEnd w:id="396"/>
      <w:r w:rsidR="00310878" w:rsidRPr="00476931">
        <w:t xml:space="preserve"> </w:t>
      </w:r>
    </w:p>
    <w:p w14:paraId="02BD64E5" w14:textId="08C22219" w:rsidR="00714B8A" w:rsidRPr="00476931" w:rsidRDefault="00714B8A" w:rsidP="00714B8A">
      <w:pPr>
        <w:rPr>
          <w:color w:val="000000" w:themeColor="text1"/>
        </w:rPr>
      </w:pPr>
    </w:p>
    <w:p w14:paraId="105042CC" w14:textId="36EB2700" w:rsidR="00310878" w:rsidRPr="00476931" w:rsidRDefault="004E6699" w:rsidP="004E6699">
      <w:pPr>
        <w:pStyle w:val="Heading3"/>
      </w:pPr>
      <w:bookmarkStart w:id="397" w:name="_Toc110250308"/>
      <w:bookmarkStart w:id="398" w:name="_Toc110250565"/>
      <w:bookmarkStart w:id="399" w:name="_Toc110250696"/>
      <w:r w:rsidRPr="00476931">
        <w:t xml:space="preserve">7.1.1  </w:t>
      </w:r>
      <w:r w:rsidR="00310878" w:rsidRPr="00476931">
        <w:t>The role of bacteriophages in the environment</w:t>
      </w:r>
      <w:r w:rsidR="0003562F">
        <w:t>.</w:t>
      </w:r>
      <w:bookmarkEnd w:id="397"/>
      <w:bookmarkEnd w:id="398"/>
      <w:bookmarkEnd w:id="399"/>
    </w:p>
    <w:p w14:paraId="721F535E" w14:textId="57782CB2" w:rsidR="00310878" w:rsidRPr="00476931" w:rsidRDefault="00310878" w:rsidP="004E6699">
      <w:pPr>
        <w:rPr>
          <w:color w:val="000000" w:themeColor="text1"/>
          <w:lang w:val="en"/>
        </w:rPr>
      </w:pPr>
      <w:r w:rsidRPr="00476931">
        <w:rPr>
          <w:color w:val="000000" w:themeColor="text1"/>
        </w:rPr>
        <w:t xml:space="preserve">Bacteriophages, or phages for short, are viruses that infect bacteria and are considered distinct from cellular life due to their inability to carry out biological processes necessary for reproduction. </w:t>
      </w:r>
      <w:r w:rsidR="00D4445F">
        <w:rPr>
          <w:color w:val="000000" w:themeColor="text1"/>
        </w:rPr>
        <w:t xml:space="preserve"> </w:t>
      </w:r>
      <w:r w:rsidRPr="00476931">
        <w:rPr>
          <w:color w:val="000000" w:themeColor="text1"/>
        </w:rPr>
        <w:t>Phages are the most abundant biological entity on earth with phage to bacteria ratios ranging from 10:1 in soil and aquatic environments to 1:1 in the mammalian gut</w:t>
      </w:r>
      <w:sdt>
        <w:sdtPr>
          <w:rPr>
            <w:color w:val="000000"/>
            <w:vertAlign w:val="superscript"/>
          </w:rPr>
          <w:tag w:val="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"/>
          <w:id w:val="-305165721"/>
          <w:placeholder>
            <w:docPart w:val="E4B5E21686F2314088D58853EA72C37C"/>
          </w:placeholder>
        </w:sdtPr>
        <w:sdtEndPr/>
        <w:sdtContent>
          <w:r w:rsidR="003204EA" w:rsidRPr="003204EA">
            <w:rPr>
              <w:rFonts w:eastAsia="Times New Roman"/>
              <w:color w:val="000000"/>
              <w:vertAlign w:val="superscript"/>
            </w:rPr>
            <w:t>253,254</w:t>
          </w:r>
        </w:sdtContent>
      </w:sdt>
      <w:r w:rsidRPr="00476931">
        <w:rPr>
          <w:color w:val="000000" w:themeColor="text1"/>
        </w:rPr>
        <w:t xml:space="preserve">. </w:t>
      </w:r>
      <w:r w:rsidR="00D4445F">
        <w:rPr>
          <w:color w:val="000000" w:themeColor="text1"/>
        </w:rPr>
        <w:t xml:space="preserve"> </w:t>
      </w:r>
      <w:r w:rsidRPr="00476931">
        <w:rPr>
          <w:color w:val="000000" w:themeColor="text1"/>
          <w:lang w:val="en"/>
        </w:rPr>
        <w:t>Bacteriophages modulate the composition of microbial communities through the selective predation of bacteria, alteration of host metabolism, and redistribution of cellular lysis products in the environment during the infection process</w:t>
      </w:r>
      <w:sdt>
        <w:sdtPr>
          <w:rPr>
            <w:color w:val="000000"/>
            <w:vertAlign w:val="superscript"/>
            <w:lang w:val="en"/>
          </w:rPr>
          <w:tag w:val="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"/>
          <w:id w:val="-136581151"/>
          <w:placeholder>
            <w:docPart w:val="05245DC7C3325949BBDF92A0D0E871E8"/>
          </w:placeholder>
        </w:sdtPr>
        <w:sdtEndPr/>
        <w:sdtContent>
          <w:r w:rsidR="003204EA" w:rsidRPr="003204EA">
            <w:rPr>
              <w:rFonts w:eastAsia="Times New Roman"/>
              <w:color w:val="000000"/>
              <w:vertAlign w:val="superscript"/>
            </w:rPr>
            <w:t>255</w:t>
          </w:r>
        </w:sdtContent>
      </w:sdt>
      <w:r w:rsidRPr="00476931">
        <w:rPr>
          <w:color w:val="000000" w:themeColor="text1"/>
          <w:lang w:val="en"/>
        </w:rPr>
        <w:t>.  Despite their recognized importance as components of ecosystem dynamics, phages remain one of the most poorly understood members of microbiomes</w:t>
      </w:r>
      <w:sdt>
        <w:sdtPr>
          <w:rPr>
            <w:color w:val="000000"/>
            <w:vertAlign w:val="superscript"/>
            <w:lang w:val="en"/>
          </w:rPr>
          <w:tag w:val="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"/>
          <w:id w:val="851683290"/>
          <w:placeholder>
            <w:docPart w:val="05245DC7C3325949BBDF92A0D0E871E8"/>
          </w:placeholder>
        </w:sdtPr>
        <w:sdtEndPr/>
        <w:sdtContent>
          <w:r w:rsidR="003204EA" w:rsidRPr="003204EA">
            <w:rPr>
              <w:rFonts w:eastAsia="Times New Roman"/>
              <w:color w:val="000000"/>
              <w:vertAlign w:val="superscript"/>
            </w:rPr>
            <w:t>256,257</w:t>
          </w:r>
        </w:sdtContent>
      </w:sdt>
      <w:r w:rsidRPr="00476931">
        <w:rPr>
          <w:color w:val="000000" w:themeColor="text1"/>
          <w:lang w:val="en"/>
        </w:rPr>
        <w:t xml:space="preserve"> due to the limitations of the methodologies used to study them.  </w:t>
      </w:r>
      <w:r w:rsidRPr="00476931">
        <w:rPr>
          <w:color w:val="000000" w:themeColor="text1"/>
        </w:rPr>
        <w:t xml:space="preserve">Most of our knowledge of environmental viruses comes from marine environments.  These environments are fundamentally different ecosystems from the mammalian gut which has </w:t>
      </w:r>
      <w:proofErr w:type="gramStart"/>
      <w:r w:rsidRPr="00476931">
        <w:rPr>
          <w:color w:val="000000" w:themeColor="text1"/>
        </w:rPr>
        <w:t>a number of</w:t>
      </w:r>
      <w:proofErr w:type="gramEnd"/>
      <w:r w:rsidRPr="00476931">
        <w:rPr>
          <w:color w:val="000000" w:themeColor="text1"/>
        </w:rPr>
        <w:t xml:space="preserve"> factors that influence phage-host population dynamics including the complex anatomy of the gut, the actions of the local immune system, the influx of new phages and hosts from the external environment, as well as the chemical composition and amounts of dietary inputs for host metabolism</w:t>
      </w:r>
      <w:sdt>
        <w:sdtPr>
          <w:rPr>
            <w:color w:val="000000"/>
            <w:vertAlign w:val="superscript"/>
          </w:rPr>
          <w:tag w:val="MENDELEY_CITATION_v3_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"/>
          <w:id w:val="-1081136001"/>
          <w:placeholder>
            <w:docPart w:val="E4B5E21686F2314088D58853EA72C37C"/>
          </w:placeholder>
        </w:sdtPr>
        <w:sdtEndPr/>
        <w:sdtContent>
          <w:r w:rsidR="003204EA" w:rsidRPr="003204EA">
            <w:rPr>
              <w:rFonts w:eastAsia="Times New Roman"/>
              <w:color w:val="000000"/>
              <w:vertAlign w:val="superscript"/>
            </w:rPr>
            <w:t>258</w:t>
          </w:r>
        </w:sdtContent>
      </w:sdt>
      <w:r w:rsidRPr="00476931">
        <w:rPr>
          <w:color w:val="000000" w:themeColor="text1"/>
        </w:rPr>
        <w:t xml:space="preserve">.  Methodological advancements are needed to shed light on the gut-associated </w:t>
      </w:r>
      <w:proofErr w:type="spellStart"/>
      <w:r w:rsidRPr="00476931">
        <w:rPr>
          <w:color w:val="000000" w:themeColor="text1"/>
        </w:rPr>
        <w:t>phageome</w:t>
      </w:r>
      <w:proofErr w:type="spellEnd"/>
      <w:r w:rsidRPr="00476931">
        <w:rPr>
          <w:color w:val="000000" w:themeColor="text1"/>
        </w:rPr>
        <w:t xml:space="preserve"> and its importance to mammalian gut homeostasis. </w:t>
      </w:r>
      <w:r w:rsidRPr="00476931">
        <w:rPr>
          <w:color w:val="000000" w:themeColor="text1"/>
          <w:lang w:val="en"/>
        </w:rPr>
        <w:t>Furthermore, fundamental questions remain regarding how phages interact with and redirect, the translation systems of their host bacteria.</w:t>
      </w:r>
    </w:p>
    <w:p w14:paraId="5C11C0B8" w14:textId="77777777" w:rsidR="004E6699" w:rsidRPr="00476931" w:rsidRDefault="004E6699" w:rsidP="004E6699">
      <w:pPr>
        <w:rPr>
          <w:color w:val="000000" w:themeColor="text1"/>
          <w:lang w:val="en"/>
        </w:rPr>
      </w:pPr>
    </w:p>
    <w:p w14:paraId="36CE2407" w14:textId="798432A8" w:rsidR="00310878" w:rsidRPr="00476931" w:rsidRDefault="004E6699" w:rsidP="004E6699">
      <w:pPr>
        <w:pStyle w:val="Heading3"/>
      </w:pPr>
      <w:bookmarkStart w:id="400" w:name="_Toc110250309"/>
      <w:bookmarkStart w:id="401" w:name="_Toc110250566"/>
      <w:bookmarkStart w:id="402" w:name="_Toc110250697"/>
      <w:r w:rsidRPr="00476931">
        <w:t xml:space="preserve">7.1.2  </w:t>
      </w:r>
      <w:r w:rsidR="00310878" w:rsidRPr="00476931">
        <w:t>Uncultivated gut bacteriophages with alternative genetic code</w:t>
      </w:r>
      <w:r w:rsidR="0003562F">
        <w:t>.</w:t>
      </w:r>
      <w:bookmarkEnd w:id="400"/>
      <w:bookmarkEnd w:id="401"/>
      <w:bookmarkEnd w:id="402"/>
    </w:p>
    <w:p w14:paraId="1FE10C7A" w14:textId="77777777" w:rsidR="004E6699" w:rsidRPr="00476931" w:rsidRDefault="004E6699" w:rsidP="00343C78">
      <w:pPr>
        <w:rPr>
          <w:rFonts w:ascii="Times New Roman" w:hAnsi="Times New Roman" w:cs="Times New Roman"/>
          <w:color w:val="000000" w:themeColor="text1"/>
          <w:lang w:val="en"/>
        </w:rPr>
      </w:pPr>
    </w:p>
    <w:p w14:paraId="1D48E328" w14:textId="6FE89BAE" w:rsidR="00310878" w:rsidRPr="00476931" w:rsidRDefault="00310878" w:rsidP="004E6699">
      <w:pPr>
        <w:rPr>
          <w:color w:val="000000" w:themeColor="text1"/>
          <w:lang w:val="en"/>
        </w:rPr>
      </w:pPr>
      <w:r w:rsidRPr="00476931">
        <w:rPr>
          <w:color w:val="000000" w:themeColor="text1"/>
          <w:lang w:val="en"/>
        </w:rPr>
        <w:t>There is evidence from metagenomic studies that some phages appear to use the bacterial ribosome to translate their proteins using both the standard and an alternative code. In these phages, proteins that require a stop codon to be read as an amino acid are thought to be only translated late in the infection cycle after code switch machinery has been deployed</w:t>
      </w:r>
      <w:sdt>
        <w:sdtPr>
          <w:rPr>
            <w:color w:val="000000"/>
            <w:vertAlign w:val="superscript"/>
            <w:lang w:val="en"/>
          </w:rPr>
          <w:tag w:val="MENDELEY_CITATION_v3_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"/>
          <w:id w:val="-384800143"/>
          <w:placeholder>
            <w:docPart w:val="05245DC7C3325949BBDF92A0D0E871E8"/>
          </w:placeholder>
        </w:sdtPr>
        <w:sdtEndPr/>
        <w:sdtContent>
          <w:r w:rsidR="003204EA" w:rsidRPr="003204EA">
            <w:rPr>
              <w:rFonts w:eastAsia="Times New Roman"/>
              <w:color w:val="000000"/>
              <w:vertAlign w:val="superscript"/>
            </w:rPr>
            <w:t>258</w:t>
          </w:r>
        </w:sdtContent>
      </w:sdt>
      <w:r w:rsidRPr="00476931">
        <w:rPr>
          <w:color w:val="000000" w:themeColor="text1"/>
          <w:lang w:val="en"/>
        </w:rPr>
        <w:t>. Some phages are predicted to reassign the normal stop codon TAG to be translated as glutamine (Q), and others reassign the TGA stop codon to tryptophan (W). This phenomenon appears to be common in human and animal microbiomes</w:t>
      </w:r>
      <w:sdt>
        <w:sdtPr>
          <w:rPr>
            <w:color w:val="000000"/>
            <w:vertAlign w:val="superscript"/>
            <w:lang w:val="en"/>
          </w:rPr>
          <w:tag w:val="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"/>
          <w:id w:val="-1288502087"/>
          <w:placeholder>
            <w:docPart w:val="05245DC7C3325949BBDF92A0D0E871E8"/>
          </w:placeholder>
        </w:sdtPr>
        <w:sdtEndPr/>
        <w:sdtContent>
          <w:r w:rsidR="003204EA" w:rsidRPr="003204EA">
            <w:rPr>
              <w:rFonts w:eastAsia="Times New Roman"/>
              <w:color w:val="000000"/>
              <w:vertAlign w:val="superscript"/>
            </w:rPr>
            <w:t>255,258–262</w:t>
          </w:r>
        </w:sdtContent>
      </w:sdt>
      <w:r w:rsidRPr="00476931">
        <w:rPr>
          <w:color w:val="000000" w:themeColor="text1"/>
          <w:lang w:val="en"/>
        </w:rPr>
        <w:t xml:space="preserve"> and is particularly prevalent in phages that infect Firmicutes and </w:t>
      </w:r>
      <w:r w:rsidR="00871C6D" w:rsidRPr="00486FF2">
        <w:rPr>
          <w:color w:val="000000" w:themeColor="text1"/>
          <w:lang w:val="en"/>
        </w:rPr>
        <w:t>Bacteroidetes</w:t>
      </w:r>
      <w:sdt>
        <w:sdtPr>
          <w:rPr>
            <w:color w:val="000000"/>
            <w:vertAlign w:val="superscript"/>
            <w:lang w:val="en"/>
          </w:rPr>
          <w:tag w:val="MENDELEY_CITATION_v3_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"/>
          <w:id w:val="1995143535"/>
          <w:placeholder>
            <w:docPart w:val="2283CF74C5013C458178E11563042F50"/>
          </w:placeholder>
        </w:sdtPr>
        <w:sdtEndPr/>
        <w:sdtContent>
          <w:r w:rsidR="003204EA" w:rsidRPr="003204EA">
            <w:rPr>
              <w:color w:val="000000"/>
              <w:vertAlign w:val="superscript"/>
              <w:lang w:val="en"/>
            </w:rPr>
            <w:t>258</w:t>
          </w:r>
        </w:sdtContent>
      </w:sdt>
      <w:r w:rsidRPr="00476931">
        <w:rPr>
          <w:color w:val="000000" w:themeColor="text1"/>
          <w:lang w:val="en"/>
        </w:rPr>
        <w:t>.</w:t>
      </w:r>
    </w:p>
    <w:p w14:paraId="103F3B5E" w14:textId="15A9A7DA" w:rsidR="00310878" w:rsidRPr="00476931" w:rsidRDefault="00310878" w:rsidP="004E6699">
      <w:pPr>
        <w:rPr>
          <w:color w:val="000000" w:themeColor="text1"/>
          <w:lang w:val="en"/>
        </w:rPr>
      </w:pPr>
      <w:r w:rsidRPr="00476931">
        <w:rPr>
          <w:color w:val="000000" w:themeColor="text1"/>
          <w:lang w:val="en"/>
        </w:rPr>
        <w:t xml:space="preserve">If not recognized, stop codon reassignment can limit our ability to identify phages in metagenome sequences and restrict our understanding of phage gene inventories. Specifically, incorrect code usage leads to low predicted coding densities, </w:t>
      </w:r>
      <w:bookmarkStart w:id="403" w:name="_Hlk102570289"/>
      <w:r w:rsidRPr="00476931">
        <w:rPr>
          <w:color w:val="000000" w:themeColor="text1"/>
          <w:lang w:val="en"/>
        </w:rPr>
        <w:t>truncated gene products, and genes predicted in incorrect reading frames</w:t>
      </w:r>
      <w:bookmarkEnd w:id="403"/>
      <w:r w:rsidRPr="00476931">
        <w:rPr>
          <w:color w:val="000000" w:themeColor="text1"/>
          <w:lang w:val="en"/>
        </w:rPr>
        <w:t>. Alternative code choices can be tested to determine if they restore full-length open reading frames, and the amino acid to which a stop codon is reassigned can be predicted based on amino acid alignments with homologous proteins from related phages. Direct proteomic confirmation of gene predictions of stop codon reassignment has been primarily restricted to bacteria</w:t>
      </w:r>
      <w:sdt>
        <w:sdtPr>
          <w:rPr>
            <w:color w:val="000000"/>
            <w:vertAlign w:val="superscript"/>
            <w:lang w:val="en"/>
          </w:rPr>
          <w:tag w:val="MENDELEY_CITATION_v3_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"/>
          <w:id w:val="1750459351"/>
          <w:placeholder>
            <w:docPart w:val="05245DC7C3325949BBDF92A0D0E871E8"/>
          </w:placeholder>
        </w:sdtPr>
        <w:sdtEndPr/>
        <w:sdtContent>
          <w:r w:rsidR="003204EA" w:rsidRPr="003204EA">
            <w:rPr>
              <w:rFonts w:eastAsia="Times New Roman"/>
              <w:color w:val="000000"/>
              <w:vertAlign w:val="superscript"/>
            </w:rPr>
            <w:t>263,264</w:t>
          </w:r>
        </w:sdtContent>
      </w:sdt>
      <w:r w:rsidRPr="00476931">
        <w:rPr>
          <w:color w:val="000000" w:themeColor="text1"/>
          <w:lang w:val="en"/>
        </w:rPr>
        <w:t>, but predictions for this type of alternative coding event in phages have never been experimentally validated.  Nonetheless, validation of alternative genetic coding is crucial for the accurate understanding of the translation of gene products, and the utilization of experimental evidence provided by proteomics for genome reannotation based on atypical codon usage has been reported in several studies</w:t>
      </w:r>
      <w:sdt>
        <w:sdtPr>
          <w:rPr>
            <w:color w:val="000000"/>
            <w:vertAlign w:val="superscript"/>
            <w:lang w:val="en"/>
          </w:rPr>
          <w:tag w:val="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"/>
          <w:id w:val="121124438"/>
          <w:placeholder>
            <w:docPart w:val="936F18BB5E21674DBF98EB302E25187F"/>
          </w:placeholder>
        </w:sdtPr>
        <w:sdtEndPr/>
        <w:sdtContent>
          <w:r w:rsidR="003204EA" w:rsidRPr="003204EA">
            <w:rPr>
              <w:rFonts w:eastAsia="Times New Roman"/>
              <w:color w:val="000000"/>
              <w:vertAlign w:val="superscript"/>
            </w:rPr>
            <w:t>265–267</w:t>
          </w:r>
        </w:sdtContent>
      </w:sdt>
      <w:r w:rsidRPr="00476931">
        <w:rPr>
          <w:color w:val="000000" w:themeColor="text1"/>
        </w:rPr>
        <w:t>.</w:t>
      </w:r>
      <w:r w:rsidRPr="00476931">
        <w:rPr>
          <w:color w:val="000000" w:themeColor="text1"/>
          <w:lang w:val="en"/>
        </w:rPr>
        <w:t xml:space="preserve"> For example, proteomics-based systematic characterization of the N-termini of </w:t>
      </w:r>
      <w:r w:rsidRPr="00476931">
        <w:rPr>
          <w:color w:val="000000" w:themeColor="text1"/>
        </w:rPr>
        <w:t xml:space="preserve">proteins validated more than 60 </w:t>
      </w:r>
      <w:r w:rsidRPr="00476931">
        <w:rPr>
          <w:color w:val="000000" w:themeColor="text1"/>
          <w:lang w:val="en"/>
        </w:rPr>
        <w:t xml:space="preserve">non-canonical translation initiation codons in the </w:t>
      </w:r>
      <w:proofErr w:type="spellStart"/>
      <w:r w:rsidRPr="00461BFF">
        <w:rPr>
          <w:i/>
          <w:color w:val="000000" w:themeColor="text1"/>
        </w:rPr>
        <w:t>Deinococcus</w:t>
      </w:r>
      <w:proofErr w:type="spellEnd"/>
      <w:r w:rsidRPr="00461BFF">
        <w:rPr>
          <w:i/>
          <w:color w:val="000000" w:themeColor="text1"/>
        </w:rPr>
        <w:t xml:space="preserve"> deserti</w:t>
      </w:r>
      <w:sdt>
        <w:sdtPr>
          <w:rPr>
            <w:iCs/>
            <w:color w:val="000000"/>
            <w:vertAlign w:val="superscript"/>
          </w:rPr>
          <w:tag w:val="MENDELEY_CITATION_v3_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"/>
          <w:id w:val="1567605988"/>
          <w:placeholder>
            <w:docPart w:val="05245DC7C3325949BBDF92A0D0E871E8"/>
          </w:placeholder>
        </w:sdtPr>
        <w:sdtEndPr/>
        <w:sdtContent>
          <w:r w:rsidR="003204EA" w:rsidRPr="003204EA">
            <w:rPr>
              <w:rFonts w:eastAsia="Times New Roman"/>
              <w:color w:val="000000"/>
              <w:vertAlign w:val="superscript"/>
            </w:rPr>
            <w:t>268</w:t>
          </w:r>
        </w:sdtContent>
      </w:sdt>
      <w:r w:rsidRPr="00476931">
        <w:rPr>
          <w:color w:val="000000" w:themeColor="text1"/>
        </w:rPr>
        <w:t xml:space="preserve">. </w:t>
      </w:r>
      <w:r w:rsidRPr="00476931">
        <w:rPr>
          <w:color w:val="000000" w:themeColor="text1"/>
          <w:lang w:val="en"/>
        </w:rPr>
        <w:t>Bioinformatic studies have inferred the use of genetic code 15 in some bacteriophages</w:t>
      </w:r>
      <w:sdt>
        <w:sdtPr>
          <w:rPr>
            <w:color w:val="000000"/>
            <w:vertAlign w:val="superscript"/>
            <w:lang w:val="en"/>
          </w:rPr>
          <w:tag w:val="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"/>
          <w:id w:val="114648763"/>
          <w:placeholder>
            <w:docPart w:val="05245DC7C3325949BBDF92A0D0E871E8"/>
          </w:placeholder>
        </w:sdtPr>
        <w:sdtEndPr/>
        <w:sdtContent>
          <w:r w:rsidR="003204EA" w:rsidRPr="003204EA">
            <w:rPr>
              <w:rFonts w:eastAsia="Times New Roman"/>
              <w:color w:val="000000"/>
              <w:vertAlign w:val="superscript"/>
            </w:rPr>
            <w:t>258,259,262</w:t>
          </w:r>
        </w:sdtContent>
      </w:sdt>
      <w:r w:rsidRPr="00476931">
        <w:rPr>
          <w:iCs/>
          <w:color w:val="000000" w:themeColor="text1"/>
          <w:lang w:val="en"/>
        </w:rPr>
        <w:t xml:space="preserve"> </w:t>
      </w:r>
      <w:r w:rsidRPr="00476931">
        <w:rPr>
          <w:color w:val="000000" w:themeColor="text1"/>
          <w:lang w:val="en"/>
        </w:rPr>
        <w:t xml:space="preserve">and the protist </w:t>
      </w:r>
      <w:proofErr w:type="spellStart"/>
      <w:r w:rsidRPr="00461BFF">
        <w:rPr>
          <w:i/>
          <w:color w:val="000000" w:themeColor="text1"/>
          <w:lang w:val="en"/>
        </w:rPr>
        <w:t>Iotanema</w:t>
      </w:r>
      <w:proofErr w:type="spellEnd"/>
      <w:r w:rsidRPr="00461BFF">
        <w:rPr>
          <w:i/>
          <w:color w:val="000000" w:themeColor="text1"/>
          <w:lang w:val="en"/>
        </w:rPr>
        <w:t xml:space="preserve"> </w:t>
      </w:r>
      <w:proofErr w:type="spellStart"/>
      <w:r w:rsidRPr="00461BFF">
        <w:rPr>
          <w:i/>
          <w:color w:val="000000" w:themeColor="text1"/>
          <w:lang w:val="en"/>
        </w:rPr>
        <w:t>spirale</w:t>
      </w:r>
      <w:proofErr w:type="spellEnd"/>
      <w:sdt>
        <w:sdtPr>
          <w:rPr>
            <w:iCs/>
            <w:color w:val="000000"/>
            <w:vertAlign w:val="superscript"/>
            <w:lang w:val="en"/>
          </w:rPr>
          <w:tag w:val="MENDELEY_CITATION_v3_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"/>
          <w:id w:val="-1215892687"/>
          <w:placeholder>
            <w:docPart w:val="05245DC7C3325949BBDF92A0D0E871E8"/>
          </w:placeholder>
        </w:sdtPr>
        <w:sdtEndPr/>
        <w:sdtContent>
          <w:r w:rsidR="003204EA" w:rsidRPr="003204EA">
            <w:rPr>
              <w:rFonts w:eastAsia="Times New Roman"/>
              <w:color w:val="000000"/>
              <w:vertAlign w:val="superscript"/>
            </w:rPr>
            <w:t>269</w:t>
          </w:r>
        </w:sdtContent>
      </w:sdt>
      <w:r w:rsidRPr="00476931">
        <w:rPr>
          <w:color w:val="000000" w:themeColor="text1"/>
          <w:lang w:val="en"/>
        </w:rPr>
        <w:t xml:space="preserve">.   However, there are no reports validating the expression of this alternate code, and it has been actively rejected in the summary of genetic codes recognized by NCBI (https://www.ncbi.nlm.nih.gov/Taxonomy/Utils/wprintgc.cgi). </w:t>
      </w:r>
    </w:p>
    <w:p w14:paraId="64D543B6" w14:textId="250F47C7" w:rsidR="004E6699" w:rsidRDefault="00310878" w:rsidP="004E6699">
      <w:pPr>
        <w:rPr>
          <w:color w:val="000000" w:themeColor="text1"/>
          <w:lang w:val="en"/>
        </w:rPr>
      </w:pPr>
      <w:r w:rsidRPr="00476931">
        <w:rPr>
          <w:color w:val="000000" w:themeColor="text1"/>
          <w:lang w:val="en"/>
        </w:rPr>
        <w:t>Our previous metagenomic study</w:t>
      </w:r>
      <w:sdt>
        <w:sdtPr>
          <w:rPr>
            <w:color w:val="000000"/>
            <w:vertAlign w:val="superscript"/>
            <w:lang w:val="en"/>
          </w:rPr>
          <w:tag w:val="MENDELEY_CITATION_v3_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"/>
          <w:id w:val="310602637"/>
          <w:placeholder>
            <w:docPart w:val="05245DC7C3325949BBDF92A0D0E871E8"/>
          </w:placeholder>
        </w:sdtPr>
        <w:sdtEndPr/>
        <w:sdtContent>
          <w:r w:rsidR="003204EA" w:rsidRPr="003204EA">
            <w:rPr>
              <w:rFonts w:eastAsia="Times New Roman"/>
              <w:color w:val="000000"/>
              <w:vertAlign w:val="superscript"/>
            </w:rPr>
            <w:t>270</w:t>
          </w:r>
        </w:sdtContent>
      </w:sdt>
      <w:r w:rsidRPr="00476931">
        <w:rPr>
          <w:color w:val="000000" w:themeColor="text1"/>
          <w:lang w:val="en"/>
        </w:rPr>
        <w:t xml:space="preserve"> identified two unrelated human microbiome samples that each contained an abundant crAss-like phage. The adult sample contained a 191 kilobase crAss-like phage genome with the potential to circularize, and the infant sample had a 94 kilobase crAss-like phage genome, which was curated to completion (</w:t>
      </w:r>
      <w:r w:rsidRPr="00476931">
        <w:rPr>
          <w:b/>
          <w:bCs/>
          <w:color w:val="000000" w:themeColor="text1"/>
          <w:lang w:val="en"/>
        </w:rPr>
        <w:t>Figure 7</w:t>
      </w:r>
      <w:r w:rsidR="00697361">
        <w:rPr>
          <w:b/>
          <w:bCs/>
          <w:color w:val="000000" w:themeColor="text1"/>
          <w:lang w:val="en"/>
        </w:rPr>
        <w:t>-</w:t>
      </w:r>
      <w:r w:rsidRPr="00476931">
        <w:rPr>
          <w:b/>
          <w:bCs/>
          <w:color w:val="000000" w:themeColor="text1"/>
          <w:lang w:val="en"/>
        </w:rPr>
        <w:t>1</w:t>
      </w:r>
      <w:r w:rsidRPr="00476931">
        <w:rPr>
          <w:color w:val="000000" w:themeColor="text1"/>
          <w:lang w:val="en"/>
        </w:rPr>
        <w:t>). These samples were prioritized for metaproteomic measurements to address two key questions:  1) can proteins of phages be detected in the presence of highly abundant bacterial, human, and dietary proteins, and 2) can phage proteins be detected that confirm the expression of alternative genetic code 15?</w:t>
      </w:r>
    </w:p>
    <w:p w14:paraId="0654BE76" w14:textId="77777777" w:rsidR="00940FA3" w:rsidRPr="00476931" w:rsidRDefault="00940FA3" w:rsidP="004E6699">
      <w:pPr>
        <w:rPr>
          <w:color w:val="000000" w:themeColor="text1"/>
          <w:lang w:val="en"/>
        </w:rPr>
      </w:pPr>
    </w:p>
    <w:p w14:paraId="1DF4CEFA" w14:textId="3A59F22D" w:rsidR="00714B8A" w:rsidRPr="00476931" w:rsidRDefault="00714B8A" w:rsidP="0060435B">
      <w:pPr>
        <w:pStyle w:val="Heading2"/>
      </w:pPr>
      <w:bookmarkStart w:id="404" w:name="_Toc110250310"/>
      <w:bookmarkStart w:id="405" w:name="_Toc110250567"/>
      <w:bookmarkStart w:id="406" w:name="_Toc110250698"/>
      <w:r w:rsidRPr="00476931">
        <w:t>7.2  Results and Discussion</w:t>
      </w:r>
      <w:r w:rsidR="0003562F">
        <w:t>.</w:t>
      </w:r>
      <w:bookmarkEnd w:id="404"/>
      <w:bookmarkEnd w:id="405"/>
      <w:bookmarkEnd w:id="406"/>
    </w:p>
    <w:p w14:paraId="53B5108E" w14:textId="77777777" w:rsidR="00714B8A" w:rsidRPr="00476931" w:rsidRDefault="00714B8A" w:rsidP="00714B8A">
      <w:pPr>
        <w:rPr>
          <w:color w:val="000000" w:themeColor="text1"/>
        </w:rPr>
      </w:pPr>
    </w:p>
    <w:p w14:paraId="6448F937" w14:textId="50F1BEAA" w:rsidR="00714B8A" w:rsidRPr="00476931" w:rsidRDefault="00714B8A" w:rsidP="00714B8A">
      <w:pPr>
        <w:pStyle w:val="Heading3"/>
      </w:pPr>
      <w:bookmarkStart w:id="407" w:name="_Toc110250311"/>
      <w:bookmarkStart w:id="408" w:name="_Toc110250568"/>
      <w:bookmarkStart w:id="409" w:name="_Toc110250699"/>
      <w:r w:rsidRPr="00476931">
        <w:t>7.2.1  Selective enrichment of virus-like particles from human feces</w:t>
      </w:r>
      <w:r w:rsidR="0003562F">
        <w:t>.</w:t>
      </w:r>
      <w:bookmarkEnd w:id="407"/>
      <w:bookmarkEnd w:id="408"/>
      <w:bookmarkEnd w:id="409"/>
    </w:p>
    <w:p w14:paraId="5E8DA6D1" w14:textId="77777777" w:rsidR="00714B8A" w:rsidRPr="00476931" w:rsidRDefault="00714B8A" w:rsidP="00714B8A">
      <w:pPr>
        <w:rPr>
          <w:rFonts w:ascii="Times New Roman" w:hAnsi="Times New Roman" w:cs="Times New Roman"/>
          <w:color w:val="000000" w:themeColor="text1"/>
          <w:lang w:val="en"/>
        </w:rPr>
      </w:pPr>
    </w:p>
    <w:p w14:paraId="46E6C3DD" w14:textId="250217DD" w:rsidR="00714B8A" w:rsidRPr="00476931" w:rsidRDefault="00714B8A" w:rsidP="00714B8A">
      <w:pPr>
        <w:rPr>
          <w:color w:val="000000" w:themeColor="text1"/>
          <w:lang w:val="en"/>
        </w:rPr>
      </w:pPr>
      <w:r w:rsidRPr="00476931">
        <w:rPr>
          <w:color w:val="000000" w:themeColor="text1"/>
          <w:lang w:val="en"/>
        </w:rPr>
        <w:t xml:space="preserve">Phages contribute a relatively small proportion of proteinaceous biomass in fecal samples, making detecting their proteins by shotgun proteomics particularly challenging. In fact, initial measurements of the fecal samples detected no phage proteins using a standard workflow for the preparation of fecal samples for metaproteomics. </w:t>
      </w:r>
      <w:r w:rsidRPr="00476931">
        <w:rPr>
          <w:color w:val="000000" w:themeColor="text1"/>
        </w:rPr>
        <w:t xml:space="preserve">To detect phage proteins in feces, optimization of the sample preparation methodology was essential to identify phage proteins among highly abundant bacterial, human host, and dietary proteins present in the sample.  The </w:t>
      </w:r>
    </w:p>
    <w:p w14:paraId="27F5021F" w14:textId="77777777" w:rsidR="009802D8" w:rsidRDefault="00310878" w:rsidP="009802D8">
      <w:pPr>
        <w:keepNext/>
        <w:ind w:firstLine="22"/>
      </w:pPr>
      <w:r w:rsidRPr="00476931">
        <w:rPr>
          <w:rFonts w:ascii="Times New Roman" w:hAnsi="Times New Roman" w:cs="Times New Roman"/>
          <w:noProof/>
          <w:color w:val="000000" w:themeColor="text1"/>
        </w:rPr>
        <w:drawing>
          <wp:inline distT="0" distB="0" distL="0" distR="0" wp14:anchorId="1177A0F7" wp14:editId="2F3D184D">
            <wp:extent cx="5511800" cy="1384231"/>
            <wp:effectExtent l="0" t="0" r="0" b="635"/>
            <wp:docPr id="19" name="image3.png">
              <a:extLst xmlns:a="http://schemas.openxmlformats.org/drawingml/2006/main">
                <a:ext uri="{FF2B5EF4-FFF2-40B4-BE49-F238E27FC236}">
                  <a16:creationId xmlns:a16="http://schemas.microsoft.com/office/drawing/2014/main" id="{1F6DEDDF-05BD-494D-8D6F-DEB565B2D2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a:extLst>
                        <a:ext uri="{FF2B5EF4-FFF2-40B4-BE49-F238E27FC236}">
                          <a16:creationId xmlns:a16="http://schemas.microsoft.com/office/drawing/2014/main" id="{1F6DEDDF-05BD-494D-8D6F-DEB565B2D2FD}"/>
                        </a:ext>
                      </a:extLst>
                    </pic:cNvPr>
                    <pic:cNvPicPr>
                      <a:picLocks noChangeAspect="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548404" cy="1393424"/>
                    </a:xfrm>
                    <a:prstGeom prst="rect">
                      <a:avLst/>
                    </a:prstGeom>
                    <a:noFill/>
                    <a:ln>
                      <a:noFill/>
                    </a:ln>
                  </pic:spPr>
                </pic:pic>
              </a:graphicData>
            </a:graphic>
          </wp:inline>
        </w:drawing>
      </w:r>
    </w:p>
    <w:p w14:paraId="2B78F5A4" w14:textId="63809800" w:rsidR="009802D8" w:rsidRPr="009802D8" w:rsidRDefault="009802D8" w:rsidP="009802D8">
      <w:pPr>
        <w:pStyle w:val="Caption"/>
        <w:rPr>
          <w:b w:val="0"/>
          <w:bCs/>
        </w:rPr>
      </w:pPr>
      <w:bookmarkStart w:id="410" w:name="_Toc110246968"/>
      <w:r>
        <w:t xml:space="preserve">Figure </w:t>
      </w:r>
      <w:fldSimple w:instr=" STYLEREF 1 \s ">
        <w:r w:rsidR="00AC2094">
          <w:rPr>
            <w:noProof/>
          </w:rPr>
          <w:t>7</w:t>
        </w:r>
      </w:fldSimple>
      <w:r w:rsidR="00AC2094">
        <w:noBreakHyphen/>
      </w:r>
      <w:fldSimple w:instr=" SEQ Figure \* ARABIC \s 1 ">
        <w:r w:rsidR="00AC2094">
          <w:rPr>
            <w:noProof/>
          </w:rPr>
          <w:t>1</w:t>
        </w:r>
      </w:fldSimple>
      <w:r>
        <w:t xml:space="preserve">  </w:t>
      </w:r>
      <w:r w:rsidRPr="009802D8">
        <w:t>Genome curation and variation.</w:t>
      </w:r>
      <w:bookmarkEnd w:id="410"/>
      <w:r w:rsidRPr="009802D8">
        <w:t xml:space="preserve">  </w:t>
      </w:r>
      <w:r w:rsidRPr="009802D8">
        <w:rPr>
          <w:b w:val="0"/>
          <w:bCs/>
        </w:rPr>
        <w:fldChar w:fldCharType="begin"/>
      </w:r>
      <w:r w:rsidRPr="009802D8">
        <w:rPr>
          <w:b w:val="0"/>
          <w:bCs/>
        </w:rPr>
        <w:instrText xml:space="preserve"> </w:instrText>
      </w:r>
    </w:p>
    <w:p w14:paraId="3C5017FD" w14:textId="77777777" w:rsidR="009802D8" w:rsidRPr="009802D8" w:rsidRDefault="009802D8" w:rsidP="009802D8">
      <w:pPr>
        <w:pStyle w:val="Caption"/>
        <w:rPr>
          <w:b w:val="0"/>
          <w:bCs/>
        </w:rPr>
      </w:pPr>
    </w:p>
    <w:p w14:paraId="6E045809" w14:textId="28FC6DD9" w:rsidR="009802D8" w:rsidRPr="009802D8" w:rsidRDefault="009802D8" w:rsidP="009802D8">
      <w:pPr>
        <w:pStyle w:val="Caption"/>
        <w:rPr>
          <w:b w:val="0"/>
          <w:bCs/>
        </w:rPr>
      </w:pPr>
      <w:r w:rsidRPr="009802D8">
        <w:rPr>
          <w:b w:val="0"/>
          <w:bCs/>
        </w:rPr>
        <w:instrText xml:space="preserve"> </w:instrText>
      </w:r>
      <w:r w:rsidRPr="009802D8">
        <w:rPr>
          <w:b w:val="0"/>
          <w:bCs/>
        </w:rPr>
        <w:fldChar w:fldCharType="end"/>
      </w:r>
      <w:r w:rsidRPr="009802D8">
        <w:rPr>
          <w:b w:val="0"/>
          <w:bCs/>
        </w:rPr>
        <w:fldChar w:fldCharType="begin"/>
      </w:r>
      <w:r w:rsidRPr="009802D8">
        <w:rPr>
          <w:b w:val="0"/>
          <w:bCs/>
        </w:rPr>
        <w:instrText xml:space="preserve"> </w:instrText>
      </w:r>
    </w:p>
    <w:p w14:paraId="37B2567E" w14:textId="77777777" w:rsidR="009802D8" w:rsidRPr="009802D8" w:rsidRDefault="009802D8" w:rsidP="009802D8">
      <w:pPr>
        <w:pStyle w:val="Caption"/>
        <w:rPr>
          <w:b w:val="0"/>
          <w:bCs/>
        </w:rPr>
      </w:pPr>
    </w:p>
    <w:p w14:paraId="4FACF81D" w14:textId="77777777" w:rsidR="009802D8" w:rsidRPr="009802D8" w:rsidRDefault="009802D8" w:rsidP="009802D8">
      <w:pPr>
        <w:pStyle w:val="Caption"/>
        <w:rPr>
          <w:b w:val="0"/>
          <w:bCs/>
        </w:rPr>
      </w:pPr>
      <w:r w:rsidRPr="009802D8">
        <w:rPr>
          <w:b w:val="0"/>
          <w:bCs/>
        </w:rPr>
        <w:instrText xml:space="preserve"> </w:instrText>
      </w:r>
      <w:r w:rsidRPr="009802D8">
        <w:rPr>
          <w:b w:val="0"/>
          <w:bCs/>
        </w:rPr>
        <w:fldChar w:fldCharType="end"/>
      </w:r>
      <w:r w:rsidRPr="009802D8">
        <w:rPr>
          <w:b w:val="0"/>
          <w:bCs/>
        </w:rPr>
        <w:t>Overview of the final curated genome showing complete and relatively even coverage by paired 150 bp Illumina reads (mean insert size: 391 bp) when reads are mapped, allowing ≤ 2% single nucleotide polymorphisms.</w:t>
      </w:r>
    </w:p>
    <w:p w14:paraId="2F4BF116" w14:textId="77777777" w:rsidR="004E6699" w:rsidRPr="00476931" w:rsidRDefault="004E6699">
      <w:pPr>
        <w:spacing w:before="1"/>
        <w:rPr>
          <w:rFonts w:ascii="Times New Roman" w:hAnsi="Times New Roman" w:cs="Times New Roman"/>
          <w:color w:val="000000" w:themeColor="text1"/>
        </w:rPr>
      </w:pPr>
      <w:r w:rsidRPr="00476931">
        <w:rPr>
          <w:rFonts w:ascii="Times New Roman" w:hAnsi="Times New Roman" w:cs="Times New Roman"/>
          <w:color w:val="000000" w:themeColor="text1"/>
        </w:rPr>
        <w:br w:type="page"/>
      </w:r>
    </w:p>
    <w:p w14:paraId="44358F5C" w14:textId="464FE7AD" w:rsidR="00310878" w:rsidRPr="00476931" w:rsidRDefault="00714B8A" w:rsidP="00714B8A">
      <w:pPr>
        <w:ind w:firstLine="22"/>
        <w:rPr>
          <w:color w:val="000000" w:themeColor="text1"/>
          <w:lang w:val="en"/>
        </w:rPr>
      </w:pPr>
      <w:r w:rsidRPr="00476931">
        <w:rPr>
          <w:color w:val="000000" w:themeColor="text1"/>
        </w:rPr>
        <w:t xml:space="preserve">dynamic </w:t>
      </w:r>
      <w:r w:rsidR="00310878" w:rsidRPr="00476931">
        <w:rPr>
          <w:color w:val="000000" w:themeColor="text1"/>
        </w:rPr>
        <w:t>range of proteins present in feces has prompted metaproteomics methodological advancements to selectively enrich or deplete some proteins prior to LC-MS/MS measurements based on their source organism</w:t>
      </w:r>
      <w:sdt>
        <w:sdtPr>
          <w:rPr>
            <w:color w:val="000000"/>
            <w:vertAlign w:val="superscript"/>
          </w:rPr>
          <w:tag w:val="MENDELEY_CITATION_v3_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"/>
          <w:id w:val="1178462271"/>
          <w:placeholder>
            <w:docPart w:val="E4B5E21686F2314088D58853EA72C37C"/>
          </w:placeholder>
        </w:sdtPr>
        <w:sdtEndPr/>
        <w:sdtContent>
          <w:r w:rsidR="003204EA" w:rsidRPr="003204EA">
            <w:rPr>
              <w:rFonts w:eastAsia="Times New Roman"/>
              <w:color w:val="000000"/>
              <w:vertAlign w:val="superscript"/>
            </w:rPr>
            <w:t>251</w:t>
          </w:r>
        </w:sdtContent>
      </w:sdt>
      <w:r w:rsidR="00310878" w:rsidRPr="00476931">
        <w:rPr>
          <w:color w:val="000000" w:themeColor="text1"/>
        </w:rPr>
        <w:t xml:space="preserve">.  However, several enrichment strategies require a large amount of starting fecal material (300mg) which may not be possible during the sample collection or available if some of the material is reserved for paired experiments.  </w:t>
      </w:r>
      <w:r w:rsidR="00310878" w:rsidRPr="00476931">
        <w:rPr>
          <w:color w:val="000000" w:themeColor="text1"/>
          <w:lang w:val="en"/>
        </w:rPr>
        <w:t>Previous work has shown alternatively coding phages have genome sizes, and presumably corresponding physical sizes, that range from very small to very large</w:t>
      </w:r>
      <w:sdt>
        <w:sdtPr>
          <w:rPr>
            <w:color w:val="000000"/>
            <w:vertAlign w:val="superscript"/>
            <w:lang w:val="en"/>
          </w:rPr>
          <w:tag w:val="MENDELEY_CITATION_v3_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"/>
          <w:id w:val="-1986615455"/>
          <w:placeholder>
            <w:docPart w:val="DC7C970E839D6F4380E96267B612AC9D"/>
          </w:placeholder>
        </w:sdtPr>
        <w:sdtEndPr/>
        <w:sdtContent>
          <w:r w:rsidR="003204EA" w:rsidRPr="003204EA">
            <w:rPr>
              <w:rFonts w:eastAsia="Times New Roman"/>
              <w:color w:val="000000"/>
              <w:vertAlign w:val="superscript"/>
            </w:rPr>
            <w:t>258</w:t>
          </w:r>
        </w:sdtContent>
      </w:sdt>
      <w:r w:rsidR="00310878" w:rsidRPr="00476931">
        <w:rPr>
          <w:color w:val="000000" w:themeColor="text1"/>
          <w:lang w:val="en"/>
        </w:rPr>
        <w:t xml:space="preserve">.  </w:t>
      </w:r>
      <w:r w:rsidR="00310878" w:rsidRPr="00476931">
        <w:rPr>
          <w:color w:val="000000" w:themeColor="text1"/>
        </w:rPr>
        <w:t>Alternative coding is predicted to be prevalent during late infection for the expression of structural proteins</w:t>
      </w:r>
      <w:sdt>
        <w:sdtPr>
          <w:rPr>
            <w:color w:val="000000"/>
            <w:vertAlign w:val="superscript"/>
          </w:rPr>
          <w:tag w:val="MENDELEY_CITATION_v3_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"/>
          <w:id w:val="-1367130560"/>
          <w:placeholder>
            <w:docPart w:val="C71CF1CB6C7101459B7082696A5352F6"/>
          </w:placeholder>
        </w:sdtPr>
        <w:sdtEndPr/>
        <w:sdtContent>
          <w:r w:rsidR="003204EA" w:rsidRPr="003204EA">
            <w:rPr>
              <w:rFonts w:eastAsia="Times New Roman"/>
              <w:color w:val="000000"/>
              <w:vertAlign w:val="superscript"/>
            </w:rPr>
            <w:t>261</w:t>
          </w:r>
        </w:sdtContent>
      </w:sdt>
      <w:r w:rsidR="00310878" w:rsidRPr="00476931">
        <w:rPr>
          <w:color w:val="000000" w:themeColor="text1"/>
        </w:rPr>
        <w:t>.  Our goal was to optimize a methodology that enabled the enrichment of virus-like particles (VLPs) and their proteins to enable deeper measurements of relatively abundant phage structural proteins regardless of the phage’s physical size.</w:t>
      </w:r>
      <w:r w:rsidR="00310878" w:rsidRPr="00476931">
        <w:rPr>
          <w:color w:val="000000" w:themeColor="text1"/>
          <w:lang w:val="en"/>
        </w:rPr>
        <w:t xml:space="preserve"> </w:t>
      </w:r>
      <w:r w:rsidR="00310878" w:rsidRPr="00476931">
        <w:rPr>
          <w:color w:val="000000" w:themeColor="text1"/>
        </w:rPr>
        <w:t>There are already several existing protocols for the recovery of phages from biospecimens</w:t>
      </w:r>
      <w:sdt>
        <w:sdtPr>
          <w:rPr>
            <w:color w:val="000000"/>
            <w:vertAlign w:val="superscript"/>
          </w:rPr>
          <w:tag w:val="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"/>
          <w:id w:val="-374391925"/>
          <w:placeholder>
            <w:docPart w:val="E4B5E21686F2314088D58853EA72C37C"/>
          </w:placeholder>
        </w:sdtPr>
        <w:sdtEndPr/>
        <w:sdtContent>
          <w:r w:rsidR="003204EA" w:rsidRPr="003204EA">
            <w:rPr>
              <w:rFonts w:eastAsia="Times New Roman"/>
              <w:color w:val="000000"/>
              <w:vertAlign w:val="superscript"/>
            </w:rPr>
            <w:t>115,271,272</w:t>
          </w:r>
        </w:sdtContent>
      </w:sdt>
      <w:r w:rsidR="00310878" w:rsidRPr="00476931">
        <w:rPr>
          <w:color w:val="000000" w:themeColor="text1"/>
        </w:rPr>
        <w:t xml:space="preserve">.  However, these protocols were designed for metagenomic analyses of the enriched VLPs </w:t>
      </w:r>
      <w:proofErr w:type="gramStart"/>
      <w:r w:rsidR="00310878" w:rsidRPr="00476931">
        <w:rPr>
          <w:color w:val="000000" w:themeColor="text1"/>
        </w:rPr>
        <w:t>and also</w:t>
      </w:r>
      <w:proofErr w:type="gramEnd"/>
      <w:r w:rsidR="00310878" w:rsidRPr="00476931">
        <w:rPr>
          <w:color w:val="000000" w:themeColor="text1"/>
        </w:rPr>
        <w:t xml:space="preserve"> do not account for the variable physical size of alternative coding phages that might be present in the gut</w:t>
      </w:r>
      <w:sdt>
        <w:sdtPr>
          <w:rPr>
            <w:color w:val="000000"/>
            <w:vertAlign w:val="superscript"/>
          </w:rPr>
          <w:tag w:val="MENDELEY_CITATION_v3_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"/>
          <w:id w:val="327258027"/>
          <w:placeholder>
            <w:docPart w:val="E4B5E21686F2314088D58853EA72C37C"/>
          </w:placeholder>
        </w:sdtPr>
        <w:sdtEndPr/>
        <w:sdtContent>
          <w:r w:rsidR="003204EA" w:rsidRPr="003204EA">
            <w:rPr>
              <w:rFonts w:eastAsia="Times New Roman"/>
              <w:color w:val="000000"/>
              <w:vertAlign w:val="superscript"/>
            </w:rPr>
            <w:t>257</w:t>
          </w:r>
        </w:sdtContent>
      </w:sdt>
      <w:r w:rsidR="00310878" w:rsidRPr="00476931">
        <w:rPr>
          <w:color w:val="000000" w:themeColor="text1"/>
        </w:rPr>
        <w:t>.  In addition, several techniques are primarily useful for filtering small sample volumes as they rely on impact filtration onto small pore-size filters which are often prone to clogging issues</w:t>
      </w:r>
      <w:sdt>
        <w:sdtPr>
          <w:rPr>
            <w:color w:val="000000"/>
            <w:vertAlign w:val="superscript"/>
          </w:rPr>
          <w:tag w:val="MENDELEY_CITATION_v3_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"/>
          <w:id w:val="-115683976"/>
          <w:placeholder>
            <w:docPart w:val="E4B5E21686F2314088D58853EA72C37C"/>
          </w:placeholder>
        </w:sdtPr>
        <w:sdtEndPr/>
        <w:sdtContent>
          <w:r w:rsidR="003204EA" w:rsidRPr="003204EA">
            <w:rPr>
              <w:rFonts w:eastAsia="Times New Roman"/>
              <w:color w:val="000000"/>
              <w:vertAlign w:val="superscript"/>
            </w:rPr>
            <w:t>273</w:t>
          </w:r>
        </w:sdtContent>
      </w:sdt>
      <w:r w:rsidR="00310878" w:rsidRPr="00476931">
        <w:rPr>
          <w:color w:val="000000" w:themeColor="text1"/>
        </w:rPr>
        <w:t xml:space="preserve">.  </w:t>
      </w:r>
    </w:p>
    <w:p w14:paraId="55C986AD" w14:textId="5D633455" w:rsidR="004E6699" w:rsidRPr="00476931" w:rsidRDefault="00310878" w:rsidP="004E6699">
      <w:pPr>
        <w:rPr>
          <w:color w:val="000000" w:themeColor="text1"/>
        </w:rPr>
      </w:pPr>
      <w:r w:rsidRPr="00476931">
        <w:rPr>
          <w:color w:val="000000" w:themeColor="text1"/>
        </w:rPr>
        <w:t>Initial work on phage enrichment techniques for metaproteomics was conducted on human feces using a non-endogenous dsDNA cyanophage (</w:t>
      </w:r>
      <w:proofErr w:type="spellStart"/>
      <w:r w:rsidRPr="00476931">
        <w:rPr>
          <w:i/>
          <w:iCs/>
          <w:color w:val="000000" w:themeColor="text1"/>
        </w:rPr>
        <w:t>Cylindrospermopsis</w:t>
      </w:r>
      <w:proofErr w:type="spellEnd"/>
      <w:r w:rsidRPr="00476931">
        <w:rPr>
          <w:i/>
          <w:iCs/>
          <w:color w:val="000000" w:themeColor="text1"/>
        </w:rPr>
        <w:t xml:space="preserve"> </w:t>
      </w:r>
      <w:proofErr w:type="spellStart"/>
      <w:r w:rsidRPr="00476931">
        <w:rPr>
          <w:i/>
          <w:iCs/>
          <w:color w:val="000000" w:themeColor="text1"/>
        </w:rPr>
        <w:t>raciborskii</w:t>
      </w:r>
      <w:proofErr w:type="spellEnd"/>
      <w:r w:rsidRPr="00476931">
        <w:rPr>
          <w:color w:val="000000" w:themeColor="text1"/>
        </w:rPr>
        <w:t xml:space="preserve"> Virus (CrV)) and a non-endogenous bacterium (</w:t>
      </w:r>
      <w:r w:rsidRPr="00476931">
        <w:rPr>
          <w:i/>
          <w:iCs/>
          <w:color w:val="000000" w:themeColor="text1"/>
        </w:rPr>
        <w:t>Clostridium autoethanogenum</w:t>
      </w:r>
      <w:r w:rsidRPr="00476931">
        <w:rPr>
          <w:color w:val="000000" w:themeColor="text1"/>
        </w:rPr>
        <w:t>) spike-in methodological controls. CrV was selected as a spike-in phage as it has a genome size of 104</w:t>
      </w:r>
      <w:r w:rsidRPr="00476931">
        <w:rPr>
          <w:color w:val="000000" w:themeColor="text1"/>
          <w:lang w:val="en"/>
        </w:rPr>
        <w:t xml:space="preserve"> kb, which is </w:t>
      </w:r>
      <w:proofErr w:type="gramStart"/>
      <w:r w:rsidRPr="00476931">
        <w:rPr>
          <w:color w:val="000000" w:themeColor="text1"/>
        </w:rPr>
        <w:t>similar to</w:t>
      </w:r>
      <w:proofErr w:type="gramEnd"/>
      <w:r w:rsidRPr="00476931">
        <w:rPr>
          <w:color w:val="000000" w:themeColor="text1"/>
        </w:rPr>
        <w:t xml:space="preserve"> the two target phages in our study identified by metagenomics that are predicted to use alternative genetic coding. As previous studies have shown genome size is proportional to the physical sizes of virion</w:t>
      </w:r>
      <w:sdt>
        <w:sdtPr>
          <w:rPr>
            <w:color w:val="000000"/>
            <w:vertAlign w:val="superscript"/>
          </w:rPr>
          <w:tag w:val="MENDELEY_CITATION_v3_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"/>
          <w:id w:val="-288202834"/>
          <w:placeholder>
            <w:docPart w:val="E4B5E21686F2314088D58853EA72C37C"/>
          </w:placeholder>
        </w:sdtPr>
        <w:sdtEndPr/>
        <w:sdtContent>
          <w:r w:rsidR="003204EA" w:rsidRPr="003204EA">
            <w:rPr>
              <w:rFonts w:eastAsia="Times New Roman"/>
              <w:color w:val="000000"/>
              <w:vertAlign w:val="superscript"/>
            </w:rPr>
            <w:t>274,275</w:t>
          </w:r>
        </w:sdtContent>
      </w:sdt>
      <w:r w:rsidRPr="00476931">
        <w:rPr>
          <w:color w:val="000000" w:themeColor="text1"/>
        </w:rPr>
        <w:t xml:space="preserve">, CrV should be captured in the same sample fraction as the target phages during the phage enrichment process. The addition of the non-endogenous phage particles and bacterial cells to various fecal samples, collected from infants and adults, allowed us to track where each entity ended up during the enrichment process.  The variety of fecal specimens allowed us to test the robustness of the method, in terms of filter clogging, across a range of fecal specimens with varying degrees of microbiome complexity and dietary components.   Several parameters were evaluated during methodological testing, including pre-homogenization of the fecal samples prior to enrichment, the addition of NaCl and other components to the enrichment buffer, centrifugation speeds, filter pore sizes, incubation times, and filtration temperatures.  </w:t>
      </w:r>
      <w:r w:rsidRPr="00476931">
        <w:rPr>
          <w:b/>
          <w:bCs/>
          <w:color w:val="000000" w:themeColor="text1"/>
        </w:rPr>
        <w:t>Figure 7</w:t>
      </w:r>
      <w:r w:rsidR="009B672D">
        <w:rPr>
          <w:b/>
          <w:bCs/>
          <w:color w:val="000000" w:themeColor="text1"/>
        </w:rPr>
        <w:t>-</w:t>
      </w:r>
      <w:r w:rsidRPr="00476931">
        <w:rPr>
          <w:b/>
          <w:bCs/>
          <w:color w:val="000000" w:themeColor="text1"/>
        </w:rPr>
        <w:t xml:space="preserve">2 </w:t>
      </w:r>
      <w:r w:rsidRPr="00940FA3">
        <w:rPr>
          <w:color w:val="000000" w:themeColor="text1"/>
        </w:rPr>
        <w:t xml:space="preserve">is </w:t>
      </w:r>
      <w:r w:rsidRPr="00476931">
        <w:rPr>
          <w:color w:val="000000" w:themeColor="text1"/>
        </w:rPr>
        <w:t xml:space="preserve">the generic workflow that was the most robust across all fecal samples.  </w:t>
      </w:r>
    </w:p>
    <w:p w14:paraId="7FBCDD22" w14:textId="1D36288D" w:rsidR="00714B8A" w:rsidRPr="00476931" w:rsidRDefault="00714B8A" w:rsidP="00714B8A">
      <w:pPr>
        <w:rPr>
          <w:color w:val="000000" w:themeColor="text1"/>
        </w:rPr>
      </w:pPr>
      <w:r w:rsidRPr="00476931">
        <w:rPr>
          <w:color w:val="000000" w:themeColor="text1"/>
        </w:rPr>
        <w:t xml:space="preserve">Notably, the addition of NaCl to the enrichment buffer minimized the loss of the spiked bacteriophage during the homogenization pre-processing step.  In addition, filtration at a warmer temperature (37°C) reduced filter clogging, especially when processing infant samples.  After homogenization and low speed-centrifugation at 3,000 x g, the majority of the spiked C. auto cells remained in the pellet while the phage particles were still suspended in the supernatant.  After the depletion of bacterial cells, the remaining human and phage proteins were further processed using a combination of filters with different pore sizes.  Two filters were included in the enrichment process.  The initial 0.8µm filter removes a large amount of the non-proteinaceous debris and reduced downstream filter clogging.  Intermediate filter sizes (0.45µm and 0.22µm) were also evaluated, but these filters were prone to clogging and retained the virions in the fecal debris.  The 300kDa pore size filter was used to capture the majority of VLP proteins from the flow-through of the 0.8µm filtration step.  Using this combination of centrifugation and filtration-based enrichment, MS/MS was able to detect phage peptides in the presence of highly abundant host peptides when the phage was spiked into feces at a starting amount of less than 0.5% of proteinaceous biomass.  </w:t>
      </w:r>
      <w:r w:rsidRPr="00476931">
        <w:rPr>
          <w:b/>
          <w:bCs/>
          <w:color w:val="000000" w:themeColor="text1"/>
        </w:rPr>
        <w:t>Figure 7</w:t>
      </w:r>
      <w:r w:rsidR="009B672D">
        <w:rPr>
          <w:b/>
          <w:bCs/>
          <w:color w:val="000000" w:themeColor="text1"/>
        </w:rPr>
        <w:t>-</w:t>
      </w:r>
      <w:r w:rsidRPr="00476931">
        <w:rPr>
          <w:b/>
          <w:bCs/>
          <w:color w:val="000000" w:themeColor="text1"/>
        </w:rPr>
        <w:t>3</w:t>
      </w:r>
      <w:r w:rsidRPr="00476931">
        <w:rPr>
          <w:color w:val="000000" w:themeColor="text1"/>
        </w:rPr>
        <w:t xml:space="preserve"> shows the extracted ion chromatograms of a CrV peptide ion.  This ion was among the most abundant CrV peptides found in the samples.  While it was found in both the 300kDa filter top and flow-through samples, it was 2.6x more abundant on the filter top compared to the flow-through.  Overall, this enrichment strategy enables the successful detection of low abundance phage proteins in the presence of highly abundant proteins from the human host and bacteria.</w:t>
      </w:r>
    </w:p>
    <w:p w14:paraId="19AD36D4" w14:textId="77777777" w:rsidR="004E6699" w:rsidRPr="00476931" w:rsidRDefault="004E6699">
      <w:pPr>
        <w:spacing w:before="1"/>
        <w:rPr>
          <w:color w:val="000000" w:themeColor="text1"/>
        </w:rPr>
      </w:pPr>
      <w:r w:rsidRPr="00476931">
        <w:rPr>
          <w:color w:val="000000" w:themeColor="text1"/>
        </w:rPr>
        <w:br w:type="page"/>
      </w:r>
    </w:p>
    <w:p w14:paraId="3E074912" w14:textId="77777777" w:rsidR="009802D8" w:rsidRDefault="00310878" w:rsidP="009802D8">
      <w:pPr>
        <w:keepNext/>
        <w:ind w:firstLine="22"/>
      </w:pPr>
      <w:r w:rsidRPr="00476931">
        <w:rPr>
          <w:rFonts w:ascii="Times New Roman" w:hAnsi="Times New Roman" w:cs="Times New Roman"/>
          <w:noProof/>
          <w:color w:val="000000" w:themeColor="text1"/>
        </w:rPr>
        <w:drawing>
          <wp:inline distT="0" distB="0" distL="0" distR="0" wp14:anchorId="460D15E8" wp14:editId="1C601F4F">
            <wp:extent cx="5232400" cy="1352550"/>
            <wp:effectExtent l="0" t="0" r="0" b="6350"/>
            <wp:docPr id="4" name="Picture 4"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video game&#10;&#10;Description automatically generated with medium confidence"/>
                    <pic:cNvPicPr/>
                  </pic:nvPicPr>
                  <pic:blipFill rotWithShape="1">
                    <a:blip r:embed="rId96" cstate="print">
                      <a:extLst>
                        <a:ext uri="{28A0092B-C50C-407E-A947-70E740481C1C}">
                          <a14:useLocalDpi xmlns:a14="http://schemas.microsoft.com/office/drawing/2010/main" val="0"/>
                        </a:ext>
                      </a:extLst>
                    </a:blip>
                    <a:srcRect b="66853"/>
                    <a:stretch/>
                  </pic:blipFill>
                  <pic:spPr bwMode="auto">
                    <a:xfrm>
                      <a:off x="0" y="0"/>
                      <a:ext cx="5232400" cy="1352550"/>
                    </a:xfrm>
                    <a:prstGeom prst="rect">
                      <a:avLst/>
                    </a:prstGeom>
                    <a:ln>
                      <a:noFill/>
                    </a:ln>
                    <a:extLst>
                      <a:ext uri="{53640926-AAD7-44D8-BBD7-CCE9431645EC}">
                        <a14:shadowObscured xmlns:a14="http://schemas.microsoft.com/office/drawing/2010/main"/>
                      </a:ext>
                    </a:extLst>
                  </pic:spPr>
                </pic:pic>
              </a:graphicData>
            </a:graphic>
          </wp:inline>
        </w:drawing>
      </w:r>
    </w:p>
    <w:p w14:paraId="2F4074EA" w14:textId="621D4A05" w:rsidR="00310878" w:rsidRPr="00476931" w:rsidRDefault="009802D8" w:rsidP="009802D8">
      <w:pPr>
        <w:pStyle w:val="Caption"/>
        <w:rPr>
          <w:rFonts w:ascii="Times New Roman" w:hAnsi="Times New Roman" w:cs="Times New Roman"/>
        </w:rPr>
      </w:pPr>
      <w:bookmarkStart w:id="411" w:name="_Toc110246969"/>
      <w:r>
        <w:t xml:space="preserve">Figure </w:t>
      </w:r>
      <w:fldSimple w:instr=" STYLEREF 1 \s ">
        <w:r w:rsidR="00AC2094">
          <w:rPr>
            <w:noProof/>
          </w:rPr>
          <w:t>7</w:t>
        </w:r>
      </w:fldSimple>
      <w:r w:rsidR="00AC2094">
        <w:noBreakHyphen/>
      </w:r>
      <w:fldSimple w:instr=" SEQ Figure \* ARABIC \s 1 ">
        <w:r w:rsidR="00AC2094">
          <w:rPr>
            <w:noProof/>
          </w:rPr>
          <w:t>2</w:t>
        </w:r>
      </w:fldSimple>
      <w:r>
        <w:t xml:space="preserve">  </w:t>
      </w:r>
      <w:r w:rsidRPr="009802D8">
        <w:t>Workflow for phage enrichment from human feces.</w:t>
      </w:r>
      <w:bookmarkEnd w:id="411"/>
      <w:r w:rsidRPr="009802D8">
        <w:t xml:space="preserve">  </w:t>
      </w:r>
    </w:p>
    <w:p w14:paraId="2E87F120" w14:textId="77777777" w:rsidR="004E6699" w:rsidRPr="00476931" w:rsidRDefault="004E6699">
      <w:pPr>
        <w:spacing w:before="1"/>
        <w:rPr>
          <w:b/>
          <w:bCs/>
          <w:iCs/>
          <w:color w:val="000000" w:themeColor="text1"/>
          <w:szCs w:val="18"/>
        </w:rPr>
      </w:pPr>
      <w:r w:rsidRPr="00476931">
        <w:rPr>
          <w:b/>
          <w:bCs/>
          <w:color w:val="000000" w:themeColor="text1"/>
        </w:rPr>
        <w:br w:type="page"/>
      </w:r>
    </w:p>
    <w:p w14:paraId="26AC3402" w14:textId="30C611DE" w:rsidR="00714B8A" w:rsidRPr="00476931" w:rsidRDefault="009802D8" w:rsidP="009802D8">
      <w:pPr>
        <w:ind w:firstLine="22"/>
        <w:rPr>
          <w:rFonts w:ascii="Times New Roman" w:hAnsi="Times New Roman" w:cs="Times New Roman"/>
          <w:b/>
          <w:bCs/>
          <w:color w:val="000000" w:themeColor="text1"/>
        </w:rPr>
      </w:pPr>
      <w:r>
        <w:rPr>
          <w:noProof/>
        </w:rPr>
        <mc:AlternateContent>
          <mc:Choice Requires="wps">
            <w:drawing>
              <wp:anchor distT="0" distB="0" distL="114300" distR="114300" simplePos="0" relativeHeight="251658270" behindDoc="0" locked="0" layoutInCell="1" allowOverlap="1" wp14:anchorId="3DE788D6" wp14:editId="4E268A04">
                <wp:simplePos x="0" y="0"/>
                <wp:positionH relativeFrom="column">
                  <wp:posOffset>114300</wp:posOffset>
                </wp:positionH>
                <wp:positionV relativeFrom="paragraph">
                  <wp:posOffset>2419350</wp:posOffset>
                </wp:positionV>
                <wp:extent cx="5130800" cy="635"/>
                <wp:effectExtent l="0" t="0" r="0" b="12065"/>
                <wp:wrapTopAndBottom/>
                <wp:docPr id="2255" name="Text Box 2255"/>
                <wp:cNvGraphicFramePr/>
                <a:graphic xmlns:a="http://schemas.openxmlformats.org/drawingml/2006/main">
                  <a:graphicData uri="http://schemas.microsoft.com/office/word/2010/wordprocessingShape">
                    <wps:wsp>
                      <wps:cNvSpPr txBox="1"/>
                      <wps:spPr>
                        <a:xfrm>
                          <a:off x="0" y="0"/>
                          <a:ext cx="5130800" cy="635"/>
                        </a:xfrm>
                        <a:prstGeom prst="rect">
                          <a:avLst/>
                        </a:prstGeom>
                        <a:solidFill>
                          <a:prstClr val="white"/>
                        </a:solidFill>
                        <a:ln>
                          <a:noFill/>
                        </a:ln>
                      </wps:spPr>
                      <wps:txbx>
                        <w:txbxContent>
                          <w:p w14:paraId="0681E1D0" w14:textId="48BF3FDE" w:rsidR="009802D8" w:rsidRPr="009802D8" w:rsidRDefault="009802D8" w:rsidP="009802D8">
                            <w:pPr>
                              <w:pStyle w:val="Caption"/>
                              <w:rPr>
                                <w:b w:val="0"/>
                                <w:bCs/>
                              </w:rPr>
                            </w:pPr>
                            <w:bookmarkStart w:id="412" w:name="_Toc110246970"/>
                            <w:r>
                              <w:t xml:space="preserve">Figure </w:t>
                            </w:r>
                            <w:fldSimple w:instr=" STYLEREF 1 \s ">
                              <w:r w:rsidR="00AC2094">
                                <w:rPr>
                                  <w:noProof/>
                                </w:rPr>
                                <w:t>7</w:t>
                              </w:r>
                            </w:fldSimple>
                            <w:r w:rsidR="00AC2094">
                              <w:noBreakHyphen/>
                            </w:r>
                            <w:fldSimple w:instr=" SEQ Figure \* ARABIC \s 1 ">
                              <w:r w:rsidR="00AC2094">
                                <w:rPr>
                                  <w:noProof/>
                                </w:rPr>
                                <w:t>3</w:t>
                              </w:r>
                            </w:fldSimple>
                            <w:r>
                              <w:t xml:space="preserve">  </w:t>
                            </w:r>
                            <w:r w:rsidRPr="009802D8">
                              <w:t>Extracted-ion chromatograms of m/z 522.8003 ion.</w:t>
                            </w:r>
                            <w:bookmarkEnd w:id="412"/>
                            <w:r w:rsidRPr="009802D8">
                              <w:t xml:space="preserve">  </w:t>
                            </w:r>
                            <w:r w:rsidRPr="009802D8">
                              <w:rPr>
                                <w:b w:val="0"/>
                                <w:bCs/>
                              </w:rPr>
                              <w:fldChar w:fldCharType="begin"/>
                            </w:r>
                            <w:r w:rsidRPr="009802D8">
                              <w:rPr>
                                <w:b w:val="0"/>
                                <w:bCs/>
                              </w:rPr>
                              <w:instrText xml:space="preserve"> </w:instrText>
                            </w:r>
                          </w:p>
                          <w:p w14:paraId="5B62BAFA" w14:textId="77777777" w:rsidR="009802D8" w:rsidRPr="009802D8" w:rsidRDefault="009802D8" w:rsidP="009802D8">
                            <w:pPr>
                              <w:pStyle w:val="Caption"/>
                              <w:rPr>
                                <w:b w:val="0"/>
                                <w:bCs/>
                              </w:rPr>
                            </w:pPr>
                          </w:p>
                          <w:p w14:paraId="24CF6FB6" w14:textId="5E73BB72" w:rsidR="009802D8" w:rsidRPr="009802D8" w:rsidRDefault="009802D8" w:rsidP="009802D8">
                            <w:pPr>
                              <w:pStyle w:val="Caption"/>
                              <w:rPr>
                                <w:b w:val="0"/>
                                <w:bCs/>
                              </w:rPr>
                            </w:pPr>
                            <w:r w:rsidRPr="009802D8">
                              <w:rPr>
                                <w:b w:val="0"/>
                                <w:bCs/>
                              </w:rPr>
                              <w:instrText xml:space="preserve"> </w:instrText>
                            </w:r>
                            <w:r w:rsidRPr="009802D8">
                              <w:rPr>
                                <w:b w:val="0"/>
                                <w:bCs/>
                              </w:rPr>
                              <w:fldChar w:fldCharType="end"/>
                            </w:r>
                            <w:r w:rsidRPr="009802D8">
                              <w:rPr>
                                <w:b w:val="0"/>
                                <w:bCs/>
                              </w:rPr>
                              <w:fldChar w:fldCharType="begin"/>
                            </w:r>
                            <w:r w:rsidRPr="009802D8">
                              <w:rPr>
                                <w:b w:val="0"/>
                                <w:bCs/>
                              </w:rPr>
                              <w:instrText xml:space="preserve"> </w:instrText>
                            </w:r>
                          </w:p>
                          <w:p w14:paraId="44FD69F7" w14:textId="77777777" w:rsidR="009802D8" w:rsidRPr="009802D8" w:rsidRDefault="009802D8" w:rsidP="009802D8">
                            <w:pPr>
                              <w:pStyle w:val="Caption"/>
                              <w:rPr>
                                <w:b w:val="0"/>
                                <w:bCs/>
                              </w:rPr>
                            </w:pPr>
                          </w:p>
                          <w:p w14:paraId="48D70232" w14:textId="77777777" w:rsidR="009802D8" w:rsidRPr="009802D8" w:rsidRDefault="009802D8" w:rsidP="009802D8">
                            <w:pPr>
                              <w:pStyle w:val="Caption"/>
                              <w:rPr>
                                <w:b w:val="0"/>
                                <w:bCs/>
                              </w:rPr>
                            </w:pPr>
                            <w:r w:rsidRPr="009802D8">
                              <w:rPr>
                                <w:b w:val="0"/>
                                <w:bCs/>
                              </w:rPr>
                              <w:instrText xml:space="preserve"> </w:instrText>
                            </w:r>
                            <w:r w:rsidRPr="009802D8">
                              <w:rPr>
                                <w:b w:val="0"/>
                                <w:bCs/>
                              </w:rPr>
                              <w:fldChar w:fldCharType="end"/>
                            </w:r>
                            <w:r w:rsidRPr="009802D8">
                              <w:rPr>
                                <w:b w:val="0"/>
                                <w:bCs/>
                              </w:rPr>
                              <w:t>This is the ion for peptide sequence TQVVILED, which is a peptide from CrV uncharacterized protein gp028. This ion was in 2.6x increased abundance in the 300kDa filter top fraction compared to the 300kDa flow through for infant fecal samples with a spike-in of CrV.</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oel="http://schemas.microsoft.com/office/2019/extlst">
            <w:pict>
              <v:shape w14:anchorId="3DE788D6" id="Text Box 2255" o:spid="_x0000_s1089" type="#_x0000_t202" style="position:absolute;left:0;text-align:left;margin-left:9pt;margin-top:190.5pt;width:404pt;height:.05pt;z-index:25165827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" stroked="f">
                <v:textbox style="mso-fit-shape-to-text:t" inset="0,0,0,0">
                  <w:txbxContent>
                    <w:p w14:paraId="0681E1D0" w14:textId="48BF3FDE" w:rsidR="009802D8" w:rsidRPr="009802D8" w:rsidRDefault="009802D8" w:rsidP="009802D8">
                      <w:pPr>
                        <w:pStyle w:val="Caption"/>
                        <w:rPr>
                          <w:b w:val="0"/>
                          <w:bCs/>
                        </w:rPr>
                      </w:pPr>
                      <w:bookmarkStart w:id="428" w:name="_Toc110246970"/>
                      <w:r>
                        <w:t xml:space="preserve">Figure </w:t>
                      </w:r>
                      <w:r w:rsidR="00000000">
                        <w:fldChar w:fldCharType="begin"/>
                      </w:r>
                      <w:r w:rsidR="00000000">
                        <w:instrText xml:space="preserve"> STYLEREF 1 \s </w:instrText>
                      </w:r>
                      <w:r w:rsidR="00000000">
                        <w:fldChar w:fldCharType="separate"/>
                      </w:r>
                      <w:r w:rsidR="00AC2094">
                        <w:rPr>
                          <w:noProof/>
                        </w:rPr>
                        <w:t>7</w:t>
                      </w:r>
                      <w:r w:rsidR="00000000">
                        <w:rPr>
                          <w:noProof/>
                        </w:rPr>
                        <w:fldChar w:fldCharType="end"/>
                      </w:r>
                      <w:r w:rsidR="00AC2094">
                        <w:noBreakHyphen/>
                      </w:r>
                      <w:r w:rsidR="00000000">
                        <w:fldChar w:fldCharType="begin"/>
                      </w:r>
                      <w:r w:rsidR="00000000">
                        <w:instrText xml:space="preserve"> SEQ Figure \* ARABIC \s 1 </w:instrText>
                      </w:r>
                      <w:r w:rsidR="00000000">
                        <w:fldChar w:fldCharType="separate"/>
                      </w:r>
                      <w:r w:rsidR="00AC2094">
                        <w:rPr>
                          <w:noProof/>
                        </w:rPr>
                        <w:t>3</w:t>
                      </w:r>
                      <w:r w:rsidR="00000000">
                        <w:rPr>
                          <w:noProof/>
                        </w:rPr>
                        <w:fldChar w:fldCharType="end"/>
                      </w:r>
                      <w:r>
                        <w:t xml:space="preserve">  </w:t>
                      </w:r>
                      <w:r w:rsidRPr="009802D8">
                        <w:t>Extracted-ion chromatograms of m/z 522.8003 ion.</w:t>
                      </w:r>
                      <w:bookmarkEnd w:id="428"/>
                      <w:r w:rsidRPr="009802D8">
                        <w:t xml:space="preserve">  </w:t>
                      </w:r>
                      <w:r w:rsidRPr="009802D8">
                        <w:rPr>
                          <w:b w:val="0"/>
                          <w:bCs/>
                        </w:rPr>
                        <w:fldChar w:fldCharType="begin"/>
                      </w:r>
                      <w:r w:rsidRPr="009802D8">
                        <w:rPr>
                          <w:b w:val="0"/>
                          <w:bCs/>
                        </w:rPr>
                        <w:instrText xml:space="preserve"> </w:instrText>
                      </w:r>
                    </w:p>
                    <w:p w14:paraId="5B62BAFA" w14:textId="77777777" w:rsidR="009802D8" w:rsidRPr="009802D8" w:rsidRDefault="009802D8" w:rsidP="009802D8">
                      <w:pPr>
                        <w:pStyle w:val="Caption"/>
                        <w:rPr>
                          <w:b w:val="0"/>
                          <w:bCs/>
                        </w:rPr>
                      </w:pPr>
                    </w:p>
                    <w:p w14:paraId="24CF6FB6" w14:textId="5E73BB72" w:rsidR="009802D8" w:rsidRPr="009802D8" w:rsidRDefault="009802D8" w:rsidP="009802D8">
                      <w:pPr>
                        <w:pStyle w:val="Caption"/>
                        <w:rPr>
                          <w:b w:val="0"/>
                          <w:bCs/>
                        </w:rPr>
                      </w:pPr>
                      <w:r w:rsidRPr="009802D8">
                        <w:rPr>
                          <w:b w:val="0"/>
                          <w:bCs/>
                        </w:rPr>
                        <w:instrText xml:space="preserve"> </w:instrText>
                      </w:r>
                      <w:r w:rsidRPr="009802D8">
                        <w:rPr>
                          <w:b w:val="0"/>
                          <w:bCs/>
                        </w:rPr>
                        <w:fldChar w:fldCharType="end"/>
                      </w:r>
                      <w:r w:rsidRPr="009802D8">
                        <w:rPr>
                          <w:b w:val="0"/>
                          <w:bCs/>
                        </w:rPr>
                        <w:fldChar w:fldCharType="begin"/>
                      </w:r>
                      <w:r w:rsidRPr="009802D8">
                        <w:rPr>
                          <w:b w:val="0"/>
                          <w:bCs/>
                        </w:rPr>
                        <w:instrText xml:space="preserve"> </w:instrText>
                      </w:r>
                    </w:p>
                    <w:p w14:paraId="44FD69F7" w14:textId="77777777" w:rsidR="009802D8" w:rsidRPr="009802D8" w:rsidRDefault="009802D8" w:rsidP="009802D8">
                      <w:pPr>
                        <w:pStyle w:val="Caption"/>
                        <w:rPr>
                          <w:b w:val="0"/>
                          <w:bCs/>
                        </w:rPr>
                      </w:pPr>
                    </w:p>
                    <w:p w14:paraId="48D70232" w14:textId="77777777" w:rsidR="009802D8" w:rsidRPr="009802D8" w:rsidRDefault="009802D8" w:rsidP="009802D8">
                      <w:pPr>
                        <w:pStyle w:val="Caption"/>
                        <w:rPr>
                          <w:b w:val="0"/>
                          <w:bCs/>
                        </w:rPr>
                      </w:pPr>
                      <w:r w:rsidRPr="009802D8">
                        <w:rPr>
                          <w:b w:val="0"/>
                          <w:bCs/>
                        </w:rPr>
                        <w:instrText xml:space="preserve"> </w:instrText>
                      </w:r>
                      <w:r w:rsidRPr="009802D8">
                        <w:rPr>
                          <w:b w:val="0"/>
                          <w:bCs/>
                        </w:rPr>
                        <w:fldChar w:fldCharType="end"/>
                      </w:r>
                      <w:r w:rsidRPr="009802D8">
                        <w:rPr>
                          <w:b w:val="0"/>
                          <w:bCs/>
                        </w:rPr>
                        <w:t>This is the ion for peptide sequence TQVVILED, which is a peptide from CrV uncharacterized protein gp028. This ion was in 2.6x increased abundance in the 300kDa filter top fraction compared to the 300kDa flow through for infant fecal samples with a spike-in of CrV.</w:t>
                      </w:r>
                    </w:p>
                  </w:txbxContent>
                </v:textbox>
                <w10:wrap type="topAndBottom"/>
              </v:shape>
            </w:pict>
          </mc:Fallback>
        </mc:AlternateContent>
      </w:r>
      <w:r w:rsidR="00714B8A" w:rsidRPr="00476931">
        <w:rPr>
          <w:noProof/>
          <w:color w:val="000000" w:themeColor="text1"/>
        </w:rPr>
        <mc:AlternateContent>
          <mc:Choice Requires="wpg">
            <w:drawing>
              <wp:anchor distT="0" distB="0" distL="114300" distR="114300" simplePos="0" relativeHeight="251658242" behindDoc="0" locked="0" layoutInCell="1" allowOverlap="1" wp14:anchorId="627B4434" wp14:editId="11D92B09">
                <wp:simplePos x="0" y="0"/>
                <wp:positionH relativeFrom="column">
                  <wp:posOffset>114300</wp:posOffset>
                </wp:positionH>
                <wp:positionV relativeFrom="page">
                  <wp:posOffset>977900</wp:posOffset>
                </wp:positionV>
                <wp:extent cx="5130800" cy="2298700"/>
                <wp:effectExtent l="0" t="0" r="0" b="0"/>
                <wp:wrapTopAndBottom/>
                <wp:docPr id="30" name="Group 2"/>
                <wp:cNvGraphicFramePr/>
                <a:graphic xmlns:a="http://schemas.openxmlformats.org/drawingml/2006/main">
                  <a:graphicData uri="http://schemas.microsoft.com/office/word/2010/wordprocessingGroup">
                    <wpg:wgp>
                      <wpg:cNvGrpSpPr/>
                      <wpg:grpSpPr>
                        <a:xfrm>
                          <a:off x="0" y="0"/>
                          <a:ext cx="5130800" cy="2298700"/>
                          <a:chOff x="0" y="0"/>
                          <a:chExt cx="11499670" cy="3325091"/>
                        </a:xfrm>
                      </wpg:grpSpPr>
                      <pic:pic xmlns:pic="http://schemas.openxmlformats.org/drawingml/2006/picture">
                        <pic:nvPicPr>
                          <pic:cNvPr id="37" name="Picture 37"/>
                          <pic:cNvPicPr>
                            <a:picLocks noChangeAspect="1"/>
                          </pic:cNvPicPr>
                        </pic:nvPicPr>
                        <pic:blipFill rotWithShape="1">
                          <a:blip r:embed="rId97"/>
                          <a:srcRect l="516" t="5923" r="622" b="2294"/>
                          <a:stretch/>
                        </pic:blipFill>
                        <pic:spPr>
                          <a:xfrm>
                            <a:off x="0" y="0"/>
                            <a:ext cx="11499670" cy="3325091"/>
                          </a:xfrm>
                          <a:prstGeom prst="rect">
                            <a:avLst/>
                          </a:prstGeom>
                        </pic:spPr>
                      </pic:pic>
                      <wps:wsp>
                        <wps:cNvPr id="38" name="Rectangle 38"/>
                        <wps:cNvSpPr/>
                        <wps:spPr>
                          <a:xfrm>
                            <a:off x="422424" y="100477"/>
                            <a:ext cx="3360201" cy="415925"/>
                          </a:xfrm>
                          <a:prstGeom prst="rect">
                            <a:avLst/>
                          </a:prstGeom>
                        </wps:spPr>
                        <wps:txbx>
                          <w:txbxContent>
                            <w:p w14:paraId="335DD0F1" w14:textId="77777777" w:rsidR="00310878" w:rsidRPr="00392830" w:rsidRDefault="00310878" w:rsidP="00310878">
                              <w:pPr>
                                <w:rPr>
                                  <w:rFonts w:ascii="Calibri" w:hAnsi="Calibri" w:cs="Calibri"/>
                                  <w:b/>
                                  <w:bCs/>
                                  <w:color w:val="000000" w:themeColor="text1"/>
                                  <w:kern w:val="24"/>
                                </w:rPr>
                              </w:pPr>
                              <w:r w:rsidRPr="00392830">
                                <w:rPr>
                                  <w:rFonts w:ascii="Calibri" w:hAnsi="Calibri" w:cs="Calibri"/>
                                  <w:b/>
                                  <w:bCs/>
                                  <w:color w:val="000000" w:themeColor="text1"/>
                                  <w:kern w:val="24"/>
                                </w:rPr>
                                <w:t xml:space="preserve">300kDa filter top </w:t>
                              </w:r>
                            </w:p>
                          </w:txbxContent>
                        </wps:txbx>
                        <wps:bodyPr wrap="square">
                          <a:noAutofit/>
                        </wps:bodyPr>
                      </wps:wsp>
                      <wps:wsp>
                        <wps:cNvPr id="40" name="Rectangle 40"/>
                        <wps:cNvSpPr/>
                        <wps:spPr>
                          <a:xfrm>
                            <a:off x="422423" y="1578884"/>
                            <a:ext cx="3360201" cy="415925"/>
                          </a:xfrm>
                          <a:prstGeom prst="rect">
                            <a:avLst/>
                          </a:prstGeom>
                        </wps:spPr>
                        <wps:txbx>
                          <w:txbxContent>
                            <w:p w14:paraId="05217786" w14:textId="77777777" w:rsidR="00310878" w:rsidRPr="00392830" w:rsidRDefault="00310878" w:rsidP="00310878">
                              <w:pPr>
                                <w:rPr>
                                  <w:rFonts w:ascii="Calibri" w:hAnsi="Calibri" w:cs="Calibri"/>
                                  <w:b/>
                                  <w:bCs/>
                                  <w:color w:val="000000" w:themeColor="text1"/>
                                  <w:kern w:val="24"/>
                                </w:rPr>
                              </w:pPr>
                              <w:r w:rsidRPr="00392830">
                                <w:rPr>
                                  <w:rFonts w:ascii="Calibri" w:hAnsi="Calibri" w:cs="Calibri"/>
                                  <w:b/>
                                  <w:bCs/>
                                  <w:color w:val="000000" w:themeColor="text1"/>
                                  <w:kern w:val="24"/>
                                </w:rPr>
                                <w:t>300kDa filter flow</w:t>
                              </w:r>
                              <w:r>
                                <w:rPr>
                                  <w:rFonts w:ascii="Calibri" w:hAnsi="Calibri" w:cs="Calibri"/>
                                  <w:b/>
                                  <w:bCs/>
                                  <w:color w:val="000000" w:themeColor="text1"/>
                                  <w:kern w:val="24"/>
                                </w:rPr>
                                <w:t>-</w:t>
                              </w:r>
                              <w:r w:rsidRPr="00392830">
                                <w:rPr>
                                  <w:rFonts w:ascii="Calibri" w:hAnsi="Calibri" w:cs="Calibri"/>
                                  <w:b/>
                                  <w:bCs/>
                                  <w:color w:val="000000" w:themeColor="text1"/>
                                  <w:kern w:val="24"/>
                                </w:rPr>
                                <w:t xml:space="preserve">through </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xmlns:oel="http://schemas.microsoft.com/office/2019/extlst">
            <w:pict>
              <v:group w14:anchorId="627B4434" id="Group 2" o:spid="_x0000_s1090" style="position:absolute;left:0;text-align:left;margin-left:9pt;margin-top:77pt;width:404pt;height:181pt;z-index:251658242;mso-position-horizontal-relative:text;mso-position-vertical-relative:page;mso-width-relative:margin;mso-height-relative:margin" coordsize="114996,332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 o:spid="_x0000_s1091" type="#_x0000_t75" style="position:absolute;width:114996;height:33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">
                  <v:imagedata r:id="rId98" o:title="" croptop="3882f" cropbottom="1503f" cropleft="338f" cropright="408f"/>
                </v:shape>
                <v:rect id="Rectangle 38" o:spid="_x0000_s1092" style="position:absolute;left:4224;top:1004;width:33602;height:4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" filled="f" stroked="f">
                  <v:textbox>
                    <w:txbxContent>
                      <w:p w14:paraId="335DD0F1" w14:textId="77777777" w:rsidR="00310878" w:rsidRPr="00392830" w:rsidRDefault="00310878" w:rsidP="00310878">
                        <w:pPr>
                          <w:rPr>
                            <w:rFonts w:ascii="Calibri" w:hAnsi="Calibri" w:cs="Calibri"/>
                            <w:b/>
                            <w:bCs/>
                            <w:color w:val="000000" w:themeColor="text1"/>
                            <w:kern w:val="24"/>
                          </w:rPr>
                        </w:pPr>
                        <w:r w:rsidRPr="00392830">
                          <w:rPr>
                            <w:rFonts w:ascii="Calibri" w:hAnsi="Calibri" w:cs="Calibri"/>
                            <w:b/>
                            <w:bCs/>
                            <w:color w:val="000000" w:themeColor="text1"/>
                            <w:kern w:val="24"/>
                          </w:rPr>
                          <w:t xml:space="preserve">300kDa filter top </w:t>
                        </w:r>
                      </w:p>
                    </w:txbxContent>
                  </v:textbox>
                </v:rect>
                <v:rect id="Rectangle 40" o:spid="_x0000_s1093" style="position:absolute;left:4224;top:15788;width:33602;height:4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" filled="f" stroked="f">
                  <v:textbox>
                    <w:txbxContent>
                      <w:p w14:paraId="05217786" w14:textId="77777777" w:rsidR="00310878" w:rsidRPr="00392830" w:rsidRDefault="00310878" w:rsidP="00310878">
                        <w:pPr>
                          <w:rPr>
                            <w:rFonts w:ascii="Calibri" w:hAnsi="Calibri" w:cs="Calibri"/>
                            <w:b/>
                            <w:bCs/>
                            <w:color w:val="000000" w:themeColor="text1"/>
                            <w:kern w:val="24"/>
                          </w:rPr>
                        </w:pPr>
                        <w:r w:rsidRPr="00392830">
                          <w:rPr>
                            <w:rFonts w:ascii="Calibri" w:hAnsi="Calibri" w:cs="Calibri"/>
                            <w:b/>
                            <w:bCs/>
                            <w:color w:val="000000" w:themeColor="text1"/>
                            <w:kern w:val="24"/>
                          </w:rPr>
                          <w:t>300kDa filter flow</w:t>
                        </w:r>
                        <w:r>
                          <w:rPr>
                            <w:rFonts w:ascii="Calibri" w:hAnsi="Calibri" w:cs="Calibri"/>
                            <w:b/>
                            <w:bCs/>
                            <w:color w:val="000000" w:themeColor="text1"/>
                            <w:kern w:val="24"/>
                          </w:rPr>
                          <w:t>-</w:t>
                        </w:r>
                        <w:r w:rsidRPr="00392830">
                          <w:rPr>
                            <w:rFonts w:ascii="Calibri" w:hAnsi="Calibri" w:cs="Calibri"/>
                            <w:b/>
                            <w:bCs/>
                            <w:color w:val="000000" w:themeColor="text1"/>
                            <w:kern w:val="24"/>
                          </w:rPr>
                          <w:t xml:space="preserve">through </w:t>
                        </w:r>
                      </w:p>
                    </w:txbxContent>
                  </v:textbox>
                </v:rect>
                <w10:wrap type="topAndBottom" anchory="page"/>
              </v:group>
            </w:pict>
          </mc:Fallback>
        </mc:AlternateContent>
      </w:r>
      <w:r w:rsidR="00714B8A" w:rsidRPr="00476931">
        <w:rPr>
          <w:rFonts w:ascii="Times New Roman" w:hAnsi="Times New Roman" w:cs="Times New Roman"/>
          <w:b/>
          <w:bCs/>
          <w:color w:val="000000" w:themeColor="text1"/>
        </w:rPr>
        <w:br w:type="page"/>
      </w:r>
    </w:p>
    <w:p w14:paraId="24C8E87F" w14:textId="7EB7C785" w:rsidR="00310878" w:rsidRPr="00476931" w:rsidRDefault="004E6699" w:rsidP="004E6699">
      <w:pPr>
        <w:pStyle w:val="Heading3"/>
      </w:pPr>
      <w:bookmarkStart w:id="413" w:name="_Toc110250312"/>
      <w:bookmarkStart w:id="414" w:name="_Toc110250569"/>
      <w:bookmarkStart w:id="415" w:name="_Toc110250700"/>
      <w:r w:rsidRPr="00476931">
        <w:t xml:space="preserve">7.2.2  </w:t>
      </w:r>
      <w:r w:rsidR="00310878" w:rsidRPr="00476931">
        <w:t>Confirmation of genetic code 15 usage by gut bacteriophage</w:t>
      </w:r>
      <w:r w:rsidR="0003562F">
        <w:t>.</w:t>
      </w:r>
      <w:bookmarkEnd w:id="413"/>
      <w:bookmarkEnd w:id="414"/>
      <w:bookmarkEnd w:id="415"/>
    </w:p>
    <w:p w14:paraId="44AA6680" w14:textId="77777777" w:rsidR="004E6699" w:rsidRPr="00476931" w:rsidRDefault="004E6699" w:rsidP="00343C78">
      <w:pPr>
        <w:rPr>
          <w:rFonts w:ascii="Times New Roman" w:hAnsi="Times New Roman" w:cs="Times New Roman"/>
          <w:color w:val="000000" w:themeColor="text1"/>
          <w:lang w:val="en"/>
        </w:rPr>
      </w:pPr>
    </w:p>
    <w:p w14:paraId="4A8C04A9" w14:textId="719EBBC8" w:rsidR="00310878" w:rsidRPr="00476931" w:rsidRDefault="00310878" w:rsidP="004E6699">
      <w:pPr>
        <w:rPr>
          <w:color w:val="000000" w:themeColor="text1"/>
          <w:lang w:val="en"/>
        </w:rPr>
      </w:pPr>
      <w:r w:rsidRPr="00476931">
        <w:rPr>
          <w:color w:val="000000" w:themeColor="text1"/>
          <w:lang w:val="en"/>
        </w:rPr>
        <w:t xml:space="preserve">After a successful phage enrichment strategy was developed, paired metagenomic and metaproteomic measurements were conducted on fecal samples containing abundant crAss-like phages from one infant and one adult. Metagenomic data indicated these phages are predicted to use genetic code 15, </w:t>
      </w:r>
      <w:r w:rsidRPr="00476931">
        <w:rPr>
          <w:color w:val="000000" w:themeColor="text1"/>
        </w:rPr>
        <w:t>based on the increased coding density observed with translations using genetic code 15 relative to genetic code 11</w:t>
      </w:r>
      <w:r w:rsidRPr="00476931">
        <w:rPr>
          <w:color w:val="000000" w:themeColor="text1"/>
          <w:lang w:val="en"/>
        </w:rPr>
        <w:t>. To ensure accurate peptide identifications from the metaproteomes, assembled metagenomic data from the same samples were used to generate databases that included phage proteins that were predicted using either the standard genetic code 11 (TAG</w:t>
      </w:r>
      <w:r w:rsidRPr="00476931">
        <w:rPr>
          <w:color w:val="000000" w:themeColor="text1"/>
          <w:lang w:val="en"/>
        </w:rPr>
        <w:sym w:font="Wingdings" w:char="F0E0"/>
      </w:r>
      <w:r w:rsidRPr="00476931">
        <w:rPr>
          <w:color w:val="000000" w:themeColor="text1"/>
          <w:lang w:val="en"/>
        </w:rPr>
        <w:t>stop) or alternative genetic code 15 (TAG</w:t>
      </w:r>
      <w:r w:rsidRPr="00476931">
        <w:rPr>
          <w:color w:val="000000" w:themeColor="text1"/>
          <w:lang w:val="en"/>
        </w:rPr>
        <w:sym w:font="Wingdings" w:char="F0E0"/>
      </w:r>
      <w:r w:rsidRPr="00476931">
        <w:rPr>
          <w:color w:val="000000" w:themeColor="text1"/>
          <w:lang w:val="en"/>
        </w:rPr>
        <w:t>Q), as well as all other bacterial proteins in the sample, the human reference proteome, and proteins commonly found as contaminants.</w:t>
      </w:r>
    </w:p>
    <w:p w14:paraId="789BADE5" w14:textId="7196D93F" w:rsidR="00310878" w:rsidRPr="00476931" w:rsidRDefault="00310878" w:rsidP="004E6699">
      <w:pPr>
        <w:rPr>
          <w:color w:val="000000" w:themeColor="text1"/>
          <w:lang w:val="en"/>
        </w:rPr>
      </w:pPr>
      <w:r w:rsidRPr="00476931">
        <w:rPr>
          <w:color w:val="000000" w:themeColor="text1"/>
          <w:lang w:val="en"/>
        </w:rPr>
        <w:t xml:space="preserve">The LC-MS/MS data was searched against the comprehensive sample matched databases that included phage proteins predicted using either code 11 or code 15. Identified peptides were evaluated codon by codon to determine whether translation using standard or alternative genetic code was appropriate.  To complement the database search strategy, </w:t>
      </w:r>
      <w:r w:rsidRPr="00476931">
        <w:rPr>
          <w:i/>
          <w:color w:val="000000" w:themeColor="text1"/>
          <w:lang w:val="en"/>
        </w:rPr>
        <w:t>de novo</w:t>
      </w:r>
      <w:r w:rsidRPr="00476931">
        <w:rPr>
          <w:color w:val="000000" w:themeColor="text1"/>
          <w:lang w:val="en"/>
        </w:rPr>
        <w:t xml:space="preserve"> peptide sequencing, which derives peptide sequence information directly from the MS/MS spectra, was incorporated into the traditional database search workflow to provide a database-independent confirmation of phage translation that is agnostic to the translation code used for gene predictions.</w:t>
      </w:r>
    </w:p>
    <w:p w14:paraId="72EBABBA" w14:textId="41303718" w:rsidR="00867A01" w:rsidRDefault="00310878" w:rsidP="005040B1">
      <w:pPr>
        <w:rPr>
          <w:color w:val="000000" w:themeColor="text1"/>
          <w:lang w:val="en"/>
        </w:rPr>
      </w:pPr>
      <w:r w:rsidRPr="00476931">
        <w:rPr>
          <w:color w:val="000000" w:themeColor="text1"/>
          <w:lang w:val="en"/>
        </w:rPr>
        <w:t xml:space="preserve">Database searching of the phage-enriched fraction of the samples yielded 167 phage-specific peptides in total, with peptide-level false discovery rates at &lt;1%. These peptides mapped to 13 and 14 phage proteins in the infant and adult samples, respectively. In addition, numerous peptides and proteins from bacteria and humans were identified.  Many of the phage peptides identified by database searching were further supported by </w:t>
      </w:r>
      <w:r w:rsidRPr="00476931">
        <w:rPr>
          <w:i/>
          <w:color w:val="000000" w:themeColor="text1"/>
          <w:lang w:val="en"/>
        </w:rPr>
        <w:t>de novo</w:t>
      </w:r>
      <w:r w:rsidRPr="00476931">
        <w:rPr>
          <w:color w:val="000000" w:themeColor="text1"/>
          <w:lang w:val="en"/>
        </w:rPr>
        <w:t xml:space="preserve"> sequencing tags.  Roughly half of the identified phage peptides in each sample mapped only to proteins predicted using genetic code 15.  </w:t>
      </w:r>
      <w:r w:rsidRPr="00476931">
        <w:rPr>
          <w:b/>
          <w:color w:val="000000" w:themeColor="text1"/>
          <w:lang w:val="en"/>
        </w:rPr>
        <w:t>Figure 7</w:t>
      </w:r>
      <w:r w:rsidR="009B672D">
        <w:rPr>
          <w:b/>
          <w:color w:val="000000" w:themeColor="text1"/>
          <w:lang w:val="en"/>
        </w:rPr>
        <w:t>-</w:t>
      </w:r>
      <w:r w:rsidRPr="00476931">
        <w:rPr>
          <w:b/>
          <w:color w:val="000000" w:themeColor="text1"/>
          <w:lang w:val="en"/>
        </w:rPr>
        <w:t xml:space="preserve">4 </w:t>
      </w:r>
      <w:r w:rsidRPr="00476931">
        <w:rPr>
          <w:color w:val="000000" w:themeColor="text1"/>
          <w:lang w:val="en"/>
        </w:rPr>
        <w:t>shows the genome maps of the target phages in each sample, with the locations of predicted and detected proteins using either code 11 or code 15 translation.</w:t>
      </w:r>
    </w:p>
    <w:p w14:paraId="23711DA3" w14:textId="77777777" w:rsidR="009802D8" w:rsidRDefault="00867A01" w:rsidP="009802D8">
      <w:pPr>
        <w:keepNext/>
        <w:ind w:hanging="68"/>
      </w:pPr>
      <w:r>
        <w:rPr>
          <w:color w:val="000000" w:themeColor="text1"/>
          <w:lang w:val="en"/>
        </w:rPr>
        <w:br w:type="page"/>
      </w:r>
      <w:r w:rsidRPr="00476931">
        <w:rPr>
          <w:rFonts w:ascii="Times New Roman" w:hAnsi="Times New Roman" w:cs="Times New Roman"/>
          <w:noProof/>
          <w:color w:val="000000" w:themeColor="text1"/>
        </w:rPr>
        <w:drawing>
          <wp:inline distT="0" distB="0" distL="0" distR="0" wp14:anchorId="0F35B0F9" wp14:editId="19D30039">
            <wp:extent cx="5283200" cy="3474642"/>
            <wp:effectExtent l="0" t="0" r="0" b="0"/>
            <wp:docPr id="26" name="Picture 26" descr="Chart, sunburst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sunburst chart&#10;&#10;Description automatically generated"/>
                    <pic:cNvPicPr/>
                  </pic:nvPicPr>
                  <pic:blipFill>
                    <a:blip r:embed="rId99"/>
                    <a:stretch>
                      <a:fillRect/>
                    </a:stretch>
                  </pic:blipFill>
                  <pic:spPr>
                    <a:xfrm>
                      <a:off x="0" y="0"/>
                      <a:ext cx="5294352" cy="3481976"/>
                    </a:xfrm>
                    <a:prstGeom prst="rect">
                      <a:avLst/>
                    </a:prstGeom>
                  </pic:spPr>
                </pic:pic>
              </a:graphicData>
            </a:graphic>
          </wp:inline>
        </w:drawing>
      </w:r>
    </w:p>
    <w:p w14:paraId="0159FAD3" w14:textId="50D1F874" w:rsidR="009802D8" w:rsidRPr="009802D8" w:rsidRDefault="009802D8" w:rsidP="009802D8">
      <w:pPr>
        <w:pStyle w:val="Caption"/>
        <w:rPr>
          <w:b w:val="0"/>
          <w:bCs/>
        </w:rPr>
      </w:pPr>
      <w:bookmarkStart w:id="416" w:name="_Toc110246971"/>
      <w:r>
        <w:t xml:space="preserve">Figure </w:t>
      </w:r>
      <w:fldSimple w:instr=" STYLEREF 1 \s ">
        <w:r w:rsidR="00AC2094">
          <w:rPr>
            <w:noProof/>
          </w:rPr>
          <w:t>7</w:t>
        </w:r>
      </w:fldSimple>
      <w:r w:rsidR="00AC2094">
        <w:noBreakHyphen/>
      </w:r>
      <w:fldSimple w:instr=" SEQ Figure \* ARABIC \s 1 ">
        <w:r w:rsidR="00AC2094">
          <w:rPr>
            <w:noProof/>
          </w:rPr>
          <w:t>4</w:t>
        </w:r>
      </w:fldSimple>
      <w:r>
        <w:t xml:space="preserve">  </w:t>
      </w:r>
      <w:r w:rsidRPr="009802D8">
        <w:t>Proteomic detection of alternatively coded proteins from two phage genomes.</w:t>
      </w:r>
      <w:bookmarkEnd w:id="416"/>
      <w:r w:rsidRPr="009802D8">
        <w:t xml:space="preserve">  </w:t>
      </w:r>
      <w:r w:rsidRPr="009802D8">
        <w:rPr>
          <w:b w:val="0"/>
          <w:bCs/>
        </w:rPr>
        <w:fldChar w:fldCharType="begin"/>
      </w:r>
      <w:r w:rsidRPr="009802D8">
        <w:rPr>
          <w:b w:val="0"/>
          <w:bCs/>
        </w:rPr>
        <w:instrText xml:space="preserve"> </w:instrText>
      </w:r>
    </w:p>
    <w:p w14:paraId="1388CC67" w14:textId="77777777" w:rsidR="009802D8" w:rsidRPr="009802D8" w:rsidRDefault="009802D8" w:rsidP="009802D8">
      <w:pPr>
        <w:pStyle w:val="Caption"/>
        <w:rPr>
          <w:b w:val="0"/>
          <w:bCs/>
        </w:rPr>
      </w:pPr>
    </w:p>
    <w:p w14:paraId="60DA3D7D" w14:textId="29B431A9" w:rsidR="009802D8" w:rsidRPr="009802D8" w:rsidRDefault="009802D8" w:rsidP="009802D8">
      <w:pPr>
        <w:pStyle w:val="Caption"/>
        <w:rPr>
          <w:b w:val="0"/>
          <w:bCs/>
        </w:rPr>
      </w:pPr>
      <w:r w:rsidRPr="009802D8">
        <w:rPr>
          <w:b w:val="0"/>
          <w:bCs/>
        </w:rPr>
        <w:instrText xml:space="preserve"> </w:instrText>
      </w:r>
      <w:r w:rsidRPr="009802D8">
        <w:rPr>
          <w:b w:val="0"/>
          <w:bCs/>
        </w:rPr>
        <w:fldChar w:fldCharType="end"/>
      </w:r>
      <w:r w:rsidRPr="009802D8">
        <w:rPr>
          <w:b w:val="0"/>
          <w:bCs/>
        </w:rPr>
        <w:fldChar w:fldCharType="begin"/>
      </w:r>
      <w:r w:rsidRPr="009802D8">
        <w:rPr>
          <w:b w:val="0"/>
          <w:bCs/>
        </w:rPr>
        <w:instrText xml:space="preserve"> </w:instrText>
      </w:r>
    </w:p>
    <w:p w14:paraId="2F75BD80" w14:textId="77777777" w:rsidR="009802D8" w:rsidRPr="009802D8" w:rsidRDefault="009802D8" w:rsidP="009802D8">
      <w:pPr>
        <w:pStyle w:val="Caption"/>
        <w:rPr>
          <w:b w:val="0"/>
          <w:bCs/>
        </w:rPr>
      </w:pPr>
    </w:p>
    <w:p w14:paraId="417F736A" w14:textId="52F3B037" w:rsidR="00867A01" w:rsidRPr="009802D8" w:rsidRDefault="009802D8" w:rsidP="009802D8">
      <w:pPr>
        <w:pStyle w:val="Caption"/>
        <w:rPr>
          <w:rFonts w:ascii="Times New Roman" w:hAnsi="Times New Roman" w:cs="Times New Roman"/>
          <w:b w:val="0"/>
          <w:bCs/>
          <w:lang w:val="en"/>
        </w:rPr>
      </w:pPr>
      <w:r w:rsidRPr="009802D8">
        <w:rPr>
          <w:b w:val="0"/>
          <w:bCs/>
        </w:rPr>
        <w:instrText xml:space="preserve"> </w:instrText>
      </w:r>
      <w:r w:rsidRPr="009802D8">
        <w:rPr>
          <w:b w:val="0"/>
          <w:bCs/>
        </w:rPr>
        <w:fldChar w:fldCharType="end"/>
      </w:r>
      <w:r w:rsidRPr="009802D8">
        <w:rPr>
          <w:b w:val="0"/>
          <w:bCs/>
        </w:rPr>
        <w:t xml:space="preserve">L2_026_000M1_scaffold_35 (A) and L3_063_250G2_scaffold_974_ curated (B) are alternatively coded crAss-like phages. Prediction of genes in code 11 (inner grey ring) leads to gene fragmentation and low coding density, while gene prediction in code 15 (outer yellow genes) restores open reading frames. Genes with detected peptide evidence are colored purple. Some detected peptides contain glutamines encoded by reassigned TAG codons, and these genes with these validated recoding events are marked with stars. Suppressor tRNAs (red labels) are predicted to suppress translation termination at recoded TAG stop codons. Individual </w:t>
      </w:r>
      <w:proofErr w:type="spellStart"/>
      <w:r w:rsidRPr="009802D8">
        <w:rPr>
          <w:b w:val="0"/>
          <w:bCs/>
        </w:rPr>
        <w:t>replichores</w:t>
      </w:r>
      <w:proofErr w:type="spellEnd"/>
      <w:r w:rsidRPr="009802D8">
        <w:rPr>
          <w:b w:val="0"/>
          <w:bCs/>
        </w:rPr>
        <w:t xml:space="preserve"> were identified based on GC skew patterns indicative of bidirectional replication.</w:t>
      </w:r>
    </w:p>
    <w:p w14:paraId="31E65AC1" w14:textId="77777777" w:rsidR="00867A01" w:rsidRPr="00476931" w:rsidRDefault="00867A01" w:rsidP="00867A01">
      <w:pPr>
        <w:spacing w:before="1"/>
        <w:rPr>
          <w:rFonts w:ascii="Times New Roman" w:hAnsi="Times New Roman" w:cs="Times New Roman"/>
          <w:color w:val="000000" w:themeColor="text1"/>
        </w:rPr>
      </w:pPr>
      <w:r w:rsidRPr="00476931">
        <w:rPr>
          <w:rFonts w:ascii="Times New Roman" w:hAnsi="Times New Roman" w:cs="Times New Roman"/>
          <w:color w:val="000000" w:themeColor="text1"/>
        </w:rPr>
        <w:br w:type="page"/>
      </w:r>
    </w:p>
    <w:p w14:paraId="1C592C1B" w14:textId="29FA5C99" w:rsidR="004E6699" w:rsidRPr="00476931" w:rsidRDefault="00310878" w:rsidP="005040B1">
      <w:pPr>
        <w:rPr>
          <w:color w:val="000000" w:themeColor="text1"/>
        </w:rPr>
      </w:pPr>
      <w:r w:rsidRPr="00476931">
        <w:rPr>
          <w:color w:val="000000" w:themeColor="text1"/>
          <w:lang w:val="en"/>
        </w:rPr>
        <w:t xml:space="preserve">Some of the proteins identified with code 15 predictions were annotated as structural proteins, including capsid, portal, and tail-associated proteins, while the remaining proteins were unannotated. The detection of mostly late infection structural proteins was expected based on the enrichment for viral-like particles employed for sample preparation.  Additional LC-MS/MS measurements were conducted on the unenriched fraction of the fecal samples that primarily contained unlysed bacterial cells and host proteins to determine if any additional phage peptides could be detected for </w:t>
      </w:r>
      <w:r w:rsidRPr="00476931">
        <w:rPr>
          <w:color w:val="000000" w:themeColor="text1"/>
        </w:rPr>
        <w:t>early infection proteins that would be present in the host bacterium at the time of sample processing.</w:t>
      </w:r>
      <w:r w:rsidRPr="00476931">
        <w:rPr>
          <w:color w:val="000000" w:themeColor="text1"/>
          <w:lang w:val="en"/>
        </w:rPr>
        <w:t xml:space="preserve"> Measurements detected phage peptides in the infant sample, including peptides for </w:t>
      </w:r>
      <w:r w:rsidRPr="00476931">
        <w:rPr>
          <w:color w:val="000000" w:themeColor="text1"/>
        </w:rPr>
        <w:t xml:space="preserve">three additional proteins that were not identified in the original phage enriched samples.  These three proteins included two hypothetical proteins and one ribosomal protein found in a region of the genome predicted to use genetic code 11.  Across all identified phage proteins in these samples, 67% of genetic code 15 proteins could be confidently annotated, while only 34% of standard genetic code 11 proteins could be confidently annotated. As incorrect code prediction leads to genes predicted in incorrect reading frames and truncated gene products, this discrepancy in annotations levels is alarming.  It does emphasize the need for correct code usage during gene predictions </w:t>
      </w:r>
      <w:proofErr w:type="gramStart"/>
      <w:r w:rsidRPr="00476931">
        <w:rPr>
          <w:color w:val="000000" w:themeColor="text1"/>
        </w:rPr>
        <w:t>in order to</w:t>
      </w:r>
      <w:proofErr w:type="gramEnd"/>
      <w:r w:rsidRPr="00476931">
        <w:rPr>
          <w:color w:val="000000" w:themeColor="text1"/>
        </w:rPr>
        <w:t xml:space="preserve"> accurately catalog phage gene inventories, as very few insights on biological function can be elucidated from incorrectly, and poorly, annotated genomes.</w:t>
      </w:r>
    </w:p>
    <w:p w14:paraId="45E89CCF" w14:textId="2FDFEB3F" w:rsidR="005040B1" w:rsidRPr="00476931" w:rsidRDefault="005040B1" w:rsidP="005040B1">
      <w:pPr>
        <w:rPr>
          <w:color w:val="000000" w:themeColor="text1"/>
          <w:lang w:val="en"/>
        </w:rPr>
      </w:pPr>
      <w:r w:rsidRPr="00476931">
        <w:rPr>
          <w:b/>
          <w:color w:val="000000" w:themeColor="text1"/>
          <w:lang w:val="en"/>
        </w:rPr>
        <w:t>Figure 7</w:t>
      </w:r>
      <w:r w:rsidR="009B672D">
        <w:rPr>
          <w:b/>
          <w:color w:val="000000" w:themeColor="text1"/>
          <w:lang w:val="en"/>
        </w:rPr>
        <w:t>-</w:t>
      </w:r>
      <w:r w:rsidRPr="00476931">
        <w:rPr>
          <w:b/>
          <w:color w:val="000000" w:themeColor="text1"/>
          <w:lang w:val="en"/>
        </w:rPr>
        <w:t xml:space="preserve">5 </w:t>
      </w:r>
      <w:r w:rsidRPr="00476931">
        <w:rPr>
          <w:color w:val="000000" w:themeColor="text1"/>
          <w:lang w:val="en"/>
        </w:rPr>
        <w:t xml:space="preserve">shows the protein sequence coverage map from the alternatively coded phage tail fiber protein (L3_063_250G2_scaffold_974_curated_39.code15) identified in the infant fecal sample.  The region of the phage genome corresponding to this single protein contained six truncated proteins when predicted using the standard code. However, when using code 15, the full-length alternatively coded protein contained 23 peptides identified through database matching, of which, 11 were exclusively identified using code 15. Four peptides, highlighted in red boxes, directly confirm that the TAG stop codon is reassigned to glutamine. The identification of several </w:t>
      </w:r>
      <w:r w:rsidRPr="00476931">
        <w:rPr>
          <w:i/>
          <w:color w:val="000000" w:themeColor="text1"/>
          <w:lang w:val="en"/>
        </w:rPr>
        <w:t>de novo</w:t>
      </w:r>
      <w:r w:rsidRPr="00476931">
        <w:rPr>
          <w:color w:val="000000" w:themeColor="text1"/>
          <w:lang w:val="en"/>
        </w:rPr>
        <w:t xml:space="preserve"> sequencing tags provides additional evidence of the existence and expression of recoded stop codons in this alternatively coded protein.</w:t>
      </w:r>
    </w:p>
    <w:p w14:paraId="437E86E8" w14:textId="77777777" w:rsidR="009802D8" w:rsidRDefault="00310878" w:rsidP="009802D8">
      <w:pPr>
        <w:pStyle w:val="BodyText"/>
        <w:keepNext/>
      </w:pPr>
      <w:r w:rsidRPr="00476931">
        <w:rPr>
          <w:noProof/>
        </w:rPr>
        <w:drawing>
          <wp:inline distT="0" distB="0" distL="0" distR="0" wp14:anchorId="43ADB164" wp14:editId="1C8F851C">
            <wp:extent cx="5295900" cy="2805430"/>
            <wp:effectExtent l="0" t="0" r="0" b="0"/>
            <wp:docPr id="2050" name="image1.png">
              <a:extLst xmlns:a="http://schemas.openxmlformats.org/drawingml/2006/main">
                <a:ext uri="{FF2B5EF4-FFF2-40B4-BE49-F238E27FC236}">
                  <a16:creationId xmlns:a16="http://schemas.microsoft.com/office/drawing/2014/main" id="{3CEB09D8-665B-4839-8B96-49148EE134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image1.png">
                      <a:extLst>
                        <a:ext uri="{FF2B5EF4-FFF2-40B4-BE49-F238E27FC236}">
                          <a16:creationId xmlns:a16="http://schemas.microsoft.com/office/drawing/2014/main" id="{3CEB09D8-665B-4839-8B96-49148EE13428}"/>
                        </a:ext>
                      </a:extLst>
                    </pic:cNvPr>
                    <pic:cNvPicPr>
                      <a:picLocks noChangeAspect="1" noChangeArrowheads="1"/>
                    </pic:cNvPicPr>
                  </pic:nvPicPr>
                  <pic:blipFill>
                    <a:blip r:embed="rId100" cstate="print">
                      <a:extLst>
                        <a:ext uri="{28A0092B-C50C-407E-A947-70E740481C1C}">
                          <a14:useLocalDpi xmlns:a14="http://schemas.microsoft.com/office/drawing/2010/main" val="0"/>
                        </a:ext>
                      </a:extLst>
                    </a:blip>
                    <a:srcRect b="15955"/>
                    <a:stretch>
                      <a:fillRect/>
                    </a:stretch>
                  </pic:blipFill>
                  <pic:spPr bwMode="auto">
                    <a:xfrm>
                      <a:off x="0" y="0"/>
                      <a:ext cx="5295900" cy="2805430"/>
                    </a:xfrm>
                    <a:prstGeom prst="rect">
                      <a:avLst/>
                    </a:prstGeom>
                    <a:noFill/>
                    <a:ln>
                      <a:noFill/>
                    </a:ln>
                  </pic:spPr>
                </pic:pic>
              </a:graphicData>
            </a:graphic>
          </wp:inline>
        </w:drawing>
      </w:r>
    </w:p>
    <w:p w14:paraId="3991C6E5" w14:textId="4C437A35" w:rsidR="009802D8" w:rsidRPr="009802D8" w:rsidRDefault="009802D8" w:rsidP="009802D8">
      <w:pPr>
        <w:pStyle w:val="Caption"/>
        <w:rPr>
          <w:b w:val="0"/>
          <w:bCs/>
        </w:rPr>
      </w:pPr>
      <w:bookmarkStart w:id="417" w:name="_Toc110246972"/>
      <w:r>
        <w:t xml:space="preserve">Figure </w:t>
      </w:r>
      <w:fldSimple w:instr=" STYLEREF 1 \s ">
        <w:r w:rsidR="00AC2094">
          <w:rPr>
            <w:noProof/>
          </w:rPr>
          <w:t>7</w:t>
        </w:r>
      </w:fldSimple>
      <w:r w:rsidR="00AC2094">
        <w:noBreakHyphen/>
      </w:r>
      <w:fldSimple w:instr=" SEQ Figure \* ARABIC \s 1 ">
        <w:r w:rsidR="00AC2094">
          <w:rPr>
            <w:noProof/>
          </w:rPr>
          <w:t>5</w:t>
        </w:r>
      </w:fldSimple>
      <w:r>
        <w:t xml:space="preserve">  </w:t>
      </w:r>
      <w:r w:rsidRPr="009802D8">
        <w:t>Protein sequence coverage map of alternative code phage tail-related protein.</w:t>
      </w:r>
      <w:bookmarkEnd w:id="417"/>
      <w:r w:rsidRPr="009802D8">
        <w:t xml:space="preserve">  </w:t>
      </w:r>
      <w:r>
        <w:rPr>
          <w:b w:val="0"/>
          <w:bCs/>
        </w:rPr>
        <w:fldChar w:fldCharType="begin"/>
      </w:r>
      <w:r>
        <w:rPr>
          <w:b w:val="0"/>
          <w:bCs/>
        </w:rPr>
        <w:instrText xml:space="preserve"> </w:instrText>
      </w:r>
    </w:p>
    <w:p w14:paraId="08A5348A" w14:textId="77777777" w:rsidR="009802D8" w:rsidRPr="009802D8" w:rsidRDefault="009802D8" w:rsidP="009802D8">
      <w:pPr>
        <w:pStyle w:val="Caption"/>
        <w:rPr>
          <w:b w:val="0"/>
          <w:bCs/>
        </w:rPr>
      </w:pPr>
    </w:p>
    <w:p w14:paraId="6724EFC6" w14:textId="769C30A9" w:rsidR="009802D8" w:rsidRPr="009802D8" w:rsidRDefault="009802D8" w:rsidP="009802D8">
      <w:pPr>
        <w:pStyle w:val="Caption"/>
        <w:rPr>
          <w:b w:val="0"/>
          <w:bCs/>
        </w:rPr>
      </w:pPr>
      <w:r>
        <w:rPr>
          <w:b w:val="0"/>
          <w:bCs/>
        </w:rPr>
        <w:instrText xml:space="preserve"> </w:instrText>
      </w:r>
      <w:r>
        <w:rPr>
          <w:b w:val="0"/>
          <w:bCs/>
        </w:rPr>
        <w:fldChar w:fldCharType="end"/>
      </w:r>
      <w:r w:rsidRPr="009802D8">
        <w:rPr>
          <w:b w:val="0"/>
          <w:bCs/>
        </w:rPr>
        <w:fldChar w:fldCharType="begin"/>
      </w:r>
      <w:r w:rsidRPr="009802D8">
        <w:rPr>
          <w:b w:val="0"/>
          <w:bCs/>
        </w:rPr>
        <w:instrText xml:space="preserve"> </w:instrText>
      </w:r>
    </w:p>
    <w:p w14:paraId="0F0F7864" w14:textId="77777777" w:rsidR="009802D8" w:rsidRPr="009802D8" w:rsidRDefault="009802D8" w:rsidP="009802D8">
      <w:pPr>
        <w:pStyle w:val="Caption"/>
        <w:rPr>
          <w:b w:val="0"/>
          <w:bCs/>
        </w:rPr>
      </w:pPr>
    </w:p>
    <w:p w14:paraId="5F8A58A9" w14:textId="77777777" w:rsidR="009802D8" w:rsidRPr="009802D8" w:rsidRDefault="009802D8" w:rsidP="009802D8">
      <w:pPr>
        <w:pStyle w:val="Caption"/>
        <w:rPr>
          <w:b w:val="0"/>
          <w:bCs/>
        </w:rPr>
      </w:pPr>
      <w:r w:rsidRPr="009802D8">
        <w:rPr>
          <w:b w:val="0"/>
          <w:bCs/>
        </w:rPr>
        <w:instrText xml:space="preserve"> </w:instrText>
      </w:r>
      <w:r w:rsidRPr="009802D8">
        <w:rPr>
          <w:b w:val="0"/>
          <w:bCs/>
        </w:rPr>
        <w:fldChar w:fldCharType="end"/>
      </w:r>
      <w:r w:rsidRPr="009802D8">
        <w:rPr>
          <w:b w:val="0"/>
          <w:bCs/>
        </w:rPr>
        <w:t>Highlighted sections of the code 15 predicted protein sequence (top) show the corresponding proteins that would have been predicted using standard code 11 (predicted open reading frames), also depicted in the graphical representation (bottom). Blue lines illustrate regions covered by tryptic peptides identified through LC-MS/MS database matching, whereas gray lines represent regions of the predicted protein sequence with matching de novo sequence tag coverage. Red text in the sequence indicates the location of glutamine residues from reassigned stop codons. Red boxes on the sequence coverage map and red bars on the graphical representation indicate the recoded glutamine residues with peptides identified through database searching.</w:t>
      </w:r>
    </w:p>
    <w:p w14:paraId="7C04E13D" w14:textId="16616459" w:rsidR="005040B1" w:rsidRPr="00476931" w:rsidRDefault="004E6699" w:rsidP="005040B1">
      <w:pPr>
        <w:rPr>
          <w:color w:val="000000" w:themeColor="text1"/>
          <w:lang w:val="en"/>
        </w:rPr>
      </w:pPr>
      <w:r w:rsidRPr="00476931">
        <w:rPr>
          <w:color w:val="000000" w:themeColor="text1"/>
        </w:rPr>
        <w:br w:type="page"/>
      </w:r>
      <w:r w:rsidR="005040B1" w:rsidRPr="00476931">
        <w:rPr>
          <w:color w:val="000000" w:themeColor="text1"/>
          <w:lang w:val="en"/>
        </w:rPr>
        <w:t xml:space="preserve">Numerous identified peptides in both the infant and adult fecal samples further substantiate phage reassignment of the TAG stop codon to glutamine. </w:t>
      </w:r>
      <w:r w:rsidR="005040B1" w:rsidRPr="00476931">
        <w:rPr>
          <w:b/>
          <w:color w:val="000000" w:themeColor="text1"/>
          <w:lang w:val="en"/>
        </w:rPr>
        <w:t xml:space="preserve"> Figures 7</w:t>
      </w:r>
      <w:r w:rsidR="009B672D">
        <w:rPr>
          <w:b/>
          <w:color w:val="000000" w:themeColor="text1"/>
          <w:lang w:val="en"/>
        </w:rPr>
        <w:t>-</w:t>
      </w:r>
      <w:r w:rsidR="005040B1" w:rsidRPr="00476931">
        <w:rPr>
          <w:b/>
          <w:color w:val="000000" w:themeColor="text1"/>
          <w:lang w:val="en"/>
        </w:rPr>
        <w:t xml:space="preserve">6 </w:t>
      </w:r>
      <w:r w:rsidR="005040B1" w:rsidRPr="00476931">
        <w:rPr>
          <w:bCs/>
          <w:color w:val="000000" w:themeColor="text1"/>
          <w:lang w:val="en"/>
        </w:rPr>
        <w:t>and</w:t>
      </w:r>
      <w:r w:rsidR="005040B1" w:rsidRPr="00476931">
        <w:rPr>
          <w:b/>
          <w:color w:val="000000" w:themeColor="text1"/>
          <w:lang w:val="en"/>
        </w:rPr>
        <w:t xml:space="preserve"> Figure 7</w:t>
      </w:r>
      <w:r w:rsidR="009B672D">
        <w:rPr>
          <w:b/>
          <w:color w:val="000000" w:themeColor="text1"/>
          <w:lang w:val="en"/>
        </w:rPr>
        <w:t>-</w:t>
      </w:r>
      <w:r w:rsidR="005040B1" w:rsidRPr="00476931">
        <w:rPr>
          <w:b/>
          <w:color w:val="000000" w:themeColor="text1"/>
          <w:lang w:val="en"/>
        </w:rPr>
        <w:t xml:space="preserve">7 </w:t>
      </w:r>
      <w:r w:rsidR="005040B1" w:rsidRPr="00476931">
        <w:rPr>
          <w:color w:val="000000" w:themeColor="text1"/>
          <w:lang w:val="en"/>
        </w:rPr>
        <w:t>shows two examples of high-quality MS/MS spectra for alternatively coded phage peptides.  In both instances, the glutamine residue from the recoded stop codon was positioned in the middle of a tryptic peptide.   In the figure, only the direct y-type fragment ion series was chosen for annotation due to their preferential generation in higher-energy C-trap dissociation (HCD) fragmentation during MS/MS measurement</w:t>
      </w:r>
      <w:sdt>
        <w:sdtPr>
          <w:rPr>
            <w:color w:val="000000"/>
            <w:vertAlign w:val="superscript"/>
            <w:lang w:val="en"/>
          </w:rPr>
          <w:tag w:val="MENDELEY_CITATION_v3_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"/>
          <w:id w:val="146022134"/>
          <w:placeholder>
            <w:docPart w:val="9F502FFC47FB4797A144C8BCD710DB28"/>
          </w:placeholder>
        </w:sdtPr>
        <w:sdtEndPr/>
        <w:sdtContent>
          <w:r w:rsidR="003204EA" w:rsidRPr="003204EA">
            <w:rPr>
              <w:rFonts w:eastAsia="Times New Roman"/>
              <w:color w:val="000000"/>
              <w:vertAlign w:val="superscript"/>
            </w:rPr>
            <w:t>276</w:t>
          </w:r>
        </w:sdtContent>
      </w:sdt>
      <w:r w:rsidR="005040B1" w:rsidRPr="00476931">
        <w:rPr>
          <w:color w:val="000000" w:themeColor="text1"/>
          <w:lang w:val="en"/>
        </w:rPr>
        <w:t xml:space="preserve">. </w:t>
      </w:r>
    </w:p>
    <w:p w14:paraId="62CBEF98" w14:textId="41F3A356" w:rsidR="004E6699" w:rsidRPr="00476931" w:rsidRDefault="005040B1">
      <w:pPr>
        <w:spacing w:before="1"/>
        <w:rPr>
          <w:rFonts w:eastAsia="Arial" w:cs="Arial"/>
          <w:color w:val="000000" w:themeColor="text1"/>
          <w:szCs w:val="22"/>
        </w:rPr>
      </w:pPr>
      <w:r w:rsidRPr="00476931">
        <w:rPr>
          <w:b/>
          <w:color w:val="000000" w:themeColor="text1"/>
          <w:lang w:val="en"/>
        </w:rPr>
        <w:t>Figure 7</w:t>
      </w:r>
      <w:r w:rsidR="009B672D">
        <w:rPr>
          <w:b/>
          <w:color w:val="000000" w:themeColor="text1"/>
          <w:lang w:val="en"/>
        </w:rPr>
        <w:t>-</w:t>
      </w:r>
      <w:r w:rsidRPr="00476931">
        <w:rPr>
          <w:b/>
          <w:color w:val="000000" w:themeColor="text1"/>
          <w:lang w:val="en"/>
        </w:rPr>
        <w:t>6A</w:t>
      </w:r>
      <w:r w:rsidRPr="00476931">
        <w:rPr>
          <w:color w:val="000000" w:themeColor="text1"/>
          <w:lang w:val="en"/>
        </w:rPr>
        <w:t xml:space="preserve"> shows a peptide containing a methionine from a predicted start codon using standard code residing in the middle of the peptide sequence in addition to a glutamine from a recoded stop codon.  As several amino acids depicted here map to codons upstream of the standard code methionine start codon, this tryptic peptide would not exist if the phage was using standard code translation. The peptide in </w:t>
      </w:r>
      <w:r w:rsidRPr="00476931">
        <w:rPr>
          <w:b/>
          <w:color w:val="000000" w:themeColor="text1"/>
          <w:lang w:val="en"/>
        </w:rPr>
        <w:t>Figure 7</w:t>
      </w:r>
      <w:r w:rsidR="009B672D">
        <w:rPr>
          <w:b/>
          <w:color w:val="000000" w:themeColor="text1"/>
          <w:lang w:val="en"/>
        </w:rPr>
        <w:t>-</w:t>
      </w:r>
      <w:r w:rsidRPr="00476931">
        <w:rPr>
          <w:b/>
          <w:color w:val="000000" w:themeColor="text1"/>
          <w:lang w:val="en"/>
        </w:rPr>
        <w:t>6B</w:t>
      </w:r>
      <w:r w:rsidRPr="00476931">
        <w:rPr>
          <w:color w:val="000000" w:themeColor="text1"/>
          <w:lang w:val="en"/>
        </w:rPr>
        <w:t xml:space="preserve"> contains three glutamine </w:t>
      </w:r>
      <w:proofErr w:type="gramStart"/>
      <w:r w:rsidRPr="00476931">
        <w:rPr>
          <w:color w:val="000000" w:themeColor="text1"/>
          <w:lang w:val="en"/>
        </w:rPr>
        <w:t>residues;</w:t>
      </w:r>
      <w:proofErr w:type="gramEnd"/>
      <w:r w:rsidRPr="00476931">
        <w:rPr>
          <w:color w:val="000000" w:themeColor="text1"/>
          <w:lang w:val="en"/>
        </w:rPr>
        <w:t xml:space="preserve"> one canonical glutamine and two glutamines from recoded stop codons.  One of the recoded glutamines was predicted as a stop codon at the end of a protein predicted through standard code translation.  With a nearly complete fragmentation ion series, the detected tryptic peptide shows several amino acids flanking this recoded stop codon, covering an amino acid sequence that would not exist in a standard code open reading frame.  In addition, a </w:t>
      </w:r>
      <w:r w:rsidRPr="00476931">
        <w:rPr>
          <w:i/>
          <w:color w:val="000000" w:themeColor="text1"/>
          <w:lang w:val="en"/>
        </w:rPr>
        <w:t>de novo</w:t>
      </w:r>
      <w:r w:rsidRPr="00476931">
        <w:rPr>
          <w:color w:val="000000" w:themeColor="text1"/>
          <w:lang w:val="en"/>
        </w:rPr>
        <w:t xml:space="preserve"> sequencing tag matching nearly the entire length of the database match had high local confidence scores for every amino acid residue, including the recoded glutamines, providing additional support that this peptide, and others like it, do in fact exist (</w:t>
      </w:r>
      <w:r w:rsidRPr="00476931">
        <w:rPr>
          <w:b/>
          <w:bCs/>
          <w:color w:val="000000" w:themeColor="text1"/>
          <w:lang w:val="en"/>
        </w:rPr>
        <w:t>Figure 7</w:t>
      </w:r>
      <w:r w:rsidR="009B672D">
        <w:rPr>
          <w:b/>
          <w:bCs/>
          <w:color w:val="000000" w:themeColor="text1"/>
          <w:lang w:val="en"/>
        </w:rPr>
        <w:t>-</w:t>
      </w:r>
      <w:r w:rsidRPr="00476931">
        <w:rPr>
          <w:b/>
          <w:bCs/>
          <w:color w:val="000000" w:themeColor="text1"/>
          <w:lang w:val="en"/>
        </w:rPr>
        <w:t>7A</w:t>
      </w:r>
      <w:r w:rsidRPr="00476931">
        <w:rPr>
          <w:color w:val="000000" w:themeColor="text1"/>
          <w:lang w:val="en"/>
        </w:rPr>
        <w:t>). Finally, as genetic code 15 only utilizes ATG as a start codon for translation initiation, confirmation of expression of this start codon was necessary to validate this genetic code.</w:t>
      </w:r>
      <w:r w:rsidRPr="00476931">
        <w:rPr>
          <w:b/>
          <w:bCs/>
          <w:color w:val="000000" w:themeColor="text1"/>
          <w:lang w:val="en"/>
        </w:rPr>
        <w:t xml:space="preserve"> Figure 7</w:t>
      </w:r>
      <w:r w:rsidR="009B672D">
        <w:rPr>
          <w:b/>
          <w:bCs/>
          <w:color w:val="000000" w:themeColor="text1"/>
          <w:lang w:val="en"/>
        </w:rPr>
        <w:t>-</w:t>
      </w:r>
      <w:r w:rsidRPr="00476931">
        <w:rPr>
          <w:b/>
          <w:bCs/>
          <w:color w:val="000000" w:themeColor="text1"/>
          <w:lang w:val="en"/>
        </w:rPr>
        <w:t>7B</w:t>
      </w:r>
      <w:r w:rsidRPr="00476931">
        <w:rPr>
          <w:color w:val="000000" w:themeColor="text1"/>
          <w:lang w:val="en"/>
        </w:rPr>
        <w:t xml:space="preserve"> shows an example of direct peptide sequencing of a peptide containing a methionine from the ATG start codon for a genetic code 15 predicted protein, confirming translation initiation at this site in the genome.  To confirm that alternative start codons were not being utilized, additional databases were generated to determine if translation was being initiated upstream of the predicted ATG start codon.  Searches with databases that extended the protein-coding sequences </w:t>
      </w:r>
    </w:p>
    <w:p w14:paraId="4ECDDDFF" w14:textId="77777777" w:rsidR="009802D8" w:rsidRDefault="00310878" w:rsidP="009802D8">
      <w:pPr>
        <w:keepNext/>
        <w:ind w:left="180" w:firstLine="0"/>
      </w:pPr>
      <w:r w:rsidRPr="00476931">
        <w:rPr>
          <w:noProof/>
          <w:color w:val="000000" w:themeColor="text1"/>
        </w:rPr>
        <w:drawing>
          <wp:inline distT="0" distB="0" distL="0" distR="0" wp14:anchorId="052BECD9" wp14:editId="4A7042C4">
            <wp:extent cx="5219700" cy="5838825"/>
            <wp:effectExtent l="0" t="0" r="0" b="3175"/>
            <wp:docPr id="28" name="Picture 28"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calendar&#10;&#10;Description automatically generated"/>
                    <pic:cNvPicPr/>
                  </pic:nvPicPr>
                  <pic:blipFill rotWithShape="1">
                    <a:blip r:embed="rId101" cstate="print">
                      <a:extLst>
                        <a:ext uri="{28A0092B-C50C-407E-A947-70E740481C1C}">
                          <a14:useLocalDpi xmlns:a14="http://schemas.microsoft.com/office/drawing/2010/main" val="0"/>
                        </a:ext>
                      </a:extLst>
                    </a:blip>
                    <a:srcRect b="14489"/>
                    <a:stretch/>
                  </pic:blipFill>
                  <pic:spPr bwMode="auto">
                    <a:xfrm>
                      <a:off x="0" y="0"/>
                      <a:ext cx="5219700" cy="5838825"/>
                    </a:xfrm>
                    <a:prstGeom prst="rect">
                      <a:avLst/>
                    </a:prstGeom>
                    <a:ln>
                      <a:noFill/>
                    </a:ln>
                    <a:extLst>
                      <a:ext uri="{53640926-AAD7-44D8-BBD7-CCE9431645EC}">
                        <a14:shadowObscured xmlns:a14="http://schemas.microsoft.com/office/drawing/2010/main"/>
                      </a:ext>
                    </a:extLst>
                  </pic:spPr>
                </pic:pic>
              </a:graphicData>
            </a:graphic>
          </wp:inline>
        </w:drawing>
      </w:r>
    </w:p>
    <w:p w14:paraId="2C8C6C43" w14:textId="028FDE86" w:rsidR="009802D8" w:rsidRPr="009802D8" w:rsidRDefault="009802D8" w:rsidP="009802D8">
      <w:pPr>
        <w:pStyle w:val="Caption"/>
        <w:rPr>
          <w:b w:val="0"/>
          <w:bCs/>
        </w:rPr>
      </w:pPr>
      <w:bookmarkStart w:id="418" w:name="_Toc110246973"/>
      <w:r>
        <w:t xml:space="preserve">Figure </w:t>
      </w:r>
      <w:fldSimple w:instr=" STYLEREF 1 \s ">
        <w:r w:rsidR="00AC2094">
          <w:rPr>
            <w:noProof/>
          </w:rPr>
          <w:t>7</w:t>
        </w:r>
      </w:fldSimple>
      <w:r w:rsidR="00AC2094">
        <w:noBreakHyphen/>
      </w:r>
      <w:fldSimple w:instr=" SEQ Figure \* ARABIC \s 1 ">
        <w:r w:rsidR="00AC2094">
          <w:rPr>
            <w:noProof/>
          </w:rPr>
          <w:t>6</w:t>
        </w:r>
      </w:fldSimple>
      <w:r>
        <w:t xml:space="preserve">  </w:t>
      </w:r>
      <w:r w:rsidRPr="009802D8">
        <w:t>Example MS/MS spectra of alternative coding tryptic peptides.</w:t>
      </w:r>
      <w:bookmarkEnd w:id="418"/>
      <w:r w:rsidRPr="009802D8">
        <w:t xml:space="preserve">  </w:t>
      </w:r>
      <w:r w:rsidRPr="009802D8">
        <w:rPr>
          <w:b w:val="0"/>
          <w:bCs/>
        </w:rPr>
        <w:fldChar w:fldCharType="begin"/>
      </w:r>
      <w:r w:rsidRPr="009802D8">
        <w:rPr>
          <w:b w:val="0"/>
          <w:bCs/>
        </w:rPr>
        <w:instrText xml:space="preserve"> </w:instrText>
      </w:r>
    </w:p>
    <w:p w14:paraId="10A4089F" w14:textId="77777777" w:rsidR="009802D8" w:rsidRPr="009802D8" w:rsidRDefault="009802D8" w:rsidP="009802D8">
      <w:pPr>
        <w:pStyle w:val="Caption"/>
        <w:rPr>
          <w:b w:val="0"/>
          <w:bCs/>
        </w:rPr>
      </w:pPr>
    </w:p>
    <w:p w14:paraId="666BF354" w14:textId="06DD9FEA" w:rsidR="009802D8" w:rsidRPr="009802D8" w:rsidRDefault="009802D8" w:rsidP="009802D8">
      <w:pPr>
        <w:pStyle w:val="Caption"/>
        <w:rPr>
          <w:b w:val="0"/>
          <w:bCs/>
        </w:rPr>
      </w:pPr>
      <w:r w:rsidRPr="009802D8">
        <w:rPr>
          <w:b w:val="0"/>
          <w:bCs/>
        </w:rPr>
        <w:instrText xml:space="preserve"> </w:instrText>
      </w:r>
      <w:r w:rsidRPr="009802D8">
        <w:rPr>
          <w:b w:val="0"/>
          <w:bCs/>
        </w:rPr>
        <w:fldChar w:fldCharType="end"/>
      </w:r>
      <w:r w:rsidRPr="009802D8">
        <w:rPr>
          <w:b w:val="0"/>
          <w:bCs/>
        </w:rPr>
        <w:fldChar w:fldCharType="begin"/>
      </w:r>
      <w:r w:rsidRPr="009802D8">
        <w:rPr>
          <w:b w:val="0"/>
          <w:bCs/>
        </w:rPr>
        <w:instrText xml:space="preserve"> </w:instrText>
      </w:r>
    </w:p>
    <w:p w14:paraId="5662C690" w14:textId="77777777" w:rsidR="009802D8" w:rsidRPr="009802D8" w:rsidRDefault="009802D8" w:rsidP="009802D8">
      <w:pPr>
        <w:pStyle w:val="Caption"/>
        <w:rPr>
          <w:b w:val="0"/>
          <w:bCs/>
        </w:rPr>
      </w:pPr>
    </w:p>
    <w:p w14:paraId="2668757B" w14:textId="77777777" w:rsidR="009802D8" w:rsidRPr="009802D8" w:rsidRDefault="009802D8" w:rsidP="009802D8">
      <w:pPr>
        <w:pStyle w:val="Caption"/>
        <w:rPr>
          <w:b w:val="0"/>
          <w:bCs/>
        </w:rPr>
      </w:pPr>
      <w:r w:rsidRPr="009802D8">
        <w:rPr>
          <w:b w:val="0"/>
          <w:bCs/>
        </w:rPr>
        <w:instrText xml:space="preserve"> </w:instrText>
      </w:r>
      <w:r w:rsidRPr="009802D8">
        <w:rPr>
          <w:b w:val="0"/>
          <w:bCs/>
        </w:rPr>
        <w:fldChar w:fldCharType="end"/>
      </w:r>
      <w:r w:rsidRPr="009802D8">
        <w:rPr>
          <w:b w:val="0"/>
          <w:bCs/>
        </w:rPr>
        <w:t>In all panels, red “Q” represents a stop codon that has been reassigned to glutamine using code 15 translation. Blue “Q” represents canonical glutamine residues.  Note—the annotated y-ion series are read from the c-terminus to the n-terminus.  (</w:t>
      </w:r>
      <w:proofErr w:type="gramStart"/>
      <w:r w:rsidRPr="009802D8">
        <w:rPr>
          <w:b w:val="0"/>
          <w:bCs/>
        </w:rPr>
        <w:t>top</w:t>
      </w:r>
      <w:proofErr w:type="gramEnd"/>
      <w:r w:rsidRPr="009802D8">
        <w:rPr>
          <w:b w:val="0"/>
          <w:bCs/>
        </w:rPr>
        <w:t xml:space="preserve"> left) Residues highlighted in green on the amino acid sequence fragmentation ladder depicting b-and y-ion fragmentation series represent portions of the peptide also predicted through code 11 (standard code).   (A) Read-through of a standard genetic code 11 start codon (L3_063_250G2_scaffold_974_curated_32). (B) Read-through of a standard genetic code 11 stop codon (L2_026_000M1_scaffold_35_232).</w:t>
      </w:r>
    </w:p>
    <w:p w14:paraId="33A47E05" w14:textId="77777777" w:rsidR="009802D8" w:rsidRDefault="005040B1" w:rsidP="009802D8">
      <w:pPr>
        <w:keepNext/>
        <w:ind w:hanging="68"/>
      </w:pPr>
      <w:r w:rsidRPr="00476931">
        <w:rPr>
          <w:rFonts w:ascii="Times New Roman" w:hAnsi="Times New Roman" w:cs="Times New Roman"/>
          <w:noProof/>
          <w:color w:val="000000" w:themeColor="text1"/>
        </w:rPr>
        <w:drawing>
          <wp:inline distT="0" distB="0" distL="0" distR="0" wp14:anchorId="4D3671CA" wp14:editId="26AEA8E5">
            <wp:extent cx="5221224" cy="5910678"/>
            <wp:effectExtent l="0" t="0" r="0" b="0"/>
            <wp:docPr id="29" name="Picture 29"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screenshot of a computer&#10;&#10;Description automatically generated with low confidence"/>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221224" cy="5910678"/>
                    </a:xfrm>
                    <a:prstGeom prst="rect">
                      <a:avLst/>
                    </a:prstGeom>
                  </pic:spPr>
                </pic:pic>
              </a:graphicData>
            </a:graphic>
          </wp:inline>
        </w:drawing>
      </w:r>
    </w:p>
    <w:p w14:paraId="50C077AF" w14:textId="7EA5BCEC" w:rsidR="009802D8" w:rsidRPr="009802D8" w:rsidRDefault="009802D8" w:rsidP="009802D8">
      <w:pPr>
        <w:pStyle w:val="Caption"/>
        <w:rPr>
          <w:b w:val="0"/>
          <w:bCs/>
        </w:rPr>
      </w:pPr>
      <w:bookmarkStart w:id="419" w:name="_Toc110246974"/>
      <w:r>
        <w:t xml:space="preserve">Figure </w:t>
      </w:r>
      <w:fldSimple w:instr=" STYLEREF 1 \s ">
        <w:r w:rsidR="00AC2094">
          <w:rPr>
            <w:noProof/>
          </w:rPr>
          <w:t>7</w:t>
        </w:r>
      </w:fldSimple>
      <w:r w:rsidR="00AC2094">
        <w:noBreakHyphen/>
      </w:r>
      <w:fldSimple w:instr=" SEQ Figure \* ARABIC \s 1 ">
        <w:r w:rsidR="00AC2094">
          <w:rPr>
            <w:noProof/>
          </w:rPr>
          <w:t>7</w:t>
        </w:r>
      </w:fldSimple>
      <w:r>
        <w:t xml:space="preserve">  </w:t>
      </w:r>
      <w:r w:rsidRPr="009802D8">
        <w:t>MS/MS spectrum of de novo sequence tag of an alternative coded tryptic peptide (A).</w:t>
      </w:r>
      <w:bookmarkEnd w:id="419"/>
      <w:r w:rsidRPr="009802D8">
        <w:t xml:space="preserve">  </w:t>
      </w:r>
      <w:r>
        <w:rPr>
          <w:b w:val="0"/>
          <w:bCs/>
        </w:rPr>
        <w:fldChar w:fldCharType="begin"/>
      </w:r>
      <w:r>
        <w:rPr>
          <w:b w:val="0"/>
          <w:bCs/>
        </w:rPr>
        <w:instrText xml:space="preserve"> </w:instrText>
      </w:r>
    </w:p>
    <w:p w14:paraId="0E667B2E" w14:textId="77777777" w:rsidR="009802D8" w:rsidRPr="009802D8" w:rsidRDefault="009802D8" w:rsidP="009802D8">
      <w:pPr>
        <w:pStyle w:val="Caption"/>
        <w:rPr>
          <w:b w:val="0"/>
          <w:bCs/>
        </w:rPr>
      </w:pPr>
    </w:p>
    <w:p w14:paraId="339D86DE" w14:textId="19100232" w:rsidR="009802D8" w:rsidRPr="009802D8" w:rsidRDefault="009802D8" w:rsidP="009802D8">
      <w:pPr>
        <w:pStyle w:val="Caption"/>
        <w:rPr>
          <w:b w:val="0"/>
          <w:bCs/>
        </w:rPr>
      </w:pPr>
      <w:r>
        <w:rPr>
          <w:b w:val="0"/>
          <w:bCs/>
        </w:rPr>
        <w:instrText xml:space="preserve"> </w:instrText>
      </w:r>
      <w:r>
        <w:rPr>
          <w:b w:val="0"/>
          <w:bCs/>
        </w:rPr>
        <w:fldChar w:fldCharType="end"/>
      </w:r>
      <w:r w:rsidRPr="009802D8">
        <w:rPr>
          <w:b w:val="0"/>
          <w:bCs/>
        </w:rPr>
        <w:fldChar w:fldCharType="begin"/>
      </w:r>
      <w:r w:rsidRPr="009802D8">
        <w:rPr>
          <w:b w:val="0"/>
          <w:bCs/>
        </w:rPr>
        <w:instrText xml:space="preserve"> </w:instrText>
      </w:r>
    </w:p>
    <w:p w14:paraId="3D4BBEA0" w14:textId="77777777" w:rsidR="009802D8" w:rsidRPr="009802D8" w:rsidRDefault="009802D8" w:rsidP="009802D8">
      <w:pPr>
        <w:pStyle w:val="Caption"/>
        <w:rPr>
          <w:b w:val="0"/>
          <w:bCs/>
        </w:rPr>
      </w:pPr>
    </w:p>
    <w:p w14:paraId="2D6CB290" w14:textId="10FE028B" w:rsidR="00083128" w:rsidRPr="009802D8" w:rsidRDefault="009802D8" w:rsidP="00922FD3">
      <w:pPr>
        <w:pStyle w:val="Caption"/>
        <w:spacing w:before="1"/>
        <w:rPr>
          <w:rFonts w:eastAsia="Arial" w:cs="Arial"/>
          <w:szCs w:val="22"/>
        </w:rPr>
      </w:pPr>
      <w:r w:rsidRPr="009802D8">
        <w:rPr>
          <w:b w:val="0"/>
          <w:bCs/>
        </w:rPr>
        <w:instrText xml:space="preserve"> </w:instrText>
      </w:r>
      <w:r w:rsidRPr="009802D8">
        <w:rPr>
          <w:b w:val="0"/>
          <w:bCs/>
        </w:rPr>
        <w:fldChar w:fldCharType="end"/>
      </w:r>
      <w:r w:rsidRPr="009802D8">
        <w:rPr>
          <w:b w:val="0"/>
          <w:bCs/>
        </w:rPr>
        <w:t>The de novo sequence tag matches nearly the entire amino acid sequence of the database search identified peptide in Fig. 3A. The canonical glutamine and both glutamine residues from recoded stop codons, as well as flanking residues, have very high de novo local confidence scores.  MS/MS spectrum of a tryptic peptide covering a start codon of an alternatively coded protein (B).  The tryptic peptide contains the first thirteen amino acids of protein L3_063_250G2_scaffold_974_ curated_25.code15.  This demonstrates the methionine from the predicted ATG start codon of genetic code 15 is being translated.</w:t>
      </w:r>
      <w:r w:rsidR="00083128">
        <w:br w:type="page"/>
      </w:r>
    </w:p>
    <w:p w14:paraId="2F27994D" w14:textId="5491F376" w:rsidR="005040B1" w:rsidRPr="00476931" w:rsidRDefault="005040B1" w:rsidP="005040B1">
      <w:pPr>
        <w:ind w:left="168" w:firstLine="0"/>
        <w:rPr>
          <w:color w:val="000000" w:themeColor="text1"/>
          <w:lang w:val="en"/>
        </w:rPr>
      </w:pPr>
      <w:r w:rsidRPr="00476931">
        <w:rPr>
          <w:color w:val="000000" w:themeColor="text1"/>
          <w:lang w:val="en"/>
        </w:rPr>
        <w:t>several amino acids upstream of the predicted start codons yielded no peptide evidence that translation was occurring upstream of the predicted code 15 open reading frame.</w:t>
      </w:r>
    </w:p>
    <w:p w14:paraId="3D59475B" w14:textId="7402EC13" w:rsidR="004E6699" w:rsidRPr="00476931" w:rsidRDefault="00310878" w:rsidP="005040B1">
      <w:pPr>
        <w:ind w:left="168" w:firstLine="710"/>
        <w:rPr>
          <w:color w:val="000000" w:themeColor="text1"/>
        </w:rPr>
      </w:pPr>
      <w:r w:rsidRPr="00476931">
        <w:rPr>
          <w:color w:val="000000" w:themeColor="text1"/>
          <w:lang w:val="en"/>
        </w:rPr>
        <w:t xml:space="preserve">These examples provide experimental validation that standard genetic code 11 is not being utilized by the phage in the translation of this region of the genome, and instead genetic code 15 is being used.  </w:t>
      </w:r>
      <w:r w:rsidRPr="00476931">
        <w:rPr>
          <w:color w:val="000000" w:themeColor="text1"/>
        </w:rPr>
        <w:t>In total, there is copious expressional evidence of genetic code 15, including direct evidence of stop codon readthrough and peptides existing outside of genetic code 11 predicted open reading frames, in regions of the genome with increased coding density using genetic code 15 predictions compared to code 11 predictions.  There is no peptide evidence of TAG stop codon recoding in genome regions predicted to use standard genetic code 11 based on a similar coding density for each of the genetic codes.    This peptide evidence supports the assignments of genetic codes based on relative coding densities for these regions of the genome.</w:t>
      </w:r>
    </w:p>
    <w:p w14:paraId="3067B507" w14:textId="77777777" w:rsidR="00984E5D" w:rsidRPr="00476931" w:rsidRDefault="00984E5D" w:rsidP="0060435B">
      <w:pPr>
        <w:pStyle w:val="Heading2"/>
      </w:pPr>
    </w:p>
    <w:p w14:paraId="5605E4FB" w14:textId="5A14A63B" w:rsidR="00984E5D" w:rsidRDefault="00984E5D" w:rsidP="0060435B">
      <w:pPr>
        <w:pStyle w:val="Heading2"/>
      </w:pPr>
      <w:bookmarkStart w:id="420" w:name="_Toc110250313"/>
      <w:bookmarkStart w:id="421" w:name="_Toc110250570"/>
      <w:bookmarkStart w:id="422" w:name="_Toc110250701"/>
      <w:r w:rsidRPr="00476931">
        <w:t>7.3  Conclusions</w:t>
      </w:r>
      <w:r w:rsidR="0003562F">
        <w:t>.</w:t>
      </w:r>
      <w:bookmarkEnd w:id="420"/>
      <w:bookmarkEnd w:id="421"/>
      <w:bookmarkEnd w:id="422"/>
    </w:p>
    <w:p w14:paraId="7428A4FF" w14:textId="77777777" w:rsidR="009802D8" w:rsidRPr="009802D8" w:rsidRDefault="009802D8" w:rsidP="009802D8"/>
    <w:p w14:paraId="3B2E59A2" w14:textId="4C252576" w:rsidR="009802D8" w:rsidRDefault="00984E5D" w:rsidP="00984E5D">
      <w:pPr>
        <w:rPr>
          <w:color w:val="000000" w:themeColor="text1"/>
          <w:lang w:val="en"/>
        </w:rPr>
      </w:pPr>
      <w:r w:rsidRPr="00476931">
        <w:rPr>
          <w:color w:val="000000" w:themeColor="text1"/>
          <w:lang w:val="en"/>
        </w:rPr>
        <w:t>It has been suggested that alternatively coded structural proteins may be a strategy employed by phages to prevent premature expression of structural and lytic phage genes during the replication process</w:t>
      </w:r>
      <w:sdt>
        <w:sdtPr>
          <w:rPr>
            <w:color w:val="000000"/>
            <w:vertAlign w:val="superscript"/>
            <w:lang w:val="en"/>
          </w:rPr>
          <w:tag w:val="MENDELEY_CITATION_v3_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"/>
          <w:id w:val="-386106734"/>
          <w:placeholder>
            <w:docPart w:val="D966C44027659647940EED78C2CFAF78"/>
          </w:placeholder>
        </w:sdtPr>
        <w:sdtEndPr/>
        <w:sdtContent>
          <w:r w:rsidR="003204EA" w:rsidRPr="003204EA">
            <w:rPr>
              <w:rFonts w:eastAsia="Times New Roman"/>
              <w:color w:val="000000"/>
              <w:vertAlign w:val="superscript"/>
            </w:rPr>
            <w:t>260</w:t>
          </w:r>
        </w:sdtContent>
      </w:sdt>
      <w:r w:rsidRPr="00476931">
        <w:rPr>
          <w:color w:val="000000" w:themeColor="text1"/>
          <w:lang w:val="en"/>
        </w:rPr>
        <w:t xml:space="preserve">. In this study, the combination of metagenomics and metaproteomics confirmed that when it occurs within genes, the TAG stop codon is translated as glutamine. Direct metaproteomic confirmation of alternative codes has rarely been performed, but it is easy to imagine extending this approach to validate other types of alternative coding, such as the use of alternative start codons or incorporation of non-standard amino acids such as selenocysteine and </w:t>
      </w:r>
      <w:proofErr w:type="spellStart"/>
      <w:r w:rsidRPr="00476931">
        <w:rPr>
          <w:color w:val="000000" w:themeColor="text1"/>
          <w:lang w:val="en"/>
        </w:rPr>
        <w:t>pyrrolysine</w:t>
      </w:r>
      <w:proofErr w:type="spellEnd"/>
      <w:r w:rsidRPr="00476931">
        <w:rPr>
          <w:color w:val="000000" w:themeColor="text1"/>
          <w:lang w:val="en"/>
        </w:rPr>
        <w:t>.  A more complete understanding of how phages modulate the genetic code, likely to ensure appropriate translation of their proteins, may have applications in synthetic biology (e.g., where non-standard reading of codons can be used to create non-biological polymers</w:t>
      </w:r>
      <w:sdt>
        <w:sdtPr>
          <w:rPr>
            <w:color w:val="000000"/>
            <w:vertAlign w:val="superscript"/>
            <w:lang w:val="en"/>
          </w:rPr>
          <w:tag w:val="MENDELEY_CITATION_v3_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"/>
          <w:id w:val="82810770"/>
          <w:placeholder>
            <w:docPart w:val="A96F100732D94942BDA7882364201A33"/>
          </w:placeholder>
        </w:sdtPr>
        <w:sdtEndPr/>
        <w:sdtContent>
          <w:r w:rsidR="003204EA" w:rsidRPr="003204EA">
            <w:rPr>
              <w:rFonts w:eastAsia="Times New Roman"/>
              <w:color w:val="000000"/>
              <w:vertAlign w:val="superscript"/>
            </w:rPr>
            <w:t>277</w:t>
          </w:r>
        </w:sdtContent>
      </w:sdt>
      <w:r w:rsidRPr="00476931">
        <w:rPr>
          <w:color w:val="000000" w:themeColor="text1"/>
          <w:lang w:val="en"/>
        </w:rPr>
        <w:t xml:space="preserve"> and in phage engineering.</w:t>
      </w:r>
    </w:p>
    <w:p w14:paraId="066067EF" w14:textId="77777777" w:rsidR="009802D8" w:rsidRDefault="009802D8">
      <w:pPr>
        <w:spacing w:before="1"/>
        <w:rPr>
          <w:color w:val="000000" w:themeColor="text1"/>
          <w:lang w:val="en"/>
        </w:rPr>
      </w:pPr>
      <w:r>
        <w:rPr>
          <w:color w:val="000000" w:themeColor="text1"/>
          <w:lang w:val="en"/>
        </w:rPr>
        <w:br w:type="page"/>
      </w:r>
    </w:p>
    <w:p w14:paraId="11AD8B44" w14:textId="374EADDE" w:rsidR="00984E5D" w:rsidRPr="00476931" w:rsidRDefault="00984E5D" w:rsidP="009802D8">
      <w:pPr>
        <w:pStyle w:val="Heading2"/>
      </w:pPr>
      <w:bookmarkStart w:id="423" w:name="_Toc110250314"/>
      <w:bookmarkStart w:id="424" w:name="_Toc110250571"/>
      <w:bookmarkStart w:id="425" w:name="_Toc110250702"/>
      <w:r w:rsidRPr="00476931">
        <w:t>7.4  Methods</w:t>
      </w:r>
      <w:r w:rsidR="0003562F">
        <w:t>.</w:t>
      </w:r>
      <w:bookmarkEnd w:id="423"/>
      <w:bookmarkEnd w:id="424"/>
      <w:bookmarkEnd w:id="425"/>
    </w:p>
    <w:p w14:paraId="49C47A42" w14:textId="77777777" w:rsidR="00984E5D" w:rsidRPr="00476931" w:rsidRDefault="00984E5D" w:rsidP="00984E5D">
      <w:pPr>
        <w:rPr>
          <w:rFonts w:ascii="Times New Roman" w:hAnsi="Times New Roman" w:cs="Times New Roman"/>
          <w:b/>
          <w:color w:val="000000" w:themeColor="text1"/>
          <w:lang w:val="en"/>
        </w:rPr>
      </w:pPr>
    </w:p>
    <w:p w14:paraId="1193058E" w14:textId="30E01CC7" w:rsidR="00984E5D" w:rsidRPr="00476931" w:rsidRDefault="00984E5D" w:rsidP="00984E5D">
      <w:pPr>
        <w:pStyle w:val="Heading3"/>
        <w:rPr>
          <w:lang w:val="en"/>
        </w:rPr>
      </w:pPr>
      <w:bookmarkStart w:id="426" w:name="_Toc110250315"/>
      <w:bookmarkStart w:id="427" w:name="_Toc110250572"/>
      <w:bookmarkStart w:id="428" w:name="_Toc110250703"/>
      <w:r w:rsidRPr="00476931">
        <w:rPr>
          <w:lang w:val="en"/>
        </w:rPr>
        <w:t>7.4.1  Sample selection.</w:t>
      </w:r>
      <w:bookmarkEnd w:id="426"/>
      <w:bookmarkEnd w:id="427"/>
      <w:bookmarkEnd w:id="428"/>
      <w:r w:rsidRPr="00476931">
        <w:rPr>
          <w:lang w:val="en"/>
        </w:rPr>
        <w:t xml:space="preserve"> </w:t>
      </w:r>
    </w:p>
    <w:p w14:paraId="5048C851" w14:textId="77777777" w:rsidR="00984E5D" w:rsidRPr="00476931" w:rsidRDefault="00984E5D" w:rsidP="00984E5D">
      <w:pPr>
        <w:rPr>
          <w:rFonts w:ascii="Times New Roman" w:hAnsi="Times New Roman" w:cs="Times New Roman"/>
          <w:color w:val="000000" w:themeColor="text1"/>
          <w:lang w:val="en"/>
        </w:rPr>
      </w:pPr>
    </w:p>
    <w:p w14:paraId="4303FCC7" w14:textId="7D173185" w:rsidR="00984E5D" w:rsidRPr="00476931" w:rsidRDefault="00984E5D" w:rsidP="005040B1">
      <w:pPr>
        <w:rPr>
          <w:rFonts w:ascii="Times New Roman" w:hAnsi="Times New Roman" w:cs="Times New Roman"/>
          <w:b/>
          <w:color w:val="000000" w:themeColor="text1"/>
          <w:lang w:val="en"/>
        </w:rPr>
      </w:pPr>
      <w:r w:rsidRPr="00476931">
        <w:rPr>
          <w:rFonts w:ascii="Times New Roman" w:hAnsi="Times New Roman" w:cs="Times New Roman"/>
          <w:color w:val="000000" w:themeColor="text1"/>
          <w:lang w:val="en"/>
        </w:rPr>
        <w:t>In a previous study, human adult and infant stool samples were collected and sequenced with short-read shotgun sequencing</w:t>
      </w:r>
      <w:sdt>
        <w:sdtPr>
          <w:rPr>
            <w:rFonts w:ascii="Times New Roman" w:hAnsi="Times New Roman" w:cs="Times New Roman"/>
            <w:color w:val="000000"/>
            <w:vertAlign w:val="superscript"/>
            <w:lang w:val="en"/>
          </w:rPr>
          <w:tag w:val="MENDELEY_CITATION_v3_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"/>
          <w:id w:val="-227998783"/>
          <w:placeholder>
            <w:docPart w:val="0A2E8172916A1D46A0F3ACC8B3584E0E"/>
          </w:placeholder>
        </w:sdtPr>
        <w:sdtEndPr/>
        <w:sdtContent>
          <w:r w:rsidR="003204EA" w:rsidRPr="003204EA">
            <w:rPr>
              <w:rFonts w:eastAsia="Times New Roman"/>
              <w:color w:val="000000"/>
              <w:vertAlign w:val="superscript"/>
            </w:rPr>
            <w:t>270</w:t>
          </w:r>
        </w:sdtContent>
      </w:sdt>
      <w:r w:rsidRPr="00476931">
        <w:rPr>
          <w:rFonts w:ascii="Times New Roman" w:hAnsi="Times New Roman" w:cs="Times New Roman"/>
          <w:color w:val="000000" w:themeColor="text1"/>
          <w:lang w:val="en"/>
        </w:rPr>
        <w:t xml:space="preserve">. The adult and infant samples prioritized for proteomics here were chosen because they both had alternatively coded crAss-like phages present at high abundance. Phage L2_026_000M1_scaffold_35 is the most abundant genome in the adult sample at 659x sequencing coverage, and the next highest coverage genome is a </w:t>
      </w:r>
      <w:r w:rsidRPr="00476931">
        <w:rPr>
          <w:rFonts w:ascii="Times New Roman" w:hAnsi="Times New Roman" w:cs="Times New Roman"/>
          <w:i/>
          <w:iCs/>
          <w:color w:val="000000" w:themeColor="text1"/>
          <w:lang w:val="en"/>
        </w:rPr>
        <w:t xml:space="preserve">Bacteroides vulgatus </w:t>
      </w:r>
      <w:r w:rsidRPr="00476931">
        <w:rPr>
          <w:rFonts w:ascii="Times New Roman" w:hAnsi="Times New Roman" w:cs="Times New Roman"/>
          <w:color w:val="000000" w:themeColor="text1"/>
          <w:lang w:val="en"/>
        </w:rPr>
        <w:t xml:space="preserve">genome at 307x coverage. Phage L3_063_250G2_scaffold_974 is the most abundant genome in the infant sample at 4752x sequencing coverage, and the next highest coverage genome is a </w:t>
      </w:r>
      <w:r w:rsidRPr="00476931">
        <w:rPr>
          <w:rFonts w:ascii="Times New Roman" w:hAnsi="Times New Roman" w:cs="Times New Roman"/>
          <w:i/>
          <w:iCs/>
          <w:color w:val="000000" w:themeColor="text1"/>
          <w:lang w:val="en"/>
        </w:rPr>
        <w:t>Bacteroides vulgatus</w:t>
      </w:r>
      <w:r w:rsidRPr="00476931">
        <w:rPr>
          <w:rFonts w:ascii="Times New Roman" w:hAnsi="Times New Roman" w:cs="Times New Roman"/>
          <w:color w:val="000000" w:themeColor="text1"/>
          <w:lang w:val="en"/>
        </w:rPr>
        <w:t xml:space="preserve"> genome at 242x coverage.</w:t>
      </w:r>
    </w:p>
    <w:p w14:paraId="1947C079" w14:textId="77777777" w:rsidR="00142202" w:rsidRPr="00476931" w:rsidRDefault="00142202" w:rsidP="00343C78">
      <w:pPr>
        <w:rPr>
          <w:rFonts w:ascii="Times New Roman" w:hAnsi="Times New Roman" w:cs="Times New Roman"/>
          <w:b/>
          <w:color w:val="000000" w:themeColor="text1"/>
          <w:lang w:val="en"/>
        </w:rPr>
      </w:pPr>
    </w:p>
    <w:p w14:paraId="425C1801" w14:textId="3B96AEAF" w:rsidR="00142202" w:rsidRPr="00476931" w:rsidRDefault="00142202" w:rsidP="00142202">
      <w:pPr>
        <w:pStyle w:val="Heading3"/>
        <w:rPr>
          <w:rFonts w:ascii="Times New Roman" w:hAnsi="Times New Roman" w:cs="Times New Roman"/>
          <w:lang w:val="en"/>
        </w:rPr>
      </w:pPr>
      <w:bookmarkStart w:id="429" w:name="_Toc110250316"/>
      <w:bookmarkStart w:id="430" w:name="_Toc110250573"/>
      <w:bookmarkStart w:id="431" w:name="_Toc110250704"/>
      <w:r w:rsidRPr="00476931">
        <w:t xml:space="preserve">7.4.2  </w:t>
      </w:r>
      <w:r w:rsidR="00310878" w:rsidRPr="00476931">
        <w:t>Genome predictions and phage genome curation.</w:t>
      </w:r>
      <w:bookmarkEnd w:id="429"/>
      <w:bookmarkEnd w:id="430"/>
      <w:bookmarkEnd w:id="431"/>
    </w:p>
    <w:p w14:paraId="56E616DE" w14:textId="77777777" w:rsidR="00142202" w:rsidRPr="00476931" w:rsidRDefault="00142202" w:rsidP="00142202">
      <w:pPr>
        <w:rPr>
          <w:color w:val="000000" w:themeColor="text1"/>
          <w:lang w:val="en"/>
        </w:rPr>
      </w:pPr>
    </w:p>
    <w:p w14:paraId="4C6D4869" w14:textId="7939EF91" w:rsidR="00310878" w:rsidRPr="00476931" w:rsidRDefault="00310878" w:rsidP="00142202">
      <w:pPr>
        <w:rPr>
          <w:color w:val="000000" w:themeColor="text1"/>
          <w:lang w:val="en"/>
        </w:rPr>
      </w:pPr>
      <w:r w:rsidRPr="00476931">
        <w:rPr>
          <w:color w:val="000000" w:themeColor="text1"/>
          <w:lang w:val="en"/>
        </w:rPr>
        <w:t>Coding sequences were predicted by Prodigal</w:t>
      </w:r>
      <w:sdt>
        <w:sdtPr>
          <w:rPr>
            <w:color w:val="000000"/>
            <w:vertAlign w:val="superscript"/>
            <w:lang w:val="en"/>
          </w:rPr>
          <w:tag w:val="MENDELEY_CITATION_v3_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"/>
          <w:id w:val="91449704"/>
          <w:placeholder>
            <w:docPart w:val="FC43FA6C97EEB949B9754A9EF7500F96"/>
          </w:placeholder>
        </w:sdtPr>
        <w:sdtEndPr/>
        <w:sdtContent>
          <w:r w:rsidR="003204EA" w:rsidRPr="003204EA">
            <w:rPr>
              <w:rFonts w:eastAsia="Times New Roman"/>
              <w:color w:val="000000"/>
              <w:vertAlign w:val="superscript"/>
            </w:rPr>
            <w:t>278</w:t>
          </w:r>
        </w:sdtContent>
      </w:sdt>
      <w:r w:rsidRPr="00476931">
        <w:rPr>
          <w:color w:val="000000" w:themeColor="text1"/>
          <w:lang w:val="en"/>
        </w:rPr>
        <w:t xml:space="preserve"> using standard genetic code 11 and alternative genetic code 15. Code assignments were determined based on the relative coding density of contigs predicted using genetic code 11 or code 15.  Coding density was calculated by summing the length of all genes in each contig and dividing that length by the total contig length.  Contigs of total length 5-100 kb were assigned to use alternative genetic code 15 if there was an increase of greater than 10% coding density for genetic code 15 predictions relative to genetic code 11 predictions.  Contigs &gt;= 100 kb in length were required to have a coding density increase of greater than 5% with genetic code 15 predictions relative to genetic code 11 predictions to be assigned to be using genetic code 15. HMMER</w:t>
      </w:r>
      <w:sdt>
        <w:sdtPr>
          <w:rPr>
            <w:color w:val="000000"/>
            <w:vertAlign w:val="superscript"/>
            <w:lang w:val="en"/>
          </w:rPr>
          <w:tag w:val="MENDELEY_CITATION_v3_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"/>
          <w:id w:val="-1058019644"/>
          <w:placeholder>
            <w:docPart w:val="FC43FA6C97EEB949B9754A9EF7500F96"/>
          </w:placeholder>
        </w:sdtPr>
        <w:sdtEndPr/>
        <w:sdtContent>
          <w:r w:rsidR="003204EA" w:rsidRPr="003204EA">
            <w:rPr>
              <w:rFonts w:eastAsia="Times New Roman"/>
              <w:color w:val="000000"/>
              <w:vertAlign w:val="superscript"/>
            </w:rPr>
            <w:t>279</w:t>
          </w:r>
        </w:sdtContent>
      </w:sdt>
      <w:r w:rsidRPr="00476931">
        <w:rPr>
          <w:color w:val="000000" w:themeColor="text1"/>
          <w:lang w:val="en"/>
        </w:rPr>
        <w:t xml:space="preserve"> (</w:t>
      </w:r>
      <w:proofErr w:type="spellStart"/>
      <w:r w:rsidRPr="00476931">
        <w:rPr>
          <w:color w:val="000000" w:themeColor="text1"/>
          <w:lang w:val="en"/>
        </w:rPr>
        <w:t>hmmsearch</w:t>
      </w:r>
      <w:proofErr w:type="spellEnd"/>
      <w:r w:rsidRPr="00476931">
        <w:rPr>
          <w:color w:val="000000" w:themeColor="text1"/>
          <w:lang w:val="en"/>
        </w:rPr>
        <w:t xml:space="preserve">) was used to annotate protein sequences with the PFAM, </w:t>
      </w:r>
      <w:proofErr w:type="spellStart"/>
      <w:r w:rsidRPr="00476931">
        <w:rPr>
          <w:color w:val="000000" w:themeColor="text1"/>
          <w:lang w:val="en"/>
        </w:rPr>
        <w:t>pVOG</w:t>
      </w:r>
      <w:proofErr w:type="spellEnd"/>
      <w:r w:rsidRPr="00476931">
        <w:rPr>
          <w:color w:val="000000" w:themeColor="text1"/>
          <w:lang w:val="en"/>
        </w:rPr>
        <w:t xml:space="preserve">, VOG, and TIGRFAM HMM libraries. In some cases, BLAST searches against the NCBI database, and remote homology searches using the </w:t>
      </w:r>
      <w:proofErr w:type="spellStart"/>
      <w:r w:rsidRPr="00476931">
        <w:rPr>
          <w:color w:val="000000" w:themeColor="text1"/>
          <w:lang w:val="en"/>
        </w:rPr>
        <w:t>HHPred</w:t>
      </w:r>
      <w:proofErr w:type="spellEnd"/>
      <w:sdt>
        <w:sdtPr>
          <w:rPr>
            <w:color w:val="000000"/>
            <w:vertAlign w:val="superscript"/>
            <w:lang w:val="en"/>
          </w:rPr>
          <w:tag w:val="MENDELEY_CITATION_v3_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"/>
          <w:id w:val="-1273011987"/>
          <w:placeholder>
            <w:docPart w:val="FC43FA6C97EEB949B9754A9EF7500F96"/>
          </w:placeholder>
        </w:sdtPr>
        <w:sdtEndPr/>
        <w:sdtContent>
          <w:r w:rsidR="003204EA" w:rsidRPr="003204EA">
            <w:rPr>
              <w:rFonts w:eastAsia="Times New Roman"/>
              <w:color w:val="000000"/>
              <w:vertAlign w:val="superscript"/>
            </w:rPr>
            <w:t>280</w:t>
          </w:r>
        </w:sdtContent>
      </w:sdt>
      <w:r w:rsidRPr="00476931">
        <w:rPr>
          <w:color w:val="000000" w:themeColor="text1"/>
          <w:lang w:val="en"/>
        </w:rPr>
        <w:t xml:space="preserve"> and Phyre2</w:t>
      </w:r>
      <w:sdt>
        <w:sdtPr>
          <w:rPr>
            <w:color w:val="000000"/>
            <w:vertAlign w:val="superscript"/>
            <w:lang w:val="en"/>
          </w:rPr>
          <w:tag w:val="MENDELEY_CITATION_v3_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"/>
          <w:id w:val="15899815"/>
          <w:placeholder>
            <w:docPart w:val="FC43FA6C97EEB949B9754A9EF7500F96"/>
          </w:placeholder>
        </w:sdtPr>
        <w:sdtEndPr/>
        <w:sdtContent>
          <w:r w:rsidR="003204EA" w:rsidRPr="003204EA">
            <w:rPr>
              <w:rFonts w:eastAsia="Times New Roman"/>
              <w:color w:val="000000"/>
              <w:vertAlign w:val="superscript"/>
            </w:rPr>
            <w:t>281</w:t>
          </w:r>
        </w:sdtContent>
      </w:sdt>
      <w:r w:rsidRPr="00476931">
        <w:rPr>
          <w:color w:val="000000" w:themeColor="text1"/>
          <w:lang w:val="en"/>
        </w:rPr>
        <w:t xml:space="preserve"> web portals were used to augment initial annotations. tRNAs were predicted using </w:t>
      </w:r>
      <w:proofErr w:type="spellStart"/>
      <w:r w:rsidRPr="00476931">
        <w:rPr>
          <w:color w:val="000000" w:themeColor="text1"/>
          <w:lang w:val="en"/>
        </w:rPr>
        <w:t>tRNAscan-s.e</w:t>
      </w:r>
      <w:proofErr w:type="spellEnd"/>
      <w:r w:rsidRPr="00476931">
        <w:rPr>
          <w:color w:val="000000" w:themeColor="text1"/>
          <w:lang w:val="en"/>
        </w:rPr>
        <w:t>. V.2.0 in general mode</w:t>
      </w:r>
      <w:sdt>
        <w:sdtPr>
          <w:rPr>
            <w:color w:val="000000"/>
            <w:vertAlign w:val="superscript"/>
            <w:lang w:val="en"/>
          </w:rPr>
          <w:tag w:val="MENDELEY_CITATION_v3_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"/>
          <w:id w:val="-650906492"/>
          <w:placeholder>
            <w:docPart w:val="FC43FA6C97EEB949B9754A9EF7500F96"/>
          </w:placeholder>
        </w:sdtPr>
        <w:sdtEndPr/>
        <w:sdtContent>
          <w:r w:rsidR="003204EA" w:rsidRPr="003204EA">
            <w:rPr>
              <w:rFonts w:eastAsia="Times New Roman"/>
              <w:color w:val="000000"/>
              <w:vertAlign w:val="superscript"/>
            </w:rPr>
            <w:t>282</w:t>
          </w:r>
        </w:sdtContent>
      </w:sdt>
      <w:r w:rsidRPr="00476931">
        <w:rPr>
          <w:color w:val="000000" w:themeColor="text1"/>
          <w:lang w:val="en"/>
        </w:rPr>
        <w:t xml:space="preserve">. </w:t>
      </w:r>
      <w:proofErr w:type="spellStart"/>
      <w:r w:rsidRPr="00476931">
        <w:rPr>
          <w:color w:val="000000" w:themeColor="text1"/>
          <w:lang w:val="en"/>
        </w:rPr>
        <w:t>Replichores</w:t>
      </w:r>
      <w:proofErr w:type="spellEnd"/>
      <w:r w:rsidRPr="00476931">
        <w:rPr>
          <w:color w:val="000000" w:themeColor="text1"/>
          <w:lang w:val="en"/>
        </w:rPr>
        <w:t xml:space="preserve"> were identified by calculating GC skew (G-C/G+C) and cumulative GC skew using the </w:t>
      </w:r>
      <w:proofErr w:type="spellStart"/>
      <w:r w:rsidRPr="00476931">
        <w:rPr>
          <w:color w:val="000000" w:themeColor="text1"/>
          <w:lang w:val="en"/>
        </w:rPr>
        <w:t>iRep</w:t>
      </w:r>
      <w:proofErr w:type="spellEnd"/>
      <w:r w:rsidRPr="00476931">
        <w:rPr>
          <w:color w:val="000000" w:themeColor="text1"/>
          <w:lang w:val="en"/>
        </w:rPr>
        <w:t xml:space="preserve"> package (gc_skew.py)</w:t>
      </w:r>
      <w:sdt>
        <w:sdtPr>
          <w:rPr>
            <w:color w:val="000000"/>
            <w:vertAlign w:val="superscript"/>
            <w:lang w:val="en"/>
          </w:rPr>
          <w:tag w:val="MENDELEY_CITATION_v3_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"/>
          <w:id w:val="2023514364"/>
          <w:placeholder>
            <w:docPart w:val="FC43FA6C97EEB949B9754A9EF7500F96"/>
          </w:placeholder>
        </w:sdtPr>
        <w:sdtEndPr/>
        <w:sdtContent>
          <w:r w:rsidR="003204EA" w:rsidRPr="003204EA">
            <w:rPr>
              <w:rFonts w:eastAsia="Times New Roman"/>
              <w:color w:val="000000"/>
              <w:vertAlign w:val="superscript"/>
            </w:rPr>
            <w:t>283</w:t>
          </w:r>
        </w:sdtContent>
      </w:sdt>
      <w:r w:rsidRPr="00476931">
        <w:rPr>
          <w:color w:val="000000" w:themeColor="text1"/>
          <w:lang w:val="en"/>
        </w:rPr>
        <w:t>. Genome curation was performed using previously described methods</w:t>
      </w:r>
      <w:sdt>
        <w:sdtPr>
          <w:rPr>
            <w:color w:val="000000"/>
            <w:vertAlign w:val="superscript"/>
            <w:lang w:val="en"/>
          </w:rPr>
          <w:tag w:val="MENDELEY_CITATION_v3_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"/>
          <w:id w:val="-277407933"/>
          <w:placeholder>
            <w:docPart w:val="FC43FA6C97EEB949B9754A9EF7500F96"/>
          </w:placeholder>
        </w:sdtPr>
        <w:sdtEndPr/>
        <w:sdtContent>
          <w:r w:rsidR="003204EA" w:rsidRPr="003204EA">
            <w:rPr>
              <w:rFonts w:eastAsia="Times New Roman"/>
              <w:color w:val="000000"/>
              <w:vertAlign w:val="superscript"/>
            </w:rPr>
            <w:t>284</w:t>
          </w:r>
        </w:sdtContent>
      </w:sdt>
      <w:r w:rsidRPr="00476931">
        <w:rPr>
          <w:color w:val="000000" w:themeColor="text1"/>
          <w:lang w:val="en"/>
        </w:rPr>
        <w:t xml:space="preserve">. Curation and genome figure generation were completed using </w:t>
      </w:r>
      <w:proofErr w:type="spellStart"/>
      <w:r w:rsidRPr="00476931">
        <w:rPr>
          <w:color w:val="000000" w:themeColor="text1"/>
          <w:lang w:val="en"/>
        </w:rPr>
        <w:t>Geneious</w:t>
      </w:r>
      <w:proofErr w:type="spellEnd"/>
      <w:r w:rsidRPr="00476931">
        <w:rPr>
          <w:color w:val="000000" w:themeColor="text1"/>
          <w:lang w:val="en"/>
        </w:rPr>
        <w:t xml:space="preserve"> Prime® 2021.0.3 (</w:t>
      </w:r>
      <w:hyperlink r:id="rId103" w:history="1">
        <w:r w:rsidRPr="00476931">
          <w:rPr>
            <w:rStyle w:val="Hyperlink"/>
            <w:rFonts w:ascii="Times New Roman" w:hAnsi="Times New Roman" w:cs="Times New Roman"/>
            <w:bCs/>
            <w:color w:val="000000" w:themeColor="text1"/>
            <w:lang w:val="en"/>
          </w:rPr>
          <w:t>https://www.geneious.com/</w:t>
        </w:r>
      </w:hyperlink>
      <w:r w:rsidRPr="00476931">
        <w:rPr>
          <w:color w:val="000000" w:themeColor="text1"/>
          <w:lang w:val="en"/>
        </w:rPr>
        <w:t xml:space="preserve">). </w:t>
      </w:r>
      <w:r w:rsidRPr="00476931">
        <w:rPr>
          <w:b/>
          <w:color w:val="000000" w:themeColor="text1"/>
          <w:lang w:val="en"/>
        </w:rPr>
        <w:t xml:space="preserve"> </w:t>
      </w:r>
      <w:r w:rsidRPr="00476931">
        <w:rPr>
          <w:color w:val="000000" w:themeColor="text1"/>
          <w:lang w:val="en"/>
        </w:rPr>
        <w:t>Additional databases were generated to determine if the translation was occurring upstream of the predicted genetic code 15 start codons, with the inclusion of several codons upstream of the ATG start codon.  When possible, a maximum of thirty amino acids upstream of the predicted start codon were appended to the protein sequence.  In most cases, there were in-frame stop codons (TAA, or TGA) upstream of the start codon, so the translations included any amino acids between the upstream stop codons and the predicted start codon, which in many cases was less than 30 amino acids.</w:t>
      </w:r>
    </w:p>
    <w:p w14:paraId="5A500A02" w14:textId="77777777" w:rsidR="00142202" w:rsidRPr="00476931" w:rsidRDefault="00142202" w:rsidP="00343C78">
      <w:pPr>
        <w:rPr>
          <w:rFonts w:ascii="Times New Roman" w:hAnsi="Times New Roman" w:cs="Times New Roman"/>
          <w:b/>
          <w:color w:val="000000" w:themeColor="text1"/>
          <w:lang w:val="en"/>
        </w:rPr>
      </w:pPr>
    </w:p>
    <w:p w14:paraId="7C5FE15A" w14:textId="7DD5D41E" w:rsidR="00142202" w:rsidRPr="00476931" w:rsidRDefault="00142202" w:rsidP="00142202">
      <w:pPr>
        <w:pStyle w:val="Heading3"/>
      </w:pPr>
      <w:bookmarkStart w:id="432" w:name="_Toc110250317"/>
      <w:bookmarkStart w:id="433" w:name="_Toc110250574"/>
      <w:bookmarkStart w:id="434" w:name="_Toc110250705"/>
      <w:r w:rsidRPr="00476931">
        <w:t xml:space="preserve">7.4.3  </w:t>
      </w:r>
      <w:r w:rsidR="00310878" w:rsidRPr="00476931">
        <w:t>Sample preparation for LC-MS/MS.</w:t>
      </w:r>
      <w:bookmarkEnd w:id="432"/>
      <w:bookmarkEnd w:id="433"/>
      <w:bookmarkEnd w:id="434"/>
    </w:p>
    <w:p w14:paraId="2670832D" w14:textId="77777777" w:rsidR="00142202" w:rsidRPr="00476931" w:rsidRDefault="00142202" w:rsidP="00343C78">
      <w:pPr>
        <w:rPr>
          <w:rFonts w:ascii="Times New Roman" w:hAnsi="Times New Roman" w:cs="Times New Roman"/>
          <w:color w:val="000000" w:themeColor="text1"/>
          <w:lang w:val="en"/>
        </w:rPr>
      </w:pPr>
    </w:p>
    <w:p w14:paraId="177FD36A" w14:textId="6229D32C" w:rsidR="00310878" w:rsidRPr="00476931" w:rsidRDefault="00310878" w:rsidP="00142202">
      <w:pPr>
        <w:rPr>
          <w:color w:val="000000" w:themeColor="text1"/>
          <w:lang w:val="en"/>
        </w:rPr>
      </w:pPr>
      <w:r w:rsidRPr="00476931">
        <w:rPr>
          <w:color w:val="000000" w:themeColor="text1"/>
          <w:lang w:val="en"/>
        </w:rPr>
        <w:t>100 mg stool sample was resuspended in 1200uL 100mM Tris-HCl, pH 8.0 and homogenized with 0.9-2.0mm stainless steel beads (</w:t>
      </w:r>
      <w:proofErr w:type="spellStart"/>
      <w:r w:rsidRPr="00476931">
        <w:rPr>
          <w:color w:val="000000" w:themeColor="text1"/>
          <w:lang w:val="en"/>
        </w:rPr>
        <w:t>NextAdvance</w:t>
      </w:r>
      <w:proofErr w:type="spellEnd"/>
      <w:r w:rsidRPr="00476931">
        <w:rPr>
          <w:color w:val="000000" w:themeColor="text1"/>
          <w:lang w:val="en"/>
        </w:rPr>
        <w:t>, part #SSB14B). Homogenized samples were incubated for 60 minutes before centrifugation at 3,000xg for 30 minutes. After centrifugation, the pre-cleared supernatant was filtered on a 300kDa MWCO PES filter (Pall, Omega Membrane 300K, part # OD300C34). The filtered eluate and the residual proteinaceous biomass remaining on top of the filter (resuspended in 100mM Tris-HCl, pH 8.0) were collected for downstream processing. Samples were adjusted to 4% (</w:t>
      </w:r>
      <w:proofErr w:type="spellStart"/>
      <w:r w:rsidRPr="00476931">
        <w:rPr>
          <w:color w:val="000000" w:themeColor="text1"/>
          <w:lang w:val="en"/>
        </w:rPr>
        <w:t>wt:wt</w:t>
      </w:r>
      <w:proofErr w:type="spellEnd"/>
      <w:r w:rsidRPr="00476931">
        <w:rPr>
          <w:color w:val="000000" w:themeColor="text1"/>
          <w:lang w:val="en"/>
        </w:rPr>
        <w:t>) sodium dodecyl sulfate (SDS)/5mM dithiothreitol and incubated at 95°C for 10 min. Samples were alkylated with 15mM iodoacetamide (IAA) for twenty minutes at room temperature in the dark. The crude protein sample volume was processed by the protein aggregation capture (PAC) method</w:t>
      </w:r>
      <w:sdt>
        <w:sdtPr>
          <w:rPr>
            <w:color w:val="000000"/>
            <w:vertAlign w:val="superscript"/>
            <w:lang w:val="en"/>
          </w:rPr>
          <w:tag w:val="MENDELEY_CITATION_v3_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"/>
          <w:id w:val="-767535582"/>
          <w:placeholder>
            <w:docPart w:val="025149ADDB4E014FB536F6E7DD1FCFAD"/>
          </w:placeholder>
        </w:sdtPr>
        <w:sdtEndPr/>
        <w:sdtContent>
          <w:r w:rsidR="003204EA" w:rsidRPr="003204EA">
            <w:rPr>
              <w:rFonts w:eastAsia="Times New Roman"/>
              <w:color w:val="000000"/>
              <w:vertAlign w:val="superscript"/>
            </w:rPr>
            <w:t>59</w:t>
          </w:r>
        </w:sdtContent>
      </w:sdt>
      <w:r w:rsidRPr="00476931">
        <w:rPr>
          <w:color w:val="000000" w:themeColor="text1"/>
          <w:lang w:val="en"/>
        </w:rPr>
        <w:t xml:space="preserve">. Briefly, 300ug of magnetic beads (1 micron, </w:t>
      </w:r>
      <w:proofErr w:type="spellStart"/>
      <w:r w:rsidRPr="00476931">
        <w:rPr>
          <w:color w:val="000000" w:themeColor="text1"/>
          <w:lang w:val="en"/>
        </w:rPr>
        <w:t>SpeedBead</w:t>
      </w:r>
      <w:proofErr w:type="spellEnd"/>
      <w:r w:rsidRPr="00476931">
        <w:rPr>
          <w:color w:val="000000" w:themeColor="text1"/>
          <w:lang w:val="en"/>
        </w:rPr>
        <w:t xml:space="preserve"> Magnetic Carboxylate; GE Healthcare UK) was added to each sample. Samples were then adjusted to 70% acetonitrile to induce protein aggregation. Aggregated proteins were washed on a magnetic rack with 1mL of 100% acetonitrile, followed by 1mL of 70% ethanol. The washed proteins were then resuspended in 4% SDS/ 100mM Tris-HCl, pH 8.0, and boiled off the magnetic beads at 95°C for 10 minutes. Protein amounts were quantified by corrected absorbance (Scopes) at 205 nm (NanoDrop </w:t>
      </w:r>
      <w:proofErr w:type="spellStart"/>
      <w:r w:rsidRPr="00476931">
        <w:rPr>
          <w:color w:val="000000" w:themeColor="text1"/>
          <w:lang w:val="en"/>
        </w:rPr>
        <w:t>OneC</w:t>
      </w:r>
      <w:proofErr w:type="spellEnd"/>
      <w:r w:rsidRPr="00476931">
        <w:rPr>
          <w:color w:val="000000" w:themeColor="text1"/>
          <w:lang w:val="en"/>
        </w:rPr>
        <w:t xml:space="preserve">; </w:t>
      </w:r>
      <w:proofErr w:type="spellStart"/>
      <w:r w:rsidRPr="00476931">
        <w:rPr>
          <w:color w:val="000000" w:themeColor="text1"/>
          <w:lang w:val="en"/>
        </w:rPr>
        <w:t>Thermo</w:t>
      </w:r>
      <w:proofErr w:type="spellEnd"/>
      <w:r w:rsidRPr="00476931">
        <w:rPr>
          <w:color w:val="000000" w:themeColor="text1"/>
          <w:lang w:val="en"/>
        </w:rPr>
        <w:t xml:space="preserve"> Fisher). The cleaned proteins were re-aggregated back on the magnetic beads and washed with 1mL of 100% acetonitrile and 1mL of 70% ethanol to remove detergent from samples. The aggregated protein pellet was resuspended in 100mM Tris-HCl, pH 8.0, and digested with 1:75 (</w:t>
      </w:r>
      <w:proofErr w:type="spellStart"/>
      <w:r w:rsidRPr="00476931">
        <w:rPr>
          <w:color w:val="000000" w:themeColor="text1"/>
          <w:lang w:val="en"/>
        </w:rPr>
        <w:t>wt:wt</w:t>
      </w:r>
      <w:proofErr w:type="spellEnd"/>
      <w:r w:rsidRPr="00476931">
        <w:rPr>
          <w:color w:val="000000" w:themeColor="text1"/>
          <w:lang w:val="en"/>
        </w:rPr>
        <w:t>) proteomics-grade trypsin (Pierce) overnight at 37°C and again for four hours the following day. Tryptic peptides were filtered on a 10kDa MWCO filter plate (</w:t>
      </w:r>
      <w:proofErr w:type="spellStart"/>
      <w:r w:rsidRPr="00476931">
        <w:rPr>
          <w:color w:val="000000" w:themeColor="text1"/>
          <w:lang w:val="en"/>
        </w:rPr>
        <w:t>AcroPrep</w:t>
      </w:r>
      <w:proofErr w:type="spellEnd"/>
      <w:r w:rsidRPr="00476931">
        <w:rPr>
          <w:color w:val="000000" w:themeColor="text1"/>
          <w:lang w:val="en"/>
        </w:rPr>
        <w:t xml:space="preserve"> Advance, Omega 10K MWCO) at 12,000xg and adjusted to 0.5% formic acid before quantification by NanoDrop </w:t>
      </w:r>
      <w:proofErr w:type="spellStart"/>
      <w:r w:rsidRPr="00476931">
        <w:rPr>
          <w:color w:val="000000" w:themeColor="text1"/>
          <w:lang w:val="en"/>
        </w:rPr>
        <w:t>OneC</w:t>
      </w:r>
      <w:proofErr w:type="spellEnd"/>
      <w:r w:rsidRPr="00476931">
        <w:rPr>
          <w:color w:val="000000" w:themeColor="text1"/>
          <w:lang w:val="en"/>
        </w:rPr>
        <w:t>.</w:t>
      </w:r>
    </w:p>
    <w:p w14:paraId="1917982A" w14:textId="77777777" w:rsidR="00142202" w:rsidRPr="00476931" w:rsidRDefault="00142202" w:rsidP="00142202">
      <w:pPr>
        <w:rPr>
          <w:color w:val="000000" w:themeColor="text1"/>
          <w:lang w:val="en"/>
        </w:rPr>
      </w:pPr>
    </w:p>
    <w:p w14:paraId="7514D4D2" w14:textId="6AB42E65" w:rsidR="00142202" w:rsidRPr="00476931" w:rsidRDefault="00142202" w:rsidP="00142202">
      <w:pPr>
        <w:pStyle w:val="Heading3"/>
        <w:rPr>
          <w:lang w:val="en"/>
        </w:rPr>
      </w:pPr>
      <w:bookmarkStart w:id="435" w:name="_Toc110250318"/>
      <w:bookmarkStart w:id="436" w:name="_Toc110250575"/>
      <w:bookmarkStart w:id="437" w:name="_Toc110250706"/>
      <w:r w:rsidRPr="00476931">
        <w:rPr>
          <w:lang w:val="en"/>
        </w:rPr>
        <w:t xml:space="preserve">7.4.4  </w:t>
      </w:r>
      <w:r w:rsidR="00310878" w:rsidRPr="00476931">
        <w:rPr>
          <w:lang w:val="en"/>
        </w:rPr>
        <w:t>LC-MS-MS.</w:t>
      </w:r>
      <w:bookmarkEnd w:id="435"/>
      <w:bookmarkEnd w:id="436"/>
      <w:bookmarkEnd w:id="437"/>
    </w:p>
    <w:p w14:paraId="3C15440A" w14:textId="77777777" w:rsidR="00142202" w:rsidRPr="00476931" w:rsidRDefault="00142202" w:rsidP="00142202">
      <w:pPr>
        <w:rPr>
          <w:color w:val="000000" w:themeColor="text1"/>
          <w:lang w:val="en"/>
        </w:rPr>
      </w:pPr>
    </w:p>
    <w:p w14:paraId="0CE75E54" w14:textId="77777777" w:rsidR="00C13D34" w:rsidRDefault="00310878" w:rsidP="00C13D34">
      <w:pPr>
        <w:rPr>
          <w:color w:val="000000" w:themeColor="text1"/>
          <w:lang w:val="en"/>
        </w:rPr>
      </w:pPr>
      <w:r w:rsidRPr="00476931">
        <w:rPr>
          <w:color w:val="000000" w:themeColor="text1"/>
          <w:lang w:val="en"/>
        </w:rPr>
        <w:t>Digested peptides were analyzed by automated 1D LC-MS/MS analysis using a Vanquish ultra-HPLC (UHPLC) system plumbed directly in line with a Q Exactive Plus mass spectrometer (</w:t>
      </w:r>
      <w:proofErr w:type="spellStart"/>
      <w:r w:rsidRPr="00476931">
        <w:rPr>
          <w:color w:val="000000" w:themeColor="text1"/>
          <w:lang w:val="en"/>
        </w:rPr>
        <w:t>Thermo</w:t>
      </w:r>
      <w:proofErr w:type="spellEnd"/>
      <w:r w:rsidRPr="00476931">
        <w:rPr>
          <w:color w:val="000000" w:themeColor="text1"/>
          <w:lang w:val="en"/>
        </w:rPr>
        <w:t xml:space="preserve"> Scientific). A trapping column (100 µm inner diameter; packed with 5 µm Kinetex C18 reverse-phase resin (Phenomenex) packed to 10 cm) was coupled to an in-house-pulled nanospray emitter (75 µm inner diameter; 1.7 µm Kinetex C18 reverse-phase resin (Phenomenex) packed to 15 cm). For each sample, 10uL of peptides were loaded, desalted, and separated by </w:t>
      </w:r>
      <w:proofErr w:type="spellStart"/>
      <w:r w:rsidRPr="00476931">
        <w:rPr>
          <w:color w:val="000000" w:themeColor="text1"/>
          <w:lang w:val="en"/>
        </w:rPr>
        <w:t>uHPLC</w:t>
      </w:r>
      <w:proofErr w:type="spellEnd"/>
      <w:r w:rsidRPr="00476931">
        <w:rPr>
          <w:color w:val="000000" w:themeColor="text1"/>
          <w:lang w:val="en"/>
        </w:rPr>
        <w:t xml:space="preserve"> under the following conditions: sample injection followed by 100% solvent A (95% H2O, 5% acetonitrile, 0.1% formic acid) from 0-30 minutes to load and desalt, a linear gradient from 0% to 30% solvent B (70% acetonitrile, 30% water, 0.1% formic acid) from 30-220 minutes for separation, and 100% solvent A from 220-240 minutes for column re-equilibration. Eluting peptides were measured and sequenced with a Q Exactive Plus MS under the following settings: data-dependent acquisition; mass range 300 to 1,500 m/z; MS and MS/MS resolution 70K and 15K, respectively; MS/MS loop count 20; isolation window 1.8 m/z; charge exclusion unassigned, 1, 6 to 8.</w:t>
      </w:r>
    </w:p>
    <w:p w14:paraId="4B15D49D" w14:textId="77777777" w:rsidR="00C13D34" w:rsidRDefault="00C13D34">
      <w:pPr>
        <w:spacing w:before="1"/>
        <w:rPr>
          <w:color w:val="000000" w:themeColor="text1"/>
          <w:lang w:val="en"/>
        </w:rPr>
      </w:pPr>
      <w:r>
        <w:rPr>
          <w:color w:val="000000" w:themeColor="text1"/>
          <w:lang w:val="en"/>
        </w:rPr>
        <w:br w:type="page"/>
      </w:r>
    </w:p>
    <w:p w14:paraId="6A38D9CA" w14:textId="5816061E" w:rsidR="00142202" w:rsidRPr="00476931" w:rsidRDefault="00142202" w:rsidP="00C13D34">
      <w:pPr>
        <w:pStyle w:val="Heading3"/>
        <w:rPr>
          <w:lang w:val="en"/>
        </w:rPr>
      </w:pPr>
      <w:bookmarkStart w:id="438" w:name="_Toc110250319"/>
      <w:bookmarkStart w:id="439" w:name="_Toc110250576"/>
      <w:bookmarkStart w:id="440" w:name="_Toc110250707"/>
      <w:r w:rsidRPr="00476931">
        <w:rPr>
          <w:lang w:val="en"/>
        </w:rPr>
        <w:t xml:space="preserve">7.4.5  </w:t>
      </w:r>
      <w:r w:rsidR="00310878" w:rsidRPr="00476931">
        <w:rPr>
          <w:lang w:val="en"/>
        </w:rPr>
        <w:t>Proteomics data analysis.</w:t>
      </w:r>
      <w:bookmarkEnd w:id="438"/>
      <w:bookmarkEnd w:id="439"/>
      <w:bookmarkEnd w:id="440"/>
    </w:p>
    <w:p w14:paraId="731F67D4" w14:textId="77777777" w:rsidR="00142202" w:rsidRPr="00476931" w:rsidRDefault="00142202" w:rsidP="00142202">
      <w:pPr>
        <w:rPr>
          <w:color w:val="000000" w:themeColor="text1"/>
          <w:lang w:val="en"/>
        </w:rPr>
      </w:pPr>
    </w:p>
    <w:p w14:paraId="76121076" w14:textId="55F0A199" w:rsidR="00310878" w:rsidRPr="00476931" w:rsidRDefault="00310878" w:rsidP="00343C78">
      <w:pPr>
        <w:rPr>
          <w:rFonts w:ascii="Times New Roman" w:hAnsi="Times New Roman" w:cs="Times New Roman"/>
          <w:color w:val="000000" w:themeColor="text1"/>
          <w:lang w:val="en"/>
        </w:rPr>
      </w:pPr>
      <w:r w:rsidRPr="00476931">
        <w:rPr>
          <w:rFonts w:ascii="Times New Roman" w:hAnsi="Times New Roman" w:cs="Times New Roman"/>
          <w:color w:val="000000" w:themeColor="text1"/>
          <w:lang w:val="en"/>
        </w:rPr>
        <w:t xml:space="preserve">MS/MS spectra were interrogated by </w:t>
      </w:r>
      <w:r w:rsidRPr="00476931">
        <w:rPr>
          <w:rFonts w:ascii="Times New Roman" w:hAnsi="Times New Roman" w:cs="Times New Roman"/>
          <w:i/>
          <w:iCs/>
          <w:color w:val="000000" w:themeColor="text1"/>
          <w:lang w:val="en"/>
        </w:rPr>
        <w:t>de novo</w:t>
      </w:r>
      <w:r w:rsidRPr="00476931">
        <w:rPr>
          <w:rFonts w:ascii="Times New Roman" w:hAnsi="Times New Roman" w:cs="Times New Roman"/>
          <w:color w:val="000000" w:themeColor="text1"/>
          <w:lang w:val="en"/>
        </w:rPr>
        <w:t>–assisted database searching</w:t>
      </w:r>
      <w:sdt>
        <w:sdtPr>
          <w:rPr>
            <w:rFonts w:ascii="Times New Roman" w:hAnsi="Times New Roman" w:cs="Times New Roman"/>
            <w:color w:val="000000"/>
            <w:vertAlign w:val="superscript"/>
            <w:lang w:val="en"/>
          </w:rPr>
          <w:tag w:val="MENDELEY_CITATION_v3_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"/>
          <w:id w:val="115033077"/>
          <w:placeholder>
            <w:docPart w:val="025149ADDB4E014FB536F6E7DD1FCFAD"/>
          </w:placeholder>
        </w:sdtPr>
        <w:sdtEndPr/>
        <w:sdtContent>
          <w:r w:rsidR="003204EA" w:rsidRPr="003204EA">
            <w:rPr>
              <w:rFonts w:eastAsia="Times New Roman"/>
              <w:color w:val="000000"/>
              <w:vertAlign w:val="superscript"/>
            </w:rPr>
            <w:t>99</w:t>
          </w:r>
        </w:sdtContent>
      </w:sdt>
      <w:r w:rsidRPr="00476931">
        <w:rPr>
          <w:rFonts w:ascii="Times New Roman" w:hAnsi="Times New Roman" w:cs="Times New Roman"/>
          <w:color w:val="000000" w:themeColor="text1"/>
          <w:lang w:val="en"/>
        </w:rPr>
        <w:t xml:space="preserve"> in PEAKS Studio 10.6 (Bioinformatics Solutions) against a custom-built proteome database derived from the combination of the sequenced metagenome-derived predicted proteomes for all contig except the target phage contig, the phage proteome predicted in standard code (code 11), and the phage proteome predicted in the alternative code (code 15), the human reference proteome from UniProt (UP000005640), common LC-MS/MS protein contaminants, and reversed-decoy sequences of all proteins in the database. Secondary databases were searched against that included several amino acids upstream of the genetic code 15 start codon to confirm if translation was occurring upstream of the predicted start.  In all database searches, he parent and fragment ion mass error tolerances were set to ± 10 ppm and ±0.02 Da, respectively. Peptide spectrum matches (PSMs) were required to be tryptic with semi-specific digestion needed and a maximum of three missed cleavages. Accepted modifications included a fixed modification of carbamidomethylation (+57.02) of cysteine residues and a variable modification of methionine oxidation (+15.99), with a maximum of three variable modifications. A false discovery rate of 1% was applied to accept the peptide and protein sequences, and a minimum of one unique peptide was required to identify a protein. </w:t>
      </w:r>
      <w:r w:rsidRPr="00476931">
        <w:rPr>
          <w:rFonts w:ascii="Times New Roman" w:hAnsi="Times New Roman" w:cs="Times New Roman"/>
          <w:i/>
          <w:color w:val="000000" w:themeColor="text1"/>
          <w:lang w:val="en"/>
        </w:rPr>
        <w:t>De novo</w:t>
      </w:r>
      <w:r w:rsidRPr="00476931">
        <w:rPr>
          <w:rFonts w:ascii="Times New Roman" w:hAnsi="Times New Roman" w:cs="Times New Roman"/>
          <w:color w:val="000000" w:themeColor="text1"/>
          <w:lang w:val="en"/>
        </w:rPr>
        <w:t xml:space="preserve"> only parameters were left at default settings with average local confidence (ALC) scores of &gt;50% and </w:t>
      </w:r>
      <w:r w:rsidRPr="00476931">
        <w:rPr>
          <w:rFonts w:ascii="Times New Roman" w:hAnsi="Times New Roman" w:cs="Times New Roman"/>
          <w:i/>
          <w:color w:val="000000" w:themeColor="text1"/>
          <w:lang w:val="en"/>
        </w:rPr>
        <w:t>de novo</w:t>
      </w:r>
      <w:r w:rsidRPr="00476931">
        <w:rPr>
          <w:rFonts w:ascii="Times New Roman" w:hAnsi="Times New Roman" w:cs="Times New Roman"/>
          <w:color w:val="000000" w:themeColor="text1"/>
          <w:lang w:val="en"/>
        </w:rPr>
        <w:t xml:space="preserve"> sequence tags displayed if at least six amino acids were shared with the database sequence. The resulting database-identified peptides and corresponding </w:t>
      </w:r>
      <w:r w:rsidRPr="00476931">
        <w:rPr>
          <w:rFonts w:ascii="Times New Roman" w:hAnsi="Times New Roman" w:cs="Times New Roman"/>
          <w:i/>
          <w:color w:val="000000" w:themeColor="text1"/>
          <w:lang w:val="en"/>
        </w:rPr>
        <w:t>de novo</w:t>
      </w:r>
      <w:r w:rsidRPr="00476931">
        <w:rPr>
          <w:rFonts w:ascii="Times New Roman" w:hAnsi="Times New Roman" w:cs="Times New Roman"/>
          <w:color w:val="000000" w:themeColor="text1"/>
          <w:lang w:val="en"/>
        </w:rPr>
        <w:t xml:space="preserve"> sequence tags were manually validated to generate the final list of phage peptide sequences present in the sample. A database hit passing the 1% FDR threshold was required for a peptide sequence to be considered as detected.  </w:t>
      </w:r>
      <w:r w:rsidRPr="00476931">
        <w:rPr>
          <w:rFonts w:ascii="Times New Roman" w:hAnsi="Times New Roman" w:cs="Times New Roman"/>
          <w:i/>
          <w:color w:val="000000" w:themeColor="text1"/>
          <w:lang w:val="en"/>
        </w:rPr>
        <w:t xml:space="preserve">De novo </w:t>
      </w:r>
      <w:r w:rsidRPr="00476931">
        <w:rPr>
          <w:rFonts w:ascii="Times New Roman" w:hAnsi="Times New Roman" w:cs="Times New Roman"/>
          <w:color w:val="000000" w:themeColor="text1"/>
          <w:lang w:val="en"/>
        </w:rPr>
        <w:t>sequence tags were regarded as complementary evidence for the code 15 database-identified peptides to confirm the expression of this code only if the residue local confidence scores of the amino acids in the</w:t>
      </w:r>
      <w:r w:rsidRPr="00476931">
        <w:rPr>
          <w:rFonts w:ascii="Times New Roman" w:hAnsi="Times New Roman" w:cs="Times New Roman"/>
          <w:i/>
          <w:color w:val="000000" w:themeColor="text1"/>
          <w:lang w:val="en"/>
        </w:rPr>
        <w:t xml:space="preserve"> de novo </w:t>
      </w:r>
      <w:r w:rsidRPr="00476931">
        <w:rPr>
          <w:rFonts w:ascii="Times New Roman" w:hAnsi="Times New Roman" w:cs="Times New Roman"/>
          <w:color w:val="000000" w:themeColor="text1"/>
          <w:lang w:val="en"/>
        </w:rPr>
        <w:t xml:space="preserve">sequence tag matching the database sequence were greater than 90% confidence for each residue.  In the cases where a TAG stop codon was reassigned to glutamine, the </w:t>
      </w:r>
      <w:proofErr w:type="gramStart"/>
      <w:r w:rsidRPr="00476931">
        <w:rPr>
          <w:rFonts w:ascii="Times New Roman" w:hAnsi="Times New Roman" w:cs="Times New Roman"/>
          <w:color w:val="000000" w:themeColor="text1"/>
          <w:lang w:val="en"/>
        </w:rPr>
        <w:t>glutamine</w:t>
      </w:r>
      <w:proofErr w:type="gramEnd"/>
      <w:r w:rsidRPr="00476931">
        <w:rPr>
          <w:rFonts w:ascii="Times New Roman" w:hAnsi="Times New Roman" w:cs="Times New Roman"/>
          <w:color w:val="000000" w:themeColor="text1"/>
          <w:lang w:val="en"/>
        </w:rPr>
        <w:t xml:space="preserve"> and several flanking amino acids in the </w:t>
      </w:r>
      <w:r w:rsidRPr="00476931">
        <w:rPr>
          <w:rFonts w:ascii="Times New Roman" w:hAnsi="Times New Roman" w:cs="Times New Roman"/>
          <w:i/>
          <w:color w:val="000000" w:themeColor="text1"/>
          <w:lang w:val="en"/>
        </w:rPr>
        <w:t>de novo</w:t>
      </w:r>
      <w:r w:rsidRPr="00476931">
        <w:rPr>
          <w:rFonts w:ascii="Times New Roman" w:hAnsi="Times New Roman" w:cs="Times New Roman"/>
          <w:color w:val="000000" w:themeColor="text1"/>
          <w:lang w:val="en"/>
        </w:rPr>
        <w:t xml:space="preserve"> sequence tag had to pass the &gt;90% residue local confidence score threshold.</w:t>
      </w:r>
    </w:p>
    <w:p w14:paraId="2E0E6B84" w14:textId="77777777" w:rsidR="00310878" w:rsidRPr="00476931" w:rsidRDefault="00310878" w:rsidP="00343C78">
      <w:pPr>
        <w:pStyle w:val="ListParagraph"/>
        <w:spacing w:line="360" w:lineRule="auto"/>
        <w:ind w:left="158"/>
        <w:jc w:val="both"/>
        <w:rPr>
          <w:rFonts w:ascii="Times New Roman" w:hAnsi="Times New Roman" w:cs="Times New Roman"/>
          <w:color w:val="000000" w:themeColor="text1"/>
          <w:sz w:val="24"/>
          <w:szCs w:val="24"/>
        </w:rPr>
      </w:pPr>
    </w:p>
    <w:p w14:paraId="3388CE35" w14:textId="425F36D7" w:rsidR="00142202" w:rsidRPr="00476931" w:rsidRDefault="00142202" w:rsidP="00142202">
      <w:pPr>
        <w:spacing w:before="1"/>
        <w:rPr>
          <w:rFonts w:ascii="Times New Roman" w:hAnsi="Times New Roman" w:cs="Times New Roman"/>
          <w:color w:val="000000" w:themeColor="text1"/>
        </w:rPr>
      </w:pPr>
      <w:r w:rsidRPr="00476931">
        <w:rPr>
          <w:rFonts w:ascii="Times New Roman" w:hAnsi="Times New Roman" w:cs="Times New Roman"/>
          <w:color w:val="000000" w:themeColor="text1"/>
        </w:rPr>
        <w:br w:type="page"/>
      </w:r>
    </w:p>
    <w:p w14:paraId="24E7E7E3" w14:textId="715A9DBD" w:rsidR="00C13D34" w:rsidRDefault="00142202" w:rsidP="00AE32D6">
      <w:pPr>
        <w:pStyle w:val="Heading1"/>
      </w:pPr>
      <w:bookmarkStart w:id="441" w:name="_Toc110250320"/>
      <w:bookmarkStart w:id="442" w:name="_Toc110250577"/>
      <w:bookmarkStart w:id="443" w:name="_Toc110250708"/>
      <w:r w:rsidRPr="00476931">
        <w:t xml:space="preserve">- </w:t>
      </w:r>
      <w:r w:rsidR="00310878" w:rsidRPr="00476931">
        <w:t>Overview and perspectives on MS-based metaproteomics</w:t>
      </w:r>
      <w:r w:rsidR="0003562F">
        <w:t>.</w:t>
      </w:r>
      <w:bookmarkEnd w:id="441"/>
      <w:bookmarkEnd w:id="442"/>
      <w:bookmarkEnd w:id="443"/>
    </w:p>
    <w:p w14:paraId="5E51B318" w14:textId="77777777" w:rsidR="00C13D34" w:rsidRPr="00C13D34" w:rsidRDefault="00C13D34" w:rsidP="00C13D34">
      <w:pPr>
        <w:pStyle w:val="paragraph"/>
        <w:rPr>
          <w:sz w:val="40"/>
          <w:szCs w:val="40"/>
          <w:lang w:val="en-GB" w:eastAsia="en-GB"/>
        </w:rPr>
      </w:pPr>
    </w:p>
    <w:p w14:paraId="07EA0CFE" w14:textId="17BDAE64" w:rsidR="00102B56" w:rsidRPr="00102B56" w:rsidRDefault="00102B56" w:rsidP="00102B56">
      <w:pPr>
        <w:pStyle w:val="Heading2"/>
      </w:pPr>
      <w:bookmarkStart w:id="444" w:name="_Toc108104221"/>
      <w:bookmarkStart w:id="445" w:name="_Toc110250321"/>
      <w:bookmarkStart w:id="446" w:name="_Toc110250578"/>
      <w:bookmarkStart w:id="447" w:name="_Toc110250709"/>
      <w:r w:rsidRPr="00102B56">
        <w:t>8.1  Conclusions</w:t>
      </w:r>
      <w:bookmarkEnd w:id="444"/>
      <w:r>
        <w:t>.</w:t>
      </w:r>
      <w:bookmarkEnd w:id="445"/>
      <w:bookmarkEnd w:id="446"/>
      <w:bookmarkEnd w:id="447"/>
    </w:p>
    <w:p w14:paraId="390127D8" w14:textId="77777777" w:rsidR="00102B56" w:rsidRPr="00C13D34" w:rsidRDefault="00102B56" w:rsidP="00102B56"/>
    <w:p w14:paraId="7C624C74" w14:textId="0F65DD01" w:rsidR="00102B56" w:rsidRDefault="00102B56" w:rsidP="00102B56">
      <w:r>
        <w:t>M</w:t>
      </w:r>
      <w:r w:rsidRPr="006764B5">
        <w:t xml:space="preserve">icroorganisms across diverse environments are major contributors to fundamental processes such as biogeochemical cycling in ocean and soil environments and drivers of health and disease in the human gut.  </w:t>
      </w:r>
      <w:r w:rsidRPr="00F325F5">
        <w:t xml:space="preserve">Microbiomes often exhibit extraordinary complexity due to the </w:t>
      </w:r>
      <w:r>
        <w:t xml:space="preserve">presence of diverse taxa </w:t>
      </w:r>
      <w:r w:rsidRPr="00F325F5">
        <w:t xml:space="preserve">in widely varying abundances at any given point in time. </w:t>
      </w:r>
      <w:r>
        <w:t>The human gut microbiome is one of the most studied microbial ecosystems due to its integral role in health and disease. Microbiome research using meta-omics technologies can provide a</w:t>
      </w:r>
      <w:r w:rsidRPr="00C06CD9">
        <w:t xml:space="preserve"> vast window into the </w:t>
      </w:r>
      <w:r>
        <w:t xml:space="preserve">composition, </w:t>
      </w:r>
      <w:r w:rsidRPr="00C06CD9">
        <w:t>structure</w:t>
      </w:r>
      <w:r>
        <w:t>,</w:t>
      </w:r>
      <w:r w:rsidRPr="00C06CD9">
        <w:t xml:space="preserve"> and function of these communities.</w:t>
      </w:r>
      <w:r w:rsidRPr="00D70FD7">
        <w:t xml:space="preserve"> While genomic approaches </w:t>
      </w:r>
      <w:r w:rsidR="00D23EDB" w:rsidRPr="00D70FD7">
        <w:t>characteriz</w:t>
      </w:r>
      <w:r w:rsidR="00D23EDB">
        <w:t>e</w:t>
      </w:r>
      <w:r w:rsidR="00D23EDB" w:rsidRPr="00D70FD7">
        <w:t xml:space="preserve"> </w:t>
      </w:r>
      <w:r w:rsidRPr="00D70FD7">
        <w:t xml:space="preserve">the diversity and potential metabolisms, transcriptomic and proteomic methods providing insights into expression and function of that potential. Of these technologies, metaproteomics is increasingly being applied to study a range of environments for insights into the </w:t>
      </w:r>
      <w:r w:rsidR="00694E00">
        <w:t>metabolic activities</w:t>
      </w:r>
      <w:r w:rsidR="00694E00" w:rsidRPr="00D70FD7">
        <w:t xml:space="preserve"> </w:t>
      </w:r>
      <w:r w:rsidRPr="00D70FD7">
        <w:t xml:space="preserve">of genomic potential of community members. </w:t>
      </w:r>
      <w:r w:rsidRPr="005572CA">
        <w:t xml:space="preserve"> Metaproteomics provides a distinct perspective from other omics technologies since it is a direct measurement of a final functional output which can be linked back to </w:t>
      </w:r>
      <w:r>
        <w:t xml:space="preserve">the genomic content of the </w:t>
      </w:r>
      <w:r w:rsidRPr="005572CA">
        <w:t>source organism.</w:t>
      </w:r>
      <w:r>
        <w:t xml:space="preserve">  Measurement of these proteins can be used to examine ecosystem functional diversity, determine the community response to and utilization of nutrient inputs and environmental stressors, and be used to estimate potential enzymatic activity. </w:t>
      </w:r>
      <w:proofErr w:type="gramStart"/>
      <w:r>
        <w:t>On the basis of</w:t>
      </w:r>
      <w:proofErr w:type="gramEnd"/>
      <w:r>
        <w:t xml:space="preserve"> the central dogma of biology for the formation of proteins, and the nature of metaproteomic data interpretation, this technology is inherently linked to other omics methods</w:t>
      </w:r>
      <w:r w:rsidRPr="00DA6492">
        <w:t xml:space="preserve"> </w:t>
      </w:r>
      <w:r>
        <w:t xml:space="preserve">and often provides complementary information. Likewise, it also is complementary to the downstream omics approach of metabolomics as it provides insights into the metabolic outputs to better explain the observed phenotype of the biological system. Therefore, integration of metaproteomics data with data collected using other omics approaches provides crucial biological insights into microbiomes.  The advent and application of instrumentation components such as nano-spray multidimensional liquid chromatography and high-resolution mass spectrometry has improved the measurement of proteins, enabling measurement depths necessary for interrogation of complex microbiomes with wide dynamic ranges. </w:t>
      </w:r>
    </w:p>
    <w:p w14:paraId="621BE6D0" w14:textId="77777777" w:rsidR="00102B56" w:rsidRDefault="00102B56" w:rsidP="00102B56">
      <w:r>
        <w:t xml:space="preserve">The primary focus of this dissertation was to advance metaproteomics research methodologies to interrogate interactions between microbiota across the kingdoms of life in the human gut environment.  While the primary ecosystem for this dissertation was the human-associated gut microbiome, technological advancements achieved over the course of this dissertation can be applied to microbiomes across several environments.  For example, </w:t>
      </w:r>
      <w:r w:rsidRPr="007F3AFE">
        <w:t>Chapter 3 presented sample preparation and measurement advancements for diverse ecosystems ranging from euphotic zone ocean microbiomes to warming Artic permafrost soils.</w:t>
      </w:r>
      <w:r>
        <w:t xml:space="preserve">  Chapter 4 described several informatic considerations that were optimized for metaproteomic measurements to provide high-quality, deep measurements for the microbiome research studies presented in later chapters. Chapters 5-7 highlighted several projects that interrogate microbial interactions across the domains of life using tractable gut models and unmanipulated human microbiomes. These include interactions at the host-microbe interface, interactions between closely related bacterial species with common functional potential, and closer examination of non-bacterial community members including bacteriophages and microeukaryotes.     Importantly, each of the presented studies demonstrated an integrated multi-omic experimental design.  Metaproteomics not only provided complementary information to the other omics techniques used in the analyses, but also was used validate findings from other approaches and to benchmark the capabilities of novel methods for studying microbial resource utilization in the gut environment. </w:t>
      </w:r>
    </w:p>
    <w:p w14:paraId="6372B052" w14:textId="77777777" w:rsidR="00102B56" w:rsidRDefault="00102B56" w:rsidP="00102B56">
      <w:r>
        <w:t>All projects from Chapter 5 utilize</w:t>
      </w:r>
      <w:r w:rsidRPr="004102A4">
        <w:t xml:space="preserve"> </w:t>
      </w:r>
      <w:r>
        <w:t xml:space="preserve">tractable gnotobiotic models to study microbial interactions and functionality in the gut environment.  All three of the studies call attention to the importance of diet as key regulators of bacterial metabolism.  Previous research has shown that diet-microbiome interactions have the potential to impact host health in either a negative or positive way depending on the composition of the gut microbiome and dietary context. </w:t>
      </w:r>
    </w:p>
    <w:p w14:paraId="41E3362C" w14:textId="77777777" w:rsidR="00102B56" w:rsidRDefault="00102B56" w:rsidP="00102B56">
      <w:r>
        <w:t xml:space="preserve">The first study, which highlights how chemical modifications of dietary components introduced during food processing impact the metabolism of the gut microbiome.  While this study focused on the interactions between different </w:t>
      </w:r>
      <w:r w:rsidRPr="009B5F42">
        <w:rPr>
          <w:i/>
          <w:iCs/>
        </w:rPr>
        <w:t>Collinsella</w:t>
      </w:r>
      <w:r>
        <w:t xml:space="preserve"> species and one </w:t>
      </w:r>
      <w:proofErr w:type="gramStart"/>
      <w:r>
        <w:t>particular chemical</w:t>
      </w:r>
      <w:proofErr w:type="gramEnd"/>
      <w:r>
        <w:t xml:space="preserve"> contaminant, with the prevalence of food processing, there are likely many interactions between other food modifications and commensal bacteria.  As research into these relationships continues, the relevance to human physiology must be considered, as the effects of food modifications due to processing on the microbiome and human physiology is still not well known.  Future studies are needed to investigate the role of processed foods in driving inflammatory or metabolic diseases through alterations of the gut microbiome.  </w:t>
      </w:r>
    </w:p>
    <w:p w14:paraId="44A1FD8A" w14:textId="40650CE4" w:rsidR="00102B56" w:rsidRDefault="00102B56" w:rsidP="00102B56">
      <w:r>
        <w:t xml:space="preserve">The second and third studies focused on community degradation of plant polysaccharides, paving a path to the development of microbiota-directed foods.  The second study used a used a multi-omic approach to identify bioactive nutrients in fiber and their utilization by the gut microbiota. The findings of this study shows that interspecies competition and cooperation control the outcome of diet-based microbiota manipulation.  This target-driven approach of </w:t>
      </w:r>
      <w:r w:rsidRPr="00270603">
        <w:t>selecting specific bacterial targets for modulation by diet</w:t>
      </w:r>
      <w:r>
        <w:t xml:space="preserve"> to better </w:t>
      </w:r>
      <w:r w:rsidRPr="00233A8F">
        <w:t xml:space="preserve">understand how the gut microbiome functions, provides the foundation for developing therapeutic diets.  In fact, lead fiber preparations identified this study that selectively increased key </w:t>
      </w:r>
      <w:r w:rsidR="00555142" w:rsidRPr="009B5F42">
        <w:rPr>
          <w:i/>
          <w:iCs/>
        </w:rPr>
        <w:t>Bacteroides</w:t>
      </w:r>
      <w:r w:rsidRPr="00894069">
        <w:t xml:space="preserve"> </w:t>
      </w:r>
      <w:r w:rsidRPr="00233A8F">
        <w:t>species which are under-represented obesity-associated microbiomes, were later tested in two pilot studies focusing on controlled diets in human</w:t>
      </w:r>
      <w:r w:rsidR="003204EA">
        <w:t>s</w:t>
      </w:r>
      <w:sdt>
        <w:sdtPr>
          <w:rPr>
            <w:color w:val="000000"/>
            <w:vertAlign w:val="superscript"/>
          </w:rPr>
          <w:tag w:val="MENDELEY_CITATION_v3_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"/>
          <w:id w:val="2082564829"/>
          <w:placeholder>
            <w:docPart w:val="DefaultPlaceholder_-1854013440"/>
          </w:placeholder>
        </w:sdtPr>
        <w:sdtEndPr/>
        <w:sdtContent>
          <w:r w:rsidR="003204EA" w:rsidRPr="003204EA">
            <w:rPr>
              <w:color w:val="000000"/>
              <w:vertAlign w:val="superscript"/>
            </w:rPr>
            <w:t>285</w:t>
          </w:r>
        </w:sdtContent>
      </w:sdt>
      <w:r w:rsidRPr="00233A8F">
        <w:t xml:space="preserve">.  In these pilot studies, </w:t>
      </w:r>
      <w:r>
        <w:t>obese or overweight</w:t>
      </w:r>
      <w:r w:rsidRPr="00233A8F">
        <w:t xml:space="preserve"> </w:t>
      </w:r>
      <w:r>
        <w:t>participants consumed a similar diet to the ones consumed in the gnotobiotic mouse study presented in this dissertation, with snack proteotypic that contained up to four of the identified lead fibers. The outcomes of the pilot studies showed that fiber-driven changes in the gut microbiome were correlated to changes in participants’ plasma proteome.  While additional studies are needed to fully assess the translatability of gnotobiotic model studies to human research, it is easy to</w:t>
      </w:r>
      <w:r w:rsidRPr="00F822CD">
        <w:t xml:space="preserve"> imagine a future </w:t>
      </w:r>
      <w:r>
        <w:t>where disease treatment may include tailored diets aimed at altering</w:t>
      </w:r>
      <w:r w:rsidRPr="00F822CD">
        <w:t xml:space="preserve"> bacterial composition and </w:t>
      </w:r>
      <w:r>
        <w:t xml:space="preserve">function.  </w:t>
      </w:r>
    </w:p>
    <w:p w14:paraId="158882E2" w14:textId="263C1255" w:rsidR="00102B56" w:rsidRPr="00233A8F" w:rsidRDefault="00102B56" w:rsidP="00102B56">
      <w:r>
        <w:t xml:space="preserve">The third study presented in this chapter primarily focused on the design and application of bead-based biosensors (MFABs) to determine </w:t>
      </w:r>
      <w:r w:rsidRPr="00B437AF">
        <w:rPr>
          <w:i/>
          <w:iCs/>
        </w:rPr>
        <w:t>in vivo</w:t>
      </w:r>
      <w:r w:rsidRPr="00894069">
        <w:t xml:space="preserve"> </w:t>
      </w:r>
      <w:r>
        <w:t xml:space="preserve">how microbial communities process different food components such as dietary glycans.  Future studies are needed to determine the safety and utility of using MFABs for human research.  However, if these studies find that MFABs are safe for human consumption, they could be used to identify how different substrates are processed by the microbiome.  For example, MFABs could be used in personalized medicine to diagnose how well a person’s specific gut microbiota are able to utilize different food. They also may be used in research as a component of in vivo assays to develop supplements, such as prebiotics and </w:t>
      </w:r>
      <w:proofErr w:type="spellStart"/>
      <w:r>
        <w:t>synbiotics</w:t>
      </w:r>
      <w:proofErr w:type="spellEnd"/>
      <w:r>
        <w:t>, that promote the growth of selected microbes for host health.</w:t>
      </w:r>
    </w:p>
    <w:p w14:paraId="3111D339" w14:textId="730F0C5D" w:rsidR="00102B56" w:rsidRDefault="00102B56" w:rsidP="00102B56">
      <w:r>
        <w:t xml:space="preserve">Chapters 6 and 7 presented research that used unmanipulated human microbiomes to explore interkingdom interactions.  </w:t>
      </w:r>
      <w:proofErr w:type="gramStart"/>
      <w:r>
        <w:t>Both of the studies</w:t>
      </w:r>
      <w:proofErr w:type="gramEnd"/>
      <w:r>
        <w:t xml:space="preserve"> presented in Chapter 6 exclusively examined preterm infant gut microbiomes to assess community-wide functionality.   The first study explored microbial establishment and functional partitioning in the context of microeukaryotic membership.  Very few integrated metagenomics/metaproteomics studies have evaluated eukaryotic membership in microbial communities due to challenges associated with assembling eukaryotic genomes from metagenomes. One of the primary benefits of metaproteomics is that this approach is agnostic to the origin of the detected peptides—</w:t>
      </w:r>
      <w:proofErr w:type="gramStart"/>
      <w:r>
        <w:t>as long as</w:t>
      </w:r>
      <w:proofErr w:type="gramEnd"/>
      <w:r>
        <w:t xml:space="preserve"> there is corresponding protein information represented in the search database, peptides derived from any organism can be identified, regardless of whether the source organism is prokaryotic or eukaryotic.  In this study, we used an integrated omics approach utilizing a workflow to assemble eukaryotic metagenome-assembled genomes (MAGs)</w:t>
      </w:r>
      <w:sdt>
        <w:sdtPr>
          <w:rPr>
            <w:color w:val="000000"/>
            <w:vertAlign w:val="superscript"/>
          </w:rPr>
          <w:tag w:val="MENDELEY_CITATION_v3_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"/>
          <w:id w:val="-667245390"/>
          <w:placeholder>
            <w:docPart w:val="856639CFAF09064CBDD2B93B8D6E3E30"/>
          </w:placeholder>
        </w:sdtPr>
        <w:sdtEndPr/>
        <w:sdtContent>
          <w:r w:rsidR="003204EA" w:rsidRPr="003204EA">
            <w:rPr>
              <w:color w:val="000000"/>
              <w:vertAlign w:val="superscript"/>
            </w:rPr>
            <w:t>286</w:t>
          </w:r>
        </w:sdtContent>
      </w:sdt>
      <w:r>
        <w:t xml:space="preserve"> to look at functional inter-kingdom interactions</w:t>
      </w:r>
      <w:r w:rsidRPr="00204A14">
        <w:t xml:space="preserve"> between the fungus </w:t>
      </w:r>
      <w:r w:rsidRPr="00B437AF">
        <w:rPr>
          <w:i/>
          <w:iCs/>
        </w:rPr>
        <w:t>Candida parapsilosis</w:t>
      </w:r>
      <w:r w:rsidRPr="00894069">
        <w:t xml:space="preserve"> </w:t>
      </w:r>
      <w:r w:rsidRPr="00204A14">
        <w:t xml:space="preserve">and the bacterium </w:t>
      </w:r>
      <w:r w:rsidRPr="00B437AF">
        <w:rPr>
          <w:i/>
          <w:iCs/>
        </w:rPr>
        <w:t>Enterococcus faecalis.</w:t>
      </w:r>
      <w:r>
        <w:t xml:space="preserve">  One of the primary challenges with studying microbiome interactions of </w:t>
      </w:r>
      <w:r w:rsidRPr="00F30BBE">
        <w:rPr>
          <w:i/>
          <w:iCs/>
        </w:rPr>
        <w:t xml:space="preserve">Candida </w:t>
      </w:r>
      <w:r>
        <w:t xml:space="preserve">species that are medically relevant in a laboratory setting is that most model infection systems, such as mice, are not natural hosts to </w:t>
      </w:r>
      <w:r w:rsidRPr="00F30BBE">
        <w:rPr>
          <w:i/>
          <w:iCs/>
        </w:rPr>
        <w:t>Candida</w:t>
      </w:r>
      <w:r w:rsidRPr="00894069">
        <w:t xml:space="preserve"> </w:t>
      </w:r>
      <w:r>
        <w:t xml:space="preserve">species. Therefore, any observations that come out of these studies may not translate to humans.  In addition, pure culture experiments, which are an accessible way to study </w:t>
      </w:r>
      <w:r w:rsidRPr="00F30BBE">
        <w:rPr>
          <w:i/>
          <w:iCs/>
        </w:rPr>
        <w:t>Candida</w:t>
      </w:r>
      <w:r w:rsidRPr="00894069">
        <w:t xml:space="preserve"> </w:t>
      </w:r>
      <w:r>
        <w:t>species, lack the community context, which can greatly influence the behavior and functionality of an organism.  Indeed, in this study</w:t>
      </w:r>
      <w:r w:rsidRPr="00B437AF">
        <w:rPr>
          <w:i/>
          <w:iCs/>
        </w:rPr>
        <w:t>, C. parapsilosis</w:t>
      </w:r>
      <w:r>
        <w:t xml:space="preserve"> exhibited distinct differences in </w:t>
      </w:r>
      <w:r w:rsidRPr="00B437AF">
        <w:rPr>
          <w:i/>
          <w:iCs/>
        </w:rPr>
        <w:t>in situ</w:t>
      </w:r>
      <w:r w:rsidRPr="00894069">
        <w:t xml:space="preserve"> </w:t>
      </w:r>
      <w:r>
        <w:t xml:space="preserve">expression patterns compared to similar </w:t>
      </w:r>
      <w:r w:rsidRPr="00B437AF">
        <w:rPr>
          <w:i/>
          <w:iCs/>
        </w:rPr>
        <w:t>C. parapsilosis</w:t>
      </w:r>
      <w:r>
        <w:t xml:space="preserve"> strains grown in pure culture. Therefore, it is imperative that more microbiome studies are designed and conducted to reflect the actual diversity of the community, including eukaryotic membership, for a holistic view of community function.</w:t>
      </w:r>
    </w:p>
    <w:p w14:paraId="13E0F140" w14:textId="4927E705" w:rsidR="00102B56" w:rsidRDefault="00102B56" w:rsidP="00102B56">
      <w:r>
        <w:t xml:space="preserve">The second study in Chapter 6 exploited longitudinal metaproteomics datasets of fecal samples to study the interplay between the host immune system and the early-life bacterial colonizers of the preterm infant gut. One of the unique features of metaproteomics is the simultaneous measurement of temporally connected host and microbial functional activities.  In this study, measurement and host and microbial proteins enabled the incorporation of information of host immune responses to better explain colonization dynamics in the variable early-life gut environment. In addition, as the developing infant gut is an extremely dynamic environment, longitudinal sampling provided context to microbial establishment and persistence patterns.  Overall, this genome-resolved metaproteomics study provided a novel approach to study the temporal expansion and resilience of microbial colonization and provides one of the first detailed studies to elucidate the microbiome's potential immunomodulatory roles relevant to necrotizing enterocolitis and other dysbiotic conditions in preterm infants. Moving forward, studies that incorporate both microbial and host information in longitudinal measurements should be critically important for the enhanced predictions of microbial community development patterns and ultimately, host phenotypes.  </w:t>
      </w:r>
    </w:p>
    <w:p w14:paraId="3793D8ED" w14:textId="1AD68FAC" w:rsidR="00102B56" w:rsidRDefault="00102B56" w:rsidP="00102B56">
      <w:r>
        <w:t xml:space="preserve">Finally, Chapter 7 provides in depth investigation of the proteome of an uncultivated member of the human gut.  In this study, fecal samples from two individuals, one infant and one adult, that each contained a </w:t>
      </w:r>
      <w:r w:rsidRPr="00476931">
        <w:rPr>
          <w:color w:val="000000" w:themeColor="text1"/>
          <w:lang w:val="en"/>
        </w:rPr>
        <w:t>crAss-like phage</w:t>
      </w:r>
      <w:r>
        <w:rPr>
          <w:color w:val="000000" w:themeColor="text1"/>
          <w:lang w:val="en"/>
        </w:rPr>
        <w:t xml:space="preserve"> predicted to use genetic codes different than their bacterial hosts in some genome regions.  </w:t>
      </w:r>
      <w:r>
        <w:t xml:space="preserve">First, this study a novel methodology for the enrichment of viral proteins from feces, regardless of the physical size of the bacteriophage.  This methodology opens the door for more </w:t>
      </w:r>
      <w:r w:rsidRPr="003F4AA3">
        <w:rPr>
          <w:i/>
          <w:iCs/>
        </w:rPr>
        <w:t>in situ</w:t>
      </w:r>
      <w:r>
        <w:t xml:space="preserve"> metaproteomic studies of this underrepresented and understudied member of microbiomes. Most importantly, </w:t>
      </w:r>
      <w:proofErr w:type="spellStart"/>
      <w:r>
        <w:t>t</w:t>
      </w:r>
      <w:r>
        <w:rPr>
          <w:color w:val="000000" w:themeColor="text1"/>
          <w:lang w:val="en"/>
        </w:rPr>
        <w:t>his</w:t>
      </w:r>
      <w:proofErr w:type="spellEnd"/>
      <w:r>
        <w:rPr>
          <w:color w:val="000000" w:themeColor="text1"/>
          <w:lang w:val="en"/>
        </w:rPr>
        <w:t xml:space="preserve"> study provides </w:t>
      </w:r>
      <w:proofErr w:type="spellStart"/>
      <w:r>
        <w:rPr>
          <w:color w:val="000000" w:themeColor="text1"/>
          <w:lang w:val="en"/>
        </w:rPr>
        <w:t>t</w:t>
      </w:r>
      <w:r>
        <w:t>he</w:t>
      </w:r>
      <w:proofErr w:type="spellEnd"/>
      <w:r>
        <w:t xml:space="preserve"> first experimental validation of alternate coding for gene expression in any bacteriophage and the first confirmation of alternate code 15 (i.e., the translation through a TAG stop codon to generate glutamine) in any biological system. Previous reports of alternate coding in phage were based on genomic predictions alone, and in terms of genetic code 15, NCBI will not list it as a recognized genetic code without experimental validation.  Since metagenome predictions do not constitute actual functional validation, this highlights the need to complement genomic findings with measurement techniques, such as metaproteomics, which can demonstrate the existence of a translated product.  In terms the roles phages play in ecosystems, accurate gene predictions to construct complete gene inventories is critical to accurately understand phage biology as very few insights on biological function can be elucidated from incorrectly, and poorly, annotated genomes</w:t>
      </w:r>
      <w:r>
        <w:rPr>
          <w:color w:val="000000" w:themeColor="text1"/>
          <w:lang w:val="en"/>
        </w:rPr>
        <w:t xml:space="preserve">.  Since alternative coding is predicted to be highly prevalent among gut phages, it is of vital importance that future investigations characterize the different types of genetic codes used by phages and to </w:t>
      </w:r>
      <w:proofErr w:type="gramStart"/>
      <w:r>
        <w:rPr>
          <w:color w:val="000000" w:themeColor="text1"/>
          <w:lang w:val="en"/>
        </w:rPr>
        <w:t>look into</w:t>
      </w:r>
      <w:proofErr w:type="gramEnd"/>
      <w:r>
        <w:rPr>
          <w:color w:val="000000" w:themeColor="text1"/>
          <w:lang w:val="en"/>
        </w:rPr>
        <w:t xml:space="preserve"> </w:t>
      </w:r>
      <w:r>
        <w:t>how and when phages switch from normal to alternate coding to determine what role this plays in their infection cycles.  In addition to augmenting our understanding of the roles of phages as drivers of ecosystem change, expanding our knowledge of genetic code diversity has potential applications in synthetic biology for the design of new genetic codes and in phage therapy.</w:t>
      </w:r>
    </w:p>
    <w:p w14:paraId="3DF5CA2C" w14:textId="77777777" w:rsidR="00102B56" w:rsidRPr="00FC57BB" w:rsidRDefault="00102B56" w:rsidP="00102B56">
      <w:r>
        <w:t xml:space="preserve">  </w:t>
      </w:r>
    </w:p>
    <w:p w14:paraId="1959DE2B" w14:textId="1CE70F03" w:rsidR="00102B56" w:rsidRDefault="00102B56" w:rsidP="00102B56">
      <w:pPr>
        <w:pStyle w:val="Heading2"/>
      </w:pPr>
      <w:bookmarkStart w:id="448" w:name="_Toc108104222"/>
      <w:bookmarkStart w:id="449" w:name="_Toc110250322"/>
      <w:bookmarkStart w:id="450" w:name="_Toc110250579"/>
      <w:bookmarkStart w:id="451" w:name="_Toc110250710"/>
      <w:r w:rsidRPr="00476931">
        <w:t>8.2  Remaining challenges</w:t>
      </w:r>
      <w:r>
        <w:t xml:space="preserve"> and </w:t>
      </w:r>
      <w:proofErr w:type="gramStart"/>
      <w:r>
        <w:t>future outloo</w:t>
      </w:r>
      <w:bookmarkEnd w:id="448"/>
      <w:r>
        <w:t>k</w:t>
      </w:r>
      <w:proofErr w:type="gramEnd"/>
      <w:r>
        <w:t xml:space="preserve"> of metaproteomics.</w:t>
      </w:r>
      <w:bookmarkEnd w:id="449"/>
      <w:bookmarkEnd w:id="450"/>
      <w:bookmarkEnd w:id="451"/>
    </w:p>
    <w:p w14:paraId="27ACC57B" w14:textId="77777777" w:rsidR="00102B56" w:rsidRPr="00C13D34" w:rsidRDefault="00102B56" w:rsidP="00102B56"/>
    <w:p w14:paraId="2A20B974" w14:textId="77777777" w:rsidR="00102B56" w:rsidRDefault="00102B56" w:rsidP="00102B56">
      <w:r w:rsidRPr="00B879D0">
        <w:t xml:space="preserve">As metaproteomics is a key technology for connecting genomic potential to metabolic information, and for understanding how microbiomes function in both a spatial and temporal context, this field will continue to grow and gain popularity in the microbial ecology community. </w:t>
      </w:r>
      <w:r>
        <w:t xml:space="preserve">In fact, from the initial mention of metaproteomics, this omics approach has become increasingly popular in the microbiome research community, with increasing publication rates every year, </w:t>
      </w:r>
      <w:r w:rsidRPr="001F1D85">
        <w:t xml:space="preserve">from one </w:t>
      </w:r>
      <w:r>
        <w:t xml:space="preserve">initial </w:t>
      </w:r>
      <w:r w:rsidRPr="001F1D85">
        <w:t xml:space="preserve">publication in 2004 to </w:t>
      </w:r>
      <w:r>
        <w:t>939</w:t>
      </w:r>
      <w:r w:rsidRPr="001F1D85">
        <w:t xml:space="preserve"> publications </w:t>
      </w:r>
      <w:r>
        <w:t>mentioning metaproteomics as of mid-2022</w:t>
      </w:r>
      <w:r w:rsidRPr="001F1D85">
        <w:t xml:space="preserve"> (PubMe</w:t>
      </w:r>
      <w:r>
        <w:t>d</w:t>
      </w:r>
      <w:r w:rsidRPr="001F1D85">
        <w:t>; “metaproteom</w:t>
      </w:r>
      <w:r>
        <w:t>ic</w:t>
      </w:r>
      <w:r w:rsidRPr="001F1D85">
        <w:rPr>
          <w:rFonts w:ascii="Cambria Math" w:hAnsi="Cambria Math" w:cs="Cambria Math"/>
        </w:rPr>
        <w:t>∗</w:t>
      </w:r>
      <w:r w:rsidRPr="001F1D85">
        <w:t xml:space="preserve">” as search query; </w:t>
      </w:r>
      <w:r>
        <w:t>July 2022</w:t>
      </w:r>
      <w:r w:rsidRPr="001F1D85">
        <w:t xml:space="preserve">). </w:t>
      </w:r>
      <w:proofErr w:type="gramStart"/>
      <w:r>
        <w:t>In light of</w:t>
      </w:r>
      <w:proofErr w:type="gramEnd"/>
      <w:r>
        <w:t xml:space="preserve"> this growing interest</w:t>
      </w:r>
      <w:r w:rsidRPr="00B879D0">
        <w:t xml:space="preserve">, </w:t>
      </w:r>
      <w:r>
        <w:t>due to the remaining hurdles with this technology, there are three areas where research focus will be centered: (1) advancement of sample preparation, analytical measurements, and informatics approaches, (2) community education of this technology, and (3)</w:t>
      </w:r>
      <w:r w:rsidRPr="0077790D">
        <w:t xml:space="preserve"> </w:t>
      </w:r>
      <w:r>
        <w:t xml:space="preserve">new applications of metaproteomics for microbiome research.  </w:t>
      </w:r>
    </w:p>
    <w:p w14:paraId="447772B4" w14:textId="77777777" w:rsidR="00102B56" w:rsidRDefault="00102B56" w:rsidP="00102B56">
      <w:r>
        <w:t>The metaproteomic research field still faces many challenges related to the intricate complexity and large dynamic range of microbiota found in microbial communities.</w:t>
      </w:r>
      <w:r w:rsidRPr="004D6581">
        <w:t xml:space="preserve"> </w:t>
      </w:r>
      <w:r>
        <w:t xml:space="preserve">Among these challenges includes improved, unbiased protein extraction from complex environmental matrices with biotic and abiotic interferences.  As LC-MS/MS-based metaproteomics is implemented for the study of more environmental systems, novel methodologies for extraction of proteins from a range of challenging marine and soil environments need to be developed since current methods are insufficient to for protein extraction from these environmental matrices that contain a highly diverse microbial community. </w:t>
      </w:r>
    </w:p>
    <w:p w14:paraId="35783BE2" w14:textId="77777777" w:rsidR="00102B56" w:rsidRPr="00AA6BB9" w:rsidRDefault="00102B56" w:rsidP="00102B56">
      <w:r>
        <w:t>In terms of outstanding informatics limitations for metaproteomics research, there is still an underperformance of computational platforms when it comes to protein identification from datasets with extremely large search spaces. Not all database search algorithms are capable of handling large protein databases, the high number of spectra collected from large metaproteomics campaigns, or spectra collected from fractionated samples.  In addition, many emerging features for enhanced protein identification in proteomics, such as retention time prediction algorithms or quantification methods for peptides identified from chimeric spectra, are still not equipped to handle extremely complex spectral data. In addition, as successful metaproteomic analysis is reliant on confident sequence information, there is still an outstanding need for high-quality</w:t>
      </w:r>
      <w:r w:rsidRPr="001B5384">
        <w:t xml:space="preserve"> </w:t>
      </w:r>
      <w:r>
        <w:t>sample-specific protein databases generated from upstream omics methods that capture all members of the microbial com</w:t>
      </w:r>
      <w:r>
        <w:tab/>
        <w:t>m</w:t>
      </w:r>
      <w:r>
        <w:tab/>
        <w:t>unity including microeukaryotes and viruses.  This will be facilitated by advancements in metagenome sequencing, assembly, and annotations.  Innovations in data interpretation, including data analysis components such as protein inference, quantification, and functional annotation, are still needed to accurately unravel microbial networks and understand interaction of microbiota with each other and their environment.  Due to these informatic limitations, a significant portion of the collected data is not analyzed, and future efforts need to be focused on recovering currently unutilized spectra.</w:t>
      </w:r>
    </w:p>
    <w:p w14:paraId="609E146E" w14:textId="77777777" w:rsidR="00102B56" w:rsidRDefault="00102B56" w:rsidP="00102B56">
      <w:r>
        <w:t>T</w:t>
      </w:r>
      <w:r w:rsidRPr="00B879D0">
        <w:t>he</w:t>
      </w:r>
      <w:r>
        <w:t xml:space="preserve"> microbiome research </w:t>
      </w:r>
      <w:r w:rsidRPr="00B879D0">
        <w:t>community will need better education on the technical details and capabilities that can be afforded by metaproteomics</w:t>
      </w:r>
      <w:r>
        <w:t xml:space="preserve"> to produce sound scientific research</w:t>
      </w:r>
      <w:r w:rsidRPr="00B879D0">
        <w:t xml:space="preserve">.  </w:t>
      </w:r>
      <w:r>
        <w:t>Along with education</w:t>
      </w:r>
      <w:r w:rsidRPr="00B879D0">
        <w:t xml:space="preserve">, over the coming years we will see broad </w:t>
      </w:r>
      <w:r>
        <w:t xml:space="preserve">benchmarking </w:t>
      </w:r>
      <w:r w:rsidRPr="00B879D0">
        <w:t>efforts within the metaproteomics community to standardize methodologies and accelerate experimental and informatic advancements that are tailored to complex metaproteomics samples.</w:t>
      </w:r>
      <w:r>
        <w:t xml:space="preserve">  </w:t>
      </w:r>
      <w:r w:rsidRPr="000834C5">
        <w:t>In fact, a portion of the work presented in Chapters 3 and 4 of this dissertation was conducted a part of two ongoing global collaborative efforts among several early adopters of this technology to shape this burgeoning field to steer it in a direction where it can be widely used in the broader microbial ecology community.</w:t>
      </w:r>
      <w:r>
        <w:t xml:space="preserve"> </w:t>
      </w:r>
    </w:p>
    <w:p w14:paraId="2B82BD2B" w14:textId="356B79CE" w:rsidR="00102B56" w:rsidRDefault="00102B56" w:rsidP="00102B56">
      <w:r w:rsidRPr="00B879D0">
        <w:t xml:space="preserve">Over the next decade, major analytical and bioinformatic developments are likely to facilitate unprecedented insights into microbiome function and dynamics. </w:t>
      </w:r>
      <w:r>
        <w:t>Focused</w:t>
      </w:r>
      <w:r w:rsidRPr="00B879D0">
        <w:t xml:space="preserve"> </w:t>
      </w:r>
      <w:r>
        <w:t>LC-MS/MS-based methods for studying protein expression that are fairly established for the study of single proteomes, but only have limited demonstrations in metaproteomics, such as targeted and DIA methods, will become more mainstream as instrumentation and informatic platforms improve.  In addition, as measurement depth increases for metaproteomics, research focuses may turn to comprehensive characterization of all proteoforms expressed in a community through interrogation of post-translational modifications,</w:t>
      </w:r>
      <w:r w:rsidRPr="0028275C">
        <w:t xml:space="preserve"> </w:t>
      </w:r>
      <w:r>
        <w:t xml:space="preserve">alternative gene products produced through </w:t>
      </w:r>
      <w:r w:rsidRPr="0028275C">
        <w:t>polypeptide</w:t>
      </w:r>
      <w:r>
        <w:t xml:space="preserve"> cleavages,</w:t>
      </w:r>
      <w:r w:rsidR="00280537">
        <w:t xml:space="preserve"> proteins of unknown function,</w:t>
      </w:r>
      <w:r>
        <w:t xml:space="preserve"> and </w:t>
      </w:r>
      <w:r w:rsidRPr="003A5FAE">
        <w:t>amino acid sequence variation</w:t>
      </w:r>
      <w:r>
        <w:t xml:space="preserve">.  Finally, as the cost and implementation of upstream omics approaches improve over the coming years, this will spur new research questions that can be addressed when looking at uncultivated organisms in their native environment.  For example, with the combination of long-read sequencing and proximity ligation sequencing methods, high-quality phage genomes can be assembled from metagenomes to improve protein database quality for metaproteomic measurements and directly link phage-host pairs in environmental systems.  This will enable higher-confidence interrogation of </w:t>
      </w:r>
      <w:r w:rsidRPr="00A343C8">
        <w:rPr>
          <w:i/>
          <w:iCs/>
        </w:rPr>
        <w:t>in situ</w:t>
      </w:r>
      <w:r>
        <w:t xml:space="preserve"> host-phage interactions for organisms that cannot be cultivated in the laboratory.  Other approaches, such as stable isotope probing (SIP) of proteins will enable the direct linkage of specific organisms in a microbial community to a specific function, by following the incorporation and transfer of isotopically labeled substrates. Overall, as metaproteomics reaches maturity, the full potential of the use of this technology will be recognized and applied for probing the functionality of microbial communities.</w:t>
      </w:r>
    </w:p>
    <w:p w14:paraId="519FE21A" w14:textId="77777777" w:rsidR="00102B56" w:rsidRDefault="00102B56" w:rsidP="00102B56">
      <w:pPr>
        <w:spacing w:before="1"/>
      </w:pPr>
      <w:r>
        <w:br w:type="page"/>
      </w:r>
    </w:p>
    <w:p w14:paraId="2F052052" w14:textId="1C4D2E7A" w:rsidR="00310878" w:rsidRDefault="00310878" w:rsidP="00C80591">
      <w:pPr>
        <w:pStyle w:val="Heading1"/>
        <w:numPr>
          <w:ilvl w:val="0"/>
          <w:numId w:val="0"/>
        </w:numPr>
        <w:ind w:left="360"/>
        <w:rPr>
          <w:color w:val="000000" w:themeColor="text1"/>
          <w:szCs w:val="28"/>
        </w:rPr>
      </w:pPr>
      <w:bookmarkStart w:id="452" w:name="_Toc110250323"/>
      <w:bookmarkStart w:id="453" w:name="_Toc110250580"/>
      <w:bookmarkStart w:id="454" w:name="_Toc110250711"/>
      <w:r w:rsidRPr="00476931">
        <w:rPr>
          <w:color w:val="000000" w:themeColor="text1"/>
          <w:szCs w:val="28"/>
        </w:rPr>
        <w:t>References</w:t>
      </w:r>
      <w:bookmarkEnd w:id="452"/>
      <w:bookmarkEnd w:id="453"/>
      <w:bookmarkEnd w:id="454"/>
    </w:p>
    <w:p w14:paraId="66DD8AB8" w14:textId="77777777" w:rsidR="00102B56" w:rsidRPr="00102B56" w:rsidRDefault="00102B56" w:rsidP="00102B56">
      <w:pPr>
        <w:pStyle w:val="paragraph"/>
        <w:rPr>
          <w:sz w:val="40"/>
          <w:szCs w:val="40"/>
          <w:lang w:val="en-GB" w:eastAsia="en-GB"/>
        </w:rPr>
      </w:pPr>
    </w:p>
    <w:sdt>
      <w:sdtPr>
        <w:rPr>
          <w:rFonts w:ascii="Times New Roman" w:hAnsi="Times New Roman" w:cs="Times New Roman"/>
          <w:color w:val="000000" w:themeColor="text1"/>
          <w:sz w:val="22"/>
          <w:szCs w:val="22"/>
        </w:rPr>
        <w:tag w:val="MENDELEY_BIBLIOGRAPHY"/>
        <w:id w:val="-824348751"/>
        <w:placeholder>
          <w:docPart w:val="DC44A869B7F67D43A899EA3F4A219CC3"/>
        </w:placeholder>
      </w:sdtPr>
      <w:sdtEndPr/>
      <w:sdtContent>
        <w:p w14:paraId="6F1D0AF2" w14:textId="77777777" w:rsidR="003204EA" w:rsidRDefault="003204EA">
          <w:pPr>
            <w:autoSpaceDE w:val="0"/>
            <w:autoSpaceDN w:val="0"/>
            <w:ind w:hanging="640"/>
            <w:divId w:val="1556235304"/>
            <w:rPr>
              <w:rFonts w:eastAsia="Times New Roman"/>
            </w:rPr>
          </w:pPr>
          <w:r>
            <w:rPr>
              <w:rFonts w:eastAsia="Times New Roman"/>
            </w:rPr>
            <w:t>1.</w:t>
          </w:r>
          <w:r>
            <w:rPr>
              <w:rFonts w:eastAsia="Times New Roman"/>
            </w:rPr>
            <w:tab/>
          </w:r>
          <w:proofErr w:type="spellStart"/>
          <w:r>
            <w:rPr>
              <w:rFonts w:eastAsia="Times New Roman"/>
            </w:rPr>
            <w:t>Locey</w:t>
          </w:r>
          <w:proofErr w:type="spellEnd"/>
          <w:r>
            <w:rPr>
              <w:rFonts w:eastAsia="Times New Roman"/>
            </w:rPr>
            <w:t xml:space="preserve">, K. J. &amp; Lennon, J. T. Scaling laws predict global microbial diversity. </w:t>
          </w:r>
          <w:r>
            <w:rPr>
              <w:rFonts w:eastAsia="Times New Roman"/>
              <w:i/>
              <w:iCs/>
            </w:rPr>
            <w:t xml:space="preserve">Proc Natl </w:t>
          </w:r>
          <w:proofErr w:type="spellStart"/>
          <w:r>
            <w:rPr>
              <w:rFonts w:eastAsia="Times New Roman"/>
              <w:i/>
              <w:iCs/>
            </w:rPr>
            <w:t>Acad</w:t>
          </w:r>
          <w:proofErr w:type="spellEnd"/>
          <w:r>
            <w:rPr>
              <w:rFonts w:eastAsia="Times New Roman"/>
              <w:i/>
              <w:iCs/>
            </w:rPr>
            <w:t xml:space="preserve"> Sci U S A</w:t>
          </w:r>
          <w:r>
            <w:rPr>
              <w:rFonts w:eastAsia="Times New Roman"/>
            </w:rPr>
            <w:t xml:space="preserve"> </w:t>
          </w:r>
          <w:r>
            <w:rPr>
              <w:rFonts w:eastAsia="Times New Roman"/>
              <w:b/>
              <w:bCs/>
            </w:rPr>
            <w:t>113</w:t>
          </w:r>
          <w:r>
            <w:rPr>
              <w:rFonts w:eastAsia="Times New Roman"/>
            </w:rPr>
            <w:t>, 5970–5975 (2016).</w:t>
          </w:r>
        </w:p>
        <w:p w14:paraId="4839E13F" w14:textId="77777777" w:rsidR="003204EA" w:rsidRDefault="003204EA">
          <w:pPr>
            <w:autoSpaceDE w:val="0"/>
            <w:autoSpaceDN w:val="0"/>
            <w:ind w:hanging="640"/>
            <w:divId w:val="1435898369"/>
            <w:rPr>
              <w:rFonts w:eastAsia="Times New Roman"/>
            </w:rPr>
          </w:pPr>
          <w:r>
            <w:rPr>
              <w:rFonts w:eastAsia="Times New Roman"/>
            </w:rPr>
            <w:t>2.</w:t>
          </w:r>
          <w:r>
            <w:rPr>
              <w:rFonts w:eastAsia="Times New Roman"/>
            </w:rPr>
            <w:tab/>
            <w:t xml:space="preserve">Nguyen, J., Lara-Gutiérrez, J. &amp; Stocker, R. Environmental fluctuations and their effects on microbial communities, </w:t>
          </w:r>
          <w:proofErr w:type="gramStart"/>
          <w:r>
            <w:rPr>
              <w:rFonts w:eastAsia="Times New Roman"/>
            </w:rPr>
            <w:t>populations</w:t>
          </w:r>
          <w:proofErr w:type="gramEnd"/>
          <w:r>
            <w:rPr>
              <w:rFonts w:eastAsia="Times New Roman"/>
            </w:rPr>
            <w:t xml:space="preserve"> and individuals. </w:t>
          </w:r>
          <w:r>
            <w:rPr>
              <w:rFonts w:eastAsia="Times New Roman"/>
              <w:i/>
              <w:iCs/>
            </w:rPr>
            <w:t>FEMS Microbiology Reviews</w:t>
          </w:r>
          <w:r>
            <w:rPr>
              <w:rFonts w:eastAsia="Times New Roman"/>
            </w:rPr>
            <w:t xml:space="preserve"> </w:t>
          </w:r>
          <w:r>
            <w:rPr>
              <w:rFonts w:eastAsia="Times New Roman"/>
              <w:b/>
              <w:bCs/>
            </w:rPr>
            <w:t>45</w:t>
          </w:r>
          <w:r>
            <w:rPr>
              <w:rFonts w:eastAsia="Times New Roman"/>
            </w:rPr>
            <w:t>, 1–16 (2021).</w:t>
          </w:r>
        </w:p>
        <w:p w14:paraId="6F830720" w14:textId="77777777" w:rsidR="003204EA" w:rsidRDefault="003204EA">
          <w:pPr>
            <w:autoSpaceDE w:val="0"/>
            <w:autoSpaceDN w:val="0"/>
            <w:ind w:hanging="640"/>
            <w:divId w:val="1064379129"/>
            <w:rPr>
              <w:rFonts w:eastAsia="Times New Roman"/>
            </w:rPr>
          </w:pPr>
          <w:r>
            <w:rPr>
              <w:rFonts w:eastAsia="Times New Roman"/>
            </w:rPr>
            <w:t>3.</w:t>
          </w:r>
          <w:r>
            <w:rPr>
              <w:rFonts w:eastAsia="Times New Roman"/>
            </w:rPr>
            <w:tab/>
            <w:t xml:space="preserve">Prosser, J. I. </w:t>
          </w:r>
          <w:r>
            <w:rPr>
              <w:rFonts w:eastAsia="Times New Roman"/>
              <w:i/>
              <w:iCs/>
            </w:rPr>
            <w:t>et al.</w:t>
          </w:r>
          <w:r>
            <w:rPr>
              <w:rFonts w:eastAsia="Times New Roman"/>
            </w:rPr>
            <w:t xml:space="preserve"> The role of ecological theory. </w:t>
          </w:r>
          <w:r>
            <w:rPr>
              <w:rFonts w:eastAsia="Times New Roman"/>
              <w:i/>
              <w:iCs/>
            </w:rPr>
            <w:t>Nature Reviews Microbiology</w:t>
          </w:r>
          <w:r>
            <w:rPr>
              <w:rFonts w:eastAsia="Times New Roman"/>
            </w:rPr>
            <w:t xml:space="preserve"> </w:t>
          </w:r>
          <w:r>
            <w:rPr>
              <w:rFonts w:eastAsia="Times New Roman"/>
              <w:b/>
              <w:bCs/>
            </w:rPr>
            <w:t>5</w:t>
          </w:r>
          <w:r>
            <w:rPr>
              <w:rFonts w:eastAsia="Times New Roman"/>
            </w:rPr>
            <w:t>, 384–392 (2007).</w:t>
          </w:r>
        </w:p>
        <w:p w14:paraId="10B53D48" w14:textId="77777777" w:rsidR="003204EA" w:rsidRDefault="003204EA">
          <w:pPr>
            <w:autoSpaceDE w:val="0"/>
            <w:autoSpaceDN w:val="0"/>
            <w:ind w:hanging="640"/>
            <w:divId w:val="1159541201"/>
            <w:rPr>
              <w:rFonts w:eastAsia="Times New Roman"/>
            </w:rPr>
          </w:pPr>
          <w:r>
            <w:rPr>
              <w:rFonts w:eastAsia="Times New Roman"/>
            </w:rPr>
            <w:t>4.</w:t>
          </w:r>
          <w:r>
            <w:rPr>
              <w:rFonts w:eastAsia="Times New Roman"/>
            </w:rPr>
            <w:tab/>
            <w:t xml:space="preserve">Allison, S. D. &amp; </w:t>
          </w:r>
          <w:proofErr w:type="spellStart"/>
          <w:r>
            <w:rPr>
              <w:rFonts w:eastAsia="Times New Roman"/>
            </w:rPr>
            <w:t>Martiny</w:t>
          </w:r>
          <w:proofErr w:type="spellEnd"/>
          <w:r>
            <w:rPr>
              <w:rFonts w:eastAsia="Times New Roman"/>
            </w:rPr>
            <w:t xml:space="preserve">, J. B. H. Resistance, resilience, and redundancy in microbial communities. </w:t>
          </w:r>
          <w:r>
            <w:rPr>
              <w:rFonts w:eastAsia="Times New Roman"/>
              <w:i/>
              <w:iCs/>
            </w:rPr>
            <w:t>In the Light of Evolution</w:t>
          </w:r>
          <w:r>
            <w:rPr>
              <w:rFonts w:eastAsia="Times New Roman"/>
            </w:rPr>
            <w:t xml:space="preserve"> </w:t>
          </w:r>
          <w:r>
            <w:rPr>
              <w:rFonts w:eastAsia="Times New Roman"/>
              <w:b/>
              <w:bCs/>
            </w:rPr>
            <w:t>2</w:t>
          </w:r>
          <w:r>
            <w:rPr>
              <w:rFonts w:eastAsia="Times New Roman"/>
            </w:rPr>
            <w:t>, 149–166 (2009).</w:t>
          </w:r>
        </w:p>
        <w:p w14:paraId="13FCA0F1" w14:textId="77777777" w:rsidR="003204EA" w:rsidRDefault="003204EA">
          <w:pPr>
            <w:autoSpaceDE w:val="0"/>
            <w:autoSpaceDN w:val="0"/>
            <w:ind w:hanging="640"/>
            <w:divId w:val="1151797464"/>
            <w:rPr>
              <w:rFonts w:eastAsia="Times New Roman"/>
            </w:rPr>
          </w:pPr>
          <w:r>
            <w:rPr>
              <w:rFonts w:eastAsia="Times New Roman"/>
            </w:rPr>
            <w:t>5.</w:t>
          </w:r>
          <w:r>
            <w:rPr>
              <w:rFonts w:eastAsia="Times New Roman"/>
            </w:rPr>
            <w:tab/>
            <w:t xml:space="preserve">Lloyd, K. G., Steen, A. D., </w:t>
          </w:r>
          <w:proofErr w:type="spellStart"/>
          <w:r>
            <w:rPr>
              <w:rFonts w:eastAsia="Times New Roman"/>
            </w:rPr>
            <w:t>Ladau</w:t>
          </w:r>
          <w:proofErr w:type="spellEnd"/>
          <w:r>
            <w:rPr>
              <w:rFonts w:eastAsia="Times New Roman"/>
            </w:rPr>
            <w:t xml:space="preserve">, J., Yin, J. &amp; Crosby, L. Phylogenetically Novel Uncultured Microbial Cells Dominate Earth Microbiomes. </w:t>
          </w:r>
          <w:proofErr w:type="spellStart"/>
          <w:r>
            <w:rPr>
              <w:rFonts w:eastAsia="Times New Roman"/>
              <w:i/>
              <w:iCs/>
            </w:rPr>
            <w:t>mSystems</w:t>
          </w:r>
          <w:proofErr w:type="spellEnd"/>
          <w:r>
            <w:rPr>
              <w:rFonts w:eastAsia="Times New Roman"/>
            </w:rPr>
            <w:t xml:space="preserve"> </w:t>
          </w:r>
          <w:r>
            <w:rPr>
              <w:rFonts w:eastAsia="Times New Roman"/>
              <w:b/>
              <w:bCs/>
            </w:rPr>
            <w:t>3</w:t>
          </w:r>
          <w:r>
            <w:rPr>
              <w:rFonts w:eastAsia="Times New Roman"/>
            </w:rPr>
            <w:t>, (2018).</w:t>
          </w:r>
        </w:p>
        <w:p w14:paraId="5DB6F05A" w14:textId="77777777" w:rsidR="003204EA" w:rsidRDefault="003204EA">
          <w:pPr>
            <w:autoSpaceDE w:val="0"/>
            <w:autoSpaceDN w:val="0"/>
            <w:ind w:hanging="640"/>
            <w:divId w:val="1180779140"/>
            <w:rPr>
              <w:rFonts w:eastAsia="Times New Roman"/>
            </w:rPr>
          </w:pPr>
          <w:r>
            <w:rPr>
              <w:rFonts w:eastAsia="Times New Roman"/>
            </w:rPr>
            <w:t>6.</w:t>
          </w:r>
          <w:r>
            <w:rPr>
              <w:rFonts w:eastAsia="Times New Roman"/>
            </w:rPr>
            <w:tab/>
            <w:t xml:space="preserve">Liu, S. </w:t>
          </w:r>
          <w:r>
            <w:rPr>
              <w:rFonts w:eastAsia="Times New Roman"/>
              <w:i/>
              <w:iCs/>
            </w:rPr>
            <w:t>et al.</w:t>
          </w:r>
          <w:r>
            <w:rPr>
              <w:rFonts w:eastAsia="Times New Roman"/>
            </w:rPr>
            <w:t xml:space="preserve"> Opportunities and challenges of using metagenomic data to bring uncultured microbes into cultivation. </w:t>
          </w:r>
          <w:r>
            <w:rPr>
              <w:rFonts w:eastAsia="Times New Roman"/>
              <w:i/>
              <w:iCs/>
            </w:rPr>
            <w:t>Microbiome</w:t>
          </w:r>
          <w:r>
            <w:rPr>
              <w:rFonts w:eastAsia="Times New Roman"/>
            </w:rPr>
            <w:t xml:space="preserve"> </w:t>
          </w:r>
          <w:r>
            <w:rPr>
              <w:rFonts w:eastAsia="Times New Roman"/>
              <w:b/>
              <w:bCs/>
            </w:rPr>
            <w:t>10</w:t>
          </w:r>
          <w:r>
            <w:rPr>
              <w:rFonts w:eastAsia="Times New Roman"/>
            </w:rPr>
            <w:t>, 1–14 (2022).</w:t>
          </w:r>
        </w:p>
        <w:p w14:paraId="4E2F8C61" w14:textId="77777777" w:rsidR="003204EA" w:rsidRDefault="003204EA">
          <w:pPr>
            <w:autoSpaceDE w:val="0"/>
            <w:autoSpaceDN w:val="0"/>
            <w:ind w:hanging="640"/>
            <w:divId w:val="1260141904"/>
            <w:rPr>
              <w:rFonts w:eastAsia="Times New Roman"/>
            </w:rPr>
          </w:pPr>
          <w:r>
            <w:rPr>
              <w:rFonts w:eastAsia="Times New Roman"/>
            </w:rPr>
            <w:t>7.</w:t>
          </w:r>
          <w:r>
            <w:rPr>
              <w:rFonts w:eastAsia="Times New Roman"/>
            </w:rPr>
            <w:tab/>
          </w:r>
          <w:proofErr w:type="spellStart"/>
          <w:r>
            <w:rPr>
              <w:rFonts w:eastAsia="Times New Roman"/>
            </w:rPr>
            <w:t>Louca</w:t>
          </w:r>
          <w:proofErr w:type="spellEnd"/>
          <w:r>
            <w:rPr>
              <w:rFonts w:eastAsia="Times New Roman"/>
            </w:rPr>
            <w:t xml:space="preserve">, S. </w:t>
          </w:r>
          <w:r>
            <w:rPr>
              <w:rFonts w:eastAsia="Times New Roman"/>
              <w:i/>
              <w:iCs/>
            </w:rPr>
            <w:t>et al.</w:t>
          </w:r>
          <w:r>
            <w:rPr>
              <w:rFonts w:eastAsia="Times New Roman"/>
            </w:rPr>
            <w:t xml:space="preserve"> Function and functional redundancy in microbial systems. </w:t>
          </w:r>
          <w:r>
            <w:rPr>
              <w:rFonts w:eastAsia="Times New Roman"/>
              <w:i/>
              <w:iCs/>
            </w:rPr>
            <w:t>Nature Ecology and Evolution</w:t>
          </w:r>
          <w:r>
            <w:rPr>
              <w:rFonts w:eastAsia="Times New Roman"/>
            </w:rPr>
            <w:t xml:space="preserve"> </w:t>
          </w:r>
          <w:r>
            <w:rPr>
              <w:rFonts w:eastAsia="Times New Roman"/>
              <w:b/>
              <w:bCs/>
            </w:rPr>
            <w:t>2</w:t>
          </w:r>
          <w:r>
            <w:rPr>
              <w:rFonts w:eastAsia="Times New Roman"/>
            </w:rPr>
            <w:t>, 936–943 (2018).</w:t>
          </w:r>
        </w:p>
        <w:p w14:paraId="11293D5B" w14:textId="77777777" w:rsidR="003204EA" w:rsidRDefault="003204EA">
          <w:pPr>
            <w:autoSpaceDE w:val="0"/>
            <w:autoSpaceDN w:val="0"/>
            <w:ind w:hanging="640"/>
            <w:divId w:val="972563554"/>
            <w:rPr>
              <w:rFonts w:eastAsia="Times New Roman"/>
            </w:rPr>
          </w:pPr>
          <w:r>
            <w:rPr>
              <w:rFonts w:eastAsia="Times New Roman"/>
            </w:rPr>
            <w:t>8.</w:t>
          </w:r>
          <w:r>
            <w:rPr>
              <w:rFonts w:eastAsia="Times New Roman"/>
            </w:rPr>
            <w:tab/>
            <w:t xml:space="preserve">Marchesi, J. R. &amp; Ravel, J. The vocabulary of microbiome research: a proposal. </w:t>
          </w:r>
          <w:r>
            <w:rPr>
              <w:rFonts w:eastAsia="Times New Roman"/>
              <w:i/>
              <w:iCs/>
            </w:rPr>
            <w:t>Microbiome</w:t>
          </w:r>
          <w:r>
            <w:rPr>
              <w:rFonts w:eastAsia="Times New Roman"/>
            </w:rPr>
            <w:t xml:space="preserve"> </w:t>
          </w:r>
          <w:r>
            <w:rPr>
              <w:rFonts w:eastAsia="Times New Roman"/>
              <w:b/>
              <w:bCs/>
            </w:rPr>
            <w:t>3</w:t>
          </w:r>
          <w:r>
            <w:rPr>
              <w:rFonts w:eastAsia="Times New Roman"/>
            </w:rPr>
            <w:t>, 1–3 (2015).</w:t>
          </w:r>
        </w:p>
        <w:p w14:paraId="762396E9" w14:textId="77777777" w:rsidR="003204EA" w:rsidRDefault="003204EA">
          <w:pPr>
            <w:autoSpaceDE w:val="0"/>
            <w:autoSpaceDN w:val="0"/>
            <w:ind w:hanging="640"/>
            <w:divId w:val="1544826435"/>
            <w:rPr>
              <w:rFonts w:eastAsia="Times New Roman"/>
            </w:rPr>
          </w:pPr>
          <w:r>
            <w:rPr>
              <w:rFonts w:eastAsia="Times New Roman"/>
            </w:rPr>
            <w:t>9.</w:t>
          </w:r>
          <w:r>
            <w:rPr>
              <w:rFonts w:eastAsia="Times New Roman"/>
            </w:rPr>
            <w:tab/>
            <w:t xml:space="preserve">Berg, G. </w:t>
          </w:r>
          <w:r>
            <w:rPr>
              <w:rFonts w:eastAsia="Times New Roman"/>
              <w:i/>
              <w:iCs/>
            </w:rPr>
            <w:t>et al.</w:t>
          </w:r>
          <w:r>
            <w:rPr>
              <w:rFonts w:eastAsia="Times New Roman"/>
            </w:rPr>
            <w:t xml:space="preserve"> Correction to: Microbiome definition re-visited: old concepts and new challenges. </w:t>
          </w:r>
          <w:r>
            <w:rPr>
              <w:rFonts w:eastAsia="Times New Roman"/>
              <w:i/>
              <w:iCs/>
            </w:rPr>
            <w:t>Microbiome</w:t>
          </w:r>
          <w:r>
            <w:rPr>
              <w:rFonts w:eastAsia="Times New Roman"/>
            </w:rPr>
            <w:t xml:space="preserve"> </w:t>
          </w:r>
          <w:r>
            <w:rPr>
              <w:rFonts w:eastAsia="Times New Roman"/>
              <w:b/>
              <w:bCs/>
            </w:rPr>
            <w:t>8</w:t>
          </w:r>
          <w:r>
            <w:rPr>
              <w:rFonts w:eastAsia="Times New Roman"/>
            </w:rPr>
            <w:t>, 1–22 (2020).</w:t>
          </w:r>
        </w:p>
        <w:p w14:paraId="4E615417" w14:textId="77777777" w:rsidR="003204EA" w:rsidRDefault="003204EA">
          <w:pPr>
            <w:autoSpaceDE w:val="0"/>
            <w:autoSpaceDN w:val="0"/>
            <w:ind w:hanging="640"/>
            <w:divId w:val="1128859093"/>
            <w:rPr>
              <w:rFonts w:eastAsia="Times New Roman"/>
            </w:rPr>
          </w:pPr>
          <w:r>
            <w:rPr>
              <w:rFonts w:eastAsia="Times New Roman"/>
            </w:rPr>
            <w:t>10.</w:t>
          </w:r>
          <w:r>
            <w:rPr>
              <w:rFonts w:eastAsia="Times New Roman"/>
            </w:rPr>
            <w:tab/>
            <w:t xml:space="preserve">Peterson, J. </w:t>
          </w:r>
          <w:r>
            <w:rPr>
              <w:rFonts w:eastAsia="Times New Roman"/>
              <w:i/>
              <w:iCs/>
            </w:rPr>
            <w:t>et al.</w:t>
          </w:r>
          <w:r>
            <w:rPr>
              <w:rFonts w:eastAsia="Times New Roman"/>
            </w:rPr>
            <w:t xml:space="preserve"> The NIH Human Microbiome Project. </w:t>
          </w:r>
          <w:r>
            <w:rPr>
              <w:rFonts w:eastAsia="Times New Roman"/>
              <w:i/>
              <w:iCs/>
            </w:rPr>
            <w:t>Genome Research</w:t>
          </w:r>
          <w:r>
            <w:rPr>
              <w:rFonts w:eastAsia="Times New Roman"/>
            </w:rPr>
            <w:t xml:space="preserve"> </w:t>
          </w:r>
          <w:r>
            <w:rPr>
              <w:rFonts w:eastAsia="Times New Roman"/>
              <w:b/>
              <w:bCs/>
            </w:rPr>
            <w:t>19</w:t>
          </w:r>
          <w:r>
            <w:rPr>
              <w:rFonts w:eastAsia="Times New Roman"/>
            </w:rPr>
            <w:t>, 2317–2323 (2009).</w:t>
          </w:r>
        </w:p>
        <w:p w14:paraId="06E3E27B" w14:textId="77777777" w:rsidR="003204EA" w:rsidRDefault="003204EA">
          <w:pPr>
            <w:autoSpaceDE w:val="0"/>
            <w:autoSpaceDN w:val="0"/>
            <w:ind w:hanging="640"/>
            <w:divId w:val="1478719729"/>
            <w:rPr>
              <w:rFonts w:eastAsia="Times New Roman"/>
            </w:rPr>
          </w:pPr>
          <w:r>
            <w:rPr>
              <w:rFonts w:eastAsia="Times New Roman"/>
            </w:rPr>
            <w:t>11.</w:t>
          </w:r>
          <w:r>
            <w:rPr>
              <w:rFonts w:eastAsia="Times New Roman"/>
            </w:rPr>
            <w:tab/>
            <w:t xml:space="preserve">Thompson, L. R. </w:t>
          </w:r>
          <w:r>
            <w:rPr>
              <w:rFonts w:eastAsia="Times New Roman"/>
              <w:i/>
              <w:iCs/>
            </w:rPr>
            <w:t>et al.</w:t>
          </w:r>
          <w:r>
            <w:rPr>
              <w:rFonts w:eastAsia="Times New Roman"/>
            </w:rPr>
            <w:t xml:space="preserve"> A communal catalogue reveals Earth’s multiscale microbial diversity. </w:t>
          </w:r>
          <w:r>
            <w:rPr>
              <w:rFonts w:eastAsia="Times New Roman"/>
              <w:i/>
              <w:iCs/>
            </w:rPr>
            <w:t>Nature</w:t>
          </w:r>
          <w:r>
            <w:rPr>
              <w:rFonts w:eastAsia="Times New Roman"/>
            </w:rPr>
            <w:t xml:space="preserve"> </w:t>
          </w:r>
          <w:r>
            <w:rPr>
              <w:rFonts w:eastAsia="Times New Roman"/>
              <w:b/>
              <w:bCs/>
            </w:rPr>
            <w:t>551</w:t>
          </w:r>
          <w:r>
            <w:rPr>
              <w:rFonts w:eastAsia="Times New Roman"/>
            </w:rPr>
            <w:t>, 457–463 (2017).</w:t>
          </w:r>
        </w:p>
        <w:p w14:paraId="6F744047" w14:textId="77777777" w:rsidR="003204EA" w:rsidRDefault="003204EA">
          <w:pPr>
            <w:autoSpaceDE w:val="0"/>
            <w:autoSpaceDN w:val="0"/>
            <w:ind w:hanging="640"/>
            <w:divId w:val="1397360718"/>
            <w:rPr>
              <w:rFonts w:eastAsia="Times New Roman"/>
            </w:rPr>
          </w:pPr>
          <w:r>
            <w:rPr>
              <w:rFonts w:eastAsia="Times New Roman"/>
            </w:rPr>
            <w:t>12.</w:t>
          </w:r>
          <w:r>
            <w:rPr>
              <w:rFonts w:eastAsia="Times New Roman"/>
            </w:rPr>
            <w:tab/>
            <w:t xml:space="preserve">Vogel, T. M. </w:t>
          </w:r>
          <w:r>
            <w:rPr>
              <w:rFonts w:eastAsia="Times New Roman"/>
              <w:i/>
              <w:iCs/>
            </w:rPr>
            <w:t>et al.</w:t>
          </w:r>
          <w:r>
            <w:rPr>
              <w:rFonts w:eastAsia="Times New Roman"/>
            </w:rPr>
            <w:t xml:space="preserve"> </w:t>
          </w:r>
          <w:proofErr w:type="spellStart"/>
          <w:r>
            <w:rPr>
              <w:rFonts w:eastAsia="Times New Roman"/>
            </w:rPr>
            <w:t>TerraGenome</w:t>
          </w:r>
          <w:proofErr w:type="spellEnd"/>
          <w:r>
            <w:rPr>
              <w:rFonts w:eastAsia="Times New Roman"/>
            </w:rPr>
            <w:t xml:space="preserve"> : a consortium for the sequencing of a soil metagenome. </w:t>
          </w:r>
          <w:r>
            <w:rPr>
              <w:rFonts w:eastAsia="Times New Roman"/>
              <w:i/>
              <w:iCs/>
            </w:rPr>
            <w:t>Nature Reviews Microbiology</w:t>
          </w:r>
          <w:r>
            <w:rPr>
              <w:rFonts w:eastAsia="Times New Roman"/>
            </w:rPr>
            <w:t xml:space="preserve"> </w:t>
          </w:r>
          <w:r>
            <w:rPr>
              <w:rFonts w:eastAsia="Times New Roman"/>
              <w:b/>
              <w:bCs/>
            </w:rPr>
            <w:t>7</w:t>
          </w:r>
          <w:r>
            <w:rPr>
              <w:rFonts w:eastAsia="Times New Roman"/>
            </w:rPr>
            <w:t>, 2009 (2009).</w:t>
          </w:r>
        </w:p>
        <w:p w14:paraId="59D2DB74" w14:textId="77777777" w:rsidR="003204EA" w:rsidRDefault="003204EA">
          <w:pPr>
            <w:autoSpaceDE w:val="0"/>
            <w:autoSpaceDN w:val="0"/>
            <w:ind w:hanging="640"/>
            <w:divId w:val="457845064"/>
            <w:rPr>
              <w:rFonts w:eastAsia="Times New Roman"/>
            </w:rPr>
          </w:pPr>
          <w:r>
            <w:rPr>
              <w:rFonts w:eastAsia="Times New Roman"/>
            </w:rPr>
            <w:t>13.</w:t>
          </w:r>
          <w:r>
            <w:rPr>
              <w:rFonts w:eastAsia="Times New Roman"/>
            </w:rPr>
            <w:tab/>
            <w:t xml:space="preserve">Knight, R. </w:t>
          </w:r>
          <w:r>
            <w:rPr>
              <w:rFonts w:eastAsia="Times New Roman"/>
              <w:i/>
              <w:iCs/>
            </w:rPr>
            <w:t>et al.</w:t>
          </w:r>
          <w:r>
            <w:rPr>
              <w:rFonts w:eastAsia="Times New Roman"/>
            </w:rPr>
            <w:t xml:space="preserve"> </w:t>
          </w:r>
          <w:proofErr w:type="gramStart"/>
          <w:r>
            <w:rPr>
              <w:rFonts w:eastAsia="Times New Roman"/>
            </w:rPr>
            <w:t>Best</w:t>
          </w:r>
          <w:proofErr w:type="gramEnd"/>
          <w:r>
            <w:rPr>
              <w:rFonts w:eastAsia="Times New Roman"/>
            </w:rPr>
            <w:t xml:space="preserve"> practices for </w:t>
          </w:r>
          <w:proofErr w:type="spellStart"/>
          <w:r>
            <w:rPr>
              <w:rFonts w:eastAsia="Times New Roman"/>
            </w:rPr>
            <w:t>analysing</w:t>
          </w:r>
          <w:proofErr w:type="spellEnd"/>
          <w:r>
            <w:rPr>
              <w:rFonts w:eastAsia="Times New Roman"/>
            </w:rPr>
            <w:t xml:space="preserve"> microbiomes. </w:t>
          </w:r>
          <w:r>
            <w:rPr>
              <w:rFonts w:eastAsia="Times New Roman"/>
              <w:i/>
              <w:iCs/>
            </w:rPr>
            <w:t>Nature Reviews Microbiology</w:t>
          </w:r>
          <w:r>
            <w:rPr>
              <w:rFonts w:eastAsia="Times New Roman"/>
            </w:rPr>
            <w:t xml:space="preserve"> </w:t>
          </w:r>
          <w:r>
            <w:rPr>
              <w:rFonts w:eastAsia="Times New Roman"/>
              <w:b/>
              <w:bCs/>
            </w:rPr>
            <w:t>16</w:t>
          </w:r>
          <w:r>
            <w:rPr>
              <w:rFonts w:eastAsia="Times New Roman"/>
            </w:rPr>
            <w:t>, 410–422 (2018).</w:t>
          </w:r>
        </w:p>
        <w:p w14:paraId="0939CE21" w14:textId="77777777" w:rsidR="003204EA" w:rsidRDefault="003204EA">
          <w:pPr>
            <w:autoSpaceDE w:val="0"/>
            <w:autoSpaceDN w:val="0"/>
            <w:ind w:hanging="640"/>
            <w:divId w:val="979650271"/>
            <w:rPr>
              <w:rFonts w:eastAsia="Times New Roman"/>
            </w:rPr>
          </w:pPr>
          <w:r>
            <w:rPr>
              <w:rFonts w:eastAsia="Times New Roman"/>
            </w:rPr>
            <w:t>14.</w:t>
          </w:r>
          <w:r>
            <w:rPr>
              <w:rFonts w:eastAsia="Times New Roman"/>
            </w:rPr>
            <w:tab/>
            <w:t xml:space="preserve">Salter, S. J. </w:t>
          </w:r>
          <w:r>
            <w:rPr>
              <w:rFonts w:eastAsia="Times New Roman"/>
              <w:i/>
              <w:iCs/>
            </w:rPr>
            <w:t>et al.</w:t>
          </w:r>
          <w:r>
            <w:rPr>
              <w:rFonts w:eastAsia="Times New Roman"/>
            </w:rPr>
            <w:t xml:space="preserve"> Reagent and laboratory contamination can critically impact sequence-based microbiome analyses. </w:t>
          </w:r>
          <w:r>
            <w:rPr>
              <w:rFonts w:eastAsia="Times New Roman"/>
              <w:i/>
              <w:iCs/>
            </w:rPr>
            <w:t>BMC Biology</w:t>
          </w:r>
          <w:r>
            <w:rPr>
              <w:rFonts w:eastAsia="Times New Roman"/>
            </w:rPr>
            <w:t xml:space="preserve"> </w:t>
          </w:r>
          <w:r>
            <w:rPr>
              <w:rFonts w:eastAsia="Times New Roman"/>
              <w:b/>
              <w:bCs/>
            </w:rPr>
            <w:t>12</w:t>
          </w:r>
          <w:r>
            <w:rPr>
              <w:rFonts w:eastAsia="Times New Roman"/>
            </w:rPr>
            <w:t>, 1–12 (2014).</w:t>
          </w:r>
        </w:p>
        <w:p w14:paraId="09A58B6D" w14:textId="77777777" w:rsidR="003204EA" w:rsidRDefault="003204EA">
          <w:pPr>
            <w:autoSpaceDE w:val="0"/>
            <w:autoSpaceDN w:val="0"/>
            <w:ind w:hanging="640"/>
            <w:divId w:val="1764446676"/>
            <w:rPr>
              <w:rFonts w:eastAsia="Times New Roman"/>
            </w:rPr>
          </w:pPr>
          <w:r>
            <w:rPr>
              <w:rFonts w:eastAsia="Times New Roman"/>
            </w:rPr>
            <w:t>15.</w:t>
          </w:r>
          <w:r>
            <w:rPr>
              <w:rFonts w:eastAsia="Times New Roman"/>
            </w:rPr>
            <w:tab/>
            <w:t xml:space="preserve">Bilen, M. </w:t>
          </w:r>
          <w:r>
            <w:rPr>
              <w:rFonts w:eastAsia="Times New Roman"/>
              <w:i/>
              <w:iCs/>
            </w:rPr>
            <w:t>et al.</w:t>
          </w:r>
          <w:r>
            <w:rPr>
              <w:rFonts w:eastAsia="Times New Roman"/>
            </w:rPr>
            <w:t xml:space="preserve"> The contribution of culturomics to the repertoire of isolated human bacterial and archaeal species. </w:t>
          </w:r>
          <w:r>
            <w:rPr>
              <w:rFonts w:eastAsia="Times New Roman"/>
              <w:i/>
              <w:iCs/>
            </w:rPr>
            <w:t>Microbiome</w:t>
          </w:r>
          <w:r>
            <w:rPr>
              <w:rFonts w:eastAsia="Times New Roman"/>
            </w:rPr>
            <w:t xml:space="preserve"> </w:t>
          </w:r>
          <w:r>
            <w:rPr>
              <w:rFonts w:eastAsia="Times New Roman"/>
              <w:b/>
              <w:bCs/>
            </w:rPr>
            <w:t>6</w:t>
          </w:r>
          <w:r>
            <w:rPr>
              <w:rFonts w:eastAsia="Times New Roman"/>
            </w:rPr>
            <w:t>, 1–11 (2018).</w:t>
          </w:r>
        </w:p>
        <w:p w14:paraId="2EE29A5B" w14:textId="77777777" w:rsidR="003204EA" w:rsidRDefault="003204EA">
          <w:pPr>
            <w:autoSpaceDE w:val="0"/>
            <w:autoSpaceDN w:val="0"/>
            <w:ind w:hanging="640"/>
            <w:divId w:val="1673945686"/>
            <w:rPr>
              <w:rFonts w:eastAsia="Times New Roman"/>
            </w:rPr>
          </w:pPr>
          <w:r>
            <w:rPr>
              <w:rFonts w:eastAsia="Times New Roman"/>
            </w:rPr>
            <w:t>16.</w:t>
          </w:r>
          <w:r>
            <w:rPr>
              <w:rFonts w:eastAsia="Times New Roman"/>
            </w:rPr>
            <w:tab/>
          </w:r>
          <w:proofErr w:type="spellStart"/>
          <w:r>
            <w:rPr>
              <w:rFonts w:eastAsia="Times New Roman"/>
            </w:rPr>
            <w:t>Lagier</w:t>
          </w:r>
          <w:proofErr w:type="spellEnd"/>
          <w:r>
            <w:rPr>
              <w:rFonts w:eastAsia="Times New Roman"/>
            </w:rPr>
            <w:t xml:space="preserve">, J. C. </w:t>
          </w:r>
          <w:r>
            <w:rPr>
              <w:rFonts w:eastAsia="Times New Roman"/>
              <w:i/>
              <w:iCs/>
            </w:rPr>
            <w:t>et al.</w:t>
          </w:r>
          <w:r>
            <w:rPr>
              <w:rFonts w:eastAsia="Times New Roman"/>
            </w:rPr>
            <w:t xml:space="preserve"> Microbial culturomics: Paradigm shift in the human gut microbiome study. </w:t>
          </w:r>
          <w:r>
            <w:rPr>
              <w:rFonts w:eastAsia="Times New Roman"/>
              <w:i/>
              <w:iCs/>
            </w:rPr>
            <w:t>Clinical Microbiology and Infection</w:t>
          </w:r>
          <w:r>
            <w:rPr>
              <w:rFonts w:eastAsia="Times New Roman"/>
            </w:rPr>
            <w:t xml:space="preserve"> </w:t>
          </w:r>
          <w:r>
            <w:rPr>
              <w:rFonts w:eastAsia="Times New Roman"/>
              <w:b/>
              <w:bCs/>
            </w:rPr>
            <w:t>18</w:t>
          </w:r>
          <w:r>
            <w:rPr>
              <w:rFonts w:eastAsia="Times New Roman"/>
            </w:rPr>
            <w:t>, 1185–1193 (2012).</w:t>
          </w:r>
        </w:p>
        <w:p w14:paraId="46487305" w14:textId="77777777" w:rsidR="003204EA" w:rsidRDefault="003204EA">
          <w:pPr>
            <w:autoSpaceDE w:val="0"/>
            <w:autoSpaceDN w:val="0"/>
            <w:ind w:hanging="640"/>
            <w:divId w:val="498546703"/>
            <w:rPr>
              <w:rFonts w:eastAsia="Times New Roman"/>
            </w:rPr>
          </w:pPr>
          <w:r>
            <w:rPr>
              <w:rFonts w:eastAsia="Times New Roman"/>
            </w:rPr>
            <w:t>17.</w:t>
          </w:r>
          <w:r>
            <w:rPr>
              <w:rFonts w:eastAsia="Times New Roman"/>
            </w:rPr>
            <w:tab/>
            <w:t xml:space="preserve">Milo, R. What is the total number of protein molecules per cell volume? A call to rethink some published values. </w:t>
          </w:r>
          <w:proofErr w:type="spellStart"/>
          <w:r>
            <w:rPr>
              <w:rFonts w:eastAsia="Times New Roman"/>
              <w:i/>
              <w:iCs/>
            </w:rPr>
            <w:t>BioEssays</w:t>
          </w:r>
          <w:proofErr w:type="spellEnd"/>
          <w:r>
            <w:rPr>
              <w:rFonts w:eastAsia="Times New Roman"/>
            </w:rPr>
            <w:t xml:space="preserve"> </w:t>
          </w:r>
          <w:r>
            <w:rPr>
              <w:rFonts w:eastAsia="Times New Roman"/>
              <w:b/>
              <w:bCs/>
            </w:rPr>
            <w:t>35</w:t>
          </w:r>
          <w:r>
            <w:rPr>
              <w:rFonts w:eastAsia="Times New Roman"/>
            </w:rPr>
            <w:t>, 1050–1055 (2013).</w:t>
          </w:r>
        </w:p>
        <w:p w14:paraId="6471581D" w14:textId="77777777" w:rsidR="003204EA" w:rsidRDefault="003204EA">
          <w:pPr>
            <w:autoSpaceDE w:val="0"/>
            <w:autoSpaceDN w:val="0"/>
            <w:ind w:hanging="640"/>
            <w:divId w:val="1026101430"/>
            <w:rPr>
              <w:rFonts w:eastAsia="Times New Roman"/>
            </w:rPr>
          </w:pPr>
          <w:r>
            <w:rPr>
              <w:rFonts w:eastAsia="Times New Roman"/>
            </w:rPr>
            <w:t>18.</w:t>
          </w:r>
          <w:r>
            <w:rPr>
              <w:rFonts w:eastAsia="Times New Roman"/>
            </w:rPr>
            <w:tab/>
            <w:t xml:space="preserve">Vogel, C. &amp; Marcotte, E. M. Insights into the regulation of protein abundance from proteomic and transcriptomic analyses. </w:t>
          </w:r>
          <w:r>
            <w:rPr>
              <w:rFonts w:eastAsia="Times New Roman"/>
              <w:i/>
              <w:iCs/>
            </w:rPr>
            <w:t>Nature Reviews Genetics</w:t>
          </w:r>
          <w:r>
            <w:rPr>
              <w:rFonts w:eastAsia="Times New Roman"/>
            </w:rPr>
            <w:t xml:space="preserve"> </w:t>
          </w:r>
          <w:r>
            <w:rPr>
              <w:rFonts w:eastAsia="Times New Roman"/>
              <w:b/>
              <w:bCs/>
            </w:rPr>
            <w:t>13</w:t>
          </w:r>
          <w:r>
            <w:rPr>
              <w:rFonts w:eastAsia="Times New Roman"/>
            </w:rPr>
            <w:t>, 227–232 (2012).</w:t>
          </w:r>
        </w:p>
        <w:p w14:paraId="6B4E2D72" w14:textId="77777777" w:rsidR="003204EA" w:rsidRDefault="003204EA">
          <w:pPr>
            <w:autoSpaceDE w:val="0"/>
            <w:autoSpaceDN w:val="0"/>
            <w:ind w:hanging="640"/>
            <w:divId w:val="475804579"/>
            <w:rPr>
              <w:rFonts w:eastAsia="Times New Roman"/>
            </w:rPr>
          </w:pPr>
          <w:r>
            <w:rPr>
              <w:rFonts w:eastAsia="Times New Roman"/>
            </w:rPr>
            <w:t>19.</w:t>
          </w:r>
          <w:r>
            <w:rPr>
              <w:rFonts w:eastAsia="Times New Roman"/>
            </w:rPr>
            <w:tab/>
            <w:t xml:space="preserve">Gillet, L. C., Leitner, A. &amp; </w:t>
          </w:r>
          <w:proofErr w:type="spellStart"/>
          <w:r>
            <w:rPr>
              <w:rFonts w:eastAsia="Times New Roman"/>
            </w:rPr>
            <w:t>Aebersold</w:t>
          </w:r>
          <w:proofErr w:type="spellEnd"/>
          <w:r>
            <w:rPr>
              <w:rFonts w:eastAsia="Times New Roman"/>
            </w:rPr>
            <w:t xml:space="preserve">, R. Mass Spectrometry Applied to Bottom-Up Proteomics: Entering the High-Throughput Era for Hypothesis Testing. </w:t>
          </w:r>
          <w:r>
            <w:rPr>
              <w:rFonts w:eastAsia="Times New Roman"/>
              <w:i/>
              <w:iCs/>
            </w:rPr>
            <w:t>Annual Review of Analytical Chemistry</w:t>
          </w:r>
          <w:r>
            <w:rPr>
              <w:rFonts w:eastAsia="Times New Roman"/>
            </w:rPr>
            <w:t xml:space="preserve"> </w:t>
          </w:r>
          <w:r>
            <w:rPr>
              <w:rFonts w:eastAsia="Times New Roman"/>
              <w:b/>
              <w:bCs/>
            </w:rPr>
            <w:t>9</w:t>
          </w:r>
          <w:r>
            <w:rPr>
              <w:rFonts w:eastAsia="Times New Roman"/>
            </w:rPr>
            <w:t>, 449–472 (2016).</w:t>
          </w:r>
        </w:p>
        <w:p w14:paraId="3132513F" w14:textId="77777777" w:rsidR="003204EA" w:rsidRDefault="003204EA">
          <w:pPr>
            <w:autoSpaceDE w:val="0"/>
            <w:autoSpaceDN w:val="0"/>
            <w:ind w:hanging="640"/>
            <w:divId w:val="277226014"/>
            <w:rPr>
              <w:rFonts w:eastAsia="Times New Roman"/>
            </w:rPr>
          </w:pPr>
          <w:r>
            <w:rPr>
              <w:rFonts w:eastAsia="Times New Roman"/>
            </w:rPr>
            <w:t>20.</w:t>
          </w:r>
          <w:r>
            <w:rPr>
              <w:rFonts w:eastAsia="Times New Roman"/>
            </w:rPr>
            <w:tab/>
          </w:r>
          <w:proofErr w:type="spellStart"/>
          <w:r>
            <w:rPr>
              <w:rFonts w:eastAsia="Times New Roman"/>
            </w:rPr>
            <w:t>Zuñiga</w:t>
          </w:r>
          <w:proofErr w:type="spellEnd"/>
          <w:r>
            <w:rPr>
              <w:rFonts w:eastAsia="Times New Roman"/>
            </w:rPr>
            <w:t xml:space="preserve">, C., </w:t>
          </w:r>
          <w:proofErr w:type="spellStart"/>
          <w:r>
            <w:rPr>
              <w:rFonts w:eastAsia="Times New Roman"/>
            </w:rPr>
            <w:t>Zaramela</w:t>
          </w:r>
          <w:proofErr w:type="spellEnd"/>
          <w:r>
            <w:rPr>
              <w:rFonts w:eastAsia="Times New Roman"/>
            </w:rPr>
            <w:t xml:space="preserve">, L. &amp; </w:t>
          </w:r>
          <w:proofErr w:type="spellStart"/>
          <w:r>
            <w:rPr>
              <w:rFonts w:eastAsia="Times New Roman"/>
            </w:rPr>
            <w:t>Zengler</w:t>
          </w:r>
          <w:proofErr w:type="spellEnd"/>
          <w:r>
            <w:rPr>
              <w:rFonts w:eastAsia="Times New Roman"/>
            </w:rPr>
            <w:t xml:space="preserve">, K. Elucidation of complexity and prediction of interactions in microbial communities. </w:t>
          </w:r>
          <w:r>
            <w:rPr>
              <w:rFonts w:eastAsia="Times New Roman"/>
              <w:i/>
              <w:iCs/>
            </w:rPr>
            <w:t>Microbial Biotechnology</w:t>
          </w:r>
          <w:r>
            <w:rPr>
              <w:rFonts w:eastAsia="Times New Roman"/>
            </w:rPr>
            <w:t xml:space="preserve"> </w:t>
          </w:r>
          <w:r>
            <w:rPr>
              <w:rFonts w:eastAsia="Times New Roman"/>
              <w:b/>
              <w:bCs/>
            </w:rPr>
            <w:t>10</w:t>
          </w:r>
          <w:r>
            <w:rPr>
              <w:rFonts w:eastAsia="Times New Roman"/>
            </w:rPr>
            <w:t>, 1500–1522 (2017).</w:t>
          </w:r>
        </w:p>
        <w:p w14:paraId="7263A7D7" w14:textId="77777777" w:rsidR="003204EA" w:rsidRDefault="003204EA">
          <w:pPr>
            <w:autoSpaceDE w:val="0"/>
            <w:autoSpaceDN w:val="0"/>
            <w:ind w:hanging="640"/>
            <w:divId w:val="1733045403"/>
            <w:rPr>
              <w:rFonts w:eastAsia="Times New Roman"/>
            </w:rPr>
          </w:pPr>
          <w:r>
            <w:rPr>
              <w:rFonts w:eastAsia="Times New Roman"/>
            </w:rPr>
            <w:t>21.</w:t>
          </w:r>
          <w:r>
            <w:rPr>
              <w:rFonts w:eastAsia="Times New Roman"/>
            </w:rPr>
            <w:tab/>
          </w:r>
          <w:proofErr w:type="spellStart"/>
          <w:r>
            <w:rPr>
              <w:rFonts w:eastAsia="Times New Roman"/>
            </w:rPr>
            <w:t>Wilmes</w:t>
          </w:r>
          <w:proofErr w:type="spellEnd"/>
          <w:r>
            <w:rPr>
              <w:rFonts w:eastAsia="Times New Roman"/>
            </w:rPr>
            <w:t xml:space="preserve">, P. &amp; Bond, P. L. The application of two-dimensional polyacrylamide gel electrophoresis and downstream analyses to a mixed community of prokaryotic microorganisms. </w:t>
          </w:r>
          <w:r>
            <w:rPr>
              <w:rFonts w:eastAsia="Times New Roman"/>
              <w:i/>
              <w:iCs/>
            </w:rPr>
            <w:t>Environmental Microbiology</w:t>
          </w:r>
          <w:r>
            <w:rPr>
              <w:rFonts w:eastAsia="Times New Roman"/>
            </w:rPr>
            <w:t xml:space="preserve"> </w:t>
          </w:r>
          <w:r>
            <w:rPr>
              <w:rFonts w:eastAsia="Times New Roman"/>
              <w:b/>
              <w:bCs/>
            </w:rPr>
            <w:t>6</w:t>
          </w:r>
          <w:r>
            <w:rPr>
              <w:rFonts w:eastAsia="Times New Roman"/>
            </w:rPr>
            <w:t>, 911–920 (2004).</w:t>
          </w:r>
        </w:p>
        <w:p w14:paraId="742AC7A8" w14:textId="77777777" w:rsidR="003204EA" w:rsidRDefault="003204EA">
          <w:pPr>
            <w:autoSpaceDE w:val="0"/>
            <w:autoSpaceDN w:val="0"/>
            <w:ind w:hanging="640"/>
            <w:divId w:val="1509563219"/>
            <w:rPr>
              <w:rFonts w:eastAsia="Times New Roman"/>
            </w:rPr>
          </w:pPr>
          <w:r>
            <w:rPr>
              <w:rFonts w:eastAsia="Times New Roman"/>
            </w:rPr>
            <w:t>22.</w:t>
          </w:r>
          <w:r>
            <w:rPr>
              <w:rFonts w:eastAsia="Times New Roman"/>
            </w:rPr>
            <w:tab/>
            <w:t xml:space="preserve">Ram, R. J. </w:t>
          </w:r>
          <w:r>
            <w:rPr>
              <w:rFonts w:eastAsia="Times New Roman"/>
              <w:i/>
              <w:iCs/>
            </w:rPr>
            <w:t>et al.</w:t>
          </w:r>
          <w:r>
            <w:rPr>
              <w:rFonts w:eastAsia="Times New Roman"/>
            </w:rPr>
            <w:t xml:space="preserve"> Microbiology: Community proteomics of a natural microbial biofilm. </w:t>
          </w:r>
          <w:r>
            <w:rPr>
              <w:rFonts w:eastAsia="Times New Roman"/>
              <w:i/>
              <w:iCs/>
            </w:rPr>
            <w:t>Science (1979)</w:t>
          </w:r>
          <w:r>
            <w:rPr>
              <w:rFonts w:eastAsia="Times New Roman"/>
            </w:rPr>
            <w:t xml:space="preserve"> </w:t>
          </w:r>
          <w:r>
            <w:rPr>
              <w:rFonts w:eastAsia="Times New Roman"/>
              <w:b/>
              <w:bCs/>
            </w:rPr>
            <w:t>308</w:t>
          </w:r>
          <w:r>
            <w:rPr>
              <w:rFonts w:eastAsia="Times New Roman"/>
            </w:rPr>
            <w:t>, 1915–1920 (2005).</w:t>
          </w:r>
        </w:p>
        <w:p w14:paraId="283A6F3E" w14:textId="77777777" w:rsidR="003204EA" w:rsidRDefault="003204EA">
          <w:pPr>
            <w:autoSpaceDE w:val="0"/>
            <w:autoSpaceDN w:val="0"/>
            <w:ind w:hanging="640"/>
            <w:divId w:val="1244560233"/>
            <w:rPr>
              <w:rFonts w:eastAsia="Times New Roman"/>
            </w:rPr>
          </w:pPr>
          <w:r>
            <w:rPr>
              <w:rFonts w:eastAsia="Times New Roman"/>
            </w:rPr>
            <w:t>23.</w:t>
          </w:r>
          <w:r>
            <w:rPr>
              <w:rFonts w:eastAsia="Times New Roman"/>
            </w:rPr>
            <w:tab/>
            <w:t xml:space="preserve">Herbst, F. A. </w:t>
          </w:r>
          <w:r>
            <w:rPr>
              <w:rFonts w:eastAsia="Times New Roman"/>
              <w:i/>
              <w:iCs/>
            </w:rPr>
            <w:t>et al.</w:t>
          </w:r>
          <w:r>
            <w:rPr>
              <w:rFonts w:eastAsia="Times New Roman"/>
            </w:rPr>
            <w:t xml:space="preserve"> Enhancing metaproteomics-The value of models and defined environmental microbial systems. </w:t>
          </w:r>
          <w:r>
            <w:rPr>
              <w:rFonts w:eastAsia="Times New Roman"/>
              <w:i/>
              <w:iCs/>
            </w:rPr>
            <w:t>Proteomics</w:t>
          </w:r>
          <w:r>
            <w:rPr>
              <w:rFonts w:eastAsia="Times New Roman"/>
            </w:rPr>
            <w:t xml:space="preserve"> </w:t>
          </w:r>
          <w:r>
            <w:rPr>
              <w:rFonts w:eastAsia="Times New Roman"/>
              <w:b/>
              <w:bCs/>
            </w:rPr>
            <w:t>16</w:t>
          </w:r>
          <w:r>
            <w:rPr>
              <w:rFonts w:eastAsia="Times New Roman"/>
            </w:rPr>
            <w:t>, 783–798 (2016).</w:t>
          </w:r>
        </w:p>
        <w:p w14:paraId="64CA7710" w14:textId="77777777" w:rsidR="003204EA" w:rsidRDefault="003204EA">
          <w:pPr>
            <w:autoSpaceDE w:val="0"/>
            <w:autoSpaceDN w:val="0"/>
            <w:ind w:hanging="640"/>
            <w:divId w:val="179047970"/>
            <w:rPr>
              <w:rFonts w:eastAsia="Times New Roman"/>
            </w:rPr>
          </w:pPr>
          <w:r>
            <w:rPr>
              <w:rFonts w:eastAsia="Times New Roman"/>
            </w:rPr>
            <w:t>24.</w:t>
          </w:r>
          <w:r>
            <w:rPr>
              <w:rFonts w:eastAsia="Times New Roman"/>
            </w:rPr>
            <w:tab/>
            <w:t xml:space="preserve">Zhang, X. </w:t>
          </w:r>
          <w:r>
            <w:rPr>
              <w:rFonts w:eastAsia="Times New Roman"/>
              <w:i/>
              <w:iCs/>
            </w:rPr>
            <w:t>et al.</w:t>
          </w:r>
          <w:r>
            <w:rPr>
              <w:rFonts w:eastAsia="Times New Roman"/>
            </w:rPr>
            <w:t xml:space="preserve"> Metaproteomics reveals associations between microbiome and intestinal extracellular vesicle proteins in pediatric inflammatory bowel disease. </w:t>
          </w:r>
          <w:r>
            <w:rPr>
              <w:rFonts w:eastAsia="Times New Roman"/>
              <w:i/>
              <w:iCs/>
            </w:rPr>
            <w:t>Nature Communications</w:t>
          </w:r>
          <w:r>
            <w:rPr>
              <w:rFonts w:eastAsia="Times New Roman"/>
            </w:rPr>
            <w:t xml:space="preserve"> </w:t>
          </w:r>
          <w:r>
            <w:rPr>
              <w:rFonts w:eastAsia="Times New Roman"/>
              <w:b/>
              <w:bCs/>
            </w:rPr>
            <w:t>9</w:t>
          </w:r>
          <w:r>
            <w:rPr>
              <w:rFonts w:eastAsia="Times New Roman"/>
            </w:rPr>
            <w:t>, 1–14 (2018).</w:t>
          </w:r>
        </w:p>
        <w:p w14:paraId="46467CF9" w14:textId="77777777" w:rsidR="003204EA" w:rsidRDefault="003204EA">
          <w:pPr>
            <w:autoSpaceDE w:val="0"/>
            <w:autoSpaceDN w:val="0"/>
            <w:ind w:hanging="640"/>
            <w:divId w:val="922840798"/>
            <w:rPr>
              <w:rFonts w:eastAsia="Times New Roman"/>
            </w:rPr>
          </w:pPr>
          <w:r>
            <w:rPr>
              <w:rFonts w:eastAsia="Times New Roman"/>
            </w:rPr>
            <w:t>25.</w:t>
          </w:r>
          <w:r>
            <w:rPr>
              <w:rFonts w:eastAsia="Times New Roman"/>
            </w:rPr>
            <w:tab/>
            <w:t xml:space="preserve">Moya, A. &amp; Ferrer, M. Functional Redundancy-Induced Stability of Gut Microbiota Subjected to Disturbance. </w:t>
          </w:r>
          <w:r>
            <w:rPr>
              <w:rFonts w:eastAsia="Times New Roman"/>
              <w:i/>
              <w:iCs/>
            </w:rPr>
            <w:t>Trends in Microbiology</w:t>
          </w:r>
          <w:r>
            <w:rPr>
              <w:rFonts w:eastAsia="Times New Roman"/>
            </w:rPr>
            <w:t xml:space="preserve"> vol. 24 Preprint at https://doi.org/10.1016/j.tim.2016.02.002 (2016).</w:t>
          </w:r>
        </w:p>
        <w:p w14:paraId="19354655" w14:textId="77777777" w:rsidR="003204EA" w:rsidRDefault="003204EA">
          <w:pPr>
            <w:autoSpaceDE w:val="0"/>
            <w:autoSpaceDN w:val="0"/>
            <w:ind w:hanging="640"/>
            <w:divId w:val="1377196565"/>
            <w:rPr>
              <w:rFonts w:eastAsia="Times New Roman"/>
            </w:rPr>
          </w:pPr>
          <w:r>
            <w:rPr>
              <w:rFonts w:eastAsia="Times New Roman"/>
            </w:rPr>
            <w:t>26.</w:t>
          </w:r>
          <w:r>
            <w:rPr>
              <w:rFonts w:eastAsia="Times New Roman"/>
            </w:rPr>
            <w:tab/>
          </w:r>
          <w:proofErr w:type="spellStart"/>
          <w:r>
            <w:rPr>
              <w:rFonts w:eastAsia="Times New Roman"/>
            </w:rPr>
            <w:t>Verberkmoes</w:t>
          </w:r>
          <w:proofErr w:type="spellEnd"/>
          <w:r>
            <w:rPr>
              <w:rFonts w:eastAsia="Times New Roman"/>
            </w:rPr>
            <w:t xml:space="preserve">, N. C. </w:t>
          </w:r>
          <w:r>
            <w:rPr>
              <w:rFonts w:eastAsia="Times New Roman"/>
              <w:i/>
              <w:iCs/>
            </w:rPr>
            <w:t>et al.</w:t>
          </w:r>
          <w:r>
            <w:rPr>
              <w:rFonts w:eastAsia="Times New Roman"/>
            </w:rPr>
            <w:t xml:space="preserve"> Shotgun metaproteomics of the human distal gut microbiota. </w:t>
          </w:r>
          <w:r>
            <w:rPr>
              <w:rFonts w:eastAsia="Times New Roman"/>
              <w:i/>
              <w:iCs/>
            </w:rPr>
            <w:t>ISME Journal</w:t>
          </w:r>
          <w:r>
            <w:rPr>
              <w:rFonts w:eastAsia="Times New Roman"/>
            </w:rPr>
            <w:t xml:space="preserve"> </w:t>
          </w:r>
          <w:r>
            <w:rPr>
              <w:rFonts w:eastAsia="Times New Roman"/>
              <w:b/>
              <w:bCs/>
            </w:rPr>
            <w:t>3</w:t>
          </w:r>
          <w:r>
            <w:rPr>
              <w:rFonts w:eastAsia="Times New Roman"/>
            </w:rPr>
            <w:t>, 179–189 (2009).</w:t>
          </w:r>
        </w:p>
        <w:p w14:paraId="2BD7F79B" w14:textId="77777777" w:rsidR="003204EA" w:rsidRDefault="003204EA">
          <w:pPr>
            <w:autoSpaceDE w:val="0"/>
            <w:autoSpaceDN w:val="0"/>
            <w:ind w:hanging="640"/>
            <w:divId w:val="2044397395"/>
            <w:rPr>
              <w:rFonts w:eastAsia="Times New Roman"/>
            </w:rPr>
          </w:pPr>
          <w:r>
            <w:rPr>
              <w:rFonts w:eastAsia="Times New Roman"/>
            </w:rPr>
            <w:t>27.</w:t>
          </w:r>
          <w:r>
            <w:rPr>
              <w:rFonts w:eastAsia="Times New Roman"/>
            </w:rPr>
            <w:tab/>
            <w:t xml:space="preserve">Saito, M. A. </w:t>
          </w:r>
          <w:r>
            <w:rPr>
              <w:rFonts w:eastAsia="Times New Roman"/>
              <w:i/>
              <w:iCs/>
            </w:rPr>
            <w:t>et al.</w:t>
          </w:r>
          <w:r>
            <w:rPr>
              <w:rFonts w:eastAsia="Times New Roman"/>
            </w:rPr>
            <w:t xml:space="preserve"> Needles in the blue sea: Sub-species specificity in targeted protein biomarker analyses within the vast oceanic microbial metaproteome. </w:t>
          </w:r>
          <w:r>
            <w:rPr>
              <w:rFonts w:eastAsia="Times New Roman"/>
              <w:i/>
              <w:iCs/>
            </w:rPr>
            <w:t>Proteomics</w:t>
          </w:r>
          <w:r>
            <w:rPr>
              <w:rFonts w:eastAsia="Times New Roman"/>
            </w:rPr>
            <w:t xml:space="preserve"> </w:t>
          </w:r>
          <w:r>
            <w:rPr>
              <w:rFonts w:eastAsia="Times New Roman"/>
              <w:b/>
              <w:bCs/>
            </w:rPr>
            <w:t>15</w:t>
          </w:r>
          <w:r>
            <w:rPr>
              <w:rFonts w:eastAsia="Times New Roman"/>
            </w:rPr>
            <w:t>, 3521–3531 (2015).</w:t>
          </w:r>
        </w:p>
        <w:p w14:paraId="1742CF27" w14:textId="77777777" w:rsidR="003204EA" w:rsidRDefault="003204EA">
          <w:pPr>
            <w:autoSpaceDE w:val="0"/>
            <w:autoSpaceDN w:val="0"/>
            <w:ind w:hanging="640"/>
            <w:divId w:val="300162052"/>
            <w:rPr>
              <w:rFonts w:eastAsia="Times New Roman"/>
            </w:rPr>
          </w:pPr>
          <w:r>
            <w:rPr>
              <w:rFonts w:eastAsia="Times New Roman"/>
            </w:rPr>
            <w:t>28.</w:t>
          </w:r>
          <w:r>
            <w:rPr>
              <w:rFonts w:eastAsia="Times New Roman"/>
            </w:rPr>
            <w:tab/>
            <w:t xml:space="preserve">Starke, R., </w:t>
          </w:r>
          <w:proofErr w:type="spellStart"/>
          <w:r>
            <w:rPr>
              <w:rFonts w:eastAsia="Times New Roman"/>
            </w:rPr>
            <w:t>Jehmlich</w:t>
          </w:r>
          <w:proofErr w:type="spellEnd"/>
          <w:r>
            <w:rPr>
              <w:rFonts w:eastAsia="Times New Roman"/>
            </w:rPr>
            <w:t xml:space="preserve">, N. &amp; </w:t>
          </w:r>
          <w:proofErr w:type="spellStart"/>
          <w:r>
            <w:rPr>
              <w:rFonts w:eastAsia="Times New Roman"/>
            </w:rPr>
            <w:t>Bastida</w:t>
          </w:r>
          <w:proofErr w:type="spellEnd"/>
          <w:r>
            <w:rPr>
              <w:rFonts w:eastAsia="Times New Roman"/>
            </w:rPr>
            <w:t xml:space="preserve">, F. Using proteins to study how microbes contribute to soil ecosystem services: The current state and future perspectives of soil metaproteomics. </w:t>
          </w:r>
          <w:r>
            <w:rPr>
              <w:rFonts w:eastAsia="Times New Roman"/>
              <w:i/>
              <w:iCs/>
            </w:rPr>
            <w:t>Journal of Proteomics</w:t>
          </w:r>
          <w:r>
            <w:rPr>
              <w:rFonts w:eastAsia="Times New Roman"/>
            </w:rPr>
            <w:t xml:space="preserve"> </w:t>
          </w:r>
          <w:r>
            <w:rPr>
              <w:rFonts w:eastAsia="Times New Roman"/>
              <w:b/>
              <w:bCs/>
            </w:rPr>
            <w:t>198</w:t>
          </w:r>
          <w:r>
            <w:rPr>
              <w:rFonts w:eastAsia="Times New Roman"/>
            </w:rPr>
            <w:t>, 50–58 (2019).</w:t>
          </w:r>
        </w:p>
        <w:p w14:paraId="7911B679" w14:textId="77777777" w:rsidR="003204EA" w:rsidRDefault="003204EA">
          <w:pPr>
            <w:autoSpaceDE w:val="0"/>
            <w:autoSpaceDN w:val="0"/>
            <w:ind w:hanging="640"/>
            <w:divId w:val="1304309414"/>
            <w:rPr>
              <w:rFonts w:eastAsia="Times New Roman"/>
            </w:rPr>
          </w:pPr>
          <w:r>
            <w:rPr>
              <w:rFonts w:eastAsia="Times New Roman"/>
            </w:rPr>
            <w:t>29.</w:t>
          </w:r>
          <w:r>
            <w:rPr>
              <w:rFonts w:eastAsia="Times New Roman"/>
            </w:rPr>
            <w:tab/>
          </w:r>
          <w:proofErr w:type="spellStart"/>
          <w:r>
            <w:rPr>
              <w:rFonts w:eastAsia="Times New Roman"/>
            </w:rPr>
            <w:t>Benndorf</w:t>
          </w:r>
          <w:proofErr w:type="spellEnd"/>
          <w:r>
            <w:rPr>
              <w:rFonts w:eastAsia="Times New Roman"/>
            </w:rPr>
            <w:t xml:space="preserve">, D. </w:t>
          </w:r>
          <w:r>
            <w:rPr>
              <w:rFonts w:eastAsia="Times New Roman"/>
              <w:i/>
              <w:iCs/>
            </w:rPr>
            <w:t>et al.</w:t>
          </w:r>
          <w:r>
            <w:rPr>
              <w:rFonts w:eastAsia="Times New Roman"/>
            </w:rPr>
            <w:t xml:space="preserve"> Improving protein extraction and separation methods for investigating the metaproteome of anaerobic benzene communities within sediments. </w:t>
          </w:r>
          <w:r>
            <w:rPr>
              <w:rFonts w:eastAsia="Times New Roman"/>
              <w:i/>
              <w:iCs/>
            </w:rPr>
            <w:t>Biodegradation</w:t>
          </w:r>
          <w:r>
            <w:rPr>
              <w:rFonts w:eastAsia="Times New Roman"/>
            </w:rPr>
            <w:t xml:space="preserve"> </w:t>
          </w:r>
          <w:r>
            <w:rPr>
              <w:rFonts w:eastAsia="Times New Roman"/>
              <w:b/>
              <w:bCs/>
            </w:rPr>
            <w:t>20</w:t>
          </w:r>
          <w:r>
            <w:rPr>
              <w:rFonts w:eastAsia="Times New Roman"/>
            </w:rPr>
            <w:t>, 737–750 (2009).</w:t>
          </w:r>
        </w:p>
        <w:p w14:paraId="37923FB6" w14:textId="77777777" w:rsidR="003204EA" w:rsidRDefault="003204EA">
          <w:pPr>
            <w:autoSpaceDE w:val="0"/>
            <w:autoSpaceDN w:val="0"/>
            <w:ind w:hanging="640"/>
            <w:divId w:val="865218930"/>
            <w:rPr>
              <w:rFonts w:eastAsia="Times New Roman"/>
            </w:rPr>
          </w:pPr>
          <w:r>
            <w:rPr>
              <w:rFonts w:eastAsia="Times New Roman"/>
            </w:rPr>
            <w:t>30.</w:t>
          </w:r>
          <w:r>
            <w:rPr>
              <w:rFonts w:eastAsia="Times New Roman"/>
            </w:rPr>
            <w:tab/>
            <w:t xml:space="preserve">Herold, M. </w:t>
          </w:r>
          <w:r>
            <w:rPr>
              <w:rFonts w:eastAsia="Times New Roman"/>
              <w:i/>
              <w:iCs/>
            </w:rPr>
            <w:t>et al.</w:t>
          </w:r>
          <w:r>
            <w:rPr>
              <w:rFonts w:eastAsia="Times New Roman"/>
            </w:rPr>
            <w:t xml:space="preserve"> Integration of time-series meta-omics data reveals how microbial ecosystems respond to disturbance. </w:t>
          </w:r>
          <w:r>
            <w:rPr>
              <w:rFonts w:eastAsia="Times New Roman"/>
              <w:i/>
              <w:iCs/>
            </w:rPr>
            <w:t>Nature Communications</w:t>
          </w:r>
          <w:r>
            <w:rPr>
              <w:rFonts w:eastAsia="Times New Roman"/>
            </w:rPr>
            <w:t xml:space="preserve"> (2020) doi:10.1038/s41467-020-19006-2.</w:t>
          </w:r>
        </w:p>
        <w:p w14:paraId="00A2F76C" w14:textId="77777777" w:rsidR="003204EA" w:rsidRDefault="003204EA">
          <w:pPr>
            <w:autoSpaceDE w:val="0"/>
            <w:autoSpaceDN w:val="0"/>
            <w:ind w:hanging="640"/>
            <w:divId w:val="1871914111"/>
            <w:rPr>
              <w:rFonts w:eastAsia="Times New Roman"/>
            </w:rPr>
          </w:pPr>
          <w:r>
            <w:rPr>
              <w:rFonts w:eastAsia="Times New Roman"/>
            </w:rPr>
            <w:t>31.</w:t>
          </w:r>
          <w:r>
            <w:rPr>
              <w:rFonts w:eastAsia="Times New Roman"/>
            </w:rPr>
            <w:tab/>
            <w:t xml:space="preserve">Wenzel, L. </w:t>
          </w:r>
          <w:r>
            <w:rPr>
              <w:rFonts w:eastAsia="Times New Roman"/>
              <w:i/>
              <w:iCs/>
            </w:rPr>
            <w:t>et al.</w:t>
          </w:r>
          <w:r>
            <w:rPr>
              <w:rFonts w:eastAsia="Times New Roman"/>
            </w:rPr>
            <w:t xml:space="preserve"> SDS-PAGE fractionation to increase metaproteomic insight into the taxonomic and functional composition of microbial communities for biogas plant samples. </w:t>
          </w:r>
          <w:r>
            <w:rPr>
              <w:rFonts w:eastAsia="Times New Roman"/>
              <w:i/>
              <w:iCs/>
            </w:rPr>
            <w:t>Engineering in Life Sciences</w:t>
          </w:r>
          <w:r>
            <w:rPr>
              <w:rFonts w:eastAsia="Times New Roman"/>
            </w:rPr>
            <w:t xml:space="preserve"> </w:t>
          </w:r>
          <w:r>
            <w:rPr>
              <w:rFonts w:eastAsia="Times New Roman"/>
              <w:b/>
              <w:bCs/>
            </w:rPr>
            <w:t>18</w:t>
          </w:r>
          <w:r>
            <w:rPr>
              <w:rFonts w:eastAsia="Times New Roman"/>
            </w:rPr>
            <w:t>, 498–509 (2018).</w:t>
          </w:r>
        </w:p>
        <w:p w14:paraId="06FA9699" w14:textId="77777777" w:rsidR="003204EA" w:rsidRDefault="003204EA">
          <w:pPr>
            <w:autoSpaceDE w:val="0"/>
            <w:autoSpaceDN w:val="0"/>
            <w:ind w:hanging="640"/>
            <w:divId w:val="691422698"/>
            <w:rPr>
              <w:rFonts w:eastAsia="Times New Roman"/>
            </w:rPr>
          </w:pPr>
          <w:r>
            <w:rPr>
              <w:rFonts w:eastAsia="Times New Roman"/>
            </w:rPr>
            <w:t>32.</w:t>
          </w:r>
          <w:r>
            <w:rPr>
              <w:rFonts w:eastAsia="Times New Roman"/>
            </w:rPr>
            <w:tab/>
            <w:t xml:space="preserve">Shrestha, H. K. </w:t>
          </w:r>
          <w:r>
            <w:rPr>
              <w:rFonts w:eastAsia="Times New Roman"/>
              <w:i/>
              <w:iCs/>
            </w:rPr>
            <w:t>et al.</w:t>
          </w:r>
          <w:r>
            <w:rPr>
              <w:rFonts w:eastAsia="Times New Roman"/>
            </w:rPr>
            <w:t xml:space="preserve"> Metaproteomics reveals insights into microbial structure, interactions, and dynamic regulation in defined communities as they respond to environmental disturbance. </w:t>
          </w:r>
          <w:r>
            <w:rPr>
              <w:rFonts w:eastAsia="Times New Roman"/>
              <w:i/>
              <w:iCs/>
            </w:rPr>
            <w:t>BMC Microbiology</w:t>
          </w:r>
          <w:r>
            <w:rPr>
              <w:rFonts w:eastAsia="Times New Roman"/>
            </w:rPr>
            <w:t xml:space="preserve"> </w:t>
          </w:r>
          <w:r>
            <w:rPr>
              <w:rFonts w:eastAsia="Times New Roman"/>
              <w:b/>
              <w:bCs/>
            </w:rPr>
            <w:t>21</w:t>
          </w:r>
          <w:r>
            <w:rPr>
              <w:rFonts w:eastAsia="Times New Roman"/>
            </w:rPr>
            <w:t>, 1–17 (2021).</w:t>
          </w:r>
        </w:p>
        <w:p w14:paraId="56700D13" w14:textId="77777777" w:rsidR="003204EA" w:rsidRDefault="003204EA">
          <w:pPr>
            <w:autoSpaceDE w:val="0"/>
            <w:autoSpaceDN w:val="0"/>
            <w:ind w:hanging="640"/>
            <w:divId w:val="1116677823"/>
            <w:rPr>
              <w:rFonts w:eastAsia="Times New Roman"/>
            </w:rPr>
          </w:pPr>
          <w:r>
            <w:rPr>
              <w:rFonts w:eastAsia="Times New Roman"/>
            </w:rPr>
            <w:t>33.</w:t>
          </w:r>
          <w:r>
            <w:rPr>
              <w:rFonts w:eastAsia="Times New Roman"/>
            </w:rPr>
            <w:tab/>
            <w:t xml:space="preserve">Hugo </w:t>
          </w:r>
          <w:proofErr w:type="spellStart"/>
          <w:r>
            <w:rPr>
              <w:rFonts w:eastAsia="Times New Roman"/>
            </w:rPr>
            <w:t>Roume</w:t>
          </w:r>
          <w:proofErr w:type="spellEnd"/>
          <w:r>
            <w:rPr>
              <w:rFonts w:eastAsia="Times New Roman"/>
            </w:rPr>
            <w:t xml:space="preserve">, Anna </w:t>
          </w:r>
          <w:proofErr w:type="spellStart"/>
          <w:r>
            <w:rPr>
              <w:rFonts w:eastAsia="Times New Roman"/>
            </w:rPr>
            <w:t>Heintz-Buschart</w:t>
          </w:r>
          <w:proofErr w:type="spellEnd"/>
          <w:r>
            <w:rPr>
              <w:rFonts w:eastAsia="Times New Roman"/>
            </w:rPr>
            <w:t xml:space="preserve">, Emilie E L Muller, Patrick May, Venkata P </w:t>
          </w:r>
          <w:proofErr w:type="spellStart"/>
          <w:r>
            <w:rPr>
              <w:rFonts w:eastAsia="Times New Roman"/>
            </w:rPr>
            <w:t>Satagopam</w:t>
          </w:r>
          <w:proofErr w:type="spellEnd"/>
          <w:r>
            <w:rPr>
              <w:rFonts w:eastAsia="Times New Roman"/>
            </w:rPr>
            <w:t xml:space="preserve">, Cédric C </w:t>
          </w:r>
          <w:proofErr w:type="spellStart"/>
          <w:r>
            <w:rPr>
              <w:rFonts w:eastAsia="Times New Roman"/>
            </w:rPr>
            <w:t>Laczny</w:t>
          </w:r>
          <w:proofErr w:type="spellEnd"/>
          <w:r>
            <w:rPr>
              <w:rFonts w:eastAsia="Times New Roman"/>
            </w:rPr>
            <w:t xml:space="preserve">, Shaman </w:t>
          </w:r>
          <w:proofErr w:type="spellStart"/>
          <w:r>
            <w:rPr>
              <w:rFonts w:eastAsia="Times New Roman"/>
            </w:rPr>
            <w:t>Narayanasamy</w:t>
          </w:r>
          <w:proofErr w:type="spellEnd"/>
          <w:r>
            <w:rPr>
              <w:rFonts w:eastAsia="Times New Roman"/>
            </w:rPr>
            <w:t xml:space="preserve">, Laura A Lebrun, Michael R </w:t>
          </w:r>
          <w:proofErr w:type="spellStart"/>
          <w:r>
            <w:rPr>
              <w:rFonts w:eastAsia="Times New Roman"/>
            </w:rPr>
            <w:t>Hoopmann</w:t>
          </w:r>
          <w:proofErr w:type="spellEnd"/>
          <w:r>
            <w:rPr>
              <w:rFonts w:eastAsia="Times New Roman"/>
            </w:rPr>
            <w:t xml:space="preserve">, James M Schupp, John D </w:t>
          </w:r>
          <w:proofErr w:type="spellStart"/>
          <w:r>
            <w:rPr>
              <w:rFonts w:eastAsia="Times New Roman"/>
            </w:rPr>
            <w:t>Gillece</w:t>
          </w:r>
          <w:proofErr w:type="spellEnd"/>
          <w:r>
            <w:rPr>
              <w:rFonts w:eastAsia="Times New Roman"/>
            </w:rPr>
            <w:t xml:space="preserve">, Nathan D Hicks, David M </w:t>
          </w:r>
          <w:proofErr w:type="spellStart"/>
          <w:r>
            <w:rPr>
              <w:rFonts w:eastAsia="Times New Roman"/>
            </w:rPr>
            <w:t>Engelthaler</w:t>
          </w:r>
          <w:proofErr w:type="spellEnd"/>
          <w:r>
            <w:rPr>
              <w:rFonts w:eastAsia="Times New Roman"/>
            </w:rPr>
            <w:t xml:space="preserve">, Thomas Sauter, Paul S Kei, R. L. M. &amp; P. W. Comparative integrated omics: identification of key functionalities in microbial community-wide metabolic networks. </w:t>
          </w:r>
          <w:proofErr w:type="spellStart"/>
          <w:r>
            <w:rPr>
              <w:rFonts w:eastAsia="Times New Roman"/>
              <w:i/>
              <w:iCs/>
            </w:rPr>
            <w:t>npj</w:t>
          </w:r>
          <w:proofErr w:type="spellEnd"/>
          <w:r>
            <w:rPr>
              <w:rFonts w:eastAsia="Times New Roman"/>
              <w:i/>
              <w:iCs/>
            </w:rPr>
            <w:t xml:space="preserve"> Biofilms and Microbiomes</w:t>
          </w:r>
          <w:r>
            <w:rPr>
              <w:rFonts w:eastAsia="Times New Roman"/>
            </w:rPr>
            <w:t xml:space="preserve"> </w:t>
          </w:r>
          <w:r>
            <w:rPr>
              <w:rFonts w:eastAsia="Times New Roman"/>
              <w:b/>
              <w:bCs/>
            </w:rPr>
            <w:t>1</w:t>
          </w:r>
          <w:r>
            <w:rPr>
              <w:rFonts w:eastAsia="Times New Roman"/>
            </w:rPr>
            <w:t>, 1–11 (2015).</w:t>
          </w:r>
        </w:p>
        <w:p w14:paraId="23B27EAA" w14:textId="77777777" w:rsidR="003204EA" w:rsidRDefault="003204EA">
          <w:pPr>
            <w:autoSpaceDE w:val="0"/>
            <w:autoSpaceDN w:val="0"/>
            <w:ind w:hanging="640"/>
            <w:divId w:val="2001495747"/>
            <w:rPr>
              <w:rFonts w:eastAsia="Times New Roman"/>
            </w:rPr>
          </w:pPr>
          <w:r>
            <w:rPr>
              <w:rFonts w:eastAsia="Times New Roman"/>
            </w:rPr>
            <w:t>34.</w:t>
          </w:r>
          <w:r>
            <w:rPr>
              <w:rFonts w:eastAsia="Times New Roman"/>
            </w:rPr>
            <w:tab/>
            <w:t xml:space="preserve">Muller, E. E. L. </w:t>
          </w:r>
          <w:r>
            <w:rPr>
              <w:rFonts w:eastAsia="Times New Roman"/>
              <w:i/>
              <w:iCs/>
            </w:rPr>
            <w:t>et al.</w:t>
          </w:r>
          <w:r>
            <w:rPr>
              <w:rFonts w:eastAsia="Times New Roman"/>
            </w:rPr>
            <w:t xml:space="preserve"> Community-integrated omics links dominance of a microbial generalist to fine-tuned resource usage. </w:t>
          </w:r>
          <w:r>
            <w:rPr>
              <w:rFonts w:eastAsia="Times New Roman"/>
              <w:i/>
              <w:iCs/>
            </w:rPr>
            <w:t>Nature Communications</w:t>
          </w:r>
          <w:r>
            <w:rPr>
              <w:rFonts w:eastAsia="Times New Roman"/>
            </w:rPr>
            <w:t xml:space="preserve"> </w:t>
          </w:r>
          <w:r>
            <w:rPr>
              <w:rFonts w:eastAsia="Times New Roman"/>
              <w:b/>
              <w:bCs/>
            </w:rPr>
            <w:t>5</w:t>
          </w:r>
          <w:r>
            <w:rPr>
              <w:rFonts w:eastAsia="Times New Roman"/>
            </w:rPr>
            <w:t>, (2014).</w:t>
          </w:r>
        </w:p>
        <w:p w14:paraId="11B1F902" w14:textId="77777777" w:rsidR="003204EA" w:rsidRDefault="003204EA">
          <w:pPr>
            <w:autoSpaceDE w:val="0"/>
            <w:autoSpaceDN w:val="0"/>
            <w:ind w:hanging="640"/>
            <w:divId w:val="2125684297"/>
            <w:rPr>
              <w:rFonts w:eastAsia="Times New Roman"/>
            </w:rPr>
          </w:pPr>
          <w:r>
            <w:rPr>
              <w:rFonts w:eastAsia="Times New Roman"/>
            </w:rPr>
            <w:t>35.</w:t>
          </w:r>
          <w:r>
            <w:rPr>
              <w:rFonts w:eastAsia="Times New Roman"/>
            </w:rPr>
            <w:tab/>
            <w:t xml:space="preserve">Martínez </w:t>
          </w:r>
          <w:proofErr w:type="spellStart"/>
          <w:r>
            <w:rPr>
              <w:rFonts w:eastAsia="Times New Roman"/>
            </w:rPr>
            <w:t>Arbas</w:t>
          </w:r>
          <w:proofErr w:type="spellEnd"/>
          <w:r>
            <w:rPr>
              <w:rFonts w:eastAsia="Times New Roman"/>
            </w:rPr>
            <w:t xml:space="preserve">, S. </w:t>
          </w:r>
          <w:r>
            <w:rPr>
              <w:rFonts w:eastAsia="Times New Roman"/>
              <w:i/>
              <w:iCs/>
            </w:rPr>
            <w:t>et al.</w:t>
          </w:r>
          <w:r>
            <w:rPr>
              <w:rFonts w:eastAsia="Times New Roman"/>
            </w:rPr>
            <w:t xml:space="preserve"> Roles of bacteriophages, plasmids and CRISPR immunity in microbial community dynamics revealed using time-series integrated meta-omics. </w:t>
          </w:r>
          <w:r>
            <w:rPr>
              <w:rFonts w:eastAsia="Times New Roman"/>
              <w:i/>
              <w:iCs/>
            </w:rPr>
            <w:t>Nature Microbiology</w:t>
          </w:r>
          <w:r>
            <w:rPr>
              <w:rFonts w:eastAsia="Times New Roman"/>
            </w:rPr>
            <w:t xml:space="preserve"> </w:t>
          </w:r>
          <w:r>
            <w:rPr>
              <w:rFonts w:eastAsia="Times New Roman"/>
              <w:b/>
              <w:bCs/>
            </w:rPr>
            <w:t>6</w:t>
          </w:r>
          <w:r>
            <w:rPr>
              <w:rFonts w:eastAsia="Times New Roman"/>
            </w:rPr>
            <w:t>, 123–135 (2021).</w:t>
          </w:r>
        </w:p>
        <w:p w14:paraId="73AA6C82" w14:textId="77777777" w:rsidR="003204EA" w:rsidRDefault="003204EA">
          <w:pPr>
            <w:autoSpaceDE w:val="0"/>
            <w:autoSpaceDN w:val="0"/>
            <w:ind w:hanging="640"/>
            <w:divId w:val="1152406862"/>
            <w:rPr>
              <w:rFonts w:eastAsia="Times New Roman"/>
            </w:rPr>
          </w:pPr>
          <w:r>
            <w:rPr>
              <w:rFonts w:eastAsia="Times New Roman"/>
            </w:rPr>
            <w:t>36.</w:t>
          </w:r>
          <w:r>
            <w:rPr>
              <w:rFonts w:eastAsia="Times New Roman"/>
            </w:rPr>
            <w:tab/>
          </w:r>
          <w:proofErr w:type="spellStart"/>
          <w:r>
            <w:rPr>
              <w:rFonts w:eastAsia="Times New Roman"/>
            </w:rPr>
            <w:t>Laskay</w:t>
          </w:r>
          <w:proofErr w:type="spellEnd"/>
          <w:r>
            <w:rPr>
              <w:rFonts w:eastAsia="Times New Roman"/>
            </w:rPr>
            <w:t xml:space="preserve">, Ü. A., </w:t>
          </w:r>
          <w:proofErr w:type="spellStart"/>
          <w:r>
            <w:rPr>
              <w:rFonts w:eastAsia="Times New Roman"/>
            </w:rPr>
            <w:t>Lobas</w:t>
          </w:r>
          <w:proofErr w:type="spellEnd"/>
          <w:r>
            <w:rPr>
              <w:rFonts w:eastAsia="Times New Roman"/>
            </w:rPr>
            <w:t xml:space="preserve">, A. A., </w:t>
          </w:r>
          <w:proofErr w:type="spellStart"/>
          <w:r>
            <w:rPr>
              <w:rFonts w:eastAsia="Times New Roman"/>
            </w:rPr>
            <w:t>Srzentić</w:t>
          </w:r>
          <w:proofErr w:type="spellEnd"/>
          <w:r>
            <w:rPr>
              <w:rFonts w:eastAsia="Times New Roman"/>
            </w:rPr>
            <w:t xml:space="preserve">, K., </w:t>
          </w:r>
          <w:proofErr w:type="spellStart"/>
          <w:r>
            <w:rPr>
              <w:rFonts w:eastAsia="Times New Roman"/>
            </w:rPr>
            <w:t>Gorshkov</w:t>
          </w:r>
          <w:proofErr w:type="spellEnd"/>
          <w:r>
            <w:rPr>
              <w:rFonts w:eastAsia="Times New Roman"/>
            </w:rPr>
            <w:t xml:space="preserve">, M. v. &amp; </w:t>
          </w:r>
          <w:proofErr w:type="spellStart"/>
          <w:r>
            <w:rPr>
              <w:rFonts w:eastAsia="Times New Roman"/>
            </w:rPr>
            <w:t>Tsybin</w:t>
          </w:r>
          <w:proofErr w:type="spellEnd"/>
          <w:r>
            <w:rPr>
              <w:rFonts w:eastAsia="Times New Roman"/>
            </w:rPr>
            <w:t xml:space="preserve">, Y. O. Proteome digestion specificity analysis for rational design of extended bottom-up and middle-down proteomics experiments. </w:t>
          </w:r>
          <w:r>
            <w:rPr>
              <w:rFonts w:eastAsia="Times New Roman"/>
              <w:i/>
              <w:iCs/>
            </w:rPr>
            <w:t>Journal of Proteome Research</w:t>
          </w:r>
          <w:r>
            <w:rPr>
              <w:rFonts w:eastAsia="Times New Roman"/>
            </w:rPr>
            <w:t xml:space="preserve"> </w:t>
          </w:r>
          <w:r>
            <w:rPr>
              <w:rFonts w:eastAsia="Times New Roman"/>
              <w:b/>
              <w:bCs/>
            </w:rPr>
            <w:t>12</w:t>
          </w:r>
          <w:r>
            <w:rPr>
              <w:rFonts w:eastAsia="Times New Roman"/>
            </w:rPr>
            <w:t>, 5558–5569 (2013).</w:t>
          </w:r>
        </w:p>
        <w:p w14:paraId="6C11AC90" w14:textId="77777777" w:rsidR="003204EA" w:rsidRDefault="003204EA">
          <w:pPr>
            <w:autoSpaceDE w:val="0"/>
            <w:autoSpaceDN w:val="0"/>
            <w:ind w:hanging="640"/>
            <w:divId w:val="981423219"/>
            <w:rPr>
              <w:rFonts w:eastAsia="Times New Roman"/>
            </w:rPr>
          </w:pPr>
          <w:r>
            <w:rPr>
              <w:rFonts w:eastAsia="Times New Roman"/>
            </w:rPr>
            <w:t>37.</w:t>
          </w:r>
          <w:r>
            <w:rPr>
              <w:rFonts w:eastAsia="Times New Roman"/>
            </w:rPr>
            <w:tab/>
            <w:t xml:space="preserve">Schaffer, L. v. </w:t>
          </w:r>
          <w:r>
            <w:rPr>
              <w:rFonts w:eastAsia="Times New Roman"/>
              <w:i/>
              <w:iCs/>
            </w:rPr>
            <w:t>et al.</w:t>
          </w:r>
          <w:r>
            <w:rPr>
              <w:rFonts w:eastAsia="Times New Roman"/>
            </w:rPr>
            <w:t xml:space="preserve"> Identification and Quantification of Proteoforms by Mass Spectrometry. </w:t>
          </w:r>
          <w:r>
            <w:rPr>
              <w:rFonts w:eastAsia="Times New Roman"/>
              <w:i/>
              <w:iCs/>
            </w:rPr>
            <w:t>Proteomics</w:t>
          </w:r>
          <w:r>
            <w:rPr>
              <w:rFonts w:eastAsia="Times New Roman"/>
            </w:rPr>
            <w:t xml:space="preserve"> </w:t>
          </w:r>
          <w:r>
            <w:rPr>
              <w:rFonts w:eastAsia="Times New Roman"/>
              <w:b/>
              <w:bCs/>
            </w:rPr>
            <w:t>19</w:t>
          </w:r>
          <w:r>
            <w:rPr>
              <w:rFonts w:eastAsia="Times New Roman"/>
            </w:rPr>
            <w:t>, 1–15 (2019).</w:t>
          </w:r>
        </w:p>
        <w:p w14:paraId="7D15FB88" w14:textId="77777777" w:rsidR="003204EA" w:rsidRDefault="003204EA">
          <w:pPr>
            <w:autoSpaceDE w:val="0"/>
            <w:autoSpaceDN w:val="0"/>
            <w:ind w:hanging="640"/>
            <w:divId w:val="1627616294"/>
            <w:rPr>
              <w:rFonts w:eastAsia="Times New Roman"/>
            </w:rPr>
          </w:pPr>
          <w:r>
            <w:rPr>
              <w:rFonts w:eastAsia="Times New Roman"/>
            </w:rPr>
            <w:t>38.</w:t>
          </w:r>
          <w:r>
            <w:rPr>
              <w:rFonts w:eastAsia="Times New Roman"/>
            </w:rPr>
            <w:tab/>
          </w:r>
          <w:proofErr w:type="spellStart"/>
          <w:r>
            <w:rPr>
              <w:rFonts w:eastAsia="Times New Roman"/>
            </w:rPr>
            <w:t>Lermyte</w:t>
          </w:r>
          <w:proofErr w:type="spellEnd"/>
          <w:r>
            <w:rPr>
              <w:rFonts w:eastAsia="Times New Roman"/>
            </w:rPr>
            <w:t xml:space="preserve">, F., </w:t>
          </w:r>
          <w:proofErr w:type="spellStart"/>
          <w:r>
            <w:rPr>
              <w:rFonts w:eastAsia="Times New Roman"/>
            </w:rPr>
            <w:t>Tsybin</w:t>
          </w:r>
          <w:proofErr w:type="spellEnd"/>
          <w:r>
            <w:rPr>
              <w:rFonts w:eastAsia="Times New Roman"/>
            </w:rPr>
            <w:t xml:space="preserve">, Y. O., O’Connor, P. B. &amp; Loo, J. A. Top or Middle? Up or </w:t>
          </w:r>
          <w:proofErr w:type="gramStart"/>
          <w:r>
            <w:rPr>
              <w:rFonts w:eastAsia="Times New Roman"/>
            </w:rPr>
            <w:t>Down</w:t>
          </w:r>
          <w:proofErr w:type="gramEnd"/>
          <w:r>
            <w:rPr>
              <w:rFonts w:eastAsia="Times New Roman"/>
            </w:rPr>
            <w:t xml:space="preserve">? Toward a Standard Lexicon for Protein Top-Down and Allied Mass Spectrometry Approaches. </w:t>
          </w:r>
          <w:r>
            <w:rPr>
              <w:rFonts w:eastAsia="Times New Roman"/>
              <w:i/>
              <w:iCs/>
            </w:rPr>
            <w:t xml:space="preserve">J Am Soc Mass </w:t>
          </w:r>
          <w:proofErr w:type="spellStart"/>
          <w:r>
            <w:rPr>
              <w:rFonts w:eastAsia="Times New Roman"/>
              <w:i/>
              <w:iCs/>
            </w:rPr>
            <w:t>Spectrom</w:t>
          </w:r>
          <w:proofErr w:type="spellEnd"/>
          <w:r>
            <w:rPr>
              <w:rFonts w:eastAsia="Times New Roman"/>
            </w:rPr>
            <w:t xml:space="preserve"> </w:t>
          </w:r>
          <w:r>
            <w:rPr>
              <w:rFonts w:eastAsia="Times New Roman"/>
              <w:b/>
              <w:bCs/>
            </w:rPr>
            <w:t>30</w:t>
          </w:r>
          <w:r>
            <w:rPr>
              <w:rFonts w:eastAsia="Times New Roman"/>
            </w:rPr>
            <w:t>, 1149–1157 (2019).</w:t>
          </w:r>
        </w:p>
        <w:p w14:paraId="4F5F8DE9" w14:textId="77777777" w:rsidR="003204EA" w:rsidRDefault="003204EA">
          <w:pPr>
            <w:autoSpaceDE w:val="0"/>
            <w:autoSpaceDN w:val="0"/>
            <w:ind w:hanging="640"/>
            <w:divId w:val="78797870"/>
            <w:rPr>
              <w:rFonts w:eastAsia="Times New Roman"/>
            </w:rPr>
          </w:pPr>
          <w:r>
            <w:rPr>
              <w:rFonts w:eastAsia="Times New Roman"/>
            </w:rPr>
            <w:t>39.</w:t>
          </w:r>
          <w:r>
            <w:rPr>
              <w:rFonts w:eastAsia="Times New Roman"/>
            </w:rPr>
            <w:tab/>
          </w:r>
          <w:proofErr w:type="spellStart"/>
          <w:r>
            <w:rPr>
              <w:rFonts w:eastAsia="Times New Roman"/>
            </w:rPr>
            <w:t>Aebersold</w:t>
          </w:r>
          <w:proofErr w:type="spellEnd"/>
          <w:r>
            <w:rPr>
              <w:rFonts w:eastAsia="Times New Roman"/>
            </w:rPr>
            <w:t xml:space="preserve">, R. &amp; Mann, M. Mass-spectrometric exploration of proteome structure and function. </w:t>
          </w:r>
          <w:r>
            <w:rPr>
              <w:rFonts w:eastAsia="Times New Roman"/>
              <w:i/>
              <w:iCs/>
            </w:rPr>
            <w:t>Nature</w:t>
          </w:r>
          <w:r>
            <w:rPr>
              <w:rFonts w:eastAsia="Times New Roman"/>
            </w:rPr>
            <w:t xml:space="preserve"> </w:t>
          </w:r>
          <w:r>
            <w:rPr>
              <w:rFonts w:eastAsia="Times New Roman"/>
              <w:b/>
              <w:bCs/>
            </w:rPr>
            <w:t>537</w:t>
          </w:r>
          <w:r>
            <w:rPr>
              <w:rFonts w:eastAsia="Times New Roman"/>
            </w:rPr>
            <w:t>, 347–355 (2016).</w:t>
          </w:r>
        </w:p>
        <w:p w14:paraId="1FD40714" w14:textId="77777777" w:rsidR="003204EA" w:rsidRDefault="003204EA">
          <w:pPr>
            <w:autoSpaceDE w:val="0"/>
            <w:autoSpaceDN w:val="0"/>
            <w:ind w:hanging="640"/>
            <w:divId w:val="28797298"/>
            <w:rPr>
              <w:rFonts w:eastAsia="Times New Roman"/>
            </w:rPr>
          </w:pPr>
          <w:r>
            <w:rPr>
              <w:rFonts w:eastAsia="Times New Roman"/>
            </w:rPr>
            <w:t>40.</w:t>
          </w:r>
          <w:r>
            <w:rPr>
              <w:rFonts w:eastAsia="Times New Roman"/>
            </w:rPr>
            <w:tab/>
            <w:t xml:space="preserve">Silvestre, D. di, Brambilla, F., </w:t>
          </w:r>
          <w:proofErr w:type="spellStart"/>
          <w:r>
            <w:rPr>
              <w:rFonts w:eastAsia="Times New Roman"/>
            </w:rPr>
            <w:t>Agnetti</w:t>
          </w:r>
          <w:proofErr w:type="spellEnd"/>
          <w:r>
            <w:rPr>
              <w:rFonts w:eastAsia="Times New Roman"/>
            </w:rPr>
            <w:t xml:space="preserve">, G. &amp; Mauri, P. </w:t>
          </w:r>
          <w:r>
            <w:rPr>
              <w:rFonts w:eastAsia="Times New Roman"/>
              <w:i/>
              <w:iCs/>
            </w:rPr>
            <w:t>Bottom-Up Proteomics</w:t>
          </w:r>
          <w:r>
            <w:rPr>
              <w:rFonts w:eastAsia="Times New Roman"/>
            </w:rPr>
            <w:t xml:space="preserve">. </w:t>
          </w:r>
          <w:r>
            <w:rPr>
              <w:rFonts w:eastAsia="Times New Roman"/>
              <w:i/>
              <w:iCs/>
            </w:rPr>
            <w:t>Manual of Cardiovascular Proteomics</w:t>
          </w:r>
          <w:r>
            <w:rPr>
              <w:rFonts w:eastAsia="Times New Roman"/>
            </w:rPr>
            <w:t xml:space="preserve"> (2016). doi:10.1007/978-3-319-31828-8.</w:t>
          </w:r>
        </w:p>
        <w:p w14:paraId="24203F2B" w14:textId="77777777" w:rsidR="003204EA" w:rsidRDefault="003204EA">
          <w:pPr>
            <w:autoSpaceDE w:val="0"/>
            <w:autoSpaceDN w:val="0"/>
            <w:ind w:hanging="640"/>
            <w:divId w:val="1545212754"/>
            <w:rPr>
              <w:rFonts w:eastAsia="Times New Roman"/>
            </w:rPr>
          </w:pPr>
          <w:r>
            <w:rPr>
              <w:rFonts w:eastAsia="Times New Roman"/>
            </w:rPr>
            <w:t>41.</w:t>
          </w:r>
          <w:r>
            <w:rPr>
              <w:rFonts w:eastAsia="Times New Roman"/>
            </w:rPr>
            <w:tab/>
          </w:r>
          <w:proofErr w:type="spellStart"/>
          <w:r>
            <w:rPr>
              <w:rFonts w:eastAsia="Times New Roman"/>
            </w:rPr>
            <w:t>Aakko</w:t>
          </w:r>
          <w:proofErr w:type="spellEnd"/>
          <w:r>
            <w:rPr>
              <w:rFonts w:eastAsia="Times New Roman"/>
            </w:rPr>
            <w:t xml:space="preserve">, J. </w:t>
          </w:r>
          <w:r>
            <w:rPr>
              <w:rFonts w:eastAsia="Times New Roman"/>
              <w:i/>
              <w:iCs/>
            </w:rPr>
            <w:t>et al.</w:t>
          </w:r>
          <w:r>
            <w:rPr>
              <w:rFonts w:eastAsia="Times New Roman"/>
            </w:rPr>
            <w:t xml:space="preserve"> Data-Independent Acquisition Mass Spectrometry in Metaproteomics of Gut Microbiota - Implementation and Computational Analysis. </w:t>
          </w:r>
          <w:r>
            <w:rPr>
              <w:rFonts w:eastAsia="Times New Roman"/>
              <w:i/>
              <w:iCs/>
            </w:rPr>
            <w:t>Journal of Proteome Research</w:t>
          </w:r>
          <w:r>
            <w:rPr>
              <w:rFonts w:eastAsia="Times New Roman"/>
            </w:rPr>
            <w:t xml:space="preserve"> </w:t>
          </w:r>
          <w:r>
            <w:rPr>
              <w:rFonts w:eastAsia="Times New Roman"/>
              <w:b/>
              <w:bCs/>
            </w:rPr>
            <w:t>19</w:t>
          </w:r>
          <w:r>
            <w:rPr>
              <w:rFonts w:eastAsia="Times New Roman"/>
            </w:rPr>
            <w:t>, 432–436 (2020).</w:t>
          </w:r>
        </w:p>
        <w:p w14:paraId="0424113E" w14:textId="77777777" w:rsidR="003204EA" w:rsidRDefault="003204EA">
          <w:pPr>
            <w:autoSpaceDE w:val="0"/>
            <w:autoSpaceDN w:val="0"/>
            <w:ind w:hanging="640"/>
            <w:divId w:val="1346324219"/>
            <w:rPr>
              <w:rFonts w:eastAsia="Times New Roman"/>
            </w:rPr>
          </w:pPr>
          <w:r>
            <w:rPr>
              <w:rFonts w:eastAsia="Times New Roman"/>
            </w:rPr>
            <w:t>42.</w:t>
          </w:r>
          <w:r>
            <w:rPr>
              <w:rFonts w:eastAsia="Times New Roman"/>
            </w:rPr>
            <w:tab/>
            <w:t xml:space="preserve">Tsou, C. C. </w:t>
          </w:r>
          <w:r>
            <w:rPr>
              <w:rFonts w:eastAsia="Times New Roman"/>
              <w:i/>
              <w:iCs/>
            </w:rPr>
            <w:t>et al.</w:t>
          </w:r>
          <w:r>
            <w:rPr>
              <w:rFonts w:eastAsia="Times New Roman"/>
            </w:rPr>
            <w:t xml:space="preserve"> DIA-Umpire: Comprehensive computational framework for data-independent acquisition proteomics. </w:t>
          </w:r>
          <w:r>
            <w:rPr>
              <w:rFonts w:eastAsia="Times New Roman"/>
              <w:i/>
              <w:iCs/>
            </w:rPr>
            <w:t>Nature Methods</w:t>
          </w:r>
          <w:r>
            <w:rPr>
              <w:rFonts w:eastAsia="Times New Roman"/>
            </w:rPr>
            <w:t xml:space="preserve"> </w:t>
          </w:r>
          <w:r>
            <w:rPr>
              <w:rFonts w:eastAsia="Times New Roman"/>
              <w:b/>
              <w:bCs/>
            </w:rPr>
            <w:t>12</w:t>
          </w:r>
          <w:r>
            <w:rPr>
              <w:rFonts w:eastAsia="Times New Roman"/>
            </w:rPr>
            <w:t>, 258–264 (2015).</w:t>
          </w:r>
        </w:p>
        <w:p w14:paraId="76B628F9" w14:textId="77777777" w:rsidR="003204EA" w:rsidRDefault="003204EA">
          <w:pPr>
            <w:autoSpaceDE w:val="0"/>
            <w:autoSpaceDN w:val="0"/>
            <w:ind w:hanging="640"/>
            <w:divId w:val="804659409"/>
            <w:rPr>
              <w:rFonts w:eastAsia="Times New Roman"/>
            </w:rPr>
          </w:pPr>
          <w:r>
            <w:rPr>
              <w:rFonts w:eastAsia="Times New Roman"/>
            </w:rPr>
            <w:t>43.</w:t>
          </w:r>
          <w:r>
            <w:rPr>
              <w:rFonts w:eastAsia="Times New Roman"/>
            </w:rPr>
            <w:tab/>
            <w:t xml:space="preserve">Kaur, G. </w:t>
          </w:r>
          <w:r>
            <w:rPr>
              <w:rFonts w:eastAsia="Times New Roman"/>
              <w:i/>
              <w:iCs/>
            </w:rPr>
            <w:t>et al.</w:t>
          </w:r>
          <w:r>
            <w:rPr>
              <w:rFonts w:eastAsia="Times New Roman"/>
            </w:rPr>
            <w:t xml:space="preserve"> Extending the Depth of Human Plasma Proteome Coverage Using Simple Fractionation Techniques. </w:t>
          </w:r>
          <w:r>
            <w:rPr>
              <w:rFonts w:eastAsia="Times New Roman"/>
              <w:i/>
              <w:iCs/>
            </w:rPr>
            <w:t>Journal of Proteome Research</w:t>
          </w:r>
          <w:r>
            <w:rPr>
              <w:rFonts w:eastAsia="Times New Roman"/>
            </w:rPr>
            <w:t xml:space="preserve"> </w:t>
          </w:r>
          <w:r>
            <w:rPr>
              <w:rFonts w:eastAsia="Times New Roman"/>
              <w:b/>
              <w:bCs/>
            </w:rPr>
            <w:t>20</w:t>
          </w:r>
          <w:r>
            <w:rPr>
              <w:rFonts w:eastAsia="Times New Roman"/>
            </w:rPr>
            <w:t>, 1261–1279 (2021).</w:t>
          </w:r>
        </w:p>
        <w:p w14:paraId="454ED42A" w14:textId="77777777" w:rsidR="003204EA" w:rsidRDefault="003204EA">
          <w:pPr>
            <w:autoSpaceDE w:val="0"/>
            <w:autoSpaceDN w:val="0"/>
            <w:ind w:hanging="640"/>
            <w:divId w:val="328287227"/>
            <w:rPr>
              <w:rFonts w:eastAsia="Times New Roman"/>
            </w:rPr>
          </w:pPr>
          <w:r>
            <w:rPr>
              <w:rFonts w:eastAsia="Times New Roman"/>
            </w:rPr>
            <w:t>44.</w:t>
          </w:r>
          <w:r>
            <w:rPr>
              <w:rFonts w:eastAsia="Times New Roman"/>
            </w:rPr>
            <w:tab/>
            <w:t xml:space="preserve">Villalobos Solis, M. I., Chirania, P. &amp; Hettich, R. L. In silico evaluation of a targeted metaproteomics strategy for broad screening of cellulolytic enzyme capacities in anaerobic microbiome bioreactors. </w:t>
          </w:r>
          <w:r>
            <w:rPr>
              <w:rFonts w:eastAsia="Times New Roman"/>
              <w:i/>
              <w:iCs/>
            </w:rPr>
            <w:t>Biotechnology for Biofuels and Bioproducts</w:t>
          </w:r>
          <w:r>
            <w:rPr>
              <w:rFonts w:eastAsia="Times New Roman"/>
            </w:rPr>
            <w:t xml:space="preserve"> </w:t>
          </w:r>
          <w:r>
            <w:rPr>
              <w:rFonts w:eastAsia="Times New Roman"/>
              <w:b/>
              <w:bCs/>
            </w:rPr>
            <w:t>15</w:t>
          </w:r>
          <w:r>
            <w:rPr>
              <w:rFonts w:eastAsia="Times New Roman"/>
            </w:rPr>
            <w:t>, 1–15 (2022).</w:t>
          </w:r>
        </w:p>
        <w:p w14:paraId="7C2E24E6" w14:textId="77777777" w:rsidR="003204EA" w:rsidRDefault="003204EA">
          <w:pPr>
            <w:autoSpaceDE w:val="0"/>
            <w:autoSpaceDN w:val="0"/>
            <w:ind w:hanging="640"/>
            <w:divId w:val="2102069528"/>
            <w:rPr>
              <w:rFonts w:eastAsia="Times New Roman"/>
            </w:rPr>
          </w:pPr>
          <w:r>
            <w:rPr>
              <w:rFonts w:eastAsia="Times New Roman"/>
            </w:rPr>
            <w:t>45.</w:t>
          </w:r>
          <w:r>
            <w:rPr>
              <w:rFonts w:eastAsia="Times New Roman"/>
            </w:rPr>
            <w:tab/>
            <w:t xml:space="preserve">Wang, D. Z., Kong, L. F., Li, Y. Y. &amp; </w:t>
          </w:r>
          <w:proofErr w:type="spellStart"/>
          <w:r>
            <w:rPr>
              <w:rFonts w:eastAsia="Times New Roman"/>
            </w:rPr>
            <w:t>Xie</w:t>
          </w:r>
          <w:proofErr w:type="spellEnd"/>
          <w:r>
            <w:rPr>
              <w:rFonts w:eastAsia="Times New Roman"/>
            </w:rPr>
            <w:t xml:space="preserve">, Z. X. Environmental microbial community proteomics: Status, </w:t>
          </w:r>
          <w:proofErr w:type="gramStart"/>
          <w:r>
            <w:rPr>
              <w:rFonts w:eastAsia="Times New Roman"/>
            </w:rPr>
            <w:t>challenges</w:t>
          </w:r>
          <w:proofErr w:type="gramEnd"/>
          <w:r>
            <w:rPr>
              <w:rFonts w:eastAsia="Times New Roman"/>
            </w:rPr>
            <w:t xml:space="preserve"> and perspectives. </w:t>
          </w:r>
          <w:r>
            <w:rPr>
              <w:rFonts w:eastAsia="Times New Roman"/>
              <w:i/>
              <w:iCs/>
            </w:rPr>
            <w:t>International Journal of Molecular Sciences</w:t>
          </w:r>
          <w:r>
            <w:rPr>
              <w:rFonts w:eastAsia="Times New Roman"/>
            </w:rPr>
            <w:t xml:space="preserve"> </w:t>
          </w:r>
          <w:r>
            <w:rPr>
              <w:rFonts w:eastAsia="Times New Roman"/>
              <w:b/>
              <w:bCs/>
            </w:rPr>
            <w:t>17</w:t>
          </w:r>
          <w:r>
            <w:rPr>
              <w:rFonts w:eastAsia="Times New Roman"/>
            </w:rPr>
            <w:t>, 1–20 (2016).</w:t>
          </w:r>
        </w:p>
        <w:p w14:paraId="114A7D00" w14:textId="77777777" w:rsidR="003204EA" w:rsidRDefault="003204EA">
          <w:pPr>
            <w:autoSpaceDE w:val="0"/>
            <w:autoSpaceDN w:val="0"/>
            <w:ind w:hanging="640"/>
            <w:divId w:val="1787498890"/>
            <w:rPr>
              <w:rFonts w:eastAsia="Times New Roman"/>
            </w:rPr>
          </w:pPr>
          <w:r>
            <w:rPr>
              <w:rFonts w:eastAsia="Times New Roman"/>
            </w:rPr>
            <w:t>46.</w:t>
          </w:r>
          <w:r>
            <w:rPr>
              <w:rFonts w:eastAsia="Times New Roman"/>
            </w:rPr>
            <w:tab/>
            <w:t xml:space="preserve">Field, L. M., Fagerberg, W. R., </w:t>
          </w:r>
          <w:proofErr w:type="spellStart"/>
          <w:r>
            <w:rPr>
              <w:rFonts w:eastAsia="Times New Roman"/>
            </w:rPr>
            <w:t>Gatto</w:t>
          </w:r>
          <w:proofErr w:type="spellEnd"/>
          <w:r>
            <w:rPr>
              <w:rFonts w:eastAsia="Times New Roman"/>
            </w:rPr>
            <w:t xml:space="preserve">, K. K. &amp; Anne </w:t>
          </w:r>
          <w:proofErr w:type="spellStart"/>
          <w:r>
            <w:rPr>
              <w:rFonts w:eastAsia="Times New Roman"/>
            </w:rPr>
            <w:t>Böttger</w:t>
          </w:r>
          <w:proofErr w:type="spellEnd"/>
          <w:r>
            <w:rPr>
              <w:rFonts w:eastAsia="Times New Roman"/>
            </w:rPr>
            <w:t xml:space="preserve">, S. A comparison of protein extraction methods optimizing high protein yields from marine algae and cyanobacteria. </w:t>
          </w:r>
          <w:r>
            <w:rPr>
              <w:rFonts w:eastAsia="Times New Roman"/>
              <w:i/>
              <w:iCs/>
            </w:rPr>
            <w:t>Journal of Applied Phycology</w:t>
          </w:r>
          <w:r>
            <w:rPr>
              <w:rFonts w:eastAsia="Times New Roman"/>
            </w:rPr>
            <w:t xml:space="preserve"> </w:t>
          </w:r>
          <w:r>
            <w:rPr>
              <w:rFonts w:eastAsia="Times New Roman"/>
              <w:b/>
              <w:bCs/>
            </w:rPr>
            <w:t>29</w:t>
          </w:r>
          <w:r>
            <w:rPr>
              <w:rFonts w:eastAsia="Times New Roman"/>
            </w:rPr>
            <w:t>, 1271–1278 (2017).</w:t>
          </w:r>
        </w:p>
        <w:p w14:paraId="71AA1CC6" w14:textId="77777777" w:rsidR="003204EA" w:rsidRDefault="003204EA">
          <w:pPr>
            <w:autoSpaceDE w:val="0"/>
            <w:autoSpaceDN w:val="0"/>
            <w:ind w:hanging="640"/>
            <w:divId w:val="1820879152"/>
            <w:rPr>
              <w:rFonts w:eastAsia="Times New Roman"/>
            </w:rPr>
          </w:pPr>
          <w:r>
            <w:rPr>
              <w:rFonts w:eastAsia="Times New Roman"/>
            </w:rPr>
            <w:t>47.</w:t>
          </w:r>
          <w:r>
            <w:rPr>
              <w:rFonts w:eastAsia="Times New Roman"/>
            </w:rPr>
            <w:tab/>
            <w:t xml:space="preserve">Zhou, J. Y. </w:t>
          </w:r>
          <w:r>
            <w:rPr>
              <w:rFonts w:eastAsia="Times New Roman"/>
              <w:i/>
              <w:iCs/>
            </w:rPr>
            <w:t>et al.</w:t>
          </w:r>
          <w:r>
            <w:rPr>
              <w:rFonts w:eastAsia="Times New Roman"/>
            </w:rPr>
            <w:t xml:space="preserve"> Simple sodium dodecyl sulfate-assisted sample preparation method for LC-MS-based proteomics applications. </w:t>
          </w:r>
          <w:r>
            <w:rPr>
              <w:rFonts w:eastAsia="Times New Roman"/>
              <w:i/>
              <w:iCs/>
            </w:rPr>
            <w:t>Analytical Chemistry</w:t>
          </w:r>
          <w:r>
            <w:rPr>
              <w:rFonts w:eastAsia="Times New Roman"/>
            </w:rPr>
            <w:t xml:space="preserve"> </w:t>
          </w:r>
          <w:r>
            <w:rPr>
              <w:rFonts w:eastAsia="Times New Roman"/>
              <w:b/>
              <w:bCs/>
            </w:rPr>
            <w:t>84</w:t>
          </w:r>
          <w:r>
            <w:rPr>
              <w:rFonts w:eastAsia="Times New Roman"/>
            </w:rPr>
            <w:t>, 2862–2867 (2012).</w:t>
          </w:r>
        </w:p>
        <w:p w14:paraId="261EC57A" w14:textId="77777777" w:rsidR="003204EA" w:rsidRDefault="003204EA">
          <w:pPr>
            <w:autoSpaceDE w:val="0"/>
            <w:autoSpaceDN w:val="0"/>
            <w:ind w:hanging="640"/>
            <w:divId w:val="145783812"/>
            <w:rPr>
              <w:rFonts w:eastAsia="Times New Roman"/>
            </w:rPr>
          </w:pPr>
          <w:r>
            <w:rPr>
              <w:rFonts w:eastAsia="Times New Roman"/>
            </w:rPr>
            <w:t>48.</w:t>
          </w:r>
          <w:r>
            <w:rPr>
              <w:rFonts w:eastAsia="Times New Roman"/>
            </w:rPr>
            <w:tab/>
          </w:r>
          <w:proofErr w:type="spellStart"/>
          <w:r>
            <w:rPr>
              <w:rFonts w:eastAsia="Times New Roman"/>
            </w:rPr>
            <w:t>Tanca</w:t>
          </w:r>
          <w:proofErr w:type="spellEnd"/>
          <w:r>
            <w:rPr>
              <w:rFonts w:eastAsia="Times New Roman"/>
            </w:rPr>
            <w:t xml:space="preserve">, A., </w:t>
          </w:r>
          <w:proofErr w:type="spellStart"/>
          <w:r>
            <w:rPr>
              <w:rFonts w:eastAsia="Times New Roman"/>
            </w:rPr>
            <w:t>Biosa</w:t>
          </w:r>
          <w:proofErr w:type="spellEnd"/>
          <w:r>
            <w:rPr>
              <w:rFonts w:eastAsia="Times New Roman"/>
            </w:rPr>
            <w:t xml:space="preserve">, G., </w:t>
          </w:r>
          <w:proofErr w:type="spellStart"/>
          <w:r>
            <w:rPr>
              <w:rFonts w:eastAsia="Times New Roman"/>
            </w:rPr>
            <w:t>Pagnozzi</w:t>
          </w:r>
          <w:proofErr w:type="spellEnd"/>
          <w:r>
            <w:rPr>
              <w:rFonts w:eastAsia="Times New Roman"/>
            </w:rPr>
            <w:t xml:space="preserve">, D., Addis, M. F. &amp; </w:t>
          </w:r>
          <w:proofErr w:type="spellStart"/>
          <w:r>
            <w:rPr>
              <w:rFonts w:eastAsia="Times New Roman"/>
            </w:rPr>
            <w:t>Uzzau</w:t>
          </w:r>
          <w:proofErr w:type="spellEnd"/>
          <w:r>
            <w:rPr>
              <w:rFonts w:eastAsia="Times New Roman"/>
            </w:rPr>
            <w:t xml:space="preserve">, S. Comparison of detergent-based sample preparation workflows for LTQ-Orbitrap analysis of the Escherichia coli proteome. </w:t>
          </w:r>
          <w:r>
            <w:rPr>
              <w:rFonts w:eastAsia="Times New Roman"/>
              <w:i/>
              <w:iCs/>
            </w:rPr>
            <w:t>Proteomics</w:t>
          </w:r>
          <w:r>
            <w:rPr>
              <w:rFonts w:eastAsia="Times New Roman"/>
            </w:rPr>
            <w:t xml:space="preserve"> </w:t>
          </w:r>
          <w:r>
            <w:rPr>
              <w:rFonts w:eastAsia="Times New Roman"/>
              <w:b/>
              <w:bCs/>
            </w:rPr>
            <w:t>13</w:t>
          </w:r>
          <w:r>
            <w:rPr>
              <w:rFonts w:eastAsia="Times New Roman"/>
            </w:rPr>
            <w:t>, 2597–2607 (2013).</w:t>
          </w:r>
        </w:p>
        <w:p w14:paraId="058AA261" w14:textId="77777777" w:rsidR="003204EA" w:rsidRDefault="003204EA">
          <w:pPr>
            <w:autoSpaceDE w:val="0"/>
            <w:autoSpaceDN w:val="0"/>
            <w:ind w:hanging="640"/>
            <w:divId w:val="1597401993"/>
            <w:rPr>
              <w:rFonts w:eastAsia="Times New Roman"/>
            </w:rPr>
          </w:pPr>
          <w:r>
            <w:rPr>
              <w:rFonts w:eastAsia="Times New Roman"/>
            </w:rPr>
            <w:t>49.</w:t>
          </w:r>
          <w:r>
            <w:rPr>
              <w:rFonts w:eastAsia="Times New Roman"/>
            </w:rPr>
            <w:tab/>
            <w:t xml:space="preserve">Blakeley-Ruiz, J. A. </w:t>
          </w:r>
          <w:r>
            <w:rPr>
              <w:rFonts w:eastAsia="Times New Roman"/>
              <w:i/>
              <w:iCs/>
            </w:rPr>
            <w:t>et al.</w:t>
          </w:r>
          <w:r>
            <w:rPr>
              <w:rFonts w:eastAsia="Times New Roman"/>
            </w:rPr>
            <w:t xml:space="preserve"> Metaproteomics reveals persistent and phylum-redundant metabolic functional stability in adult human gut microbiomes of Crohn’s remission patients despite temporal variations in microbial taxa, genomes, and proteomes. </w:t>
          </w:r>
          <w:r>
            <w:rPr>
              <w:rFonts w:eastAsia="Times New Roman"/>
              <w:i/>
              <w:iCs/>
            </w:rPr>
            <w:t>Microbiome</w:t>
          </w:r>
          <w:r>
            <w:rPr>
              <w:rFonts w:eastAsia="Times New Roman"/>
            </w:rPr>
            <w:t xml:space="preserve"> </w:t>
          </w:r>
          <w:r>
            <w:rPr>
              <w:rFonts w:eastAsia="Times New Roman"/>
              <w:b/>
              <w:bCs/>
            </w:rPr>
            <w:t>7</w:t>
          </w:r>
          <w:r>
            <w:rPr>
              <w:rFonts w:eastAsia="Times New Roman"/>
            </w:rPr>
            <w:t>, 1–15 (2019).</w:t>
          </w:r>
        </w:p>
        <w:p w14:paraId="32841A89" w14:textId="77777777" w:rsidR="003204EA" w:rsidRDefault="003204EA">
          <w:pPr>
            <w:autoSpaceDE w:val="0"/>
            <w:autoSpaceDN w:val="0"/>
            <w:ind w:hanging="640"/>
            <w:divId w:val="2107459473"/>
            <w:rPr>
              <w:rFonts w:eastAsia="Times New Roman"/>
            </w:rPr>
          </w:pPr>
          <w:r>
            <w:rPr>
              <w:rFonts w:eastAsia="Times New Roman"/>
            </w:rPr>
            <w:t>50.</w:t>
          </w:r>
          <w:r>
            <w:rPr>
              <w:rFonts w:eastAsia="Times New Roman"/>
            </w:rPr>
            <w:tab/>
            <w:t xml:space="preserve">Nickels, J. D. </w:t>
          </w:r>
          <w:r>
            <w:rPr>
              <w:rFonts w:eastAsia="Times New Roman"/>
              <w:i/>
              <w:iCs/>
            </w:rPr>
            <w:t>et al.</w:t>
          </w:r>
          <w:r>
            <w:rPr>
              <w:rFonts w:eastAsia="Times New Roman"/>
            </w:rPr>
            <w:t xml:space="preserve"> Impact of Fatty-Acid Labeling of Bacillus subtilis Membranes on the Cellular Lipidome and Proteome. </w:t>
          </w:r>
          <w:r>
            <w:rPr>
              <w:rFonts w:eastAsia="Times New Roman"/>
              <w:i/>
              <w:iCs/>
            </w:rPr>
            <w:t>Frontiers in Microbiology</w:t>
          </w:r>
          <w:r>
            <w:rPr>
              <w:rFonts w:eastAsia="Times New Roman"/>
            </w:rPr>
            <w:t xml:space="preserve"> </w:t>
          </w:r>
          <w:r>
            <w:rPr>
              <w:rFonts w:eastAsia="Times New Roman"/>
              <w:b/>
              <w:bCs/>
            </w:rPr>
            <w:t>11</w:t>
          </w:r>
          <w:r>
            <w:rPr>
              <w:rFonts w:eastAsia="Times New Roman"/>
            </w:rPr>
            <w:t>, 1–13 (2020).</w:t>
          </w:r>
        </w:p>
        <w:p w14:paraId="10FAD58F" w14:textId="77777777" w:rsidR="003204EA" w:rsidRDefault="003204EA">
          <w:pPr>
            <w:autoSpaceDE w:val="0"/>
            <w:autoSpaceDN w:val="0"/>
            <w:ind w:hanging="640"/>
            <w:divId w:val="332684899"/>
            <w:rPr>
              <w:rFonts w:eastAsia="Times New Roman"/>
            </w:rPr>
          </w:pPr>
          <w:r>
            <w:rPr>
              <w:rFonts w:eastAsia="Times New Roman"/>
            </w:rPr>
            <w:t>51.</w:t>
          </w:r>
          <w:r>
            <w:rPr>
              <w:rFonts w:eastAsia="Times New Roman"/>
            </w:rPr>
            <w:tab/>
          </w:r>
          <w:proofErr w:type="spellStart"/>
          <w:r>
            <w:rPr>
              <w:rFonts w:eastAsia="Times New Roman"/>
            </w:rPr>
            <w:t>Salvachúa</w:t>
          </w:r>
          <w:proofErr w:type="spellEnd"/>
          <w:r>
            <w:rPr>
              <w:rFonts w:eastAsia="Times New Roman"/>
            </w:rPr>
            <w:t xml:space="preserve">, D. </w:t>
          </w:r>
          <w:r>
            <w:rPr>
              <w:rFonts w:eastAsia="Times New Roman"/>
              <w:i/>
              <w:iCs/>
            </w:rPr>
            <w:t>et al.</w:t>
          </w:r>
          <w:r>
            <w:rPr>
              <w:rFonts w:eastAsia="Times New Roman"/>
            </w:rPr>
            <w:t xml:space="preserve"> Outer membrane vesicles catabolize lignin-derived aromatic compounds in Pseudomonas putida KT2440. </w:t>
          </w:r>
          <w:r>
            <w:rPr>
              <w:rFonts w:eastAsia="Times New Roman"/>
              <w:i/>
              <w:iCs/>
            </w:rPr>
            <w:t xml:space="preserve">Proc Natl </w:t>
          </w:r>
          <w:proofErr w:type="spellStart"/>
          <w:r>
            <w:rPr>
              <w:rFonts w:eastAsia="Times New Roman"/>
              <w:i/>
              <w:iCs/>
            </w:rPr>
            <w:t>Acad</w:t>
          </w:r>
          <w:proofErr w:type="spellEnd"/>
          <w:r>
            <w:rPr>
              <w:rFonts w:eastAsia="Times New Roman"/>
              <w:i/>
              <w:iCs/>
            </w:rPr>
            <w:t xml:space="preserve"> Sci U S A</w:t>
          </w:r>
          <w:r>
            <w:rPr>
              <w:rFonts w:eastAsia="Times New Roman"/>
            </w:rPr>
            <w:t xml:space="preserve"> </w:t>
          </w:r>
          <w:r>
            <w:rPr>
              <w:rFonts w:eastAsia="Times New Roman"/>
              <w:b/>
              <w:bCs/>
            </w:rPr>
            <w:t>117</w:t>
          </w:r>
          <w:r>
            <w:rPr>
              <w:rFonts w:eastAsia="Times New Roman"/>
            </w:rPr>
            <w:t>, 9302–9310 (2020).</w:t>
          </w:r>
        </w:p>
        <w:p w14:paraId="01DF95FC" w14:textId="77777777" w:rsidR="003204EA" w:rsidRDefault="003204EA">
          <w:pPr>
            <w:autoSpaceDE w:val="0"/>
            <w:autoSpaceDN w:val="0"/>
            <w:ind w:hanging="640"/>
            <w:divId w:val="579295109"/>
            <w:rPr>
              <w:rFonts w:eastAsia="Times New Roman"/>
            </w:rPr>
          </w:pPr>
          <w:r>
            <w:rPr>
              <w:rFonts w:eastAsia="Times New Roman"/>
            </w:rPr>
            <w:t>52.</w:t>
          </w:r>
          <w:r>
            <w:rPr>
              <w:rFonts w:eastAsia="Times New Roman"/>
            </w:rPr>
            <w:tab/>
          </w:r>
          <w:proofErr w:type="spellStart"/>
          <w:r>
            <w:rPr>
              <w:rFonts w:eastAsia="Times New Roman"/>
            </w:rPr>
            <w:t>Tanca</w:t>
          </w:r>
          <w:proofErr w:type="spellEnd"/>
          <w:r>
            <w:rPr>
              <w:rFonts w:eastAsia="Times New Roman"/>
            </w:rPr>
            <w:t xml:space="preserve">, A. </w:t>
          </w:r>
          <w:r>
            <w:rPr>
              <w:rFonts w:eastAsia="Times New Roman"/>
              <w:i/>
              <w:iCs/>
            </w:rPr>
            <w:t>et al.</w:t>
          </w:r>
          <w:r>
            <w:rPr>
              <w:rFonts w:eastAsia="Times New Roman"/>
            </w:rPr>
            <w:t xml:space="preserve"> A straightforward and efficient analytical pipeline for metaproteome characterization. </w:t>
          </w:r>
          <w:r>
            <w:rPr>
              <w:rFonts w:eastAsia="Times New Roman"/>
              <w:i/>
              <w:iCs/>
            </w:rPr>
            <w:t>Microbiome</w:t>
          </w:r>
          <w:r>
            <w:rPr>
              <w:rFonts w:eastAsia="Times New Roman"/>
            </w:rPr>
            <w:t xml:space="preserve"> </w:t>
          </w:r>
          <w:r>
            <w:rPr>
              <w:rFonts w:eastAsia="Times New Roman"/>
              <w:b/>
              <w:bCs/>
            </w:rPr>
            <w:t>2</w:t>
          </w:r>
          <w:r>
            <w:rPr>
              <w:rFonts w:eastAsia="Times New Roman"/>
            </w:rPr>
            <w:t>, 1–16 (2014).</w:t>
          </w:r>
        </w:p>
        <w:p w14:paraId="79899F83" w14:textId="77777777" w:rsidR="003204EA" w:rsidRDefault="003204EA">
          <w:pPr>
            <w:autoSpaceDE w:val="0"/>
            <w:autoSpaceDN w:val="0"/>
            <w:ind w:hanging="640"/>
            <w:divId w:val="983895532"/>
            <w:rPr>
              <w:rFonts w:eastAsia="Times New Roman"/>
            </w:rPr>
          </w:pPr>
          <w:r>
            <w:rPr>
              <w:rFonts w:eastAsia="Times New Roman"/>
            </w:rPr>
            <w:t>53.</w:t>
          </w:r>
          <w:r>
            <w:rPr>
              <w:rFonts w:eastAsia="Times New Roman"/>
            </w:rPr>
            <w:tab/>
            <w:t xml:space="preserve">Zhang, X. </w:t>
          </w:r>
          <w:r>
            <w:rPr>
              <w:rFonts w:eastAsia="Times New Roman"/>
              <w:i/>
              <w:iCs/>
            </w:rPr>
            <w:t>et al.</w:t>
          </w:r>
          <w:r>
            <w:rPr>
              <w:rFonts w:eastAsia="Times New Roman"/>
            </w:rPr>
            <w:t xml:space="preserve"> Assessing the impact of protein extraction methods for human gut metaproteomics. </w:t>
          </w:r>
          <w:r>
            <w:rPr>
              <w:rFonts w:eastAsia="Times New Roman"/>
              <w:i/>
              <w:iCs/>
            </w:rPr>
            <w:t>Journal of Proteomics</w:t>
          </w:r>
          <w:r>
            <w:rPr>
              <w:rFonts w:eastAsia="Times New Roman"/>
            </w:rPr>
            <w:t xml:space="preserve"> </w:t>
          </w:r>
          <w:r>
            <w:rPr>
              <w:rFonts w:eastAsia="Times New Roman"/>
              <w:b/>
              <w:bCs/>
            </w:rPr>
            <w:t>180</w:t>
          </w:r>
          <w:r>
            <w:rPr>
              <w:rFonts w:eastAsia="Times New Roman"/>
            </w:rPr>
            <w:t>, 120–127 (2018).</w:t>
          </w:r>
        </w:p>
        <w:p w14:paraId="2FB962EC" w14:textId="77777777" w:rsidR="003204EA" w:rsidRDefault="003204EA">
          <w:pPr>
            <w:autoSpaceDE w:val="0"/>
            <w:autoSpaceDN w:val="0"/>
            <w:ind w:hanging="640"/>
            <w:divId w:val="519975053"/>
            <w:rPr>
              <w:rFonts w:eastAsia="Times New Roman"/>
            </w:rPr>
          </w:pPr>
          <w:r>
            <w:rPr>
              <w:rFonts w:eastAsia="Times New Roman"/>
            </w:rPr>
            <w:t>54.</w:t>
          </w:r>
          <w:r>
            <w:rPr>
              <w:rFonts w:eastAsia="Times New Roman"/>
            </w:rPr>
            <w:tab/>
          </w:r>
          <w:proofErr w:type="spellStart"/>
          <w:r>
            <w:rPr>
              <w:rFonts w:eastAsia="Times New Roman"/>
            </w:rPr>
            <w:t>Cañas</w:t>
          </w:r>
          <w:proofErr w:type="spellEnd"/>
          <w:r>
            <w:rPr>
              <w:rFonts w:eastAsia="Times New Roman"/>
            </w:rPr>
            <w:t xml:space="preserve">, B., </w:t>
          </w:r>
          <w:proofErr w:type="spellStart"/>
          <w:r>
            <w:rPr>
              <w:rFonts w:eastAsia="Times New Roman"/>
            </w:rPr>
            <w:t>Piñeiro</w:t>
          </w:r>
          <w:proofErr w:type="spellEnd"/>
          <w:r>
            <w:rPr>
              <w:rFonts w:eastAsia="Times New Roman"/>
            </w:rPr>
            <w:t xml:space="preserve">, C., Calvo, E., López-Ferrer, D. &amp; Gallardo, J. M. Trends in sample preparation for classical and </w:t>
          </w:r>
          <w:proofErr w:type="gramStart"/>
          <w:r>
            <w:rPr>
              <w:rFonts w:eastAsia="Times New Roman"/>
            </w:rPr>
            <w:t>second generation</w:t>
          </w:r>
          <w:proofErr w:type="gramEnd"/>
          <w:r>
            <w:rPr>
              <w:rFonts w:eastAsia="Times New Roman"/>
            </w:rPr>
            <w:t xml:space="preserve"> proteomics. </w:t>
          </w:r>
          <w:r>
            <w:rPr>
              <w:rFonts w:eastAsia="Times New Roman"/>
              <w:i/>
              <w:iCs/>
            </w:rPr>
            <w:t>Journal of Chromatography A</w:t>
          </w:r>
          <w:r>
            <w:rPr>
              <w:rFonts w:eastAsia="Times New Roman"/>
            </w:rPr>
            <w:t xml:space="preserve"> </w:t>
          </w:r>
          <w:r>
            <w:rPr>
              <w:rFonts w:eastAsia="Times New Roman"/>
              <w:b/>
              <w:bCs/>
            </w:rPr>
            <w:t>1153</w:t>
          </w:r>
          <w:r>
            <w:rPr>
              <w:rFonts w:eastAsia="Times New Roman"/>
            </w:rPr>
            <w:t>, 235–258 (2007).</w:t>
          </w:r>
        </w:p>
        <w:p w14:paraId="7614CBBA" w14:textId="77777777" w:rsidR="003204EA" w:rsidRDefault="003204EA">
          <w:pPr>
            <w:autoSpaceDE w:val="0"/>
            <w:autoSpaceDN w:val="0"/>
            <w:ind w:hanging="640"/>
            <w:divId w:val="563491741"/>
            <w:rPr>
              <w:rFonts w:eastAsia="Times New Roman"/>
            </w:rPr>
          </w:pPr>
          <w:r>
            <w:rPr>
              <w:rFonts w:eastAsia="Times New Roman"/>
            </w:rPr>
            <w:t>55.</w:t>
          </w:r>
          <w:r>
            <w:rPr>
              <w:rFonts w:eastAsia="Times New Roman"/>
            </w:rPr>
            <w:tab/>
            <w:t xml:space="preserve">Annesley, T. M. Ion suppression in mass spectrometry. </w:t>
          </w:r>
          <w:r>
            <w:rPr>
              <w:rFonts w:eastAsia="Times New Roman"/>
              <w:i/>
              <w:iCs/>
            </w:rPr>
            <w:t>Clinical Chemistry</w:t>
          </w:r>
          <w:r>
            <w:rPr>
              <w:rFonts w:eastAsia="Times New Roman"/>
            </w:rPr>
            <w:t xml:space="preserve"> </w:t>
          </w:r>
          <w:r>
            <w:rPr>
              <w:rFonts w:eastAsia="Times New Roman"/>
              <w:b/>
              <w:bCs/>
            </w:rPr>
            <w:t>49</w:t>
          </w:r>
          <w:r>
            <w:rPr>
              <w:rFonts w:eastAsia="Times New Roman"/>
            </w:rPr>
            <w:t>, 1041–1044 (2003).</w:t>
          </w:r>
        </w:p>
        <w:p w14:paraId="16D8902A" w14:textId="77777777" w:rsidR="003204EA" w:rsidRDefault="003204EA">
          <w:pPr>
            <w:autoSpaceDE w:val="0"/>
            <w:autoSpaceDN w:val="0"/>
            <w:ind w:hanging="640"/>
            <w:divId w:val="655956549"/>
            <w:rPr>
              <w:rFonts w:eastAsia="Times New Roman"/>
            </w:rPr>
          </w:pPr>
          <w:r>
            <w:rPr>
              <w:rFonts w:eastAsia="Times New Roman"/>
            </w:rPr>
            <w:t>56.</w:t>
          </w:r>
          <w:r>
            <w:rPr>
              <w:rFonts w:eastAsia="Times New Roman"/>
            </w:rPr>
            <w:tab/>
            <w:t xml:space="preserve">Qian, C. &amp; Hettich, R. L. Optimized Extraction Method to Remove Humic Acid Interferences from Soil Samples Prior to Microbial Proteome Measurements. </w:t>
          </w:r>
          <w:r>
            <w:rPr>
              <w:rFonts w:eastAsia="Times New Roman"/>
              <w:i/>
              <w:iCs/>
            </w:rPr>
            <w:t>Journal of Proteome Research</w:t>
          </w:r>
          <w:r>
            <w:rPr>
              <w:rFonts w:eastAsia="Times New Roman"/>
            </w:rPr>
            <w:t xml:space="preserve"> </w:t>
          </w:r>
          <w:r>
            <w:rPr>
              <w:rFonts w:eastAsia="Times New Roman"/>
              <w:b/>
              <w:bCs/>
            </w:rPr>
            <w:t>16</w:t>
          </w:r>
          <w:r>
            <w:rPr>
              <w:rFonts w:eastAsia="Times New Roman"/>
            </w:rPr>
            <w:t>, 2537–2546 (2017).</w:t>
          </w:r>
        </w:p>
        <w:p w14:paraId="0D1F5CD3" w14:textId="77777777" w:rsidR="003204EA" w:rsidRDefault="003204EA">
          <w:pPr>
            <w:autoSpaceDE w:val="0"/>
            <w:autoSpaceDN w:val="0"/>
            <w:ind w:hanging="640"/>
            <w:divId w:val="1321541719"/>
            <w:rPr>
              <w:rFonts w:eastAsia="Times New Roman"/>
            </w:rPr>
          </w:pPr>
          <w:r>
            <w:rPr>
              <w:rFonts w:eastAsia="Times New Roman"/>
            </w:rPr>
            <w:t>57.</w:t>
          </w:r>
          <w:r>
            <w:rPr>
              <w:rFonts w:eastAsia="Times New Roman"/>
            </w:rPr>
            <w:tab/>
            <w:t xml:space="preserve">FOLCH, J., LEES, M. &amp; SLOANE STANLEY, G. H. A simple method for the isolation and purification of total lipides from animal tissues. </w:t>
          </w:r>
          <w:r>
            <w:rPr>
              <w:rFonts w:eastAsia="Times New Roman"/>
              <w:i/>
              <w:iCs/>
            </w:rPr>
            <w:t>J Biol Chem</w:t>
          </w:r>
          <w:r>
            <w:rPr>
              <w:rFonts w:eastAsia="Times New Roman"/>
            </w:rPr>
            <w:t xml:space="preserve"> </w:t>
          </w:r>
          <w:r>
            <w:rPr>
              <w:rFonts w:eastAsia="Times New Roman"/>
              <w:b/>
              <w:bCs/>
            </w:rPr>
            <w:t>226</w:t>
          </w:r>
          <w:r>
            <w:rPr>
              <w:rFonts w:eastAsia="Times New Roman"/>
            </w:rPr>
            <w:t>, 497–509 (1957).</w:t>
          </w:r>
        </w:p>
        <w:p w14:paraId="0738BBA9" w14:textId="77777777" w:rsidR="003204EA" w:rsidRDefault="003204EA">
          <w:pPr>
            <w:autoSpaceDE w:val="0"/>
            <w:autoSpaceDN w:val="0"/>
            <w:ind w:hanging="640"/>
            <w:divId w:val="701443853"/>
            <w:rPr>
              <w:rFonts w:eastAsia="Times New Roman"/>
            </w:rPr>
          </w:pPr>
          <w:r>
            <w:rPr>
              <w:rFonts w:eastAsia="Times New Roman"/>
            </w:rPr>
            <w:t>58.</w:t>
          </w:r>
          <w:r>
            <w:rPr>
              <w:rFonts w:eastAsia="Times New Roman"/>
            </w:rPr>
            <w:tab/>
          </w:r>
          <w:proofErr w:type="spellStart"/>
          <w:r>
            <w:rPr>
              <w:rFonts w:eastAsia="Times New Roman"/>
            </w:rPr>
            <w:t>Dagley</w:t>
          </w:r>
          <w:proofErr w:type="spellEnd"/>
          <w:r>
            <w:rPr>
              <w:rFonts w:eastAsia="Times New Roman"/>
            </w:rPr>
            <w:t xml:space="preserve">, L. F., </w:t>
          </w:r>
          <w:proofErr w:type="spellStart"/>
          <w:r>
            <w:rPr>
              <w:rFonts w:eastAsia="Times New Roman"/>
            </w:rPr>
            <w:t>Infusini</w:t>
          </w:r>
          <w:proofErr w:type="spellEnd"/>
          <w:r>
            <w:rPr>
              <w:rFonts w:eastAsia="Times New Roman"/>
            </w:rPr>
            <w:t xml:space="preserve">, G., Larsen, R. H., Sandow, J. J. &amp; Webb, A. I. Universal Solid-Phase Protein Preparation (USP3) for Bottom-up and Top-down Proteomics. </w:t>
          </w:r>
          <w:r>
            <w:rPr>
              <w:rFonts w:eastAsia="Times New Roman"/>
              <w:i/>
              <w:iCs/>
            </w:rPr>
            <w:t>Journal of Proteome Research</w:t>
          </w:r>
          <w:r>
            <w:rPr>
              <w:rFonts w:eastAsia="Times New Roman"/>
            </w:rPr>
            <w:t xml:space="preserve"> </w:t>
          </w:r>
          <w:r>
            <w:rPr>
              <w:rFonts w:eastAsia="Times New Roman"/>
              <w:b/>
              <w:bCs/>
            </w:rPr>
            <w:t>18</w:t>
          </w:r>
          <w:r>
            <w:rPr>
              <w:rFonts w:eastAsia="Times New Roman"/>
            </w:rPr>
            <w:t>, 2915–2924 (2019).</w:t>
          </w:r>
        </w:p>
        <w:p w14:paraId="2683EDEE" w14:textId="77777777" w:rsidR="003204EA" w:rsidRDefault="003204EA">
          <w:pPr>
            <w:autoSpaceDE w:val="0"/>
            <w:autoSpaceDN w:val="0"/>
            <w:ind w:hanging="640"/>
            <w:divId w:val="709453775"/>
            <w:rPr>
              <w:rFonts w:eastAsia="Times New Roman"/>
            </w:rPr>
          </w:pPr>
          <w:r>
            <w:rPr>
              <w:rFonts w:eastAsia="Times New Roman"/>
            </w:rPr>
            <w:t>59.</w:t>
          </w:r>
          <w:r>
            <w:rPr>
              <w:rFonts w:eastAsia="Times New Roman"/>
            </w:rPr>
            <w:tab/>
          </w:r>
          <w:proofErr w:type="spellStart"/>
          <w:r>
            <w:rPr>
              <w:rFonts w:eastAsia="Times New Roman"/>
            </w:rPr>
            <w:t>Batth</w:t>
          </w:r>
          <w:proofErr w:type="spellEnd"/>
          <w:r>
            <w:rPr>
              <w:rFonts w:eastAsia="Times New Roman"/>
            </w:rPr>
            <w:t xml:space="preserve">, T. S. </w:t>
          </w:r>
          <w:r>
            <w:rPr>
              <w:rFonts w:eastAsia="Times New Roman"/>
              <w:i/>
              <w:iCs/>
            </w:rPr>
            <w:t>et al.</w:t>
          </w:r>
          <w:r>
            <w:rPr>
              <w:rFonts w:eastAsia="Times New Roman"/>
            </w:rPr>
            <w:t xml:space="preserve"> Protein aggregation capture on microparticles enables multipurpose proteomics sample preparation. </w:t>
          </w:r>
          <w:r>
            <w:rPr>
              <w:rFonts w:eastAsia="Times New Roman"/>
              <w:i/>
              <w:iCs/>
            </w:rPr>
            <w:t>Molecular and Cellular Proteomics</w:t>
          </w:r>
          <w:r>
            <w:rPr>
              <w:rFonts w:eastAsia="Times New Roman"/>
            </w:rPr>
            <w:t xml:space="preserve"> </w:t>
          </w:r>
          <w:r>
            <w:rPr>
              <w:rFonts w:eastAsia="Times New Roman"/>
              <w:b/>
              <w:bCs/>
            </w:rPr>
            <w:t>18</w:t>
          </w:r>
          <w:r>
            <w:rPr>
              <w:rFonts w:eastAsia="Times New Roman"/>
            </w:rPr>
            <w:t>, 1027–1035 (2019).</w:t>
          </w:r>
        </w:p>
        <w:p w14:paraId="2E4B8B65" w14:textId="77777777" w:rsidR="003204EA" w:rsidRDefault="003204EA">
          <w:pPr>
            <w:autoSpaceDE w:val="0"/>
            <w:autoSpaceDN w:val="0"/>
            <w:ind w:hanging="640"/>
            <w:divId w:val="274799236"/>
            <w:rPr>
              <w:rFonts w:eastAsia="Times New Roman"/>
            </w:rPr>
          </w:pPr>
          <w:r>
            <w:rPr>
              <w:rFonts w:eastAsia="Times New Roman"/>
            </w:rPr>
            <w:t>60.</w:t>
          </w:r>
          <w:r>
            <w:rPr>
              <w:rFonts w:eastAsia="Times New Roman"/>
            </w:rPr>
            <w:tab/>
            <w:t xml:space="preserve">Miller, R. M., Ibrahim, K. &amp; Smith, L. M. </w:t>
          </w:r>
          <w:proofErr w:type="spellStart"/>
          <w:r>
            <w:rPr>
              <w:rFonts w:eastAsia="Times New Roman"/>
            </w:rPr>
            <w:t>ProteaseGuru</w:t>
          </w:r>
          <w:proofErr w:type="spellEnd"/>
          <w:r>
            <w:rPr>
              <w:rFonts w:eastAsia="Times New Roman"/>
            </w:rPr>
            <w:t xml:space="preserve">: A Tool for Protease Selection in Bottom-Up Proteomics. </w:t>
          </w:r>
          <w:r>
            <w:rPr>
              <w:rFonts w:eastAsia="Times New Roman"/>
              <w:i/>
              <w:iCs/>
            </w:rPr>
            <w:t>Journal of Proteome Research</w:t>
          </w:r>
          <w:r>
            <w:rPr>
              <w:rFonts w:eastAsia="Times New Roman"/>
            </w:rPr>
            <w:t xml:space="preserve"> </w:t>
          </w:r>
          <w:r>
            <w:rPr>
              <w:rFonts w:eastAsia="Times New Roman"/>
              <w:b/>
              <w:bCs/>
            </w:rPr>
            <w:t>20</w:t>
          </w:r>
          <w:r>
            <w:rPr>
              <w:rFonts w:eastAsia="Times New Roman"/>
            </w:rPr>
            <w:t>, 1936–1942 (2021).</w:t>
          </w:r>
        </w:p>
        <w:p w14:paraId="232F638E" w14:textId="77777777" w:rsidR="003204EA" w:rsidRDefault="003204EA">
          <w:pPr>
            <w:autoSpaceDE w:val="0"/>
            <w:autoSpaceDN w:val="0"/>
            <w:ind w:hanging="640"/>
            <w:divId w:val="1368946582"/>
            <w:rPr>
              <w:rFonts w:eastAsia="Times New Roman"/>
            </w:rPr>
          </w:pPr>
          <w:r>
            <w:rPr>
              <w:rFonts w:eastAsia="Times New Roman"/>
            </w:rPr>
            <w:t>61.</w:t>
          </w:r>
          <w:r>
            <w:rPr>
              <w:rFonts w:eastAsia="Times New Roman"/>
            </w:rPr>
            <w:tab/>
            <w:t xml:space="preserve">Michalski, A., </w:t>
          </w:r>
          <w:proofErr w:type="spellStart"/>
          <w:r>
            <w:rPr>
              <w:rFonts w:eastAsia="Times New Roman"/>
            </w:rPr>
            <w:t>Neuhauser</w:t>
          </w:r>
          <w:proofErr w:type="spellEnd"/>
          <w:r>
            <w:rPr>
              <w:rFonts w:eastAsia="Times New Roman"/>
            </w:rPr>
            <w:t xml:space="preserve">, N., Cox, J. &amp; Mann, M. A systematic investigation into the nature of tryptic HCD spectra. </w:t>
          </w:r>
          <w:r>
            <w:rPr>
              <w:rFonts w:eastAsia="Times New Roman"/>
              <w:i/>
              <w:iCs/>
            </w:rPr>
            <w:t>Journal of Proteome Research</w:t>
          </w:r>
          <w:r>
            <w:rPr>
              <w:rFonts w:eastAsia="Times New Roman"/>
            </w:rPr>
            <w:t xml:space="preserve"> </w:t>
          </w:r>
          <w:r>
            <w:rPr>
              <w:rFonts w:eastAsia="Times New Roman"/>
              <w:b/>
              <w:bCs/>
            </w:rPr>
            <w:t>11</w:t>
          </w:r>
          <w:r>
            <w:rPr>
              <w:rFonts w:eastAsia="Times New Roman"/>
            </w:rPr>
            <w:t>, 5479–5491 (2012).</w:t>
          </w:r>
        </w:p>
        <w:p w14:paraId="6C0B0B76" w14:textId="77777777" w:rsidR="003204EA" w:rsidRDefault="003204EA">
          <w:pPr>
            <w:autoSpaceDE w:val="0"/>
            <w:autoSpaceDN w:val="0"/>
            <w:ind w:hanging="640"/>
            <w:divId w:val="1732804325"/>
            <w:rPr>
              <w:rFonts w:eastAsia="Times New Roman"/>
            </w:rPr>
          </w:pPr>
          <w:r>
            <w:rPr>
              <w:rFonts w:eastAsia="Times New Roman"/>
            </w:rPr>
            <w:t>62.</w:t>
          </w:r>
          <w:r>
            <w:rPr>
              <w:rFonts w:eastAsia="Times New Roman"/>
            </w:rPr>
            <w:tab/>
            <w:t xml:space="preserve">Shao, C., Zhang, Y. &amp; Sun, W. Statistical characterization of HCD fragmentation patterns of tryptic peptides on an LTQ Orbitrap Velos mass spectrometer. </w:t>
          </w:r>
          <w:r>
            <w:rPr>
              <w:rFonts w:eastAsia="Times New Roman"/>
              <w:i/>
              <w:iCs/>
            </w:rPr>
            <w:t>Journal of Proteomics</w:t>
          </w:r>
          <w:r>
            <w:rPr>
              <w:rFonts w:eastAsia="Times New Roman"/>
            </w:rPr>
            <w:t xml:space="preserve"> </w:t>
          </w:r>
          <w:r>
            <w:rPr>
              <w:rFonts w:eastAsia="Times New Roman"/>
              <w:b/>
              <w:bCs/>
            </w:rPr>
            <w:t>109</w:t>
          </w:r>
          <w:r>
            <w:rPr>
              <w:rFonts w:eastAsia="Times New Roman"/>
            </w:rPr>
            <w:t>, 26–37 (2014).</w:t>
          </w:r>
        </w:p>
        <w:p w14:paraId="7EC395A4" w14:textId="77777777" w:rsidR="003204EA" w:rsidRDefault="003204EA">
          <w:pPr>
            <w:autoSpaceDE w:val="0"/>
            <w:autoSpaceDN w:val="0"/>
            <w:ind w:hanging="640"/>
            <w:divId w:val="999818472"/>
            <w:rPr>
              <w:rFonts w:eastAsia="Times New Roman"/>
            </w:rPr>
          </w:pPr>
          <w:r>
            <w:rPr>
              <w:rFonts w:eastAsia="Times New Roman"/>
            </w:rPr>
            <w:t>63.</w:t>
          </w:r>
          <w:r>
            <w:rPr>
              <w:rFonts w:eastAsia="Times New Roman"/>
            </w:rPr>
            <w:tab/>
            <w:t xml:space="preserve">Villalobos Solis, M. I., Giannone, R. J., Hettich, R. L. &amp; Abraham, P. E. Exploiting the Dynamic Relationship between Peptide Separation Quality and Peptide </w:t>
          </w:r>
          <w:proofErr w:type="spellStart"/>
          <w:r>
            <w:rPr>
              <w:rFonts w:eastAsia="Times New Roman"/>
            </w:rPr>
            <w:t>Coisolation</w:t>
          </w:r>
          <w:proofErr w:type="spellEnd"/>
          <w:r>
            <w:rPr>
              <w:rFonts w:eastAsia="Times New Roman"/>
            </w:rPr>
            <w:t xml:space="preserve"> in a Multiple-Peptide Matches-per-Spectrum Approach Offers a Strategy to Optimize Bottom-Up Proteomics Throughput and Depth. </w:t>
          </w:r>
          <w:r>
            <w:rPr>
              <w:rFonts w:eastAsia="Times New Roman"/>
              <w:i/>
              <w:iCs/>
            </w:rPr>
            <w:t>Analytical Chemistry</w:t>
          </w:r>
          <w:r>
            <w:rPr>
              <w:rFonts w:eastAsia="Times New Roman"/>
            </w:rPr>
            <w:t xml:space="preserve"> </w:t>
          </w:r>
          <w:r>
            <w:rPr>
              <w:rFonts w:eastAsia="Times New Roman"/>
              <w:b/>
              <w:bCs/>
            </w:rPr>
            <w:t>91</w:t>
          </w:r>
          <w:r>
            <w:rPr>
              <w:rFonts w:eastAsia="Times New Roman"/>
            </w:rPr>
            <w:t>, 7273–7279 (2019).</w:t>
          </w:r>
        </w:p>
        <w:p w14:paraId="3050A473" w14:textId="77777777" w:rsidR="003204EA" w:rsidRDefault="003204EA">
          <w:pPr>
            <w:autoSpaceDE w:val="0"/>
            <w:autoSpaceDN w:val="0"/>
            <w:ind w:hanging="640"/>
            <w:divId w:val="839394607"/>
            <w:rPr>
              <w:rFonts w:eastAsia="Times New Roman"/>
            </w:rPr>
          </w:pPr>
          <w:r>
            <w:rPr>
              <w:rFonts w:eastAsia="Times New Roman"/>
            </w:rPr>
            <w:t>64.</w:t>
          </w:r>
          <w:r>
            <w:rPr>
              <w:rFonts w:eastAsia="Times New Roman"/>
            </w:rPr>
            <w:tab/>
          </w:r>
          <w:proofErr w:type="spellStart"/>
          <w:r>
            <w:rPr>
              <w:rFonts w:eastAsia="Times New Roman"/>
            </w:rPr>
            <w:t>Furey</w:t>
          </w:r>
          <w:proofErr w:type="spellEnd"/>
          <w:r>
            <w:rPr>
              <w:rFonts w:eastAsia="Times New Roman"/>
            </w:rPr>
            <w:t xml:space="preserve">, A., Moriarty, M., Bane, V., Kinsella, B. &amp; </w:t>
          </w:r>
          <w:proofErr w:type="spellStart"/>
          <w:r>
            <w:rPr>
              <w:rFonts w:eastAsia="Times New Roman"/>
            </w:rPr>
            <w:t>Lehane</w:t>
          </w:r>
          <w:proofErr w:type="spellEnd"/>
          <w:r>
            <w:rPr>
              <w:rFonts w:eastAsia="Times New Roman"/>
            </w:rPr>
            <w:t xml:space="preserve">, M. Ion suppression; A critical review on causes, evaluation, </w:t>
          </w:r>
          <w:proofErr w:type="gramStart"/>
          <w:r>
            <w:rPr>
              <w:rFonts w:eastAsia="Times New Roman"/>
            </w:rPr>
            <w:t>prevention</w:t>
          </w:r>
          <w:proofErr w:type="gramEnd"/>
          <w:r>
            <w:rPr>
              <w:rFonts w:eastAsia="Times New Roman"/>
            </w:rPr>
            <w:t xml:space="preserve"> and applications. </w:t>
          </w:r>
          <w:proofErr w:type="spellStart"/>
          <w:r>
            <w:rPr>
              <w:rFonts w:eastAsia="Times New Roman"/>
              <w:i/>
              <w:iCs/>
            </w:rPr>
            <w:t>Talanta</w:t>
          </w:r>
          <w:proofErr w:type="spellEnd"/>
          <w:r>
            <w:rPr>
              <w:rFonts w:eastAsia="Times New Roman"/>
            </w:rPr>
            <w:t xml:space="preserve"> </w:t>
          </w:r>
          <w:r>
            <w:rPr>
              <w:rFonts w:eastAsia="Times New Roman"/>
              <w:b/>
              <w:bCs/>
            </w:rPr>
            <w:t>115</w:t>
          </w:r>
          <w:r>
            <w:rPr>
              <w:rFonts w:eastAsia="Times New Roman"/>
            </w:rPr>
            <w:t>, 104–122 (2013).</w:t>
          </w:r>
        </w:p>
        <w:p w14:paraId="20C18A99" w14:textId="77777777" w:rsidR="003204EA" w:rsidRDefault="003204EA">
          <w:pPr>
            <w:autoSpaceDE w:val="0"/>
            <w:autoSpaceDN w:val="0"/>
            <w:ind w:hanging="640"/>
            <w:divId w:val="2093358777"/>
            <w:rPr>
              <w:rFonts w:eastAsia="Times New Roman"/>
            </w:rPr>
          </w:pPr>
          <w:r>
            <w:rPr>
              <w:rFonts w:eastAsia="Times New Roman"/>
            </w:rPr>
            <w:t>65.</w:t>
          </w:r>
          <w:r>
            <w:rPr>
              <w:rFonts w:eastAsia="Times New Roman"/>
            </w:rPr>
            <w:tab/>
          </w:r>
          <w:proofErr w:type="spellStart"/>
          <w:r>
            <w:rPr>
              <w:rFonts w:eastAsia="Times New Roman"/>
            </w:rPr>
            <w:t>Xie</w:t>
          </w:r>
          <w:proofErr w:type="spellEnd"/>
          <w:r>
            <w:rPr>
              <w:rFonts w:eastAsia="Times New Roman"/>
            </w:rPr>
            <w:t xml:space="preserve">, F., Smith, R. D. &amp; Shen, Y. Advanced proteomic liquid chromatography. </w:t>
          </w:r>
          <w:r>
            <w:rPr>
              <w:rFonts w:eastAsia="Times New Roman"/>
              <w:i/>
              <w:iCs/>
            </w:rPr>
            <w:t>Journal of Chromatography A</w:t>
          </w:r>
          <w:r>
            <w:rPr>
              <w:rFonts w:eastAsia="Times New Roman"/>
            </w:rPr>
            <w:t xml:space="preserve"> </w:t>
          </w:r>
          <w:r>
            <w:rPr>
              <w:rFonts w:eastAsia="Times New Roman"/>
              <w:b/>
              <w:bCs/>
            </w:rPr>
            <w:t>1261</w:t>
          </w:r>
          <w:r>
            <w:rPr>
              <w:rFonts w:eastAsia="Times New Roman"/>
            </w:rPr>
            <w:t>, 78–90 (2012).</w:t>
          </w:r>
        </w:p>
        <w:p w14:paraId="3BEED99D" w14:textId="77777777" w:rsidR="003204EA" w:rsidRDefault="003204EA">
          <w:pPr>
            <w:autoSpaceDE w:val="0"/>
            <w:autoSpaceDN w:val="0"/>
            <w:ind w:hanging="640"/>
            <w:divId w:val="1070421445"/>
            <w:rPr>
              <w:rFonts w:eastAsia="Times New Roman"/>
            </w:rPr>
          </w:pPr>
          <w:r>
            <w:rPr>
              <w:rFonts w:eastAsia="Times New Roman"/>
            </w:rPr>
            <w:t>66.</w:t>
          </w:r>
          <w:r>
            <w:rPr>
              <w:rFonts w:eastAsia="Times New Roman"/>
            </w:rPr>
            <w:tab/>
            <w:t xml:space="preserve">Zhang, X. </w:t>
          </w:r>
          <w:r>
            <w:rPr>
              <w:rFonts w:eastAsia="Times New Roman"/>
              <w:i/>
              <w:iCs/>
            </w:rPr>
            <w:t>et al.</w:t>
          </w:r>
          <w:r>
            <w:rPr>
              <w:rFonts w:eastAsia="Times New Roman"/>
            </w:rPr>
            <w:t xml:space="preserve"> </w:t>
          </w:r>
          <w:proofErr w:type="gramStart"/>
          <w:r>
            <w:rPr>
              <w:rFonts w:eastAsia="Times New Roman"/>
            </w:rPr>
            <w:t>Multi-dimensional</w:t>
          </w:r>
          <w:proofErr w:type="gramEnd"/>
          <w:r>
            <w:rPr>
              <w:rFonts w:eastAsia="Times New Roman"/>
            </w:rPr>
            <w:t xml:space="preserve"> liquid chromatography in proteomics-A review. </w:t>
          </w:r>
          <w:r>
            <w:rPr>
              <w:rFonts w:eastAsia="Times New Roman"/>
              <w:i/>
              <w:iCs/>
            </w:rPr>
            <w:t xml:space="preserve">Analytica </w:t>
          </w:r>
          <w:proofErr w:type="spellStart"/>
          <w:r>
            <w:rPr>
              <w:rFonts w:eastAsia="Times New Roman"/>
              <w:i/>
              <w:iCs/>
            </w:rPr>
            <w:t>Chimica</w:t>
          </w:r>
          <w:proofErr w:type="spellEnd"/>
          <w:r>
            <w:rPr>
              <w:rFonts w:eastAsia="Times New Roman"/>
              <w:i/>
              <w:iCs/>
            </w:rPr>
            <w:t xml:space="preserve"> Acta</w:t>
          </w:r>
          <w:r>
            <w:rPr>
              <w:rFonts w:eastAsia="Times New Roman"/>
            </w:rPr>
            <w:t xml:space="preserve"> </w:t>
          </w:r>
          <w:r>
            <w:rPr>
              <w:rFonts w:eastAsia="Times New Roman"/>
              <w:b/>
              <w:bCs/>
            </w:rPr>
            <w:t>664</w:t>
          </w:r>
          <w:r>
            <w:rPr>
              <w:rFonts w:eastAsia="Times New Roman"/>
            </w:rPr>
            <w:t>, 101–113 (2010).</w:t>
          </w:r>
        </w:p>
        <w:p w14:paraId="551F2131" w14:textId="77777777" w:rsidR="003204EA" w:rsidRDefault="003204EA">
          <w:pPr>
            <w:autoSpaceDE w:val="0"/>
            <w:autoSpaceDN w:val="0"/>
            <w:ind w:hanging="640"/>
            <w:divId w:val="39794348"/>
            <w:rPr>
              <w:rFonts w:eastAsia="Times New Roman"/>
            </w:rPr>
          </w:pPr>
          <w:r>
            <w:rPr>
              <w:rFonts w:eastAsia="Times New Roman"/>
            </w:rPr>
            <w:t>67.</w:t>
          </w:r>
          <w:r>
            <w:rPr>
              <w:rFonts w:eastAsia="Times New Roman"/>
            </w:rPr>
            <w:tab/>
            <w:t xml:space="preserve">Sanders, K. L. &amp; Edwards, J. L. Analytical </w:t>
          </w:r>
          <w:proofErr w:type="gramStart"/>
          <w:r>
            <w:rPr>
              <w:rFonts w:eastAsia="Times New Roman"/>
            </w:rPr>
            <w:t>Methods</w:t>
          </w:r>
          <w:proofErr w:type="gramEnd"/>
          <w:r>
            <w:rPr>
              <w:rFonts w:eastAsia="Times New Roman"/>
            </w:rPr>
            <w:t xml:space="preserve"> and recent applications in omics investigations. </w:t>
          </w:r>
          <w:r>
            <w:rPr>
              <w:rFonts w:eastAsia="Times New Roman"/>
              <w:i/>
              <w:iCs/>
            </w:rPr>
            <w:t>Analytical Methods</w:t>
          </w:r>
          <w:r>
            <w:rPr>
              <w:rFonts w:eastAsia="Times New Roman"/>
            </w:rPr>
            <w:t xml:space="preserve"> </w:t>
          </w:r>
          <w:r>
            <w:rPr>
              <w:rFonts w:eastAsia="Times New Roman"/>
              <w:b/>
              <w:bCs/>
            </w:rPr>
            <w:t>12</w:t>
          </w:r>
          <w:r>
            <w:rPr>
              <w:rFonts w:eastAsia="Times New Roman"/>
            </w:rPr>
            <w:t>, 4404–4417 (2020).</w:t>
          </w:r>
        </w:p>
        <w:p w14:paraId="264947BE" w14:textId="77777777" w:rsidR="003204EA" w:rsidRDefault="003204EA">
          <w:pPr>
            <w:autoSpaceDE w:val="0"/>
            <w:autoSpaceDN w:val="0"/>
            <w:ind w:hanging="640"/>
            <w:divId w:val="1866870565"/>
            <w:rPr>
              <w:rFonts w:eastAsia="Times New Roman"/>
            </w:rPr>
          </w:pPr>
          <w:r>
            <w:rPr>
              <w:rFonts w:eastAsia="Times New Roman"/>
            </w:rPr>
            <w:t>68.</w:t>
          </w:r>
          <w:r>
            <w:rPr>
              <w:rFonts w:eastAsia="Times New Roman"/>
            </w:rPr>
            <w:tab/>
          </w:r>
          <w:proofErr w:type="spellStart"/>
          <w:r>
            <w:rPr>
              <w:rFonts w:eastAsia="Times New Roman"/>
            </w:rPr>
            <w:t>Motoyama</w:t>
          </w:r>
          <w:proofErr w:type="spellEnd"/>
          <w:r>
            <w:rPr>
              <w:rFonts w:eastAsia="Times New Roman"/>
            </w:rPr>
            <w:t xml:space="preserve">, A. &amp; Yates, J. R. Multidimensional LC separations in shotgun proteomics. </w:t>
          </w:r>
          <w:r>
            <w:rPr>
              <w:rFonts w:eastAsia="Times New Roman"/>
              <w:i/>
              <w:iCs/>
            </w:rPr>
            <w:t>Analytical Chemistry</w:t>
          </w:r>
          <w:r>
            <w:rPr>
              <w:rFonts w:eastAsia="Times New Roman"/>
            </w:rPr>
            <w:t xml:space="preserve"> </w:t>
          </w:r>
          <w:r>
            <w:rPr>
              <w:rFonts w:eastAsia="Times New Roman"/>
              <w:b/>
              <w:bCs/>
            </w:rPr>
            <w:t>80</w:t>
          </w:r>
          <w:r>
            <w:rPr>
              <w:rFonts w:eastAsia="Times New Roman"/>
            </w:rPr>
            <w:t>, 7187–7193 (2008).</w:t>
          </w:r>
        </w:p>
        <w:p w14:paraId="64520FED" w14:textId="77777777" w:rsidR="003204EA" w:rsidRDefault="003204EA">
          <w:pPr>
            <w:autoSpaceDE w:val="0"/>
            <w:autoSpaceDN w:val="0"/>
            <w:ind w:hanging="640"/>
            <w:divId w:val="627973649"/>
            <w:rPr>
              <w:rFonts w:eastAsia="Times New Roman"/>
            </w:rPr>
          </w:pPr>
          <w:r>
            <w:rPr>
              <w:rFonts w:eastAsia="Times New Roman"/>
            </w:rPr>
            <w:t>69.</w:t>
          </w:r>
          <w:r>
            <w:rPr>
              <w:rFonts w:eastAsia="Times New Roman"/>
            </w:rPr>
            <w:tab/>
            <w:t xml:space="preserve">Yang, F., Shen, Y., Camp, D. G. &amp; Smith, R. D. High-pH reversed-phase chromatography with fraction concatenation for 2D proteomic analysis. </w:t>
          </w:r>
          <w:r>
            <w:rPr>
              <w:rFonts w:eastAsia="Times New Roman"/>
              <w:i/>
              <w:iCs/>
            </w:rPr>
            <w:t>Expert Review of Proteomics</w:t>
          </w:r>
          <w:r>
            <w:rPr>
              <w:rFonts w:eastAsia="Times New Roman"/>
            </w:rPr>
            <w:t xml:space="preserve"> </w:t>
          </w:r>
          <w:r>
            <w:rPr>
              <w:rFonts w:eastAsia="Times New Roman"/>
              <w:b/>
              <w:bCs/>
            </w:rPr>
            <w:t>9</w:t>
          </w:r>
          <w:r>
            <w:rPr>
              <w:rFonts w:eastAsia="Times New Roman"/>
            </w:rPr>
            <w:t>, 129–134 (2012).</w:t>
          </w:r>
        </w:p>
        <w:p w14:paraId="3B39D103" w14:textId="77777777" w:rsidR="003204EA" w:rsidRDefault="003204EA">
          <w:pPr>
            <w:autoSpaceDE w:val="0"/>
            <w:autoSpaceDN w:val="0"/>
            <w:ind w:hanging="640"/>
            <w:divId w:val="2100710192"/>
            <w:rPr>
              <w:rFonts w:eastAsia="Times New Roman"/>
            </w:rPr>
          </w:pPr>
          <w:r>
            <w:rPr>
              <w:rFonts w:eastAsia="Times New Roman"/>
            </w:rPr>
            <w:t>70.</w:t>
          </w:r>
          <w:r>
            <w:rPr>
              <w:rFonts w:eastAsia="Times New Roman"/>
            </w:rPr>
            <w:tab/>
          </w:r>
          <w:proofErr w:type="spellStart"/>
          <w:r>
            <w:rPr>
              <w:rFonts w:eastAsia="Times New Roman"/>
            </w:rPr>
            <w:t>Kislinger</w:t>
          </w:r>
          <w:proofErr w:type="spellEnd"/>
          <w:r>
            <w:rPr>
              <w:rFonts w:eastAsia="Times New Roman"/>
            </w:rPr>
            <w:t xml:space="preserve">, T., </w:t>
          </w:r>
          <w:proofErr w:type="spellStart"/>
          <w:r>
            <w:rPr>
              <w:rFonts w:eastAsia="Times New Roman"/>
            </w:rPr>
            <w:t>Gramolini</w:t>
          </w:r>
          <w:proofErr w:type="spellEnd"/>
          <w:r>
            <w:rPr>
              <w:rFonts w:eastAsia="Times New Roman"/>
            </w:rPr>
            <w:t xml:space="preserve">, A. O., MacLennan, D. H. &amp; Emili, A. Multidimensional protein identification technology (MudPIT): Technical overview of a profiling method optimized for the comprehensive proteomic investigation of normal and diseased heart tissue. </w:t>
          </w:r>
          <w:r>
            <w:rPr>
              <w:rFonts w:eastAsia="Times New Roman"/>
              <w:i/>
              <w:iCs/>
            </w:rPr>
            <w:t xml:space="preserve">J Am Soc Mass </w:t>
          </w:r>
          <w:proofErr w:type="spellStart"/>
          <w:r>
            <w:rPr>
              <w:rFonts w:eastAsia="Times New Roman"/>
              <w:i/>
              <w:iCs/>
            </w:rPr>
            <w:t>Spectrom</w:t>
          </w:r>
          <w:proofErr w:type="spellEnd"/>
          <w:r>
            <w:rPr>
              <w:rFonts w:eastAsia="Times New Roman"/>
            </w:rPr>
            <w:t xml:space="preserve"> </w:t>
          </w:r>
          <w:r>
            <w:rPr>
              <w:rFonts w:eastAsia="Times New Roman"/>
              <w:b/>
              <w:bCs/>
            </w:rPr>
            <w:t>16</w:t>
          </w:r>
          <w:r>
            <w:rPr>
              <w:rFonts w:eastAsia="Times New Roman"/>
            </w:rPr>
            <w:t>, 1207–1220 (2005).</w:t>
          </w:r>
        </w:p>
        <w:p w14:paraId="341438BB" w14:textId="77777777" w:rsidR="003204EA" w:rsidRDefault="003204EA">
          <w:pPr>
            <w:autoSpaceDE w:val="0"/>
            <w:autoSpaceDN w:val="0"/>
            <w:ind w:hanging="640"/>
            <w:divId w:val="228613600"/>
            <w:rPr>
              <w:rFonts w:eastAsia="Times New Roman"/>
            </w:rPr>
          </w:pPr>
          <w:r>
            <w:rPr>
              <w:rFonts w:eastAsia="Times New Roman"/>
            </w:rPr>
            <w:t>71.</w:t>
          </w:r>
          <w:r>
            <w:rPr>
              <w:rFonts w:eastAsia="Times New Roman"/>
            </w:rPr>
            <w:tab/>
            <w:t xml:space="preserve">Maia, T. M. </w:t>
          </w:r>
          <w:r>
            <w:rPr>
              <w:rFonts w:eastAsia="Times New Roman"/>
              <w:i/>
              <w:iCs/>
            </w:rPr>
            <w:t>et al.</w:t>
          </w:r>
          <w:r>
            <w:rPr>
              <w:rFonts w:eastAsia="Times New Roman"/>
            </w:rPr>
            <w:t xml:space="preserve"> Simple Peptide Quantification Approach for MS-Based Proteomics Quality Control. </w:t>
          </w:r>
          <w:r>
            <w:rPr>
              <w:rFonts w:eastAsia="Times New Roman"/>
              <w:i/>
              <w:iCs/>
            </w:rPr>
            <w:t>ACS Omega</w:t>
          </w:r>
          <w:r>
            <w:rPr>
              <w:rFonts w:eastAsia="Times New Roman"/>
            </w:rPr>
            <w:t xml:space="preserve"> </w:t>
          </w:r>
          <w:r>
            <w:rPr>
              <w:rFonts w:eastAsia="Times New Roman"/>
              <w:b/>
              <w:bCs/>
            </w:rPr>
            <w:t>5</w:t>
          </w:r>
          <w:r>
            <w:rPr>
              <w:rFonts w:eastAsia="Times New Roman"/>
            </w:rPr>
            <w:t>, 6754–6762 (2020).</w:t>
          </w:r>
        </w:p>
        <w:p w14:paraId="06D13335" w14:textId="77777777" w:rsidR="003204EA" w:rsidRDefault="003204EA">
          <w:pPr>
            <w:autoSpaceDE w:val="0"/>
            <w:autoSpaceDN w:val="0"/>
            <w:ind w:hanging="640"/>
            <w:divId w:val="7370153"/>
            <w:rPr>
              <w:rFonts w:eastAsia="Times New Roman"/>
            </w:rPr>
          </w:pPr>
          <w:r>
            <w:rPr>
              <w:rFonts w:eastAsia="Times New Roman"/>
            </w:rPr>
            <w:t>72.</w:t>
          </w:r>
          <w:r>
            <w:rPr>
              <w:rFonts w:eastAsia="Times New Roman"/>
            </w:rPr>
            <w:tab/>
          </w:r>
          <w:proofErr w:type="spellStart"/>
          <w:r>
            <w:rPr>
              <w:rFonts w:eastAsia="Times New Roman"/>
            </w:rPr>
            <w:t>Hinzke</w:t>
          </w:r>
          <w:proofErr w:type="spellEnd"/>
          <w:r>
            <w:rPr>
              <w:rFonts w:eastAsia="Times New Roman"/>
            </w:rPr>
            <w:t xml:space="preserve">, T., </w:t>
          </w:r>
          <w:proofErr w:type="spellStart"/>
          <w:r>
            <w:rPr>
              <w:rFonts w:eastAsia="Times New Roman"/>
            </w:rPr>
            <w:t>Kouris</w:t>
          </w:r>
          <w:proofErr w:type="spellEnd"/>
          <w:r>
            <w:rPr>
              <w:rFonts w:eastAsia="Times New Roman"/>
            </w:rPr>
            <w:t xml:space="preserve">, A., Hughes, R. A., </w:t>
          </w:r>
          <w:proofErr w:type="spellStart"/>
          <w:r>
            <w:rPr>
              <w:rFonts w:eastAsia="Times New Roman"/>
            </w:rPr>
            <w:t>Strous</w:t>
          </w:r>
          <w:proofErr w:type="spellEnd"/>
          <w:r>
            <w:rPr>
              <w:rFonts w:eastAsia="Times New Roman"/>
            </w:rPr>
            <w:t xml:space="preserve">, M. &amp; Kleiner, M. More is not always better: Evaluation of 1D and 2D-LC-MS/MS methods for metaproteomics. </w:t>
          </w:r>
          <w:r>
            <w:rPr>
              <w:rFonts w:eastAsia="Times New Roman"/>
              <w:i/>
              <w:iCs/>
            </w:rPr>
            <w:t>Frontiers in Microbiology</w:t>
          </w:r>
          <w:r>
            <w:rPr>
              <w:rFonts w:eastAsia="Times New Roman"/>
            </w:rPr>
            <w:t xml:space="preserve"> </w:t>
          </w:r>
          <w:r>
            <w:rPr>
              <w:rFonts w:eastAsia="Times New Roman"/>
              <w:b/>
              <w:bCs/>
            </w:rPr>
            <w:t>10</w:t>
          </w:r>
          <w:r>
            <w:rPr>
              <w:rFonts w:eastAsia="Times New Roman"/>
            </w:rPr>
            <w:t>, 1–13 (2019).</w:t>
          </w:r>
        </w:p>
        <w:p w14:paraId="22A6207E" w14:textId="77777777" w:rsidR="003204EA" w:rsidRDefault="003204EA">
          <w:pPr>
            <w:autoSpaceDE w:val="0"/>
            <w:autoSpaceDN w:val="0"/>
            <w:ind w:hanging="640"/>
            <w:divId w:val="28384526"/>
            <w:rPr>
              <w:rFonts w:eastAsia="Times New Roman"/>
            </w:rPr>
          </w:pPr>
          <w:r>
            <w:rPr>
              <w:rFonts w:eastAsia="Times New Roman"/>
            </w:rPr>
            <w:t>73.</w:t>
          </w:r>
          <w:r>
            <w:rPr>
              <w:rFonts w:eastAsia="Times New Roman"/>
            </w:rPr>
            <w:tab/>
            <w:t xml:space="preserve">Fenn, J. B., Mann, M., Meng, C. K., Wong, S. F. &amp; Whitehouse, C. M. Electrospray ionization for mass spectrometry of large biomolecules. </w:t>
          </w:r>
          <w:r>
            <w:rPr>
              <w:rFonts w:eastAsia="Times New Roman"/>
              <w:i/>
              <w:iCs/>
            </w:rPr>
            <w:t>Science (1979)</w:t>
          </w:r>
          <w:r>
            <w:rPr>
              <w:rFonts w:eastAsia="Times New Roman"/>
            </w:rPr>
            <w:t xml:space="preserve"> </w:t>
          </w:r>
          <w:r>
            <w:rPr>
              <w:rFonts w:eastAsia="Times New Roman"/>
              <w:b/>
              <w:bCs/>
            </w:rPr>
            <w:t>246</w:t>
          </w:r>
          <w:r>
            <w:rPr>
              <w:rFonts w:eastAsia="Times New Roman"/>
            </w:rPr>
            <w:t>, 64–71 (1989).</w:t>
          </w:r>
        </w:p>
        <w:p w14:paraId="5A394A01" w14:textId="77777777" w:rsidR="003204EA" w:rsidRDefault="003204EA">
          <w:pPr>
            <w:autoSpaceDE w:val="0"/>
            <w:autoSpaceDN w:val="0"/>
            <w:ind w:hanging="640"/>
            <w:divId w:val="1123964487"/>
            <w:rPr>
              <w:rFonts w:eastAsia="Times New Roman"/>
            </w:rPr>
          </w:pPr>
          <w:r>
            <w:rPr>
              <w:rFonts w:eastAsia="Times New Roman"/>
            </w:rPr>
            <w:t>74.</w:t>
          </w:r>
          <w:r>
            <w:rPr>
              <w:rFonts w:eastAsia="Times New Roman"/>
            </w:rPr>
            <w:tab/>
            <w:t xml:space="preserve">Karas, M. &amp; </w:t>
          </w:r>
          <w:proofErr w:type="spellStart"/>
          <w:r>
            <w:rPr>
              <w:rFonts w:eastAsia="Times New Roman"/>
            </w:rPr>
            <w:t>Hillenkamp</w:t>
          </w:r>
          <w:proofErr w:type="spellEnd"/>
          <w:r>
            <w:rPr>
              <w:rFonts w:eastAsia="Times New Roman"/>
            </w:rPr>
            <w:t xml:space="preserve">, F. Laser Desorption Ionization of Proteins with Molecular Masses Exceeding 10 000 Daltons. </w:t>
          </w:r>
          <w:r>
            <w:rPr>
              <w:rFonts w:eastAsia="Times New Roman"/>
              <w:i/>
              <w:iCs/>
            </w:rPr>
            <w:t>Analytical Chemistry</w:t>
          </w:r>
          <w:r>
            <w:rPr>
              <w:rFonts w:eastAsia="Times New Roman"/>
            </w:rPr>
            <w:t xml:space="preserve"> </w:t>
          </w:r>
          <w:r>
            <w:rPr>
              <w:rFonts w:eastAsia="Times New Roman"/>
              <w:b/>
              <w:bCs/>
            </w:rPr>
            <w:t>60</w:t>
          </w:r>
          <w:r>
            <w:rPr>
              <w:rFonts w:eastAsia="Times New Roman"/>
            </w:rPr>
            <w:t>, 2299–2301 (1988).</w:t>
          </w:r>
        </w:p>
        <w:p w14:paraId="62D8E619" w14:textId="77777777" w:rsidR="003204EA" w:rsidRDefault="003204EA">
          <w:pPr>
            <w:autoSpaceDE w:val="0"/>
            <w:autoSpaceDN w:val="0"/>
            <w:ind w:hanging="640"/>
            <w:divId w:val="16741211"/>
            <w:rPr>
              <w:rFonts w:eastAsia="Times New Roman"/>
            </w:rPr>
          </w:pPr>
          <w:r>
            <w:rPr>
              <w:rFonts w:eastAsia="Times New Roman"/>
            </w:rPr>
            <w:t>75.</w:t>
          </w:r>
          <w:r>
            <w:rPr>
              <w:rFonts w:eastAsia="Times New Roman"/>
            </w:rPr>
            <w:tab/>
          </w:r>
          <w:proofErr w:type="spellStart"/>
          <w:r>
            <w:rPr>
              <w:rFonts w:eastAsia="Times New Roman"/>
            </w:rPr>
            <w:t>Awad</w:t>
          </w:r>
          <w:proofErr w:type="spellEnd"/>
          <w:r>
            <w:rPr>
              <w:rFonts w:eastAsia="Times New Roman"/>
            </w:rPr>
            <w:t>, H., Khamis, M. M. &amp; El-</w:t>
          </w:r>
          <w:proofErr w:type="spellStart"/>
          <w:r>
            <w:rPr>
              <w:rFonts w:eastAsia="Times New Roman"/>
            </w:rPr>
            <w:t>Aneed</w:t>
          </w:r>
          <w:proofErr w:type="spellEnd"/>
          <w:r>
            <w:rPr>
              <w:rFonts w:eastAsia="Times New Roman"/>
            </w:rPr>
            <w:t xml:space="preserve">, A. Mass spectrometry, review of the basics: Ionization. </w:t>
          </w:r>
          <w:r>
            <w:rPr>
              <w:rFonts w:eastAsia="Times New Roman"/>
              <w:i/>
              <w:iCs/>
            </w:rPr>
            <w:t>Applied Spectroscopy Reviews</w:t>
          </w:r>
          <w:r>
            <w:rPr>
              <w:rFonts w:eastAsia="Times New Roman"/>
            </w:rPr>
            <w:t xml:space="preserve"> </w:t>
          </w:r>
          <w:r>
            <w:rPr>
              <w:rFonts w:eastAsia="Times New Roman"/>
              <w:b/>
              <w:bCs/>
            </w:rPr>
            <w:t>50</w:t>
          </w:r>
          <w:r>
            <w:rPr>
              <w:rFonts w:eastAsia="Times New Roman"/>
            </w:rPr>
            <w:t>, 158–175 (2015).</w:t>
          </w:r>
        </w:p>
        <w:p w14:paraId="36002FD7" w14:textId="77777777" w:rsidR="003204EA" w:rsidRDefault="003204EA">
          <w:pPr>
            <w:autoSpaceDE w:val="0"/>
            <w:autoSpaceDN w:val="0"/>
            <w:ind w:hanging="640"/>
            <w:divId w:val="159778161"/>
            <w:rPr>
              <w:rFonts w:eastAsia="Times New Roman"/>
            </w:rPr>
          </w:pPr>
          <w:r>
            <w:rPr>
              <w:rFonts w:eastAsia="Times New Roman"/>
            </w:rPr>
            <w:t>76.</w:t>
          </w:r>
          <w:r>
            <w:rPr>
              <w:rFonts w:eastAsia="Times New Roman"/>
            </w:rPr>
            <w:tab/>
          </w:r>
          <w:proofErr w:type="spellStart"/>
          <w:r>
            <w:rPr>
              <w:rFonts w:eastAsia="Times New Roman"/>
            </w:rPr>
            <w:t>Kebarle</w:t>
          </w:r>
          <w:proofErr w:type="spellEnd"/>
          <w:r>
            <w:rPr>
              <w:rFonts w:eastAsia="Times New Roman"/>
            </w:rPr>
            <w:t xml:space="preserve">, P. &amp; </w:t>
          </w:r>
          <w:proofErr w:type="spellStart"/>
          <w:r>
            <w:rPr>
              <w:rFonts w:eastAsia="Times New Roman"/>
            </w:rPr>
            <w:t>Verkcerk</w:t>
          </w:r>
          <w:proofErr w:type="spellEnd"/>
          <w:r>
            <w:rPr>
              <w:rFonts w:eastAsia="Times New Roman"/>
            </w:rPr>
            <w:t xml:space="preserve">, U. H. Electrospray: From Ions in solution to Ions in the gas phase, what we know now. </w:t>
          </w:r>
          <w:r>
            <w:rPr>
              <w:rFonts w:eastAsia="Times New Roman"/>
              <w:i/>
              <w:iCs/>
            </w:rPr>
            <w:t>Mass Spectrometry Reviews</w:t>
          </w:r>
          <w:r>
            <w:rPr>
              <w:rFonts w:eastAsia="Times New Roman"/>
            </w:rPr>
            <w:t xml:space="preserve"> </w:t>
          </w:r>
          <w:r>
            <w:rPr>
              <w:rFonts w:eastAsia="Times New Roman"/>
              <w:b/>
              <w:bCs/>
            </w:rPr>
            <w:t>28</w:t>
          </w:r>
          <w:r>
            <w:rPr>
              <w:rFonts w:eastAsia="Times New Roman"/>
            </w:rPr>
            <w:t>, 898–917 (2009).</w:t>
          </w:r>
        </w:p>
        <w:p w14:paraId="40380E04" w14:textId="77777777" w:rsidR="003204EA" w:rsidRDefault="003204EA">
          <w:pPr>
            <w:autoSpaceDE w:val="0"/>
            <w:autoSpaceDN w:val="0"/>
            <w:ind w:hanging="640"/>
            <w:divId w:val="1548762538"/>
            <w:rPr>
              <w:rFonts w:eastAsia="Times New Roman"/>
            </w:rPr>
          </w:pPr>
          <w:r>
            <w:rPr>
              <w:rFonts w:eastAsia="Times New Roman"/>
            </w:rPr>
            <w:t>77.</w:t>
          </w:r>
          <w:r>
            <w:rPr>
              <w:rFonts w:eastAsia="Times New Roman"/>
            </w:rPr>
            <w:tab/>
            <w:t xml:space="preserve">Banerjee, S. &amp; Mazumdar, S. Electrospray Ionization Mass Spectrometry: A Technique to Access the Information beyond the Molecular Weight of the Analyte. </w:t>
          </w:r>
          <w:r>
            <w:rPr>
              <w:rFonts w:eastAsia="Times New Roman"/>
              <w:i/>
              <w:iCs/>
            </w:rPr>
            <w:t>International Journal of Analytical Chemistry</w:t>
          </w:r>
          <w:r>
            <w:rPr>
              <w:rFonts w:eastAsia="Times New Roman"/>
            </w:rPr>
            <w:t xml:space="preserve"> </w:t>
          </w:r>
          <w:r>
            <w:rPr>
              <w:rFonts w:eastAsia="Times New Roman"/>
              <w:b/>
              <w:bCs/>
            </w:rPr>
            <w:t>2012</w:t>
          </w:r>
          <w:r>
            <w:rPr>
              <w:rFonts w:eastAsia="Times New Roman"/>
            </w:rPr>
            <w:t>, 1–40 (2012).</w:t>
          </w:r>
        </w:p>
        <w:p w14:paraId="417E9129" w14:textId="77777777" w:rsidR="003204EA" w:rsidRDefault="003204EA">
          <w:pPr>
            <w:autoSpaceDE w:val="0"/>
            <w:autoSpaceDN w:val="0"/>
            <w:ind w:hanging="640"/>
            <w:divId w:val="1255749891"/>
            <w:rPr>
              <w:rFonts w:eastAsia="Times New Roman"/>
            </w:rPr>
          </w:pPr>
          <w:r>
            <w:rPr>
              <w:rFonts w:eastAsia="Times New Roman"/>
            </w:rPr>
            <w:t>78.</w:t>
          </w:r>
          <w:r>
            <w:rPr>
              <w:rFonts w:eastAsia="Times New Roman"/>
            </w:rPr>
            <w:tab/>
          </w:r>
          <w:proofErr w:type="spellStart"/>
          <w:r>
            <w:rPr>
              <w:rFonts w:eastAsia="Times New Roman"/>
            </w:rPr>
            <w:t>Kebarle</w:t>
          </w:r>
          <w:proofErr w:type="spellEnd"/>
          <w:r>
            <w:rPr>
              <w:rFonts w:eastAsia="Times New Roman"/>
            </w:rPr>
            <w:t xml:space="preserve">, P. &amp; Tang, L. From Ions in Solution </w:t>
          </w:r>
          <w:proofErr w:type="gramStart"/>
          <w:r>
            <w:rPr>
              <w:rFonts w:eastAsia="Times New Roman"/>
            </w:rPr>
            <w:t>To</w:t>
          </w:r>
          <w:proofErr w:type="gramEnd"/>
          <w:r>
            <w:rPr>
              <w:rFonts w:eastAsia="Times New Roman"/>
            </w:rPr>
            <w:t xml:space="preserve"> Ions in the Gas Phase. </w:t>
          </w:r>
          <w:r>
            <w:rPr>
              <w:rFonts w:eastAsia="Times New Roman"/>
              <w:i/>
              <w:iCs/>
            </w:rPr>
            <w:t>Analytical Chemistry</w:t>
          </w:r>
          <w:r>
            <w:rPr>
              <w:rFonts w:eastAsia="Times New Roman"/>
            </w:rPr>
            <w:t xml:space="preserve"> </w:t>
          </w:r>
          <w:r>
            <w:rPr>
              <w:rFonts w:eastAsia="Times New Roman"/>
              <w:b/>
              <w:bCs/>
            </w:rPr>
            <w:t>65</w:t>
          </w:r>
          <w:r>
            <w:rPr>
              <w:rFonts w:eastAsia="Times New Roman"/>
            </w:rPr>
            <w:t>, 972A-986A (1993).</w:t>
          </w:r>
        </w:p>
        <w:p w14:paraId="2F93A657" w14:textId="77777777" w:rsidR="003204EA" w:rsidRDefault="003204EA">
          <w:pPr>
            <w:autoSpaceDE w:val="0"/>
            <w:autoSpaceDN w:val="0"/>
            <w:ind w:hanging="640"/>
            <w:divId w:val="1052538656"/>
            <w:rPr>
              <w:rFonts w:eastAsia="Times New Roman"/>
            </w:rPr>
          </w:pPr>
          <w:r>
            <w:rPr>
              <w:rFonts w:eastAsia="Times New Roman"/>
            </w:rPr>
            <w:t>79.</w:t>
          </w:r>
          <w:r>
            <w:rPr>
              <w:rFonts w:eastAsia="Times New Roman"/>
            </w:rPr>
            <w:tab/>
            <w:t xml:space="preserve">King, R., </w:t>
          </w:r>
          <w:proofErr w:type="spellStart"/>
          <w:r>
            <w:rPr>
              <w:rFonts w:eastAsia="Times New Roman"/>
            </w:rPr>
            <w:t>Bonfiglio</w:t>
          </w:r>
          <w:proofErr w:type="spellEnd"/>
          <w:r>
            <w:rPr>
              <w:rFonts w:eastAsia="Times New Roman"/>
            </w:rPr>
            <w:t xml:space="preserve">, R., Fernandez-Metzler, C., Miller-Stein, C. &amp; </w:t>
          </w:r>
          <w:proofErr w:type="spellStart"/>
          <w:r>
            <w:rPr>
              <w:rFonts w:eastAsia="Times New Roman"/>
            </w:rPr>
            <w:t>Olah</w:t>
          </w:r>
          <w:proofErr w:type="spellEnd"/>
          <w:r>
            <w:rPr>
              <w:rFonts w:eastAsia="Times New Roman"/>
            </w:rPr>
            <w:t xml:space="preserve">, T. Mechanistic investigation of ionization suppression in electrospray ionization. </w:t>
          </w:r>
          <w:r>
            <w:rPr>
              <w:rFonts w:eastAsia="Times New Roman"/>
              <w:i/>
              <w:iCs/>
            </w:rPr>
            <w:t xml:space="preserve">J Am Soc Mass </w:t>
          </w:r>
          <w:proofErr w:type="spellStart"/>
          <w:r>
            <w:rPr>
              <w:rFonts w:eastAsia="Times New Roman"/>
              <w:i/>
              <w:iCs/>
            </w:rPr>
            <w:t>Spectrom</w:t>
          </w:r>
          <w:proofErr w:type="spellEnd"/>
          <w:r>
            <w:rPr>
              <w:rFonts w:eastAsia="Times New Roman"/>
            </w:rPr>
            <w:t xml:space="preserve"> </w:t>
          </w:r>
          <w:r>
            <w:rPr>
              <w:rFonts w:eastAsia="Times New Roman"/>
              <w:b/>
              <w:bCs/>
            </w:rPr>
            <w:t>11</w:t>
          </w:r>
          <w:r>
            <w:rPr>
              <w:rFonts w:eastAsia="Times New Roman"/>
            </w:rPr>
            <w:t>, 942–950 (2000).</w:t>
          </w:r>
        </w:p>
        <w:p w14:paraId="4E612648" w14:textId="77777777" w:rsidR="003204EA" w:rsidRDefault="003204EA">
          <w:pPr>
            <w:autoSpaceDE w:val="0"/>
            <w:autoSpaceDN w:val="0"/>
            <w:ind w:hanging="640"/>
            <w:divId w:val="906651090"/>
            <w:rPr>
              <w:rFonts w:eastAsia="Times New Roman"/>
            </w:rPr>
          </w:pPr>
          <w:r>
            <w:rPr>
              <w:rFonts w:eastAsia="Times New Roman"/>
            </w:rPr>
            <w:t>80.</w:t>
          </w:r>
          <w:r>
            <w:rPr>
              <w:rFonts w:eastAsia="Times New Roman"/>
            </w:rPr>
            <w:tab/>
          </w:r>
          <w:proofErr w:type="spellStart"/>
          <w:r>
            <w:rPr>
              <w:rFonts w:eastAsia="Times New Roman"/>
            </w:rPr>
            <w:t>Gosetti</w:t>
          </w:r>
          <w:proofErr w:type="spellEnd"/>
          <w:r>
            <w:rPr>
              <w:rFonts w:eastAsia="Times New Roman"/>
            </w:rPr>
            <w:t xml:space="preserve">, F., </w:t>
          </w:r>
          <w:proofErr w:type="spellStart"/>
          <w:r>
            <w:rPr>
              <w:rFonts w:eastAsia="Times New Roman"/>
            </w:rPr>
            <w:t>Mazzucco</w:t>
          </w:r>
          <w:proofErr w:type="spellEnd"/>
          <w:r>
            <w:rPr>
              <w:rFonts w:eastAsia="Times New Roman"/>
            </w:rPr>
            <w:t xml:space="preserve">, E., </w:t>
          </w:r>
          <w:proofErr w:type="spellStart"/>
          <w:r>
            <w:rPr>
              <w:rFonts w:eastAsia="Times New Roman"/>
            </w:rPr>
            <w:t>Zampieri</w:t>
          </w:r>
          <w:proofErr w:type="spellEnd"/>
          <w:r>
            <w:rPr>
              <w:rFonts w:eastAsia="Times New Roman"/>
            </w:rPr>
            <w:t xml:space="preserve">, D. &amp; Gennaro, M. C. Signal suppression/enhancement in high-performance liquid chromatography tandem mass spectrometry. </w:t>
          </w:r>
          <w:r>
            <w:rPr>
              <w:rFonts w:eastAsia="Times New Roman"/>
              <w:i/>
              <w:iCs/>
            </w:rPr>
            <w:t>Journal of Chromatography A</w:t>
          </w:r>
          <w:r>
            <w:rPr>
              <w:rFonts w:eastAsia="Times New Roman"/>
            </w:rPr>
            <w:t xml:space="preserve"> </w:t>
          </w:r>
          <w:r>
            <w:rPr>
              <w:rFonts w:eastAsia="Times New Roman"/>
              <w:b/>
              <w:bCs/>
            </w:rPr>
            <w:t>1217</w:t>
          </w:r>
          <w:r>
            <w:rPr>
              <w:rFonts w:eastAsia="Times New Roman"/>
            </w:rPr>
            <w:t>, 3929–3937 (2010).</w:t>
          </w:r>
        </w:p>
        <w:p w14:paraId="0006675C" w14:textId="77777777" w:rsidR="003204EA" w:rsidRDefault="003204EA">
          <w:pPr>
            <w:autoSpaceDE w:val="0"/>
            <w:autoSpaceDN w:val="0"/>
            <w:ind w:hanging="640"/>
            <w:divId w:val="1528833065"/>
            <w:rPr>
              <w:rFonts w:eastAsia="Times New Roman"/>
            </w:rPr>
          </w:pPr>
          <w:r>
            <w:rPr>
              <w:rFonts w:eastAsia="Times New Roman"/>
            </w:rPr>
            <w:t>81.</w:t>
          </w:r>
          <w:r>
            <w:rPr>
              <w:rFonts w:eastAsia="Times New Roman"/>
            </w:rPr>
            <w:tab/>
          </w:r>
          <w:proofErr w:type="spellStart"/>
          <w:r>
            <w:rPr>
              <w:rFonts w:eastAsia="Times New Roman"/>
            </w:rPr>
            <w:t>Wilm</w:t>
          </w:r>
          <w:proofErr w:type="spellEnd"/>
          <w:r>
            <w:rPr>
              <w:rFonts w:eastAsia="Times New Roman"/>
            </w:rPr>
            <w:t xml:space="preserve">, M. &amp; Mann, M. Analytical properties of the </w:t>
          </w:r>
          <w:proofErr w:type="spellStart"/>
          <w:r>
            <w:rPr>
              <w:rFonts w:eastAsia="Times New Roman"/>
            </w:rPr>
            <w:t>nanoelectrospray</w:t>
          </w:r>
          <w:proofErr w:type="spellEnd"/>
          <w:r>
            <w:rPr>
              <w:rFonts w:eastAsia="Times New Roman"/>
            </w:rPr>
            <w:t xml:space="preserve"> ion source. </w:t>
          </w:r>
          <w:r>
            <w:rPr>
              <w:rFonts w:eastAsia="Times New Roman"/>
              <w:i/>
              <w:iCs/>
            </w:rPr>
            <w:t>Analytical Chemistry</w:t>
          </w:r>
          <w:r>
            <w:rPr>
              <w:rFonts w:eastAsia="Times New Roman"/>
            </w:rPr>
            <w:t xml:space="preserve"> </w:t>
          </w:r>
          <w:r>
            <w:rPr>
              <w:rFonts w:eastAsia="Times New Roman"/>
              <w:b/>
              <w:bCs/>
            </w:rPr>
            <w:t>68</w:t>
          </w:r>
          <w:r>
            <w:rPr>
              <w:rFonts w:eastAsia="Times New Roman"/>
            </w:rPr>
            <w:t>, 1–8 (1996).</w:t>
          </w:r>
        </w:p>
        <w:p w14:paraId="10B7E7AD" w14:textId="77777777" w:rsidR="003204EA" w:rsidRDefault="003204EA">
          <w:pPr>
            <w:autoSpaceDE w:val="0"/>
            <w:autoSpaceDN w:val="0"/>
            <w:ind w:hanging="640"/>
            <w:divId w:val="1354182912"/>
            <w:rPr>
              <w:rFonts w:eastAsia="Times New Roman"/>
            </w:rPr>
          </w:pPr>
          <w:r>
            <w:rPr>
              <w:rFonts w:eastAsia="Times New Roman"/>
            </w:rPr>
            <w:t>82.</w:t>
          </w:r>
          <w:r>
            <w:rPr>
              <w:rFonts w:eastAsia="Times New Roman"/>
            </w:rPr>
            <w:tab/>
          </w:r>
          <w:proofErr w:type="spellStart"/>
          <w:r>
            <w:rPr>
              <w:rFonts w:eastAsia="Times New Roman"/>
            </w:rPr>
            <w:t>Niessen</w:t>
          </w:r>
          <w:proofErr w:type="spellEnd"/>
          <w:r>
            <w:rPr>
              <w:rFonts w:eastAsia="Times New Roman"/>
            </w:rPr>
            <w:t xml:space="preserve">, W. M. A. &amp; Falck, D. Introduction to Mass Spectrometry, a Tutorial. </w:t>
          </w:r>
          <w:r>
            <w:rPr>
              <w:rFonts w:eastAsia="Times New Roman"/>
              <w:i/>
              <w:iCs/>
            </w:rPr>
            <w:t>Analyzing Biomolecular Interactions by Mass Spectrometry</w:t>
          </w:r>
          <w:r>
            <w:rPr>
              <w:rFonts w:eastAsia="Times New Roman"/>
            </w:rPr>
            <w:t xml:space="preserve"> 1–54 (2013) doi:10.1002/9783527673391.ch1.</w:t>
          </w:r>
        </w:p>
        <w:p w14:paraId="7A3F949D" w14:textId="77777777" w:rsidR="003204EA" w:rsidRDefault="003204EA">
          <w:pPr>
            <w:autoSpaceDE w:val="0"/>
            <w:autoSpaceDN w:val="0"/>
            <w:ind w:hanging="640"/>
            <w:divId w:val="1578400926"/>
            <w:rPr>
              <w:rFonts w:eastAsia="Times New Roman"/>
            </w:rPr>
          </w:pPr>
          <w:r>
            <w:rPr>
              <w:rFonts w:eastAsia="Times New Roman"/>
            </w:rPr>
            <w:t>83.</w:t>
          </w:r>
          <w:r>
            <w:rPr>
              <w:rFonts w:eastAsia="Times New Roman"/>
            </w:rPr>
            <w:tab/>
            <w:t xml:space="preserve">Han, X., </w:t>
          </w:r>
          <w:proofErr w:type="spellStart"/>
          <w:r>
            <w:rPr>
              <w:rFonts w:eastAsia="Times New Roman"/>
            </w:rPr>
            <w:t>Aslanian</w:t>
          </w:r>
          <w:proofErr w:type="spellEnd"/>
          <w:r>
            <w:rPr>
              <w:rFonts w:eastAsia="Times New Roman"/>
            </w:rPr>
            <w:t xml:space="preserve">, A. &amp; Yates, J. R. Mass spectrometry for proteomics. </w:t>
          </w:r>
          <w:r>
            <w:rPr>
              <w:rFonts w:eastAsia="Times New Roman"/>
              <w:i/>
              <w:iCs/>
            </w:rPr>
            <w:t>Current Opinion in Chemical Biology</w:t>
          </w:r>
          <w:r>
            <w:rPr>
              <w:rFonts w:eastAsia="Times New Roman"/>
            </w:rPr>
            <w:t xml:space="preserve"> </w:t>
          </w:r>
          <w:r>
            <w:rPr>
              <w:rFonts w:eastAsia="Times New Roman"/>
              <w:b/>
              <w:bCs/>
            </w:rPr>
            <w:t>12</w:t>
          </w:r>
          <w:r>
            <w:rPr>
              <w:rFonts w:eastAsia="Times New Roman"/>
            </w:rPr>
            <w:t>, 483–490 (2008).</w:t>
          </w:r>
        </w:p>
        <w:p w14:paraId="74353E71" w14:textId="77777777" w:rsidR="003204EA" w:rsidRDefault="003204EA">
          <w:pPr>
            <w:autoSpaceDE w:val="0"/>
            <w:autoSpaceDN w:val="0"/>
            <w:ind w:hanging="640"/>
            <w:divId w:val="1410927550"/>
            <w:rPr>
              <w:rFonts w:eastAsia="Times New Roman"/>
            </w:rPr>
          </w:pPr>
          <w:r>
            <w:rPr>
              <w:rFonts w:eastAsia="Times New Roman"/>
            </w:rPr>
            <w:t>84.</w:t>
          </w:r>
          <w:r>
            <w:rPr>
              <w:rFonts w:eastAsia="Times New Roman"/>
            </w:rPr>
            <w:tab/>
            <w:t xml:space="preserve">Zubarev, R. A. &amp; Makarov, A. Orbitrap mass spectrometry. </w:t>
          </w:r>
          <w:r>
            <w:rPr>
              <w:rFonts w:eastAsia="Times New Roman"/>
              <w:i/>
              <w:iCs/>
            </w:rPr>
            <w:t>Analytical Chemistry</w:t>
          </w:r>
          <w:r>
            <w:rPr>
              <w:rFonts w:eastAsia="Times New Roman"/>
            </w:rPr>
            <w:t xml:space="preserve"> </w:t>
          </w:r>
          <w:r>
            <w:rPr>
              <w:rFonts w:eastAsia="Times New Roman"/>
              <w:b/>
              <w:bCs/>
            </w:rPr>
            <w:t>85</w:t>
          </w:r>
          <w:r>
            <w:rPr>
              <w:rFonts w:eastAsia="Times New Roman"/>
            </w:rPr>
            <w:t>, 5288–5296 (2013).</w:t>
          </w:r>
        </w:p>
        <w:p w14:paraId="39A962F9" w14:textId="77777777" w:rsidR="003204EA" w:rsidRDefault="003204EA">
          <w:pPr>
            <w:autoSpaceDE w:val="0"/>
            <w:autoSpaceDN w:val="0"/>
            <w:ind w:hanging="640"/>
            <w:divId w:val="2001156309"/>
            <w:rPr>
              <w:rFonts w:eastAsia="Times New Roman"/>
            </w:rPr>
          </w:pPr>
          <w:r>
            <w:rPr>
              <w:rFonts w:eastAsia="Times New Roman"/>
            </w:rPr>
            <w:t>85.</w:t>
          </w:r>
          <w:r>
            <w:rPr>
              <w:rFonts w:eastAsia="Times New Roman"/>
            </w:rPr>
            <w:tab/>
            <w:t xml:space="preserve">Michalski, A. </w:t>
          </w:r>
          <w:r>
            <w:rPr>
              <w:rFonts w:eastAsia="Times New Roman"/>
              <w:i/>
              <w:iCs/>
            </w:rPr>
            <w:t>et al.</w:t>
          </w:r>
          <w:r>
            <w:rPr>
              <w:rFonts w:eastAsia="Times New Roman"/>
            </w:rPr>
            <w:t xml:space="preserve"> Mass spectrometry-based proteomics using Q </w:t>
          </w:r>
          <w:proofErr w:type="spellStart"/>
          <w:r>
            <w:rPr>
              <w:rFonts w:eastAsia="Times New Roman"/>
            </w:rPr>
            <w:t>exactive</w:t>
          </w:r>
          <w:proofErr w:type="spellEnd"/>
          <w:r>
            <w:rPr>
              <w:rFonts w:eastAsia="Times New Roman"/>
            </w:rPr>
            <w:t xml:space="preserve">, a high-performance benchtop quadrupole orbitrap mass spectrometer. </w:t>
          </w:r>
          <w:r>
            <w:rPr>
              <w:rFonts w:eastAsia="Times New Roman"/>
              <w:i/>
              <w:iCs/>
            </w:rPr>
            <w:t>Molecular and Cellular Proteomics</w:t>
          </w:r>
          <w:r>
            <w:rPr>
              <w:rFonts w:eastAsia="Times New Roman"/>
            </w:rPr>
            <w:t xml:space="preserve"> </w:t>
          </w:r>
          <w:r>
            <w:rPr>
              <w:rFonts w:eastAsia="Times New Roman"/>
              <w:b/>
              <w:bCs/>
            </w:rPr>
            <w:t>10</w:t>
          </w:r>
          <w:r>
            <w:rPr>
              <w:rFonts w:eastAsia="Times New Roman"/>
            </w:rPr>
            <w:t>, M111.011015 (2011).</w:t>
          </w:r>
        </w:p>
        <w:p w14:paraId="3246AFEB" w14:textId="77777777" w:rsidR="003204EA" w:rsidRDefault="003204EA">
          <w:pPr>
            <w:autoSpaceDE w:val="0"/>
            <w:autoSpaceDN w:val="0"/>
            <w:ind w:hanging="640"/>
            <w:divId w:val="1639990698"/>
            <w:rPr>
              <w:rFonts w:eastAsia="Times New Roman"/>
            </w:rPr>
          </w:pPr>
          <w:r>
            <w:rPr>
              <w:rFonts w:eastAsia="Times New Roman"/>
            </w:rPr>
            <w:t>86.</w:t>
          </w:r>
          <w:r>
            <w:rPr>
              <w:rFonts w:eastAsia="Times New Roman"/>
            </w:rPr>
            <w:tab/>
          </w:r>
          <w:proofErr w:type="spellStart"/>
          <w:r>
            <w:rPr>
              <w:rFonts w:eastAsia="Times New Roman"/>
            </w:rPr>
            <w:t>Wöhlbrand</w:t>
          </w:r>
          <w:proofErr w:type="spellEnd"/>
          <w:r>
            <w:rPr>
              <w:rFonts w:eastAsia="Times New Roman"/>
            </w:rPr>
            <w:t xml:space="preserve">, L., </w:t>
          </w:r>
          <w:proofErr w:type="spellStart"/>
          <w:r>
            <w:rPr>
              <w:rFonts w:eastAsia="Times New Roman"/>
            </w:rPr>
            <w:t>Trautwein</w:t>
          </w:r>
          <w:proofErr w:type="spellEnd"/>
          <w:r>
            <w:rPr>
              <w:rFonts w:eastAsia="Times New Roman"/>
            </w:rPr>
            <w:t xml:space="preserve">, K. &amp; </w:t>
          </w:r>
          <w:proofErr w:type="spellStart"/>
          <w:r>
            <w:rPr>
              <w:rFonts w:eastAsia="Times New Roman"/>
            </w:rPr>
            <w:t>Rabus</w:t>
          </w:r>
          <w:proofErr w:type="spellEnd"/>
          <w:r>
            <w:rPr>
              <w:rFonts w:eastAsia="Times New Roman"/>
            </w:rPr>
            <w:t xml:space="preserve">, R. Proteomic tools for environmental microbiology - A roadmap from sample preparation to protein identification and quantification. </w:t>
          </w:r>
          <w:r>
            <w:rPr>
              <w:rFonts w:eastAsia="Times New Roman"/>
              <w:i/>
              <w:iCs/>
            </w:rPr>
            <w:t>Proteomics</w:t>
          </w:r>
          <w:r>
            <w:rPr>
              <w:rFonts w:eastAsia="Times New Roman"/>
            </w:rPr>
            <w:t xml:space="preserve"> </w:t>
          </w:r>
          <w:r>
            <w:rPr>
              <w:rFonts w:eastAsia="Times New Roman"/>
              <w:b/>
              <w:bCs/>
            </w:rPr>
            <w:t>13</w:t>
          </w:r>
          <w:r>
            <w:rPr>
              <w:rFonts w:eastAsia="Times New Roman"/>
            </w:rPr>
            <w:t>, 2700–2730 (2013).</w:t>
          </w:r>
        </w:p>
        <w:p w14:paraId="5CD78C75" w14:textId="77777777" w:rsidR="003204EA" w:rsidRDefault="003204EA">
          <w:pPr>
            <w:autoSpaceDE w:val="0"/>
            <w:autoSpaceDN w:val="0"/>
            <w:ind w:hanging="640"/>
            <w:divId w:val="938879154"/>
            <w:rPr>
              <w:rFonts w:eastAsia="Times New Roman"/>
            </w:rPr>
          </w:pPr>
          <w:r>
            <w:rPr>
              <w:rFonts w:eastAsia="Times New Roman"/>
            </w:rPr>
            <w:t>87.</w:t>
          </w:r>
          <w:r>
            <w:rPr>
              <w:rFonts w:eastAsia="Times New Roman"/>
            </w:rPr>
            <w:tab/>
          </w:r>
          <w:proofErr w:type="spellStart"/>
          <w:r>
            <w:rPr>
              <w:rFonts w:eastAsia="Times New Roman"/>
            </w:rPr>
            <w:t>Couté</w:t>
          </w:r>
          <w:proofErr w:type="spellEnd"/>
          <w:r>
            <w:rPr>
              <w:rFonts w:eastAsia="Times New Roman"/>
            </w:rPr>
            <w:t xml:space="preserve">, Y., </w:t>
          </w:r>
          <w:proofErr w:type="spellStart"/>
          <w:r>
            <w:rPr>
              <w:rFonts w:eastAsia="Times New Roman"/>
            </w:rPr>
            <w:t>Bruley</w:t>
          </w:r>
          <w:proofErr w:type="spellEnd"/>
          <w:r>
            <w:rPr>
              <w:rFonts w:eastAsia="Times New Roman"/>
            </w:rPr>
            <w:t xml:space="preserve">, C. &amp; Burger, T. Beyond Target-Decoy Competition: Stable Validation of Peptide and Protein Identifications in Mass Spectrometry-Based Discovery Proteomics. </w:t>
          </w:r>
          <w:r>
            <w:rPr>
              <w:rFonts w:eastAsia="Times New Roman"/>
              <w:i/>
              <w:iCs/>
            </w:rPr>
            <w:t>Analytical Chemistry</w:t>
          </w:r>
          <w:r>
            <w:rPr>
              <w:rFonts w:eastAsia="Times New Roman"/>
            </w:rPr>
            <w:t xml:space="preserve"> </w:t>
          </w:r>
          <w:r>
            <w:rPr>
              <w:rFonts w:eastAsia="Times New Roman"/>
              <w:b/>
              <w:bCs/>
            </w:rPr>
            <w:t>92</w:t>
          </w:r>
          <w:r>
            <w:rPr>
              <w:rFonts w:eastAsia="Times New Roman"/>
            </w:rPr>
            <w:t>, 14898–14906 (2020).</w:t>
          </w:r>
        </w:p>
        <w:p w14:paraId="54344649" w14:textId="77777777" w:rsidR="003204EA" w:rsidRDefault="003204EA">
          <w:pPr>
            <w:autoSpaceDE w:val="0"/>
            <w:autoSpaceDN w:val="0"/>
            <w:ind w:hanging="640"/>
            <w:divId w:val="1347438882"/>
            <w:rPr>
              <w:rFonts w:eastAsia="Times New Roman"/>
            </w:rPr>
          </w:pPr>
          <w:r>
            <w:rPr>
              <w:rFonts w:eastAsia="Times New Roman"/>
            </w:rPr>
            <w:t>88.</w:t>
          </w:r>
          <w:r>
            <w:rPr>
              <w:rFonts w:eastAsia="Times New Roman"/>
            </w:rPr>
            <w:tab/>
          </w:r>
          <w:proofErr w:type="spellStart"/>
          <w:r>
            <w:rPr>
              <w:rFonts w:eastAsia="Times New Roman"/>
            </w:rPr>
            <w:t>Mellacheruvu</w:t>
          </w:r>
          <w:proofErr w:type="spellEnd"/>
          <w:r>
            <w:rPr>
              <w:rFonts w:eastAsia="Times New Roman"/>
            </w:rPr>
            <w:t xml:space="preserve">, D. </w:t>
          </w:r>
          <w:r>
            <w:rPr>
              <w:rFonts w:eastAsia="Times New Roman"/>
              <w:i/>
              <w:iCs/>
            </w:rPr>
            <w:t>et al.</w:t>
          </w:r>
          <w:r>
            <w:rPr>
              <w:rFonts w:eastAsia="Times New Roman"/>
            </w:rPr>
            <w:t xml:space="preserve"> The </w:t>
          </w:r>
          <w:proofErr w:type="spellStart"/>
          <w:r>
            <w:rPr>
              <w:rFonts w:eastAsia="Times New Roman"/>
            </w:rPr>
            <w:t>CRAPome</w:t>
          </w:r>
          <w:proofErr w:type="spellEnd"/>
          <w:r>
            <w:rPr>
              <w:rFonts w:eastAsia="Times New Roman"/>
            </w:rPr>
            <w:t xml:space="preserve">: A contaminant repository for affinity purification-mass spectrometry data. </w:t>
          </w:r>
          <w:r>
            <w:rPr>
              <w:rFonts w:eastAsia="Times New Roman"/>
              <w:i/>
              <w:iCs/>
            </w:rPr>
            <w:t>Nature Methods</w:t>
          </w:r>
          <w:r>
            <w:rPr>
              <w:rFonts w:eastAsia="Times New Roman"/>
            </w:rPr>
            <w:t xml:space="preserve"> </w:t>
          </w:r>
          <w:r>
            <w:rPr>
              <w:rFonts w:eastAsia="Times New Roman"/>
              <w:b/>
              <w:bCs/>
            </w:rPr>
            <w:t>10</w:t>
          </w:r>
          <w:r>
            <w:rPr>
              <w:rFonts w:eastAsia="Times New Roman"/>
            </w:rPr>
            <w:t>, 730–736 (2013).</w:t>
          </w:r>
        </w:p>
        <w:p w14:paraId="747939EE" w14:textId="77777777" w:rsidR="003204EA" w:rsidRDefault="003204EA">
          <w:pPr>
            <w:autoSpaceDE w:val="0"/>
            <w:autoSpaceDN w:val="0"/>
            <w:ind w:hanging="640"/>
            <w:divId w:val="1139302847"/>
            <w:rPr>
              <w:rFonts w:eastAsia="Times New Roman"/>
            </w:rPr>
          </w:pPr>
          <w:r>
            <w:rPr>
              <w:rFonts w:eastAsia="Times New Roman"/>
            </w:rPr>
            <w:t>89.</w:t>
          </w:r>
          <w:r>
            <w:rPr>
              <w:rFonts w:eastAsia="Times New Roman"/>
            </w:rPr>
            <w:tab/>
            <w:t xml:space="preserve">Blakeley-Ruiz, J. A. &amp; Kleiner, M. Considerations for constructing a protein sequence database for metaproteomics. </w:t>
          </w:r>
          <w:r>
            <w:rPr>
              <w:rFonts w:eastAsia="Times New Roman"/>
              <w:i/>
              <w:iCs/>
            </w:rPr>
            <w:t>Computational and Structural Biotechnology Journal</w:t>
          </w:r>
          <w:r>
            <w:rPr>
              <w:rFonts w:eastAsia="Times New Roman"/>
            </w:rPr>
            <w:t xml:space="preserve"> </w:t>
          </w:r>
          <w:r>
            <w:rPr>
              <w:rFonts w:eastAsia="Times New Roman"/>
              <w:b/>
              <w:bCs/>
            </w:rPr>
            <w:t>20</w:t>
          </w:r>
          <w:r>
            <w:rPr>
              <w:rFonts w:eastAsia="Times New Roman"/>
            </w:rPr>
            <w:t>, 937–952 (2022).</w:t>
          </w:r>
        </w:p>
        <w:p w14:paraId="69B05060" w14:textId="77777777" w:rsidR="003204EA" w:rsidRDefault="003204EA">
          <w:pPr>
            <w:autoSpaceDE w:val="0"/>
            <w:autoSpaceDN w:val="0"/>
            <w:ind w:hanging="640"/>
            <w:divId w:val="244651973"/>
            <w:rPr>
              <w:rFonts w:eastAsia="Times New Roman"/>
            </w:rPr>
          </w:pPr>
          <w:r>
            <w:rPr>
              <w:rFonts w:eastAsia="Times New Roman"/>
            </w:rPr>
            <w:t>90.</w:t>
          </w:r>
          <w:r>
            <w:rPr>
              <w:rFonts w:eastAsia="Times New Roman"/>
            </w:rPr>
            <w:tab/>
            <w:t xml:space="preserve">Li, J. </w:t>
          </w:r>
          <w:r>
            <w:rPr>
              <w:rFonts w:eastAsia="Times New Roman"/>
              <w:i/>
              <w:iCs/>
            </w:rPr>
            <w:t>et al.</w:t>
          </w:r>
          <w:r>
            <w:rPr>
              <w:rFonts w:eastAsia="Times New Roman"/>
            </w:rPr>
            <w:t xml:space="preserve"> An integrated catalog of reference genes in the human gut microbiome. </w:t>
          </w:r>
          <w:r>
            <w:rPr>
              <w:rFonts w:eastAsia="Times New Roman"/>
              <w:i/>
              <w:iCs/>
            </w:rPr>
            <w:t>Nature Biotechnology</w:t>
          </w:r>
          <w:r>
            <w:rPr>
              <w:rFonts w:eastAsia="Times New Roman"/>
            </w:rPr>
            <w:t xml:space="preserve"> </w:t>
          </w:r>
          <w:r>
            <w:rPr>
              <w:rFonts w:eastAsia="Times New Roman"/>
              <w:b/>
              <w:bCs/>
            </w:rPr>
            <w:t>32</w:t>
          </w:r>
          <w:r>
            <w:rPr>
              <w:rFonts w:eastAsia="Times New Roman"/>
            </w:rPr>
            <w:t>, 834–841 (2014).</w:t>
          </w:r>
        </w:p>
        <w:p w14:paraId="2C0868E3" w14:textId="77777777" w:rsidR="003204EA" w:rsidRDefault="003204EA">
          <w:pPr>
            <w:autoSpaceDE w:val="0"/>
            <w:autoSpaceDN w:val="0"/>
            <w:ind w:hanging="640"/>
            <w:divId w:val="2076656003"/>
            <w:rPr>
              <w:rFonts w:eastAsia="Times New Roman"/>
            </w:rPr>
          </w:pPr>
          <w:r>
            <w:rPr>
              <w:rFonts w:eastAsia="Times New Roman"/>
            </w:rPr>
            <w:t>91.</w:t>
          </w:r>
          <w:r>
            <w:rPr>
              <w:rFonts w:eastAsia="Times New Roman"/>
            </w:rPr>
            <w:tab/>
            <w:t xml:space="preserve">Xiao, L. </w:t>
          </w:r>
          <w:r>
            <w:rPr>
              <w:rFonts w:eastAsia="Times New Roman"/>
              <w:i/>
              <w:iCs/>
            </w:rPr>
            <w:t>et al.</w:t>
          </w:r>
          <w:r>
            <w:rPr>
              <w:rFonts w:eastAsia="Times New Roman"/>
            </w:rPr>
            <w:t xml:space="preserve"> A catalog of the mouse gut metagenome. </w:t>
          </w:r>
          <w:r>
            <w:rPr>
              <w:rFonts w:eastAsia="Times New Roman"/>
              <w:i/>
              <w:iCs/>
            </w:rPr>
            <w:t>Nature Biotechnology</w:t>
          </w:r>
          <w:r>
            <w:rPr>
              <w:rFonts w:eastAsia="Times New Roman"/>
            </w:rPr>
            <w:t xml:space="preserve"> </w:t>
          </w:r>
          <w:r>
            <w:rPr>
              <w:rFonts w:eastAsia="Times New Roman"/>
              <w:b/>
              <w:bCs/>
            </w:rPr>
            <w:t>33</w:t>
          </w:r>
          <w:r>
            <w:rPr>
              <w:rFonts w:eastAsia="Times New Roman"/>
            </w:rPr>
            <w:t>, 1103–1108 (2015).</w:t>
          </w:r>
        </w:p>
        <w:p w14:paraId="59ACA986" w14:textId="77777777" w:rsidR="003204EA" w:rsidRDefault="003204EA">
          <w:pPr>
            <w:autoSpaceDE w:val="0"/>
            <w:autoSpaceDN w:val="0"/>
            <w:ind w:hanging="640"/>
            <w:divId w:val="1294604056"/>
            <w:rPr>
              <w:rFonts w:eastAsia="Times New Roman"/>
            </w:rPr>
          </w:pPr>
          <w:r>
            <w:rPr>
              <w:rFonts w:eastAsia="Times New Roman"/>
            </w:rPr>
            <w:t>92.</w:t>
          </w:r>
          <w:r>
            <w:rPr>
              <w:rFonts w:eastAsia="Times New Roman"/>
            </w:rPr>
            <w:tab/>
          </w:r>
          <w:proofErr w:type="spellStart"/>
          <w:r>
            <w:rPr>
              <w:rFonts w:eastAsia="Times New Roman"/>
            </w:rPr>
            <w:t>Bäckhed</w:t>
          </w:r>
          <w:proofErr w:type="spellEnd"/>
          <w:r>
            <w:rPr>
              <w:rFonts w:eastAsia="Times New Roman"/>
            </w:rPr>
            <w:t xml:space="preserve">, F. </w:t>
          </w:r>
          <w:r>
            <w:rPr>
              <w:rFonts w:eastAsia="Times New Roman"/>
              <w:i/>
              <w:iCs/>
            </w:rPr>
            <w:t>et al.</w:t>
          </w:r>
          <w:r>
            <w:rPr>
              <w:rFonts w:eastAsia="Times New Roman"/>
            </w:rPr>
            <w:t xml:space="preserve"> Defining a healthy human gut microbiome: Current concepts, future directions, and clinical applications. </w:t>
          </w:r>
          <w:r>
            <w:rPr>
              <w:rFonts w:eastAsia="Times New Roman"/>
              <w:i/>
              <w:iCs/>
            </w:rPr>
            <w:t>Cell Host and Microbe</w:t>
          </w:r>
          <w:r>
            <w:rPr>
              <w:rFonts w:eastAsia="Times New Roman"/>
            </w:rPr>
            <w:t xml:space="preserve"> </w:t>
          </w:r>
          <w:r>
            <w:rPr>
              <w:rFonts w:eastAsia="Times New Roman"/>
              <w:b/>
              <w:bCs/>
            </w:rPr>
            <w:t>12</w:t>
          </w:r>
          <w:r>
            <w:rPr>
              <w:rFonts w:eastAsia="Times New Roman"/>
            </w:rPr>
            <w:t>, 611–622 (2012).</w:t>
          </w:r>
        </w:p>
        <w:p w14:paraId="4FF06A72" w14:textId="77777777" w:rsidR="003204EA" w:rsidRDefault="003204EA">
          <w:pPr>
            <w:autoSpaceDE w:val="0"/>
            <w:autoSpaceDN w:val="0"/>
            <w:ind w:hanging="640"/>
            <w:divId w:val="204100164"/>
            <w:rPr>
              <w:rFonts w:eastAsia="Times New Roman"/>
            </w:rPr>
          </w:pPr>
          <w:r>
            <w:rPr>
              <w:rFonts w:eastAsia="Times New Roman"/>
            </w:rPr>
            <w:t>93.</w:t>
          </w:r>
          <w:r>
            <w:rPr>
              <w:rFonts w:eastAsia="Times New Roman"/>
            </w:rPr>
            <w:tab/>
          </w:r>
          <w:proofErr w:type="spellStart"/>
          <w:r>
            <w:rPr>
              <w:rFonts w:eastAsia="Times New Roman"/>
            </w:rPr>
            <w:t>Tanca</w:t>
          </w:r>
          <w:proofErr w:type="spellEnd"/>
          <w:r>
            <w:rPr>
              <w:rFonts w:eastAsia="Times New Roman"/>
            </w:rPr>
            <w:t xml:space="preserve">, A. </w:t>
          </w:r>
          <w:r>
            <w:rPr>
              <w:rFonts w:eastAsia="Times New Roman"/>
              <w:i/>
              <w:iCs/>
            </w:rPr>
            <w:t>et al.</w:t>
          </w:r>
          <w:r>
            <w:rPr>
              <w:rFonts w:eastAsia="Times New Roman"/>
            </w:rPr>
            <w:t xml:space="preserve"> The impact of sequence database choice on metaproteomic results in gut microbiota studies. </w:t>
          </w:r>
          <w:r>
            <w:rPr>
              <w:rFonts w:eastAsia="Times New Roman"/>
              <w:i/>
              <w:iCs/>
            </w:rPr>
            <w:t>Microbiome</w:t>
          </w:r>
          <w:r>
            <w:rPr>
              <w:rFonts w:eastAsia="Times New Roman"/>
            </w:rPr>
            <w:t xml:space="preserve"> </w:t>
          </w:r>
          <w:r>
            <w:rPr>
              <w:rFonts w:eastAsia="Times New Roman"/>
              <w:b/>
              <w:bCs/>
            </w:rPr>
            <w:t>4</w:t>
          </w:r>
          <w:r>
            <w:rPr>
              <w:rFonts w:eastAsia="Times New Roman"/>
            </w:rPr>
            <w:t>, 1–13 (2016).</w:t>
          </w:r>
        </w:p>
        <w:p w14:paraId="55307F6A" w14:textId="77777777" w:rsidR="003204EA" w:rsidRDefault="003204EA">
          <w:pPr>
            <w:autoSpaceDE w:val="0"/>
            <w:autoSpaceDN w:val="0"/>
            <w:ind w:hanging="640"/>
            <w:divId w:val="290209471"/>
            <w:rPr>
              <w:rFonts w:eastAsia="Times New Roman"/>
            </w:rPr>
          </w:pPr>
          <w:r>
            <w:rPr>
              <w:rFonts w:eastAsia="Times New Roman"/>
            </w:rPr>
            <w:t>94.</w:t>
          </w:r>
          <w:r>
            <w:rPr>
              <w:rFonts w:eastAsia="Times New Roman"/>
            </w:rPr>
            <w:tab/>
          </w:r>
          <w:proofErr w:type="spellStart"/>
          <w:r>
            <w:rPr>
              <w:rFonts w:eastAsia="Times New Roman"/>
            </w:rPr>
            <w:t>Capelo</w:t>
          </w:r>
          <w:proofErr w:type="spellEnd"/>
          <w:r>
            <w:rPr>
              <w:rFonts w:eastAsia="Times New Roman"/>
            </w:rPr>
            <w:t xml:space="preserve">, J. L. </w:t>
          </w:r>
          <w:r>
            <w:rPr>
              <w:rFonts w:eastAsia="Times New Roman"/>
              <w:i/>
              <w:iCs/>
            </w:rPr>
            <w:t>Emerging sample treatments in proteomics</w:t>
          </w:r>
          <w:r>
            <w:rPr>
              <w:rFonts w:eastAsia="Times New Roman"/>
            </w:rPr>
            <w:t>. (2019).</w:t>
          </w:r>
        </w:p>
        <w:p w14:paraId="4094E3D8" w14:textId="77777777" w:rsidR="003204EA" w:rsidRDefault="003204EA">
          <w:pPr>
            <w:autoSpaceDE w:val="0"/>
            <w:autoSpaceDN w:val="0"/>
            <w:ind w:hanging="640"/>
            <w:divId w:val="833186067"/>
            <w:rPr>
              <w:rFonts w:eastAsia="Times New Roman"/>
            </w:rPr>
          </w:pPr>
          <w:r>
            <w:rPr>
              <w:rFonts w:eastAsia="Times New Roman"/>
            </w:rPr>
            <w:t>95.</w:t>
          </w:r>
          <w:r>
            <w:rPr>
              <w:rFonts w:eastAsia="Times New Roman"/>
            </w:rPr>
            <w:tab/>
          </w:r>
          <w:proofErr w:type="spellStart"/>
          <w:r>
            <w:rPr>
              <w:rFonts w:eastAsia="Times New Roman"/>
            </w:rPr>
            <w:t>Muth</w:t>
          </w:r>
          <w:proofErr w:type="spellEnd"/>
          <w:r>
            <w:rPr>
              <w:rFonts w:eastAsia="Times New Roman"/>
            </w:rPr>
            <w:t xml:space="preserve">, T. </w:t>
          </w:r>
          <w:r>
            <w:rPr>
              <w:rFonts w:eastAsia="Times New Roman"/>
              <w:i/>
              <w:iCs/>
            </w:rPr>
            <w:t>et al.</w:t>
          </w:r>
          <w:r>
            <w:rPr>
              <w:rFonts w:eastAsia="Times New Roman"/>
            </w:rPr>
            <w:t xml:space="preserve"> The </w:t>
          </w:r>
          <w:proofErr w:type="spellStart"/>
          <w:r>
            <w:rPr>
              <w:rFonts w:eastAsia="Times New Roman"/>
            </w:rPr>
            <w:t>MetaProteomeAnalyzer</w:t>
          </w:r>
          <w:proofErr w:type="spellEnd"/>
          <w:r>
            <w:rPr>
              <w:rFonts w:eastAsia="Times New Roman"/>
            </w:rPr>
            <w:t xml:space="preserve">: A powerful open-source software suite for metaproteomics data analysis and interpretation. </w:t>
          </w:r>
          <w:r>
            <w:rPr>
              <w:rFonts w:eastAsia="Times New Roman"/>
              <w:i/>
              <w:iCs/>
            </w:rPr>
            <w:t>Journal of Proteome Research</w:t>
          </w:r>
          <w:r>
            <w:rPr>
              <w:rFonts w:eastAsia="Times New Roman"/>
            </w:rPr>
            <w:t xml:space="preserve"> </w:t>
          </w:r>
          <w:r>
            <w:rPr>
              <w:rFonts w:eastAsia="Times New Roman"/>
              <w:b/>
              <w:bCs/>
            </w:rPr>
            <w:t>14</w:t>
          </w:r>
          <w:r>
            <w:rPr>
              <w:rFonts w:eastAsia="Times New Roman"/>
            </w:rPr>
            <w:t>, 1557–1565 (2015).</w:t>
          </w:r>
        </w:p>
        <w:p w14:paraId="2AF5A33F" w14:textId="77777777" w:rsidR="003204EA" w:rsidRDefault="003204EA">
          <w:pPr>
            <w:autoSpaceDE w:val="0"/>
            <w:autoSpaceDN w:val="0"/>
            <w:ind w:hanging="640"/>
            <w:divId w:val="579678543"/>
            <w:rPr>
              <w:rFonts w:eastAsia="Times New Roman"/>
            </w:rPr>
          </w:pPr>
          <w:r>
            <w:rPr>
              <w:rFonts w:eastAsia="Times New Roman"/>
            </w:rPr>
            <w:t>96.</w:t>
          </w:r>
          <w:r>
            <w:rPr>
              <w:rFonts w:eastAsia="Times New Roman"/>
            </w:rPr>
            <w:tab/>
            <w:t xml:space="preserve">Zhang, X. </w:t>
          </w:r>
          <w:r>
            <w:rPr>
              <w:rFonts w:eastAsia="Times New Roman"/>
              <w:i/>
              <w:iCs/>
            </w:rPr>
            <w:t>et al.</w:t>
          </w:r>
          <w:r>
            <w:rPr>
              <w:rFonts w:eastAsia="Times New Roman"/>
            </w:rPr>
            <w:t xml:space="preserve"> </w:t>
          </w:r>
          <w:proofErr w:type="spellStart"/>
          <w:r>
            <w:rPr>
              <w:rFonts w:eastAsia="Times New Roman"/>
            </w:rPr>
            <w:t>MetaPro</w:t>
          </w:r>
          <w:proofErr w:type="spellEnd"/>
          <w:r>
            <w:rPr>
              <w:rFonts w:eastAsia="Times New Roman"/>
            </w:rPr>
            <w:t xml:space="preserve">-IQ: A universal metaproteomic approach to studying human and mouse gut microbiota. </w:t>
          </w:r>
          <w:r>
            <w:rPr>
              <w:rFonts w:eastAsia="Times New Roman"/>
              <w:i/>
              <w:iCs/>
            </w:rPr>
            <w:t>Microbiome</w:t>
          </w:r>
          <w:r>
            <w:rPr>
              <w:rFonts w:eastAsia="Times New Roman"/>
            </w:rPr>
            <w:t xml:space="preserve"> </w:t>
          </w:r>
          <w:r>
            <w:rPr>
              <w:rFonts w:eastAsia="Times New Roman"/>
              <w:b/>
              <w:bCs/>
            </w:rPr>
            <w:t>4</w:t>
          </w:r>
          <w:r>
            <w:rPr>
              <w:rFonts w:eastAsia="Times New Roman"/>
            </w:rPr>
            <w:t>, 1–12 (2016).</w:t>
          </w:r>
        </w:p>
        <w:p w14:paraId="2C847032" w14:textId="77777777" w:rsidR="003204EA" w:rsidRDefault="003204EA">
          <w:pPr>
            <w:autoSpaceDE w:val="0"/>
            <w:autoSpaceDN w:val="0"/>
            <w:ind w:hanging="640"/>
            <w:divId w:val="812067629"/>
            <w:rPr>
              <w:rFonts w:eastAsia="Times New Roman"/>
            </w:rPr>
          </w:pPr>
          <w:r>
            <w:rPr>
              <w:rFonts w:eastAsia="Times New Roman"/>
            </w:rPr>
            <w:t>97.</w:t>
          </w:r>
          <w:r>
            <w:rPr>
              <w:rFonts w:eastAsia="Times New Roman"/>
            </w:rPr>
            <w:tab/>
            <w:t xml:space="preserve">Cargile, B. J., Bundy, J. L. &amp; Stephenson, J. L. Potential for false positive identifications from large databases through tandem mass spectrometry. </w:t>
          </w:r>
          <w:r>
            <w:rPr>
              <w:rFonts w:eastAsia="Times New Roman"/>
              <w:i/>
              <w:iCs/>
            </w:rPr>
            <w:t>Journal of Proteome Research</w:t>
          </w:r>
          <w:r>
            <w:rPr>
              <w:rFonts w:eastAsia="Times New Roman"/>
            </w:rPr>
            <w:t xml:space="preserve"> </w:t>
          </w:r>
          <w:r>
            <w:rPr>
              <w:rFonts w:eastAsia="Times New Roman"/>
              <w:b/>
              <w:bCs/>
            </w:rPr>
            <w:t>3</w:t>
          </w:r>
          <w:r>
            <w:rPr>
              <w:rFonts w:eastAsia="Times New Roman"/>
            </w:rPr>
            <w:t>, 1082–1085 (2004).</w:t>
          </w:r>
        </w:p>
        <w:p w14:paraId="6FD0EC80" w14:textId="77777777" w:rsidR="003204EA" w:rsidRDefault="003204EA">
          <w:pPr>
            <w:autoSpaceDE w:val="0"/>
            <w:autoSpaceDN w:val="0"/>
            <w:ind w:hanging="640"/>
            <w:divId w:val="1860503508"/>
            <w:rPr>
              <w:rFonts w:eastAsia="Times New Roman"/>
            </w:rPr>
          </w:pPr>
          <w:r>
            <w:rPr>
              <w:rFonts w:eastAsia="Times New Roman"/>
            </w:rPr>
            <w:t>98.</w:t>
          </w:r>
          <w:r>
            <w:rPr>
              <w:rFonts w:eastAsia="Times New Roman"/>
            </w:rPr>
            <w:tab/>
            <w:t xml:space="preserve">Elias, J. E. &amp; </w:t>
          </w:r>
          <w:proofErr w:type="spellStart"/>
          <w:r>
            <w:rPr>
              <w:rFonts w:eastAsia="Times New Roman"/>
            </w:rPr>
            <w:t>Gygi</w:t>
          </w:r>
          <w:proofErr w:type="spellEnd"/>
          <w:r>
            <w:rPr>
              <w:rFonts w:eastAsia="Times New Roman"/>
            </w:rPr>
            <w:t xml:space="preserve">, S. P. Target-decoy search strategy for increased confidence in large-scale protein identifications by mass spectrometry. </w:t>
          </w:r>
          <w:r>
            <w:rPr>
              <w:rFonts w:eastAsia="Times New Roman"/>
              <w:i/>
              <w:iCs/>
            </w:rPr>
            <w:t>Nature Methods</w:t>
          </w:r>
          <w:r>
            <w:rPr>
              <w:rFonts w:eastAsia="Times New Roman"/>
            </w:rPr>
            <w:t xml:space="preserve"> </w:t>
          </w:r>
          <w:r>
            <w:rPr>
              <w:rFonts w:eastAsia="Times New Roman"/>
              <w:b/>
              <w:bCs/>
            </w:rPr>
            <w:t>4</w:t>
          </w:r>
          <w:r>
            <w:rPr>
              <w:rFonts w:eastAsia="Times New Roman"/>
            </w:rPr>
            <w:t>, 207–214 (2007).</w:t>
          </w:r>
        </w:p>
        <w:p w14:paraId="3D0DEF80" w14:textId="77777777" w:rsidR="003204EA" w:rsidRDefault="003204EA">
          <w:pPr>
            <w:autoSpaceDE w:val="0"/>
            <w:autoSpaceDN w:val="0"/>
            <w:ind w:hanging="640"/>
            <w:divId w:val="1647204241"/>
            <w:rPr>
              <w:rFonts w:eastAsia="Times New Roman"/>
            </w:rPr>
          </w:pPr>
          <w:r>
            <w:rPr>
              <w:rFonts w:eastAsia="Times New Roman"/>
            </w:rPr>
            <w:t>99.</w:t>
          </w:r>
          <w:r>
            <w:rPr>
              <w:rFonts w:eastAsia="Times New Roman"/>
            </w:rPr>
            <w:tab/>
            <w:t xml:space="preserve">Tran, N. H. </w:t>
          </w:r>
          <w:r>
            <w:rPr>
              <w:rFonts w:eastAsia="Times New Roman"/>
              <w:i/>
              <w:iCs/>
            </w:rPr>
            <w:t>et al.</w:t>
          </w:r>
          <w:r>
            <w:rPr>
              <w:rFonts w:eastAsia="Times New Roman"/>
            </w:rPr>
            <w:t xml:space="preserve"> Deep learning enables de novo peptide sequencing from data-independent-acquisition mass spectrometry. </w:t>
          </w:r>
          <w:r>
            <w:rPr>
              <w:rFonts w:eastAsia="Times New Roman"/>
              <w:i/>
              <w:iCs/>
            </w:rPr>
            <w:t>Nature Methods</w:t>
          </w:r>
          <w:r>
            <w:rPr>
              <w:rFonts w:eastAsia="Times New Roman"/>
            </w:rPr>
            <w:t xml:space="preserve"> </w:t>
          </w:r>
          <w:r>
            <w:rPr>
              <w:rFonts w:eastAsia="Times New Roman"/>
              <w:b/>
              <w:bCs/>
            </w:rPr>
            <w:t>16</w:t>
          </w:r>
          <w:r>
            <w:rPr>
              <w:rFonts w:eastAsia="Times New Roman"/>
            </w:rPr>
            <w:t>, 63–66 (2019).</w:t>
          </w:r>
        </w:p>
        <w:p w14:paraId="5AA9C4DC" w14:textId="77777777" w:rsidR="003204EA" w:rsidRDefault="003204EA">
          <w:pPr>
            <w:autoSpaceDE w:val="0"/>
            <w:autoSpaceDN w:val="0"/>
            <w:ind w:hanging="640"/>
            <w:divId w:val="47193209"/>
            <w:rPr>
              <w:rFonts w:eastAsia="Times New Roman"/>
            </w:rPr>
          </w:pPr>
          <w:r>
            <w:rPr>
              <w:rFonts w:eastAsia="Times New Roman"/>
            </w:rPr>
            <w:t>100.</w:t>
          </w:r>
          <w:r>
            <w:rPr>
              <w:rFonts w:eastAsia="Times New Roman"/>
            </w:rPr>
            <w:tab/>
            <w:t xml:space="preserve">Tran, N. H., Zhang, X., Xin, L., Shan, B. &amp; Li, M. De novo peptide sequencing by deep learning. </w:t>
          </w:r>
          <w:r>
            <w:rPr>
              <w:rFonts w:eastAsia="Times New Roman"/>
              <w:i/>
              <w:iCs/>
            </w:rPr>
            <w:t xml:space="preserve">Proc Natl </w:t>
          </w:r>
          <w:proofErr w:type="spellStart"/>
          <w:r>
            <w:rPr>
              <w:rFonts w:eastAsia="Times New Roman"/>
              <w:i/>
              <w:iCs/>
            </w:rPr>
            <w:t>Acad</w:t>
          </w:r>
          <w:proofErr w:type="spellEnd"/>
          <w:r>
            <w:rPr>
              <w:rFonts w:eastAsia="Times New Roman"/>
              <w:i/>
              <w:iCs/>
            </w:rPr>
            <w:t xml:space="preserve"> Sci U S A</w:t>
          </w:r>
          <w:r>
            <w:rPr>
              <w:rFonts w:eastAsia="Times New Roman"/>
            </w:rPr>
            <w:t xml:space="preserve"> </w:t>
          </w:r>
          <w:r>
            <w:rPr>
              <w:rFonts w:eastAsia="Times New Roman"/>
              <w:b/>
              <w:bCs/>
            </w:rPr>
            <w:t>114</w:t>
          </w:r>
          <w:r>
            <w:rPr>
              <w:rFonts w:eastAsia="Times New Roman"/>
            </w:rPr>
            <w:t>, 8247–8252 (2017).</w:t>
          </w:r>
        </w:p>
        <w:p w14:paraId="3DF21113" w14:textId="77777777" w:rsidR="003204EA" w:rsidRDefault="003204EA">
          <w:pPr>
            <w:autoSpaceDE w:val="0"/>
            <w:autoSpaceDN w:val="0"/>
            <w:ind w:hanging="640"/>
            <w:divId w:val="1601528999"/>
            <w:rPr>
              <w:rFonts w:eastAsia="Times New Roman"/>
            </w:rPr>
          </w:pPr>
          <w:r>
            <w:rPr>
              <w:rFonts w:eastAsia="Times New Roman"/>
            </w:rPr>
            <w:t>101.</w:t>
          </w:r>
          <w:r>
            <w:rPr>
              <w:rFonts w:eastAsia="Times New Roman"/>
            </w:rPr>
            <w:tab/>
            <w:t xml:space="preserve">Han, X., He, L., Xin, L., Shan, B. &amp; Ma, B. </w:t>
          </w:r>
          <w:proofErr w:type="spellStart"/>
          <w:r>
            <w:rPr>
              <w:rFonts w:eastAsia="Times New Roman"/>
            </w:rPr>
            <w:t>PeaksPTM</w:t>
          </w:r>
          <w:proofErr w:type="spellEnd"/>
          <w:r>
            <w:rPr>
              <w:rFonts w:eastAsia="Times New Roman"/>
            </w:rPr>
            <w:t xml:space="preserve">: Mass spectrometry-based identification of peptides with unspecified modifications. </w:t>
          </w:r>
          <w:r>
            <w:rPr>
              <w:rFonts w:eastAsia="Times New Roman"/>
              <w:i/>
              <w:iCs/>
            </w:rPr>
            <w:t>Journal of Proteome Research</w:t>
          </w:r>
          <w:r>
            <w:rPr>
              <w:rFonts w:eastAsia="Times New Roman"/>
            </w:rPr>
            <w:t xml:space="preserve"> </w:t>
          </w:r>
          <w:r>
            <w:rPr>
              <w:rFonts w:eastAsia="Times New Roman"/>
              <w:b/>
              <w:bCs/>
            </w:rPr>
            <w:t>10</w:t>
          </w:r>
          <w:r>
            <w:rPr>
              <w:rFonts w:eastAsia="Times New Roman"/>
            </w:rPr>
            <w:t>, 2930–2936 (2011).</w:t>
          </w:r>
        </w:p>
        <w:p w14:paraId="0A85E7FD" w14:textId="77777777" w:rsidR="003204EA" w:rsidRDefault="003204EA">
          <w:pPr>
            <w:autoSpaceDE w:val="0"/>
            <w:autoSpaceDN w:val="0"/>
            <w:ind w:hanging="640"/>
            <w:divId w:val="128325128"/>
            <w:rPr>
              <w:rFonts w:eastAsia="Times New Roman"/>
            </w:rPr>
          </w:pPr>
          <w:r>
            <w:rPr>
              <w:rFonts w:eastAsia="Times New Roman"/>
            </w:rPr>
            <w:t>102.</w:t>
          </w:r>
          <w:r>
            <w:rPr>
              <w:rFonts w:eastAsia="Times New Roman"/>
            </w:rPr>
            <w:tab/>
            <w:t xml:space="preserve">Han, Y., Ma, B. &amp; Zhang, K. SPIDER: Software for protein identification from sequence tags with de novo sequencing error. </w:t>
          </w:r>
          <w:r>
            <w:rPr>
              <w:rFonts w:eastAsia="Times New Roman"/>
              <w:i/>
              <w:iCs/>
            </w:rPr>
            <w:t>Journal of Bioinformatics and Computational Biology</w:t>
          </w:r>
          <w:r>
            <w:rPr>
              <w:rFonts w:eastAsia="Times New Roman"/>
            </w:rPr>
            <w:t xml:space="preserve"> </w:t>
          </w:r>
          <w:r>
            <w:rPr>
              <w:rFonts w:eastAsia="Times New Roman"/>
              <w:b/>
              <w:bCs/>
            </w:rPr>
            <w:t>3</w:t>
          </w:r>
          <w:r>
            <w:rPr>
              <w:rFonts w:eastAsia="Times New Roman"/>
            </w:rPr>
            <w:t>, 697–716 (2005).</w:t>
          </w:r>
        </w:p>
        <w:p w14:paraId="4E217F78" w14:textId="77777777" w:rsidR="003204EA" w:rsidRDefault="003204EA">
          <w:pPr>
            <w:autoSpaceDE w:val="0"/>
            <w:autoSpaceDN w:val="0"/>
            <w:ind w:hanging="640"/>
            <w:divId w:val="1251231694"/>
            <w:rPr>
              <w:rFonts w:eastAsia="Times New Roman"/>
            </w:rPr>
          </w:pPr>
          <w:r>
            <w:rPr>
              <w:rFonts w:eastAsia="Times New Roman"/>
            </w:rPr>
            <w:t>103.</w:t>
          </w:r>
          <w:r>
            <w:rPr>
              <w:rFonts w:eastAsia="Times New Roman"/>
            </w:rPr>
            <w:tab/>
          </w:r>
          <w:proofErr w:type="spellStart"/>
          <w:r>
            <w:rPr>
              <w:rFonts w:eastAsia="Times New Roman"/>
            </w:rPr>
            <w:t>Kleikamp</w:t>
          </w:r>
          <w:proofErr w:type="spellEnd"/>
          <w:r>
            <w:rPr>
              <w:rFonts w:eastAsia="Times New Roman"/>
            </w:rPr>
            <w:t xml:space="preserve">, H. B. C. </w:t>
          </w:r>
          <w:r>
            <w:rPr>
              <w:rFonts w:eastAsia="Times New Roman"/>
              <w:i/>
              <w:iCs/>
            </w:rPr>
            <w:t>et al.</w:t>
          </w:r>
          <w:r>
            <w:rPr>
              <w:rFonts w:eastAsia="Times New Roman"/>
            </w:rPr>
            <w:t xml:space="preserve"> Database-independent de novo metaproteomics of complex microbial communities. </w:t>
          </w:r>
          <w:r>
            <w:rPr>
              <w:rFonts w:eastAsia="Times New Roman"/>
              <w:i/>
              <w:iCs/>
            </w:rPr>
            <w:t>Cell Systems</w:t>
          </w:r>
          <w:r>
            <w:rPr>
              <w:rFonts w:eastAsia="Times New Roman"/>
            </w:rPr>
            <w:t xml:space="preserve"> </w:t>
          </w:r>
          <w:r>
            <w:rPr>
              <w:rFonts w:eastAsia="Times New Roman"/>
              <w:b/>
              <w:bCs/>
            </w:rPr>
            <w:t>12</w:t>
          </w:r>
          <w:r>
            <w:rPr>
              <w:rFonts w:eastAsia="Times New Roman"/>
            </w:rPr>
            <w:t>, 375-383.e5 (2021).</w:t>
          </w:r>
        </w:p>
        <w:p w14:paraId="7623FF06" w14:textId="77777777" w:rsidR="003204EA" w:rsidRDefault="003204EA">
          <w:pPr>
            <w:autoSpaceDE w:val="0"/>
            <w:autoSpaceDN w:val="0"/>
            <w:ind w:hanging="640"/>
            <w:divId w:val="969090494"/>
            <w:rPr>
              <w:rFonts w:eastAsia="Times New Roman"/>
            </w:rPr>
          </w:pPr>
          <w:r>
            <w:rPr>
              <w:rFonts w:eastAsia="Times New Roman"/>
            </w:rPr>
            <w:t>104.</w:t>
          </w:r>
          <w:r>
            <w:rPr>
              <w:rFonts w:eastAsia="Times New Roman"/>
            </w:rPr>
            <w:tab/>
            <w:t xml:space="preserve">Zhang, J. </w:t>
          </w:r>
          <w:r>
            <w:rPr>
              <w:rFonts w:eastAsia="Times New Roman"/>
              <w:i/>
              <w:iCs/>
            </w:rPr>
            <w:t>et al.</w:t>
          </w:r>
          <w:r>
            <w:rPr>
              <w:rFonts w:eastAsia="Times New Roman"/>
            </w:rPr>
            <w:t xml:space="preserve"> PEAKS DB: De novo sequencing assisted database search for sensitive and accurate peptide identification. </w:t>
          </w:r>
          <w:r>
            <w:rPr>
              <w:rFonts w:eastAsia="Times New Roman"/>
              <w:i/>
              <w:iCs/>
            </w:rPr>
            <w:t>Molecular and Cellular Proteomics</w:t>
          </w:r>
          <w:r>
            <w:rPr>
              <w:rFonts w:eastAsia="Times New Roman"/>
            </w:rPr>
            <w:t xml:space="preserve"> </w:t>
          </w:r>
          <w:r>
            <w:rPr>
              <w:rFonts w:eastAsia="Times New Roman"/>
              <w:b/>
              <w:bCs/>
            </w:rPr>
            <w:t>11</w:t>
          </w:r>
          <w:r>
            <w:rPr>
              <w:rFonts w:eastAsia="Times New Roman"/>
            </w:rPr>
            <w:t>, M111.010587 (2012).</w:t>
          </w:r>
        </w:p>
        <w:p w14:paraId="5DFB809D" w14:textId="77777777" w:rsidR="003204EA" w:rsidRDefault="003204EA">
          <w:pPr>
            <w:autoSpaceDE w:val="0"/>
            <w:autoSpaceDN w:val="0"/>
            <w:ind w:hanging="640"/>
            <w:divId w:val="2119566864"/>
            <w:rPr>
              <w:rFonts w:eastAsia="Times New Roman"/>
            </w:rPr>
          </w:pPr>
          <w:r>
            <w:rPr>
              <w:rFonts w:eastAsia="Times New Roman"/>
            </w:rPr>
            <w:t>105.</w:t>
          </w:r>
          <w:r>
            <w:rPr>
              <w:rFonts w:eastAsia="Times New Roman"/>
            </w:rPr>
            <w:tab/>
          </w:r>
          <w:proofErr w:type="spellStart"/>
          <w:r>
            <w:rPr>
              <w:rFonts w:eastAsia="Times New Roman"/>
            </w:rPr>
            <w:t>Domon</w:t>
          </w:r>
          <w:proofErr w:type="spellEnd"/>
          <w:r>
            <w:rPr>
              <w:rFonts w:eastAsia="Times New Roman"/>
            </w:rPr>
            <w:t xml:space="preserve">, B. &amp; </w:t>
          </w:r>
          <w:proofErr w:type="spellStart"/>
          <w:r>
            <w:rPr>
              <w:rFonts w:eastAsia="Times New Roman"/>
            </w:rPr>
            <w:t>Aebersold</w:t>
          </w:r>
          <w:proofErr w:type="spellEnd"/>
          <w:r>
            <w:rPr>
              <w:rFonts w:eastAsia="Times New Roman"/>
            </w:rPr>
            <w:t xml:space="preserve">, R. </w:t>
          </w:r>
          <w:proofErr w:type="gramStart"/>
          <w:r>
            <w:rPr>
              <w:rFonts w:eastAsia="Times New Roman"/>
            </w:rPr>
            <w:t>Options</w:t>
          </w:r>
          <w:proofErr w:type="gramEnd"/>
          <w:r>
            <w:rPr>
              <w:rFonts w:eastAsia="Times New Roman"/>
            </w:rPr>
            <w:t xml:space="preserve"> and considerations when selecting a quantitative proteomics strategy. </w:t>
          </w:r>
          <w:r>
            <w:rPr>
              <w:rFonts w:eastAsia="Times New Roman"/>
              <w:i/>
              <w:iCs/>
            </w:rPr>
            <w:t>Nature Biotechnology</w:t>
          </w:r>
          <w:r>
            <w:rPr>
              <w:rFonts w:eastAsia="Times New Roman"/>
            </w:rPr>
            <w:t xml:space="preserve"> </w:t>
          </w:r>
          <w:r>
            <w:rPr>
              <w:rFonts w:eastAsia="Times New Roman"/>
              <w:b/>
              <w:bCs/>
            </w:rPr>
            <w:t>28</w:t>
          </w:r>
          <w:r>
            <w:rPr>
              <w:rFonts w:eastAsia="Times New Roman"/>
            </w:rPr>
            <w:t>, 710–721 (2010).</w:t>
          </w:r>
        </w:p>
        <w:p w14:paraId="1481F58F" w14:textId="77777777" w:rsidR="003204EA" w:rsidRDefault="003204EA">
          <w:pPr>
            <w:autoSpaceDE w:val="0"/>
            <w:autoSpaceDN w:val="0"/>
            <w:ind w:hanging="640"/>
            <w:divId w:val="542207780"/>
            <w:rPr>
              <w:rFonts w:eastAsia="Times New Roman"/>
            </w:rPr>
          </w:pPr>
          <w:r>
            <w:rPr>
              <w:rFonts w:eastAsia="Times New Roman"/>
            </w:rPr>
            <w:t>106.</w:t>
          </w:r>
          <w:r>
            <w:rPr>
              <w:rFonts w:eastAsia="Times New Roman"/>
            </w:rPr>
            <w:tab/>
          </w:r>
          <w:proofErr w:type="spellStart"/>
          <w:r>
            <w:rPr>
              <w:rFonts w:eastAsia="Times New Roman"/>
            </w:rPr>
            <w:t>Millán-Oropeza</w:t>
          </w:r>
          <w:proofErr w:type="spellEnd"/>
          <w:r>
            <w:rPr>
              <w:rFonts w:eastAsia="Times New Roman"/>
            </w:rPr>
            <w:t xml:space="preserve">, A., </w:t>
          </w:r>
          <w:proofErr w:type="spellStart"/>
          <w:r>
            <w:rPr>
              <w:rFonts w:eastAsia="Times New Roman"/>
            </w:rPr>
            <w:t>Blein</w:t>
          </w:r>
          <w:proofErr w:type="spellEnd"/>
          <w:r>
            <w:rPr>
              <w:rFonts w:eastAsia="Times New Roman"/>
            </w:rPr>
            <w:t xml:space="preserve">-Nicolas, M., Monnet, V., </w:t>
          </w:r>
          <w:proofErr w:type="spellStart"/>
          <w:r>
            <w:rPr>
              <w:rFonts w:eastAsia="Times New Roman"/>
            </w:rPr>
            <w:t>Zivy</w:t>
          </w:r>
          <w:proofErr w:type="spellEnd"/>
          <w:r>
            <w:rPr>
              <w:rFonts w:eastAsia="Times New Roman"/>
            </w:rPr>
            <w:t xml:space="preserve">, M. &amp; Henry, C. Comparison of Different Label-Free Techniques for the Semi-Absolute Quantification of Protein Abundance. </w:t>
          </w:r>
          <w:r>
            <w:rPr>
              <w:rFonts w:eastAsia="Times New Roman"/>
              <w:i/>
              <w:iCs/>
            </w:rPr>
            <w:t>Proteomes</w:t>
          </w:r>
          <w:r>
            <w:rPr>
              <w:rFonts w:eastAsia="Times New Roman"/>
            </w:rPr>
            <w:t xml:space="preserve"> </w:t>
          </w:r>
          <w:r>
            <w:rPr>
              <w:rFonts w:eastAsia="Times New Roman"/>
              <w:b/>
              <w:bCs/>
            </w:rPr>
            <w:t>10</w:t>
          </w:r>
          <w:r>
            <w:rPr>
              <w:rFonts w:eastAsia="Times New Roman"/>
            </w:rPr>
            <w:t>, (2022).</w:t>
          </w:r>
        </w:p>
        <w:p w14:paraId="58B61F5A" w14:textId="77777777" w:rsidR="003204EA" w:rsidRDefault="003204EA">
          <w:pPr>
            <w:autoSpaceDE w:val="0"/>
            <w:autoSpaceDN w:val="0"/>
            <w:ind w:hanging="640"/>
            <w:divId w:val="1857766169"/>
            <w:rPr>
              <w:rFonts w:eastAsia="Times New Roman"/>
            </w:rPr>
          </w:pPr>
          <w:r>
            <w:rPr>
              <w:rFonts w:eastAsia="Times New Roman"/>
            </w:rPr>
            <w:t>107.</w:t>
          </w:r>
          <w:r>
            <w:rPr>
              <w:rFonts w:eastAsia="Times New Roman"/>
            </w:rPr>
            <w:tab/>
          </w:r>
          <w:proofErr w:type="spellStart"/>
          <w:r>
            <w:rPr>
              <w:rFonts w:eastAsia="Times New Roman"/>
            </w:rPr>
            <w:t>Blein</w:t>
          </w:r>
          <w:proofErr w:type="spellEnd"/>
          <w:r>
            <w:rPr>
              <w:rFonts w:eastAsia="Times New Roman"/>
            </w:rPr>
            <w:t xml:space="preserve">-Nicolas, M. &amp; </w:t>
          </w:r>
          <w:proofErr w:type="spellStart"/>
          <w:r>
            <w:rPr>
              <w:rFonts w:eastAsia="Times New Roman"/>
            </w:rPr>
            <w:t>Zivy</w:t>
          </w:r>
          <w:proofErr w:type="spellEnd"/>
          <w:r>
            <w:rPr>
              <w:rFonts w:eastAsia="Times New Roman"/>
            </w:rPr>
            <w:t xml:space="preserve">, M. Thousand and one ways to quantify and compare protein abundances in label-free bottom-up proteomics. </w:t>
          </w:r>
          <w:proofErr w:type="spellStart"/>
          <w:r>
            <w:rPr>
              <w:rFonts w:eastAsia="Times New Roman"/>
              <w:i/>
              <w:iCs/>
            </w:rPr>
            <w:t>Biochimica</w:t>
          </w:r>
          <w:proofErr w:type="spellEnd"/>
          <w:r>
            <w:rPr>
              <w:rFonts w:eastAsia="Times New Roman"/>
              <w:i/>
              <w:iCs/>
            </w:rPr>
            <w:t xml:space="preserve"> et </w:t>
          </w:r>
          <w:proofErr w:type="spellStart"/>
          <w:r>
            <w:rPr>
              <w:rFonts w:eastAsia="Times New Roman"/>
              <w:i/>
              <w:iCs/>
            </w:rPr>
            <w:t>Biophysica</w:t>
          </w:r>
          <w:proofErr w:type="spellEnd"/>
          <w:r>
            <w:rPr>
              <w:rFonts w:eastAsia="Times New Roman"/>
              <w:i/>
              <w:iCs/>
            </w:rPr>
            <w:t xml:space="preserve"> Acta - Proteins and Proteomics</w:t>
          </w:r>
          <w:r>
            <w:rPr>
              <w:rFonts w:eastAsia="Times New Roman"/>
            </w:rPr>
            <w:t xml:space="preserve"> </w:t>
          </w:r>
          <w:r>
            <w:rPr>
              <w:rFonts w:eastAsia="Times New Roman"/>
              <w:b/>
              <w:bCs/>
            </w:rPr>
            <w:t>1864</w:t>
          </w:r>
          <w:r>
            <w:rPr>
              <w:rFonts w:eastAsia="Times New Roman"/>
            </w:rPr>
            <w:t>, 883–895 (2016).</w:t>
          </w:r>
        </w:p>
        <w:p w14:paraId="5DDDA692" w14:textId="77777777" w:rsidR="003204EA" w:rsidRDefault="003204EA">
          <w:pPr>
            <w:autoSpaceDE w:val="0"/>
            <w:autoSpaceDN w:val="0"/>
            <w:ind w:hanging="640"/>
            <w:divId w:val="660546713"/>
            <w:rPr>
              <w:rFonts w:eastAsia="Times New Roman"/>
            </w:rPr>
          </w:pPr>
          <w:r>
            <w:rPr>
              <w:rFonts w:eastAsia="Times New Roman"/>
            </w:rPr>
            <w:t>108.</w:t>
          </w:r>
          <w:r>
            <w:rPr>
              <w:rFonts w:eastAsia="Times New Roman"/>
            </w:rPr>
            <w:tab/>
            <w:t xml:space="preserve">Branson, O. E. &amp; Freitas, M. A. A multi-model statistical approach for proteomic spectral count quantitation. </w:t>
          </w:r>
          <w:r>
            <w:rPr>
              <w:rFonts w:eastAsia="Times New Roman"/>
              <w:i/>
              <w:iCs/>
            </w:rPr>
            <w:t>Journal of Proteomics</w:t>
          </w:r>
          <w:r>
            <w:rPr>
              <w:rFonts w:eastAsia="Times New Roman"/>
            </w:rPr>
            <w:t xml:space="preserve"> </w:t>
          </w:r>
          <w:r>
            <w:rPr>
              <w:rFonts w:eastAsia="Times New Roman"/>
              <w:b/>
              <w:bCs/>
            </w:rPr>
            <w:t>144</w:t>
          </w:r>
          <w:r>
            <w:rPr>
              <w:rFonts w:eastAsia="Times New Roman"/>
            </w:rPr>
            <w:t>, 23–32 (2016).</w:t>
          </w:r>
        </w:p>
        <w:p w14:paraId="1B4C17F1" w14:textId="77777777" w:rsidR="003204EA" w:rsidRDefault="003204EA">
          <w:pPr>
            <w:autoSpaceDE w:val="0"/>
            <w:autoSpaceDN w:val="0"/>
            <w:ind w:hanging="640"/>
            <w:divId w:val="58139887"/>
            <w:rPr>
              <w:rFonts w:eastAsia="Times New Roman"/>
            </w:rPr>
          </w:pPr>
          <w:r>
            <w:rPr>
              <w:rFonts w:eastAsia="Times New Roman"/>
            </w:rPr>
            <w:t>109.</w:t>
          </w:r>
          <w:r>
            <w:rPr>
              <w:rFonts w:eastAsia="Times New Roman"/>
            </w:rPr>
            <w:tab/>
          </w:r>
          <w:proofErr w:type="spellStart"/>
          <w:r>
            <w:rPr>
              <w:rFonts w:eastAsia="Times New Roman"/>
            </w:rPr>
            <w:t>Välikangas</w:t>
          </w:r>
          <w:proofErr w:type="spellEnd"/>
          <w:r>
            <w:rPr>
              <w:rFonts w:eastAsia="Times New Roman"/>
            </w:rPr>
            <w:t xml:space="preserve">, T., Suomi, T. &amp; Elo, L. L. A systematic evaluation of normalization methods in quantitative label-free proteomics. </w:t>
          </w:r>
          <w:r>
            <w:rPr>
              <w:rFonts w:eastAsia="Times New Roman"/>
              <w:i/>
              <w:iCs/>
            </w:rPr>
            <w:t>Briefings in Bioinformatics</w:t>
          </w:r>
          <w:r>
            <w:rPr>
              <w:rFonts w:eastAsia="Times New Roman"/>
            </w:rPr>
            <w:t xml:space="preserve"> </w:t>
          </w:r>
          <w:r>
            <w:rPr>
              <w:rFonts w:eastAsia="Times New Roman"/>
              <w:b/>
              <w:bCs/>
            </w:rPr>
            <w:t>19</w:t>
          </w:r>
          <w:r>
            <w:rPr>
              <w:rFonts w:eastAsia="Times New Roman"/>
            </w:rPr>
            <w:t>, 1–11 (2018).</w:t>
          </w:r>
        </w:p>
        <w:p w14:paraId="513F376A" w14:textId="77777777" w:rsidR="003204EA" w:rsidRDefault="003204EA">
          <w:pPr>
            <w:autoSpaceDE w:val="0"/>
            <w:autoSpaceDN w:val="0"/>
            <w:ind w:hanging="640"/>
            <w:divId w:val="1898590572"/>
            <w:rPr>
              <w:rFonts w:eastAsia="Times New Roman"/>
            </w:rPr>
          </w:pPr>
          <w:r>
            <w:rPr>
              <w:rFonts w:eastAsia="Times New Roman"/>
            </w:rPr>
            <w:t>110.</w:t>
          </w:r>
          <w:r>
            <w:rPr>
              <w:rFonts w:eastAsia="Times New Roman"/>
            </w:rPr>
            <w:tab/>
            <w:t xml:space="preserve">Webb-Robertson, B. J. M. </w:t>
          </w:r>
          <w:r>
            <w:rPr>
              <w:rFonts w:eastAsia="Times New Roman"/>
              <w:i/>
              <w:iCs/>
            </w:rPr>
            <w:t>et al.</w:t>
          </w:r>
          <w:r>
            <w:rPr>
              <w:rFonts w:eastAsia="Times New Roman"/>
            </w:rPr>
            <w:t xml:space="preserve"> Review, evaluation, and discussion of the challenges of missing value imputation for mass spectrometry-based label-free global proteomics. </w:t>
          </w:r>
          <w:r>
            <w:rPr>
              <w:rFonts w:eastAsia="Times New Roman"/>
              <w:i/>
              <w:iCs/>
            </w:rPr>
            <w:t>Journal of Proteome Research</w:t>
          </w:r>
          <w:r>
            <w:rPr>
              <w:rFonts w:eastAsia="Times New Roman"/>
            </w:rPr>
            <w:t xml:space="preserve"> </w:t>
          </w:r>
          <w:r>
            <w:rPr>
              <w:rFonts w:eastAsia="Times New Roman"/>
              <w:b/>
              <w:bCs/>
            </w:rPr>
            <w:t>14</w:t>
          </w:r>
          <w:r>
            <w:rPr>
              <w:rFonts w:eastAsia="Times New Roman"/>
            </w:rPr>
            <w:t>, 1993–2001 (2015).</w:t>
          </w:r>
        </w:p>
        <w:p w14:paraId="013DC690" w14:textId="77777777" w:rsidR="003204EA" w:rsidRDefault="003204EA">
          <w:pPr>
            <w:autoSpaceDE w:val="0"/>
            <w:autoSpaceDN w:val="0"/>
            <w:ind w:hanging="640"/>
            <w:divId w:val="15278157"/>
            <w:rPr>
              <w:rFonts w:eastAsia="Times New Roman"/>
            </w:rPr>
          </w:pPr>
          <w:r>
            <w:rPr>
              <w:rFonts w:eastAsia="Times New Roman"/>
            </w:rPr>
            <w:t>111.</w:t>
          </w:r>
          <w:r>
            <w:rPr>
              <w:rFonts w:eastAsia="Times New Roman"/>
            </w:rPr>
            <w:tab/>
            <w:t>Huerta-</w:t>
          </w:r>
          <w:proofErr w:type="spellStart"/>
          <w:r>
            <w:rPr>
              <w:rFonts w:eastAsia="Times New Roman"/>
            </w:rPr>
            <w:t>cepas</w:t>
          </w:r>
          <w:proofErr w:type="spellEnd"/>
          <w:r>
            <w:rPr>
              <w:rFonts w:eastAsia="Times New Roman"/>
            </w:rPr>
            <w:t xml:space="preserve">, J. </w:t>
          </w:r>
          <w:r>
            <w:rPr>
              <w:rFonts w:eastAsia="Times New Roman"/>
              <w:i/>
              <w:iCs/>
            </w:rPr>
            <w:t>et al.</w:t>
          </w:r>
          <w:r>
            <w:rPr>
              <w:rFonts w:eastAsia="Times New Roman"/>
            </w:rPr>
            <w:t xml:space="preserve"> </w:t>
          </w:r>
          <w:proofErr w:type="spellStart"/>
          <w:r>
            <w:rPr>
              <w:rFonts w:eastAsia="Times New Roman"/>
            </w:rPr>
            <w:t>eggNOG</w:t>
          </w:r>
          <w:proofErr w:type="spellEnd"/>
          <w:r>
            <w:rPr>
              <w:rFonts w:eastAsia="Times New Roman"/>
            </w:rPr>
            <w:t xml:space="preserve"> 5 . 0 : a hierarchical , </w:t>
          </w:r>
          <w:proofErr w:type="gramStart"/>
          <w:r>
            <w:rPr>
              <w:rFonts w:eastAsia="Times New Roman"/>
            </w:rPr>
            <w:t>functionally</w:t>
          </w:r>
          <w:proofErr w:type="gramEnd"/>
          <w:r>
            <w:rPr>
              <w:rFonts w:eastAsia="Times New Roman"/>
            </w:rPr>
            <w:t xml:space="preserve"> and phylogenetically annotated orthology resource based on 5090 organisms and 2502 viruses. </w:t>
          </w:r>
          <w:r>
            <w:rPr>
              <w:rFonts w:eastAsia="Times New Roman"/>
              <w:b/>
              <w:bCs/>
            </w:rPr>
            <w:t>47</w:t>
          </w:r>
          <w:r>
            <w:rPr>
              <w:rFonts w:eastAsia="Times New Roman"/>
            </w:rPr>
            <w:t>, 309–314 (2019).</w:t>
          </w:r>
        </w:p>
        <w:p w14:paraId="39F728C0" w14:textId="77777777" w:rsidR="003204EA" w:rsidRDefault="003204EA">
          <w:pPr>
            <w:autoSpaceDE w:val="0"/>
            <w:autoSpaceDN w:val="0"/>
            <w:ind w:hanging="640"/>
            <w:divId w:val="1104611381"/>
            <w:rPr>
              <w:rFonts w:eastAsia="Times New Roman"/>
            </w:rPr>
          </w:pPr>
          <w:r>
            <w:rPr>
              <w:rFonts w:eastAsia="Times New Roman"/>
            </w:rPr>
            <w:t>112.</w:t>
          </w:r>
          <w:r>
            <w:rPr>
              <w:rFonts w:eastAsia="Times New Roman"/>
            </w:rPr>
            <w:tab/>
            <w:t xml:space="preserve">Krieger, C. J. </w:t>
          </w:r>
          <w:r>
            <w:rPr>
              <w:rFonts w:eastAsia="Times New Roman"/>
              <w:i/>
              <w:iCs/>
            </w:rPr>
            <w:t>et al.</w:t>
          </w:r>
          <w:r>
            <w:rPr>
              <w:rFonts w:eastAsia="Times New Roman"/>
            </w:rPr>
            <w:t xml:space="preserve"> </w:t>
          </w:r>
          <w:proofErr w:type="spellStart"/>
          <w:r>
            <w:rPr>
              <w:rFonts w:eastAsia="Times New Roman"/>
            </w:rPr>
            <w:t>MetaCyc</w:t>
          </w:r>
          <w:proofErr w:type="spellEnd"/>
          <w:r>
            <w:rPr>
              <w:rFonts w:eastAsia="Times New Roman"/>
            </w:rPr>
            <w:t xml:space="preserve">: A </w:t>
          </w:r>
          <w:proofErr w:type="spellStart"/>
          <w:r>
            <w:rPr>
              <w:rFonts w:eastAsia="Times New Roman"/>
            </w:rPr>
            <w:t>multiorganism</w:t>
          </w:r>
          <w:proofErr w:type="spellEnd"/>
          <w:r>
            <w:rPr>
              <w:rFonts w:eastAsia="Times New Roman"/>
            </w:rPr>
            <w:t xml:space="preserve"> database of metabolic pathways and enzymes. </w:t>
          </w:r>
          <w:r>
            <w:rPr>
              <w:rFonts w:eastAsia="Times New Roman"/>
              <w:i/>
              <w:iCs/>
            </w:rPr>
            <w:t>Nucleic Acids Research</w:t>
          </w:r>
          <w:r>
            <w:rPr>
              <w:rFonts w:eastAsia="Times New Roman"/>
            </w:rPr>
            <w:t xml:space="preserve"> </w:t>
          </w:r>
          <w:r>
            <w:rPr>
              <w:rFonts w:eastAsia="Times New Roman"/>
              <w:b/>
              <w:bCs/>
            </w:rPr>
            <w:t>32</w:t>
          </w:r>
          <w:r>
            <w:rPr>
              <w:rFonts w:eastAsia="Times New Roman"/>
            </w:rPr>
            <w:t>, 438–442 (2004).</w:t>
          </w:r>
        </w:p>
        <w:p w14:paraId="59E32E8F" w14:textId="77777777" w:rsidR="003204EA" w:rsidRDefault="003204EA">
          <w:pPr>
            <w:autoSpaceDE w:val="0"/>
            <w:autoSpaceDN w:val="0"/>
            <w:ind w:hanging="640"/>
            <w:divId w:val="1958872171"/>
            <w:rPr>
              <w:rFonts w:eastAsia="Times New Roman"/>
            </w:rPr>
          </w:pPr>
          <w:r>
            <w:rPr>
              <w:rFonts w:eastAsia="Times New Roman"/>
            </w:rPr>
            <w:t>113.</w:t>
          </w:r>
          <w:r>
            <w:rPr>
              <w:rFonts w:eastAsia="Times New Roman"/>
            </w:rPr>
            <w:tab/>
          </w:r>
          <w:proofErr w:type="spellStart"/>
          <w:r>
            <w:rPr>
              <w:rFonts w:eastAsia="Times New Roman"/>
            </w:rPr>
            <w:t>Keiblinger</w:t>
          </w:r>
          <w:proofErr w:type="spellEnd"/>
          <w:r>
            <w:rPr>
              <w:rFonts w:eastAsia="Times New Roman"/>
            </w:rPr>
            <w:t xml:space="preserve">, K. M. </w:t>
          </w:r>
          <w:r>
            <w:rPr>
              <w:rFonts w:eastAsia="Times New Roman"/>
              <w:i/>
              <w:iCs/>
            </w:rPr>
            <w:t>et al.</w:t>
          </w:r>
          <w:r>
            <w:rPr>
              <w:rFonts w:eastAsia="Times New Roman"/>
            </w:rPr>
            <w:t xml:space="preserve"> Soil metaproteomics - Comparative evaluation of protein extraction protocols. </w:t>
          </w:r>
          <w:r>
            <w:rPr>
              <w:rFonts w:eastAsia="Times New Roman"/>
              <w:i/>
              <w:iCs/>
            </w:rPr>
            <w:t>Soil Biology and Biochemistry</w:t>
          </w:r>
          <w:r>
            <w:rPr>
              <w:rFonts w:eastAsia="Times New Roman"/>
            </w:rPr>
            <w:t xml:space="preserve"> </w:t>
          </w:r>
          <w:r>
            <w:rPr>
              <w:rFonts w:eastAsia="Times New Roman"/>
              <w:b/>
              <w:bCs/>
            </w:rPr>
            <w:t>54</w:t>
          </w:r>
          <w:r>
            <w:rPr>
              <w:rFonts w:eastAsia="Times New Roman"/>
            </w:rPr>
            <w:t>, 14–24 (2012).</w:t>
          </w:r>
        </w:p>
        <w:p w14:paraId="7B7DFCF6" w14:textId="77777777" w:rsidR="003204EA" w:rsidRDefault="003204EA">
          <w:pPr>
            <w:autoSpaceDE w:val="0"/>
            <w:autoSpaceDN w:val="0"/>
            <w:ind w:hanging="640"/>
            <w:divId w:val="2055041567"/>
            <w:rPr>
              <w:rFonts w:eastAsia="Times New Roman"/>
            </w:rPr>
          </w:pPr>
          <w:r>
            <w:rPr>
              <w:rFonts w:eastAsia="Times New Roman"/>
            </w:rPr>
            <w:t>114.</w:t>
          </w:r>
          <w:r>
            <w:rPr>
              <w:rFonts w:eastAsia="Times New Roman"/>
            </w:rPr>
            <w:tab/>
            <w:t xml:space="preserve">Greenfield, L. M., Hill, P. W., Paterson, E., </w:t>
          </w:r>
          <w:proofErr w:type="spellStart"/>
          <w:r>
            <w:rPr>
              <w:rFonts w:eastAsia="Times New Roman"/>
            </w:rPr>
            <w:t>Baggs</w:t>
          </w:r>
          <w:proofErr w:type="spellEnd"/>
          <w:r>
            <w:rPr>
              <w:rFonts w:eastAsia="Times New Roman"/>
            </w:rPr>
            <w:t xml:space="preserve">, E. M. &amp; Jones, D. L. Methodological bias associated with soluble protein recovery from soil. </w:t>
          </w:r>
          <w:r>
            <w:rPr>
              <w:rFonts w:eastAsia="Times New Roman"/>
              <w:i/>
              <w:iCs/>
            </w:rPr>
            <w:t>Scientific Reports</w:t>
          </w:r>
          <w:r>
            <w:rPr>
              <w:rFonts w:eastAsia="Times New Roman"/>
            </w:rPr>
            <w:t xml:space="preserve"> </w:t>
          </w:r>
          <w:r>
            <w:rPr>
              <w:rFonts w:eastAsia="Times New Roman"/>
              <w:b/>
              <w:bCs/>
            </w:rPr>
            <w:t>8</w:t>
          </w:r>
          <w:r>
            <w:rPr>
              <w:rFonts w:eastAsia="Times New Roman"/>
            </w:rPr>
            <w:t>, 3–8 (2018).</w:t>
          </w:r>
        </w:p>
        <w:p w14:paraId="2B5E617B" w14:textId="77777777" w:rsidR="003204EA" w:rsidRDefault="003204EA">
          <w:pPr>
            <w:autoSpaceDE w:val="0"/>
            <w:autoSpaceDN w:val="0"/>
            <w:ind w:hanging="640"/>
            <w:divId w:val="982393156"/>
            <w:rPr>
              <w:rFonts w:eastAsia="Times New Roman"/>
            </w:rPr>
          </w:pPr>
          <w:r>
            <w:rPr>
              <w:rFonts w:eastAsia="Times New Roman"/>
            </w:rPr>
            <w:t>115.</w:t>
          </w:r>
          <w:r>
            <w:rPr>
              <w:rFonts w:eastAsia="Times New Roman"/>
            </w:rPr>
            <w:tab/>
          </w:r>
          <w:proofErr w:type="spellStart"/>
          <w:r>
            <w:rPr>
              <w:rFonts w:eastAsia="Times New Roman"/>
            </w:rPr>
            <w:t>Kulikova</w:t>
          </w:r>
          <w:proofErr w:type="spellEnd"/>
          <w:r>
            <w:rPr>
              <w:rFonts w:eastAsia="Times New Roman"/>
            </w:rPr>
            <w:t xml:space="preserve">, N. A. Interactions between Humic Substances and Microorganisms and. </w:t>
          </w:r>
          <w:r>
            <w:rPr>
              <w:rFonts w:eastAsia="Times New Roman"/>
              <w:i/>
              <w:iCs/>
            </w:rPr>
            <w:t>Molecules</w:t>
          </w:r>
          <w:r>
            <w:rPr>
              <w:rFonts w:eastAsia="Times New Roman"/>
            </w:rPr>
            <w:t xml:space="preserve"> </w:t>
          </w:r>
          <w:r>
            <w:rPr>
              <w:rFonts w:eastAsia="Times New Roman"/>
              <w:b/>
              <w:bCs/>
            </w:rPr>
            <w:t>26</w:t>
          </w:r>
          <w:r>
            <w:rPr>
              <w:rFonts w:eastAsia="Times New Roman"/>
            </w:rPr>
            <w:t>, 1–32 (2021).</w:t>
          </w:r>
        </w:p>
        <w:p w14:paraId="5ECE65C0" w14:textId="77777777" w:rsidR="003204EA" w:rsidRDefault="003204EA">
          <w:pPr>
            <w:autoSpaceDE w:val="0"/>
            <w:autoSpaceDN w:val="0"/>
            <w:ind w:hanging="640"/>
            <w:divId w:val="845248861"/>
            <w:rPr>
              <w:rFonts w:eastAsia="Times New Roman"/>
            </w:rPr>
          </w:pPr>
          <w:r>
            <w:rPr>
              <w:rFonts w:eastAsia="Times New Roman"/>
            </w:rPr>
            <w:t>116.</w:t>
          </w:r>
          <w:r>
            <w:rPr>
              <w:rFonts w:eastAsia="Times New Roman"/>
            </w:rPr>
            <w:tab/>
            <w:t xml:space="preserve">Zang, X., van </w:t>
          </w:r>
          <w:proofErr w:type="spellStart"/>
          <w:r>
            <w:rPr>
              <w:rFonts w:eastAsia="Times New Roman"/>
            </w:rPr>
            <w:t>Heemst</w:t>
          </w:r>
          <w:proofErr w:type="spellEnd"/>
          <w:r>
            <w:rPr>
              <w:rFonts w:eastAsia="Times New Roman"/>
            </w:rPr>
            <w:t xml:space="preserve">, J. D. H., </w:t>
          </w:r>
          <w:proofErr w:type="spellStart"/>
          <w:r>
            <w:rPr>
              <w:rFonts w:eastAsia="Times New Roman"/>
            </w:rPr>
            <w:t>Dria</w:t>
          </w:r>
          <w:proofErr w:type="spellEnd"/>
          <w:r>
            <w:rPr>
              <w:rFonts w:eastAsia="Times New Roman"/>
            </w:rPr>
            <w:t xml:space="preserve">, K. J. &amp; Hatcher, P. G. Encapsulation of protein in humic acid from a histosol as an explanation for the occurrence of organic nitrogen in soil and sediment. </w:t>
          </w:r>
          <w:r>
            <w:rPr>
              <w:rFonts w:eastAsia="Times New Roman"/>
              <w:i/>
              <w:iCs/>
            </w:rPr>
            <w:t>Organic Geochemistry</w:t>
          </w:r>
          <w:r>
            <w:rPr>
              <w:rFonts w:eastAsia="Times New Roman"/>
            </w:rPr>
            <w:t xml:space="preserve"> </w:t>
          </w:r>
          <w:r>
            <w:rPr>
              <w:rFonts w:eastAsia="Times New Roman"/>
              <w:b/>
              <w:bCs/>
            </w:rPr>
            <w:t>31</w:t>
          </w:r>
          <w:r>
            <w:rPr>
              <w:rFonts w:eastAsia="Times New Roman"/>
            </w:rPr>
            <w:t>, 679–695 (2000).</w:t>
          </w:r>
        </w:p>
        <w:p w14:paraId="2F226E30" w14:textId="77777777" w:rsidR="003204EA" w:rsidRDefault="003204EA">
          <w:pPr>
            <w:autoSpaceDE w:val="0"/>
            <w:autoSpaceDN w:val="0"/>
            <w:ind w:hanging="640"/>
            <w:divId w:val="512763357"/>
            <w:rPr>
              <w:rFonts w:eastAsia="Times New Roman"/>
            </w:rPr>
          </w:pPr>
          <w:r>
            <w:rPr>
              <w:rFonts w:eastAsia="Times New Roman"/>
            </w:rPr>
            <w:t>117.</w:t>
          </w:r>
          <w:r>
            <w:rPr>
              <w:rFonts w:eastAsia="Times New Roman"/>
            </w:rPr>
            <w:tab/>
          </w:r>
          <w:proofErr w:type="spellStart"/>
          <w:r>
            <w:rPr>
              <w:rFonts w:eastAsia="Times New Roman"/>
            </w:rPr>
            <w:t>Benndorf</w:t>
          </w:r>
          <w:proofErr w:type="spellEnd"/>
          <w:r>
            <w:rPr>
              <w:rFonts w:eastAsia="Times New Roman"/>
            </w:rPr>
            <w:t xml:space="preserve">, D., </w:t>
          </w:r>
          <w:proofErr w:type="spellStart"/>
          <w:r>
            <w:rPr>
              <w:rFonts w:eastAsia="Times New Roman"/>
            </w:rPr>
            <w:t>Balcke</w:t>
          </w:r>
          <w:proofErr w:type="spellEnd"/>
          <w:r>
            <w:rPr>
              <w:rFonts w:eastAsia="Times New Roman"/>
            </w:rPr>
            <w:t xml:space="preserve">, G. U., Harms, H. &amp; von Bergen, M. Functional metaproteome analysis of protein extracts from contaminated soil and groundwater. </w:t>
          </w:r>
          <w:r>
            <w:rPr>
              <w:rFonts w:eastAsia="Times New Roman"/>
              <w:i/>
              <w:iCs/>
            </w:rPr>
            <w:t>ISME Journal</w:t>
          </w:r>
          <w:r>
            <w:rPr>
              <w:rFonts w:eastAsia="Times New Roman"/>
            </w:rPr>
            <w:t xml:space="preserve"> </w:t>
          </w:r>
          <w:r>
            <w:rPr>
              <w:rFonts w:eastAsia="Times New Roman"/>
              <w:b/>
              <w:bCs/>
            </w:rPr>
            <w:t>1</w:t>
          </w:r>
          <w:r>
            <w:rPr>
              <w:rFonts w:eastAsia="Times New Roman"/>
            </w:rPr>
            <w:t>, 224–234 (2007).</w:t>
          </w:r>
        </w:p>
        <w:p w14:paraId="56E9EF71" w14:textId="77777777" w:rsidR="003204EA" w:rsidRDefault="003204EA">
          <w:pPr>
            <w:autoSpaceDE w:val="0"/>
            <w:autoSpaceDN w:val="0"/>
            <w:ind w:hanging="640"/>
            <w:divId w:val="431240013"/>
            <w:rPr>
              <w:rFonts w:eastAsia="Times New Roman"/>
            </w:rPr>
          </w:pPr>
          <w:r>
            <w:rPr>
              <w:rFonts w:eastAsia="Times New Roman"/>
            </w:rPr>
            <w:t>118.</w:t>
          </w:r>
          <w:r>
            <w:rPr>
              <w:rFonts w:eastAsia="Times New Roman"/>
            </w:rPr>
            <w:tab/>
            <w:t xml:space="preserve">Deschamps, C. </w:t>
          </w:r>
          <w:r>
            <w:rPr>
              <w:rFonts w:eastAsia="Times New Roman"/>
              <w:i/>
              <w:iCs/>
            </w:rPr>
            <w:t>et al.</w:t>
          </w:r>
          <w:r>
            <w:rPr>
              <w:rFonts w:eastAsia="Times New Roman"/>
            </w:rPr>
            <w:t xml:space="preserve"> Comparative methods for fecal sample storage to preserve gut microbial structure and function in an in vitro model of the human colon. </w:t>
          </w:r>
          <w:r>
            <w:rPr>
              <w:rFonts w:eastAsia="Times New Roman"/>
              <w:i/>
              <w:iCs/>
            </w:rPr>
            <w:t>Applied Microbiology and Biotechnology</w:t>
          </w:r>
          <w:r>
            <w:rPr>
              <w:rFonts w:eastAsia="Times New Roman"/>
            </w:rPr>
            <w:t xml:space="preserve"> </w:t>
          </w:r>
          <w:r>
            <w:rPr>
              <w:rFonts w:eastAsia="Times New Roman"/>
              <w:b/>
              <w:bCs/>
            </w:rPr>
            <w:t>104</w:t>
          </w:r>
          <w:r>
            <w:rPr>
              <w:rFonts w:eastAsia="Times New Roman"/>
            </w:rPr>
            <w:t>, 10233–10247 (2020).</w:t>
          </w:r>
        </w:p>
        <w:p w14:paraId="6793B13E" w14:textId="77777777" w:rsidR="003204EA" w:rsidRDefault="003204EA">
          <w:pPr>
            <w:autoSpaceDE w:val="0"/>
            <w:autoSpaceDN w:val="0"/>
            <w:ind w:hanging="640"/>
            <w:divId w:val="469791741"/>
            <w:rPr>
              <w:rFonts w:eastAsia="Times New Roman"/>
            </w:rPr>
          </w:pPr>
          <w:r>
            <w:rPr>
              <w:rFonts w:eastAsia="Times New Roman"/>
            </w:rPr>
            <w:t>119.</w:t>
          </w:r>
          <w:r>
            <w:rPr>
              <w:rFonts w:eastAsia="Times New Roman"/>
            </w:rPr>
            <w:tab/>
            <w:t xml:space="preserve">Kasper, J. C. &amp; </w:t>
          </w:r>
          <w:proofErr w:type="spellStart"/>
          <w:r>
            <w:rPr>
              <w:rFonts w:eastAsia="Times New Roman"/>
            </w:rPr>
            <w:t>Friess</w:t>
          </w:r>
          <w:proofErr w:type="spellEnd"/>
          <w:r>
            <w:rPr>
              <w:rFonts w:eastAsia="Times New Roman"/>
            </w:rPr>
            <w:t xml:space="preserve">, W. The freezing step in lyophilization: </w:t>
          </w:r>
          <w:proofErr w:type="spellStart"/>
          <w:r>
            <w:rPr>
              <w:rFonts w:eastAsia="Times New Roman"/>
            </w:rPr>
            <w:t>Physico</w:t>
          </w:r>
          <w:proofErr w:type="spellEnd"/>
          <w:r>
            <w:rPr>
              <w:rFonts w:eastAsia="Times New Roman"/>
            </w:rPr>
            <w:t xml:space="preserve">-chemical fundamentals, freezing methods and consequences on process performance and quality attributes of biopharmaceuticals. </w:t>
          </w:r>
          <w:r>
            <w:rPr>
              <w:rFonts w:eastAsia="Times New Roman"/>
              <w:i/>
              <w:iCs/>
            </w:rPr>
            <w:t>European Journal of Pharmaceutics and Biopharmaceutics</w:t>
          </w:r>
          <w:r>
            <w:rPr>
              <w:rFonts w:eastAsia="Times New Roman"/>
            </w:rPr>
            <w:t xml:space="preserve"> </w:t>
          </w:r>
          <w:r>
            <w:rPr>
              <w:rFonts w:eastAsia="Times New Roman"/>
              <w:b/>
              <w:bCs/>
            </w:rPr>
            <w:t>78</w:t>
          </w:r>
          <w:r>
            <w:rPr>
              <w:rFonts w:eastAsia="Times New Roman"/>
            </w:rPr>
            <w:t>, 248–263 (2011).</w:t>
          </w:r>
        </w:p>
        <w:p w14:paraId="280386A5" w14:textId="77777777" w:rsidR="003204EA" w:rsidRDefault="003204EA">
          <w:pPr>
            <w:autoSpaceDE w:val="0"/>
            <w:autoSpaceDN w:val="0"/>
            <w:ind w:hanging="640"/>
            <w:divId w:val="1595431262"/>
            <w:rPr>
              <w:rFonts w:eastAsia="Times New Roman"/>
            </w:rPr>
          </w:pPr>
          <w:r>
            <w:rPr>
              <w:rFonts w:eastAsia="Times New Roman"/>
            </w:rPr>
            <w:t>120.</w:t>
          </w:r>
          <w:r>
            <w:rPr>
              <w:rFonts w:eastAsia="Times New Roman"/>
            </w:rPr>
            <w:tab/>
          </w:r>
          <w:proofErr w:type="spellStart"/>
          <w:r>
            <w:rPr>
              <w:rFonts w:eastAsia="Times New Roman"/>
            </w:rPr>
            <w:t>Masciandaro</w:t>
          </w:r>
          <w:proofErr w:type="spellEnd"/>
          <w:r>
            <w:rPr>
              <w:rFonts w:eastAsia="Times New Roman"/>
            </w:rPr>
            <w:t xml:space="preserve">, G. </w:t>
          </w:r>
          <w:r>
            <w:rPr>
              <w:rFonts w:eastAsia="Times New Roman"/>
              <w:i/>
              <w:iCs/>
            </w:rPr>
            <w:t>et al.</w:t>
          </w:r>
          <w:r>
            <w:rPr>
              <w:rFonts w:eastAsia="Times New Roman"/>
            </w:rPr>
            <w:t xml:space="preserve"> Comparison of extraction methods for recovery of extracellular β-glucosidase in two different forest soils. </w:t>
          </w:r>
          <w:r>
            <w:rPr>
              <w:rFonts w:eastAsia="Times New Roman"/>
              <w:i/>
              <w:iCs/>
            </w:rPr>
            <w:t>Soil Biology and Biochemistry</w:t>
          </w:r>
          <w:r>
            <w:rPr>
              <w:rFonts w:eastAsia="Times New Roman"/>
            </w:rPr>
            <w:t xml:space="preserve"> </w:t>
          </w:r>
          <w:r>
            <w:rPr>
              <w:rFonts w:eastAsia="Times New Roman"/>
              <w:b/>
              <w:bCs/>
            </w:rPr>
            <w:t>40</w:t>
          </w:r>
          <w:r>
            <w:rPr>
              <w:rFonts w:eastAsia="Times New Roman"/>
            </w:rPr>
            <w:t>, 2156–2161 (2008).</w:t>
          </w:r>
        </w:p>
        <w:p w14:paraId="2A5129BB" w14:textId="77777777" w:rsidR="003204EA" w:rsidRDefault="003204EA">
          <w:pPr>
            <w:autoSpaceDE w:val="0"/>
            <w:autoSpaceDN w:val="0"/>
            <w:ind w:hanging="640"/>
            <w:divId w:val="2094932250"/>
            <w:rPr>
              <w:rFonts w:eastAsia="Times New Roman"/>
            </w:rPr>
          </w:pPr>
          <w:r>
            <w:rPr>
              <w:rFonts w:eastAsia="Times New Roman"/>
            </w:rPr>
            <w:t>121.</w:t>
          </w:r>
          <w:r>
            <w:rPr>
              <w:rFonts w:eastAsia="Times New Roman"/>
            </w:rPr>
            <w:tab/>
            <w:t xml:space="preserve">Taylor, E. B. &amp; Williams, M. A. Microbial protein in soil: Influence of extraction method and C amendment on extraction and recovery. </w:t>
          </w:r>
          <w:r>
            <w:rPr>
              <w:rFonts w:eastAsia="Times New Roman"/>
              <w:i/>
              <w:iCs/>
            </w:rPr>
            <w:t>Microbial Ecology</w:t>
          </w:r>
          <w:r>
            <w:rPr>
              <w:rFonts w:eastAsia="Times New Roman"/>
            </w:rPr>
            <w:t xml:space="preserve"> </w:t>
          </w:r>
          <w:r>
            <w:rPr>
              <w:rFonts w:eastAsia="Times New Roman"/>
              <w:b/>
              <w:bCs/>
            </w:rPr>
            <w:t>59</w:t>
          </w:r>
          <w:r>
            <w:rPr>
              <w:rFonts w:eastAsia="Times New Roman"/>
            </w:rPr>
            <w:t>, 390–399 (2010).</w:t>
          </w:r>
        </w:p>
        <w:p w14:paraId="06BAB0D8" w14:textId="77777777" w:rsidR="003204EA" w:rsidRDefault="003204EA">
          <w:pPr>
            <w:autoSpaceDE w:val="0"/>
            <w:autoSpaceDN w:val="0"/>
            <w:ind w:hanging="640"/>
            <w:divId w:val="1936860870"/>
            <w:rPr>
              <w:rFonts w:eastAsia="Times New Roman"/>
            </w:rPr>
          </w:pPr>
          <w:r>
            <w:rPr>
              <w:rFonts w:eastAsia="Times New Roman"/>
            </w:rPr>
            <w:t>122.</w:t>
          </w:r>
          <w:r>
            <w:rPr>
              <w:rFonts w:eastAsia="Times New Roman"/>
            </w:rPr>
            <w:tab/>
            <w:t xml:space="preserve">Armenta, S., de La Guardia, M. &amp; </w:t>
          </w:r>
          <w:proofErr w:type="spellStart"/>
          <w:r>
            <w:rPr>
              <w:rFonts w:eastAsia="Times New Roman"/>
            </w:rPr>
            <w:t>Esteve-Turrillas</w:t>
          </w:r>
          <w:proofErr w:type="spellEnd"/>
          <w:r>
            <w:rPr>
              <w:rFonts w:eastAsia="Times New Roman"/>
            </w:rPr>
            <w:t xml:space="preserve">, F. A. Hard Cap Espresso Machines in Analytical Chemistry: What Else? </w:t>
          </w:r>
          <w:r>
            <w:rPr>
              <w:rFonts w:eastAsia="Times New Roman"/>
              <w:i/>
              <w:iCs/>
            </w:rPr>
            <w:t>Analytical Chemistry</w:t>
          </w:r>
          <w:r>
            <w:rPr>
              <w:rFonts w:eastAsia="Times New Roman"/>
            </w:rPr>
            <w:t xml:space="preserve"> </w:t>
          </w:r>
          <w:r>
            <w:rPr>
              <w:rFonts w:eastAsia="Times New Roman"/>
              <w:b/>
              <w:bCs/>
            </w:rPr>
            <w:t>88</w:t>
          </w:r>
          <w:r>
            <w:rPr>
              <w:rFonts w:eastAsia="Times New Roman"/>
            </w:rPr>
            <w:t>, 6570–6576 (2016).</w:t>
          </w:r>
        </w:p>
        <w:p w14:paraId="431F1401" w14:textId="77777777" w:rsidR="003204EA" w:rsidRDefault="003204EA">
          <w:pPr>
            <w:autoSpaceDE w:val="0"/>
            <w:autoSpaceDN w:val="0"/>
            <w:ind w:hanging="640"/>
            <w:divId w:val="493767009"/>
            <w:rPr>
              <w:rFonts w:eastAsia="Times New Roman"/>
            </w:rPr>
          </w:pPr>
          <w:r>
            <w:rPr>
              <w:rFonts w:eastAsia="Times New Roman"/>
            </w:rPr>
            <w:t>123.</w:t>
          </w:r>
          <w:r>
            <w:rPr>
              <w:rFonts w:eastAsia="Times New Roman"/>
            </w:rPr>
            <w:tab/>
            <w:t xml:space="preserve">Tabb, D. L. </w:t>
          </w:r>
          <w:r>
            <w:rPr>
              <w:rFonts w:eastAsia="Times New Roman"/>
              <w:i/>
              <w:iCs/>
            </w:rPr>
            <w:t>et al.</w:t>
          </w:r>
          <w:r>
            <w:rPr>
              <w:rFonts w:eastAsia="Times New Roman"/>
            </w:rPr>
            <w:t xml:space="preserve"> Determination of Peptide and Protein Ion Charge States by Fourier Transformation of Isotope-Resolved Mass Spectra. </w:t>
          </w:r>
          <w:r>
            <w:rPr>
              <w:rFonts w:eastAsia="Times New Roman"/>
              <w:i/>
              <w:iCs/>
            </w:rPr>
            <w:t xml:space="preserve">J Am Soc Mass </w:t>
          </w:r>
          <w:proofErr w:type="spellStart"/>
          <w:r>
            <w:rPr>
              <w:rFonts w:eastAsia="Times New Roman"/>
              <w:i/>
              <w:iCs/>
            </w:rPr>
            <w:t>Spectrom</w:t>
          </w:r>
          <w:proofErr w:type="spellEnd"/>
          <w:r>
            <w:rPr>
              <w:rFonts w:eastAsia="Times New Roman"/>
            </w:rPr>
            <w:t xml:space="preserve"> </w:t>
          </w:r>
          <w:r>
            <w:rPr>
              <w:rFonts w:eastAsia="Times New Roman"/>
              <w:b/>
              <w:bCs/>
            </w:rPr>
            <w:t>17</w:t>
          </w:r>
          <w:r>
            <w:rPr>
              <w:rFonts w:eastAsia="Times New Roman"/>
            </w:rPr>
            <w:t>, 903–915 (2006).</w:t>
          </w:r>
        </w:p>
        <w:p w14:paraId="1A4F336C" w14:textId="77777777" w:rsidR="003204EA" w:rsidRDefault="003204EA">
          <w:pPr>
            <w:autoSpaceDE w:val="0"/>
            <w:autoSpaceDN w:val="0"/>
            <w:ind w:hanging="640"/>
            <w:divId w:val="643700072"/>
            <w:rPr>
              <w:rFonts w:eastAsia="Times New Roman"/>
            </w:rPr>
          </w:pPr>
          <w:r>
            <w:rPr>
              <w:rFonts w:eastAsia="Times New Roman"/>
            </w:rPr>
            <w:t>124.</w:t>
          </w:r>
          <w:r>
            <w:rPr>
              <w:rFonts w:eastAsia="Times New Roman"/>
            </w:rPr>
            <w:tab/>
          </w:r>
          <w:proofErr w:type="spellStart"/>
          <w:r>
            <w:rPr>
              <w:rFonts w:eastAsia="Times New Roman"/>
            </w:rPr>
            <w:t>Usenko</w:t>
          </w:r>
          <w:proofErr w:type="spellEnd"/>
          <w:r>
            <w:rPr>
              <w:rFonts w:eastAsia="Times New Roman"/>
            </w:rPr>
            <w:t xml:space="preserve">, S., </w:t>
          </w:r>
          <w:proofErr w:type="spellStart"/>
          <w:r>
            <w:rPr>
              <w:rFonts w:eastAsia="Times New Roman"/>
            </w:rPr>
            <w:t>Subedi</w:t>
          </w:r>
          <w:proofErr w:type="spellEnd"/>
          <w:r>
            <w:rPr>
              <w:rFonts w:eastAsia="Times New Roman"/>
            </w:rPr>
            <w:t xml:space="preserve">, B., Aguilar, L. &amp; Robinson, E. </w:t>
          </w:r>
          <w:r>
            <w:rPr>
              <w:rFonts w:eastAsia="Times New Roman"/>
              <w:i/>
              <w:iCs/>
            </w:rPr>
            <w:t>High-throughput analysis of PPCPs, PCDD/Fs, and PCBs in biological matrices using GC-MS/MS</w:t>
          </w:r>
          <w:r>
            <w:rPr>
              <w:rFonts w:eastAsia="Times New Roman"/>
            </w:rPr>
            <w:t xml:space="preserve">. </w:t>
          </w:r>
          <w:r>
            <w:rPr>
              <w:rFonts w:eastAsia="Times New Roman"/>
              <w:i/>
              <w:iCs/>
            </w:rPr>
            <w:t>Comprehensive Analytical Chemistry</w:t>
          </w:r>
          <w:r>
            <w:rPr>
              <w:rFonts w:eastAsia="Times New Roman"/>
            </w:rPr>
            <w:t xml:space="preserve"> vol. 61 (Elsevier B.V., 2013).</w:t>
          </w:r>
        </w:p>
        <w:p w14:paraId="6B746D87" w14:textId="77777777" w:rsidR="003204EA" w:rsidRDefault="003204EA">
          <w:pPr>
            <w:autoSpaceDE w:val="0"/>
            <w:autoSpaceDN w:val="0"/>
            <w:ind w:hanging="640"/>
            <w:divId w:val="1313831944"/>
            <w:rPr>
              <w:rFonts w:eastAsia="Times New Roman"/>
            </w:rPr>
          </w:pPr>
          <w:r>
            <w:rPr>
              <w:rFonts w:eastAsia="Times New Roman"/>
            </w:rPr>
            <w:t>125.</w:t>
          </w:r>
          <w:r>
            <w:rPr>
              <w:rFonts w:eastAsia="Times New Roman"/>
            </w:rPr>
            <w:tab/>
          </w:r>
          <w:proofErr w:type="spellStart"/>
          <w:r>
            <w:rPr>
              <w:rFonts w:eastAsia="Times New Roman"/>
            </w:rPr>
            <w:t>Ottenhall</w:t>
          </w:r>
          <w:proofErr w:type="spellEnd"/>
          <w:r>
            <w:rPr>
              <w:rFonts w:eastAsia="Times New Roman"/>
            </w:rPr>
            <w:t xml:space="preserve">, A., </w:t>
          </w:r>
          <w:proofErr w:type="spellStart"/>
          <w:r>
            <w:rPr>
              <w:rFonts w:eastAsia="Times New Roman"/>
            </w:rPr>
            <w:t>Henschen</w:t>
          </w:r>
          <w:proofErr w:type="spellEnd"/>
          <w:r>
            <w:rPr>
              <w:rFonts w:eastAsia="Times New Roman"/>
            </w:rPr>
            <w:t xml:space="preserve">, J., </w:t>
          </w:r>
          <w:proofErr w:type="spellStart"/>
          <w:r>
            <w:rPr>
              <w:rFonts w:eastAsia="Times New Roman"/>
            </w:rPr>
            <w:t>Illergård</w:t>
          </w:r>
          <w:proofErr w:type="spellEnd"/>
          <w:r>
            <w:rPr>
              <w:rFonts w:eastAsia="Times New Roman"/>
            </w:rPr>
            <w:t xml:space="preserve">, J. &amp; Ek, M. Cellulose-based water purification using paper filters modified with polyelectrolyte multilayers to remove bacteria from water through electrostatic interactions. </w:t>
          </w:r>
          <w:r>
            <w:rPr>
              <w:rFonts w:eastAsia="Times New Roman"/>
              <w:i/>
              <w:iCs/>
            </w:rPr>
            <w:t>Environmental Science: Water Research and Technology</w:t>
          </w:r>
          <w:r>
            <w:rPr>
              <w:rFonts w:eastAsia="Times New Roman"/>
            </w:rPr>
            <w:t xml:space="preserve"> </w:t>
          </w:r>
          <w:r>
            <w:rPr>
              <w:rFonts w:eastAsia="Times New Roman"/>
              <w:b/>
              <w:bCs/>
            </w:rPr>
            <w:t>4</w:t>
          </w:r>
          <w:r>
            <w:rPr>
              <w:rFonts w:eastAsia="Times New Roman"/>
            </w:rPr>
            <w:t>, 2070–2079 (2018).</w:t>
          </w:r>
        </w:p>
        <w:p w14:paraId="6C9AD631" w14:textId="77777777" w:rsidR="003204EA" w:rsidRDefault="003204EA">
          <w:pPr>
            <w:autoSpaceDE w:val="0"/>
            <w:autoSpaceDN w:val="0"/>
            <w:ind w:hanging="640"/>
            <w:divId w:val="1578978454"/>
            <w:rPr>
              <w:rFonts w:eastAsia="Times New Roman"/>
            </w:rPr>
          </w:pPr>
          <w:r>
            <w:rPr>
              <w:rFonts w:eastAsia="Times New Roman"/>
            </w:rPr>
            <w:t>126.</w:t>
          </w:r>
          <w:r>
            <w:rPr>
              <w:rFonts w:eastAsia="Times New Roman"/>
            </w:rPr>
            <w:tab/>
            <w:t xml:space="preserve">Tan, X. </w:t>
          </w:r>
          <w:r>
            <w:rPr>
              <w:rFonts w:eastAsia="Times New Roman"/>
              <w:i/>
              <w:iCs/>
            </w:rPr>
            <w:t>et al.</w:t>
          </w:r>
          <w:r>
            <w:rPr>
              <w:rFonts w:eastAsia="Times New Roman"/>
            </w:rPr>
            <w:t xml:space="preserve"> Evaluation of the particle sizes of four clay minerals. </w:t>
          </w:r>
          <w:r>
            <w:rPr>
              <w:rFonts w:eastAsia="Times New Roman"/>
              <w:i/>
              <w:iCs/>
            </w:rPr>
            <w:t>Applied Clay Science</w:t>
          </w:r>
          <w:r>
            <w:rPr>
              <w:rFonts w:eastAsia="Times New Roman"/>
            </w:rPr>
            <w:t xml:space="preserve"> </w:t>
          </w:r>
          <w:r>
            <w:rPr>
              <w:rFonts w:eastAsia="Times New Roman"/>
              <w:b/>
              <w:bCs/>
            </w:rPr>
            <w:t>135</w:t>
          </w:r>
          <w:r>
            <w:rPr>
              <w:rFonts w:eastAsia="Times New Roman"/>
            </w:rPr>
            <w:t>, 313–324 (2017).</w:t>
          </w:r>
        </w:p>
        <w:p w14:paraId="0B180346" w14:textId="77777777" w:rsidR="003204EA" w:rsidRDefault="003204EA">
          <w:pPr>
            <w:autoSpaceDE w:val="0"/>
            <w:autoSpaceDN w:val="0"/>
            <w:ind w:hanging="640"/>
            <w:divId w:val="579949530"/>
            <w:rPr>
              <w:rFonts w:eastAsia="Times New Roman"/>
            </w:rPr>
          </w:pPr>
          <w:r>
            <w:rPr>
              <w:rFonts w:eastAsia="Times New Roman"/>
            </w:rPr>
            <w:t>127.</w:t>
          </w:r>
          <w:r>
            <w:rPr>
              <w:rFonts w:eastAsia="Times New Roman"/>
            </w:rPr>
            <w:tab/>
            <w:t xml:space="preserve">Shams, K. A. </w:t>
          </w:r>
          <w:r>
            <w:rPr>
              <w:rFonts w:eastAsia="Times New Roman"/>
              <w:i/>
              <w:iCs/>
            </w:rPr>
            <w:t>et al.</w:t>
          </w:r>
          <w:r>
            <w:rPr>
              <w:rFonts w:eastAsia="Times New Roman"/>
            </w:rPr>
            <w:t xml:space="preserve"> Review Article Green technology : Economically and environmentally innovative methods for extraction of medicinal &amp; aromatic plants ( MAP ) in Egypt. </w:t>
          </w:r>
          <w:r>
            <w:rPr>
              <w:rFonts w:eastAsia="Times New Roman"/>
              <w:b/>
              <w:bCs/>
            </w:rPr>
            <w:t>7</w:t>
          </w:r>
          <w:r>
            <w:rPr>
              <w:rFonts w:eastAsia="Times New Roman"/>
            </w:rPr>
            <w:t>, 1050–1074 (2015).</w:t>
          </w:r>
        </w:p>
        <w:p w14:paraId="33425671" w14:textId="77777777" w:rsidR="003204EA" w:rsidRDefault="003204EA">
          <w:pPr>
            <w:autoSpaceDE w:val="0"/>
            <w:autoSpaceDN w:val="0"/>
            <w:ind w:hanging="640"/>
            <w:divId w:val="2044280018"/>
            <w:rPr>
              <w:rFonts w:eastAsia="Times New Roman"/>
            </w:rPr>
          </w:pPr>
          <w:r>
            <w:rPr>
              <w:rFonts w:eastAsia="Times New Roman"/>
            </w:rPr>
            <w:t>128.</w:t>
          </w:r>
          <w:r>
            <w:rPr>
              <w:rFonts w:eastAsia="Times New Roman"/>
            </w:rPr>
            <w:tab/>
            <w:t xml:space="preserve">Zhang, K. &amp; Wong, J. W. </w:t>
          </w:r>
          <w:r>
            <w:rPr>
              <w:rFonts w:eastAsia="Times New Roman"/>
              <w:i/>
              <w:iCs/>
            </w:rPr>
            <w:t>Solvent-based extraction techniques for the determination of pesticides in food</w:t>
          </w:r>
          <w:r>
            <w:rPr>
              <w:rFonts w:eastAsia="Times New Roman"/>
            </w:rPr>
            <w:t xml:space="preserve">. </w:t>
          </w:r>
          <w:r>
            <w:rPr>
              <w:rFonts w:eastAsia="Times New Roman"/>
              <w:i/>
              <w:iCs/>
            </w:rPr>
            <w:t>Comprehensive Sampling and Sample Preparation</w:t>
          </w:r>
          <w:r>
            <w:rPr>
              <w:rFonts w:eastAsia="Times New Roman"/>
            </w:rPr>
            <w:t xml:space="preserve"> vol. 4 (Elsevier, 2011).</w:t>
          </w:r>
        </w:p>
        <w:p w14:paraId="12FB07DE" w14:textId="77777777" w:rsidR="003204EA" w:rsidRDefault="003204EA">
          <w:pPr>
            <w:autoSpaceDE w:val="0"/>
            <w:autoSpaceDN w:val="0"/>
            <w:ind w:hanging="640"/>
            <w:divId w:val="1844123344"/>
            <w:rPr>
              <w:rFonts w:eastAsia="Times New Roman"/>
            </w:rPr>
          </w:pPr>
          <w:r>
            <w:rPr>
              <w:rFonts w:eastAsia="Times New Roman"/>
            </w:rPr>
            <w:t>129.</w:t>
          </w:r>
          <w:r>
            <w:rPr>
              <w:rFonts w:eastAsia="Times New Roman"/>
            </w:rPr>
            <w:tab/>
          </w:r>
          <w:proofErr w:type="spellStart"/>
          <w:r>
            <w:rPr>
              <w:rFonts w:eastAsia="Times New Roman"/>
            </w:rPr>
            <w:t>Bastida</w:t>
          </w:r>
          <w:proofErr w:type="spellEnd"/>
          <w:r>
            <w:rPr>
              <w:rFonts w:eastAsia="Times New Roman"/>
            </w:rPr>
            <w:t xml:space="preserve">, F., </w:t>
          </w:r>
          <w:proofErr w:type="spellStart"/>
          <w:r>
            <w:rPr>
              <w:rFonts w:eastAsia="Times New Roman"/>
            </w:rPr>
            <w:t>Jehmlich</w:t>
          </w:r>
          <w:proofErr w:type="spellEnd"/>
          <w:r>
            <w:rPr>
              <w:rFonts w:eastAsia="Times New Roman"/>
            </w:rPr>
            <w:t xml:space="preserve">, N., Torres, I. F. &amp; García, C. The extracellular metaproteome of soils under semiarid climate: A methodological comparison of extraction buffers. </w:t>
          </w:r>
          <w:r>
            <w:rPr>
              <w:rFonts w:eastAsia="Times New Roman"/>
              <w:i/>
              <w:iCs/>
            </w:rPr>
            <w:t>Science of the Total Environment</w:t>
          </w:r>
          <w:r>
            <w:rPr>
              <w:rFonts w:eastAsia="Times New Roman"/>
            </w:rPr>
            <w:t xml:space="preserve"> </w:t>
          </w:r>
          <w:r>
            <w:rPr>
              <w:rFonts w:eastAsia="Times New Roman"/>
              <w:b/>
              <w:bCs/>
            </w:rPr>
            <w:t>619–620</w:t>
          </w:r>
          <w:r>
            <w:rPr>
              <w:rFonts w:eastAsia="Times New Roman"/>
            </w:rPr>
            <w:t>, 707–711 (2018).</w:t>
          </w:r>
        </w:p>
        <w:p w14:paraId="436988D2" w14:textId="77777777" w:rsidR="003204EA" w:rsidRDefault="003204EA">
          <w:pPr>
            <w:autoSpaceDE w:val="0"/>
            <w:autoSpaceDN w:val="0"/>
            <w:ind w:hanging="640"/>
            <w:divId w:val="826900220"/>
            <w:rPr>
              <w:rFonts w:eastAsia="Times New Roman"/>
            </w:rPr>
          </w:pPr>
          <w:r>
            <w:rPr>
              <w:rFonts w:eastAsia="Times New Roman"/>
            </w:rPr>
            <w:t>130.</w:t>
          </w:r>
          <w:r>
            <w:rPr>
              <w:rFonts w:eastAsia="Times New Roman"/>
            </w:rPr>
            <w:tab/>
          </w:r>
          <w:proofErr w:type="spellStart"/>
          <w:r>
            <w:rPr>
              <w:rFonts w:eastAsia="Times New Roman"/>
            </w:rPr>
            <w:t>Asing</w:t>
          </w:r>
          <w:proofErr w:type="spellEnd"/>
          <w:r>
            <w:rPr>
              <w:rFonts w:eastAsia="Times New Roman"/>
            </w:rPr>
            <w:t xml:space="preserve">, J. </w:t>
          </w:r>
          <w:r>
            <w:rPr>
              <w:rFonts w:eastAsia="Times New Roman"/>
              <w:i/>
              <w:iCs/>
            </w:rPr>
            <w:t>et al.</w:t>
          </w:r>
          <w:r>
            <w:rPr>
              <w:rFonts w:eastAsia="Times New Roman"/>
            </w:rPr>
            <w:t xml:space="preserve"> Optimization of extraction method and characterization of humic acid derived from coals and composts. </w:t>
          </w:r>
          <w:r>
            <w:rPr>
              <w:rFonts w:eastAsia="Times New Roman"/>
              <w:i/>
              <w:iCs/>
            </w:rPr>
            <w:t xml:space="preserve">J. Trop. Agric. and </w:t>
          </w:r>
          <w:proofErr w:type="spellStart"/>
          <w:r>
            <w:rPr>
              <w:rFonts w:eastAsia="Times New Roman"/>
              <w:i/>
              <w:iCs/>
            </w:rPr>
            <w:t>Fd</w:t>
          </w:r>
          <w:proofErr w:type="spellEnd"/>
          <w:r>
            <w:rPr>
              <w:rFonts w:eastAsia="Times New Roman"/>
              <w:i/>
              <w:iCs/>
            </w:rPr>
            <w:t>. Sc</w:t>
          </w:r>
          <w:r>
            <w:rPr>
              <w:rFonts w:eastAsia="Times New Roman"/>
            </w:rPr>
            <w:t xml:space="preserve"> </w:t>
          </w:r>
          <w:r>
            <w:rPr>
              <w:rFonts w:eastAsia="Times New Roman"/>
              <w:b/>
              <w:bCs/>
            </w:rPr>
            <w:t>37</w:t>
          </w:r>
          <w:r>
            <w:rPr>
              <w:rFonts w:eastAsia="Times New Roman"/>
            </w:rPr>
            <w:t>, 211–223 (2009).</w:t>
          </w:r>
        </w:p>
        <w:p w14:paraId="42B2AA78" w14:textId="77777777" w:rsidR="003204EA" w:rsidRDefault="003204EA">
          <w:pPr>
            <w:autoSpaceDE w:val="0"/>
            <w:autoSpaceDN w:val="0"/>
            <w:ind w:hanging="640"/>
            <w:divId w:val="684402238"/>
            <w:rPr>
              <w:rFonts w:eastAsia="Times New Roman"/>
            </w:rPr>
          </w:pPr>
          <w:r>
            <w:rPr>
              <w:rFonts w:eastAsia="Times New Roman"/>
            </w:rPr>
            <w:t>131.</w:t>
          </w:r>
          <w:r>
            <w:rPr>
              <w:rFonts w:eastAsia="Times New Roman"/>
            </w:rPr>
            <w:tab/>
            <w:t xml:space="preserve">Sipes, K. </w:t>
          </w:r>
          <w:r>
            <w:rPr>
              <w:rFonts w:eastAsia="Times New Roman"/>
              <w:i/>
              <w:iCs/>
            </w:rPr>
            <w:t>et al.</w:t>
          </w:r>
          <w:r>
            <w:rPr>
              <w:rFonts w:eastAsia="Times New Roman"/>
            </w:rPr>
            <w:t xml:space="preserve"> Permafrost Active Layer Microbes </w:t>
          </w:r>
          <w:proofErr w:type="gramStart"/>
          <w:r>
            <w:rPr>
              <w:rFonts w:eastAsia="Times New Roman"/>
            </w:rPr>
            <w:t>From</w:t>
          </w:r>
          <w:proofErr w:type="gramEnd"/>
          <w:r>
            <w:rPr>
              <w:rFonts w:eastAsia="Times New Roman"/>
            </w:rPr>
            <w:t xml:space="preserve"> Ny </w:t>
          </w:r>
          <w:proofErr w:type="spellStart"/>
          <w:r>
            <w:rPr>
              <w:rFonts w:eastAsia="Times New Roman"/>
            </w:rPr>
            <w:t>Ålesund</w:t>
          </w:r>
          <w:proofErr w:type="spellEnd"/>
          <w:r>
            <w:rPr>
              <w:rFonts w:eastAsia="Times New Roman"/>
            </w:rPr>
            <w:t xml:space="preserve">, Svalbard (79°N) Show Autotrophic and Heterotrophic Metabolisms With Diverse Carbon-Degrading Enzymes. </w:t>
          </w:r>
          <w:r>
            <w:rPr>
              <w:rFonts w:eastAsia="Times New Roman"/>
              <w:i/>
              <w:iCs/>
            </w:rPr>
            <w:t>Frontiers in Microbiology</w:t>
          </w:r>
          <w:r>
            <w:rPr>
              <w:rFonts w:eastAsia="Times New Roman"/>
            </w:rPr>
            <w:t xml:space="preserve"> </w:t>
          </w:r>
          <w:r>
            <w:rPr>
              <w:rFonts w:eastAsia="Times New Roman"/>
              <w:b/>
              <w:bCs/>
            </w:rPr>
            <w:t>12</w:t>
          </w:r>
          <w:r>
            <w:rPr>
              <w:rFonts w:eastAsia="Times New Roman"/>
            </w:rPr>
            <w:t>, 1–14 (2022).</w:t>
          </w:r>
        </w:p>
        <w:p w14:paraId="5B4290B0" w14:textId="77777777" w:rsidR="003204EA" w:rsidRDefault="003204EA">
          <w:pPr>
            <w:autoSpaceDE w:val="0"/>
            <w:autoSpaceDN w:val="0"/>
            <w:ind w:hanging="640"/>
            <w:divId w:val="600995421"/>
            <w:rPr>
              <w:rFonts w:eastAsia="Times New Roman"/>
            </w:rPr>
          </w:pPr>
          <w:r>
            <w:rPr>
              <w:rFonts w:eastAsia="Times New Roman"/>
            </w:rPr>
            <w:t>132.</w:t>
          </w:r>
          <w:r>
            <w:rPr>
              <w:rFonts w:eastAsia="Times New Roman"/>
            </w:rPr>
            <w:tab/>
            <w:t xml:space="preserve">Gurdeep Singh, R. </w:t>
          </w:r>
          <w:r>
            <w:rPr>
              <w:rFonts w:eastAsia="Times New Roman"/>
              <w:i/>
              <w:iCs/>
            </w:rPr>
            <w:t>et al.</w:t>
          </w:r>
          <w:r>
            <w:rPr>
              <w:rFonts w:eastAsia="Times New Roman"/>
            </w:rPr>
            <w:t xml:space="preserve"> </w:t>
          </w:r>
          <w:proofErr w:type="spellStart"/>
          <w:r>
            <w:rPr>
              <w:rFonts w:eastAsia="Times New Roman"/>
            </w:rPr>
            <w:t>Unipept</w:t>
          </w:r>
          <w:proofErr w:type="spellEnd"/>
          <w:r>
            <w:rPr>
              <w:rFonts w:eastAsia="Times New Roman"/>
            </w:rPr>
            <w:t xml:space="preserve"> 4.0: Functional Analysis of Metaproteome Data. </w:t>
          </w:r>
          <w:r>
            <w:rPr>
              <w:rFonts w:eastAsia="Times New Roman"/>
              <w:i/>
              <w:iCs/>
            </w:rPr>
            <w:t>Journal of Proteome Research</w:t>
          </w:r>
          <w:r>
            <w:rPr>
              <w:rFonts w:eastAsia="Times New Roman"/>
            </w:rPr>
            <w:t xml:space="preserve"> </w:t>
          </w:r>
          <w:r>
            <w:rPr>
              <w:rFonts w:eastAsia="Times New Roman"/>
              <w:b/>
              <w:bCs/>
            </w:rPr>
            <w:t>18</w:t>
          </w:r>
          <w:r>
            <w:rPr>
              <w:rFonts w:eastAsia="Times New Roman"/>
            </w:rPr>
            <w:t>, 606–615 (2019).</w:t>
          </w:r>
        </w:p>
        <w:p w14:paraId="23B59AA3" w14:textId="77777777" w:rsidR="003204EA" w:rsidRDefault="003204EA">
          <w:pPr>
            <w:autoSpaceDE w:val="0"/>
            <w:autoSpaceDN w:val="0"/>
            <w:ind w:hanging="640"/>
            <w:divId w:val="2045985350"/>
            <w:rPr>
              <w:rFonts w:eastAsia="Times New Roman"/>
            </w:rPr>
          </w:pPr>
          <w:r>
            <w:rPr>
              <w:rFonts w:eastAsia="Times New Roman"/>
            </w:rPr>
            <w:t>133.</w:t>
          </w:r>
          <w:r>
            <w:rPr>
              <w:rFonts w:eastAsia="Times New Roman"/>
            </w:rPr>
            <w:tab/>
            <w:t xml:space="preserve">Wenzel, L., </w:t>
          </w:r>
          <w:proofErr w:type="spellStart"/>
          <w:r>
            <w:rPr>
              <w:rFonts w:eastAsia="Times New Roman"/>
            </w:rPr>
            <w:t>Heyer</w:t>
          </w:r>
          <w:proofErr w:type="spellEnd"/>
          <w:r>
            <w:rPr>
              <w:rFonts w:eastAsia="Times New Roman"/>
            </w:rPr>
            <w:t xml:space="preserve">, R., </w:t>
          </w:r>
          <w:proofErr w:type="spellStart"/>
          <w:r>
            <w:rPr>
              <w:rFonts w:eastAsia="Times New Roman"/>
            </w:rPr>
            <w:t>Schallert</w:t>
          </w:r>
          <w:proofErr w:type="spellEnd"/>
          <w:r>
            <w:rPr>
              <w:rFonts w:eastAsia="Times New Roman"/>
            </w:rPr>
            <w:t xml:space="preserve">, K., </w:t>
          </w:r>
          <w:proofErr w:type="spellStart"/>
          <w:r>
            <w:rPr>
              <w:rFonts w:eastAsia="Times New Roman"/>
            </w:rPr>
            <w:t>Löser</w:t>
          </w:r>
          <w:proofErr w:type="spellEnd"/>
          <w:r>
            <w:rPr>
              <w:rFonts w:eastAsia="Times New Roman"/>
            </w:rPr>
            <w:t xml:space="preserve">, L. &amp; </w:t>
          </w:r>
          <w:proofErr w:type="spellStart"/>
          <w:r>
            <w:rPr>
              <w:rFonts w:eastAsia="Times New Roman"/>
            </w:rPr>
            <w:t>Reichl</w:t>
          </w:r>
          <w:proofErr w:type="spellEnd"/>
          <w:r>
            <w:rPr>
              <w:rFonts w:eastAsia="Times New Roman"/>
            </w:rPr>
            <w:t>, U. SDS-PAGE fractionation to increase metaproteomic insight into the taxonomic and functional composition of microbial communities for biogas plant samples. 498–509 (2018) doi:10.1002/elsc.201800062.</w:t>
          </w:r>
        </w:p>
        <w:p w14:paraId="08FA2BDF" w14:textId="77777777" w:rsidR="003204EA" w:rsidRDefault="003204EA">
          <w:pPr>
            <w:autoSpaceDE w:val="0"/>
            <w:autoSpaceDN w:val="0"/>
            <w:ind w:hanging="640"/>
            <w:divId w:val="577791133"/>
            <w:rPr>
              <w:rFonts w:eastAsia="Times New Roman"/>
            </w:rPr>
          </w:pPr>
          <w:r>
            <w:rPr>
              <w:rFonts w:eastAsia="Times New Roman"/>
            </w:rPr>
            <w:t>134.</w:t>
          </w:r>
          <w:r>
            <w:rPr>
              <w:rFonts w:eastAsia="Times New Roman"/>
            </w:rPr>
            <w:tab/>
          </w:r>
          <w:proofErr w:type="spellStart"/>
          <w:r>
            <w:rPr>
              <w:rFonts w:eastAsia="Times New Roman"/>
            </w:rPr>
            <w:t>Schäpe</w:t>
          </w:r>
          <w:proofErr w:type="spellEnd"/>
          <w:r>
            <w:rPr>
              <w:rFonts w:eastAsia="Times New Roman"/>
            </w:rPr>
            <w:t xml:space="preserve">, S. S. </w:t>
          </w:r>
          <w:r>
            <w:rPr>
              <w:rFonts w:eastAsia="Times New Roman"/>
              <w:i/>
              <w:iCs/>
            </w:rPr>
            <w:t>et al.</w:t>
          </w:r>
          <w:r>
            <w:rPr>
              <w:rFonts w:eastAsia="Times New Roman"/>
            </w:rPr>
            <w:t xml:space="preserve"> The simplified human intestinal microbiota (</w:t>
          </w:r>
          <w:proofErr w:type="spellStart"/>
          <w:r>
            <w:rPr>
              <w:rFonts w:eastAsia="Times New Roman"/>
            </w:rPr>
            <w:t>Sihumix</w:t>
          </w:r>
          <w:proofErr w:type="spellEnd"/>
          <w:r>
            <w:rPr>
              <w:rFonts w:eastAsia="Times New Roman"/>
            </w:rPr>
            <w:t xml:space="preserve">) shows high structural and functional resistance against changing transit times in in vitro bioreactors. </w:t>
          </w:r>
          <w:r>
            <w:rPr>
              <w:rFonts w:eastAsia="Times New Roman"/>
              <w:i/>
              <w:iCs/>
            </w:rPr>
            <w:t>Microorganisms</w:t>
          </w:r>
          <w:r>
            <w:rPr>
              <w:rFonts w:eastAsia="Times New Roman"/>
            </w:rPr>
            <w:t xml:space="preserve"> </w:t>
          </w:r>
          <w:r>
            <w:rPr>
              <w:rFonts w:eastAsia="Times New Roman"/>
              <w:b/>
              <w:bCs/>
            </w:rPr>
            <w:t>7</w:t>
          </w:r>
          <w:r>
            <w:rPr>
              <w:rFonts w:eastAsia="Times New Roman"/>
            </w:rPr>
            <w:t>, 1–19 (2019).</w:t>
          </w:r>
        </w:p>
        <w:p w14:paraId="0071B686" w14:textId="77777777" w:rsidR="003204EA" w:rsidRDefault="003204EA">
          <w:pPr>
            <w:autoSpaceDE w:val="0"/>
            <w:autoSpaceDN w:val="0"/>
            <w:ind w:hanging="640"/>
            <w:divId w:val="2092390883"/>
            <w:rPr>
              <w:rFonts w:eastAsia="Times New Roman"/>
            </w:rPr>
          </w:pPr>
          <w:r>
            <w:rPr>
              <w:rFonts w:eastAsia="Times New Roman"/>
            </w:rPr>
            <w:t>135.</w:t>
          </w:r>
          <w:r>
            <w:rPr>
              <w:rFonts w:eastAsia="Times New Roman"/>
            </w:rPr>
            <w:tab/>
          </w:r>
          <w:proofErr w:type="spellStart"/>
          <w:r>
            <w:rPr>
              <w:rFonts w:eastAsia="Times New Roman"/>
            </w:rPr>
            <w:t>Heyer</w:t>
          </w:r>
          <w:proofErr w:type="spellEnd"/>
          <w:r>
            <w:rPr>
              <w:rFonts w:eastAsia="Times New Roman"/>
            </w:rPr>
            <w:t xml:space="preserve">, R., Kohrs, F., </w:t>
          </w:r>
          <w:proofErr w:type="spellStart"/>
          <w:r>
            <w:rPr>
              <w:rFonts w:eastAsia="Times New Roman"/>
            </w:rPr>
            <w:t>Reichl</w:t>
          </w:r>
          <w:proofErr w:type="spellEnd"/>
          <w:r>
            <w:rPr>
              <w:rFonts w:eastAsia="Times New Roman"/>
            </w:rPr>
            <w:t xml:space="preserve">, U. &amp; </w:t>
          </w:r>
          <w:proofErr w:type="spellStart"/>
          <w:r>
            <w:rPr>
              <w:rFonts w:eastAsia="Times New Roman"/>
            </w:rPr>
            <w:t>Benndorf</w:t>
          </w:r>
          <w:proofErr w:type="spellEnd"/>
          <w:r>
            <w:rPr>
              <w:rFonts w:eastAsia="Times New Roman"/>
            </w:rPr>
            <w:t xml:space="preserve">, D. Metaproteomics of complex microbial communities in biogas plants. </w:t>
          </w:r>
          <w:r>
            <w:rPr>
              <w:rFonts w:eastAsia="Times New Roman"/>
              <w:i/>
              <w:iCs/>
            </w:rPr>
            <w:t>Microbial Biotechnology</w:t>
          </w:r>
          <w:r>
            <w:rPr>
              <w:rFonts w:eastAsia="Times New Roman"/>
            </w:rPr>
            <w:t xml:space="preserve"> </w:t>
          </w:r>
          <w:r>
            <w:rPr>
              <w:rFonts w:eastAsia="Times New Roman"/>
              <w:b/>
              <w:bCs/>
            </w:rPr>
            <w:t>8</w:t>
          </w:r>
          <w:r>
            <w:rPr>
              <w:rFonts w:eastAsia="Times New Roman"/>
            </w:rPr>
            <w:t>, 749–763 (2015).</w:t>
          </w:r>
        </w:p>
        <w:p w14:paraId="2573E21C" w14:textId="77777777" w:rsidR="003204EA" w:rsidRDefault="003204EA">
          <w:pPr>
            <w:autoSpaceDE w:val="0"/>
            <w:autoSpaceDN w:val="0"/>
            <w:ind w:hanging="640"/>
            <w:divId w:val="2072774861"/>
            <w:rPr>
              <w:rFonts w:eastAsia="Times New Roman"/>
            </w:rPr>
          </w:pPr>
          <w:r>
            <w:rPr>
              <w:rFonts w:eastAsia="Times New Roman"/>
            </w:rPr>
            <w:t>136.</w:t>
          </w:r>
          <w:r>
            <w:rPr>
              <w:rFonts w:eastAsia="Times New Roman"/>
            </w:rPr>
            <w:tab/>
            <w:t xml:space="preserve">McIlwain, S. </w:t>
          </w:r>
          <w:r>
            <w:rPr>
              <w:rFonts w:eastAsia="Times New Roman"/>
              <w:i/>
              <w:iCs/>
            </w:rPr>
            <w:t>et al.</w:t>
          </w:r>
          <w:r>
            <w:rPr>
              <w:rFonts w:eastAsia="Times New Roman"/>
            </w:rPr>
            <w:t xml:space="preserve"> Crux: Rapid </w:t>
          </w:r>
          <w:proofErr w:type="gramStart"/>
          <w:r>
            <w:rPr>
              <w:rFonts w:eastAsia="Times New Roman"/>
            </w:rPr>
            <w:t>open source</w:t>
          </w:r>
          <w:proofErr w:type="gramEnd"/>
          <w:r>
            <w:rPr>
              <w:rFonts w:eastAsia="Times New Roman"/>
            </w:rPr>
            <w:t xml:space="preserve"> protein tandem mass spectrometry analysis. </w:t>
          </w:r>
          <w:r>
            <w:rPr>
              <w:rFonts w:eastAsia="Times New Roman"/>
              <w:i/>
              <w:iCs/>
            </w:rPr>
            <w:t>Journal of Proteome Research</w:t>
          </w:r>
          <w:r>
            <w:rPr>
              <w:rFonts w:eastAsia="Times New Roman"/>
            </w:rPr>
            <w:t xml:space="preserve"> </w:t>
          </w:r>
          <w:r>
            <w:rPr>
              <w:rFonts w:eastAsia="Times New Roman"/>
              <w:b/>
              <w:bCs/>
            </w:rPr>
            <w:t>13</w:t>
          </w:r>
          <w:r>
            <w:rPr>
              <w:rFonts w:eastAsia="Times New Roman"/>
            </w:rPr>
            <w:t>, 4488–4491 (2014).</w:t>
          </w:r>
        </w:p>
        <w:p w14:paraId="69B62530" w14:textId="77777777" w:rsidR="003204EA" w:rsidRDefault="003204EA">
          <w:pPr>
            <w:autoSpaceDE w:val="0"/>
            <w:autoSpaceDN w:val="0"/>
            <w:ind w:hanging="640"/>
            <w:divId w:val="526800214"/>
            <w:rPr>
              <w:rFonts w:eastAsia="Times New Roman"/>
            </w:rPr>
          </w:pPr>
          <w:r>
            <w:rPr>
              <w:rFonts w:eastAsia="Times New Roman"/>
            </w:rPr>
            <w:t>137.</w:t>
          </w:r>
          <w:r>
            <w:rPr>
              <w:rFonts w:eastAsia="Times New Roman"/>
            </w:rPr>
            <w:tab/>
          </w:r>
          <w:proofErr w:type="spellStart"/>
          <w:r>
            <w:rPr>
              <w:rFonts w:eastAsia="Times New Roman"/>
            </w:rPr>
            <w:t>Diament</w:t>
          </w:r>
          <w:proofErr w:type="spellEnd"/>
          <w:r>
            <w:rPr>
              <w:rFonts w:eastAsia="Times New Roman"/>
            </w:rPr>
            <w:t xml:space="preserve">, B. J. &amp; Noble, W. S. Faster SEQUEST searching for peptide identification from tandem mass spectra. </w:t>
          </w:r>
          <w:r>
            <w:rPr>
              <w:rFonts w:eastAsia="Times New Roman"/>
              <w:i/>
              <w:iCs/>
            </w:rPr>
            <w:t>Journal of Proteome Research</w:t>
          </w:r>
          <w:r>
            <w:rPr>
              <w:rFonts w:eastAsia="Times New Roman"/>
            </w:rPr>
            <w:t xml:space="preserve"> </w:t>
          </w:r>
          <w:r>
            <w:rPr>
              <w:rFonts w:eastAsia="Times New Roman"/>
              <w:b/>
              <w:bCs/>
            </w:rPr>
            <w:t>10</w:t>
          </w:r>
          <w:r>
            <w:rPr>
              <w:rFonts w:eastAsia="Times New Roman"/>
            </w:rPr>
            <w:t>, 3871–3879 (2011).</w:t>
          </w:r>
        </w:p>
        <w:p w14:paraId="0BBD7FB0" w14:textId="77777777" w:rsidR="003204EA" w:rsidRDefault="003204EA">
          <w:pPr>
            <w:autoSpaceDE w:val="0"/>
            <w:autoSpaceDN w:val="0"/>
            <w:ind w:hanging="640"/>
            <w:divId w:val="1405109574"/>
            <w:rPr>
              <w:rFonts w:eastAsia="Times New Roman"/>
            </w:rPr>
          </w:pPr>
          <w:r>
            <w:rPr>
              <w:rFonts w:eastAsia="Times New Roman"/>
            </w:rPr>
            <w:t>138.</w:t>
          </w:r>
          <w:r>
            <w:rPr>
              <w:rFonts w:eastAsia="Times New Roman"/>
            </w:rPr>
            <w:tab/>
          </w:r>
          <w:proofErr w:type="spellStart"/>
          <w:r>
            <w:rPr>
              <w:rFonts w:eastAsia="Times New Roman"/>
            </w:rPr>
            <w:t>Käll</w:t>
          </w:r>
          <w:proofErr w:type="spellEnd"/>
          <w:r>
            <w:rPr>
              <w:rFonts w:eastAsia="Times New Roman"/>
            </w:rPr>
            <w:t xml:space="preserve">, L., Canterbury, J. D., Weston, J., Noble, W. S. &amp; </w:t>
          </w:r>
          <w:proofErr w:type="spellStart"/>
          <w:r>
            <w:rPr>
              <w:rFonts w:eastAsia="Times New Roman"/>
            </w:rPr>
            <w:t>MacCoss</w:t>
          </w:r>
          <w:proofErr w:type="spellEnd"/>
          <w:r>
            <w:rPr>
              <w:rFonts w:eastAsia="Times New Roman"/>
            </w:rPr>
            <w:t xml:space="preserve">, M. J. Semi-supervised learning for peptide identification from shotgun proteomics datasets. </w:t>
          </w:r>
          <w:r>
            <w:rPr>
              <w:rFonts w:eastAsia="Times New Roman"/>
              <w:i/>
              <w:iCs/>
            </w:rPr>
            <w:t>Nature Methods</w:t>
          </w:r>
          <w:r>
            <w:rPr>
              <w:rFonts w:eastAsia="Times New Roman"/>
            </w:rPr>
            <w:t xml:space="preserve"> </w:t>
          </w:r>
          <w:r>
            <w:rPr>
              <w:rFonts w:eastAsia="Times New Roman"/>
              <w:b/>
              <w:bCs/>
            </w:rPr>
            <w:t>4</w:t>
          </w:r>
          <w:r>
            <w:rPr>
              <w:rFonts w:eastAsia="Times New Roman"/>
            </w:rPr>
            <w:t>, 923–925 (2007).</w:t>
          </w:r>
        </w:p>
        <w:p w14:paraId="7FD84B9D" w14:textId="77777777" w:rsidR="003204EA" w:rsidRDefault="003204EA">
          <w:pPr>
            <w:autoSpaceDE w:val="0"/>
            <w:autoSpaceDN w:val="0"/>
            <w:ind w:hanging="640"/>
            <w:divId w:val="640118093"/>
            <w:rPr>
              <w:rFonts w:eastAsia="Times New Roman"/>
            </w:rPr>
          </w:pPr>
          <w:r>
            <w:rPr>
              <w:rFonts w:eastAsia="Times New Roman"/>
            </w:rPr>
            <w:t>139.</w:t>
          </w:r>
          <w:r>
            <w:rPr>
              <w:rFonts w:eastAsia="Times New Roman"/>
            </w:rPr>
            <w:tab/>
          </w:r>
          <w:proofErr w:type="spellStart"/>
          <w:r>
            <w:rPr>
              <w:rFonts w:eastAsia="Times New Roman"/>
            </w:rPr>
            <w:t>Argentini</w:t>
          </w:r>
          <w:proofErr w:type="spellEnd"/>
          <w:r>
            <w:rPr>
              <w:rFonts w:eastAsia="Times New Roman"/>
            </w:rPr>
            <w:t xml:space="preserve">, A. </w:t>
          </w:r>
          <w:r>
            <w:rPr>
              <w:rFonts w:eastAsia="Times New Roman"/>
              <w:i/>
              <w:iCs/>
            </w:rPr>
            <w:t>et al.</w:t>
          </w:r>
          <w:r>
            <w:rPr>
              <w:rFonts w:eastAsia="Times New Roman"/>
            </w:rPr>
            <w:t xml:space="preserve"> MoFF: A robust and automated approach to extract peptide ion intensities. </w:t>
          </w:r>
          <w:r>
            <w:rPr>
              <w:rFonts w:eastAsia="Times New Roman"/>
              <w:i/>
              <w:iCs/>
            </w:rPr>
            <w:t>Nature Methods</w:t>
          </w:r>
          <w:r>
            <w:rPr>
              <w:rFonts w:eastAsia="Times New Roman"/>
            </w:rPr>
            <w:t xml:space="preserve"> </w:t>
          </w:r>
          <w:r>
            <w:rPr>
              <w:rFonts w:eastAsia="Times New Roman"/>
              <w:b/>
              <w:bCs/>
            </w:rPr>
            <w:t>13</w:t>
          </w:r>
          <w:r>
            <w:rPr>
              <w:rFonts w:eastAsia="Times New Roman"/>
            </w:rPr>
            <w:t>, 964–966 (2016).</w:t>
          </w:r>
        </w:p>
        <w:p w14:paraId="27D9CD95" w14:textId="77777777" w:rsidR="003204EA" w:rsidRDefault="003204EA">
          <w:pPr>
            <w:autoSpaceDE w:val="0"/>
            <w:autoSpaceDN w:val="0"/>
            <w:ind w:hanging="640"/>
            <w:divId w:val="1476600175"/>
            <w:rPr>
              <w:rFonts w:eastAsia="Times New Roman"/>
            </w:rPr>
          </w:pPr>
          <w:r>
            <w:rPr>
              <w:rFonts w:eastAsia="Times New Roman"/>
            </w:rPr>
            <w:t>140.</w:t>
          </w:r>
          <w:r>
            <w:rPr>
              <w:rFonts w:eastAsia="Times New Roman"/>
            </w:rPr>
            <w:tab/>
            <w:t xml:space="preserve">Tabb, D. L., Fernando, C. G. &amp; Chambers, M. C. MyriMatch: Highly accurate tandem mass spectral peptide identification by multivariate hypergeometric analysis. </w:t>
          </w:r>
          <w:r>
            <w:rPr>
              <w:rFonts w:eastAsia="Times New Roman"/>
              <w:i/>
              <w:iCs/>
            </w:rPr>
            <w:t>Journal of Proteome Research</w:t>
          </w:r>
          <w:r>
            <w:rPr>
              <w:rFonts w:eastAsia="Times New Roman"/>
            </w:rPr>
            <w:t xml:space="preserve"> </w:t>
          </w:r>
          <w:r>
            <w:rPr>
              <w:rFonts w:eastAsia="Times New Roman"/>
              <w:b/>
              <w:bCs/>
            </w:rPr>
            <w:t>6</w:t>
          </w:r>
          <w:r>
            <w:rPr>
              <w:rFonts w:eastAsia="Times New Roman"/>
            </w:rPr>
            <w:t>, 654–661 (2007).</w:t>
          </w:r>
        </w:p>
        <w:p w14:paraId="69B0973B" w14:textId="77777777" w:rsidR="003204EA" w:rsidRDefault="003204EA">
          <w:pPr>
            <w:autoSpaceDE w:val="0"/>
            <w:autoSpaceDN w:val="0"/>
            <w:ind w:hanging="640"/>
            <w:divId w:val="714501224"/>
            <w:rPr>
              <w:rFonts w:eastAsia="Times New Roman"/>
            </w:rPr>
          </w:pPr>
          <w:r>
            <w:rPr>
              <w:rFonts w:eastAsia="Times New Roman"/>
            </w:rPr>
            <w:t>141.</w:t>
          </w:r>
          <w:r>
            <w:rPr>
              <w:rFonts w:eastAsia="Times New Roman"/>
            </w:rPr>
            <w:tab/>
            <w:t xml:space="preserve">Ma, Z. Q. </w:t>
          </w:r>
          <w:r>
            <w:rPr>
              <w:rFonts w:eastAsia="Times New Roman"/>
              <w:i/>
              <w:iCs/>
            </w:rPr>
            <w:t>et al.</w:t>
          </w:r>
          <w:r>
            <w:rPr>
              <w:rFonts w:eastAsia="Times New Roman"/>
            </w:rPr>
            <w:t xml:space="preserve"> IDPicker 2.0: Improved protein assembly with high discrimination peptide identification filtering. </w:t>
          </w:r>
          <w:r>
            <w:rPr>
              <w:rFonts w:eastAsia="Times New Roman"/>
              <w:i/>
              <w:iCs/>
            </w:rPr>
            <w:t>Journal of Proteome Research</w:t>
          </w:r>
          <w:r>
            <w:rPr>
              <w:rFonts w:eastAsia="Times New Roman"/>
            </w:rPr>
            <w:t xml:space="preserve"> </w:t>
          </w:r>
          <w:r>
            <w:rPr>
              <w:rFonts w:eastAsia="Times New Roman"/>
              <w:b/>
              <w:bCs/>
            </w:rPr>
            <w:t>8</w:t>
          </w:r>
          <w:r>
            <w:rPr>
              <w:rFonts w:eastAsia="Times New Roman"/>
            </w:rPr>
            <w:t>, 3872–3881 (2009).</w:t>
          </w:r>
        </w:p>
        <w:p w14:paraId="36A6A4ED" w14:textId="77777777" w:rsidR="003204EA" w:rsidRDefault="003204EA">
          <w:pPr>
            <w:autoSpaceDE w:val="0"/>
            <w:autoSpaceDN w:val="0"/>
            <w:ind w:hanging="640"/>
            <w:divId w:val="14504720"/>
            <w:rPr>
              <w:rFonts w:eastAsia="Times New Roman"/>
            </w:rPr>
          </w:pPr>
          <w:r>
            <w:rPr>
              <w:rFonts w:eastAsia="Times New Roman"/>
            </w:rPr>
            <w:t>142.</w:t>
          </w:r>
          <w:r>
            <w:rPr>
              <w:rFonts w:eastAsia="Times New Roman"/>
            </w:rPr>
            <w:tab/>
          </w:r>
          <w:proofErr w:type="spellStart"/>
          <w:r>
            <w:rPr>
              <w:rFonts w:eastAsia="Times New Roman"/>
            </w:rPr>
            <w:t>Dorfer</w:t>
          </w:r>
          <w:proofErr w:type="spellEnd"/>
          <w:r>
            <w:rPr>
              <w:rFonts w:eastAsia="Times New Roman"/>
            </w:rPr>
            <w:t xml:space="preserve">, V., </w:t>
          </w:r>
          <w:proofErr w:type="spellStart"/>
          <w:r>
            <w:rPr>
              <w:rFonts w:eastAsia="Times New Roman"/>
            </w:rPr>
            <w:t>Maltsev</w:t>
          </w:r>
          <w:proofErr w:type="spellEnd"/>
          <w:r>
            <w:rPr>
              <w:rFonts w:eastAsia="Times New Roman"/>
            </w:rPr>
            <w:t xml:space="preserve">, S., Winkler, S. &amp; </w:t>
          </w:r>
          <w:proofErr w:type="spellStart"/>
          <w:r>
            <w:rPr>
              <w:rFonts w:eastAsia="Times New Roman"/>
            </w:rPr>
            <w:t>Mechtler</w:t>
          </w:r>
          <w:proofErr w:type="spellEnd"/>
          <w:r>
            <w:rPr>
              <w:rFonts w:eastAsia="Times New Roman"/>
            </w:rPr>
            <w:t xml:space="preserve">, K. CharmeRT: Boosting Peptide Identifications by Chimeric Spectra Identification and Retention Time Prediction. </w:t>
          </w:r>
          <w:r>
            <w:rPr>
              <w:rFonts w:eastAsia="Times New Roman"/>
              <w:i/>
              <w:iCs/>
            </w:rPr>
            <w:t>Journal of Proteome Research</w:t>
          </w:r>
          <w:r>
            <w:rPr>
              <w:rFonts w:eastAsia="Times New Roman"/>
            </w:rPr>
            <w:t xml:space="preserve"> </w:t>
          </w:r>
          <w:r>
            <w:rPr>
              <w:rFonts w:eastAsia="Times New Roman"/>
              <w:b/>
              <w:bCs/>
            </w:rPr>
            <w:t>17</w:t>
          </w:r>
          <w:r>
            <w:rPr>
              <w:rFonts w:eastAsia="Times New Roman"/>
            </w:rPr>
            <w:t>, 2581–2589 (2018).</w:t>
          </w:r>
        </w:p>
        <w:p w14:paraId="3211E08E" w14:textId="77777777" w:rsidR="003204EA" w:rsidRDefault="003204EA">
          <w:pPr>
            <w:autoSpaceDE w:val="0"/>
            <w:autoSpaceDN w:val="0"/>
            <w:ind w:hanging="640"/>
            <w:divId w:val="460925276"/>
            <w:rPr>
              <w:rFonts w:eastAsia="Times New Roman"/>
            </w:rPr>
          </w:pPr>
          <w:r>
            <w:rPr>
              <w:rFonts w:eastAsia="Times New Roman"/>
            </w:rPr>
            <w:t>143.</w:t>
          </w:r>
          <w:r>
            <w:rPr>
              <w:rFonts w:eastAsia="Times New Roman"/>
            </w:rPr>
            <w:tab/>
          </w:r>
          <w:proofErr w:type="spellStart"/>
          <w:r>
            <w:rPr>
              <w:rFonts w:eastAsia="Times New Roman"/>
            </w:rPr>
            <w:t>Houel</w:t>
          </w:r>
          <w:proofErr w:type="spellEnd"/>
          <w:r>
            <w:rPr>
              <w:rFonts w:eastAsia="Times New Roman"/>
            </w:rPr>
            <w:t xml:space="preserve">, S. </w:t>
          </w:r>
          <w:r>
            <w:rPr>
              <w:rFonts w:eastAsia="Times New Roman"/>
              <w:i/>
              <w:iCs/>
            </w:rPr>
            <w:t>et al.</w:t>
          </w:r>
          <w:r>
            <w:rPr>
              <w:rFonts w:eastAsia="Times New Roman"/>
            </w:rPr>
            <w:t xml:space="preserve"> Quantifying the impact of chimera MS/MS spectra on peptide identification in large-scale proteomics studies. </w:t>
          </w:r>
          <w:r>
            <w:rPr>
              <w:rFonts w:eastAsia="Times New Roman"/>
              <w:i/>
              <w:iCs/>
            </w:rPr>
            <w:t>Journal of Proteome Research</w:t>
          </w:r>
          <w:r>
            <w:rPr>
              <w:rFonts w:eastAsia="Times New Roman"/>
            </w:rPr>
            <w:t xml:space="preserve"> </w:t>
          </w:r>
          <w:r>
            <w:rPr>
              <w:rFonts w:eastAsia="Times New Roman"/>
              <w:b/>
              <w:bCs/>
            </w:rPr>
            <w:t>9</w:t>
          </w:r>
          <w:r>
            <w:rPr>
              <w:rFonts w:eastAsia="Times New Roman"/>
            </w:rPr>
            <w:t>, 4152–4160 (2010).</w:t>
          </w:r>
        </w:p>
        <w:p w14:paraId="72E073DC" w14:textId="77777777" w:rsidR="003204EA" w:rsidRDefault="003204EA">
          <w:pPr>
            <w:autoSpaceDE w:val="0"/>
            <w:autoSpaceDN w:val="0"/>
            <w:ind w:hanging="640"/>
            <w:divId w:val="1116296021"/>
            <w:rPr>
              <w:rFonts w:eastAsia="Times New Roman"/>
            </w:rPr>
          </w:pPr>
          <w:r>
            <w:rPr>
              <w:rFonts w:eastAsia="Times New Roman"/>
            </w:rPr>
            <w:t>144.</w:t>
          </w:r>
          <w:r>
            <w:rPr>
              <w:rFonts w:eastAsia="Times New Roman"/>
            </w:rPr>
            <w:tab/>
            <w:t xml:space="preserve">Michalski, A., Cox, J. &amp; Mann, M. More than 100,000 detectable peptide species elute in single shotgun proteomics runs but the majority is inaccessible to data-dependent LC-MS/MS. </w:t>
          </w:r>
          <w:r>
            <w:rPr>
              <w:rFonts w:eastAsia="Times New Roman"/>
              <w:i/>
              <w:iCs/>
            </w:rPr>
            <w:t>Journal of Proteome Research</w:t>
          </w:r>
          <w:r>
            <w:rPr>
              <w:rFonts w:eastAsia="Times New Roman"/>
            </w:rPr>
            <w:t xml:space="preserve"> </w:t>
          </w:r>
          <w:r>
            <w:rPr>
              <w:rFonts w:eastAsia="Times New Roman"/>
              <w:b/>
              <w:bCs/>
            </w:rPr>
            <w:t>10</w:t>
          </w:r>
          <w:r>
            <w:rPr>
              <w:rFonts w:eastAsia="Times New Roman"/>
            </w:rPr>
            <w:t>, 1785–1793 (2011).</w:t>
          </w:r>
        </w:p>
        <w:p w14:paraId="27C9BBAE" w14:textId="77777777" w:rsidR="003204EA" w:rsidRDefault="003204EA">
          <w:pPr>
            <w:autoSpaceDE w:val="0"/>
            <w:autoSpaceDN w:val="0"/>
            <w:ind w:hanging="640"/>
            <w:divId w:val="160968860"/>
            <w:rPr>
              <w:rFonts w:eastAsia="Times New Roman"/>
            </w:rPr>
          </w:pPr>
          <w:r>
            <w:rPr>
              <w:rFonts w:eastAsia="Times New Roman"/>
            </w:rPr>
            <w:t>145.</w:t>
          </w:r>
          <w:r>
            <w:rPr>
              <w:rFonts w:eastAsia="Times New Roman"/>
            </w:rPr>
            <w:tab/>
            <w:t xml:space="preserve">Wang, J., </w:t>
          </w:r>
          <w:proofErr w:type="spellStart"/>
          <w:r>
            <w:rPr>
              <w:rFonts w:eastAsia="Times New Roman"/>
            </w:rPr>
            <w:t>Bourne</w:t>
          </w:r>
          <w:proofErr w:type="spellEnd"/>
          <w:r>
            <w:rPr>
              <w:rFonts w:eastAsia="Times New Roman"/>
            </w:rPr>
            <w:t xml:space="preserve">, P. E. &amp; Bandeira, N. </w:t>
          </w:r>
          <w:proofErr w:type="spellStart"/>
          <w:r>
            <w:rPr>
              <w:rFonts w:eastAsia="Times New Roman"/>
            </w:rPr>
            <w:t>MixGF</w:t>
          </w:r>
          <w:proofErr w:type="spellEnd"/>
          <w:r>
            <w:rPr>
              <w:rFonts w:eastAsia="Times New Roman"/>
            </w:rPr>
            <w:t xml:space="preserve">: Spectral probabilities for mixture spectra from more than one peptide. </w:t>
          </w:r>
          <w:r>
            <w:rPr>
              <w:rFonts w:eastAsia="Times New Roman"/>
              <w:i/>
              <w:iCs/>
            </w:rPr>
            <w:t>Molecular and Cellular Proteomics</w:t>
          </w:r>
          <w:r>
            <w:rPr>
              <w:rFonts w:eastAsia="Times New Roman"/>
            </w:rPr>
            <w:t xml:space="preserve"> </w:t>
          </w:r>
          <w:r>
            <w:rPr>
              <w:rFonts w:eastAsia="Times New Roman"/>
              <w:b/>
              <w:bCs/>
            </w:rPr>
            <w:t>13</w:t>
          </w:r>
          <w:r>
            <w:rPr>
              <w:rFonts w:eastAsia="Times New Roman"/>
            </w:rPr>
            <w:t>, 3688–3697 (2014).</w:t>
          </w:r>
        </w:p>
        <w:p w14:paraId="0131C653" w14:textId="77777777" w:rsidR="003204EA" w:rsidRDefault="003204EA">
          <w:pPr>
            <w:autoSpaceDE w:val="0"/>
            <w:autoSpaceDN w:val="0"/>
            <w:ind w:hanging="640"/>
            <w:divId w:val="1630551435"/>
            <w:rPr>
              <w:rFonts w:eastAsia="Times New Roman"/>
            </w:rPr>
          </w:pPr>
          <w:r>
            <w:rPr>
              <w:rFonts w:eastAsia="Times New Roman"/>
            </w:rPr>
            <w:t>146.</w:t>
          </w:r>
          <w:r>
            <w:rPr>
              <w:rFonts w:eastAsia="Times New Roman"/>
            </w:rPr>
            <w:tab/>
          </w:r>
          <w:proofErr w:type="spellStart"/>
          <w:r>
            <w:rPr>
              <w:rFonts w:eastAsia="Times New Roman"/>
            </w:rPr>
            <w:t>Dorfer</w:t>
          </w:r>
          <w:proofErr w:type="spellEnd"/>
          <w:r>
            <w:rPr>
              <w:rFonts w:eastAsia="Times New Roman"/>
            </w:rPr>
            <w:t xml:space="preserve">, V., Strobl, M., Winkler, S. &amp; </w:t>
          </w:r>
          <w:proofErr w:type="spellStart"/>
          <w:r>
            <w:rPr>
              <w:rFonts w:eastAsia="Times New Roman"/>
            </w:rPr>
            <w:t>Mechtler</w:t>
          </w:r>
          <w:proofErr w:type="spellEnd"/>
          <w:r>
            <w:rPr>
              <w:rFonts w:eastAsia="Times New Roman"/>
            </w:rPr>
            <w:t xml:space="preserve">, K. MS Amanda 2.0: Advancements in the standalone implementation. </w:t>
          </w:r>
          <w:r>
            <w:rPr>
              <w:rFonts w:eastAsia="Times New Roman"/>
              <w:i/>
              <w:iCs/>
            </w:rPr>
            <w:t>Rapid Communications in Mass Spectrometry</w:t>
          </w:r>
          <w:r>
            <w:rPr>
              <w:rFonts w:eastAsia="Times New Roman"/>
            </w:rPr>
            <w:t xml:space="preserve"> </w:t>
          </w:r>
          <w:r>
            <w:rPr>
              <w:rFonts w:eastAsia="Times New Roman"/>
              <w:b/>
              <w:bCs/>
            </w:rPr>
            <w:t>35</w:t>
          </w:r>
          <w:r>
            <w:rPr>
              <w:rFonts w:eastAsia="Times New Roman"/>
            </w:rPr>
            <w:t>, 1–7 (2021).</w:t>
          </w:r>
        </w:p>
        <w:p w14:paraId="6D9215E6" w14:textId="77777777" w:rsidR="003204EA" w:rsidRDefault="003204EA">
          <w:pPr>
            <w:autoSpaceDE w:val="0"/>
            <w:autoSpaceDN w:val="0"/>
            <w:ind w:hanging="640"/>
            <w:divId w:val="109518431"/>
            <w:rPr>
              <w:rFonts w:eastAsia="Times New Roman"/>
            </w:rPr>
          </w:pPr>
          <w:r>
            <w:rPr>
              <w:rFonts w:eastAsia="Times New Roman"/>
            </w:rPr>
            <w:t>147.</w:t>
          </w:r>
          <w:r>
            <w:rPr>
              <w:rFonts w:eastAsia="Times New Roman"/>
            </w:rPr>
            <w:tab/>
          </w:r>
          <w:proofErr w:type="spellStart"/>
          <w:r>
            <w:rPr>
              <w:rFonts w:eastAsia="Times New Roman"/>
            </w:rPr>
            <w:t>Dorfer</w:t>
          </w:r>
          <w:proofErr w:type="spellEnd"/>
          <w:r>
            <w:rPr>
              <w:rFonts w:eastAsia="Times New Roman"/>
            </w:rPr>
            <w:t xml:space="preserve">, V. </w:t>
          </w:r>
          <w:r>
            <w:rPr>
              <w:rFonts w:eastAsia="Times New Roman"/>
              <w:i/>
              <w:iCs/>
            </w:rPr>
            <w:t>et al.</w:t>
          </w:r>
          <w:r>
            <w:rPr>
              <w:rFonts w:eastAsia="Times New Roman"/>
            </w:rPr>
            <w:t xml:space="preserve"> MS Amanda, a universal identification algorithm optimized for high accuracy tandem mass spectra. </w:t>
          </w:r>
          <w:r>
            <w:rPr>
              <w:rFonts w:eastAsia="Times New Roman"/>
              <w:i/>
              <w:iCs/>
            </w:rPr>
            <w:t>Journal of Proteome Research</w:t>
          </w:r>
          <w:r>
            <w:rPr>
              <w:rFonts w:eastAsia="Times New Roman"/>
            </w:rPr>
            <w:t xml:space="preserve"> </w:t>
          </w:r>
          <w:r>
            <w:rPr>
              <w:rFonts w:eastAsia="Times New Roman"/>
              <w:b/>
              <w:bCs/>
            </w:rPr>
            <w:t>13</w:t>
          </w:r>
          <w:r>
            <w:rPr>
              <w:rFonts w:eastAsia="Times New Roman"/>
            </w:rPr>
            <w:t>, 3679–3684 (2014).</w:t>
          </w:r>
        </w:p>
        <w:p w14:paraId="185EF7CB" w14:textId="77777777" w:rsidR="003204EA" w:rsidRDefault="003204EA">
          <w:pPr>
            <w:autoSpaceDE w:val="0"/>
            <w:autoSpaceDN w:val="0"/>
            <w:ind w:hanging="640"/>
            <w:divId w:val="676999148"/>
            <w:rPr>
              <w:rFonts w:eastAsia="Times New Roman"/>
            </w:rPr>
          </w:pPr>
          <w:r>
            <w:rPr>
              <w:rFonts w:eastAsia="Times New Roman"/>
            </w:rPr>
            <w:t>148.</w:t>
          </w:r>
          <w:r>
            <w:rPr>
              <w:rFonts w:eastAsia="Times New Roman"/>
            </w:rPr>
            <w:tab/>
          </w:r>
          <w:proofErr w:type="spellStart"/>
          <w:r>
            <w:rPr>
              <w:rFonts w:eastAsia="Times New Roman"/>
            </w:rPr>
            <w:t>Käll</w:t>
          </w:r>
          <w:proofErr w:type="spellEnd"/>
          <w:r>
            <w:rPr>
              <w:rFonts w:eastAsia="Times New Roman"/>
            </w:rPr>
            <w:t xml:space="preserve">, L., Canterbury, J. D., Weston, J., Noble, W. S. &amp; </w:t>
          </w:r>
          <w:proofErr w:type="spellStart"/>
          <w:r>
            <w:rPr>
              <w:rFonts w:eastAsia="Times New Roman"/>
            </w:rPr>
            <w:t>MacCoss</w:t>
          </w:r>
          <w:proofErr w:type="spellEnd"/>
          <w:r>
            <w:rPr>
              <w:rFonts w:eastAsia="Times New Roman"/>
            </w:rPr>
            <w:t xml:space="preserve">, M. J. Semi-supervised learning for peptide identification from shotgun proteomics datasets. </w:t>
          </w:r>
          <w:r>
            <w:rPr>
              <w:rFonts w:eastAsia="Times New Roman"/>
              <w:i/>
              <w:iCs/>
            </w:rPr>
            <w:t>Nature Methods</w:t>
          </w:r>
          <w:r>
            <w:rPr>
              <w:rFonts w:eastAsia="Times New Roman"/>
            </w:rPr>
            <w:t xml:space="preserve"> </w:t>
          </w:r>
          <w:r>
            <w:rPr>
              <w:rFonts w:eastAsia="Times New Roman"/>
              <w:b/>
              <w:bCs/>
            </w:rPr>
            <w:t>4</w:t>
          </w:r>
          <w:r>
            <w:rPr>
              <w:rFonts w:eastAsia="Times New Roman"/>
            </w:rPr>
            <w:t>, 923–925 (2007).</w:t>
          </w:r>
        </w:p>
        <w:p w14:paraId="0E54E0AB" w14:textId="77777777" w:rsidR="003204EA" w:rsidRDefault="003204EA">
          <w:pPr>
            <w:autoSpaceDE w:val="0"/>
            <w:autoSpaceDN w:val="0"/>
            <w:ind w:hanging="640"/>
            <w:divId w:val="62342414"/>
            <w:rPr>
              <w:rFonts w:eastAsia="Times New Roman"/>
            </w:rPr>
          </w:pPr>
          <w:r>
            <w:rPr>
              <w:rFonts w:eastAsia="Times New Roman"/>
            </w:rPr>
            <w:t>149.</w:t>
          </w:r>
          <w:r>
            <w:rPr>
              <w:rFonts w:eastAsia="Times New Roman"/>
            </w:rPr>
            <w:tab/>
            <w:t xml:space="preserve">Patnode, M. L. </w:t>
          </w:r>
          <w:r>
            <w:rPr>
              <w:rFonts w:eastAsia="Times New Roman"/>
              <w:i/>
              <w:iCs/>
            </w:rPr>
            <w:t>et al.</w:t>
          </w:r>
          <w:r>
            <w:rPr>
              <w:rFonts w:eastAsia="Times New Roman"/>
            </w:rPr>
            <w:t xml:space="preserve"> Interspecies Competition Impacts Targeted Manipulation of Human Gut Bacteria by Fiber- Derived Glycans Article Interspecies Competition Impacts Targeted Manipulation of Human Gut Bacteria by Fiber-Derived Glycans. </w:t>
          </w:r>
          <w:r>
            <w:rPr>
              <w:rFonts w:eastAsia="Times New Roman"/>
              <w:i/>
              <w:iCs/>
            </w:rPr>
            <w:t>Cell</w:t>
          </w:r>
          <w:r>
            <w:rPr>
              <w:rFonts w:eastAsia="Times New Roman"/>
            </w:rPr>
            <w:t xml:space="preserve"> </w:t>
          </w:r>
          <w:r>
            <w:rPr>
              <w:rFonts w:eastAsia="Times New Roman"/>
              <w:b/>
              <w:bCs/>
            </w:rPr>
            <w:t>179</w:t>
          </w:r>
          <w:r>
            <w:rPr>
              <w:rFonts w:eastAsia="Times New Roman"/>
            </w:rPr>
            <w:t>, 59-73.e13 (2019).</w:t>
          </w:r>
        </w:p>
        <w:p w14:paraId="693BC341" w14:textId="77777777" w:rsidR="003204EA" w:rsidRDefault="003204EA">
          <w:pPr>
            <w:autoSpaceDE w:val="0"/>
            <w:autoSpaceDN w:val="0"/>
            <w:ind w:hanging="640"/>
            <w:divId w:val="1343899959"/>
            <w:rPr>
              <w:rFonts w:eastAsia="Times New Roman"/>
            </w:rPr>
          </w:pPr>
          <w:r>
            <w:rPr>
              <w:rFonts w:eastAsia="Times New Roman"/>
            </w:rPr>
            <w:t>150.</w:t>
          </w:r>
          <w:r>
            <w:rPr>
              <w:rFonts w:eastAsia="Times New Roman"/>
            </w:rPr>
            <w:tab/>
          </w:r>
          <w:proofErr w:type="spellStart"/>
          <w:r>
            <w:rPr>
              <w:rFonts w:eastAsia="Times New Roman"/>
            </w:rPr>
            <w:t>Xiong</w:t>
          </w:r>
          <w:proofErr w:type="spellEnd"/>
          <w:r>
            <w:rPr>
              <w:rFonts w:eastAsia="Times New Roman"/>
            </w:rPr>
            <w:t xml:space="preserve">, W., Brown, C. T., Morowitz, M. J., Banfield, J. F. &amp; Hettich, R. L. Genome-resolved metaproteomic characterization of preterm infant gut microbiota development reveals species-specific metabolic shifts and variabilities during early life. </w:t>
          </w:r>
          <w:r>
            <w:rPr>
              <w:rFonts w:eastAsia="Times New Roman"/>
              <w:i/>
              <w:iCs/>
            </w:rPr>
            <w:t>Microbiome</w:t>
          </w:r>
          <w:r>
            <w:rPr>
              <w:rFonts w:eastAsia="Times New Roman"/>
            </w:rPr>
            <w:t xml:space="preserve"> </w:t>
          </w:r>
          <w:r>
            <w:rPr>
              <w:rFonts w:eastAsia="Times New Roman"/>
              <w:b/>
              <w:bCs/>
            </w:rPr>
            <w:t>5</w:t>
          </w:r>
          <w:r>
            <w:rPr>
              <w:rFonts w:eastAsia="Times New Roman"/>
            </w:rPr>
            <w:t>, 72 (2017).</w:t>
          </w:r>
        </w:p>
        <w:p w14:paraId="34BE8B3A" w14:textId="77777777" w:rsidR="003204EA" w:rsidRDefault="003204EA">
          <w:pPr>
            <w:autoSpaceDE w:val="0"/>
            <w:autoSpaceDN w:val="0"/>
            <w:ind w:hanging="640"/>
            <w:divId w:val="1862085578"/>
            <w:rPr>
              <w:rFonts w:eastAsia="Times New Roman"/>
            </w:rPr>
          </w:pPr>
          <w:r>
            <w:rPr>
              <w:rFonts w:eastAsia="Times New Roman"/>
            </w:rPr>
            <w:t>151.</w:t>
          </w:r>
          <w:r>
            <w:rPr>
              <w:rFonts w:eastAsia="Times New Roman"/>
            </w:rPr>
            <w:tab/>
            <w:t xml:space="preserve">Webb-Robertson, B. J. M. </w:t>
          </w:r>
          <w:r>
            <w:rPr>
              <w:rFonts w:eastAsia="Times New Roman"/>
              <w:i/>
              <w:iCs/>
            </w:rPr>
            <w:t>et al.</w:t>
          </w:r>
          <w:r>
            <w:rPr>
              <w:rFonts w:eastAsia="Times New Roman"/>
            </w:rPr>
            <w:t xml:space="preserve"> Review, evaluation, and discussion of the challenges of missing value imputation for mass spectrometry-based label-free global proteomics. </w:t>
          </w:r>
          <w:r>
            <w:rPr>
              <w:rFonts w:eastAsia="Times New Roman"/>
              <w:i/>
              <w:iCs/>
            </w:rPr>
            <w:t>Journal of Proteome Research</w:t>
          </w:r>
          <w:r>
            <w:rPr>
              <w:rFonts w:eastAsia="Times New Roman"/>
            </w:rPr>
            <w:t xml:space="preserve"> </w:t>
          </w:r>
          <w:r>
            <w:rPr>
              <w:rFonts w:eastAsia="Times New Roman"/>
              <w:b/>
              <w:bCs/>
            </w:rPr>
            <w:t>14</w:t>
          </w:r>
          <w:r>
            <w:rPr>
              <w:rFonts w:eastAsia="Times New Roman"/>
            </w:rPr>
            <w:t>, 1993–2001 (2015).</w:t>
          </w:r>
        </w:p>
        <w:p w14:paraId="0CEFF828" w14:textId="77777777" w:rsidR="003204EA" w:rsidRDefault="003204EA">
          <w:pPr>
            <w:autoSpaceDE w:val="0"/>
            <w:autoSpaceDN w:val="0"/>
            <w:ind w:hanging="640"/>
            <w:divId w:val="2054500325"/>
            <w:rPr>
              <w:rFonts w:eastAsia="Times New Roman"/>
            </w:rPr>
          </w:pPr>
          <w:r>
            <w:rPr>
              <w:rFonts w:eastAsia="Times New Roman"/>
            </w:rPr>
            <w:t>152.</w:t>
          </w:r>
          <w:r>
            <w:rPr>
              <w:rFonts w:eastAsia="Times New Roman"/>
            </w:rPr>
            <w:tab/>
            <w:t xml:space="preserve">Lim, M. Y., Paulo, J. A. &amp; </w:t>
          </w:r>
          <w:proofErr w:type="spellStart"/>
          <w:r>
            <w:rPr>
              <w:rFonts w:eastAsia="Times New Roman"/>
            </w:rPr>
            <w:t>Gygi</w:t>
          </w:r>
          <w:proofErr w:type="spellEnd"/>
          <w:r>
            <w:rPr>
              <w:rFonts w:eastAsia="Times New Roman"/>
            </w:rPr>
            <w:t xml:space="preserve">, S. P. Evaluating False Transfer Rates from the Match-between-Runs Algorithm with a Two-Proteome Model. </w:t>
          </w:r>
          <w:r>
            <w:rPr>
              <w:rFonts w:eastAsia="Times New Roman"/>
              <w:i/>
              <w:iCs/>
            </w:rPr>
            <w:t>Journal of Proteome Research</w:t>
          </w:r>
          <w:r>
            <w:rPr>
              <w:rFonts w:eastAsia="Times New Roman"/>
            </w:rPr>
            <w:t xml:space="preserve"> </w:t>
          </w:r>
          <w:r>
            <w:rPr>
              <w:rFonts w:eastAsia="Times New Roman"/>
              <w:b/>
              <w:bCs/>
            </w:rPr>
            <w:t>18</w:t>
          </w:r>
          <w:r>
            <w:rPr>
              <w:rFonts w:eastAsia="Times New Roman"/>
            </w:rPr>
            <w:t>, 4020–4026 (2019).</w:t>
          </w:r>
        </w:p>
        <w:p w14:paraId="6D0FBFF7" w14:textId="77777777" w:rsidR="003204EA" w:rsidRDefault="003204EA">
          <w:pPr>
            <w:autoSpaceDE w:val="0"/>
            <w:autoSpaceDN w:val="0"/>
            <w:ind w:hanging="640"/>
            <w:divId w:val="1752578348"/>
            <w:rPr>
              <w:rFonts w:eastAsia="Times New Roman"/>
            </w:rPr>
          </w:pPr>
          <w:r>
            <w:rPr>
              <w:rFonts w:eastAsia="Times New Roman"/>
            </w:rPr>
            <w:t>153.</w:t>
          </w:r>
          <w:r>
            <w:rPr>
              <w:rFonts w:eastAsia="Times New Roman"/>
            </w:rPr>
            <w:tab/>
          </w:r>
          <w:proofErr w:type="spellStart"/>
          <w:r>
            <w:rPr>
              <w:rFonts w:eastAsia="Times New Roman"/>
            </w:rPr>
            <w:t>Schiebenhoefer</w:t>
          </w:r>
          <w:proofErr w:type="spellEnd"/>
          <w:r>
            <w:rPr>
              <w:rFonts w:eastAsia="Times New Roman"/>
            </w:rPr>
            <w:t xml:space="preserve">, H. </w:t>
          </w:r>
          <w:r>
            <w:rPr>
              <w:rFonts w:eastAsia="Times New Roman"/>
              <w:i/>
              <w:iCs/>
            </w:rPr>
            <w:t>et al.</w:t>
          </w:r>
          <w:r>
            <w:rPr>
              <w:rFonts w:eastAsia="Times New Roman"/>
            </w:rPr>
            <w:t xml:space="preserve"> A complete and flexible workflow for metaproteomics data analysis based on </w:t>
          </w:r>
          <w:proofErr w:type="spellStart"/>
          <w:r>
            <w:rPr>
              <w:rFonts w:eastAsia="Times New Roman"/>
            </w:rPr>
            <w:t>MetaProteomeAnalyzer</w:t>
          </w:r>
          <w:proofErr w:type="spellEnd"/>
          <w:r>
            <w:rPr>
              <w:rFonts w:eastAsia="Times New Roman"/>
            </w:rPr>
            <w:t xml:space="preserve"> and Prophane. </w:t>
          </w:r>
          <w:r>
            <w:rPr>
              <w:rFonts w:eastAsia="Times New Roman"/>
              <w:i/>
              <w:iCs/>
            </w:rPr>
            <w:t>Nature Protocols</w:t>
          </w:r>
          <w:r>
            <w:rPr>
              <w:rFonts w:eastAsia="Times New Roman"/>
            </w:rPr>
            <w:t xml:space="preserve"> </w:t>
          </w:r>
          <w:r>
            <w:rPr>
              <w:rFonts w:eastAsia="Times New Roman"/>
              <w:b/>
              <w:bCs/>
            </w:rPr>
            <w:t>15</w:t>
          </w:r>
          <w:r>
            <w:rPr>
              <w:rFonts w:eastAsia="Times New Roman"/>
            </w:rPr>
            <w:t>, 3212–3239 (2020).</w:t>
          </w:r>
        </w:p>
        <w:p w14:paraId="104451BB" w14:textId="77777777" w:rsidR="003204EA" w:rsidRDefault="003204EA">
          <w:pPr>
            <w:autoSpaceDE w:val="0"/>
            <w:autoSpaceDN w:val="0"/>
            <w:ind w:hanging="640"/>
            <w:divId w:val="1649818982"/>
            <w:rPr>
              <w:rFonts w:eastAsia="Times New Roman"/>
            </w:rPr>
          </w:pPr>
          <w:r>
            <w:rPr>
              <w:rFonts w:eastAsia="Times New Roman"/>
            </w:rPr>
            <w:t>154.</w:t>
          </w:r>
          <w:r>
            <w:rPr>
              <w:rFonts w:eastAsia="Times New Roman"/>
            </w:rPr>
            <w:tab/>
          </w:r>
          <w:proofErr w:type="spellStart"/>
          <w:r>
            <w:rPr>
              <w:rFonts w:eastAsia="Times New Roman"/>
            </w:rPr>
            <w:t>Luczynski</w:t>
          </w:r>
          <w:proofErr w:type="spellEnd"/>
          <w:r>
            <w:rPr>
              <w:rFonts w:eastAsia="Times New Roman"/>
            </w:rPr>
            <w:t xml:space="preserve">, P. </w:t>
          </w:r>
          <w:r>
            <w:rPr>
              <w:rFonts w:eastAsia="Times New Roman"/>
              <w:i/>
              <w:iCs/>
            </w:rPr>
            <w:t>et al.</w:t>
          </w:r>
          <w:r>
            <w:rPr>
              <w:rFonts w:eastAsia="Times New Roman"/>
            </w:rPr>
            <w:t xml:space="preserve"> Growing up in a bubble: Using germ-free animals to assess the influence of the gut microbiota on brain and behavior. </w:t>
          </w:r>
          <w:r>
            <w:rPr>
              <w:rFonts w:eastAsia="Times New Roman"/>
              <w:i/>
              <w:iCs/>
            </w:rPr>
            <w:t>International Journal of Neuropsychopharmacology</w:t>
          </w:r>
          <w:r>
            <w:rPr>
              <w:rFonts w:eastAsia="Times New Roman"/>
            </w:rPr>
            <w:t xml:space="preserve"> </w:t>
          </w:r>
          <w:r>
            <w:rPr>
              <w:rFonts w:eastAsia="Times New Roman"/>
              <w:b/>
              <w:bCs/>
            </w:rPr>
            <w:t>19</w:t>
          </w:r>
          <w:r>
            <w:rPr>
              <w:rFonts w:eastAsia="Times New Roman"/>
            </w:rPr>
            <w:t>, 1–17 (2016).</w:t>
          </w:r>
        </w:p>
        <w:p w14:paraId="28003519" w14:textId="77777777" w:rsidR="003204EA" w:rsidRDefault="003204EA">
          <w:pPr>
            <w:autoSpaceDE w:val="0"/>
            <w:autoSpaceDN w:val="0"/>
            <w:ind w:hanging="640"/>
            <w:divId w:val="168763097"/>
            <w:rPr>
              <w:rFonts w:eastAsia="Times New Roman"/>
            </w:rPr>
          </w:pPr>
          <w:r>
            <w:rPr>
              <w:rFonts w:eastAsia="Times New Roman"/>
            </w:rPr>
            <w:t>155.</w:t>
          </w:r>
          <w:r>
            <w:rPr>
              <w:rFonts w:eastAsia="Times New Roman"/>
            </w:rPr>
            <w:tab/>
            <w:t xml:space="preserve">Mazmanian, S. K., Cui, H. L., </w:t>
          </w:r>
          <w:proofErr w:type="spellStart"/>
          <w:r>
            <w:rPr>
              <w:rFonts w:eastAsia="Times New Roman"/>
            </w:rPr>
            <w:t>Tzianabos</w:t>
          </w:r>
          <w:proofErr w:type="spellEnd"/>
          <w:r>
            <w:rPr>
              <w:rFonts w:eastAsia="Times New Roman"/>
            </w:rPr>
            <w:t xml:space="preserve">, A. O. &amp; Kasper, D. L. An immunomodulatory molecule of symbiotic bacteria directs maturation of the host immune system. </w:t>
          </w:r>
          <w:r>
            <w:rPr>
              <w:rFonts w:eastAsia="Times New Roman"/>
              <w:i/>
              <w:iCs/>
            </w:rPr>
            <w:t>Cell</w:t>
          </w:r>
          <w:r>
            <w:rPr>
              <w:rFonts w:eastAsia="Times New Roman"/>
            </w:rPr>
            <w:t xml:space="preserve"> </w:t>
          </w:r>
          <w:r>
            <w:rPr>
              <w:rFonts w:eastAsia="Times New Roman"/>
              <w:b/>
              <w:bCs/>
            </w:rPr>
            <w:t>122</w:t>
          </w:r>
          <w:r>
            <w:rPr>
              <w:rFonts w:eastAsia="Times New Roman"/>
            </w:rPr>
            <w:t>, 107–118 (2005).</w:t>
          </w:r>
        </w:p>
        <w:p w14:paraId="2B01C278" w14:textId="77777777" w:rsidR="003204EA" w:rsidRDefault="003204EA">
          <w:pPr>
            <w:autoSpaceDE w:val="0"/>
            <w:autoSpaceDN w:val="0"/>
            <w:ind w:hanging="640"/>
            <w:divId w:val="2145655788"/>
            <w:rPr>
              <w:rFonts w:eastAsia="Times New Roman"/>
            </w:rPr>
          </w:pPr>
          <w:r>
            <w:rPr>
              <w:rFonts w:eastAsia="Times New Roman"/>
            </w:rPr>
            <w:t>156.</w:t>
          </w:r>
          <w:r>
            <w:rPr>
              <w:rFonts w:eastAsia="Times New Roman"/>
            </w:rPr>
            <w:tab/>
            <w:t xml:space="preserve">Franklin, C. L. &amp; Ericsson, A. C. </w:t>
          </w:r>
          <w:proofErr w:type="gramStart"/>
          <w:r>
            <w:rPr>
              <w:rFonts w:eastAsia="Times New Roman"/>
            </w:rPr>
            <w:t>Microbiota</w:t>
          </w:r>
          <w:proofErr w:type="gramEnd"/>
          <w:r>
            <w:rPr>
              <w:rFonts w:eastAsia="Times New Roman"/>
            </w:rPr>
            <w:t xml:space="preserve"> and reproducibility of rodent models. </w:t>
          </w:r>
          <w:r>
            <w:rPr>
              <w:rFonts w:eastAsia="Times New Roman"/>
              <w:i/>
              <w:iCs/>
            </w:rPr>
            <w:t>Lab Animal</w:t>
          </w:r>
          <w:r>
            <w:rPr>
              <w:rFonts w:eastAsia="Times New Roman"/>
            </w:rPr>
            <w:t xml:space="preserve"> </w:t>
          </w:r>
          <w:r>
            <w:rPr>
              <w:rFonts w:eastAsia="Times New Roman"/>
              <w:b/>
              <w:bCs/>
            </w:rPr>
            <w:t>46</w:t>
          </w:r>
          <w:r>
            <w:rPr>
              <w:rFonts w:eastAsia="Times New Roman"/>
            </w:rPr>
            <w:t>, 114–122 (2017).</w:t>
          </w:r>
        </w:p>
        <w:p w14:paraId="7D8E4CE2" w14:textId="77777777" w:rsidR="003204EA" w:rsidRDefault="003204EA">
          <w:pPr>
            <w:autoSpaceDE w:val="0"/>
            <w:autoSpaceDN w:val="0"/>
            <w:ind w:hanging="640"/>
            <w:divId w:val="717322163"/>
            <w:rPr>
              <w:rFonts w:eastAsia="Times New Roman"/>
            </w:rPr>
          </w:pPr>
          <w:r>
            <w:rPr>
              <w:rFonts w:eastAsia="Times New Roman"/>
            </w:rPr>
            <w:t>157.</w:t>
          </w:r>
          <w:r>
            <w:rPr>
              <w:rFonts w:eastAsia="Times New Roman"/>
            </w:rPr>
            <w:tab/>
            <w:t>Al-</w:t>
          </w:r>
          <w:proofErr w:type="spellStart"/>
          <w:r>
            <w:rPr>
              <w:rFonts w:eastAsia="Times New Roman"/>
            </w:rPr>
            <w:t>Asmakh</w:t>
          </w:r>
          <w:proofErr w:type="spellEnd"/>
          <w:r>
            <w:rPr>
              <w:rFonts w:eastAsia="Times New Roman"/>
            </w:rPr>
            <w:t xml:space="preserve">, M. &amp; </w:t>
          </w:r>
          <w:proofErr w:type="spellStart"/>
          <w:r>
            <w:rPr>
              <w:rFonts w:eastAsia="Times New Roman"/>
            </w:rPr>
            <w:t>Zadjali</w:t>
          </w:r>
          <w:proofErr w:type="spellEnd"/>
          <w:r>
            <w:rPr>
              <w:rFonts w:eastAsia="Times New Roman"/>
            </w:rPr>
            <w:t xml:space="preserve">, F. Use of germ-free animal models in microbiota-related research. </w:t>
          </w:r>
          <w:r>
            <w:rPr>
              <w:rFonts w:eastAsia="Times New Roman"/>
              <w:i/>
              <w:iCs/>
            </w:rPr>
            <w:t>Journal of Microbiology and Biotechnology</w:t>
          </w:r>
          <w:r>
            <w:rPr>
              <w:rFonts w:eastAsia="Times New Roman"/>
            </w:rPr>
            <w:t xml:space="preserve"> </w:t>
          </w:r>
          <w:r>
            <w:rPr>
              <w:rFonts w:eastAsia="Times New Roman"/>
              <w:b/>
              <w:bCs/>
            </w:rPr>
            <w:t>25</w:t>
          </w:r>
          <w:r>
            <w:rPr>
              <w:rFonts w:eastAsia="Times New Roman"/>
            </w:rPr>
            <w:t>, 1583–1588 (2015).</w:t>
          </w:r>
        </w:p>
        <w:p w14:paraId="57286B64" w14:textId="77777777" w:rsidR="003204EA" w:rsidRDefault="003204EA">
          <w:pPr>
            <w:autoSpaceDE w:val="0"/>
            <w:autoSpaceDN w:val="0"/>
            <w:ind w:hanging="640"/>
            <w:divId w:val="764039762"/>
            <w:rPr>
              <w:rFonts w:eastAsia="Times New Roman"/>
            </w:rPr>
          </w:pPr>
          <w:r>
            <w:rPr>
              <w:rFonts w:eastAsia="Times New Roman"/>
            </w:rPr>
            <w:t>158.</w:t>
          </w:r>
          <w:r>
            <w:rPr>
              <w:rFonts w:eastAsia="Times New Roman"/>
            </w:rPr>
            <w:tab/>
            <w:t xml:space="preserve">Goodman, A. L. </w:t>
          </w:r>
          <w:r>
            <w:rPr>
              <w:rFonts w:eastAsia="Times New Roman"/>
              <w:i/>
              <w:iCs/>
            </w:rPr>
            <w:t>et al.</w:t>
          </w:r>
          <w:r>
            <w:rPr>
              <w:rFonts w:eastAsia="Times New Roman"/>
            </w:rPr>
            <w:t xml:space="preserve"> Extensive personal human gut microbiota culture collections characterized and manipulated in gnotobiotic mice. </w:t>
          </w:r>
          <w:r>
            <w:rPr>
              <w:rFonts w:eastAsia="Times New Roman"/>
              <w:i/>
              <w:iCs/>
            </w:rPr>
            <w:t xml:space="preserve">Proc Natl </w:t>
          </w:r>
          <w:proofErr w:type="spellStart"/>
          <w:r>
            <w:rPr>
              <w:rFonts w:eastAsia="Times New Roman"/>
              <w:i/>
              <w:iCs/>
            </w:rPr>
            <w:t>Acad</w:t>
          </w:r>
          <w:proofErr w:type="spellEnd"/>
          <w:r>
            <w:rPr>
              <w:rFonts w:eastAsia="Times New Roman"/>
              <w:i/>
              <w:iCs/>
            </w:rPr>
            <w:t xml:space="preserve"> Sci U S A</w:t>
          </w:r>
          <w:r>
            <w:rPr>
              <w:rFonts w:eastAsia="Times New Roman"/>
            </w:rPr>
            <w:t xml:space="preserve"> </w:t>
          </w:r>
          <w:r>
            <w:rPr>
              <w:rFonts w:eastAsia="Times New Roman"/>
              <w:b/>
              <w:bCs/>
            </w:rPr>
            <w:t>108</w:t>
          </w:r>
          <w:r>
            <w:rPr>
              <w:rFonts w:eastAsia="Times New Roman"/>
            </w:rPr>
            <w:t>, 6252–6257 (2011).</w:t>
          </w:r>
        </w:p>
        <w:p w14:paraId="44ACCDBE" w14:textId="77777777" w:rsidR="003204EA" w:rsidRDefault="003204EA">
          <w:pPr>
            <w:autoSpaceDE w:val="0"/>
            <w:autoSpaceDN w:val="0"/>
            <w:ind w:hanging="640"/>
            <w:divId w:val="857087304"/>
            <w:rPr>
              <w:rFonts w:eastAsia="Times New Roman"/>
            </w:rPr>
          </w:pPr>
          <w:r>
            <w:rPr>
              <w:rFonts w:eastAsia="Times New Roman"/>
            </w:rPr>
            <w:t>159.</w:t>
          </w:r>
          <w:r>
            <w:rPr>
              <w:rFonts w:eastAsia="Times New Roman"/>
            </w:rPr>
            <w:tab/>
          </w:r>
          <w:proofErr w:type="spellStart"/>
          <w:r>
            <w:rPr>
              <w:rFonts w:eastAsia="Times New Roman"/>
            </w:rPr>
            <w:t>Renzone</w:t>
          </w:r>
          <w:proofErr w:type="spellEnd"/>
          <w:r>
            <w:rPr>
              <w:rFonts w:eastAsia="Times New Roman"/>
            </w:rPr>
            <w:t xml:space="preserve">, G., Arena, S. &amp; </w:t>
          </w:r>
          <w:proofErr w:type="spellStart"/>
          <w:r>
            <w:rPr>
              <w:rFonts w:eastAsia="Times New Roman"/>
            </w:rPr>
            <w:t>Scaloni</w:t>
          </w:r>
          <w:proofErr w:type="spellEnd"/>
          <w:r>
            <w:rPr>
              <w:rFonts w:eastAsia="Times New Roman"/>
            </w:rPr>
            <w:t xml:space="preserve">, A. Proteomic characterization of intermediate and advanced glycation end-products in commercial milk samples. </w:t>
          </w:r>
          <w:r>
            <w:rPr>
              <w:rFonts w:eastAsia="Times New Roman"/>
              <w:i/>
              <w:iCs/>
            </w:rPr>
            <w:t>Journal of Proteomics</w:t>
          </w:r>
          <w:r>
            <w:rPr>
              <w:rFonts w:eastAsia="Times New Roman"/>
            </w:rPr>
            <w:t xml:space="preserve"> </w:t>
          </w:r>
          <w:r>
            <w:rPr>
              <w:rFonts w:eastAsia="Times New Roman"/>
              <w:b/>
              <w:bCs/>
            </w:rPr>
            <w:t>117</w:t>
          </w:r>
          <w:r>
            <w:rPr>
              <w:rFonts w:eastAsia="Times New Roman"/>
            </w:rPr>
            <w:t>, (2015).</w:t>
          </w:r>
        </w:p>
        <w:p w14:paraId="345DD9E0" w14:textId="77777777" w:rsidR="003204EA" w:rsidRDefault="003204EA">
          <w:pPr>
            <w:autoSpaceDE w:val="0"/>
            <w:autoSpaceDN w:val="0"/>
            <w:ind w:hanging="640"/>
            <w:divId w:val="1981231188"/>
            <w:rPr>
              <w:rFonts w:eastAsia="Times New Roman"/>
            </w:rPr>
          </w:pPr>
          <w:r>
            <w:rPr>
              <w:rFonts w:eastAsia="Times New Roman"/>
            </w:rPr>
            <w:t>160.</w:t>
          </w:r>
          <w:r>
            <w:rPr>
              <w:rFonts w:eastAsia="Times New Roman"/>
            </w:rPr>
            <w:tab/>
          </w:r>
          <w:proofErr w:type="spellStart"/>
          <w:r>
            <w:rPr>
              <w:rFonts w:eastAsia="Times New Roman"/>
            </w:rPr>
            <w:t>Luévano</w:t>
          </w:r>
          <w:proofErr w:type="spellEnd"/>
          <w:r>
            <w:rPr>
              <w:rFonts w:eastAsia="Times New Roman"/>
            </w:rPr>
            <w:t xml:space="preserve">-Contreras, C., Gómez-Ojeda, A., </w:t>
          </w:r>
          <w:proofErr w:type="spellStart"/>
          <w:r>
            <w:rPr>
              <w:rFonts w:eastAsia="Times New Roman"/>
            </w:rPr>
            <w:t>Macías</w:t>
          </w:r>
          <w:proofErr w:type="spellEnd"/>
          <w:r>
            <w:rPr>
              <w:rFonts w:eastAsia="Times New Roman"/>
            </w:rPr>
            <w:t xml:space="preserve">-Cervantes, M. H. &amp; </w:t>
          </w:r>
          <w:proofErr w:type="spellStart"/>
          <w:r>
            <w:rPr>
              <w:rFonts w:eastAsia="Times New Roman"/>
            </w:rPr>
            <w:t>Garay</w:t>
          </w:r>
          <w:proofErr w:type="spellEnd"/>
          <w:r>
            <w:rPr>
              <w:rFonts w:eastAsia="Times New Roman"/>
            </w:rPr>
            <w:t xml:space="preserve">-Sevilla, M. E. Dietary Advanced Glycation End Products and Cardiometabolic Risk. </w:t>
          </w:r>
          <w:r>
            <w:rPr>
              <w:rFonts w:eastAsia="Times New Roman"/>
              <w:i/>
              <w:iCs/>
            </w:rPr>
            <w:t>Current Diabetes Reports</w:t>
          </w:r>
          <w:r>
            <w:rPr>
              <w:rFonts w:eastAsia="Times New Roman"/>
            </w:rPr>
            <w:t xml:space="preserve"> vol. 17 Preprint at https://doi.org/10.1007/s11892-017-0891-2 (2017).</w:t>
          </w:r>
        </w:p>
        <w:p w14:paraId="0F7C36C7" w14:textId="77777777" w:rsidR="003204EA" w:rsidRDefault="003204EA">
          <w:pPr>
            <w:autoSpaceDE w:val="0"/>
            <w:autoSpaceDN w:val="0"/>
            <w:ind w:hanging="640"/>
            <w:divId w:val="613635034"/>
            <w:rPr>
              <w:rFonts w:eastAsia="Times New Roman"/>
            </w:rPr>
          </w:pPr>
          <w:r>
            <w:rPr>
              <w:rFonts w:eastAsia="Times New Roman"/>
            </w:rPr>
            <w:t>161.</w:t>
          </w:r>
          <w:r>
            <w:rPr>
              <w:rFonts w:eastAsia="Times New Roman"/>
            </w:rPr>
            <w:tab/>
            <w:t xml:space="preserve">Kumar, J., Das, S. &amp; Teoh, S. L. Dietary </w:t>
          </w:r>
          <w:proofErr w:type="gramStart"/>
          <w:r>
            <w:rPr>
              <w:rFonts w:eastAsia="Times New Roman"/>
            </w:rPr>
            <w:t>Acrylamide</w:t>
          </w:r>
          <w:proofErr w:type="gramEnd"/>
          <w:r>
            <w:rPr>
              <w:rFonts w:eastAsia="Times New Roman"/>
            </w:rPr>
            <w:t xml:space="preserve"> and the Risks of Developing Cancer: Facts to Ponder. </w:t>
          </w:r>
          <w:r>
            <w:rPr>
              <w:rFonts w:eastAsia="Times New Roman"/>
              <w:i/>
              <w:iCs/>
            </w:rPr>
            <w:t>Frontiers in Nutrition</w:t>
          </w:r>
          <w:r>
            <w:rPr>
              <w:rFonts w:eastAsia="Times New Roman"/>
            </w:rPr>
            <w:t xml:space="preserve"> vol. 5 Preprint at https://doi.org/10.3389/fnut.2018.00014 (2018).</w:t>
          </w:r>
        </w:p>
        <w:p w14:paraId="2B4E1FF3" w14:textId="77777777" w:rsidR="003204EA" w:rsidRDefault="003204EA">
          <w:pPr>
            <w:autoSpaceDE w:val="0"/>
            <w:autoSpaceDN w:val="0"/>
            <w:ind w:hanging="640"/>
            <w:divId w:val="22443981"/>
            <w:rPr>
              <w:rFonts w:eastAsia="Times New Roman"/>
            </w:rPr>
          </w:pPr>
          <w:r>
            <w:rPr>
              <w:rFonts w:eastAsia="Times New Roman"/>
            </w:rPr>
            <w:t>162.</w:t>
          </w:r>
          <w:r>
            <w:rPr>
              <w:rFonts w:eastAsia="Times New Roman"/>
            </w:rPr>
            <w:tab/>
            <w:t xml:space="preserve">Candela, M. </w:t>
          </w:r>
          <w:r>
            <w:rPr>
              <w:rFonts w:eastAsia="Times New Roman"/>
              <w:i/>
              <w:iCs/>
            </w:rPr>
            <w:t>et al.</w:t>
          </w:r>
          <w:r>
            <w:rPr>
              <w:rFonts w:eastAsia="Times New Roman"/>
            </w:rPr>
            <w:t xml:space="preserve"> Modulation of gut microbiota </w:t>
          </w:r>
          <w:proofErr w:type="spellStart"/>
          <w:r>
            <w:rPr>
              <w:rFonts w:eastAsia="Times New Roman"/>
            </w:rPr>
            <w:t>dysbioses</w:t>
          </w:r>
          <w:proofErr w:type="spellEnd"/>
          <w:r>
            <w:rPr>
              <w:rFonts w:eastAsia="Times New Roman"/>
            </w:rPr>
            <w:t xml:space="preserve"> in type 2 diabetic patients by macrobiotic Ma-Pi 2 diet. </w:t>
          </w:r>
          <w:r>
            <w:rPr>
              <w:rFonts w:eastAsia="Times New Roman"/>
              <w:i/>
              <w:iCs/>
            </w:rPr>
            <w:t>British Journal of Nutrition</w:t>
          </w:r>
          <w:r>
            <w:rPr>
              <w:rFonts w:eastAsia="Times New Roman"/>
            </w:rPr>
            <w:t xml:space="preserve"> </w:t>
          </w:r>
          <w:r>
            <w:rPr>
              <w:rFonts w:eastAsia="Times New Roman"/>
              <w:b/>
              <w:bCs/>
            </w:rPr>
            <w:t>116</w:t>
          </w:r>
          <w:r>
            <w:rPr>
              <w:rFonts w:eastAsia="Times New Roman"/>
            </w:rPr>
            <w:t>, (2016).</w:t>
          </w:r>
        </w:p>
        <w:p w14:paraId="6F2C74D5" w14:textId="77777777" w:rsidR="003204EA" w:rsidRDefault="003204EA">
          <w:pPr>
            <w:autoSpaceDE w:val="0"/>
            <w:autoSpaceDN w:val="0"/>
            <w:ind w:hanging="640"/>
            <w:divId w:val="588779795"/>
            <w:rPr>
              <w:rFonts w:eastAsia="Times New Roman"/>
            </w:rPr>
          </w:pPr>
          <w:r>
            <w:rPr>
              <w:rFonts w:eastAsia="Times New Roman"/>
            </w:rPr>
            <w:t>163.</w:t>
          </w:r>
          <w:r>
            <w:rPr>
              <w:rFonts w:eastAsia="Times New Roman"/>
            </w:rPr>
            <w:tab/>
            <w:t xml:space="preserve">Clarkson, S. M. </w:t>
          </w:r>
          <w:r>
            <w:rPr>
              <w:rFonts w:eastAsia="Times New Roman"/>
              <w:i/>
              <w:iCs/>
            </w:rPr>
            <w:t>et al.</w:t>
          </w:r>
          <w:r>
            <w:rPr>
              <w:rFonts w:eastAsia="Times New Roman"/>
            </w:rPr>
            <w:t xml:space="preserve"> Construction and optimization of a heterologous pathway for protocatechuate catabolism in </w:t>
          </w:r>
          <w:proofErr w:type="spellStart"/>
          <w:r>
            <w:rPr>
              <w:rFonts w:eastAsia="Times New Roman"/>
            </w:rPr>
            <w:t>escherichia</w:t>
          </w:r>
          <w:proofErr w:type="spellEnd"/>
          <w:r>
            <w:rPr>
              <w:rFonts w:eastAsia="Times New Roman"/>
            </w:rPr>
            <w:t xml:space="preserve"> coli enables bioconversion of model aromatic compounds. </w:t>
          </w:r>
          <w:r>
            <w:rPr>
              <w:rFonts w:eastAsia="Times New Roman"/>
              <w:i/>
              <w:iCs/>
            </w:rPr>
            <w:t>Applied and Environmental Microbiology</w:t>
          </w:r>
          <w:r>
            <w:rPr>
              <w:rFonts w:eastAsia="Times New Roman"/>
            </w:rPr>
            <w:t xml:space="preserve"> </w:t>
          </w:r>
          <w:r>
            <w:rPr>
              <w:rFonts w:eastAsia="Times New Roman"/>
              <w:b/>
              <w:bCs/>
            </w:rPr>
            <w:t>83</w:t>
          </w:r>
          <w:r>
            <w:rPr>
              <w:rFonts w:eastAsia="Times New Roman"/>
            </w:rPr>
            <w:t>, (2017).</w:t>
          </w:r>
        </w:p>
        <w:p w14:paraId="178AFB21" w14:textId="77777777" w:rsidR="003204EA" w:rsidRDefault="003204EA">
          <w:pPr>
            <w:autoSpaceDE w:val="0"/>
            <w:autoSpaceDN w:val="0"/>
            <w:ind w:hanging="640"/>
            <w:divId w:val="291323819"/>
            <w:rPr>
              <w:rFonts w:eastAsia="Times New Roman"/>
            </w:rPr>
          </w:pPr>
          <w:r>
            <w:rPr>
              <w:rFonts w:eastAsia="Times New Roman"/>
            </w:rPr>
            <w:t>164.</w:t>
          </w:r>
          <w:r>
            <w:rPr>
              <w:rFonts w:eastAsia="Times New Roman"/>
            </w:rPr>
            <w:tab/>
            <w:t xml:space="preserve">Giannone, R. J., </w:t>
          </w:r>
          <w:proofErr w:type="spellStart"/>
          <w:r>
            <w:rPr>
              <w:rFonts w:eastAsia="Times New Roman"/>
            </w:rPr>
            <w:t>Wurch</w:t>
          </w:r>
          <w:proofErr w:type="spellEnd"/>
          <w:r>
            <w:rPr>
              <w:rFonts w:eastAsia="Times New Roman"/>
            </w:rPr>
            <w:t xml:space="preserve">, L. L., </w:t>
          </w:r>
          <w:proofErr w:type="spellStart"/>
          <w:r>
            <w:rPr>
              <w:rFonts w:eastAsia="Times New Roman"/>
            </w:rPr>
            <w:t>Podar</w:t>
          </w:r>
          <w:proofErr w:type="spellEnd"/>
          <w:r>
            <w:rPr>
              <w:rFonts w:eastAsia="Times New Roman"/>
            </w:rPr>
            <w:t xml:space="preserve">, M. &amp; Hettich, R. L. Rescuing Those Left Behind: Recovering and Characterizing </w:t>
          </w:r>
          <w:proofErr w:type="spellStart"/>
          <w:r>
            <w:rPr>
              <w:rFonts w:eastAsia="Times New Roman"/>
            </w:rPr>
            <w:t>Underdigested</w:t>
          </w:r>
          <w:proofErr w:type="spellEnd"/>
          <w:r>
            <w:rPr>
              <w:rFonts w:eastAsia="Times New Roman"/>
            </w:rPr>
            <w:t xml:space="preserve"> Membrane and Hydrophobic Proteins </w:t>
          </w:r>
          <w:proofErr w:type="gramStart"/>
          <w:r>
            <w:rPr>
              <w:rFonts w:eastAsia="Times New Roman"/>
            </w:rPr>
            <w:t>To</w:t>
          </w:r>
          <w:proofErr w:type="gramEnd"/>
          <w:r>
            <w:rPr>
              <w:rFonts w:eastAsia="Times New Roman"/>
            </w:rPr>
            <w:t xml:space="preserve"> Enhance Proteome Measurement Depth. </w:t>
          </w:r>
          <w:r>
            <w:rPr>
              <w:rFonts w:eastAsia="Times New Roman"/>
              <w:i/>
              <w:iCs/>
            </w:rPr>
            <w:t>Analytical Chemistry</w:t>
          </w:r>
          <w:r>
            <w:rPr>
              <w:rFonts w:eastAsia="Times New Roman"/>
            </w:rPr>
            <w:t xml:space="preserve"> </w:t>
          </w:r>
          <w:r>
            <w:rPr>
              <w:rFonts w:eastAsia="Times New Roman"/>
              <w:b/>
              <w:bCs/>
            </w:rPr>
            <w:t>87</w:t>
          </w:r>
          <w:r>
            <w:rPr>
              <w:rFonts w:eastAsia="Times New Roman"/>
            </w:rPr>
            <w:t>, 7720–7728 (2015).</w:t>
          </w:r>
        </w:p>
        <w:p w14:paraId="49D0DC42" w14:textId="77777777" w:rsidR="003204EA" w:rsidRDefault="003204EA">
          <w:pPr>
            <w:autoSpaceDE w:val="0"/>
            <w:autoSpaceDN w:val="0"/>
            <w:ind w:hanging="640"/>
            <w:divId w:val="720329390"/>
            <w:rPr>
              <w:rFonts w:eastAsia="Times New Roman"/>
            </w:rPr>
          </w:pPr>
          <w:r>
            <w:rPr>
              <w:rFonts w:eastAsia="Times New Roman"/>
            </w:rPr>
            <w:t>165.</w:t>
          </w:r>
          <w:r>
            <w:rPr>
              <w:rFonts w:eastAsia="Times New Roman"/>
            </w:rPr>
            <w:tab/>
            <w:t xml:space="preserve">Holman, J. D., Ma, Z. Q. &amp; Tabb, D. L. Identifying Proteomic LC-MS/MS data sets with bumbershoot and </w:t>
          </w:r>
          <w:proofErr w:type="spellStart"/>
          <w:r>
            <w:rPr>
              <w:rFonts w:eastAsia="Times New Roman"/>
            </w:rPr>
            <w:t>IDpicker</w:t>
          </w:r>
          <w:proofErr w:type="spellEnd"/>
          <w:r>
            <w:rPr>
              <w:rFonts w:eastAsia="Times New Roman"/>
            </w:rPr>
            <w:t xml:space="preserve">. </w:t>
          </w:r>
          <w:r>
            <w:rPr>
              <w:rFonts w:eastAsia="Times New Roman"/>
              <w:i/>
              <w:iCs/>
            </w:rPr>
            <w:t>Current Protocols in Bioinformatics</w:t>
          </w:r>
          <w:r>
            <w:rPr>
              <w:rFonts w:eastAsia="Times New Roman"/>
            </w:rPr>
            <w:t xml:space="preserve"> 1–15 (2012) doi:10.1002/0471250953.bi1317s37.</w:t>
          </w:r>
        </w:p>
        <w:p w14:paraId="6C9E9D73" w14:textId="77777777" w:rsidR="003204EA" w:rsidRDefault="003204EA">
          <w:pPr>
            <w:autoSpaceDE w:val="0"/>
            <w:autoSpaceDN w:val="0"/>
            <w:ind w:hanging="640"/>
            <w:divId w:val="1708488827"/>
            <w:rPr>
              <w:rFonts w:eastAsia="Times New Roman"/>
            </w:rPr>
          </w:pPr>
          <w:r>
            <w:rPr>
              <w:rFonts w:eastAsia="Times New Roman"/>
            </w:rPr>
            <w:t>166.</w:t>
          </w:r>
          <w:r>
            <w:rPr>
              <w:rFonts w:eastAsia="Times New Roman"/>
            </w:rPr>
            <w:tab/>
            <w:t xml:space="preserve">Kong, A. T., </w:t>
          </w:r>
          <w:proofErr w:type="spellStart"/>
          <w:r>
            <w:rPr>
              <w:rFonts w:eastAsia="Times New Roman"/>
            </w:rPr>
            <w:t>Leprevost</w:t>
          </w:r>
          <w:proofErr w:type="spellEnd"/>
          <w:r>
            <w:rPr>
              <w:rFonts w:eastAsia="Times New Roman"/>
            </w:rPr>
            <w:t xml:space="preserve">, F. v., </w:t>
          </w:r>
          <w:proofErr w:type="spellStart"/>
          <w:r>
            <w:rPr>
              <w:rFonts w:eastAsia="Times New Roman"/>
            </w:rPr>
            <w:t>Avtonomov</w:t>
          </w:r>
          <w:proofErr w:type="spellEnd"/>
          <w:r>
            <w:rPr>
              <w:rFonts w:eastAsia="Times New Roman"/>
            </w:rPr>
            <w:t xml:space="preserve">, D. M., </w:t>
          </w:r>
          <w:proofErr w:type="spellStart"/>
          <w:r>
            <w:rPr>
              <w:rFonts w:eastAsia="Times New Roman"/>
            </w:rPr>
            <w:t>Mellacheruvu</w:t>
          </w:r>
          <w:proofErr w:type="spellEnd"/>
          <w:r>
            <w:rPr>
              <w:rFonts w:eastAsia="Times New Roman"/>
            </w:rPr>
            <w:t xml:space="preserve">, D. &amp; </w:t>
          </w:r>
          <w:proofErr w:type="spellStart"/>
          <w:r>
            <w:rPr>
              <w:rFonts w:eastAsia="Times New Roman"/>
            </w:rPr>
            <w:t>Nesvizhskii</w:t>
          </w:r>
          <w:proofErr w:type="spellEnd"/>
          <w:r>
            <w:rPr>
              <w:rFonts w:eastAsia="Times New Roman"/>
            </w:rPr>
            <w:t xml:space="preserve">, A. I. </w:t>
          </w:r>
          <w:proofErr w:type="spellStart"/>
          <w:r>
            <w:rPr>
              <w:rFonts w:eastAsia="Times New Roman"/>
            </w:rPr>
            <w:t>MSFragger</w:t>
          </w:r>
          <w:proofErr w:type="spellEnd"/>
          <w:r>
            <w:rPr>
              <w:rFonts w:eastAsia="Times New Roman"/>
            </w:rPr>
            <w:t xml:space="preserve">: Ultrafast and comprehensive peptide identification in mass spectrometry-based proteomics. </w:t>
          </w:r>
          <w:r>
            <w:rPr>
              <w:rFonts w:eastAsia="Times New Roman"/>
              <w:i/>
              <w:iCs/>
            </w:rPr>
            <w:t>Nature Methods</w:t>
          </w:r>
          <w:r>
            <w:rPr>
              <w:rFonts w:eastAsia="Times New Roman"/>
            </w:rPr>
            <w:t xml:space="preserve"> </w:t>
          </w:r>
          <w:r>
            <w:rPr>
              <w:rFonts w:eastAsia="Times New Roman"/>
              <w:b/>
              <w:bCs/>
            </w:rPr>
            <w:t>14</w:t>
          </w:r>
          <w:r>
            <w:rPr>
              <w:rFonts w:eastAsia="Times New Roman"/>
            </w:rPr>
            <w:t>, 513–520 (2017).</w:t>
          </w:r>
        </w:p>
        <w:p w14:paraId="1C0B3DF0" w14:textId="77777777" w:rsidR="003204EA" w:rsidRDefault="003204EA">
          <w:pPr>
            <w:autoSpaceDE w:val="0"/>
            <w:autoSpaceDN w:val="0"/>
            <w:ind w:hanging="640"/>
            <w:divId w:val="914629785"/>
            <w:rPr>
              <w:rFonts w:eastAsia="Times New Roman"/>
            </w:rPr>
          </w:pPr>
          <w:r>
            <w:rPr>
              <w:rFonts w:eastAsia="Times New Roman"/>
            </w:rPr>
            <w:t>167.</w:t>
          </w:r>
          <w:r>
            <w:rPr>
              <w:rFonts w:eastAsia="Times New Roman"/>
            </w:rPr>
            <w:tab/>
            <w:t xml:space="preserve">Jeremiah J. Faith, Philip P. Ahern, Vanessa K. </w:t>
          </w:r>
          <w:proofErr w:type="spellStart"/>
          <w:r>
            <w:rPr>
              <w:rFonts w:eastAsia="Times New Roman"/>
            </w:rPr>
            <w:t>Ridaura</w:t>
          </w:r>
          <w:proofErr w:type="spellEnd"/>
          <w:r>
            <w:rPr>
              <w:rFonts w:eastAsia="Times New Roman"/>
            </w:rPr>
            <w:t xml:space="preserve">, </w:t>
          </w:r>
          <w:proofErr w:type="spellStart"/>
          <w:r>
            <w:rPr>
              <w:rFonts w:eastAsia="Times New Roman"/>
            </w:rPr>
            <w:t>Jiye</w:t>
          </w:r>
          <w:proofErr w:type="spellEnd"/>
          <w:r>
            <w:rPr>
              <w:rFonts w:eastAsia="Times New Roman"/>
            </w:rPr>
            <w:t xml:space="preserve"> Cheng, J. I. &amp; Gordon. Identifying Gut Microbe-Host Phenotype Relationships Using Combinatorial Communities in Gnotobiotic Mice. </w:t>
          </w:r>
          <w:r>
            <w:rPr>
              <w:rFonts w:eastAsia="Times New Roman"/>
              <w:b/>
              <w:bCs/>
            </w:rPr>
            <w:t>6</w:t>
          </w:r>
          <w:r>
            <w:rPr>
              <w:rFonts w:eastAsia="Times New Roman"/>
            </w:rPr>
            <w:t>, (2014).</w:t>
          </w:r>
        </w:p>
        <w:p w14:paraId="7653EF16" w14:textId="77777777" w:rsidR="003204EA" w:rsidRDefault="003204EA">
          <w:pPr>
            <w:autoSpaceDE w:val="0"/>
            <w:autoSpaceDN w:val="0"/>
            <w:ind w:hanging="640"/>
            <w:divId w:val="217405001"/>
            <w:rPr>
              <w:rFonts w:eastAsia="Times New Roman"/>
            </w:rPr>
          </w:pPr>
          <w:r>
            <w:rPr>
              <w:rFonts w:eastAsia="Times New Roman"/>
            </w:rPr>
            <w:t>168.</w:t>
          </w:r>
          <w:r>
            <w:rPr>
              <w:rFonts w:eastAsia="Times New Roman"/>
            </w:rPr>
            <w:tab/>
          </w:r>
          <w:proofErr w:type="spellStart"/>
          <w:r>
            <w:rPr>
              <w:rFonts w:eastAsia="Times New Roman"/>
            </w:rPr>
            <w:t>Ridaura</w:t>
          </w:r>
          <w:proofErr w:type="spellEnd"/>
          <w:r>
            <w:rPr>
              <w:rFonts w:eastAsia="Times New Roman"/>
            </w:rPr>
            <w:t xml:space="preserve">, V. K. </w:t>
          </w:r>
          <w:r>
            <w:rPr>
              <w:rFonts w:eastAsia="Times New Roman"/>
              <w:i/>
              <w:iCs/>
            </w:rPr>
            <w:t>et al.</w:t>
          </w:r>
          <w:r>
            <w:rPr>
              <w:rFonts w:eastAsia="Times New Roman"/>
            </w:rPr>
            <w:t xml:space="preserve"> Gut microbiota from twins discordant for obesity modulate metabolism in mice. </w:t>
          </w:r>
          <w:r>
            <w:rPr>
              <w:rFonts w:eastAsia="Times New Roman"/>
              <w:i/>
              <w:iCs/>
            </w:rPr>
            <w:t>Science (1979)</w:t>
          </w:r>
          <w:r>
            <w:rPr>
              <w:rFonts w:eastAsia="Times New Roman"/>
            </w:rPr>
            <w:t xml:space="preserve"> </w:t>
          </w:r>
          <w:r>
            <w:rPr>
              <w:rFonts w:eastAsia="Times New Roman"/>
              <w:b/>
              <w:bCs/>
            </w:rPr>
            <w:t>341</w:t>
          </w:r>
          <w:r>
            <w:rPr>
              <w:rFonts w:eastAsia="Times New Roman"/>
            </w:rPr>
            <w:t>, (2013).</w:t>
          </w:r>
        </w:p>
        <w:p w14:paraId="0D08031A" w14:textId="77777777" w:rsidR="003204EA" w:rsidRDefault="003204EA">
          <w:pPr>
            <w:autoSpaceDE w:val="0"/>
            <w:autoSpaceDN w:val="0"/>
            <w:ind w:hanging="640"/>
            <w:divId w:val="1135870592"/>
            <w:rPr>
              <w:rFonts w:eastAsia="Times New Roman"/>
            </w:rPr>
          </w:pPr>
          <w:r>
            <w:rPr>
              <w:rFonts w:eastAsia="Times New Roman"/>
            </w:rPr>
            <w:t>169.</w:t>
          </w:r>
          <w:r>
            <w:rPr>
              <w:rFonts w:eastAsia="Times New Roman"/>
            </w:rPr>
            <w:tab/>
            <w:t xml:space="preserve">Martens, E. C. </w:t>
          </w:r>
          <w:r>
            <w:rPr>
              <w:rFonts w:eastAsia="Times New Roman"/>
              <w:i/>
              <w:iCs/>
            </w:rPr>
            <w:t>et al.</w:t>
          </w:r>
          <w:r>
            <w:rPr>
              <w:rFonts w:eastAsia="Times New Roman"/>
            </w:rPr>
            <w:t xml:space="preserve"> Recognition and degradation of plant cell wall polysaccharides by two human gut symbionts. </w:t>
          </w:r>
          <w:proofErr w:type="spellStart"/>
          <w:r>
            <w:rPr>
              <w:rFonts w:eastAsia="Times New Roman"/>
              <w:i/>
              <w:iCs/>
            </w:rPr>
            <w:t>PLoS</w:t>
          </w:r>
          <w:proofErr w:type="spellEnd"/>
          <w:r>
            <w:rPr>
              <w:rFonts w:eastAsia="Times New Roman"/>
              <w:i/>
              <w:iCs/>
            </w:rPr>
            <w:t xml:space="preserve"> Biology</w:t>
          </w:r>
          <w:r>
            <w:rPr>
              <w:rFonts w:eastAsia="Times New Roman"/>
            </w:rPr>
            <w:t xml:space="preserve"> </w:t>
          </w:r>
          <w:r>
            <w:rPr>
              <w:rFonts w:eastAsia="Times New Roman"/>
              <w:b/>
              <w:bCs/>
            </w:rPr>
            <w:t>9</w:t>
          </w:r>
          <w:r>
            <w:rPr>
              <w:rFonts w:eastAsia="Times New Roman"/>
            </w:rPr>
            <w:t>, (2011).</w:t>
          </w:r>
        </w:p>
        <w:p w14:paraId="076BA356" w14:textId="77777777" w:rsidR="003204EA" w:rsidRDefault="003204EA">
          <w:pPr>
            <w:autoSpaceDE w:val="0"/>
            <w:autoSpaceDN w:val="0"/>
            <w:ind w:hanging="640"/>
            <w:divId w:val="1817917367"/>
            <w:rPr>
              <w:rFonts w:eastAsia="Times New Roman"/>
            </w:rPr>
          </w:pPr>
          <w:r>
            <w:rPr>
              <w:rFonts w:eastAsia="Times New Roman"/>
            </w:rPr>
            <w:t>170.</w:t>
          </w:r>
          <w:r>
            <w:rPr>
              <w:rFonts w:eastAsia="Times New Roman"/>
            </w:rPr>
            <w:tab/>
          </w:r>
          <w:proofErr w:type="spellStart"/>
          <w:r>
            <w:rPr>
              <w:rFonts w:eastAsia="Times New Roman"/>
            </w:rPr>
            <w:t>Tuncil</w:t>
          </w:r>
          <w:proofErr w:type="spellEnd"/>
          <w:r>
            <w:rPr>
              <w:rFonts w:eastAsia="Times New Roman"/>
            </w:rPr>
            <w:t xml:space="preserve">, Y. E. </w:t>
          </w:r>
          <w:r>
            <w:rPr>
              <w:rFonts w:eastAsia="Times New Roman"/>
              <w:i/>
              <w:iCs/>
            </w:rPr>
            <w:t>et al.</w:t>
          </w:r>
          <w:r>
            <w:rPr>
              <w:rFonts w:eastAsia="Times New Roman"/>
            </w:rPr>
            <w:t xml:space="preserve"> Reciprocal prioritization to dietary glycans by gut bacteria in a competitive environment promotes stable coexistence. </w:t>
          </w:r>
          <w:r>
            <w:rPr>
              <w:rFonts w:eastAsia="Times New Roman"/>
              <w:i/>
              <w:iCs/>
            </w:rPr>
            <w:t>mBio</w:t>
          </w:r>
          <w:r>
            <w:rPr>
              <w:rFonts w:eastAsia="Times New Roman"/>
            </w:rPr>
            <w:t xml:space="preserve"> </w:t>
          </w:r>
          <w:r>
            <w:rPr>
              <w:rFonts w:eastAsia="Times New Roman"/>
              <w:b/>
              <w:bCs/>
            </w:rPr>
            <w:t>8</w:t>
          </w:r>
          <w:r>
            <w:rPr>
              <w:rFonts w:eastAsia="Times New Roman"/>
            </w:rPr>
            <w:t>, (2017).</w:t>
          </w:r>
        </w:p>
        <w:p w14:paraId="4765D822" w14:textId="77777777" w:rsidR="003204EA" w:rsidRDefault="003204EA">
          <w:pPr>
            <w:autoSpaceDE w:val="0"/>
            <w:autoSpaceDN w:val="0"/>
            <w:ind w:hanging="640"/>
            <w:divId w:val="2142530929"/>
            <w:rPr>
              <w:rFonts w:eastAsia="Times New Roman"/>
            </w:rPr>
          </w:pPr>
          <w:r>
            <w:rPr>
              <w:rFonts w:eastAsia="Times New Roman"/>
            </w:rPr>
            <w:t>171.</w:t>
          </w:r>
          <w:r>
            <w:rPr>
              <w:rFonts w:eastAsia="Times New Roman"/>
            </w:rPr>
            <w:tab/>
            <w:t xml:space="preserve">McNulty, N. P. </w:t>
          </w:r>
          <w:r>
            <w:rPr>
              <w:rFonts w:eastAsia="Times New Roman"/>
              <w:i/>
              <w:iCs/>
            </w:rPr>
            <w:t>et al.</w:t>
          </w:r>
          <w:r>
            <w:rPr>
              <w:rFonts w:eastAsia="Times New Roman"/>
            </w:rPr>
            <w:t xml:space="preserve"> Effects of Diet on Resource Utilization by a Model Human Gut Microbiota Containing Bacteroides cellulosilyticus WH2, a Symbiont with an Extensive </w:t>
          </w:r>
          <w:proofErr w:type="spellStart"/>
          <w:r>
            <w:rPr>
              <w:rFonts w:eastAsia="Times New Roman"/>
            </w:rPr>
            <w:t>Glycobiome</w:t>
          </w:r>
          <w:proofErr w:type="spellEnd"/>
          <w:r>
            <w:rPr>
              <w:rFonts w:eastAsia="Times New Roman"/>
            </w:rPr>
            <w:t xml:space="preserve">. </w:t>
          </w:r>
          <w:proofErr w:type="spellStart"/>
          <w:r>
            <w:rPr>
              <w:rFonts w:eastAsia="Times New Roman"/>
              <w:i/>
              <w:iCs/>
            </w:rPr>
            <w:t>PLoS</w:t>
          </w:r>
          <w:proofErr w:type="spellEnd"/>
          <w:r>
            <w:rPr>
              <w:rFonts w:eastAsia="Times New Roman"/>
              <w:i/>
              <w:iCs/>
            </w:rPr>
            <w:t xml:space="preserve"> Biology</w:t>
          </w:r>
          <w:r>
            <w:rPr>
              <w:rFonts w:eastAsia="Times New Roman"/>
            </w:rPr>
            <w:t xml:space="preserve"> </w:t>
          </w:r>
          <w:r>
            <w:rPr>
              <w:rFonts w:eastAsia="Times New Roman"/>
              <w:b/>
              <w:bCs/>
            </w:rPr>
            <w:t>11</w:t>
          </w:r>
          <w:r>
            <w:rPr>
              <w:rFonts w:eastAsia="Times New Roman"/>
            </w:rPr>
            <w:t>, (2013).</w:t>
          </w:r>
        </w:p>
        <w:p w14:paraId="29216B8A" w14:textId="77777777" w:rsidR="003204EA" w:rsidRDefault="003204EA">
          <w:pPr>
            <w:autoSpaceDE w:val="0"/>
            <w:autoSpaceDN w:val="0"/>
            <w:ind w:hanging="640"/>
            <w:divId w:val="784468989"/>
            <w:rPr>
              <w:rFonts w:eastAsia="Times New Roman"/>
            </w:rPr>
          </w:pPr>
          <w:r>
            <w:rPr>
              <w:rFonts w:eastAsia="Times New Roman"/>
            </w:rPr>
            <w:t>172.</w:t>
          </w:r>
          <w:r>
            <w:rPr>
              <w:rFonts w:eastAsia="Times New Roman"/>
            </w:rPr>
            <w:tab/>
            <w:t xml:space="preserve">Tauzin, A. S. </w:t>
          </w:r>
          <w:r>
            <w:rPr>
              <w:rFonts w:eastAsia="Times New Roman"/>
              <w:i/>
              <w:iCs/>
            </w:rPr>
            <w:t>et al.</w:t>
          </w:r>
          <w:r>
            <w:rPr>
              <w:rFonts w:eastAsia="Times New Roman"/>
            </w:rPr>
            <w:t xml:space="preserve"> Functional characterization of a gene locus from an uncultured gut Bacteroides conferring xylo-oligosaccharides utilization to Escherichia coli. </w:t>
          </w:r>
          <w:r>
            <w:rPr>
              <w:rFonts w:eastAsia="Times New Roman"/>
              <w:i/>
              <w:iCs/>
            </w:rPr>
            <w:t>Molecular Microbiology</w:t>
          </w:r>
          <w:r>
            <w:rPr>
              <w:rFonts w:eastAsia="Times New Roman"/>
            </w:rPr>
            <w:t xml:space="preserve"> </w:t>
          </w:r>
          <w:r>
            <w:rPr>
              <w:rFonts w:eastAsia="Times New Roman"/>
              <w:b/>
              <w:bCs/>
            </w:rPr>
            <w:t>102</w:t>
          </w:r>
          <w:r>
            <w:rPr>
              <w:rFonts w:eastAsia="Times New Roman"/>
            </w:rPr>
            <w:t>, 579–592 (2016).</w:t>
          </w:r>
        </w:p>
        <w:p w14:paraId="02276926" w14:textId="77777777" w:rsidR="003204EA" w:rsidRDefault="003204EA">
          <w:pPr>
            <w:autoSpaceDE w:val="0"/>
            <w:autoSpaceDN w:val="0"/>
            <w:ind w:hanging="640"/>
            <w:divId w:val="1842427369"/>
            <w:rPr>
              <w:rFonts w:eastAsia="Times New Roman"/>
            </w:rPr>
          </w:pPr>
          <w:r>
            <w:rPr>
              <w:rFonts w:eastAsia="Times New Roman"/>
            </w:rPr>
            <w:t>173.</w:t>
          </w:r>
          <w:r>
            <w:rPr>
              <w:rFonts w:eastAsia="Times New Roman"/>
            </w:rPr>
            <w:tab/>
            <w:t xml:space="preserve">Edgar, R. C. </w:t>
          </w:r>
          <w:proofErr w:type="gramStart"/>
          <w:r>
            <w:rPr>
              <w:rFonts w:eastAsia="Times New Roman"/>
            </w:rPr>
            <w:t>Search</w:t>
          </w:r>
          <w:proofErr w:type="gramEnd"/>
          <w:r>
            <w:rPr>
              <w:rFonts w:eastAsia="Times New Roman"/>
            </w:rPr>
            <w:t xml:space="preserve"> and clustering orders of magnitude faster than BLAST. </w:t>
          </w:r>
          <w:r>
            <w:rPr>
              <w:rFonts w:eastAsia="Times New Roman"/>
              <w:i/>
              <w:iCs/>
            </w:rPr>
            <w:t>Bioinformatics</w:t>
          </w:r>
          <w:r>
            <w:rPr>
              <w:rFonts w:eastAsia="Times New Roman"/>
            </w:rPr>
            <w:t xml:space="preserve"> </w:t>
          </w:r>
          <w:r>
            <w:rPr>
              <w:rFonts w:eastAsia="Times New Roman"/>
              <w:b/>
              <w:bCs/>
            </w:rPr>
            <w:t>26</w:t>
          </w:r>
          <w:r>
            <w:rPr>
              <w:rFonts w:eastAsia="Times New Roman"/>
            </w:rPr>
            <w:t>, 2460–2461 (2010).</w:t>
          </w:r>
        </w:p>
        <w:p w14:paraId="3CF98C61" w14:textId="77777777" w:rsidR="003204EA" w:rsidRDefault="003204EA">
          <w:pPr>
            <w:autoSpaceDE w:val="0"/>
            <w:autoSpaceDN w:val="0"/>
            <w:ind w:hanging="640"/>
            <w:divId w:val="1346127217"/>
            <w:rPr>
              <w:rFonts w:eastAsia="Times New Roman"/>
            </w:rPr>
          </w:pPr>
          <w:r>
            <w:rPr>
              <w:rFonts w:eastAsia="Times New Roman"/>
            </w:rPr>
            <w:t>174.</w:t>
          </w:r>
          <w:r>
            <w:rPr>
              <w:rFonts w:eastAsia="Times New Roman"/>
            </w:rPr>
            <w:tab/>
          </w:r>
          <w:proofErr w:type="spellStart"/>
          <w:r>
            <w:rPr>
              <w:rFonts w:eastAsia="Times New Roman"/>
            </w:rPr>
            <w:t>Groer</w:t>
          </w:r>
          <w:proofErr w:type="spellEnd"/>
          <w:r>
            <w:rPr>
              <w:rFonts w:eastAsia="Times New Roman"/>
            </w:rPr>
            <w:t xml:space="preserve">, M. W. </w:t>
          </w:r>
          <w:r>
            <w:rPr>
              <w:rFonts w:eastAsia="Times New Roman"/>
              <w:i/>
              <w:iCs/>
            </w:rPr>
            <w:t>et al.</w:t>
          </w:r>
          <w:r>
            <w:rPr>
              <w:rFonts w:eastAsia="Times New Roman"/>
            </w:rPr>
            <w:t xml:space="preserve"> Development of the preterm infant gut microbiome: a research priority. </w:t>
          </w:r>
          <w:r>
            <w:rPr>
              <w:rFonts w:eastAsia="Times New Roman"/>
              <w:i/>
              <w:iCs/>
            </w:rPr>
            <w:t>Microbiome</w:t>
          </w:r>
          <w:r>
            <w:rPr>
              <w:rFonts w:eastAsia="Times New Roman"/>
            </w:rPr>
            <w:t xml:space="preserve"> </w:t>
          </w:r>
          <w:r>
            <w:rPr>
              <w:rFonts w:eastAsia="Times New Roman"/>
              <w:b/>
              <w:bCs/>
            </w:rPr>
            <w:t>2</w:t>
          </w:r>
          <w:r>
            <w:rPr>
              <w:rFonts w:eastAsia="Times New Roman"/>
            </w:rPr>
            <w:t>, 1–8 (2014).</w:t>
          </w:r>
        </w:p>
        <w:p w14:paraId="4C8B3A35" w14:textId="77777777" w:rsidR="003204EA" w:rsidRDefault="003204EA">
          <w:pPr>
            <w:autoSpaceDE w:val="0"/>
            <w:autoSpaceDN w:val="0"/>
            <w:ind w:hanging="640"/>
            <w:divId w:val="580717071"/>
            <w:rPr>
              <w:rFonts w:eastAsia="Times New Roman"/>
            </w:rPr>
          </w:pPr>
          <w:r>
            <w:rPr>
              <w:rFonts w:eastAsia="Times New Roman"/>
            </w:rPr>
            <w:t>175.</w:t>
          </w:r>
          <w:r>
            <w:rPr>
              <w:rFonts w:eastAsia="Times New Roman"/>
            </w:rPr>
            <w:tab/>
            <w:t xml:space="preserve">Palmer, C., Bik, E. M., </w:t>
          </w:r>
          <w:proofErr w:type="spellStart"/>
          <w:r>
            <w:rPr>
              <w:rFonts w:eastAsia="Times New Roman"/>
            </w:rPr>
            <w:t>DiGiulio</w:t>
          </w:r>
          <w:proofErr w:type="spellEnd"/>
          <w:r>
            <w:rPr>
              <w:rFonts w:eastAsia="Times New Roman"/>
            </w:rPr>
            <w:t xml:space="preserve">, D. B., </w:t>
          </w:r>
          <w:proofErr w:type="spellStart"/>
          <w:r>
            <w:rPr>
              <w:rFonts w:eastAsia="Times New Roman"/>
            </w:rPr>
            <w:t>Relman</w:t>
          </w:r>
          <w:proofErr w:type="spellEnd"/>
          <w:r>
            <w:rPr>
              <w:rFonts w:eastAsia="Times New Roman"/>
            </w:rPr>
            <w:t xml:space="preserve">, D. A. &amp; Brown, P. O. Development of the human infant intestinal microbiota. </w:t>
          </w:r>
          <w:proofErr w:type="spellStart"/>
          <w:r>
            <w:rPr>
              <w:rFonts w:eastAsia="Times New Roman"/>
              <w:i/>
              <w:iCs/>
            </w:rPr>
            <w:t>PLoS</w:t>
          </w:r>
          <w:proofErr w:type="spellEnd"/>
          <w:r>
            <w:rPr>
              <w:rFonts w:eastAsia="Times New Roman"/>
              <w:i/>
              <w:iCs/>
            </w:rPr>
            <w:t xml:space="preserve"> Biology</w:t>
          </w:r>
          <w:r>
            <w:rPr>
              <w:rFonts w:eastAsia="Times New Roman"/>
            </w:rPr>
            <w:t xml:space="preserve"> </w:t>
          </w:r>
          <w:r>
            <w:rPr>
              <w:rFonts w:eastAsia="Times New Roman"/>
              <w:b/>
              <w:bCs/>
            </w:rPr>
            <w:t>5</w:t>
          </w:r>
          <w:r>
            <w:rPr>
              <w:rFonts w:eastAsia="Times New Roman"/>
            </w:rPr>
            <w:t>, 1556–1573 (2007).</w:t>
          </w:r>
        </w:p>
        <w:p w14:paraId="1444F35A" w14:textId="77777777" w:rsidR="003204EA" w:rsidRDefault="003204EA">
          <w:pPr>
            <w:autoSpaceDE w:val="0"/>
            <w:autoSpaceDN w:val="0"/>
            <w:ind w:hanging="640"/>
            <w:divId w:val="1699575912"/>
            <w:rPr>
              <w:rFonts w:eastAsia="Times New Roman"/>
            </w:rPr>
          </w:pPr>
          <w:r>
            <w:rPr>
              <w:rFonts w:eastAsia="Times New Roman"/>
            </w:rPr>
            <w:t>176.</w:t>
          </w:r>
          <w:r>
            <w:rPr>
              <w:rFonts w:eastAsia="Times New Roman"/>
            </w:rPr>
            <w:tab/>
          </w:r>
          <w:proofErr w:type="spellStart"/>
          <w:r>
            <w:rPr>
              <w:rFonts w:eastAsia="Times New Roman"/>
            </w:rPr>
            <w:t>Laforest</w:t>
          </w:r>
          <w:proofErr w:type="spellEnd"/>
          <w:r>
            <w:rPr>
              <w:rFonts w:eastAsia="Times New Roman"/>
            </w:rPr>
            <w:t xml:space="preserve">-Lapointe, I. &amp; Arrieta, M.-C. Microbial Eukaryotes: </w:t>
          </w:r>
          <w:proofErr w:type="gramStart"/>
          <w:r>
            <w:rPr>
              <w:rFonts w:eastAsia="Times New Roman"/>
            </w:rPr>
            <w:t>a</w:t>
          </w:r>
          <w:proofErr w:type="gramEnd"/>
          <w:r>
            <w:rPr>
              <w:rFonts w:eastAsia="Times New Roman"/>
            </w:rPr>
            <w:t xml:space="preserve"> Missing Link in Gut Microbiome Studies. </w:t>
          </w:r>
          <w:proofErr w:type="spellStart"/>
          <w:r>
            <w:rPr>
              <w:rFonts w:eastAsia="Times New Roman"/>
              <w:i/>
              <w:iCs/>
            </w:rPr>
            <w:t>mSystems</w:t>
          </w:r>
          <w:proofErr w:type="spellEnd"/>
          <w:r>
            <w:rPr>
              <w:rFonts w:eastAsia="Times New Roman"/>
            </w:rPr>
            <w:t xml:space="preserve"> </w:t>
          </w:r>
          <w:r>
            <w:rPr>
              <w:rFonts w:eastAsia="Times New Roman"/>
              <w:b/>
              <w:bCs/>
            </w:rPr>
            <w:t>3</w:t>
          </w:r>
          <w:r>
            <w:rPr>
              <w:rFonts w:eastAsia="Times New Roman"/>
            </w:rPr>
            <w:t>, (2018).</w:t>
          </w:r>
        </w:p>
        <w:p w14:paraId="34386CFB" w14:textId="77777777" w:rsidR="003204EA" w:rsidRDefault="003204EA">
          <w:pPr>
            <w:autoSpaceDE w:val="0"/>
            <w:autoSpaceDN w:val="0"/>
            <w:ind w:hanging="640"/>
            <w:divId w:val="1223253644"/>
            <w:rPr>
              <w:rFonts w:eastAsia="Times New Roman"/>
            </w:rPr>
          </w:pPr>
          <w:r>
            <w:rPr>
              <w:rFonts w:eastAsia="Times New Roman"/>
            </w:rPr>
            <w:t>177.</w:t>
          </w:r>
          <w:r>
            <w:rPr>
              <w:rFonts w:eastAsia="Times New Roman"/>
            </w:rPr>
            <w:tab/>
            <w:t xml:space="preserve">Greenberg, R. G. &amp; Benjamin, D. K. Neonatal candidiasis: Diagnosis, prevention, and treatment. </w:t>
          </w:r>
          <w:r>
            <w:rPr>
              <w:rFonts w:eastAsia="Times New Roman"/>
              <w:i/>
              <w:iCs/>
            </w:rPr>
            <w:t>Journal of Infection</w:t>
          </w:r>
          <w:r>
            <w:rPr>
              <w:rFonts w:eastAsia="Times New Roman"/>
            </w:rPr>
            <w:t xml:space="preserve"> </w:t>
          </w:r>
          <w:r>
            <w:rPr>
              <w:rFonts w:eastAsia="Times New Roman"/>
              <w:b/>
              <w:bCs/>
            </w:rPr>
            <w:t>69</w:t>
          </w:r>
          <w:r>
            <w:rPr>
              <w:rFonts w:eastAsia="Times New Roman"/>
            </w:rPr>
            <w:t>, (2014).</w:t>
          </w:r>
        </w:p>
        <w:p w14:paraId="73B9B63E" w14:textId="77777777" w:rsidR="003204EA" w:rsidRDefault="003204EA">
          <w:pPr>
            <w:autoSpaceDE w:val="0"/>
            <w:autoSpaceDN w:val="0"/>
            <w:ind w:hanging="640"/>
            <w:divId w:val="937758068"/>
            <w:rPr>
              <w:rFonts w:eastAsia="Times New Roman"/>
            </w:rPr>
          </w:pPr>
          <w:r>
            <w:rPr>
              <w:rFonts w:eastAsia="Times New Roman"/>
            </w:rPr>
            <w:t>178.</w:t>
          </w:r>
          <w:r>
            <w:rPr>
              <w:rFonts w:eastAsia="Times New Roman"/>
            </w:rPr>
            <w:tab/>
          </w:r>
          <w:proofErr w:type="spellStart"/>
          <w:r>
            <w:rPr>
              <w:rFonts w:eastAsia="Times New Roman"/>
            </w:rPr>
            <w:t>Tamburini</w:t>
          </w:r>
          <w:proofErr w:type="spellEnd"/>
          <w:r>
            <w:rPr>
              <w:rFonts w:eastAsia="Times New Roman"/>
            </w:rPr>
            <w:t xml:space="preserve">, S., Shen, N., Wu, H. C. &amp; Clemente, J. C. The microbiome in early life: Implications for health outcomes. </w:t>
          </w:r>
          <w:r>
            <w:rPr>
              <w:rFonts w:eastAsia="Times New Roman"/>
              <w:i/>
              <w:iCs/>
            </w:rPr>
            <w:t>Nature Medicine</w:t>
          </w:r>
          <w:r>
            <w:rPr>
              <w:rFonts w:eastAsia="Times New Roman"/>
            </w:rPr>
            <w:t xml:space="preserve"> vol. 22 Preprint at https://doi.org/10.1038/nm.4142 (2016).</w:t>
          </w:r>
        </w:p>
        <w:p w14:paraId="3691594B" w14:textId="77777777" w:rsidR="003204EA" w:rsidRDefault="003204EA">
          <w:pPr>
            <w:autoSpaceDE w:val="0"/>
            <w:autoSpaceDN w:val="0"/>
            <w:ind w:hanging="640"/>
            <w:divId w:val="485702991"/>
            <w:rPr>
              <w:rFonts w:eastAsia="Times New Roman"/>
            </w:rPr>
          </w:pPr>
          <w:r>
            <w:rPr>
              <w:rFonts w:eastAsia="Times New Roman"/>
            </w:rPr>
            <w:t>179.</w:t>
          </w:r>
          <w:r>
            <w:rPr>
              <w:rFonts w:eastAsia="Times New Roman"/>
            </w:rPr>
            <w:tab/>
          </w:r>
          <w:proofErr w:type="spellStart"/>
          <w:r>
            <w:rPr>
              <w:rFonts w:eastAsia="Times New Roman"/>
            </w:rPr>
            <w:t>Kanehisa</w:t>
          </w:r>
          <w:proofErr w:type="spellEnd"/>
          <w:r>
            <w:rPr>
              <w:rFonts w:eastAsia="Times New Roman"/>
            </w:rPr>
            <w:t xml:space="preserve">, M., </w:t>
          </w:r>
          <w:proofErr w:type="spellStart"/>
          <w:r>
            <w:rPr>
              <w:rFonts w:eastAsia="Times New Roman"/>
            </w:rPr>
            <w:t>Furumichi</w:t>
          </w:r>
          <w:proofErr w:type="spellEnd"/>
          <w:r>
            <w:rPr>
              <w:rFonts w:eastAsia="Times New Roman"/>
            </w:rPr>
            <w:t xml:space="preserve">, M., Tanabe, M., Sato, Y. &amp; </w:t>
          </w:r>
          <w:proofErr w:type="spellStart"/>
          <w:r>
            <w:rPr>
              <w:rFonts w:eastAsia="Times New Roman"/>
            </w:rPr>
            <w:t>Morishima</w:t>
          </w:r>
          <w:proofErr w:type="spellEnd"/>
          <w:r>
            <w:rPr>
              <w:rFonts w:eastAsia="Times New Roman"/>
            </w:rPr>
            <w:t xml:space="preserve">, K. KEGG: New perspectives on genomes, pathways, </w:t>
          </w:r>
          <w:proofErr w:type="gramStart"/>
          <w:r>
            <w:rPr>
              <w:rFonts w:eastAsia="Times New Roman"/>
            </w:rPr>
            <w:t>diseases</w:t>
          </w:r>
          <w:proofErr w:type="gramEnd"/>
          <w:r>
            <w:rPr>
              <w:rFonts w:eastAsia="Times New Roman"/>
            </w:rPr>
            <w:t xml:space="preserve"> and drugs. </w:t>
          </w:r>
          <w:r>
            <w:rPr>
              <w:rFonts w:eastAsia="Times New Roman"/>
              <w:i/>
              <w:iCs/>
            </w:rPr>
            <w:t>Nucleic Acids Research</w:t>
          </w:r>
          <w:r>
            <w:rPr>
              <w:rFonts w:eastAsia="Times New Roman"/>
            </w:rPr>
            <w:t xml:space="preserve"> </w:t>
          </w:r>
          <w:r>
            <w:rPr>
              <w:rFonts w:eastAsia="Times New Roman"/>
              <w:b/>
              <w:bCs/>
            </w:rPr>
            <w:t>45</w:t>
          </w:r>
          <w:r>
            <w:rPr>
              <w:rFonts w:eastAsia="Times New Roman"/>
            </w:rPr>
            <w:t>, D353–D361 (2017).</w:t>
          </w:r>
        </w:p>
        <w:p w14:paraId="011B53F6" w14:textId="77777777" w:rsidR="003204EA" w:rsidRDefault="003204EA">
          <w:pPr>
            <w:autoSpaceDE w:val="0"/>
            <w:autoSpaceDN w:val="0"/>
            <w:ind w:hanging="640"/>
            <w:divId w:val="661541356"/>
            <w:rPr>
              <w:rFonts w:eastAsia="Times New Roman"/>
            </w:rPr>
          </w:pPr>
          <w:r>
            <w:rPr>
              <w:rFonts w:eastAsia="Times New Roman"/>
            </w:rPr>
            <w:t>180.</w:t>
          </w:r>
          <w:r>
            <w:rPr>
              <w:rFonts w:eastAsia="Times New Roman"/>
            </w:rPr>
            <w:tab/>
            <w:t>Russo-</w:t>
          </w:r>
          <w:proofErr w:type="spellStart"/>
          <w:r>
            <w:rPr>
              <w:rFonts w:eastAsia="Times New Roman"/>
            </w:rPr>
            <w:t>Abrahão</w:t>
          </w:r>
          <w:proofErr w:type="spellEnd"/>
          <w:r>
            <w:rPr>
              <w:rFonts w:eastAsia="Times New Roman"/>
            </w:rPr>
            <w:t xml:space="preserve">, T. </w:t>
          </w:r>
          <w:r>
            <w:rPr>
              <w:rFonts w:eastAsia="Times New Roman"/>
              <w:i/>
              <w:iCs/>
            </w:rPr>
            <w:t>et al.</w:t>
          </w:r>
          <w:r>
            <w:rPr>
              <w:rFonts w:eastAsia="Times New Roman"/>
            </w:rPr>
            <w:t xml:space="preserve"> Biochemical properties of Candida parapsilosis ecto-5’-nucleotidase and the possible role of adenosine in macrophage interaction. </w:t>
          </w:r>
          <w:r>
            <w:rPr>
              <w:rFonts w:eastAsia="Times New Roman"/>
              <w:i/>
              <w:iCs/>
            </w:rPr>
            <w:t>FEMS Microbiology Letters</w:t>
          </w:r>
          <w:r>
            <w:rPr>
              <w:rFonts w:eastAsia="Times New Roman"/>
            </w:rPr>
            <w:t xml:space="preserve"> </w:t>
          </w:r>
          <w:r>
            <w:rPr>
              <w:rFonts w:eastAsia="Times New Roman"/>
              <w:b/>
              <w:bCs/>
            </w:rPr>
            <w:t>317</w:t>
          </w:r>
          <w:r>
            <w:rPr>
              <w:rFonts w:eastAsia="Times New Roman"/>
            </w:rPr>
            <w:t>, (2011).</w:t>
          </w:r>
        </w:p>
        <w:p w14:paraId="1070C34F" w14:textId="77777777" w:rsidR="003204EA" w:rsidRDefault="003204EA">
          <w:pPr>
            <w:autoSpaceDE w:val="0"/>
            <w:autoSpaceDN w:val="0"/>
            <w:ind w:hanging="640"/>
            <w:divId w:val="1669793300"/>
            <w:rPr>
              <w:rFonts w:eastAsia="Times New Roman"/>
            </w:rPr>
          </w:pPr>
          <w:r>
            <w:rPr>
              <w:rFonts w:eastAsia="Times New Roman"/>
            </w:rPr>
            <w:t>181.</w:t>
          </w:r>
          <w:r>
            <w:rPr>
              <w:rFonts w:eastAsia="Times New Roman"/>
            </w:rPr>
            <w:tab/>
          </w:r>
          <w:proofErr w:type="spellStart"/>
          <w:r>
            <w:rPr>
              <w:rFonts w:eastAsia="Times New Roman"/>
            </w:rPr>
            <w:t>Polpitiya</w:t>
          </w:r>
          <w:proofErr w:type="spellEnd"/>
          <w:r>
            <w:rPr>
              <w:rFonts w:eastAsia="Times New Roman"/>
            </w:rPr>
            <w:t xml:space="preserve">, A. D. </w:t>
          </w:r>
          <w:r>
            <w:rPr>
              <w:rFonts w:eastAsia="Times New Roman"/>
              <w:i/>
              <w:iCs/>
            </w:rPr>
            <w:t>et al.</w:t>
          </w:r>
          <w:r>
            <w:rPr>
              <w:rFonts w:eastAsia="Times New Roman"/>
            </w:rPr>
            <w:t xml:space="preserve"> </w:t>
          </w:r>
          <w:proofErr w:type="spellStart"/>
          <w:r>
            <w:rPr>
              <w:rFonts w:eastAsia="Times New Roman"/>
            </w:rPr>
            <w:t>DAnTE</w:t>
          </w:r>
          <w:proofErr w:type="spellEnd"/>
          <w:r>
            <w:rPr>
              <w:rFonts w:eastAsia="Times New Roman"/>
            </w:rPr>
            <w:t xml:space="preserve">: A statistical tool for quantitative analysis of -omics data. </w:t>
          </w:r>
          <w:r>
            <w:rPr>
              <w:rFonts w:eastAsia="Times New Roman"/>
              <w:i/>
              <w:iCs/>
            </w:rPr>
            <w:t>Bioinformatics</w:t>
          </w:r>
          <w:r>
            <w:rPr>
              <w:rFonts w:eastAsia="Times New Roman"/>
            </w:rPr>
            <w:t xml:space="preserve"> </w:t>
          </w:r>
          <w:r>
            <w:rPr>
              <w:rFonts w:eastAsia="Times New Roman"/>
              <w:b/>
              <w:bCs/>
            </w:rPr>
            <w:t>24</w:t>
          </w:r>
          <w:r>
            <w:rPr>
              <w:rFonts w:eastAsia="Times New Roman"/>
            </w:rPr>
            <w:t>, (2008).</w:t>
          </w:r>
        </w:p>
        <w:p w14:paraId="5101775B" w14:textId="77777777" w:rsidR="003204EA" w:rsidRDefault="003204EA">
          <w:pPr>
            <w:autoSpaceDE w:val="0"/>
            <w:autoSpaceDN w:val="0"/>
            <w:ind w:hanging="640"/>
            <w:divId w:val="601497873"/>
            <w:rPr>
              <w:rFonts w:eastAsia="Times New Roman"/>
            </w:rPr>
          </w:pPr>
          <w:r>
            <w:rPr>
              <w:rFonts w:eastAsia="Times New Roman"/>
            </w:rPr>
            <w:t>182.</w:t>
          </w:r>
          <w:r>
            <w:rPr>
              <w:rFonts w:eastAsia="Times New Roman"/>
            </w:rPr>
            <w:tab/>
          </w:r>
          <w:proofErr w:type="spellStart"/>
          <w:r>
            <w:rPr>
              <w:rFonts w:eastAsia="Times New Roman"/>
            </w:rPr>
            <w:t>Tyanova</w:t>
          </w:r>
          <w:proofErr w:type="spellEnd"/>
          <w:r>
            <w:rPr>
              <w:rFonts w:eastAsia="Times New Roman"/>
            </w:rPr>
            <w:t xml:space="preserve">, S. </w:t>
          </w:r>
          <w:r>
            <w:rPr>
              <w:rFonts w:eastAsia="Times New Roman"/>
              <w:i/>
              <w:iCs/>
            </w:rPr>
            <w:t>et al.</w:t>
          </w:r>
          <w:r>
            <w:rPr>
              <w:rFonts w:eastAsia="Times New Roman"/>
            </w:rPr>
            <w:t xml:space="preserve"> The Perseus computational platform for comprehensive analysis of (</w:t>
          </w:r>
          <w:proofErr w:type="spellStart"/>
          <w:r>
            <w:rPr>
              <w:rFonts w:eastAsia="Times New Roman"/>
            </w:rPr>
            <w:t>prote</w:t>
          </w:r>
          <w:proofErr w:type="spellEnd"/>
          <w:r>
            <w:rPr>
              <w:rFonts w:eastAsia="Times New Roman"/>
            </w:rPr>
            <w:t xml:space="preserve">)omics data. </w:t>
          </w:r>
          <w:r>
            <w:rPr>
              <w:rFonts w:eastAsia="Times New Roman"/>
              <w:i/>
              <w:iCs/>
            </w:rPr>
            <w:t>Nature Methods</w:t>
          </w:r>
          <w:r>
            <w:rPr>
              <w:rFonts w:eastAsia="Times New Roman"/>
            </w:rPr>
            <w:t xml:space="preserve"> vol. 13 Preprint at https://doi.org/10.1038/nmeth.3901 (2016).</w:t>
          </w:r>
        </w:p>
        <w:p w14:paraId="404CB23E" w14:textId="77777777" w:rsidR="003204EA" w:rsidRDefault="003204EA">
          <w:pPr>
            <w:autoSpaceDE w:val="0"/>
            <w:autoSpaceDN w:val="0"/>
            <w:ind w:hanging="640"/>
            <w:divId w:val="152530307"/>
            <w:rPr>
              <w:rFonts w:eastAsia="Times New Roman"/>
            </w:rPr>
          </w:pPr>
          <w:r>
            <w:rPr>
              <w:rFonts w:eastAsia="Times New Roman"/>
            </w:rPr>
            <w:t>183.</w:t>
          </w:r>
          <w:r>
            <w:rPr>
              <w:rFonts w:eastAsia="Times New Roman"/>
            </w:rPr>
            <w:tab/>
          </w:r>
          <w:proofErr w:type="spellStart"/>
          <w:r>
            <w:rPr>
              <w:rFonts w:eastAsia="Times New Roman"/>
            </w:rPr>
            <w:t>Kanehisa</w:t>
          </w:r>
          <w:proofErr w:type="spellEnd"/>
          <w:r>
            <w:rPr>
              <w:rFonts w:eastAsia="Times New Roman"/>
            </w:rPr>
            <w:t xml:space="preserve">, M., Sato, Y. &amp; </w:t>
          </w:r>
          <w:proofErr w:type="spellStart"/>
          <w:r>
            <w:rPr>
              <w:rFonts w:eastAsia="Times New Roman"/>
            </w:rPr>
            <w:t>Morishima</w:t>
          </w:r>
          <w:proofErr w:type="spellEnd"/>
          <w:r>
            <w:rPr>
              <w:rFonts w:eastAsia="Times New Roman"/>
            </w:rPr>
            <w:t xml:space="preserve">, K. </w:t>
          </w:r>
          <w:proofErr w:type="spellStart"/>
          <w:r>
            <w:rPr>
              <w:rFonts w:eastAsia="Times New Roman"/>
            </w:rPr>
            <w:t>BlastKOALA</w:t>
          </w:r>
          <w:proofErr w:type="spellEnd"/>
          <w:r>
            <w:rPr>
              <w:rFonts w:eastAsia="Times New Roman"/>
            </w:rPr>
            <w:t xml:space="preserve"> and </w:t>
          </w:r>
          <w:proofErr w:type="spellStart"/>
          <w:r>
            <w:rPr>
              <w:rFonts w:eastAsia="Times New Roman"/>
            </w:rPr>
            <w:t>GhostKOALA</w:t>
          </w:r>
          <w:proofErr w:type="spellEnd"/>
          <w:r>
            <w:rPr>
              <w:rFonts w:eastAsia="Times New Roman"/>
            </w:rPr>
            <w:t xml:space="preserve">: KEGG Tools for Functional Characterization of Genome and Metagenome Sequences. </w:t>
          </w:r>
          <w:r>
            <w:rPr>
              <w:rFonts w:eastAsia="Times New Roman"/>
              <w:i/>
              <w:iCs/>
            </w:rPr>
            <w:t>Journal of Molecular Biology</w:t>
          </w:r>
          <w:r>
            <w:rPr>
              <w:rFonts w:eastAsia="Times New Roman"/>
            </w:rPr>
            <w:t xml:space="preserve"> </w:t>
          </w:r>
          <w:r>
            <w:rPr>
              <w:rFonts w:eastAsia="Times New Roman"/>
              <w:b/>
              <w:bCs/>
            </w:rPr>
            <w:t>428</w:t>
          </w:r>
          <w:r>
            <w:rPr>
              <w:rFonts w:eastAsia="Times New Roman"/>
            </w:rPr>
            <w:t>, 726–731 (2016).</w:t>
          </w:r>
        </w:p>
        <w:p w14:paraId="595EBDF4" w14:textId="77777777" w:rsidR="003204EA" w:rsidRDefault="003204EA">
          <w:pPr>
            <w:autoSpaceDE w:val="0"/>
            <w:autoSpaceDN w:val="0"/>
            <w:ind w:hanging="640"/>
            <w:divId w:val="1924414650"/>
            <w:rPr>
              <w:rFonts w:eastAsia="Times New Roman"/>
            </w:rPr>
          </w:pPr>
          <w:r>
            <w:rPr>
              <w:rFonts w:eastAsia="Times New Roman"/>
            </w:rPr>
            <w:t>184.</w:t>
          </w:r>
          <w:r>
            <w:rPr>
              <w:rFonts w:eastAsia="Times New Roman"/>
            </w:rPr>
            <w:tab/>
            <w:t xml:space="preserve">Darzi, Y., </w:t>
          </w:r>
          <w:proofErr w:type="spellStart"/>
          <w:r>
            <w:rPr>
              <w:rFonts w:eastAsia="Times New Roman"/>
            </w:rPr>
            <w:t>Falony</w:t>
          </w:r>
          <w:proofErr w:type="spellEnd"/>
          <w:r>
            <w:rPr>
              <w:rFonts w:eastAsia="Times New Roman"/>
            </w:rPr>
            <w:t xml:space="preserve">, G., Vieira-Silva, S. &amp; </w:t>
          </w:r>
          <w:proofErr w:type="spellStart"/>
          <w:r>
            <w:rPr>
              <w:rFonts w:eastAsia="Times New Roman"/>
            </w:rPr>
            <w:t>Raes</w:t>
          </w:r>
          <w:proofErr w:type="spellEnd"/>
          <w:r>
            <w:rPr>
              <w:rFonts w:eastAsia="Times New Roman"/>
            </w:rPr>
            <w:t xml:space="preserve">, J. Towards biome-specific analysis of meta-omics data. </w:t>
          </w:r>
          <w:r>
            <w:rPr>
              <w:rFonts w:eastAsia="Times New Roman"/>
              <w:i/>
              <w:iCs/>
            </w:rPr>
            <w:t>ISME Journal</w:t>
          </w:r>
          <w:r>
            <w:rPr>
              <w:rFonts w:eastAsia="Times New Roman"/>
            </w:rPr>
            <w:t xml:space="preserve"> vol. 10 Preprint at https://doi.org/10.1038/ismej.2015.188 (2016).</w:t>
          </w:r>
        </w:p>
        <w:p w14:paraId="22AA13C8" w14:textId="77777777" w:rsidR="003204EA" w:rsidRDefault="003204EA">
          <w:pPr>
            <w:autoSpaceDE w:val="0"/>
            <w:autoSpaceDN w:val="0"/>
            <w:ind w:hanging="640"/>
            <w:divId w:val="1204753428"/>
            <w:rPr>
              <w:rFonts w:eastAsia="Times New Roman"/>
            </w:rPr>
          </w:pPr>
          <w:r>
            <w:rPr>
              <w:rFonts w:eastAsia="Times New Roman"/>
            </w:rPr>
            <w:t>185.</w:t>
          </w:r>
          <w:r>
            <w:rPr>
              <w:rFonts w:eastAsia="Times New Roman"/>
            </w:rPr>
            <w:tab/>
            <w:t xml:space="preserve">Luo, W., Pant, G., </w:t>
          </w:r>
          <w:proofErr w:type="spellStart"/>
          <w:r>
            <w:rPr>
              <w:rFonts w:eastAsia="Times New Roman"/>
            </w:rPr>
            <w:t>Bhavnasi</w:t>
          </w:r>
          <w:proofErr w:type="spellEnd"/>
          <w:r>
            <w:rPr>
              <w:rFonts w:eastAsia="Times New Roman"/>
            </w:rPr>
            <w:t xml:space="preserve">, Y. K., Blanchard, S. G. &amp; Brouwer, C. </w:t>
          </w:r>
          <w:proofErr w:type="spellStart"/>
          <w:r>
            <w:rPr>
              <w:rFonts w:eastAsia="Times New Roman"/>
            </w:rPr>
            <w:t>Pathview</w:t>
          </w:r>
          <w:proofErr w:type="spellEnd"/>
          <w:r>
            <w:rPr>
              <w:rFonts w:eastAsia="Times New Roman"/>
            </w:rPr>
            <w:t xml:space="preserve"> Web: User friendly pathway visualization and data integration. </w:t>
          </w:r>
          <w:r>
            <w:rPr>
              <w:rFonts w:eastAsia="Times New Roman"/>
              <w:i/>
              <w:iCs/>
            </w:rPr>
            <w:t>Nucleic Acids Research</w:t>
          </w:r>
          <w:r>
            <w:rPr>
              <w:rFonts w:eastAsia="Times New Roman"/>
            </w:rPr>
            <w:t xml:space="preserve"> </w:t>
          </w:r>
          <w:r>
            <w:rPr>
              <w:rFonts w:eastAsia="Times New Roman"/>
              <w:b/>
              <w:bCs/>
            </w:rPr>
            <w:t>45</w:t>
          </w:r>
          <w:r>
            <w:rPr>
              <w:rFonts w:eastAsia="Times New Roman"/>
            </w:rPr>
            <w:t>, (2017).</w:t>
          </w:r>
        </w:p>
        <w:p w14:paraId="71C5A6D6" w14:textId="77777777" w:rsidR="003204EA" w:rsidRDefault="003204EA">
          <w:pPr>
            <w:autoSpaceDE w:val="0"/>
            <w:autoSpaceDN w:val="0"/>
            <w:ind w:hanging="640"/>
            <w:divId w:val="1629581495"/>
            <w:rPr>
              <w:rFonts w:eastAsia="Times New Roman"/>
            </w:rPr>
          </w:pPr>
          <w:r>
            <w:rPr>
              <w:rFonts w:eastAsia="Times New Roman"/>
            </w:rPr>
            <w:t>186.</w:t>
          </w:r>
          <w:r>
            <w:rPr>
              <w:rFonts w:eastAsia="Times New Roman"/>
            </w:rPr>
            <w:tab/>
            <w:t xml:space="preserve">Darzi, Y., </w:t>
          </w:r>
          <w:proofErr w:type="spellStart"/>
          <w:r>
            <w:rPr>
              <w:rFonts w:eastAsia="Times New Roman"/>
            </w:rPr>
            <w:t>Letunic</w:t>
          </w:r>
          <w:proofErr w:type="spellEnd"/>
          <w:r>
            <w:rPr>
              <w:rFonts w:eastAsia="Times New Roman"/>
            </w:rPr>
            <w:t xml:space="preserve">, I., Bork, P. &amp; Yamada, T. IPath3.0: Interactive pathways explorer v3. </w:t>
          </w:r>
          <w:r>
            <w:rPr>
              <w:rFonts w:eastAsia="Times New Roman"/>
              <w:i/>
              <w:iCs/>
            </w:rPr>
            <w:t>Nucleic Acids Research</w:t>
          </w:r>
          <w:r>
            <w:rPr>
              <w:rFonts w:eastAsia="Times New Roman"/>
            </w:rPr>
            <w:t xml:space="preserve"> </w:t>
          </w:r>
          <w:r>
            <w:rPr>
              <w:rFonts w:eastAsia="Times New Roman"/>
              <w:b/>
              <w:bCs/>
            </w:rPr>
            <w:t>46</w:t>
          </w:r>
          <w:r>
            <w:rPr>
              <w:rFonts w:eastAsia="Times New Roman"/>
            </w:rPr>
            <w:t>, (2018).</w:t>
          </w:r>
        </w:p>
        <w:p w14:paraId="469E4F03" w14:textId="77777777" w:rsidR="003204EA" w:rsidRDefault="003204EA">
          <w:pPr>
            <w:autoSpaceDE w:val="0"/>
            <w:autoSpaceDN w:val="0"/>
            <w:ind w:hanging="640"/>
            <w:divId w:val="871265680"/>
            <w:rPr>
              <w:rFonts w:eastAsia="Times New Roman"/>
            </w:rPr>
          </w:pPr>
          <w:r>
            <w:rPr>
              <w:rFonts w:eastAsia="Times New Roman"/>
            </w:rPr>
            <w:t>187.</w:t>
          </w:r>
          <w:r>
            <w:rPr>
              <w:rFonts w:eastAsia="Times New Roman"/>
            </w:rPr>
            <w:tab/>
            <w:t xml:space="preserve">Croft, D. </w:t>
          </w:r>
          <w:r>
            <w:rPr>
              <w:rFonts w:eastAsia="Times New Roman"/>
              <w:i/>
              <w:iCs/>
            </w:rPr>
            <w:t>et al.</w:t>
          </w:r>
          <w:r>
            <w:rPr>
              <w:rFonts w:eastAsia="Times New Roman"/>
            </w:rPr>
            <w:t xml:space="preserve"> </w:t>
          </w:r>
          <w:proofErr w:type="spellStart"/>
          <w:r>
            <w:rPr>
              <w:rFonts w:eastAsia="Times New Roman"/>
            </w:rPr>
            <w:t>Reactome</w:t>
          </w:r>
          <w:proofErr w:type="spellEnd"/>
          <w:r>
            <w:rPr>
              <w:rFonts w:eastAsia="Times New Roman"/>
            </w:rPr>
            <w:t xml:space="preserve">: A database of reactions, </w:t>
          </w:r>
          <w:proofErr w:type="gramStart"/>
          <w:r>
            <w:rPr>
              <w:rFonts w:eastAsia="Times New Roman"/>
            </w:rPr>
            <w:t>pathways</w:t>
          </w:r>
          <w:proofErr w:type="gramEnd"/>
          <w:r>
            <w:rPr>
              <w:rFonts w:eastAsia="Times New Roman"/>
            </w:rPr>
            <w:t xml:space="preserve"> and biological processes. </w:t>
          </w:r>
          <w:r>
            <w:rPr>
              <w:rFonts w:eastAsia="Times New Roman"/>
              <w:i/>
              <w:iCs/>
            </w:rPr>
            <w:t>Nucleic Acids Research</w:t>
          </w:r>
          <w:r>
            <w:rPr>
              <w:rFonts w:eastAsia="Times New Roman"/>
            </w:rPr>
            <w:t xml:space="preserve"> </w:t>
          </w:r>
          <w:r>
            <w:rPr>
              <w:rFonts w:eastAsia="Times New Roman"/>
              <w:b/>
              <w:bCs/>
            </w:rPr>
            <w:t>39</w:t>
          </w:r>
          <w:r>
            <w:rPr>
              <w:rFonts w:eastAsia="Times New Roman"/>
            </w:rPr>
            <w:t>, (2011).</w:t>
          </w:r>
        </w:p>
        <w:p w14:paraId="4249F5E3" w14:textId="77777777" w:rsidR="003204EA" w:rsidRDefault="003204EA">
          <w:pPr>
            <w:autoSpaceDE w:val="0"/>
            <w:autoSpaceDN w:val="0"/>
            <w:ind w:hanging="640"/>
            <w:divId w:val="1219319698"/>
            <w:rPr>
              <w:rFonts w:eastAsia="Times New Roman"/>
            </w:rPr>
          </w:pPr>
          <w:r>
            <w:rPr>
              <w:rFonts w:eastAsia="Times New Roman"/>
            </w:rPr>
            <w:t>188.</w:t>
          </w:r>
          <w:r>
            <w:rPr>
              <w:rFonts w:eastAsia="Times New Roman"/>
            </w:rPr>
            <w:tab/>
          </w:r>
          <w:proofErr w:type="spellStart"/>
          <w:r>
            <w:rPr>
              <w:rFonts w:eastAsia="Times New Roman"/>
            </w:rPr>
            <w:t>Gensollen</w:t>
          </w:r>
          <w:proofErr w:type="spellEnd"/>
          <w:r>
            <w:rPr>
              <w:rFonts w:eastAsia="Times New Roman"/>
            </w:rPr>
            <w:t xml:space="preserve">, T., </w:t>
          </w:r>
          <w:proofErr w:type="spellStart"/>
          <w:r>
            <w:rPr>
              <w:rFonts w:eastAsia="Times New Roman"/>
            </w:rPr>
            <w:t>Iyer</w:t>
          </w:r>
          <w:proofErr w:type="spellEnd"/>
          <w:r>
            <w:rPr>
              <w:rFonts w:eastAsia="Times New Roman"/>
            </w:rPr>
            <w:t xml:space="preserve">, S. S., Kasper, D. L. &amp; Blumberg, R. S. How colonization by microbiota in early life shapes the immune system. </w:t>
          </w:r>
          <w:r>
            <w:rPr>
              <w:rFonts w:eastAsia="Times New Roman"/>
              <w:i/>
              <w:iCs/>
            </w:rPr>
            <w:t>Science (1979)</w:t>
          </w:r>
          <w:r>
            <w:rPr>
              <w:rFonts w:eastAsia="Times New Roman"/>
            </w:rPr>
            <w:t xml:space="preserve"> </w:t>
          </w:r>
          <w:r>
            <w:rPr>
              <w:rFonts w:eastAsia="Times New Roman"/>
              <w:b/>
              <w:bCs/>
            </w:rPr>
            <w:t>352</w:t>
          </w:r>
          <w:r>
            <w:rPr>
              <w:rFonts w:eastAsia="Times New Roman"/>
            </w:rPr>
            <w:t>, 539–544 (2016).</w:t>
          </w:r>
        </w:p>
        <w:p w14:paraId="2A6AF077" w14:textId="77777777" w:rsidR="003204EA" w:rsidRDefault="003204EA">
          <w:pPr>
            <w:autoSpaceDE w:val="0"/>
            <w:autoSpaceDN w:val="0"/>
            <w:ind w:hanging="640"/>
            <w:divId w:val="296490041"/>
            <w:rPr>
              <w:rFonts w:eastAsia="Times New Roman"/>
            </w:rPr>
          </w:pPr>
          <w:r>
            <w:rPr>
              <w:rFonts w:eastAsia="Times New Roman"/>
            </w:rPr>
            <w:t>189.</w:t>
          </w:r>
          <w:r>
            <w:rPr>
              <w:rFonts w:eastAsia="Times New Roman"/>
            </w:rPr>
            <w:tab/>
            <w:t xml:space="preserve">Hansen, C. H. F. </w:t>
          </w:r>
          <w:r>
            <w:rPr>
              <w:rFonts w:eastAsia="Times New Roman"/>
              <w:i/>
              <w:iCs/>
            </w:rPr>
            <w:t>et al.</w:t>
          </w:r>
          <w:r>
            <w:rPr>
              <w:rFonts w:eastAsia="Times New Roman"/>
            </w:rPr>
            <w:t xml:space="preserve"> Patterns of early gut colonization shape future immune responses of the host. </w:t>
          </w:r>
          <w:proofErr w:type="spellStart"/>
          <w:r>
            <w:rPr>
              <w:rFonts w:eastAsia="Times New Roman"/>
              <w:i/>
              <w:iCs/>
            </w:rPr>
            <w:t>PLoS</w:t>
          </w:r>
          <w:proofErr w:type="spellEnd"/>
          <w:r>
            <w:rPr>
              <w:rFonts w:eastAsia="Times New Roman"/>
              <w:i/>
              <w:iCs/>
            </w:rPr>
            <w:t xml:space="preserve"> ONE</w:t>
          </w:r>
          <w:r>
            <w:rPr>
              <w:rFonts w:eastAsia="Times New Roman"/>
            </w:rPr>
            <w:t xml:space="preserve"> </w:t>
          </w:r>
          <w:r>
            <w:rPr>
              <w:rFonts w:eastAsia="Times New Roman"/>
              <w:b/>
              <w:bCs/>
            </w:rPr>
            <w:t>7</w:t>
          </w:r>
          <w:r>
            <w:rPr>
              <w:rFonts w:eastAsia="Times New Roman"/>
            </w:rPr>
            <w:t>, 1–7 (2012).</w:t>
          </w:r>
        </w:p>
        <w:p w14:paraId="6397C764" w14:textId="77777777" w:rsidR="003204EA" w:rsidRDefault="003204EA">
          <w:pPr>
            <w:autoSpaceDE w:val="0"/>
            <w:autoSpaceDN w:val="0"/>
            <w:ind w:hanging="640"/>
            <w:divId w:val="1412309467"/>
            <w:rPr>
              <w:rFonts w:eastAsia="Times New Roman"/>
            </w:rPr>
          </w:pPr>
          <w:r>
            <w:rPr>
              <w:rFonts w:eastAsia="Times New Roman"/>
            </w:rPr>
            <w:t>190.</w:t>
          </w:r>
          <w:r>
            <w:rPr>
              <w:rFonts w:eastAsia="Times New Roman"/>
            </w:rPr>
            <w:tab/>
            <w:t xml:space="preserve">OLSZAK, T. </w:t>
          </w:r>
          <w:r>
            <w:rPr>
              <w:rFonts w:eastAsia="Times New Roman"/>
              <w:i/>
              <w:iCs/>
            </w:rPr>
            <w:t>et al.</w:t>
          </w:r>
          <w:r>
            <w:rPr>
              <w:rFonts w:eastAsia="Times New Roman"/>
            </w:rPr>
            <w:t xml:space="preserve"> Microbial exposure during early life has persistent effects on natural killer T cell function. </w:t>
          </w:r>
          <w:r>
            <w:rPr>
              <w:rFonts w:eastAsia="Times New Roman"/>
              <w:i/>
              <w:iCs/>
            </w:rPr>
            <w:t>Science (1979)</w:t>
          </w:r>
          <w:r>
            <w:rPr>
              <w:rFonts w:eastAsia="Times New Roman"/>
            </w:rPr>
            <w:t xml:space="preserve"> </w:t>
          </w:r>
          <w:r>
            <w:rPr>
              <w:rFonts w:eastAsia="Times New Roman"/>
              <w:b/>
              <w:bCs/>
            </w:rPr>
            <w:t>336</w:t>
          </w:r>
          <w:r>
            <w:rPr>
              <w:rFonts w:eastAsia="Times New Roman"/>
            </w:rPr>
            <w:t>, 489–493 (2012).</w:t>
          </w:r>
        </w:p>
        <w:p w14:paraId="50C93014" w14:textId="77777777" w:rsidR="003204EA" w:rsidRDefault="003204EA">
          <w:pPr>
            <w:autoSpaceDE w:val="0"/>
            <w:autoSpaceDN w:val="0"/>
            <w:ind w:hanging="640"/>
            <w:divId w:val="1470633720"/>
            <w:rPr>
              <w:rFonts w:eastAsia="Times New Roman"/>
            </w:rPr>
          </w:pPr>
          <w:r>
            <w:rPr>
              <w:rFonts w:eastAsia="Times New Roman"/>
            </w:rPr>
            <w:t>191.</w:t>
          </w:r>
          <w:r>
            <w:rPr>
              <w:rFonts w:eastAsia="Times New Roman"/>
            </w:rPr>
            <w:tab/>
          </w:r>
          <w:proofErr w:type="spellStart"/>
          <w:r>
            <w:rPr>
              <w:rFonts w:eastAsia="Times New Roman"/>
            </w:rPr>
            <w:t>Belgacem</w:t>
          </w:r>
          <w:proofErr w:type="spellEnd"/>
          <w:r>
            <w:rPr>
              <w:rFonts w:eastAsia="Times New Roman"/>
            </w:rPr>
            <w:t xml:space="preserve"> Mihi &amp; Good, M. Impact of Toll-like receptor 4 signaling in necrotizing enterocolitis: The state of the science. </w:t>
          </w:r>
          <w:r>
            <w:rPr>
              <w:rFonts w:eastAsia="Times New Roman"/>
              <w:i/>
              <w:iCs/>
            </w:rPr>
            <w:t xml:space="preserve">Clin </w:t>
          </w:r>
          <w:proofErr w:type="spellStart"/>
          <w:r>
            <w:rPr>
              <w:rFonts w:eastAsia="Times New Roman"/>
              <w:i/>
              <w:iCs/>
            </w:rPr>
            <w:t>Perinatol</w:t>
          </w:r>
          <w:proofErr w:type="spellEnd"/>
          <w:r>
            <w:rPr>
              <w:rFonts w:eastAsia="Times New Roman"/>
            </w:rPr>
            <w:t xml:space="preserve"> </w:t>
          </w:r>
          <w:r>
            <w:rPr>
              <w:rFonts w:eastAsia="Times New Roman"/>
              <w:b/>
              <w:bCs/>
            </w:rPr>
            <w:t>46</w:t>
          </w:r>
          <w:r>
            <w:rPr>
              <w:rFonts w:eastAsia="Times New Roman"/>
            </w:rPr>
            <w:t>, 145–157 (2019).</w:t>
          </w:r>
        </w:p>
        <w:p w14:paraId="5146468E" w14:textId="77777777" w:rsidR="003204EA" w:rsidRDefault="003204EA">
          <w:pPr>
            <w:autoSpaceDE w:val="0"/>
            <w:autoSpaceDN w:val="0"/>
            <w:ind w:hanging="640"/>
            <w:divId w:val="854880351"/>
            <w:rPr>
              <w:rFonts w:eastAsia="Times New Roman"/>
            </w:rPr>
          </w:pPr>
          <w:r>
            <w:rPr>
              <w:rFonts w:eastAsia="Times New Roman"/>
            </w:rPr>
            <w:t>192.</w:t>
          </w:r>
          <w:r>
            <w:rPr>
              <w:rFonts w:eastAsia="Times New Roman"/>
            </w:rPr>
            <w:tab/>
          </w:r>
          <w:proofErr w:type="spellStart"/>
          <w:r>
            <w:rPr>
              <w:rFonts w:eastAsia="Times New Roman"/>
            </w:rPr>
            <w:t>Buttó</w:t>
          </w:r>
          <w:proofErr w:type="spellEnd"/>
          <w:r>
            <w:rPr>
              <w:rFonts w:eastAsia="Times New Roman"/>
            </w:rPr>
            <w:t xml:space="preserve">, L. F., </w:t>
          </w:r>
          <w:proofErr w:type="spellStart"/>
          <w:r>
            <w:rPr>
              <w:rFonts w:eastAsia="Times New Roman"/>
            </w:rPr>
            <w:t>Schaubeck</w:t>
          </w:r>
          <w:proofErr w:type="spellEnd"/>
          <w:r>
            <w:rPr>
              <w:rFonts w:eastAsia="Times New Roman"/>
            </w:rPr>
            <w:t xml:space="preserve">, M. &amp; Haller, D. Mechanisms of microbe-host interaction in Crohn’s disease: Dysbiosis vs. Pathobiont Selection. </w:t>
          </w:r>
          <w:r>
            <w:rPr>
              <w:rFonts w:eastAsia="Times New Roman"/>
              <w:i/>
              <w:iCs/>
            </w:rPr>
            <w:t>Frontiers in Immunology</w:t>
          </w:r>
          <w:r>
            <w:rPr>
              <w:rFonts w:eastAsia="Times New Roman"/>
            </w:rPr>
            <w:t xml:space="preserve"> </w:t>
          </w:r>
          <w:r>
            <w:rPr>
              <w:rFonts w:eastAsia="Times New Roman"/>
              <w:b/>
              <w:bCs/>
            </w:rPr>
            <w:t>6</w:t>
          </w:r>
          <w:r>
            <w:rPr>
              <w:rFonts w:eastAsia="Times New Roman"/>
            </w:rPr>
            <w:t>, (2015).</w:t>
          </w:r>
        </w:p>
        <w:p w14:paraId="100DA6E1" w14:textId="77777777" w:rsidR="003204EA" w:rsidRDefault="003204EA">
          <w:pPr>
            <w:autoSpaceDE w:val="0"/>
            <w:autoSpaceDN w:val="0"/>
            <w:ind w:hanging="640"/>
            <w:divId w:val="151411040"/>
            <w:rPr>
              <w:rFonts w:eastAsia="Times New Roman"/>
            </w:rPr>
          </w:pPr>
          <w:r>
            <w:rPr>
              <w:rFonts w:eastAsia="Times New Roman"/>
            </w:rPr>
            <w:t>193.</w:t>
          </w:r>
          <w:r>
            <w:rPr>
              <w:rFonts w:eastAsia="Times New Roman"/>
            </w:rPr>
            <w:tab/>
            <w:t xml:space="preserve">Madden, J. W. Human breast milk exosomes may protect against necrotizing enterocolitis in preterm infants. </w:t>
          </w:r>
          <w:r>
            <w:rPr>
              <w:rFonts w:eastAsia="Times New Roman"/>
              <w:i/>
              <w:iCs/>
            </w:rPr>
            <w:t>Pediatric Research</w:t>
          </w:r>
          <w:r>
            <w:rPr>
              <w:rFonts w:eastAsia="Times New Roman"/>
            </w:rPr>
            <w:t xml:space="preserve"> 1–2 (2021) doi:10.1038/s41390-021-01580-w.</w:t>
          </w:r>
        </w:p>
        <w:p w14:paraId="76C7D1CA" w14:textId="77777777" w:rsidR="003204EA" w:rsidRDefault="003204EA">
          <w:pPr>
            <w:autoSpaceDE w:val="0"/>
            <w:autoSpaceDN w:val="0"/>
            <w:ind w:hanging="640"/>
            <w:divId w:val="1619600704"/>
            <w:rPr>
              <w:rFonts w:eastAsia="Times New Roman"/>
            </w:rPr>
          </w:pPr>
          <w:r>
            <w:rPr>
              <w:rFonts w:eastAsia="Times New Roman"/>
            </w:rPr>
            <w:t>194.</w:t>
          </w:r>
          <w:r>
            <w:rPr>
              <w:rFonts w:eastAsia="Times New Roman"/>
            </w:rPr>
            <w:tab/>
          </w:r>
          <w:proofErr w:type="spellStart"/>
          <w:r>
            <w:rPr>
              <w:rFonts w:eastAsia="Times New Roman"/>
            </w:rPr>
            <w:t>Hackam</w:t>
          </w:r>
          <w:proofErr w:type="spellEnd"/>
          <w:r>
            <w:rPr>
              <w:rFonts w:eastAsia="Times New Roman"/>
            </w:rPr>
            <w:t xml:space="preserve">, D. &amp; Caplan, M. Necrotizing enterocolitis: Pathophysiology from a historical context. </w:t>
          </w:r>
          <w:r>
            <w:rPr>
              <w:rFonts w:eastAsia="Times New Roman"/>
              <w:i/>
              <w:iCs/>
            </w:rPr>
            <w:t>Seminars in Pediatric Surgery</w:t>
          </w:r>
          <w:r>
            <w:rPr>
              <w:rFonts w:eastAsia="Times New Roman"/>
            </w:rPr>
            <w:t xml:space="preserve"> </w:t>
          </w:r>
          <w:r>
            <w:rPr>
              <w:rFonts w:eastAsia="Times New Roman"/>
              <w:b/>
              <w:bCs/>
            </w:rPr>
            <w:t>27</w:t>
          </w:r>
          <w:r>
            <w:rPr>
              <w:rFonts w:eastAsia="Times New Roman"/>
            </w:rPr>
            <w:t>, 11–18 (2018).</w:t>
          </w:r>
        </w:p>
        <w:p w14:paraId="6AC81A3B" w14:textId="77777777" w:rsidR="003204EA" w:rsidRDefault="003204EA">
          <w:pPr>
            <w:autoSpaceDE w:val="0"/>
            <w:autoSpaceDN w:val="0"/>
            <w:ind w:hanging="640"/>
            <w:divId w:val="155386331"/>
            <w:rPr>
              <w:rFonts w:eastAsia="Times New Roman"/>
            </w:rPr>
          </w:pPr>
          <w:r>
            <w:rPr>
              <w:rFonts w:eastAsia="Times New Roman"/>
            </w:rPr>
            <w:t>195.</w:t>
          </w:r>
          <w:r>
            <w:rPr>
              <w:rFonts w:eastAsia="Times New Roman"/>
            </w:rPr>
            <w:tab/>
          </w:r>
          <w:proofErr w:type="spellStart"/>
          <w:r>
            <w:rPr>
              <w:rFonts w:eastAsia="Times New Roman"/>
            </w:rPr>
            <w:t>Gopalakrishna</w:t>
          </w:r>
          <w:proofErr w:type="spellEnd"/>
          <w:r>
            <w:rPr>
              <w:rFonts w:eastAsia="Times New Roman"/>
            </w:rPr>
            <w:t xml:space="preserve">, K. P. </w:t>
          </w:r>
          <w:r>
            <w:rPr>
              <w:rFonts w:eastAsia="Times New Roman"/>
              <w:i/>
              <w:iCs/>
            </w:rPr>
            <w:t>et al.</w:t>
          </w:r>
          <w:r>
            <w:rPr>
              <w:rFonts w:eastAsia="Times New Roman"/>
            </w:rPr>
            <w:t xml:space="preserve"> Maternal IgA protects against the development of necrotizing enterocolitis in preterm infants. </w:t>
          </w:r>
          <w:r>
            <w:rPr>
              <w:rFonts w:eastAsia="Times New Roman"/>
              <w:i/>
              <w:iCs/>
            </w:rPr>
            <w:t>Nature Medicine</w:t>
          </w:r>
          <w:r>
            <w:rPr>
              <w:rFonts w:eastAsia="Times New Roman"/>
            </w:rPr>
            <w:t xml:space="preserve"> </w:t>
          </w:r>
          <w:r>
            <w:rPr>
              <w:rFonts w:eastAsia="Times New Roman"/>
              <w:b/>
              <w:bCs/>
            </w:rPr>
            <w:t>25</w:t>
          </w:r>
          <w:r>
            <w:rPr>
              <w:rFonts w:eastAsia="Times New Roman"/>
            </w:rPr>
            <w:t>, 1110–1115 (2019).</w:t>
          </w:r>
        </w:p>
        <w:p w14:paraId="19A34059" w14:textId="77777777" w:rsidR="003204EA" w:rsidRDefault="003204EA">
          <w:pPr>
            <w:autoSpaceDE w:val="0"/>
            <w:autoSpaceDN w:val="0"/>
            <w:ind w:hanging="640"/>
            <w:divId w:val="859706736"/>
            <w:rPr>
              <w:rFonts w:eastAsia="Times New Roman"/>
            </w:rPr>
          </w:pPr>
          <w:r>
            <w:rPr>
              <w:rFonts w:eastAsia="Times New Roman"/>
            </w:rPr>
            <w:t>196.</w:t>
          </w:r>
          <w:r>
            <w:rPr>
              <w:rFonts w:eastAsia="Times New Roman"/>
            </w:rPr>
            <w:tab/>
            <w:t xml:space="preserve">Mirzaei, M. K. &amp; Maurice, C. F. Ménage à trois in the human gut: Interactions between host, </w:t>
          </w:r>
          <w:proofErr w:type="gramStart"/>
          <w:r>
            <w:rPr>
              <w:rFonts w:eastAsia="Times New Roman"/>
            </w:rPr>
            <w:t>bacteria</w:t>
          </w:r>
          <w:proofErr w:type="gramEnd"/>
          <w:r>
            <w:rPr>
              <w:rFonts w:eastAsia="Times New Roman"/>
            </w:rPr>
            <w:t xml:space="preserve"> and phages. </w:t>
          </w:r>
          <w:r>
            <w:rPr>
              <w:rFonts w:eastAsia="Times New Roman"/>
              <w:i/>
              <w:iCs/>
            </w:rPr>
            <w:t>Nature Reviews Microbiology</w:t>
          </w:r>
          <w:r>
            <w:rPr>
              <w:rFonts w:eastAsia="Times New Roman"/>
            </w:rPr>
            <w:t xml:space="preserve"> </w:t>
          </w:r>
          <w:r>
            <w:rPr>
              <w:rFonts w:eastAsia="Times New Roman"/>
              <w:b/>
              <w:bCs/>
            </w:rPr>
            <w:t>15</w:t>
          </w:r>
          <w:r>
            <w:rPr>
              <w:rFonts w:eastAsia="Times New Roman"/>
            </w:rPr>
            <w:t>, 397–408 (2017).</w:t>
          </w:r>
        </w:p>
        <w:p w14:paraId="26E85400" w14:textId="77777777" w:rsidR="003204EA" w:rsidRDefault="003204EA">
          <w:pPr>
            <w:autoSpaceDE w:val="0"/>
            <w:autoSpaceDN w:val="0"/>
            <w:ind w:hanging="640"/>
            <w:divId w:val="46416837"/>
            <w:rPr>
              <w:rFonts w:eastAsia="Times New Roman"/>
            </w:rPr>
          </w:pPr>
          <w:r>
            <w:rPr>
              <w:rFonts w:eastAsia="Times New Roman"/>
            </w:rPr>
            <w:t>197.</w:t>
          </w:r>
          <w:r>
            <w:rPr>
              <w:rFonts w:eastAsia="Times New Roman"/>
            </w:rPr>
            <w:tab/>
          </w:r>
          <w:proofErr w:type="spellStart"/>
          <w:r>
            <w:rPr>
              <w:rFonts w:eastAsia="Times New Roman"/>
            </w:rPr>
            <w:t>Gasparrini</w:t>
          </w:r>
          <w:proofErr w:type="spellEnd"/>
          <w:r>
            <w:rPr>
              <w:rFonts w:eastAsia="Times New Roman"/>
            </w:rPr>
            <w:t xml:space="preserve">, A. J. </w:t>
          </w:r>
          <w:r>
            <w:rPr>
              <w:rFonts w:eastAsia="Times New Roman"/>
              <w:i/>
              <w:iCs/>
            </w:rPr>
            <w:t>et al.</w:t>
          </w:r>
          <w:r>
            <w:rPr>
              <w:rFonts w:eastAsia="Times New Roman"/>
            </w:rPr>
            <w:t xml:space="preserve"> Persistent metagenomic signatures of early-life hospitalization and antibiotic treatment in the infant gut microbiota and </w:t>
          </w:r>
          <w:proofErr w:type="spellStart"/>
          <w:r>
            <w:rPr>
              <w:rFonts w:eastAsia="Times New Roman"/>
            </w:rPr>
            <w:t>resistome</w:t>
          </w:r>
          <w:proofErr w:type="spellEnd"/>
          <w:r>
            <w:rPr>
              <w:rFonts w:eastAsia="Times New Roman"/>
            </w:rPr>
            <w:t xml:space="preserve">. </w:t>
          </w:r>
          <w:r>
            <w:rPr>
              <w:rFonts w:eastAsia="Times New Roman"/>
              <w:i/>
              <w:iCs/>
            </w:rPr>
            <w:t>Nature Microbiology</w:t>
          </w:r>
          <w:r>
            <w:rPr>
              <w:rFonts w:eastAsia="Times New Roman"/>
            </w:rPr>
            <w:t xml:space="preserve"> </w:t>
          </w:r>
          <w:r>
            <w:rPr>
              <w:rFonts w:eastAsia="Times New Roman"/>
              <w:b/>
              <w:bCs/>
            </w:rPr>
            <w:t>4</w:t>
          </w:r>
          <w:r>
            <w:rPr>
              <w:rFonts w:eastAsia="Times New Roman"/>
            </w:rPr>
            <w:t>, 2285–2297 (2019).</w:t>
          </w:r>
        </w:p>
        <w:p w14:paraId="39EB4A49" w14:textId="77777777" w:rsidR="003204EA" w:rsidRDefault="003204EA">
          <w:pPr>
            <w:autoSpaceDE w:val="0"/>
            <w:autoSpaceDN w:val="0"/>
            <w:ind w:hanging="640"/>
            <w:divId w:val="2034106719"/>
            <w:rPr>
              <w:rFonts w:eastAsia="Times New Roman"/>
            </w:rPr>
          </w:pPr>
          <w:r>
            <w:rPr>
              <w:rFonts w:eastAsia="Times New Roman"/>
            </w:rPr>
            <w:t>198.</w:t>
          </w:r>
          <w:r>
            <w:rPr>
              <w:rFonts w:eastAsia="Times New Roman"/>
            </w:rPr>
            <w:tab/>
            <w:t xml:space="preserve">Gibson, M. K. </w:t>
          </w:r>
          <w:r>
            <w:rPr>
              <w:rFonts w:eastAsia="Times New Roman"/>
              <w:i/>
              <w:iCs/>
            </w:rPr>
            <w:t>et al.</w:t>
          </w:r>
          <w:r>
            <w:rPr>
              <w:rFonts w:eastAsia="Times New Roman"/>
            </w:rPr>
            <w:t xml:space="preserve"> Developmental dynamics of the preterm infant gut microbiota and antibiotic </w:t>
          </w:r>
          <w:proofErr w:type="spellStart"/>
          <w:r>
            <w:rPr>
              <w:rFonts w:eastAsia="Times New Roman"/>
            </w:rPr>
            <w:t>resistome</w:t>
          </w:r>
          <w:proofErr w:type="spellEnd"/>
          <w:r>
            <w:rPr>
              <w:rFonts w:eastAsia="Times New Roman"/>
            </w:rPr>
            <w:t xml:space="preserve">. </w:t>
          </w:r>
          <w:r>
            <w:rPr>
              <w:rFonts w:eastAsia="Times New Roman"/>
              <w:i/>
              <w:iCs/>
            </w:rPr>
            <w:t xml:space="preserve">Nat </w:t>
          </w:r>
          <w:proofErr w:type="spellStart"/>
          <w:r>
            <w:rPr>
              <w:rFonts w:eastAsia="Times New Roman"/>
              <w:i/>
              <w:iCs/>
            </w:rPr>
            <w:t>Microbiol</w:t>
          </w:r>
          <w:proofErr w:type="spellEnd"/>
          <w:r>
            <w:rPr>
              <w:rFonts w:eastAsia="Times New Roman"/>
            </w:rPr>
            <w:t xml:space="preserve"> </w:t>
          </w:r>
          <w:r>
            <w:rPr>
              <w:rFonts w:eastAsia="Times New Roman"/>
              <w:b/>
              <w:bCs/>
            </w:rPr>
            <w:t>1</w:t>
          </w:r>
          <w:r>
            <w:rPr>
              <w:rFonts w:eastAsia="Times New Roman"/>
            </w:rPr>
            <w:t>, 16024 (2016).</w:t>
          </w:r>
        </w:p>
        <w:p w14:paraId="128D9489" w14:textId="77777777" w:rsidR="003204EA" w:rsidRDefault="003204EA">
          <w:pPr>
            <w:autoSpaceDE w:val="0"/>
            <w:autoSpaceDN w:val="0"/>
            <w:ind w:hanging="640"/>
            <w:divId w:val="362636897"/>
            <w:rPr>
              <w:rFonts w:eastAsia="Times New Roman"/>
            </w:rPr>
          </w:pPr>
          <w:r>
            <w:rPr>
              <w:rFonts w:eastAsia="Times New Roman"/>
            </w:rPr>
            <w:t>199.</w:t>
          </w:r>
          <w:r>
            <w:rPr>
              <w:rFonts w:eastAsia="Times New Roman"/>
            </w:rPr>
            <w:tab/>
            <w:t xml:space="preserve">Chen, Y. </w:t>
          </w:r>
          <w:r>
            <w:rPr>
              <w:rFonts w:eastAsia="Times New Roman"/>
              <w:i/>
              <w:iCs/>
            </w:rPr>
            <w:t>et al.</w:t>
          </w:r>
          <w:r>
            <w:rPr>
              <w:rFonts w:eastAsia="Times New Roman"/>
            </w:rPr>
            <w:t xml:space="preserve"> Preterm infants </w:t>
          </w:r>
          <w:proofErr w:type="spellStart"/>
          <w:r>
            <w:rPr>
              <w:rFonts w:eastAsia="Times New Roman"/>
            </w:rPr>
            <w:t>harbour</w:t>
          </w:r>
          <w:proofErr w:type="spellEnd"/>
          <w:r>
            <w:rPr>
              <w:rFonts w:eastAsia="Times New Roman"/>
            </w:rPr>
            <w:t xml:space="preserve"> diverse klebsiella populations, including atypical species that encode and produce an array of antimicrobial resistance-and virulence-associated factors. </w:t>
          </w:r>
          <w:r>
            <w:rPr>
              <w:rFonts w:eastAsia="Times New Roman"/>
              <w:i/>
              <w:iCs/>
            </w:rPr>
            <w:t>Microbial Genomics</w:t>
          </w:r>
          <w:r>
            <w:rPr>
              <w:rFonts w:eastAsia="Times New Roman"/>
            </w:rPr>
            <w:t xml:space="preserve"> </w:t>
          </w:r>
          <w:r>
            <w:rPr>
              <w:rFonts w:eastAsia="Times New Roman"/>
              <w:b/>
              <w:bCs/>
            </w:rPr>
            <w:t>6</w:t>
          </w:r>
          <w:r>
            <w:rPr>
              <w:rFonts w:eastAsia="Times New Roman"/>
            </w:rPr>
            <w:t>, 1–20 (2020).</w:t>
          </w:r>
        </w:p>
        <w:p w14:paraId="5C880038" w14:textId="77777777" w:rsidR="003204EA" w:rsidRDefault="003204EA">
          <w:pPr>
            <w:autoSpaceDE w:val="0"/>
            <w:autoSpaceDN w:val="0"/>
            <w:ind w:hanging="640"/>
            <w:divId w:val="898977177"/>
            <w:rPr>
              <w:rFonts w:eastAsia="Times New Roman"/>
            </w:rPr>
          </w:pPr>
          <w:r>
            <w:rPr>
              <w:rFonts w:eastAsia="Times New Roman"/>
            </w:rPr>
            <w:t>200.</w:t>
          </w:r>
          <w:r>
            <w:rPr>
              <w:rFonts w:eastAsia="Times New Roman"/>
            </w:rPr>
            <w:tab/>
            <w:t xml:space="preserve">Rodríguez, J. M. </w:t>
          </w:r>
          <w:r>
            <w:rPr>
              <w:rFonts w:eastAsia="Times New Roman"/>
              <w:i/>
              <w:iCs/>
            </w:rPr>
            <w:t>et al.</w:t>
          </w:r>
          <w:r>
            <w:rPr>
              <w:rFonts w:eastAsia="Times New Roman"/>
            </w:rPr>
            <w:t xml:space="preserve"> The composition of the gut microbiota throughout life, with an emphasis on early life. </w:t>
          </w:r>
          <w:r>
            <w:rPr>
              <w:rFonts w:eastAsia="Times New Roman"/>
              <w:i/>
              <w:iCs/>
            </w:rPr>
            <w:t>Microbial Ecology in Health &amp; Disease</w:t>
          </w:r>
          <w:r>
            <w:rPr>
              <w:rFonts w:eastAsia="Times New Roman"/>
            </w:rPr>
            <w:t xml:space="preserve"> </w:t>
          </w:r>
          <w:r>
            <w:rPr>
              <w:rFonts w:eastAsia="Times New Roman"/>
              <w:b/>
              <w:bCs/>
            </w:rPr>
            <w:t>26</w:t>
          </w:r>
          <w:r>
            <w:rPr>
              <w:rFonts w:eastAsia="Times New Roman"/>
            </w:rPr>
            <w:t>, (2015).</w:t>
          </w:r>
        </w:p>
        <w:p w14:paraId="687D43E0" w14:textId="77777777" w:rsidR="003204EA" w:rsidRDefault="003204EA">
          <w:pPr>
            <w:autoSpaceDE w:val="0"/>
            <w:autoSpaceDN w:val="0"/>
            <w:ind w:hanging="640"/>
            <w:divId w:val="244844779"/>
            <w:rPr>
              <w:rFonts w:eastAsia="Times New Roman"/>
            </w:rPr>
          </w:pPr>
          <w:r>
            <w:rPr>
              <w:rFonts w:eastAsia="Times New Roman"/>
            </w:rPr>
            <w:t>201.</w:t>
          </w:r>
          <w:r>
            <w:rPr>
              <w:rFonts w:eastAsia="Times New Roman"/>
            </w:rPr>
            <w:tab/>
            <w:t>Healy, D. B., Ryan, C. A., Ross, R. P., Stanton, C. &amp; Dempsey, E. M. Clinical implications of preterm infant gut microbiome development. doi:10.1038/s41564-021-01025-4.</w:t>
          </w:r>
        </w:p>
        <w:p w14:paraId="28A1D8EB" w14:textId="77777777" w:rsidR="003204EA" w:rsidRDefault="003204EA">
          <w:pPr>
            <w:autoSpaceDE w:val="0"/>
            <w:autoSpaceDN w:val="0"/>
            <w:ind w:hanging="640"/>
            <w:divId w:val="987440634"/>
            <w:rPr>
              <w:rFonts w:eastAsia="Times New Roman"/>
            </w:rPr>
          </w:pPr>
          <w:r>
            <w:rPr>
              <w:rFonts w:eastAsia="Times New Roman"/>
            </w:rPr>
            <w:t>202.</w:t>
          </w:r>
          <w:r>
            <w:rPr>
              <w:rFonts w:eastAsia="Times New Roman"/>
            </w:rPr>
            <w:tab/>
            <w:t xml:space="preserve">Berardi, A. </w:t>
          </w:r>
          <w:r>
            <w:rPr>
              <w:rFonts w:eastAsia="Times New Roman"/>
              <w:i/>
              <w:iCs/>
            </w:rPr>
            <w:t>et al.</w:t>
          </w:r>
          <w:r>
            <w:rPr>
              <w:rFonts w:eastAsia="Times New Roman"/>
            </w:rPr>
            <w:t xml:space="preserve"> Are postnatal ampicillin levels </w:t>
          </w:r>
          <w:proofErr w:type="gramStart"/>
          <w:r>
            <w:rPr>
              <w:rFonts w:eastAsia="Times New Roman"/>
            </w:rPr>
            <w:t>actually related</w:t>
          </w:r>
          <w:proofErr w:type="gramEnd"/>
          <w:r>
            <w:rPr>
              <w:rFonts w:eastAsia="Times New Roman"/>
            </w:rPr>
            <w:t xml:space="preserve"> to the duration of intrapartum antibiotic prophylaxis prior to delivery? A pharmacokinetic study in 120 neonates. </w:t>
          </w:r>
          <w:r>
            <w:rPr>
              <w:rFonts w:eastAsia="Times New Roman"/>
              <w:i/>
              <w:iCs/>
            </w:rPr>
            <w:t>Archives of Disease in Childhood: Fetal and Neonatal Edition</w:t>
          </w:r>
          <w:r>
            <w:rPr>
              <w:rFonts w:eastAsia="Times New Roman"/>
            </w:rPr>
            <w:t xml:space="preserve"> </w:t>
          </w:r>
          <w:r>
            <w:rPr>
              <w:rFonts w:eastAsia="Times New Roman"/>
              <w:b/>
              <w:bCs/>
            </w:rPr>
            <w:t>103</w:t>
          </w:r>
          <w:r>
            <w:rPr>
              <w:rFonts w:eastAsia="Times New Roman"/>
            </w:rPr>
            <w:t>, F152–F156 (2018).</w:t>
          </w:r>
        </w:p>
        <w:p w14:paraId="640B8277" w14:textId="77777777" w:rsidR="003204EA" w:rsidRDefault="003204EA">
          <w:pPr>
            <w:autoSpaceDE w:val="0"/>
            <w:autoSpaceDN w:val="0"/>
            <w:ind w:hanging="640"/>
            <w:divId w:val="52196205"/>
            <w:rPr>
              <w:rFonts w:eastAsia="Times New Roman"/>
            </w:rPr>
          </w:pPr>
          <w:r>
            <w:rPr>
              <w:rFonts w:eastAsia="Times New Roman"/>
            </w:rPr>
            <w:t>203.</w:t>
          </w:r>
          <w:r>
            <w:rPr>
              <w:rFonts w:eastAsia="Times New Roman"/>
            </w:rPr>
            <w:tab/>
            <w:t xml:space="preserve">Berardi, A. </w:t>
          </w:r>
          <w:r>
            <w:rPr>
              <w:rFonts w:eastAsia="Times New Roman"/>
              <w:i/>
              <w:iCs/>
            </w:rPr>
            <w:t>et al.</w:t>
          </w:r>
          <w:r>
            <w:rPr>
              <w:rFonts w:eastAsia="Times New Roman"/>
            </w:rPr>
            <w:t xml:space="preserve"> Intrapartum beta-lactam antibiotics for preventing group B streptococcal early-onset disease: can we abandon the concept of ‘inadequate’ intrapartum antibiotic prophylaxis? </w:t>
          </w:r>
          <w:r>
            <w:rPr>
              <w:rFonts w:eastAsia="Times New Roman"/>
              <w:i/>
              <w:iCs/>
            </w:rPr>
            <w:t>Expert Review of Anti-Infective Therapy</w:t>
          </w:r>
          <w:r>
            <w:rPr>
              <w:rFonts w:eastAsia="Times New Roman"/>
            </w:rPr>
            <w:t xml:space="preserve"> </w:t>
          </w:r>
          <w:r>
            <w:rPr>
              <w:rFonts w:eastAsia="Times New Roman"/>
              <w:b/>
              <w:bCs/>
            </w:rPr>
            <w:t>18</w:t>
          </w:r>
          <w:r>
            <w:rPr>
              <w:rFonts w:eastAsia="Times New Roman"/>
            </w:rPr>
            <w:t>, 37–46 (2020).</w:t>
          </w:r>
        </w:p>
        <w:p w14:paraId="2898F9EE" w14:textId="77777777" w:rsidR="003204EA" w:rsidRDefault="003204EA">
          <w:pPr>
            <w:autoSpaceDE w:val="0"/>
            <w:autoSpaceDN w:val="0"/>
            <w:ind w:hanging="640"/>
            <w:divId w:val="1025713651"/>
            <w:rPr>
              <w:rFonts w:eastAsia="Times New Roman"/>
            </w:rPr>
          </w:pPr>
          <w:r>
            <w:rPr>
              <w:rFonts w:eastAsia="Times New Roman"/>
            </w:rPr>
            <w:t>204.</w:t>
          </w:r>
          <w:r>
            <w:rPr>
              <w:rFonts w:eastAsia="Times New Roman"/>
            </w:rPr>
            <w:tab/>
            <w:t xml:space="preserve">Azad, M. B. </w:t>
          </w:r>
          <w:r>
            <w:rPr>
              <w:rFonts w:eastAsia="Times New Roman"/>
              <w:i/>
              <w:iCs/>
            </w:rPr>
            <w:t>et al.</w:t>
          </w:r>
          <w:r>
            <w:rPr>
              <w:rFonts w:eastAsia="Times New Roman"/>
            </w:rPr>
            <w:t xml:space="preserve"> Impact of maternal intrapartum antibiotics, method of birth and breastfeeding on gut microbiota during the first year of life: A prospective cohort study. </w:t>
          </w:r>
          <w:r>
            <w:rPr>
              <w:rFonts w:eastAsia="Times New Roman"/>
              <w:i/>
              <w:iCs/>
            </w:rPr>
            <w:t xml:space="preserve">BJOG: An International Journal of Obstetrics and </w:t>
          </w:r>
          <w:proofErr w:type="spellStart"/>
          <w:r>
            <w:rPr>
              <w:rFonts w:eastAsia="Times New Roman"/>
              <w:i/>
              <w:iCs/>
            </w:rPr>
            <w:t>Gynaecology</w:t>
          </w:r>
          <w:proofErr w:type="spellEnd"/>
          <w:r>
            <w:rPr>
              <w:rFonts w:eastAsia="Times New Roman"/>
            </w:rPr>
            <w:t xml:space="preserve"> </w:t>
          </w:r>
          <w:r>
            <w:rPr>
              <w:rFonts w:eastAsia="Times New Roman"/>
              <w:b/>
              <w:bCs/>
            </w:rPr>
            <w:t>123</w:t>
          </w:r>
          <w:r>
            <w:rPr>
              <w:rFonts w:eastAsia="Times New Roman"/>
            </w:rPr>
            <w:t>, 983–993 (2016).</w:t>
          </w:r>
        </w:p>
        <w:p w14:paraId="0FB8EC1E" w14:textId="77777777" w:rsidR="003204EA" w:rsidRDefault="003204EA">
          <w:pPr>
            <w:autoSpaceDE w:val="0"/>
            <w:autoSpaceDN w:val="0"/>
            <w:ind w:hanging="640"/>
            <w:divId w:val="1564561341"/>
            <w:rPr>
              <w:rFonts w:eastAsia="Times New Roman"/>
            </w:rPr>
          </w:pPr>
          <w:r>
            <w:rPr>
              <w:rFonts w:eastAsia="Times New Roman"/>
            </w:rPr>
            <w:t>205.</w:t>
          </w:r>
          <w:r>
            <w:rPr>
              <w:rFonts w:eastAsia="Times New Roman"/>
            </w:rPr>
            <w:tab/>
            <w:t xml:space="preserve">Miller, J. E. </w:t>
          </w:r>
          <w:r>
            <w:rPr>
              <w:rFonts w:eastAsia="Times New Roman"/>
              <w:i/>
              <w:iCs/>
            </w:rPr>
            <w:t>et al.</w:t>
          </w:r>
          <w:r>
            <w:rPr>
              <w:rFonts w:eastAsia="Times New Roman"/>
            </w:rPr>
            <w:t xml:space="preserve"> Maternal antibiotic exposure during pregnancy and hospitalization with infection in offspring: A population-based cohort study. </w:t>
          </w:r>
          <w:r>
            <w:rPr>
              <w:rFonts w:eastAsia="Times New Roman"/>
              <w:i/>
              <w:iCs/>
            </w:rPr>
            <w:t>International Journal of Epidemiology</w:t>
          </w:r>
          <w:r>
            <w:rPr>
              <w:rFonts w:eastAsia="Times New Roman"/>
            </w:rPr>
            <w:t xml:space="preserve"> </w:t>
          </w:r>
          <w:r>
            <w:rPr>
              <w:rFonts w:eastAsia="Times New Roman"/>
              <w:b/>
              <w:bCs/>
            </w:rPr>
            <w:t>47</w:t>
          </w:r>
          <w:r>
            <w:rPr>
              <w:rFonts w:eastAsia="Times New Roman"/>
            </w:rPr>
            <w:t>, 561–571 (2018).</w:t>
          </w:r>
        </w:p>
        <w:p w14:paraId="4446E768" w14:textId="77777777" w:rsidR="003204EA" w:rsidRDefault="003204EA">
          <w:pPr>
            <w:autoSpaceDE w:val="0"/>
            <w:autoSpaceDN w:val="0"/>
            <w:ind w:hanging="640"/>
            <w:divId w:val="438648965"/>
            <w:rPr>
              <w:rFonts w:eastAsia="Times New Roman"/>
            </w:rPr>
          </w:pPr>
          <w:r>
            <w:rPr>
              <w:rFonts w:eastAsia="Times New Roman"/>
            </w:rPr>
            <w:t>206.</w:t>
          </w:r>
          <w:r>
            <w:rPr>
              <w:rFonts w:eastAsia="Times New Roman"/>
            </w:rPr>
            <w:tab/>
          </w:r>
          <w:proofErr w:type="spellStart"/>
          <w:r>
            <w:rPr>
              <w:rFonts w:eastAsia="Times New Roman"/>
            </w:rPr>
            <w:t>Dierikx</w:t>
          </w:r>
          <w:proofErr w:type="spellEnd"/>
          <w:r>
            <w:rPr>
              <w:rFonts w:eastAsia="Times New Roman"/>
            </w:rPr>
            <w:t xml:space="preserve">, T. H. </w:t>
          </w:r>
          <w:r>
            <w:rPr>
              <w:rFonts w:eastAsia="Times New Roman"/>
              <w:i/>
              <w:iCs/>
            </w:rPr>
            <w:t>et al.</w:t>
          </w:r>
          <w:r>
            <w:rPr>
              <w:rFonts w:eastAsia="Times New Roman"/>
            </w:rPr>
            <w:t xml:space="preserve"> The influence of prenatal and intrapartum antibiotics on intestinal microbiota </w:t>
          </w:r>
          <w:proofErr w:type="spellStart"/>
          <w:r>
            <w:rPr>
              <w:rFonts w:eastAsia="Times New Roman"/>
            </w:rPr>
            <w:t>colonisation</w:t>
          </w:r>
          <w:proofErr w:type="spellEnd"/>
          <w:r>
            <w:rPr>
              <w:rFonts w:eastAsia="Times New Roman"/>
            </w:rPr>
            <w:t xml:space="preserve"> in infants: A systematic review. </w:t>
          </w:r>
          <w:r>
            <w:rPr>
              <w:rFonts w:eastAsia="Times New Roman"/>
              <w:i/>
              <w:iCs/>
            </w:rPr>
            <w:t>Journal of Infection</w:t>
          </w:r>
          <w:r>
            <w:rPr>
              <w:rFonts w:eastAsia="Times New Roman"/>
            </w:rPr>
            <w:t xml:space="preserve"> </w:t>
          </w:r>
          <w:r>
            <w:rPr>
              <w:rFonts w:eastAsia="Times New Roman"/>
              <w:b/>
              <w:bCs/>
            </w:rPr>
            <w:t>81</w:t>
          </w:r>
          <w:r>
            <w:rPr>
              <w:rFonts w:eastAsia="Times New Roman"/>
            </w:rPr>
            <w:t>, 190–204 (2020).</w:t>
          </w:r>
        </w:p>
        <w:p w14:paraId="6F285692" w14:textId="77777777" w:rsidR="003204EA" w:rsidRDefault="003204EA">
          <w:pPr>
            <w:autoSpaceDE w:val="0"/>
            <w:autoSpaceDN w:val="0"/>
            <w:ind w:hanging="640"/>
            <w:divId w:val="1285621060"/>
            <w:rPr>
              <w:rFonts w:eastAsia="Times New Roman"/>
            </w:rPr>
          </w:pPr>
          <w:r>
            <w:rPr>
              <w:rFonts w:eastAsia="Times New Roman"/>
            </w:rPr>
            <w:t>207.</w:t>
          </w:r>
          <w:r>
            <w:rPr>
              <w:rFonts w:eastAsia="Times New Roman"/>
            </w:rPr>
            <w:tab/>
          </w:r>
          <w:proofErr w:type="spellStart"/>
          <w:r>
            <w:rPr>
              <w:rFonts w:eastAsia="Times New Roman"/>
            </w:rPr>
            <w:t>Fouhy</w:t>
          </w:r>
          <w:proofErr w:type="spellEnd"/>
          <w:r>
            <w:rPr>
              <w:rFonts w:eastAsia="Times New Roman"/>
            </w:rPr>
            <w:t xml:space="preserve">, F. </w:t>
          </w:r>
          <w:r>
            <w:rPr>
              <w:rFonts w:eastAsia="Times New Roman"/>
              <w:i/>
              <w:iCs/>
            </w:rPr>
            <w:t>et al.</w:t>
          </w:r>
          <w:r>
            <w:rPr>
              <w:rFonts w:eastAsia="Times New Roman"/>
            </w:rPr>
            <w:t xml:space="preserve"> High-throughput sequencing reveals the incomplete, short-term recovery of infant gut microbiota following parenteral antibiotic treatment with ampicillin and gentamicin. </w:t>
          </w:r>
          <w:r>
            <w:rPr>
              <w:rFonts w:eastAsia="Times New Roman"/>
              <w:i/>
              <w:iCs/>
            </w:rPr>
            <w:t>Antimicrobial Agents and Chemotherapy</w:t>
          </w:r>
          <w:r>
            <w:rPr>
              <w:rFonts w:eastAsia="Times New Roman"/>
            </w:rPr>
            <w:t xml:space="preserve"> </w:t>
          </w:r>
          <w:r>
            <w:rPr>
              <w:rFonts w:eastAsia="Times New Roman"/>
              <w:b/>
              <w:bCs/>
            </w:rPr>
            <w:t>56</w:t>
          </w:r>
          <w:r>
            <w:rPr>
              <w:rFonts w:eastAsia="Times New Roman"/>
            </w:rPr>
            <w:t>, 5811–5820 (2012).</w:t>
          </w:r>
        </w:p>
        <w:p w14:paraId="798E1E6A" w14:textId="77777777" w:rsidR="003204EA" w:rsidRDefault="003204EA">
          <w:pPr>
            <w:autoSpaceDE w:val="0"/>
            <w:autoSpaceDN w:val="0"/>
            <w:ind w:hanging="640"/>
            <w:divId w:val="465975482"/>
            <w:rPr>
              <w:rFonts w:eastAsia="Times New Roman"/>
            </w:rPr>
          </w:pPr>
          <w:r>
            <w:rPr>
              <w:rFonts w:eastAsia="Times New Roman"/>
            </w:rPr>
            <w:t>208.</w:t>
          </w:r>
          <w:r>
            <w:rPr>
              <w:rFonts w:eastAsia="Times New Roman"/>
            </w:rPr>
            <w:tab/>
            <w:t xml:space="preserve">Cheng, G. </w:t>
          </w:r>
          <w:r>
            <w:rPr>
              <w:rFonts w:eastAsia="Times New Roman"/>
              <w:i/>
              <w:iCs/>
            </w:rPr>
            <w:t>et al.</w:t>
          </w:r>
          <w:r>
            <w:rPr>
              <w:rFonts w:eastAsia="Times New Roman"/>
            </w:rPr>
            <w:t xml:space="preserve"> Selection and dissemination of antimicrobial resistance in Agri-food production. </w:t>
          </w:r>
          <w:r>
            <w:rPr>
              <w:rFonts w:eastAsia="Times New Roman"/>
              <w:b/>
              <w:bCs/>
            </w:rPr>
            <w:t>2</w:t>
          </w:r>
          <w:r>
            <w:rPr>
              <w:rFonts w:eastAsia="Times New Roman"/>
            </w:rPr>
            <w:t>, 1–13 (2019).</w:t>
          </w:r>
        </w:p>
        <w:p w14:paraId="5C31C09E" w14:textId="77777777" w:rsidR="003204EA" w:rsidRDefault="003204EA">
          <w:pPr>
            <w:autoSpaceDE w:val="0"/>
            <w:autoSpaceDN w:val="0"/>
            <w:ind w:hanging="640"/>
            <w:divId w:val="1160538622"/>
            <w:rPr>
              <w:rFonts w:eastAsia="Times New Roman"/>
            </w:rPr>
          </w:pPr>
          <w:r>
            <w:rPr>
              <w:rFonts w:eastAsia="Times New Roman"/>
            </w:rPr>
            <w:t>209.</w:t>
          </w:r>
          <w:r>
            <w:rPr>
              <w:rFonts w:eastAsia="Times New Roman"/>
            </w:rPr>
            <w:tab/>
            <w:t xml:space="preserve">Pietsch, F. </w:t>
          </w:r>
          <w:r>
            <w:rPr>
              <w:rFonts w:eastAsia="Times New Roman"/>
              <w:i/>
              <w:iCs/>
            </w:rPr>
            <w:t>et al.</w:t>
          </w:r>
          <w:r>
            <w:rPr>
              <w:rFonts w:eastAsia="Times New Roman"/>
            </w:rPr>
            <w:t xml:space="preserve"> Selection of resistance by antimicrobial coatings in the healthcare setting. </w:t>
          </w:r>
          <w:r>
            <w:rPr>
              <w:rFonts w:eastAsia="Times New Roman"/>
              <w:i/>
              <w:iCs/>
            </w:rPr>
            <w:t>Journal of Hospital Infection</w:t>
          </w:r>
          <w:r>
            <w:rPr>
              <w:rFonts w:eastAsia="Times New Roman"/>
            </w:rPr>
            <w:t xml:space="preserve"> </w:t>
          </w:r>
          <w:r>
            <w:rPr>
              <w:rFonts w:eastAsia="Times New Roman"/>
              <w:b/>
              <w:bCs/>
            </w:rPr>
            <w:t>106</w:t>
          </w:r>
          <w:r>
            <w:rPr>
              <w:rFonts w:eastAsia="Times New Roman"/>
            </w:rPr>
            <w:t>, 115–125 (2020).</w:t>
          </w:r>
        </w:p>
        <w:p w14:paraId="7BB74DD4" w14:textId="77777777" w:rsidR="003204EA" w:rsidRDefault="003204EA">
          <w:pPr>
            <w:autoSpaceDE w:val="0"/>
            <w:autoSpaceDN w:val="0"/>
            <w:ind w:hanging="640"/>
            <w:divId w:val="1754277966"/>
            <w:rPr>
              <w:rFonts w:eastAsia="Times New Roman"/>
            </w:rPr>
          </w:pPr>
          <w:r>
            <w:rPr>
              <w:rFonts w:eastAsia="Times New Roman"/>
            </w:rPr>
            <w:t>210.</w:t>
          </w:r>
          <w:r>
            <w:rPr>
              <w:rFonts w:eastAsia="Times New Roman"/>
            </w:rPr>
            <w:tab/>
          </w:r>
          <w:proofErr w:type="spellStart"/>
          <w:r>
            <w:rPr>
              <w:rFonts w:eastAsia="Times New Roman"/>
            </w:rPr>
            <w:t>Touati</w:t>
          </w:r>
          <w:proofErr w:type="spellEnd"/>
          <w:r>
            <w:rPr>
              <w:rFonts w:eastAsia="Times New Roman"/>
            </w:rPr>
            <w:t xml:space="preserve">, A., Zenati, K., </w:t>
          </w:r>
          <w:proofErr w:type="spellStart"/>
          <w:r>
            <w:rPr>
              <w:rFonts w:eastAsia="Times New Roman"/>
            </w:rPr>
            <w:t>Brasme</w:t>
          </w:r>
          <w:proofErr w:type="spellEnd"/>
          <w:r>
            <w:rPr>
              <w:rFonts w:eastAsia="Times New Roman"/>
            </w:rPr>
            <w:t xml:space="preserve">, L., </w:t>
          </w:r>
          <w:proofErr w:type="spellStart"/>
          <w:r>
            <w:rPr>
              <w:rFonts w:eastAsia="Times New Roman"/>
            </w:rPr>
            <w:t>Benallaoua</w:t>
          </w:r>
          <w:proofErr w:type="spellEnd"/>
          <w:r>
            <w:rPr>
              <w:rFonts w:eastAsia="Times New Roman"/>
            </w:rPr>
            <w:t xml:space="preserve">, S. &amp; de Champs, C. Extended-spectrum β-lactamase </w:t>
          </w:r>
          <w:proofErr w:type="spellStart"/>
          <w:r>
            <w:rPr>
              <w:rFonts w:eastAsia="Times New Roman"/>
            </w:rPr>
            <w:t>characterisation</w:t>
          </w:r>
          <w:proofErr w:type="spellEnd"/>
          <w:r>
            <w:rPr>
              <w:rFonts w:eastAsia="Times New Roman"/>
            </w:rPr>
            <w:t xml:space="preserve"> and heavy metal resistance of Enterobacteriaceae strains isolated from hospital environmental surfaces. </w:t>
          </w:r>
          <w:r>
            <w:rPr>
              <w:rFonts w:eastAsia="Times New Roman"/>
              <w:i/>
              <w:iCs/>
            </w:rPr>
            <w:t>Journal of Hospital Infection</w:t>
          </w:r>
          <w:r>
            <w:rPr>
              <w:rFonts w:eastAsia="Times New Roman"/>
            </w:rPr>
            <w:t xml:space="preserve"> </w:t>
          </w:r>
          <w:r>
            <w:rPr>
              <w:rFonts w:eastAsia="Times New Roman"/>
              <w:b/>
              <w:bCs/>
            </w:rPr>
            <w:t>75</w:t>
          </w:r>
          <w:r>
            <w:rPr>
              <w:rFonts w:eastAsia="Times New Roman"/>
            </w:rPr>
            <w:t>, 78–79 (2010).</w:t>
          </w:r>
        </w:p>
        <w:p w14:paraId="4231B574" w14:textId="77777777" w:rsidR="003204EA" w:rsidRDefault="003204EA">
          <w:pPr>
            <w:autoSpaceDE w:val="0"/>
            <w:autoSpaceDN w:val="0"/>
            <w:ind w:hanging="640"/>
            <w:divId w:val="1067604051"/>
            <w:rPr>
              <w:rFonts w:eastAsia="Times New Roman"/>
            </w:rPr>
          </w:pPr>
          <w:r>
            <w:rPr>
              <w:rFonts w:eastAsia="Times New Roman"/>
            </w:rPr>
            <w:t>211.</w:t>
          </w:r>
          <w:r>
            <w:rPr>
              <w:rFonts w:eastAsia="Times New Roman"/>
            </w:rPr>
            <w:tab/>
          </w:r>
          <w:proofErr w:type="spellStart"/>
          <w:r>
            <w:rPr>
              <w:rFonts w:eastAsia="Times New Roman"/>
            </w:rPr>
            <w:t>Mourão</w:t>
          </w:r>
          <w:proofErr w:type="spellEnd"/>
          <w:r>
            <w:rPr>
              <w:rFonts w:eastAsia="Times New Roman"/>
            </w:rPr>
            <w:t xml:space="preserve">, J., </w:t>
          </w:r>
          <w:proofErr w:type="spellStart"/>
          <w:r>
            <w:rPr>
              <w:rFonts w:eastAsia="Times New Roman"/>
            </w:rPr>
            <w:t>Novais</w:t>
          </w:r>
          <w:proofErr w:type="spellEnd"/>
          <w:r>
            <w:rPr>
              <w:rFonts w:eastAsia="Times New Roman"/>
            </w:rPr>
            <w:t xml:space="preserve">, C., Machado, J., </w:t>
          </w:r>
          <w:proofErr w:type="spellStart"/>
          <w:r>
            <w:rPr>
              <w:rFonts w:eastAsia="Times New Roman"/>
            </w:rPr>
            <w:t>Peixe</w:t>
          </w:r>
          <w:proofErr w:type="spellEnd"/>
          <w:r>
            <w:rPr>
              <w:rFonts w:eastAsia="Times New Roman"/>
            </w:rPr>
            <w:t xml:space="preserve">, L. &amp; Antunes, P. Metal tolerance in emerging clinically relevant multidrug-resistant Salmonella enterica serotype 4,[5],12:i:- clones circulating in Europe. </w:t>
          </w:r>
          <w:r>
            <w:rPr>
              <w:rFonts w:eastAsia="Times New Roman"/>
              <w:i/>
              <w:iCs/>
            </w:rPr>
            <w:t>International Journal of Antimicrobial Agents</w:t>
          </w:r>
          <w:r>
            <w:rPr>
              <w:rFonts w:eastAsia="Times New Roman"/>
            </w:rPr>
            <w:t xml:space="preserve"> </w:t>
          </w:r>
          <w:r>
            <w:rPr>
              <w:rFonts w:eastAsia="Times New Roman"/>
              <w:b/>
              <w:bCs/>
            </w:rPr>
            <w:t>45</w:t>
          </w:r>
          <w:r>
            <w:rPr>
              <w:rFonts w:eastAsia="Times New Roman"/>
            </w:rPr>
            <w:t>, 610–616 (2015).</w:t>
          </w:r>
        </w:p>
        <w:p w14:paraId="080AEB4D" w14:textId="77777777" w:rsidR="003204EA" w:rsidRDefault="003204EA">
          <w:pPr>
            <w:autoSpaceDE w:val="0"/>
            <w:autoSpaceDN w:val="0"/>
            <w:ind w:hanging="640"/>
            <w:divId w:val="2022507021"/>
            <w:rPr>
              <w:rFonts w:eastAsia="Times New Roman"/>
            </w:rPr>
          </w:pPr>
          <w:r>
            <w:rPr>
              <w:rFonts w:eastAsia="Times New Roman"/>
            </w:rPr>
            <w:t>212.</w:t>
          </w:r>
          <w:r>
            <w:rPr>
              <w:rFonts w:eastAsia="Times New Roman"/>
            </w:rPr>
            <w:tab/>
            <w:t xml:space="preserve">Gómez-Sanz, E. </w:t>
          </w:r>
          <w:r>
            <w:rPr>
              <w:rFonts w:eastAsia="Times New Roman"/>
              <w:i/>
              <w:iCs/>
            </w:rPr>
            <w:t>et al.</w:t>
          </w:r>
          <w:r>
            <w:rPr>
              <w:rFonts w:eastAsia="Times New Roman"/>
            </w:rPr>
            <w:t xml:space="preserve"> Novel erm(T)-carrying </w:t>
          </w:r>
          <w:proofErr w:type="spellStart"/>
          <w:r>
            <w:rPr>
              <w:rFonts w:eastAsia="Times New Roman"/>
            </w:rPr>
            <w:t>multiresistance</w:t>
          </w:r>
          <w:proofErr w:type="spellEnd"/>
          <w:r>
            <w:rPr>
              <w:rFonts w:eastAsia="Times New Roman"/>
            </w:rPr>
            <w:t xml:space="preserve"> plasmids from porcine and human isolates of methicillin-resistant Staphylococcus aureus ST398 that also harbor cadmium and copper resistance determinants. </w:t>
          </w:r>
          <w:r>
            <w:rPr>
              <w:rFonts w:eastAsia="Times New Roman"/>
              <w:i/>
              <w:iCs/>
            </w:rPr>
            <w:t>Antimicrobial Agents and Chemotherapy</w:t>
          </w:r>
          <w:r>
            <w:rPr>
              <w:rFonts w:eastAsia="Times New Roman"/>
            </w:rPr>
            <w:t xml:space="preserve"> </w:t>
          </w:r>
          <w:r>
            <w:rPr>
              <w:rFonts w:eastAsia="Times New Roman"/>
              <w:b/>
              <w:bCs/>
            </w:rPr>
            <w:t>57</w:t>
          </w:r>
          <w:r>
            <w:rPr>
              <w:rFonts w:eastAsia="Times New Roman"/>
            </w:rPr>
            <w:t>, 3275–3282 (2013).</w:t>
          </w:r>
        </w:p>
        <w:p w14:paraId="25F19961" w14:textId="77777777" w:rsidR="003204EA" w:rsidRDefault="003204EA">
          <w:pPr>
            <w:autoSpaceDE w:val="0"/>
            <w:autoSpaceDN w:val="0"/>
            <w:ind w:hanging="640"/>
            <w:divId w:val="1022392221"/>
            <w:rPr>
              <w:rFonts w:eastAsia="Times New Roman"/>
            </w:rPr>
          </w:pPr>
          <w:r>
            <w:rPr>
              <w:rFonts w:eastAsia="Times New Roman"/>
            </w:rPr>
            <w:t>213.</w:t>
          </w:r>
          <w:r>
            <w:rPr>
              <w:rFonts w:eastAsia="Times New Roman"/>
            </w:rPr>
            <w:tab/>
          </w:r>
          <w:proofErr w:type="spellStart"/>
          <w:r>
            <w:rPr>
              <w:rFonts w:eastAsia="Times New Roman"/>
            </w:rPr>
            <w:t>Hasman</w:t>
          </w:r>
          <w:proofErr w:type="spellEnd"/>
          <w:r>
            <w:rPr>
              <w:rFonts w:eastAsia="Times New Roman"/>
            </w:rPr>
            <w:t xml:space="preserve">, H. </w:t>
          </w:r>
          <w:r>
            <w:rPr>
              <w:rFonts w:eastAsia="Times New Roman"/>
              <w:i/>
              <w:iCs/>
            </w:rPr>
            <w:t>et al.</w:t>
          </w:r>
          <w:r>
            <w:rPr>
              <w:rFonts w:eastAsia="Times New Roman"/>
            </w:rPr>
            <w:t xml:space="preserve"> Copper resistance in Enterococcus faecium, mediated by the </w:t>
          </w:r>
          <w:proofErr w:type="spellStart"/>
          <w:r>
            <w:rPr>
              <w:rFonts w:eastAsia="Times New Roman"/>
            </w:rPr>
            <w:t>tcrB</w:t>
          </w:r>
          <w:proofErr w:type="spellEnd"/>
          <w:r>
            <w:rPr>
              <w:rFonts w:eastAsia="Times New Roman"/>
            </w:rPr>
            <w:t xml:space="preserve"> gene, is selected by supplementation of pig feed with copper sulfate. </w:t>
          </w:r>
          <w:r>
            <w:rPr>
              <w:rFonts w:eastAsia="Times New Roman"/>
              <w:i/>
              <w:iCs/>
            </w:rPr>
            <w:t>Applied and Environmental Microbiology</w:t>
          </w:r>
          <w:r>
            <w:rPr>
              <w:rFonts w:eastAsia="Times New Roman"/>
            </w:rPr>
            <w:t xml:space="preserve"> </w:t>
          </w:r>
          <w:r>
            <w:rPr>
              <w:rFonts w:eastAsia="Times New Roman"/>
              <w:b/>
              <w:bCs/>
            </w:rPr>
            <w:t>72</w:t>
          </w:r>
          <w:r>
            <w:rPr>
              <w:rFonts w:eastAsia="Times New Roman"/>
            </w:rPr>
            <w:t>, 5784–5789 (2006).</w:t>
          </w:r>
        </w:p>
        <w:p w14:paraId="4095DEC0" w14:textId="77777777" w:rsidR="003204EA" w:rsidRDefault="003204EA">
          <w:pPr>
            <w:autoSpaceDE w:val="0"/>
            <w:autoSpaceDN w:val="0"/>
            <w:ind w:hanging="640"/>
            <w:divId w:val="1807626381"/>
            <w:rPr>
              <w:rFonts w:eastAsia="Times New Roman"/>
            </w:rPr>
          </w:pPr>
          <w:r>
            <w:rPr>
              <w:rFonts w:eastAsia="Times New Roman"/>
            </w:rPr>
            <w:t>214.</w:t>
          </w:r>
          <w:r>
            <w:rPr>
              <w:rFonts w:eastAsia="Times New Roman"/>
            </w:rPr>
            <w:tab/>
          </w:r>
          <w:proofErr w:type="spellStart"/>
          <w:r>
            <w:rPr>
              <w:rFonts w:eastAsia="Times New Roman"/>
            </w:rPr>
            <w:t>Hasman</w:t>
          </w:r>
          <w:proofErr w:type="spellEnd"/>
          <w:r>
            <w:rPr>
              <w:rFonts w:eastAsia="Times New Roman"/>
            </w:rPr>
            <w:t xml:space="preserve">, H. &amp; </w:t>
          </w:r>
          <w:proofErr w:type="spellStart"/>
          <w:r>
            <w:rPr>
              <w:rFonts w:eastAsia="Times New Roman"/>
            </w:rPr>
            <w:t>Aarestrup</w:t>
          </w:r>
          <w:proofErr w:type="spellEnd"/>
          <w:r>
            <w:rPr>
              <w:rFonts w:eastAsia="Times New Roman"/>
            </w:rPr>
            <w:t xml:space="preserve">, F. M. </w:t>
          </w:r>
          <w:proofErr w:type="spellStart"/>
          <w:r>
            <w:rPr>
              <w:rFonts w:eastAsia="Times New Roman"/>
            </w:rPr>
            <w:t>tcrb</w:t>
          </w:r>
          <w:proofErr w:type="spellEnd"/>
          <w:r>
            <w:rPr>
              <w:rFonts w:eastAsia="Times New Roman"/>
            </w:rPr>
            <w:t xml:space="preserve">, a gene conferring transferable copper resistance in Enterococcus faecium: Occurrence, transferability, and linkage to macrolide and glycopeptide resistance. </w:t>
          </w:r>
          <w:r>
            <w:rPr>
              <w:rFonts w:eastAsia="Times New Roman"/>
              <w:i/>
              <w:iCs/>
            </w:rPr>
            <w:t>Antimicrobial Agents and Chemotherapy</w:t>
          </w:r>
          <w:r>
            <w:rPr>
              <w:rFonts w:eastAsia="Times New Roman"/>
            </w:rPr>
            <w:t xml:space="preserve"> </w:t>
          </w:r>
          <w:r>
            <w:rPr>
              <w:rFonts w:eastAsia="Times New Roman"/>
              <w:b/>
              <w:bCs/>
            </w:rPr>
            <w:t>46</w:t>
          </w:r>
          <w:r>
            <w:rPr>
              <w:rFonts w:eastAsia="Times New Roman"/>
            </w:rPr>
            <w:t>, 1410–1416 (2002).</w:t>
          </w:r>
        </w:p>
        <w:p w14:paraId="508F54A6" w14:textId="77777777" w:rsidR="003204EA" w:rsidRDefault="003204EA">
          <w:pPr>
            <w:autoSpaceDE w:val="0"/>
            <w:autoSpaceDN w:val="0"/>
            <w:ind w:hanging="640"/>
            <w:divId w:val="927810215"/>
            <w:rPr>
              <w:rFonts w:eastAsia="Times New Roman"/>
            </w:rPr>
          </w:pPr>
          <w:r>
            <w:rPr>
              <w:rFonts w:eastAsia="Times New Roman"/>
            </w:rPr>
            <w:t>215.</w:t>
          </w:r>
          <w:r>
            <w:rPr>
              <w:rFonts w:eastAsia="Times New Roman"/>
            </w:rPr>
            <w:tab/>
            <w:t xml:space="preserve">Yang, Q. E., </w:t>
          </w:r>
          <w:proofErr w:type="spellStart"/>
          <w:r>
            <w:rPr>
              <w:rFonts w:eastAsia="Times New Roman"/>
            </w:rPr>
            <w:t>Agouri</w:t>
          </w:r>
          <w:proofErr w:type="spellEnd"/>
          <w:r>
            <w:rPr>
              <w:rFonts w:eastAsia="Times New Roman"/>
            </w:rPr>
            <w:t xml:space="preserve">, R., Tyrrell, M. &amp; Walsh, R. Heavy Metal Resistance Genes Are Associated with blaNDM-1- and blaCTX-M-15-Carrying Enterobacteriaceae. </w:t>
          </w:r>
          <w:r>
            <w:rPr>
              <w:rFonts w:eastAsia="Times New Roman"/>
              <w:i/>
              <w:iCs/>
            </w:rPr>
            <w:t>Antimicrobial Agents and Chemotherapy</w:t>
          </w:r>
          <w:r>
            <w:rPr>
              <w:rFonts w:eastAsia="Times New Roman"/>
            </w:rPr>
            <w:t xml:space="preserve"> </w:t>
          </w:r>
          <w:r>
            <w:rPr>
              <w:rFonts w:eastAsia="Times New Roman"/>
              <w:b/>
              <w:bCs/>
            </w:rPr>
            <w:t>62</w:t>
          </w:r>
          <w:r>
            <w:rPr>
              <w:rFonts w:eastAsia="Times New Roman"/>
            </w:rPr>
            <w:t>, e02642-17 (2018).</w:t>
          </w:r>
        </w:p>
        <w:p w14:paraId="25AF4989" w14:textId="77777777" w:rsidR="003204EA" w:rsidRDefault="003204EA">
          <w:pPr>
            <w:autoSpaceDE w:val="0"/>
            <w:autoSpaceDN w:val="0"/>
            <w:ind w:hanging="640"/>
            <w:divId w:val="188379822"/>
            <w:rPr>
              <w:rFonts w:eastAsia="Times New Roman"/>
            </w:rPr>
          </w:pPr>
          <w:r>
            <w:rPr>
              <w:rFonts w:eastAsia="Times New Roman"/>
            </w:rPr>
            <w:t>216.</w:t>
          </w:r>
          <w:r>
            <w:rPr>
              <w:rFonts w:eastAsia="Times New Roman"/>
            </w:rPr>
            <w:tab/>
            <w:t xml:space="preserve">Becker, K. W. &amp; </w:t>
          </w:r>
          <w:proofErr w:type="spellStart"/>
          <w:r>
            <w:rPr>
              <w:rFonts w:eastAsia="Times New Roman"/>
            </w:rPr>
            <w:t>Skaar</w:t>
          </w:r>
          <w:proofErr w:type="spellEnd"/>
          <w:r>
            <w:rPr>
              <w:rFonts w:eastAsia="Times New Roman"/>
            </w:rPr>
            <w:t xml:space="preserve">, E. P. Metal limitation and toxicity at the interface between host and pathogen. </w:t>
          </w:r>
          <w:r>
            <w:rPr>
              <w:rFonts w:eastAsia="Times New Roman"/>
              <w:i/>
              <w:iCs/>
            </w:rPr>
            <w:t>FEMS Microbiology Reviews</w:t>
          </w:r>
          <w:r>
            <w:rPr>
              <w:rFonts w:eastAsia="Times New Roman"/>
            </w:rPr>
            <w:t xml:space="preserve"> </w:t>
          </w:r>
          <w:r>
            <w:rPr>
              <w:rFonts w:eastAsia="Times New Roman"/>
              <w:b/>
              <w:bCs/>
            </w:rPr>
            <w:t>38</w:t>
          </w:r>
          <w:r>
            <w:rPr>
              <w:rFonts w:eastAsia="Times New Roman"/>
            </w:rPr>
            <w:t>, 1235–1249 (2014).</w:t>
          </w:r>
        </w:p>
        <w:p w14:paraId="50A4CF74" w14:textId="77777777" w:rsidR="003204EA" w:rsidRDefault="003204EA">
          <w:pPr>
            <w:autoSpaceDE w:val="0"/>
            <w:autoSpaceDN w:val="0"/>
            <w:ind w:hanging="640"/>
            <w:divId w:val="880241134"/>
            <w:rPr>
              <w:rFonts w:eastAsia="Times New Roman"/>
            </w:rPr>
          </w:pPr>
          <w:r>
            <w:rPr>
              <w:rFonts w:eastAsia="Times New Roman"/>
            </w:rPr>
            <w:t>217.</w:t>
          </w:r>
          <w:r>
            <w:rPr>
              <w:rFonts w:eastAsia="Times New Roman"/>
            </w:rPr>
            <w:tab/>
            <w:t xml:space="preserve">Djoko, K. Y., Y. Ong, C. L., Walker, M. J. &amp; McEwan, A. G. The role of copper and zinc toxicity in innate immune defense against bacterial pathogens. </w:t>
          </w:r>
          <w:r>
            <w:rPr>
              <w:rFonts w:eastAsia="Times New Roman"/>
              <w:i/>
              <w:iCs/>
            </w:rPr>
            <w:t>Journal of Biological Chemistry</w:t>
          </w:r>
          <w:r>
            <w:rPr>
              <w:rFonts w:eastAsia="Times New Roman"/>
            </w:rPr>
            <w:t xml:space="preserve"> </w:t>
          </w:r>
          <w:r>
            <w:rPr>
              <w:rFonts w:eastAsia="Times New Roman"/>
              <w:b/>
              <w:bCs/>
            </w:rPr>
            <w:t>290</w:t>
          </w:r>
          <w:r>
            <w:rPr>
              <w:rFonts w:eastAsia="Times New Roman"/>
            </w:rPr>
            <w:t>, 1854–1861 (2015).</w:t>
          </w:r>
        </w:p>
        <w:p w14:paraId="5DB7884E" w14:textId="77777777" w:rsidR="003204EA" w:rsidRDefault="003204EA">
          <w:pPr>
            <w:autoSpaceDE w:val="0"/>
            <w:autoSpaceDN w:val="0"/>
            <w:ind w:hanging="640"/>
            <w:divId w:val="2078432389"/>
            <w:rPr>
              <w:rFonts w:eastAsia="Times New Roman"/>
            </w:rPr>
          </w:pPr>
          <w:r>
            <w:rPr>
              <w:rFonts w:eastAsia="Times New Roman"/>
            </w:rPr>
            <w:t>218.</w:t>
          </w:r>
          <w:r>
            <w:rPr>
              <w:rFonts w:eastAsia="Times New Roman"/>
            </w:rPr>
            <w:tab/>
            <w:t xml:space="preserve">Waters, L. S. Bacterial manganese sensing and homeostasis. </w:t>
          </w:r>
          <w:r>
            <w:rPr>
              <w:rFonts w:eastAsia="Times New Roman"/>
              <w:i/>
              <w:iCs/>
            </w:rPr>
            <w:t>Current Opinion in Chemical Biology</w:t>
          </w:r>
          <w:r>
            <w:rPr>
              <w:rFonts w:eastAsia="Times New Roman"/>
            </w:rPr>
            <w:t xml:space="preserve"> </w:t>
          </w:r>
          <w:r>
            <w:rPr>
              <w:rFonts w:eastAsia="Times New Roman"/>
              <w:b/>
              <w:bCs/>
            </w:rPr>
            <w:t>55</w:t>
          </w:r>
          <w:r>
            <w:rPr>
              <w:rFonts w:eastAsia="Times New Roman"/>
            </w:rPr>
            <w:t>, 96–102 (2020).</w:t>
          </w:r>
        </w:p>
        <w:p w14:paraId="64F4F924" w14:textId="77777777" w:rsidR="003204EA" w:rsidRDefault="003204EA">
          <w:pPr>
            <w:autoSpaceDE w:val="0"/>
            <w:autoSpaceDN w:val="0"/>
            <w:ind w:hanging="640"/>
            <w:divId w:val="66542757"/>
            <w:rPr>
              <w:rFonts w:eastAsia="Times New Roman"/>
            </w:rPr>
          </w:pPr>
          <w:r>
            <w:rPr>
              <w:rFonts w:eastAsia="Times New Roman"/>
            </w:rPr>
            <w:t>219.</w:t>
          </w:r>
          <w:r>
            <w:rPr>
              <w:rFonts w:eastAsia="Times New Roman"/>
            </w:rPr>
            <w:tab/>
            <w:t xml:space="preserve">Lemire, J. A., Harrison, J. J. &amp; Turner, R. J. Antimicrobial activity of metals: Mechanisms, molecular </w:t>
          </w:r>
          <w:proofErr w:type="gramStart"/>
          <w:r>
            <w:rPr>
              <w:rFonts w:eastAsia="Times New Roman"/>
            </w:rPr>
            <w:t>targets</w:t>
          </w:r>
          <w:proofErr w:type="gramEnd"/>
          <w:r>
            <w:rPr>
              <w:rFonts w:eastAsia="Times New Roman"/>
            </w:rPr>
            <w:t xml:space="preserve"> and applications. </w:t>
          </w:r>
          <w:r>
            <w:rPr>
              <w:rFonts w:eastAsia="Times New Roman"/>
              <w:i/>
              <w:iCs/>
            </w:rPr>
            <w:t>Nature Reviews Microbiology</w:t>
          </w:r>
          <w:r>
            <w:rPr>
              <w:rFonts w:eastAsia="Times New Roman"/>
            </w:rPr>
            <w:t xml:space="preserve"> </w:t>
          </w:r>
          <w:r>
            <w:rPr>
              <w:rFonts w:eastAsia="Times New Roman"/>
              <w:b/>
              <w:bCs/>
            </w:rPr>
            <w:t>11</w:t>
          </w:r>
          <w:r>
            <w:rPr>
              <w:rFonts w:eastAsia="Times New Roman"/>
            </w:rPr>
            <w:t>, 371–384 (2013).</w:t>
          </w:r>
        </w:p>
        <w:p w14:paraId="2506CDFF" w14:textId="77777777" w:rsidR="003204EA" w:rsidRDefault="003204EA">
          <w:pPr>
            <w:autoSpaceDE w:val="0"/>
            <w:autoSpaceDN w:val="0"/>
            <w:ind w:hanging="640"/>
            <w:divId w:val="1135298921"/>
            <w:rPr>
              <w:rFonts w:eastAsia="Times New Roman"/>
            </w:rPr>
          </w:pPr>
          <w:r>
            <w:rPr>
              <w:rFonts w:eastAsia="Times New Roman"/>
            </w:rPr>
            <w:t>220.</w:t>
          </w:r>
          <w:r>
            <w:rPr>
              <w:rFonts w:eastAsia="Times New Roman"/>
            </w:rPr>
            <w:tab/>
            <w:t xml:space="preserve">Brown, C. T. </w:t>
          </w:r>
          <w:r>
            <w:rPr>
              <w:rFonts w:eastAsia="Times New Roman"/>
              <w:i/>
              <w:iCs/>
            </w:rPr>
            <w:t>et al.</w:t>
          </w:r>
          <w:r>
            <w:rPr>
              <w:rFonts w:eastAsia="Times New Roman"/>
            </w:rPr>
            <w:t xml:space="preserve"> Hospitalized premature infants are colonized by related bacterial strains with distinct proteomic profiles. </w:t>
          </w:r>
          <w:r>
            <w:rPr>
              <w:rFonts w:eastAsia="Times New Roman"/>
              <w:i/>
              <w:iCs/>
            </w:rPr>
            <w:t>mBio</w:t>
          </w:r>
          <w:r>
            <w:rPr>
              <w:rFonts w:eastAsia="Times New Roman"/>
            </w:rPr>
            <w:t xml:space="preserve"> </w:t>
          </w:r>
          <w:r>
            <w:rPr>
              <w:rFonts w:eastAsia="Times New Roman"/>
              <w:b/>
              <w:bCs/>
            </w:rPr>
            <w:t>9</w:t>
          </w:r>
          <w:r>
            <w:rPr>
              <w:rFonts w:eastAsia="Times New Roman"/>
            </w:rPr>
            <w:t>, (2018).</w:t>
          </w:r>
        </w:p>
        <w:p w14:paraId="1119630A" w14:textId="77777777" w:rsidR="003204EA" w:rsidRDefault="003204EA">
          <w:pPr>
            <w:autoSpaceDE w:val="0"/>
            <w:autoSpaceDN w:val="0"/>
            <w:ind w:hanging="640"/>
            <w:divId w:val="1431467440"/>
            <w:rPr>
              <w:rFonts w:eastAsia="Times New Roman"/>
            </w:rPr>
          </w:pPr>
          <w:r>
            <w:rPr>
              <w:rFonts w:eastAsia="Times New Roman"/>
            </w:rPr>
            <w:t>221.</w:t>
          </w:r>
          <w:r>
            <w:rPr>
              <w:rFonts w:eastAsia="Times New Roman"/>
            </w:rPr>
            <w:tab/>
            <w:t xml:space="preserve">Melville, J. M. &amp; Moss, T. J. M. The immune consequences of preterm birth. </w:t>
          </w:r>
          <w:r>
            <w:rPr>
              <w:rFonts w:eastAsia="Times New Roman"/>
              <w:i/>
              <w:iCs/>
            </w:rPr>
            <w:t>Frontiers in Neuroscience</w:t>
          </w:r>
          <w:r>
            <w:rPr>
              <w:rFonts w:eastAsia="Times New Roman"/>
            </w:rPr>
            <w:t xml:space="preserve"> </w:t>
          </w:r>
          <w:r>
            <w:rPr>
              <w:rFonts w:eastAsia="Times New Roman"/>
              <w:b/>
              <w:bCs/>
            </w:rPr>
            <w:t>7</w:t>
          </w:r>
          <w:r>
            <w:rPr>
              <w:rFonts w:eastAsia="Times New Roman"/>
            </w:rPr>
            <w:t>, 1–9 (2013).</w:t>
          </w:r>
        </w:p>
        <w:p w14:paraId="15F94157" w14:textId="77777777" w:rsidR="003204EA" w:rsidRDefault="003204EA">
          <w:pPr>
            <w:autoSpaceDE w:val="0"/>
            <w:autoSpaceDN w:val="0"/>
            <w:ind w:hanging="640"/>
            <w:divId w:val="2055615749"/>
            <w:rPr>
              <w:rFonts w:eastAsia="Times New Roman"/>
            </w:rPr>
          </w:pPr>
          <w:r>
            <w:rPr>
              <w:rFonts w:eastAsia="Times New Roman"/>
            </w:rPr>
            <w:t>222.</w:t>
          </w:r>
          <w:r>
            <w:rPr>
              <w:rFonts w:eastAsia="Times New Roman"/>
            </w:rPr>
            <w:tab/>
          </w:r>
          <w:proofErr w:type="spellStart"/>
          <w:r>
            <w:rPr>
              <w:rFonts w:eastAsia="Times New Roman"/>
            </w:rPr>
            <w:t>Henderickx</w:t>
          </w:r>
          <w:proofErr w:type="spellEnd"/>
          <w:r>
            <w:rPr>
              <w:rFonts w:eastAsia="Times New Roman"/>
            </w:rPr>
            <w:t xml:space="preserve">, J. G. E. </w:t>
          </w:r>
          <w:r>
            <w:rPr>
              <w:rFonts w:eastAsia="Times New Roman"/>
              <w:i/>
              <w:iCs/>
            </w:rPr>
            <w:t>et al.</w:t>
          </w:r>
          <w:r>
            <w:rPr>
              <w:rFonts w:eastAsia="Times New Roman"/>
            </w:rPr>
            <w:t xml:space="preserve"> Maturation of the preterm gastrointestinal tract can be defined by host and microbial markers for digestion and barrier defense. </w:t>
          </w:r>
          <w:r>
            <w:rPr>
              <w:rFonts w:eastAsia="Times New Roman"/>
              <w:i/>
              <w:iCs/>
            </w:rPr>
            <w:t>Scientific Reports</w:t>
          </w:r>
          <w:r>
            <w:rPr>
              <w:rFonts w:eastAsia="Times New Roman"/>
            </w:rPr>
            <w:t xml:space="preserve"> 1–12 (2021) doi:10.1038/s41598-021-92222-y.</w:t>
          </w:r>
        </w:p>
        <w:p w14:paraId="164C5DC1" w14:textId="77777777" w:rsidR="003204EA" w:rsidRDefault="003204EA">
          <w:pPr>
            <w:autoSpaceDE w:val="0"/>
            <w:autoSpaceDN w:val="0"/>
            <w:ind w:hanging="640"/>
            <w:divId w:val="502168732"/>
            <w:rPr>
              <w:rFonts w:eastAsia="Times New Roman"/>
            </w:rPr>
          </w:pPr>
          <w:r>
            <w:rPr>
              <w:rFonts w:eastAsia="Times New Roman"/>
            </w:rPr>
            <w:t>223.</w:t>
          </w:r>
          <w:r>
            <w:rPr>
              <w:rFonts w:eastAsia="Times New Roman"/>
            </w:rPr>
            <w:tab/>
          </w:r>
          <w:proofErr w:type="spellStart"/>
          <w:r>
            <w:rPr>
              <w:rFonts w:eastAsia="Times New Roman"/>
            </w:rPr>
            <w:t>Busi</w:t>
          </w:r>
          <w:proofErr w:type="spellEnd"/>
          <w:r>
            <w:rPr>
              <w:rFonts w:eastAsia="Times New Roman"/>
            </w:rPr>
            <w:t xml:space="preserve">, S. B. </w:t>
          </w:r>
          <w:r>
            <w:rPr>
              <w:rFonts w:eastAsia="Times New Roman"/>
              <w:i/>
              <w:iCs/>
            </w:rPr>
            <w:t>et al.</w:t>
          </w:r>
          <w:r>
            <w:rPr>
              <w:rFonts w:eastAsia="Times New Roman"/>
            </w:rPr>
            <w:t xml:space="preserve"> Persistence of birth mode-dependent effects on gut microbiome composition, immune system stimulation and antimicrobial resistance during the first year of life. </w:t>
          </w:r>
          <w:r>
            <w:rPr>
              <w:rFonts w:eastAsia="Times New Roman"/>
              <w:i/>
              <w:iCs/>
            </w:rPr>
            <w:t>ISME Communications</w:t>
          </w:r>
          <w:r>
            <w:rPr>
              <w:rFonts w:eastAsia="Times New Roman"/>
            </w:rPr>
            <w:t xml:space="preserve"> </w:t>
          </w:r>
          <w:r>
            <w:rPr>
              <w:rFonts w:eastAsia="Times New Roman"/>
              <w:b/>
              <w:bCs/>
            </w:rPr>
            <w:t>1</w:t>
          </w:r>
          <w:r>
            <w:rPr>
              <w:rFonts w:eastAsia="Times New Roman"/>
            </w:rPr>
            <w:t>, 1–12 (2021).</w:t>
          </w:r>
        </w:p>
        <w:p w14:paraId="0AB582F8" w14:textId="77777777" w:rsidR="003204EA" w:rsidRDefault="003204EA">
          <w:pPr>
            <w:autoSpaceDE w:val="0"/>
            <w:autoSpaceDN w:val="0"/>
            <w:ind w:hanging="640"/>
            <w:divId w:val="588586861"/>
            <w:rPr>
              <w:rFonts w:eastAsia="Times New Roman"/>
            </w:rPr>
          </w:pPr>
          <w:r>
            <w:rPr>
              <w:rFonts w:eastAsia="Times New Roman"/>
            </w:rPr>
            <w:t>224.</w:t>
          </w:r>
          <w:r>
            <w:rPr>
              <w:rFonts w:eastAsia="Times New Roman"/>
            </w:rPr>
            <w:tab/>
            <w:t xml:space="preserve">Kai-Larsen, Y., Gudmundsson, G. H. &amp; </w:t>
          </w:r>
          <w:proofErr w:type="spellStart"/>
          <w:r>
            <w:rPr>
              <w:rFonts w:eastAsia="Times New Roman"/>
            </w:rPr>
            <w:t>Agerberth</w:t>
          </w:r>
          <w:proofErr w:type="spellEnd"/>
          <w:r>
            <w:rPr>
              <w:rFonts w:eastAsia="Times New Roman"/>
            </w:rPr>
            <w:t xml:space="preserve">, B. A review of the innate immune </w:t>
          </w:r>
          <w:proofErr w:type="spellStart"/>
          <w:r>
            <w:rPr>
              <w:rFonts w:eastAsia="Times New Roman"/>
            </w:rPr>
            <w:t>defence</w:t>
          </w:r>
          <w:proofErr w:type="spellEnd"/>
          <w:r>
            <w:rPr>
              <w:rFonts w:eastAsia="Times New Roman"/>
            </w:rPr>
            <w:t xml:space="preserve"> of the human </w:t>
          </w:r>
          <w:proofErr w:type="spellStart"/>
          <w:r>
            <w:rPr>
              <w:rFonts w:eastAsia="Times New Roman"/>
            </w:rPr>
            <w:t>foetus</w:t>
          </w:r>
          <w:proofErr w:type="spellEnd"/>
          <w:r>
            <w:rPr>
              <w:rFonts w:eastAsia="Times New Roman"/>
            </w:rPr>
            <w:t xml:space="preserve"> and newborn, with the emphasis on antimicrobial peptides. </w:t>
          </w:r>
          <w:r>
            <w:rPr>
              <w:rFonts w:eastAsia="Times New Roman"/>
              <w:i/>
              <w:iCs/>
            </w:rPr>
            <w:t xml:space="preserve">Acta </w:t>
          </w:r>
          <w:proofErr w:type="spellStart"/>
          <w:r>
            <w:rPr>
              <w:rFonts w:eastAsia="Times New Roman"/>
              <w:i/>
              <w:iCs/>
            </w:rPr>
            <w:t>Paediatrica</w:t>
          </w:r>
          <w:proofErr w:type="spellEnd"/>
          <w:r>
            <w:rPr>
              <w:rFonts w:eastAsia="Times New Roman"/>
              <w:i/>
              <w:iCs/>
            </w:rPr>
            <w:t xml:space="preserve">, International Journal of </w:t>
          </w:r>
          <w:proofErr w:type="spellStart"/>
          <w:r>
            <w:rPr>
              <w:rFonts w:eastAsia="Times New Roman"/>
              <w:i/>
              <w:iCs/>
            </w:rPr>
            <w:t>Paediatrics</w:t>
          </w:r>
          <w:proofErr w:type="spellEnd"/>
          <w:r>
            <w:rPr>
              <w:rFonts w:eastAsia="Times New Roman"/>
            </w:rPr>
            <w:t xml:space="preserve"> </w:t>
          </w:r>
          <w:r>
            <w:rPr>
              <w:rFonts w:eastAsia="Times New Roman"/>
              <w:b/>
              <w:bCs/>
            </w:rPr>
            <w:t>103</w:t>
          </w:r>
          <w:r>
            <w:rPr>
              <w:rFonts w:eastAsia="Times New Roman"/>
            </w:rPr>
            <w:t>, 1000–1008 (2014).</w:t>
          </w:r>
        </w:p>
        <w:p w14:paraId="706E0D01" w14:textId="77777777" w:rsidR="003204EA" w:rsidRDefault="003204EA">
          <w:pPr>
            <w:autoSpaceDE w:val="0"/>
            <w:autoSpaceDN w:val="0"/>
            <w:ind w:hanging="640"/>
            <w:divId w:val="997613471"/>
            <w:rPr>
              <w:rFonts w:eastAsia="Times New Roman"/>
            </w:rPr>
          </w:pPr>
          <w:r>
            <w:rPr>
              <w:rFonts w:eastAsia="Times New Roman"/>
            </w:rPr>
            <w:t>225.</w:t>
          </w:r>
          <w:r>
            <w:rPr>
              <w:rFonts w:eastAsia="Times New Roman"/>
            </w:rPr>
            <w:tab/>
          </w:r>
          <w:proofErr w:type="spellStart"/>
          <w:r>
            <w:rPr>
              <w:rFonts w:eastAsia="Times New Roman"/>
            </w:rPr>
            <w:t>Nogacka</w:t>
          </w:r>
          <w:proofErr w:type="spellEnd"/>
          <w:r>
            <w:rPr>
              <w:rFonts w:eastAsia="Times New Roman"/>
            </w:rPr>
            <w:t xml:space="preserve">, A. </w:t>
          </w:r>
          <w:r>
            <w:rPr>
              <w:rFonts w:eastAsia="Times New Roman"/>
              <w:i/>
              <w:iCs/>
            </w:rPr>
            <w:t>et al.</w:t>
          </w:r>
          <w:r>
            <w:rPr>
              <w:rFonts w:eastAsia="Times New Roman"/>
            </w:rPr>
            <w:t xml:space="preserve"> Impact of intrapartum antimicrobial prophylaxis upon the intestinal microbiota and the prevalence of antibiotic resistance genes in vaginally delivered full-term neonates. </w:t>
          </w:r>
          <w:r>
            <w:rPr>
              <w:rFonts w:eastAsia="Times New Roman"/>
              <w:i/>
              <w:iCs/>
            </w:rPr>
            <w:t>Microbiome</w:t>
          </w:r>
          <w:r>
            <w:rPr>
              <w:rFonts w:eastAsia="Times New Roman"/>
            </w:rPr>
            <w:t xml:space="preserve"> </w:t>
          </w:r>
          <w:r>
            <w:rPr>
              <w:rFonts w:eastAsia="Times New Roman"/>
              <w:b/>
              <w:bCs/>
            </w:rPr>
            <w:t>5</w:t>
          </w:r>
          <w:r>
            <w:rPr>
              <w:rFonts w:eastAsia="Times New Roman"/>
            </w:rPr>
            <w:t>, 1–10 (2017).</w:t>
          </w:r>
        </w:p>
        <w:p w14:paraId="48F5BFF2" w14:textId="77777777" w:rsidR="003204EA" w:rsidRDefault="003204EA">
          <w:pPr>
            <w:autoSpaceDE w:val="0"/>
            <w:autoSpaceDN w:val="0"/>
            <w:ind w:hanging="640"/>
            <w:divId w:val="2074115606"/>
            <w:rPr>
              <w:rFonts w:eastAsia="Times New Roman"/>
            </w:rPr>
          </w:pPr>
          <w:r>
            <w:rPr>
              <w:rFonts w:eastAsia="Times New Roman"/>
            </w:rPr>
            <w:t>226.</w:t>
          </w:r>
          <w:r>
            <w:rPr>
              <w:rFonts w:eastAsia="Times New Roman"/>
            </w:rPr>
            <w:tab/>
          </w:r>
          <w:proofErr w:type="spellStart"/>
          <w:r>
            <w:rPr>
              <w:rFonts w:eastAsia="Times New Roman"/>
            </w:rPr>
            <w:t>Gosalbes</w:t>
          </w:r>
          <w:proofErr w:type="spellEnd"/>
          <w:r>
            <w:rPr>
              <w:rFonts w:eastAsia="Times New Roman"/>
            </w:rPr>
            <w:t xml:space="preserve">, M. J. </w:t>
          </w:r>
          <w:r>
            <w:rPr>
              <w:rFonts w:eastAsia="Times New Roman"/>
              <w:i/>
              <w:iCs/>
            </w:rPr>
            <w:t>et al.</w:t>
          </w:r>
          <w:r>
            <w:rPr>
              <w:rFonts w:eastAsia="Times New Roman"/>
            </w:rPr>
            <w:t xml:space="preserve"> High frequencies of antibiotic resistance genes in infants’ meconium and early fecal samples. </w:t>
          </w:r>
          <w:r>
            <w:rPr>
              <w:rFonts w:eastAsia="Times New Roman"/>
              <w:i/>
              <w:iCs/>
            </w:rPr>
            <w:t>Journal of Developmental Origins of Health and Disease</w:t>
          </w:r>
          <w:r>
            <w:rPr>
              <w:rFonts w:eastAsia="Times New Roman"/>
            </w:rPr>
            <w:t xml:space="preserve"> </w:t>
          </w:r>
          <w:r>
            <w:rPr>
              <w:rFonts w:eastAsia="Times New Roman"/>
              <w:b/>
              <w:bCs/>
            </w:rPr>
            <w:t>7</w:t>
          </w:r>
          <w:r>
            <w:rPr>
              <w:rFonts w:eastAsia="Times New Roman"/>
            </w:rPr>
            <w:t>, 35–44 (2016).</w:t>
          </w:r>
        </w:p>
        <w:p w14:paraId="16D18600" w14:textId="77777777" w:rsidR="003204EA" w:rsidRDefault="003204EA">
          <w:pPr>
            <w:autoSpaceDE w:val="0"/>
            <w:autoSpaceDN w:val="0"/>
            <w:ind w:hanging="640"/>
            <w:divId w:val="1033773285"/>
            <w:rPr>
              <w:rFonts w:eastAsia="Times New Roman"/>
            </w:rPr>
          </w:pPr>
          <w:r>
            <w:rPr>
              <w:rFonts w:eastAsia="Times New Roman"/>
            </w:rPr>
            <w:t>227.</w:t>
          </w:r>
          <w:r>
            <w:rPr>
              <w:rFonts w:eastAsia="Times New Roman"/>
            </w:rPr>
            <w:tab/>
          </w:r>
          <w:proofErr w:type="spellStart"/>
          <w:r>
            <w:rPr>
              <w:rFonts w:eastAsia="Times New Roman"/>
            </w:rPr>
            <w:t>Gerner</w:t>
          </w:r>
          <w:proofErr w:type="spellEnd"/>
          <w:r>
            <w:rPr>
              <w:rFonts w:eastAsia="Times New Roman"/>
            </w:rPr>
            <w:t xml:space="preserve">, R. R., Nuccio, S. P. &amp; </w:t>
          </w:r>
          <w:proofErr w:type="spellStart"/>
          <w:r>
            <w:rPr>
              <w:rFonts w:eastAsia="Times New Roman"/>
            </w:rPr>
            <w:t>Raffatellu</w:t>
          </w:r>
          <w:proofErr w:type="spellEnd"/>
          <w:r>
            <w:rPr>
              <w:rFonts w:eastAsia="Times New Roman"/>
            </w:rPr>
            <w:t xml:space="preserve">, M. Iron at the host-microbe interface. </w:t>
          </w:r>
          <w:r>
            <w:rPr>
              <w:rFonts w:eastAsia="Times New Roman"/>
              <w:i/>
              <w:iCs/>
            </w:rPr>
            <w:t>Molecular Aspects of Medicine</w:t>
          </w:r>
          <w:r>
            <w:rPr>
              <w:rFonts w:eastAsia="Times New Roman"/>
            </w:rPr>
            <w:t xml:space="preserve"> </w:t>
          </w:r>
          <w:r>
            <w:rPr>
              <w:rFonts w:eastAsia="Times New Roman"/>
              <w:b/>
              <w:bCs/>
            </w:rPr>
            <w:t>75</w:t>
          </w:r>
          <w:r>
            <w:rPr>
              <w:rFonts w:eastAsia="Times New Roman"/>
            </w:rPr>
            <w:t>, 100895 (2020).</w:t>
          </w:r>
        </w:p>
        <w:p w14:paraId="7F0E74BB" w14:textId="77777777" w:rsidR="003204EA" w:rsidRDefault="003204EA">
          <w:pPr>
            <w:autoSpaceDE w:val="0"/>
            <w:autoSpaceDN w:val="0"/>
            <w:ind w:hanging="640"/>
            <w:divId w:val="96290563"/>
            <w:rPr>
              <w:rFonts w:eastAsia="Times New Roman"/>
            </w:rPr>
          </w:pPr>
          <w:r>
            <w:rPr>
              <w:rFonts w:eastAsia="Times New Roman"/>
            </w:rPr>
            <w:t>228.</w:t>
          </w:r>
          <w:r>
            <w:rPr>
              <w:rFonts w:eastAsia="Times New Roman"/>
            </w:rPr>
            <w:tab/>
            <w:t xml:space="preserve">Ho, T. T. B. </w:t>
          </w:r>
          <w:r>
            <w:rPr>
              <w:rFonts w:eastAsia="Times New Roman"/>
              <w:i/>
              <w:iCs/>
            </w:rPr>
            <w:t>et al.</w:t>
          </w:r>
          <w:r>
            <w:rPr>
              <w:rFonts w:eastAsia="Times New Roman"/>
            </w:rPr>
            <w:t xml:space="preserve"> Enteric dysbiosis and fecal calprotectin expression in premature infants. </w:t>
          </w:r>
          <w:r>
            <w:rPr>
              <w:rFonts w:eastAsia="Times New Roman"/>
              <w:i/>
              <w:iCs/>
            </w:rPr>
            <w:t>Pediatric Research</w:t>
          </w:r>
          <w:r>
            <w:rPr>
              <w:rFonts w:eastAsia="Times New Roman"/>
            </w:rPr>
            <w:t xml:space="preserve"> </w:t>
          </w:r>
          <w:r>
            <w:rPr>
              <w:rFonts w:eastAsia="Times New Roman"/>
              <w:b/>
              <w:bCs/>
            </w:rPr>
            <w:t>85</w:t>
          </w:r>
          <w:r>
            <w:rPr>
              <w:rFonts w:eastAsia="Times New Roman"/>
            </w:rPr>
            <w:t>, 361–368 (2019).</w:t>
          </w:r>
        </w:p>
        <w:p w14:paraId="68A115C1" w14:textId="77777777" w:rsidR="003204EA" w:rsidRDefault="003204EA">
          <w:pPr>
            <w:autoSpaceDE w:val="0"/>
            <w:autoSpaceDN w:val="0"/>
            <w:ind w:hanging="640"/>
            <w:divId w:val="1428962397"/>
            <w:rPr>
              <w:rFonts w:eastAsia="Times New Roman"/>
            </w:rPr>
          </w:pPr>
          <w:r>
            <w:rPr>
              <w:rFonts w:eastAsia="Times New Roman"/>
            </w:rPr>
            <w:t>229.</w:t>
          </w:r>
          <w:r>
            <w:rPr>
              <w:rFonts w:eastAsia="Times New Roman"/>
            </w:rPr>
            <w:tab/>
          </w:r>
          <w:proofErr w:type="spellStart"/>
          <w:r>
            <w:rPr>
              <w:rFonts w:eastAsia="Times New Roman"/>
            </w:rPr>
            <w:t>Kehl</w:t>
          </w:r>
          <w:proofErr w:type="spellEnd"/>
          <w:r>
            <w:rPr>
              <w:rFonts w:eastAsia="Times New Roman"/>
            </w:rPr>
            <w:t xml:space="preserve">-Fie, T. E. </w:t>
          </w:r>
          <w:r>
            <w:rPr>
              <w:rFonts w:eastAsia="Times New Roman"/>
              <w:i/>
              <w:iCs/>
            </w:rPr>
            <w:t>et al.</w:t>
          </w:r>
          <w:r>
            <w:rPr>
              <w:rFonts w:eastAsia="Times New Roman"/>
            </w:rPr>
            <w:t xml:space="preserve"> </w:t>
          </w:r>
          <w:proofErr w:type="spellStart"/>
          <w:r>
            <w:rPr>
              <w:rFonts w:eastAsia="Times New Roman"/>
            </w:rPr>
            <w:t>MntABC</w:t>
          </w:r>
          <w:proofErr w:type="spellEnd"/>
          <w:r>
            <w:rPr>
              <w:rFonts w:eastAsia="Times New Roman"/>
            </w:rPr>
            <w:t xml:space="preserve"> and </w:t>
          </w:r>
          <w:proofErr w:type="spellStart"/>
          <w:r>
            <w:rPr>
              <w:rFonts w:eastAsia="Times New Roman"/>
            </w:rPr>
            <w:t>MntH</w:t>
          </w:r>
          <w:proofErr w:type="spellEnd"/>
          <w:r>
            <w:rPr>
              <w:rFonts w:eastAsia="Times New Roman"/>
            </w:rPr>
            <w:t xml:space="preserve"> contribute to systemic staphylococcus aureus infection by competing with calprotectin for nutrient manganese. </w:t>
          </w:r>
          <w:r>
            <w:rPr>
              <w:rFonts w:eastAsia="Times New Roman"/>
              <w:i/>
              <w:iCs/>
            </w:rPr>
            <w:t>Infection and Immunity</w:t>
          </w:r>
          <w:r>
            <w:rPr>
              <w:rFonts w:eastAsia="Times New Roman"/>
            </w:rPr>
            <w:t xml:space="preserve"> </w:t>
          </w:r>
          <w:r>
            <w:rPr>
              <w:rFonts w:eastAsia="Times New Roman"/>
              <w:b/>
              <w:bCs/>
            </w:rPr>
            <w:t>81</w:t>
          </w:r>
          <w:r>
            <w:rPr>
              <w:rFonts w:eastAsia="Times New Roman"/>
            </w:rPr>
            <w:t>, 3395–3405 (2013).</w:t>
          </w:r>
        </w:p>
        <w:p w14:paraId="06CC75A4" w14:textId="77777777" w:rsidR="003204EA" w:rsidRDefault="003204EA">
          <w:pPr>
            <w:autoSpaceDE w:val="0"/>
            <w:autoSpaceDN w:val="0"/>
            <w:ind w:hanging="640"/>
            <w:divId w:val="1479149967"/>
            <w:rPr>
              <w:rFonts w:eastAsia="Times New Roman"/>
            </w:rPr>
          </w:pPr>
          <w:r>
            <w:rPr>
              <w:rFonts w:eastAsia="Times New Roman"/>
            </w:rPr>
            <w:t>230.</w:t>
          </w:r>
          <w:r>
            <w:rPr>
              <w:rFonts w:eastAsia="Times New Roman"/>
            </w:rPr>
            <w:tab/>
          </w:r>
          <w:proofErr w:type="spellStart"/>
          <w:r>
            <w:rPr>
              <w:rFonts w:eastAsia="Times New Roman"/>
            </w:rPr>
            <w:t>Turrentine</w:t>
          </w:r>
          <w:proofErr w:type="spellEnd"/>
          <w:r>
            <w:rPr>
              <w:rFonts w:eastAsia="Times New Roman"/>
            </w:rPr>
            <w:t xml:space="preserve">, M. Intrapartum antibiotic prophylaxis for Group B Streptococcus: Has the time come to wait more than 4 hours? </w:t>
          </w:r>
          <w:r>
            <w:rPr>
              <w:rFonts w:eastAsia="Times New Roman"/>
              <w:i/>
              <w:iCs/>
            </w:rPr>
            <w:t>American Journal of Obstetrics and Gynecology</w:t>
          </w:r>
          <w:r>
            <w:rPr>
              <w:rFonts w:eastAsia="Times New Roman"/>
            </w:rPr>
            <w:t xml:space="preserve"> </w:t>
          </w:r>
          <w:r>
            <w:rPr>
              <w:rFonts w:eastAsia="Times New Roman"/>
              <w:b/>
              <w:bCs/>
            </w:rPr>
            <w:t>211</w:t>
          </w:r>
          <w:r>
            <w:rPr>
              <w:rFonts w:eastAsia="Times New Roman"/>
            </w:rPr>
            <w:t>, 15–17 (2014).</w:t>
          </w:r>
        </w:p>
        <w:p w14:paraId="6CC9D6F6" w14:textId="77777777" w:rsidR="003204EA" w:rsidRDefault="003204EA">
          <w:pPr>
            <w:autoSpaceDE w:val="0"/>
            <w:autoSpaceDN w:val="0"/>
            <w:ind w:hanging="640"/>
            <w:divId w:val="796072560"/>
            <w:rPr>
              <w:rFonts w:eastAsia="Times New Roman"/>
            </w:rPr>
          </w:pPr>
          <w:r>
            <w:rPr>
              <w:rFonts w:eastAsia="Times New Roman"/>
            </w:rPr>
            <w:t>231.</w:t>
          </w:r>
          <w:r>
            <w:rPr>
              <w:rFonts w:eastAsia="Times New Roman"/>
            </w:rPr>
            <w:tab/>
          </w:r>
          <w:proofErr w:type="spellStart"/>
          <w:r>
            <w:rPr>
              <w:rFonts w:eastAsia="Times New Roman"/>
            </w:rPr>
            <w:t>Pajarillo</w:t>
          </w:r>
          <w:proofErr w:type="spellEnd"/>
          <w:r>
            <w:rPr>
              <w:rFonts w:eastAsia="Times New Roman"/>
            </w:rPr>
            <w:t xml:space="preserve">, E. A. B., Lee, E. &amp; Kang, D.-K. Trace metals and animal health: Interplay of the gut microbiota with iron, manganese, zinc, and copper. </w:t>
          </w:r>
          <w:r>
            <w:rPr>
              <w:rFonts w:eastAsia="Times New Roman"/>
              <w:i/>
              <w:iCs/>
            </w:rPr>
            <w:t>Animal Nutrition</w:t>
          </w:r>
          <w:r>
            <w:rPr>
              <w:rFonts w:eastAsia="Times New Roman"/>
            </w:rPr>
            <w:t xml:space="preserve"> </w:t>
          </w:r>
          <w:r>
            <w:rPr>
              <w:rFonts w:eastAsia="Times New Roman"/>
              <w:b/>
              <w:bCs/>
            </w:rPr>
            <w:t>7</w:t>
          </w:r>
          <w:r>
            <w:rPr>
              <w:rFonts w:eastAsia="Times New Roman"/>
            </w:rPr>
            <w:t>, 750–761 (2021).</w:t>
          </w:r>
        </w:p>
        <w:p w14:paraId="16489906" w14:textId="77777777" w:rsidR="003204EA" w:rsidRDefault="003204EA">
          <w:pPr>
            <w:autoSpaceDE w:val="0"/>
            <w:autoSpaceDN w:val="0"/>
            <w:ind w:hanging="640"/>
            <w:divId w:val="1155417844"/>
            <w:rPr>
              <w:rFonts w:eastAsia="Times New Roman"/>
            </w:rPr>
          </w:pPr>
          <w:r>
            <w:rPr>
              <w:rFonts w:eastAsia="Times New Roman"/>
            </w:rPr>
            <w:t>232.</w:t>
          </w:r>
          <w:r>
            <w:rPr>
              <w:rFonts w:eastAsia="Times New Roman"/>
            </w:rPr>
            <w:tab/>
            <w:t xml:space="preserve">Casanova-Hampton, K. </w:t>
          </w:r>
          <w:r>
            <w:rPr>
              <w:rFonts w:eastAsia="Times New Roman"/>
              <w:i/>
              <w:iCs/>
            </w:rPr>
            <w:t>et al.</w:t>
          </w:r>
          <w:r>
            <w:rPr>
              <w:rFonts w:eastAsia="Times New Roman"/>
            </w:rPr>
            <w:t xml:space="preserve"> A genome-wide screen reveals the involvement of enterobactin-mediated iron acquisition in Escherichia coli survival during copper stress . </w:t>
          </w:r>
          <w:proofErr w:type="spellStart"/>
          <w:r>
            <w:rPr>
              <w:rFonts w:eastAsia="Times New Roman"/>
              <w:i/>
              <w:iCs/>
            </w:rPr>
            <w:t>Metallomics</w:t>
          </w:r>
          <w:proofErr w:type="spellEnd"/>
          <w:r>
            <w:rPr>
              <w:rFonts w:eastAsia="Times New Roman"/>
            </w:rPr>
            <w:t xml:space="preserve"> </w:t>
          </w:r>
          <w:r>
            <w:rPr>
              <w:rFonts w:eastAsia="Times New Roman"/>
              <w:b/>
              <w:bCs/>
            </w:rPr>
            <w:t>13</w:t>
          </w:r>
          <w:r>
            <w:rPr>
              <w:rFonts w:eastAsia="Times New Roman"/>
            </w:rPr>
            <w:t>, (2021).</w:t>
          </w:r>
        </w:p>
        <w:p w14:paraId="7A23462E" w14:textId="77777777" w:rsidR="003204EA" w:rsidRDefault="003204EA">
          <w:pPr>
            <w:autoSpaceDE w:val="0"/>
            <w:autoSpaceDN w:val="0"/>
            <w:ind w:hanging="640"/>
            <w:divId w:val="273825389"/>
            <w:rPr>
              <w:rFonts w:eastAsia="Times New Roman"/>
            </w:rPr>
          </w:pPr>
          <w:r>
            <w:rPr>
              <w:rFonts w:eastAsia="Times New Roman"/>
            </w:rPr>
            <w:t>233.</w:t>
          </w:r>
          <w:r>
            <w:rPr>
              <w:rFonts w:eastAsia="Times New Roman"/>
            </w:rPr>
            <w:tab/>
            <w:t xml:space="preserve">Macomber, L. &amp; Imlay, J. A. The iron-sulfur clusters of dehydratases are primary intracellular targets of copper toxicity. </w:t>
          </w:r>
          <w:r>
            <w:rPr>
              <w:rFonts w:eastAsia="Times New Roman"/>
              <w:i/>
              <w:iCs/>
            </w:rPr>
            <w:t xml:space="preserve">Proc Natl </w:t>
          </w:r>
          <w:proofErr w:type="spellStart"/>
          <w:r>
            <w:rPr>
              <w:rFonts w:eastAsia="Times New Roman"/>
              <w:i/>
              <w:iCs/>
            </w:rPr>
            <w:t>Acad</w:t>
          </w:r>
          <w:proofErr w:type="spellEnd"/>
          <w:r>
            <w:rPr>
              <w:rFonts w:eastAsia="Times New Roman"/>
              <w:i/>
              <w:iCs/>
            </w:rPr>
            <w:t xml:space="preserve"> Sci U S A</w:t>
          </w:r>
          <w:r>
            <w:rPr>
              <w:rFonts w:eastAsia="Times New Roman"/>
            </w:rPr>
            <w:t xml:space="preserve"> </w:t>
          </w:r>
          <w:r>
            <w:rPr>
              <w:rFonts w:eastAsia="Times New Roman"/>
              <w:b/>
              <w:bCs/>
            </w:rPr>
            <w:t>106</w:t>
          </w:r>
          <w:r>
            <w:rPr>
              <w:rFonts w:eastAsia="Times New Roman"/>
            </w:rPr>
            <w:t>, 8344–8349 (2009).</w:t>
          </w:r>
        </w:p>
        <w:p w14:paraId="36484C18" w14:textId="77777777" w:rsidR="003204EA" w:rsidRDefault="003204EA">
          <w:pPr>
            <w:autoSpaceDE w:val="0"/>
            <w:autoSpaceDN w:val="0"/>
            <w:ind w:hanging="640"/>
            <w:divId w:val="145098803"/>
            <w:rPr>
              <w:rFonts w:eastAsia="Times New Roman"/>
            </w:rPr>
          </w:pPr>
          <w:r>
            <w:rPr>
              <w:rFonts w:eastAsia="Times New Roman"/>
            </w:rPr>
            <w:t>234.</w:t>
          </w:r>
          <w:r>
            <w:rPr>
              <w:rFonts w:eastAsia="Times New Roman"/>
            </w:rPr>
            <w:tab/>
            <w:t xml:space="preserve">Djoko, K. Y. &amp; McEwan, A. G. Antimicrobial action of copper is amplified via inhibition of heme biosynthesis. </w:t>
          </w:r>
          <w:r>
            <w:rPr>
              <w:rFonts w:eastAsia="Times New Roman"/>
              <w:i/>
              <w:iCs/>
            </w:rPr>
            <w:t>ACS Chemical Biology</w:t>
          </w:r>
          <w:r>
            <w:rPr>
              <w:rFonts w:eastAsia="Times New Roman"/>
            </w:rPr>
            <w:t xml:space="preserve"> </w:t>
          </w:r>
          <w:r>
            <w:rPr>
              <w:rFonts w:eastAsia="Times New Roman"/>
              <w:b/>
              <w:bCs/>
            </w:rPr>
            <w:t>8</w:t>
          </w:r>
          <w:r>
            <w:rPr>
              <w:rFonts w:eastAsia="Times New Roman"/>
            </w:rPr>
            <w:t>, 2217–2223 (2013).</w:t>
          </w:r>
        </w:p>
        <w:p w14:paraId="0E9C1874" w14:textId="77777777" w:rsidR="003204EA" w:rsidRDefault="003204EA">
          <w:pPr>
            <w:autoSpaceDE w:val="0"/>
            <w:autoSpaceDN w:val="0"/>
            <w:ind w:hanging="640"/>
            <w:divId w:val="627856165"/>
            <w:rPr>
              <w:rFonts w:eastAsia="Times New Roman"/>
            </w:rPr>
          </w:pPr>
          <w:r>
            <w:rPr>
              <w:rFonts w:eastAsia="Times New Roman"/>
            </w:rPr>
            <w:t>235.</w:t>
          </w:r>
          <w:r>
            <w:rPr>
              <w:rFonts w:eastAsia="Times New Roman"/>
            </w:rPr>
            <w:tab/>
            <w:t xml:space="preserve">Ding, C. </w:t>
          </w:r>
          <w:r>
            <w:rPr>
              <w:rFonts w:eastAsia="Times New Roman"/>
              <w:i/>
              <w:iCs/>
            </w:rPr>
            <w:t>et al.</w:t>
          </w:r>
          <w:r>
            <w:rPr>
              <w:rFonts w:eastAsia="Times New Roman"/>
            </w:rPr>
            <w:t xml:space="preserve"> The copper regulon of the human fungal pathogen Cryptococcus neoformans H99. </w:t>
          </w:r>
          <w:r>
            <w:rPr>
              <w:rFonts w:eastAsia="Times New Roman"/>
              <w:i/>
              <w:iCs/>
            </w:rPr>
            <w:t>Molecular Microbiology</w:t>
          </w:r>
          <w:r>
            <w:rPr>
              <w:rFonts w:eastAsia="Times New Roman"/>
            </w:rPr>
            <w:t xml:space="preserve"> </w:t>
          </w:r>
          <w:r>
            <w:rPr>
              <w:rFonts w:eastAsia="Times New Roman"/>
              <w:b/>
              <w:bCs/>
            </w:rPr>
            <w:t>81</w:t>
          </w:r>
          <w:r>
            <w:rPr>
              <w:rFonts w:eastAsia="Times New Roman"/>
            </w:rPr>
            <w:t>, 1560–1576 (2011).</w:t>
          </w:r>
        </w:p>
        <w:p w14:paraId="1562C48E" w14:textId="77777777" w:rsidR="003204EA" w:rsidRDefault="003204EA">
          <w:pPr>
            <w:autoSpaceDE w:val="0"/>
            <w:autoSpaceDN w:val="0"/>
            <w:ind w:hanging="640"/>
            <w:divId w:val="1566404953"/>
            <w:rPr>
              <w:rFonts w:eastAsia="Times New Roman"/>
            </w:rPr>
          </w:pPr>
          <w:r>
            <w:rPr>
              <w:rFonts w:eastAsia="Times New Roman"/>
            </w:rPr>
            <w:t>236.</w:t>
          </w:r>
          <w:r>
            <w:rPr>
              <w:rFonts w:eastAsia="Times New Roman"/>
            </w:rPr>
            <w:tab/>
            <w:t xml:space="preserve">Koh, E. I. &amp; Henderson, J. P. Microbial copper-binding siderophores at the host-pathogen interface. </w:t>
          </w:r>
          <w:r>
            <w:rPr>
              <w:rFonts w:eastAsia="Times New Roman"/>
              <w:i/>
              <w:iCs/>
            </w:rPr>
            <w:t>Journal of Biological Chemistry</w:t>
          </w:r>
          <w:r>
            <w:rPr>
              <w:rFonts w:eastAsia="Times New Roman"/>
            </w:rPr>
            <w:t xml:space="preserve"> </w:t>
          </w:r>
          <w:r>
            <w:rPr>
              <w:rFonts w:eastAsia="Times New Roman"/>
              <w:b/>
              <w:bCs/>
            </w:rPr>
            <w:t>290</w:t>
          </w:r>
          <w:r>
            <w:rPr>
              <w:rFonts w:eastAsia="Times New Roman"/>
            </w:rPr>
            <w:t>, 18967–18974 (2015).</w:t>
          </w:r>
        </w:p>
        <w:p w14:paraId="091B27B9" w14:textId="77777777" w:rsidR="003204EA" w:rsidRDefault="003204EA">
          <w:pPr>
            <w:autoSpaceDE w:val="0"/>
            <w:autoSpaceDN w:val="0"/>
            <w:ind w:hanging="640"/>
            <w:divId w:val="256720060"/>
            <w:rPr>
              <w:rFonts w:eastAsia="Times New Roman"/>
            </w:rPr>
          </w:pPr>
          <w:r>
            <w:rPr>
              <w:rFonts w:eastAsia="Times New Roman"/>
            </w:rPr>
            <w:t>237.</w:t>
          </w:r>
          <w:r>
            <w:rPr>
              <w:rFonts w:eastAsia="Times New Roman"/>
            </w:rPr>
            <w:tab/>
            <w:t xml:space="preserve">Festa, R. A. &amp; Thiele, D. J. Copper at the Front Line of the Host-Pathogen Battle. </w:t>
          </w:r>
          <w:r>
            <w:rPr>
              <w:rFonts w:eastAsia="Times New Roman"/>
              <w:b/>
              <w:bCs/>
            </w:rPr>
            <w:t>8</w:t>
          </w:r>
          <w:r>
            <w:rPr>
              <w:rFonts w:eastAsia="Times New Roman"/>
            </w:rPr>
            <w:t>, 9–12 (2012).</w:t>
          </w:r>
        </w:p>
        <w:p w14:paraId="71CF9728" w14:textId="77777777" w:rsidR="003204EA" w:rsidRDefault="003204EA">
          <w:pPr>
            <w:autoSpaceDE w:val="0"/>
            <w:autoSpaceDN w:val="0"/>
            <w:ind w:hanging="640"/>
            <w:divId w:val="518352047"/>
            <w:rPr>
              <w:rFonts w:eastAsia="Times New Roman"/>
            </w:rPr>
          </w:pPr>
          <w:r>
            <w:rPr>
              <w:rFonts w:eastAsia="Times New Roman"/>
            </w:rPr>
            <w:t>238.</w:t>
          </w:r>
          <w:r>
            <w:rPr>
              <w:rFonts w:eastAsia="Times New Roman"/>
            </w:rPr>
            <w:tab/>
          </w:r>
          <w:proofErr w:type="spellStart"/>
          <w:r>
            <w:rPr>
              <w:rFonts w:eastAsia="Times New Roman"/>
            </w:rPr>
            <w:t>Solioz</w:t>
          </w:r>
          <w:proofErr w:type="spellEnd"/>
          <w:r>
            <w:rPr>
              <w:rFonts w:eastAsia="Times New Roman"/>
            </w:rPr>
            <w:t xml:space="preserve">, M. Copper disposition in bacteria. </w:t>
          </w:r>
          <w:r>
            <w:rPr>
              <w:rFonts w:eastAsia="Times New Roman"/>
              <w:i/>
              <w:iCs/>
            </w:rPr>
            <w:t>Clinical and Translational Perspectives on WILSON DISEASE</w:t>
          </w:r>
          <w:r>
            <w:rPr>
              <w:rFonts w:eastAsia="Times New Roman"/>
            </w:rPr>
            <w:t xml:space="preserve"> 101–113 (2018) doi:10.1016/B978-0-12-810532-0.00011-2.</w:t>
          </w:r>
        </w:p>
        <w:p w14:paraId="43E6C727" w14:textId="77777777" w:rsidR="003204EA" w:rsidRDefault="003204EA">
          <w:pPr>
            <w:autoSpaceDE w:val="0"/>
            <w:autoSpaceDN w:val="0"/>
            <w:ind w:hanging="640"/>
            <w:divId w:val="604578872"/>
            <w:rPr>
              <w:rFonts w:eastAsia="Times New Roman"/>
            </w:rPr>
          </w:pPr>
          <w:r>
            <w:rPr>
              <w:rFonts w:eastAsia="Times New Roman"/>
            </w:rPr>
            <w:t>239.</w:t>
          </w:r>
          <w:r>
            <w:rPr>
              <w:rFonts w:eastAsia="Times New Roman"/>
            </w:rPr>
            <w:tab/>
            <w:t xml:space="preserve">Andrei, A. </w:t>
          </w:r>
          <w:r>
            <w:rPr>
              <w:rFonts w:eastAsia="Times New Roman"/>
              <w:i/>
              <w:iCs/>
            </w:rPr>
            <w:t>et al.</w:t>
          </w:r>
          <w:r>
            <w:rPr>
              <w:rFonts w:eastAsia="Times New Roman"/>
            </w:rPr>
            <w:t xml:space="preserve"> Cu homeostasis in bacteria: The ins and outs. </w:t>
          </w:r>
          <w:r>
            <w:rPr>
              <w:rFonts w:eastAsia="Times New Roman"/>
              <w:i/>
              <w:iCs/>
            </w:rPr>
            <w:t>Membranes (Basel)</w:t>
          </w:r>
          <w:r>
            <w:rPr>
              <w:rFonts w:eastAsia="Times New Roman"/>
            </w:rPr>
            <w:t xml:space="preserve"> </w:t>
          </w:r>
          <w:r>
            <w:rPr>
              <w:rFonts w:eastAsia="Times New Roman"/>
              <w:b/>
              <w:bCs/>
            </w:rPr>
            <w:t>10</w:t>
          </w:r>
          <w:r>
            <w:rPr>
              <w:rFonts w:eastAsia="Times New Roman"/>
            </w:rPr>
            <w:t>, 1–45 (2020).</w:t>
          </w:r>
        </w:p>
        <w:p w14:paraId="0772F31F" w14:textId="77777777" w:rsidR="003204EA" w:rsidRDefault="003204EA">
          <w:pPr>
            <w:autoSpaceDE w:val="0"/>
            <w:autoSpaceDN w:val="0"/>
            <w:ind w:hanging="640"/>
            <w:divId w:val="172190826"/>
            <w:rPr>
              <w:rFonts w:eastAsia="Times New Roman"/>
            </w:rPr>
          </w:pPr>
          <w:r>
            <w:rPr>
              <w:rFonts w:eastAsia="Times New Roman"/>
            </w:rPr>
            <w:t>240.</w:t>
          </w:r>
          <w:r>
            <w:rPr>
              <w:rFonts w:eastAsia="Times New Roman"/>
            </w:rPr>
            <w:tab/>
            <w:t xml:space="preserve">Grass, G. </w:t>
          </w:r>
          <w:r>
            <w:rPr>
              <w:rFonts w:eastAsia="Times New Roman"/>
              <w:i/>
              <w:iCs/>
            </w:rPr>
            <w:t>et al.</w:t>
          </w:r>
          <w:r>
            <w:rPr>
              <w:rFonts w:eastAsia="Times New Roman"/>
            </w:rPr>
            <w:t xml:space="preserve"> Linkage between catecholate siderophores and the multicopper oxidase CueO in Escherichia coli. </w:t>
          </w:r>
          <w:r>
            <w:rPr>
              <w:rFonts w:eastAsia="Times New Roman"/>
              <w:i/>
              <w:iCs/>
            </w:rPr>
            <w:t>Journal of Bacteriology</w:t>
          </w:r>
          <w:r>
            <w:rPr>
              <w:rFonts w:eastAsia="Times New Roman"/>
            </w:rPr>
            <w:t xml:space="preserve"> </w:t>
          </w:r>
          <w:r>
            <w:rPr>
              <w:rFonts w:eastAsia="Times New Roman"/>
              <w:b/>
              <w:bCs/>
            </w:rPr>
            <w:t>186</w:t>
          </w:r>
          <w:r>
            <w:rPr>
              <w:rFonts w:eastAsia="Times New Roman"/>
            </w:rPr>
            <w:t>, 5826–5833 (2004).</w:t>
          </w:r>
        </w:p>
        <w:p w14:paraId="5FE59878" w14:textId="77777777" w:rsidR="003204EA" w:rsidRDefault="003204EA">
          <w:pPr>
            <w:autoSpaceDE w:val="0"/>
            <w:autoSpaceDN w:val="0"/>
            <w:ind w:hanging="640"/>
            <w:divId w:val="932972707"/>
            <w:rPr>
              <w:rFonts w:eastAsia="Times New Roman"/>
            </w:rPr>
          </w:pPr>
          <w:r>
            <w:rPr>
              <w:rFonts w:eastAsia="Times New Roman"/>
            </w:rPr>
            <w:t>241.</w:t>
          </w:r>
          <w:r>
            <w:rPr>
              <w:rFonts w:eastAsia="Times New Roman"/>
            </w:rPr>
            <w:tab/>
            <w:t xml:space="preserve">Fu, Y., Chang, F. M. J. &amp; </w:t>
          </w:r>
          <w:proofErr w:type="spellStart"/>
          <w:r>
            <w:rPr>
              <w:rFonts w:eastAsia="Times New Roman"/>
            </w:rPr>
            <w:t>Giedroc</w:t>
          </w:r>
          <w:proofErr w:type="spellEnd"/>
          <w:r>
            <w:rPr>
              <w:rFonts w:eastAsia="Times New Roman"/>
            </w:rPr>
            <w:t xml:space="preserve">, D. P. Copper transport and trafficking at the host-bacterial pathogen interface. </w:t>
          </w:r>
          <w:r>
            <w:rPr>
              <w:rFonts w:eastAsia="Times New Roman"/>
              <w:i/>
              <w:iCs/>
            </w:rPr>
            <w:t>Accounts of Chemical Research</w:t>
          </w:r>
          <w:r>
            <w:rPr>
              <w:rFonts w:eastAsia="Times New Roman"/>
            </w:rPr>
            <w:t xml:space="preserve"> </w:t>
          </w:r>
          <w:r>
            <w:rPr>
              <w:rFonts w:eastAsia="Times New Roman"/>
              <w:b/>
              <w:bCs/>
            </w:rPr>
            <w:t>47</w:t>
          </w:r>
          <w:r>
            <w:rPr>
              <w:rFonts w:eastAsia="Times New Roman"/>
            </w:rPr>
            <w:t>, 3605–3613 (2014).</w:t>
          </w:r>
        </w:p>
        <w:p w14:paraId="061713E1" w14:textId="77777777" w:rsidR="003204EA" w:rsidRDefault="003204EA">
          <w:pPr>
            <w:autoSpaceDE w:val="0"/>
            <w:autoSpaceDN w:val="0"/>
            <w:ind w:hanging="640"/>
            <w:divId w:val="1531802365"/>
            <w:rPr>
              <w:rFonts w:eastAsia="Times New Roman"/>
            </w:rPr>
          </w:pPr>
          <w:r>
            <w:rPr>
              <w:rFonts w:eastAsia="Times New Roman"/>
            </w:rPr>
            <w:t>242.</w:t>
          </w:r>
          <w:r>
            <w:rPr>
              <w:rFonts w:eastAsia="Times New Roman"/>
            </w:rPr>
            <w:tab/>
            <w:t xml:space="preserve">White, C., Lee, J., </w:t>
          </w:r>
          <w:proofErr w:type="spellStart"/>
          <w:r>
            <w:rPr>
              <w:rFonts w:eastAsia="Times New Roman"/>
            </w:rPr>
            <w:t>Kambe</w:t>
          </w:r>
          <w:proofErr w:type="spellEnd"/>
          <w:r>
            <w:rPr>
              <w:rFonts w:eastAsia="Times New Roman"/>
            </w:rPr>
            <w:t xml:space="preserve">, T., Fritsche, K. &amp; </w:t>
          </w:r>
          <w:proofErr w:type="spellStart"/>
          <w:r>
            <w:rPr>
              <w:rFonts w:eastAsia="Times New Roman"/>
            </w:rPr>
            <w:t>Petris</w:t>
          </w:r>
          <w:proofErr w:type="spellEnd"/>
          <w:r>
            <w:rPr>
              <w:rFonts w:eastAsia="Times New Roman"/>
            </w:rPr>
            <w:t xml:space="preserve">, M. J. A role for the ATP7A copper-transporting ATPase in macrophage bactericidal activity. </w:t>
          </w:r>
          <w:r>
            <w:rPr>
              <w:rFonts w:eastAsia="Times New Roman"/>
              <w:i/>
              <w:iCs/>
            </w:rPr>
            <w:t>Journal of Biological Chemistry</w:t>
          </w:r>
          <w:r>
            <w:rPr>
              <w:rFonts w:eastAsia="Times New Roman"/>
            </w:rPr>
            <w:t xml:space="preserve"> </w:t>
          </w:r>
          <w:r>
            <w:rPr>
              <w:rFonts w:eastAsia="Times New Roman"/>
              <w:b/>
              <w:bCs/>
            </w:rPr>
            <w:t>284</w:t>
          </w:r>
          <w:r>
            <w:rPr>
              <w:rFonts w:eastAsia="Times New Roman"/>
            </w:rPr>
            <w:t>, 33949–33956 (2009).</w:t>
          </w:r>
        </w:p>
        <w:p w14:paraId="3E6261E0" w14:textId="77777777" w:rsidR="003204EA" w:rsidRDefault="003204EA">
          <w:pPr>
            <w:autoSpaceDE w:val="0"/>
            <w:autoSpaceDN w:val="0"/>
            <w:ind w:hanging="640"/>
            <w:divId w:val="2068717651"/>
            <w:rPr>
              <w:rFonts w:eastAsia="Times New Roman"/>
            </w:rPr>
          </w:pPr>
          <w:r>
            <w:rPr>
              <w:rFonts w:eastAsia="Times New Roman"/>
            </w:rPr>
            <w:t>243.</w:t>
          </w:r>
          <w:r>
            <w:rPr>
              <w:rFonts w:eastAsia="Times New Roman"/>
            </w:rPr>
            <w:tab/>
            <w:t xml:space="preserve">Miller, K. A., </w:t>
          </w:r>
          <w:proofErr w:type="spellStart"/>
          <w:r>
            <w:rPr>
              <w:rFonts w:eastAsia="Times New Roman"/>
            </w:rPr>
            <w:t>Vicentini</w:t>
          </w:r>
          <w:proofErr w:type="spellEnd"/>
          <w:r>
            <w:rPr>
              <w:rFonts w:eastAsia="Times New Roman"/>
            </w:rPr>
            <w:t xml:space="preserve">, F. A., </w:t>
          </w:r>
          <w:proofErr w:type="spellStart"/>
          <w:r>
            <w:rPr>
              <w:rFonts w:eastAsia="Times New Roman"/>
            </w:rPr>
            <w:t>Hirota</w:t>
          </w:r>
          <w:proofErr w:type="spellEnd"/>
          <w:r>
            <w:rPr>
              <w:rFonts w:eastAsia="Times New Roman"/>
            </w:rPr>
            <w:t xml:space="preserve">, S. A., Sharkey, K. A. &amp; </w:t>
          </w:r>
          <w:proofErr w:type="spellStart"/>
          <w:r>
            <w:rPr>
              <w:rFonts w:eastAsia="Times New Roman"/>
            </w:rPr>
            <w:t>Wieser</w:t>
          </w:r>
          <w:proofErr w:type="spellEnd"/>
          <w:r>
            <w:rPr>
              <w:rFonts w:eastAsia="Times New Roman"/>
            </w:rPr>
            <w:t xml:space="preserve">, M. E. Antibiotic treatment affects the expression levels of copper transporters and the isotopic composition of copper in the colon of mice. </w:t>
          </w:r>
          <w:r>
            <w:rPr>
              <w:rFonts w:eastAsia="Times New Roman"/>
              <w:i/>
              <w:iCs/>
            </w:rPr>
            <w:t xml:space="preserve">Proc Natl </w:t>
          </w:r>
          <w:proofErr w:type="spellStart"/>
          <w:r>
            <w:rPr>
              <w:rFonts w:eastAsia="Times New Roman"/>
              <w:i/>
              <w:iCs/>
            </w:rPr>
            <w:t>Acad</w:t>
          </w:r>
          <w:proofErr w:type="spellEnd"/>
          <w:r>
            <w:rPr>
              <w:rFonts w:eastAsia="Times New Roman"/>
              <w:i/>
              <w:iCs/>
            </w:rPr>
            <w:t xml:space="preserve"> Sci U S A</w:t>
          </w:r>
          <w:r>
            <w:rPr>
              <w:rFonts w:eastAsia="Times New Roman"/>
            </w:rPr>
            <w:t xml:space="preserve"> </w:t>
          </w:r>
          <w:r>
            <w:rPr>
              <w:rFonts w:eastAsia="Times New Roman"/>
              <w:b/>
              <w:bCs/>
            </w:rPr>
            <w:t>116</w:t>
          </w:r>
          <w:r>
            <w:rPr>
              <w:rFonts w:eastAsia="Times New Roman"/>
            </w:rPr>
            <w:t>, 5955–5960 (2019).</w:t>
          </w:r>
        </w:p>
        <w:p w14:paraId="5F519E9F" w14:textId="77777777" w:rsidR="003204EA" w:rsidRDefault="003204EA">
          <w:pPr>
            <w:autoSpaceDE w:val="0"/>
            <w:autoSpaceDN w:val="0"/>
            <w:ind w:hanging="640"/>
            <w:divId w:val="490483773"/>
            <w:rPr>
              <w:rFonts w:eastAsia="Times New Roman"/>
            </w:rPr>
          </w:pPr>
          <w:r>
            <w:rPr>
              <w:rFonts w:eastAsia="Times New Roman"/>
            </w:rPr>
            <w:t>244.</w:t>
          </w:r>
          <w:r>
            <w:rPr>
              <w:rFonts w:eastAsia="Times New Roman"/>
            </w:rPr>
            <w:tab/>
          </w:r>
          <w:proofErr w:type="spellStart"/>
          <w:r>
            <w:rPr>
              <w:rFonts w:eastAsia="Times New Roman"/>
            </w:rPr>
            <w:t>Sluysmans</w:t>
          </w:r>
          <w:proofErr w:type="spellEnd"/>
          <w:r>
            <w:rPr>
              <w:rFonts w:eastAsia="Times New Roman"/>
            </w:rPr>
            <w:t xml:space="preserve">, S. </w:t>
          </w:r>
          <w:r>
            <w:rPr>
              <w:rFonts w:eastAsia="Times New Roman"/>
              <w:i/>
              <w:iCs/>
            </w:rPr>
            <w:t>et al.</w:t>
          </w:r>
          <w:r>
            <w:rPr>
              <w:rFonts w:eastAsia="Times New Roman"/>
            </w:rPr>
            <w:t xml:space="preserve"> PLEKHA5, PLEKHA6, and PLEKHA7 bind to PDZD11 to target the Menkes ATPase ATP7A to the cell periphery and regulate copper homeostasis. </w:t>
          </w:r>
          <w:r>
            <w:rPr>
              <w:rFonts w:eastAsia="Times New Roman"/>
              <w:i/>
              <w:iCs/>
            </w:rPr>
            <w:t>Molecular Biology of the Cell</w:t>
          </w:r>
          <w:r>
            <w:rPr>
              <w:rFonts w:eastAsia="Times New Roman"/>
            </w:rPr>
            <w:t xml:space="preserve"> </w:t>
          </w:r>
          <w:r>
            <w:rPr>
              <w:rFonts w:eastAsia="Times New Roman"/>
              <w:b/>
              <w:bCs/>
            </w:rPr>
            <w:t>32</w:t>
          </w:r>
          <w:r>
            <w:rPr>
              <w:rFonts w:eastAsia="Times New Roman"/>
            </w:rPr>
            <w:t>, 1–20 (2021).</w:t>
          </w:r>
        </w:p>
        <w:p w14:paraId="593F2834" w14:textId="77777777" w:rsidR="003204EA" w:rsidRDefault="003204EA">
          <w:pPr>
            <w:autoSpaceDE w:val="0"/>
            <w:autoSpaceDN w:val="0"/>
            <w:ind w:hanging="640"/>
            <w:divId w:val="550503943"/>
            <w:rPr>
              <w:rFonts w:eastAsia="Times New Roman"/>
            </w:rPr>
          </w:pPr>
          <w:r>
            <w:rPr>
              <w:rFonts w:eastAsia="Times New Roman"/>
            </w:rPr>
            <w:t>245.</w:t>
          </w:r>
          <w:r>
            <w:rPr>
              <w:rFonts w:eastAsia="Times New Roman"/>
            </w:rPr>
            <w:tab/>
            <w:t xml:space="preserve">Stephenson, S. E. M., Dubach, D., Lim, C. M., Mercer, J. F. B. &amp; la Fontaine, S. A single PDZ domain protein interacts with the </w:t>
          </w:r>
          <w:proofErr w:type="spellStart"/>
          <w:r>
            <w:rPr>
              <w:rFonts w:eastAsia="Times New Roman"/>
            </w:rPr>
            <w:t>menkes</w:t>
          </w:r>
          <w:proofErr w:type="spellEnd"/>
          <w:r>
            <w:rPr>
              <w:rFonts w:eastAsia="Times New Roman"/>
            </w:rPr>
            <w:t xml:space="preserve"> copper ATPase, ATP7A: A new protein implicated in copper homeostasis. </w:t>
          </w:r>
          <w:r>
            <w:rPr>
              <w:rFonts w:eastAsia="Times New Roman"/>
              <w:i/>
              <w:iCs/>
            </w:rPr>
            <w:t>Journal of Biological Chemistry</w:t>
          </w:r>
          <w:r>
            <w:rPr>
              <w:rFonts w:eastAsia="Times New Roman"/>
            </w:rPr>
            <w:t xml:space="preserve"> </w:t>
          </w:r>
          <w:r>
            <w:rPr>
              <w:rFonts w:eastAsia="Times New Roman"/>
              <w:b/>
              <w:bCs/>
            </w:rPr>
            <w:t>280</w:t>
          </w:r>
          <w:r>
            <w:rPr>
              <w:rFonts w:eastAsia="Times New Roman"/>
            </w:rPr>
            <w:t>, 33270–33279 (2005).</w:t>
          </w:r>
        </w:p>
        <w:p w14:paraId="66F6490D" w14:textId="77777777" w:rsidR="003204EA" w:rsidRDefault="003204EA">
          <w:pPr>
            <w:autoSpaceDE w:val="0"/>
            <w:autoSpaceDN w:val="0"/>
            <w:ind w:hanging="640"/>
            <w:divId w:val="1093819060"/>
            <w:rPr>
              <w:rFonts w:eastAsia="Times New Roman"/>
            </w:rPr>
          </w:pPr>
          <w:r>
            <w:rPr>
              <w:rFonts w:eastAsia="Times New Roman"/>
            </w:rPr>
            <w:t>246.</w:t>
          </w:r>
          <w:r>
            <w:rPr>
              <w:rFonts w:eastAsia="Times New Roman"/>
            </w:rPr>
            <w:tab/>
            <w:t xml:space="preserve">Clifton, M. C. </w:t>
          </w:r>
          <w:r>
            <w:rPr>
              <w:rFonts w:eastAsia="Times New Roman"/>
              <w:i/>
              <w:iCs/>
            </w:rPr>
            <w:t>et al.</w:t>
          </w:r>
          <w:r>
            <w:rPr>
              <w:rFonts w:eastAsia="Times New Roman"/>
            </w:rPr>
            <w:t xml:space="preserve"> Parsing the functional specificity of </w:t>
          </w:r>
          <w:proofErr w:type="spellStart"/>
          <w:r>
            <w:rPr>
              <w:rFonts w:eastAsia="Times New Roman"/>
            </w:rPr>
            <w:t>Siderocalin</w:t>
          </w:r>
          <w:proofErr w:type="spellEnd"/>
          <w:r>
            <w:rPr>
              <w:rFonts w:eastAsia="Times New Roman"/>
            </w:rPr>
            <w:t xml:space="preserve">/Lipocalin 2/NGAL for siderophores and related small-molecule ligands. </w:t>
          </w:r>
          <w:r>
            <w:rPr>
              <w:rFonts w:eastAsia="Times New Roman"/>
              <w:i/>
              <w:iCs/>
            </w:rPr>
            <w:t>Journal of Structural Biology: X</w:t>
          </w:r>
          <w:r>
            <w:rPr>
              <w:rFonts w:eastAsia="Times New Roman"/>
            </w:rPr>
            <w:t xml:space="preserve"> </w:t>
          </w:r>
          <w:r>
            <w:rPr>
              <w:rFonts w:eastAsia="Times New Roman"/>
              <w:b/>
              <w:bCs/>
            </w:rPr>
            <w:t>2</w:t>
          </w:r>
          <w:r>
            <w:rPr>
              <w:rFonts w:eastAsia="Times New Roman"/>
            </w:rPr>
            <w:t>, 100008 (2019).</w:t>
          </w:r>
        </w:p>
        <w:p w14:paraId="115D62B9" w14:textId="77777777" w:rsidR="003204EA" w:rsidRDefault="003204EA">
          <w:pPr>
            <w:autoSpaceDE w:val="0"/>
            <w:autoSpaceDN w:val="0"/>
            <w:ind w:hanging="640"/>
            <w:divId w:val="1258178375"/>
            <w:rPr>
              <w:rFonts w:eastAsia="Times New Roman"/>
            </w:rPr>
          </w:pPr>
          <w:r>
            <w:rPr>
              <w:rFonts w:eastAsia="Times New Roman"/>
            </w:rPr>
            <w:t>247.</w:t>
          </w:r>
          <w:r>
            <w:rPr>
              <w:rFonts w:eastAsia="Times New Roman"/>
            </w:rPr>
            <w:tab/>
            <w:t xml:space="preserve">Diaz-Ochoa, V. E. </w:t>
          </w:r>
          <w:r>
            <w:rPr>
              <w:rFonts w:eastAsia="Times New Roman"/>
              <w:i/>
              <w:iCs/>
            </w:rPr>
            <w:t>et al.</w:t>
          </w:r>
          <w:r>
            <w:rPr>
              <w:rFonts w:eastAsia="Times New Roman"/>
            </w:rPr>
            <w:t xml:space="preserve"> Salmonella Mitigates Oxidative Stress and Thrives in the Inflamed Gut by Evading Calprotectin-Mediated Manganese Sequestration. </w:t>
          </w:r>
          <w:r>
            <w:rPr>
              <w:rFonts w:eastAsia="Times New Roman"/>
              <w:i/>
              <w:iCs/>
            </w:rPr>
            <w:t>Cell Host and Microbe</w:t>
          </w:r>
          <w:r>
            <w:rPr>
              <w:rFonts w:eastAsia="Times New Roman"/>
            </w:rPr>
            <w:t xml:space="preserve"> </w:t>
          </w:r>
          <w:r>
            <w:rPr>
              <w:rFonts w:eastAsia="Times New Roman"/>
              <w:b/>
              <w:bCs/>
            </w:rPr>
            <w:t>19</w:t>
          </w:r>
          <w:r>
            <w:rPr>
              <w:rFonts w:eastAsia="Times New Roman"/>
            </w:rPr>
            <w:t>, 814–825 (2016).</w:t>
          </w:r>
        </w:p>
        <w:p w14:paraId="46A1155E" w14:textId="77777777" w:rsidR="003204EA" w:rsidRDefault="003204EA">
          <w:pPr>
            <w:autoSpaceDE w:val="0"/>
            <w:autoSpaceDN w:val="0"/>
            <w:ind w:hanging="640"/>
            <w:divId w:val="146476944"/>
            <w:rPr>
              <w:rFonts w:eastAsia="Times New Roman"/>
            </w:rPr>
          </w:pPr>
          <w:r>
            <w:rPr>
              <w:rFonts w:eastAsia="Times New Roman"/>
            </w:rPr>
            <w:t>248.</w:t>
          </w:r>
          <w:r>
            <w:rPr>
              <w:rFonts w:eastAsia="Times New Roman"/>
            </w:rPr>
            <w:tab/>
          </w:r>
          <w:proofErr w:type="spellStart"/>
          <w:r>
            <w:rPr>
              <w:rFonts w:eastAsia="Times New Roman"/>
            </w:rPr>
            <w:t>Kehl</w:t>
          </w:r>
          <w:proofErr w:type="spellEnd"/>
          <w:r>
            <w:rPr>
              <w:rFonts w:eastAsia="Times New Roman"/>
            </w:rPr>
            <w:t xml:space="preserve">-Fie, T. E. </w:t>
          </w:r>
          <w:r>
            <w:rPr>
              <w:rFonts w:eastAsia="Times New Roman"/>
              <w:i/>
              <w:iCs/>
            </w:rPr>
            <w:t>et al.</w:t>
          </w:r>
          <w:r>
            <w:rPr>
              <w:rFonts w:eastAsia="Times New Roman"/>
            </w:rPr>
            <w:t xml:space="preserve"> Nutrient metal sequestration by calprotectin inhibits bacterial superoxide defense, enhancing neutrophil killing of Staphylococcus aureus. </w:t>
          </w:r>
          <w:r>
            <w:rPr>
              <w:rFonts w:eastAsia="Times New Roman"/>
              <w:i/>
              <w:iCs/>
            </w:rPr>
            <w:t>Cell Host and Microbe</w:t>
          </w:r>
          <w:r>
            <w:rPr>
              <w:rFonts w:eastAsia="Times New Roman"/>
            </w:rPr>
            <w:t xml:space="preserve"> </w:t>
          </w:r>
          <w:r>
            <w:rPr>
              <w:rFonts w:eastAsia="Times New Roman"/>
              <w:b/>
              <w:bCs/>
            </w:rPr>
            <w:t>10</w:t>
          </w:r>
          <w:r>
            <w:rPr>
              <w:rFonts w:eastAsia="Times New Roman"/>
            </w:rPr>
            <w:t>, 158–164 (2011).</w:t>
          </w:r>
        </w:p>
        <w:p w14:paraId="2CBD9FE6" w14:textId="77777777" w:rsidR="003204EA" w:rsidRDefault="003204EA">
          <w:pPr>
            <w:autoSpaceDE w:val="0"/>
            <w:autoSpaceDN w:val="0"/>
            <w:ind w:hanging="640"/>
            <w:divId w:val="399908907"/>
            <w:rPr>
              <w:rFonts w:eastAsia="Times New Roman"/>
            </w:rPr>
          </w:pPr>
          <w:r>
            <w:rPr>
              <w:rFonts w:eastAsia="Times New Roman"/>
            </w:rPr>
            <w:t>249.</w:t>
          </w:r>
          <w:r>
            <w:rPr>
              <w:rFonts w:eastAsia="Times New Roman"/>
            </w:rPr>
            <w:tab/>
            <w:t xml:space="preserve">Liu, J. Z. </w:t>
          </w:r>
          <w:r>
            <w:rPr>
              <w:rFonts w:eastAsia="Times New Roman"/>
              <w:i/>
              <w:iCs/>
            </w:rPr>
            <w:t>et al.</w:t>
          </w:r>
          <w:r>
            <w:rPr>
              <w:rFonts w:eastAsia="Times New Roman"/>
            </w:rPr>
            <w:t xml:space="preserve"> Zinc sequestration by the neutrophil protein calprotectin enhances salmonella growth in the inflamed gut. </w:t>
          </w:r>
          <w:r>
            <w:rPr>
              <w:rFonts w:eastAsia="Times New Roman"/>
              <w:i/>
              <w:iCs/>
            </w:rPr>
            <w:t>Cell Host and Microbe</w:t>
          </w:r>
          <w:r>
            <w:rPr>
              <w:rFonts w:eastAsia="Times New Roman"/>
            </w:rPr>
            <w:t xml:space="preserve"> </w:t>
          </w:r>
          <w:r>
            <w:rPr>
              <w:rFonts w:eastAsia="Times New Roman"/>
              <w:b/>
              <w:bCs/>
            </w:rPr>
            <w:t>11</w:t>
          </w:r>
          <w:r>
            <w:rPr>
              <w:rFonts w:eastAsia="Times New Roman"/>
            </w:rPr>
            <w:t>, 227–239 (2012).</w:t>
          </w:r>
        </w:p>
        <w:p w14:paraId="01AC11DA" w14:textId="77777777" w:rsidR="003204EA" w:rsidRDefault="003204EA">
          <w:pPr>
            <w:autoSpaceDE w:val="0"/>
            <w:autoSpaceDN w:val="0"/>
            <w:ind w:hanging="640"/>
            <w:divId w:val="314185131"/>
            <w:rPr>
              <w:rFonts w:eastAsia="Times New Roman"/>
            </w:rPr>
          </w:pPr>
          <w:r>
            <w:rPr>
              <w:rFonts w:eastAsia="Times New Roman"/>
            </w:rPr>
            <w:t>250.</w:t>
          </w:r>
          <w:r>
            <w:rPr>
              <w:rFonts w:eastAsia="Times New Roman"/>
            </w:rPr>
            <w:tab/>
            <w:t xml:space="preserve">Kim, Y. </w:t>
          </w:r>
          <w:r>
            <w:rPr>
              <w:rFonts w:eastAsia="Times New Roman"/>
              <w:i/>
              <w:iCs/>
            </w:rPr>
            <w:t>et al.</w:t>
          </w:r>
          <w:r>
            <w:rPr>
              <w:rFonts w:eastAsia="Times New Roman"/>
            </w:rPr>
            <w:t xml:space="preserve"> NDM-1, the ultimate promiscuous enzyme: Substrate recognition and catalytic mechanism. </w:t>
          </w:r>
          <w:r>
            <w:rPr>
              <w:rFonts w:eastAsia="Times New Roman"/>
              <w:i/>
              <w:iCs/>
            </w:rPr>
            <w:t>FASEB Journal</w:t>
          </w:r>
          <w:r>
            <w:rPr>
              <w:rFonts w:eastAsia="Times New Roman"/>
            </w:rPr>
            <w:t xml:space="preserve"> </w:t>
          </w:r>
          <w:r>
            <w:rPr>
              <w:rFonts w:eastAsia="Times New Roman"/>
              <w:b/>
              <w:bCs/>
            </w:rPr>
            <w:t>27</w:t>
          </w:r>
          <w:r>
            <w:rPr>
              <w:rFonts w:eastAsia="Times New Roman"/>
            </w:rPr>
            <w:t>, 1917–1927 (2013).</w:t>
          </w:r>
        </w:p>
        <w:p w14:paraId="41357CC3" w14:textId="77777777" w:rsidR="003204EA" w:rsidRDefault="003204EA">
          <w:pPr>
            <w:autoSpaceDE w:val="0"/>
            <w:autoSpaceDN w:val="0"/>
            <w:ind w:hanging="640"/>
            <w:divId w:val="1486358166"/>
            <w:rPr>
              <w:rFonts w:eastAsia="Times New Roman"/>
            </w:rPr>
          </w:pPr>
          <w:r>
            <w:rPr>
              <w:rFonts w:eastAsia="Times New Roman"/>
            </w:rPr>
            <w:t>251.</w:t>
          </w:r>
          <w:r>
            <w:rPr>
              <w:rFonts w:eastAsia="Times New Roman"/>
            </w:rPr>
            <w:tab/>
          </w:r>
          <w:proofErr w:type="spellStart"/>
          <w:r>
            <w:rPr>
              <w:rFonts w:eastAsia="Times New Roman"/>
            </w:rPr>
            <w:t>Xiong</w:t>
          </w:r>
          <w:proofErr w:type="spellEnd"/>
          <w:r>
            <w:rPr>
              <w:rFonts w:eastAsia="Times New Roman"/>
            </w:rPr>
            <w:t xml:space="preserve">, W., Giannone, R. J., Morowitz, M. J., Banfield, J. F. &amp; Hettich, R. L. Development of an enhanced metaproteomic approach for deepening the microbiome characterization of the human infant gut. </w:t>
          </w:r>
          <w:r>
            <w:rPr>
              <w:rFonts w:eastAsia="Times New Roman"/>
              <w:i/>
              <w:iCs/>
            </w:rPr>
            <w:t>Journal of Proteome Research</w:t>
          </w:r>
          <w:r>
            <w:rPr>
              <w:rFonts w:eastAsia="Times New Roman"/>
            </w:rPr>
            <w:t xml:space="preserve"> </w:t>
          </w:r>
          <w:r>
            <w:rPr>
              <w:rFonts w:eastAsia="Times New Roman"/>
              <w:b/>
              <w:bCs/>
            </w:rPr>
            <w:t>14</w:t>
          </w:r>
          <w:r>
            <w:rPr>
              <w:rFonts w:eastAsia="Times New Roman"/>
            </w:rPr>
            <w:t>, 133–141 (2015).</w:t>
          </w:r>
        </w:p>
        <w:p w14:paraId="3C0010E5" w14:textId="77777777" w:rsidR="003204EA" w:rsidRDefault="003204EA">
          <w:pPr>
            <w:autoSpaceDE w:val="0"/>
            <w:autoSpaceDN w:val="0"/>
            <w:ind w:hanging="640"/>
            <w:divId w:val="734664697"/>
            <w:rPr>
              <w:rFonts w:eastAsia="Times New Roman"/>
            </w:rPr>
          </w:pPr>
          <w:r>
            <w:rPr>
              <w:rFonts w:eastAsia="Times New Roman"/>
            </w:rPr>
            <w:t>252.</w:t>
          </w:r>
          <w:r>
            <w:rPr>
              <w:rFonts w:eastAsia="Times New Roman"/>
            </w:rPr>
            <w:tab/>
          </w:r>
          <w:proofErr w:type="spellStart"/>
          <w:r>
            <w:rPr>
              <w:rFonts w:eastAsia="Times New Roman"/>
            </w:rPr>
            <w:t>Alcock</w:t>
          </w:r>
          <w:proofErr w:type="spellEnd"/>
          <w:r>
            <w:rPr>
              <w:rFonts w:eastAsia="Times New Roman"/>
            </w:rPr>
            <w:t xml:space="preserve">, B. P. </w:t>
          </w:r>
          <w:r>
            <w:rPr>
              <w:rFonts w:eastAsia="Times New Roman"/>
              <w:i/>
              <w:iCs/>
            </w:rPr>
            <w:t>et al.</w:t>
          </w:r>
          <w:r>
            <w:rPr>
              <w:rFonts w:eastAsia="Times New Roman"/>
            </w:rPr>
            <w:t xml:space="preserve"> CARD 2020: Antibiotic </w:t>
          </w:r>
          <w:proofErr w:type="spellStart"/>
          <w:r>
            <w:rPr>
              <w:rFonts w:eastAsia="Times New Roman"/>
            </w:rPr>
            <w:t>resistome</w:t>
          </w:r>
          <w:proofErr w:type="spellEnd"/>
          <w:r>
            <w:rPr>
              <w:rFonts w:eastAsia="Times New Roman"/>
            </w:rPr>
            <w:t xml:space="preserve"> surveillance with the comprehensive antibiotic resistance database. </w:t>
          </w:r>
          <w:r>
            <w:rPr>
              <w:rFonts w:eastAsia="Times New Roman"/>
              <w:i/>
              <w:iCs/>
            </w:rPr>
            <w:t>Nucleic Acids Research</w:t>
          </w:r>
          <w:r>
            <w:rPr>
              <w:rFonts w:eastAsia="Times New Roman"/>
            </w:rPr>
            <w:t xml:space="preserve"> </w:t>
          </w:r>
          <w:r>
            <w:rPr>
              <w:rFonts w:eastAsia="Times New Roman"/>
              <w:b/>
              <w:bCs/>
            </w:rPr>
            <w:t>48</w:t>
          </w:r>
          <w:r>
            <w:rPr>
              <w:rFonts w:eastAsia="Times New Roman"/>
            </w:rPr>
            <w:t>, D517–D525 (2020).</w:t>
          </w:r>
        </w:p>
        <w:p w14:paraId="6994F9AE" w14:textId="77777777" w:rsidR="003204EA" w:rsidRDefault="003204EA">
          <w:pPr>
            <w:autoSpaceDE w:val="0"/>
            <w:autoSpaceDN w:val="0"/>
            <w:ind w:hanging="640"/>
            <w:divId w:val="1045376412"/>
            <w:rPr>
              <w:rFonts w:eastAsia="Times New Roman"/>
            </w:rPr>
          </w:pPr>
          <w:r>
            <w:rPr>
              <w:rFonts w:eastAsia="Times New Roman"/>
            </w:rPr>
            <w:t>253.</w:t>
          </w:r>
          <w:r>
            <w:rPr>
              <w:rFonts w:eastAsia="Times New Roman"/>
            </w:rPr>
            <w:tab/>
          </w:r>
          <w:proofErr w:type="spellStart"/>
          <w:r>
            <w:rPr>
              <w:rFonts w:eastAsia="Times New Roman"/>
            </w:rPr>
            <w:t>Shkoporov</w:t>
          </w:r>
          <w:proofErr w:type="spellEnd"/>
          <w:r>
            <w:rPr>
              <w:rFonts w:eastAsia="Times New Roman"/>
            </w:rPr>
            <w:t xml:space="preserve">, A. N. </w:t>
          </w:r>
          <w:r>
            <w:rPr>
              <w:rFonts w:eastAsia="Times New Roman"/>
              <w:i/>
              <w:iCs/>
            </w:rPr>
            <w:t>et al.</w:t>
          </w:r>
          <w:r>
            <w:rPr>
              <w:rFonts w:eastAsia="Times New Roman"/>
            </w:rPr>
            <w:t xml:space="preserve"> Reproducible protocols for metagenomic analysis of human </w:t>
          </w:r>
          <w:proofErr w:type="spellStart"/>
          <w:r>
            <w:rPr>
              <w:rFonts w:eastAsia="Times New Roman"/>
            </w:rPr>
            <w:t>faecal</w:t>
          </w:r>
          <w:proofErr w:type="spellEnd"/>
          <w:r>
            <w:rPr>
              <w:rFonts w:eastAsia="Times New Roman"/>
            </w:rPr>
            <w:t xml:space="preserve"> </w:t>
          </w:r>
          <w:proofErr w:type="spellStart"/>
          <w:r>
            <w:rPr>
              <w:rFonts w:eastAsia="Times New Roman"/>
            </w:rPr>
            <w:t>phageomes</w:t>
          </w:r>
          <w:proofErr w:type="spellEnd"/>
          <w:r>
            <w:rPr>
              <w:rFonts w:eastAsia="Times New Roman"/>
            </w:rPr>
            <w:t xml:space="preserve">. </w:t>
          </w:r>
          <w:r>
            <w:rPr>
              <w:rFonts w:eastAsia="Times New Roman"/>
              <w:i/>
              <w:iCs/>
            </w:rPr>
            <w:t>Microbiome</w:t>
          </w:r>
          <w:r>
            <w:rPr>
              <w:rFonts w:eastAsia="Times New Roman"/>
            </w:rPr>
            <w:t xml:space="preserve"> </w:t>
          </w:r>
          <w:r>
            <w:rPr>
              <w:rFonts w:eastAsia="Times New Roman"/>
              <w:b/>
              <w:bCs/>
            </w:rPr>
            <w:t>6</w:t>
          </w:r>
          <w:r>
            <w:rPr>
              <w:rFonts w:eastAsia="Times New Roman"/>
            </w:rPr>
            <w:t>, 68 (2018).</w:t>
          </w:r>
        </w:p>
        <w:p w14:paraId="133B75E9" w14:textId="77777777" w:rsidR="003204EA" w:rsidRDefault="003204EA">
          <w:pPr>
            <w:autoSpaceDE w:val="0"/>
            <w:autoSpaceDN w:val="0"/>
            <w:ind w:hanging="640"/>
            <w:divId w:val="1616904702"/>
            <w:rPr>
              <w:rFonts w:eastAsia="Times New Roman"/>
            </w:rPr>
          </w:pPr>
          <w:r>
            <w:rPr>
              <w:rFonts w:eastAsia="Times New Roman"/>
            </w:rPr>
            <w:t>254.</w:t>
          </w:r>
          <w:r>
            <w:rPr>
              <w:rFonts w:eastAsia="Times New Roman"/>
            </w:rPr>
            <w:tab/>
          </w:r>
          <w:proofErr w:type="spellStart"/>
          <w:r>
            <w:rPr>
              <w:rFonts w:eastAsia="Times New Roman"/>
            </w:rPr>
            <w:t>Hatfull</w:t>
          </w:r>
          <w:proofErr w:type="spellEnd"/>
          <w:r>
            <w:rPr>
              <w:rFonts w:eastAsia="Times New Roman"/>
            </w:rPr>
            <w:t xml:space="preserve">, G. F. &amp; Hendrix, R. W. </w:t>
          </w:r>
          <w:proofErr w:type="gramStart"/>
          <w:r>
            <w:rPr>
              <w:rFonts w:eastAsia="Times New Roman"/>
            </w:rPr>
            <w:t>Bacteriophages</w:t>
          </w:r>
          <w:proofErr w:type="gramEnd"/>
          <w:r>
            <w:rPr>
              <w:rFonts w:eastAsia="Times New Roman"/>
            </w:rPr>
            <w:t xml:space="preserve"> and their genomes. </w:t>
          </w:r>
          <w:r>
            <w:rPr>
              <w:rFonts w:eastAsia="Times New Roman"/>
              <w:i/>
              <w:iCs/>
            </w:rPr>
            <w:t>Current Opinion in Virology</w:t>
          </w:r>
          <w:r>
            <w:rPr>
              <w:rFonts w:eastAsia="Times New Roman"/>
            </w:rPr>
            <w:t xml:space="preserve"> </w:t>
          </w:r>
          <w:r>
            <w:rPr>
              <w:rFonts w:eastAsia="Times New Roman"/>
              <w:b/>
              <w:bCs/>
            </w:rPr>
            <w:t>1</w:t>
          </w:r>
          <w:r>
            <w:rPr>
              <w:rFonts w:eastAsia="Times New Roman"/>
            </w:rPr>
            <w:t>, 298–303 (2011).</w:t>
          </w:r>
        </w:p>
        <w:p w14:paraId="6B271C1F" w14:textId="77777777" w:rsidR="003204EA" w:rsidRDefault="003204EA">
          <w:pPr>
            <w:autoSpaceDE w:val="0"/>
            <w:autoSpaceDN w:val="0"/>
            <w:ind w:hanging="640"/>
            <w:divId w:val="1866360981"/>
            <w:rPr>
              <w:rFonts w:eastAsia="Times New Roman"/>
            </w:rPr>
          </w:pPr>
          <w:r>
            <w:rPr>
              <w:rFonts w:eastAsia="Times New Roman"/>
            </w:rPr>
            <w:t>255.</w:t>
          </w:r>
          <w:r>
            <w:rPr>
              <w:rFonts w:eastAsia="Times New Roman"/>
            </w:rPr>
            <w:tab/>
            <w:t>Al-</w:t>
          </w:r>
          <w:proofErr w:type="spellStart"/>
          <w:r>
            <w:rPr>
              <w:rFonts w:eastAsia="Times New Roman"/>
            </w:rPr>
            <w:t>Shayeb</w:t>
          </w:r>
          <w:proofErr w:type="spellEnd"/>
          <w:r>
            <w:rPr>
              <w:rFonts w:eastAsia="Times New Roman"/>
            </w:rPr>
            <w:t xml:space="preserve">, B. </w:t>
          </w:r>
          <w:r>
            <w:rPr>
              <w:rFonts w:eastAsia="Times New Roman"/>
              <w:i/>
              <w:iCs/>
            </w:rPr>
            <w:t>et al.</w:t>
          </w:r>
          <w:r>
            <w:rPr>
              <w:rFonts w:eastAsia="Times New Roman"/>
            </w:rPr>
            <w:t xml:space="preserve"> Clades of huge phages from across Earth’s ecosystems. </w:t>
          </w:r>
          <w:r>
            <w:rPr>
              <w:rFonts w:eastAsia="Times New Roman"/>
              <w:i/>
              <w:iCs/>
            </w:rPr>
            <w:t>Nature</w:t>
          </w:r>
          <w:r>
            <w:rPr>
              <w:rFonts w:eastAsia="Times New Roman"/>
            </w:rPr>
            <w:t xml:space="preserve"> </w:t>
          </w:r>
          <w:r>
            <w:rPr>
              <w:rFonts w:eastAsia="Times New Roman"/>
              <w:b/>
              <w:bCs/>
            </w:rPr>
            <w:t>578</w:t>
          </w:r>
          <w:r>
            <w:rPr>
              <w:rFonts w:eastAsia="Times New Roman"/>
            </w:rPr>
            <w:t>, (2020).</w:t>
          </w:r>
        </w:p>
        <w:p w14:paraId="566EBF1B" w14:textId="77777777" w:rsidR="003204EA" w:rsidRDefault="003204EA">
          <w:pPr>
            <w:autoSpaceDE w:val="0"/>
            <w:autoSpaceDN w:val="0"/>
            <w:ind w:hanging="640"/>
            <w:divId w:val="809174355"/>
            <w:rPr>
              <w:rFonts w:eastAsia="Times New Roman"/>
            </w:rPr>
          </w:pPr>
          <w:r>
            <w:rPr>
              <w:rFonts w:eastAsia="Times New Roman"/>
            </w:rPr>
            <w:t>256.</w:t>
          </w:r>
          <w:r>
            <w:rPr>
              <w:rFonts w:eastAsia="Times New Roman"/>
            </w:rPr>
            <w:tab/>
          </w:r>
          <w:proofErr w:type="spellStart"/>
          <w:r>
            <w:rPr>
              <w:rFonts w:eastAsia="Times New Roman"/>
            </w:rPr>
            <w:t>Yutin</w:t>
          </w:r>
          <w:proofErr w:type="spellEnd"/>
          <w:r>
            <w:rPr>
              <w:rFonts w:eastAsia="Times New Roman"/>
            </w:rPr>
            <w:t xml:space="preserve">, N. </w:t>
          </w:r>
          <w:r>
            <w:rPr>
              <w:rFonts w:eastAsia="Times New Roman"/>
              <w:i/>
              <w:iCs/>
            </w:rPr>
            <w:t>et al.</w:t>
          </w:r>
          <w:r>
            <w:rPr>
              <w:rFonts w:eastAsia="Times New Roman"/>
            </w:rPr>
            <w:t xml:space="preserve"> Analysis of metagenome-assembled viral genomes from the human gut reveals diverse putative CrAss-like phages with unique genomic features. </w:t>
          </w:r>
          <w:r>
            <w:rPr>
              <w:rFonts w:eastAsia="Times New Roman"/>
              <w:i/>
              <w:iCs/>
            </w:rPr>
            <w:t>Nature Communications</w:t>
          </w:r>
          <w:r>
            <w:rPr>
              <w:rFonts w:eastAsia="Times New Roman"/>
            </w:rPr>
            <w:t xml:space="preserve"> </w:t>
          </w:r>
          <w:r>
            <w:rPr>
              <w:rFonts w:eastAsia="Times New Roman"/>
              <w:b/>
              <w:bCs/>
            </w:rPr>
            <w:t>12</w:t>
          </w:r>
          <w:r>
            <w:rPr>
              <w:rFonts w:eastAsia="Times New Roman"/>
            </w:rPr>
            <w:t>, 1–11 (2021).</w:t>
          </w:r>
        </w:p>
        <w:p w14:paraId="71A653BC" w14:textId="77777777" w:rsidR="003204EA" w:rsidRDefault="003204EA">
          <w:pPr>
            <w:autoSpaceDE w:val="0"/>
            <w:autoSpaceDN w:val="0"/>
            <w:ind w:hanging="640"/>
            <w:divId w:val="1283726685"/>
            <w:rPr>
              <w:rFonts w:eastAsia="Times New Roman"/>
            </w:rPr>
          </w:pPr>
          <w:r>
            <w:rPr>
              <w:rFonts w:eastAsia="Times New Roman"/>
            </w:rPr>
            <w:t>257.</w:t>
          </w:r>
          <w:r>
            <w:rPr>
              <w:rFonts w:eastAsia="Times New Roman"/>
            </w:rPr>
            <w:tab/>
          </w:r>
          <w:proofErr w:type="spellStart"/>
          <w:r>
            <w:rPr>
              <w:rFonts w:eastAsia="Times New Roman"/>
            </w:rPr>
            <w:t>Devoto</w:t>
          </w:r>
          <w:proofErr w:type="spellEnd"/>
          <w:r>
            <w:rPr>
              <w:rFonts w:eastAsia="Times New Roman"/>
            </w:rPr>
            <w:t xml:space="preserve">, A. E. </w:t>
          </w:r>
          <w:r>
            <w:rPr>
              <w:rFonts w:eastAsia="Times New Roman"/>
              <w:i/>
              <w:iCs/>
            </w:rPr>
            <w:t>et al.</w:t>
          </w:r>
          <w:r>
            <w:rPr>
              <w:rFonts w:eastAsia="Times New Roman"/>
            </w:rPr>
            <w:t xml:space="preserve"> </w:t>
          </w:r>
          <w:proofErr w:type="spellStart"/>
          <w:r>
            <w:rPr>
              <w:rFonts w:eastAsia="Times New Roman"/>
            </w:rPr>
            <w:t>Megaphages</w:t>
          </w:r>
          <w:proofErr w:type="spellEnd"/>
          <w:r>
            <w:rPr>
              <w:rFonts w:eastAsia="Times New Roman"/>
            </w:rPr>
            <w:t xml:space="preserve"> infect </w:t>
          </w:r>
          <w:proofErr w:type="spellStart"/>
          <w:proofErr w:type="gramStart"/>
          <w:r>
            <w:rPr>
              <w:rFonts w:eastAsia="Times New Roman"/>
            </w:rPr>
            <w:t>Prevotella</w:t>
          </w:r>
          <w:proofErr w:type="spellEnd"/>
          <w:proofErr w:type="gramEnd"/>
          <w:r>
            <w:rPr>
              <w:rFonts w:eastAsia="Times New Roman"/>
            </w:rPr>
            <w:t xml:space="preserve"> and variants are widespread in gut microbiomes. </w:t>
          </w:r>
          <w:r>
            <w:rPr>
              <w:rFonts w:eastAsia="Times New Roman"/>
              <w:i/>
              <w:iCs/>
            </w:rPr>
            <w:t>Nature Microbiology</w:t>
          </w:r>
          <w:r>
            <w:rPr>
              <w:rFonts w:eastAsia="Times New Roman"/>
            </w:rPr>
            <w:t xml:space="preserve"> </w:t>
          </w:r>
          <w:r>
            <w:rPr>
              <w:rFonts w:eastAsia="Times New Roman"/>
              <w:b/>
              <w:bCs/>
            </w:rPr>
            <w:t>4</w:t>
          </w:r>
          <w:r>
            <w:rPr>
              <w:rFonts w:eastAsia="Times New Roman"/>
            </w:rPr>
            <w:t>, 693–700 (2019).</w:t>
          </w:r>
        </w:p>
        <w:p w14:paraId="14E746D7" w14:textId="77777777" w:rsidR="003204EA" w:rsidRDefault="003204EA">
          <w:pPr>
            <w:autoSpaceDE w:val="0"/>
            <w:autoSpaceDN w:val="0"/>
            <w:ind w:hanging="640"/>
            <w:divId w:val="71659470"/>
            <w:rPr>
              <w:rFonts w:eastAsia="Times New Roman"/>
            </w:rPr>
          </w:pPr>
          <w:r>
            <w:rPr>
              <w:rFonts w:eastAsia="Times New Roman"/>
            </w:rPr>
            <w:t>258.</w:t>
          </w:r>
          <w:r>
            <w:rPr>
              <w:rFonts w:eastAsia="Times New Roman"/>
            </w:rPr>
            <w:tab/>
          </w:r>
          <w:proofErr w:type="spellStart"/>
          <w:r>
            <w:rPr>
              <w:rFonts w:eastAsia="Times New Roman"/>
            </w:rPr>
            <w:t>Shkoporov</w:t>
          </w:r>
          <w:proofErr w:type="spellEnd"/>
          <w:r>
            <w:rPr>
              <w:rFonts w:eastAsia="Times New Roman"/>
            </w:rPr>
            <w:t xml:space="preserve">, A. N. &amp; Hill, C. Bacteriophages of the Human Gut: The “Known Unknown” of the Microbiome. </w:t>
          </w:r>
          <w:r>
            <w:rPr>
              <w:rFonts w:eastAsia="Times New Roman"/>
              <w:i/>
              <w:iCs/>
            </w:rPr>
            <w:t>Cell Host and Microbe</w:t>
          </w:r>
          <w:r>
            <w:rPr>
              <w:rFonts w:eastAsia="Times New Roman"/>
            </w:rPr>
            <w:t xml:space="preserve"> </w:t>
          </w:r>
          <w:r>
            <w:rPr>
              <w:rFonts w:eastAsia="Times New Roman"/>
              <w:b/>
              <w:bCs/>
            </w:rPr>
            <w:t>25</w:t>
          </w:r>
          <w:r>
            <w:rPr>
              <w:rFonts w:eastAsia="Times New Roman"/>
            </w:rPr>
            <w:t>, 195–209 (2019).</w:t>
          </w:r>
        </w:p>
        <w:p w14:paraId="07955D2E" w14:textId="77777777" w:rsidR="003204EA" w:rsidRDefault="003204EA">
          <w:pPr>
            <w:autoSpaceDE w:val="0"/>
            <w:autoSpaceDN w:val="0"/>
            <w:ind w:hanging="640"/>
            <w:divId w:val="1784374350"/>
            <w:rPr>
              <w:rFonts w:eastAsia="Times New Roman"/>
            </w:rPr>
          </w:pPr>
          <w:r>
            <w:rPr>
              <w:rFonts w:eastAsia="Times New Roman"/>
            </w:rPr>
            <w:t>259.</w:t>
          </w:r>
          <w:r>
            <w:rPr>
              <w:rFonts w:eastAsia="Times New Roman"/>
            </w:rPr>
            <w:tab/>
          </w:r>
          <w:proofErr w:type="spellStart"/>
          <w:r>
            <w:rPr>
              <w:rFonts w:eastAsia="Times New Roman"/>
            </w:rPr>
            <w:t>Nayfach</w:t>
          </w:r>
          <w:proofErr w:type="spellEnd"/>
          <w:r>
            <w:rPr>
              <w:rFonts w:eastAsia="Times New Roman"/>
            </w:rPr>
            <w:t xml:space="preserve">, S. </w:t>
          </w:r>
          <w:r>
            <w:rPr>
              <w:rFonts w:eastAsia="Times New Roman"/>
              <w:i/>
              <w:iCs/>
            </w:rPr>
            <w:t>et al.</w:t>
          </w:r>
          <w:r>
            <w:rPr>
              <w:rFonts w:eastAsia="Times New Roman"/>
            </w:rPr>
            <w:t xml:space="preserve"> Metagenomic compendium of 189,680 DNA viruses from the human gut microbiome. </w:t>
          </w:r>
          <w:r>
            <w:rPr>
              <w:rFonts w:eastAsia="Times New Roman"/>
              <w:i/>
              <w:iCs/>
            </w:rPr>
            <w:t>Nature Microbiology</w:t>
          </w:r>
          <w:r>
            <w:rPr>
              <w:rFonts w:eastAsia="Times New Roman"/>
            </w:rPr>
            <w:t xml:space="preserve"> </w:t>
          </w:r>
          <w:r>
            <w:rPr>
              <w:rFonts w:eastAsia="Times New Roman"/>
              <w:b/>
              <w:bCs/>
            </w:rPr>
            <w:t>6</w:t>
          </w:r>
          <w:r>
            <w:rPr>
              <w:rFonts w:eastAsia="Times New Roman"/>
            </w:rPr>
            <w:t>, 960–970 (2021).</w:t>
          </w:r>
        </w:p>
        <w:p w14:paraId="08247499" w14:textId="77777777" w:rsidR="003204EA" w:rsidRDefault="003204EA">
          <w:pPr>
            <w:autoSpaceDE w:val="0"/>
            <w:autoSpaceDN w:val="0"/>
            <w:ind w:hanging="640"/>
            <w:divId w:val="736362699"/>
            <w:rPr>
              <w:rFonts w:eastAsia="Times New Roman"/>
            </w:rPr>
          </w:pPr>
          <w:r>
            <w:rPr>
              <w:rFonts w:eastAsia="Times New Roman"/>
            </w:rPr>
            <w:t>260.</w:t>
          </w:r>
          <w:r>
            <w:rPr>
              <w:rFonts w:eastAsia="Times New Roman"/>
            </w:rPr>
            <w:tab/>
            <w:t xml:space="preserve">Adair L. Borges, Yue Clare Lou, Rohan Sachdeva, </w:t>
          </w:r>
          <w:proofErr w:type="spellStart"/>
          <w:r>
            <w:rPr>
              <w:rFonts w:eastAsia="Times New Roman"/>
            </w:rPr>
            <w:t>Basem</w:t>
          </w:r>
          <w:proofErr w:type="spellEnd"/>
          <w:r>
            <w:rPr>
              <w:rFonts w:eastAsia="Times New Roman"/>
            </w:rPr>
            <w:t xml:space="preserve"> Al-</w:t>
          </w:r>
          <w:proofErr w:type="spellStart"/>
          <w:r>
            <w:rPr>
              <w:rFonts w:eastAsia="Times New Roman"/>
            </w:rPr>
            <w:t>Shayeb</w:t>
          </w:r>
          <w:proofErr w:type="spellEnd"/>
          <w:r>
            <w:rPr>
              <w:rFonts w:eastAsia="Times New Roman"/>
            </w:rPr>
            <w:t xml:space="preserve">, Alexander L. Jaffe, </w:t>
          </w:r>
          <w:proofErr w:type="spellStart"/>
          <w:r>
            <w:rPr>
              <w:rFonts w:eastAsia="Times New Roman"/>
            </w:rPr>
            <w:t>Shufei</w:t>
          </w:r>
          <w:proofErr w:type="spellEnd"/>
          <w:r>
            <w:rPr>
              <w:rFonts w:eastAsia="Times New Roman"/>
            </w:rPr>
            <w:t xml:space="preserve"> Lei, Joanne M. Santini, J. F. B. Stop codon recoding is widespread in diverse phage lineages and has the potential to regulate translation of late stage and lytic genes. </w:t>
          </w:r>
          <w:proofErr w:type="spellStart"/>
          <w:r>
            <w:rPr>
              <w:rFonts w:eastAsia="Times New Roman"/>
              <w:i/>
              <w:iCs/>
            </w:rPr>
            <w:t>bioRxiv</w:t>
          </w:r>
          <w:proofErr w:type="spellEnd"/>
          <w:r>
            <w:rPr>
              <w:rFonts w:eastAsia="Times New Roman"/>
            </w:rPr>
            <w:t xml:space="preserve"> (2021).</w:t>
          </w:r>
        </w:p>
        <w:p w14:paraId="7999BE9C" w14:textId="77777777" w:rsidR="003204EA" w:rsidRDefault="003204EA">
          <w:pPr>
            <w:autoSpaceDE w:val="0"/>
            <w:autoSpaceDN w:val="0"/>
            <w:ind w:hanging="640"/>
            <w:divId w:val="2146269729"/>
            <w:rPr>
              <w:rFonts w:eastAsia="Times New Roman"/>
            </w:rPr>
          </w:pPr>
          <w:r>
            <w:rPr>
              <w:rFonts w:eastAsia="Times New Roman"/>
            </w:rPr>
            <w:t>261.</w:t>
          </w:r>
          <w:r>
            <w:rPr>
              <w:rFonts w:eastAsia="Times New Roman"/>
            </w:rPr>
            <w:tab/>
            <w:t xml:space="preserve">Ivanova, N. N. </w:t>
          </w:r>
          <w:r>
            <w:rPr>
              <w:rFonts w:eastAsia="Times New Roman"/>
              <w:i/>
              <w:iCs/>
            </w:rPr>
            <w:t>et al.</w:t>
          </w:r>
          <w:r>
            <w:rPr>
              <w:rFonts w:eastAsia="Times New Roman"/>
            </w:rPr>
            <w:t xml:space="preserve"> Stop codon reassignments in the wild. </w:t>
          </w:r>
          <w:r>
            <w:rPr>
              <w:rFonts w:eastAsia="Times New Roman"/>
              <w:i/>
              <w:iCs/>
            </w:rPr>
            <w:t>Science (1979)</w:t>
          </w:r>
          <w:r>
            <w:rPr>
              <w:rFonts w:eastAsia="Times New Roman"/>
            </w:rPr>
            <w:t xml:space="preserve"> </w:t>
          </w:r>
          <w:r>
            <w:rPr>
              <w:rFonts w:eastAsia="Times New Roman"/>
              <w:b/>
              <w:bCs/>
            </w:rPr>
            <w:t>344</w:t>
          </w:r>
          <w:r>
            <w:rPr>
              <w:rFonts w:eastAsia="Times New Roman"/>
            </w:rPr>
            <w:t>, 909–913 (2014).</w:t>
          </w:r>
        </w:p>
        <w:p w14:paraId="1A326D3F" w14:textId="77777777" w:rsidR="003204EA" w:rsidRDefault="003204EA">
          <w:pPr>
            <w:autoSpaceDE w:val="0"/>
            <w:autoSpaceDN w:val="0"/>
            <w:ind w:hanging="640"/>
            <w:divId w:val="1752118578"/>
            <w:rPr>
              <w:rFonts w:eastAsia="Times New Roman"/>
            </w:rPr>
          </w:pPr>
          <w:r>
            <w:rPr>
              <w:rFonts w:eastAsia="Times New Roman"/>
            </w:rPr>
            <w:t>262.</w:t>
          </w:r>
          <w:r>
            <w:rPr>
              <w:rFonts w:eastAsia="Times New Roman"/>
            </w:rPr>
            <w:tab/>
          </w:r>
          <w:proofErr w:type="spellStart"/>
          <w:r>
            <w:rPr>
              <w:rFonts w:eastAsia="Times New Roman"/>
            </w:rPr>
            <w:t>Crisci</w:t>
          </w:r>
          <w:proofErr w:type="spellEnd"/>
          <w:r>
            <w:rPr>
              <w:rFonts w:eastAsia="Times New Roman"/>
            </w:rPr>
            <w:t xml:space="preserve">, M. A. </w:t>
          </w:r>
          <w:r>
            <w:rPr>
              <w:rFonts w:eastAsia="Times New Roman"/>
              <w:i/>
              <w:iCs/>
            </w:rPr>
            <w:t>et al.</w:t>
          </w:r>
          <w:r>
            <w:rPr>
              <w:rFonts w:eastAsia="Times New Roman"/>
            </w:rPr>
            <w:t xml:space="preserve"> Closely related Lak </w:t>
          </w:r>
          <w:proofErr w:type="spellStart"/>
          <w:r>
            <w:rPr>
              <w:rFonts w:eastAsia="Times New Roman"/>
            </w:rPr>
            <w:t>megaphages</w:t>
          </w:r>
          <w:proofErr w:type="spellEnd"/>
          <w:r>
            <w:rPr>
              <w:rFonts w:eastAsia="Times New Roman"/>
            </w:rPr>
            <w:t xml:space="preserve"> replicate in the microbiomes of diverse animals. </w:t>
          </w:r>
          <w:proofErr w:type="spellStart"/>
          <w:r>
            <w:rPr>
              <w:rFonts w:eastAsia="Times New Roman"/>
              <w:i/>
              <w:iCs/>
            </w:rPr>
            <w:t>iScience</w:t>
          </w:r>
          <w:proofErr w:type="spellEnd"/>
          <w:r>
            <w:rPr>
              <w:rFonts w:eastAsia="Times New Roman"/>
            </w:rPr>
            <w:t xml:space="preserve"> </w:t>
          </w:r>
          <w:r>
            <w:rPr>
              <w:rFonts w:eastAsia="Times New Roman"/>
              <w:b/>
              <w:bCs/>
            </w:rPr>
            <w:t>24</w:t>
          </w:r>
          <w:r>
            <w:rPr>
              <w:rFonts w:eastAsia="Times New Roman"/>
            </w:rPr>
            <w:t>, 102875 (2021).</w:t>
          </w:r>
        </w:p>
        <w:p w14:paraId="1B95C60F" w14:textId="77777777" w:rsidR="003204EA" w:rsidRDefault="003204EA">
          <w:pPr>
            <w:autoSpaceDE w:val="0"/>
            <w:autoSpaceDN w:val="0"/>
            <w:ind w:hanging="640"/>
            <w:divId w:val="1476797065"/>
            <w:rPr>
              <w:rFonts w:eastAsia="Times New Roman"/>
            </w:rPr>
          </w:pPr>
          <w:r>
            <w:rPr>
              <w:rFonts w:eastAsia="Times New Roman"/>
            </w:rPr>
            <w:t>263.</w:t>
          </w:r>
          <w:r>
            <w:rPr>
              <w:rFonts w:eastAsia="Times New Roman"/>
            </w:rPr>
            <w:tab/>
            <w:t xml:space="preserve">Hanke, A. </w:t>
          </w:r>
          <w:r>
            <w:rPr>
              <w:rFonts w:eastAsia="Times New Roman"/>
              <w:i/>
              <w:iCs/>
            </w:rPr>
            <w:t>et al.</w:t>
          </w:r>
          <w:r>
            <w:rPr>
              <w:rFonts w:eastAsia="Times New Roman"/>
            </w:rPr>
            <w:t xml:space="preserve"> Recoding of the stop codon UGA to glycine by a BD1-5/SN-2 bacterium and niche partitioning between Alpha- and </w:t>
          </w:r>
          <w:proofErr w:type="spellStart"/>
          <w:r>
            <w:rPr>
              <w:rFonts w:eastAsia="Times New Roman"/>
            </w:rPr>
            <w:t>Gammaproteobacteria</w:t>
          </w:r>
          <w:proofErr w:type="spellEnd"/>
          <w:r>
            <w:rPr>
              <w:rFonts w:eastAsia="Times New Roman"/>
            </w:rPr>
            <w:t xml:space="preserve"> in a tidal sediment microbial community naturally selected in a laboratory chemostat. </w:t>
          </w:r>
          <w:r>
            <w:rPr>
              <w:rFonts w:eastAsia="Times New Roman"/>
              <w:i/>
              <w:iCs/>
            </w:rPr>
            <w:t>Frontiers in Microbiology</w:t>
          </w:r>
          <w:r>
            <w:rPr>
              <w:rFonts w:eastAsia="Times New Roman"/>
            </w:rPr>
            <w:t xml:space="preserve"> </w:t>
          </w:r>
          <w:r>
            <w:rPr>
              <w:rFonts w:eastAsia="Times New Roman"/>
              <w:b/>
              <w:bCs/>
            </w:rPr>
            <w:t>5</w:t>
          </w:r>
          <w:r>
            <w:rPr>
              <w:rFonts w:eastAsia="Times New Roman"/>
            </w:rPr>
            <w:t>, 1–17 (2014).</w:t>
          </w:r>
        </w:p>
        <w:p w14:paraId="5BDBDB74" w14:textId="77777777" w:rsidR="003204EA" w:rsidRDefault="003204EA">
          <w:pPr>
            <w:autoSpaceDE w:val="0"/>
            <w:autoSpaceDN w:val="0"/>
            <w:ind w:hanging="640"/>
            <w:divId w:val="1877156670"/>
            <w:rPr>
              <w:rFonts w:eastAsia="Times New Roman"/>
            </w:rPr>
          </w:pPr>
          <w:r>
            <w:rPr>
              <w:rFonts w:eastAsia="Times New Roman"/>
            </w:rPr>
            <w:t>264.</w:t>
          </w:r>
          <w:r>
            <w:rPr>
              <w:rFonts w:eastAsia="Times New Roman"/>
            </w:rPr>
            <w:tab/>
            <w:t xml:space="preserve">McCutcheon, J. P., McDonald, B. R. &amp; Moran, N. A. Origin of an alternative genetic code in the extremely small and GC-rich genome of a bacterial symbiont. </w:t>
          </w:r>
          <w:proofErr w:type="spellStart"/>
          <w:r>
            <w:rPr>
              <w:rFonts w:eastAsia="Times New Roman"/>
              <w:i/>
              <w:iCs/>
            </w:rPr>
            <w:t>PLoS</w:t>
          </w:r>
          <w:proofErr w:type="spellEnd"/>
          <w:r>
            <w:rPr>
              <w:rFonts w:eastAsia="Times New Roman"/>
              <w:i/>
              <w:iCs/>
            </w:rPr>
            <w:t xml:space="preserve"> Genetics</w:t>
          </w:r>
          <w:r>
            <w:rPr>
              <w:rFonts w:eastAsia="Times New Roman"/>
            </w:rPr>
            <w:t xml:space="preserve"> </w:t>
          </w:r>
          <w:r>
            <w:rPr>
              <w:rFonts w:eastAsia="Times New Roman"/>
              <w:b/>
              <w:bCs/>
            </w:rPr>
            <w:t>5</w:t>
          </w:r>
          <w:r>
            <w:rPr>
              <w:rFonts w:eastAsia="Times New Roman"/>
            </w:rPr>
            <w:t>, (2009).</w:t>
          </w:r>
        </w:p>
        <w:p w14:paraId="1C7EDF36" w14:textId="77777777" w:rsidR="003204EA" w:rsidRDefault="003204EA">
          <w:pPr>
            <w:autoSpaceDE w:val="0"/>
            <w:autoSpaceDN w:val="0"/>
            <w:ind w:hanging="640"/>
            <w:divId w:val="200172303"/>
            <w:rPr>
              <w:rFonts w:eastAsia="Times New Roman"/>
            </w:rPr>
          </w:pPr>
          <w:r>
            <w:rPr>
              <w:rFonts w:eastAsia="Times New Roman"/>
            </w:rPr>
            <w:t>265.</w:t>
          </w:r>
          <w:r>
            <w:rPr>
              <w:rFonts w:eastAsia="Times New Roman"/>
            </w:rPr>
            <w:tab/>
          </w:r>
          <w:proofErr w:type="spellStart"/>
          <w:r>
            <w:rPr>
              <w:rFonts w:eastAsia="Times New Roman"/>
            </w:rPr>
            <w:t>Polard</w:t>
          </w:r>
          <w:proofErr w:type="spellEnd"/>
          <w:r>
            <w:rPr>
              <w:rFonts w:eastAsia="Times New Roman"/>
            </w:rPr>
            <w:t xml:space="preserve">, P., </w:t>
          </w:r>
          <w:proofErr w:type="spellStart"/>
          <w:r>
            <w:rPr>
              <w:rFonts w:eastAsia="Times New Roman"/>
            </w:rPr>
            <w:t>Prère</w:t>
          </w:r>
          <w:proofErr w:type="spellEnd"/>
          <w:r>
            <w:rPr>
              <w:rFonts w:eastAsia="Times New Roman"/>
            </w:rPr>
            <w:t xml:space="preserve">, M. F., Chandler, M. &amp; </w:t>
          </w:r>
          <w:proofErr w:type="spellStart"/>
          <w:r>
            <w:rPr>
              <w:rFonts w:eastAsia="Times New Roman"/>
            </w:rPr>
            <w:t>Fayet</w:t>
          </w:r>
          <w:proofErr w:type="spellEnd"/>
          <w:r>
            <w:rPr>
              <w:rFonts w:eastAsia="Times New Roman"/>
            </w:rPr>
            <w:t xml:space="preserve">, O. Programmed translational frameshifting and initiation at an AUU codon in gene expression of bacterial insertion sequence IS911. </w:t>
          </w:r>
          <w:r>
            <w:rPr>
              <w:rFonts w:eastAsia="Times New Roman"/>
              <w:i/>
              <w:iCs/>
            </w:rPr>
            <w:t>Journal of Molecular Biology</w:t>
          </w:r>
          <w:r>
            <w:rPr>
              <w:rFonts w:eastAsia="Times New Roman"/>
            </w:rPr>
            <w:t xml:space="preserve"> </w:t>
          </w:r>
          <w:r>
            <w:rPr>
              <w:rFonts w:eastAsia="Times New Roman"/>
              <w:b/>
              <w:bCs/>
            </w:rPr>
            <w:t>222</w:t>
          </w:r>
          <w:r>
            <w:rPr>
              <w:rFonts w:eastAsia="Times New Roman"/>
            </w:rPr>
            <w:t>, (1991).</w:t>
          </w:r>
        </w:p>
        <w:p w14:paraId="4A45EDF0" w14:textId="77777777" w:rsidR="003204EA" w:rsidRDefault="003204EA">
          <w:pPr>
            <w:autoSpaceDE w:val="0"/>
            <w:autoSpaceDN w:val="0"/>
            <w:ind w:hanging="640"/>
            <w:divId w:val="1820657681"/>
            <w:rPr>
              <w:rFonts w:eastAsia="Times New Roman"/>
            </w:rPr>
          </w:pPr>
          <w:r>
            <w:rPr>
              <w:rFonts w:eastAsia="Times New Roman"/>
            </w:rPr>
            <w:t>266.</w:t>
          </w:r>
          <w:r>
            <w:rPr>
              <w:rFonts w:eastAsia="Times New Roman"/>
            </w:rPr>
            <w:tab/>
            <w:t xml:space="preserve">Kim, W. </w:t>
          </w:r>
          <w:r>
            <w:rPr>
              <w:rFonts w:eastAsia="Times New Roman"/>
              <w:i/>
              <w:iCs/>
            </w:rPr>
            <w:t>et al.</w:t>
          </w:r>
          <w:r>
            <w:rPr>
              <w:rFonts w:eastAsia="Times New Roman"/>
            </w:rPr>
            <w:t xml:space="preserve"> Proteomic detection of non-annotated protein-coding genes in Pseudomonas fluorescens Pf0-1. </w:t>
          </w:r>
          <w:proofErr w:type="spellStart"/>
          <w:r>
            <w:rPr>
              <w:rFonts w:eastAsia="Times New Roman"/>
              <w:i/>
              <w:iCs/>
            </w:rPr>
            <w:t>PLoS</w:t>
          </w:r>
          <w:proofErr w:type="spellEnd"/>
          <w:r>
            <w:rPr>
              <w:rFonts w:eastAsia="Times New Roman"/>
              <w:i/>
              <w:iCs/>
            </w:rPr>
            <w:t xml:space="preserve"> ONE</w:t>
          </w:r>
          <w:r>
            <w:rPr>
              <w:rFonts w:eastAsia="Times New Roman"/>
            </w:rPr>
            <w:t xml:space="preserve"> </w:t>
          </w:r>
          <w:r>
            <w:rPr>
              <w:rFonts w:eastAsia="Times New Roman"/>
              <w:b/>
              <w:bCs/>
            </w:rPr>
            <w:t>4</w:t>
          </w:r>
          <w:r>
            <w:rPr>
              <w:rFonts w:eastAsia="Times New Roman"/>
            </w:rPr>
            <w:t>, (2009).</w:t>
          </w:r>
        </w:p>
        <w:p w14:paraId="77C5E96D" w14:textId="77777777" w:rsidR="003204EA" w:rsidRDefault="003204EA">
          <w:pPr>
            <w:autoSpaceDE w:val="0"/>
            <w:autoSpaceDN w:val="0"/>
            <w:ind w:hanging="640"/>
            <w:divId w:val="31805847"/>
            <w:rPr>
              <w:rFonts w:eastAsia="Times New Roman"/>
            </w:rPr>
          </w:pPr>
          <w:r>
            <w:rPr>
              <w:rFonts w:eastAsia="Times New Roman"/>
            </w:rPr>
            <w:t>267.</w:t>
          </w:r>
          <w:r>
            <w:rPr>
              <w:rFonts w:eastAsia="Times New Roman"/>
            </w:rPr>
            <w:tab/>
            <w:t xml:space="preserve">Jaffe, J. D., Berg, H. C. &amp; Church, G. M. Proteogenomic mapping as a complementary method to perform genome annotation. </w:t>
          </w:r>
          <w:r>
            <w:rPr>
              <w:rFonts w:eastAsia="Times New Roman"/>
              <w:i/>
              <w:iCs/>
            </w:rPr>
            <w:t>Proteomics</w:t>
          </w:r>
          <w:r>
            <w:rPr>
              <w:rFonts w:eastAsia="Times New Roman"/>
            </w:rPr>
            <w:t xml:space="preserve"> </w:t>
          </w:r>
          <w:r>
            <w:rPr>
              <w:rFonts w:eastAsia="Times New Roman"/>
              <w:b/>
              <w:bCs/>
            </w:rPr>
            <w:t>4</w:t>
          </w:r>
          <w:r>
            <w:rPr>
              <w:rFonts w:eastAsia="Times New Roman"/>
            </w:rPr>
            <w:t>, (2004).</w:t>
          </w:r>
        </w:p>
        <w:p w14:paraId="7E98E13F" w14:textId="77777777" w:rsidR="003204EA" w:rsidRDefault="003204EA">
          <w:pPr>
            <w:autoSpaceDE w:val="0"/>
            <w:autoSpaceDN w:val="0"/>
            <w:ind w:hanging="640"/>
            <w:divId w:val="1046181574"/>
            <w:rPr>
              <w:rFonts w:eastAsia="Times New Roman"/>
            </w:rPr>
          </w:pPr>
          <w:r>
            <w:rPr>
              <w:rFonts w:eastAsia="Times New Roman"/>
            </w:rPr>
            <w:t>268.</w:t>
          </w:r>
          <w:r>
            <w:rPr>
              <w:rFonts w:eastAsia="Times New Roman"/>
            </w:rPr>
            <w:tab/>
          </w:r>
          <w:proofErr w:type="spellStart"/>
          <w:r>
            <w:rPr>
              <w:rFonts w:eastAsia="Times New Roman"/>
            </w:rPr>
            <w:t>Baudet</w:t>
          </w:r>
          <w:proofErr w:type="spellEnd"/>
          <w:r>
            <w:rPr>
              <w:rFonts w:eastAsia="Times New Roman"/>
            </w:rPr>
            <w:t xml:space="preserve">, M. </w:t>
          </w:r>
          <w:r>
            <w:rPr>
              <w:rFonts w:eastAsia="Times New Roman"/>
              <w:i/>
              <w:iCs/>
            </w:rPr>
            <w:t>et al.</w:t>
          </w:r>
          <w:r>
            <w:rPr>
              <w:rFonts w:eastAsia="Times New Roman"/>
            </w:rPr>
            <w:t xml:space="preserve"> Proteomics-based refinement of </w:t>
          </w:r>
          <w:proofErr w:type="spellStart"/>
          <w:r>
            <w:rPr>
              <w:rFonts w:eastAsia="Times New Roman"/>
            </w:rPr>
            <w:t>Deinococcus</w:t>
          </w:r>
          <w:proofErr w:type="spellEnd"/>
          <w:r>
            <w:rPr>
              <w:rFonts w:eastAsia="Times New Roman"/>
            </w:rPr>
            <w:t xml:space="preserve"> </w:t>
          </w:r>
          <w:proofErr w:type="spellStart"/>
          <w:r>
            <w:rPr>
              <w:rFonts w:eastAsia="Times New Roman"/>
            </w:rPr>
            <w:t>deserti</w:t>
          </w:r>
          <w:proofErr w:type="spellEnd"/>
          <w:r>
            <w:rPr>
              <w:rFonts w:eastAsia="Times New Roman"/>
            </w:rPr>
            <w:t xml:space="preserve"> genome annotation reveals an unwonted use of non-canonical translation initiation codons. </w:t>
          </w:r>
          <w:r>
            <w:rPr>
              <w:rFonts w:eastAsia="Times New Roman"/>
              <w:i/>
              <w:iCs/>
            </w:rPr>
            <w:t>Molecular and Cellular Proteomics</w:t>
          </w:r>
          <w:r>
            <w:rPr>
              <w:rFonts w:eastAsia="Times New Roman"/>
            </w:rPr>
            <w:t xml:space="preserve"> </w:t>
          </w:r>
          <w:r>
            <w:rPr>
              <w:rFonts w:eastAsia="Times New Roman"/>
              <w:b/>
              <w:bCs/>
            </w:rPr>
            <w:t>9</w:t>
          </w:r>
          <w:r>
            <w:rPr>
              <w:rFonts w:eastAsia="Times New Roman"/>
            </w:rPr>
            <w:t>, (2010).</w:t>
          </w:r>
        </w:p>
        <w:p w14:paraId="4A062865" w14:textId="77777777" w:rsidR="003204EA" w:rsidRDefault="003204EA">
          <w:pPr>
            <w:autoSpaceDE w:val="0"/>
            <w:autoSpaceDN w:val="0"/>
            <w:ind w:hanging="640"/>
            <w:divId w:val="770392212"/>
            <w:rPr>
              <w:rFonts w:eastAsia="Times New Roman"/>
            </w:rPr>
          </w:pPr>
          <w:r>
            <w:rPr>
              <w:rFonts w:eastAsia="Times New Roman"/>
            </w:rPr>
            <w:t>269.</w:t>
          </w:r>
          <w:r>
            <w:rPr>
              <w:rFonts w:eastAsia="Times New Roman"/>
            </w:rPr>
            <w:tab/>
          </w:r>
          <w:proofErr w:type="spellStart"/>
          <w:r>
            <w:rPr>
              <w:rFonts w:eastAsia="Times New Roman"/>
            </w:rPr>
            <w:t>Pánek</w:t>
          </w:r>
          <w:proofErr w:type="spellEnd"/>
          <w:r>
            <w:rPr>
              <w:rFonts w:eastAsia="Times New Roman"/>
            </w:rPr>
            <w:t xml:space="preserve">, T. </w:t>
          </w:r>
          <w:r>
            <w:rPr>
              <w:rFonts w:eastAsia="Times New Roman"/>
              <w:i/>
              <w:iCs/>
            </w:rPr>
            <w:t>et al.</w:t>
          </w:r>
          <w:r>
            <w:rPr>
              <w:rFonts w:eastAsia="Times New Roman"/>
            </w:rPr>
            <w:t xml:space="preserve"> Nuclear genetic codes with a different meaning of the UAG and the UAA codon. </w:t>
          </w:r>
          <w:r>
            <w:rPr>
              <w:rFonts w:eastAsia="Times New Roman"/>
              <w:i/>
              <w:iCs/>
            </w:rPr>
            <w:t>BMC Biology</w:t>
          </w:r>
          <w:r>
            <w:rPr>
              <w:rFonts w:eastAsia="Times New Roman"/>
            </w:rPr>
            <w:t xml:space="preserve"> </w:t>
          </w:r>
          <w:r>
            <w:rPr>
              <w:rFonts w:eastAsia="Times New Roman"/>
              <w:b/>
              <w:bCs/>
            </w:rPr>
            <w:t>15</w:t>
          </w:r>
          <w:r>
            <w:rPr>
              <w:rFonts w:eastAsia="Times New Roman"/>
            </w:rPr>
            <w:t>, 1–18 (2017).</w:t>
          </w:r>
        </w:p>
        <w:p w14:paraId="694883EE" w14:textId="77777777" w:rsidR="003204EA" w:rsidRDefault="003204EA">
          <w:pPr>
            <w:autoSpaceDE w:val="0"/>
            <w:autoSpaceDN w:val="0"/>
            <w:ind w:hanging="640"/>
            <w:divId w:val="2108303596"/>
            <w:rPr>
              <w:rFonts w:eastAsia="Times New Roman"/>
            </w:rPr>
          </w:pPr>
          <w:r>
            <w:rPr>
              <w:rFonts w:eastAsia="Times New Roman"/>
            </w:rPr>
            <w:t>270.</w:t>
          </w:r>
          <w:r>
            <w:rPr>
              <w:rFonts w:eastAsia="Times New Roman"/>
            </w:rPr>
            <w:tab/>
            <w:t xml:space="preserve">Lou, Y. C. </w:t>
          </w:r>
          <w:r>
            <w:rPr>
              <w:rFonts w:eastAsia="Times New Roman"/>
              <w:i/>
              <w:iCs/>
            </w:rPr>
            <w:t>et al.</w:t>
          </w:r>
          <w:r>
            <w:rPr>
              <w:rFonts w:eastAsia="Times New Roman"/>
            </w:rPr>
            <w:t xml:space="preserve"> Infant gut strain persistence is associated with maternal origin, phylogeny, and traits including surface adhesion and iron acquisition. </w:t>
          </w:r>
          <w:r>
            <w:rPr>
              <w:rFonts w:eastAsia="Times New Roman"/>
              <w:i/>
              <w:iCs/>
            </w:rPr>
            <w:t>Cell Reports Medicine</w:t>
          </w:r>
          <w:r>
            <w:rPr>
              <w:rFonts w:eastAsia="Times New Roman"/>
            </w:rPr>
            <w:t xml:space="preserve"> </w:t>
          </w:r>
          <w:r>
            <w:rPr>
              <w:rFonts w:eastAsia="Times New Roman"/>
              <w:b/>
              <w:bCs/>
            </w:rPr>
            <w:t>2</w:t>
          </w:r>
          <w:r>
            <w:rPr>
              <w:rFonts w:eastAsia="Times New Roman"/>
            </w:rPr>
            <w:t>, 100393 (2021).</w:t>
          </w:r>
        </w:p>
        <w:p w14:paraId="1DFA281D" w14:textId="77777777" w:rsidR="003204EA" w:rsidRDefault="003204EA">
          <w:pPr>
            <w:autoSpaceDE w:val="0"/>
            <w:autoSpaceDN w:val="0"/>
            <w:ind w:hanging="640"/>
            <w:divId w:val="22677754"/>
            <w:rPr>
              <w:rFonts w:eastAsia="Times New Roman"/>
            </w:rPr>
          </w:pPr>
          <w:r>
            <w:rPr>
              <w:rFonts w:eastAsia="Times New Roman"/>
            </w:rPr>
            <w:t>271.</w:t>
          </w:r>
          <w:r>
            <w:rPr>
              <w:rFonts w:eastAsia="Times New Roman"/>
            </w:rPr>
            <w:tab/>
          </w:r>
          <w:proofErr w:type="spellStart"/>
          <w:r>
            <w:rPr>
              <w:rFonts w:eastAsia="Times New Roman"/>
            </w:rPr>
            <w:t>Shkoporov</w:t>
          </w:r>
          <w:proofErr w:type="spellEnd"/>
          <w:r>
            <w:rPr>
              <w:rFonts w:eastAsia="Times New Roman"/>
            </w:rPr>
            <w:t xml:space="preserve">, A. N. </w:t>
          </w:r>
          <w:r>
            <w:rPr>
              <w:rFonts w:eastAsia="Times New Roman"/>
              <w:i/>
              <w:iCs/>
            </w:rPr>
            <w:t>et al.</w:t>
          </w:r>
          <w:r>
            <w:rPr>
              <w:rFonts w:eastAsia="Times New Roman"/>
            </w:rPr>
            <w:t xml:space="preserve"> The Human Gut </w:t>
          </w:r>
          <w:proofErr w:type="spellStart"/>
          <w:r>
            <w:rPr>
              <w:rFonts w:eastAsia="Times New Roman"/>
            </w:rPr>
            <w:t>Virome</w:t>
          </w:r>
          <w:proofErr w:type="spellEnd"/>
          <w:r>
            <w:rPr>
              <w:rFonts w:eastAsia="Times New Roman"/>
            </w:rPr>
            <w:t xml:space="preserve"> Is Highly Diverse, Stable, and Individual Specific. </w:t>
          </w:r>
          <w:r>
            <w:rPr>
              <w:rFonts w:eastAsia="Times New Roman"/>
              <w:i/>
              <w:iCs/>
            </w:rPr>
            <w:t>Cell Host and Microbe</w:t>
          </w:r>
          <w:r>
            <w:rPr>
              <w:rFonts w:eastAsia="Times New Roman"/>
            </w:rPr>
            <w:t xml:space="preserve"> </w:t>
          </w:r>
          <w:r>
            <w:rPr>
              <w:rFonts w:eastAsia="Times New Roman"/>
              <w:b/>
              <w:bCs/>
            </w:rPr>
            <w:t>26</w:t>
          </w:r>
          <w:r>
            <w:rPr>
              <w:rFonts w:eastAsia="Times New Roman"/>
            </w:rPr>
            <w:t>, 527-541.e5 (2019).</w:t>
          </w:r>
        </w:p>
        <w:p w14:paraId="20E1B488" w14:textId="77777777" w:rsidR="003204EA" w:rsidRDefault="003204EA">
          <w:pPr>
            <w:autoSpaceDE w:val="0"/>
            <w:autoSpaceDN w:val="0"/>
            <w:ind w:hanging="640"/>
            <w:divId w:val="1840846754"/>
            <w:rPr>
              <w:rFonts w:eastAsia="Times New Roman"/>
            </w:rPr>
          </w:pPr>
          <w:r>
            <w:rPr>
              <w:rFonts w:eastAsia="Times New Roman"/>
            </w:rPr>
            <w:t>272.</w:t>
          </w:r>
          <w:r>
            <w:rPr>
              <w:rFonts w:eastAsia="Times New Roman"/>
            </w:rPr>
            <w:tab/>
          </w:r>
          <w:proofErr w:type="spellStart"/>
          <w:r>
            <w:rPr>
              <w:rFonts w:eastAsia="Times New Roman"/>
            </w:rPr>
            <w:t>Pannaraj</w:t>
          </w:r>
          <w:proofErr w:type="spellEnd"/>
          <w:r>
            <w:rPr>
              <w:rFonts w:eastAsia="Times New Roman"/>
            </w:rPr>
            <w:t xml:space="preserve">, P. S. </w:t>
          </w:r>
          <w:r>
            <w:rPr>
              <w:rFonts w:eastAsia="Times New Roman"/>
              <w:i/>
              <w:iCs/>
            </w:rPr>
            <w:t>et al.</w:t>
          </w:r>
          <w:r>
            <w:rPr>
              <w:rFonts w:eastAsia="Times New Roman"/>
            </w:rPr>
            <w:t xml:space="preserve"> Shared and distinct features of human milk and infant stool </w:t>
          </w:r>
          <w:proofErr w:type="spellStart"/>
          <w:r>
            <w:rPr>
              <w:rFonts w:eastAsia="Times New Roman"/>
            </w:rPr>
            <w:t>viromes</w:t>
          </w:r>
          <w:proofErr w:type="spellEnd"/>
          <w:r>
            <w:rPr>
              <w:rFonts w:eastAsia="Times New Roman"/>
            </w:rPr>
            <w:t xml:space="preserve">. </w:t>
          </w:r>
          <w:r>
            <w:rPr>
              <w:rFonts w:eastAsia="Times New Roman"/>
              <w:i/>
              <w:iCs/>
            </w:rPr>
            <w:t>Frontiers in Microbiology</w:t>
          </w:r>
          <w:r>
            <w:rPr>
              <w:rFonts w:eastAsia="Times New Roman"/>
            </w:rPr>
            <w:t xml:space="preserve"> </w:t>
          </w:r>
          <w:r>
            <w:rPr>
              <w:rFonts w:eastAsia="Times New Roman"/>
              <w:b/>
              <w:bCs/>
            </w:rPr>
            <w:t>9</w:t>
          </w:r>
          <w:r>
            <w:rPr>
              <w:rFonts w:eastAsia="Times New Roman"/>
            </w:rPr>
            <w:t>, 1–13 (2018).</w:t>
          </w:r>
        </w:p>
        <w:p w14:paraId="0DD790A3" w14:textId="77777777" w:rsidR="003204EA" w:rsidRDefault="003204EA">
          <w:pPr>
            <w:autoSpaceDE w:val="0"/>
            <w:autoSpaceDN w:val="0"/>
            <w:ind w:hanging="640"/>
            <w:divId w:val="762261320"/>
            <w:rPr>
              <w:rFonts w:eastAsia="Times New Roman"/>
            </w:rPr>
          </w:pPr>
          <w:r>
            <w:rPr>
              <w:rFonts w:eastAsia="Times New Roman"/>
            </w:rPr>
            <w:t>273.</w:t>
          </w:r>
          <w:r>
            <w:rPr>
              <w:rFonts w:eastAsia="Times New Roman"/>
            </w:rPr>
            <w:tab/>
            <w:t xml:space="preserve">John, S. G. </w:t>
          </w:r>
          <w:r>
            <w:rPr>
              <w:rFonts w:eastAsia="Times New Roman"/>
              <w:i/>
              <w:iCs/>
            </w:rPr>
            <w:t>et al.</w:t>
          </w:r>
          <w:r>
            <w:rPr>
              <w:rFonts w:eastAsia="Times New Roman"/>
            </w:rPr>
            <w:t xml:space="preserve"> A simple and efficient method for concentration of ocean viruses by chemical flocculation. </w:t>
          </w:r>
          <w:r>
            <w:rPr>
              <w:rFonts w:eastAsia="Times New Roman"/>
              <w:i/>
              <w:iCs/>
            </w:rPr>
            <w:t>Environmental Microbiology Reports</w:t>
          </w:r>
          <w:r>
            <w:rPr>
              <w:rFonts w:eastAsia="Times New Roman"/>
            </w:rPr>
            <w:t xml:space="preserve"> </w:t>
          </w:r>
          <w:r>
            <w:rPr>
              <w:rFonts w:eastAsia="Times New Roman"/>
              <w:b/>
              <w:bCs/>
            </w:rPr>
            <w:t>3</w:t>
          </w:r>
          <w:r>
            <w:rPr>
              <w:rFonts w:eastAsia="Times New Roman"/>
            </w:rPr>
            <w:t>, 195–202 (2011).</w:t>
          </w:r>
        </w:p>
        <w:p w14:paraId="21D47EC7" w14:textId="77777777" w:rsidR="003204EA" w:rsidRDefault="003204EA">
          <w:pPr>
            <w:autoSpaceDE w:val="0"/>
            <w:autoSpaceDN w:val="0"/>
            <w:ind w:hanging="640"/>
            <w:divId w:val="1813207467"/>
            <w:rPr>
              <w:rFonts w:eastAsia="Times New Roman"/>
            </w:rPr>
          </w:pPr>
          <w:r>
            <w:rPr>
              <w:rFonts w:eastAsia="Times New Roman"/>
            </w:rPr>
            <w:t>274.</w:t>
          </w:r>
          <w:r>
            <w:rPr>
              <w:rFonts w:eastAsia="Times New Roman"/>
            </w:rPr>
            <w:tab/>
            <w:t xml:space="preserve">Cui, J., Schlub, T. E. &amp; Holmes, E. C. An Allometric Relationship between the Genome Length and Virion Volume of Viruses. </w:t>
          </w:r>
          <w:r>
            <w:rPr>
              <w:rFonts w:eastAsia="Times New Roman"/>
              <w:i/>
              <w:iCs/>
            </w:rPr>
            <w:t>Journal of Virology</w:t>
          </w:r>
          <w:r>
            <w:rPr>
              <w:rFonts w:eastAsia="Times New Roman"/>
            </w:rPr>
            <w:t xml:space="preserve"> </w:t>
          </w:r>
          <w:r>
            <w:rPr>
              <w:rFonts w:eastAsia="Times New Roman"/>
              <w:b/>
              <w:bCs/>
            </w:rPr>
            <w:t>88</w:t>
          </w:r>
          <w:r>
            <w:rPr>
              <w:rFonts w:eastAsia="Times New Roman"/>
            </w:rPr>
            <w:t>, 6403–6410 (2014).</w:t>
          </w:r>
        </w:p>
        <w:p w14:paraId="70106FA8" w14:textId="77777777" w:rsidR="003204EA" w:rsidRDefault="003204EA">
          <w:pPr>
            <w:autoSpaceDE w:val="0"/>
            <w:autoSpaceDN w:val="0"/>
            <w:ind w:hanging="640"/>
            <w:divId w:val="707266633"/>
            <w:rPr>
              <w:rFonts w:eastAsia="Times New Roman"/>
            </w:rPr>
          </w:pPr>
          <w:r>
            <w:rPr>
              <w:rFonts w:eastAsia="Times New Roman"/>
            </w:rPr>
            <w:t>275.</w:t>
          </w:r>
          <w:r>
            <w:rPr>
              <w:rFonts w:eastAsia="Times New Roman"/>
            </w:rPr>
            <w:tab/>
            <w:t xml:space="preserve">Chaudhari, H. v., Inamdar, M. M. &amp; </w:t>
          </w:r>
          <w:proofErr w:type="spellStart"/>
          <w:r>
            <w:rPr>
              <w:rFonts w:eastAsia="Times New Roman"/>
            </w:rPr>
            <w:t>Kondabagil</w:t>
          </w:r>
          <w:proofErr w:type="spellEnd"/>
          <w:r>
            <w:rPr>
              <w:rFonts w:eastAsia="Times New Roman"/>
            </w:rPr>
            <w:t xml:space="preserve">, K. Scaling relation between genome length and particle size of viruses provides insights into viral life history. </w:t>
          </w:r>
          <w:proofErr w:type="spellStart"/>
          <w:r>
            <w:rPr>
              <w:rFonts w:eastAsia="Times New Roman"/>
              <w:i/>
              <w:iCs/>
            </w:rPr>
            <w:t>iScience</w:t>
          </w:r>
          <w:proofErr w:type="spellEnd"/>
          <w:r>
            <w:rPr>
              <w:rFonts w:eastAsia="Times New Roman"/>
            </w:rPr>
            <w:t xml:space="preserve"> </w:t>
          </w:r>
          <w:r>
            <w:rPr>
              <w:rFonts w:eastAsia="Times New Roman"/>
              <w:b/>
              <w:bCs/>
            </w:rPr>
            <w:t>24</w:t>
          </w:r>
          <w:r>
            <w:rPr>
              <w:rFonts w:eastAsia="Times New Roman"/>
            </w:rPr>
            <w:t>, 102452 (2021).</w:t>
          </w:r>
        </w:p>
        <w:p w14:paraId="4198784B" w14:textId="77777777" w:rsidR="003204EA" w:rsidRDefault="003204EA">
          <w:pPr>
            <w:autoSpaceDE w:val="0"/>
            <w:autoSpaceDN w:val="0"/>
            <w:ind w:hanging="640"/>
            <w:divId w:val="1797799584"/>
            <w:rPr>
              <w:rFonts w:eastAsia="Times New Roman"/>
            </w:rPr>
          </w:pPr>
          <w:r>
            <w:rPr>
              <w:rFonts w:eastAsia="Times New Roman"/>
            </w:rPr>
            <w:t>276.</w:t>
          </w:r>
          <w:r>
            <w:rPr>
              <w:rFonts w:eastAsia="Times New Roman"/>
            </w:rPr>
            <w:tab/>
            <w:t xml:space="preserve">Michalski, A., </w:t>
          </w:r>
          <w:proofErr w:type="spellStart"/>
          <w:r>
            <w:rPr>
              <w:rFonts w:eastAsia="Times New Roman"/>
            </w:rPr>
            <w:t>Neuhauser</w:t>
          </w:r>
          <w:proofErr w:type="spellEnd"/>
          <w:r>
            <w:rPr>
              <w:rFonts w:eastAsia="Times New Roman"/>
            </w:rPr>
            <w:t xml:space="preserve">, N., Cox, J. &amp; Mann, M. A systematic investigation into the nature of tryptic HCD spectra. </w:t>
          </w:r>
          <w:r>
            <w:rPr>
              <w:rFonts w:eastAsia="Times New Roman"/>
              <w:i/>
              <w:iCs/>
            </w:rPr>
            <w:t>Journal of Proteome Research</w:t>
          </w:r>
          <w:r>
            <w:rPr>
              <w:rFonts w:eastAsia="Times New Roman"/>
            </w:rPr>
            <w:t xml:space="preserve"> </w:t>
          </w:r>
          <w:r>
            <w:rPr>
              <w:rFonts w:eastAsia="Times New Roman"/>
              <w:b/>
              <w:bCs/>
            </w:rPr>
            <w:t>11</w:t>
          </w:r>
          <w:r>
            <w:rPr>
              <w:rFonts w:eastAsia="Times New Roman"/>
            </w:rPr>
            <w:t>, 5479–5491 (2012).</w:t>
          </w:r>
        </w:p>
        <w:p w14:paraId="114B9D41" w14:textId="77777777" w:rsidR="003204EA" w:rsidRDefault="003204EA">
          <w:pPr>
            <w:autoSpaceDE w:val="0"/>
            <w:autoSpaceDN w:val="0"/>
            <w:ind w:hanging="640"/>
            <w:divId w:val="137693242"/>
            <w:rPr>
              <w:rFonts w:eastAsia="Times New Roman"/>
            </w:rPr>
          </w:pPr>
          <w:r>
            <w:rPr>
              <w:rFonts w:eastAsia="Times New Roman"/>
            </w:rPr>
            <w:t>277.</w:t>
          </w:r>
          <w:r>
            <w:rPr>
              <w:rFonts w:eastAsia="Times New Roman"/>
            </w:rPr>
            <w:tab/>
            <w:t xml:space="preserve">Hong, S. H., Kwon, Y. C. &amp; Jewett, M. C. Non-standard amino acid incorporation into proteins using Escherichia coli cell-free protein synthesis. </w:t>
          </w:r>
          <w:r>
            <w:rPr>
              <w:rFonts w:eastAsia="Times New Roman"/>
              <w:i/>
              <w:iCs/>
            </w:rPr>
            <w:t>Frontiers in Chemistry</w:t>
          </w:r>
          <w:r>
            <w:rPr>
              <w:rFonts w:eastAsia="Times New Roman"/>
            </w:rPr>
            <w:t xml:space="preserve"> </w:t>
          </w:r>
          <w:r>
            <w:rPr>
              <w:rFonts w:eastAsia="Times New Roman"/>
              <w:b/>
              <w:bCs/>
            </w:rPr>
            <w:t>2</w:t>
          </w:r>
          <w:r>
            <w:rPr>
              <w:rFonts w:eastAsia="Times New Roman"/>
            </w:rPr>
            <w:t>, 1–7 (2014).</w:t>
          </w:r>
        </w:p>
        <w:p w14:paraId="1CDC8F72" w14:textId="77777777" w:rsidR="003204EA" w:rsidRDefault="003204EA">
          <w:pPr>
            <w:autoSpaceDE w:val="0"/>
            <w:autoSpaceDN w:val="0"/>
            <w:ind w:hanging="640"/>
            <w:divId w:val="327297174"/>
            <w:rPr>
              <w:rFonts w:eastAsia="Times New Roman"/>
            </w:rPr>
          </w:pPr>
          <w:r>
            <w:rPr>
              <w:rFonts w:eastAsia="Times New Roman"/>
            </w:rPr>
            <w:t>278.</w:t>
          </w:r>
          <w:r>
            <w:rPr>
              <w:rFonts w:eastAsia="Times New Roman"/>
            </w:rPr>
            <w:tab/>
            <w:t xml:space="preserve">Doug Hyatt, </w:t>
          </w:r>
          <w:proofErr w:type="spellStart"/>
          <w:r>
            <w:rPr>
              <w:rFonts w:eastAsia="Times New Roman"/>
            </w:rPr>
            <w:t>Gwo</w:t>
          </w:r>
          <w:proofErr w:type="spellEnd"/>
          <w:r>
            <w:rPr>
              <w:rFonts w:eastAsia="Times New Roman"/>
            </w:rPr>
            <w:t xml:space="preserve">-Liang Chen, Philip F </w:t>
          </w:r>
          <w:proofErr w:type="spellStart"/>
          <w:r>
            <w:rPr>
              <w:rFonts w:eastAsia="Times New Roman"/>
            </w:rPr>
            <w:t>LoCascio</w:t>
          </w:r>
          <w:proofErr w:type="spellEnd"/>
          <w:r>
            <w:rPr>
              <w:rFonts w:eastAsia="Times New Roman"/>
            </w:rPr>
            <w:t xml:space="preserve">, Miriam L Land, , Frank W Larimer, L. J. H. Integrated nr Database in Protein Annotation System and Its Localization. </w:t>
          </w:r>
          <w:r>
            <w:rPr>
              <w:rFonts w:eastAsia="Times New Roman"/>
              <w:i/>
              <w:iCs/>
            </w:rPr>
            <w:t>Nature Communications</w:t>
          </w:r>
          <w:r>
            <w:rPr>
              <w:rFonts w:eastAsia="Times New Roman"/>
            </w:rPr>
            <w:t xml:space="preserve"> </w:t>
          </w:r>
          <w:r>
            <w:rPr>
              <w:rFonts w:eastAsia="Times New Roman"/>
              <w:b/>
              <w:bCs/>
            </w:rPr>
            <w:t>6</w:t>
          </w:r>
          <w:r>
            <w:rPr>
              <w:rFonts w:eastAsia="Times New Roman"/>
            </w:rPr>
            <w:t>, 1–8 (2010).</w:t>
          </w:r>
        </w:p>
        <w:p w14:paraId="5477D12B" w14:textId="77777777" w:rsidR="003204EA" w:rsidRDefault="003204EA">
          <w:pPr>
            <w:autoSpaceDE w:val="0"/>
            <w:autoSpaceDN w:val="0"/>
            <w:ind w:hanging="640"/>
            <w:divId w:val="334303759"/>
            <w:rPr>
              <w:rFonts w:eastAsia="Times New Roman"/>
            </w:rPr>
          </w:pPr>
          <w:r>
            <w:rPr>
              <w:rFonts w:eastAsia="Times New Roman"/>
            </w:rPr>
            <w:t>279.</w:t>
          </w:r>
          <w:r>
            <w:rPr>
              <w:rFonts w:eastAsia="Times New Roman"/>
            </w:rPr>
            <w:tab/>
          </w:r>
          <w:proofErr w:type="spellStart"/>
          <w:r>
            <w:rPr>
              <w:rFonts w:eastAsia="Times New Roman"/>
            </w:rPr>
            <w:t>Söding</w:t>
          </w:r>
          <w:proofErr w:type="spellEnd"/>
          <w:r>
            <w:rPr>
              <w:rFonts w:eastAsia="Times New Roman"/>
            </w:rPr>
            <w:t xml:space="preserve">, J. Protein homology detection by HMM-HMM comparison. </w:t>
          </w:r>
          <w:r>
            <w:rPr>
              <w:rFonts w:eastAsia="Times New Roman"/>
              <w:i/>
              <w:iCs/>
            </w:rPr>
            <w:t>Bioinformatics</w:t>
          </w:r>
          <w:r>
            <w:rPr>
              <w:rFonts w:eastAsia="Times New Roman"/>
            </w:rPr>
            <w:t xml:space="preserve"> </w:t>
          </w:r>
          <w:r>
            <w:rPr>
              <w:rFonts w:eastAsia="Times New Roman"/>
              <w:b/>
              <w:bCs/>
            </w:rPr>
            <w:t>21</w:t>
          </w:r>
          <w:r>
            <w:rPr>
              <w:rFonts w:eastAsia="Times New Roman"/>
            </w:rPr>
            <w:t>, 951–960 (2005).</w:t>
          </w:r>
        </w:p>
        <w:p w14:paraId="13A046C6" w14:textId="77777777" w:rsidR="003204EA" w:rsidRDefault="003204EA">
          <w:pPr>
            <w:autoSpaceDE w:val="0"/>
            <w:autoSpaceDN w:val="0"/>
            <w:ind w:hanging="640"/>
            <w:divId w:val="1671563159"/>
            <w:rPr>
              <w:rFonts w:eastAsia="Times New Roman"/>
            </w:rPr>
          </w:pPr>
          <w:r>
            <w:rPr>
              <w:rFonts w:eastAsia="Times New Roman"/>
            </w:rPr>
            <w:t>280.</w:t>
          </w:r>
          <w:r>
            <w:rPr>
              <w:rFonts w:eastAsia="Times New Roman"/>
            </w:rPr>
            <w:tab/>
            <w:t xml:space="preserve">Zimmermann, L. </w:t>
          </w:r>
          <w:r>
            <w:rPr>
              <w:rFonts w:eastAsia="Times New Roman"/>
              <w:i/>
              <w:iCs/>
            </w:rPr>
            <w:t>et al.</w:t>
          </w:r>
          <w:r>
            <w:rPr>
              <w:rFonts w:eastAsia="Times New Roman"/>
            </w:rPr>
            <w:t xml:space="preserve"> A Completely Reimplemented MPI Bioinformatics Toolkit with a New </w:t>
          </w:r>
          <w:proofErr w:type="spellStart"/>
          <w:r>
            <w:rPr>
              <w:rFonts w:eastAsia="Times New Roman"/>
            </w:rPr>
            <w:t>HHpred</w:t>
          </w:r>
          <w:proofErr w:type="spellEnd"/>
          <w:r>
            <w:rPr>
              <w:rFonts w:eastAsia="Times New Roman"/>
            </w:rPr>
            <w:t xml:space="preserve"> Server at its Core. </w:t>
          </w:r>
          <w:r>
            <w:rPr>
              <w:rFonts w:eastAsia="Times New Roman"/>
              <w:i/>
              <w:iCs/>
            </w:rPr>
            <w:t>Journal of Molecular Biology</w:t>
          </w:r>
          <w:r>
            <w:rPr>
              <w:rFonts w:eastAsia="Times New Roman"/>
            </w:rPr>
            <w:t xml:space="preserve"> </w:t>
          </w:r>
          <w:r>
            <w:rPr>
              <w:rFonts w:eastAsia="Times New Roman"/>
              <w:b/>
              <w:bCs/>
            </w:rPr>
            <w:t>430</w:t>
          </w:r>
          <w:r>
            <w:rPr>
              <w:rFonts w:eastAsia="Times New Roman"/>
            </w:rPr>
            <w:t>, 2237–2243 (2018).</w:t>
          </w:r>
        </w:p>
        <w:p w14:paraId="06C7DFD7" w14:textId="77777777" w:rsidR="003204EA" w:rsidRDefault="003204EA">
          <w:pPr>
            <w:autoSpaceDE w:val="0"/>
            <w:autoSpaceDN w:val="0"/>
            <w:ind w:hanging="640"/>
            <w:divId w:val="1146632404"/>
            <w:rPr>
              <w:rFonts w:eastAsia="Times New Roman"/>
            </w:rPr>
          </w:pPr>
          <w:r>
            <w:rPr>
              <w:rFonts w:eastAsia="Times New Roman"/>
            </w:rPr>
            <w:t>281.</w:t>
          </w:r>
          <w:r>
            <w:rPr>
              <w:rFonts w:eastAsia="Times New Roman"/>
            </w:rPr>
            <w:tab/>
            <w:t xml:space="preserve">Kelley, L. A., </w:t>
          </w:r>
          <w:proofErr w:type="spellStart"/>
          <w:r>
            <w:rPr>
              <w:rFonts w:eastAsia="Times New Roman"/>
            </w:rPr>
            <w:t>Mezulis</w:t>
          </w:r>
          <w:proofErr w:type="spellEnd"/>
          <w:r>
            <w:rPr>
              <w:rFonts w:eastAsia="Times New Roman"/>
            </w:rPr>
            <w:t xml:space="preserve">, S., Yates, C. M., Wass, M. N. &amp; Sternberg, M. J. </w:t>
          </w:r>
          <w:proofErr w:type="spellStart"/>
          <w:r>
            <w:rPr>
              <w:rFonts w:eastAsia="Times New Roman"/>
            </w:rPr>
            <w:t>Trabajo</w:t>
          </w:r>
          <w:proofErr w:type="spellEnd"/>
          <w:r>
            <w:rPr>
              <w:rFonts w:eastAsia="Times New Roman"/>
            </w:rPr>
            <w:t xml:space="preserve"> </w:t>
          </w:r>
          <w:proofErr w:type="spellStart"/>
          <w:r>
            <w:rPr>
              <w:rFonts w:eastAsia="Times New Roman"/>
            </w:rPr>
            <w:t>práctico</w:t>
          </w:r>
          <w:proofErr w:type="spellEnd"/>
          <w:r>
            <w:rPr>
              <w:rFonts w:eastAsia="Times New Roman"/>
            </w:rPr>
            <w:t xml:space="preserve"> N</w:t>
          </w:r>
          <w:r>
            <w:rPr>
              <w:rFonts w:eastAsia="Times New Roman"/>
              <w:vertAlign w:val="superscript"/>
            </w:rPr>
            <w:t>o</w:t>
          </w:r>
          <w:r>
            <w:rPr>
              <w:rFonts w:eastAsia="Times New Roman"/>
            </w:rPr>
            <w:t xml:space="preserve"> 13 . </w:t>
          </w:r>
          <w:proofErr w:type="spellStart"/>
          <w:r>
            <w:rPr>
              <w:rFonts w:eastAsia="Times New Roman"/>
            </w:rPr>
            <w:t>Varianzas</w:t>
          </w:r>
          <w:proofErr w:type="spellEnd"/>
          <w:r>
            <w:rPr>
              <w:rFonts w:eastAsia="Times New Roman"/>
            </w:rPr>
            <w:t xml:space="preserve"> </w:t>
          </w:r>
          <w:proofErr w:type="spellStart"/>
          <w:r>
            <w:rPr>
              <w:rFonts w:eastAsia="Times New Roman"/>
            </w:rPr>
            <w:t>en</w:t>
          </w:r>
          <w:proofErr w:type="spellEnd"/>
          <w:r>
            <w:rPr>
              <w:rFonts w:eastAsia="Times New Roman"/>
            </w:rPr>
            <w:t xml:space="preserve"> </w:t>
          </w:r>
          <w:proofErr w:type="spellStart"/>
          <w:r>
            <w:rPr>
              <w:rFonts w:eastAsia="Times New Roman"/>
            </w:rPr>
            <w:t>función</w:t>
          </w:r>
          <w:proofErr w:type="spellEnd"/>
          <w:r>
            <w:rPr>
              <w:rFonts w:eastAsia="Times New Roman"/>
            </w:rPr>
            <w:t xml:space="preserve"> de variable </w:t>
          </w:r>
          <w:proofErr w:type="spellStart"/>
          <w:r>
            <w:rPr>
              <w:rFonts w:eastAsia="Times New Roman"/>
            </w:rPr>
            <w:t>independiente</w:t>
          </w:r>
          <w:proofErr w:type="spellEnd"/>
          <w:r>
            <w:rPr>
              <w:rFonts w:eastAsia="Times New Roman"/>
            </w:rPr>
            <w:t xml:space="preserve"> </w:t>
          </w:r>
          <w:proofErr w:type="spellStart"/>
          <w:r>
            <w:rPr>
              <w:rFonts w:eastAsia="Times New Roman"/>
            </w:rPr>
            <w:t>categórica</w:t>
          </w:r>
          <w:proofErr w:type="spellEnd"/>
          <w:r>
            <w:rPr>
              <w:rFonts w:eastAsia="Times New Roman"/>
            </w:rPr>
            <w:t xml:space="preserve">. </w:t>
          </w:r>
          <w:r>
            <w:rPr>
              <w:rFonts w:eastAsia="Times New Roman"/>
              <w:i/>
              <w:iCs/>
            </w:rPr>
            <w:t>Nature Protocols</w:t>
          </w:r>
          <w:r>
            <w:rPr>
              <w:rFonts w:eastAsia="Times New Roman"/>
            </w:rPr>
            <w:t xml:space="preserve"> </w:t>
          </w:r>
          <w:r>
            <w:rPr>
              <w:rFonts w:eastAsia="Times New Roman"/>
              <w:b/>
              <w:bCs/>
            </w:rPr>
            <w:t>10</w:t>
          </w:r>
          <w:r>
            <w:rPr>
              <w:rFonts w:eastAsia="Times New Roman"/>
            </w:rPr>
            <w:t>, 845–858 (2016).</w:t>
          </w:r>
        </w:p>
        <w:p w14:paraId="3CE300A4" w14:textId="77777777" w:rsidR="003204EA" w:rsidRDefault="003204EA">
          <w:pPr>
            <w:autoSpaceDE w:val="0"/>
            <w:autoSpaceDN w:val="0"/>
            <w:ind w:hanging="640"/>
            <w:divId w:val="1111122915"/>
            <w:rPr>
              <w:rFonts w:eastAsia="Times New Roman"/>
            </w:rPr>
          </w:pPr>
          <w:r>
            <w:rPr>
              <w:rFonts w:eastAsia="Times New Roman"/>
            </w:rPr>
            <w:t>282.</w:t>
          </w:r>
          <w:r>
            <w:rPr>
              <w:rFonts w:eastAsia="Times New Roman"/>
            </w:rPr>
            <w:tab/>
            <w:t xml:space="preserve">Chan, P. P. &amp; Lowe, T. M. Structural and Functional Annotation of Eukaryotic Genomes with </w:t>
          </w:r>
          <w:proofErr w:type="spellStart"/>
          <w:r>
            <w:rPr>
              <w:rFonts w:eastAsia="Times New Roman"/>
            </w:rPr>
            <w:t>GenSAS</w:t>
          </w:r>
          <w:proofErr w:type="spellEnd"/>
          <w:r>
            <w:rPr>
              <w:rFonts w:eastAsia="Times New Roman"/>
            </w:rPr>
            <w:t xml:space="preserve"> in Gene Prediction - Methods and Protocols. </w:t>
          </w:r>
          <w:r>
            <w:rPr>
              <w:rFonts w:eastAsia="Times New Roman"/>
              <w:i/>
              <w:iCs/>
            </w:rPr>
            <w:t>Gene Prediction: Methods and Protocols, Methods in Molecular Biology</w:t>
          </w:r>
          <w:r>
            <w:rPr>
              <w:rFonts w:eastAsia="Times New Roman"/>
            </w:rPr>
            <w:t xml:space="preserve"> </w:t>
          </w:r>
          <w:r>
            <w:rPr>
              <w:rFonts w:eastAsia="Times New Roman"/>
              <w:b/>
              <w:bCs/>
            </w:rPr>
            <w:t>1962</w:t>
          </w:r>
          <w:r>
            <w:rPr>
              <w:rFonts w:eastAsia="Times New Roman"/>
            </w:rPr>
            <w:t>, 1–29 (2019).</w:t>
          </w:r>
        </w:p>
        <w:p w14:paraId="6B9C5CA2" w14:textId="77777777" w:rsidR="003204EA" w:rsidRDefault="003204EA">
          <w:pPr>
            <w:autoSpaceDE w:val="0"/>
            <w:autoSpaceDN w:val="0"/>
            <w:ind w:hanging="640"/>
            <w:divId w:val="834566938"/>
            <w:rPr>
              <w:rFonts w:eastAsia="Times New Roman"/>
            </w:rPr>
          </w:pPr>
          <w:r>
            <w:rPr>
              <w:rFonts w:eastAsia="Times New Roman"/>
            </w:rPr>
            <w:t>283.</w:t>
          </w:r>
          <w:r>
            <w:rPr>
              <w:rFonts w:eastAsia="Times New Roman"/>
            </w:rPr>
            <w:tab/>
            <w:t xml:space="preserve">Brown, C. T., Olm, M. R., Thomas, B. C. &amp; Banfield, J. F. Measurement of bacterial replication rates in microbial communities. </w:t>
          </w:r>
          <w:r>
            <w:rPr>
              <w:rFonts w:eastAsia="Times New Roman"/>
              <w:i/>
              <w:iCs/>
            </w:rPr>
            <w:t>Nature Biotechnology</w:t>
          </w:r>
          <w:r>
            <w:rPr>
              <w:rFonts w:eastAsia="Times New Roman"/>
            </w:rPr>
            <w:t xml:space="preserve"> </w:t>
          </w:r>
          <w:r>
            <w:rPr>
              <w:rFonts w:eastAsia="Times New Roman"/>
              <w:b/>
              <w:bCs/>
            </w:rPr>
            <w:t>34</w:t>
          </w:r>
          <w:r>
            <w:rPr>
              <w:rFonts w:eastAsia="Times New Roman"/>
            </w:rPr>
            <w:t>, 1256–1263 (2016).</w:t>
          </w:r>
        </w:p>
        <w:p w14:paraId="689A9083" w14:textId="77777777" w:rsidR="003204EA" w:rsidRDefault="003204EA">
          <w:pPr>
            <w:autoSpaceDE w:val="0"/>
            <w:autoSpaceDN w:val="0"/>
            <w:ind w:hanging="640"/>
            <w:divId w:val="1282344112"/>
            <w:rPr>
              <w:rFonts w:eastAsia="Times New Roman"/>
            </w:rPr>
          </w:pPr>
          <w:r>
            <w:rPr>
              <w:rFonts w:eastAsia="Times New Roman"/>
            </w:rPr>
            <w:t>284.</w:t>
          </w:r>
          <w:r>
            <w:rPr>
              <w:rFonts w:eastAsia="Times New Roman"/>
            </w:rPr>
            <w:tab/>
            <w:t xml:space="preserve">Chen, L. X., </w:t>
          </w:r>
          <w:proofErr w:type="spellStart"/>
          <w:r>
            <w:rPr>
              <w:rFonts w:eastAsia="Times New Roman"/>
            </w:rPr>
            <w:t>Anantharaman</w:t>
          </w:r>
          <w:proofErr w:type="spellEnd"/>
          <w:r>
            <w:rPr>
              <w:rFonts w:eastAsia="Times New Roman"/>
            </w:rPr>
            <w:t xml:space="preserve">, K., </w:t>
          </w:r>
          <w:proofErr w:type="spellStart"/>
          <w:r>
            <w:rPr>
              <w:rFonts w:eastAsia="Times New Roman"/>
            </w:rPr>
            <w:t>Shaiber</w:t>
          </w:r>
          <w:proofErr w:type="spellEnd"/>
          <w:r>
            <w:rPr>
              <w:rFonts w:eastAsia="Times New Roman"/>
            </w:rPr>
            <w:t xml:space="preserve">, A., Murat </w:t>
          </w:r>
          <w:proofErr w:type="spellStart"/>
          <w:r>
            <w:rPr>
              <w:rFonts w:eastAsia="Times New Roman"/>
            </w:rPr>
            <w:t>Eren</w:t>
          </w:r>
          <w:proofErr w:type="spellEnd"/>
          <w:r>
            <w:rPr>
              <w:rFonts w:eastAsia="Times New Roman"/>
            </w:rPr>
            <w:t xml:space="preserve">, A. &amp; Banfield, J. F. Accurate and complete genomes from metagenomes. </w:t>
          </w:r>
          <w:r>
            <w:rPr>
              <w:rFonts w:eastAsia="Times New Roman"/>
              <w:i/>
              <w:iCs/>
            </w:rPr>
            <w:t>Genome Research</w:t>
          </w:r>
          <w:r>
            <w:rPr>
              <w:rFonts w:eastAsia="Times New Roman"/>
            </w:rPr>
            <w:t xml:space="preserve"> </w:t>
          </w:r>
          <w:r>
            <w:rPr>
              <w:rFonts w:eastAsia="Times New Roman"/>
              <w:b/>
              <w:bCs/>
            </w:rPr>
            <w:t>30</w:t>
          </w:r>
          <w:r>
            <w:rPr>
              <w:rFonts w:eastAsia="Times New Roman"/>
            </w:rPr>
            <w:t>, 315–333 (2020).</w:t>
          </w:r>
        </w:p>
        <w:p w14:paraId="0CA6CD88" w14:textId="77777777" w:rsidR="003204EA" w:rsidRDefault="003204EA">
          <w:pPr>
            <w:autoSpaceDE w:val="0"/>
            <w:autoSpaceDN w:val="0"/>
            <w:ind w:hanging="640"/>
            <w:divId w:val="1695494360"/>
            <w:rPr>
              <w:rFonts w:eastAsia="Times New Roman"/>
            </w:rPr>
          </w:pPr>
          <w:r>
            <w:rPr>
              <w:rFonts w:eastAsia="Times New Roman"/>
            </w:rPr>
            <w:t>285.</w:t>
          </w:r>
          <w:r>
            <w:rPr>
              <w:rFonts w:eastAsia="Times New Roman"/>
            </w:rPr>
            <w:tab/>
            <w:t xml:space="preserve">Delannoy-Bruno, O. </w:t>
          </w:r>
          <w:r>
            <w:rPr>
              <w:rFonts w:eastAsia="Times New Roman"/>
              <w:i/>
              <w:iCs/>
            </w:rPr>
            <w:t>et al.</w:t>
          </w:r>
          <w:r>
            <w:rPr>
              <w:rFonts w:eastAsia="Times New Roman"/>
            </w:rPr>
            <w:t xml:space="preserve"> Evaluating microbiome-directed </w:t>
          </w:r>
          <w:proofErr w:type="spellStart"/>
          <w:r>
            <w:rPr>
              <w:rFonts w:eastAsia="Times New Roman"/>
            </w:rPr>
            <w:t>fibre</w:t>
          </w:r>
          <w:proofErr w:type="spellEnd"/>
          <w:r>
            <w:rPr>
              <w:rFonts w:eastAsia="Times New Roman"/>
            </w:rPr>
            <w:t xml:space="preserve"> snacks in gnotobiotic mice and humans. </w:t>
          </w:r>
          <w:r>
            <w:rPr>
              <w:rFonts w:eastAsia="Times New Roman"/>
              <w:i/>
              <w:iCs/>
            </w:rPr>
            <w:t>Nature</w:t>
          </w:r>
          <w:r>
            <w:rPr>
              <w:rFonts w:eastAsia="Times New Roman"/>
            </w:rPr>
            <w:t xml:space="preserve"> </w:t>
          </w:r>
          <w:r>
            <w:rPr>
              <w:rFonts w:eastAsia="Times New Roman"/>
              <w:b/>
              <w:bCs/>
            </w:rPr>
            <w:t>595</w:t>
          </w:r>
          <w:r>
            <w:rPr>
              <w:rFonts w:eastAsia="Times New Roman"/>
            </w:rPr>
            <w:t>, 91–95 (2021).</w:t>
          </w:r>
        </w:p>
        <w:p w14:paraId="76278902" w14:textId="77777777" w:rsidR="003204EA" w:rsidRDefault="003204EA">
          <w:pPr>
            <w:autoSpaceDE w:val="0"/>
            <w:autoSpaceDN w:val="0"/>
            <w:ind w:hanging="640"/>
            <w:divId w:val="1633748547"/>
            <w:rPr>
              <w:rFonts w:eastAsia="Times New Roman"/>
            </w:rPr>
          </w:pPr>
          <w:r>
            <w:rPr>
              <w:rFonts w:eastAsia="Times New Roman"/>
            </w:rPr>
            <w:t>286.</w:t>
          </w:r>
          <w:r>
            <w:rPr>
              <w:rFonts w:eastAsia="Times New Roman"/>
            </w:rPr>
            <w:tab/>
            <w:t xml:space="preserve">West, P. T., Probst, A. J., Grigoriev, I. v., Thomas, B. C. &amp; Banfield, J. F. Genome-reconstruction for eukaryotes from complex natural microbial communities. </w:t>
          </w:r>
          <w:r>
            <w:rPr>
              <w:rFonts w:eastAsia="Times New Roman"/>
              <w:i/>
              <w:iCs/>
            </w:rPr>
            <w:t>Genome Research</w:t>
          </w:r>
          <w:r>
            <w:rPr>
              <w:rFonts w:eastAsia="Times New Roman"/>
            </w:rPr>
            <w:t xml:space="preserve"> </w:t>
          </w:r>
          <w:r>
            <w:rPr>
              <w:rFonts w:eastAsia="Times New Roman"/>
              <w:b/>
              <w:bCs/>
            </w:rPr>
            <w:t>28</w:t>
          </w:r>
          <w:r>
            <w:rPr>
              <w:rFonts w:eastAsia="Times New Roman"/>
            </w:rPr>
            <w:t>, 569–580 (2018).</w:t>
          </w:r>
        </w:p>
        <w:p w14:paraId="2C7B7877" w14:textId="65C0112D" w:rsidR="00310878" w:rsidRPr="00476931" w:rsidRDefault="003204EA" w:rsidP="00343C78">
          <w:pPr>
            <w:pStyle w:val="ListParagraph"/>
            <w:spacing w:line="360" w:lineRule="auto"/>
            <w:ind w:left="158"/>
            <w:jc w:val="both"/>
            <w:rPr>
              <w:rFonts w:ascii="Times New Roman" w:hAnsi="Times New Roman" w:cs="Times New Roman"/>
              <w:color w:val="000000" w:themeColor="text1"/>
              <w:sz w:val="24"/>
              <w:szCs w:val="24"/>
            </w:rPr>
          </w:pPr>
          <w:r>
            <w:rPr>
              <w:rFonts w:eastAsia="Times New Roman"/>
            </w:rPr>
            <w:t> </w:t>
          </w:r>
        </w:p>
      </w:sdtContent>
    </w:sdt>
    <w:p w14:paraId="42A4CDF7" w14:textId="4B7AD6D2" w:rsidR="00B01711" w:rsidRDefault="00B01711">
      <w:pPr>
        <w:spacing w:before="1"/>
        <w:rPr>
          <w:rFonts w:ascii="Times New Roman" w:hAnsi="Times New Roman" w:cs="Times New Roman"/>
          <w:color w:val="000000" w:themeColor="text1"/>
        </w:rPr>
      </w:pPr>
      <w:r>
        <w:rPr>
          <w:rFonts w:ascii="Times New Roman" w:hAnsi="Times New Roman" w:cs="Times New Roman"/>
          <w:color w:val="000000" w:themeColor="text1"/>
        </w:rPr>
        <w:br w:type="page"/>
      </w:r>
    </w:p>
    <w:p w14:paraId="18BEC124" w14:textId="65373290" w:rsidR="001A18E5" w:rsidRDefault="00C80591" w:rsidP="00777333">
      <w:pPr>
        <w:pStyle w:val="Heading1"/>
        <w:numPr>
          <w:ilvl w:val="0"/>
          <w:numId w:val="0"/>
        </w:numPr>
        <w:ind w:left="360"/>
      </w:pPr>
      <w:bookmarkStart w:id="455" w:name="_Toc110250324"/>
      <w:bookmarkStart w:id="456" w:name="_Toc110250581"/>
      <w:bookmarkStart w:id="457" w:name="_Toc110250712"/>
      <w:r>
        <w:t>VITA</w:t>
      </w:r>
      <w:bookmarkEnd w:id="455"/>
      <w:bookmarkEnd w:id="456"/>
      <w:bookmarkEnd w:id="457"/>
    </w:p>
    <w:p w14:paraId="119B9B60" w14:textId="070C2516" w:rsidR="00C80591" w:rsidRDefault="00C80591" w:rsidP="00C80591">
      <w:pPr>
        <w:jc w:val="center"/>
        <w:rPr>
          <w:rFonts w:ascii="Times New Roman" w:hAnsi="Times New Roman" w:cs="Times New Roman"/>
          <w:color w:val="000000" w:themeColor="text1"/>
        </w:rPr>
      </w:pPr>
    </w:p>
    <w:p w14:paraId="6DD5FA0B" w14:textId="77777777" w:rsidR="006B0465" w:rsidRDefault="006B0465" w:rsidP="006B0465">
      <w:pPr>
        <w:pStyle w:val="BodyText"/>
        <w:spacing w:before="173" w:line="360" w:lineRule="auto"/>
        <w:ind w:left="100" w:right="175" w:firstLine="719"/>
      </w:pPr>
      <w:r>
        <w:t xml:space="preserve">Samantha Peters was born in Littleton, Colorado and raised throughout the United States, from the Great Plains of the Midwest to the Atlantic and Pacific coasts.  In 2014, Samantha graduated with a Bachelor of Science degree in Microbiology with a specialization in Infectious Diseases from South Dakota State University in Brookings, SD.  After completing her undergraduate degree, she spent three years working for </w:t>
      </w:r>
      <w:proofErr w:type="spellStart"/>
      <w:r>
        <w:t>SomaLogic</w:t>
      </w:r>
      <w:proofErr w:type="spellEnd"/>
      <w:r>
        <w:t>, Inc. in Boulder, CO designing DNA-based high-affinity protein binding reagents and methodologies with applications in protein biomarker discovery and characterization. In 2017, she began her Ph.D. studies in the Genome Science and Technology program at University of Tennessee-Knoxville, where she completed PhD dissertation work in the Bioanalytical Mass Spectrometry group at Oak Ridge National Laboratory under the supervision of Dr. Robert L. Hettich.</w:t>
      </w:r>
    </w:p>
    <w:p w14:paraId="1C63DAC6" w14:textId="77777777" w:rsidR="00C80591" w:rsidRPr="00476931" w:rsidRDefault="00C80591" w:rsidP="00C80591">
      <w:pPr>
        <w:jc w:val="center"/>
        <w:rPr>
          <w:rFonts w:ascii="Times New Roman" w:hAnsi="Times New Roman" w:cs="Times New Roman"/>
          <w:color w:val="000000" w:themeColor="text1"/>
        </w:rPr>
      </w:pPr>
    </w:p>
    <w:sectPr w:rsidR="00C80591" w:rsidRPr="00476931" w:rsidSect="00040E3C">
      <w:pgSz w:w="12240" w:h="15840"/>
      <w:pgMar w:top="1440" w:right="1800" w:bottom="1872" w:left="1800" w:header="720" w:footer="144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597BDB" w14:textId="77777777" w:rsidR="000B63CB" w:rsidRDefault="000B63CB" w:rsidP="00CF4E09">
      <w:pPr>
        <w:spacing w:line="240" w:lineRule="auto"/>
      </w:pPr>
      <w:r>
        <w:separator/>
      </w:r>
    </w:p>
  </w:endnote>
  <w:endnote w:type="continuationSeparator" w:id="0">
    <w:p w14:paraId="08A98440" w14:textId="77777777" w:rsidR="000B63CB" w:rsidRDefault="000B63CB" w:rsidP="00CF4E09">
      <w:pPr>
        <w:spacing w:line="240" w:lineRule="auto"/>
      </w:pPr>
      <w:r>
        <w:continuationSeparator/>
      </w:r>
    </w:p>
  </w:endnote>
  <w:endnote w:type="continuationNotice" w:id="1">
    <w:p w14:paraId="32E3BF0F" w14:textId="77777777" w:rsidR="000B63CB" w:rsidRDefault="000B63C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charset w:val="00"/>
    <w:family w:val="roman"/>
    <w:pitch w:val="default"/>
  </w:font>
  <w:font w:name="Arial (Body)">
    <w:altName w:val="Arial"/>
    <w:charset w:val="00"/>
    <w:family w:val="roman"/>
    <w:pitch w:val="default"/>
  </w:font>
  <w:font w:name="Arial Narrow">
    <w:panose1 w:val="020B0606020202030204"/>
    <w:charset w:val="00"/>
    <w:family w:val="swiss"/>
    <w:pitch w:val="variable"/>
    <w:sig w:usb0="00000287" w:usb1="00000800" w:usb2="00000000" w:usb3="00000000" w:csb0="0000009F" w:csb1="00000000"/>
  </w:font>
  <w:font w:name="Roboto Light">
    <w:charset w:val="00"/>
    <w:family w:val="auto"/>
    <w:pitch w:val="variable"/>
    <w:sig w:usb0="E00002FF" w:usb1="5000205B" w:usb2="00000020" w:usb3="00000000" w:csb0="0000019F" w:csb1="00000000"/>
  </w:font>
  <w:font w:name="Times New Roman (Body CS)">
    <w:charset w:val="00"/>
    <w:family w:val="roman"/>
    <w:pitch w:val="default"/>
  </w:font>
  <w:font w:name="+mn-ea">
    <w:altName w:val="Cambria"/>
    <w:charset w:val="00"/>
    <w:family w:val="roman"/>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93845311"/>
      <w:docPartObj>
        <w:docPartGallery w:val="Page Numbers (Bottom of Page)"/>
        <w:docPartUnique/>
      </w:docPartObj>
    </w:sdtPr>
    <w:sdtEndPr>
      <w:rPr>
        <w:rStyle w:val="PageNumber"/>
      </w:rPr>
    </w:sdtEndPr>
    <w:sdtContent>
      <w:p w14:paraId="284ECCAF" w14:textId="7F4487CE" w:rsidR="00CF4E09" w:rsidRDefault="00CF4E09" w:rsidP="00C2799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0332F3">
          <w:rPr>
            <w:rStyle w:val="PageNumber"/>
            <w:noProof/>
          </w:rPr>
          <w:t>3</w:t>
        </w:r>
        <w:r>
          <w:rPr>
            <w:rStyle w:val="PageNumber"/>
          </w:rPr>
          <w:fldChar w:fldCharType="end"/>
        </w:r>
      </w:p>
    </w:sdtContent>
  </w:sdt>
  <w:p w14:paraId="710001B7" w14:textId="77777777" w:rsidR="00CF4E09" w:rsidRDefault="00CF4E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16293220"/>
      <w:docPartObj>
        <w:docPartGallery w:val="Page Numbers (Bottom of Page)"/>
        <w:docPartUnique/>
      </w:docPartObj>
    </w:sdtPr>
    <w:sdtEndPr>
      <w:rPr>
        <w:rStyle w:val="PageNumber"/>
      </w:rPr>
    </w:sdtEndPr>
    <w:sdtContent>
      <w:p w14:paraId="3B22E3B5" w14:textId="0C9824D5" w:rsidR="00C27995" w:rsidRDefault="00C27995" w:rsidP="00E1209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sdtContent>
  </w:sdt>
  <w:p w14:paraId="71469083" w14:textId="77777777" w:rsidR="00C27995" w:rsidRDefault="00C279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58B0D" w14:textId="77777777" w:rsidR="004D6D0F" w:rsidRDefault="004D6D0F" w:rsidP="004D6D0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D3D1B" w14:textId="77777777" w:rsidR="000B63CB" w:rsidRDefault="000B63CB" w:rsidP="00CF4E09">
      <w:pPr>
        <w:spacing w:line="240" w:lineRule="auto"/>
      </w:pPr>
      <w:r>
        <w:separator/>
      </w:r>
    </w:p>
  </w:footnote>
  <w:footnote w:type="continuationSeparator" w:id="0">
    <w:p w14:paraId="2DBB86A1" w14:textId="77777777" w:rsidR="000B63CB" w:rsidRDefault="000B63CB" w:rsidP="00CF4E09">
      <w:pPr>
        <w:spacing w:line="240" w:lineRule="auto"/>
      </w:pPr>
      <w:r>
        <w:continuationSeparator/>
      </w:r>
    </w:p>
  </w:footnote>
  <w:footnote w:type="continuationNotice" w:id="1">
    <w:p w14:paraId="45A0F4C9" w14:textId="77777777" w:rsidR="000B63CB" w:rsidRDefault="000B63CB">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D3BEB"/>
    <w:multiLevelType w:val="multilevel"/>
    <w:tmpl w:val="CACA4984"/>
    <w:numStyleLink w:val="111111"/>
  </w:abstractNum>
  <w:abstractNum w:abstractNumId="1" w15:restartNumberingAfterBreak="0">
    <w:nsid w:val="09C62934"/>
    <w:multiLevelType w:val="multilevel"/>
    <w:tmpl w:val="E8CA2BB4"/>
    <w:styleLink w:val="CurrentList3"/>
    <w:lvl w:ilvl="0">
      <w:start w:val="1"/>
      <w:numFmt w:val="decimal"/>
      <w:lvlText w:val="%1"/>
      <w:lvlJc w:val="left"/>
      <w:pPr>
        <w:ind w:left="50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08529E"/>
    <w:multiLevelType w:val="multilevel"/>
    <w:tmpl w:val="850A46E2"/>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3" w15:restartNumberingAfterBreak="0">
    <w:nsid w:val="0C704E61"/>
    <w:multiLevelType w:val="hybridMultilevel"/>
    <w:tmpl w:val="2DC2E33C"/>
    <w:lvl w:ilvl="0" w:tplc="C298E874">
      <w:start w:val="1"/>
      <w:numFmt w:val="bullet"/>
      <w:lvlText w:val="-"/>
      <w:lvlJc w:val="left"/>
      <w:pPr>
        <w:ind w:left="800" w:hanging="360"/>
      </w:pPr>
      <w:rPr>
        <w:rFonts w:ascii="Times New Roman" w:eastAsia="Times New Roman" w:hAnsi="Times New Roman" w:cs="Times New Roman"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4" w15:restartNumberingAfterBreak="0">
    <w:nsid w:val="0D900BC9"/>
    <w:multiLevelType w:val="multilevel"/>
    <w:tmpl w:val="CACA4984"/>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04D603A"/>
    <w:multiLevelType w:val="multilevel"/>
    <w:tmpl w:val="B0B22E9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6030B50"/>
    <w:multiLevelType w:val="multilevel"/>
    <w:tmpl w:val="AF2A697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4617D96"/>
    <w:multiLevelType w:val="multilevel"/>
    <w:tmpl w:val="CACA4984"/>
    <w:numStyleLink w:val="111111"/>
  </w:abstractNum>
  <w:abstractNum w:abstractNumId="8" w15:restartNumberingAfterBreak="0">
    <w:nsid w:val="55166A69"/>
    <w:multiLevelType w:val="multilevel"/>
    <w:tmpl w:val="3476D982"/>
    <w:styleLink w:val="CurrentList2"/>
    <w:lvl w:ilvl="0">
      <w:start w:val="1"/>
      <w:numFmt w:val="decimal"/>
      <w:lvlText w:val="%1"/>
      <w:lvlJc w:val="left"/>
      <w:pPr>
        <w:ind w:left="50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81575E2"/>
    <w:multiLevelType w:val="multilevel"/>
    <w:tmpl w:val="CACA4984"/>
    <w:numStyleLink w:val="111111"/>
  </w:abstractNum>
  <w:abstractNum w:abstractNumId="10" w15:restartNumberingAfterBreak="0">
    <w:nsid w:val="5E00782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F9B09B0"/>
    <w:multiLevelType w:val="multilevel"/>
    <w:tmpl w:val="781A0370"/>
    <w:styleLink w:val="CurrentList1"/>
    <w:lvl w:ilvl="0">
      <w:start w:val="1"/>
      <w:numFmt w:val="decimal"/>
      <w:lvlText w:val="%1."/>
      <w:lvlJc w:val="left"/>
      <w:pPr>
        <w:ind w:left="87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56E41A1"/>
    <w:multiLevelType w:val="hybridMultilevel"/>
    <w:tmpl w:val="700884CA"/>
    <w:lvl w:ilvl="0" w:tplc="A328B7E2">
      <w:start w:val="1"/>
      <w:numFmt w:val="decimal"/>
      <w:pStyle w:val="TOC9"/>
      <w:lvlText w:val="%1.1"/>
      <w:lvlJc w:val="left"/>
      <w:pPr>
        <w:ind w:left="504" w:hanging="346"/>
      </w:pPr>
      <w:rPr>
        <w:rFonts w:hint="default"/>
      </w:rPr>
    </w:lvl>
    <w:lvl w:ilvl="1" w:tplc="04090019" w:tentative="1">
      <w:start w:val="1"/>
      <w:numFmt w:val="lowerLetter"/>
      <w:lvlText w:val="%2."/>
      <w:lvlJc w:val="left"/>
      <w:pPr>
        <w:ind w:left="1598" w:hanging="360"/>
      </w:pPr>
    </w:lvl>
    <w:lvl w:ilvl="2" w:tplc="0409001B" w:tentative="1">
      <w:start w:val="1"/>
      <w:numFmt w:val="lowerRoman"/>
      <w:lvlText w:val="%3."/>
      <w:lvlJc w:val="right"/>
      <w:pPr>
        <w:ind w:left="2318" w:hanging="180"/>
      </w:pPr>
    </w:lvl>
    <w:lvl w:ilvl="3" w:tplc="0409000F" w:tentative="1">
      <w:start w:val="1"/>
      <w:numFmt w:val="decimal"/>
      <w:lvlText w:val="%4."/>
      <w:lvlJc w:val="left"/>
      <w:pPr>
        <w:ind w:left="3038" w:hanging="360"/>
      </w:pPr>
    </w:lvl>
    <w:lvl w:ilvl="4" w:tplc="04090019" w:tentative="1">
      <w:start w:val="1"/>
      <w:numFmt w:val="lowerLetter"/>
      <w:lvlText w:val="%5."/>
      <w:lvlJc w:val="left"/>
      <w:pPr>
        <w:ind w:left="3758" w:hanging="360"/>
      </w:pPr>
    </w:lvl>
    <w:lvl w:ilvl="5" w:tplc="0409001B" w:tentative="1">
      <w:start w:val="1"/>
      <w:numFmt w:val="lowerRoman"/>
      <w:lvlText w:val="%6."/>
      <w:lvlJc w:val="right"/>
      <w:pPr>
        <w:ind w:left="4478" w:hanging="180"/>
      </w:pPr>
    </w:lvl>
    <w:lvl w:ilvl="6" w:tplc="0409000F" w:tentative="1">
      <w:start w:val="1"/>
      <w:numFmt w:val="decimal"/>
      <w:lvlText w:val="%7."/>
      <w:lvlJc w:val="left"/>
      <w:pPr>
        <w:ind w:left="5198" w:hanging="360"/>
      </w:pPr>
    </w:lvl>
    <w:lvl w:ilvl="7" w:tplc="04090019" w:tentative="1">
      <w:start w:val="1"/>
      <w:numFmt w:val="lowerLetter"/>
      <w:lvlText w:val="%8."/>
      <w:lvlJc w:val="left"/>
      <w:pPr>
        <w:ind w:left="5918" w:hanging="360"/>
      </w:pPr>
    </w:lvl>
    <w:lvl w:ilvl="8" w:tplc="0409001B" w:tentative="1">
      <w:start w:val="1"/>
      <w:numFmt w:val="lowerRoman"/>
      <w:lvlText w:val="%9."/>
      <w:lvlJc w:val="right"/>
      <w:pPr>
        <w:ind w:left="6638" w:hanging="180"/>
      </w:pPr>
    </w:lvl>
  </w:abstractNum>
  <w:abstractNum w:abstractNumId="13" w15:restartNumberingAfterBreak="0">
    <w:nsid w:val="7FAB1062"/>
    <w:multiLevelType w:val="hybridMultilevel"/>
    <w:tmpl w:val="6CE61AFE"/>
    <w:lvl w:ilvl="0" w:tplc="71AA0828">
      <w:start w:val="1"/>
      <w:numFmt w:val="none"/>
      <w:pStyle w:val="Caption"/>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0"/>
  </w:num>
  <w:num w:numId="4">
    <w:abstractNumId w:val="9"/>
  </w:num>
  <w:num w:numId="5">
    <w:abstractNumId w:val="12"/>
  </w:num>
  <w:num w:numId="6">
    <w:abstractNumId w:val="13"/>
  </w:num>
  <w:num w:numId="7">
    <w:abstractNumId w:val="11"/>
  </w:num>
  <w:num w:numId="8">
    <w:abstractNumId w:val="8"/>
  </w:num>
  <w:num w:numId="9">
    <w:abstractNumId w:val="1"/>
  </w:num>
  <w:num w:numId="10">
    <w:abstractNumId w:val="5"/>
  </w:num>
  <w:num w:numId="11">
    <w:abstractNumId w:val="6"/>
  </w:num>
  <w:num w:numId="12">
    <w:abstractNumId w:val="10"/>
  </w:num>
  <w:num w:numId="13">
    <w:abstractNumId w:val="2"/>
  </w:num>
  <w:num w:numId="1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4"/>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8E5"/>
    <w:rsid w:val="00001D67"/>
    <w:rsid w:val="00002888"/>
    <w:rsid w:val="00006039"/>
    <w:rsid w:val="00010771"/>
    <w:rsid w:val="000146B7"/>
    <w:rsid w:val="00015F62"/>
    <w:rsid w:val="000173D4"/>
    <w:rsid w:val="00017D01"/>
    <w:rsid w:val="0002174F"/>
    <w:rsid w:val="00022C4E"/>
    <w:rsid w:val="0002488F"/>
    <w:rsid w:val="00024A46"/>
    <w:rsid w:val="00031E8A"/>
    <w:rsid w:val="00032CF2"/>
    <w:rsid w:val="000332F3"/>
    <w:rsid w:val="00033F51"/>
    <w:rsid w:val="0003562F"/>
    <w:rsid w:val="00035D1A"/>
    <w:rsid w:val="00035E9B"/>
    <w:rsid w:val="00036D3B"/>
    <w:rsid w:val="00040E3C"/>
    <w:rsid w:val="00042187"/>
    <w:rsid w:val="000460EE"/>
    <w:rsid w:val="000464A7"/>
    <w:rsid w:val="000467C3"/>
    <w:rsid w:val="000505A9"/>
    <w:rsid w:val="000526D3"/>
    <w:rsid w:val="00052C8C"/>
    <w:rsid w:val="0005369D"/>
    <w:rsid w:val="00055DB1"/>
    <w:rsid w:val="00061FA9"/>
    <w:rsid w:val="000628DF"/>
    <w:rsid w:val="00062C7D"/>
    <w:rsid w:val="000656C6"/>
    <w:rsid w:val="00072512"/>
    <w:rsid w:val="000733BF"/>
    <w:rsid w:val="00075F6B"/>
    <w:rsid w:val="00076CD3"/>
    <w:rsid w:val="00076F9F"/>
    <w:rsid w:val="00077D62"/>
    <w:rsid w:val="00081A5C"/>
    <w:rsid w:val="00081E67"/>
    <w:rsid w:val="00083128"/>
    <w:rsid w:val="000834C5"/>
    <w:rsid w:val="000861D8"/>
    <w:rsid w:val="0008718C"/>
    <w:rsid w:val="000942A3"/>
    <w:rsid w:val="00095E6C"/>
    <w:rsid w:val="00095E77"/>
    <w:rsid w:val="000A2663"/>
    <w:rsid w:val="000A3E58"/>
    <w:rsid w:val="000A3EB1"/>
    <w:rsid w:val="000A5196"/>
    <w:rsid w:val="000B220A"/>
    <w:rsid w:val="000B2E6C"/>
    <w:rsid w:val="000B49E8"/>
    <w:rsid w:val="000B5429"/>
    <w:rsid w:val="000B63CB"/>
    <w:rsid w:val="000B6B0F"/>
    <w:rsid w:val="000C1C19"/>
    <w:rsid w:val="000C2462"/>
    <w:rsid w:val="000C4284"/>
    <w:rsid w:val="000C5DD1"/>
    <w:rsid w:val="000D25C5"/>
    <w:rsid w:val="000D33F6"/>
    <w:rsid w:val="000D4DE1"/>
    <w:rsid w:val="000D7DE2"/>
    <w:rsid w:val="000E2352"/>
    <w:rsid w:val="000E4AB4"/>
    <w:rsid w:val="000E4ABC"/>
    <w:rsid w:val="000F58E0"/>
    <w:rsid w:val="000F749D"/>
    <w:rsid w:val="00100A0B"/>
    <w:rsid w:val="00102B56"/>
    <w:rsid w:val="00103E03"/>
    <w:rsid w:val="00104B8F"/>
    <w:rsid w:val="00120069"/>
    <w:rsid w:val="00120CA6"/>
    <w:rsid w:val="00121BA1"/>
    <w:rsid w:val="00123228"/>
    <w:rsid w:val="001232A7"/>
    <w:rsid w:val="001242B9"/>
    <w:rsid w:val="0012728F"/>
    <w:rsid w:val="00127CF9"/>
    <w:rsid w:val="00130D79"/>
    <w:rsid w:val="00132222"/>
    <w:rsid w:val="00133976"/>
    <w:rsid w:val="0013512E"/>
    <w:rsid w:val="00135E1D"/>
    <w:rsid w:val="00135F61"/>
    <w:rsid w:val="00136419"/>
    <w:rsid w:val="00136DF6"/>
    <w:rsid w:val="00137799"/>
    <w:rsid w:val="00141ECB"/>
    <w:rsid w:val="00142202"/>
    <w:rsid w:val="00145AA0"/>
    <w:rsid w:val="001460FF"/>
    <w:rsid w:val="00146C4F"/>
    <w:rsid w:val="001505C6"/>
    <w:rsid w:val="00150D07"/>
    <w:rsid w:val="001510C4"/>
    <w:rsid w:val="00152AB9"/>
    <w:rsid w:val="001606C1"/>
    <w:rsid w:val="00160924"/>
    <w:rsid w:val="001612B3"/>
    <w:rsid w:val="001612FF"/>
    <w:rsid w:val="001631EA"/>
    <w:rsid w:val="00163C89"/>
    <w:rsid w:val="00164DAD"/>
    <w:rsid w:val="001666D1"/>
    <w:rsid w:val="0016789E"/>
    <w:rsid w:val="00167F7F"/>
    <w:rsid w:val="00170DEB"/>
    <w:rsid w:val="00172021"/>
    <w:rsid w:val="00172FA1"/>
    <w:rsid w:val="00174497"/>
    <w:rsid w:val="00175A04"/>
    <w:rsid w:val="00177351"/>
    <w:rsid w:val="00177539"/>
    <w:rsid w:val="0018104F"/>
    <w:rsid w:val="00181104"/>
    <w:rsid w:val="00182FD7"/>
    <w:rsid w:val="00186332"/>
    <w:rsid w:val="0019258F"/>
    <w:rsid w:val="00193FC2"/>
    <w:rsid w:val="00194C6C"/>
    <w:rsid w:val="00196EA6"/>
    <w:rsid w:val="001A01A7"/>
    <w:rsid w:val="001A0DDF"/>
    <w:rsid w:val="001A18E5"/>
    <w:rsid w:val="001A5957"/>
    <w:rsid w:val="001A705C"/>
    <w:rsid w:val="001A74B8"/>
    <w:rsid w:val="001A7514"/>
    <w:rsid w:val="001B0EE8"/>
    <w:rsid w:val="001B1493"/>
    <w:rsid w:val="001B3955"/>
    <w:rsid w:val="001C025E"/>
    <w:rsid w:val="001C0BDE"/>
    <w:rsid w:val="001C1764"/>
    <w:rsid w:val="001C2AC1"/>
    <w:rsid w:val="001C39F6"/>
    <w:rsid w:val="001C419D"/>
    <w:rsid w:val="001C5723"/>
    <w:rsid w:val="001C648F"/>
    <w:rsid w:val="001E05B8"/>
    <w:rsid w:val="001E25F1"/>
    <w:rsid w:val="001E2B50"/>
    <w:rsid w:val="001E6232"/>
    <w:rsid w:val="001F165F"/>
    <w:rsid w:val="001F1D6F"/>
    <w:rsid w:val="001F3852"/>
    <w:rsid w:val="001F4364"/>
    <w:rsid w:val="001F78C7"/>
    <w:rsid w:val="00200273"/>
    <w:rsid w:val="00200B8C"/>
    <w:rsid w:val="00203BF2"/>
    <w:rsid w:val="0020571D"/>
    <w:rsid w:val="00206E44"/>
    <w:rsid w:val="00207786"/>
    <w:rsid w:val="00207C91"/>
    <w:rsid w:val="00207CF6"/>
    <w:rsid w:val="0021011D"/>
    <w:rsid w:val="0021284D"/>
    <w:rsid w:val="002139B1"/>
    <w:rsid w:val="00222762"/>
    <w:rsid w:val="002238BC"/>
    <w:rsid w:val="00223B9D"/>
    <w:rsid w:val="00224B56"/>
    <w:rsid w:val="00224C50"/>
    <w:rsid w:val="002250B4"/>
    <w:rsid w:val="0022562B"/>
    <w:rsid w:val="00230EC2"/>
    <w:rsid w:val="0023130E"/>
    <w:rsid w:val="0023237A"/>
    <w:rsid w:val="002327EA"/>
    <w:rsid w:val="0023309A"/>
    <w:rsid w:val="00235112"/>
    <w:rsid w:val="0023547E"/>
    <w:rsid w:val="00236A89"/>
    <w:rsid w:val="00236B1B"/>
    <w:rsid w:val="002377C4"/>
    <w:rsid w:val="00237974"/>
    <w:rsid w:val="00237BFA"/>
    <w:rsid w:val="002409D5"/>
    <w:rsid w:val="00241EDE"/>
    <w:rsid w:val="00245636"/>
    <w:rsid w:val="002473BD"/>
    <w:rsid w:val="00247544"/>
    <w:rsid w:val="00251BF9"/>
    <w:rsid w:val="00260941"/>
    <w:rsid w:val="00262F44"/>
    <w:rsid w:val="00263C77"/>
    <w:rsid w:val="00264C5A"/>
    <w:rsid w:val="002660C6"/>
    <w:rsid w:val="0026769F"/>
    <w:rsid w:val="00267EAC"/>
    <w:rsid w:val="002709F4"/>
    <w:rsid w:val="00274662"/>
    <w:rsid w:val="00275134"/>
    <w:rsid w:val="002779B6"/>
    <w:rsid w:val="00277B02"/>
    <w:rsid w:val="00277D1D"/>
    <w:rsid w:val="00280537"/>
    <w:rsid w:val="00280F61"/>
    <w:rsid w:val="0028275C"/>
    <w:rsid w:val="00282A59"/>
    <w:rsid w:val="0028373A"/>
    <w:rsid w:val="0028578B"/>
    <w:rsid w:val="002866DB"/>
    <w:rsid w:val="00287003"/>
    <w:rsid w:val="002935D4"/>
    <w:rsid w:val="002A0F76"/>
    <w:rsid w:val="002A35AF"/>
    <w:rsid w:val="002A3F5E"/>
    <w:rsid w:val="002A43E8"/>
    <w:rsid w:val="002A51B6"/>
    <w:rsid w:val="002A6891"/>
    <w:rsid w:val="002A70E1"/>
    <w:rsid w:val="002A7DBC"/>
    <w:rsid w:val="002B1420"/>
    <w:rsid w:val="002B20FB"/>
    <w:rsid w:val="002B2318"/>
    <w:rsid w:val="002B29B5"/>
    <w:rsid w:val="002B30B8"/>
    <w:rsid w:val="002C062C"/>
    <w:rsid w:val="002C09ED"/>
    <w:rsid w:val="002C2816"/>
    <w:rsid w:val="002C470B"/>
    <w:rsid w:val="002C52D2"/>
    <w:rsid w:val="002C6492"/>
    <w:rsid w:val="002C782C"/>
    <w:rsid w:val="002D10AB"/>
    <w:rsid w:val="002D271D"/>
    <w:rsid w:val="002D6D78"/>
    <w:rsid w:val="002D735E"/>
    <w:rsid w:val="002E0DE2"/>
    <w:rsid w:val="002E19FD"/>
    <w:rsid w:val="002E2337"/>
    <w:rsid w:val="002E3404"/>
    <w:rsid w:val="002E47FE"/>
    <w:rsid w:val="002E5683"/>
    <w:rsid w:val="002E661D"/>
    <w:rsid w:val="002E73A8"/>
    <w:rsid w:val="002F1406"/>
    <w:rsid w:val="002F1C88"/>
    <w:rsid w:val="002F1CFD"/>
    <w:rsid w:val="002F3B65"/>
    <w:rsid w:val="002F3C46"/>
    <w:rsid w:val="002F68FD"/>
    <w:rsid w:val="0030009E"/>
    <w:rsid w:val="003003D3"/>
    <w:rsid w:val="00301A9B"/>
    <w:rsid w:val="00301D7D"/>
    <w:rsid w:val="00310878"/>
    <w:rsid w:val="00312482"/>
    <w:rsid w:val="003129C0"/>
    <w:rsid w:val="003135CD"/>
    <w:rsid w:val="00315964"/>
    <w:rsid w:val="00315AAC"/>
    <w:rsid w:val="003204EA"/>
    <w:rsid w:val="00320C22"/>
    <w:rsid w:val="003265FE"/>
    <w:rsid w:val="00326E1F"/>
    <w:rsid w:val="00326F82"/>
    <w:rsid w:val="00330DFF"/>
    <w:rsid w:val="00333F9B"/>
    <w:rsid w:val="00334512"/>
    <w:rsid w:val="003372E8"/>
    <w:rsid w:val="0033776F"/>
    <w:rsid w:val="003416C7"/>
    <w:rsid w:val="00343C78"/>
    <w:rsid w:val="0034476F"/>
    <w:rsid w:val="00350383"/>
    <w:rsid w:val="003506E3"/>
    <w:rsid w:val="00350CB9"/>
    <w:rsid w:val="003515AE"/>
    <w:rsid w:val="00351709"/>
    <w:rsid w:val="00351B8D"/>
    <w:rsid w:val="00351CE9"/>
    <w:rsid w:val="003522B9"/>
    <w:rsid w:val="00352491"/>
    <w:rsid w:val="0035250D"/>
    <w:rsid w:val="0035496B"/>
    <w:rsid w:val="00357D5C"/>
    <w:rsid w:val="00361FDA"/>
    <w:rsid w:val="00364000"/>
    <w:rsid w:val="003653E2"/>
    <w:rsid w:val="003667CA"/>
    <w:rsid w:val="00366AD4"/>
    <w:rsid w:val="00367B97"/>
    <w:rsid w:val="00371122"/>
    <w:rsid w:val="003721AC"/>
    <w:rsid w:val="003743AB"/>
    <w:rsid w:val="00374DD5"/>
    <w:rsid w:val="00376B60"/>
    <w:rsid w:val="0037725F"/>
    <w:rsid w:val="00384EDE"/>
    <w:rsid w:val="00385E63"/>
    <w:rsid w:val="003930BA"/>
    <w:rsid w:val="003979C5"/>
    <w:rsid w:val="003A05B5"/>
    <w:rsid w:val="003A276C"/>
    <w:rsid w:val="003A2A0B"/>
    <w:rsid w:val="003A311D"/>
    <w:rsid w:val="003A4B23"/>
    <w:rsid w:val="003A5FAE"/>
    <w:rsid w:val="003B0047"/>
    <w:rsid w:val="003B1B36"/>
    <w:rsid w:val="003B37FF"/>
    <w:rsid w:val="003B3E25"/>
    <w:rsid w:val="003B4161"/>
    <w:rsid w:val="003B4490"/>
    <w:rsid w:val="003B4DAE"/>
    <w:rsid w:val="003B5914"/>
    <w:rsid w:val="003B6707"/>
    <w:rsid w:val="003B7283"/>
    <w:rsid w:val="003B7490"/>
    <w:rsid w:val="003C055D"/>
    <w:rsid w:val="003C1762"/>
    <w:rsid w:val="003C22B4"/>
    <w:rsid w:val="003C5BAF"/>
    <w:rsid w:val="003C63CE"/>
    <w:rsid w:val="003C7207"/>
    <w:rsid w:val="003D0588"/>
    <w:rsid w:val="003D0FF5"/>
    <w:rsid w:val="003D15D0"/>
    <w:rsid w:val="003D1D88"/>
    <w:rsid w:val="003D233D"/>
    <w:rsid w:val="003D6A05"/>
    <w:rsid w:val="003E1275"/>
    <w:rsid w:val="003E2A9F"/>
    <w:rsid w:val="003E3B16"/>
    <w:rsid w:val="003E59BE"/>
    <w:rsid w:val="003E7595"/>
    <w:rsid w:val="003F0548"/>
    <w:rsid w:val="003F0F2C"/>
    <w:rsid w:val="003F2176"/>
    <w:rsid w:val="003F4421"/>
    <w:rsid w:val="003F4ADA"/>
    <w:rsid w:val="003F51AC"/>
    <w:rsid w:val="003F7A81"/>
    <w:rsid w:val="00400E3E"/>
    <w:rsid w:val="0040113C"/>
    <w:rsid w:val="00402569"/>
    <w:rsid w:val="004057CA"/>
    <w:rsid w:val="00410F08"/>
    <w:rsid w:val="00413812"/>
    <w:rsid w:val="00413C03"/>
    <w:rsid w:val="00415036"/>
    <w:rsid w:val="00420399"/>
    <w:rsid w:val="00422531"/>
    <w:rsid w:val="00422E60"/>
    <w:rsid w:val="00424A30"/>
    <w:rsid w:val="0042637D"/>
    <w:rsid w:val="0043144E"/>
    <w:rsid w:val="00431C7C"/>
    <w:rsid w:val="00432556"/>
    <w:rsid w:val="00433114"/>
    <w:rsid w:val="00433A19"/>
    <w:rsid w:val="00434602"/>
    <w:rsid w:val="00434AB3"/>
    <w:rsid w:val="00434BCA"/>
    <w:rsid w:val="00434CC7"/>
    <w:rsid w:val="0043552B"/>
    <w:rsid w:val="004402A8"/>
    <w:rsid w:val="004413EB"/>
    <w:rsid w:val="00441FEE"/>
    <w:rsid w:val="00446378"/>
    <w:rsid w:val="004476CA"/>
    <w:rsid w:val="00450680"/>
    <w:rsid w:val="004535F5"/>
    <w:rsid w:val="00454585"/>
    <w:rsid w:val="0045493E"/>
    <w:rsid w:val="0045534C"/>
    <w:rsid w:val="00460619"/>
    <w:rsid w:val="00461BFF"/>
    <w:rsid w:val="00461DF4"/>
    <w:rsid w:val="004667CE"/>
    <w:rsid w:val="00466FFB"/>
    <w:rsid w:val="00467924"/>
    <w:rsid w:val="00471656"/>
    <w:rsid w:val="0047626F"/>
    <w:rsid w:val="00476447"/>
    <w:rsid w:val="00476931"/>
    <w:rsid w:val="00477628"/>
    <w:rsid w:val="0048011D"/>
    <w:rsid w:val="004803F1"/>
    <w:rsid w:val="00482FE4"/>
    <w:rsid w:val="00483275"/>
    <w:rsid w:val="0048536F"/>
    <w:rsid w:val="0048648B"/>
    <w:rsid w:val="004867C3"/>
    <w:rsid w:val="00491482"/>
    <w:rsid w:val="0049241A"/>
    <w:rsid w:val="004933DC"/>
    <w:rsid w:val="004A55EB"/>
    <w:rsid w:val="004A57DE"/>
    <w:rsid w:val="004A70B4"/>
    <w:rsid w:val="004B659D"/>
    <w:rsid w:val="004C0FCD"/>
    <w:rsid w:val="004C4F56"/>
    <w:rsid w:val="004C55D4"/>
    <w:rsid w:val="004C678F"/>
    <w:rsid w:val="004D0E31"/>
    <w:rsid w:val="004D262E"/>
    <w:rsid w:val="004D4A95"/>
    <w:rsid w:val="004D4B25"/>
    <w:rsid w:val="004D6581"/>
    <w:rsid w:val="004D6D0F"/>
    <w:rsid w:val="004E0FC7"/>
    <w:rsid w:val="004E14F9"/>
    <w:rsid w:val="004E4745"/>
    <w:rsid w:val="004E6699"/>
    <w:rsid w:val="004E6744"/>
    <w:rsid w:val="004E77BA"/>
    <w:rsid w:val="004F27DE"/>
    <w:rsid w:val="004F3EDB"/>
    <w:rsid w:val="004F4C84"/>
    <w:rsid w:val="004F6A69"/>
    <w:rsid w:val="004F761F"/>
    <w:rsid w:val="004F7C16"/>
    <w:rsid w:val="005002D0"/>
    <w:rsid w:val="005040B1"/>
    <w:rsid w:val="005047F7"/>
    <w:rsid w:val="00505B61"/>
    <w:rsid w:val="00510302"/>
    <w:rsid w:val="00512C9E"/>
    <w:rsid w:val="00516066"/>
    <w:rsid w:val="00516D1D"/>
    <w:rsid w:val="005178B1"/>
    <w:rsid w:val="0052163B"/>
    <w:rsid w:val="00521BCD"/>
    <w:rsid w:val="0052260F"/>
    <w:rsid w:val="005233D3"/>
    <w:rsid w:val="00523A30"/>
    <w:rsid w:val="00524612"/>
    <w:rsid w:val="00527FBD"/>
    <w:rsid w:val="00532B83"/>
    <w:rsid w:val="005330A8"/>
    <w:rsid w:val="0053328B"/>
    <w:rsid w:val="00534286"/>
    <w:rsid w:val="00534D24"/>
    <w:rsid w:val="00536B26"/>
    <w:rsid w:val="0053712C"/>
    <w:rsid w:val="00541163"/>
    <w:rsid w:val="0054141D"/>
    <w:rsid w:val="00543158"/>
    <w:rsid w:val="00544592"/>
    <w:rsid w:val="00544C6B"/>
    <w:rsid w:val="00544F4B"/>
    <w:rsid w:val="00546060"/>
    <w:rsid w:val="00546930"/>
    <w:rsid w:val="0055199D"/>
    <w:rsid w:val="00554063"/>
    <w:rsid w:val="00555142"/>
    <w:rsid w:val="00555587"/>
    <w:rsid w:val="00561848"/>
    <w:rsid w:val="005646C2"/>
    <w:rsid w:val="00564B0F"/>
    <w:rsid w:val="005660D6"/>
    <w:rsid w:val="005660D7"/>
    <w:rsid w:val="0056683D"/>
    <w:rsid w:val="00571B6B"/>
    <w:rsid w:val="005724BB"/>
    <w:rsid w:val="00574289"/>
    <w:rsid w:val="005759F7"/>
    <w:rsid w:val="005773C5"/>
    <w:rsid w:val="005808D5"/>
    <w:rsid w:val="005827C6"/>
    <w:rsid w:val="005845C6"/>
    <w:rsid w:val="005855DD"/>
    <w:rsid w:val="00590649"/>
    <w:rsid w:val="005932A6"/>
    <w:rsid w:val="00593E34"/>
    <w:rsid w:val="00593ED8"/>
    <w:rsid w:val="00594E96"/>
    <w:rsid w:val="00597791"/>
    <w:rsid w:val="005A1502"/>
    <w:rsid w:val="005A35DF"/>
    <w:rsid w:val="005A66FB"/>
    <w:rsid w:val="005A7811"/>
    <w:rsid w:val="005B0126"/>
    <w:rsid w:val="005B1541"/>
    <w:rsid w:val="005B2B86"/>
    <w:rsid w:val="005B32DC"/>
    <w:rsid w:val="005B350D"/>
    <w:rsid w:val="005B7463"/>
    <w:rsid w:val="005B7FB3"/>
    <w:rsid w:val="005C1E03"/>
    <w:rsid w:val="005C33E7"/>
    <w:rsid w:val="005C3BB4"/>
    <w:rsid w:val="005C652F"/>
    <w:rsid w:val="005D0E17"/>
    <w:rsid w:val="005D206F"/>
    <w:rsid w:val="005D27CC"/>
    <w:rsid w:val="005D2ED5"/>
    <w:rsid w:val="005D4423"/>
    <w:rsid w:val="005D4D9D"/>
    <w:rsid w:val="005D57E4"/>
    <w:rsid w:val="005D686D"/>
    <w:rsid w:val="005D6CC5"/>
    <w:rsid w:val="005D7BE1"/>
    <w:rsid w:val="005E162B"/>
    <w:rsid w:val="005E7648"/>
    <w:rsid w:val="005F17C1"/>
    <w:rsid w:val="005F4425"/>
    <w:rsid w:val="005F4BAF"/>
    <w:rsid w:val="005F6FAB"/>
    <w:rsid w:val="00601B39"/>
    <w:rsid w:val="00601C02"/>
    <w:rsid w:val="00601D4A"/>
    <w:rsid w:val="00601F0A"/>
    <w:rsid w:val="0060239A"/>
    <w:rsid w:val="006038D7"/>
    <w:rsid w:val="0060435B"/>
    <w:rsid w:val="00606A7A"/>
    <w:rsid w:val="00606F8D"/>
    <w:rsid w:val="0061035C"/>
    <w:rsid w:val="00610930"/>
    <w:rsid w:val="00611136"/>
    <w:rsid w:val="006142C2"/>
    <w:rsid w:val="006171B7"/>
    <w:rsid w:val="00617493"/>
    <w:rsid w:val="0061795B"/>
    <w:rsid w:val="006243F7"/>
    <w:rsid w:val="0062449A"/>
    <w:rsid w:val="00624673"/>
    <w:rsid w:val="0062580A"/>
    <w:rsid w:val="00625EA7"/>
    <w:rsid w:val="00626416"/>
    <w:rsid w:val="00630F50"/>
    <w:rsid w:val="006314F9"/>
    <w:rsid w:val="006327A3"/>
    <w:rsid w:val="00633314"/>
    <w:rsid w:val="006373A6"/>
    <w:rsid w:val="0064093F"/>
    <w:rsid w:val="00642431"/>
    <w:rsid w:val="00643DDB"/>
    <w:rsid w:val="00643FB7"/>
    <w:rsid w:val="006461B7"/>
    <w:rsid w:val="006464BD"/>
    <w:rsid w:val="006470DC"/>
    <w:rsid w:val="0064713E"/>
    <w:rsid w:val="006478DF"/>
    <w:rsid w:val="006613B6"/>
    <w:rsid w:val="00661733"/>
    <w:rsid w:val="00661BFD"/>
    <w:rsid w:val="006643E2"/>
    <w:rsid w:val="00664DF5"/>
    <w:rsid w:val="00664F3D"/>
    <w:rsid w:val="00666D48"/>
    <w:rsid w:val="00666F8C"/>
    <w:rsid w:val="006671C4"/>
    <w:rsid w:val="00670142"/>
    <w:rsid w:val="00670E6E"/>
    <w:rsid w:val="00672332"/>
    <w:rsid w:val="006723BA"/>
    <w:rsid w:val="0067306F"/>
    <w:rsid w:val="006742A9"/>
    <w:rsid w:val="0067780D"/>
    <w:rsid w:val="00677B36"/>
    <w:rsid w:val="00680EB6"/>
    <w:rsid w:val="00681C3E"/>
    <w:rsid w:val="00683002"/>
    <w:rsid w:val="0068358E"/>
    <w:rsid w:val="006866E2"/>
    <w:rsid w:val="006912DD"/>
    <w:rsid w:val="0069278D"/>
    <w:rsid w:val="00692E49"/>
    <w:rsid w:val="00694E00"/>
    <w:rsid w:val="00696A3C"/>
    <w:rsid w:val="00697361"/>
    <w:rsid w:val="006A2093"/>
    <w:rsid w:val="006A48E1"/>
    <w:rsid w:val="006A7534"/>
    <w:rsid w:val="006A7680"/>
    <w:rsid w:val="006B0005"/>
    <w:rsid w:val="006B0465"/>
    <w:rsid w:val="006B22DF"/>
    <w:rsid w:val="006B272A"/>
    <w:rsid w:val="006B28C5"/>
    <w:rsid w:val="006B34CB"/>
    <w:rsid w:val="006B38CD"/>
    <w:rsid w:val="006B6598"/>
    <w:rsid w:val="006B6D67"/>
    <w:rsid w:val="006C0007"/>
    <w:rsid w:val="006C619D"/>
    <w:rsid w:val="006C75E9"/>
    <w:rsid w:val="006C7B8A"/>
    <w:rsid w:val="006D0F22"/>
    <w:rsid w:val="006D2573"/>
    <w:rsid w:val="006D3BB0"/>
    <w:rsid w:val="006D7E5B"/>
    <w:rsid w:val="006E1583"/>
    <w:rsid w:val="006E50B9"/>
    <w:rsid w:val="006E69BD"/>
    <w:rsid w:val="006E7FF7"/>
    <w:rsid w:val="006F0C15"/>
    <w:rsid w:val="006F25B1"/>
    <w:rsid w:val="006F3DAA"/>
    <w:rsid w:val="006F3E6A"/>
    <w:rsid w:val="006F60CF"/>
    <w:rsid w:val="006F712B"/>
    <w:rsid w:val="006F7774"/>
    <w:rsid w:val="0070007A"/>
    <w:rsid w:val="00702833"/>
    <w:rsid w:val="007029C5"/>
    <w:rsid w:val="00702A39"/>
    <w:rsid w:val="00703109"/>
    <w:rsid w:val="00703115"/>
    <w:rsid w:val="0070342F"/>
    <w:rsid w:val="00703929"/>
    <w:rsid w:val="00704618"/>
    <w:rsid w:val="00705A2B"/>
    <w:rsid w:val="0071082A"/>
    <w:rsid w:val="007149F8"/>
    <w:rsid w:val="00714B8A"/>
    <w:rsid w:val="00714E43"/>
    <w:rsid w:val="00716574"/>
    <w:rsid w:val="007165EB"/>
    <w:rsid w:val="007210E7"/>
    <w:rsid w:val="00722D56"/>
    <w:rsid w:val="00723ECC"/>
    <w:rsid w:val="00725451"/>
    <w:rsid w:val="007266C5"/>
    <w:rsid w:val="0072746A"/>
    <w:rsid w:val="00727486"/>
    <w:rsid w:val="007277C9"/>
    <w:rsid w:val="00727C2F"/>
    <w:rsid w:val="00730B0A"/>
    <w:rsid w:val="00740F63"/>
    <w:rsid w:val="007436DE"/>
    <w:rsid w:val="007475CC"/>
    <w:rsid w:val="007500D0"/>
    <w:rsid w:val="00750D77"/>
    <w:rsid w:val="00751F5F"/>
    <w:rsid w:val="00754E4B"/>
    <w:rsid w:val="007555D6"/>
    <w:rsid w:val="007561BD"/>
    <w:rsid w:val="007563CE"/>
    <w:rsid w:val="00757250"/>
    <w:rsid w:val="00760B5D"/>
    <w:rsid w:val="00761821"/>
    <w:rsid w:val="00761F49"/>
    <w:rsid w:val="0076296E"/>
    <w:rsid w:val="00762C1C"/>
    <w:rsid w:val="00764E57"/>
    <w:rsid w:val="00765029"/>
    <w:rsid w:val="007652FC"/>
    <w:rsid w:val="00767F84"/>
    <w:rsid w:val="00773D75"/>
    <w:rsid w:val="007744D0"/>
    <w:rsid w:val="00774A58"/>
    <w:rsid w:val="00777333"/>
    <w:rsid w:val="0077790D"/>
    <w:rsid w:val="0078076A"/>
    <w:rsid w:val="007835A1"/>
    <w:rsid w:val="00783735"/>
    <w:rsid w:val="00784C7B"/>
    <w:rsid w:val="00784D28"/>
    <w:rsid w:val="00785F8F"/>
    <w:rsid w:val="00787E59"/>
    <w:rsid w:val="00793DBA"/>
    <w:rsid w:val="0079544A"/>
    <w:rsid w:val="007958AA"/>
    <w:rsid w:val="0079659F"/>
    <w:rsid w:val="00797785"/>
    <w:rsid w:val="007A06D4"/>
    <w:rsid w:val="007A18CB"/>
    <w:rsid w:val="007A2DE6"/>
    <w:rsid w:val="007A35EF"/>
    <w:rsid w:val="007A6AEA"/>
    <w:rsid w:val="007B5B99"/>
    <w:rsid w:val="007B5D90"/>
    <w:rsid w:val="007B650B"/>
    <w:rsid w:val="007B6A40"/>
    <w:rsid w:val="007C3E20"/>
    <w:rsid w:val="007C52FA"/>
    <w:rsid w:val="007C5ADA"/>
    <w:rsid w:val="007C788B"/>
    <w:rsid w:val="007D31C6"/>
    <w:rsid w:val="007D51A8"/>
    <w:rsid w:val="007D7950"/>
    <w:rsid w:val="007E0687"/>
    <w:rsid w:val="007E0D8F"/>
    <w:rsid w:val="007E65A0"/>
    <w:rsid w:val="007F0FF0"/>
    <w:rsid w:val="007F2831"/>
    <w:rsid w:val="007F3AFE"/>
    <w:rsid w:val="007F586C"/>
    <w:rsid w:val="007F5B6D"/>
    <w:rsid w:val="007F5F4F"/>
    <w:rsid w:val="007F740C"/>
    <w:rsid w:val="00800CB7"/>
    <w:rsid w:val="00801078"/>
    <w:rsid w:val="008108A3"/>
    <w:rsid w:val="00814FED"/>
    <w:rsid w:val="008205B6"/>
    <w:rsid w:val="0082165B"/>
    <w:rsid w:val="0083097F"/>
    <w:rsid w:val="00833CDD"/>
    <w:rsid w:val="00835443"/>
    <w:rsid w:val="008369CA"/>
    <w:rsid w:val="00836CAE"/>
    <w:rsid w:val="00837F23"/>
    <w:rsid w:val="008413D9"/>
    <w:rsid w:val="00841B27"/>
    <w:rsid w:val="00842385"/>
    <w:rsid w:val="008432D8"/>
    <w:rsid w:val="008437CB"/>
    <w:rsid w:val="008462C9"/>
    <w:rsid w:val="00852170"/>
    <w:rsid w:val="00852970"/>
    <w:rsid w:val="00856745"/>
    <w:rsid w:val="00861700"/>
    <w:rsid w:val="00863807"/>
    <w:rsid w:val="00863BAE"/>
    <w:rsid w:val="008666E4"/>
    <w:rsid w:val="00867A01"/>
    <w:rsid w:val="00870CE6"/>
    <w:rsid w:val="00871C6D"/>
    <w:rsid w:val="00872AA5"/>
    <w:rsid w:val="0087633C"/>
    <w:rsid w:val="00876879"/>
    <w:rsid w:val="00880D6B"/>
    <w:rsid w:val="00882685"/>
    <w:rsid w:val="00883868"/>
    <w:rsid w:val="0088659D"/>
    <w:rsid w:val="00890527"/>
    <w:rsid w:val="00891DFC"/>
    <w:rsid w:val="008920FE"/>
    <w:rsid w:val="00892423"/>
    <w:rsid w:val="00895D16"/>
    <w:rsid w:val="0089608E"/>
    <w:rsid w:val="00896762"/>
    <w:rsid w:val="008A12F0"/>
    <w:rsid w:val="008A17F0"/>
    <w:rsid w:val="008A215A"/>
    <w:rsid w:val="008A21CA"/>
    <w:rsid w:val="008A2E65"/>
    <w:rsid w:val="008A4330"/>
    <w:rsid w:val="008A535D"/>
    <w:rsid w:val="008A5CAE"/>
    <w:rsid w:val="008A7D20"/>
    <w:rsid w:val="008A7E8D"/>
    <w:rsid w:val="008B0E90"/>
    <w:rsid w:val="008B2544"/>
    <w:rsid w:val="008B43DD"/>
    <w:rsid w:val="008B65B5"/>
    <w:rsid w:val="008C2187"/>
    <w:rsid w:val="008C30BF"/>
    <w:rsid w:val="008C5853"/>
    <w:rsid w:val="008C62C2"/>
    <w:rsid w:val="008D04D6"/>
    <w:rsid w:val="008D13DC"/>
    <w:rsid w:val="008D253E"/>
    <w:rsid w:val="008D25C8"/>
    <w:rsid w:val="008D311F"/>
    <w:rsid w:val="008D38FC"/>
    <w:rsid w:val="008D4C62"/>
    <w:rsid w:val="008D5A51"/>
    <w:rsid w:val="008D7931"/>
    <w:rsid w:val="008E0371"/>
    <w:rsid w:val="008E0B8A"/>
    <w:rsid w:val="008E13D4"/>
    <w:rsid w:val="008E18D5"/>
    <w:rsid w:val="008E36FD"/>
    <w:rsid w:val="008E5716"/>
    <w:rsid w:val="008E65F8"/>
    <w:rsid w:val="008E71B3"/>
    <w:rsid w:val="008E7F63"/>
    <w:rsid w:val="008F0EC8"/>
    <w:rsid w:val="008F1F1A"/>
    <w:rsid w:val="008F3D53"/>
    <w:rsid w:val="008F5608"/>
    <w:rsid w:val="008F6A09"/>
    <w:rsid w:val="008F71C6"/>
    <w:rsid w:val="00900933"/>
    <w:rsid w:val="00903822"/>
    <w:rsid w:val="00904F97"/>
    <w:rsid w:val="00906065"/>
    <w:rsid w:val="00910001"/>
    <w:rsid w:val="009123CE"/>
    <w:rsid w:val="00915185"/>
    <w:rsid w:val="0091565B"/>
    <w:rsid w:val="009164B3"/>
    <w:rsid w:val="00921492"/>
    <w:rsid w:val="00921CDB"/>
    <w:rsid w:val="0092367A"/>
    <w:rsid w:val="009263AE"/>
    <w:rsid w:val="00927607"/>
    <w:rsid w:val="009309DA"/>
    <w:rsid w:val="00930C36"/>
    <w:rsid w:val="00933B6A"/>
    <w:rsid w:val="00933B86"/>
    <w:rsid w:val="009341AE"/>
    <w:rsid w:val="009348AE"/>
    <w:rsid w:val="00937165"/>
    <w:rsid w:val="0094010B"/>
    <w:rsid w:val="00940FA3"/>
    <w:rsid w:val="009423F4"/>
    <w:rsid w:val="009441AE"/>
    <w:rsid w:val="00944307"/>
    <w:rsid w:val="0094465B"/>
    <w:rsid w:val="00945741"/>
    <w:rsid w:val="00946019"/>
    <w:rsid w:val="0094703A"/>
    <w:rsid w:val="00950769"/>
    <w:rsid w:val="00954AD5"/>
    <w:rsid w:val="00955F2C"/>
    <w:rsid w:val="009611C5"/>
    <w:rsid w:val="009619FE"/>
    <w:rsid w:val="00963001"/>
    <w:rsid w:val="009630ED"/>
    <w:rsid w:val="00964B21"/>
    <w:rsid w:val="009653CC"/>
    <w:rsid w:val="009659CF"/>
    <w:rsid w:val="0096699D"/>
    <w:rsid w:val="00967CEE"/>
    <w:rsid w:val="00970C56"/>
    <w:rsid w:val="009728BD"/>
    <w:rsid w:val="00973EB1"/>
    <w:rsid w:val="00975B28"/>
    <w:rsid w:val="009800C9"/>
    <w:rsid w:val="009802D8"/>
    <w:rsid w:val="009805AC"/>
    <w:rsid w:val="00981C8F"/>
    <w:rsid w:val="00983731"/>
    <w:rsid w:val="00983BD7"/>
    <w:rsid w:val="00984E5D"/>
    <w:rsid w:val="009869E4"/>
    <w:rsid w:val="00987E7F"/>
    <w:rsid w:val="009902D6"/>
    <w:rsid w:val="009902FF"/>
    <w:rsid w:val="009916C2"/>
    <w:rsid w:val="009948F5"/>
    <w:rsid w:val="00996D2C"/>
    <w:rsid w:val="009A2688"/>
    <w:rsid w:val="009A404A"/>
    <w:rsid w:val="009A5C98"/>
    <w:rsid w:val="009A6673"/>
    <w:rsid w:val="009B019C"/>
    <w:rsid w:val="009B1D00"/>
    <w:rsid w:val="009B3FF4"/>
    <w:rsid w:val="009B49D4"/>
    <w:rsid w:val="009B5A32"/>
    <w:rsid w:val="009B672D"/>
    <w:rsid w:val="009B683F"/>
    <w:rsid w:val="009C2C4A"/>
    <w:rsid w:val="009C489A"/>
    <w:rsid w:val="009C5A7E"/>
    <w:rsid w:val="009C5BDC"/>
    <w:rsid w:val="009C69C0"/>
    <w:rsid w:val="009C7E6F"/>
    <w:rsid w:val="009D0E1B"/>
    <w:rsid w:val="009D3A31"/>
    <w:rsid w:val="009D52B1"/>
    <w:rsid w:val="009D7099"/>
    <w:rsid w:val="009D7356"/>
    <w:rsid w:val="009D7E69"/>
    <w:rsid w:val="009E08D4"/>
    <w:rsid w:val="009E1B4B"/>
    <w:rsid w:val="009E2B3A"/>
    <w:rsid w:val="009E3A46"/>
    <w:rsid w:val="009E3F82"/>
    <w:rsid w:val="009E6509"/>
    <w:rsid w:val="009F1284"/>
    <w:rsid w:val="009F238F"/>
    <w:rsid w:val="009F28DB"/>
    <w:rsid w:val="009F2929"/>
    <w:rsid w:val="009F3292"/>
    <w:rsid w:val="009F3C0A"/>
    <w:rsid w:val="009F4CFA"/>
    <w:rsid w:val="009F6410"/>
    <w:rsid w:val="00A01C4A"/>
    <w:rsid w:val="00A02312"/>
    <w:rsid w:val="00A03199"/>
    <w:rsid w:val="00A03BED"/>
    <w:rsid w:val="00A05F74"/>
    <w:rsid w:val="00A06D2C"/>
    <w:rsid w:val="00A077C8"/>
    <w:rsid w:val="00A10FC5"/>
    <w:rsid w:val="00A114F6"/>
    <w:rsid w:val="00A17ADD"/>
    <w:rsid w:val="00A20994"/>
    <w:rsid w:val="00A261F3"/>
    <w:rsid w:val="00A30864"/>
    <w:rsid w:val="00A30DED"/>
    <w:rsid w:val="00A30FE8"/>
    <w:rsid w:val="00A31217"/>
    <w:rsid w:val="00A32F11"/>
    <w:rsid w:val="00A343C8"/>
    <w:rsid w:val="00A36365"/>
    <w:rsid w:val="00A365D2"/>
    <w:rsid w:val="00A42D05"/>
    <w:rsid w:val="00A436A7"/>
    <w:rsid w:val="00A44E5F"/>
    <w:rsid w:val="00A450EA"/>
    <w:rsid w:val="00A50936"/>
    <w:rsid w:val="00A515CA"/>
    <w:rsid w:val="00A572D1"/>
    <w:rsid w:val="00A60BF0"/>
    <w:rsid w:val="00A639E5"/>
    <w:rsid w:val="00A65FEB"/>
    <w:rsid w:val="00A66C57"/>
    <w:rsid w:val="00A66C7F"/>
    <w:rsid w:val="00A7032B"/>
    <w:rsid w:val="00A75EF8"/>
    <w:rsid w:val="00A805B9"/>
    <w:rsid w:val="00A80B2F"/>
    <w:rsid w:val="00A85142"/>
    <w:rsid w:val="00A85998"/>
    <w:rsid w:val="00A911C9"/>
    <w:rsid w:val="00A93890"/>
    <w:rsid w:val="00A94D8E"/>
    <w:rsid w:val="00A952C3"/>
    <w:rsid w:val="00A961E1"/>
    <w:rsid w:val="00A96DDB"/>
    <w:rsid w:val="00AA07DA"/>
    <w:rsid w:val="00AA16D5"/>
    <w:rsid w:val="00AA27F4"/>
    <w:rsid w:val="00AA4CD1"/>
    <w:rsid w:val="00AA69C7"/>
    <w:rsid w:val="00AA6BB9"/>
    <w:rsid w:val="00AA6C7E"/>
    <w:rsid w:val="00AA7AD1"/>
    <w:rsid w:val="00AC2094"/>
    <w:rsid w:val="00AC2DFA"/>
    <w:rsid w:val="00AC46A2"/>
    <w:rsid w:val="00AC4E71"/>
    <w:rsid w:val="00AC5172"/>
    <w:rsid w:val="00AC6491"/>
    <w:rsid w:val="00AC7B7C"/>
    <w:rsid w:val="00AD0AE0"/>
    <w:rsid w:val="00AD0F8C"/>
    <w:rsid w:val="00AD14C9"/>
    <w:rsid w:val="00AD46DE"/>
    <w:rsid w:val="00AD67FB"/>
    <w:rsid w:val="00AE0B33"/>
    <w:rsid w:val="00AE4608"/>
    <w:rsid w:val="00AE5B33"/>
    <w:rsid w:val="00AE60DB"/>
    <w:rsid w:val="00AE73E0"/>
    <w:rsid w:val="00AF2078"/>
    <w:rsid w:val="00AF46CF"/>
    <w:rsid w:val="00AF63A7"/>
    <w:rsid w:val="00AF7BAC"/>
    <w:rsid w:val="00B00F92"/>
    <w:rsid w:val="00B01541"/>
    <w:rsid w:val="00B01711"/>
    <w:rsid w:val="00B04269"/>
    <w:rsid w:val="00B06F92"/>
    <w:rsid w:val="00B1445A"/>
    <w:rsid w:val="00B2219E"/>
    <w:rsid w:val="00B24211"/>
    <w:rsid w:val="00B245C6"/>
    <w:rsid w:val="00B309CB"/>
    <w:rsid w:val="00B32786"/>
    <w:rsid w:val="00B33DAE"/>
    <w:rsid w:val="00B33E0A"/>
    <w:rsid w:val="00B3550B"/>
    <w:rsid w:val="00B3563A"/>
    <w:rsid w:val="00B36D72"/>
    <w:rsid w:val="00B437AF"/>
    <w:rsid w:val="00B43F8B"/>
    <w:rsid w:val="00B47826"/>
    <w:rsid w:val="00B5291E"/>
    <w:rsid w:val="00B556E7"/>
    <w:rsid w:val="00B56C16"/>
    <w:rsid w:val="00B60601"/>
    <w:rsid w:val="00B60946"/>
    <w:rsid w:val="00B631CB"/>
    <w:rsid w:val="00B6342C"/>
    <w:rsid w:val="00B65F72"/>
    <w:rsid w:val="00B667C6"/>
    <w:rsid w:val="00B72052"/>
    <w:rsid w:val="00B72647"/>
    <w:rsid w:val="00B7486B"/>
    <w:rsid w:val="00B74935"/>
    <w:rsid w:val="00B749F5"/>
    <w:rsid w:val="00B75B92"/>
    <w:rsid w:val="00B8002C"/>
    <w:rsid w:val="00B827AE"/>
    <w:rsid w:val="00B83211"/>
    <w:rsid w:val="00B84A58"/>
    <w:rsid w:val="00B85E4E"/>
    <w:rsid w:val="00B874AB"/>
    <w:rsid w:val="00B9125C"/>
    <w:rsid w:val="00B9146E"/>
    <w:rsid w:val="00B92B1B"/>
    <w:rsid w:val="00B94159"/>
    <w:rsid w:val="00B9633F"/>
    <w:rsid w:val="00B97182"/>
    <w:rsid w:val="00B97C0B"/>
    <w:rsid w:val="00BA0B00"/>
    <w:rsid w:val="00BA19DD"/>
    <w:rsid w:val="00BA1F5A"/>
    <w:rsid w:val="00BA2747"/>
    <w:rsid w:val="00BA7451"/>
    <w:rsid w:val="00BA78B0"/>
    <w:rsid w:val="00BA7E8E"/>
    <w:rsid w:val="00BB0AC0"/>
    <w:rsid w:val="00BB0EBA"/>
    <w:rsid w:val="00BB7223"/>
    <w:rsid w:val="00BC1C87"/>
    <w:rsid w:val="00BC28CB"/>
    <w:rsid w:val="00BC3759"/>
    <w:rsid w:val="00BC3A39"/>
    <w:rsid w:val="00BC5E0B"/>
    <w:rsid w:val="00BD0E0D"/>
    <w:rsid w:val="00BD480D"/>
    <w:rsid w:val="00BD4B74"/>
    <w:rsid w:val="00BD54C8"/>
    <w:rsid w:val="00BD6056"/>
    <w:rsid w:val="00BD6073"/>
    <w:rsid w:val="00BD640F"/>
    <w:rsid w:val="00BD7308"/>
    <w:rsid w:val="00BE178D"/>
    <w:rsid w:val="00BE2923"/>
    <w:rsid w:val="00BF04AB"/>
    <w:rsid w:val="00BF0A5A"/>
    <w:rsid w:val="00BF0B39"/>
    <w:rsid w:val="00BF59DD"/>
    <w:rsid w:val="00C00138"/>
    <w:rsid w:val="00C071BB"/>
    <w:rsid w:val="00C079B0"/>
    <w:rsid w:val="00C10341"/>
    <w:rsid w:val="00C1060E"/>
    <w:rsid w:val="00C107DB"/>
    <w:rsid w:val="00C13D34"/>
    <w:rsid w:val="00C1463E"/>
    <w:rsid w:val="00C16802"/>
    <w:rsid w:val="00C17046"/>
    <w:rsid w:val="00C21533"/>
    <w:rsid w:val="00C228EE"/>
    <w:rsid w:val="00C24DD8"/>
    <w:rsid w:val="00C24E9F"/>
    <w:rsid w:val="00C27995"/>
    <w:rsid w:val="00C301E1"/>
    <w:rsid w:val="00C322F9"/>
    <w:rsid w:val="00C3373C"/>
    <w:rsid w:val="00C368CA"/>
    <w:rsid w:val="00C4093E"/>
    <w:rsid w:val="00C40A74"/>
    <w:rsid w:val="00C410AA"/>
    <w:rsid w:val="00C41524"/>
    <w:rsid w:val="00C42722"/>
    <w:rsid w:val="00C42E0B"/>
    <w:rsid w:val="00C42F04"/>
    <w:rsid w:val="00C43F03"/>
    <w:rsid w:val="00C45336"/>
    <w:rsid w:val="00C45FE5"/>
    <w:rsid w:val="00C46159"/>
    <w:rsid w:val="00C46605"/>
    <w:rsid w:val="00C47633"/>
    <w:rsid w:val="00C47C75"/>
    <w:rsid w:val="00C53693"/>
    <w:rsid w:val="00C53B27"/>
    <w:rsid w:val="00C557D9"/>
    <w:rsid w:val="00C603B3"/>
    <w:rsid w:val="00C60F32"/>
    <w:rsid w:val="00C630A6"/>
    <w:rsid w:val="00C63163"/>
    <w:rsid w:val="00C6440B"/>
    <w:rsid w:val="00C65B8B"/>
    <w:rsid w:val="00C6736B"/>
    <w:rsid w:val="00C7191A"/>
    <w:rsid w:val="00C7280B"/>
    <w:rsid w:val="00C73CD2"/>
    <w:rsid w:val="00C775FE"/>
    <w:rsid w:val="00C7784B"/>
    <w:rsid w:val="00C80591"/>
    <w:rsid w:val="00C81150"/>
    <w:rsid w:val="00C8310C"/>
    <w:rsid w:val="00C8387F"/>
    <w:rsid w:val="00C83DE3"/>
    <w:rsid w:val="00C84E71"/>
    <w:rsid w:val="00C87A86"/>
    <w:rsid w:val="00C9036E"/>
    <w:rsid w:val="00C9124F"/>
    <w:rsid w:val="00C9132B"/>
    <w:rsid w:val="00C9289C"/>
    <w:rsid w:val="00C93A31"/>
    <w:rsid w:val="00C96DEF"/>
    <w:rsid w:val="00CA0045"/>
    <w:rsid w:val="00CA10EF"/>
    <w:rsid w:val="00CA20AB"/>
    <w:rsid w:val="00CA3BFA"/>
    <w:rsid w:val="00CA7470"/>
    <w:rsid w:val="00CA7AFB"/>
    <w:rsid w:val="00CA7F51"/>
    <w:rsid w:val="00CB0083"/>
    <w:rsid w:val="00CB0E1A"/>
    <w:rsid w:val="00CB31A3"/>
    <w:rsid w:val="00CB41BC"/>
    <w:rsid w:val="00CD159D"/>
    <w:rsid w:val="00CD2731"/>
    <w:rsid w:val="00CD4C6F"/>
    <w:rsid w:val="00CD5BCE"/>
    <w:rsid w:val="00CD5D40"/>
    <w:rsid w:val="00CD604A"/>
    <w:rsid w:val="00CE236F"/>
    <w:rsid w:val="00CE31A7"/>
    <w:rsid w:val="00CE322F"/>
    <w:rsid w:val="00CE664C"/>
    <w:rsid w:val="00CF0FDF"/>
    <w:rsid w:val="00CF143D"/>
    <w:rsid w:val="00CF4990"/>
    <w:rsid w:val="00CF4A3E"/>
    <w:rsid w:val="00CF4D81"/>
    <w:rsid w:val="00CF4E09"/>
    <w:rsid w:val="00CF636A"/>
    <w:rsid w:val="00CF77DB"/>
    <w:rsid w:val="00CF7912"/>
    <w:rsid w:val="00D013FE"/>
    <w:rsid w:val="00D01CE1"/>
    <w:rsid w:val="00D0557C"/>
    <w:rsid w:val="00D063D6"/>
    <w:rsid w:val="00D07A88"/>
    <w:rsid w:val="00D10670"/>
    <w:rsid w:val="00D11D2F"/>
    <w:rsid w:val="00D12FDB"/>
    <w:rsid w:val="00D1308D"/>
    <w:rsid w:val="00D14DD8"/>
    <w:rsid w:val="00D1512D"/>
    <w:rsid w:val="00D15746"/>
    <w:rsid w:val="00D17A72"/>
    <w:rsid w:val="00D17D07"/>
    <w:rsid w:val="00D20E47"/>
    <w:rsid w:val="00D23A1C"/>
    <w:rsid w:val="00D23EDB"/>
    <w:rsid w:val="00D23FD4"/>
    <w:rsid w:val="00D24241"/>
    <w:rsid w:val="00D24DDC"/>
    <w:rsid w:val="00D2512C"/>
    <w:rsid w:val="00D257EA"/>
    <w:rsid w:val="00D25DF2"/>
    <w:rsid w:val="00D27C90"/>
    <w:rsid w:val="00D30ACD"/>
    <w:rsid w:val="00D30DEE"/>
    <w:rsid w:val="00D3285F"/>
    <w:rsid w:val="00D357F9"/>
    <w:rsid w:val="00D4445F"/>
    <w:rsid w:val="00D44AF0"/>
    <w:rsid w:val="00D45DD8"/>
    <w:rsid w:val="00D47982"/>
    <w:rsid w:val="00D502F7"/>
    <w:rsid w:val="00D5227A"/>
    <w:rsid w:val="00D52B14"/>
    <w:rsid w:val="00D54571"/>
    <w:rsid w:val="00D54BB1"/>
    <w:rsid w:val="00D55C7A"/>
    <w:rsid w:val="00D56681"/>
    <w:rsid w:val="00D6394B"/>
    <w:rsid w:val="00D6778B"/>
    <w:rsid w:val="00D710E3"/>
    <w:rsid w:val="00D71B64"/>
    <w:rsid w:val="00D71B8C"/>
    <w:rsid w:val="00D7264E"/>
    <w:rsid w:val="00D76613"/>
    <w:rsid w:val="00D77558"/>
    <w:rsid w:val="00D77C27"/>
    <w:rsid w:val="00D80F36"/>
    <w:rsid w:val="00D8456E"/>
    <w:rsid w:val="00D8649C"/>
    <w:rsid w:val="00D87572"/>
    <w:rsid w:val="00D911AE"/>
    <w:rsid w:val="00D92781"/>
    <w:rsid w:val="00D96B6A"/>
    <w:rsid w:val="00D97C8E"/>
    <w:rsid w:val="00D97D67"/>
    <w:rsid w:val="00DA12A6"/>
    <w:rsid w:val="00DA3076"/>
    <w:rsid w:val="00DA6244"/>
    <w:rsid w:val="00DA64AC"/>
    <w:rsid w:val="00DA79D5"/>
    <w:rsid w:val="00DB0BE7"/>
    <w:rsid w:val="00DB2642"/>
    <w:rsid w:val="00DB444A"/>
    <w:rsid w:val="00DC331B"/>
    <w:rsid w:val="00DC4782"/>
    <w:rsid w:val="00DC639F"/>
    <w:rsid w:val="00DC645D"/>
    <w:rsid w:val="00DC77D9"/>
    <w:rsid w:val="00DC7BD5"/>
    <w:rsid w:val="00DD0BA2"/>
    <w:rsid w:val="00DD30C2"/>
    <w:rsid w:val="00DD4E6E"/>
    <w:rsid w:val="00DD55CF"/>
    <w:rsid w:val="00DD70B1"/>
    <w:rsid w:val="00DE139B"/>
    <w:rsid w:val="00DE2EF0"/>
    <w:rsid w:val="00DE5C1E"/>
    <w:rsid w:val="00DF1A42"/>
    <w:rsid w:val="00DF1B27"/>
    <w:rsid w:val="00DF2092"/>
    <w:rsid w:val="00DF2352"/>
    <w:rsid w:val="00DF52C3"/>
    <w:rsid w:val="00DF5AD5"/>
    <w:rsid w:val="00E000B3"/>
    <w:rsid w:val="00E004EC"/>
    <w:rsid w:val="00E00864"/>
    <w:rsid w:val="00E03D38"/>
    <w:rsid w:val="00E03D65"/>
    <w:rsid w:val="00E03E06"/>
    <w:rsid w:val="00E03EB5"/>
    <w:rsid w:val="00E04191"/>
    <w:rsid w:val="00E07816"/>
    <w:rsid w:val="00E10033"/>
    <w:rsid w:val="00E15E3E"/>
    <w:rsid w:val="00E2090C"/>
    <w:rsid w:val="00E24E1F"/>
    <w:rsid w:val="00E256D5"/>
    <w:rsid w:val="00E27417"/>
    <w:rsid w:val="00E27F9F"/>
    <w:rsid w:val="00E30B11"/>
    <w:rsid w:val="00E31821"/>
    <w:rsid w:val="00E36B3B"/>
    <w:rsid w:val="00E37941"/>
    <w:rsid w:val="00E438E3"/>
    <w:rsid w:val="00E43D01"/>
    <w:rsid w:val="00E4469D"/>
    <w:rsid w:val="00E4585D"/>
    <w:rsid w:val="00E46579"/>
    <w:rsid w:val="00E5196A"/>
    <w:rsid w:val="00E52B31"/>
    <w:rsid w:val="00E54112"/>
    <w:rsid w:val="00E5633B"/>
    <w:rsid w:val="00E62226"/>
    <w:rsid w:val="00E65C30"/>
    <w:rsid w:val="00E66BE4"/>
    <w:rsid w:val="00E67DEA"/>
    <w:rsid w:val="00E7167B"/>
    <w:rsid w:val="00E74DF6"/>
    <w:rsid w:val="00E80B83"/>
    <w:rsid w:val="00E81117"/>
    <w:rsid w:val="00E86BFA"/>
    <w:rsid w:val="00E93721"/>
    <w:rsid w:val="00E95A20"/>
    <w:rsid w:val="00E95FE4"/>
    <w:rsid w:val="00E96365"/>
    <w:rsid w:val="00E96B2B"/>
    <w:rsid w:val="00E96D67"/>
    <w:rsid w:val="00EA1B3B"/>
    <w:rsid w:val="00EA3269"/>
    <w:rsid w:val="00EA6276"/>
    <w:rsid w:val="00EB193A"/>
    <w:rsid w:val="00EB3C97"/>
    <w:rsid w:val="00EB4AFE"/>
    <w:rsid w:val="00EB4BB8"/>
    <w:rsid w:val="00EB70B5"/>
    <w:rsid w:val="00EB7FB9"/>
    <w:rsid w:val="00EC28FD"/>
    <w:rsid w:val="00EC3A93"/>
    <w:rsid w:val="00EC5859"/>
    <w:rsid w:val="00EC6439"/>
    <w:rsid w:val="00ED3D04"/>
    <w:rsid w:val="00ED4E03"/>
    <w:rsid w:val="00ED5202"/>
    <w:rsid w:val="00EE1851"/>
    <w:rsid w:val="00EE3A92"/>
    <w:rsid w:val="00EE5847"/>
    <w:rsid w:val="00EE6C4A"/>
    <w:rsid w:val="00EE7AD9"/>
    <w:rsid w:val="00EF06FA"/>
    <w:rsid w:val="00EF17F9"/>
    <w:rsid w:val="00EF182C"/>
    <w:rsid w:val="00EF24C9"/>
    <w:rsid w:val="00EF3D63"/>
    <w:rsid w:val="00EF6E19"/>
    <w:rsid w:val="00EF762D"/>
    <w:rsid w:val="00F0341F"/>
    <w:rsid w:val="00F04AE4"/>
    <w:rsid w:val="00F04D5C"/>
    <w:rsid w:val="00F051C5"/>
    <w:rsid w:val="00F066AC"/>
    <w:rsid w:val="00F06ED3"/>
    <w:rsid w:val="00F10142"/>
    <w:rsid w:val="00F10328"/>
    <w:rsid w:val="00F11AD4"/>
    <w:rsid w:val="00F13BAF"/>
    <w:rsid w:val="00F15021"/>
    <w:rsid w:val="00F2061D"/>
    <w:rsid w:val="00F21FEF"/>
    <w:rsid w:val="00F2387B"/>
    <w:rsid w:val="00F24C27"/>
    <w:rsid w:val="00F30380"/>
    <w:rsid w:val="00F30BBE"/>
    <w:rsid w:val="00F31310"/>
    <w:rsid w:val="00F3275F"/>
    <w:rsid w:val="00F33759"/>
    <w:rsid w:val="00F33FBD"/>
    <w:rsid w:val="00F347E1"/>
    <w:rsid w:val="00F34B06"/>
    <w:rsid w:val="00F36557"/>
    <w:rsid w:val="00F43469"/>
    <w:rsid w:val="00F43C16"/>
    <w:rsid w:val="00F51D20"/>
    <w:rsid w:val="00F54BE9"/>
    <w:rsid w:val="00F54F08"/>
    <w:rsid w:val="00F55665"/>
    <w:rsid w:val="00F61DB6"/>
    <w:rsid w:val="00F62484"/>
    <w:rsid w:val="00F64F3C"/>
    <w:rsid w:val="00F652B2"/>
    <w:rsid w:val="00F667B3"/>
    <w:rsid w:val="00F66AF5"/>
    <w:rsid w:val="00F70023"/>
    <w:rsid w:val="00F717EE"/>
    <w:rsid w:val="00F7231F"/>
    <w:rsid w:val="00F72483"/>
    <w:rsid w:val="00F76054"/>
    <w:rsid w:val="00F76C2E"/>
    <w:rsid w:val="00F77066"/>
    <w:rsid w:val="00F82AF0"/>
    <w:rsid w:val="00F92B06"/>
    <w:rsid w:val="00F940A7"/>
    <w:rsid w:val="00F942A5"/>
    <w:rsid w:val="00FA00F9"/>
    <w:rsid w:val="00FA0CD2"/>
    <w:rsid w:val="00FA115D"/>
    <w:rsid w:val="00FA3B11"/>
    <w:rsid w:val="00FA4658"/>
    <w:rsid w:val="00FA7303"/>
    <w:rsid w:val="00FB4A59"/>
    <w:rsid w:val="00FB5CE7"/>
    <w:rsid w:val="00FB5E05"/>
    <w:rsid w:val="00FB6DC6"/>
    <w:rsid w:val="00FB7527"/>
    <w:rsid w:val="00FB7ED2"/>
    <w:rsid w:val="00FB7F2D"/>
    <w:rsid w:val="00FC1B1D"/>
    <w:rsid w:val="00FC1F68"/>
    <w:rsid w:val="00FC26A5"/>
    <w:rsid w:val="00FC4870"/>
    <w:rsid w:val="00FC59B1"/>
    <w:rsid w:val="00FC7872"/>
    <w:rsid w:val="00FC7924"/>
    <w:rsid w:val="00FC7ECF"/>
    <w:rsid w:val="00FC7EDD"/>
    <w:rsid w:val="00FD08C4"/>
    <w:rsid w:val="00FD17FF"/>
    <w:rsid w:val="00FD1EA1"/>
    <w:rsid w:val="00FD2DA6"/>
    <w:rsid w:val="00FD76AF"/>
    <w:rsid w:val="00FE2E6D"/>
    <w:rsid w:val="00FE65B1"/>
    <w:rsid w:val="00FF0CAE"/>
    <w:rsid w:val="00FF1BCA"/>
    <w:rsid w:val="00FF2BE4"/>
    <w:rsid w:val="00FF5E82"/>
    <w:rsid w:val="00FF7320"/>
    <w:rsid w:val="00FF7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46AF7"/>
  <w15:chartTrackingRefBased/>
  <w15:docId w15:val="{13636E4A-AA2E-AE41-AD58-18D70E2AD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before="1" w:line="360" w:lineRule="auto"/>
        <w:ind w:left="158" w:right="288" w:firstLine="72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647"/>
    <w:pPr>
      <w:spacing w:before="0"/>
    </w:pPr>
    <w:rPr>
      <w:rFonts w:asciiTheme="majorHAnsi" w:hAnsiTheme="majorHAnsi"/>
    </w:rPr>
  </w:style>
  <w:style w:type="paragraph" w:styleId="Heading1">
    <w:name w:val="heading 1"/>
    <w:basedOn w:val="Normal"/>
    <w:next w:val="paragraph"/>
    <w:link w:val="Heading1Char"/>
    <w:qFormat/>
    <w:rsid w:val="008437CB"/>
    <w:pPr>
      <w:numPr>
        <w:numId w:val="13"/>
      </w:numPr>
      <w:jc w:val="center"/>
      <w:outlineLvl w:val="0"/>
    </w:pPr>
    <w:rPr>
      <w:rFonts w:ascii="Times New Roman" w:eastAsia="Times New Roman" w:hAnsi="Times New Roman" w:cs="Arial"/>
      <w:b/>
      <w:bCs/>
      <w:kern w:val="32"/>
      <w:sz w:val="28"/>
      <w:szCs w:val="32"/>
      <w:lang w:val="en-GB" w:eastAsia="en-GB"/>
    </w:rPr>
  </w:style>
  <w:style w:type="paragraph" w:styleId="Heading2">
    <w:name w:val="heading 2"/>
    <w:basedOn w:val="Normal"/>
    <w:next w:val="Normal"/>
    <w:link w:val="Heading2Char"/>
    <w:uiPriority w:val="9"/>
    <w:unhideWhenUsed/>
    <w:qFormat/>
    <w:rsid w:val="0060435B"/>
    <w:pPr>
      <w:widowControl w:val="0"/>
      <w:numPr>
        <w:ilvl w:val="1"/>
        <w:numId w:val="13"/>
      </w:numPr>
      <w:ind w:left="158"/>
      <w:jc w:val="left"/>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60435B"/>
    <w:pPr>
      <w:numPr>
        <w:ilvl w:val="2"/>
        <w:numId w:val="13"/>
      </w:numPr>
      <w:ind w:left="158"/>
      <w:outlineLvl w:val="2"/>
    </w:pPr>
    <w:rPr>
      <w:rFonts w:eastAsiaTheme="majorEastAsia" w:cstheme="majorBidi"/>
      <w:b/>
      <w:color w:val="000000" w:themeColor="text1"/>
    </w:rPr>
  </w:style>
  <w:style w:type="paragraph" w:styleId="Heading4">
    <w:name w:val="heading 4"/>
    <w:basedOn w:val="Normal"/>
    <w:next w:val="Normal"/>
    <w:link w:val="Heading4Char"/>
    <w:uiPriority w:val="9"/>
    <w:unhideWhenUsed/>
    <w:qFormat/>
    <w:rsid w:val="008437CB"/>
    <w:pPr>
      <w:keepNext/>
      <w:keepLines/>
      <w:numPr>
        <w:ilvl w:val="3"/>
        <w:numId w:val="13"/>
      </w:numPr>
      <w:spacing w:before="40"/>
      <w:ind w:left="158"/>
      <w:outlineLvl w:val="3"/>
    </w:pPr>
    <w:rPr>
      <w:rFonts w:eastAsiaTheme="majorEastAsia" w:cs="Times New Roman (Headings CS)"/>
      <w:i/>
      <w:iCs/>
      <w:color w:val="000000" w:themeColor="text1"/>
    </w:rPr>
  </w:style>
  <w:style w:type="paragraph" w:styleId="Heading5">
    <w:name w:val="heading 5"/>
    <w:basedOn w:val="Normal"/>
    <w:next w:val="Normal"/>
    <w:link w:val="Heading5Char"/>
    <w:uiPriority w:val="9"/>
    <w:semiHidden/>
    <w:unhideWhenUsed/>
    <w:qFormat/>
    <w:rsid w:val="0083097F"/>
    <w:pPr>
      <w:keepNext/>
      <w:keepLines/>
      <w:numPr>
        <w:ilvl w:val="4"/>
        <w:numId w:val="13"/>
      </w:numPr>
      <w:spacing w:before="40"/>
      <w:outlineLvl w:val="4"/>
    </w:pPr>
    <w:rPr>
      <w:rFonts w:eastAsiaTheme="majorEastAsia" w:cstheme="majorBidi"/>
      <w:color w:val="1872A0" w:themeColor="accent1" w:themeShade="BF"/>
    </w:rPr>
  </w:style>
  <w:style w:type="paragraph" w:styleId="Heading6">
    <w:name w:val="heading 6"/>
    <w:basedOn w:val="Normal"/>
    <w:next w:val="Normal"/>
    <w:link w:val="Heading6Char"/>
    <w:uiPriority w:val="9"/>
    <w:semiHidden/>
    <w:unhideWhenUsed/>
    <w:qFormat/>
    <w:rsid w:val="0083097F"/>
    <w:pPr>
      <w:keepNext/>
      <w:keepLines/>
      <w:numPr>
        <w:ilvl w:val="5"/>
        <w:numId w:val="13"/>
      </w:numPr>
      <w:spacing w:before="40"/>
      <w:outlineLvl w:val="5"/>
    </w:pPr>
    <w:rPr>
      <w:rFonts w:eastAsiaTheme="majorEastAsia" w:cstheme="majorBidi"/>
      <w:color w:val="104B6B" w:themeColor="accent1" w:themeShade="7F"/>
    </w:rPr>
  </w:style>
  <w:style w:type="paragraph" w:styleId="Heading7">
    <w:name w:val="heading 7"/>
    <w:basedOn w:val="Normal"/>
    <w:next w:val="Normal"/>
    <w:link w:val="Heading7Char"/>
    <w:uiPriority w:val="9"/>
    <w:semiHidden/>
    <w:unhideWhenUsed/>
    <w:qFormat/>
    <w:rsid w:val="0083097F"/>
    <w:pPr>
      <w:keepNext/>
      <w:keepLines/>
      <w:numPr>
        <w:ilvl w:val="6"/>
        <w:numId w:val="13"/>
      </w:numPr>
      <w:spacing w:before="40"/>
      <w:outlineLvl w:val="6"/>
    </w:pPr>
    <w:rPr>
      <w:rFonts w:eastAsiaTheme="majorEastAsia" w:cstheme="majorBidi"/>
      <w:i/>
      <w:iCs/>
      <w:color w:val="104B6B" w:themeColor="accent1" w:themeShade="7F"/>
    </w:rPr>
  </w:style>
  <w:style w:type="paragraph" w:styleId="Heading8">
    <w:name w:val="heading 8"/>
    <w:basedOn w:val="Normal"/>
    <w:next w:val="Normal"/>
    <w:link w:val="Heading8Char"/>
    <w:uiPriority w:val="9"/>
    <w:semiHidden/>
    <w:unhideWhenUsed/>
    <w:qFormat/>
    <w:rsid w:val="0083097F"/>
    <w:pPr>
      <w:keepNext/>
      <w:keepLines/>
      <w:numPr>
        <w:ilvl w:val="7"/>
        <w:numId w:val="13"/>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3097F"/>
    <w:pPr>
      <w:keepNext/>
      <w:keepLines/>
      <w:numPr>
        <w:ilvl w:val="8"/>
        <w:numId w:val="13"/>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link w:val="Title"/>
    <w:rsid w:val="00310878"/>
    <w:rPr>
      <w:rFonts w:ascii="Arial" w:hAnsi="Arial" w:cs="Arial"/>
      <w:b/>
      <w:sz w:val="28"/>
      <w:lang w:val="en-CA"/>
    </w:rPr>
  </w:style>
  <w:style w:type="paragraph" w:styleId="Title">
    <w:name w:val="Title"/>
    <w:basedOn w:val="Normal"/>
    <w:link w:val="TitleChar"/>
    <w:qFormat/>
    <w:rsid w:val="00310878"/>
    <w:pPr>
      <w:spacing w:line="240" w:lineRule="auto"/>
      <w:ind w:left="0" w:right="0" w:firstLine="0"/>
      <w:jc w:val="center"/>
    </w:pPr>
    <w:rPr>
      <w:rFonts w:ascii="Arial" w:hAnsi="Arial" w:cs="Arial"/>
      <w:b/>
      <w:sz w:val="28"/>
      <w:lang w:val="en-CA"/>
    </w:rPr>
  </w:style>
  <w:style w:type="character" w:customStyle="1" w:styleId="TitleChar1">
    <w:name w:val="Title Char1"/>
    <w:basedOn w:val="DefaultParagraphFont"/>
    <w:uiPriority w:val="10"/>
    <w:rsid w:val="00310878"/>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rsid w:val="008437CB"/>
    <w:rPr>
      <w:rFonts w:ascii="Times New Roman" w:eastAsia="Times New Roman" w:hAnsi="Times New Roman" w:cs="Arial"/>
      <w:b/>
      <w:bCs/>
      <w:kern w:val="32"/>
      <w:sz w:val="28"/>
      <w:szCs w:val="32"/>
      <w:lang w:val="en-GB" w:eastAsia="en-GB"/>
    </w:rPr>
  </w:style>
  <w:style w:type="character" w:customStyle="1" w:styleId="Heading2Char">
    <w:name w:val="Heading 2 Char"/>
    <w:basedOn w:val="DefaultParagraphFont"/>
    <w:link w:val="Heading2"/>
    <w:uiPriority w:val="9"/>
    <w:rsid w:val="0060435B"/>
    <w:rPr>
      <w:rFonts w:asciiTheme="majorHAnsi" w:eastAsiaTheme="majorEastAsia" w:hAnsiTheme="majorHAnsi" w:cstheme="majorBidi"/>
      <w:b/>
      <w:color w:val="000000" w:themeColor="text1"/>
      <w:szCs w:val="26"/>
    </w:rPr>
  </w:style>
  <w:style w:type="character" w:customStyle="1" w:styleId="Heading3Char">
    <w:name w:val="Heading 3 Char"/>
    <w:basedOn w:val="DefaultParagraphFont"/>
    <w:link w:val="Heading3"/>
    <w:uiPriority w:val="9"/>
    <w:rsid w:val="0060435B"/>
    <w:rPr>
      <w:rFonts w:asciiTheme="majorHAnsi" w:eastAsiaTheme="majorEastAsia" w:hAnsiTheme="majorHAnsi" w:cstheme="majorBidi"/>
      <w:b/>
      <w:color w:val="000000" w:themeColor="text1"/>
    </w:rPr>
  </w:style>
  <w:style w:type="paragraph" w:styleId="ListParagraph">
    <w:name w:val="List Paragraph"/>
    <w:basedOn w:val="Normal"/>
    <w:uiPriority w:val="34"/>
    <w:qFormat/>
    <w:rsid w:val="00310878"/>
    <w:pPr>
      <w:spacing w:after="160" w:line="259" w:lineRule="auto"/>
      <w:ind w:left="720" w:right="0" w:firstLine="0"/>
      <w:contextualSpacing/>
      <w:jc w:val="left"/>
    </w:pPr>
    <w:rPr>
      <w:sz w:val="22"/>
      <w:szCs w:val="22"/>
    </w:rPr>
  </w:style>
  <w:style w:type="paragraph" w:styleId="TOC1">
    <w:name w:val="toc 1"/>
    <w:basedOn w:val="Normal"/>
    <w:next w:val="Normal"/>
    <w:autoRedefine/>
    <w:uiPriority w:val="39"/>
    <w:rsid w:val="00970C56"/>
    <w:pPr>
      <w:ind w:firstLine="0"/>
      <w:jc w:val="left"/>
    </w:pPr>
    <w:rPr>
      <w:rFonts w:cs="Arial (Body)"/>
      <w:b/>
      <w:bCs/>
      <w:szCs w:val="20"/>
    </w:rPr>
  </w:style>
  <w:style w:type="paragraph" w:styleId="TOC2">
    <w:name w:val="toc 2"/>
    <w:basedOn w:val="Normal"/>
    <w:next w:val="Normal"/>
    <w:autoRedefine/>
    <w:uiPriority w:val="39"/>
    <w:unhideWhenUsed/>
    <w:rsid w:val="009902D6"/>
    <w:pPr>
      <w:tabs>
        <w:tab w:val="right" w:leader="dot" w:pos="8630"/>
      </w:tabs>
      <w:spacing w:line="276" w:lineRule="auto"/>
      <w:ind w:left="360" w:firstLine="0"/>
      <w:jc w:val="left"/>
    </w:pPr>
    <w:rPr>
      <w:rFonts w:cs="Arial (Body)"/>
      <w:b/>
      <w:szCs w:val="20"/>
    </w:rPr>
  </w:style>
  <w:style w:type="paragraph" w:styleId="TOC3">
    <w:name w:val="toc 3"/>
    <w:basedOn w:val="Normal"/>
    <w:next w:val="Normal"/>
    <w:autoRedefine/>
    <w:uiPriority w:val="39"/>
    <w:unhideWhenUsed/>
    <w:rsid w:val="009902D6"/>
    <w:pPr>
      <w:spacing w:line="276" w:lineRule="auto"/>
      <w:ind w:left="720" w:firstLine="0"/>
      <w:jc w:val="left"/>
    </w:pPr>
    <w:rPr>
      <w:rFonts w:cs="Arial (Body)"/>
      <w:b/>
      <w:iCs/>
      <w:szCs w:val="20"/>
    </w:rPr>
  </w:style>
  <w:style w:type="character" w:styleId="CommentReference">
    <w:name w:val="annotation reference"/>
    <w:basedOn w:val="DefaultParagraphFont"/>
    <w:uiPriority w:val="99"/>
    <w:unhideWhenUsed/>
    <w:rsid w:val="00310878"/>
    <w:rPr>
      <w:sz w:val="16"/>
      <w:szCs w:val="16"/>
    </w:rPr>
  </w:style>
  <w:style w:type="paragraph" w:styleId="CommentText">
    <w:name w:val="annotation text"/>
    <w:basedOn w:val="Normal"/>
    <w:link w:val="CommentTextChar"/>
    <w:uiPriority w:val="99"/>
    <w:unhideWhenUsed/>
    <w:rsid w:val="00310878"/>
    <w:pPr>
      <w:spacing w:after="160" w:line="240" w:lineRule="auto"/>
      <w:ind w:left="0" w:right="0" w:firstLine="0"/>
      <w:jc w:val="left"/>
    </w:pPr>
    <w:rPr>
      <w:sz w:val="20"/>
      <w:szCs w:val="20"/>
    </w:rPr>
  </w:style>
  <w:style w:type="character" w:customStyle="1" w:styleId="CommentTextChar">
    <w:name w:val="Comment Text Char"/>
    <w:basedOn w:val="DefaultParagraphFont"/>
    <w:link w:val="CommentText"/>
    <w:uiPriority w:val="99"/>
    <w:rsid w:val="00310878"/>
    <w:rPr>
      <w:sz w:val="20"/>
      <w:szCs w:val="20"/>
    </w:rPr>
  </w:style>
  <w:style w:type="paragraph" w:styleId="CommentSubject">
    <w:name w:val="annotation subject"/>
    <w:basedOn w:val="CommentText"/>
    <w:next w:val="CommentText"/>
    <w:link w:val="CommentSubjectChar"/>
    <w:uiPriority w:val="99"/>
    <w:semiHidden/>
    <w:unhideWhenUsed/>
    <w:rsid w:val="00310878"/>
    <w:rPr>
      <w:b/>
      <w:bCs/>
    </w:rPr>
  </w:style>
  <w:style w:type="character" w:customStyle="1" w:styleId="CommentSubjectChar">
    <w:name w:val="Comment Subject Char"/>
    <w:basedOn w:val="CommentTextChar"/>
    <w:link w:val="CommentSubject"/>
    <w:uiPriority w:val="99"/>
    <w:semiHidden/>
    <w:rsid w:val="00310878"/>
    <w:rPr>
      <w:b/>
      <w:bCs/>
      <w:sz w:val="20"/>
      <w:szCs w:val="20"/>
    </w:rPr>
  </w:style>
  <w:style w:type="character" w:styleId="Hyperlink">
    <w:name w:val="Hyperlink"/>
    <w:uiPriority w:val="99"/>
    <w:rsid w:val="00310878"/>
    <w:rPr>
      <w:color w:val="0000FF"/>
      <w:u w:val="single"/>
    </w:rPr>
  </w:style>
  <w:style w:type="paragraph" w:customStyle="1" w:styleId="Newparagraph">
    <w:name w:val="New paragraph"/>
    <w:basedOn w:val="Normal"/>
    <w:qFormat/>
    <w:rsid w:val="00310878"/>
    <w:pPr>
      <w:spacing w:line="480" w:lineRule="auto"/>
      <w:ind w:left="0" w:right="0"/>
      <w:jc w:val="left"/>
    </w:pPr>
    <w:rPr>
      <w:rFonts w:ascii="Times New Roman" w:eastAsia="Times New Roman" w:hAnsi="Times New Roman" w:cs="Times New Roman"/>
      <w:lang w:val="en-GB" w:eastAsia="en-GB"/>
    </w:rPr>
  </w:style>
  <w:style w:type="paragraph" w:customStyle="1" w:styleId="paragraph">
    <w:name w:val="paragraph"/>
    <w:basedOn w:val="Normal"/>
    <w:rsid w:val="00310878"/>
    <w:pPr>
      <w:spacing w:before="100" w:beforeAutospacing="1" w:after="100" w:afterAutospacing="1" w:line="240" w:lineRule="auto"/>
      <w:ind w:left="0" w:right="0" w:firstLine="0"/>
      <w:jc w:val="left"/>
    </w:pPr>
    <w:rPr>
      <w:rFonts w:ascii="Times New Roman" w:eastAsia="Times New Roman" w:hAnsi="Times New Roman" w:cs="Times New Roman"/>
    </w:rPr>
  </w:style>
  <w:style w:type="paragraph" w:styleId="Header">
    <w:name w:val="header"/>
    <w:basedOn w:val="Normal"/>
    <w:link w:val="HeaderChar"/>
    <w:uiPriority w:val="99"/>
    <w:unhideWhenUsed/>
    <w:rsid w:val="00310878"/>
    <w:pPr>
      <w:tabs>
        <w:tab w:val="center" w:pos="4680"/>
        <w:tab w:val="right" w:pos="9360"/>
      </w:tabs>
      <w:spacing w:line="240" w:lineRule="auto"/>
      <w:ind w:left="0" w:right="0" w:firstLine="0"/>
      <w:jc w:val="left"/>
    </w:pPr>
    <w:rPr>
      <w:sz w:val="22"/>
      <w:szCs w:val="22"/>
    </w:rPr>
  </w:style>
  <w:style w:type="character" w:customStyle="1" w:styleId="HeaderChar">
    <w:name w:val="Header Char"/>
    <w:basedOn w:val="DefaultParagraphFont"/>
    <w:link w:val="Header"/>
    <w:uiPriority w:val="99"/>
    <w:rsid w:val="00310878"/>
    <w:rPr>
      <w:sz w:val="22"/>
      <w:szCs w:val="22"/>
    </w:rPr>
  </w:style>
  <w:style w:type="paragraph" w:styleId="Footer">
    <w:name w:val="footer"/>
    <w:basedOn w:val="Normal"/>
    <w:link w:val="FooterChar"/>
    <w:uiPriority w:val="99"/>
    <w:unhideWhenUsed/>
    <w:rsid w:val="00310878"/>
    <w:pPr>
      <w:tabs>
        <w:tab w:val="center" w:pos="4680"/>
        <w:tab w:val="right" w:pos="9360"/>
      </w:tabs>
      <w:spacing w:line="240" w:lineRule="auto"/>
      <w:ind w:left="0" w:right="0" w:firstLine="0"/>
      <w:jc w:val="left"/>
    </w:pPr>
    <w:rPr>
      <w:sz w:val="22"/>
      <w:szCs w:val="22"/>
    </w:rPr>
  </w:style>
  <w:style w:type="character" w:customStyle="1" w:styleId="FooterChar">
    <w:name w:val="Footer Char"/>
    <w:basedOn w:val="DefaultParagraphFont"/>
    <w:link w:val="Footer"/>
    <w:uiPriority w:val="99"/>
    <w:rsid w:val="00310878"/>
    <w:rPr>
      <w:sz w:val="22"/>
      <w:szCs w:val="22"/>
    </w:rPr>
  </w:style>
  <w:style w:type="paragraph" w:styleId="NormalWeb">
    <w:name w:val="Normal (Web)"/>
    <w:basedOn w:val="Normal"/>
    <w:uiPriority w:val="99"/>
    <w:unhideWhenUsed/>
    <w:qFormat/>
    <w:rsid w:val="00310878"/>
    <w:pPr>
      <w:spacing w:before="100" w:beforeAutospacing="1" w:after="100" w:afterAutospacing="1" w:line="240" w:lineRule="auto"/>
      <w:ind w:left="0" w:right="0" w:firstLine="0"/>
      <w:jc w:val="left"/>
    </w:pPr>
    <w:rPr>
      <w:rFonts w:ascii="Times New Roman" w:eastAsia="Times New Roman" w:hAnsi="Times New Roman" w:cs="Times New Roman"/>
    </w:rPr>
  </w:style>
  <w:style w:type="character" w:styleId="Emphasis">
    <w:name w:val="Emphasis"/>
    <w:basedOn w:val="DefaultParagraphFont"/>
    <w:uiPriority w:val="20"/>
    <w:qFormat/>
    <w:rsid w:val="00310878"/>
    <w:rPr>
      <w:i/>
      <w:iCs/>
    </w:rPr>
  </w:style>
  <w:style w:type="table" w:styleId="TableGrid">
    <w:name w:val="Table Grid"/>
    <w:basedOn w:val="TableNormal"/>
    <w:uiPriority w:val="39"/>
    <w:rsid w:val="00310878"/>
    <w:pPr>
      <w:spacing w:before="0" w:line="240" w:lineRule="auto"/>
      <w:ind w:left="0" w:right="0" w:firstLine="0"/>
      <w:jc w:val="left"/>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10878"/>
    <w:pPr>
      <w:autoSpaceDE w:val="0"/>
      <w:autoSpaceDN w:val="0"/>
      <w:adjustRightInd w:val="0"/>
      <w:spacing w:before="0" w:line="240" w:lineRule="auto"/>
      <w:ind w:left="0" w:right="0" w:firstLine="0"/>
      <w:jc w:val="left"/>
    </w:pPr>
    <w:rPr>
      <w:rFonts w:ascii="Arial Narrow" w:hAnsi="Arial Narrow" w:cs="Arial Narrow"/>
      <w:color w:val="000000"/>
    </w:rPr>
  </w:style>
  <w:style w:type="paragraph" w:styleId="Caption">
    <w:name w:val="caption"/>
    <w:basedOn w:val="Normal"/>
    <w:next w:val="Normal"/>
    <w:uiPriority w:val="35"/>
    <w:unhideWhenUsed/>
    <w:qFormat/>
    <w:rsid w:val="00235112"/>
    <w:pPr>
      <w:numPr>
        <w:numId w:val="6"/>
      </w:numPr>
      <w:spacing w:line="276" w:lineRule="auto"/>
      <w:ind w:left="144" w:firstLine="0"/>
    </w:pPr>
    <w:rPr>
      <w:b/>
      <w:iCs/>
      <w:color w:val="000000" w:themeColor="text1"/>
      <w:szCs w:val="18"/>
    </w:rPr>
  </w:style>
  <w:style w:type="character" w:styleId="PlaceholderText">
    <w:name w:val="Placeholder Text"/>
    <w:basedOn w:val="DefaultParagraphFont"/>
    <w:uiPriority w:val="99"/>
    <w:rsid w:val="00310878"/>
    <w:rPr>
      <w:color w:val="808080"/>
    </w:rPr>
  </w:style>
  <w:style w:type="paragraph" w:styleId="BodyText">
    <w:name w:val="Body Text"/>
    <w:basedOn w:val="Normal"/>
    <w:link w:val="BodyTextChar"/>
    <w:uiPriority w:val="1"/>
    <w:qFormat/>
    <w:rsid w:val="00351B8D"/>
    <w:pPr>
      <w:widowControl w:val="0"/>
      <w:autoSpaceDE w:val="0"/>
      <w:autoSpaceDN w:val="0"/>
      <w:spacing w:line="276" w:lineRule="auto"/>
      <w:ind w:firstLine="0"/>
    </w:pPr>
    <w:rPr>
      <w:rFonts w:eastAsia="Arial" w:cs="Arial"/>
      <w:color w:val="000000" w:themeColor="text1"/>
      <w:szCs w:val="22"/>
    </w:rPr>
  </w:style>
  <w:style w:type="character" w:customStyle="1" w:styleId="BodyTextChar">
    <w:name w:val="Body Text Char"/>
    <w:basedOn w:val="DefaultParagraphFont"/>
    <w:link w:val="BodyText"/>
    <w:uiPriority w:val="1"/>
    <w:rsid w:val="00351B8D"/>
    <w:rPr>
      <w:rFonts w:asciiTheme="majorHAnsi" w:eastAsia="Arial" w:hAnsiTheme="majorHAnsi" w:cs="Arial"/>
      <w:color w:val="000000" w:themeColor="text1"/>
      <w:szCs w:val="22"/>
    </w:rPr>
  </w:style>
  <w:style w:type="character" w:styleId="UnresolvedMention">
    <w:name w:val="Unresolved Mention"/>
    <w:basedOn w:val="DefaultParagraphFont"/>
    <w:uiPriority w:val="99"/>
    <w:semiHidden/>
    <w:unhideWhenUsed/>
    <w:rsid w:val="00310878"/>
    <w:rPr>
      <w:color w:val="605E5C"/>
      <w:shd w:val="clear" w:color="auto" w:fill="E1DFDD"/>
    </w:rPr>
  </w:style>
  <w:style w:type="character" w:styleId="FollowedHyperlink">
    <w:name w:val="FollowedHyperlink"/>
    <w:basedOn w:val="DefaultParagraphFont"/>
    <w:uiPriority w:val="99"/>
    <w:semiHidden/>
    <w:unhideWhenUsed/>
    <w:rsid w:val="00310878"/>
    <w:rPr>
      <w:color w:val="42282C" w:themeColor="followedHyperlink"/>
      <w:u w:val="single"/>
    </w:rPr>
  </w:style>
  <w:style w:type="paragraph" w:styleId="Revision">
    <w:name w:val="Revision"/>
    <w:hidden/>
    <w:uiPriority w:val="99"/>
    <w:semiHidden/>
    <w:rsid w:val="00310878"/>
    <w:pPr>
      <w:spacing w:before="0" w:line="240" w:lineRule="auto"/>
      <w:ind w:left="0" w:right="0" w:firstLine="0"/>
      <w:jc w:val="left"/>
    </w:pPr>
    <w:rPr>
      <w:sz w:val="22"/>
      <w:szCs w:val="22"/>
    </w:rPr>
  </w:style>
  <w:style w:type="character" w:styleId="Strong">
    <w:name w:val="Strong"/>
    <w:basedOn w:val="DefaultParagraphFont"/>
    <w:uiPriority w:val="22"/>
    <w:qFormat/>
    <w:rsid w:val="00174497"/>
    <w:rPr>
      <w:rFonts w:asciiTheme="majorHAnsi" w:hAnsiTheme="majorHAnsi"/>
      <w:b/>
      <w:bCs/>
      <w:i w:val="0"/>
      <w:sz w:val="28"/>
    </w:rPr>
  </w:style>
  <w:style w:type="paragraph" w:customStyle="1" w:styleId="msonormal0">
    <w:name w:val="msonormal"/>
    <w:basedOn w:val="Normal"/>
    <w:rsid w:val="00310878"/>
    <w:pPr>
      <w:spacing w:before="100" w:beforeAutospacing="1" w:after="100" w:afterAutospacing="1" w:line="240" w:lineRule="auto"/>
      <w:ind w:left="0" w:right="0" w:firstLine="0"/>
      <w:jc w:val="left"/>
    </w:pPr>
    <w:rPr>
      <w:rFonts w:ascii="Times New Roman" w:eastAsiaTheme="minorEastAsia" w:hAnsi="Times New Roman" w:cs="Times New Roman"/>
    </w:rPr>
  </w:style>
  <w:style w:type="numbering" w:styleId="111111">
    <w:name w:val="Outline List 2"/>
    <w:basedOn w:val="NoList"/>
    <w:uiPriority w:val="99"/>
    <w:semiHidden/>
    <w:unhideWhenUsed/>
    <w:rsid w:val="002866DB"/>
    <w:pPr>
      <w:numPr>
        <w:numId w:val="1"/>
      </w:numPr>
    </w:pPr>
  </w:style>
  <w:style w:type="character" w:styleId="PageNumber">
    <w:name w:val="page number"/>
    <w:basedOn w:val="DefaultParagraphFont"/>
    <w:uiPriority w:val="99"/>
    <w:semiHidden/>
    <w:unhideWhenUsed/>
    <w:rsid w:val="00CF4E09"/>
  </w:style>
  <w:style w:type="paragraph" w:styleId="TOCHeading">
    <w:name w:val="TOC Heading"/>
    <w:basedOn w:val="Heading1"/>
    <w:next w:val="Title"/>
    <w:uiPriority w:val="39"/>
    <w:unhideWhenUsed/>
    <w:qFormat/>
    <w:rsid w:val="006A2093"/>
    <w:pPr>
      <w:keepNext/>
      <w:keepLines/>
      <w:numPr>
        <w:numId w:val="0"/>
      </w:numPr>
      <w:spacing w:line="276" w:lineRule="auto"/>
      <w:ind w:right="0"/>
      <w:jc w:val="left"/>
      <w:outlineLvl w:val="9"/>
    </w:pPr>
    <w:rPr>
      <w:rFonts w:asciiTheme="majorHAnsi" w:eastAsiaTheme="majorEastAsia" w:hAnsiTheme="majorHAnsi" w:cs="Times New Roman (Headings CS)"/>
      <w:caps/>
      <w:color w:val="000000" w:themeColor="text1"/>
      <w:kern w:val="0"/>
      <w:szCs w:val="28"/>
      <w:lang w:val="en-US" w:eastAsia="en-US"/>
    </w:rPr>
  </w:style>
  <w:style w:type="paragraph" w:styleId="TOC4">
    <w:name w:val="toc 4"/>
    <w:basedOn w:val="Normal"/>
    <w:next w:val="Normal"/>
    <w:autoRedefine/>
    <w:uiPriority w:val="39"/>
    <w:unhideWhenUsed/>
    <w:rsid w:val="009902D6"/>
    <w:pPr>
      <w:spacing w:line="276" w:lineRule="auto"/>
      <w:ind w:left="720"/>
      <w:jc w:val="left"/>
    </w:pPr>
    <w:rPr>
      <w:rFonts w:ascii="Times New Roman" w:hAnsi="Times New Roman" w:cs="Arial (Body)"/>
      <w:i/>
      <w:szCs w:val="18"/>
    </w:rPr>
  </w:style>
  <w:style w:type="paragraph" w:styleId="TOC5">
    <w:name w:val="toc 5"/>
    <w:basedOn w:val="Normal"/>
    <w:next w:val="Normal"/>
    <w:autoRedefine/>
    <w:uiPriority w:val="39"/>
    <w:unhideWhenUsed/>
    <w:rsid w:val="00FD1EA1"/>
    <w:pPr>
      <w:ind w:left="960"/>
      <w:jc w:val="left"/>
    </w:pPr>
    <w:rPr>
      <w:rFonts w:asciiTheme="minorHAnsi" w:hAnsiTheme="minorHAnsi" w:cstheme="minorHAnsi"/>
      <w:sz w:val="18"/>
      <w:szCs w:val="18"/>
    </w:rPr>
  </w:style>
  <w:style w:type="paragraph" w:styleId="TOC6">
    <w:name w:val="toc 6"/>
    <w:basedOn w:val="Normal"/>
    <w:next w:val="Normal"/>
    <w:autoRedefine/>
    <w:uiPriority w:val="39"/>
    <w:unhideWhenUsed/>
    <w:rsid w:val="00FD1EA1"/>
    <w:pPr>
      <w:ind w:left="1200"/>
      <w:jc w:val="left"/>
    </w:pPr>
    <w:rPr>
      <w:rFonts w:asciiTheme="minorHAnsi" w:hAnsiTheme="minorHAnsi" w:cstheme="minorHAnsi"/>
      <w:sz w:val="18"/>
      <w:szCs w:val="18"/>
    </w:rPr>
  </w:style>
  <w:style w:type="paragraph" w:styleId="TOC7">
    <w:name w:val="toc 7"/>
    <w:basedOn w:val="Normal"/>
    <w:next w:val="Normal"/>
    <w:autoRedefine/>
    <w:uiPriority w:val="39"/>
    <w:unhideWhenUsed/>
    <w:rsid w:val="00FD1EA1"/>
    <w:pPr>
      <w:ind w:left="1440"/>
      <w:jc w:val="left"/>
    </w:pPr>
    <w:rPr>
      <w:rFonts w:asciiTheme="minorHAnsi" w:hAnsiTheme="minorHAnsi" w:cstheme="minorHAnsi"/>
      <w:sz w:val="18"/>
      <w:szCs w:val="18"/>
    </w:rPr>
  </w:style>
  <w:style w:type="paragraph" w:styleId="TOC8">
    <w:name w:val="toc 8"/>
    <w:basedOn w:val="Normal"/>
    <w:next w:val="Normal"/>
    <w:autoRedefine/>
    <w:uiPriority w:val="39"/>
    <w:unhideWhenUsed/>
    <w:rsid w:val="00FD1EA1"/>
    <w:pPr>
      <w:ind w:left="1680"/>
      <w:jc w:val="left"/>
    </w:pPr>
    <w:rPr>
      <w:rFonts w:asciiTheme="minorHAnsi" w:hAnsiTheme="minorHAnsi" w:cstheme="minorHAnsi"/>
      <w:sz w:val="18"/>
      <w:szCs w:val="18"/>
    </w:rPr>
  </w:style>
  <w:style w:type="paragraph" w:styleId="TOC9">
    <w:name w:val="toc 9"/>
    <w:basedOn w:val="Normal"/>
    <w:next w:val="Normal"/>
    <w:autoRedefine/>
    <w:uiPriority w:val="39"/>
    <w:unhideWhenUsed/>
    <w:rsid w:val="00477628"/>
    <w:pPr>
      <w:numPr>
        <w:numId w:val="5"/>
      </w:numPr>
      <w:jc w:val="left"/>
    </w:pPr>
    <w:rPr>
      <w:rFonts w:cs="Arial (Body)"/>
      <w:color w:val="000000" w:themeColor="text1"/>
      <w:szCs w:val="18"/>
    </w:rPr>
  </w:style>
  <w:style w:type="paragraph" w:styleId="TableofFigures">
    <w:name w:val="table of figures"/>
    <w:basedOn w:val="Normal"/>
    <w:next w:val="Normal"/>
    <w:uiPriority w:val="99"/>
    <w:unhideWhenUsed/>
    <w:rsid w:val="00350383"/>
    <w:pPr>
      <w:ind w:left="480" w:hanging="480"/>
    </w:pPr>
    <w:rPr>
      <w:rFonts w:ascii="Times New Roman" w:hAnsi="Times New Roman" w:cs="Arial (Body)"/>
      <w:b/>
      <w:szCs w:val="20"/>
    </w:rPr>
  </w:style>
  <w:style w:type="character" w:customStyle="1" w:styleId="Heading4Char">
    <w:name w:val="Heading 4 Char"/>
    <w:basedOn w:val="DefaultParagraphFont"/>
    <w:link w:val="Heading4"/>
    <w:uiPriority w:val="9"/>
    <w:rsid w:val="008437CB"/>
    <w:rPr>
      <w:rFonts w:asciiTheme="majorHAnsi" w:eastAsiaTheme="majorEastAsia" w:hAnsiTheme="majorHAnsi" w:cs="Times New Roman (Headings CS)"/>
      <w:i/>
      <w:iCs/>
      <w:color w:val="000000" w:themeColor="text1"/>
    </w:rPr>
  </w:style>
  <w:style w:type="paragraph" w:customStyle="1" w:styleId="xmsonormal">
    <w:name w:val="x_msonormal"/>
    <w:basedOn w:val="Normal"/>
    <w:rsid w:val="002A0F76"/>
    <w:pPr>
      <w:spacing w:before="100" w:beforeAutospacing="1" w:after="100" w:afterAutospacing="1" w:line="240" w:lineRule="auto"/>
      <w:ind w:left="0" w:right="0" w:firstLine="0"/>
      <w:jc w:val="left"/>
    </w:pPr>
    <w:rPr>
      <w:rFonts w:ascii="Times New Roman" w:eastAsia="Times New Roman" w:hAnsi="Times New Roman" w:cs="Times New Roman"/>
    </w:rPr>
  </w:style>
  <w:style w:type="numbering" w:customStyle="1" w:styleId="CurrentList1">
    <w:name w:val="Current List1"/>
    <w:uiPriority w:val="99"/>
    <w:rsid w:val="00C16802"/>
    <w:pPr>
      <w:numPr>
        <w:numId w:val="7"/>
      </w:numPr>
    </w:pPr>
  </w:style>
  <w:style w:type="numbering" w:customStyle="1" w:styleId="CurrentList2">
    <w:name w:val="Current List2"/>
    <w:uiPriority w:val="99"/>
    <w:rsid w:val="00C16802"/>
    <w:pPr>
      <w:numPr>
        <w:numId w:val="8"/>
      </w:numPr>
    </w:pPr>
  </w:style>
  <w:style w:type="numbering" w:customStyle="1" w:styleId="CurrentList3">
    <w:name w:val="Current List3"/>
    <w:uiPriority w:val="99"/>
    <w:rsid w:val="00C16802"/>
    <w:pPr>
      <w:numPr>
        <w:numId w:val="9"/>
      </w:numPr>
    </w:pPr>
  </w:style>
  <w:style w:type="character" w:customStyle="1" w:styleId="mt-color-27ae60">
    <w:name w:val="mt-color-27ae60"/>
    <w:basedOn w:val="DefaultParagraphFont"/>
    <w:rsid w:val="00555587"/>
  </w:style>
  <w:style w:type="character" w:customStyle="1" w:styleId="mt-color-e74c3c">
    <w:name w:val="mt-color-e74c3c"/>
    <w:basedOn w:val="DefaultParagraphFont"/>
    <w:rsid w:val="00555587"/>
  </w:style>
  <w:style w:type="character" w:customStyle="1" w:styleId="Heading5Char">
    <w:name w:val="Heading 5 Char"/>
    <w:basedOn w:val="DefaultParagraphFont"/>
    <w:link w:val="Heading5"/>
    <w:uiPriority w:val="9"/>
    <w:semiHidden/>
    <w:rsid w:val="0083097F"/>
    <w:rPr>
      <w:rFonts w:asciiTheme="majorHAnsi" w:eastAsiaTheme="majorEastAsia" w:hAnsiTheme="majorHAnsi" w:cstheme="majorBidi"/>
      <w:color w:val="1872A0" w:themeColor="accent1" w:themeShade="BF"/>
    </w:rPr>
  </w:style>
  <w:style w:type="character" w:customStyle="1" w:styleId="Heading6Char">
    <w:name w:val="Heading 6 Char"/>
    <w:basedOn w:val="DefaultParagraphFont"/>
    <w:link w:val="Heading6"/>
    <w:uiPriority w:val="9"/>
    <w:semiHidden/>
    <w:rsid w:val="0083097F"/>
    <w:rPr>
      <w:rFonts w:asciiTheme="majorHAnsi" w:eastAsiaTheme="majorEastAsia" w:hAnsiTheme="majorHAnsi" w:cstheme="majorBidi"/>
      <w:color w:val="104B6B" w:themeColor="accent1" w:themeShade="7F"/>
    </w:rPr>
  </w:style>
  <w:style w:type="character" w:customStyle="1" w:styleId="Heading7Char">
    <w:name w:val="Heading 7 Char"/>
    <w:basedOn w:val="DefaultParagraphFont"/>
    <w:link w:val="Heading7"/>
    <w:uiPriority w:val="9"/>
    <w:semiHidden/>
    <w:rsid w:val="0083097F"/>
    <w:rPr>
      <w:rFonts w:asciiTheme="majorHAnsi" w:eastAsiaTheme="majorEastAsia" w:hAnsiTheme="majorHAnsi" w:cstheme="majorBidi"/>
      <w:i/>
      <w:iCs/>
      <w:color w:val="104B6B" w:themeColor="accent1" w:themeShade="7F"/>
    </w:rPr>
  </w:style>
  <w:style w:type="character" w:customStyle="1" w:styleId="Heading8Char">
    <w:name w:val="Heading 8 Char"/>
    <w:basedOn w:val="DefaultParagraphFont"/>
    <w:link w:val="Heading8"/>
    <w:uiPriority w:val="9"/>
    <w:semiHidden/>
    <w:rsid w:val="0083097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3097F"/>
    <w:rPr>
      <w:rFonts w:asciiTheme="majorHAnsi" w:eastAsiaTheme="majorEastAsia" w:hAnsiTheme="majorHAnsi" w:cstheme="majorBidi"/>
      <w:i/>
      <w:iCs/>
      <w:color w:val="272727" w:themeColor="text1" w:themeTint="D8"/>
      <w:sz w:val="21"/>
      <w:szCs w:val="21"/>
    </w:rPr>
  </w:style>
  <w:style w:type="character" w:styleId="LineNumber">
    <w:name w:val="line number"/>
    <w:basedOn w:val="DefaultParagraphFont"/>
    <w:uiPriority w:val="99"/>
    <w:semiHidden/>
    <w:unhideWhenUsed/>
    <w:rsid w:val="00C42F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2558">
      <w:bodyDiv w:val="1"/>
      <w:marLeft w:val="0"/>
      <w:marRight w:val="0"/>
      <w:marTop w:val="0"/>
      <w:marBottom w:val="0"/>
      <w:divBdr>
        <w:top w:val="none" w:sz="0" w:space="0" w:color="auto"/>
        <w:left w:val="none" w:sz="0" w:space="0" w:color="auto"/>
        <w:bottom w:val="none" w:sz="0" w:space="0" w:color="auto"/>
        <w:right w:val="none" w:sz="0" w:space="0" w:color="auto"/>
      </w:divBdr>
    </w:div>
    <w:div w:id="1245461">
      <w:bodyDiv w:val="1"/>
      <w:marLeft w:val="0"/>
      <w:marRight w:val="0"/>
      <w:marTop w:val="0"/>
      <w:marBottom w:val="0"/>
      <w:divBdr>
        <w:top w:val="none" w:sz="0" w:space="0" w:color="auto"/>
        <w:left w:val="none" w:sz="0" w:space="0" w:color="auto"/>
        <w:bottom w:val="none" w:sz="0" w:space="0" w:color="auto"/>
        <w:right w:val="none" w:sz="0" w:space="0" w:color="auto"/>
      </w:divBdr>
    </w:div>
    <w:div w:id="3287872">
      <w:bodyDiv w:val="1"/>
      <w:marLeft w:val="0"/>
      <w:marRight w:val="0"/>
      <w:marTop w:val="0"/>
      <w:marBottom w:val="0"/>
      <w:divBdr>
        <w:top w:val="none" w:sz="0" w:space="0" w:color="auto"/>
        <w:left w:val="none" w:sz="0" w:space="0" w:color="auto"/>
        <w:bottom w:val="none" w:sz="0" w:space="0" w:color="auto"/>
        <w:right w:val="none" w:sz="0" w:space="0" w:color="auto"/>
      </w:divBdr>
      <w:divsChild>
        <w:div w:id="1120413565">
          <w:marLeft w:val="640"/>
          <w:marRight w:val="0"/>
          <w:marTop w:val="0"/>
          <w:marBottom w:val="0"/>
          <w:divBdr>
            <w:top w:val="none" w:sz="0" w:space="0" w:color="auto"/>
            <w:left w:val="none" w:sz="0" w:space="0" w:color="auto"/>
            <w:bottom w:val="none" w:sz="0" w:space="0" w:color="auto"/>
            <w:right w:val="none" w:sz="0" w:space="0" w:color="auto"/>
          </w:divBdr>
        </w:div>
        <w:div w:id="1902212372">
          <w:marLeft w:val="640"/>
          <w:marRight w:val="0"/>
          <w:marTop w:val="0"/>
          <w:marBottom w:val="0"/>
          <w:divBdr>
            <w:top w:val="none" w:sz="0" w:space="0" w:color="auto"/>
            <w:left w:val="none" w:sz="0" w:space="0" w:color="auto"/>
            <w:bottom w:val="none" w:sz="0" w:space="0" w:color="auto"/>
            <w:right w:val="none" w:sz="0" w:space="0" w:color="auto"/>
          </w:divBdr>
        </w:div>
        <w:div w:id="529562606">
          <w:marLeft w:val="640"/>
          <w:marRight w:val="0"/>
          <w:marTop w:val="0"/>
          <w:marBottom w:val="0"/>
          <w:divBdr>
            <w:top w:val="none" w:sz="0" w:space="0" w:color="auto"/>
            <w:left w:val="none" w:sz="0" w:space="0" w:color="auto"/>
            <w:bottom w:val="none" w:sz="0" w:space="0" w:color="auto"/>
            <w:right w:val="none" w:sz="0" w:space="0" w:color="auto"/>
          </w:divBdr>
        </w:div>
        <w:div w:id="2132169693">
          <w:marLeft w:val="640"/>
          <w:marRight w:val="0"/>
          <w:marTop w:val="0"/>
          <w:marBottom w:val="0"/>
          <w:divBdr>
            <w:top w:val="none" w:sz="0" w:space="0" w:color="auto"/>
            <w:left w:val="none" w:sz="0" w:space="0" w:color="auto"/>
            <w:bottom w:val="none" w:sz="0" w:space="0" w:color="auto"/>
            <w:right w:val="none" w:sz="0" w:space="0" w:color="auto"/>
          </w:divBdr>
        </w:div>
        <w:div w:id="1871842111">
          <w:marLeft w:val="640"/>
          <w:marRight w:val="0"/>
          <w:marTop w:val="0"/>
          <w:marBottom w:val="0"/>
          <w:divBdr>
            <w:top w:val="none" w:sz="0" w:space="0" w:color="auto"/>
            <w:left w:val="none" w:sz="0" w:space="0" w:color="auto"/>
            <w:bottom w:val="none" w:sz="0" w:space="0" w:color="auto"/>
            <w:right w:val="none" w:sz="0" w:space="0" w:color="auto"/>
          </w:divBdr>
        </w:div>
        <w:div w:id="2025015419">
          <w:marLeft w:val="640"/>
          <w:marRight w:val="0"/>
          <w:marTop w:val="0"/>
          <w:marBottom w:val="0"/>
          <w:divBdr>
            <w:top w:val="none" w:sz="0" w:space="0" w:color="auto"/>
            <w:left w:val="none" w:sz="0" w:space="0" w:color="auto"/>
            <w:bottom w:val="none" w:sz="0" w:space="0" w:color="auto"/>
            <w:right w:val="none" w:sz="0" w:space="0" w:color="auto"/>
          </w:divBdr>
        </w:div>
        <w:div w:id="704062991">
          <w:marLeft w:val="640"/>
          <w:marRight w:val="0"/>
          <w:marTop w:val="0"/>
          <w:marBottom w:val="0"/>
          <w:divBdr>
            <w:top w:val="none" w:sz="0" w:space="0" w:color="auto"/>
            <w:left w:val="none" w:sz="0" w:space="0" w:color="auto"/>
            <w:bottom w:val="none" w:sz="0" w:space="0" w:color="auto"/>
            <w:right w:val="none" w:sz="0" w:space="0" w:color="auto"/>
          </w:divBdr>
        </w:div>
        <w:div w:id="727992708">
          <w:marLeft w:val="640"/>
          <w:marRight w:val="0"/>
          <w:marTop w:val="0"/>
          <w:marBottom w:val="0"/>
          <w:divBdr>
            <w:top w:val="none" w:sz="0" w:space="0" w:color="auto"/>
            <w:left w:val="none" w:sz="0" w:space="0" w:color="auto"/>
            <w:bottom w:val="none" w:sz="0" w:space="0" w:color="auto"/>
            <w:right w:val="none" w:sz="0" w:space="0" w:color="auto"/>
          </w:divBdr>
        </w:div>
        <w:div w:id="1915554683">
          <w:marLeft w:val="640"/>
          <w:marRight w:val="0"/>
          <w:marTop w:val="0"/>
          <w:marBottom w:val="0"/>
          <w:divBdr>
            <w:top w:val="none" w:sz="0" w:space="0" w:color="auto"/>
            <w:left w:val="none" w:sz="0" w:space="0" w:color="auto"/>
            <w:bottom w:val="none" w:sz="0" w:space="0" w:color="auto"/>
            <w:right w:val="none" w:sz="0" w:space="0" w:color="auto"/>
          </w:divBdr>
        </w:div>
        <w:div w:id="1893729169">
          <w:marLeft w:val="640"/>
          <w:marRight w:val="0"/>
          <w:marTop w:val="0"/>
          <w:marBottom w:val="0"/>
          <w:divBdr>
            <w:top w:val="none" w:sz="0" w:space="0" w:color="auto"/>
            <w:left w:val="none" w:sz="0" w:space="0" w:color="auto"/>
            <w:bottom w:val="none" w:sz="0" w:space="0" w:color="auto"/>
            <w:right w:val="none" w:sz="0" w:space="0" w:color="auto"/>
          </w:divBdr>
        </w:div>
        <w:div w:id="1329404954">
          <w:marLeft w:val="640"/>
          <w:marRight w:val="0"/>
          <w:marTop w:val="0"/>
          <w:marBottom w:val="0"/>
          <w:divBdr>
            <w:top w:val="none" w:sz="0" w:space="0" w:color="auto"/>
            <w:left w:val="none" w:sz="0" w:space="0" w:color="auto"/>
            <w:bottom w:val="none" w:sz="0" w:space="0" w:color="auto"/>
            <w:right w:val="none" w:sz="0" w:space="0" w:color="auto"/>
          </w:divBdr>
        </w:div>
        <w:div w:id="596445442">
          <w:marLeft w:val="640"/>
          <w:marRight w:val="0"/>
          <w:marTop w:val="0"/>
          <w:marBottom w:val="0"/>
          <w:divBdr>
            <w:top w:val="none" w:sz="0" w:space="0" w:color="auto"/>
            <w:left w:val="none" w:sz="0" w:space="0" w:color="auto"/>
            <w:bottom w:val="none" w:sz="0" w:space="0" w:color="auto"/>
            <w:right w:val="none" w:sz="0" w:space="0" w:color="auto"/>
          </w:divBdr>
        </w:div>
        <w:div w:id="374282353">
          <w:marLeft w:val="640"/>
          <w:marRight w:val="0"/>
          <w:marTop w:val="0"/>
          <w:marBottom w:val="0"/>
          <w:divBdr>
            <w:top w:val="none" w:sz="0" w:space="0" w:color="auto"/>
            <w:left w:val="none" w:sz="0" w:space="0" w:color="auto"/>
            <w:bottom w:val="none" w:sz="0" w:space="0" w:color="auto"/>
            <w:right w:val="none" w:sz="0" w:space="0" w:color="auto"/>
          </w:divBdr>
        </w:div>
        <w:div w:id="920528379">
          <w:marLeft w:val="640"/>
          <w:marRight w:val="0"/>
          <w:marTop w:val="0"/>
          <w:marBottom w:val="0"/>
          <w:divBdr>
            <w:top w:val="none" w:sz="0" w:space="0" w:color="auto"/>
            <w:left w:val="none" w:sz="0" w:space="0" w:color="auto"/>
            <w:bottom w:val="none" w:sz="0" w:space="0" w:color="auto"/>
            <w:right w:val="none" w:sz="0" w:space="0" w:color="auto"/>
          </w:divBdr>
        </w:div>
        <w:div w:id="378475771">
          <w:marLeft w:val="640"/>
          <w:marRight w:val="0"/>
          <w:marTop w:val="0"/>
          <w:marBottom w:val="0"/>
          <w:divBdr>
            <w:top w:val="none" w:sz="0" w:space="0" w:color="auto"/>
            <w:left w:val="none" w:sz="0" w:space="0" w:color="auto"/>
            <w:bottom w:val="none" w:sz="0" w:space="0" w:color="auto"/>
            <w:right w:val="none" w:sz="0" w:space="0" w:color="auto"/>
          </w:divBdr>
        </w:div>
        <w:div w:id="1741559683">
          <w:marLeft w:val="640"/>
          <w:marRight w:val="0"/>
          <w:marTop w:val="0"/>
          <w:marBottom w:val="0"/>
          <w:divBdr>
            <w:top w:val="none" w:sz="0" w:space="0" w:color="auto"/>
            <w:left w:val="none" w:sz="0" w:space="0" w:color="auto"/>
            <w:bottom w:val="none" w:sz="0" w:space="0" w:color="auto"/>
            <w:right w:val="none" w:sz="0" w:space="0" w:color="auto"/>
          </w:divBdr>
        </w:div>
        <w:div w:id="101072346">
          <w:marLeft w:val="640"/>
          <w:marRight w:val="0"/>
          <w:marTop w:val="0"/>
          <w:marBottom w:val="0"/>
          <w:divBdr>
            <w:top w:val="none" w:sz="0" w:space="0" w:color="auto"/>
            <w:left w:val="none" w:sz="0" w:space="0" w:color="auto"/>
            <w:bottom w:val="none" w:sz="0" w:space="0" w:color="auto"/>
            <w:right w:val="none" w:sz="0" w:space="0" w:color="auto"/>
          </w:divBdr>
        </w:div>
        <w:div w:id="1991132649">
          <w:marLeft w:val="640"/>
          <w:marRight w:val="0"/>
          <w:marTop w:val="0"/>
          <w:marBottom w:val="0"/>
          <w:divBdr>
            <w:top w:val="none" w:sz="0" w:space="0" w:color="auto"/>
            <w:left w:val="none" w:sz="0" w:space="0" w:color="auto"/>
            <w:bottom w:val="none" w:sz="0" w:space="0" w:color="auto"/>
            <w:right w:val="none" w:sz="0" w:space="0" w:color="auto"/>
          </w:divBdr>
        </w:div>
        <w:div w:id="509562124">
          <w:marLeft w:val="640"/>
          <w:marRight w:val="0"/>
          <w:marTop w:val="0"/>
          <w:marBottom w:val="0"/>
          <w:divBdr>
            <w:top w:val="none" w:sz="0" w:space="0" w:color="auto"/>
            <w:left w:val="none" w:sz="0" w:space="0" w:color="auto"/>
            <w:bottom w:val="none" w:sz="0" w:space="0" w:color="auto"/>
            <w:right w:val="none" w:sz="0" w:space="0" w:color="auto"/>
          </w:divBdr>
        </w:div>
        <w:div w:id="1511527143">
          <w:marLeft w:val="640"/>
          <w:marRight w:val="0"/>
          <w:marTop w:val="0"/>
          <w:marBottom w:val="0"/>
          <w:divBdr>
            <w:top w:val="none" w:sz="0" w:space="0" w:color="auto"/>
            <w:left w:val="none" w:sz="0" w:space="0" w:color="auto"/>
            <w:bottom w:val="none" w:sz="0" w:space="0" w:color="auto"/>
            <w:right w:val="none" w:sz="0" w:space="0" w:color="auto"/>
          </w:divBdr>
        </w:div>
        <w:div w:id="973408583">
          <w:marLeft w:val="640"/>
          <w:marRight w:val="0"/>
          <w:marTop w:val="0"/>
          <w:marBottom w:val="0"/>
          <w:divBdr>
            <w:top w:val="none" w:sz="0" w:space="0" w:color="auto"/>
            <w:left w:val="none" w:sz="0" w:space="0" w:color="auto"/>
            <w:bottom w:val="none" w:sz="0" w:space="0" w:color="auto"/>
            <w:right w:val="none" w:sz="0" w:space="0" w:color="auto"/>
          </w:divBdr>
        </w:div>
        <w:div w:id="1948005778">
          <w:marLeft w:val="640"/>
          <w:marRight w:val="0"/>
          <w:marTop w:val="0"/>
          <w:marBottom w:val="0"/>
          <w:divBdr>
            <w:top w:val="none" w:sz="0" w:space="0" w:color="auto"/>
            <w:left w:val="none" w:sz="0" w:space="0" w:color="auto"/>
            <w:bottom w:val="none" w:sz="0" w:space="0" w:color="auto"/>
            <w:right w:val="none" w:sz="0" w:space="0" w:color="auto"/>
          </w:divBdr>
        </w:div>
        <w:div w:id="765540538">
          <w:marLeft w:val="640"/>
          <w:marRight w:val="0"/>
          <w:marTop w:val="0"/>
          <w:marBottom w:val="0"/>
          <w:divBdr>
            <w:top w:val="none" w:sz="0" w:space="0" w:color="auto"/>
            <w:left w:val="none" w:sz="0" w:space="0" w:color="auto"/>
            <w:bottom w:val="none" w:sz="0" w:space="0" w:color="auto"/>
            <w:right w:val="none" w:sz="0" w:space="0" w:color="auto"/>
          </w:divBdr>
        </w:div>
        <w:div w:id="1369527579">
          <w:marLeft w:val="640"/>
          <w:marRight w:val="0"/>
          <w:marTop w:val="0"/>
          <w:marBottom w:val="0"/>
          <w:divBdr>
            <w:top w:val="none" w:sz="0" w:space="0" w:color="auto"/>
            <w:left w:val="none" w:sz="0" w:space="0" w:color="auto"/>
            <w:bottom w:val="none" w:sz="0" w:space="0" w:color="auto"/>
            <w:right w:val="none" w:sz="0" w:space="0" w:color="auto"/>
          </w:divBdr>
        </w:div>
        <w:div w:id="299573160">
          <w:marLeft w:val="640"/>
          <w:marRight w:val="0"/>
          <w:marTop w:val="0"/>
          <w:marBottom w:val="0"/>
          <w:divBdr>
            <w:top w:val="none" w:sz="0" w:space="0" w:color="auto"/>
            <w:left w:val="none" w:sz="0" w:space="0" w:color="auto"/>
            <w:bottom w:val="none" w:sz="0" w:space="0" w:color="auto"/>
            <w:right w:val="none" w:sz="0" w:space="0" w:color="auto"/>
          </w:divBdr>
        </w:div>
        <w:div w:id="2023699943">
          <w:marLeft w:val="640"/>
          <w:marRight w:val="0"/>
          <w:marTop w:val="0"/>
          <w:marBottom w:val="0"/>
          <w:divBdr>
            <w:top w:val="none" w:sz="0" w:space="0" w:color="auto"/>
            <w:left w:val="none" w:sz="0" w:space="0" w:color="auto"/>
            <w:bottom w:val="none" w:sz="0" w:space="0" w:color="auto"/>
            <w:right w:val="none" w:sz="0" w:space="0" w:color="auto"/>
          </w:divBdr>
        </w:div>
        <w:div w:id="90665595">
          <w:marLeft w:val="640"/>
          <w:marRight w:val="0"/>
          <w:marTop w:val="0"/>
          <w:marBottom w:val="0"/>
          <w:divBdr>
            <w:top w:val="none" w:sz="0" w:space="0" w:color="auto"/>
            <w:left w:val="none" w:sz="0" w:space="0" w:color="auto"/>
            <w:bottom w:val="none" w:sz="0" w:space="0" w:color="auto"/>
            <w:right w:val="none" w:sz="0" w:space="0" w:color="auto"/>
          </w:divBdr>
        </w:div>
        <w:div w:id="1999073581">
          <w:marLeft w:val="640"/>
          <w:marRight w:val="0"/>
          <w:marTop w:val="0"/>
          <w:marBottom w:val="0"/>
          <w:divBdr>
            <w:top w:val="none" w:sz="0" w:space="0" w:color="auto"/>
            <w:left w:val="none" w:sz="0" w:space="0" w:color="auto"/>
            <w:bottom w:val="none" w:sz="0" w:space="0" w:color="auto"/>
            <w:right w:val="none" w:sz="0" w:space="0" w:color="auto"/>
          </w:divBdr>
        </w:div>
        <w:div w:id="2107142893">
          <w:marLeft w:val="640"/>
          <w:marRight w:val="0"/>
          <w:marTop w:val="0"/>
          <w:marBottom w:val="0"/>
          <w:divBdr>
            <w:top w:val="none" w:sz="0" w:space="0" w:color="auto"/>
            <w:left w:val="none" w:sz="0" w:space="0" w:color="auto"/>
            <w:bottom w:val="none" w:sz="0" w:space="0" w:color="auto"/>
            <w:right w:val="none" w:sz="0" w:space="0" w:color="auto"/>
          </w:divBdr>
        </w:div>
        <w:div w:id="229928497">
          <w:marLeft w:val="640"/>
          <w:marRight w:val="0"/>
          <w:marTop w:val="0"/>
          <w:marBottom w:val="0"/>
          <w:divBdr>
            <w:top w:val="none" w:sz="0" w:space="0" w:color="auto"/>
            <w:left w:val="none" w:sz="0" w:space="0" w:color="auto"/>
            <w:bottom w:val="none" w:sz="0" w:space="0" w:color="auto"/>
            <w:right w:val="none" w:sz="0" w:space="0" w:color="auto"/>
          </w:divBdr>
        </w:div>
        <w:div w:id="1681345726">
          <w:marLeft w:val="640"/>
          <w:marRight w:val="0"/>
          <w:marTop w:val="0"/>
          <w:marBottom w:val="0"/>
          <w:divBdr>
            <w:top w:val="none" w:sz="0" w:space="0" w:color="auto"/>
            <w:left w:val="none" w:sz="0" w:space="0" w:color="auto"/>
            <w:bottom w:val="none" w:sz="0" w:space="0" w:color="auto"/>
            <w:right w:val="none" w:sz="0" w:space="0" w:color="auto"/>
          </w:divBdr>
        </w:div>
        <w:div w:id="1010911366">
          <w:marLeft w:val="640"/>
          <w:marRight w:val="0"/>
          <w:marTop w:val="0"/>
          <w:marBottom w:val="0"/>
          <w:divBdr>
            <w:top w:val="none" w:sz="0" w:space="0" w:color="auto"/>
            <w:left w:val="none" w:sz="0" w:space="0" w:color="auto"/>
            <w:bottom w:val="none" w:sz="0" w:space="0" w:color="auto"/>
            <w:right w:val="none" w:sz="0" w:space="0" w:color="auto"/>
          </w:divBdr>
        </w:div>
        <w:div w:id="1774979165">
          <w:marLeft w:val="640"/>
          <w:marRight w:val="0"/>
          <w:marTop w:val="0"/>
          <w:marBottom w:val="0"/>
          <w:divBdr>
            <w:top w:val="none" w:sz="0" w:space="0" w:color="auto"/>
            <w:left w:val="none" w:sz="0" w:space="0" w:color="auto"/>
            <w:bottom w:val="none" w:sz="0" w:space="0" w:color="auto"/>
            <w:right w:val="none" w:sz="0" w:space="0" w:color="auto"/>
          </w:divBdr>
        </w:div>
        <w:div w:id="1489589143">
          <w:marLeft w:val="640"/>
          <w:marRight w:val="0"/>
          <w:marTop w:val="0"/>
          <w:marBottom w:val="0"/>
          <w:divBdr>
            <w:top w:val="none" w:sz="0" w:space="0" w:color="auto"/>
            <w:left w:val="none" w:sz="0" w:space="0" w:color="auto"/>
            <w:bottom w:val="none" w:sz="0" w:space="0" w:color="auto"/>
            <w:right w:val="none" w:sz="0" w:space="0" w:color="auto"/>
          </w:divBdr>
        </w:div>
        <w:div w:id="1911957683">
          <w:marLeft w:val="640"/>
          <w:marRight w:val="0"/>
          <w:marTop w:val="0"/>
          <w:marBottom w:val="0"/>
          <w:divBdr>
            <w:top w:val="none" w:sz="0" w:space="0" w:color="auto"/>
            <w:left w:val="none" w:sz="0" w:space="0" w:color="auto"/>
            <w:bottom w:val="none" w:sz="0" w:space="0" w:color="auto"/>
            <w:right w:val="none" w:sz="0" w:space="0" w:color="auto"/>
          </w:divBdr>
        </w:div>
        <w:div w:id="1604261282">
          <w:marLeft w:val="640"/>
          <w:marRight w:val="0"/>
          <w:marTop w:val="0"/>
          <w:marBottom w:val="0"/>
          <w:divBdr>
            <w:top w:val="none" w:sz="0" w:space="0" w:color="auto"/>
            <w:left w:val="none" w:sz="0" w:space="0" w:color="auto"/>
            <w:bottom w:val="none" w:sz="0" w:space="0" w:color="auto"/>
            <w:right w:val="none" w:sz="0" w:space="0" w:color="auto"/>
          </w:divBdr>
        </w:div>
        <w:div w:id="2034184863">
          <w:marLeft w:val="640"/>
          <w:marRight w:val="0"/>
          <w:marTop w:val="0"/>
          <w:marBottom w:val="0"/>
          <w:divBdr>
            <w:top w:val="none" w:sz="0" w:space="0" w:color="auto"/>
            <w:left w:val="none" w:sz="0" w:space="0" w:color="auto"/>
            <w:bottom w:val="none" w:sz="0" w:space="0" w:color="auto"/>
            <w:right w:val="none" w:sz="0" w:space="0" w:color="auto"/>
          </w:divBdr>
        </w:div>
        <w:div w:id="279842393">
          <w:marLeft w:val="640"/>
          <w:marRight w:val="0"/>
          <w:marTop w:val="0"/>
          <w:marBottom w:val="0"/>
          <w:divBdr>
            <w:top w:val="none" w:sz="0" w:space="0" w:color="auto"/>
            <w:left w:val="none" w:sz="0" w:space="0" w:color="auto"/>
            <w:bottom w:val="none" w:sz="0" w:space="0" w:color="auto"/>
            <w:right w:val="none" w:sz="0" w:space="0" w:color="auto"/>
          </w:divBdr>
        </w:div>
        <w:div w:id="66879202">
          <w:marLeft w:val="640"/>
          <w:marRight w:val="0"/>
          <w:marTop w:val="0"/>
          <w:marBottom w:val="0"/>
          <w:divBdr>
            <w:top w:val="none" w:sz="0" w:space="0" w:color="auto"/>
            <w:left w:val="none" w:sz="0" w:space="0" w:color="auto"/>
            <w:bottom w:val="none" w:sz="0" w:space="0" w:color="auto"/>
            <w:right w:val="none" w:sz="0" w:space="0" w:color="auto"/>
          </w:divBdr>
        </w:div>
        <w:div w:id="1098789980">
          <w:marLeft w:val="640"/>
          <w:marRight w:val="0"/>
          <w:marTop w:val="0"/>
          <w:marBottom w:val="0"/>
          <w:divBdr>
            <w:top w:val="none" w:sz="0" w:space="0" w:color="auto"/>
            <w:left w:val="none" w:sz="0" w:space="0" w:color="auto"/>
            <w:bottom w:val="none" w:sz="0" w:space="0" w:color="auto"/>
            <w:right w:val="none" w:sz="0" w:space="0" w:color="auto"/>
          </w:divBdr>
        </w:div>
        <w:div w:id="925041421">
          <w:marLeft w:val="640"/>
          <w:marRight w:val="0"/>
          <w:marTop w:val="0"/>
          <w:marBottom w:val="0"/>
          <w:divBdr>
            <w:top w:val="none" w:sz="0" w:space="0" w:color="auto"/>
            <w:left w:val="none" w:sz="0" w:space="0" w:color="auto"/>
            <w:bottom w:val="none" w:sz="0" w:space="0" w:color="auto"/>
            <w:right w:val="none" w:sz="0" w:space="0" w:color="auto"/>
          </w:divBdr>
        </w:div>
        <w:div w:id="374155910">
          <w:marLeft w:val="640"/>
          <w:marRight w:val="0"/>
          <w:marTop w:val="0"/>
          <w:marBottom w:val="0"/>
          <w:divBdr>
            <w:top w:val="none" w:sz="0" w:space="0" w:color="auto"/>
            <w:left w:val="none" w:sz="0" w:space="0" w:color="auto"/>
            <w:bottom w:val="none" w:sz="0" w:space="0" w:color="auto"/>
            <w:right w:val="none" w:sz="0" w:space="0" w:color="auto"/>
          </w:divBdr>
        </w:div>
        <w:div w:id="1884252398">
          <w:marLeft w:val="640"/>
          <w:marRight w:val="0"/>
          <w:marTop w:val="0"/>
          <w:marBottom w:val="0"/>
          <w:divBdr>
            <w:top w:val="none" w:sz="0" w:space="0" w:color="auto"/>
            <w:left w:val="none" w:sz="0" w:space="0" w:color="auto"/>
            <w:bottom w:val="none" w:sz="0" w:space="0" w:color="auto"/>
            <w:right w:val="none" w:sz="0" w:space="0" w:color="auto"/>
          </w:divBdr>
        </w:div>
        <w:div w:id="176966763">
          <w:marLeft w:val="640"/>
          <w:marRight w:val="0"/>
          <w:marTop w:val="0"/>
          <w:marBottom w:val="0"/>
          <w:divBdr>
            <w:top w:val="none" w:sz="0" w:space="0" w:color="auto"/>
            <w:left w:val="none" w:sz="0" w:space="0" w:color="auto"/>
            <w:bottom w:val="none" w:sz="0" w:space="0" w:color="auto"/>
            <w:right w:val="none" w:sz="0" w:space="0" w:color="auto"/>
          </w:divBdr>
        </w:div>
        <w:div w:id="892622511">
          <w:marLeft w:val="640"/>
          <w:marRight w:val="0"/>
          <w:marTop w:val="0"/>
          <w:marBottom w:val="0"/>
          <w:divBdr>
            <w:top w:val="none" w:sz="0" w:space="0" w:color="auto"/>
            <w:left w:val="none" w:sz="0" w:space="0" w:color="auto"/>
            <w:bottom w:val="none" w:sz="0" w:space="0" w:color="auto"/>
            <w:right w:val="none" w:sz="0" w:space="0" w:color="auto"/>
          </w:divBdr>
        </w:div>
        <w:div w:id="535191600">
          <w:marLeft w:val="640"/>
          <w:marRight w:val="0"/>
          <w:marTop w:val="0"/>
          <w:marBottom w:val="0"/>
          <w:divBdr>
            <w:top w:val="none" w:sz="0" w:space="0" w:color="auto"/>
            <w:left w:val="none" w:sz="0" w:space="0" w:color="auto"/>
            <w:bottom w:val="none" w:sz="0" w:space="0" w:color="auto"/>
            <w:right w:val="none" w:sz="0" w:space="0" w:color="auto"/>
          </w:divBdr>
        </w:div>
        <w:div w:id="1199852726">
          <w:marLeft w:val="640"/>
          <w:marRight w:val="0"/>
          <w:marTop w:val="0"/>
          <w:marBottom w:val="0"/>
          <w:divBdr>
            <w:top w:val="none" w:sz="0" w:space="0" w:color="auto"/>
            <w:left w:val="none" w:sz="0" w:space="0" w:color="auto"/>
            <w:bottom w:val="none" w:sz="0" w:space="0" w:color="auto"/>
            <w:right w:val="none" w:sz="0" w:space="0" w:color="auto"/>
          </w:divBdr>
        </w:div>
        <w:div w:id="158236169">
          <w:marLeft w:val="640"/>
          <w:marRight w:val="0"/>
          <w:marTop w:val="0"/>
          <w:marBottom w:val="0"/>
          <w:divBdr>
            <w:top w:val="none" w:sz="0" w:space="0" w:color="auto"/>
            <w:left w:val="none" w:sz="0" w:space="0" w:color="auto"/>
            <w:bottom w:val="none" w:sz="0" w:space="0" w:color="auto"/>
            <w:right w:val="none" w:sz="0" w:space="0" w:color="auto"/>
          </w:divBdr>
        </w:div>
        <w:div w:id="1096026172">
          <w:marLeft w:val="640"/>
          <w:marRight w:val="0"/>
          <w:marTop w:val="0"/>
          <w:marBottom w:val="0"/>
          <w:divBdr>
            <w:top w:val="none" w:sz="0" w:space="0" w:color="auto"/>
            <w:left w:val="none" w:sz="0" w:space="0" w:color="auto"/>
            <w:bottom w:val="none" w:sz="0" w:space="0" w:color="auto"/>
            <w:right w:val="none" w:sz="0" w:space="0" w:color="auto"/>
          </w:divBdr>
        </w:div>
        <w:div w:id="1732459601">
          <w:marLeft w:val="640"/>
          <w:marRight w:val="0"/>
          <w:marTop w:val="0"/>
          <w:marBottom w:val="0"/>
          <w:divBdr>
            <w:top w:val="none" w:sz="0" w:space="0" w:color="auto"/>
            <w:left w:val="none" w:sz="0" w:space="0" w:color="auto"/>
            <w:bottom w:val="none" w:sz="0" w:space="0" w:color="auto"/>
            <w:right w:val="none" w:sz="0" w:space="0" w:color="auto"/>
          </w:divBdr>
        </w:div>
        <w:div w:id="34813085">
          <w:marLeft w:val="640"/>
          <w:marRight w:val="0"/>
          <w:marTop w:val="0"/>
          <w:marBottom w:val="0"/>
          <w:divBdr>
            <w:top w:val="none" w:sz="0" w:space="0" w:color="auto"/>
            <w:left w:val="none" w:sz="0" w:space="0" w:color="auto"/>
            <w:bottom w:val="none" w:sz="0" w:space="0" w:color="auto"/>
            <w:right w:val="none" w:sz="0" w:space="0" w:color="auto"/>
          </w:divBdr>
        </w:div>
        <w:div w:id="1962610304">
          <w:marLeft w:val="640"/>
          <w:marRight w:val="0"/>
          <w:marTop w:val="0"/>
          <w:marBottom w:val="0"/>
          <w:divBdr>
            <w:top w:val="none" w:sz="0" w:space="0" w:color="auto"/>
            <w:left w:val="none" w:sz="0" w:space="0" w:color="auto"/>
            <w:bottom w:val="none" w:sz="0" w:space="0" w:color="auto"/>
            <w:right w:val="none" w:sz="0" w:space="0" w:color="auto"/>
          </w:divBdr>
        </w:div>
        <w:div w:id="1570657110">
          <w:marLeft w:val="640"/>
          <w:marRight w:val="0"/>
          <w:marTop w:val="0"/>
          <w:marBottom w:val="0"/>
          <w:divBdr>
            <w:top w:val="none" w:sz="0" w:space="0" w:color="auto"/>
            <w:left w:val="none" w:sz="0" w:space="0" w:color="auto"/>
            <w:bottom w:val="none" w:sz="0" w:space="0" w:color="auto"/>
            <w:right w:val="none" w:sz="0" w:space="0" w:color="auto"/>
          </w:divBdr>
        </w:div>
        <w:div w:id="636108171">
          <w:marLeft w:val="640"/>
          <w:marRight w:val="0"/>
          <w:marTop w:val="0"/>
          <w:marBottom w:val="0"/>
          <w:divBdr>
            <w:top w:val="none" w:sz="0" w:space="0" w:color="auto"/>
            <w:left w:val="none" w:sz="0" w:space="0" w:color="auto"/>
            <w:bottom w:val="none" w:sz="0" w:space="0" w:color="auto"/>
            <w:right w:val="none" w:sz="0" w:space="0" w:color="auto"/>
          </w:divBdr>
        </w:div>
        <w:div w:id="713042523">
          <w:marLeft w:val="640"/>
          <w:marRight w:val="0"/>
          <w:marTop w:val="0"/>
          <w:marBottom w:val="0"/>
          <w:divBdr>
            <w:top w:val="none" w:sz="0" w:space="0" w:color="auto"/>
            <w:left w:val="none" w:sz="0" w:space="0" w:color="auto"/>
            <w:bottom w:val="none" w:sz="0" w:space="0" w:color="auto"/>
            <w:right w:val="none" w:sz="0" w:space="0" w:color="auto"/>
          </w:divBdr>
        </w:div>
        <w:div w:id="35588995">
          <w:marLeft w:val="640"/>
          <w:marRight w:val="0"/>
          <w:marTop w:val="0"/>
          <w:marBottom w:val="0"/>
          <w:divBdr>
            <w:top w:val="none" w:sz="0" w:space="0" w:color="auto"/>
            <w:left w:val="none" w:sz="0" w:space="0" w:color="auto"/>
            <w:bottom w:val="none" w:sz="0" w:space="0" w:color="auto"/>
            <w:right w:val="none" w:sz="0" w:space="0" w:color="auto"/>
          </w:divBdr>
        </w:div>
        <w:div w:id="486744826">
          <w:marLeft w:val="640"/>
          <w:marRight w:val="0"/>
          <w:marTop w:val="0"/>
          <w:marBottom w:val="0"/>
          <w:divBdr>
            <w:top w:val="none" w:sz="0" w:space="0" w:color="auto"/>
            <w:left w:val="none" w:sz="0" w:space="0" w:color="auto"/>
            <w:bottom w:val="none" w:sz="0" w:space="0" w:color="auto"/>
            <w:right w:val="none" w:sz="0" w:space="0" w:color="auto"/>
          </w:divBdr>
        </w:div>
        <w:div w:id="1616327898">
          <w:marLeft w:val="640"/>
          <w:marRight w:val="0"/>
          <w:marTop w:val="0"/>
          <w:marBottom w:val="0"/>
          <w:divBdr>
            <w:top w:val="none" w:sz="0" w:space="0" w:color="auto"/>
            <w:left w:val="none" w:sz="0" w:space="0" w:color="auto"/>
            <w:bottom w:val="none" w:sz="0" w:space="0" w:color="auto"/>
            <w:right w:val="none" w:sz="0" w:space="0" w:color="auto"/>
          </w:divBdr>
        </w:div>
        <w:div w:id="963075507">
          <w:marLeft w:val="640"/>
          <w:marRight w:val="0"/>
          <w:marTop w:val="0"/>
          <w:marBottom w:val="0"/>
          <w:divBdr>
            <w:top w:val="none" w:sz="0" w:space="0" w:color="auto"/>
            <w:left w:val="none" w:sz="0" w:space="0" w:color="auto"/>
            <w:bottom w:val="none" w:sz="0" w:space="0" w:color="auto"/>
            <w:right w:val="none" w:sz="0" w:space="0" w:color="auto"/>
          </w:divBdr>
        </w:div>
        <w:div w:id="934287076">
          <w:marLeft w:val="640"/>
          <w:marRight w:val="0"/>
          <w:marTop w:val="0"/>
          <w:marBottom w:val="0"/>
          <w:divBdr>
            <w:top w:val="none" w:sz="0" w:space="0" w:color="auto"/>
            <w:left w:val="none" w:sz="0" w:space="0" w:color="auto"/>
            <w:bottom w:val="none" w:sz="0" w:space="0" w:color="auto"/>
            <w:right w:val="none" w:sz="0" w:space="0" w:color="auto"/>
          </w:divBdr>
        </w:div>
        <w:div w:id="657684428">
          <w:marLeft w:val="640"/>
          <w:marRight w:val="0"/>
          <w:marTop w:val="0"/>
          <w:marBottom w:val="0"/>
          <w:divBdr>
            <w:top w:val="none" w:sz="0" w:space="0" w:color="auto"/>
            <w:left w:val="none" w:sz="0" w:space="0" w:color="auto"/>
            <w:bottom w:val="none" w:sz="0" w:space="0" w:color="auto"/>
            <w:right w:val="none" w:sz="0" w:space="0" w:color="auto"/>
          </w:divBdr>
        </w:div>
        <w:div w:id="2005354220">
          <w:marLeft w:val="640"/>
          <w:marRight w:val="0"/>
          <w:marTop w:val="0"/>
          <w:marBottom w:val="0"/>
          <w:divBdr>
            <w:top w:val="none" w:sz="0" w:space="0" w:color="auto"/>
            <w:left w:val="none" w:sz="0" w:space="0" w:color="auto"/>
            <w:bottom w:val="none" w:sz="0" w:space="0" w:color="auto"/>
            <w:right w:val="none" w:sz="0" w:space="0" w:color="auto"/>
          </w:divBdr>
        </w:div>
        <w:div w:id="1724716828">
          <w:marLeft w:val="640"/>
          <w:marRight w:val="0"/>
          <w:marTop w:val="0"/>
          <w:marBottom w:val="0"/>
          <w:divBdr>
            <w:top w:val="none" w:sz="0" w:space="0" w:color="auto"/>
            <w:left w:val="none" w:sz="0" w:space="0" w:color="auto"/>
            <w:bottom w:val="none" w:sz="0" w:space="0" w:color="auto"/>
            <w:right w:val="none" w:sz="0" w:space="0" w:color="auto"/>
          </w:divBdr>
        </w:div>
        <w:div w:id="544833246">
          <w:marLeft w:val="640"/>
          <w:marRight w:val="0"/>
          <w:marTop w:val="0"/>
          <w:marBottom w:val="0"/>
          <w:divBdr>
            <w:top w:val="none" w:sz="0" w:space="0" w:color="auto"/>
            <w:left w:val="none" w:sz="0" w:space="0" w:color="auto"/>
            <w:bottom w:val="none" w:sz="0" w:space="0" w:color="auto"/>
            <w:right w:val="none" w:sz="0" w:space="0" w:color="auto"/>
          </w:divBdr>
        </w:div>
        <w:div w:id="1092050265">
          <w:marLeft w:val="640"/>
          <w:marRight w:val="0"/>
          <w:marTop w:val="0"/>
          <w:marBottom w:val="0"/>
          <w:divBdr>
            <w:top w:val="none" w:sz="0" w:space="0" w:color="auto"/>
            <w:left w:val="none" w:sz="0" w:space="0" w:color="auto"/>
            <w:bottom w:val="none" w:sz="0" w:space="0" w:color="auto"/>
            <w:right w:val="none" w:sz="0" w:space="0" w:color="auto"/>
          </w:divBdr>
        </w:div>
        <w:div w:id="1392656549">
          <w:marLeft w:val="640"/>
          <w:marRight w:val="0"/>
          <w:marTop w:val="0"/>
          <w:marBottom w:val="0"/>
          <w:divBdr>
            <w:top w:val="none" w:sz="0" w:space="0" w:color="auto"/>
            <w:left w:val="none" w:sz="0" w:space="0" w:color="auto"/>
            <w:bottom w:val="none" w:sz="0" w:space="0" w:color="auto"/>
            <w:right w:val="none" w:sz="0" w:space="0" w:color="auto"/>
          </w:divBdr>
        </w:div>
        <w:div w:id="236280624">
          <w:marLeft w:val="640"/>
          <w:marRight w:val="0"/>
          <w:marTop w:val="0"/>
          <w:marBottom w:val="0"/>
          <w:divBdr>
            <w:top w:val="none" w:sz="0" w:space="0" w:color="auto"/>
            <w:left w:val="none" w:sz="0" w:space="0" w:color="auto"/>
            <w:bottom w:val="none" w:sz="0" w:space="0" w:color="auto"/>
            <w:right w:val="none" w:sz="0" w:space="0" w:color="auto"/>
          </w:divBdr>
        </w:div>
        <w:div w:id="1902137626">
          <w:marLeft w:val="640"/>
          <w:marRight w:val="0"/>
          <w:marTop w:val="0"/>
          <w:marBottom w:val="0"/>
          <w:divBdr>
            <w:top w:val="none" w:sz="0" w:space="0" w:color="auto"/>
            <w:left w:val="none" w:sz="0" w:space="0" w:color="auto"/>
            <w:bottom w:val="none" w:sz="0" w:space="0" w:color="auto"/>
            <w:right w:val="none" w:sz="0" w:space="0" w:color="auto"/>
          </w:divBdr>
        </w:div>
        <w:div w:id="2048600663">
          <w:marLeft w:val="640"/>
          <w:marRight w:val="0"/>
          <w:marTop w:val="0"/>
          <w:marBottom w:val="0"/>
          <w:divBdr>
            <w:top w:val="none" w:sz="0" w:space="0" w:color="auto"/>
            <w:left w:val="none" w:sz="0" w:space="0" w:color="auto"/>
            <w:bottom w:val="none" w:sz="0" w:space="0" w:color="auto"/>
            <w:right w:val="none" w:sz="0" w:space="0" w:color="auto"/>
          </w:divBdr>
        </w:div>
        <w:div w:id="1801917272">
          <w:marLeft w:val="640"/>
          <w:marRight w:val="0"/>
          <w:marTop w:val="0"/>
          <w:marBottom w:val="0"/>
          <w:divBdr>
            <w:top w:val="none" w:sz="0" w:space="0" w:color="auto"/>
            <w:left w:val="none" w:sz="0" w:space="0" w:color="auto"/>
            <w:bottom w:val="none" w:sz="0" w:space="0" w:color="auto"/>
            <w:right w:val="none" w:sz="0" w:space="0" w:color="auto"/>
          </w:divBdr>
        </w:div>
        <w:div w:id="610405376">
          <w:marLeft w:val="640"/>
          <w:marRight w:val="0"/>
          <w:marTop w:val="0"/>
          <w:marBottom w:val="0"/>
          <w:divBdr>
            <w:top w:val="none" w:sz="0" w:space="0" w:color="auto"/>
            <w:left w:val="none" w:sz="0" w:space="0" w:color="auto"/>
            <w:bottom w:val="none" w:sz="0" w:space="0" w:color="auto"/>
            <w:right w:val="none" w:sz="0" w:space="0" w:color="auto"/>
          </w:divBdr>
        </w:div>
        <w:div w:id="1689870626">
          <w:marLeft w:val="640"/>
          <w:marRight w:val="0"/>
          <w:marTop w:val="0"/>
          <w:marBottom w:val="0"/>
          <w:divBdr>
            <w:top w:val="none" w:sz="0" w:space="0" w:color="auto"/>
            <w:left w:val="none" w:sz="0" w:space="0" w:color="auto"/>
            <w:bottom w:val="none" w:sz="0" w:space="0" w:color="auto"/>
            <w:right w:val="none" w:sz="0" w:space="0" w:color="auto"/>
          </w:divBdr>
        </w:div>
        <w:div w:id="172038814">
          <w:marLeft w:val="640"/>
          <w:marRight w:val="0"/>
          <w:marTop w:val="0"/>
          <w:marBottom w:val="0"/>
          <w:divBdr>
            <w:top w:val="none" w:sz="0" w:space="0" w:color="auto"/>
            <w:left w:val="none" w:sz="0" w:space="0" w:color="auto"/>
            <w:bottom w:val="none" w:sz="0" w:space="0" w:color="auto"/>
            <w:right w:val="none" w:sz="0" w:space="0" w:color="auto"/>
          </w:divBdr>
        </w:div>
        <w:div w:id="683476170">
          <w:marLeft w:val="640"/>
          <w:marRight w:val="0"/>
          <w:marTop w:val="0"/>
          <w:marBottom w:val="0"/>
          <w:divBdr>
            <w:top w:val="none" w:sz="0" w:space="0" w:color="auto"/>
            <w:left w:val="none" w:sz="0" w:space="0" w:color="auto"/>
            <w:bottom w:val="none" w:sz="0" w:space="0" w:color="auto"/>
            <w:right w:val="none" w:sz="0" w:space="0" w:color="auto"/>
          </w:divBdr>
        </w:div>
        <w:div w:id="996493919">
          <w:marLeft w:val="640"/>
          <w:marRight w:val="0"/>
          <w:marTop w:val="0"/>
          <w:marBottom w:val="0"/>
          <w:divBdr>
            <w:top w:val="none" w:sz="0" w:space="0" w:color="auto"/>
            <w:left w:val="none" w:sz="0" w:space="0" w:color="auto"/>
            <w:bottom w:val="none" w:sz="0" w:space="0" w:color="auto"/>
            <w:right w:val="none" w:sz="0" w:space="0" w:color="auto"/>
          </w:divBdr>
        </w:div>
        <w:div w:id="1229420510">
          <w:marLeft w:val="640"/>
          <w:marRight w:val="0"/>
          <w:marTop w:val="0"/>
          <w:marBottom w:val="0"/>
          <w:divBdr>
            <w:top w:val="none" w:sz="0" w:space="0" w:color="auto"/>
            <w:left w:val="none" w:sz="0" w:space="0" w:color="auto"/>
            <w:bottom w:val="none" w:sz="0" w:space="0" w:color="auto"/>
            <w:right w:val="none" w:sz="0" w:space="0" w:color="auto"/>
          </w:divBdr>
        </w:div>
        <w:div w:id="990450279">
          <w:marLeft w:val="640"/>
          <w:marRight w:val="0"/>
          <w:marTop w:val="0"/>
          <w:marBottom w:val="0"/>
          <w:divBdr>
            <w:top w:val="none" w:sz="0" w:space="0" w:color="auto"/>
            <w:left w:val="none" w:sz="0" w:space="0" w:color="auto"/>
            <w:bottom w:val="none" w:sz="0" w:space="0" w:color="auto"/>
            <w:right w:val="none" w:sz="0" w:space="0" w:color="auto"/>
          </w:divBdr>
        </w:div>
        <w:div w:id="154029159">
          <w:marLeft w:val="640"/>
          <w:marRight w:val="0"/>
          <w:marTop w:val="0"/>
          <w:marBottom w:val="0"/>
          <w:divBdr>
            <w:top w:val="none" w:sz="0" w:space="0" w:color="auto"/>
            <w:left w:val="none" w:sz="0" w:space="0" w:color="auto"/>
            <w:bottom w:val="none" w:sz="0" w:space="0" w:color="auto"/>
            <w:right w:val="none" w:sz="0" w:space="0" w:color="auto"/>
          </w:divBdr>
        </w:div>
        <w:div w:id="980382356">
          <w:marLeft w:val="640"/>
          <w:marRight w:val="0"/>
          <w:marTop w:val="0"/>
          <w:marBottom w:val="0"/>
          <w:divBdr>
            <w:top w:val="none" w:sz="0" w:space="0" w:color="auto"/>
            <w:left w:val="none" w:sz="0" w:space="0" w:color="auto"/>
            <w:bottom w:val="none" w:sz="0" w:space="0" w:color="auto"/>
            <w:right w:val="none" w:sz="0" w:space="0" w:color="auto"/>
          </w:divBdr>
        </w:div>
        <w:div w:id="1072585834">
          <w:marLeft w:val="640"/>
          <w:marRight w:val="0"/>
          <w:marTop w:val="0"/>
          <w:marBottom w:val="0"/>
          <w:divBdr>
            <w:top w:val="none" w:sz="0" w:space="0" w:color="auto"/>
            <w:left w:val="none" w:sz="0" w:space="0" w:color="auto"/>
            <w:bottom w:val="none" w:sz="0" w:space="0" w:color="auto"/>
            <w:right w:val="none" w:sz="0" w:space="0" w:color="auto"/>
          </w:divBdr>
        </w:div>
        <w:div w:id="1601718847">
          <w:marLeft w:val="640"/>
          <w:marRight w:val="0"/>
          <w:marTop w:val="0"/>
          <w:marBottom w:val="0"/>
          <w:divBdr>
            <w:top w:val="none" w:sz="0" w:space="0" w:color="auto"/>
            <w:left w:val="none" w:sz="0" w:space="0" w:color="auto"/>
            <w:bottom w:val="none" w:sz="0" w:space="0" w:color="auto"/>
            <w:right w:val="none" w:sz="0" w:space="0" w:color="auto"/>
          </w:divBdr>
        </w:div>
        <w:div w:id="1713845793">
          <w:marLeft w:val="640"/>
          <w:marRight w:val="0"/>
          <w:marTop w:val="0"/>
          <w:marBottom w:val="0"/>
          <w:divBdr>
            <w:top w:val="none" w:sz="0" w:space="0" w:color="auto"/>
            <w:left w:val="none" w:sz="0" w:space="0" w:color="auto"/>
            <w:bottom w:val="none" w:sz="0" w:space="0" w:color="auto"/>
            <w:right w:val="none" w:sz="0" w:space="0" w:color="auto"/>
          </w:divBdr>
        </w:div>
        <w:div w:id="732390978">
          <w:marLeft w:val="640"/>
          <w:marRight w:val="0"/>
          <w:marTop w:val="0"/>
          <w:marBottom w:val="0"/>
          <w:divBdr>
            <w:top w:val="none" w:sz="0" w:space="0" w:color="auto"/>
            <w:left w:val="none" w:sz="0" w:space="0" w:color="auto"/>
            <w:bottom w:val="none" w:sz="0" w:space="0" w:color="auto"/>
            <w:right w:val="none" w:sz="0" w:space="0" w:color="auto"/>
          </w:divBdr>
        </w:div>
        <w:div w:id="583877458">
          <w:marLeft w:val="640"/>
          <w:marRight w:val="0"/>
          <w:marTop w:val="0"/>
          <w:marBottom w:val="0"/>
          <w:divBdr>
            <w:top w:val="none" w:sz="0" w:space="0" w:color="auto"/>
            <w:left w:val="none" w:sz="0" w:space="0" w:color="auto"/>
            <w:bottom w:val="none" w:sz="0" w:space="0" w:color="auto"/>
            <w:right w:val="none" w:sz="0" w:space="0" w:color="auto"/>
          </w:divBdr>
        </w:div>
        <w:div w:id="1202942871">
          <w:marLeft w:val="640"/>
          <w:marRight w:val="0"/>
          <w:marTop w:val="0"/>
          <w:marBottom w:val="0"/>
          <w:divBdr>
            <w:top w:val="none" w:sz="0" w:space="0" w:color="auto"/>
            <w:left w:val="none" w:sz="0" w:space="0" w:color="auto"/>
            <w:bottom w:val="none" w:sz="0" w:space="0" w:color="auto"/>
            <w:right w:val="none" w:sz="0" w:space="0" w:color="auto"/>
          </w:divBdr>
        </w:div>
        <w:div w:id="38207693">
          <w:marLeft w:val="640"/>
          <w:marRight w:val="0"/>
          <w:marTop w:val="0"/>
          <w:marBottom w:val="0"/>
          <w:divBdr>
            <w:top w:val="none" w:sz="0" w:space="0" w:color="auto"/>
            <w:left w:val="none" w:sz="0" w:space="0" w:color="auto"/>
            <w:bottom w:val="none" w:sz="0" w:space="0" w:color="auto"/>
            <w:right w:val="none" w:sz="0" w:space="0" w:color="auto"/>
          </w:divBdr>
        </w:div>
        <w:div w:id="767501590">
          <w:marLeft w:val="640"/>
          <w:marRight w:val="0"/>
          <w:marTop w:val="0"/>
          <w:marBottom w:val="0"/>
          <w:divBdr>
            <w:top w:val="none" w:sz="0" w:space="0" w:color="auto"/>
            <w:left w:val="none" w:sz="0" w:space="0" w:color="auto"/>
            <w:bottom w:val="none" w:sz="0" w:space="0" w:color="auto"/>
            <w:right w:val="none" w:sz="0" w:space="0" w:color="auto"/>
          </w:divBdr>
        </w:div>
        <w:div w:id="1241795120">
          <w:marLeft w:val="640"/>
          <w:marRight w:val="0"/>
          <w:marTop w:val="0"/>
          <w:marBottom w:val="0"/>
          <w:divBdr>
            <w:top w:val="none" w:sz="0" w:space="0" w:color="auto"/>
            <w:left w:val="none" w:sz="0" w:space="0" w:color="auto"/>
            <w:bottom w:val="none" w:sz="0" w:space="0" w:color="auto"/>
            <w:right w:val="none" w:sz="0" w:space="0" w:color="auto"/>
          </w:divBdr>
        </w:div>
        <w:div w:id="956377242">
          <w:marLeft w:val="640"/>
          <w:marRight w:val="0"/>
          <w:marTop w:val="0"/>
          <w:marBottom w:val="0"/>
          <w:divBdr>
            <w:top w:val="none" w:sz="0" w:space="0" w:color="auto"/>
            <w:left w:val="none" w:sz="0" w:space="0" w:color="auto"/>
            <w:bottom w:val="none" w:sz="0" w:space="0" w:color="auto"/>
            <w:right w:val="none" w:sz="0" w:space="0" w:color="auto"/>
          </w:divBdr>
        </w:div>
        <w:div w:id="665591387">
          <w:marLeft w:val="640"/>
          <w:marRight w:val="0"/>
          <w:marTop w:val="0"/>
          <w:marBottom w:val="0"/>
          <w:divBdr>
            <w:top w:val="none" w:sz="0" w:space="0" w:color="auto"/>
            <w:left w:val="none" w:sz="0" w:space="0" w:color="auto"/>
            <w:bottom w:val="none" w:sz="0" w:space="0" w:color="auto"/>
            <w:right w:val="none" w:sz="0" w:space="0" w:color="auto"/>
          </w:divBdr>
        </w:div>
        <w:div w:id="133331174">
          <w:marLeft w:val="640"/>
          <w:marRight w:val="0"/>
          <w:marTop w:val="0"/>
          <w:marBottom w:val="0"/>
          <w:divBdr>
            <w:top w:val="none" w:sz="0" w:space="0" w:color="auto"/>
            <w:left w:val="none" w:sz="0" w:space="0" w:color="auto"/>
            <w:bottom w:val="none" w:sz="0" w:space="0" w:color="auto"/>
            <w:right w:val="none" w:sz="0" w:space="0" w:color="auto"/>
          </w:divBdr>
        </w:div>
        <w:div w:id="1031564686">
          <w:marLeft w:val="640"/>
          <w:marRight w:val="0"/>
          <w:marTop w:val="0"/>
          <w:marBottom w:val="0"/>
          <w:divBdr>
            <w:top w:val="none" w:sz="0" w:space="0" w:color="auto"/>
            <w:left w:val="none" w:sz="0" w:space="0" w:color="auto"/>
            <w:bottom w:val="none" w:sz="0" w:space="0" w:color="auto"/>
            <w:right w:val="none" w:sz="0" w:space="0" w:color="auto"/>
          </w:divBdr>
        </w:div>
        <w:div w:id="462239484">
          <w:marLeft w:val="640"/>
          <w:marRight w:val="0"/>
          <w:marTop w:val="0"/>
          <w:marBottom w:val="0"/>
          <w:divBdr>
            <w:top w:val="none" w:sz="0" w:space="0" w:color="auto"/>
            <w:left w:val="none" w:sz="0" w:space="0" w:color="auto"/>
            <w:bottom w:val="none" w:sz="0" w:space="0" w:color="auto"/>
            <w:right w:val="none" w:sz="0" w:space="0" w:color="auto"/>
          </w:divBdr>
        </w:div>
        <w:div w:id="2019652241">
          <w:marLeft w:val="640"/>
          <w:marRight w:val="0"/>
          <w:marTop w:val="0"/>
          <w:marBottom w:val="0"/>
          <w:divBdr>
            <w:top w:val="none" w:sz="0" w:space="0" w:color="auto"/>
            <w:left w:val="none" w:sz="0" w:space="0" w:color="auto"/>
            <w:bottom w:val="none" w:sz="0" w:space="0" w:color="auto"/>
            <w:right w:val="none" w:sz="0" w:space="0" w:color="auto"/>
          </w:divBdr>
        </w:div>
        <w:div w:id="1307710006">
          <w:marLeft w:val="640"/>
          <w:marRight w:val="0"/>
          <w:marTop w:val="0"/>
          <w:marBottom w:val="0"/>
          <w:divBdr>
            <w:top w:val="none" w:sz="0" w:space="0" w:color="auto"/>
            <w:left w:val="none" w:sz="0" w:space="0" w:color="auto"/>
            <w:bottom w:val="none" w:sz="0" w:space="0" w:color="auto"/>
            <w:right w:val="none" w:sz="0" w:space="0" w:color="auto"/>
          </w:divBdr>
        </w:div>
        <w:div w:id="1094789396">
          <w:marLeft w:val="640"/>
          <w:marRight w:val="0"/>
          <w:marTop w:val="0"/>
          <w:marBottom w:val="0"/>
          <w:divBdr>
            <w:top w:val="none" w:sz="0" w:space="0" w:color="auto"/>
            <w:left w:val="none" w:sz="0" w:space="0" w:color="auto"/>
            <w:bottom w:val="none" w:sz="0" w:space="0" w:color="auto"/>
            <w:right w:val="none" w:sz="0" w:space="0" w:color="auto"/>
          </w:divBdr>
        </w:div>
        <w:div w:id="2043434097">
          <w:marLeft w:val="640"/>
          <w:marRight w:val="0"/>
          <w:marTop w:val="0"/>
          <w:marBottom w:val="0"/>
          <w:divBdr>
            <w:top w:val="none" w:sz="0" w:space="0" w:color="auto"/>
            <w:left w:val="none" w:sz="0" w:space="0" w:color="auto"/>
            <w:bottom w:val="none" w:sz="0" w:space="0" w:color="auto"/>
            <w:right w:val="none" w:sz="0" w:space="0" w:color="auto"/>
          </w:divBdr>
        </w:div>
        <w:div w:id="112408150">
          <w:marLeft w:val="640"/>
          <w:marRight w:val="0"/>
          <w:marTop w:val="0"/>
          <w:marBottom w:val="0"/>
          <w:divBdr>
            <w:top w:val="none" w:sz="0" w:space="0" w:color="auto"/>
            <w:left w:val="none" w:sz="0" w:space="0" w:color="auto"/>
            <w:bottom w:val="none" w:sz="0" w:space="0" w:color="auto"/>
            <w:right w:val="none" w:sz="0" w:space="0" w:color="auto"/>
          </w:divBdr>
        </w:div>
        <w:div w:id="116024811">
          <w:marLeft w:val="640"/>
          <w:marRight w:val="0"/>
          <w:marTop w:val="0"/>
          <w:marBottom w:val="0"/>
          <w:divBdr>
            <w:top w:val="none" w:sz="0" w:space="0" w:color="auto"/>
            <w:left w:val="none" w:sz="0" w:space="0" w:color="auto"/>
            <w:bottom w:val="none" w:sz="0" w:space="0" w:color="auto"/>
            <w:right w:val="none" w:sz="0" w:space="0" w:color="auto"/>
          </w:divBdr>
        </w:div>
        <w:div w:id="348064602">
          <w:marLeft w:val="640"/>
          <w:marRight w:val="0"/>
          <w:marTop w:val="0"/>
          <w:marBottom w:val="0"/>
          <w:divBdr>
            <w:top w:val="none" w:sz="0" w:space="0" w:color="auto"/>
            <w:left w:val="none" w:sz="0" w:space="0" w:color="auto"/>
            <w:bottom w:val="none" w:sz="0" w:space="0" w:color="auto"/>
            <w:right w:val="none" w:sz="0" w:space="0" w:color="auto"/>
          </w:divBdr>
        </w:div>
        <w:div w:id="376858857">
          <w:marLeft w:val="640"/>
          <w:marRight w:val="0"/>
          <w:marTop w:val="0"/>
          <w:marBottom w:val="0"/>
          <w:divBdr>
            <w:top w:val="none" w:sz="0" w:space="0" w:color="auto"/>
            <w:left w:val="none" w:sz="0" w:space="0" w:color="auto"/>
            <w:bottom w:val="none" w:sz="0" w:space="0" w:color="auto"/>
            <w:right w:val="none" w:sz="0" w:space="0" w:color="auto"/>
          </w:divBdr>
        </w:div>
        <w:div w:id="1706439866">
          <w:marLeft w:val="640"/>
          <w:marRight w:val="0"/>
          <w:marTop w:val="0"/>
          <w:marBottom w:val="0"/>
          <w:divBdr>
            <w:top w:val="none" w:sz="0" w:space="0" w:color="auto"/>
            <w:left w:val="none" w:sz="0" w:space="0" w:color="auto"/>
            <w:bottom w:val="none" w:sz="0" w:space="0" w:color="auto"/>
            <w:right w:val="none" w:sz="0" w:space="0" w:color="auto"/>
          </w:divBdr>
        </w:div>
        <w:div w:id="1515916996">
          <w:marLeft w:val="640"/>
          <w:marRight w:val="0"/>
          <w:marTop w:val="0"/>
          <w:marBottom w:val="0"/>
          <w:divBdr>
            <w:top w:val="none" w:sz="0" w:space="0" w:color="auto"/>
            <w:left w:val="none" w:sz="0" w:space="0" w:color="auto"/>
            <w:bottom w:val="none" w:sz="0" w:space="0" w:color="auto"/>
            <w:right w:val="none" w:sz="0" w:space="0" w:color="auto"/>
          </w:divBdr>
        </w:div>
        <w:div w:id="285892189">
          <w:marLeft w:val="640"/>
          <w:marRight w:val="0"/>
          <w:marTop w:val="0"/>
          <w:marBottom w:val="0"/>
          <w:divBdr>
            <w:top w:val="none" w:sz="0" w:space="0" w:color="auto"/>
            <w:left w:val="none" w:sz="0" w:space="0" w:color="auto"/>
            <w:bottom w:val="none" w:sz="0" w:space="0" w:color="auto"/>
            <w:right w:val="none" w:sz="0" w:space="0" w:color="auto"/>
          </w:divBdr>
        </w:div>
        <w:div w:id="1087923508">
          <w:marLeft w:val="640"/>
          <w:marRight w:val="0"/>
          <w:marTop w:val="0"/>
          <w:marBottom w:val="0"/>
          <w:divBdr>
            <w:top w:val="none" w:sz="0" w:space="0" w:color="auto"/>
            <w:left w:val="none" w:sz="0" w:space="0" w:color="auto"/>
            <w:bottom w:val="none" w:sz="0" w:space="0" w:color="auto"/>
            <w:right w:val="none" w:sz="0" w:space="0" w:color="auto"/>
          </w:divBdr>
        </w:div>
        <w:div w:id="396903835">
          <w:marLeft w:val="640"/>
          <w:marRight w:val="0"/>
          <w:marTop w:val="0"/>
          <w:marBottom w:val="0"/>
          <w:divBdr>
            <w:top w:val="none" w:sz="0" w:space="0" w:color="auto"/>
            <w:left w:val="none" w:sz="0" w:space="0" w:color="auto"/>
            <w:bottom w:val="none" w:sz="0" w:space="0" w:color="auto"/>
            <w:right w:val="none" w:sz="0" w:space="0" w:color="auto"/>
          </w:divBdr>
        </w:div>
        <w:div w:id="2008436827">
          <w:marLeft w:val="640"/>
          <w:marRight w:val="0"/>
          <w:marTop w:val="0"/>
          <w:marBottom w:val="0"/>
          <w:divBdr>
            <w:top w:val="none" w:sz="0" w:space="0" w:color="auto"/>
            <w:left w:val="none" w:sz="0" w:space="0" w:color="auto"/>
            <w:bottom w:val="none" w:sz="0" w:space="0" w:color="auto"/>
            <w:right w:val="none" w:sz="0" w:space="0" w:color="auto"/>
          </w:divBdr>
        </w:div>
        <w:div w:id="1563755956">
          <w:marLeft w:val="640"/>
          <w:marRight w:val="0"/>
          <w:marTop w:val="0"/>
          <w:marBottom w:val="0"/>
          <w:divBdr>
            <w:top w:val="none" w:sz="0" w:space="0" w:color="auto"/>
            <w:left w:val="none" w:sz="0" w:space="0" w:color="auto"/>
            <w:bottom w:val="none" w:sz="0" w:space="0" w:color="auto"/>
            <w:right w:val="none" w:sz="0" w:space="0" w:color="auto"/>
          </w:divBdr>
        </w:div>
        <w:div w:id="1678314052">
          <w:marLeft w:val="640"/>
          <w:marRight w:val="0"/>
          <w:marTop w:val="0"/>
          <w:marBottom w:val="0"/>
          <w:divBdr>
            <w:top w:val="none" w:sz="0" w:space="0" w:color="auto"/>
            <w:left w:val="none" w:sz="0" w:space="0" w:color="auto"/>
            <w:bottom w:val="none" w:sz="0" w:space="0" w:color="auto"/>
            <w:right w:val="none" w:sz="0" w:space="0" w:color="auto"/>
          </w:divBdr>
        </w:div>
        <w:div w:id="1361399264">
          <w:marLeft w:val="640"/>
          <w:marRight w:val="0"/>
          <w:marTop w:val="0"/>
          <w:marBottom w:val="0"/>
          <w:divBdr>
            <w:top w:val="none" w:sz="0" w:space="0" w:color="auto"/>
            <w:left w:val="none" w:sz="0" w:space="0" w:color="auto"/>
            <w:bottom w:val="none" w:sz="0" w:space="0" w:color="auto"/>
            <w:right w:val="none" w:sz="0" w:space="0" w:color="auto"/>
          </w:divBdr>
        </w:div>
        <w:div w:id="741029639">
          <w:marLeft w:val="640"/>
          <w:marRight w:val="0"/>
          <w:marTop w:val="0"/>
          <w:marBottom w:val="0"/>
          <w:divBdr>
            <w:top w:val="none" w:sz="0" w:space="0" w:color="auto"/>
            <w:left w:val="none" w:sz="0" w:space="0" w:color="auto"/>
            <w:bottom w:val="none" w:sz="0" w:space="0" w:color="auto"/>
            <w:right w:val="none" w:sz="0" w:space="0" w:color="auto"/>
          </w:divBdr>
        </w:div>
        <w:div w:id="715087971">
          <w:marLeft w:val="640"/>
          <w:marRight w:val="0"/>
          <w:marTop w:val="0"/>
          <w:marBottom w:val="0"/>
          <w:divBdr>
            <w:top w:val="none" w:sz="0" w:space="0" w:color="auto"/>
            <w:left w:val="none" w:sz="0" w:space="0" w:color="auto"/>
            <w:bottom w:val="none" w:sz="0" w:space="0" w:color="auto"/>
            <w:right w:val="none" w:sz="0" w:space="0" w:color="auto"/>
          </w:divBdr>
        </w:div>
        <w:div w:id="1392726515">
          <w:marLeft w:val="640"/>
          <w:marRight w:val="0"/>
          <w:marTop w:val="0"/>
          <w:marBottom w:val="0"/>
          <w:divBdr>
            <w:top w:val="none" w:sz="0" w:space="0" w:color="auto"/>
            <w:left w:val="none" w:sz="0" w:space="0" w:color="auto"/>
            <w:bottom w:val="none" w:sz="0" w:space="0" w:color="auto"/>
            <w:right w:val="none" w:sz="0" w:space="0" w:color="auto"/>
          </w:divBdr>
        </w:div>
        <w:div w:id="145897964">
          <w:marLeft w:val="640"/>
          <w:marRight w:val="0"/>
          <w:marTop w:val="0"/>
          <w:marBottom w:val="0"/>
          <w:divBdr>
            <w:top w:val="none" w:sz="0" w:space="0" w:color="auto"/>
            <w:left w:val="none" w:sz="0" w:space="0" w:color="auto"/>
            <w:bottom w:val="none" w:sz="0" w:space="0" w:color="auto"/>
            <w:right w:val="none" w:sz="0" w:space="0" w:color="auto"/>
          </w:divBdr>
        </w:div>
        <w:div w:id="835343620">
          <w:marLeft w:val="640"/>
          <w:marRight w:val="0"/>
          <w:marTop w:val="0"/>
          <w:marBottom w:val="0"/>
          <w:divBdr>
            <w:top w:val="none" w:sz="0" w:space="0" w:color="auto"/>
            <w:left w:val="none" w:sz="0" w:space="0" w:color="auto"/>
            <w:bottom w:val="none" w:sz="0" w:space="0" w:color="auto"/>
            <w:right w:val="none" w:sz="0" w:space="0" w:color="auto"/>
          </w:divBdr>
        </w:div>
        <w:div w:id="641886408">
          <w:marLeft w:val="640"/>
          <w:marRight w:val="0"/>
          <w:marTop w:val="0"/>
          <w:marBottom w:val="0"/>
          <w:divBdr>
            <w:top w:val="none" w:sz="0" w:space="0" w:color="auto"/>
            <w:left w:val="none" w:sz="0" w:space="0" w:color="auto"/>
            <w:bottom w:val="none" w:sz="0" w:space="0" w:color="auto"/>
            <w:right w:val="none" w:sz="0" w:space="0" w:color="auto"/>
          </w:divBdr>
        </w:div>
        <w:div w:id="1583759507">
          <w:marLeft w:val="640"/>
          <w:marRight w:val="0"/>
          <w:marTop w:val="0"/>
          <w:marBottom w:val="0"/>
          <w:divBdr>
            <w:top w:val="none" w:sz="0" w:space="0" w:color="auto"/>
            <w:left w:val="none" w:sz="0" w:space="0" w:color="auto"/>
            <w:bottom w:val="none" w:sz="0" w:space="0" w:color="auto"/>
            <w:right w:val="none" w:sz="0" w:space="0" w:color="auto"/>
          </w:divBdr>
        </w:div>
        <w:div w:id="1781408463">
          <w:marLeft w:val="640"/>
          <w:marRight w:val="0"/>
          <w:marTop w:val="0"/>
          <w:marBottom w:val="0"/>
          <w:divBdr>
            <w:top w:val="none" w:sz="0" w:space="0" w:color="auto"/>
            <w:left w:val="none" w:sz="0" w:space="0" w:color="auto"/>
            <w:bottom w:val="none" w:sz="0" w:space="0" w:color="auto"/>
            <w:right w:val="none" w:sz="0" w:space="0" w:color="auto"/>
          </w:divBdr>
        </w:div>
        <w:div w:id="2120055877">
          <w:marLeft w:val="640"/>
          <w:marRight w:val="0"/>
          <w:marTop w:val="0"/>
          <w:marBottom w:val="0"/>
          <w:divBdr>
            <w:top w:val="none" w:sz="0" w:space="0" w:color="auto"/>
            <w:left w:val="none" w:sz="0" w:space="0" w:color="auto"/>
            <w:bottom w:val="none" w:sz="0" w:space="0" w:color="auto"/>
            <w:right w:val="none" w:sz="0" w:space="0" w:color="auto"/>
          </w:divBdr>
        </w:div>
        <w:div w:id="570508026">
          <w:marLeft w:val="640"/>
          <w:marRight w:val="0"/>
          <w:marTop w:val="0"/>
          <w:marBottom w:val="0"/>
          <w:divBdr>
            <w:top w:val="none" w:sz="0" w:space="0" w:color="auto"/>
            <w:left w:val="none" w:sz="0" w:space="0" w:color="auto"/>
            <w:bottom w:val="none" w:sz="0" w:space="0" w:color="auto"/>
            <w:right w:val="none" w:sz="0" w:space="0" w:color="auto"/>
          </w:divBdr>
        </w:div>
        <w:div w:id="2098359352">
          <w:marLeft w:val="640"/>
          <w:marRight w:val="0"/>
          <w:marTop w:val="0"/>
          <w:marBottom w:val="0"/>
          <w:divBdr>
            <w:top w:val="none" w:sz="0" w:space="0" w:color="auto"/>
            <w:left w:val="none" w:sz="0" w:space="0" w:color="auto"/>
            <w:bottom w:val="none" w:sz="0" w:space="0" w:color="auto"/>
            <w:right w:val="none" w:sz="0" w:space="0" w:color="auto"/>
          </w:divBdr>
        </w:div>
        <w:div w:id="1396274945">
          <w:marLeft w:val="640"/>
          <w:marRight w:val="0"/>
          <w:marTop w:val="0"/>
          <w:marBottom w:val="0"/>
          <w:divBdr>
            <w:top w:val="none" w:sz="0" w:space="0" w:color="auto"/>
            <w:left w:val="none" w:sz="0" w:space="0" w:color="auto"/>
            <w:bottom w:val="none" w:sz="0" w:space="0" w:color="auto"/>
            <w:right w:val="none" w:sz="0" w:space="0" w:color="auto"/>
          </w:divBdr>
        </w:div>
        <w:div w:id="191463021">
          <w:marLeft w:val="640"/>
          <w:marRight w:val="0"/>
          <w:marTop w:val="0"/>
          <w:marBottom w:val="0"/>
          <w:divBdr>
            <w:top w:val="none" w:sz="0" w:space="0" w:color="auto"/>
            <w:left w:val="none" w:sz="0" w:space="0" w:color="auto"/>
            <w:bottom w:val="none" w:sz="0" w:space="0" w:color="auto"/>
            <w:right w:val="none" w:sz="0" w:space="0" w:color="auto"/>
          </w:divBdr>
        </w:div>
        <w:div w:id="969479003">
          <w:marLeft w:val="640"/>
          <w:marRight w:val="0"/>
          <w:marTop w:val="0"/>
          <w:marBottom w:val="0"/>
          <w:divBdr>
            <w:top w:val="none" w:sz="0" w:space="0" w:color="auto"/>
            <w:left w:val="none" w:sz="0" w:space="0" w:color="auto"/>
            <w:bottom w:val="none" w:sz="0" w:space="0" w:color="auto"/>
            <w:right w:val="none" w:sz="0" w:space="0" w:color="auto"/>
          </w:divBdr>
        </w:div>
        <w:div w:id="707336587">
          <w:marLeft w:val="640"/>
          <w:marRight w:val="0"/>
          <w:marTop w:val="0"/>
          <w:marBottom w:val="0"/>
          <w:divBdr>
            <w:top w:val="none" w:sz="0" w:space="0" w:color="auto"/>
            <w:left w:val="none" w:sz="0" w:space="0" w:color="auto"/>
            <w:bottom w:val="none" w:sz="0" w:space="0" w:color="auto"/>
            <w:right w:val="none" w:sz="0" w:space="0" w:color="auto"/>
          </w:divBdr>
        </w:div>
        <w:div w:id="1878931911">
          <w:marLeft w:val="640"/>
          <w:marRight w:val="0"/>
          <w:marTop w:val="0"/>
          <w:marBottom w:val="0"/>
          <w:divBdr>
            <w:top w:val="none" w:sz="0" w:space="0" w:color="auto"/>
            <w:left w:val="none" w:sz="0" w:space="0" w:color="auto"/>
            <w:bottom w:val="none" w:sz="0" w:space="0" w:color="auto"/>
            <w:right w:val="none" w:sz="0" w:space="0" w:color="auto"/>
          </w:divBdr>
        </w:div>
        <w:div w:id="254705482">
          <w:marLeft w:val="640"/>
          <w:marRight w:val="0"/>
          <w:marTop w:val="0"/>
          <w:marBottom w:val="0"/>
          <w:divBdr>
            <w:top w:val="none" w:sz="0" w:space="0" w:color="auto"/>
            <w:left w:val="none" w:sz="0" w:space="0" w:color="auto"/>
            <w:bottom w:val="none" w:sz="0" w:space="0" w:color="auto"/>
            <w:right w:val="none" w:sz="0" w:space="0" w:color="auto"/>
          </w:divBdr>
        </w:div>
        <w:div w:id="1928270863">
          <w:marLeft w:val="640"/>
          <w:marRight w:val="0"/>
          <w:marTop w:val="0"/>
          <w:marBottom w:val="0"/>
          <w:divBdr>
            <w:top w:val="none" w:sz="0" w:space="0" w:color="auto"/>
            <w:left w:val="none" w:sz="0" w:space="0" w:color="auto"/>
            <w:bottom w:val="none" w:sz="0" w:space="0" w:color="auto"/>
            <w:right w:val="none" w:sz="0" w:space="0" w:color="auto"/>
          </w:divBdr>
        </w:div>
        <w:div w:id="461119701">
          <w:marLeft w:val="640"/>
          <w:marRight w:val="0"/>
          <w:marTop w:val="0"/>
          <w:marBottom w:val="0"/>
          <w:divBdr>
            <w:top w:val="none" w:sz="0" w:space="0" w:color="auto"/>
            <w:left w:val="none" w:sz="0" w:space="0" w:color="auto"/>
            <w:bottom w:val="none" w:sz="0" w:space="0" w:color="auto"/>
            <w:right w:val="none" w:sz="0" w:space="0" w:color="auto"/>
          </w:divBdr>
        </w:div>
        <w:div w:id="202983534">
          <w:marLeft w:val="640"/>
          <w:marRight w:val="0"/>
          <w:marTop w:val="0"/>
          <w:marBottom w:val="0"/>
          <w:divBdr>
            <w:top w:val="none" w:sz="0" w:space="0" w:color="auto"/>
            <w:left w:val="none" w:sz="0" w:space="0" w:color="auto"/>
            <w:bottom w:val="none" w:sz="0" w:space="0" w:color="auto"/>
            <w:right w:val="none" w:sz="0" w:space="0" w:color="auto"/>
          </w:divBdr>
        </w:div>
        <w:div w:id="1201356449">
          <w:marLeft w:val="640"/>
          <w:marRight w:val="0"/>
          <w:marTop w:val="0"/>
          <w:marBottom w:val="0"/>
          <w:divBdr>
            <w:top w:val="none" w:sz="0" w:space="0" w:color="auto"/>
            <w:left w:val="none" w:sz="0" w:space="0" w:color="auto"/>
            <w:bottom w:val="none" w:sz="0" w:space="0" w:color="auto"/>
            <w:right w:val="none" w:sz="0" w:space="0" w:color="auto"/>
          </w:divBdr>
        </w:div>
        <w:div w:id="1299843815">
          <w:marLeft w:val="640"/>
          <w:marRight w:val="0"/>
          <w:marTop w:val="0"/>
          <w:marBottom w:val="0"/>
          <w:divBdr>
            <w:top w:val="none" w:sz="0" w:space="0" w:color="auto"/>
            <w:left w:val="none" w:sz="0" w:space="0" w:color="auto"/>
            <w:bottom w:val="none" w:sz="0" w:space="0" w:color="auto"/>
            <w:right w:val="none" w:sz="0" w:space="0" w:color="auto"/>
          </w:divBdr>
        </w:div>
        <w:div w:id="1447431145">
          <w:marLeft w:val="640"/>
          <w:marRight w:val="0"/>
          <w:marTop w:val="0"/>
          <w:marBottom w:val="0"/>
          <w:divBdr>
            <w:top w:val="none" w:sz="0" w:space="0" w:color="auto"/>
            <w:left w:val="none" w:sz="0" w:space="0" w:color="auto"/>
            <w:bottom w:val="none" w:sz="0" w:space="0" w:color="auto"/>
            <w:right w:val="none" w:sz="0" w:space="0" w:color="auto"/>
          </w:divBdr>
        </w:div>
        <w:div w:id="1972247903">
          <w:marLeft w:val="640"/>
          <w:marRight w:val="0"/>
          <w:marTop w:val="0"/>
          <w:marBottom w:val="0"/>
          <w:divBdr>
            <w:top w:val="none" w:sz="0" w:space="0" w:color="auto"/>
            <w:left w:val="none" w:sz="0" w:space="0" w:color="auto"/>
            <w:bottom w:val="none" w:sz="0" w:space="0" w:color="auto"/>
            <w:right w:val="none" w:sz="0" w:space="0" w:color="auto"/>
          </w:divBdr>
        </w:div>
        <w:div w:id="1280994013">
          <w:marLeft w:val="640"/>
          <w:marRight w:val="0"/>
          <w:marTop w:val="0"/>
          <w:marBottom w:val="0"/>
          <w:divBdr>
            <w:top w:val="none" w:sz="0" w:space="0" w:color="auto"/>
            <w:left w:val="none" w:sz="0" w:space="0" w:color="auto"/>
            <w:bottom w:val="none" w:sz="0" w:space="0" w:color="auto"/>
            <w:right w:val="none" w:sz="0" w:space="0" w:color="auto"/>
          </w:divBdr>
        </w:div>
        <w:div w:id="1274047481">
          <w:marLeft w:val="640"/>
          <w:marRight w:val="0"/>
          <w:marTop w:val="0"/>
          <w:marBottom w:val="0"/>
          <w:divBdr>
            <w:top w:val="none" w:sz="0" w:space="0" w:color="auto"/>
            <w:left w:val="none" w:sz="0" w:space="0" w:color="auto"/>
            <w:bottom w:val="none" w:sz="0" w:space="0" w:color="auto"/>
            <w:right w:val="none" w:sz="0" w:space="0" w:color="auto"/>
          </w:divBdr>
        </w:div>
        <w:div w:id="1687749149">
          <w:marLeft w:val="640"/>
          <w:marRight w:val="0"/>
          <w:marTop w:val="0"/>
          <w:marBottom w:val="0"/>
          <w:divBdr>
            <w:top w:val="none" w:sz="0" w:space="0" w:color="auto"/>
            <w:left w:val="none" w:sz="0" w:space="0" w:color="auto"/>
            <w:bottom w:val="none" w:sz="0" w:space="0" w:color="auto"/>
            <w:right w:val="none" w:sz="0" w:space="0" w:color="auto"/>
          </w:divBdr>
        </w:div>
        <w:div w:id="686832805">
          <w:marLeft w:val="640"/>
          <w:marRight w:val="0"/>
          <w:marTop w:val="0"/>
          <w:marBottom w:val="0"/>
          <w:divBdr>
            <w:top w:val="none" w:sz="0" w:space="0" w:color="auto"/>
            <w:left w:val="none" w:sz="0" w:space="0" w:color="auto"/>
            <w:bottom w:val="none" w:sz="0" w:space="0" w:color="auto"/>
            <w:right w:val="none" w:sz="0" w:space="0" w:color="auto"/>
          </w:divBdr>
        </w:div>
        <w:div w:id="311758253">
          <w:marLeft w:val="640"/>
          <w:marRight w:val="0"/>
          <w:marTop w:val="0"/>
          <w:marBottom w:val="0"/>
          <w:divBdr>
            <w:top w:val="none" w:sz="0" w:space="0" w:color="auto"/>
            <w:left w:val="none" w:sz="0" w:space="0" w:color="auto"/>
            <w:bottom w:val="none" w:sz="0" w:space="0" w:color="auto"/>
            <w:right w:val="none" w:sz="0" w:space="0" w:color="auto"/>
          </w:divBdr>
        </w:div>
        <w:div w:id="1016348760">
          <w:marLeft w:val="640"/>
          <w:marRight w:val="0"/>
          <w:marTop w:val="0"/>
          <w:marBottom w:val="0"/>
          <w:divBdr>
            <w:top w:val="none" w:sz="0" w:space="0" w:color="auto"/>
            <w:left w:val="none" w:sz="0" w:space="0" w:color="auto"/>
            <w:bottom w:val="none" w:sz="0" w:space="0" w:color="auto"/>
            <w:right w:val="none" w:sz="0" w:space="0" w:color="auto"/>
          </w:divBdr>
        </w:div>
        <w:div w:id="413551286">
          <w:marLeft w:val="640"/>
          <w:marRight w:val="0"/>
          <w:marTop w:val="0"/>
          <w:marBottom w:val="0"/>
          <w:divBdr>
            <w:top w:val="none" w:sz="0" w:space="0" w:color="auto"/>
            <w:left w:val="none" w:sz="0" w:space="0" w:color="auto"/>
            <w:bottom w:val="none" w:sz="0" w:space="0" w:color="auto"/>
            <w:right w:val="none" w:sz="0" w:space="0" w:color="auto"/>
          </w:divBdr>
        </w:div>
        <w:div w:id="1168325586">
          <w:marLeft w:val="640"/>
          <w:marRight w:val="0"/>
          <w:marTop w:val="0"/>
          <w:marBottom w:val="0"/>
          <w:divBdr>
            <w:top w:val="none" w:sz="0" w:space="0" w:color="auto"/>
            <w:left w:val="none" w:sz="0" w:space="0" w:color="auto"/>
            <w:bottom w:val="none" w:sz="0" w:space="0" w:color="auto"/>
            <w:right w:val="none" w:sz="0" w:space="0" w:color="auto"/>
          </w:divBdr>
        </w:div>
        <w:div w:id="1851525565">
          <w:marLeft w:val="640"/>
          <w:marRight w:val="0"/>
          <w:marTop w:val="0"/>
          <w:marBottom w:val="0"/>
          <w:divBdr>
            <w:top w:val="none" w:sz="0" w:space="0" w:color="auto"/>
            <w:left w:val="none" w:sz="0" w:space="0" w:color="auto"/>
            <w:bottom w:val="none" w:sz="0" w:space="0" w:color="auto"/>
            <w:right w:val="none" w:sz="0" w:space="0" w:color="auto"/>
          </w:divBdr>
        </w:div>
        <w:div w:id="820119289">
          <w:marLeft w:val="640"/>
          <w:marRight w:val="0"/>
          <w:marTop w:val="0"/>
          <w:marBottom w:val="0"/>
          <w:divBdr>
            <w:top w:val="none" w:sz="0" w:space="0" w:color="auto"/>
            <w:left w:val="none" w:sz="0" w:space="0" w:color="auto"/>
            <w:bottom w:val="none" w:sz="0" w:space="0" w:color="auto"/>
            <w:right w:val="none" w:sz="0" w:space="0" w:color="auto"/>
          </w:divBdr>
        </w:div>
        <w:div w:id="130053854">
          <w:marLeft w:val="640"/>
          <w:marRight w:val="0"/>
          <w:marTop w:val="0"/>
          <w:marBottom w:val="0"/>
          <w:divBdr>
            <w:top w:val="none" w:sz="0" w:space="0" w:color="auto"/>
            <w:left w:val="none" w:sz="0" w:space="0" w:color="auto"/>
            <w:bottom w:val="none" w:sz="0" w:space="0" w:color="auto"/>
            <w:right w:val="none" w:sz="0" w:space="0" w:color="auto"/>
          </w:divBdr>
        </w:div>
        <w:div w:id="1511068030">
          <w:marLeft w:val="640"/>
          <w:marRight w:val="0"/>
          <w:marTop w:val="0"/>
          <w:marBottom w:val="0"/>
          <w:divBdr>
            <w:top w:val="none" w:sz="0" w:space="0" w:color="auto"/>
            <w:left w:val="none" w:sz="0" w:space="0" w:color="auto"/>
            <w:bottom w:val="none" w:sz="0" w:space="0" w:color="auto"/>
            <w:right w:val="none" w:sz="0" w:space="0" w:color="auto"/>
          </w:divBdr>
        </w:div>
        <w:div w:id="639697672">
          <w:marLeft w:val="640"/>
          <w:marRight w:val="0"/>
          <w:marTop w:val="0"/>
          <w:marBottom w:val="0"/>
          <w:divBdr>
            <w:top w:val="none" w:sz="0" w:space="0" w:color="auto"/>
            <w:left w:val="none" w:sz="0" w:space="0" w:color="auto"/>
            <w:bottom w:val="none" w:sz="0" w:space="0" w:color="auto"/>
            <w:right w:val="none" w:sz="0" w:space="0" w:color="auto"/>
          </w:divBdr>
        </w:div>
        <w:div w:id="1520049648">
          <w:marLeft w:val="640"/>
          <w:marRight w:val="0"/>
          <w:marTop w:val="0"/>
          <w:marBottom w:val="0"/>
          <w:divBdr>
            <w:top w:val="none" w:sz="0" w:space="0" w:color="auto"/>
            <w:left w:val="none" w:sz="0" w:space="0" w:color="auto"/>
            <w:bottom w:val="none" w:sz="0" w:space="0" w:color="auto"/>
            <w:right w:val="none" w:sz="0" w:space="0" w:color="auto"/>
          </w:divBdr>
        </w:div>
        <w:div w:id="44914479">
          <w:marLeft w:val="640"/>
          <w:marRight w:val="0"/>
          <w:marTop w:val="0"/>
          <w:marBottom w:val="0"/>
          <w:divBdr>
            <w:top w:val="none" w:sz="0" w:space="0" w:color="auto"/>
            <w:left w:val="none" w:sz="0" w:space="0" w:color="auto"/>
            <w:bottom w:val="none" w:sz="0" w:space="0" w:color="auto"/>
            <w:right w:val="none" w:sz="0" w:space="0" w:color="auto"/>
          </w:divBdr>
        </w:div>
        <w:div w:id="1069302128">
          <w:marLeft w:val="640"/>
          <w:marRight w:val="0"/>
          <w:marTop w:val="0"/>
          <w:marBottom w:val="0"/>
          <w:divBdr>
            <w:top w:val="none" w:sz="0" w:space="0" w:color="auto"/>
            <w:left w:val="none" w:sz="0" w:space="0" w:color="auto"/>
            <w:bottom w:val="none" w:sz="0" w:space="0" w:color="auto"/>
            <w:right w:val="none" w:sz="0" w:space="0" w:color="auto"/>
          </w:divBdr>
        </w:div>
        <w:div w:id="88503554">
          <w:marLeft w:val="640"/>
          <w:marRight w:val="0"/>
          <w:marTop w:val="0"/>
          <w:marBottom w:val="0"/>
          <w:divBdr>
            <w:top w:val="none" w:sz="0" w:space="0" w:color="auto"/>
            <w:left w:val="none" w:sz="0" w:space="0" w:color="auto"/>
            <w:bottom w:val="none" w:sz="0" w:space="0" w:color="auto"/>
            <w:right w:val="none" w:sz="0" w:space="0" w:color="auto"/>
          </w:divBdr>
        </w:div>
        <w:div w:id="1814904215">
          <w:marLeft w:val="640"/>
          <w:marRight w:val="0"/>
          <w:marTop w:val="0"/>
          <w:marBottom w:val="0"/>
          <w:divBdr>
            <w:top w:val="none" w:sz="0" w:space="0" w:color="auto"/>
            <w:left w:val="none" w:sz="0" w:space="0" w:color="auto"/>
            <w:bottom w:val="none" w:sz="0" w:space="0" w:color="auto"/>
            <w:right w:val="none" w:sz="0" w:space="0" w:color="auto"/>
          </w:divBdr>
        </w:div>
        <w:div w:id="1573353043">
          <w:marLeft w:val="640"/>
          <w:marRight w:val="0"/>
          <w:marTop w:val="0"/>
          <w:marBottom w:val="0"/>
          <w:divBdr>
            <w:top w:val="none" w:sz="0" w:space="0" w:color="auto"/>
            <w:left w:val="none" w:sz="0" w:space="0" w:color="auto"/>
            <w:bottom w:val="none" w:sz="0" w:space="0" w:color="auto"/>
            <w:right w:val="none" w:sz="0" w:space="0" w:color="auto"/>
          </w:divBdr>
        </w:div>
        <w:div w:id="52395381">
          <w:marLeft w:val="640"/>
          <w:marRight w:val="0"/>
          <w:marTop w:val="0"/>
          <w:marBottom w:val="0"/>
          <w:divBdr>
            <w:top w:val="none" w:sz="0" w:space="0" w:color="auto"/>
            <w:left w:val="none" w:sz="0" w:space="0" w:color="auto"/>
            <w:bottom w:val="none" w:sz="0" w:space="0" w:color="auto"/>
            <w:right w:val="none" w:sz="0" w:space="0" w:color="auto"/>
          </w:divBdr>
        </w:div>
        <w:div w:id="640572362">
          <w:marLeft w:val="640"/>
          <w:marRight w:val="0"/>
          <w:marTop w:val="0"/>
          <w:marBottom w:val="0"/>
          <w:divBdr>
            <w:top w:val="none" w:sz="0" w:space="0" w:color="auto"/>
            <w:left w:val="none" w:sz="0" w:space="0" w:color="auto"/>
            <w:bottom w:val="none" w:sz="0" w:space="0" w:color="auto"/>
            <w:right w:val="none" w:sz="0" w:space="0" w:color="auto"/>
          </w:divBdr>
        </w:div>
        <w:div w:id="2138254681">
          <w:marLeft w:val="640"/>
          <w:marRight w:val="0"/>
          <w:marTop w:val="0"/>
          <w:marBottom w:val="0"/>
          <w:divBdr>
            <w:top w:val="none" w:sz="0" w:space="0" w:color="auto"/>
            <w:left w:val="none" w:sz="0" w:space="0" w:color="auto"/>
            <w:bottom w:val="none" w:sz="0" w:space="0" w:color="auto"/>
            <w:right w:val="none" w:sz="0" w:space="0" w:color="auto"/>
          </w:divBdr>
        </w:div>
        <w:div w:id="1144392855">
          <w:marLeft w:val="640"/>
          <w:marRight w:val="0"/>
          <w:marTop w:val="0"/>
          <w:marBottom w:val="0"/>
          <w:divBdr>
            <w:top w:val="none" w:sz="0" w:space="0" w:color="auto"/>
            <w:left w:val="none" w:sz="0" w:space="0" w:color="auto"/>
            <w:bottom w:val="none" w:sz="0" w:space="0" w:color="auto"/>
            <w:right w:val="none" w:sz="0" w:space="0" w:color="auto"/>
          </w:divBdr>
        </w:div>
        <w:div w:id="226917278">
          <w:marLeft w:val="640"/>
          <w:marRight w:val="0"/>
          <w:marTop w:val="0"/>
          <w:marBottom w:val="0"/>
          <w:divBdr>
            <w:top w:val="none" w:sz="0" w:space="0" w:color="auto"/>
            <w:left w:val="none" w:sz="0" w:space="0" w:color="auto"/>
            <w:bottom w:val="none" w:sz="0" w:space="0" w:color="auto"/>
            <w:right w:val="none" w:sz="0" w:space="0" w:color="auto"/>
          </w:divBdr>
        </w:div>
        <w:div w:id="473451973">
          <w:marLeft w:val="640"/>
          <w:marRight w:val="0"/>
          <w:marTop w:val="0"/>
          <w:marBottom w:val="0"/>
          <w:divBdr>
            <w:top w:val="none" w:sz="0" w:space="0" w:color="auto"/>
            <w:left w:val="none" w:sz="0" w:space="0" w:color="auto"/>
            <w:bottom w:val="none" w:sz="0" w:space="0" w:color="auto"/>
            <w:right w:val="none" w:sz="0" w:space="0" w:color="auto"/>
          </w:divBdr>
        </w:div>
        <w:div w:id="766118078">
          <w:marLeft w:val="640"/>
          <w:marRight w:val="0"/>
          <w:marTop w:val="0"/>
          <w:marBottom w:val="0"/>
          <w:divBdr>
            <w:top w:val="none" w:sz="0" w:space="0" w:color="auto"/>
            <w:left w:val="none" w:sz="0" w:space="0" w:color="auto"/>
            <w:bottom w:val="none" w:sz="0" w:space="0" w:color="auto"/>
            <w:right w:val="none" w:sz="0" w:space="0" w:color="auto"/>
          </w:divBdr>
        </w:div>
        <w:div w:id="2061052095">
          <w:marLeft w:val="640"/>
          <w:marRight w:val="0"/>
          <w:marTop w:val="0"/>
          <w:marBottom w:val="0"/>
          <w:divBdr>
            <w:top w:val="none" w:sz="0" w:space="0" w:color="auto"/>
            <w:left w:val="none" w:sz="0" w:space="0" w:color="auto"/>
            <w:bottom w:val="none" w:sz="0" w:space="0" w:color="auto"/>
            <w:right w:val="none" w:sz="0" w:space="0" w:color="auto"/>
          </w:divBdr>
        </w:div>
        <w:div w:id="1263951418">
          <w:marLeft w:val="640"/>
          <w:marRight w:val="0"/>
          <w:marTop w:val="0"/>
          <w:marBottom w:val="0"/>
          <w:divBdr>
            <w:top w:val="none" w:sz="0" w:space="0" w:color="auto"/>
            <w:left w:val="none" w:sz="0" w:space="0" w:color="auto"/>
            <w:bottom w:val="none" w:sz="0" w:space="0" w:color="auto"/>
            <w:right w:val="none" w:sz="0" w:space="0" w:color="auto"/>
          </w:divBdr>
        </w:div>
        <w:div w:id="1955668101">
          <w:marLeft w:val="640"/>
          <w:marRight w:val="0"/>
          <w:marTop w:val="0"/>
          <w:marBottom w:val="0"/>
          <w:divBdr>
            <w:top w:val="none" w:sz="0" w:space="0" w:color="auto"/>
            <w:left w:val="none" w:sz="0" w:space="0" w:color="auto"/>
            <w:bottom w:val="none" w:sz="0" w:space="0" w:color="auto"/>
            <w:right w:val="none" w:sz="0" w:space="0" w:color="auto"/>
          </w:divBdr>
        </w:div>
        <w:div w:id="626087982">
          <w:marLeft w:val="640"/>
          <w:marRight w:val="0"/>
          <w:marTop w:val="0"/>
          <w:marBottom w:val="0"/>
          <w:divBdr>
            <w:top w:val="none" w:sz="0" w:space="0" w:color="auto"/>
            <w:left w:val="none" w:sz="0" w:space="0" w:color="auto"/>
            <w:bottom w:val="none" w:sz="0" w:space="0" w:color="auto"/>
            <w:right w:val="none" w:sz="0" w:space="0" w:color="auto"/>
          </w:divBdr>
        </w:div>
        <w:div w:id="272859016">
          <w:marLeft w:val="640"/>
          <w:marRight w:val="0"/>
          <w:marTop w:val="0"/>
          <w:marBottom w:val="0"/>
          <w:divBdr>
            <w:top w:val="none" w:sz="0" w:space="0" w:color="auto"/>
            <w:left w:val="none" w:sz="0" w:space="0" w:color="auto"/>
            <w:bottom w:val="none" w:sz="0" w:space="0" w:color="auto"/>
            <w:right w:val="none" w:sz="0" w:space="0" w:color="auto"/>
          </w:divBdr>
        </w:div>
        <w:div w:id="826358009">
          <w:marLeft w:val="640"/>
          <w:marRight w:val="0"/>
          <w:marTop w:val="0"/>
          <w:marBottom w:val="0"/>
          <w:divBdr>
            <w:top w:val="none" w:sz="0" w:space="0" w:color="auto"/>
            <w:left w:val="none" w:sz="0" w:space="0" w:color="auto"/>
            <w:bottom w:val="none" w:sz="0" w:space="0" w:color="auto"/>
            <w:right w:val="none" w:sz="0" w:space="0" w:color="auto"/>
          </w:divBdr>
        </w:div>
        <w:div w:id="881477557">
          <w:marLeft w:val="640"/>
          <w:marRight w:val="0"/>
          <w:marTop w:val="0"/>
          <w:marBottom w:val="0"/>
          <w:divBdr>
            <w:top w:val="none" w:sz="0" w:space="0" w:color="auto"/>
            <w:left w:val="none" w:sz="0" w:space="0" w:color="auto"/>
            <w:bottom w:val="none" w:sz="0" w:space="0" w:color="auto"/>
            <w:right w:val="none" w:sz="0" w:space="0" w:color="auto"/>
          </w:divBdr>
        </w:div>
        <w:div w:id="135074479">
          <w:marLeft w:val="640"/>
          <w:marRight w:val="0"/>
          <w:marTop w:val="0"/>
          <w:marBottom w:val="0"/>
          <w:divBdr>
            <w:top w:val="none" w:sz="0" w:space="0" w:color="auto"/>
            <w:left w:val="none" w:sz="0" w:space="0" w:color="auto"/>
            <w:bottom w:val="none" w:sz="0" w:space="0" w:color="auto"/>
            <w:right w:val="none" w:sz="0" w:space="0" w:color="auto"/>
          </w:divBdr>
        </w:div>
        <w:div w:id="1098334318">
          <w:marLeft w:val="640"/>
          <w:marRight w:val="0"/>
          <w:marTop w:val="0"/>
          <w:marBottom w:val="0"/>
          <w:divBdr>
            <w:top w:val="none" w:sz="0" w:space="0" w:color="auto"/>
            <w:left w:val="none" w:sz="0" w:space="0" w:color="auto"/>
            <w:bottom w:val="none" w:sz="0" w:space="0" w:color="auto"/>
            <w:right w:val="none" w:sz="0" w:space="0" w:color="auto"/>
          </w:divBdr>
        </w:div>
        <w:div w:id="1454471678">
          <w:marLeft w:val="640"/>
          <w:marRight w:val="0"/>
          <w:marTop w:val="0"/>
          <w:marBottom w:val="0"/>
          <w:divBdr>
            <w:top w:val="none" w:sz="0" w:space="0" w:color="auto"/>
            <w:left w:val="none" w:sz="0" w:space="0" w:color="auto"/>
            <w:bottom w:val="none" w:sz="0" w:space="0" w:color="auto"/>
            <w:right w:val="none" w:sz="0" w:space="0" w:color="auto"/>
          </w:divBdr>
        </w:div>
        <w:div w:id="1070540311">
          <w:marLeft w:val="640"/>
          <w:marRight w:val="0"/>
          <w:marTop w:val="0"/>
          <w:marBottom w:val="0"/>
          <w:divBdr>
            <w:top w:val="none" w:sz="0" w:space="0" w:color="auto"/>
            <w:left w:val="none" w:sz="0" w:space="0" w:color="auto"/>
            <w:bottom w:val="none" w:sz="0" w:space="0" w:color="auto"/>
            <w:right w:val="none" w:sz="0" w:space="0" w:color="auto"/>
          </w:divBdr>
        </w:div>
        <w:div w:id="1629168955">
          <w:marLeft w:val="640"/>
          <w:marRight w:val="0"/>
          <w:marTop w:val="0"/>
          <w:marBottom w:val="0"/>
          <w:divBdr>
            <w:top w:val="none" w:sz="0" w:space="0" w:color="auto"/>
            <w:left w:val="none" w:sz="0" w:space="0" w:color="auto"/>
            <w:bottom w:val="none" w:sz="0" w:space="0" w:color="auto"/>
            <w:right w:val="none" w:sz="0" w:space="0" w:color="auto"/>
          </w:divBdr>
        </w:div>
        <w:div w:id="1392074421">
          <w:marLeft w:val="640"/>
          <w:marRight w:val="0"/>
          <w:marTop w:val="0"/>
          <w:marBottom w:val="0"/>
          <w:divBdr>
            <w:top w:val="none" w:sz="0" w:space="0" w:color="auto"/>
            <w:left w:val="none" w:sz="0" w:space="0" w:color="auto"/>
            <w:bottom w:val="none" w:sz="0" w:space="0" w:color="auto"/>
            <w:right w:val="none" w:sz="0" w:space="0" w:color="auto"/>
          </w:divBdr>
        </w:div>
        <w:div w:id="1892039900">
          <w:marLeft w:val="640"/>
          <w:marRight w:val="0"/>
          <w:marTop w:val="0"/>
          <w:marBottom w:val="0"/>
          <w:divBdr>
            <w:top w:val="none" w:sz="0" w:space="0" w:color="auto"/>
            <w:left w:val="none" w:sz="0" w:space="0" w:color="auto"/>
            <w:bottom w:val="none" w:sz="0" w:space="0" w:color="auto"/>
            <w:right w:val="none" w:sz="0" w:space="0" w:color="auto"/>
          </w:divBdr>
        </w:div>
        <w:div w:id="1738168597">
          <w:marLeft w:val="640"/>
          <w:marRight w:val="0"/>
          <w:marTop w:val="0"/>
          <w:marBottom w:val="0"/>
          <w:divBdr>
            <w:top w:val="none" w:sz="0" w:space="0" w:color="auto"/>
            <w:left w:val="none" w:sz="0" w:space="0" w:color="auto"/>
            <w:bottom w:val="none" w:sz="0" w:space="0" w:color="auto"/>
            <w:right w:val="none" w:sz="0" w:space="0" w:color="auto"/>
          </w:divBdr>
        </w:div>
        <w:div w:id="557328458">
          <w:marLeft w:val="640"/>
          <w:marRight w:val="0"/>
          <w:marTop w:val="0"/>
          <w:marBottom w:val="0"/>
          <w:divBdr>
            <w:top w:val="none" w:sz="0" w:space="0" w:color="auto"/>
            <w:left w:val="none" w:sz="0" w:space="0" w:color="auto"/>
            <w:bottom w:val="none" w:sz="0" w:space="0" w:color="auto"/>
            <w:right w:val="none" w:sz="0" w:space="0" w:color="auto"/>
          </w:divBdr>
        </w:div>
        <w:div w:id="1002706231">
          <w:marLeft w:val="640"/>
          <w:marRight w:val="0"/>
          <w:marTop w:val="0"/>
          <w:marBottom w:val="0"/>
          <w:divBdr>
            <w:top w:val="none" w:sz="0" w:space="0" w:color="auto"/>
            <w:left w:val="none" w:sz="0" w:space="0" w:color="auto"/>
            <w:bottom w:val="none" w:sz="0" w:space="0" w:color="auto"/>
            <w:right w:val="none" w:sz="0" w:space="0" w:color="auto"/>
          </w:divBdr>
        </w:div>
        <w:div w:id="1978535006">
          <w:marLeft w:val="640"/>
          <w:marRight w:val="0"/>
          <w:marTop w:val="0"/>
          <w:marBottom w:val="0"/>
          <w:divBdr>
            <w:top w:val="none" w:sz="0" w:space="0" w:color="auto"/>
            <w:left w:val="none" w:sz="0" w:space="0" w:color="auto"/>
            <w:bottom w:val="none" w:sz="0" w:space="0" w:color="auto"/>
            <w:right w:val="none" w:sz="0" w:space="0" w:color="auto"/>
          </w:divBdr>
        </w:div>
        <w:div w:id="1895963747">
          <w:marLeft w:val="640"/>
          <w:marRight w:val="0"/>
          <w:marTop w:val="0"/>
          <w:marBottom w:val="0"/>
          <w:divBdr>
            <w:top w:val="none" w:sz="0" w:space="0" w:color="auto"/>
            <w:left w:val="none" w:sz="0" w:space="0" w:color="auto"/>
            <w:bottom w:val="none" w:sz="0" w:space="0" w:color="auto"/>
            <w:right w:val="none" w:sz="0" w:space="0" w:color="auto"/>
          </w:divBdr>
        </w:div>
        <w:div w:id="61416351">
          <w:marLeft w:val="640"/>
          <w:marRight w:val="0"/>
          <w:marTop w:val="0"/>
          <w:marBottom w:val="0"/>
          <w:divBdr>
            <w:top w:val="none" w:sz="0" w:space="0" w:color="auto"/>
            <w:left w:val="none" w:sz="0" w:space="0" w:color="auto"/>
            <w:bottom w:val="none" w:sz="0" w:space="0" w:color="auto"/>
            <w:right w:val="none" w:sz="0" w:space="0" w:color="auto"/>
          </w:divBdr>
        </w:div>
        <w:div w:id="757141514">
          <w:marLeft w:val="640"/>
          <w:marRight w:val="0"/>
          <w:marTop w:val="0"/>
          <w:marBottom w:val="0"/>
          <w:divBdr>
            <w:top w:val="none" w:sz="0" w:space="0" w:color="auto"/>
            <w:left w:val="none" w:sz="0" w:space="0" w:color="auto"/>
            <w:bottom w:val="none" w:sz="0" w:space="0" w:color="auto"/>
            <w:right w:val="none" w:sz="0" w:space="0" w:color="auto"/>
          </w:divBdr>
        </w:div>
        <w:div w:id="1264725964">
          <w:marLeft w:val="640"/>
          <w:marRight w:val="0"/>
          <w:marTop w:val="0"/>
          <w:marBottom w:val="0"/>
          <w:divBdr>
            <w:top w:val="none" w:sz="0" w:space="0" w:color="auto"/>
            <w:left w:val="none" w:sz="0" w:space="0" w:color="auto"/>
            <w:bottom w:val="none" w:sz="0" w:space="0" w:color="auto"/>
            <w:right w:val="none" w:sz="0" w:space="0" w:color="auto"/>
          </w:divBdr>
        </w:div>
        <w:div w:id="1267619483">
          <w:marLeft w:val="640"/>
          <w:marRight w:val="0"/>
          <w:marTop w:val="0"/>
          <w:marBottom w:val="0"/>
          <w:divBdr>
            <w:top w:val="none" w:sz="0" w:space="0" w:color="auto"/>
            <w:left w:val="none" w:sz="0" w:space="0" w:color="auto"/>
            <w:bottom w:val="none" w:sz="0" w:space="0" w:color="auto"/>
            <w:right w:val="none" w:sz="0" w:space="0" w:color="auto"/>
          </w:divBdr>
        </w:div>
        <w:div w:id="486558878">
          <w:marLeft w:val="640"/>
          <w:marRight w:val="0"/>
          <w:marTop w:val="0"/>
          <w:marBottom w:val="0"/>
          <w:divBdr>
            <w:top w:val="none" w:sz="0" w:space="0" w:color="auto"/>
            <w:left w:val="none" w:sz="0" w:space="0" w:color="auto"/>
            <w:bottom w:val="none" w:sz="0" w:space="0" w:color="auto"/>
            <w:right w:val="none" w:sz="0" w:space="0" w:color="auto"/>
          </w:divBdr>
        </w:div>
        <w:div w:id="2027095517">
          <w:marLeft w:val="640"/>
          <w:marRight w:val="0"/>
          <w:marTop w:val="0"/>
          <w:marBottom w:val="0"/>
          <w:divBdr>
            <w:top w:val="none" w:sz="0" w:space="0" w:color="auto"/>
            <w:left w:val="none" w:sz="0" w:space="0" w:color="auto"/>
            <w:bottom w:val="none" w:sz="0" w:space="0" w:color="auto"/>
            <w:right w:val="none" w:sz="0" w:space="0" w:color="auto"/>
          </w:divBdr>
        </w:div>
        <w:div w:id="2143576141">
          <w:marLeft w:val="640"/>
          <w:marRight w:val="0"/>
          <w:marTop w:val="0"/>
          <w:marBottom w:val="0"/>
          <w:divBdr>
            <w:top w:val="none" w:sz="0" w:space="0" w:color="auto"/>
            <w:left w:val="none" w:sz="0" w:space="0" w:color="auto"/>
            <w:bottom w:val="none" w:sz="0" w:space="0" w:color="auto"/>
            <w:right w:val="none" w:sz="0" w:space="0" w:color="auto"/>
          </w:divBdr>
        </w:div>
        <w:div w:id="174157102">
          <w:marLeft w:val="640"/>
          <w:marRight w:val="0"/>
          <w:marTop w:val="0"/>
          <w:marBottom w:val="0"/>
          <w:divBdr>
            <w:top w:val="none" w:sz="0" w:space="0" w:color="auto"/>
            <w:left w:val="none" w:sz="0" w:space="0" w:color="auto"/>
            <w:bottom w:val="none" w:sz="0" w:space="0" w:color="auto"/>
            <w:right w:val="none" w:sz="0" w:space="0" w:color="auto"/>
          </w:divBdr>
        </w:div>
        <w:div w:id="430588978">
          <w:marLeft w:val="640"/>
          <w:marRight w:val="0"/>
          <w:marTop w:val="0"/>
          <w:marBottom w:val="0"/>
          <w:divBdr>
            <w:top w:val="none" w:sz="0" w:space="0" w:color="auto"/>
            <w:left w:val="none" w:sz="0" w:space="0" w:color="auto"/>
            <w:bottom w:val="none" w:sz="0" w:space="0" w:color="auto"/>
            <w:right w:val="none" w:sz="0" w:space="0" w:color="auto"/>
          </w:divBdr>
        </w:div>
        <w:div w:id="1276792556">
          <w:marLeft w:val="640"/>
          <w:marRight w:val="0"/>
          <w:marTop w:val="0"/>
          <w:marBottom w:val="0"/>
          <w:divBdr>
            <w:top w:val="none" w:sz="0" w:space="0" w:color="auto"/>
            <w:left w:val="none" w:sz="0" w:space="0" w:color="auto"/>
            <w:bottom w:val="none" w:sz="0" w:space="0" w:color="auto"/>
            <w:right w:val="none" w:sz="0" w:space="0" w:color="auto"/>
          </w:divBdr>
        </w:div>
        <w:div w:id="1082292248">
          <w:marLeft w:val="640"/>
          <w:marRight w:val="0"/>
          <w:marTop w:val="0"/>
          <w:marBottom w:val="0"/>
          <w:divBdr>
            <w:top w:val="none" w:sz="0" w:space="0" w:color="auto"/>
            <w:left w:val="none" w:sz="0" w:space="0" w:color="auto"/>
            <w:bottom w:val="none" w:sz="0" w:space="0" w:color="auto"/>
            <w:right w:val="none" w:sz="0" w:space="0" w:color="auto"/>
          </w:divBdr>
        </w:div>
        <w:div w:id="1740445825">
          <w:marLeft w:val="640"/>
          <w:marRight w:val="0"/>
          <w:marTop w:val="0"/>
          <w:marBottom w:val="0"/>
          <w:divBdr>
            <w:top w:val="none" w:sz="0" w:space="0" w:color="auto"/>
            <w:left w:val="none" w:sz="0" w:space="0" w:color="auto"/>
            <w:bottom w:val="none" w:sz="0" w:space="0" w:color="auto"/>
            <w:right w:val="none" w:sz="0" w:space="0" w:color="auto"/>
          </w:divBdr>
        </w:div>
        <w:div w:id="342317181">
          <w:marLeft w:val="640"/>
          <w:marRight w:val="0"/>
          <w:marTop w:val="0"/>
          <w:marBottom w:val="0"/>
          <w:divBdr>
            <w:top w:val="none" w:sz="0" w:space="0" w:color="auto"/>
            <w:left w:val="none" w:sz="0" w:space="0" w:color="auto"/>
            <w:bottom w:val="none" w:sz="0" w:space="0" w:color="auto"/>
            <w:right w:val="none" w:sz="0" w:space="0" w:color="auto"/>
          </w:divBdr>
        </w:div>
        <w:div w:id="1402364198">
          <w:marLeft w:val="640"/>
          <w:marRight w:val="0"/>
          <w:marTop w:val="0"/>
          <w:marBottom w:val="0"/>
          <w:divBdr>
            <w:top w:val="none" w:sz="0" w:space="0" w:color="auto"/>
            <w:left w:val="none" w:sz="0" w:space="0" w:color="auto"/>
            <w:bottom w:val="none" w:sz="0" w:space="0" w:color="auto"/>
            <w:right w:val="none" w:sz="0" w:space="0" w:color="auto"/>
          </w:divBdr>
        </w:div>
        <w:div w:id="59250461">
          <w:marLeft w:val="640"/>
          <w:marRight w:val="0"/>
          <w:marTop w:val="0"/>
          <w:marBottom w:val="0"/>
          <w:divBdr>
            <w:top w:val="none" w:sz="0" w:space="0" w:color="auto"/>
            <w:left w:val="none" w:sz="0" w:space="0" w:color="auto"/>
            <w:bottom w:val="none" w:sz="0" w:space="0" w:color="auto"/>
            <w:right w:val="none" w:sz="0" w:space="0" w:color="auto"/>
          </w:divBdr>
        </w:div>
        <w:div w:id="1292519786">
          <w:marLeft w:val="640"/>
          <w:marRight w:val="0"/>
          <w:marTop w:val="0"/>
          <w:marBottom w:val="0"/>
          <w:divBdr>
            <w:top w:val="none" w:sz="0" w:space="0" w:color="auto"/>
            <w:left w:val="none" w:sz="0" w:space="0" w:color="auto"/>
            <w:bottom w:val="none" w:sz="0" w:space="0" w:color="auto"/>
            <w:right w:val="none" w:sz="0" w:space="0" w:color="auto"/>
          </w:divBdr>
        </w:div>
        <w:div w:id="406267651">
          <w:marLeft w:val="640"/>
          <w:marRight w:val="0"/>
          <w:marTop w:val="0"/>
          <w:marBottom w:val="0"/>
          <w:divBdr>
            <w:top w:val="none" w:sz="0" w:space="0" w:color="auto"/>
            <w:left w:val="none" w:sz="0" w:space="0" w:color="auto"/>
            <w:bottom w:val="none" w:sz="0" w:space="0" w:color="auto"/>
            <w:right w:val="none" w:sz="0" w:space="0" w:color="auto"/>
          </w:divBdr>
        </w:div>
        <w:div w:id="528102268">
          <w:marLeft w:val="640"/>
          <w:marRight w:val="0"/>
          <w:marTop w:val="0"/>
          <w:marBottom w:val="0"/>
          <w:divBdr>
            <w:top w:val="none" w:sz="0" w:space="0" w:color="auto"/>
            <w:left w:val="none" w:sz="0" w:space="0" w:color="auto"/>
            <w:bottom w:val="none" w:sz="0" w:space="0" w:color="auto"/>
            <w:right w:val="none" w:sz="0" w:space="0" w:color="auto"/>
          </w:divBdr>
        </w:div>
        <w:div w:id="1044788840">
          <w:marLeft w:val="640"/>
          <w:marRight w:val="0"/>
          <w:marTop w:val="0"/>
          <w:marBottom w:val="0"/>
          <w:divBdr>
            <w:top w:val="none" w:sz="0" w:space="0" w:color="auto"/>
            <w:left w:val="none" w:sz="0" w:space="0" w:color="auto"/>
            <w:bottom w:val="none" w:sz="0" w:space="0" w:color="auto"/>
            <w:right w:val="none" w:sz="0" w:space="0" w:color="auto"/>
          </w:divBdr>
        </w:div>
        <w:div w:id="1327708167">
          <w:marLeft w:val="640"/>
          <w:marRight w:val="0"/>
          <w:marTop w:val="0"/>
          <w:marBottom w:val="0"/>
          <w:divBdr>
            <w:top w:val="none" w:sz="0" w:space="0" w:color="auto"/>
            <w:left w:val="none" w:sz="0" w:space="0" w:color="auto"/>
            <w:bottom w:val="none" w:sz="0" w:space="0" w:color="auto"/>
            <w:right w:val="none" w:sz="0" w:space="0" w:color="auto"/>
          </w:divBdr>
        </w:div>
        <w:div w:id="2085178336">
          <w:marLeft w:val="640"/>
          <w:marRight w:val="0"/>
          <w:marTop w:val="0"/>
          <w:marBottom w:val="0"/>
          <w:divBdr>
            <w:top w:val="none" w:sz="0" w:space="0" w:color="auto"/>
            <w:left w:val="none" w:sz="0" w:space="0" w:color="auto"/>
            <w:bottom w:val="none" w:sz="0" w:space="0" w:color="auto"/>
            <w:right w:val="none" w:sz="0" w:space="0" w:color="auto"/>
          </w:divBdr>
        </w:div>
        <w:div w:id="1675262883">
          <w:marLeft w:val="640"/>
          <w:marRight w:val="0"/>
          <w:marTop w:val="0"/>
          <w:marBottom w:val="0"/>
          <w:divBdr>
            <w:top w:val="none" w:sz="0" w:space="0" w:color="auto"/>
            <w:left w:val="none" w:sz="0" w:space="0" w:color="auto"/>
            <w:bottom w:val="none" w:sz="0" w:space="0" w:color="auto"/>
            <w:right w:val="none" w:sz="0" w:space="0" w:color="auto"/>
          </w:divBdr>
        </w:div>
        <w:div w:id="1416710817">
          <w:marLeft w:val="640"/>
          <w:marRight w:val="0"/>
          <w:marTop w:val="0"/>
          <w:marBottom w:val="0"/>
          <w:divBdr>
            <w:top w:val="none" w:sz="0" w:space="0" w:color="auto"/>
            <w:left w:val="none" w:sz="0" w:space="0" w:color="auto"/>
            <w:bottom w:val="none" w:sz="0" w:space="0" w:color="auto"/>
            <w:right w:val="none" w:sz="0" w:space="0" w:color="auto"/>
          </w:divBdr>
        </w:div>
        <w:div w:id="772867672">
          <w:marLeft w:val="640"/>
          <w:marRight w:val="0"/>
          <w:marTop w:val="0"/>
          <w:marBottom w:val="0"/>
          <w:divBdr>
            <w:top w:val="none" w:sz="0" w:space="0" w:color="auto"/>
            <w:left w:val="none" w:sz="0" w:space="0" w:color="auto"/>
            <w:bottom w:val="none" w:sz="0" w:space="0" w:color="auto"/>
            <w:right w:val="none" w:sz="0" w:space="0" w:color="auto"/>
          </w:divBdr>
        </w:div>
        <w:div w:id="1516653654">
          <w:marLeft w:val="640"/>
          <w:marRight w:val="0"/>
          <w:marTop w:val="0"/>
          <w:marBottom w:val="0"/>
          <w:divBdr>
            <w:top w:val="none" w:sz="0" w:space="0" w:color="auto"/>
            <w:left w:val="none" w:sz="0" w:space="0" w:color="auto"/>
            <w:bottom w:val="none" w:sz="0" w:space="0" w:color="auto"/>
            <w:right w:val="none" w:sz="0" w:space="0" w:color="auto"/>
          </w:divBdr>
        </w:div>
        <w:div w:id="521743519">
          <w:marLeft w:val="640"/>
          <w:marRight w:val="0"/>
          <w:marTop w:val="0"/>
          <w:marBottom w:val="0"/>
          <w:divBdr>
            <w:top w:val="none" w:sz="0" w:space="0" w:color="auto"/>
            <w:left w:val="none" w:sz="0" w:space="0" w:color="auto"/>
            <w:bottom w:val="none" w:sz="0" w:space="0" w:color="auto"/>
            <w:right w:val="none" w:sz="0" w:space="0" w:color="auto"/>
          </w:divBdr>
        </w:div>
        <w:div w:id="1513185252">
          <w:marLeft w:val="640"/>
          <w:marRight w:val="0"/>
          <w:marTop w:val="0"/>
          <w:marBottom w:val="0"/>
          <w:divBdr>
            <w:top w:val="none" w:sz="0" w:space="0" w:color="auto"/>
            <w:left w:val="none" w:sz="0" w:space="0" w:color="auto"/>
            <w:bottom w:val="none" w:sz="0" w:space="0" w:color="auto"/>
            <w:right w:val="none" w:sz="0" w:space="0" w:color="auto"/>
          </w:divBdr>
        </w:div>
        <w:div w:id="1506869647">
          <w:marLeft w:val="640"/>
          <w:marRight w:val="0"/>
          <w:marTop w:val="0"/>
          <w:marBottom w:val="0"/>
          <w:divBdr>
            <w:top w:val="none" w:sz="0" w:space="0" w:color="auto"/>
            <w:left w:val="none" w:sz="0" w:space="0" w:color="auto"/>
            <w:bottom w:val="none" w:sz="0" w:space="0" w:color="auto"/>
            <w:right w:val="none" w:sz="0" w:space="0" w:color="auto"/>
          </w:divBdr>
        </w:div>
        <w:div w:id="1686513252">
          <w:marLeft w:val="640"/>
          <w:marRight w:val="0"/>
          <w:marTop w:val="0"/>
          <w:marBottom w:val="0"/>
          <w:divBdr>
            <w:top w:val="none" w:sz="0" w:space="0" w:color="auto"/>
            <w:left w:val="none" w:sz="0" w:space="0" w:color="auto"/>
            <w:bottom w:val="none" w:sz="0" w:space="0" w:color="auto"/>
            <w:right w:val="none" w:sz="0" w:space="0" w:color="auto"/>
          </w:divBdr>
        </w:div>
        <w:div w:id="1285576731">
          <w:marLeft w:val="640"/>
          <w:marRight w:val="0"/>
          <w:marTop w:val="0"/>
          <w:marBottom w:val="0"/>
          <w:divBdr>
            <w:top w:val="none" w:sz="0" w:space="0" w:color="auto"/>
            <w:left w:val="none" w:sz="0" w:space="0" w:color="auto"/>
            <w:bottom w:val="none" w:sz="0" w:space="0" w:color="auto"/>
            <w:right w:val="none" w:sz="0" w:space="0" w:color="auto"/>
          </w:divBdr>
        </w:div>
        <w:div w:id="513687767">
          <w:marLeft w:val="640"/>
          <w:marRight w:val="0"/>
          <w:marTop w:val="0"/>
          <w:marBottom w:val="0"/>
          <w:divBdr>
            <w:top w:val="none" w:sz="0" w:space="0" w:color="auto"/>
            <w:left w:val="none" w:sz="0" w:space="0" w:color="auto"/>
            <w:bottom w:val="none" w:sz="0" w:space="0" w:color="auto"/>
            <w:right w:val="none" w:sz="0" w:space="0" w:color="auto"/>
          </w:divBdr>
        </w:div>
        <w:div w:id="351761129">
          <w:marLeft w:val="640"/>
          <w:marRight w:val="0"/>
          <w:marTop w:val="0"/>
          <w:marBottom w:val="0"/>
          <w:divBdr>
            <w:top w:val="none" w:sz="0" w:space="0" w:color="auto"/>
            <w:left w:val="none" w:sz="0" w:space="0" w:color="auto"/>
            <w:bottom w:val="none" w:sz="0" w:space="0" w:color="auto"/>
            <w:right w:val="none" w:sz="0" w:space="0" w:color="auto"/>
          </w:divBdr>
        </w:div>
        <w:div w:id="209996483">
          <w:marLeft w:val="640"/>
          <w:marRight w:val="0"/>
          <w:marTop w:val="0"/>
          <w:marBottom w:val="0"/>
          <w:divBdr>
            <w:top w:val="none" w:sz="0" w:space="0" w:color="auto"/>
            <w:left w:val="none" w:sz="0" w:space="0" w:color="auto"/>
            <w:bottom w:val="none" w:sz="0" w:space="0" w:color="auto"/>
            <w:right w:val="none" w:sz="0" w:space="0" w:color="auto"/>
          </w:divBdr>
        </w:div>
        <w:div w:id="1187714471">
          <w:marLeft w:val="640"/>
          <w:marRight w:val="0"/>
          <w:marTop w:val="0"/>
          <w:marBottom w:val="0"/>
          <w:divBdr>
            <w:top w:val="none" w:sz="0" w:space="0" w:color="auto"/>
            <w:left w:val="none" w:sz="0" w:space="0" w:color="auto"/>
            <w:bottom w:val="none" w:sz="0" w:space="0" w:color="auto"/>
            <w:right w:val="none" w:sz="0" w:space="0" w:color="auto"/>
          </w:divBdr>
        </w:div>
        <w:div w:id="879900496">
          <w:marLeft w:val="640"/>
          <w:marRight w:val="0"/>
          <w:marTop w:val="0"/>
          <w:marBottom w:val="0"/>
          <w:divBdr>
            <w:top w:val="none" w:sz="0" w:space="0" w:color="auto"/>
            <w:left w:val="none" w:sz="0" w:space="0" w:color="auto"/>
            <w:bottom w:val="none" w:sz="0" w:space="0" w:color="auto"/>
            <w:right w:val="none" w:sz="0" w:space="0" w:color="auto"/>
          </w:divBdr>
        </w:div>
        <w:div w:id="2118600166">
          <w:marLeft w:val="640"/>
          <w:marRight w:val="0"/>
          <w:marTop w:val="0"/>
          <w:marBottom w:val="0"/>
          <w:divBdr>
            <w:top w:val="none" w:sz="0" w:space="0" w:color="auto"/>
            <w:left w:val="none" w:sz="0" w:space="0" w:color="auto"/>
            <w:bottom w:val="none" w:sz="0" w:space="0" w:color="auto"/>
            <w:right w:val="none" w:sz="0" w:space="0" w:color="auto"/>
          </w:divBdr>
        </w:div>
        <w:div w:id="932006416">
          <w:marLeft w:val="640"/>
          <w:marRight w:val="0"/>
          <w:marTop w:val="0"/>
          <w:marBottom w:val="0"/>
          <w:divBdr>
            <w:top w:val="none" w:sz="0" w:space="0" w:color="auto"/>
            <w:left w:val="none" w:sz="0" w:space="0" w:color="auto"/>
            <w:bottom w:val="none" w:sz="0" w:space="0" w:color="auto"/>
            <w:right w:val="none" w:sz="0" w:space="0" w:color="auto"/>
          </w:divBdr>
        </w:div>
        <w:div w:id="1552693979">
          <w:marLeft w:val="640"/>
          <w:marRight w:val="0"/>
          <w:marTop w:val="0"/>
          <w:marBottom w:val="0"/>
          <w:divBdr>
            <w:top w:val="none" w:sz="0" w:space="0" w:color="auto"/>
            <w:left w:val="none" w:sz="0" w:space="0" w:color="auto"/>
            <w:bottom w:val="none" w:sz="0" w:space="0" w:color="auto"/>
            <w:right w:val="none" w:sz="0" w:space="0" w:color="auto"/>
          </w:divBdr>
        </w:div>
        <w:div w:id="1953710884">
          <w:marLeft w:val="640"/>
          <w:marRight w:val="0"/>
          <w:marTop w:val="0"/>
          <w:marBottom w:val="0"/>
          <w:divBdr>
            <w:top w:val="none" w:sz="0" w:space="0" w:color="auto"/>
            <w:left w:val="none" w:sz="0" w:space="0" w:color="auto"/>
            <w:bottom w:val="none" w:sz="0" w:space="0" w:color="auto"/>
            <w:right w:val="none" w:sz="0" w:space="0" w:color="auto"/>
          </w:divBdr>
        </w:div>
        <w:div w:id="1573269302">
          <w:marLeft w:val="640"/>
          <w:marRight w:val="0"/>
          <w:marTop w:val="0"/>
          <w:marBottom w:val="0"/>
          <w:divBdr>
            <w:top w:val="none" w:sz="0" w:space="0" w:color="auto"/>
            <w:left w:val="none" w:sz="0" w:space="0" w:color="auto"/>
            <w:bottom w:val="none" w:sz="0" w:space="0" w:color="auto"/>
            <w:right w:val="none" w:sz="0" w:space="0" w:color="auto"/>
          </w:divBdr>
        </w:div>
        <w:div w:id="1355232065">
          <w:marLeft w:val="640"/>
          <w:marRight w:val="0"/>
          <w:marTop w:val="0"/>
          <w:marBottom w:val="0"/>
          <w:divBdr>
            <w:top w:val="none" w:sz="0" w:space="0" w:color="auto"/>
            <w:left w:val="none" w:sz="0" w:space="0" w:color="auto"/>
            <w:bottom w:val="none" w:sz="0" w:space="0" w:color="auto"/>
            <w:right w:val="none" w:sz="0" w:space="0" w:color="auto"/>
          </w:divBdr>
        </w:div>
        <w:div w:id="1737970632">
          <w:marLeft w:val="640"/>
          <w:marRight w:val="0"/>
          <w:marTop w:val="0"/>
          <w:marBottom w:val="0"/>
          <w:divBdr>
            <w:top w:val="none" w:sz="0" w:space="0" w:color="auto"/>
            <w:left w:val="none" w:sz="0" w:space="0" w:color="auto"/>
            <w:bottom w:val="none" w:sz="0" w:space="0" w:color="auto"/>
            <w:right w:val="none" w:sz="0" w:space="0" w:color="auto"/>
          </w:divBdr>
        </w:div>
        <w:div w:id="1016662796">
          <w:marLeft w:val="640"/>
          <w:marRight w:val="0"/>
          <w:marTop w:val="0"/>
          <w:marBottom w:val="0"/>
          <w:divBdr>
            <w:top w:val="none" w:sz="0" w:space="0" w:color="auto"/>
            <w:left w:val="none" w:sz="0" w:space="0" w:color="auto"/>
            <w:bottom w:val="none" w:sz="0" w:space="0" w:color="auto"/>
            <w:right w:val="none" w:sz="0" w:space="0" w:color="auto"/>
          </w:divBdr>
        </w:div>
        <w:div w:id="1739357958">
          <w:marLeft w:val="640"/>
          <w:marRight w:val="0"/>
          <w:marTop w:val="0"/>
          <w:marBottom w:val="0"/>
          <w:divBdr>
            <w:top w:val="none" w:sz="0" w:space="0" w:color="auto"/>
            <w:left w:val="none" w:sz="0" w:space="0" w:color="auto"/>
            <w:bottom w:val="none" w:sz="0" w:space="0" w:color="auto"/>
            <w:right w:val="none" w:sz="0" w:space="0" w:color="auto"/>
          </w:divBdr>
        </w:div>
        <w:div w:id="1151485800">
          <w:marLeft w:val="640"/>
          <w:marRight w:val="0"/>
          <w:marTop w:val="0"/>
          <w:marBottom w:val="0"/>
          <w:divBdr>
            <w:top w:val="none" w:sz="0" w:space="0" w:color="auto"/>
            <w:left w:val="none" w:sz="0" w:space="0" w:color="auto"/>
            <w:bottom w:val="none" w:sz="0" w:space="0" w:color="auto"/>
            <w:right w:val="none" w:sz="0" w:space="0" w:color="auto"/>
          </w:divBdr>
        </w:div>
        <w:div w:id="2080591008">
          <w:marLeft w:val="640"/>
          <w:marRight w:val="0"/>
          <w:marTop w:val="0"/>
          <w:marBottom w:val="0"/>
          <w:divBdr>
            <w:top w:val="none" w:sz="0" w:space="0" w:color="auto"/>
            <w:left w:val="none" w:sz="0" w:space="0" w:color="auto"/>
            <w:bottom w:val="none" w:sz="0" w:space="0" w:color="auto"/>
            <w:right w:val="none" w:sz="0" w:space="0" w:color="auto"/>
          </w:divBdr>
        </w:div>
        <w:div w:id="709651743">
          <w:marLeft w:val="640"/>
          <w:marRight w:val="0"/>
          <w:marTop w:val="0"/>
          <w:marBottom w:val="0"/>
          <w:divBdr>
            <w:top w:val="none" w:sz="0" w:space="0" w:color="auto"/>
            <w:left w:val="none" w:sz="0" w:space="0" w:color="auto"/>
            <w:bottom w:val="none" w:sz="0" w:space="0" w:color="auto"/>
            <w:right w:val="none" w:sz="0" w:space="0" w:color="auto"/>
          </w:divBdr>
        </w:div>
        <w:div w:id="1878200216">
          <w:marLeft w:val="640"/>
          <w:marRight w:val="0"/>
          <w:marTop w:val="0"/>
          <w:marBottom w:val="0"/>
          <w:divBdr>
            <w:top w:val="none" w:sz="0" w:space="0" w:color="auto"/>
            <w:left w:val="none" w:sz="0" w:space="0" w:color="auto"/>
            <w:bottom w:val="none" w:sz="0" w:space="0" w:color="auto"/>
            <w:right w:val="none" w:sz="0" w:space="0" w:color="auto"/>
          </w:divBdr>
        </w:div>
        <w:div w:id="937525196">
          <w:marLeft w:val="640"/>
          <w:marRight w:val="0"/>
          <w:marTop w:val="0"/>
          <w:marBottom w:val="0"/>
          <w:divBdr>
            <w:top w:val="none" w:sz="0" w:space="0" w:color="auto"/>
            <w:left w:val="none" w:sz="0" w:space="0" w:color="auto"/>
            <w:bottom w:val="none" w:sz="0" w:space="0" w:color="auto"/>
            <w:right w:val="none" w:sz="0" w:space="0" w:color="auto"/>
          </w:divBdr>
        </w:div>
        <w:div w:id="1345939290">
          <w:marLeft w:val="640"/>
          <w:marRight w:val="0"/>
          <w:marTop w:val="0"/>
          <w:marBottom w:val="0"/>
          <w:divBdr>
            <w:top w:val="none" w:sz="0" w:space="0" w:color="auto"/>
            <w:left w:val="none" w:sz="0" w:space="0" w:color="auto"/>
            <w:bottom w:val="none" w:sz="0" w:space="0" w:color="auto"/>
            <w:right w:val="none" w:sz="0" w:space="0" w:color="auto"/>
          </w:divBdr>
        </w:div>
        <w:div w:id="538975219">
          <w:marLeft w:val="640"/>
          <w:marRight w:val="0"/>
          <w:marTop w:val="0"/>
          <w:marBottom w:val="0"/>
          <w:divBdr>
            <w:top w:val="none" w:sz="0" w:space="0" w:color="auto"/>
            <w:left w:val="none" w:sz="0" w:space="0" w:color="auto"/>
            <w:bottom w:val="none" w:sz="0" w:space="0" w:color="auto"/>
            <w:right w:val="none" w:sz="0" w:space="0" w:color="auto"/>
          </w:divBdr>
        </w:div>
        <w:div w:id="1138064752">
          <w:marLeft w:val="640"/>
          <w:marRight w:val="0"/>
          <w:marTop w:val="0"/>
          <w:marBottom w:val="0"/>
          <w:divBdr>
            <w:top w:val="none" w:sz="0" w:space="0" w:color="auto"/>
            <w:left w:val="none" w:sz="0" w:space="0" w:color="auto"/>
            <w:bottom w:val="none" w:sz="0" w:space="0" w:color="auto"/>
            <w:right w:val="none" w:sz="0" w:space="0" w:color="auto"/>
          </w:divBdr>
        </w:div>
        <w:div w:id="1883322125">
          <w:marLeft w:val="640"/>
          <w:marRight w:val="0"/>
          <w:marTop w:val="0"/>
          <w:marBottom w:val="0"/>
          <w:divBdr>
            <w:top w:val="none" w:sz="0" w:space="0" w:color="auto"/>
            <w:left w:val="none" w:sz="0" w:space="0" w:color="auto"/>
            <w:bottom w:val="none" w:sz="0" w:space="0" w:color="auto"/>
            <w:right w:val="none" w:sz="0" w:space="0" w:color="auto"/>
          </w:divBdr>
        </w:div>
        <w:div w:id="405952984">
          <w:marLeft w:val="640"/>
          <w:marRight w:val="0"/>
          <w:marTop w:val="0"/>
          <w:marBottom w:val="0"/>
          <w:divBdr>
            <w:top w:val="none" w:sz="0" w:space="0" w:color="auto"/>
            <w:left w:val="none" w:sz="0" w:space="0" w:color="auto"/>
            <w:bottom w:val="none" w:sz="0" w:space="0" w:color="auto"/>
            <w:right w:val="none" w:sz="0" w:space="0" w:color="auto"/>
          </w:divBdr>
        </w:div>
        <w:div w:id="1314144762">
          <w:marLeft w:val="640"/>
          <w:marRight w:val="0"/>
          <w:marTop w:val="0"/>
          <w:marBottom w:val="0"/>
          <w:divBdr>
            <w:top w:val="none" w:sz="0" w:space="0" w:color="auto"/>
            <w:left w:val="none" w:sz="0" w:space="0" w:color="auto"/>
            <w:bottom w:val="none" w:sz="0" w:space="0" w:color="auto"/>
            <w:right w:val="none" w:sz="0" w:space="0" w:color="auto"/>
          </w:divBdr>
        </w:div>
        <w:div w:id="985009151">
          <w:marLeft w:val="640"/>
          <w:marRight w:val="0"/>
          <w:marTop w:val="0"/>
          <w:marBottom w:val="0"/>
          <w:divBdr>
            <w:top w:val="none" w:sz="0" w:space="0" w:color="auto"/>
            <w:left w:val="none" w:sz="0" w:space="0" w:color="auto"/>
            <w:bottom w:val="none" w:sz="0" w:space="0" w:color="auto"/>
            <w:right w:val="none" w:sz="0" w:space="0" w:color="auto"/>
          </w:divBdr>
        </w:div>
        <w:div w:id="1034503228">
          <w:marLeft w:val="640"/>
          <w:marRight w:val="0"/>
          <w:marTop w:val="0"/>
          <w:marBottom w:val="0"/>
          <w:divBdr>
            <w:top w:val="none" w:sz="0" w:space="0" w:color="auto"/>
            <w:left w:val="none" w:sz="0" w:space="0" w:color="auto"/>
            <w:bottom w:val="none" w:sz="0" w:space="0" w:color="auto"/>
            <w:right w:val="none" w:sz="0" w:space="0" w:color="auto"/>
          </w:divBdr>
        </w:div>
        <w:div w:id="1399280939">
          <w:marLeft w:val="640"/>
          <w:marRight w:val="0"/>
          <w:marTop w:val="0"/>
          <w:marBottom w:val="0"/>
          <w:divBdr>
            <w:top w:val="none" w:sz="0" w:space="0" w:color="auto"/>
            <w:left w:val="none" w:sz="0" w:space="0" w:color="auto"/>
            <w:bottom w:val="none" w:sz="0" w:space="0" w:color="auto"/>
            <w:right w:val="none" w:sz="0" w:space="0" w:color="auto"/>
          </w:divBdr>
        </w:div>
        <w:div w:id="1702591818">
          <w:marLeft w:val="640"/>
          <w:marRight w:val="0"/>
          <w:marTop w:val="0"/>
          <w:marBottom w:val="0"/>
          <w:divBdr>
            <w:top w:val="none" w:sz="0" w:space="0" w:color="auto"/>
            <w:left w:val="none" w:sz="0" w:space="0" w:color="auto"/>
            <w:bottom w:val="none" w:sz="0" w:space="0" w:color="auto"/>
            <w:right w:val="none" w:sz="0" w:space="0" w:color="auto"/>
          </w:divBdr>
        </w:div>
        <w:div w:id="954216415">
          <w:marLeft w:val="640"/>
          <w:marRight w:val="0"/>
          <w:marTop w:val="0"/>
          <w:marBottom w:val="0"/>
          <w:divBdr>
            <w:top w:val="none" w:sz="0" w:space="0" w:color="auto"/>
            <w:left w:val="none" w:sz="0" w:space="0" w:color="auto"/>
            <w:bottom w:val="none" w:sz="0" w:space="0" w:color="auto"/>
            <w:right w:val="none" w:sz="0" w:space="0" w:color="auto"/>
          </w:divBdr>
        </w:div>
        <w:div w:id="37240327">
          <w:marLeft w:val="640"/>
          <w:marRight w:val="0"/>
          <w:marTop w:val="0"/>
          <w:marBottom w:val="0"/>
          <w:divBdr>
            <w:top w:val="none" w:sz="0" w:space="0" w:color="auto"/>
            <w:left w:val="none" w:sz="0" w:space="0" w:color="auto"/>
            <w:bottom w:val="none" w:sz="0" w:space="0" w:color="auto"/>
            <w:right w:val="none" w:sz="0" w:space="0" w:color="auto"/>
          </w:divBdr>
        </w:div>
        <w:div w:id="539709592">
          <w:marLeft w:val="640"/>
          <w:marRight w:val="0"/>
          <w:marTop w:val="0"/>
          <w:marBottom w:val="0"/>
          <w:divBdr>
            <w:top w:val="none" w:sz="0" w:space="0" w:color="auto"/>
            <w:left w:val="none" w:sz="0" w:space="0" w:color="auto"/>
            <w:bottom w:val="none" w:sz="0" w:space="0" w:color="auto"/>
            <w:right w:val="none" w:sz="0" w:space="0" w:color="auto"/>
          </w:divBdr>
        </w:div>
        <w:div w:id="1728870496">
          <w:marLeft w:val="640"/>
          <w:marRight w:val="0"/>
          <w:marTop w:val="0"/>
          <w:marBottom w:val="0"/>
          <w:divBdr>
            <w:top w:val="none" w:sz="0" w:space="0" w:color="auto"/>
            <w:left w:val="none" w:sz="0" w:space="0" w:color="auto"/>
            <w:bottom w:val="none" w:sz="0" w:space="0" w:color="auto"/>
            <w:right w:val="none" w:sz="0" w:space="0" w:color="auto"/>
          </w:divBdr>
        </w:div>
        <w:div w:id="972293101">
          <w:marLeft w:val="640"/>
          <w:marRight w:val="0"/>
          <w:marTop w:val="0"/>
          <w:marBottom w:val="0"/>
          <w:divBdr>
            <w:top w:val="none" w:sz="0" w:space="0" w:color="auto"/>
            <w:left w:val="none" w:sz="0" w:space="0" w:color="auto"/>
            <w:bottom w:val="none" w:sz="0" w:space="0" w:color="auto"/>
            <w:right w:val="none" w:sz="0" w:space="0" w:color="auto"/>
          </w:divBdr>
        </w:div>
        <w:div w:id="376323521">
          <w:marLeft w:val="640"/>
          <w:marRight w:val="0"/>
          <w:marTop w:val="0"/>
          <w:marBottom w:val="0"/>
          <w:divBdr>
            <w:top w:val="none" w:sz="0" w:space="0" w:color="auto"/>
            <w:left w:val="none" w:sz="0" w:space="0" w:color="auto"/>
            <w:bottom w:val="none" w:sz="0" w:space="0" w:color="auto"/>
            <w:right w:val="none" w:sz="0" w:space="0" w:color="auto"/>
          </w:divBdr>
        </w:div>
        <w:div w:id="799569926">
          <w:marLeft w:val="640"/>
          <w:marRight w:val="0"/>
          <w:marTop w:val="0"/>
          <w:marBottom w:val="0"/>
          <w:divBdr>
            <w:top w:val="none" w:sz="0" w:space="0" w:color="auto"/>
            <w:left w:val="none" w:sz="0" w:space="0" w:color="auto"/>
            <w:bottom w:val="none" w:sz="0" w:space="0" w:color="auto"/>
            <w:right w:val="none" w:sz="0" w:space="0" w:color="auto"/>
          </w:divBdr>
        </w:div>
        <w:div w:id="786969000">
          <w:marLeft w:val="640"/>
          <w:marRight w:val="0"/>
          <w:marTop w:val="0"/>
          <w:marBottom w:val="0"/>
          <w:divBdr>
            <w:top w:val="none" w:sz="0" w:space="0" w:color="auto"/>
            <w:left w:val="none" w:sz="0" w:space="0" w:color="auto"/>
            <w:bottom w:val="none" w:sz="0" w:space="0" w:color="auto"/>
            <w:right w:val="none" w:sz="0" w:space="0" w:color="auto"/>
          </w:divBdr>
        </w:div>
        <w:div w:id="2125348414">
          <w:marLeft w:val="640"/>
          <w:marRight w:val="0"/>
          <w:marTop w:val="0"/>
          <w:marBottom w:val="0"/>
          <w:divBdr>
            <w:top w:val="none" w:sz="0" w:space="0" w:color="auto"/>
            <w:left w:val="none" w:sz="0" w:space="0" w:color="auto"/>
            <w:bottom w:val="none" w:sz="0" w:space="0" w:color="auto"/>
            <w:right w:val="none" w:sz="0" w:space="0" w:color="auto"/>
          </w:divBdr>
        </w:div>
        <w:div w:id="1799953037">
          <w:marLeft w:val="640"/>
          <w:marRight w:val="0"/>
          <w:marTop w:val="0"/>
          <w:marBottom w:val="0"/>
          <w:divBdr>
            <w:top w:val="none" w:sz="0" w:space="0" w:color="auto"/>
            <w:left w:val="none" w:sz="0" w:space="0" w:color="auto"/>
            <w:bottom w:val="none" w:sz="0" w:space="0" w:color="auto"/>
            <w:right w:val="none" w:sz="0" w:space="0" w:color="auto"/>
          </w:divBdr>
        </w:div>
        <w:div w:id="729885242">
          <w:marLeft w:val="640"/>
          <w:marRight w:val="0"/>
          <w:marTop w:val="0"/>
          <w:marBottom w:val="0"/>
          <w:divBdr>
            <w:top w:val="none" w:sz="0" w:space="0" w:color="auto"/>
            <w:left w:val="none" w:sz="0" w:space="0" w:color="auto"/>
            <w:bottom w:val="none" w:sz="0" w:space="0" w:color="auto"/>
            <w:right w:val="none" w:sz="0" w:space="0" w:color="auto"/>
          </w:divBdr>
        </w:div>
        <w:div w:id="2136438619">
          <w:marLeft w:val="640"/>
          <w:marRight w:val="0"/>
          <w:marTop w:val="0"/>
          <w:marBottom w:val="0"/>
          <w:divBdr>
            <w:top w:val="none" w:sz="0" w:space="0" w:color="auto"/>
            <w:left w:val="none" w:sz="0" w:space="0" w:color="auto"/>
            <w:bottom w:val="none" w:sz="0" w:space="0" w:color="auto"/>
            <w:right w:val="none" w:sz="0" w:space="0" w:color="auto"/>
          </w:divBdr>
        </w:div>
        <w:div w:id="452676165">
          <w:marLeft w:val="640"/>
          <w:marRight w:val="0"/>
          <w:marTop w:val="0"/>
          <w:marBottom w:val="0"/>
          <w:divBdr>
            <w:top w:val="none" w:sz="0" w:space="0" w:color="auto"/>
            <w:left w:val="none" w:sz="0" w:space="0" w:color="auto"/>
            <w:bottom w:val="none" w:sz="0" w:space="0" w:color="auto"/>
            <w:right w:val="none" w:sz="0" w:space="0" w:color="auto"/>
          </w:divBdr>
        </w:div>
        <w:div w:id="1454013801">
          <w:marLeft w:val="640"/>
          <w:marRight w:val="0"/>
          <w:marTop w:val="0"/>
          <w:marBottom w:val="0"/>
          <w:divBdr>
            <w:top w:val="none" w:sz="0" w:space="0" w:color="auto"/>
            <w:left w:val="none" w:sz="0" w:space="0" w:color="auto"/>
            <w:bottom w:val="none" w:sz="0" w:space="0" w:color="auto"/>
            <w:right w:val="none" w:sz="0" w:space="0" w:color="auto"/>
          </w:divBdr>
        </w:div>
        <w:div w:id="1380862184">
          <w:marLeft w:val="640"/>
          <w:marRight w:val="0"/>
          <w:marTop w:val="0"/>
          <w:marBottom w:val="0"/>
          <w:divBdr>
            <w:top w:val="none" w:sz="0" w:space="0" w:color="auto"/>
            <w:left w:val="none" w:sz="0" w:space="0" w:color="auto"/>
            <w:bottom w:val="none" w:sz="0" w:space="0" w:color="auto"/>
            <w:right w:val="none" w:sz="0" w:space="0" w:color="auto"/>
          </w:divBdr>
        </w:div>
        <w:div w:id="416248350">
          <w:marLeft w:val="640"/>
          <w:marRight w:val="0"/>
          <w:marTop w:val="0"/>
          <w:marBottom w:val="0"/>
          <w:divBdr>
            <w:top w:val="none" w:sz="0" w:space="0" w:color="auto"/>
            <w:left w:val="none" w:sz="0" w:space="0" w:color="auto"/>
            <w:bottom w:val="none" w:sz="0" w:space="0" w:color="auto"/>
            <w:right w:val="none" w:sz="0" w:space="0" w:color="auto"/>
          </w:divBdr>
        </w:div>
        <w:div w:id="47581246">
          <w:marLeft w:val="640"/>
          <w:marRight w:val="0"/>
          <w:marTop w:val="0"/>
          <w:marBottom w:val="0"/>
          <w:divBdr>
            <w:top w:val="none" w:sz="0" w:space="0" w:color="auto"/>
            <w:left w:val="none" w:sz="0" w:space="0" w:color="auto"/>
            <w:bottom w:val="none" w:sz="0" w:space="0" w:color="auto"/>
            <w:right w:val="none" w:sz="0" w:space="0" w:color="auto"/>
          </w:divBdr>
        </w:div>
        <w:div w:id="909995787">
          <w:marLeft w:val="640"/>
          <w:marRight w:val="0"/>
          <w:marTop w:val="0"/>
          <w:marBottom w:val="0"/>
          <w:divBdr>
            <w:top w:val="none" w:sz="0" w:space="0" w:color="auto"/>
            <w:left w:val="none" w:sz="0" w:space="0" w:color="auto"/>
            <w:bottom w:val="none" w:sz="0" w:space="0" w:color="auto"/>
            <w:right w:val="none" w:sz="0" w:space="0" w:color="auto"/>
          </w:divBdr>
        </w:div>
        <w:div w:id="414476600">
          <w:marLeft w:val="640"/>
          <w:marRight w:val="0"/>
          <w:marTop w:val="0"/>
          <w:marBottom w:val="0"/>
          <w:divBdr>
            <w:top w:val="none" w:sz="0" w:space="0" w:color="auto"/>
            <w:left w:val="none" w:sz="0" w:space="0" w:color="auto"/>
            <w:bottom w:val="none" w:sz="0" w:space="0" w:color="auto"/>
            <w:right w:val="none" w:sz="0" w:space="0" w:color="auto"/>
          </w:divBdr>
        </w:div>
        <w:div w:id="888607852">
          <w:marLeft w:val="640"/>
          <w:marRight w:val="0"/>
          <w:marTop w:val="0"/>
          <w:marBottom w:val="0"/>
          <w:divBdr>
            <w:top w:val="none" w:sz="0" w:space="0" w:color="auto"/>
            <w:left w:val="none" w:sz="0" w:space="0" w:color="auto"/>
            <w:bottom w:val="none" w:sz="0" w:space="0" w:color="auto"/>
            <w:right w:val="none" w:sz="0" w:space="0" w:color="auto"/>
          </w:divBdr>
        </w:div>
        <w:div w:id="93013692">
          <w:marLeft w:val="640"/>
          <w:marRight w:val="0"/>
          <w:marTop w:val="0"/>
          <w:marBottom w:val="0"/>
          <w:divBdr>
            <w:top w:val="none" w:sz="0" w:space="0" w:color="auto"/>
            <w:left w:val="none" w:sz="0" w:space="0" w:color="auto"/>
            <w:bottom w:val="none" w:sz="0" w:space="0" w:color="auto"/>
            <w:right w:val="none" w:sz="0" w:space="0" w:color="auto"/>
          </w:divBdr>
        </w:div>
        <w:div w:id="1208376049">
          <w:marLeft w:val="640"/>
          <w:marRight w:val="0"/>
          <w:marTop w:val="0"/>
          <w:marBottom w:val="0"/>
          <w:divBdr>
            <w:top w:val="none" w:sz="0" w:space="0" w:color="auto"/>
            <w:left w:val="none" w:sz="0" w:space="0" w:color="auto"/>
            <w:bottom w:val="none" w:sz="0" w:space="0" w:color="auto"/>
            <w:right w:val="none" w:sz="0" w:space="0" w:color="auto"/>
          </w:divBdr>
        </w:div>
        <w:div w:id="2121535006">
          <w:marLeft w:val="640"/>
          <w:marRight w:val="0"/>
          <w:marTop w:val="0"/>
          <w:marBottom w:val="0"/>
          <w:divBdr>
            <w:top w:val="none" w:sz="0" w:space="0" w:color="auto"/>
            <w:left w:val="none" w:sz="0" w:space="0" w:color="auto"/>
            <w:bottom w:val="none" w:sz="0" w:space="0" w:color="auto"/>
            <w:right w:val="none" w:sz="0" w:space="0" w:color="auto"/>
          </w:divBdr>
        </w:div>
        <w:div w:id="552621961">
          <w:marLeft w:val="640"/>
          <w:marRight w:val="0"/>
          <w:marTop w:val="0"/>
          <w:marBottom w:val="0"/>
          <w:divBdr>
            <w:top w:val="none" w:sz="0" w:space="0" w:color="auto"/>
            <w:left w:val="none" w:sz="0" w:space="0" w:color="auto"/>
            <w:bottom w:val="none" w:sz="0" w:space="0" w:color="auto"/>
            <w:right w:val="none" w:sz="0" w:space="0" w:color="auto"/>
          </w:divBdr>
        </w:div>
        <w:div w:id="1316955806">
          <w:marLeft w:val="640"/>
          <w:marRight w:val="0"/>
          <w:marTop w:val="0"/>
          <w:marBottom w:val="0"/>
          <w:divBdr>
            <w:top w:val="none" w:sz="0" w:space="0" w:color="auto"/>
            <w:left w:val="none" w:sz="0" w:space="0" w:color="auto"/>
            <w:bottom w:val="none" w:sz="0" w:space="0" w:color="auto"/>
            <w:right w:val="none" w:sz="0" w:space="0" w:color="auto"/>
          </w:divBdr>
        </w:div>
        <w:div w:id="83772333">
          <w:marLeft w:val="640"/>
          <w:marRight w:val="0"/>
          <w:marTop w:val="0"/>
          <w:marBottom w:val="0"/>
          <w:divBdr>
            <w:top w:val="none" w:sz="0" w:space="0" w:color="auto"/>
            <w:left w:val="none" w:sz="0" w:space="0" w:color="auto"/>
            <w:bottom w:val="none" w:sz="0" w:space="0" w:color="auto"/>
            <w:right w:val="none" w:sz="0" w:space="0" w:color="auto"/>
          </w:divBdr>
        </w:div>
        <w:div w:id="1881937601">
          <w:marLeft w:val="640"/>
          <w:marRight w:val="0"/>
          <w:marTop w:val="0"/>
          <w:marBottom w:val="0"/>
          <w:divBdr>
            <w:top w:val="none" w:sz="0" w:space="0" w:color="auto"/>
            <w:left w:val="none" w:sz="0" w:space="0" w:color="auto"/>
            <w:bottom w:val="none" w:sz="0" w:space="0" w:color="auto"/>
            <w:right w:val="none" w:sz="0" w:space="0" w:color="auto"/>
          </w:divBdr>
        </w:div>
        <w:div w:id="2031177771">
          <w:marLeft w:val="640"/>
          <w:marRight w:val="0"/>
          <w:marTop w:val="0"/>
          <w:marBottom w:val="0"/>
          <w:divBdr>
            <w:top w:val="none" w:sz="0" w:space="0" w:color="auto"/>
            <w:left w:val="none" w:sz="0" w:space="0" w:color="auto"/>
            <w:bottom w:val="none" w:sz="0" w:space="0" w:color="auto"/>
            <w:right w:val="none" w:sz="0" w:space="0" w:color="auto"/>
          </w:divBdr>
        </w:div>
        <w:div w:id="599069409">
          <w:marLeft w:val="640"/>
          <w:marRight w:val="0"/>
          <w:marTop w:val="0"/>
          <w:marBottom w:val="0"/>
          <w:divBdr>
            <w:top w:val="none" w:sz="0" w:space="0" w:color="auto"/>
            <w:left w:val="none" w:sz="0" w:space="0" w:color="auto"/>
            <w:bottom w:val="none" w:sz="0" w:space="0" w:color="auto"/>
            <w:right w:val="none" w:sz="0" w:space="0" w:color="auto"/>
          </w:divBdr>
        </w:div>
        <w:div w:id="1303998539">
          <w:marLeft w:val="640"/>
          <w:marRight w:val="0"/>
          <w:marTop w:val="0"/>
          <w:marBottom w:val="0"/>
          <w:divBdr>
            <w:top w:val="none" w:sz="0" w:space="0" w:color="auto"/>
            <w:left w:val="none" w:sz="0" w:space="0" w:color="auto"/>
            <w:bottom w:val="none" w:sz="0" w:space="0" w:color="auto"/>
            <w:right w:val="none" w:sz="0" w:space="0" w:color="auto"/>
          </w:divBdr>
        </w:div>
        <w:div w:id="107358704">
          <w:marLeft w:val="640"/>
          <w:marRight w:val="0"/>
          <w:marTop w:val="0"/>
          <w:marBottom w:val="0"/>
          <w:divBdr>
            <w:top w:val="none" w:sz="0" w:space="0" w:color="auto"/>
            <w:left w:val="none" w:sz="0" w:space="0" w:color="auto"/>
            <w:bottom w:val="none" w:sz="0" w:space="0" w:color="auto"/>
            <w:right w:val="none" w:sz="0" w:space="0" w:color="auto"/>
          </w:divBdr>
        </w:div>
        <w:div w:id="1919751529">
          <w:marLeft w:val="640"/>
          <w:marRight w:val="0"/>
          <w:marTop w:val="0"/>
          <w:marBottom w:val="0"/>
          <w:divBdr>
            <w:top w:val="none" w:sz="0" w:space="0" w:color="auto"/>
            <w:left w:val="none" w:sz="0" w:space="0" w:color="auto"/>
            <w:bottom w:val="none" w:sz="0" w:space="0" w:color="auto"/>
            <w:right w:val="none" w:sz="0" w:space="0" w:color="auto"/>
          </w:divBdr>
        </w:div>
        <w:div w:id="2029596875">
          <w:marLeft w:val="640"/>
          <w:marRight w:val="0"/>
          <w:marTop w:val="0"/>
          <w:marBottom w:val="0"/>
          <w:divBdr>
            <w:top w:val="none" w:sz="0" w:space="0" w:color="auto"/>
            <w:left w:val="none" w:sz="0" w:space="0" w:color="auto"/>
            <w:bottom w:val="none" w:sz="0" w:space="0" w:color="auto"/>
            <w:right w:val="none" w:sz="0" w:space="0" w:color="auto"/>
          </w:divBdr>
        </w:div>
        <w:div w:id="72358931">
          <w:marLeft w:val="640"/>
          <w:marRight w:val="0"/>
          <w:marTop w:val="0"/>
          <w:marBottom w:val="0"/>
          <w:divBdr>
            <w:top w:val="none" w:sz="0" w:space="0" w:color="auto"/>
            <w:left w:val="none" w:sz="0" w:space="0" w:color="auto"/>
            <w:bottom w:val="none" w:sz="0" w:space="0" w:color="auto"/>
            <w:right w:val="none" w:sz="0" w:space="0" w:color="auto"/>
          </w:divBdr>
        </w:div>
        <w:div w:id="504518229">
          <w:marLeft w:val="640"/>
          <w:marRight w:val="0"/>
          <w:marTop w:val="0"/>
          <w:marBottom w:val="0"/>
          <w:divBdr>
            <w:top w:val="none" w:sz="0" w:space="0" w:color="auto"/>
            <w:left w:val="none" w:sz="0" w:space="0" w:color="auto"/>
            <w:bottom w:val="none" w:sz="0" w:space="0" w:color="auto"/>
            <w:right w:val="none" w:sz="0" w:space="0" w:color="auto"/>
          </w:divBdr>
        </w:div>
        <w:div w:id="193884924">
          <w:marLeft w:val="640"/>
          <w:marRight w:val="0"/>
          <w:marTop w:val="0"/>
          <w:marBottom w:val="0"/>
          <w:divBdr>
            <w:top w:val="none" w:sz="0" w:space="0" w:color="auto"/>
            <w:left w:val="none" w:sz="0" w:space="0" w:color="auto"/>
            <w:bottom w:val="none" w:sz="0" w:space="0" w:color="auto"/>
            <w:right w:val="none" w:sz="0" w:space="0" w:color="auto"/>
          </w:divBdr>
        </w:div>
        <w:div w:id="1588541429">
          <w:marLeft w:val="640"/>
          <w:marRight w:val="0"/>
          <w:marTop w:val="0"/>
          <w:marBottom w:val="0"/>
          <w:divBdr>
            <w:top w:val="none" w:sz="0" w:space="0" w:color="auto"/>
            <w:left w:val="none" w:sz="0" w:space="0" w:color="auto"/>
            <w:bottom w:val="none" w:sz="0" w:space="0" w:color="auto"/>
            <w:right w:val="none" w:sz="0" w:space="0" w:color="auto"/>
          </w:divBdr>
        </w:div>
        <w:div w:id="1502695186">
          <w:marLeft w:val="640"/>
          <w:marRight w:val="0"/>
          <w:marTop w:val="0"/>
          <w:marBottom w:val="0"/>
          <w:divBdr>
            <w:top w:val="none" w:sz="0" w:space="0" w:color="auto"/>
            <w:left w:val="none" w:sz="0" w:space="0" w:color="auto"/>
            <w:bottom w:val="none" w:sz="0" w:space="0" w:color="auto"/>
            <w:right w:val="none" w:sz="0" w:space="0" w:color="auto"/>
          </w:divBdr>
        </w:div>
      </w:divsChild>
    </w:div>
    <w:div w:id="6299687">
      <w:bodyDiv w:val="1"/>
      <w:marLeft w:val="0"/>
      <w:marRight w:val="0"/>
      <w:marTop w:val="0"/>
      <w:marBottom w:val="0"/>
      <w:divBdr>
        <w:top w:val="none" w:sz="0" w:space="0" w:color="auto"/>
        <w:left w:val="none" w:sz="0" w:space="0" w:color="auto"/>
        <w:bottom w:val="none" w:sz="0" w:space="0" w:color="auto"/>
        <w:right w:val="none" w:sz="0" w:space="0" w:color="auto"/>
      </w:divBdr>
    </w:div>
    <w:div w:id="11538591">
      <w:bodyDiv w:val="1"/>
      <w:marLeft w:val="0"/>
      <w:marRight w:val="0"/>
      <w:marTop w:val="0"/>
      <w:marBottom w:val="0"/>
      <w:divBdr>
        <w:top w:val="none" w:sz="0" w:space="0" w:color="auto"/>
        <w:left w:val="none" w:sz="0" w:space="0" w:color="auto"/>
        <w:bottom w:val="none" w:sz="0" w:space="0" w:color="auto"/>
        <w:right w:val="none" w:sz="0" w:space="0" w:color="auto"/>
      </w:divBdr>
    </w:div>
    <w:div w:id="11809170">
      <w:bodyDiv w:val="1"/>
      <w:marLeft w:val="0"/>
      <w:marRight w:val="0"/>
      <w:marTop w:val="0"/>
      <w:marBottom w:val="0"/>
      <w:divBdr>
        <w:top w:val="none" w:sz="0" w:space="0" w:color="auto"/>
        <w:left w:val="none" w:sz="0" w:space="0" w:color="auto"/>
        <w:bottom w:val="none" w:sz="0" w:space="0" w:color="auto"/>
        <w:right w:val="none" w:sz="0" w:space="0" w:color="auto"/>
      </w:divBdr>
    </w:div>
    <w:div w:id="13502137">
      <w:bodyDiv w:val="1"/>
      <w:marLeft w:val="0"/>
      <w:marRight w:val="0"/>
      <w:marTop w:val="0"/>
      <w:marBottom w:val="0"/>
      <w:divBdr>
        <w:top w:val="none" w:sz="0" w:space="0" w:color="auto"/>
        <w:left w:val="none" w:sz="0" w:space="0" w:color="auto"/>
        <w:bottom w:val="none" w:sz="0" w:space="0" w:color="auto"/>
        <w:right w:val="none" w:sz="0" w:space="0" w:color="auto"/>
      </w:divBdr>
    </w:div>
    <w:div w:id="15038489">
      <w:bodyDiv w:val="1"/>
      <w:marLeft w:val="0"/>
      <w:marRight w:val="0"/>
      <w:marTop w:val="0"/>
      <w:marBottom w:val="0"/>
      <w:divBdr>
        <w:top w:val="none" w:sz="0" w:space="0" w:color="auto"/>
        <w:left w:val="none" w:sz="0" w:space="0" w:color="auto"/>
        <w:bottom w:val="none" w:sz="0" w:space="0" w:color="auto"/>
        <w:right w:val="none" w:sz="0" w:space="0" w:color="auto"/>
      </w:divBdr>
    </w:div>
    <w:div w:id="15274814">
      <w:bodyDiv w:val="1"/>
      <w:marLeft w:val="0"/>
      <w:marRight w:val="0"/>
      <w:marTop w:val="0"/>
      <w:marBottom w:val="0"/>
      <w:divBdr>
        <w:top w:val="none" w:sz="0" w:space="0" w:color="auto"/>
        <w:left w:val="none" w:sz="0" w:space="0" w:color="auto"/>
        <w:bottom w:val="none" w:sz="0" w:space="0" w:color="auto"/>
        <w:right w:val="none" w:sz="0" w:space="0" w:color="auto"/>
      </w:divBdr>
    </w:div>
    <w:div w:id="15663208">
      <w:bodyDiv w:val="1"/>
      <w:marLeft w:val="0"/>
      <w:marRight w:val="0"/>
      <w:marTop w:val="0"/>
      <w:marBottom w:val="0"/>
      <w:divBdr>
        <w:top w:val="none" w:sz="0" w:space="0" w:color="auto"/>
        <w:left w:val="none" w:sz="0" w:space="0" w:color="auto"/>
        <w:bottom w:val="none" w:sz="0" w:space="0" w:color="auto"/>
        <w:right w:val="none" w:sz="0" w:space="0" w:color="auto"/>
      </w:divBdr>
    </w:div>
    <w:div w:id="16547584">
      <w:bodyDiv w:val="1"/>
      <w:marLeft w:val="0"/>
      <w:marRight w:val="0"/>
      <w:marTop w:val="0"/>
      <w:marBottom w:val="0"/>
      <w:divBdr>
        <w:top w:val="none" w:sz="0" w:space="0" w:color="auto"/>
        <w:left w:val="none" w:sz="0" w:space="0" w:color="auto"/>
        <w:bottom w:val="none" w:sz="0" w:space="0" w:color="auto"/>
        <w:right w:val="none" w:sz="0" w:space="0" w:color="auto"/>
      </w:divBdr>
    </w:div>
    <w:div w:id="18624495">
      <w:bodyDiv w:val="1"/>
      <w:marLeft w:val="0"/>
      <w:marRight w:val="0"/>
      <w:marTop w:val="0"/>
      <w:marBottom w:val="0"/>
      <w:divBdr>
        <w:top w:val="none" w:sz="0" w:space="0" w:color="auto"/>
        <w:left w:val="none" w:sz="0" w:space="0" w:color="auto"/>
        <w:bottom w:val="none" w:sz="0" w:space="0" w:color="auto"/>
        <w:right w:val="none" w:sz="0" w:space="0" w:color="auto"/>
      </w:divBdr>
    </w:div>
    <w:div w:id="20788007">
      <w:bodyDiv w:val="1"/>
      <w:marLeft w:val="0"/>
      <w:marRight w:val="0"/>
      <w:marTop w:val="0"/>
      <w:marBottom w:val="0"/>
      <w:divBdr>
        <w:top w:val="none" w:sz="0" w:space="0" w:color="auto"/>
        <w:left w:val="none" w:sz="0" w:space="0" w:color="auto"/>
        <w:bottom w:val="none" w:sz="0" w:space="0" w:color="auto"/>
        <w:right w:val="none" w:sz="0" w:space="0" w:color="auto"/>
      </w:divBdr>
    </w:div>
    <w:div w:id="24017755">
      <w:bodyDiv w:val="1"/>
      <w:marLeft w:val="0"/>
      <w:marRight w:val="0"/>
      <w:marTop w:val="0"/>
      <w:marBottom w:val="0"/>
      <w:divBdr>
        <w:top w:val="none" w:sz="0" w:space="0" w:color="auto"/>
        <w:left w:val="none" w:sz="0" w:space="0" w:color="auto"/>
        <w:bottom w:val="none" w:sz="0" w:space="0" w:color="auto"/>
        <w:right w:val="none" w:sz="0" w:space="0" w:color="auto"/>
      </w:divBdr>
    </w:div>
    <w:div w:id="25251763">
      <w:bodyDiv w:val="1"/>
      <w:marLeft w:val="0"/>
      <w:marRight w:val="0"/>
      <w:marTop w:val="0"/>
      <w:marBottom w:val="0"/>
      <w:divBdr>
        <w:top w:val="none" w:sz="0" w:space="0" w:color="auto"/>
        <w:left w:val="none" w:sz="0" w:space="0" w:color="auto"/>
        <w:bottom w:val="none" w:sz="0" w:space="0" w:color="auto"/>
        <w:right w:val="none" w:sz="0" w:space="0" w:color="auto"/>
      </w:divBdr>
    </w:div>
    <w:div w:id="29575666">
      <w:bodyDiv w:val="1"/>
      <w:marLeft w:val="0"/>
      <w:marRight w:val="0"/>
      <w:marTop w:val="0"/>
      <w:marBottom w:val="0"/>
      <w:divBdr>
        <w:top w:val="none" w:sz="0" w:space="0" w:color="auto"/>
        <w:left w:val="none" w:sz="0" w:space="0" w:color="auto"/>
        <w:bottom w:val="none" w:sz="0" w:space="0" w:color="auto"/>
        <w:right w:val="none" w:sz="0" w:space="0" w:color="auto"/>
      </w:divBdr>
    </w:div>
    <w:div w:id="30956849">
      <w:bodyDiv w:val="1"/>
      <w:marLeft w:val="0"/>
      <w:marRight w:val="0"/>
      <w:marTop w:val="0"/>
      <w:marBottom w:val="0"/>
      <w:divBdr>
        <w:top w:val="none" w:sz="0" w:space="0" w:color="auto"/>
        <w:left w:val="none" w:sz="0" w:space="0" w:color="auto"/>
        <w:bottom w:val="none" w:sz="0" w:space="0" w:color="auto"/>
        <w:right w:val="none" w:sz="0" w:space="0" w:color="auto"/>
      </w:divBdr>
    </w:div>
    <w:div w:id="31813288">
      <w:bodyDiv w:val="1"/>
      <w:marLeft w:val="0"/>
      <w:marRight w:val="0"/>
      <w:marTop w:val="0"/>
      <w:marBottom w:val="0"/>
      <w:divBdr>
        <w:top w:val="none" w:sz="0" w:space="0" w:color="auto"/>
        <w:left w:val="none" w:sz="0" w:space="0" w:color="auto"/>
        <w:bottom w:val="none" w:sz="0" w:space="0" w:color="auto"/>
        <w:right w:val="none" w:sz="0" w:space="0" w:color="auto"/>
      </w:divBdr>
    </w:div>
    <w:div w:id="34041241">
      <w:bodyDiv w:val="1"/>
      <w:marLeft w:val="0"/>
      <w:marRight w:val="0"/>
      <w:marTop w:val="0"/>
      <w:marBottom w:val="0"/>
      <w:divBdr>
        <w:top w:val="none" w:sz="0" w:space="0" w:color="auto"/>
        <w:left w:val="none" w:sz="0" w:space="0" w:color="auto"/>
        <w:bottom w:val="none" w:sz="0" w:space="0" w:color="auto"/>
        <w:right w:val="none" w:sz="0" w:space="0" w:color="auto"/>
      </w:divBdr>
    </w:div>
    <w:div w:id="35354121">
      <w:bodyDiv w:val="1"/>
      <w:marLeft w:val="0"/>
      <w:marRight w:val="0"/>
      <w:marTop w:val="0"/>
      <w:marBottom w:val="0"/>
      <w:divBdr>
        <w:top w:val="none" w:sz="0" w:space="0" w:color="auto"/>
        <w:left w:val="none" w:sz="0" w:space="0" w:color="auto"/>
        <w:bottom w:val="none" w:sz="0" w:space="0" w:color="auto"/>
        <w:right w:val="none" w:sz="0" w:space="0" w:color="auto"/>
      </w:divBdr>
    </w:div>
    <w:div w:id="37247335">
      <w:bodyDiv w:val="1"/>
      <w:marLeft w:val="0"/>
      <w:marRight w:val="0"/>
      <w:marTop w:val="0"/>
      <w:marBottom w:val="0"/>
      <w:divBdr>
        <w:top w:val="none" w:sz="0" w:space="0" w:color="auto"/>
        <w:left w:val="none" w:sz="0" w:space="0" w:color="auto"/>
        <w:bottom w:val="none" w:sz="0" w:space="0" w:color="auto"/>
        <w:right w:val="none" w:sz="0" w:space="0" w:color="auto"/>
      </w:divBdr>
    </w:div>
    <w:div w:id="40911488">
      <w:bodyDiv w:val="1"/>
      <w:marLeft w:val="0"/>
      <w:marRight w:val="0"/>
      <w:marTop w:val="0"/>
      <w:marBottom w:val="0"/>
      <w:divBdr>
        <w:top w:val="none" w:sz="0" w:space="0" w:color="auto"/>
        <w:left w:val="none" w:sz="0" w:space="0" w:color="auto"/>
        <w:bottom w:val="none" w:sz="0" w:space="0" w:color="auto"/>
        <w:right w:val="none" w:sz="0" w:space="0" w:color="auto"/>
      </w:divBdr>
    </w:div>
    <w:div w:id="40981474">
      <w:bodyDiv w:val="1"/>
      <w:marLeft w:val="0"/>
      <w:marRight w:val="0"/>
      <w:marTop w:val="0"/>
      <w:marBottom w:val="0"/>
      <w:divBdr>
        <w:top w:val="none" w:sz="0" w:space="0" w:color="auto"/>
        <w:left w:val="none" w:sz="0" w:space="0" w:color="auto"/>
        <w:bottom w:val="none" w:sz="0" w:space="0" w:color="auto"/>
        <w:right w:val="none" w:sz="0" w:space="0" w:color="auto"/>
      </w:divBdr>
    </w:div>
    <w:div w:id="43452017">
      <w:bodyDiv w:val="1"/>
      <w:marLeft w:val="0"/>
      <w:marRight w:val="0"/>
      <w:marTop w:val="0"/>
      <w:marBottom w:val="0"/>
      <w:divBdr>
        <w:top w:val="none" w:sz="0" w:space="0" w:color="auto"/>
        <w:left w:val="none" w:sz="0" w:space="0" w:color="auto"/>
        <w:bottom w:val="none" w:sz="0" w:space="0" w:color="auto"/>
        <w:right w:val="none" w:sz="0" w:space="0" w:color="auto"/>
      </w:divBdr>
    </w:div>
    <w:div w:id="43528321">
      <w:bodyDiv w:val="1"/>
      <w:marLeft w:val="0"/>
      <w:marRight w:val="0"/>
      <w:marTop w:val="0"/>
      <w:marBottom w:val="0"/>
      <w:divBdr>
        <w:top w:val="none" w:sz="0" w:space="0" w:color="auto"/>
        <w:left w:val="none" w:sz="0" w:space="0" w:color="auto"/>
        <w:bottom w:val="none" w:sz="0" w:space="0" w:color="auto"/>
        <w:right w:val="none" w:sz="0" w:space="0" w:color="auto"/>
      </w:divBdr>
    </w:div>
    <w:div w:id="45109518">
      <w:bodyDiv w:val="1"/>
      <w:marLeft w:val="0"/>
      <w:marRight w:val="0"/>
      <w:marTop w:val="0"/>
      <w:marBottom w:val="0"/>
      <w:divBdr>
        <w:top w:val="none" w:sz="0" w:space="0" w:color="auto"/>
        <w:left w:val="none" w:sz="0" w:space="0" w:color="auto"/>
        <w:bottom w:val="none" w:sz="0" w:space="0" w:color="auto"/>
        <w:right w:val="none" w:sz="0" w:space="0" w:color="auto"/>
      </w:divBdr>
    </w:div>
    <w:div w:id="45493374">
      <w:bodyDiv w:val="1"/>
      <w:marLeft w:val="0"/>
      <w:marRight w:val="0"/>
      <w:marTop w:val="0"/>
      <w:marBottom w:val="0"/>
      <w:divBdr>
        <w:top w:val="none" w:sz="0" w:space="0" w:color="auto"/>
        <w:left w:val="none" w:sz="0" w:space="0" w:color="auto"/>
        <w:bottom w:val="none" w:sz="0" w:space="0" w:color="auto"/>
        <w:right w:val="none" w:sz="0" w:space="0" w:color="auto"/>
      </w:divBdr>
    </w:div>
    <w:div w:id="47068971">
      <w:bodyDiv w:val="1"/>
      <w:marLeft w:val="0"/>
      <w:marRight w:val="0"/>
      <w:marTop w:val="0"/>
      <w:marBottom w:val="0"/>
      <w:divBdr>
        <w:top w:val="none" w:sz="0" w:space="0" w:color="auto"/>
        <w:left w:val="none" w:sz="0" w:space="0" w:color="auto"/>
        <w:bottom w:val="none" w:sz="0" w:space="0" w:color="auto"/>
        <w:right w:val="none" w:sz="0" w:space="0" w:color="auto"/>
      </w:divBdr>
    </w:div>
    <w:div w:id="50886811">
      <w:bodyDiv w:val="1"/>
      <w:marLeft w:val="0"/>
      <w:marRight w:val="0"/>
      <w:marTop w:val="0"/>
      <w:marBottom w:val="0"/>
      <w:divBdr>
        <w:top w:val="none" w:sz="0" w:space="0" w:color="auto"/>
        <w:left w:val="none" w:sz="0" w:space="0" w:color="auto"/>
        <w:bottom w:val="none" w:sz="0" w:space="0" w:color="auto"/>
        <w:right w:val="none" w:sz="0" w:space="0" w:color="auto"/>
      </w:divBdr>
    </w:div>
    <w:div w:id="51276505">
      <w:bodyDiv w:val="1"/>
      <w:marLeft w:val="0"/>
      <w:marRight w:val="0"/>
      <w:marTop w:val="0"/>
      <w:marBottom w:val="0"/>
      <w:divBdr>
        <w:top w:val="none" w:sz="0" w:space="0" w:color="auto"/>
        <w:left w:val="none" w:sz="0" w:space="0" w:color="auto"/>
        <w:bottom w:val="none" w:sz="0" w:space="0" w:color="auto"/>
        <w:right w:val="none" w:sz="0" w:space="0" w:color="auto"/>
      </w:divBdr>
    </w:div>
    <w:div w:id="53741013">
      <w:bodyDiv w:val="1"/>
      <w:marLeft w:val="0"/>
      <w:marRight w:val="0"/>
      <w:marTop w:val="0"/>
      <w:marBottom w:val="0"/>
      <w:divBdr>
        <w:top w:val="none" w:sz="0" w:space="0" w:color="auto"/>
        <w:left w:val="none" w:sz="0" w:space="0" w:color="auto"/>
        <w:bottom w:val="none" w:sz="0" w:space="0" w:color="auto"/>
        <w:right w:val="none" w:sz="0" w:space="0" w:color="auto"/>
      </w:divBdr>
      <w:divsChild>
        <w:div w:id="2027510813">
          <w:marLeft w:val="640"/>
          <w:marRight w:val="0"/>
          <w:marTop w:val="0"/>
          <w:marBottom w:val="0"/>
          <w:divBdr>
            <w:top w:val="none" w:sz="0" w:space="0" w:color="auto"/>
            <w:left w:val="none" w:sz="0" w:space="0" w:color="auto"/>
            <w:bottom w:val="none" w:sz="0" w:space="0" w:color="auto"/>
            <w:right w:val="none" w:sz="0" w:space="0" w:color="auto"/>
          </w:divBdr>
        </w:div>
        <w:div w:id="1894122720">
          <w:marLeft w:val="640"/>
          <w:marRight w:val="0"/>
          <w:marTop w:val="0"/>
          <w:marBottom w:val="0"/>
          <w:divBdr>
            <w:top w:val="none" w:sz="0" w:space="0" w:color="auto"/>
            <w:left w:val="none" w:sz="0" w:space="0" w:color="auto"/>
            <w:bottom w:val="none" w:sz="0" w:space="0" w:color="auto"/>
            <w:right w:val="none" w:sz="0" w:space="0" w:color="auto"/>
          </w:divBdr>
        </w:div>
        <w:div w:id="556937423">
          <w:marLeft w:val="640"/>
          <w:marRight w:val="0"/>
          <w:marTop w:val="0"/>
          <w:marBottom w:val="0"/>
          <w:divBdr>
            <w:top w:val="none" w:sz="0" w:space="0" w:color="auto"/>
            <w:left w:val="none" w:sz="0" w:space="0" w:color="auto"/>
            <w:bottom w:val="none" w:sz="0" w:space="0" w:color="auto"/>
            <w:right w:val="none" w:sz="0" w:space="0" w:color="auto"/>
          </w:divBdr>
        </w:div>
        <w:div w:id="205259260">
          <w:marLeft w:val="640"/>
          <w:marRight w:val="0"/>
          <w:marTop w:val="0"/>
          <w:marBottom w:val="0"/>
          <w:divBdr>
            <w:top w:val="none" w:sz="0" w:space="0" w:color="auto"/>
            <w:left w:val="none" w:sz="0" w:space="0" w:color="auto"/>
            <w:bottom w:val="none" w:sz="0" w:space="0" w:color="auto"/>
            <w:right w:val="none" w:sz="0" w:space="0" w:color="auto"/>
          </w:divBdr>
        </w:div>
        <w:div w:id="739251803">
          <w:marLeft w:val="640"/>
          <w:marRight w:val="0"/>
          <w:marTop w:val="0"/>
          <w:marBottom w:val="0"/>
          <w:divBdr>
            <w:top w:val="none" w:sz="0" w:space="0" w:color="auto"/>
            <w:left w:val="none" w:sz="0" w:space="0" w:color="auto"/>
            <w:bottom w:val="none" w:sz="0" w:space="0" w:color="auto"/>
            <w:right w:val="none" w:sz="0" w:space="0" w:color="auto"/>
          </w:divBdr>
        </w:div>
        <w:div w:id="847137260">
          <w:marLeft w:val="640"/>
          <w:marRight w:val="0"/>
          <w:marTop w:val="0"/>
          <w:marBottom w:val="0"/>
          <w:divBdr>
            <w:top w:val="none" w:sz="0" w:space="0" w:color="auto"/>
            <w:left w:val="none" w:sz="0" w:space="0" w:color="auto"/>
            <w:bottom w:val="none" w:sz="0" w:space="0" w:color="auto"/>
            <w:right w:val="none" w:sz="0" w:space="0" w:color="auto"/>
          </w:divBdr>
        </w:div>
        <w:div w:id="1987511039">
          <w:marLeft w:val="640"/>
          <w:marRight w:val="0"/>
          <w:marTop w:val="0"/>
          <w:marBottom w:val="0"/>
          <w:divBdr>
            <w:top w:val="none" w:sz="0" w:space="0" w:color="auto"/>
            <w:left w:val="none" w:sz="0" w:space="0" w:color="auto"/>
            <w:bottom w:val="none" w:sz="0" w:space="0" w:color="auto"/>
            <w:right w:val="none" w:sz="0" w:space="0" w:color="auto"/>
          </w:divBdr>
        </w:div>
        <w:div w:id="119734774">
          <w:marLeft w:val="640"/>
          <w:marRight w:val="0"/>
          <w:marTop w:val="0"/>
          <w:marBottom w:val="0"/>
          <w:divBdr>
            <w:top w:val="none" w:sz="0" w:space="0" w:color="auto"/>
            <w:left w:val="none" w:sz="0" w:space="0" w:color="auto"/>
            <w:bottom w:val="none" w:sz="0" w:space="0" w:color="auto"/>
            <w:right w:val="none" w:sz="0" w:space="0" w:color="auto"/>
          </w:divBdr>
        </w:div>
        <w:div w:id="1326130425">
          <w:marLeft w:val="640"/>
          <w:marRight w:val="0"/>
          <w:marTop w:val="0"/>
          <w:marBottom w:val="0"/>
          <w:divBdr>
            <w:top w:val="none" w:sz="0" w:space="0" w:color="auto"/>
            <w:left w:val="none" w:sz="0" w:space="0" w:color="auto"/>
            <w:bottom w:val="none" w:sz="0" w:space="0" w:color="auto"/>
            <w:right w:val="none" w:sz="0" w:space="0" w:color="auto"/>
          </w:divBdr>
        </w:div>
        <w:div w:id="2140221400">
          <w:marLeft w:val="640"/>
          <w:marRight w:val="0"/>
          <w:marTop w:val="0"/>
          <w:marBottom w:val="0"/>
          <w:divBdr>
            <w:top w:val="none" w:sz="0" w:space="0" w:color="auto"/>
            <w:left w:val="none" w:sz="0" w:space="0" w:color="auto"/>
            <w:bottom w:val="none" w:sz="0" w:space="0" w:color="auto"/>
            <w:right w:val="none" w:sz="0" w:space="0" w:color="auto"/>
          </w:divBdr>
        </w:div>
        <w:div w:id="125203323">
          <w:marLeft w:val="640"/>
          <w:marRight w:val="0"/>
          <w:marTop w:val="0"/>
          <w:marBottom w:val="0"/>
          <w:divBdr>
            <w:top w:val="none" w:sz="0" w:space="0" w:color="auto"/>
            <w:left w:val="none" w:sz="0" w:space="0" w:color="auto"/>
            <w:bottom w:val="none" w:sz="0" w:space="0" w:color="auto"/>
            <w:right w:val="none" w:sz="0" w:space="0" w:color="auto"/>
          </w:divBdr>
        </w:div>
        <w:div w:id="1773892375">
          <w:marLeft w:val="640"/>
          <w:marRight w:val="0"/>
          <w:marTop w:val="0"/>
          <w:marBottom w:val="0"/>
          <w:divBdr>
            <w:top w:val="none" w:sz="0" w:space="0" w:color="auto"/>
            <w:left w:val="none" w:sz="0" w:space="0" w:color="auto"/>
            <w:bottom w:val="none" w:sz="0" w:space="0" w:color="auto"/>
            <w:right w:val="none" w:sz="0" w:space="0" w:color="auto"/>
          </w:divBdr>
        </w:div>
        <w:div w:id="1377315288">
          <w:marLeft w:val="640"/>
          <w:marRight w:val="0"/>
          <w:marTop w:val="0"/>
          <w:marBottom w:val="0"/>
          <w:divBdr>
            <w:top w:val="none" w:sz="0" w:space="0" w:color="auto"/>
            <w:left w:val="none" w:sz="0" w:space="0" w:color="auto"/>
            <w:bottom w:val="none" w:sz="0" w:space="0" w:color="auto"/>
            <w:right w:val="none" w:sz="0" w:space="0" w:color="auto"/>
          </w:divBdr>
        </w:div>
        <w:div w:id="1292784446">
          <w:marLeft w:val="640"/>
          <w:marRight w:val="0"/>
          <w:marTop w:val="0"/>
          <w:marBottom w:val="0"/>
          <w:divBdr>
            <w:top w:val="none" w:sz="0" w:space="0" w:color="auto"/>
            <w:left w:val="none" w:sz="0" w:space="0" w:color="auto"/>
            <w:bottom w:val="none" w:sz="0" w:space="0" w:color="auto"/>
            <w:right w:val="none" w:sz="0" w:space="0" w:color="auto"/>
          </w:divBdr>
        </w:div>
        <w:div w:id="499583411">
          <w:marLeft w:val="640"/>
          <w:marRight w:val="0"/>
          <w:marTop w:val="0"/>
          <w:marBottom w:val="0"/>
          <w:divBdr>
            <w:top w:val="none" w:sz="0" w:space="0" w:color="auto"/>
            <w:left w:val="none" w:sz="0" w:space="0" w:color="auto"/>
            <w:bottom w:val="none" w:sz="0" w:space="0" w:color="auto"/>
            <w:right w:val="none" w:sz="0" w:space="0" w:color="auto"/>
          </w:divBdr>
        </w:div>
        <w:div w:id="749890982">
          <w:marLeft w:val="640"/>
          <w:marRight w:val="0"/>
          <w:marTop w:val="0"/>
          <w:marBottom w:val="0"/>
          <w:divBdr>
            <w:top w:val="none" w:sz="0" w:space="0" w:color="auto"/>
            <w:left w:val="none" w:sz="0" w:space="0" w:color="auto"/>
            <w:bottom w:val="none" w:sz="0" w:space="0" w:color="auto"/>
            <w:right w:val="none" w:sz="0" w:space="0" w:color="auto"/>
          </w:divBdr>
        </w:div>
        <w:div w:id="423578236">
          <w:marLeft w:val="640"/>
          <w:marRight w:val="0"/>
          <w:marTop w:val="0"/>
          <w:marBottom w:val="0"/>
          <w:divBdr>
            <w:top w:val="none" w:sz="0" w:space="0" w:color="auto"/>
            <w:left w:val="none" w:sz="0" w:space="0" w:color="auto"/>
            <w:bottom w:val="none" w:sz="0" w:space="0" w:color="auto"/>
            <w:right w:val="none" w:sz="0" w:space="0" w:color="auto"/>
          </w:divBdr>
        </w:div>
        <w:div w:id="92866225">
          <w:marLeft w:val="640"/>
          <w:marRight w:val="0"/>
          <w:marTop w:val="0"/>
          <w:marBottom w:val="0"/>
          <w:divBdr>
            <w:top w:val="none" w:sz="0" w:space="0" w:color="auto"/>
            <w:left w:val="none" w:sz="0" w:space="0" w:color="auto"/>
            <w:bottom w:val="none" w:sz="0" w:space="0" w:color="auto"/>
            <w:right w:val="none" w:sz="0" w:space="0" w:color="auto"/>
          </w:divBdr>
        </w:div>
        <w:div w:id="809900750">
          <w:marLeft w:val="640"/>
          <w:marRight w:val="0"/>
          <w:marTop w:val="0"/>
          <w:marBottom w:val="0"/>
          <w:divBdr>
            <w:top w:val="none" w:sz="0" w:space="0" w:color="auto"/>
            <w:left w:val="none" w:sz="0" w:space="0" w:color="auto"/>
            <w:bottom w:val="none" w:sz="0" w:space="0" w:color="auto"/>
            <w:right w:val="none" w:sz="0" w:space="0" w:color="auto"/>
          </w:divBdr>
        </w:div>
        <w:div w:id="1927224410">
          <w:marLeft w:val="640"/>
          <w:marRight w:val="0"/>
          <w:marTop w:val="0"/>
          <w:marBottom w:val="0"/>
          <w:divBdr>
            <w:top w:val="none" w:sz="0" w:space="0" w:color="auto"/>
            <w:left w:val="none" w:sz="0" w:space="0" w:color="auto"/>
            <w:bottom w:val="none" w:sz="0" w:space="0" w:color="auto"/>
            <w:right w:val="none" w:sz="0" w:space="0" w:color="auto"/>
          </w:divBdr>
        </w:div>
        <w:div w:id="921377491">
          <w:marLeft w:val="640"/>
          <w:marRight w:val="0"/>
          <w:marTop w:val="0"/>
          <w:marBottom w:val="0"/>
          <w:divBdr>
            <w:top w:val="none" w:sz="0" w:space="0" w:color="auto"/>
            <w:left w:val="none" w:sz="0" w:space="0" w:color="auto"/>
            <w:bottom w:val="none" w:sz="0" w:space="0" w:color="auto"/>
            <w:right w:val="none" w:sz="0" w:space="0" w:color="auto"/>
          </w:divBdr>
        </w:div>
        <w:div w:id="491069406">
          <w:marLeft w:val="640"/>
          <w:marRight w:val="0"/>
          <w:marTop w:val="0"/>
          <w:marBottom w:val="0"/>
          <w:divBdr>
            <w:top w:val="none" w:sz="0" w:space="0" w:color="auto"/>
            <w:left w:val="none" w:sz="0" w:space="0" w:color="auto"/>
            <w:bottom w:val="none" w:sz="0" w:space="0" w:color="auto"/>
            <w:right w:val="none" w:sz="0" w:space="0" w:color="auto"/>
          </w:divBdr>
        </w:div>
        <w:div w:id="589968006">
          <w:marLeft w:val="640"/>
          <w:marRight w:val="0"/>
          <w:marTop w:val="0"/>
          <w:marBottom w:val="0"/>
          <w:divBdr>
            <w:top w:val="none" w:sz="0" w:space="0" w:color="auto"/>
            <w:left w:val="none" w:sz="0" w:space="0" w:color="auto"/>
            <w:bottom w:val="none" w:sz="0" w:space="0" w:color="auto"/>
            <w:right w:val="none" w:sz="0" w:space="0" w:color="auto"/>
          </w:divBdr>
        </w:div>
        <w:div w:id="1193231033">
          <w:marLeft w:val="640"/>
          <w:marRight w:val="0"/>
          <w:marTop w:val="0"/>
          <w:marBottom w:val="0"/>
          <w:divBdr>
            <w:top w:val="none" w:sz="0" w:space="0" w:color="auto"/>
            <w:left w:val="none" w:sz="0" w:space="0" w:color="auto"/>
            <w:bottom w:val="none" w:sz="0" w:space="0" w:color="auto"/>
            <w:right w:val="none" w:sz="0" w:space="0" w:color="auto"/>
          </w:divBdr>
        </w:div>
        <w:div w:id="1159468071">
          <w:marLeft w:val="640"/>
          <w:marRight w:val="0"/>
          <w:marTop w:val="0"/>
          <w:marBottom w:val="0"/>
          <w:divBdr>
            <w:top w:val="none" w:sz="0" w:space="0" w:color="auto"/>
            <w:left w:val="none" w:sz="0" w:space="0" w:color="auto"/>
            <w:bottom w:val="none" w:sz="0" w:space="0" w:color="auto"/>
            <w:right w:val="none" w:sz="0" w:space="0" w:color="auto"/>
          </w:divBdr>
        </w:div>
        <w:div w:id="422914758">
          <w:marLeft w:val="640"/>
          <w:marRight w:val="0"/>
          <w:marTop w:val="0"/>
          <w:marBottom w:val="0"/>
          <w:divBdr>
            <w:top w:val="none" w:sz="0" w:space="0" w:color="auto"/>
            <w:left w:val="none" w:sz="0" w:space="0" w:color="auto"/>
            <w:bottom w:val="none" w:sz="0" w:space="0" w:color="auto"/>
            <w:right w:val="none" w:sz="0" w:space="0" w:color="auto"/>
          </w:divBdr>
        </w:div>
        <w:div w:id="1982036934">
          <w:marLeft w:val="640"/>
          <w:marRight w:val="0"/>
          <w:marTop w:val="0"/>
          <w:marBottom w:val="0"/>
          <w:divBdr>
            <w:top w:val="none" w:sz="0" w:space="0" w:color="auto"/>
            <w:left w:val="none" w:sz="0" w:space="0" w:color="auto"/>
            <w:bottom w:val="none" w:sz="0" w:space="0" w:color="auto"/>
            <w:right w:val="none" w:sz="0" w:space="0" w:color="auto"/>
          </w:divBdr>
        </w:div>
        <w:div w:id="1982231502">
          <w:marLeft w:val="640"/>
          <w:marRight w:val="0"/>
          <w:marTop w:val="0"/>
          <w:marBottom w:val="0"/>
          <w:divBdr>
            <w:top w:val="none" w:sz="0" w:space="0" w:color="auto"/>
            <w:left w:val="none" w:sz="0" w:space="0" w:color="auto"/>
            <w:bottom w:val="none" w:sz="0" w:space="0" w:color="auto"/>
            <w:right w:val="none" w:sz="0" w:space="0" w:color="auto"/>
          </w:divBdr>
        </w:div>
        <w:div w:id="1161504800">
          <w:marLeft w:val="640"/>
          <w:marRight w:val="0"/>
          <w:marTop w:val="0"/>
          <w:marBottom w:val="0"/>
          <w:divBdr>
            <w:top w:val="none" w:sz="0" w:space="0" w:color="auto"/>
            <w:left w:val="none" w:sz="0" w:space="0" w:color="auto"/>
            <w:bottom w:val="none" w:sz="0" w:space="0" w:color="auto"/>
            <w:right w:val="none" w:sz="0" w:space="0" w:color="auto"/>
          </w:divBdr>
        </w:div>
        <w:div w:id="1636637323">
          <w:marLeft w:val="640"/>
          <w:marRight w:val="0"/>
          <w:marTop w:val="0"/>
          <w:marBottom w:val="0"/>
          <w:divBdr>
            <w:top w:val="none" w:sz="0" w:space="0" w:color="auto"/>
            <w:left w:val="none" w:sz="0" w:space="0" w:color="auto"/>
            <w:bottom w:val="none" w:sz="0" w:space="0" w:color="auto"/>
            <w:right w:val="none" w:sz="0" w:space="0" w:color="auto"/>
          </w:divBdr>
        </w:div>
        <w:div w:id="1369646651">
          <w:marLeft w:val="640"/>
          <w:marRight w:val="0"/>
          <w:marTop w:val="0"/>
          <w:marBottom w:val="0"/>
          <w:divBdr>
            <w:top w:val="none" w:sz="0" w:space="0" w:color="auto"/>
            <w:left w:val="none" w:sz="0" w:space="0" w:color="auto"/>
            <w:bottom w:val="none" w:sz="0" w:space="0" w:color="auto"/>
            <w:right w:val="none" w:sz="0" w:space="0" w:color="auto"/>
          </w:divBdr>
        </w:div>
        <w:div w:id="1251618798">
          <w:marLeft w:val="640"/>
          <w:marRight w:val="0"/>
          <w:marTop w:val="0"/>
          <w:marBottom w:val="0"/>
          <w:divBdr>
            <w:top w:val="none" w:sz="0" w:space="0" w:color="auto"/>
            <w:left w:val="none" w:sz="0" w:space="0" w:color="auto"/>
            <w:bottom w:val="none" w:sz="0" w:space="0" w:color="auto"/>
            <w:right w:val="none" w:sz="0" w:space="0" w:color="auto"/>
          </w:divBdr>
        </w:div>
        <w:div w:id="1174954944">
          <w:marLeft w:val="640"/>
          <w:marRight w:val="0"/>
          <w:marTop w:val="0"/>
          <w:marBottom w:val="0"/>
          <w:divBdr>
            <w:top w:val="none" w:sz="0" w:space="0" w:color="auto"/>
            <w:left w:val="none" w:sz="0" w:space="0" w:color="auto"/>
            <w:bottom w:val="none" w:sz="0" w:space="0" w:color="auto"/>
            <w:right w:val="none" w:sz="0" w:space="0" w:color="auto"/>
          </w:divBdr>
        </w:div>
        <w:div w:id="1396666481">
          <w:marLeft w:val="640"/>
          <w:marRight w:val="0"/>
          <w:marTop w:val="0"/>
          <w:marBottom w:val="0"/>
          <w:divBdr>
            <w:top w:val="none" w:sz="0" w:space="0" w:color="auto"/>
            <w:left w:val="none" w:sz="0" w:space="0" w:color="auto"/>
            <w:bottom w:val="none" w:sz="0" w:space="0" w:color="auto"/>
            <w:right w:val="none" w:sz="0" w:space="0" w:color="auto"/>
          </w:divBdr>
        </w:div>
        <w:div w:id="1284461675">
          <w:marLeft w:val="640"/>
          <w:marRight w:val="0"/>
          <w:marTop w:val="0"/>
          <w:marBottom w:val="0"/>
          <w:divBdr>
            <w:top w:val="none" w:sz="0" w:space="0" w:color="auto"/>
            <w:left w:val="none" w:sz="0" w:space="0" w:color="auto"/>
            <w:bottom w:val="none" w:sz="0" w:space="0" w:color="auto"/>
            <w:right w:val="none" w:sz="0" w:space="0" w:color="auto"/>
          </w:divBdr>
        </w:div>
        <w:div w:id="686906324">
          <w:marLeft w:val="640"/>
          <w:marRight w:val="0"/>
          <w:marTop w:val="0"/>
          <w:marBottom w:val="0"/>
          <w:divBdr>
            <w:top w:val="none" w:sz="0" w:space="0" w:color="auto"/>
            <w:left w:val="none" w:sz="0" w:space="0" w:color="auto"/>
            <w:bottom w:val="none" w:sz="0" w:space="0" w:color="auto"/>
            <w:right w:val="none" w:sz="0" w:space="0" w:color="auto"/>
          </w:divBdr>
        </w:div>
        <w:div w:id="55782486">
          <w:marLeft w:val="640"/>
          <w:marRight w:val="0"/>
          <w:marTop w:val="0"/>
          <w:marBottom w:val="0"/>
          <w:divBdr>
            <w:top w:val="none" w:sz="0" w:space="0" w:color="auto"/>
            <w:left w:val="none" w:sz="0" w:space="0" w:color="auto"/>
            <w:bottom w:val="none" w:sz="0" w:space="0" w:color="auto"/>
            <w:right w:val="none" w:sz="0" w:space="0" w:color="auto"/>
          </w:divBdr>
        </w:div>
        <w:div w:id="1742949395">
          <w:marLeft w:val="640"/>
          <w:marRight w:val="0"/>
          <w:marTop w:val="0"/>
          <w:marBottom w:val="0"/>
          <w:divBdr>
            <w:top w:val="none" w:sz="0" w:space="0" w:color="auto"/>
            <w:left w:val="none" w:sz="0" w:space="0" w:color="auto"/>
            <w:bottom w:val="none" w:sz="0" w:space="0" w:color="auto"/>
            <w:right w:val="none" w:sz="0" w:space="0" w:color="auto"/>
          </w:divBdr>
        </w:div>
        <w:div w:id="118454530">
          <w:marLeft w:val="640"/>
          <w:marRight w:val="0"/>
          <w:marTop w:val="0"/>
          <w:marBottom w:val="0"/>
          <w:divBdr>
            <w:top w:val="none" w:sz="0" w:space="0" w:color="auto"/>
            <w:left w:val="none" w:sz="0" w:space="0" w:color="auto"/>
            <w:bottom w:val="none" w:sz="0" w:space="0" w:color="auto"/>
            <w:right w:val="none" w:sz="0" w:space="0" w:color="auto"/>
          </w:divBdr>
        </w:div>
        <w:div w:id="2088377615">
          <w:marLeft w:val="640"/>
          <w:marRight w:val="0"/>
          <w:marTop w:val="0"/>
          <w:marBottom w:val="0"/>
          <w:divBdr>
            <w:top w:val="none" w:sz="0" w:space="0" w:color="auto"/>
            <w:left w:val="none" w:sz="0" w:space="0" w:color="auto"/>
            <w:bottom w:val="none" w:sz="0" w:space="0" w:color="auto"/>
            <w:right w:val="none" w:sz="0" w:space="0" w:color="auto"/>
          </w:divBdr>
        </w:div>
        <w:div w:id="1576428245">
          <w:marLeft w:val="640"/>
          <w:marRight w:val="0"/>
          <w:marTop w:val="0"/>
          <w:marBottom w:val="0"/>
          <w:divBdr>
            <w:top w:val="none" w:sz="0" w:space="0" w:color="auto"/>
            <w:left w:val="none" w:sz="0" w:space="0" w:color="auto"/>
            <w:bottom w:val="none" w:sz="0" w:space="0" w:color="auto"/>
            <w:right w:val="none" w:sz="0" w:space="0" w:color="auto"/>
          </w:divBdr>
        </w:div>
        <w:div w:id="750547987">
          <w:marLeft w:val="640"/>
          <w:marRight w:val="0"/>
          <w:marTop w:val="0"/>
          <w:marBottom w:val="0"/>
          <w:divBdr>
            <w:top w:val="none" w:sz="0" w:space="0" w:color="auto"/>
            <w:left w:val="none" w:sz="0" w:space="0" w:color="auto"/>
            <w:bottom w:val="none" w:sz="0" w:space="0" w:color="auto"/>
            <w:right w:val="none" w:sz="0" w:space="0" w:color="auto"/>
          </w:divBdr>
        </w:div>
        <w:div w:id="424615475">
          <w:marLeft w:val="640"/>
          <w:marRight w:val="0"/>
          <w:marTop w:val="0"/>
          <w:marBottom w:val="0"/>
          <w:divBdr>
            <w:top w:val="none" w:sz="0" w:space="0" w:color="auto"/>
            <w:left w:val="none" w:sz="0" w:space="0" w:color="auto"/>
            <w:bottom w:val="none" w:sz="0" w:space="0" w:color="auto"/>
            <w:right w:val="none" w:sz="0" w:space="0" w:color="auto"/>
          </w:divBdr>
        </w:div>
        <w:div w:id="558245141">
          <w:marLeft w:val="640"/>
          <w:marRight w:val="0"/>
          <w:marTop w:val="0"/>
          <w:marBottom w:val="0"/>
          <w:divBdr>
            <w:top w:val="none" w:sz="0" w:space="0" w:color="auto"/>
            <w:left w:val="none" w:sz="0" w:space="0" w:color="auto"/>
            <w:bottom w:val="none" w:sz="0" w:space="0" w:color="auto"/>
            <w:right w:val="none" w:sz="0" w:space="0" w:color="auto"/>
          </w:divBdr>
        </w:div>
        <w:div w:id="404109198">
          <w:marLeft w:val="640"/>
          <w:marRight w:val="0"/>
          <w:marTop w:val="0"/>
          <w:marBottom w:val="0"/>
          <w:divBdr>
            <w:top w:val="none" w:sz="0" w:space="0" w:color="auto"/>
            <w:left w:val="none" w:sz="0" w:space="0" w:color="auto"/>
            <w:bottom w:val="none" w:sz="0" w:space="0" w:color="auto"/>
            <w:right w:val="none" w:sz="0" w:space="0" w:color="auto"/>
          </w:divBdr>
        </w:div>
        <w:div w:id="1800225395">
          <w:marLeft w:val="640"/>
          <w:marRight w:val="0"/>
          <w:marTop w:val="0"/>
          <w:marBottom w:val="0"/>
          <w:divBdr>
            <w:top w:val="none" w:sz="0" w:space="0" w:color="auto"/>
            <w:left w:val="none" w:sz="0" w:space="0" w:color="auto"/>
            <w:bottom w:val="none" w:sz="0" w:space="0" w:color="auto"/>
            <w:right w:val="none" w:sz="0" w:space="0" w:color="auto"/>
          </w:divBdr>
        </w:div>
        <w:div w:id="1451049866">
          <w:marLeft w:val="640"/>
          <w:marRight w:val="0"/>
          <w:marTop w:val="0"/>
          <w:marBottom w:val="0"/>
          <w:divBdr>
            <w:top w:val="none" w:sz="0" w:space="0" w:color="auto"/>
            <w:left w:val="none" w:sz="0" w:space="0" w:color="auto"/>
            <w:bottom w:val="none" w:sz="0" w:space="0" w:color="auto"/>
            <w:right w:val="none" w:sz="0" w:space="0" w:color="auto"/>
          </w:divBdr>
        </w:div>
        <w:div w:id="557671007">
          <w:marLeft w:val="640"/>
          <w:marRight w:val="0"/>
          <w:marTop w:val="0"/>
          <w:marBottom w:val="0"/>
          <w:divBdr>
            <w:top w:val="none" w:sz="0" w:space="0" w:color="auto"/>
            <w:left w:val="none" w:sz="0" w:space="0" w:color="auto"/>
            <w:bottom w:val="none" w:sz="0" w:space="0" w:color="auto"/>
            <w:right w:val="none" w:sz="0" w:space="0" w:color="auto"/>
          </w:divBdr>
        </w:div>
        <w:div w:id="1987120955">
          <w:marLeft w:val="640"/>
          <w:marRight w:val="0"/>
          <w:marTop w:val="0"/>
          <w:marBottom w:val="0"/>
          <w:divBdr>
            <w:top w:val="none" w:sz="0" w:space="0" w:color="auto"/>
            <w:left w:val="none" w:sz="0" w:space="0" w:color="auto"/>
            <w:bottom w:val="none" w:sz="0" w:space="0" w:color="auto"/>
            <w:right w:val="none" w:sz="0" w:space="0" w:color="auto"/>
          </w:divBdr>
        </w:div>
        <w:div w:id="1756786212">
          <w:marLeft w:val="640"/>
          <w:marRight w:val="0"/>
          <w:marTop w:val="0"/>
          <w:marBottom w:val="0"/>
          <w:divBdr>
            <w:top w:val="none" w:sz="0" w:space="0" w:color="auto"/>
            <w:left w:val="none" w:sz="0" w:space="0" w:color="auto"/>
            <w:bottom w:val="none" w:sz="0" w:space="0" w:color="auto"/>
            <w:right w:val="none" w:sz="0" w:space="0" w:color="auto"/>
          </w:divBdr>
        </w:div>
        <w:div w:id="51657507">
          <w:marLeft w:val="640"/>
          <w:marRight w:val="0"/>
          <w:marTop w:val="0"/>
          <w:marBottom w:val="0"/>
          <w:divBdr>
            <w:top w:val="none" w:sz="0" w:space="0" w:color="auto"/>
            <w:left w:val="none" w:sz="0" w:space="0" w:color="auto"/>
            <w:bottom w:val="none" w:sz="0" w:space="0" w:color="auto"/>
            <w:right w:val="none" w:sz="0" w:space="0" w:color="auto"/>
          </w:divBdr>
        </w:div>
        <w:div w:id="1057894394">
          <w:marLeft w:val="640"/>
          <w:marRight w:val="0"/>
          <w:marTop w:val="0"/>
          <w:marBottom w:val="0"/>
          <w:divBdr>
            <w:top w:val="none" w:sz="0" w:space="0" w:color="auto"/>
            <w:left w:val="none" w:sz="0" w:space="0" w:color="auto"/>
            <w:bottom w:val="none" w:sz="0" w:space="0" w:color="auto"/>
            <w:right w:val="none" w:sz="0" w:space="0" w:color="auto"/>
          </w:divBdr>
        </w:div>
        <w:div w:id="479925441">
          <w:marLeft w:val="640"/>
          <w:marRight w:val="0"/>
          <w:marTop w:val="0"/>
          <w:marBottom w:val="0"/>
          <w:divBdr>
            <w:top w:val="none" w:sz="0" w:space="0" w:color="auto"/>
            <w:left w:val="none" w:sz="0" w:space="0" w:color="auto"/>
            <w:bottom w:val="none" w:sz="0" w:space="0" w:color="auto"/>
            <w:right w:val="none" w:sz="0" w:space="0" w:color="auto"/>
          </w:divBdr>
        </w:div>
        <w:div w:id="743844984">
          <w:marLeft w:val="640"/>
          <w:marRight w:val="0"/>
          <w:marTop w:val="0"/>
          <w:marBottom w:val="0"/>
          <w:divBdr>
            <w:top w:val="none" w:sz="0" w:space="0" w:color="auto"/>
            <w:left w:val="none" w:sz="0" w:space="0" w:color="auto"/>
            <w:bottom w:val="none" w:sz="0" w:space="0" w:color="auto"/>
            <w:right w:val="none" w:sz="0" w:space="0" w:color="auto"/>
          </w:divBdr>
        </w:div>
        <w:div w:id="255141120">
          <w:marLeft w:val="640"/>
          <w:marRight w:val="0"/>
          <w:marTop w:val="0"/>
          <w:marBottom w:val="0"/>
          <w:divBdr>
            <w:top w:val="none" w:sz="0" w:space="0" w:color="auto"/>
            <w:left w:val="none" w:sz="0" w:space="0" w:color="auto"/>
            <w:bottom w:val="none" w:sz="0" w:space="0" w:color="auto"/>
            <w:right w:val="none" w:sz="0" w:space="0" w:color="auto"/>
          </w:divBdr>
        </w:div>
        <w:div w:id="2055352835">
          <w:marLeft w:val="640"/>
          <w:marRight w:val="0"/>
          <w:marTop w:val="0"/>
          <w:marBottom w:val="0"/>
          <w:divBdr>
            <w:top w:val="none" w:sz="0" w:space="0" w:color="auto"/>
            <w:left w:val="none" w:sz="0" w:space="0" w:color="auto"/>
            <w:bottom w:val="none" w:sz="0" w:space="0" w:color="auto"/>
            <w:right w:val="none" w:sz="0" w:space="0" w:color="auto"/>
          </w:divBdr>
        </w:div>
        <w:div w:id="1096562831">
          <w:marLeft w:val="640"/>
          <w:marRight w:val="0"/>
          <w:marTop w:val="0"/>
          <w:marBottom w:val="0"/>
          <w:divBdr>
            <w:top w:val="none" w:sz="0" w:space="0" w:color="auto"/>
            <w:left w:val="none" w:sz="0" w:space="0" w:color="auto"/>
            <w:bottom w:val="none" w:sz="0" w:space="0" w:color="auto"/>
            <w:right w:val="none" w:sz="0" w:space="0" w:color="auto"/>
          </w:divBdr>
        </w:div>
        <w:div w:id="1489327831">
          <w:marLeft w:val="640"/>
          <w:marRight w:val="0"/>
          <w:marTop w:val="0"/>
          <w:marBottom w:val="0"/>
          <w:divBdr>
            <w:top w:val="none" w:sz="0" w:space="0" w:color="auto"/>
            <w:left w:val="none" w:sz="0" w:space="0" w:color="auto"/>
            <w:bottom w:val="none" w:sz="0" w:space="0" w:color="auto"/>
            <w:right w:val="none" w:sz="0" w:space="0" w:color="auto"/>
          </w:divBdr>
        </w:div>
        <w:div w:id="439381145">
          <w:marLeft w:val="640"/>
          <w:marRight w:val="0"/>
          <w:marTop w:val="0"/>
          <w:marBottom w:val="0"/>
          <w:divBdr>
            <w:top w:val="none" w:sz="0" w:space="0" w:color="auto"/>
            <w:left w:val="none" w:sz="0" w:space="0" w:color="auto"/>
            <w:bottom w:val="none" w:sz="0" w:space="0" w:color="auto"/>
            <w:right w:val="none" w:sz="0" w:space="0" w:color="auto"/>
          </w:divBdr>
        </w:div>
        <w:div w:id="1497111150">
          <w:marLeft w:val="640"/>
          <w:marRight w:val="0"/>
          <w:marTop w:val="0"/>
          <w:marBottom w:val="0"/>
          <w:divBdr>
            <w:top w:val="none" w:sz="0" w:space="0" w:color="auto"/>
            <w:left w:val="none" w:sz="0" w:space="0" w:color="auto"/>
            <w:bottom w:val="none" w:sz="0" w:space="0" w:color="auto"/>
            <w:right w:val="none" w:sz="0" w:space="0" w:color="auto"/>
          </w:divBdr>
        </w:div>
        <w:div w:id="124202606">
          <w:marLeft w:val="640"/>
          <w:marRight w:val="0"/>
          <w:marTop w:val="0"/>
          <w:marBottom w:val="0"/>
          <w:divBdr>
            <w:top w:val="none" w:sz="0" w:space="0" w:color="auto"/>
            <w:left w:val="none" w:sz="0" w:space="0" w:color="auto"/>
            <w:bottom w:val="none" w:sz="0" w:space="0" w:color="auto"/>
            <w:right w:val="none" w:sz="0" w:space="0" w:color="auto"/>
          </w:divBdr>
        </w:div>
        <w:div w:id="1275865994">
          <w:marLeft w:val="640"/>
          <w:marRight w:val="0"/>
          <w:marTop w:val="0"/>
          <w:marBottom w:val="0"/>
          <w:divBdr>
            <w:top w:val="none" w:sz="0" w:space="0" w:color="auto"/>
            <w:left w:val="none" w:sz="0" w:space="0" w:color="auto"/>
            <w:bottom w:val="none" w:sz="0" w:space="0" w:color="auto"/>
            <w:right w:val="none" w:sz="0" w:space="0" w:color="auto"/>
          </w:divBdr>
        </w:div>
        <w:div w:id="1910843953">
          <w:marLeft w:val="640"/>
          <w:marRight w:val="0"/>
          <w:marTop w:val="0"/>
          <w:marBottom w:val="0"/>
          <w:divBdr>
            <w:top w:val="none" w:sz="0" w:space="0" w:color="auto"/>
            <w:left w:val="none" w:sz="0" w:space="0" w:color="auto"/>
            <w:bottom w:val="none" w:sz="0" w:space="0" w:color="auto"/>
            <w:right w:val="none" w:sz="0" w:space="0" w:color="auto"/>
          </w:divBdr>
        </w:div>
        <w:div w:id="539979815">
          <w:marLeft w:val="640"/>
          <w:marRight w:val="0"/>
          <w:marTop w:val="0"/>
          <w:marBottom w:val="0"/>
          <w:divBdr>
            <w:top w:val="none" w:sz="0" w:space="0" w:color="auto"/>
            <w:left w:val="none" w:sz="0" w:space="0" w:color="auto"/>
            <w:bottom w:val="none" w:sz="0" w:space="0" w:color="auto"/>
            <w:right w:val="none" w:sz="0" w:space="0" w:color="auto"/>
          </w:divBdr>
        </w:div>
        <w:div w:id="888956730">
          <w:marLeft w:val="640"/>
          <w:marRight w:val="0"/>
          <w:marTop w:val="0"/>
          <w:marBottom w:val="0"/>
          <w:divBdr>
            <w:top w:val="none" w:sz="0" w:space="0" w:color="auto"/>
            <w:left w:val="none" w:sz="0" w:space="0" w:color="auto"/>
            <w:bottom w:val="none" w:sz="0" w:space="0" w:color="auto"/>
            <w:right w:val="none" w:sz="0" w:space="0" w:color="auto"/>
          </w:divBdr>
        </w:div>
        <w:div w:id="1174761612">
          <w:marLeft w:val="640"/>
          <w:marRight w:val="0"/>
          <w:marTop w:val="0"/>
          <w:marBottom w:val="0"/>
          <w:divBdr>
            <w:top w:val="none" w:sz="0" w:space="0" w:color="auto"/>
            <w:left w:val="none" w:sz="0" w:space="0" w:color="auto"/>
            <w:bottom w:val="none" w:sz="0" w:space="0" w:color="auto"/>
            <w:right w:val="none" w:sz="0" w:space="0" w:color="auto"/>
          </w:divBdr>
        </w:div>
        <w:div w:id="1337922605">
          <w:marLeft w:val="640"/>
          <w:marRight w:val="0"/>
          <w:marTop w:val="0"/>
          <w:marBottom w:val="0"/>
          <w:divBdr>
            <w:top w:val="none" w:sz="0" w:space="0" w:color="auto"/>
            <w:left w:val="none" w:sz="0" w:space="0" w:color="auto"/>
            <w:bottom w:val="none" w:sz="0" w:space="0" w:color="auto"/>
            <w:right w:val="none" w:sz="0" w:space="0" w:color="auto"/>
          </w:divBdr>
        </w:div>
        <w:div w:id="454181835">
          <w:marLeft w:val="640"/>
          <w:marRight w:val="0"/>
          <w:marTop w:val="0"/>
          <w:marBottom w:val="0"/>
          <w:divBdr>
            <w:top w:val="none" w:sz="0" w:space="0" w:color="auto"/>
            <w:left w:val="none" w:sz="0" w:space="0" w:color="auto"/>
            <w:bottom w:val="none" w:sz="0" w:space="0" w:color="auto"/>
            <w:right w:val="none" w:sz="0" w:space="0" w:color="auto"/>
          </w:divBdr>
        </w:div>
        <w:div w:id="1681271926">
          <w:marLeft w:val="640"/>
          <w:marRight w:val="0"/>
          <w:marTop w:val="0"/>
          <w:marBottom w:val="0"/>
          <w:divBdr>
            <w:top w:val="none" w:sz="0" w:space="0" w:color="auto"/>
            <w:left w:val="none" w:sz="0" w:space="0" w:color="auto"/>
            <w:bottom w:val="none" w:sz="0" w:space="0" w:color="auto"/>
            <w:right w:val="none" w:sz="0" w:space="0" w:color="auto"/>
          </w:divBdr>
        </w:div>
        <w:div w:id="1303803706">
          <w:marLeft w:val="640"/>
          <w:marRight w:val="0"/>
          <w:marTop w:val="0"/>
          <w:marBottom w:val="0"/>
          <w:divBdr>
            <w:top w:val="none" w:sz="0" w:space="0" w:color="auto"/>
            <w:left w:val="none" w:sz="0" w:space="0" w:color="auto"/>
            <w:bottom w:val="none" w:sz="0" w:space="0" w:color="auto"/>
            <w:right w:val="none" w:sz="0" w:space="0" w:color="auto"/>
          </w:divBdr>
        </w:div>
        <w:div w:id="164371187">
          <w:marLeft w:val="640"/>
          <w:marRight w:val="0"/>
          <w:marTop w:val="0"/>
          <w:marBottom w:val="0"/>
          <w:divBdr>
            <w:top w:val="none" w:sz="0" w:space="0" w:color="auto"/>
            <w:left w:val="none" w:sz="0" w:space="0" w:color="auto"/>
            <w:bottom w:val="none" w:sz="0" w:space="0" w:color="auto"/>
            <w:right w:val="none" w:sz="0" w:space="0" w:color="auto"/>
          </w:divBdr>
        </w:div>
        <w:div w:id="1581057966">
          <w:marLeft w:val="640"/>
          <w:marRight w:val="0"/>
          <w:marTop w:val="0"/>
          <w:marBottom w:val="0"/>
          <w:divBdr>
            <w:top w:val="none" w:sz="0" w:space="0" w:color="auto"/>
            <w:left w:val="none" w:sz="0" w:space="0" w:color="auto"/>
            <w:bottom w:val="none" w:sz="0" w:space="0" w:color="auto"/>
            <w:right w:val="none" w:sz="0" w:space="0" w:color="auto"/>
          </w:divBdr>
        </w:div>
        <w:div w:id="803038071">
          <w:marLeft w:val="640"/>
          <w:marRight w:val="0"/>
          <w:marTop w:val="0"/>
          <w:marBottom w:val="0"/>
          <w:divBdr>
            <w:top w:val="none" w:sz="0" w:space="0" w:color="auto"/>
            <w:left w:val="none" w:sz="0" w:space="0" w:color="auto"/>
            <w:bottom w:val="none" w:sz="0" w:space="0" w:color="auto"/>
            <w:right w:val="none" w:sz="0" w:space="0" w:color="auto"/>
          </w:divBdr>
        </w:div>
        <w:div w:id="30614074">
          <w:marLeft w:val="640"/>
          <w:marRight w:val="0"/>
          <w:marTop w:val="0"/>
          <w:marBottom w:val="0"/>
          <w:divBdr>
            <w:top w:val="none" w:sz="0" w:space="0" w:color="auto"/>
            <w:left w:val="none" w:sz="0" w:space="0" w:color="auto"/>
            <w:bottom w:val="none" w:sz="0" w:space="0" w:color="auto"/>
            <w:right w:val="none" w:sz="0" w:space="0" w:color="auto"/>
          </w:divBdr>
        </w:div>
        <w:div w:id="691807644">
          <w:marLeft w:val="640"/>
          <w:marRight w:val="0"/>
          <w:marTop w:val="0"/>
          <w:marBottom w:val="0"/>
          <w:divBdr>
            <w:top w:val="none" w:sz="0" w:space="0" w:color="auto"/>
            <w:left w:val="none" w:sz="0" w:space="0" w:color="auto"/>
            <w:bottom w:val="none" w:sz="0" w:space="0" w:color="auto"/>
            <w:right w:val="none" w:sz="0" w:space="0" w:color="auto"/>
          </w:divBdr>
        </w:div>
        <w:div w:id="1933775919">
          <w:marLeft w:val="640"/>
          <w:marRight w:val="0"/>
          <w:marTop w:val="0"/>
          <w:marBottom w:val="0"/>
          <w:divBdr>
            <w:top w:val="none" w:sz="0" w:space="0" w:color="auto"/>
            <w:left w:val="none" w:sz="0" w:space="0" w:color="auto"/>
            <w:bottom w:val="none" w:sz="0" w:space="0" w:color="auto"/>
            <w:right w:val="none" w:sz="0" w:space="0" w:color="auto"/>
          </w:divBdr>
        </w:div>
        <w:div w:id="1301888347">
          <w:marLeft w:val="640"/>
          <w:marRight w:val="0"/>
          <w:marTop w:val="0"/>
          <w:marBottom w:val="0"/>
          <w:divBdr>
            <w:top w:val="none" w:sz="0" w:space="0" w:color="auto"/>
            <w:left w:val="none" w:sz="0" w:space="0" w:color="auto"/>
            <w:bottom w:val="none" w:sz="0" w:space="0" w:color="auto"/>
            <w:right w:val="none" w:sz="0" w:space="0" w:color="auto"/>
          </w:divBdr>
        </w:div>
        <w:div w:id="1967734950">
          <w:marLeft w:val="640"/>
          <w:marRight w:val="0"/>
          <w:marTop w:val="0"/>
          <w:marBottom w:val="0"/>
          <w:divBdr>
            <w:top w:val="none" w:sz="0" w:space="0" w:color="auto"/>
            <w:left w:val="none" w:sz="0" w:space="0" w:color="auto"/>
            <w:bottom w:val="none" w:sz="0" w:space="0" w:color="auto"/>
            <w:right w:val="none" w:sz="0" w:space="0" w:color="auto"/>
          </w:divBdr>
        </w:div>
        <w:div w:id="920407197">
          <w:marLeft w:val="640"/>
          <w:marRight w:val="0"/>
          <w:marTop w:val="0"/>
          <w:marBottom w:val="0"/>
          <w:divBdr>
            <w:top w:val="none" w:sz="0" w:space="0" w:color="auto"/>
            <w:left w:val="none" w:sz="0" w:space="0" w:color="auto"/>
            <w:bottom w:val="none" w:sz="0" w:space="0" w:color="auto"/>
            <w:right w:val="none" w:sz="0" w:space="0" w:color="auto"/>
          </w:divBdr>
        </w:div>
        <w:div w:id="1035082596">
          <w:marLeft w:val="640"/>
          <w:marRight w:val="0"/>
          <w:marTop w:val="0"/>
          <w:marBottom w:val="0"/>
          <w:divBdr>
            <w:top w:val="none" w:sz="0" w:space="0" w:color="auto"/>
            <w:left w:val="none" w:sz="0" w:space="0" w:color="auto"/>
            <w:bottom w:val="none" w:sz="0" w:space="0" w:color="auto"/>
            <w:right w:val="none" w:sz="0" w:space="0" w:color="auto"/>
          </w:divBdr>
        </w:div>
        <w:div w:id="1744836959">
          <w:marLeft w:val="640"/>
          <w:marRight w:val="0"/>
          <w:marTop w:val="0"/>
          <w:marBottom w:val="0"/>
          <w:divBdr>
            <w:top w:val="none" w:sz="0" w:space="0" w:color="auto"/>
            <w:left w:val="none" w:sz="0" w:space="0" w:color="auto"/>
            <w:bottom w:val="none" w:sz="0" w:space="0" w:color="auto"/>
            <w:right w:val="none" w:sz="0" w:space="0" w:color="auto"/>
          </w:divBdr>
        </w:div>
        <w:div w:id="1422947687">
          <w:marLeft w:val="640"/>
          <w:marRight w:val="0"/>
          <w:marTop w:val="0"/>
          <w:marBottom w:val="0"/>
          <w:divBdr>
            <w:top w:val="none" w:sz="0" w:space="0" w:color="auto"/>
            <w:left w:val="none" w:sz="0" w:space="0" w:color="auto"/>
            <w:bottom w:val="none" w:sz="0" w:space="0" w:color="auto"/>
            <w:right w:val="none" w:sz="0" w:space="0" w:color="auto"/>
          </w:divBdr>
        </w:div>
        <w:div w:id="185489337">
          <w:marLeft w:val="640"/>
          <w:marRight w:val="0"/>
          <w:marTop w:val="0"/>
          <w:marBottom w:val="0"/>
          <w:divBdr>
            <w:top w:val="none" w:sz="0" w:space="0" w:color="auto"/>
            <w:left w:val="none" w:sz="0" w:space="0" w:color="auto"/>
            <w:bottom w:val="none" w:sz="0" w:space="0" w:color="auto"/>
            <w:right w:val="none" w:sz="0" w:space="0" w:color="auto"/>
          </w:divBdr>
        </w:div>
        <w:div w:id="1816724471">
          <w:marLeft w:val="640"/>
          <w:marRight w:val="0"/>
          <w:marTop w:val="0"/>
          <w:marBottom w:val="0"/>
          <w:divBdr>
            <w:top w:val="none" w:sz="0" w:space="0" w:color="auto"/>
            <w:left w:val="none" w:sz="0" w:space="0" w:color="auto"/>
            <w:bottom w:val="none" w:sz="0" w:space="0" w:color="auto"/>
            <w:right w:val="none" w:sz="0" w:space="0" w:color="auto"/>
          </w:divBdr>
        </w:div>
        <w:div w:id="582496861">
          <w:marLeft w:val="640"/>
          <w:marRight w:val="0"/>
          <w:marTop w:val="0"/>
          <w:marBottom w:val="0"/>
          <w:divBdr>
            <w:top w:val="none" w:sz="0" w:space="0" w:color="auto"/>
            <w:left w:val="none" w:sz="0" w:space="0" w:color="auto"/>
            <w:bottom w:val="none" w:sz="0" w:space="0" w:color="auto"/>
            <w:right w:val="none" w:sz="0" w:space="0" w:color="auto"/>
          </w:divBdr>
        </w:div>
        <w:div w:id="1085423281">
          <w:marLeft w:val="640"/>
          <w:marRight w:val="0"/>
          <w:marTop w:val="0"/>
          <w:marBottom w:val="0"/>
          <w:divBdr>
            <w:top w:val="none" w:sz="0" w:space="0" w:color="auto"/>
            <w:left w:val="none" w:sz="0" w:space="0" w:color="auto"/>
            <w:bottom w:val="none" w:sz="0" w:space="0" w:color="auto"/>
            <w:right w:val="none" w:sz="0" w:space="0" w:color="auto"/>
          </w:divBdr>
        </w:div>
        <w:div w:id="349767393">
          <w:marLeft w:val="640"/>
          <w:marRight w:val="0"/>
          <w:marTop w:val="0"/>
          <w:marBottom w:val="0"/>
          <w:divBdr>
            <w:top w:val="none" w:sz="0" w:space="0" w:color="auto"/>
            <w:left w:val="none" w:sz="0" w:space="0" w:color="auto"/>
            <w:bottom w:val="none" w:sz="0" w:space="0" w:color="auto"/>
            <w:right w:val="none" w:sz="0" w:space="0" w:color="auto"/>
          </w:divBdr>
        </w:div>
        <w:div w:id="1728337748">
          <w:marLeft w:val="640"/>
          <w:marRight w:val="0"/>
          <w:marTop w:val="0"/>
          <w:marBottom w:val="0"/>
          <w:divBdr>
            <w:top w:val="none" w:sz="0" w:space="0" w:color="auto"/>
            <w:left w:val="none" w:sz="0" w:space="0" w:color="auto"/>
            <w:bottom w:val="none" w:sz="0" w:space="0" w:color="auto"/>
            <w:right w:val="none" w:sz="0" w:space="0" w:color="auto"/>
          </w:divBdr>
        </w:div>
        <w:div w:id="1425036799">
          <w:marLeft w:val="640"/>
          <w:marRight w:val="0"/>
          <w:marTop w:val="0"/>
          <w:marBottom w:val="0"/>
          <w:divBdr>
            <w:top w:val="none" w:sz="0" w:space="0" w:color="auto"/>
            <w:left w:val="none" w:sz="0" w:space="0" w:color="auto"/>
            <w:bottom w:val="none" w:sz="0" w:space="0" w:color="auto"/>
            <w:right w:val="none" w:sz="0" w:space="0" w:color="auto"/>
          </w:divBdr>
        </w:div>
        <w:div w:id="648558095">
          <w:marLeft w:val="640"/>
          <w:marRight w:val="0"/>
          <w:marTop w:val="0"/>
          <w:marBottom w:val="0"/>
          <w:divBdr>
            <w:top w:val="none" w:sz="0" w:space="0" w:color="auto"/>
            <w:left w:val="none" w:sz="0" w:space="0" w:color="auto"/>
            <w:bottom w:val="none" w:sz="0" w:space="0" w:color="auto"/>
            <w:right w:val="none" w:sz="0" w:space="0" w:color="auto"/>
          </w:divBdr>
        </w:div>
        <w:div w:id="1854146209">
          <w:marLeft w:val="640"/>
          <w:marRight w:val="0"/>
          <w:marTop w:val="0"/>
          <w:marBottom w:val="0"/>
          <w:divBdr>
            <w:top w:val="none" w:sz="0" w:space="0" w:color="auto"/>
            <w:left w:val="none" w:sz="0" w:space="0" w:color="auto"/>
            <w:bottom w:val="none" w:sz="0" w:space="0" w:color="auto"/>
            <w:right w:val="none" w:sz="0" w:space="0" w:color="auto"/>
          </w:divBdr>
        </w:div>
        <w:div w:id="1419399643">
          <w:marLeft w:val="640"/>
          <w:marRight w:val="0"/>
          <w:marTop w:val="0"/>
          <w:marBottom w:val="0"/>
          <w:divBdr>
            <w:top w:val="none" w:sz="0" w:space="0" w:color="auto"/>
            <w:left w:val="none" w:sz="0" w:space="0" w:color="auto"/>
            <w:bottom w:val="none" w:sz="0" w:space="0" w:color="auto"/>
            <w:right w:val="none" w:sz="0" w:space="0" w:color="auto"/>
          </w:divBdr>
        </w:div>
        <w:div w:id="1863349953">
          <w:marLeft w:val="640"/>
          <w:marRight w:val="0"/>
          <w:marTop w:val="0"/>
          <w:marBottom w:val="0"/>
          <w:divBdr>
            <w:top w:val="none" w:sz="0" w:space="0" w:color="auto"/>
            <w:left w:val="none" w:sz="0" w:space="0" w:color="auto"/>
            <w:bottom w:val="none" w:sz="0" w:space="0" w:color="auto"/>
            <w:right w:val="none" w:sz="0" w:space="0" w:color="auto"/>
          </w:divBdr>
        </w:div>
        <w:div w:id="2100560238">
          <w:marLeft w:val="640"/>
          <w:marRight w:val="0"/>
          <w:marTop w:val="0"/>
          <w:marBottom w:val="0"/>
          <w:divBdr>
            <w:top w:val="none" w:sz="0" w:space="0" w:color="auto"/>
            <w:left w:val="none" w:sz="0" w:space="0" w:color="auto"/>
            <w:bottom w:val="none" w:sz="0" w:space="0" w:color="auto"/>
            <w:right w:val="none" w:sz="0" w:space="0" w:color="auto"/>
          </w:divBdr>
        </w:div>
        <w:div w:id="1345589792">
          <w:marLeft w:val="640"/>
          <w:marRight w:val="0"/>
          <w:marTop w:val="0"/>
          <w:marBottom w:val="0"/>
          <w:divBdr>
            <w:top w:val="none" w:sz="0" w:space="0" w:color="auto"/>
            <w:left w:val="none" w:sz="0" w:space="0" w:color="auto"/>
            <w:bottom w:val="none" w:sz="0" w:space="0" w:color="auto"/>
            <w:right w:val="none" w:sz="0" w:space="0" w:color="auto"/>
          </w:divBdr>
        </w:div>
        <w:div w:id="1918592878">
          <w:marLeft w:val="640"/>
          <w:marRight w:val="0"/>
          <w:marTop w:val="0"/>
          <w:marBottom w:val="0"/>
          <w:divBdr>
            <w:top w:val="none" w:sz="0" w:space="0" w:color="auto"/>
            <w:left w:val="none" w:sz="0" w:space="0" w:color="auto"/>
            <w:bottom w:val="none" w:sz="0" w:space="0" w:color="auto"/>
            <w:right w:val="none" w:sz="0" w:space="0" w:color="auto"/>
          </w:divBdr>
        </w:div>
        <w:div w:id="491331133">
          <w:marLeft w:val="640"/>
          <w:marRight w:val="0"/>
          <w:marTop w:val="0"/>
          <w:marBottom w:val="0"/>
          <w:divBdr>
            <w:top w:val="none" w:sz="0" w:space="0" w:color="auto"/>
            <w:left w:val="none" w:sz="0" w:space="0" w:color="auto"/>
            <w:bottom w:val="none" w:sz="0" w:space="0" w:color="auto"/>
            <w:right w:val="none" w:sz="0" w:space="0" w:color="auto"/>
          </w:divBdr>
        </w:div>
        <w:div w:id="642663319">
          <w:marLeft w:val="640"/>
          <w:marRight w:val="0"/>
          <w:marTop w:val="0"/>
          <w:marBottom w:val="0"/>
          <w:divBdr>
            <w:top w:val="none" w:sz="0" w:space="0" w:color="auto"/>
            <w:left w:val="none" w:sz="0" w:space="0" w:color="auto"/>
            <w:bottom w:val="none" w:sz="0" w:space="0" w:color="auto"/>
            <w:right w:val="none" w:sz="0" w:space="0" w:color="auto"/>
          </w:divBdr>
        </w:div>
        <w:div w:id="275672710">
          <w:marLeft w:val="640"/>
          <w:marRight w:val="0"/>
          <w:marTop w:val="0"/>
          <w:marBottom w:val="0"/>
          <w:divBdr>
            <w:top w:val="none" w:sz="0" w:space="0" w:color="auto"/>
            <w:left w:val="none" w:sz="0" w:space="0" w:color="auto"/>
            <w:bottom w:val="none" w:sz="0" w:space="0" w:color="auto"/>
            <w:right w:val="none" w:sz="0" w:space="0" w:color="auto"/>
          </w:divBdr>
        </w:div>
        <w:div w:id="1151600973">
          <w:marLeft w:val="640"/>
          <w:marRight w:val="0"/>
          <w:marTop w:val="0"/>
          <w:marBottom w:val="0"/>
          <w:divBdr>
            <w:top w:val="none" w:sz="0" w:space="0" w:color="auto"/>
            <w:left w:val="none" w:sz="0" w:space="0" w:color="auto"/>
            <w:bottom w:val="none" w:sz="0" w:space="0" w:color="auto"/>
            <w:right w:val="none" w:sz="0" w:space="0" w:color="auto"/>
          </w:divBdr>
        </w:div>
        <w:div w:id="1825243520">
          <w:marLeft w:val="640"/>
          <w:marRight w:val="0"/>
          <w:marTop w:val="0"/>
          <w:marBottom w:val="0"/>
          <w:divBdr>
            <w:top w:val="none" w:sz="0" w:space="0" w:color="auto"/>
            <w:left w:val="none" w:sz="0" w:space="0" w:color="auto"/>
            <w:bottom w:val="none" w:sz="0" w:space="0" w:color="auto"/>
            <w:right w:val="none" w:sz="0" w:space="0" w:color="auto"/>
          </w:divBdr>
        </w:div>
        <w:div w:id="123042200">
          <w:marLeft w:val="640"/>
          <w:marRight w:val="0"/>
          <w:marTop w:val="0"/>
          <w:marBottom w:val="0"/>
          <w:divBdr>
            <w:top w:val="none" w:sz="0" w:space="0" w:color="auto"/>
            <w:left w:val="none" w:sz="0" w:space="0" w:color="auto"/>
            <w:bottom w:val="none" w:sz="0" w:space="0" w:color="auto"/>
            <w:right w:val="none" w:sz="0" w:space="0" w:color="auto"/>
          </w:divBdr>
        </w:div>
        <w:div w:id="1784416993">
          <w:marLeft w:val="640"/>
          <w:marRight w:val="0"/>
          <w:marTop w:val="0"/>
          <w:marBottom w:val="0"/>
          <w:divBdr>
            <w:top w:val="none" w:sz="0" w:space="0" w:color="auto"/>
            <w:left w:val="none" w:sz="0" w:space="0" w:color="auto"/>
            <w:bottom w:val="none" w:sz="0" w:space="0" w:color="auto"/>
            <w:right w:val="none" w:sz="0" w:space="0" w:color="auto"/>
          </w:divBdr>
        </w:div>
        <w:div w:id="1862041267">
          <w:marLeft w:val="640"/>
          <w:marRight w:val="0"/>
          <w:marTop w:val="0"/>
          <w:marBottom w:val="0"/>
          <w:divBdr>
            <w:top w:val="none" w:sz="0" w:space="0" w:color="auto"/>
            <w:left w:val="none" w:sz="0" w:space="0" w:color="auto"/>
            <w:bottom w:val="none" w:sz="0" w:space="0" w:color="auto"/>
            <w:right w:val="none" w:sz="0" w:space="0" w:color="auto"/>
          </w:divBdr>
        </w:div>
        <w:div w:id="1306619715">
          <w:marLeft w:val="640"/>
          <w:marRight w:val="0"/>
          <w:marTop w:val="0"/>
          <w:marBottom w:val="0"/>
          <w:divBdr>
            <w:top w:val="none" w:sz="0" w:space="0" w:color="auto"/>
            <w:left w:val="none" w:sz="0" w:space="0" w:color="auto"/>
            <w:bottom w:val="none" w:sz="0" w:space="0" w:color="auto"/>
            <w:right w:val="none" w:sz="0" w:space="0" w:color="auto"/>
          </w:divBdr>
        </w:div>
        <w:div w:id="237977776">
          <w:marLeft w:val="640"/>
          <w:marRight w:val="0"/>
          <w:marTop w:val="0"/>
          <w:marBottom w:val="0"/>
          <w:divBdr>
            <w:top w:val="none" w:sz="0" w:space="0" w:color="auto"/>
            <w:left w:val="none" w:sz="0" w:space="0" w:color="auto"/>
            <w:bottom w:val="none" w:sz="0" w:space="0" w:color="auto"/>
            <w:right w:val="none" w:sz="0" w:space="0" w:color="auto"/>
          </w:divBdr>
        </w:div>
        <w:div w:id="960496448">
          <w:marLeft w:val="640"/>
          <w:marRight w:val="0"/>
          <w:marTop w:val="0"/>
          <w:marBottom w:val="0"/>
          <w:divBdr>
            <w:top w:val="none" w:sz="0" w:space="0" w:color="auto"/>
            <w:left w:val="none" w:sz="0" w:space="0" w:color="auto"/>
            <w:bottom w:val="none" w:sz="0" w:space="0" w:color="auto"/>
            <w:right w:val="none" w:sz="0" w:space="0" w:color="auto"/>
          </w:divBdr>
        </w:div>
        <w:div w:id="617370796">
          <w:marLeft w:val="640"/>
          <w:marRight w:val="0"/>
          <w:marTop w:val="0"/>
          <w:marBottom w:val="0"/>
          <w:divBdr>
            <w:top w:val="none" w:sz="0" w:space="0" w:color="auto"/>
            <w:left w:val="none" w:sz="0" w:space="0" w:color="auto"/>
            <w:bottom w:val="none" w:sz="0" w:space="0" w:color="auto"/>
            <w:right w:val="none" w:sz="0" w:space="0" w:color="auto"/>
          </w:divBdr>
        </w:div>
        <w:div w:id="2048489011">
          <w:marLeft w:val="640"/>
          <w:marRight w:val="0"/>
          <w:marTop w:val="0"/>
          <w:marBottom w:val="0"/>
          <w:divBdr>
            <w:top w:val="none" w:sz="0" w:space="0" w:color="auto"/>
            <w:left w:val="none" w:sz="0" w:space="0" w:color="auto"/>
            <w:bottom w:val="none" w:sz="0" w:space="0" w:color="auto"/>
            <w:right w:val="none" w:sz="0" w:space="0" w:color="auto"/>
          </w:divBdr>
        </w:div>
        <w:div w:id="747964066">
          <w:marLeft w:val="640"/>
          <w:marRight w:val="0"/>
          <w:marTop w:val="0"/>
          <w:marBottom w:val="0"/>
          <w:divBdr>
            <w:top w:val="none" w:sz="0" w:space="0" w:color="auto"/>
            <w:left w:val="none" w:sz="0" w:space="0" w:color="auto"/>
            <w:bottom w:val="none" w:sz="0" w:space="0" w:color="auto"/>
            <w:right w:val="none" w:sz="0" w:space="0" w:color="auto"/>
          </w:divBdr>
        </w:div>
        <w:div w:id="1983075872">
          <w:marLeft w:val="640"/>
          <w:marRight w:val="0"/>
          <w:marTop w:val="0"/>
          <w:marBottom w:val="0"/>
          <w:divBdr>
            <w:top w:val="none" w:sz="0" w:space="0" w:color="auto"/>
            <w:left w:val="none" w:sz="0" w:space="0" w:color="auto"/>
            <w:bottom w:val="none" w:sz="0" w:space="0" w:color="auto"/>
            <w:right w:val="none" w:sz="0" w:space="0" w:color="auto"/>
          </w:divBdr>
        </w:div>
        <w:div w:id="449931885">
          <w:marLeft w:val="640"/>
          <w:marRight w:val="0"/>
          <w:marTop w:val="0"/>
          <w:marBottom w:val="0"/>
          <w:divBdr>
            <w:top w:val="none" w:sz="0" w:space="0" w:color="auto"/>
            <w:left w:val="none" w:sz="0" w:space="0" w:color="auto"/>
            <w:bottom w:val="none" w:sz="0" w:space="0" w:color="auto"/>
            <w:right w:val="none" w:sz="0" w:space="0" w:color="auto"/>
          </w:divBdr>
        </w:div>
        <w:div w:id="265038608">
          <w:marLeft w:val="640"/>
          <w:marRight w:val="0"/>
          <w:marTop w:val="0"/>
          <w:marBottom w:val="0"/>
          <w:divBdr>
            <w:top w:val="none" w:sz="0" w:space="0" w:color="auto"/>
            <w:left w:val="none" w:sz="0" w:space="0" w:color="auto"/>
            <w:bottom w:val="none" w:sz="0" w:space="0" w:color="auto"/>
            <w:right w:val="none" w:sz="0" w:space="0" w:color="auto"/>
          </w:divBdr>
        </w:div>
        <w:div w:id="370688525">
          <w:marLeft w:val="640"/>
          <w:marRight w:val="0"/>
          <w:marTop w:val="0"/>
          <w:marBottom w:val="0"/>
          <w:divBdr>
            <w:top w:val="none" w:sz="0" w:space="0" w:color="auto"/>
            <w:left w:val="none" w:sz="0" w:space="0" w:color="auto"/>
            <w:bottom w:val="none" w:sz="0" w:space="0" w:color="auto"/>
            <w:right w:val="none" w:sz="0" w:space="0" w:color="auto"/>
          </w:divBdr>
        </w:div>
        <w:div w:id="352190562">
          <w:marLeft w:val="640"/>
          <w:marRight w:val="0"/>
          <w:marTop w:val="0"/>
          <w:marBottom w:val="0"/>
          <w:divBdr>
            <w:top w:val="none" w:sz="0" w:space="0" w:color="auto"/>
            <w:left w:val="none" w:sz="0" w:space="0" w:color="auto"/>
            <w:bottom w:val="none" w:sz="0" w:space="0" w:color="auto"/>
            <w:right w:val="none" w:sz="0" w:space="0" w:color="auto"/>
          </w:divBdr>
        </w:div>
        <w:div w:id="980383615">
          <w:marLeft w:val="640"/>
          <w:marRight w:val="0"/>
          <w:marTop w:val="0"/>
          <w:marBottom w:val="0"/>
          <w:divBdr>
            <w:top w:val="none" w:sz="0" w:space="0" w:color="auto"/>
            <w:left w:val="none" w:sz="0" w:space="0" w:color="auto"/>
            <w:bottom w:val="none" w:sz="0" w:space="0" w:color="auto"/>
            <w:right w:val="none" w:sz="0" w:space="0" w:color="auto"/>
          </w:divBdr>
        </w:div>
        <w:div w:id="1831362448">
          <w:marLeft w:val="640"/>
          <w:marRight w:val="0"/>
          <w:marTop w:val="0"/>
          <w:marBottom w:val="0"/>
          <w:divBdr>
            <w:top w:val="none" w:sz="0" w:space="0" w:color="auto"/>
            <w:left w:val="none" w:sz="0" w:space="0" w:color="auto"/>
            <w:bottom w:val="none" w:sz="0" w:space="0" w:color="auto"/>
            <w:right w:val="none" w:sz="0" w:space="0" w:color="auto"/>
          </w:divBdr>
        </w:div>
        <w:div w:id="1215197254">
          <w:marLeft w:val="640"/>
          <w:marRight w:val="0"/>
          <w:marTop w:val="0"/>
          <w:marBottom w:val="0"/>
          <w:divBdr>
            <w:top w:val="none" w:sz="0" w:space="0" w:color="auto"/>
            <w:left w:val="none" w:sz="0" w:space="0" w:color="auto"/>
            <w:bottom w:val="none" w:sz="0" w:space="0" w:color="auto"/>
            <w:right w:val="none" w:sz="0" w:space="0" w:color="auto"/>
          </w:divBdr>
        </w:div>
        <w:div w:id="1376199359">
          <w:marLeft w:val="640"/>
          <w:marRight w:val="0"/>
          <w:marTop w:val="0"/>
          <w:marBottom w:val="0"/>
          <w:divBdr>
            <w:top w:val="none" w:sz="0" w:space="0" w:color="auto"/>
            <w:left w:val="none" w:sz="0" w:space="0" w:color="auto"/>
            <w:bottom w:val="none" w:sz="0" w:space="0" w:color="auto"/>
            <w:right w:val="none" w:sz="0" w:space="0" w:color="auto"/>
          </w:divBdr>
        </w:div>
        <w:div w:id="226502652">
          <w:marLeft w:val="640"/>
          <w:marRight w:val="0"/>
          <w:marTop w:val="0"/>
          <w:marBottom w:val="0"/>
          <w:divBdr>
            <w:top w:val="none" w:sz="0" w:space="0" w:color="auto"/>
            <w:left w:val="none" w:sz="0" w:space="0" w:color="auto"/>
            <w:bottom w:val="none" w:sz="0" w:space="0" w:color="auto"/>
            <w:right w:val="none" w:sz="0" w:space="0" w:color="auto"/>
          </w:divBdr>
        </w:div>
        <w:div w:id="271255303">
          <w:marLeft w:val="640"/>
          <w:marRight w:val="0"/>
          <w:marTop w:val="0"/>
          <w:marBottom w:val="0"/>
          <w:divBdr>
            <w:top w:val="none" w:sz="0" w:space="0" w:color="auto"/>
            <w:left w:val="none" w:sz="0" w:space="0" w:color="auto"/>
            <w:bottom w:val="none" w:sz="0" w:space="0" w:color="auto"/>
            <w:right w:val="none" w:sz="0" w:space="0" w:color="auto"/>
          </w:divBdr>
        </w:div>
        <w:div w:id="339239074">
          <w:marLeft w:val="640"/>
          <w:marRight w:val="0"/>
          <w:marTop w:val="0"/>
          <w:marBottom w:val="0"/>
          <w:divBdr>
            <w:top w:val="none" w:sz="0" w:space="0" w:color="auto"/>
            <w:left w:val="none" w:sz="0" w:space="0" w:color="auto"/>
            <w:bottom w:val="none" w:sz="0" w:space="0" w:color="auto"/>
            <w:right w:val="none" w:sz="0" w:space="0" w:color="auto"/>
          </w:divBdr>
        </w:div>
        <w:div w:id="1113326975">
          <w:marLeft w:val="640"/>
          <w:marRight w:val="0"/>
          <w:marTop w:val="0"/>
          <w:marBottom w:val="0"/>
          <w:divBdr>
            <w:top w:val="none" w:sz="0" w:space="0" w:color="auto"/>
            <w:left w:val="none" w:sz="0" w:space="0" w:color="auto"/>
            <w:bottom w:val="none" w:sz="0" w:space="0" w:color="auto"/>
            <w:right w:val="none" w:sz="0" w:space="0" w:color="auto"/>
          </w:divBdr>
        </w:div>
        <w:div w:id="1975477661">
          <w:marLeft w:val="640"/>
          <w:marRight w:val="0"/>
          <w:marTop w:val="0"/>
          <w:marBottom w:val="0"/>
          <w:divBdr>
            <w:top w:val="none" w:sz="0" w:space="0" w:color="auto"/>
            <w:left w:val="none" w:sz="0" w:space="0" w:color="auto"/>
            <w:bottom w:val="none" w:sz="0" w:space="0" w:color="auto"/>
            <w:right w:val="none" w:sz="0" w:space="0" w:color="auto"/>
          </w:divBdr>
        </w:div>
        <w:div w:id="1341275992">
          <w:marLeft w:val="640"/>
          <w:marRight w:val="0"/>
          <w:marTop w:val="0"/>
          <w:marBottom w:val="0"/>
          <w:divBdr>
            <w:top w:val="none" w:sz="0" w:space="0" w:color="auto"/>
            <w:left w:val="none" w:sz="0" w:space="0" w:color="auto"/>
            <w:bottom w:val="none" w:sz="0" w:space="0" w:color="auto"/>
            <w:right w:val="none" w:sz="0" w:space="0" w:color="auto"/>
          </w:divBdr>
        </w:div>
        <w:div w:id="624972556">
          <w:marLeft w:val="640"/>
          <w:marRight w:val="0"/>
          <w:marTop w:val="0"/>
          <w:marBottom w:val="0"/>
          <w:divBdr>
            <w:top w:val="none" w:sz="0" w:space="0" w:color="auto"/>
            <w:left w:val="none" w:sz="0" w:space="0" w:color="auto"/>
            <w:bottom w:val="none" w:sz="0" w:space="0" w:color="auto"/>
            <w:right w:val="none" w:sz="0" w:space="0" w:color="auto"/>
          </w:divBdr>
        </w:div>
        <w:div w:id="611281548">
          <w:marLeft w:val="640"/>
          <w:marRight w:val="0"/>
          <w:marTop w:val="0"/>
          <w:marBottom w:val="0"/>
          <w:divBdr>
            <w:top w:val="none" w:sz="0" w:space="0" w:color="auto"/>
            <w:left w:val="none" w:sz="0" w:space="0" w:color="auto"/>
            <w:bottom w:val="none" w:sz="0" w:space="0" w:color="auto"/>
            <w:right w:val="none" w:sz="0" w:space="0" w:color="auto"/>
          </w:divBdr>
        </w:div>
        <w:div w:id="606305308">
          <w:marLeft w:val="640"/>
          <w:marRight w:val="0"/>
          <w:marTop w:val="0"/>
          <w:marBottom w:val="0"/>
          <w:divBdr>
            <w:top w:val="none" w:sz="0" w:space="0" w:color="auto"/>
            <w:left w:val="none" w:sz="0" w:space="0" w:color="auto"/>
            <w:bottom w:val="none" w:sz="0" w:space="0" w:color="auto"/>
            <w:right w:val="none" w:sz="0" w:space="0" w:color="auto"/>
          </w:divBdr>
        </w:div>
        <w:div w:id="1723482915">
          <w:marLeft w:val="640"/>
          <w:marRight w:val="0"/>
          <w:marTop w:val="0"/>
          <w:marBottom w:val="0"/>
          <w:divBdr>
            <w:top w:val="none" w:sz="0" w:space="0" w:color="auto"/>
            <w:left w:val="none" w:sz="0" w:space="0" w:color="auto"/>
            <w:bottom w:val="none" w:sz="0" w:space="0" w:color="auto"/>
            <w:right w:val="none" w:sz="0" w:space="0" w:color="auto"/>
          </w:divBdr>
        </w:div>
        <w:div w:id="634527493">
          <w:marLeft w:val="640"/>
          <w:marRight w:val="0"/>
          <w:marTop w:val="0"/>
          <w:marBottom w:val="0"/>
          <w:divBdr>
            <w:top w:val="none" w:sz="0" w:space="0" w:color="auto"/>
            <w:left w:val="none" w:sz="0" w:space="0" w:color="auto"/>
            <w:bottom w:val="none" w:sz="0" w:space="0" w:color="auto"/>
            <w:right w:val="none" w:sz="0" w:space="0" w:color="auto"/>
          </w:divBdr>
        </w:div>
        <w:div w:id="35467270">
          <w:marLeft w:val="640"/>
          <w:marRight w:val="0"/>
          <w:marTop w:val="0"/>
          <w:marBottom w:val="0"/>
          <w:divBdr>
            <w:top w:val="none" w:sz="0" w:space="0" w:color="auto"/>
            <w:left w:val="none" w:sz="0" w:space="0" w:color="auto"/>
            <w:bottom w:val="none" w:sz="0" w:space="0" w:color="auto"/>
            <w:right w:val="none" w:sz="0" w:space="0" w:color="auto"/>
          </w:divBdr>
        </w:div>
        <w:div w:id="1947879787">
          <w:marLeft w:val="640"/>
          <w:marRight w:val="0"/>
          <w:marTop w:val="0"/>
          <w:marBottom w:val="0"/>
          <w:divBdr>
            <w:top w:val="none" w:sz="0" w:space="0" w:color="auto"/>
            <w:left w:val="none" w:sz="0" w:space="0" w:color="auto"/>
            <w:bottom w:val="none" w:sz="0" w:space="0" w:color="auto"/>
            <w:right w:val="none" w:sz="0" w:space="0" w:color="auto"/>
          </w:divBdr>
        </w:div>
        <w:div w:id="1046880343">
          <w:marLeft w:val="640"/>
          <w:marRight w:val="0"/>
          <w:marTop w:val="0"/>
          <w:marBottom w:val="0"/>
          <w:divBdr>
            <w:top w:val="none" w:sz="0" w:space="0" w:color="auto"/>
            <w:left w:val="none" w:sz="0" w:space="0" w:color="auto"/>
            <w:bottom w:val="none" w:sz="0" w:space="0" w:color="auto"/>
            <w:right w:val="none" w:sz="0" w:space="0" w:color="auto"/>
          </w:divBdr>
        </w:div>
        <w:div w:id="926963799">
          <w:marLeft w:val="640"/>
          <w:marRight w:val="0"/>
          <w:marTop w:val="0"/>
          <w:marBottom w:val="0"/>
          <w:divBdr>
            <w:top w:val="none" w:sz="0" w:space="0" w:color="auto"/>
            <w:left w:val="none" w:sz="0" w:space="0" w:color="auto"/>
            <w:bottom w:val="none" w:sz="0" w:space="0" w:color="auto"/>
            <w:right w:val="none" w:sz="0" w:space="0" w:color="auto"/>
          </w:divBdr>
        </w:div>
        <w:div w:id="508063146">
          <w:marLeft w:val="640"/>
          <w:marRight w:val="0"/>
          <w:marTop w:val="0"/>
          <w:marBottom w:val="0"/>
          <w:divBdr>
            <w:top w:val="none" w:sz="0" w:space="0" w:color="auto"/>
            <w:left w:val="none" w:sz="0" w:space="0" w:color="auto"/>
            <w:bottom w:val="none" w:sz="0" w:space="0" w:color="auto"/>
            <w:right w:val="none" w:sz="0" w:space="0" w:color="auto"/>
          </w:divBdr>
        </w:div>
        <w:div w:id="1121531918">
          <w:marLeft w:val="640"/>
          <w:marRight w:val="0"/>
          <w:marTop w:val="0"/>
          <w:marBottom w:val="0"/>
          <w:divBdr>
            <w:top w:val="none" w:sz="0" w:space="0" w:color="auto"/>
            <w:left w:val="none" w:sz="0" w:space="0" w:color="auto"/>
            <w:bottom w:val="none" w:sz="0" w:space="0" w:color="auto"/>
            <w:right w:val="none" w:sz="0" w:space="0" w:color="auto"/>
          </w:divBdr>
        </w:div>
        <w:div w:id="393427977">
          <w:marLeft w:val="640"/>
          <w:marRight w:val="0"/>
          <w:marTop w:val="0"/>
          <w:marBottom w:val="0"/>
          <w:divBdr>
            <w:top w:val="none" w:sz="0" w:space="0" w:color="auto"/>
            <w:left w:val="none" w:sz="0" w:space="0" w:color="auto"/>
            <w:bottom w:val="none" w:sz="0" w:space="0" w:color="auto"/>
            <w:right w:val="none" w:sz="0" w:space="0" w:color="auto"/>
          </w:divBdr>
        </w:div>
        <w:div w:id="1108815373">
          <w:marLeft w:val="640"/>
          <w:marRight w:val="0"/>
          <w:marTop w:val="0"/>
          <w:marBottom w:val="0"/>
          <w:divBdr>
            <w:top w:val="none" w:sz="0" w:space="0" w:color="auto"/>
            <w:left w:val="none" w:sz="0" w:space="0" w:color="auto"/>
            <w:bottom w:val="none" w:sz="0" w:space="0" w:color="auto"/>
            <w:right w:val="none" w:sz="0" w:space="0" w:color="auto"/>
          </w:divBdr>
        </w:div>
        <w:div w:id="1216357998">
          <w:marLeft w:val="640"/>
          <w:marRight w:val="0"/>
          <w:marTop w:val="0"/>
          <w:marBottom w:val="0"/>
          <w:divBdr>
            <w:top w:val="none" w:sz="0" w:space="0" w:color="auto"/>
            <w:left w:val="none" w:sz="0" w:space="0" w:color="auto"/>
            <w:bottom w:val="none" w:sz="0" w:space="0" w:color="auto"/>
            <w:right w:val="none" w:sz="0" w:space="0" w:color="auto"/>
          </w:divBdr>
        </w:div>
        <w:div w:id="1472288839">
          <w:marLeft w:val="640"/>
          <w:marRight w:val="0"/>
          <w:marTop w:val="0"/>
          <w:marBottom w:val="0"/>
          <w:divBdr>
            <w:top w:val="none" w:sz="0" w:space="0" w:color="auto"/>
            <w:left w:val="none" w:sz="0" w:space="0" w:color="auto"/>
            <w:bottom w:val="none" w:sz="0" w:space="0" w:color="auto"/>
            <w:right w:val="none" w:sz="0" w:space="0" w:color="auto"/>
          </w:divBdr>
        </w:div>
        <w:div w:id="811630293">
          <w:marLeft w:val="640"/>
          <w:marRight w:val="0"/>
          <w:marTop w:val="0"/>
          <w:marBottom w:val="0"/>
          <w:divBdr>
            <w:top w:val="none" w:sz="0" w:space="0" w:color="auto"/>
            <w:left w:val="none" w:sz="0" w:space="0" w:color="auto"/>
            <w:bottom w:val="none" w:sz="0" w:space="0" w:color="auto"/>
            <w:right w:val="none" w:sz="0" w:space="0" w:color="auto"/>
          </w:divBdr>
        </w:div>
        <w:div w:id="1588226112">
          <w:marLeft w:val="640"/>
          <w:marRight w:val="0"/>
          <w:marTop w:val="0"/>
          <w:marBottom w:val="0"/>
          <w:divBdr>
            <w:top w:val="none" w:sz="0" w:space="0" w:color="auto"/>
            <w:left w:val="none" w:sz="0" w:space="0" w:color="auto"/>
            <w:bottom w:val="none" w:sz="0" w:space="0" w:color="auto"/>
            <w:right w:val="none" w:sz="0" w:space="0" w:color="auto"/>
          </w:divBdr>
        </w:div>
        <w:div w:id="385645569">
          <w:marLeft w:val="640"/>
          <w:marRight w:val="0"/>
          <w:marTop w:val="0"/>
          <w:marBottom w:val="0"/>
          <w:divBdr>
            <w:top w:val="none" w:sz="0" w:space="0" w:color="auto"/>
            <w:left w:val="none" w:sz="0" w:space="0" w:color="auto"/>
            <w:bottom w:val="none" w:sz="0" w:space="0" w:color="auto"/>
            <w:right w:val="none" w:sz="0" w:space="0" w:color="auto"/>
          </w:divBdr>
        </w:div>
        <w:div w:id="1840146975">
          <w:marLeft w:val="640"/>
          <w:marRight w:val="0"/>
          <w:marTop w:val="0"/>
          <w:marBottom w:val="0"/>
          <w:divBdr>
            <w:top w:val="none" w:sz="0" w:space="0" w:color="auto"/>
            <w:left w:val="none" w:sz="0" w:space="0" w:color="auto"/>
            <w:bottom w:val="none" w:sz="0" w:space="0" w:color="auto"/>
            <w:right w:val="none" w:sz="0" w:space="0" w:color="auto"/>
          </w:divBdr>
        </w:div>
        <w:div w:id="1561788827">
          <w:marLeft w:val="640"/>
          <w:marRight w:val="0"/>
          <w:marTop w:val="0"/>
          <w:marBottom w:val="0"/>
          <w:divBdr>
            <w:top w:val="none" w:sz="0" w:space="0" w:color="auto"/>
            <w:left w:val="none" w:sz="0" w:space="0" w:color="auto"/>
            <w:bottom w:val="none" w:sz="0" w:space="0" w:color="auto"/>
            <w:right w:val="none" w:sz="0" w:space="0" w:color="auto"/>
          </w:divBdr>
        </w:div>
        <w:div w:id="826475972">
          <w:marLeft w:val="640"/>
          <w:marRight w:val="0"/>
          <w:marTop w:val="0"/>
          <w:marBottom w:val="0"/>
          <w:divBdr>
            <w:top w:val="none" w:sz="0" w:space="0" w:color="auto"/>
            <w:left w:val="none" w:sz="0" w:space="0" w:color="auto"/>
            <w:bottom w:val="none" w:sz="0" w:space="0" w:color="auto"/>
            <w:right w:val="none" w:sz="0" w:space="0" w:color="auto"/>
          </w:divBdr>
        </w:div>
        <w:div w:id="938101790">
          <w:marLeft w:val="640"/>
          <w:marRight w:val="0"/>
          <w:marTop w:val="0"/>
          <w:marBottom w:val="0"/>
          <w:divBdr>
            <w:top w:val="none" w:sz="0" w:space="0" w:color="auto"/>
            <w:left w:val="none" w:sz="0" w:space="0" w:color="auto"/>
            <w:bottom w:val="none" w:sz="0" w:space="0" w:color="auto"/>
            <w:right w:val="none" w:sz="0" w:space="0" w:color="auto"/>
          </w:divBdr>
        </w:div>
        <w:div w:id="1008602242">
          <w:marLeft w:val="640"/>
          <w:marRight w:val="0"/>
          <w:marTop w:val="0"/>
          <w:marBottom w:val="0"/>
          <w:divBdr>
            <w:top w:val="none" w:sz="0" w:space="0" w:color="auto"/>
            <w:left w:val="none" w:sz="0" w:space="0" w:color="auto"/>
            <w:bottom w:val="none" w:sz="0" w:space="0" w:color="auto"/>
            <w:right w:val="none" w:sz="0" w:space="0" w:color="auto"/>
          </w:divBdr>
        </w:div>
        <w:div w:id="1374386607">
          <w:marLeft w:val="640"/>
          <w:marRight w:val="0"/>
          <w:marTop w:val="0"/>
          <w:marBottom w:val="0"/>
          <w:divBdr>
            <w:top w:val="none" w:sz="0" w:space="0" w:color="auto"/>
            <w:left w:val="none" w:sz="0" w:space="0" w:color="auto"/>
            <w:bottom w:val="none" w:sz="0" w:space="0" w:color="auto"/>
            <w:right w:val="none" w:sz="0" w:space="0" w:color="auto"/>
          </w:divBdr>
        </w:div>
        <w:div w:id="1564559460">
          <w:marLeft w:val="640"/>
          <w:marRight w:val="0"/>
          <w:marTop w:val="0"/>
          <w:marBottom w:val="0"/>
          <w:divBdr>
            <w:top w:val="none" w:sz="0" w:space="0" w:color="auto"/>
            <w:left w:val="none" w:sz="0" w:space="0" w:color="auto"/>
            <w:bottom w:val="none" w:sz="0" w:space="0" w:color="auto"/>
            <w:right w:val="none" w:sz="0" w:space="0" w:color="auto"/>
          </w:divBdr>
        </w:div>
        <w:div w:id="979387027">
          <w:marLeft w:val="640"/>
          <w:marRight w:val="0"/>
          <w:marTop w:val="0"/>
          <w:marBottom w:val="0"/>
          <w:divBdr>
            <w:top w:val="none" w:sz="0" w:space="0" w:color="auto"/>
            <w:left w:val="none" w:sz="0" w:space="0" w:color="auto"/>
            <w:bottom w:val="none" w:sz="0" w:space="0" w:color="auto"/>
            <w:right w:val="none" w:sz="0" w:space="0" w:color="auto"/>
          </w:divBdr>
        </w:div>
        <w:div w:id="451024985">
          <w:marLeft w:val="640"/>
          <w:marRight w:val="0"/>
          <w:marTop w:val="0"/>
          <w:marBottom w:val="0"/>
          <w:divBdr>
            <w:top w:val="none" w:sz="0" w:space="0" w:color="auto"/>
            <w:left w:val="none" w:sz="0" w:space="0" w:color="auto"/>
            <w:bottom w:val="none" w:sz="0" w:space="0" w:color="auto"/>
            <w:right w:val="none" w:sz="0" w:space="0" w:color="auto"/>
          </w:divBdr>
        </w:div>
        <w:div w:id="568538820">
          <w:marLeft w:val="640"/>
          <w:marRight w:val="0"/>
          <w:marTop w:val="0"/>
          <w:marBottom w:val="0"/>
          <w:divBdr>
            <w:top w:val="none" w:sz="0" w:space="0" w:color="auto"/>
            <w:left w:val="none" w:sz="0" w:space="0" w:color="auto"/>
            <w:bottom w:val="none" w:sz="0" w:space="0" w:color="auto"/>
            <w:right w:val="none" w:sz="0" w:space="0" w:color="auto"/>
          </w:divBdr>
        </w:div>
        <w:div w:id="240797062">
          <w:marLeft w:val="640"/>
          <w:marRight w:val="0"/>
          <w:marTop w:val="0"/>
          <w:marBottom w:val="0"/>
          <w:divBdr>
            <w:top w:val="none" w:sz="0" w:space="0" w:color="auto"/>
            <w:left w:val="none" w:sz="0" w:space="0" w:color="auto"/>
            <w:bottom w:val="none" w:sz="0" w:space="0" w:color="auto"/>
            <w:right w:val="none" w:sz="0" w:space="0" w:color="auto"/>
          </w:divBdr>
        </w:div>
        <w:div w:id="967705042">
          <w:marLeft w:val="640"/>
          <w:marRight w:val="0"/>
          <w:marTop w:val="0"/>
          <w:marBottom w:val="0"/>
          <w:divBdr>
            <w:top w:val="none" w:sz="0" w:space="0" w:color="auto"/>
            <w:left w:val="none" w:sz="0" w:space="0" w:color="auto"/>
            <w:bottom w:val="none" w:sz="0" w:space="0" w:color="auto"/>
            <w:right w:val="none" w:sz="0" w:space="0" w:color="auto"/>
          </w:divBdr>
        </w:div>
        <w:div w:id="1424301012">
          <w:marLeft w:val="640"/>
          <w:marRight w:val="0"/>
          <w:marTop w:val="0"/>
          <w:marBottom w:val="0"/>
          <w:divBdr>
            <w:top w:val="none" w:sz="0" w:space="0" w:color="auto"/>
            <w:left w:val="none" w:sz="0" w:space="0" w:color="auto"/>
            <w:bottom w:val="none" w:sz="0" w:space="0" w:color="auto"/>
            <w:right w:val="none" w:sz="0" w:space="0" w:color="auto"/>
          </w:divBdr>
        </w:div>
        <w:div w:id="705985000">
          <w:marLeft w:val="640"/>
          <w:marRight w:val="0"/>
          <w:marTop w:val="0"/>
          <w:marBottom w:val="0"/>
          <w:divBdr>
            <w:top w:val="none" w:sz="0" w:space="0" w:color="auto"/>
            <w:left w:val="none" w:sz="0" w:space="0" w:color="auto"/>
            <w:bottom w:val="none" w:sz="0" w:space="0" w:color="auto"/>
            <w:right w:val="none" w:sz="0" w:space="0" w:color="auto"/>
          </w:divBdr>
        </w:div>
        <w:div w:id="1496919723">
          <w:marLeft w:val="640"/>
          <w:marRight w:val="0"/>
          <w:marTop w:val="0"/>
          <w:marBottom w:val="0"/>
          <w:divBdr>
            <w:top w:val="none" w:sz="0" w:space="0" w:color="auto"/>
            <w:left w:val="none" w:sz="0" w:space="0" w:color="auto"/>
            <w:bottom w:val="none" w:sz="0" w:space="0" w:color="auto"/>
            <w:right w:val="none" w:sz="0" w:space="0" w:color="auto"/>
          </w:divBdr>
        </w:div>
        <w:div w:id="1790273789">
          <w:marLeft w:val="640"/>
          <w:marRight w:val="0"/>
          <w:marTop w:val="0"/>
          <w:marBottom w:val="0"/>
          <w:divBdr>
            <w:top w:val="none" w:sz="0" w:space="0" w:color="auto"/>
            <w:left w:val="none" w:sz="0" w:space="0" w:color="auto"/>
            <w:bottom w:val="none" w:sz="0" w:space="0" w:color="auto"/>
            <w:right w:val="none" w:sz="0" w:space="0" w:color="auto"/>
          </w:divBdr>
        </w:div>
        <w:div w:id="1788116116">
          <w:marLeft w:val="640"/>
          <w:marRight w:val="0"/>
          <w:marTop w:val="0"/>
          <w:marBottom w:val="0"/>
          <w:divBdr>
            <w:top w:val="none" w:sz="0" w:space="0" w:color="auto"/>
            <w:left w:val="none" w:sz="0" w:space="0" w:color="auto"/>
            <w:bottom w:val="none" w:sz="0" w:space="0" w:color="auto"/>
            <w:right w:val="none" w:sz="0" w:space="0" w:color="auto"/>
          </w:divBdr>
        </w:div>
        <w:div w:id="1585454709">
          <w:marLeft w:val="640"/>
          <w:marRight w:val="0"/>
          <w:marTop w:val="0"/>
          <w:marBottom w:val="0"/>
          <w:divBdr>
            <w:top w:val="none" w:sz="0" w:space="0" w:color="auto"/>
            <w:left w:val="none" w:sz="0" w:space="0" w:color="auto"/>
            <w:bottom w:val="none" w:sz="0" w:space="0" w:color="auto"/>
            <w:right w:val="none" w:sz="0" w:space="0" w:color="auto"/>
          </w:divBdr>
        </w:div>
        <w:div w:id="86771270">
          <w:marLeft w:val="640"/>
          <w:marRight w:val="0"/>
          <w:marTop w:val="0"/>
          <w:marBottom w:val="0"/>
          <w:divBdr>
            <w:top w:val="none" w:sz="0" w:space="0" w:color="auto"/>
            <w:left w:val="none" w:sz="0" w:space="0" w:color="auto"/>
            <w:bottom w:val="none" w:sz="0" w:space="0" w:color="auto"/>
            <w:right w:val="none" w:sz="0" w:space="0" w:color="auto"/>
          </w:divBdr>
        </w:div>
        <w:div w:id="991908100">
          <w:marLeft w:val="640"/>
          <w:marRight w:val="0"/>
          <w:marTop w:val="0"/>
          <w:marBottom w:val="0"/>
          <w:divBdr>
            <w:top w:val="none" w:sz="0" w:space="0" w:color="auto"/>
            <w:left w:val="none" w:sz="0" w:space="0" w:color="auto"/>
            <w:bottom w:val="none" w:sz="0" w:space="0" w:color="auto"/>
            <w:right w:val="none" w:sz="0" w:space="0" w:color="auto"/>
          </w:divBdr>
        </w:div>
        <w:div w:id="347102655">
          <w:marLeft w:val="640"/>
          <w:marRight w:val="0"/>
          <w:marTop w:val="0"/>
          <w:marBottom w:val="0"/>
          <w:divBdr>
            <w:top w:val="none" w:sz="0" w:space="0" w:color="auto"/>
            <w:left w:val="none" w:sz="0" w:space="0" w:color="auto"/>
            <w:bottom w:val="none" w:sz="0" w:space="0" w:color="auto"/>
            <w:right w:val="none" w:sz="0" w:space="0" w:color="auto"/>
          </w:divBdr>
        </w:div>
        <w:div w:id="279459338">
          <w:marLeft w:val="640"/>
          <w:marRight w:val="0"/>
          <w:marTop w:val="0"/>
          <w:marBottom w:val="0"/>
          <w:divBdr>
            <w:top w:val="none" w:sz="0" w:space="0" w:color="auto"/>
            <w:left w:val="none" w:sz="0" w:space="0" w:color="auto"/>
            <w:bottom w:val="none" w:sz="0" w:space="0" w:color="auto"/>
            <w:right w:val="none" w:sz="0" w:space="0" w:color="auto"/>
          </w:divBdr>
        </w:div>
        <w:div w:id="1190297429">
          <w:marLeft w:val="640"/>
          <w:marRight w:val="0"/>
          <w:marTop w:val="0"/>
          <w:marBottom w:val="0"/>
          <w:divBdr>
            <w:top w:val="none" w:sz="0" w:space="0" w:color="auto"/>
            <w:left w:val="none" w:sz="0" w:space="0" w:color="auto"/>
            <w:bottom w:val="none" w:sz="0" w:space="0" w:color="auto"/>
            <w:right w:val="none" w:sz="0" w:space="0" w:color="auto"/>
          </w:divBdr>
        </w:div>
        <w:div w:id="148448453">
          <w:marLeft w:val="640"/>
          <w:marRight w:val="0"/>
          <w:marTop w:val="0"/>
          <w:marBottom w:val="0"/>
          <w:divBdr>
            <w:top w:val="none" w:sz="0" w:space="0" w:color="auto"/>
            <w:left w:val="none" w:sz="0" w:space="0" w:color="auto"/>
            <w:bottom w:val="none" w:sz="0" w:space="0" w:color="auto"/>
            <w:right w:val="none" w:sz="0" w:space="0" w:color="auto"/>
          </w:divBdr>
        </w:div>
        <w:div w:id="861473038">
          <w:marLeft w:val="640"/>
          <w:marRight w:val="0"/>
          <w:marTop w:val="0"/>
          <w:marBottom w:val="0"/>
          <w:divBdr>
            <w:top w:val="none" w:sz="0" w:space="0" w:color="auto"/>
            <w:left w:val="none" w:sz="0" w:space="0" w:color="auto"/>
            <w:bottom w:val="none" w:sz="0" w:space="0" w:color="auto"/>
            <w:right w:val="none" w:sz="0" w:space="0" w:color="auto"/>
          </w:divBdr>
        </w:div>
        <w:div w:id="1991249831">
          <w:marLeft w:val="640"/>
          <w:marRight w:val="0"/>
          <w:marTop w:val="0"/>
          <w:marBottom w:val="0"/>
          <w:divBdr>
            <w:top w:val="none" w:sz="0" w:space="0" w:color="auto"/>
            <w:left w:val="none" w:sz="0" w:space="0" w:color="auto"/>
            <w:bottom w:val="none" w:sz="0" w:space="0" w:color="auto"/>
            <w:right w:val="none" w:sz="0" w:space="0" w:color="auto"/>
          </w:divBdr>
        </w:div>
        <w:div w:id="1997952643">
          <w:marLeft w:val="640"/>
          <w:marRight w:val="0"/>
          <w:marTop w:val="0"/>
          <w:marBottom w:val="0"/>
          <w:divBdr>
            <w:top w:val="none" w:sz="0" w:space="0" w:color="auto"/>
            <w:left w:val="none" w:sz="0" w:space="0" w:color="auto"/>
            <w:bottom w:val="none" w:sz="0" w:space="0" w:color="auto"/>
            <w:right w:val="none" w:sz="0" w:space="0" w:color="auto"/>
          </w:divBdr>
        </w:div>
        <w:div w:id="8340976">
          <w:marLeft w:val="640"/>
          <w:marRight w:val="0"/>
          <w:marTop w:val="0"/>
          <w:marBottom w:val="0"/>
          <w:divBdr>
            <w:top w:val="none" w:sz="0" w:space="0" w:color="auto"/>
            <w:left w:val="none" w:sz="0" w:space="0" w:color="auto"/>
            <w:bottom w:val="none" w:sz="0" w:space="0" w:color="auto"/>
            <w:right w:val="none" w:sz="0" w:space="0" w:color="auto"/>
          </w:divBdr>
        </w:div>
        <w:div w:id="451175511">
          <w:marLeft w:val="640"/>
          <w:marRight w:val="0"/>
          <w:marTop w:val="0"/>
          <w:marBottom w:val="0"/>
          <w:divBdr>
            <w:top w:val="none" w:sz="0" w:space="0" w:color="auto"/>
            <w:left w:val="none" w:sz="0" w:space="0" w:color="auto"/>
            <w:bottom w:val="none" w:sz="0" w:space="0" w:color="auto"/>
            <w:right w:val="none" w:sz="0" w:space="0" w:color="auto"/>
          </w:divBdr>
        </w:div>
        <w:div w:id="1933665728">
          <w:marLeft w:val="640"/>
          <w:marRight w:val="0"/>
          <w:marTop w:val="0"/>
          <w:marBottom w:val="0"/>
          <w:divBdr>
            <w:top w:val="none" w:sz="0" w:space="0" w:color="auto"/>
            <w:left w:val="none" w:sz="0" w:space="0" w:color="auto"/>
            <w:bottom w:val="none" w:sz="0" w:space="0" w:color="auto"/>
            <w:right w:val="none" w:sz="0" w:space="0" w:color="auto"/>
          </w:divBdr>
        </w:div>
        <w:div w:id="547112809">
          <w:marLeft w:val="640"/>
          <w:marRight w:val="0"/>
          <w:marTop w:val="0"/>
          <w:marBottom w:val="0"/>
          <w:divBdr>
            <w:top w:val="none" w:sz="0" w:space="0" w:color="auto"/>
            <w:left w:val="none" w:sz="0" w:space="0" w:color="auto"/>
            <w:bottom w:val="none" w:sz="0" w:space="0" w:color="auto"/>
            <w:right w:val="none" w:sz="0" w:space="0" w:color="auto"/>
          </w:divBdr>
        </w:div>
        <w:div w:id="508788683">
          <w:marLeft w:val="640"/>
          <w:marRight w:val="0"/>
          <w:marTop w:val="0"/>
          <w:marBottom w:val="0"/>
          <w:divBdr>
            <w:top w:val="none" w:sz="0" w:space="0" w:color="auto"/>
            <w:left w:val="none" w:sz="0" w:space="0" w:color="auto"/>
            <w:bottom w:val="none" w:sz="0" w:space="0" w:color="auto"/>
            <w:right w:val="none" w:sz="0" w:space="0" w:color="auto"/>
          </w:divBdr>
        </w:div>
        <w:div w:id="1130973874">
          <w:marLeft w:val="640"/>
          <w:marRight w:val="0"/>
          <w:marTop w:val="0"/>
          <w:marBottom w:val="0"/>
          <w:divBdr>
            <w:top w:val="none" w:sz="0" w:space="0" w:color="auto"/>
            <w:left w:val="none" w:sz="0" w:space="0" w:color="auto"/>
            <w:bottom w:val="none" w:sz="0" w:space="0" w:color="auto"/>
            <w:right w:val="none" w:sz="0" w:space="0" w:color="auto"/>
          </w:divBdr>
        </w:div>
        <w:div w:id="686718682">
          <w:marLeft w:val="640"/>
          <w:marRight w:val="0"/>
          <w:marTop w:val="0"/>
          <w:marBottom w:val="0"/>
          <w:divBdr>
            <w:top w:val="none" w:sz="0" w:space="0" w:color="auto"/>
            <w:left w:val="none" w:sz="0" w:space="0" w:color="auto"/>
            <w:bottom w:val="none" w:sz="0" w:space="0" w:color="auto"/>
            <w:right w:val="none" w:sz="0" w:space="0" w:color="auto"/>
          </w:divBdr>
        </w:div>
        <w:div w:id="490565771">
          <w:marLeft w:val="640"/>
          <w:marRight w:val="0"/>
          <w:marTop w:val="0"/>
          <w:marBottom w:val="0"/>
          <w:divBdr>
            <w:top w:val="none" w:sz="0" w:space="0" w:color="auto"/>
            <w:left w:val="none" w:sz="0" w:space="0" w:color="auto"/>
            <w:bottom w:val="none" w:sz="0" w:space="0" w:color="auto"/>
            <w:right w:val="none" w:sz="0" w:space="0" w:color="auto"/>
          </w:divBdr>
        </w:div>
        <w:div w:id="911308498">
          <w:marLeft w:val="640"/>
          <w:marRight w:val="0"/>
          <w:marTop w:val="0"/>
          <w:marBottom w:val="0"/>
          <w:divBdr>
            <w:top w:val="none" w:sz="0" w:space="0" w:color="auto"/>
            <w:left w:val="none" w:sz="0" w:space="0" w:color="auto"/>
            <w:bottom w:val="none" w:sz="0" w:space="0" w:color="auto"/>
            <w:right w:val="none" w:sz="0" w:space="0" w:color="auto"/>
          </w:divBdr>
        </w:div>
        <w:div w:id="2047217914">
          <w:marLeft w:val="640"/>
          <w:marRight w:val="0"/>
          <w:marTop w:val="0"/>
          <w:marBottom w:val="0"/>
          <w:divBdr>
            <w:top w:val="none" w:sz="0" w:space="0" w:color="auto"/>
            <w:left w:val="none" w:sz="0" w:space="0" w:color="auto"/>
            <w:bottom w:val="none" w:sz="0" w:space="0" w:color="auto"/>
            <w:right w:val="none" w:sz="0" w:space="0" w:color="auto"/>
          </w:divBdr>
        </w:div>
        <w:div w:id="1688797920">
          <w:marLeft w:val="640"/>
          <w:marRight w:val="0"/>
          <w:marTop w:val="0"/>
          <w:marBottom w:val="0"/>
          <w:divBdr>
            <w:top w:val="none" w:sz="0" w:space="0" w:color="auto"/>
            <w:left w:val="none" w:sz="0" w:space="0" w:color="auto"/>
            <w:bottom w:val="none" w:sz="0" w:space="0" w:color="auto"/>
            <w:right w:val="none" w:sz="0" w:space="0" w:color="auto"/>
          </w:divBdr>
        </w:div>
        <w:div w:id="1624074791">
          <w:marLeft w:val="640"/>
          <w:marRight w:val="0"/>
          <w:marTop w:val="0"/>
          <w:marBottom w:val="0"/>
          <w:divBdr>
            <w:top w:val="none" w:sz="0" w:space="0" w:color="auto"/>
            <w:left w:val="none" w:sz="0" w:space="0" w:color="auto"/>
            <w:bottom w:val="none" w:sz="0" w:space="0" w:color="auto"/>
            <w:right w:val="none" w:sz="0" w:space="0" w:color="auto"/>
          </w:divBdr>
        </w:div>
        <w:div w:id="1862477482">
          <w:marLeft w:val="640"/>
          <w:marRight w:val="0"/>
          <w:marTop w:val="0"/>
          <w:marBottom w:val="0"/>
          <w:divBdr>
            <w:top w:val="none" w:sz="0" w:space="0" w:color="auto"/>
            <w:left w:val="none" w:sz="0" w:space="0" w:color="auto"/>
            <w:bottom w:val="none" w:sz="0" w:space="0" w:color="auto"/>
            <w:right w:val="none" w:sz="0" w:space="0" w:color="auto"/>
          </w:divBdr>
        </w:div>
        <w:div w:id="1475222892">
          <w:marLeft w:val="640"/>
          <w:marRight w:val="0"/>
          <w:marTop w:val="0"/>
          <w:marBottom w:val="0"/>
          <w:divBdr>
            <w:top w:val="none" w:sz="0" w:space="0" w:color="auto"/>
            <w:left w:val="none" w:sz="0" w:space="0" w:color="auto"/>
            <w:bottom w:val="none" w:sz="0" w:space="0" w:color="auto"/>
            <w:right w:val="none" w:sz="0" w:space="0" w:color="auto"/>
          </w:divBdr>
        </w:div>
        <w:div w:id="1409765969">
          <w:marLeft w:val="640"/>
          <w:marRight w:val="0"/>
          <w:marTop w:val="0"/>
          <w:marBottom w:val="0"/>
          <w:divBdr>
            <w:top w:val="none" w:sz="0" w:space="0" w:color="auto"/>
            <w:left w:val="none" w:sz="0" w:space="0" w:color="auto"/>
            <w:bottom w:val="none" w:sz="0" w:space="0" w:color="auto"/>
            <w:right w:val="none" w:sz="0" w:space="0" w:color="auto"/>
          </w:divBdr>
        </w:div>
        <w:div w:id="98184421">
          <w:marLeft w:val="640"/>
          <w:marRight w:val="0"/>
          <w:marTop w:val="0"/>
          <w:marBottom w:val="0"/>
          <w:divBdr>
            <w:top w:val="none" w:sz="0" w:space="0" w:color="auto"/>
            <w:left w:val="none" w:sz="0" w:space="0" w:color="auto"/>
            <w:bottom w:val="none" w:sz="0" w:space="0" w:color="auto"/>
            <w:right w:val="none" w:sz="0" w:space="0" w:color="auto"/>
          </w:divBdr>
        </w:div>
        <w:div w:id="1914731006">
          <w:marLeft w:val="640"/>
          <w:marRight w:val="0"/>
          <w:marTop w:val="0"/>
          <w:marBottom w:val="0"/>
          <w:divBdr>
            <w:top w:val="none" w:sz="0" w:space="0" w:color="auto"/>
            <w:left w:val="none" w:sz="0" w:space="0" w:color="auto"/>
            <w:bottom w:val="none" w:sz="0" w:space="0" w:color="auto"/>
            <w:right w:val="none" w:sz="0" w:space="0" w:color="auto"/>
          </w:divBdr>
        </w:div>
        <w:div w:id="854926398">
          <w:marLeft w:val="640"/>
          <w:marRight w:val="0"/>
          <w:marTop w:val="0"/>
          <w:marBottom w:val="0"/>
          <w:divBdr>
            <w:top w:val="none" w:sz="0" w:space="0" w:color="auto"/>
            <w:left w:val="none" w:sz="0" w:space="0" w:color="auto"/>
            <w:bottom w:val="none" w:sz="0" w:space="0" w:color="auto"/>
            <w:right w:val="none" w:sz="0" w:space="0" w:color="auto"/>
          </w:divBdr>
        </w:div>
        <w:div w:id="1915700746">
          <w:marLeft w:val="640"/>
          <w:marRight w:val="0"/>
          <w:marTop w:val="0"/>
          <w:marBottom w:val="0"/>
          <w:divBdr>
            <w:top w:val="none" w:sz="0" w:space="0" w:color="auto"/>
            <w:left w:val="none" w:sz="0" w:space="0" w:color="auto"/>
            <w:bottom w:val="none" w:sz="0" w:space="0" w:color="auto"/>
            <w:right w:val="none" w:sz="0" w:space="0" w:color="auto"/>
          </w:divBdr>
        </w:div>
        <w:div w:id="78336006">
          <w:marLeft w:val="640"/>
          <w:marRight w:val="0"/>
          <w:marTop w:val="0"/>
          <w:marBottom w:val="0"/>
          <w:divBdr>
            <w:top w:val="none" w:sz="0" w:space="0" w:color="auto"/>
            <w:left w:val="none" w:sz="0" w:space="0" w:color="auto"/>
            <w:bottom w:val="none" w:sz="0" w:space="0" w:color="auto"/>
            <w:right w:val="none" w:sz="0" w:space="0" w:color="auto"/>
          </w:divBdr>
        </w:div>
        <w:div w:id="422922236">
          <w:marLeft w:val="640"/>
          <w:marRight w:val="0"/>
          <w:marTop w:val="0"/>
          <w:marBottom w:val="0"/>
          <w:divBdr>
            <w:top w:val="none" w:sz="0" w:space="0" w:color="auto"/>
            <w:left w:val="none" w:sz="0" w:space="0" w:color="auto"/>
            <w:bottom w:val="none" w:sz="0" w:space="0" w:color="auto"/>
            <w:right w:val="none" w:sz="0" w:space="0" w:color="auto"/>
          </w:divBdr>
        </w:div>
        <w:div w:id="627205807">
          <w:marLeft w:val="640"/>
          <w:marRight w:val="0"/>
          <w:marTop w:val="0"/>
          <w:marBottom w:val="0"/>
          <w:divBdr>
            <w:top w:val="none" w:sz="0" w:space="0" w:color="auto"/>
            <w:left w:val="none" w:sz="0" w:space="0" w:color="auto"/>
            <w:bottom w:val="none" w:sz="0" w:space="0" w:color="auto"/>
            <w:right w:val="none" w:sz="0" w:space="0" w:color="auto"/>
          </w:divBdr>
        </w:div>
        <w:div w:id="1832063004">
          <w:marLeft w:val="640"/>
          <w:marRight w:val="0"/>
          <w:marTop w:val="0"/>
          <w:marBottom w:val="0"/>
          <w:divBdr>
            <w:top w:val="none" w:sz="0" w:space="0" w:color="auto"/>
            <w:left w:val="none" w:sz="0" w:space="0" w:color="auto"/>
            <w:bottom w:val="none" w:sz="0" w:space="0" w:color="auto"/>
            <w:right w:val="none" w:sz="0" w:space="0" w:color="auto"/>
          </w:divBdr>
        </w:div>
        <w:div w:id="390618424">
          <w:marLeft w:val="640"/>
          <w:marRight w:val="0"/>
          <w:marTop w:val="0"/>
          <w:marBottom w:val="0"/>
          <w:divBdr>
            <w:top w:val="none" w:sz="0" w:space="0" w:color="auto"/>
            <w:left w:val="none" w:sz="0" w:space="0" w:color="auto"/>
            <w:bottom w:val="none" w:sz="0" w:space="0" w:color="auto"/>
            <w:right w:val="none" w:sz="0" w:space="0" w:color="auto"/>
          </w:divBdr>
        </w:div>
        <w:div w:id="1244485090">
          <w:marLeft w:val="640"/>
          <w:marRight w:val="0"/>
          <w:marTop w:val="0"/>
          <w:marBottom w:val="0"/>
          <w:divBdr>
            <w:top w:val="none" w:sz="0" w:space="0" w:color="auto"/>
            <w:left w:val="none" w:sz="0" w:space="0" w:color="auto"/>
            <w:bottom w:val="none" w:sz="0" w:space="0" w:color="auto"/>
            <w:right w:val="none" w:sz="0" w:space="0" w:color="auto"/>
          </w:divBdr>
        </w:div>
        <w:div w:id="1909801081">
          <w:marLeft w:val="640"/>
          <w:marRight w:val="0"/>
          <w:marTop w:val="0"/>
          <w:marBottom w:val="0"/>
          <w:divBdr>
            <w:top w:val="none" w:sz="0" w:space="0" w:color="auto"/>
            <w:left w:val="none" w:sz="0" w:space="0" w:color="auto"/>
            <w:bottom w:val="none" w:sz="0" w:space="0" w:color="auto"/>
            <w:right w:val="none" w:sz="0" w:space="0" w:color="auto"/>
          </w:divBdr>
        </w:div>
        <w:div w:id="1841580985">
          <w:marLeft w:val="640"/>
          <w:marRight w:val="0"/>
          <w:marTop w:val="0"/>
          <w:marBottom w:val="0"/>
          <w:divBdr>
            <w:top w:val="none" w:sz="0" w:space="0" w:color="auto"/>
            <w:left w:val="none" w:sz="0" w:space="0" w:color="auto"/>
            <w:bottom w:val="none" w:sz="0" w:space="0" w:color="auto"/>
            <w:right w:val="none" w:sz="0" w:space="0" w:color="auto"/>
          </w:divBdr>
        </w:div>
        <w:div w:id="584344148">
          <w:marLeft w:val="640"/>
          <w:marRight w:val="0"/>
          <w:marTop w:val="0"/>
          <w:marBottom w:val="0"/>
          <w:divBdr>
            <w:top w:val="none" w:sz="0" w:space="0" w:color="auto"/>
            <w:left w:val="none" w:sz="0" w:space="0" w:color="auto"/>
            <w:bottom w:val="none" w:sz="0" w:space="0" w:color="auto"/>
            <w:right w:val="none" w:sz="0" w:space="0" w:color="auto"/>
          </w:divBdr>
        </w:div>
        <w:div w:id="1257522332">
          <w:marLeft w:val="640"/>
          <w:marRight w:val="0"/>
          <w:marTop w:val="0"/>
          <w:marBottom w:val="0"/>
          <w:divBdr>
            <w:top w:val="none" w:sz="0" w:space="0" w:color="auto"/>
            <w:left w:val="none" w:sz="0" w:space="0" w:color="auto"/>
            <w:bottom w:val="none" w:sz="0" w:space="0" w:color="auto"/>
            <w:right w:val="none" w:sz="0" w:space="0" w:color="auto"/>
          </w:divBdr>
        </w:div>
        <w:div w:id="719129639">
          <w:marLeft w:val="640"/>
          <w:marRight w:val="0"/>
          <w:marTop w:val="0"/>
          <w:marBottom w:val="0"/>
          <w:divBdr>
            <w:top w:val="none" w:sz="0" w:space="0" w:color="auto"/>
            <w:left w:val="none" w:sz="0" w:space="0" w:color="auto"/>
            <w:bottom w:val="none" w:sz="0" w:space="0" w:color="auto"/>
            <w:right w:val="none" w:sz="0" w:space="0" w:color="auto"/>
          </w:divBdr>
        </w:div>
        <w:div w:id="1003706049">
          <w:marLeft w:val="640"/>
          <w:marRight w:val="0"/>
          <w:marTop w:val="0"/>
          <w:marBottom w:val="0"/>
          <w:divBdr>
            <w:top w:val="none" w:sz="0" w:space="0" w:color="auto"/>
            <w:left w:val="none" w:sz="0" w:space="0" w:color="auto"/>
            <w:bottom w:val="none" w:sz="0" w:space="0" w:color="auto"/>
            <w:right w:val="none" w:sz="0" w:space="0" w:color="auto"/>
          </w:divBdr>
        </w:div>
        <w:div w:id="1390570957">
          <w:marLeft w:val="640"/>
          <w:marRight w:val="0"/>
          <w:marTop w:val="0"/>
          <w:marBottom w:val="0"/>
          <w:divBdr>
            <w:top w:val="none" w:sz="0" w:space="0" w:color="auto"/>
            <w:left w:val="none" w:sz="0" w:space="0" w:color="auto"/>
            <w:bottom w:val="none" w:sz="0" w:space="0" w:color="auto"/>
            <w:right w:val="none" w:sz="0" w:space="0" w:color="auto"/>
          </w:divBdr>
        </w:div>
        <w:div w:id="1819692000">
          <w:marLeft w:val="640"/>
          <w:marRight w:val="0"/>
          <w:marTop w:val="0"/>
          <w:marBottom w:val="0"/>
          <w:divBdr>
            <w:top w:val="none" w:sz="0" w:space="0" w:color="auto"/>
            <w:left w:val="none" w:sz="0" w:space="0" w:color="auto"/>
            <w:bottom w:val="none" w:sz="0" w:space="0" w:color="auto"/>
            <w:right w:val="none" w:sz="0" w:space="0" w:color="auto"/>
          </w:divBdr>
        </w:div>
        <w:div w:id="1693918410">
          <w:marLeft w:val="640"/>
          <w:marRight w:val="0"/>
          <w:marTop w:val="0"/>
          <w:marBottom w:val="0"/>
          <w:divBdr>
            <w:top w:val="none" w:sz="0" w:space="0" w:color="auto"/>
            <w:left w:val="none" w:sz="0" w:space="0" w:color="auto"/>
            <w:bottom w:val="none" w:sz="0" w:space="0" w:color="auto"/>
            <w:right w:val="none" w:sz="0" w:space="0" w:color="auto"/>
          </w:divBdr>
        </w:div>
        <w:div w:id="1894996446">
          <w:marLeft w:val="640"/>
          <w:marRight w:val="0"/>
          <w:marTop w:val="0"/>
          <w:marBottom w:val="0"/>
          <w:divBdr>
            <w:top w:val="none" w:sz="0" w:space="0" w:color="auto"/>
            <w:left w:val="none" w:sz="0" w:space="0" w:color="auto"/>
            <w:bottom w:val="none" w:sz="0" w:space="0" w:color="auto"/>
            <w:right w:val="none" w:sz="0" w:space="0" w:color="auto"/>
          </w:divBdr>
        </w:div>
        <w:div w:id="920675462">
          <w:marLeft w:val="640"/>
          <w:marRight w:val="0"/>
          <w:marTop w:val="0"/>
          <w:marBottom w:val="0"/>
          <w:divBdr>
            <w:top w:val="none" w:sz="0" w:space="0" w:color="auto"/>
            <w:left w:val="none" w:sz="0" w:space="0" w:color="auto"/>
            <w:bottom w:val="none" w:sz="0" w:space="0" w:color="auto"/>
            <w:right w:val="none" w:sz="0" w:space="0" w:color="auto"/>
          </w:divBdr>
        </w:div>
        <w:div w:id="100732058">
          <w:marLeft w:val="640"/>
          <w:marRight w:val="0"/>
          <w:marTop w:val="0"/>
          <w:marBottom w:val="0"/>
          <w:divBdr>
            <w:top w:val="none" w:sz="0" w:space="0" w:color="auto"/>
            <w:left w:val="none" w:sz="0" w:space="0" w:color="auto"/>
            <w:bottom w:val="none" w:sz="0" w:space="0" w:color="auto"/>
            <w:right w:val="none" w:sz="0" w:space="0" w:color="auto"/>
          </w:divBdr>
        </w:div>
        <w:div w:id="2023312855">
          <w:marLeft w:val="640"/>
          <w:marRight w:val="0"/>
          <w:marTop w:val="0"/>
          <w:marBottom w:val="0"/>
          <w:divBdr>
            <w:top w:val="none" w:sz="0" w:space="0" w:color="auto"/>
            <w:left w:val="none" w:sz="0" w:space="0" w:color="auto"/>
            <w:bottom w:val="none" w:sz="0" w:space="0" w:color="auto"/>
            <w:right w:val="none" w:sz="0" w:space="0" w:color="auto"/>
          </w:divBdr>
        </w:div>
        <w:div w:id="1610309084">
          <w:marLeft w:val="640"/>
          <w:marRight w:val="0"/>
          <w:marTop w:val="0"/>
          <w:marBottom w:val="0"/>
          <w:divBdr>
            <w:top w:val="none" w:sz="0" w:space="0" w:color="auto"/>
            <w:left w:val="none" w:sz="0" w:space="0" w:color="auto"/>
            <w:bottom w:val="none" w:sz="0" w:space="0" w:color="auto"/>
            <w:right w:val="none" w:sz="0" w:space="0" w:color="auto"/>
          </w:divBdr>
        </w:div>
        <w:div w:id="1947686167">
          <w:marLeft w:val="640"/>
          <w:marRight w:val="0"/>
          <w:marTop w:val="0"/>
          <w:marBottom w:val="0"/>
          <w:divBdr>
            <w:top w:val="none" w:sz="0" w:space="0" w:color="auto"/>
            <w:left w:val="none" w:sz="0" w:space="0" w:color="auto"/>
            <w:bottom w:val="none" w:sz="0" w:space="0" w:color="auto"/>
            <w:right w:val="none" w:sz="0" w:space="0" w:color="auto"/>
          </w:divBdr>
        </w:div>
        <w:div w:id="2361517">
          <w:marLeft w:val="640"/>
          <w:marRight w:val="0"/>
          <w:marTop w:val="0"/>
          <w:marBottom w:val="0"/>
          <w:divBdr>
            <w:top w:val="none" w:sz="0" w:space="0" w:color="auto"/>
            <w:left w:val="none" w:sz="0" w:space="0" w:color="auto"/>
            <w:bottom w:val="none" w:sz="0" w:space="0" w:color="auto"/>
            <w:right w:val="none" w:sz="0" w:space="0" w:color="auto"/>
          </w:divBdr>
        </w:div>
        <w:div w:id="1690377915">
          <w:marLeft w:val="640"/>
          <w:marRight w:val="0"/>
          <w:marTop w:val="0"/>
          <w:marBottom w:val="0"/>
          <w:divBdr>
            <w:top w:val="none" w:sz="0" w:space="0" w:color="auto"/>
            <w:left w:val="none" w:sz="0" w:space="0" w:color="auto"/>
            <w:bottom w:val="none" w:sz="0" w:space="0" w:color="auto"/>
            <w:right w:val="none" w:sz="0" w:space="0" w:color="auto"/>
          </w:divBdr>
        </w:div>
        <w:div w:id="209728145">
          <w:marLeft w:val="640"/>
          <w:marRight w:val="0"/>
          <w:marTop w:val="0"/>
          <w:marBottom w:val="0"/>
          <w:divBdr>
            <w:top w:val="none" w:sz="0" w:space="0" w:color="auto"/>
            <w:left w:val="none" w:sz="0" w:space="0" w:color="auto"/>
            <w:bottom w:val="none" w:sz="0" w:space="0" w:color="auto"/>
            <w:right w:val="none" w:sz="0" w:space="0" w:color="auto"/>
          </w:divBdr>
        </w:div>
        <w:div w:id="1770814684">
          <w:marLeft w:val="640"/>
          <w:marRight w:val="0"/>
          <w:marTop w:val="0"/>
          <w:marBottom w:val="0"/>
          <w:divBdr>
            <w:top w:val="none" w:sz="0" w:space="0" w:color="auto"/>
            <w:left w:val="none" w:sz="0" w:space="0" w:color="auto"/>
            <w:bottom w:val="none" w:sz="0" w:space="0" w:color="auto"/>
            <w:right w:val="none" w:sz="0" w:space="0" w:color="auto"/>
          </w:divBdr>
        </w:div>
        <w:div w:id="582178091">
          <w:marLeft w:val="640"/>
          <w:marRight w:val="0"/>
          <w:marTop w:val="0"/>
          <w:marBottom w:val="0"/>
          <w:divBdr>
            <w:top w:val="none" w:sz="0" w:space="0" w:color="auto"/>
            <w:left w:val="none" w:sz="0" w:space="0" w:color="auto"/>
            <w:bottom w:val="none" w:sz="0" w:space="0" w:color="auto"/>
            <w:right w:val="none" w:sz="0" w:space="0" w:color="auto"/>
          </w:divBdr>
        </w:div>
        <w:div w:id="2113238853">
          <w:marLeft w:val="640"/>
          <w:marRight w:val="0"/>
          <w:marTop w:val="0"/>
          <w:marBottom w:val="0"/>
          <w:divBdr>
            <w:top w:val="none" w:sz="0" w:space="0" w:color="auto"/>
            <w:left w:val="none" w:sz="0" w:space="0" w:color="auto"/>
            <w:bottom w:val="none" w:sz="0" w:space="0" w:color="auto"/>
            <w:right w:val="none" w:sz="0" w:space="0" w:color="auto"/>
          </w:divBdr>
        </w:div>
        <w:div w:id="984895003">
          <w:marLeft w:val="640"/>
          <w:marRight w:val="0"/>
          <w:marTop w:val="0"/>
          <w:marBottom w:val="0"/>
          <w:divBdr>
            <w:top w:val="none" w:sz="0" w:space="0" w:color="auto"/>
            <w:left w:val="none" w:sz="0" w:space="0" w:color="auto"/>
            <w:bottom w:val="none" w:sz="0" w:space="0" w:color="auto"/>
            <w:right w:val="none" w:sz="0" w:space="0" w:color="auto"/>
          </w:divBdr>
        </w:div>
        <w:div w:id="312108101">
          <w:marLeft w:val="640"/>
          <w:marRight w:val="0"/>
          <w:marTop w:val="0"/>
          <w:marBottom w:val="0"/>
          <w:divBdr>
            <w:top w:val="none" w:sz="0" w:space="0" w:color="auto"/>
            <w:left w:val="none" w:sz="0" w:space="0" w:color="auto"/>
            <w:bottom w:val="none" w:sz="0" w:space="0" w:color="auto"/>
            <w:right w:val="none" w:sz="0" w:space="0" w:color="auto"/>
          </w:divBdr>
        </w:div>
        <w:div w:id="1595280660">
          <w:marLeft w:val="640"/>
          <w:marRight w:val="0"/>
          <w:marTop w:val="0"/>
          <w:marBottom w:val="0"/>
          <w:divBdr>
            <w:top w:val="none" w:sz="0" w:space="0" w:color="auto"/>
            <w:left w:val="none" w:sz="0" w:space="0" w:color="auto"/>
            <w:bottom w:val="none" w:sz="0" w:space="0" w:color="auto"/>
            <w:right w:val="none" w:sz="0" w:space="0" w:color="auto"/>
          </w:divBdr>
        </w:div>
        <w:div w:id="1461873345">
          <w:marLeft w:val="640"/>
          <w:marRight w:val="0"/>
          <w:marTop w:val="0"/>
          <w:marBottom w:val="0"/>
          <w:divBdr>
            <w:top w:val="none" w:sz="0" w:space="0" w:color="auto"/>
            <w:left w:val="none" w:sz="0" w:space="0" w:color="auto"/>
            <w:bottom w:val="none" w:sz="0" w:space="0" w:color="auto"/>
            <w:right w:val="none" w:sz="0" w:space="0" w:color="auto"/>
          </w:divBdr>
        </w:div>
        <w:div w:id="420688904">
          <w:marLeft w:val="640"/>
          <w:marRight w:val="0"/>
          <w:marTop w:val="0"/>
          <w:marBottom w:val="0"/>
          <w:divBdr>
            <w:top w:val="none" w:sz="0" w:space="0" w:color="auto"/>
            <w:left w:val="none" w:sz="0" w:space="0" w:color="auto"/>
            <w:bottom w:val="none" w:sz="0" w:space="0" w:color="auto"/>
            <w:right w:val="none" w:sz="0" w:space="0" w:color="auto"/>
          </w:divBdr>
        </w:div>
        <w:div w:id="722797067">
          <w:marLeft w:val="640"/>
          <w:marRight w:val="0"/>
          <w:marTop w:val="0"/>
          <w:marBottom w:val="0"/>
          <w:divBdr>
            <w:top w:val="none" w:sz="0" w:space="0" w:color="auto"/>
            <w:left w:val="none" w:sz="0" w:space="0" w:color="auto"/>
            <w:bottom w:val="none" w:sz="0" w:space="0" w:color="auto"/>
            <w:right w:val="none" w:sz="0" w:space="0" w:color="auto"/>
          </w:divBdr>
        </w:div>
        <w:div w:id="1867137232">
          <w:marLeft w:val="640"/>
          <w:marRight w:val="0"/>
          <w:marTop w:val="0"/>
          <w:marBottom w:val="0"/>
          <w:divBdr>
            <w:top w:val="none" w:sz="0" w:space="0" w:color="auto"/>
            <w:left w:val="none" w:sz="0" w:space="0" w:color="auto"/>
            <w:bottom w:val="none" w:sz="0" w:space="0" w:color="auto"/>
            <w:right w:val="none" w:sz="0" w:space="0" w:color="auto"/>
          </w:divBdr>
        </w:div>
        <w:div w:id="2123105165">
          <w:marLeft w:val="640"/>
          <w:marRight w:val="0"/>
          <w:marTop w:val="0"/>
          <w:marBottom w:val="0"/>
          <w:divBdr>
            <w:top w:val="none" w:sz="0" w:space="0" w:color="auto"/>
            <w:left w:val="none" w:sz="0" w:space="0" w:color="auto"/>
            <w:bottom w:val="none" w:sz="0" w:space="0" w:color="auto"/>
            <w:right w:val="none" w:sz="0" w:space="0" w:color="auto"/>
          </w:divBdr>
        </w:div>
        <w:div w:id="1403329407">
          <w:marLeft w:val="640"/>
          <w:marRight w:val="0"/>
          <w:marTop w:val="0"/>
          <w:marBottom w:val="0"/>
          <w:divBdr>
            <w:top w:val="none" w:sz="0" w:space="0" w:color="auto"/>
            <w:left w:val="none" w:sz="0" w:space="0" w:color="auto"/>
            <w:bottom w:val="none" w:sz="0" w:space="0" w:color="auto"/>
            <w:right w:val="none" w:sz="0" w:space="0" w:color="auto"/>
          </w:divBdr>
        </w:div>
        <w:div w:id="1739355429">
          <w:marLeft w:val="640"/>
          <w:marRight w:val="0"/>
          <w:marTop w:val="0"/>
          <w:marBottom w:val="0"/>
          <w:divBdr>
            <w:top w:val="none" w:sz="0" w:space="0" w:color="auto"/>
            <w:left w:val="none" w:sz="0" w:space="0" w:color="auto"/>
            <w:bottom w:val="none" w:sz="0" w:space="0" w:color="auto"/>
            <w:right w:val="none" w:sz="0" w:space="0" w:color="auto"/>
          </w:divBdr>
        </w:div>
        <w:div w:id="929704794">
          <w:marLeft w:val="640"/>
          <w:marRight w:val="0"/>
          <w:marTop w:val="0"/>
          <w:marBottom w:val="0"/>
          <w:divBdr>
            <w:top w:val="none" w:sz="0" w:space="0" w:color="auto"/>
            <w:left w:val="none" w:sz="0" w:space="0" w:color="auto"/>
            <w:bottom w:val="none" w:sz="0" w:space="0" w:color="auto"/>
            <w:right w:val="none" w:sz="0" w:space="0" w:color="auto"/>
          </w:divBdr>
        </w:div>
        <w:div w:id="1028525892">
          <w:marLeft w:val="640"/>
          <w:marRight w:val="0"/>
          <w:marTop w:val="0"/>
          <w:marBottom w:val="0"/>
          <w:divBdr>
            <w:top w:val="none" w:sz="0" w:space="0" w:color="auto"/>
            <w:left w:val="none" w:sz="0" w:space="0" w:color="auto"/>
            <w:bottom w:val="none" w:sz="0" w:space="0" w:color="auto"/>
            <w:right w:val="none" w:sz="0" w:space="0" w:color="auto"/>
          </w:divBdr>
        </w:div>
        <w:div w:id="784081941">
          <w:marLeft w:val="640"/>
          <w:marRight w:val="0"/>
          <w:marTop w:val="0"/>
          <w:marBottom w:val="0"/>
          <w:divBdr>
            <w:top w:val="none" w:sz="0" w:space="0" w:color="auto"/>
            <w:left w:val="none" w:sz="0" w:space="0" w:color="auto"/>
            <w:bottom w:val="none" w:sz="0" w:space="0" w:color="auto"/>
            <w:right w:val="none" w:sz="0" w:space="0" w:color="auto"/>
          </w:divBdr>
        </w:div>
        <w:div w:id="1454060742">
          <w:marLeft w:val="640"/>
          <w:marRight w:val="0"/>
          <w:marTop w:val="0"/>
          <w:marBottom w:val="0"/>
          <w:divBdr>
            <w:top w:val="none" w:sz="0" w:space="0" w:color="auto"/>
            <w:left w:val="none" w:sz="0" w:space="0" w:color="auto"/>
            <w:bottom w:val="none" w:sz="0" w:space="0" w:color="auto"/>
            <w:right w:val="none" w:sz="0" w:space="0" w:color="auto"/>
          </w:divBdr>
        </w:div>
        <w:div w:id="736978872">
          <w:marLeft w:val="640"/>
          <w:marRight w:val="0"/>
          <w:marTop w:val="0"/>
          <w:marBottom w:val="0"/>
          <w:divBdr>
            <w:top w:val="none" w:sz="0" w:space="0" w:color="auto"/>
            <w:left w:val="none" w:sz="0" w:space="0" w:color="auto"/>
            <w:bottom w:val="none" w:sz="0" w:space="0" w:color="auto"/>
            <w:right w:val="none" w:sz="0" w:space="0" w:color="auto"/>
          </w:divBdr>
        </w:div>
        <w:div w:id="692262712">
          <w:marLeft w:val="640"/>
          <w:marRight w:val="0"/>
          <w:marTop w:val="0"/>
          <w:marBottom w:val="0"/>
          <w:divBdr>
            <w:top w:val="none" w:sz="0" w:space="0" w:color="auto"/>
            <w:left w:val="none" w:sz="0" w:space="0" w:color="auto"/>
            <w:bottom w:val="none" w:sz="0" w:space="0" w:color="auto"/>
            <w:right w:val="none" w:sz="0" w:space="0" w:color="auto"/>
          </w:divBdr>
        </w:div>
        <w:div w:id="1027680314">
          <w:marLeft w:val="640"/>
          <w:marRight w:val="0"/>
          <w:marTop w:val="0"/>
          <w:marBottom w:val="0"/>
          <w:divBdr>
            <w:top w:val="none" w:sz="0" w:space="0" w:color="auto"/>
            <w:left w:val="none" w:sz="0" w:space="0" w:color="auto"/>
            <w:bottom w:val="none" w:sz="0" w:space="0" w:color="auto"/>
            <w:right w:val="none" w:sz="0" w:space="0" w:color="auto"/>
          </w:divBdr>
        </w:div>
        <w:div w:id="1204056344">
          <w:marLeft w:val="640"/>
          <w:marRight w:val="0"/>
          <w:marTop w:val="0"/>
          <w:marBottom w:val="0"/>
          <w:divBdr>
            <w:top w:val="none" w:sz="0" w:space="0" w:color="auto"/>
            <w:left w:val="none" w:sz="0" w:space="0" w:color="auto"/>
            <w:bottom w:val="none" w:sz="0" w:space="0" w:color="auto"/>
            <w:right w:val="none" w:sz="0" w:space="0" w:color="auto"/>
          </w:divBdr>
        </w:div>
        <w:div w:id="1465393056">
          <w:marLeft w:val="640"/>
          <w:marRight w:val="0"/>
          <w:marTop w:val="0"/>
          <w:marBottom w:val="0"/>
          <w:divBdr>
            <w:top w:val="none" w:sz="0" w:space="0" w:color="auto"/>
            <w:left w:val="none" w:sz="0" w:space="0" w:color="auto"/>
            <w:bottom w:val="none" w:sz="0" w:space="0" w:color="auto"/>
            <w:right w:val="none" w:sz="0" w:space="0" w:color="auto"/>
          </w:divBdr>
        </w:div>
        <w:div w:id="1395157562">
          <w:marLeft w:val="640"/>
          <w:marRight w:val="0"/>
          <w:marTop w:val="0"/>
          <w:marBottom w:val="0"/>
          <w:divBdr>
            <w:top w:val="none" w:sz="0" w:space="0" w:color="auto"/>
            <w:left w:val="none" w:sz="0" w:space="0" w:color="auto"/>
            <w:bottom w:val="none" w:sz="0" w:space="0" w:color="auto"/>
            <w:right w:val="none" w:sz="0" w:space="0" w:color="auto"/>
          </w:divBdr>
        </w:div>
        <w:div w:id="1804930928">
          <w:marLeft w:val="640"/>
          <w:marRight w:val="0"/>
          <w:marTop w:val="0"/>
          <w:marBottom w:val="0"/>
          <w:divBdr>
            <w:top w:val="none" w:sz="0" w:space="0" w:color="auto"/>
            <w:left w:val="none" w:sz="0" w:space="0" w:color="auto"/>
            <w:bottom w:val="none" w:sz="0" w:space="0" w:color="auto"/>
            <w:right w:val="none" w:sz="0" w:space="0" w:color="auto"/>
          </w:divBdr>
        </w:div>
        <w:div w:id="1516456005">
          <w:marLeft w:val="640"/>
          <w:marRight w:val="0"/>
          <w:marTop w:val="0"/>
          <w:marBottom w:val="0"/>
          <w:divBdr>
            <w:top w:val="none" w:sz="0" w:space="0" w:color="auto"/>
            <w:left w:val="none" w:sz="0" w:space="0" w:color="auto"/>
            <w:bottom w:val="none" w:sz="0" w:space="0" w:color="auto"/>
            <w:right w:val="none" w:sz="0" w:space="0" w:color="auto"/>
          </w:divBdr>
        </w:div>
        <w:div w:id="667952037">
          <w:marLeft w:val="640"/>
          <w:marRight w:val="0"/>
          <w:marTop w:val="0"/>
          <w:marBottom w:val="0"/>
          <w:divBdr>
            <w:top w:val="none" w:sz="0" w:space="0" w:color="auto"/>
            <w:left w:val="none" w:sz="0" w:space="0" w:color="auto"/>
            <w:bottom w:val="none" w:sz="0" w:space="0" w:color="auto"/>
            <w:right w:val="none" w:sz="0" w:space="0" w:color="auto"/>
          </w:divBdr>
        </w:div>
        <w:div w:id="376468419">
          <w:marLeft w:val="640"/>
          <w:marRight w:val="0"/>
          <w:marTop w:val="0"/>
          <w:marBottom w:val="0"/>
          <w:divBdr>
            <w:top w:val="none" w:sz="0" w:space="0" w:color="auto"/>
            <w:left w:val="none" w:sz="0" w:space="0" w:color="auto"/>
            <w:bottom w:val="none" w:sz="0" w:space="0" w:color="auto"/>
            <w:right w:val="none" w:sz="0" w:space="0" w:color="auto"/>
          </w:divBdr>
        </w:div>
        <w:div w:id="766772823">
          <w:marLeft w:val="640"/>
          <w:marRight w:val="0"/>
          <w:marTop w:val="0"/>
          <w:marBottom w:val="0"/>
          <w:divBdr>
            <w:top w:val="none" w:sz="0" w:space="0" w:color="auto"/>
            <w:left w:val="none" w:sz="0" w:space="0" w:color="auto"/>
            <w:bottom w:val="none" w:sz="0" w:space="0" w:color="auto"/>
            <w:right w:val="none" w:sz="0" w:space="0" w:color="auto"/>
          </w:divBdr>
        </w:div>
        <w:div w:id="1289891139">
          <w:marLeft w:val="640"/>
          <w:marRight w:val="0"/>
          <w:marTop w:val="0"/>
          <w:marBottom w:val="0"/>
          <w:divBdr>
            <w:top w:val="none" w:sz="0" w:space="0" w:color="auto"/>
            <w:left w:val="none" w:sz="0" w:space="0" w:color="auto"/>
            <w:bottom w:val="none" w:sz="0" w:space="0" w:color="auto"/>
            <w:right w:val="none" w:sz="0" w:space="0" w:color="auto"/>
          </w:divBdr>
        </w:div>
        <w:div w:id="1749889196">
          <w:marLeft w:val="640"/>
          <w:marRight w:val="0"/>
          <w:marTop w:val="0"/>
          <w:marBottom w:val="0"/>
          <w:divBdr>
            <w:top w:val="none" w:sz="0" w:space="0" w:color="auto"/>
            <w:left w:val="none" w:sz="0" w:space="0" w:color="auto"/>
            <w:bottom w:val="none" w:sz="0" w:space="0" w:color="auto"/>
            <w:right w:val="none" w:sz="0" w:space="0" w:color="auto"/>
          </w:divBdr>
        </w:div>
        <w:div w:id="1173451699">
          <w:marLeft w:val="640"/>
          <w:marRight w:val="0"/>
          <w:marTop w:val="0"/>
          <w:marBottom w:val="0"/>
          <w:divBdr>
            <w:top w:val="none" w:sz="0" w:space="0" w:color="auto"/>
            <w:left w:val="none" w:sz="0" w:space="0" w:color="auto"/>
            <w:bottom w:val="none" w:sz="0" w:space="0" w:color="auto"/>
            <w:right w:val="none" w:sz="0" w:space="0" w:color="auto"/>
          </w:divBdr>
        </w:div>
        <w:div w:id="1436100336">
          <w:marLeft w:val="640"/>
          <w:marRight w:val="0"/>
          <w:marTop w:val="0"/>
          <w:marBottom w:val="0"/>
          <w:divBdr>
            <w:top w:val="none" w:sz="0" w:space="0" w:color="auto"/>
            <w:left w:val="none" w:sz="0" w:space="0" w:color="auto"/>
            <w:bottom w:val="none" w:sz="0" w:space="0" w:color="auto"/>
            <w:right w:val="none" w:sz="0" w:space="0" w:color="auto"/>
          </w:divBdr>
        </w:div>
        <w:div w:id="1659118073">
          <w:marLeft w:val="640"/>
          <w:marRight w:val="0"/>
          <w:marTop w:val="0"/>
          <w:marBottom w:val="0"/>
          <w:divBdr>
            <w:top w:val="none" w:sz="0" w:space="0" w:color="auto"/>
            <w:left w:val="none" w:sz="0" w:space="0" w:color="auto"/>
            <w:bottom w:val="none" w:sz="0" w:space="0" w:color="auto"/>
            <w:right w:val="none" w:sz="0" w:space="0" w:color="auto"/>
          </w:divBdr>
        </w:div>
        <w:div w:id="1311515688">
          <w:marLeft w:val="640"/>
          <w:marRight w:val="0"/>
          <w:marTop w:val="0"/>
          <w:marBottom w:val="0"/>
          <w:divBdr>
            <w:top w:val="none" w:sz="0" w:space="0" w:color="auto"/>
            <w:left w:val="none" w:sz="0" w:space="0" w:color="auto"/>
            <w:bottom w:val="none" w:sz="0" w:space="0" w:color="auto"/>
            <w:right w:val="none" w:sz="0" w:space="0" w:color="auto"/>
          </w:divBdr>
        </w:div>
        <w:div w:id="396706745">
          <w:marLeft w:val="640"/>
          <w:marRight w:val="0"/>
          <w:marTop w:val="0"/>
          <w:marBottom w:val="0"/>
          <w:divBdr>
            <w:top w:val="none" w:sz="0" w:space="0" w:color="auto"/>
            <w:left w:val="none" w:sz="0" w:space="0" w:color="auto"/>
            <w:bottom w:val="none" w:sz="0" w:space="0" w:color="auto"/>
            <w:right w:val="none" w:sz="0" w:space="0" w:color="auto"/>
          </w:divBdr>
        </w:div>
        <w:div w:id="751391857">
          <w:marLeft w:val="640"/>
          <w:marRight w:val="0"/>
          <w:marTop w:val="0"/>
          <w:marBottom w:val="0"/>
          <w:divBdr>
            <w:top w:val="none" w:sz="0" w:space="0" w:color="auto"/>
            <w:left w:val="none" w:sz="0" w:space="0" w:color="auto"/>
            <w:bottom w:val="none" w:sz="0" w:space="0" w:color="auto"/>
            <w:right w:val="none" w:sz="0" w:space="0" w:color="auto"/>
          </w:divBdr>
        </w:div>
        <w:div w:id="402142578">
          <w:marLeft w:val="640"/>
          <w:marRight w:val="0"/>
          <w:marTop w:val="0"/>
          <w:marBottom w:val="0"/>
          <w:divBdr>
            <w:top w:val="none" w:sz="0" w:space="0" w:color="auto"/>
            <w:left w:val="none" w:sz="0" w:space="0" w:color="auto"/>
            <w:bottom w:val="none" w:sz="0" w:space="0" w:color="auto"/>
            <w:right w:val="none" w:sz="0" w:space="0" w:color="auto"/>
          </w:divBdr>
        </w:div>
        <w:div w:id="23410992">
          <w:marLeft w:val="640"/>
          <w:marRight w:val="0"/>
          <w:marTop w:val="0"/>
          <w:marBottom w:val="0"/>
          <w:divBdr>
            <w:top w:val="none" w:sz="0" w:space="0" w:color="auto"/>
            <w:left w:val="none" w:sz="0" w:space="0" w:color="auto"/>
            <w:bottom w:val="none" w:sz="0" w:space="0" w:color="auto"/>
            <w:right w:val="none" w:sz="0" w:space="0" w:color="auto"/>
          </w:divBdr>
        </w:div>
        <w:div w:id="30886555">
          <w:marLeft w:val="640"/>
          <w:marRight w:val="0"/>
          <w:marTop w:val="0"/>
          <w:marBottom w:val="0"/>
          <w:divBdr>
            <w:top w:val="none" w:sz="0" w:space="0" w:color="auto"/>
            <w:left w:val="none" w:sz="0" w:space="0" w:color="auto"/>
            <w:bottom w:val="none" w:sz="0" w:space="0" w:color="auto"/>
            <w:right w:val="none" w:sz="0" w:space="0" w:color="auto"/>
          </w:divBdr>
        </w:div>
        <w:div w:id="1091656381">
          <w:marLeft w:val="640"/>
          <w:marRight w:val="0"/>
          <w:marTop w:val="0"/>
          <w:marBottom w:val="0"/>
          <w:divBdr>
            <w:top w:val="none" w:sz="0" w:space="0" w:color="auto"/>
            <w:left w:val="none" w:sz="0" w:space="0" w:color="auto"/>
            <w:bottom w:val="none" w:sz="0" w:space="0" w:color="auto"/>
            <w:right w:val="none" w:sz="0" w:space="0" w:color="auto"/>
          </w:divBdr>
        </w:div>
        <w:div w:id="430049571">
          <w:marLeft w:val="640"/>
          <w:marRight w:val="0"/>
          <w:marTop w:val="0"/>
          <w:marBottom w:val="0"/>
          <w:divBdr>
            <w:top w:val="none" w:sz="0" w:space="0" w:color="auto"/>
            <w:left w:val="none" w:sz="0" w:space="0" w:color="auto"/>
            <w:bottom w:val="none" w:sz="0" w:space="0" w:color="auto"/>
            <w:right w:val="none" w:sz="0" w:space="0" w:color="auto"/>
          </w:divBdr>
        </w:div>
        <w:div w:id="236983859">
          <w:marLeft w:val="640"/>
          <w:marRight w:val="0"/>
          <w:marTop w:val="0"/>
          <w:marBottom w:val="0"/>
          <w:divBdr>
            <w:top w:val="none" w:sz="0" w:space="0" w:color="auto"/>
            <w:left w:val="none" w:sz="0" w:space="0" w:color="auto"/>
            <w:bottom w:val="none" w:sz="0" w:space="0" w:color="auto"/>
            <w:right w:val="none" w:sz="0" w:space="0" w:color="auto"/>
          </w:divBdr>
        </w:div>
        <w:div w:id="1084300052">
          <w:marLeft w:val="640"/>
          <w:marRight w:val="0"/>
          <w:marTop w:val="0"/>
          <w:marBottom w:val="0"/>
          <w:divBdr>
            <w:top w:val="none" w:sz="0" w:space="0" w:color="auto"/>
            <w:left w:val="none" w:sz="0" w:space="0" w:color="auto"/>
            <w:bottom w:val="none" w:sz="0" w:space="0" w:color="auto"/>
            <w:right w:val="none" w:sz="0" w:space="0" w:color="auto"/>
          </w:divBdr>
        </w:div>
        <w:div w:id="1648852722">
          <w:marLeft w:val="640"/>
          <w:marRight w:val="0"/>
          <w:marTop w:val="0"/>
          <w:marBottom w:val="0"/>
          <w:divBdr>
            <w:top w:val="none" w:sz="0" w:space="0" w:color="auto"/>
            <w:left w:val="none" w:sz="0" w:space="0" w:color="auto"/>
            <w:bottom w:val="none" w:sz="0" w:space="0" w:color="auto"/>
            <w:right w:val="none" w:sz="0" w:space="0" w:color="auto"/>
          </w:divBdr>
        </w:div>
        <w:div w:id="952978584">
          <w:marLeft w:val="640"/>
          <w:marRight w:val="0"/>
          <w:marTop w:val="0"/>
          <w:marBottom w:val="0"/>
          <w:divBdr>
            <w:top w:val="none" w:sz="0" w:space="0" w:color="auto"/>
            <w:left w:val="none" w:sz="0" w:space="0" w:color="auto"/>
            <w:bottom w:val="none" w:sz="0" w:space="0" w:color="auto"/>
            <w:right w:val="none" w:sz="0" w:space="0" w:color="auto"/>
          </w:divBdr>
        </w:div>
        <w:div w:id="1890871491">
          <w:marLeft w:val="640"/>
          <w:marRight w:val="0"/>
          <w:marTop w:val="0"/>
          <w:marBottom w:val="0"/>
          <w:divBdr>
            <w:top w:val="none" w:sz="0" w:space="0" w:color="auto"/>
            <w:left w:val="none" w:sz="0" w:space="0" w:color="auto"/>
            <w:bottom w:val="none" w:sz="0" w:space="0" w:color="auto"/>
            <w:right w:val="none" w:sz="0" w:space="0" w:color="auto"/>
          </w:divBdr>
        </w:div>
        <w:div w:id="458576001">
          <w:marLeft w:val="640"/>
          <w:marRight w:val="0"/>
          <w:marTop w:val="0"/>
          <w:marBottom w:val="0"/>
          <w:divBdr>
            <w:top w:val="none" w:sz="0" w:space="0" w:color="auto"/>
            <w:left w:val="none" w:sz="0" w:space="0" w:color="auto"/>
            <w:bottom w:val="none" w:sz="0" w:space="0" w:color="auto"/>
            <w:right w:val="none" w:sz="0" w:space="0" w:color="auto"/>
          </w:divBdr>
        </w:div>
        <w:div w:id="2023580234">
          <w:marLeft w:val="640"/>
          <w:marRight w:val="0"/>
          <w:marTop w:val="0"/>
          <w:marBottom w:val="0"/>
          <w:divBdr>
            <w:top w:val="none" w:sz="0" w:space="0" w:color="auto"/>
            <w:left w:val="none" w:sz="0" w:space="0" w:color="auto"/>
            <w:bottom w:val="none" w:sz="0" w:space="0" w:color="auto"/>
            <w:right w:val="none" w:sz="0" w:space="0" w:color="auto"/>
          </w:divBdr>
        </w:div>
        <w:div w:id="1717506037">
          <w:marLeft w:val="640"/>
          <w:marRight w:val="0"/>
          <w:marTop w:val="0"/>
          <w:marBottom w:val="0"/>
          <w:divBdr>
            <w:top w:val="none" w:sz="0" w:space="0" w:color="auto"/>
            <w:left w:val="none" w:sz="0" w:space="0" w:color="auto"/>
            <w:bottom w:val="none" w:sz="0" w:space="0" w:color="auto"/>
            <w:right w:val="none" w:sz="0" w:space="0" w:color="auto"/>
          </w:divBdr>
        </w:div>
        <w:div w:id="945622100">
          <w:marLeft w:val="640"/>
          <w:marRight w:val="0"/>
          <w:marTop w:val="0"/>
          <w:marBottom w:val="0"/>
          <w:divBdr>
            <w:top w:val="none" w:sz="0" w:space="0" w:color="auto"/>
            <w:left w:val="none" w:sz="0" w:space="0" w:color="auto"/>
            <w:bottom w:val="none" w:sz="0" w:space="0" w:color="auto"/>
            <w:right w:val="none" w:sz="0" w:space="0" w:color="auto"/>
          </w:divBdr>
        </w:div>
        <w:div w:id="69888311">
          <w:marLeft w:val="640"/>
          <w:marRight w:val="0"/>
          <w:marTop w:val="0"/>
          <w:marBottom w:val="0"/>
          <w:divBdr>
            <w:top w:val="none" w:sz="0" w:space="0" w:color="auto"/>
            <w:left w:val="none" w:sz="0" w:space="0" w:color="auto"/>
            <w:bottom w:val="none" w:sz="0" w:space="0" w:color="auto"/>
            <w:right w:val="none" w:sz="0" w:space="0" w:color="auto"/>
          </w:divBdr>
        </w:div>
        <w:div w:id="232735728">
          <w:marLeft w:val="640"/>
          <w:marRight w:val="0"/>
          <w:marTop w:val="0"/>
          <w:marBottom w:val="0"/>
          <w:divBdr>
            <w:top w:val="none" w:sz="0" w:space="0" w:color="auto"/>
            <w:left w:val="none" w:sz="0" w:space="0" w:color="auto"/>
            <w:bottom w:val="none" w:sz="0" w:space="0" w:color="auto"/>
            <w:right w:val="none" w:sz="0" w:space="0" w:color="auto"/>
          </w:divBdr>
        </w:div>
        <w:div w:id="1915164792">
          <w:marLeft w:val="640"/>
          <w:marRight w:val="0"/>
          <w:marTop w:val="0"/>
          <w:marBottom w:val="0"/>
          <w:divBdr>
            <w:top w:val="none" w:sz="0" w:space="0" w:color="auto"/>
            <w:left w:val="none" w:sz="0" w:space="0" w:color="auto"/>
            <w:bottom w:val="none" w:sz="0" w:space="0" w:color="auto"/>
            <w:right w:val="none" w:sz="0" w:space="0" w:color="auto"/>
          </w:divBdr>
        </w:div>
        <w:div w:id="1142967579">
          <w:marLeft w:val="640"/>
          <w:marRight w:val="0"/>
          <w:marTop w:val="0"/>
          <w:marBottom w:val="0"/>
          <w:divBdr>
            <w:top w:val="none" w:sz="0" w:space="0" w:color="auto"/>
            <w:left w:val="none" w:sz="0" w:space="0" w:color="auto"/>
            <w:bottom w:val="none" w:sz="0" w:space="0" w:color="auto"/>
            <w:right w:val="none" w:sz="0" w:space="0" w:color="auto"/>
          </w:divBdr>
        </w:div>
        <w:div w:id="823665119">
          <w:marLeft w:val="640"/>
          <w:marRight w:val="0"/>
          <w:marTop w:val="0"/>
          <w:marBottom w:val="0"/>
          <w:divBdr>
            <w:top w:val="none" w:sz="0" w:space="0" w:color="auto"/>
            <w:left w:val="none" w:sz="0" w:space="0" w:color="auto"/>
            <w:bottom w:val="none" w:sz="0" w:space="0" w:color="auto"/>
            <w:right w:val="none" w:sz="0" w:space="0" w:color="auto"/>
          </w:divBdr>
        </w:div>
        <w:div w:id="2058698210">
          <w:marLeft w:val="640"/>
          <w:marRight w:val="0"/>
          <w:marTop w:val="0"/>
          <w:marBottom w:val="0"/>
          <w:divBdr>
            <w:top w:val="none" w:sz="0" w:space="0" w:color="auto"/>
            <w:left w:val="none" w:sz="0" w:space="0" w:color="auto"/>
            <w:bottom w:val="none" w:sz="0" w:space="0" w:color="auto"/>
            <w:right w:val="none" w:sz="0" w:space="0" w:color="auto"/>
          </w:divBdr>
        </w:div>
        <w:div w:id="449935467">
          <w:marLeft w:val="640"/>
          <w:marRight w:val="0"/>
          <w:marTop w:val="0"/>
          <w:marBottom w:val="0"/>
          <w:divBdr>
            <w:top w:val="none" w:sz="0" w:space="0" w:color="auto"/>
            <w:left w:val="none" w:sz="0" w:space="0" w:color="auto"/>
            <w:bottom w:val="none" w:sz="0" w:space="0" w:color="auto"/>
            <w:right w:val="none" w:sz="0" w:space="0" w:color="auto"/>
          </w:divBdr>
        </w:div>
        <w:div w:id="1576357090">
          <w:marLeft w:val="640"/>
          <w:marRight w:val="0"/>
          <w:marTop w:val="0"/>
          <w:marBottom w:val="0"/>
          <w:divBdr>
            <w:top w:val="none" w:sz="0" w:space="0" w:color="auto"/>
            <w:left w:val="none" w:sz="0" w:space="0" w:color="auto"/>
            <w:bottom w:val="none" w:sz="0" w:space="0" w:color="auto"/>
            <w:right w:val="none" w:sz="0" w:space="0" w:color="auto"/>
          </w:divBdr>
        </w:div>
        <w:div w:id="692152894">
          <w:marLeft w:val="640"/>
          <w:marRight w:val="0"/>
          <w:marTop w:val="0"/>
          <w:marBottom w:val="0"/>
          <w:divBdr>
            <w:top w:val="none" w:sz="0" w:space="0" w:color="auto"/>
            <w:left w:val="none" w:sz="0" w:space="0" w:color="auto"/>
            <w:bottom w:val="none" w:sz="0" w:space="0" w:color="auto"/>
            <w:right w:val="none" w:sz="0" w:space="0" w:color="auto"/>
          </w:divBdr>
        </w:div>
        <w:div w:id="2066027954">
          <w:marLeft w:val="640"/>
          <w:marRight w:val="0"/>
          <w:marTop w:val="0"/>
          <w:marBottom w:val="0"/>
          <w:divBdr>
            <w:top w:val="none" w:sz="0" w:space="0" w:color="auto"/>
            <w:left w:val="none" w:sz="0" w:space="0" w:color="auto"/>
            <w:bottom w:val="none" w:sz="0" w:space="0" w:color="auto"/>
            <w:right w:val="none" w:sz="0" w:space="0" w:color="auto"/>
          </w:divBdr>
        </w:div>
        <w:div w:id="1829326567">
          <w:marLeft w:val="640"/>
          <w:marRight w:val="0"/>
          <w:marTop w:val="0"/>
          <w:marBottom w:val="0"/>
          <w:divBdr>
            <w:top w:val="none" w:sz="0" w:space="0" w:color="auto"/>
            <w:left w:val="none" w:sz="0" w:space="0" w:color="auto"/>
            <w:bottom w:val="none" w:sz="0" w:space="0" w:color="auto"/>
            <w:right w:val="none" w:sz="0" w:space="0" w:color="auto"/>
          </w:divBdr>
        </w:div>
        <w:div w:id="226307809">
          <w:marLeft w:val="640"/>
          <w:marRight w:val="0"/>
          <w:marTop w:val="0"/>
          <w:marBottom w:val="0"/>
          <w:divBdr>
            <w:top w:val="none" w:sz="0" w:space="0" w:color="auto"/>
            <w:left w:val="none" w:sz="0" w:space="0" w:color="auto"/>
            <w:bottom w:val="none" w:sz="0" w:space="0" w:color="auto"/>
            <w:right w:val="none" w:sz="0" w:space="0" w:color="auto"/>
          </w:divBdr>
        </w:div>
        <w:div w:id="373696455">
          <w:marLeft w:val="640"/>
          <w:marRight w:val="0"/>
          <w:marTop w:val="0"/>
          <w:marBottom w:val="0"/>
          <w:divBdr>
            <w:top w:val="none" w:sz="0" w:space="0" w:color="auto"/>
            <w:left w:val="none" w:sz="0" w:space="0" w:color="auto"/>
            <w:bottom w:val="none" w:sz="0" w:space="0" w:color="auto"/>
            <w:right w:val="none" w:sz="0" w:space="0" w:color="auto"/>
          </w:divBdr>
        </w:div>
      </w:divsChild>
    </w:div>
    <w:div w:id="54670186">
      <w:bodyDiv w:val="1"/>
      <w:marLeft w:val="0"/>
      <w:marRight w:val="0"/>
      <w:marTop w:val="0"/>
      <w:marBottom w:val="0"/>
      <w:divBdr>
        <w:top w:val="none" w:sz="0" w:space="0" w:color="auto"/>
        <w:left w:val="none" w:sz="0" w:space="0" w:color="auto"/>
        <w:bottom w:val="none" w:sz="0" w:space="0" w:color="auto"/>
        <w:right w:val="none" w:sz="0" w:space="0" w:color="auto"/>
      </w:divBdr>
    </w:div>
    <w:div w:id="56559453">
      <w:bodyDiv w:val="1"/>
      <w:marLeft w:val="0"/>
      <w:marRight w:val="0"/>
      <w:marTop w:val="0"/>
      <w:marBottom w:val="0"/>
      <w:divBdr>
        <w:top w:val="none" w:sz="0" w:space="0" w:color="auto"/>
        <w:left w:val="none" w:sz="0" w:space="0" w:color="auto"/>
        <w:bottom w:val="none" w:sz="0" w:space="0" w:color="auto"/>
        <w:right w:val="none" w:sz="0" w:space="0" w:color="auto"/>
      </w:divBdr>
    </w:div>
    <w:div w:id="57285415">
      <w:bodyDiv w:val="1"/>
      <w:marLeft w:val="0"/>
      <w:marRight w:val="0"/>
      <w:marTop w:val="0"/>
      <w:marBottom w:val="0"/>
      <w:divBdr>
        <w:top w:val="none" w:sz="0" w:space="0" w:color="auto"/>
        <w:left w:val="none" w:sz="0" w:space="0" w:color="auto"/>
        <w:bottom w:val="none" w:sz="0" w:space="0" w:color="auto"/>
        <w:right w:val="none" w:sz="0" w:space="0" w:color="auto"/>
      </w:divBdr>
    </w:div>
    <w:div w:id="57554549">
      <w:bodyDiv w:val="1"/>
      <w:marLeft w:val="0"/>
      <w:marRight w:val="0"/>
      <w:marTop w:val="0"/>
      <w:marBottom w:val="0"/>
      <w:divBdr>
        <w:top w:val="none" w:sz="0" w:space="0" w:color="auto"/>
        <w:left w:val="none" w:sz="0" w:space="0" w:color="auto"/>
        <w:bottom w:val="none" w:sz="0" w:space="0" w:color="auto"/>
        <w:right w:val="none" w:sz="0" w:space="0" w:color="auto"/>
      </w:divBdr>
    </w:div>
    <w:div w:id="59716256">
      <w:bodyDiv w:val="1"/>
      <w:marLeft w:val="0"/>
      <w:marRight w:val="0"/>
      <w:marTop w:val="0"/>
      <w:marBottom w:val="0"/>
      <w:divBdr>
        <w:top w:val="none" w:sz="0" w:space="0" w:color="auto"/>
        <w:left w:val="none" w:sz="0" w:space="0" w:color="auto"/>
        <w:bottom w:val="none" w:sz="0" w:space="0" w:color="auto"/>
        <w:right w:val="none" w:sz="0" w:space="0" w:color="auto"/>
      </w:divBdr>
    </w:div>
    <w:div w:id="59863012">
      <w:bodyDiv w:val="1"/>
      <w:marLeft w:val="0"/>
      <w:marRight w:val="0"/>
      <w:marTop w:val="0"/>
      <w:marBottom w:val="0"/>
      <w:divBdr>
        <w:top w:val="none" w:sz="0" w:space="0" w:color="auto"/>
        <w:left w:val="none" w:sz="0" w:space="0" w:color="auto"/>
        <w:bottom w:val="none" w:sz="0" w:space="0" w:color="auto"/>
        <w:right w:val="none" w:sz="0" w:space="0" w:color="auto"/>
      </w:divBdr>
    </w:div>
    <w:div w:id="60374630">
      <w:bodyDiv w:val="1"/>
      <w:marLeft w:val="0"/>
      <w:marRight w:val="0"/>
      <w:marTop w:val="0"/>
      <w:marBottom w:val="0"/>
      <w:divBdr>
        <w:top w:val="none" w:sz="0" w:space="0" w:color="auto"/>
        <w:left w:val="none" w:sz="0" w:space="0" w:color="auto"/>
        <w:bottom w:val="none" w:sz="0" w:space="0" w:color="auto"/>
        <w:right w:val="none" w:sz="0" w:space="0" w:color="auto"/>
      </w:divBdr>
    </w:div>
    <w:div w:id="61298208">
      <w:bodyDiv w:val="1"/>
      <w:marLeft w:val="0"/>
      <w:marRight w:val="0"/>
      <w:marTop w:val="0"/>
      <w:marBottom w:val="0"/>
      <w:divBdr>
        <w:top w:val="none" w:sz="0" w:space="0" w:color="auto"/>
        <w:left w:val="none" w:sz="0" w:space="0" w:color="auto"/>
        <w:bottom w:val="none" w:sz="0" w:space="0" w:color="auto"/>
        <w:right w:val="none" w:sz="0" w:space="0" w:color="auto"/>
      </w:divBdr>
    </w:div>
    <w:div w:id="64110885">
      <w:bodyDiv w:val="1"/>
      <w:marLeft w:val="0"/>
      <w:marRight w:val="0"/>
      <w:marTop w:val="0"/>
      <w:marBottom w:val="0"/>
      <w:divBdr>
        <w:top w:val="none" w:sz="0" w:space="0" w:color="auto"/>
        <w:left w:val="none" w:sz="0" w:space="0" w:color="auto"/>
        <w:bottom w:val="none" w:sz="0" w:space="0" w:color="auto"/>
        <w:right w:val="none" w:sz="0" w:space="0" w:color="auto"/>
      </w:divBdr>
    </w:div>
    <w:div w:id="65612285">
      <w:bodyDiv w:val="1"/>
      <w:marLeft w:val="0"/>
      <w:marRight w:val="0"/>
      <w:marTop w:val="0"/>
      <w:marBottom w:val="0"/>
      <w:divBdr>
        <w:top w:val="none" w:sz="0" w:space="0" w:color="auto"/>
        <w:left w:val="none" w:sz="0" w:space="0" w:color="auto"/>
        <w:bottom w:val="none" w:sz="0" w:space="0" w:color="auto"/>
        <w:right w:val="none" w:sz="0" w:space="0" w:color="auto"/>
      </w:divBdr>
    </w:div>
    <w:div w:id="66266521">
      <w:bodyDiv w:val="1"/>
      <w:marLeft w:val="0"/>
      <w:marRight w:val="0"/>
      <w:marTop w:val="0"/>
      <w:marBottom w:val="0"/>
      <w:divBdr>
        <w:top w:val="none" w:sz="0" w:space="0" w:color="auto"/>
        <w:left w:val="none" w:sz="0" w:space="0" w:color="auto"/>
        <w:bottom w:val="none" w:sz="0" w:space="0" w:color="auto"/>
        <w:right w:val="none" w:sz="0" w:space="0" w:color="auto"/>
      </w:divBdr>
    </w:div>
    <w:div w:id="67073913">
      <w:bodyDiv w:val="1"/>
      <w:marLeft w:val="0"/>
      <w:marRight w:val="0"/>
      <w:marTop w:val="0"/>
      <w:marBottom w:val="0"/>
      <w:divBdr>
        <w:top w:val="none" w:sz="0" w:space="0" w:color="auto"/>
        <w:left w:val="none" w:sz="0" w:space="0" w:color="auto"/>
        <w:bottom w:val="none" w:sz="0" w:space="0" w:color="auto"/>
        <w:right w:val="none" w:sz="0" w:space="0" w:color="auto"/>
      </w:divBdr>
    </w:div>
    <w:div w:id="70935948">
      <w:bodyDiv w:val="1"/>
      <w:marLeft w:val="0"/>
      <w:marRight w:val="0"/>
      <w:marTop w:val="0"/>
      <w:marBottom w:val="0"/>
      <w:divBdr>
        <w:top w:val="none" w:sz="0" w:space="0" w:color="auto"/>
        <w:left w:val="none" w:sz="0" w:space="0" w:color="auto"/>
        <w:bottom w:val="none" w:sz="0" w:space="0" w:color="auto"/>
        <w:right w:val="none" w:sz="0" w:space="0" w:color="auto"/>
      </w:divBdr>
    </w:div>
    <w:div w:id="71632236">
      <w:bodyDiv w:val="1"/>
      <w:marLeft w:val="0"/>
      <w:marRight w:val="0"/>
      <w:marTop w:val="0"/>
      <w:marBottom w:val="0"/>
      <w:divBdr>
        <w:top w:val="none" w:sz="0" w:space="0" w:color="auto"/>
        <w:left w:val="none" w:sz="0" w:space="0" w:color="auto"/>
        <w:bottom w:val="none" w:sz="0" w:space="0" w:color="auto"/>
        <w:right w:val="none" w:sz="0" w:space="0" w:color="auto"/>
      </w:divBdr>
      <w:divsChild>
        <w:div w:id="1588999389">
          <w:marLeft w:val="640"/>
          <w:marRight w:val="0"/>
          <w:marTop w:val="0"/>
          <w:marBottom w:val="0"/>
          <w:divBdr>
            <w:top w:val="none" w:sz="0" w:space="0" w:color="auto"/>
            <w:left w:val="none" w:sz="0" w:space="0" w:color="auto"/>
            <w:bottom w:val="none" w:sz="0" w:space="0" w:color="auto"/>
            <w:right w:val="none" w:sz="0" w:space="0" w:color="auto"/>
          </w:divBdr>
        </w:div>
        <w:div w:id="515463972">
          <w:marLeft w:val="640"/>
          <w:marRight w:val="0"/>
          <w:marTop w:val="0"/>
          <w:marBottom w:val="0"/>
          <w:divBdr>
            <w:top w:val="none" w:sz="0" w:space="0" w:color="auto"/>
            <w:left w:val="none" w:sz="0" w:space="0" w:color="auto"/>
            <w:bottom w:val="none" w:sz="0" w:space="0" w:color="auto"/>
            <w:right w:val="none" w:sz="0" w:space="0" w:color="auto"/>
          </w:divBdr>
        </w:div>
        <w:div w:id="273176334">
          <w:marLeft w:val="640"/>
          <w:marRight w:val="0"/>
          <w:marTop w:val="0"/>
          <w:marBottom w:val="0"/>
          <w:divBdr>
            <w:top w:val="none" w:sz="0" w:space="0" w:color="auto"/>
            <w:left w:val="none" w:sz="0" w:space="0" w:color="auto"/>
            <w:bottom w:val="none" w:sz="0" w:space="0" w:color="auto"/>
            <w:right w:val="none" w:sz="0" w:space="0" w:color="auto"/>
          </w:divBdr>
        </w:div>
        <w:div w:id="1518420633">
          <w:marLeft w:val="640"/>
          <w:marRight w:val="0"/>
          <w:marTop w:val="0"/>
          <w:marBottom w:val="0"/>
          <w:divBdr>
            <w:top w:val="none" w:sz="0" w:space="0" w:color="auto"/>
            <w:left w:val="none" w:sz="0" w:space="0" w:color="auto"/>
            <w:bottom w:val="none" w:sz="0" w:space="0" w:color="auto"/>
            <w:right w:val="none" w:sz="0" w:space="0" w:color="auto"/>
          </w:divBdr>
        </w:div>
        <w:div w:id="1947730562">
          <w:marLeft w:val="640"/>
          <w:marRight w:val="0"/>
          <w:marTop w:val="0"/>
          <w:marBottom w:val="0"/>
          <w:divBdr>
            <w:top w:val="none" w:sz="0" w:space="0" w:color="auto"/>
            <w:left w:val="none" w:sz="0" w:space="0" w:color="auto"/>
            <w:bottom w:val="none" w:sz="0" w:space="0" w:color="auto"/>
            <w:right w:val="none" w:sz="0" w:space="0" w:color="auto"/>
          </w:divBdr>
        </w:div>
        <w:div w:id="1166360589">
          <w:marLeft w:val="640"/>
          <w:marRight w:val="0"/>
          <w:marTop w:val="0"/>
          <w:marBottom w:val="0"/>
          <w:divBdr>
            <w:top w:val="none" w:sz="0" w:space="0" w:color="auto"/>
            <w:left w:val="none" w:sz="0" w:space="0" w:color="auto"/>
            <w:bottom w:val="none" w:sz="0" w:space="0" w:color="auto"/>
            <w:right w:val="none" w:sz="0" w:space="0" w:color="auto"/>
          </w:divBdr>
        </w:div>
        <w:div w:id="1181554554">
          <w:marLeft w:val="640"/>
          <w:marRight w:val="0"/>
          <w:marTop w:val="0"/>
          <w:marBottom w:val="0"/>
          <w:divBdr>
            <w:top w:val="none" w:sz="0" w:space="0" w:color="auto"/>
            <w:left w:val="none" w:sz="0" w:space="0" w:color="auto"/>
            <w:bottom w:val="none" w:sz="0" w:space="0" w:color="auto"/>
            <w:right w:val="none" w:sz="0" w:space="0" w:color="auto"/>
          </w:divBdr>
        </w:div>
        <w:div w:id="742871978">
          <w:marLeft w:val="640"/>
          <w:marRight w:val="0"/>
          <w:marTop w:val="0"/>
          <w:marBottom w:val="0"/>
          <w:divBdr>
            <w:top w:val="none" w:sz="0" w:space="0" w:color="auto"/>
            <w:left w:val="none" w:sz="0" w:space="0" w:color="auto"/>
            <w:bottom w:val="none" w:sz="0" w:space="0" w:color="auto"/>
            <w:right w:val="none" w:sz="0" w:space="0" w:color="auto"/>
          </w:divBdr>
        </w:div>
        <w:div w:id="959334453">
          <w:marLeft w:val="640"/>
          <w:marRight w:val="0"/>
          <w:marTop w:val="0"/>
          <w:marBottom w:val="0"/>
          <w:divBdr>
            <w:top w:val="none" w:sz="0" w:space="0" w:color="auto"/>
            <w:left w:val="none" w:sz="0" w:space="0" w:color="auto"/>
            <w:bottom w:val="none" w:sz="0" w:space="0" w:color="auto"/>
            <w:right w:val="none" w:sz="0" w:space="0" w:color="auto"/>
          </w:divBdr>
        </w:div>
        <w:div w:id="689526431">
          <w:marLeft w:val="640"/>
          <w:marRight w:val="0"/>
          <w:marTop w:val="0"/>
          <w:marBottom w:val="0"/>
          <w:divBdr>
            <w:top w:val="none" w:sz="0" w:space="0" w:color="auto"/>
            <w:left w:val="none" w:sz="0" w:space="0" w:color="auto"/>
            <w:bottom w:val="none" w:sz="0" w:space="0" w:color="auto"/>
            <w:right w:val="none" w:sz="0" w:space="0" w:color="auto"/>
          </w:divBdr>
        </w:div>
        <w:div w:id="1113213611">
          <w:marLeft w:val="640"/>
          <w:marRight w:val="0"/>
          <w:marTop w:val="0"/>
          <w:marBottom w:val="0"/>
          <w:divBdr>
            <w:top w:val="none" w:sz="0" w:space="0" w:color="auto"/>
            <w:left w:val="none" w:sz="0" w:space="0" w:color="auto"/>
            <w:bottom w:val="none" w:sz="0" w:space="0" w:color="auto"/>
            <w:right w:val="none" w:sz="0" w:space="0" w:color="auto"/>
          </w:divBdr>
        </w:div>
        <w:div w:id="353461736">
          <w:marLeft w:val="640"/>
          <w:marRight w:val="0"/>
          <w:marTop w:val="0"/>
          <w:marBottom w:val="0"/>
          <w:divBdr>
            <w:top w:val="none" w:sz="0" w:space="0" w:color="auto"/>
            <w:left w:val="none" w:sz="0" w:space="0" w:color="auto"/>
            <w:bottom w:val="none" w:sz="0" w:space="0" w:color="auto"/>
            <w:right w:val="none" w:sz="0" w:space="0" w:color="auto"/>
          </w:divBdr>
        </w:div>
        <w:div w:id="494611458">
          <w:marLeft w:val="640"/>
          <w:marRight w:val="0"/>
          <w:marTop w:val="0"/>
          <w:marBottom w:val="0"/>
          <w:divBdr>
            <w:top w:val="none" w:sz="0" w:space="0" w:color="auto"/>
            <w:left w:val="none" w:sz="0" w:space="0" w:color="auto"/>
            <w:bottom w:val="none" w:sz="0" w:space="0" w:color="auto"/>
            <w:right w:val="none" w:sz="0" w:space="0" w:color="auto"/>
          </w:divBdr>
        </w:div>
        <w:div w:id="1770814136">
          <w:marLeft w:val="640"/>
          <w:marRight w:val="0"/>
          <w:marTop w:val="0"/>
          <w:marBottom w:val="0"/>
          <w:divBdr>
            <w:top w:val="none" w:sz="0" w:space="0" w:color="auto"/>
            <w:left w:val="none" w:sz="0" w:space="0" w:color="auto"/>
            <w:bottom w:val="none" w:sz="0" w:space="0" w:color="auto"/>
            <w:right w:val="none" w:sz="0" w:space="0" w:color="auto"/>
          </w:divBdr>
        </w:div>
        <w:div w:id="366298088">
          <w:marLeft w:val="640"/>
          <w:marRight w:val="0"/>
          <w:marTop w:val="0"/>
          <w:marBottom w:val="0"/>
          <w:divBdr>
            <w:top w:val="none" w:sz="0" w:space="0" w:color="auto"/>
            <w:left w:val="none" w:sz="0" w:space="0" w:color="auto"/>
            <w:bottom w:val="none" w:sz="0" w:space="0" w:color="auto"/>
            <w:right w:val="none" w:sz="0" w:space="0" w:color="auto"/>
          </w:divBdr>
        </w:div>
        <w:div w:id="922451859">
          <w:marLeft w:val="640"/>
          <w:marRight w:val="0"/>
          <w:marTop w:val="0"/>
          <w:marBottom w:val="0"/>
          <w:divBdr>
            <w:top w:val="none" w:sz="0" w:space="0" w:color="auto"/>
            <w:left w:val="none" w:sz="0" w:space="0" w:color="auto"/>
            <w:bottom w:val="none" w:sz="0" w:space="0" w:color="auto"/>
            <w:right w:val="none" w:sz="0" w:space="0" w:color="auto"/>
          </w:divBdr>
        </w:div>
        <w:div w:id="1720325909">
          <w:marLeft w:val="640"/>
          <w:marRight w:val="0"/>
          <w:marTop w:val="0"/>
          <w:marBottom w:val="0"/>
          <w:divBdr>
            <w:top w:val="none" w:sz="0" w:space="0" w:color="auto"/>
            <w:left w:val="none" w:sz="0" w:space="0" w:color="auto"/>
            <w:bottom w:val="none" w:sz="0" w:space="0" w:color="auto"/>
            <w:right w:val="none" w:sz="0" w:space="0" w:color="auto"/>
          </w:divBdr>
        </w:div>
        <w:div w:id="421101154">
          <w:marLeft w:val="640"/>
          <w:marRight w:val="0"/>
          <w:marTop w:val="0"/>
          <w:marBottom w:val="0"/>
          <w:divBdr>
            <w:top w:val="none" w:sz="0" w:space="0" w:color="auto"/>
            <w:left w:val="none" w:sz="0" w:space="0" w:color="auto"/>
            <w:bottom w:val="none" w:sz="0" w:space="0" w:color="auto"/>
            <w:right w:val="none" w:sz="0" w:space="0" w:color="auto"/>
          </w:divBdr>
        </w:div>
        <w:div w:id="880824970">
          <w:marLeft w:val="640"/>
          <w:marRight w:val="0"/>
          <w:marTop w:val="0"/>
          <w:marBottom w:val="0"/>
          <w:divBdr>
            <w:top w:val="none" w:sz="0" w:space="0" w:color="auto"/>
            <w:left w:val="none" w:sz="0" w:space="0" w:color="auto"/>
            <w:bottom w:val="none" w:sz="0" w:space="0" w:color="auto"/>
            <w:right w:val="none" w:sz="0" w:space="0" w:color="auto"/>
          </w:divBdr>
        </w:div>
        <w:div w:id="556549251">
          <w:marLeft w:val="640"/>
          <w:marRight w:val="0"/>
          <w:marTop w:val="0"/>
          <w:marBottom w:val="0"/>
          <w:divBdr>
            <w:top w:val="none" w:sz="0" w:space="0" w:color="auto"/>
            <w:left w:val="none" w:sz="0" w:space="0" w:color="auto"/>
            <w:bottom w:val="none" w:sz="0" w:space="0" w:color="auto"/>
            <w:right w:val="none" w:sz="0" w:space="0" w:color="auto"/>
          </w:divBdr>
        </w:div>
        <w:div w:id="81686995">
          <w:marLeft w:val="640"/>
          <w:marRight w:val="0"/>
          <w:marTop w:val="0"/>
          <w:marBottom w:val="0"/>
          <w:divBdr>
            <w:top w:val="none" w:sz="0" w:space="0" w:color="auto"/>
            <w:left w:val="none" w:sz="0" w:space="0" w:color="auto"/>
            <w:bottom w:val="none" w:sz="0" w:space="0" w:color="auto"/>
            <w:right w:val="none" w:sz="0" w:space="0" w:color="auto"/>
          </w:divBdr>
        </w:div>
        <w:div w:id="1462074092">
          <w:marLeft w:val="640"/>
          <w:marRight w:val="0"/>
          <w:marTop w:val="0"/>
          <w:marBottom w:val="0"/>
          <w:divBdr>
            <w:top w:val="none" w:sz="0" w:space="0" w:color="auto"/>
            <w:left w:val="none" w:sz="0" w:space="0" w:color="auto"/>
            <w:bottom w:val="none" w:sz="0" w:space="0" w:color="auto"/>
            <w:right w:val="none" w:sz="0" w:space="0" w:color="auto"/>
          </w:divBdr>
        </w:div>
        <w:div w:id="1538007360">
          <w:marLeft w:val="640"/>
          <w:marRight w:val="0"/>
          <w:marTop w:val="0"/>
          <w:marBottom w:val="0"/>
          <w:divBdr>
            <w:top w:val="none" w:sz="0" w:space="0" w:color="auto"/>
            <w:left w:val="none" w:sz="0" w:space="0" w:color="auto"/>
            <w:bottom w:val="none" w:sz="0" w:space="0" w:color="auto"/>
            <w:right w:val="none" w:sz="0" w:space="0" w:color="auto"/>
          </w:divBdr>
        </w:div>
        <w:div w:id="516162927">
          <w:marLeft w:val="640"/>
          <w:marRight w:val="0"/>
          <w:marTop w:val="0"/>
          <w:marBottom w:val="0"/>
          <w:divBdr>
            <w:top w:val="none" w:sz="0" w:space="0" w:color="auto"/>
            <w:left w:val="none" w:sz="0" w:space="0" w:color="auto"/>
            <w:bottom w:val="none" w:sz="0" w:space="0" w:color="auto"/>
            <w:right w:val="none" w:sz="0" w:space="0" w:color="auto"/>
          </w:divBdr>
        </w:div>
        <w:div w:id="1875920947">
          <w:marLeft w:val="640"/>
          <w:marRight w:val="0"/>
          <w:marTop w:val="0"/>
          <w:marBottom w:val="0"/>
          <w:divBdr>
            <w:top w:val="none" w:sz="0" w:space="0" w:color="auto"/>
            <w:left w:val="none" w:sz="0" w:space="0" w:color="auto"/>
            <w:bottom w:val="none" w:sz="0" w:space="0" w:color="auto"/>
            <w:right w:val="none" w:sz="0" w:space="0" w:color="auto"/>
          </w:divBdr>
        </w:div>
        <w:div w:id="1466968491">
          <w:marLeft w:val="640"/>
          <w:marRight w:val="0"/>
          <w:marTop w:val="0"/>
          <w:marBottom w:val="0"/>
          <w:divBdr>
            <w:top w:val="none" w:sz="0" w:space="0" w:color="auto"/>
            <w:left w:val="none" w:sz="0" w:space="0" w:color="auto"/>
            <w:bottom w:val="none" w:sz="0" w:space="0" w:color="auto"/>
            <w:right w:val="none" w:sz="0" w:space="0" w:color="auto"/>
          </w:divBdr>
        </w:div>
        <w:div w:id="535897152">
          <w:marLeft w:val="640"/>
          <w:marRight w:val="0"/>
          <w:marTop w:val="0"/>
          <w:marBottom w:val="0"/>
          <w:divBdr>
            <w:top w:val="none" w:sz="0" w:space="0" w:color="auto"/>
            <w:left w:val="none" w:sz="0" w:space="0" w:color="auto"/>
            <w:bottom w:val="none" w:sz="0" w:space="0" w:color="auto"/>
            <w:right w:val="none" w:sz="0" w:space="0" w:color="auto"/>
          </w:divBdr>
        </w:div>
        <w:div w:id="1094324178">
          <w:marLeft w:val="640"/>
          <w:marRight w:val="0"/>
          <w:marTop w:val="0"/>
          <w:marBottom w:val="0"/>
          <w:divBdr>
            <w:top w:val="none" w:sz="0" w:space="0" w:color="auto"/>
            <w:left w:val="none" w:sz="0" w:space="0" w:color="auto"/>
            <w:bottom w:val="none" w:sz="0" w:space="0" w:color="auto"/>
            <w:right w:val="none" w:sz="0" w:space="0" w:color="auto"/>
          </w:divBdr>
        </w:div>
        <w:div w:id="67508225">
          <w:marLeft w:val="640"/>
          <w:marRight w:val="0"/>
          <w:marTop w:val="0"/>
          <w:marBottom w:val="0"/>
          <w:divBdr>
            <w:top w:val="none" w:sz="0" w:space="0" w:color="auto"/>
            <w:left w:val="none" w:sz="0" w:space="0" w:color="auto"/>
            <w:bottom w:val="none" w:sz="0" w:space="0" w:color="auto"/>
            <w:right w:val="none" w:sz="0" w:space="0" w:color="auto"/>
          </w:divBdr>
        </w:div>
        <w:div w:id="1595242478">
          <w:marLeft w:val="640"/>
          <w:marRight w:val="0"/>
          <w:marTop w:val="0"/>
          <w:marBottom w:val="0"/>
          <w:divBdr>
            <w:top w:val="none" w:sz="0" w:space="0" w:color="auto"/>
            <w:left w:val="none" w:sz="0" w:space="0" w:color="auto"/>
            <w:bottom w:val="none" w:sz="0" w:space="0" w:color="auto"/>
            <w:right w:val="none" w:sz="0" w:space="0" w:color="auto"/>
          </w:divBdr>
        </w:div>
        <w:div w:id="456798977">
          <w:marLeft w:val="640"/>
          <w:marRight w:val="0"/>
          <w:marTop w:val="0"/>
          <w:marBottom w:val="0"/>
          <w:divBdr>
            <w:top w:val="none" w:sz="0" w:space="0" w:color="auto"/>
            <w:left w:val="none" w:sz="0" w:space="0" w:color="auto"/>
            <w:bottom w:val="none" w:sz="0" w:space="0" w:color="auto"/>
            <w:right w:val="none" w:sz="0" w:space="0" w:color="auto"/>
          </w:divBdr>
        </w:div>
        <w:div w:id="1026102384">
          <w:marLeft w:val="640"/>
          <w:marRight w:val="0"/>
          <w:marTop w:val="0"/>
          <w:marBottom w:val="0"/>
          <w:divBdr>
            <w:top w:val="none" w:sz="0" w:space="0" w:color="auto"/>
            <w:left w:val="none" w:sz="0" w:space="0" w:color="auto"/>
            <w:bottom w:val="none" w:sz="0" w:space="0" w:color="auto"/>
            <w:right w:val="none" w:sz="0" w:space="0" w:color="auto"/>
          </w:divBdr>
        </w:div>
        <w:div w:id="424496736">
          <w:marLeft w:val="640"/>
          <w:marRight w:val="0"/>
          <w:marTop w:val="0"/>
          <w:marBottom w:val="0"/>
          <w:divBdr>
            <w:top w:val="none" w:sz="0" w:space="0" w:color="auto"/>
            <w:left w:val="none" w:sz="0" w:space="0" w:color="auto"/>
            <w:bottom w:val="none" w:sz="0" w:space="0" w:color="auto"/>
            <w:right w:val="none" w:sz="0" w:space="0" w:color="auto"/>
          </w:divBdr>
        </w:div>
        <w:div w:id="1472942558">
          <w:marLeft w:val="640"/>
          <w:marRight w:val="0"/>
          <w:marTop w:val="0"/>
          <w:marBottom w:val="0"/>
          <w:divBdr>
            <w:top w:val="none" w:sz="0" w:space="0" w:color="auto"/>
            <w:left w:val="none" w:sz="0" w:space="0" w:color="auto"/>
            <w:bottom w:val="none" w:sz="0" w:space="0" w:color="auto"/>
            <w:right w:val="none" w:sz="0" w:space="0" w:color="auto"/>
          </w:divBdr>
        </w:div>
        <w:div w:id="1666281189">
          <w:marLeft w:val="640"/>
          <w:marRight w:val="0"/>
          <w:marTop w:val="0"/>
          <w:marBottom w:val="0"/>
          <w:divBdr>
            <w:top w:val="none" w:sz="0" w:space="0" w:color="auto"/>
            <w:left w:val="none" w:sz="0" w:space="0" w:color="auto"/>
            <w:bottom w:val="none" w:sz="0" w:space="0" w:color="auto"/>
            <w:right w:val="none" w:sz="0" w:space="0" w:color="auto"/>
          </w:divBdr>
        </w:div>
        <w:div w:id="1739329090">
          <w:marLeft w:val="640"/>
          <w:marRight w:val="0"/>
          <w:marTop w:val="0"/>
          <w:marBottom w:val="0"/>
          <w:divBdr>
            <w:top w:val="none" w:sz="0" w:space="0" w:color="auto"/>
            <w:left w:val="none" w:sz="0" w:space="0" w:color="auto"/>
            <w:bottom w:val="none" w:sz="0" w:space="0" w:color="auto"/>
            <w:right w:val="none" w:sz="0" w:space="0" w:color="auto"/>
          </w:divBdr>
        </w:div>
        <w:div w:id="286814420">
          <w:marLeft w:val="640"/>
          <w:marRight w:val="0"/>
          <w:marTop w:val="0"/>
          <w:marBottom w:val="0"/>
          <w:divBdr>
            <w:top w:val="none" w:sz="0" w:space="0" w:color="auto"/>
            <w:left w:val="none" w:sz="0" w:space="0" w:color="auto"/>
            <w:bottom w:val="none" w:sz="0" w:space="0" w:color="auto"/>
            <w:right w:val="none" w:sz="0" w:space="0" w:color="auto"/>
          </w:divBdr>
        </w:div>
        <w:div w:id="329145097">
          <w:marLeft w:val="640"/>
          <w:marRight w:val="0"/>
          <w:marTop w:val="0"/>
          <w:marBottom w:val="0"/>
          <w:divBdr>
            <w:top w:val="none" w:sz="0" w:space="0" w:color="auto"/>
            <w:left w:val="none" w:sz="0" w:space="0" w:color="auto"/>
            <w:bottom w:val="none" w:sz="0" w:space="0" w:color="auto"/>
            <w:right w:val="none" w:sz="0" w:space="0" w:color="auto"/>
          </w:divBdr>
        </w:div>
        <w:div w:id="439958350">
          <w:marLeft w:val="640"/>
          <w:marRight w:val="0"/>
          <w:marTop w:val="0"/>
          <w:marBottom w:val="0"/>
          <w:divBdr>
            <w:top w:val="none" w:sz="0" w:space="0" w:color="auto"/>
            <w:left w:val="none" w:sz="0" w:space="0" w:color="auto"/>
            <w:bottom w:val="none" w:sz="0" w:space="0" w:color="auto"/>
            <w:right w:val="none" w:sz="0" w:space="0" w:color="auto"/>
          </w:divBdr>
        </w:div>
        <w:div w:id="1061976085">
          <w:marLeft w:val="640"/>
          <w:marRight w:val="0"/>
          <w:marTop w:val="0"/>
          <w:marBottom w:val="0"/>
          <w:divBdr>
            <w:top w:val="none" w:sz="0" w:space="0" w:color="auto"/>
            <w:left w:val="none" w:sz="0" w:space="0" w:color="auto"/>
            <w:bottom w:val="none" w:sz="0" w:space="0" w:color="auto"/>
            <w:right w:val="none" w:sz="0" w:space="0" w:color="auto"/>
          </w:divBdr>
        </w:div>
        <w:div w:id="1747069339">
          <w:marLeft w:val="640"/>
          <w:marRight w:val="0"/>
          <w:marTop w:val="0"/>
          <w:marBottom w:val="0"/>
          <w:divBdr>
            <w:top w:val="none" w:sz="0" w:space="0" w:color="auto"/>
            <w:left w:val="none" w:sz="0" w:space="0" w:color="auto"/>
            <w:bottom w:val="none" w:sz="0" w:space="0" w:color="auto"/>
            <w:right w:val="none" w:sz="0" w:space="0" w:color="auto"/>
          </w:divBdr>
        </w:div>
        <w:div w:id="735980655">
          <w:marLeft w:val="640"/>
          <w:marRight w:val="0"/>
          <w:marTop w:val="0"/>
          <w:marBottom w:val="0"/>
          <w:divBdr>
            <w:top w:val="none" w:sz="0" w:space="0" w:color="auto"/>
            <w:left w:val="none" w:sz="0" w:space="0" w:color="auto"/>
            <w:bottom w:val="none" w:sz="0" w:space="0" w:color="auto"/>
            <w:right w:val="none" w:sz="0" w:space="0" w:color="auto"/>
          </w:divBdr>
        </w:div>
        <w:div w:id="719866372">
          <w:marLeft w:val="640"/>
          <w:marRight w:val="0"/>
          <w:marTop w:val="0"/>
          <w:marBottom w:val="0"/>
          <w:divBdr>
            <w:top w:val="none" w:sz="0" w:space="0" w:color="auto"/>
            <w:left w:val="none" w:sz="0" w:space="0" w:color="auto"/>
            <w:bottom w:val="none" w:sz="0" w:space="0" w:color="auto"/>
            <w:right w:val="none" w:sz="0" w:space="0" w:color="auto"/>
          </w:divBdr>
        </w:div>
        <w:div w:id="534655994">
          <w:marLeft w:val="640"/>
          <w:marRight w:val="0"/>
          <w:marTop w:val="0"/>
          <w:marBottom w:val="0"/>
          <w:divBdr>
            <w:top w:val="none" w:sz="0" w:space="0" w:color="auto"/>
            <w:left w:val="none" w:sz="0" w:space="0" w:color="auto"/>
            <w:bottom w:val="none" w:sz="0" w:space="0" w:color="auto"/>
            <w:right w:val="none" w:sz="0" w:space="0" w:color="auto"/>
          </w:divBdr>
        </w:div>
        <w:div w:id="256250834">
          <w:marLeft w:val="640"/>
          <w:marRight w:val="0"/>
          <w:marTop w:val="0"/>
          <w:marBottom w:val="0"/>
          <w:divBdr>
            <w:top w:val="none" w:sz="0" w:space="0" w:color="auto"/>
            <w:left w:val="none" w:sz="0" w:space="0" w:color="auto"/>
            <w:bottom w:val="none" w:sz="0" w:space="0" w:color="auto"/>
            <w:right w:val="none" w:sz="0" w:space="0" w:color="auto"/>
          </w:divBdr>
        </w:div>
        <w:div w:id="1977224412">
          <w:marLeft w:val="640"/>
          <w:marRight w:val="0"/>
          <w:marTop w:val="0"/>
          <w:marBottom w:val="0"/>
          <w:divBdr>
            <w:top w:val="none" w:sz="0" w:space="0" w:color="auto"/>
            <w:left w:val="none" w:sz="0" w:space="0" w:color="auto"/>
            <w:bottom w:val="none" w:sz="0" w:space="0" w:color="auto"/>
            <w:right w:val="none" w:sz="0" w:space="0" w:color="auto"/>
          </w:divBdr>
        </w:div>
        <w:div w:id="1394960006">
          <w:marLeft w:val="640"/>
          <w:marRight w:val="0"/>
          <w:marTop w:val="0"/>
          <w:marBottom w:val="0"/>
          <w:divBdr>
            <w:top w:val="none" w:sz="0" w:space="0" w:color="auto"/>
            <w:left w:val="none" w:sz="0" w:space="0" w:color="auto"/>
            <w:bottom w:val="none" w:sz="0" w:space="0" w:color="auto"/>
            <w:right w:val="none" w:sz="0" w:space="0" w:color="auto"/>
          </w:divBdr>
        </w:div>
        <w:div w:id="1503662756">
          <w:marLeft w:val="640"/>
          <w:marRight w:val="0"/>
          <w:marTop w:val="0"/>
          <w:marBottom w:val="0"/>
          <w:divBdr>
            <w:top w:val="none" w:sz="0" w:space="0" w:color="auto"/>
            <w:left w:val="none" w:sz="0" w:space="0" w:color="auto"/>
            <w:bottom w:val="none" w:sz="0" w:space="0" w:color="auto"/>
            <w:right w:val="none" w:sz="0" w:space="0" w:color="auto"/>
          </w:divBdr>
        </w:div>
        <w:div w:id="602418371">
          <w:marLeft w:val="640"/>
          <w:marRight w:val="0"/>
          <w:marTop w:val="0"/>
          <w:marBottom w:val="0"/>
          <w:divBdr>
            <w:top w:val="none" w:sz="0" w:space="0" w:color="auto"/>
            <w:left w:val="none" w:sz="0" w:space="0" w:color="auto"/>
            <w:bottom w:val="none" w:sz="0" w:space="0" w:color="auto"/>
            <w:right w:val="none" w:sz="0" w:space="0" w:color="auto"/>
          </w:divBdr>
        </w:div>
        <w:div w:id="1185167609">
          <w:marLeft w:val="640"/>
          <w:marRight w:val="0"/>
          <w:marTop w:val="0"/>
          <w:marBottom w:val="0"/>
          <w:divBdr>
            <w:top w:val="none" w:sz="0" w:space="0" w:color="auto"/>
            <w:left w:val="none" w:sz="0" w:space="0" w:color="auto"/>
            <w:bottom w:val="none" w:sz="0" w:space="0" w:color="auto"/>
            <w:right w:val="none" w:sz="0" w:space="0" w:color="auto"/>
          </w:divBdr>
        </w:div>
        <w:div w:id="1129085223">
          <w:marLeft w:val="640"/>
          <w:marRight w:val="0"/>
          <w:marTop w:val="0"/>
          <w:marBottom w:val="0"/>
          <w:divBdr>
            <w:top w:val="none" w:sz="0" w:space="0" w:color="auto"/>
            <w:left w:val="none" w:sz="0" w:space="0" w:color="auto"/>
            <w:bottom w:val="none" w:sz="0" w:space="0" w:color="auto"/>
            <w:right w:val="none" w:sz="0" w:space="0" w:color="auto"/>
          </w:divBdr>
        </w:div>
        <w:div w:id="2050759704">
          <w:marLeft w:val="640"/>
          <w:marRight w:val="0"/>
          <w:marTop w:val="0"/>
          <w:marBottom w:val="0"/>
          <w:divBdr>
            <w:top w:val="none" w:sz="0" w:space="0" w:color="auto"/>
            <w:left w:val="none" w:sz="0" w:space="0" w:color="auto"/>
            <w:bottom w:val="none" w:sz="0" w:space="0" w:color="auto"/>
            <w:right w:val="none" w:sz="0" w:space="0" w:color="auto"/>
          </w:divBdr>
        </w:div>
        <w:div w:id="1675646336">
          <w:marLeft w:val="640"/>
          <w:marRight w:val="0"/>
          <w:marTop w:val="0"/>
          <w:marBottom w:val="0"/>
          <w:divBdr>
            <w:top w:val="none" w:sz="0" w:space="0" w:color="auto"/>
            <w:left w:val="none" w:sz="0" w:space="0" w:color="auto"/>
            <w:bottom w:val="none" w:sz="0" w:space="0" w:color="auto"/>
            <w:right w:val="none" w:sz="0" w:space="0" w:color="auto"/>
          </w:divBdr>
        </w:div>
        <w:div w:id="931937239">
          <w:marLeft w:val="640"/>
          <w:marRight w:val="0"/>
          <w:marTop w:val="0"/>
          <w:marBottom w:val="0"/>
          <w:divBdr>
            <w:top w:val="none" w:sz="0" w:space="0" w:color="auto"/>
            <w:left w:val="none" w:sz="0" w:space="0" w:color="auto"/>
            <w:bottom w:val="none" w:sz="0" w:space="0" w:color="auto"/>
            <w:right w:val="none" w:sz="0" w:space="0" w:color="auto"/>
          </w:divBdr>
        </w:div>
        <w:div w:id="1138841768">
          <w:marLeft w:val="640"/>
          <w:marRight w:val="0"/>
          <w:marTop w:val="0"/>
          <w:marBottom w:val="0"/>
          <w:divBdr>
            <w:top w:val="none" w:sz="0" w:space="0" w:color="auto"/>
            <w:left w:val="none" w:sz="0" w:space="0" w:color="auto"/>
            <w:bottom w:val="none" w:sz="0" w:space="0" w:color="auto"/>
            <w:right w:val="none" w:sz="0" w:space="0" w:color="auto"/>
          </w:divBdr>
        </w:div>
        <w:div w:id="972364561">
          <w:marLeft w:val="640"/>
          <w:marRight w:val="0"/>
          <w:marTop w:val="0"/>
          <w:marBottom w:val="0"/>
          <w:divBdr>
            <w:top w:val="none" w:sz="0" w:space="0" w:color="auto"/>
            <w:left w:val="none" w:sz="0" w:space="0" w:color="auto"/>
            <w:bottom w:val="none" w:sz="0" w:space="0" w:color="auto"/>
            <w:right w:val="none" w:sz="0" w:space="0" w:color="auto"/>
          </w:divBdr>
        </w:div>
        <w:div w:id="1547912807">
          <w:marLeft w:val="640"/>
          <w:marRight w:val="0"/>
          <w:marTop w:val="0"/>
          <w:marBottom w:val="0"/>
          <w:divBdr>
            <w:top w:val="none" w:sz="0" w:space="0" w:color="auto"/>
            <w:left w:val="none" w:sz="0" w:space="0" w:color="auto"/>
            <w:bottom w:val="none" w:sz="0" w:space="0" w:color="auto"/>
            <w:right w:val="none" w:sz="0" w:space="0" w:color="auto"/>
          </w:divBdr>
        </w:div>
        <w:div w:id="1968706751">
          <w:marLeft w:val="640"/>
          <w:marRight w:val="0"/>
          <w:marTop w:val="0"/>
          <w:marBottom w:val="0"/>
          <w:divBdr>
            <w:top w:val="none" w:sz="0" w:space="0" w:color="auto"/>
            <w:left w:val="none" w:sz="0" w:space="0" w:color="auto"/>
            <w:bottom w:val="none" w:sz="0" w:space="0" w:color="auto"/>
            <w:right w:val="none" w:sz="0" w:space="0" w:color="auto"/>
          </w:divBdr>
        </w:div>
        <w:div w:id="2048528372">
          <w:marLeft w:val="640"/>
          <w:marRight w:val="0"/>
          <w:marTop w:val="0"/>
          <w:marBottom w:val="0"/>
          <w:divBdr>
            <w:top w:val="none" w:sz="0" w:space="0" w:color="auto"/>
            <w:left w:val="none" w:sz="0" w:space="0" w:color="auto"/>
            <w:bottom w:val="none" w:sz="0" w:space="0" w:color="auto"/>
            <w:right w:val="none" w:sz="0" w:space="0" w:color="auto"/>
          </w:divBdr>
        </w:div>
        <w:div w:id="1855072">
          <w:marLeft w:val="640"/>
          <w:marRight w:val="0"/>
          <w:marTop w:val="0"/>
          <w:marBottom w:val="0"/>
          <w:divBdr>
            <w:top w:val="none" w:sz="0" w:space="0" w:color="auto"/>
            <w:left w:val="none" w:sz="0" w:space="0" w:color="auto"/>
            <w:bottom w:val="none" w:sz="0" w:space="0" w:color="auto"/>
            <w:right w:val="none" w:sz="0" w:space="0" w:color="auto"/>
          </w:divBdr>
        </w:div>
        <w:div w:id="1651445174">
          <w:marLeft w:val="640"/>
          <w:marRight w:val="0"/>
          <w:marTop w:val="0"/>
          <w:marBottom w:val="0"/>
          <w:divBdr>
            <w:top w:val="none" w:sz="0" w:space="0" w:color="auto"/>
            <w:left w:val="none" w:sz="0" w:space="0" w:color="auto"/>
            <w:bottom w:val="none" w:sz="0" w:space="0" w:color="auto"/>
            <w:right w:val="none" w:sz="0" w:space="0" w:color="auto"/>
          </w:divBdr>
        </w:div>
        <w:div w:id="199519383">
          <w:marLeft w:val="640"/>
          <w:marRight w:val="0"/>
          <w:marTop w:val="0"/>
          <w:marBottom w:val="0"/>
          <w:divBdr>
            <w:top w:val="none" w:sz="0" w:space="0" w:color="auto"/>
            <w:left w:val="none" w:sz="0" w:space="0" w:color="auto"/>
            <w:bottom w:val="none" w:sz="0" w:space="0" w:color="auto"/>
            <w:right w:val="none" w:sz="0" w:space="0" w:color="auto"/>
          </w:divBdr>
        </w:div>
        <w:div w:id="404186347">
          <w:marLeft w:val="640"/>
          <w:marRight w:val="0"/>
          <w:marTop w:val="0"/>
          <w:marBottom w:val="0"/>
          <w:divBdr>
            <w:top w:val="none" w:sz="0" w:space="0" w:color="auto"/>
            <w:left w:val="none" w:sz="0" w:space="0" w:color="auto"/>
            <w:bottom w:val="none" w:sz="0" w:space="0" w:color="auto"/>
            <w:right w:val="none" w:sz="0" w:space="0" w:color="auto"/>
          </w:divBdr>
        </w:div>
        <w:div w:id="625279541">
          <w:marLeft w:val="640"/>
          <w:marRight w:val="0"/>
          <w:marTop w:val="0"/>
          <w:marBottom w:val="0"/>
          <w:divBdr>
            <w:top w:val="none" w:sz="0" w:space="0" w:color="auto"/>
            <w:left w:val="none" w:sz="0" w:space="0" w:color="auto"/>
            <w:bottom w:val="none" w:sz="0" w:space="0" w:color="auto"/>
            <w:right w:val="none" w:sz="0" w:space="0" w:color="auto"/>
          </w:divBdr>
        </w:div>
        <w:div w:id="1023558646">
          <w:marLeft w:val="640"/>
          <w:marRight w:val="0"/>
          <w:marTop w:val="0"/>
          <w:marBottom w:val="0"/>
          <w:divBdr>
            <w:top w:val="none" w:sz="0" w:space="0" w:color="auto"/>
            <w:left w:val="none" w:sz="0" w:space="0" w:color="auto"/>
            <w:bottom w:val="none" w:sz="0" w:space="0" w:color="auto"/>
            <w:right w:val="none" w:sz="0" w:space="0" w:color="auto"/>
          </w:divBdr>
        </w:div>
        <w:div w:id="1527979585">
          <w:marLeft w:val="640"/>
          <w:marRight w:val="0"/>
          <w:marTop w:val="0"/>
          <w:marBottom w:val="0"/>
          <w:divBdr>
            <w:top w:val="none" w:sz="0" w:space="0" w:color="auto"/>
            <w:left w:val="none" w:sz="0" w:space="0" w:color="auto"/>
            <w:bottom w:val="none" w:sz="0" w:space="0" w:color="auto"/>
            <w:right w:val="none" w:sz="0" w:space="0" w:color="auto"/>
          </w:divBdr>
        </w:div>
        <w:div w:id="738939865">
          <w:marLeft w:val="640"/>
          <w:marRight w:val="0"/>
          <w:marTop w:val="0"/>
          <w:marBottom w:val="0"/>
          <w:divBdr>
            <w:top w:val="none" w:sz="0" w:space="0" w:color="auto"/>
            <w:left w:val="none" w:sz="0" w:space="0" w:color="auto"/>
            <w:bottom w:val="none" w:sz="0" w:space="0" w:color="auto"/>
            <w:right w:val="none" w:sz="0" w:space="0" w:color="auto"/>
          </w:divBdr>
        </w:div>
        <w:div w:id="968248736">
          <w:marLeft w:val="640"/>
          <w:marRight w:val="0"/>
          <w:marTop w:val="0"/>
          <w:marBottom w:val="0"/>
          <w:divBdr>
            <w:top w:val="none" w:sz="0" w:space="0" w:color="auto"/>
            <w:left w:val="none" w:sz="0" w:space="0" w:color="auto"/>
            <w:bottom w:val="none" w:sz="0" w:space="0" w:color="auto"/>
            <w:right w:val="none" w:sz="0" w:space="0" w:color="auto"/>
          </w:divBdr>
        </w:div>
        <w:div w:id="349768079">
          <w:marLeft w:val="640"/>
          <w:marRight w:val="0"/>
          <w:marTop w:val="0"/>
          <w:marBottom w:val="0"/>
          <w:divBdr>
            <w:top w:val="none" w:sz="0" w:space="0" w:color="auto"/>
            <w:left w:val="none" w:sz="0" w:space="0" w:color="auto"/>
            <w:bottom w:val="none" w:sz="0" w:space="0" w:color="auto"/>
            <w:right w:val="none" w:sz="0" w:space="0" w:color="auto"/>
          </w:divBdr>
        </w:div>
        <w:div w:id="1094789358">
          <w:marLeft w:val="640"/>
          <w:marRight w:val="0"/>
          <w:marTop w:val="0"/>
          <w:marBottom w:val="0"/>
          <w:divBdr>
            <w:top w:val="none" w:sz="0" w:space="0" w:color="auto"/>
            <w:left w:val="none" w:sz="0" w:space="0" w:color="auto"/>
            <w:bottom w:val="none" w:sz="0" w:space="0" w:color="auto"/>
            <w:right w:val="none" w:sz="0" w:space="0" w:color="auto"/>
          </w:divBdr>
        </w:div>
        <w:div w:id="1126047905">
          <w:marLeft w:val="640"/>
          <w:marRight w:val="0"/>
          <w:marTop w:val="0"/>
          <w:marBottom w:val="0"/>
          <w:divBdr>
            <w:top w:val="none" w:sz="0" w:space="0" w:color="auto"/>
            <w:left w:val="none" w:sz="0" w:space="0" w:color="auto"/>
            <w:bottom w:val="none" w:sz="0" w:space="0" w:color="auto"/>
            <w:right w:val="none" w:sz="0" w:space="0" w:color="auto"/>
          </w:divBdr>
        </w:div>
        <w:div w:id="1272736924">
          <w:marLeft w:val="640"/>
          <w:marRight w:val="0"/>
          <w:marTop w:val="0"/>
          <w:marBottom w:val="0"/>
          <w:divBdr>
            <w:top w:val="none" w:sz="0" w:space="0" w:color="auto"/>
            <w:left w:val="none" w:sz="0" w:space="0" w:color="auto"/>
            <w:bottom w:val="none" w:sz="0" w:space="0" w:color="auto"/>
            <w:right w:val="none" w:sz="0" w:space="0" w:color="auto"/>
          </w:divBdr>
        </w:div>
        <w:div w:id="1295016122">
          <w:marLeft w:val="640"/>
          <w:marRight w:val="0"/>
          <w:marTop w:val="0"/>
          <w:marBottom w:val="0"/>
          <w:divBdr>
            <w:top w:val="none" w:sz="0" w:space="0" w:color="auto"/>
            <w:left w:val="none" w:sz="0" w:space="0" w:color="auto"/>
            <w:bottom w:val="none" w:sz="0" w:space="0" w:color="auto"/>
            <w:right w:val="none" w:sz="0" w:space="0" w:color="auto"/>
          </w:divBdr>
        </w:div>
        <w:div w:id="1387410042">
          <w:marLeft w:val="640"/>
          <w:marRight w:val="0"/>
          <w:marTop w:val="0"/>
          <w:marBottom w:val="0"/>
          <w:divBdr>
            <w:top w:val="none" w:sz="0" w:space="0" w:color="auto"/>
            <w:left w:val="none" w:sz="0" w:space="0" w:color="auto"/>
            <w:bottom w:val="none" w:sz="0" w:space="0" w:color="auto"/>
            <w:right w:val="none" w:sz="0" w:space="0" w:color="auto"/>
          </w:divBdr>
        </w:div>
        <w:div w:id="261883222">
          <w:marLeft w:val="640"/>
          <w:marRight w:val="0"/>
          <w:marTop w:val="0"/>
          <w:marBottom w:val="0"/>
          <w:divBdr>
            <w:top w:val="none" w:sz="0" w:space="0" w:color="auto"/>
            <w:left w:val="none" w:sz="0" w:space="0" w:color="auto"/>
            <w:bottom w:val="none" w:sz="0" w:space="0" w:color="auto"/>
            <w:right w:val="none" w:sz="0" w:space="0" w:color="auto"/>
          </w:divBdr>
        </w:div>
        <w:div w:id="831679518">
          <w:marLeft w:val="640"/>
          <w:marRight w:val="0"/>
          <w:marTop w:val="0"/>
          <w:marBottom w:val="0"/>
          <w:divBdr>
            <w:top w:val="none" w:sz="0" w:space="0" w:color="auto"/>
            <w:left w:val="none" w:sz="0" w:space="0" w:color="auto"/>
            <w:bottom w:val="none" w:sz="0" w:space="0" w:color="auto"/>
            <w:right w:val="none" w:sz="0" w:space="0" w:color="auto"/>
          </w:divBdr>
        </w:div>
        <w:div w:id="1770347939">
          <w:marLeft w:val="640"/>
          <w:marRight w:val="0"/>
          <w:marTop w:val="0"/>
          <w:marBottom w:val="0"/>
          <w:divBdr>
            <w:top w:val="none" w:sz="0" w:space="0" w:color="auto"/>
            <w:left w:val="none" w:sz="0" w:space="0" w:color="auto"/>
            <w:bottom w:val="none" w:sz="0" w:space="0" w:color="auto"/>
            <w:right w:val="none" w:sz="0" w:space="0" w:color="auto"/>
          </w:divBdr>
        </w:div>
        <w:div w:id="1604806088">
          <w:marLeft w:val="640"/>
          <w:marRight w:val="0"/>
          <w:marTop w:val="0"/>
          <w:marBottom w:val="0"/>
          <w:divBdr>
            <w:top w:val="none" w:sz="0" w:space="0" w:color="auto"/>
            <w:left w:val="none" w:sz="0" w:space="0" w:color="auto"/>
            <w:bottom w:val="none" w:sz="0" w:space="0" w:color="auto"/>
            <w:right w:val="none" w:sz="0" w:space="0" w:color="auto"/>
          </w:divBdr>
        </w:div>
        <w:div w:id="1455058260">
          <w:marLeft w:val="640"/>
          <w:marRight w:val="0"/>
          <w:marTop w:val="0"/>
          <w:marBottom w:val="0"/>
          <w:divBdr>
            <w:top w:val="none" w:sz="0" w:space="0" w:color="auto"/>
            <w:left w:val="none" w:sz="0" w:space="0" w:color="auto"/>
            <w:bottom w:val="none" w:sz="0" w:space="0" w:color="auto"/>
            <w:right w:val="none" w:sz="0" w:space="0" w:color="auto"/>
          </w:divBdr>
        </w:div>
        <w:div w:id="1637178131">
          <w:marLeft w:val="640"/>
          <w:marRight w:val="0"/>
          <w:marTop w:val="0"/>
          <w:marBottom w:val="0"/>
          <w:divBdr>
            <w:top w:val="none" w:sz="0" w:space="0" w:color="auto"/>
            <w:left w:val="none" w:sz="0" w:space="0" w:color="auto"/>
            <w:bottom w:val="none" w:sz="0" w:space="0" w:color="auto"/>
            <w:right w:val="none" w:sz="0" w:space="0" w:color="auto"/>
          </w:divBdr>
        </w:div>
        <w:div w:id="90862123">
          <w:marLeft w:val="640"/>
          <w:marRight w:val="0"/>
          <w:marTop w:val="0"/>
          <w:marBottom w:val="0"/>
          <w:divBdr>
            <w:top w:val="none" w:sz="0" w:space="0" w:color="auto"/>
            <w:left w:val="none" w:sz="0" w:space="0" w:color="auto"/>
            <w:bottom w:val="none" w:sz="0" w:space="0" w:color="auto"/>
            <w:right w:val="none" w:sz="0" w:space="0" w:color="auto"/>
          </w:divBdr>
        </w:div>
        <w:div w:id="9993926">
          <w:marLeft w:val="640"/>
          <w:marRight w:val="0"/>
          <w:marTop w:val="0"/>
          <w:marBottom w:val="0"/>
          <w:divBdr>
            <w:top w:val="none" w:sz="0" w:space="0" w:color="auto"/>
            <w:left w:val="none" w:sz="0" w:space="0" w:color="auto"/>
            <w:bottom w:val="none" w:sz="0" w:space="0" w:color="auto"/>
            <w:right w:val="none" w:sz="0" w:space="0" w:color="auto"/>
          </w:divBdr>
        </w:div>
        <w:div w:id="653677588">
          <w:marLeft w:val="640"/>
          <w:marRight w:val="0"/>
          <w:marTop w:val="0"/>
          <w:marBottom w:val="0"/>
          <w:divBdr>
            <w:top w:val="none" w:sz="0" w:space="0" w:color="auto"/>
            <w:left w:val="none" w:sz="0" w:space="0" w:color="auto"/>
            <w:bottom w:val="none" w:sz="0" w:space="0" w:color="auto"/>
            <w:right w:val="none" w:sz="0" w:space="0" w:color="auto"/>
          </w:divBdr>
        </w:div>
        <w:div w:id="877665146">
          <w:marLeft w:val="640"/>
          <w:marRight w:val="0"/>
          <w:marTop w:val="0"/>
          <w:marBottom w:val="0"/>
          <w:divBdr>
            <w:top w:val="none" w:sz="0" w:space="0" w:color="auto"/>
            <w:left w:val="none" w:sz="0" w:space="0" w:color="auto"/>
            <w:bottom w:val="none" w:sz="0" w:space="0" w:color="auto"/>
            <w:right w:val="none" w:sz="0" w:space="0" w:color="auto"/>
          </w:divBdr>
        </w:div>
        <w:div w:id="682362769">
          <w:marLeft w:val="640"/>
          <w:marRight w:val="0"/>
          <w:marTop w:val="0"/>
          <w:marBottom w:val="0"/>
          <w:divBdr>
            <w:top w:val="none" w:sz="0" w:space="0" w:color="auto"/>
            <w:left w:val="none" w:sz="0" w:space="0" w:color="auto"/>
            <w:bottom w:val="none" w:sz="0" w:space="0" w:color="auto"/>
            <w:right w:val="none" w:sz="0" w:space="0" w:color="auto"/>
          </w:divBdr>
        </w:div>
        <w:div w:id="1161461650">
          <w:marLeft w:val="640"/>
          <w:marRight w:val="0"/>
          <w:marTop w:val="0"/>
          <w:marBottom w:val="0"/>
          <w:divBdr>
            <w:top w:val="none" w:sz="0" w:space="0" w:color="auto"/>
            <w:left w:val="none" w:sz="0" w:space="0" w:color="auto"/>
            <w:bottom w:val="none" w:sz="0" w:space="0" w:color="auto"/>
            <w:right w:val="none" w:sz="0" w:space="0" w:color="auto"/>
          </w:divBdr>
        </w:div>
        <w:div w:id="647055636">
          <w:marLeft w:val="640"/>
          <w:marRight w:val="0"/>
          <w:marTop w:val="0"/>
          <w:marBottom w:val="0"/>
          <w:divBdr>
            <w:top w:val="none" w:sz="0" w:space="0" w:color="auto"/>
            <w:left w:val="none" w:sz="0" w:space="0" w:color="auto"/>
            <w:bottom w:val="none" w:sz="0" w:space="0" w:color="auto"/>
            <w:right w:val="none" w:sz="0" w:space="0" w:color="auto"/>
          </w:divBdr>
        </w:div>
        <w:div w:id="687759808">
          <w:marLeft w:val="640"/>
          <w:marRight w:val="0"/>
          <w:marTop w:val="0"/>
          <w:marBottom w:val="0"/>
          <w:divBdr>
            <w:top w:val="none" w:sz="0" w:space="0" w:color="auto"/>
            <w:left w:val="none" w:sz="0" w:space="0" w:color="auto"/>
            <w:bottom w:val="none" w:sz="0" w:space="0" w:color="auto"/>
            <w:right w:val="none" w:sz="0" w:space="0" w:color="auto"/>
          </w:divBdr>
        </w:div>
        <w:div w:id="409012351">
          <w:marLeft w:val="640"/>
          <w:marRight w:val="0"/>
          <w:marTop w:val="0"/>
          <w:marBottom w:val="0"/>
          <w:divBdr>
            <w:top w:val="none" w:sz="0" w:space="0" w:color="auto"/>
            <w:left w:val="none" w:sz="0" w:space="0" w:color="auto"/>
            <w:bottom w:val="none" w:sz="0" w:space="0" w:color="auto"/>
            <w:right w:val="none" w:sz="0" w:space="0" w:color="auto"/>
          </w:divBdr>
        </w:div>
        <w:div w:id="2129469845">
          <w:marLeft w:val="640"/>
          <w:marRight w:val="0"/>
          <w:marTop w:val="0"/>
          <w:marBottom w:val="0"/>
          <w:divBdr>
            <w:top w:val="none" w:sz="0" w:space="0" w:color="auto"/>
            <w:left w:val="none" w:sz="0" w:space="0" w:color="auto"/>
            <w:bottom w:val="none" w:sz="0" w:space="0" w:color="auto"/>
            <w:right w:val="none" w:sz="0" w:space="0" w:color="auto"/>
          </w:divBdr>
        </w:div>
        <w:div w:id="1762290448">
          <w:marLeft w:val="640"/>
          <w:marRight w:val="0"/>
          <w:marTop w:val="0"/>
          <w:marBottom w:val="0"/>
          <w:divBdr>
            <w:top w:val="none" w:sz="0" w:space="0" w:color="auto"/>
            <w:left w:val="none" w:sz="0" w:space="0" w:color="auto"/>
            <w:bottom w:val="none" w:sz="0" w:space="0" w:color="auto"/>
            <w:right w:val="none" w:sz="0" w:space="0" w:color="auto"/>
          </w:divBdr>
        </w:div>
        <w:div w:id="1679967605">
          <w:marLeft w:val="640"/>
          <w:marRight w:val="0"/>
          <w:marTop w:val="0"/>
          <w:marBottom w:val="0"/>
          <w:divBdr>
            <w:top w:val="none" w:sz="0" w:space="0" w:color="auto"/>
            <w:left w:val="none" w:sz="0" w:space="0" w:color="auto"/>
            <w:bottom w:val="none" w:sz="0" w:space="0" w:color="auto"/>
            <w:right w:val="none" w:sz="0" w:space="0" w:color="auto"/>
          </w:divBdr>
        </w:div>
        <w:div w:id="758406384">
          <w:marLeft w:val="640"/>
          <w:marRight w:val="0"/>
          <w:marTop w:val="0"/>
          <w:marBottom w:val="0"/>
          <w:divBdr>
            <w:top w:val="none" w:sz="0" w:space="0" w:color="auto"/>
            <w:left w:val="none" w:sz="0" w:space="0" w:color="auto"/>
            <w:bottom w:val="none" w:sz="0" w:space="0" w:color="auto"/>
            <w:right w:val="none" w:sz="0" w:space="0" w:color="auto"/>
          </w:divBdr>
        </w:div>
        <w:div w:id="106580175">
          <w:marLeft w:val="640"/>
          <w:marRight w:val="0"/>
          <w:marTop w:val="0"/>
          <w:marBottom w:val="0"/>
          <w:divBdr>
            <w:top w:val="none" w:sz="0" w:space="0" w:color="auto"/>
            <w:left w:val="none" w:sz="0" w:space="0" w:color="auto"/>
            <w:bottom w:val="none" w:sz="0" w:space="0" w:color="auto"/>
            <w:right w:val="none" w:sz="0" w:space="0" w:color="auto"/>
          </w:divBdr>
        </w:div>
        <w:div w:id="1184976923">
          <w:marLeft w:val="640"/>
          <w:marRight w:val="0"/>
          <w:marTop w:val="0"/>
          <w:marBottom w:val="0"/>
          <w:divBdr>
            <w:top w:val="none" w:sz="0" w:space="0" w:color="auto"/>
            <w:left w:val="none" w:sz="0" w:space="0" w:color="auto"/>
            <w:bottom w:val="none" w:sz="0" w:space="0" w:color="auto"/>
            <w:right w:val="none" w:sz="0" w:space="0" w:color="auto"/>
          </w:divBdr>
        </w:div>
        <w:div w:id="1107500932">
          <w:marLeft w:val="640"/>
          <w:marRight w:val="0"/>
          <w:marTop w:val="0"/>
          <w:marBottom w:val="0"/>
          <w:divBdr>
            <w:top w:val="none" w:sz="0" w:space="0" w:color="auto"/>
            <w:left w:val="none" w:sz="0" w:space="0" w:color="auto"/>
            <w:bottom w:val="none" w:sz="0" w:space="0" w:color="auto"/>
            <w:right w:val="none" w:sz="0" w:space="0" w:color="auto"/>
          </w:divBdr>
        </w:div>
        <w:div w:id="457144155">
          <w:marLeft w:val="640"/>
          <w:marRight w:val="0"/>
          <w:marTop w:val="0"/>
          <w:marBottom w:val="0"/>
          <w:divBdr>
            <w:top w:val="none" w:sz="0" w:space="0" w:color="auto"/>
            <w:left w:val="none" w:sz="0" w:space="0" w:color="auto"/>
            <w:bottom w:val="none" w:sz="0" w:space="0" w:color="auto"/>
            <w:right w:val="none" w:sz="0" w:space="0" w:color="auto"/>
          </w:divBdr>
        </w:div>
        <w:div w:id="109932474">
          <w:marLeft w:val="640"/>
          <w:marRight w:val="0"/>
          <w:marTop w:val="0"/>
          <w:marBottom w:val="0"/>
          <w:divBdr>
            <w:top w:val="none" w:sz="0" w:space="0" w:color="auto"/>
            <w:left w:val="none" w:sz="0" w:space="0" w:color="auto"/>
            <w:bottom w:val="none" w:sz="0" w:space="0" w:color="auto"/>
            <w:right w:val="none" w:sz="0" w:space="0" w:color="auto"/>
          </w:divBdr>
        </w:div>
        <w:div w:id="1683555019">
          <w:marLeft w:val="640"/>
          <w:marRight w:val="0"/>
          <w:marTop w:val="0"/>
          <w:marBottom w:val="0"/>
          <w:divBdr>
            <w:top w:val="none" w:sz="0" w:space="0" w:color="auto"/>
            <w:left w:val="none" w:sz="0" w:space="0" w:color="auto"/>
            <w:bottom w:val="none" w:sz="0" w:space="0" w:color="auto"/>
            <w:right w:val="none" w:sz="0" w:space="0" w:color="auto"/>
          </w:divBdr>
        </w:div>
        <w:div w:id="530340573">
          <w:marLeft w:val="640"/>
          <w:marRight w:val="0"/>
          <w:marTop w:val="0"/>
          <w:marBottom w:val="0"/>
          <w:divBdr>
            <w:top w:val="none" w:sz="0" w:space="0" w:color="auto"/>
            <w:left w:val="none" w:sz="0" w:space="0" w:color="auto"/>
            <w:bottom w:val="none" w:sz="0" w:space="0" w:color="auto"/>
            <w:right w:val="none" w:sz="0" w:space="0" w:color="auto"/>
          </w:divBdr>
        </w:div>
        <w:div w:id="1818763268">
          <w:marLeft w:val="640"/>
          <w:marRight w:val="0"/>
          <w:marTop w:val="0"/>
          <w:marBottom w:val="0"/>
          <w:divBdr>
            <w:top w:val="none" w:sz="0" w:space="0" w:color="auto"/>
            <w:left w:val="none" w:sz="0" w:space="0" w:color="auto"/>
            <w:bottom w:val="none" w:sz="0" w:space="0" w:color="auto"/>
            <w:right w:val="none" w:sz="0" w:space="0" w:color="auto"/>
          </w:divBdr>
        </w:div>
        <w:div w:id="1023475873">
          <w:marLeft w:val="640"/>
          <w:marRight w:val="0"/>
          <w:marTop w:val="0"/>
          <w:marBottom w:val="0"/>
          <w:divBdr>
            <w:top w:val="none" w:sz="0" w:space="0" w:color="auto"/>
            <w:left w:val="none" w:sz="0" w:space="0" w:color="auto"/>
            <w:bottom w:val="none" w:sz="0" w:space="0" w:color="auto"/>
            <w:right w:val="none" w:sz="0" w:space="0" w:color="auto"/>
          </w:divBdr>
        </w:div>
        <w:div w:id="806624817">
          <w:marLeft w:val="640"/>
          <w:marRight w:val="0"/>
          <w:marTop w:val="0"/>
          <w:marBottom w:val="0"/>
          <w:divBdr>
            <w:top w:val="none" w:sz="0" w:space="0" w:color="auto"/>
            <w:left w:val="none" w:sz="0" w:space="0" w:color="auto"/>
            <w:bottom w:val="none" w:sz="0" w:space="0" w:color="auto"/>
            <w:right w:val="none" w:sz="0" w:space="0" w:color="auto"/>
          </w:divBdr>
        </w:div>
        <w:div w:id="1515656216">
          <w:marLeft w:val="640"/>
          <w:marRight w:val="0"/>
          <w:marTop w:val="0"/>
          <w:marBottom w:val="0"/>
          <w:divBdr>
            <w:top w:val="none" w:sz="0" w:space="0" w:color="auto"/>
            <w:left w:val="none" w:sz="0" w:space="0" w:color="auto"/>
            <w:bottom w:val="none" w:sz="0" w:space="0" w:color="auto"/>
            <w:right w:val="none" w:sz="0" w:space="0" w:color="auto"/>
          </w:divBdr>
        </w:div>
        <w:div w:id="1724256962">
          <w:marLeft w:val="640"/>
          <w:marRight w:val="0"/>
          <w:marTop w:val="0"/>
          <w:marBottom w:val="0"/>
          <w:divBdr>
            <w:top w:val="none" w:sz="0" w:space="0" w:color="auto"/>
            <w:left w:val="none" w:sz="0" w:space="0" w:color="auto"/>
            <w:bottom w:val="none" w:sz="0" w:space="0" w:color="auto"/>
            <w:right w:val="none" w:sz="0" w:space="0" w:color="auto"/>
          </w:divBdr>
        </w:div>
        <w:div w:id="779760247">
          <w:marLeft w:val="640"/>
          <w:marRight w:val="0"/>
          <w:marTop w:val="0"/>
          <w:marBottom w:val="0"/>
          <w:divBdr>
            <w:top w:val="none" w:sz="0" w:space="0" w:color="auto"/>
            <w:left w:val="none" w:sz="0" w:space="0" w:color="auto"/>
            <w:bottom w:val="none" w:sz="0" w:space="0" w:color="auto"/>
            <w:right w:val="none" w:sz="0" w:space="0" w:color="auto"/>
          </w:divBdr>
        </w:div>
        <w:div w:id="112752309">
          <w:marLeft w:val="640"/>
          <w:marRight w:val="0"/>
          <w:marTop w:val="0"/>
          <w:marBottom w:val="0"/>
          <w:divBdr>
            <w:top w:val="none" w:sz="0" w:space="0" w:color="auto"/>
            <w:left w:val="none" w:sz="0" w:space="0" w:color="auto"/>
            <w:bottom w:val="none" w:sz="0" w:space="0" w:color="auto"/>
            <w:right w:val="none" w:sz="0" w:space="0" w:color="auto"/>
          </w:divBdr>
        </w:div>
        <w:div w:id="941300374">
          <w:marLeft w:val="640"/>
          <w:marRight w:val="0"/>
          <w:marTop w:val="0"/>
          <w:marBottom w:val="0"/>
          <w:divBdr>
            <w:top w:val="none" w:sz="0" w:space="0" w:color="auto"/>
            <w:left w:val="none" w:sz="0" w:space="0" w:color="auto"/>
            <w:bottom w:val="none" w:sz="0" w:space="0" w:color="auto"/>
            <w:right w:val="none" w:sz="0" w:space="0" w:color="auto"/>
          </w:divBdr>
        </w:div>
        <w:div w:id="1849247586">
          <w:marLeft w:val="640"/>
          <w:marRight w:val="0"/>
          <w:marTop w:val="0"/>
          <w:marBottom w:val="0"/>
          <w:divBdr>
            <w:top w:val="none" w:sz="0" w:space="0" w:color="auto"/>
            <w:left w:val="none" w:sz="0" w:space="0" w:color="auto"/>
            <w:bottom w:val="none" w:sz="0" w:space="0" w:color="auto"/>
            <w:right w:val="none" w:sz="0" w:space="0" w:color="auto"/>
          </w:divBdr>
        </w:div>
        <w:div w:id="155267340">
          <w:marLeft w:val="640"/>
          <w:marRight w:val="0"/>
          <w:marTop w:val="0"/>
          <w:marBottom w:val="0"/>
          <w:divBdr>
            <w:top w:val="none" w:sz="0" w:space="0" w:color="auto"/>
            <w:left w:val="none" w:sz="0" w:space="0" w:color="auto"/>
            <w:bottom w:val="none" w:sz="0" w:space="0" w:color="auto"/>
            <w:right w:val="none" w:sz="0" w:space="0" w:color="auto"/>
          </w:divBdr>
        </w:div>
        <w:div w:id="750544787">
          <w:marLeft w:val="640"/>
          <w:marRight w:val="0"/>
          <w:marTop w:val="0"/>
          <w:marBottom w:val="0"/>
          <w:divBdr>
            <w:top w:val="none" w:sz="0" w:space="0" w:color="auto"/>
            <w:left w:val="none" w:sz="0" w:space="0" w:color="auto"/>
            <w:bottom w:val="none" w:sz="0" w:space="0" w:color="auto"/>
            <w:right w:val="none" w:sz="0" w:space="0" w:color="auto"/>
          </w:divBdr>
        </w:div>
        <w:div w:id="266740293">
          <w:marLeft w:val="640"/>
          <w:marRight w:val="0"/>
          <w:marTop w:val="0"/>
          <w:marBottom w:val="0"/>
          <w:divBdr>
            <w:top w:val="none" w:sz="0" w:space="0" w:color="auto"/>
            <w:left w:val="none" w:sz="0" w:space="0" w:color="auto"/>
            <w:bottom w:val="none" w:sz="0" w:space="0" w:color="auto"/>
            <w:right w:val="none" w:sz="0" w:space="0" w:color="auto"/>
          </w:divBdr>
        </w:div>
        <w:div w:id="1341467119">
          <w:marLeft w:val="640"/>
          <w:marRight w:val="0"/>
          <w:marTop w:val="0"/>
          <w:marBottom w:val="0"/>
          <w:divBdr>
            <w:top w:val="none" w:sz="0" w:space="0" w:color="auto"/>
            <w:left w:val="none" w:sz="0" w:space="0" w:color="auto"/>
            <w:bottom w:val="none" w:sz="0" w:space="0" w:color="auto"/>
            <w:right w:val="none" w:sz="0" w:space="0" w:color="auto"/>
          </w:divBdr>
        </w:div>
        <w:div w:id="1549998673">
          <w:marLeft w:val="640"/>
          <w:marRight w:val="0"/>
          <w:marTop w:val="0"/>
          <w:marBottom w:val="0"/>
          <w:divBdr>
            <w:top w:val="none" w:sz="0" w:space="0" w:color="auto"/>
            <w:left w:val="none" w:sz="0" w:space="0" w:color="auto"/>
            <w:bottom w:val="none" w:sz="0" w:space="0" w:color="auto"/>
            <w:right w:val="none" w:sz="0" w:space="0" w:color="auto"/>
          </w:divBdr>
        </w:div>
        <w:div w:id="875505642">
          <w:marLeft w:val="640"/>
          <w:marRight w:val="0"/>
          <w:marTop w:val="0"/>
          <w:marBottom w:val="0"/>
          <w:divBdr>
            <w:top w:val="none" w:sz="0" w:space="0" w:color="auto"/>
            <w:left w:val="none" w:sz="0" w:space="0" w:color="auto"/>
            <w:bottom w:val="none" w:sz="0" w:space="0" w:color="auto"/>
            <w:right w:val="none" w:sz="0" w:space="0" w:color="auto"/>
          </w:divBdr>
        </w:div>
        <w:div w:id="1333869406">
          <w:marLeft w:val="640"/>
          <w:marRight w:val="0"/>
          <w:marTop w:val="0"/>
          <w:marBottom w:val="0"/>
          <w:divBdr>
            <w:top w:val="none" w:sz="0" w:space="0" w:color="auto"/>
            <w:left w:val="none" w:sz="0" w:space="0" w:color="auto"/>
            <w:bottom w:val="none" w:sz="0" w:space="0" w:color="auto"/>
            <w:right w:val="none" w:sz="0" w:space="0" w:color="auto"/>
          </w:divBdr>
        </w:div>
        <w:div w:id="435683825">
          <w:marLeft w:val="640"/>
          <w:marRight w:val="0"/>
          <w:marTop w:val="0"/>
          <w:marBottom w:val="0"/>
          <w:divBdr>
            <w:top w:val="none" w:sz="0" w:space="0" w:color="auto"/>
            <w:left w:val="none" w:sz="0" w:space="0" w:color="auto"/>
            <w:bottom w:val="none" w:sz="0" w:space="0" w:color="auto"/>
            <w:right w:val="none" w:sz="0" w:space="0" w:color="auto"/>
          </w:divBdr>
        </w:div>
        <w:div w:id="224024376">
          <w:marLeft w:val="640"/>
          <w:marRight w:val="0"/>
          <w:marTop w:val="0"/>
          <w:marBottom w:val="0"/>
          <w:divBdr>
            <w:top w:val="none" w:sz="0" w:space="0" w:color="auto"/>
            <w:left w:val="none" w:sz="0" w:space="0" w:color="auto"/>
            <w:bottom w:val="none" w:sz="0" w:space="0" w:color="auto"/>
            <w:right w:val="none" w:sz="0" w:space="0" w:color="auto"/>
          </w:divBdr>
        </w:div>
        <w:div w:id="683358867">
          <w:marLeft w:val="640"/>
          <w:marRight w:val="0"/>
          <w:marTop w:val="0"/>
          <w:marBottom w:val="0"/>
          <w:divBdr>
            <w:top w:val="none" w:sz="0" w:space="0" w:color="auto"/>
            <w:left w:val="none" w:sz="0" w:space="0" w:color="auto"/>
            <w:bottom w:val="none" w:sz="0" w:space="0" w:color="auto"/>
            <w:right w:val="none" w:sz="0" w:space="0" w:color="auto"/>
          </w:divBdr>
        </w:div>
        <w:div w:id="586379841">
          <w:marLeft w:val="640"/>
          <w:marRight w:val="0"/>
          <w:marTop w:val="0"/>
          <w:marBottom w:val="0"/>
          <w:divBdr>
            <w:top w:val="none" w:sz="0" w:space="0" w:color="auto"/>
            <w:left w:val="none" w:sz="0" w:space="0" w:color="auto"/>
            <w:bottom w:val="none" w:sz="0" w:space="0" w:color="auto"/>
            <w:right w:val="none" w:sz="0" w:space="0" w:color="auto"/>
          </w:divBdr>
        </w:div>
        <w:div w:id="1646936927">
          <w:marLeft w:val="640"/>
          <w:marRight w:val="0"/>
          <w:marTop w:val="0"/>
          <w:marBottom w:val="0"/>
          <w:divBdr>
            <w:top w:val="none" w:sz="0" w:space="0" w:color="auto"/>
            <w:left w:val="none" w:sz="0" w:space="0" w:color="auto"/>
            <w:bottom w:val="none" w:sz="0" w:space="0" w:color="auto"/>
            <w:right w:val="none" w:sz="0" w:space="0" w:color="auto"/>
          </w:divBdr>
        </w:div>
        <w:div w:id="649286218">
          <w:marLeft w:val="640"/>
          <w:marRight w:val="0"/>
          <w:marTop w:val="0"/>
          <w:marBottom w:val="0"/>
          <w:divBdr>
            <w:top w:val="none" w:sz="0" w:space="0" w:color="auto"/>
            <w:left w:val="none" w:sz="0" w:space="0" w:color="auto"/>
            <w:bottom w:val="none" w:sz="0" w:space="0" w:color="auto"/>
            <w:right w:val="none" w:sz="0" w:space="0" w:color="auto"/>
          </w:divBdr>
        </w:div>
        <w:div w:id="39328434">
          <w:marLeft w:val="640"/>
          <w:marRight w:val="0"/>
          <w:marTop w:val="0"/>
          <w:marBottom w:val="0"/>
          <w:divBdr>
            <w:top w:val="none" w:sz="0" w:space="0" w:color="auto"/>
            <w:left w:val="none" w:sz="0" w:space="0" w:color="auto"/>
            <w:bottom w:val="none" w:sz="0" w:space="0" w:color="auto"/>
            <w:right w:val="none" w:sz="0" w:space="0" w:color="auto"/>
          </w:divBdr>
        </w:div>
        <w:div w:id="1067606921">
          <w:marLeft w:val="640"/>
          <w:marRight w:val="0"/>
          <w:marTop w:val="0"/>
          <w:marBottom w:val="0"/>
          <w:divBdr>
            <w:top w:val="none" w:sz="0" w:space="0" w:color="auto"/>
            <w:left w:val="none" w:sz="0" w:space="0" w:color="auto"/>
            <w:bottom w:val="none" w:sz="0" w:space="0" w:color="auto"/>
            <w:right w:val="none" w:sz="0" w:space="0" w:color="auto"/>
          </w:divBdr>
        </w:div>
        <w:div w:id="476070302">
          <w:marLeft w:val="640"/>
          <w:marRight w:val="0"/>
          <w:marTop w:val="0"/>
          <w:marBottom w:val="0"/>
          <w:divBdr>
            <w:top w:val="none" w:sz="0" w:space="0" w:color="auto"/>
            <w:left w:val="none" w:sz="0" w:space="0" w:color="auto"/>
            <w:bottom w:val="none" w:sz="0" w:space="0" w:color="auto"/>
            <w:right w:val="none" w:sz="0" w:space="0" w:color="auto"/>
          </w:divBdr>
        </w:div>
        <w:div w:id="1860311894">
          <w:marLeft w:val="640"/>
          <w:marRight w:val="0"/>
          <w:marTop w:val="0"/>
          <w:marBottom w:val="0"/>
          <w:divBdr>
            <w:top w:val="none" w:sz="0" w:space="0" w:color="auto"/>
            <w:left w:val="none" w:sz="0" w:space="0" w:color="auto"/>
            <w:bottom w:val="none" w:sz="0" w:space="0" w:color="auto"/>
            <w:right w:val="none" w:sz="0" w:space="0" w:color="auto"/>
          </w:divBdr>
        </w:div>
        <w:div w:id="1036933777">
          <w:marLeft w:val="640"/>
          <w:marRight w:val="0"/>
          <w:marTop w:val="0"/>
          <w:marBottom w:val="0"/>
          <w:divBdr>
            <w:top w:val="none" w:sz="0" w:space="0" w:color="auto"/>
            <w:left w:val="none" w:sz="0" w:space="0" w:color="auto"/>
            <w:bottom w:val="none" w:sz="0" w:space="0" w:color="auto"/>
            <w:right w:val="none" w:sz="0" w:space="0" w:color="auto"/>
          </w:divBdr>
        </w:div>
        <w:div w:id="566691403">
          <w:marLeft w:val="640"/>
          <w:marRight w:val="0"/>
          <w:marTop w:val="0"/>
          <w:marBottom w:val="0"/>
          <w:divBdr>
            <w:top w:val="none" w:sz="0" w:space="0" w:color="auto"/>
            <w:left w:val="none" w:sz="0" w:space="0" w:color="auto"/>
            <w:bottom w:val="none" w:sz="0" w:space="0" w:color="auto"/>
            <w:right w:val="none" w:sz="0" w:space="0" w:color="auto"/>
          </w:divBdr>
        </w:div>
        <w:div w:id="1894388687">
          <w:marLeft w:val="640"/>
          <w:marRight w:val="0"/>
          <w:marTop w:val="0"/>
          <w:marBottom w:val="0"/>
          <w:divBdr>
            <w:top w:val="none" w:sz="0" w:space="0" w:color="auto"/>
            <w:left w:val="none" w:sz="0" w:space="0" w:color="auto"/>
            <w:bottom w:val="none" w:sz="0" w:space="0" w:color="auto"/>
            <w:right w:val="none" w:sz="0" w:space="0" w:color="auto"/>
          </w:divBdr>
        </w:div>
        <w:div w:id="2077899791">
          <w:marLeft w:val="640"/>
          <w:marRight w:val="0"/>
          <w:marTop w:val="0"/>
          <w:marBottom w:val="0"/>
          <w:divBdr>
            <w:top w:val="none" w:sz="0" w:space="0" w:color="auto"/>
            <w:left w:val="none" w:sz="0" w:space="0" w:color="auto"/>
            <w:bottom w:val="none" w:sz="0" w:space="0" w:color="auto"/>
            <w:right w:val="none" w:sz="0" w:space="0" w:color="auto"/>
          </w:divBdr>
        </w:div>
        <w:div w:id="569537277">
          <w:marLeft w:val="640"/>
          <w:marRight w:val="0"/>
          <w:marTop w:val="0"/>
          <w:marBottom w:val="0"/>
          <w:divBdr>
            <w:top w:val="none" w:sz="0" w:space="0" w:color="auto"/>
            <w:left w:val="none" w:sz="0" w:space="0" w:color="auto"/>
            <w:bottom w:val="none" w:sz="0" w:space="0" w:color="auto"/>
            <w:right w:val="none" w:sz="0" w:space="0" w:color="auto"/>
          </w:divBdr>
        </w:div>
        <w:div w:id="92213077">
          <w:marLeft w:val="640"/>
          <w:marRight w:val="0"/>
          <w:marTop w:val="0"/>
          <w:marBottom w:val="0"/>
          <w:divBdr>
            <w:top w:val="none" w:sz="0" w:space="0" w:color="auto"/>
            <w:left w:val="none" w:sz="0" w:space="0" w:color="auto"/>
            <w:bottom w:val="none" w:sz="0" w:space="0" w:color="auto"/>
            <w:right w:val="none" w:sz="0" w:space="0" w:color="auto"/>
          </w:divBdr>
        </w:div>
        <w:div w:id="854878432">
          <w:marLeft w:val="640"/>
          <w:marRight w:val="0"/>
          <w:marTop w:val="0"/>
          <w:marBottom w:val="0"/>
          <w:divBdr>
            <w:top w:val="none" w:sz="0" w:space="0" w:color="auto"/>
            <w:left w:val="none" w:sz="0" w:space="0" w:color="auto"/>
            <w:bottom w:val="none" w:sz="0" w:space="0" w:color="auto"/>
            <w:right w:val="none" w:sz="0" w:space="0" w:color="auto"/>
          </w:divBdr>
        </w:div>
        <w:div w:id="2136019406">
          <w:marLeft w:val="640"/>
          <w:marRight w:val="0"/>
          <w:marTop w:val="0"/>
          <w:marBottom w:val="0"/>
          <w:divBdr>
            <w:top w:val="none" w:sz="0" w:space="0" w:color="auto"/>
            <w:left w:val="none" w:sz="0" w:space="0" w:color="auto"/>
            <w:bottom w:val="none" w:sz="0" w:space="0" w:color="auto"/>
            <w:right w:val="none" w:sz="0" w:space="0" w:color="auto"/>
          </w:divBdr>
        </w:div>
        <w:div w:id="323319087">
          <w:marLeft w:val="640"/>
          <w:marRight w:val="0"/>
          <w:marTop w:val="0"/>
          <w:marBottom w:val="0"/>
          <w:divBdr>
            <w:top w:val="none" w:sz="0" w:space="0" w:color="auto"/>
            <w:left w:val="none" w:sz="0" w:space="0" w:color="auto"/>
            <w:bottom w:val="none" w:sz="0" w:space="0" w:color="auto"/>
            <w:right w:val="none" w:sz="0" w:space="0" w:color="auto"/>
          </w:divBdr>
        </w:div>
        <w:div w:id="687678730">
          <w:marLeft w:val="640"/>
          <w:marRight w:val="0"/>
          <w:marTop w:val="0"/>
          <w:marBottom w:val="0"/>
          <w:divBdr>
            <w:top w:val="none" w:sz="0" w:space="0" w:color="auto"/>
            <w:left w:val="none" w:sz="0" w:space="0" w:color="auto"/>
            <w:bottom w:val="none" w:sz="0" w:space="0" w:color="auto"/>
            <w:right w:val="none" w:sz="0" w:space="0" w:color="auto"/>
          </w:divBdr>
        </w:div>
        <w:div w:id="22361753">
          <w:marLeft w:val="640"/>
          <w:marRight w:val="0"/>
          <w:marTop w:val="0"/>
          <w:marBottom w:val="0"/>
          <w:divBdr>
            <w:top w:val="none" w:sz="0" w:space="0" w:color="auto"/>
            <w:left w:val="none" w:sz="0" w:space="0" w:color="auto"/>
            <w:bottom w:val="none" w:sz="0" w:space="0" w:color="auto"/>
            <w:right w:val="none" w:sz="0" w:space="0" w:color="auto"/>
          </w:divBdr>
        </w:div>
        <w:div w:id="680552527">
          <w:marLeft w:val="640"/>
          <w:marRight w:val="0"/>
          <w:marTop w:val="0"/>
          <w:marBottom w:val="0"/>
          <w:divBdr>
            <w:top w:val="none" w:sz="0" w:space="0" w:color="auto"/>
            <w:left w:val="none" w:sz="0" w:space="0" w:color="auto"/>
            <w:bottom w:val="none" w:sz="0" w:space="0" w:color="auto"/>
            <w:right w:val="none" w:sz="0" w:space="0" w:color="auto"/>
          </w:divBdr>
        </w:div>
        <w:div w:id="1090391913">
          <w:marLeft w:val="640"/>
          <w:marRight w:val="0"/>
          <w:marTop w:val="0"/>
          <w:marBottom w:val="0"/>
          <w:divBdr>
            <w:top w:val="none" w:sz="0" w:space="0" w:color="auto"/>
            <w:left w:val="none" w:sz="0" w:space="0" w:color="auto"/>
            <w:bottom w:val="none" w:sz="0" w:space="0" w:color="auto"/>
            <w:right w:val="none" w:sz="0" w:space="0" w:color="auto"/>
          </w:divBdr>
        </w:div>
        <w:div w:id="919173453">
          <w:marLeft w:val="640"/>
          <w:marRight w:val="0"/>
          <w:marTop w:val="0"/>
          <w:marBottom w:val="0"/>
          <w:divBdr>
            <w:top w:val="none" w:sz="0" w:space="0" w:color="auto"/>
            <w:left w:val="none" w:sz="0" w:space="0" w:color="auto"/>
            <w:bottom w:val="none" w:sz="0" w:space="0" w:color="auto"/>
            <w:right w:val="none" w:sz="0" w:space="0" w:color="auto"/>
          </w:divBdr>
        </w:div>
        <w:div w:id="976182896">
          <w:marLeft w:val="640"/>
          <w:marRight w:val="0"/>
          <w:marTop w:val="0"/>
          <w:marBottom w:val="0"/>
          <w:divBdr>
            <w:top w:val="none" w:sz="0" w:space="0" w:color="auto"/>
            <w:left w:val="none" w:sz="0" w:space="0" w:color="auto"/>
            <w:bottom w:val="none" w:sz="0" w:space="0" w:color="auto"/>
            <w:right w:val="none" w:sz="0" w:space="0" w:color="auto"/>
          </w:divBdr>
        </w:div>
        <w:div w:id="15356010">
          <w:marLeft w:val="640"/>
          <w:marRight w:val="0"/>
          <w:marTop w:val="0"/>
          <w:marBottom w:val="0"/>
          <w:divBdr>
            <w:top w:val="none" w:sz="0" w:space="0" w:color="auto"/>
            <w:left w:val="none" w:sz="0" w:space="0" w:color="auto"/>
            <w:bottom w:val="none" w:sz="0" w:space="0" w:color="auto"/>
            <w:right w:val="none" w:sz="0" w:space="0" w:color="auto"/>
          </w:divBdr>
        </w:div>
        <w:div w:id="308291305">
          <w:marLeft w:val="640"/>
          <w:marRight w:val="0"/>
          <w:marTop w:val="0"/>
          <w:marBottom w:val="0"/>
          <w:divBdr>
            <w:top w:val="none" w:sz="0" w:space="0" w:color="auto"/>
            <w:left w:val="none" w:sz="0" w:space="0" w:color="auto"/>
            <w:bottom w:val="none" w:sz="0" w:space="0" w:color="auto"/>
            <w:right w:val="none" w:sz="0" w:space="0" w:color="auto"/>
          </w:divBdr>
        </w:div>
        <w:div w:id="1395424561">
          <w:marLeft w:val="640"/>
          <w:marRight w:val="0"/>
          <w:marTop w:val="0"/>
          <w:marBottom w:val="0"/>
          <w:divBdr>
            <w:top w:val="none" w:sz="0" w:space="0" w:color="auto"/>
            <w:left w:val="none" w:sz="0" w:space="0" w:color="auto"/>
            <w:bottom w:val="none" w:sz="0" w:space="0" w:color="auto"/>
            <w:right w:val="none" w:sz="0" w:space="0" w:color="auto"/>
          </w:divBdr>
        </w:div>
        <w:div w:id="1743336279">
          <w:marLeft w:val="640"/>
          <w:marRight w:val="0"/>
          <w:marTop w:val="0"/>
          <w:marBottom w:val="0"/>
          <w:divBdr>
            <w:top w:val="none" w:sz="0" w:space="0" w:color="auto"/>
            <w:left w:val="none" w:sz="0" w:space="0" w:color="auto"/>
            <w:bottom w:val="none" w:sz="0" w:space="0" w:color="auto"/>
            <w:right w:val="none" w:sz="0" w:space="0" w:color="auto"/>
          </w:divBdr>
        </w:div>
        <w:div w:id="872158919">
          <w:marLeft w:val="640"/>
          <w:marRight w:val="0"/>
          <w:marTop w:val="0"/>
          <w:marBottom w:val="0"/>
          <w:divBdr>
            <w:top w:val="none" w:sz="0" w:space="0" w:color="auto"/>
            <w:left w:val="none" w:sz="0" w:space="0" w:color="auto"/>
            <w:bottom w:val="none" w:sz="0" w:space="0" w:color="auto"/>
            <w:right w:val="none" w:sz="0" w:space="0" w:color="auto"/>
          </w:divBdr>
        </w:div>
        <w:div w:id="1449009185">
          <w:marLeft w:val="640"/>
          <w:marRight w:val="0"/>
          <w:marTop w:val="0"/>
          <w:marBottom w:val="0"/>
          <w:divBdr>
            <w:top w:val="none" w:sz="0" w:space="0" w:color="auto"/>
            <w:left w:val="none" w:sz="0" w:space="0" w:color="auto"/>
            <w:bottom w:val="none" w:sz="0" w:space="0" w:color="auto"/>
            <w:right w:val="none" w:sz="0" w:space="0" w:color="auto"/>
          </w:divBdr>
        </w:div>
        <w:div w:id="518356883">
          <w:marLeft w:val="640"/>
          <w:marRight w:val="0"/>
          <w:marTop w:val="0"/>
          <w:marBottom w:val="0"/>
          <w:divBdr>
            <w:top w:val="none" w:sz="0" w:space="0" w:color="auto"/>
            <w:left w:val="none" w:sz="0" w:space="0" w:color="auto"/>
            <w:bottom w:val="none" w:sz="0" w:space="0" w:color="auto"/>
            <w:right w:val="none" w:sz="0" w:space="0" w:color="auto"/>
          </w:divBdr>
        </w:div>
        <w:div w:id="1665433592">
          <w:marLeft w:val="640"/>
          <w:marRight w:val="0"/>
          <w:marTop w:val="0"/>
          <w:marBottom w:val="0"/>
          <w:divBdr>
            <w:top w:val="none" w:sz="0" w:space="0" w:color="auto"/>
            <w:left w:val="none" w:sz="0" w:space="0" w:color="auto"/>
            <w:bottom w:val="none" w:sz="0" w:space="0" w:color="auto"/>
            <w:right w:val="none" w:sz="0" w:space="0" w:color="auto"/>
          </w:divBdr>
        </w:div>
        <w:div w:id="1868251071">
          <w:marLeft w:val="640"/>
          <w:marRight w:val="0"/>
          <w:marTop w:val="0"/>
          <w:marBottom w:val="0"/>
          <w:divBdr>
            <w:top w:val="none" w:sz="0" w:space="0" w:color="auto"/>
            <w:left w:val="none" w:sz="0" w:space="0" w:color="auto"/>
            <w:bottom w:val="none" w:sz="0" w:space="0" w:color="auto"/>
            <w:right w:val="none" w:sz="0" w:space="0" w:color="auto"/>
          </w:divBdr>
        </w:div>
        <w:div w:id="463544094">
          <w:marLeft w:val="640"/>
          <w:marRight w:val="0"/>
          <w:marTop w:val="0"/>
          <w:marBottom w:val="0"/>
          <w:divBdr>
            <w:top w:val="none" w:sz="0" w:space="0" w:color="auto"/>
            <w:left w:val="none" w:sz="0" w:space="0" w:color="auto"/>
            <w:bottom w:val="none" w:sz="0" w:space="0" w:color="auto"/>
            <w:right w:val="none" w:sz="0" w:space="0" w:color="auto"/>
          </w:divBdr>
        </w:div>
        <w:div w:id="1445418903">
          <w:marLeft w:val="640"/>
          <w:marRight w:val="0"/>
          <w:marTop w:val="0"/>
          <w:marBottom w:val="0"/>
          <w:divBdr>
            <w:top w:val="none" w:sz="0" w:space="0" w:color="auto"/>
            <w:left w:val="none" w:sz="0" w:space="0" w:color="auto"/>
            <w:bottom w:val="none" w:sz="0" w:space="0" w:color="auto"/>
            <w:right w:val="none" w:sz="0" w:space="0" w:color="auto"/>
          </w:divBdr>
        </w:div>
        <w:div w:id="1373337313">
          <w:marLeft w:val="640"/>
          <w:marRight w:val="0"/>
          <w:marTop w:val="0"/>
          <w:marBottom w:val="0"/>
          <w:divBdr>
            <w:top w:val="none" w:sz="0" w:space="0" w:color="auto"/>
            <w:left w:val="none" w:sz="0" w:space="0" w:color="auto"/>
            <w:bottom w:val="none" w:sz="0" w:space="0" w:color="auto"/>
            <w:right w:val="none" w:sz="0" w:space="0" w:color="auto"/>
          </w:divBdr>
        </w:div>
        <w:div w:id="1145392039">
          <w:marLeft w:val="640"/>
          <w:marRight w:val="0"/>
          <w:marTop w:val="0"/>
          <w:marBottom w:val="0"/>
          <w:divBdr>
            <w:top w:val="none" w:sz="0" w:space="0" w:color="auto"/>
            <w:left w:val="none" w:sz="0" w:space="0" w:color="auto"/>
            <w:bottom w:val="none" w:sz="0" w:space="0" w:color="auto"/>
            <w:right w:val="none" w:sz="0" w:space="0" w:color="auto"/>
          </w:divBdr>
        </w:div>
        <w:div w:id="1388259087">
          <w:marLeft w:val="640"/>
          <w:marRight w:val="0"/>
          <w:marTop w:val="0"/>
          <w:marBottom w:val="0"/>
          <w:divBdr>
            <w:top w:val="none" w:sz="0" w:space="0" w:color="auto"/>
            <w:left w:val="none" w:sz="0" w:space="0" w:color="auto"/>
            <w:bottom w:val="none" w:sz="0" w:space="0" w:color="auto"/>
            <w:right w:val="none" w:sz="0" w:space="0" w:color="auto"/>
          </w:divBdr>
        </w:div>
        <w:div w:id="1799185196">
          <w:marLeft w:val="640"/>
          <w:marRight w:val="0"/>
          <w:marTop w:val="0"/>
          <w:marBottom w:val="0"/>
          <w:divBdr>
            <w:top w:val="none" w:sz="0" w:space="0" w:color="auto"/>
            <w:left w:val="none" w:sz="0" w:space="0" w:color="auto"/>
            <w:bottom w:val="none" w:sz="0" w:space="0" w:color="auto"/>
            <w:right w:val="none" w:sz="0" w:space="0" w:color="auto"/>
          </w:divBdr>
        </w:div>
        <w:div w:id="1028069579">
          <w:marLeft w:val="640"/>
          <w:marRight w:val="0"/>
          <w:marTop w:val="0"/>
          <w:marBottom w:val="0"/>
          <w:divBdr>
            <w:top w:val="none" w:sz="0" w:space="0" w:color="auto"/>
            <w:left w:val="none" w:sz="0" w:space="0" w:color="auto"/>
            <w:bottom w:val="none" w:sz="0" w:space="0" w:color="auto"/>
            <w:right w:val="none" w:sz="0" w:space="0" w:color="auto"/>
          </w:divBdr>
        </w:div>
        <w:div w:id="994140803">
          <w:marLeft w:val="640"/>
          <w:marRight w:val="0"/>
          <w:marTop w:val="0"/>
          <w:marBottom w:val="0"/>
          <w:divBdr>
            <w:top w:val="none" w:sz="0" w:space="0" w:color="auto"/>
            <w:left w:val="none" w:sz="0" w:space="0" w:color="auto"/>
            <w:bottom w:val="none" w:sz="0" w:space="0" w:color="auto"/>
            <w:right w:val="none" w:sz="0" w:space="0" w:color="auto"/>
          </w:divBdr>
        </w:div>
        <w:div w:id="1699815883">
          <w:marLeft w:val="640"/>
          <w:marRight w:val="0"/>
          <w:marTop w:val="0"/>
          <w:marBottom w:val="0"/>
          <w:divBdr>
            <w:top w:val="none" w:sz="0" w:space="0" w:color="auto"/>
            <w:left w:val="none" w:sz="0" w:space="0" w:color="auto"/>
            <w:bottom w:val="none" w:sz="0" w:space="0" w:color="auto"/>
            <w:right w:val="none" w:sz="0" w:space="0" w:color="auto"/>
          </w:divBdr>
        </w:div>
        <w:div w:id="86006150">
          <w:marLeft w:val="640"/>
          <w:marRight w:val="0"/>
          <w:marTop w:val="0"/>
          <w:marBottom w:val="0"/>
          <w:divBdr>
            <w:top w:val="none" w:sz="0" w:space="0" w:color="auto"/>
            <w:left w:val="none" w:sz="0" w:space="0" w:color="auto"/>
            <w:bottom w:val="none" w:sz="0" w:space="0" w:color="auto"/>
            <w:right w:val="none" w:sz="0" w:space="0" w:color="auto"/>
          </w:divBdr>
        </w:div>
        <w:div w:id="241263291">
          <w:marLeft w:val="640"/>
          <w:marRight w:val="0"/>
          <w:marTop w:val="0"/>
          <w:marBottom w:val="0"/>
          <w:divBdr>
            <w:top w:val="none" w:sz="0" w:space="0" w:color="auto"/>
            <w:left w:val="none" w:sz="0" w:space="0" w:color="auto"/>
            <w:bottom w:val="none" w:sz="0" w:space="0" w:color="auto"/>
            <w:right w:val="none" w:sz="0" w:space="0" w:color="auto"/>
          </w:divBdr>
        </w:div>
        <w:div w:id="1205098585">
          <w:marLeft w:val="640"/>
          <w:marRight w:val="0"/>
          <w:marTop w:val="0"/>
          <w:marBottom w:val="0"/>
          <w:divBdr>
            <w:top w:val="none" w:sz="0" w:space="0" w:color="auto"/>
            <w:left w:val="none" w:sz="0" w:space="0" w:color="auto"/>
            <w:bottom w:val="none" w:sz="0" w:space="0" w:color="auto"/>
            <w:right w:val="none" w:sz="0" w:space="0" w:color="auto"/>
          </w:divBdr>
        </w:div>
        <w:div w:id="1769959003">
          <w:marLeft w:val="640"/>
          <w:marRight w:val="0"/>
          <w:marTop w:val="0"/>
          <w:marBottom w:val="0"/>
          <w:divBdr>
            <w:top w:val="none" w:sz="0" w:space="0" w:color="auto"/>
            <w:left w:val="none" w:sz="0" w:space="0" w:color="auto"/>
            <w:bottom w:val="none" w:sz="0" w:space="0" w:color="auto"/>
            <w:right w:val="none" w:sz="0" w:space="0" w:color="auto"/>
          </w:divBdr>
        </w:div>
        <w:div w:id="933318317">
          <w:marLeft w:val="640"/>
          <w:marRight w:val="0"/>
          <w:marTop w:val="0"/>
          <w:marBottom w:val="0"/>
          <w:divBdr>
            <w:top w:val="none" w:sz="0" w:space="0" w:color="auto"/>
            <w:left w:val="none" w:sz="0" w:space="0" w:color="auto"/>
            <w:bottom w:val="none" w:sz="0" w:space="0" w:color="auto"/>
            <w:right w:val="none" w:sz="0" w:space="0" w:color="auto"/>
          </w:divBdr>
        </w:div>
        <w:div w:id="1836188302">
          <w:marLeft w:val="640"/>
          <w:marRight w:val="0"/>
          <w:marTop w:val="0"/>
          <w:marBottom w:val="0"/>
          <w:divBdr>
            <w:top w:val="none" w:sz="0" w:space="0" w:color="auto"/>
            <w:left w:val="none" w:sz="0" w:space="0" w:color="auto"/>
            <w:bottom w:val="none" w:sz="0" w:space="0" w:color="auto"/>
            <w:right w:val="none" w:sz="0" w:space="0" w:color="auto"/>
          </w:divBdr>
        </w:div>
        <w:div w:id="292490918">
          <w:marLeft w:val="640"/>
          <w:marRight w:val="0"/>
          <w:marTop w:val="0"/>
          <w:marBottom w:val="0"/>
          <w:divBdr>
            <w:top w:val="none" w:sz="0" w:space="0" w:color="auto"/>
            <w:left w:val="none" w:sz="0" w:space="0" w:color="auto"/>
            <w:bottom w:val="none" w:sz="0" w:space="0" w:color="auto"/>
            <w:right w:val="none" w:sz="0" w:space="0" w:color="auto"/>
          </w:divBdr>
        </w:div>
        <w:div w:id="217476765">
          <w:marLeft w:val="640"/>
          <w:marRight w:val="0"/>
          <w:marTop w:val="0"/>
          <w:marBottom w:val="0"/>
          <w:divBdr>
            <w:top w:val="none" w:sz="0" w:space="0" w:color="auto"/>
            <w:left w:val="none" w:sz="0" w:space="0" w:color="auto"/>
            <w:bottom w:val="none" w:sz="0" w:space="0" w:color="auto"/>
            <w:right w:val="none" w:sz="0" w:space="0" w:color="auto"/>
          </w:divBdr>
        </w:div>
        <w:div w:id="599724198">
          <w:marLeft w:val="640"/>
          <w:marRight w:val="0"/>
          <w:marTop w:val="0"/>
          <w:marBottom w:val="0"/>
          <w:divBdr>
            <w:top w:val="none" w:sz="0" w:space="0" w:color="auto"/>
            <w:left w:val="none" w:sz="0" w:space="0" w:color="auto"/>
            <w:bottom w:val="none" w:sz="0" w:space="0" w:color="auto"/>
            <w:right w:val="none" w:sz="0" w:space="0" w:color="auto"/>
          </w:divBdr>
        </w:div>
        <w:div w:id="1256282247">
          <w:marLeft w:val="640"/>
          <w:marRight w:val="0"/>
          <w:marTop w:val="0"/>
          <w:marBottom w:val="0"/>
          <w:divBdr>
            <w:top w:val="none" w:sz="0" w:space="0" w:color="auto"/>
            <w:left w:val="none" w:sz="0" w:space="0" w:color="auto"/>
            <w:bottom w:val="none" w:sz="0" w:space="0" w:color="auto"/>
            <w:right w:val="none" w:sz="0" w:space="0" w:color="auto"/>
          </w:divBdr>
        </w:div>
        <w:div w:id="1439789029">
          <w:marLeft w:val="640"/>
          <w:marRight w:val="0"/>
          <w:marTop w:val="0"/>
          <w:marBottom w:val="0"/>
          <w:divBdr>
            <w:top w:val="none" w:sz="0" w:space="0" w:color="auto"/>
            <w:left w:val="none" w:sz="0" w:space="0" w:color="auto"/>
            <w:bottom w:val="none" w:sz="0" w:space="0" w:color="auto"/>
            <w:right w:val="none" w:sz="0" w:space="0" w:color="auto"/>
          </w:divBdr>
        </w:div>
        <w:div w:id="1169830432">
          <w:marLeft w:val="640"/>
          <w:marRight w:val="0"/>
          <w:marTop w:val="0"/>
          <w:marBottom w:val="0"/>
          <w:divBdr>
            <w:top w:val="none" w:sz="0" w:space="0" w:color="auto"/>
            <w:left w:val="none" w:sz="0" w:space="0" w:color="auto"/>
            <w:bottom w:val="none" w:sz="0" w:space="0" w:color="auto"/>
            <w:right w:val="none" w:sz="0" w:space="0" w:color="auto"/>
          </w:divBdr>
        </w:div>
        <w:div w:id="185755791">
          <w:marLeft w:val="640"/>
          <w:marRight w:val="0"/>
          <w:marTop w:val="0"/>
          <w:marBottom w:val="0"/>
          <w:divBdr>
            <w:top w:val="none" w:sz="0" w:space="0" w:color="auto"/>
            <w:left w:val="none" w:sz="0" w:space="0" w:color="auto"/>
            <w:bottom w:val="none" w:sz="0" w:space="0" w:color="auto"/>
            <w:right w:val="none" w:sz="0" w:space="0" w:color="auto"/>
          </w:divBdr>
        </w:div>
        <w:div w:id="1862694451">
          <w:marLeft w:val="640"/>
          <w:marRight w:val="0"/>
          <w:marTop w:val="0"/>
          <w:marBottom w:val="0"/>
          <w:divBdr>
            <w:top w:val="none" w:sz="0" w:space="0" w:color="auto"/>
            <w:left w:val="none" w:sz="0" w:space="0" w:color="auto"/>
            <w:bottom w:val="none" w:sz="0" w:space="0" w:color="auto"/>
            <w:right w:val="none" w:sz="0" w:space="0" w:color="auto"/>
          </w:divBdr>
        </w:div>
        <w:div w:id="791945674">
          <w:marLeft w:val="640"/>
          <w:marRight w:val="0"/>
          <w:marTop w:val="0"/>
          <w:marBottom w:val="0"/>
          <w:divBdr>
            <w:top w:val="none" w:sz="0" w:space="0" w:color="auto"/>
            <w:left w:val="none" w:sz="0" w:space="0" w:color="auto"/>
            <w:bottom w:val="none" w:sz="0" w:space="0" w:color="auto"/>
            <w:right w:val="none" w:sz="0" w:space="0" w:color="auto"/>
          </w:divBdr>
        </w:div>
        <w:div w:id="1621913823">
          <w:marLeft w:val="640"/>
          <w:marRight w:val="0"/>
          <w:marTop w:val="0"/>
          <w:marBottom w:val="0"/>
          <w:divBdr>
            <w:top w:val="none" w:sz="0" w:space="0" w:color="auto"/>
            <w:left w:val="none" w:sz="0" w:space="0" w:color="auto"/>
            <w:bottom w:val="none" w:sz="0" w:space="0" w:color="auto"/>
            <w:right w:val="none" w:sz="0" w:space="0" w:color="auto"/>
          </w:divBdr>
        </w:div>
        <w:div w:id="1394812149">
          <w:marLeft w:val="640"/>
          <w:marRight w:val="0"/>
          <w:marTop w:val="0"/>
          <w:marBottom w:val="0"/>
          <w:divBdr>
            <w:top w:val="none" w:sz="0" w:space="0" w:color="auto"/>
            <w:left w:val="none" w:sz="0" w:space="0" w:color="auto"/>
            <w:bottom w:val="none" w:sz="0" w:space="0" w:color="auto"/>
            <w:right w:val="none" w:sz="0" w:space="0" w:color="auto"/>
          </w:divBdr>
        </w:div>
        <w:div w:id="1889998428">
          <w:marLeft w:val="640"/>
          <w:marRight w:val="0"/>
          <w:marTop w:val="0"/>
          <w:marBottom w:val="0"/>
          <w:divBdr>
            <w:top w:val="none" w:sz="0" w:space="0" w:color="auto"/>
            <w:left w:val="none" w:sz="0" w:space="0" w:color="auto"/>
            <w:bottom w:val="none" w:sz="0" w:space="0" w:color="auto"/>
            <w:right w:val="none" w:sz="0" w:space="0" w:color="auto"/>
          </w:divBdr>
        </w:div>
        <w:div w:id="1345978948">
          <w:marLeft w:val="640"/>
          <w:marRight w:val="0"/>
          <w:marTop w:val="0"/>
          <w:marBottom w:val="0"/>
          <w:divBdr>
            <w:top w:val="none" w:sz="0" w:space="0" w:color="auto"/>
            <w:left w:val="none" w:sz="0" w:space="0" w:color="auto"/>
            <w:bottom w:val="none" w:sz="0" w:space="0" w:color="auto"/>
            <w:right w:val="none" w:sz="0" w:space="0" w:color="auto"/>
          </w:divBdr>
        </w:div>
        <w:div w:id="1774743165">
          <w:marLeft w:val="640"/>
          <w:marRight w:val="0"/>
          <w:marTop w:val="0"/>
          <w:marBottom w:val="0"/>
          <w:divBdr>
            <w:top w:val="none" w:sz="0" w:space="0" w:color="auto"/>
            <w:left w:val="none" w:sz="0" w:space="0" w:color="auto"/>
            <w:bottom w:val="none" w:sz="0" w:space="0" w:color="auto"/>
            <w:right w:val="none" w:sz="0" w:space="0" w:color="auto"/>
          </w:divBdr>
        </w:div>
        <w:div w:id="1312171332">
          <w:marLeft w:val="640"/>
          <w:marRight w:val="0"/>
          <w:marTop w:val="0"/>
          <w:marBottom w:val="0"/>
          <w:divBdr>
            <w:top w:val="none" w:sz="0" w:space="0" w:color="auto"/>
            <w:left w:val="none" w:sz="0" w:space="0" w:color="auto"/>
            <w:bottom w:val="none" w:sz="0" w:space="0" w:color="auto"/>
            <w:right w:val="none" w:sz="0" w:space="0" w:color="auto"/>
          </w:divBdr>
        </w:div>
        <w:div w:id="668755433">
          <w:marLeft w:val="640"/>
          <w:marRight w:val="0"/>
          <w:marTop w:val="0"/>
          <w:marBottom w:val="0"/>
          <w:divBdr>
            <w:top w:val="none" w:sz="0" w:space="0" w:color="auto"/>
            <w:left w:val="none" w:sz="0" w:space="0" w:color="auto"/>
            <w:bottom w:val="none" w:sz="0" w:space="0" w:color="auto"/>
            <w:right w:val="none" w:sz="0" w:space="0" w:color="auto"/>
          </w:divBdr>
        </w:div>
        <w:div w:id="1104226340">
          <w:marLeft w:val="640"/>
          <w:marRight w:val="0"/>
          <w:marTop w:val="0"/>
          <w:marBottom w:val="0"/>
          <w:divBdr>
            <w:top w:val="none" w:sz="0" w:space="0" w:color="auto"/>
            <w:left w:val="none" w:sz="0" w:space="0" w:color="auto"/>
            <w:bottom w:val="none" w:sz="0" w:space="0" w:color="auto"/>
            <w:right w:val="none" w:sz="0" w:space="0" w:color="auto"/>
          </w:divBdr>
        </w:div>
        <w:div w:id="279269108">
          <w:marLeft w:val="640"/>
          <w:marRight w:val="0"/>
          <w:marTop w:val="0"/>
          <w:marBottom w:val="0"/>
          <w:divBdr>
            <w:top w:val="none" w:sz="0" w:space="0" w:color="auto"/>
            <w:left w:val="none" w:sz="0" w:space="0" w:color="auto"/>
            <w:bottom w:val="none" w:sz="0" w:space="0" w:color="auto"/>
            <w:right w:val="none" w:sz="0" w:space="0" w:color="auto"/>
          </w:divBdr>
        </w:div>
        <w:div w:id="1970043935">
          <w:marLeft w:val="640"/>
          <w:marRight w:val="0"/>
          <w:marTop w:val="0"/>
          <w:marBottom w:val="0"/>
          <w:divBdr>
            <w:top w:val="none" w:sz="0" w:space="0" w:color="auto"/>
            <w:left w:val="none" w:sz="0" w:space="0" w:color="auto"/>
            <w:bottom w:val="none" w:sz="0" w:space="0" w:color="auto"/>
            <w:right w:val="none" w:sz="0" w:space="0" w:color="auto"/>
          </w:divBdr>
        </w:div>
        <w:div w:id="1371614397">
          <w:marLeft w:val="640"/>
          <w:marRight w:val="0"/>
          <w:marTop w:val="0"/>
          <w:marBottom w:val="0"/>
          <w:divBdr>
            <w:top w:val="none" w:sz="0" w:space="0" w:color="auto"/>
            <w:left w:val="none" w:sz="0" w:space="0" w:color="auto"/>
            <w:bottom w:val="none" w:sz="0" w:space="0" w:color="auto"/>
            <w:right w:val="none" w:sz="0" w:space="0" w:color="auto"/>
          </w:divBdr>
        </w:div>
        <w:div w:id="1616711429">
          <w:marLeft w:val="640"/>
          <w:marRight w:val="0"/>
          <w:marTop w:val="0"/>
          <w:marBottom w:val="0"/>
          <w:divBdr>
            <w:top w:val="none" w:sz="0" w:space="0" w:color="auto"/>
            <w:left w:val="none" w:sz="0" w:space="0" w:color="auto"/>
            <w:bottom w:val="none" w:sz="0" w:space="0" w:color="auto"/>
            <w:right w:val="none" w:sz="0" w:space="0" w:color="auto"/>
          </w:divBdr>
        </w:div>
        <w:div w:id="931011897">
          <w:marLeft w:val="640"/>
          <w:marRight w:val="0"/>
          <w:marTop w:val="0"/>
          <w:marBottom w:val="0"/>
          <w:divBdr>
            <w:top w:val="none" w:sz="0" w:space="0" w:color="auto"/>
            <w:left w:val="none" w:sz="0" w:space="0" w:color="auto"/>
            <w:bottom w:val="none" w:sz="0" w:space="0" w:color="auto"/>
            <w:right w:val="none" w:sz="0" w:space="0" w:color="auto"/>
          </w:divBdr>
        </w:div>
        <w:div w:id="338125463">
          <w:marLeft w:val="640"/>
          <w:marRight w:val="0"/>
          <w:marTop w:val="0"/>
          <w:marBottom w:val="0"/>
          <w:divBdr>
            <w:top w:val="none" w:sz="0" w:space="0" w:color="auto"/>
            <w:left w:val="none" w:sz="0" w:space="0" w:color="auto"/>
            <w:bottom w:val="none" w:sz="0" w:space="0" w:color="auto"/>
            <w:right w:val="none" w:sz="0" w:space="0" w:color="auto"/>
          </w:divBdr>
        </w:div>
        <w:div w:id="1467359494">
          <w:marLeft w:val="640"/>
          <w:marRight w:val="0"/>
          <w:marTop w:val="0"/>
          <w:marBottom w:val="0"/>
          <w:divBdr>
            <w:top w:val="none" w:sz="0" w:space="0" w:color="auto"/>
            <w:left w:val="none" w:sz="0" w:space="0" w:color="auto"/>
            <w:bottom w:val="none" w:sz="0" w:space="0" w:color="auto"/>
            <w:right w:val="none" w:sz="0" w:space="0" w:color="auto"/>
          </w:divBdr>
        </w:div>
        <w:div w:id="1691448674">
          <w:marLeft w:val="640"/>
          <w:marRight w:val="0"/>
          <w:marTop w:val="0"/>
          <w:marBottom w:val="0"/>
          <w:divBdr>
            <w:top w:val="none" w:sz="0" w:space="0" w:color="auto"/>
            <w:left w:val="none" w:sz="0" w:space="0" w:color="auto"/>
            <w:bottom w:val="none" w:sz="0" w:space="0" w:color="auto"/>
            <w:right w:val="none" w:sz="0" w:space="0" w:color="auto"/>
          </w:divBdr>
        </w:div>
        <w:div w:id="1723215893">
          <w:marLeft w:val="640"/>
          <w:marRight w:val="0"/>
          <w:marTop w:val="0"/>
          <w:marBottom w:val="0"/>
          <w:divBdr>
            <w:top w:val="none" w:sz="0" w:space="0" w:color="auto"/>
            <w:left w:val="none" w:sz="0" w:space="0" w:color="auto"/>
            <w:bottom w:val="none" w:sz="0" w:space="0" w:color="auto"/>
            <w:right w:val="none" w:sz="0" w:space="0" w:color="auto"/>
          </w:divBdr>
        </w:div>
        <w:div w:id="557861581">
          <w:marLeft w:val="640"/>
          <w:marRight w:val="0"/>
          <w:marTop w:val="0"/>
          <w:marBottom w:val="0"/>
          <w:divBdr>
            <w:top w:val="none" w:sz="0" w:space="0" w:color="auto"/>
            <w:left w:val="none" w:sz="0" w:space="0" w:color="auto"/>
            <w:bottom w:val="none" w:sz="0" w:space="0" w:color="auto"/>
            <w:right w:val="none" w:sz="0" w:space="0" w:color="auto"/>
          </w:divBdr>
        </w:div>
        <w:div w:id="693385539">
          <w:marLeft w:val="640"/>
          <w:marRight w:val="0"/>
          <w:marTop w:val="0"/>
          <w:marBottom w:val="0"/>
          <w:divBdr>
            <w:top w:val="none" w:sz="0" w:space="0" w:color="auto"/>
            <w:left w:val="none" w:sz="0" w:space="0" w:color="auto"/>
            <w:bottom w:val="none" w:sz="0" w:space="0" w:color="auto"/>
            <w:right w:val="none" w:sz="0" w:space="0" w:color="auto"/>
          </w:divBdr>
        </w:div>
        <w:div w:id="1506357162">
          <w:marLeft w:val="640"/>
          <w:marRight w:val="0"/>
          <w:marTop w:val="0"/>
          <w:marBottom w:val="0"/>
          <w:divBdr>
            <w:top w:val="none" w:sz="0" w:space="0" w:color="auto"/>
            <w:left w:val="none" w:sz="0" w:space="0" w:color="auto"/>
            <w:bottom w:val="none" w:sz="0" w:space="0" w:color="auto"/>
            <w:right w:val="none" w:sz="0" w:space="0" w:color="auto"/>
          </w:divBdr>
        </w:div>
        <w:div w:id="539629968">
          <w:marLeft w:val="640"/>
          <w:marRight w:val="0"/>
          <w:marTop w:val="0"/>
          <w:marBottom w:val="0"/>
          <w:divBdr>
            <w:top w:val="none" w:sz="0" w:space="0" w:color="auto"/>
            <w:left w:val="none" w:sz="0" w:space="0" w:color="auto"/>
            <w:bottom w:val="none" w:sz="0" w:space="0" w:color="auto"/>
            <w:right w:val="none" w:sz="0" w:space="0" w:color="auto"/>
          </w:divBdr>
        </w:div>
        <w:div w:id="757218169">
          <w:marLeft w:val="640"/>
          <w:marRight w:val="0"/>
          <w:marTop w:val="0"/>
          <w:marBottom w:val="0"/>
          <w:divBdr>
            <w:top w:val="none" w:sz="0" w:space="0" w:color="auto"/>
            <w:left w:val="none" w:sz="0" w:space="0" w:color="auto"/>
            <w:bottom w:val="none" w:sz="0" w:space="0" w:color="auto"/>
            <w:right w:val="none" w:sz="0" w:space="0" w:color="auto"/>
          </w:divBdr>
        </w:div>
        <w:div w:id="490101192">
          <w:marLeft w:val="640"/>
          <w:marRight w:val="0"/>
          <w:marTop w:val="0"/>
          <w:marBottom w:val="0"/>
          <w:divBdr>
            <w:top w:val="none" w:sz="0" w:space="0" w:color="auto"/>
            <w:left w:val="none" w:sz="0" w:space="0" w:color="auto"/>
            <w:bottom w:val="none" w:sz="0" w:space="0" w:color="auto"/>
            <w:right w:val="none" w:sz="0" w:space="0" w:color="auto"/>
          </w:divBdr>
        </w:div>
        <w:div w:id="1565751235">
          <w:marLeft w:val="640"/>
          <w:marRight w:val="0"/>
          <w:marTop w:val="0"/>
          <w:marBottom w:val="0"/>
          <w:divBdr>
            <w:top w:val="none" w:sz="0" w:space="0" w:color="auto"/>
            <w:left w:val="none" w:sz="0" w:space="0" w:color="auto"/>
            <w:bottom w:val="none" w:sz="0" w:space="0" w:color="auto"/>
            <w:right w:val="none" w:sz="0" w:space="0" w:color="auto"/>
          </w:divBdr>
        </w:div>
        <w:div w:id="692805975">
          <w:marLeft w:val="640"/>
          <w:marRight w:val="0"/>
          <w:marTop w:val="0"/>
          <w:marBottom w:val="0"/>
          <w:divBdr>
            <w:top w:val="none" w:sz="0" w:space="0" w:color="auto"/>
            <w:left w:val="none" w:sz="0" w:space="0" w:color="auto"/>
            <w:bottom w:val="none" w:sz="0" w:space="0" w:color="auto"/>
            <w:right w:val="none" w:sz="0" w:space="0" w:color="auto"/>
          </w:divBdr>
        </w:div>
        <w:div w:id="1550799654">
          <w:marLeft w:val="640"/>
          <w:marRight w:val="0"/>
          <w:marTop w:val="0"/>
          <w:marBottom w:val="0"/>
          <w:divBdr>
            <w:top w:val="none" w:sz="0" w:space="0" w:color="auto"/>
            <w:left w:val="none" w:sz="0" w:space="0" w:color="auto"/>
            <w:bottom w:val="none" w:sz="0" w:space="0" w:color="auto"/>
            <w:right w:val="none" w:sz="0" w:space="0" w:color="auto"/>
          </w:divBdr>
        </w:div>
        <w:div w:id="1952783614">
          <w:marLeft w:val="640"/>
          <w:marRight w:val="0"/>
          <w:marTop w:val="0"/>
          <w:marBottom w:val="0"/>
          <w:divBdr>
            <w:top w:val="none" w:sz="0" w:space="0" w:color="auto"/>
            <w:left w:val="none" w:sz="0" w:space="0" w:color="auto"/>
            <w:bottom w:val="none" w:sz="0" w:space="0" w:color="auto"/>
            <w:right w:val="none" w:sz="0" w:space="0" w:color="auto"/>
          </w:divBdr>
        </w:div>
        <w:div w:id="1551765135">
          <w:marLeft w:val="640"/>
          <w:marRight w:val="0"/>
          <w:marTop w:val="0"/>
          <w:marBottom w:val="0"/>
          <w:divBdr>
            <w:top w:val="none" w:sz="0" w:space="0" w:color="auto"/>
            <w:left w:val="none" w:sz="0" w:space="0" w:color="auto"/>
            <w:bottom w:val="none" w:sz="0" w:space="0" w:color="auto"/>
            <w:right w:val="none" w:sz="0" w:space="0" w:color="auto"/>
          </w:divBdr>
        </w:div>
        <w:div w:id="149054895">
          <w:marLeft w:val="640"/>
          <w:marRight w:val="0"/>
          <w:marTop w:val="0"/>
          <w:marBottom w:val="0"/>
          <w:divBdr>
            <w:top w:val="none" w:sz="0" w:space="0" w:color="auto"/>
            <w:left w:val="none" w:sz="0" w:space="0" w:color="auto"/>
            <w:bottom w:val="none" w:sz="0" w:space="0" w:color="auto"/>
            <w:right w:val="none" w:sz="0" w:space="0" w:color="auto"/>
          </w:divBdr>
        </w:div>
        <w:div w:id="573468366">
          <w:marLeft w:val="640"/>
          <w:marRight w:val="0"/>
          <w:marTop w:val="0"/>
          <w:marBottom w:val="0"/>
          <w:divBdr>
            <w:top w:val="none" w:sz="0" w:space="0" w:color="auto"/>
            <w:left w:val="none" w:sz="0" w:space="0" w:color="auto"/>
            <w:bottom w:val="none" w:sz="0" w:space="0" w:color="auto"/>
            <w:right w:val="none" w:sz="0" w:space="0" w:color="auto"/>
          </w:divBdr>
        </w:div>
        <w:div w:id="1967392911">
          <w:marLeft w:val="640"/>
          <w:marRight w:val="0"/>
          <w:marTop w:val="0"/>
          <w:marBottom w:val="0"/>
          <w:divBdr>
            <w:top w:val="none" w:sz="0" w:space="0" w:color="auto"/>
            <w:left w:val="none" w:sz="0" w:space="0" w:color="auto"/>
            <w:bottom w:val="none" w:sz="0" w:space="0" w:color="auto"/>
            <w:right w:val="none" w:sz="0" w:space="0" w:color="auto"/>
          </w:divBdr>
        </w:div>
        <w:div w:id="1559169251">
          <w:marLeft w:val="640"/>
          <w:marRight w:val="0"/>
          <w:marTop w:val="0"/>
          <w:marBottom w:val="0"/>
          <w:divBdr>
            <w:top w:val="none" w:sz="0" w:space="0" w:color="auto"/>
            <w:left w:val="none" w:sz="0" w:space="0" w:color="auto"/>
            <w:bottom w:val="none" w:sz="0" w:space="0" w:color="auto"/>
            <w:right w:val="none" w:sz="0" w:space="0" w:color="auto"/>
          </w:divBdr>
        </w:div>
        <w:div w:id="1691638236">
          <w:marLeft w:val="640"/>
          <w:marRight w:val="0"/>
          <w:marTop w:val="0"/>
          <w:marBottom w:val="0"/>
          <w:divBdr>
            <w:top w:val="none" w:sz="0" w:space="0" w:color="auto"/>
            <w:left w:val="none" w:sz="0" w:space="0" w:color="auto"/>
            <w:bottom w:val="none" w:sz="0" w:space="0" w:color="auto"/>
            <w:right w:val="none" w:sz="0" w:space="0" w:color="auto"/>
          </w:divBdr>
        </w:div>
        <w:div w:id="1584030555">
          <w:marLeft w:val="640"/>
          <w:marRight w:val="0"/>
          <w:marTop w:val="0"/>
          <w:marBottom w:val="0"/>
          <w:divBdr>
            <w:top w:val="none" w:sz="0" w:space="0" w:color="auto"/>
            <w:left w:val="none" w:sz="0" w:space="0" w:color="auto"/>
            <w:bottom w:val="none" w:sz="0" w:space="0" w:color="auto"/>
            <w:right w:val="none" w:sz="0" w:space="0" w:color="auto"/>
          </w:divBdr>
        </w:div>
        <w:div w:id="893006981">
          <w:marLeft w:val="640"/>
          <w:marRight w:val="0"/>
          <w:marTop w:val="0"/>
          <w:marBottom w:val="0"/>
          <w:divBdr>
            <w:top w:val="none" w:sz="0" w:space="0" w:color="auto"/>
            <w:left w:val="none" w:sz="0" w:space="0" w:color="auto"/>
            <w:bottom w:val="none" w:sz="0" w:space="0" w:color="auto"/>
            <w:right w:val="none" w:sz="0" w:space="0" w:color="auto"/>
          </w:divBdr>
        </w:div>
        <w:div w:id="1551959657">
          <w:marLeft w:val="640"/>
          <w:marRight w:val="0"/>
          <w:marTop w:val="0"/>
          <w:marBottom w:val="0"/>
          <w:divBdr>
            <w:top w:val="none" w:sz="0" w:space="0" w:color="auto"/>
            <w:left w:val="none" w:sz="0" w:space="0" w:color="auto"/>
            <w:bottom w:val="none" w:sz="0" w:space="0" w:color="auto"/>
            <w:right w:val="none" w:sz="0" w:space="0" w:color="auto"/>
          </w:divBdr>
        </w:div>
        <w:div w:id="1637906422">
          <w:marLeft w:val="640"/>
          <w:marRight w:val="0"/>
          <w:marTop w:val="0"/>
          <w:marBottom w:val="0"/>
          <w:divBdr>
            <w:top w:val="none" w:sz="0" w:space="0" w:color="auto"/>
            <w:left w:val="none" w:sz="0" w:space="0" w:color="auto"/>
            <w:bottom w:val="none" w:sz="0" w:space="0" w:color="auto"/>
            <w:right w:val="none" w:sz="0" w:space="0" w:color="auto"/>
          </w:divBdr>
        </w:div>
        <w:div w:id="1394310699">
          <w:marLeft w:val="640"/>
          <w:marRight w:val="0"/>
          <w:marTop w:val="0"/>
          <w:marBottom w:val="0"/>
          <w:divBdr>
            <w:top w:val="none" w:sz="0" w:space="0" w:color="auto"/>
            <w:left w:val="none" w:sz="0" w:space="0" w:color="auto"/>
            <w:bottom w:val="none" w:sz="0" w:space="0" w:color="auto"/>
            <w:right w:val="none" w:sz="0" w:space="0" w:color="auto"/>
          </w:divBdr>
        </w:div>
        <w:div w:id="1976183365">
          <w:marLeft w:val="640"/>
          <w:marRight w:val="0"/>
          <w:marTop w:val="0"/>
          <w:marBottom w:val="0"/>
          <w:divBdr>
            <w:top w:val="none" w:sz="0" w:space="0" w:color="auto"/>
            <w:left w:val="none" w:sz="0" w:space="0" w:color="auto"/>
            <w:bottom w:val="none" w:sz="0" w:space="0" w:color="auto"/>
            <w:right w:val="none" w:sz="0" w:space="0" w:color="auto"/>
          </w:divBdr>
        </w:div>
        <w:div w:id="561018275">
          <w:marLeft w:val="640"/>
          <w:marRight w:val="0"/>
          <w:marTop w:val="0"/>
          <w:marBottom w:val="0"/>
          <w:divBdr>
            <w:top w:val="none" w:sz="0" w:space="0" w:color="auto"/>
            <w:left w:val="none" w:sz="0" w:space="0" w:color="auto"/>
            <w:bottom w:val="none" w:sz="0" w:space="0" w:color="auto"/>
            <w:right w:val="none" w:sz="0" w:space="0" w:color="auto"/>
          </w:divBdr>
        </w:div>
        <w:div w:id="723143487">
          <w:marLeft w:val="640"/>
          <w:marRight w:val="0"/>
          <w:marTop w:val="0"/>
          <w:marBottom w:val="0"/>
          <w:divBdr>
            <w:top w:val="none" w:sz="0" w:space="0" w:color="auto"/>
            <w:left w:val="none" w:sz="0" w:space="0" w:color="auto"/>
            <w:bottom w:val="none" w:sz="0" w:space="0" w:color="auto"/>
            <w:right w:val="none" w:sz="0" w:space="0" w:color="auto"/>
          </w:divBdr>
        </w:div>
        <w:div w:id="1465276639">
          <w:marLeft w:val="640"/>
          <w:marRight w:val="0"/>
          <w:marTop w:val="0"/>
          <w:marBottom w:val="0"/>
          <w:divBdr>
            <w:top w:val="none" w:sz="0" w:space="0" w:color="auto"/>
            <w:left w:val="none" w:sz="0" w:space="0" w:color="auto"/>
            <w:bottom w:val="none" w:sz="0" w:space="0" w:color="auto"/>
            <w:right w:val="none" w:sz="0" w:space="0" w:color="auto"/>
          </w:divBdr>
        </w:div>
        <w:div w:id="1998025632">
          <w:marLeft w:val="640"/>
          <w:marRight w:val="0"/>
          <w:marTop w:val="0"/>
          <w:marBottom w:val="0"/>
          <w:divBdr>
            <w:top w:val="none" w:sz="0" w:space="0" w:color="auto"/>
            <w:left w:val="none" w:sz="0" w:space="0" w:color="auto"/>
            <w:bottom w:val="none" w:sz="0" w:space="0" w:color="auto"/>
            <w:right w:val="none" w:sz="0" w:space="0" w:color="auto"/>
          </w:divBdr>
        </w:div>
        <w:div w:id="1993675889">
          <w:marLeft w:val="640"/>
          <w:marRight w:val="0"/>
          <w:marTop w:val="0"/>
          <w:marBottom w:val="0"/>
          <w:divBdr>
            <w:top w:val="none" w:sz="0" w:space="0" w:color="auto"/>
            <w:left w:val="none" w:sz="0" w:space="0" w:color="auto"/>
            <w:bottom w:val="none" w:sz="0" w:space="0" w:color="auto"/>
            <w:right w:val="none" w:sz="0" w:space="0" w:color="auto"/>
          </w:divBdr>
        </w:div>
        <w:div w:id="1317412382">
          <w:marLeft w:val="640"/>
          <w:marRight w:val="0"/>
          <w:marTop w:val="0"/>
          <w:marBottom w:val="0"/>
          <w:divBdr>
            <w:top w:val="none" w:sz="0" w:space="0" w:color="auto"/>
            <w:left w:val="none" w:sz="0" w:space="0" w:color="auto"/>
            <w:bottom w:val="none" w:sz="0" w:space="0" w:color="auto"/>
            <w:right w:val="none" w:sz="0" w:space="0" w:color="auto"/>
          </w:divBdr>
        </w:div>
        <w:div w:id="2055276710">
          <w:marLeft w:val="640"/>
          <w:marRight w:val="0"/>
          <w:marTop w:val="0"/>
          <w:marBottom w:val="0"/>
          <w:divBdr>
            <w:top w:val="none" w:sz="0" w:space="0" w:color="auto"/>
            <w:left w:val="none" w:sz="0" w:space="0" w:color="auto"/>
            <w:bottom w:val="none" w:sz="0" w:space="0" w:color="auto"/>
            <w:right w:val="none" w:sz="0" w:space="0" w:color="auto"/>
          </w:divBdr>
        </w:div>
        <w:div w:id="1646203579">
          <w:marLeft w:val="640"/>
          <w:marRight w:val="0"/>
          <w:marTop w:val="0"/>
          <w:marBottom w:val="0"/>
          <w:divBdr>
            <w:top w:val="none" w:sz="0" w:space="0" w:color="auto"/>
            <w:left w:val="none" w:sz="0" w:space="0" w:color="auto"/>
            <w:bottom w:val="none" w:sz="0" w:space="0" w:color="auto"/>
            <w:right w:val="none" w:sz="0" w:space="0" w:color="auto"/>
          </w:divBdr>
        </w:div>
        <w:div w:id="392389081">
          <w:marLeft w:val="640"/>
          <w:marRight w:val="0"/>
          <w:marTop w:val="0"/>
          <w:marBottom w:val="0"/>
          <w:divBdr>
            <w:top w:val="none" w:sz="0" w:space="0" w:color="auto"/>
            <w:left w:val="none" w:sz="0" w:space="0" w:color="auto"/>
            <w:bottom w:val="none" w:sz="0" w:space="0" w:color="auto"/>
            <w:right w:val="none" w:sz="0" w:space="0" w:color="auto"/>
          </w:divBdr>
        </w:div>
        <w:div w:id="2008166529">
          <w:marLeft w:val="640"/>
          <w:marRight w:val="0"/>
          <w:marTop w:val="0"/>
          <w:marBottom w:val="0"/>
          <w:divBdr>
            <w:top w:val="none" w:sz="0" w:space="0" w:color="auto"/>
            <w:left w:val="none" w:sz="0" w:space="0" w:color="auto"/>
            <w:bottom w:val="none" w:sz="0" w:space="0" w:color="auto"/>
            <w:right w:val="none" w:sz="0" w:space="0" w:color="auto"/>
          </w:divBdr>
        </w:div>
        <w:div w:id="1493907901">
          <w:marLeft w:val="640"/>
          <w:marRight w:val="0"/>
          <w:marTop w:val="0"/>
          <w:marBottom w:val="0"/>
          <w:divBdr>
            <w:top w:val="none" w:sz="0" w:space="0" w:color="auto"/>
            <w:left w:val="none" w:sz="0" w:space="0" w:color="auto"/>
            <w:bottom w:val="none" w:sz="0" w:space="0" w:color="auto"/>
            <w:right w:val="none" w:sz="0" w:space="0" w:color="auto"/>
          </w:divBdr>
        </w:div>
        <w:div w:id="603461985">
          <w:marLeft w:val="640"/>
          <w:marRight w:val="0"/>
          <w:marTop w:val="0"/>
          <w:marBottom w:val="0"/>
          <w:divBdr>
            <w:top w:val="none" w:sz="0" w:space="0" w:color="auto"/>
            <w:left w:val="none" w:sz="0" w:space="0" w:color="auto"/>
            <w:bottom w:val="none" w:sz="0" w:space="0" w:color="auto"/>
            <w:right w:val="none" w:sz="0" w:space="0" w:color="auto"/>
          </w:divBdr>
        </w:div>
        <w:div w:id="495924226">
          <w:marLeft w:val="640"/>
          <w:marRight w:val="0"/>
          <w:marTop w:val="0"/>
          <w:marBottom w:val="0"/>
          <w:divBdr>
            <w:top w:val="none" w:sz="0" w:space="0" w:color="auto"/>
            <w:left w:val="none" w:sz="0" w:space="0" w:color="auto"/>
            <w:bottom w:val="none" w:sz="0" w:space="0" w:color="auto"/>
            <w:right w:val="none" w:sz="0" w:space="0" w:color="auto"/>
          </w:divBdr>
        </w:div>
        <w:div w:id="900334723">
          <w:marLeft w:val="640"/>
          <w:marRight w:val="0"/>
          <w:marTop w:val="0"/>
          <w:marBottom w:val="0"/>
          <w:divBdr>
            <w:top w:val="none" w:sz="0" w:space="0" w:color="auto"/>
            <w:left w:val="none" w:sz="0" w:space="0" w:color="auto"/>
            <w:bottom w:val="none" w:sz="0" w:space="0" w:color="auto"/>
            <w:right w:val="none" w:sz="0" w:space="0" w:color="auto"/>
          </w:divBdr>
        </w:div>
        <w:div w:id="572206248">
          <w:marLeft w:val="640"/>
          <w:marRight w:val="0"/>
          <w:marTop w:val="0"/>
          <w:marBottom w:val="0"/>
          <w:divBdr>
            <w:top w:val="none" w:sz="0" w:space="0" w:color="auto"/>
            <w:left w:val="none" w:sz="0" w:space="0" w:color="auto"/>
            <w:bottom w:val="none" w:sz="0" w:space="0" w:color="auto"/>
            <w:right w:val="none" w:sz="0" w:space="0" w:color="auto"/>
          </w:divBdr>
        </w:div>
        <w:div w:id="1187869108">
          <w:marLeft w:val="640"/>
          <w:marRight w:val="0"/>
          <w:marTop w:val="0"/>
          <w:marBottom w:val="0"/>
          <w:divBdr>
            <w:top w:val="none" w:sz="0" w:space="0" w:color="auto"/>
            <w:left w:val="none" w:sz="0" w:space="0" w:color="auto"/>
            <w:bottom w:val="none" w:sz="0" w:space="0" w:color="auto"/>
            <w:right w:val="none" w:sz="0" w:space="0" w:color="auto"/>
          </w:divBdr>
        </w:div>
        <w:div w:id="498275093">
          <w:marLeft w:val="640"/>
          <w:marRight w:val="0"/>
          <w:marTop w:val="0"/>
          <w:marBottom w:val="0"/>
          <w:divBdr>
            <w:top w:val="none" w:sz="0" w:space="0" w:color="auto"/>
            <w:left w:val="none" w:sz="0" w:space="0" w:color="auto"/>
            <w:bottom w:val="none" w:sz="0" w:space="0" w:color="auto"/>
            <w:right w:val="none" w:sz="0" w:space="0" w:color="auto"/>
          </w:divBdr>
        </w:div>
        <w:div w:id="251747628">
          <w:marLeft w:val="640"/>
          <w:marRight w:val="0"/>
          <w:marTop w:val="0"/>
          <w:marBottom w:val="0"/>
          <w:divBdr>
            <w:top w:val="none" w:sz="0" w:space="0" w:color="auto"/>
            <w:left w:val="none" w:sz="0" w:space="0" w:color="auto"/>
            <w:bottom w:val="none" w:sz="0" w:space="0" w:color="auto"/>
            <w:right w:val="none" w:sz="0" w:space="0" w:color="auto"/>
          </w:divBdr>
        </w:div>
        <w:div w:id="265888671">
          <w:marLeft w:val="640"/>
          <w:marRight w:val="0"/>
          <w:marTop w:val="0"/>
          <w:marBottom w:val="0"/>
          <w:divBdr>
            <w:top w:val="none" w:sz="0" w:space="0" w:color="auto"/>
            <w:left w:val="none" w:sz="0" w:space="0" w:color="auto"/>
            <w:bottom w:val="none" w:sz="0" w:space="0" w:color="auto"/>
            <w:right w:val="none" w:sz="0" w:space="0" w:color="auto"/>
          </w:divBdr>
        </w:div>
        <w:div w:id="625703194">
          <w:marLeft w:val="640"/>
          <w:marRight w:val="0"/>
          <w:marTop w:val="0"/>
          <w:marBottom w:val="0"/>
          <w:divBdr>
            <w:top w:val="none" w:sz="0" w:space="0" w:color="auto"/>
            <w:left w:val="none" w:sz="0" w:space="0" w:color="auto"/>
            <w:bottom w:val="none" w:sz="0" w:space="0" w:color="auto"/>
            <w:right w:val="none" w:sz="0" w:space="0" w:color="auto"/>
          </w:divBdr>
        </w:div>
        <w:div w:id="2064139568">
          <w:marLeft w:val="640"/>
          <w:marRight w:val="0"/>
          <w:marTop w:val="0"/>
          <w:marBottom w:val="0"/>
          <w:divBdr>
            <w:top w:val="none" w:sz="0" w:space="0" w:color="auto"/>
            <w:left w:val="none" w:sz="0" w:space="0" w:color="auto"/>
            <w:bottom w:val="none" w:sz="0" w:space="0" w:color="auto"/>
            <w:right w:val="none" w:sz="0" w:space="0" w:color="auto"/>
          </w:divBdr>
        </w:div>
        <w:div w:id="1891960071">
          <w:marLeft w:val="640"/>
          <w:marRight w:val="0"/>
          <w:marTop w:val="0"/>
          <w:marBottom w:val="0"/>
          <w:divBdr>
            <w:top w:val="none" w:sz="0" w:space="0" w:color="auto"/>
            <w:left w:val="none" w:sz="0" w:space="0" w:color="auto"/>
            <w:bottom w:val="none" w:sz="0" w:space="0" w:color="auto"/>
            <w:right w:val="none" w:sz="0" w:space="0" w:color="auto"/>
          </w:divBdr>
        </w:div>
        <w:div w:id="1535387254">
          <w:marLeft w:val="640"/>
          <w:marRight w:val="0"/>
          <w:marTop w:val="0"/>
          <w:marBottom w:val="0"/>
          <w:divBdr>
            <w:top w:val="none" w:sz="0" w:space="0" w:color="auto"/>
            <w:left w:val="none" w:sz="0" w:space="0" w:color="auto"/>
            <w:bottom w:val="none" w:sz="0" w:space="0" w:color="auto"/>
            <w:right w:val="none" w:sz="0" w:space="0" w:color="auto"/>
          </w:divBdr>
        </w:div>
        <w:div w:id="119346614">
          <w:marLeft w:val="640"/>
          <w:marRight w:val="0"/>
          <w:marTop w:val="0"/>
          <w:marBottom w:val="0"/>
          <w:divBdr>
            <w:top w:val="none" w:sz="0" w:space="0" w:color="auto"/>
            <w:left w:val="none" w:sz="0" w:space="0" w:color="auto"/>
            <w:bottom w:val="none" w:sz="0" w:space="0" w:color="auto"/>
            <w:right w:val="none" w:sz="0" w:space="0" w:color="auto"/>
          </w:divBdr>
        </w:div>
        <w:div w:id="1896971203">
          <w:marLeft w:val="640"/>
          <w:marRight w:val="0"/>
          <w:marTop w:val="0"/>
          <w:marBottom w:val="0"/>
          <w:divBdr>
            <w:top w:val="none" w:sz="0" w:space="0" w:color="auto"/>
            <w:left w:val="none" w:sz="0" w:space="0" w:color="auto"/>
            <w:bottom w:val="none" w:sz="0" w:space="0" w:color="auto"/>
            <w:right w:val="none" w:sz="0" w:space="0" w:color="auto"/>
          </w:divBdr>
        </w:div>
        <w:div w:id="242767234">
          <w:marLeft w:val="640"/>
          <w:marRight w:val="0"/>
          <w:marTop w:val="0"/>
          <w:marBottom w:val="0"/>
          <w:divBdr>
            <w:top w:val="none" w:sz="0" w:space="0" w:color="auto"/>
            <w:left w:val="none" w:sz="0" w:space="0" w:color="auto"/>
            <w:bottom w:val="none" w:sz="0" w:space="0" w:color="auto"/>
            <w:right w:val="none" w:sz="0" w:space="0" w:color="auto"/>
          </w:divBdr>
        </w:div>
        <w:div w:id="1952515559">
          <w:marLeft w:val="640"/>
          <w:marRight w:val="0"/>
          <w:marTop w:val="0"/>
          <w:marBottom w:val="0"/>
          <w:divBdr>
            <w:top w:val="none" w:sz="0" w:space="0" w:color="auto"/>
            <w:left w:val="none" w:sz="0" w:space="0" w:color="auto"/>
            <w:bottom w:val="none" w:sz="0" w:space="0" w:color="auto"/>
            <w:right w:val="none" w:sz="0" w:space="0" w:color="auto"/>
          </w:divBdr>
        </w:div>
        <w:div w:id="2092268041">
          <w:marLeft w:val="640"/>
          <w:marRight w:val="0"/>
          <w:marTop w:val="0"/>
          <w:marBottom w:val="0"/>
          <w:divBdr>
            <w:top w:val="none" w:sz="0" w:space="0" w:color="auto"/>
            <w:left w:val="none" w:sz="0" w:space="0" w:color="auto"/>
            <w:bottom w:val="none" w:sz="0" w:space="0" w:color="auto"/>
            <w:right w:val="none" w:sz="0" w:space="0" w:color="auto"/>
          </w:divBdr>
        </w:div>
        <w:div w:id="1702317492">
          <w:marLeft w:val="640"/>
          <w:marRight w:val="0"/>
          <w:marTop w:val="0"/>
          <w:marBottom w:val="0"/>
          <w:divBdr>
            <w:top w:val="none" w:sz="0" w:space="0" w:color="auto"/>
            <w:left w:val="none" w:sz="0" w:space="0" w:color="auto"/>
            <w:bottom w:val="none" w:sz="0" w:space="0" w:color="auto"/>
            <w:right w:val="none" w:sz="0" w:space="0" w:color="auto"/>
          </w:divBdr>
        </w:div>
        <w:div w:id="67122722">
          <w:marLeft w:val="640"/>
          <w:marRight w:val="0"/>
          <w:marTop w:val="0"/>
          <w:marBottom w:val="0"/>
          <w:divBdr>
            <w:top w:val="none" w:sz="0" w:space="0" w:color="auto"/>
            <w:left w:val="none" w:sz="0" w:space="0" w:color="auto"/>
            <w:bottom w:val="none" w:sz="0" w:space="0" w:color="auto"/>
            <w:right w:val="none" w:sz="0" w:space="0" w:color="auto"/>
          </w:divBdr>
        </w:div>
        <w:div w:id="1500927303">
          <w:marLeft w:val="640"/>
          <w:marRight w:val="0"/>
          <w:marTop w:val="0"/>
          <w:marBottom w:val="0"/>
          <w:divBdr>
            <w:top w:val="none" w:sz="0" w:space="0" w:color="auto"/>
            <w:left w:val="none" w:sz="0" w:space="0" w:color="auto"/>
            <w:bottom w:val="none" w:sz="0" w:space="0" w:color="auto"/>
            <w:right w:val="none" w:sz="0" w:space="0" w:color="auto"/>
          </w:divBdr>
        </w:div>
        <w:div w:id="414473979">
          <w:marLeft w:val="640"/>
          <w:marRight w:val="0"/>
          <w:marTop w:val="0"/>
          <w:marBottom w:val="0"/>
          <w:divBdr>
            <w:top w:val="none" w:sz="0" w:space="0" w:color="auto"/>
            <w:left w:val="none" w:sz="0" w:space="0" w:color="auto"/>
            <w:bottom w:val="none" w:sz="0" w:space="0" w:color="auto"/>
            <w:right w:val="none" w:sz="0" w:space="0" w:color="auto"/>
          </w:divBdr>
        </w:div>
        <w:div w:id="1595896634">
          <w:marLeft w:val="640"/>
          <w:marRight w:val="0"/>
          <w:marTop w:val="0"/>
          <w:marBottom w:val="0"/>
          <w:divBdr>
            <w:top w:val="none" w:sz="0" w:space="0" w:color="auto"/>
            <w:left w:val="none" w:sz="0" w:space="0" w:color="auto"/>
            <w:bottom w:val="none" w:sz="0" w:space="0" w:color="auto"/>
            <w:right w:val="none" w:sz="0" w:space="0" w:color="auto"/>
          </w:divBdr>
        </w:div>
        <w:div w:id="662660773">
          <w:marLeft w:val="640"/>
          <w:marRight w:val="0"/>
          <w:marTop w:val="0"/>
          <w:marBottom w:val="0"/>
          <w:divBdr>
            <w:top w:val="none" w:sz="0" w:space="0" w:color="auto"/>
            <w:left w:val="none" w:sz="0" w:space="0" w:color="auto"/>
            <w:bottom w:val="none" w:sz="0" w:space="0" w:color="auto"/>
            <w:right w:val="none" w:sz="0" w:space="0" w:color="auto"/>
          </w:divBdr>
        </w:div>
        <w:div w:id="1883782605">
          <w:marLeft w:val="640"/>
          <w:marRight w:val="0"/>
          <w:marTop w:val="0"/>
          <w:marBottom w:val="0"/>
          <w:divBdr>
            <w:top w:val="none" w:sz="0" w:space="0" w:color="auto"/>
            <w:left w:val="none" w:sz="0" w:space="0" w:color="auto"/>
            <w:bottom w:val="none" w:sz="0" w:space="0" w:color="auto"/>
            <w:right w:val="none" w:sz="0" w:space="0" w:color="auto"/>
          </w:divBdr>
        </w:div>
        <w:div w:id="2137673266">
          <w:marLeft w:val="640"/>
          <w:marRight w:val="0"/>
          <w:marTop w:val="0"/>
          <w:marBottom w:val="0"/>
          <w:divBdr>
            <w:top w:val="none" w:sz="0" w:space="0" w:color="auto"/>
            <w:left w:val="none" w:sz="0" w:space="0" w:color="auto"/>
            <w:bottom w:val="none" w:sz="0" w:space="0" w:color="auto"/>
            <w:right w:val="none" w:sz="0" w:space="0" w:color="auto"/>
          </w:divBdr>
        </w:div>
        <w:div w:id="1912882972">
          <w:marLeft w:val="640"/>
          <w:marRight w:val="0"/>
          <w:marTop w:val="0"/>
          <w:marBottom w:val="0"/>
          <w:divBdr>
            <w:top w:val="none" w:sz="0" w:space="0" w:color="auto"/>
            <w:left w:val="none" w:sz="0" w:space="0" w:color="auto"/>
            <w:bottom w:val="none" w:sz="0" w:space="0" w:color="auto"/>
            <w:right w:val="none" w:sz="0" w:space="0" w:color="auto"/>
          </w:divBdr>
        </w:div>
        <w:div w:id="243803095">
          <w:marLeft w:val="640"/>
          <w:marRight w:val="0"/>
          <w:marTop w:val="0"/>
          <w:marBottom w:val="0"/>
          <w:divBdr>
            <w:top w:val="none" w:sz="0" w:space="0" w:color="auto"/>
            <w:left w:val="none" w:sz="0" w:space="0" w:color="auto"/>
            <w:bottom w:val="none" w:sz="0" w:space="0" w:color="auto"/>
            <w:right w:val="none" w:sz="0" w:space="0" w:color="auto"/>
          </w:divBdr>
        </w:div>
        <w:div w:id="186602260">
          <w:marLeft w:val="640"/>
          <w:marRight w:val="0"/>
          <w:marTop w:val="0"/>
          <w:marBottom w:val="0"/>
          <w:divBdr>
            <w:top w:val="none" w:sz="0" w:space="0" w:color="auto"/>
            <w:left w:val="none" w:sz="0" w:space="0" w:color="auto"/>
            <w:bottom w:val="none" w:sz="0" w:space="0" w:color="auto"/>
            <w:right w:val="none" w:sz="0" w:space="0" w:color="auto"/>
          </w:divBdr>
        </w:div>
        <w:div w:id="1194077084">
          <w:marLeft w:val="640"/>
          <w:marRight w:val="0"/>
          <w:marTop w:val="0"/>
          <w:marBottom w:val="0"/>
          <w:divBdr>
            <w:top w:val="none" w:sz="0" w:space="0" w:color="auto"/>
            <w:left w:val="none" w:sz="0" w:space="0" w:color="auto"/>
            <w:bottom w:val="none" w:sz="0" w:space="0" w:color="auto"/>
            <w:right w:val="none" w:sz="0" w:space="0" w:color="auto"/>
          </w:divBdr>
        </w:div>
        <w:div w:id="316692758">
          <w:marLeft w:val="640"/>
          <w:marRight w:val="0"/>
          <w:marTop w:val="0"/>
          <w:marBottom w:val="0"/>
          <w:divBdr>
            <w:top w:val="none" w:sz="0" w:space="0" w:color="auto"/>
            <w:left w:val="none" w:sz="0" w:space="0" w:color="auto"/>
            <w:bottom w:val="none" w:sz="0" w:space="0" w:color="auto"/>
            <w:right w:val="none" w:sz="0" w:space="0" w:color="auto"/>
          </w:divBdr>
        </w:div>
        <w:div w:id="896669928">
          <w:marLeft w:val="640"/>
          <w:marRight w:val="0"/>
          <w:marTop w:val="0"/>
          <w:marBottom w:val="0"/>
          <w:divBdr>
            <w:top w:val="none" w:sz="0" w:space="0" w:color="auto"/>
            <w:left w:val="none" w:sz="0" w:space="0" w:color="auto"/>
            <w:bottom w:val="none" w:sz="0" w:space="0" w:color="auto"/>
            <w:right w:val="none" w:sz="0" w:space="0" w:color="auto"/>
          </w:divBdr>
        </w:div>
        <w:div w:id="420030334">
          <w:marLeft w:val="640"/>
          <w:marRight w:val="0"/>
          <w:marTop w:val="0"/>
          <w:marBottom w:val="0"/>
          <w:divBdr>
            <w:top w:val="none" w:sz="0" w:space="0" w:color="auto"/>
            <w:left w:val="none" w:sz="0" w:space="0" w:color="auto"/>
            <w:bottom w:val="none" w:sz="0" w:space="0" w:color="auto"/>
            <w:right w:val="none" w:sz="0" w:space="0" w:color="auto"/>
          </w:divBdr>
        </w:div>
        <w:div w:id="328019776">
          <w:marLeft w:val="640"/>
          <w:marRight w:val="0"/>
          <w:marTop w:val="0"/>
          <w:marBottom w:val="0"/>
          <w:divBdr>
            <w:top w:val="none" w:sz="0" w:space="0" w:color="auto"/>
            <w:left w:val="none" w:sz="0" w:space="0" w:color="auto"/>
            <w:bottom w:val="none" w:sz="0" w:space="0" w:color="auto"/>
            <w:right w:val="none" w:sz="0" w:space="0" w:color="auto"/>
          </w:divBdr>
        </w:div>
        <w:div w:id="834298654">
          <w:marLeft w:val="640"/>
          <w:marRight w:val="0"/>
          <w:marTop w:val="0"/>
          <w:marBottom w:val="0"/>
          <w:divBdr>
            <w:top w:val="none" w:sz="0" w:space="0" w:color="auto"/>
            <w:left w:val="none" w:sz="0" w:space="0" w:color="auto"/>
            <w:bottom w:val="none" w:sz="0" w:space="0" w:color="auto"/>
            <w:right w:val="none" w:sz="0" w:space="0" w:color="auto"/>
          </w:divBdr>
        </w:div>
        <w:div w:id="662902107">
          <w:marLeft w:val="640"/>
          <w:marRight w:val="0"/>
          <w:marTop w:val="0"/>
          <w:marBottom w:val="0"/>
          <w:divBdr>
            <w:top w:val="none" w:sz="0" w:space="0" w:color="auto"/>
            <w:left w:val="none" w:sz="0" w:space="0" w:color="auto"/>
            <w:bottom w:val="none" w:sz="0" w:space="0" w:color="auto"/>
            <w:right w:val="none" w:sz="0" w:space="0" w:color="auto"/>
          </w:divBdr>
        </w:div>
        <w:div w:id="1085421806">
          <w:marLeft w:val="640"/>
          <w:marRight w:val="0"/>
          <w:marTop w:val="0"/>
          <w:marBottom w:val="0"/>
          <w:divBdr>
            <w:top w:val="none" w:sz="0" w:space="0" w:color="auto"/>
            <w:left w:val="none" w:sz="0" w:space="0" w:color="auto"/>
            <w:bottom w:val="none" w:sz="0" w:space="0" w:color="auto"/>
            <w:right w:val="none" w:sz="0" w:space="0" w:color="auto"/>
          </w:divBdr>
        </w:div>
        <w:div w:id="333071500">
          <w:marLeft w:val="640"/>
          <w:marRight w:val="0"/>
          <w:marTop w:val="0"/>
          <w:marBottom w:val="0"/>
          <w:divBdr>
            <w:top w:val="none" w:sz="0" w:space="0" w:color="auto"/>
            <w:left w:val="none" w:sz="0" w:space="0" w:color="auto"/>
            <w:bottom w:val="none" w:sz="0" w:space="0" w:color="auto"/>
            <w:right w:val="none" w:sz="0" w:space="0" w:color="auto"/>
          </w:divBdr>
        </w:div>
        <w:div w:id="1530145423">
          <w:marLeft w:val="640"/>
          <w:marRight w:val="0"/>
          <w:marTop w:val="0"/>
          <w:marBottom w:val="0"/>
          <w:divBdr>
            <w:top w:val="none" w:sz="0" w:space="0" w:color="auto"/>
            <w:left w:val="none" w:sz="0" w:space="0" w:color="auto"/>
            <w:bottom w:val="none" w:sz="0" w:space="0" w:color="auto"/>
            <w:right w:val="none" w:sz="0" w:space="0" w:color="auto"/>
          </w:divBdr>
        </w:div>
        <w:div w:id="916718088">
          <w:marLeft w:val="640"/>
          <w:marRight w:val="0"/>
          <w:marTop w:val="0"/>
          <w:marBottom w:val="0"/>
          <w:divBdr>
            <w:top w:val="none" w:sz="0" w:space="0" w:color="auto"/>
            <w:left w:val="none" w:sz="0" w:space="0" w:color="auto"/>
            <w:bottom w:val="none" w:sz="0" w:space="0" w:color="auto"/>
            <w:right w:val="none" w:sz="0" w:space="0" w:color="auto"/>
          </w:divBdr>
        </w:div>
        <w:div w:id="1700357142">
          <w:marLeft w:val="640"/>
          <w:marRight w:val="0"/>
          <w:marTop w:val="0"/>
          <w:marBottom w:val="0"/>
          <w:divBdr>
            <w:top w:val="none" w:sz="0" w:space="0" w:color="auto"/>
            <w:left w:val="none" w:sz="0" w:space="0" w:color="auto"/>
            <w:bottom w:val="none" w:sz="0" w:space="0" w:color="auto"/>
            <w:right w:val="none" w:sz="0" w:space="0" w:color="auto"/>
          </w:divBdr>
        </w:div>
        <w:div w:id="1457262022">
          <w:marLeft w:val="640"/>
          <w:marRight w:val="0"/>
          <w:marTop w:val="0"/>
          <w:marBottom w:val="0"/>
          <w:divBdr>
            <w:top w:val="none" w:sz="0" w:space="0" w:color="auto"/>
            <w:left w:val="none" w:sz="0" w:space="0" w:color="auto"/>
            <w:bottom w:val="none" w:sz="0" w:space="0" w:color="auto"/>
            <w:right w:val="none" w:sz="0" w:space="0" w:color="auto"/>
          </w:divBdr>
        </w:div>
        <w:div w:id="1625693823">
          <w:marLeft w:val="640"/>
          <w:marRight w:val="0"/>
          <w:marTop w:val="0"/>
          <w:marBottom w:val="0"/>
          <w:divBdr>
            <w:top w:val="none" w:sz="0" w:space="0" w:color="auto"/>
            <w:left w:val="none" w:sz="0" w:space="0" w:color="auto"/>
            <w:bottom w:val="none" w:sz="0" w:space="0" w:color="auto"/>
            <w:right w:val="none" w:sz="0" w:space="0" w:color="auto"/>
          </w:divBdr>
        </w:div>
        <w:div w:id="1824008106">
          <w:marLeft w:val="640"/>
          <w:marRight w:val="0"/>
          <w:marTop w:val="0"/>
          <w:marBottom w:val="0"/>
          <w:divBdr>
            <w:top w:val="none" w:sz="0" w:space="0" w:color="auto"/>
            <w:left w:val="none" w:sz="0" w:space="0" w:color="auto"/>
            <w:bottom w:val="none" w:sz="0" w:space="0" w:color="auto"/>
            <w:right w:val="none" w:sz="0" w:space="0" w:color="auto"/>
          </w:divBdr>
        </w:div>
        <w:div w:id="756905085">
          <w:marLeft w:val="640"/>
          <w:marRight w:val="0"/>
          <w:marTop w:val="0"/>
          <w:marBottom w:val="0"/>
          <w:divBdr>
            <w:top w:val="none" w:sz="0" w:space="0" w:color="auto"/>
            <w:left w:val="none" w:sz="0" w:space="0" w:color="auto"/>
            <w:bottom w:val="none" w:sz="0" w:space="0" w:color="auto"/>
            <w:right w:val="none" w:sz="0" w:space="0" w:color="auto"/>
          </w:divBdr>
        </w:div>
        <w:div w:id="345442885">
          <w:marLeft w:val="640"/>
          <w:marRight w:val="0"/>
          <w:marTop w:val="0"/>
          <w:marBottom w:val="0"/>
          <w:divBdr>
            <w:top w:val="none" w:sz="0" w:space="0" w:color="auto"/>
            <w:left w:val="none" w:sz="0" w:space="0" w:color="auto"/>
            <w:bottom w:val="none" w:sz="0" w:space="0" w:color="auto"/>
            <w:right w:val="none" w:sz="0" w:space="0" w:color="auto"/>
          </w:divBdr>
        </w:div>
        <w:div w:id="314460318">
          <w:marLeft w:val="640"/>
          <w:marRight w:val="0"/>
          <w:marTop w:val="0"/>
          <w:marBottom w:val="0"/>
          <w:divBdr>
            <w:top w:val="none" w:sz="0" w:space="0" w:color="auto"/>
            <w:left w:val="none" w:sz="0" w:space="0" w:color="auto"/>
            <w:bottom w:val="none" w:sz="0" w:space="0" w:color="auto"/>
            <w:right w:val="none" w:sz="0" w:space="0" w:color="auto"/>
          </w:divBdr>
        </w:div>
        <w:div w:id="2127309044">
          <w:marLeft w:val="640"/>
          <w:marRight w:val="0"/>
          <w:marTop w:val="0"/>
          <w:marBottom w:val="0"/>
          <w:divBdr>
            <w:top w:val="none" w:sz="0" w:space="0" w:color="auto"/>
            <w:left w:val="none" w:sz="0" w:space="0" w:color="auto"/>
            <w:bottom w:val="none" w:sz="0" w:space="0" w:color="auto"/>
            <w:right w:val="none" w:sz="0" w:space="0" w:color="auto"/>
          </w:divBdr>
        </w:div>
        <w:div w:id="537012000">
          <w:marLeft w:val="640"/>
          <w:marRight w:val="0"/>
          <w:marTop w:val="0"/>
          <w:marBottom w:val="0"/>
          <w:divBdr>
            <w:top w:val="none" w:sz="0" w:space="0" w:color="auto"/>
            <w:left w:val="none" w:sz="0" w:space="0" w:color="auto"/>
            <w:bottom w:val="none" w:sz="0" w:space="0" w:color="auto"/>
            <w:right w:val="none" w:sz="0" w:space="0" w:color="auto"/>
          </w:divBdr>
        </w:div>
        <w:div w:id="291983342">
          <w:marLeft w:val="640"/>
          <w:marRight w:val="0"/>
          <w:marTop w:val="0"/>
          <w:marBottom w:val="0"/>
          <w:divBdr>
            <w:top w:val="none" w:sz="0" w:space="0" w:color="auto"/>
            <w:left w:val="none" w:sz="0" w:space="0" w:color="auto"/>
            <w:bottom w:val="none" w:sz="0" w:space="0" w:color="auto"/>
            <w:right w:val="none" w:sz="0" w:space="0" w:color="auto"/>
          </w:divBdr>
        </w:div>
        <w:div w:id="248925781">
          <w:marLeft w:val="640"/>
          <w:marRight w:val="0"/>
          <w:marTop w:val="0"/>
          <w:marBottom w:val="0"/>
          <w:divBdr>
            <w:top w:val="none" w:sz="0" w:space="0" w:color="auto"/>
            <w:left w:val="none" w:sz="0" w:space="0" w:color="auto"/>
            <w:bottom w:val="none" w:sz="0" w:space="0" w:color="auto"/>
            <w:right w:val="none" w:sz="0" w:space="0" w:color="auto"/>
          </w:divBdr>
        </w:div>
        <w:div w:id="790168567">
          <w:marLeft w:val="640"/>
          <w:marRight w:val="0"/>
          <w:marTop w:val="0"/>
          <w:marBottom w:val="0"/>
          <w:divBdr>
            <w:top w:val="none" w:sz="0" w:space="0" w:color="auto"/>
            <w:left w:val="none" w:sz="0" w:space="0" w:color="auto"/>
            <w:bottom w:val="none" w:sz="0" w:space="0" w:color="auto"/>
            <w:right w:val="none" w:sz="0" w:space="0" w:color="auto"/>
          </w:divBdr>
        </w:div>
        <w:div w:id="428044539">
          <w:marLeft w:val="640"/>
          <w:marRight w:val="0"/>
          <w:marTop w:val="0"/>
          <w:marBottom w:val="0"/>
          <w:divBdr>
            <w:top w:val="none" w:sz="0" w:space="0" w:color="auto"/>
            <w:left w:val="none" w:sz="0" w:space="0" w:color="auto"/>
            <w:bottom w:val="none" w:sz="0" w:space="0" w:color="auto"/>
            <w:right w:val="none" w:sz="0" w:space="0" w:color="auto"/>
          </w:divBdr>
        </w:div>
      </w:divsChild>
    </w:div>
    <w:div w:id="74862862">
      <w:bodyDiv w:val="1"/>
      <w:marLeft w:val="0"/>
      <w:marRight w:val="0"/>
      <w:marTop w:val="0"/>
      <w:marBottom w:val="0"/>
      <w:divBdr>
        <w:top w:val="none" w:sz="0" w:space="0" w:color="auto"/>
        <w:left w:val="none" w:sz="0" w:space="0" w:color="auto"/>
        <w:bottom w:val="none" w:sz="0" w:space="0" w:color="auto"/>
        <w:right w:val="none" w:sz="0" w:space="0" w:color="auto"/>
      </w:divBdr>
    </w:div>
    <w:div w:id="74863588">
      <w:bodyDiv w:val="1"/>
      <w:marLeft w:val="0"/>
      <w:marRight w:val="0"/>
      <w:marTop w:val="0"/>
      <w:marBottom w:val="0"/>
      <w:divBdr>
        <w:top w:val="none" w:sz="0" w:space="0" w:color="auto"/>
        <w:left w:val="none" w:sz="0" w:space="0" w:color="auto"/>
        <w:bottom w:val="none" w:sz="0" w:space="0" w:color="auto"/>
        <w:right w:val="none" w:sz="0" w:space="0" w:color="auto"/>
      </w:divBdr>
    </w:div>
    <w:div w:id="77096201">
      <w:bodyDiv w:val="1"/>
      <w:marLeft w:val="0"/>
      <w:marRight w:val="0"/>
      <w:marTop w:val="0"/>
      <w:marBottom w:val="0"/>
      <w:divBdr>
        <w:top w:val="none" w:sz="0" w:space="0" w:color="auto"/>
        <w:left w:val="none" w:sz="0" w:space="0" w:color="auto"/>
        <w:bottom w:val="none" w:sz="0" w:space="0" w:color="auto"/>
        <w:right w:val="none" w:sz="0" w:space="0" w:color="auto"/>
      </w:divBdr>
    </w:div>
    <w:div w:id="78252611">
      <w:bodyDiv w:val="1"/>
      <w:marLeft w:val="0"/>
      <w:marRight w:val="0"/>
      <w:marTop w:val="0"/>
      <w:marBottom w:val="0"/>
      <w:divBdr>
        <w:top w:val="none" w:sz="0" w:space="0" w:color="auto"/>
        <w:left w:val="none" w:sz="0" w:space="0" w:color="auto"/>
        <w:bottom w:val="none" w:sz="0" w:space="0" w:color="auto"/>
        <w:right w:val="none" w:sz="0" w:space="0" w:color="auto"/>
      </w:divBdr>
    </w:div>
    <w:div w:id="78252770">
      <w:bodyDiv w:val="1"/>
      <w:marLeft w:val="0"/>
      <w:marRight w:val="0"/>
      <w:marTop w:val="0"/>
      <w:marBottom w:val="0"/>
      <w:divBdr>
        <w:top w:val="none" w:sz="0" w:space="0" w:color="auto"/>
        <w:left w:val="none" w:sz="0" w:space="0" w:color="auto"/>
        <w:bottom w:val="none" w:sz="0" w:space="0" w:color="auto"/>
        <w:right w:val="none" w:sz="0" w:space="0" w:color="auto"/>
      </w:divBdr>
    </w:div>
    <w:div w:id="78257439">
      <w:bodyDiv w:val="1"/>
      <w:marLeft w:val="0"/>
      <w:marRight w:val="0"/>
      <w:marTop w:val="0"/>
      <w:marBottom w:val="0"/>
      <w:divBdr>
        <w:top w:val="none" w:sz="0" w:space="0" w:color="auto"/>
        <w:left w:val="none" w:sz="0" w:space="0" w:color="auto"/>
        <w:bottom w:val="none" w:sz="0" w:space="0" w:color="auto"/>
        <w:right w:val="none" w:sz="0" w:space="0" w:color="auto"/>
      </w:divBdr>
    </w:div>
    <w:div w:id="78914519">
      <w:bodyDiv w:val="1"/>
      <w:marLeft w:val="0"/>
      <w:marRight w:val="0"/>
      <w:marTop w:val="0"/>
      <w:marBottom w:val="0"/>
      <w:divBdr>
        <w:top w:val="none" w:sz="0" w:space="0" w:color="auto"/>
        <w:left w:val="none" w:sz="0" w:space="0" w:color="auto"/>
        <w:bottom w:val="none" w:sz="0" w:space="0" w:color="auto"/>
        <w:right w:val="none" w:sz="0" w:space="0" w:color="auto"/>
      </w:divBdr>
    </w:div>
    <w:div w:id="79723574">
      <w:bodyDiv w:val="1"/>
      <w:marLeft w:val="0"/>
      <w:marRight w:val="0"/>
      <w:marTop w:val="0"/>
      <w:marBottom w:val="0"/>
      <w:divBdr>
        <w:top w:val="none" w:sz="0" w:space="0" w:color="auto"/>
        <w:left w:val="none" w:sz="0" w:space="0" w:color="auto"/>
        <w:bottom w:val="none" w:sz="0" w:space="0" w:color="auto"/>
        <w:right w:val="none" w:sz="0" w:space="0" w:color="auto"/>
      </w:divBdr>
    </w:div>
    <w:div w:id="80026728">
      <w:bodyDiv w:val="1"/>
      <w:marLeft w:val="0"/>
      <w:marRight w:val="0"/>
      <w:marTop w:val="0"/>
      <w:marBottom w:val="0"/>
      <w:divBdr>
        <w:top w:val="none" w:sz="0" w:space="0" w:color="auto"/>
        <w:left w:val="none" w:sz="0" w:space="0" w:color="auto"/>
        <w:bottom w:val="none" w:sz="0" w:space="0" w:color="auto"/>
        <w:right w:val="none" w:sz="0" w:space="0" w:color="auto"/>
      </w:divBdr>
    </w:div>
    <w:div w:id="80612814">
      <w:bodyDiv w:val="1"/>
      <w:marLeft w:val="0"/>
      <w:marRight w:val="0"/>
      <w:marTop w:val="0"/>
      <w:marBottom w:val="0"/>
      <w:divBdr>
        <w:top w:val="none" w:sz="0" w:space="0" w:color="auto"/>
        <w:left w:val="none" w:sz="0" w:space="0" w:color="auto"/>
        <w:bottom w:val="none" w:sz="0" w:space="0" w:color="auto"/>
        <w:right w:val="none" w:sz="0" w:space="0" w:color="auto"/>
      </w:divBdr>
      <w:divsChild>
        <w:div w:id="255140874">
          <w:marLeft w:val="640"/>
          <w:marRight w:val="0"/>
          <w:marTop w:val="0"/>
          <w:marBottom w:val="0"/>
          <w:divBdr>
            <w:top w:val="none" w:sz="0" w:space="0" w:color="auto"/>
            <w:left w:val="none" w:sz="0" w:space="0" w:color="auto"/>
            <w:bottom w:val="none" w:sz="0" w:space="0" w:color="auto"/>
            <w:right w:val="none" w:sz="0" w:space="0" w:color="auto"/>
          </w:divBdr>
        </w:div>
        <w:div w:id="699741678">
          <w:marLeft w:val="640"/>
          <w:marRight w:val="0"/>
          <w:marTop w:val="0"/>
          <w:marBottom w:val="0"/>
          <w:divBdr>
            <w:top w:val="none" w:sz="0" w:space="0" w:color="auto"/>
            <w:left w:val="none" w:sz="0" w:space="0" w:color="auto"/>
            <w:bottom w:val="none" w:sz="0" w:space="0" w:color="auto"/>
            <w:right w:val="none" w:sz="0" w:space="0" w:color="auto"/>
          </w:divBdr>
        </w:div>
        <w:div w:id="212474120">
          <w:marLeft w:val="640"/>
          <w:marRight w:val="0"/>
          <w:marTop w:val="0"/>
          <w:marBottom w:val="0"/>
          <w:divBdr>
            <w:top w:val="none" w:sz="0" w:space="0" w:color="auto"/>
            <w:left w:val="none" w:sz="0" w:space="0" w:color="auto"/>
            <w:bottom w:val="none" w:sz="0" w:space="0" w:color="auto"/>
            <w:right w:val="none" w:sz="0" w:space="0" w:color="auto"/>
          </w:divBdr>
        </w:div>
        <w:div w:id="1490052300">
          <w:marLeft w:val="640"/>
          <w:marRight w:val="0"/>
          <w:marTop w:val="0"/>
          <w:marBottom w:val="0"/>
          <w:divBdr>
            <w:top w:val="none" w:sz="0" w:space="0" w:color="auto"/>
            <w:left w:val="none" w:sz="0" w:space="0" w:color="auto"/>
            <w:bottom w:val="none" w:sz="0" w:space="0" w:color="auto"/>
            <w:right w:val="none" w:sz="0" w:space="0" w:color="auto"/>
          </w:divBdr>
        </w:div>
        <w:div w:id="296031699">
          <w:marLeft w:val="640"/>
          <w:marRight w:val="0"/>
          <w:marTop w:val="0"/>
          <w:marBottom w:val="0"/>
          <w:divBdr>
            <w:top w:val="none" w:sz="0" w:space="0" w:color="auto"/>
            <w:left w:val="none" w:sz="0" w:space="0" w:color="auto"/>
            <w:bottom w:val="none" w:sz="0" w:space="0" w:color="auto"/>
            <w:right w:val="none" w:sz="0" w:space="0" w:color="auto"/>
          </w:divBdr>
        </w:div>
        <w:div w:id="1454398489">
          <w:marLeft w:val="640"/>
          <w:marRight w:val="0"/>
          <w:marTop w:val="0"/>
          <w:marBottom w:val="0"/>
          <w:divBdr>
            <w:top w:val="none" w:sz="0" w:space="0" w:color="auto"/>
            <w:left w:val="none" w:sz="0" w:space="0" w:color="auto"/>
            <w:bottom w:val="none" w:sz="0" w:space="0" w:color="auto"/>
            <w:right w:val="none" w:sz="0" w:space="0" w:color="auto"/>
          </w:divBdr>
        </w:div>
        <w:div w:id="1164665088">
          <w:marLeft w:val="640"/>
          <w:marRight w:val="0"/>
          <w:marTop w:val="0"/>
          <w:marBottom w:val="0"/>
          <w:divBdr>
            <w:top w:val="none" w:sz="0" w:space="0" w:color="auto"/>
            <w:left w:val="none" w:sz="0" w:space="0" w:color="auto"/>
            <w:bottom w:val="none" w:sz="0" w:space="0" w:color="auto"/>
            <w:right w:val="none" w:sz="0" w:space="0" w:color="auto"/>
          </w:divBdr>
        </w:div>
        <w:div w:id="1388337563">
          <w:marLeft w:val="640"/>
          <w:marRight w:val="0"/>
          <w:marTop w:val="0"/>
          <w:marBottom w:val="0"/>
          <w:divBdr>
            <w:top w:val="none" w:sz="0" w:space="0" w:color="auto"/>
            <w:left w:val="none" w:sz="0" w:space="0" w:color="auto"/>
            <w:bottom w:val="none" w:sz="0" w:space="0" w:color="auto"/>
            <w:right w:val="none" w:sz="0" w:space="0" w:color="auto"/>
          </w:divBdr>
        </w:div>
        <w:div w:id="586958036">
          <w:marLeft w:val="640"/>
          <w:marRight w:val="0"/>
          <w:marTop w:val="0"/>
          <w:marBottom w:val="0"/>
          <w:divBdr>
            <w:top w:val="none" w:sz="0" w:space="0" w:color="auto"/>
            <w:left w:val="none" w:sz="0" w:space="0" w:color="auto"/>
            <w:bottom w:val="none" w:sz="0" w:space="0" w:color="auto"/>
            <w:right w:val="none" w:sz="0" w:space="0" w:color="auto"/>
          </w:divBdr>
        </w:div>
        <w:div w:id="90048823">
          <w:marLeft w:val="640"/>
          <w:marRight w:val="0"/>
          <w:marTop w:val="0"/>
          <w:marBottom w:val="0"/>
          <w:divBdr>
            <w:top w:val="none" w:sz="0" w:space="0" w:color="auto"/>
            <w:left w:val="none" w:sz="0" w:space="0" w:color="auto"/>
            <w:bottom w:val="none" w:sz="0" w:space="0" w:color="auto"/>
            <w:right w:val="none" w:sz="0" w:space="0" w:color="auto"/>
          </w:divBdr>
        </w:div>
        <w:div w:id="402531066">
          <w:marLeft w:val="640"/>
          <w:marRight w:val="0"/>
          <w:marTop w:val="0"/>
          <w:marBottom w:val="0"/>
          <w:divBdr>
            <w:top w:val="none" w:sz="0" w:space="0" w:color="auto"/>
            <w:left w:val="none" w:sz="0" w:space="0" w:color="auto"/>
            <w:bottom w:val="none" w:sz="0" w:space="0" w:color="auto"/>
            <w:right w:val="none" w:sz="0" w:space="0" w:color="auto"/>
          </w:divBdr>
        </w:div>
        <w:div w:id="1866022216">
          <w:marLeft w:val="640"/>
          <w:marRight w:val="0"/>
          <w:marTop w:val="0"/>
          <w:marBottom w:val="0"/>
          <w:divBdr>
            <w:top w:val="none" w:sz="0" w:space="0" w:color="auto"/>
            <w:left w:val="none" w:sz="0" w:space="0" w:color="auto"/>
            <w:bottom w:val="none" w:sz="0" w:space="0" w:color="auto"/>
            <w:right w:val="none" w:sz="0" w:space="0" w:color="auto"/>
          </w:divBdr>
        </w:div>
        <w:div w:id="78067609">
          <w:marLeft w:val="640"/>
          <w:marRight w:val="0"/>
          <w:marTop w:val="0"/>
          <w:marBottom w:val="0"/>
          <w:divBdr>
            <w:top w:val="none" w:sz="0" w:space="0" w:color="auto"/>
            <w:left w:val="none" w:sz="0" w:space="0" w:color="auto"/>
            <w:bottom w:val="none" w:sz="0" w:space="0" w:color="auto"/>
            <w:right w:val="none" w:sz="0" w:space="0" w:color="auto"/>
          </w:divBdr>
        </w:div>
        <w:div w:id="1965884381">
          <w:marLeft w:val="640"/>
          <w:marRight w:val="0"/>
          <w:marTop w:val="0"/>
          <w:marBottom w:val="0"/>
          <w:divBdr>
            <w:top w:val="none" w:sz="0" w:space="0" w:color="auto"/>
            <w:left w:val="none" w:sz="0" w:space="0" w:color="auto"/>
            <w:bottom w:val="none" w:sz="0" w:space="0" w:color="auto"/>
            <w:right w:val="none" w:sz="0" w:space="0" w:color="auto"/>
          </w:divBdr>
        </w:div>
        <w:div w:id="804661343">
          <w:marLeft w:val="640"/>
          <w:marRight w:val="0"/>
          <w:marTop w:val="0"/>
          <w:marBottom w:val="0"/>
          <w:divBdr>
            <w:top w:val="none" w:sz="0" w:space="0" w:color="auto"/>
            <w:left w:val="none" w:sz="0" w:space="0" w:color="auto"/>
            <w:bottom w:val="none" w:sz="0" w:space="0" w:color="auto"/>
            <w:right w:val="none" w:sz="0" w:space="0" w:color="auto"/>
          </w:divBdr>
        </w:div>
        <w:div w:id="1190994824">
          <w:marLeft w:val="640"/>
          <w:marRight w:val="0"/>
          <w:marTop w:val="0"/>
          <w:marBottom w:val="0"/>
          <w:divBdr>
            <w:top w:val="none" w:sz="0" w:space="0" w:color="auto"/>
            <w:left w:val="none" w:sz="0" w:space="0" w:color="auto"/>
            <w:bottom w:val="none" w:sz="0" w:space="0" w:color="auto"/>
            <w:right w:val="none" w:sz="0" w:space="0" w:color="auto"/>
          </w:divBdr>
        </w:div>
        <w:div w:id="486289389">
          <w:marLeft w:val="640"/>
          <w:marRight w:val="0"/>
          <w:marTop w:val="0"/>
          <w:marBottom w:val="0"/>
          <w:divBdr>
            <w:top w:val="none" w:sz="0" w:space="0" w:color="auto"/>
            <w:left w:val="none" w:sz="0" w:space="0" w:color="auto"/>
            <w:bottom w:val="none" w:sz="0" w:space="0" w:color="auto"/>
            <w:right w:val="none" w:sz="0" w:space="0" w:color="auto"/>
          </w:divBdr>
        </w:div>
        <w:div w:id="895702948">
          <w:marLeft w:val="640"/>
          <w:marRight w:val="0"/>
          <w:marTop w:val="0"/>
          <w:marBottom w:val="0"/>
          <w:divBdr>
            <w:top w:val="none" w:sz="0" w:space="0" w:color="auto"/>
            <w:left w:val="none" w:sz="0" w:space="0" w:color="auto"/>
            <w:bottom w:val="none" w:sz="0" w:space="0" w:color="auto"/>
            <w:right w:val="none" w:sz="0" w:space="0" w:color="auto"/>
          </w:divBdr>
        </w:div>
        <w:div w:id="1441144750">
          <w:marLeft w:val="640"/>
          <w:marRight w:val="0"/>
          <w:marTop w:val="0"/>
          <w:marBottom w:val="0"/>
          <w:divBdr>
            <w:top w:val="none" w:sz="0" w:space="0" w:color="auto"/>
            <w:left w:val="none" w:sz="0" w:space="0" w:color="auto"/>
            <w:bottom w:val="none" w:sz="0" w:space="0" w:color="auto"/>
            <w:right w:val="none" w:sz="0" w:space="0" w:color="auto"/>
          </w:divBdr>
        </w:div>
        <w:div w:id="1435977278">
          <w:marLeft w:val="640"/>
          <w:marRight w:val="0"/>
          <w:marTop w:val="0"/>
          <w:marBottom w:val="0"/>
          <w:divBdr>
            <w:top w:val="none" w:sz="0" w:space="0" w:color="auto"/>
            <w:left w:val="none" w:sz="0" w:space="0" w:color="auto"/>
            <w:bottom w:val="none" w:sz="0" w:space="0" w:color="auto"/>
            <w:right w:val="none" w:sz="0" w:space="0" w:color="auto"/>
          </w:divBdr>
        </w:div>
        <w:div w:id="1694191180">
          <w:marLeft w:val="640"/>
          <w:marRight w:val="0"/>
          <w:marTop w:val="0"/>
          <w:marBottom w:val="0"/>
          <w:divBdr>
            <w:top w:val="none" w:sz="0" w:space="0" w:color="auto"/>
            <w:left w:val="none" w:sz="0" w:space="0" w:color="auto"/>
            <w:bottom w:val="none" w:sz="0" w:space="0" w:color="auto"/>
            <w:right w:val="none" w:sz="0" w:space="0" w:color="auto"/>
          </w:divBdr>
        </w:div>
        <w:div w:id="1488209630">
          <w:marLeft w:val="640"/>
          <w:marRight w:val="0"/>
          <w:marTop w:val="0"/>
          <w:marBottom w:val="0"/>
          <w:divBdr>
            <w:top w:val="none" w:sz="0" w:space="0" w:color="auto"/>
            <w:left w:val="none" w:sz="0" w:space="0" w:color="auto"/>
            <w:bottom w:val="none" w:sz="0" w:space="0" w:color="auto"/>
            <w:right w:val="none" w:sz="0" w:space="0" w:color="auto"/>
          </w:divBdr>
        </w:div>
        <w:div w:id="1193571381">
          <w:marLeft w:val="640"/>
          <w:marRight w:val="0"/>
          <w:marTop w:val="0"/>
          <w:marBottom w:val="0"/>
          <w:divBdr>
            <w:top w:val="none" w:sz="0" w:space="0" w:color="auto"/>
            <w:left w:val="none" w:sz="0" w:space="0" w:color="auto"/>
            <w:bottom w:val="none" w:sz="0" w:space="0" w:color="auto"/>
            <w:right w:val="none" w:sz="0" w:space="0" w:color="auto"/>
          </w:divBdr>
        </w:div>
        <w:div w:id="1267813411">
          <w:marLeft w:val="640"/>
          <w:marRight w:val="0"/>
          <w:marTop w:val="0"/>
          <w:marBottom w:val="0"/>
          <w:divBdr>
            <w:top w:val="none" w:sz="0" w:space="0" w:color="auto"/>
            <w:left w:val="none" w:sz="0" w:space="0" w:color="auto"/>
            <w:bottom w:val="none" w:sz="0" w:space="0" w:color="auto"/>
            <w:right w:val="none" w:sz="0" w:space="0" w:color="auto"/>
          </w:divBdr>
        </w:div>
        <w:div w:id="2071535686">
          <w:marLeft w:val="640"/>
          <w:marRight w:val="0"/>
          <w:marTop w:val="0"/>
          <w:marBottom w:val="0"/>
          <w:divBdr>
            <w:top w:val="none" w:sz="0" w:space="0" w:color="auto"/>
            <w:left w:val="none" w:sz="0" w:space="0" w:color="auto"/>
            <w:bottom w:val="none" w:sz="0" w:space="0" w:color="auto"/>
            <w:right w:val="none" w:sz="0" w:space="0" w:color="auto"/>
          </w:divBdr>
        </w:div>
        <w:div w:id="598294923">
          <w:marLeft w:val="640"/>
          <w:marRight w:val="0"/>
          <w:marTop w:val="0"/>
          <w:marBottom w:val="0"/>
          <w:divBdr>
            <w:top w:val="none" w:sz="0" w:space="0" w:color="auto"/>
            <w:left w:val="none" w:sz="0" w:space="0" w:color="auto"/>
            <w:bottom w:val="none" w:sz="0" w:space="0" w:color="auto"/>
            <w:right w:val="none" w:sz="0" w:space="0" w:color="auto"/>
          </w:divBdr>
        </w:div>
        <w:div w:id="470294186">
          <w:marLeft w:val="640"/>
          <w:marRight w:val="0"/>
          <w:marTop w:val="0"/>
          <w:marBottom w:val="0"/>
          <w:divBdr>
            <w:top w:val="none" w:sz="0" w:space="0" w:color="auto"/>
            <w:left w:val="none" w:sz="0" w:space="0" w:color="auto"/>
            <w:bottom w:val="none" w:sz="0" w:space="0" w:color="auto"/>
            <w:right w:val="none" w:sz="0" w:space="0" w:color="auto"/>
          </w:divBdr>
        </w:div>
        <w:div w:id="1652326389">
          <w:marLeft w:val="640"/>
          <w:marRight w:val="0"/>
          <w:marTop w:val="0"/>
          <w:marBottom w:val="0"/>
          <w:divBdr>
            <w:top w:val="none" w:sz="0" w:space="0" w:color="auto"/>
            <w:left w:val="none" w:sz="0" w:space="0" w:color="auto"/>
            <w:bottom w:val="none" w:sz="0" w:space="0" w:color="auto"/>
            <w:right w:val="none" w:sz="0" w:space="0" w:color="auto"/>
          </w:divBdr>
        </w:div>
        <w:div w:id="435754429">
          <w:marLeft w:val="640"/>
          <w:marRight w:val="0"/>
          <w:marTop w:val="0"/>
          <w:marBottom w:val="0"/>
          <w:divBdr>
            <w:top w:val="none" w:sz="0" w:space="0" w:color="auto"/>
            <w:left w:val="none" w:sz="0" w:space="0" w:color="auto"/>
            <w:bottom w:val="none" w:sz="0" w:space="0" w:color="auto"/>
            <w:right w:val="none" w:sz="0" w:space="0" w:color="auto"/>
          </w:divBdr>
        </w:div>
        <w:div w:id="263660073">
          <w:marLeft w:val="640"/>
          <w:marRight w:val="0"/>
          <w:marTop w:val="0"/>
          <w:marBottom w:val="0"/>
          <w:divBdr>
            <w:top w:val="none" w:sz="0" w:space="0" w:color="auto"/>
            <w:left w:val="none" w:sz="0" w:space="0" w:color="auto"/>
            <w:bottom w:val="none" w:sz="0" w:space="0" w:color="auto"/>
            <w:right w:val="none" w:sz="0" w:space="0" w:color="auto"/>
          </w:divBdr>
        </w:div>
        <w:div w:id="515123088">
          <w:marLeft w:val="640"/>
          <w:marRight w:val="0"/>
          <w:marTop w:val="0"/>
          <w:marBottom w:val="0"/>
          <w:divBdr>
            <w:top w:val="none" w:sz="0" w:space="0" w:color="auto"/>
            <w:left w:val="none" w:sz="0" w:space="0" w:color="auto"/>
            <w:bottom w:val="none" w:sz="0" w:space="0" w:color="auto"/>
            <w:right w:val="none" w:sz="0" w:space="0" w:color="auto"/>
          </w:divBdr>
        </w:div>
        <w:div w:id="1480925974">
          <w:marLeft w:val="640"/>
          <w:marRight w:val="0"/>
          <w:marTop w:val="0"/>
          <w:marBottom w:val="0"/>
          <w:divBdr>
            <w:top w:val="none" w:sz="0" w:space="0" w:color="auto"/>
            <w:left w:val="none" w:sz="0" w:space="0" w:color="auto"/>
            <w:bottom w:val="none" w:sz="0" w:space="0" w:color="auto"/>
            <w:right w:val="none" w:sz="0" w:space="0" w:color="auto"/>
          </w:divBdr>
        </w:div>
        <w:div w:id="219756529">
          <w:marLeft w:val="640"/>
          <w:marRight w:val="0"/>
          <w:marTop w:val="0"/>
          <w:marBottom w:val="0"/>
          <w:divBdr>
            <w:top w:val="none" w:sz="0" w:space="0" w:color="auto"/>
            <w:left w:val="none" w:sz="0" w:space="0" w:color="auto"/>
            <w:bottom w:val="none" w:sz="0" w:space="0" w:color="auto"/>
            <w:right w:val="none" w:sz="0" w:space="0" w:color="auto"/>
          </w:divBdr>
        </w:div>
        <w:div w:id="511456055">
          <w:marLeft w:val="640"/>
          <w:marRight w:val="0"/>
          <w:marTop w:val="0"/>
          <w:marBottom w:val="0"/>
          <w:divBdr>
            <w:top w:val="none" w:sz="0" w:space="0" w:color="auto"/>
            <w:left w:val="none" w:sz="0" w:space="0" w:color="auto"/>
            <w:bottom w:val="none" w:sz="0" w:space="0" w:color="auto"/>
            <w:right w:val="none" w:sz="0" w:space="0" w:color="auto"/>
          </w:divBdr>
        </w:div>
        <w:div w:id="1552229239">
          <w:marLeft w:val="640"/>
          <w:marRight w:val="0"/>
          <w:marTop w:val="0"/>
          <w:marBottom w:val="0"/>
          <w:divBdr>
            <w:top w:val="none" w:sz="0" w:space="0" w:color="auto"/>
            <w:left w:val="none" w:sz="0" w:space="0" w:color="auto"/>
            <w:bottom w:val="none" w:sz="0" w:space="0" w:color="auto"/>
            <w:right w:val="none" w:sz="0" w:space="0" w:color="auto"/>
          </w:divBdr>
        </w:div>
        <w:div w:id="551968727">
          <w:marLeft w:val="640"/>
          <w:marRight w:val="0"/>
          <w:marTop w:val="0"/>
          <w:marBottom w:val="0"/>
          <w:divBdr>
            <w:top w:val="none" w:sz="0" w:space="0" w:color="auto"/>
            <w:left w:val="none" w:sz="0" w:space="0" w:color="auto"/>
            <w:bottom w:val="none" w:sz="0" w:space="0" w:color="auto"/>
            <w:right w:val="none" w:sz="0" w:space="0" w:color="auto"/>
          </w:divBdr>
        </w:div>
        <w:div w:id="1592817955">
          <w:marLeft w:val="640"/>
          <w:marRight w:val="0"/>
          <w:marTop w:val="0"/>
          <w:marBottom w:val="0"/>
          <w:divBdr>
            <w:top w:val="none" w:sz="0" w:space="0" w:color="auto"/>
            <w:left w:val="none" w:sz="0" w:space="0" w:color="auto"/>
            <w:bottom w:val="none" w:sz="0" w:space="0" w:color="auto"/>
            <w:right w:val="none" w:sz="0" w:space="0" w:color="auto"/>
          </w:divBdr>
        </w:div>
        <w:div w:id="1823699013">
          <w:marLeft w:val="640"/>
          <w:marRight w:val="0"/>
          <w:marTop w:val="0"/>
          <w:marBottom w:val="0"/>
          <w:divBdr>
            <w:top w:val="none" w:sz="0" w:space="0" w:color="auto"/>
            <w:left w:val="none" w:sz="0" w:space="0" w:color="auto"/>
            <w:bottom w:val="none" w:sz="0" w:space="0" w:color="auto"/>
            <w:right w:val="none" w:sz="0" w:space="0" w:color="auto"/>
          </w:divBdr>
        </w:div>
        <w:div w:id="590242581">
          <w:marLeft w:val="640"/>
          <w:marRight w:val="0"/>
          <w:marTop w:val="0"/>
          <w:marBottom w:val="0"/>
          <w:divBdr>
            <w:top w:val="none" w:sz="0" w:space="0" w:color="auto"/>
            <w:left w:val="none" w:sz="0" w:space="0" w:color="auto"/>
            <w:bottom w:val="none" w:sz="0" w:space="0" w:color="auto"/>
            <w:right w:val="none" w:sz="0" w:space="0" w:color="auto"/>
          </w:divBdr>
        </w:div>
        <w:div w:id="1351375293">
          <w:marLeft w:val="640"/>
          <w:marRight w:val="0"/>
          <w:marTop w:val="0"/>
          <w:marBottom w:val="0"/>
          <w:divBdr>
            <w:top w:val="none" w:sz="0" w:space="0" w:color="auto"/>
            <w:left w:val="none" w:sz="0" w:space="0" w:color="auto"/>
            <w:bottom w:val="none" w:sz="0" w:space="0" w:color="auto"/>
            <w:right w:val="none" w:sz="0" w:space="0" w:color="auto"/>
          </w:divBdr>
        </w:div>
        <w:div w:id="1260681167">
          <w:marLeft w:val="640"/>
          <w:marRight w:val="0"/>
          <w:marTop w:val="0"/>
          <w:marBottom w:val="0"/>
          <w:divBdr>
            <w:top w:val="none" w:sz="0" w:space="0" w:color="auto"/>
            <w:left w:val="none" w:sz="0" w:space="0" w:color="auto"/>
            <w:bottom w:val="none" w:sz="0" w:space="0" w:color="auto"/>
            <w:right w:val="none" w:sz="0" w:space="0" w:color="auto"/>
          </w:divBdr>
        </w:div>
        <w:div w:id="2006978367">
          <w:marLeft w:val="640"/>
          <w:marRight w:val="0"/>
          <w:marTop w:val="0"/>
          <w:marBottom w:val="0"/>
          <w:divBdr>
            <w:top w:val="none" w:sz="0" w:space="0" w:color="auto"/>
            <w:left w:val="none" w:sz="0" w:space="0" w:color="auto"/>
            <w:bottom w:val="none" w:sz="0" w:space="0" w:color="auto"/>
            <w:right w:val="none" w:sz="0" w:space="0" w:color="auto"/>
          </w:divBdr>
        </w:div>
        <w:div w:id="1660421025">
          <w:marLeft w:val="640"/>
          <w:marRight w:val="0"/>
          <w:marTop w:val="0"/>
          <w:marBottom w:val="0"/>
          <w:divBdr>
            <w:top w:val="none" w:sz="0" w:space="0" w:color="auto"/>
            <w:left w:val="none" w:sz="0" w:space="0" w:color="auto"/>
            <w:bottom w:val="none" w:sz="0" w:space="0" w:color="auto"/>
            <w:right w:val="none" w:sz="0" w:space="0" w:color="auto"/>
          </w:divBdr>
        </w:div>
        <w:div w:id="1125999351">
          <w:marLeft w:val="640"/>
          <w:marRight w:val="0"/>
          <w:marTop w:val="0"/>
          <w:marBottom w:val="0"/>
          <w:divBdr>
            <w:top w:val="none" w:sz="0" w:space="0" w:color="auto"/>
            <w:left w:val="none" w:sz="0" w:space="0" w:color="auto"/>
            <w:bottom w:val="none" w:sz="0" w:space="0" w:color="auto"/>
            <w:right w:val="none" w:sz="0" w:space="0" w:color="auto"/>
          </w:divBdr>
        </w:div>
        <w:div w:id="1416901451">
          <w:marLeft w:val="640"/>
          <w:marRight w:val="0"/>
          <w:marTop w:val="0"/>
          <w:marBottom w:val="0"/>
          <w:divBdr>
            <w:top w:val="none" w:sz="0" w:space="0" w:color="auto"/>
            <w:left w:val="none" w:sz="0" w:space="0" w:color="auto"/>
            <w:bottom w:val="none" w:sz="0" w:space="0" w:color="auto"/>
            <w:right w:val="none" w:sz="0" w:space="0" w:color="auto"/>
          </w:divBdr>
        </w:div>
        <w:div w:id="1217812028">
          <w:marLeft w:val="640"/>
          <w:marRight w:val="0"/>
          <w:marTop w:val="0"/>
          <w:marBottom w:val="0"/>
          <w:divBdr>
            <w:top w:val="none" w:sz="0" w:space="0" w:color="auto"/>
            <w:left w:val="none" w:sz="0" w:space="0" w:color="auto"/>
            <w:bottom w:val="none" w:sz="0" w:space="0" w:color="auto"/>
            <w:right w:val="none" w:sz="0" w:space="0" w:color="auto"/>
          </w:divBdr>
        </w:div>
        <w:div w:id="1578444241">
          <w:marLeft w:val="640"/>
          <w:marRight w:val="0"/>
          <w:marTop w:val="0"/>
          <w:marBottom w:val="0"/>
          <w:divBdr>
            <w:top w:val="none" w:sz="0" w:space="0" w:color="auto"/>
            <w:left w:val="none" w:sz="0" w:space="0" w:color="auto"/>
            <w:bottom w:val="none" w:sz="0" w:space="0" w:color="auto"/>
            <w:right w:val="none" w:sz="0" w:space="0" w:color="auto"/>
          </w:divBdr>
        </w:div>
        <w:div w:id="1402213377">
          <w:marLeft w:val="640"/>
          <w:marRight w:val="0"/>
          <w:marTop w:val="0"/>
          <w:marBottom w:val="0"/>
          <w:divBdr>
            <w:top w:val="none" w:sz="0" w:space="0" w:color="auto"/>
            <w:left w:val="none" w:sz="0" w:space="0" w:color="auto"/>
            <w:bottom w:val="none" w:sz="0" w:space="0" w:color="auto"/>
            <w:right w:val="none" w:sz="0" w:space="0" w:color="auto"/>
          </w:divBdr>
        </w:div>
        <w:div w:id="2131624801">
          <w:marLeft w:val="640"/>
          <w:marRight w:val="0"/>
          <w:marTop w:val="0"/>
          <w:marBottom w:val="0"/>
          <w:divBdr>
            <w:top w:val="none" w:sz="0" w:space="0" w:color="auto"/>
            <w:left w:val="none" w:sz="0" w:space="0" w:color="auto"/>
            <w:bottom w:val="none" w:sz="0" w:space="0" w:color="auto"/>
            <w:right w:val="none" w:sz="0" w:space="0" w:color="auto"/>
          </w:divBdr>
        </w:div>
        <w:div w:id="700470610">
          <w:marLeft w:val="640"/>
          <w:marRight w:val="0"/>
          <w:marTop w:val="0"/>
          <w:marBottom w:val="0"/>
          <w:divBdr>
            <w:top w:val="none" w:sz="0" w:space="0" w:color="auto"/>
            <w:left w:val="none" w:sz="0" w:space="0" w:color="auto"/>
            <w:bottom w:val="none" w:sz="0" w:space="0" w:color="auto"/>
            <w:right w:val="none" w:sz="0" w:space="0" w:color="auto"/>
          </w:divBdr>
        </w:div>
        <w:div w:id="1257637297">
          <w:marLeft w:val="640"/>
          <w:marRight w:val="0"/>
          <w:marTop w:val="0"/>
          <w:marBottom w:val="0"/>
          <w:divBdr>
            <w:top w:val="none" w:sz="0" w:space="0" w:color="auto"/>
            <w:left w:val="none" w:sz="0" w:space="0" w:color="auto"/>
            <w:bottom w:val="none" w:sz="0" w:space="0" w:color="auto"/>
            <w:right w:val="none" w:sz="0" w:space="0" w:color="auto"/>
          </w:divBdr>
        </w:div>
        <w:div w:id="1362515321">
          <w:marLeft w:val="640"/>
          <w:marRight w:val="0"/>
          <w:marTop w:val="0"/>
          <w:marBottom w:val="0"/>
          <w:divBdr>
            <w:top w:val="none" w:sz="0" w:space="0" w:color="auto"/>
            <w:left w:val="none" w:sz="0" w:space="0" w:color="auto"/>
            <w:bottom w:val="none" w:sz="0" w:space="0" w:color="auto"/>
            <w:right w:val="none" w:sz="0" w:space="0" w:color="auto"/>
          </w:divBdr>
        </w:div>
        <w:div w:id="848636556">
          <w:marLeft w:val="640"/>
          <w:marRight w:val="0"/>
          <w:marTop w:val="0"/>
          <w:marBottom w:val="0"/>
          <w:divBdr>
            <w:top w:val="none" w:sz="0" w:space="0" w:color="auto"/>
            <w:left w:val="none" w:sz="0" w:space="0" w:color="auto"/>
            <w:bottom w:val="none" w:sz="0" w:space="0" w:color="auto"/>
            <w:right w:val="none" w:sz="0" w:space="0" w:color="auto"/>
          </w:divBdr>
        </w:div>
        <w:div w:id="1323116316">
          <w:marLeft w:val="640"/>
          <w:marRight w:val="0"/>
          <w:marTop w:val="0"/>
          <w:marBottom w:val="0"/>
          <w:divBdr>
            <w:top w:val="none" w:sz="0" w:space="0" w:color="auto"/>
            <w:left w:val="none" w:sz="0" w:space="0" w:color="auto"/>
            <w:bottom w:val="none" w:sz="0" w:space="0" w:color="auto"/>
            <w:right w:val="none" w:sz="0" w:space="0" w:color="auto"/>
          </w:divBdr>
        </w:div>
        <w:div w:id="1662003470">
          <w:marLeft w:val="640"/>
          <w:marRight w:val="0"/>
          <w:marTop w:val="0"/>
          <w:marBottom w:val="0"/>
          <w:divBdr>
            <w:top w:val="none" w:sz="0" w:space="0" w:color="auto"/>
            <w:left w:val="none" w:sz="0" w:space="0" w:color="auto"/>
            <w:bottom w:val="none" w:sz="0" w:space="0" w:color="auto"/>
            <w:right w:val="none" w:sz="0" w:space="0" w:color="auto"/>
          </w:divBdr>
        </w:div>
        <w:div w:id="13962016">
          <w:marLeft w:val="640"/>
          <w:marRight w:val="0"/>
          <w:marTop w:val="0"/>
          <w:marBottom w:val="0"/>
          <w:divBdr>
            <w:top w:val="none" w:sz="0" w:space="0" w:color="auto"/>
            <w:left w:val="none" w:sz="0" w:space="0" w:color="auto"/>
            <w:bottom w:val="none" w:sz="0" w:space="0" w:color="auto"/>
            <w:right w:val="none" w:sz="0" w:space="0" w:color="auto"/>
          </w:divBdr>
        </w:div>
        <w:div w:id="1412659309">
          <w:marLeft w:val="640"/>
          <w:marRight w:val="0"/>
          <w:marTop w:val="0"/>
          <w:marBottom w:val="0"/>
          <w:divBdr>
            <w:top w:val="none" w:sz="0" w:space="0" w:color="auto"/>
            <w:left w:val="none" w:sz="0" w:space="0" w:color="auto"/>
            <w:bottom w:val="none" w:sz="0" w:space="0" w:color="auto"/>
            <w:right w:val="none" w:sz="0" w:space="0" w:color="auto"/>
          </w:divBdr>
        </w:div>
        <w:div w:id="230779286">
          <w:marLeft w:val="640"/>
          <w:marRight w:val="0"/>
          <w:marTop w:val="0"/>
          <w:marBottom w:val="0"/>
          <w:divBdr>
            <w:top w:val="none" w:sz="0" w:space="0" w:color="auto"/>
            <w:left w:val="none" w:sz="0" w:space="0" w:color="auto"/>
            <w:bottom w:val="none" w:sz="0" w:space="0" w:color="auto"/>
            <w:right w:val="none" w:sz="0" w:space="0" w:color="auto"/>
          </w:divBdr>
        </w:div>
        <w:div w:id="981469201">
          <w:marLeft w:val="640"/>
          <w:marRight w:val="0"/>
          <w:marTop w:val="0"/>
          <w:marBottom w:val="0"/>
          <w:divBdr>
            <w:top w:val="none" w:sz="0" w:space="0" w:color="auto"/>
            <w:left w:val="none" w:sz="0" w:space="0" w:color="auto"/>
            <w:bottom w:val="none" w:sz="0" w:space="0" w:color="auto"/>
            <w:right w:val="none" w:sz="0" w:space="0" w:color="auto"/>
          </w:divBdr>
        </w:div>
        <w:div w:id="1901594760">
          <w:marLeft w:val="640"/>
          <w:marRight w:val="0"/>
          <w:marTop w:val="0"/>
          <w:marBottom w:val="0"/>
          <w:divBdr>
            <w:top w:val="none" w:sz="0" w:space="0" w:color="auto"/>
            <w:left w:val="none" w:sz="0" w:space="0" w:color="auto"/>
            <w:bottom w:val="none" w:sz="0" w:space="0" w:color="auto"/>
            <w:right w:val="none" w:sz="0" w:space="0" w:color="auto"/>
          </w:divBdr>
        </w:div>
        <w:div w:id="1472601436">
          <w:marLeft w:val="640"/>
          <w:marRight w:val="0"/>
          <w:marTop w:val="0"/>
          <w:marBottom w:val="0"/>
          <w:divBdr>
            <w:top w:val="none" w:sz="0" w:space="0" w:color="auto"/>
            <w:left w:val="none" w:sz="0" w:space="0" w:color="auto"/>
            <w:bottom w:val="none" w:sz="0" w:space="0" w:color="auto"/>
            <w:right w:val="none" w:sz="0" w:space="0" w:color="auto"/>
          </w:divBdr>
        </w:div>
        <w:div w:id="1352797187">
          <w:marLeft w:val="640"/>
          <w:marRight w:val="0"/>
          <w:marTop w:val="0"/>
          <w:marBottom w:val="0"/>
          <w:divBdr>
            <w:top w:val="none" w:sz="0" w:space="0" w:color="auto"/>
            <w:left w:val="none" w:sz="0" w:space="0" w:color="auto"/>
            <w:bottom w:val="none" w:sz="0" w:space="0" w:color="auto"/>
            <w:right w:val="none" w:sz="0" w:space="0" w:color="auto"/>
          </w:divBdr>
        </w:div>
        <w:div w:id="1273393185">
          <w:marLeft w:val="640"/>
          <w:marRight w:val="0"/>
          <w:marTop w:val="0"/>
          <w:marBottom w:val="0"/>
          <w:divBdr>
            <w:top w:val="none" w:sz="0" w:space="0" w:color="auto"/>
            <w:left w:val="none" w:sz="0" w:space="0" w:color="auto"/>
            <w:bottom w:val="none" w:sz="0" w:space="0" w:color="auto"/>
            <w:right w:val="none" w:sz="0" w:space="0" w:color="auto"/>
          </w:divBdr>
        </w:div>
        <w:div w:id="1278412509">
          <w:marLeft w:val="640"/>
          <w:marRight w:val="0"/>
          <w:marTop w:val="0"/>
          <w:marBottom w:val="0"/>
          <w:divBdr>
            <w:top w:val="none" w:sz="0" w:space="0" w:color="auto"/>
            <w:left w:val="none" w:sz="0" w:space="0" w:color="auto"/>
            <w:bottom w:val="none" w:sz="0" w:space="0" w:color="auto"/>
            <w:right w:val="none" w:sz="0" w:space="0" w:color="auto"/>
          </w:divBdr>
        </w:div>
        <w:div w:id="1301182751">
          <w:marLeft w:val="640"/>
          <w:marRight w:val="0"/>
          <w:marTop w:val="0"/>
          <w:marBottom w:val="0"/>
          <w:divBdr>
            <w:top w:val="none" w:sz="0" w:space="0" w:color="auto"/>
            <w:left w:val="none" w:sz="0" w:space="0" w:color="auto"/>
            <w:bottom w:val="none" w:sz="0" w:space="0" w:color="auto"/>
            <w:right w:val="none" w:sz="0" w:space="0" w:color="auto"/>
          </w:divBdr>
        </w:div>
        <w:div w:id="1042707835">
          <w:marLeft w:val="640"/>
          <w:marRight w:val="0"/>
          <w:marTop w:val="0"/>
          <w:marBottom w:val="0"/>
          <w:divBdr>
            <w:top w:val="none" w:sz="0" w:space="0" w:color="auto"/>
            <w:left w:val="none" w:sz="0" w:space="0" w:color="auto"/>
            <w:bottom w:val="none" w:sz="0" w:space="0" w:color="auto"/>
            <w:right w:val="none" w:sz="0" w:space="0" w:color="auto"/>
          </w:divBdr>
        </w:div>
        <w:div w:id="166750102">
          <w:marLeft w:val="640"/>
          <w:marRight w:val="0"/>
          <w:marTop w:val="0"/>
          <w:marBottom w:val="0"/>
          <w:divBdr>
            <w:top w:val="none" w:sz="0" w:space="0" w:color="auto"/>
            <w:left w:val="none" w:sz="0" w:space="0" w:color="auto"/>
            <w:bottom w:val="none" w:sz="0" w:space="0" w:color="auto"/>
            <w:right w:val="none" w:sz="0" w:space="0" w:color="auto"/>
          </w:divBdr>
        </w:div>
        <w:div w:id="399061726">
          <w:marLeft w:val="640"/>
          <w:marRight w:val="0"/>
          <w:marTop w:val="0"/>
          <w:marBottom w:val="0"/>
          <w:divBdr>
            <w:top w:val="none" w:sz="0" w:space="0" w:color="auto"/>
            <w:left w:val="none" w:sz="0" w:space="0" w:color="auto"/>
            <w:bottom w:val="none" w:sz="0" w:space="0" w:color="auto"/>
            <w:right w:val="none" w:sz="0" w:space="0" w:color="auto"/>
          </w:divBdr>
        </w:div>
        <w:div w:id="2133282214">
          <w:marLeft w:val="640"/>
          <w:marRight w:val="0"/>
          <w:marTop w:val="0"/>
          <w:marBottom w:val="0"/>
          <w:divBdr>
            <w:top w:val="none" w:sz="0" w:space="0" w:color="auto"/>
            <w:left w:val="none" w:sz="0" w:space="0" w:color="auto"/>
            <w:bottom w:val="none" w:sz="0" w:space="0" w:color="auto"/>
            <w:right w:val="none" w:sz="0" w:space="0" w:color="auto"/>
          </w:divBdr>
        </w:div>
        <w:div w:id="2068797306">
          <w:marLeft w:val="640"/>
          <w:marRight w:val="0"/>
          <w:marTop w:val="0"/>
          <w:marBottom w:val="0"/>
          <w:divBdr>
            <w:top w:val="none" w:sz="0" w:space="0" w:color="auto"/>
            <w:left w:val="none" w:sz="0" w:space="0" w:color="auto"/>
            <w:bottom w:val="none" w:sz="0" w:space="0" w:color="auto"/>
            <w:right w:val="none" w:sz="0" w:space="0" w:color="auto"/>
          </w:divBdr>
        </w:div>
        <w:div w:id="216554873">
          <w:marLeft w:val="640"/>
          <w:marRight w:val="0"/>
          <w:marTop w:val="0"/>
          <w:marBottom w:val="0"/>
          <w:divBdr>
            <w:top w:val="none" w:sz="0" w:space="0" w:color="auto"/>
            <w:left w:val="none" w:sz="0" w:space="0" w:color="auto"/>
            <w:bottom w:val="none" w:sz="0" w:space="0" w:color="auto"/>
            <w:right w:val="none" w:sz="0" w:space="0" w:color="auto"/>
          </w:divBdr>
        </w:div>
        <w:div w:id="517934940">
          <w:marLeft w:val="640"/>
          <w:marRight w:val="0"/>
          <w:marTop w:val="0"/>
          <w:marBottom w:val="0"/>
          <w:divBdr>
            <w:top w:val="none" w:sz="0" w:space="0" w:color="auto"/>
            <w:left w:val="none" w:sz="0" w:space="0" w:color="auto"/>
            <w:bottom w:val="none" w:sz="0" w:space="0" w:color="auto"/>
            <w:right w:val="none" w:sz="0" w:space="0" w:color="auto"/>
          </w:divBdr>
        </w:div>
        <w:div w:id="1348215564">
          <w:marLeft w:val="640"/>
          <w:marRight w:val="0"/>
          <w:marTop w:val="0"/>
          <w:marBottom w:val="0"/>
          <w:divBdr>
            <w:top w:val="none" w:sz="0" w:space="0" w:color="auto"/>
            <w:left w:val="none" w:sz="0" w:space="0" w:color="auto"/>
            <w:bottom w:val="none" w:sz="0" w:space="0" w:color="auto"/>
            <w:right w:val="none" w:sz="0" w:space="0" w:color="auto"/>
          </w:divBdr>
        </w:div>
        <w:div w:id="545528335">
          <w:marLeft w:val="640"/>
          <w:marRight w:val="0"/>
          <w:marTop w:val="0"/>
          <w:marBottom w:val="0"/>
          <w:divBdr>
            <w:top w:val="none" w:sz="0" w:space="0" w:color="auto"/>
            <w:left w:val="none" w:sz="0" w:space="0" w:color="auto"/>
            <w:bottom w:val="none" w:sz="0" w:space="0" w:color="auto"/>
            <w:right w:val="none" w:sz="0" w:space="0" w:color="auto"/>
          </w:divBdr>
        </w:div>
        <w:div w:id="970785176">
          <w:marLeft w:val="640"/>
          <w:marRight w:val="0"/>
          <w:marTop w:val="0"/>
          <w:marBottom w:val="0"/>
          <w:divBdr>
            <w:top w:val="none" w:sz="0" w:space="0" w:color="auto"/>
            <w:left w:val="none" w:sz="0" w:space="0" w:color="auto"/>
            <w:bottom w:val="none" w:sz="0" w:space="0" w:color="auto"/>
            <w:right w:val="none" w:sz="0" w:space="0" w:color="auto"/>
          </w:divBdr>
        </w:div>
        <w:div w:id="720445642">
          <w:marLeft w:val="640"/>
          <w:marRight w:val="0"/>
          <w:marTop w:val="0"/>
          <w:marBottom w:val="0"/>
          <w:divBdr>
            <w:top w:val="none" w:sz="0" w:space="0" w:color="auto"/>
            <w:left w:val="none" w:sz="0" w:space="0" w:color="auto"/>
            <w:bottom w:val="none" w:sz="0" w:space="0" w:color="auto"/>
            <w:right w:val="none" w:sz="0" w:space="0" w:color="auto"/>
          </w:divBdr>
        </w:div>
        <w:div w:id="1977368876">
          <w:marLeft w:val="640"/>
          <w:marRight w:val="0"/>
          <w:marTop w:val="0"/>
          <w:marBottom w:val="0"/>
          <w:divBdr>
            <w:top w:val="none" w:sz="0" w:space="0" w:color="auto"/>
            <w:left w:val="none" w:sz="0" w:space="0" w:color="auto"/>
            <w:bottom w:val="none" w:sz="0" w:space="0" w:color="auto"/>
            <w:right w:val="none" w:sz="0" w:space="0" w:color="auto"/>
          </w:divBdr>
        </w:div>
        <w:div w:id="1124691352">
          <w:marLeft w:val="640"/>
          <w:marRight w:val="0"/>
          <w:marTop w:val="0"/>
          <w:marBottom w:val="0"/>
          <w:divBdr>
            <w:top w:val="none" w:sz="0" w:space="0" w:color="auto"/>
            <w:left w:val="none" w:sz="0" w:space="0" w:color="auto"/>
            <w:bottom w:val="none" w:sz="0" w:space="0" w:color="auto"/>
            <w:right w:val="none" w:sz="0" w:space="0" w:color="auto"/>
          </w:divBdr>
        </w:div>
        <w:div w:id="360324684">
          <w:marLeft w:val="640"/>
          <w:marRight w:val="0"/>
          <w:marTop w:val="0"/>
          <w:marBottom w:val="0"/>
          <w:divBdr>
            <w:top w:val="none" w:sz="0" w:space="0" w:color="auto"/>
            <w:left w:val="none" w:sz="0" w:space="0" w:color="auto"/>
            <w:bottom w:val="none" w:sz="0" w:space="0" w:color="auto"/>
            <w:right w:val="none" w:sz="0" w:space="0" w:color="auto"/>
          </w:divBdr>
        </w:div>
        <w:div w:id="1685009796">
          <w:marLeft w:val="640"/>
          <w:marRight w:val="0"/>
          <w:marTop w:val="0"/>
          <w:marBottom w:val="0"/>
          <w:divBdr>
            <w:top w:val="none" w:sz="0" w:space="0" w:color="auto"/>
            <w:left w:val="none" w:sz="0" w:space="0" w:color="auto"/>
            <w:bottom w:val="none" w:sz="0" w:space="0" w:color="auto"/>
            <w:right w:val="none" w:sz="0" w:space="0" w:color="auto"/>
          </w:divBdr>
        </w:div>
        <w:div w:id="262694407">
          <w:marLeft w:val="640"/>
          <w:marRight w:val="0"/>
          <w:marTop w:val="0"/>
          <w:marBottom w:val="0"/>
          <w:divBdr>
            <w:top w:val="none" w:sz="0" w:space="0" w:color="auto"/>
            <w:left w:val="none" w:sz="0" w:space="0" w:color="auto"/>
            <w:bottom w:val="none" w:sz="0" w:space="0" w:color="auto"/>
            <w:right w:val="none" w:sz="0" w:space="0" w:color="auto"/>
          </w:divBdr>
        </w:div>
        <w:div w:id="1230731287">
          <w:marLeft w:val="640"/>
          <w:marRight w:val="0"/>
          <w:marTop w:val="0"/>
          <w:marBottom w:val="0"/>
          <w:divBdr>
            <w:top w:val="none" w:sz="0" w:space="0" w:color="auto"/>
            <w:left w:val="none" w:sz="0" w:space="0" w:color="auto"/>
            <w:bottom w:val="none" w:sz="0" w:space="0" w:color="auto"/>
            <w:right w:val="none" w:sz="0" w:space="0" w:color="auto"/>
          </w:divBdr>
        </w:div>
        <w:div w:id="816721613">
          <w:marLeft w:val="640"/>
          <w:marRight w:val="0"/>
          <w:marTop w:val="0"/>
          <w:marBottom w:val="0"/>
          <w:divBdr>
            <w:top w:val="none" w:sz="0" w:space="0" w:color="auto"/>
            <w:left w:val="none" w:sz="0" w:space="0" w:color="auto"/>
            <w:bottom w:val="none" w:sz="0" w:space="0" w:color="auto"/>
            <w:right w:val="none" w:sz="0" w:space="0" w:color="auto"/>
          </w:divBdr>
        </w:div>
        <w:div w:id="334694972">
          <w:marLeft w:val="640"/>
          <w:marRight w:val="0"/>
          <w:marTop w:val="0"/>
          <w:marBottom w:val="0"/>
          <w:divBdr>
            <w:top w:val="none" w:sz="0" w:space="0" w:color="auto"/>
            <w:left w:val="none" w:sz="0" w:space="0" w:color="auto"/>
            <w:bottom w:val="none" w:sz="0" w:space="0" w:color="auto"/>
            <w:right w:val="none" w:sz="0" w:space="0" w:color="auto"/>
          </w:divBdr>
        </w:div>
        <w:div w:id="801195510">
          <w:marLeft w:val="640"/>
          <w:marRight w:val="0"/>
          <w:marTop w:val="0"/>
          <w:marBottom w:val="0"/>
          <w:divBdr>
            <w:top w:val="none" w:sz="0" w:space="0" w:color="auto"/>
            <w:left w:val="none" w:sz="0" w:space="0" w:color="auto"/>
            <w:bottom w:val="none" w:sz="0" w:space="0" w:color="auto"/>
            <w:right w:val="none" w:sz="0" w:space="0" w:color="auto"/>
          </w:divBdr>
        </w:div>
        <w:div w:id="379407506">
          <w:marLeft w:val="640"/>
          <w:marRight w:val="0"/>
          <w:marTop w:val="0"/>
          <w:marBottom w:val="0"/>
          <w:divBdr>
            <w:top w:val="none" w:sz="0" w:space="0" w:color="auto"/>
            <w:left w:val="none" w:sz="0" w:space="0" w:color="auto"/>
            <w:bottom w:val="none" w:sz="0" w:space="0" w:color="auto"/>
            <w:right w:val="none" w:sz="0" w:space="0" w:color="auto"/>
          </w:divBdr>
        </w:div>
        <w:div w:id="291063283">
          <w:marLeft w:val="640"/>
          <w:marRight w:val="0"/>
          <w:marTop w:val="0"/>
          <w:marBottom w:val="0"/>
          <w:divBdr>
            <w:top w:val="none" w:sz="0" w:space="0" w:color="auto"/>
            <w:left w:val="none" w:sz="0" w:space="0" w:color="auto"/>
            <w:bottom w:val="none" w:sz="0" w:space="0" w:color="auto"/>
            <w:right w:val="none" w:sz="0" w:space="0" w:color="auto"/>
          </w:divBdr>
        </w:div>
        <w:div w:id="551967268">
          <w:marLeft w:val="640"/>
          <w:marRight w:val="0"/>
          <w:marTop w:val="0"/>
          <w:marBottom w:val="0"/>
          <w:divBdr>
            <w:top w:val="none" w:sz="0" w:space="0" w:color="auto"/>
            <w:left w:val="none" w:sz="0" w:space="0" w:color="auto"/>
            <w:bottom w:val="none" w:sz="0" w:space="0" w:color="auto"/>
            <w:right w:val="none" w:sz="0" w:space="0" w:color="auto"/>
          </w:divBdr>
        </w:div>
        <w:div w:id="1108550046">
          <w:marLeft w:val="640"/>
          <w:marRight w:val="0"/>
          <w:marTop w:val="0"/>
          <w:marBottom w:val="0"/>
          <w:divBdr>
            <w:top w:val="none" w:sz="0" w:space="0" w:color="auto"/>
            <w:left w:val="none" w:sz="0" w:space="0" w:color="auto"/>
            <w:bottom w:val="none" w:sz="0" w:space="0" w:color="auto"/>
            <w:right w:val="none" w:sz="0" w:space="0" w:color="auto"/>
          </w:divBdr>
        </w:div>
        <w:div w:id="940263207">
          <w:marLeft w:val="640"/>
          <w:marRight w:val="0"/>
          <w:marTop w:val="0"/>
          <w:marBottom w:val="0"/>
          <w:divBdr>
            <w:top w:val="none" w:sz="0" w:space="0" w:color="auto"/>
            <w:left w:val="none" w:sz="0" w:space="0" w:color="auto"/>
            <w:bottom w:val="none" w:sz="0" w:space="0" w:color="auto"/>
            <w:right w:val="none" w:sz="0" w:space="0" w:color="auto"/>
          </w:divBdr>
        </w:div>
        <w:div w:id="901910019">
          <w:marLeft w:val="640"/>
          <w:marRight w:val="0"/>
          <w:marTop w:val="0"/>
          <w:marBottom w:val="0"/>
          <w:divBdr>
            <w:top w:val="none" w:sz="0" w:space="0" w:color="auto"/>
            <w:left w:val="none" w:sz="0" w:space="0" w:color="auto"/>
            <w:bottom w:val="none" w:sz="0" w:space="0" w:color="auto"/>
            <w:right w:val="none" w:sz="0" w:space="0" w:color="auto"/>
          </w:divBdr>
        </w:div>
        <w:div w:id="656030987">
          <w:marLeft w:val="640"/>
          <w:marRight w:val="0"/>
          <w:marTop w:val="0"/>
          <w:marBottom w:val="0"/>
          <w:divBdr>
            <w:top w:val="none" w:sz="0" w:space="0" w:color="auto"/>
            <w:left w:val="none" w:sz="0" w:space="0" w:color="auto"/>
            <w:bottom w:val="none" w:sz="0" w:space="0" w:color="auto"/>
            <w:right w:val="none" w:sz="0" w:space="0" w:color="auto"/>
          </w:divBdr>
        </w:div>
        <w:div w:id="1549995809">
          <w:marLeft w:val="640"/>
          <w:marRight w:val="0"/>
          <w:marTop w:val="0"/>
          <w:marBottom w:val="0"/>
          <w:divBdr>
            <w:top w:val="none" w:sz="0" w:space="0" w:color="auto"/>
            <w:left w:val="none" w:sz="0" w:space="0" w:color="auto"/>
            <w:bottom w:val="none" w:sz="0" w:space="0" w:color="auto"/>
            <w:right w:val="none" w:sz="0" w:space="0" w:color="auto"/>
          </w:divBdr>
        </w:div>
        <w:div w:id="25645040">
          <w:marLeft w:val="640"/>
          <w:marRight w:val="0"/>
          <w:marTop w:val="0"/>
          <w:marBottom w:val="0"/>
          <w:divBdr>
            <w:top w:val="none" w:sz="0" w:space="0" w:color="auto"/>
            <w:left w:val="none" w:sz="0" w:space="0" w:color="auto"/>
            <w:bottom w:val="none" w:sz="0" w:space="0" w:color="auto"/>
            <w:right w:val="none" w:sz="0" w:space="0" w:color="auto"/>
          </w:divBdr>
        </w:div>
        <w:div w:id="1377776120">
          <w:marLeft w:val="640"/>
          <w:marRight w:val="0"/>
          <w:marTop w:val="0"/>
          <w:marBottom w:val="0"/>
          <w:divBdr>
            <w:top w:val="none" w:sz="0" w:space="0" w:color="auto"/>
            <w:left w:val="none" w:sz="0" w:space="0" w:color="auto"/>
            <w:bottom w:val="none" w:sz="0" w:space="0" w:color="auto"/>
            <w:right w:val="none" w:sz="0" w:space="0" w:color="auto"/>
          </w:divBdr>
        </w:div>
        <w:div w:id="250284085">
          <w:marLeft w:val="640"/>
          <w:marRight w:val="0"/>
          <w:marTop w:val="0"/>
          <w:marBottom w:val="0"/>
          <w:divBdr>
            <w:top w:val="none" w:sz="0" w:space="0" w:color="auto"/>
            <w:left w:val="none" w:sz="0" w:space="0" w:color="auto"/>
            <w:bottom w:val="none" w:sz="0" w:space="0" w:color="auto"/>
            <w:right w:val="none" w:sz="0" w:space="0" w:color="auto"/>
          </w:divBdr>
        </w:div>
        <w:div w:id="1536118463">
          <w:marLeft w:val="640"/>
          <w:marRight w:val="0"/>
          <w:marTop w:val="0"/>
          <w:marBottom w:val="0"/>
          <w:divBdr>
            <w:top w:val="none" w:sz="0" w:space="0" w:color="auto"/>
            <w:left w:val="none" w:sz="0" w:space="0" w:color="auto"/>
            <w:bottom w:val="none" w:sz="0" w:space="0" w:color="auto"/>
            <w:right w:val="none" w:sz="0" w:space="0" w:color="auto"/>
          </w:divBdr>
        </w:div>
        <w:div w:id="649093734">
          <w:marLeft w:val="640"/>
          <w:marRight w:val="0"/>
          <w:marTop w:val="0"/>
          <w:marBottom w:val="0"/>
          <w:divBdr>
            <w:top w:val="none" w:sz="0" w:space="0" w:color="auto"/>
            <w:left w:val="none" w:sz="0" w:space="0" w:color="auto"/>
            <w:bottom w:val="none" w:sz="0" w:space="0" w:color="auto"/>
            <w:right w:val="none" w:sz="0" w:space="0" w:color="auto"/>
          </w:divBdr>
        </w:div>
        <w:div w:id="97139881">
          <w:marLeft w:val="640"/>
          <w:marRight w:val="0"/>
          <w:marTop w:val="0"/>
          <w:marBottom w:val="0"/>
          <w:divBdr>
            <w:top w:val="none" w:sz="0" w:space="0" w:color="auto"/>
            <w:left w:val="none" w:sz="0" w:space="0" w:color="auto"/>
            <w:bottom w:val="none" w:sz="0" w:space="0" w:color="auto"/>
            <w:right w:val="none" w:sz="0" w:space="0" w:color="auto"/>
          </w:divBdr>
        </w:div>
        <w:div w:id="867911138">
          <w:marLeft w:val="640"/>
          <w:marRight w:val="0"/>
          <w:marTop w:val="0"/>
          <w:marBottom w:val="0"/>
          <w:divBdr>
            <w:top w:val="none" w:sz="0" w:space="0" w:color="auto"/>
            <w:left w:val="none" w:sz="0" w:space="0" w:color="auto"/>
            <w:bottom w:val="none" w:sz="0" w:space="0" w:color="auto"/>
            <w:right w:val="none" w:sz="0" w:space="0" w:color="auto"/>
          </w:divBdr>
        </w:div>
        <w:div w:id="11805591">
          <w:marLeft w:val="640"/>
          <w:marRight w:val="0"/>
          <w:marTop w:val="0"/>
          <w:marBottom w:val="0"/>
          <w:divBdr>
            <w:top w:val="none" w:sz="0" w:space="0" w:color="auto"/>
            <w:left w:val="none" w:sz="0" w:space="0" w:color="auto"/>
            <w:bottom w:val="none" w:sz="0" w:space="0" w:color="auto"/>
            <w:right w:val="none" w:sz="0" w:space="0" w:color="auto"/>
          </w:divBdr>
        </w:div>
        <w:div w:id="1518499168">
          <w:marLeft w:val="640"/>
          <w:marRight w:val="0"/>
          <w:marTop w:val="0"/>
          <w:marBottom w:val="0"/>
          <w:divBdr>
            <w:top w:val="none" w:sz="0" w:space="0" w:color="auto"/>
            <w:left w:val="none" w:sz="0" w:space="0" w:color="auto"/>
            <w:bottom w:val="none" w:sz="0" w:space="0" w:color="auto"/>
            <w:right w:val="none" w:sz="0" w:space="0" w:color="auto"/>
          </w:divBdr>
        </w:div>
        <w:div w:id="107820427">
          <w:marLeft w:val="640"/>
          <w:marRight w:val="0"/>
          <w:marTop w:val="0"/>
          <w:marBottom w:val="0"/>
          <w:divBdr>
            <w:top w:val="none" w:sz="0" w:space="0" w:color="auto"/>
            <w:left w:val="none" w:sz="0" w:space="0" w:color="auto"/>
            <w:bottom w:val="none" w:sz="0" w:space="0" w:color="auto"/>
            <w:right w:val="none" w:sz="0" w:space="0" w:color="auto"/>
          </w:divBdr>
        </w:div>
        <w:div w:id="844592128">
          <w:marLeft w:val="640"/>
          <w:marRight w:val="0"/>
          <w:marTop w:val="0"/>
          <w:marBottom w:val="0"/>
          <w:divBdr>
            <w:top w:val="none" w:sz="0" w:space="0" w:color="auto"/>
            <w:left w:val="none" w:sz="0" w:space="0" w:color="auto"/>
            <w:bottom w:val="none" w:sz="0" w:space="0" w:color="auto"/>
            <w:right w:val="none" w:sz="0" w:space="0" w:color="auto"/>
          </w:divBdr>
        </w:div>
        <w:div w:id="1589265410">
          <w:marLeft w:val="640"/>
          <w:marRight w:val="0"/>
          <w:marTop w:val="0"/>
          <w:marBottom w:val="0"/>
          <w:divBdr>
            <w:top w:val="none" w:sz="0" w:space="0" w:color="auto"/>
            <w:left w:val="none" w:sz="0" w:space="0" w:color="auto"/>
            <w:bottom w:val="none" w:sz="0" w:space="0" w:color="auto"/>
            <w:right w:val="none" w:sz="0" w:space="0" w:color="auto"/>
          </w:divBdr>
        </w:div>
        <w:div w:id="337192072">
          <w:marLeft w:val="640"/>
          <w:marRight w:val="0"/>
          <w:marTop w:val="0"/>
          <w:marBottom w:val="0"/>
          <w:divBdr>
            <w:top w:val="none" w:sz="0" w:space="0" w:color="auto"/>
            <w:left w:val="none" w:sz="0" w:space="0" w:color="auto"/>
            <w:bottom w:val="none" w:sz="0" w:space="0" w:color="auto"/>
            <w:right w:val="none" w:sz="0" w:space="0" w:color="auto"/>
          </w:divBdr>
        </w:div>
        <w:div w:id="441342400">
          <w:marLeft w:val="640"/>
          <w:marRight w:val="0"/>
          <w:marTop w:val="0"/>
          <w:marBottom w:val="0"/>
          <w:divBdr>
            <w:top w:val="none" w:sz="0" w:space="0" w:color="auto"/>
            <w:left w:val="none" w:sz="0" w:space="0" w:color="auto"/>
            <w:bottom w:val="none" w:sz="0" w:space="0" w:color="auto"/>
            <w:right w:val="none" w:sz="0" w:space="0" w:color="auto"/>
          </w:divBdr>
        </w:div>
        <w:div w:id="1209950732">
          <w:marLeft w:val="640"/>
          <w:marRight w:val="0"/>
          <w:marTop w:val="0"/>
          <w:marBottom w:val="0"/>
          <w:divBdr>
            <w:top w:val="none" w:sz="0" w:space="0" w:color="auto"/>
            <w:left w:val="none" w:sz="0" w:space="0" w:color="auto"/>
            <w:bottom w:val="none" w:sz="0" w:space="0" w:color="auto"/>
            <w:right w:val="none" w:sz="0" w:space="0" w:color="auto"/>
          </w:divBdr>
        </w:div>
        <w:div w:id="89157674">
          <w:marLeft w:val="640"/>
          <w:marRight w:val="0"/>
          <w:marTop w:val="0"/>
          <w:marBottom w:val="0"/>
          <w:divBdr>
            <w:top w:val="none" w:sz="0" w:space="0" w:color="auto"/>
            <w:left w:val="none" w:sz="0" w:space="0" w:color="auto"/>
            <w:bottom w:val="none" w:sz="0" w:space="0" w:color="auto"/>
            <w:right w:val="none" w:sz="0" w:space="0" w:color="auto"/>
          </w:divBdr>
        </w:div>
        <w:div w:id="310790042">
          <w:marLeft w:val="640"/>
          <w:marRight w:val="0"/>
          <w:marTop w:val="0"/>
          <w:marBottom w:val="0"/>
          <w:divBdr>
            <w:top w:val="none" w:sz="0" w:space="0" w:color="auto"/>
            <w:left w:val="none" w:sz="0" w:space="0" w:color="auto"/>
            <w:bottom w:val="none" w:sz="0" w:space="0" w:color="auto"/>
            <w:right w:val="none" w:sz="0" w:space="0" w:color="auto"/>
          </w:divBdr>
        </w:div>
        <w:div w:id="2113478229">
          <w:marLeft w:val="640"/>
          <w:marRight w:val="0"/>
          <w:marTop w:val="0"/>
          <w:marBottom w:val="0"/>
          <w:divBdr>
            <w:top w:val="none" w:sz="0" w:space="0" w:color="auto"/>
            <w:left w:val="none" w:sz="0" w:space="0" w:color="auto"/>
            <w:bottom w:val="none" w:sz="0" w:space="0" w:color="auto"/>
            <w:right w:val="none" w:sz="0" w:space="0" w:color="auto"/>
          </w:divBdr>
        </w:div>
        <w:div w:id="622805099">
          <w:marLeft w:val="640"/>
          <w:marRight w:val="0"/>
          <w:marTop w:val="0"/>
          <w:marBottom w:val="0"/>
          <w:divBdr>
            <w:top w:val="none" w:sz="0" w:space="0" w:color="auto"/>
            <w:left w:val="none" w:sz="0" w:space="0" w:color="auto"/>
            <w:bottom w:val="none" w:sz="0" w:space="0" w:color="auto"/>
            <w:right w:val="none" w:sz="0" w:space="0" w:color="auto"/>
          </w:divBdr>
        </w:div>
        <w:div w:id="1984893534">
          <w:marLeft w:val="640"/>
          <w:marRight w:val="0"/>
          <w:marTop w:val="0"/>
          <w:marBottom w:val="0"/>
          <w:divBdr>
            <w:top w:val="none" w:sz="0" w:space="0" w:color="auto"/>
            <w:left w:val="none" w:sz="0" w:space="0" w:color="auto"/>
            <w:bottom w:val="none" w:sz="0" w:space="0" w:color="auto"/>
            <w:right w:val="none" w:sz="0" w:space="0" w:color="auto"/>
          </w:divBdr>
        </w:div>
        <w:div w:id="900364012">
          <w:marLeft w:val="640"/>
          <w:marRight w:val="0"/>
          <w:marTop w:val="0"/>
          <w:marBottom w:val="0"/>
          <w:divBdr>
            <w:top w:val="none" w:sz="0" w:space="0" w:color="auto"/>
            <w:left w:val="none" w:sz="0" w:space="0" w:color="auto"/>
            <w:bottom w:val="none" w:sz="0" w:space="0" w:color="auto"/>
            <w:right w:val="none" w:sz="0" w:space="0" w:color="auto"/>
          </w:divBdr>
        </w:div>
        <w:div w:id="2008362784">
          <w:marLeft w:val="640"/>
          <w:marRight w:val="0"/>
          <w:marTop w:val="0"/>
          <w:marBottom w:val="0"/>
          <w:divBdr>
            <w:top w:val="none" w:sz="0" w:space="0" w:color="auto"/>
            <w:left w:val="none" w:sz="0" w:space="0" w:color="auto"/>
            <w:bottom w:val="none" w:sz="0" w:space="0" w:color="auto"/>
            <w:right w:val="none" w:sz="0" w:space="0" w:color="auto"/>
          </w:divBdr>
        </w:div>
        <w:div w:id="2102946653">
          <w:marLeft w:val="640"/>
          <w:marRight w:val="0"/>
          <w:marTop w:val="0"/>
          <w:marBottom w:val="0"/>
          <w:divBdr>
            <w:top w:val="none" w:sz="0" w:space="0" w:color="auto"/>
            <w:left w:val="none" w:sz="0" w:space="0" w:color="auto"/>
            <w:bottom w:val="none" w:sz="0" w:space="0" w:color="auto"/>
            <w:right w:val="none" w:sz="0" w:space="0" w:color="auto"/>
          </w:divBdr>
        </w:div>
        <w:div w:id="1880631550">
          <w:marLeft w:val="640"/>
          <w:marRight w:val="0"/>
          <w:marTop w:val="0"/>
          <w:marBottom w:val="0"/>
          <w:divBdr>
            <w:top w:val="none" w:sz="0" w:space="0" w:color="auto"/>
            <w:left w:val="none" w:sz="0" w:space="0" w:color="auto"/>
            <w:bottom w:val="none" w:sz="0" w:space="0" w:color="auto"/>
            <w:right w:val="none" w:sz="0" w:space="0" w:color="auto"/>
          </w:divBdr>
        </w:div>
        <w:div w:id="831608246">
          <w:marLeft w:val="640"/>
          <w:marRight w:val="0"/>
          <w:marTop w:val="0"/>
          <w:marBottom w:val="0"/>
          <w:divBdr>
            <w:top w:val="none" w:sz="0" w:space="0" w:color="auto"/>
            <w:left w:val="none" w:sz="0" w:space="0" w:color="auto"/>
            <w:bottom w:val="none" w:sz="0" w:space="0" w:color="auto"/>
            <w:right w:val="none" w:sz="0" w:space="0" w:color="auto"/>
          </w:divBdr>
        </w:div>
        <w:div w:id="1442724002">
          <w:marLeft w:val="640"/>
          <w:marRight w:val="0"/>
          <w:marTop w:val="0"/>
          <w:marBottom w:val="0"/>
          <w:divBdr>
            <w:top w:val="none" w:sz="0" w:space="0" w:color="auto"/>
            <w:left w:val="none" w:sz="0" w:space="0" w:color="auto"/>
            <w:bottom w:val="none" w:sz="0" w:space="0" w:color="auto"/>
            <w:right w:val="none" w:sz="0" w:space="0" w:color="auto"/>
          </w:divBdr>
        </w:div>
        <w:div w:id="613094941">
          <w:marLeft w:val="640"/>
          <w:marRight w:val="0"/>
          <w:marTop w:val="0"/>
          <w:marBottom w:val="0"/>
          <w:divBdr>
            <w:top w:val="none" w:sz="0" w:space="0" w:color="auto"/>
            <w:left w:val="none" w:sz="0" w:space="0" w:color="auto"/>
            <w:bottom w:val="none" w:sz="0" w:space="0" w:color="auto"/>
            <w:right w:val="none" w:sz="0" w:space="0" w:color="auto"/>
          </w:divBdr>
        </w:div>
        <w:div w:id="1596671433">
          <w:marLeft w:val="640"/>
          <w:marRight w:val="0"/>
          <w:marTop w:val="0"/>
          <w:marBottom w:val="0"/>
          <w:divBdr>
            <w:top w:val="none" w:sz="0" w:space="0" w:color="auto"/>
            <w:left w:val="none" w:sz="0" w:space="0" w:color="auto"/>
            <w:bottom w:val="none" w:sz="0" w:space="0" w:color="auto"/>
            <w:right w:val="none" w:sz="0" w:space="0" w:color="auto"/>
          </w:divBdr>
        </w:div>
        <w:div w:id="1257011394">
          <w:marLeft w:val="640"/>
          <w:marRight w:val="0"/>
          <w:marTop w:val="0"/>
          <w:marBottom w:val="0"/>
          <w:divBdr>
            <w:top w:val="none" w:sz="0" w:space="0" w:color="auto"/>
            <w:left w:val="none" w:sz="0" w:space="0" w:color="auto"/>
            <w:bottom w:val="none" w:sz="0" w:space="0" w:color="auto"/>
            <w:right w:val="none" w:sz="0" w:space="0" w:color="auto"/>
          </w:divBdr>
        </w:div>
        <w:div w:id="1393045789">
          <w:marLeft w:val="640"/>
          <w:marRight w:val="0"/>
          <w:marTop w:val="0"/>
          <w:marBottom w:val="0"/>
          <w:divBdr>
            <w:top w:val="none" w:sz="0" w:space="0" w:color="auto"/>
            <w:left w:val="none" w:sz="0" w:space="0" w:color="auto"/>
            <w:bottom w:val="none" w:sz="0" w:space="0" w:color="auto"/>
            <w:right w:val="none" w:sz="0" w:space="0" w:color="auto"/>
          </w:divBdr>
        </w:div>
        <w:div w:id="691539472">
          <w:marLeft w:val="640"/>
          <w:marRight w:val="0"/>
          <w:marTop w:val="0"/>
          <w:marBottom w:val="0"/>
          <w:divBdr>
            <w:top w:val="none" w:sz="0" w:space="0" w:color="auto"/>
            <w:left w:val="none" w:sz="0" w:space="0" w:color="auto"/>
            <w:bottom w:val="none" w:sz="0" w:space="0" w:color="auto"/>
            <w:right w:val="none" w:sz="0" w:space="0" w:color="auto"/>
          </w:divBdr>
        </w:div>
        <w:div w:id="394593935">
          <w:marLeft w:val="640"/>
          <w:marRight w:val="0"/>
          <w:marTop w:val="0"/>
          <w:marBottom w:val="0"/>
          <w:divBdr>
            <w:top w:val="none" w:sz="0" w:space="0" w:color="auto"/>
            <w:left w:val="none" w:sz="0" w:space="0" w:color="auto"/>
            <w:bottom w:val="none" w:sz="0" w:space="0" w:color="auto"/>
            <w:right w:val="none" w:sz="0" w:space="0" w:color="auto"/>
          </w:divBdr>
        </w:div>
        <w:div w:id="428739778">
          <w:marLeft w:val="640"/>
          <w:marRight w:val="0"/>
          <w:marTop w:val="0"/>
          <w:marBottom w:val="0"/>
          <w:divBdr>
            <w:top w:val="none" w:sz="0" w:space="0" w:color="auto"/>
            <w:left w:val="none" w:sz="0" w:space="0" w:color="auto"/>
            <w:bottom w:val="none" w:sz="0" w:space="0" w:color="auto"/>
            <w:right w:val="none" w:sz="0" w:space="0" w:color="auto"/>
          </w:divBdr>
        </w:div>
        <w:div w:id="217909079">
          <w:marLeft w:val="640"/>
          <w:marRight w:val="0"/>
          <w:marTop w:val="0"/>
          <w:marBottom w:val="0"/>
          <w:divBdr>
            <w:top w:val="none" w:sz="0" w:space="0" w:color="auto"/>
            <w:left w:val="none" w:sz="0" w:space="0" w:color="auto"/>
            <w:bottom w:val="none" w:sz="0" w:space="0" w:color="auto"/>
            <w:right w:val="none" w:sz="0" w:space="0" w:color="auto"/>
          </w:divBdr>
        </w:div>
        <w:div w:id="335768855">
          <w:marLeft w:val="640"/>
          <w:marRight w:val="0"/>
          <w:marTop w:val="0"/>
          <w:marBottom w:val="0"/>
          <w:divBdr>
            <w:top w:val="none" w:sz="0" w:space="0" w:color="auto"/>
            <w:left w:val="none" w:sz="0" w:space="0" w:color="auto"/>
            <w:bottom w:val="none" w:sz="0" w:space="0" w:color="auto"/>
            <w:right w:val="none" w:sz="0" w:space="0" w:color="auto"/>
          </w:divBdr>
        </w:div>
        <w:div w:id="1058867901">
          <w:marLeft w:val="640"/>
          <w:marRight w:val="0"/>
          <w:marTop w:val="0"/>
          <w:marBottom w:val="0"/>
          <w:divBdr>
            <w:top w:val="none" w:sz="0" w:space="0" w:color="auto"/>
            <w:left w:val="none" w:sz="0" w:space="0" w:color="auto"/>
            <w:bottom w:val="none" w:sz="0" w:space="0" w:color="auto"/>
            <w:right w:val="none" w:sz="0" w:space="0" w:color="auto"/>
          </w:divBdr>
        </w:div>
        <w:div w:id="2071035049">
          <w:marLeft w:val="640"/>
          <w:marRight w:val="0"/>
          <w:marTop w:val="0"/>
          <w:marBottom w:val="0"/>
          <w:divBdr>
            <w:top w:val="none" w:sz="0" w:space="0" w:color="auto"/>
            <w:left w:val="none" w:sz="0" w:space="0" w:color="auto"/>
            <w:bottom w:val="none" w:sz="0" w:space="0" w:color="auto"/>
            <w:right w:val="none" w:sz="0" w:space="0" w:color="auto"/>
          </w:divBdr>
        </w:div>
        <w:div w:id="156503490">
          <w:marLeft w:val="640"/>
          <w:marRight w:val="0"/>
          <w:marTop w:val="0"/>
          <w:marBottom w:val="0"/>
          <w:divBdr>
            <w:top w:val="none" w:sz="0" w:space="0" w:color="auto"/>
            <w:left w:val="none" w:sz="0" w:space="0" w:color="auto"/>
            <w:bottom w:val="none" w:sz="0" w:space="0" w:color="auto"/>
            <w:right w:val="none" w:sz="0" w:space="0" w:color="auto"/>
          </w:divBdr>
        </w:div>
        <w:div w:id="1576939097">
          <w:marLeft w:val="640"/>
          <w:marRight w:val="0"/>
          <w:marTop w:val="0"/>
          <w:marBottom w:val="0"/>
          <w:divBdr>
            <w:top w:val="none" w:sz="0" w:space="0" w:color="auto"/>
            <w:left w:val="none" w:sz="0" w:space="0" w:color="auto"/>
            <w:bottom w:val="none" w:sz="0" w:space="0" w:color="auto"/>
            <w:right w:val="none" w:sz="0" w:space="0" w:color="auto"/>
          </w:divBdr>
        </w:div>
        <w:div w:id="452943848">
          <w:marLeft w:val="640"/>
          <w:marRight w:val="0"/>
          <w:marTop w:val="0"/>
          <w:marBottom w:val="0"/>
          <w:divBdr>
            <w:top w:val="none" w:sz="0" w:space="0" w:color="auto"/>
            <w:left w:val="none" w:sz="0" w:space="0" w:color="auto"/>
            <w:bottom w:val="none" w:sz="0" w:space="0" w:color="auto"/>
            <w:right w:val="none" w:sz="0" w:space="0" w:color="auto"/>
          </w:divBdr>
        </w:div>
        <w:div w:id="2035419480">
          <w:marLeft w:val="640"/>
          <w:marRight w:val="0"/>
          <w:marTop w:val="0"/>
          <w:marBottom w:val="0"/>
          <w:divBdr>
            <w:top w:val="none" w:sz="0" w:space="0" w:color="auto"/>
            <w:left w:val="none" w:sz="0" w:space="0" w:color="auto"/>
            <w:bottom w:val="none" w:sz="0" w:space="0" w:color="auto"/>
            <w:right w:val="none" w:sz="0" w:space="0" w:color="auto"/>
          </w:divBdr>
        </w:div>
        <w:div w:id="183910714">
          <w:marLeft w:val="640"/>
          <w:marRight w:val="0"/>
          <w:marTop w:val="0"/>
          <w:marBottom w:val="0"/>
          <w:divBdr>
            <w:top w:val="none" w:sz="0" w:space="0" w:color="auto"/>
            <w:left w:val="none" w:sz="0" w:space="0" w:color="auto"/>
            <w:bottom w:val="none" w:sz="0" w:space="0" w:color="auto"/>
            <w:right w:val="none" w:sz="0" w:space="0" w:color="auto"/>
          </w:divBdr>
        </w:div>
        <w:div w:id="1461680484">
          <w:marLeft w:val="640"/>
          <w:marRight w:val="0"/>
          <w:marTop w:val="0"/>
          <w:marBottom w:val="0"/>
          <w:divBdr>
            <w:top w:val="none" w:sz="0" w:space="0" w:color="auto"/>
            <w:left w:val="none" w:sz="0" w:space="0" w:color="auto"/>
            <w:bottom w:val="none" w:sz="0" w:space="0" w:color="auto"/>
            <w:right w:val="none" w:sz="0" w:space="0" w:color="auto"/>
          </w:divBdr>
        </w:div>
        <w:div w:id="784272965">
          <w:marLeft w:val="640"/>
          <w:marRight w:val="0"/>
          <w:marTop w:val="0"/>
          <w:marBottom w:val="0"/>
          <w:divBdr>
            <w:top w:val="none" w:sz="0" w:space="0" w:color="auto"/>
            <w:left w:val="none" w:sz="0" w:space="0" w:color="auto"/>
            <w:bottom w:val="none" w:sz="0" w:space="0" w:color="auto"/>
            <w:right w:val="none" w:sz="0" w:space="0" w:color="auto"/>
          </w:divBdr>
        </w:div>
        <w:div w:id="113139401">
          <w:marLeft w:val="640"/>
          <w:marRight w:val="0"/>
          <w:marTop w:val="0"/>
          <w:marBottom w:val="0"/>
          <w:divBdr>
            <w:top w:val="none" w:sz="0" w:space="0" w:color="auto"/>
            <w:left w:val="none" w:sz="0" w:space="0" w:color="auto"/>
            <w:bottom w:val="none" w:sz="0" w:space="0" w:color="auto"/>
            <w:right w:val="none" w:sz="0" w:space="0" w:color="auto"/>
          </w:divBdr>
        </w:div>
        <w:div w:id="1609502130">
          <w:marLeft w:val="640"/>
          <w:marRight w:val="0"/>
          <w:marTop w:val="0"/>
          <w:marBottom w:val="0"/>
          <w:divBdr>
            <w:top w:val="none" w:sz="0" w:space="0" w:color="auto"/>
            <w:left w:val="none" w:sz="0" w:space="0" w:color="auto"/>
            <w:bottom w:val="none" w:sz="0" w:space="0" w:color="auto"/>
            <w:right w:val="none" w:sz="0" w:space="0" w:color="auto"/>
          </w:divBdr>
        </w:div>
        <w:div w:id="1844780795">
          <w:marLeft w:val="640"/>
          <w:marRight w:val="0"/>
          <w:marTop w:val="0"/>
          <w:marBottom w:val="0"/>
          <w:divBdr>
            <w:top w:val="none" w:sz="0" w:space="0" w:color="auto"/>
            <w:left w:val="none" w:sz="0" w:space="0" w:color="auto"/>
            <w:bottom w:val="none" w:sz="0" w:space="0" w:color="auto"/>
            <w:right w:val="none" w:sz="0" w:space="0" w:color="auto"/>
          </w:divBdr>
        </w:div>
        <w:div w:id="591664437">
          <w:marLeft w:val="640"/>
          <w:marRight w:val="0"/>
          <w:marTop w:val="0"/>
          <w:marBottom w:val="0"/>
          <w:divBdr>
            <w:top w:val="none" w:sz="0" w:space="0" w:color="auto"/>
            <w:left w:val="none" w:sz="0" w:space="0" w:color="auto"/>
            <w:bottom w:val="none" w:sz="0" w:space="0" w:color="auto"/>
            <w:right w:val="none" w:sz="0" w:space="0" w:color="auto"/>
          </w:divBdr>
        </w:div>
        <w:div w:id="728308595">
          <w:marLeft w:val="640"/>
          <w:marRight w:val="0"/>
          <w:marTop w:val="0"/>
          <w:marBottom w:val="0"/>
          <w:divBdr>
            <w:top w:val="none" w:sz="0" w:space="0" w:color="auto"/>
            <w:left w:val="none" w:sz="0" w:space="0" w:color="auto"/>
            <w:bottom w:val="none" w:sz="0" w:space="0" w:color="auto"/>
            <w:right w:val="none" w:sz="0" w:space="0" w:color="auto"/>
          </w:divBdr>
        </w:div>
        <w:div w:id="663313153">
          <w:marLeft w:val="640"/>
          <w:marRight w:val="0"/>
          <w:marTop w:val="0"/>
          <w:marBottom w:val="0"/>
          <w:divBdr>
            <w:top w:val="none" w:sz="0" w:space="0" w:color="auto"/>
            <w:left w:val="none" w:sz="0" w:space="0" w:color="auto"/>
            <w:bottom w:val="none" w:sz="0" w:space="0" w:color="auto"/>
            <w:right w:val="none" w:sz="0" w:space="0" w:color="auto"/>
          </w:divBdr>
        </w:div>
        <w:div w:id="1677145935">
          <w:marLeft w:val="640"/>
          <w:marRight w:val="0"/>
          <w:marTop w:val="0"/>
          <w:marBottom w:val="0"/>
          <w:divBdr>
            <w:top w:val="none" w:sz="0" w:space="0" w:color="auto"/>
            <w:left w:val="none" w:sz="0" w:space="0" w:color="auto"/>
            <w:bottom w:val="none" w:sz="0" w:space="0" w:color="auto"/>
            <w:right w:val="none" w:sz="0" w:space="0" w:color="auto"/>
          </w:divBdr>
        </w:div>
        <w:div w:id="1823083332">
          <w:marLeft w:val="640"/>
          <w:marRight w:val="0"/>
          <w:marTop w:val="0"/>
          <w:marBottom w:val="0"/>
          <w:divBdr>
            <w:top w:val="none" w:sz="0" w:space="0" w:color="auto"/>
            <w:left w:val="none" w:sz="0" w:space="0" w:color="auto"/>
            <w:bottom w:val="none" w:sz="0" w:space="0" w:color="auto"/>
            <w:right w:val="none" w:sz="0" w:space="0" w:color="auto"/>
          </w:divBdr>
        </w:div>
        <w:div w:id="742341467">
          <w:marLeft w:val="640"/>
          <w:marRight w:val="0"/>
          <w:marTop w:val="0"/>
          <w:marBottom w:val="0"/>
          <w:divBdr>
            <w:top w:val="none" w:sz="0" w:space="0" w:color="auto"/>
            <w:left w:val="none" w:sz="0" w:space="0" w:color="auto"/>
            <w:bottom w:val="none" w:sz="0" w:space="0" w:color="auto"/>
            <w:right w:val="none" w:sz="0" w:space="0" w:color="auto"/>
          </w:divBdr>
        </w:div>
        <w:div w:id="964585393">
          <w:marLeft w:val="640"/>
          <w:marRight w:val="0"/>
          <w:marTop w:val="0"/>
          <w:marBottom w:val="0"/>
          <w:divBdr>
            <w:top w:val="none" w:sz="0" w:space="0" w:color="auto"/>
            <w:left w:val="none" w:sz="0" w:space="0" w:color="auto"/>
            <w:bottom w:val="none" w:sz="0" w:space="0" w:color="auto"/>
            <w:right w:val="none" w:sz="0" w:space="0" w:color="auto"/>
          </w:divBdr>
        </w:div>
        <w:div w:id="550963665">
          <w:marLeft w:val="640"/>
          <w:marRight w:val="0"/>
          <w:marTop w:val="0"/>
          <w:marBottom w:val="0"/>
          <w:divBdr>
            <w:top w:val="none" w:sz="0" w:space="0" w:color="auto"/>
            <w:left w:val="none" w:sz="0" w:space="0" w:color="auto"/>
            <w:bottom w:val="none" w:sz="0" w:space="0" w:color="auto"/>
            <w:right w:val="none" w:sz="0" w:space="0" w:color="auto"/>
          </w:divBdr>
        </w:div>
        <w:div w:id="354501282">
          <w:marLeft w:val="640"/>
          <w:marRight w:val="0"/>
          <w:marTop w:val="0"/>
          <w:marBottom w:val="0"/>
          <w:divBdr>
            <w:top w:val="none" w:sz="0" w:space="0" w:color="auto"/>
            <w:left w:val="none" w:sz="0" w:space="0" w:color="auto"/>
            <w:bottom w:val="none" w:sz="0" w:space="0" w:color="auto"/>
            <w:right w:val="none" w:sz="0" w:space="0" w:color="auto"/>
          </w:divBdr>
        </w:div>
        <w:div w:id="1806775136">
          <w:marLeft w:val="640"/>
          <w:marRight w:val="0"/>
          <w:marTop w:val="0"/>
          <w:marBottom w:val="0"/>
          <w:divBdr>
            <w:top w:val="none" w:sz="0" w:space="0" w:color="auto"/>
            <w:left w:val="none" w:sz="0" w:space="0" w:color="auto"/>
            <w:bottom w:val="none" w:sz="0" w:space="0" w:color="auto"/>
            <w:right w:val="none" w:sz="0" w:space="0" w:color="auto"/>
          </w:divBdr>
        </w:div>
        <w:div w:id="2129813677">
          <w:marLeft w:val="640"/>
          <w:marRight w:val="0"/>
          <w:marTop w:val="0"/>
          <w:marBottom w:val="0"/>
          <w:divBdr>
            <w:top w:val="none" w:sz="0" w:space="0" w:color="auto"/>
            <w:left w:val="none" w:sz="0" w:space="0" w:color="auto"/>
            <w:bottom w:val="none" w:sz="0" w:space="0" w:color="auto"/>
            <w:right w:val="none" w:sz="0" w:space="0" w:color="auto"/>
          </w:divBdr>
        </w:div>
        <w:div w:id="1694960277">
          <w:marLeft w:val="640"/>
          <w:marRight w:val="0"/>
          <w:marTop w:val="0"/>
          <w:marBottom w:val="0"/>
          <w:divBdr>
            <w:top w:val="none" w:sz="0" w:space="0" w:color="auto"/>
            <w:left w:val="none" w:sz="0" w:space="0" w:color="auto"/>
            <w:bottom w:val="none" w:sz="0" w:space="0" w:color="auto"/>
            <w:right w:val="none" w:sz="0" w:space="0" w:color="auto"/>
          </w:divBdr>
        </w:div>
        <w:div w:id="269167855">
          <w:marLeft w:val="640"/>
          <w:marRight w:val="0"/>
          <w:marTop w:val="0"/>
          <w:marBottom w:val="0"/>
          <w:divBdr>
            <w:top w:val="none" w:sz="0" w:space="0" w:color="auto"/>
            <w:left w:val="none" w:sz="0" w:space="0" w:color="auto"/>
            <w:bottom w:val="none" w:sz="0" w:space="0" w:color="auto"/>
            <w:right w:val="none" w:sz="0" w:space="0" w:color="auto"/>
          </w:divBdr>
        </w:div>
        <w:div w:id="1339116956">
          <w:marLeft w:val="640"/>
          <w:marRight w:val="0"/>
          <w:marTop w:val="0"/>
          <w:marBottom w:val="0"/>
          <w:divBdr>
            <w:top w:val="none" w:sz="0" w:space="0" w:color="auto"/>
            <w:left w:val="none" w:sz="0" w:space="0" w:color="auto"/>
            <w:bottom w:val="none" w:sz="0" w:space="0" w:color="auto"/>
            <w:right w:val="none" w:sz="0" w:space="0" w:color="auto"/>
          </w:divBdr>
        </w:div>
        <w:div w:id="109982095">
          <w:marLeft w:val="640"/>
          <w:marRight w:val="0"/>
          <w:marTop w:val="0"/>
          <w:marBottom w:val="0"/>
          <w:divBdr>
            <w:top w:val="none" w:sz="0" w:space="0" w:color="auto"/>
            <w:left w:val="none" w:sz="0" w:space="0" w:color="auto"/>
            <w:bottom w:val="none" w:sz="0" w:space="0" w:color="auto"/>
            <w:right w:val="none" w:sz="0" w:space="0" w:color="auto"/>
          </w:divBdr>
        </w:div>
        <w:div w:id="1579903384">
          <w:marLeft w:val="640"/>
          <w:marRight w:val="0"/>
          <w:marTop w:val="0"/>
          <w:marBottom w:val="0"/>
          <w:divBdr>
            <w:top w:val="none" w:sz="0" w:space="0" w:color="auto"/>
            <w:left w:val="none" w:sz="0" w:space="0" w:color="auto"/>
            <w:bottom w:val="none" w:sz="0" w:space="0" w:color="auto"/>
            <w:right w:val="none" w:sz="0" w:space="0" w:color="auto"/>
          </w:divBdr>
        </w:div>
        <w:div w:id="177085311">
          <w:marLeft w:val="640"/>
          <w:marRight w:val="0"/>
          <w:marTop w:val="0"/>
          <w:marBottom w:val="0"/>
          <w:divBdr>
            <w:top w:val="none" w:sz="0" w:space="0" w:color="auto"/>
            <w:left w:val="none" w:sz="0" w:space="0" w:color="auto"/>
            <w:bottom w:val="none" w:sz="0" w:space="0" w:color="auto"/>
            <w:right w:val="none" w:sz="0" w:space="0" w:color="auto"/>
          </w:divBdr>
        </w:div>
        <w:div w:id="1769227017">
          <w:marLeft w:val="640"/>
          <w:marRight w:val="0"/>
          <w:marTop w:val="0"/>
          <w:marBottom w:val="0"/>
          <w:divBdr>
            <w:top w:val="none" w:sz="0" w:space="0" w:color="auto"/>
            <w:left w:val="none" w:sz="0" w:space="0" w:color="auto"/>
            <w:bottom w:val="none" w:sz="0" w:space="0" w:color="auto"/>
            <w:right w:val="none" w:sz="0" w:space="0" w:color="auto"/>
          </w:divBdr>
        </w:div>
        <w:div w:id="1238393869">
          <w:marLeft w:val="640"/>
          <w:marRight w:val="0"/>
          <w:marTop w:val="0"/>
          <w:marBottom w:val="0"/>
          <w:divBdr>
            <w:top w:val="none" w:sz="0" w:space="0" w:color="auto"/>
            <w:left w:val="none" w:sz="0" w:space="0" w:color="auto"/>
            <w:bottom w:val="none" w:sz="0" w:space="0" w:color="auto"/>
            <w:right w:val="none" w:sz="0" w:space="0" w:color="auto"/>
          </w:divBdr>
        </w:div>
        <w:div w:id="1638728905">
          <w:marLeft w:val="640"/>
          <w:marRight w:val="0"/>
          <w:marTop w:val="0"/>
          <w:marBottom w:val="0"/>
          <w:divBdr>
            <w:top w:val="none" w:sz="0" w:space="0" w:color="auto"/>
            <w:left w:val="none" w:sz="0" w:space="0" w:color="auto"/>
            <w:bottom w:val="none" w:sz="0" w:space="0" w:color="auto"/>
            <w:right w:val="none" w:sz="0" w:space="0" w:color="auto"/>
          </w:divBdr>
        </w:div>
        <w:div w:id="701129533">
          <w:marLeft w:val="640"/>
          <w:marRight w:val="0"/>
          <w:marTop w:val="0"/>
          <w:marBottom w:val="0"/>
          <w:divBdr>
            <w:top w:val="none" w:sz="0" w:space="0" w:color="auto"/>
            <w:left w:val="none" w:sz="0" w:space="0" w:color="auto"/>
            <w:bottom w:val="none" w:sz="0" w:space="0" w:color="auto"/>
            <w:right w:val="none" w:sz="0" w:space="0" w:color="auto"/>
          </w:divBdr>
        </w:div>
        <w:div w:id="1368144163">
          <w:marLeft w:val="640"/>
          <w:marRight w:val="0"/>
          <w:marTop w:val="0"/>
          <w:marBottom w:val="0"/>
          <w:divBdr>
            <w:top w:val="none" w:sz="0" w:space="0" w:color="auto"/>
            <w:left w:val="none" w:sz="0" w:space="0" w:color="auto"/>
            <w:bottom w:val="none" w:sz="0" w:space="0" w:color="auto"/>
            <w:right w:val="none" w:sz="0" w:space="0" w:color="auto"/>
          </w:divBdr>
        </w:div>
        <w:div w:id="349373776">
          <w:marLeft w:val="640"/>
          <w:marRight w:val="0"/>
          <w:marTop w:val="0"/>
          <w:marBottom w:val="0"/>
          <w:divBdr>
            <w:top w:val="none" w:sz="0" w:space="0" w:color="auto"/>
            <w:left w:val="none" w:sz="0" w:space="0" w:color="auto"/>
            <w:bottom w:val="none" w:sz="0" w:space="0" w:color="auto"/>
            <w:right w:val="none" w:sz="0" w:space="0" w:color="auto"/>
          </w:divBdr>
        </w:div>
        <w:div w:id="1442841494">
          <w:marLeft w:val="640"/>
          <w:marRight w:val="0"/>
          <w:marTop w:val="0"/>
          <w:marBottom w:val="0"/>
          <w:divBdr>
            <w:top w:val="none" w:sz="0" w:space="0" w:color="auto"/>
            <w:left w:val="none" w:sz="0" w:space="0" w:color="auto"/>
            <w:bottom w:val="none" w:sz="0" w:space="0" w:color="auto"/>
            <w:right w:val="none" w:sz="0" w:space="0" w:color="auto"/>
          </w:divBdr>
        </w:div>
        <w:div w:id="743572169">
          <w:marLeft w:val="640"/>
          <w:marRight w:val="0"/>
          <w:marTop w:val="0"/>
          <w:marBottom w:val="0"/>
          <w:divBdr>
            <w:top w:val="none" w:sz="0" w:space="0" w:color="auto"/>
            <w:left w:val="none" w:sz="0" w:space="0" w:color="auto"/>
            <w:bottom w:val="none" w:sz="0" w:space="0" w:color="auto"/>
            <w:right w:val="none" w:sz="0" w:space="0" w:color="auto"/>
          </w:divBdr>
        </w:div>
        <w:div w:id="1443650718">
          <w:marLeft w:val="640"/>
          <w:marRight w:val="0"/>
          <w:marTop w:val="0"/>
          <w:marBottom w:val="0"/>
          <w:divBdr>
            <w:top w:val="none" w:sz="0" w:space="0" w:color="auto"/>
            <w:left w:val="none" w:sz="0" w:space="0" w:color="auto"/>
            <w:bottom w:val="none" w:sz="0" w:space="0" w:color="auto"/>
            <w:right w:val="none" w:sz="0" w:space="0" w:color="auto"/>
          </w:divBdr>
        </w:div>
        <w:div w:id="1284730475">
          <w:marLeft w:val="640"/>
          <w:marRight w:val="0"/>
          <w:marTop w:val="0"/>
          <w:marBottom w:val="0"/>
          <w:divBdr>
            <w:top w:val="none" w:sz="0" w:space="0" w:color="auto"/>
            <w:left w:val="none" w:sz="0" w:space="0" w:color="auto"/>
            <w:bottom w:val="none" w:sz="0" w:space="0" w:color="auto"/>
            <w:right w:val="none" w:sz="0" w:space="0" w:color="auto"/>
          </w:divBdr>
        </w:div>
        <w:div w:id="809906966">
          <w:marLeft w:val="640"/>
          <w:marRight w:val="0"/>
          <w:marTop w:val="0"/>
          <w:marBottom w:val="0"/>
          <w:divBdr>
            <w:top w:val="none" w:sz="0" w:space="0" w:color="auto"/>
            <w:left w:val="none" w:sz="0" w:space="0" w:color="auto"/>
            <w:bottom w:val="none" w:sz="0" w:space="0" w:color="auto"/>
            <w:right w:val="none" w:sz="0" w:space="0" w:color="auto"/>
          </w:divBdr>
        </w:div>
        <w:div w:id="1959678652">
          <w:marLeft w:val="640"/>
          <w:marRight w:val="0"/>
          <w:marTop w:val="0"/>
          <w:marBottom w:val="0"/>
          <w:divBdr>
            <w:top w:val="none" w:sz="0" w:space="0" w:color="auto"/>
            <w:left w:val="none" w:sz="0" w:space="0" w:color="auto"/>
            <w:bottom w:val="none" w:sz="0" w:space="0" w:color="auto"/>
            <w:right w:val="none" w:sz="0" w:space="0" w:color="auto"/>
          </w:divBdr>
        </w:div>
        <w:div w:id="73745205">
          <w:marLeft w:val="640"/>
          <w:marRight w:val="0"/>
          <w:marTop w:val="0"/>
          <w:marBottom w:val="0"/>
          <w:divBdr>
            <w:top w:val="none" w:sz="0" w:space="0" w:color="auto"/>
            <w:left w:val="none" w:sz="0" w:space="0" w:color="auto"/>
            <w:bottom w:val="none" w:sz="0" w:space="0" w:color="auto"/>
            <w:right w:val="none" w:sz="0" w:space="0" w:color="auto"/>
          </w:divBdr>
        </w:div>
        <w:div w:id="1651592796">
          <w:marLeft w:val="640"/>
          <w:marRight w:val="0"/>
          <w:marTop w:val="0"/>
          <w:marBottom w:val="0"/>
          <w:divBdr>
            <w:top w:val="none" w:sz="0" w:space="0" w:color="auto"/>
            <w:left w:val="none" w:sz="0" w:space="0" w:color="auto"/>
            <w:bottom w:val="none" w:sz="0" w:space="0" w:color="auto"/>
            <w:right w:val="none" w:sz="0" w:space="0" w:color="auto"/>
          </w:divBdr>
        </w:div>
        <w:div w:id="760025525">
          <w:marLeft w:val="640"/>
          <w:marRight w:val="0"/>
          <w:marTop w:val="0"/>
          <w:marBottom w:val="0"/>
          <w:divBdr>
            <w:top w:val="none" w:sz="0" w:space="0" w:color="auto"/>
            <w:left w:val="none" w:sz="0" w:space="0" w:color="auto"/>
            <w:bottom w:val="none" w:sz="0" w:space="0" w:color="auto"/>
            <w:right w:val="none" w:sz="0" w:space="0" w:color="auto"/>
          </w:divBdr>
        </w:div>
        <w:div w:id="1763063748">
          <w:marLeft w:val="640"/>
          <w:marRight w:val="0"/>
          <w:marTop w:val="0"/>
          <w:marBottom w:val="0"/>
          <w:divBdr>
            <w:top w:val="none" w:sz="0" w:space="0" w:color="auto"/>
            <w:left w:val="none" w:sz="0" w:space="0" w:color="auto"/>
            <w:bottom w:val="none" w:sz="0" w:space="0" w:color="auto"/>
            <w:right w:val="none" w:sz="0" w:space="0" w:color="auto"/>
          </w:divBdr>
        </w:div>
        <w:div w:id="1657800461">
          <w:marLeft w:val="640"/>
          <w:marRight w:val="0"/>
          <w:marTop w:val="0"/>
          <w:marBottom w:val="0"/>
          <w:divBdr>
            <w:top w:val="none" w:sz="0" w:space="0" w:color="auto"/>
            <w:left w:val="none" w:sz="0" w:space="0" w:color="auto"/>
            <w:bottom w:val="none" w:sz="0" w:space="0" w:color="auto"/>
            <w:right w:val="none" w:sz="0" w:space="0" w:color="auto"/>
          </w:divBdr>
        </w:div>
        <w:div w:id="1956449262">
          <w:marLeft w:val="640"/>
          <w:marRight w:val="0"/>
          <w:marTop w:val="0"/>
          <w:marBottom w:val="0"/>
          <w:divBdr>
            <w:top w:val="none" w:sz="0" w:space="0" w:color="auto"/>
            <w:left w:val="none" w:sz="0" w:space="0" w:color="auto"/>
            <w:bottom w:val="none" w:sz="0" w:space="0" w:color="auto"/>
            <w:right w:val="none" w:sz="0" w:space="0" w:color="auto"/>
          </w:divBdr>
        </w:div>
        <w:div w:id="833568743">
          <w:marLeft w:val="640"/>
          <w:marRight w:val="0"/>
          <w:marTop w:val="0"/>
          <w:marBottom w:val="0"/>
          <w:divBdr>
            <w:top w:val="none" w:sz="0" w:space="0" w:color="auto"/>
            <w:left w:val="none" w:sz="0" w:space="0" w:color="auto"/>
            <w:bottom w:val="none" w:sz="0" w:space="0" w:color="auto"/>
            <w:right w:val="none" w:sz="0" w:space="0" w:color="auto"/>
          </w:divBdr>
        </w:div>
        <w:div w:id="178398123">
          <w:marLeft w:val="640"/>
          <w:marRight w:val="0"/>
          <w:marTop w:val="0"/>
          <w:marBottom w:val="0"/>
          <w:divBdr>
            <w:top w:val="none" w:sz="0" w:space="0" w:color="auto"/>
            <w:left w:val="none" w:sz="0" w:space="0" w:color="auto"/>
            <w:bottom w:val="none" w:sz="0" w:space="0" w:color="auto"/>
            <w:right w:val="none" w:sz="0" w:space="0" w:color="auto"/>
          </w:divBdr>
        </w:div>
        <w:div w:id="1851677584">
          <w:marLeft w:val="640"/>
          <w:marRight w:val="0"/>
          <w:marTop w:val="0"/>
          <w:marBottom w:val="0"/>
          <w:divBdr>
            <w:top w:val="none" w:sz="0" w:space="0" w:color="auto"/>
            <w:left w:val="none" w:sz="0" w:space="0" w:color="auto"/>
            <w:bottom w:val="none" w:sz="0" w:space="0" w:color="auto"/>
            <w:right w:val="none" w:sz="0" w:space="0" w:color="auto"/>
          </w:divBdr>
        </w:div>
        <w:div w:id="966740372">
          <w:marLeft w:val="640"/>
          <w:marRight w:val="0"/>
          <w:marTop w:val="0"/>
          <w:marBottom w:val="0"/>
          <w:divBdr>
            <w:top w:val="none" w:sz="0" w:space="0" w:color="auto"/>
            <w:left w:val="none" w:sz="0" w:space="0" w:color="auto"/>
            <w:bottom w:val="none" w:sz="0" w:space="0" w:color="auto"/>
            <w:right w:val="none" w:sz="0" w:space="0" w:color="auto"/>
          </w:divBdr>
        </w:div>
        <w:div w:id="1480608446">
          <w:marLeft w:val="640"/>
          <w:marRight w:val="0"/>
          <w:marTop w:val="0"/>
          <w:marBottom w:val="0"/>
          <w:divBdr>
            <w:top w:val="none" w:sz="0" w:space="0" w:color="auto"/>
            <w:left w:val="none" w:sz="0" w:space="0" w:color="auto"/>
            <w:bottom w:val="none" w:sz="0" w:space="0" w:color="auto"/>
            <w:right w:val="none" w:sz="0" w:space="0" w:color="auto"/>
          </w:divBdr>
        </w:div>
        <w:div w:id="1832789173">
          <w:marLeft w:val="640"/>
          <w:marRight w:val="0"/>
          <w:marTop w:val="0"/>
          <w:marBottom w:val="0"/>
          <w:divBdr>
            <w:top w:val="none" w:sz="0" w:space="0" w:color="auto"/>
            <w:left w:val="none" w:sz="0" w:space="0" w:color="auto"/>
            <w:bottom w:val="none" w:sz="0" w:space="0" w:color="auto"/>
            <w:right w:val="none" w:sz="0" w:space="0" w:color="auto"/>
          </w:divBdr>
        </w:div>
        <w:div w:id="1240167885">
          <w:marLeft w:val="640"/>
          <w:marRight w:val="0"/>
          <w:marTop w:val="0"/>
          <w:marBottom w:val="0"/>
          <w:divBdr>
            <w:top w:val="none" w:sz="0" w:space="0" w:color="auto"/>
            <w:left w:val="none" w:sz="0" w:space="0" w:color="auto"/>
            <w:bottom w:val="none" w:sz="0" w:space="0" w:color="auto"/>
            <w:right w:val="none" w:sz="0" w:space="0" w:color="auto"/>
          </w:divBdr>
        </w:div>
        <w:div w:id="1718045936">
          <w:marLeft w:val="640"/>
          <w:marRight w:val="0"/>
          <w:marTop w:val="0"/>
          <w:marBottom w:val="0"/>
          <w:divBdr>
            <w:top w:val="none" w:sz="0" w:space="0" w:color="auto"/>
            <w:left w:val="none" w:sz="0" w:space="0" w:color="auto"/>
            <w:bottom w:val="none" w:sz="0" w:space="0" w:color="auto"/>
            <w:right w:val="none" w:sz="0" w:space="0" w:color="auto"/>
          </w:divBdr>
        </w:div>
        <w:div w:id="854228893">
          <w:marLeft w:val="640"/>
          <w:marRight w:val="0"/>
          <w:marTop w:val="0"/>
          <w:marBottom w:val="0"/>
          <w:divBdr>
            <w:top w:val="none" w:sz="0" w:space="0" w:color="auto"/>
            <w:left w:val="none" w:sz="0" w:space="0" w:color="auto"/>
            <w:bottom w:val="none" w:sz="0" w:space="0" w:color="auto"/>
            <w:right w:val="none" w:sz="0" w:space="0" w:color="auto"/>
          </w:divBdr>
        </w:div>
        <w:div w:id="1546334147">
          <w:marLeft w:val="640"/>
          <w:marRight w:val="0"/>
          <w:marTop w:val="0"/>
          <w:marBottom w:val="0"/>
          <w:divBdr>
            <w:top w:val="none" w:sz="0" w:space="0" w:color="auto"/>
            <w:left w:val="none" w:sz="0" w:space="0" w:color="auto"/>
            <w:bottom w:val="none" w:sz="0" w:space="0" w:color="auto"/>
            <w:right w:val="none" w:sz="0" w:space="0" w:color="auto"/>
          </w:divBdr>
        </w:div>
        <w:div w:id="1631940237">
          <w:marLeft w:val="640"/>
          <w:marRight w:val="0"/>
          <w:marTop w:val="0"/>
          <w:marBottom w:val="0"/>
          <w:divBdr>
            <w:top w:val="none" w:sz="0" w:space="0" w:color="auto"/>
            <w:left w:val="none" w:sz="0" w:space="0" w:color="auto"/>
            <w:bottom w:val="none" w:sz="0" w:space="0" w:color="auto"/>
            <w:right w:val="none" w:sz="0" w:space="0" w:color="auto"/>
          </w:divBdr>
        </w:div>
        <w:div w:id="1223834842">
          <w:marLeft w:val="640"/>
          <w:marRight w:val="0"/>
          <w:marTop w:val="0"/>
          <w:marBottom w:val="0"/>
          <w:divBdr>
            <w:top w:val="none" w:sz="0" w:space="0" w:color="auto"/>
            <w:left w:val="none" w:sz="0" w:space="0" w:color="auto"/>
            <w:bottom w:val="none" w:sz="0" w:space="0" w:color="auto"/>
            <w:right w:val="none" w:sz="0" w:space="0" w:color="auto"/>
          </w:divBdr>
        </w:div>
        <w:div w:id="554897712">
          <w:marLeft w:val="640"/>
          <w:marRight w:val="0"/>
          <w:marTop w:val="0"/>
          <w:marBottom w:val="0"/>
          <w:divBdr>
            <w:top w:val="none" w:sz="0" w:space="0" w:color="auto"/>
            <w:left w:val="none" w:sz="0" w:space="0" w:color="auto"/>
            <w:bottom w:val="none" w:sz="0" w:space="0" w:color="auto"/>
            <w:right w:val="none" w:sz="0" w:space="0" w:color="auto"/>
          </w:divBdr>
        </w:div>
        <w:div w:id="1979843427">
          <w:marLeft w:val="640"/>
          <w:marRight w:val="0"/>
          <w:marTop w:val="0"/>
          <w:marBottom w:val="0"/>
          <w:divBdr>
            <w:top w:val="none" w:sz="0" w:space="0" w:color="auto"/>
            <w:left w:val="none" w:sz="0" w:space="0" w:color="auto"/>
            <w:bottom w:val="none" w:sz="0" w:space="0" w:color="auto"/>
            <w:right w:val="none" w:sz="0" w:space="0" w:color="auto"/>
          </w:divBdr>
        </w:div>
        <w:div w:id="1688483007">
          <w:marLeft w:val="640"/>
          <w:marRight w:val="0"/>
          <w:marTop w:val="0"/>
          <w:marBottom w:val="0"/>
          <w:divBdr>
            <w:top w:val="none" w:sz="0" w:space="0" w:color="auto"/>
            <w:left w:val="none" w:sz="0" w:space="0" w:color="auto"/>
            <w:bottom w:val="none" w:sz="0" w:space="0" w:color="auto"/>
            <w:right w:val="none" w:sz="0" w:space="0" w:color="auto"/>
          </w:divBdr>
        </w:div>
        <w:div w:id="492378062">
          <w:marLeft w:val="640"/>
          <w:marRight w:val="0"/>
          <w:marTop w:val="0"/>
          <w:marBottom w:val="0"/>
          <w:divBdr>
            <w:top w:val="none" w:sz="0" w:space="0" w:color="auto"/>
            <w:left w:val="none" w:sz="0" w:space="0" w:color="auto"/>
            <w:bottom w:val="none" w:sz="0" w:space="0" w:color="auto"/>
            <w:right w:val="none" w:sz="0" w:space="0" w:color="auto"/>
          </w:divBdr>
        </w:div>
        <w:div w:id="1161434750">
          <w:marLeft w:val="640"/>
          <w:marRight w:val="0"/>
          <w:marTop w:val="0"/>
          <w:marBottom w:val="0"/>
          <w:divBdr>
            <w:top w:val="none" w:sz="0" w:space="0" w:color="auto"/>
            <w:left w:val="none" w:sz="0" w:space="0" w:color="auto"/>
            <w:bottom w:val="none" w:sz="0" w:space="0" w:color="auto"/>
            <w:right w:val="none" w:sz="0" w:space="0" w:color="auto"/>
          </w:divBdr>
        </w:div>
        <w:div w:id="2090737608">
          <w:marLeft w:val="640"/>
          <w:marRight w:val="0"/>
          <w:marTop w:val="0"/>
          <w:marBottom w:val="0"/>
          <w:divBdr>
            <w:top w:val="none" w:sz="0" w:space="0" w:color="auto"/>
            <w:left w:val="none" w:sz="0" w:space="0" w:color="auto"/>
            <w:bottom w:val="none" w:sz="0" w:space="0" w:color="auto"/>
            <w:right w:val="none" w:sz="0" w:space="0" w:color="auto"/>
          </w:divBdr>
        </w:div>
        <w:div w:id="1610237149">
          <w:marLeft w:val="640"/>
          <w:marRight w:val="0"/>
          <w:marTop w:val="0"/>
          <w:marBottom w:val="0"/>
          <w:divBdr>
            <w:top w:val="none" w:sz="0" w:space="0" w:color="auto"/>
            <w:left w:val="none" w:sz="0" w:space="0" w:color="auto"/>
            <w:bottom w:val="none" w:sz="0" w:space="0" w:color="auto"/>
            <w:right w:val="none" w:sz="0" w:space="0" w:color="auto"/>
          </w:divBdr>
        </w:div>
        <w:div w:id="1619872673">
          <w:marLeft w:val="640"/>
          <w:marRight w:val="0"/>
          <w:marTop w:val="0"/>
          <w:marBottom w:val="0"/>
          <w:divBdr>
            <w:top w:val="none" w:sz="0" w:space="0" w:color="auto"/>
            <w:left w:val="none" w:sz="0" w:space="0" w:color="auto"/>
            <w:bottom w:val="none" w:sz="0" w:space="0" w:color="auto"/>
            <w:right w:val="none" w:sz="0" w:space="0" w:color="auto"/>
          </w:divBdr>
        </w:div>
        <w:div w:id="175392442">
          <w:marLeft w:val="640"/>
          <w:marRight w:val="0"/>
          <w:marTop w:val="0"/>
          <w:marBottom w:val="0"/>
          <w:divBdr>
            <w:top w:val="none" w:sz="0" w:space="0" w:color="auto"/>
            <w:left w:val="none" w:sz="0" w:space="0" w:color="auto"/>
            <w:bottom w:val="none" w:sz="0" w:space="0" w:color="auto"/>
            <w:right w:val="none" w:sz="0" w:space="0" w:color="auto"/>
          </w:divBdr>
        </w:div>
        <w:div w:id="1516579922">
          <w:marLeft w:val="640"/>
          <w:marRight w:val="0"/>
          <w:marTop w:val="0"/>
          <w:marBottom w:val="0"/>
          <w:divBdr>
            <w:top w:val="none" w:sz="0" w:space="0" w:color="auto"/>
            <w:left w:val="none" w:sz="0" w:space="0" w:color="auto"/>
            <w:bottom w:val="none" w:sz="0" w:space="0" w:color="auto"/>
            <w:right w:val="none" w:sz="0" w:space="0" w:color="auto"/>
          </w:divBdr>
        </w:div>
        <w:div w:id="1761293672">
          <w:marLeft w:val="640"/>
          <w:marRight w:val="0"/>
          <w:marTop w:val="0"/>
          <w:marBottom w:val="0"/>
          <w:divBdr>
            <w:top w:val="none" w:sz="0" w:space="0" w:color="auto"/>
            <w:left w:val="none" w:sz="0" w:space="0" w:color="auto"/>
            <w:bottom w:val="none" w:sz="0" w:space="0" w:color="auto"/>
            <w:right w:val="none" w:sz="0" w:space="0" w:color="auto"/>
          </w:divBdr>
        </w:div>
        <w:div w:id="2068261340">
          <w:marLeft w:val="640"/>
          <w:marRight w:val="0"/>
          <w:marTop w:val="0"/>
          <w:marBottom w:val="0"/>
          <w:divBdr>
            <w:top w:val="none" w:sz="0" w:space="0" w:color="auto"/>
            <w:left w:val="none" w:sz="0" w:space="0" w:color="auto"/>
            <w:bottom w:val="none" w:sz="0" w:space="0" w:color="auto"/>
            <w:right w:val="none" w:sz="0" w:space="0" w:color="auto"/>
          </w:divBdr>
        </w:div>
        <w:div w:id="2145345616">
          <w:marLeft w:val="640"/>
          <w:marRight w:val="0"/>
          <w:marTop w:val="0"/>
          <w:marBottom w:val="0"/>
          <w:divBdr>
            <w:top w:val="none" w:sz="0" w:space="0" w:color="auto"/>
            <w:left w:val="none" w:sz="0" w:space="0" w:color="auto"/>
            <w:bottom w:val="none" w:sz="0" w:space="0" w:color="auto"/>
            <w:right w:val="none" w:sz="0" w:space="0" w:color="auto"/>
          </w:divBdr>
        </w:div>
        <w:div w:id="295306938">
          <w:marLeft w:val="640"/>
          <w:marRight w:val="0"/>
          <w:marTop w:val="0"/>
          <w:marBottom w:val="0"/>
          <w:divBdr>
            <w:top w:val="none" w:sz="0" w:space="0" w:color="auto"/>
            <w:left w:val="none" w:sz="0" w:space="0" w:color="auto"/>
            <w:bottom w:val="none" w:sz="0" w:space="0" w:color="auto"/>
            <w:right w:val="none" w:sz="0" w:space="0" w:color="auto"/>
          </w:divBdr>
        </w:div>
        <w:div w:id="405416554">
          <w:marLeft w:val="640"/>
          <w:marRight w:val="0"/>
          <w:marTop w:val="0"/>
          <w:marBottom w:val="0"/>
          <w:divBdr>
            <w:top w:val="none" w:sz="0" w:space="0" w:color="auto"/>
            <w:left w:val="none" w:sz="0" w:space="0" w:color="auto"/>
            <w:bottom w:val="none" w:sz="0" w:space="0" w:color="auto"/>
            <w:right w:val="none" w:sz="0" w:space="0" w:color="auto"/>
          </w:divBdr>
        </w:div>
        <w:div w:id="703678421">
          <w:marLeft w:val="640"/>
          <w:marRight w:val="0"/>
          <w:marTop w:val="0"/>
          <w:marBottom w:val="0"/>
          <w:divBdr>
            <w:top w:val="none" w:sz="0" w:space="0" w:color="auto"/>
            <w:left w:val="none" w:sz="0" w:space="0" w:color="auto"/>
            <w:bottom w:val="none" w:sz="0" w:space="0" w:color="auto"/>
            <w:right w:val="none" w:sz="0" w:space="0" w:color="auto"/>
          </w:divBdr>
        </w:div>
        <w:div w:id="1283075679">
          <w:marLeft w:val="640"/>
          <w:marRight w:val="0"/>
          <w:marTop w:val="0"/>
          <w:marBottom w:val="0"/>
          <w:divBdr>
            <w:top w:val="none" w:sz="0" w:space="0" w:color="auto"/>
            <w:left w:val="none" w:sz="0" w:space="0" w:color="auto"/>
            <w:bottom w:val="none" w:sz="0" w:space="0" w:color="auto"/>
            <w:right w:val="none" w:sz="0" w:space="0" w:color="auto"/>
          </w:divBdr>
        </w:div>
        <w:div w:id="427238163">
          <w:marLeft w:val="640"/>
          <w:marRight w:val="0"/>
          <w:marTop w:val="0"/>
          <w:marBottom w:val="0"/>
          <w:divBdr>
            <w:top w:val="none" w:sz="0" w:space="0" w:color="auto"/>
            <w:left w:val="none" w:sz="0" w:space="0" w:color="auto"/>
            <w:bottom w:val="none" w:sz="0" w:space="0" w:color="auto"/>
            <w:right w:val="none" w:sz="0" w:space="0" w:color="auto"/>
          </w:divBdr>
        </w:div>
        <w:div w:id="826629458">
          <w:marLeft w:val="640"/>
          <w:marRight w:val="0"/>
          <w:marTop w:val="0"/>
          <w:marBottom w:val="0"/>
          <w:divBdr>
            <w:top w:val="none" w:sz="0" w:space="0" w:color="auto"/>
            <w:left w:val="none" w:sz="0" w:space="0" w:color="auto"/>
            <w:bottom w:val="none" w:sz="0" w:space="0" w:color="auto"/>
            <w:right w:val="none" w:sz="0" w:space="0" w:color="auto"/>
          </w:divBdr>
        </w:div>
        <w:div w:id="813832291">
          <w:marLeft w:val="640"/>
          <w:marRight w:val="0"/>
          <w:marTop w:val="0"/>
          <w:marBottom w:val="0"/>
          <w:divBdr>
            <w:top w:val="none" w:sz="0" w:space="0" w:color="auto"/>
            <w:left w:val="none" w:sz="0" w:space="0" w:color="auto"/>
            <w:bottom w:val="none" w:sz="0" w:space="0" w:color="auto"/>
            <w:right w:val="none" w:sz="0" w:space="0" w:color="auto"/>
          </w:divBdr>
        </w:div>
        <w:div w:id="329874228">
          <w:marLeft w:val="640"/>
          <w:marRight w:val="0"/>
          <w:marTop w:val="0"/>
          <w:marBottom w:val="0"/>
          <w:divBdr>
            <w:top w:val="none" w:sz="0" w:space="0" w:color="auto"/>
            <w:left w:val="none" w:sz="0" w:space="0" w:color="auto"/>
            <w:bottom w:val="none" w:sz="0" w:space="0" w:color="auto"/>
            <w:right w:val="none" w:sz="0" w:space="0" w:color="auto"/>
          </w:divBdr>
        </w:div>
        <w:div w:id="467477352">
          <w:marLeft w:val="640"/>
          <w:marRight w:val="0"/>
          <w:marTop w:val="0"/>
          <w:marBottom w:val="0"/>
          <w:divBdr>
            <w:top w:val="none" w:sz="0" w:space="0" w:color="auto"/>
            <w:left w:val="none" w:sz="0" w:space="0" w:color="auto"/>
            <w:bottom w:val="none" w:sz="0" w:space="0" w:color="auto"/>
            <w:right w:val="none" w:sz="0" w:space="0" w:color="auto"/>
          </w:divBdr>
        </w:div>
        <w:div w:id="1697923201">
          <w:marLeft w:val="640"/>
          <w:marRight w:val="0"/>
          <w:marTop w:val="0"/>
          <w:marBottom w:val="0"/>
          <w:divBdr>
            <w:top w:val="none" w:sz="0" w:space="0" w:color="auto"/>
            <w:left w:val="none" w:sz="0" w:space="0" w:color="auto"/>
            <w:bottom w:val="none" w:sz="0" w:space="0" w:color="auto"/>
            <w:right w:val="none" w:sz="0" w:space="0" w:color="auto"/>
          </w:divBdr>
        </w:div>
        <w:div w:id="1101612031">
          <w:marLeft w:val="640"/>
          <w:marRight w:val="0"/>
          <w:marTop w:val="0"/>
          <w:marBottom w:val="0"/>
          <w:divBdr>
            <w:top w:val="none" w:sz="0" w:space="0" w:color="auto"/>
            <w:left w:val="none" w:sz="0" w:space="0" w:color="auto"/>
            <w:bottom w:val="none" w:sz="0" w:space="0" w:color="auto"/>
            <w:right w:val="none" w:sz="0" w:space="0" w:color="auto"/>
          </w:divBdr>
        </w:div>
        <w:div w:id="519706408">
          <w:marLeft w:val="640"/>
          <w:marRight w:val="0"/>
          <w:marTop w:val="0"/>
          <w:marBottom w:val="0"/>
          <w:divBdr>
            <w:top w:val="none" w:sz="0" w:space="0" w:color="auto"/>
            <w:left w:val="none" w:sz="0" w:space="0" w:color="auto"/>
            <w:bottom w:val="none" w:sz="0" w:space="0" w:color="auto"/>
            <w:right w:val="none" w:sz="0" w:space="0" w:color="auto"/>
          </w:divBdr>
        </w:div>
        <w:div w:id="1733655303">
          <w:marLeft w:val="640"/>
          <w:marRight w:val="0"/>
          <w:marTop w:val="0"/>
          <w:marBottom w:val="0"/>
          <w:divBdr>
            <w:top w:val="none" w:sz="0" w:space="0" w:color="auto"/>
            <w:left w:val="none" w:sz="0" w:space="0" w:color="auto"/>
            <w:bottom w:val="none" w:sz="0" w:space="0" w:color="auto"/>
            <w:right w:val="none" w:sz="0" w:space="0" w:color="auto"/>
          </w:divBdr>
        </w:div>
        <w:div w:id="1478569052">
          <w:marLeft w:val="640"/>
          <w:marRight w:val="0"/>
          <w:marTop w:val="0"/>
          <w:marBottom w:val="0"/>
          <w:divBdr>
            <w:top w:val="none" w:sz="0" w:space="0" w:color="auto"/>
            <w:left w:val="none" w:sz="0" w:space="0" w:color="auto"/>
            <w:bottom w:val="none" w:sz="0" w:space="0" w:color="auto"/>
            <w:right w:val="none" w:sz="0" w:space="0" w:color="auto"/>
          </w:divBdr>
        </w:div>
        <w:div w:id="1395353387">
          <w:marLeft w:val="640"/>
          <w:marRight w:val="0"/>
          <w:marTop w:val="0"/>
          <w:marBottom w:val="0"/>
          <w:divBdr>
            <w:top w:val="none" w:sz="0" w:space="0" w:color="auto"/>
            <w:left w:val="none" w:sz="0" w:space="0" w:color="auto"/>
            <w:bottom w:val="none" w:sz="0" w:space="0" w:color="auto"/>
            <w:right w:val="none" w:sz="0" w:space="0" w:color="auto"/>
          </w:divBdr>
        </w:div>
        <w:div w:id="285697262">
          <w:marLeft w:val="640"/>
          <w:marRight w:val="0"/>
          <w:marTop w:val="0"/>
          <w:marBottom w:val="0"/>
          <w:divBdr>
            <w:top w:val="none" w:sz="0" w:space="0" w:color="auto"/>
            <w:left w:val="none" w:sz="0" w:space="0" w:color="auto"/>
            <w:bottom w:val="none" w:sz="0" w:space="0" w:color="auto"/>
            <w:right w:val="none" w:sz="0" w:space="0" w:color="auto"/>
          </w:divBdr>
        </w:div>
        <w:div w:id="310445575">
          <w:marLeft w:val="640"/>
          <w:marRight w:val="0"/>
          <w:marTop w:val="0"/>
          <w:marBottom w:val="0"/>
          <w:divBdr>
            <w:top w:val="none" w:sz="0" w:space="0" w:color="auto"/>
            <w:left w:val="none" w:sz="0" w:space="0" w:color="auto"/>
            <w:bottom w:val="none" w:sz="0" w:space="0" w:color="auto"/>
            <w:right w:val="none" w:sz="0" w:space="0" w:color="auto"/>
          </w:divBdr>
        </w:div>
        <w:div w:id="1196891496">
          <w:marLeft w:val="640"/>
          <w:marRight w:val="0"/>
          <w:marTop w:val="0"/>
          <w:marBottom w:val="0"/>
          <w:divBdr>
            <w:top w:val="none" w:sz="0" w:space="0" w:color="auto"/>
            <w:left w:val="none" w:sz="0" w:space="0" w:color="auto"/>
            <w:bottom w:val="none" w:sz="0" w:space="0" w:color="auto"/>
            <w:right w:val="none" w:sz="0" w:space="0" w:color="auto"/>
          </w:divBdr>
        </w:div>
        <w:div w:id="704134183">
          <w:marLeft w:val="640"/>
          <w:marRight w:val="0"/>
          <w:marTop w:val="0"/>
          <w:marBottom w:val="0"/>
          <w:divBdr>
            <w:top w:val="none" w:sz="0" w:space="0" w:color="auto"/>
            <w:left w:val="none" w:sz="0" w:space="0" w:color="auto"/>
            <w:bottom w:val="none" w:sz="0" w:space="0" w:color="auto"/>
            <w:right w:val="none" w:sz="0" w:space="0" w:color="auto"/>
          </w:divBdr>
        </w:div>
        <w:div w:id="864100160">
          <w:marLeft w:val="640"/>
          <w:marRight w:val="0"/>
          <w:marTop w:val="0"/>
          <w:marBottom w:val="0"/>
          <w:divBdr>
            <w:top w:val="none" w:sz="0" w:space="0" w:color="auto"/>
            <w:left w:val="none" w:sz="0" w:space="0" w:color="auto"/>
            <w:bottom w:val="none" w:sz="0" w:space="0" w:color="auto"/>
            <w:right w:val="none" w:sz="0" w:space="0" w:color="auto"/>
          </w:divBdr>
        </w:div>
        <w:div w:id="1603106667">
          <w:marLeft w:val="640"/>
          <w:marRight w:val="0"/>
          <w:marTop w:val="0"/>
          <w:marBottom w:val="0"/>
          <w:divBdr>
            <w:top w:val="none" w:sz="0" w:space="0" w:color="auto"/>
            <w:left w:val="none" w:sz="0" w:space="0" w:color="auto"/>
            <w:bottom w:val="none" w:sz="0" w:space="0" w:color="auto"/>
            <w:right w:val="none" w:sz="0" w:space="0" w:color="auto"/>
          </w:divBdr>
        </w:div>
        <w:div w:id="1948848405">
          <w:marLeft w:val="640"/>
          <w:marRight w:val="0"/>
          <w:marTop w:val="0"/>
          <w:marBottom w:val="0"/>
          <w:divBdr>
            <w:top w:val="none" w:sz="0" w:space="0" w:color="auto"/>
            <w:left w:val="none" w:sz="0" w:space="0" w:color="auto"/>
            <w:bottom w:val="none" w:sz="0" w:space="0" w:color="auto"/>
            <w:right w:val="none" w:sz="0" w:space="0" w:color="auto"/>
          </w:divBdr>
        </w:div>
        <w:div w:id="1338535994">
          <w:marLeft w:val="640"/>
          <w:marRight w:val="0"/>
          <w:marTop w:val="0"/>
          <w:marBottom w:val="0"/>
          <w:divBdr>
            <w:top w:val="none" w:sz="0" w:space="0" w:color="auto"/>
            <w:left w:val="none" w:sz="0" w:space="0" w:color="auto"/>
            <w:bottom w:val="none" w:sz="0" w:space="0" w:color="auto"/>
            <w:right w:val="none" w:sz="0" w:space="0" w:color="auto"/>
          </w:divBdr>
        </w:div>
        <w:div w:id="2090762003">
          <w:marLeft w:val="640"/>
          <w:marRight w:val="0"/>
          <w:marTop w:val="0"/>
          <w:marBottom w:val="0"/>
          <w:divBdr>
            <w:top w:val="none" w:sz="0" w:space="0" w:color="auto"/>
            <w:left w:val="none" w:sz="0" w:space="0" w:color="auto"/>
            <w:bottom w:val="none" w:sz="0" w:space="0" w:color="auto"/>
            <w:right w:val="none" w:sz="0" w:space="0" w:color="auto"/>
          </w:divBdr>
        </w:div>
        <w:div w:id="863831175">
          <w:marLeft w:val="640"/>
          <w:marRight w:val="0"/>
          <w:marTop w:val="0"/>
          <w:marBottom w:val="0"/>
          <w:divBdr>
            <w:top w:val="none" w:sz="0" w:space="0" w:color="auto"/>
            <w:left w:val="none" w:sz="0" w:space="0" w:color="auto"/>
            <w:bottom w:val="none" w:sz="0" w:space="0" w:color="auto"/>
            <w:right w:val="none" w:sz="0" w:space="0" w:color="auto"/>
          </w:divBdr>
        </w:div>
        <w:div w:id="1056245120">
          <w:marLeft w:val="640"/>
          <w:marRight w:val="0"/>
          <w:marTop w:val="0"/>
          <w:marBottom w:val="0"/>
          <w:divBdr>
            <w:top w:val="none" w:sz="0" w:space="0" w:color="auto"/>
            <w:left w:val="none" w:sz="0" w:space="0" w:color="auto"/>
            <w:bottom w:val="none" w:sz="0" w:space="0" w:color="auto"/>
            <w:right w:val="none" w:sz="0" w:space="0" w:color="auto"/>
          </w:divBdr>
        </w:div>
        <w:div w:id="288359725">
          <w:marLeft w:val="640"/>
          <w:marRight w:val="0"/>
          <w:marTop w:val="0"/>
          <w:marBottom w:val="0"/>
          <w:divBdr>
            <w:top w:val="none" w:sz="0" w:space="0" w:color="auto"/>
            <w:left w:val="none" w:sz="0" w:space="0" w:color="auto"/>
            <w:bottom w:val="none" w:sz="0" w:space="0" w:color="auto"/>
            <w:right w:val="none" w:sz="0" w:space="0" w:color="auto"/>
          </w:divBdr>
        </w:div>
        <w:div w:id="339893542">
          <w:marLeft w:val="640"/>
          <w:marRight w:val="0"/>
          <w:marTop w:val="0"/>
          <w:marBottom w:val="0"/>
          <w:divBdr>
            <w:top w:val="none" w:sz="0" w:space="0" w:color="auto"/>
            <w:left w:val="none" w:sz="0" w:space="0" w:color="auto"/>
            <w:bottom w:val="none" w:sz="0" w:space="0" w:color="auto"/>
            <w:right w:val="none" w:sz="0" w:space="0" w:color="auto"/>
          </w:divBdr>
        </w:div>
        <w:div w:id="530187013">
          <w:marLeft w:val="640"/>
          <w:marRight w:val="0"/>
          <w:marTop w:val="0"/>
          <w:marBottom w:val="0"/>
          <w:divBdr>
            <w:top w:val="none" w:sz="0" w:space="0" w:color="auto"/>
            <w:left w:val="none" w:sz="0" w:space="0" w:color="auto"/>
            <w:bottom w:val="none" w:sz="0" w:space="0" w:color="auto"/>
            <w:right w:val="none" w:sz="0" w:space="0" w:color="auto"/>
          </w:divBdr>
        </w:div>
        <w:div w:id="1339963711">
          <w:marLeft w:val="640"/>
          <w:marRight w:val="0"/>
          <w:marTop w:val="0"/>
          <w:marBottom w:val="0"/>
          <w:divBdr>
            <w:top w:val="none" w:sz="0" w:space="0" w:color="auto"/>
            <w:left w:val="none" w:sz="0" w:space="0" w:color="auto"/>
            <w:bottom w:val="none" w:sz="0" w:space="0" w:color="auto"/>
            <w:right w:val="none" w:sz="0" w:space="0" w:color="auto"/>
          </w:divBdr>
        </w:div>
        <w:div w:id="1293294310">
          <w:marLeft w:val="640"/>
          <w:marRight w:val="0"/>
          <w:marTop w:val="0"/>
          <w:marBottom w:val="0"/>
          <w:divBdr>
            <w:top w:val="none" w:sz="0" w:space="0" w:color="auto"/>
            <w:left w:val="none" w:sz="0" w:space="0" w:color="auto"/>
            <w:bottom w:val="none" w:sz="0" w:space="0" w:color="auto"/>
            <w:right w:val="none" w:sz="0" w:space="0" w:color="auto"/>
          </w:divBdr>
        </w:div>
        <w:div w:id="2140685376">
          <w:marLeft w:val="640"/>
          <w:marRight w:val="0"/>
          <w:marTop w:val="0"/>
          <w:marBottom w:val="0"/>
          <w:divBdr>
            <w:top w:val="none" w:sz="0" w:space="0" w:color="auto"/>
            <w:left w:val="none" w:sz="0" w:space="0" w:color="auto"/>
            <w:bottom w:val="none" w:sz="0" w:space="0" w:color="auto"/>
            <w:right w:val="none" w:sz="0" w:space="0" w:color="auto"/>
          </w:divBdr>
        </w:div>
        <w:div w:id="1543397352">
          <w:marLeft w:val="640"/>
          <w:marRight w:val="0"/>
          <w:marTop w:val="0"/>
          <w:marBottom w:val="0"/>
          <w:divBdr>
            <w:top w:val="none" w:sz="0" w:space="0" w:color="auto"/>
            <w:left w:val="none" w:sz="0" w:space="0" w:color="auto"/>
            <w:bottom w:val="none" w:sz="0" w:space="0" w:color="auto"/>
            <w:right w:val="none" w:sz="0" w:space="0" w:color="auto"/>
          </w:divBdr>
        </w:div>
        <w:div w:id="1536229674">
          <w:marLeft w:val="640"/>
          <w:marRight w:val="0"/>
          <w:marTop w:val="0"/>
          <w:marBottom w:val="0"/>
          <w:divBdr>
            <w:top w:val="none" w:sz="0" w:space="0" w:color="auto"/>
            <w:left w:val="none" w:sz="0" w:space="0" w:color="auto"/>
            <w:bottom w:val="none" w:sz="0" w:space="0" w:color="auto"/>
            <w:right w:val="none" w:sz="0" w:space="0" w:color="auto"/>
          </w:divBdr>
        </w:div>
        <w:div w:id="812211689">
          <w:marLeft w:val="640"/>
          <w:marRight w:val="0"/>
          <w:marTop w:val="0"/>
          <w:marBottom w:val="0"/>
          <w:divBdr>
            <w:top w:val="none" w:sz="0" w:space="0" w:color="auto"/>
            <w:left w:val="none" w:sz="0" w:space="0" w:color="auto"/>
            <w:bottom w:val="none" w:sz="0" w:space="0" w:color="auto"/>
            <w:right w:val="none" w:sz="0" w:space="0" w:color="auto"/>
          </w:divBdr>
        </w:div>
        <w:div w:id="1613825531">
          <w:marLeft w:val="640"/>
          <w:marRight w:val="0"/>
          <w:marTop w:val="0"/>
          <w:marBottom w:val="0"/>
          <w:divBdr>
            <w:top w:val="none" w:sz="0" w:space="0" w:color="auto"/>
            <w:left w:val="none" w:sz="0" w:space="0" w:color="auto"/>
            <w:bottom w:val="none" w:sz="0" w:space="0" w:color="auto"/>
            <w:right w:val="none" w:sz="0" w:space="0" w:color="auto"/>
          </w:divBdr>
        </w:div>
        <w:div w:id="1750342833">
          <w:marLeft w:val="640"/>
          <w:marRight w:val="0"/>
          <w:marTop w:val="0"/>
          <w:marBottom w:val="0"/>
          <w:divBdr>
            <w:top w:val="none" w:sz="0" w:space="0" w:color="auto"/>
            <w:left w:val="none" w:sz="0" w:space="0" w:color="auto"/>
            <w:bottom w:val="none" w:sz="0" w:space="0" w:color="auto"/>
            <w:right w:val="none" w:sz="0" w:space="0" w:color="auto"/>
          </w:divBdr>
        </w:div>
        <w:div w:id="858275324">
          <w:marLeft w:val="640"/>
          <w:marRight w:val="0"/>
          <w:marTop w:val="0"/>
          <w:marBottom w:val="0"/>
          <w:divBdr>
            <w:top w:val="none" w:sz="0" w:space="0" w:color="auto"/>
            <w:left w:val="none" w:sz="0" w:space="0" w:color="auto"/>
            <w:bottom w:val="none" w:sz="0" w:space="0" w:color="auto"/>
            <w:right w:val="none" w:sz="0" w:space="0" w:color="auto"/>
          </w:divBdr>
        </w:div>
        <w:div w:id="169030915">
          <w:marLeft w:val="640"/>
          <w:marRight w:val="0"/>
          <w:marTop w:val="0"/>
          <w:marBottom w:val="0"/>
          <w:divBdr>
            <w:top w:val="none" w:sz="0" w:space="0" w:color="auto"/>
            <w:left w:val="none" w:sz="0" w:space="0" w:color="auto"/>
            <w:bottom w:val="none" w:sz="0" w:space="0" w:color="auto"/>
            <w:right w:val="none" w:sz="0" w:space="0" w:color="auto"/>
          </w:divBdr>
        </w:div>
        <w:div w:id="1285576214">
          <w:marLeft w:val="640"/>
          <w:marRight w:val="0"/>
          <w:marTop w:val="0"/>
          <w:marBottom w:val="0"/>
          <w:divBdr>
            <w:top w:val="none" w:sz="0" w:space="0" w:color="auto"/>
            <w:left w:val="none" w:sz="0" w:space="0" w:color="auto"/>
            <w:bottom w:val="none" w:sz="0" w:space="0" w:color="auto"/>
            <w:right w:val="none" w:sz="0" w:space="0" w:color="auto"/>
          </w:divBdr>
        </w:div>
        <w:div w:id="777987598">
          <w:marLeft w:val="640"/>
          <w:marRight w:val="0"/>
          <w:marTop w:val="0"/>
          <w:marBottom w:val="0"/>
          <w:divBdr>
            <w:top w:val="none" w:sz="0" w:space="0" w:color="auto"/>
            <w:left w:val="none" w:sz="0" w:space="0" w:color="auto"/>
            <w:bottom w:val="none" w:sz="0" w:space="0" w:color="auto"/>
            <w:right w:val="none" w:sz="0" w:space="0" w:color="auto"/>
          </w:divBdr>
        </w:div>
        <w:div w:id="1754811560">
          <w:marLeft w:val="640"/>
          <w:marRight w:val="0"/>
          <w:marTop w:val="0"/>
          <w:marBottom w:val="0"/>
          <w:divBdr>
            <w:top w:val="none" w:sz="0" w:space="0" w:color="auto"/>
            <w:left w:val="none" w:sz="0" w:space="0" w:color="auto"/>
            <w:bottom w:val="none" w:sz="0" w:space="0" w:color="auto"/>
            <w:right w:val="none" w:sz="0" w:space="0" w:color="auto"/>
          </w:divBdr>
        </w:div>
        <w:div w:id="1421101087">
          <w:marLeft w:val="640"/>
          <w:marRight w:val="0"/>
          <w:marTop w:val="0"/>
          <w:marBottom w:val="0"/>
          <w:divBdr>
            <w:top w:val="none" w:sz="0" w:space="0" w:color="auto"/>
            <w:left w:val="none" w:sz="0" w:space="0" w:color="auto"/>
            <w:bottom w:val="none" w:sz="0" w:space="0" w:color="auto"/>
            <w:right w:val="none" w:sz="0" w:space="0" w:color="auto"/>
          </w:divBdr>
        </w:div>
        <w:div w:id="1564217681">
          <w:marLeft w:val="640"/>
          <w:marRight w:val="0"/>
          <w:marTop w:val="0"/>
          <w:marBottom w:val="0"/>
          <w:divBdr>
            <w:top w:val="none" w:sz="0" w:space="0" w:color="auto"/>
            <w:left w:val="none" w:sz="0" w:space="0" w:color="auto"/>
            <w:bottom w:val="none" w:sz="0" w:space="0" w:color="auto"/>
            <w:right w:val="none" w:sz="0" w:space="0" w:color="auto"/>
          </w:divBdr>
        </w:div>
        <w:div w:id="1256091184">
          <w:marLeft w:val="640"/>
          <w:marRight w:val="0"/>
          <w:marTop w:val="0"/>
          <w:marBottom w:val="0"/>
          <w:divBdr>
            <w:top w:val="none" w:sz="0" w:space="0" w:color="auto"/>
            <w:left w:val="none" w:sz="0" w:space="0" w:color="auto"/>
            <w:bottom w:val="none" w:sz="0" w:space="0" w:color="auto"/>
            <w:right w:val="none" w:sz="0" w:space="0" w:color="auto"/>
          </w:divBdr>
        </w:div>
        <w:div w:id="1578901182">
          <w:marLeft w:val="640"/>
          <w:marRight w:val="0"/>
          <w:marTop w:val="0"/>
          <w:marBottom w:val="0"/>
          <w:divBdr>
            <w:top w:val="none" w:sz="0" w:space="0" w:color="auto"/>
            <w:left w:val="none" w:sz="0" w:space="0" w:color="auto"/>
            <w:bottom w:val="none" w:sz="0" w:space="0" w:color="auto"/>
            <w:right w:val="none" w:sz="0" w:space="0" w:color="auto"/>
          </w:divBdr>
        </w:div>
        <w:div w:id="1656952833">
          <w:marLeft w:val="640"/>
          <w:marRight w:val="0"/>
          <w:marTop w:val="0"/>
          <w:marBottom w:val="0"/>
          <w:divBdr>
            <w:top w:val="none" w:sz="0" w:space="0" w:color="auto"/>
            <w:left w:val="none" w:sz="0" w:space="0" w:color="auto"/>
            <w:bottom w:val="none" w:sz="0" w:space="0" w:color="auto"/>
            <w:right w:val="none" w:sz="0" w:space="0" w:color="auto"/>
          </w:divBdr>
        </w:div>
        <w:div w:id="1929579670">
          <w:marLeft w:val="640"/>
          <w:marRight w:val="0"/>
          <w:marTop w:val="0"/>
          <w:marBottom w:val="0"/>
          <w:divBdr>
            <w:top w:val="none" w:sz="0" w:space="0" w:color="auto"/>
            <w:left w:val="none" w:sz="0" w:space="0" w:color="auto"/>
            <w:bottom w:val="none" w:sz="0" w:space="0" w:color="auto"/>
            <w:right w:val="none" w:sz="0" w:space="0" w:color="auto"/>
          </w:divBdr>
        </w:div>
        <w:div w:id="1357661277">
          <w:marLeft w:val="640"/>
          <w:marRight w:val="0"/>
          <w:marTop w:val="0"/>
          <w:marBottom w:val="0"/>
          <w:divBdr>
            <w:top w:val="none" w:sz="0" w:space="0" w:color="auto"/>
            <w:left w:val="none" w:sz="0" w:space="0" w:color="auto"/>
            <w:bottom w:val="none" w:sz="0" w:space="0" w:color="auto"/>
            <w:right w:val="none" w:sz="0" w:space="0" w:color="auto"/>
          </w:divBdr>
        </w:div>
        <w:div w:id="1356154932">
          <w:marLeft w:val="640"/>
          <w:marRight w:val="0"/>
          <w:marTop w:val="0"/>
          <w:marBottom w:val="0"/>
          <w:divBdr>
            <w:top w:val="none" w:sz="0" w:space="0" w:color="auto"/>
            <w:left w:val="none" w:sz="0" w:space="0" w:color="auto"/>
            <w:bottom w:val="none" w:sz="0" w:space="0" w:color="auto"/>
            <w:right w:val="none" w:sz="0" w:space="0" w:color="auto"/>
          </w:divBdr>
        </w:div>
        <w:div w:id="371002852">
          <w:marLeft w:val="640"/>
          <w:marRight w:val="0"/>
          <w:marTop w:val="0"/>
          <w:marBottom w:val="0"/>
          <w:divBdr>
            <w:top w:val="none" w:sz="0" w:space="0" w:color="auto"/>
            <w:left w:val="none" w:sz="0" w:space="0" w:color="auto"/>
            <w:bottom w:val="none" w:sz="0" w:space="0" w:color="auto"/>
            <w:right w:val="none" w:sz="0" w:space="0" w:color="auto"/>
          </w:divBdr>
        </w:div>
        <w:div w:id="2004579587">
          <w:marLeft w:val="640"/>
          <w:marRight w:val="0"/>
          <w:marTop w:val="0"/>
          <w:marBottom w:val="0"/>
          <w:divBdr>
            <w:top w:val="none" w:sz="0" w:space="0" w:color="auto"/>
            <w:left w:val="none" w:sz="0" w:space="0" w:color="auto"/>
            <w:bottom w:val="none" w:sz="0" w:space="0" w:color="auto"/>
            <w:right w:val="none" w:sz="0" w:space="0" w:color="auto"/>
          </w:divBdr>
        </w:div>
        <w:div w:id="560290561">
          <w:marLeft w:val="640"/>
          <w:marRight w:val="0"/>
          <w:marTop w:val="0"/>
          <w:marBottom w:val="0"/>
          <w:divBdr>
            <w:top w:val="none" w:sz="0" w:space="0" w:color="auto"/>
            <w:left w:val="none" w:sz="0" w:space="0" w:color="auto"/>
            <w:bottom w:val="none" w:sz="0" w:space="0" w:color="auto"/>
            <w:right w:val="none" w:sz="0" w:space="0" w:color="auto"/>
          </w:divBdr>
        </w:div>
        <w:div w:id="1404108990">
          <w:marLeft w:val="640"/>
          <w:marRight w:val="0"/>
          <w:marTop w:val="0"/>
          <w:marBottom w:val="0"/>
          <w:divBdr>
            <w:top w:val="none" w:sz="0" w:space="0" w:color="auto"/>
            <w:left w:val="none" w:sz="0" w:space="0" w:color="auto"/>
            <w:bottom w:val="none" w:sz="0" w:space="0" w:color="auto"/>
            <w:right w:val="none" w:sz="0" w:space="0" w:color="auto"/>
          </w:divBdr>
        </w:div>
        <w:div w:id="73402617">
          <w:marLeft w:val="640"/>
          <w:marRight w:val="0"/>
          <w:marTop w:val="0"/>
          <w:marBottom w:val="0"/>
          <w:divBdr>
            <w:top w:val="none" w:sz="0" w:space="0" w:color="auto"/>
            <w:left w:val="none" w:sz="0" w:space="0" w:color="auto"/>
            <w:bottom w:val="none" w:sz="0" w:space="0" w:color="auto"/>
            <w:right w:val="none" w:sz="0" w:space="0" w:color="auto"/>
          </w:divBdr>
        </w:div>
        <w:div w:id="1224757327">
          <w:marLeft w:val="640"/>
          <w:marRight w:val="0"/>
          <w:marTop w:val="0"/>
          <w:marBottom w:val="0"/>
          <w:divBdr>
            <w:top w:val="none" w:sz="0" w:space="0" w:color="auto"/>
            <w:left w:val="none" w:sz="0" w:space="0" w:color="auto"/>
            <w:bottom w:val="none" w:sz="0" w:space="0" w:color="auto"/>
            <w:right w:val="none" w:sz="0" w:space="0" w:color="auto"/>
          </w:divBdr>
        </w:div>
        <w:div w:id="432820277">
          <w:marLeft w:val="640"/>
          <w:marRight w:val="0"/>
          <w:marTop w:val="0"/>
          <w:marBottom w:val="0"/>
          <w:divBdr>
            <w:top w:val="none" w:sz="0" w:space="0" w:color="auto"/>
            <w:left w:val="none" w:sz="0" w:space="0" w:color="auto"/>
            <w:bottom w:val="none" w:sz="0" w:space="0" w:color="auto"/>
            <w:right w:val="none" w:sz="0" w:space="0" w:color="auto"/>
          </w:divBdr>
        </w:div>
        <w:div w:id="316349529">
          <w:marLeft w:val="640"/>
          <w:marRight w:val="0"/>
          <w:marTop w:val="0"/>
          <w:marBottom w:val="0"/>
          <w:divBdr>
            <w:top w:val="none" w:sz="0" w:space="0" w:color="auto"/>
            <w:left w:val="none" w:sz="0" w:space="0" w:color="auto"/>
            <w:bottom w:val="none" w:sz="0" w:space="0" w:color="auto"/>
            <w:right w:val="none" w:sz="0" w:space="0" w:color="auto"/>
          </w:divBdr>
        </w:div>
        <w:div w:id="394933226">
          <w:marLeft w:val="640"/>
          <w:marRight w:val="0"/>
          <w:marTop w:val="0"/>
          <w:marBottom w:val="0"/>
          <w:divBdr>
            <w:top w:val="none" w:sz="0" w:space="0" w:color="auto"/>
            <w:left w:val="none" w:sz="0" w:space="0" w:color="auto"/>
            <w:bottom w:val="none" w:sz="0" w:space="0" w:color="auto"/>
            <w:right w:val="none" w:sz="0" w:space="0" w:color="auto"/>
          </w:divBdr>
        </w:div>
        <w:div w:id="531041317">
          <w:marLeft w:val="640"/>
          <w:marRight w:val="0"/>
          <w:marTop w:val="0"/>
          <w:marBottom w:val="0"/>
          <w:divBdr>
            <w:top w:val="none" w:sz="0" w:space="0" w:color="auto"/>
            <w:left w:val="none" w:sz="0" w:space="0" w:color="auto"/>
            <w:bottom w:val="none" w:sz="0" w:space="0" w:color="auto"/>
            <w:right w:val="none" w:sz="0" w:space="0" w:color="auto"/>
          </w:divBdr>
        </w:div>
        <w:div w:id="2082288028">
          <w:marLeft w:val="640"/>
          <w:marRight w:val="0"/>
          <w:marTop w:val="0"/>
          <w:marBottom w:val="0"/>
          <w:divBdr>
            <w:top w:val="none" w:sz="0" w:space="0" w:color="auto"/>
            <w:left w:val="none" w:sz="0" w:space="0" w:color="auto"/>
            <w:bottom w:val="none" w:sz="0" w:space="0" w:color="auto"/>
            <w:right w:val="none" w:sz="0" w:space="0" w:color="auto"/>
          </w:divBdr>
        </w:div>
        <w:div w:id="1163817935">
          <w:marLeft w:val="640"/>
          <w:marRight w:val="0"/>
          <w:marTop w:val="0"/>
          <w:marBottom w:val="0"/>
          <w:divBdr>
            <w:top w:val="none" w:sz="0" w:space="0" w:color="auto"/>
            <w:left w:val="none" w:sz="0" w:space="0" w:color="auto"/>
            <w:bottom w:val="none" w:sz="0" w:space="0" w:color="auto"/>
            <w:right w:val="none" w:sz="0" w:space="0" w:color="auto"/>
          </w:divBdr>
        </w:div>
        <w:div w:id="2060936954">
          <w:marLeft w:val="640"/>
          <w:marRight w:val="0"/>
          <w:marTop w:val="0"/>
          <w:marBottom w:val="0"/>
          <w:divBdr>
            <w:top w:val="none" w:sz="0" w:space="0" w:color="auto"/>
            <w:left w:val="none" w:sz="0" w:space="0" w:color="auto"/>
            <w:bottom w:val="none" w:sz="0" w:space="0" w:color="auto"/>
            <w:right w:val="none" w:sz="0" w:space="0" w:color="auto"/>
          </w:divBdr>
        </w:div>
        <w:div w:id="557470695">
          <w:marLeft w:val="640"/>
          <w:marRight w:val="0"/>
          <w:marTop w:val="0"/>
          <w:marBottom w:val="0"/>
          <w:divBdr>
            <w:top w:val="none" w:sz="0" w:space="0" w:color="auto"/>
            <w:left w:val="none" w:sz="0" w:space="0" w:color="auto"/>
            <w:bottom w:val="none" w:sz="0" w:space="0" w:color="auto"/>
            <w:right w:val="none" w:sz="0" w:space="0" w:color="auto"/>
          </w:divBdr>
        </w:div>
        <w:div w:id="1904438819">
          <w:marLeft w:val="640"/>
          <w:marRight w:val="0"/>
          <w:marTop w:val="0"/>
          <w:marBottom w:val="0"/>
          <w:divBdr>
            <w:top w:val="none" w:sz="0" w:space="0" w:color="auto"/>
            <w:left w:val="none" w:sz="0" w:space="0" w:color="auto"/>
            <w:bottom w:val="none" w:sz="0" w:space="0" w:color="auto"/>
            <w:right w:val="none" w:sz="0" w:space="0" w:color="auto"/>
          </w:divBdr>
        </w:div>
        <w:div w:id="1676613356">
          <w:marLeft w:val="640"/>
          <w:marRight w:val="0"/>
          <w:marTop w:val="0"/>
          <w:marBottom w:val="0"/>
          <w:divBdr>
            <w:top w:val="none" w:sz="0" w:space="0" w:color="auto"/>
            <w:left w:val="none" w:sz="0" w:space="0" w:color="auto"/>
            <w:bottom w:val="none" w:sz="0" w:space="0" w:color="auto"/>
            <w:right w:val="none" w:sz="0" w:space="0" w:color="auto"/>
          </w:divBdr>
        </w:div>
        <w:div w:id="1643850355">
          <w:marLeft w:val="640"/>
          <w:marRight w:val="0"/>
          <w:marTop w:val="0"/>
          <w:marBottom w:val="0"/>
          <w:divBdr>
            <w:top w:val="none" w:sz="0" w:space="0" w:color="auto"/>
            <w:left w:val="none" w:sz="0" w:space="0" w:color="auto"/>
            <w:bottom w:val="none" w:sz="0" w:space="0" w:color="auto"/>
            <w:right w:val="none" w:sz="0" w:space="0" w:color="auto"/>
          </w:divBdr>
        </w:div>
        <w:div w:id="91367386">
          <w:marLeft w:val="640"/>
          <w:marRight w:val="0"/>
          <w:marTop w:val="0"/>
          <w:marBottom w:val="0"/>
          <w:divBdr>
            <w:top w:val="none" w:sz="0" w:space="0" w:color="auto"/>
            <w:left w:val="none" w:sz="0" w:space="0" w:color="auto"/>
            <w:bottom w:val="none" w:sz="0" w:space="0" w:color="auto"/>
            <w:right w:val="none" w:sz="0" w:space="0" w:color="auto"/>
          </w:divBdr>
        </w:div>
        <w:div w:id="1674411714">
          <w:marLeft w:val="640"/>
          <w:marRight w:val="0"/>
          <w:marTop w:val="0"/>
          <w:marBottom w:val="0"/>
          <w:divBdr>
            <w:top w:val="none" w:sz="0" w:space="0" w:color="auto"/>
            <w:left w:val="none" w:sz="0" w:space="0" w:color="auto"/>
            <w:bottom w:val="none" w:sz="0" w:space="0" w:color="auto"/>
            <w:right w:val="none" w:sz="0" w:space="0" w:color="auto"/>
          </w:divBdr>
        </w:div>
        <w:div w:id="2107844330">
          <w:marLeft w:val="640"/>
          <w:marRight w:val="0"/>
          <w:marTop w:val="0"/>
          <w:marBottom w:val="0"/>
          <w:divBdr>
            <w:top w:val="none" w:sz="0" w:space="0" w:color="auto"/>
            <w:left w:val="none" w:sz="0" w:space="0" w:color="auto"/>
            <w:bottom w:val="none" w:sz="0" w:space="0" w:color="auto"/>
            <w:right w:val="none" w:sz="0" w:space="0" w:color="auto"/>
          </w:divBdr>
        </w:div>
        <w:div w:id="27919135">
          <w:marLeft w:val="640"/>
          <w:marRight w:val="0"/>
          <w:marTop w:val="0"/>
          <w:marBottom w:val="0"/>
          <w:divBdr>
            <w:top w:val="none" w:sz="0" w:space="0" w:color="auto"/>
            <w:left w:val="none" w:sz="0" w:space="0" w:color="auto"/>
            <w:bottom w:val="none" w:sz="0" w:space="0" w:color="auto"/>
            <w:right w:val="none" w:sz="0" w:space="0" w:color="auto"/>
          </w:divBdr>
        </w:div>
        <w:div w:id="1349678983">
          <w:marLeft w:val="640"/>
          <w:marRight w:val="0"/>
          <w:marTop w:val="0"/>
          <w:marBottom w:val="0"/>
          <w:divBdr>
            <w:top w:val="none" w:sz="0" w:space="0" w:color="auto"/>
            <w:left w:val="none" w:sz="0" w:space="0" w:color="auto"/>
            <w:bottom w:val="none" w:sz="0" w:space="0" w:color="auto"/>
            <w:right w:val="none" w:sz="0" w:space="0" w:color="auto"/>
          </w:divBdr>
        </w:div>
        <w:div w:id="785585342">
          <w:marLeft w:val="640"/>
          <w:marRight w:val="0"/>
          <w:marTop w:val="0"/>
          <w:marBottom w:val="0"/>
          <w:divBdr>
            <w:top w:val="none" w:sz="0" w:space="0" w:color="auto"/>
            <w:left w:val="none" w:sz="0" w:space="0" w:color="auto"/>
            <w:bottom w:val="none" w:sz="0" w:space="0" w:color="auto"/>
            <w:right w:val="none" w:sz="0" w:space="0" w:color="auto"/>
          </w:divBdr>
        </w:div>
        <w:div w:id="1008559437">
          <w:marLeft w:val="640"/>
          <w:marRight w:val="0"/>
          <w:marTop w:val="0"/>
          <w:marBottom w:val="0"/>
          <w:divBdr>
            <w:top w:val="none" w:sz="0" w:space="0" w:color="auto"/>
            <w:left w:val="none" w:sz="0" w:space="0" w:color="auto"/>
            <w:bottom w:val="none" w:sz="0" w:space="0" w:color="auto"/>
            <w:right w:val="none" w:sz="0" w:space="0" w:color="auto"/>
          </w:divBdr>
        </w:div>
        <w:div w:id="1581869914">
          <w:marLeft w:val="640"/>
          <w:marRight w:val="0"/>
          <w:marTop w:val="0"/>
          <w:marBottom w:val="0"/>
          <w:divBdr>
            <w:top w:val="none" w:sz="0" w:space="0" w:color="auto"/>
            <w:left w:val="none" w:sz="0" w:space="0" w:color="auto"/>
            <w:bottom w:val="none" w:sz="0" w:space="0" w:color="auto"/>
            <w:right w:val="none" w:sz="0" w:space="0" w:color="auto"/>
          </w:divBdr>
        </w:div>
        <w:div w:id="1933081122">
          <w:marLeft w:val="640"/>
          <w:marRight w:val="0"/>
          <w:marTop w:val="0"/>
          <w:marBottom w:val="0"/>
          <w:divBdr>
            <w:top w:val="none" w:sz="0" w:space="0" w:color="auto"/>
            <w:left w:val="none" w:sz="0" w:space="0" w:color="auto"/>
            <w:bottom w:val="none" w:sz="0" w:space="0" w:color="auto"/>
            <w:right w:val="none" w:sz="0" w:space="0" w:color="auto"/>
          </w:divBdr>
        </w:div>
      </w:divsChild>
    </w:div>
    <w:div w:id="82847801">
      <w:bodyDiv w:val="1"/>
      <w:marLeft w:val="0"/>
      <w:marRight w:val="0"/>
      <w:marTop w:val="0"/>
      <w:marBottom w:val="0"/>
      <w:divBdr>
        <w:top w:val="none" w:sz="0" w:space="0" w:color="auto"/>
        <w:left w:val="none" w:sz="0" w:space="0" w:color="auto"/>
        <w:bottom w:val="none" w:sz="0" w:space="0" w:color="auto"/>
        <w:right w:val="none" w:sz="0" w:space="0" w:color="auto"/>
      </w:divBdr>
    </w:div>
    <w:div w:id="83960052">
      <w:bodyDiv w:val="1"/>
      <w:marLeft w:val="0"/>
      <w:marRight w:val="0"/>
      <w:marTop w:val="0"/>
      <w:marBottom w:val="0"/>
      <w:divBdr>
        <w:top w:val="none" w:sz="0" w:space="0" w:color="auto"/>
        <w:left w:val="none" w:sz="0" w:space="0" w:color="auto"/>
        <w:bottom w:val="none" w:sz="0" w:space="0" w:color="auto"/>
        <w:right w:val="none" w:sz="0" w:space="0" w:color="auto"/>
      </w:divBdr>
      <w:divsChild>
        <w:div w:id="1425568213">
          <w:marLeft w:val="640"/>
          <w:marRight w:val="0"/>
          <w:marTop w:val="0"/>
          <w:marBottom w:val="0"/>
          <w:divBdr>
            <w:top w:val="none" w:sz="0" w:space="0" w:color="auto"/>
            <w:left w:val="none" w:sz="0" w:space="0" w:color="auto"/>
            <w:bottom w:val="none" w:sz="0" w:space="0" w:color="auto"/>
            <w:right w:val="none" w:sz="0" w:space="0" w:color="auto"/>
          </w:divBdr>
        </w:div>
        <w:div w:id="440730691">
          <w:marLeft w:val="640"/>
          <w:marRight w:val="0"/>
          <w:marTop w:val="0"/>
          <w:marBottom w:val="0"/>
          <w:divBdr>
            <w:top w:val="none" w:sz="0" w:space="0" w:color="auto"/>
            <w:left w:val="none" w:sz="0" w:space="0" w:color="auto"/>
            <w:bottom w:val="none" w:sz="0" w:space="0" w:color="auto"/>
            <w:right w:val="none" w:sz="0" w:space="0" w:color="auto"/>
          </w:divBdr>
        </w:div>
        <w:div w:id="1977829036">
          <w:marLeft w:val="640"/>
          <w:marRight w:val="0"/>
          <w:marTop w:val="0"/>
          <w:marBottom w:val="0"/>
          <w:divBdr>
            <w:top w:val="none" w:sz="0" w:space="0" w:color="auto"/>
            <w:left w:val="none" w:sz="0" w:space="0" w:color="auto"/>
            <w:bottom w:val="none" w:sz="0" w:space="0" w:color="auto"/>
            <w:right w:val="none" w:sz="0" w:space="0" w:color="auto"/>
          </w:divBdr>
        </w:div>
        <w:div w:id="1393961004">
          <w:marLeft w:val="640"/>
          <w:marRight w:val="0"/>
          <w:marTop w:val="0"/>
          <w:marBottom w:val="0"/>
          <w:divBdr>
            <w:top w:val="none" w:sz="0" w:space="0" w:color="auto"/>
            <w:left w:val="none" w:sz="0" w:space="0" w:color="auto"/>
            <w:bottom w:val="none" w:sz="0" w:space="0" w:color="auto"/>
            <w:right w:val="none" w:sz="0" w:space="0" w:color="auto"/>
          </w:divBdr>
        </w:div>
        <w:div w:id="834416667">
          <w:marLeft w:val="640"/>
          <w:marRight w:val="0"/>
          <w:marTop w:val="0"/>
          <w:marBottom w:val="0"/>
          <w:divBdr>
            <w:top w:val="none" w:sz="0" w:space="0" w:color="auto"/>
            <w:left w:val="none" w:sz="0" w:space="0" w:color="auto"/>
            <w:bottom w:val="none" w:sz="0" w:space="0" w:color="auto"/>
            <w:right w:val="none" w:sz="0" w:space="0" w:color="auto"/>
          </w:divBdr>
        </w:div>
        <w:div w:id="357045509">
          <w:marLeft w:val="640"/>
          <w:marRight w:val="0"/>
          <w:marTop w:val="0"/>
          <w:marBottom w:val="0"/>
          <w:divBdr>
            <w:top w:val="none" w:sz="0" w:space="0" w:color="auto"/>
            <w:left w:val="none" w:sz="0" w:space="0" w:color="auto"/>
            <w:bottom w:val="none" w:sz="0" w:space="0" w:color="auto"/>
            <w:right w:val="none" w:sz="0" w:space="0" w:color="auto"/>
          </w:divBdr>
        </w:div>
        <w:div w:id="2077193787">
          <w:marLeft w:val="640"/>
          <w:marRight w:val="0"/>
          <w:marTop w:val="0"/>
          <w:marBottom w:val="0"/>
          <w:divBdr>
            <w:top w:val="none" w:sz="0" w:space="0" w:color="auto"/>
            <w:left w:val="none" w:sz="0" w:space="0" w:color="auto"/>
            <w:bottom w:val="none" w:sz="0" w:space="0" w:color="auto"/>
            <w:right w:val="none" w:sz="0" w:space="0" w:color="auto"/>
          </w:divBdr>
        </w:div>
        <w:div w:id="1510489445">
          <w:marLeft w:val="640"/>
          <w:marRight w:val="0"/>
          <w:marTop w:val="0"/>
          <w:marBottom w:val="0"/>
          <w:divBdr>
            <w:top w:val="none" w:sz="0" w:space="0" w:color="auto"/>
            <w:left w:val="none" w:sz="0" w:space="0" w:color="auto"/>
            <w:bottom w:val="none" w:sz="0" w:space="0" w:color="auto"/>
            <w:right w:val="none" w:sz="0" w:space="0" w:color="auto"/>
          </w:divBdr>
        </w:div>
        <w:div w:id="1412509728">
          <w:marLeft w:val="640"/>
          <w:marRight w:val="0"/>
          <w:marTop w:val="0"/>
          <w:marBottom w:val="0"/>
          <w:divBdr>
            <w:top w:val="none" w:sz="0" w:space="0" w:color="auto"/>
            <w:left w:val="none" w:sz="0" w:space="0" w:color="auto"/>
            <w:bottom w:val="none" w:sz="0" w:space="0" w:color="auto"/>
            <w:right w:val="none" w:sz="0" w:space="0" w:color="auto"/>
          </w:divBdr>
        </w:div>
        <w:div w:id="1398018293">
          <w:marLeft w:val="640"/>
          <w:marRight w:val="0"/>
          <w:marTop w:val="0"/>
          <w:marBottom w:val="0"/>
          <w:divBdr>
            <w:top w:val="none" w:sz="0" w:space="0" w:color="auto"/>
            <w:left w:val="none" w:sz="0" w:space="0" w:color="auto"/>
            <w:bottom w:val="none" w:sz="0" w:space="0" w:color="auto"/>
            <w:right w:val="none" w:sz="0" w:space="0" w:color="auto"/>
          </w:divBdr>
        </w:div>
        <w:div w:id="654187700">
          <w:marLeft w:val="640"/>
          <w:marRight w:val="0"/>
          <w:marTop w:val="0"/>
          <w:marBottom w:val="0"/>
          <w:divBdr>
            <w:top w:val="none" w:sz="0" w:space="0" w:color="auto"/>
            <w:left w:val="none" w:sz="0" w:space="0" w:color="auto"/>
            <w:bottom w:val="none" w:sz="0" w:space="0" w:color="auto"/>
            <w:right w:val="none" w:sz="0" w:space="0" w:color="auto"/>
          </w:divBdr>
        </w:div>
        <w:div w:id="1073431368">
          <w:marLeft w:val="640"/>
          <w:marRight w:val="0"/>
          <w:marTop w:val="0"/>
          <w:marBottom w:val="0"/>
          <w:divBdr>
            <w:top w:val="none" w:sz="0" w:space="0" w:color="auto"/>
            <w:left w:val="none" w:sz="0" w:space="0" w:color="auto"/>
            <w:bottom w:val="none" w:sz="0" w:space="0" w:color="auto"/>
            <w:right w:val="none" w:sz="0" w:space="0" w:color="auto"/>
          </w:divBdr>
        </w:div>
        <w:div w:id="915893149">
          <w:marLeft w:val="640"/>
          <w:marRight w:val="0"/>
          <w:marTop w:val="0"/>
          <w:marBottom w:val="0"/>
          <w:divBdr>
            <w:top w:val="none" w:sz="0" w:space="0" w:color="auto"/>
            <w:left w:val="none" w:sz="0" w:space="0" w:color="auto"/>
            <w:bottom w:val="none" w:sz="0" w:space="0" w:color="auto"/>
            <w:right w:val="none" w:sz="0" w:space="0" w:color="auto"/>
          </w:divBdr>
        </w:div>
        <w:div w:id="2115779554">
          <w:marLeft w:val="640"/>
          <w:marRight w:val="0"/>
          <w:marTop w:val="0"/>
          <w:marBottom w:val="0"/>
          <w:divBdr>
            <w:top w:val="none" w:sz="0" w:space="0" w:color="auto"/>
            <w:left w:val="none" w:sz="0" w:space="0" w:color="auto"/>
            <w:bottom w:val="none" w:sz="0" w:space="0" w:color="auto"/>
            <w:right w:val="none" w:sz="0" w:space="0" w:color="auto"/>
          </w:divBdr>
        </w:div>
        <w:div w:id="1661731621">
          <w:marLeft w:val="640"/>
          <w:marRight w:val="0"/>
          <w:marTop w:val="0"/>
          <w:marBottom w:val="0"/>
          <w:divBdr>
            <w:top w:val="none" w:sz="0" w:space="0" w:color="auto"/>
            <w:left w:val="none" w:sz="0" w:space="0" w:color="auto"/>
            <w:bottom w:val="none" w:sz="0" w:space="0" w:color="auto"/>
            <w:right w:val="none" w:sz="0" w:space="0" w:color="auto"/>
          </w:divBdr>
        </w:div>
        <w:div w:id="604384552">
          <w:marLeft w:val="640"/>
          <w:marRight w:val="0"/>
          <w:marTop w:val="0"/>
          <w:marBottom w:val="0"/>
          <w:divBdr>
            <w:top w:val="none" w:sz="0" w:space="0" w:color="auto"/>
            <w:left w:val="none" w:sz="0" w:space="0" w:color="auto"/>
            <w:bottom w:val="none" w:sz="0" w:space="0" w:color="auto"/>
            <w:right w:val="none" w:sz="0" w:space="0" w:color="auto"/>
          </w:divBdr>
        </w:div>
        <w:div w:id="2099863014">
          <w:marLeft w:val="640"/>
          <w:marRight w:val="0"/>
          <w:marTop w:val="0"/>
          <w:marBottom w:val="0"/>
          <w:divBdr>
            <w:top w:val="none" w:sz="0" w:space="0" w:color="auto"/>
            <w:left w:val="none" w:sz="0" w:space="0" w:color="auto"/>
            <w:bottom w:val="none" w:sz="0" w:space="0" w:color="auto"/>
            <w:right w:val="none" w:sz="0" w:space="0" w:color="auto"/>
          </w:divBdr>
        </w:div>
        <w:div w:id="1446847497">
          <w:marLeft w:val="640"/>
          <w:marRight w:val="0"/>
          <w:marTop w:val="0"/>
          <w:marBottom w:val="0"/>
          <w:divBdr>
            <w:top w:val="none" w:sz="0" w:space="0" w:color="auto"/>
            <w:left w:val="none" w:sz="0" w:space="0" w:color="auto"/>
            <w:bottom w:val="none" w:sz="0" w:space="0" w:color="auto"/>
            <w:right w:val="none" w:sz="0" w:space="0" w:color="auto"/>
          </w:divBdr>
        </w:div>
        <w:div w:id="2051298682">
          <w:marLeft w:val="640"/>
          <w:marRight w:val="0"/>
          <w:marTop w:val="0"/>
          <w:marBottom w:val="0"/>
          <w:divBdr>
            <w:top w:val="none" w:sz="0" w:space="0" w:color="auto"/>
            <w:left w:val="none" w:sz="0" w:space="0" w:color="auto"/>
            <w:bottom w:val="none" w:sz="0" w:space="0" w:color="auto"/>
            <w:right w:val="none" w:sz="0" w:space="0" w:color="auto"/>
          </w:divBdr>
        </w:div>
        <w:div w:id="1299535447">
          <w:marLeft w:val="640"/>
          <w:marRight w:val="0"/>
          <w:marTop w:val="0"/>
          <w:marBottom w:val="0"/>
          <w:divBdr>
            <w:top w:val="none" w:sz="0" w:space="0" w:color="auto"/>
            <w:left w:val="none" w:sz="0" w:space="0" w:color="auto"/>
            <w:bottom w:val="none" w:sz="0" w:space="0" w:color="auto"/>
            <w:right w:val="none" w:sz="0" w:space="0" w:color="auto"/>
          </w:divBdr>
        </w:div>
        <w:div w:id="1557279536">
          <w:marLeft w:val="640"/>
          <w:marRight w:val="0"/>
          <w:marTop w:val="0"/>
          <w:marBottom w:val="0"/>
          <w:divBdr>
            <w:top w:val="none" w:sz="0" w:space="0" w:color="auto"/>
            <w:left w:val="none" w:sz="0" w:space="0" w:color="auto"/>
            <w:bottom w:val="none" w:sz="0" w:space="0" w:color="auto"/>
            <w:right w:val="none" w:sz="0" w:space="0" w:color="auto"/>
          </w:divBdr>
        </w:div>
        <w:div w:id="1508249704">
          <w:marLeft w:val="640"/>
          <w:marRight w:val="0"/>
          <w:marTop w:val="0"/>
          <w:marBottom w:val="0"/>
          <w:divBdr>
            <w:top w:val="none" w:sz="0" w:space="0" w:color="auto"/>
            <w:left w:val="none" w:sz="0" w:space="0" w:color="auto"/>
            <w:bottom w:val="none" w:sz="0" w:space="0" w:color="auto"/>
            <w:right w:val="none" w:sz="0" w:space="0" w:color="auto"/>
          </w:divBdr>
        </w:div>
        <w:div w:id="1787460088">
          <w:marLeft w:val="640"/>
          <w:marRight w:val="0"/>
          <w:marTop w:val="0"/>
          <w:marBottom w:val="0"/>
          <w:divBdr>
            <w:top w:val="none" w:sz="0" w:space="0" w:color="auto"/>
            <w:left w:val="none" w:sz="0" w:space="0" w:color="auto"/>
            <w:bottom w:val="none" w:sz="0" w:space="0" w:color="auto"/>
            <w:right w:val="none" w:sz="0" w:space="0" w:color="auto"/>
          </w:divBdr>
        </w:div>
        <w:div w:id="1305770474">
          <w:marLeft w:val="640"/>
          <w:marRight w:val="0"/>
          <w:marTop w:val="0"/>
          <w:marBottom w:val="0"/>
          <w:divBdr>
            <w:top w:val="none" w:sz="0" w:space="0" w:color="auto"/>
            <w:left w:val="none" w:sz="0" w:space="0" w:color="auto"/>
            <w:bottom w:val="none" w:sz="0" w:space="0" w:color="auto"/>
            <w:right w:val="none" w:sz="0" w:space="0" w:color="auto"/>
          </w:divBdr>
        </w:div>
        <w:div w:id="776563879">
          <w:marLeft w:val="640"/>
          <w:marRight w:val="0"/>
          <w:marTop w:val="0"/>
          <w:marBottom w:val="0"/>
          <w:divBdr>
            <w:top w:val="none" w:sz="0" w:space="0" w:color="auto"/>
            <w:left w:val="none" w:sz="0" w:space="0" w:color="auto"/>
            <w:bottom w:val="none" w:sz="0" w:space="0" w:color="auto"/>
            <w:right w:val="none" w:sz="0" w:space="0" w:color="auto"/>
          </w:divBdr>
        </w:div>
        <w:div w:id="1623801696">
          <w:marLeft w:val="640"/>
          <w:marRight w:val="0"/>
          <w:marTop w:val="0"/>
          <w:marBottom w:val="0"/>
          <w:divBdr>
            <w:top w:val="none" w:sz="0" w:space="0" w:color="auto"/>
            <w:left w:val="none" w:sz="0" w:space="0" w:color="auto"/>
            <w:bottom w:val="none" w:sz="0" w:space="0" w:color="auto"/>
            <w:right w:val="none" w:sz="0" w:space="0" w:color="auto"/>
          </w:divBdr>
        </w:div>
        <w:div w:id="1725057854">
          <w:marLeft w:val="640"/>
          <w:marRight w:val="0"/>
          <w:marTop w:val="0"/>
          <w:marBottom w:val="0"/>
          <w:divBdr>
            <w:top w:val="none" w:sz="0" w:space="0" w:color="auto"/>
            <w:left w:val="none" w:sz="0" w:space="0" w:color="auto"/>
            <w:bottom w:val="none" w:sz="0" w:space="0" w:color="auto"/>
            <w:right w:val="none" w:sz="0" w:space="0" w:color="auto"/>
          </w:divBdr>
        </w:div>
        <w:div w:id="501435263">
          <w:marLeft w:val="640"/>
          <w:marRight w:val="0"/>
          <w:marTop w:val="0"/>
          <w:marBottom w:val="0"/>
          <w:divBdr>
            <w:top w:val="none" w:sz="0" w:space="0" w:color="auto"/>
            <w:left w:val="none" w:sz="0" w:space="0" w:color="auto"/>
            <w:bottom w:val="none" w:sz="0" w:space="0" w:color="auto"/>
            <w:right w:val="none" w:sz="0" w:space="0" w:color="auto"/>
          </w:divBdr>
        </w:div>
        <w:div w:id="1851945370">
          <w:marLeft w:val="640"/>
          <w:marRight w:val="0"/>
          <w:marTop w:val="0"/>
          <w:marBottom w:val="0"/>
          <w:divBdr>
            <w:top w:val="none" w:sz="0" w:space="0" w:color="auto"/>
            <w:left w:val="none" w:sz="0" w:space="0" w:color="auto"/>
            <w:bottom w:val="none" w:sz="0" w:space="0" w:color="auto"/>
            <w:right w:val="none" w:sz="0" w:space="0" w:color="auto"/>
          </w:divBdr>
        </w:div>
        <w:div w:id="992493655">
          <w:marLeft w:val="640"/>
          <w:marRight w:val="0"/>
          <w:marTop w:val="0"/>
          <w:marBottom w:val="0"/>
          <w:divBdr>
            <w:top w:val="none" w:sz="0" w:space="0" w:color="auto"/>
            <w:left w:val="none" w:sz="0" w:space="0" w:color="auto"/>
            <w:bottom w:val="none" w:sz="0" w:space="0" w:color="auto"/>
            <w:right w:val="none" w:sz="0" w:space="0" w:color="auto"/>
          </w:divBdr>
        </w:div>
        <w:div w:id="1652366024">
          <w:marLeft w:val="640"/>
          <w:marRight w:val="0"/>
          <w:marTop w:val="0"/>
          <w:marBottom w:val="0"/>
          <w:divBdr>
            <w:top w:val="none" w:sz="0" w:space="0" w:color="auto"/>
            <w:left w:val="none" w:sz="0" w:space="0" w:color="auto"/>
            <w:bottom w:val="none" w:sz="0" w:space="0" w:color="auto"/>
            <w:right w:val="none" w:sz="0" w:space="0" w:color="auto"/>
          </w:divBdr>
        </w:div>
        <w:div w:id="1928684365">
          <w:marLeft w:val="640"/>
          <w:marRight w:val="0"/>
          <w:marTop w:val="0"/>
          <w:marBottom w:val="0"/>
          <w:divBdr>
            <w:top w:val="none" w:sz="0" w:space="0" w:color="auto"/>
            <w:left w:val="none" w:sz="0" w:space="0" w:color="auto"/>
            <w:bottom w:val="none" w:sz="0" w:space="0" w:color="auto"/>
            <w:right w:val="none" w:sz="0" w:space="0" w:color="auto"/>
          </w:divBdr>
        </w:div>
        <w:div w:id="630790790">
          <w:marLeft w:val="640"/>
          <w:marRight w:val="0"/>
          <w:marTop w:val="0"/>
          <w:marBottom w:val="0"/>
          <w:divBdr>
            <w:top w:val="none" w:sz="0" w:space="0" w:color="auto"/>
            <w:left w:val="none" w:sz="0" w:space="0" w:color="auto"/>
            <w:bottom w:val="none" w:sz="0" w:space="0" w:color="auto"/>
            <w:right w:val="none" w:sz="0" w:space="0" w:color="auto"/>
          </w:divBdr>
        </w:div>
        <w:div w:id="545679643">
          <w:marLeft w:val="640"/>
          <w:marRight w:val="0"/>
          <w:marTop w:val="0"/>
          <w:marBottom w:val="0"/>
          <w:divBdr>
            <w:top w:val="none" w:sz="0" w:space="0" w:color="auto"/>
            <w:left w:val="none" w:sz="0" w:space="0" w:color="auto"/>
            <w:bottom w:val="none" w:sz="0" w:space="0" w:color="auto"/>
            <w:right w:val="none" w:sz="0" w:space="0" w:color="auto"/>
          </w:divBdr>
        </w:div>
        <w:div w:id="1789860637">
          <w:marLeft w:val="640"/>
          <w:marRight w:val="0"/>
          <w:marTop w:val="0"/>
          <w:marBottom w:val="0"/>
          <w:divBdr>
            <w:top w:val="none" w:sz="0" w:space="0" w:color="auto"/>
            <w:left w:val="none" w:sz="0" w:space="0" w:color="auto"/>
            <w:bottom w:val="none" w:sz="0" w:space="0" w:color="auto"/>
            <w:right w:val="none" w:sz="0" w:space="0" w:color="auto"/>
          </w:divBdr>
        </w:div>
        <w:div w:id="764768441">
          <w:marLeft w:val="640"/>
          <w:marRight w:val="0"/>
          <w:marTop w:val="0"/>
          <w:marBottom w:val="0"/>
          <w:divBdr>
            <w:top w:val="none" w:sz="0" w:space="0" w:color="auto"/>
            <w:left w:val="none" w:sz="0" w:space="0" w:color="auto"/>
            <w:bottom w:val="none" w:sz="0" w:space="0" w:color="auto"/>
            <w:right w:val="none" w:sz="0" w:space="0" w:color="auto"/>
          </w:divBdr>
        </w:div>
        <w:div w:id="49309383">
          <w:marLeft w:val="640"/>
          <w:marRight w:val="0"/>
          <w:marTop w:val="0"/>
          <w:marBottom w:val="0"/>
          <w:divBdr>
            <w:top w:val="none" w:sz="0" w:space="0" w:color="auto"/>
            <w:left w:val="none" w:sz="0" w:space="0" w:color="auto"/>
            <w:bottom w:val="none" w:sz="0" w:space="0" w:color="auto"/>
            <w:right w:val="none" w:sz="0" w:space="0" w:color="auto"/>
          </w:divBdr>
        </w:div>
        <w:div w:id="2105034445">
          <w:marLeft w:val="640"/>
          <w:marRight w:val="0"/>
          <w:marTop w:val="0"/>
          <w:marBottom w:val="0"/>
          <w:divBdr>
            <w:top w:val="none" w:sz="0" w:space="0" w:color="auto"/>
            <w:left w:val="none" w:sz="0" w:space="0" w:color="auto"/>
            <w:bottom w:val="none" w:sz="0" w:space="0" w:color="auto"/>
            <w:right w:val="none" w:sz="0" w:space="0" w:color="auto"/>
          </w:divBdr>
        </w:div>
        <w:div w:id="1057361716">
          <w:marLeft w:val="640"/>
          <w:marRight w:val="0"/>
          <w:marTop w:val="0"/>
          <w:marBottom w:val="0"/>
          <w:divBdr>
            <w:top w:val="none" w:sz="0" w:space="0" w:color="auto"/>
            <w:left w:val="none" w:sz="0" w:space="0" w:color="auto"/>
            <w:bottom w:val="none" w:sz="0" w:space="0" w:color="auto"/>
            <w:right w:val="none" w:sz="0" w:space="0" w:color="auto"/>
          </w:divBdr>
        </w:div>
        <w:div w:id="1052341954">
          <w:marLeft w:val="640"/>
          <w:marRight w:val="0"/>
          <w:marTop w:val="0"/>
          <w:marBottom w:val="0"/>
          <w:divBdr>
            <w:top w:val="none" w:sz="0" w:space="0" w:color="auto"/>
            <w:left w:val="none" w:sz="0" w:space="0" w:color="auto"/>
            <w:bottom w:val="none" w:sz="0" w:space="0" w:color="auto"/>
            <w:right w:val="none" w:sz="0" w:space="0" w:color="auto"/>
          </w:divBdr>
        </w:div>
        <w:div w:id="168444950">
          <w:marLeft w:val="640"/>
          <w:marRight w:val="0"/>
          <w:marTop w:val="0"/>
          <w:marBottom w:val="0"/>
          <w:divBdr>
            <w:top w:val="none" w:sz="0" w:space="0" w:color="auto"/>
            <w:left w:val="none" w:sz="0" w:space="0" w:color="auto"/>
            <w:bottom w:val="none" w:sz="0" w:space="0" w:color="auto"/>
            <w:right w:val="none" w:sz="0" w:space="0" w:color="auto"/>
          </w:divBdr>
        </w:div>
        <w:div w:id="700982861">
          <w:marLeft w:val="640"/>
          <w:marRight w:val="0"/>
          <w:marTop w:val="0"/>
          <w:marBottom w:val="0"/>
          <w:divBdr>
            <w:top w:val="none" w:sz="0" w:space="0" w:color="auto"/>
            <w:left w:val="none" w:sz="0" w:space="0" w:color="auto"/>
            <w:bottom w:val="none" w:sz="0" w:space="0" w:color="auto"/>
            <w:right w:val="none" w:sz="0" w:space="0" w:color="auto"/>
          </w:divBdr>
        </w:div>
        <w:div w:id="1933705448">
          <w:marLeft w:val="640"/>
          <w:marRight w:val="0"/>
          <w:marTop w:val="0"/>
          <w:marBottom w:val="0"/>
          <w:divBdr>
            <w:top w:val="none" w:sz="0" w:space="0" w:color="auto"/>
            <w:left w:val="none" w:sz="0" w:space="0" w:color="auto"/>
            <w:bottom w:val="none" w:sz="0" w:space="0" w:color="auto"/>
            <w:right w:val="none" w:sz="0" w:space="0" w:color="auto"/>
          </w:divBdr>
        </w:div>
        <w:div w:id="1457219256">
          <w:marLeft w:val="640"/>
          <w:marRight w:val="0"/>
          <w:marTop w:val="0"/>
          <w:marBottom w:val="0"/>
          <w:divBdr>
            <w:top w:val="none" w:sz="0" w:space="0" w:color="auto"/>
            <w:left w:val="none" w:sz="0" w:space="0" w:color="auto"/>
            <w:bottom w:val="none" w:sz="0" w:space="0" w:color="auto"/>
            <w:right w:val="none" w:sz="0" w:space="0" w:color="auto"/>
          </w:divBdr>
        </w:div>
        <w:div w:id="1209684828">
          <w:marLeft w:val="640"/>
          <w:marRight w:val="0"/>
          <w:marTop w:val="0"/>
          <w:marBottom w:val="0"/>
          <w:divBdr>
            <w:top w:val="none" w:sz="0" w:space="0" w:color="auto"/>
            <w:left w:val="none" w:sz="0" w:space="0" w:color="auto"/>
            <w:bottom w:val="none" w:sz="0" w:space="0" w:color="auto"/>
            <w:right w:val="none" w:sz="0" w:space="0" w:color="auto"/>
          </w:divBdr>
        </w:div>
        <w:div w:id="561871566">
          <w:marLeft w:val="640"/>
          <w:marRight w:val="0"/>
          <w:marTop w:val="0"/>
          <w:marBottom w:val="0"/>
          <w:divBdr>
            <w:top w:val="none" w:sz="0" w:space="0" w:color="auto"/>
            <w:left w:val="none" w:sz="0" w:space="0" w:color="auto"/>
            <w:bottom w:val="none" w:sz="0" w:space="0" w:color="auto"/>
            <w:right w:val="none" w:sz="0" w:space="0" w:color="auto"/>
          </w:divBdr>
        </w:div>
        <w:div w:id="1600137143">
          <w:marLeft w:val="640"/>
          <w:marRight w:val="0"/>
          <w:marTop w:val="0"/>
          <w:marBottom w:val="0"/>
          <w:divBdr>
            <w:top w:val="none" w:sz="0" w:space="0" w:color="auto"/>
            <w:left w:val="none" w:sz="0" w:space="0" w:color="auto"/>
            <w:bottom w:val="none" w:sz="0" w:space="0" w:color="auto"/>
            <w:right w:val="none" w:sz="0" w:space="0" w:color="auto"/>
          </w:divBdr>
        </w:div>
        <w:div w:id="849485342">
          <w:marLeft w:val="640"/>
          <w:marRight w:val="0"/>
          <w:marTop w:val="0"/>
          <w:marBottom w:val="0"/>
          <w:divBdr>
            <w:top w:val="none" w:sz="0" w:space="0" w:color="auto"/>
            <w:left w:val="none" w:sz="0" w:space="0" w:color="auto"/>
            <w:bottom w:val="none" w:sz="0" w:space="0" w:color="auto"/>
            <w:right w:val="none" w:sz="0" w:space="0" w:color="auto"/>
          </w:divBdr>
        </w:div>
        <w:div w:id="1852144175">
          <w:marLeft w:val="640"/>
          <w:marRight w:val="0"/>
          <w:marTop w:val="0"/>
          <w:marBottom w:val="0"/>
          <w:divBdr>
            <w:top w:val="none" w:sz="0" w:space="0" w:color="auto"/>
            <w:left w:val="none" w:sz="0" w:space="0" w:color="auto"/>
            <w:bottom w:val="none" w:sz="0" w:space="0" w:color="auto"/>
            <w:right w:val="none" w:sz="0" w:space="0" w:color="auto"/>
          </w:divBdr>
        </w:div>
        <w:div w:id="152066095">
          <w:marLeft w:val="640"/>
          <w:marRight w:val="0"/>
          <w:marTop w:val="0"/>
          <w:marBottom w:val="0"/>
          <w:divBdr>
            <w:top w:val="none" w:sz="0" w:space="0" w:color="auto"/>
            <w:left w:val="none" w:sz="0" w:space="0" w:color="auto"/>
            <w:bottom w:val="none" w:sz="0" w:space="0" w:color="auto"/>
            <w:right w:val="none" w:sz="0" w:space="0" w:color="auto"/>
          </w:divBdr>
        </w:div>
        <w:div w:id="423840322">
          <w:marLeft w:val="640"/>
          <w:marRight w:val="0"/>
          <w:marTop w:val="0"/>
          <w:marBottom w:val="0"/>
          <w:divBdr>
            <w:top w:val="none" w:sz="0" w:space="0" w:color="auto"/>
            <w:left w:val="none" w:sz="0" w:space="0" w:color="auto"/>
            <w:bottom w:val="none" w:sz="0" w:space="0" w:color="auto"/>
            <w:right w:val="none" w:sz="0" w:space="0" w:color="auto"/>
          </w:divBdr>
        </w:div>
        <w:div w:id="1555848223">
          <w:marLeft w:val="640"/>
          <w:marRight w:val="0"/>
          <w:marTop w:val="0"/>
          <w:marBottom w:val="0"/>
          <w:divBdr>
            <w:top w:val="none" w:sz="0" w:space="0" w:color="auto"/>
            <w:left w:val="none" w:sz="0" w:space="0" w:color="auto"/>
            <w:bottom w:val="none" w:sz="0" w:space="0" w:color="auto"/>
            <w:right w:val="none" w:sz="0" w:space="0" w:color="auto"/>
          </w:divBdr>
        </w:div>
        <w:div w:id="1079519399">
          <w:marLeft w:val="640"/>
          <w:marRight w:val="0"/>
          <w:marTop w:val="0"/>
          <w:marBottom w:val="0"/>
          <w:divBdr>
            <w:top w:val="none" w:sz="0" w:space="0" w:color="auto"/>
            <w:left w:val="none" w:sz="0" w:space="0" w:color="auto"/>
            <w:bottom w:val="none" w:sz="0" w:space="0" w:color="auto"/>
            <w:right w:val="none" w:sz="0" w:space="0" w:color="auto"/>
          </w:divBdr>
        </w:div>
        <w:div w:id="700325363">
          <w:marLeft w:val="640"/>
          <w:marRight w:val="0"/>
          <w:marTop w:val="0"/>
          <w:marBottom w:val="0"/>
          <w:divBdr>
            <w:top w:val="none" w:sz="0" w:space="0" w:color="auto"/>
            <w:left w:val="none" w:sz="0" w:space="0" w:color="auto"/>
            <w:bottom w:val="none" w:sz="0" w:space="0" w:color="auto"/>
            <w:right w:val="none" w:sz="0" w:space="0" w:color="auto"/>
          </w:divBdr>
        </w:div>
        <w:div w:id="222912992">
          <w:marLeft w:val="640"/>
          <w:marRight w:val="0"/>
          <w:marTop w:val="0"/>
          <w:marBottom w:val="0"/>
          <w:divBdr>
            <w:top w:val="none" w:sz="0" w:space="0" w:color="auto"/>
            <w:left w:val="none" w:sz="0" w:space="0" w:color="auto"/>
            <w:bottom w:val="none" w:sz="0" w:space="0" w:color="auto"/>
            <w:right w:val="none" w:sz="0" w:space="0" w:color="auto"/>
          </w:divBdr>
        </w:div>
        <w:div w:id="1936160695">
          <w:marLeft w:val="640"/>
          <w:marRight w:val="0"/>
          <w:marTop w:val="0"/>
          <w:marBottom w:val="0"/>
          <w:divBdr>
            <w:top w:val="none" w:sz="0" w:space="0" w:color="auto"/>
            <w:left w:val="none" w:sz="0" w:space="0" w:color="auto"/>
            <w:bottom w:val="none" w:sz="0" w:space="0" w:color="auto"/>
            <w:right w:val="none" w:sz="0" w:space="0" w:color="auto"/>
          </w:divBdr>
        </w:div>
        <w:div w:id="1486242630">
          <w:marLeft w:val="640"/>
          <w:marRight w:val="0"/>
          <w:marTop w:val="0"/>
          <w:marBottom w:val="0"/>
          <w:divBdr>
            <w:top w:val="none" w:sz="0" w:space="0" w:color="auto"/>
            <w:left w:val="none" w:sz="0" w:space="0" w:color="auto"/>
            <w:bottom w:val="none" w:sz="0" w:space="0" w:color="auto"/>
            <w:right w:val="none" w:sz="0" w:space="0" w:color="auto"/>
          </w:divBdr>
        </w:div>
        <w:div w:id="1694108926">
          <w:marLeft w:val="640"/>
          <w:marRight w:val="0"/>
          <w:marTop w:val="0"/>
          <w:marBottom w:val="0"/>
          <w:divBdr>
            <w:top w:val="none" w:sz="0" w:space="0" w:color="auto"/>
            <w:left w:val="none" w:sz="0" w:space="0" w:color="auto"/>
            <w:bottom w:val="none" w:sz="0" w:space="0" w:color="auto"/>
            <w:right w:val="none" w:sz="0" w:space="0" w:color="auto"/>
          </w:divBdr>
        </w:div>
        <w:div w:id="2063862959">
          <w:marLeft w:val="640"/>
          <w:marRight w:val="0"/>
          <w:marTop w:val="0"/>
          <w:marBottom w:val="0"/>
          <w:divBdr>
            <w:top w:val="none" w:sz="0" w:space="0" w:color="auto"/>
            <w:left w:val="none" w:sz="0" w:space="0" w:color="auto"/>
            <w:bottom w:val="none" w:sz="0" w:space="0" w:color="auto"/>
            <w:right w:val="none" w:sz="0" w:space="0" w:color="auto"/>
          </w:divBdr>
        </w:div>
        <w:div w:id="652567745">
          <w:marLeft w:val="640"/>
          <w:marRight w:val="0"/>
          <w:marTop w:val="0"/>
          <w:marBottom w:val="0"/>
          <w:divBdr>
            <w:top w:val="none" w:sz="0" w:space="0" w:color="auto"/>
            <w:left w:val="none" w:sz="0" w:space="0" w:color="auto"/>
            <w:bottom w:val="none" w:sz="0" w:space="0" w:color="auto"/>
            <w:right w:val="none" w:sz="0" w:space="0" w:color="auto"/>
          </w:divBdr>
        </w:div>
        <w:div w:id="1628925796">
          <w:marLeft w:val="640"/>
          <w:marRight w:val="0"/>
          <w:marTop w:val="0"/>
          <w:marBottom w:val="0"/>
          <w:divBdr>
            <w:top w:val="none" w:sz="0" w:space="0" w:color="auto"/>
            <w:left w:val="none" w:sz="0" w:space="0" w:color="auto"/>
            <w:bottom w:val="none" w:sz="0" w:space="0" w:color="auto"/>
            <w:right w:val="none" w:sz="0" w:space="0" w:color="auto"/>
          </w:divBdr>
        </w:div>
        <w:div w:id="2018923790">
          <w:marLeft w:val="640"/>
          <w:marRight w:val="0"/>
          <w:marTop w:val="0"/>
          <w:marBottom w:val="0"/>
          <w:divBdr>
            <w:top w:val="none" w:sz="0" w:space="0" w:color="auto"/>
            <w:left w:val="none" w:sz="0" w:space="0" w:color="auto"/>
            <w:bottom w:val="none" w:sz="0" w:space="0" w:color="auto"/>
            <w:right w:val="none" w:sz="0" w:space="0" w:color="auto"/>
          </w:divBdr>
        </w:div>
        <w:div w:id="552928716">
          <w:marLeft w:val="640"/>
          <w:marRight w:val="0"/>
          <w:marTop w:val="0"/>
          <w:marBottom w:val="0"/>
          <w:divBdr>
            <w:top w:val="none" w:sz="0" w:space="0" w:color="auto"/>
            <w:left w:val="none" w:sz="0" w:space="0" w:color="auto"/>
            <w:bottom w:val="none" w:sz="0" w:space="0" w:color="auto"/>
            <w:right w:val="none" w:sz="0" w:space="0" w:color="auto"/>
          </w:divBdr>
        </w:div>
        <w:div w:id="1706522650">
          <w:marLeft w:val="640"/>
          <w:marRight w:val="0"/>
          <w:marTop w:val="0"/>
          <w:marBottom w:val="0"/>
          <w:divBdr>
            <w:top w:val="none" w:sz="0" w:space="0" w:color="auto"/>
            <w:left w:val="none" w:sz="0" w:space="0" w:color="auto"/>
            <w:bottom w:val="none" w:sz="0" w:space="0" w:color="auto"/>
            <w:right w:val="none" w:sz="0" w:space="0" w:color="auto"/>
          </w:divBdr>
        </w:div>
        <w:div w:id="592057656">
          <w:marLeft w:val="640"/>
          <w:marRight w:val="0"/>
          <w:marTop w:val="0"/>
          <w:marBottom w:val="0"/>
          <w:divBdr>
            <w:top w:val="none" w:sz="0" w:space="0" w:color="auto"/>
            <w:left w:val="none" w:sz="0" w:space="0" w:color="auto"/>
            <w:bottom w:val="none" w:sz="0" w:space="0" w:color="auto"/>
            <w:right w:val="none" w:sz="0" w:space="0" w:color="auto"/>
          </w:divBdr>
        </w:div>
        <w:div w:id="347609440">
          <w:marLeft w:val="640"/>
          <w:marRight w:val="0"/>
          <w:marTop w:val="0"/>
          <w:marBottom w:val="0"/>
          <w:divBdr>
            <w:top w:val="none" w:sz="0" w:space="0" w:color="auto"/>
            <w:left w:val="none" w:sz="0" w:space="0" w:color="auto"/>
            <w:bottom w:val="none" w:sz="0" w:space="0" w:color="auto"/>
            <w:right w:val="none" w:sz="0" w:space="0" w:color="auto"/>
          </w:divBdr>
        </w:div>
        <w:div w:id="292828541">
          <w:marLeft w:val="640"/>
          <w:marRight w:val="0"/>
          <w:marTop w:val="0"/>
          <w:marBottom w:val="0"/>
          <w:divBdr>
            <w:top w:val="none" w:sz="0" w:space="0" w:color="auto"/>
            <w:left w:val="none" w:sz="0" w:space="0" w:color="auto"/>
            <w:bottom w:val="none" w:sz="0" w:space="0" w:color="auto"/>
            <w:right w:val="none" w:sz="0" w:space="0" w:color="auto"/>
          </w:divBdr>
        </w:div>
        <w:div w:id="187569479">
          <w:marLeft w:val="640"/>
          <w:marRight w:val="0"/>
          <w:marTop w:val="0"/>
          <w:marBottom w:val="0"/>
          <w:divBdr>
            <w:top w:val="none" w:sz="0" w:space="0" w:color="auto"/>
            <w:left w:val="none" w:sz="0" w:space="0" w:color="auto"/>
            <w:bottom w:val="none" w:sz="0" w:space="0" w:color="auto"/>
            <w:right w:val="none" w:sz="0" w:space="0" w:color="auto"/>
          </w:divBdr>
        </w:div>
        <w:div w:id="1449738577">
          <w:marLeft w:val="640"/>
          <w:marRight w:val="0"/>
          <w:marTop w:val="0"/>
          <w:marBottom w:val="0"/>
          <w:divBdr>
            <w:top w:val="none" w:sz="0" w:space="0" w:color="auto"/>
            <w:left w:val="none" w:sz="0" w:space="0" w:color="auto"/>
            <w:bottom w:val="none" w:sz="0" w:space="0" w:color="auto"/>
            <w:right w:val="none" w:sz="0" w:space="0" w:color="auto"/>
          </w:divBdr>
        </w:div>
        <w:div w:id="1715812875">
          <w:marLeft w:val="640"/>
          <w:marRight w:val="0"/>
          <w:marTop w:val="0"/>
          <w:marBottom w:val="0"/>
          <w:divBdr>
            <w:top w:val="none" w:sz="0" w:space="0" w:color="auto"/>
            <w:left w:val="none" w:sz="0" w:space="0" w:color="auto"/>
            <w:bottom w:val="none" w:sz="0" w:space="0" w:color="auto"/>
            <w:right w:val="none" w:sz="0" w:space="0" w:color="auto"/>
          </w:divBdr>
        </w:div>
        <w:div w:id="1526282545">
          <w:marLeft w:val="640"/>
          <w:marRight w:val="0"/>
          <w:marTop w:val="0"/>
          <w:marBottom w:val="0"/>
          <w:divBdr>
            <w:top w:val="none" w:sz="0" w:space="0" w:color="auto"/>
            <w:left w:val="none" w:sz="0" w:space="0" w:color="auto"/>
            <w:bottom w:val="none" w:sz="0" w:space="0" w:color="auto"/>
            <w:right w:val="none" w:sz="0" w:space="0" w:color="auto"/>
          </w:divBdr>
        </w:div>
        <w:div w:id="795878035">
          <w:marLeft w:val="640"/>
          <w:marRight w:val="0"/>
          <w:marTop w:val="0"/>
          <w:marBottom w:val="0"/>
          <w:divBdr>
            <w:top w:val="none" w:sz="0" w:space="0" w:color="auto"/>
            <w:left w:val="none" w:sz="0" w:space="0" w:color="auto"/>
            <w:bottom w:val="none" w:sz="0" w:space="0" w:color="auto"/>
            <w:right w:val="none" w:sz="0" w:space="0" w:color="auto"/>
          </w:divBdr>
        </w:div>
        <w:div w:id="1690717487">
          <w:marLeft w:val="640"/>
          <w:marRight w:val="0"/>
          <w:marTop w:val="0"/>
          <w:marBottom w:val="0"/>
          <w:divBdr>
            <w:top w:val="none" w:sz="0" w:space="0" w:color="auto"/>
            <w:left w:val="none" w:sz="0" w:space="0" w:color="auto"/>
            <w:bottom w:val="none" w:sz="0" w:space="0" w:color="auto"/>
            <w:right w:val="none" w:sz="0" w:space="0" w:color="auto"/>
          </w:divBdr>
        </w:div>
        <w:div w:id="337319347">
          <w:marLeft w:val="640"/>
          <w:marRight w:val="0"/>
          <w:marTop w:val="0"/>
          <w:marBottom w:val="0"/>
          <w:divBdr>
            <w:top w:val="none" w:sz="0" w:space="0" w:color="auto"/>
            <w:left w:val="none" w:sz="0" w:space="0" w:color="auto"/>
            <w:bottom w:val="none" w:sz="0" w:space="0" w:color="auto"/>
            <w:right w:val="none" w:sz="0" w:space="0" w:color="auto"/>
          </w:divBdr>
        </w:div>
        <w:div w:id="152138163">
          <w:marLeft w:val="640"/>
          <w:marRight w:val="0"/>
          <w:marTop w:val="0"/>
          <w:marBottom w:val="0"/>
          <w:divBdr>
            <w:top w:val="none" w:sz="0" w:space="0" w:color="auto"/>
            <w:left w:val="none" w:sz="0" w:space="0" w:color="auto"/>
            <w:bottom w:val="none" w:sz="0" w:space="0" w:color="auto"/>
            <w:right w:val="none" w:sz="0" w:space="0" w:color="auto"/>
          </w:divBdr>
        </w:div>
        <w:div w:id="270358674">
          <w:marLeft w:val="640"/>
          <w:marRight w:val="0"/>
          <w:marTop w:val="0"/>
          <w:marBottom w:val="0"/>
          <w:divBdr>
            <w:top w:val="none" w:sz="0" w:space="0" w:color="auto"/>
            <w:left w:val="none" w:sz="0" w:space="0" w:color="auto"/>
            <w:bottom w:val="none" w:sz="0" w:space="0" w:color="auto"/>
            <w:right w:val="none" w:sz="0" w:space="0" w:color="auto"/>
          </w:divBdr>
        </w:div>
        <w:div w:id="1825047862">
          <w:marLeft w:val="640"/>
          <w:marRight w:val="0"/>
          <w:marTop w:val="0"/>
          <w:marBottom w:val="0"/>
          <w:divBdr>
            <w:top w:val="none" w:sz="0" w:space="0" w:color="auto"/>
            <w:left w:val="none" w:sz="0" w:space="0" w:color="auto"/>
            <w:bottom w:val="none" w:sz="0" w:space="0" w:color="auto"/>
            <w:right w:val="none" w:sz="0" w:space="0" w:color="auto"/>
          </w:divBdr>
        </w:div>
        <w:div w:id="1995257309">
          <w:marLeft w:val="640"/>
          <w:marRight w:val="0"/>
          <w:marTop w:val="0"/>
          <w:marBottom w:val="0"/>
          <w:divBdr>
            <w:top w:val="none" w:sz="0" w:space="0" w:color="auto"/>
            <w:left w:val="none" w:sz="0" w:space="0" w:color="auto"/>
            <w:bottom w:val="none" w:sz="0" w:space="0" w:color="auto"/>
            <w:right w:val="none" w:sz="0" w:space="0" w:color="auto"/>
          </w:divBdr>
        </w:div>
        <w:div w:id="2057505318">
          <w:marLeft w:val="640"/>
          <w:marRight w:val="0"/>
          <w:marTop w:val="0"/>
          <w:marBottom w:val="0"/>
          <w:divBdr>
            <w:top w:val="none" w:sz="0" w:space="0" w:color="auto"/>
            <w:left w:val="none" w:sz="0" w:space="0" w:color="auto"/>
            <w:bottom w:val="none" w:sz="0" w:space="0" w:color="auto"/>
            <w:right w:val="none" w:sz="0" w:space="0" w:color="auto"/>
          </w:divBdr>
        </w:div>
        <w:div w:id="1896429217">
          <w:marLeft w:val="640"/>
          <w:marRight w:val="0"/>
          <w:marTop w:val="0"/>
          <w:marBottom w:val="0"/>
          <w:divBdr>
            <w:top w:val="none" w:sz="0" w:space="0" w:color="auto"/>
            <w:left w:val="none" w:sz="0" w:space="0" w:color="auto"/>
            <w:bottom w:val="none" w:sz="0" w:space="0" w:color="auto"/>
            <w:right w:val="none" w:sz="0" w:space="0" w:color="auto"/>
          </w:divBdr>
        </w:div>
        <w:div w:id="1572351053">
          <w:marLeft w:val="640"/>
          <w:marRight w:val="0"/>
          <w:marTop w:val="0"/>
          <w:marBottom w:val="0"/>
          <w:divBdr>
            <w:top w:val="none" w:sz="0" w:space="0" w:color="auto"/>
            <w:left w:val="none" w:sz="0" w:space="0" w:color="auto"/>
            <w:bottom w:val="none" w:sz="0" w:space="0" w:color="auto"/>
            <w:right w:val="none" w:sz="0" w:space="0" w:color="auto"/>
          </w:divBdr>
        </w:div>
        <w:div w:id="486484047">
          <w:marLeft w:val="640"/>
          <w:marRight w:val="0"/>
          <w:marTop w:val="0"/>
          <w:marBottom w:val="0"/>
          <w:divBdr>
            <w:top w:val="none" w:sz="0" w:space="0" w:color="auto"/>
            <w:left w:val="none" w:sz="0" w:space="0" w:color="auto"/>
            <w:bottom w:val="none" w:sz="0" w:space="0" w:color="auto"/>
            <w:right w:val="none" w:sz="0" w:space="0" w:color="auto"/>
          </w:divBdr>
        </w:div>
        <w:div w:id="1686397316">
          <w:marLeft w:val="640"/>
          <w:marRight w:val="0"/>
          <w:marTop w:val="0"/>
          <w:marBottom w:val="0"/>
          <w:divBdr>
            <w:top w:val="none" w:sz="0" w:space="0" w:color="auto"/>
            <w:left w:val="none" w:sz="0" w:space="0" w:color="auto"/>
            <w:bottom w:val="none" w:sz="0" w:space="0" w:color="auto"/>
            <w:right w:val="none" w:sz="0" w:space="0" w:color="auto"/>
          </w:divBdr>
        </w:div>
        <w:div w:id="672534607">
          <w:marLeft w:val="640"/>
          <w:marRight w:val="0"/>
          <w:marTop w:val="0"/>
          <w:marBottom w:val="0"/>
          <w:divBdr>
            <w:top w:val="none" w:sz="0" w:space="0" w:color="auto"/>
            <w:left w:val="none" w:sz="0" w:space="0" w:color="auto"/>
            <w:bottom w:val="none" w:sz="0" w:space="0" w:color="auto"/>
            <w:right w:val="none" w:sz="0" w:space="0" w:color="auto"/>
          </w:divBdr>
        </w:div>
        <w:div w:id="962731491">
          <w:marLeft w:val="640"/>
          <w:marRight w:val="0"/>
          <w:marTop w:val="0"/>
          <w:marBottom w:val="0"/>
          <w:divBdr>
            <w:top w:val="none" w:sz="0" w:space="0" w:color="auto"/>
            <w:left w:val="none" w:sz="0" w:space="0" w:color="auto"/>
            <w:bottom w:val="none" w:sz="0" w:space="0" w:color="auto"/>
            <w:right w:val="none" w:sz="0" w:space="0" w:color="auto"/>
          </w:divBdr>
        </w:div>
        <w:div w:id="573244958">
          <w:marLeft w:val="640"/>
          <w:marRight w:val="0"/>
          <w:marTop w:val="0"/>
          <w:marBottom w:val="0"/>
          <w:divBdr>
            <w:top w:val="none" w:sz="0" w:space="0" w:color="auto"/>
            <w:left w:val="none" w:sz="0" w:space="0" w:color="auto"/>
            <w:bottom w:val="none" w:sz="0" w:space="0" w:color="auto"/>
            <w:right w:val="none" w:sz="0" w:space="0" w:color="auto"/>
          </w:divBdr>
        </w:div>
        <w:div w:id="686174845">
          <w:marLeft w:val="640"/>
          <w:marRight w:val="0"/>
          <w:marTop w:val="0"/>
          <w:marBottom w:val="0"/>
          <w:divBdr>
            <w:top w:val="none" w:sz="0" w:space="0" w:color="auto"/>
            <w:left w:val="none" w:sz="0" w:space="0" w:color="auto"/>
            <w:bottom w:val="none" w:sz="0" w:space="0" w:color="auto"/>
            <w:right w:val="none" w:sz="0" w:space="0" w:color="auto"/>
          </w:divBdr>
        </w:div>
        <w:div w:id="1817410874">
          <w:marLeft w:val="640"/>
          <w:marRight w:val="0"/>
          <w:marTop w:val="0"/>
          <w:marBottom w:val="0"/>
          <w:divBdr>
            <w:top w:val="none" w:sz="0" w:space="0" w:color="auto"/>
            <w:left w:val="none" w:sz="0" w:space="0" w:color="auto"/>
            <w:bottom w:val="none" w:sz="0" w:space="0" w:color="auto"/>
            <w:right w:val="none" w:sz="0" w:space="0" w:color="auto"/>
          </w:divBdr>
        </w:div>
        <w:div w:id="1173179299">
          <w:marLeft w:val="640"/>
          <w:marRight w:val="0"/>
          <w:marTop w:val="0"/>
          <w:marBottom w:val="0"/>
          <w:divBdr>
            <w:top w:val="none" w:sz="0" w:space="0" w:color="auto"/>
            <w:left w:val="none" w:sz="0" w:space="0" w:color="auto"/>
            <w:bottom w:val="none" w:sz="0" w:space="0" w:color="auto"/>
            <w:right w:val="none" w:sz="0" w:space="0" w:color="auto"/>
          </w:divBdr>
        </w:div>
        <w:div w:id="966862371">
          <w:marLeft w:val="640"/>
          <w:marRight w:val="0"/>
          <w:marTop w:val="0"/>
          <w:marBottom w:val="0"/>
          <w:divBdr>
            <w:top w:val="none" w:sz="0" w:space="0" w:color="auto"/>
            <w:left w:val="none" w:sz="0" w:space="0" w:color="auto"/>
            <w:bottom w:val="none" w:sz="0" w:space="0" w:color="auto"/>
            <w:right w:val="none" w:sz="0" w:space="0" w:color="auto"/>
          </w:divBdr>
        </w:div>
        <w:div w:id="844856183">
          <w:marLeft w:val="640"/>
          <w:marRight w:val="0"/>
          <w:marTop w:val="0"/>
          <w:marBottom w:val="0"/>
          <w:divBdr>
            <w:top w:val="none" w:sz="0" w:space="0" w:color="auto"/>
            <w:left w:val="none" w:sz="0" w:space="0" w:color="auto"/>
            <w:bottom w:val="none" w:sz="0" w:space="0" w:color="auto"/>
            <w:right w:val="none" w:sz="0" w:space="0" w:color="auto"/>
          </w:divBdr>
        </w:div>
        <w:div w:id="1132095370">
          <w:marLeft w:val="640"/>
          <w:marRight w:val="0"/>
          <w:marTop w:val="0"/>
          <w:marBottom w:val="0"/>
          <w:divBdr>
            <w:top w:val="none" w:sz="0" w:space="0" w:color="auto"/>
            <w:left w:val="none" w:sz="0" w:space="0" w:color="auto"/>
            <w:bottom w:val="none" w:sz="0" w:space="0" w:color="auto"/>
            <w:right w:val="none" w:sz="0" w:space="0" w:color="auto"/>
          </w:divBdr>
        </w:div>
        <w:div w:id="1283265155">
          <w:marLeft w:val="640"/>
          <w:marRight w:val="0"/>
          <w:marTop w:val="0"/>
          <w:marBottom w:val="0"/>
          <w:divBdr>
            <w:top w:val="none" w:sz="0" w:space="0" w:color="auto"/>
            <w:left w:val="none" w:sz="0" w:space="0" w:color="auto"/>
            <w:bottom w:val="none" w:sz="0" w:space="0" w:color="auto"/>
            <w:right w:val="none" w:sz="0" w:space="0" w:color="auto"/>
          </w:divBdr>
        </w:div>
        <w:div w:id="961811317">
          <w:marLeft w:val="640"/>
          <w:marRight w:val="0"/>
          <w:marTop w:val="0"/>
          <w:marBottom w:val="0"/>
          <w:divBdr>
            <w:top w:val="none" w:sz="0" w:space="0" w:color="auto"/>
            <w:left w:val="none" w:sz="0" w:space="0" w:color="auto"/>
            <w:bottom w:val="none" w:sz="0" w:space="0" w:color="auto"/>
            <w:right w:val="none" w:sz="0" w:space="0" w:color="auto"/>
          </w:divBdr>
        </w:div>
        <w:div w:id="1784110407">
          <w:marLeft w:val="640"/>
          <w:marRight w:val="0"/>
          <w:marTop w:val="0"/>
          <w:marBottom w:val="0"/>
          <w:divBdr>
            <w:top w:val="none" w:sz="0" w:space="0" w:color="auto"/>
            <w:left w:val="none" w:sz="0" w:space="0" w:color="auto"/>
            <w:bottom w:val="none" w:sz="0" w:space="0" w:color="auto"/>
            <w:right w:val="none" w:sz="0" w:space="0" w:color="auto"/>
          </w:divBdr>
        </w:div>
        <w:div w:id="494414606">
          <w:marLeft w:val="640"/>
          <w:marRight w:val="0"/>
          <w:marTop w:val="0"/>
          <w:marBottom w:val="0"/>
          <w:divBdr>
            <w:top w:val="none" w:sz="0" w:space="0" w:color="auto"/>
            <w:left w:val="none" w:sz="0" w:space="0" w:color="auto"/>
            <w:bottom w:val="none" w:sz="0" w:space="0" w:color="auto"/>
            <w:right w:val="none" w:sz="0" w:space="0" w:color="auto"/>
          </w:divBdr>
        </w:div>
        <w:div w:id="1307513720">
          <w:marLeft w:val="640"/>
          <w:marRight w:val="0"/>
          <w:marTop w:val="0"/>
          <w:marBottom w:val="0"/>
          <w:divBdr>
            <w:top w:val="none" w:sz="0" w:space="0" w:color="auto"/>
            <w:left w:val="none" w:sz="0" w:space="0" w:color="auto"/>
            <w:bottom w:val="none" w:sz="0" w:space="0" w:color="auto"/>
            <w:right w:val="none" w:sz="0" w:space="0" w:color="auto"/>
          </w:divBdr>
        </w:div>
        <w:div w:id="1572079796">
          <w:marLeft w:val="640"/>
          <w:marRight w:val="0"/>
          <w:marTop w:val="0"/>
          <w:marBottom w:val="0"/>
          <w:divBdr>
            <w:top w:val="none" w:sz="0" w:space="0" w:color="auto"/>
            <w:left w:val="none" w:sz="0" w:space="0" w:color="auto"/>
            <w:bottom w:val="none" w:sz="0" w:space="0" w:color="auto"/>
            <w:right w:val="none" w:sz="0" w:space="0" w:color="auto"/>
          </w:divBdr>
        </w:div>
        <w:div w:id="1769276604">
          <w:marLeft w:val="640"/>
          <w:marRight w:val="0"/>
          <w:marTop w:val="0"/>
          <w:marBottom w:val="0"/>
          <w:divBdr>
            <w:top w:val="none" w:sz="0" w:space="0" w:color="auto"/>
            <w:left w:val="none" w:sz="0" w:space="0" w:color="auto"/>
            <w:bottom w:val="none" w:sz="0" w:space="0" w:color="auto"/>
            <w:right w:val="none" w:sz="0" w:space="0" w:color="auto"/>
          </w:divBdr>
        </w:div>
        <w:div w:id="588664519">
          <w:marLeft w:val="640"/>
          <w:marRight w:val="0"/>
          <w:marTop w:val="0"/>
          <w:marBottom w:val="0"/>
          <w:divBdr>
            <w:top w:val="none" w:sz="0" w:space="0" w:color="auto"/>
            <w:left w:val="none" w:sz="0" w:space="0" w:color="auto"/>
            <w:bottom w:val="none" w:sz="0" w:space="0" w:color="auto"/>
            <w:right w:val="none" w:sz="0" w:space="0" w:color="auto"/>
          </w:divBdr>
        </w:div>
        <w:div w:id="1420757779">
          <w:marLeft w:val="640"/>
          <w:marRight w:val="0"/>
          <w:marTop w:val="0"/>
          <w:marBottom w:val="0"/>
          <w:divBdr>
            <w:top w:val="none" w:sz="0" w:space="0" w:color="auto"/>
            <w:left w:val="none" w:sz="0" w:space="0" w:color="auto"/>
            <w:bottom w:val="none" w:sz="0" w:space="0" w:color="auto"/>
            <w:right w:val="none" w:sz="0" w:space="0" w:color="auto"/>
          </w:divBdr>
        </w:div>
        <w:div w:id="1461922275">
          <w:marLeft w:val="640"/>
          <w:marRight w:val="0"/>
          <w:marTop w:val="0"/>
          <w:marBottom w:val="0"/>
          <w:divBdr>
            <w:top w:val="none" w:sz="0" w:space="0" w:color="auto"/>
            <w:left w:val="none" w:sz="0" w:space="0" w:color="auto"/>
            <w:bottom w:val="none" w:sz="0" w:space="0" w:color="auto"/>
            <w:right w:val="none" w:sz="0" w:space="0" w:color="auto"/>
          </w:divBdr>
        </w:div>
        <w:div w:id="1843856538">
          <w:marLeft w:val="640"/>
          <w:marRight w:val="0"/>
          <w:marTop w:val="0"/>
          <w:marBottom w:val="0"/>
          <w:divBdr>
            <w:top w:val="none" w:sz="0" w:space="0" w:color="auto"/>
            <w:left w:val="none" w:sz="0" w:space="0" w:color="auto"/>
            <w:bottom w:val="none" w:sz="0" w:space="0" w:color="auto"/>
            <w:right w:val="none" w:sz="0" w:space="0" w:color="auto"/>
          </w:divBdr>
        </w:div>
        <w:div w:id="102387107">
          <w:marLeft w:val="640"/>
          <w:marRight w:val="0"/>
          <w:marTop w:val="0"/>
          <w:marBottom w:val="0"/>
          <w:divBdr>
            <w:top w:val="none" w:sz="0" w:space="0" w:color="auto"/>
            <w:left w:val="none" w:sz="0" w:space="0" w:color="auto"/>
            <w:bottom w:val="none" w:sz="0" w:space="0" w:color="auto"/>
            <w:right w:val="none" w:sz="0" w:space="0" w:color="auto"/>
          </w:divBdr>
        </w:div>
        <w:div w:id="117257890">
          <w:marLeft w:val="640"/>
          <w:marRight w:val="0"/>
          <w:marTop w:val="0"/>
          <w:marBottom w:val="0"/>
          <w:divBdr>
            <w:top w:val="none" w:sz="0" w:space="0" w:color="auto"/>
            <w:left w:val="none" w:sz="0" w:space="0" w:color="auto"/>
            <w:bottom w:val="none" w:sz="0" w:space="0" w:color="auto"/>
            <w:right w:val="none" w:sz="0" w:space="0" w:color="auto"/>
          </w:divBdr>
        </w:div>
        <w:div w:id="232934394">
          <w:marLeft w:val="640"/>
          <w:marRight w:val="0"/>
          <w:marTop w:val="0"/>
          <w:marBottom w:val="0"/>
          <w:divBdr>
            <w:top w:val="none" w:sz="0" w:space="0" w:color="auto"/>
            <w:left w:val="none" w:sz="0" w:space="0" w:color="auto"/>
            <w:bottom w:val="none" w:sz="0" w:space="0" w:color="auto"/>
            <w:right w:val="none" w:sz="0" w:space="0" w:color="auto"/>
          </w:divBdr>
        </w:div>
        <w:div w:id="1590848359">
          <w:marLeft w:val="640"/>
          <w:marRight w:val="0"/>
          <w:marTop w:val="0"/>
          <w:marBottom w:val="0"/>
          <w:divBdr>
            <w:top w:val="none" w:sz="0" w:space="0" w:color="auto"/>
            <w:left w:val="none" w:sz="0" w:space="0" w:color="auto"/>
            <w:bottom w:val="none" w:sz="0" w:space="0" w:color="auto"/>
            <w:right w:val="none" w:sz="0" w:space="0" w:color="auto"/>
          </w:divBdr>
        </w:div>
        <w:div w:id="156921321">
          <w:marLeft w:val="640"/>
          <w:marRight w:val="0"/>
          <w:marTop w:val="0"/>
          <w:marBottom w:val="0"/>
          <w:divBdr>
            <w:top w:val="none" w:sz="0" w:space="0" w:color="auto"/>
            <w:left w:val="none" w:sz="0" w:space="0" w:color="auto"/>
            <w:bottom w:val="none" w:sz="0" w:space="0" w:color="auto"/>
            <w:right w:val="none" w:sz="0" w:space="0" w:color="auto"/>
          </w:divBdr>
        </w:div>
        <w:div w:id="526023120">
          <w:marLeft w:val="640"/>
          <w:marRight w:val="0"/>
          <w:marTop w:val="0"/>
          <w:marBottom w:val="0"/>
          <w:divBdr>
            <w:top w:val="none" w:sz="0" w:space="0" w:color="auto"/>
            <w:left w:val="none" w:sz="0" w:space="0" w:color="auto"/>
            <w:bottom w:val="none" w:sz="0" w:space="0" w:color="auto"/>
            <w:right w:val="none" w:sz="0" w:space="0" w:color="auto"/>
          </w:divBdr>
        </w:div>
        <w:div w:id="1079248652">
          <w:marLeft w:val="640"/>
          <w:marRight w:val="0"/>
          <w:marTop w:val="0"/>
          <w:marBottom w:val="0"/>
          <w:divBdr>
            <w:top w:val="none" w:sz="0" w:space="0" w:color="auto"/>
            <w:left w:val="none" w:sz="0" w:space="0" w:color="auto"/>
            <w:bottom w:val="none" w:sz="0" w:space="0" w:color="auto"/>
            <w:right w:val="none" w:sz="0" w:space="0" w:color="auto"/>
          </w:divBdr>
        </w:div>
        <w:div w:id="1916629255">
          <w:marLeft w:val="640"/>
          <w:marRight w:val="0"/>
          <w:marTop w:val="0"/>
          <w:marBottom w:val="0"/>
          <w:divBdr>
            <w:top w:val="none" w:sz="0" w:space="0" w:color="auto"/>
            <w:left w:val="none" w:sz="0" w:space="0" w:color="auto"/>
            <w:bottom w:val="none" w:sz="0" w:space="0" w:color="auto"/>
            <w:right w:val="none" w:sz="0" w:space="0" w:color="auto"/>
          </w:divBdr>
        </w:div>
        <w:div w:id="1172330191">
          <w:marLeft w:val="640"/>
          <w:marRight w:val="0"/>
          <w:marTop w:val="0"/>
          <w:marBottom w:val="0"/>
          <w:divBdr>
            <w:top w:val="none" w:sz="0" w:space="0" w:color="auto"/>
            <w:left w:val="none" w:sz="0" w:space="0" w:color="auto"/>
            <w:bottom w:val="none" w:sz="0" w:space="0" w:color="auto"/>
            <w:right w:val="none" w:sz="0" w:space="0" w:color="auto"/>
          </w:divBdr>
        </w:div>
        <w:div w:id="1850100938">
          <w:marLeft w:val="640"/>
          <w:marRight w:val="0"/>
          <w:marTop w:val="0"/>
          <w:marBottom w:val="0"/>
          <w:divBdr>
            <w:top w:val="none" w:sz="0" w:space="0" w:color="auto"/>
            <w:left w:val="none" w:sz="0" w:space="0" w:color="auto"/>
            <w:bottom w:val="none" w:sz="0" w:space="0" w:color="auto"/>
            <w:right w:val="none" w:sz="0" w:space="0" w:color="auto"/>
          </w:divBdr>
        </w:div>
        <w:div w:id="1863477261">
          <w:marLeft w:val="640"/>
          <w:marRight w:val="0"/>
          <w:marTop w:val="0"/>
          <w:marBottom w:val="0"/>
          <w:divBdr>
            <w:top w:val="none" w:sz="0" w:space="0" w:color="auto"/>
            <w:left w:val="none" w:sz="0" w:space="0" w:color="auto"/>
            <w:bottom w:val="none" w:sz="0" w:space="0" w:color="auto"/>
            <w:right w:val="none" w:sz="0" w:space="0" w:color="auto"/>
          </w:divBdr>
        </w:div>
        <w:div w:id="1778600067">
          <w:marLeft w:val="640"/>
          <w:marRight w:val="0"/>
          <w:marTop w:val="0"/>
          <w:marBottom w:val="0"/>
          <w:divBdr>
            <w:top w:val="none" w:sz="0" w:space="0" w:color="auto"/>
            <w:left w:val="none" w:sz="0" w:space="0" w:color="auto"/>
            <w:bottom w:val="none" w:sz="0" w:space="0" w:color="auto"/>
            <w:right w:val="none" w:sz="0" w:space="0" w:color="auto"/>
          </w:divBdr>
        </w:div>
        <w:div w:id="1492135362">
          <w:marLeft w:val="640"/>
          <w:marRight w:val="0"/>
          <w:marTop w:val="0"/>
          <w:marBottom w:val="0"/>
          <w:divBdr>
            <w:top w:val="none" w:sz="0" w:space="0" w:color="auto"/>
            <w:left w:val="none" w:sz="0" w:space="0" w:color="auto"/>
            <w:bottom w:val="none" w:sz="0" w:space="0" w:color="auto"/>
            <w:right w:val="none" w:sz="0" w:space="0" w:color="auto"/>
          </w:divBdr>
        </w:div>
        <w:div w:id="10885417">
          <w:marLeft w:val="640"/>
          <w:marRight w:val="0"/>
          <w:marTop w:val="0"/>
          <w:marBottom w:val="0"/>
          <w:divBdr>
            <w:top w:val="none" w:sz="0" w:space="0" w:color="auto"/>
            <w:left w:val="none" w:sz="0" w:space="0" w:color="auto"/>
            <w:bottom w:val="none" w:sz="0" w:space="0" w:color="auto"/>
            <w:right w:val="none" w:sz="0" w:space="0" w:color="auto"/>
          </w:divBdr>
        </w:div>
        <w:div w:id="1035665702">
          <w:marLeft w:val="640"/>
          <w:marRight w:val="0"/>
          <w:marTop w:val="0"/>
          <w:marBottom w:val="0"/>
          <w:divBdr>
            <w:top w:val="none" w:sz="0" w:space="0" w:color="auto"/>
            <w:left w:val="none" w:sz="0" w:space="0" w:color="auto"/>
            <w:bottom w:val="none" w:sz="0" w:space="0" w:color="auto"/>
            <w:right w:val="none" w:sz="0" w:space="0" w:color="auto"/>
          </w:divBdr>
        </w:div>
        <w:div w:id="69012903">
          <w:marLeft w:val="640"/>
          <w:marRight w:val="0"/>
          <w:marTop w:val="0"/>
          <w:marBottom w:val="0"/>
          <w:divBdr>
            <w:top w:val="none" w:sz="0" w:space="0" w:color="auto"/>
            <w:left w:val="none" w:sz="0" w:space="0" w:color="auto"/>
            <w:bottom w:val="none" w:sz="0" w:space="0" w:color="auto"/>
            <w:right w:val="none" w:sz="0" w:space="0" w:color="auto"/>
          </w:divBdr>
        </w:div>
        <w:div w:id="1581138491">
          <w:marLeft w:val="640"/>
          <w:marRight w:val="0"/>
          <w:marTop w:val="0"/>
          <w:marBottom w:val="0"/>
          <w:divBdr>
            <w:top w:val="none" w:sz="0" w:space="0" w:color="auto"/>
            <w:left w:val="none" w:sz="0" w:space="0" w:color="auto"/>
            <w:bottom w:val="none" w:sz="0" w:space="0" w:color="auto"/>
            <w:right w:val="none" w:sz="0" w:space="0" w:color="auto"/>
          </w:divBdr>
        </w:div>
        <w:div w:id="1700273204">
          <w:marLeft w:val="640"/>
          <w:marRight w:val="0"/>
          <w:marTop w:val="0"/>
          <w:marBottom w:val="0"/>
          <w:divBdr>
            <w:top w:val="none" w:sz="0" w:space="0" w:color="auto"/>
            <w:left w:val="none" w:sz="0" w:space="0" w:color="auto"/>
            <w:bottom w:val="none" w:sz="0" w:space="0" w:color="auto"/>
            <w:right w:val="none" w:sz="0" w:space="0" w:color="auto"/>
          </w:divBdr>
        </w:div>
        <w:div w:id="1325471">
          <w:marLeft w:val="640"/>
          <w:marRight w:val="0"/>
          <w:marTop w:val="0"/>
          <w:marBottom w:val="0"/>
          <w:divBdr>
            <w:top w:val="none" w:sz="0" w:space="0" w:color="auto"/>
            <w:left w:val="none" w:sz="0" w:space="0" w:color="auto"/>
            <w:bottom w:val="none" w:sz="0" w:space="0" w:color="auto"/>
            <w:right w:val="none" w:sz="0" w:space="0" w:color="auto"/>
          </w:divBdr>
        </w:div>
        <w:div w:id="717318097">
          <w:marLeft w:val="640"/>
          <w:marRight w:val="0"/>
          <w:marTop w:val="0"/>
          <w:marBottom w:val="0"/>
          <w:divBdr>
            <w:top w:val="none" w:sz="0" w:space="0" w:color="auto"/>
            <w:left w:val="none" w:sz="0" w:space="0" w:color="auto"/>
            <w:bottom w:val="none" w:sz="0" w:space="0" w:color="auto"/>
            <w:right w:val="none" w:sz="0" w:space="0" w:color="auto"/>
          </w:divBdr>
        </w:div>
        <w:div w:id="1439525929">
          <w:marLeft w:val="640"/>
          <w:marRight w:val="0"/>
          <w:marTop w:val="0"/>
          <w:marBottom w:val="0"/>
          <w:divBdr>
            <w:top w:val="none" w:sz="0" w:space="0" w:color="auto"/>
            <w:left w:val="none" w:sz="0" w:space="0" w:color="auto"/>
            <w:bottom w:val="none" w:sz="0" w:space="0" w:color="auto"/>
            <w:right w:val="none" w:sz="0" w:space="0" w:color="auto"/>
          </w:divBdr>
        </w:div>
        <w:div w:id="85881738">
          <w:marLeft w:val="640"/>
          <w:marRight w:val="0"/>
          <w:marTop w:val="0"/>
          <w:marBottom w:val="0"/>
          <w:divBdr>
            <w:top w:val="none" w:sz="0" w:space="0" w:color="auto"/>
            <w:left w:val="none" w:sz="0" w:space="0" w:color="auto"/>
            <w:bottom w:val="none" w:sz="0" w:space="0" w:color="auto"/>
            <w:right w:val="none" w:sz="0" w:space="0" w:color="auto"/>
          </w:divBdr>
        </w:div>
        <w:div w:id="329219061">
          <w:marLeft w:val="640"/>
          <w:marRight w:val="0"/>
          <w:marTop w:val="0"/>
          <w:marBottom w:val="0"/>
          <w:divBdr>
            <w:top w:val="none" w:sz="0" w:space="0" w:color="auto"/>
            <w:left w:val="none" w:sz="0" w:space="0" w:color="auto"/>
            <w:bottom w:val="none" w:sz="0" w:space="0" w:color="auto"/>
            <w:right w:val="none" w:sz="0" w:space="0" w:color="auto"/>
          </w:divBdr>
        </w:div>
        <w:div w:id="433671664">
          <w:marLeft w:val="640"/>
          <w:marRight w:val="0"/>
          <w:marTop w:val="0"/>
          <w:marBottom w:val="0"/>
          <w:divBdr>
            <w:top w:val="none" w:sz="0" w:space="0" w:color="auto"/>
            <w:left w:val="none" w:sz="0" w:space="0" w:color="auto"/>
            <w:bottom w:val="none" w:sz="0" w:space="0" w:color="auto"/>
            <w:right w:val="none" w:sz="0" w:space="0" w:color="auto"/>
          </w:divBdr>
        </w:div>
        <w:div w:id="7682352">
          <w:marLeft w:val="640"/>
          <w:marRight w:val="0"/>
          <w:marTop w:val="0"/>
          <w:marBottom w:val="0"/>
          <w:divBdr>
            <w:top w:val="none" w:sz="0" w:space="0" w:color="auto"/>
            <w:left w:val="none" w:sz="0" w:space="0" w:color="auto"/>
            <w:bottom w:val="none" w:sz="0" w:space="0" w:color="auto"/>
            <w:right w:val="none" w:sz="0" w:space="0" w:color="auto"/>
          </w:divBdr>
        </w:div>
        <w:div w:id="32466643">
          <w:marLeft w:val="640"/>
          <w:marRight w:val="0"/>
          <w:marTop w:val="0"/>
          <w:marBottom w:val="0"/>
          <w:divBdr>
            <w:top w:val="none" w:sz="0" w:space="0" w:color="auto"/>
            <w:left w:val="none" w:sz="0" w:space="0" w:color="auto"/>
            <w:bottom w:val="none" w:sz="0" w:space="0" w:color="auto"/>
            <w:right w:val="none" w:sz="0" w:space="0" w:color="auto"/>
          </w:divBdr>
        </w:div>
        <w:div w:id="1152599360">
          <w:marLeft w:val="640"/>
          <w:marRight w:val="0"/>
          <w:marTop w:val="0"/>
          <w:marBottom w:val="0"/>
          <w:divBdr>
            <w:top w:val="none" w:sz="0" w:space="0" w:color="auto"/>
            <w:left w:val="none" w:sz="0" w:space="0" w:color="auto"/>
            <w:bottom w:val="none" w:sz="0" w:space="0" w:color="auto"/>
            <w:right w:val="none" w:sz="0" w:space="0" w:color="auto"/>
          </w:divBdr>
        </w:div>
        <w:div w:id="1071655055">
          <w:marLeft w:val="640"/>
          <w:marRight w:val="0"/>
          <w:marTop w:val="0"/>
          <w:marBottom w:val="0"/>
          <w:divBdr>
            <w:top w:val="none" w:sz="0" w:space="0" w:color="auto"/>
            <w:left w:val="none" w:sz="0" w:space="0" w:color="auto"/>
            <w:bottom w:val="none" w:sz="0" w:space="0" w:color="auto"/>
            <w:right w:val="none" w:sz="0" w:space="0" w:color="auto"/>
          </w:divBdr>
        </w:div>
        <w:div w:id="2146240572">
          <w:marLeft w:val="640"/>
          <w:marRight w:val="0"/>
          <w:marTop w:val="0"/>
          <w:marBottom w:val="0"/>
          <w:divBdr>
            <w:top w:val="none" w:sz="0" w:space="0" w:color="auto"/>
            <w:left w:val="none" w:sz="0" w:space="0" w:color="auto"/>
            <w:bottom w:val="none" w:sz="0" w:space="0" w:color="auto"/>
            <w:right w:val="none" w:sz="0" w:space="0" w:color="auto"/>
          </w:divBdr>
        </w:div>
        <w:div w:id="2103868296">
          <w:marLeft w:val="640"/>
          <w:marRight w:val="0"/>
          <w:marTop w:val="0"/>
          <w:marBottom w:val="0"/>
          <w:divBdr>
            <w:top w:val="none" w:sz="0" w:space="0" w:color="auto"/>
            <w:left w:val="none" w:sz="0" w:space="0" w:color="auto"/>
            <w:bottom w:val="none" w:sz="0" w:space="0" w:color="auto"/>
            <w:right w:val="none" w:sz="0" w:space="0" w:color="auto"/>
          </w:divBdr>
        </w:div>
        <w:div w:id="940142959">
          <w:marLeft w:val="640"/>
          <w:marRight w:val="0"/>
          <w:marTop w:val="0"/>
          <w:marBottom w:val="0"/>
          <w:divBdr>
            <w:top w:val="none" w:sz="0" w:space="0" w:color="auto"/>
            <w:left w:val="none" w:sz="0" w:space="0" w:color="auto"/>
            <w:bottom w:val="none" w:sz="0" w:space="0" w:color="auto"/>
            <w:right w:val="none" w:sz="0" w:space="0" w:color="auto"/>
          </w:divBdr>
        </w:div>
        <w:div w:id="1722946888">
          <w:marLeft w:val="640"/>
          <w:marRight w:val="0"/>
          <w:marTop w:val="0"/>
          <w:marBottom w:val="0"/>
          <w:divBdr>
            <w:top w:val="none" w:sz="0" w:space="0" w:color="auto"/>
            <w:left w:val="none" w:sz="0" w:space="0" w:color="auto"/>
            <w:bottom w:val="none" w:sz="0" w:space="0" w:color="auto"/>
            <w:right w:val="none" w:sz="0" w:space="0" w:color="auto"/>
          </w:divBdr>
        </w:div>
        <w:div w:id="47842739">
          <w:marLeft w:val="640"/>
          <w:marRight w:val="0"/>
          <w:marTop w:val="0"/>
          <w:marBottom w:val="0"/>
          <w:divBdr>
            <w:top w:val="none" w:sz="0" w:space="0" w:color="auto"/>
            <w:left w:val="none" w:sz="0" w:space="0" w:color="auto"/>
            <w:bottom w:val="none" w:sz="0" w:space="0" w:color="auto"/>
            <w:right w:val="none" w:sz="0" w:space="0" w:color="auto"/>
          </w:divBdr>
        </w:div>
        <w:div w:id="493571834">
          <w:marLeft w:val="640"/>
          <w:marRight w:val="0"/>
          <w:marTop w:val="0"/>
          <w:marBottom w:val="0"/>
          <w:divBdr>
            <w:top w:val="none" w:sz="0" w:space="0" w:color="auto"/>
            <w:left w:val="none" w:sz="0" w:space="0" w:color="auto"/>
            <w:bottom w:val="none" w:sz="0" w:space="0" w:color="auto"/>
            <w:right w:val="none" w:sz="0" w:space="0" w:color="auto"/>
          </w:divBdr>
        </w:div>
        <w:div w:id="1708607233">
          <w:marLeft w:val="640"/>
          <w:marRight w:val="0"/>
          <w:marTop w:val="0"/>
          <w:marBottom w:val="0"/>
          <w:divBdr>
            <w:top w:val="none" w:sz="0" w:space="0" w:color="auto"/>
            <w:left w:val="none" w:sz="0" w:space="0" w:color="auto"/>
            <w:bottom w:val="none" w:sz="0" w:space="0" w:color="auto"/>
            <w:right w:val="none" w:sz="0" w:space="0" w:color="auto"/>
          </w:divBdr>
        </w:div>
        <w:div w:id="86191843">
          <w:marLeft w:val="640"/>
          <w:marRight w:val="0"/>
          <w:marTop w:val="0"/>
          <w:marBottom w:val="0"/>
          <w:divBdr>
            <w:top w:val="none" w:sz="0" w:space="0" w:color="auto"/>
            <w:left w:val="none" w:sz="0" w:space="0" w:color="auto"/>
            <w:bottom w:val="none" w:sz="0" w:space="0" w:color="auto"/>
            <w:right w:val="none" w:sz="0" w:space="0" w:color="auto"/>
          </w:divBdr>
        </w:div>
        <w:div w:id="1567687007">
          <w:marLeft w:val="640"/>
          <w:marRight w:val="0"/>
          <w:marTop w:val="0"/>
          <w:marBottom w:val="0"/>
          <w:divBdr>
            <w:top w:val="none" w:sz="0" w:space="0" w:color="auto"/>
            <w:left w:val="none" w:sz="0" w:space="0" w:color="auto"/>
            <w:bottom w:val="none" w:sz="0" w:space="0" w:color="auto"/>
            <w:right w:val="none" w:sz="0" w:space="0" w:color="auto"/>
          </w:divBdr>
        </w:div>
        <w:div w:id="551502149">
          <w:marLeft w:val="640"/>
          <w:marRight w:val="0"/>
          <w:marTop w:val="0"/>
          <w:marBottom w:val="0"/>
          <w:divBdr>
            <w:top w:val="none" w:sz="0" w:space="0" w:color="auto"/>
            <w:left w:val="none" w:sz="0" w:space="0" w:color="auto"/>
            <w:bottom w:val="none" w:sz="0" w:space="0" w:color="auto"/>
            <w:right w:val="none" w:sz="0" w:space="0" w:color="auto"/>
          </w:divBdr>
        </w:div>
        <w:div w:id="177161498">
          <w:marLeft w:val="640"/>
          <w:marRight w:val="0"/>
          <w:marTop w:val="0"/>
          <w:marBottom w:val="0"/>
          <w:divBdr>
            <w:top w:val="none" w:sz="0" w:space="0" w:color="auto"/>
            <w:left w:val="none" w:sz="0" w:space="0" w:color="auto"/>
            <w:bottom w:val="none" w:sz="0" w:space="0" w:color="auto"/>
            <w:right w:val="none" w:sz="0" w:space="0" w:color="auto"/>
          </w:divBdr>
        </w:div>
        <w:div w:id="607389000">
          <w:marLeft w:val="640"/>
          <w:marRight w:val="0"/>
          <w:marTop w:val="0"/>
          <w:marBottom w:val="0"/>
          <w:divBdr>
            <w:top w:val="none" w:sz="0" w:space="0" w:color="auto"/>
            <w:left w:val="none" w:sz="0" w:space="0" w:color="auto"/>
            <w:bottom w:val="none" w:sz="0" w:space="0" w:color="auto"/>
            <w:right w:val="none" w:sz="0" w:space="0" w:color="auto"/>
          </w:divBdr>
        </w:div>
        <w:div w:id="305210596">
          <w:marLeft w:val="640"/>
          <w:marRight w:val="0"/>
          <w:marTop w:val="0"/>
          <w:marBottom w:val="0"/>
          <w:divBdr>
            <w:top w:val="none" w:sz="0" w:space="0" w:color="auto"/>
            <w:left w:val="none" w:sz="0" w:space="0" w:color="auto"/>
            <w:bottom w:val="none" w:sz="0" w:space="0" w:color="auto"/>
            <w:right w:val="none" w:sz="0" w:space="0" w:color="auto"/>
          </w:divBdr>
        </w:div>
        <w:div w:id="1500346304">
          <w:marLeft w:val="640"/>
          <w:marRight w:val="0"/>
          <w:marTop w:val="0"/>
          <w:marBottom w:val="0"/>
          <w:divBdr>
            <w:top w:val="none" w:sz="0" w:space="0" w:color="auto"/>
            <w:left w:val="none" w:sz="0" w:space="0" w:color="auto"/>
            <w:bottom w:val="none" w:sz="0" w:space="0" w:color="auto"/>
            <w:right w:val="none" w:sz="0" w:space="0" w:color="auto"/>
          </w:divBdr>
        </w:div>
        <w:div w:id="996769230">
          <w:marLeft w:val="640"/>
          <w:marRight w:val="0"/>
          <w:marTop w:val="0"/>
          <w:marBottom w:val="0"/>
          <w:divBdr>
            <w:top w:val="none" w:sz="0" w:space="0" w:color="auto"/>
            <w:left w:val="none" w:sz="0" w:space="0" w:color="auto"/>
            <w:bottom w:val="none" w:sz="0" w:space="0" w:color="auto"/>
            <w:right w:val="none" w:sz="0" w:space="0" w:color="auto"/>
          </w:divBdr>
        </w:div>
        <w:div w:id="1888833090">
          <w:marLeft w:val="640"/>
          <w:marRight w:val="0"/>
          <w:marTop w:val="0"/>
          <w:marBottom w:val="0"/>
          <w:divBdr>
            <w:top w:val="none" w:sz="0" w:space="0" w:color="auto"/>
            <w:left w:val="none" w:sz="0" w:space="0" w:color="auto"/>
            <w:bottom w:val="none" w:sz="0" w:space="0" w:color="auto"/>
            <w:right w:val="none" w:sz="0" w:space="0" w:color="auto"/>
          </w:divBdr>
        </w:div>
        <w:div w:id="1607155910">
          <w:marLeft w:val="640"/>
          <w:marRight w:val="0"/>
          <w:marTop w:val="0"/>
          <w:marBottom w:val="0"/>
          <w:divBdr>
            <w:top w:val="none" w:sz="0" w:space="0" w:color="auto"/>
            <w:left w:val="none" w:sz="0" w:space="0" w:color="auto"/>
            <w:bottom w:val="none" w:sz="0" w:space="0" w:color="auto"/>
            <w:right w:val="none" w:sz="0" w:space="0" w:color="auto"/>
          </w:divBdr>
        </w:div>
        <w:div w:id="2133475383">
          <w:marLeft w:val="640"/>
          <w:marRight w:val="0"/>
          <w:marTop w:val="0"/>
          <w:marBottom w:val="0"/>
          <w:divBdr>
            <w:top w:val="none" w:sz="0" w:space="0" w:color="auto"/>
            <w:left w:val="none" w:sz="0" w:space="0" w:color="auto"/>
            <w:bottom w:val="none" w:sz="0" w:space="0" w:color="auto"/>
            <w:right w:val="none" w:sz="0" w:space="0" w:color="auto"/>
          </w:divBdr>
        </w:div>
        <w:div w:id="490218394">
          <w:marLeft w:val="640"/>
          <w:marRight w:val="0"/>
          <w:marTop w:val="0"/>
          <w:marBottom w:val="0"/>
          <w:divBdr>
            <w:top w:val="none" w:sz="0" w:space="0" w:color="auto"/>
            <w:left w:val="none" w:sz="0" w:space="0" w:color="auto"/>
            <w:bottom w:val="none" w:sz="0" w:space="0" w:color="auto"/>
            <w:right w:val="none" w:sz="0" w:space="0" w:color="auto"/>
          </w:divBdr>
        </w:div>
        <w:div w:id="1789546294">
          <w:marLeft w:val="640"/>
          <w:marRight w:val="0"/>
          <w:marTop w:val="0"/>
          <w:marBottom w:val="0"/>
          <w:divBdr>
            <w:top w:val="none" w:sz="0" w:space="0" w:color="auto"/>
            <w:left w:val="none" w:sz="0" w:space="0" w:color="auto"/>
            <w:bottom w:val="none" w:sz="0" w:space="0" w:color="auto"/>
            <w:right w:val="none" w:sz="0" w:space="0" w:color="auto"/>
          </w:divBdr>
        </w:div>
        <w:div w:id="1873565370">
          <w:marLeft w:val="640"/>
          <w:marRight w:val="0"/>
          <w:marTop w:val="0"/>
          <w:marBottom w:val="0"/>
          <w:divBdr>
            <w:top w:val="none" w:sz="0" w:space="0" w:color="auto"/>
            <w:left w:val="none" w:sz="0" w:space="0" w:color="auto"/>
            <w:bottom w:val="none" w:sz="0" w:space="0" w:color="auto"/>
            <w:right w:val="none" w:sz="0" w:space="0" w:color="auto"/>
          </w:divBdr>
        </w:div>
        <w:div w:id="1143346999">
          <w:marLeft w:val="640"/>
          <w:marRight w:val="0"/>
          <w:marTop w:val="0"/>
          <w:marBottom w:val="0"/>
          <w:divBdr>
            <w:top w:val="none" w:sz="0" w:space="0" w:color="auto"/>
            <w:left w:val="none" w:sz="0" w:space="0" w:color="auto"/>
            <w:bottom w:val="none" w:sz="0" w:space="0" w:color="auto"/>
            <w:right w:val="none" w:sz="0" w:space="0" w:color="auto"/>
          </w:divBdr>
        </w:div>
        <w:div w:id="354699432">
          <w:marLeft w:val="640"/>
          <w:marRight w:val="0"/>
          <w:marTop w:val="0"/>
          <w:marBottom w:val="0"/>
          <w:divBdr>
            <w:top w:val="none" w:sz="0" w:space="0" w:color="auto"/>
            <w:left w:val="none" w:sz="0" w:space="0" w:color="auto"/>
            <w:bottom w:val="none" w:sz="0" w:space="0" w:color="auto"/>
            <w:right w:val="none" w:sz="0" w:space="0" w:color="auto"/>
          </w:divBdr>
        </w:div>
        <w:div w:id="1723016414">
          <w:marLeft w:val="640"/>
          <w:marRight w:val="0"/>
          <w:marTop w:val="0"/>
          <w:marBottom w:val="0"/>
          <w:divBdr>
            <w:top w:val="none" w:sz="0" w:space="0" w:color="auto"/>
            <w:left w:val="none" w:sz="0" w:space="0" w:color="auto"/>
            <w:bottom w:val="none" w:sz="0" w:space="0" w:color="auto"/>
            <w:right w:val="none" w:sz="0" w:space="0" w:color="auto"/>
          </w:divBdr>
        </w:div>
        <w:div w:id="2017269775">
          <w:marLeft w:val="640"/>
          <w:marRight w:val="0"/>
          <w:marTop w:val="0"/>
          <w:marBottom w:val="0"/>
          <w:divBdr>
            <w:top w:val="none" w:sz="0" w:space="0" w:color="auto"/>
            <w:left w:val="none" w:sz="0" w:space="0" w:color="auto"/>
            <w:bottom w:val="none" w:sz="0" w:space="0" w:color="auto"/>
            <w:right w:val="none" w:sz="0" w:space="0" w:color="auto"/>
          </w:divBdr>
        </w:div>
        <w:div w:id="2032295263">
          <w:marLeft w:val="640"/>
          <w:marRight w:val="0"/>
          <w:marTop w:val="0"/>
          <w:marBottom w:val="0"/>
          <w:divBdr>
            <w:top w:val="none" w:sz="0" w:space="0" w:color="auto"/>
            <w:left w:val="none" w:sz="0" w:space="0" w:color="auto"/>
            <w:bottom w:val="none" w:sz="0" w:space="0" w:color="auto"/>
            <w:right w:val="none" w:sz="0" w:space="0" w:color="auto"/>
          </w:divBdr>
        </w:div>
        <w:div w:id="445469980">
          <w:marLeft w:val="640"/>
          <w:marRight w:val="0"/>
          <w:marTop w:val="0"/>
          <w:marBottom w:val="0"/>
          <w:divBdr>
            <w:top w:val="none" w:sz="0" w:space="0" w:color="auto"/>
            <w:left w:val="none" w:sz="0" w:space="0" w:color="auto"/>
            <w:bottom w:val="none" w:sz="0" w:space="0" w:color="auto"/>
            <w:right w:val="none" w:sz="0" w:space="0" w:color="auto"/>
          </w:divBdr>
        </w:div>
        <w:div w:id="564680356">
          <w:marLeft w:val="640"/>
          <w:marRight w:val="0"/>
          <w:marTop w:val="0"/>
          <w:marBottom w:val="0"/>
          <w:divBdr>
            <w:top w:val="none" w:sz="0" w:space="0" w:color="auto"/>
            <w:left w:val="none" w:sz="0" w:space="0" w:color="auto"/>
            <w:bottom w:val="none" w:sz="0" w:space="0" w:color="auto"/>
            <w:right w:val="none" w:sz="0" w:space="0" w:color="auto"/>
          </w:divBdr>
        </w:div>
        <w:div w:id="61023040">
          <w:marLeft w:val="640"/>
          <w:marRight w:val="0"/>
          <w:marTop w:val="0"/>
          <w:marBottom w:val="0"/>
          <w:divBdr>
            <w:top w:val="none" w:sz="0" w:space="0" w:color="auto"/>
            <w:left w:val="none" w:sz="0" w:space="0" w:color="auto"/>
            <w:bottom w:val="none" w:sz="0" w:space="0" w:color="auto"/>
            <w:right w:val="none" w:sz="0" w:space="0" w:color="auto"/>
          </w:divBdr>
        </w:div>
        <w:div w:id="1329822384">
          <w:marLeft w:val="640"/>
          <w:marRight w:val="0"/>
          <w:marTop w:val="0"/>
          <w:marBottom w:val="0"/>
          <w:divBdr>
            <w:top w:val="none" w:sz="0" w:space="0" w:color="auto"/>
            <w:left w:val="none" w:sz="0" w:space="0" w:color="auto"/>
            <w:bottom w:val="none" w:sz="0" w:space="0" w:color="auto"/>
            <w:right w:val="none" w:sz="0" w:space="0" w:color="auto"/>
          </w:divBdr>
        </w:div>
        <w:div w:id="1487626778">
          <w:marLeft w:val="640"/>
          <w:marRight w:val="0"/>
          <w:marTop w:val="0"/>
          <w:marBottom w:val="0"/>
          <w:divBdr>
            <w:top w:val="none" w:sz="0" w:space="0" w:color="auto"/>
            <w:left w:val="none" w:sz="0" w:space="0" w:color="auto"/>
            <w:bottom w:val="none" w:sz="0" w:space="0" w:color="auto"/>
            <w:right w:val="none" w:sz="0" w:space="0" w:color="auto"/>
          </w:divBdr>
        </w:div>
        <w:div w:id="621962771">
          <w:marLeft w:val="640"/>
          <w:marRight w:val="0"/>
          <w:marTop w:val="0"/>
          <w:marBottom w:val="0"/>
          <w:divBdr>
            <w:top w:val="none" w:sz="0" w:space="0" w:color="auto"/>
            <w:left w:val="none" w:sz="0" w:space="0" w:color="auto"/>
            <w:bottom w:val="none" w:sz="0" w:space="0" w:color="auto"/>
            <w:right w:val="none" w:sz="0" w:space="0" w:color="auto"/>
          </w:divBdr>
        </w:div>
        <w:div w:id="156386194">
          <w:marLeft w:val="640"/>
          <w:marRight w:val="0"/>
          <w:marTop w:val="0"/>
          <w:marBottom w:val="0"/>
          <w:divBdr>
            <w:top w:val="none" w:sz="0" w:space="0" w:color="auto"/>
            <w:left w:val="none" w:sz="0" w:space="0" w:color="auto"/>
            <w:bottom w:val="none" w:sz="0" w:space="0" w:color="auto"/>
            <w:right w:val="none" w:sz="0" w:space="0" w:color="auto"/>
          </w:divBdr>
        </w:div>
        <w:div w:id="1138567658">
          <w:marLeft w:val="640"/>
          <w:marRight w:val="0"/>
          <w:marTop w:val="0"/>
          <w:marBottom w:val="0"/>
          <w:divBdr>
            <w:top w:val="none" w:sz="0" w:space="0" w:color="auto"/>
            <w:left w:val="none" w:sz="0" w:space="0" w:color="auto"/>
            <w:bottom w:val="none" w:sz="0" w:space="0" w:color="auto"/>
            <w:right w:val="none" w:sz="0" w:space="0" w:color="auto"/>
          </w:divBdr>
        </w:div>
        <w:div w:id="2122651511">
          <w:marLeft w:val="640"/>
          <w:marRight w:val="0"/>
          <w:marTop w:val="0"/>
          <w:marBottom w:val="0"/>
          <w:divBdr>
            <w:top w:val="none" w:sz="0" w:space="0" w:color="auto"/>
            <w:left w:val="none" w:sz="0" w:space="0" w:color="auto"/>
            <w:bottom w:val="none" w:sz="0" w:space="0" w:color="auto"/>
            <w:right w:val="none" w:sz="0" w:space="0" w:color="auto"/>
          </w:divBdr>
        </w:div>
        <w:div w:id="1145781134">
          <w:marLeft w:val="640"/>
          <w:marRight w:val="0"/>
          <w:marTop w:val="0"/>
          <w:marBottom w:val="0"/>
          <w:divBdr>
            <w:top w:val="none" w:sz="0" w:space="0" w:color="auto"/>
            <w:left w:val="none" w:sz="0" w:space="0" w:color="auto"/>
            <w:bottom w:val="none" w:sz="0" w:space="0" w:color="auto"/>
            <w:right w:val="none" w:sz="0" w:space="0" w:color="auto"/>
          </w:divBdr>
        </w:div>
        <w:div w:id="1235969721">
          <w:marLeft w:val="640"/>
          <w:marRight w:val="0"/>
          <w:marTop w:val="0"/>
          <w:marBottom w:val="0"/>
          <w:divBdr>
            <w:top w:val="none" w:sz="0" w:space="0" w:color="auto"/>
            <w:left w:val="none" w:sz="0" w:space="0" w:color="auto"/>
            <w:bottom w:val="none" w:sz="0" w:space="0" w:color="auto"/>
            <w:right w:val="none" w:sz="0" w:space="0" w:color="auto"/>
          </w:divBdr>
        </w:div>
        <w:div w:id="1750691272">
          <w:marLeft w:val="640"/>
          <w:marRight w:val="0"/>
          <w:marTop w:val="0"/>
          <w:marBottom w:val="0"/>
          <w:divBdr>
            <w:top w:val="none" w:sz="0" w:space="0" w:color="auto"/>
            <w:left w:val="none" w:sz="0" w:space="0" w:color="auto"/>
            <w:bottom w:val="none" w:sz="0" w:space="0" w:color="auto"/>
            <w:right w:val="none" w:sz="0" w:space="0" w:color="auto"/>
          </w:divBdr>
        </w:div>
        <w:div w:id="1025907737">
          <w:marLeft w:val="640"/>
          <w:marRight w:val="0"/>
          <w:marTop w:val="0"/>
          <w:marBottom w:val="0"/>
          <w:divBdr>
            <w:top w:val="none" w:sz="0" w:space="0" w:color="auto"/>
            <w:left w:val="none" w:sz="0" w:space="0" w:color="auto"/>
            <w:bottom w:val="none" w:sz="0" w:space="0" w:color="auto"/>
            <w:right w:val="none" w:sz="0" w:space="0" w:color="auto"/>
          </w:divBdr>
        </w:div>
        <w:div w:id="56784010">
          <w:marLeft w:val="640"/>
          <w:marRight w:val="0"/>
          <w:marTop w:val="0"/>
          <w:marBottom w:val="0"/>
          <w:divBdr>
            <w:top w:val="none" w:sz="0" w:space="0" w:color="auto"/>
            <w:left w:val="none" w:sz="0" w:space="0" w:color="auto"/>
            <w:bottom w:val="none" w:sz="0" w:space="0" w:color="auto"/>
            <w:right w:val="none" w:sz="0" w:space="0" w:color="auto"/>
          </w:divBdr>
        </w:div>
        <w:div w:id="159808128">
          <w:marLeft w:val="640"/>
          <w:marRight w:val="0"/>
          <w:marTop w:val="0"/>
          <w:marBottom w:val="0"/>
          <w:divBdr>
            <w:top w:val="none" w:sz="0" w:space="0" w:color="auto"/>
            <w:left w:val="none" w:sz="0" w:space="0" w:color="auto"/>
            <w:bottom w:val="none" w:sz="0" w:space="0" w:color="auto"/>
            <w:right w:val="none" w:sz="0" w:space="0" w:color="auto"/>
          </w:divBdr>
        </w:div>
        <w:div w:id="1030304217">
          <w:marLeft w:val="640"/>
          <w:marRight w:val="0"/>
          <w:marTop w:val="0"/>
          <w:marBottom w:val="0"/>
          <w:divBdr>
            <w:top w:val="none" w:sz="0" w:space="0" w:color="auto"/>
            <w:left w:val="none" w:sz="0" w:space="0" w:color="auto"/>
            <w:bottom w:val="none" w:sz="0" w:space="0" w:color="auto"/>
            <w:right w:val="none" w:sz="0" w:space="0" w:color="auto"/>
          </w:divBdr>
        </w:div>
        <w:div w:id="1554581786">
          <w:marLeft w:val="640"/>
          <w:marRight w:val="0"/>
          <w:marTop w:val="0"/>
          <w:marBottom w:val="0"/>
          <w:divBdr>
            <w:top w:val="none" w:sz="0" w:space="0" w:color="auto"/>
            <w:left w:val="none" w:sz="0" w:space="0" w:color="auto"/>
            <w:bottom w:val="none" w:sz="0" w:space="0" w:color="auto"/>
            <w:right w:val="none" w:sz="0" w:space="0" w:color="auto"/>
          </w:divBdr>
        </w:div>
        <w:div w:id="649402996">
          <w:marLeft w:val="640"/>
          <w:marRight w:val="0"/>
          <w:marTop w:val="0"/>
          <w:marBottom w:val="0"/>
          <w:divBdr>
            <w:top w:val="none" w:sz="0" w:space="0" w:color="auto"/>
            <w:left w:val="none" w:sz="0" w:space="0" w:color="auto"/>
            <w:bottom w:val="none" w:sz="0" w:space="0" w:color="auto"/>
            <w:right w:val="none" w:sz="0" w:space="0" w:color="auto"/>
          </w:divBdr>
        </w:div>
        <w:div w:id="1536575721">
          <w:marLeft w:val="640"/>
          <w:marRight w:val="0"/>
          <w:marTop w:val="0"/>
          <w:marBottom w:val="0"/>
          <w:divBdr>
            <w:top w:val="none" w:sz="0" w:space="0" w:color="auto"/>
            <w:left w:val="none" w:sz="0" w:space="0" w:color="auto"/>
            <w:bottom w:val="none" w:sz="0" w:space="0" w:color="auto"/>
            <w:right w:val="none" w:sz="0" w:space="0" w:color="auto"/>
          </w:divBdr>
        </w:div>
        <w:div w:id="684331359">
          <w:marLeft w:val="640"/>
          <w:marRight w:val="0"/>
          <w:marTop w:val="0"/>
          <w:marBottom w:val="0"/>
          <w:divBdr>
            <w:top w:val="none" w:sz="0" w:space="0" w:color="auto"/>
            <w:left w:val="none" w:sz="0" w:space="0" w:color="auto"/>
            <w:bottom w:val="none" w:sz="0" w:space="0" w:color="auto"/>
            <w:right w:val="none" w:sz="0" w:space="0" w:color="auto"/>
          </w:divBdr>
        </w:div>
        <w:div w:id="1899777583">
          <w:marLeft w:val="640"/>
          <w:marRight w:val="0"/>
          <w:marTop w:val="0"/>
          <w:marBottom w:val="0"/>
          <w:divBdr>
            <w:top w:val="none" w:sz="0" w:space="0" w:color="auto"/>
            <w:left w:val="none" w:sz="0" w:space="0" w:color="auto"/>
            <w:bottom w:val="none" w:sz="0" w:space="0" w:color="auto"/>
            <w:right w:val="none" w:sz="0" w:space="0" w:color="auto"/>
          </w:divBdr>
        </w:div>
        <w:div w:id="1855877625">
          <w:marLeft w:val="640"/>
          <w:marRight w:val="0"/>
          <w:marTop w:val="0"/>
          <w:marBottom w:val="0"/>
          <w:divBdr>
            <w:top w:val="none" w:sz="0" w:space="0" w:color="auto"/>
            <w:left w:val="none" w:sz="0" w:space="0" w:color="auto"/>
            <w:bottom w:val="none" w:sz="0" w:space="0" w:color="auto"/>
            <w:right w:val="none" w:sz="0" w:space="0" w:color="auto"/>
          </w:divBdr>
        </w:div>
        <w:div w:id="2045251497">
          <w:marLeft w:val="640"/>
          <w:marRight w:val="0"/>
          <w:marTop w:val="0"/>
          <w:marBottom w:val="0"/>
          <w:divBdr>
            <w:top w:val="none" w:sz="0" w:space="0" w:color="auto"/>
            <w:left w:val="none" w:sz="0" w:space="0" w:color="auto"/>
            <w:bottom w:val="none" w:sz="0" w:space="0" w:color="auto"/>
            <w:right w:val="none" w:sz="0" w:space="0" w:color="auto"/>
          </w:divBdr>
        </w:div>
        <w:div w:id="1658999228">
          <w:marLeft w:val="640"/>
          <w:marRight w:val="0"/>
          <w:marTop w:val="0"/>
          <w:marBottom w:val="0"/>
          <w:divBdr>
            <w:top w:val="none" w:sz="0" w:space="0" w:color="auto"/>
            <w:left w:val="none" w:sz="0" w:space="0" w:color="auto"/>
            <w:bottom w:val="none" w:sz="0" w:space="0" w:color="auto"/>
            <w:right w:val="none" w:sz="0" w:space="0" w:color="auto"/>
          </w:divBdr>
        </w:div>
        <w:div w:id="1284265838">
          <w:marLeft w:val="640"/>
          <w:marRight w:val="0"/>
          <w:marTop w:val="0"/>
          <w:marBottom w:val="0"/>
          <w:divBdr>
            <w:top w:val="none" w:sz="0" w:space="0" w:color="auto"/>
            <w:left w:val="none" w:sz="0" w:space="0" w:color="auto"/>
            <w:bottom w:val="none" w:sz="0" w:space="0" w:color="auto"/>
            <w:right w:val="none" w:sz="0" w:space="0" w:color="auto"/>
          </w:divBdr>
        </w:div>
        <w:div w:id="925185902">
          <w:marLeft w:val="640"/>
          <w:marRight w:val="0"/>
          <w:marTop w:val="0"/>
          <w:marBottom w:val="0"/>
          <w:divBdr>
            <w:top w:val="none" w:sz="0" w:space="0" w:color="auto"/>
            <w:left w:val="none" w:sz="0" w:space="0" w:color="auto"/>
            <w:bottom w:val="none" w:sz="0" w:space="0" w:color="auto"/>
            <w:right w:val="none" w:sz="0" w:space="0" w:color="auto"/>
          </w:divBdr>
        </w:div>
        <w:div w:id="410346869">
          <w:marLeft w:val="640"/>
          <w:marRight w:val="0"/>
          <w:marTop w:val="0"/>
          <w:marBottom w:val="0"/>
          <w:divBdr>
            <w:top w:val="none" w:sz="0" w:space="0" w:color="auto"/>
            <w:left w:val="none" w:sz="0" w:space="0" w:color="auto"/>
            <w:bottom w:val="none" w:sz="0" w:space="0" w:color="auto"/>
            <w:right w:val="none" w:sz="0" w:space="0" w:color="auto"/>
          </w:divBdr>
        </w:div>
        <w:div w:id="1756436162">
          <w:marLeft w:val="640"/>
          <w:marRight w:val="0"/>
          <w:marTop w:val="0"/>
          <w:marBottom w:val="0"/>
          <w:divBdr>
            <w:top w:val="none" w:sz="0" w:space="0" w:color="auto"/>
            <w:left w:val="none" w:sz="0" w:space="0" w:color="auto"/>
            <w:bottom w:val="none" w:sz="0" w:space="0" w:color="auto"/>
            <w:right w:val="none" w:sz="0" w:space="0" w:color="auto"/>
          </w:divBdr>
        </w:div>
        <w:div w:id="771515393">
          <w:marLeft w:val="640"/>
          <w:marRight w:val="0"/>
          <w:marTop w:val="0"/>
          <w:marBottom w:val="0"/>
          <w:divBdr>
            <w:top w:val="none" w:sz="0" w:space="0" w:color="auto"/>
            <w:left w:val="none" w:sz="0" w:space="0" w:color="auto"/>
            <w:bottom w:val="none" w:sz="0" w:space="0" w:color="auto"/>
            <w:right w:val="none" w:sz="0" w:space="0" w:color="auto"/>
          </w:divBdr>
        </w:div>
        <w:div w:id="818689473">
          <w:marLeft w:val="640"/>
          <w:marRight w:val="0"/>
          <w:marTop w:val="0"/>
          <w:marBottom w:val="0"/>
          <w:divBdr>
            <w:top w:val="none" w:sz="0" w:space="0" w:color="auto"/>
            <w:left w:val="none" w:sz="0" w:space="0" w:color="auto"/>
            <w:bottom w:val="none" w:sz="0" w:space="0" w:color="auto"/>
            <w:right w:val="none" w:sz="0" w:space="0" w:color="auto"/>
          </w:divBdr>
        </w:div>
        <w:div w:id="1068577893">
          <w:marLeft w:val="640"/>
          <w:marRight w:val="0"/>
          <w:marTop w:val="0"/>
          <w:marBottom w:val="0"/>
          <w:divBdr>
            <w:top w:val="none" w:sz="0" w:space="0" w:color="auto"/>
            <w:left w:val="none" w:sz="0" w:space="0" w:color="auto"/>
            <w:bottom w:val="none" w:sz="0" w:space="0" w:color="auto"/>
            <w:right w:val="none" w:sz="0" w:space="0" w:color="auto"/>
          </w:divBdr>
        </w:div>
        <w:div w:id="813986291">
          <w:marLeft w:val="640"/>
          <w:marRight w:val="0"/>
          <w:marTop w:val="0"/>
          <w:marBottom w:val="0"/>
          <w:divBdr>
            <w:top w:val="none" w:sz="0" w:space="0" w:color="auto"/>
            <w:left w:val="none" w:sz="0" w:space="0" w:color="auto"/>
            <w:bottom w:val="none" w:sz="0" w:space="0" w:color="auto"/>
            <w:right w:val="none" w:sz="0" w:space="0" w:color="auto"/>
          </w:divBdr>
        </w:div>
        <w:div w:id="633295596">
          <w:marLeft w:val="640"/>
          <w:marRight w:val="0"/>
          <w:marTop w:val="0"/>
          <w:marBottom w:val="0"/>
          <w:divBdr>
            <w:top w:val="none" w:sz="0" w:space="0" w:color="auto"/>
            <w:left w:val="none" w:sz="0" w:space="0" w:color="auto"/>
            <w:bottom w:val="none" w:sz="0" w:space="0" w:color="auto"/>
            <w:right w:val="none" w:sz="0" w:space="0" w:color="auto"/>
          </w:divBdr>
        </w:div>
        <w:div w:id="904222400">
          <w:marLeft w:val="640"/>
          <w:marRight w:val="0"/>
          <w:marTop w:val="0"/>
          <w:marBottom w:val="0"/>
          <w:divBdr>
            <w:top w:val="none" w:sz="0" w:space="0" w:color="auto"/>
            <w:left w:val="none" w:sz="0" w:space="0" w:color="auto"/>
            <w:bottom w:val="none" w:sz="0" w:space="0" w:color="auto"/>
            <w:right w:val="none" w:sz="0" w:space="0" w:color="auto"/>
          </w:divBdr>
        </w:div>
        <w:div w:id="777330853">
          <w:marLeft w:val="640"/>
          <w:marRight w:val="0"/>
          <w:marTop w:val="0"/>
          <w:marBottom w:val="0"/>
          <w:divBdr>
            <w:top w:val="none" w:sz="0" w:space="0" w:color="auto"/>
            <w:left w:val="none" w:sz="0" w:space="0" w:color="auto"/>
            <w:bottom w:val="none" w:sz="0" w:space="0" w:color="auto"/>
            <w:right w:val="none" w:sz="0" w:space="0" w:color="auto"/>
          </w:divBdr>
        </w:div>
        <w:div w:id="1858810478">
          <w:marLeft w:val="640"/>
          <w:marRight w:val="0"/>
          <w:marTop w:val="0"/>
          <w:marBottom w:val="0"/>
          <w:divBdr>
            <w:top w:val="none" w:sz="0" w:space="0" w:color="auto"/>
            <w:left w:val="none" w:sz="0" w:space="0" w:color="auto"/>
            <w:bottom w:val="none" w:sz="0" w:space="0" w:color="auto"/>
            <w:right w:val="none" w:sz="0" w:space="0" w:color="auto"/>
          </w:divBdr>
        </w:div>
        <w:div w:id="916592996">
          <w:marLeft w:val="640"/>
          <w:marRight w:val="0"/>
          <w:marTop w:val="0"/>
          <w:marBottom w:val="0"/>
          <w:divBdr>
            <w:top w:val="none" w:sz="0" w:space="0" w:color="auto"/>
            <w:left w:val="none" w:sz="0" w:space="0" w:color="auto"/>
            <w:bottom w:val="none" w:sz="0" w:space="0" w:color="auto"/>
            <w:right w:val="none" w:sz="0" w:space="0" w:color="auto"/>
          </w:divBdr>
        </w:div>
        <w:div w:id="381372643">
          <w:marLeft w:val="640"/>
          <w:marRight w:val="0"/>
          <w:marTop w:val="0"/>
          <w:marBottom w:val="0"/>
          <w:divBdr>
            <w:top w:val="none" w:sz="0" w:space="0" w:color="auto"/>
            <w:left w:val="none" w:sz="0" w:space="0" w:color="auto"/>
            <w:bottom w:val="none" w:sz="0" w:space="0" w:color="auto"/>
            <w:right w:val="none" w:sz="0" w:space="0" w:color="auto"/>
          </w:divBdr>
        </w:div>
        <w:div w:id="1163549669">
          <w:marLeft w:val="640"/>
          <w:marRight w:val="0"/>
          <w:marTop w:val="0"/>
          <w:marBottom w:val="0"/>
          <w:divBdr>
            <w:top w:val="none" w:sz="0" w:space="0" w:color="auto"/>
            <w:left w:val="none" w:sz="0" w:space="0" w:color="auto"/>
            <w:bottom w:val="none" w:sz="0" w:space="0" w:color="auto"/>
            <w:right w:val="none" w:sz="0" w:space="0" w:color="auto"/>
          </w:divBdr>
        </w:div>
        <w:div w:id="2076006274">
          <w:marLeft w:val="640"/>
          <w:marRight w:val="0"/>
          <w:marTop w:val="0"/>
          <w:marBottom w:val="0"/>
          <w:divBdr>
            <w:top w:val="none" w:sz="0" w:space="0" w:color="auto"/>
            <w:left w:val="none" w:sz="0" w:space="0" w:color="auto"/>
            <w:bottom w:val="none" w:sz="0" w:space="0" w:color="auto"/>
            <w:right w:val="none" w:sz="0" w:space="0" w:color="auto"/>
          </w:divBdr>
        </w:div>
        <w:div w:id="837113627">
          <w:marLeft w:val="640"/>
          <w:marRight w:val="0"/>
          <w:marTop w:val="0"/>
          <w:marBottom w:val="0"/>
          <w:divBdr>
            <w:top w:val="none" w:sz="0" w:space="0" w:color="auto"/>
            <w:left w:val="none" w:sz="0" w:space="0" w:color="auto"/>
            <w:bottom w:val="none" w:sz="0" w:space="0" w:color="auto"/>
            <w:right w:val="none" w:sz="0" w:space="0" w:color="auto"/>
          </w:divBdr>
        </w:div>
        <w:div w:id="1466581048">
          <w:marLeft w:val="640"/>
          <w:marRight w:val="0"/>
          <w:marTop w:val="0"/>
          <w:marBottom w:val="0"/>
          <w:divBdr>
            <w:top w:val="none" w:sz="0" w:space="0" w:color="auto"/>
            <w:left w:val="none" w:sz="0" w:space="0" w:color="auto"/>
            <w:bottom w:val="none" w:sz="0" w:space="0" w:color="auto"/>
            <w:right w:val="none" w:sz="0" w:space="0" w:color="auto"/>
          </w:divBdr>
        </w:div>
        <w:div w:id="765227464">
          <w:marLeft w:val="640"/>
          <w:marRight w:val="0"/>
          <w:marTop w:val="0"/>
          <w:marBottom w:val="0"/>
          <w:divBdr>
            <w:top w:val="none" w:sz="0" w:space="0" w:color="auto"/>
            <w:left w:val="none" w:sz="0" w:space="0" w:color="auto"/>
            <w:bottom w:val="none" w:sz="0" w:space="0" w:color="auto"/>
            <w:right w:val="none" w:sz="0" w:space="0" w:color="auto"/>
          </w:divBdr>
        </w:div>
        <w:div w:id="717434150">
          <w:marLeft w:val="640"/>
          <w:marRight w:val="0"/>
          <w:marTop w:val="0"/>
          <w:marBottom w:val="0"/>
          <w:divBdr>
            <w:top w:val="none" w:sz="0" w:space="0" w:color="auto"/>
            <w:left w:val="none" w:sz="0" w:space="0" w:color="auto"/>
            <w:bottom w:val="none" w:sz="0" w:space="0" w:color="auto"/>
            <w:right w:val="none" w:sz="0" w:space="0" w:color="auto"/>
          </w:divBdr>
        </w:div>
        <w:div w:id="702556331">
          <w:marLeft w:val="640"/>
          <w:marRight w:val="0"/>
          <w:marTop w:val="0"/>
          <w:marBottom w:val="0"/>
          <w:divBdr>
            <w:top w:val="none" w:sz="0" w:space="0" w:color="auto"/>
            <w:left w:val="none" w:sz="0" w:space="0" w:color="auto"/>
            <w:bottom w:val="none" w:sz="0" w:space="0" w:color="auto"/>
            <w:right w:val="none" w:sz="0" w:space="0" w:color="auto"/>
          </w:divBdr>
        </w:div>
        <w:div w:id="1058087480">
          <w:marLeft w:val="640"/>
          <w:marRight w:val="0"/>
          <w:marTop w:val="0"/>
          <w:marBottom w:val="0"/>
          <w:divBdr>
            <w:top w:val="none" w:sz="0" w:space="0" w:color="auto"/>
            <w:left w:val="none" w:sz="0" w:space="0" w:color="auto"/>
            <w:bottom w:val="none" w:sz="0" w:space="0" w:color="auto"/>
            <w:right w:val="none" w:sz="0" w:space="0" w:color="auto"/>
          </w:divBdr>
        </w:div>
        <w:div w:id="1293485831">
          <w:marLeft w:val="640"/>
          <w:marRight w:val="0"/>
          <w:marTop w:val="0"/>
          <w:marBottom w:val="0"/>
          <w:divBdr>
            <w:top w:val="none" w:sz="0" w:space="0" w:color="auto"/>
            <w:left w:val="none" w:sz="0" w:space="0" w:color="auto"/>
            <w:bottom w:val="none" w:sz="0" w:space="0" w:color="auto"/>
            <w:right w:val="none" w:sz="0" w:space="0" w:color="auto"/>
          </w:divBdr>
        </w:div>
        <w:div w:id="582641406">
          <w:marLeft w:val="640"/>
          <w:marRight w:val="0"/>
          <w:marTop w:val="0"/>
          <w:marBottom w:val="0"/>
          <w:divBdr>
            <w:top w:val="none" w:sz="0" w:space="0" w:color="auto"/>
            <w:left w:val="none" w:sz="0" w:space="0" w:color="auto"/>
            <w:bottom w:val="none" w:sz="0" w:space="0" w:color="auto"/>
            <w:right w:val="none" w:sz="0" w:space="0" w:color="auto"/>
          </w:divBdr>
        </w:div>
        <w:div w:id="1221868106">
          <w:marLeft w:val="640"/>
          <w:marRight w:val="0"/>
          <w:marTop w:val="0"/>
          <w:marBottom w:val="0"/>
          <w:divBdr>
            <w:top w:val="none" w:sz="0" w:space="0" w:color="auto"/>
            <w:left w:val="none" w:sz="0" w:space="0" w:color="auto"/>
            <w:bottom w:val="none" w:sz="0" w:space="0" w:color="auto"/>
            <w:right w:val="none" w:sz="0" w:space="0" w:color="auto"/>
          </w:divBdr>
        </w:div>
        <w:div w:id="1302425646">
          <w:marLeft w:val="640"/>
          <w:marRight w:val="0"/>
          <w:marTop w:val="0"/>
          <w:marBottom w:val="0"/>
          <w:divBdr>
            <w:top w:val="none" w:sz="0" w:space="0" w:color="auto"/>
            <w:left w:val="none" w:sz="0" w:space="0" w:color="auto"/>
            <w:bottom w:val="none" w:sz="0" w:space="0" w:color="auto"/>
            <w:right w:val="none" w:sz="0" w:space="0" w:color="auto"/>
          </w:divBdr>
        </w:div>
        <w:div w:id="887647965">
          <w:marLeft w:val="640"/>
          <w:marRight w:val="0"/>
          <w:marTop w:val="0"/>
          <w:marBottom w:val="0"/>
          <w:divBdr>
            <w:top w:val="none" w:sz="0" w:space="0" w:color="auto"/>
            <w:left w:val="none" w:sz="0" w:space="0" w:color="auto"/>
            <w:bottom w:val="none" w:sz="0" w:space="0" w:color="auto"/>
            <w:right w:val="none" w:sz="0" w:space="0" w:color="auto"/>
          </w:divBdr>
        </w:div>
        <w:div w:id="1047342583">
          <w:marLeft w:val="640"/>
          <w:marRight w:val="0"/>
          <w:marTop w:val="0"/>
          <w:marBottom w:val="0"/>
          <w:divBdr>
            <w:top w:val="none" w:sz="0" w:space="0" w:color="auto"/>
            <w:left w:val="none" w:sz="0" w:space="0" w:color="auto"/>
            <w:bottom w:val="none" w:sz="0" w:space="0" w:color="auto"/>
            <w:right w:val="none" w:sz="0" w:space="0" w:color="auto"/>
          </w:divBdr>
        </w:div>
        <w:div w:id="9962667">
          <w:marLeft w:val="640"/>
          <w:marRight w:val="0"/>
          <w:marTop w:val="0"/>
          <w:marBottom w:val="0"/>
          <w:divBdr>
            <w:top w:val="none" w:sz="0" w:space="0" w:color="auto"/>
            <w:left w:val="none" w:sz="0" w:space="0" w:color="auto"/>
            <w:bottom w:val="none" w:sz="0" w:space="0" w:color="auto"/>
            <w:right w:val="none" w:sz="0" w:space="0" w:color="auto"/>
          </w:divBdr>
        </w:div>
        <w:div w:id="369769061">
          <w:marLeft w:val="640"/>
          <w:marRight w:val="0"/>
          <w:marTop w:val="0"/>
          <w:marBottom w:val="0"/>
          <w:divBdr>
            <w:top w:val="none" w:sz="0" w:space="0" w:color="auto"/>
            <w:left w:val="none" w:sz="0" w:space="0" w:color="auto"/>
            <w:bottom w:val="none" w:sz="0" w:space="0" w:color="auto"/>
            <w:right w:val="none" w:sz="0" w:space="0" w:color="auto"/>
          </w:divBdr>
        </w:div>
        <w:div w:id="1382827416">
          <w:marLeft w:val="640"/>
          <w:marRight w:val="0"/>
          <w:marTop w:val="0"/>
          <w:marBottom w:val="0"/>
          <w:divBdr>
            <w:top w:val="none" w:sz="0" w:space="0" w:color="auto"/>
            <w:left w:val="none" w:sz="0" w:space="0" w:color="auto"/>
            <w:bottom w:val="none" w:sz="0" w:space="0" w:color="auto"/>
            <w:right w:val="none" w:sz="0" w:space="0" w:color="auto"/>
          </w:divBdr>
        </w:div>
        <w:div w:id="119763555">
          <w:marLeft w:val="640"/>
          <w:marRight w:val="0"/>
          <w:marTop w:val="0"/>
          <w:marBottom w:val="0"/>
          <w:divBdr>
            <w:top w:val="none" w:sz="0" w:space="0" w:color="auto"/>
            <w:left w:val="none" w:sz="0" w:space="0" w:color="auto"/>
            <w:bottom w:val="none" w:sz="0" w:space="0" w:color="auto"/>
            <w:right w:val="none" w:sz="0" w:space="0" w:color="auto"/>
          </w:divBdr>
        </w:div>
        <w:div w:id="1905219165">
          <w:marLeft w:val="640"/>
          <w:marRight w:val="0"/>
          <w:marTop w:val="0"/>
          <w:marBottom w:val="0"/>
          <w:divBdr>
            <w:top w:val="none" w:sz="0" w:space="0" w:color="auto"/>
            <w:left w:val="none" w:sz="0" w:space="0" w:color="auto"/>
            <w:bottom w:val="none" w:sz="0" w:space="0" w:color="auto"/>
            <w:right w:val="none" w:sz="0" w:space="0" w:color="auto"/>
          </w:divBdr>
        </w:div>
        <w:div w:id="1060057669">
          <w:marLeft w:val="640"/>
          <w:marRight w:val="0"/>
          <w:marTop w:val="0"/>
          <w:marBottom w:val="0"/>
          <w:divBdr>
            <w:top w:val="none" w:sz="0" w:space="0" w:color="auto"/>
            <w:left w:val="none" w:sz="0" w:space="0" w:color="auto"/>
            <w:bottom w:val="none" w:sz="0" w:space="0" w:color="auto"/>
            <w:right w:val="none" w:sz="0" w:space="0" w:color="auto"/>
          </w:divBdr>
        </w:div>
        <w:div w:id="115301316">
          <w:marLeft w:val="640"/>
          <w:marRight w:val="0"/>
          <w:marTop w:val="0"/>
          <w:marBottom w:val="0"/>
          <w:divBdr>
            <w:top w:val="none" w:sz="0" w:space="0" w:color="auto"/>
            <w:left w:val="none" w:sz="0" w:space="0" w:color="auto"/>
            <w:bottom w:val="none" w:sz="0" w:space="0" w:color="auto"/>
            <w:right w:val="none" w:sz="0" w:space="0" w:color="auto"/>
          </w:divBdr>
        </w:div>
        <w:div w:id="164980251">
          <w:marLeft w:val="640"/>
          <w:marRight w:val="0"/>
          <w:marTop w:val="0"/>
          <w:marBottom w:val="0"/>
          <w:divBdr>
            <w:top w:val="none" w:sz="0" w:space="0" w:color="auto"/>
            <w:left w:val="none" w:sz="0" w:space="0" w:color="auto"/>
            <w:bottom w:val="none" w:sz="0" w:space="0" w:color="auto"/>
            <w:right w:val="none" w:sz="0" w:space="0" w:color="auto"/>
          </w:divBdr>
        </w:div>
        <w:div w:id="1025406104">
          <w:marLeft w:val="640"/>
          <w:marRight w:val="0"/>
          <w:marTop w:val="0"/>
          <w:marBottom w:val="0"/>
          <w:divBdr>
            <w:top w:val="none" w:sz="0" w:space="0" w:color="auto"/>
            <w:left w:val="none" w:sz="0" w:space="0" w:color="auto"/>
            <w:bottom w:val="none" w:sz="0" w:space="0" w:color="auto"/>
            <w:right w:val="none" w:sz="0" w:space="0" w:color="auto"/>
          </w:divBdr>
        </w:div>
        <w:div w:id="507521763">
          <w:marLeft w:val="640"/>
          <w:marRight w:val="0"/>
          <w:marTop w:val="0"/>
          <w:marBottom w:val="0"/>
          <w:divBdr>
            <w:top w:val="none" w:sz="0" w:space="0" w:color="auto"/>
            <w:left w:val="none" w:sz="0" w:space="0" w:color="auto"/>
            <w:bottom w:val="none" w:sz="0" w:space="0" w:color="auto"/>
            <w:right w:val="none" w:sz="0" w:space="0" w:color="auto"/>
          </w:divBdr>
        </w:div>
        <w:div w:id="1405449594">
          <w:marLeft w:val="640"/>
          <w:marRight w:val="0"/>
          <w:marTop w:val="0"/>
          <w:marBottom w:val="0"/>
          <w:divBdr>
            <w:top w:val="none" w:sz="0" w:space="0" w:color="auto"/>
            <w:left w:val="none" w:sz="0" w:space="0" w:color="auto"/>
            <w:bottom w:val="none" w:sz="0" w:space="0" w:color="auto"/>
            <w:right w:val="none" w:sz="0" w:space="0" w:color="auto"/>
          </w:divBdr>
        </w:div>
        <w:div w:id="1813980597">
          <w:marLeft w:val="640"/>
          <w:marRight w:val="0"/>
          <w:marTop w:val="0"/>
          <w:marBottom w:val="0"/>
          <w:divBdr>
            <w:top w:val="none" w:sz="0" w:space="0" w:color="auto"/>
            <w:left w:val="none" w:sz="0" w:space="0" w:color="auto"/>
            <w:bottom w:val="none" w:sz="0" w:space="0" w:color="auto"/>
            <w:right w:val="none" w:sz="0" w:space="0" w:color="auto"/>
          </w:divBdr>
        </w:div>
        <w:div w:id="735782896">
          <w:marLeft w:val="640"/>
          <w:marRight w:val="0"/>
          <w:marTop w:val="0"/>
          <w:marBottom w:val="0"/>
          <w:divBdr>
            <w:top w:val="none" w:sz="0" w:space="0" w:color="auto"/>
            <w:left w:val="none" w:sz="0" w:space="0" w:color="auto"/>
            <w:bottom w:val="none" w:sz="0" w:space="0" w:color="auto"/>
            <w:right w:val="none" w:sz="0" w:space="0" w:color="auto"/>
          </w:divBdr>
        </w:div>
        <w:div w:id="963341256">
          <w:marLeft w:val="640"/>
          <w:marRight w:val="0"/>
          <w:marTop w:val="0"/>
          <w:marBottom w:val="0"/>
          <w:divBdr>
            <w:top w:val="none" w:sz="0" w:space="0" w:color="auto"/>
            <w:left w:val="none" w:sz="0" w:space="0" w:color="auto"/>
            <w:bottom w:val="none" w:sz="0" w:space="0" w:color="auto"/>
            <w:right w:val="none" w:sz="0" w:space="0" w:color="auto"/>
          </w:divBdr>
        </w:div>
        <w:div w:id="123013004">
          <w:marLeft w:val="640"/>
          <w:marRight w:val="0"/>
          <w:marTop w:val="0"/>
          <w:marBottom w:val="0"/>
          <w:divBdr>
            <w:top w:val="none" w:sz="0" w:space="0" w:color="auto"/>
            <w:left w:val="none" w:sz="0" w:space="0" w:color="auto"/>
            <w:bottom w:val="none" w:sz="0" w:space="0" w:color="auto"/>
            <w:right w:val="none" w:sz="0" w:space="0" w:color="auto"/>
          </w:divBdr>
        </w:div>
        <w:div w:id="44065325">
          <w:marLeft w:val="640"/>
          <w:marRight w:val="0"/>
          <w:marTop w:val="0"/>
          <w:marBottom w:val="0"/>
          <w:divBdr>
            <w:top w:val="none" w:sz="0" w:space="0" w:color="auto"/>
            <w:left w:val="none" w:sz="0" w:space="0" w:color="auto"/>
            <w:bottom w:val="none" w:sz="0" w:space="0" w:color="auto"/>
            <w:right w:val="none" w:sz="0" w:space="0" w:color="auto"/>
          </w:divBdr>
        </w:div>
        <w:div w:id="1951930474">
          <w:marLeft w:val="640"/>
          <w:marRight w:val="0"/>
          <w:marTop w:val="0"/>
          <w:marBottom w:val="0"/>
          <w:divBdr>
            <w:top w:val="none" w:sz="0" w:space="0" w:color="auto"/>
            <w:left w:val="none" w:sz="0" w:space="0" w:color="auto"/>
            <w:bottom w:val="none" w:sz="0" w:space="0" w:color="auto"/>
            <w:right w:val="none" w:sz="0" w:space="0" w:color="auto"/>
          </w:divBdr>
        </w:div>
        <w:div w:id="592519936">
          <w:marLeft w:val="640"/>
          <w:marRight w:val="0"/>
          <w:marTop w:val="0"/>
          <w:marBottom w:val="0"/>
          <w:divBdr>
            <w:top w:val="none" w:sz="0" w:space="0" w:color="auto"/>
            <w:left w:val="none" w:sz="0" w:space="0" w:color="auto"/>
            <w:bottom w:val="none" w:sz="0" w:space="0" w:color="auto"/>
            <w:right w:val="none" w:sz="0" w:space="0" w:color="auto"/>
          </w:divBdr>
        </w:div>
        <w:div w:id="1352612447">
          <w:marLeft w:val="640"/>
          <w:marRight w:val="0"/>
          <w:marTop w:val="0"/>
          <w:marBottom w:val="0"/>
          <w:divBdr>
            <w:top w:val="none" w:sz="0" w:space="0" w:color="auto"/>
            <w:left w:val="none" w:sz="0" w:space="0" w:color="auto"/>
            <w:bottom w:val="none" w:sz="0" w:space="0" w:color="auto"/>
            <w:right w:val="none" w:sz="0" w:space="0" w:color="auto"/>
          </w:divBdr>
        </w:div>
        <w:div w:id="2026856595">
          <w:marLeft w:val="640"/>
          <w:marRight w:val="0"/>
          <w:marTop w:val="0"/>
          <w:marBottom w:val="0"/>
          <w:divBdr>
            <w:top w:val="none" w:sz="0" w:space="0" w:color="auto"/>
            <w:left w:val="none" w:sz="0" w:space="0" w:color="auto"/>
            <w:bottom w:val="none" w:sz="0" w:space="0" w:color="auto"/>
            <w:right w:val="none" w:sz="0" w:space="0" w:color="auto"/>
          </w:divBdr>
        </w:div>
        <w:div w:id="516625327">
          <w:marLeft w:val="640"/>
          <w:marRight w:val="0"/>
          <w:marTop w:val="0"/>
          <w:marBottom w:val="0"/>
          <w:divBdr>
            <w:top w:val="none" w:sz="0" w:space="0" w:color="auto"/>
            <w:left w:val="none" w:sz="0" w:space="0" w:color="auto"/>
            <w:bottom w:val="none" w:sz="0" w:space="0" w:color="auto"/>
            <w:right w:val="none" w:sz="0" w:space="0" w:color="auto"/>
          </w:divBdr>
        </w:div>
        <w:div w:id="850535869">
          <w:marLeft w:val="640"/>
          <w:marRight w:val="0"/>
          <w:marTop w:val="0"/>
          <w:marBottom w:val="0"/>
          <w:divBdr>
            <w:top w:val="none" w:sz="0" w:space="0" w:color="auto"/>
            <w:left w:val="none" w:sz="0" w:space="0" w:color="auto"/>
            <w:bottom w:val="none" w:sz="0" w:space="0" w:color="auto"/>
            <w:right w:val="none" w:sz="0" w:space="0" w:color="auto"/>
          </w:divBdr>
        </w:div>
        <w:div w:id="1362198060">
          <w:marLeft w:val="640"/>
          <w:marRight w:val="0"/>
          <w:marTop w:val="0"/>
          <w:marBottom w:val="0"/>
          <w:divBdr>
            <w:top w:val="none" w:sz="0" w:space="0" w:color="auto"/>
            <w:left w:val="none" w:sz="0" w:space="0" w:color="auto"/>
            <w:bottom w:val="none" w:sz="0" w:space="0" w:color="auto"/>
            <w:right w:val="none" w:sz="0" w:space="0" w:color="auto"/>
          </w:divBdr>
        </w:div>
        <w:div w:id="152456260">
          <w:marLeft w:val="640"/>
          <w:marRight w:val="0"/>
          <w:marTop w:val="0"/>
          <w:marBottom w:val="0"/>
          <w:divBdr>
            <w:top w:val="none" w:sz="0" w:space="0" w:color="auto"/>
            <w:left w:val="none" w:sz="0" w:space="0" w:color="auto"/>
            <w:bottom w:val="none" w:sz="0" w:space="0" w:color="auto"/>
            <w:right w:val="none" w:sz="0" w:space="0" w:color="auto"/>
          </w:divBdr>
        </w:div>
        <w:div w:id="1932885495">
          <w:marLeft w:val="640"/>
          <w:marRight w:val="0"/>
          <w:marTop w:val="0"/>
          <w:marBottom w:val="0"/>
          <w:divBdr>
            <w:top w:val="none" w:sz="0" w:space="0" w:color="auto"/>
            <w:left w:val="none" w:sz="0" w:space="0" w:color="auto"/>
            <w:bottom w:val="none" w:sz="0" w:space="0" w:color="auto"/>
            <w:right w:val="none" w:sz="0" w:space="0" w:color="auto"/>
          </w:divBdr>
        </w:div>
        <w:div w:id="420298550">
          <w:marLeft w:val="640"/>
          <w:marRight w:val="0"/>
          <w:marTop w:val="0"/>
          <w:marBottom w:val="0"/>
          <w:divBdr>
            <w:top w:val="none" w:sz="0" w:space="0" w:color="auto"/>
            <w:left w:val="none" w:sz="0" w:space="0" w:color="auto"/>
            <w:bottom w:val="none" w:sz="0" w:space="0" w:color="auto"/>
            <w:right w:val="none" w:sz="0" w:space="0" w:color="auto"/>
          </w:divBdr>
        </w:div>
        <w:div w:id="175923275">
          <w:marLeft w:val="640"/>
          <w:marRight w:val="0"/>
          <w:marTop w:val="0"/>
          <w:marBottom w:val="0"/>
          <w:divBdr>
            <w:top w:val="none" w:sz="0" w:space="0" w:color="auto"/>
            <w:left w:val="none" w:sz="0" w:space="0" w:color="auto"/>
            <w:bottom w:val="none" w:sz="0" w:space="0" w:color="auto"/>
            <w:right w:val="none" w:sz="0" w:space="0" w:color="auto"/>
          </w:divBdr>
        </w:div>
        <w:div w:id="1345866159">
          <w:marLeft w:val="640"/>
          <w:marRight w:val="0"/>
          <w:marTop w:val="0"/>
          <w:marBottom w:val="0"/>
          <w:divBdr>
            <w:top w:val="none" w:sz="0" w:space="0" w:color="auto"/>
            <w:left w:val="none" w:sz="0" w:space="0" w:color="auto"/>
            <w:bottom w:val="none" w:sz="0" w:space="0" w:color="auto"/>
            <w:right w:val="none" w:sz="0" w:space="0" w:color="auto"/>
          </w:divBdr>
        </w:div>
        <w:div w:id="1419986727">
          <w:marLeft w:val="640"/>
          <w:marRight w:val="0"/>
          <w:marTop w:val="0"/>
          <w:marBottom w:val="0"/>
          <w:divBdr>
            <w:top w:val="none" w:sz="0" w:space="0" w:color="auto"/>
            <w:left w:val="none" w:sz="0" w:space="0" w:color="auto"/>
            <w:bottom w:val="none" w:sz="0" w:space="0" w:color="auto"/>
            <w:right w:val="none" w:sz="0" w:space="0" w:color="auto"/>
          </w:divBdr>
        </w:div>
        <w:div w:id="840849459">
          <w:marLeft w:val="640"/>
          <w:marRight w:val="0"/>
          <w:marTop w:val="0"/>
          <w:marBottom w:val="0"/>
          <w:divBdr>
            <w:top w:val="none" w:sz="0" w:space="0" w:color="auto"/>
            <w:left w:val="none" w:sz="0" w:space="0" w:color="auto"/>
            <w:bottom w:val="none" w:sz="0" w:space="0" w:color="auto"/>
            <w:right w:val="none" w:sz="0" w:space="0" w:color="auto"/>
          </w:divBdr>
        </w:div>
        <w:div w:id="1067728714">
          <w:marLeft w:val="640"/>
          <w:marRight w:val="0"/>
          <w:marTop w:val="0"/>
          <w:marBottom w:val="0"/>
          <w:divBdr>
            <w:top w:val="none" w:sz="0" w:space="0" w:color="auto"/>
            <w:left w:val="none" w:sz="0" w:space="0" w:color="auto"/>
            <w:bottom w:val="none" w:sz="0" w:space="0" w:color="auto"/>
            <w:right w:val="none" w:sz="0" w:space="0" w:color="auto"/>
          </w:divBdr>
        </w:div>
        <w:div w:id="498732912">
          <w:marLeft w:val="640"/>
          <w:marRight w:val="0"/>
          <w:marTop w:val="0"/>
          <w:marBottom w:val="0"/>
          <w:divBdr>
            <w:top w:val="none" w:sz="0" w:space="0" w:color="auto"/>
            <w:left w:val="none" w:sz="0" w:space="0" w:color="auto"/>
            <w:bottom w:val="none" w:sz="0" w:space="0" w:color="auto"/>
            <w:right w:val="none" w:sz="0" w:space="0" w:color="auto"/>
          </w:divBdr>
        </w:div>
        <w:div w:id="1288390210">
          <w:marLeft w:val="640"/>
          <w:marRight w:val="0"/>
          <w:marTop w:val="0"/>
          <w:marBottom w:val="0"/>
          <w:divBdr>
            <w:top w:val="none" w:sz="0" w:space="0" w:color="auto"/>
            <w:left w:val="none" w:sz="0" w:space="0" w:color="auto"/>
            <w:bottom w:val="none" w:sz="0" w:space="0" w:color="auto"/>
            <w:right w:val="none" w:sz="0" w:space="0" w:color="auto"/>
          </w:divBdr>
        </w:div>
        <w:div w:id="1846170397">
          <w:marLeft w:val="640"/>
          <w:marRight w:val="0"/>
          <w:marTop w:val="0"/>
          <w:marBottom w:val="0"/>
          <w:divBdr>
            <w:top w:val="none" w:sz="0" w:space="0" w:color="auto"/>
            <w:left w:val="none" w:sz="0" w:space="0" w:color="auto"/>
            <w:bottom w:val="none" w:sz="0" w:space="0" w:color="auto"/>
            <w:right w:val="none" w:sz="0" w:space="0" w:color="auto"/>
          </w:divBdr>
        </w:div>
        <w:div w:id="424349601">
          <w:marLeft w:val="640"/>
          <w:marRight w:val="0"/>
          <w:marTop w:val="0"/>
          <w:marBottom w:val="0"/>
          <w:divBdr>
            <w:top w:val="none" w:sz="0" w:space="0" w:color="auto"/>
            <w:left w:val="none" w:sz="0" w:space="0" w:color="auto"/>
            <w:bottom w:val="none" w:sz="0" w:space="0" w:color="auto"/>
            <w:right w:val="none" w:sz="0" w:space="0" w:color="auto"/>
          </w:divBdr>
        </w:div>
        <w:div w:id="377124448">
          <w:marLeft w:val="640"/>
          <w:marRight w:val="0"/>
          <w:marTop w:val="0"/>
          <w:marBottom w:val="0"/>
          <w:divBdr>
            <w:top w:val="none" w:sz="0" w:space="0" w:color="auto"/>
            <w:left w:val="none" w:sz="0" w:space="0" w:color="auto"/>
            <w:bottom w:val="none" w:sz="0" w:space="0" w:color="auto"/>
            <w:right w:val="none" w:sz="0" w:space="0" w:color="auto"/>
          </w:divBdr>
        </w:div>
        <w:div w:id="1895505036">
          <w:marLeft w:val="640"/>
          <w:marRight w:val="0"/>
          <w:marTop w:val="0"/>
          <w:marBottom w:val="0"/>
          <w:divBdr>
            <w:top w:val="none" w:sz="0" w:space="0" w:color="auto"/>
            <w:left w:val="none" w:sz="0" w:space="0" w:color="auto"/>
            <w:bottom w:val="none" w:sz="0" w:space="0" w:color="auto"/>
            <w:right w:val="none" w:sz="0" w:space="0" w:color="auto"/>
          </w:divBdr>
        </w:div>
        <w:div w:id="877201998">
          <w:marLeft w:val="640"/>
          <w:marRight w:val="0"/>
          <w:marTop w:val="0"/>
          <w:marBottom w:val="0"/>
          <w:divBdr>
            <w:top w:val="none" w:sz="0" w:space="0" w:color="auto"/>
            <w:left w:val="none" w:sz="0" w:space="0" w:color="auto"/>
            <w:bottom w:val="none" w:sz="0" w:space="0" w:color="auto"/>
            <w:right w:val="none" w:sz="0" w:space="0" w:color="auto"/>
          </w:divBdr>
        </w:div>
        <w:div w:id="1308557787">
          <w:marLeft w:val="640"/>
          <w:marRight w:val="0"/>
          <w:marTop w:val="0"/>
          <w:marBottom w:val="0"/>
          <w:divBdr>
            <w:top w:val="none" w:sz="0" w:space="0" w:color="auto"/>
            <w:left w:val="none" w:sz="0" w:space="0" w:color="auto"/>
            <w:bottom w:val="none" w:sz="0" w:space="0" w:color="auto"/>
            <w:right w:val="none" w:sz="0" w:space="0" w:color="auto"/>
          </w:divBdr>
        </w:div>
        <w:div w:id="899754199">
          <w:marLeft w:val="640"/>
          <w:marRight w:val="0"/>
          <w:marTop w:val="0"/>
          <w:marBottom w:val="0"/>
          <w:divBdr>
            <w:top w:val="none" w:sz="0" w:space="0" w:color="auto"/>
            <w:left w:val="none" w:sz="0" w:space="0" w:color="auto"/>
            <w:bottom w:val="none" w:sz="0" w:space="0" w:color="auto"/>
            <w:right w:val="none" w:sz="0" w:space="0" w:color="auto"/>
          </w:divBdr>
        </w:div>
        <w:div w:id="1584492555">
          <w:marLeft w:val="640"/>
          <w:marRight w:val="0"/>
          <w:marTop w:val="0"/>
          <w:marBottom w:val="0"/>
          <w:divBdr>
            <w:top w:val="none" w:sz="0" w:space="0" w:color="auto"/>
            <w:left w:val="none" w:sz="0" w:space="0" w:color="auto"/>
            <w:bottom w:val="none" w:sz="0" w:space="0" w:color="auto"/>
            <w:right w:val="none" w:sz="0" w:space="0" w:color="auto"/>
          </w:divBdr>
        </w:div>
        <w:div w:id="102457910">
          <w:marLeft w:val="640"/>
          <w:marRight w:val="0"/>
          <w:marTop w:val="0"/>
          <w:marBottom w:val="0"/>
          <w:divBdr>
            <w:top w:val="none" w:sz="0" w:space="0" w:color="auto"/>
            <w:left w:val="none" w:sz="0" w:space="0" w:color="auto"/>
            <w:bottom w:val="none" w:sz="0" w:space="0" w:color="auto"/>
            <w:right w:val="none" w:sz="0" w:space="0" w:color="auto"/>
          </w:divBdr>
        </w:div>
        <w:div w:id="1477339999">
          <w:marLeft w:val="640"/>
          <w:marRight w:val="0"/>
          <w:marTop w:val="0"/>
          <w:marBottom w:val="0"/>
          <w:divBdr>
            <w:top w:val="none" w:sz="0" w:space="0" w:color="auto"/>
            <w:left w:val="none" w:sz="0" w:space="0" w:color="auto"/>
            <w:bottom w:val="none" w:sz="0" w:space="0" w:color="auto"/>
            <w:right w:val="none" w:sz="0" w:space="0" w:color="auto"/>
          </w:divBdr>
        </w:div>
        <w:div w:id="990402998">
          <w:marLeft w:val="640"/>
          <w:marRight w:val="0"/>
          <w:marTop w:val="0"/>
          <w:marBottom w:val="0"/>
          <w:divBdr>
            <w:top w:val="none" w:sz="0" w:space="0" w:color="auto"/>
            <w:left w:val="none" w:sz="0" w:space="0" w:color="auto"/>
            <w:bottom w:val="none" w:sz="0" w:space="0" w:color="auto"/>
            <w:right w:val="none" w:sz="0" w:space="0" w:color="auto"/>
          </w:divBdr>
        </w:div>
        <w:div w:id="1008868818">
          <w:marLeft w:val="640"/>
          <w:marRight w:val="0"/>
          <w:marTop w:val="0"/>
          <w:marBottom w:val="0"/>
          <w:divBdr>
            <w:top w:val="none" w:sz="0" w:space="0" w:color="auto"/>
            <w:left w:val="none" w:sz="0" w:space="0" w:color="auto"/>
            <w:bottom w:val="none" w:sz="0" w:space="0" w:color="auto"/>
            <w:right w:val="none" w:sz="0" w:space="0" w:color="auto"/>
          </w:divBdr>
        </w:div>
        <w:div w:id="330302856">
          <w:marLeft w:val="640"/>
          <w:marRight w:val="0"/>
          <w:marTop w:val="0"/>
          <w:marBottom w:val="0"/>
          <w:divBdr>
            <w:top w:val="none" w:sz="0" w:space="0" w:color="auto"/>
            <w:left w:val="none" w:sz="0" w:space="0" w:color="auto"/>
            <w:bottom w:val="none" w:sz="0" w:space="0" w:color="auto"/>
            <w:right w:val="none" w:sz="0" w:space="0" w:color="auto"/>
          </w:divBdr>
        </w:div>
        <w:div w:id="1279140262">
          <w:marLeft w:val="640"/>
          <w:marRight w:val="0"/>
          <w:marTop w:val="0"/>
          <w:marBottom w:val="0"/>
          <w:divBdr>
            <w:top w:val="none" w:sz="0" w:space="0" w:color="auto"/>
            <w:left w:val="none" w:sz="0" w:space="0" w:color="auto"/>
            <w:bottom w:val="none" w:sz="0" w:space="0" w:color="auto"/>
            <w:right w:val="none" w:sz="0" w:space="0" w:color="auto"/>
          </w:divBdr>
        </w:div>
        <w:div w:id="1748528000">
          <w:marLeft w:val="640"/>
          <w:marRight w:val="0"/>
          <w:marTop w:val="0"/>
          <w:marBottom w:val="0"/>
          <w:divBdr>
            <w:top w:val="none" w:sz="0" w:space="0" w:color="auto"/>
            <w:left w:val="none" w:sz="0" w:space="0" w:color="auto"/>
            <w:bottom w:val="none" w:sz="0" w:space="0" w:color="auto"/>
            <w:right w:val="none" w:sz="0" w:space="0" w:color="auto"/>
          </w:divBdr>
        </w:div>
        <w:div w:id="969941119">
          <w:marLeft w:val="640"/>
          <w:marRight w:val="0"/>
          <w:marTop w:val="0"/>
          <w:marBottom w:val="0"/>
          <w:divBdr>
            <w:top w:val="none" w:sz="0" w:space="0" w:color="auto"/>
            <w:left w:val="none" w:sz="0" w:space="0" w:color="auto"/>
            <w:bottom w:val="none" w:sz="0" w:space="0" w:color="auto"/>
            <w:right w:val="none" w:sz="0" w:space="0" w:color="auto"/>
          </w:divBdr>
        </w:div>
        <w:div w:id="1066533550">
          <w:marLeft w:val="640"/>
          <w:marRight w:val="0"/>
          <w:marTop w:val="0"/>
          <w:marBottom w:val="0"/>
          <w:divBdr>
            <w:top w:val="none" w:sz="0" w:space="0" w:color="auto"/>
            <w:left w:val="none" w:sz="0" w:space="0" w:color="auto"/>
            <w:bottom w:val="none" w:sz="0" w:space="0" w:color="auto"/>
            <w:right w:val="none" w:sz="0" w:space="0" w:color="auto"/>
          </w:divBdr>
        </w:div>
        <w:div w:id="1690176918">
          <w:marLeft w:val="640"/>
          <w:marRight w:val="0"/>
          <w:marTop w:val="0"/>
          <w:marBottom w:val="0"/>
          <w:divBdr>
            <w:top w:val="none" w:sz="0" w:space="0" w:color="auto"/>
            <w:left w:val="none" w:sz="0" w:space="0" w:color="auto"/>
            <w:bottom w:val="none" w:sz="0" w:space="0" w:color="auto"/>
            <w:right w:val="none" w:sz="0" w:space="0" w:color="auto"/>
          </w:divBdr>
        </w:div>
        <w:div w:id="945766780">
          <w:marLeft w:val="640"/>
          <w:marRight w:val="0"/>
          <w:marTop w:val="0"/>
          <w:marBottom w:val="0"/>
          <w:divBdr>
            <w:top w:val="none" w:sz="0" w:space="0" w:color="auto"/>
            <w:left w:val="none" w:sz="0" w:space="0" w:color="auto"/>
            <w:bottom w:val="none" w:sz="0" w:space="0" w:color="auto"/>
            <w:right w:val="none" w:sz="0" w:space="0" w:color="auto"/>
          </w:divBdr>
        </w:div>
        <w:div w:id="1490294066">
          <w:marLeft w:val="640"/>
          <w:marRight w:val="0"/>
          <w:marTop w:val="0"/>
          <w:marBottom w:val="0"/>
          <w:divBdr>
            <w:top w:val="none" w:sz="0" w:space="0" w:color="auto"/>
            <w:left w:val="none" w:sz="0" w:space="0" w:color="auto"/>
            <w:bottom w:val="none" w:sz="0" w:space="0" w:color="auto"/>
            <w:right w:val="none" w:sz="0" w:space="0" w:color="auto"/>
          </w:divBdr>
        </w:div>
        <w:div w:id="461003136">
          <w:marLeft w:val="640"/>
          <w:marRight w:val="0"/>
          <w:marTop w:val="0"/>
          <w:marBottom w:val="0"/>
          <w:divBdr>
            <w:top w:val="none" w:sz="0" w:space="0" w:color="auto"/>
            <w:left w:val="none" w:sz="0" w:space="0" w:color="auto"/>
            <w:bottom w:val="none" w:sz="0" w:space="0" w:color="auto"/>
            <w:right w:val="none" w:sz="0" w:space="0" w:color="auto"/>
          </w:divBdr>
        </w:div>
        <w:div w:id="486551072">
          <w:marLeft w:val="640"/>
          <w:marRight w:val="0"/>
          <w:marTop w:val="0"/>
          <w:marBottom w:val="0"/>
          <w:divBdr>
            <w:top w:val="none" w:sz="0" w:space="0" w:color="auto"/>
            <w:left w:val="none" w:sz="0" w:space="0" w:color="auto"/>
            <w:bottom w:val="none" w:sz="0" w:space="0" w:color="auto"/>
            <w:right w:val="none" w:sz="0" w:space="0" w:color="auto"/>
          </w:divBdr>
        </w:div>
        <w:div w:id="81924665">
          <w:marLeft w:val="640"/>
          <w:marRight w:val="0"/>
          <w:marTop w:val="0"/>
          <w:marBottom w:val="0"/>
          <w:divBdr>
            <w:top w:val="none" w:sz="0" w:space="0" w:color="auto"/>
            <w:left w:val="none" w:sz="0" w:space="0" w:color="auto"/>
            <w:bottom w:val="none" w:sz="0" w:space="0" w:color="auto"/>
            <w:right w:val="none" w:sz="0" w:space="0" w:color="auto"/>
          </w:divBdr>
        </w:div>
        <w:div w:id="629092636">
          <w:marLeft w:val="640"/>
          <w:marRight w:val="0"/>
          <w:marTop w:val="0"/>
          <w:marBottom w:val="0"/>
          <w:divBdr>
            <w:top w:val="none" w:sz="0" w:space="0" w:color="auto"/>
            <w:left w:val="none" w:sz="0" w:space="0" w:color="auto"/>
            <w:bottom w:val="none" w:sz="0" w:space="0" w:color="auto"/>
            <w:right w:val="none" w:sz="0" w:space="0" w:color="auto"/>
          </w:divBdr>
        </w:div>
        <w:div w:id="440802398">
          <w:marLeft w:val="640"/>
          <w:marRight w:val="0"/>
          <w:marTop w:val="0"/>
          <w:marBottom w:val="0"/>
          <w:divBdr>
            <w:top w:val="none" w:sz="0" w:space="0" w:color="auto"/>
            <w:left w:val="none" w:sz="0" w:space="0" w:color="auto"/>
            <w:bottom w:val="none" w:sz="0" w:space="0" w:color="auto"/>
            <w:right w:val="none" w:sz="0" w:space="0" w:color="auto"/>
          </w:divBdr>
        </w:div>
        <w:div w:id="1319186596">
          <w:marLeft w:val="640"/>
          <w:marRight w:val="0"/>
          <w:marTop w:val="0"/>
          <w:marBottom w:val="0"/>
          <w:divBdr>
            <w:top w:val="none" w:sz="0" w:space="0" w:color="auto"/>
            <w:left w:val="none" w:sz="0" w:space="0" w:color="auto"/>
            <w:bottom w:val="none" w:sz="0" w:space="0" w:color="auto"/>
            <w:right w:val="none" w:sz="0" w:space="0" w:color="auto"/>
          </w:divBdr>
        </w:div>
        <w:div w:id="627200283">
          <w:marLeft w:val="640"/>
          <w:marRight w:val="0"/>
          <w:marTop w:val="0"/>
          <w:marBottom w:val="0"/>
          <w:divBdr>
            <w:top w:val="none" w:sz="0" w:space="0" w:color="auto"/>
            <w:left w:val="none" w:sz="0" w:space="0" w:color="auto"/>
            <w:bottom w:val="none" w:sz="0" w:space="0" w:color="auto"/>
            <w:right w:val="none" w:sz="0" w:space="0" w:color="auto"/>
          </w:divBdr>
        </w:div>
        <w:div w:id="430856379">
          <w:marLeft w:val="640"/>
          <w:marRight w:val="0"/>
          <w:marTop w:val="0"/>
          <w:marBottom w:val="0"/>
          <w:divBdr>
            <w:top w:val="none" w:sz="0" w:space="0" w:color="auto"/>
            <w:left w:val="none" w:sz="0" w:space="0" w:color="auto"/>
            <w:bottom w:val="none" w:sz="0" w:space="0" w:color="auto"/>
            <w:right w:val="none" w:sz="0" w:space="0" w:color="auto"/>
          </w:divBdr>
        </w:div>
        <w:div w:id="685522827">
          <w:marLeft w:val="640"/>
          <w:marRight w:val="0"/>
          <w:marTop w:val="0"/>
          <w:marBottom w:val="0"/>
          <w:divBdr>
            <w:top w:val="none" w:sz="0" w:space="0" w:color="auto"/>
            <w:left w:val="none" w:sz="0" w:space="0" w:color="auto"/>
            <w:bottom w:val="none" w:sz="0" w:space="0" w:color="auto"/>
            <w:right w:val="none" w:sz="0" w:space="0" w:color="auto"/>
          </w:divBdr>
        </w:div>
        <w:div w:id="1238516482">
          <w:marLeft w:val="640"/>
          <w:marRight w:val="0"/>
          <w:marTop w:val="0"/>
          <w:marBottom w:val="0"/>
          <w:divBdr>
            <w:top w:val="none" w:sz="0" w:space="0" w:color="auto"/>
            <w:left w:val="none" w:sz="0" w:space="0" w:color="auto"/>
            <w:bottom w:val="none" w:sz="0" w:space="0" w:color="auto"/>
            <w:right w:val="none" w:sz="0" w:space="0" w:color="auto"/>
          </w:divBdr>
        </w:div>
        <w:div w:id="774402967">
          <w:marLeft w:val="640"/>
          <w:marRight w:val="0"/>
          <w:marTop w:val="0"/>
          <w:marBottom w:val="0"/>
          <w:divBdr>
            <w:top w:val="none" w:sz="0" w:space="0" w:color="auto"/>
            <w:left w:val="none" w:sz="0" w:space="0" w:color="auto"/>
            <w:bottom w:val="none" w:sz="0" w:space="0" w:color="auto"/>
            <w:right w:val="none" w:sz="0" w:space="0" w:color="auto"/>
          </w:divBdr>
        </w:div>
        <w:div w:id="597635324">
          <w:marLeft w:val="640"/>
          <w:marRight w:val="0"/>
          <w:marTop w:val="0"/>
          <w:marBottom w:val="0"/>
          <w:divBdr>
            <w:top w:val="none" w:sz="0" w:space="0" w:color="auto"/>
            <w:left w:val="none" w:sz="0" w:space="0" w:color="auto"/>
            <w:bottom w:val="none" w:sz="0" w:space="0" w:color="auto"/>
            <w:right w:val="none" w:sz="0" w:space="0" w:color="auto"/>
          </w:divBdr>
        </w:div>
        <w:div w:id="932325643">
          <w:marLeft w:val="640"/>
          <w:marRight w:val="0"/>
          <w:marTop w:val="0"/>
          <w:marBottom w:val="0"/>
          <w:divBdr>
            <w:top w:val="none" w:sz="0" w:space="0" w:color="auto"/>
            <w:left w:val="none" w:sz="0" w:space="0" w:color="auto"/>
            <w:bottom w:val="none" w:sz="0" w:space="0" w:color="auto"/>
            <w:right w:val="none" w:sz="0" w:space="0" w:color="auto"/>
          </w:divBdr>
        </w:div>
        <w:div w:id="466361009">
          <w:marLeft w:val="640"/>
          <w:marRight w:val="0"/>
          <w:marTop w:val="0"/>
          <w:marBottom w:val="0"/>
          <w:divBdr>
            <w:top w:val="none" w:sz="0" w:space="0" w:color="auto"/>
            <w:left w:val="none" w:sz="0" w:space="0" w:color="auto"/>
            <w:bottom w:val="none" w:sz="0" w:space="0" w:color="auto"/>
            <w:right w:val="none" w:sz="0" w:space="0" w:color="auto"/>
          </w:divBdr>
        </w:div>
      </w:divsChild>
    </w:div>
    <w:div w:id="86656971">
      <w:bodyDiv w:val="1"/>
      <w:marLeft w:val="0"/>
      <w:marRight w:val="0"/>
      <w:marTop w:val="0"/>
      <w:marBottom w:val="0"/>
      <w:divBdr>
        <w:top w:val="none" w:sz="0" w:space="0" w:color="auto"/>
        <w:left w:val="none" w:sz="0" w:space="0" w:color="auto"/>
        <w:bottom w:val="none" w:sz="0" w:space="0" w:color="auto"/>
        <w:right w:val="none" w:sz="0" w:space="0" w:color="auto"/>
      </w:divBdr>
    </w:div>
    <w:div w:id="89010477">
      <w:bodyDiv w:val="1"/>
      <w:marLeft w:val="0"/>
      <w:marRight w:val="0"/>
      <w:marTop w:val="0"/>
      <w:marBottom w:val="0"/>
      <w:divBdr>
        <w:top w:val="none" w:sz="0" w:space="0" w:color="auto"/>
        <w:left w:val="none" w:sz="0" w:space="0" w:color="auto"/>
        <w:bottom w:val="none" w:sz="0" w:space="0" w:color="auto"/>
        <w:right w:val="none" w:sz="0" w:space="0" w:color="auto"/>
      </w:divBdr>
    </w:div>
    <w:div w:id="89401147">
      <w:bodyDiv w:val="1"/>
      <w:marLeft w:val="0"/>
      <w:marRight w:val="0"/>
      <w:marTop w:val="0"/>
      <w:marBottom w:val="0"/>
      <w:divBdr>
        <w:top w:val="none" w:sz="0" w:space="0" w:color="auto"/>
        <w:left w:val="none" w:sz="0" w:space="0" w:color="auto"/>
        <w:bottom w:val="none" w:sz="0" w:space="0" w:color="auto"/>
        <w:right w:val="none" w:sz="0" w:space="0" w:color="auto"/>
      </w:divBdr>
    </w:div>
    <w:div w:id="90589654">
      <w:bodyDiv w:val="1"/>
      <w:marLeft w:val="0"/>
      <w:marRight w:val="0"/>
      <w:marTop w:val="0"/>
      <w:marBottom w:val="0"/>
      <w:divBdr>
        <w:top w:val="none" w:sz="0" w:space="0" w:color="auto"/>
        <w:left w:val="none" w:sz="0" w:space="0" w:color="auto"/>
        <w:bottom w:val="none" w:sz="0" w:space="0" w:color="auto"/>
        <w:right w:val="none" w:sz="0" w:space="0" w:color="auto"/>
      </w:divBdr>
    </w:div>
    <w:div w:id="92015377">
      <w:bodyDiv w:val="1"/>
      <w:marLeft w:val="0"/>
      <w:marRight w:val="0"/>
      <w:marTop w:val="0"/>
      <w:marBottom w:val="0"/>
      <w:divBdr>
        <w:top w:val="none" w:sz="0" w:space="0" w:color="auto"/>
        <w:left w:val="none" w:sz="0" w:space="0" w:color="auto"/>
        <w:bottom w:val="none" w:sz="0" w:space="0" w:color="auto"/>
        <w:right w:val="none" w:sz="0" w:space="0" w:color="auto"/>
      </w:divBdr>
    </w:div>
    <w:div w:id="95638558">
      <w:bodyDiv w:val="1"/>
      <w:marLeft w:val="0"/>
      <w:marRight w:val="0"/>
      <w:marTop w:val="0"/>
      <w:marBottom w:val="0"/>
      <w:divBdr>
        <w:top w:val="none" w:sz="0" w:space="0" w:color="auto"/>
        <w:left w:val="none" w:sz="0" w:space="0" w:color="auto"/>
        <w:bottom w:val="none" w:sz="0" w:space="0" w:color="auto"/>
        <w:right w:val="none" w:sz="0" w:space="0" w:color="auto"/>
      </w:divBdr>
    </w:div>
    <w:div w:id="95906627">
      <w:bodyDiv w:val="1"/>
      <w:marLeft w:val="0"/>
      <w:marRight w:val="0"/>
      <w:marTop w:val="0"/>
      <w:marBottom w:val="0"/>
      <w:divBdr>
        <w:top w:val="none" w:sz="0" w:space="0" w:color="auto"/>
        <w:left w:val="none" w:sz="0" w:space="0" w:color="auto"/>
        <w:bottom w:val="none" w:sz="0" w:space="0" w:color="auto"/>
        <w:right w:val="none" w:sz="0" w:space="0" w:color="auto"/>
      </w:divBdr>
    </w:div>
    <w:div w:id="96102083">
      <w:bodyDiv w:val="1"/>
      <w:marLeft w:val="0"/>
      <w:marRight w:val="0"/>
      <w:marTop w:val="0"/>
      <w:marBottom w:val="0"/>
      <w:divBdr>
        <w:top w:val="none" w:sz="0" w:space="0" w:color="auto"/>
        <w:left w:val="none" w:sz="0" w:space="0" w:color="auto"/>
        <w:bottom w:val="none" w:sz="0" w:space="0" w:color="auto"/>
        <w:right w:val="none" w:sz="0" w:space="0" w:color="auto"/>
      </w:divBdr>
    </w:div>
    <w:div w:id="97221809">
      <w:bodyDiv w:val="1"/>
      <w:marLeft w:val="0"/>
      <w:marRight w:val="0"/>
      <w:marTop w:val="0"/>
      <w:marBottom w:val="0"/>
      <w:divBdr>
        <w:top w:val="none" w:sz="0" w:space="0" w:color="auto"/>
        <w:left w:val="none" w:sz="0" w:space="0" w:color="auto"/>
        <w:bottom w:val="none" w:sz="0" w:space="0" w:color="auto"/>
        <w:right w:val="none" w:sz="0" w:space="0" w:color="auto"/>
      </w:divBdr>
    </w:div>
    <w:div w:id="102653684">
      <w:bodyDiv w:val="1"/>
      <w:marLeft w:val="0"/>
      <w:marRight w:val="0"/>
      <w:marTop w:val="0"/>
      <w:marBottom w:val="0"/>
      <w:divBdr>
        <w:top w:val="none" w:sz="0" w:space="0" w:color="auto"/>
        <w:left w:val="none" w:sz="0" w:space="0" w:color="auto"/>
        <w:bottom w:val="none" w:sz="0" w:space="0" w:color="auto"/>
        <w:right w:val="none" w:sz="0" w:space="0" w:color="auto"/>
      </w:divBdr>
    </w:div>
    <w:div w:id="111094737">
      <w:bodyDiv w:val="1"/>
      <w:marLeft w:val="0"/>
      <w:marRight w:val="0"/>
      <w:marTop w:val="0"/>
      <w:marBottom w:val="0"/>
      <w:divBdr>
        <w:top w:val="none" w:sz="0" w:space="0" w:color="auto"/>
        <w:left w:val="none" w:sz="0" w:space="0" w:color="auto"/>
        <w:bottom w:val="none" w:sz="0" w:space="0" w:color="auto"/>
        <w:right w:val="none" w:sz="0" w:space="0" w:color="auto"/>
      </w:divBdr>
    </w:div>
    <w:div w:id="111636180">
      <w:bodyDiv w:val="1"/>
      <w:marLeft w:val="0"/>
      <w:marRight w:val="0"/>
      <w:marTop w:val="0"/>
      <w:marBottom w:val="0"/>
      <w:divBdr>
        <w:top w:val="none" w:sz="0" w:space="0" w:color="auto"/>
        <w:left w:val="none" w:sz="0" w:space="0" w:color="auto"/>
        <w:bottom w:val="none" w:sz="0" w:space="0" w:color="auto"/>
        <w:right w:val="none" w:sz="0" w:space="0" w:color="auto"/>
      </w:divBdr>
    </w:div>
    <w:div w:id="112016690">
      <w:bodyDiv w:val="1"/>
      <w:marLeft w:val="0"/>
      <w:marRight w:val="0"/>
      <w:marTop w:val="0"/>
      <w:marBottom w:val="0"/>
      <w:divBdr>
        <w:top w:val="none" w:sz="0" w:space="0" w:color="auto"/>
        <w:left w:val="none" w:sz="0" w:space="0" w:color="auto"/>
        <w:bottom w:val="none" w:sz="0" w:space="0" w:color="auto"/>
        <w:right w:val="none" w:sz="0" w:space="0" w:color="auto"/>
      </w:divBdr>
    </w:div>
    <w:div w:id="112478199">
      <w:bodyDiv w:val="1"/>
      <w:marLeft w:val="0"/>
      <w:marRight w:val="0"/>
      <w:marTop w:val="0"/>
      <w:marBottom w:val="0"/>
      <w:divBdr>
        <w:top w:val="none" w:sz="0" w:space="0" w:color="auto"/>
        <w:left w:val="none" w:sz="0" w:space="0" w:color="auto"/>
        <w:bottom w:val="none" w:sz="0" w:space="0" w:color="auto"/>
        <w:right w:val="none" w:sz="0" w:space="0" w:color="auto"/>
      </w:divBdr>
    </w:div>
    <w:div w:id="114452349">
      <w:bodyDiv w:val="1"/>
      <w:marLeft w:val="0"/>
      <w:marRight w:val="0"/>
      <w:marTop w:val="0"/>
      <w:marBottom w:val="0"/>
      <w:divBdr>
        <w:top w:val="none" w:sz="0" w:space="0" w:color="auto"/>
        <w:left w:val="none" w:sz="0" w:space="0" w:color="auto"/>
        <w:bottom w:val="none" w:sz="0" w:space="0" w:color="auto"/>
        <w:right w:val="none" w:sz="0" w:space="0" w:color="auto"/>
      </w:divBdr>
    </w:div>
    <w:div w:id="117727703">
      <w:bodyDiv w:val="1"/>
      <w:marLeft w:val="0"/>
      <w:marRight w:val="0"/>
      <w:marTop w:val="0"/>
      <w:marBottom w:val="0"/>
      <w:divBdr>
        <w:top w:val="none" w:sz="0" w:space="0" w:color="auto"/>
        <w:left w:val="none" w:sz="0" w:space="0" w:color="auto"/>
        <w:bottom w:val="none" w:sz="0" w:space="0" w:color="auto"/>
        <w:right w:val="none" w:sz="0" w:space="0" w:color="auto"/>
      </w:divBdr>
    </w:div>
    <w:div w:id="118768229">
      <w:bodyDiv w:val="1"/>
      <w:marLeft w:val="0"/>
      <w:marRight w:val="0"/>
      <w:marTop w:val="0"/>
      <w:marBottom w:val="0"/>
      <w:divBdr>
        <w:top w:val="none" w:sz="0" w:space="0" w:color="auto"/>
        <w:left w:val="none" w:sz="0" w:space="0" w:color="auto"/>
        <w:bottom w:val="none" w:sz="0" w:space="0" w:color="auto"/>
        <w:right w:val="none" w:sz="0" w:space="0" w:color="auto"/>
      </w:divBdr>
    </w:div>
    <w:div w:id="119954908">
      <w:bodyDiv w:val="1"/>
      <w:marLeft w:val="0"/>
      <w:marRight w:val="0"/>
      <w:marTop w:val="0"/>
      <w:marBottom w:val="0"/>
      <w:divBdr>
        <w:top w:val="none" w:sz="0" w:space="0" w:color="auto"/>
        <w:left w:val="none" w:sz="0" w:space="0" w:color="auto"/>
        <w:bottom w:val="none" w:sz="0" w:space="0" w:color="auto"/>
        <w:right w:val="none" w:sz="0" w:space="0" w:color="auto"/>
      </w:divBdr>
    </w:div>
    <w:div w:id="125052849">
      <w:bodyDiv w:val="1"/>
      <w:marLeft w:val="0"/>
      <w:marRight w:val="0"/>
      <w:marTop w:val="0"/>
      <w:marBottom w:val="0"/>
      <w:divBdr>
        <w:top w:val="none" w:sz="0" w:space="0" w:color="auto"/>
        <w:left w:val="none" w:sz="0" w:space="0" w:color="auto"/>
        <w:bottom w:val="none" w:sz="0" w:space="0" w:color="auto"/>
        <w:right w:val="none" w:sz="0" w:space="0" w:color="auto"/>
      </w:divBdr>
    </w:div>
    <w:div w:id="125052957">
      <w:bodyDiv w:val="1"/>
      <w:marLeft w:val="0"/>
      <w:marRight w:val="0"/>
      <w:marTop w:val="0"/>
      <w:marBottom w:val="0"/>
      <w:divBdr>
        <w:top w:val="none" w:sz="0" w:space="0" w:color="auto"/>
        <w:left w:val="none" w:sz="0" w:space="0" w:color="auto"/>
        <w:bottom w:val="none" w:sz="0" w:space="0" w:color="auto"/>
        <w:right w:val="none" w:sz="0" w:space="0" w:color="auto"/>
      </w:divBdr>
    </w:div>
    <w:div w:id="125861015">
      <w:bodyDiv w:val="1"/>
      <w:marLeft w:val="0"/>
      <w:marRight w:val="0"/>
      <w:marTop w:val="0"/>
      <w:marBottom w:val="0"/>
      <w:divBdr>
        <w:top w:val="none" w:sz="0" w:space="0" w:color="auto"/>
        <w:left w:val="none" w:sz="0" w:space="0" w:color="auto"/>
        <w:bottom w:val="none" w:sz="0" w:space="0" w:color="auto"/>
        <w:right w:val="none" w:sz="0" w:space="0" w:color="auto"/>
      </w:divBdr>
    </w:div>
    <w:div w:id="128477065">
      <w:bodyDiv w:val="1"/>
      <w:marLeft w:val="0"/>
      <w:marRight w:val="0"/>
      <w:marTop w:val="0"/>
      <w:marBottom w:val="0"/>
      <w:divBdr>
        <w:top w:val="none" w:sz="0" w:space="0" w:color="auto"/>
        <w:left w:val="none" w:sz="0" w:space="0" w:color="auto"/>
        <w:bottom w:val="none" w:sz="0" w:space="0" w:color="auto"/>
        <w:right w:val="none" w:sz="0" w:space="0" w:color="auto"/>
      </w:divBdr>
    </w:div>
    <w:div w:id="129323216">
      <w:bodyDiv w:val="1"/>
      <w:marLeft w:val="0"/>
      <w:marRight w:val="0"/>
      <w:marTop w:val="0"/>
      <w:marBottom w:val="0"/>
      <w:divBdr>
        <w:top w:val="none" w:sz="0" w:space="0" w:color="auto"/>
        <w:left w:val="none" w:sz="0" w:space="0" w:color="auto"/>
        <w:bottom w:val="none" w:sz="0" w:space="0" w:color="auto"/>
        <w:right w:val="none" w:sz="0" w:space="0" w:color="auto"/>
      </w:divBdr>
    </w:div>
    <w:div w:id="130287830">
      <w:bodyDiv w:val="1"/>
      <w:marLeft w:val="0"/>
      <w:marRight w:val="0"/>
      <w:marTop w:val="0"/>
      <w:marBottom w:val="0"/>
      <w:divBdr>
        <w:top w:val="none" w:sz="0" w:space="0" w:color="auto"/>
        <w:left w:val="none" w:sz="0" w:space="0" w:color="auto"/>
        <w:bottom w:val="none" w:sz="0" w:space="0" w:color="auto"/>
        <w:right w:val="none" w:sz="0" w:space="0" w:color="auto"/>
      </w:divBdr>
    </w:div>
    <w:div w:id="134566412">
      <w:bodyDiv w:val="1"/>
      <w:marLeft w:val="0"/>
      <w:marRight w:val="0"/>
      <w:marTop w:val="0"/>
      <w:marBottom w:val="0"/>
      <w:divBdr>
        <w:top w:val="none" w:sz="0" w:space="0" w:color="auto"/>
        <w:left w:val="none" w:sz="0" w:space="0" w:color="auto"/>
        <w:bottom w:val="none" w:sz="0" w:space="0" w:color="auto"/>
        <w:right w:val="none" w:sz="0" w:space="0" w:color="auto"/>
      </w:divBdr>
    </w:div>
    <w:div w:id="135682142">
      <w:bodyDiv w:val="1"/>
      <w:marLeft w:val="0"/>
      <w:marRight w:val="0"/>
      <w:marTop w:val="0"/>
      <w:marBottom w:val="0"/>
      <w:divBdr>
        <w:top w:val="none" w:sz="0" w:space="0" w:color="auto"/>
        <w:left w:val="none" w:sz="0" w:space="0" w:color="auto"/>
        <w:bottom w:val="none" w:sz="0" w:space="0" w:color="auto"/>
        <w:right w:val="none" w:sz="0" w:space="0" w:color="auto"/>
      </w:divBdr>
    </w:div>
    <w:div w:id="141309718">
      <w:bodyDiv w:val="1"/>
      <w:marLeft w:val="0"/>
      <w:marRight w:val="0"/>
      <w:marTop w:val="0"/>
      <w:marBottom w:val="0"/>
      <w:divBdr>
        <w:top w:val="none" w:sz="0" w:space="0" w:color="auto"/>
        <w:left w:val="none" w:sz="0" w:space="0" w:color="auto"/>
        <w:bottom w:val="none" w:sz="0" w:space="0" w:color="auto"/>
        <w:right w:val="none" w:sz="0" w:space="0" w:color="auto"/>
      </w:divBdr>
    </w:div>
    <w:div w:id="141623714">
      <w:bodyDiv w:val="1"/>
      <w:marLeft w:val="0"/>
      <w:marRight w:val="0"/>
      <w:marTop w:val="0"/>
      <w:marBottom w:val="0"/>
      <w:divBdr>
        <w:top w:val="none" w:sz="0" w:space="0" w:color="auto"/>
        <w:left w:val="none" w:sz="0" w:space="0" w:color="auto"/>
        <w:bottom w:val="none" w:sz="0" w:space="0" w:color="auto"/>
        <w:right w:val="none" w:sz="0" w:space="0" w:color="auto"/>
      </w:divBdr>
    </w:div>
    <w:div w:id="142281586">
      <w:bodyDiv w:val="1"/>
      <w:marLeft w:val="0"/>
      <w:marRight w:val="0"/>
      <w:marTop w:val="0"/>
      <w:marBottom w:val="0"/>
      <w:divBdr>
        <w:top w:val="none" w:sz="0" w:space="0" w:color="auto"/>
        <w:left w:val="none" w:sz="0" w:space="0" w:color="auto"/>
        <w:bottom w:val="none" w:sz="0" w:space="0" w:color="auto"/>
        <w:right w:val="none" w:sz="0" w:space="0" w:color="auto"/>
      </w:divBdr>
    </w:div>
    <w:div w:id="145049817">
      <w:bodyDiv w:val="1"/>
      <w:marLeft w:val="0"/>
      <w:marRight w:val="0"/>
      <w:marTop w:val="0"/>
      <w:marBottom w:val="0"/>
      <w:divBdr>
        <w:top w:val="none" w:sz="0" w:space="0" w:color="auto"/>
        <w:left w:val="none" w:sz="0" w:space="0" w:color="auto"/>
        <w:bottom w:val="none" w:sz="0" w:space="0" w:color="auto"/>
        <w:right w:val="none" w:sz="0" w:space="0" w:color="auto"/>
      </w:divBdr>
    </w:div>
    <w:div w:id="148863181">
      <w:bodyDiv w:val="1"/>
      <w:marLeft w:val="0"/>
      <w:marRight w:val="0"/>
      <w:marTop w:val="0"/>
      <w:marBottom w:val="0"/>
      <w:divBdr>
        <w:top w:val="none" w:sz="0" w:space="0" w:color="auto"/>
        <w:left w:val="none" w:sz="0" w:space="0" w:color="auto"/>
        <w:bottom w:val="none" w:sz="0" w:space="0" w:color="auto"/>
        <w:right w:val="none" w:sz="0" w:space="0" w:color="auto"/>
      </w:divBdr>
      <w:divsChild>
        <w:div w:id="1706832574">
          <w:marLeft w:val="640"/>
          <w:marRight w:val="0"/>
          <w:marTop w:val="0"/>
          <w:marBottom w:val="0"/>
          <w:divBdr>
            <w:top w:val="none" w:sz="0" w:space="0" w:color="auto"/>
            <w:left w:val="none" w:sz="0" w:space="0" w:color="auto"/>
            <w:bottom w:val="none" w:sz="0" w:space="0" w:color="auto"/>
            <w:right w:val="none" w:sz="0" w:space="0" w:color="auto"/>
          </w:divBdr>
        </w:div>
        <w:div w:id="1145775705">
          <w:marLeft w:val="640"/>
          <w:marRight w:val="0"/>
          <w:marTop w:val="0"/>
          <w:marBottom w:val="0"/>
          <w:divBdr>
            <w:top w:val="none" w:sz="0" w:space="0" w:color="auto"/>
            <w:left w:val="none" w:sz="0" w:space="0" w:color="auto"/>
            <w:bottom w:val="none" w:sz="0" w:space="0" w:color="auto"/>
            <w:right w:val="none" w:sz="0" w:space="0" w:color="auto"/>
          </w:divBdr>
        </w:div>
        <w:div w:id="761725078">
          <w:marLeft w:val="640"/>
          <w:marRight w:val="0"/>
          <w:marTop w:val="0"/>
          <w:marBottom w:val="0"/>
          <w:divBdr>
            <w:top w:val="none" w:sz="0" w:space="0" w:color="auto"/>
            <w:left w:val="none" w:sz="0" w:space="0" w:color="auto"/>
            <w:bottom w:val="none" w:sz="0" w:space="0" w:color="auto"/>
            <w:right w:val="none" w:sz="0" w:space="0" w:color="auto"/>
          </w:divBdr>
        </w:div>
        <w:div w:id="158273373">
          <w:marLeft w:val="640"/>
          <w:marRight w:val="0"/>
          <w:marTop w:val="0"/>
          <w:marBottom w:val="0"/>
          <w:divBdr>
            <w:top w:val="none" w:sz="0" w:space="0" w:color="auto"/>
            <w:left w:val="none" w:sz="0" w:space="0" w:color="auto"/>
            <w:bottom w:val="none" w:sz="0" w:space="0" w:color="auto"/>
            <w:right w:val="none" w:sz="0" w:space="0" w:color="auto"/>
          </w:divBdr>
        </w:div>
        <w:div w:id="2104061915">
          <w:marLeft w:val="640"/>
          <w:marRight w:val="0"/>
          <w:marTop w:val="0"/>
          <w:marBottom w:val="0"/>
          <w:divBdr>
            <w:top w:val="none" w:sz="0" w:space="0" w:color="auto"/>
            <w:left w:val="none" w:sz="0" w:space="0" w:color="auto"/>
            <w:bottom w:val="none" w:sz="0" w:space="0" w:color="auto"/>
            <w:right w:val="none" w:sz="0" w:space="0" w:color="auto"/>
          </w:divBdr>
        </w:div>
        <w:div w:id="1092626842">
          <w:marLeft w:val="640"/>
          <w:marRight w:val="0"/>
          <w:marTop w:val="0"/>
          <w:marBottom w:val="0"/>
          <w:divBdr>
            <w:top w:val="none" w:sz="0" w:space="0" w:color="auto"/>
            <w:left w:val="none" w:sz="0" w:space="0" w:color="auto"/>
            <w:bottom w:val="none" w:sz="0" w:space="0" w:color="auto"/>
            <w:right w:val="none" w:sz="0" w:space="0" w:color="auto"/>
          </w:divBdr>
        </w:div>
        <w:div w:id="477460374">
          <w:marLeft w:val="640"/>
          <w:marRight w:val="0"/>
          <w:marTop w:val="0"/>
          <w:marBottom w:val="0"/>
          <w:divBdr>
            <w:top w:val="none" w:sz="0" w:space="0" w:color="auto"/>
            <w:left w:val="none" w:sz="0" w:space="0" w:color="auto"/>
            <w:bottom w:val="none" w:sz="0" w:space="0" w:color="auto"/>
            <w:right w:val="none" w:sz="0" w:space="0" w:color="auto"/>
          </w:divBdr>
        </w:div>
        <w:div w:id="1628583302">
          <w:marLeft w:val="640"/>
          <w:marRight w:val="0"/>
          <w:marTop w:val="0"/>
          <w:marBottom w:val="0"/>
          <w:divBdr>
            <w:top w:val="none" w:sz="0" w:space="0" w:color="auto"/>
            <w:left w:val="none" w:sz="0" w:space="0" w:color="auto"/>
            <w:bottom w:val="none" w:sz="0" w:space="0" w:color="auto"/>
            <w:right w:val="none" w:sz="0" w:space="0" w:color="auto"/>
          </w:divBdr>
        </w:div>
        <w:div w:id="1807624614">
          <w:marLeft w:val="640"/>
          <w:marRight w:val="0"/>
          <w:marTop w:val="0"/>
          <w:marBottom w:val="0"/>
          <w:divBdr>
            <w:top w:val="none" w:sz="0" w:space="0" w:color="auto"/>
            <w:left w:val="none" w:sz="0" w:space="0" w:color="auto"/>
            <w:bottom w:val="none" w:sz="0" w:space="0" w:color="auto"/>
            <w:right w:val="none" w:sz="0" w:space="0" w:color="auto"/>
          </w:divBdr>
        </w:div>
        <w:div w:id="1538355524">
          <w:marLeft w:val="640"/>
          <w:marRight w:val="0"/>
          <w:marTop w:val="0"/>
          <w:marBottom w:val="0"/>
          <w:divBdr>
            <w:top w:val="none" w:sz="0" w:space="0" w:color="auto"/>
            <w:left w:val="none" w:sz="0" w:space="0" w:color="auto"/>
            <w:bottom w:val="none" w:sz="0" w:space="0" w:color="auto"/>
            <w:right w:val="none" w:sz="0" w:space="0" w:color="auto"/>
          </w:divBdr>
        </w:div>
        <w:div w:id="1991401777">
          <w:marLeft w:val="640"/>
          <w:marRight w:val="0"/>
          <w:marTop w:val="0"/>
          <w:marBottom w:val="0"/>
          <w:divBdr>
            <w:top w:val="none" w:sz="0" w:space="0" w:color="auto"/>
            <w:left w:val="none" w:sz="0" w:space="0" w:color="auto"/>
            <w:bottom w:val="none" w:sz="0" w:space="0" w:color="auto"/>
            <w:right w:val="none" w:sz="0" w:space="0" w:color="auto"/>
          </w:divBdr>
        </w:div>
        <w:div w:id="920676563">
          <w:marLeft w:val="640"/>
          <w:marRight w:val="0"/>
          <w:marTop w:val="0"/>
          <w:marBottom w:val="0"/>
          <w:divBdr>
            <w:top w:val="none" w:sz="0" w:space="0" w:color="auto"/>
            <w:left w:val="none" w:sz="0" w:space="0" w:color="auto"/>
            <w:bottom w:val="none" w:sz="0" w:space="0" w:color="auto"/>
            <w:right w:val="none" w:sz="0" w:space="0" w:color="auto"/>
          </w:divBdr>
        </w:div>
        <w:div w:id="2115248571">
          <w:marLeft w:val="640"/>
          <w:marRight w:val="0"/>
          <w:marTop w:val="0"/>
          <w:marBottom w:val="0"/>
          <w:divBdr>
            <w:top w:val="none" w:sz="0" w:space="0" w:color="auto"/>
            <w:left w:val="none" w:sz="0" w:space="0" w:color="auto"/>
            <w:bottom w:val="none" w:sz="0" w:space="0" w:color="auto"/>
            <w:right w:val="none" w:sz="0" w:space="0" w:color="auto"/>
          </w:divBdr>
        </w:div>
        <w:div w:id="595334657">
          <w:marLeft w:val="640"/>
          <w:marRight w:val="0"/>
          <w:marTop w:val="0"/>
          <w:marBottom w:val="0"/>
          <w:divBdr>
            <w:top w:val="none" w:sz="0" w:space="0" w:color="auto"/>
            <w:left w:val="none" w:sz="0" w:space="0" w:color="auto"/>
            <w:bottom w:val="none" w:sz="0" w:space="0" w:color="auto"/>
            <w:right w:val="none" w:sz="0" w:space="0" w:color="auto"/>
          </w:divBdr>
        </w:div>
        <w:div w:id="935870900">
          <w:marLeft w:val="640"/>
          <w:marRight w:val="0"/>
          <w:marTop w:val="0"/>
          <w:marBottom w:val="0"/>
          <w:divBdr>
            <w:top w:val="none" w:sz="0" w:space="0" w:color="auto"/>
            <w:left w:val="none" w:sz="0" w:space="0" w:color="auto"/>
            <w:bottom w:val="none" w:sz="0" w:space="0" w:color="auto"/>
            <w:right w:val="none" w:sz="0" w:space="0" w:color="auto"/>
          </w:divBdr>
        </w:div>
        <w:div w:id="934560445">
          <w:marLeft w:val="640"/>
          <w:marRight w:val="0"/>
          <w:marTop w:val="0"/>
          <w:marBottom w:val="0"/>
          <w:divBdr>
            <w:top w:val="none" w:sz="0" w:space="0" w:color="auto"/>
            <w:left w:val="none" w:sz="0" w:space="0" w:color="auto"/>
            <w:bottom w:val="none" w:sz="0" w:space="0" w:color="auto"/>
            <w:right w:val="none" w:sz="0" w:space="0" w:color="auto"/>
          </w:divBdr>
        </w:div>
        <w:div w:id="1440372734">
          <w:marLeft w:val="640"/>
          <w:marRight w:val="0"/>
          <w:marTop w:val="0"/>
          <w:marBottom w:val="0"/>
          <w:divBdr>
            <w:top w:val="none" w:sz="0" w:space="0" w:color="auto"/>
            <w:left w:val="none" w:sz="0" w:space="0" w:color="auto"/>
            <w:bottom w:val="none" w:sz="0" w:space="0" w:color="auto"/>
            <w:right w:val="none" w:sz="0" w:space="0" w:color="auto"/>
          </w:divBdr>
        </w:div>
        <w:div w:id="1450247223">
          <w:marLeft w:val="640"/>
          <w:marRight w:val="0"/>
          <w:marTop w:val="0"/>
          <w:marBottom w:val="0"/>
          <w:divBdr>
            <w:top w:val="none" w:sz="0" w:space="0" w:color="auto"/>
            <w:left w:val="none" w:sz="0" w:space="0" w:color="auto"/>
            <w:bottom w:val="none" w:sz="0" w:space="0" w:color="auto"/>
            <w:right w:val="none" w:sz="0" w:space="0" w:color="auto"/>
          </w:divBdr>
        </w:div>
        <w:div w:id="1261185738">
          <w:marLeft w:val="640"/>
          <w:marRight w:val="0"/>
          <w:marTop w:val="0"/>
          <w:marBottom w:val="0"/>
          <w:divBdr>
            <w:top w:val="none" w:sz="0" w:space="0" w:color="auto"/>
            <w:left w:val="none" w:sz="0" w:space="0" w:color="auto"/>
            <w:bottom w:val="none" w:sz="0" w:space="0" w:color="auto"/>
            <w:right w:val="none" w:sz="0" w:space="0" w:color="auto"/>
          </w:divBdr>
        </w:div>
        <w:div w:id="502550445">
          <w:marLeft w:val="640"/>
          <w:marRight w:val="0"/>
          <w:marTop w:val="0"/>
          <w:marBottom w:val="0"/>
          <w:divBdr>
            <w:top w:val="none" w:sz="0" w:space="0" w:color="auto"/>
            <w:left w:val="none" w:sz="0" w:space="0" w:color="auto"/>
            <w:bottom w:val="none" w:sz="0" w:space="0" w:color="auto"/>
            <w:right w:val="none" w:sz="0" w:space="0" w:color="auto"/>
          </w:divBdr>
        </w:div>
        <w:div w:id="1062408016">
          <w:marLeft w:val="640"/>
          <w:marRight w:val="0"/>
          <w:marTop w:val="0"/>
          <w:marBottom w:val="0"/>
          <w:divBdr>
            <w:top w:val="none" w:sz="0" w:space="0" w:color="auto"/>
            <w:left w:val="none" w:sz="0" w:space="0" w:color="auto"/>
            <w:bottom w:val="none" w:sz="0" w:space="0" w:color="auto"/>
            <w:right w:val="none" w:sz="0" w:space="0" w:color="auto"/>
          </w:divBdr>
        </w:div>
        <w:div w:id="1896624823">
          <w:marLeft w:val="640"/>
          <w:marRight w:val="0"/>
          <w:marTop w:val="0"/>
          <w:marBottom w:val="0"/>
          <w:divBdr>
            <w:top w:val="none" w:sz="0" w:space="0" w:color="auto"/>
            <w:left w:val="none" w:sz="0" w:space="0" w:color="auto"/>
            <w:bottom w:val="none" w:sz="0" w:space="0" w:color="auto"/>
            <w:right w:val="none" w:sz="0" w:space="0" w:color="auto"/>
          </w:divBdr>
        </w:div>
        <w:div w:id="751439697">
          <w:marLeft w:val="640"/>
          <w:marRight w:val="0"/>
          <w:marTop w:val="0"/>
          <w:marBottom w:val="0"/>
          <w:divBdr>
            <w:top w:val="none" w:sz="0" w:space="0" w:color="auto"/>
            <w:left w:val="none" w:sz="0" w:space="0" w:color="auto"/>
            <w:bottom w:val="none" w:sz="0" w:space="0" w:color="auto"/>
            <w:right w:val="none" w:sz="0" w:space="0" w:color="auto"/>
          </w:divBdr>
        </w:div>
        <w:div w:id="625356483">
          <w:marLeft w:val="640"/>
          <w:marRight w:val="0"/>
          <w:marTop w:val="0"/>
          <w:marBottom w:val="0"/>
          <w:divBdr>
            <w:top w:val="none" w:sz="0" w:space="0" w:color="auto"/>
            <w:left w:val="none" w:sz="0" w:space="0" w:color="auto"/>
            <w:bottom w:val="none" w:sz="0" w:space="0" w:color="auto"/>
            <w:right w:val="none" w:sz="0" w:space="0" w:color="auto"/>
          </w:divBdr>
        </w:div>
        <w:div w:id="2117020181">
          <w:marLeft w:val="640"/>
          <w:marRight w:val="0"/>
          <w:marTop w:val="0"/>
          <w:marBottom w:val="0"/>
          <w:divBdr>
            <w:top w:val="none" w:sz="0" w:space="0" w:color="auto"/>
            <w:left w:val="none" w:sz="0" w:space="0" w:color="auto"/>
            <w:bottom w:val="none" w:sz="0" w:space="0" w:color="auto"/>
            <w:right w:val="none" w:sz="0" w:space="0" w:color="auto"/>
          </w:divBdr>
        </w:div>
        <w:div w:id="130753754">
          <w:marLeft w:val="640"/>
          <w:marRight w:val="0"/>
          <w:marTop w:val="0"/>
          <w:marBottom w:val="0"/>
          <w:divBdr>
            <w:top w:val="none" w:sz="0" w:space="0" w:color="auto"/>
            <w:left w:val="none" w:sz="0" w:space="0" w:color="auto"/>
            <w:bottom w:val="none" w:sz="0" w:space="0" w:color="auto"/>
            <w:right w:val="none" w:sz="0" w:space="0" w:color="auto"/>
          </w:divBdr>
        </w:div>
        <w:div w:id="1145777092">
          <w:marLeft w:val="640"/>
          <w:marRight w:val="0"/>
          <w:marTop w:val="0"/>
          <w:marBottom w:val="0"/>
          <w:divBdr>
            <w:top w:val="none" w:sz="0" w:space="0" w:color="auto"/>
            <w:left w:val="none" w:sz="0" w:space="0" w:color="auto"/>
            <w:bottom w:val="none" w:sz="0" w:space="0" w:color="auto"/>
            <w:right w:val="none" w:sz="0" w:space="0" w:color="auto"/>
          </w:divBdr>
        </w:div>
        <w:div w:id="449931893">
          <w:marLeft w:val="640"/>
          <w:marRight w:val="0"/>
          <w:marTop w:val="0"/>
          <w:marBottom w:val="0"/>
          <w:divBdr>
            <w:top w:val="none" w:sz="0" w:space="0" w:color="auto"/>
            <w:left w:val="none" w:sz="0" w:space="0" w:color="auto"/>
            <w:bottom w:val="none" w:sz="0" w:space="0" w:color="auto"/>
            <w:right w:val="none" w:sz="0" w:space="0" w:color="auto"/>
          </w:divBdr>
        </w:div>
        <w:div w:id="757599556">
          <w:marLeft w:val="640"/>
          <w:marRight w:val="0"/>
          <w:marTop w:val="0"/>
          <w:marBottom w:val="0"/>
          <w:divBdr>
            <w:top w:val="none" w:sz="0" w:space="0" w:color="auto"/>
            <w:left w:val="none" w:sz="0" w:space="0" w:color="auto"/>
            <w:bottom w:val="none" w:sz="0" w:space="0" w:color="auto"/>
            <w:right w:val="none" w:sz="0" w:space="0" w:color="auto"/>
          </w:divBdr>
        </w:div>
        <w:div w:id="2147042642">
          <w:marLeft w:val="640"/>
          <w:marRight w:val="0"/>
          <w:marTop w:val="0"/>
          <w:marBottom w:val="0"/>
          <w:divBdr>
            <w:top w:val="none" w:sz="0" w:space="0" w:color="auto"/>
            <w:left w:val="none" w:sz="0" w:space="0" w:color="auto"/>
            <w:bottom w:val="none" w:sz="0" w:space="0" w:color="auto"/>
            <w:right w:val="none" w:sz="0" w:space="0" w:color="auto"/>
          </w:divBdr>
        </w:div>
        <w:div w:id="1825779299">
          <w:marLeft w:val="640"/>
          <w:marRight w:val="0"/>
          <w:marTop w:val="0"/>
          <w:marBottom w:val="0"/>
          <w:divBdr>
            <w:top w:val="none" w:sz="0" w:space="0" w:color="auto"/>
            <w:left w:val="none" w:sz="0" w:space="0" w:color="auto"/>
            <w:bottom w:val="none" w:sz="0" w:space="0" w:color="auto"/>
            <w:right w:val="none" w:sz="0" w:space="0" w:color="auto"/>
          </w:divBdr>
        </w:div>
        <w:div w:id="757404771">
          <w:marLeft w:val="640"/>
          <w:marRight w:val="0"/>
          <w:marTop w:val="0"/>
          <w:marBottom w:val="0"/>
          <w:divBdr>
            <w:top w:val="none" w:sz="0" w:space="0" w:color="auto"/>
            <w:left w:val="none" w:sz="0" w:space="0" w:color="auto"/>
            <w:bottom w:val="none" w:sz="0" w:space="0" w:color="auto"/>
            <w:right w:val="none" w:sz="0" w:space="0" w:color="auto"/>
          </w:divBdr>
        </w:div>
        <w:div w:id="623118404">
          <w:marLeft w:val="640"/>
          <w:marRight w:val="0"/>
          <w:marTop w:val="0"/>
          <w:marBottom w:val="0"/>
          <w:divBdr>
            <w:top w:val="none" w:sz="0" w:space="0" w:color="auto"/>
            <w:left w:val="none" w:sz="0" w:space="0" w:color="auto"/>
            <w:bottom w:val="none" w:sz="0" w:space="0" w:color="auto"/>
            <w:right w:val="none" w:sz="0" w:space="0" w:color="auto"/>
          </w:divBdr>
        </w:div>
        <w:div w:id="718214371">
          <w:marLeft w:val="640"/>
          <w:marRight w:val="0"/>
          <w:marTop w:val="0"/>
          <w:marBottom w:val="0"/>
          <w:divBdr>
            <w:top w:val="none" w:sz="0" w:space="0" w:color="auto"/>
            <w:left w:val="none" w:sz="0" w:space="0" w:color="auto"/>
            <w:bottom w:val="none" w:sz="0" w:space="0" w:color="auto"/>
            <w:right w:val="none" w:sz="0" w:space="0" w:color="auto"/>
          </w:divBdr>
        </w:div>
        <w:div w:id="1260287497">
          <w:marLeft w:val="640"/>
          <w:marRight w:val="0"/>
          <w:marTop w:val="0"/>
          <w:marBottom w:val="0"/>
          <w:divBdr>
            <w:top w:val="none" w:sz="0" w:space="0" w:color="auto"/>
            <w:left w:val="none" w:sz="0" w:space="0" w:color="auto"/>
            <w:bottom w:val="none" w:sz="0" w:space="0" w:color="auto"/>
            <w:right w:val="none" w:sz="0" w:space="0" w:color="auto"/>
          </w:divBdr>
        </w:div>
        <w:div w:id="1458915913">
          <w:marLeft w:val="640"/>
          <w:marRight w:val="0"/>
          <w:marTop w:val="0"/>
          <w:marBottom w:val="0"/>
          <w:divBdr>
            <w:top w:val="none" w:sz="0" w:space="0" w:color="auto"/>
            <w:left w:val="none" w:sz="0" w:space="0" w:color="auto"/>
            <w:bottom w:val="none" w:sz="0" w:space="0" w:color="auto"/>
            <w:right w:val="none" w:sz="0" w:space="0" w:color="auto"/>
          </w:divBdr>
        </w:div>
        <w:div w:id="1990668616">
          <w:marLeft w:val="640"/>
          <w:marRight w:val="0"/>
          <w:marTop w:val="0"/>
          <w:marBottom w:val="0"/>
          <w:divBdr>
            <w:top w:val="none" w:sz="0" w:space="0" w:color="auto"/>
            <w:left w:val="none" w:sz="0" w:space="0" w:color="auto"/>
            <w:bottom w:val="none" w:sz="0" w:space="0" w:color="auto"/>
            <w:right w:val="none" w:sz="0" w:space="0" w:color="auto"/>
          </w:divBdr>
        </w:div>
        <w:div w:id="564880738">
          <w:marLeft w:val="640"/>
          <w:marRight w:val="0"/>
          <w:marTop w:val="0"/>
          <w:marBottom w:val="0"/>
          <w:divBdr>
            <w:top w:val="none" w:sz="0" w:space="0" w:color="auto"/>
            <w:left w:val="none" w:sz="0" w:space="0" w:color="auto"/>
            <w:bottom w:val="none" w:sz="0" w:space="0" w:color="auto"/>
            <w:right w:val="none" w:sz="0" w:space="0" w:color="auto"/>
          </w:divBdr>
        </w:div>
        <w:div w:id="51202704">
          <w:marLeft w:val="640"/>
          <w:marRight w:val="0"/>
          <w:marTop w:val="0"/>
          <w:marBottom w:val="0"/>
          <w:divBdr>
            <w:top w:val="none" w:sz="0" w:space="0" w:color="auto"/>
            <w:left w:val="none" w:sz="0" w:space="0" w:color="auto"/>
            <w:bottom w:val="none" w:sz="0" w:space="0" w:color="auto"/>
            <w:right w:val="none" w:sz="0" w:space="0" w:color="auto"/>
          </w:divBdr>
        </w:div>
        <w:div w:id="534272896">
          <w:marLeft w:val="640"/>
          <w:marRight w:val="0"/>
          <w:marTop w:val="0"/>
          <w:marBottom w:val="0"/>
          <w:divBdr>
            <w:top w:val="none" w:sz="0" w:space="0" w:color="auto"/>
            <w:left w:val="none" w:sz="0" w:space="0" w:color="auto"/>
            <w:bottom w:val="none" w:sz="0" w:space="0" w:color="auto"/>
            <w:right w:val="none" w:sz="0" w:space="0" w:color="auto"/>
          </w:divBdr>
        </w:div>
        <w:div w:id="1674919945">
          <w:marLeft w:val="640"/>
          <w:marRight w:val="0"/>
          <w:marTop w:val="0"/>
          <w:marBottom w:val="0"/>
          <w:divBdr>
            <w:top w:val="none" w:sz="0" w:space="0" w:color="auto"/>
            <w:left w:val="none" w:sz="0" w:space="0" w:color="auto"/>
            <w:bottom w:val="none" w:sz="0" w:space="0" w:color="auto"/>
            <w:right w:val="none" w:sz="0" w:space="0" w:color="auto"/>
          </w:divBdr>
        </w:div>
        <w:div w:id="920719242">
          <w:marLeft w:val="640"/>
          <w:marRight w:val="0"/>
          <w:marTop w:val="0"/>
          <w:marBottom w:val="0"/>
          <w:divBdr>
            <w:top w:val="none" w:sz="0" w:space="0" w:color="auto"/>
            <w:left w:val="none" w:sz="0" w:space="0" w:color="auto"/>
            <w:bottom w:val="none" w:sz="0" w:space="0" w:color="auto"/>
            <w:right w:val="none" w:sz="0" w:space="0" w:color="auto"/>
          </w:divBdr>
        </w:div>
        <w:div w:id="737754277">
          <w:marLeft w:val="640"/>
          <w:marRight w:val="0"/>
          <w:marTop w:val="0"/>
          <w:marBottom w:val="0"/>
          <w:divBdr>
            <w:top w:val="none" w:sz="0" w:space="0" w:color="auto"/>
            <w:left w:val="none" w:sz="0" w:space="0" w:color="auto"/>
            <w:bottom w:val="none" w:sz="0" w:space="0" w:color="auto"/>
            <w:right w:val="none" w:sz="0" w:space="0" w:color="auto"/>
          </w:divBdr>
        </w:div>
        <w:div w:id="465197793">
          <w:marLeft w:val="640"/>
          <w:marRight w:val="0"/>
          <w:marTop w:val="0"/>
          <w:marBottom w:val="0"/>
          <w:divBdr>
            <w:top w:val="none" w:sz="0" w:space="0" w:color="auto"/>
            <w:left w:val="none" w:sz="0" w:space="0" w:color="auto"/>
            <w:bottom w:val="none" w:sz="0" w:space="0" w:color="auto"/>
            <w:right w:val="none" w:sz="0" w:space="0" w:color="auto"/>
          </w:divBdr>
        </w:div>
        <w:div w:id="2133211514">
          <w:marLeft w:val="640"/>
          <w:marRight w:val="0"/>
          <w:marTop w:val="0"/>
          <w:marBottom w:val="0"/>
          <w:divBdr>
            <w:top w:val="none" w:sz="0" w:space="0" w:color="auto"/>
            <w:left w:val="none" w:sz="0" w:space="0" w:color="auto"/>
            <w:bottom w:val="none" w:sz="0" w:space="0" w:color="auto"/>
            <w:right w:val="none" w:sz="0" w:space="0" w:color="auto"/>
          </w:divBdr>
        </w:div>
        <w:div w:id="256253008">
          <w:marLeft w:val="640"/>
          <w:marRight w:val="0"/>
          <w:marTop w:val="0"/>
          <w:marBottom w:val="0"/>
          <w:divBdr>
            <w:top w:val="none" w:sz="0" w:space="0" w:color="auto"/>
            <w:left w:val="none" w:sz="0" w:space="0" w:color="auto"/>
            <w:bottom w:val="none" w:sz="0" w:space="0" w:color="auto"/>
            <w:right w:val="none" w:sz="0" w:space="0" w:color="auto"/>
          </w:divBdr>
        </w:div>
        <w:div w:id="787967174">
          <w:marLeft w:val="640"/>
          <w:marRight w:val="0"/>
          <w:marTop w:val="0"/>
          <w:marBottom w:val="0"/>
          <w:divBdr>
            <w:top w:val="none" w:sz="0" w:space="0" w:color="auto"/>
            <w:left w:val="none" w:sz="0" w:space="0" w:color="auto"/>
            <w:bottom w:val="none" w:sz="0" w:space="0" w:color="auto"/>
            <w:right w:val="none" w:sz="0" w:space="0" w:color="auto"/>
          </w:divBdr>
        </w:div>
        <w:div w:id="418138920">
          <w:marLeft w:val="640"/>
          <w:marRight w:val="0"/>
          <w:marTop w:val="0"/>
          <w:marBottom w:val="0"/>
          <w:divBdr>
            <w:top w:val="none" w:sz="0" w:space="0" w:color="auto"/>
            <w:left w:val="none" w:sz="0" w:space="0" w:color="auto"/>
            <w:bottom w:val="none" w:sz="0" w:space="0" w:color="auto"/>
            <w:right w:val="none" w:sz="0" w:space="0" w:color="auto"/>
          </w:divBdr>
        </w:div>
        <w:div w:id="1332299480">
          <w:marLeft w:val="640"/>
          <w:marRight w:val="0"/>
          <w:marTop w:val="0"/>
          <w:marBottom w:val="0"/>
          <w:divBdr>
            <w:top w:val="none" w:sz="0" w:space="0" w:color="auto"/>
            <w:left w:val="none" w:sz="0" w:space="0" w:color="auto"/>
            <w:bottom w:val="none" w:sz="0" w:space="0" w:color="auto"/>
            <w:right w:val="none" w:sz="0" w:space="0" w:color="auto"/>
          </w:divBdr>
        </w:div>
        <w:div w:id="1669944046">
          <w:marLeft w:val="640"/>
          <w:marRight w:val="0"/>
          <w:marTop w:val="0"/>
          <w:marBottom w:val="0"/>
          <w:divBdr>
            <w:top w:val="none" w:sz="0" w:space="0" w:color="auto"/>
            <w:left w:val="none" w:sz="0" w:space="0" w:color="auto"/>
            <w:bottom w:val="none" w:sz="0" w:space="0" w:color="auto"/>
            <w:right w:val="none" w:sz="0" w:space="0" w:color="auto"/>
          </w:divBdr>
        </w:div>
        <w:div w:id="56707326">
          <w:marLeft w:val="640"/>
          <w:marRight w:val="0"/>
          <w:marTop w:val="0"/>
          <w:marBottom w:val="0"/>
          <w:divBdr>
            <w:top w:val="none" w:sz="0" w:space="0" w:color="auto"/>
            <w:left w:val="none" w:sz="0" w:space="0" w:color="auto"/>
            <w:bottom w:val="none" w:sz="0" w:space="0" w:color="auto"/>
            <w:right w:val="none" w:sz="0" w:space="0" w:color="auto"/>
          </w:divBdr>
        </w:div>
        <w:div w:id="1277446151">
          <w:marLeft w:val="640"/>
          <w:marRight w:val="0"/>
          <w:marTop w:val="0"/>
          <w:marBottom w:val="0"/>
          <w:divBdr>
            <w:top w:val="none" w:sz="0" w:space="0" w:color="auto"/>
            <w:left w:val="none" w:sz="0" w:space="0" w:color="auto"/>
            <w:bottom w:val="none" w:sz="0" w:space="0" w:color="auto"/>
            <w:right w:val="none" w:sz="0" w:space="0" w:color="auto"/>
          </w:divBdr>
        </w:div>
        <w:div w:id="1572304534">
          <w:marLeft w:val="640"/>
          <w:marRight w:val="0"/>
          <w:marTop w:val="0"/>
          <w:marBottom w:val="0"/>
          <w:divBdr>
            <w:top w:val="none" w:sz="0" w:space="0" w:color="auto"/>
            <w:left w:val="none" w:sz="0" w:space="0" w:color="auto"/>
            <w:bottom w:val="none" w:sz="0" w:space="0" w:color="auto"/>
            <w:right w:val="none" w:sz="0" w:space="0" w:color="auto"/>
          </w:divBdr>
        </w:div>
        <w:div w:id="307520780">
          <w:marLeft w:val="640"/>
          <w:marRight w:val="0"/>
          <w:marTop w:val="0"/>
          <w:marBottom w:val="0"/>
          <w:divBdr>
            <w:top w:val="none" w:sz="0" w:space="0" w:color="auto"/>
            <w:left w:val="none" w:sz="0" w:space="0" w:color="auto"/>
            <w:bottom w:val="none" w:sz="0" w:space="0" w:color="auto"/>
            <w:right w:val="none" w:sz="0" w:space="0" w:color="auto"/>
          </w:divBdr>
        </w:div>
        <w:div w:id="604579052">
          <w:marLeft w:val="640"/>
          <w:marRight w:val="0"/>
          <w:marTop w:val="0"/>
          <w:marBottom w:val="0"/>
          <w:divBdr>
            <w:top w:val="none" w:sz="0" w:space="0" w:color="auto"/>
            <w:left w:val="none" w:sz="0" w:space="0" w:color="auto"/>
            <w:bottom w:val="none" w:sz="0" w:space="0" w:color="auto"/>
            <w:right w:val="none" w:sz="0" w:space="0" w:color="auto"/>
          </w:divBdr>
        </w:div>
        <w:div w:id="1968704628">
          <w:marLeft w:val="640"/>
          <w:marRight w:val="0"/>
          <w:marTop w:val="0"/>
          <w:marBottom w:val="0"/>
          <w:divBdr>
            <w:top w:val="none" w:sz="0" w:space="0" w:color="auto"/>
            <w:left w:val="none" w:sz="0" w:space="0" w:color="auto"/>
            <w:bottom w:val="none" w:sz="0" w:space="0" w:color="auto"/>
            <w:right w:val="none" w:sz="0" w:space="0" w:color="auto"/>
          </w:divBdr>
        </w:div>
        <w:div w:id="1359161530">
          <w:marLeft w:val="640"/>
          <w:marRight w:val="0"/>
          <w:marTop w:val="0"/>
          <w:marBottom w:val="0"/>
          <w:divBdr>
            <w:top w:val="none" w:sz="0" w:space="0" w:color="auto"/>
            <w:left w:val="none" w:sz="0" w:space="0" w:color="auto"/>
            <w:bottom w:val="none" w:sz="0" w:space="0" w:color="auto"/>
            <w:right w:val="none" w:sz="0" w:space="0" w:color="auto"/>
          </w:divBdr>
        </w:div>
        <w:div w:id="2060201506">
          <w:marLeft w:val="640"/>
          <w:marRight w:val="0"/>
          <w:marTop w:val="0"/>
          <w:marBottom w:val="0"/>
          <w:divBdr>
            <w:top w:val="none" w:sz="0" w:space="0" w:color="auto"/>
            <w:left w:val="none" w:sz="0" w:space="0" w:color="auto"/>
            <w:bottom w:val="none" w:sz="0" w:space="0" w:color="auto"/>
            <w:right w:val="none" w:sz="0" w:space="0" w:color="auto"/>
          </w:divBdr>
        </w:div>
        <w:div w:id="1393887780">
          <w:marLeft w:val="640"/>
          <w:marRight w:val="0"/>
          <w:marTop w:val="0"/>
          <w:marBottom w:val="0"/>
          <w:divBdr>
            <w:top w:val="none" w:sz="0" w:space="0" w:color="auto"/>
            <w:left w:val="none" w:sz="0" w:space="0" w:color="auto"/>
            <w:bottom w:val="none" w:sz="0" w:space="0" w:color="auto"/>
            <w:right w:val="none" w:sz="0" w:space="0" w:color="auto"/>
          </w:divBdr>
        </w:div>
        <w:div w:id="507990560">
          <w:marLeft w:val="640"/>
          <w:marRight w:val="0"/>
          <w:marTop w:val="0"/>
          <w:marBottom w:val="0"/>
          <w:divBdr>
            <w:top w:val="none" w:sz="0" w:space="0" w:color="auto"/>
            <w:left w:val="none" w:sz="0" w:space="0" w:color="auto"/>
            <w:bottom w:val="none" w:sz="0" w:space="0" w:color="auto"/>
            <w:right w:val="none" w:sz="0" w:space="0" w:color="auto"/>
          </w:divBdr>
        </w:div>
        <w:div w:id="595938685">
          <w:marLeft w:val="640"/>
          <w:marRight w:val="0"/>
          <w:marTop w:val="0"/>
          <w:marBottom w:val="0"/>
          <w:divBdr>
            <w:top w:val="none" w:sz="0" w:space="0" w:color="auto"/>
            <w:left w:val="none" w:sz="0" w:space="0" w:color="auto"/>
            <w:bottom w:val="none" w:sz="0" w:space="0" w:color="auto"/>
            <w:right w:val="none" w:sz="0" w:space="0" w:color="auto"/>
          </w:divBdr>
        </w:div>
        <w:div w:id="1445539970">
          <w:marLeft w:val="640"/>
          <w:marRight w:val="0"/>
          <w:marTop w:val="0"/>
          <w:marBottom w:val="0"/>
          <w:divBdr>
            <w:top w:val="none" w:sz="0" w:space="0" w:color="auto"/>
            <w:left w:val="none" w:sz="0" w:space="0" w:color="auto"/>
            <w:bottom w:val="none" w:sz="0" w:space="0" w:color="auto"/>
            <w:right w:val="none" w:sz="0" w:space="0" w:color="auto"/>
          </w:divBdr>
        </w:div>
        <w:div w:id="109207271">
          <w:marLeft w:val="640"/>
          <w:marRight w:val="0"/>
          <w:marTop w:val="0"/>
          <w:marBottom w:val="0"/>
          <w:divBdr>
            <w:top w:val="none" w:sz="0" w:space="0" w:color="auto"/>
            <w:left w:val="none" w:sz="0" w:space="0" w:color="auto"/>
            <w:bottom w:val="none" w:sz="0" w:space="0" w:color="auto"/>
            <w:right w:val="none" w:sz="0" w:space="0" w:color="auto"/>
          </w:divBdr>
        </w:div>
        <w:div w:id="1645545789">
          <w:marLeft w:val="640"/>
          <w:marRight w:val="0"/>
          <w:marTop w:val="0"/>
          <w:marBottom w:val="0"/>
          <w:divBdr>
            <w:top w:val="none" w:sz="0" w:space="0" w:color="auto"/>
            <w:left w:val="none" w:sz="0" w:space="0" w:color="auto"/>
            <w:bottom w:val="none" w:sz="0" w:space="0" w:color="auto"/>
            <w:right w:val="none" w:sz="0" w:space="0" w:color="auto"/>
          </w:divBdr>
        </w:div>
        <w:div w:id="1671054676">
          <w:marLeft w:val="640"/>
          <w:marRight w:val="0"/>
          <w:marTop w:val="0"/>
          <w:marBottom w:val="0"/>
          <w:divBdr>
            <w:top w:val="none" w:sz="0" w:space="0" w:color="auto"/>
            <w:left w:val="none" w:sz="0" w:space="0" w:color="auto"/>
            <w:bottom w:val="none" w:sz="0" w:space="0" w:color="auto"/>
            <w:right w:val="none" w:sz="0" w:space="0" w:color="auto"/>
          </w:divBdr>
        </w:div>
        <w:div w:id="995844362">
          <w:marLeft w:val="640"/>
          <w:marRight w:val="0"/>
          <w:marTop w:val="0"/>
          <w:marBottom w:val="0"/>
          <w:divBdr>
            <w:top w:val="none" w:sz="0" w:space="0" w:color="auto"/>
            <w:left w:val="none" w:sz="0" w:space="0" w:color="auto"/>
            <w:bottom w:val="none" w:sz="0" w:space="0" w:color="auto"/>
            <w:right w:val="none" w:sz="0" w:space="0" w:color="auto"/>
          </w:divBdr>
        </w:div>
        <w:div w:id="1608657820">
          <w:marLeft w:val="640"/>
          <w:marRight w:val="0"/>
          <w:marTop w:val="0"/>
          <w:marBottom w:val="0"/>
          <w:divBdr>
            <w:top w:val="none" w:sz="0" w:space="0" w:color="auto"/>
            <w:left w:val="none" w:sz="0" w:space="0" w:color="auto"/>
            <w:bottom w:val="none" w:sz="0" w:space="0" w:color="auto"/>
            <w:right w:val="none" w:sz="0" w:space="0" w:color="auto"/>
          </w:divBdr>
        </w:div>
        <w:div w:id="521432476">
          <w:marLeft w:val="640"/>
          <w:marRight w:val="0"/>
          <w:marTop w:val="0"/>
          <w:marBottom w:val="0"/>
          <w:divBdr>
            <w:top w:val="none" w:sz="0" w:space="0" w:color="auto"/>
            <w:left w:val="none" w:sz="0" w:space="0" w:color="auto"/>
            <w:bottom w:val="none" w:sz="0" w:space="0" w:color="auto"/>
            <w:right w:val="none" w:sz="0" w:space="0" w:color="auto"/>
          </w:divBdr>
        </w:div>
        <w:div w:id="762729166">
          <w:marLeft w:val="640"/>
          <w:marRight w:val="0"/>
          <w:marTop w:val="0"/>
          <w:marBottom w:val="0"/>
          <w:divBdr>
            <w:top w:val="none" w:sz="0" w:space="0" w:color="auto"/>
            <w:left w:val="none" w:sz="0" w:space="0" w:color="auto"/>
            <w:bottom w:val="none" w:sz="0" w:space="0" w:color="auto"/>
            <w:right w:val="none" w:sz="0" w:space="0" w:color="auto"/>
          </w:divBdr>
        </w:div>
        <w:div w:id="965426080">
          <w:marLeft w:val="640"/>
          <w:marRight w:val="0"/>
          <w:marTop w:val="0"/>
          <w:marBottom w:val="0"/>
          <w:divBdr>
            <w:top w:val="none" w:sz="0" w:space="0" w:color="auto"/>
            <w:left w:val="none" w:sz="0" w:space="0" w:color="auto"/>
            <w:bottom w:val="none" w:sz="0" w:space="0" w:color="auto"/>
            <w:right w:val="none" w:sz="0" w:space="0" w:color="auto"/>
          </w:divBdr>
        </w:div>
        <w:div w:id="157039285">
          <w:marLeft w:val="640"/>
          <w:marRight w:val="0"/>
          <w:marTop w:val="0"/>
          <w:marBottom w:val="0"/>
          <w:divBdr>
            <w:top w:val="none" w:sz="0" w:space="0" w:color="auto"/>
            <w:left w:val="none" w:sz="0" w:space="0" w:color="auto"/>
            <w:bottom w:val="none" w:sz="0" w:space="0" w:color="auto"/>
            <w:right w:val="none" w:sz="0" w:space="0" w:color="auto"/>
          </w:divBdr>
        </w:div>
        <w:div w:id="1492329148">
          <w:marLeft w:val="640"/>
          <w:marRight w:val="0"/>
          <w:marTop w:val="0"/>
          <w:marBottom w:val="0"/>
          <w:divBdr>
            <w:top w:val="none" w:sz="0" w:space="0" w:color="auto"/>
            <w:left w:val="none" w:sz="0" w:space="0" w:color="auto"/>
            <w:bottom w:val="none" w:sz="0" w:space="0" w:color="auto"/>
            <w:right w:val="none" w:sz="0" w:space="0" w:color="auto"/>
          </w:divBdr>
        </w:div>
        <w:div w:id="196234909">
          <w:marLeft w:val="640"/>
          <w:marRight w:val="0"/>
          <w:marTop w:val="0"/>
          <w:marBottom w:val="0"/>
          <w:divBdr>
            <w:top w:val="none" w:sz="0" w:space="0" w:color="auto"/>
            <w:left w:val="none" w:sz="0" w:space="0" w:color="auto"/>
            <w:bottom w:val="none" w:sz="0" w:space="0" w:color="auto"/>
            <w:right w:val="none" w:sz="0" w:space="0" w:color="auto"/>
          </w:divBdr>
        </w:div>
        <w:div w:id="1901747326">
          <w:marLeft w:val="640"/>
          <w:marRight w:val="0"/>
          <w:marTop w:val="0"/>
          <w:marBottom w:val="0"/>
          <w:divBdr>
            <w:top w:val="none" w:sz="0" w:space="0" w:color="auto"/>
            <w:left w:val="none" w:sz="0" w:space="0" w:color="auto"/>
            <w:bottom w:val="none" w:sz="0" w:space="0" w:color="auto"/>
            <w:right w:val="none" w:sz="0" w:space="0" w:color="auto"/>
          </w:divBdr>
        </w:div>
        <w:div w:id="1659308699">
          <w:marLeft w:val="640"/>
          <w:marRight w:val="0"/>
          <w:marTop w:val="0"/>
          <w:marBottom w:val="0"/>
          <w:divBdr>
            <w:top w:val="none" w:sz="0" w:space="0" w:color="auto"/>
            <w:left w:val="none" w:sz="0" w:space="0" w:color="auto"/>
            <w:bottom w:val="none" w:sz="0" w:space="0" w:color="auto"/>
            <w:right w:val="none" w:sz="0" w:space="0" w:color="auto"/>
          </w:divBdr>
        </w:div>
        <w:div w:id="1660502299">
          <w:marLeft w:val="640"/>
          <w:marRight w:val="0"/>
          <w:marTop w:val="0"/>
          <w:marBottom w:val="0"/>
          <w:divBdr>
            <w:top w:val="none" w:sz="0" w:space="0" w:color="auto"/>
            <w:left w:val="none" w:sz="0" w:space="0" w:color="auto"/>
            <w:bottom w:val="none" w:sz="0" w:space="0" w:color="auto"/>
            <w:right w:val="none" w:sz="0" w:space="0" w:color="auto"/>
          </w:divBdr>
        </w:div>
        <w:div w:id="1396515099">
          <w:marLeft w:val="640"/>
          <w:marRight w:val="0"/>
          <w:marTop w:val="0"/>
          <w:marBottom w:val="0"/>
          <w:divBdr>
            <w:top w:val="none" w:sz="0" w:space="0" w:color="auto"/>
            <w:left w:val="none" w:sz="0" w:space="0" w:color="auto"/>
            <w:bottom w:val="none" w:sz="0" w:space="0" w:color="auto"/>
            <w:right w:val="none" w:sz="0" w:space="0" w:color="auto"/>
          </w:divBdr>
        </w:div>
        <w:div w:id="582030989">
          <w:marLeft w:val="640"/>
          <w:marRight w:val="0"/>
          <w:marTop w:val="0"/>
          <w:marBottom w:val="0"/>
          <w:divBdr>
            <w:top w:val="none" w:sz="0" w:space="0" w:color="auto"/>
            <w:left w:val="none" w:sz="0" w:space="0" w:color="auto"/>
            <w:bottom w:val="none" w:sz="0" w:space="0" w:color="auto"/>
            <w:right w:val="none" w:sz="0" w:space="0" w:color="auto"/>
          </w:divBdr>
        </w:div>
        <w:div w:id="631254756">
          <w:marLeft w:val="640"/>
          <w:marRight w:val="0"/>
          <w:marTop w:val="0"/>
          <w:marBottom w:val="0"/>
          <w:divBdr>
            <w:top w:val="none" w:sz="0" w:space="0" w:color="auto"/>
            <w:left w:val="none" w:sz="0" w:space="0" w:color="auto"/>
            <w:bottom w:val="none" w:sz="0" w:space="0" w:color="auto"/>
            <w:right w:val="none" w:sz="0" w:space="0" w:color="auto"/>
          </w:divBdr>
        </w:div>
        <w:div w:id="22443489">
          <w:marLeft w:val="640"/>
          <w:marRight w:val="0"/>
          <w:marTop w:val="0"/>
          <w:marBottom w:val="0"/>
          <w:divBdr>
            <w:top w:val="none" w:sz="0" w:space="0" w:color="auto"/>
            <w:left w:val="none" w:sz="0" w:space="0" w:color="auto"/>
            <w:bottom w:val="none" w:sz="0" w:space="0" w:color="auto"/>
            <w:right w:val="none" w:sz="0" w:space="0" w:color="auto"/>
          </w:divBdr>
        </w:div>
        <w:div w:id="1856962681">
          <w:marLeft w:val="640"/>
          <w:marRight w:val="0"/>
          <w:marTop w:val="0"/>
          <w:marBottom w:val="0"/>
          <w:divBdr>
            <w:top w:val="none" w:sz="0" w:space="0" w:color="auto"/>
            <w:left w:val="none" w:sz="0" w:space="0" w:color="auto"/>
            <w:bottom w:val="none" w:sz="0" w:space="0" w:color="auto"/>
            <w:right w:val="none" w:sz="0" w:space="0" w:color="auto"/>
          </w:divBdr>
        </w:div>
        <w:div w:id="385034475">
          <w:marLeft w:val="640"/>
          <w:marRight w:val="0"/>
          <w:marTop w:val="0"/>
          <w:marBottom w:val="0"/>
          <w:divBdr>
            <w:top w:val="none" w:sz="0" w:space="0" w:color="auto"/>
            <w:left w:val="none" w:sz="0" w:space="0" w:color="auto"/>
            <w:bottom w:val="none" w:sz="0" w:space="0" w:color="auto"/>
            <w:right w:val="none" w:sz="0" w:space="0" w:color="auto"/>
          </w:divBdr>
        </w:div>
        <w:div w:id="1706177311">
          <w:marLeft w:val="640"/>
          <w:marRight w:val="0"/>
          <w:marTop w:val="0"/>
          <w:marBottom w:val="0"/>
          <w:divBdr>
            <w:top w:val="none" w:sz="0" w:space="0" w:color="auto"/>
            <w:left w:val="none" w:sz="0" w:space="0" w:color="auto"/>
            <w:bottom w:val="none" w:sz="0" w:space="0" w:color="auto"/>
            <w:right w:val="none" w:sz="0" w:space="0" w:color="auto"/>
          </w:divBdr>
        </w:div>
        <w:div w:id="1083842488">
          <w:marLeft w:val="640"/>
          <w:marRight w:val="0"/>
          <w:marTop w:val="0"/>
          <w:marBottom w:val="0"/>
          <w:divBdr>
            <w:top w:val="none" w:sz="0" w:space="0" w:color="auto"/>
            <w:left w:val="none" w:sz="0" w:space="0" w:color="auto"/>
            <w:bottom w:val="none" w:sz="0" w:space="0" w:color="auto"/>
            <w:right w:val="none" w:sz="0" w:space="0" w:color="auto"/>
          </w:divBdr>
        </w:div>
        <w:div w:id="1608151332">
          <w:marLeft w:val="640"/>
          <w:marRight w:val="0"/>
          <w:marTop w:val="0"/>
          <w:marBottom w:val="0"/>
          <w:divBdr>
            <w:top w:val="none" w:sz="0" w:space="0" w:color="auto"/>
            <w:left w:val="none" w:sz="0" w:space="0" w:color="auto"/>
            <w:bottom w:val="none" w:sz="0" w:space="0" w:color="auto"/>
            <w:right w:val="none" w:sz="0" w:space="0" w:color="auto"/>
          </w:divBdr>
        </w:div>
        <w:div w:id="194855255">
          <w:marLeft w:val="640"/>
          <w:marRight w:val="0"/>
          <w:marTop w:val="0"/>
          <w:marBottom w:val="0"/>
          <w:divBdr>
            <w:top w:val="none" w:sz="0" w:space="0" w:color="auto"/>
            <w:left w:val="none" w:sz="0" w:space="0" w:color="auto"/>
            <w:bottom w:val="none" w:sz="0" w:space="0" w:color="auto"/>
            <w:right w:val="none" w:sz="0" w:space="0" w:color="auto"/>
          </w:divBdr>
        </w:div>
        <w:div w:id="1244951909">
          <w:marLeft w:val="640"/>
          <w:marRight w:val="0"/>
          <w:marTop w:val="0"/>
          <w:marBottom w:val="0"/>
          <w:divBdr>
            <w:top w:val="none" w:sz="0" w:space="0" w:color="auto"/>
            <w:left w:val="none" w:sz="0" w:space="0" w:color="auto"/>
            <w:bottom w:val="none" w:sz="0" w:space="0" w:color="auto"/>
            <w:right w:val="none" w:sz="0" w:space="0" w:color="auto"/>
          </w:divBdr>
        </w:div>
        <w:div w:id="1191065703">
          <w:marLeft w:val="640"/>
          <w:marRight w:val="0"/>
          <w:marTop w:val="0"/>
          <w:marBottom w:val="0"/>
          <w:divBdr>
            <w:top w:val="none" w:sz="0" w:space="0" w:color="auto"/>
            <w:left w:val="none" w:sz="0" w:space="0" w:color="auto"/>
            <w:bottom w:val="none" w:sz="0" w:space="0" w:color="auto"/>
            <w:right w:val="none" w:sz="0" w:space="0" w:color="auto"/>
          </w:divBdr>
        </w:div>
        <w:div w:id="1515263318">
          <w:marLeft w:val="640"/>
          <w:marRight w:val="0"/>
          <w:marTop w:val="0"/>
          <w:marBottom w:val="0"/>
          <w:divBdr>
            <w:top w:val="none" w:sz="0" w:space="0" w:color="auto"/>
            <w:left w:val="none" w:sz="0" w:space="0" w:color="auto"/>
            <w:bottom w:val="none" w:sz="0" w:space="0" w:color="auto"/>
            <w:right w:val="none" w:sz="0" w:space="0" w:color="auto"/>
          </w:divBdr>
        </w:div>
        <w:div w:id="352415545">
          <w:marLeft w:val="640"/>
          <w:marRight w:val="0"/>
          <w:marTop w:val="0"/>
          <w:marBottom w:val="0"/>
          <w:divBdr>
            <w:top w:val="none" w:sz="0" w:space="0" w:color="auto"/>
            <w:left w:val="none" w:sz="0" w:space="0" w:color="auto"/>
            <w:bottom w:val="none" w:sz="0" w:space="0" w:color="auto"/>
            <w:right w:val="none" w:sz="0" w:space="0" w:color="auto"/>
          </w:divBdr>
        </w:div>
        <w:div w:id="318191600">
          <w:marLeft w:val="640"/>
          <w:marRight w:val="0"/>
          <w:marTop w:val="0"/>
          <w:marBottom w:val="0"/>
          <w:divBdr>
            <w:top w:val="none" w:sz="0" w:space="0" w:color="auto"/>
            <w:left w:val="none" w:sz="0" w:space="0" w:color="auto"/>
            <w:bottom w:val="none" w:sz="0" w:space="0" w:color="auto"/>
            <w:right w:val="none" w:sz="0" w:space="0" w:color="auto"/>
          </w:divBdr>
        </w:div>
        <w:div w:id="449864794">
          <w:marLeft w:val="640"/>
          <w:marRight w:val="0"/>
          <w:marTop w:val="0"/>
          <w:marBottom w:val="0"/>
          <w:divBdr>
            <w:top w:val="none" w:sz="0" w:space="0" w:color="auto"/>
            <w:left w:val="none" w:sz="0" w:space="0" w:color="auto"/>
            <w:bottom w:val="none" w:sz="0" w:space="0" w:color="auto"/>
            <w:right w:val="none" w:sz="0" w:space="0" w:color="auto"/>
          </w:divBdr>
        </w:div>
        <w:div w:id="2088382029">
          <w:marLeft w:val="640"/>
          <w:marRight w:val="0"/>
          <w:marTop w:val="0"/>
          <w:marBottom w:val="0"/>
          <w:divBdr>
            <w:top w:val="none" w:sz="0" w:space="0" w:color="auto"/>
            <w:left w:val="none" w:sz="0" w:space="0" w:color="auto"/>
            <w:bottom w:val="none" w:sz="0" w:space="0" w:color="auto"/>
            <w:right w:val="none" w:sz="0" w:space="0" w:color="auto"/>
          </w:divBdr>
        </w:div>
        <w:div w:id="1346052535">
          <w:marLeft w:val="640"/>
          <w:marRight w:val="0"/>
          <w:marTop w:val="0"/>
          <w:marBottom w:val="0"/>
          <w:divBdr>
            <w:top w:val="none" w:sz="0" w:space="0" w:color="auto"/>
            <w:left w:val="none" w:sz="0" w:space="0" w:color="auto"/>
            <w:bottom w:val="none" w:sz="0" w:space="0" w:color="auto"/>
            <w:right w:val="none" w:sz="0" w:space="0" w:color="auto"/>
          </w:divBdr>
        </w:div>
        <w:div w:id="161510428">
          <w:marLeft w:val="640"/>
          <w:marRight w:val="0"/>
          <w:marTop w:val="0"/>
          <w:marBottom w:val="0"/>
          <w:divBdr>
            <w:top w:val="none" w:sz="0" w:space="0" w:color="auto"/>
            <w:left w:val="none" w:sz="0" w:space="0" w:color="auto"/>
            <w:bottom w:val="none" w:sz="0" w:space="0" w:color="auto"/>
            <w:right w:val="none" w:sz="0" w:space="0" w:color="auto"/>
          </w:divBdr>
        </w:div>
        <w:div w:id="72701270">
          <w:marLeft w:val="640"/>
          <w:marRight w:val="0"/>
          <w:marTop w:val="0"/>
          <w:marBottom w:val="0"/>
          <w:divBdr>
            <w:top w:val="none" w:sz="0" w:space="0" w:color="auto"/>
            <w:left w:val="none" w:sz="0" w:space="0" w:color="auto"/>
            <w:bottom w:val="none" w:sz="0" w:space="0" w:color="auto"/>
            <w:right w:val="none" w:sz="0" w:space="0" w:color="auto"/>
          </w:divBdr>
        </w:div>
        <w:div w:id="1676493945">
          <w:marLeft w:val="640"/>
          <w:marRight w:val="0"/>
          <w:marTop w:val="0"/>
          <w:marBottom w:val="0"/>
          <w:divBdr>
            <w:top w:val="none" w:sz="0" w:space="0" w:color="auto"/>
            <w:left w:val="none" w:sz="0" w:space="0" w:color="auto"/>
            <w:bottom w:val="none" w:sz="0" w:space="0" w:color="auto"/>
            <w:right w:val="none" w:sz="0" w:space="0" w:color="auto"/>
          </w:divBdr>
        </w:div>
        <w:div w:id="1975213639">
          <w:marLeft w:val="640"/>
          <w:marRight w:val="0"/>
          <w:marTop w:val="0"/>
          <w:marBottom w:val="0"/>
          <w:divBdr>
            <w:top w:val="none" w:sz="0" w:space="0" w:color="auto"/>
            <w:left w:val="none" w:sz="0" w:space="0" w:color="auto"/>
            <w:bottom w:val="none" w:sz="0" w:space="0" w:color="auto"/>
            <w:right w:val="none" w:sz="0" w:space="0" w:color="auto"/>
          </w:divBdr>
        </w:div>
        <w:div w:id="2043746535">
          <w:marLeft w:val="640"/>
          <w:marRight w:val="0"/>
          <w:marTop w:val="0"/>
          <w:marBottom w:val="0"/>
          <w:divBdr>
            <w:top w:val="none" w:sz="0" w:space="0" w:color="auto"/>
            <w:left w:val="none" w:sz="0" w:space="0" w:color="auto"/>
            <w:bottom w:val="none" w:sz="0" w:space="0" w:color="auto"/>
            <w:right w:val="none" w:sz="0" w:space="0" w:color="auto"/>
          </w:divBdr>
        </w:div>
        <w:div w:id="1427310028">
          <w:marLeft w:val="640"/>
          <w:marRight w:val="0"/>
          <w:marTop w:val="0"/>
          <w:marBottom w:val="0"/>
          <w:divBdr>
            <w:top w:val="none" w:sz="0" w:space="0" w:color="auto"/>
            <w:left w:val="none" w:sz="0" w:space="0" w:color="auto"/>
            <w:bottom w:val="none" w:sz="0" w:space="0" w:color="auto"/>
            <w:right w:val="none" w:sz="0" w:space="0" w:color="auto"/>
          </w:divBdr>
        </w:div>
        <w:div w:id="1632590954">
          <w:marLeft w:val="640"/>
          <w:marRight w:val="0"/>
          <w:marTop w:val="0"/>
          <w:marBottom w:val="0"/>
          <w:divBdr>
            <w:top w:val="none" w:sz="0" w:space="0" w:color="auto"/>
            <w:left w:val="none" w:sz="0" w:space="0" w:color="auto"/>
            <w:bottom w:val="none" w:sz="0" w:space="0" w:color="auto"/>
            <w:right w:val="none" w:sz="0" w:space="0" w:color="auto"/>
          </w:divBdr>
        </w:div>
        <w:div w:id="1777215320">
          <w:marLeft w:val="640"/>
          <w:marRight w:val="0"/>
          <w:marTop w:val="0"/>
          <w:marBottom w:val="0"/>
          <w:divBdr>
            <w:top w:val="none" w:sz="0" w:space="0" w:color="auto"/>
            <w:left w:val="none" w:sz="0" w:space="0" w:color="auto"/>
            <w:bottom w:val="none" w:sz="0" w:space="0" w:color="auto"/>
            <w:right w:val="none" w:sz="0" w:space="0" w:color="auto"/>
          </w:divBdr>
        </w:div>
        <w:div w:id="1919750965">
          <w:marLeft w:val="640"/>
          <w:marRight w:val="0"/>
          <w:marTop w:val="0"/>
          <w:marBottom w:val="0"/>
          <w:divBdr>
            <w:top w:val="none" w:sz="0" w:space="0" w:color="auto"/>
            <w:left w:val="none" w:sz="0" w:space="0" w:color="auto"/>
            <w:bottom w:val="none" w:sz="0" w:space="0" w:color="auto"/>
            <w:right w:val="none" w:sz="0" w:space="0" w:color="auto"/>
          </w:divBdr>
        </w:div>
        <w:div w:id="1763187794">
          <w:marLeft w:val="640"/>
          <w:marRight w:val="0"/>
          <w:marTop w:val="0"/>
          <w:marBottom w:val="0"/>
          <w:divBdr>
            <w:top w:val="none" w:sz="0" w:space="0" w:color="auto"/>
            <w:left w:val="none" w:sz="0" w:space="0" w:color="auto"/>
            <w:bottom w:val="none" w:sz="0" w:space="0" w:color="auto"/>
            <w:right w:val="none" w:sz="0" w:space="0" w:color="auto"/>
          </w:divBdr>
        </w:div>
        <w:div w:id="170219498">
          <w:marLeft w:val="640"/>
          <w:marRight w:val="0"/>
          <w:marTop w:val="0"/>
          <w:marBottom w:val="0"/>
          <w:divBdr>
            <w:top w:val="none" w:sz="0" w:space="0" w:color="auto"/>
            <w:left w:val="none" w:sz="0" w:space="0" w:color="auto"/>
            <w:bottom w:val="none" w:sz="0" w:space="0" w:color="auto"/>
            <w:right w:val="none" w:sz="0" w:space="0" w:color="auto"/>
          </w:divBdr>
        </w:div>
        <w:div w:id="1529951676">
          <w:marLeft w:val="640"/>
          <w:marRight w:val="0"/>
          <w:marTop w:val="0"/>
          <w:marBottom w:val="0"/>
          <w:divBdr>
            <w:top w:val="none" w:sz="0" w:space="0" w:color="auto"/>
            <w:left w:val="none" w:sz="0" w:space="0" w:color="auto"/>
            <w:bottom w:val="none" w:sz="0" w:space="0" w:color="auto"/>
            <w:right w:val="none" w:sz="0" w:space="0" w:color="auto"/>
          </w:divBdr>
        </w:div>
        <w:div w:id="1964921325">
          <w:marLeft w:val="640"/>
          <w:marRight w:val="0"/>
          <w:marTop w:val="0"/>
          <w:marBottom w:val="0"/>
          <w:divBdr>
            <w:top w:val="none" w:sz="0" w:space="0" w:color="auto"/>
            <w:left w:val="none" w:sz="0" w:space="0" w:color="auto"/>
            <w:bottom w:val="none" w:sz="0" w:space="0" w:color="auto"/>
            <w:right w:val="none" w:sz="0" w:space="0" w:color="auto"/>
          </w:divBdr>
        </w:div>
        <w:div w:id="180896951">
          <w:marLeft w:val="640"/>
          <w:marRight w:val="0"/>
          <w:marTop w:val="0"/>
          <w:marBottom w:val="0"/>
          <w:divBdr>
            <w:top w:val="none" w:sz="0" w:space="0" w:color="auto"/>
            <w:left w:val="none" w:sz="0" w:space="0" w:color="auto"/>
            <w:bottom w:val="none" w:sz="0" w:space="0" w:color="auto"/>
            <w:right w:val="none" w:sz="0" w:space="0" w:color="auto"/>
          </w:divBdr>
        </w:div>
        <w:div w:id="1343631892">
          <w:marLeft w:val="640"/>
          <w:marRight w:val="0"/>
          <w:marTop w:val="0"/>
          <w:marBottom w:val="0"/>
          <w:divBdr>
            <w:top w:val="none" w:sz="0" w:space="0" w:color="auto"/>
            <w:left w:val="none" w:sz="0" w:space="0" w:color="auto"/>
            <w:bottom w:val="none" w:sz="0" w:space="0" w:color="auto"/>
            <w:right w:val="none" w:sz="0" w:space="0" w:color="auto"/>
          </w:divBdr>
        </w:div>
        <w:div w:id="1158620300">
          <w:marLeft w:val="640"/>
          <w:marRight w:val="0"/>
          <w:marTop w:val="0"/>
          <w:marBottom w:val="0"/>
          <w:divBdr>
            <w:top w:val="none" w:sz="0" w:space="0" w:color="auto"/>
            <w:left w:val="none" w:sz="0" w:space="0" w:color="auto"/>
            <w:bottom w:val="none" w:sz="0" w:space="0" w:color="auto"/>
            <w:right w:val="none" w:sz="0" w:space="0" w:color="auto"/>
          </w:divBdr>
        </w:div>
        <w:div w:id="772089997">
          <w:marLeft w:val="640"/>
          <w:marRight w:val="0"/>
          <w:marTop w:val="0"/>
          <w:marBottom w:val="0"/>
          <w:divBdr>
            <w:top w:val="none" w:sz="0" w:space="0" w:color="auto"/>
            <w:left w:val="none" w:sz="0" w:space="0" w:color="auto"/>
            <w:bottom w:val="none" w:sz="0" w:space="0" w:color="auto"/>
            <w:right w:val="none" w:sz="0" w:space="0" w:color="auto"/>
          </w:divBdr>
        </w:div>
        <w:div w:id="855968337">
          <w:marLeft w:val="640"/>
          <w:marRight w:val="0"/>
          <w:marTop w:val="0"/>
          <w:marBottom w:val="0"/>
          <w:divBdr>
            <w:top w:val="none" w:sz="0" w:space="0" w:color="auto"/>
            <w:left w:val="none" w:sz="0" w:space="0" w:color="auto"/>
            <w:bottom w:val="none" w:sz="0" w:space="0" w:color="auto"/>
            <w:right w:val="none" w:sz="0" w:space="0" w:color="auto"/>
          </w:divBdr>
        </w:div>
        <w:div w:id="1627809230">
          <w:marLeft w:val="640"/>
          <w:marRight w:val="0"/>
          <w:marTop w:val="0"/>
          <w:marBottom w:val="0"/>
          <w:divBdr>
            <w:top w:val="none" w:sz="0" w:space="0" w:color="auto"/>
            <w:left w:val="none" w:sz="0" w:space="0" w:color="auto"/>
            <w:bottom w:val="none" w:sz="0" w:space="0" w:color="auto"/>
            <w:right w:val="none" w:sz="0" w:space="0" w:color="auto"/>
          </w:divBdr>
        </w:div>
        <w:div w:id="1004624714">
          <w:marLeft w:val="640"/>
          <w:marRight w:val="0"/>
          <w:marTop w:val="0"/>
          <w:marBottom w:val="0"/>
          <w:divBdr>
            <w:top w:val="none" w:sz="0" w:space="0" w:color="auto"/>
            <w:left w:val="none" w:sz="0" w:space="0" w:color="auto"/>
            <w:bottom w:val="none" w:sz="0" w:space="0" w:color="auto"/>
            <w:right w:val="none" w:sz="0" w:space="0" w:color="auto"/>
          </w:divBdr>
        </w:div>
        <w:div w:id="1337731901">
          <w:marLeft w:val="640"/>
          <w:marRight w:val="0"/>
          <w:marTop w:val="0"/>
          <w:marBottom w:val="0"/>
          <w:divBdr>
            <w:top w:val="none" w:sz="0" w:space="0" w:color="auto"/>
            <w:left w:val="none" w:sz="0" w:space="0" w:color="auto"/>
            <w:bottom w:val="none" w:sz="0" w:space="0" w:color="auto"/>
            <w:right w:val="none" w:sz="0" w:space="0" w:color="auto"/>
          </w:divBdr>
        </w:div>
        <w:div w:id="1173187218">
          <w:marLeft w:val="640"/>
          <w:marRight w:val="0"/>
          <w:marTop w:val="0"/>
          <w:marBottom w:val="0"/>
          <w:divBdr>
            <w:top w:val="none" w:sz="0" w:space="0" w:color="auto"/>
            <w:left w:val="none" w:sz="0" w:space="0" w:color="auto"/>
            <w:bottom w:val="none" w:sz="0" w:space="0" w:color="auto"/>
            <w:right w:val="none" w:sz="0" w:space="0" w:color="auto"/>
          </w:divBdr>
        </w:div>
        <w:div w:id="2113627295">
          <w:marLeft w:val="640"/>
          <w:marRight w:val="0"/>
          <w:marTop w:val="0"/>
          <w:marBottom w:val="0"/>
          <w:divBdr>
            <w:top w:val="none" w:sz="0" w:space="0" w:color="auto"/>
            <w:left w:val="none" w:sz="0" w:space="0" w:color="auto"/>
            <w:bottom w:val="none" w:sz="0" w:space="0" w:color="auto"/>
            <w:right w:val="none" w:sz="0" w:space="0" w:color="auto"/>
          </w:divBdr>
        </w:div>
        <w:div w:id="1223176273">
          <w:marLeft w:val="640"/>
          <w:marRight w:val="0"/>
          <w:marTop w:val="0"/>
          <w:marBottom w:val="0"/>
          <w:divBdr>
            <w:top w:val="none" w:sz="0" w:space="0" w:color="auto"/>
            <w:left w:val="none" w:sz="0" w:space="0" w:color="auto"/>
            <w:bottom w:val="none" w:sz="0" w:space="0" w:color="auto"/>
            <w:right w:val="none" w:sz="0" w:space="0" w:color="auto"/>
          </w:divBdr>
        </w:div>
        <w:div w:id="918903375">
          <w:marLeft w:val="640"/>
          <w:marRight w:val="0"/>
          <w:marTop w:val="0"/>
          <w:marBottom w:val="0"/>
          <w:divBdr>
            <w:top w:val="none" w:sz="0" w:space="0" w:color="auto"/>
            <w:left w:val="none" w:sz="0" w:space="0" w:color="auto"/>
            <w:bottom w:val="none" w:sz="0" w:space="0" w:color="auto"/>
            <w:right w:val="none" w:sz="0" w:space="0" w:color="auto"/>
          </w:divBdr>
        </w:div>
        <w:div w:id="489713773">
          <w:marLeft w:val="640"/>
          <w:marRight w:val="0"/>
          <w:marTop w:val="0"/>
          <w:marBottom w:val="0"/>
          <w:divBdr>
            <w:top w:val="none" w:sz="0" w:space="0" w:color="auto"/>
            <w:left w:val="none" w:sz="0" w:space="0" w:color="auto"/>
            <w:bottom w:val="none" w:sz="0" w:space="0" w:color="auto"/>
            <w:right w:val="none" w:sz="0" w:space="0" w:color="auto"/>
          </w:divBdr>
        </w:div>
        <w:div w:id="916481147">
          <w:marLeft w:val="640"/>
          <w:marRight w:val="0"/>
          <w:marTop w:val="0"/>
          <w:marBottom w:val="0"/>
          <w:divBdr>
            <w:top w:val="none" w:sz="0" w:space="0" w:color="auto"/>
            <w:left w:val="none" w:sz="0" w:space="0" w:color="auto"/>
            <w:bottom w:val="none" w:sz="0" w:space="0" w:color="auto"/>
            <w:right w:val="none" w:sz="0" w:space="0" w:color="auto"/>
          </w:divBdr>
        </w:div>
        <w:div w:id="1698196080">
          <w:marLeft w:val="640"/>
          <w:marRight w:val="0"/>
          <w:marTop w:val="0"/>
          <w:marBottom w:val="0"/>
          <w:divBdr>
            <w:top w:val="none" w:sz="0" w:space="0" w:color="auto"/>
            <w:left w:val="none" w:sz="0" w:space="0" w:color="auto"/>
            <w:bottom w:val="none" w:sz="0" w:space="0" w:color="auto"/>
            <w:right w:val="none" w:sz="0" w:space="0" w:color="auto"/>
          </w:divBdr>
        </w:div>
        <w:div w:id="1944602951">
          <w:marLeft w:val="640"/>
          <w:marRight w:val="0"/>
          <w:marTop w:val="0"/>
          <w:marBottom w:val="0"/>
          <w:divBdr>
            <w:top w:val="none" w:sz="0" w:space="0" w:color="auto"/>
            <w:left w:val="none" w:sz="0" w:space="0" w:color="auto"/>
            <w:bottom w:val="none" w:sz="0" w:space="0" w:color="auto"/>
            <w:right w:val="none" w:sz="0" w:space="0" w:color="auto"/>
          </w:divBdr>
        </w:div>
        <w:div w:id="1125735670">
          <w:marLeft w:val="640"/>
          <w:marRight w:val="0"/>
          <w:marTop w:val="0"/>
          <w:marBottom w:val="0"/>
          <w:divBdr>
            <w:top w:val="none" w:sz="0" w:space="0" w:color="auto"/>
            <w:left w:val="none" w:sz="0" w:space="0" w:color="auto"/>
            <w:bottom w:val="none" w:sz="0" w:space="0" w:color="auto"/>
            <w:right w:val="none" w:sz="0" w:space="0" w:color="auto"/>
          </w:divBdr>
        </w:div>
        <w:div w:id="1720783531">
          <w:marLeft w:val="640"/>
          <w:marRight w:val="0"/>
          <w:marTop w:val="0"/>
          <w:marBottom w:val="0"/>
          <w:divBdr>
            <w:top w:val="none" w:sz="0" w:space="0" w:color="auto"/>
            <w:left w:val="none" w:sz="0" w:space="0" w:color="auto"/>
            <w:bottom w:val="none" w:sz="0" w:space="0" w:color="auto"/>
            <w:right w:val="none" w:sz="0" w:space="0" w:color="auto"/>
          </w:divBdr>
        </w:div>
        <w:div w:id="969672483">
          <w:marLeft w:val="640"/>
          <w:marRight w:val="0"/>
          <w:marTop w:val="0"/>
          <w:marBottom w:val="0"/>
          <w:divBdr>
            <w:top w:val="none" w:sz="0" w:space="0" w:color="auto"/>
            <w:left w:val="none" w:sz="0" w:space="0" w:color="auto"/>
            <w:bottom w:val="none" w:sz="0" w:space="0" w:color="auto"/>
            <w:right w:val="none" w:sz="0" w:space="0" w:color="auto"/>
          </w:divBdr>
        </w:div>
        <w:div w:id="1238519586">
          <w:marLeft w:val="640"/>
          <w:marRight w:val="0"/>
          <w:marTop w:val="0"/>
          <w:marBottom w:val="0"/>
          <w:divBdr>
            <w:top w:val="none" w:sz="0" w:space="0" w:color="auto"/>
            <w:left w:val="none" w:sz="0" w:space="0" w:color="auto"/>
            <w:bottom w:val="none" w:sz="0" w:space="0" w:color="auto"/>
            <w:right w:val="none" w:sz="0" w:space="0" w:color="auto"/>
          </w:divBdr>
        </w:div>
        <w:div w:id="1758749989">
          <w:marLeft w:val="640"/>
          <w:marRight w:val="0"/>
          <w:marTop w:val="0"/>
          <w:marBottom w:val="0"/>
          <w:divBdr>
            <w:top w:val="none" w:sz="0" w:space="0" w:color="auto"/>
            <w:left w:val="none" w:sz="0" w:space="0" w:color="auto"/>
            <w:bottom w:val="none" w:sz="0" w:space="0" w:color="auto"/>
            <w:right w:val="none" w:sz="0" w:space="0" w:color="auto"/>
          </w:divBdr>
        </w:div>
        <w:div w:id="1964530399">
          <w:marLeft w:val="640"/>
          <w:marRight w:val="0"/>
          <w:marTop w:val="0"/>
          <w:marBottom w:val="0"/>
          <w:divBdr>
            <w:top w:val="none" w:sz="0" w:space="0" w:color="auto"/>
            <w:left w:val="none" w:sz="0" w:space="0" w:color="auto"/>
            <w:bottom w:val="none" w:sz="0" w:space="0" w:color="auto"/>
            <w:right w:val="none" w:sz="0" w:space="0" w:color="auto"/>
          </w:divBdr>
        </w:div>
        <w:div w:id="815800472">
          <w:marLeft w:val="640"/>
          <w:marRight w:val="0"/>
          <w:marTop w:val="0"/>
          <w:marBottom w:val="0"/>
          <w:divBdr>
            <w:top w:val="none" w:sz="0" w:space="0" w:color="auto"/>
            <w:left w:val="none" w:sz="0" w:space="0" w:color="auto"/>
            <w:bottom w:val="none" w:sz="0" w:space="0" w:color="auto"/>
            <w:right w:val="none" w:sz="0" w:space="0" w:color="auto"/>
          </w:divBdr>
        </w:div>
        <w:div w:id="1975981617">
          <w:marLeft w:val="640"/>
          <w:marRight w:val="0"/>
          <w:marTop w:val="0"/>
          <w:marBottom w:val="0"/>
          <w:divBdr>
            <w:top w:val="none" w:sz="0" w:space="0" w:color="auto"/>
            <w:left w:val="none" w:sz="0" w:space="0" w:color="auto"/>
            <w:bottom w:val="none" w:sz="0" w:space="0" w:color="auto"/>
            <w:right w:val="none" w:sz="0" w:space="0" w:color="auto"/>
          </w:divBdr>
        </w:div>
        <w:div w:id="1444809291">
          <w:marLeft w:val="640"/>
          <w:marRight w:val="0"/>
          <w:marTop w:val="0"/>
          <w:marBottom w:val="0"/>
          <w:divBdr>
            <w:top w:val="none" w:sz="0" w:space="0" w:color="auto"/>
            <w:left w:val="none" w:sz="0" w:space="0" w:color="auto"/>
            <w:bottom w:val="none" w:sz="0" w:space="0" w:color="auto"/>
            <w:right w:val="none" w:sz="0" w:space="0" w:color="auto"/>
          </w:divBdr>
        </w:div>
        <w:div w:id="1768496529">
          <w:marLeft w:val="640"/>
          <w:marRight w:val="0"/>
          <w:marTop w:val="0"/>
          <w:marBottom w:val="0"/>
          <w:divBdr>
            <w:top w:val="none" w:sz="0" w:space="0" w:color="auto"/>
            <w:left w:val="none" w:sz="0" w:space="0" w:color="auto"/>
            <w:bottom w:val="none" w:sz="0" w:space="0" w:color="auto"/>
            <w:right w:val="none" w:sz="0" w:space="0" w:color="auto"/>
          </w:divBdr>
        </w:div>
        <w:div w:id="1485707144">
          <w:marLeft w:val="640"/>
          <w:marRight w:val="0"/>
          <w:marTop w:val="0"/>
          <w:marBottom w:val="0"/>
          <w:divBdr>
            <w:top w:val="none" w:sz="0" w:space="0" w:color="auto"/>
            <w:left w:val="none" w:sz="0" w:space="0" w:color="auto"/>
            <w:bottom w:val="none" w:sz="0" w:space="0" w:color="auto"/>
            <w:right w:val="none" w:sz="0" w:space="0" w:color="auto"/>
          </w:divBdr>
        </w:div>
        <w:div w:id="1432386879">
          <w:marLeft w:val="640"/>
          <w:marRight w:val="0"/>
          <w:marTop w:val="0"/>
          <w:marBottom w:val="0"/>
          <w:divBdr>
            <w:top w:val="none" w:sz="0" w:space="0" w:color="auto"/>
            <w:left w:val="none" w:sz="0" w:space="0" w:color="auto"/>
            <w:bottom w:val="none" w:sz="0" w:space="0" w:color="auto"/>
            <w:right w:val="none" w:sz="0" w:space="0" w:color="auto"/>
          </w:divBdr>
        </w:div>
        <w:div w:id="428434568">
          <w:marLeft w:val="640"/>
          <w:marRight w:val="0"/>
          <w:marTop w:val="0"/>
          <w:marBottom w:val="0"/>
          <w:divBdr>
            <w:top w:val="none" w:sz="0" w:space="0" w:color="auto"/>
            <w:left w:val="none" w:sz="0" w:space="0" w:color="auto"/>
            <w:bottom w:val="none" w:sz="0" w:space="0" w:color="auto"/>
            <w:right w:val="none" w:sz="0" w:space="0" w:color="auto"/>
          </w:divBdr>
        </w:div>
        <w:div w:id="1511605054">
          <w:marLeft w:val="640"/>
          <w:marRight w:val="0"/>
          <w:marTop w:val="0"/>
          <w:marBottom w:val="0"/>
          <w:divBdr>
            <w:top w:val="none" w:sz="0" w:space="0" w:color="auto"/>
            <w:left w:val="none" w:sz="0" w:space="0" w:color="auto"/>
            <w:bottom w:val="none" w:sz="0" w:space="0" w:color="auto"/>
            <w:right w:val="none" w:sz="0" w:space="0" w:color="auto"/>
          </w:divBdr>
        </w:div>
        <w:div w:id="1017540195">
          <w:marLeft w:val="640"/>
          <w:marRight w:val="0"/>
          <w:marTop w:val="0"/>
          <w:marBottom w:val="0"/>
          <w:divBdr>
            <w:top w:val="none" w:sz="0" w:space="0" w:color="auto"/>
            <w:left w:val="none" w:sz="0" w:space="0" w:color="auto"/>
            <w:bottom w:val="none" w:sz="0" w:space="0" w:color="auto"/>
            <w:right w:val="none" w:sz="0" w:space="0" w:color="auto"/>
          </w:divBdr>
        </w:div>
        <w:div w:id="2010057151">
          <w:marLeft w:val="640"/>
          <w:marRight w:val="0"/>
          <w:marTop w:val="0"/>
          <w:marBottom w:val="0"/>
          <w:divBdr>
            <w:top w:val="none" w:sz="0" w:space="0" w:color="auto"/>
            <w:left w:val="none" w:sz="0" w:space="0" w:color="auto"/>
            <w:bottom w:val="none" w:sz="0" w:space="0" w:color="auto"/>
            <w:right w:val="none" w:sz="0" w:space="0" w:color="auto"/>
          </w:divBdr>
        </w:div>
        <w:div w:id="1875851281">
          <w:marLeft w:val="640"/>
          <w:marRight w:val="0"/>
          <w:marTop w:val="0"/>
          <w:marBottom w:val="0"/>
          <w:divBdr>
            <w:top w:val="none" w:sz="0" w:space="0" w:color="auto"/>
            <w:left w:val="none" w:sz="0" w:space="0" w:color="auto"/>
            <w:bottom w:val="none" w:sz="0" w:space="0" w:color="auto"/>
            <w:right w:val="none" w:sz="0" w:space="0" w:color="auto"/>
          </w:divBdr>
        </w:div>
        <w:div w:id="1956864065">
          <w:marLeft w:val="640"/>
          <w:marRight w:val="0"/>
          <w:marTop w:val="0"/>
          <w:marBottom w:val="0"/>
          <w:divBdr>
            <w:top w:val="none" w:sz="0" w:space="0" w:color="auto"/>
            <w:left w:val="none" w:sz="0" w:space="0" w:color="auto"/>
            <w:bottom w:val="none" w:sz="0" w:space="0" w:color="auto"/>
            <w:right w:val="none" w:sz="0" w:space="0" w:color="auto"/>
          </w:divBdr>
        </w:div>
        <w:div w:id="1238399349">
          <w:marLeft w:val="640"/>
          <w:marRight w:val="0"/>
          <w:marTop w:val="0"/>
          <w:marBottom w:val="0"/>
          <w:divBdr>
            <w:top w:val="none" w:sz="0" w:space="0" w:color="auto"/>
            <w:left w:val="none" w:sz="0" w:space="0" w:color="auto"/>
            <w:bottom w:val="none" w:sz="0" w:space="0" w:color="auto"/>
            <w:right w:val="none" w:sz="0" w:space="0" w:color="auto"/>
          </w:divBdr>
        </w:div>
        <w:div w:id="1010985894">
          <w:marLeft w:val="640"/>
          <w:marRight w:val="0"/>
          <w:marTop w:val="0"/>
          <w:marBottom w:val="0"/>
          <w:divBdr>
            <w:top w:val="none" w:sz="0" w:space="0" w:color="auto"/>
            <w:left w:val="none" w:sz="0" w:space="0" w:color="auto"/>
            <w:bottom w:val="none" w:sz="0" w:space="0" w:color="auto"/>
            <w:right w:val="none" w:sz="0" w:space="0" w:color="auto"/>
          </w:divBdr>
        </w:div>
        <w:div w:id="2029597051">
          <w:marLeft w:val="640"/>
          <w:marRight w:val="0"/>
          <w:marTop w:val="0"/>
          <w:marBottom w:val="0"/>
          <w:divBdr>
            <w:top w:val="none" w:sz="0" w:space="0" w:color="auto"/>
            <w:left w:val="none" w:sz="0" w:space="0" w:color="auto"/>
            <w:bottom w:val="none" w:sz="0" w:space="0" w:color="auto"/>
            <w:right w:val="none" w:sz="0" w:space="0" w:color="auto"/>
          </w:divBdr>
        </w:div>
        <w:div w:id="1177303244">
          <w:marLeft w:val="640"/>
          <w:marRight w:val="0"/>
          <w:marTop w:val="0"/>
          <w:marBottom w:val="0"/>
          <w:divBdr>
            <w:top w:val="none" w:sz="0" w:space="0" w:color="auto"/>
            <w:left w:val="none" w:sz="0" w:space="0" w:color="auto"/>
            <w:bottom w:val="none" w:sz="0" w:space="0" w:color="auto"/>
            <w:right w:val="none" w:sz="0" w:space="0" w:color="auto"/>
          </w:divBdr>
        </w:div>
        <w:div w:id="2082095822">
          <w:marLeft w:val="640"/>
          <w:marRight w:val="0"/>
          <w:marTop w:val="0"/>
          <w:marBottom w:val="0"/>
          <w:divBdr>
            <w:top w:val="none" w:sz="0" w:space="0" w:color="auto"/>
            <w:left w:val="none" w:sz="0" w:space="0" w:color="auto"/>
            <w:bottom w:val="none" w:sz="0" w:space="0" w:color="auto"/>
            <w:right w:val="none" w:sz="0" w:space="0" w:color="auto"/>
          </w:divBdr>
        </w:div>
        <w:div w:id="120195231">
          <w:marLeft w:val="640"/>
          <w:marRight w:val="0"/>
          <w:marTop w:val="0"/>
          <w:marBottom w:val="0"/>
          <w:divBdr>
            <w:top w:val="none" w:sz="0" w:space="0" w:color="auto"/>
            <w:left w:val="none" w:sz="0" w:space="0" w:color="auto"/>
            <w:bottom w:val="none" w:sz="0" w:space="0" w:color="auto"/>
            <w:right w:val="none" w:sz="0" w:space="0" w:color="auto"/>
          </w:divBdr>
        </w:div>
        <w:div w:id="991256435">
          <w:marLeft w:val="640"/>
          <w:marRight w:val="0"/>
          <w:marTop w:val="0"/>
          <w:marBottom w:val="0"/>
          <w:divBdr>
            <w:top w:val="none" w:sz="0" w:space="0" w:color="auto"/>
            <w:left w:val="none" w:sz="0" w:space="0" w:color="auto"/>
            <w:bottom w:val="none" w:sz="0" w:space="0" w:color="auto"/>
            <w:right w:val="none" w:sz="0" w:space="0" w:color="auto"/>
          </w:divBdr>
        </w:div>
        <w:div w:id="1863783321">
          <w:marLeft w:val="640"/>
          <w:marRight w:val="0"/>
          <w:marTop w:val="0"/>
          <w:marBottom w:val="0"/>
          <w:divBdr>
            <w:top w:val="none" w:sz="0" w:space="0" w:color="auto"/>
            <w:left w:val="none" w:sz="0" w:space="0" w:color="auto"/>
            <w:bottom w:val="none" w:sz="0" w:space="0" w:color="auto"/>
            <w:right w:val="none" w:sz="0" w:space="0" w:color="auto"/>
          </w:divBdr>
        </w:div>
        <w:div w:id="1690837880">
          <w:marLeft w:val="640"/>
          <w:marRight w:val="0"/>
          <w:marTop w:val="0"/>
          <w:marBottom w:val="0"/>
          <w:divBdr>
            <w:top w:val="none" w:sz="0" w:space="0" w:color="auto"/>
            <w:left w:val="none" w:sz="0" w:space="0" w:color="auto"/>
            <w:bottom w:val="none" w:sz="0" w:space="0" w:color="auto"/>
            <w:right w:val="none" w:sz="0" w:space="0" w:color="auto"/>
          </w:divBdr>
        </w:div>
        <w:div w:id="1456486237">
          <w:marLeft w:val="640"/>
          <w:marRight w:val="0"/>
          <w:marTop w:val="0"/>
          <w:marBottom w:val="0"/>
          <w:divBdr>
            <w:top w:val="none" w:sz="0" w:space="0" w:color="auto"/>
            <w:left w:val="none" w:sz="0" w:space="0" w:color="auto"/>
            <w:bottom w:val="none" w:sz="0" w:space="0" w:color="auto"/>
            <w:right w:val="none" w:sz="0" w:space="0" w:color="auto"/>
          </w:divBdr>
        </w:div>
        <w:div w:id="2032031984">
          <w:marLeft w:val="640"/>
          <w:marRight w:val="0"/>
          <w:marTop w:val="0"/>
          <w:marBottom w:val="0"/>
          <w:divBdr>
            <w:top w:val="none" w:sz="0" w:space="0" w:color="auto"/>
            <w:left w:val="none" w:sz="0" w:space="0" w:color="auto"/>
            <w:bottom w:val="none" w:sz="0" w:space="0" w:color="auto"/>
            <w:right w:val="none" w:sz="0" w:space="0" w:color="auto"/>
          </w:divBdr>
        </w:div>
        <w:div w:id="252057731">
          <w:marLeft w:val="640"/>
          <w:marRight w:val="0"/>
          <w:marTop w:val="0"/>
          <w:marBottom w:val="0"/>
          <w:divBdr>
            <w:top w:val="none" w:sz="0" w:space="0" w:color="auto"/>
            <w:left w:val="none" w:sz="0" w:space="0" w:color="auto"/>
            <w:bottom w:val="none" w:sz="0" w:space="0" w:color="auto"/>
            <w:right w:val="none" w:sz="0" w:space="0" w:color="auto"/>
          </w:divBdr>
        </w:div>
        <w:div w:id="2044552774">
          <w:marLeft w:val="640"/>
          <w:marRight w:val="0"/>
          <w:marTop w:val="0"/>
          <w:marBottom w:val="0"/>
          <w:divBdr>
            <w:top w:val="none" w:sz="0" w:space="0" w:color="auto"/>
            <w:left w:val="none" w:sz="0" w:space="0" w:color="auto"/>
            <w:bottom w:val="none" w:sz="0" w:space="0" w:color="auto"/>
            <w:right w:val="none" w:sz="0" w:space="0" w:color="auto"/>
          </w:divBdr>
        </w:div>
        <w:div w:id="1089888370">
          <w:marLeft w:val="640"/>
          <w:marRight w:val="0"/>
          <w:marTop w:val="0"/>
          <w:marBottom w:val="0"/>
          <w:divBdr>
            <w:top w:val="none" w:sz="0" w:space="0" w:color="auto"/>
            <w:left w:val="none" w:sz="0" w:space="0" w:color="auto"/>
            <w:bottom w:val="none" w:sz="0" w:space="0" w:color="auto"/>
            <w:right w:val="none" w:sz="0" w:space="0" w:color="auto"/>
          </w:divBdr>
        </w:div>
        <w:div w:id="462694812">
          <w:marLeft w:val="640"/>
          <w:marRight w:val="0"/>
          <w:marTop w:val="0"/>
          <w:marBottom w:val="0"/>
          <w:divBdr>
            <w:top w:val="none" w:sz="0" w:space="0" w:color="auto"/>
            <w:left w:val="none" w:sz="0" w:space="0" w:color="auto"/>
            <w:bottom w:val="none" w:sz="0" w:space="0" w:color="auto"/>
            <w:right w:val="none" w:sz="0" w:space="0" w:color="auto"/>
          </w:divBdr>
        </w:div>
        <w:div w:id="1690713443">
          <w:marLeft w:val="640"/>
          <w:marRight w:val="0"/>
          <w:marTop w:val="0"/>
          <w:marBottom w:val="0"/>
          <w:divBdr>
            <w:top w:val="none" w:sz="0" w:space="0" w:color="auto"/>
            <w:left w:val="none" w:sz="0" w:space="0" w:color="auto"/>
            <w:bottom w:val="none" w:sz="0" w:space="0" w:color="auto"/>
            <w:right w:val="none" w:sz="0" w:space="0" w:color="auto"/>
          </w:divBdr>
        </w:div>
        <w:div w:id="248392140">
          <w:marLeft w:val="640"/>
          <w:marRight w:val="0"/>
          <w:marTop w:val="0"/>
          <w:marBottom w:val="0"/>
          <w:divBdr>
            <w:top w:val="none" w:sz="0" w:space="0" w:color="auto"/>
            <w:left w:val="none" w:sz="0" w:space="0" w:color="auto"/>
            <w:bottom w:val="none" w:sz="0" w:space="0" w:color="auto"/>
            <w:right w:val="none" w:sz="0" w:space="0" w:color="auto"/>
          </w:divBdr>
        </w:div>
        <w:div w:id="500120066">
          <w:marLeft w:val="640"/>
          <w:marRight w:val="0"/>
          <w:marTop w:val="0"/>
          <w:marBottom w:val="0"/>
          <w:divBdr>
            <w:top w:val="none" w:sz="0" w:space="0" w:color="auto"/>
            <w:left w:val="none" w:sz="0" w:space="0" w:color="auto"/>
            <w:bottom w:val="none" w:sz="0" w:space="0" w:color="auto"/>
            <w:right w:val="none" w:sz="0" w:space="0" w:color="auto"/>
          </w:divBdr>
        </w:div>
        <w:div w:id="2004971707">
          <w:marLeft w:val="640"/>
          <w:marRight w:val="0"/>
          <w:marTop w:val="0"/>
          <w:marBottom w:val="0"/>
          <w:divBdr>
            <w:top w:val="none" w:sz="0" w:space="0" w:color="auto"/>
            <w:left w:val="none" w:sz="0" w:space="0" w:color="auto"/>
            <w:bottom w:val="none" w:sz="0" w:space="0" w:color="auto"/>
            <w:right w:val="none" w:sz="0" w:space="0" w:color="auto"/>
          </w:divBdr>
        </w:div>
        <w:div w:id="1841962735">
          <w:marLeft w:val="640"/>
          <w:marRight w:val="0"/>
          <w:marTop w:val="0"/>
          <w:marBottom w:val="0"/>
          <w:divBdr>
            <w:top w:val="none" w:sz="0" w:space="0" w:color="auto"/>
            <w:left w:val="none" w:sz="0" w:space="0" w:color="auto"/>
            <w:bottom w:val="none" w:sz="0" w:space="0" w:color="auto"/>
            <w:right w:val="none" w:sz="0" w:space="0" w:color="auto"/>
          </w:divBdr>
        </w:div>
        <w:div w:id="1332757384">
          <w:marLeft w:val="640"/>
          <w:marRight w:val="0"/>
          <w:marTop w:val="0"/>
          <w:marBottom w:val="0"/>
          <w:divBdr>
            <w:top w:val="none" w:sz="0" w:space="0" w:color="auto"/>
            <w:left w:val="none" w:sz="0" w:space="0" w:color="auto"/>
            <w:bottom w:val="none" w:sz="0" w:space="0" w:color="auto"/>
            <w:right w:val="none" w:sz="0" w:space="0" w:color="auto"/>
          </w:divBdr>
        </w:div>
        <w:div w:id="1476490413">
          <w:marLeft w:val="640"/>
          <w:marRight w:val="0"/>
          <w:marTop w:val="0"/>
          <w:marBottom w:val="0"/>
          <w:divBdr>
            <w:top w:val="none" w:sz="0" w:space="0" w:color="auto"/>
            <w:left w:val="none" w:sz="0" w:space="0" w:color="auto"/>
            <w:bottom w:val="none" w:sz="0" w:space="0" w:color="auto"/>
            <w:right w:val="none" w:sz="0" w:space="0" w:color="auto"/>
          </w:divBdr>
        </w:div>
        <w:div w:id="825322730">
          <w:marLeft w:val="640"/>
          <w:marRight w:val="0"/>
          <w:marTop w:val="0"/>
          <w:marBottom w:val="0"/>
          <w:divBdr>
            <w:top w:val="none" w:sz="0" w:space="0" w:color="auto"/>
            <w:left w:val="none" w:sz="0" w:space="0" w:color="auto"/>
            <w:bottom w:val="none" w:sz="0" w:space="0" w:color="auto"/>
            <w:right w:val="none" w:sz="0" w:space="0" w:color="auto"/>
          </w:divBdr>
        </w:div>
        <w:div w:id="1657029870">
          <w:marLeft w:val="640"/>
          <w:marRight w:val="0"/>
          <w:marTop w:val="0"/>
          <w:marBottom w:val="0"/>
          <w:divBdr>
            <w:top w:val="none" w:sz="0" w:space="0" w:color="auto"/>
            <w:left w:val="none" w:sz="0" w:space="0" w:color="auto"/>
            <w:bottom w:val="none" w:sz="0" w:space="0" w:color="auto"/>
            <w:right w:val="none" w:sz="0" w:space="0" w:color="auto"/>
          </w:divBdr>
        </w:div>
        <w:div w:id="66269212">
          <w:marLeft w:val="640"/>
          <w:marRight w:val="0"/>
          <w:marTop w:val="0"/>
          <w:marBottom w:val="0"/>
          <w:divBdr>
            <w:top w:val="none" w:sz="0" w:space="0" w:color="auto"/>
            <w:left w:val="none" w:sz="0" w:space="0" w:color="auto"/>
            <w:bottom w:val="none" w:sz="0" w:space="0" w:color="auto"/>
            <w:right w:val="none" w:sz="0" w:space="0" w:color="auto"/>
          </w:divBdr>
        </w:div>
        <w:div w:id="697896072">
          <w:marLeft w:val="640"/>
          <w:marRight w:val="0"/>
          <w:marTop w:val="0"/>
          <w:marBottom w:val="0"/>
          <w:divBdr>
            <w:top w:val="none" w:sz="0" w:space="0" w:color="auto"/>
            <w:left w:val="none" w:sz="0" w:space="0" w:color="auto"/>
            <w:bottom w:val="none" w:sz="0" w:space="0" w:color="auto"/>
            <w:right w:val="none" w:sz="0" w:space="0" w:color="auto"/>
          </w:divBdr>
        </w:div>
        <w:div w:id="1482849261">
          <w:marLeft w:val="640"/>
          <w:marRight w:val="0"/>
          <w:marTop w:val="0"/>
          <w:marBottom w:val="0"/>
          <w:divBdr>
            <w:top w:val="none" w:sz="0" w:space="0" w:color="auto"/>
            <w:left w:val="none" w:sz="0" w:space="0" w:color="auto"/>
            <w:bottom w:val="none" w:sz="0" w:space="0" w:color="auto"/>
            <w:right w:val="none" w:sz="0" w:space="0" w:color="auto"/>
          </w:divBdr>
        </w:div>
        <w:div w:id="1925607706">
          <w:marLeft w:val="640"/>
          <w:marRight w:val="0"/>
          <w:marTop w:val="0"/>
          <w:marBottom w:val="0"/>
          <w:divBdr>
            <w:top w:val="none" w:sz="0" w:space="0" w:color="auto"/>
            <w:left w:val="none" w:sz="0" w:space="0" w:color="auto"/>
            <w:bottom w:val="none" w:sz="0" w:space="0" w:color="auto"/>
            <w:right w:val="none" w:sz="0" w:space="0" w:color="auto"/>
          </w:divBdr>
        </w:div>
        <w:div w:id="658122439">
          <w:marLeft w:val="640"/>
          <w:marRight w:val="0"/>
          <w:marTop w:val="0"/>
          <w:marBottom w:val="0"/>
          <w:divBdr>
            <w:top w:val="none" w:sz="0" w:space="0" w:color="auto"/>
            <w:left w:val="none" w:sz="0" w:space="0" w:color="auto"/>
            <w:bottom w:val="none" w:sz="0" w:space="0" w:color="auto"/>
            <w:right w:val="none" w:sz="0" w:space="0" w:color="auto"/>
          </w:divBdr>
        </w:div>
        <w:div w:id="891307120">
          <w:marLeft w:val="640"/>
          <w:marRight w:val="0"/>
          <w:marTop w:val="0"/>
          <w:marBottom w:val="0"/>
          <w:divBdr>
            <w:top w:val="none" w:sz="0" w:space="0" w:color="auto"/>
            <w:left w:val="none" w:sz="0" w:space="0" w:color="auto"/>
            <w:bottom w:val="none" w:sz="0" w:space="0" w:color="auto"/>
            <w:right w:val="none" w:sz="0" w:space="0" w:color="auto"/>
          </w:divBdr>
        </w:div>
        <w:div w:id="223488621">
          <w:marLeft w:val="640"/>
          <w:marRight w:val="0"/>
          <w:marTop w:val="0"/>
          <w:marBottom w:val="0"/>
          <w:divBdr>
            <w:top w:val="none" w:sz="0" w:space="0" w:color="auto"/>
            <w:left w:val="none" w:sz="0" w:space="0" w:color="auto"/>
            <w:bottom w:val="none" w:sz="0" w:space="0" w:color="auto"/>
            <w:right w:val="none" w:sz="0" w:space="0" w:color="auto"/>
          </w:divBdr>
        </w:div>
        <w:div w:id="625234473">
          <w:marLeft w:val="640"/>
          <w:marRight w:val="0"/>
          <w:marTop w:val="0"/>
          <w:marBottom w:val="0"/>
          <w:divBdr>
            <w:top w:val="none" w:sz="0" w:space="0" w:color="auto"/>
            <w:left w:val="none" w:sz="0" w:space="0" w:color="auto"/>
            <w:bottom w:val="none" w:sz="0" w:space="0" w:color="auto"/>
            <w:right w:val="none" w:sz="0" w:space="0" w:color="auto"/>
          </w:divBdr>
        </w:div>
        <w:div w:id="189221687">
          <w:marLeft w:val="640"/>
          <w:marRight w:val="0"/>
          <w:marTop w:val="0"/>
          <w:marBottom w:val="0"/>
          <w:divBdr>
            <w:top w:val="none" w:sz="0" w:space="0" w:color="auto"/>
            <w:left w:val="none" w:sz="0" w:space="0" w:color="auto"/>
            <w:bottom w:val="none" w:sz="0" w:space="0" w:color="auto"/>
            <w:right w:val="none" w:sz="0" w:space="0" w:color="auto"/>
          </w:divBdr>
        </w:div>
        <w:div w:id="610285400">
          <w:marLeft w:val="640"/>
          <w:marRight w:val="0"/>
          <w:marTop w:val="0"/>
          <w:marBottom w:val="0"/>
          <w:divBdr>
            <w:top w:val="none" w:sz="0" w:space="0" w:color="auto"/>
            <w:left w:val="none" w:sz="0" w:space="0" w:color="auto"/>
            <w:bottom w:val="none" w:sz="0" w:space="0" w:color="auto"/>
            <w:right w:val="none" w:sz="0" w:space="0" w:color="auto"/>
          </w:divBdr>
        </w:div>
        <w:div w:id="1438021085">
          <w:marLeft w:val="640"/>
          <w:marRight w:val="0"/>
          <w:marTop w:val="0"/>
          <w:marBottom w:val="0"/>
          <w:divBdr>
            <w:top w:val="none" w:sz="0" w:space="0" w:color="auto"/>
            <w:left w:val="none" w:sz="0" w:space="0" w:color="auto"/>
            <w:bottom w:val="none" w:sz="0" w:space="0" w:color="auto"/>
            <w:right w:val="none" w:sz="0" w:space="0" w:color="auto"/>
          </w:divBdr>
        </w:div>
        <w:div w:id="1196768772">
          <w:marLeft w:val="640"/>
          <w:marRight w:val="0"/>
          <w:marTop w:val="0"/>
          <w:marBottom w:val="0"/>
          <w:divBdr>
            <w:top w:val="none" w:sz="0" w:space="0" w:color="auto"/>
            <w:left w:val="none" w:sz="0" w:space="0" w:color="auto"/>
            <w:bottom w:val="none" w:sz="0" w:space="0" w:color="auto"/>
            <w:right w:val="none" w:sz="0" w:space="0" w:color="auto"/>
          </w:divBdr>
        </w:div>
        <w:div w:id="1067343491">
          <w:marLeft w:val="640"/>
          <w:marRight w:val="0"/>
          <w:marTop w:val="0"/>
          <w:marBottom w:val="0"/>
          <w:divBdr>
            <w:top w:val="none" w:sz="0" w:space="0" w:color="auto"/>
            <w:left w:val="none" w:sz="0" w:space="0" w:color="auto"/>
            <w:bottom w:val="none" w:sz="0" w:space="0" w:color="auto"/>
            <w:right w:val="none" w:sz="0" w:space="0" w:color="auto"/>
          </w:divBdr>
        </w:div>
        <w:div w:id="2049136068">
          <w:marLeft w:val="640"/>
          <w:marRight w:val="0"/>
          <w:marTop w:val="0"/>
          <w:marBottom w:val="0"/>
          <w:divBdr>
            <w:top w:val="none" w:sz="0" w:space="0" w:color="auto"/>
            <w:left w:val="none" w:sz="0" w:space="0" w:color="auto"/>
            <w:bottom w:val="none" w:sz="0" w:space="0" w:color="auto"/>
            <w:right w:val="none" w:sz="0" w:space="0" w:color="auto"/>
          </w:divBdr>
        </w:div>
        <w:div w:id="1683117994">
          <w:marLeft w:val="640"/>
          <w:marRight w:val="0"/>
          <w:marTop w:val="0"/>
          <w:marBottom w:val="0"/>
          <w:divBdr>
            <w:top w:val="none" w:sz="0" w:space="0" w:color="auto"/>
            <w:left w:val="none" w:sz="0" w:space="0" w:color="auto"/>
            <w:bottom w:val="none" w:sz="0" w:space="0" w:color="auto"/>
            <w:right w:val="none" w:sz="0" w:space="0" w:color="auto"/>
          </w:divBdr>
        </w:div>
        <w:div w:id="924922226">
          <w:marLeft w:val="640"/>
          <w:marRight w:val="0"/>
          <w:marTop w:val="0"/>
          <w:marBottom w:val="0"/>
          <w:divBdr>
            <w:top w:val="none" w:sz="0" w:space="0" w:color="auto"/>
            <w:left w:val="none" w:sz="0" w:space="0" w:color="auto"/>
            <w:bottom w:val="none" w:sz="0" w:space="0" w:color="auto"/>
            <w:right w:val="none" w:sz="0" w:space="0" w:color="auto"/>
          </w:divBdr>
        </w:div>
        <w:div w:id="2095083669">
          <w:marLeft w:val="640"/>
          <w:marRight w:val="0"/>
          <w:marTop w:val="0"/>
          <w:marBottom w:val="0"/>
          <w:divBdr>
            <w:top w:val="none" w:sz="0" w:space="0" w:color="auto"/>
            <w:left w:val="none" w:sz="0" w:space="0" w:color="auto"/>
            <w:bottom w:val="none" w:sz="0" w:space="0" w:color="auto"/>
            <w:right w:val="none" w:sz="0" w:space="0" w:color="auto"/>
          </w:divBdr>
        </w:div>
        <w:div w:id="659307387">
          <w:marLeft w:val="640"/>
          <w:marRight w:val="0"/>
          <w:marTop w:val="0"/>
          <w:marBottom w:val="0"/>
          <w:divBdr>
            <w:top w:val="none" w:sz="0" w:space="0" w:color="auto"/>
            <w:left w:val="none" w:sz="0" w:space="0" w:color="auto"/>
            <w:bottom w:val="none" w:sz="0" w:space="0" w:color="auto"/>
            <w:right w:val="none" w:sz="0" w:space="0" w:color="auto"/>
          </w:divBdr>
        </w:div>
        <w:div w:id="2367077">
          <w:marLeft w:val="640"/>
          <w:marRight w:val="0"/>
          <w:marTop w:val="0"/>
          <w:marBottom w:val="0"/>
          <w:divBdr>
            <w:top w:val="none" w:sz="0" w:space="0" w:color="auto"/>
            <w:left w:val="none" w:sz="0" w:space="0" w:color="auto"/>
            <w:bottom w:val="none" w:sz="0" w:space="0" w:color="auto"/>
            <w:right w:val="none" w:sz="0" w:space="0" w:color="auto"/>
          </w:divBdr>
        </w:div>
        <w:div w:id="528227096">
          <w:marLeft w:val="640"/>
          <w:marRight w:val="0"/>
          <w:marTop w:val="0"/>
          <w:marBottom w:val="0"/>
          <w:divBdr>
            <w:top w:val="none" w:sz="0" w:space="0" w:color="auto"/>
            <w:left w:val="none" w:sz="0" w:space="0" w:color="auto"/>
            <w:bottom w:val="none" w:sz="0" w:space="0" w:color="auto"/>
            <w:right w:val="none" w:sz="0" w:space="0" w:color="auto"/>
          </w:divBdr>
        </w:div>
        <w:div w:id="97608885">
          <w:marLeft w:val="640"/>
          <w:marRight w:val="0"/>
          <w:marTop w:val="0"/>
          <w:marBottom w:val="0"/>
          <w:divBdr>
            <w:top w:val="none" w:sz="0" w:space="0" w:color="auto"/>
            <w:left w:val="none" w:sz="0" w:space="0" w:color="auto"/>
            <w:bottom w:val="none" w:sz="0" w:space="0" w:color="auto"/>
            <w:right w:val="none" w:sz="0" w:space="0" w:color="auto"/>
          </w:divBdr>
        </w:div>
        <w:div w:id="389307746">
          <w:marLeft w:val="640"/>
          <w:marRight w:val="0"/>
          <w:marTop w:val="0"/>
          <w:marBottom w:val="0"/>
          <w:divBdr>
            <w:top w:val="none" w:sz="0" w:space="0" w:color="auto"/>
            <w:left w:val="none" w:sz="0" w:space="0" w:color="auto"/>
            <w:bottom w:val="none" w:sz="0" w:space="0" w:color="auto"/>
            <w:right w:val="none" w:sz="0" w:space="0" w:color="auto"/>
          </w:divBdr>
        </w:div>
        <w:div w:id="212812303">
          <w:marLeft w:val="640"/>
          <w:marRight w:val="0"/>
          <w:marTop w:val="0"/>
          <w:marBottom w:val="0"/>
          <w:divBdr>
            <w:top w:val="none" w:sz="0" w:space="0" w:color="auto"/>
            <w:left w:val="none" w:sz="0" w:space="0" w:color="auto"/>
            <w:bottom w:val="none" w:sz="0" w:space="0" w:color="auto"/>
            <w:right w:val="none" w:sz="0" w:space="0" w:color="auto"/>
          </w:divBdr>
        </w:div>
        <w:div w:id="1500735040">
          <w:marLeft w:val="640"/>
          <w:marRight w:val="0"/>
          <w:marTop w:val="0"/>
          <w:marBottom w:val="0"/>
          <w:divBdr>
            <w:top w:val="none" w:sz="0" w:space="0" w:color="auto"/>
            <w:left w:val="none" w:sz="0" w:space="0" w:color="auto"/>
            <w:bottom w:val="none" w:sz="0" w:space="0" w:color="auto"/>
            <w:right w:val="none" w:sz="0" w:space="0" w:color="auto"/>
          </w:divBdr>
        </w:div>
        <w:div w:id="1093815480">
          <w:marLeft w:val="640"/>
          <w:marRight w:val="0"/>
          <w:marTop w:val="0"/>
          <w:marBottom w:val="0"/>
          <w:divBdr>
            <w:top w:val="none" w:sz="0" w:space="0" w:color="auto"/>
            <w:left w:val="none" w:sz="0" w:space="0" w:color="auto"/>
            <w:bottom w:val="none" w:sz="0" w:space="0" w:color="auto"/>
            <w:right w:val="none" w:sz="0" w:space="0" w:color="auto"/>
          </w:divBdr>
        </w:div>
        <w:div w:id="1222015306">
          <w:marLeft w:val="640"/>
          <w:marRight w:val="0"/>
          <w:marTop w:val="0"/>
          <w:marBottom w:val="0"/>
          <w:divBdr>
            <w:top w:val="none" w:sz="0" w:space="0" w:color="auto"/>
            <w:left w:val="none" w:sz="0" w:space="0" w:color="auto"/>
            <w:bottom w:val="none" w:sz="0" w:space="0" w:color="auto"/>
            <w:right w:val="none" w:sz="0" w:space="0" w:color="auto"/>
          </w:divBdr>
        </w:div>
        <w:div w:id="711465092">
          <w:marLeft w:val="640"/>
          <w:marRight w:val="0"/>
          <w:marTop w:val="0"/>
          <w:marBottom w:val="0"/>
          <w:divBdr>
            <w:top w:val="none" w:sz="0" w:space="0" w:color="auto"/>
            <w:left w:val="none" w:sz="0" w:space="0" w:color="auto"/>
            <w:bottom w:val="none" w:sz="0" w:space="0" w:color="auto"/>
            <w:right w:val="none" w:sz="0" w:space="0" w:color="auto"/>
          </w:divBdr>
        </w:div>
        <w:div w:id="217013684">
          <w:marLeft w:val="640"/>
          <w:marRight w:val="0"/>
          <w:marTop w:val="0"/>
          <w:marBottom w:val="0"/>
          <w:divBdr>
            <w:top w:val="none" w:sz="0" w:space="0" w:color="auto"/>
            <w:left w:val="none" w:sz="0" w:space="0" w:color="auto"/>
            <w:bottom w:val="none" w:sz="0" w:space="0" w:color="auto"/>
            <w:right w:val="none" w:sz="0" w:space="0" w:color="auto"/>
          </w:divBdr>
        </w:div>
        <w:div w:id="1754887924">
          <w:marLeft w:val="640"/>
          <w:marRight w:val="0"/>
          <w:marTop w:val="0"/>
          <w:marBottom w:val="0"/>
          <w:divBdr>
            <w:top w:val="none" w:sz="0" w:space="0" w:color="auto"/>
            <w:left w:val="none" w:sz="0" w:space="0" w:color="auto"/>
            <w:bottom w:val="none" w:sz="0" w:space="0" w:color="auto"/>
            <w:right w:val="none" w:sz="0" w:space="0" w:color="auto"/>
          </w:divBdr>
        </w:div>
        <w:div w:id="691030948">
          <w:marLeft w:val="640"/>
          <w:marRight w:val="0"/>
          <w:marTop w:val="0"/>
          <w:marBottom w:val="0"/>
          <w:divBdr>
            <w:top w:val="none" w:sz="0" w:space="0" w:color="auto"/>
            <w:left w:val="none" w:sz="0" w:space="0" w:color="auto"/>
            <w:bottom w:val="none" w:sz="0" w:space="0" w:color="auto"/>
            <w:right w:val="none" w:sz="0" w:space="0" w:color="auto"/>
          </w:divBdr>
        </w:div>
        <w:div w:id="1750153433">
          <w:marLeft w:val="640"/>
          <w:marRight w:val="0"/>
          <w:marTop w:val="0"/>
          <w:marBottom w:val="0"/>
          <w:divBdr>
            <w:top w:val="none" w:sz="0" w:space="0" w:color="auto"/>
            <w:left w:val="none" w:sz="0" w:space="0" w:color="auto"/>
            <w:bottom w:val="none" w:sz="0" w:space="0" w:color="auto"/>
            <w:right w:val="none" w:sz="0" w:space="0" w:color="auto"/>
          </w:divBdr>
        </w:div>
        <w:div w:id="73161728">
          <w:marLeft w:val="640"/>
          <w:marRight w:val="0"/>
          <w:marTop w:val="0"/>
          <w:marBottom w:val="0"/>
          <w:divBdr>
            <w:top w:val="none" w:sz="0" w:space="0" w:color="auto"/>
            <w:left w:val="none" w:sz="0" w:space="0" w:color="auto"/>
            <w:bottom w:val="none" w:sz="0" w:space="0" w:color="auto"/>
            <w:right w:val="none" w:sz="0" w:space="0" w:color="auto"/>
          </w:divBdr>
        </w:div>
        <w:div w:id="118379471">
          <w:marLeft w:val="640"/>
          <w:marRight w:val="0"/>
          <w:marTop w:val="0"/>
          <w:marBottom w:val="0"/>
          <w:divBdr>
            <w:top w:val="none" w:sz="0" w:space="0" w:color="auto"/>
            <w:left w:val="none" w:sz="0" w:space="0" w:color="auto"/>
            <w:bottom w:val="none" w:sz="0" w:space="0" w:color="auto"/>
            <w:right w:val="none" w:sz="0" w:space="0" w:color="auto"/>
          </w:divBdr>
        </w:div>
        <w:div w:id="1248030709">
          <w:marLeft w:val="640"/>
          <w:marRight w:val="0"/>
          <w:marTop w:val="0"/>
          <w:marBottom w:val="0"/>
          <w:divBdr>
            <w:top w:val="none" w:sz="0" w:space="0" w:color="auto"/>
            <w:left w:val="none" w:sz="0" w:space="0" w:color="auto"/>
            <w:bottom w:val="none" w:sz="0" w:space="0" w:color="auto"/>
            <w:right w:val="none" w:sz="0" w:space="0" w:color="auto"/>
          </w:divBdr>
        </w:div>
        <w:div w:id="757756682">
          <w:marLeft w:val="640"/>
          <w:marRight w:val="0"/>
          <w:marTop w:val="0"/>
          <w:marBottom w:val="0"/>
          <w:divBdr>
            <w:top w:val="none" w:sz="0" w:space="0" w:color="auto"/>
            <w:left w:val="none" w:sz="0" w:space="0" w:color="auto"/>
            <w:bottom w:val="none" w:sz="0" w:space="0" w:color="auto"/>
            <w:right w:val="none" w:sz="0" w:space="0" w:color="auto"/>
          </w:divBdr>
        </w:div>
        <w:div w:id="2118060645">
          <w:marLeft w:val="640"/>
          <w:marRight w:val="0"/>
          <w:marTop w:val="0"/>
          <w:marBottom w:val="0"/>
          <w:divBdr>
            <w:top w:val="none" w:sz="0" w:space="0" w:color="auto"/>
            <w:left w:val="none" w:sz="0" w:space="0" w:color="auto"/>
            <w:bottom w:val="none" w:sz="0" w:space="0" w:color="auto"/>
            <w:right w:val="none" w:sz="0" w:space="0" w:color="auto"/>
          </w:divBdr>
        </w:div>
        <w:div w:id="1426461574">
          <w:marLeft w:val="640"/>
          <w:marRight w:val="0"/>
          <w:marTop w:val="0"/>
          <w:marBottom w:val="0"/>
          <w:divBdr>
            <w:top w:val="none" w:sz="0" w:space="0" w:color="auto"/>
            <w:left w:val="none" w:sz="0" w:space="0" w:color="auto"/>
            <w:bottom w:val="none" w:sz="0" w:space="0" w:color="auto"/>
            <w:right w:val="none" w:sz="0" w:space="0" w:color="auto"/>
          </w:divBdr>
        </w:div>
        <w:div w:id="398284398">
          <w:marLeft w:val="640"/>
          <w:marRight w:val="0"/>
          <w:marTop w:val="0"/>
          <w:marBottom w:val="0"/>
          <w:divBdr>
            <w:top w:val="none" w:sz="0" w:space="0" w:color="auto"/>
            <w:left w:val="none" w:sz="0" w:space="0" w:color="auto"/>
            <w:bottom w:val="none" w:sz="0" w:space="0" w:color="auto"/>
            <w:right w:val="none" w:sz="0" w:space="0" w:color="auto"/>
          </w:divBdr>
        </w:div>
        <w:div w:id="1386873153">
          <w:marLeft w:val="640"/>
          <w:marRight w:val="0"/>
          <w:marTop w:val="0"/>
          <w:marBottom w:val="0"/>
          <w:divBdr>
            <w:top w:val="none" w:sz="0" w:space="0" w:color="auto"/>
            <w:left w:val="none" w:sz="0" w:space="0" w:color="auto"/>
            <w:bottom w:val="none" w:sz="0" w:space="0" w:color="auto"/>
            <w:right w:val="none" w:sz="0" w:space="0" w:color="auto"/>
          </w:divBdr>
        </w:div>
        <w:div w:id="505437878">
          <w:marLeft w:val="640"/>
          <w:marRight w:val="0"/>
          <w:marTop w:val="0"/>
          <w:marBottom w:val="0"/>
          <w:divBdr>
            <w:top w:val="none" w:sz="0" w:space="0" w:color="auto"/>
            <w:left w:val="none" w:sz="0" w:space="0" w:color="auto"/>
            <w:bottom w:val="none" w:sz="0" w:space="0" w:color="auto"/>
            <w:right w:val="none" w:sz="0" w:space="0" w:color="auto"/>
          </w:divBdr>
        </w:div>
        <w:div w:id="377165819">
          <w:marLeft w:val="640"/>
          <w:marRight w:val="0"/>
          <w:marTop w:val="0"/>
          <w:marBottom w:val="0"/>
          <w:divBdr>
            <w:top w:val="none" w:sz="0" w:space="0" w:color="auto"/>
            <w:left w:val="none" w:sz="0" w:space="0" w:color="auto"/>
            <w:bottom w:val="none" w:sz="0" w:space="0" w:color="auto"/>
            <w:right w:val="none" w:sz="0" w:space="0" w:color="auto"/>
          </w:divBdr>
        </w:div>
        <w:div w:id="189488698">
          <w:marLeft w:val="640"/>
          <w:marRight w:val="0"/>
          <w:marTop w:val="0"/>
          <w:marBottom w:val="0"/>
          <w:divBdr>
            <w:top w:val="none" w:sz="0" w:space="0" w:color="auto"/>
            <w:left w:val="none" w:sz="0" w:space="0" w:color="auto"/>
            <w:bottom w:val="none" w:sz="0" w:space="0" w:color="auto"/>
            <w:right w:val="none" w:sz="0" w:space="0" w:color="auto"/>
          </w:divBdr>
        </w:div>
        <w:div w:id="1914311592">
          <w:marLeft w:val="640"/>
          <w:marRight w:val="0"/>
          <w:marTop w:val="0"/>
          <w:marBottom w:val="0"/>
          <w:divBdr>
            <w:top w:val="none" w:sz="0" w:space="0" w:color="auto"/>
            <w:left w:val="none" w:sz="0" w:space="0" w:color="auto"/>
            <w:bottom w:val="none" w:sz="0" w:space="0" w:color="auto"/>
            <w:right w:val="none" w:sz="0" w:space="0" w:color="auto"/>
          </w:divBdr>
        </w:div>
        <w:div w:id="719748950">
          <w:marLeft w:val="640"/>
          <w:marRight w:val="0"/>
          <w:marTop w:val="0"/>
          <w:marBottom w:val="0"/>
          <w:divBdr>
            <w:top w:val="none" w:sz="0" w:space="0" w:color="auto"/>
            <w:left w:val="none" w:sz="0" w:space="0" w:color="auto"/>
            <w:bottom w:val="none" w:sz="0" w:space="0" w:color="auto"/>
            <w:right w:val="none" w:sz="0" w:space="0" w:color="auto"/>
          </w:divBdr>
        </w:div>
        <w:div w:id="707417450">
          <w:marLeft w:val="640"/>
          <w:marRight w:val="0"/>
          <w:marTop w:val="0"/>
          <w:marBottom w:val="0"/>
          <w:divBdr>
            <w:top w:val="none" w:sz="0" w:space="0" w:color="auto"/>
            <w:left w:val="none" w:sz="0" w:space="0" w:color="auto"/>
            <w:bottom w:val="none" w:sz="0" w:space="0" w:color="auto"/>
            <w:right w:val="none" w:sz="0" w:space="0" w:color="auto"/>
          </w:divBdr>
        </w:div>
        <w:div w:id="1971477217">
          <w:marLeft w:val="640"/>
          <w:marRight w:val="0"/>
          <w:marTop w:val="0"/>
          <w:marBottom w:val="0"/>
          <w:divBdr>
            <w:top w:val="none" w:sz="0" w:space="0" w:color="auto"/>
            <w:left w:val="none" w:sz="0" w:space="0" w:color="auto"/>
            <w:bottom w:val="none" w:sz="0" w:space="0" w:color="auto"/>
            <w:right w:val="none" w:sz="0" w:space="0" w:color="auto"/>
          </w:divBdr>
        </w:div>
        <w:div w:id="224486172">
          <w:marLeft w:val="640"/>
          <w:marRight w:val="0"/>
          <w:marTop w:val="0"/>
          <w:marBottom w:val="0"/>
          <w:divBdr>
            <w:top w:val="none" w:sz="0" w:space="0" w:color="auto"/>
            <w:left w:val="none" w:sz="0" w:space="0" w:color="auto"/>
            <w:bottom w:val="none" w:sz="0" w:space="0" w:color="auto"/>
            <w:right w:val="none" w:sz="0" w:space="0" w:color="auto"/>
          </w:divBdr>
        </w:div>
        <w:div w:id="1393774137">
          <w:marLeft w:val="640"/>
          <w:marRight w:val="0"/>
          <w:marTop w:val="0"/>
          <w:marBottom w:val="0"/>
          <w:divBdr>
            <w:top w:val="none" w:sz="0" w:space="0" w:color="auto"/>
            <w:left w:val="none" w:sz="0" w:space="0" w:color="auto"/>
            <w:bottom w:val="none" w:sz="0" w:space="0" w:color="auto"/>
            <w:right w:val="none" w:sz="0" w:space="0" w:color="auto"/>
          </w:divBdr>
        </w:div>
        <w:div w:id="136068754">
          <w:marLeft w:val="640"/>
          <w:marRight w:val="0"/>
          <w:marTop w:val="0"/>
          <w:marBottom w:val="0"/>
          <w:divBdr>
            <w:top w:val="none" w:sz="0" w:space="0" w:color="auto"/>
            <w:left w:val="none" w:sz="0" w:space="0" w:color="auto"/>
            <w:bottom w:val="none" w:sz="0" w:space="0" w:color="auto"/>
            <w:right w:val="none" w:sz="0" w:space="0" w:color="auto"/>
          </w:divBdr>
        </w:div>
        <w:div w:id="1921911593">
          <w:marLeft w:val="640"/>
          <w:marRight w:val="0"/>
          <w:marTop w:val="0"/>
          <w:marBottom w:val="0"/>
          <w:divBdr>
            <w:top w:val="none" w:sz="0" w:space="0" w:color="auto"/>
            <w:left w:val="none" w:sz="0" w:space="0" w:color="auto"/>
            <w:bottom w:val="none" w:sz="0" w:space="0" w:color="auto"/>
            <w:right w:val="none" w:sz="0" w:space="0" w:color="auto"/>
          </w:divBdr>
        </w:div>
        <w:div w:id="948704273">
          <w:marLeft w:val="640"/>
          <w:marRight w:val="0"/>
          <w:marTop w:val="0"/>
          <w:marBottom w:val="0"/>
          <w:divBdr>
            <w:top w:val="none" w:sz="0" w:space="0" w:color="auto"/>
            <w:left w:val="none" w:sz="0" w:space="0" w:color="auto"/>
            <w:bottom w:val="none" w:sz="0" w:space="0" w:color="auto"/>
            <w:right w:val="none" w:sz="0" w:space="0" w:color="auto"/>
          </w:divBdr>
        </w:div>
        <w:div w:id="1526402699">
          <w:marLeft w:val="640"/>
          <w:marRight w:val="0"/>
          <w:marTop w:val="0"/>
          <w:marBottom w:val="0"/>
          <w:divBdr>
            <w:top w:val="none" w:sz="0" w:space="0" w:color="auto"/>
            <w:left w:val="none" w:sz="0" w:space="0" w:color="auto"/>
            <w:bottom w:val="none" w:sz="0" w:space="0" w:color="auto"/>
            <w:right w:val="none" w:sz="0" w:space="0" w:color="auto"/>
          </w:divBdr>
        </w:div>
        <w:div w:id="2011322776">
          <w:marLeft w:val="640"/>
          <w:marRight w:val="0"/>
          <w:marTop w:val="0"/>
          <w:marBottom w:val="0"/>
          <w:divBdr>
            <w:top w:val="none" w:sz="0" w:space="0" w:color="auto"/>
            <w:left w:val="none" w:sz="0" w:space="0" w:color="auto"/>
            <w:bottom w:val="none" w:sz="0" w:space="0" w:color="auto"/>
            <w:right w:val="none" w:sz="0" w:space="0" w:color="auto"/>
          </w:divBdr>
        </w:div>
        <w:div w:id="1223248794">
          <w:marLeft w:val="640"/>
          <w:marRight w:val="0"/>
          <w:marTop w:val="0"/>
          <w:marBottom w:val="0"/>
          <w:divBdr>
            <w:top w:val="none" w:sz="0" w:space="0" w:color="auto"/>
            <w:left w:val="none" w:sz="0" w:space="0" w:color="auto"/>
            <w:bottom w:val="none" w:sz="0" w:space="0" w:color="auto"/>
            <w:right w:val="none" w:sz="0" w:space="0" w:color="auto"/>
          </w:divBdr>
        </w:div>
        <w:div w:id="1956400775">
          <w:marLeft w:val="640"/>
          <w:marRight w:val="0"/>
          <w:marTop w:val="0"/>
          <w:marBottom w:val="0"/>
          <w:divBdr>
            <w:top w:val="none" w:sz="0" w:space="0" w:color="auto"/>
            <w:left w:val="none" w:sz="0" w:space="0" w:color="auto"/>
            <w:bottom w:val="none" w:sz="0" w:space="0" w:color="auto"/>
            <w:right w:val="none" w:sz="0" w:space="0" w:color="auto"/>
          </w:divBdr>
        </w:div>
        <w:div w:id="512577822">
          <w:marLeft w:val="640"/>
          <w:marRight w:val="0"/>
          <w:marTop w:val="0"/>
          <w:marBottom w:val="0"/>
          <w:divBdr>
            <w:top w:val="none" w:sz="0" w:space="0" w:color="auto"/>
            <w:left w:val="none" w:sz="0" w:space="0" w:color="auto"/>
            <w:bottom w:val="none" w:sz="0" w:space="0" w:color="auto"/>
            <w:right w:val="none" w:sz="0" w:space="0" w:color="auto"/>
          </w:divBdr>
        </w:div>
        <w:div w:id="458308341">
          <w:marLeft w:val="640"/>
          <w:marRight w:val="0"/>
          <w:marTop w:val="0"/>
          <w:marBottom w:val="0"/>
          <w:divBdr>
            <w:top w:val="none" w:sz="0" w:space="0" w:color="auto"/>
            <w:left w:val="none" w:sz="0" w:space="0" w:color="auto"/>
            <w:bottom w:val="none" w:sz="0" w:space="0" w:color="auto"/>
            <w:right w:val="none" w:sz="0" w:space="0" w:color="auto"/>
          </w:divBdr>
        </w:div>
        <w:div w:id="1663851142">
          <w:marLeft w:val="640"/>
          <w:marRight w:val="0"/>
          <w:marTop w:val="0"/>
          <w:marBottom w:val="0"/>
          <w:divBdr>
            <w:top w:val="none" w:sz="0" w:space="0" w:color="auto"/>
            <w:left w:val="none" w:sz="0" w:space="0" w:color="auto"/>
            <w:bottom w:val="none" w:sz="0" w:space="0" w:color="auto"/>
            <w:right w:val="none" w:sz="0" w:space="0" w:color="auto"/>
          </w:divBdr>
        </w:div>
        <w:div w:id="1643652731">
          <w:marLeft w:val="640"/>
          <w:marRight w:val="0"/>
          <w:marTop w:val="0"/>
          <w:marBottom w:val="0"/>
          <w:divBdr>
            <w:top w:val="none" w:sz="0" w:space="0" w:color="auto"/>
            <w:left w:val="none" w:sz="0" w:space="0" w:color="auto"/>
            <w:bottom w:val="none" w:sz="0" w:space="0" w:color="auto"/>
            <w:right w:val="none" w:sz="0" w:space="0" w:color="auto"/>
          </w:divBdr>
        </w:div>
        <w:div w:id="1434787652">
          <w:marLeft w:val="640"/>
          <w:marRight w:val="0"/>
          <w:marTop w:val="0"/>
          <w:marBottom w:val="0"/>
          <w:divBdr>
            <w:top w:val="none" w:sz="0" w:space="0" w:color="auto"/>
            <w:left w:val="none" w:sz="0" w:space="0" w:color="auto"/>
            <w:bottom w:val="none" w:sz="0" w:space="0" w:color="auto"/>
            <w:right w:val="none" w:sz="0" w:space="0" w:color="auto"/>
          </w:divBdr>
        </w:div>
        <w:div w:id="165294784">
          <w:marLeft w:val="640"/>
          <w:marRight w:val="0"/>
          <w:marTop w:val="0"/>
          <w:marBottom w:val="0"/>
          <w:divBdr>
            <w:top w:val="none" w:sz="0" w:space="0" w:color="auto"/>
            <w:left w:val="none" w:sz="0" w:space="0" w:color="auto"/>
            <w:bottom w:val="none" w:sz="0" w:space="0" w:color="auto"/>
            <w:right w:val="none" w:sz="0" w:space="0" w:color="auto"/>
          </w:divBdr>
        </w:div>
        <w:div w:id="2141801196">
          <w:marLeft w:val="640"/>
          <w:marRight w:val="0"/>
          <w:marTop w:val="0"/>
          <w:marBottom w:val="0"/>
          <w:divBdr>
            <w:top w:val="none" w:sz="0" w:space="0" w:color="auto"/>
            <w:left w:val="none" w:sz="0" w:space="0" w:color="auto"/>
            <w:bottom w:val="none" w:sz="0" w:space="0" w:color="auto"/>
            <w:right w:val="none" w:sz="0" w:space="0" w:color="auto"/>
          </w:divBdr>
        </w:div>
        <w:div w:id="1565293232">
          <w:marLeft w:val="640"/>
          <w:marRight w:val="0"/>
          <w:marTop w:val="0"/>
          <w:marBottom w:val="0"/>
          <w:divBdr>
            <w:top w:val="none" w:sz="0" w:space="0" w:color="auto"/>
            <w:left w:val="none" w:sz="0" w:space="0" w:color="auto"/>
            <w:bottom w:val="none" w:sz="0" w:space="0" w:color="auto"/>
            <w:right w:val="none" w:sz="0" w:space="0" w:color="auto"/>
          </w:divBdr>
        </w:div>
        <w:div w:id="1614677653">
          <w:marLeft w:val="640"/>
          <w:marRight w:val="0"/>
          <w:marTop w:val="0"/>
          <w:marBottom w:val="0"/>
          <w:divBdr>
            <w:top w:val="none" w:sz="0" w:space="0" w:color="auto"/>
            <w:left w:val="none" w:sz="0" w:space="0" w:color="auto"/>
            <w:bottom w:val="none" w:sz="0" w:space="0" w:color="auto"/>
            <w:right w:val="none" w:sz="0" w:space="0" w:color="auto"/>
          </w:divBdr>
        </w:div>
        <w:div w:id="494344537">
          <w:marLeft w:val="640"/>
          <w:marRight w:val="0"/>
          <w:marTop w:val="0"/>
          <w:marBottom w:val="0"/>
          <w:divBdr>
            <w:top w:val="none" w:sz="0" w:space="0" w:color="auto"/>
            <w:left w:val="none" w:sz="0" w:space="0" w:color="auto"/>
            <w:bottom w:val="none" w:sz="0" w:space="0" w:color="auto"/>
            <w:right w:val="none" w:sz="0" w:space="0" w:color="auto"/>
          </w:divBdr>
        </w:div>
        <w:div w:id="137653756">
          <w:marLeft w:val="640"/>
          <w:marRight w:val="0"/>
          <w:marTop w:val="0"/>
          <w:marBottom w:val="0"/>
          <w:divBdr>
            <w:top w:val="none" w:sz="0" w:space="0" w:color="auto"/>
            <w:left w:val="none" w:sz="0" w:space="0" w:color="auto"/>
            <w:bottom w:val="none" w:sz="0" w:space="0" w:color="auto"/>
            <w:right w:val="none" w:sz="0" w:space="0" w:color="auto"/>
          </w:divBdr>
        </w:div>
        <w:div w:id="169486801">
          <w:marLeft w:val="640"/>
          <w:marRight w:val="0"/>
          <w:marTop w:val="0"/>
          <w:marBottom w:val="0"/>
          <w:divBdr>
            <w:top w:val="none" w:sz="0" w:space="0" w:color="auto"/>
            <w:left w:val="none" w:sz="0" w:space="0" w:color="auto"/>
            <w:bottom w:val="none" w:sz="0" w:space="0" w:color="auto"/>
            <w:right w:val="none" w:sz="0" w:space="0" w:color="auto"/>
          </w:divBdr>
        </w:div>
        <w:div w:id="1129937037">
          <w:marLeft w:val="640"/>
          <w:marRight w:val="0"/>
          <w:marTop w:val="0"/>
          <w:marBottom w:val="0"/>
          <w:divBdr>
            <w:top w:val="none" w:sz="0" w:space="0" w:color="auto"/>
            <w:left w:val="none" w:sz="0" w:space="0" w:color="auto"/>
            <w:bottom w:val="none" w:sz="0" w:space="0" w:color="auto"/>
            <w:right w:val="none" w:sz="0" w:space="0" w:color="auto"/>
          </w:divBdr>
        </w:div>
        <w:div w:id="1686201814">
          <w:marLeft w:val="640"/>
          <w:marRight w:val="0"/>
          <w:marTop w:val="0"/>
          <w:marBottom w:val="0"/>
          <w:divBdr>
            <w:top w:val="none" w:sz="0" w:space="0" w:color="auto"/>
            <w:left w:val="none" w:sz="0" w:space="0" w:color="auto"/>
            <w:bottom w:val="none" w:sz="0" w:space="0" w:color="auto"/>
            <w:right w:val="none" w:sz="0" w:space="0" w:color="auto"/>
          </w:divBdr>
        </w:div>
        <w:div w:id="1863858252">
          <w:marLeft w:val="640"/>
          <w:marRight w:val="0"/>
          <w:marTop w:val="0"/>
          <w:marBottom w:val="0"/>
          <w:divBdr>
            <w:top w:val="none" w:sz="0" w:space="0" w:color="auto"/>
            <w:left w:val="none" w:sz="0" w:space="0" w:color="auto"/>
            <w:bottom w:val="none" w:sz="0" w:space="0" w:color="auto"/>
            <w:right w:val="none" w:sz="0" w:space="0" w:color="auto"/>
          </w:divBdr>
        </w:div>
        <w:div w:id="1181240539">
          <w:marLeft w:val="640"/>
          <w:marRight w:val="0"/>
          <w:marTop w:val="0"/>
          <w:marBottom w:val="0"/>
          <w:divBdr>
            <w:top w:val="none" w:sz="0" w:space="0" w:color="auto"/>
            <w:left w:val="none" w:sz="0" w:space="0" w:color="auto"/>
            <w:bottom w:val="none" w:sz="0" w:space="0" w:color="auto"/>
            <w:right w:val="none" w:sz="0" w:space="0" w:color="auto"/>
          </w:divBdr>
        </w:div>
        <w:div w:id="2072266678">
          <w:marLeft w:val="640"/>
          <w:marRight w:val="0"/>
          <w:marTop w:val="0"/>
          <w:marBottom w:val="0"/>
          <w:divBdr>
            <w:top w:val="none" w:sz="0" w:space="0" w:color="auto"/>
            <w:left w:val="none" w:sz="0" w:space="0" w:color="auto"/>
            <w:bottom w:val="none" w:sz="0" w:space="0" w:color="auto"/>
            <w:right w:val="none" w:sz="0" w:space="0" w:color="auto"/>
          </w:divBdr>
        </w:div>
        <w:div w:id="569079141">
          <w:marLeft w:val="640"/>
          <w:marRight w:val="0"/>
          <w:marTop w:val="0"/>
          <w:marBottom w:val="0"/>
          <w:divBdr>
            <w:top w:val="none" w:sz="0" w:space="0" w:color="auto"/>
            <w:left w:val="none" w:sz="0" w:space="0" w:color="auto"/>
            <w:bottom w:val="none" w:sz="0" w:space="0" w:color="auto"/>
            <w:right w:val="none" w:sz="0" w:space="0" w:color="auto"/>
          </w:divBdr>
        </w:div>
        <w:div w:id="1320419891">
          <w:marLeft w:val="640"/>
          <w:marRight w:val="0"/>
          <w:marTop w:val="0"/>
          <w:marBottom w:val="0"/>
          <w:divBdr>
            <w:top w:val="none" w:sz="0" w:space="0" w:color="auto"/>
            <w:left w:val="none" w:sz="0" w:space="0" w:color="auto"/>
            <w:bottom w:val="none" w:sz="0" w:space="0" w:color="auto"/>
            <w:right w:val="none" w:sz="0" w:space="0" w:color="auto"/>
          </w:divBdr>
        </w:div>
        <w:div w:id="1639065737">
          <w:marLeft w:val="640"/>
          <w:marRight w:val="0"/>
          <w:marTop w:val="0"/>
          <w:marBottom w:val="0"/>
          <w:divBdr>
            <w:top w:val="none" w:sz="0" w:space="0" w:color="auto"/>
            <w:left w:val="none" w:sz="0" w:space="0" w:color="auto"/>
            <w:bottom w:val="none" w:sz="0" w:space="0" w:color="auto"/>
            <w:right w:val="none" w:sz="0" w:space="0" w:color="auto"/>
          </w:divBdr>
        </w:div>
        <w:div w:id="790244296">
          <w:marLeft w:val="640"/>
          <w:marRight w:val="0"/>
          <w:marTop w:val="0"/>
          <w:marBottom w:val="0"/>
          <w:divBdr>
            <w:top w:val="none" w:sz="0" w:space="0" w:color="auto"/>
            <w:left w:val="none" w:sz="0" w:space="0" w:color="auto"/>
            <w:bottom w:val="none" w:sz="0" w:space="0" w:color="auto"/>
            <w:right w:val="none" w:sz="0" w:space="0" w:color="auto"/>
          </w:divBdr>
        </w:div>
        <w:div w:id="579994665">
          <w:marLeft w:val="640"/>
          <w:marRight w:val="0"/>
          <w:marTop w:val="0"/>
          <w:marBottom w:val="0"/>
          <w:divBdr>
            <w:top w:val="none" w:sz="0" w:space="0" w:color="auto"/>
            <w:left w:val="none" w:sz="0" w:space="0" w:color="auto"/>
            <w:bottom w:val="none" w:sz="0" w:space="0" w:color="auto"/>
            <w:right w:val="none" w:sz="0" w:space="0" w:color="auto"/>
          </w:divBdr>
        </w:div>
        <w:div w:id="309526955">
          <w:marLeft w:val="640"/>
          <w:marRight w:val="0"/>
          <w:marTop w:val="0"/>
          <w:marBottom w:val="0"/>
          <w:divBdr>
            <w:top w:val="none" w:sz="0" w:space="0" w:color="auto"/>
            <w:left w:val="none" w:sz="0" w:space="0" w:color="auto"/>
            <w:bottom w:val="none" w:sz="0" w:space="0" w:color="auto"/>
            <w:right w:val="none" w:sz="0" w:space="0" w:color="auto"/>
          </w:divBdr>
        </w:div>
        <w:div w:id="273751493">
          <w:marLeft w:val="640"/>
          <w:marRight w:val="0"/>
          <w:marTop w:val="0"/>
          <w:marBottom w:val="0"/>
          <w:divBdr>
            <w:top w:val="none" w:sz="0" w:space="0" w:color="auto"/>
            <w:left w:val="none" w:sz="0" w:space="0" w:color="auto"/>
            <w:bottom w:val="none" w:sz="0" w:space="0" w:color="auto"/>
            <w:right w:val="none" w:sz="0" w:space="0" w:color="auto"/>
          </w:divBdr>
        </w:div>
        <w:div w:id="634726009">
          <w:marLeft w:val="640"/>
          <w:marRight w:val="0"/>
          <w:marTop w:val="0"/>
          <w:marBottom w:val="0"/>
          <w:divBdr>
            <w:top w:val="none" w:sz="0" w:space="0" w:color="auto"/>
            <w:left w:val="none" w:sz="0" w:space="0" w:color="auto"/>
            <w:bottom w:val="none" w:sz="0" w:space="0" w:color="auto"/>
            <w:right w:val="none" w:sz="0" w:space="0" w:color="auto"/>
          </w:divBdr>
        </w:div>
        <w:div w:id="1920821480">
          <w:marLeft w:val="640"/>
          <w:marRight w:val="0"/>
          <w:marTop w:val="0"/>
          <w:marBottom w:val="0"/>
          <w:divBdr>
            <w:top w:val="none" w:sz="0" w:space="0" w:color="auto"/>
            <w:left w:val="none" w:sz="0" w:space="0" w:color="auto"/>
            <w:bottom w:val="none" w:sz="0" w:space="0" w:color="auto"/>
            <w:right w:val="none" w:sz="0" w:space="0" w:color="auto"/>
          </w:divBdr>
        </w:div>
        <w:div w:id="653919053">
          <w:marLeft w:val="640"/>
          <w:marRight w:val="0"/>
          <w:marTop w:val="0"/>
          <w:marBottom w:val="0"/>
          <w:divBdr>
            <w:top w:val="none" w:sz="0" w:space="0" w:color="auto"/>
            <w:left w:val="none" w:sz="0" w:space="0" w:color="auto"/>
            <w:bottom w:val="none" w:sz="0" w:space="0" w:color="auto"/>
            <w:right w:val="none" w:sz="0" w:space="0" w:color="auto"/>
          </w:divBdr>
        </w:div>
        <w:div w:id="900478353">
          <w:marLeft w:val="640"/>
          <w:marRight w:val="0"/>
          <w:marTop w:val="0"/>
          <w:marBottom w:val="0"/>
          <w:divBdr>
            <w:top w:val="none" w:sz="0" w:space="0" w:color="auto"/>
            <w:left w:val="none" w:sz="0" w:space="0" w:color="auto"/>
            <w:bottom w:val="none" w:sz="0" w:space="0" w:color="auto"/>
            <w:right w:val="none" w:sz="0" w:space="0" w:color="auto"/>
          </w:divBdr>
        </w:div>
        <w:div w:id="204367224">
          <w:marLeft w:val="640"/>
          <w:marRight w:val="0"/>
          <w:marTop w:val="0"/>
          <w:marBottom w:val="0"/>
          <w:divBdr>
            <w:top w:val="none" w:sz="0" w:space="0" w:color="auto"/>
            <w:left w:val="none" w:sz="0" w:space="0" w:color="auto"/>
            <w:bottom w:val="none" w:sz="0" w:space="0" w:color="auto"/>
            <w:right w:val="none" w:sz="0" w:space="0" w:color="auto"/>
          </w:divBdr>
        </w:div>
        <w:div w:id="1355422399">
          <w:marLeft w:val="640"/>
          <w:marRight w:val="0"/>
          <w:marTop w:val="0"/>
          <w:marBottom w:val="0"/>
          <w:divBdr>
            <w:top w:val="none" w:sz="0" w:space="0" w:color="auto"/>
            <w:left w:val="none" w:sz="0" w:space="0" w:color="auto"/>
            <w:bottom w:val="none" w:sz="0" w:space="0" w:color="auto"/>
            <w:right w:val="none" w:sz="0" w:space="0" w:color="auto"/>
          </w:divBdr>
        </w:div>
        <w:div w:id="603419402">
          <w:marLeft w:val="640"/>
          <w:marRight w:val="0"/>
          <w:marTop w:val="0"/>
          <w:marBottom w:val="0"/>
          <w:divBdr>
            <w:top w:val="none" w:sz="0" w:space="0" w:color="auto"/>
            <w:left w:val="none" w:sz="0" w:space="0" w:color="auto"/>
            <w:bottom w:val="none" w:sz="0" w:space="0" w:color="auto"/>
            <w:right w:val="none" w:sz="0" w:space="0" w:color="auto"/>
          </w:divBdr>
        </w:div>
        <w:div w:id="1867450778">
          <w:marLeft w:val="640"/>
          <w:marRight w:val="0"/>
          <w:marTop w:val="0"/>
          <w:marBottom w:val="0"/>
          <w:divBdr>
            <w:top w:val="none" w:sz="0" w:space="0" w:color="auto"/>
            <w:left w:val="none" w:sz="0" w:space="0" w:color="auto"/>
            <w:bottom w:val="none" w:sz="0" w:space="0" w:color="auto"/>
            <w:right w:val="none" w:sz="0" w:space="0" w:color="auto"/>
          </w:divBdr>
        </w:div>
        <w:div w:id="1540048894">
          <w:marLeft w:val="640"/>
          <w:marRight w:val="0"/>
          <w:marTop w:val="0"/>
          <w:marBottom w:val="0"/>
          <w:divBdr>
            <w:top w:val="none" w:sz="0" w:space="0" w:color="auto"/>
            <w:left w:val="none" w:sz="0" w:space="0" w:color="auto"/>
            <w:bottom w:val="none" w:sz="0" w:space="0" w:color="auto"/>
            <w:right w:val="none" w:sz="0" w:space="0" w:color="auto"/>
          </w:divBdr>
        </w:div>
        <w:div w:id="2063287125">
          <w:marLeft w:val="640"/>
          <w:marRight w:val="0"/>
          <w:marTop w:val="0"/>
          <w:marBottom w:val="0"/>
          <w:divBdr>
            <w:top w:val="none" w:sz="0" w:space="0" w:color="auto"/>
            <w:left w:val="none" w:sz="0" w:space="0" w:color="auto"/>
            <w:bottom w:val="none" w:sz="0" w:space="0" w:color="auto"/>
            <w:right w:val="none" w:sz="0" w:space="0" w:color="auto"/>
          </w:divBdr>
        </w:div>
        <w:div w:id="727844695">
          <w:marLeft w:val="640"/>
          <w:marRight w:val="0"/>
          <w:marTop w:val="0"/>
          <w:marBottom w:val="0"/>
          <w:divBdr>
            <w:top w:val="none" w:sz="0" w:space="0" w:color="auto"/>
            <w:left w:val="none" w:sz="0" w:space="0" w:color="auto"/>
            <w:bottom w:val="none" w:sz="0" w:space="0" w:color="auto"/>
            <w:right w:val="none" w:sz="0" w:space="0" w:color="auto"/>
          </w:divBdr>
        </w:div>
        <w:div w:id="465510214">
          <w:marLeft w:val="640"/>
          <w:marRight w:val="0"/>
          <w:marTop w:val="0"/>
          <w:marBottom w:val="0"/>
          <w:divBdr>
            <w:top w:val="none" w:sz="0" w:space="0" w:color="auto"/>
            <w:left w:val="none" w:sz="0" w:space="0" w:color="auto"/>
            <w:bottom w:val="none" w:sz="0" w:space="0" w:color="auto"/>
            <w:right w:val="none" w:sz="0" w:space="0" w:color="auto"/>
          </w:divBdr>
        </w:div>
        <w:div w:id="1392267549">
          <w:marLeft w:val="640"/>
          <w:marRight w:val="0"/>
          <w:marTop w:val="0"/>
          <w:marBottom w:val="0"/>
          <w:divBdr>
            <w:top w:val="none" w:sz="0" w:space="0" w:color="auto"/>
            <w:left w:val="none" w:sz="0" w:space="0" w:color="auto"/>
            <w:bottom w:val="none" w:sz="0" w:space="0" w:color="auto"/>
            <w:right w:val="none" w:sz="0" w:space="0" w:color="auto"/>
          </w:divBdr>
        </w:div>
        <w:div w:id="1832672712">
          <w:marLeft w:val="640"/>
          <w:marRight w:val="0"/>
          <w:marTop w:val="0"/>
          <w:marBottom w:val="0"/>
          <w:divBdr>
            <w:top w:val="none" w:sz="0" w:space="0" w:color="auto"/>
            <w:left w:val="none" w:sz="0" w:space="0" w:color="auto"/>
            <w:bottom w:val="none" w:sz="0" w:space="0" w:color="auto"/>
            <w:right w:val="none" w:sz="0" w:space="0" w:color="auto"/>
          </w:divBdr>
        </w:div>
        <w:div w:id="1628313696">
          <w:marLeft w:val="640"/>
          <w:marRight w:val="0"/>
          <w:marTop w:val="0"/>
          <w:marBottom w:val="0"/>
          <w:divBdr>
            <w:top w:val="none" w:sz="0" w:space="0" w:color="auto"/>
            <w:left w:val="none" w:sz="0" w:space="0" w:color="auto"/>
            <w:bottom w:val="none" w:sz="0" w:space="0" w:color="auto"/>
            <w:right w:val="none" w:sz="0" w:space="0" w:color="auto"/>
          </w:divBdr>
        </w:div>
        <w:div w:id="785467093">
          <w:marLeft w:val="640"/>
          <w:marRight w:val="0"/>
          <w:marTop w:val="0"/>
          <w:marBottom w:val="0"/>
          <w:divBdr>
            <w:top w:val="none" w:sz="0" w:space="0" w:color="auto"/>
            <w:left w:val="none" w:sz="0" w:space="0" w:color="auto"/>
            <w:bottom w:val="none" w:sz="0" w:space="0" w:color="auto"/>
            <w:right w:val="none" w:sz="0" w:space="0" w:color="auto"/>
          </w:divBdr>
        </w:div>
        <w:div w:id="1992706622">
          <w:marLeft w:val="640"/>
          <w:marRight w:val="0"/>
          <w:marTop w:val="0"/>
          <w:marBottom w:val="0"/>
          <w:divBdr>
            <w:top w:val="none" w:sz="0" w:space="0" w:color="auto"/>
            <w:left w:val="none" w:sz="0" w:space="0" w:color="auto"/>
            <w:bottom w:val="none" w:sz="0" w:space="0" w:color="auto"/>
            <w:right w:val="none" w:sz="0" w:space="0" w:color="auto"/>
          </w:divBdr>
        </w:div>
        <w:div w:id="1097362040">
          <w:marLeft w:val="640"/>
          <w:marRight w:val="0"/>
          <w:marTop w:val="0"/>
          <w:marBottom w:val="0"/>
          <w:divBdr>
            <w:top w:val="none" w:sz="0" w:space="0" w:color="auto"/>
            <w:left w:val="none" w:sz="0" w:space="0" w:color="auto"/>
            <w:bottom w:val="none" w:sz="0" w:space="0" w:color="auto"/>
            <w:right w:val="none" w:sz="0" w:space="0" w:color="auto"/>
          </w:divBdr>
        </w:div>
        <w:div w:id="845288360">
          <w:marLeft w:val="640"/>
          <w:marRight w:val="0"/>
          <w:marTop w:val="0"/>
          <w:marBottom w:val="0"/>
          <w:divBdr>
            <w:top w:val="none" w:sz="0" w:space="0" w:color="auto"/>
            <w:left w:val="none" w:sz="0" w:space="0" w:color="auto"/>
            <w:bottom w:val="none" w:sz="0" w:space="0" w:color="auto"/>
            <w:right w:val="none" w:sz="0" w:space="0" w:color="auto"/>
          </w:divBdr>
        </w:div>
        <w:div w:id="394013372">
          <w:marLeft w:val="640"/>
          <w:marRight w:val="0"/>
          <w:marTop w:val="0"/>
          <w:marBottom w:val="0"/>
          <w:divBdr>
            <w:top w:val="none" w:sz="0" w:space="0" w:color="auto"/>
            <w:left w:val="none" w:sz="0" w:space="0" w:color="auto"/>
            <w:bottom w:val="none" w:sz="0" w:space="0" w:color="auto"/>
            <w:right w:val="none" w:sz="0" w:space="0" w:color="auto"/>
          </w:divBdr>
        </w:div>
        <w:div w:id="1935632148">
          <w:marLeft w:val="640"/>
          <w:marRight w:val="0"/>
          <w:marTop w:val="0"/>
          <w:marBottom w:val="0"/>
          <w:divBdr>
            <w:top w:val="none" w:sz="0" w:space="0" w:color="auto"/>
            <w:left w:val="none" w:sz="0" w:space="0" w:color="auto"/>
            <w:bottom w:val="none" w:sz="0" w:space="0" w:color="auto"/>
            <w:right w:val="none" w:sz="0" w:space="0" w:color="auto"/>
          </w:divBdr>
        </w:div>
        <w:div w:id="121316554">
          <w:marLeft w:val="640"/>
          <w:marRight w:val="0"/>
          <w:marTop w:val="0"/>
          <w:marBottom w:val="0"/>
          <w:divBdr>
            <w:top w:val="none" w:sz="0" w:space="0" w:color="auto"/>
            <w:left w:val="none" w:sz="0" w:space="0" w:color="auto"/>
            <w:bottom w:val="none" w:sz="0" w:space="0" w:color="auto"/>
            <w:right w:val="none" w:sz="0" w:space="0" w:color="auto"/>
          </w:divBdr>
        </w:div>
        <w:div w:id="2022119388">
          <w:marLeft w:val="640"/>
          <w:marRight w:val="0"/>
          <w:marTop w:val="0"/>
          <w:marBottom w:val="0"/>
          <w:divBdr>
            <w:top w:val="none" w:sz="0" w:space="0" w:color="auto"/>
            <w:left w:val="none" w:sz="0" w:space="0" w:color="auto"/>
            <w:bottom w:val="none" w:sz="0" w:space="0" w:color="auto"/>
            <w:right w:val="none" w:sz="0" w:space="0" w:color="auto"/>
          </w:divBdr>
        </w:div>
        <w:div w:id="1613782286">
          <w:marLeft w:val="640"/>
          <w:marRight w:val="0"/>
          <w:marTop w:val="0"/>
          <w:marBottom w:val="0"/>
          <w:divBdr>
            <w:top w:val="none" w:sz="0" w:space="0" w:color="auto"/>
            <w:left w:val="none" w:sz="0" w:space="0" w:color="auto"/>
            <w:bottom w:val="none" w:sz="0" w:space="0" w:color="auto"/>
            <w:right w:val="none" w:sz="0" w:space="0" w:color="auto"/>
          </w:divBdr>
        </w:div>
        <w:div w:id="2077047806">
          <w:marLeft w:val="640"/>
          <w:marRight w:val="0"/>
          <w:marTop w:val="0"/>
          <w:marBottom w:val="0"/>
          <w:divBdr>
            <w:top w:val="none" w:sz="0" w:space="0" w:color="auto"/>
            <w:left w:val="none" w:sz="0" w:space="0" w:color="auto"/>
            <w:bottom w:val="none" w:sz="0" w:space="0" w:color="auto"/>
            <w:right w:val="none" w:sz="0" w:space="0" w:color="auto"/>
          </w:divBdr>
        </w:div>
        <w:div w:id="163473424">
          <w:marLeft w:val="640"/>
          <w:marRight w:val="0"/>
          <w:marTop w:val="0"/>
          <w:marBottom w:val="0"/>
          <w:divBdr>
            <w:top w:val="none" w:sz="0" w:space="0" w:color="auto"/>
            <w:left w:val="none" w:sz="0" w:space="0" w:color="auto"/>
            <w:bottom w:val="none" w:sz="0" w:space="0" w:color="auto"/>
            <w:right w:val="none" w:sz="0" w:space="0" w:color="auto"/>
          </w:divBdr>
        </w:div>
        <w:div w:id="1729914757">
          <w:marLeft w:val="640"/>
          <w:marRight w:val="0"/>
          <w:marTop w:val="0"/>
          <w:marBottom w:val="0"/>
          <w:divBdr>
            <w:top w:val="none" w:sz="0" w:space="0" w:color="auto"/>
            <w:left w:val="none" w:sz="0" w:space="0" w:color="auto"/>
            <w:bottom w:val="none" w:sz="0" w:space="0" w:color="auto"/>
            <w:right w:val="none" w:sz="0" w:space="0" w:color="auto"/>
          </w:divBdr>
        </w:div>
        <w:div w:id="1857838972">
          <w:marLeft w:val="640"/>
          <w:marRight w:val="0"/>
          <w:marTop w:val="0"/>
          <w:marBottom w:val="0"/>
          <w:divBdr>
            <w:top w:val="none" w:sz="0" w:space="0" w:color="auto"/>
            <w:left w:val="none" w:sz="0" w:space="0" w:color="auto"/>
            <w:bottom w:val="none" w:sz="0" w:space="0" w:color="auto"/>
            <w:right w:val="none" w:sz="0" w:space="0" w:color="auto"/>
          </w:divBdr>
        </w:div>
        <w:div w:id="1154688514">
          <w:marLeft w:val="640"/>
          <w:marRight w:val="0"/>
          <w:marTop w:val="0"/>
          <w:marBottom w:val="0"/>
          <w:divBdr>
            <w:top w:val="none" w:sz="0" w:space="0" w:color="auto"/>
            <w:left w:val="none" w:sz="0" w:space="0" w:color="auto"/>
            <w:bottom w:val="none" w:sz="0" w:space="0" w:color="auto"/>
            <w:right w:val="none" w:sz="0" w:space="0" w:color="auto"/>
          </w:divBdr>
        </w:div>
        <w:div w:id="588775704">
          <w:marLeft w:val="640"/>
          <w:marRight w:val="0"/>
          <w:marTop w:val="0"/>
          <w:marBottom w:val="0"/>
          <w:divBdr>
            <w:top w:val="none" w:sz="0" w:space="0" w:color="auto"/>
            <w:left w:val="none" w:sz="0" w:space="0" w:color="auto"/>
            <w:bottom w:val="none" w:sz="0" w:space="0" w:color="auto"/>
            <w:right w:val="none" w:sz="0" w:space="0" w:color="auto"/>
          </w:divBdr>
        </w:div>
      </w:divsChild>
    </w:div>
    <w:div w:id="148986632">
      <w:bodyDiv w:val="1"/>
      <w:marLeft w:val="0"/>
      <w:marRight w:val="0"/>
      <w:marTop w:val="0"/>
      <w:marBottom w:val="0"/>
      <w:divBdr>
        <w:top w:val="none" w:sz="0" w:space="0" w:color="auto"/>
        <w:left w:val="none" w:sz="0" w:space="0" w:color="auto"/>
        <w:bottom w:val="none" w:sz="0" w:space="0" w:color="auto"/>
        <w:right w:val="none" w:sz="0" w:space="0" w:color="auto"/>
      </w:divBdr>
      <w:divsChild>
        <w:div w:id="874460904">
          <w:marLeft w:val="640"/>
          <w:marRight w:val="0"/>
          <w:marTop w:val="0"/>
          <w:marBottom w:val="0"/>
          <w:divBdr>
            <w:top w:val="none" w:sz="0" w:space="0" w:color="auto"/>
            <w:left w:val="none" w:sz="0" w:space="0" w:color="auto"/>
            <w:bottom w:val="none" w:sz="0" w:space="0" w:color="auto"/>
            <w:right w:val="none" w:sz="0" w:space="0" w:color="auto"/>
          </w:divBdr>
        </w:div>
        <w:div w:id="1738896335">
          <w:marLeft w:val="640"/>
          <w:marRight w:val="0"/>
          <w:marTop w:val="0"/>
          <w:marBottom w:val="0"/>
          <w:divBdr>
            <w:top w:val="none" w:sz="0" w:space="0" w:color="auto"/>
            <w:left w:val="none" w:sz="0" w:space="0" w:color="auto"/>
            <w:bottom w:val="none" w:sz="0" w:space="0" w:color="auto"/>
            <w:right w:val="none" w:sz="0" w:space="0" w:color="auto"/>
          </w:divBdr>
        </w:div>
        <w:div w:id="1817527818">
          <w:marLeft w:val="640"/>
          <w:marRight w:val="0"/>
          <w:marTop w:val="0"/>
          <w:marBottom w:val="0"/>
          <w:divBdr>
            <w:top w:val="none" w:sz="0" w:space="0" w:color="auto"/>
            <w:left w:val="none" w:sz="0" w:space="0" w:color="auto"/>
            <w:bottom w:val="none" w:sz="0" w:space="0" w:color="auto"/>
            <w:right w:val="none" w:sz="0" w:space="0" w:color="auto"/>
          </w:divBdr>
        </w:div>
        <w:div w:id="2108764732">
          <w:marLeft w:val="640"/>
          <w:marRight w:val="0"/>
          <w:marTop w:val="0"/>
          <w:marBottom w:val="0"/>
          <w:divBdr>
            <w:top w:val="none" w:sz="0" w:space="0" w:color="auto"/>
            <w:left w:val="none" w:sz="0" w:space="0" w:color="auto"/>
            <w:bottom w:val="none" w:sz="0" w:space="0" w:color="auto"/>
            <w:right w:val="none" w:sz="0" w:space="0" w:color="auto"/>
          </w:divBdr>
        </w:div>
        <w:div w:id="1294824306">
          <w:marLeft w:val="640"/>
          <w:marRight w:val="0"/>
          <w:marTop w:val="0"/>
          <w:marBottom w:val="0"/>
          <w:divBdr>
            <w:top w:val="none" w:sz="0" w:space="0" w:color="auto"/>
            <w:left w:val="none" w:sz="0" w:space="0" w:color="auto"/>
            <w:bottom w:val="none" w:sz="0" w:space="0" w:color="auto"/>
            <w:right w:val="none" w:sz="0" w:space="0" w:color="auto"/>
          </w:divBdr>
        </w:div>
        <w:div w:id="239365361">
          <w:marLeft w:val="640"/>
          <w:marRight w:val="0"/>
          <w:marTop w:val="0"/>
          <w:marBottom w:val="0"/>
          <w:divBdr>
            <w:top w:val="none" w:sz="0" w:space="0" w:color="auto"/>
            <w:left w:val="none" w:sz="0" w:space="0" w:color="auto"/>
            <w:bottom w:val="none" w:sz="0" w:space="0" w:color="auto"/>
            <w:right w:val="none" w:sz="0" w:space="0" w:color="auto"/>
          </w:divBdr>
        </w:div>
        <w:div w:id="2101096651">
          <w:marLeft w:val="640"/>
          <w:marRight w:val="0"/>
          <w:marTop w:val="0"/>
          <w:marBottom w:val="0"/>
          <w:divBdr>
            <w:top w:val="none" w:sz="0" w:space="0" w:color="auto"/>
            <w:left w:val="none" w:sz="0" w:space="0" w:color="auto"/>
            <w:bottom w:val="none" w:sz="0" w:space="0" w:color="auto"/>
            <w:right w:val="none" w:sz="0" w:space="0" w:color="auto"/>
          </w:divBdr>
        </w:div>
        <w:div w:id="1945459554">
          <w:marLeft w:val="640"/>
          <w:marRight w:val="0"/>
          <w:marTop w:val="0"/>
          <w:marBottom w:val="0"/>
          <w:divBdr>
            <w:top w:val="none" w:sz="0" w:space="0" w:color="auto"/>
            <w:left w:val="none" w:sz="0" w:space="0" w:color="auto"/>
            <w:bottom w:val="none" w:sz="0" w:space="0" w:color="auto"/>
            <w:right w:val="none" w:sz="0" w:space="0" w:color="auto"/>
          </w:divBdr>
        </w:div>
        <w:div w:id="1457260830">
          <w:marLeft w:val="640"/>
          <w:marRight w:val="0"/>
          <w:marTop w:val="0"/>
          <w:marBottom w:val="0"/>
          <w:divBdr>
            <w:top w:val="none" w:sz="0" w:space="0" w:color="auto"/>
            <w:left w:val="none" w:sz="0" w:space="0" w:color="auto"/>
            <w:bottom w:val="none" w:sz="0" w:space="0" w:color="auto"/>
            <w:right w:val="none" w:sz="0" w:space="0" w:color="auto"/>
          </w:divBdr>
        </w:div>
        <w:div w:id="1061098175">
          <w:marLeft w:val="640"/>
          <w:marRight w:val="0"/>
          <w:marTop w:val="0"/>
          <w:marBottom w:val="0"/>
          <w:divBdr>
            <w:top w:val="none" w:sz="0" w:space="0" w:color="auto"/>
            <w:left w:val="none" w:sz="0" w:space="0" w:color="auto"/>
            <w:bottom w:val="none" w:sz="0" w:space="0" w:color="auto"/>
            <w:right w:val="none" w:sz="0" w:space="0" w:color="auto"/>
          </w:divBdr>
        </w:div>
        <w:div w:id="1102992379">
          <w:marLeft w:val="640"/>
          <w:marRight w:val="0"/>
          <w:marTop w:val="0"/>
          <w:marBottom w:val="0"/>
          <w:divBdr>
            <w:top w:val="none" w:sz="0" w:space="0" w:color="auto"/>
            <w:left w:val="none" w:sz="0" w:space="0" w:color="auto"/>
            <w:bottom w:val="none" w:sz="0" w:space="0" w:color="auto"/>
            <w:right w:val="none" w:sz="0" w:space="0" w:color="auto"/>
          </w:divBdr>
        </w:div>
        <w:div w:id="1906065171">
          <w:marLeft w:val="640"/>
          <w:marRight w:val="0"/>
          <w:marTop w:val="0"/>
          <w:marBottom w:val="0"/>
          <w:divBdr>
            <w:top w:val="none" w:sz="0" w:space="0" w:color="auto"/>
            <w:left w:val="none" w:sz="0" w:space="0" w:color="auto"/>
            <w:bottom w:val="none" w:sz="0" w:space="0" w:color="auto"/>
            <w:right w:val="none" w:sz="0" w:space="0" w:color="auto"/>
          </w:divBdr>
        </w:div>
        <w:div w:id="1674723438">
          <w:marLeft w:val="640"/>
          <w:marRight w:val="0"/>
          <w:marTop w:val="0"/>
          <w:marBottom w:val="0"/>
          <w:divBdr>
            <w:top w:val="none" w:sz="0" w:space="0" w:color="auto"/>
            <w:left w:val="none" w:sz="0" w:space="0" w:color="auto"/>
            <w:bottom w:val="none" w:sz="0" w:space="0" w:color="auto"/>
            <w:right w:val="none" w:sz="0" w:space="0" w:color="auto"/>
          </w:divBdr>
        </w:div>
        <w:div w:id="1299410671">
          <w:marLeft w:val="640"/>
          <w:marRight w:val="0"/>
          <w:marTop w:val="0"/>
          <w:marBottom w:val="0"/>
          <w:divBdr>
            <w:top w:val="none" w:sz="0" w:space="0" w:color="auto"/>
            <w:left w:val="none" w:sz="0" w:space="0" w:color="auto"/>
            <w:bottom w:val="none" w:sz="0" w:space="0" w:color="auto"/>
            <w:right w:val="none" w:sz="0" w:space="0" w:color="auto"/>
          </w:divBdr>
        </w:div>
        <w:div w:id="1770662232">
          <w:marLeft w:val="640"/>
          <w:marRight w:val="0"/>
          <w:marTop w:val="0"/>
          <w:marBottom w:val="0"/>
          <w:divBdr>
            <w:top w:val="none" w:sz="0" w:space="0" w:color="auto"/>
            <w:left w:val="none" w:sz="0" w:space="0" w:color="auto"/>
            <w:bottom w:val="none" w:sz="0" w:space="0" w:color="auto"/>
            <w:right w:val="none" w:sz="0" w:space="0" w:color="auto"/>
          </w:divBdr>
        </w:div>
        <w:div w:id="836925738">
          <w:marLeft w:val="640"/>
          <w:marRight w:val="0"/>
          <w:marTop w:val="0"/>
          <w:marBottom w:val="0"/>
          <w:divBdr>
            <w:top w:val="none" w:sz="0" w:space="0" w:color="auto"/>
            <w:left w:val="none" w:sz="0" w:space="0" w:color="auto"/>
            <w:bottom w:val="none" w:sz="0" w:space="0" w:color="auto"/>
            <w:right w:val="none" w:sz="0" w:space="0" w:color="auto"/>
          </w:divBdr>
        </w:div>
        <w:div w:id="1945650415">
          <w:marLeft w:val="640"/>
          <w:marRight w:val="0"/>
          <w:marTop w:val="0"/>
          <w:marBottom w:val="0"/>
          <w:divBdr>
            <w:top w:val="none" w:sz="0" w:space="0" w:color="auto"/>
            <w:left w:val="none" w:sz="0" w:space="0" w:color="auto"/>
            <w:bottom w:val="none" w:sz="0" w:space="0" w:color="auto"/>
            <w:right w:val="none" w:sz="0" w:space="0" w:color="auto"/>
          </w:divBdr>
        </w:div>
        <w:div w:id="679165951">
          <w:marLeft w:val="640"/>
          <w:marRight w:val="0"/>
          <w:marTop w:val="0"/>
          <w:marBottom w:val="0"/>
          <w:divBdr>
            <w:top w:val="none" w:sz="0" w:space="0" w:color="auto"/>
            <w:left w:val="none" w:sz="0" w:space="0" w:color="auto"/>
            <w:bottom w:val="none" w:sz="0" w:space="0" w:color="auto"/>
            <w:right w:val="none" w:sz="0" w:space="0" w:color="auto"/>
          </w:divBdr>
        </w:div>
        <w:div w:id="989363513">
          <w:marLeft w:val="640"/>
          <w:marRight w:val="0"/>
          <w:marTop w:val="0"/>
          <w:marBottom w:val="0"/>
          <w:divBdr>
            <w:top w:val="none" w:sz="0" w:space="0" w:color="auto"/>
            <w:left w:val="none" w:sz="0" w:space="0" w:color="auto"/>
            <w:bottom w:val="none" w:sz="0" w:space="0" w:color="auto"/>
            <w:right w:val="none" w:sz="0" w:space="0" w:color="auto"/>
          </w:divBdr>
        </w:div>
        <w:div w:id="407964617">
          <w:marLeft w:val="640"/>
          <w:marRight w:val="0"/>
          <w:marTop w:val="0"/>
          <w:marBottom w:val="0"/>
          <w:divBdr>
            <w:top w:val="none" w:sz="0" w:space="0" w:color="auto"/>
            <w:left w:val="none" w:sz="0" w:space="0" w:color="auto"/>
            <w:bottom w:val="none" w:sz="0" w:space="0" w:color="auto"/>
            <w:right w:val="none" w:sz="0" w:space="0" w:color="auto"/>
          </w:divBdr>
        </w:div>
        <w:div w:id="728308122">
          <w:marLeft w:val="640"/>
          <w:marRight w:val="0"/>
          <w:marTop w:val="0"/>
          <w:marBottom w:val="0"/>
          <w:divBdr>
            <w:top w:val="none" w:sz="0" w:space="0" w:color="auto"/>
            <w:left w:val="none" w:sz="0" w:space="0" w:color="auto"/>
            <w:bottom w:val="none" w:sz="0" w:space="0" w:color="auto"/>
            <w:right w:val="none" w:sz="0" w:space="0" w:color="auto"/>
          </w:divBdr>
        </w:div>
        <w:div w:id="787163788">
          <w:marLeft w:val="640"/>
          <w:marRight w:val="0"/>
          <w:marTop w:val="0"/>
          <w:marBottom w:val="0"/>
          <w:divBdr>
            <w:top w:val="none" w:sz="0" w:space="0" w:color="auto"/>
            <w:left w:val="none" w:sz="0" w:space="0" w:color="auto"/>
            <w:bottom w:val="none" w:sz="0" w:space="0" w:color="auto"/>
            <w:right w:val="none" w:sz="0" w:space="0" w:color="auto"/>
          </w:divBdr>
        </w:div>
        <w:div w:id="1425491771">
          <w:marLeft w:val="640"/>
          <w:marRight w:val="0"/>
          <w:marTop w:val="0"/>
          <w:marBottom w:val="0"/>
          <w:divBdr>
            <w:top w:val="none" w:sz="0" w:space="0" w:color="auto"/>
            <w:left w:val="none" w:sz="0" w:space="0" w:color="auto"/>
            <w:bottom w:val="none" w:sz="0" w:space="0" w:color="auto"/>
            <w:right w:val="none" w:sz="0" w:space="0" w:color="auto"/>
          </w:divBdr>
        </w:div>
        <w:div w:id="1352293222">
          <w:marLeft w:val="640"/>
          <w:marRight w:val="0"/>
          <w:marTop w:val="0"/>
          <w:marBottom w:val="0"/>
          <w:divBdr>
            <w:top w:val="none" w:sz="0" w:space="0" w:color="auto"/>
            <w:left w:val="none" w:sz="0" w:space="0" w:color="auto"/>
            <w:bottom w:val="none" w:sz="0" w:space="0" w:color="auto"/>
            <w:right w:val="none" w:sz="0" w:space="0" w:color="auto"/>
          </w:divBdr>
        </w:div>
        <w:div w:id="2052685772">
          <w:marLeft w:val="640"/>
          <w:marRight w:val="0"/>
          <w:marTop w:val="0"/>
          <w:marBottom w:val="0"/>
          <w:divBdr>
            <w:top w:val="none" w:sz="0" w:space="0" w:color="auto"/>
            <w:left w:val="none" w:sz="0" w:space="0" w:color="auto"/>
            <w:bottom w:val="none" w:sz="0" w:space="0" w:color="auto"/>
            <w:right w:val="none" w:sz="0" w:space="0" w:color="auto"/>
          </w:divBdr>
        </w:div>
        <w:div w:id="1682316051">
          <w:marLeft w:val="640"/>
          <w:marRight w:val="0"/>
          <w:marTop w:val="0"/>
          <w:marBottom w:val="0"/>
          <w:divBdr>
            <w:top w:val="none" w:sz="0" w:space="0" w:color="auto"/>
            <w:left w:val="none" w:sz="0" w:space="0" w:color="auto"/>
            <w:bottom w:val="none" w:sz="0" w:space="0" w:color="auto"/>
            <w:right w:val="none" w:sz="0" w:space="0" w:color="auto"/>
          </w:divBdr>
        </w:div>
        <w:div w:id="876746466">
          <w:marLeft w:val="640"/>
          <w:marRight w:val="0"/>
          <w:marTop w:val="0"/>
          <w:marBottom w:val="0"/>
          <w:divBdr>
            <w:top w:val="none" w:sz="0" w:space="0" w:color="auto"/>
            <w:left w:val="none" w:sz="0" w:space="0" w:color="auto"/>
            <w:bottom w:val="none" w:sz="0" w:space="0" w:color="auto"/>
            <w:right w:val="none" w:sz="0" w:space="0" w:color="auto"/>
          </w:divBdr>
        </w:div>
        <w:div w:id="1901943890">
          <w:marLeft w:val="640"/>
          <w:marRight w:val="0"/>
          <w:marTop w:val="0"/>
          <w:marBottom w:val="0"/>
          <w:divBdr>
            <w:top w:val="none" w:sz="0" w:space="0" w:color="auto"/>
            <w:left w:val="none" w:sz="0" w:space="0" w:color="auto"/>
            <w:bottom w:val="none" w:sz="0" w:space="0" w:color="auto"/>
            <w:right w:val="none" w:sz="0" w:space="0" w:color="auto"/>
          </w:divBdr>
        </w:div>
        <w:div w:id="1730574702">
          <w:marLeft w:val="640"/>
          <w:marRight w:val="0"/>
          <w:marTop w:val="0"/>
          <w:marBottom w:val="0"/>
          <w:divBdr>
            <w:top w:val="none" w:sz="0" w:space="0" w:color="auto"/>
            <w:left w:val="none" w:sz="0" w:space="0" w:color="auto"/>
            <w:bottom w:val="none" w:sz="0" w:space="0" w:color="auto"/>
            <w:right w:val="none" w:sz="0" w:space="0" w:color="auto"/>
          </w:divBdr>
        </w:div>
        <w:div w:id="364596284">
          <w:marLeft w:val="640"/>
          <w:marRight w:val="0"/>
          <w:marTop w:val="0"/>
          <w:marBottom w:val="0"/>
          <w:divBdr>
            <w:top w:val="none" w:sz="0" w:space="0" w:color="auto"/>
            <w:left w:val="none" w:sz="0" w:space="0" w:color="auto"/>
            <w:bottom w:val="none" w:sz="0" w:space="0" w:color="auto"/>
            <w:right w:val="none" w:sz="0" w:space="0" w:color="auto"/>
          </w:divBdr>
        </w:div>
        <w:div w:id="1128354872">
          <w:marLeft w:val="640"/>
          <w:marRight w:val="0"/>
          <w:marTop w:val="0"/>
          <w:marBottom w:val="0"/>
          <w:divBdr>
            <w:top w:val="none" w:sz="0" w:space="0" w:color="auto"/>
            <w:left w:val="none" w:sz="0" w:space="0" w:color="auto"/>
            <w:bottom w:val="none" w:sz="0" w:space="0" w:color="auto"/>
            <w:right w:val="none" w:sz="0" w:space="0" w:color="auto"/>
          </w:divBdr>
        </w:div>
        <w:div w:id="135800522">
          <w:marLeft w:val="640"/>
          <w:marRight w:val="0"/>
          <w:marTop w:val="0"/>
          <w:marBottom w:val="0"/>
          <w:divBdr>
            <w:top w:val="none" w:sz="0" w:space="0" w:color="auto"/>
            <w:left w:val="none" w:sz="0" w:space="0" w:color="auto"/>
            <w:bottom w:val="none" w:sz="0" w:space="0" w:color="auto"/>
            <w:right w:val="none" w:sz="0" w:space="0" w:color="auto"/>
          </w:divBdr>
        </w:div>
        <w:div w:id="856041917">
          <w:marLeft w:val="640"/>
          <w:marRight w:val="0"/>
          <w:marTop w:val="0"/>
          <w:marBottom w:val="0"/>
          <w:divBdr>
            <w:top w:val="none" w:sz="0" w:space="0" w:color="auto"/>
            <w:left w:val="none" w:sz="0" w:space="0" w:color="auto"/>
            <w:bottom w:val="none" w:sz="0" w:space="0" w:color="auto"/>
            <w:right w:val="none" w:sz="0" w:space="0" w:color="auto"/>
          </w:divBdr>
        </w:div>
        <w:div w:id="1507206760">
          <w:marLeft w:val="640"/>
          <w:marRight w:val="0"/>
          <w:marTop w:val="0"/>
          <w:marBottom w:val="0"/>
          <w:divBdr>
            <w:top w:val="none" w:sz="0" w:space="0" w:color="auto"/>
            <w:left w:val="none" w:sz="0" w:space="0" w:color="auto"/>
            <w:bottom w:val="none" w:sz="0" w:space="0" w:color="auto"/>
            <w:right w:val="none" w:sz="0" w:space="0" w:color="auto"/>
          </w:divBdr>
        </w:div>
        <w:div w:id="1886601367">
          <w:marLeft w:val="640"/>
          <w:marRight w:val="0"/>
          <w:marTop w:val="0"/>
          <w:marBottom w:val="0"/>
          <w:divBdr>
            <w:top w:val="none" w:sz="0" w:space="0" w:color="auto"/>
            <w:left w:val="none" w:sz="0" w:space="0" w:color="auto"/>
            <w:bottom w:val="none" w:sz="0" w:space="0" w:color="auto"/>
            <w:right w:val="none" w:sz="0" w:space="0" w:color="auto"/>
          </w:divBdr>
        </w:div>
        <w:div w:id="1920363846">
          <w:marLeft w:val="640"/>
          <w:marRight w:val="0"/>
          <w:marTop w:val="0"/>
          <w:marBottom w:val="0"/>
          <w:divBdr>
            <w:top w:val="none" w:sz="0" w:space="0" w:color="auto"/>
            <w:left w:val="none" w:sz="0" w:space="0" w:color="auto"/>
            <w:bottom w:val="none" w:sz="0" w:space="0" w:color="auto"/>
            <w:right w:val="none" w:sz="0" w:space="0" w:color="auto"/>
          </w:divBdr>
        </w:div>
        <w:div w:id="1305700685">
          <w:marLeft w:val="640"/>
          <w:marRight w:val="0"/>
          <w:marTop w:val="0"/>
          <w:marBottom w:val="0"/>
          <w:divBdr>
            <w:top w:val="none" w:sz="0" w:space="0" w:color="auto"/>
            <w:left w:val="none" w:sz="0" w:space="0" w:color="auto"/>
            <w:bottom w:val="none" w:sz="0" w:space="0" w:color="auto"/>
            <w:right w:val="none" w:sz="0" w:space="0" w:color="auto"/>
          </w:divBdr>
        </w:div>
        <w:div w:id="1457259211">
          <w:marLeft w:val="640"/>
          <w:marRight w:val="0"/>
          <w:marTop w:val="0"/>
          <w:marBottom w:val="0"/>
          <w:divBdr>
            <w:top w:val="none" w:sz="0" w:space="0" w:color="auto"/>
            <w:left w:val="none" w:sz="0" w:space="0" w:color="auto"/>
            <w:bottom w:val="none" w:sz="0" w:space="0" w:color="auto"/>
            <w:right w:val="none" w:sz="0" w:space="0" w:color="auto"/>
          </w:divBdr>
        </w:div>
        <w:div w:id="1007171091">
          <w:marLeft w:val="640"/>
          <w:marRight w:val="0"/>
          <w:marTop w:val="0"/>
          <w:marBottom w:val="0"/>
          <w:divBdr>
            <w:top w:val="none" w:sz="0" w:space="0" w:color="auto"/>
            <w:left w:val="none" w:sz="0" w:space="0" w:color="auto"/>
            <w:bottom w:val="none" w:sz="0" w:space="0" w:color="auto"/>
            <w:right w:val="none" w:sz="0" w:space="0" w:color="auto"/>
          </w:divBdr>
        </w:div>
        <w:div w:id="260728387">
          <w:marLeft w:val="640"/>
          <w:marRight w:val="0"/>
          <w:marTop w:val="0"/>
          <w:marBottom w:val="0"/>
          <w:divBdr>
            <w:top w:val="none" w:sz="0" w:space="0" w:color="auto"/>
            <w:left w:val="none" w:sz="0" w:space="0" w:color="auto"/>
            <w:bottom w:val="none" w:sz="0" w:space="0" w:color="auto"/>
            <w:right w:val="none" w:sz="0" w:space="0" w:color="auto"/>
          </w:divBdr>
        </w:div>
        <w:div w:id="1270698484">
          <w:marLeft w:val="640"/>
          <w:marRight w:val="0"/>
          <w:marTop w:val="0"/>
          <w:marBottom w:val="0"/>
          <w:divBdr>
            <w:top w:val="none" w:sz="0" w:space="0" w:color="auto"/>
            <w:left w:val="none" w:sz="0" w:space="0" w:color="auto"/>
            <w:bottom w:val="none" w:sz="0" w:space="0" w:color="auto"/>
            <w:right w:val="none" w:sz="0" w:space="0" w:color="auto"/>
          </w:divBdr>
        </w:div>
        <w:div w:id="290986921">
          <w:marLeft w:val="640"/>
          <w:marRight w:val="0"/>
          <w:marTop w:val="0"/>
          <w:marBottom w:val="0"/>
          <w:divBdr>
            <w:top w:val="none" w:sz="0" w:space="0" w:color="auto"/>
            <w:left w:val="none" w:sz="0" w:space="0" w:color="auto"/>
            <w:bottom w:val="none" w:sz="0" w:space="0" w:color="auto"/>
            <w:right w:val="none" w:sz="0" w:space="0" w:color="auto"/>
          </w:divBdr>
        </w:div>
        <w:div w:id="616764094">
          <w:marLeft w:val="640"/>
          <w:marRight w:val="0"/>
          <w:marTop w:val="0"/>
          <w:marBottom w:val="0"/>
          <w:divBdr>
            <w:top w:val="none" w:sz="0" w:space="0" w:color="auto"/>
            <w:left w:val="none" w:sz="0" w:space="0" w:color="auto"/>
            <w:bottom w:val="none" w:sz="0" w:space="0" w:color="auto"/>
            <w:right w:val="none" w:sz="0" w:space="0" w:color="auto"/>
          </w:divBdr>
        </w:div>
        <w:div w:id="343215613">
          <w:marLeft w:val="640"/>
          <w:marRight w:val="0"/>
          <w:marTop w:val="0"/>
          <w:marBottom w:val="0"/>
          <w:divBdr>
            <w:top w:val="none" w:sz="0" w:space="0" w:color="auto"/>
            <w:left w:val="none" w:sz="0" w:space="0" w:color="auto"/>
            <w:bottom w:val="none" w:sz="0" w:space="0" w:color="auto"/>
            <w:right w:val="none" w:sz="0" w:space="0" w:color="auto"/>
          </w:divBdr>
        </w:div>
        <w:div w:id="739719259">
          <w:marLeft w:val="640"/>
          <w:marRight w:val="0"/>
          <w:marTop w:val="0"/>
          <w:marBottom w:val="0"/>
          <w:divBdr>
            <w:top w:val="none" w:sz="0" w:space="0" w:color="auto"/>
            <w:left w:val="none" w:sz="0" w:space="0" w:color="auto"/>
            <w:bottom w:val="none" w:sz="0" w:space="0" w:color="auto"/>
            <w:right w:val="none" w:sz="0" w:space="0" w:color="auto"/>
          </w:divBdr>
        </w:div>
        <w:div w:id="325326402">
          <w:marLeft w:val="640"/>
          <w:marRight w:val="0"/>
          <w:marTop w:val="0"/>
          <w:marBottom w:val="0"/>
          <w:divBdr>
            <w:top w:val="none" w:sz="0" w:space="0" w:color="auto"/>
            <w:left w:val="none" w:sz="0" w:space="0" w:color="auto"/>
            <w:bottom w:val="none" w:sz="0" w:space="0" w:color="auto"/>
            <w:right w:val="none" w:sz="0" w:space="0" w:color="auto"/>
          </w:divBdr>
        </w:div>
        <w:div w:id="1828091309">
          <w:marLeft w:val="640"/>
          <w:marRight w:val="0"/>
          <w:marTop w:val="0"/>
          <w:marBottom w:val="0"/>
          <w:divBdr>
            <w:top w:val="none" w:sz="0" w:space="0" w:color="auto"/>
            <w:left w:val="none" w:sz="0" w:space="0" w:color="auto"/>
            <w:bottom w:val="none" w:sz="0" w:space="0" w:color="auto"/>
            <w:right w:val="none" w:sz="0" w:space="0" w:color="auto"/>
          </w:divBdr>
        </w:div>
        <w:div w:id="275142533">
          <w:marLeft w:val="640"/>
          <w:marRight w:val="0"/>
          <w:marTop w:val="0"/>
          <w:marBottom w:val="0"/>
          <w:divBdr>
            <w:top w:val="none" w:sz="0" w:space="0" w:color="auto"/>
            <w:left w:val="none" w:sz="0" w:space="0" w:color="auto"/>
            <w:bottom w:val="none" w:sz="0" w:space="0" w:color="auto"/>
            <w:right w:val="none" w:sz="0" w:space="0" w:color="auto"/>
          </w:divBdr>
        </w:div>
        <w:div w:id="680163717">
          <w:marLeft w:val="640"/>
          <w:marRight w:val="0"/>
          <w:marTop w:val="0"/>
          <w:marBottom w:val="0"/>
          <w:divBdr>
            <w:top w:val="none" w:sz="0" w:space="0" w:color="auto"/>
            <w:left w:val="none" w:sz="0" w:space="0" w:color="auto"/>
            <w:bottom w:val="none" w:sz="0" w:space="0" w:color="auto"/>
            <w:right w:val="none" w:sz="0" w:space="0" w:color="auto"/>
          </w:divBdr>
        </w:div>
        <w:div w:id="333068173">
          <w:marLeft w:val="640"/>
          <w:marRight w:val="0"/>
          <w:marTop w:val="0"/>
          <w:marBottom w:val="0"/>
          <w:divBdr>
            <w:top w:val="none" w:sz="0" w:space="0" w:color="auto"/>
            <w:left w:val="none" w:sz="0" w:space="0" w:color="auto"/>
            <w:bottom w:val="none" w:sz="0" w:space="0" w:color="auto"/>
            <w:right w:val="none" w:sz="0" w:space="0" w:color="auto"/>
          </w:divBdr>
        </w:div>
        <w:div w:id="959460688">
          <w:marLeft w:val="640"/>
          <w:marRight w:val="0"/>
          <w:marTop w:val="0"/>
          <w:marBottom w:val="0"/>
          <w:divBdr>
            <w:top w:val="none" w:sz="0" w:space="0" w:color="auto"/>
            <w:left w:val="none" w:sz="0" w:space="0" w:color="auto"/>
            <w:bottom w:val="none" w:sz="0" w:space="0" w:color="auto"/>
            <w:right w:val="none" w:sz="0" w:space="0" w:color="auto"/>
          </w:divBdr>
        </w:div>
        <w:div w:id="1603491590">
          <w:marLeft w:val="640"/>
          <w:marRight w:val="0"/>
          <w:marTop w:val="0"/>
          <w:marBottom w:val="0"/>
          <w:divBdr>
            <w:top w:val="none" w:sz="0" w:space="0" w:color="auto"/>
            <w:left w:val="none" w:sz="0" w:space="0" w:color="auto"/>
            <w:bottom w:val="none" w:sz="0" w:space="0" w:color="auto"/>
            <w:right w:val="none" w:sz="0" w:space="0" w:color="auto"/>
          </w:divBdr>
        </w:div>
        <w:div w:id="448814660">
          <w:marLeft w:val="640"/>
          <w:marRight w:val="0"/>
          <w:marTop w:val="0"/>
          <w:marBottom w:val="0"/>
          <w:divBdr>
            <w:top w:val="none" w:sz="0" w:space="0" w:color="auto"/>
            <w:left w:val="none" w:sz="0" w:space="0" w:color="auto"/>
            <w:bottom w:val="none" w:sz="0" w:space="0" w:color="auto"/>
            <w:right w:val="none" w:sz="0" w:space="0" w:color="auto"/>
          </w:divBdr>
        </w:div>
        <w:div w:id="1858908">
          <w:marLeft w:val="640"/>
          <w:marRight w:val="0"/>
          <w:marTop w:val="0"/>
          <w:marBottom w:val="0"/>
          <w:divBdr>
            <w:top w:val="none" w:sz="0" w:space="0" w:color="auto"/>
            <w:left w:val="none" w:sz="0" w:space="0" w:color="auto"/>
            <w:bottom w:val="none" w:sz="0" w:space="0" w:color="auto"/>
            <w:right w:val="none" w:sz="0" w:space="0" w:color="auto"/>
          </w:divBdr>
        </w:div>
        <w:div w:id="1232040709">
          <w:marLeft w:val="640"/>
          <w:marRight w:val="0"/>
          <w:marTop w:val="0"/>
          <w:marBottom w:val="0"/>
          <w:divBdr>
            <w:top w:val="none" w:sz="0" w:space="0" w:color="auto"/>
            <w:left w:val="none" w:sz="0" w:space="0" w:color="auto"/>
            <w:bottom w:val="none" w:sz="0" w:space="0" w:color="auto"/>
            <w:right w:val="none" w:sz="0" w:space="0" w:color="auto"/>
          </w:divBdr>
        </w:div>
        <w:div w:id="845556933">
          <w:marLeft w:val="640"/>
          <w:marRight w:val="0"/>
          <w:marTop w:val="0"/>
          <w:marBottom w:val="0"/>
          <w:divBdr>
            <w:top w:val="none" w:sz="0" w:space="0" w:color="auto"/>
            <w:left w:val="none" w:sz="0" w:space="0" w:color="auto"/>
            <w:bottom w:val="none" w:sz="0" w:space="0" w:color="auto"/>
            <w:right w:val="none" w:sz="0" w:space="0" w:color="auto"/>
          </w:divBdr>
        </w:div>
        <w:div w:id="606275853">
          <w:marLeft w:val="640"/>
          <w:marRight w:val="0"/>
          <w:marTop w:val="0"/>
          <w:marBottom w:val="0"/>
          <w:divBdr>
            <w:top w:val="none" w:sz="0" w:space="0" w:color="auto"/>
            <w:left w:val="none" w:sz="0" w:space="0" w:color="auto"/>
            <w:bottom w:val="none" w:sz="0" w:space="0" w:color="auto"/>
            <w:right w:val="none" w:sz="0" w:space="0" w:color="auto"/>
          </w:divBdr>
        </w:div>
        <w:div w:id="1368944496">
          <w:marLeft w:val="640"/>
          <w:marRight w:val="0"/>
          <w:marTop w:val="0"/>
          <w:marBottom w:val="0"/>
          <w:divBdr>
            <w:top w:val="none" w:sz="0" w:space="0" w:color="auto"/>
            <w:left w:val="none" w:sz="0" w:space="0" w:color="auto"/>
            <w:bottom w:val="none" w:sz="0" w:space="0" w:color="auto"/>
            <w:right w:val="none" w:sz="0" w:space="0" w:color="auto"/>
          </w:divBdr>
        </w:div>
        <w:div w:id="1105727746">
          <w:marLeft w:val="640"/>
          <w:marRight w:val="0"/>
          <w:marTop w:val="0"/>
          <w:marBottom w:val="0"/>
          <w:divBdr>
            <w:top w:val="none" w:sz="0" w:space="0" w:color="auto"/>
            <w:left w:val="none" w:sz="0" w:space="0" w:color="auto"/>
            <w:bottom w:val="none" w:sz="0" w:space="0" w:color="auto"/>
            <w:right w:val="none" w:sz="0" w:space="0" w:color="auto"/>
          </w:divBdr>
        </w:div>
        <w:div w:id="147526548">
          <w:marLeft w:val="640"/>
          <w:marRight w:val="0"/>
          <w:marTop w:val="0"/>
          <w:marBottom w:val="0"/>
          <w:divBdr>
            <w:top w:val="none" w:sz="0" w:space="0" w:color="auto"/>
            <w:left w:val="none" w:sz="0" w:space="0" w:color="auto"/>
            <w:bottom w:val="none" w:sz="0" w:space="0" w:color="auto"/>
            <w:right w:val="none" w:sz="0" w:space="0" w:color="auto"/>
          </w:divBdr>
        </w:div>
        <w:div w:id="439689066">
          <w:marLeft w:val="640"/>
          <w:marRight w:val="0"/>
          <w:marTop w:val="0"/>
          <w:marBottom w:val="0"/>
          <w:divBdr>
            <w:top w:val="none" w:sz="0" w:space="0" w:color="auto"/>
            <w:left w:val="none" w:sz="0" w:space="0" w:color="auto"/>
            <w:bottom w:val="none" w:sz="0" w:space="0" w:color="auto"/>
            <w:right w:val="none" w:sz="0" w:space="0" w:color="auto"/>
          </w:divBdr>
        </w:div>
        <w:div w:id="1214579076">
          <w:marLeft w:val="640"/>
          <w:marRight w:val="0"/>
          <w:marTop w:val="0"/>
          <w:marBottom w:val="0"/>
          <w:divBdr>
            <w:top w:val="none" w:sz="0" w:space="0" w:color="auto"/>
            <w:left w:val="none" w:sz="0" w:space="0" w:color="auto"/>
            <w:bottom w:val="none" w:sz="0" w:space="0" w:color="auto"/>
            <w:right w:val="none" w:sz="0" w:space="0" w:color="auto"/>
          </w:divBdr>
        </w:div>
        <w:div w:id="843208017">
          <w:marLeft w:val="640"/>
          <w:marRight w:val="0"/>
          <w:marTop w:val="0"/>
          <w:marBottom w:val="0"/>
          <w:divBdr>
            <w:top w:val="none" w:sz="0" w:space="0" w:color="auto"/>
            <w:left w:val="none" w:sz="0" w:space="0" w:color="auto"/>
            <w:bottom w:val="none" w:sz="0" w:space="0" w:color="auto"/>
            <w:right w:val="none" w:sz="0" w:space="0" w:color="auto"/>
          </w:divBdr>
        </w:div>
        <w:div w:id="381901347">
          <w:marLeft w:val="640"/>
          <w:marRight w:val="0"/>
          <w:marTop w:val="0"/>
          <w:marBottom w:val="0"/>
          <w:divBdr>
            <w:top w:val="none" w:sz="0" w:space="0" w:color="auto"/>
            <w:left w:val="none" w:sz="0" w:space="0" w:color="auto"/>
            <w:bottom w:val="none" w:sz="0" w:space="0" w:color="auto"/>
            <w:right w:val="none" w:sz="0" w:space="0" w:color="auto"/>
          </w:divBdr>
        </w:div>
        <w:div w:id="438598731">
          <w:marLeft w:val="640"/>
          <w:marRight w:val="0"/>
          <w:marTop w:val="0"/>
          <w:marBottom w:val="0"/>
          <w:divBdr>
            <w:top w:val="none" w:sz="0" w:space="0" w:color="auto"/>
            <w:left w:val="none" w:sz="0" w:space="0" w:color="auto"/>
            <w:bottom w:val="none" w:sz="0" w:space="0" w:color="auto"/>
            <w:right w:val="none" w:sz="0" w:space="0" w:color="auto"/>
          </w:divBdr>
        </w:div>
        <w:div w:id="1999767530">
          <w:marLeft w:val="640"/>
          <w:marRight w:val="0"/>
          <w:marTop w:val="0"/>
          <w:marBottom w:val="0"/>
          <w:divBdr>
            <w:top w:val="none" w:sz="0" w:space="0" w:color="auto"/>
            <w:left w:val="none" w:sz="0" w:space="0" w:color="auto"/>
            <w:bottom w:val="none" w:sz="0" w:space="0" w:color="auto"/>
            <w:right w:val="none" w:sz="0" w:space="0" w:color="auto"/>
          </w:divBdr>
        </w:div>
        <w:div w:id="712538741">
          <w:marLeft w:val="640"/>
          <w:marRight w:val="0"/>
          <w:marTop w:val="0"/>
          <w:marBottom w:val="0"/>
          <w:divBdr>
            <w:top w:val="none" w:sz="0" w:space="0" w:color="auto"/>
            <w:left w:val="none" w:sz="0" w:space="0" w:color="auto"/>
            <w:bottom w:val="none" w:sz="0" w:space="0" w:color="auto"/>
            <w:right w:val="none" w:sz="0" w:space="0" w:color="auto"/>
          </w:divBdr>
        </w:div>
        <w:div w:id="290982925">
          <w:marLeft w:val="640"/>
          <w:marRight w:val="0"/>
          <w:marTop w:val="0"/>
          <w:marBottom w:val="0"/>
          <w:divBdr>
            <w:top w:val="none" w:sz="0" w:space="0" w:color="auto"/>
            <w:left w:val="none" w:sz="0" w:space="0" w:color="auto"/>
            <w:bottom w:val="none" w:sz="0" w:space="0" w:color="auto"/>
            <w:right w:val="none" w:sz="0" w:space="0" w:color="auto"/>
          </w:divBdr>
        </w:div>
        <w:div w:id="1440687258">
          <w:marLeft w:val="640"/>
          <w:marRight w:val="0"/>
          <w:marTop w:val="0"/>
          <w:marBottom w:val="0"/>
          <w:divBdr>
            <w:top w:val="none" w:sz="0" w:space="0" w:color="auto"/>
            <w:left w:val="none" w:sz="0" w:space="0" w:color="auto"/>
            <w:bottom w:val="none" w:sz="0" w:space="0" w:color="auto"/>
            <w:right w:val="none" w:sz="0" w:space="0" w:color="auto"/>
          </w:divBdr>
        </w:div>
        <w:div w:id="747731375">
          <w:marLeft w:val="640"/>
          <w:marRight w:val="0"/>
          <w:marTop w:val="0"/>
          <w:marBottom w:val="0"/>
          <w:divBdr>
            <w:top w:val="none" w:sz="0" w:space="0" w:color="auto"/>
            <w:left w:val="none" w:sz="0" w:space="0" w:color="auto"/>
            <w:bottom w:val="none" w:sz="0" w:space="0" w:color="auto"/>
            <w:right w:val="none" w:sz="0" w:space="0" w:color="auto"/>
          </w:divBdr>
        </w:div>
        <w:div w:id="1785538954">
          <w:marLeft w:val="640"/>
          <w:marRight w:val="0"/>
          <w:marTop w:val="0"/>
          <w:marBottom w:val="0"/>
          <w:divBdr>
            <w:top w:val="none" w:sz="0" w:space="0" w:color="auto"/>
            <w:left w:val="none" w:sz="0" w:space="0" w:color="auto"/>
            <w:bottom w:val="none" w:sz="0" w:space="0" w:color="auto"/>
            <w:right w:val="none" w:sz="0" w:space="0" w:color="auto"/>
          </w:divBdr>
        </w:div>
        <w:div w:id="830292302">
          <w:marLeft w:val="640"/>
          <w:marRight w:val="0"/>
          <w:marTop w:val="0"/>
          <w:marBottom w:val="0"/>
          <w:divBdr>
            <w:top w:val="none" w:sz="0" w:space="0" w:color="auto"/>
            <w:left w:val="none" w:sz="0" w:space="0" w:color="auto"/>
            <w:bottom w:val="none" w:sz="0" w:space="0" w:color="auto"/>
            <w:right w:val="none" w:sz="0" w:space="0" w:color="auto"/>
          </w:divBdr>
        </w:div>
        <w:div w:id="1560243825">
          <w:marLeft w:val="640"/>
          <w:marRight w:val="0"/>
          <w:marTop w:val="0"/>
          <w:marBottom w:val="0"/>
          <w:divBdr>
            <w:top w:val="none" w:sz="0" w:space="0" w:color="auto"/>
            <w:left w:val="none" w:sz="0" w:space="0" w:color="auto"/>
            <w:bottom w:val="none" w:sz="0" w:space="0" w:color="auto"/>
            <w:right w:val="none" w:sz="0" w:space="0" w:color="auto"/>
          </w:divBdr>
        </w:div>
        <w:div w:id="514419480">
          <w:marLeft w:val="640"/>
          <w:marRight w:val="0"/>
          <w:marTop w:val="0"/>
          <w:marBottom w:val="0"/>
          <w:divBdr>
            <w:top w:val="none" w:sz="0" w:space="0" w:color="auto"/>
            <w:left w:val="none" w:sz="0" w:space="0" w:color="auto"/>
            <w:bottom w:val="none" w:sz="0" w:space="0" w:color="auto"/>
            <w:right w:val="none" w:sz="0" w:space="0" w:color="auto"/>
          </w:divBdr>
        </w:div>
        <w:div w:id="480970663">
          <w:marLeft w:val="640"/>
          <w:marRight w:val="0"/>
          <w:marTop w:val="0"/>
          <w:marBottom w:val="0"/>
          <w:divBdr>
            <w:top w:val="none" w:sz="0" w:space="0" w:color="auto"/>
            <w:left w:val="none" w:sz="0" w:space="0" w:color="auto"/>
            <w:bottom w:val="none" w:sz="0" w:space="0" w:color="auto"/>
            <w:right w:val="none" w:sz="0" w:space="0" w:color="auto"/>
          </w:divBdr>
        </w:div>
        <w:div w:id="174274975">
          <w:marLeft w:val="640"/>
          <w:marRight w:val="0"/>
          <w:marTop w:val="0"/>
          <w:marBottom w:val="0"/>
          <w:divBdr>
            <w:top w:val="none" w:sz="0" w:space="0" w:color="auto"/>
            <w:left w:val="none" w:sz="0" w:space="0" w:color="auto"/>
            <w:bottom w:val="none" w:sz="0" w:space="0" w:color="auto"/>
            <w:right w:val="none" w:sz="0" w:space="0" w:color="auto"/>
          </w:divBdr>
        </w:div>
        <w:div w:id="455291400">
          <w:marLeft w:val="640"/>
          <w:marRight w:val="0"/>
          <w:marTop w:val="0"/>
          <w:marBottom w:val="0"/>
          <w:divBdr>
            <w:top w:val="none" w:sz="0" w:space="0" w:color="auto"/>
            <w:left w:val="none" w:sz="0" w:space="0" w:color="auto"/>
            <w:bottom w:val="none" w:sz="0" w:space="0" w:color="auto"/>
            <w:right w:val="none" w:sz="0" w:space="0" w:color="auto"/>
          </w:divBdr>
        </w:div>
        <w:div w:id="1694961263">
          <w:marLeft w:val="640"/>
          <w:marRight w:val="0"/>
          <w:marTop w:val="0"/>
          <w:marBottom w:val="0"/>
          <w:divBdr>
            <w:top w:val="none" w:sz="0" w:space="0" w:color="auto"/>
            <w:left w:val="none" w:sz="0" w:space="0" w:color="auto"/>
            <w:bottom w:val="none" w:sz="0" w:space="0" w:color="auto"/>
            <w:right w:val="none" w:sz="0" w:space="0" w:color="auto"/>
          </w:divBdr>
        </w:div>
        <w:div w:id="1391611620">
          <w:marLeft w:val="640"/>
          <w:marRight w:val="0"/>
          <w:marTop w:val="0"/>
          <w:marBottom w:val="0"/>
          <w:divBdr>
            <w:top w:val="none" w:sz="0" w:space="0" w:color="auto"/>
            <w:left w:val="none" w:sz="0" w:space="0" w:color="auto"/>
            <w:bottom w:val="none" w:sz="0" w:space="0" w:color="auto"/>
            <w:right w:val="none" w:sz="0" w:space="0" w:color="auto"/>
          </w:divBdr>
        </w:div>
        <w:div w:id="558446048">
          <w:marLeft w:val="640"/>
          <w:marRight w:val="0"/>
          <w:marTop w:val="0"/>
          <w:marBottom w:val="0"/>
          <w:divBdr>
            <w:top w:val="none" w:sz="0" w:space="0" w:color="auto"/>
            <w:left w:val="none" w:sz="0" w:space="0" w:color="auto"/>
            <w:bottom w:val="none" w:sz="0" w:space="0" w:color="auto"/>
            <w:right w:val="none" w:sz="0" w:space="0" w:color="auto"/>
          </w:divBdr>
        </w:div>
        <w:div w:id="1785684491">
          <w:marLeft w:val="640"/>
          <w:marRight w:val="0"/>
          <w:marTop w:val="0"/>
          <w:marBottom w:val="0"/>
          <w:divBdr>
            <w:top w:val="none" w:sz="0" w:space="0" w:color="auto"/>
            <w:left w:val="none" w:sz="0" w:space="0" w:color="auto"/>
            <w:bottom w:val="none" w:sz="0" w:space="0" w:color="auto"/>
            <w:right w:val="none" w:sz="0" w:space="0" w:color="auto"/>
          </w:divBdr>
        </w:div>
        <w:div w:id="1553541076">
          <w:marLeft w:val="640"/>
          <w:marRight w:val="0"/>
          <w:marTop w:val="0"/>
          <w:marBottom w:val="0"/>
          <w:divBdr>
            <w:top w:val="none" w:sz="0" w:space="0" w:color="auto"/>
            <w:left w:val="none" w:sz="0" w:space="0" w:color="auto"/>
            <w:bottom w:val="none" w:sz="0" w:space="0" w:color="auto"/>
            <w:right w:val="none" w:sz="0" w:space="0" w:color="auto"/>
          </w:divBdr>
        </w:div>
        <w:div w:id="1864215">
          <w:marLeft w:val="640"/>
          <w:marRight w:val="0"/>
          <w:marTop w:val="0"/>
          <w:marBottom w:val="0"/>
          <w:divBdr>
            <w:top w:val="none" w:sz="0" w:space="0" w:color="auto"/>
            <w:left w:val="none" w:sz="0" w:space="0" w:color="auto"/>
            <w:bottom w:val="none" w:sz="0" w:space="0" w:color="auto"/>
            <w:right w:val="none" w:sz="0" w:space="0" w:color="auto"/>
          </w:divBdr>
        </w:div>
        <w:div w:id="335888560">
          <w:marLeft w:val="640"/>
          <w:marRight w:val="0"/>
          <w:marTop w:val="0"/>
          <w:marBottom w:val="0"/>
          <w:divBdr>
            <w:top w:val="none" w:sz="0" w:space="0" w:color="auto"/>
            <w:left w:val="none" w:sz="0" w:space="0" w:color="auto"/>
            <w:bottom w:val="none" w:sz="0" w:space="0" w:color="auto"/>
            <w:right w:val="none" w:sz="0" w:space="0" w:color="auto"/>
          </w:divBdr>
        </w:div>
        <w:div w:id="1219239879">
          <w:marLeft w:val="640"/>
          <w:marRight w:val="0"/>
          <w:marTop w:val="0"/>
          <w:marBottom w:val="0"/>
          <w:divBdr>
            <w:top w:val="none" w:sz="0" w:space="0" w:color="auto"/>
            <w:left w:val="none" w:sz="0" w:space="0" w:color="auto"/>
            <w:bottom w:val="none" w:sz="0" w:space="0" w:color="auto"/>
            <w:right w:val="none" w:sz="0" w:space="0" w:color="auto"/>
          </w:divBdr>
        </w:div>
        <w:div w:id="377053136">
          <w:marLeft w:val="640"/>
          <w:marRight w:val="0"/>
          <w:marTop w:val="0"/>
          <w:marBottom w:val="0"/>
          <w:divBdr>
            <w:top w:val="none" w:sz="0" w:space="0" w:color="auto"/>
            <w:left w:val="none" w:sz="0" w:space="0" w:color="auto"/>
            <w:bottom w:val="none" w:sz="0" w:space="0" w:color="auto"/>
            <w:right w:val="none" w:sz="0" w:space="0" w:color="auto"/>
          </w:divBdr>
        </w:div>
        <w:div w:id="1137800622">
          <w:marLeft w:val="640"/>
          <w:marRight w:val="0"/>
          <w:marTop w:val="0"/>
          <w:marBottom w:val="0"/>
          <w:divBdr>
            <w:top w:val="none" w:sz="0" w:space="0" w:color="auto"/>
            <w:left w:val="none" w:sz="0" w:space="0" w:color="auto"/>
            <w:bottom w:val="none" w:sz="0" w:space="0" w:color="auto"/>
            <w:right w:val="none" w:sz="0" w:space="0" w:color="auto"/>
          </w:divBdr>
        </w:div>
        <w:div w:id="875704345">
          <w:marLeft w:val="640"/>
          <w:marRight w:val="0"/>
          <w:marTop w:val="0"/>
          <w:marBottom w:val="0"/>
          <w:divBdr>
            <w:top w:val="none" w:sz="0" w:space="0" w:color="auto"/>
            <w:left w:val="none" w:sz="0" w:space="0" w:color="auto"/>
            <w:bottom w:val="none" w:sz="0" w:space="0" w:color="auto"/>
            <w:right w:val="none" w:sz="0" w:space="0" w:color="auto"/>
          </w:divBdr>
        </w:div>
        <w:div w:id="932974320">
          <w:marLeft w:val="640"/>
          <w:marRight w:val="0"/>
          <w:marTop w:val="0"/>
          <w:marBottom w:val="0"/>
          <w:divBdr>
            <w:top w:val="none" w:sz="0" w:space="0" w:color="auto"/>
            <w:left w:val="none" w:sz="0" w:space="0" w:color="auto"/>
            <w:bottom w:val="none" w:sz="0" w:space="0" w:color="auto"/>
            <w:right w:val="none" w:sz="0" w:space="0" w:color="auto"/>
          </w:divBdr>
        </w:div>
        <w:div w:id="558059939">
          <w:marLeft w:val="640"/>
          <w:marRight w:val="0"/>
          <w:marTop w:val="0"/>
          <w:marBottom w:val="0"/>
          <w:divBdr>
            <w:top w:val="none" w:sz="0" w:space="0" w:color="auto"/>
            <w:left w:val="none" w:sz="0" w:space="0" w:color="auto"/>
            <w:bottom w:val="none" w:sz="0" w:space="0" w:color="auto"/>
            <w:right w:val="none" w:sz="0" w:space="0" w:color="auto"/>
          </w:divBdr>
        </w:div>
        <w:div w:id="135145913">
          <w:marLeft w:val="640"/>
          <w:marRight w:val="0"/>
          <w:marTop w:val="0"/>
          <w:marBottom w:val="0"/>
          <w:divBdr>
            <w:top w:val="none" w:sz="0" w:space="0" w:color="auto"/>
            <w:left w:val="none" w:sz="0" w:space="0" w:color="auto"/>
            <w:bottom w:val="none" w:sz="0" w:space="0" w:color="auto"/>
            <w:right w:val="none" w:sz="0" w:space="0" w:color="auto"/>
          </w:divBdr>
        </w:div>
        <w:div w:id="1017999014">
          <w:marLeft w:val="640"/>
          <w:marRight w:val="0"/>
          <w:marTop w:val="0"/>
          <w:marBottom w:val="0"/>
          <w:divBdr>
            <w:top w:val="none" w:sz="0" w:space="0" w:color="auto"/>
            <w:left w:val="none" w:sz="0" w:space="0" w:color="auto"/>
            <w:bottom w:val="none" w:sz="0" w:space="0" w:color="auto"/>
            <w:right w:val="none" w:sz="0" w:space="0" w:color="auto"/>
          </w:divBdr>
        </w:div>
        <w:div w:id="1926524356">
          <w:marLeft w:val="640"/>
          <w:marRight w:val="0"/>
          <w:marTop w:val="0"/>
          <w:marBottom w:val="0"/>
          <w:divBdr>
            <w:top w:val="none" w:sz="0" w:space="0" w:color="auto"/>
            <w:left w:val="none" w:sz="0" w:space="0" w:color="auto"/>
            <w:bottom w:val="none" w:sz="0" w:space="0" w:color="auto"/>
            <w:right w:val="none" w:sz="0" w:space="0" w:color="auto"/>
          </w:divBdr>
        </w:div>
        <w:div w:id="279337250">
          <w:marLeft w:val="640"/>
          <w:marRight w:val="0"/>
          <w:marTop w:val="0"/>
          <w:marBottom w:val="0"/>
          <w:divBdr>
            <w:top w:val="none" w:sz="0" w:space="0" w:color="auto"/>
            <w:left w:val="none" w:sz="0" w:space="0" w:color="auto"/>
            <w:bottom w:val="none" w:sz="0" w:space="0" w:color="auto"/>
            <w:right w:val="none" w:sz="0" w:space="0" w:color="auto"/>
          </w:divBdr>
        </w:div>
        <w:div w:id="290333596">
          <w:marLeft w:val="640"/>
          <w:marRight w:val="0"/>
          <w:marTop w:val="0"/>
          <w:marBottom w:val="0"/>
          <w:divBdr>
            <w:top w:val="none" w:sz="0" w:space="0" w:color="auto"/>
            <w:left w:val="none" w:sz="0" w:space="0" w:color="auto"/>
            <w:bottom w:val="none" w:sz="0" w:space="0" w:color="auto"/>
            <w:right w:val="none" w:sz="0" w:space="0" w:color="auto"/>
          </w:divBdr>
        </w:div>
        <w:div w:id="1011763457">
          <w:marLeft w:val="640"/>
          <w:marRight w:val="0"/>
          <w:marTop w:val="0"/>
          <w:marBottom w:val="0"/>
          <w:divBdr>
            <w:top w:val="none" w:sz="0" w:space="0" w:color="auto"/>
            <w:left w:val="none" w:sz="0" w:space="0" w:color="auto"/>
            <w:bottom w:val="none" w:sz="0" w:space="0" w:color="auto"/>
            <w:right w:val="none" w:sz="0" w:space="0" w:color="auto"/>
          </w:divBdr>
        </w:div>
        <w:div w:id="1431661742">
          <w:marLeft w:val="640"/>
          <w:marRight w:val="0"/>
          <w:marTop w:val="0"/>
          <w:marBottom w:val="0"/>
          <w:divBdr>
            <w:top w:val="none" w:sz="0" w:space="0" w:color="auto"/>
            <w:left w:val="none" w:sz="0" w:space="0" w:color="auto"/>
            <w:bottom w:val="none" w:sz="0" w:space="0" w:color="auto"/>
            <w:right w:val="none" w:sz="0" w:space="0" w:color="auto"/>
          </w:divBdr>
        </w:div>
        <w:div w:id="1997301636">
          <w:marLeft w:val="640"/>
          <w:marRight w:val="0"/>
          <w:marTop w:val="0"/>
          <w:marBottom w:val="0"/>
          <w:divBdr>
            <w:top w:val="none" w:sz="0" w:space="0" w:color="auto"/>
            <w:left w:val="none" w:sz="0" w:space="0" w:color="auto"/>
            <w:bottom w:val="none" w:sz="0" w:space="0" w:color="auto"/>
            <w:right w:val="none" w:sz="0" w:space="0" w:color="auto"/>
          </w:divBdr>
        </w:div>
        <w:div w:id="1756588302">
          <w:marLeft w:val="640"/>
          <w:marRight w:val="0"/>
          <w:marTop w:val="0"/>
          <w:marBottom w:val="0"/>
          <w:divBdr>
            <w:top w:val="none" w:sz="0" w:space="0" w:color="auto"/>
            <w:left w:val="none" w:sz="0" w:space="0" w:color="auto"/>
            <w:bottom w:val="none" w:sz="0" w:space="0" w:color="auto"/>
            <w:right w:val="none" w:sz="0" w:space="0" w:color="auto"/>
          </w:divBdr>
        </w:div>
        <w:div w:id="1410079364">
          <w:marLeft w:val="640"/>
          <w:marRight w:val="0"/>
          <w:marTop w:val="0"/>
          <w:marBottom w:val="0"/>
          <w:divBdr>
            <w:top w:val="none" w:sz="0" w:space="0" w:color="auto"/>
            <w:left w:val="none" w:sz="0" w:space="0" w:color="auto"/>
            <w:bottom w:val="none" w:sz="0" w:space="0" w:color="auto"/>
            <w:right w:val="none" w:sz="0" w:space="0" w:color="auto"/>
          </w:divBdr>
        </w:div>
        <w:div w:id="921254231">
          <w:marLeft w:val="640"/>
          <w:marRight w:val="0"/>
          <w:marTop w:val="0"/>
          <w:marBottom w:val="0"/>
          <w:divBdr>
            <w:top w:val="none" w:sz="0" w:space="0" w:color="auto"/>
            <w:left w:val="none" w:sz="0" w:space="0" w:color="auto"/>
            <w:bottom w:val="none" w:sz="0" w:space="0" w:color="auto"/>
            <w:right w:val="none" w:sz="0" w:space="0" w:color="auto"/>
          </w:divBdr>
        </w:div>
        <w:div w:id="1637300185">
          <w:marLeft w:val="640"/>
          <w:marRight w:val="0"/>
          <w:marTop w:val="0"/>
          <w:marBottom w:val="0"/>
          <w:divBdr>
            <w:top w:val="none" w:sz="0" w:space="0" w:color="auto"/>
            <w:left w:val="none" w:sz="0" w:space="0" w:color="auto"/>
            <w:bottom w:val="none" w:sz="0" w:space="0" w:color="auto"/>
            <w:right w:val="none" w:sz="0" w:space="0" w:color="auto"/>
          </w:divBdr>
        </w:div>
        <w:div w:id="151527311">
          <w:marLeft w:val="640"/>
          <w:marRight w:val="0"/>
          <w:marTop w:val="0"/>
          <w:marBottom w:val="0"/>
          <w:divBdr>
            <w:top w:val="none" w:sz="0" w:space="0" w:color="auto"/>
            <w:left w:val="none" w:sz="0" w:space="0" w:color="auto"/>
            <w:bottom w:val="none" w:sz="0" w:space="0" w:color="auto"/>
            <w:right w:val="none" w:sz="0" w:space="0" w:color="auto"/>
          </w:divBdr>
        </w:div>
        <w:div w:id="1174958951">
          <w:marLeft w:val="640"/>
          <w:marRight w:val="0"/>
          <w:marTop w:val="0"/>
          <w:marBottom w:val="0"/>
          <w:divBdr>
            <w:top w:val="none" w:sz="0" w:space="0" w:color="auto"/>
            <w:left w:val="none" w:sz="0" w:space="0" w:color="auto"/>
            <w:bottom w:val="none" w:sz="0" w:space="0" w:color="auto"/>
            <w:right w:val="none" w:sz="0" w:space="0" w:color="auto"/>
          </w:divBdr>
        </w:div>
        <w:div w:id="1488547370">
          <w:marLeft w:val="640"/>
          <w:marRight w:val="0"/>
          <w:marTop w:val="0"/>
          <w:marBottom w:val="0"/>
          <w:divBdr>
            <w:top w:val="none" w:sz="0" w:space="0" w:color="auto"/>
            <w:left w:val="none" w:sz="0" w:space="0" w:color="auto"/>
            <w:bottom w:val="none" w:sz="0" w:space="0" w:color="auto"/>
            <w:right w:val="none" w:sz="0" w:space="0" w:color="auto"/>
          </w:divBdr>
        </w:div>
        <w:div w:id="1815292891">
          <w:marLeft w:val="640"/>
          <w:marRight w:val="0"/>
          <w:marTop w:val="0"/>
          <w:marBottom w:val="0"/>
          <w:divBdr>
            <w:top w:val="none" w:sz="0" w:space="0" w:color="auto"/>
            <w:left w:val="none" w:sz="0" w:space="0" w:color="auto"/>
            <w:bottom w:val="none" w:sz="0" w:space="0" w:color="auto"/>
            <w:right w:val="none" w:sz="0" w:space="0" w:color="auto"/>
          </w:divBdr>
        </w:div>
        <w:div w:id="12994540">
          <w:marLeft w:val="640"/>
          <w:marRight w:val="0"/>
          <w:marTop w:val="0"/>
          <w:marBottom w:val="0"/>
          <w:divBdr>
            <w:top w:val="none" w:sz="0" w:space="0" w:color="auto"/>
            <w:left w:val="none" w:sz="0" w:space="0" w:color="auto"/>
            <w:bottom w:val="none" w:sz="0" w:space="0" w:color="auto"/>
            <w:right w:val="none" w:sz="0" w:space="0" w:color="auto"/>
          </w:divBdr>
        </w:div>
        <w:div w:id="1447045023">
          <w:marLeft w:val="640"/>
          <w:marRight w:val="0"/>
          <w:marTop w:val="0"/>
          <w:marBottom w:val="0"/>
          <w:divBdr>
            <w:top w:val="none" w:sz="0" w:space="0" w:color="auto"/>
            <w:left w:val="none" w:sz="0" w:space="0" w:color="auto"/>
            <w:bottom w:val="none" w:sz="0" w:space="0" w:color="auto"/>
            <w:right w:val="none" w:sz="0" w:space="0" w:color="auto"/>
          </w:divBdr>
        </w:div>
        <w:div w:id="522405402">
          <w:marLeft w:val="640"/>
          <w:marRight w:val="0"/>
          <w:marTop w:val="0"/>
          <w:marBottom w:val="0"/>
          <w:divBdr>
            <w:top w:val="none" w:sz="0" w:space="0" w:color="auto"/>
            <w:left w:val="none" w:sz="0" w:space="0" w:color="auto"/>
            <w:bottom w:val="none" w:sz="0" w:space="0" w:color="auto"/>
            <w:right w:val="none" w:sz="0" w:space="0" w:color="auto"/>
          </w:divBdr>
        </w:div>
        <w:div w:id="1915889713">
          <w:marLeft w:val="640"/>
          <w:marRight w:val="0"/>
          <w:marTop w:val="0"/>
          <w:marBottom w:val="0"/>
          <w:divBdr>
            <w:top w:val="none" w:sz="0" w:space="0" w:color="auto"/>
            <w:left w:val="none" w:sz="0" w:space="0" w:color="auto"/>
            <w:bottom w:val="none" w:sz="0" w:space="0" w:color="auto"/>
            <w:right w:val="none" w:sz="0" w:space="0" w:color="auto"/>
          </w:divBdr>
        </w:div>
        <w:div w:id="2097549402">
          <w:marLeft w:val="640"/>
          <w:marRight w:val="0"/>
          <w:marTop w:val="0"/>
          <w:marBottom w:val="0"/>
          <w:divBdr>
            <w:top w:val="none" w:sz="0" w:space="0" w:color="auto"/>
            <w:left w:val="none" w:sz="0" w:space="0" w:color="auto"/>
            <w:bottom w:val="none" w:sz="0" w:space="0" w:color="auto"/>
            <w:right w:val="none" w:sz="0" w:space="0" w:color="auto"/>
          </w:divBdr>
        </w:div>
        <w:div w:id="1415129606">
          <w:marLeft w:val="640"/>
          <w:marRight w:val="0"/>
          <w:marTop w:val="0"/>
          <w:marBottom w:val="0"/>
          <w:divBdr>
            <w:top w:val="none" w:sz="0" w:space="0" w:color="auto"/>
            <w:left w:val="none" w:sz="0" w:space="0" w:color="auto"/>
            <w:bottom w:val="none" w:sz="0" w:space="0" w:color="auto"/>
            <w:right w:val="none" w:sz="0" w:space="0" w:color="auto"/>
          </w:divBdr>
        </w:div>
        <w:div w:id="830171857">
          <w:marLeft w:val="640"/>
          <w:marRight w:val="0"/>
          <w:marTop w:val="0"/>
          <w:marBottom w:val="0"/>
          <w:divBdr>
            <w:top w:val="none" w:sz="0" w:space="0" w:color="auto"/>
            <w:left w:val="none" w:sz="0" w:space="0" w:color="auto"/>
            <w:bottom w:val="none" w:sz="0" w:space="0" w:color="auto"/>
            <w:right w:val="none" w:sz="0" w:space="0" w:color="auto"/>
          </w:divBdr>
        </w:div>
        <w:div w:id="2107722339">
          <w:marLeft w:val="640"/>
          <w:marRight w:val="0"/>
          <w:marTop w:val="0"/>
          <w:marBottom w:val="0"/>
          <w:divBdr>
            <w:top w:val="none" w:sz="0" w:space="0" w:color="auto"/>
            <w:left w:val="none" w:sz="0" w:space="0" w:color="auto"/>
            <w:bottom w:val="none" w:sz="0" w:space="0" w:color="auto"/>
            <w:right w:val="none" w:sz="0" w:space="0" w:color="auto"/>
          </w:divBdr>
        </w:div>
        <w:div w:id="1522665876">
          <w:marLeft w:val="640"/>
          <w:marRight w:val="0"/>
          <w:marTop w:val="0"/>
          <w:marBottom w:val="0"/>
          <w:divBdr>
            <w:top w:val="none" w:sz="0" w:space="0" w:color="auto"/>
            <w:left w:val="none" w:sz="0" w:space="0" w:color="auto"/>
            <w:bottom w:val="none" w:sz="0" w:space="0" w:color="auto"/>
            <w:right w:val="none" w:sz="0" w:space="0" w:color="auto"/>
          </w:divBdr>
        </w:div>
        <w:div w:id="1927615483">
          <w:marLeft w:val="640"/>
          <w:marRight w:val="0"/>
          <w:marTop w:val="0"/>
          <w:marBottom w:val="0"/>
          <w:divBdr>
            <w:top w:val="none" w:sz="0" w:space="0" w:color="auto"/>
            <w:left w:val="none" w:sz="0" w:space="0" w:color="auto"/>
            <w:bottom w:val="none" w:sz="0" w:space="0" w:color="auto"/>
            <w:right w:val="none" w:sz="0" w:space="0" w:color="auto"/>
          </w:divBdr>
        </w:div>
        <w:div w:id="295529383">
          <w:marLeft w:val="640"/>
          <w:marRight w:val="0"/>
          <w:marTop w:val="0"/>
          <w:marBottom w:val="0"/>
          <w:divBdr>
            <w:top w:val="none" w:sz="0" w:space="0" w:color="auto"/>
            <w:left w:val="none" w:sz="0" w:space="0" w:color="auto"/>
            <w:bottom w:val="none" w:sz="0" w:space="0" w:color="auto"/>
            <w:right w:val="none" w:sz="0" w:space="0" w:color="auto"/>
          </w:divBdr>
        </w:div>
        <w:div w:id="2077969323">
          <w:marLeft w:val="640"/>
          <w:marRight w:val="0"/>
          <w:marTop w:val="0"/>
          <w:marBottom w:val="0"/>
          <w:divBdr>
            <w:top w:val="none" w:sz="0" w:space="0" w:color="auto"/>
            <w:left w:val="none" w:sz="0" w:space="0" w:color="auto"/>
            <w:bottom w:val="none" w:sz="0" w:space="0" w:color="auto"/>
            <w:right w:val="none" w:sz="0" w:space="0" w:color="auto"/>
          </w:divBdr>
        </w:div>
        <w:div w:id="2091542279">
          <w:marLeft w:val="640"/>
          <w:marRight w:val="0"/>
          <w:marTop w:val="0"/>
          <w:marBottom w:val="0"/>
          <w:divBdr>
            <w:top w:val="none" w:sz="0" w:space="0" w:color="auto"/>
            <w:left w:val="none" w:sz="0" w:space="0" w:color="auto"/>
            <w:bottom w:val="none" w:sz="0" w:space="0" w:color="auto"/>
            <w:right w:val="none" w:sz="0" w:space="0" w:color="auto"/>
          </w:divBdr>
        </w:div>
        <w:div w:id="323971723">
          <w:marLeft w:val="640"/>
          <w:marRight w:val="0"/>
          <w:marTop w:val="0"/>
          <w:marBottom w:val="0"/>
          <w:divBdr>
            <w:top w:val="none" w:sz="0" w:space="0" w:color="auto"/>
            <w:left w:val="none" w:sz="0" w:space="0" w:color="auto"/>
            <w:bottom w:val="none" w:sz="0" w:space="0" w:color="auto"/>
            <w:right w:val="none" w:sz="0" w:space="0" w:color="auto"/>
          </w:divBdr>
        </w:div>
        <w:div w:id="50462836">
          <w:marLeft w:val="640"/>
          <w:marRight w:val="0"/>
          <w:marTop w:val="0"/>
          <w:marBottom w:val="0"/>
          <w:divBdr>
            <w:top w:val="none" w:sz="0" w:space="0" w:color="auto"/>
            <w:left w:val="none" w:sz="0" w:space="0" w:color="auto"/>
            <w:bottom w:val="none" w:sz="0" w:space="0" w:color="auto"/>
            <w:right w:val="none" w:sz="0" w:space="0" w:color="auto"/>
          </w:divBdr>
        </w:div>
        <w:div w:id="1835417624">
          <w:marLeft w:val="640"/>
          <w:marRight w:val="0"/>
          <w:marTop w:val="0"/>
          <w:marBottom w:val="0"/>
          <w:divBdr>
            <w:top w:val="none" w:sz="0" w:space="0" w:color="auto"/>
            <w:left w:val="none" w:sz="0" w:space="0" w:color="auto"/>
            <w:bottom w:val="none" w:sz="0" w:space="0" w:color="auto"/>
            <w:right w:val="none" w:sz="0" w:space="0" w:color="auto"/>
          </w:divBdr>
        </w:div>
        <w:div w:id="1870071286">
          <w:marLeft w:val="640"/>
          <w:marRight w:val="0"/>
          <w:marTop w:val="0"/>
          <w:marBottom w:val="0"/>
          <w:divBdr>
            <w:top w:val="none" w:sz="0" w:space="0" w:color="auto"/>
            <w:left w:val="none" w:sz="0" w:space="0" w:color="auto"/>
            <w:bottom w:val="none" w:sz="0" w:space="0" w:color="auto"/>
            <w:right w:val="none" w:sz="0" w:space="0" w:color="auto"/>
          </w:divBdr>
        </w:div>
        <w:div w:id="851845521">
          <w:marLeft w:val="640"/>
          <w:marRight w:val="0"/>
          <w:marTop w:val="0"/>
          <w:marBottom w:val="0"/>
          <w:divBdr>
            <w:top w:val="none" w:sz="0" w:space="0" w:color="auto"/>
            <w:left w:val="none" w:sz="0" w:space="0" w:color="auto"/>
            <w:bottom w:val="none" w:sz="0" w:space="0" w:color="auto"/>
            <w:right w:val="none" w:sz="0" w:space="0" w:color="auto"/>
          </w:divBdr>
        </w:div>
        <w:div w:id="1080173299">
          <w:marLeft w:val="640"/>
          <w:marRight w:val="0"/>
          <w:marTop w:val="0"/>
          <w:marBottom w:val="0"/>
          <w:divBdr>
            <w:top w:val="none" w:sz="0" w:space="0" w:color="auto"/>
            <w:left w:val="none" w:sz="0" w:space="0" w:color="auto"/>
            <w:bottom w:val="none" w:sz="0" w:space="0" w:color="auto"/>
            <w:right w:val="none" w:sz="0" w:space="0" w:color="auto"/>
          </w:divBdr>
        </w:div>
        <w:div w:id="1627396632">
          <w:marLeft w:val="640"/>
          <w:marRight w:val="0"/>
          <w:marTop w:val="0"/>
          <w:marBottom w:val="0"/>
          <w:divBdr>
            <w:top w:val="none" w:sz="0" w:space="0" w:color="auto"/>
            <w:left w:val="none" w:sz="0" w:space="0" w:color="auto"/>
            <w:bottom w:val="none" w:sz="0" w:space="0" w:color="auto"/>
            <w:right w:val="none" w:sz="0" w:space="0" w:color="auto"/>
          </w:divBdr>
        </w:div>
        <w:div w:id="579294648">
          <w:marLeft w:val="640"/>
          <w:marRight w:val="0"/>
          <w:marTop w:val="0"/>
          <w:marBottom w:val="0"/>
          <w:divBdr>
            <w:top w:val="none" w:sz="0" w:space="0" w:color="auto"/>
            <w:left w:val="none" w:sz="0" w:space="0" w:color="auto"/>
            <w:bottom w:val="none" w:sz="0" w:space="0" w:color="auto"/>
            <w:right w:val="none" w:sz="0" w:space="0" w:color="auto"/>
          </w:divBdr>
        </w:div>
        <w:div w:id="408310801">
          <w:marLeft w:val="640"/>
          <w:marRight w:val="0"/>
          <w:marTop w:val="0"/>
          <w:marBottom w:val="0"/>
          <w:divBdr>
            <w:top w:val="none" w:sz="0" w:space="0" w:color="auto"/>
            <w:left w:val="none" w:sz="0" w:space="0" w:color="auto"/>
            <w:bottom w:val="none" w:sz="0" w:space="0" w:color="auto"/>
            <w:right w:val="none" w:sz="0" w:space="0" w:color="auto"/>
          </w:divBdr>
        </w:div>
        <w:div w:id="752630334">
          <w:marLeft w:val="640"/>
          <w:marRight w:val="0"/>
          <w:marTop w:val="0"/>
          <w:marBottom w:val="0"/>
          <w:divBdr>
            <w:top w:val="none" w:sz="0" w:space="0" w:color="auto"/>
            <w:left w:val="none" w:sz="0" w:space="0" w:color="auto"/>
            <w:bottom w:val="none" w:sz="0" w:space="0" w:color="auto"/>
            <w:right w:val="none" w:sz="0" w:space="0" w:color="auto"/>
          </w:divBdr>
        </w:div>
        <w:div w:id="148256211">
          <w:marLeft w:val="640"/>
          <w:marRight w:val="0"/>
          <w:marTop w:val="0"/>
          <w:marBottom w:val="0"/>
          <w:divBdr>
            <w:top w:val="none" w:sz="0" w:space="0" w:color="auto"/>
            <w:left w:val="none" w:sz="0" w:space="0" w:color="auto"/>
            <w:bottom w:val="none" w:sz="0" w:space="0" w:color="auto"/>
            <w:right w:val="none" w:sz="0" w:space="0" w:color="auto"/>
          </w:divBdr>
        </w:div>
        <w:div w:id="2028631551">
          <w:marLeft w:val="640"/>
          <w:marRight w:val="0"/>
          <w:marTop w:val="0"/>
          <w:marBottom w:val="0"/>
          <w:divBdr>
            <w:top w:val="none" w:sz="0" w:space="0" w:color="auto"/>
            <w:left w:val="none" w:sz="0" w:space="0" w:color="auto"/>
            <w:bottom w:val="none" w:sz="0" w:space="0" w:color="auto"/>
            <w:right w:val="none" w:sz="0" w:space="0" w:color="auto"/>
          </w:divBdr>
        </w:div>
        <w:div w:id="1787432926">
          <w:marLeft w:val="640"/>
          <w:marRight w:val="0"/>
          <w:marTop w:val="0"/>
          <w:marBottom w:val="0"/>
          <w:divBdr>
            <w:top w:val="none" w:sz="0" w:space="0" w:color="auto"/>
            <w:left w:val="none" w:sz="0" w:space="0" w:color="auto"/>
            <w:bottom w:val="none" w:sz="0" w:space="0" w:color="auto"/>
            <w:right w:val="none" w:sz="0" w:space="0" w:color="auto"/>
          </w:divBdr>
        </w:div>
        <w:div w:id="1448966564">
          <w:marLeft w:val="640"/>
          <w:marRight w:val="0"/>
          <w:marTop w:val="0"/>
          <w:marBottom w:val="0"/>
          <w:divBdr>
            <w:top w:val="none" w:sz="0" w:space="0" w:color="auto"/>
            <w:left w:val="none" w:sz="0" w:space="0" w:color="auto"/>
            <w:bottom w:val="none" w:sz="0" w:space="0" w:color="auto"/>
            <w:right w:val="none" w:sz="0" w:space="0" w:color="auto"/>
          </w:divBdr>
        </w:div>
        <w:div w:id="635375875">
          <w:marLeft w:val="640"/>
          <w:marRight w:val="0"/>
          <w:marTop w:val="0"/>
          <w:marBottom w:val="0"/>
          <w:divBdr>
            <w:top w:val="none" w:sz="0" w:space="0" w:color="auto"/>
            <w:left w:val="none" w:sz="0" w:space="0" w:color="auto"/>
            <w:bottom w:val="none" w:sz="0" w:space="0" w:color="auto"/>
            <w:right w:val="none" w:sz="0" w:space="0" w:color="auto"/>
          </w:divBdr>
        </w:div>
        <w:div w:id="1055933580">
          <w:marLeft w:val="640"/>
          <w:marRight w:val="0"/>
          <w:marTop w:val="0"/>
          <w:marBottom w:val="0"/>
          <w:divBdr>
            <w:top w:val="none" w:sz="0" w:space="0" w:color="auto"/>
            <w:left w:val="none" w:sz="0" w:space="0" w:color="auto"/>
            <w:bottom w:val="none" w:sz="0" w:space="0" w:color="auto"/>
            <w:right w:val="none" w:sz="0" w:space="0" w:color="auto"/>
          </w:divBdr>
        </w:div>
        <w:div w:id="1289505876">
          <w:marLeft w:val="640"/>
          <w:marRight w:val="0"/>
          <w:marTop w:val="0"/>
          <w:marBottom w:val="0"/>
          <w:divBdr>
            <w:top w:val="none" w:sz="0" w:space="0" w:color="auto"/>
            <w:left w:val="none" w:sz="0" w:space="0" w:color="auto"/>
            <w:bottom w:val="none" w:sz="0" w:space="0" w:color="auto"/>
            <w:right w:val="none" w:sz="0" w:space="0" w:color="auto"/>
          </w:divBdr>
        </w:div>
        <w:div w:id="1327510544">
          <w:marLeft w:val="640"/>
          <w:marRight w:val="0"/>
          <w:marTop w:val="0"/>
          <w:marBottom w:val="0"/>
          <w:divBdr>
            <w:top w:val="none" w:sz="0" w:space="0" w:color="auto"/>
            <w:left w:val="none" w:sz="0" w:space="0" w:color="auto"/>
            <w:bottom w:val="none" w:sz="0" w:space="0" w:color="auto"/>
            <w:right w:val="none" w:sz="0" w:space="0" w:color="auto"/>
          </w:divBdr>
        </w:div>
        <w:div w:id="1935747354">
          <w:marLeft w:val="640"/>
          <w:marRight w:val="0"/>
          <w:marTop w:val="0"/>
          <w:marBottom w:val="0"/>
          <w:divBdr>
            <w:top w:val="none" w:sz="0" w:space="0" w:color="auto"/>
            <w:left w:val="none" w:sz="0" w:space="0" w:color="auto"/>
            <w:bottom w:val="none" w:sz="0" w:space="0" w:color="auto"/>
            <w:right w:val="none" w:sz="0" w:space="0" w:color="auto"/>
          </w:divBdr>
        </w:div>
        <w:div w:id="1322002669">
          <w:marLeft w:val="640"/>
          <w:marRight w:val="0"/>
          <w:marTop w:val="0"/>
          <w:marBottom w:val="0"/>
          <w:divBdr>
            <w:top w:val="none" w:sz="0" w:space="0" w:color="auto"/>
            <w:left w:val="none" w:sz="0" w:space="0" w:color="auto"/>
            <w:bottom w:val="none" w:sz="0" w:space="0" w:color="auto"/>
            <w:right w:val="none" w:sz="0" w:space="0" w:color="auto"/>
          </w:divBdr>
        </w:div>
        <w:div w:id="446048592">
          <w:marLeft w:val="640"/>
          <w:marRight w:val="0"/>
          <w:marTop w:val="0"/>
          <w:marBottom w:val="0"/>
          <w:divBdr>
            <w:top w:val="none" w:sz="0" w:space="0" w:color="auto"/>
            <w:left w:val="none" w:sz="0" w:space="0" w:color="auto"/>
            <w:bottom w:val="none" w:sz="0" w:space="0" w:color="auto"/>
            <w:right w:val="none" w:sz="0" w:space="0" w:color="auto"/>
          </w:divBdr>
        </w:div>
        <w:div w:id="1870218403">
          <w:marLeft w:val="640"/>
          <w:marRight w:val="0"/>
          <w:marTop w:val="0"/>
          <w:marBottom w:val="0"/>
          <w:divBdr>
            <w:top w:val="none" w:sz="0" w:space="0" w:color="auto"/>
            <w:left w:val="none" w:sz="0" w:space="0" w:color="auto"/>
            <w:bottom w:val="none" w:sz="0" w:space="0" w:color="auto"/>
            <w:right w:val="none" w:sz="0" w:space="0" w:color="auto"/>
          </w:divBdr>
        </w:div>
        <w:div w:id="960065405">
          <w:marLeft w:val="640"/>
          <w:marRight w:val="0"/>
          <w:marTop w:val="0"/>
          <w:marBottom w:val="0"/>
          <w:divBdr>
            <w:top w:val="none" w:sz="0" w:space="0" w:color="auto"/>
            <w:left w:val="none" w:sz="0" w:space="0" w:color="auto"/>
            <w:bottom w:val="none" w:sz="0" w:space="0" w:color="auto"/>
            <w:right w:val="none" w:sz="0" w:space="0" w:color="auto"/>
          </w:divBdr>
        </w:div>
        <w:div w:id="843936954">
          <w:marLeft w:val="640"/>
          <w:marRight w:val="0"/>
          <w:marTop w:val="0"/>
          <w:marBottom w:val="0"/>
          <w:divBdr>
            <w:top w:val="none" w:sz="0" w:space="0" w:color="auto"/>
            <w:left w:val="none" w:sz="0" w:space="0" w:color="auto"/>
            <w:bottom w:val="none" w:sz="0" w:space="0" w:color="auto"/>
            <w:right w:val="none" w:sz="0" w:space="0" w:color="auto"/>
          </w:divBdr>
        </w:div>
        <w:div w:id="989559638">
          <w:marLeft w:val="640"/>
          <w:marRight w:val="0"/>
          <w:marTop w:val="0"/>
          <w:marBottom w:val="0"/>
          <w:divBdr>
            <w:top w:val="none" w:sz="0" w:space="0" w:color="auto"/>
            <w:left w:val="none" w:sz="0" w:space="0" w:color="auto"/>
            <w:bottom w:val="none" w:sz="0" w:space="0" w:color="auto"/>
            <w:right w:val="none" w:sz="0" w:space="0" w:color="auto"/>
          </w:divBdr>
        </w:div>
        <w:div w:id="1115560261">
          <w:marLeft w:val="640"/>
          <w:marRight w:val="0"/>
          <w:marTop w:val="0"/>
          <w:marBottom w:val="0"/>
          <w:divBdr>
            <w:top w:val="none" w:sz="0" w:space="0" w:color="auto"/>
            <w:left w:val="none" w:sz="0" w:space="0" w:color="auto"/>
            <w:bottom w:val="none" w:sz="0" w:space="0" w:color="auto"/>
            <w:right w:val="none" w:sz="0" w:space="0" w:color="auto"/>
          </w:divBdr>
        </w:div>
        <w:div w:id="2081562109">
          <w:marLeft w:val="640"/>
          <w:marRight w:val="0"/>
          <w:marTop w:val="0"/>
          <w:marBottom w:val="0"/>
          <w:divBdr>
            <w:top w:val="none" w:sz="0" w:space="0" w:color="auto"/>
            <w:left w:val="none" w:sz="0" w:space="0" w:color="auto"/>
            <w:bottom w:val="none" w:sz="0" w:space="0" w:color="auto"/>
            <w:right w:val="none" w:sz="0" w:space="0" w:color="auto"/>
          </w:divBdr>
        </w:div>
        <w:div w:id="89661137">
          <w:marLeft w:val="640"/>
          <w:marRight w:val="0"/>
          <w:marTop w:val="0"/>
          <w:marBottom w:val="0"/>
          <w:divBdr>
            <w:top w:val="none" w:sz="0" w:space="0" w:color="auto"/>
            <w:left w:val="none" w:sz="0" w:space="0" w:color="auto"/>
            <w:bottom w:val="none" w:sz="0" w:space="0" w:color="auto"/>
            <w:right w:val="none" w:sz="0" w:space="0" w:color="auto"/>
          </w:divBdr>
        </w:div>
        <w:div w:id="1252206013">
          <w:marLeft w:val="640"/>
          <w:marRight w:val="0"/>
          <w:marTop w:val="0"/>
          <w:marBottom w:val="0"/>
          <w:divBdr>
            <w:top w:val="none" w:sz="0" w:space="0" w:color="auto"/>
            <w:left w:val="none" w:sz="0" w:space="0" w:color="auto"/>
            <w:bottom w:val="none" w:sz="0" w:space="0" w:color="auto"/>
            <w:right w:val="none" w:sz="0" w:space="0" w:color="auto"/>
          </w:divBdr>
        </w:div>
        <w:div w:id="1226724820">
          <w:marLeft w:val="640"/>
          <w:marRight w:val="0"/>
          <w:marTop w:val="0"/>
          <w:marBottom w:val="0"/>
          <w:divBdr>
            <w:top w:val="none" w:sz="0" w:space="0" w:color="auto"/>
            <w:left w:val="none" w:sz="0" w:space="0" w:color="auto"/>
            <w:bottom w:val="none" w:sz="0" w:space="0" w:color="auto"/>
            <w:right w:val="none" w:sz="0" w:space="0" w:color="auto"/>
          </w:divBdr>
        </w:div>
        <w:div w:id="895966929">
          <w:marLeft w:val="640"/>
          <w:marRight w:val="0"/>
          <w:marTop w:val="0"/>
          <w:marBottom w:val="0"/>
          <w:divBdr>
            <w:top w:val="none" w:sz="0" w:space="0" w:color="auto"/>
            <w:left w:val="none" w:sz="0" w:space="0" w:color="auto"/>
            <w:bottom w:val="none" w:sz="0" w:space="0" w:color="auto"/>
            <w:right w:val="none" w:sz="0" w:space="0" w:color="auto"/>
          </w:divBdr>
        </w:div>
        <w:div w:id="681585886">
          <w:marLeft w:val="640"/>
          <w:marRight w:val="0"/>
          <w:marTop w:val="0"/>
          <w:marBottom w:val="0"/>
          <w:divBdr>
            <w:top w:val="none" w:sz="0" w:space="0" w:color="auto"/>
            <w:left w:val="none" w:sz="0" w:space="0" w:color="auto"/>
            <w:bottom w:val="none" w:sz="0" w:space="0" w:color="auto"/>
            <w:right w:val="none" w:sz="0" w:space="0" w:color="auto"/>
          </w:divBdr>
        </w:div>
        <w:div w:id="1661230779">
          <w:marLeft w:val="640"/>
          <w:marRight w:val="0"/>
          <w:marTop w:val="0"/>
          <w:marBottom w:val="0"/>
          <w:divBdr>
            <w:top w:val="none" w:sz="0" w:space="0" w:color="auto"/>
            <w:left w:val="none" w:sz="0" w:space="0" w:color="auto"/>
            <w:bottom w:val="none" w:sz="0" w:space="0" w:color="auto"/>
            <w:right w:val="none" w:sz="0" w:space="0" w:color="auto"/>
          </w:divBdr>
        </w:div>
        <w:div w:id="1203055685">
          <w:marLeft w:val="640"/>
          <w:marRight w:val="0"/>
          <w:marTop w:val="0"/>
          <w:marBottom w:val="0"/>
          <w:divBdr>
            <w:top w:val="none" w:sz="0" w:space="0" w:color="auto"/>
            <w:left w:val="none" w:sz="0" w:space="0" w:color="auto"/>
            <w:bottom w:val="none" w:sz="0" w:space="0" w:color="auto"/>
            <w:right w:val="none" w:sz="0" w:space="0" w:color="auto"/>
          </w:divBdr>
        </w:div>
        <w:div w:id="1733649949">
          <w:marLeft w:val="640"/>
          <w:marRight w:val="0"/>
          <w:marTop w:val="0"/>
          <w:marBottom w:val="0"/>
          <w:divBdr>
            <w:top w:val="none" w:sz="0" w:space="0" w:color="auto"/>
            <w:left w:val="none" w:sz="0" w:space="0" w:color="auto"/>
            <w:bottom w:val="none" w:sz="0" w:space="0" w:color="auto"/>
            <w:right w:val="none" w:sz="0" w:space="0" w:color="auto"/>
          </w:divBdr>
        </w:div>
        <w:div w:id="80562579">
          <w:marLeft w:val="640"/>
          <w:marRight w:val="0"/>
          <w:marTop w:val="0"/>
          <w:marBottom w:val="0"/>
          <w:divBdr>
            <w:top w:val="none" w:sz="0" w:space="0" w:color="auto"/>
            <w:left w:val="none" w:sz="0" w:space="0" w:color="auto"/>
            <w:bottom w:val="none" w:sz="0" w:space="0" w:color="auto"/>
            <w:right w:val="none" w:sz="0" w:space="0" w:color="auto"/>
          </w:divBdr>
        </w:div>
        <w:div w:id="518013302">
          <w:marLeft w:val="640"/>
          <w:marRight w:val="0"/>
          <w:marTop w:val="0"/>
          <w:marBottom w:val="0"/>
          <w:divBdr>
            <w:top w:val="none" w:sz="0" w:space="0" w:color="auto"/>
            <w:left w:val="none" w:sz="0" w:space="0" w:color="auto"/>
            <w:bottom w:val="none" w:sz="0" w:space="0" w:color="auto"/>
            <w:right w:val="none" w:sz="0" w:space="0" w:color="auto"/>
          </w:divBdr>
        </w:div>
        <w:div w:id="1908343437">
          <w:marLeft w:val="640"/>
          <w:marRight w:val="0"/>
          <w:marTop w:val="0"/>
          <w:marBottom w:val="0"/>
          <w:divBdr>
            <w:top w:val="none" w:sz="0" w:space="0" w:color="auto"/>
            <w:left w:val="none" w:sz="0" w:space="0" w:color="auto"/>
            <w:bottom w:val="none" w:sz="0" w:space="0" w:color="auto"/>
            <w:right w:val="none" w:sz="0" w:space="0" w:color="auto"/>
          </w:divBdr>
        </w:div>
        <w:div w:id="1819688253">
          <w:marLeft w:val="640"/>
          <w:marRight w:val="0"/>
          <w:marTop w:val="0"/>
          <w:marBottom w:val="0"/>
          <w:divBdr>
            <w:top w:val="none" w:sz="0" w:space="0" w:color="auto"/>
            <w:left w:val="none" w:sz="0" w:space="0" w:color="auto"/>
            <w:bottom w:val="none" w:sz="0" w:space="0" w:color="auto"/>
            <w:right w:val="none" w:sz="0" w:space="0" w:color="auto"/>
          </w:divBdr>
        </w:div>
        <w:div w:id="1635210991">
          <w:marLeft w:val="640"/>
          <w:marRight w:val="0"/>
          <w:marTop w:val="0"/>
          <w:marBottom w:val="0"/>
          <w:divBdr>
            <w:top w:val="none" w:sz="0" w:space="0" w:color="auto"/>
            <w:left w:val="none" w:sz="0" w:space="0" w:color="auto"/>
            <w:bottom w:val="none" w:sz="0" w:space="0" w:color="auto"/>
            <w:right w:val="none" w:sz="0" w:space="0" w:color="auto"/>
          </w:divBdr>
        </w:div>
        <w:div w:id="562758296">
          <w:marLeft w:val="640"/>
          <w:marRight w:val="0"/>
          <w:marTop w:val="0"/>
          <w:marBottom w:val="0"/>
          <w:divBdr>
            <w:top w:val="none" w:sz="0" w:space="0" w:color="auto"/>
            <w:left w:val="none" w:sz="0" w:space="0" w:color="auto"/>
            <w:bottom w:val="none" w:sz="0" w:space="0" w:color="auto"/>
            <w:right w:val="none" w:sz="0" w:space="0" w:color="auto"/>
          </w:divBdr>
        </w:div>
        <w:div w:id="2086948778">
          <w:marLeft w:val="640"/>
          <w:marRight w:val="0"/>
          <w:marTop w:val="0"/>
          <w:marBottom w:val="0"/>
          <w:divBdr>
            <w:top w:val="none" w:sz="0" w:space="0" w:color="auto"/>
            <w:left w:val="none" w:sz="0" w:space="0" w:color="auto"/>
            <w:bottom w:val="none" w:sz="0" w:space="0" w:color="auto"/>
            <w:right w:val="none" w:sz="0" w:space="0" w:color="auto"/>
          </w:divBdr>
        </w:div>
        <w:div w:id="1345131344">
          <w:marLeft w:val="640"/>
          <w:marRight w:val="0"/>
          <w:marTop w:val="0"/>
          <w:marBottom w:val="0"/>
          <w:divBdr>
            <w:top w:val="none" w:sz="0" w:space="0" w:color="auto"/>
            <w:left w:val="none" w:sz="0" w:space="0" w:color="auto"/>
            <w:bottom w:val="none" w:sz="0" w:space="0" w:color="auto"/>
            <w:right w:val="none" w:sz="0" w:space="0" w:color="auto"/>
          </w:divBdr>
        </w:div>
        <w:div w:id="1904245212">
          <w:marLeft w:val="640"/>
          <w:marRight w:val="0"/>
          <w:marTop w:val="0"/>
          <w:marBottom w:val="0"/>
          <w:divBdr>
            <w:top w:val="none" w:sz="0" w:space="0" w:color="auto"/>
            <w:left w:val="none" w:sz="0" w:space="0" w:color="auto"/>
            <w:bottom w:val="none" w:sz="0" w:space="0" w:color="auto"/>
            <w:right w:val="none" w:sz="0" w:space="0" w:color="auto"/>
          </w:divBdr>
        </w:div>
        <w:div w:id="692271393">
          <w:marLeft w:val="640"/>
          <w:marRight w:val="0"/>
          <w:marTop w:val="0"/>
          <w:marBottom w:val="0"/>
          <w:divBdr>
            <w:top w:val="none" w:sz="0" w:space="0" w:color="auto"/>
            <w:left w:val="none" w:sz="0" w:space="0" w:color="auto"/>
            <w:bottom w:val="none" w:sz="0" w:space="0" w:color="auto"/>
            <w:right w:val="none" w:sz="0" w:space="0" w:color="auto"/>
          </w:divBdr>
        </w:div>
        <w:div w:id="1158303716">
          <w:marLeft w:val="640"/>
          <w:marRight w:val="0"/>
          <w:marTop w:val="0"/>
          <w:marBottom w:val="0"/>
          <w:divBdr>
            <w:top w:val="none" w:sz="0" w:space="0" w:color="auto"/>
            <w:left w:val="none" w:sz="0" w:space="0" w:color="auto"/>
            <w:bottom w:val="none" w:sz="0" w:space="0" w:color="auto"/>
            <w:right w:val="none" w:sz="0" w:space="0" w:color="auto"/>
          </w:divBdr>
        </w:div>
        <w:div w:id="2056612071">
          <w:marLeft w:val="640"/>
          <w:marRight w:val="0"/>
          <w:marTop w:val="0"/>
          <w:marBottom w:val="0"/>
          <w:divBdr>
            <w:top w:val="none" w:sz="0" w:space="0" w:color="auto"/>
            <w:left w:val="none" w:sz="0" w:space="0" w:color="auto"/>
            <w:bottom w:val="none" w:sz="0" w:space="0" w:color="auto"/>
            <w:right w:val="none" w:sz="0" w:space="0" w:color="auto"/>
          </w:divBdr>
        </w:div>
        <w:div w:id="445345197">
          <w:marLeft w:val="640"/>
          <w:marRight w:val="0"/>
          <w:marTop w:val="0"/>
          <w:marBottom w:val="0"/>
          <w:divBdr>
            <w:top w:val="none" w:sz="0" w:space="0" w:color="auto"/>
            <w:left w:val="none" w:sz="0" w:space="0" w:color="auto"/>
            <w:bottom w:val="none" w:sz="0" w:space="0" w:color="auto"/>
            <w:right w:val="none" w:sz="0" w:space="0" w:color="auto"/>
          </w:divBdr>
        </w:div>
        <w:div w:id="536359159">
          <w:marLeft w:val="640"/>
          <w:marRight w:val="0"/>
          <w:marTop w:val="0"/>
          <w:marBottom w:val="0"/>
          <w:divBdr>
            <w:top w:val="none" w:sz="0" w:space="0" w:color="auto"/>
            <w:left w:val="none" w:sz="0" w:space="0" w:color="auto"/>
            <w:bottom w:val="none" w:sz="0" w:space="0" w:color="auto"/>
            <w:right w:val="none" w:sz="0" w:space="0" w:color="auto"/>
          </w:divBdr>
        </w:div>
        <w:div w:id="449709471">
          <w:marLeft w:val="640"/>
          <w:marRight w:val="0"/>
          <w:marTop w:val="0"/>
          <w:marBottom w:val="0"/>
          <w:divBdr>
            <w:top w:val="none" w:sz="0" w:space="0" w:color="auto"/>
            <w:left w:val="none" w:sz="0" w:space="0" w:color="auto"/>
            <w:bottom w:val="none" w:sz="0" w:space="0" w:color="auto"/>
            <w:right w:val="none" w:sz="0" w:space="0" w:color="auto"/>
          </w:divBdr>
        </w:div>
        <w:div w:id="888111010">
          <w:marLeft w:val="640"/>
          <w:marRight w:val="0"/>
          <w:marTop w:val="0"/>
          <w:marBottom w:val="0"/>
          <w:divBdr>
            <w:top w:val="none" w:sz="0" w:space="0" w:color="auto"/>
            <w:left w:val="none" w:sz="0" w:space="0" w:color="auto"/>
            <w:bottom w:val="none" w:sz="0" w:space="0" w:color="auto"/>
            <w:right w:val="none" w:sz="0" w:space="0" w:color="auto"/>
          </w:divBdr>
        </w:div>
        <w:div w:id="716854595">
          <w:marLeft w:val="640"/>
          <w:marRight w:val="0"/>
          <w:marTop w:val="0"/>
          <w:marBottom w:val="0"/>
          <w:divBdr>
            <w:top w:val="none" w:sz="0" w:space="0" w:color="auto"/>
            <w:left w:val="none" w:sz="0" w:space="0" w:color="auto"/>
            <w:bottom w:val="none" w:sz="0" w:space="0" w:color="auto"/>
            <w:right w:val="none" w:sz="0" w:space="0" w:color="auto"/>
          </w:divBdr>
        </w:div>
        <w:div w:id="150099726">
          <w:marLeft w:val="640"/>
          <w:marRight w:val="0"/>
          <w:marTop w:val="0"/>
          <w:marBottom w:val="0"/>
          <w:divBdr>
            <w:top w:val="none" w:sz="0" w:space="0" w:color="auto"/>
            <w:left w:val="none" w:sz="0" w:space="0" w:color="auto"/>
            <w:bottom w:val="none" w:sz="0" w:space="0" w:color="auto"/>
            <w:right w:val="none" w:sz="0" w:space="0" w:color="auto"/>
          </w:divBdr>
        </w:div>
        <w:div w:id="1464734048">
          <w:marLeft w:val="640"/>
          <w:marRight w:val="0"/>
          <w:marTop w:val="0"/>
          <w:marBottom w:val="0"/>
          <w:divBdr>
            <w:top w:val="none" w:sz="0" w:space="0" w:color="auto"/>
            <w:left w:val="none" w:sz="0" w:space="0" w:color="auto"/>
            <w:bottom w:val="none" w:sz="0" w:space="0" w:color="auto"/>
            <w:right w:val="none" w:sz="0" w:space="0" w:color="auto"/>
          </w:divBdr>
        </w:div>
        <w:div w:id="396828493">
          <w:marLeft w:val="640"/>
          <w:marRight w:val="0"/>
          <w:marTop w:val="0"/>
          <w:marBottom w:val="0"/>
          <w:divBdr>
            <w:top w:val="none" w:sz="0" w:space="0" w:color="auto"/>
            <w:left w:val="none" w:sz="0" w:space="0" w:color="auto"/>
            <w:bottom w:val="none" w:sz="0" w:space="0" w:color="auto"/>
            <w:right w:val="none" w:sz="0" w:space="0" w:color="auto"/>
          </w:divBdr>
        </w:div>
        <w:div w:id="1579711440">
          <w:marLeft w:val="640"/>
          <w:marRight w:val="0"/>
          <w:marTop w:val="0"/>
          <w:marBottom w:val="0"/>
          <w:divBdr>
            <w:top w:val="none" w:sz="0" w:space="0" w:color="auto"/>
            <w:left w:val="none" w:sz="0" w:space="0" w:color="auto"/>
            <w:bottom w:val="none" w:sz="0" w:space="0" w:color="auto"/>
            <w:right w:val="none" w:sz="0" w:space="0" w:color="auto"/>
          </w:divBdr>
        </w:div>
        <w:div w:id="2064675541">
          <w:marLeft w:val="640"/>
          <w:marRight w:val="0"/>
          <w:marTop w:val="0"/>
          <w:marBottom w:val="0"/>
          <w:divBdr>
            <w:top w:val="none" w:sz="0" w:space="0" w:color="auto"/>
            <w:left w:val="none" w:sz="0" w:space="0" w:color="auto"/>
            <w:bottom w:val="none" w:sz="0" w:space="0" w:color="auto"/>
            <w:right w:val="none" w:sz="0" w:space="0" w:color="auto"/>
          </w:divBdr>
        </w:div>
        <w:div w:id="1861773761">
          <w:marLeft w:val="640"/>
          <w:marRight w:val="0"/>
          <w:marTop w:val="0"/>
          <w:marBottom w:val="0"/>
          <w:divBdr>
            <w:top w:val="none" w:sz="0" w:space="0" w:color="auto"/>
            <w:left w:val="none" w:sz="0" w:space="0" w:color="auto"/>
            <w:bottom w:val="none" w:sz="0" w:space="0" w:color="auto"/>
            <w:right w:val="none" w:sz="0" w:space="0" w:color="auto"/>
          </w:divBdr>
        </w:div>
        <w:div w:id="1087385886">
          <w:marLeft w:val="640"/>
          <w:marRight w:val="0"/>
          <w:marTop w:val="0"/>
          <w:marBottom w:val="0"/>
          <w:divBdr>
            <w:top w:val="none" w:sz="0" w:space="0" w:color="auto"/>
            <w:left w:val="none" w:sz="0" w:space="0" w:color="auto"/>
            <w:bottom w:val="none" w:sz="0" w:space="0" w:color="auto"/>
            <w:right w:val="none" w:sz="0" w:space="0" w:color="auto"/>
          </w:divBdr>
        </w:div>
        <w:div w:id="1462916714">
          <w:marLeft w:val="640"/>
          <w:marRight w:val="0"/>
          <w:marTop w:val="0"/>
          <w:marBottom w:val="0"/>
          <w:divBdr>
            <w:top w:val="none" w:sz="0" w:space="0" w:color="auto"/>
            <w:left w:val="none" w:sz="0" w:space="0" w:color="auto"/>
            <w:bottom w:val="none" w:sz="0" w:space="0" w:color="auto"/>
            <w:right w:val="none" w:sz="0" w:space="0" w:color="auto"/>
          </w:divBdr>
        </w:div>
        <w:div w:id="1168670032">
          <w:marLeft w:val="640"/>
          <w:marRight w:val="0"/>
          <w:marTop w:val="0"/>
          <w:marBottom w:val="0"/>
          <w:divBdr>
            <w:top w:val="none" w:sz="0" w:space="0" w:color="auto"/>
            <w:left w:val="none" w:sz="0" w:space="0" w:color="auto"/>
            <w:bottom w:val="none" w:sz="0" w:space="0" w:color="auto"/>
            <w:right w:val="none" w:sz="0" w:space="0" w:color="auto"/>
          </w:divBdr>
        </w:div>
        <w:div w:id="202056295">
          <w:marLeft w:val="640"/>
          <w:marRight w:val="0"/>
          <w:marTop w:val="0"/>
          <w:marBottom w:val="0"/>
          <w:divBdr>
            <w:top w:val="none" w:sz="0" w:space="0" w:color="auto"/>
            <w:left w:val="none" w:sz="0" w:space="0" w:color="auto"/>
            <w:bottom w:val="none" w:sz="0" w:space="0" w:color="auto"/>
            <w:right w:val="none" w:sz="0" w:space="0" w:color="auto"/>
          </w:divBdr>
        </w:div>
        <w:div w:id="1548713959">
          <w:marLeft w:val="640"/>
          <w:marRight w:val="0"/>
          <w:marTop w:val="0"/>
          <w:marBottom w:val="0"/>
          <w:divBdr>
            <w:top w:val="none" w:sz="0" w:space="0" w:color="auto"/>
            <w:left w:val="none" w:sz="0" w:space="0" w:color="auto"/>
            <w:bottom w:val="none" w:sz="0" w:space="0" w:color="auto"/>
            <w:right w:val="none" w:sz="0" w:space="0" w:color="auto"/>
          </w:divBdr>
        </w:div>
        <w:div w:id="1900435065">
          <w:marLeft w:val="640"/>
          <w:marRight w:val="0"/>
          <w:marTop w:val="0"/>
          <w:marBottom w:val="0"/>
          <w:divBdr>
            <w:top w:val="none" w:sz="0" w:space="0" w:color="auto"/>
            <w:left w:val="none" w:sz="0" w:space="0" w:color="auto"/>
            <w:bottom w:val="none" w:sz="0" w:space="0" w:color="auto"/>
            <w:right w:val="none" w:sz="0" w:space="0" w:color="auto"/>
          </w:divBdr>
        </w:div>
        <w:div w:id="209540283">
          <w:marLeft w:val="640"/>
          <w:marRight w:val="0"/>
          <w:marTop w:val="0"/>
          <w:marBottom w:val="0"/>
          <w:divBdr>
            <w:top w:val="none" w:sz="0" w:space="0" w:color="auto"/>
            <w:left w:val="none" w:sz="0" w:space="0" w:color="auto"/>
            <w:bottom w:val="none" w:sz="0" w:space="0" w:color="auto"/>
            <w:right w:val="none" w:sz="0" w:space="0" w:color="auto"/>
          </w:divBdr>
        </w:div>
        <w:div w:id="776215348">
          <w:marLeft w:val="640"/>
          <w:marRight w:val="0"/>
          <w:marTop w:val="0"/>
          <w:marBottom w:val="0"/>
          <w:divBdr>
            <w:top w:val="none" w:sz="0" w:space="0" w:color="auto"/>
            <w:left w:val="none" w:sz="0" w:space="0" w:color="auto"/>
            <w:bottom w:val="none" w:sz="0" w:space="0" w:color="auto"/>
            <w:right w:val="none" w:sz="0" w:space="0" w:color="auto"/>
          </w:divBdr>
        </w:div>
        <w:div w:id="407534066">
          <w:marLeft w:val="640"/>
          <w:marRight w:val="0"/>
          <w:marTop w:val="0"/>
          <w:marBottom w:val="0"/>
          <w:divBdr>
            <w:top w:val="none" w:sz="0" w:space="0" w:color="auto"/>
            <w:left w:val="none" w:sz="0" w:space="0" w:color="auto"/>
            <w:bottom w:val="none" w:sz="0" w:space="0" w:color="auto"/>
            <w:right w:val="none" w:sz="0" w:space="0" w:color="auto"/>
          </w:divBdr>
        </w:div>
        <w:div w:id="1774276299">
          <w:marLeft w:val="640"/>
          <w:marRight w:val="0"/>
          <w:marTop w:val="0"/>
          <w:marBottom w:val="0"/>
          <w:divBdr>
            <w:top w:val="none" w:sz="0" w:space="0" w:color="auto"/>
            <w:left w:val="none" w:sz="0" w:space="0" w:color="auto"/>
            <w:bottom w:val="none" w:sz="0" w:space="0" w:color="auto"/>
            <w:right w:val="none" w:sz="0" w:space="0" w:color="auto"/>
          </w:divBdr>
        </w:div>
        <w:div w:id="1365904921">
          <w:marLeft w:val="640"/>
          <w:marRight w:val="0"/>
          <w:marTop w:val="0"/>
          <w:marBottom w:val="0"/>
          <w:divBdr>
            <w:top w:val="none" w:sz="0" w:space="0" w:color="auto"/>
            <w:left w:val="none" w:sz="0" w:space="0" w:color="auto"/>
            <w:bottom w:val="none" w:sz="0" w:space="0" w:color="auto"/>
            <w:right w:val="none" w:sz="0" w:space="0" w:color="auto"/>
          </w:divBdr>
        </w:div>
        <w:div w:id="1842157362">
          <w:marLeft w:val="640"/>
          <w:marRight w:val="0"/>
          <w:marTop w:val="0"/>
          <w:marBottom w:val="0"/>
          <w:divBdr>
            <w:top w:val="none" w:sz="0" w:space="0" w:color="auto"/>
            <w:left w:val="none" w:sz="0" w:space="0" w:color="auto"/>
            <w:bottom w:val="none" w:sz="0" w:space="0" w:color="auto"/>
            <w:right w:val="none" w:sz="0" w:space="0" w:color="auto"/>
          </w:divBdr>
        </w:div>
        <w:div w:id="1458839464">
          <w:marLeft w:val="640"/>
          <w:marRight w:val="0"/>
          <w:marTop w:val="0"/>
          <w:marBottom w:val="0"/>
          <w:divBdr>
            <w:top w:val="none" w:sz="0" w:space="0" w:color="auto"/>
            <w:left w:val="none" w:sz="0" w:space="0" w:color="auto"/>
            <w:bottom w:val="none" w:sz="0" w:space="0" w:color="auto"/>
            <w:right w:val="none" w:sz="0" w:space="0" w:color="auto"/>
          </w:divBdr>
        </w:div>
        <w:div w:id="1925261582">
          <w:marLeft w:val="640"/>
          <w:marRight w:val="0"/>
          <w:marTop w:val="0"/>
          <w:marBottom w:val="0"/>
          <w:divBdr>
            <w:top w:val="none" w:sz="0" w:space="0" w:color="auto"/>
            <w:left w:val="none" w:sz="0" w:space="0" w:color="auto"/>
            <w:bottom w:val="none" w:sz="0" w:space="0" w:color="auto"/>
            <w:right w:val="none" w:sz="0" w:space="0" w:color="auto"/>
          </w:divBdr>
        </w:div>
        <w:div w:id="484206203">
          <w:marLeft w:val="640"/>
          <w:marRight w:val="0"/>
          <w:marTop w:val="0"/>
          <w:marBottom w:val="0"/>
          <w:divBdr>
            <w:top w:val="none" w:sz="0" w:space="0" w:color="auto"/>
            <w:left w:val="none" w:sz="0" w:space="0" w:color="auto"/>
            <w:bottom w:val="none" w:sz="0" w:space="0" w:color="auto"/>
            <w:right w:val="none" w:sz="0" w:space="0" w:color="auto"/>
          </w:divBdr>
        </w:div>
        <w:div w:id="373622436">
          <w:marLeft w:val="640"/>
          <w:marRight w:val="0"/>
          <w:marTop w:val="0"/>
          <w:marBottom w:val="0"/>
          <w:divBdr>
            <w:top w:val="none" w:sz="0" w:space="0" w:color="auto"/>
            <w:left w:val="none" w:sz="0" w:space="0" w:color="auto"/>
            <w:bottom w:val="none" w:sz="0" w:space="0" w:color="auto"/>
            <w:right w:val="none" w:sz="0" w:space="0" w:color="auto"/>
          </w:divBdr>
        </w:div>
        <w:div w:id="1295142740">
          <w:marLeft w:val="640"/>
          <w:marRight w:val="0"/>
          <w:marTop w:val="0"/>
          <w:marBottom w:val="0"/>
          <w:divBdr>
            <w:top w:val="none" w:sz="0" w:space="0" w:color="auto"/>
            <w:left w:val="none" w:sz="0" w:space="0" w:color="auto"/>
            <w:bottom w:val="none" w:sz="0" w:space="0" w:color="auto"/>
            <w:right w:val="none" w:sz="0" w:space="0" w:color="auto"/>
          </w:divBdr>
        </w:div>
        <w:div w:id="1539733993">
          <w:marLeft w:val="640"/>
          <w:marRight w:val="0"/>
          <w:marTop w:val="0"/>
          <w:marBottom w:val="0"/>
          <w:divBdr>
            <w:top w:val="none" w:sz="0" w:space="0" w:color="auto"/>
            <w:left w:val="none" w:sz="0" w:space="0" w:color="auto"/>
            <w:bottom w:val="none" w:sz="0" w:space="0" w:color="auto"/>
            <w:right w:val="none" w:sz="0" w:space="0" w:color="auto"/>
          </w:divBdr>
        </w:div>
        <w:div w:id="208155304">
          <w:marLeft w:val="640"/>
          <w:marRight w:val="0"/>
          <w:marTop w:val="0"/>
          <w:marBottom w:val="0"/>
          <w:divBdr>
            <w:top w:val="none" w:sz="0" w:space="0" w:color="auto"/>
            <w:left w:val="none" w:sz="0" w:space="0" w:color="auto"/>
            <w:bottom w:val="none" w:sz="0" w:space="0" w:color="auto"/>
            <w:right w:val="none" w:sz="0" w:space="0" w:color="auto"/>
          </w:divBdr>
        </w:div>
        <w:div w:id="2073893086">
          <w:marLeft w:val="640"/>
          <w:marRight w:val="0"/>
          <w:marTop w:val="0"/>
          <w:marBottom w:val="0"/>
          <w:divBdr>
            <w:top w:val="none" w:sz="0" w:space="0" w:color="auto"/>
            <w:left w:val="none" w:sz="0" w:space="0" w:color="auto"/>
            <w:bottom w:val="none" w:sz="0" w:space="0" w:color="auto"/>
            <w:right w:val="none" w:sz="0" w:space="0" w:color="auto"/>
          </w:divBdr>
        </w:div>
        <w:div w:id="448937876">
          <w:marLeft w:val="640"/>
          <w:marRight w:val="0"/>
          <w:marTop w:val="0"/>
          <w:marBottom w:val="0"/>
          <w:divBdr>
            <w:top w:val="none" w:sz="0" w:space="0" w:color="auto"/>
            <w:left w:val="none" w:sz="0" w:space="0" w:color="auto"/>
            <w:bottom w:val="none" w:sz="0" w:space="0" w:color="auto"/>
            <w:right w:val="none" w:sz="0" w:space="0" w:color="auto"/>
          </w:divBdr>
        </w:div>
        <w:div w:id="1035278637">
          <w:marLeft w:val="640"/>
          <w:marRight w:val="0"/>
          <w:marTop w:val="0"/>
          <w:marBottom w:val="0"/>
          <w:divBdr>
            <w:top w:val="none" w:sz="0" w:space="0" w:color="auto"/>
            <w:left w:val="none" w:sz="0" w:space="0" w:color="auto"/>
            <w:bottom w:val="none" w:sz="0" w:space="0" w:color="auto"/>
            <w:right w:val="none" w:sz="0" w:space="0" w:color="auto"/>
          </w:divBdr>
        </w:div>
        <w:div w:id="1628926762">
          <w:marLeft w:val="640"/>
          <w:marRight w:val="0"/>
          <w:marTop w:val="0"/>
          <w:marBottom w:val="0"/>
          <w:divBdr>
            <w:top w:val="none" w:sz="0" w:space="0" w:color="auto"/>
            <w:left w:val="none" w:sz="0" w:space="0" w:color="auto"/>
            <w:bottom w:val="none" w:sz="0" w:space="0" w:color="auto"/>
            <w:right w:val="none" w:sz="0" w:space="0" w:color="auto"/>
          </w:divBdr>
        </w:div>
        <w:div w:id="1078819832">
          <w:marLeft w:val="640"/>
          <w:marRight w:val="0"/>
          <w:marTop w:val="0"/>
          <w:marBottom w:val="0"/>
          <w:divBdr>
            <w:top w:val="none" w:sz="0" w:space="0" w:color="auto"/>
            <w:left w:val="none" w:sz="0" w:space="0" w:color="auto"/>
            <w:bottom w:val="none" w:sz="0" w:space="0" w:color="auto"/>
            <w:right w:val="none" w:sz="0" w:space="0" w:color="auto"/>
          </w:divBdr>
        </w:div>
        <w:div w:id="310520289">
          <w:marLeft w:val="640"/>
          <w:marRight w:val="0"/>
          <w:marTop w:val="0"/>
          <w:marBottom w:val="0"/>
          <w:divBdr>
            <w:top w:val="none" w:sz="0" w:space="0" w:color="auto"/>
            <w:left w:val="none" w:sz="0" w:space="0" w:color="auto"/>
            <w:bottom w:val="none" w:sz="0" w:space="0" w:color="auto"/>
            <w:right w:val="none" w:sz="0" w:space="0" w:color="auto"/>
          </w:divBdr>
        </w:div>
        <w:div w:id="1029182786">
          <w:marLeft w:val="640"/>
          <w:marRight w:val="0"/>
          <w:marTop w:val="0"/>
          <w:marBottom w:val="0"/>
          <w:divBdr>
            <w:top w:val="none" w:sz="0" w:space="0" w:color="auto"/>
            <w:left w:val="none" w:sz="0" w:space="0" w:color="auto"/>
            <w:bottom w:val="none" w:sz="0" w:space="0" w:color="auto"/>
            <w:right w:val="none" w:sz="0" w:space="0" w:color="auto"/>
          </w:divBdr>
        </w:div>
        <w:div w:id="136462234">
          <w:marLeft w:val="640"/>
          <w:marRight w:val="0"/>
          <w:marTop w:val="0"/>
          <w:marBottom w:val="0"/>
          <w:divBdr>
            <w:top w:val="none" w:sz="0" w:space="0" w:color="auto"/>
            <w:left w:val="none" w:sz="0" w:space="0" w:color="auto"/>
            <w:bottom w:val="none" w:sz="0" w:space="0" w:color="auto"/>
            <w:right w:val="none" w:sz="0" w:space="0" w:color="auto"/>
          </w:divBdr>
        </w:div>
        <w:div w:id="477307700">
          <w:marLeft w:val="640"/>
          <w:marRight w:val="0"/>
          <w:marTop w:val="0"/>
          <w:marBottom w:val="0"/>
          <w:divBdr>
            <w:top w:val="none" w:sz="0" w:space="0" w:color="auto"/>
            <w:left w:val="none" w:sz="0" w:space="0" w:color="auto"/>
            <w:bottom w:val="none" w:sz="0" w:space="0" w:color="auto"/>
            <w:right w:val="none" w:sz="0" w:space="0" w:color="auto"/>
          </w:divBdr>
        </w:div>
        <w:div w:id="175270717">
          <w:marLeft w:val="640"/>
          <w:marRight w:val="0"/>
          <w:marTop w:val="0"/>
          <w:marBottom w:val="0"/>
          <w:divBdr>
            <w:top w:val="none" w:sz="0" w:space="0" w:color="auto"/>
            <w:left w:val="none" w:sz="0" w:space="0" w:color="auto"/>
            <w:bottom w:val="none" w:sz="0" w:space="0" w:color="auto"/>
            <w:right w:val="none" w:sz="0" w:space="0" w:color="auto"/>
          </w:divBdr>
        </w:div>
        <w:div w:id="481847787">
          <w:marLeft w:val="640"/>
          <w:marRight w:val="0"/>
          <w:marTop w:val="0"/>
          <w:marBottom w:val="0"/>
          <w:divBdr>
            <w:top w:val="none" w:sz="0" w:space="0" w:color="auto"/>
            <w:left w:val="none" w:sz="0" w:space="0" w:color="auto"/>
            <w:bottom w:val="none" w:sz="0" w:space="0" w:color="auto"/>
            <w:right w:val="none" w:sz="0" w:space="0" w:color="auto"/>
          </w:divBdr>
        </w:div>
        <w:div w:id="1905527125">
          <w:marLeft w:val="640"/>
          <w:marRight w:val="0"/>
          <w:marTop w:val="0"/>
          <w:marBottom w:val="0"/>
          <w:divBdr>
            <w:top w:val="none" w:sz="0" w:space="0" w:color="auto"/>
            <w:left w:val="none" w:sz="0" w:space="0" w:color="auto"/>
            <w:bottom w:val="none" w:sz="0" w:space="0" w:color="auto"/>
            <w:right w:val="none" w:sz="0" w:space="0" w:color="auto"/>
          </w:divBdr>
        </w:div>
        <w:div w:id="169487716">
          <w:marLeft w:val="640"/>
          <w:marRight w:val="0"/>
          <w:marTop w:val="0"/>
          <w:marBottom w:val="0"/>
          <w:divBdr>
            <w:top w:val="none" w:sz="0" w:space="0" w:color="auto"/>
            <w:left w:val="none" w:sz="0" w:space="0" w:color="auto"/>
            <w:bottom w:val="none" w:sz="0" w:space="0" w:color="auto"/>
            <w:right w:val="none" w:sz="0" w:space="0" w:color="auto"/>
          </w:divBdr>
        </w:div>
        <w:div w:id="1994799421">
          <w:marLeft w:val="640"/>
          <w:marRight w:val="0"/>
          <w:marTop w:val="0"/>
          <w:marBottom w:val="0"/>
          <w:divBdr>
            <w:top w:val="none" w:sz="0" w:space="0" w:color="auto"/>
            <w:left w:val="none" w:sz="0" w:space="0" w:color="auto"/>
            <w:bottom w:val="none" w:sz="0" w:space="0" w:color="auto"/>
            <w:right w:val="none" w:sz="0" w:space="0" w:color="auto"/>
          </w:divBdr>
        </w:div>
        <w:div w:id="2051877166">
          <w:marLeft w:val="640"/>
          <w:marRight w:val="0"/>
          <w:marTop w:val="0"/>
          <w:marBottom w:val="0"/>
          <w:divBdr>
            <w:top w:val="none" w:sz="0" w:space="0" w:color="auto"/>
            <w:left w:val="none" w:sz="0" w:space="0" w:color="auto"/>
            <w:bottom w:val="none" w:sz="0" w:space="0" w:color="auto"/>
            <w:right w:val="none" w:sz="0" w:space="0" w:color="auto"/>
          </w:divBdr>
        </w:div>
        <w:div w:id="1387725381">
          <w:marLeft w:val="640"/>
          <w:marRight w:val="0"/>
          <w:marTop w:val="0"/>
          <w:marBottom w:val="0"/>
          <w:divBdr>
            <w:top w:val="none" w:sz="0" w:space="0" w:color="auto"/>
            <w:left w:val="none" w:sz="0" w:space="0" w:color="auto"/>
            <w:bottom w:val="none" w:sz="0" w:space="0" w:color="auto"/>
            <w:right w:val="none" w:sz="0" w:space="0" w:color="auto"/>
          </w:divBdr>
        </w:div>
        <w:div w:id="108547037">
          <w:marLeft w:val="640"/>
          <w:marRight w:val="0"/>
          <w:marTop w:val="0"/>
          <w:marBottom w:val="0"/>
          <w:divBdr>
            <w:top w:val="none" w:sz="0" w:space="0" w:color="auto"/>
            <w:left w:val="none" w:sz="0" w:space="0" w:color="auto"/>
            <w:bottom w:val="none" w:sz="0" w:space="0" w:color="auto"/>
            <w:right w:val="none" w:sz="0" w:space="0" w:color="auto"/>
          </w:divBdr>
        </w:div>
        <w:div w:id="1813522660">
          <w:marLeft w:val="640"/>
          <w:marRight w:val="0"/>
          <w:marTop w:val="0"/>
          <w:marBottom w:val="0"/>
          <w:divBdr>
            <w:top w:val="none" w:sz="0" w:space="0" w:color="auto"/>
            <w:left w:val="none" w:sz="0" w:space="0" w:color="auto"/>
            <w:bottom w:val="none" w:sz="0" w:space="0" w:color="auto"/>
            <w:right w:val="none" w:sz="0" w:space="0" w:color="auto"/>
          </w:divBdr>
        </w:div>
        <w:div w:id="1034816390">
          <w:marLeft w:val="640"/>
          <w:marRight w:val="0"/>
          <w:marTop w:val="0"/>
          <w:marBottom w:val="0"/>
          <w:divBdr>
            <w:top w:val="none" w:sz="0" w:space="0" w:color="auto"/>
            <w:left w:val="none" w:sz="0" w:space="0" w:color="auto"/>
            <w:bottom w:val="none" w:sz="0" w:space="0" w:color="auto"/>
            <w:right w:val="none" w:sz="0" w:space="0" w:color="auto"/>
          </w:divBdr>
        </w:div>
        <w:div w:id="600064053">
          <w:marLeft w:val="640"/>
          <w:marRight w:val="0"/>
          <w:marTop w:val="0"/>
          <w:marBottom w:val="0"/>
          <w:divBdr>
            <w:top w:val="none" w:sz="0" w:space="0" w:color="auto"/>
            <w:left w:val="none" w:sz="0" w:space="0" w:color="auto"/>
            <w:bottom w:val="none" w:sz="0" w:space="0" w:color="auto"/>
            <w:right w:val="none" w:sz="0" w:space="0" w:color="auto"/>
          </w:divBdr>
        </w:div>
        <w:div w:id="1478956342">
          <w:marLeft w:val="640"/>
          <w:marRight w:val="0"/>
          <w:marTop w:val="0"/>
          <w:marBottom w:val="0"/>
          <w:divBdr>
            <w:top w:val="none" w:sz="0" w:space="0" w:color="auto"/>
            <w:left w:val="none" w:sz="0" w:space="0" w:color="auto"/>
            <w:bottom w:val="none" w:sz="0" w:space="0" w:color="auto"/>
            <w:right w:val="none" w:sz="0" w:space="0" w:color="auto"/>
          </w:divBdr>
        </w:div>
        <w:div w:id="1422871067">
          <w:marLeft w:val="640"/>
          <w:marRight w:val="0"/>
          <w:marTop w:val="0"/>
          <w:marBottom w:val="0"/>
          <w:divBdr>
            <w:top w:val="none" w:sz="0" w:space="0" w:color="auto"/>
            <w:left w:val="none" w:sz="0" w:space="0" w:color="auto"/>
            <w:bottom w:val="none" w:sz="0" w:space="0" w:color="auto"/>
            <w:right w:val="none" w:sz="0" w:space="0" w:color="auto"/>
          </w:divBdr>
        </w:div>
        <w:div w:id="96564531">
          <w:marLeft w:val="640"/>
          <w:marRight w:val="0"/>
          <w:marTop w:val="0"/>
          <w:marBottom w:val="0"/>
          <w:divBdr>
            <w:top w:val="none" w:sz="0" w:space="0" w:color="auto"/>
            <w:left w:val="none" w:sz="0" w:space="0" w:color="auto"/>
            <w:bottom w:val="none" w:sz="0" w:space="0" w:color="auto"/>
            <w:right w:val="none" w:sz="0" w:space="0" w:color="auto"/>
          </w:divBdr>
        </w:div>
        <w:div w:id="1226798700">
          <w:marLeft w:val="640"/>
          <w:marRight w:val="0"/>
          <w:marTop w:val="0"/>
          <w:marBottom w:val="0"/>
          <w:divBdr>
            <w:top w:val="none" w:sz="0" w:space="0" w:color="auto"/>
            <w:left w:val="none" w:sz="0" w:space="0" w:color="auto"/>
            <w:bottom w:val="none" w:sz="0" w:space="0" w:color="auto"/>
            <w:right w:val="none" w:sz="0" w:space="0" w:color="auto"/>
          </w:divBdr>
        </w:div>
        <w:div w:id="773598941">
          <w:marLeft w:val="640"/>
          <w:marRight w:val="0"/>
          <w:marTop w:val="0"/>
          <w:marBottom w:val="0"/>
          <w:divBdr>
            <w:top w:val="none" w:sz="0" w:space="0" w:color="auto"/>
            <w:left w:val="none" w:sz="0" w:space="0" w:color="auto"/>
            <w:bottom w:val="none" w:sz="0" w:space="0" w:color="auto"/>
            <w:right w:val="none" w:sz="0" w:space="0" w:color="auto"/>
          </w:divBdr>
        </w:div>
        <w:div w:id="1749425734">
          <w:marLeft w:val="640"/>
          <w:marRight w:val="0"/>
          <w:marTop w:val="0"/>
          <w:marBottom w:val="0"/>
          <w:divBdr>
            <w:top w:val="none" w:sz="0" w:space="0" w:color="auto"/>
            <w:left w:val="none" w:sz="0" w:space="0" w:color="auto"/>
            <w:bottom w:val="none" w:sz="0" w:space="0" w:color="auto"/>
            <w:right w:val="none" w:sz="0" w:space="0" w:color="auto"/>
          </w:divBdr>
        </w:div>
        <w:div w:id="1837065895">
          <w:marLeft w:val="640"/>
          <w:marRight w:val="0"/>
          <w:marTop w:val="0"/>
          <w:marBottom w:val="0"/>
          <w:divBdr>
            <w:top w:val="none" w:sz="0" w:space="0" w:color="auto"/>
            <w:left w:val="none" w:sz="0" w:space="0" w:color="auto"/>
            <w:bottom w:val="none" w:sz="0" w:space="0" w:color="auto"/>
            <w:right w:val="none" w:sz="0" w:space="0" w:color="auto"/>
          </w:divBdr>
        </w:div>
        <w:div w:id="932473039">
          <w:marLeft w:val="640"/>
          <w:marRight w:val="0"/>
          <w:marTop w:val="0"/>
          <w:marBottom w:val="0"/>
          <w:divBdr>
            <w:top w:val="none" w:sz="0" w:space="0" w:color="auto"/>
            <w:left w:val="none" w:sz="0" w:space="0" w:color="auto"/>
            <w:bottom w:val="none" w:sz="0" w:space="0" w:color="auto"/>
            <w:right w:val="none" w:sz="0" w:space="0" w:color="auto"/>
          </w:divBdr>
        </w:div>
        <w:div w:id="81606626">
          <w:marLeft w:val="640"/>
          <w:marRight w:val="0"/>
          <w:marTop w:val="0"/>
          <w:marBottom w:val="0"/>
          <w:divBdr>
            <w:top w:val="none" w:sz="0" w:space="0" w:color="auto"/>
            <w:left w:val="none" w:sz="0" w:space="0" w:color="auto"/>
            <w:bottom w:val="none" w:sz="0" w:space="0" w:color="auto"/>
            <w:right w:val="none" w:sz="0" w:space="0" w:color="auto"/>
          </w:divBdr>
        </w:div>
        <w:div w:id="1609312826">
          <w:marLeft w:val="640"/>
          <w:marRight w:val="0"/>
          <w:marTop w:val="0"/>
          <w:marBottom w:val="0"/>
          <w:divBdr>
            <w:top w:val="none" w:sz="0" w:space="0" w:color="auto"/>
            <w:left w:val="none" w:sz="0" w:space="0" w:color="auto"/>
            <w:bottom w:val="none" w:sz="0" w:space="0" w:color="auto"/>
            <w:right w:val="none" w:sz="0" w:space="0" w:color="auto"/>
          </w:divBdr>
        </w:div>
        <w:div w:id="2032417555">
          <w:marLeft w:val="640"/>
          <w:marRight w:val="0"/>
          <w:marTop w:val="0"/>
          <w:marBottom w:val="0"/>
          <w:divBdr>
            <w:top w:val="none" w:sz="0" w:space="0" w:color="auto"/>
            <w:left w:val="none" w:sz="0" w:space="0" w:color="auto"/>
            <w:bottom w:val="none" w:sz="0" w:space="0" w:color="auto"/>
            <w:right w:val="none" w:sz="0" w:space="0" w:color="auto"/>
          </w:divBdr>
        </w:div>
        <w:div w:id="1362050535">
          <w:marLeft w:val="640"/>
          <w:marRight w:val="0"/>
          <w:marTop w:val="0"/>
          <w:marBottom w:val="0"/>
          <w:divBdr>
            <w:top w:val="none" w:sz="0" w:space="0" w:color="auto"/>
            <w:left w:val="none" w:sz="0" w:space="0" w:color="auto"/>
            <w:bottom w:val="none" w:sz="0" w:space="0" w:color="auto"/>
            <w:right w:val="none" w:sz="0" w:space="0" w:color="auto"/>
          </w:divBdr>
        </w:div>
        <w:div w:id="1476945161">
          <w:marLeft w:val="640"/>
          <w:marRight w:val="0"/>
          <w:marTop w:val="0"/>
          <w:marBottom w:val="0"/>
          <w:divBdr>
            <w:top w:val="none" w:sz="0" w:space="0" w:color="auto"/>
            <w:left w:val="none" w:sz="0" w:space="0" w:color="auto"/>
            <w:bottom w:val="none" w:sz="0" w:space="0" w:color="auto"/>
            <w:right w:val="none" w:sz="0" w:space="0" w:color="auto"/>
          </w:divBdr>
        </w:div>
        <w:div w:id="881403115">
          <w:marLeft w:val="640"/>
          <w:marRight w:val="0"/>
          <w:marTop w:val="0"/>
          <w:marBottom w:val="0"/>
          <w:divBdr>
            <w:top w:val="none" w:sz="0" w:space="0" w:color="auto"/>
            <w:left w:val="none" w:sz="0" w:space="0" w:color="auto"/>
            <w:bottom w:val="none" w:sz="0" w:space="0" w:color="auto"/>
            <w:right w:val="none" w:sz="0" w:space="0" w:color="auto"/>
          </w:divBdr>
        </w:div>
        <w:div w:id="1401057010">
          <w:marLeft w:val="640"/>
          <w:marRight w:val="0"/>
          <w:marTop w:val="0"/>
          <w:marBottom w:val="0"/>
          <w:divBdr>
            <w:top w:val="none" w:sz="0" w:space="0" w:color="auto"/>
            <w:left w:val="none" w:sz="0" w:space="0" w:color="auto"/>
            <w:bottom w:val="none" w:sz="0" w:space="0" w:color="auto"/>
            <w:right w:val="none" w:sz="0" w:space="0" w:color="auto"/>
          </w:divBdr>
        </w:div>
        <w:div w:id="1681274736">
          <w:marLeft w:val="640"/>
          <w:marRight w:val="0"/>
          <w:marTop w:val="0"/>
          <w:marBottom w:val="0"/>
          <w:divBdr>
            <w:top w:val="none" w:sz="0" w:space="0" w:color="auto"/>
            <w:left w:val="none" w:sz="0" w:space="0" w:color="auto"/>
            <w:bottom w:val="none" w:sz="0" w:space="0" w:color="auto"/>
            <w:right w:val="none" w:sz="0" w:space="0" w:color="auto"/>
          </w:divBdr>
        </w:div>
        <w:div w:id="1820607262">
          <w:marLeft w:val="640"/>
          <w:marRight w:val="0"/>
          <w:marTop w:val="0"/>
          <w:marBottom w:val="0"/>
          <w:divBdr>
            <w:top w:val="none" w:sz="0" w:space="0" w:color="auto"/>
            <w:left w:val="none" w:sz="0" w:space="0" w:color="auto"/>
            <w:bottom w:val="none" w:sz="0" w:space="0" w:color="auto"/>
            <w:right w:val="none" w:sz="0" w:space="0" w:color="auto"/>
          </w:divBdr>
        </w:div>
        <w:div w:id="1912693895">
          <w:marLeft w:val="640"/>
          <w:marRight w:val="0"/>
          <w:marTop w:val="0"/>
          <w:marBottom w:val="0"/>
          <w:divBdr>
            <w:top w:val="none" w:sz="0" w:space="0" w:color="auto"/>
            <w:left w:val="none" w:sz="0" w:space="0" w:color="auto"/>
            <w:bottom w:val="none" w:sz="0" w:space="0" w:color="auto"/>
            <w:right w:val="none" w:sz="0" w:space="0" w:color="auto"/>
          </w:divBdr>
        </w:div>
        <w:div w:id="882836032">
          <w:marLeft w:val="640"/>
          <w:marRight w:val="0"/>
          <w:marTop w:val="0"/>
          <w:marBottom w:val="0"/>
          <w:divBdr>
            <w:top w:val="none" w:sz="0" w:space="0" w:color="auto"/>
            <w:left w:val="none" w:sz="0" w:space="0" w:color="auto"/>
            <w:bottom w:val="none" w:sz="0" w:space="0" w:color="auto"/>
            <w:right w:val="none" w:sz="0" w:space="0" w:color="auto"/>
          </w:divBdr>
        </w:div>
        <w:div w:id="1766262236">
          <w:marLeft w:val="640"/>
          <w:marRight w:val="0"/>
          <w:marTop w:val="0"/>
          <w:marBottom w:val="0"/>
          <w:divBdr>
            <w:top w:val="none" w:sz="0" w:space="0" w:color="auto"/>
            <w:left w:val="none" w:sz="0" w:space="0" w:color="auto"/>
            <w:bottom w:val="none" w:sz="0" w:space="0" w:color="auto"/>
            <w:right w:val="none" w:sz="0" w:space="0" w:color="auto"/>
          </w:divBdr>
        </w:div>
        <w:div w:id="1518158701">
          <w:marLeft w:val="640"/>
          <w:marRight w:val="0"/>
          <w:marTop w:val="0"/>
          <w:marBottom w:val="0"/>
          <w:divBdr>
            <w:top w:val="none" w:sz="0" w:space="0" w:color="auto"/>
            <w:left w:val="none" w:sz="0" w:space="0" w:color="auto"/>
            <w:bottom w:val="none" w:sz="0" w:space="0" w:color="auto"/>
            <w:right w:val="none" w:sz="0" w:space="0" w:color="auto"/>
          </w:divBdr>
        </w:div>
        <w:div w:id="1074357867">
          <w:marLeft w:val="640"/>
          <w:marRight w:val="0"/>
          <w:marTop w:val="0"/>
          <w:marBottom w:val="0"/>
          <w:divBdr>
            <w:top w:val="none" w:sz="0" w:space="0" w:color="auto"/>
            <w:left w:val="none" w:sz="0" w:space="0" w:color="auto"/>
            <w:bottom w:val="none" w:sz="0" w:space="0" w:color="auto"/>
            <w:right w:val="none" w:sz="0" w:space="0" w:color="auto"/>
          </w:divBdr>
        </w:div>
        <w:div w:id="965433723">
          <w:marLeft w:val="640"/>
          <w:marRight w:val="0"/>
          <w:marTop w:val="0"/>
          <w:marBottom w:val="0"/>
          <w:divBdr>
            <w:top w:val="none" w:sz="0" w:space="0" w:color="auto"/>
            <w:left w:val="none" w:sz="0" w:space="0" w:color="auto"/>
            <w:bottom w:val="none" w:sz="0" w:space="0" w:color="auto"/>
            <w:right w:val="none" w:sz="0" w:space="0" w:color="auto"/>
          </w:divBdr>
        </w:div>
        <w:div w:id="1872111496">
          <w:marLeft w:val="640"/>
          <w:marRight w:val="0"/>
          <w:marTop w:val="0"/>
          <w:marBottom w:val="0"/>
          <w:divBdr>
            <w:top w:val="none" w:sz="0" w:space="0" w:color="auto"/>
            <w:left w:val="none" w:sz="0" w:space="0" w:color="auto"/>
            <w:bottom w:val="none" w:sz="0" w:space="0" w:color="auto"/>
            <w:right w:val="none" w:sz="0" w:space="0" w:color="auto"/>
          </w:divBdr>
        </w:div>
        <w:div w:id="797187912">
          <w:marLeft w:val="640"/>
          <w:marRight w:val="0"/>
          <w:marTop w:val="0"/>
          <w:marBottom w:val="0"/>
          <w:divBdr>
            <w:top w:val="none" w:sz="0" w:space="0" w:color="auto"/>
            <w:left w:val="none" w:sz="0" w:space="0" w:color="auto"/>
            <w:bottom w:val="none" w:sz="0" w:space="0" w:color="auto"/>
            <w:right w:val="none" w:sz="0" w:space="0" w:color="auto"/>
          </w:divBdr>
        </w:div>
        <w:div w:id="692222712">
          <w:marLeft w:val="640"/>
          <w:marRight w:val="0"/>
          <w:marTop w:val="0"/>
          <w:marBottom w:val="0"/>
          <w:divBdr>
            <w:top w:val="none" w:sz="0" w:space="0" w:color="auto"/>
            <w:left w:val="none" w:sz="0" w:space="0" w:color="auto"/>
            <w:bottom w:val="none" w:sz="0" w:space="0" w:color="auto"/>
            <w:right w:val="none" w:sz="0" w:space="0" w:color="auto"/>
          </w:divBdr>
        </w:div>
        <w:div w:id="412708050">
          <w:marLeft w:val="640"/>
          <w:marRight w:val="0"/>
          <w:marTop w:val="0"/>
          <w:marBottom w:val="0"/>
          <w:divBdr>
            <w:top w:val="none" w:sz="0" w:space="0" w:color="auto"/>
            <w:left w:val="none" w:sz="0" w:space="0" w:color="auto"/>
            <w:bottom w:val="none" w:sz="0" w:space="0" w:color="auto"/>
            <w:right w:val="none" w:sz="0" w:space="0" w:color="auto"/>
          </w:divBdr>
        </w:div>
        <w:div w:id="1366368188">
          <w:marLeft w:val="640"/>
          <w:marRight w:val="0"/>
          <w:marTop w:val="0"/>
          <w:marBottom w:val="0"/>
          <w:divBdr>
            <w:top w:val="none" w:sz="0" w:space="0" w:color="auto"/>
            <w:left w:val="none" w:sz="0" w:space="0" w:color="auto"/>
            <w:bottom w:val="none" w:sz="0" w:space="0" w:color="auto"/>
            <w:right w:val="none" w:sz="0" w:space="0" w:color="auto"/>
          </w:divBdr>
        </w:div>
        <w:div w:id="60910082">
          <w:marLeft w:val="640"/>
          <w:marRight w:val="0"/>
          <w:marTop w:val="0"/>
          <w:marBottom w:val="0"/>
          <w:divBdr>
            <w:top w:val="none" w:sz="0" w:space="0" w:color="auto"/>
            <w:left w:val="none" w:sz="0" w:space="0" w:color="auto"/>
            <w:bottom w:val="none" w:sz="0" w:space="0" w:color="auto"/>
            <w:right w:val="none" w:sz="0" w:space="0" w:color="auto"/>
          </w:divBdr>
        </w:div>
        <w:div w:id="2028095228">
          <w:marLeft w:val="640"/>
          <w:marRight w:val="0"/>
          <w:marTop w:val="0"/>
          <w:marBottom w:val="0"/>
          <w:divBdr>
            <w:top w:val="none" w:sz="0" w:space="0" w:color="auto"/>
            <w:left w:val="none" w:sz="0" w:space="0" w:color="auto"/>
            <w:bottom w:val="none" w:sz="0" w:space="0" w:color="auto"/>
            <w:right w:val="none" w:sz="0" w:space="0" w:color="auto"/>
          </w:divBdr>
        </w:div>
        <w:div w:id="1054699725">
          <w:marLeft w:val="640"/>
          <w:marRight w:val="0"/>
          <w:marTop w:val="0"/>
          <w:marBottom w:val="0"/>
          <w:divBdr>
            <w:top w:val="none" w:sz="0" w:space="0" w:color="auto"/>
            <w:left w:val="none" w:sz="0" w:space="0" w:color="auto"/>
            <w:bottom w:val="none" w:sz="0" w:space="0" w:color="auto"/>
            <w:right w:val="none" w:sz="0" w:space="0" w:color="auto"/>
          </w:divBdr>
        </w:div>
        <w:div w:id="372462930">
          <w:marLeft w:val="640"/>
          <w:marRight w:val="0"/>
          <w:marTop w:val="0"/>
          <w:marBottom w:val="0"/>
          <w:divBdr>
            <w:top w:val="none" w:sz="0" w:space="0" w:color="auto"/>
            <w:left w:val="none" w:sz="0" w:space="0" w:color="auto"/>
            <w:bottom w:val="none" w:sz="0" w:space="0" w:color="auto"/>
            <w:right w:val="none" w:sz="0" w:space="0" w:color="auto"/>
          </w:divBdr>
        </w:div>
        <w:div w:id="1050304196">
          <w:marLeft w:val="640"/>
          <w:marRight w:val="0"/>
          <w:marTop w:val="0"/>
          <w:marBottom w:val="0"/>
          <w:divBdr>
            <w:top w:val="none" w:sz="0" w:space="0" w:color="auto"/>
            <w:left w:val="none" w:sz="0" w:space="0" w:color="auto"/>
            <w:bottom w:val="none" w:sz="0" w:space="0" w:color="auto"/>
            <w:right w:val="none" w:sz="0" w:space="0" w:color="auto"/>
          </w:divBdr>
        </w:div>
        <w:div w:id="784344542">
          <w:marLeft w:val="640"/>
          <w:marRight w:val="0"/>
          <w:marTop w:val="0"/>
          <w:marBottom w:val="0"/>
          <w:divBdr>
            <w:top w:val="none" w:sz="0" w:space="0" w:color="auto"/>
            <w:left w:val="none" w:sz="0" w:space="0" w:color="auto"/>
            <w:bottom w:val="none" w:sz="0" w:space="0" w:color="auto"/>
            <w:right w:val="none" w:sz="0" w:space="0" w:color="auto"/>
          </w:divBdr>
        </w:div>
        <w:div w:id="1283996278">
          <w:marLeft w:val="640"/>
          <w:marRight w:val="0"/>
          <w:marTop w:val="0"/>
          <w:marBottom w:val="0"/>
          <w:divBdr>
            <w:top w:val="none" w:sz="0" w:space="0" w:color="auto"/>
            <w:left w:val="none" w:sz="0" w:space="0" w:color="auto"/>
            <w:bottom w:val="none" w:sz="0" w:space="0" w:color="auto"/>
            <w:right w:val="none" w:sz="0" w:space="0" w:color="auto"/>
          </w:divBdr>
        </w:div>
        <w:div w:id="1281456818">
          <w:marLeft w:val="640"/>
          <w:marRight w:val="0"/>
          <w:marTop w:val="0"/>
          <w:marBottom w:val="0"/>
          <w:divBdr>
            <w:top w:val="none" w:sz="0" w:space="0" w:color="auto"/>
            <w:left w:val="none" w:sz="0" w:space="0" w:color="auto"/>
            <w:bottom w:val="none" w:sz="0" w:space="0" w:color="auto"/>
            <w:right w:val="none" w:sz="0" w:space="0" w:color="auto"/>
          </w:divBdr>
        </w:div>
        <w:div w:id="830027903">
          <w:marLeft w:val="640"/>
          <w:marRight w:val="0"/>
          <w:marTop w:val="0"/>
          <w:marBottom w:val="0"/>
          <w:divBdr>
            <w:top w:val="none" w:sz="0" w:space="0" w:color="auto"/>
            <w:left w:val="none" w:sz="0" w:space="0" w:color="auto"/>
            <w:bottom w:val="none" w:sz="0" w:space="0" w:color="auto"/>
            <w:right w:val="none" w:sz="0" w:space="0" w:color="auto"/>
          </w:divBdr>
        </w:div>
        <w:div w:id="172034216">
          <w:marLeft w:val="640"/>
          <w:marRight w:val="0"/>
          <w:marTop w:val="0"/>
          <w:marBottom w:val="0"/>
          <w:divBdr>
            <w:top w:val="none" w:sz="0" w:space="0" w:color="auto"/>
            <w:left w:val="none" w:sz="0" w:space="0" w:color="auto"/>
            <w:bottom w:val="none" w:sz="0" w:space="0" w:color="auto"/>
            <w:right w:val="none" w:sz="0" w:space="0" w:color="auto"/>
          </w:divBdr>
        </w:div>
        <w:div w:id="770928472">
          <w:marLeft w:val="640"/>
          <w:marRight w:val="0"/>
          <w:marTop w:val="0"/>
          <w:marBottom w:val="0"/>
          <w:divBdr>
            <w:top w:val="none" w:sz="0" w:space="0" w:color="auto"/>
            <w:left w:val="none" w:sz="0" w:space="0" w:color="auto"/>
            <w:bottom w:val="none" w:sz="0" w:space="0" w:color="auto"/>
            <w:right w:val="none" w:sz="0" w:space="0" w:color="auto"/>
          </w:divBdr>
        </w:div>
        <w:div w:id="578102030">
          <w:marLeft w:val="640"/>
          <w:marRight w:val="0"/>
          <w:marTop w:val="0"/>
          <w:marBottom w:val="0"/>
          <w:divBdr>
            <w:top w:val="none" w:sz="0" w:space="0" w:color="auto"/>
            <w:left w:val="none" w:sz="0" w:space="0" w:color="auto"/>
            <w:bottom w:val="none" w:sz="0" w:space="0" w:color="auto"/>
            <w:right w:val="none" w:sz="0" w:space="0" w:color="auto"/>
          </w:divBdr>
        </w:div>
        <w:div w:id="1682001392">
          <w:marLeft w:val="640"/>
          <w:marRight w:val="0"/>
          <w:marTop w:val="0"/>
          <w:marBottom w:val="0"/>
          <w:divBdr>
            <w:top w:val="none" w:sz="0" w:space="0" w:color="auto"/>
            <w:left w:val="none" w:sz="0" w:space="0" w:color="auto"/>
            <w:bottom w:val="none" w:sz="0" w:space="0" w:color="auto"/>
            <w:right w:val="none" w:sz="0" w:space="0" w:color="auto"/>
          </w:divBdr>
        </w:div>
        <w:div w:id="474613475">
          <w:marLeft w:val="640"/>
          <w:marRight w:val="0"/>
          <w:marTop w:val="0"/>
          <w:marBottom w:val="0"/>
          <w:divBdr>
            <w:top w:val="none" w:sz="0" w:space="0" w:color="auto"/>
            <w:left w:val="none" w:sz="0" w:space="0" w:color="auto"/>
            <w:bottom w:val="none" w:sz="0" w:space="0" w:color="auto"/>
            <w:right w:val="none" w:sz="0" w:space="0" w:color="auto"/>
          </w:divBdr>
        </w:div>
        <w:div w:id="1091852145">
          <w:marLeft w:val="640"/>
          <w:marRight w:val="0"/>
          <w:marTop w:val="0"/>
          <w:marBottom w:val="0"/>
          <w:divBdr>
            <w:top w:val="none" w:sz="0" w:space="0" w:color="auto"/>
            <w:left w:val="none" w:sz="0" w:space="0" w:color="auto"/>
            <w:bottom w:val="none" w:sz="0" w:space="0" w:color="auto"/>
            <w:right w:val="none" w:sz="0" w:space="0" w:color="auto"/>
          </w:divBdr>
        </w:div>
        <w:div w:id="855120740">
          <w:marLeft w:val="640"/>
          <w:marRight w:val="0"/>
          <w:marTop w:val="0"/>
          <w:marBottom w:val="0"/>
          <w:divBdr>
            <w:top w:val="none" w:sz="0" w:space="0" w:color="auto"/>
            <w:left w:val="none" w:sz="0" w:space="0" w:color="auto"/>
            <w:bottom w:val="none" w:sz="0" w:space="0" w:color="auto"/>
            <w:right w:val="none" w:sz="0" w:space="0" w:color="auto"/>
          </w:divBdr>
        </w:div>
        <w:div w:id="1533420380">
          <w:marLeft w:val="640"/>
          <w:marRight w:val="0"/>
          <w:marTop w:val="0"/>
          <w:marBottom w:val="0"/>
          <w:divBdr>
            <w:top w:val="none" w:sz="0" w:space="0" w:color="auto"/>
            <w:left w:val="none" w:sz="0" w:space="0" w:color="auto"/>
            <w:bottom w:val="none" w:sz="0" w:space="0" w:color="auto"/>
            <w:right w:val="none" w:sz="0" w:space="0" w:color="auto"/>
          </w:divBdr>
        </w:div>
        <w:div w:id="36011647">
          <w:marLeft w:val="640"/>
          <w:marRight w:val="0"/>
          <w:marTop w:val="0"/>
          <w:marBottom w:val="0"/>
          <w:divBdr>
            <w:top w:val="none" w:sz="0" w:space="0" w:color="auto"/>
            <w:left w:val="none" w:sz="0" w:space="0" w:color="auto"/>
            <w:bottom w:val="none" w:sz="0" w:space="0" w:color="auto"/>
            <w:right w:val="none" w:sz="0" w:space="0" w:color="auto"/>
          </w:divBdr>
        </w:div>
        <w:div w:id="2081053742">
          <w:marLeft w:val="640"/>
          <w:marRight w:val="0"/>
          <w:marTop w:val="0"/>
          <w:marBottom w:val="0"/>
          <w:divBdr>
            <w:top w:val="none" w:sz="0" w:space="0" w:color="auto"/>
            <w:left w:val="none" w:sz="0" w:space="0" w:color="auto"/>
            <w:bottom w:val="none" w:sz="0" w:space="0" w:color="auto"/>
            <w:right w:val="none" w:sz="0" w:space="0" w:color="auto"/>
          </w:divBdr>
        </w:div>
        <w:div w:id="1980190284">
          <w:marLeft w:val="640"/>
          <w:marRight w:val="0"/>
          <w:marTop w:val="0"/>
          <w:marBottom w:val="0"/>
          <w:divBdr>
            <w:top w:val="none" w:sz="0" w:space="0" w:color="auto"/>
            <w:left w:val="none" w:sz="0" w:space="0" w:color="auto"/>
            <w:bottom w:val="none" w:sz="0" w:space="0" w:color="auto"/>
            <w:right w:val="none" w:sz="0" w:space="0" w:color="auto"/>
          </w:divBdr>
        </w:div>
        <w:div w:id="1533691015">
          <w:marLeft w:val="640"/>
          <w:marRight w:val="0"/>
          <w:marTop w:val="0"/>
          <w:marBottom w:val="0"/>
          <w:divBdr>
            <w:top w:val="none" w:sz="0" w:space="0" w:color="auto"/>
            <w:left w:val="none" w:sz="0" w:space="0" w:color="auto"/>
            <w:bottom w:val="none" w:sz="0" w:space="0" w:color="auto"/>
            <w:right w:val="none" w:sz="0" w:space="0" w:color="auto"/>
          </w:divBdr>
        </w:div>
        <w:div w:id="393822526">
          <w:marLeft w:val="640"/>
          <w:marRight w:val="0"/>
          <w:marTop w:val="0"/>
          <w:marBottom w:val="0"/>
          <w:divBdr>
            <w:top w:val="none" w:sz="0" w:space="0" w:color="auto"/>
            <w:left w:val="none" w:sz="0" w:space="0" w:color="auto"/>
            <w:bottom w:val="none" w:sz="0" w:space="0" w:color="auto"/>
            <w:right w:val="none" w:sz="0" w:space="0" w:color="auto"/>
          </w:divBdr>
        </w:div>
        <w:div w:id="347996387">
          <w:marLeft w:val="640"/>
          <w:marRight w:val="0"/>
          <w:marTop w:val="0"/>
          <w:marBottom w:val="0"/>
          <w:divBdr>
            <w:top w:val="none" w:sz="0" w:space="0" w:color="auto"/>
            <w:left w:val="none" w:sz="0" w:space="0" w:color="auto"/>
            <w:bottom w:val="none" w:sz="0" w:space="0" w:color="auto"/>
            <w:right w:val="none" w:sz="0" w:space="0" w:color="auto"/>
          </w:divBdr>
        </w:div>
        <w:div w:id="2143648740">
          <w:marLeft w:val="640"/>
          <w:marRight w:val="0"/>
          <w:marTop w:val="0"/>
          <w:marBottom w:val="0"/>
          <w:divBdr>
            <w:top w:val="none" w:sz="0" w:space="0" w:color="auto"/>
            <w:left w:val="none" w:sz="0" w:space="0" w:color="auto"/>
            <w:bottom w:val="none" w:sz="0" w:space="0" w:color="auto"/>
            <w:right w:val="none" w:sz="0" w:space="0" w:color="auto"/>
          </w:divBdr>
        </w:div>
        <w:div w:id="1957637256">
          <w:marLeft w:val="640"/>
          <w:marRight w:val="0"/>
          <w:marTop w:val="0"/>
          <w:marBottom w:val="0"/>
          <w:divBdr>
            <w:top w:val="none" w:sz="0" w:space="0" w:color="auto"/>
            <w:left w:val="none" w:sz="0" w:space="0" w:color="auto"/>
            <w:bottom w:val="none" w:sz="0" w:space="0" w:color="auto"/>
            <w:right w:val="none" w:sz="0" w:space="0" w:color="auto"/>
          </w:divBdr>
        </w:div>
        <w:div w:id="1909923552">
          <w:marLeft w:val="640"/>
          <w:marRight w:val="0"/>
          <w:marTop w:val="0"/>
          <w:marBottom w:val="0"/>
          <w:divBdr>
            <w:top w:val="none" w:sz="0" w:space="0" w:color="auto"/>
            <w:left w:val="none" w:sz="0" w:space="0" w:color="auto"/>
            <w:bottom w:val="none" w:sz="0" w:space="0" w:color="auto"/>
            <w:right w:val="none" w:sz="0" w:space="0" w:color="auto"/>
          </w:divBdr>
        </w:div>
        <w:div w:id="230114585">
          <w:marLeft w:val="640"/>
          <w:marRight w:val="0"/>
          <w:marTop w:val="0"/>
          <w:marBottom w:val="0"/>
          <w:divBdr>
            <w:top w:val="none" w:sz="0" w:space="0" w:color="auto"/>
            <w:left w:val="none" w:sz="0" w:space="0" w:color="auto"/>
            <w:bottom w:val="none" w:sz="0" w:space="0" w:color="auto"/>
            <w:right w:val="none" w:sz="0" w:space="0" w:color="auto"/>
          </w:divBdr>
        </w:div>
        <w:div w:id="1770158466">
          <w:marLeft w:val="640"/>
          <w:marRight w:val="0"/>
          <w:marTop w:val="0"/>
          <w:marBottom w:val="0"/>
          <w:divBdr>
            <w:top w:val="none" w:sz="0" w:space="0" w:color="auto"/>
            <w:left w:val="none" w:sz="0" w:space="0" w:color="auto"/>
            <w:bottom w:val="none" w:sz="0" w:space="0" w:color="auto"/>
            <w:right w:val="none" w:sz="0" w:space="0" w:color="auto"/>
          </w:divBdr>
        </w:div>
        <w:div w:id="560529592">
          <w:marLeft w:val="640"/>
          <w:marRight w:val="0"/>
          <w:marTop w:val="0"/>
          <w:marBottom w:val="0"/>
          <w:divBdr>
            <w:top w:val="none" w:sz="0" w:space="0" w:color="auto"/>
            <w:left w:val="none" w:sz="0" w:space="0" w:color="auto"/>
            <w:bottom w:val="none" w:sz="0" w:space="0" w:color="auto"/>
            <w:right w:val="none" w:sz="0" w:space="0" w:color="auto"/>
          </w:divBdr>
        </w:div>
        <w:div w:id="525825527">
          <w:marLeft w:val="640"/>
          <w:marRight w:val="0"/>
          <w:marTop w:val="0"/>
          <w:marBottom w:val="0"/>
          <w:divBdr>
            <w:top w:val="none" w:sz="0" w:space="0" w:color="auto"/>
            <w:left w:val="none" w:sz="0" w:space="0" w:color="auto"/>
            <w:bottom w:val="none" w:sz="0" w:space="0" w:color="auto"/>
            <w:right w:val="none" w:sz="0" w:space="0" w:color="auto"/>
          </w:divBdr>
        </w:div>
        <w:div w:id="953172855">
          <w:marLeft w:val="640"/>
          <w:marRight w:val="0"/>
          <w:marTop w:val="0"/>
          <w:marBottom w:val="0"/>
          <w:divBdr>
            <w:top w:val="none" w:sz="0" w:space="0" w:color="auto"/>
            <w:left w:val="none" w:sz="0" w:space="0" w:color="auto"/>
            <w:bottom w:val="none" w:sz="0" w:space="0" w:color="auto"/>
            <w:right w:val="none" w:sz="0" w:space="0" w:color="auto"/>
          </w:divBdr>
        </w:div>
        <w:div w:id="1494830266">
          <w:marLeft w:val="640"/>
          <w:marRight w:val="0"/>
          <w:marTop w:val="0"/>
          <w:marBottom w:val="0"/>
          <w:divBdr>
            <w:top w:val="none" w:sz="0" w:space="0" w:color="auto"/>
            <w:left w:val="none" w:sz="0" w:space="0" w:color="auto"/>
            <w:bottom w:val="none" w:sz="0" w:space="0" w:color="auto"/>
            <w:right w:val="none" w:sz="0" w:space="0" w:color="auto"/>
          </w:divBdr>
        </w:div>
      </w:divsChild>
    </w:div>
    <w:div w:id="149684514">
      <w:bodyDiv w:val="1"/>
      <w:marLeft w:val="0"/>
      <w:marRight w:val="0"/>
      <w:marTop w:val="0"/>
      <w:marBottom w:val="0"/>
      <w:divBdr>
        <w:top w:val="none" w:sz="0" w:space="0" w:color="auto"/>
        <w:left w:val="none" w:sz="0" w:space="0" w:color="auto"/>
        <w:bottom w:val="none" w:sz="0" w:space="0" w:color="auto"/>
        <w:right w:val="none" w:sz="0" w:space="0" w:color="auto"/>
      </w:divBdr>
    </w:div>
    <w:div w:id="150224025">
      <w:bodyDiv w:val="1"/>
      <w:marLeft w:val="0"/>
      <w:marRight w:val="0"/>
      <w:marTop w:val="0"/>
      <w:marBottom w:val="0"/>
      <w:divBdr>
        <w:top w:val="none" w:sz="0" w:space="0" w:color="auto"/>
        <w:left w:val="none" w:sz="0" w:space="0" w:color="auto"/>
        <w:bottom w:val="none" w:sz="0" w:space="0" w:color="auto"/>
        <w:right w:val="none" w:sz="0" w:space="0" w:color="auto"/>
      </w:divBdr>
    </w:div>
    <w:div w:id="152456563">
      <w:bodyDiv w:val="1"/>
      <w:marLeft w:val="0"/>
      <w:marRight w:val="0"/>
      <w:marTop w:val="0"/>
      <w:marBottom w:val="0"/>
      <w:divBdr>
        <w:top w:val="none" w:sz="0" w:space="0" w:color="auto"/>
        <w:left w:val="none" w:sz="0" w:space="0" w:color="auto"/>
        <w:bottom w:val="none" w:sz="0" w:space="0" w:color="auto"/>
        <w:right w:val="none" w:sz="0" w:space="0" w:color="auto"/>
      </w:divBdr>
    </w:div>
    <w:div w:id="152988686">
      <w:bodyDiv w:val="1"/>
      <w:marLeft w:val="0"/>
      <w:marRight w:val="0"/>
      <w:marTop w:val="0"/>
      <w:marBottom w:val="0"/>
      <w:divBdr>
        <w:top w:val="none" w:sz="0" w:space="0" w:color="auto"/>
        <w:left w:val="none" w:sz="0" w:space="0" w:color="auto"/>
        <w:bottom w:val="none" w:sz="0" w:space="0" w:color="auto"/>
        <w:right w:val="none" w:sz="0" w:space="0" w:color="auto"/>
      </w:divBdr>
    </w:div>
    <w:div w:id="153569155">
      <w:bodyDiv w:val="1"/>
      <w:marLeft w:val="0"/>
      <w:marRight w:val="0"/>
      <w:marTop w:val="0"/>
      <w:marBottom w:val="0"/>
      <w:divBdr>
        <w:top w:val="none" w:sz="0" w:space="0" w:color="auto"/>
        <w:left w:val="none" w:sz="0" w:space="0" w:color="auto"/>
        <w:bottom w:val="none" w:sz="0" w:space="0" w:color="auto"/>
        <w:right w:val="none" w:sz="0" w:space="0" w:color="auto"/>
      </w:divBdr>
    </w:div>
    <w:div w:id="159274542">
      <w:bodyDiv w:val="1"/>
      <w:marLeft w:val="0"/>
      <w:marRight w:val="0"/>
      <w:marTop w:val="0"/>
      <w:marBottom w:val="0"/>
      <w:divBdr>
        <w:top w:val="none" w:sz="0" w:space="0" w:color="auto"/>
        <w:left w:val="none" w:sz="0" w:space="0" w:color="auto"/>
        <w:bottom w:val="none" w:sz="0" w:space="0" w:color="auto"/>
        <w:right w:val="none" w:sz="0" w:space="0" w:color="auto"/>
      </w:divBdr>
    </w:div>
    <w:div w:id="160513521">
      <w:bodyDiv w:val="1"/>
      <w:marLeft w:val="0"/>
      <w:marRight w:val="0"/>
      <w:marTop w:val="0"/>
      <w:marBottom w:val="0"/>
      <w:divBdr>
        <w:top w:val="none" w:sz="0" w:space="0" w:color="auto"/>
        <w:left w:val="none" w:sz="0" w:space="0" w:color="auto"/>
        <w:bottom w:val="none" w:sz="0" w:space="0" w:color="auto"/>
        <w:right w:val="none" w:sz="0" w:space="0" w:color="auto"/>
      </w:divBdr>
    </w:div>
    <w:div w:id="164252512">
      <w:bodyDiv w:val="1"/>
      <w:marLeft w:val="0"/>
      <w:marRight w:val="0"/>
      <w:marTop w:val="0"/>
      <w:marBottom w:val="0"/>
      <w:divBdr>
        <w:top w:val="none" w:sz="0" w:space="0" w:color="auto"/>
        <w:left w:val="none" w:sz="0" w:space="0" w:color="auto"/>
        <w:bottom w:val="none" w:sz="0" w:space="0" w:color="auto"/>
        <w:right w:val="none" w:sz="0" w:space="0" w:color="auto"/>
      </w:divBdr>
    </w:div>
    <w:div w:id="165871739">
      <w:bodyDiv w:val="1"/>
      <w:marLeft w:val="0"/>
      <w:marRight w:val="0"/>
      <w:marTop w:val="0"/>
      <w:marBottom w:val="0"/>
      <w:divBdr>
        <w:top w:val="none" w:sz="0" w:space="0" w:color="auto"/>
        <w:left w:val="none" w:sz="0" w:space="0" w:color="auto"/>
        <w:bottom w:val="none" w:sz="0" w:space="0" w:color="auto"/>
        <w:right w:val="none" w:sz="0" w:space="0" w:color="auto"/>
      </w:divBdr>
    </w:div>
    <w:div w:id="172114124">
      <w:bodyDiv w:val="1"/>
      <w:marLeft w:val="0"/>
      <w:marRight w:val="0"/>
      <w:marTop w:val="0"/>
      <w:marBottom w:val="0"/>
      <w:divBdr>
        <w:top w:val="none" w:sz="0" w:space="0" w:color="auto"/>
        <w:left w:val="none" w:sz="0" w:space="0" w:color="auto"/>
        <w:bottom w:val="none" w:sz="0" w:space="0" w:color="auto"/>
        <w:right w:val="none" w:sz="0" w:space="0" w:color="auto"/>
      </w:divBdr>
    </w:div>
    <w:div w:id="172956758">
      <w:bodyDiv w:val="1"/>
      <w:marLeft w:val="0"/>
      <w:marRight w:val="0"/>
      <w:marTop w:val="0"/>
      <w:marBottom w:val="0"/>
      <w:divBdr>
        <w:top w:val="none" w:sz="0" w:space="0" w:color="auto"/>
        <w:left w:val="none" w:sz="0" w:space="0" w:color="auto"/>
        <w:bottom w:val="none" w:sz="0" w:space="0" w:color="auto"/>
        <w:right w:val="none" w:sz="0" w:space="0" w:color="auto"/>
      </w:divBdr>
    </w:div>
    <w:div w:id="175465573">
      <w:bodyDiv w:val="1"/>
      <w:marLeft w:val="0"/>
      <w:marRight w:val="0"/>
      <w:marTop w:val="0"/>
      <w:marBottom w:val="0"/>
      <w:divBdr>
        <w:top w:val="none" w:sz="0" w:space="0" w:color="auto"/>
        <w:left w:val="none" w:sz="0" w:space="0" w:color="auto"/>
        <w:bottom w:val="none" w:sz="0" w:space="0" w:color="auto"/>
        <w:right w:val="none" w:sz="0" w:space="0" w:color="auto"/>
      </w:divBdr>
    </w:div>
    <w:div w:id="176698862">
      <w:bodyDiv w:val="1"/>
      <w:marLeft w:val="0"/>
      <w:marRight w:val="0"/>
      <w:marTop w:val="0"/>
      <w:marBottom w:val="0"/>
      <w:divBdr>
        <w:top w:val="none" w:sz="0" w:space="0" w:color="auto"/>
        <w:left w:val="none" w:sz="0" w:space="0" w:color="auto"/>
        <w:bottom w:val="none" w:sz="0" w:space="0" w:color="auto"/>
        <w:right w:val="none" w:sz="0" w:space="0" w:color="auto"/>
      </w:divBdr>
    </w:div>
    <w:div w:id="178586596">
      <w:bodyDiv w:val="1"/>
      <w:marLeft w:val="0"/>
      <w:marRight w:val="0"/>
      <w:marTop w:val="0"/>
      <w:marBottom w:val="0"/>
      <w:divBdr>
        <w:top w:val="none" w:sz="0" w:space="0" w:color="auto"/>
        <w:left w:val="none" w:sz="0" w:space="0" w:color="auto"/>
        <w:bottom w:val="none" w:sz="0" w:space="0" w:color="auto"/>
        <w:right w:val="none" w:sz="0" w:space="0" w:color="auto"/>
      </w:divBdr>
    </w:div>
    <w:div w:id="179246534">
      <w:bodyDiv w:val="1"/>
      <w:marLeft w:val="0"/>
      <w:marRight w:val="0"/>
      <w:marTop w:val="0"/>
      <w:marBottom w:val="0"/>
      <w:divBdr>
        <w:top w:val="none" w:sz="0" w:space="0" w:color="auto"/>
        <w:left w:val="none" w:sz="0" w:space="0" w:color="auto"/>
        <w:bottom w:val="none" w:sz="0" w:space="0" w:color="auto"/>
        <w:right w:val="none" w:sz="0" w:space="0" w:color="auto"/>
      </w:divBdr>
    </w:div>
    <w:div w:id="186018891">
      <w:bodyDiv w:val="1"/>
      <w:marLeft w:val="0"/>
      <w:marRight w:val="0"/>
      <w:marTop w:val="0"/>
      <w:marBottom w:val="0"/>
      <w:divBdr>
        <w:top w:val="none" w:sz="0" w:space="0" w:color="auto"/>
        <w:left w:val="none" w:sz="0" w:space="0" w:color="auto"/>
        <w:bottom w:val="none" w:sz="0" w:space="0" w:color="auto"/>
        <w:right w:val="none" w:sz="0" w:space="0" w:color="auto"/>
      </w:divBdr>
    </w:div>
    <w:div w:id="186067562">
      <w:bodyDiv w:val="1"/>
      <w:marLeft w:val="0"/>
      <w:marRight w:val="0"/>
      <w:marTop w:val="0"/>
      <w:marBottom w:val="0"/>
      <w:divBdr>
        <w:top w:val="none" w:sz="0" w:space="0" w:color="auto"/>
        <w:left w:val="none" w:sz="0" w:space="0" w:color="auto"/>
        <w:bottom w:val="none" w:sz="0" w:space="0" w:color="auto"/>
        <w:right w:val="none" w:sz="0" w:space="0" w:color="auto"/>
      </w:divBdr>
    </w:div>
    <w:div w:id="190455212">
      <w:bodyDiv w:val="1"/>
      <w:marLeft w:val="0"/>
      <w:marRight w:val="0"/>
      <w:marTop w:val="0"/>
      <w:marBottom w:val="0"/>
      <w:divBdr>
        <w:top w:val="none" w:sz="0" w:space="0" w:color="auto"/>
        <w:left w:val="none" w:sz="0" w:space="0" w:color="auto"/>
        <w:bottom w:val="none" w:sz="0" w:space="0" w:color="auto"/>
        <w:right w:val="none" w:sz="0" w:space="0" w:color="auto"/>
      </w:divBdr>
    </w:div>
    <w:div w:id="190580978">
      <w:bodyDiv w:val="1"/>
      <w:marLeft w:val="0"/>
      <w:marRight w:val="0"/>
      <w:marTop w:val="0"/>
      <w:marBottom w:val="0"/>
      <w:divBdr>
        <w:top w:val="none" w:sz="0" w:space="0" w:color="auto"/>
        <w:left w:val="none" w:sz="0" w:space="0" w:color="auto"/>
        <w:bottom w:val="none" w:sz="0" w:space="0" w:color="auto"/>
        <w:right w:val="none" w:sz="0" w:space="0" w:color="auto"/>
      </w:divBdr>
    </w:div>
    <w:div w:id="192112596">
      <w:bodyDiv w:val="1"/>
      <w:marLeft w:val="0"/>
      <w:marRight w:val="0"/>
      <w:marTop w:val="0"/>
      <w:marBottom w:val="0"/>
      <w:divBdr>
        <w:top w:val="none" w:sz="0" w:space="0" w:color="auto"/>
        <w:left w:val="none" w:sz="0" w:space="0" w:color="auto"/>
        <w:bottom w:val="none" w:sz="0" w:space="0" w:color="auto"/>
        <w:right w:val="none" w:sz="0" w:space="0" w:color="auto"/>
      </w:divBdr>
    </w:div>
    <w:div w:id="192229090">
      <w:bodyDiv w:val="1"/>
      <w:marLeft w:val="0"/>
      <w:marRight w:val="0"/>
      <w:marTop w:val="0"/>
      <w:marBottom w:val="0"/>
      <w:divBdr>
        <w:top w:val="none" w:sz="0" w:space="0" w:color="auto"/>
        <w:left w:val="none" w:sz="0" w:space="0" w:color="auto"/>
        <w:bottom w:val="none" w:sz="0" w:space="0" w:color="auto"/>
        <w:right w:val="none" w:sz="0" w:space="0" w:color="auto"/>
      </w:divBdr>
    </w:div>
    <w:div w:id="201020314">
      <w:bodyDiv w:val="1"/>
      <w:marLeft w:val="0"/>
      <w:marRight w:val="0"/>
      <w:marTop w:val="0"/>
      <w:marBottom w:val="0"/>
      <w:divBdr>
        <w:top w:val="none" w:sz="0" w:space="0" w:color="auto"/>
        <w:left w:val="none" w:sz="0" w:space="0" w:color="auto"/>
        <w:bottom w:val="none" w:sz="0" w:space="0" w:color="auto"/>
        <w:right w:val="none" w:sz="0" w:space="0" w:color="auto"/>
      </w:divBdr>
    </w:div>
    <w:div w:id="203713858">
      <w:bodyDiv w:val="1"/>
      <w:marLeft w:val="0"/>
      <w:marRight w:val="0"/>
      <w:marTop w:val="0"/>
      <w:marBottom w:val="0"/>
      <w:divBdr>
        <w:top w:val="none" w:sz="0" w:space="0" w:color="auto"/>
        <w:left w:val="none" w:sz="0" w:space="0" w:color="auto"/>
        <w:bottom w:val="none" w:sz="0" w:space="0" w:color="auto"/>
        <w:right w:val="none" w:sz="0" w:space="0" w:color="auto"/>
      </w:divBdr>
    </w:div>
    <w:div w:id="204635278">
      <w:bodyDiv w:val="1"/>
      <w:marLeft w:val="0"/>
      <w:marRight w:val="0"/>
      <w:marTop w:val="0"/>
      <w:marBottom w:val="0"/>
      <w:divBdr>
        <w:top w:val="none" w:sz="0" w:space="0" w:color="auto"/>
        <w:left w:val="none" w:sz="0" w:space="0" w:color="auto"/>
        <w:bottom w:val="none" w:sz="0" w:space="0" w:color="auto"/>
        <w:right w:val="none" w:sz="0" w:space="0" w:color="auto"/>
      </w:divBdr>
    </w:div>
    <w:div w:id="206380372">
      <w:bodyDiv w:val="1"/>
      <w:marLeft w:val="0"/>
      <w:marRight w:val="0"/>
      <w:marTop w:val="0"/>
      <w:marBottom w:val="0"/>
      <w:divBdr>
        <w:top w:val="none" w:sz="0" w:space="0" w:color="auto"/>
        <w:left w:val="none" w:sz="0" w:space="0" w:color="auto"/>
        <w:bottom w:val="none" w:sz="0" w:space="0" w:color="auto"/>
        <w:right w:val="none" w:sz="0" w:space="0" w:color="auto"/>
      </w:divBdr>
    </w:div>
    <w:div w:id="207111716">
      <w:bodyDiv w:val="1"/>
      <w:marLeft w:val="0"/>
      <w:marRight w:val="0"/>
      <w:marTop w:val="0"/>
      <w:marBottom w:val="0"/>
      <w:divBdr>
        <w:top w:val="none" w:sz="0" w:space="0" w:color="auto"/>
        <w:left w:val="none" w:sz="0" w:space="0" w:color="auto"/>
        <w:bottom w:val="none" w:sz="0" w:space="0" w:color="auto"/>
        <w:right w:val="none" w:sz="0" w:space="0" w:color="auto"/>
      </w:divBdr>
    </w:div>
    <w:div w:id="208415725">
      <w:bodyDiv w:val="1"/>
      <w:marLeft w:val="0"/>
      <w:marRight w:val="0"/>
      <w:marTop w:val="0"/>
      <w:marBottom w:val="0"/>
      <w:divBdr>
        <w:top w:val="none" w:sz="0" w:space="0" w:color="auto"/>
        <w:left w:val="none" w:sz="0" w:space="0" w:color="auto"/>
        <w:bottom w:val="none" w:sz="0" w:space="0" w:color="auto"/>
        <w:right w:val="none" w:sz="0" w:space="0" w:color="auto"/>
      </w:divBdr>
    </w:div>
    <w:div w:id="208542485">
      <w:bodyDiv w:val="1"/>
      <w:marLeft w:val="0"/>
      <w:marRight w:val="0"/>
      <w:marTop w:val="0"/>
      <w:marBottom w:val="0"/>
      <w:divBdr>
        <w:top w:val="none" w:sz="0" w:space="0" w:color="auto"/>
        <w:left w:val="none" w:sz="0" w:space="0" w:color="auto"/>
        <w:bottom w:val="none" w:sz="0" w:space="0" w:color="auto"/>
        <w:right w:val="none" w:sz="0" w:space="0" w:color="auto"/>
      </w:divBdr>
    </w:div>
    <w:div w:id="211815646">
      <w:bodyDiv w:val="1"/>
      <w:marLeft w:val="0"/>
      <w:marRight w:val="0"/>
      <w:marTop w:val="0"/>
      <w:marBottom w:val="0"/>
      <w:divBdr>
        <w:top w:val="none" w:sz="0" w:space="0" w:color="auto"/>
        <w:left w:val="none" w:sz="0" w:space="0" w:color="auto"/>
        <w:bottom w:val="none" w:sz="0" w:space="0" w:color="auto"/>
        <w:right w:val="none" w:sz="0" w:space="0" w:color="auto"/>
      </w:divBdr>
    </w:div>
    <w:div w:id="212424766">
      <w:bodyDiv w:val="1"/>
      <w:marLeft w:val="0"/>
      <w:marRight w:val="0"/>
      <w:marTop w:val="0"/>
      <w:marBottom w:val="0"/>
      <w:divBdr>
        <w:top w:val="none" w:sz="0" w:space="0" w:color="auto"/>
        <w:left w:val="none" w:sz="0" w:space="0" w:color="auto"/>
        <w:bottom w:val="none" w:sz="0" w:space="0" w:color="auto"/>
        <w:right w:val="none" w:sz="0" w:space="0" w:color="auto"/>
      </w:divBdr>
    </w:div>
    <w:div w:id="212544844">
      <w:bodyDiv w:val="1"/>
      <w:marLeft w:val="0"/>
      <w:marRight w:val="0"/>
      <w:marTop w:val="0"/>
      <w:marBottom w:val="0"/>
      <w:divBdr>
        <w:top w:val="none" w:sz="0" w:space="0" w:color="auto"/>
        <w:left w:val="none" w:sz="0" w:space="0" w:color="auto"/>
        <w:bottom w:val="none" w:sz="0" w:space="0" w:color="auto"/>
        <w:right w:val="none" w:sz="0" w:space="0" w:color="auto"/>
      </w:divBdr>
    </w:div>
    <w:div w:id="214465613">
      <w:bodyDiv w:val="1"/>
      <w:marLeft w:val="0"/>
      <w:marRight w:val="0"/>
      <w:marTop w:val="0"/>
      <w:marBottom w:val="0"/>
      <w:divBdr>
        <w:top w:val="none" w:sz="0" w:space="0" w:color="auto"/>
        <w:left w:val="none" w:sz="0" w:space="0" w:color="auto"/>
        <w:bottom w:val="none" w:sz="0" w:space="0" w:color="auto"/>
        <w:right w:val="none" w:sz="0" w:space="0" w:color="auto"/>
      </w:divBdr>
    </w:div>
    <w:div w:id="214661516">
      <w:bodyDiv w:val="1"/>
      <w:marLeft w:val="0"/>
      <w:marRight w:val="0"/>
      <w:marTop w:val="0"/>
      <w:marBottom w:val="0"/>
      <w:divBdr>
        <w:top w:val="none" w:sz="0" w:space="0" w:color="auto"/>
        <w:left w:val="none" w:sz="0" w:space="0" w:color="auto"/>
        <w:bottom w:val="none" w:sz="0" w:space="0" w:color="auto"/>
        <w:right w:val="none" w:sz="0" w:space="0" w:color="auto"/>
      </w:divBdr>
    </w:div>
    <w:div w:id="215438775">
      <w:bodyDiv w:val="1"/>
      <w:marLeft w:val="0"/>
      <w:marRight w:val="0"/>
      <w:marTop w:val="0"/>
      <w:marBottom w:val="0"/>
      <w:divBdr>
        <w:top w:val="none" w:sz="0" w:space="0" w:color="auto"/>
        <w:left w:val="none" w:sz="0" w:space="0" w:color="auto"/>
        <w:bottom w:val="none" w:sz="0" w:space="0" w:color="auto"/>
        <w:right w:val="none" w:sz="0" w:space="0" w:color="auto"/>
      </w:divBdr>
    </w:div>
    <w:div w:id="217322706">
      <w:bodyDiv w:val="1"/>
      <w:marLeft w:val="0"/>
      <w:marRight w:val="0"/>
      <w:marTop w:val="0"/>
      <w:marBottom w:val="0"/>
      <w:divBdr>
        <w:top w:val="none" w:sz="0" w:space="0" w:color="auto"/>
        <w:left w:val="none" w:sz="0" w:space="0" w:color="auto"/>
        <w:bottom w:val="none" w:sz="0" w:space="0" w:color="auto"/>
        <w:right w:val="none" w:sz="0" w:space="0" w:color="auto"/>
      </w:divBdr>
    </w:div>
    <w:div w:id="217933643">
      <w:bodyDiv w:val="1"/>
      <w:marLeft w:val="0"/>
      <w:marRight w:val="0"/>
      <w:marTop w:val="0"/>
      <w:marBottom w:val="0"/>
      <w:divBdr>
        <w:top w:val="none" w:sz="0" w:space="0" w:color="auto"/>
        <w:left w:val="none" w:sz="0" w:space="0" w:color="auto"/>
        <w:bottom w:val="none" w:sz="0" w:space="0" w:color="auto"/>
        <w:right w:val="none" w:sz="0" w:space="0" w:color="auto"/>
      </w:divBdr>
      <w:divsChild>
        <w:div w:id="1226795786">
          <w:marLeft w:val="640"/>
          <w:marRight w:val="0"/>
          <w:marTop w:val="0"/>
          <w:marBottom w:val="0"/>
          <w:divBdr>
            <w:top w:val="none" w:sz="0" w:space="0" w:color="auto"/>
            <w:left w:val="none" w:sz="0" w:space="0" w:color="auto"/>
            <w:bottom w:val="none" w:sz="0" w:space="0" w:color="auto"/>
            <w:right w:val="none" w:sz="0" w:space="0" w:color="auto"/>
          </w:divBdr>
        </w:div>
        <w:div w:id="1978797992">
          <w:marLeft w:val="640"/>
          <w:marRight w:val="0"/>
          <w:marTop w:val="0"/>
          <w:marBottom w:val="0"/>
          <w:divBdr>
            <w:top w:val="none" w:sz="0" w:space="0" w:color="auto"/>
            <w:left w:val="none" w:sz="0" w:space="0" w:color="auto"/>
            <w:bottom w:val="none" w:sz="0" w:space="0" w:color="auto"/>
            <w:right w:val="none" w:sz="0" w:space="0" w:color="auto"/>
          </w:divBdr>
        </w:div>
        <w:div w:id="666247569">
          <w:marLeft w:val="640"/>
          <w:marRight w:val="0"/>
          <w:marTop w:val="0"/>
          <w:marBottom w:val="0"/>
          <w:divBdr>
            <w:top w:val="none" w:sz="0" w:space="0" w:color="auto"/>
            <w:left w:val="none" w:sz="0" w:space="0" w:color="auto"/>
            <w:bottom w:val="none" w:sz="0" w:space="0" w:color="auto"/>
            <w:right w:val="none" w:sz="0" w:space="0" w:color="auto"/>
          </w:divBdr>
        </w:div>
        <w:div w:id="1459224965">
          <w:marLeft w:val="640"/>
          <w:marRight w:val="0"/>
          <w:marTop w:val="0"/>
          <w:marBottom w:val="0"/>
          <w:divBdr>
            <w:top w:val="none" w:sz="0" w:space="0" w:color="auto"/>
            <w:left w:val="none" w:sz="0" w:space="0" w:color="auto"/>
            <w:bottom w:val="none" w:sz="0" w:space="0" w:color="auto"/>
            <w:right w:val="none" w:sz="0" w:space="0" w:color="auto"/>
          </w:divBdr>
        </w:div>
        <w:div w:id="1393230633">
          <w:marLeft w:val="640"/>
          <w:marRight w:val="0"/>
          <w:marTop w:val="0"/>
          <w:marBottom w:val="0"/>
          <w:divBdr>
            <w:top w:val="none" w:sz="0" w:space="0" w:color="auto"/>
            <w:left w:val="none" w:sz="0" w:space="0" w:color="auto"/>
            <w:bottom w:val="none" w:sz="0" w:space="0" w:color="auto"/>
            <w:right w:val="none" w:sz="0" w:space="0" w:color="auto"/>
          </w:divBdr>
        </w:div>
        <w:div w:id="1228154150">
          <w:marLeft w:val="640"/>
          <w:marRight w:val="0"/>
          <w:marTop w:val="0"/>
          <w:marBottom w:val="0"/>
          <w:divBdr>
            <w:top w:val="none" w:sz="0" w:space="0" w:color="auto"/>
            <w:left w:val="none" w:sz="0" w:space="0" w:color="auto"/>
            <w:bottom w:val="none" w:sz="0" w:space="0" w:color="auto"/>
            <w:right w:val="none" w:sz="0" w:space="0" w:color="auto"/>
          </w:divBdr>
        </w:div>
        <w:div w:id="664867461">
          <w:marLeft w:val="640"/>
          <w:marRight w:val="0"/>
          <w:marTop w:val="0"/>
          <w:marBottom w:val="0"/>
          <w:divBdr>
            <w:top w:val="none" w:sz="0" w:space="0" w:color="auto"/>
            <w:left w:val="none" w:sz="0" w:space="0" w:color="auto"/>
            <w:bottom w:val="none" w:sz="0" w:space="0" w:color="auto"/>
            <w:right w:val="none" w:sz="0" w:space="0" w:color="auto"/>
          </w:divBdr>
        </w:div>
        <w:div w:id="2020305582">
          <w:marLeft w:val="640"/>
          <w:marRight w:val="0"/>
          <w:marTop w:val="0"/>
          <w:marBottom w:val="0"/>
          <w:divBdr>
            <w:top w:val="none" w:sz="0" w:space="0" w:color="auto"/>
            <w:left w:val="none" w:sz="0" w:space="0" w:color="auto"/>
            <w:bottom w:val="none" w:sz="0" w:space="0" w:color="auto"/>
            <w:right w:val="none" w:sz="0" w:space="0" w:color="auto"/>
          </w:divBdr>
        </w:div>
        <w:div w:id="1228497519">
          <w:marLeft w:val="640"/>
          <w:marRight w:val="0"/>
          <w:marTop w:val="0"/>
          <w:marBottom w:val="0"/>
          <w:divBdr>
            <w:top w:val="none" w:sz="0" w:space="0" w:color="auto"/>
            <w:left w:val="none" w:sz="0" w:space="0" w:color="auto"/>
            <w:bottom w:val="none" w:sz="0" w:space="0" w:color="auto"/>
            <w:right w:val="none" w:sz="0" w:space="0" w:color="auto"/>
          </w:divBdr>
        </w:div>
        <w:div w:id="1464470394">
          <w:marLeft w:val="640"/>
          <w:marRight w:val="0"/>
          <w:marTop w:val="0"/>
          <w:marBottom w:val="0"/>
          <w:divBdr>
            <w:top w:val="none" w:sz="0" w:space="0" w:color="auto"/>
            <w:left w:val="none" w:sz="0" w:space="0" w:color="auto"/>
            <w:bottom w:val="none" w:sz="0" w:space="0" w:color="auto"/>
            <w:right w:val="none" w:sz="0" w:space="0" w:color="auto"/>
          </w:divBdr>
        </w:div>
        <w:div w:id="1342046462">
          <w:marLeft w:val="640"/>
          <w:marRight w:val="0"/>
          <w:marTop w:val="0"/>
          <w:marBottom w:val="0"/>
          <w:divBdr>
            <w:top w:val="none" w:sz="0" w:space="0" w:color="auto"/>
            <w:left w:val="none" w:sz="0" w:space="0" w:color="auto"/>
            <w:bottom w:val="none" w:sz="0" w:space="0" w:color="auto"/>
            <w:right w:val="none" w:sz="0" w:space="0" w:color="auto"/>
          </w:divBdr>
        </w:div>
        <w:div w:id="315690809">
          <w:marLeft w:val="640"/>
          <w:marRight w:val="0"/>
          <w:marTop w:val="0"/>
          <w:marBottom w:val="0"/>
          <w:divBdr>
            <w:top w:val="none" w:sz="0" w:space="0" w:color="auto"/>
            <w:left w:val="none" w:sz="0" w:space="0" w:color="auto"/>
            <w:bottom w:val="none" w:sz="0" w:space="0" w:color="auto"/>
            <w:right w:val="none" w:sz="0" w:space="0" w:color="auto"/>
          </w:divBdr>
        </w:div>
        <w:div w:id="200828147">
          <w:marLeft w:val="640"/>
          <w:marRight w:val="0"/>
          <w:marTop w:val="0"/>
          <w:marBottom w:val="0"/>
          <w:divBdr>
            <w:top w:val="none" w:sz="0" w:space="0" w:color="auto"/>
            <w:left w:val="none" w:sz="0" w:space="0" w:color="auto"/>
            <w:bottom w:val="none" w:sz="0" w:space="0" w:color="auto"/>
            <w:right w:val="none" w:sz="0" w:space="0" w:color="auto"/>
          </w:divBdr>
        </w:div>
        <w:div w:id="1729038732">
          <w:marLeft w:val="640"/>
          <w:marRight w:val="0"/>
          <w:marTop w:val="0"/>
          <w:marBottom w:val="0"/>
          <w:divBdr>
            <w:top w:val="none" w:sz="0" w:space="0" w:color="auto"/>
            <w:left w:val="none" w:sz="0" w:space="0" w:color="auto"/>
            <w:bottom w:val="none" w:sz="0" w:space="0" w:color="auto"/>
            <w:right w:val="none" w:sz="0" w:space="0" w:color="auto"/>
          </w:divBdr>
        </w:div>
        <w:div w:id="1036396543">
          <w:marLeft w:val="640"/>
          <w:marRight w:val="0"/>
          <w:marTop w:val="0"/>
          <w:marBottom w:val="0"/>
          <w:divBdr>
            <w:top w:val="none" w:sz="0" w:space="0" w:color="auto"/>
            <w:left w:val="none" w:sz="0" w:space="0" w:color="auto"/>
            <w:bottom w:val="none" w:sz="0" w:space="0" w:color="auto"/>
            <w:right w:val="none" w:sz="0" w:space="0" w:color="auto"/>
          </w:divBdr>
        </w:div>
        <w:div w:id="1957830278">
          <w:marLeft w:val="640"/>
          <w:marRight w:val="0"/>
          <w:marTop w:val="0"/>
          <w:marBottom w:val="0"/>
          <w:divBdr>
            <w:top w:val="none" w:sz="0" w:space="0" w:color="auto"/>
            <w:left w:val="none" w:sz="0" w:space="0" w:color="auto"/>
            <w:bottom w:val="none" w:sz="0" w:space="0" w:color="auto"/>
            <w:right w:val="none" w:sz="0" w:space="0" w:color="auto"/>
          </w:divBdr>
        </w:div>
        <w:div w:id="341009289">
          <w:marLeft w:val="640"/>
          <w:marRight w:val="0"/>
          <w:marTop w:val="0"/>
          <w:marBottom w:val="0"/>
          <w:divBdr>
            <w:top w:val="none" w:sz="0" w:space="0" w:color="auto"/>
            <w:left w:val="none" w:sz="0" w:space="0" w:color="auto"/>
            <w:bottom w:val="none" w:sz="0" w:space="0" w:color="auto"/>
            <w:right w:val="none" w:sz="0" w:space="0" w:color="auto"/>
          </w:divBdr>
        </w:div>
        <w:div w:id="469514866">
          <w:marLeft w:val="640"/>
          <w:marRight w:val="0"/>
          <w:marTop w:val="0"/>
          <w:marBottom w:val="0"/>
          <w:divBdr>
            <w:top w:val="none" w:sz="0" w:space="0" w:color="auto"/>
            <w:left w:val="none" w:sz="0" w:space="0" w:color="auto"/>
            <w:bottom w:val="none" w:sz="0" w:space="0" w:color="auto"/>
            <w:right w:val="none" w:sz="0" w:space="0" w:color="auto"/>
          </w:divBdr>
        </w:div>
        <w:div w:id="847019247">
          <w:marLeft w:val="640"/>
          <w:marRight w:val="0"/>
          <w:marTop w:val="0"/>
          <w:marBottom w:val="0"/>
          <w:divBdr>
            <w:top w:val="none" w:sz="0" w:space="0" w:color="auto"/>
            <w:left w:val="none" w:sz="0" w:space="0" w:color="auto"/>
            <w:bottom w:val="none" w:sz="0" w:space="0" w:color="auto"/>
            <w:right w:val="none" w:sz="0" w:space="0" w:color="auto"/>
          </w:divBdr>
        </w:div>
        <w:div w:id="244918715">
          <w:marLeft w:val="640"/>
          <w:marRight w:val="0"/>
          <w:marTop w:val="0"/>
          <w:marBottom w:val="0"/>
          <w:divBdr>
            <w:top w:val="none" w:sz="0" w:space="0" w:color="auto"/>
            <w:left w:val="none" w:sz="0" w:space="0" w:color="auto"/>
            <w:bottom w:val="none" w:sz="0" w:space="0" w:color="auto"/>
            <w:right w:val="none" w:sz="0" w:space="0" w:color="auto"/>
          </w:divBdr>
        </w:div>
        <w:div w:id="260721349">
          <w:marLeft w:val="640"/>
          <w:marRight w:val="0"/>
          <w:marTop w:val="0"/>
          <w:marBottom w:val="0"/>
          <w:divBdr>
            <w:top w:val="none" w:sz="0" w:space="0" w:color="auto"/>
            <w:left w:val="none" w:sz="0" w:space="0" w:color="auto"/>
            <w:bottom w:val="none" w:sz="0" w:space="0" w:color="auto"/>
            <w:right w:val="none" w:sz="0" w:space="0" w:color="auto"/>
          </w:divBdr>
        </w:div>
        <w:div w:id="395974040">
          <w:marLeft w:val="640"/>
          <w:marRight w:val="0"/>
          <w:marTop w:val="0"/>
          <w:marBottom w:val="0"/>
          <w:divBdr>
            <w:top w:val="none" w:sz="0" w:space="0" w:color="auto"/>
            <w:left w:val="none" w:sz="0" w:space="0" w:color="auto"/>
            <w:bottom w:val="none" w:sz="0" w:space="0" w:color="auto"/>
            <w:right w:val="none" w:sz="0" w:space="0" w:color="auto"/>
          </w:divBdr>
        </w:div>
        <w:div w:id="1667702986">
          <w:marLeft w:val="640"/>
          <w:marRight w:val="0"/>
          <w:marTop w:val="0"/>
          <w:marBottom w:val="0"/>
          <w:divBdr>
            <w:top w:val="none" w:sz="0" w:space="0" w:color="auto"/>
            <w:left w:val="none" w:sz="0" w:space="0" w:color="auto"/>
            <w:bottom w:val="none" w:sz="0" w:space="0" w:color="auto"/>
            <w:right w:val="none" w:sz="0" w:space="0" w:color="auto"/>
          </w:divBdr>
        </w:div>
        <w:div w:id="1992900368">
          <w:marLeft w:val="640"/>
          <w:marRight w:val="0"/>
          <w:marTop w:val="0"/>
          <w:marBottom w:val="0"/>
          <w:divBdr>
            <w:top w:val="none" w:sz="0" w:space="0" w:color="auto"/>
            <w:left w:val="none" w:sz="0" w:space="0" w:color="auto"/>
            <w:bottom w:val="none" w:sz="0" w:space="0" w:color="auto"/>
            <w:right w:val="none" w:sz="0" w:space="0" w:color="auto"/>
          </w:divBdr>
        </w:div>
        <w:div w:id="1477183011">
          <w:marLeft w:val="640"/>
          <w:marRight w:val="0"/>
          <w:marTop w:val="0"/>
          <w:marBottom w:val="0"/>
          <w:divBdr>
            <w:top w:val="none" w:sz="0" w:space="0" w:color="auto"/>
            <w:left w:val="none" w:sz="0" w:space="0" w:color="auto"/>
            <w:bottom w:val="none" w:sz="0" w:space="0" w:color="auto"/>
            <w:right w:val="none" w:sz="0" w:space="0" w:color="auto"/>
          </w:divBdr>
        </w:div>
        <w:div w:id="1799179853">
          <w:marLeft w:val="640"/>
          <w:marRight w:val="0"/>
          <w:marTop w:val="0"/>
          <w:marBottom w:val="0"/>
          <w:divBdr>
            <w:top w:val="none" w:sz="0" w:space="0" w:color="auto"/>
            <w:left w:val="none" w:sz="0" w:space="0" w:color="auto"/>
            <w:bottom w:val="none" w:sz="0" w:space="0" w:color="auto"/>
            <w:right w:val="none" w:sz="0" w:space="0" w:color="auto"/>
          </w:divBdr>
        </w:div>
        <w:div w:id="169417739">
          <w:marLeft w:val="640"/>
          <w:marRight w:val="0"/>
          <w:marTop w:val="0"/>
          <w:marBottom w:val="0"/>
          <w:divBdr>
            <w:top w:val="none" w:sz="0" w:space="0" w:color="auto"/>
            <w:left w:val="none" w:sz="0" w:space="0" w:color="auto"/>
            <w:bottom w:val="none" w:sz="0" w:space="0" w:color="auto"/>
            <w:right w:val="none" w:sz="0" w:space="0" w:color="auto"/>
          </w:divBdr>
        </w:div>
        <w:div w:id="1868903987">
          <w:marLeft w:val="640"/>
          <w:marRight w:val="0"/>
          <w:marTop w:val="0"/>
          <w:marBottom w:val="0"/>
          <w:divBdr>
            <w:top w:val="none" w:sz="0" w:space="0" w:color="auto"/>
            <w:left w:val="none" w:sz="0" w:space="0" w:color="auto"/>
            <w:bottom w:val="none" w:sz="0" w:space="0" w:color="auto"/>
            <w:right w:val="none" w:sz="0" w:space="0" w:color="auto"/>
          </w:divBdr>
        </w:div>
        <w:div w:id="1476293428">
          <w:marLeft w:val="640"/>
          <w:marRight w:val="0"/>
          <w:marTop w:val="0"/>
          <w:marBottom w:val="0"/>
          <w:divBdr>
            <w:top w:val="none" w:sz="0" w:space="0" w:color="auto"/>
            <w:left w:val="none" w:sz="0" w:space="0" w:color="auto"/>
            <w:bottom w:val="none" w:sz="0" w:space="0" w:color="auto"/>
            <w:right w:val="none" w:sz="0" w:space="0" w:color="auto"/>
          </w:divBdr>
        </w:div>
        <w:div w:id="1247570706">
          <w:marLeft w:val="640"/>
          <w:marRight w:val="0"/>
          <w:marTop w:val="0"/>
          <w:marBottom w:val="0"/>
          <w:divBdr>
            <w:top w:val="none" w:sz="0" w:space="0" w:color="auto"/>
            <w:left w:val="none" w:sz="0" w:space="0" w:color="auto"/>
            <w:bottom w:val="none" w:sz="0" w:space="0" w:color="auto"/>
            <w:right w:val="none" w:sz="0" w:space="0" w:color="auto"/>
          </w:divBdr>
        </w:div>
        <w:div w:id="906301297">
          <w:marLeft w:val="640"/>
          <w:marRight w:val="0"/>
          <w:marTop w:val="0"/>
          <w:marBottom w:val="0"/>
          <w:divBdr>
            <w:top w:val="none" w:sz="0" w:space="0" w:color="auto"/>
            <w:left w:val="none" w:sz="0" w:space="0" w:color="auto"/>
            <w:bottom w:val="none" w:sz="0" w:space="0" w:color="auto"/>
            <w:right w:val="none" w:sz="0" w:space="0" w:color="auto"/>
          </w:divBdr>
        </w:div>
        <w:div w:id="2047020833">
          <w:marLeft w:val="640"/>
          <w:marRight w:val="0"/>
          <w:marTop w:val="0"/>
          <w:marBottom w:val="0"/>
          <w:divBdr>
            <w:top w:val="none" w:sz="0" w:space="0" w:color="auto"/>
            <w:left w:val="none" w:sz="0" w:space="0" w:color="auto"/>
            <w:bottom w:val="none" w:sz="0" w:space="0" w:color="auto"/>
            <w:right w:val="none" w:sz="0" w:space="0" w:color="auto"/>
          </w:divBdr>
        </w:div>
        <w:div w:id="1753044255">
          <w:marLeft w:val="640"/>
          <w:marRight w:val="0"/>
          <w:marTop w:val="0"/>
          <w:marBottom w:val="0"/>
          <w:divBdr>
            <w:top w:val="none" w:sz="0" w:space="0" w:color="auto"/>
            <w:left w:val="none" w:sz="0" w:space="0" w:color="auto"/>
            <w:bottom w:val="none" w:sz="0" w:space="0" w:color="auto"/>
            <w:right w:val="none" w:sz="0" w:space="0" w:color="auto"/>
          </w:divBdr>
        </w:div>
        <w:div w:id="835191557">
          <w:marLeft w:val="640"/>
          <w:marRight w:val="0"/>
          <w:marTop w:val="0"/>
          <w:marBottom w:val="0"/>
          <w:divBdr>
            <w:top w:val="none" w:sz="0" w:space="0" w:color="auto"/>
            <w:left w:val="none" w:sz="0" w:space="0" w:color="auto"/>
            <w:bottom w:val="none" w:sz="0" w:space="0" w:color="auto"/>
            <w:right w:val="none" w:sz="0" w:space="0" w:color="auto"/>
          </w:divBdr>
        </w:div>
        <w:div w:id="1442381899">
          <w:marLeft w:val="640"/>
          <w:marRight w:val="0"/>
          <w:marTop w:val="0"/>
          <w:marBottom w:val="0"/>
          <w:divBdr>
            <w:top w:val="none" w:sz="0" w:space="0" w:color="auto"/>
            <w:left w:val="none" w:sz="0" w:space="0" w:color="auto"/>
            <w:bottom w:val="none" w:sz="0" w:space="0" w:color="auto"/>
            <w:right w:val="none" w:sz="0" w:space="0" w:color="auto"/>
          </w:divBdr>
        </w:div>
        <w:div w:id="1073116276">
          <w:marLeft w:val="640"/>
          <w:marRight w:val="0"/>
          <w:marTop w:val="0"/>
          <w:marBottom w:val="0"/>
          <w:divBdr>
            <w:top w:val="none" w:sz="0" w:space="0" w:color="auto"/>
            <w:left w:val="none" w:sz="0" w:space="0" w:color="auto"/>
            <w:bottom w:val="none" w:sz="0" w:space="0" w:color="auto"/>
            <w:right w:val="none" w:sz="0" w:space="0" w:color="auto"/>
          </w:divBdr>
        </w:div>
        <w:div w:id="918713242">
          <w:marLeft w:val="640"/>
          <w:marRight w:val="0"/>
          <w:marTop w:val="0"/>
          <w:marBottom w:val="0"/>
          <w:divBdr>
            <w:top w:val="none" w:sz="0" w:space="0" w:color="auto"/>
            <w:left w:val="none" w:sz="0" w:space="0" w:color="auto"/>
            <w:bottom w:val="none" w:sz="0" w:space="0" w:color="auto"/>
            <w:right w:val="none" w:sz="0" w:space="0" w:color="auto"/>
          </w:divBdr>
        </w:div>
        <w:div w:id="131218940">
          <w:marLeft w:val="640"/>
          <w:marRight w:val="0"/>
          <w:marTop w:val="0"/>
          <w:marBottom w:val="0"/>
          <w:divBdr>
            <w:top w:val="none" w:sz="0" w:space="0" w:color="auto"/>
            <w:left w:val="none" w:sz="0" w:space="0" w:color="auto"/>
            <w:bottom w:val="none" w:sz="0" w:space="0" w:color="auto"/>
            <w:right w:val="none" w:sz="0" w:space="0" w:color="auto"/>
          </w:divBdr>
        </w:div>
        <w:div w:id="190610590">
          <w:marLeft w:val="640"/>
          <w:marRight w:val="0"/>
          <w:marTop w:val="0"/>
          <w:marBottom w:val="0"/>
          <w:divBdr>
            <w:top w:val="none" w:sz="0" w:space="0" w:color="auto"/>
            <w:left w:val="none" w:sz="0" w:space="0" w:color="auto"/>
            <w:bottom w:val="none" w:sz="0" w:space="0" w:color="auto"/>
            <w:right w:val="none" w:sz="0" w:space="0" w:color="auto"/>
          </w:divBdr>
        </w:div>
        <w:div w:id="1721241477">
          <w:marLeft w:val="640"/>
          <w:marRight w:val="0"/>
          <w:marTop w:val="0"/>
          <w:marBottom w:val="0"/>
          <w:divBdr>
            <w:top w:val="none" w:sz="0" w:space="0" w:color="auto"/>
            <w:left w:val="none" w:sz="0" w:space="0" w:color="auto"/>
            <w:bottom w:val="none" w:sz="0" w:space="0" w:color="auto"/>
            <w:right w:val="none" w:sz="0" w:space="0" w:color="auto"/>
          </w:divBdr>
        </w:div>
        <w:div w:id="1979450255">
          <w:marLeft w:val="640"/>
          <w:marRight w:val="0"/>
          <w:marTop w:val="0"/>
          <w:marBottom w:val="0"/>
          <w:divBdr>
            <w:top w:val="none" w:sz="0" w:space="0" w:color="auto"/>
            <w:left w:val="none" w:sz="0" w:space="0" w:color="auto"/>
            <w:bottom w:val="none" w:sz="0" w:space="0" w:color="auto"/>
            <w:right w:val="none" w:sz="0" w:space="0" w:color="auto"/>
          </w:divBdr>
        </w:div>
        <w:div w:id="470101594">
          <w:marLeft w:val="640"/>
          <w:marRight w:val="0"/>
          <w:marTop w:val="0"/>
          <w:marBottom w:val="0"/>
          <w:divBdr>
            <w:top w:val="none" w:sz="0" w:space="0" w:color="auto"/>
            <w:left w:val="none" w:sz="0" w:space="0" w:color="auto"/>
            <w:bottom w:val="none" w:sz="0" w:space="0" w:color="auto"/>
            <w:right w:val="none" w:sz="0" w:space="0" w:color="auto"/>
          </w:divBdr>
        </w:div>
        <w:div w:id="1224296187">
          <w:marLeft w:val="640"/>
          <w:marRight w:val="0"/>
          <w:marTop w:val="0"/>
          <w:marBottom w:val="0"/>
          <w:divBdr>
            <w:top w:val="none" w:sz="0" w:space="0" w:color="auto"/>
            <w:left w:val="none" w:sz="0" w:space="0" w:color="auto"/>
            <w:bottom w:val="none" w:sz="0" w:space="0" w:color="auto"/>
            <w:right w:val="none" w:sz="0" w:space="0" w:color="auto"/>
          </w:divBdr>
        </w:div>
        <w:div w:id="939605939">
          <w:marLeft w:val="640"/>
          <w:marRight w:val="0"/>
          <w:marTop w:val="0"/>
          <w:marBottom w:val="0"/>
          <w:divBdr>
            <w:top w:val="none" w:sz="0" w:space="0" w:color="auto"/>
            <w:left w:val="none" w:sz="0" w:space="0" w:color="auto"/>
            <w:bottom w:val="none" w:sz="0" w:space="0" w:color="auto"/>
            <w:right w:val="none" w:sz="0" w:space="0" w:color="auto"/>
          </w:divBdr>
        </w:div>
        <w:div w:id="1416633287">
          <w:marLeft w:val="640"/>
          <w:marRight w:val="0"/>
          <w:marTop w:val="0"/>
          <w:marBottom w:val="0"/>
          <w:divBdr>
            <w:top w:val="none" w:sz="0" w:space="0" w:color="auto"/>
            <w:left w:val="none" w:sz="0" w:space="0" w:color="auto"/>
            <w:bottom w:val="none" w:sz="0" w:space="0" w:color="auto"/>
            <w:right w:val="none" w:sz="0" w:space="0" w:color="auto"/>
          </w:divBdr>
        </w:div>
        <w:div w:id="636303340">
          <w:marLeft w:val="640"/>
          <w:marRight w:val="0"/>
          <w:marTop w:val="0"/>
          <w:marBottom w:val="0"/>
          <w:divBdr>
            <w:top w:val="none" w:sz="0" w:space="0" w:color="auto"/>
            <w:left w:val="none" w:sz="0" w:space="0" w:color="auto"/>
            <w:bottom w:val="none" w:sz="0" w:space="0" w:color="auto"/>
            <w:right w:val="none" w:sz="0" w:space="0" w:color="auto"/>
          </w:divBdr>
        </w:div>
        <w:div w:id="1659725241">
          <w:marLeft w:val="640"/>
          <w:marRight w:val="0"/>
          <w:marTop w:val="0"/>
          <w:marBottom w:val="0"/>
          <w:divBdr>
            <w:top w:val="none" w:sz="0" w:space="0" w:color="auto"/>
            <w:left w:val="none" w:sz="0" w:space="0" w:color="auto"/>
            <w:bottom w:val="none" w:sz="0" w:space="0" w:color="auto"/>
            <w:right w:val="none" w:sz="0" w:space="0" w:color="auto"/>
          </w:divBdr>
        </w:div>
        <w:div w:id="90249167">
          <w:marLeft w:val="640"/>
          <w:marRight w:val="0"/>
          <w:marTop w:val="0"/>
          <w:marBottom w:val="0"/>
          <w:divBdr>
            <w:top w:val="none" w:sz="0" w:space="0" w:color="auto"/>
            <w:left w:val="none" w:sz="0" w:space="0" w:color="auto"/>
            <w:bottom w:val="none" w:sz="0" w:space="0" w:color="auto"/>
            <w:right w:val="none" w:sz="0" w:space="0" w:color="auto"/>
          </w:divBdr>
        </w:div>
        <w:div w:id="1619800596">
          <w:marLeft w:val="640"/>
          <w:marRight w:val="0"/>
          <w:marTop w:val="0"/>
          <w:marBottom w:val="0"/>
          <w:divBdr>
            <w:top w:val="none" w:sz="0" w:space="0" w:color="auto"/>
            <w:left w:val="none" w:sz="0" w:space="0" w:color="auto"/>
            <w:bottom w:val="none" w:sz="0" w:space="0" w:color="auto"/>
            <w:right w:val="none" w:sz="0" w:space="0" w:color="auto"/>
          </w:divBdr>
        </w:div>
        <w:div w:id="1345546836">
          <w:marLeft w:val="640"/>
          <w:marRight w:val="0"/>
          <w:marTop w:val="0"/>
          <w:marBottom w:val="0"/>
          <w:divBdr>
            <w:top w:val="none" w:sz="0" w:space="0" w:color="auto"/>
            <w:left w:val="none" w:sz="0" w:space="0" w:color="auto"/>
            <w:bottom w:val="none" w:sz="0" w:space="0" w:color="auto"/>
            <w:right w:val="none" w:sz="0" w:space="0" w:color="auto"/>
          </w:divBdr>
        </w:div>
        <w:div w:id="982000610">
          <w:marLeft w:val="640"/>
          <w:marRight w:val="0"/>
          <w:marTop w:val="0"/>
          <w:marBottom w:val="0"/>
          <w:divBdr>
            <w:top w:val="none" w:sz="0" w:space="0" w:color="auto"/>
            <w:left w:val="none" w:sz="0" w:space="0" w:color="auto"/>
            <w:bottom w:val="none" w:sz="0" w:space="0" w:color="auto"/>
            <w:right w:val="none" w:sz="0" w:space="0" w:color="auto"/>
          </w:divBdr>
        </w:div>
        <w:div w:id="936059100">
          <w:marLeft w:val="640"/>
          <w:marRight w:val="0"/>
          <w:marTop w:val="0"/>
          <w:marBottom w:val="0"/>
          <w:divBdr>
            <w:top w:val="none" w:sz="0" w:space="0" w:color="auto"/>
            <w:left w:val="none" w:sz="0" w:space="0" w:color="auto"/>
            <w:bottom w:val="none" w:sz="0" w:space="0" w:color="auto"/>
            <w:right w:val="none" w:sz="0" w:space="0" w:color="auto"/>
          </w:divBdr>
        </w:div>
        <w:div w:id="802698089">
          <w:marLeft w:val="640"/>
          <w:marRight w:val="0"/>
          <w:marTop w:val="0"/>
          <w:marBottom w:val="0"/>
          <w:divBdr>
            <w:top w:val="none" w:sz="0" w:space="0" w:color="auto"/>
            <w:left w:val="none" w:sz="0" w:space="0" w:color="auto"/>
            <w:bottom w:val="none" w:sz="0" w:space="0" w:color="auto"/>
            <w:right w:val="none" w:sz="0" w:space="0" w:color="auto"/>
          </w:divBdr>
        </w:div>
        <w:div w:id="1506551218">
          <w:marLeft w:val="640"/>
          <w:marRight w:val="0"/>
          <w:marTop w:val="0"/>
          <w:marBottom w:val="0"/>
          <w:divBdr>
            <w:top w:val="none" w:sz="0" w:space="0" w:color="auto"/>
            <w:left w:val="none" w:sz="0" w:space="0" w:color="auto"/>
            <w:bottom w:val="none" w:sz="0" w:space="0" w:color="auto"/>
            <w:right w:val="none" w:sz="0" w:space="0" w:color="auto"/>
          </w:divBdr>
        </w:div>
        <w:div w:id="780876611">
          <w:marLeft w:val="640"/>
          <w:marRight w:val="0"/>
          <w:marTop w:val="0"/>
          <w:marBottom w:val="0"/>
          <w:divBdr>
            <w:top w:val="none" w:sz="0" w:space="0" w:color="auto"/>
            <w:left w:val="none" w:sz="0" w:space="0" w:color="auto"/>
            <w:bottom w:val="none" w:sz="0" w:space="0" w:color="auto"/>
            <w:right w:val="none" w:sz="0" w:space="0" w:color="auto"/>
          </w:divBdr>
        </w:div>
        <w:div w:id="424300280">
          <w:marLeft w:val="640"/>
          <w:marRight w:val="0"/>
          <w:marTop w:val="0"/>
          <w:marBottom w:val="0"/>
          <w:divBdr>
            <w:top w:val="none" w:sz="0" w:space="0" w:color="auto"/>
            <w:left w:val="none" w:sz="0" w:space="0" w:color="auto"/>
            <w:bottom w:val="none" w:sz="0" w:space="0" w:color="auto"/>
            <w:right w:val="none" w:sz="0" w:space="0" w:color="auto"/>
          </w:divBdr>
        </w:div>
        <w:div w:id="843588927">
          <w:marLeft w:val="640"/>
          <w:marRight w:val="0"/>
          <w:marTop w:val="0"/>
          <w:marBottom w:val="0"/>
          <w:divBdr>
            <w:top w:val="none" w:sz="0" w:space="0" w:color="auto"/>
            <w:left w:val="none" w:sz="0" w:space="0" w:color="auto"/>
            <w:bottom w:val="none" w:sz="0" w:space="0" w:color="auto"/>
            <w:right w:val="none" w:sz="0" w:space="0" w:color="auto"/>
          </w:divBdr>
        </w:div>
        <w:div w:id="2128890023">
          <w:marLeft w:val="640"/>
          <w:marRight w:val="0"/>
          <w:marTop w:val="0"/>
          <w:marBottom w:val="0"/>
          <w:divBdr>
            <w:top w:val="none" w:sz="0" w:space="0" w:color="auto"/>
            <w:left w:val="none" w:sz="0" w:space="0" w:color="auto"/>
            <w:bottom w:val="none" w:sz="0" w:space="0" w:color="auto"/>
            <w:right w:val="none" w:sz="0" w:space="0" w:color="auto"/>
          </w:divBdr>
        </w:div>
        <w:div w:id="1321038533">
          <w:marLeft w:val="640"/>
          <w:marRight w:val="0"/>
          <w:marTop w:val="0"/>
          <w:marBottom w:val="0"/>
          <w:divBdr>
            <w:top w:val="none" w:sz="0" w:space="0" w:color="auto"/>
            <w:left w:val="none" w:sz="0" w:space="0" w:color="auto"/>
            <w:bottom w:val="none" w:sz="0" w:space="0" w:color="auto"/>
            <w:right w:val="none" w:sz="0" w:space="0" w:color="auto"/>
          </w:divBdr>
        </w:div>
        <w:div w:id="558832362">
          <w:marLeft w:val="640"/>
          <w:marRight w:val="0"/>
          <w:marTop w:val="0"/>
          <w:marBottom w:val="0"/>
          <w:divBdr>
            <w:top w:val="none" w:sz="0" w:space="0" w:color="auto"/>
            <w:left w:val="none" w:sz="0" w:space="0" w:color="auto"/>
            <w:bottom w:val="none" w:sz="0" w:space="0" w:color="auto"/>
            <w:right w:val="none" w:sz="0" w:space="0" w:color="auto"/>
          </w:divBdr>
        </w:div>
        <w:div w:id="548955763">
          <w:marLeft w:val="640"/>
          <w:marRight w:val="0"/>
          <w:marTop w:val="0"/>
          <w:marBottom w:val="0"/>
          <w:divBdr>
            <w:top w:val="none" w:sz="0" w:space="0" w:color="auto"/>
            <w:left w:val="none" w:sz="0" w:space="0" w:color="auto"/>
            <w:bottom w:val="none" w:sz="0" w:space="0" w:color="auto"/>
            <w:right w:val="none" w:sz="0" w:space="0" w:color="auto"/>
          </w:divBdr>
        </w:div>
        <w:div w:id="1678920063">
          <w:marLeft w:val="640"/>
          <w:marRight w:val="0"/>
          <w:marTop w:val="0"/>
          <w:marBottom w:val="0"/>
          <w:divBdr>
            <w:top w:val="none" w:sz="0" w:space="0" w:color="auto"/>
            <w:left w:val="none" w:sz="0" w:space="0" w:color="auto"/>
            <w:bottom w:val="none" w:sz="0" w:space="0" w:color="auto"/>
            <w:right w:val="none" w:sz="0" w:space="0" w:color="auto"/>
          </w:divBdr>
        </w:div>
        <w:div w:id="857934603">
          <w:marLeft w:val="640"/>
          <w:marRight w:val="0"/>
          <w:marTop w:val="0"/>
          <w:marBottom w:val="0"/>
          <w:divBdr>
            <w:top w:val="none" w:sz="0" w:space="0" w:color="auto"/>
            <w:left w:val="none" w:sz="0" w:space="0" w:color="auto"/>
            <w:bottom w:val="none" w:sz="0" w:space="0" w:color="auto"/>
            <w:right w:val="none" w:sz="0" w:space="0" w:color="auto"/>
          </w:divBdr>
        </w:div>
        <w:div w:id="508763794">
          <w:marLeft w:val="640"/>
          <w:marRight w:val="0"/>
          <w:marTop w:val="0"/>
          <w:marBottom w:val="0"/>
          <w:divBdr>
            <w:top w:val="none" w:sz="0" w:space="0" w:color="auto"/>
            <w:left w:val="none" w:sz="0" w:space="0" w:color="auto"/>
            <w:bottom w:val="none" w:sz="0" w:space="0" w:color="auto"/>
            <w:right w:val="none" w:sz="0" w:space="0" w:color="auto"/>
          </w:divBdr>
        </w:div>
        <w:div w:id="1783501262">
          <w:marLeft w:val="640"/>
          <w:marRight w:val="0"/>
          <w:marTop w:val="0"/>
          <w:marBottom w:val="0"/>
          <w:divBdr>
            <w:top w:val="none" w:sz="0" w:space="0" w:color="auto"/>
            <w:left w:val="none" w:sz="0" w:space="0" w:color="auto"/>
            <w:bottom w:val="none" w:sz="0" w:space="0" w:color="auto"/>
            <w:right w:val="none" w:sz="0" w:space="0" w:color="auto"/>
          </w:divBdr>
        </w:div>
        <w:div w:id="421756675">
          <w:marLeft w:val="640"/>
          <w:marRight w:val="0"/>
          <w:marTop w:val="0"/>
          <w:marBottom w:val="0"/>
          <w:divBdr>
            <w:top w:val="none" w:sz="0" w:space="0" w:color="auto"/>
            <w:left w:val="none" w:sz="0" w:space="0" w:color="auto"/>
            <w:bottom w:val="none" w:sz="0" w:space="0" w:color="auto"/>
            <w:right w:val="none" w:sz="0" w:space="0" w:color="auto"/>
          </w:divBdr>
        </w:div>
        <w:div w:id="831142367">
          <w:marLeft w:val="640"/>
          <w:marRight w:val="0"/>
          <w:marTop w:val="0"/>
          <w:marBottom w:val="0"/>
          <w:divBdr>
            <w:top w:val="none" w:sz="0" w:space="0" w:color="auto"/>
            <w:left w:val="none" w:sz="0" w:space="0" w:color="auto"/>
            <w:bottom w:val="none" w:sz="0" w:space="0" w:color="auto"/>
            <w:right w:val="none" w:sz="0" w:space="0" w:color="auto"/>
          </w:divBdr>
        </w:div>
        <w:div w:id="1203709441">
          <w:marLeft w:val="640"/>
          <w:marRight w:val="0"/>
          <w:marTop w:val="0"/>
          <w:marBottom w:val="0"/>
          <w:divBdr>
            <w:top w:val="none" w:sz="0" w:space="0" w:color="auto"/>
            <w:left w:val="none" w:sz="0" w:space="0" w:color="auto"/>
            <w:bottom w:val="none" w:sz="0" w:space="0" w:color="auto"/>
            <w:right w:val="none" w:sz="0" w:space="0" w:color="auto"/>
          </w:divBdr>
        </w:div>
        <w:div w:id="236669010">
          <w:marLeft w:val="640"/>
          <w:marRight w:val="0"/>
          <w:marTop w:val="0"/>
          <w:marBottom w:val="0"/>
          <w:divBdr>
            <w:top w:val="none" w:sz="0" w:space="0" w:color="auto"/>
            <w:left w:val="none" w:sz="0" w:space="0" w:color="auto"/>
            <w:bottom w:val="none" w:sz="0" w:space="0" w:color="auto"/>
            <w:right w:val="none" w:sz="0" w:space="0" w:color="auto"/>
          </w:divBdr>
        </w:div>
        <w:div w:id="331681913">
          <w:marLeft w:val="640"/>
          <w:marRight w:val="0"/>
          <w:marTop w:val="0"/>
          <w:marBottom w:val="0"/>
          <w:divBdr>
            <w:top w:val="none" w:sz="0" w:space="0" w:color="auto"/>
            <w:left w:val="none" w:sz="0" w:space="0" w:color="auto"/>
            <w:bottom w:val="none" w:sz="0" w:space="0" w:color="auto"/>
            <w:right w:val="none" w:sz="0" w:space="0" w:color="auto"/>
          </w:divBdr>
        </w:div>
        <w:div w:id="169180189">
          <w:marLeft w:val="640"/>
          <w:marRight w:val="0"/>
          <w:marTop w:val="0"/>
          <w:marBottom w:val="0"/>
          <w:divBdr>
            <w:top w:val="none" w:sz="0" w:space="0" w:color="auto"/>
            <w:left w:val="none" w:sz="0" w:space="0" w:color="auto"/>
            <w:bottom w:val="none" w:sz="0" w:space="0" w:color="auto"/>
            <w:right w:val="none" w:sz="0" w:space="0" w:color="auto"/>
          </w:divBdr>
        </w:div>
        <w:div w:id="388194016">
          <w:marLeft w:val="640"/>
          <w:marRight w:val="0"/>
          <w:marTop w:val="0"/>
          <w:marBottom w:val="0"/>
          <w:divBdr>
            <w:top w:val="none" w:sz="0" w:space="0" w:color="auto"/>
            <w:left w:val="none" w:sz="0" w:space="0" w:color="auto"/>
            <w:bottom w:val="none" w:sz="0" w:space="0" w:color="auto"/>
            <w:right w:val="none" w:sz="0" w:space="0" w:color="auto"/>
          </w:divBdr>
        </w:div>
        <w:div w:id="1265840275">
          <w:marLeft w:val="640"/>
          <w:marRight w:val="0"/>
          <w:marTop w:val="0"/>
          <w:marBottom w:val="0"/>
          <w:divBdr>
            <w:top w:val="none" w:sz="0" w:space="0" w:color="auto"/>
            <w:left w:val="none" w:sz="0" w:space="0" w:color="auto"/>
            <w:bottom w:val="none" w:sz="0" w:space="0" w:color="auto"/>
            <w:right w:val="none" w:sz="0" w:space="0" w:color="auto"/>
          </w:divBdr>
        </w:div>
        <w:div w:id="92239445">
          <w:marLeft w:val="640"/>
          <w:marRight w:val="0"/>
          <w:marTop w:val="0"/>
          <w:marBottom w:val="0"/>
          <w:divBdr>
            <w:top w:val="none" w:sz="0" w:space="0" w:color="auto"/>
            <w:left w:val="none" w:sz="0" w:space="0" w:color="auto"/>
            <w:bottom w:val="none" w:sz="0" w:space="0" w:color="auto"/>
            <w:right w:val="none" w:sz="0" w:space="0" w:color="auto"/>
          </w:divBdr>
        </w:div>
        <w:div w:id="916280237">
          <w:marLeft w:val="640"/>
          <w:marRight w:val="0"/>
          <w:marTop w:val="0"/>
          <w:marBottom w:val="0"/>
          <w:divBdr>
            <w:top w:val="none" w:sz="0" w:space="0" w:color="auto"/>
            <w:left w:val="none" w:sz="0" w:space="0" w:color="auto"/>
            <w:bottom w:val="none" w:sz="0" w:space="0" w:color="auto"/>
            <w:right w:val="none" w:sz="0" w:space="0" w:color="auto"/>
          </w:divBdr>
        </w:div>
        <w:div w:id="663169649">
          <w:marLeft w:val="640"/>
          <w:marRight w:val="0"/>
          <w:marTop w:val="0"/>
          <w:marBottom w:val="0"/>
          <w:divBdr>
            <w:top w:val="none" w:sz="0" w:space="0" w:color="auto"/>
            <w:left w:val="none" w:sz="0" w:space="0" w:color="auto"/>
            <w:bottom w:val="none" w:sz="0" w:space="0" w:color="auto"/>
            <w:right w:val="none" w:sz="0" w:space="0" w:color="auto"/>
          </w:divBdr>
        </w:div>
        <w:div w:id="1489591675">
          <w:marLeft w:val="640"/>
          <w:marRight w:val="0"/>
          <w:marTop w:val="0"/>
          <w:marBottom w:val="0"/>
          <w:divBdr>
            <w:top w:val="none" w:sz="0" w:space="0" w:color="auto"/>
            <w:left w:val="none" w:sz="0" w:space="0" w:color="auto"/>
            <w:bottom w:val="none" w:sz="0" w:space="0" w:color="auto"/>
            <w:right w:val="none" w:sz="0" w:space="0" w:color="auto"/>
          </w:divBdr>
        </w:div>
        <w:div w:id="1856528251">
          <w:marLeft w:val="640"/>
          <w:marRight w:val="0"/>
          <w:marTop w:val="0"/>
          <w:marBottom w:val="0"/>
          <w:divBdr>
            <w:top w:val="none" w:sz="0" w:space="0" w:color="auto"/>
            <w:left w:val="none" w:sz="0" w:space="0" w:color="auto"/>
            <w:bottom w:val="none" w:sz="0" w:space="0" w:color="auto"/>
            <w:right w:val="none" w:sz="0" w:space="0" w:color="auto"/>
          </w:divBdr>
        </w:div>
        <w:div w:id="98263198">
          <w:marLeft w:val="640"/>
          <w:marRight w:val="0"/>
          <w:marTop w:val="0"/>
          <w:marBottom w:val="0"/>
          <w:divBdr>
            <w:top w:val="none" w:sz="0" w:space="0" w:color="auto"/>
            <w:left w:val="none" w:sz="0" w:space="0" w:color="auto"/>
            <w:bottom w:val="none" w:sz="0" w:space="0" w:color="auto"/>
            <w:right w:val="none" w:sz="0" w:space="0" w:color="auto"/>
          </w:divBdr>
        </w:div>
        <w:div w:id="849492067">
          <w:marLeft w:val="640"/>
          <w:marRight w:val="0"/>
          <w:marTop w:val="0"/>
          <w:marBottom w:val="0"/>
          <w:divBdr>
            <w:top w:val="none" w:sz="0" w:space="0" w:color="auto"/>
            <w:left w:val="none" w:sz="0" w:space="0" w:color="auto"/>
            <w:bottom w:val="none" w:sz="0" w:space="0" w:color="auto"/>
            <w:right w:val="none" w:sz="0" w:space="0" w:color="auto"/>
          </w:divBdr>
        </w:div>
        <w:div w:id="865679502">
          <w:marLeft w:val="640"/>
          <w:marRight w:val="0"/>
          <w:marTop w:val="0"/>
          <w:marBottom w:val="0"/>
          <w:divBdr>
            <w:top w:val="none" w:sz="0" w:space="0" w:color="auto"/>
            <w:left w:val="none" w:sz="0" w:space="0" w:color="auto"/>
            <w:bottom w:val="none" w:sz="0" w:space="0" w:color="auto"/>
            <w:right w:val="none" w:sz="0" w:space="0" w:color="auto"/>
          </w:divBdr>
        </w:div>
        <w:div w:id="761143194">
          <w:marLeft w:val="640"/>
          <w:marRight w:val="0"/>
          <w:marTop w:val="0"/>
          <w:marBottom w:val="0"/>
          <w:divBdr>
            <w:top w:val="none" w:sz="0" w:space="0" w:color="auto"/>
            <w:left w:val="none" w:sz="0" w:space="0" w:color="auto"/>
            <w:bottom w:val="none" w:sz="0" w:space="0" w:color="auto"/>
            <w:right w:val="none" w:sz="0" w:space="0" w:color="auto"/>
          </w:divBdr>
        </w:div>
        <w:div w:id="1819809302">
          <w:marLeft w:val="640"/>
          <w:marRight w:val="0"/>
          <w:marTop w:val="0"/>
          <w:marBottom w:val="0"/>
          <w:divBdr>
            <w:top w:val="none" w:sz="0" w:space="0" w:color="auto"/>
            <w:left w:val="none" w:sz="0" w:space="0" w:color="auto"/>
            <w:bottom w:val="none" w:sz="0" w:space="0" w:color="auto"/>
            <w:right w:val="none" w:sz="0" w:space="0" w:color="auto"/>
          </w:divBdr>
        </w:div>
        <w:div w:id="1445464911">
          <w:marLeft w:val="640"/>
          <w:marRight w:val="0"/>
          <w:marTop w:val="0"/>
          <w:marBottom w:val="0"/>
          <w:divBdr>
            <w:top w:val="none" w:sz="0" w:space="0" w:color="auto"/>
            <w:left w:val="none" w:sz="0" w:space="0" w:color="auto"/>
            <w:bottom w:val="none" w:sz="0" w:space="0" w:color="auto"/>
            <w:right w:val="none" w:sz="0" w:space="0" w:color="auto"/>
          </w:divBdr>
        </w:div>
        <w:div w:id="1604454037">
          <w:marLeft w:val="640"/>
          <w:marRight w:val="0"/>
          <w:marTop w:val="0"/>
          <w:marBottom w:val="0"/>
          <w:divBdr>
            <w:top w:val="none" w:sz="0" w:space="0" w:color="auto"/>
            <w:left w:val="none" w:sz="0" w:space="0" w:color="auto"/>
            <w:bottom w:val="none" w:sz="0" w:space="0" w:color="auto"/>
            <w:right w:val="none" w:sz="0" w:space="0" w:color="auto"/>
          </w:divBdr>
        </w:div>
        <w:div w:id="270165347">
          <w:marLeft w:val="640"/>
          <w:marRight w:val="0"/>
          <w:marTop w:val="0"/>
          <w:marBottom w:val="0"/>
          <w:divBdr>
            <w:top w:val="none" w:sz="0" w:space="0" w:color="auto"/>
            <w:left w:val="none" w:sz="0" w:space="0" w:color="auto"/>
            <w:bottom w:val="none" w:sz="0" w:space="0" w:color="auto"/>
            <w:right w:val="none" w:sz="0" w:space="0" w:color="auto"/>
          </w:divBdr>
        </w:div>
        <w:div w:id="767121151">
          <w:marLeft w:val="640"/>
          <w:marRight w:val="0"/>
          <w:marTop w:val="0"/>
          <w:marBottom w:val="0"/>
          <w:divBdr>
            <w:top w:val="none" w:sz="0" w:space="0" w:color="auto"/>
            <w:left w:val="none" w:sz="0" w:space="0" w:color="auto"/>
            <w:bottom w:val="none" w:sz="0" w:space="0" w:color="auto"/>
            <w:right w:val="none" w:sz="0" w:space="0" w:color="auto"/>
          </w:divBdr>
        </w:div>
        <w:div w:id="698892940">
          <w:marLeft w:val="640"/>
          <w:marRight w:val="0"/>
          <w:marTop w:val="0"/>
          <w:marBottom w:val="0"/>
          <w:divBdr>
            <w:top w:val="none" w:sz="0" w:space="0" w:color="auto"/>
            <w:left w:val="none" w:sz="0" w:space="0" w:color="auto"/>
            <w:bottom w:val="none" w:sz="0" w:space="0" w:color="auto"/>
            <w:right w:val="none" w:sz="0" w:space="0" w:color="auto"/>
          </w:divBdr>
        </w:div>
        <w:div w:id="93331794">
          <w:marLeft w:val="640"/>
          <w:marRight w:val="0"/>
          <w:marTop w:val="0"/>
          <w:marBottom w:val="0"/>
          <w:divBdr>
            <w:top w:val="none" w:sz="0" w:space="0" w:color="auto"/>
            <w:left w:val="none" w:sz="0" w:space="0" w:color="auto"/>
            <w:bottom w:val="none" w:sz="0" w:space="0" w:color="auto"/>
            <w:right w:val="none" w:sz="0" w:space="0" w:color="auto"/>
          </w:divBdr>
        </w:div>
        <w:div w:id="1346516877">
          <w:marLeft w:val="640"/>
          <w:marRight w:val="0"/>
          <w:marTop w:val="0"/>
          <w:marBottom w:val="0"/>
          <w:divBdr>
            <w:top w:val="none" w:sz="0" w:space="0" w:color="auto"/>
            <w:left w:val="none" w:sz="0" w:space="0" w:color="auto"/>
            <w:bottom w:val="none" w:sz="0" w:space="0" w:color="auto"/>
            <w:right w:val="none" w:sz="0" w:space="0" w:color="auto"/>
          </w:divBdr>
        </w:div>
        <w:div w:id="602107612">
          <w:marLeft w:val="640"/>
          <w:marRight w:val="0"/>
          <w:marTop w:val="0"/>
          <w:marBottom w:val="0"/>
          <w:divBdr>
            <w:top w:val="none" w:sz="0" w:space="0" w:color="auto"/>
            <w:left w:val="none" w:sz="0" w:space="0" w:color="auto"/>
            <w:bottom w:val="none" w:sz="0" w:space="0" w:color="auto"/>
            <w:right w:val="none" w:sz="0" w:space="0" w:color="auto"/>
          </w:divBdr>
        </w:div>
        <w:div w:id="396560067">
          <w:marLeft w:val="640"/>
          <w:marRight w:val="0"/>
          <w:marTop w:val="0"/>
          <w:marBottom w:val="0"/>
          <w:divBdr>
            <w:top w:val="none" w:sz="0" w:space="0" w:color="auto"/>
            <w:left w:val="none" w:sz="0" w:space="0" w:color="auto"/>
            <w:bottom w:val="none" w:sz="0" w:space="0" w:color="auto"/>
            <w:right w:val="none" w:sz="0" w:space="0" w:color="auto"/>
          </w:divBdr>
        </w:div>
        <w:div w:id="1619139701">
          <w:marLeft w:val="640"/>
          <w:marRight w:val="0"/>
          <w:marTop w:val="0"/>
          <w:marBottom w:val="0"/>
          <w:divBdr>
            <w:top w:val="none" w:sz="0" w:space="0" w:color="auto"/>
            <w:left w:val="none" w:sz="0" w:space="0" w:color="auto"/>
            <w:bottom w:val="none" w:sz="0" w:space="0" w:color="auto"/>
            <w:right w:val="none" w:sz="0" w:space="0" w:color="auto"/>
          </w:divBdr>
        </w:div>
        <w:div w:id="1254969425">
          <w:marLeft w:val="640"/>
          <w:marRight w:val="0"/>
          <w:marTop w:val="0"/>
          <w:marBottom w:val="0"/>
          <w:divBdr>
            <w:top w:val="none" w:sz="0" w:space="0" w:color="auto"/>
            <w:left w:val="none" w:sz="0" w:space="0" w:color="auto"/>
            <w:bottom w:val="none" w:sz="0" w:space="0" w:color="auto"/>
            <w:right w:val="none" w:sz="0" w:space="0" w:color="auto"/>
          </w:divBdr>
        </w:div>
        <w:div w:id="1521698033">
          <w:marLeft w:val="640"/>
          <w:marRight w:val="0"/>
          <w:marTop w:val="0"/>
          <w:marBottom w:val="0"/>
          <w:divBdr>
            <w:top w:val="none" w:sz="0" w:space="0" w:color="auto"/>
            <w:left w:val="none" w:sz="0" w:space="0" w:color="auto"/>
            <w:bottom w:val="none" w:sz="0" w:space="0" w:color="auto"/>
            <w:right w:val="none" w:sz="0" w:space="0" w:color="auto"/>
          </w:divBdr>
        </w:div>
        <w:div w:id="2105110105">
          <w:marLeft w:val="640"/>
          <w:marRight w:val="0"/>
          <w:marTop w:val="0"/>
          <w:marBottom w:val="0"/>
          <w:divBdr>
            <w:top w:val="none" w:sz="0" w:space="0" w:color="auto"/>
            <w:left w:val="none" w:sz="0" w:space="0" w:color="auto"/>
            <w:bottom w:val="none" w:sz="0" w:space="0" w:color="auto"/>
            <w:right w:val="none" w:sz="0" w:space="0" w:color="auto"/>
          </w:divBdr>
        </w:div>
        <w:div w:id="11347291">
          <w:marLeft w:val="640"/>
          <w:marRight w:val="0"/>
          <w:marTop w:val="0"/>
          <w:marBottom w:val="0"/>
          <w:divBdr>
            <w:top w:val="none" w:sz="0" w:space="0" w:color="auto"/>
            <w:left w:val="none" w:sz="0" w:space="0" w:color="auto"/>
            <w:bottom w:val="none" w:sz="0" w:space="0" w:color="auto"/>
            <w:right w:val="none" w:sz="0" w:space="0" w:color="auto"/>
          </w:divBdr>
        </w:div>
        <w:div w:id="769858679">
          <w:marLeft w:val="640"/>
          <w:marRight w:val="0"/>
          <w:marTop w:val="0"/>
          <w:marBottom w:val="0"/>
          <w:divBdr>
            <w:top w:val="none" w:sz="0" w:space="0" w:color="auto"/>
            <w:left w:val="none" w:sz="0" w:space="0" w:color="auto"/>
            <w:bottom w:val="none" w:sz="0" w:space="0" w:color="auto"/>
            <w:right w:val="none" w:sz="0" w:space="0" w:color="auto"/>
          </w:divBdr>
        </w:div>
        <w:div w:id="411391211">
          <w:marLeft w:val="640"/>
          <w:marRight w:val="0"/>
          <w:marTop w:val="0"/>
          <w:marBottom w:val="0"/>
          <w:divBdr>
            <w:top w:val="none" w:sz="0" w:space="0" w:color="auto"/>
            <w:left w:val="none" w:sz="0" w:space="0" w:color="auto"/>
            <w:bottom w:val="none" w:sz="0" w:space="0" w:color="auto"/>
            <w:right w:val="none" w:sz="0" w:space="0" w:color="auto"/>
          </w:divBdr>
        </w:div>
        <w:div w:id="1645692379">
          <w:marLeft w:val="640"/>
          <w:marRight w:val="0"/>
          <w:marTop w:val="0"/>
          <w:marBottom w:val="0"/>
          <w:divBdr>
            <w:top w:val="none" w:sz="0" w:space="0" w:color="auto"/>
            <w:left w:val="none" w:sz="0" w:space="0" w:color="auto"/>
            <w:bottom w:val="none" w:sz="0" w:space="0" w:color="auto"/>
            <w:right w:val="none" w:sz="0" w:space="0" w:color="auto"/>
          </w:divBdr>
        </w:div>
        <w:div w:id="205877851">
          <w:marLeft w:val="640"/>
          <w:marRight w:val="0"/>
          <w:marTop w:val="0"/>
          <w:marBottom w:val="0"/>
          <w:divBdr>
            <w:top w:val="none" w:sz="0" w:space="0" w:color="auto"/>
            <w:left w:val="none" w:sz="0" w:space="0" w:color="auto"/>
            <w:bottom w:val="none" w:sz="0" w:space="0" w:color="auto"/>
            <w:right w:val="none" w:sz="0" w:space="0" w:color="auto"/>
          </w:divBdr>
        </w:div>
        <w:div w:id="1040983228">
          <w:marLeft w:val="640"/>
          <w:marRight w:val="0"/>
          <w:marTop w:val="0"/>
          <w:marBottom w:val="0"/>
          <w:divBdr>
            <w:top w:val="none" w:sz="0" w:space="0" w:color="auto"/>
            <w:left w:val="none" w:sz="0" w:space="0" w:color="auto"/>
            <w:bottom w:val="none" w:sz="0" w:space="0" w:color="auto"/>
            <w:right w:val="none" w:sz="0" w:space="0" w:color="auto"/>
          </w:divBdr>
        </w:div>
        <w:div w:id="1490320558">
          <w:marLeft w:val="640"/>
          <w:marRight w:val="0"/>
          <w:marTop w:val="0"/>
          <w:marBottom w:val="0"/>
          <w:divBdr>
            <w:top w:val="none" w:sz="0" w:space="0" w:color="auto"/>
            <w:left w:val="none" w:sz="0" w:space="0" w:color="auto"/>
            <w:bottom w:val="none" w:sz="0" w:space="0" w:color="auto"/>
            <w:right w:val="none" w:sz="0" w:space="0" w:color="auto"/>
          </w:divBdr>
        </w:div>
        <w:div w:id="1207529403">
          <w:marLeft w:val="640"/>
          <w:marRight w:val="0"/>
          <w:marTop w:val="0"/>
          <w:marBottom w:val="0"/>
          <w:divBdr>
            <w:top w:val="none" w:sz="0" w:space="0" w:color="auto"/>
            <w:left w:val="none" w:sz="0" w:space="0" w:color="auto"/>
            <w:bottom w:val="none" w:sz="0" w:space="0" w:color="auto"/>
            <w:right w:val="none" w:sz="0" w:space="0" w:color="auto"/>
          </w:divBdr>
        </w:div>
        <w:div w:id="229461603">
          <w:marLeft w:val="640"/>
          <w:marRight w:val="0"/>
          <w:marTop w:val="0"/>
          <w:marBottom w:val="0"/>
          <w:divBdr>
            <w:top w:val="none" w:sz="0" w:space="0" w:color="auto"/>
            <w:left w:val="none" w:sz="0" w:space="0" w:color="auto"/>
            <w:bottom w:val="none" w:sz="0" w:space="0" w:color="auto"/>
            <w:right w:val="none" w:sz="0" w:space="0" w:color="auto"/>
          </w:divBdr>
        </w:div>
        <w:div w:id="1037270065">
          <w:marLeft w:val="640"/>
          <w:marRight w:val="0"/>
          <w:marTop w:val="0"/>
          <w:marBottom w:val="0"/>
          <w:divBdr>
            <w:top w:val="none" w:sz="0" w:space="0" w:color="auto"/>
            <w:left w:val="none" w:sz="0" w:space="0" w:color="auto"/>
            <w:bottom w:val="none" w:sz="0" w:space="0" w:color="auto"/>
            <w:right w:val="none" w:sz="0" w:space="0" w:color="auto"/>
          </w:divBdr>
        </w:div>
        <w:div w:id="532957012">
          <w:marLeft w:val="640"/>
          <w:marRight w:val="0"/>
          <w:marTop w:val="0"/>
          <w:marBottom w:val="0"/>
          <w:divBdr>
            <w:top w:val="none" w:sz="0" w:space="0" w:color="auto"/>
            <w:left w:val="none" w:sz="0" w:space="0" w:color="auto"/>
            <w:bottom w:val="none" w:sz="0" w:space="0" w:color="auto"/>
            <w:right w:val="none" w:sz="0" w:space="0" w:color="auto"/>
          </w:divBdr>
        </w:div>
        <w:div w:id="1959874330">
          <w:marLeft w:val="640"/>
          <w:marRight w:val="0"/>
          <w:marTop w:val="0"/>
          <w:marBottom w:val="0"/>
          <w:divBdr>
            <w:top w:val="none" w:sz="0" w:space="0" w:color="auto"/>
            <w:left w:val="none" w:sz="0" w:space="0" w:color="auto"/>
            <w:bottom w:val="none" w:sz="0" w:space="0" w:color="auto"/>
            <w:right w:val="none" w:sz="0" w:space="0" w:color="auto"/>
          </w:divBdr>
        </w:div>
        <w:div w:id="746532965">
          <w:marLeft w:val="640"/>
          <w:marRight w:val="0"/>
          <w:marTop w:val="0"/>
          <w:marBottom w:val="0"/>
          <w:divBdr>
            <w:top w:val="none" w:sz="0" w:space="0" w:color="auto"/>
            <w:left w:val="none" w:sz="0" w:space="0" w:color="auto"/>
            <w:bottom w:val="none" w:sz="0" w:space="0" w:color="auto"/>
            <w:right w:val="none" w:sz="0" w:space="0" w:color="auto"/>
          </w:divBdr>
        </w:div>
        <w:div w:id="813916306">
          <w:marLeft w:val="640"/>
          <w:marRight w:val="0"/>
          <w:marTop w:val="0"/>
          <w:marBottom w:val="0"/>
          <w:divBdr>
            <w:top w:val="none" w:sz="0" w:space="0" w:color="auto"/>
            <w:left w:val="none" w:sz="0" w:space="0" w:color="auto"/>
            <w:bottom w:val="none" w:sz="0" w:space="0" w:color="auto"/>
            <w:right w:val="none" w:sz="0" w:space="0" w:color="auto"/>
          </w:divBdr>
        </w:div>
        <w:div w:id="1896231245">
          <w:marLeft w:val="640"/>
          <w:marRight w:val="0"/>
          <w:marTop w:val="0"/>
          <w:marBottom w:val="0"/>
          <w:divBdr>
            <w:top w:val="none" w:sz="0" w:space="0" w:color="auto"/>
            <w:left w:val="none" w:sz="0" w:space="0" w:color="auto"/>
            <w:bottom w:val="none" w:sz="0" w:space="0" w:color="auto"/>
            <w:right w:val="none" w:sz="0" w:space="0" w:color="auto"/>
          </w:divBdr>
        </w:div>
        <w:div w:id="2026250271">
          <w:marLeft w:val="640"/>
          <w:marRight w:val="0"/>
          <w:marTop w:val="0"/>
          <w:marBottom w:val="0"/>
          <w:divBdr>
            <w:top w:val="none" w:sz="0" w:space="0" w:color="auto"/>
            <w:left w:val="none" w:sz="0" w:space="0" w:color="auto"/>
            <w:bottom w:val="none" w:sz="0" w:space="0" w:color="auto"/>
            <w:right w:val="none" w:sz="0" w:space="0" w:color="auto"/>
          </w:divBdr>
        </w:div>
        <w:div w:id="1398439174">
          <w:marLeft w:val="640"/>
          <w:marRight w:val="0"/>
          <w:marTop w:val="0"/>
          <w:marBottom w:val="0"/>
          <w:divBdr>
            <w:top w:val="none" w:sz="0" w:space="0" w:color="auto"/>
            <w:left w:val="none" w:sz="0" w:space="0" w:color="auto"/>
            <w:bottom w:val="none" w:sz="0" w:space="0" w:color="auto"/>
            <w:right w:val="none" w:sz="0" w:space="0" w:color="auto"/>
          </w:divBdr>
        </w:div>
        <w:div w:id="61682684">
          <w:marLeft w:val="640"/>
          <w:marRight w:val="0"/>
          <w:marTop w:val="0"/>
          <w:marBottom w:val="0"/>
          <w:divBdr>
            <w:top w:val="none" w:sz="0" w:space="0" w:color="auto"/>
            <w:left w:val="none" w:sz="0" w:space="0" w:color="auto"/>
            <w:bottom w:val="none" w:sz="0" w:space="0" w:color="auto"/>
            <w:right w:val="none" w:sz="0" w:space="0" w:color="auto"/>
          </w:divBdr>
        </w:div>
        <w:div w:id="1885290340">
          <w:marLeft w:val="640"/>
          <w:marRight w:val="0"/>
          <w:marTop w:val="0"/>
          <w:marBottom w:val="0"/>
          <w:divBdr>
            <w:top w:val="none" w:sz="0" w:space="0" w:color="auto"/>
            <w:left w:val="none" w:sz="0" w:space="0" w:color="auto"/>
            <w:bottom w:val="none" w:sz="0" w:space="0" w:color="auto"/>
            <w:right w:val="none" w:sz="0" w:space="0" w:color="auto"/>
          </w:divBdr>
        </w:div>
        <w:div w:id="1847862693">
          <w:marLeft w:val="640"/>
          <w:marRight w:val="0"/>
          <w:marTop w:val="0"/>
          <w:marBottom w:val="0"/>
          <w:divBdr>
            <w:top w:val="none" w:sz="0" w:space="0" w:color="auto"/>
            <w:left w:val="none" w:sz="0" w:space="0" w:color="auto"/>
            <w:bottom w:val="none" w:sz="0" w:space="0" w:color="auto"/>
            <w:right w:val="none" w:sz="0" w:space="0" w:color="auto"/>
          </w:divBdr>
        </w:div>
        <w:div w:id="864364018">
          <w:marLeft w:val="640"/>
          <w:marRight w:val="0"/>
          <w:marTop w:val="0"/>
          <w:marBottom w:val="0"/>
          <w:divBdr>
            <w:top w:val="none" w:sz="0" w:space="0" w:color="auto"/>
            <w:left w:val="none" w:sz="0" w:space="0" w:color="auto"/>
            <w:bottom w:val="none" w:sz="0" w:space="0" w:color="auto"/>
            <w:right w:val="none" w:sz="0" w:space="0" w:color="auto"/>
          </w:divBdr>
        </w:div>
        <w:div w:id="1260408381">
          <w:marLeft w:val="640"/>
          <w:marRight w:val="0"/>
          <w:marTop w:val="0"/>
          <w:marBottom w:val="0"/>
          <w:divBdr>
            <w:top w:val="none" w:sz="0" w:space="0" w:color="auto"/>
            <w:left w:val="none" w:sz="0" w:space="0" w:color="auto"/>
            <w:bottom w:val="none" w:sz="0" w:space="0" w:color="auto"/>
            <w:right w:val="none" w:sz="0" w:space="0" w:color="auto"/>
          </w:divBdr>
        </w:div>
        <w:div w:id="385498334">
          <w:marLeft w:val="640"/>
          <w:marRight w:val="0"/>
          <w:marTop w:val="0"/>
          <w:marBottom w:val="0"/>
          <w:divBdr>
            <w:top w:val="none" w:sz="0" w:space="0" w:color="auto"/>
            <w:left w:val="none" w:sz="0" w:space="0" w:color="auto"/>
            <w:bottom w:val="none" w:sz="0" w:space="0" w:color="auto"/>
            <w:right w:val="none" w:sz="0" w:space="0" w:color="auto"/>
          </w:divBdr>
        </w:div>
        <w:div w:id="693580801">
          <w:marLeft w:val="640"/>
          <w:marRight w:val="0"/>
          <w:marTop w:val="0"/>
          <w:marBottom w:val="0"/>
          <w:divBdr>
            <w:top w:val="none" w:sz="0" w:space="0" w:color="auto"/>
            <w:left w:val="none" w:sz="0" w:space="0" w:color="auto"/>
            <w:bottom w:val="none" w:sz="0" w:space="0" w:color="auto"/>
            <w:right w:val="none" w:sz="0" w:space="0" w:color="auto"/>
          </w:divBdr>
        </w:div>
        <w:div w:id="279385216">
          <w:marLeft w:val="640"/>
          <w:marRight w:val="0"/>
          <w:marTop w:val="0"/>
          <w:marBottom w:val="0"/>
          <w:divBdr>
            <w:top w:val="none" w:sz="0" w:space="0" w:color="auto"/>
            <w:left w:val="none" w:sz="0" w:space="0" w:color="auto"/>
            <w:bottom w:val="none" w:sz="0" w:space="0" w:color="auto"/>
            <w:right w:val="none" w:sz="0" w:space="0" w:color="auto"/>
          </w:divBdr>
        </w:div>
        <w:div w:id="42754550">
          <w:marLeft w:val="640"/>
          <w:marRight w:val="0"/>
          <w:marTop w:val="0"/>
          <w:marBottom w:val="0"/>
          <w:divBdr>
            <w:top w:val="none" w:sz="0" w:space="0" w:color="auto"/>
            <w:left w:val="none" w:sz="0" w:space="0" w:color="auto"/>
            <w:bottom w:val="none" w:sz="0" w:space="0" w:color="auto"/>
            <w:right w:val="none" w:sz="0" w:space="0" w:color="auto"/>
          </w:divBdr>
        </w:div>
        <w:div w:id="1333486270">
          <w:marLeft w:val="640"/>
          <w:marRight w:val="0"/>
          <w:marTop w:val="0"/>
          <w:marBottom w:val="0"/>
          <w:divBdr>
            <w:top w:val="none" w:sz="0" w:space="0" w:color="auto"/>
            <w:left w:val="none" w:sz="0" w:space="0" w:color="auto"/>
            <w:bottom w:val="none" w:sz="0" w:space="0" w:color="auto"/>
            <w:right w:val="none" w:sz="0" w:space="0" w:color="auto"/>
          </w:divBdr>
        </w:div>
        <w:div w:id="1192499025">
          <w:marLeft w:val="640"/>
          <w:marRight w:val="0"/>
          <w:marTop w:val="0"/>
          <w:marBottom w:val="0"/>
          <w:divBdr>
            <w:top w:val="none" w:sz="0" w:space="0" w:color="auto"/>
            <w:left w:val="none" w:sz="0" w:space="0" w:color="auto"/>
            <w:bottom w:val="none" w:sz="0" w:space="0" w:color="auto"/>
            <w:right w:val="none" w:sz="0" w:space="0" w:color="auto"/>
          </w:divBdr>
        </w:div>
        <w:div w:id="197209126">
          <w:marLeft w:val="640"/>
          <w:marRight w:val="0"/>
          <w:marTop w:val="0"/>
          <w:marBottom w:val="0"/>
          <w:divBdr>
            <w:top w:val="none" w:sz="0" w:space="0" w:color="auto"/>
            <w:left w:val="none" w:sz="0" w:space="0" w:color="auto"/>
            <w:bottom w:val="none" w:sz="0" w:space="0" w:color="auto"/>
            <w:right w:val="none" w:sz="0" w:space="0" w:color="auto"/>
          </w:divBdr>
        </w:div>
        <w:div w:id="868646213">
          <w:marLeft w:val="640"/>
          <w:marRight w:val="0"/>
          <w:marTop w:val="0"/>
          <w:marBottom w:val="0"/>
          <w:divBdr>
            <w:top w:val="none" w:sz="0" w:space="0" w:color="auto"/>
            <w:left w:val="none" w:sz="0" w:space="0" w:color="auto"/>
            <w:bottom w:val="none" w:sz="0" w:space="0" w:color="auto"/>
            <w:right w:val="none" w:sz="0" w:space="0" w:color="auto"/>
          </w:divBdr>
        </w:div>
        <w:div w:id="1887065752">
          <w:marLeft w:val="640"/>
          <w:marRight w:val="0"/>
          <w:marTop w:val="0"/>
          <w:marBottom w:val="0"/>
          <w:divBdr>
            <w:top w:val="none" w:sz="0" w:space="0" w:color="auto"/>
            <w:left w:val="none" w:sz="0" w:space="0" w:color="auto"/>
            <w:bottom w:val="none" w:sz="0" w:space="0" w:color="auto"/>
            <w:right w:val="none" w:sz="0" w:space="0" w:color="auto"/>
          </w:divBdr>
        </w:div>
        <w:div w:id="844900160">
          <w:marLeft w:val="640"/>
          <w:marRight w:val="0"/>
          <w:marTop w:val="0"/>
          <w:marBottom w:val="0"/>
          <w:divBdr>
            <w:top w:val="none" w:sz="0" w:space="0" w:color="auto"/>
            <w:left w:val="none" w:sz="0" w:space="0" w:color="auto"/>
            <w:bottom w:val="none" w:sz="0" w:space="0" w:color="auto"/>
            <w:right w:val="none" w:sz="0" w:space="0" w:color="auto"/>
          </w:divBdr>
        </w:div>
        <w:div w:id="1188062462">
          <w:marLeft w:val="640"/>
          <w:marRight w:val="0"/>
          <w:marTop w:val="0"/>
          <w:marBottom w:val="0"/>
          <w:divBdr>
            <w:top w:val="none" w:sz="0" w:space="0" w:color="auto"/>
            <w:left w:val="none" w:sz="0" w:space="0" w:color="auto"/>
            <w:bottom w:val="none" w:sz="0" w:space="0" w:color="auto"/>
            <w:right w:val="none" w:sz="0" w:space="0" w:color="auto"/>
          </w:divBdr>
        </w:div>
        <w:div w:id="465700448">
          <w:marLeft w:val="640"/>
          <w:marRight w:val="0"/>
          <w:marTop w:val="0"/>
          <w:marBottom w:val="0"/>
          <w:divBdr>
            <w:top w:val="none" w:sz="0" w:space="0" w:color="auto"/>
            <w:left w:val="none" w:sz="0" w:space="0" w:color="auto"/>
            <w:bottom w:val="none" w:sz="0" w:space="0" w:color="auto"/>
            <w:right w:val="none" w:sz="0" w:space="0" w:color="auto"/>
          </w:divBdr>
        </w:div>
        <w:div w:id="189883063">
          <w:marLeft w:val="640"/>
          <w:marRight w:val="0"/>
          <w:marTop w:val="0"/>
          <w:marBottom w:val="0"/>
          <w:divBdr>
            <w:top w:val="none" w:sz="0" w:space="0" w:color="auto"/>
            <w:left w:val="none" w:sz="0" w:space="0" w:color="auto"/>
            <w:bottom w:val="none" w:sz="0" w:space="0" w:color="auto"/>
            <w:right w:val="none" w:sz="0" w:space="0" w:color="auto"/>
          </w:divBdr>
        </w:div>
        <w:div w:id="431515242">
          <w:marLeft w:val="640"/>
          <w:marRight w:val="0"/>
          <w:marTop w:val="0"/>
          <w:marBottom w:val="0"/>
          <w:divBdr>
            <w:top w:val="none" w:sz="0" w:space="0" w:color="auto"/>
            <w:left w:val="none" w:sz="0" w:space="0" w:color="auto"/>
            <w:bottom w:val="none" w:sz="0" w:space="0" w:color="auto"/>
            <w:right w:val="none" w:sz="0" w:space="0" w:color="auto"/>
          </w:divBdr>
        </w:div>
        <w:div w:id="197400101">
          <w:marLeft w:val="640"/>
          <w:marRight w:val="0"/>
          <w:marTop w:val="0"/>
          <w:marBottom w:val="0"/>
          <w:divBdr>
            <w:top w:val="none" w:sz="0" w:space="0" w:color="auto"/>
            <w:left w:val="none" w:sz="0" w:space="0" w:color="auto"/>
            <w:bottom w:val="none" w:sz="0" w:space="0" w:color="auto"/>
            <w:right w:val="none" w:sz="0" w:space="0" w:color="auto"/>
          </w:divBdr>
        </w:div>
        <w:div w:id="345400021">
          <w:marLeft w:val="640"/>
          <w:marRight w:val="0"/>
          <w:marTop w:val="0"/>
          <w:marBottom w:val="0"/>
          <w:divBdr>
            <w:top w:val="none" w:sz="0" w:space="0" w:color="auto"/>
            <w:left w:val="none" w:sz="0" w:space="0" w:color="auto"/>
            <w:bottom w:val="none" w:sz="0" w:space="0" w:color="auto"/>
            <w:right w:val="none" w:sz="0" w:space="0" w:color="auto"/>
          </w:divBdr>
        </w:div>
        <w:div w:id="510528711">
          <w:marLeft w:val="640"/>
          <w:marRight w:val="0"/>
          <w:marTop w:val="0"/>
          <w:marBottom w:val="0"/>
          <w:divBdr>
            <w:top w:val="none" w:sz="0" w:space="0" w:color="auto"/>
            <w:left w:val="none" w:sz="0" w:space="0" w:color="auto"/>
            <w:bottom w:val="none" w:sz="0" w:space="0" w:color="auto"/>
            <w:right w:val="none" w:sz="0" w:space="0" w:color="auto"/>
          </w:divBdr>
        </w:div>
        <w:div w:id="1142456077">
          <w:marLeft w:val="640"/>
          <w:marRight w:val="0"/>
          <w:marTop w:val="0"/>
          <w:marBottom w:val="0"/>
          <w:divBdr>
            <w:top w:val="none" w:sz="0" w:space="0" w:color="auto"/>
            <w:left w:val="none" w:sz="0" w:space="0" w:color="auto"/>
            <w:bottom w:val="none" w:sz="0" w:space="0" w:color="auto"/>
            <w:right w:val="none" w:sz="0" w:space="0" w:color="auto"/>
          </w:divBdr>
        </w:div>
        <w:div w:id="1013337633">
          <w:marLeft w:val="640"/>
          <w:marRight w:val="0"/>
          <w:marTop w:val="0"/>
          <w:marBottom w:val="0"/>
          <w:divBdr>
            <w:top w:val="none" w:sz="0" w:space="0" w:color="auto"/>
            <w:left w:val="none" w:sz="0" w:space="0" w:color="auto"/>
            <w:bottom w:val="none" w:sz="0" w:space="0" w:color="auto"/>
            <w:right w:val="none" w:sz="0" w:space="0" w:color="auto"/>
          </w:divBdr>
        </w:div>
        <w:div w:id="1951350631">
          <w:marLeft w:val="640"/>
          <w:marRight w:val="0"/>
          <w:marTop w:val="0"/>
          <w:marBottom w:val="0"/>
          <w:divBdr>
            <w:top w:val="none" w:sz="0" w:space="0" w:color="auto"/>
            <w:left w:val="none" w:sz="0" w:space="0" w:color="auto"/>
            <w:bottom w:val="none" w:sz="0" w:space="0" w:color="auto"/>
            <w:right w:val="none" w:sz="0" w:space="0" w:color="auto"/>
          </w:divBdr>
        </w:div>
        <w:div w:id="1829205038">
          <w:marLeft w:val="640"/>
          <w:marRight w:val="0"/>
          <w:marTop w:val="0"/>
          <w:marBottom w:val="0"/>
          <w:divBdr>
            <w:top w:val="none" w:sz="0" w:space="0" w:color="auto"/>
            <w:left w:val="none" w:sz="0" w:space="0" w:color="auto"/>
            <w:bottom w:val="none" w:sz="0" w:space="0" w:color="auto"/>
            <w:right w:val="none" w:sz="0" w:space="0" w:color="auto"/>
          </w:divBdr>
        </w:div>
        <w:div w:id="1133713572">
          <w:marLeft w:val="640"/>
          <w:marRight w:val="0"/>
          <w:marTop w:val="0"/>
          <w:marBottom w:val="0"/>
          <w:divBdr>
            <w:top w:val="none" w:sz="0" w:space="0" w:color="auto"/>
            <w:left w:val="none" w:sz="0" w:space="0" w:color="auto"/>
            <w:bottom w:val="none" w:sz="0" w:space="0" w:color="auto"/>
            <w:right w:val="none" w:sz="0" w:space="0" w:color="auto"/>
          </w:divBdr>
        </w:div>
        <w:div w:id="1531412179">
          <w:marLeft w:val="640"/>
          <w:marRight w:val="0"/>
          <w:marTop w:val="0"/>
          <w:marBottom w:val="0"/>
          <w:divBdr>
            <w:top w:val="none" w:sz="0" w:space="0" w:color="auto"/>
            <w:left w:val="none" w:sz="0" w:space="0" w:color="auto"/>
            <w:bottom w:val="none" w:sz="0" w:space="0" w:color="auto"/>
            <w:right w:val="none" w:sz="0" w:space="0" w:color="auto"/>
          </w:divBdr>
        </w:div>
        <w:div w:id="173031196">
          <w:marLeft w:val="640"/>
          <w:marRight w:val="0"/>
          <w:marTop w:val="0"/>
          <w:marBottom w:val="0"/>
          <w:divBdr>
            <w:top w:val="none" w:sz="0" w:space="0" w:color="auto"/>
            <w:left w:val="none" w:sz="0" w:space="0" w:color="auto"/>
            <w:bottom w:val="none" w:sz="0" w:space="0" w:color="auto"/>
            <w:right w:val="none" w:sz="0" w:space="0" w:color="auto"/>
          </w:divBdr>
        </w:div>
        <w:div w:id="1104886370">
          <w:marLeft w:val="640"/>
          <w:marRight w:val="0"/>
          <w:marTop w:val="0"/>
          <w:marBottom w:val="0"/>
          <w:divBdr>
            <w:top w:val="none" w:sz="0" w:space="0" w:color="auto"/>
            <w:left w:val="none" w:sz="0" w:space="0" w:color="auto"/>
            <w:bottom w:val="none" w:sz="0" w:space="0" w:color="auto"/>
            <w:right w:val="none" w:sz="0" w:space="0" w:color="auto"/>
          </w:divBdr>
        </w:div>
        <w:div w:id="1490511920">
          <w:marLeft w:val="640"/>
          <w:marRight w:val="0"/>
          <w:marTop w:val="0"/>
          <w:marBottom w:val="0"/>
          <w:divBdr>
            <w:top w:val="none" w:sz="0" w:space="0" w:color="auto"/>
            <w:left w:val="none" w:sz="0" w:space="0" w:color="auto"/>
            <w:bottom w:val="none" w:sz="0" w:space="0" w:color="auto"/>
            <w:right w:val="none" w:sz="0" w:space="0" w:color="auto"/>
          </w:divBdr>
        </w:div>
        <w:div w:id="506603674">
          <w:marLeft w:val="640"/>
          <w:marRight w:val="0"/>
          <w:marTop w:val="0"/>
          <w:marBottom w:val="0"/>
          <w:divBdr>
            <w:top w:val="none" w:sz="0" w:space="0" w:color="auto"/>
            <w:left w:val="none" w:sz="0" w:space="0" w:color="auto"/>
            <w:bottom w:val="none" w:sz="0" w:space="0" w:color="auto"/>
            <w:right w:val="none" w:sz="0" w:space="0" w:color="auto"/>
          </w:divBdr>
        </w:div>
        <w:div w:id="779422834">
          <w:marLeft w:val="640"/>
          <w:marRight w:val="0"/>
          <w:marTop w:val="0"/>
          <w:marBottom w:val="0"/>
          <w:divBdr>
            <w:top w:val="none" w:sz="0" w:space="0" w:color="auto"/>
            <w:left w:val="none" w:sz="0" w:space="0" w:color="auto"/>
            <w:bottom w:val="none" w:sz="0" w:space="0" w:color="auto"/>
            <w:right w:val="none" w:sz="0" w:space="0" w:color="auto"/>
          </w:divBdr>
        </w:div>
        <w:div w:id="1857191515">
          <w:marLeft w:val="640"/>
          <w:marRight w:val="0"/>
          <w:marTop w:val="0"/>
          <w:marBottom w:val="0"/>
          <w:divBdr>
            <w:top w:val="none" w:sz="0" w:space="0" w:color="auto"/>
            <w:left w:val="none" w:sz="0" w:space="0" w:color="auto"/>
            <w:bottom w:val="none" w:sz="0" w:space="0" w:color="auto"/>
            <w:right w:val="none" w:sz="0" w:space="0" w:color="auto"/>
          </w:divBdr>
        </w:div>
        <w:div w:id="159004120">
          <w:marLeft w:val="640"/>
          <w:marRight w:val="0"/>
          <w:marTop w:val="0"/>
          <w:marBottom w:val="0"/>
          <w:divBdr>
            <w:top w:val="none" w:sz="0" w:space="0" w:color="auto"/>
            <w:left w:val="none" w:sz="0" w:space="0" w:color="auto"/>
            <w:bottom w:val="none" w:sz="0" w:space="0" w:color="auto"/>
            <w:right w:val="none" w:sz="0" w:space="0" w:color="auto"/>
          </w:divBdr>
        </w:div>
        <w:div w:id="814104708">
          <w:marLeft w:val="640"/>
          <w:marRight w:val="0"/>
          <w:marTop w:val="0"/>
          <w:marBottom w:val="0"/>
          <w:divBdr>
            <w:top w:val="none" w:sz="0" w:space="0" w:color="auto"/>
            <w:left w:val="none" w:sz="0" w:space="0" w:color="auto"/>
            <w:bottom w:val="none" w:sz="0" w:space="0" w:color="auto"/>
            <w:right w:val="none" w:sz="0" w:space="0" w:color="auto"/>
          </w:divBdr>
        </w:div>
        <w:div w:id="802700471">
          <w:marLeft w:val="640"/>
          <w:marRight w:val="0"/>
          <w:marTop w:val="0"/>
          <w:marBottom w:val="0"/>
          <w:divBdr>
            <w:top w:val="none" w:sz="0" w:space="0" w:color="auto"/>
            <w:left w:val="none" w:sz="0" w:space="0" w:color="auto"/>
            <w:bottom w:val="none" w:sz="0" w:space="0" w:color="auto"/>
            <w:right w:val="none" w:sz="0" w:space="0" w:color="auto"/>
          </w:divBdr>
        </w:div>
        <w:div w:id="1544827483">
          <w:marLeft w:val="640"/>
          <w:marRight w:val="0"/>
          <w:marTop w:val="0"/>
          <w:marBottom w:val="0"/>
          <w:divBdr>
            <w:top w:val="none" w:sz="0" w:space="0" w:color="auto"/>
            <w:left w:val="none" w:sz="0" w:space="0" w:color="auto"/>
            <w:bottom w:val="none" w:sz="0" w:space="0" w:color="auto"/>
            <w:right w:val="none" w:sz="0" w:space="0" w:color="auto"/>
          </w:divBdr>
        </w:div>
        <w:div w:id="1765110327">
          <w:marLeft w:val="640"/>
          <w:marRight w:val="0"/>
          <w:marTop w:val="0"/>
          <w:marBottom w:val="0"/>
          <w:divBdr>
            <w:top w:val="none" w:sz="0" w:space="0" w:color="auto"/>
            <w:left w:val="none" w:sz="0" w:space="0" w:color="auto"/>
            <w:bottom w:val="none" w:sz="0" w:space="0" w:color="auto"/>
            <w:right w:val="none" w:sz="0" w:space="0" w:color="auto"/>
          </w:divBdr>
        </w:div>
        <w:div w:id="1325891424">
          <w:marLeft w:val="640"/>
          <w:marRight w:val="0"/>
          <w:marTop w:val="0"/>
          <w:marBottom w:val="0"/>
          <w:divBdr>
            <w:top w:val="none" w:sz="0" w:space="0" w:color="auto"/>
            <w:left w:val="none" w:sz="0" w:space="0" w:color="auto"/>
            <w:bottom w:val="none" w:sz="0" w:space="0" w:color="auto"/>
            <w:right w:val="none" w:sz="0" w:space="0" w:color="auto"/>
          </w:divBdr>
        </w:div>
        <w:div w:id="1068111075">
          <w:marLeft w:val="640"/>
          <w:marRight w:val="0"/>
          <w:marTop w:val="0"/>
          <w:marBottom w:val="0"/>
          <w:divBdr>
            <w:top w:val="none" w:sz="0" w:space="0" w:color="auto"/>
            <w:left w:val="none" w:sz="0" w:space="0" w:color="auto"/>
            <w:bottom w:val="none" w:sz="0" w:space="0" w:color="auto"/>
            <w:right w:val="none" w:sz="0" w:space="0" w:color="auto"/>
          </w:divBdr>
        </w:div>
        <w:div w:id="1394813103">
          <w:marLeft w:val="640"/>
          <w:marRight w:val="0"/>
          <w:marTop w:val="0"/>
          <w:marBottom w:val="0"/>
          <w:divBdr>
            <w:top w:val="none" w:sz="0" w:space="0" w:color="auto"/>
            <w:left w:val="none" w:sz="0" w:space="0" w:color="auto"/>
            <w:bottom w:val="none" w:sz="0" w:space="0" w:color="auto"/>
            <w:right w:val="none" w:sz="0" w:space="0" w:color="auto"/>
          </w:divBdr>
        </w:div>
        <w:div w:id="1258100066">
          <w:marLeft w:val="640"/>
          <w:marRight w:val="0"/>
          <w:marTop w:val="0"/>
          <w:marBottom w:val="0"/>
          <w:divBdr>
            <w:top w:val="none" w:sz="0" w:space="0" w:color="auto"/>
            <w:left w:val="none" w:sz="0" w:space="0" w:color="auto"/>
            <w:bottom w:val="none" w:sz="0" w:space="0" w:color="auto"/>
            <w:right w:val="none" w:sz="0" w:space="0" w:color="auto"/>
          </w:divBdr>
        </w:div>
        <w:div w:id="1656907168">
          <w:marLeft w:val="640"/>
          <w:marRight w:val="0"/>
          <w:marTop w:val="0"/>
          <w:marBottom w:val="0"/>
          <w:divBdr>
            <w:top w:val="none" w:sz="0" w:space="0" w:color="auto"/>
            <w:left w:val="none" w:sz="0" w:space="0" w:color="auto"/>
            <w:bottom w:val="none" w:sz="0" w:space="0" w:color="auto"/>
            <w:right w:val="none" w:sz="0" w:space="0" w:color="auto"/>
          </w:divBdr>
        </w:div>
        <w:div w:id="1483040169">
          <w:marLeft w:val="640"/>
          <w:marRight w:val="0"/>
          <w:marTop w:val="0"/>
          <w:marBottom w:val="0"/>
          <w:divBdr>
            <w:top w:val="none" w:sz="0" w:space="0" w:color="auto"/>
            <w:left w:val="none" w:sz="0" w:space="0" w:color="auto"/>
            <w:bottom w:val="none" w:sz="0" w:space="0" w:color="auto"/>
            <w:right w:val="none" w:sz="0" w:space="0" w:color="auto"/>
          </w:divBdr>
        </w:div>
        <w:div w:id="714046963">
          <w:marLeft w:val="640"/>
          <w:marRight w:val="0"/>
          <w:marTop w:val="0"/>
          <w:marBottom w:val="0"/>
          <w:divBdr>
            <w:top w:val="none" w:sz="0" w:space="0" w:color="auto"/>
            <w:left w:val="none" w:sz="0" w:space="0" w:color="auto"/>
            <w:bottom w:val="none" w:sz="0" w:space="0" w:color="auto"/>
            <w:right w:val="none" w:sz="0" w:space="0" w:color="auto"/>
          </w:divBdr>
        </w:div>
        <w:div w:id="18164627">
          <w:marLeft w:val="640"/>
          <w:marRight w:val="0"/>
          <w:marTop w:val="0"/>
          <w:marBottom w:val="0"/>
          <w:divBdr>
            <w:top w:val="none" w:sz="0" w:space="0" w:color="auto"/>
            <w:left w:val="none" w:sz="0" w:space="0" w:color="auto"/>
            <w:bottom w:val="none" w:sz="0" w:space="0" w:color="auto"/>
            <w:right w:val="none" w:sz="0" w:space="0" w:color="auto"/>
          </w:divBdr>
        </w:div>
        <w:div w:id="1007517637">
          <w:marLeft w:val="640"/>
          <w:marRight w:val="0"/>
          <w:marTop w:val="0"/>
          <w:marBottom w:val="0"/>
          <w:divBdr>
            <w:top w:val="none" w:sz="0" w:space="0" w:color="auto"/>
            <w:left w:val="none" w:sz="0" w:space="0" w:color="auto"/>
            <w:bottom w:val="none" w:sz="0" w:space="0" w:color="auto"/>
            <w:right w:val="none" w:sz="0" w:space="0" w:color="auto"/>
          </w:divBdr>
        </w:div>
        <w:div w:id="1214734500">
          <w:marLeft w:val="640"/>
          <w:marRight w:val="0"/>
          <w:marTop w:val="0"/>
          <w:marBottom w:val="0"/>
          <w:divBdr>
            <w:top w:val="none" w:sz="0" w:space="0" w:color="auto"/>
            <w:left w:val="none" w:sz="0" w:space="0" w:color="auto"/>
            <w:bottom w:val="none" w:sz="0" w:space="0" w:color="auto"/>
            <w:right w:val="none" w:sz="0" w:space="0" w:color="auto"/>
          </w:divBdr>
        </w:div>
        <w:div w:id="609822412">
          <w:marLeft w:val="640"/>
          <w:marRight w:val="0"/>
          <w:marTop w:val="0"/>
          <w:marBottom w:val="0"/>
          <w:divBdr>
            <w:top w:val="none" w:sz="0" w:space="0" w:color="auto"/>
            <w:left w:val="none" w:sz="0" w:space="0" w:color="auto"/>
            <w:bottom w:val="none" w:sz="0" w:space="0" w:color="auto"/>
            <w:right w:val="none" w:sz="0" w:space="0" w:color="auto"/>
          </w:divBdr>
        </w:div>
        <w:div w:id="1873568555">
          <w:marLeft w:val="640"/>
          <w:marRight w:val="0"/>
          <w:marTop w:val="0"/>
          <w:marBottom w:val="0"/>
          <w:divBdr>
            <w:top w:val="none" w:sz="0" w:space="0" w:color="auto"/>
            <w:left w:val="none" w:sz="0" w:space="0" w:color="auto"/>
            <w:bottom w:val="none" w:sz="0" w:space="0" w:color="auto"/>
            <w:right w:val="none" w:sz="0" w:space="0" w:color="auto"/>
          </w:divBdr>
        </w:div>
        <w:div w:id="410394246">
          <w:marLeft w:val="640"/>
          <w:marRight w:val="0"/>
          <w:marTop w:val="0"/>
          <w:marBottom w:val="0"/>
          <w:divBdr>
            <w:top w:val="none" w:sz="0" w:space="0" w:color="auto"/>
            <w:left w:val="none" w:sz="0" w:space="0" w:color="auto"/>
            <w:bottom w:val="none" w:sz="0" w:space="0" w:color="auto"/>
            <w:right w:val="none" w:sz="0" w:space="0" w:color="auto"/>
          </w:divBdr>
        </w:div>
        <w:div w:id="415253623">
          <w:marLeft w:val="640"/>
          <w:marRight w:val="0"/>
          <w:marTop w:val="0"/>
          <w:marBottom w:val="0"/>
          <w:divBdr>
            <w:top w:val="none" w:sz="0" w:space="0" w:color="auto"/>
            <w:left w:val="none" w:sz="0" w:space="0" w:color="auto"/>
            <w:bottom w:val="none" w:sz="0" w:space="0" w:color="auto"/>
            <w:right w:val="none" w:sz="0" w:space="0" w:color="auto"/>
          </w:divBdr>
        </w:div>
        <w:div w:id="418215608">
          <w:marLeft w:val="640"/>
          <w:marRight w:val="0"/>
          <w:marTop w:val="0"/>
          <w:marBottom w:val="0"/>
          <w:divBdr>
            <w:top w:val="none" w:sz="0" w:space="0" w:color="auto"/>
            <w:left w:val="none" w:sz="0" w:space="0" w:color="auto"/>
            <w:bottom w:val="none" w:sz="0" w:space="0" w:color="auto"/>
            <w:right w:val="none" w:sz="0" w:space="0" w:color="auto"/>
          </w:divBdr>
        </w:div>
        <w:div w:id="624848311">
          <w:marLeft w:val="640"/>
          <w:marRight w:val="0"/>
          <w:marTop w:val="0"/>
          <w:marBottom w:val="0"/>
          <w:divBdr>
            <w:top w:val="none" w:sz="0" w:space="0" w:color="auto"/>
            <w:left w:val="none" w:sz="0" w:space="0" w:color="auto"/>
            <w:bottom w:val="none" w:sz="0" w:space="0" w:color="auto"/>
            <w:right w:val="none" w:sz="0" w:space="0" w:color="auto"/>
          </w:divBdr>
        </w:div>
        <w:div w:id="763570215">
          <w:marLeft w:val="640"/>
          <w:marRight w:val="0"/>
          <w:marTop w:val="0"/>
          <w:marBottom w:val="0"/>
          <w:divBdr>
            <w:top w:val="none" w:sz="0" w:space="0" w:color="auto"/>
            <w:left w:val="none" w:sz="0" w:space="0" w:color="auto"/>
            <w:bottom w:val="none" w:sz="0" w:space="0" w:color="auto"/>
            <w:right w:val="none" w:sz="0" w:space="0" w:color="auto"/>
          </w:divBdr>
        </w:div>
        <w:div w:id="30812512">
          <w:marLeft w:val="640"/>
          <w:marRight w:val="0"/>
          <w:marTop w:val="0"/>
          <w:marBottom w:val="0"/>
          <w:divBdr>
            <w:top w:val="none" w:sz="0" w:space="0" w:color="auto"/>
            <w:left w:val="none" w:sz="0" w:space="0" w:color="auto"/>
            <w:bottom w:val="none" w:sz="0" w:space="0" w:color="auto"/>
            <w:right w:val="none" w:sz="0" w:space="0" w:color="auto"/>
          </w:divBdr>
        </w:div>
        <w:div w:id="1647323293">
          <w:marLeft w:val="640"/>
          <w:marRight w:val="0"/>
          <w:marTop w:val="0"/>
          <w:marBottom w:val="0"/>
          <w:divBdr>
            <w:top w:val="none" w:sz="0" w:space="0" w:color="auto"/>
            <w:left w:val="none" w:sz="0" w:space="0" w:color="auto"/>
            <w:bottom w:val="none" w:sz="0" w:space="0" w:color="auto"/>
            <w:right w:val="none" w:sz="0" w:space="0" w:color="auto"/>
          </w:divBdr>
        </w:div>
        <w:div w:id="909341299">
          <w:marLeft w:val="640"/>
          <w:marRight w:val="0"/>
          <w:marTop w:val="0"/>
          <w:marBottom w:val="0"/>
          <w:divBdr>
            <w:top w:val="none" w:sz="0" w:space="0" w:color="auto"/>
            <w:left w:val="none" w:sz="0" w:space="0" w:color="auto"/>
            <w:bottom w:val="none" w:sz="0" w:space="0" w:color="auto"/>
            <w:right w:val="none" w:sz="0" w:space="0" w:color="auto"/>
          </w:divBdr>
        </w:div>
        <w:div w:id="1481656136">
          <w:marLeft w:val="640"/>
          <w:marRight w:val="0"/>
          <w:marTop w:val="0"/>
          <w:marBottom w:val="0"/>
          <w:divBdr>
            <w:top w:val="none" w:sz="0" w:space="0" w:color="auto"/>
            <w:left w:val="none" w:sz="0" w:space="0" w:color="auto"/>
            <w:bottom w:val="none" w:sz="0" w:space="0" w:color="auto"/>
            <w:right w:val="none" w:sz="0" w:space="0" w:color="auto"/>
          </w:divBdr>
        </w:div>
        <w:div w:id="1096559622">
          <w:marLeft w:val="640"/>
          <w:marRight w:val="0"/>
          <w:marTop w:val="0"/>
          <w:marBottom w:val="0"/>
          <w:divBdr>
            <w:top w:val="none" w:sz="0" w:space="0" w:color="auto"/>
            <w:left w:val="none" w:sz="0" w:space="0" w:color="auto"/>
            <w:bottom w:val="none" w:sz="0" w:space="0" w:color="auto"/>
            <w:right w:val="none" w:sz="0" w:space="0" w:color="auto"/>
          </w:divBdr>
        </w:div>
        <w:div w:id="2086802773">
          <w:marLeft w:val="640"/>
          <w:marRight w:val="0"/>
          <w:marTop w:val="0"/>
          <w:marBottom w:val="0"/>
          <w:divBdr>
            <w:top w:val="none" w:sz="0" w:space="0" w:color="auto"/>
            <w:left w:val="none" w:sz="0" w:space="0" w:color="auto"/>
            <w:bottom w:val="none" w:sz="0" w:space="0" w:color="auto"/>
            <w:right w:val="none" w:sz="0" w:space="0" w:color="auto"/>
          </w:divBdr>
        </w:div>
        <w:div w:id="1519663720">
          <w:marLeft w:val="640"/>
          <w:marRight w:val="0"/>
          <w:marTop w:val="0"/>
          <w:marBottom w:val="0"/>
          <w:divBdr>
            <w:top w:val="none" w:sz="0" w:space="0" w:color="auto"/>
            <w:left w:val="none" w:sz="0" w:space="0" w:color="auto"/>
            <w:bottom w:val="none" w:sz="0" w:space="0" w:color="auto"/>
            <w:right w:val="none" w:sz="0" w:space="0" w:color="auto"/>
          </w:divBdr>
        </w:div>
        <w:div w:id="1272781078">
          <w:marLeft w:val="640"/>
          <w:marRight w:val="0"/>
          <w:marTop w:val="0"/>
          <w:marBottom w:val="0"/>
          <w:divBdr>
            <w:top w:val="none" w:sz="0" w:space="0" w:color="auto"/>
            <w:left w:val="none" w:sz="0" w:space="0" w:color="auto"/>
            <w:bottom w:val="none" w:sz="0" w:space="0" w:color="auto"/>
            <w:right w:val="none" w:sz="0" w:space="0" w:color="auto"/>
          </w:divBdr>
        </w:div>
        <w:div w:id="2009163282">
          <w:marLeft w:val="640"/>
          <w:marRight w:val="0"/>
          <w:marTop w:val="0"/>
          <w:marBottom w:val="0"/>
          <w:divBdr>
            <w:top w:val="none" w:sz="0" w:space="0" w:color="auto"/>
            <w:left w:val="none" w:sz="0" w:space="0" w:color="auto"/>
            <w:bottom w:val="none" w:sz="0" w:space="0" w:color="auto"/>
            <w:right w:val="none" w:sz="0" w:space="0" w:color="auto"/>
          </w:divBdr>
        </w:div>
        <w:div w:id="1626815995">
          <w:marLeft w:val="640"/>
          <w:marRight w:val="0"/>
          <w:marTop w:val="0"/>
          <w:marBottom w:val="0"/>
          <w:divBdr>
            <w:top w:val="none" w:sz="0" w:space="0" w:color="auto"/>
            <w:left w:val="none" w:sz="0" w:space="0" w:color="auto"/>
            <w:bottom w:val="none" w:sz="0" w:space="0" w:color="auto"/>
            <w:right w:val="none" w:sz="0" w:space="0" w:color="auto"/>
          </w:divBdr>
        </w:div>
        <w:div w:id="1824274133">
          <w:marLeft w:val="640"/>
          <w:marRight w:val="0"/>
          <w:marTop w:val="0"/>
          <w:marBottom w:val="0"/>
          <w:divBdr>
            <w:top w:val="none" w:sz="0" w:space="0" w:color="auto"/>
            <w:left w:val="none" w:sz="0" w:space="0" w:color="auto"/>
            <w:bottom w:val="none" w:sz="0" w:space="0" w:color="auto"/>
            <w:right w:val="none" w:sz="0" w:space="0" w:color="auto"/>
          </w:divBdr>
        </w:div>
        <w:div w:id="750389673">
          <w:marLeft w:val="640"/>
          <w:marRight w:val="0"/>
          <w:marTop w:val="0"/>
          <w:marBottom w:val="0"/>
          <w:divBdr>
            <w:top w:val="none" w:sz="0" w:space="0" w:color="auto"/>
            <w:left w:val="none" w:sz="0" w:space="0" w:color="auto"/>
            <w:bottom w:val="none" w:sz="0" w:space="0" w:color="auto"/>
            <w:right w:val="none" w:sz="0" w:space="0" w:color="auto"/>
          </w:divBdr>
        </w:div>
        <w:div w:id="697201910">
          <w:marLeft w:val="640"/>
          <w:marRight w:val="0"/>
          <w:marTop w:val="0"/>
          <w:marBottom w:val="0"/>
          <w:divBdr>
            <w:top w:val="none" w:sz="0" w:space="0" w:color="auto"/>
            <w:left w:val="none" w:sz="0" w:space="0" w:color="auto"/>
            <w:bottom w:val="none" w:sz="0" w:space="0" w:color="auto"/>
            <w:right w:val="none" w:sz="0" w:space="0" w:color="auto"/>
          </w:divBdr>
        </w:div>
        <w:div w:id="826677335">
          <w:marLeft w:val="640"/>
          <w:marRight w:val="0"/>
          <w:marTop w:val="0"/>
          <w:marBottom w:val="0"/>
          <w:divBdr>
            <w:top w:val="none" w:sz="0" w:space="0" w:color="auto"/>
            <w:left w:val="none" w:sz="0" w:space="0" w:color="auto"/>
            <w:bottom w:val="none" w:sz="0" w:space="0" w:color="auto"/>
            <w:right w:val="none" w:sz="0" w:space="0" w:color="auto"/>
          </w:divBdr>
        </w:div>
        <w:div w:id="1384527738">
          <w:marLeft w:val="640"/>
          <w:marRight w:val="0"/>
          <w:marTop w:val="0"/>
          <w:marBottom w:val="0"/>
          <w:divBdr>
            <w:top w:val="none" w:sz="0" w:space="0" w:color="auto"/>
            <w:left w:val="none" w:sz="0" w:space="0" w:color="auto"/>
            <w:bottom w:val="none" w:sz="0" w:space="0" w:color="auto"/>
            <w:right w:val="none" w:sz="0" w:space="0" w:color="auto"/>
          </w:divBdr>
        </w:div>
        <w:div w:id="1384866622">
          <w:marLeft w:val="640"/>
          <w:marRight w:val="0"/>
          <w:marTop w:val="0"/>
          <w:marBottom w:val="0"/>
          <w:divBdr>
            <w:top w:val="none" w:sz="0" w:space="0" w:color="auto"/>
            <w:left w:val="none" w:sz="0" w:space="0" w:color="auto"/>
            <w:bottom w:val="none" w:sz="0" w:space="0" w:color="auto"/>
            <w:right w:val="none" w:sz="0" w:space="0" w:color="auto"/>
          </w:divBdr>
        </w:div>
        <w:div w:id="1827086163">
          <w:marLeft w:val="640"/>
          <w:marRight w:val="0"/>
          <w:marTop w:val="0"/>
          <w:marBottom w:val="0"/>
          <w:divBdr>
            <w:top w:val="none" w:sz="0" w:space="0" w:color="auto"/>
            <w:left w:val="none" w:sz="0" w:space="0" w:color="auto"/>
            <w:bottom w:val="none" w:sz="0" w:space="0" w:color="auto"/>
            <w:right w:val="none" w:sz="0" w:space="0" w:color="auto"/>
          </w:divBdr>
        </w:div>
        <w:div w:id="1422533067">
          <w:marLeft w:val="640"/>
          <w:marRight w:val="0"/>
          <w:marTop w:val="0"/>
          <w:marBottom w:val="0"/>
          <w:divBdr>
            <w:top w:val="none" w:sz="0" w:space="0" w:color="auto"/>
            <w:left w:val="none" w:sz="0" w:space="0" w:color="auto"/>
            <w:bottom w:val="none" w:sz="0" w:space="0" w:color="auto"/>
            <w:right w:val="none" w:sz="0" w:space="0" w:color="auto"/>
          </w:divBdr>
        </w:div>
        <w:div w:id="1937059625">
          <w:marLeft w:val="640"/>
          <w:marRight w:val="0"/>
          <w:marTop w:val="0"/>
          <w:marBottom w:val="0"/>
          <w:divBdr>
            <w:top w:val="none" w:sz="0" w:space="0" w:color="auto"/>
            <w:left w:val="none" w:sz="0" w:space="0" w:color="auto"/>
            <w:bottom w:val="none" w:sz="0" w:space="0" w:color="auto"/>
            <w:right w:val="none" w:sz="0" w:space="0" w:color="auto"/>
          </w:divBdr>
        </w:div>
        <w:div w:id="1304431692">
          <w:marLeft w:val="640"/>
          <w:marRight w:val="0"/>
          <w:marTop w:val="0"/>
          <w:marBottom w:val="0"/>
          <w:divBdr>
            <w:top w:val="none" w:sz="0" w:space="0" w:color="auto"/>
            <w:left w:val="none" w:sz="0" w:space="0" w:color="auto"/>
            <w:bottom w:val="none" w:sz="0" w:space="0" w:color="auto"/>
            <w:right w:val="none" w:sz="0" w:space="0" w:color="auto"/>
          </w:divBdr>
        </w:div>
        <w:div w:id="1466123108">
          <w:marLeft w:val="640"/>
          <w:marRight w:val="0"/>
          <w:marTop w:val="0"/>
          <w:marBottom w:val="0"/>
          <w:divBdr>
            <w:top w:val="none" w:sz="0" w:space="0" w:color="auto"/>
            <w:left w:val="none" w:sz="0" w:space="0" w:color="auto"/>
            <w:bottom w:val="none" w:sz="0" w:space="0" w:color="auto"/>
            <w:right w:val="none" w:sz="0" w:space="0" w:color="auto"/>
          </w:divBdr>
        </w:div>
        <w:div w:id="2016229345">
          <w:marLeft w:val="640"/>
          <w:marRight w:val="0"/>
          <w:marTop w:val="0"/>
          <w:marBottom w:val="0"/>
          <w:divBdr>
            <w:top w:val="none" w:sz="0" w:space="0" w:color="auto"/>
            <w:left w:val="none" w:sz="0" w:space="0" w:color="auto"/>
            <w:bottom w:val="none" w:sz="0" w:space="0" w:color="auto"/>
            <w:right w:val="none" w:sz="0" w:space="0" w:color="auto"/>
          </w:divBdr>
        </w:div>
        <w:div w:id="1398747774">
          <w:marLeft w:val="640"/>
          <w:marRight w:val="0"/>
          <w:marTop w:val="0"/>
          <w:marBottom w:val="0"/>
          <w:divBdr>
            <w:top w:val="none" w:sz="0" w:space="0" w:color="auto"/>
            <w:left w:val="none" w:sz="0" w:space="0" w:color="auto"/>
            <w:bottom w:val="none" w:sz="0" w:space="0" w:color="auto"/>
            <w:right w:val="none" w:sz="0" w:space="0" w:color="auto"/>
          </w:divBdr>
        </w:div>
        <w:div w:id="541408837">
          <w:marLeft w:val="640"/>
          <w:marRight w:val="0"/>
          <w:marTop w:val="0"/>
          <w:marBottom w:val="0"/>
          <w:divBdr>
            <w:top w:val="none" w:sz="0" w:space="0" w:color="auto"/>
            <w:left w:val="none" w:sz="0" w:space="0" w:color="auto"/>
            <w:bottom w:val="none" w:sz="0" w:space="0" w:color="auto"/>
            <w:right w:val="none" w:sz="0" w:space="0" w:color="auto"/>
          </w:divBdr>
        </w:div>
        <w:div w:id="1755517888">
          <w:marLeft w:val="640"/>
          <w:marRight w:val="0"/>
          <w:marTop w:val="0"/>
          <w:marBottom w:val="0"/>
          <w:divBdr>
            <w:top w:val="none" w:sz="0" w:space="0" w:color="auto"/>
            <w:left w:val="none" w:sz="0" w:space="0" w:color="auto"/>
            <w:bottom w:val="none" w:sz="0" w:space="0" w:color="auto"/>
            <w:right w:val="none" w:sz="0" w:space="0" w:color="auto"/>
          </w:divBdr>
        </w:div>
        <w:div w:id="687294111">
          <w:marLeft w:val="640"/>
          <w:marRight w:val="0"/>
          <w:marTop w:val="0"/>
          <w:marBottom w:val="0"/>
          <w:divBdr>
            <w:top w:val="none" w:sz="0" w:space="0" w:color="auto"/>
            <w:left w:val="none" w:sz="0" w:space="0" w:color="auto"/>
            <w:bottom w:val="none" w:sz="0" w:space="0" w:color="auto"/>
            <w:right w:val="none" w:sz="0" w:space="0" w:color="auto"/>
          </w:divBdr>
        </w:div>
        <w:div w:id="1838570106">
          <w:marLeft w:val="640"/>
          <w:marRight w:val="0"/>
          <w:marTop w:val="0"/>
          <w:marBottom w:val="0"/>
          <w:divBdr>
            <w:top w:val="none" w:sz="0" w:space="0" w:color="auto"/>
            <w:left w:val="none" w:sz="0" w:space="0" w:color="auto"/>
            <w:bottom w:val="none" w:sz="0" w:space="0" w:color="auto"/>
            <w:right w:val="none" w:sz="0" w:space="0" w:color="auto"/>
          </w:divBdr>
        </w:div>
        <w:div w:id="495190816">
          <w:marLeft w:val="640"/>
          <w:marRight w:val="0"/>
          <w:marTop w:val="0"/>
          <w:marBottom w:val="0"/>
          <w:divBdr>
            <w:top w:val="none" w:sz="0" w:space="0" w:color="auto"/>
            <w:left w:val="none" w:sz="0" w:space="0" w:color="auto"/>
            <w:bottom w:val="none" w:sz="0" w:space="0" w:color="auto"/>
            <w:right w:val="none" w:sz="0" w:space="0" w:color="auto"/>
          </w:divBdr>
        </w:div>
        <w:div w:id="1704556828">
          <w:marLeft w:val="640"/>
          <w:marRight w:val="0"/>
          <w:marTop w:val="0"/>
          <w:marBottom w:val="0"/>
          <w:divBdr>
            <w:top w:val="none" w:sz="0" w:space="0" w:color="auto"/>
            <w:left w:val="none" w:sz="0" w:space="0" w:color="auto"/>
            <w:bottom w:val="none" w:sz="0" w:space="0" w:color="auto"/>
            <w:right w:val="none" w:sz="0" w:space="0" w:color="auto"/>
          </w:divBdr>
        </w:div>
        <w:div w:id="1138109765">
          <w:marLeft w:val="640"/>
          <w:marRight w:val="0"/>
          <w:marTop w:val="0"/>
          <w:marBottom w:val="0"/>
          <w:divBdr>
            <w:top w:val="none" w:sz="0" w:space="0" w:color="auto"/>
            <w:left w:val="none" w:sz="0" w:space="0" w:color="auto"/>
            <w:bottom w:val="none" w:sz="0" w:space="0" w:color="auto"/>
            <w:right w:val="none" w:sz="0" w:space="0" w:color="auto"/>
          </w:divBdr>
        </w:div>
        <w:div w:id="961812541">
          <w:marLeft w:val="640"/>
          <w:marRight w:val="0"/>
          <w:marTop w:val="0"/>
          <w:marBottom w:val="0"/>
          <w:divBdr>
            <w:top w:val="none" w:sz="0" w:space="0" w:color="auto"/>
            <w:left w:val="none" w:sz="0" w:space="0" w:color="auto"/>
            <w:bottom w:val="none" w:sz="0" w:space="0" w:color="auto"/>
            <w:right w:val="none" w:sz="0" w:space="0" w:color="auto"/>
          </w:divBdr>
        </w:div>
        <w:div w:id="1797722488">
          <w:marLeft w:val="640"/>
          <w:marRight w:val="0"/>
          <w:marTop w:val="0"/>
          <w:marBottom w:val="0"/>
          <w:divBdr>
            <w:top w:val="none" w:sz="0" w:space="0" w:color="auto"/>
            <w:left w:val="none" w:sz="0" w:space="0" w:color="auto"/>
            <w:bottom w:val="none" w:sz="0" w:space="0" w:color="auto"/>
            <w:right w:val="none" w:sz="0" w:space="0" w:color="auto"/>
          </w:divBdr>
        </w:div>
        <w:div w:id="999575841">
          <w:marLeft w:val="640"/>
          <w:marRight w:val="0"/>
          <w:marTop w:val="0"/>
          <w:marBottom w:val="0"/>
          <w:divBdr>
            <w:top w:val="none" w:sz="0" w:space="0" w:color="auto"/>
            <w:left w:val="none" w:sz="0" w:space="0" w:color="auto"/>
            <w:bottom w:val="none" w:sz="0" w:space="0" w:color="auto"/>
            <w:right w:val="none" w:sz="0" w:space="0" w:color="auto"/>
          </w:divBdr>
        </w:div>
        <w:div w:id="2146769985">
          <w:marLeft w:val="640"/>
          <w:marRight w:val="0"/>
          <w:marTop w:val="0"/>
          <w:marBottom w:val="0"/>
          <w:divBdr>
            <w:top w:val="none" w:sz="0" w:space="0" w:color="auto"/>
            <w:left w:val="none" w:sz="0" w:space="0" w:color="auto"/>
            <w:bottom w:val="none" w:sz="0" w:space="0" w:color="auto"/>
            <w:right w:val="none" w:sz="0" w:space="0" w:color="auto"/>
          </w:divBdr>
        </w:div>
        <w:div w:id="217477439">
          <w:marLeft w:val="640"/>
          <w:marRight w:val="0"/>
          <w:marTop w:val="0"/>
          <w:marBottom w:val="0"/>
          <w:divBdr>
            <w:top w:val="none" w:sz="0" w:space="0" w:color="auto"/>
            <w:left w:val="none" w:sz="0" w:space="0" w:color="auto"/>
            <w:bottom w:val="none" w:sz="0" w:space="0" w:color="auto"/>
            <w:right w:val="none" w:sz="0" w:space="0" w:color="auto"/>
          </w:divBdr>
        </w:div>
        <w:div w:id="612594195">
          <w:marLeft w:val="640"/>
          <w:marRight w:val="0"/>
          <w:marTop w:val="0"/>
          <w:marBottom w:val="0"/>
          <w:divBdr>
            <w:top w:val="none" w:sz="0" w:space="0" w:color="auto"/>
            <w:left w:val="none" w:sz="0" w:space="0" w:color="auto"/>
            <w:bottom w:val="none" w:sz="0" w:space="0" w:color="auto"/>
            <w:right w:val="none" w:sz="0" w:space="0" w:color="auto"/>
          </w:divBdr>
        </w:div>
        <w:div w:id="2049067645">
          <w:marLeft w:val="640"/>
          <w:marRight w:val="0"/>
          <w:marTop w:val="0"/>
          <w:marBottom w:val="0"/>
          <w:divBdr>
            <w:top w:val="none" w:sz="0" w:space="0" w:color="auto"/>
            <w:left w:val="none" w:sz="0" w:space="0" w:color="auto"/>
            <w:bottom w:val="none" w:sz="0" w:space="0" w:color="auto"/>
            <w:right w:val="none" w:sz="0" w:space="0" w:color="auto"/>
          </w:divBdr>
        </w:div>
        <w:div w:id="979068456">
          <w:marLeft w:val="640"/>
          <w:marRight w:val="0"/>
          <w:marTop w:val="0"/>
          <w:marBottom w:val="0"/>
          <w:divBdr>
            <w:top w:val="none" w:sz="0" w:space="0" w:color="auto"/>
            <w:left w:val="none" w:sz="0" w:space="0" w:color="auto"/>
            <w:bottom w:val="none" w:sz="0" w:space="0" w:color="auto"/>
            <w:right w:val="none" w:sz="0" w:space="0" w:color="auto"/>
          </w:divBdr>
        </w:div>
        <w:div w:id="672537851">
          <w:marLeft w:val="640"/>
          <w:marRight w:val="0"/>
          <w:marTop w:val="0"/>
          <w:marBottom w:val="0"/>
          <w:divBdr>
            <w:top w:val="none" w:sz="0" w:space="0" w:color="auto"/>
            <w:left w:val="none" w:sz="0" w:space="0" w:color="auto"/>
            <w:bottom w:val="none" w:sz="0" w:space="0" w:color="auto"/>
            <w:right w:val="none" w:sz="0" w:space="0" w:color="auto"/>
          </w:divBdr>
        </w:div>
        <w:div w:id="1773433956">
          <w:marLeft w:val="640"/>
          <w:marRight w:val="0"/>
          <w:marTop w:val="0"/>
          <w:marBottom w:val="0"/>
          <w:divBdr>
            <w:top w:val="none" w:sz="0" w:space="0" w:color="auto"/>
            <w:left w:val="none" w:sz="0" w:space="0" w:color="auto"/>
            <w:bottom w:val="none" w:sz="0" w:space="0" w:color="auto"/>
            <w:right w:val="none" w:sz="0" w:space="0" w:color="auto"/>
          </w:divBdr>
        </w:div>
        <w:div w:id="1361203425">
          <w:marLeft w:val="640"/>
          <w:marRight w:val="0"/>
          <w:marTop w:val="0"/>
          <w:marBottom w:val="0"/>
          <w:divBdr>
            <w:top w:val="none" w:sz="0" w:space="0" w:color="auto"/>
            <w:left w:val="none" w:sz="0" w:space="0" w:color="auto"/>
            <w:bottom w:val="none" w:sz="0" w:space="0" w:color="auto"/>
            <w:right w:val="none" w:sz="0" w:space="0" w:color="auto"/>
          </w:divBdr>
        </w:div>
        <w:div w:id="1730879612">
          <w:marLeft w:val="640"/>
          <w:marRight w:val="0"/>
          <w:marTop w:val="0"/>
          <w:marBottom w:val="0"/>
          <w:divBdr>
            <w:top w:val="none" w:sz="0" w:space="0" w:color="auto"/>
            <w:left w:val="none" w:sz="0" w:space="0" w:color="auto"/>
            <w:bottom w:val="none" w:sz="0" w:space="0" w:color="auto"/>
            <w:right w:val="none" w:sz="0" w:space="0" w:color="auto"/>
          </w:divBdr>
        </w:div>
        <w:div w:id="1222131177">
          <w:marLeft w:val="640"/>
          <w:marRight w:val="0"/>
          <w:marTop w:val="0"/>
          <w:marBottom w:val="0"/>
          <w:divBdr>
            <w:top w:val="none" w:sz="0" w:space="0" w:color="auto"/>
            <w:left w:val="none" w:sz="0" w:space="0" w:color="auto"/>
            <w:bottom w:val="none" w:sz="0" w:space="0" w:color="auto"/>
            <w:right w:val="none" w:sz="0" w:space="0" w:color="auto"/>
          </w:divBdr>
        </w:div>
        <w:div w:id="869563905">
          <w:marLeft w:val="640"/>
          <w:marRight w:val="0"/>
          <w:marTop w:val="0"/>
          <w:marBottom w:val="0"/>
          <w:divBdr>
            <w:top w:val="none" w:sz="0" w:space="0" w:color="auto"/>
            <w:left w:val="none" w:sz="0" w:space="0" w:color="auto"/>
            <w:bottom w:val="none" w:sz="0" w:space="0" w:color="auto"/>
            <w:right w:val="none" w:sz="0" w:space="0" w:color="auto"/>
          </w:divBdr>
        </w:div>
        <w:div w:id="123155049">
          <w:marLeft w:val="640"/>
          <w:marRight w:val="0"/>
          <w:marTop w:val="0"/>
          <w:marBottom w:val="0"/>
          <w:divBdr>
            <w:top w:val="none" w:sz="0" w:space="0" w:color="auto"/>
            <w:left w:val="none" w:sz="0" w:space="0" w:color="auto"/>
            <w:bottom w:val="none" w:sz="0" w:space="0" w:color="auto"/>
            <w:right w:val="none" w:sz="0" w:space="0" w:color="auto"/>
          </w:divBdr>
        </w:div>
        <w:div w:id="1786777824">
          <w:marLeft w:val="640"/>
          <w:marRight w:val="0"/>
          <w:marTop w:val="0"/>
          <w:marBottom w:val="0"/>
          <w:divBdr>
            <w:top w:val="none" w:sz="0" w:space="0" w:color="auto"/>
            <w:left w:val="none" w:sz="0" w:space="0" w:color="auto"/>
            <w:bottom w:val="none" w:sz="0" w:space="0" w:color="auto"/>
            <w:right w:val="none" w:sz="0" w:space="0" w:color="auto"/>
          </w:divBdr>
        </w:div>
        <w:div w:id="1541555473">
          <w:marLeft w:val="640"/>
          <w:marRight w:val="0"/>
          <w:marTop w:val="0"/>
          <w:marBottom w:val="0"/>
          <w:divBdr>
            <w:top w:val="none" w:sz="0" w:space="0" w:color="auto"/>
            <w:left w:val="none" w:sz="0" w:space="0" w:color="auto"/>
            <w:bottom w:val="none" w:sz="0" w:space="0" w:color="auto"/>
            <w:right w:val="none" w:sz="0" w:space="0" w:color="auto"/>
          </w:divBdr>
        </w:div>
        <w:div w:id="1274244295">
          <w:marLeft w:val="640"/>
          <w:marRight w:val="0"/>
          <w:marTop w:val="0"/>
          <w:marBottom w:val="0"/>
          <w:divBdr>
            <w:top w:val="none" w:sz="0" w:space="0" w:color="auto"/>
            <w:left w:val="none" w:sz="0" w:space="0" w:color="auto"/>
            <w:bottom w:val="none" w:sz="0" w:space="0" w:color="auto"/>
            <w:right w:val="none" w:sz="0" w:space="0" w:color="auto"/>
          </w:divBdr>
        </w:div>
        <w:div w:id="930234482">
          <w:marLeft w:val="640"/>
          <w:marRight w:val="0"/>
          <w:marTop w:val="0"/>
          <w:marBottom w:val="0"/>
          <w:divBdr>
            <w:top w:val="none" w:sz="0" w:space="0" w:color="auto"/>
            <w:left w:val="none" w:sz="0" w:space="0" w:color="auto"/>
            <w:bottom w:val="none" w:sz="0" w:space="0" w:color="auto"/>
            <w:right w:val="none" w:sz="0" w:space="0" w:color="auto"/>
          </w:divBdr>
        </w:div>
        <w:div w:id="1694332919">
          <w:marLeft w:val="640"/>
          <w:marRight w:val="0"/>
          <w:marTop w:val="0"/>
          <w:marBottom w:val="0"/>
          <w:divBdr>
            <w:top w:val="none" w:sz="0" w:space="0" w:color="auto"/>
            <w:left w:val="none" w:sz="0" w:space="0" w:color="auto"/>
            <w:bottom w:val="none" w:sz="0" w:space="0" w:color="auto"/>
            <w:right w:val="none" w:sz="0" w:space="0" w:color="auto"/>
          </w:divBdr>
        </w:div>
        <w:div w:id="2032105368">
          <w:marLeft w:val="640"/>
          <w:marRight w:val="0"/>
          <w:marTop w:val="0"/>
          <w:marBottom w:val="0"/>
          <w:divBdr>
            <w:top w:val="none" w:sz="0" w:space="0" w:color="auto"/>
            <w:left w:val="none" w:sz="0" w:space="0" w:color="auto"/>
            <w:bottom w:val="none" w:sz="0" w:space="0" w:color="auto"/>
            <w:right w:val="none" w:sz="0" w:space="0" w:color="auto"/>
          </w:divBdr>
        </w:div>
        <w:div w:id="713311434">
          <w:marLeft w:val="640"/>
          <w:marRight w:val="0"/>
          <w:marTop w:val="0"/>
          <w:marBottom w:val="0"/>
          <w:divBdr>
            <w:top w:val="none" w:sz="0" w:space="0" w:color="auto"/>
            <w:left w:val="none" w:sz="0" w:space="0" w:color="auto"/>
            <w:bottom w:val="none" w:sz="0" w:space="0" w:color="auto"/>
            <w:right w:val="none" w:sz="0" w:space="0" w:color="auto"/>
          </w:divBdr>
        </w:div>
        <w:div w:id="557059505">
          <w:marLeft w:val="640"/>
          <w:marRight w:val="0"/>
          <w:marTop w:val="0"/>
          <w:marBottom w:val="0"/>
          <w:divBdr>
            <w:top w:val="none" w:sz="0" w:space="0" w:color="auto"/>
            <w:left w:val="none" w:sz="0" w:space="0" w:color="auto"/>
            <w:bottom w:val="none" w:sz="0" w:space="0" w:color="auto"/>
            <w:right w:val="none" w:sz="0" w:space="0" w:color="auto"/>
          </w:divBdr>
        </w:div>
        <w:div w:id="1217088550">
          <w:marLeft w:val="640"/>
          <w:marRight w:val="0"/>
          <w:marTop w:val="0"/>
          <w:marBottom w:val="0"/>
          <w:divBdr>
            <w:top w:val="none" w:sz="0" w:space="0" w:color="auto"/>
            <w:left w:val="none" w:sz="0" w:space="0" w:color="auto"/>
            <w:bottom w:val="none" w:sz="0" w:space="0" w:color="auto"/>
            <w:right w:val="none" w:sz="0" w:space="0" w:color="auto"/>
          </w:divBdr>
        </w:div>
        <w:div w:id="1716585734">
          <w:marLeft w:val="640"/>
          <w:marRight w:val="0"/>
          <w:marTop w:val="0"/>
          <w:marBottom w:val="0"/>
          <w:divBdr>
            <w:top w:val="none" w:sz="0" w:space="0" w:color="auto"/>
            <w:left w:val="none" w:sz="0" w:space="0" w:color="auto"/>
            <w:bottom w:val="none" w:sz="0" w:space="0" w:color="auto"/>
            <w:right w:val="none" w:sz="0" w:space="0" w:color="auto"/>
          </w:divBdr>
        </w:div>
        <w:div w:id="1116212218">
          <w:marLeft w:val="640"/>
          <w:marRight w:val="0"/>
          <w:marTop w:val="0"/>
          <w:marBottom w:val="0"/>
          <w:divBdr>
            <w:top w:val="none" w:sz="0" w:space="0" w:color="auto"/>
            <w:left w:val="none" w:sz="0" w:space="0" w:color="auto"/>
            <w:bottom w:val="none" w:sz="0" w:space="0" w:color="auto"/>
            <w:right w:val="none" w:sz="0" w:space="0" w:color="auto"/>
          </w:divBdr>
        </w:div>
        <w:div w:id="150996180">
          <w:marLeft w:val="640"/>
          <w:marRight w:val="0"/>
          <w:marTop w:val="0"/>
          <w:marBottom w:val="0"/>
          <w:divBdr>
            <w:top w:val="none" w:sz="0" w:space="0" w:color="auto"/>
            <w:left w:val="none" w:sz="0" w:space="0" w:color="auto"/>
            <w:bottom w:val="none" w:sz="0" w:space="0" w:color="auto"/>
            <w:right w:val="none" w:sz="0" w:space="0" w:color="auto"/>
          </w:divBdr>
        </w:div>
        <w:div w:id="1387097078">
          <w:marLeft w:val="640"/>
          <w:marRight w:val="0"/>
          <w:marTop w:val="0"/>
          <w:marBottom w:val="0"/>
          <w:divBdr>
            <w:top w:val="none" w:sz="0" w:space="0" w:color="auto"/>
            <w:left w:val="none" w:sz="0" w:space="0" w:color="auto"/>
            <w:bottom w:val="none" w:sz="0" w:space="0" w:color="auto"/>
            <w:right w:val="none" w:sz="0" w:space="0" w:color="auto"/>
          </w:divBdr>
        </w:div>
        <w:div w:id="1961838405">
          <w:marLeft w:val="640"/>
          <w:marRight w:val="0"/>
          <w:marTop w:val="0"/>
          <w:marBottom w:val="0"/>
          <w:divBdr>
            <w:top w:val="none" w:sz="0" w:space="0" w:color="auto"/>
            <w:left w:val="none" w:sz="0" w:space="0" w:color="auto"/>
            <w:bottom w:val="none" w:sz="0" w:space="0" w:color="auto"/>
            <w:right w:val="none" w:sz="0" w:space="0" w:color="auto"/>
          </w:divBdr>
        </w:div>
        <w:div w:id="1106189885">
          <w:marLeft w:val="640"/>
          <w:marRight w:val="0"/>
          <w:marTop w:val="0"/>
          <w:marBottom w:val="0"/>
          <w:divBdr>
            <w:top w:val="none" w:sz="0" w:space="0" w:color="auto"/>
            <w:left w:val="none" w:sz="0" w:space="0" w:color="auto"/>
            <w:bottom w:val="none" w:sz="0" w:space="0" w:color="auto"/>
            <w:right w:val="none" w:sz="0" w:space="0" w:color="auto"/>
          </w:divBdr>
        </w:div>
        <w:div w:id="302198895">
          <w:marLeft w:val="640"/>
          <w:marRight w:val="0"/>
          <w:marTop w:val="0"/>
          <w:marBottom w:val="0"/>
          <w:divBdr>
            <w:top w:val="none" w:sz="0" w:space="0" w:color="auto"/>
            <w:left w:val="none" w:sz="0" w:space="0" w:color="auto"/>
            <w:bottom w:val="none" w:sz="0" w:space="0" w:color="auto"/>
            <w:right w:val="none" w:sz="0" w:space="0" w:color="auto"/>
          </w:divBdr>
        </w:div>
        <w:div w:id="463235651">
          <w:marLeft w:val="640"/>
          <w:marRight w:val="0"/>
          <w:marTop w:val="0"/>
          <w:marBottom w:val="0"/>
          <w:divBdr>
            <w:top w:val="none" w:sz="0" w:space="0" w:color="auto"/>
            <w:left w:val="none" w:sz="0" w:space="0" w:color="auto"/>
            <w:bottom w:val="none" w:sz="0" w:space="0" w:color="auto"/>
            <w:right w:val="none" w:sz="0" w:space="0" w:color="auto"/>
          </w:divBdr>
        </w:div>
        <w:div w:id="995842394">
          <w:marLeft w:val="640"/>
          <w:marRight w:val="0"/>
          <w:marTop w:val="0"/>
          <w:marBottom w:val="0"/>
          <w:divBdr>
            <w:top w:val="none" w:sz="0" w:space="0" w:color="auto"/>
            <w:left w:val="none" w:sz="0" w:space="0" w:color="auto"/>
            <w:bottom w:val="none" w:sz="0" w:space="0" w:color="auto"/>
            <w:right w:val="none" w:sz="0" w:space="0" w:color="auto"/>
          </w:divBdr>
        </w:div>
        <w:div w:id="2024087550">
          <w:marLeft w:val="640"/>
          <w:marRight w:val="0"/>
          <w:marTop w:val="0"/>
          <w:marBottom w:val="0"/>
          <w:divBdr>
            <w:top w:val="none" w:sz="0" w:space="0" w:color="auto"/>
            <w:left w:val="none" w:sz="0" w:space="0" w:color="auto"/>
            <w:bottom w:val="none" w:sz="0" w:space="0" w:color="auto"/>
            <w:right w:val="none" w:sz="0" w:space="0" w:color="auto"/>
          </w:divBdr>
        </w:div>
        <w:div w:id="1810055620">
          <w:marLeft w:val="640"/>
          <w:marRight w:val="0"/>
          <w:marTop w:val="0"/>
          <w:marBottom w:val="0"/>
          <w:divBdr>
            <w:top w:val="none" w:sz="0" w:space="0" w:color="auto"/>
            <w:left w:val="none" w:sz="0" w:space="0" w:color="auto"/>
            <w:bottom w:val="none" w:sz="0" w:space="0" w:color="auto"/>
            <w:right w:val="none" w:sz="0" w:space="0" w:color="auto"/>
          </w:divBdr>
        </w:div>
        <w:div w:id="459808549">
          <w:marLeft w:val="640"/>
          <w:marRight w:val="0"/>
          <w:marTop w:val="0"/>
          <w:marBottom w:val="0"/>
          <w:divBdr>
            <w:top w:val="none" w:sz="0" w:space="0" w:color="auto"/>
            <w:left w:val="none" w:sz="0" w:space="0" w:color="auto"/>
            <w:bottom w:val="none" w:sz="0" w:space="0" w:color="auto"/>
            <w:right w:val="none" w:sz="0" w:space="0" w:color="auto"/>
          </w:divBdr>
        </w:div>
        <w:div w:id="1429429476">
          <w:marLeft w:val="640"/>
          <w:marRight w:val="0"/>
          <w:marTop w:val="0"/>
          <w:marBottom w:val="0"/>
          <w:divBdr>
            <w:top w:val="none" w:sz="0" w:space="0" w:color="auto"/>
            <w:left w:val="none" w:sz="0" w:space="0" w:color="auto"/>
            <w:bottom w:val="none" w:sz="0" w:space="0" w:color="auto"/>
            <w:right w:val="none" w:sz="0" w:space="0" w:color="auto"/>
          </w:divBdr>
        </w:div>
        <w:div w:id="962274395">
          <w:marLeft w:val="640"/>
          <w:marRight w:val="0"/>
          <w:marTop w:val="0"/>
          <w:marBottom w:val="0"/>
          <w:divBdr>
            <w:top w:val="none" w:sz="0" w:space="0" w:color="auto"/>
            <w:left w:val="none" w:sz="0" w:space="0" w:color="auto"/>
            <w:bottom w:val="none" w:sz="0" w:space="0" w:color="auto"/>
            <w:right w:val="none" w:sz="0" w:space="0" w:color="auto"/>
          </w:divBdr>
        </w:div>
        <w:div w:id="954217570">
          <w:marLeft w:val="640"/>
          <w:marRight w:val="0"/>
          <w:marTop w:val="0"/>
          <w:marBottom w:val="0"/>
          <w:divBdr>
            <w:top w:val="none" w:sz="0" w:space="0" w:color="auto"/>
            <w:left w:val="none" w:sz="0" w:space="0" w:color="auto"/>
            <w:bottom w:val="none" w:sz="0" w:space="0" w:color="auto"/>
            <w:right w:val="none" w:sz="0" w:space="0" w:color="auto"/>
          </w:divBdr>
        </w:div>
        <w:div w:id="547767431">
          <w:marLeft w:val="640"/>
          <w:marRight w:val="0"/>
          <w:marTop w:val="0"/>
          <w:marBottom w:val="0"/>
          <w:divBdr>
            <w:top w:val="none" w:sz="0" w:space="0" w:color="auto"/>
            <w:left w:val="none" w:sz="0" w:space="0" w:color="auto"/>
            <w:bottom w:val="none" w:sz="0" w:space="0" w:color="auto"/>
            <w:right w:val="none" w:sz="0" w:space="0" w:color="auto"/>
          </w:divBdr>
        </w:div>
        <w:div w:id="461308928">
          <w:marLeft w:val="640"/>
          <w:marRight w:val="0"/>
          <w:marTop w:val="0"/>
          <w:marBottom w:val="0"/>
          <w:divBdr>
            <w:top w:val="none" w:sz="0" w:space="0" w:color="auto"/>
            <w:left w:val="none" w:sz="0" w:space="0" w:color="auto"/>
            <w:bottom w:val="none" w:sz="0" w:space="0" w:color="auto"/>
            <w:right w:val="none" w:sz="0" w:space="0" w:color="auto"/>
          </w:divBdr>
        </w:div>
        <w:div w:id="1918787054">
          <w:marLeft w:val="640"/>
          <w:marRight w:val="0"/>
          <w:marTop w:val="0"/>
          <w:marBottom w:val="0"/>
          <w:divBdr>
            <w:top w:val="none" w:sz="0" w:space="0" w:color="auto"/>
            <w:left w:val="none" w:sz="0" w:space="0" w:color="auto"/>
            <w:bottom w:val="none" w:sz="0" w:space="0" w:color="auto"/>
            <w:right w:val="none" w:sz="0" w:space="0" w:color="auto"/>
          </w:divBdr>
        </w:div>
        <w:div w:id="304119792">
          <w:marLeft w:val="640"/>
          <w:marRight w:val="0"/>
          <w:marTop w:val="0"/>
          <w:marBottom w:val="0"/>
          <w:divBdr>
            <w:top w:val="none" w:sz="0" w:space="0" w:color="auto"/>
            <w:left w:val="none" w:sz="0" w:space="0" w:color="auto"/>
            <w:bottom w:val="none" w:sz="0" w:space="0" w:color="auto"/>
            <w:right w:val="none" w:sz="0" w:space="0" w:color="auto"/>
          </w:divBdr>
        </w:div>
        <w:div w:id="1138034765">
          <w:marLeft w:val="640"/>
          <w:marRight w:val="0"/>
          <w:marTop w:val="0"/>
          <w:marBottom w:val="0"/>
          <w:divBdr>
            <w:top w:val="none" w:sz="0" w:space="0" w:color="auto"/>
            <w:left w:val="none" w:sz="0" w:space="0" w:color="auto"/>
            <w:bottom w:val="none" w:sz="0" w:space="0" w:color="auto"/>
            <w:right w:val="none" w:sz="0" w:space="0" w:color="auto"/>
          </w:divBdr>
        </w:div>
        <w:div w:id="1796948700">
          <w:marLeft w:val="640"/>
          <w:marRight w:val="0"/>
          <w:marTop w:val="0"/>
          <w:marBottom w:val="0"/>
          <w:divBdr>
            <w:top w:val="none" w:sz="0" w:space="0" w:color="auto"/>
            <w:left w:val="none" w:sz="0" w:space="0" w:color="auto"/>
            <w:bottom w:val="none" w:sz="0" w:space="0" w:color="auto"/>
            <w:right w:val="none" w:sz="0" w:space="0" w:color="auto"/>
          </w:divBdr>
        </w:div>
        <w:div w:id="2082437998">
          <w:marLeft w:val="640"/>
          <w:marRight w:val="0"/>
          <w:marTop w:val="0"/>
          <w:marBottom w:val="0"/>
          <w:divBdr>
            <w:top w:val="none" w:sz="0" w:space="0" w:color="auto"/>
            <w:left w:val="none" w:sz="0" w:space="0" w:color="auto"/>
            <w:bottom w:val="none" w:sz="0" w:space="0" w:color="auto"/>
            <w:right w:val="none" w:sz="0" w:space="0" w:color="auto"/>
          </w:divBdr>
        </w:div>
        <w:div w:id="1777404504">
          <w:marLeft w:val="640"/>
          <w:marRight w:val="0"/>
          <w:marTop w:val="0"/>
          <w:marBottom w:val="0"/>
          <w:divBdr>
            <w:top w:val="none" w:sz="0" w:space="0" w:color="auto"/>
            <w:left w:val="none" w:sz="0" w:space="0" w:color="auto"/>
            <w:bottom w:val="none" w:sz="0" w:space="0" w:color="auto"/>
            <w:right w:val="none" w:sz="0" w:space="0" w:color="auto"/>
          </w:divBdr>
        </w:div>
        <w:div w:id="1761565840">
          <w:marLeft w:val="640"/>
          <w:marRight w:val="0"/>
          <w:marTop w:val="0"/>
          <w:marBottom w:val="0"/>
          <w:divBdr>
            <w:top w:val="none" w:sz="0" w:space="0" w:color="auto"/>
            <w:left w:val="none" w:sz="0" w:space="0" w:color="auto"/>
            <w:bottom w:val="none" w:sz="0" w:space="0" w:color="auto"/>
            <w:right w:val="none" w:sz="0" w:space="0" w:color="auto"/>
          </w:divBdr>
        </w:div>
        <w:div w:id="783576830">
          <w:marLeft w:val="640"/>
          <w:marRight w:val="0"/>
          <w:marTop w:val="0"/>
          <w:marBottom w:val="0"/>
          <w:divBdr>
            <w:top w:val="none" w:sz="0" w:space="0" w:color="auto"/>
            <w:left w:val="none" w:sz="0" w:space="0" w:color="auto"/>
            <w:bottom w:val="none" w:sz="0" w:space="0" w:color="auto"/>
            <w:right w:val="none" w:sz="0" w:space="0" w:color="auto"/>
          </w:divBdr>
        </w:div>
        <w:div w:id="842623785">
          <w:marLeft w:val="640"/>
          <w:marRight w:val="0"/>
          <w:marTop w:val="0"/>
          <w:marBottom w:val="0"/>
          <w:divBdr>
            <w:top w:val="none" w:sz="0" w:space="0" w:color="auto"/>
            <w:left w:val="none" w:sz="0" w:space="0" w:color="auto"/>
            <w:bottom w:val="none" w:sz="0" w:space="0" w:color="auto"/>
            <w:right w:val="none" w:sz="0" w:space="0" w:color="auto"/>
          </w:divBdr>
        </w:div>
        <w:div w:id="744300505">
          <w:marLeft w:val="640"/>
          <w:marRight w:val="0"/>
          <w:marTop w:val="0"/>
          <w:marBottom w:val="0"/>
          <w:divBdr>
            <w:top w:val="none" w:sz="0" w:space="0" w:color="auto"/>
            <w:left w:val="none" w:sz="0" w:space="0" w:color="auto"/>
            <w:bottom w:val="none" w:sz="0" w:space="0" w:color="auto"/>
            <w:right w:val="none" w:sz="0" w:space="0" w:color="auto"/>
          </w:divBdr>
        </w:div>
        <w:div w:id="1542595272">
          <w:marLeft w:val="640"/>
          <w:marRight w:val="0"/>
          <w:marTop w:val="0"/>
          <w:marBottom w:val="0"/>
          <w:divBdr>
            <w:top w:val="none" w:sz="0" w:space="0" w:color="auto"/>
            <w:left w:val="none" w:sz="0" w:space="0" w:color="auto"/>
            <w:bottom w:val="none" w:sz="0" w:space="0" w:color="auto"/>
            <w:right w:val="none" w:sz="0" w:space="0" w:color="auto"/>
          </w:divBdr>
        </w:div>
        <w:div w:id="1988052389">
          <w:marLeft w:val="640"/>
          <w:marRight w:val="0"/>
          <w:marTop w:val="0"/>
          <w:marBottom w:val="0"/>
          <w:divBdr>
            <w:top w:val="none" w:sz="0" w:space="0" w:color="auto"/>
            <w:left w:val="none" w:sz="0" w:space="0" w:color="auto"/>
            <w:bottom w:val="none" w:sz="0" w:space="0" w:color="auto"/>
            <w:right w:val="none" w:sz="0" w:space="0" w:color="auto"/>
          </w:divBdr>
        </w:div>
        <w:div w:id="1980377969">
          <w:marLeft w:val="640"/>
          <w:marRight w:val="0"/>
          <w:marTop w:val="0"/>
          <w:marBottom w:val="0"/>
          <w:divBdr>
            <w:top w:val="none" w:sz="0" w:space="0" w:color="auto"/>
            <w:left w:val="none" w:sz="0" w:space="0" w:color="auto"/>
            <w:bottom w:val="none" w:sz="0" w:space="0" w:color="auto"/>
            <w:right w:val="none" w:sz="0" w:space="0" w:color="auto"/>
          </w:divBdr>
        </w:div>
        <w:div w:id="651253774">
          <w:marLeft w:val="640"/>
          <w:marRight w:val="0"/>
          <w:marTop w:val="0"/>
          <w:marBottom w:val="0"/>
          <w:divBdr>
            <w:top w:val="none" w:sz="0" w:space="0" w:color="auto"/>
            <w:left w:val="none" w:sz="0" w:space="0" w:color="auto"/>
            <w:bottom w:val="none" w:sz="0" w:space="0" w:color="auto"/>
            <w:right w:val="none" w:sz="0" w:space="0" w:color="auto"/>
          </w:divBdr>
        </w:div>
        <w:div w:id="1069881482">
          <w:marLeft w:val="640"/>
          <w:marRight w:val="0"/>
          <w:marTop w:val="0"/>
          <w:marBottom w:val="0"/>
          <w:divBdr>
            <w:top w:val="none" w:sz="0" w:space="0" w:color="auto"/>
            <w:left w:val="none" w:sz="0" w:space="0" w:color="auto"/>
            <w:bottom w:val="none" w:sz="0" w:space="0" w:color="auto"/>
            <w:right w:val="none" w:sz="0" w:space="0" w:color="auto"/>
          </w:divBdr>
        </w:div>
        <w:div w:id="64307559">
          <w:marLeft w:val="640"/>
          <w:marRight w:val="0"/>
          <w:marTop w:val="0"/>
          <w:marBottom w:val="0"/>
          <w:divBdr>
            <w:top w:val="none" w:sz="0" w:space="0" w:color="auto"/>
            <w:left w:val="none" w:sz="0" w:space="0" w:color="auto"/>
            <w:bottom w:val="none" w:sz="0" w:space="0" w:color="auto"/>
            <w:right w:val="none" w:sz="0" w:space="0" w:color="auto"/>
          </w:divBdr>
        </w:div>
        <w:div w:id="513885639">
          <w:marLeft w:val="640"/>
          <w:marRight w:val="0"/>
          <w:marTop w:val="0"/>
          <w:marBottom w:val="0"/>
          <w:divBdr>
            <w:top w:val="none" w:sz="0" w:space="0" w:color="auto"/>
            <w:left w:val="none" w:sz="0" w:space="0" w:color="auto"/>
            <w:bottom w:val="none" w:sz="0" w:space="0" w:color="auto"/>
            <w:right w:val="none" w:sz="0" w:space="0" w:color="auto"/>
          </w:divBdr>
        </w:div>
        <w:div w:id="1900748663">
          <w:marLeft w:val="640"/>
          <w:marRight w:val="0"/>
          <w:marTop w:val="0"/>
          <w:marBottom w:val="0"/>
          <w:divBdr>
            <w:top w:val="none" w:sz="0" w:space="0" w:color="auto"/>
            <w:left w:val="none" w:sz="0" w:space="0" w:color="auto"/>
            <w:bottom w:val="none" w:sz="0" w:space="0" w:color="auto"/>
            <w:right w:val="none" w:sz="0" w:space="0" w:color="auto"/>
          </w:divBdr>
        </w:div>
        <w:div w:id="890073052">
          <w:marLeft w:val="640"/>
          <w:marRight w:val="0"/>
          <w:marTop w:val="0"/>
          <w:marBottom w:val="0"/>
          <w:divBdr>
            <w:top w:val="none" w:sz="0" w:space="0" w:color="auto"/>
            <w:left w:val="none" w:sz="0" w:space="0" w:color="auto"/>
            <w:bottom w:val="none" w:sz="0" w:space="0" w:color="auto"/>
            <w:right w:val="none" w:sz="0" w:space="0" w:color="auto"/>
          </w:divBdr>
        </w:div>
        <w:div w:id="1870607533">
          <w:marLeft w:val="640"/>
          <w:marRight w:val="0"/>
          <w:marTop w:val="0"/>
          <w:marBottom w:val="0"/>
          <w:divBdr>
            <w:top w:val="none" w:sz="0" w:space="0" w:color="auto"/>
            <w:left w:val="none" w:sz="0" w:space="0" w:color="auto"/>
            <w:bottom w:val="none" w:sz="0" w:space="0" w:color="auto"/>
            <w:right w:val="none" w:sz="0" w:space="0" w:color="auto"/>
          </w:divBdr>
        </w:div>
        <w:div w:id="1536843411">
          <w:marLeft w:val="640"/>
          <w:marRight w:val="0"/>
          <w:marTop w:val="0"/>
          <w:marBottom w:val="0"/>
          <w:divBdr>
            <w:top w:val="none" w:sz="0" w:space="0" w:color="auto"/>
            <w:left w:val="none" w:sz="0" w:space="0" w:color="auto"/>
            <w:bottom w:val="none" w:sz="0" w:space="0" w:color="auto"/>
            <w:right w:val="none" w:sz="0" w:space="0" w:color="auto"/>
          </w:divBdr>
        </w:div>
        <w:div w:id="1054424481">
          <w:marLeft w:val="640"/>
          <w:marRight w:val="0"/>
          <w:marTop w:val="0"/>
          <w:marBottom w:val="0"/>
          <w:divBdr>
            <w:top w:val="none" w:sz="0" w:space="0" w:color="auto"/>
            <w:left w:val="none" w:sz="0" w:space="0" w:color="auto"/>
            <w:bottom w:val="none" w:sz="0" w:space="0" w:color="auto"/>
            <w:right w:val="none" w:sz="0" w:space="0" w:color="auto"/>
          </w:divBdr>
        </w:div>
        <w:div w:id="1858537434">
          <w:marLeft w:val="640"/>
          <w:marRight w:val="0"/>
          <w:marTop w:val="0"/>
          <w:marBottom w:val="0"/>
          <w:divBdr>
            <w:top w:val="none" w:sz="0" w:space="0" w:color="auto"/>
            <w:left w:val="none" w:sz="0" w:space="0" w:color="auto"/>
            <w:bottom w:val="none" w:sz="0" w:space="0" w:color="auto"/>
            <w:right w:val="none" w:sz="0" w:space="0" w:color="auto"/>
          </w:divBdr>
        </w:div>
        <w:div w:id="968323587">
          <w:marLeft w:val="640"/>
          <w:marRight w:val="0"/>
          <w:marTop w:val="0"/>
          <w:marBottom w:val="0"/>
          <w:divBdr>
            <w:top w:val="none" w:sz="0" w:space="0" w:color="auto"/>
            <w:left w:val="none" w:sz="0" w:space="0" w:color="auto"/>
            <w:bottom w:val="none" w:sz="0" w:space="0" w:color="auto"/>
            <w:right w:val="none" w:sz="0" w:space="0" w:color="auto"/>
          </w:divBdr>
        </w:div>
        <w:div w:id="255867948">
          <w:marLeft w:val="640"/>
          <w:marRight w:val="0"/>
          <w:marTop w:val="0"/>
          <w:marBottom w:val="0"/>
          <w:divBdr>
            <w:top w:val="none" w:sz="0" w:space="0" w:color="auto"/>
            <w:left w:val="none" w:sz="0" w:space="0" w:color="auto"/>
            <w:bottom w:val="none" w:sz="0" w:space="0" w:color="auto"/>
            <w:right w:val="none" w:sz="0" w:space="0" w:color="auto"/>
          </w:divBdr>
        </w:div>
        <w:div w:id="206378659">
          <w:marLeft w:val="640"/>
          <w:marRight w:val="0"/>
          <w:marTop w:val="0"/>
          <w:marBottom w:val="0"/>
          <w:divBdr>
            <w:top w:val="none" w:sz="0" w:space="0" w:color="auto"/>
            <w:left w:val="none" w:sz="0" w:space="0" w:color="auto"/>
            <w:bottom w:val="none" w:sz="0" w:space="0" w:color="auto"/>
            <w:right w:val="none" w:sz="0" w:space="0" w:color="auto"/>
          </w:divBdr>
        </w:div>
        <w:div w:id="127865239">
          <w:marLeft w:val="640"/>
          <w:marRight w:val="0"/>
          <w:marTop w:val="0"/>
          <w:marBottom w:val="0"/>
          <w:divBdr>
            <w:top w:val="none" w:sz="0" w:space="0" w:color="auto"/>
            <w:left w:val="none" w:sz="0" w:space="0" w:color="auto"/>
            <w:bottom w:val="none" w:sz="0" w:space="0" w:color="auto"/>
            <w:right w:val="none" w:sz="0" w:space="0" w:color="auto"/>
          </w:divBdr>
        </w:div>
        <w:div w:id="1275870723">
          <w:marLeft w:val="640"/>
          <w:marRight w:val="0"/>
          <w:marTop w:val="0"/>
          <w:marBottom w:val="0"/>
          <w:divBdr>
            <w:top w:val="none" w:sz="0" w:space="0" w:color="auto"/>
            <w:left w:val="none" w:sz="0" w:space="0" w:color="auto"/>
            <w:bottom w:val="none" w:sz="0" w:space="0" w:color="auto"/>
            <w:right w:val="none" w:sz="0" w:space="0" w:color="auto"/>
          </w:divBdr>
        </w:div>
        <w:div w:id="340935827">
          <w:marLeft w:val="640"/>
          <w:marRight w:val="0"/>
          <w:marTop w:val="0"/>
          <w:marBottom w:val="0"/>
          <w:divBdr>
            <w:top w:val="none" w:sz="0" w:space="0" w:color="auto"/>
            <w:left w:val="none" w:sz="0" w:space="0" w:color="auto"/>
            <w:bottom w:val="none" w:sz="0" w:space="0" w:color="auto"/>
            <w:right w:val="none" w:sz="0" w:space="0" w:color="auto"/>
          </w:divBdr>
        </w:div>
        <w:div w:id="1511064757">
          <w:marLeft w:val="640"/>
          <w:marRight w:val="0"/>
          <w:marTop w:val="0"/>
          <w:marBottom w:val="0"/>
          <w:divBdr>
            <w:top w:val="none" w:sz="0" w:space="0" w:color="auto"/>
            <w:left w:val="none" w:sz="0" w:space="0" w:color="auto"/>
            <w:bottom w:val="none" w:sz="0" w:space="0" w:color="auto"/>
            <w:right w:val="none" w:sz="0" w:space="0" w:color="auto"/>
          </w:divBdr>
        </w:div>
        <w:div w:id="776214561">
          <w:marLeft w:val="640"/>
          <w:marRight w:val="0"/>
          <w:marTop w:val="0"/>
          <w:marBottom w:val="0"/>
          <w:divBdr>
            <w:top w:val="none" w:sz="0" w:space="0" w:color="auto"/>
            <w:left w:val="none" w:sz="0" w:space="0" w:color="auto"/>
            <w:bottom w:val="none" w:sz="0" w:space="0" w:color="auto"/>
            <w:right w:val="none" w:sz="0" w:space="0" w:color="auto"/>
          </w:divBdr>
        </w:div>
        <w:div w:id="784080521">
          <w:marLeft w:val="640"/>
          <w:marRight w:val="0"/>
          <w:marTop w:val="0"/>
          <w:marBottom w:val="0"/>
          <w:divBdr>
            <w:top w:val="none" w:sz="0" w:space="0" w:color="auto"/>
            <w:left w:val="none" w:sz="0" w:space="0" w:color="auto"/>
            <w:bottom w:val="none" w:sz="0" w:space="0" w:color="auto"/>
            <w:right w:val="none" w:sz="0" w:space="0" w:color="auto"/>
          </w:divBdr>
        </w:div>
        <w:div w:id="101650289">
          <w:marLeft w:val="640"/>
          <w:marRight w:val="0"/>
          <w:marTop w:val="0"/>
          <w:marBottom w:val="0"/>
          <w:divBdr>
            <w:top w:val="none" w:sz="0" w:space="0" w:color="auto"/>
            <w:left w:val="none" w:sz="0" w:space="0" w:color="auto"/>
            <w:bottom w:val="none" w:sz="0" w:space="0" w:color="auto"/>
            <w:right w:val="none" w:sz="0" w:space="0" w:color="auto"/>
          </w:divBdr>
        </w:div>
        <w:div w:id="1908491584">
          <w:marLeft w:val="640"/>
          <w:marRight w:val="0"/>
          <w:marTop w:val="0"/>
          <w:marBottom w:val="0"/>
          <w:divBdr>
            <w:top w:val="none" w:sz="0" w:space="0" w:color="auto"/>
            <w:left w:val="none" w:sz="0" w:space="0" w:color="auto"/>
            <w:bottom w:val="none" w:sz="0" w:space="0" w:color="auto"/>
            <w:right w:val="none" w:sz="0" w:space="0" w:color="auto"/>
          </w:divBdr>
        </w:div>
        <w:div w:id="1319459525">
          <w:marLeft w:val="640"/>
          <w:marRight w:val="0"/>
          <w:marTop w:val="0"/>
          <w:marBottom w:val="0"/>
          <w:divBdr>
            <w:top w:val="none" w:sz="0" w:space="0" w:color="auto"/>
            <w:left w:val="none" w:sz="0" w:space="0" w:color="auto"/>
            <w:bottom w:val="none" w:sz="0" w:space="0" w:color="auto"/>
            <w:right w:val="none" w:sz="0" w:space="0" w:color="auto"/>
          </w:divBdr>
        </w:div>
        <w:div w:id="1819103294">
          <w:marLeft w:val="640"/>
          <w:marRight w:val="0"/>
          <w:marTop w:val="0"/>
          <w:marBottom w:val="0"/>
          <w:divBdr>
            <w:top w:val="none" w:sz="0" w:space="0" w:color="auto"/>
            <w:left w:val="none" w:sz="0" w:space="0" w:color="auto"/>
            <w:bottom w:val="none" w:sz="0" w:space="0" w:color="auto"/>
            <w:right w:val="none" w:sz="0" w:space="0" w:color="auto"/>
          </w:divBdr>
        </w:div>
      </w:divsChild>
    </w:div>
    <w:div w:id="223495692">
      <w:bodyDiv w:val="1"/>
      <w:marLeft w:val="0"/>
      <w:marRight w:val="0"/>
      <w:marTop w:val="0"/>
      <w:marBottom w:val="0"/>
      <w:divBdr>
        <w:top w:val="none" w:sz="0" w:space="0" w:color="auto"/>
        <w:left w:val="none" w:sz="0" w:space="0" w:color="auto"/>
        <w:bottom w:val="none" w:sz="0" w:space="0" w:color="auto"/>
        <w:right w:val="none" w:sz="0" w:space="0" w:color="auto"/>
      </w:divBdr>
    </w:div>
    <w:div w:id="223681253">
      <w:bodyDiv w:val="1"/>
      <w:marLeft w:val="0"/>
      <w:marRight w:val="0"/>
      <w:marTop w:val="0"/>
      <w:marBottom w:val="0"/>
      <w:divBdr>
        <w:top w:val="none" w:sz="0" w:space="0" w:color="auto"/>
        <w:left w:val="none" w:sz="0" w:space="0" w:color="auto"/>
        <w:bottom w:val="none" w:sz="0" w:space="0" w:color="auto"/>
        <w:right w:val="none" w:sz="0" w:space="0" w:color="auto"/>
      </w:divBdr>
    </w:div>
    <w:div w:id="223949978">
      <w:bodyDiv w:val="1"/>
      <w:marLeft w:val="0"/>
      <w:marRight w:val="0"/>
      <w:marTop w:val="0"/>
      <w:marBottom w:val="0"/>
      <w:divBdr>
        <w:top w:val="none" w:sz="0" w:space="0" w:color="auto"/>
        <w:left w:val="none" w:sz="0" w:space="0" w:color="auto"/>
        <w:bottom w:val="none" w:sz="0" w:space="0" w:color="auto"/>
        <w:right w:val="none" w:sz="0" w:space="0" w:color="auto"/>
      </w:divBdr>
    </w:div>
    <w:div w:id="228883560">
      <w:bodyDiv w:val="1"/>
      <w:marLeft w:val="0"/>
      <w:marRight w:val="0"/>
      <w:marTop w:val="0"/>
      <w:marBottom w:val="0"/>
      <w:divBdr>
        <w:top w:val="none" w:sz="0" w:space="0" w:color="auto"/>
        <w:left w:val="none" w:sz="0" w:space="0" w:color="auto"/>
        <w:bottom w:val="none" w:sz="0" w:space="0" w:color="auto"/>
        <w:right w:val="none" w:sz="0" w:space="0" w:color="auto"/>
      </w:divBdr>
    </w:div>
    <w:div w:id="228929055">
      <w:bodyDiv w:val="1"/>
      <w:marLeft w:val="0"/>
      <w:marRight w:val="0"/>
      <w:marTop w:val="0"/>
      <w:marBottom w:val="0"/>
      <w:divBdr>
        <w:top w:val="none" w:sz="0" w:space="0" w:color="auto"/>
        <w:left w:val="none" w:sz="0" w:space="0" w:color="auto"/>
        <w:bottom w:val="none" w:sz="0" w:space="0" w:color="auto"/>
        <w:right w:val="none" w:sz="0" w:space="0" w:color="auto"/>
      </w:divBdr>
    </w:div>
    <w:div w:id="234509069">
      <w:bodyDiv w:val="1"/>
      <w:marLeft w:val="0"/>
      <w:marRight w:val="0"/>
      <w:marTop w:val="0"/>
      <w:marBottom w:val="0"/>
      <w:divBdr>
        <w:top w:val="none" w:sz="0" w:space="0" w:color="auto"/>
        <w:left w:val="none" w:sz="0" w:space="0" w:color="auto"/>
        <w:bottom w:val="none" w:sz="0" w:space="0" w:color="auto"/>
        <w:right w:val="none" w:sz="0" w:space="0" w:color="auto"/>
      </w:divBdr>
    </w:div>
    <w:div w:id="236329900">
      <w:bodyDiv w:val="1"/>
      <w:marLeft w:val="0"/>
      <w:marRight w:val="0"/>
      <w:marTop w:val="0"/>
      <w:marBottom w:val="0"/>
      <w:divBdr>
        <w:top w:val="none" w:sz="0" w:space="0" w:color="auto"/>
        <w:left w:val="none" w:sz="0" w:space="0" w:color="auto"/>
        <w:bottom w:val="none" w:sz="0" w:space="0" w:color="auto"/>
        <w:right w:val="none" w:sz="0" w:space="0" w:color="auto"/>
      </w:divBdr>
    </w:div>
    <w:div w:id="236746096">
      <w:bodyDiv w:val="1"/>
      <w:marLeft w:val="0"/>
      <w:marRight w:val="0"/>
      <w:marTop w:val="0"/>
      <w:marBottom w:val="0"/>
      <w:divBdr>
        <w:top w:val="none" w:sz="0" w:space="0" w:color="auto"/>
        <w:left w:val="none" w:sz="0" w:space="0" w:color="auto"/>
        <w:bottom w:val="none" w:sz="0" w:space="0" w:color="auto"/>
        <w:right w:val="none" w:sz="0" w:space="0" w:color="auto"/>
      </w:divBdr>
      <w:divsChild>
        <w:div w:id="556405264">
          <w:marLeft w:val="640"/>
          <w:marRight w:val="0"/>
          <w:marTop w:val="0"/>
          <w:marBottom w:val="0"/>
          <w:divBdr>
            <w:top w:val="none" w:sz="0" w:space="0" w:color="auto"/>
            <w:left w:val="none" w:sz="0" w:space="0" w:color="auto"/>
            <w:bottom w:val="none" w:sz="0" w:space="0" w:color="auto"/>
            <w:right w:val="none" w:sz="0" w:space="0" w:color="auto"/>
          </w:divBdr>
        </w:div>
        <w:div w:id="1802066397">
          <w:marLeft w:val="640"/>
          <w:marRight w:val="0"/>
          <w:marTop w:val="0"/>
          <w:marBottom w:val="0"/>
          <w:divBdr>
            <w:top w:val="none" w:sz="0" w:space="0" w:color="auto"/>
            <w:left w:val="none" w:sz="0" w:space="0" w:color="auto"/>
            <w:bottom w:val="none" w:sz="0" w:space="0" w:color="auto"/>
            <w:right w:val="none" w:sz="0" w:space="0" w:color="auto"/>
          </w:divBdr>
        </w:div>
        <w:div w:id="383674592">
          <w:marLeft w:val="640"/>
          <w:marRight w:val="0"/>
          <w:marTop w:val="0"/>
          <w:marBottom w:val="0"/>
          <w:divBdr>
            <w:top w:val="none" w:sz="0" w:space="0" w:color="auto"/>
            <w:left w:val="none" w:sz="0" w:space="0" w:color="auto"/>
            <w:bottom w:val="none" w:sz="0" w:space="0" w:color="auto"/>
            <w:right w:val="none" w:sz="0" w:space="0" w:color="auto"/>
          </w:divBdr>
        </w:div>
        <w:div w:id="150946531">
          <w:marLeft w:val="640"/>
          <w:marRight w:val="0"/>
          <w:marTop w:val="0"/>
          <w:marBottom w:val="0"/>
          <w:divBdr>
            <w:top w:val="none" w:sz="0" w:space="0" w:color="auto"/>
            <w:left w:val="none" w:sz="0" w:space="0" w:color="auto"/>
            <w:bottom w:val="none" w:sz="0" w:space="0" w:color="auto"/>
            <w:right w:val="none" w:sz="0" w:space="0" w:color="auto"/>
          </w:divBdr>
        </w:div>
        <w:div w:id="336464865">
          <w:marLeft w:val="640"/>
          <w:marRight w:val="0"/>
          <w:marTop w:val="0"/>
          <w:marBottom w:val="0"/>
          <w:divBdr>
            <w:top w:val="none" w:sz="0" w:space="0" w:color="auto"/>
            <w:left w:val="none" w:sz="0" w:space="0" w:color="auto"/>
            <w:bottom w:val="none" w:sz="0" w:space="0" w:color="auto"/>
            <w:right w:val="none" w:sz="0" w:space="0" w:color="auto"/>
          </w:divBdr>
        </w:div>
        <w:div w:id="835536577">
          <w:marLeft w:val="640"/>
          <w:marRight w:val="0"/>
          <w:marTop w:val="0"/>
          <w:marBottom w:val="0"/>
          <w:divBdr>
            <w:top w:val="none" w:sz="0" w:space="0" w:color="auto"/>
            <w:left w:val="none" w:sz="0" w:space="0" w:color="auto"/>
            <w:bottom w:val="none" w:sz="0" w:space="0" w:color="auto"/>
            <w:right w:val="none" w:sz="0" w:space="0" w:color="auto"/>
          </w:divBdr>
        </w:div>
        <w:div w:id="23140648">
          <w:marLeft w:val="640"/>
          <w:marRight w:val="0"/>
          <w:marTop w:val="0"/>
          <w:marBottom w:val="0"/>
          <w:divBdr>
            <w:top w:val="none" w:sz="0" w:space="0" w:color="auto"/>
            <w:left w:val="none" w:sz="0" w:space="0" w:color="auto"/>
            <w:bottom w:val="none" w:sz="0" w:space="0" w:color="auto"/>
            <w:right w:val="none" w:sz="0" w:space="0" w:color="auto"/>
          </w:divBdr>
        </w:div>
        <w:div w:id="364330158">
          <w:marLeft w:val="640"/>
          <w:marRight w:val="0"/>
          <w:marTop w:val="0"/>
          <w:marBottom w:val="0"/>
          <w:divBdr>
            <w:top w:val="none" w:sz="0" w:space="0" w:color="auto"/>
            <w:left w:val="none" w:sz="0" w:space="0" w:color="auto"/>
            <w:bottom w:val="none" w:sz="0" w:space="0" w:color="auto"/>
            <w:right w:val="none" w:sz="0" w:space="0" w:color="auto"/>
          </w:divBdr>
        </w:div>
        <w:div w:id="24405358">
          <w:marLeft w:val="640"/>
          <w:marRight w:val="0"/>
          <w:marTop w:val="0"/>
          <w:marBottom w:val="0"/>
          <w:divBdr>
            <w:top w:val="none" w:sz="0" w:space="0" w:color="auto"/>
            <w:left w:val="none" w:sz="0" w:space="0" w:color="auto"/>
            <w:bottom w:val="none" w:sz="0" w:space="0" w:color="auto"/>
            <w:right w:val="none" w:sz="0" w:space="0" w:color="auto"/>
          </w:divBdr>
        </w:div>
        <w:div w:id="1280528794">
          <w:marLeft w:val="640"/>
          <w:marRight w:val="0"/>
          <w:marTop w:val="0"/>
          <w:marBottom w:val="0"/>
          <w:divBdr>
            <w:top w:val="none" w:sz="0" w:space="0" w:color="auto"/>
            <w:left w:val="none" w:sz="0" w:space="0" w:color="auto"/>
            <w:bottom w:val="none" w:sz="0" w:space="0" w:color="auto"/>
            <w:right w:val="none" w:sz="0" w:space="0" w:color="auto"/>
          </w:divBdr>
        </w:div>
        <w:div w:id="309604599">
          <w:marLeft w:val="640"/>
          <w:marRight w:val="0"/>
          <w:marTop w:val="0"/>
          <w:marBottom w:val="0"/>
          <w:divBdr>
            <w:top w:val="none" w:sz="0" w:space="0" w:color="auto"/>
            <w:left w:val="none" w:sz="0" w:space="0" w:color="auto"/>
            <w:bottom w:val="none" w:sz="0" w:space="0" w:color="auto"/>
            <w:right w:val="none" w:sz="0" w:space="0" w:color="auto"/>
          </w:divBdr>
        </w:div>
        <w:div w:id="225457378">
          <w:marLeft w:val="640"/>
          <w:marRight w:val="0"/>
          <w:marTop w:val="0"/>
          <w:marBottom w:val="0"/>
          <w:divBdr>
            <w:top w:val="none" w:sz="0" w:space="0" w:color="auto"/>
            <w:left w:val="none" w:sz="0" w:space="0" w:color="auto"/>
            <w:bottom w:val="none" w:sz="0" w:space="0" w:color="auto"/>
            <w:right w:val="none" w:sz="0" w:space="0" w:color="auto"/>
          </w:divBdr>
        </w:div>
        <w:div w:id="1333683103">
          <w:marLeft w:val="640"/>
          <w:marRight w:val="0"/>
          <w:marTop w:val="0"/>
          <w:marBottom w:val="0"/>
          <w:divBdr>
            <w:top w:val="none" w:sz="0" w:space="0" w:color="auto"/>
            <w:left w:val="none" w:sz="0" w:space="0" w:color="auto"/>
            <w:bottom w:val="none" w:sz="0" w:space="0" w:color="auto"/>
            <w:right w:val="none" w:sz="0" w:space="0" w:color="auto"/>
          </w:divBdr>
        </w:div>
        <w:div w:id="1845171759">
          <w:marLeft w:val="640"/>
          <w:marRight w:val="0"/>
          <w:marTop w:val="0"/>
          <w:marBottom w:val="0"/>
          <w:divBdr>
            <w:top w:val="none" w:sz="0" w:space="0" w:color="auto"/>
            <w:left w:val="none" w:sz="0" w:space="0" w:color="auto"/>
            <w:bottom w:val="none" w:sz="0" w:space="0" w:color="auto"/>
            <w:right w:val="none" w:sz="0" w:space="0" w:color="auto"/>
          </w:divBdr>
        </w:div>
        <w:div w:id="174653925">
          <w:marLeft w:val="640"/>
          <w:marRight w:val="0"/>
          <w:marTop w:val="0"/>
          <w:marBottom w:val="0"/>
          <w:divBdr>
            <w:top w:val="none" w:sz="0" w:space="0" w:color="auto"/>
            <w:left w:val="none" w:sz="0" w:space="0" w:color="auto"/>
            <w:bottom w:val="none" w:sz="0" w:space="0" w:color="auto"/>
            <w:right w:val="none" w:sz="0" w:space="0" w:color="auto"/>
          </w:divBdr>
        </w:div>
        <w:div w:id="1195730129">
          <w:marLeft w:val="640"/>
          <w:marRight w:val="0"/>
          <w:marTop w:val="0"/>
          <w:marBottom w:val="0"/>
          <w:divBdr>
            <w:top w:val="none" w:sz="0" w:space="0" w:color="auto"/>
            <w:left w:val="none" w:sz="0" w:space="0" w:color="auto"/>
            <w:bottom w:val="none" w:sz="0" w:space="0" w:color="auto"/>
            <w:right w:val="none" w:sz="0" w:space="0" w:color="auto"/>
          </w:divBdr>
        </w:div>
        <w:div w:id="1543398256">
          <w:marLeft w:val="640"/>
          <w:marRight w:val="0"/>
          <w:marTop w:val="0"/>
          <w:marBottom w:val="0"/>
          <w:divBdr>
            <w:top w:val="none" w:sz="0" w:space="0" w:color="auto"/>
            <w:left w:val="none" w:sz="0" w:space="0" w:color="auto"/>
            <w:bottom w:val="none" w:sz="0" w:space="0" w:color="auto"/>
            <w:right w:val="none" w:sz="0" w:space="0" w:color="auto"/>
          </w:divBdr>
        </w:div>
        <w:div w:id="1782607949">
          <w:marLeft w:val="640"/>
          <w:marRight w:val="0"/>
          <w:marTop w:val="0"/>
          <w:marBottom w:val="0"/>
          <w:divBdr>
            <w:top w:val="none" w:sz="0" w:space="0" w:color="auto"/>
            <w:left w:val="none" w:sz="0" w:space="0" w:color="auto"/>
            <w:bottom w:val="none" w:sz="0" w:space="0" w:color="auto"/>
            <w:right w:val="none" w:sz="0" w:space="0" w:color="auto"/>
          </w:divBdr>
        </w:div>
        <w:div w:id="1658726350">
          <w:marLeft w:val="640"/>
          <w:marRight w:val="0"/>
          <w:marTop w:val="0"/>
          <w:marBottom w:val="0"/>
          <w:divBdr>
            <w:top w:val="none" w:sz="0" w:space="0" w:color="auto"/>
            <w:left w:val="none" w:sz="0" w:space="0" w:color="auto"/>
            <w:bottom w:val="none" w:sz="0" w:space="0" w:color="auto"/>
            <w:right w:val="none" w:sz="0" w:space="0" w:color="auto"/>
          </w:divBdr>
        </w:div>
        <w:div w:id="449402873">
          <w:marLeft w:val="640"/>
          <w:marRight w:val="0"/>
          <w:marTop w:val="0"/>
          <w:marBottom w:val="0"/>
          <w:divBdr>
            <w:top w:val="none" w:sz="0" w:space="0" w:color="auto"/>
            <w:left w:val="none" w:sz="0" w:space="0" w:color="auto"/>
            <w:bottom w:val="none" w:sz="0" w:space="0" w:color="auto"/>
            <w:right w:val="none" w:sz="0" w:space="0" w:color="auto"/>
          </w:divBdr>
        </w:div>
        <w:div w:id="550964903">
          <w:marLeft w:val="640"/>
          <w:marRight w:val="0"/>
          <w:marTop w:val="0"/>
          <w:marBottom w:val="0"/>
          <w:divBdr>
            <w:top w:val="none" w:sz="0" w:space="0" w:color="auto"/>
            <w:left w:val="none" w:sz="0" w:space="0" w:color="auto"/>
            <w:bottom w:val="none" w:sz="0" w:space="0" w:color="auto"/>
            <w:right w:val="none" w:sz="0" w:space="0" w:color="auto"/>
          </w:divBdr>
        </w:div>
        <w:div w:id="816610714">
          <w:marLeft w:val="640"/>
          <w:marRight w:val="0"/>
          <w:marTop w:val="0"/>
          <w:marBottom w:val="0"/>
          <w:divBdr>
            <w:top w:val="none" w:sz="0" w:space="0" w:color="auto"/>
            <w:left w:val="none" w:sz="0" w:space="0" w:color="auto"/>
            <w:bottom w:val="none" w:sz="0" w:space="0" w:color="auto"/>
            <w:right w:val="none" w:sz="0" w:space="0" w:color="auto"/>
          </w:divBdr>
        </w:div>
        <w:div w:id="692657149">
          <w:marLeft w:val="640"/>
          <w:marRight w:val="0"/>
          <w:marTop w:val="0"/>
          <w:marBottom w:val="0"/>
          <w:divBdr>
            <w:top w:val="none" w:sz="0" w:space="0" w:color="auto"/>
            <w:left w:val="none" w:sz="0" w:space="0" w:color="auto"/>
            <w:bottom w:val="none" w:sz="0" w:space="0" w:color="auto"/>
            <w:right w:val="none" w:sz="0" w:space="0" w:color="auto"/>
          </w:divBdr>
        </w:div>
        <w:div w:id="944701487">
          <w:marLeft w:val="640"/>
          <w:marRight w:val="0"/>
          <w:marTop w:val="0"/>
          <w:marBottom w:val="0"/>
          <w:divBdr>
            <w:top w:val="none" w:sz="0" w:space="0" w:color="auto"/>
            <w:left w:val="none" w:sz="0" w:space="0" w:color="auto"/>
            <w:bottom w:val="none" w:sz="0" w:space="0" w:color="auto"/>
            <w:right w:val="none" w:sz="0" w:space="0" w:color="auto"/>
          </w:divBdr>
        </w:div>
        <w:div w:id="66727629">
          <w:marLeft w:val="640"/>
          <w:marRight w:val="0"/>
          <w:marTop w:val="0"/>
          <w:marBottom w:val="0"/>
          <w:divBdr>
            <w:top w:val="none" w:sz="0" w:space="0" w:color="auto"/>
            <w:left w:val="none" w:sz="0" w:space="0" w:color="auto"/>
            <w:bottom w:val="none" w:sz="0" w:space="0" w:color="auto"/>
            <w:right w:val="none" w:sz="0" w:space="0" w:color="auto"/>
          </w:divBdr>
        </w:div>
        <w:div w:id="1903173236">
          <w:marLeft w:val="640"/>
          <w:marRight w:val="0"/>
          <w:marTop w:val="0"/>
          <w:marBottom w:val="0"/>
          <w:divBdr>
            <w:top w:val="none" w:sz="0" w:space="0" w:color="auto"/>
            <w:left w:val="none" w:sz="0" w:space="0" w:color="auto"/>
            <w:bottom w:val="none" w:sz="0" w:space="0" w:color="auto"/>
            <w:right w:val="none" w:sz="0" w:space="0" w:color="auto"/>
          </w:divBdr>
        </w:div>
        <w:div w:id="1425490957">
          <w:marLeft w:val="640"/>
          <w:marRight w:val="0"/>
          <w:marTop w:val="0"/>
          <w:marBottom w:val="0"/>
          <w:divBdr>
            <w:top w:val="none" w:sz="0" w:space="0" w:color="auto"/>
            <w:left w:val="none" w:sz="0" w:space="0" w:color="auto"/>
            <w:bottom w:val="none" w:sz="0" w:space="0" w:color="auto"/>
            <w:right w:val="none" w:sz="0" w:space="0" w:color="auto"/>
          </w:divBdr>
        </w:div>
        <w:div w:id="1387222344">
          <w:marLeft w:val="640"/>
          <w:marRight w:val="0"/>
          <w:marTop w:val="0"/>
          <w:marBottom w:val="0"/>
          <w:divBdr>
            <w:top w:val="none" w:sz="0" w:space="0" w:color="auto"/>
            <w:left w:val="none" w:sz="0" w:space="0" w:color="auto"/>
            <w:bottom w:val="none" w:sz="0" w:space="0" w:color="auto"/>
            <w:right w:val="none" w:sz="0" w:space="0" w:color="auto"/>
          </w:divBdr>
        </w:div>
        <w:div w:id="1383796619">
          <w:marLeft w:val="640"/>
          <w:marRight w:val="0"/>
          <w:marTop w:val="0"/>
          <w:marBottom w:val="0"/>
          <w:divBdr>
            <w:top w:val="none" w:sz="0" w:space="0" w:color="auto"/>
            <w:left w:val="none" w:sz="0" w:space="0" w:color="auto"/>
            <w:bottom w:val="none" w:sz="0" w:space="0" w:color="auto"/>
            <w:right w:val="none" w:sz="0" w:space="0" w:color="auto"/>
          </w:divBdr>
        </w:div>
        <w:div w:id="1392535392">
          <w:marLeft w:val="640"/>
          <w:marRight w:val="0"/>
          <w:marTop w:val="0"/>
          <w:marBottom w:val="0"/>
          <w:divBdr>
            <w:top w:val="none" w:sz="0" w:space="0" w:color="auto"/>
            <w:left w:val="none" w:sz="0" w:space="0" w:color="auto"/>
            <w:bottom w:val="none" w:sz="0" w:space="0" w:color="auto"/>
            <w:right w:val="none" w:sz="0" w:space="0" w:color="auto"/>
          </w:divBdr>
        </w:div>
        <w:div w:id="1692755943">
          <w:marLeft w:val="640"/>
          <w:marRight w:val="0"/>
          <w:marTop w:val="0"/>
          <w:marBottom w:val="0"/>
          <w:divBdr>
            <w:top w:val="none" w:sz="0" w:space="0" w:color="auto"/>
            <w:left w:val="none" w:sz="0" w:space="0" w:color="auto"/>
            <w:bottom w:val="none" w:sz="0" w:space="0" w:color="auto"/>
            <w:right w:val="none" w:sz="0" w:space="0" w:color="auto"/>
          </w:divBdr>
        </w:div>
        <w:div w:id="800151558">
          <w:marLeft w:val="640"/>
          <w:marRight w:val="0"/>
          <w:marTop w:val="0"/>
          <w:marBottom w:val="0"/>
          <w:divBdr>
            <w:top w:val="none" w:sz="0" w:space="0" w:color="auto"/>
            <w:left w:val="none" w:sz="0" w:space="0" w:color="auto"/>
            <w:bottom w:val="none" w:sz="0" w:space="0" w:color="auto"/>
            <w:right w:val="none" w:sz="0" w:space="0" w:color="auto"/>
          </w:divBdr>
        </w:div>
        <w:div w:id="76875560">
          <w:marLeft w:val="640"/>
          <w:marRight w:val="0"/>
          <w:marTop w:val="0"/>
          <w:marBottom w:val="0"/>
          <w:divBdr>
            <w:top w:val="none" w:sz="0" w:space="0" w:color="auto"/>
            <w:left w:val="none" w:sz="0" w:space="0" w:color="auto"/>
            <w:bottom w:val="none" w:sz="0" w:space="0" w:color="auto"/>
            <w:right w:val="none" w:sz="0" w:space="0" w:color="auto"/>
          </w:divBdr>
        </w:div>
        <w:div w:id="614943616">
          <w:marLeft w:val="640"/>
          <w:marRight w:val="0"/>
          <w:marTop w:val="0"/>
          <w:marBottom w:val="0"/>
          <w:divBdr>
            <w:top w:val="none" w:sz="0" w:space="0" w:color="auto"/>
            <w:left w:val="none" w:sz="0" w:space="0" w:color="auto"/>
            <w:bottom w:val="none" w:sz="0" w:space="0" w:color="auto"/>
            <w:right w:val="none" w:sz="0" w:space="0" w:color="auto"/>
          </w:divBdr>
        </w:div>
        <w:div w:id="185291341">
          <w:marLeft w:val="640"/>
          <w:marRight w:val="0"/>
          <w:marTop w:val="0"/>
          <w:marBottom w:val="0"/>
          <w:divBdr>
            <w:top w:val="none" w:sz="0" w:space="0" w:color="auto"/>
            <w:left w:val="none" w:sz="0" w:space="0" w:color="auto"/>
            <w:bottom w:val="none" w:sz="0" w:space="0" w:color="auto"/>
            <w:right w:val="none" w:sz="0" w:space="0" w:color="auto"/>
          </w:divBdr>
        </w:div>
        <w:div w:id="1770347222">
          <w:marLeft w:val="640"/>
          <w:marRight w:val="0"/>
          <w:marTop w:val="0"/>
          <w:marBottom w:val="0"/>
          <w:divBdr>
            <w:top w:val="none" w:sz="0" w:space="0" w:color="auto"/>
            <w:left w:val="none" w:sz="0" w:space="0" w:color="auto"/>
            <w:bottom w:val="none" w:sz="0" w:space="0" w:color="auto"/>
            <w:right w:val="none" w:sz="0" w:space="0" w:color="auto"/>
          </w:divBdr>
        </w:div>
        <w:div w:id="1937519503">
          <w:marLeft w:val="640"/>
          <w:marRight w:val="0"/>
          <w:marTop w:val="0"/>
          <w:marBottom w:val="0"/>
          <w:divBdr>
            <w:top w:val="none" w:sz="0" w:space="0" w:color="auto"/>
            <w:left w:val="none" w:sz="0" w:space="0" w:color="auto"/>
            <w:bottom w:val="none" w:sz="0" w:space="0" w:color="auto"/>
            <w:right w:val="none" w:sz="0" w:space="0" w:color="auto"/>
          </w:divBdr>
        </w:div>
        <w:div w:id="297690538">
          <w:marLeft w:val="640"/>
          <w:marRight w:val="0"/>
          <w:marTop w:val="0"/>
          <w:marBottom w:val="0"/>
          <w:divBdr>
            <w:top w:val="none" w:sz="0" w:space="0" w:color="auto"/>
            <w:left w:val="none" w:sz="0" w:space="0" w:color="auto"/>
            <w:bottom w:val="none" w:sz="0" w:space="0" w:color="auto"/>
            <w:right w:val="none" w:sz="0" w:space="0" w:color="auto"/>
          </w:divBdr>
        </w:div>
        <w:div w:id="1604070386">
          <w:marLeft w:val="640"/>
          <w:marRight w:val="0"/>
          <w:marTop w:val="0"/>
          <w:marBottom w:val="0"/>
          <w:divBdr>
            <w:top w:val="none" w:sz="0" w:space="0" w:color="auto"/>
            <w:left w:val="none" w:sz="0" w:space="0" w:color="auto"/>
            <w:bottom w:val="none" w:sz="0" w:space="0" w:color="auto"/>
            <w:right w:val="none" w:sz="0" w:space="0" w:color="auto"/>
          </w:divBdr>
        </w:div>
        <w:div w:id="1874686416">
          <w:marLeft w:val="640"/>
          <w:marRight w:val="0"/>
          <w:marTop w:val="0"/>
          <w:marBottom w:val="0"/>
          <w:divBdr>
            <w:top w:val="none" w:sz="0" w:space="0" w:color="auto"/>
            <w:left w:val="none" w:sz="0" w:space="0" w:color="auto"/>
            <w:bottom w:val="none" w:sz="0" w:space="0" w:color="auto"/>
            <w:right w:val="none" w:sz="0" w:space="0" w:color="auto"/>
          </w:divBdr>
        </w:div>
        <w:div w:id="1710765438">
          <w:marLeft w:val="640"/>
          <w:marRight w:val="0"/>
          <w:marTop w:val="0"/>
          <w:marBottom w:val="0"/>
          <w:divBdr>
            <w:top w:val="none" w:sz="0" w:space="0" w:color="auto"/>
            <w:left w:val="none" w:sz="0" w:space="0" w:color="auto"/>
            <w:bottom w:val="none" w:sz="0" w:space="0" w:color="auto"/>
            <w:right w:val="none" w:sz="0" w:space="0" w:color="auto"/>
          </w:divBdr>
        </w:div>
        <w:div w:id="915699956">
          <w:marLeft w:val="640"/>
          <w:marRight w:val="0"/>
          <w:marTop w:val="0"/>
          <w:marBottom w:val="0"/>
          <w:divBdr>
            <w:top w:val="none" w:sz="0" w:space="0" w:color="auto"/>
            <w:left w:val="none" w:sz="0" w:space="0" w:color="auto"/>
            <w:bottom w:val="none" w:sz="0" w:space="0" w:color="auto"/>
            <w:right w:val="none" w:sz="0" w:space="0" w:color="auto"/>
          </w:divBdr>
        </w:div>
        <w:div w:id="1227765602">
          <w:marLeft w:val="640"/>
          <w:marRight w:val="0"/>
          <w:marTop w:val="0"/>
          <w:marBottom w:val="0"/>
          <w:divBdr>
            <w:top w:val="none" w:sz="0" w:space="0" w:color="auto"/>
            <w:left w:val="none" w:sz="0" w:space="0" w:color="auto"/>
            <w:bottom w:val="none" w:sz="0" w:space="0" w:color="auto"/>
            <w:right w:val="none" w:sz="0" w:space="0" w:color="auto"/>
          </w:divBdr>
        </w:div>
        <w:div w:id="967122022">
          <w:marLeft w:val="640"/>
          <w:marRight w:val="0"/>
          <w:marTop w:val="0"/>
          <w:marBottom w:val="0"/>
          <w:divBdr>
            <w:top w:val="none" w:sz="0" w:space="0" w:color="auto"/>
            <w:left w:val="none" w:sz="0" w:space="0" w:color="auto"/>
            <w:bottom w:val="none" w:sz="0" w:space="0" w:color="auto"/>
            <w:right w:val="none" w:sz="0" w:space="0" w:color="auto"/>
          </w:divBdr>
        </w:div>
        <w:div w:id="25257235">
          <w:marLeft w:val="640"/>
          <w:marRight w:val="0"/>
          <w:marTop w:val="0"/>
          <w:marBottom w:val="0"/>
          <w:divBdr>
            <w:top w:val="none" w:sz="0" w:space="0" w:color="auto"/>
            <w:left w:val="none" w:sz="0" w:space="0" w:color="auto"/>
            <w:bottom w:val="none" w:sz="0" w:space="0" w:color="auto"/>
            <w:right w:val="none" w:sz="0" w:space="0" w:color="auto"/>
          </w:divBdr>
        </w:div>
        <w:div w:id="730232442">
          <w:marLeft w:val="640"/>
          <w:marRight w:val="0"/>
          <w:marTop w:val="0"/>
          <w:marBottom w:val="0"/>
          <w:divBdr>
            <w:top w:val="none" w:sz="0" w:space="0" w:color="auto"/>
            <w:left w:val="none" w:sz="0" w:space="0" w:color="auto"/>
            <w:bottom w:val="none" w:sz="0" w:space="0" w:color="auto"/>
            <w:right w:val="none" w:sz="0" w:space="0" w:color="auto"/>
          </w:divBdr>
        </w:div>
        <w:div w:id="1334996053">
          <w:marLeft w:val="640"/>
          <w:marRight w:val="0"/>
          <w:marTop w:val="0"/>
          <w:marBottom w:val="0"/>
          <w:divBdr>
            <w:top w:val="none" w:sz="0" w:space="0" w:color="auto"/>
            <w:left w:val="none" w:sz="0" w:space="0" w:color="auto"/>
            <w:bottom w:val="none" w:sz="0" w:space="0" w:color="auto"/>
            <w:right w:val="none" w:sz="0" w:space="0" w:color="auto"/>
          </w:divBdr>
        </w:div>
        <w:div w:id="730035320">
          <w:marLeft w:val="640"/>
          <w:marRight w:val="0"/>
          <w:marTop w:val="0"/>
          <w:marBottom w:val="0"/>
          <w:divBdr>
            <w:top w:val="none" w:sz="0" w:space="0" w:color="auto"/>
            <w:left w:val="none" w:sz="0" w:space="0" w:color="auto"/>
            <w:bottom w:val="none" w:sz="0" w:space="0" w:color="auto"/>
            <w:right w:val="none" w:sz="0" w:space="0" w:color="auto"/>
          </w:divBdr>
        </w:div>
        <w:div w:id="1329481959">
          <w:marLeft w:val="640"/>
          <w:marRight w:val="0"/>
          <w:marTop w:val="0"/>
          <w:marBottom w:val="0"/>
          <w:divBdr>
            <w:top w:val="none" w:sz="0" w:space="0" w:color="auto"/>
            <w:left w:val="none" w:sz="0" w:space="0" w:color="auto"/>
            <w:bottom w:val="none" w:sz="0" w:space="0" w:color="auto"/>
            <w:right w:val="none" w:sz="0" w:space="0" w:color="auto"/>
          </w:divBdr>
        </w:div>
        <w:div w:id="1556548282">
          <w:marLeft w:val="640"/>
          <w:marRight w:val="0"/>
          <w:marTop w:val="0"/>
          <w:marBottom w:val="0"/>
          <w:divBdr>
            <w:top w:val="none" w:sz="0" w:space="0" w:color="auto"/>
            <w:left w:val="none" w:sz="0" w:space="0" w:color="auto"/>
            <w:bottom w:val="none" w:sz="0" w:space="0" w:color="auto"/>
            <w:right w:val="none" w:sz="0" w:space="0" w:color="auto"/>
          </w:divBdr>
        </w:div>
        <w:div w:id="164249450">
          <w:marLeft w:val="640"/>
          <w:marRight w:val="0"/>
          <w:marTop w:val="0"/>
          <w:marBottom w:val="0"/>
          <w:divBdr>
            <w:top w:val="none" w:sz="0" w:space="0" w:color="auto"/>
            <w:left w:val="none" w:sz="0" w:space="0" w:color="auto"/>
            <w:bottom w:val="none" w:sz="0" w:space="0" w:color="auto"/>
            <w:right w:val="none" w:sz="0" w:space="0" w:color="auto"/>
          </w:divBdr>
        </w:div>
        <w:div w:id="1840270013">
          <w:marLeft w:val="640"/>
          <w:marRight w:val="0"/>
          <w:marTop w:val="0"/>
          <w:marBottom w:val="0"/>
          <w:divBdr>
            <w:top w:val="none" w:sz="0" w:space="0" w:color="auto"/>
            <w:left w:val="none" w:sz="0" w:space="0" w:color="auto"/>
            <w:bottom w:val="none" w:sz="0" w:space="0" w:color="auto"/>
            <w:right w:val="none" w:sz="0" w:space="0" w:color="auto"/>
          </w:divBdr>
        </w:div>
        <w:div w:id="1147017204">
          <w:marLeft w:val="640"/>
          <w:marRight w:val="0"/>
          <w:marTop w:val="0"/>
          <w:marBottom w:val="0"/>
          <w:divBdr>
            <w:top w:val="none" w:sz="0" w:space="0" w:color="auto"/>
            <w:left w:val="none" w:sz="0" w:space="0" w:color="auto"/>
            <w:bottom w:val="none" w:sz="0" w:space="0" w:color="auto"/>
            <w:right w:val="none" w:sz="0" w:space="0" w:color="auto"/>
          </w:divBdr>
        </w:div>
        <w:div w:id="28460424">
          <w:marLeft w:val="640"/>
          <w:marRight w:val="0"/>
          <w:marTop w:val="0"/>
          <w:marBottom w:val="0"/>
          <w:divBdr>
            <w:top w:val="none" w:sz="0" w:space="0" w:color="auto"/>
            <w:left w:val="none" w:sz="0" w:space="0" w:color="auto"/>
            <w:bottom w:val="none" w:sz="0" w:space="0" w:color="auto"/>
            <w:right w:val="none" w:sz="0" w:space="0" w:color="auto"/>
          </w:divBdr>
        </w:div>
        <w:div w:id="22679408">
          <w:marLeft w:val="640"/>
          <w:marRight w:val="0"/>
          <w:marTop w:val="0"/>
          <w:marBottom w:val="0"/>
          <w:divBdr>
            <w:top w:val="none" w:sz="0" w:space="0" w:color="auto"/>
            <w:left w:val="none" w:sz="0" w:space="0" w:color="auto"/>
            <w:bottom w:val="none" w:sz="0" w:space="0" w:color="auto"/>
            <w:right w:val="none" w:sz="0" w:space="0" w:color="auto"/>
          </w:divBdr>
        </w:div>
        <w:div w:id="1526796654">
          <w:marLeft w:val="640"/>
          <w:marRight w:val="0"/>
          <w:marTop w:val="0"/>
          <w:marBottom w:val="0"/>
          <w:divBdr>
            <w:top w:val="none" w:sz="0" w:space="0" w:color="auto"/>
            <w:left w:val="none" w:sz="0" w:space="0" w:color="auto"/>
            <w:bottom w:val="none" w:sz="0" w:space="0" w:color="auto"/>
            <w:right w:val="none" w:sz="0" w:space="0" w:color="auto"/>
          </w:divBdr>
        </w:div>
        <w:div w:id="864829788">
          <w:marLeft w:val="640"/>
          <w:marRight w:val="0"/>
          <w:marTop w:val="0"/>
          <w:marBottom w:val="0"/>
          <w:divBdr>
            <w:top w:val="none" w:sz="0" w:space="0" w:color="auto"/>
            <w:left w:val="none" w:sz="0" w:space="0" w:color="auto"/>
            <w:bottom w:val="none" w:sz="0" w:space="0" w:color="auto"/>
            <w:right w:val="none" w:sz="0" w:space="0" w:color="auto"/>
          </w:divBdr>
        </w:div>
        <w:div w:id="2119522087">
          <w:marLeft w:val="640"/>
          <w:marRight w:val="0"/>
          <w:marTop w:val="0"/>
          <w:marBottom w:val="0"/>
          <w:divBdr>
            <w:top w:val="none" w:sz="0" w:space="0" w:color="auto"/>
            <w:left w:val="none" w:sz="0" w:space="0" w:color="auto"/>
            <w:bottom w:val="none" w:sz="0" w:space="0" w:color="auto"/>
            <w:right w:val="none" w:sz="0" w:space="0" w:color="auto"/>
          </w:divBdr>
        </w:div>
        <w:div w:id="472525437">
          <w:marLeft w:val="640"/>
          <w:marRight w:val="0"/>
          <w:marTop w:val="0"/>
          <w:marBottom w:val="0"/>
          <w:divBdr>
            <w:top w:val="none" w:sz="0" w:space="0" w:color="auto"/>
            <w:left w:val="none" w:sz="0" w:space="0" w:color="auto"/>
            <w:bottom w:val="none" w:sz="0" w:space="0" w:color="auto"/>
            <w:right w:val="none" w:sz="0" w:space="0" w:color="auto"/>
          </w:divBdr>
        </w:div>
        <w:div w:id="392196333">
          <w:marLeft w:val="640"/>
          <w:marRight w:val="0"/>
          <w:marTop w:val="0"/>
          <w:marBottom w:val="0"/>
          <w:divBdr>
            <w:top w:val="none" w:sz="0" w:space="0" w:color="auto"/>
            <w:left w:val="none" w:sz="0" w:space="0" w:color="auto"/>
            <w:bottom w:val="none" w:sz="0" w:space="0" w:color="auto"/>
            <w:right w:val="none" w:sz="0" w:space="0" w:color="auto"/>
          </w:divBdr>
        </w:div>
        <w:div w:id="1559393595">
          <w:marLeft w:val="640"/>
          <w:marRight w:val="0"/>
          <w:marTop w:val="0"/>
          <w:marBottom w:val="0"/>
          <w:divBdr>
            <w:top w:val="none" w:sz="0" w:space="0" w:color="auto"/>
            <w:left w:val="none" w:sz="0" w:space="0" w:color="auto"/>
            <w:bottom w:val="none" w:sz="0" w:space="0" w:color="auto"/>
            <w:right w:val="none" w:sz="0" w:space="0" w:color="auto"/>
          </w:divBdr>
        </w:div>
        <w:div w:id="2095853984">
          <w:marLeft w:val="640"/>
          <w:marRight w:val="0"/>
          <w:marTop w:val="0"/>
          <w:marBottom w:val="0"/>
          <w:divBdr>
            <w:top w:val="none" w:sz="0" w:space="0" w:color="auto"/>
            <w:left w:val="none" w:sz="0" w:space="0" w:color="auto"/>
            <w:bottom w:val="none" w:sz="0" w:space="0" w:color="auto"/>
            <w:right w:val="none" w:sz="0" w:space="0" w:color="auto"/>
          </w:divBdr>
        </w:div>
        <w:div w:id="1303342502">
          <w:marLeft w:val="640"/>
          <w:marRight w:val="0"/>
          <w:marTop w:val="0"/>
          <w:marBottom w:val="0"/>
          <w:divBdr>
            <w:top w:val="none" w:sz="0" w:space="0" w:color="auto"/>
            <w:left w:val="none" w:sz="0" w:space="0" w:color="auto"/>
            <w:bottom w:val="none" w:sz="0" w:space="0" w:color="auto"/>
            <w:right w:val="none" w:sz="0" w:space="0" w:color="auto"/>
          </w:divBdr>
        </w:div>
        <w:div w:id="498231306">
          <w:marLeft w:val="640"/>
          <w:marRight w:val="0"/>
          <w:marTop w:val="0"/>
          <w:marBottom w:val="0"/>
          <w:divBdr>
            <w:top w:val="none" w:sz="0" w:space="0" w:color="auto"/>
            <w:left w:val="none" w:sz="0" w:space="0" w:color="auto"/>
            <w:bottom w:val="none" w:sz="0" w:space="0" w:color="auto"/>
            <w:right w:val="none" w:sz="0" w:space="0" w:color="auto"/>
          </w:divBdr>
        </w:div>
        <w:div w:id="1629167105">
          <w:marLeft w:val="640"/>
          <w:marRight w:val="0"/>
          <w:marTop w:val="0"/>
          <w:marBottom w:val="0"/>
          <w:divBdr>
            <w:top w:val="none" w:sz="0" w:space="0" w:color="auto"/>
            <w:left w:val="none" w:sz="0" w:space="0" w:color="auto"/>
            <w:bottom w:val="none" w:sz="0" w:space="0" w:color="auto"/>
            <w:right w:val="none" w:sz="0" w:space="0" w:color="auto"/>
          </w:divBdr>
        </w:div>
        <w:div w:id="451477688">
          <w:marLeft w:val="640"/>
          <w:marRight w:val="0"/>
          <w:marTop w:val="0"/>
          <w:marBottom w:val="0"/>
          <w:divBdr>
            <w:top w:val="none" w:sz="0" w:space="0" w:color="auto"/>
            <w:left w:val="none" w:sz="0" w:space="0" w:color="auto"/>
            <w:bottom w:val="none" w:sz="0" w:space="0" w:color="auto"/>
            <w:right w:val="none" w:sz="0" w:space="0" w:color="auto"/>
          </w:divBdr>
        </w:div>
        <w:div w:id="282739000">
          <w:marLeft w:val="640"/>
          <w:marRight w:val="0"/>
          <w:marTop w:val="0"/>
          <w:marBottom w:val="0"/>
          <w:divBdr>
            <w:top w:val="none" w:sz="0" w:space="0" w:color="auto"/>
            <w:left w:val="none" w:sz="0" w:space="0" w:color="auto"/>
            <w:bottom w:val="none" w:sz="0" w:space="0" w:color="auto"/>
            <w:right w:val="none" w:sz="0" w:space="0" w:color="auto"/>
          </w:divBdr>
        </w:div>
        <w:div w:id="688525205">
          <w:marLeft w:val="640"/>
          <w:marRight w:val="0"/>
          <w:marTop w:val="0"/>
          <w:marBottom w:val="0"/>
          <w:divBdr>
            <w:top w:val="none" w:sz="0" w:space="0" w:color="auto"/>
            <w:left w:val="none" w:sz="0" w:space="0" w:color="auto"/>
            <w:bottom w:val="none" w:sz="0" w:space="0" w:color="auto"/>
            <w:right w:val="none" w:sz="0" w:space="0" w:color="auto"/>
          </w:divBdr>
        </w:div>
        <w:div w:id="1510757625">
          <w:marLeft w:val="640"/>
          <w:marRight w:val="0"/>
          <w:marTop w:val="0"/>
          <w:marBottom w:val="0"/>
          <w:divBdr>
            <w:top w:val="none" w:sz="0" w:space="0" w:color="auto"/>
            <w:left w:val="none" w:sz="0" w:space="0" w:color="auto"/>
            <w:bottom w:val="none" w:sz="0" w:space="0" w:color="auto"/>
            <w:right w:val="none" w:sz="0" w:space="0" w:color="auto"/>
          </w:divBdr>
        </w:div>
        <w:div w:id="1841971189">
          <w:marLeft w:val="640"/>
          <w:marRight w:val="0"/>
          <w:marTop w:val="0"/>
          <w:marBottom w:val="0"/>
          <w:divBdr>
            <w:top w:val="none" w:sz="0" w:space="0" w:color="auto"/>
            <w:left w:val="none" w:sz="0" w:space="0" w:color="auto"/>
            <w:bottom w:val="none" w:sz="0" w:space="0" w:color="auto"/>
            <w:right w:val="none" w:sz="0" w:space="0" w:color="auto"/>
          </w:divBdr>
        </w:div>
        <w:div w:id="972370710">
          <w:marLeft w:val="640"/>
          <w:marRight w:val="0"/>
          <w:marTop w:val="0"/>
          <w:marBottom w:val="0"/>
          <w:divBdr>
            <w:top w:val="none" w:sz="0" w:space="0" w:color="auto"/>
            <w:left w:val="none" w:sz="0" w:space="0" w:color="auto"/>
            <w:bottom w:val="none" w:sz="0" w:space="0" w:color="auto"/>
            <w:right w:val="none" w:sz="0" w:space="0" w:color="auto"/>
          </w:divBdr>
        </w:div>
        <w:div w:id="1529374867">
          <w:marLeft w:val="640"/>
          <w:marRight w:val="0"/>
          <w:marTop w:val="0"/>
          <w:marBottom w:val="0"/>
          <w:divBdr>
            <w:top w:val="none" w:sz="0" w:space="0" w:color="auto"/>
            <w:left w:val="none" w:sz="0" w:space="0" w:color="auto"/>
            <w:bottom w:val="none" w:sz="0" w:space="0" w:color="auto"/>
            <w:right w:val="none" w:sz="0" w:space="0" w:color="auto"/>
          </w:divBdr>
        </w:div>
        <w:div w:id="70394688">
          <w:marLeft w:val="640"/>
          <w:marRight w:val="0"/>
          <w:marTop w:val="0"/>
          <w:marBottom w:val="0"/>
          <w:divBdr>
            <w:top w:val="none" w:sz="0" w:space="0" w:color="auto"/>
            <w:left w:val="none" w:sz="0" w:space="0" w:color="auto"/>
            <w:bottom w:val="none" w:sz="0" w:space="0" w:color="auto"/>
            <w:right w:val="none" w:sz="0" w:space="0" w:color="auto"/>
          </w:divBdr>
        </w:div>
        <w:div w:id="1645819443">
          <w:marLeft w:val="640"/>
          <w:marRight w:val="0"/>
          <w:marTop w:val="0"/>
          <w:marBottom w:val="0"/>
          <w:divBdr>
            <w:top w:val="none" w:sz="0" w:space="0" w:color="auto"/>
            <w:left w:val="none" w:sz="0" w:space="0" w:color="auto"/>
            <w:bottom w:val="none" w:sz="0" w:space="0" w:color="auto"/>
            <w:right w:val="none" w:sz="0" w:space="0" w:color="auto"/>
          </w:divBdr>
        </w:div>
        <w:div w:id="1329139072">
          <w:marLeft w:val="640"/>
          <w:marRight w:val="0"/>
          <w:marTop w:val="0"/>
          <w:marBottom w:val="0"/>
          <w:divBdr>
            <w:top w:val="none" w:sz="0" w:space="0" w:color="auto"/>
            <w:left w:val="none" w:sz="0" w:space="0" w:color="auto"/>
            <w:bottom w:val="none" w:sz="0" w:space="0" w:color="auto"/>
            <w:right w:val="none" w:sz="0" w:space="0" w:color="auto"/>
          </w:divBdr>
        </w:div>
        <w:div w:id="1722243603">
          <w:marLeft w:val="640"/>
          <w:marRight w:val="0"/>
          <w:marTop w:val="0"/>
          <w:marBottom w:val="0"/>
          <w:divBdr>
            <w:top w:val="none" w:sz="0" w:space="0" w:color="auto"/>
            <w:left w:val="none" w:sz="0" w:space="0" w:color="auto"/>
            <w:bottom w:val="none" w:sz="0" w:space="0" w:color="auto"/>
            <w:right w:val="none" w:sz="0" w:space="0" w:color="auto"/>
          </w:divBdr>
        </w:div>
        <w:div w:id="968632248">
          <w:marLeft w:val="640"/>
          <w:marRight w:val="0"/>
          <w:marTop w:val="0"/>
          <w:marBottom w:val="0"/>
          <w:divBdr>
            <w:top w:val="none" w:sz="0" w:space="0" w:color="auto"/>
            <w:left w:val="none" w:sz="0" w:space="0" w:color="auto"/>
            <w:bottom w:val="none" w:sz="0" w:space="0" w:color="auto"/>
            <w:right w:val="none" w:sz="0" w:space="0" w:color="auto"/>
          </w:divBdr>
        </w:div>
        <w:div w:id="1311985369">
          <w:marLeft w:val="640"/>
          <w:marRight w:val="0"/>
          <w:marTop w:val="0"/>
          <w:marBottom w:val="0"/>
          <w:divBdr>
            <w:top w:val="none" w:sz="0" w:space="0" w:color="auto"/>
            <w:left w:val="none" w:sz="0" w:space="0" w:color="auto"/>
            <w:bottom w:val="none" w:sz="0" w:space="0" w:color="auto"/>
            <w:right w:val="none" w:sz="0" w:space="0" w:color="auto"/>
          </w:divBdr>
        </w:div>
        <w:div w:id="2017225950">
          <w:marLeft w:val="640"/>
          <w:marRight w:val="0"/>
          <w:marTop w:val="0"/>
          <w:marBottom w:val="0"/>
          <w:divBdr>
            <w:top w:val="none" w:sz="0" w:space="0" w:color="auto"/>
            <w:left w:val="none" w:sz="0" w:space="0" w:color="auto"/>
            <w:bottom w:val="none" w:sz="0" w:space="0" w:color="auto"/>
            <w:right w:val="none" w:sz="0" w:space="0" w:color="auto"/>
          </w:divBdr>
        </w:div>
        <w:div w:id="376780517">
          <w:marLeft w:val="640"/>
          <w:marRight w:val="0"/>
          <w:marTop w:val="0"/>
          <w:marBottom w:val="0"/>
          <w:divBdr>
            <w:top w:val="none" w:sz="0" w:space="0" w:color="auto"/>
            <w:left w:val="none" w:sz="0" w:space="0" w:color="auto"/>
            <w:bottom w:val="none" w:sz="0" w:space="0" w:color="auto"/>
            <w:right w:val="none" w:sz="0" w:space="0" w:color="auto"/>
          </w:divBdr>
        </w:div>
        <w:div w:id="1958100357">
          <w:marLeft w:val="640"/>
          <w:marRight w:val="0"/>
          <w:marTop w:val="0"/>
          <w:marBottom w:val="0"/>
          <w:divBdr>
            <w:top w:val="none" w:sz="0" w:space="0" w:color="auto"/>
            <w:left w:val="none" w:sz="0" w:space="0" w:color="auto"/>
            <w:bottom w:val="none" w:sz="0" w:space="0" w:color="auto"/>
            <w:right w:val="none" w:sz="0" w:space="0" w:color="auto"/>
          </w:divBdr>
        </w:div>
        <w:div w:id="1095134824">
          <w:marLeft w:val="640"/>
          <w:marRight w:val="0"/>
          <w:marTop w:val="0"/>
          <w:marBottom w:val="0"/>
          <w:divBdr>
            <w:top w:val="none" w:sz="0" w:space="0" w:color="auto"/>
            <w:left w:val="none" w:sz="0" w:space="0" w:color="auto"/>
            <w:bottom w:val="none" w:sz="0" w:space="0" w:color="auto"/>
            <w:right w:val="none" w:sz="0" w:space="0" w:color="auto"/>
          </w:divBdr>
        </w:div>
        <w:div w:id="589432370">
          <w:marLeft w:val="640"/>
          <w:marRight w:val="0"/>
          <w:marTop w:val="0"/>
          <w:marBottom w:val="0"/>
          <w:divBdr>
            <w:top w:val="none" w:sz="0" w:space="0" w:color="auto"/>
            <w:left w:val="none" w:sz="0" w:space="0" w:color="auto"/>
            <w:bottom w:val="none" w:sz="0" w:space="0" w:color="auto"/>
            <w:right w:val="none" w:sz="0" w:space="0" w:color="auto"/>
          </w:divBdr>
        </w:div>
        <w:div w:id="1117719017">
          <w:marLeft w:val="640"/>
          <w:marRight w:val="0"/>
          <w:marTop w:val="0"/>
          <w:marBottom w:val="0"/>
          <w:divBdr>
            <w:top w:val="none" w:sz="0" w:space="0" w:color="auto"/>
            <w:left w:val="none" w:sz="0" w:space="0" w:color="auto"/>
            <w:bottom w:val="none" w:sz="0" w:space="0" w:color="auto"/>
            <w:right w:val="none" w:sz="0" w:space="0" w:color="auto"/>
          </w:divBdr>
        </w:div>
        <w:div w:id="1265503861">
          <w:marLeft w:val="640"/>
          <w:marRight w:val="0"/>
          <w:marTop w:val="0"/>
          <w:marBottom w:val="0"/>
          <w:divBdr>
            <w:top w:val="none" w:sz="0" w:space="0" w:color="auto"/>
            <w:left w:val="none" w:sz="0" w:space="0" w:color="auto"/>
            <w:bottom w:val="none" w:sz="0" w:space="0" w:color="auto"/>
            <w:right w:val="none" w:sz="0" w:space="0" w:color="auto"/>
          </w:divBdr>
        </w:div>
        <w:div w:id="618878576">
          <w:marLeft w:val="640"/>
          <w:marRight w:val="0"/>
          <w:marTop w:val="0"/>
          <w:marBottom w:val="0"/>
          <w:divBdr>
            <w:top w:val="none" w:sz="0" w:space="0" w:color="auto"/>
            <w:left w:val="none" w:sz="0" w:space="0" w:color="auto"/>
            <w:bottom w:val="none" w:sz="0" w:space="0" w:color="auto"/>
            <w:right w:val="none" w:sz="0" w:space="0" w:color="auto"/>
          </w:divBdr>
        </w:div>
        <w:div w:id="506754828">
          <w:marLeft w:val="640"/>
          <w:marRight w:val="0"/>
          <w:marTop w:val="0"/>
          <w:marBottom w:val="0"/>
          <w:divBdr>
            <w:top w:val="none" w:sz="0" w:space="0" w:color="auto"/>
            <w:left w:val="none" w:sz="0" w:space="0" w:color="auto"/>
            <w:bottom w:val="none" w:sz="0" w:space="0" w:color="auto"/>
            <w:right w:val="none" w:sz="0" w:space="0" w:color="auto"/>
          </w:divBdr>
        </w:div>
        <w:div w:id="625084431">
          <w:marLeft w:val="640"/>
          <w:marRight w:val="0"/>
          <w:marTop w:val="0"/>
          <w:marBottom w:val="0"/>
          <w:divBdr>
            <w:top w:val="none" w:sz="0" w:space="0" w:color="auto"/>
            <w:left w:val="none" w:sz="0" w:space="0" w:color="auto"/>
            <w:bottom w:val="none" w:sz="0" w:space="0" w:color="auto"/>
            <w:right w:val="none" w:sz="0" w:space="0" w:color="auto"/>
          </w:divBdr>
        </w:div>
        <w:div w:id="733822746">
          <w:marLeft w:val="640"/>
          <w:marRight w:val="0"/>
          <w:marTop w:val="0"/>
          <w:marBottom w:val="0"/>
          <w:divBdr>
            <w:top w:val="none" w:sz="0" w:space="0" w:color="auto"/>
            <w:left w:val="none" w:sz="0" w:space="0" w:color="auto"/>
            <w:bottom w:val="none" w:sz="0" w:space="0" w:color="auto"/>
            <w:right w:val="none" w:sz="0" w:space="0" w:color="auto"/>
          </w:divBdr>
        </w:div>
        <w:div w:id="1891531474">
          <w:marLeft w:val="640"/>
          <w:marRight w:val="0"/>
          <w:marTop w:val="0"/>
          <w:marBottom w:val="0"/>
          <w:divBdr>
            <w:top w:val="none" w:sz="0" w:space="0" w:color="auto"/>
            <w:left w:val="none" w:sz="0" w:space="0" w:color="auto"/>
            <w:bottom w:val="none" w:sz="0" w:space="0" w:color="auto"/>
            <w:right w:val="none" w:sz="0" w:space="0" w:color="auto"/>
          </w:divBdr>
        </w:div>
        <w:div w:id="2134320940">
          <w:marLeft w:val="640"/>
          <w:marRight w:val="0"/>
          <w:marTop w:val="0"/>
          <w:marBottom w:val="0"/>
          <w:divBdr>
            <w:top w:val="none" w:sz="0" w:space="0" w:color="auto"/>
            <w:left w:val="none" w:sz="0" w:space="0" w:color="auto"/>
            <w:bottom w:val="none" w:sz="0" w:space="0" w:color="auto"/>
            <w:right w:val="none" w:sz="0" w:space="0" w:color="auto"/>
          </w:divBdr>
        </w:div>
        <w:div w:id="1371220913">
          <w:marLeft w:val="640"/>
          <w:marRight w:val="0"/>
          <w:marTop w:val="0"/>
          <w:marBottom w:val="0"/>
          <w:divBdr>
            <w:top w:val="none" w:sz="0" w:space="0" w:color="auto"/>
            <w:left w:val="none" w:sz="0" w:space="0" w:color="auto"/>
            <w:bottom w:val="none" w:sz="0" w:space="0" w:color="auto"/>
            <w:right w:val="none" w:sz="0" w:space="0" w:color="auto"/>
          </w:divBdr>
        </w:div>
        <w:div w:id="1183588671">
          <w:marLeft w:val="640"/>
          <w:marRight w:val="0"/>
          <w:marTop w:val="0"/>
          <w:marBottom w:val="0"/>
          <w:divBdr>
            <w:top w:val="none" w:sz="0" w:space="0" w:color="auto"/>
            <w:left w:val="none" w:sz="0" w:space="0" w:color="auto"/>
            <w:bottom w:val="none" w:sz="0" w:space="0" w:color="auto"/>
            <w:right w:val="none" w:sz="0" w:space="0" w:color="auto"/>
          </w:divBdr>
        </w:div>
        <w:div w:id="2049257290">
          <w:marLeft w:val="640"/>
          <w:marRight w:val="0"/>
          <w:marTop w:val="0"/>
          <w:marBottom w:val="0"/>
          <w:divBdr>
            <w:top w:val="none" w:sz="0" w:space="0" w:color="auto"/>
            <w:left w:val="none" w:sz="0" w:space="0" w:color="auto"/>
            <w:bottom w:val="none" w:sz="0" w:space="0" w:color="auto"/>
            <w:right w:val="none" w:sz="0" w:space="0" w:color="auto"/>
          </w:divBdr>
        </w:div>
        <w:div w:id="1151143747">
          <w:marLeft w:val="640"/>
          <w:marRight w:val="0"/>
          <w:marTop w:val="0"/>
          <w:marBottom w:val="0"/>
          <w:divBdr>
            <w:top w:val="none" w:sz="0" w:space="0" w:color="auto"/>
            <w:left w:val="none" w:sz="0" w:space="0" w:color="auto"/>
            <w:bottom w:val="none" w:sz="0" w:space="0" w:color="auto"/>
            <w:right w:val="none" w:sz="0" w:space="0" w:color="auto"/>
          </w:divBdr>
        </w:div>
        <w:div w:id="133837627">
          <w:marLeft w:val="640"/>
          <w:marRight w:val="0"/>
          <w:marTop w:val="0"/>
          <w:marBottom w:val="0"/>
          <w:divBdr>
            <w:top w:val="none" w:sz="0" w:space="0" w:color="auto"/>
            <w:left w:val="none" w:sz="0" w:space="0" w:color="auto"/>
            <w:bottom w:val="none" w:sz="0" w:space="0" w:color="auto"/>
            <w:right w:val="none" w:sz="0" w:space="0" w:color="auto"/>
          </w:divBdr>
        </w:div>
        <w:div w:id="2031178314">
          <w:marLeft w:val="640"/>
          <w:marRight w:val="0"/>
          <w:marTop w:val="0"/>
          <w:marBottom w:val="0"/>
          <w:divBdr>
            <w:top w:val="none" w:sz="0" w:space="0" w:color="auto"/>
            <w:left w:val="none" w:sz="0" w:space="0" w:color="auto"/>
            <w:bottom w:val="none" w:sz="0" w:space="0" w:color="auto"/>
            <w:right w:val="none" w:sz="0" w:space="0" w:color="auto"/>
          </w:divBdr>
        </w:div>
        <w:div w:id="164783443">
          <w:marLeft w:val="640"/>
          <w:marRight w:val="0"/>
          <w:marTop w:val="0"/>
          <w:marBottom w:val="0"/>
          <w:divBdr>
            <w:top w:val="none" w:sz="0" w:space="0" w:color="auto"/>
            <w:left w:val="none" w:sz="0" w:space="0" w:color="auto"/>
            <w:bottom w:val="none" w:sz="0" w:space="0" w:color="auto"/>
            <w:right w:val="none" w:sz="0" w:space="0" w:color="auto"/>
          </w:divBdr>
        </w:div>
        <w:div w:id="1084257544">
          <w:marLeft w:val="640"/>
          <w:marRight w:val="0"/>
          <w:marTop w:val="0"/>
          <w:marBottom w:val="0"/>
          <w:divBdr>
            <w:top w:val="none" w:sz="0" w:space="0" w:color="auto"/>
            <w:left w:val="none" w:sz="0" w:space="0" w:color="auto"/>
            <w:bottom w:val="none" w:sz="0" w:space="0" w:color="auto"/>
            <w:right w:val="none" w:sz="0" w:space="0" w:color="auto"/>
          </w:divBdr>
        </w:div>
        <w:div w:id="1390884236">
          <w:marLeft w:val="640"/>
          <w:marRight w:val="0"/>
          <w:marTop w:val="0"/>
          <w:marBottom w:val="0"/>
          <w:divBdr>
            <w:top w:val="none" w:sz="0" w:space="0" w:color="auto"/>
            <w:left w:val="none" w:sz="0" w:space="0" w:color="auto"/>
            <w:bottom w:val="none" w:sz="0" w:space="0" w:color="auto"/>
            <w:right w:val="none" w:sz="0" w:space="0" w:color="auto"/>
          </w:divBdr>
        </w:div>
        <w:div w:id="1189296509">
          <w:marLeft w:val="640"/>
          <w:marRight w:val="0"/>
          <w:marTop w:val="0"/>
          <w:marBottom w:val="0"/>
          <w:divBdr>
            <w:top w:val="none" w:sz="0" w:space="0" w:color="auto"/>
            <w:left w:val="none" w:sz="0" w:space="0" w:color="auto"/>
            <w:bottom w:val="none" w:sz="0" w:space="0" w:color="auto"/>
            <w:right w:val="none" w:sz="0" w:space="0" w:color="auto"/>
          </w:divBdr>
        </w:div>
        <w:div w:id="380398633">
          <w:marLeft w:val="640"/>
          <w:marRight w:val="0"/>
          <w:marTop w:val="0"/>
          <w:marBottom w:val="0"/>
          <w:divBdr>
            <w:top w:val="none" w:sz="0" w:space="0" w:color="auto"/>
            <w:left w:val="none" w:sz="0" w:space="0" w:color="auto"/>
            <w:bottom w:val="none" w:sz="0" w:space="0" w:color="auto"/>
            <w:right w:val="none" w:sz="0" w:space="0" w:color="auto"/>
          </w:divBdr>
        </w:div>
        <w:div w:id="455367257">
          <w:marLeft w:val="640"/>
          <w:marRight w:val="0"/>
          <w:marTop w:val="0"/>
          <w:marBottom w:val="0"/>
          <w:divBdr>
            <w:top w:val="none" w:sz="0" w:space="0" w:color="auto"/>
            <w:left w:val="none" w:sz="0" w:space="0" w:color="auto"/>
            <w:bottom w:val="none" w:sz="0" w:space="0" w:color="auto"/>
            <w:right w:val="none" w:sz="0" w:space="0" w:color="auto"/>
          </w:divBdr>
        </w:div>
        <w:div w:id="873615465">
          <w:marLeft w:val="640"/>
          <w:marRight w:val="0"/>
          <w:marTop w:val="0"/>
          <w:marBottom w:val="0"/>
          <w:divBdr>
            <w:top w:val="none" w:sz="0" w:space="0" w:color="auto"/>
            <w:left w:val="none" w:sz="0" w:space="0" w:color="auto"/>
            <w:bottom w:val="none" w:sz="0" w:space="0" w:color="auto"/>
            <w:right w:val="none" w:sz="0" w:space="0" w:color="auto"/>
          </w:divBdr>
        </w:div>
        <w:div w:id="1988168238">
          <w:marLeft w:val="640"/>
          <w:marRight w:val="0"/>
          <w:marTop w:val="0"/>
          <w:marBottom w:val="0"/>
          <w:divBdr>
            <w:top w:val="none" w:sz="0" w:space="0" w:color="auto"/>
            <w:left w:val="none" w:sz="0" w:space="0" w:color="auto"/>
            <w:bottom w:val="none" w:sz="0" w:space="0" w:color="auto"/>
            <w:right w:val="none" w:sz="0" w:space="0" w:color="auto"/>
          </w:divBdr>
        </w:div>
        <w:div w:id="2135243732">
          <w:marLeft w:val="640"/>
          <w:marRight w:val="0"/>
          <w:marTop w:val="0"/>
          <w:marBottom w:val="0"/>
          <w:divBdr>
            <w:top w:val="none" w:sz="0" w:space="0" w:color="auto"/>
            <w:left w:val="none" w:sz="0" w:space="0" w:color="auto"/>
            <w:bottom w:val="none" w:sz="0" w:space="0" w:color="auto"/>
            <w:right w:val="none" w:sz="0" w:space="0" w:color="auto"/>
          </w:divBdr>
        </w:div>
        <w:div w:id="1590231878">
          <w:marLeft w:val="640"/>
          <w:marRight w:val="0"/>
          <w:marTop w:val="0"/>
          <w:marBottom w:val="0"/>
          <w:divBdr>
            <w:top w:val="none" w:sz="0" w:space="0" w:color="auto"/>
            <w:left w:val="none" w:sz="0" w:space="0" w:color="auto"/>
            <w:bottom w:val="none" w:sz="0" w:space="0" w:color="auto"/>
            <w:right w:val="none" w:sz="0" w:space="0" w:color="auto"/>
          </w:divBdr>
        </w:div>
        <w:div w:id="232815532">
          <w:marLeft w:val="640"/>
          <w:marRight w:val="0"/>
          <w:marTop w:val="0"/>
          <w:marBottom w:val="0"/>
          <w:divBdr>
            <w:top w:val="none" w:sz="0" w:space="0" w:color="auto"/>
            <w:left w:val="none" w:sz="0" w:space="0" w:color="auto"/>
            <w:bottom w:val="none" w:sz="0" w:space="0" w:color="auto"/>
            <w:right w:val="none" w:sz="0" w:space="0" w:color="auto"/>
          </w:divBdr>
        </w:div>
        <w:div w:id="663319593">
          <w:marLeft w:val="640"/>
          <w:marRight w:val="0"/>
          <w:marTop w:val="0"/>
          <w:marBottom w:val="0"/>
          <w:divBdr>
            <w:top w:val="none" w:sz="0" w:space="0" w:color="auto"/>
            <w:left w:val="none" w:sz="0" w:space="0" w:color="auto"/>
            <w:bottom w:val="none" w:sz="0" w:space="0" w:color="auto"/>
            <w:right w:val="none" w:sz="0" w:space="0" w:color="auto"/>
          </w:divBdr>
        </w:div>
        <w:div w:id="78262027">
          <w:marLeft w:val="640"/>
          <w:marRight w:val="0"/>
          <w:marTop w:val="0"/>
          <w:marBottom w:val="0"/>
          <w:divBdr>
            <w:top w:val="none" w:sz="0" w:space="0" w:color="auto"/>
            <w:left w:val="none" w:sz="0" w:space="0" w:color="auto"/>
            <w:bottom w:val="none" w:sz="0" w:space="0" w:color="auto"/>
            <w:right w:val="none" w:sz="0" w:space="0" w:color="auto"/>
          </w:divBdr>
        </w:div>
        <w:div w:id="1462460040">
          <w:marLeft w:val="640"/>
          <w:marRight w:val="0"/>
          <w:marTop w:val="0"/>
          <w:marBottom w:val="0"/>
          <w:divBdr>
            <w:top w:val="none" w:sz="0" w:space="0" w:color="auto"/>
            <w:left w:val="none" w:sz="0" w:space="0" w:color="auto"/>
            <w:bottom w:val="none" w:sz="0" w:space="0" w:color="auto"/>
            <w:right w:val="none" w:sz="0" w:space="0" w:color="auto"/>
          </w:divBdr>
        </w:div>
        <w:div w:id="1028144952">
          <w:marLeft w:val="640"/>
          <w:marRight w:val="0"/>
          <w:marTop w:val="0"/>
          <w:marBottom w:val="0"/>
          <w:divBdr>
            <w:top w:val="none" w:sz="0" w:space="0" w:color="auto"/>
            <w:left w:val="none" w:sz="0" w:space="0" w:color="auto"/>
            <w:bottom w:val="none" w:sz="0" w:space="0" w:color="auto"/>
            <w:right w:val="none" w:sz="0" w:space="0" w:color="auto"/>
          </w:divBdr>
        </w:div>
        <w:div w:id="1890725288">
          <w:marLeft w:val="640"/>
          <w:marRight w:val="0"/>
          <w:marTop w:val="0"/>
          <w:marBottom w:val="0"/>
          <w:divBdr>
            <w:top w:val="none" w:sz="0" w:space="0" w:color="auto"/>
            <w:left w:val="none" w:sz="0" w:space="0" w:color="auto"/>
            <w:bottom w:val="none" w:sz="0" w:space="0" w:color="auto"/>
            <w:right w:val="none" w:sz="0" w:space="0" w:color="auto"/>
          </w:divBdr>
        </w:div>
        <w:div w:id="196045049">
          <w:marLeft w:val="640"/>
          <w:marRight w:val="0"/>
          <w:marTop w:val="0"/>
          <w:marBottom w:val="0"/>
          <w:divBdr>
            <w:top w:val="none" w:sz="0" w:space="0" w:color="auto"/>
            <w:left w:val="none" w:sz="0" w:space="0" w:color="auto"/>
            <w:bottom w:val="none" w:sz="0" w:space="0" w:color="auto"/>
            <w:right w:val="none" w:sz="0" w:space="0" w:color="auto"/>
          </w:divBdr>
        </w:div>
        <w:div w:id="1124614341">
          <w:marLeft w:val="640"/>
          <w:marRight w:val="0"/>
          <w:marTop w:val="0"/>
          <w:marBottom w:val="0"/>
          <w:divBdr>
            <w:top w:val="none" w:sz="0" w:space="0" w:color="auto"/>
            <w:left w:val="none" w:sz="0" w:space="0" w:color="auto"/>
            <w:bottom w:val="none" w:sz="0" w:space="0" w:color="auto"/>
            <w:right w:val="none" w:sz="0" w:space="0" w:color="auto"/>
          </w:divBdr>
        </w:div>
        <w:div w:id="1464035715">
          <w:marLeft w:val="640"/>
          <w:marRight w:val="0"/>
          <w:marTop w:val="0"/>
          <w:marBottom w:val="0"/>
          <w:divBdr>
            <w:top w:val="none" w:sz="0" w:space="0" w:color="auto"/>
            <w:left w:val="none" w:sz="0" w:space="0" w:color="auto"/>
            <w:bottom w:val="none" w:sz="0" w:space="0" w:color="auto"/>
            <w:right w:val="none" w:sz="0" w:space="0" w:color="auto"/>
          </w:divBdr>
        </w:div>
        <w:div w:id="2134594305">
          <w:marLeft w:val="640"/>
          <w:marRight w:val="0"/>
          <w:marTop w:val="0"/>
          <w:marBottom w:val="0"/>
          <w:divBdr>
            <w:top w:val="none" w:sz="0" w:space="0" w:color="auto"/>
            <w:left w:val="none" w:sz="0" w:space="0" w:color="auto"/>
            <w:bottom w:val="none" w:sz="0" w:space="0" w:color="auto"/>
            <w:right w:val="none" w:sz="0" w:space="0" w:color="auto"/>
          </w:divBdr>
        </w:div>
        <w:div w:id="2028754344">
          <w:marLeft w:val="640"/>
          <w:marRight w:val="0"/>
          <w:marTop w:val="0"/>
          <w:marBottom w:val="0"/>
          <w:divBdr>
            <w:top w:val="none" w:sz="0" w:space="0" w:color="auto"/>
            <w:left w:val="none" w:sz="0" w:space="0" w:color="auto"/>
            <w:bottom w:val="none" w:sz="0" w:space="0" w:color="auto"/>
            <w:right w:val="none" w:sz="0" w:space="0" w:color="auto"/>
          </w:divBdr>
        </w:div>
        <w:div w:id="662242871">
          <w:marLeft w:val="640"/>
          <w:marRight w:val="0"/>
          <w:marTop w:val="0"/>
          <w:marBottom w:val="0"/>
          <w:divBdr>
            <w:top w:val="none" w:sz="0" w:space="0" w:color="auto"/>
            <w:left w:val="none" w:sz="0" w:space="0" w:color="auto"/>
            <w:bottom w:val="none" w:sz="0" w:space="0" w:color="auto"/>
            <w:right w:val="none" w:sz="0" w:space="0" w:color="auto"/>
          </w:divBdr>
        </w:div>
        <w:div w:id="1856069658">
          <w:marLeft w:val="640"/>
          <w:marRight w:val="0"/>
          <w:marTop w:val="0"/>
          <w:marBottom w:val="0"/>
          <w:divBdr>
            <w:top w:val="none" w:sz="0" w:space="0" w:color="auto"/>
            <w:left w:val="none" w:sz="0" w:space="0" w:color="auto"/>
            <w:bottom w:val="none" w:sz="0" w:space="0" w:color="auto"/>
            <w:right w:val="none" w:sz="0" w:space="0" w:color="auto"/>
          </w:divBdr>
        </w:div>
        <w:div w:id="1979721063">
          <w:marLeft w:val="640"/>
          <w:marRight w:val="0"/>
          <w:marTop w:val="0"/>
          <w:marBottom w:val="0"/>
          <w:divBdr>
            <w:top w:val="none" w:sz="0" w:space="0" w:color="auto"/>
            <w:left w:val="none" w:sz="0" w:space="0" w:color="auto"/>
            <w:bottom w:val="none" w:sz="0" w:space="0" w:color="auto"/>
            <w:right w:val="none" w:sz="0" w:space="0" w:color="auto"/>
          </w:divBdr>
        </w:div>
        <w:div w:id="1758137661">
          <w:marLeft w:val="640"/>
          <w:marRight w:val="0"/>
          <w:marTop w:val="0"/>
          <w:marBottom w:val="0"/>
          <w:divBdr>
            <w:top w:val="none" w:sz="0" w:space="0" w:color="auto"/>
            <w:left w:val="none" w:sz="0" w:space="0" w:color="auto"/>
            <w:bottom w:val="none" w:sz="0" w:space="0" w:color="auto"/>
            <w:right w:val="none" w:sz="0" w:space="0" w:color="auto"/>
          </w:divBdr>
        </w:div>
        <w:div w:id="1879780679">
          <w:marLeft w:val="640"/>
          <w:marRight w:val="0"/>
          <w:marTop w:val="0"/>
          <w:marBottom w:val="0"/>
          <w:divBdr>
            <w:top w:val="none" w:sz="0" w:space="0" w:color="auto"/>
            <w:left w:val="none" w:sz="0" w:space="0" w:color="auto"/>
            <w:bottom w:val="none" w:sz="0" w:space="0" w:color="auto"/>
            <w:right w:val="none" w:sz="0" w:space="0" w:color="auto"/>
          </w:divBdr>
        </w:div>
        <w:div w:id="212929399">
          <w:marLeft w:val="640"/>
          <w:marRight w:val="0"/>
          <w:marTop w:val="0"/>
          <w:marBottom w:val="0"/>
          <w:divBdr>
            <w:top w:val="none" w:sz="0" w:space="0" w:color="auto"/>
            <w:left w:val="none" w:sz="0" w:space="0" w:color="auto"/>
            <w:bottom w:val="none" w:sz="0" w:space="0" w:color="auto"/>
            <w:right w:val="none" w:sz="0" w:space="0" w:color="auto"/>
          </w:divBdr>
        </w:div>
        <w:div w:id="1348601117">
          <w:marLeft w:val="640"/>
          <w:marRight w:val="0"/>
          <w:marTop w:val="0"/>
          <w:marBottom w:val="0"/>
          <w:divBdr>
            <w:top w:val="none" w:sz="0" w:space="0" w:color="auto"/>
            <w:left w:val="none" w:sz="0" w:space="0" w:color="auto"/>
            <w:bottom w:val="none" w:sz="0" w:space="0" w:color="auto"/>
            <w:right w:val="none" w:sz="0" w:space="0" w:color="auto"/>
          </w:divBdr>
        </w:div>
        <w:div w:id="877470211">
          <w:marLeft w:val="640"/>
          <w:marRight w:val="0"/>
          <w:marTop w:val="0"/>
          <w:marBottom w:val="0"/>
          <w:divBdr>
            <w:top w:val="none" w:sz="0" w:space="0" w:color="auto"/>
            <w:left w:val="none" w:sz="0" w:space="0" w:color="auto"/>
            <w:bottom w:val="none" w:sz="0" w:space="0" w:color="auto"/>
            <w:right w:val="none" w:sz="0" w:space="0" w:color="auto"/>
          </w:divBdr>
        </w:div>
        <w:div w:id="1852068113">
          <w:marLeft w:val="640"/>
          <w:marRight w:val="0"/>
          <w:marTop w:val="0"/>
          <w:marBottom w:val="0"/>
          <w:divBdr>
            <w:top w:val="none" w:sz="0" w:space="0" w:color="auto"/>
            <w:left w:val="none" w:sz="0" w:space="0" w:color="auto"/>
            <w:bottom w:val="none" w:sz="0" w:space="0" w:color="auto"/>
            <w:right w:val="none" w:sz="0" w:space="0" w:color="auto"/>
          </w:divBdr>
        </w:div>
        <w:div w:id="162399028">
          <w:marLeft w:val="640"/>
          <w:marRight w:val="0"/>
          <w:marTop w:val="0"/>
          <w:marBottom w:val="0"/>
          <w:divBdr>
            <w:top w:val="none" w:sz="0" w:space="0" w:color="auto"/>
            <w:left w:val="none" w:sz="0" w:space="0" w:color="auto"/>
            <w:bottom w:val="none" w:sz="0" w:space="0" w:color="auto"/>
            <w:right w:val="none" w:sz="0" w:space="0" w:color="auto"/>
          </w:divBdr>
        </w:div>
        <w:div w:id="1827746993">
          <w:marLeft w:val="640"/>
          <w:marRight w:val="0"/>
          <w:marTop w:val="0"/>
          <w:marBottom w:val="0"/>
          <w:divBdr>
            <w:top w:val="none" w:sz="0" w:space="0" w:color="auto"/>
            <w:left w:val="none" w:sz="0" w:space="0" w:color="auto"/>
            <w:bottom w:val="none" w:sz="0" w:space="0" w:color="auto"/>
            <w:right w:val="none" w:sz="0" w:space="0" w:color="auto"/>
          </w:divBdr>
        </w:div>
        <w:div w:id="2015959987">
          <w:marLeft w:val="640"/>
          <w:marRight w:val="0"/>
          <w:marTop w:val="0"/>
          <w:marBottom w:val="0"/>
          <w:divBdr>
            <w:top w:val="none" w:sz="0" w:space="0" w:color="auto"/>
            <w:left w:val="none" w:sz="0" w:space="0" w:color="auto"/>
            <w:bottom w:val="none" w:sz="0" w:space="0" w:color="auto"/>
            <w:right w:val="none" w:sz="0" w:space="0" w:color="auto"/>
          </w:divBdr>
        </w:div>
        <w:div w:id="864290796">
          <w:marLeft w:val="640"/>
          <w:marRight w:val="0"/>
          <w:marTop w:val="0"/>
          <w:marBottom w:val="0"/>
          <w:divBdr>
            <w:top w:val="none" w:sz="0" w:space="0" w:color="auto"/>
            <w:left w:val="none" w:sz="0" w:space="0" w:color="auto"/>
            <w:bottom w:val="none" w:sz="0" w:space="0" w:color="auto"/>
            <w:right w:val="none" w:sz="0" w:space="0" w:color="auto"/>
          </w:divBdr>
        </w:div>
        <w:div w:id="1891308052">
          <w:marLeft w:val="640"/>
          <w:marRight w:val="0"/>
          <w:marTop w:val="0"/>
          <w:marBottom w:val="0"/>
          <w:divBdr>
            <w:top w:val="none" w:sz="0" w:space="0" w:color="auto"/>
            <w:left w:val="none" w:sz="0" w:space="0" w:color="auto"/>
            <w:bottom w:val="none" w:sz="0" w:space="0" w:color="auto"/>
            <w:right w:val="none" w:sz="0" w:space="0" w:color="auto"/>
          </w:divBdr>
        </w:div>
        <w:div w:id="505940554">
          <w:marLeft w:val="640"/>
          <w:marRight w:val="0"/>
          <w:marTop w:val="0"/>
          <w:marBottom w:val="0"/>
          <w:divBdr>
            <w:top w:val="none" w:sz="0" w:space="0" w:color="auto"/>
            <w:left w:val="none" w:sz="0" w:space="0" w:color="auto"/>
            <w:bottom w:val="none" w:sz="0" w:space="0" w:color="auto"/>
            <w:right w:val="none" w:sz="0" w:space="0" w:color="auto"/>
          </w:divBdr>
        </w:div>
        <w:div w:id="1102989366">
          <w:marLeft w:val="640"/>
          <w:marRight w:val="0"/>
          <w:marTop w:val="0"/>
          <w:marBottom w:val="0"/>
          <w:divBdr>
            <w:top w:val="none" w:sz="0" w:space="0" w:color="auto"/>
            <w:left w:val="none" w:sz="0" w:space="0" w:color="auto"/>
            <w:bottom w:val="none" w:sz="0" w:space="0" w:color="auto"/>
            <w:right w:val="none" w:sz="0" w:space="0" w:color="auto"/>
          </w:divBdr>
        </w:div>
        <w:div w:id="1380932146">
          <w:marLeft w:val="640"/>
          <w:marRight w:val="0"/>
          <w:marTop w:val="0"/>
          <w:marBottom w:val="0"/>
          <w:divBdr>
            <w:top w:val="none" w:sz="0" w:space="0" w:color="auto"/>
            <w:left w:val="none" w:sz="0" w:space="0" w:color="auto"/>
            <w:bottom w:val="none" w:sz="0" w:space="0" w:color="auto"/>
            <w:right w:val="none" w:sz="0" w:space="0" w:color="auto"/>
          </w:divBdr>
        </w:div>
        <w:div w:id="1180197191">
          <w:marLeft w:val="640"/>
          <w:marRight w:val="0"/>
          <w:marTop w:val="0"/>
          <w:marBottom w:val="0"/>
          <w:divBdr>
            <w:top w:val="none" w:sz="0" w:space="0" w:color="auto"/>
            <w:left w:val="none" w:sz="0" w:space="0" w:color="auto"/>
            <w:bottom w:val="none" w:sz="0" w:space="0" w:color="auto"/>
            <w:right w:val="none" w:sz="0" w:space="0" w:color="auto"/>
          </w:divBdr>
        </w:div>
        <w:div w:id="1992632610">
          <w:marLeft w:val="640"/>
          <w:marRight w:val="0"/>
          <w:marTop w:val="0"/>
          <w:marBottom w:val="0"/>
          <w:divBdr>
            <w:top w:val="none" w:sz="0" w:space="0" w:color="auto"/>
            <w:left w:val="none" w:sz="0" w:space="0" w:color="auto"/>
            <w:bottom w:val="none" w:sz="0" w:space="0" w:color="auto"/>
            <w:right w:val="none" w:sz="0" w:space="0" w:color="auto"/>
          </w:divBdr>
        </w:div>
        <w:div w:id="581836056">
          <w:marLeft w:val="640"/>
          <w:marRight w:val="0"/>
          <w:marTop w:val="0"/>
          <w:marBottom w:val="0"/>
          <w:divBdr>
            <w:top w:val="none" w:sz="0" w:space="0" w:color="auto"/>
            <w:left w:val="none" w:sz="0" w:space="0" w:color="auto"/>
            <w:bottom w:val="none" w:sz="0" w:space="0" w:color="auto"/>
            <w:right w:val="none" w:sz="0" w:space="0" w:color="auto"/>
          </w:divBdr>
        </w:div>
        <w:div w:id="750472199">
          <w:marLeft w:val="640"/>
          <w:marRight w:val="0"/>
          <w:marTop w:val="0"/>
          <w:marBottom w:val="0"/>
          <w:divBdr>
            <w:top w:val="none" w:sz="0" w:space="0" w:color="auto"/>
            <w:left w:val="none" w:sz="0" w:space="0" w:color="auto"/>
            <w:bottom w:val="none" w:sz="0" w:space="0" w:color="auto"/>
            <w:right w:val="none" w:sz="0" w:space="0" w:color="auto"/>
          </w:divBdr>
        </w:div>
        <w:div w:id="1251819014">
          <w:marLeft w:val="640"/>
          <w:marRight w:val="0"/>
          <w:marTop w:val="0"/>
          <w:marBottom w:val="0"/>
          <w:divBdr>
            <w:top w:val="none" w:sz="0" w:space="0" w:color="auto"/>
            <w:left w:val="none" w:sz="0" w:space="0" w:color="auto"/>
            <w:bottom w:val="none" w:sz="0" w:space="0" w:color="auto"/>
            <w:right w:val="none" w:sz="0" w:space="0" w:color="auto"/>
          </w:divBdr>
        </w:div>
        <w:div w:id="52168980">
          <w:marLeft w:val="640"/>
          <w:marRight w:val="0"/>
          <w:marTop w:val="0"/>
          <w:marBottom w:val="0"/>
          <w:divBdr>
            <w:top w:val="none" w:sz="0" w:space="0" w:color="auto"/>
            <w:left w:val="none" w:sz="0" w:space="0" w:color="auto"/>
            <w:bottom w:val="none" w:sz="0" w:space="0" w:color="auto"/>
            <w:right w:val="none" w:sz="0" w:space="0" w:color="auto"/>
          </w:divBdr>
        </w:div>
        <w:div w:id="1039090643">
          <w:marLeft w:val="640"/>
          <w:marRight w:val="0"/>
          <w:marTop w:val="0"/>
          <w:marBottom w:val="0"/>
          <w:divBdr>
            <w:top w:val="none" w:sz="0" w:space="0" w:color="auto"/>
            <w:left w:val="none" w:sz="0" w:space="0" w:color="auto"/>
            <w:bottom w:val="none" w:sz="0" w:space="0" w:color="auto"/>
            <w:right w:val="none" w:sz="0" w:space="0" w:color="auto"/>
          </w:divBdr>
        </w:div>
        <w:div w:id="245697515">
          <w:marLeft w:val="640"/>
          <w:marRight w:val="0"/>
          <w:marTop w:val="0"/>
          <w:marBottom w:val="0"/>
          <w:divBdr>
            <w:top w:val="none" w:sz="0" w:space="0" w:color="auto"/>
            <w:left w:val="none" w:sz="0" w:space="0" w:color="auto"/>
            <w:bottom w:val="none" w:sz="0" w:space="0" w:color="auto"/>
            <w:right w:val="none" w:sz="0" w:space="0" w:color="auto"/>
          </w:divBdr>
        </w:div>
        <w:div w:id="790712230">
          <w:marLeft w:val="640"/>
          <w:marRight w:val="0"/>
          <w:marTop w:val="0"/>
          <w:marBottom w:val="0"/>
          <w:divBdr>
            <w:top w:val="none" w:sz="0" w:space="0" w:color="auto"/>
            <w:left w:val="none" w:sz="0" w:space="0" w:color="auto"/>
            <w:bottom w:val="none" w:sz="0" w:space="0" w:color="auto"/>
            <w:right w:val="none" w:sz="0" w:space="0" w:color="auto"/>
          </w:divBdr>
        </w:div>
        <w:div w:id="847645047">
          <w:marLeft w:val="640"/>
          <w:marRight w:val="0"/>
          <w:marTop w:val="0"/>
          <w:marBottom w:val="0"/>
          <w:divBdr>
            <w:top w:val="none" w:sz="0" w:space="0" w:color="auto"/>
            <w:left w:val="none" w:sz="0" w:space="0" w:color="auto"/>
            <w:bottom w:val="none" w:sz="0" w:space="0" w:color="auto"/>
            <w:right w:val="none" w:sz="0" w:space="0" w:color="auto"/>
          </w:divBdr>
        </w:div>
        <w:div w:id="702941526">
          <w:marLeft w:val="640"/>
          <w:marRight w:val="0"/>
          <w:marTop w:val="0"/>
          <w:marBottom w:val="0"/>
          <w:divBdr>
            <w:top w:val="none" w:sz="0" w:space="0" w:color="auto"/>
            <w:left w:val="none" w:sz="0" w:space="0" w:color="auto"/>
            <w:bottom w:val="none" w:sz="0" w:space="0" w:color="auto"/>
            <w:right w:val="none" w:sz="0" w:space="0" w:color="auto"/>
          </w:divBdr>
        </w:div>
        <w:div w:id="1122845396">
          <w:marLeft w:val="640"/>
          <w:marRight w:val="0"/>
          <w:marTop w:val="0"/>
          <w:marBottom w:val="0"/>
          <w:divBdr>
            <w:top w:val="none" w:sz="0" w:space="0" w:color="auto"/>
            <w:left w:val="none" w:sz="0" w:space="0" w:color="auto"/>
            <w:bottom w:val="none" w:sz="0" w:space="0" w:color="auto"/>
            <w:right w:val="none" w:sz="0" w:space="0" w:color="auto"/>
          </w:divBdr>
        </w:div>
        <w:div w:id="1740247270">
          <w:marLeft w:val="640"/>
          <w:marRight w:val="0"/>
          <w:marTop w:val="0"/>
          <w:marBottom w:val="0"/>
          <w:divBdr>
            <w:top w:val="none" w:sz="0" w:space="0" w:color="auto"/>
            <w:left w:val="none" w:sz="0" w:space="0" w:color="auto"/>
            <w:bottom w:val="none" w:sz="0" w:space="0" w:color="auto"/>
            <w:right w:val="none" w:sz="0" w:space="0" w:color="auto"/>
          </w:divBdr>
        </w:div>
        <w:div w:id="1644700881">
          <w:marLeft w:val="640"/>
          <w:marRight w:val="0"/>
          <w:marTop w:val="0"/>
          <w:marBottom w:val="0"/>
          <w:divBdr>
            <w:top w:val="none" w:sz="0" w:space="0" w:color="auto"/>
            <w:left w:val="none" w:sz="0" w:space="0" w:color="auto"/>
            <w:bottom w:val="none" w:sz="0" w:space="0" w:color="auto"/>
            <w:right w:val="none" w:sz="0" w:space="0" w:color="auto"/>
          </w:divBdr>
        </w:div>
        <w:div w:id="1823427298">
          <w:marLeft w:val="640"/>
          <w:marRight w:val="0"/>
          <w:marTop w:val="0"/>
          <w:marBottom w:val="0"/>
          <w:divBdr>
            <w:top w:val="none" w:sz="0" w:space="0" w:color="auto"/>
            <w:left w:val="none" w:sz="0" w:space="0" w:color="auto"/>
            <w:bottom w:val="none" w:sz="0" w:space="0" w:color="auto"/>
            <w:right w:val="none" w:sz="0" w:space="0" w:color="auto"/>
          </w:divBdr>
        </w:div>
        <w:div w:id="1633754684">
          <w:marLeft w:val="640"/>
          <w:marRight w:val="0"/>
          <w:marTop w:val="0"/>
          <w:marBottom w:val="0"/>
          <w:divBdr>
            <w:top w:val="none" w:sz="0" w:space="0" w:color="auto"/>
            <w:left w:val="none" w:sz="0" w:space="0" w:color="auto"/>
            <w:bottom w:val="none" w:sz="0" w:space="0" w:color="auto"/>
            <w:right w:val="none" w:sz="0" w:space="0" w:color="auto"/>
          </w:divBdr>
        </w:div>
        <w:div w:id="2053653600">
          <w:marLeft w:val="640"/>
          <w:marRight w:val="0"/>
          <w:marTop w:val="0"/>
          <w:marBottom w:val="0"/>
          <w:divBdr>
            <w:top w:val="none" w:sz="0" w:space="0" w:color="auto"/>
            <w:left w:val="none" w:sz="0" w:space="0" w:color="auto"/>
            <w:bottom w:val="none" w:sz="0" w:space="0" w:color="auto"/>
            <w:right w:val="none" w:sz="0" w:space="0" w:color="auto"/>
          </w:divBdr>
        </w:div>
        <w:div w:id="915281387">
          <w:marLeft w:val="640"/>
          <w:marRight w:val="0"/>
          <w:marTop w:val="0"/>
          <w:marBottom w:val="0"/>
          <w:divBdr>
            <w:top w:val="none" w:sz="0" w:space="0" w:color="auto"/>
            <w:left w:val="none" w:sz="0" w:space="0" w:color="auto"/>
            <w:bottom w:val="none" w:sz="0" w:space="0" w:color="auto"/>
            <w:right w:val="none" w:sz="0" w:space="0" w:color="auto"/>
          </w:divBdr>
        </w:div>
        <w:div w:id="1840466708">
          <w:marLeft w:val="640"/>
          <w:marRight w:val="0"/>
          <w:marTop w:val="0"/>
          <w:marBottom w:val="0"/>
          <w:divBdr>
            <w:top w:val="none" w:sz="0" w:space="0" w:color="auto"/>
            <w:left w:val="none" w:sz="0" w:space="0" w:color="auto"/>
            <w:bottom w:val="none" w:sz="0" w:space="0" w:color="auto"/>
            <w:right w:val="none" w:sz="0" w:space="0" w:color="auto"/>
          </w:divBdr>
        </w:div>
        <w:div w:id="1747192096">
          <w:marLeft w:val="640"/>
          <w:marRight w:val="0"/>
          <w:marTop w:val="0"/>
          <w:marBottom w:val="0"/>
          <w:divBdr>
            <w:top w:val="none" w:sz="0" w:space="0" w:color="auto"/>
            <w:left w:val="none" w:sz="0" w:space="0" w:color="auto"/>
            <w:bottom w:val="none" w:sz="0" w:space="0" w:color="auto"/>
            <w:right w:val="none" w:sz="0" w:space="0" w:color="auto"/>
          </w:divBdr>
        </w:div>
        <w:div w:id="434374908">
          <w:marLeft w:val="640"/>
          <w:marRight w:val="0"/>
          <w:marTop w:val="0"/>
          <w:marBottom w:val="0"/>
          <w:divBdr>
            <w:top w:val="none" w:sz="0" w:space="0" w:color="auto"/>
            <w:left w:val="none" w:sz="0" w:space="0" w:color="auto"/>
            <w:bottom w:val="none" w:sz="0" w:space="0" w:color="auto"/>
            <w:right w:val="none" w:sz="0" w:space="0" w:color="auto"/>
          </w:divBdr>
        </w:div>
        <w:div w:id="1020467474">
          <w:marLeft w:val="640"/>
          <w:marRight w:val="0"/>
          <w:marTop w:val="0"/>
          <w:marBottom w:val="0"/>
          <w:divBdr>
            <w:top w:val="none" w:sz="0" w:space="0" w:color="auto"/>
            <w:left w:val="none" w:sz="0" w:space="0" w:color="auto"/>
            <w:bottom w:val="none" w:sz="0" w:space="0" w:color="auto"/>
            <w:right w:val="none" w:sz="0" w:space="0" w:color="auto"/>
          </w:divBdr>
        </w:div>
        <w:div w:id="1449273197">
          <w:marLeft w:val="640"/>
          <w:marRight w:val="0"/>
          <w:marTop w:val="0"/>
          <w:marBottom w:val="0"/>
          <w:divBdr>
            <w:top w:val="none" w:sz="0" w:space="0" w:color="auto"/>
            <w:left w:val="none" w:sz="0" w:space="0" w:color="auto"/>
            <w:bottom w:val="none" w:sz="0" w:space="0" w:color="auto"/>
            <w:right w:val="none" w:sz="0" w:space="0" w:color="auto"/>
          </w:divBdr>
        </w:div>
        <w:div w:id="601377906">
          <w:marLeft w:val="640"/>
          <w:marRight w:val="0"/>
          <w:marTop w:val="0"/>
          <w:marBottom w:val="0"/>
          <w:divBdr>
            <w:top w:val="none" w:sz="0" w:space="0" w:color="auto"/>
            <w:left w:val="none" w:sz="0" w:space="0" w:color="auto"/>
            <w:bottom w:val="none" w:sz="0" w:space="0" w:color="auto"/>
            <w:right w:val="none" w:sz="0" w:space="0" w:color="auto"/>
          </w:divBdr>
        </w:div>
        <w:div w:id="1423330416">
          <w:marLeft w:val="640"/>
          <w:marRight w:val="0"/>
          <w:marTop w:val="0"/>
          <w:marBottom w:val="0"/>
          <w:divBdr>
            <w:top w:val="none" w:sz="0" w:space="0" w:color="auto"/>
            <w:left w:val="none" w:sz="0" w:space="0" w:color="auto"/>
            <w:bottom w:val="none" w:sz="0" w:space="0" w:color="auto"/>
            <w:right w:val="none" w:sz="0" w:space="0" w:color="auto"/>
          </w:divBdr>
        </w:div>
        <w:div w:id="195851997">
          <w:marLeft w:val="640"/>
          <w:marRight w:val="0"/>
          <w:marTop w:val="0"/>
          <w:marBottom w:val="0"/>
          <w:divBdr>
            <w:top w:val="none" w:sz="0" w:space="0" w:color="auto"/>
            <w:left w:val="none" w:sz="0" w:space="0" w:color="auto"/>
            <w:bottom w:val="none" w:sz="0" w:space="0" w:color="auto"/>
            <w:right w:val="none" w:sz="0" w:space="0" w:color="auto"/>
          </w:divBdr>
        </w:div>
        <w:div w:id="515461606">
          <w:marLeft w:val="640"/>
          <w:marRight w:val="0"/>
          <w:marTop w:val="0"/>
          <w:marBottom w:val="0"/>
          <w:divBdr>
            <w:top w:val="none" w:sz="0" w:space="0" w:color="auto"/>
            <w:left w:val="none" w:sz="0" w:space="0" w:color="auto"/>
            <w:bottom w:val="none" w:sz="0" w:space="0" w:color="auto"/>
            <w:right w:val="none" w:sz="0" w:space="0" w:color="auto"/>
          </w:divBdr>
        </w:div>
        <w:div w:id="2103722772">
          <w:marLeft w:val="640"/>
          <w:marRight w:val="0"/>
          <w:marTop w:val="0"/>
          <w:marBottom w:val="0"/>
          <w:divBdr>
            <w:top w:val="none" w:sz="0" w:space="0" w:color="auto"/>
            <w:left w:val="none" w:sz="0" w:space="0" w:color="auto"/>
            <w:bottom w:val="none" w:sz="0" w:space="0" w:color="auto"/>
            <w:right w:val="none" w:sz="0" w:space="0" w:color="auto"/>
          </w:divBdr>
        </w:div>
        <w:div w:id="1660618619">
          <w:marLeft w:val="640"/>
          <w:marRight w:val="0"/>
          <w:marTop w:val="0"/>
          <w:marBottom w:val="0"/>
          <w:divBdr>
            <w:top w:val="none" w:sz="0" w:space="0" w:color="auto"/>
            <w:left w:val="none" w:sz="0" w:space="0" w:color="auto"/>
            <w:bottom w:val="none" w:sz="0" w:space="0" w:color="auto"/>
            <w:right w:val="none" w:sz="0" w:space="0" w:color="auto"/>
          </w:divBdr>
        </w:div>
        <w:div w:id="103354011">
          <w:marLeft w:val="640"/>
          <w:marRight w:val="0"/>
          <w:marTop w:val="0"/>
          <w:marBottom w:val="0"/>
          <w:divBdr>
            <w:top w:val="none" w:sz="0" w:space="0" w:color="auto"/>
            <w:left w:val="none" w:sz="0" w:space="0" w:color="auto"/>
            <w:bottom w:val="none" w:sz="0" w:space="0" w:color="auto"/>
            <w:right w:val="none" w:sz="0" w:space="0" w:color="auto"/>
          </w:divBdr>
        </w:div>
        <w:div w:id="1532113821">
          <w:marLeft w:val="640"/>
          <w:marRight w:val="0"/>
          <w:marTop w:val="0"/>
          <w:marBottom w:val="0"/>
          <w:divBdr>
            <w:top w:val="none" w:sz="0" w:space="0" w:color="auto"/>
            <w:left w:val="none" w:sz="0" w:space="0" w:color="auto"/>
            <w:bottom w:val="none" w:sz="0" w:space="0" w:color="auto"/>
            <w:right w:val="none" w:sz="0" w:space="0" w:color="auto"/>
          </w:divBdr>
        </w:div>
        <w:div w:id="805392676">
          <w:marLeft w:val="640"/>
          <w:marRight w:val="0"/>
          <w:marTop w:val="0"/>
          <w:marBottom w:val="0"/>
          <w:divBdr>
            <w:top w:val="none" w:sz="0" w:space="0" w:color="auto"/>
            <w:left w:val="none" w:sz="0" w:space="0" w:color="auto"/>
            <w:bottom w:val="none" w:sz="0" w:space="0" w:color="auto"/>
            <w:right w:val="none" w:sz="0" w:space="0" w:color="auto"/>
          </w:divBdr>
        </w:div>
        <w:div w:id="1636332047">
          <w:marLeft w:val="640"/>
          <w:marRight w:val="0"/>
          <w:marTop w:val="0"/>
          <w:marBottom w:val="0"/>
          <w:divBdr>
            <w:top w:val="none" w:sz="0" w:space="0" w:color="auto"/>
            <w:left w:val="none" w:sz="0" w:space="0" w:color="auto"/>
            <w:bottom w:val="none" w:sz="0" w:space="0" w:color="auto"/>
            <w:right w:val="none" w:sz="0" w:space="0" w:color="auto"/>
          </w:divBdr>
        </w:div>
        <w:div w:id="1500778611">
          <w:marLeft w:val="640"/>
          <w:marRight w:val="0"/>
          <w:marTop w:val="0"/>
          <w:marBottom w:val="0"/>
          <w:divBdr>
            <w:top w:val="none" w:sz="0" w:space="0" w:color="auto"/>
            <w:left w:val="none" w:sz="0" w:space="0" w:color="auto"/>
            <w:bottom w:val="none" w:sz="0" w:space="0" w:color="auto"/>
            <w:right w:val="none" w:sz="0" w:space="0" w:color="auto"/>
          </w:divBdr>
        </w:div>
        <w:div w:id="215967376">
          <w:marLeft w:val="640"/>
          <w:marRight w:val="0"/>
          <w:marTop w:val="0"/>
          <w:marBottom w:val="0"/>
          <w:divBdr>
            <w:top w:val="none" w:sz="0" w:space="0" w:color="auto"/>
            <w:left w:val="none" w:sz="0" w:space="0" w:color="auto"/>
            <w:bottom w:val="none" w:sz="0" w:space="0" w:color="auto"/>
            <w:right w:val="none" w:sz="0" w:space="0" w:color="auto"/>
          </w:divBdr>
        </w:div>
        <w:div w:id="1366833120">
          <w:marLeft w:val="640"/>
          <w:marRight w:val="0"/>
          <w:marTop w:val="0"/>
          <w:marBottom w:val="0"/>
          <w:divBdr>
            <w:top w:val="none" w:sz="0" w:space="0" w:color="auto"/>
            <w:left w:val="none" w:sz="0" w:space="0" w:color="auto"/>
            <w:bottom w:val="none" w:sz="0" w:space="0" w:color="auto"/>
            <w:right w:val="none" w:sz="0" w:space="0" w:color="auto"/>
          </w:divBdr>
        </w:div>
        <w:div w:id="783768156">
          <w:marLeft w:val="640"/>
          <w:marRight w:val="0"/>
          <w:marTop w:val="0"/>
          <w:marBottom w:val="0"/>
          <w:divBdr>
            <w:top w:val="none" w:sz="0" w:space="0" w:color="auto"/>
            <w:left w:val="none" w:sz="0" w:space="0" w:color="auto"/>
            <w:bottom w:val="none" w:sz="0" w:space="0" w:color="auto"/>
            <w:right w:val="none" w:sz="0" w:space="0" w:color="auto"/>
          </w:divBdr>
        </w:div>
        <w:div w:id="366487005">
          <w:marLeft w:val="640"/>
          <w:marRight w:val="0"/>
          <w:marTop w:val="0"/>
          <w:marBottom w:val="0"/>
          <w:divBdr>
            <w:top w:val="none" w:sz="0" w:space="0" w:color="auto"/>
            <w:left w:val="none" w:sz="0" w:space="0" w:color="auto"/>
            <w:bottom w:val="none" w:sz="0" w:space="0" w:color="auto"/>
            <w:right w:val="none" w:sz="0" w:space="0" w:color="auto"/>
          </w:divBdr>
        </w:div>
        <w:div w:id="782840561">
          <w:marLeft w:val="640"/>
          <w:marRight w:val="0"/>
          <w:marTop w:val="0"/>
          <w:marBottom w:val="0"/>
          <w:divBdr>
            <w:top w:val="none" w:sz="0" w:space="0" w:color="auto"/>
            <w:left w:val="none" w:sz="0" w:space="0" w:color="auto"/>
            <w:bottom w:val="none" w:sz="0" w:space="0" w:color="auto"/>
            <w:right w:val="none" w:sz="0" w:space="0" w:color="auto"/>
          </w:divBdr>
        </w:div>
        <w:div w:id="1756436030">
          <w:marLeft w:val="640"/>
          <w:marRight w:val="0"/>
          <w:marTop w:val="0"/>
          <w:marBottom w:val="0"/>
          <w:divBdr>
            <w:top w:val="none" w:sz="0" w:space="0" w:color="auto"/>
            <w:left w:val="none" w:sz="0" w:space="0" w:color="auto"/>
            <w:bottom w:val="none" w:sz="0" w:space="0" w:color="auto"/>
            <w:right w:val="none" w:sz="0" w:space="0" w:color="auto"/>
          </w:divBdr>
        </w:div>
        <w:div w:id="1278951267">
          <w:marLeft w:val="640"/>
          <w:marRight w:val="0"/>
          <w:marTop w:val="0"/>
          <w:marBottom w:val="0"/>
          <w:divBdr>
            <w:top w:val="none" w:sz="0" w:space="0" w:color="auto"/>
            <w:left w:val="none" w:sz="0" w:space="0" w:color="auto"/>
            <w:bottom w:val="none" w:sz="0" w:space="0" w:color="auto"/>
            <w:right w:val="none" w:sz="0" w:space="0" w:color="auto"/>
          </w:divBdr>
        </w:div>
        <w:div w:id="1625572479">
          <w:marLeft w:val="640"/>
          <w:marRight w:val="0"/>
          <w:marTop w:val="0"/>
          <w:marBottom w:val="0"/>
          <w:divBdr>
            <w:top w:val="none" w:sz="0" w:space="0" w:color="auto"/>
            <w:left w:val="none" w:sz="0" w:space="0" w:color="auto"/>
            <w:bottom w:val="none" w:sz="0" w:space="0" w:color="auto"/>
            <w:right w:val="none" w:sz="0" w:space="0" w:color="auto"/>
          </w:divBdr>
        </w:div>
        <w:div w:id="1771469601">
          <w:marLeft w:val="640"/>
          <w:marRight w:val="0"/>
          <w:marTop w:val="0"/>
          <w:marBottom w:val="0"/>
          <w:divBdr>
            <w:top w:val="none" w:sz="0" w:space="0" w:color="auto"/>
            <w:left w:val="none" w:sz="0" w:space="0" w:color="auto"/>
            <w:bottom w:val="none" w:sz="0" w:space="0" w:color="auto"/>
            <w:right w:val="none" w:sz="0" w:space="0" w:color="auto"/>
          </w:divBdr>
        </w:div>
        <w:div w:id="1100025802">
          <w:marLeft w:val="640"/>
          <w:marRight w:val="0"/>
          <w:marTop w:val="0"/>
          <w:marBottom w:val="0"/>
          <w:divBdr>
            <w:top w:val="none" w:sz="0" w:space="0" w:color="auto"/>
            <w:left w:val="none" w:sz="0" w:space="0" w:color="auto"/>
            <w:bottom w:val="none" w:sz="0" w:space="0" w:color="auto"/>
            <w:right w:val="none" w:sz="0" w:space="0" w:color="auto"/>
          </w:divBdr>
        </w:div>
        <w:div w:id="1172916526">
          <w:marLeft w:val="640"/>
          <w:marRight w:val="0"/>
          <w:marTop w:val="0"/>
          <w:marBottom w:val="0"/>
          <w:divBdr>
            <w:top w:val="none" w:sz="0" w:space="0" w:color="auto"/>
            <w:left w:val="none" w:sz="0" w:space="0" w:color="auto"/>
            <w:bottom w:val="none" w:sz="0" w:space="0" w:color="auto"/>
            <w:right w:val="none" w:sz="0" w:space="0" w:color="auto"/>
          </w:divBdr>
        </w:div>
        <w:div w:id="2138716586">
          <w:marLeft w:val="640"/>
          <w:marRight w:val="0"/>
          <w:marTop w:val="0"/>
          <w:marBottom w:val="0"/>
          <w:divBdr>
            <w:top w:val="none" w:sz="0" w:space="0" w:color="auto"/>
            <w:left w:val="none" w:sz="0" w:space="0" w:color="auto"/>
            <w:bottom w:val="none" w:sz="0" w:space="0" w:color="auto"/>
            <w:right w:val="none" w:sz="0" w:space="0" w:color="auto"/>
          </w:divBdr>
        </w:div>
        <w:div w:id="885525364">
          <w:marLeft w:val="640"/>
          <w:marRight w:val="0"/>
          <w:marTop w:val="0"/>
          <w:marBottom w:val="0"/>
          <w:divBdr>
            <w:top w:val="none" w:sz="0" w:space="0" w:color="auto"/>
            <w:left w:val="none" w:sz="0" w:space="0" w:color="auto"/>
            <w:bottom w:val="none" w:sz="0" w:space="0" w:color="auto"/>
            <w:right w:val="none" w:sz="0" w:space="0" w:color="auto"/>
          </w:divBdr>
        </w:div>
        <w:div w:id="1605573578">
          <w:marLeft w:val="640"/>
          <w:marRight w:val="0"/>
          <w:marTop w:val="0"/>
          <w:marBottom w:val="0"/>
          <w:divBdr>
            <w:top w:val="none" w:sz="0" w:space="0" w:color="auto"/>
            <w:left w:val="none" w:sz="0" w:space="0" w:color="auto"/>
            <w:bottom w:val="none" w:sz="0" w:space="0" w:color="auto"/>
            <w:right w:val="none" w:sz="0" w:space="0" w:color="auto"/>
          </w:divBdr>
        </w:div>
        <w:div w:id="378209178">
          <w:marLeft w:val="640"/>
          <w:marRight w:val="0"/>
          <w:marTop w:val="0"/>
          <w:marBottom w:val="0"/>
          <w:divBdr>
            <w:top w:val="none" w:sz="0" w:space="0" w:color="auto"/>
            <w:left w:val="none" w:sz="0" w:space="0" w:color="auto"/>
            <w:bottom w:val="none" w:sz="0" w:space="0" w:color="auto"/>
            <w:right w:val="none" w:sz="0" w:space="0" w:color="auto"/>
          </w:divBdr>
        </w:div>
        <w:div w:id="957296671">
          <w:marLeft w:val="640"/>
          <w:marRight w:val="0"/>
          <w:marTop w:val="0"/>
          <w:marBottom w:val="0"/>
          <w:divBdr>
            <w:top w:val="none" w:sz="0" w:space="0" w:color="auto"/>
            <w:left w:val="none" w:sz="0" w:space="0" w:color="auto"/>
            <w:bottom w:val="none" w:sz="0" w:space="0" w:color="auto"/>
            <w:right w:val="none" w:sz="0" w:space="0" w:color="auto"/>
          </w:divBdr>
        </w:div>
        <w:div w:id="419133914">
          <w:marLeft w:val="640"/>
          <w:marRight w:val="0"/>
          <w:marTop w:val="0"/>
          <w:marBottom w:val="0"/>
          <w:divBdr>
            <w:top w:val="none" w:sz="0" w:space="0" w:color="auto"/>
            <w:left w:val="none" w:sz="0" w:space="0" w:color="auto"/>
            <w:bottom w:val="none" w:sz="0" w:space="0" w:color="auto"/>
            <w:right w:val="none" w:sz="0" w:space="0" w:color="auto"/>
          </w:divBdr>
        </w:div>
        <w:div w:id="1026254247">
          <w:marLeft w:val="640"/>
          <w:marRight w:val="0"/>
          <w:marTop w:val="0"/>
          <w:marBottom w:val="0"/>
          <w:divBdr>
            <w:top w:val="none" w:sz="0" w:space="0" w:color="auto"/>
            <w:left w:val="none" w:sz="0" w:space="0" w:color="auto"/>
            <w:bottom w:val="none" w:sz="0" w:space="0" w:color="auto"/>
            <w:right w:val="none" w:sz="0" w:space="0" w:color="auto"/>
          </w:divBdr>
        </w:div>
        <w:div w:id="1719009567">
          <w:marLeft w:val="640"/>
          <w:marRight w:val="0"/>
          <w:marTop w:val="0"/>
          <w:marBottom w:val="0"/>
          <w:divBdr>
            <w:top w:val="none" w:sz="0" w:space="0" w:color="auto"/>
            <w:left w:val="none" w:sz="0" w:space="0" w:color="auto"/>
            <w:bottom w:val="none" w:sz="0" w:space="0" w:color="auto"/>
            <w:right w:val="none" w:sz="0" w:space="0" w:color="auto"/>
          </w:divBdr>
        </w:div>
        <w:div w:id="462038861">
          <w:marLeft w:val="640"/>
          <w:marRight w:val="0"/>
          <w:marTop w:val="0"/>
          <w:marBottom w:val="0"/>
          <w:divBdr>
            <w:top w:val="none" w:sz="0" w:space="0" w:color="auto"/>
            <w:left w:val="none" w:sz="0" w:space="0" w:color="auto"/>
            <w:bottom w:val="none" w:sz="0" w:space="0" w:color="auto"/>
            <w:right w:val="none" w:sz="0" w:space="0" w:color="auto"/>
          </w:divBdr>
        </w:div>
        <w:div w:id="1123498765">
          <w:marLeft w:val="640"/>
          <w:marRight w:val="0"/>
          <w:marTop w:val="0"/>
          <w:marBottom w:val="0"/>
          <w:divBdr>
            <w:top w:val="none" w:sz="0" w:space="0" w:color="auto"/>
            <w:left w:val="none" w:sz="0" w:space="0" w:color="auto"/>
            <w:bottom w:val="none" w:sz="0" w:space="0" w:color="auto"/>
            <w:right w:val="none" w:sz="0" w:space="0" w:color="auto"/>
          </w:divBdr>
        </w:div>
        <w:div w:id="113787988">
          <w:marLeft w:val="640"/>
          <w:marRight w:val="0"/>
          <w:marTop w:val="0"/>
          <w:marBottom w:val="0"/>
          <w:divBdr>
            <w:top w:val="none" w:sz="0" w:space="0" w:color="auto"/>
            <w:left w:val="none" w:sz="0" w:space="0" w:color="auto"/>
            <w:bottom w:val="none" w:sz="0" w:space="0" w:color="auto"/>
            <w:right w:val="none" w:sz="0" w:space="0" w:color="auto"/>
          </w:divBdr>
        </w:div>
        <w:div w:id="1941990929">
          <w:marLeft w:val="640"/>
          <w:marRight w:val="0"/>
          <w:marTop w:val="0"/>
          <w:marBottom w:val="0"/>
          <w:divBdr>
            <w:top w:val="none" w:sz="0" w:space="0" w:color="auto"/>
            <w:left w:val="none" w:sz="0" w:space="0" w:color="auto"/>
            <w:bottom w:val="none" w:sz="0" w:space="0" w:color="auto"/>
            <w:right w:val="none" w:sz="0" w:space="0" w:color="auto"/>
          </w:divBdr>
        </w:div>
        <w:div w:id="482284477">
          <w:marLeft w:val="640"/>
          <w:marRight w:val="0"/>
          <w:marTop w:val="0"/>
          <w:marBottom w:val="0"/>
          <w:divBdr>
            <w:top w:val="none" w:sz="0" w:space="0" w:color="auto"/>
            <w:left w:val="none" w:sz="0" w:space="0" w:color="auto"/>
            <w:bottom w:val="none" w:sz="0" w:space="0" w:color="auto"/>
            <w:right w:val="none" w:sz="0" w:space="0" w:color="auto"/>
          </w:divBdr>
        </w:div>
        <w:div w:id="1499997159">
          <w:marLeft w:val="640"/>
          <w:marRight w:val="0"/>
          <w:marTop w:val="0"/>
          <w:marBottom w:val="0"/>
          <w:divBdr>
            <w:top w:val="none" w:sz="0" w:space="0" w:color="auto"/>
            <w:left w:val="none" w:sz="0" w:space="0" w:color="auto"/>
            <w:bottom w:val="none" w:sz="0" w:space="0" w:color="auto"/>
            <w:right w:val="none" w:sz="0" w:space="0" w:color="auto"/>
          </w:divBdr>
        </w:div>
        <w:div w:id="1871142807">
          <w:marLeft w:val="640"/>
          <w:marRight w:val="0"/>
          <w:marTop w:val="0"/>
          <w:marBottom w:val="0"/>
          <w:divBdr>
            <w:top w:val="none" w:sz="0" w:space="0" w:color="auto"/>
            <w:left w:val="none" w:sz="0" w:space="0" w:color="auto"/>
            <w:bottom w:val="none" w:sz="0" w:space="0" w:color="auto"/>
            <w:right w:val="none" w:sz="0" w:space="0" w:color="auto"/>
          </w:divBdr>
        </w:div>
        <w:div w:id="1263565654">
          <w:marLeft w:val="640"/>
          <w:marRight w:val="0"/>
          <w:marTop w:val="0"/>
          <w:marBottom w:val="0"/>
          <w:divBdr>
            <w:top w:val="none" w:sz="0" w:space="0" w:color="auto"/>
            <w:left w:val="none" w:sz="0" w:space="0" w:color="auto"/>
            <w:bottom w:val="none" w:sz="0" w:space="0" w:color="auto"/>
            <w:right w:val="none" w:sz="0" w:space="0" w:color="auto"/>
          </w:divBdr>
        </w:div>
        <w:div w:id="741874999">
          <w:marLeft w:val="640"/>
          <w:marRight w:val="0"/>
          <w:marTop w:val="0"/>
          <w:marBottom w:val="0"/>
          <w:divBdr>
            <w:top w:val="none" w:sz="0" w:space="0" w:color="auto"/>
            <w:left w:val="none" w:sz="0" w:space="0" w:color="auto"/>
            <w:bottom w:val="none" w:sz="0" w:space="0" w:color="auto"/>
            <w:right w:val="none" w:sz="0" w:space="0" w:color="auto"/>
          </w:divBdr>
        </w:div>
        <w:div w:id="1155728312">
          <w:marLeft w:val="640"/>
          <w:marRight w:val="0"/>
          <w:marTop w:val="0"/>
          <w:marBottom w:val="0"/>
          <w:divBdr>
            <w:top w:val="none" w:sz="0" w:space="0" w:color="auto"/>
            <w:left w:val="none" w:sz="0" w:space="0" w:color="auto"/>
            <w:bottom w:val="none" w:sz="0" w:space="0" w:color="auto"/>
            <w:right w:val="none" w:sz="0" w:space="0" w:color="auto"/>
          </w:divBdr>
        </w:div>
        <w:div w:id="975796926">
          <w:marLeft w:val="640"/>
          <w:marRight w:val="0"/>
          <w:marTop w:val="0"/>
          <w:marBottom w:val="0"/>
          <w:divBdr>
            <w:top w:val="none" w:sz="0" w:space="0" w:color="auto"/>
            <w:left w:val="none" w:sz="0" w:space="0" w:color="auto"/>
            <w:bottom w:val="none" w:sz="0" w:space="0" w:color="auto"/>
            <w:right w:val="none" w:sz="0" w:space="0" w:color="auto"/>
          </w:divBdr>
        </w:div>
        <w:div w:id="1833138102">
          <w:marLeft w:val="640"/>
          <w:marRight w:val="0"/>
          <w:marTop w:val="0"/>
          <w:marBottom w:val="0"/>
          <w:divBdr>
            <w:top w:val="none" w:sz="0" w:space="0" w:color="auto"/>
            <w:left w:val="none" w:sz="0" w:space="0" w:color="auto"/>
            <w:bottom w:val="none" w:sz="0" w:space="0" w:color="auto"/>
            <w:right w:val="none" w:sz="0" w:space="0" w:color="auto"/>
          </w:divBdr>
        </w:div>
        <w:div w:id="683748744">
          <w:marLeft w:val="640"/>
          <w:marRight w:val="0"/>
          <w:marTop w:val="0"/>
          <w:marBottom w:val="0"/>
          <w:divBdr>
            <w:top w:val="none" w:sz="0" w:space="0" w:color="auto"/>
            <w:left w:val="none" w:sz="0" w:space="0" w:color="auto"/>
            <w:bottom w:val="none" w:sz="0" w:space="0" w:color="auto"/>
            <w:right w:val="none" w:sz="0" w:space="0" w:color="auto"/>
          </w:divBdr>
        </w:div>
        <w:div w:id="1169834646">
          <w:marLeft w:val="640"/>
          <w:marRight w:val="0"/>
          <w:marTop w:val="0"/>
          <w:marBottom w:val="0"/>
          <w:divBdr>
            <w:top w:val="none" w:sz="0" w:space="0" w:color="auto"/>
            <w:left w:val="none" w:sz="0" w:space="0" w:color="auto"/>
            <w:bottom w:val="none" w:sz="0" w:space="0" w:color="auto"/>
            <w:right w:val="none" w:sz="0" w:space="0" w:color="auto"/>
          </w:divBdr>
        </w:div>
        <w:div w:id="484778768">
          <w:marLeft w:val="640"/>
          <w:marRight w:val="0"/>
          <w:marTop w:val="0"/>
          <w:marBottom w:val="0"/>
          <w:divBdr>
            <w:top w:val="none" w:sz="0" w:space="0" w:color="auto"/>
            <w:left w:val="none" w:sz="0" w:space="0" w:color="auto"/>
            <w:bottom w:val="none" w:sz="0" w:space="0" w:color="auto"/>
            <w:right w:val="none" w:sz="0" w:space="0" w:color="auto"/>
          </w:divBdr>
        </w:div>
        <w:div w:id="968781887">
          <w:marLeft w:val="640"/>
          <w:marRight w:val="0"/>
          <w:marTop w:val="0"/>
          <w:marBottom w:val="0"/>
          <w:divBdr>
            <w:top w:val="none" w:sz="0" w:space="0" w:color="auto"/>
            <w:left w:val="none" w:sz="0" w:space="0" w:color="auto"/>
            <w:bottom w:val="none" w:sz="0" w:space="0" w:color="auto"/>
            <w:right w:val="none" w:sz="0" w:space="0" w:color="auto"/>
          </w:divBdr>
        </w:div>
        <w:div w:id="1502160839">
          <w:marLeft w:val="640"/>
          <w:marRight w:val="0"/>
          <w:marTop w:val="0"/>
          <w:marBottom w:val="0"/>
          <w:divBdr>
            <w:top w:val="none" w:sz="0" w:space="0" w:color="auto"/>
            <w:left w:val="none" w:sz="0" w:space="0" w:color="auto"/>
            <w:bottom w:val="none" w:sz="0" w:space="0" w:color="auto"/>
            <w:right w:val="none" w:sz="0" w:space="0" w:color="auto"/>
          </w:divBdr>
        </w:div>
        <w:div w:id="63336684">
          <w:marLeft w:val="640"/>
          <w:marRight w:val="0"/>
          <w:marTop w:val="0"/>
          <w:marBottom w:val="0"/>
          <w:divBdr>
            <w:top w:val="none" w:sz="0" w:space="0" w:color="auto"/>
            <w:left w:val="none" w:sz="0" w:space="0" w:color="auto"/>
            <w:bottom w:val="none" w:sz="0" w:space="0" w:color="auto"/>
            <w:right w:val="none" w:sz="0" w:space="0" w:color="auto"/>
          </w:divBdr>
        </w:div>
        <w:div w:id="991180520">
          <w:marLeft w:val="640"/>
          <w:marRight w:val="0"/>
          <w:marTop w:val="0"/>
          <w:marBottom w:val="0"/>
          <w:divBdr>
            <w:top w:val="none" w:sz="0" w:space="0" w:color="auto"/>
            <w:left w:val="none" w:sz="0" w:space="0" w:color="auto"/>
            <w:bottom w:val="none" w:sz="0" w:space="0" w:color="auto"/>
            <w:right w:val="none" w:sz="0" w:space="0" w:color="auto"/>
          </w:divBdr>
        </w:div>
        <w:div w:id="20017248">
          <w:marLeft w:val="640"/>
          <w:marRight w:val="0"/>
          <w:marTop w:val="0"/>
          <w:marBottom w:val="0"/>
          <w:divBdr>
            <w:top w:val="none" w:sz="0" w:space="0" w:color="auto"/>
            <w:left w:val="none" w:sz="0" w:space="0" w:color="auto"/>
            <w:bottom w:val="none" w:sz="0" w:space="0" w:color="auto"/>
            <w:right w:val="none" w:sz="0" w:space="0" w:color="auto"/>
          </w:divBdr>
        </w:div>
        <w:div w:id="764812839">
          <w:marLeft w:val="640"/>
          <w:marRight w:val="0"/>
          <w:marTop w:val="0"/>
          <w:marBottom w:val="0"/>
          <w:divBdr>
            <w:top w:val="none" w:sz="0" w:space="0" w:color="auto"/>
            <w:left w:val="none" w:sz="0" w:space="0" w:color="auto"/>
            <w:bottom w:val="none" w:sz="0" w:space="0" w:color="auto"/>
            <w:right w:val="none" w:sz="0" w:space="0" w:color="auto"/>
          </w:divBdr>
        </w:div>
        <w:div w:id="1208907557">
          <w:marLeft w:val="640"/>
          <w:marRight w:val="0"/>
          <w:marTop w:val="0"/>
          <w:marBottom w:val="0"/>
          <w:divBdr>
            <w:top w:val="none" w:sz="0" w:space="0" w:color="auto"/>
            <w:left w:val="none" w:sz="0" w:space="0" w:color="auto"/>
            <w:bottom w:val="none" w:sz="0" w:space="0" w:color="auto"/>
            <w:right w:val="none" w:sz="0" w:space="0" w:color="auto"/>
          </w:divBdr>
        </w:div>
        <w:div w:id="546280">
          <w:marLeft w:val="640"/>
          <w:marRight w:val="0"/>
          <w:marTop w:val="0"/>
          <w:marBottom w:val="0"/>
          <w:divBdr>
            <w:top w:val="none" w:sz="0" w:space="0" w:color="auto"/>
            <w:left w:val="none" w:sz="0" w:space="0" w:color="auto"/>
            <w:bottom w:val="none" w:sz="0" w:space="0" w:color="auto"/>
            <w:right w:val="none" w:sz="0" w:space="0" w:color="auto"/>
          </w:divBdr>
        </w:div>
        <w:div w:id="1432820728">
          <w:marLeft w:val="640"/>
          <w:marRight w:val="0"/>
          <w:marTop w:val="0"/>
          <w:marBottom w:val="0"/>
          <w:divBdr>
            <w:top w:val="none" w:sz="0" w:space="0" w:color="auto"/>
            <w:left w:val="none" w:sz="0" w:space="0" w:color="auto"/>
            <w:bottom w:val="none" w:sz="0" w:space="0" w:color="auto"/>
            <w:right w:val="none" w:sz="0" w:space="0" w:color="auto"/>
          </w:divBdr>
        </w:div>
        <w:div w:id="396126686">
          <w:marLeft w:val="640"/>
          <w:marRight w:val="0"/>
          <w:marTop w:val="0"/>
          <w:marBottom w:val="0"/>
          <w:divBdr>
            <w:top w:val="none" w:sz="0" w:space="0" w:color="auto"/>
            <w:left w:val="none" w:sz="0" w:space="0" w:color="auto"/>
            <w:bottom w:val="none" w:sz="0" w:space="0" w:color="auto"/>
            <w:right w:val="none" w:sz="0" w:space="0" w:color="auto"/>
          </w:divBdr>
        </w:div>
        <w:div w:id="348259876">
          <w:marLeft w:val="640"/>
          <w:marRight w:val="0"/>
          <w:marTop w:val="0"/>
          <w:marBottom w:val="0"/>
          <w:divBdr>
            <w:top w:val="none" w:sz="0" w:space="0" w:color="auto"/>
            <w:left w:val="none" w:sz="0" w:space="0" w:color="auto"/>
            <w:bottom w:val="none" w:sz="0" w:space="0" w:color="auto"/>
            <w:right w:val="none" w:sz="0" w:space="0" w:color="auto"/>
          </w:divBdr>
        </w:div>
        <w:div w:id="448090032">
          <w:marLeft w:val="640"/>
          <w:marRight w:val="0"/>
          <w:marTop w:val="0"/>
          <w:marBottom w:val="0"/>
          <w:divBdr>
            <w:top w:val="none" w:sz="0" w:space="0" w:color="auto"/>
            <w:left w:val="none" w:sz="0" w:space="0" w:color="auto"/>
            <w:bottom w:val="none" w:sz="0" w:space="0" w:color="auto"/>
            <w:right w:val="none" w:sz="0" w:space="0" w:color="auto"/>
          </w:divBdr>
        </w:div>
        <w:div w:id="653877609">
          <w:marLeft w:val="640"/>
          <w:marRight w:val="0"/>
          <w:marTop w:val="0"/>
          <w:marBottom w:val="0"/>
          <w:divBdr>
            <w:top w:val="none" w:sz="0" w:space="0" w:color="auto"/>
            <w:left w:val="none" w:sz="0" w:space="0" w:color="auto"/>
            <w:bottom w:val="none" w:sz="0" w:space="0" w:color="auto"/>
            <w:right w:val="none" w:sz="0" w:space="0" w:color="auto"/>
          </w:divBdr>
        </w:div>
        <w:div w:id="712191660">
          <w:marLeft w:val="640"/>
          <w:marRight w:val="0"/>
          <w:marTop w:val="0"/>
          <w:marBottom w:val="0"/>
          <w:divBdr>
            <w:top w:val="none" w:sz="0" w:space="0" w:color="auto"/>
            <w:left w:val="none" w:sz="0" w:space="0" w:color="auto"/>
            <w:bottom w:val="none" w:sz="0" w:space="0" w:color="auto"/>
            <w:right w:val="none" w:sz="0" w:space="0" w:color="auto"/>
          </w:divBdr>
        </w:div>
        <w:div w:id="561990722">
          <w:marLeft w:val="640"/>
          <w:marRight w:val="0"/>
          <w:marTop w:val="0"/>
          <w:marBottom w:val="0"/>
          <w:divBdr>
            <w:top w:val="none" w:sz="0" w:space="0" w:color="auto"/>
            <w:left w:val="none" w:sz="0" w:space="0" w:color="auto"/>
            <w:bottom w:val="none" w:sz="0" w:space="0" w:color="auto"/>
            <w:right w:val="none" w:sz="0" w:space="0" w:color="auto"/>
          </w:divBdr>
        </w:div>
        <w:div w:id="271328872">
          <w:marLeft w:val="640"/>
          <w:marRight w:val="0"/>
          <w:marTop w:val="0"/>
          <w:marBottom w:val="0"/>
          <w:divBdr>
            <w:top w:val="none" w:sz="0" w:space="0" w:color="auto"/>
            <w:left w:val="none" w:sz="0" w:space="0" w:color="auto"/>
            <w:bottom w:val="none" w:sz="0" w:space="0" w:color="auto"/>
            <w:right w:val="none" w:sz="0" w:space="0" w:color="auto"/>
          </w:divBdr>
        </w:div>
        <w:div w:id="1926723394">
          <w:marLeft w:val="640"/>
          <w:marRight w:val="0"/>
          <w:marTop w:val="0"/>
          <w:marBottom w:val="0"/>
          <w:divBdr>
            <w:top w:val="none" w:sz="0" w:space="0" w:color="auto"/>
            <w:left w:val="none" w:sz="0" w:space="0" w:color="auto"/>
            <w:bottom w:val="none" w:sz="0" w:space="0" w:color="auto"/>
            <w:right w:val="none" w:sz="0" w:space="0" w:color="auto"/>
          </w:divBdr>
        </w:div>
        <w:div w:id="1410732258">
          <w:marLeft w:val="640"/>
          <w:marRight w:val="0"/>
          <w:marTop w:val="0"/>
          <w:marBottom w:val="0"/>
          <w:divBdr>
            <w:top w:val="none" w:sz="0" w:space="0" w:color="auto"/>
            <w:left w:val="none" w:sz="0" w:space="0" w:color="auto"/>
            <w:bottom w:val="none" w:sz="0" w:space="0" w:color="auto"/>
            <w:right w:val="none" w:sz="0" w:space="0" w:color="auto"/>
          </w:divBdr>
        </w:div>
        <w:div w:id="774178591">
          <w:marLeft w:val="640"/>
          <w:marRight w:val="0"/>
          <w:marTop w:val="0"/>
          <w:marBottom w:val="0"/>
          <w:divBdr>
            <w:top w:val="none" w:sz="0" w:space="0" w:color="auto"/>
            <w:left w:val="none" w:sz="0" w:space="0" w:color="auto"/>
            <w:bottom w:val="none" w:sz="0" w:space="0" w:color="auto"/>
            <w:right w:val="none" w:sz="0" w:space="0" w:color="auto"/>
          </w:divBdr>
        </w:div>
        <w:div w:id="1168013663">
          <w:marLeft w:val="640"/>
          <w:marRight w:val="0"/>
          <w:marTop w:val="0"/>
          <w:marBottom w:val="0"/>
          <w:divBdr>
            <w:top w:val="none" w:sz="0" w:space="0" w:color="auto"/>
            <w:left w:val="none" w:sz="0" w:space="0" w:color="auto"/>
            <w:bottom w:val="none" w:sz="0" w:space="0" w:color="auto"/>
            <w:right w:val="none" w:sz="0" w:space="0" w:color="auto"/>
          </w:divBdr>
        </w:div>
        <w:div w:id="1318459678">
          <w:marLeft w:val="640"/>
          <w:marRight w:val="0"/>
          <w:marTop w:val="0"/>
          <w:marBottom w:val="0"/>
          <w:divBdr>
            <w:top w:val="none" w:sz="0" w:space="0" w:color="auto"/>
            <w:left w:val="none" w:sz="0" w:space="0" w:color="auto"/>
            <w:bottom w:val="none" w:sz="0" w:space="0" w:color="auto"/>
            <w:right w:val="none" w:sz="0" w:space="0" w:color="auto"/>
          </w:divBdr>
        </w:div>
        <w:div w:id="544684441">
          <w:marLeft w:val="640"/>
          <w:marRight w:val="0"/>
          <w:marTop w:val="0"/>
          <w:marBottom w:val="0"/>
          <w:divBdr>
            <w:top w:val="none" w:sz="0" w:space="0" w:color="auto"/>
            <w:left w:val="none" w:sz="0" w:space="0" w:color="auto"/>
            <w:bottom w:val="none" w:sz="0" w:space="0" w:color="auto"/>
            <w:right w:val="none" w:sz="0" w:space="0" w:color="auto"/>
          </w:divBdr>
        </w:div>
        <w:div w:id="1271857337">
          <w:marLeft w:val="640"/>
          <w:marRight w:val="0"/>
          <w:marTop w:val="0"/>
          <w:marBottom w:val="0"/>
          <w:divBdr>
            <w:top w:val="none" w:sz="0" w:space="0" w:color="auto"/>
            <w:left w:val="none" w:sz="0" w:space="0" w:color="auto"/>
            <w:bottom w:val="none" w:sz="0" w:space="0" w:color="auto"/>
            <w:right w:val="none" w:sz="0" w:space="0" w:color="auto"/>
          </w:divBdr>
        </w:div>
        <w:div w:id="1313756232">
          <w:marLeft w:val="640"/>
          <w:marRight w:val="0"/>
          <w:marTop w:val="0"/>
          <w:marBottom w:val="0"/>
          <w:divBdr>
            <w:top w:val="none" w:sz="0" w:space="0" w:color="auto"/>
            <w:left w:val="none" w:sz="0" w:space="0" w:color="auto"/>
            <w:bottom w:val="none" w:sz="0" w:space="0" w:color="auto"/>
            <w:right w:val="none" w:sz="0" w:space="0" w:color="auto"/>
          </w:divBdr>
        </w:div>
        <w:div w:id="1678115139">
          <w:marLeft w:val="640"/>
          <w:marRight w:val="0"/>
          <w:marTop w:val="0"/>
          <w:marBottom w:val="0"/>
          <w:divBdr>
            <w:top w:val="none" w:sz="0" w:space="0" w:color="auto"/>
            <w:left w:val="none" w:sz="0" w:space="0" w:color="auto"/>
            <w:bottom w:val="none" w:sz="0" w:space="0" w:color="auto"/>
            <w:right w:val="none" w:sz="0" w:space="0" w:color="auto"/>
          </w:divBdr>
        </w:div>
        <w:div w:id="2044472450">
          <w:marLeft w:val="640"/>
          <w:marRight w:val="0"/>
          <w:marTop w:val="0"/>
          <w:marBottom w:val="0"/>
          <w:divBdr>
            <w:top w:val="none" w:sz="0" w:space="0" w:color="auto"/>
            <w:left w:val="none" w:sz="0" w:space="0" w:color="auto"/>
            <w:bottom w:val="none" w:sz="0" w:space="0" w:color="auto"/>
            <w:right w:val="none" w:sz="0" w:space="0" w:color="auto"/>
          </w:divBdr>
        </w:div>
        <w:div w:id="334262783">
          <w:marLeft w:val="640"/>
          <w:marRight w:val="0"/>
          <w:marTop w:val="0"/>
          <w:marBottom w:val="0"/>
          <w:divBdr>
            <w:top w:val="none" w:sz="0" w:space="0" w:color="auto"/>
            <w:left w:val="none" w:sz="0" w:space="0" w:color="auto"/>
            <w:bottom w:val="none" w:sz="0" w:space="0" w:color="auto"/>
            <w:right w:val="none" w:sz="0" w:space="0" w:color="auto"/>
          </w:divBdr>
        </w:div>
        <w:div w:id="1684745532">
          <w:marLeft w:val="640"/>
          <w:marRight w:val="0"/>
          <w:marTop w:val="0"/>
          <w:marBottom w:val="0"/>
          <w:divBdr>
            <w:top w:val="none" w:sz="0" w:space="0" w:color="auto"/>
            <w:left w:val="none" w:sz="0" w:space="0" w:color="auto"/>
            <w:bottom w:val="none" w:sz="0" w:space="0" w:color="auto"/>
            <w:right w:val="none" w:sz="0" w:space="0" w:color="auto"/>
          </w:divBdr>
        </w:div>
        <w:div w:id="1864591914">
          <w:marLeft w:val="640"/>
          <w:marRight w:val="0"/>
          <w:marTop w:val="0"/>
          <w:marBottom w:val="0"/>
          <w:divBdr>
            <w:top w:val="none" w:sz="0" w:space="0" w:color="auto"/>
            <w:left w:val="none" w:sz="0" w:space="0" w:color="auto"/>
            <w:bottom w:val="none" w:sz="0" w:space="0" w:color="auto"/>
            <w:right w:val="none" w:sz="0" w:space="0" w:color="auto"/>
          </w:divBdr>
        </w:div>
        <w:div w:id="2114354824">
          <w:marLeft w:val="640"/>
          <w:marRight w:val="0"/>
          <w:marTop w:val="0"/>
          <w:marBottom w:val="0"/>
          <w:divBdr>
            <w:top w:val="none" w:sz="0" w:space="0" w:color="auto"/>
            <w:left w:val="none" w:sz="0" w:space="0" w:color="auto"/>
            <w:bottom w:val="none" w:sz="0" w:space="0" w:color="auto"/>
            <w:right w:val="none" w:sz="0" w:space="0" w:color="auto"/>
          </w:divBdr>
        </w:div>
        <w:div w:id="1640574280">
          <w:marLeft w:val="640"/>
          <w:marRight w:val="0"/>
          <w:marTop w:val="0"/>
          <w:marBottom w:val="0"/>
          <w:divBdr>
            <w:top w:val="none" w:sz="0" w:space="0" w:color="auto"/>
            <w:left w:val="none" w:sz="0" w:space="0" w:color="auto"/>
            <w:bottom w:val="none" w:sz="0" w:space="0" w:color="auto"/>
            <w:right w:val="none" w:sz="0" w:space="0" w:color="auto"/>
          </w:divBdr>
        </w:div>
        <w:div w:id="845250422">
          <w:marLeft w:val="640"/>
          <w:marRight w:val="0"/>
          <w:marTop w:val="0"/>
          <w:marBottom w:val="0"/>
          <w:divBdr>
            <w:top w:val="none" w:sz="0" w:space="0" w:color="auto"/>
            <w:left w:val="none" w:sz="0" w:space="0" w:color="auto"/>
            <w:bottom w:val="none" w:sz="0" w:space="0" w:color="auto"/>
            <w:right w:val="none" w:sz="0" w:space="0" w:color="auto"/>
          </w:divBdr>
        </w:div>
        <w:div w:id="220021514">
          <w:marLeft w:val="640"/>
          <w:marRight w:val="0"/>
          <w:marTop w:val="0"/>
          <w:marBottom w:val="0"/>
          <w:divBdr>
            <w:top w:val="none" w:sz="0" w:space="0" w:color="auto"/>
            <w:left w:val="none" w:sz="0" w:space="0" w:color="auto"/>
            <w:bottom w:val="none" w:sz="0" w:space="0" w:color="auto"/>
            <w:right w:val="none" w:sz="0" w:space="0" w:color="auto"/>
          </w:divBdr>
        </w:div>
        <w:div w:id="1794202864">
          <w:marLeft w:val="640"/>
          <w:marRight w:val="0"/>
          <w:marTop w:val="0"/>
          <w:marBottom w:val="0"/>
          <w:divBdr>
            <w:top w:val="none" w:sz="0" w:space="0" w:color="auto"/>
            <w:left w:val="none" w:sz="0" w:space="0" w:color="auto"/>
            <w:bottom w:val="none" w:sz="0" w:space="0" w:color="auto"/>
            <w:right w:val="none" w:sz="0" w:space="0" w:color="auto"/>
          </w:divBdr>
        </w:div>
        <w:div w:id="1964071221">
          <w:marLeft w:val="640"/>
          <w:marRight w:val="0"/>
          <w:marTop w:val="0"/>
          <w:marBottom w:val="0"/>
          <w:divBdr>
            <w:top w:val="none" w:sz="0" w:space="0" w:color="auto"/>
            <w:left w:val="none" w:sz="0" w:space="0" w:color="auto"/>
            <w:bottom w:val="none" w:sz="0" w:space="0" w:color="auto"/>
            <w:right w:val="none" w:sz="0" w:space="0" w:color="auto"/>
          </w:divBdr>
        </w:div>
        <w:div w:id="1823042684">
          <w:marLeft w:val="640"/>
          <w:marRight w:val="0"/>
          <w:marTop w:val="0"/>
          <w:marBottom w:val="0"/>
          <w:divBdr>
            <w:top w:val="none" w:sz="0" w:space="0" w:color="auto"/>
            <w:left w:val="none" w:sz="0" w:space="0" w:color="auto"/>
            <w:bottom w:val="none" w:sz="0" w:space="0" w:color="auto"/>
            <w:right w:val="none" w:sz="0" w:space="0" w:color="auto"/>
          </w:divBdr>
        </w:div>
        <w:div w:id="1925066370">
          <w:marLeft w:val="640"/>
          <w:marRight w:val="0"/>
          <w:marTop w:val="0"/>
          <w:marBottom w:val="0"/>
          <w:divBdr>
            <w:top w:val="none" w:sz="0" w:space="0" w:color="auto"/>
            <w:left w:val="none" w:sz="0" w:space="0" w:color="auto"/>
            <w:bottom w:val="none" w:sz="0" w:space="0" w:color="auto"/>
            <w:right w:val="none" w:sz="0" w:space="0" w:color="auto"/>
          </w:divBdr>
        </w:div>
        <w:div w:id="1290012435">
          <w:marLeft w:val="640"/>
          <w:marRight w:val="0"/>
          <w:marTop w:val="0"/>
          <w:marBottom w:val="0"/>
          <w:divBdr>
            <w:top w:val="none" w:sz="0" w:space="0" w:color="auto"/>
            <w:left w:val="none" w:sz="0" w:space="0" w:color="auto"/>
            <w:bottom w:val="none" w:sz="0" w:space="0" w:color="auto"/>
            <w:right w:val="none" w:sz="0" w:space="0" w:color="auto"/>
          </w:divBdr>
        </w:div>
        <w:div w:id="1781148486">
          <w:marLeft w:val="640"/>
          <w:marRight w:val="0"/>
          <w:marTop w:val="0"/>
          <w:marBottom w:val="0"/>
          <w:divBdr>
            <w:top w:val="none" w:sz="0" w:space="0" w:color="auto"/>
            <w:left w:val="none" w:sz="0" w:space="0" w:color="auto"/>
            <w:bottom w:val="none" w:sz="0" w:space="0" w:color="auto"/>
            <w:right w:val="none" w:sz="0" w:space="0" w:color="auto"/>
          </w:divBdr>
        </w:div>
        <w:div w:id="671563950">
          <w:marLeft w:val="640"/>
          <w:marRight w:val="0"/>
          <w:marTop w:val="0"/>
          <w:marBottom w:val="0"/>
          <w:divBdr>
            <w:top w:val="none" w:sz="0" w:space="0" w:color="auto"/>
            <w:left w:val="none" w:sz="0" w:space="0" w:color="auto"/>
            <w:bottom w:val="none" w:sz="0" w:space="0" w:color="auto"/>
            <w:right w:val="none" w:sz="0" w:space="0" w:color="auto"/>
          </w:divBdr>
        </w:div>
        <w:div w:id="1773696743">
          <w:marLeft w:val="640"/>
          <w:marRight w:val="0"/>
          <w:marTop w:val="0"/>
          <w:marBottom w:val="0"/>
          <w:divBdr>
            <w:top w:val="none" w:sz="0" w:space="0" w:color="auto"/>
            <w:left w:val="none" w:sz="0" w:space="0" w:color="auto"/>
            <w:bottom w:val="none" w:sz="0" w:space="0" w:color="auto"/>
            <w:right w:val="none" w:sz="0" w:space="0" w:color="auto"/>
          </w:divBdr>
        </w:div>
        <w:div w:id="433864769">
          <w:marLeft w:val="640"/>
          <w:marRight w:val="0"/>
          <w:marTop w:val="0"/>
          <w:marBottom w:val="0"/>
          <w:divBdr>
            <w:top w:val="none" w:sz="0" w:space="0" w:color="auto"/>
            <w:left w:val="none" w:sz="0" w:space="0" w:color="auto"/>
            <w:bottom w:val="none" w:sz="0" w:space="0" w:color="auto"/>
            <w:right w:val="none" w:sz="0" w:space="0" w:color="auto"/>
          </w:divBdr>
        </w:div>
        <w:div w:id="274942112">
          <w:marLeft w:val="640"/>
          <w:marRight w:val="0"/>
          <w:marTop w:val="0"/>
          <w:marBottom w:val="0"/>
          <w:divBdr>
            <w:top w:val="none" w:sz="0" w:space="0" w:color="auto"/>
            <w:left w:val="none" w:sz="0" w:space="0" w:color="auto"/>
            <w:bottom w:val="none" w:sz="0" w:space="0" w:color="auto"/>
            <w:right w:val="none" w:sz="0" w:space="0" w:color="auto"/>
          </w:divBdr>
        </w:div>
        <w:div w:id="1206285879">
          <w:marLeft w:val="640"/>
          <w:marRight w:val="0"/>
          <w:marTop w:val="0"/>
          <w:marBottom w:val="0"/>
          <w:divBdr>
            <w:top w:val="none" w:sz="0" w:space="0" w:color="auto"/>
            <w:left w:val="none" w:sz="0" w:space="0" w:color="auto"/>
            <w:bottom w:val="none" w:sz="0" w:space="0" w:color="auto"/>
            <w:right w:val="none" w:sz="0" w:space="0" w:color="auto"/>
          </w:divBdr>
        </w:div>
        <w:div w:id="938373747">
          <w:marLeft w:val="640"/>
          <w:marRight w:val="0"/>
          <w:marTop w:val="0"/>
          <w:marBottom w:val="0"/>
          <w:divBdr>
            <w:top w:val="none" w:sz="0" w:space="0" w:color="auto"/>
            <w:left w:val="none" w:sz="0" w:space="0" w:color="auto"/>
            <w:bottom w:val="none" w:sz="0" w:space="0" w:color="auto"/>
            <w:right w:val="none" w:sz="0" w:space="0" w:color="auto"/>
          </w:divBdr>
        </w:div>
        <w:div w:id="1417559642">
          <w:marLeft w:val="640"/>
          <w:marRight w:val="0"/>
          <w:marTop w:val="0"/>
          <w:marBottom w:val="0"/>
          <w:divBdr>
            <w:top w:val="none" w:sz="0" w:space="0" w:color="auto"/>
            <w:left w:val="none" w:sz="0" w:space="0" w:color="auto"/>
            <w:bottom w:val="none" w:sz="0" w:space="0" w:color="auto"/>
            <w:right w:val="none" w:sz="0" w:space="0" w:color="auto"/>
          </w:divBdr>
        </w:div>
        <w:div w:id="376702533">
          <w:marLeft w:val="640"/>
          <w:marRight w:val="0"/>
          <w:marTop w:val="0"/>
          <w:marBottom w:val="0"/>
          <w:divBdr>
            <w:top w:val="none" w:sz="0" w:space="0" w:color="auto"/>
            <w:left w:val="none" w:sz="0" w:space="0" w:color="auto"/>
            <w:bottom w:val="none" w:sz="0" w:space="0" w:color="auto"/>
            <w:right w:val="none" w:sz="0" w:space="0" w:color="auto"/>
          </w:divBdr>
        </w:div>
        <w:div w:id="328214972">
          <w:marLeft w:val="640"/>
          <w:marRight w:val="0"/>
          <w:marTop w:val="0"/>
          <w:marBottom w:val="0"/>
          <w:divBdr>
            <w:top w:val="none" w:sz="0" w:space="0" w:color="auto"/>
            <w:left w:val="none" w:sz="0" w:space="0" w:color="auto"/>
            <w:bottom w:val="none" w:sz="0" w:space="0" w:color="auto"/>
            <w:right w:val="none" w:sz="0" w:space="0" w:color="auto"/>
          </w:divBdr>
        </w:div>
        <w:div w:id="721708346">
          <w:marLeft w:val="640"/>
          <w:marRight w:val="0"/>
          <w:marTop w:val="0"/>
          <w:marBottom w:val="0"/>
          <w:divBdr>
            <w:top w:val="none" w:sz="0" w:space="0" w:color="auto"/>
            <w:left w:val="none" w:sz="0" w:space="0" w:color="auto"/>
            <w:bottom w:val="none" w:sz="0" w:space="0" w:color="auto"/>
            <w:right w:val="none" w:sz="0" w:space="0" w:color="auto"/>
          </w:divBdr>
        </w:div>
        <w:div w:id="2102292084">
          <w:marLeft w:val="640"/>
          <w:marRight w:val="0"/>
          <w:marTop w:val="0"/>
          <w:marBottom w:val="0"/>
          <w:divBdr>
            <w:top w:val="none" w:sz="0" w:space="0" w:color="auto"/>
            <w:left w:val="none" w:sz="0" w:space="0" w:color="auto"/>
            <w:bottom w:val="none" w:sz="0" w:space="0" w:color="auto"/>
            <w:right w:val="none" w:sz="0" w:space="0" w:color="auto"/>
          </w:divBdr>
        </w:div>
        <w:div w:id="2095741795">
          <w:marLeft w:val="640"/>
          <w:marRight w:val="0"/>
          <w:marTop w:val="0"/>
          <w:marBottom w:val="0"/>
          <w:divBdr>
            <w:top w:val="none" w:sz="0" w:space="0" w:color="auto"/>
            <w:left w:val="none" w:sz="0" w:space="0" w:color="auto"/>
            <w:bottom w:val="none" w:sz="0" w:space="0" w:color="auto"/>
            <w:right w:val="none" w:sz="0" w:space="0" w:color="auto"/>
          </w:divBdr>
        </w:div>
        <w:div w:id="911428088">
          <w:marLeft w:val="640"/>
          <w:marRight w:val="0"/>
          <w:marTop w:val="0"/>
          <w:marBottom w:val="0"/>
          <w:divBdr>
            <w:top w:val="none" w:sz="0" w:space="0" w:color="auto"/>
            <w:left w:val="none" w:sz="0" w:space="0" w:color="auto"/>
            <w:bottom w:val="none" w:sz="0" w:space="0" w:color="auto"/>
            <w:right w:val="none" w:sz="0" w:space="0" w:color="auto"/>
          </w:divBdr>
        </w:div>
        <w:div w:id="1230850392">
          <w:marLeft w:val="640"/>
          <w:marRight w:val="0"/>
          <w:marTop w:val="0"/>
          <w:marBottom w:val="0"/>
          <w:divBdr>
            <w:top w:val="none" w:sz="0" w:space="0" w:color="auto"/>
            <w:left w:val="none" w:sz="0" w:space="0" w:color="auto"/>
            <w:bottom w:val="none" w:sz="0" w:space="0" w:color="auto"/>
            <w:right w:val="none" w:sz="0" w:space="0" w:color="auto"/>
          </w:divBdr>
        </w:div>
        <w:div w:id="1567450628">
          <w:marLeft w:val="640"/>
          <w:marRight w:val="0"/>
          <w:marTop w:val="0"/>
          <w:marBottom w:val="0"/>
          <w:divBdr>
            <w:top w:val="none" w:sz="0" w:space="0" w:color="auto"/>
            <w:left w:val="none" w:sz="0" w:space="0" w:color="auto"/>
            <w:bottom w:val="none" w:sz="0" w:space="0" w:color="auto"/>
            <w:right w:val="none" w:sz="0" w:space="0" w:color="auto"/>
          </w:divBdr>
        </w:div>
        <w:div w:id="1035811843">
          <w:marLeft w:val="640"/>
          <w:marRight w:val="0"/>
          <w:marTop w:val="0"/>
          <w:marBottom w:val="0"/>
          <w:divBdr>
            <w:top w:val="none" w:sz="0" w:space="0" w:color="auto"/>
            <w:left w:val="none" w:sz="0" w:space="0" w:color="auto"/>
            <w:bottom w:val="none" w:sz="0" w:space="0" w:color="auto"/>
            <w:right w:val="none" w:sz="0" w:space="0" w:color="auto"/>
          </w:divBdr>
        </w:div>
        <w:div w:id="1688558898">
          <w:marLeft w:val="640"/>
          <w:marRight w:val="0"/>
          <w:marTop w:val="0"/>
          <w:marBottom w:val="0"/>
          <w:divBdr>
            <w:top w:val="none" w:sz="0" w:space="0" w:color="auto"/>
            <w:left w:val="none" w:sz="0" w:space="0" w:color="auto"/>
            <w:bottom w:val="none" w:sz="0" w:space="0" w:color="auto"/>
            <w:right w:val="none" w:sz="0" w:space="0" w:color="auto"/>
          </w:divBdr>
        </w:div>
        <w:div w:id="1929458883">
          <w:marLeft w:val="640"/>
          <w:marRight w:val="0"/>
          <w:marTop w:val="0"/>
          <w:marBottom w:val="0"/>
          <w:divBdr>
            <w:top w:val="none" w:sz="0" w:space="0" w:color="auto"/>
            <w:left w:val="none" w:sz="0" w:space="0" w:color="auto"/>
            <w:bottom w:val="none" w:sz="0" w:space="0" w:color="auto"/>
            <w:right w:val="none" w:sz="0" w:space="0" w:color="auto"/>
          </w:divBdr>
        </w:div>
        <w:div w:id="561061881">
          <w:marLeft w:val="640"/>
          <w:marRight w:val="0"/>
          <w:marTop w:val="0"/>
          <w:marBottom w:val="0"/>
          <w:divBdr>
            <w:top w:val="none" w:sz="0" w:space="0" w:color="auto"/>
            <w:left w:val="none" w:sz="0" w:space="0" w:color="auto"/>
            <w:bottom w:val="none" w:sz="0" w:space="0" w:color="auto"/>
            <w:right w:val="none" w:sz="0" w:space="0" w:color="auto"/>
          </w:divBdr>
        </w:div>
        <w:div w:id="483619826">
          <w:marLeft w:val="640"/>
          <w:marRight w:val="0"/>
          <w:marTop w:val="0"/>
          <w:marBottom w:val="0"/>
          <w:divBdr>
            <w:top w:val="none" w:sz="0" w:space="0" w:color="auto"/>
            <w:left w:val="none" w:sz="0" w:space="0" w:color="auto"/>
            <w:bottom w:val="none" w:sz="0" w:space="0" w:color="auto"/>
            <w:right w:val="none" w:sz="0" w:space="0" w:color="auto"/>
          </w:divBdr>
        </w:div>
        <w:div w:id="670986224">
          <w:marLeft w:val="640"/>
          <w:marRight w:val="0"/>
          <w:marTop w:val="0"/>
          <w:marBottom w:val="0"/>
          <w:divBdr>
            <w:top w:val="none" w:sz="0" w:space="0" w:color="auto"/>
            <w:left w:val="none" w:sz="0" w:space="0" w:color="auto"/>
            <w:bottom w:val="none" w:sz="0" w:space="0" w:color="auto"/>
            <w:right w:val="none" w:sz="0" w:space="0" w:color="auto"/>
          </w:divBdr>
        </w:div>
        <w:div w:id="1646469100">
          <w:marLeft w:val="640"/>
          <w:marRight w:val="0"/>
          <w:marTop w:val="0"/>
          <w:marBottom w:val="0"/>
          <w:divBdr>
            <w:top w:val="none" w:sz="0" w:space="0" w:color="auto"/>
            <w:left w:val="none" w:sz="0" w:space="0" w:color="auto"/>
            <w:bottom w:val="none" w:sz="0" w:space="0" w:color="auto"/>
            <w:right w:val="none" w:sz="0" w:space="0" w:color="auto"/>
          </w:divBdr>
        </w:div>
        <w:div w:id="643655977">
          <w:marLeft w:val="640"/>
          <w:marRight w:val="0"/>
          <w:marTop w:val="0"/>
          <w:marBottom w:val="0"/>
          <w:divBdr>
            <w:top w:val="none" w:sz="0" w:space="0" w:color="auto"/>
            <w:left w:val="none" w:sz="0" w:space="0" w:color="auto"/>
            <w:bottom w:val="none" w:sz="0" w:space="0" w:color="auto"/>
            <w:right w:val="none" w:sz="0" w:space="0" w:color="auto"/>
          </w:divBdr>
        </w:div>
        <w:div w:id="1926301955">
          <w:marLeft w:val="640"/>
          <w:marRight w:val="0"/>
          <w:marTop w:val="0"/>
          <w:marBottom w:val="0"/>
          <w:divBdr>
            <w:top w:val="none" w:sz="0" w:space="0" w:color="auto"/>
            <w:left w:val="none" w:sz="0" w:space="0" w:color="auto"/>
            <w:bottom w:val="none" w:sz="0" w:space="0" w:color="auto"/>
            <w:right w:val="none" w:sz="0" w:space="0" w:color="auto"/>
          </w:divBdr>
        </w:div>
        <w:div w:id="897665718">
          <w:marLeft w:val="640"/>
          <w:marRight w:val="0"/>
          <w:marTop w:val="0"/>
          <w:marBottom w:val="0"/>
          <w:divBdr>
            <w:top w:val="none" w:sz="0" w:space="0" w:color="auto"/>
            <w:left w:val="none" w:sz="0" w:space="0" w:color="auto"/>
            <w:bottom w:val="none" w:sz="0" w:space="0" w:color="auto"/>
            <w:right w:val="none" w:sz="0" w:space="0" w:color="auto"/>
          </w:divBdr>
        </w:div>
        <w:div w:id="1177501551">
          <w:marLeft w:val="640"/>
          <w:marRight w:val="0"/>
          <w:marTop w:val="0"/>
          <w:marBottom w:val="0"/>
          <w:divBdr>
            <w:top w:val="none" w:sz="0" w:space="0" w:color="auto"/>
            <w:left w:val="none" w:sz="0" w:space="0" w:color="auto"/>
            <w:bottom w:val="none" w:sz="0" w:space="0" w:color="auto"/>
            <w:right w:val="none" w:sz="0" w:space="0" w:color="auto"/>
          </w:divBdr>
        </w:div>
        <w:div w:id="830172688">
          <w:marLeft w:val="640"/>
          <w:marRight w:val="0"/>
          <w:marTop w:val="0"/>
          <w:marBottom w:val="0"/>
          <w:divBdr>
            <w:top w:val="none" w:sz="0" w:space="0" w:color="auto"/>
            <w:left w:val="none" w:sz="0" w:space="0" w:color="auto"/>
            <w:bottom w:val="none" w:sz="0" w:space="0" w:color="auto"/>
            <w:right w:val="none" w:sz="0" w:space="0" w:color="auto"/>
          </w:divBdr>
        </w:div>
        <w:div w:id="123280658">
          <w:marLeft w:val="640"/>
          <w:marRight w:val="0"/>
          <w:marTop w:val="0"/>
          <w:marBottom w:val="0"/>
          <w:divBdr>
            <w:top w:val="none" w:sz="0" w:space="0" w:color="auto"/>
            <w:left w:val="none" w:sz="0" w:space="0" w:color="auto"/>
            <w:bottom w:val="none" w:sz="0" w:space="0" w:color="auto"/>
            <w:right w:val="none" w:sz="0" w:space="0" w:color="auto"/>
          </w:divBdr>
        </w:div>
        <w:div w:id="1576433462">
          <w:marLeft w:val="640"/>
          <w:marRight w:val="0"/>
          <w:marTop w:val="0"/>
          <w:marBottom w:val="0"/>
          <w:divBdr>
            <w:top w:val="none" w:sz="0" w:space="0" w:color="auto"/>
            <w:left w:val="none" w:sz="0" w:space="0" w:color="auto"/>
            <w:bottom w:val="none" w:sz="0" w:space="0" w:color="auto"/>
            <w:right w:val="none" w:sz="0" w:space="0" w:color="auto"/>
          </w:divBdr>
        </w:div>
        <w:div w:id="1913544870">
          <w:marLeft w:val="640"/>
          <w:marRight w:val="0"/>
          <w:marTop w:val="0"/>
          <w:marBottom w:val="0"/>
          <w:divBdr>
            <w:top w:val="none" w:sz="0" w:space="0" w:color="auto"/>
            <w:left w:val="none" w:sz="0" w:space="0" w:color="auto"/>
            <w:bottom w:val="none" w:sz="0" w:space="0" w:color="auto"/>
            <w:right w:val="none" w:sz="0" w:space="0" w:color="auto"/>
          </w:divBdr>
        </w:div>
        <w:div w:id="1502551584">
          <w:marLeft w:val="640"/>
          <w:marRight w:val="0"/>
          <w:marTop w:val="0"/>
          <w:marBottom w:val="0"/>
          <w:divBdr>
            <w:top w:val="none" w:sz="0" w:space="0" w:color="auto"/>
            <w:left w:val="none" w:sz="0" w:space="0" w:color="auto"/>
            <w:bottom w:val="none" w:sz="0" w:space="0" w:color="auto"/>
            <w:right w:val="none" w:sz="0" w:space="0" w:color="auto"/>
          </w:divBdr>
        </w:div>
        <w:div w:id="1084106936">
          <w:marLeft w:val="640"/>
          <w:marRight w:val="0"/>
          <w:marTop w:val="0"/>
          <w:marBottom w:val="0"/>
          <w:divBdr>
            <w:top w:val="none" w:sz="0" w:space="0" w:color="auto"/>
            <w:left w:val="none" w:sz="0" w:space="0" w:color="auto"/>
            <w:bottom w:val="none" w:sz="0" w:space="0" w:color="auto"/>
            <w:right w:val="none" w:sz="0" w:space="0" w:color="auto"/>
          </w:divBdr>
        </w:div>
        <w:div w:id="941910269">
          <w:marLeft w:val="640"/>
          <w:marRight w:val="0"/>
          <w:marTop w:val="0"/>
          <w:marBottom w:val="0"/>
          <w:divBdr>
            <w:top w:val="none" w:sz="0" w:space="0" w:color="auto"/>
            <w:left w:val="none" w:sz="0" w:space="0" w:color="auto"/>
            <w:bottom w:val="none" w:sz="0" w:space="0" w:color="auto"/>
            <w:right w:val="none" w:sz="0" w:space="0" w:color="auto"/>
          </w:divBdr>
        </w:div>
        <w:div w:id="1231312389">
          <w:marLeft w:val="640"/>
          <w:marRight w:val="0"/>
          <w:marTop w:val="0"/>
          <w:marBottom w:val="0"/>
          <w:divBdr>
            <w:top w:val="none" w:sz="0" w:space="0" w:color="auto"/>
            <w:left w:val="none" w:sz="0" w:space="0" w:color="auto"/>
            <w:bottom w:val="none" w:sz="0" w:space="0" w:color="auto"/>
            <w:right w:val="none" w:sz="0" w:space="0" w:color="auto"/>
          </w:divBdr>
        </w:div>
        <w:div w:id="307326635">
          <w:marLeft w:val="640"/>
          <w:marRight w:val="0"/>
          <w:marTop w:val="0"/>
          <w:marBottom w:val="0"/>
          <w:divBdr>
            <w:top w:val="none" w:sz="0" w:space="0" w:color="auto"/>
            <w:left w:val="none" w:sz="0" w:space="0" w:color="auto"/>
            <w:bottom w:val="none" w:sz="0" w:space="0" w:color="auto"/>
            <w:right w:val="none" w:sz="0" w:space="0" w:color="auto"/>
          </w:divBdr>
        </w:div>
        <w:div w:id="1075123271">
          <w:marLeft w:val="640"/>
          <w:marRight w:val="0"/>
          <w:marTop w:val="0"/>
          <w:marBottom w:val="0"/>
          <w:divBdr>
            <w:top w:val="none" w:sz="0" w:space="0" w:color="auto"/>
            <w:left w:val="none" w:sz="0" w:space="0" w:color="auto"/>
            <w:bottom w:val="none" w:sz="0" w:space="0" w:color="auto"/>
            <w:right w:val="none" w:sz="0" w:space="0" w:color="auto"/>
          </w:divBdr>
        </w:div>
        <w:div w:id="1781534188">
          <w:marLeft w:val="640"/>
          <w:marRight w:val="0"/>
          <w:marTop w:val="0"/>
          <w:marBottom w:val="0"/>
          <w:divBdr>
            <w:top w:val="none" w:sz="0" w:space="0" w:color="auto"/>
            <w:left w:val="none" w:sz="0" w:space="0" w:color="auto"/>
            <w:bottom w:val="none" w:sz="0" w:space="0" w:color="auto"/>
            <w:right w:val="none" w:sz="0" w:space="0" w:color="auto"/>
          </w:divBdr>
        </w:div>
        <w:div w:id="266621881">
          <w:marLeft w:val="640"/>
          <w:marRight w:val="0"/>
          <w:marTop w:val="0"/>
          <w:marBottom w:val="0"/>
          <w:divBdr>
            <w:top w:val="none" w:sz="0" w:space="0" w:color="auto"/>
            <w:left w:val="none" w:sz="0" w:space="0" w:color="auto"/>
            <w:bottom w:val="none" w:sz="0" w:space="0" w:color="auto"/>
            <w:right w:val="none" w:sz="0" w:space="0" w:color="auto"/>
          </w:divBdr>
        </w:div>
      </w:divsChild>
    </w:div>
    <w:div w:id="237985545">
      <w:bodyDiv w:val="1"/>
      <w:marLeft w:val="0"/>
      <w:marRight w:val="0"/>
      <w:marTop w:val="0"/>
      <w:marBottom w:val="0"/>
      <w:divBdr>
        <w:top w:val="none" w:sz="0" w:space="0" w:color="auto"/>
        <w:left w:val="none" w:sz="0" w:space="0" w:color="auto"/>
        <w:bottom w:val="none" w:sz="0" w:space="0" w:color="auto"/>
        <w:right w:val="none" w:sz="0" w:space="0" w:color="auto"/>
      </w:divBdr>
      <w:divsChild>
        <w:div w:id="83109777">
          <w:marLeft w:val="640"/>
          <w:marRight w:val="0"/>
          <w:marTop w:val="0"/>
          <w:marBottom w:val="0"/>
          <w:divBdr>
            <w:top w:val="none" w:sz="0" w:space="0" w:color="auto"/>
            <w:left w:val="none" w:sz="0" w:space="0" w:color="auto"/>
            <w:bottom w:val="none" w:sz="0" w:space="0" w:color="auto"/>
            <w:right w:val="none" w:sz="0" w:space="0" w:color="auto"/>
          </w:divBdr>
        </w:div>
        <w:div w:id="2085639968">
          <w:marLeft w:val="640"/>
          <w:marRight w:val="0"/>
          <w:marTop w:val="0"/>
          <w:marBottom w:val="0"/>
          <w:divBdr>
            <w:top w:val="none" w:sz="0" w:space="0" w:color="auto"/>
            <w:left w:val="none" w:sz="0" w:space="0" w:color="auto"/>
            <w:bottom w:val="none" w:sz="0" w:space="0" w:color="auto"/>
            <w:right w:val="none" w:sz="0" w:space="0" w:color="auto"/>
          </w:divBdr>
        </w:div>
        <w:div w:id="2138527969">
          <w:marLeft w:val="640"/>
          <w:marRight w:val="0"/>
          <w:marTop w:val="0"/>
          <w:marBottom w:val="0"/>
          <w:divBdr>
            <w:top w:val="none" w:sz="0" w:space="0" w:color="auto"/>
            <w:left w:val="none" w:sz="0" w:space="0" w:color="auto"/>
            <w:bottom w:val="none" w:sz="0" w:space="0" w:color="auto"/>
            <w:right w:val="none" w:sz="0" w:space="0" w:color="auto"/>
          </w:divBdr>
        </w:div>
        <w:div w:id="1508866650">
          <w:marLeft w:val="640"/>
          <w:marRight w:val="0"/>
          <w:marTop w:val="0"/>
          <w:marBottom w:val="0"/>
          <w:divBdr>
            <w:top w:val="none" w:sz="0" w:space="0" w:color="auto"/>
            <w:left w:val="none" w:sz="0" w:space="0" w:color="auto"/>
            <w:bottom w:val="none" w:sz="0" w:space="0" w:color="auto"/>
            <w:right w:val="none" w:sz="0" w:space="0" w:color="auto"/>
          </w:divBdr>
        </w:div>
        <w:div w:id="169150612">
          <w:marLeft w:val="640"/>
          <w:marRight w:val="0"/>
          <w:marTop w:val="0"/>
          <w:marBottom w:val="0"/>
          <w:divBdr>
            <w:top w:val="none" w:sz="0" w:space="0" w:color="auto"/>
            <w:left w:val="none" w:sz="0" w:space="0" w:color="auto"/>
            <w:bottom w:val="none" w:sz="0" w:space="0" w:color="auto"/>
            <w:right w:val="none" w:sz="0" w:space="0" w:color="auto"/>
          </w:divBdr>
        </w:div>
        <w:div w:id="412822987">
          <w:marLeft w:val="640"/>
          <w:marRight w:val="0"/>
          <w:marTop w:val="0"/>
          <w:marBottom w:val="0"/>
          <w:divBdr>
            <w:top w:val="none" w:sz="0" w:space="0" w:color="auto"/>
            <w:left w:val="none" w:sz="0" w:space="0" w:color="auto"/>
            <w:bottom w:val="none" w:sz="0" w:space="0" w:color="auto"/>
            <w:right w:val="none" w:sz="0" w:space="0" w:color="auto"/>
          </w:divBdr>
        </w:div>
        <w:div w:id="1766463983">
          <w:marLeft w:val="640"/>
          <w:marRight w:val="0"/>
          <w:marTop w:val="0"/>
          <w:marBottom w:val="0"/>
          <w:divBdr>
            <w:top w:val="none" w:sz="0" w:space="0" w:color="auto"/>
            <w:left w:val="none" w:sz="0" w:space="0" w:color="auto"/>
            <w:bottom w:val="none" w:sz="0" w:space="0" w:color="auto"/>
            <w:right w:val="none" w:sz="0" w:space="0" w:color="auto"/>
          </w:divBdr>
        </w:div>
        <w:div w:id="1875653711">
          <w:marLeft w:val="640"/>
          <w:marRight w:val="0"/>
          <w:marTop w:val="0"/>
          <w:marBottom w:val="0"/>
          <w:divBdr>
            <w:top w:val="none" w:sz="0" w:space="0" w:color="auto"/>
            <w:left w:val="none" w:sz="0" w:space="0" w:color="auto"/>
            <w:bottom w:val="none" w:sz="0" w:space="0" w:color="auto"/>
            <w:right w:val="none" w:sz="0" w:space="0" w:color="auto"/>
          </w:divBdr>
        </w:div>
        <w:div w:id="1562907198">
          <w:marLeft w:val="640"/>
          <w:marRight w:val="0"/>
          <w:marTop w:val="0"/>
          <w:marBottom w:val="0"/>
          <w:divBdr>
            <w:top w:val="none" w:sz="0" w:space="0" w:color="auto"/>
            <w:left w:val="none" w:sz="0" w:space="0" w:color="auto"/>
            <w:bottom w:val="none" w:sz="0" w:space="0" w:color="auto"/>
            <w:right w:val="none" w:sz="0" w:space="0" w:color="auto"/>
          </w:divBdr>
        </w:div>
        <w:div w:id="1538195694">
          <w:marLeft w:val="640"/>
          <w:marRight w:val="0"/>
          <w:marTop w:val="0"/>
          <w:marBottom w:val="0"/>
          <w:divBdr>
            <w:top w:val="none" w:sz="0" w:space="0" w:color="auto"/>
            <w:left w:val="none" w:sz="0" w:space="0" w:color="auto"/>
            <w:bottom w:val="none" w:sz="0" w:space="0" w:color="auto"/>
            <w:right w:val="none" w:sz="0" w:space="0" w:color="auto"/>
          </w:divBdr>
        </w:div>
        <w:div w:id="723799901">
          <w:marLeft w:val="640"/>
          <w:marRight w:val="0"/>
          <w:marTop w:val="0"/>
          <w:marBottom w:val="0"/>
          <w:divBdr>
            <w:top w:val="none" w:sz="0" w:space="0" w:color="auto"/>
            <w:left w:val="none" w:sz="0" w:space="0" w:color="auto"/>
            <w:bottom w:val="none" w:sz="0" w:space="0" w:color="auto"/>
            <w:right w:val="none" w:sz="0" w:space="0" w:color="auto"/>
          </w:divBdr>
        </w:div>
        <w:div w:id="803893670">
          <w:marLeft w:val="640"/>
          <w:marRight w:val="0"/>
          <w:marTop w:val="0"/>
          <w:marBottom w:val="0"/>
          <w:divBdr>
            <w:top w:val="none" w:sz="0" w:space="0" w:color="auto"/>
            <w:left w:val="none" w:sz="0" w:space="0" w:color="auto"/>
            <w:bottom w:val="none" w:sz="0" w:space="0" w:color="auto"/>
            <w:right w:val="none" w:sz="0" w:space="0" w:color="auto"/>
          </w:divBdr>
        </w:div>
        <w:div w:id="685057997">
          <w:marLeft w:val="640"/>
          <w:marRight w:val="0"/>
          <w:marTop w:val="0"/>
          <w:marBottom w:val="0"/>
          <w:divBdr>
            <w:top w:val="none" w:sz="0" w:space="0" w:color="auto"/>
            <w:left w:val="none" w:sz="0" w:space="0" w:color="auto"/>
            <w:bottom w:val="none" w:sz="0" w:space="0" w:color="auto"/>
            <w:right w:val="none" w:sz="0" w:space="0" w:color="auto"/>
          </w:divBdr>
        </w:div>
        <w:div w:id="1830904248">
          <w:marLeft w:val="640"/>
          <w:marRight w:val="0"/>
          <w:marTop w:val="0"/>
          <w:marBottom w:val="0"/>
          <w:divBdr>
            <w:top w:val="none" w:sz="0" w:space="0" w:color="auto"/>
            <w:left w:val="none" w:sz="0" w:space="0" w:color="auto"/>
            <w:bottom w:val="none" w:sz="0" w:space="0" w:color="auto"/>
            <w:right w:val="none" w:sz="0" w:space="0" w:color="auto"/>
          </w:divBdr>
        </w:div>
        <w:div w:id="1735425831">
          <w:marLeft w:val="640"/>
          <w:marRight w:val="0"/>
          <w:marTop w:val="0"/>
          <w:marBottom w:val="0"/>
          <w:divBdr>
            <w:top w:val="none" w:sz="0" w:space="0" w:color="auto"/>
            <w:left w:val="none" w:sz="0" w:space="0" w:color="auto"/>
            <w:bottom w:val="none" w:sz="0" w:space="0" w:color="auto"/>
            <w:right w:val="none" w:sz="0" w:space="0" w:color="auto"/>
          </w:divBdr>
        </w:div>
        <w:div w:id="817111943">
          <w:marLeft w:val="640"/>
          <w:marRight w:val="0"/>
          <w:marTop w:val="0"/>
          <w:marBottom w:val="0"/>
          <w:divBdr>
            <w:top w:val="none" w:sz="0" w:space="0" w:color="auto"/>
            <w:left w:val="none" w:sz="0" w:space="0" w:color="auto"/>
            <w:bottom w:val="none" w:sz="0" w:space="0" w:color="auto"/>
            <w:right w:val="none" w:sz="0" w:space="0" w:color="auto"/>
          </w:divBdr>
        </w:div>
        <w:div w:id="2023698328">
          <w:marLeft w:val="640"/>
          <w:marRight w:val="0"/>
          <w:marTop w:val="0"/>
          <w:marBottom w:val="0"/>
          <w:divBdr>
            <w:top w:val="none" w:sz="0" w:space="0" w:color="auto"/>
            <w:left w:val="none" w:sz="0" w:space="0" w:color="auto"/>
            <w:bottom w:val="none" w:sz="0" w:space="0" w:color="auto"/>
            <w:right w:val="none" w:sz="0" w:space="0" w:color="auto"/>
          </w:divBdr>
        </w:div>
        <w:div w:id="41711764">
          <w:marLeft w:val="640"/>
          <w:marRight w:val="0"/>
          <w:marTop w:val="0"/>
          <w:marBottom w:val="0"/>
          <w:divBdr>
            <w:top w:val="none" w:sz="0" w:space="0" w:color="auto"/>
            <w:left w:val="none" w:sz="0" w:space="0" w:color="auto"/>
            <w:bottom w:val="none" w:sz="0" w:space="0" w:color="auto"/>
            <w:right w:val="none" w:sz="0" w:space="0" w:color="auto"/>
          </w:divBdr>
        </w:div>
        <w:div w:id="1733188124">
          <w:marLeft w:val="640"/>
          <w:marRight w:val="0"/>
          <w:marTop w:val="0"/>
          <w:marBottom w:val="0"/>
          <w:divBdr>
            <w:top w:val="none" w:sz="0" w:space="0" w:color="auto"/>
            <w:left w:val="none" w:sz="0" w:space="0" w:color="auto"/>
            <w:bottom w:val="none" w:sz="0" w:space="0" w:color="auto"/>
            <w:right w:val="none" w:sz="0" w:space="0" w:color="auto"/>
          </w:divBdr>
        </w:div>
        <w:div w:id="126819840">
          <w:marLeft w:val="640"/>
          <w:marRight w:val="0"/>
          <w:marTop w:val="0"/>
          <w:marBottom w:val="0"/>
          <w:divBdr>
            <w:top w:val="none" w:sz="0" w:space="0" w:color="auto"/>
            <w:left w:val="none" w:sz="0" w:space="0" w:color="auto"/>
            <w:bottom w:val="none" w:sz="0" w:space="0" w:color="auto"/>
            <w:right w:val="none" w:sz="0" w:space="0" w:color="auto"/>
          </w:divBdr>
        </w:div>
        <w:div w:id="2013142734">
          <w:marLeft w:val="640"/>
          <w:marRight w:val="0"/>
          <w:marTop w:val="0"/>
          <w:marBottom w:val="0"/>
          <w:divBdr>
            <w:top w:val="none" w:sz="0" w:space="0" w:color="auto"/>
            <w:left w:val="none" w:sz="0" w:space="0" w:color="auto"/>
            <w:bottom w:val="none" w:sz="0" w:space="0" w:color="auto"/>
            <w:right w:val="none" w:sz="0" w:space="0" w:color="auto"/>
          </w:divBdr>
        </w:div>
        <w:div w:id="1145245854">
          <w:marLeft w:val="640"/>
          <w:marRight w:val="0"/>
          <w:marTop w:val="0"/>
          <w:marBottom w:val="0"/>
          <w:divBdr>
            <w:top w:val="none" w:sz="0" w:space="0" w:color="auto"/>
            <w:left w:val="none" w:sz="0" w:space="0" w:color="auto"/>
            <w:bottom w:val="none" w:sz="0" w:space="0" w:color="auto"/>
            <w:right w:val="none" w:sz="0" w:space="0" w:color="auto"/>
          </w:divBdr>
        </w:div>
        <w:div w:id="163715565">
          <w:marLeft w:val="640"/>
          <w:marRight w:val="0"/>
          <w:marTop w:val="0"/>
          <w:marBottom w:val="0"/>
          <w:divBdr>
            <w:top w:val="none" w:sz="0" w:space="0" w:color="auto"/>
            <w:left w:val="none" w:sz="0" w:space="0" w:color="auto"/>
            <w:bottom w:val="none" w:sz="0" w:space="0" w:color="auto"/>
            <w:right w:val="none" w:sz="0" w:space="0" w:color="auto"/>
          </w:divBdr>
        </w:div>
        <w:div w:id="430012548">
          <w:marLeft w:val="640"/>
          <w:marRight w:val="0"/>
          <w:marTop w:val="0"/>
          <w:marBottom w:val="0"/>
          <w:divBdr>
            <w:top w:val="none" w:sz="0" w:space="0" w:color="auto"/>
            <w:left w:val="none" w:sz="0" w:space="0" w:color="auto"/>
            <w:bottom w:val="none" w:sz="0" w:space="0" w:color="auto"/>
            <w:right w:val="none" w:sz="0" w:space="0" w:color="auto"/>
          </w:divBdr>
        </w:div>
        <w:div w:id="139154827">
          <w:marLeft w:val="640"/>
          <w:marRight w:val="0"/>
          <w:marTop w:val="0"/>
          <w:marBottom w:val="0"/>
          <w:divBdr>
            <w:top w:val="none" w:sz="0" w:space="0" w:color="auto"/>
            <w:left w:val="none" w:sz="0" w:space="0" w:color="auto"/>
            <w:bottom w:val="none" w:sz="0" w:space="0" w:color="auto"/>
            <w:right w:val="none" w:sz="0" w:space="0" w:color="auto"/>
          </w:divBdr>
        </w:div>
        <w:div w:id="1558010341">
          <w:marLeft w:val="640"/>
          <w:marRight w:val="0"/>
          <w:marTop w:val="0"/>
          <w:marBottom w:val="0"/>
          <w:divBdr>
            <w:top w:val="none" w:sz="0" w:space="0" w:color="auto"/>
            <w:left w:val="none" w:sz="0" w:space="0" w:color="auto"/>
            <w:bottom w:val="none" w:sz="0" w:space="0" w:color="auto"/>
            <w:right w:val="none" w:sz="0" w:space="0" w:color="auto"/>
          </w:divBdr>
        </w:div>
        <w:div w:id="972255475">
          <w:marLeft w:val="640"/>
          <w:marRight w:val="0"/>
          <w:marTop w:val="0"/>
          <w:marBottom w:val="0"/>
          <w:divBdr>
            <w:top w:val="none" w:sz="0" w:space="0" w:color="auto"/>
            <w:left w:val="none" w:sz="0" w:space="0" w:color="auto"/>
            <w:bottom w:val="none" w:sz="0" w:space="0" w:color="auto"/>
            <w:right w:val="none" w:sz="0" w:space="0" w:color="auto"/>
          </w:divBdr>
        </w:div>
        <w:div w:id="871303486">
          <w:marLeft w:val="640"/>
          <w:marRight w:val="0"/>
          <w:marTop w:val="0"/>
          <w:marBottom w:val="0"/>
          <w:divBdr>
            <w:top w:val="none" w:sz="0" w:space="0" w:color="auto"/>
            <w:left w:val="none" w:sz="0" w:space="0" w:color="auto"/>
            <w:bottom w:val="none" w:sz="0" w:space="0" w:color="auto"/>
            <w:right w:val="none" w:sz="0" w:space="0" w:color="auto"/>
          </w:divBdr>
        </w:div>
        <w:div w:id="657923956">
          <w:marLeft w:val="640"/>
          <w:marRight w:val="0"/>
          <w:marTop w:val="0"/>
          <w:marBottom w:val="0"/>
          <w:divBdr>
            <w:top w:val="none" w:sz="0" w:space="0" w:color="auto"/>
            <w:left w:val="none" w:sz="0" w:space="0" w:color="auto"/>
            <w:bottom w:val="none" w:sz="0" w:space="0" w:color="auto"/>
            <w:right w:val="none" w:sz="0" w:space="0" w:color="auto"/>
          </w:divBdr>
        </w:div>
        <w:div w:id="665134487">
          <w:marLeft w:val="640"/>
          <w:marRight w:val="0"/>
          <w:marTop w:val="0"/>
          <w:marBottom w:val="0"/>
          <w:divBdr>
            <w:top w:val="none" w:sz="0" w:space="0" w:color="auto"/>
            <w:left w:val="none" w:sz="0" w:space="0" w:color="auto"/>
            <w:bottom w:val="none" w:sz="0" w:space="0" w:color="auto"/>
            <w:right w:val="none" w:sz="0" w:space="0" w:color="auto"/>
          </w:divBdr>
        </w:div>
        <w:div w:id="400056872">
          <w:marLeft w:val="640"/>
          <w:marRight w:val="0"/>
          <w:marTop w:val="0"/>
          <w:marBottom w:val="0"/>
          <w:divBdr>
            <w:top w:val="none" w:sz="0" w:space="0" w:color="auto"/>
            <w:left w:val="none" w:sz="0" w:space="0" w:color="auto"/>
            <w:bottom w:val="none" w:sz="0" w:space="0" w:color="auto"/>
            <w:right w:val="none" w:sz="0" w:space="0" w:color="auto"/>
          </w:divBdr>
        </w:div>
        <w:div w:id="1310092254">
          <w:marLeft w:val="640"/>
          <w:marRight w:val="0"/>
          <w:marTop w:val="0"/>
          <w:marBottom w:val="0"/>
          <w:divBdr>
            <w:top w:val="none" w:sz="0" w:space="0" w:color="auto"/>
            <w:left w:val="none" w:sz="0" w:space="0" w:color="auto"/>
            <w:bottom w:val="none" w:sz="0" w:space="0" w:color="auto"/>
            <w:right w:val="none" w:sz="0" w:space="0" w:color="auto"/>
          </w:divBdr>
        </w:div>
        <w:div w:id="1375543678">
          <w:marLeft w:val="640"/>
          <w:marRight w:val="0"/>
          <w:marTop w:val="0"/>
          <w:marBottom w:val="0"/>
          <w:divBdr>
            <w:top w:val="none" w:sz="0" w:space="0" w:color="auto"/>
            <w:left w:val="none" w:sz="0" w:space="0" w:color="auto"/>
            <w:bottom w:val="none" w:sz="0" w:space="0" w:color="auto"/>
            <w:right w:val="none" w:sz="0" w:space="0" w:color="auto"/>
          </w:divBdr>
        </w:div>
        <w:div w:id="2130708884">
          <w:marLeft w:val="640"/>
          <w:marRight w:val="0"/>
          <w:marTop w:val="0"/>
          <w:marBottom w:val="0"/>
          <w:divBdr>
            <w:top w:val="none" w:sz="0" w:space="0" w:color="auto"/>
            <w:left w:val="none" w:sz="0" w:space="0" w:color="auto"/>
            <w:bottom w:val="none" w:sz="0" w:space="0" w:color="auto"/>
            <w:right w:val="none" w:sz="0" w:space="0" w:color="auto"/>
          </w:divBdr>
        </w:div>
        <w:div w:id="1990555521">
          <w:marLeft w:val="640"/>
          <w:marRight w:val="0"/>
          <w:marTop w:val="0"/>
          <w:marBottom w:val="0"/>
          <w:divBdr>
            <w:top w:val="none" w:sz="0" w:space="0" w:color="auto"/>
            <w:left w:val="none" w:sz="0" w:space="0" w:color="auto"/>
            <w:bottom w:val="none" w:sz="0" w:space="0" w:color="auto"/>
            <w:right w:val="none" w:sz="0" w:space="0" w:color="auto"/>
          </w:divBdr>
        </w:div>
        <w:div w:id="1289241774">
          <w:marLeft w:val="640"/>
          <w:marRight w:val="0"/>
          <w:marTop w:val="0"/>
          <w:marBottom w:val="0"/>
          <w:divBdr>
            <w:top w:val="none" w:sz="0" w:space="0" w:color="auto"/>
            <w:left w:val="none" w:sz="0" w:space="0" w:color="auto"/>
            <w:bottom w:val="none" w:sz="0" w:space="0" w:color="auto"/>
            <w:right w:val="none" w:sz="0" w:space="0" w:color="auto"/>
          </w:divBdr>
        </w:div>
        <w:div w:id="1645936958">
          <w:marLeft w:val="640"/>
          <w:marRight w:val="0"/>
          <w:marTop w:val="0"/>
          <w:marBottom w:val="0"/>
          <w:divBdr>
            <w:top w:val="none" w:sz="0" w:space="0" w:color="auto"/>
            <w:left w:val="none" w:sz="0" w:space="0" w:color="auto"/>
            <w:bottom w:val="none" w:sz="0" w:space="0" w:color="auto"/>
            <w:right w:val="none" w:sz="0" w:space="0" w:color="auto"/>
          </w:divBdr>
        </w:div>
        <w:div w:id="718626440">
          <w:marLeft w:val="640"/>
          <w:marRight w:val="0"/>
          <w:marTop w:val="0"/>
          <w:marBottom w:val="0"/>
          <w:divBdr>
            <w:top w:val="none" w:sz="0" w:space="0" w:color="auto"/>
            <w:left w:val="none" w:sz="0" w:space="0" w:color="auto"/>
            <w:bottom w:val="none" w:sz="0" w:space="0" w:color="auto"/>
            <w:right w:val="none" w:sz="0" w:space="0" w:color="auto"/>
          </w:divBdr>
        </w:div>
        <w:div w:id="959720529">
          <w:marLeft w:val="640"/>
          <w:marRight w:val="0"/>
          <w:marTop w:val="0"/>
          <w:marBottom w:val="0"/>
          <w:divBdr>
            <w:top w:val="none" w:sz="0" w:space="0" w:color="auto"/>
            <w:left w:val="none" w:sz="0" w:space="0" w:color="auto"/>
            <w:bottom w:val="none" w:sz="0" w:space="0" w:color="auto"/>
            <w:right w:val="none" w:sz="0" w:space="0" w:color="auto"/>
          </w:divBdr>
        </w:div>
        <w:div w:id="850947912">
          <w:marLeft w:val="640"/>
          <w:marRight w:val="0"/>
          <w:marTop w:val="0"/>
          <w:marBottom w:val="0"/>
          <w:divBdr>
            <w:top w:val="none" w:sz="0" w:space="0" w:color="auto"/>
            <w:left w:val="none" w:sz="0" w:space="0" w:color="auto"/>
            <w:bottom w:val="none" w:sz="0" w:space="0" w:color="auto"/>
            <w:right w:val="none" w:sz="0" w:space="0" w:color="auto"/>
          </w:divBdr>
        </w:div>
        <w:div w:id="1192260501">
          <w:marLeft w:val="640"/>
          <w:marRight w:val="0"/>
          <w:marTop w:val="0"/>
          <w:marBottom w:val="0"/>
          <w:divBdr>
            <w:top w:val="none" w:sz="0" w:space="0" w:color="auto"/>
            <w:left w:val="none" w:sz="0" w:space="0" w:color="auto"/>
            <w:bottom w:val="none" w:sz="0" w:space="0" w:color="auto"/>
            <w:right w:val="none" w:sz="0" w:space="0" w:color="auto"/>
          </w:divBdr>
        </w:div>
        <w:div w:id="1305351328">
          <w:marLeft w:val="640"/>
          <w:marRight w:val="0"/>
          <w:marTop w:val="0"/>
          <w:marBottom w:val="0"/>
          <w:divBdr>
            <w:top w:val="none" w:sz="0" w:space="0" w:color="auto"/>
            <w:left w:val="none" w:sz="0" w:space="0" w:color="auto"/>
            <w:bottom w:val="none" w:sz="0" w:space="0" w:color="auto"/>
            <w:right w:val="none" w:sz="0" w:space="0" w:color="auto"/>
          </w:divBdr>
        </w:div>
        <w:div w:id="1592810494">
          <w:marLeft w:val="640"/>
          <w:marRight w:val="0"/>
          <w:marTop w:val="0"/>
          <w:marBottom w:val="0"/>
          <w:divBdr>
            <w:top w:val="none" w:sz="0" w:space="0" w:color="auto"/>
            <w:left w:val="none" w:sz="0" w:space="0" w:color="auto"/>
            <w:bottom w:val="none" w:sz="0" w:space="0" w:color="auto"/>
            <w:right w:val="none" w:sz="0" w:space="0" w:color="auto"/>
          </w:divBdr>
        </w:div>
        <w:div w:id="840893707">
          <w:marLeft w:val="640"/>
          <w:marRight w:val="0"/>
          <w:marTop w:val="0"/>
          <w:marBottom w:val="0"/>
          <w:divBdr>
            <w:top w:val="none" w:sz="0" w:space="0" w:color="auto"/>
            <w:left w:val="none" w:sz="0" w:space="0" w:color="auto"/>
            <w:bottom w:val="none" w:sz="0" w:space="0" w:color="auto"/>
            <w:right w:val="none" w:sz="0" w:space="0" w:color="auto"/>
          </w:divBdr>
        </w:div>
        <w:div w:id="2048288579">
          <w:marLeft w:val="640"/>
          <w:marRight w:val="0"/>
          <w:marTop w:val="0"/>
          <w:marBottom w:val="0"/>
          <w:divBdr>
            <w:top w:val="none" w:sz="0" w:space="0" w:color="auto"/>
            <w:left w:val="none" w:sz="0" w:space="0" w:color="auto"/>
            <w:bottom w:val="none" w:sz="0" w:space="0" w:color="auto"/>
            <w:right w:val="none" w:sz="0" w:space="0" w:color="auto"/>
          </w:divBdr>
        </w:div>
        <w:div w:id="219446026">
          <w:marLeft w:val="640"/>
          <w:marRight w:val="0"/>
          <w:marTop w:val="0"/>
          <w:marBottom w:val="0"/>
          <w:divBdr>
            <w:top w:val="none" w:sz="0" w:space="0" w:color="auto"/>
            <w:left w:val="none" w:sz="0" w:space="0" w:color="auto"/>
            <w:bottom w:val="none" w:sz="0" w:space="0" w:color="auto"/>
            <w:right w:val="none" w:sz="0" w:space="0" w:color="auto"/>
          </w:divBdr>
        </w:div>
        <w:div w:id="1377582116">
          <w:marLeft w:val="640"/>
          <w:marRight w:val="0"/>
          <w:marTop w:val="0"/>
          <w:marBottom w:val="0"/>
          <w:divBdr>
            <w:top w:val="none" w:sz="0" w:space="0" w:color="auto"/>
            <w:left w:val="none" w:sz="0" w:space="0" w:color="auto"/>
            <w:bottom w:val="none" w:sz="0" w:space="0" w:color="auto"/>
            <w:right w:val="none" w:sz="0" w:space="0" w:color="auto"/>
          </w:divBdr>
        </w:div>
        <w:div w:id="942765599">
          <w:marLeft w:val="640"/>
          <w:marRight w:val="0"/>
          <w:marTop w:val="0"/>
          <w:marBottom w:val="0"/>
          <w:divBdr>
            <w:top w:val="none" w:sz="0" w:space="0" w:color="auto"/>
            <w:left w:val="none" w:sz="0" w:space="0" w:color="auto"/>
            <w:bottom w:val="none" w:sz="0" w:space="0" w:color="auto"/>
            <w:right w:val="none" w:sz="0" w:space="0" w:color="auto"/>
          </w:divBdr>
        </w:div>
        <w:div w:id="1004823095">
          <w:marLeft w:val="640"/>
          <w:marRight w:val="0"/>
          <w:marTop w:val="0"/>
          <w:marBottom w:val="0"/>
          <w:divBdr>
            <w:top w:val="none" w:sz="0" w:space="0" w:color="auto"/>
            <w:left w:val="none" w:sz="0" w:space="0" w:color="auto"/>
            <w:bottom w:val="none" w:sz="0" w:space="0" w:color="auto"/>
            <w:right w:val="none" w:sz="0" w:space="0" w:color="auto"/>
          </w:divBdr>
        </w:div>
        <w:div w:id="240338667">
          <w:marLeft w:val="640"/>
          <w:marRight w:val="0"/>
          <w:marTop w:val="0"/>
          <w:marBottom w:val="0"/>
          <w:divBdr>
            <w:top w:val="none" w:sz="0" w:space="0" w:color="auto"/>
            <w:left w:val="none" w:sz="0" w:space="0" w:color="auto"/>
            <w:bottom w:val="none" w:sz="0" w:space="0" w:color="auto"/>
            <w:right w:val="none" w:sz="0" w:space="0" w:color="auto"/>
          </w:divBdr>
        </w:div>
        <w:div w:id="1410081987">
          <w:marLeft w:val="640"/>
          <w:marRight w:val="0"/>
          <w:marTop w:val="0"/>
          <w:marBottom w:val="0"/>
          <w:divBdr>
            <w:top w:val="none" w:sz="0" w:space="0" w:color="auto"/>
            <w:left w:val="none" w:sz="0" w:space="0" w:color="auto"/>
            <w:bottom w:val="none" w:sz="0" w:space="0" w:color="auto"/>
            <w:right w:val="none" w:sz="0" w:space="0" w:color="auto"/>
          </w:divBdr>
        </w:div>
        <w:div w:id="1425764851">
          <w:marLeft w:val="640"/>
          <w:marRight w:val="0"/>
          <w:marTop w:val="0"/>
          <w:marBottom w:val="0"/>
          <w:divBdr>
            <w:top w:val="none" w:sz="0" w:space="0" w:color="auto"/>
            <w:left w:val="none" w:sz="0" w:space="0" w:color="auto"/>
            <w:bottom w:val="none" w:sz="0" w:space="0" w:color="auto"/>
            <w:right w:val="none" w:sz="0" w:space="0" w:color="auto"/>
          </w:divBdr>
        </w:div>
        <w:div w:id="542058420">
          <w:marLeft w:val="640"/>
          <w:marRight w:val="0"/>
          <w:marTop w:val="0"/>
          <w:marBottom w:val="0"/>
          <w:divBdr>
            <w:top w:val="none" w:sz="0" w:space="0" w:color="auto"/>
            <w:left w:val="none" w:sz="0" w:space="0" w:color="auto"/>
            <w:bottom w:val="none" w:sz="0" w:space="0" w:color="auto"/>
            <w:right w:val="none" w:sz="0" w:space="0" w:color="auto"/>
          </w:divBdr>
        </w:div>
        <w:div w:id="847478192">
          <w:marLeft w:val="640"/>
          <w:marRight w:val="0"/>
          <w:marTop w:val="0"/>
          <w:marBottom w:val="0"/>
          <w:divBdr>
            <w:top w:val="none" w:sz="0" w:space="0" w:color="auto"/>
            <w:left w:val="none" w:sz="0" w:space="0" w:color="auto"/>
            <w:bottom w:val="none" w:sz="0" w:space="0" w:color="auto"/>
            <w:right w:val="none" w:sz="0" w:space="0" w:color="auto"/>
          </w:divBdr>
        </w:div>
        <w:div w:id="9795329">
          <w:marLeft w:val="640"/>
          <w:marRight w:val="0"/>
          <w:marTop w:val="0"/>
          <w:marBottom w:val="0"/>
          <w:divBdr>
            <w:top w:val="none" w:sz="0" w:space="0" w:color="auto"/>
            <w:left w:val="none" w:sz="0" w:space="0" w:color="auto"/>
            <w:bottom w:val="none" w:sz="0" w:space="0" w:color="auto"/>
            <w:right w:val="none" w:sz="0" w:space="0" w:color="auto"/>
          </w:divBdr>
        </w:div>
        <w:div w:id="486869339">
          <w:marLeft w:val="640"/>
          <w:marRight w:val="0"/>
          <w:marTop w:val="0"/>
          <w:marBottom w:val="0"/>
          <w:divBdr>
            <w:top w:val="none" w:sz="0" w:space="0" w:color="auto"/>
            <w:left w:val="none" w:sz="0" w:space="0" w:color="auto"/>
            <w:bottom w:val="none" w:sz="0" w:space="0" w:color="auto"/>
            <w:right w:val="none" w:sz="0" w:space="0" w:color="auto"/>
          </w:divBdr>
        </w:div>
        <w:div w:id="2015181513">
          <w:marLeft w:val="640"/>
          <w:marRight w:val="0"/>
          <w:marTop w:val="0"/>
          <w:marBottom w:val="0"/>
          <w:divBdr>
            <w:top w:val="none" w:sz="0" w:space="0" w:color="auto"/>
            <w:left w:val="none" w:sz="0" w:space="0" w:color="auto"/>
            <w:bottom w:val="none" w:sz="0" w:space="0" w:color="auto"/>
            <w:right w:val="none" w:sz="0" w:space="0" w:color="auto"/>
          </w:divBdr>
        </w:div>
        <w:div w:id="1463574610">
          <w:marLeft w:val="640"/>
          <w:marRight w:val="0"/>
          <w:marTop w:val="0"/>
          <w:marBottom w:val="0"/>
          <w:divBdr>
            <w:top w:val="none" w:sz="0" w:space="0" w:color="auto"/>
            <w:left w:val="none" w:sz="0" w:space="0" w:color="auto"/>
            <w:bottom w:val="none" w:sz="0" w:space="0" w:color="auto"/>
            <w:right w:val="none" w:sz="0" w:space="0" w:color="auto"/>
          </w:divBdr>
        </w:div>
        <w:div w:id="1455707149">
          <w:marLeft w:val="640"/>
          <w:marRight w:val="0"/>
          <w:marTop w:val="0"/>
          <w:marBottom w:val="0"/>
          <w:divBdr>
            <w:top w:val="none" w:sz="0" w:space="0" w:color="auto"/>
            <w:left w:val="none" w:sz="0" w:space="0" w:color="auto"/>
            <w:bottom w:val="none" w:sz="0" w:space="0" w:color="auto"/>
            <w:right w:val="none" w:sz="0" w:space="0" w:color="auto"/>
          </w:divBdr>
        </w:div>
        <w:div w:id="471756736">
          <w:marLeft w:val="640"/>
          <w:marRight w:val="0"/>
          <w:marTop w:val="0"/>
          <w:marBottom w:val="0"/>
          <w:divBdr>
            <w:top w:val="none" w:sz="0" w:space="0" w:color="auto"/>
            <w:left w:val="none" w:sz="0" w:space="0" w:color="auto"/>
            <w:bottom w:val="none" w:sz="0" w:space="0" w:color="auto"/>
            <w:right w:val="none" w:sz="0" w:space="0" w:color="auto"/>
          </w:divBdr>
        </w:div>
        <w:div w:id="1220819944">
          <w:marLeft w:val="640"/>
          <w:marRight w:val="0"/>
          <w:marTop w:val="0"/>
          <w:marBottom w:val="0"/>
          <w:divBdr>
            <w:top w:val="none" w:sz="0" w:space="0" w:color="auto"/>
            <w:left w:val="none" w:sz="0" w:space="0" w:color="auto"/>
            <w:bottom w:val="none" w:sz="0" w:space="0" w:color="auto"/>
            <w:right w:val="none" w:sz="0" w:space="0" w:color="auto"/>
          </w:divBdr>
        </w:div>
        <w:div w:id="1341278407">
          <w:marLeft w:val="640"/>
          <w:marRight w:val="0"/>
          <w:marTop w:val="0"/>
          <w:marBottom w:val="0"/>
          <w:divBdr>
            <w:top w:val="none" w:sz="0" w:space="0" w:color="auto"/>
            <w:left w:val="none" w:sz="0" w:space="0" w:color="auto"/>
            <w:bottom w:val="none" w:sz="0" w:space="0" w:color="auto"/>
            <w:right w:val="none" w:sz="0" w:space="0" w:color="auto"/>
          </w:divBdr>
        </w:div>
        <w:div w:id="638461536">
          <w:marLeft w:val="640"/>
          <w:marRight w:val="0"/>
          <w:marTop w:val="0"/>
          <w:marBottom w:val="0"/>
          <w:divBdr>
            <w:top w:val="none" w:sz="0" w:space="0" w:color="auto"/>
            <w:left w:val="none" w:sz="0" w:space="0" w:color="auto"/>
            <w:bottom w:val="none" w:sz="0" w:space="0" w:color="auto"/>
            <w:right w:val="none" w:sz="0" w:space="0" w:color="auto"/>
          </w:divBdr>
        </w:div>
        <w:div w:id="1305625777">
          <w:marLeft w:val="640"/>
          <w:marRight w:val="0"/>
          <w:marTop w:val="0"/>
          <w:marBottom w:val="0"/>
          <w:divBdr>
            <w:top w:val="none" w:sz="0" w:space="0" w:color="auto"/>
            <w:left w:val="none" w:sz="0" w:space="0" w:color="auto"/>
            <w:bottom w:val="none" w:sz="0" w:space="0" w:color="auto"/>
            <w:right w:val="none" w:sz="0" w:space="0" w:color="auto"/>
          </w:divBdr>
        </w:div>
        <w:div w:id="1171214847">
          <w:marLeft w:val="640"/>
          <w:marRight w:val="0"/>
          <w:marTop w:val="0"/>
          <w:marBottom w:val="0"/>
          <w:divBdr>
            <w:top w:val="none" w:sz="0" w:space="0" w:color="auto"/>
            <w:left w:val="none" w:sz="0" w:space="0" w:color="auto"/>
            <w:bottom w:val="none" w:sz="0" w:space="0" w:color="auto"/>
            <w:right w:val="none" w:sz="0" w:space="0" w:color="auto"/>
          </w:divBdr>
        </w:div>
        <w:div w:id="1212570088">
          <w:marLeft w:val="640"/>
          <w:marRight w:val="0"/>
          <w:marTop w:val="0"/>
          <w:marBottom w:val="0"/>
          <w:divBdr>
            <w:top w:val="none" w:sz="0" w:space="0" w:color="auto"/>
            <w:left w:val="none" w:sz="0" w:space="0" w:color="auto"/>
            <w:bottom w:val="none" w:sz="0" w:space="0" w:color="auto"/>
            <w:right w:val="none" w:sz="0" w:space="0" w:color="auto"/>
          </w:divBdr>
        </w:div>
        <w:div w:id="878863028">
          <w:marLeft w:val="640"/>
          <w:marRight w:val="0"/>
          <w:marTop w:val="0"/>
          <w:marBottom w:val="0"/>
          <w:divBdr>
            <w:top w:val="none" w:sz="0" w:space="0" w:color="auto"/>
            <w:left w:val="none" w:sz="0" w:space="0" w:color="auto"/>
            <w:bottom w:val="none" w:sz="0" w:space="0" w:color="auto"/>
            <w:right w:val="none" w:sz="0" w:space="0" w:color="auto"/>
          </w:divBdr>
        </w:div>
        <w:div w:id="1234782029">
          <w:marLeft w:val="640"/>
          <w:marRight w:val="0"/>
          <w:marTop w:val="0"/>
          <w:marBottom w:val="0"/>
          <w:divBdr>
            <w:top w:val="none" w:sz="0" w:space="0" w:color="auto"/>
            <w:left w:val="none" w:sz="0" w:space="0" w:color="auto"/>
            <w:bottom w:val="none" w:sz="0" w:space="0" w:color="auto"/>
            <w:right w:val="none" w:sz="0" w:space="0" w:color="auto"/>
          </w:divBdr>
        </w:div>
        <w:div w:id="69084309">
          <w:marLeft w:val="640"/>
          <w:marRight w:val="0"/>
          <w:marTop w:val="0"/>
          <w:marBottom w:val="0"/>
          <w:divBdr>
            <w:top w:val="none" w:sz="0" w:space="0" w:color="auto"/>
            <w:left w:val="none" w:sz="0" w:space="0" w:color="auto"/>
            <w:bottom w:val="none" w:sz="0" w:space="0" w:color="auto"/>
            <w:right w:val="none" w:sz="0" w:space="0" w:color="auto"/>
          </w:divBdr>
        </w:div>
        <w:div w:id="1846631516">
          <w:marLeft w:val="640"/>
          <w:marRight w:val="0"/>
          <w:marTop w:val="0"/>
          <w:marBottom w:val="0"/>
          <w:divBdr>
            <w:top w:val="none" w:sz="0" w:space="0" w:color="auto"/>
            <w:left w:val="none" w:sz="0" w:space="0" w:color="auto"/>
            <w:bottom w:val="none" w:sz="0" w:space="0" w:color="auto"/>
            <w:right w:val="none" w:sz="0" w:space="0" w:color="auto"/>
          </w:divBdr>
        </w:div>
        <w:div w:id="1287085289">
          <w:marLeft w:val="640"/>
          <w:marRight w:val="0"/>
          <w:marTop w:val="0"/>
          <w:marBottom w:val="0"/>
          <w:divBdr>
            <w:top w:val="none" w:sz="0" w:space="0" w:color="auto"/>
            <w:left w:val="none" w:sz="0" w:space="0" w:color="auto"/>
            <w:bottom w:val="none" w:sz="0" w:space="0" w:color="auto"/>
            <w:right w:val="none" w:sz="0" w:space="0" w:color="auto"/>
          </w:divBdr>
        </w:div>
        <w:div w:id="2028944912">
          <w:marLeft w:val="640"/>
          <w:marRight w:val="0"/>
          <w:marTop w:val="0"/>
          <w:marBottom w:val="0"/>
          <w:divBdr>
            <w:top w:val="none" w:sz="0" w:space="0" w:color="auto"/>
            <w:left w:val="none" w:sz="0" w:space="0" w:color="auto"/>
            <w:bottom w:val="none" w:sz="0" w:space="0" w:color="auto"/>
            <w:right w:val="none" w:sz="0" w:space="0" w:color="auto"/>
          </w:divBdr>
        </w:div>
        <w:div w:id="260340071">
          <w:marLeft w:val="640"/>
          <w:marRight w:val="0"/>
          <w:marTop w:val="0"/>
          <w:marBottom w:val="0"/>
          <w:divBdr>
            <w:top w:val="none" w:sz="0" w:space="0" w:color="auto"/>
            <w:left w:val="none" w:sz="0" w:space="0" w:color="auto"/>
            <w:bottom w:val="none" w:sz="0" w:space="0" w:color="auto"/>
            <w:right w:val="none" w:sz="0" w:space="0" w:color="auto"/>
          </w:divBdr>
        </w:div>
        <w:div w:id="596403624">
          <w:marLeft w:val="640"/>
          <w:marRight w:val="0"/>
          <w:marTop w:val="0"/>
          <w:marBottom w:val="0"/>
          <w:divBdr>
            <w:top w:val="none" w:sz="0" w:space="0" w:color="auto"/>
            <w:left w:val="none" w:sz="0" w:space="0" w:color="auto"/>
            <w:bottom w:val="none" w:sz="0" w:space="0" w:color="auto"/>
            <w:right w:val="none" w:sz="0" w:space="0" w:color="auto"/>
          </w:divBdr>
        </w:div>
        <w:div w:id="2003703143">
          <w:marLeft w:val="640"/>
          <w:marRight w:val="0"/>
          <w:marTop w:val="0"/>
          <w:marBottom w:val="0"/>
          <w:divBdr>
            <w:top w:val="none" w:sz="0" w:space="0" w:color="auto"/>
            <w:left w:val="none" w:sz="0" w:space="0" w:color="auto"/>
            <w:bottom w:val="none" w:sz="0" w:space="0" w:color="auto"/>
            <w:right w:val="none" w:sz="0" w:space="0" w:color="auto"/>
          </w:divBdr>
        </w:div>
        <w:div w:id="440953592">
          <w:marLeft w:val="640"/>
          <w:marRight w:val="0"/>
          <w:marTop w:val="0"/>
          <w:marBottom w:val="0"/>
          <w:divBdr>
            <w:top w:val="none" w:sz="0" w:space="0" w:color="auto"/>
            <w:left w:val="none" w:sz="0" w:space="0" w:color="auto"/>
            <w:bottom w:val="none" w:sz="0" w:space="0" w:color="auto"/>
            <w:right w:val="none" w:sz="0" w:space="0" w:color="auto"/>
          </w:divBdr>
        </w:div>
        <w:div w:id="1581713116">
          <w:marLeft w:val="640"/>
          <w:marRight w:val="0"/>
          <w:marTop w:val="0"/>
          <w:marBottom w:val="0"/>
          <w:divBdr>
            <w:top w:val="none" w:sz="0" w:space="0" w:color="auto"/>
            <w:left w:val="none" w:sz="0" w:space="0" w:color="auto"/>
            <w:bottom w:val="none" w:sz="0" w:space="0" w:color="auto"/>
            <w:right w:val="none" w:sz="0" w:space="0" w:color="auto"/>
          </w:divBdr>
        </w:div>
        <w:div w:id="1082608741">
          <w:marLeft w:val="640"/>
          <w:marRight w:val="0"/>
          <w:marTop w:val="0"/>
          <w:marBottom w:val="0"/>
          <w:divBdr>
            <w:top w:val="none" w:sz="0" w:space="0" w:color="auto"/>
            <w:left w:val="none" w:sz="0" w:space="0" w:color="auto"/>
            <w:bottom w:val="none" w:sz="0" w:space="0" w:color="auto"/>
            <w:right w:val="none" w:sz="0" w:space="0" w:color="auto"/>
          </w:divBdr>
        </w:div>
        <w:div w:id="1703942829">
          <w:marLeft w:val="640"/>
          <w:marRight w:val="0"/>
          <w:marTop w:val="0"/>
          <w:marBottom w:val="0"/>
          <w:divBdr>
            <w:top w:val="none" w:sz="0" w:space="0" w:color="auto"/>
            <w:left w:val="none" w:sz="0" w:space="0" w:color="auto"/>
            <w:bottom w:val="none" w:sz="0" w:space="0" w:color="auto"/>
            <w:right w:val="none" w:sz="0" w:space="0" w:color="auto"/>
          </w:divBdr>
        </w:div>
        <w:div w:id="1564026906">
          <w:marLeft w:val="640"/>
          <w:marRight w:val="0"/>
          <w:marTop w:val="0"/>
          <w:marBottom w:val="0"/>
          <w:divBdr>
            <w:top w:val="none" w:sz="0" w:space="0" w:color="auto"/>
            <w:left w:val="none" w:sz="0" w:space="0" w:color="auto"/>
            <w:bottom w:val="none" w:sz="0" w:space="0" w:color="auto"/>
            <w:right w:val="none" w:sz="0" w:space="0" w:color="auto"/>
          </w:divBdr>
        </w:div>
        <w:div w:id="1929339098">
          <w:marLeft w:val="640"/>
          <w:marRight w:val="0"/>
          <w:marTop w:val="0"/>
          <w:marBottom w:val="0"/>
          <w:divBdr>
            <w:top w:val="none" w:sz="0" w:space="0" w:color="auto"/>
            <w:left w:val="none" w:sz="0" w:space="0" w:color="auto"/>
            <w:bottom w:val="none" w:sz="0" w:space="0" w:color="auto"/>
            <w:right w:val="none" w:sz="0" w:space="0" w:color="auto"/>
          </w:divBdr>
        </w:div>
        <w:div w:id="927419433">
          <w:marLeft w:val="640"/>
          <w:marRight w:val="0"/>
          <w:marTop w:val="0"/>
          <w:marBottom w:val="0"/>
          <w:divBdr>
            <w:top w:val="none" w:sz="0" w:space="0" w:color="auto"/>
            <w:left w:val="none" w:sz="0" w:space="0" w:color="auto"/>
            <w:bottom w:val="none" w:sz="0" w:space="0" w:color="auto"/>
            <w:right w:val="none" w:sz="0" w:space="0" w:color="auto"/>
          </w:divBdr>
        </w:div>
        <w:div w:id="1349017624">
          <w:marLeft w:val="640"/>
          <w:marRight w:val="0"/>
          <w:marTop w:val="0"/>
          <w:marBottom w:val="0"/>
          <w:divBdr>
            <w:top w:val="none" w:sz="0" w:space="0" w:color="auto"/>
            <w:left w:val="none" w:sz="0" w:space="0" w:color="auto"/>
            <w:bottom w:val="none" w:sz="0" w:space="0" w:color="auto"/>
            <w:right w:val="none" w:sz="0" w:space="0" w:color="auto"/>
          </w:divBdr>
        </w:div>
        <w:div w:id="200748796">
          <w:marLeft w:val="640"/>
          <w:marRight w:val="0"/>
          <w:marTop w:val="0"/>
          <w:marBottom w:val="0"/>
          <w:divBdr>
            <w:top w:val="none" w:sz="0" w:space="0" w:color="auto"/>
            <w:left w:val="none" w:sz="0" w:space="0" w:color="auto"/>
            <w:bottom w:val="none" w:sz="0" w:space="0" w:color="auto"/>
            <w:right w:val="none" w:sz="0" w:space="0" w:color="auto"/>
          </w:divBdr>
        </w:div>
        <w:div w:id="427654667">
          <w:marLeft w:val="640"/>
          <w:marRight w:val="0"/>
          <w:marTop w:val="0"/>
          <w:marBottom w:val="0"/>
          <w:divBdr>
            <w:top w:val="none" w:sz="0" w:space="0" w:color="auto"/>
            <w:left w:val="none" w:sz="0" w:space="0" w:color="auto"/>
            <w:bottom w:val="none" w:sz="0" w:space="0" w:color="auto"/>
            <w:right w:val="none" w:sz="0" w:space="0" w:color="auto"/>
          </w:divBdr>
        </w:div>
        <w:div w:id="331030346">
          <w:marLeft w:val="640"/>
          <w:marRight w:val="0"/>
          <w:marTop w:val="0"/>
          <w:marBottom w:val="0"/>
          <w:divBdr>
            <w:top w:val="none" w:sz="0" w:space="0" w:color="auto"/>
            <w:left w:val="none" w:sz="0" w:space="0" w:color="auto"/>
            <w:bottom w:val="none" w:sz="0" w:space="0" w:color="auto"/>
            <w:right w:val="none" w:sz="0" w:space="0" w:color="auto"/>
          </w:divBdr>
        </w:div>
        <w:div w:id="1645113750">
          <w:marLeft w:val="640"/>
          <w:marRight w:val="0"/>
          <w:marTop w:val="0"/>
          <w:marBottom w:val="0"/>
          <w:divBdr>
            <w:top w:val="none" w:sz="0" w:space="0" w:color="auto"/>
            <w:left w:val="none" w:sz="0" w:space="0" w:color="auto"/>
            <w:bottom w:val="none" w:sz="0" w:space="0" w:color="auto"/>
            <w:right w:val="none" w:sz="0" w:space="0" w:color="auto"/>
          </w:divBdr>
        </w:div>
        <w:div w:id="662121944">
          <w:marLeft w:val="640"/>
          <w:marRight w:val="0"/>
          <w:marTop w:val="0"/>
          <w:marBottom w:val="0"/>
          <w:divBdr>
            <w:top w:val="none" w:sz="0" w:space="0" w:color="auto"/>
            <w:left w:val="none" w:sz="0" w:space="0" w:color="auto"/>
            <w:bottom w:val="none" w:sz="0" w:space="0" w:color="auto"/>
            <w:right w:val="none" w:sz="0" w:space="0" w:color="auto"/>
          </w:divBdr>
        </w:div>
        <w:div w:id="1480420839">
          <w:marLeft w:val="640"/>
          <w:marRight w:val="0"/>
          <w:marTop w:val="0"/>
          <w:marBottom w:val="0"/>
          <w:divBdr>
            <w:top w:val="none" w:sz="0" w:space="0" w:color="auto"/>
            <w:left w:val="none" w:sz="0" w:space="0" w:color="auto"/>
            <w:bottom w:val="none" w:sz="0" w:space="0" w:color="auto"/>
            <w:right w:val="none" w:sz="0" w:space="0" w:color="auto"/>
          </w:divBdr>
        </w:div>
        <w:div w:id="1323773749">
          <w:marLeft w:val="640"/>
          <w:marRight w:val="0"/>
          <w:marTop w:val="0"/>
          <w:marBottom w:val="0"/>
          <w:divBdr>
            <w:top w:val="none" w:sz="0" w:space="0" w:color="auto"/>
            <w:left w:val="none" w:sz="0" w:space="0" w:color="auto"/>
            <w:bottom w:val="none" w:sz="0" w:space="0" w:color="auto"/>
            <w:right w:val="none" w:sz="0" w:space="0" w:color="auto"/>
          </w:divBdr>
        </w:div>
        <w:div w:id="167254726">
          <w:marLeft w:val="640"/>
          <w:marRight w:val="0"/>
          <w:marTop w:val="0"/>
          <w:marBottom w:val="0"/>
          <w:divBdr>
            <w:top w:val="none" w:sz="0" w:space="0" w:color="auto"/>
            <w:left w:val="none" w:sz="0" w:space="0" w:color="auto"/>
            <w:bottom w:val="none" w:sz="0" w:space="0" w:color="auto"/>
            <w:right w:val="none" w:sz="0" w:space="0" w:color="auto"/>
          </w:divBdr>
        </w:div>
        <w:div w:id="554506561">
          <w:marLeft w:val="640"/>
          <w:marRight w:val="0"/>
          <w:marTop w:val="0"/>
          <w:marBottom w:val="0"/>
          <w:divBdr>
            <w:top w:val="none" w:sz="0" w:space="0" w:color="auto"/>
            <w:left w:val="none" w:sz="0" w:space="0" w:color="auto"/>
            <w:bottom w:val="none" w:sz="0" w:space="0" w:color="auto"/>
            <w:right w:val="none" w:sz="0" w:space="0" w:color="auto"/>
          </w:divBdr>
        </w:div>
        <w:div w:id="1378823400">
          <w:marLeft w:val="640"/>
          <w:marRight w:val="0"/>
          <w:marTop w:val="0"/>
          <w:marBottom w:val="0"/>
          <w:divBdr>
            <w:top w:val="none" w:sz="0" w:space="0" w:color="auto"/>
            <w:left w:val="none" w:sz="0" w:space="0" w:color="auto"/>
            <w:bottom w:val="none" w:sz="0" w:space="0" w:color="auto"/>
            <w:right w:val="none" w:sz="0" w:space="0" w:color="auto"/>
          </w:divBdr>
        </w:div>
        <w:div w:id="1455248699">
          <w:marLeft w:val="640"/>
          <w:marRight w:val="0"/>
          <w:marTop w:val="0"/>
          <w:marBottom w:val="0"/>
          <w:divBdr>
            <w:top w:val="none" w:sz="0" w:space="0" w:color="auto"/>
            <w:left w:val="none" w:sz="0" w:space="0" w:color="auto"/>
            <w:bottom w:val="none" w:sz="0" w:space="0" w:color="auto"/>
            <w:right w:val="none" w:sz="0" w:space="0" w:color="auto"/>
          </w:divBdr>
        </w:div>
        <w:div w:id="1330056350">
          <w:marLeft w:val="640"/>
          <w:marRight w:val="0"/>
          <w:marTop w:val="0"/>
          <w:marBottom w:val="0"/>
          <w:divBdr>
            <w:top w:val="none" w:sz="0" w:space="0" w:color="auto"/>
            <w:left w:val="none" w:sz="0" w:space="0" w:color="auto"/>
            <w:bottom w:val="none" w:sz="0" w:space="0" w:color="auto"/>
            <w:right w:val="none" w:sz="0" w:space="0" w:color="auto"/>
          </w:divBdr>
        </w:div>
        <w:div w:id="244849102">
          <w:marLeft w:val="640"/>
          <w:marRight w:val="0"/>
          <w:marTop w:val="0"/>
          <w:marBottom w:val="0"/>
          <w:divBdr>
            <w:top w:val="none" w:sz="0" w:space="0" w:color="auto"/>
            <w:left w:val="none" w:sz="0" w:space="0" w:color="auto"/>
            <w:bottom w:val="none" w:sz="0" w:space="0" w:color="auto"/>
            <w:right w:val="none" w:sz="0" w:space="0" w:color="auto"/>
          </w:divBdr>
        </w:div>
        <w:div w:id="200099695">
          <w:marLeft w:val="640"/>
          <w:marRight w:val="0"/>
          <w:marTop w:val="0"/>
          <w:marBottom w:val="0"/>
          <w:divBdr>
            <w:top w:val="none" w:sz="0" w:space="0" w:color="auto"/>
            <w:left w:val="none" w:sz="0" w:space="0" w:color="auto"/>
            <w:bottom w:val="none" w:sz="0" w:space="0" w:color="auto"/>
            <w:right w:val="none" w:sz="0" w:space="0" w:color="auto"/>
          </w:divBdr>
        </w:div>
        <w:div w:id="2085107878">
          <w:marLeft w:val="640"/>
          <w:marRight w:val="0"/>
          <w:marTop w:val="0"/>
          <w:marBottom w:val="0"/>
          <w:divBdr>
            <w:top w:val="none" w:sz="0" w:space="0" w:color="auto"/>
            <w:left w:val="none" w:sz="0" w:space="0" w:color="auto"/>
            <w:bottom w:val="none" w:sz="0" w:space="0" w:color="auto"/>
            <w:right w:val="none" w:sz="0" w:space="0" w:color="auto"/>
          </w:divBdr>
        </w:div>
        <w:div w:id="1047803398">
          <w:marLeft w:val="640"/>
          <w:marRight w:val="0"/>
          <w:marTop w:val="0"/>
          <w:marBottom w:val="0"/>
          <w:divBdr>
            <w:top w:val="none" w:sz="0" w:space="0" w:color="auto"/>
            <w:left w:val="none" w:sz="0" w:space="0" w:color="auto"/>
            <w:bottom w:val="none" w:sz="0" w:space="0" w:color="auto"/>
            <w:right w:val="none" w:sz="0" w:space="0" w:color="auto"/>
          </w:divBdr>
        </w:div>
        <w:div w:id="605577317">
          <w:marLeft w:val="640"/>
          <w:marRight w:val="0"/>
          <w:marTop w:val="0"/>
          <w:marBottom w:val="0"/>
          <w:divBdr>
            <w:top w:val="none" w:sz="0" w:space="0" w:color="auto"/>
            <w:left w:val="none" w:sz="0" w:space="0" w:color="auto"/>
            <w:bottom w:val="none" w:sz="0" w:space="0" w:color="auto"/>
            <w:right w:val="none" w:sz="0" w:space="0" w:color="auto"/>
          </w:divBdr>
        </w:div>
        <w:div w:id="750466431">
          <w:marLeft w:val="640"/>
          <w:marRight w:val="0"/>
          <w:marTop w:val="0"/>
          <w:marBottom w:val="0"/>
          <w:divBdr>
            <w:top w:val="none" w:sz="0" w:space="0" w:color="auto"/>
            <w:left w:val="none" w:sz="0" w:space="0" w:color="auto"/>
            <w:bottom w:val="none" w:sz="0" w:space="0" w:color="auto"/>
            <w:right w:val="none" w:sz="0" w:space="0" w:color="auto"/>
          </w:divBdr>
        </w:div>
        <w:div w:id="1916356800">
          <w:marLeft w:val="640"/>
          <w:marRight w:val="0"/>
          <w:marTop w:val="0"/>
          <w:marBottom w:val="0"/>
          <w:divBdr>
            <w:top w:val="none" w:sz="0" w:space="0" w:color="auto"/>
            <w:left w:val="none" w:sz="0" w:space="0" w:color="auto"/>
            <w:bottom w:val="none" w:sz="0" w:space="0" w:color="auto"/>
            <w:right w:val="none" w:sz="0" w:space="0" w:color="auto"/>
          </w:divBdr>
        </w:div>
        <w:div w:id="17393412">
          <w:marLeft w:val="640"/>
          <w:marRight w:val="0"/>
          <w:marTop w:val="0"/>
          <w:marBottom w:val="0"/>
          <w:divBdr>
            <w:top w:val="none" w:sz="0" w:space="0" w:color="auto"/>
            <w:left w:val="none" w:sz="0" w:space="0" w:color="auto"/>
            <w:bottom w:val="none" w:sz="0" w:space="0" w:color="auto"/>
            <w:right w:val="none" w:sz="0" w:space="0" w:color="auto"/>
          </w:divBdr>
        </w:div>
        <w:div w:id="474110280">
          <w:marLeft w:val="640"/>
          <w:marRight w:val="0"/>
          <w:marTop w:val="0"/>
          <w:marBottom w:val="0"/>
          <w:divBdr>
            <w:top w:val="none" w:sz="0" w:space="0" w:color="auto"/>
            <w:left w:val="none" w:sz="0" w:space="0" w:color="auto"/>
            <w:bottom w:val="none" w:sz="0" w:space="0" w:color="auto"/>
            <w:right w:val="none" w:sz="0" w:space="0" w:color="auto"/>
          </w:divBdr>
        </w:div>
        <w:div w:id="1381130100">
          <w:marLeft w:val="640"/>
          <w:marRight w:val="0"/>
          <w:marTop w:val="0"/>
          <w:marBottom w:val="0"/>
          <w:divBdr>
            <w:top w:val="none" w:sz="0" w:space="0" w:color="auto"/>
            <w:left w:val="none" w:sz="0" w:space="0" w:color="auto"/>
            <w:bottom w:val="none" w:sz="0" w:space="0" w:color="auto"/>
            <w:right w:val="none" w:sz="0" w:space="0" w:color="auto"/>
          </w:divBdr>
        </w:div>
        <w:div w:id="474026407">
          <w:marLeft w:val="640"/>
          <w:marRight w:val="0"/>
          <w:marTop w:val="0"/>
          <w:marBottom w:val="0"/>
          <w:divBdr>
            <w:top w:val="none" w:sz="0" w:space="0" w:color="auto"/>
            <w:left w:val="none" w:sz="0" w:space="0" w:color="auto"/>
            <w:bottom w:val="none" w:sz="0" w:space="0" w:color="auto"/>
            <w:right w:val="none" w:sz="0" w:space="0" w:color="auto"/>
          </w:divBdr>
        </w:div>
        <w:div w:id="1387027329">
          <w:marLeft w:val="640"/>
          <w:marRight w:val="0"/>
          <w:marTop w:val="0"/>
          <w:marBottom w:val="0"/>
          <w:divBdr>
            <w:top w:val="none" w:sz="0" w:space="0" w:color="auto"/>
            <w:left w:val="none" w:sz="0" w:space="0" w:color="auto"/>
            <w:bottom w:val="none" w:sz="0" w:space="0" w:color="auto"/>
            <w:right w:val="none" w:sz="0" w:space="0" w:color="auto"/>
          </w:divBdr>
        </w:div>
        <w:div w:id="60566726">
          <w:marLeft w:val="640"/>
          <w:marRight w:val="0"/>
          <w:marTop w:val="0"/>
          <w:marBottom w:val="0"/>
          <w:divBdr>
            <w:top w:val="none" w:sz="0" w:space="0" w:color="auto"/>
            <w:left w:val="none" w:sz="0" w:space="0" w:color="auto"/>
            <w:bottom w:val="none" w:sz="0" w:space="0" w:color="auto"/>
            <w:right w:val="none" w:sz="0" w:space="0" w:color="auto"/>
          </w:divBdr>
        </w:div>
        <w:div w:id="1071855075">
          <w:marLeft w:val="640"/>
          <w:marRight w:val="0"/>
          <w:marTop w:val="0"/>
          <w:marBottom w:val="0"/>
          <w:divBdr>
            <w:top w:val="none" w:sz="0" w:space="0" w:color="auto"/>
            <w:left w:val="none" w:sz="0" w:space="0" w:color="auto"/>
            <w:bottom w:val="none" w:sz="0" w:space="0" w:color="auto"/>
            <w:right w:val="none" w:sz="0" w:space="0" w:color="auto"/>
          </w:divBdr>
        </w:div>
        <w:div w:id="1725333109">
          <w:marLeft w:val="640"/>
          <w:marRight w:val="0"/>
          <w:marTop w:val="0"/>
          <w:marBottom w:val="0"/>
          <w:divBdr>
            <w:top w:val="none" w:sz="0" w:space="0" w:color="auto"/>
            <w:left w:val="none" w:sz="0" w:space="0" w:color="auto"/>
            <w:bottom w:val="none" w:sz="0" w:space="0" w:color="auto"/>
            <w:right w:val="none" w:sz="0" w:space="0" w:color="auto"/>
          </w:divBdr>
        </w:div>
        <w:div w:id="2113938498">
          <w:marLeft w:val="640"/>
          <w:marRight w:val="0"/>
          <w:marTop w:val="0"/>
          <w:marBottom w:val="0"/>
          <w:divBdr>
            <w:top w:val="none" w:sz="0" w:space="0" w:color="auto"/>
            <w:left w:val="none" w:sz="0" w:space="0" w:color="auto"/>
            <w:bottom w:val="none" w:sz="0" w:space="0" w:color="auto"/>
            <w:right w:val="none" w:sz="0" w:space="0" w:color="auto"/>
          </w:divBdr>
        </w:div>
        <w:div w:id="386605842">
          <w:marLeft w:val="640"/>
          <w:marRight w:val="0"/>
          <w:marTop w:val="0"/>
          <w:marBottom w:val="0"/>
          <w:divBdr>
            <w:top w:val="none" w:sz="0" w:space="0" w:color="auto"/>
            <w:left w:val="none" w:sz="0" w:space="0" w:color="auto"/>
            <w:bottom w:val="none" w:sz="0" w:space="0" w:color="auto"/>
            <w:right w:val="none" w:sz="0" w:space="0" w:color="auto"/>
          </w:divBdr>
        </w:div>
        <w:div w:id="60032005">
          <w:marLeft w:val="640"/>
          <w:marRight w:val="0"/>
          <w:marTop w:val="0"/>
          <w:marBottom w:val="0"/>
          <w:divBdr>
            <w:top w:val="none" w:sz="0" w:space="0" w:color="auto"/>
            <w:left w:val="none" w:sz="0" w:space="0" w:color="auto"/>
            <w:bottom w:val="none" w:sz="0" w:space="0" w:color="auto"/>
            <w:right w:val="none" w:sz="0" w:space="0" w:color="auto"/>
          </w:divBdr>
        </w:div>
        <w:div w:id="1173105406">
          <w:marLeft w:val="640"/>
          <w:marRight w:val="0"/>
          <w:marTop w:val="0"/>
          <w:marBottom w:val="0"/>
          <w:divBdr>
            <w:top w:val="none" w:sz="0" w:space="0" w:color="auto"/>
            <w:left w:val="none" w:sz="0" w:space="0" w:color="auto"/>
            <w:bottom w:val="none" w:sz="0" w:space="0" w:color="auto"/>
            <w:right w:val="none" w:sz="0" w:space="0" w:color="auto"/>
          </w:divBdr>
        </w:div>
        <w:div w:id="1929389812">
          <w:marLeft w:val="640"/>
          <w:marRight w:val="0"/>
          <w:marTop w:val="0"/>
          <w:marBottom w:val="0"/>
          <w:divBdr>
            <w:top w:val="none" w:sz="0" w:space="0" w:color="auto"/>
            <w:left w:val="none" w:sz="0" w:space="0" w:color="auto"/>
            <w:bottom w:val="none" w:sz="0" w:space="0" w:color="auto"/>
            <w:right w:val="none" w:sz="0" w:space="0" w:color="auto"/>
          </w:divBdr>
        </w:div>
        <w:div w:id="1971864621">
          <w:marLeft w:val="640"/>
          <w:marRight w:val="0"/>
          <w:marTop w:val="0"/>
          <w:marBottom w:val="0"/>
          <w:divBdr>
            <w:top w:val="none" w:sz="0" w:space="0" w:color="auto"/>
            <w:left w:val="none" w:sz="0" w:space="0" w:color="auto"/>
            <w:bottom w:val="none" w:sz="0" w:space="0" w:color="auto"/>
            <w:right w:val="none" w:sz="0" w:space="0" w:color="auto"/>
          </w:divBdr>
        </w:div>
        <w:div w:id="2125226079">
          <w:marLeft w:val="640"/>
          <w:marRight w:val="0"/>
          <w:marTop w:val="0"/>
          <w:marBottom w:val="0"/>
          <w:divBdr>
            <w:top w:val="none" w:sz="0" w:space="0" w:color="auto"/>
            <w:left w:val="none" w:sz="0" w:space="0" w:color="auto"/>
            <w:bottom w:val="none" w:sz="0" w:space="0" w:color="auto"/>
            <w:right w:val="none" w:sz="0" w:space="0" w:color="auto"/>
          </w:divBdr>
        </w:div>
        <w:div w:id="1291286014">
          <w:marLeft w:val="640"/>
          <w:marRight w:val="0"/>
          <w:marTop w:val="0"/>
          <w:marBottom w:val="0"/>
          <w:divBdr>
            <w:top w:val="none" w:sz="0" w:space="0" w:color="auto"/>
            <w:left w:val="none" w:sz="0" w:space="0" w:color="auto"/>
            <w:bottom w:val="none" w:sz="0" w:space="0" w:color="auto"/>
            <w:right w:val="none" w:sz="0" w:space="0" w:color="auto"/>
          </w:divBdr>
        </w:div>
        <w:div w:id="885532293">
          <w:marLeft w:val="640"/>
          <w:marRight w:val="0"/>
          <w:marTop w:val="0"/>
          <w:marBottom w:val="0"/>
          <w:divBdr>
            <w:top w:val="none" w:sz="0" w:space="0" w:color="auto"/>
            <w:left w:val="none" w:sz="0" w:space="0" w:color="auto"/>
            <w:bottom w:val="none" w:sz="0" w:space="0" w:color="auto"/>
            <w:right w:val="none" w:sz="0" w:space="0" w:color="auto"/>
          </w:divBdr>
        </w:div>
        <w:div w:id="1129283554">
          <w:marLeft w:val="640"/>
          <w:marRight w:val="0"/>
          <w:marTop w:val="0"/>
          <w:marBottom w:val="0"/>
          <w:divBdr>
            <w:top w:val="none" w:sz="0" w:space="0" w:color="auto"/>
            <w:left w:val="none" w:sz="0" w:space="0" w:color="auto"/>
            <w:bottom w:val="none" w:sz="0" w:space="0" w:color="auto"/>
            <w:right w:val="none" w:sz="0" w:space="0" w:color="auto"/>
          </w:divBdr>
        </w:div>
        <w:div w:id="1111513693">
          <w:marLeft w:val="640"/>
          <w:marRight w:val="0"/>
          <w:marTop w:val="0"/>
          <w:marBottom w:val="0"/>
          <w:divBdr>
            <w:top w:val="none" w:sz="0" w:space="0" w:color="auto"/>
            <w:left w:val="none" w:sz="0" w:space="0" w:color="auto"/>
            <w:bottom w:val="none" w:sz="0" w:space="0" w:color="auto"/>
            <w:right w:val="none" w:sz="0" w:space="0" w:color="auto"/>
          </w:divBdr>
        </w:div>
        <w:div w:id="1364093064">
          <w:marLeft w:val="640"/>
          <w:marRight w:val="0"/>
          <w:marTop w:val="0"/>
          <w:marBottom w:val="0"/>
          <w:divBdr>
            <w:top w:val="none" w:sz="0" w:space="0" w:color="auto"/>
            <w:left w:val="none" w:sz="0" w:space="0" w:color="auto"/>
            <w:bottom w:val="none" w:sz="0" w:space="0" w:color="auto"/>
            <w:right w:val="none" w:sz="0" w:space="0" w:color="auto"/>
          </w:divBdr>
        </w:div>
        <w:div w:id="1377779282">
          <w:marLeft w:val="640"/>
          <w:marRight w:val="0"/>
          <w:marTop w:val="0"/>
          <w:marBottom w:val="0"/>
          <w:divBdr>
            <w:top w:val="none" w:sz="0" w:space="0" w:color="auto"/>
            <w:left w:val="none" w:sz="0" w:space="0" w:color="auto"/>
            <w:bottom w:val="none" w:sz="0" w:space="0" w:color="auto"/>
            <w:right w:val="none" w:sz="0" w:space="0" w:color="auto"/>
          </w:divBdr>
        </w:div>
        <w:div w:id="1545560318">
          <w:marLeft w:val="640"/>
          <w:marRight w:val="0"/>
          <w:marTop w:val="0"/>
          <w:marBottom w:val="0"/>
          <w:divBdr>
            <w:top w:val="none" w:sz="0" w:space="0" w:color="auto"/>
            <w:left w:val="none" w:sz="0" w:space="0" w:color="auto"/>
            <w:bottom w:val="none" w:sz="0" w:space="0" w:color="auto"/>
            <w:right w:val="none" w:sz="0" w:space="0" w:color="auto"/>
          </w:divBdr>
        </w:div>
        <w:div w:id="459035850">
          <w:marLeft w:val="640"/>
          <w:marRight w:val="0"/>
          <w:marTop w:val="0"/>
          <w:marBottom w:val="0"/>
          <w:divBdr>
            <w:top w:val="none" w:sz="0" w:space="0" w:color="auto"/>
            <w:left w:val="none" w:sz="0" w:space="0" w:color="auto"/>
            <w:bottom w:val="none" w:sz="0" w:space="0" w:color="auto"/>
            <w:right w:val="none" w:sz="0" w:space="0" w:color="auto"/>
          </w:divBdr>
        </w:div>
        <w:div w:id="1863936828">
          <w:marLeft w:val="640"/>
          <w:marRight w:val="0"/>
          <w:marTop w:val="0"/>
          <w:marBottom w:val="0"/>
          <w:divBdr>
            <w:top w:val="none" w:sz="0" w:space="0" w:color="auto"/>
            <w:left w:val="none" w:sz="0" w:space="0" w:color="auto"/>
            <w:bottom w:val="none" w:sz="0" w:space="0" w:color="auto"/>
            <w:right w:val="none" w:sz="0" w:space="0" w:color="auto"/>
          </w:divBdr>
        </w:div>
        <w:div w:id="1995639511">
          <w:marLeft w:val="640"/>
          <w:marRight w:val="0"/>
          <w:marTop w:val="0"/>
          <w:marBottom w:val="0"/>
          <w:divBdr>
            <w:top w:val="none" w:sz="0" w:space="0" w:color="auto"/>
            <w:left w:val="none" w:sz="0" w:space="0" w:color="auto"/>
            <w:bottom w:val="none" w:sz="0" w:space="0" w:color="auto"/>
            <w:right w:val="none" w:sz="0" w:space="0" w:color="auto"/>
          </w:divBdr>
        </w:div>
        <w:div w:id="1685205359">
          <w:marLeft w:val="640"/>
          <w:marRight w:val="0"/>
          <w:marTop w:val="0"/>
          <w:marBottom w:val="0"/>
          <w:divBdr>
            <w:top w:val="none" w:sz="0" w:space="0" w:color="auto"/>
            <w:left w:val="none" w:sz="0" w:space="0" w:color="auto"/>
            <w:bottom w:val="none" w:sz="0" w:space="0" w:color="auto"/>
            <w:right w:val="none" w:sz="0" w:space="0" w:color="auto"/>
          </w:divBdr>
        </w:div>
        <w:div w:id="269053327">
          <w:marLeft w:val="640"/>
          <w:marRight w:val="0"/>
          <w:marTop w:val="0"/>
          <w:marBottom w:val="0"/>
          <w:divBdr>
            <w:top w:val="none" w:sz="0" w:space="0" w:color="auto"/>
            <w:left w:val="none" w:sz="0" w:space="0" w:color="auto"/>
            <w:bottom w:val="none" w:sz="0" w:space="0" w:color="auto"/>
            <w:right w:val="none" w:sz="0" w:space="0" w:color="auto"/>
          </w:divBdr>
        </w:div>
        <w:div w:id="757215000">
          <w:marLeft w:val="640"/>
          <w:marRight w:val="0"/>
          <w:marTop w:val="0"/>
          <w:marBottom w:val="0"/>
          <w:divBdr>
            <w:top w:val="none" w:sz="0" w:space="0" w:color="auto"/>
            <w:left w:val="none" w:sz="0" w:space="0" w:color="auto"/>
            <w:bottom w:val="none" w:sz="0" w:space="0" w:color="auto"/>
            <w:right w:val="none" w:sz="0" w:space="0" w:color="auto"/>
          </w:divBdr>
        </w:div>
        <w:div w:id="1326056550">
          <w:marLeft w:val="640"/>
          <w:marRight w:val="0"/>
          <w:marTop w:val="0"/>
          <w:marBottom w:val="0"/>
          <w:divBdr>
            <w:top w:val="none" w:sz="0" w:space="0" w:color="auto"/>
            <w:left w:val="none" w:sz="0" w:space="0" w:color="auto"/>
            <w:bottom w:val="none" w:sz="0" w:space="0" w:color="auto"/>
            <w:right w:val="none" w:sz="0" w:space="0" w:color="auto"/>
          </w:divBdr>
        </w:div>
        <w:div w:id="1216964964">
          <w:marLeft w:val="640"/>
          <w:marRight w:val="0"/>
          <w:marTop w:val="0"/>
          <w:marBottom w:val="0"/>
          <w:divBdr>
            <w:top w:val="none" w:sz="0" w:space="0" w:color="auto"/>
            <w:left w:val="none" w:sz="0" w:space="0" w:color="auto"/>
            <w:bottom w:val="none" w:sz="0" w:space="0" w:color="auto"/>
            <w:right w:val="none" w:sz="0" w:space="0" w:color="auto"/>
          </w:divBdr>
        </w:div>
        <w:div w:id="1128665732">
          <w:marLeft w:val="640"/>
          <w:marRight w:val="0"/>
          <w:marTop w:val="0"/>
          <w:marBottom w:val="0"/>
          <w:divBdr>
            <w:top w:val="none" w:sz="0" w:space="0" w:color="auto"/>
            <w:left w:val="none" w:sz="0" w:space="0" w:color="auto"/>
            <w:bottom w:val="none" w:sz="0" w:space="0" w:color="auto"/>
            <w:right w:val="none" w:sz="0" w:space="0" w:color="auto"/>
          </w:divBdr>
        </w:div>
        <w:div w:id="1526209649">
          <w:marLeft w:val="640"/>
          <w:marRight w:val="0"/>
          <w:marTop w:val="0"/>
          <w:marBottom w:val="0"/>
          <w:divBdr>
            <w:top w:val="none" w:sz="0" w:space="0" w:color="auto"/>
            <w:left w:val="none" w:sz="0" w:space="0" w:color="auto"/>
            <w:bottom w:val="none" w:sz="0" w:space="0" w:color="auto"/>
            <w:right w:val="none" w:sz="0" w:space="0" w:color="auto"/>
          </w:divBdr>
        </w:div>
        <w:div w:id="573198803">
          <w:marLeft w:val="640"/>
          <w:marRight w:val="0"/>
          <w:marTop w:val="0"/>
          <w:marBottom w:val="0"/>
          <w:divBdr>
            <w:top w:val="none" w:sz="0" w:space="0" w:color="auto"/>
            <w:left w:val="none" w:sz="0" w:space="0" w:color="auto"/>
            <w:bottom w:val="none" w:sz="0" w:space="0" w:color="auto"/>
            <w:right w:val="none" w:sz="0" w:space="0" w:color="auto"/>
          </w:divBdr>
        </w:div>
        <w:div w:id="443379262">
          <w:marLeft w:val="640"/>
          <w:marRight w:val="0"/>
          <w:marTop w:val="0"/>
          <w:marBottom w:val="0"/>
          <w:divBdr>
            <w:top w:val="none" w:sz="0" w:space="0" w:color="auto"/>
            <w:left w:val="none" w:sz="0" w:space="0" w:color="auto"/>
            <w:bottom w:val="none" w:sz="0" w:space="0" w:color="auto"/>
            <w:right w:val="none" w:sz="0" w:space="0" w:color="auto"/>
          </w:divBdr>
        </w:div>
        <w:div w:id="1548909077">
          <w:marLeft w:val="640"/>
          <w:marRight w:val="0"/>
          <w:marTop w:val="0"/>
          <w:marBottom w:val="0"/>
          <w:divBdr>
            <w:top w:val="none" w:sz="0" w:space="0" w:color="auto"/>
            <w:left w:val="none" w:sz="0" w:space="0" w:color="auto"/>
            <w:bottom w:val="none" w:sz="0" w:space="0" w:color="auto"/>
            <w:right w:val="none" w:sz="0" w:space="0" w:color="auto"/>
          </w:divBdr>
        </w:div>
        <w:div w:id="292294328">
          <w:marLeft w:val="640"/>
          <w:marRight w:val="0"/>
          <w:marTop w:val="0"/>
          <w:marBottom w:val="0"/>
          <w:divBdr>
            <w:top w:val="none" w:sz="0" w:space="0" w:color="auto"/>
            <w:left w:val="none" w:sz="0" w:space="0" w:color="auto"/>
            <w:bottom w:val="none" w:sz="0" w:space="0" w:color="auto"/>
            <w:right w:val="none" w:sz="0" w:space="0" w:color="auto"/>
          </w:divBdr>
        </w:div>
        <w:div w:id="1109856635">
          <w:marLeft w:val="640"/>
          <w:marRight w:val="0"/>
          <w:marTop w:val="0"/>
          <w:marBottom w:val="0"/>
          <w:divBdr>
            <w:top w:val="none" w:sz="0" w:space="0" w:color="auto"/>
            <w:left w:val="none" w:sz="0" w:space="0" w:color="auto"/>
            <w:bottom w:val="none" w:sz="0" w:space="0" w:color="auto"/>
            <w:right w:val="none" w:sz="0" w:space="0" w:color="auto"/>
          </w:divBdr>
        </w:div>
        <w:div w:id="854148990">
          <w:marLeft w:val="640"/>
          <w:marRight w:val="0"/>
          <w:marTop w:val="0"/>
          <w:marBottom w:val="0"/>
          <w:divBdr>
            <w:top w:val="none" w:sz="0" w:space="0" w:color="auto"/>
            <w:left w:val="none" w:sz="0" w:space="0" w:color="auto"/>
            <w:bottom w:val="none" w:sz="0" w:space="0" w:color="auto"/>
            <w:right w:val="none" w:sz="0" w:space="0" w:color="auto"/>
          </w:divBdr>
        </w:div>
        <w:div w:id="1312179350">
          <w:marLeft w:val="640"/>
          <w:marRight w:val="0"/>
          <w:marTop w:val="0"/>
          <w:marBottom w:val="0"/>
          <w:divBdr>
            <w:top w:val="none" w:sz="0" w:space="0" w:color="auto"/>
            <w:left w:val="none" w:sz="0" w:space="0" w:color="auto"/>
            <w:bottom w:val="none" w:sz="0" w:space="0" w:color="auto"/>
            <w:right w:val="none" w:sz="0" w:space="0" w:color="auto"/>
          </w:divBdr>
        </w:div>
        <w:div w:id="937641290">
          <w:marLeft w:val="640"/>
          <w:marRight w:val="0"/>
          <w:marTop w:val="0"/>
          <w:marBottom w:val="0"/>
          <w:divBdr>
            <w:top w:val="none" w:sz="0" w:space="0" w:color="auto"/>
            <w:left w:val="none" w:sz="0" w:space="0" w:color="auto"/>
            <w:bottom w:val="none" w:sz="0" w:space="0" w:color="auto"/>
            <w:right w:val="none" w:sz="0" w:space="0" w:color="auto"/>
          </w:divBdr>
        </w:div>
        <w:div w:id="841242857">
          <w:marLeft w:val="640"/>
          <w:marRight w:val="0"/>
          <w:marTop w:val="0"/>
          <w:marBottom w:val="0"/>
          <w:divBdr>
            <w:top w:val="none" w:sz="0" w:space="0" w:color="auto"/>
            <w:left w:val="none" w:sz="0" w:space="0" w:color="auto"/>
            <w:bottom w:val="none" w:sz="0" w:space="0" w:color="auto"/>
            <w:right w:val="none" w:sz="0" w:space="0" w:color="auto"/>
          </w:divBdr>
        </w:div>
        <w:div w:id="403383667">
          <w:marLeft w:val="640"/>
          <w:marRight w:val="0"/>
          <w:marTop w:val="0"/>
          <w:marBottom w:val="0"/>
          <w:divBdr>
            <w:top w:val="none" w:sz="0" w:space="0" w:color="auto"/>
            <w:left w:val="none" w:sz="0" w:space="0" w:color="auto"/>
            <w:bottom w:val="none" w:sz="0" w:space="0" w:color="auto"/>
            <w:right w:val="none" w:sz="0" w:space="0" w:color="auto"/>
          </w:divBdr>
        </w:div>
        <w:div w:id="980961356">
          <w:marLeft w:val="640"/>
          <w:marRight w:val="0"/>
          <w:marTop w:val="0"/>
          <w:marBottom w:val="0"/>
          <w:divBdr>
            <w:top w:val="none" w:sz="0" w:space="0" w:color="auto"/>
            <w:left w:val="none" w:sz="0" w:space="0" w:color="auto"/>
            <w:bottom w:val="none" w:sz="0" w:space="0" w:color="auto"/>
            <w:right w:val="none" w:sz="0" w:space="0" w:color="auto"/>
          </w:divBdr>
        </w:div>
        <w:div w:id="466944002">
          <w:marLeft w:val="640"/>
          <w:marRight w:val="0"/>
          <w:marTop w:val="0"/>
          <w:marBottom w:val="0"/>
          <w:divBdr>
            <w:top w:val="none" w:sz="0" w:space="0" w:color="auto"/>
            <w:left w:val="none" w:sz="0" w:space="0" w:color="auto"/>
            <w:bottom w:val="none" w:sz="0" w:space="0" w:color="auto"/>
            <w:right w:val="none" w:sz="0" w:space="0" w:color="auto"/>
          </w:divBdr>
        </w:div>
        <w:div w:id="1439376419">
          <w:marLeft w:val="640"/>
          <w:marRight w:val="0"/>
          <w:marTop w:val="0"/>
          <w:marBottom w:val="0"/>
          <w:divBdr>
            <w:top w:val="none" w:sz="0" w:space="0" w:color="auto"/>
            <w:left w:val="none" w:sz="0" w:space="0" w:color="auto"/>
            <w:bottom w:val="none" w:sz="0" w:space="0" w:color="auto"/>
            <w:right w:val="none" w:sz="0" w:space="0" w:color="auto"/>
          </w:divBdr>
        </w:div>
        <w:div w:id="1523323347">
          <w:marLeft w:val="640"/>
          <w:marRight w:val="0"/>
          <w:marTop w:val="0"/>
          <w:marBottom w:val="0"/>
          <w:divBdr>
            <w:top w:val="none" w:sz="0" w:space="0" w:color="auto"/>
            <w:left w:val="none" w:sz="0" w:space="0" w:color="auto"/>
            <w:bottom w:val="none" w:sz="0" w:space="0" w:color="auto"/>
            <w:right w:val="none" w:sz="0" w:space="0" w:color="auto"/>
          </w:divBdr>
        </w:div>
        <w:div w:id="1412039611">
          <w:marLeft w:val="640"/>
          <w:marRight w:val="0"/>
          <w:marTop w:val="0"/>
          <w:marBottom w:val="0"/>
          <w:divBdr>
            <w:top w:val="none" w:sz="0" w:space="0" w:color="auto"/>
            <w:left w:val="none" w:sz="0" w:space="0" w:color="auto"/>
            <w:bottom w:val="none" w:sz="0" w:space="0" w:color="auto"/>
            <w:right w:val="none" w:sz="0" w:space="0" w:color="auto"/>
          </w:divBdr>
        </w:div>
        <w:div w:id="645087634">
          <w:marLeft w:val="640"/>
          <w:marRight w:val="0"/>
          <w:marTop w:val="0"/>
          <w:marBottom w:val="0"/>
          <w:divBdr>
            <w:top w:val="none" w:sz="0" w:space="0" w:color="auto"/>
            <w:left w:val="none" w:sz="0" w:space="0" w:color="auto"/>
            <w:bottom w:val="none" w:sz="0" w:space="0" w:color="auto"/>
            <w:right w:val="none" w:sz="0" w:space="0" w:color="auto"/>
          </w:divBdr>
        </w:div>
        <w:div w:id="139539617">
          <w:marLeft w:val="640"/>
          <w:marRight w:val="0"/>
          <w:marTop w:val="0"/>
          <w:marBottom w:val="0"/>
          <w:divBdr>
            <w:top w:val="none" w:sz="0" w:space="0" w:color="auto"/>
            <w:left w:val="none" w:sz="0" w:space="0" w:color="auto"/>
            <w:bottom w:val="none" w:sz="0" w:space="0" w:color="auto"/>
            <w:right w:val="none" w:sz="0" w:space="0" w:color="auto"/>
          </w:divBdr>
        </w:div>
        <w:div w:id="786512224">
          <w:marLeft w:val="640"/>
          <w:marRight w:val="0"/>
          <w:marTop w:val="0"/>
          <w:marBottom w:val="0"/>
          <w:divBdr>
            <w:top w:val="none" w:sz="0" w:space="0" w:color="auto"/>
            <w:left w:val="none" w:sz="0" w:space="0" w:color="auto"/>
            <w:bottom w:val="none" w:sz="0" w:space="0" w:color="auto"/>
            <w:right w:val="none" w:sz="0" w:space="0" w:color="auto"/>
          </w:divBdr>
        </w:div>
        <w:div w:id="978801267">
          <w:marLeft w:val="640"/>
          <w:marRight w:val="0"/>
          <w:marTop w:val="0"/>
          <w:marBottom w:val="0"/>
          <w:divBdr>
            <w:top w:val="none" w:sz="0" w:space="0" w:color="auto"/>
            <w:left w:val="none" w:sz="0" w:space="0" w:color="auto"/>
            <w:bottom w:val="none" w:sz="0" w:space="0" w:color="auto"/>
            <w:right w:val="none" w:sz="0" w:space="0" w:color="auto"/>
          </w:divBdr>
        </w:div>
        <w:div w:id="501430369">
          <w:marLeft w:val="640"/>
          <w:marRight w:val="0"/>
          <w:marTop w:val="0"/>
          <w:marBottom w:val="0"/>
          <w:divBdr>
            <w:top w:val="none" w:sz="0" w:space="0" w:color="auto"/>
            <w:left w:val="none" w:sz="0" w:space="0" w:color="auto"/>
            <w:bottom w:val="none" w:sz="0" w:space="0" w:color="auto"/>
            <w:right w:val="none" w:sz="0" w:space="0" w:color="auto"/>
          </w:divBdr>
        </w:div>
        <w:div w:id="1971668193">
          <w:marLeft w:val="640"/>
          <w:marRight w:val="0"/>
          <w:marTop w:val="0"/>
          <w:marBottom w:val="0"/>
          <w:divBdr>
            <w:top w:val="none" w:sz="0" w:space="0" w:color="auto"/>
            <w:left w:val="none" w:sz="0" w:space="0" w:color="auto"/>
            <w:bottom w:val="none" w:sz="0" w:space="0" w:color="auto"/>
            <w:right w:val="none" w:sz="0" w:space="0" w:color="auto"/>
          </w:divBdr>
        </w:div>
        <w:div w:id="197739961">
          <w:marLeft w:val="640"/>
          <w:marRight w:val="0"/>
          <w:marTop w:val="0"/>
          <w:marBottom w:val="0"/>
          <w:divBdr>
            <w:top w:val="none" w:sz="0" w:space="0" w:color="auto"/>
            <w:left w:val="none" w:sz="0" w:space="0" w:color="auto"/>
            <w:bottom w:val="none" w:sz="0" w:space="0" w:color="auto"/>
            <w:right w:val="none" w:sz="0" w:space="0" w:color="auto"/>
          </w:divBdr>
        </w:div>
        <w:div w:id="1695959006">
          <w:marLeft w:val="640"/>
          <w:marRight w:val="0"/>
          <w:marTop w:val="0"/>
          <w:marBottom w:val="0"/>
          <w:divBdr>
            <w:top w:val="none" w:sz="0" w:space="0" w:color="auto"/>
            <w:left w:val="none" w:sz="0" w:space="0" w:color="auto"/>
            <w:bottom w:val="none" w:sz="0" w:space="0" w:color="auto"/>
            <w:right w:val="none" w:sz="0" w:space="0" w:color="auto"/>
          </w:divBdr>
        </w:div>
        <w:div w:id="494343424">
          <w:marLeft w:val="640"/>
          <w:marRight w:val="0"/>
          <w:marTop w:val="0"/>
          <w:marBottom w:val="0"/>
          <w:divBdr>
            <w:top w:val="none" w:sz="0" w:space="0" w:color="auto"/>
            <w:left w:val="none" w:sz="0" w:space="0" w:color="auto"/>
            <w:bottom w:val="none" w:sz="0" w:space="0" w:color="auto"/>
            <w:right w:val="none" w:sz="0" w:space="0" w:color="auto"/>
          </w:divBdr>
        </w:div>
        <w:div w:id="1031875704">
          <w:marLeft w:val="640"/>
          <w:marRight w:val="0"/>
          <w:marTop w:val="0"/>
          <w:marBottom w:val="0"/>
          <w:divBdr>
            <w:top w:val="none" w:sz="0" w:space="0" w:color="auto"/>
            <w:left w:val="none" w:sz="0" w:space="0" w:color="auto"/>
            <w:bottom w:val="none" w:sz="0" w:space="0" w:color="auto"/>
            <w:right w:val="none" w:sz="0" w:space="0" w:color="auto"/>
          </w:divBdr>
        </w:div>
        <w:div w:id="2082366966">
          <w:marLeft w:val="640"/>
          <w:marRight w:val="0"/>
          <w:marTop w:val="0"/>
          <w:marBottom w:val="0"/>
          <w:divBdr>
            <w:top w:val="none" w:sz="0" w:space="0" w:color="auto"/>
            <w:left w:val="none" w:sz="0" w:space="0" w:color="auto"/>
            <w:bottom w:val="none" w:sz="0" w:space="0" w:color="auto"/>
            <w:right w:val="none" w:sz="0" w:space="0" w:color="auto"/>
          </w:divBdr>
        </w:div>
        <w:div w:id="725685561">
          <w:marLeft w:val="640"/>
          <w:marRight w:val="0"/>
          <w:marTop w:val="0"/>
          <w:marBottom w:val="0"/>
          <w:divBdr>
            <w:top w:val="none" w:sz="0" w:space="0" w:color="auto"/>
            <w:left w:val="none" w:sz="0" w:space="0" w:color="auto"/>
            <w:bottom w:val="none" w:sz="0" w:space="0" w:color="auto"/>
            <w:right w:val="none" w:sz="0" w:space="0" w:color="auto"/>
          </w:divBdr>
        </w:div>
        <w:div w:id="1229002734">
          <w:marLeft w:val="640"/>
          <w:marRight w:val="0"/>
          <w:marTop w:val="0"/>
          <w:marBottom w:val="0"/>
          <w:divBdr>
            <w:top w:val="none" w:sz="0" w:space="0" w:color="auto"/>
            <w:left w:val="none" w:sz="0" w:space="0" w:color="auto"/>
            <w:bottom w:val="none" w:sz="0" w:space="0" w:color="auto"/>
            <w:right w:val="none" w:sz="0" w:space="0" w:color="auto"/>
          </w:divBdr>
        </w:div>
        <w:div w:id="436364954">
          <w:marLeft w:val="640"/>
          <w:marRight w:val="0"/>
          <w:marTop w:val="0"/>
          <w:marBottom w:val="0"/>
          <w:divBdr>
            <w:top w:val="none" w:sz="0" w:space="0" w:color="auto"/>
            <w:left w:val="none" w:sz="0" w:space="0" w:color="auto"/>
            <w:bottom w:val="none" w:sz="0" w:space="0" w:color="auto"/>
            <w:right w:val="none" w:sz="0" w:space="0" w:color="auto"/>
          </w:divBdr>
        </w:div>
        <w:div w:id="1228028632">
          <w:marLeft w:val="640"/>
          <w:marRight w:val="0"/>
          <w:marTop w:val="0"/>
          <w:marBottom w:val="0"/>
          <w:divBdr>
            <w:top w:val="none" w:sz="0" w:space="0" w:color="auto"/>
            <w:left w:val="none" w:sz="0" w:space="0" w:color="auto"/>
            <w:bottom w:val="none" w:sz="0" w:space="0" w:color="auto"/>
            <w:right w:val="none" w:sz="0" w:space="0" w:color="auto"/>
          </w:divBdr>
        </w:div>
        <w:div w:id="380793450">
          <w:marLeft w:val="640"/>
          <w:marRight w:val="0"/>
          <w:marTop w:val="0"/>
          <w:marBottom w:val="0"/>
          <w:divBdr>
            <w:top w:val="none" w:sz="0" w:space="0" w:color="auto"/>
            <w:left w:val="none" w:sz="0" w:space="0" w:color="auto"/>
            <w:bottom w:val="none" w:sz="0" w:space="0" w:color="auto"/>
            <w:right w:val="none" w:sz="0" w:space="0" w:color="auto"/>
          </w:divBdr>
        </w:div>
        <w:div w:id="2077898950">
          <w:marLeft w:val="640"/>
          <w:marRight w:val="0"/>
          <w:marTop w:val="0"/>
          <w:marBottom w:val="0"/>
          <w:divBdr>
            <w:top w:val="none" w:sz="0" w:space="0" w:color="auto"/>
            <w:left w:val="none" w:sz="0" w:space="0" w:color="auto"/>
            <w:bottom w:val="none" w:sz="0" w:space="0" w:color="auto"/>
            <w:right w:val="none" w:sz="0" w:space="0" w:color="auto"/>
          </w:divBdr>
        </w:div>
        <w:div w:id="377751025">
          <w:marLeft w:val="640"/>
          <w:marRight w:val="0"/>
          <w:marTop w:val="0"/>
          <w:marBottom w:val="0"/>
          <w:divBdr>
            <w:top w:val="none" w:sz="0" w:space="0" w:color="auto"/>
            <w:left w:val="none" w:sz="0" w:space="0" w:color="auto"/>
            <w:bottom w:val="none" w:sz="0" w:space="0" w:color="auto"/>
            <w:right w:val="none" w:sz="0" w:space="0" w:color="auto"/>
          </w:divBdr>
        </w:div>
        <w:div w:id="117913119">
          <w:marLeft w:val="640"/>
          <w:marRight w:val="0"/>
          <w:marTop w:val="0"/>
          <w:marBottom w:val="0"/>
          <w:divBdr>
            <w:top w:val="none" w:sz="0" w:space="0" w:color="auto"/>
            <w:left w:val="none" w:sz="0" w:space="0" w:color="auto"/>
            <w:bottom w:val="none" w:sz="0" w:space="0" w:color="auto"/>
            <w:right w:val="none" w:sz="0" w:space="0" w:color="auto"/>
          </w:divBdr>
        </w:div>
        <w:div w:id="1830055128">
          <w:marLeft w:val="640"/>
          <w:marRight w:val="0"/>
          <w:marTop w:val="0"/>
          <w:marBottom w:val="0"/>
          <w:divBdr>
            <w:top w:val="none" w:sz="0" w:space="0" w:color="auto"/>
            <w:left w:val="none" w:sz="0" w:space="0" w:color="auto"/>
            <w:bottom w:val="none" w:sz="0" w:space="0" w:color="auto"/>
            <w:right w:val="none" w:sz="0" w:space="0" w:color="auto"/>
          </w:divBdr>
        </w:div>
        <w:div w:id="905840759">
          <w:marLeft w:val="640"/>
          <w:marRight w:val="0"/>
          <w:marTop w:val="0"/>
          <w:marBottom w:val="0"/>
          <w:divBdr>
            <w:top w:val="none" w:sz="0" w:space="0" w:color="auto"/>
            <w:left w:val="none" w:sz="0" w:space="0" w:color="auto"/>
            <w:bottom w:val="none" w:sz="0" w:space="0" w:color="auto"/>
            <w:right w:val="none" w:sz="0" w:space="0" w:color="auto"/>
          </w:divBdr>
        </w:div>
        <w:div w:id="1160387055">
          <w:marLeft w:val="640"/>
          <w:marRight w:val="0"/>
          <w:marTop w:val="0"/>
          <w:marBottom w:val="0"/>
          <w:divBdr>
            <w:top w:val="none" w:sz="0" w:space="0" w:color="auto"/>
            <w:left w:val="none" w:sz="0" w:space="0" w:color="auto"/>
            <w:bottom w:val="none" w:sz="0" w:space="0" w:color="auto"/>
            <w:right w:val="none" w:sz="0" w:space="0" w:color="auto"/>
          </w:divBdr>
        </w:div>
        <w:div w:id="144125736">
          <w:marLeft w:val="640"/>
          <w:marRight w:val="0"/>
          <w:marTop w:val="0"/>
          <w:marBottom w:val="0"/>
          <w:divBdr>
            <w:top w:val="none" w:sz="0" w:space="0" w:color="auto"/>
            <w:left w:val="none" w:sz="0" w:space="0" w:color="auto"/>
            <w:bottom w:val="none" w:sz="0" w:space="0" w:color="auto"/>
            <w:right w:val="none" w:sz="0" w:space="0" w:color="auto"/>
          </w:divBdr>
        </w:div>
        <w:div w:id="838690114">
          <w:marLeft w:val="640"/>
          <w:marRight w:val="0"/>
          <w:marTop w:val="0"/>
          <w:marBottom w:val="0"/>
          <w:divBdr>
            <w:top w:val="none" w:sz="0" w:space="0" w:color="auto"/>
            <w:left w:val="none" w:sz="0" w:space="0" w:color="auto"/>
            <w:bottom w:val="none" w:sz="0" w:space="0" w:color="auto"/>
            <w:right w:val="none" w:sz="0" w:space="0" w:color="auto"/>
          </w:divBdr>
        </w:div>
        <w:div w:id="1186823977">
          <w:marLeft w:val="640"/>
          <w:marRight w:val="0"/>
          <w:marTop w:val="0"/>
          <w:marBottom w:val="0"/>
          <w:divBdr>
            <w:top w:val="none" w:sz="0" w:space="0" w:color="auto"/>
            <w:left w:val="none" w:sz="0" w:space="0" w:color="auto"/>
            <w:bottom w:val="none" w:sz="0" w:space="0" w:color="auto"/>
            <w:right w:val="none" w:sz="0" w:space="0" w:color="auto"/>
          </w:divBdr>
        </w:div>
        <w:div w:id="1953583442">
          <w:marLeft w:val="640"/>
          <w:marRight w:val="0"/>
          <w:marTop w:val="0"/>
          <w:marBottom w:val="0"/>
          <w:divBdr>
            <w:top w:val="none" w:sz="0" w:space="0" w:color="auto"/>
            <w:left w:val="none" w:sz="0" w:space="0" w:color="auto"/>
            <w:bottom w:val="none" w:sz="0" w:space="0" w:color="auto"/>
            <w:right w:val="none" w:sz="0" w:space="0" w:color="auto"/>
          </w:divBdr>
        </w:div>
        <w:div w:id="1643849627">
          <w:marLeft w:val="640"/>
          <w:marRight w:val="0"/>
          <w:marTop w:val="0"/>
          <w:marBottom w:val="0"/>
          <w:divBdr>
            <w:top w:val="none" w:sz="0" w:space="0" w:color="auto"/>
            <w:left w:val="none" w:sz="0" w:space="0" w:color="auto"/>
            <w:bottom w:val="none" w:sz="0" w:space="0" w:color="auto"/>
            <w:right w:val="none" w:sz="0" w:space="0" w:color="auto"/>
          </w:divBdr>
        </w:div>
        <w:div w:id="27881636">
          <w:marLeft w:val="640"/>
          <w:marRight w:val="0"/>
          <w:marTop w:val="0"/>
          <w:marBottom w:val="0"/>
          <w:divBdr>
            <w:top w:val="none" w:sz="0" w:space="0" w:color="auto"/>
            <w:left w:val="none" w:sz="0" w:space="0" w:color="auto"/>
            <w:bottom w:val="none" w:sz="0" w:space="0" w:color="auto"/>
            <w:right w:val="none" w:sz="0" w:space="0" w:color="auto"/>
          </w:divBdr>
        </w:div>
        <w:div w:id="1866140428">
          <w:marLeft w:val="640"/>
          <w:marRight w:val="0"/>
          <w:marTop w:val="0"/>
          <w:marBottom w:val="0"/>
          <w:divBdr>
            <w:top w:val="none" w:sz="0" w:space="0" w:color="auto"/>
            <w:left w:val="none" w:sz="0" w:space="0" w:color="auto"/>
            <w:bottom w:val="none" w:sz="0" w:space="0" w:color="auto"/>
            <w:right w:val="none" w:sz="0" w:space="0" w:color="auto"/>
          </w:divBdr>
        </w:div>
        <w:div w:id="1749304293">
          <w:marLeft w:val="640"/>
          <w:marRight w:val="0"/>
          <w:marTop w:val="0"/>
          <w:marBottom w:val="0"/>
          <w:divBdr>
            <w:top w:val="none" w:sz="0" w:space="0" w:color="auto"/>
            <w:left w:val="none" w:sz="0" w:space="0" w:color="auto"/>
            <w:bottom w:val="none" w:sz="0" w:space="0" w:color="auto"/>
            <w:right w:val="none" w:sz="0" w:space="0" w:color="auto"/>
          </w:divBdr>
        </w:div>
        <w:div w:id="1352802475">
          <w:marLeft w:val="640"/>
          <w:marRight w:val="0"/>
          <w:marTop w:val="0"/>
          <w:marBottom w:val="0"/>
          <w:divBdr>
            <w:top w:val="none" w:sz="0" w:space="0" w:color="auto"/>
            <w:left w:val="none" w:sz="0" w:space="0" w:color="auto"/>
            <w:bottom w:val="none" w:sz="0" w:space="0" w:color="auto"/>
            <w:right w:val="none" w:sz="0" w:space="0" w:color="auto"/>
          </w:divBdr>
        </w:div>
        <w:div w:id="1077097166">
          <w:marLeft w:val="640"/>
          <w:marRight w:val="0"/>
          <w:marTop w:val="0"/>
          <w:marBottom w:val="0"/>
          <w:divBdr>
            <w:top w:val="none" w:sz="0" w:space="0" w:color="auto"/>
            <w:left w:val="none" w:sz="0" w:space="0" w:color="auto"/>
            <w:bottom w:val="none" w:sz="0" w:space="0" w:color="auto"/>
            <w:right w:val="none" w:sz="0" w:space="0" w:color="auto"/>
          </w:divBdr>
        </w:div>
        <w:div w:id="316227341">
          <w:marLeft w:val="640"/>
          <w:marRight w:val="0"/>
          <w:marTop w:val="0"/>
          <w:marBottom w:val="0"/>
          <w:divBdr>
            <w:top w:val="none" w:sz="0" w:space="0" w:color="auto"/>
            <w:left w:val="none" w:sz="0" w:space="0" w:color="auto"/>
            <w:bottom w:val="none" w:sz="0" w:space="0" w:color="auto"/>
            <w:right w:val="none" w:sz="0" w:space="0" w:color="auto"/>
          </w:divBdr>
        </w:div>
        <w:div w:id="35469485">
          <w:marLeft w:val="640"/>
          <w:marRight w:val="0"/>
          <w:marTop w:val="0"/>
          <w:marBottom w:val="0"/>
          <w:divBdr>
            <w:top w:val="none" w:sz="0" w:space="0" w:color="auto"/>
            <w:left w:val="none" w:sz="0" w:space="0" w:color="auto"/>
            <w:bottom w:val="none" w:sz="0" w:space="0" w:color="auto"/>
            <w:right w:val="none" w:sz="0" w:space="0" w:color="auto"/>
          </w:divBdr>
        </w:div>
        <w:div w:id="1718703410">
          <w:marLeft w:val="640"/>
          <w:marRight w:val="0"/>
          <w:marTop w:val="0"/>
          <w:marBottom w:val="0"/>
          <w:divBdr>
            <w:top w:val="none" w:sz="0" w:space="0" w:color="auto"/>
            <w:left w:val="none" w:sz="0" w:space="0" w:color="auto"/>
            <w:bottom w:val="none" w:sz="0" w:space="0" w:color="auto"/>
            <w:right w:val="none" w:sz="0" w:space="0" w:color="auto"/>
          </w:divBdr>
        </w:div>
        <w:div w:id="168057286">
          <w:marLeft w:val="640"/>
          <w:marRight w:val="0"/>
          <w:marTop w:val="0"/>
          <w:marBottom w:val="0"/>
          <w:divBdr>
            <w:top w:val="none" w:sz="0" w:space="0" w:color="auto"/>
            <w:left w:val="none" w:sz="0" w:space="0" w:color="auto"/>
            <w:bottom w:val="none" w:sz="0" w:space="0" w:color="auto"/>
            <w:right w:val="none" w:sz="0" w:space="0" w:color="auto"/>
          </w:divBdr>
        </w:div>
        <w:div w:id="591477482">
          <w:marLeft w:val="640"/>
          <w:marRight w:val="0"/>
          <w:marTop w:val="0"/>
          <w:marBottom w:val="0"/>
          <w:divBdr>
            <w:top w:val="none" w:sz="0" w:space="0" w:color="auto"/>
            <w:left w:val="none" w:sz="0" w:space="0" w:color="auto"/>
            <w:bottom w:val="none" w:sz="0" w:space="0" w:color="auto"/>
            <w:right w:val="none" w:sz="0" w:space="0" w:color="auto"/>
          </w:divBdr>
        </w:div>
        <w:div w:id="1033918356">
          <w:marLeft w:val="640"/>
          <w:marRight w:val="0"/>
          <w:marTop w:val="0"/>
          <w:marBottom w:val="0"/>
          <w:divBdr>
            <w:top w:val="none" w:sz="0" w:space="0" w:color="auto"/>
            <w:left w:val="none" w:sz="0" w:space="0" w:color="auto"/>
            <w:bottom w:val="none" w:sz="0" w:space="0" w:color="auto"/>
            <w:right w:val="none" w:sz="0" w:space="0" w:color="auto"/>
          </w:divBdr>
        </w:div>
        <w:div w:id="1629823055">
          <w:marLeft w:val="640"/>
          <w:marRight w:val="0"/>
          <w:marTop w:val="0"/>
          <w:marBottom w:val="0"/>
          <w:divBdr>
            <w:top w:val="none" w:sz="0" w:space="0" w:color="auto"/>
            <w:left w:val="none" w:sz="0" w:space="0" w:color="auto"/>
            <w:bottom w:val="none" w:sz="0" w:space="0" w:color="auto"/>
            <w:right w:val="none" w:sz="0" w:space="0" w:color="auto"/>
          </w:divBdr>
        </w:div>
        <w:div w:id="350910389">
          <w:marLeft w:val="640"/>
          <w:marRight w:val="0"/>
          <w:marTop w:val="0"/>
          <w:marBottom w:val="0"/>
          <w:divBdr>
            <w:top w:val="none" w:sz="0" w:space="0" w:color="auto"/>
            <w:left w:val="none" w:sz="0" w:space="0" w:color="auto"/>
            <w:bottom w:val="none" w:sz="0" w:space="0" w:color="auto"/>
            <w:right w:val="none" w:sz="0" w:space="0" w:color="auto"/>
          </w:divBdr>
        </w:div>
        <w:div w:id="207034286">
          <w:marLeft w:val="640"/>
          <w:marRight w:val="0"/>
          <w:marTop w:val="0"/>
          <w:marBottom w:val="0"/>
          <w:divBdr>
            <w:top w:val="none" w:sz="0" w:space="0" w:color="auto"/>
            <w:left w:val="none" w:sz="0" w:space="0" w:color="auto"/>
            <w:bottom w:val="none" w:sz="0" w:space="0" w:color="auto"/>
            <w:right w:val="none" w:sz="0" w:space="0" w:color="auto"/>
          </w:divBdr>
        </w:div>
        <w:div w:id="1939635959">
          <w:marLeft w:val="640"/>
          <w:marRight w:val="0"/>
          <w:marTop w:val="0"/>
          <w:marBottom w:val="0"/>
          <w:divBdr>
            <w:top w:val="none" w:sz="0" w:space="0" w:color="auto"/>
            <w:left w:val="none" w:sz="0" w:space="0" w:color="auto"/>
            <w:bottom w:val="none" w:sz="0" w:space="0" w:color="auto"/>
            <w:right w:val="none" w:sz="0" w:space="0" w:color="auto"/>
          </w:divBdr>
        </w:div>
        <w:div w:id="6374351">
          <w:marLeft w:val="640"/>
          <w:marRight w:val="0"/>
          <w:marTop w:val="0"/>
          <w:marBottom w:val="0"/>
          <w:divBdr>
            <w:top w:val="none" w:sz="0" w:space="0" w:color="auto"/>
            <w:left w:val="none" w:sz="0" w:space="0" w:color="auto"/>
            <w:bottom w:val="none" w:sz="0" w:space="0" w:color="auto"/>
            <w:right w:val="none" w:sz="0" w:space="0" w:color="auto"/>
          </w:divBdr>
        </w:div>
        <w:div w:id="38632978">
          <w:marLeft w:val="640"/>
          <w:marRight w:val="0"/>
          <w:marTop w:val="0"/>
          <w:marBottom w:val="0"/>
          <w:divBdr>
            <w:top w:val="none" w:sz="0" w:space="0" w:color="auto"/>
            <w:left w:val="none" w:sz="0" w:space="0" w:color="auto"/>
            <w:bottom w:val="none" w:sz="0" w:space="0" w:color="auto"/>
            <w:right w:val="none" w:sz="0" w:space="0" w:color="auto"/>
          </w:divBdr>
        </w:div>
        <w:div w:id="847670606">
          <w:marLeft w:val="640"/>
          <w:marRight w:val="0"/>
          <w:marTop w:val="0"/>
          <w:marBottom w:val="0"/>
          <w:divBdr>
            <w:top w:val="none" w:sz="0" w:space="0" w:color="auto"/>
            <w:left w:val="none" w:sz="0" w:space="0" w:color="auto"/>
            <w:bottom w:val="none" w:sz="0" w:space="0" w:color="auto"/>
            <w:right w:val="none" w:sz="0" w:space="0" w:color="auto"/>
          </w:divBdr>
        </w:div>
        <w:div w:id="45446705">
          <w:marLeft w:val="640"/>
          <w:marRight w:val="0"/>
          <w:marTop w:val="0"/>
          <w:marBottom w:val="0"/>
          <w:divBdr>
            <w:top w:val="none" w:sz="0" w:space="0" w:color="auto"/>
            <w:left w:val="none" w:sz="0" w:space="0" w:color="auto"/>
            <w:bottom w:val="none" w:sz="0" w:space="0" w:color="auto"/>
            <w:right w:val="none" w:sz="0" w:space="0" w:color="auto"/>
          </w:divBdr>
        </w:div>
        <w:div w:id="1838956175">
          <w:marLeft w:val="640"/>
          <w:marRight w:val="0"/>
          <w:marTop w:val="0"/>
          <w:marBottom w:val="0"/>
          <w:divBdr>
            <w:top w:val="none" w:sz="0" w:space="0" w:color="auto"/>
            <w:left w:val="none" w:sz="0" w:space="0" w:color="auto"/>
            <w:bottom w:val="none" w:sz="0" w:space="0" w:color="auto"/>
            <w:right w:val="none" w:sz="0" w:space="0" w:color="auto"/>
          </w:divBdr>
        </w:div>
        <w:div w:id="359937951">
          <w:marLeft w:val="640"/>
          <w:marRight w:val="0"/>
          <w:marTop w:val="0"/>
          <w:marBottom w:val="0"/>
          <w:divBdr>
            <w:top w:val="none" w:sz="0" w:space="0" w:color="auto"/>
            <w:left w:val="none" w:sz="0" w:space="0" w:color="auto"/>
            <w:bottom w:val="none" w:sz="0" w:space="0" w:color="auto"/>
            <w:right w:val="none" w:sz="0" w:space="0" w:color="auto"/>
          </w:divBdr>
        </w:div>
        <w:div w:id="2016151778">
          <w:marLeft w:val="640"/>
          <w:marRight w:val="0"/>
          <w:marTop w:val="0"/>
          <w:marBottom w:val="0"/>
          <w:divBdr>
            <w:top w:val="none" w:sz="0" w:space="0" w:color="auto"/>
            <w:left w:val="none" w:sz="0" w:space="0" w:color="auto"/>
            <w:bottom w:val="none" w:sz="0" w:space="0" w:color="auto"/>
            <w:right w:val="none" w:sz="0" w:space="0" w:color="auto"/>
          </w:divBdr>
        </w:div>
        <w:div w:id="1032419379">
          <w:marLeft w:val="640"/>
          <w:marRight w:val="0"/>
          <w:marTop w:val="0"/>
          <w:marBottom w:val="0"/>
          <w:divBdr>
            <w:top w:val="none" w:sz="0" w:space="0" w:color="auto"/>
            <w:left w:val="none" w:sz="0" w:space="0" w:color="auto"/>
            <w:bottom w:val="none" w:sz="0" w:space="0" w:color="auto"/>
            <w:right w:val="none" w:sz="0" w:space="0" w:color="auto"/>
          </w:divBdr>
        </w:div>
        <w:div w:id="1946423089">
          <w:marLeft w:val="640"/>
          <w:marRight w:val="0"/>
          <w:marTop w:val="0"/>
          <w:marBottom w:val="0"/>
          <w:divBdr>
            <w:top w:val="none" w:sz="0" w:space="0" w:color="auto"/>
            <w:left w:val="none" w:sz="0" w:space="0" w:color="auto"/>
            <w:bottom w:val="none" w:sz="0" w:space="0" w:color="auto"/>
            <w:right w:val="none" w:sz="0" w:space="0" w:color="auto"/>
          </w:divBdr>
        </w:div>
        <w:div w:id="1166166319">
          <w:marLeft w:val="640"/>
          <w:marRight w:val="0"/>
          <w:marTop w:val="0"/>
          <w:marBottom w:val="0"/>
          <w:divBdr>
            <w:top w:val="none" w:sz="0" w:space="0" w:color="auto"/>
            <w:left w:val="none" w:sz="0" w:space="0" w:color="auto"/>
            <w:bottom w:val="none" w:sz="0" w:space="0" w:color="auto"/>
            <w:right w:val="none" w:sz="0" w:space="0" w:color="auto"/>
          </w:divBdr>
        </w:div>
        <w:div w:id="452329601">
          <w:marLeft w:val="640"/>
          <w:marRight w:val="0"/>
          <w:marTop w:val="0"/>
          <w:marBottom w:val="0"/>
          <w:divBdr>
            <w:top w:val="none" w:sz="0" w:space="0" w:color="auto"/>
            <w:left w:val="none" w:sz="0" w:space="0" w:color="auto"/>
            <w:bottom w:val="none" w:sz="0" w:space="0" w:color="auto"/>
            <w:right w:val="none" w:sz="0" w:space="0" w:color="auto"/>
          </w:divBdr>
        </w:div>
        <w:div w:id="1741050288">
          <w:marLeft w:val="640"/>
          <w:marRight w:val="0"/>
          <w:marTop w:val="0"/>
          <w:marBottom w:val="0"/>
          <w:divBdr>
            <w:top w:val="none" w:sz="0" w:space="0" w:color="auto"/>
            <w:left w:val="none" w:sz="0" w:space="0" w:color="auto"/>
            <w:bottom w:val="none" w:sz="0" w:space="0" w:color="auto"/>
            <w:right w:val="none" w:sz="0" w:space="0" w:color="auto"/>
          </w:divBdr>
        </w:div>
        <w:div w:id="1687054299">
          <w:marLeft w:val="640"/>
          <w:marRight w:val="0"/>
          <w:marTop w:val="0"/>
          <w:marBottom w:val="0"/>
          <w:divBdr>
            <w:top w:val="none" w:sz="0" w:space="0" w:color="auto"/>
            <w:left w:val="none" w:sz="0" w:space="0" w:color="auto"/>
            <w:bottom w:val="none" w:sz="0" w:space="0" w:color="auto"/>
            <w:right w:val="none" w:sz="0" w:space="0" w:color="auto"/>
          </w:divBdr>
        </w:div>
        <w:div w:id="1420515887">
          <w:marLeft w:val="640"/>
          <w:marRight w:val="0"/>
          <w:marTop w:val="0"/>
          <w:marBottom w:val="0"/>
          <w:divBdr>
            <w:top w:val="none" w:sz="0" w:space="0" w:color="auto"/>
            <w:left w:val="none" w:sz="0" w:space="0" w:color="auto"/>
            <w:bottom w:val="none" w:sz="0" w:space="0" w:color="auto"/>
            <w:right w:val="none" w:sz="0" w:space="0" w:color="auto"/>
          </w:divBdr>
        </w:div>
        <w:div w:id="1605263820">
          <w:marLeft w:val="640"/>
          <w:marRight w:val="0"/>
          <w:marTop w:val="0"/>
          <w:marBottom w:val="0"/>
          <w:divBdr>
            <w:top w:val="none" w:sz="0" w:space="0" w:color="auto"/>
            <w:left w:val="none" w:sz="0" w:space="0" w:color="auto"/>
            <w:bottom w:val="none" w:sz="0" w:space="0" w:color="auto"/>
            <w:right w:val="none" w:sz="0" w:space="0" w:color="auto"/>
          </w:divBdr>
        </w:div>
        <w:div w:id="1928540549">
          <w:marLeft w:val="640"/>
          <w:marRight w:val="0"/>
          <w:marTop w:val="0"/>
          <w:marBottom w:val="0"/>
          <w:divBdr>
            <w:top w:val="none" w:sz="0" w:space="0" w:color="auto"/>
            <w:left w:val="none" w:sz="0" w:space="0" w:color="auto"/>
            <w:bottom w:val="none" w:sz="0" w:space="0" w:color="auto"/>
            <w:right w:val="none" w:sz="0" w:space="0" w:color="auto"/>
          </w:divBdr>
        </w:div>
        <w:div w:id="1301225342">
          <w:marLeft w:val="640"/>
          <w:marRight w:val="0"/>
          <w:marTop w:val="0"/>
          <w:marBottom w:val="0"/>
          <w:divBdr>
            <w:top w:val="none" w:sz="0" w:space="0" w:color="auto"/>
            <w:left w:val="none" w:sz="0" w:space="0" w:color="auto"/>
            <w:bottom w:val="none" w:sz="0" w:space="0" w:color="auto"/>
            <w:right w:val="none" w:sz="0" w:space="0" w:color="auto"/>
          </w:divBdr>
        </w:div>
        <w:div w:id="849026748">
          <w:marLeft w:val="640"/>
          <w:marRight w:val="0"/>
          <w:marTop w:val="0"/>
          <w:marBottom w:val="0"/>
          <w:divBdr>
            <w:top w:val="none" w:sz="0" w:space="0" w:color="auto"/>
            <w:left w:val="none" w:sz="0" w:space="0" w:color="auto"/>
            <w:bottom w:val="none" w:sz="0" w:space="0" w:color="auto"/>
            <w:right w:val="none" w:sz="0" w:space="0" w:color="auto"/>
          </w:divBdr>
        </w:div>
        <w:div w:id="741103895">
          <w:marLeft w:val="640"/>
          <w:marRight w:val="0"/>
          <w:marTop w:val="0"/>
          <w:marBottom w:val="0"/>
          <w:divBdr>
            <w:top w:val="none" w:sz="0" w:space="0" w:color="auto"/>
            <w:left w:val="none" w:sz="0" w:space="0" w:color="auto"/>
            <w:bottom w:val="none" w:sz="0" w:space="0" w:color="auto"/>
            <w:right w:val="none" w:sz="0" w:space="0" w:color="auto"/>
          </w:divBdr>
        </w:div>
        <w:div w:id="1647970767">
          <w:marLeft w:val="640"/>
          <w:marRight w:val="0"/>
          <w:marTop w:val="0"/>
          <w:marBottom w:val="0"/>
          <w:divBdr>
            <w:top w:val="none" w:sz="0" w:space="0" w:color="auto"/>
            <w:left w:val="none" w:sz="0" w:space="0" w:color="auto"/>
            <w:bottom w:val="none" w:sz="0" w:space="0" w:color="auto"/>
            <w:right w:val="none" w:sz="0" w:space="0" w:color="auto"/>
          </w:divBdr>
        </w:div>
        <w:div w:id="1636254103">
          <w:marLeft w:val="640"/>
          <w:marRight w:val="0"/>
          <w:marTop w:val="0"/>
          <w:marBottom w:val="0"/>
          <w:divBdr>
            <w:top w:val="none" w:sz="0" w:space="0" w:color="auto"/>
            <w:left w:val="none" w:sz="0" w:space="0" w:color="auto"/>
            <w:bottom w:val="none" w:sz="0" w:space="0" w:color="auto"/>
            <w:right w:val="none" w:sz="0" w:space="0" w:color="auto"/>
          </w:divBdr>
        </w:div>
        <w:div w:id="1262765909">
          <w:marLeft w:val="640"/>
          <w:marRight w:val="0"/>
          <w:marTop w:val="0"/>
          <w:marBottom w:val="0"/>
          <w:divBdr>
            <w:top w:val="none" w:sz="0" w:space="0" w:color="auto"/>
            <w:left w:val="none" w:sz="0" w:space="0" w:color="auto"/>
            <w:bottom w:val="none" w:sz="0" w:space="0" w:color="auto"/>
            <w:right w:val="none" w:sz="0" w:space="0" w:color="auto"/>
          </w:divBdr>
        </w:div>
        <w:div w:id="626618748">
          <w:marLeft w:val="640"/>
          <w:marRight w:val="0"/>
          <w:marTop w:val="0"/>
          <w:marBottom w:val="0"/>
          <w:divBdr>
            <w:top w:val="none" w:sz="0" w:space="0" w:color="auto"/>
            <w:left w:val="none" w:sz="0" w:space="0" w:color="auto"/>
            <w:bottom w:val="none" w:sz="0" w:space="0" w:color="auto"/>
            <w:right w:val="none" w:sz="0" w:space="0" w:color="auto"/>
          </w:divBdr>
        </w:div>
        <w:div w:id="1213151202">
          <w:marLeft w:val="640"/>
          <w:marRight w:val="0"/>
          <w:marTop w:val="0"/>
          <w:marBottom w:val="0"/>
          <w:divBdr>
            <w:top w:val="none" w:sz="0" w:space="0" w:color="auto"/>
            <w:left w:val="none" w:sz="0" w:space="0" w:color="auto"/>
            <w:bottom w:val="none" w:sz="0" w:space="0" w:color="auto"/>
            <w:right w:val="none" w:sz="0" w:space="0" w:color="auto"/>
          </w:divBdr>
        </w:div>
        <w:div w:id="2045783691">
          <w:marLeft w:val="640"/>
          <w:marRight w:val="0"/>
          <w:marTop w:val="0"/>
          <w:marBottom w:val="0"/>
          <w:divBdr>
            <w:top w:val="none" w:sz="0" w:space="0" w:color="auto"/>
            <w:left w:val="none" w:sz="0" w:space="0" w:color="auto"/>
            <w:bottom w:val="none" w:sz="0" w:space="0" w:color="auto"/>
            <w:right w:val="none" w:sz="0" w:space="0" w:color="auto"/>
          </w:divBdr>
        </w:div>
        <w:div w:id="803932457">
          <w:marLeft w:val="640"/>
          <w:marRight w:val="0"/>
          <w:marTop w:val="0"/>
          <w:marBottom w:val="0"/>
          <w:divBdr>
            <w:top w:val="none" w:sz="0" w:space="0" w:color="auto"/>
            <w:left w:val="none" w:sz="0" w:space="0" w:color="auto"/>
            <w:bottom w:val="none" w:sz="0" w:space="0" w:color="auto"/>
            <w:right w:val="none" w:sz="0" w:space="0" w:color="auto"/>
          </w:divBdr>
        </w:div>
        <w:div w:id="2061399841">
          <w:marLeft w:val="640"/>
          <w:marRight w:val="0"/>
          <w:marTop w:val="0"/>
          <w:marBottom w:val="0"/>
          <w:divBdr>
            <w:top w:val="none" w:sz="0" w:space="0" w:color="auto"/>
            <w:left w:val="none" w:sz="0" w:space="0" w:color="auto"/>
            <w:bottom w:val="none" w:sz="0" w:space="0" w:color="auto"/>
            <w:right w:val="none" w:sz="0" w:space="0" w:color="auto"/>
          </w:divBdr>
        </w:div>
        <w:div w:id="1567034003">
          <w:marLeft w:val="640"/>
          <w:marRight w:val="0"/>
          <w:marTop w:val="0"/>
          <w:marBottom w:val="0"/>
          <w:divBdr>
            <w:top w:val="none" w:sz="0" w:space="0" w:color="auto"/>
            <w:left w:val="none" w:sz="0" w:space="0" w:color="auto"/>
            <w:bottom w:val="none" w:sz="0" w:space="0" w:color="auto"/>
            <w:right w:val="none" w:sz="0" w:space="0" w:color="auto"/>
          </w:divBdr>
        </w:div>
        <w:div w:id="611472698">
          <w:marLeft w:val="640"/>
          <w:marRight w:val="0"/>
          <w:marTop w:val="0"/>
          <w:marBottom w:val="0"/>
          <w:divBdr>
            <w:top w:val="none" w:sz="0" w:space="0" w:color="auto"/>
            <w:left w:val="none" w:sz="0" w:space="0" w:color="auto"/>
            <w:bottom w:val="none" w:sz="0" w:space="0" w:color="auto"/>
            <w:right w:val="none" w:sz="0" w:space="0" w:color="auto"/>
          </w:divBdr>
        </w:div>
        <w:div w:id="943222550">
          <w:marLeft w:val="640"/>
          <w:marRight w:val="0"/>
          <w:marTop w:val="0"/>
          <w:marBottom w:val="0"/>
          <w:divBdr>
            <w:top w:val="none" w:sz="0" w:space="0" w:color="auto"/>
            <w:left w:val="none" w:sz="0" w:space="0" w:color="auto"/>
            <w:bottom w:val="none" w:sz="0" w:space="0" w:color="auto"/>
            <w:right w:val="none" w:sz="0" w:space="0" w:color="auto"/>
          </w:divBdr>
        </w:div>
        <w:div w:id="1211383898">
          <w:marLeft w:val="640"/>
          <w:marRight w:val="0"/>
          <w:marTop w:val="0"/>
          <w:marBottom w:val="0"/>
          <w:divBdr>
            <w:top w:val="none" w:sz="0" w:space="0" w:color="auto"/>
            <w:left w:val="none" w:sz="0" w:space="0" w:color="auto"/>
            <w:bottom w:val="none" w:sz="0" w:space="0" w:color="auto"/>
            <w:right w:val="none" w:sz="0" w:space="0" w:color="auto"/>
          </w:divBdr>
        </w:div>
        <w:div w:id="1303119001">
          <w:marLeft w:val="640"/>
          <w:marRight w:val="0"/>
          <w:marTop w:val="0"/>
          <w:marBottom w:val="0"/>
          <w:divBdr>
            <w:top w:val="none" w:sz="0" w:space="0" w:color="auto"/>
            <w:left w:val="none" w:sz="0" w:space="0" w:color="auto"/>
            <w:bottom w:val="none" w:sz="0" w:space="0" w:color="auto"/>
            <w:right w:val="none" w:sz="0" w:space="0" w:color="auto"/>
          </w:divBdr>
        </w:div>
        <w:div w:id="1889758564">
          <w:marLeft w:val="640"/>
          <w:marRight w:val="0"/>
          <w:marTop w:val="0"/>
          <w:marBottom w:val="0"/>
          <w:divBdr>
            <w:top w:val="none" w:sz="0" w:space="0" w:color="auto"/>
            <w:left w:val="none" w:sz="0" w:space="0" w:color="auto"/>
            <w:bottom w:val="none" w:sz="0" w:space="0" w:color="auto"/>
            <w:right w:val="none" w:sz="0" w:space="0" w:color="auto"/>
          </w:divBdr>
        </w:div>
        <w:div w:id="894858041">
          <w:marLeft w:val="640"/>
          <w:marRight w:val="0"/>
          <w:marTop w:val="0"/>
          <w:marBottom w:val="0"/>
          <w:divBdr>
            <w:top w:val="none" w:sz="0" w:space="0" w:color="auto"/>
            <w:left w:val="none" w:sz="0" w:space="0" w:color="auto"/>
            <w:bottom w:val="none" w:sz="0" w:space="0" w:color="auto"/>
            <w:right w:val="none" w:sz="0" w:space="0" w:color="auto"/>
          </w:divBdr>
        </w:div>
        <w:div w:id="1817338879">
          <w:marLeft w:val="640"/>
          <w:marRight w:val="0"/>
          <w:marTop w:val="0"/>
          <w:marBottom w:val="0"/>
          <w:divBdr>
            <w:top w:val="none" w:sz="0" w:space="0" w:color="auto"/>
            <w:left w:val="none" w:sz="0" w:space="0" w:color="auto"/>
            <w:bottom w:val="none" w:sz="0" w:space="0" w:color="auto"/>
            <w:right w:val="none" w:sz="0" w:space="0" w:color="auto"/>
          </w:divBdr>
        </w:div>
        <w:div w:id="1237787237">
          <w:marLeft w:val="640"/>
          <w:marRight w:val="0"/>
          <w:marTop w:val="0"/>
          <w:marBottom w:val="0"/>
          <w:divBdr>
            <w:top w:val="none" w:sz="0" w:space="0" w:color="auto"/>
            <w:left w:val="none" w:sz="0" w:space="0" w:color="auto"/>
            <w:bottom w:val="none" w:sz="0" w:space="0" w:color="auto"/>
            <w:right w:val="none" w:sz="0" w:space="0" w:color="auto"/>
          </w:divBdr>
        </w:div>
        <w:div w:id="11149470">
          <w:marLeft w:val="640"/>
          <w:marRight w:val="0"/>
          <w:marTop w:val="0"/>
          <w:marBottom w:val="0"/>
          <w:divBdr>
            <w:top w:val="none" w:sz="0" w:space="0" w:color="auto"/>
            <w:left w:val="none" w:sz="0" w:space="0" w:color="auto"/>
            <w:bottom w:val="none" w:sz="0" w:space="0" w:color="auto"/>
            <w:right w:val="none" w:sz="0" w:space="0" w:color="auto"/>
          </w:divBdr>
        </w:div>
        <w:div w:id="1438217322">
          <w:marLeft w:val="640"/>
          <w:marRight w:val="0"/>
          <w:marTop w:val="0"/>
          <w:marBottom w:val="0"/>
          <w:divBdr>
            <w:top w:val="none" w:sz="0" w:space="0" w:color="auto"/>
            <w:left w:val="none" w:sz="0" w:space="0" w:color="auto"/>
            <w:bottom w:val="none" w:sz="0" w:space="0" w:color="auto"/>
            <w:right w:val="none" w:sz="0" w:space="0" w:color="auto"/>
          </w:divBdr>
        </w:div>
        <w:div w:id="716054558">
          <w:marLeft w:val="640"/>
          <w:marRight w:val="0"/>
          <w:marTop w:val="0"/>
          <w:marBottom w:val="0"/>
          <w:divBdr>
            <w:top w:val="none" w:sz="0" w:space="0" w:color="auto"/>
            <w:left w:val="none" w:sz="0" w:space="0" w:color="auto"/>
            <w:bottom w:val="none" w:sz="0" w:space="0" w:color="auto"/>
            <w:right w:val="none" w:sz="0" w:space="0" w:color="auto"/>
          </w:divBdr>
        </w:div>
        <w:div w:id="737822425">
          <w:marLeft w:val="640"/>
          <w:marRight w:val="0"/>
          <w:marTop w:val="0"/>
          <w:marBottom w:val="0"/>
          <w:divBdr>
            <w:top w:val="none" w:sz="0" w:space="0" w:color="auto"/>
            <w:left w:val="none" w:sz="0" w:space="0" w:color="auto"/>
            <w:bottom w:val="none" w:sz="0" w:space="0" w:color="auto"/>
            <w:right w:val="none" w:sz="0" w:space="0" w:color="auto"/>
          </w:divBdr>
        </w:div>
        <w:div w:id="2145073067">
          <w:marLeft w:val="640"/>
          <w:marRight w:val="0"/>
          <w:marTop w:val="0"/>
          <w:marBottom w:val="0"/>
          <w:divBdr>
            <w:top w:val="none" w:sz="0" w:space="0" w:color="auto"/>
            <w:left w:val="none" w:sz="0" w:space="0" w:color="auto"/>
            <w:bottom w:val="none" w:sz="0" w:space="0" w:color="auto"/>
            <w:right w:val="none" w:sz="0" w:space="0" w:color="auto"/>
          </w:divBdr>
        </w:div>
        <w:div w:id="738137760">
          <w:marLeft w:val="640"/>
          <w:marRight w:val="0"/>
          <w:marTop w:val="0"/>
          <w:marBottom w:val="0"/>
          <w:divBdr>
            <w:top w:val="none" w:sz="0" w:space="0" w:color="auto"/>
            <w:left w:val="none" w:sz="0" w:space="0" w:color="auto"/>
            <w:bottom w:val="none" w:sz="0" w:space="0" w:color="auto"/>
            <w:right w:val="none" w:sz="0" w:space="0" w:color="auto"/>
          </w:divBdr>
        </w:div>
        <w:div w:id="79643240">
          <w:marLeft w:val="640"/>
          <w:marRight w:val="0"/>
          <w:marTop w:val="0"/>
          <w:marBottom w:val="0"/>
          <w:divBdr>
            <w:top w:val="none" w:sz="0" w:space="0" w:color="auto"/>
            <w:left w:val="none" w:sz="0" w:space="0" w:color="auto"/>
            <w:bottom w:val="none" w:sz="0" w:space="0" w:color="auto"/>
            <w:right w:val="none" w:sz="0" w:space="0" w:color="auto"/>
          </w:divBdr>
        </w:div>
        <w:div w:id="584188629">
          <w:marLeft w:val="640"/>
          <w:marRight w:val="0"/>
          <w:marTop w:val="0"/>
          <w:marBottom w:val="0"/>
          <w:divBdr>
            <w:top w:val="none" w:sz="0" w:space="0" w:color="auto"/>
            <w:left w:val="none" w:sz="0" w:space="0" w:color="auto"/>
            <w:bottom w:val="none" w:sz="0" w:space="0" w:color="auto"/>
            <w:right w:val="none" w:sz="0" w:space="0" w:color="auto"/>
          </w:divBdr>
        </w:div>
        <w:div w:id="863598976">
          <w:marLeft w:val="640"/>
          <w:marRight w:val="0"/>
          <w:marTop w:val="0"/>
          <w:marBottom w:val="0"/>
          <w:divBdr>
            <w:top w:val="none" w:sz="0" w:space="0" w:color="auto"/>
            <w:left w:val="none" w:sz="0" w:space="0" w:color="auto"/>
            <w:bottom w:val="none" w:sz="0" w:space="0" w:color="auto"/>
            <w:right w:val="none" w:sz="0" w:space="0" w:color="auto"/>
          </w:divBdr>
        </w:div>
        <w:div w:id="1102608182">
          <w:marLeft w:val="640"/>
          <w:marRight w:val="0"/>
          <w:marTop w:val="0"/>
          <w:marBottom w:val="0"/>
          <w:divBdr>
            <w:top w:val="none" w:sz="0" w:space="0" w:color="auto"/>
            <w:left w:val="none" w:sz="0" w:space="0" w:color="auto"/>
            <w:bottom w:val="none" w:sz="0" w:space="0" w:color="auto"/>
            <w:right w:val="none" w:sz="0" w:space="0" w:color="auto"/>
          </w:divBdr>
        </w:div>
        <w:div w:id="1815679521">
          <w:marLeft w:val="640"/>
          <w:marRight w:val="0"/>
          <w:marTop w:val="0"/>
          <w:marBottom w:val="0"/>
          <w:divBdr>
            <w:top w:val="none" w:sz="0" w:space="0" w:color="auto"/>
            <w:left w:val="none" w:sz="0" w:space="0" w:color="auto"/>
            <w:bottom w:val="none" w:sz="0" w:space="0" w:color="auto"/>
            <w:right w:val="none" w:sz="0" w:space="0" w:color="auto"/>
          </w:divBdr>
        </w:div>
        <w:div w:id="180899636">
          <w:marLeft w:val="640"/>
          <w:marRight w:val="0"/>
          <w:marTop w:val="0"/>
          <w:marBottom w:val="0"/>
          <w:divBdr>
            <w:top w:val="none" w:sz="0" w:space="0" w:color="auto"/>
            <w:left w:val="none" w:sz="0" w:space="0" w:color="auto"/>
            <w:bottom w:val="none" w:sz="0" w:space="0" w:color="auto"/>
            <w:right w:val="none" w:sz="0" w:space="0" w:color="auto"/>
          </w:divBdr>
        </w:div>
        <w:div w:id="186213435">
          <w:marLeft w:val="640"/>
          <w:marRight w:val="0"/>
          <w:marTop w:val="0"/>
          <w:marBottom w:val="0"/>
          <w:divBdr>
            <w:top w:val="none" w:sz="0" w:space="0" w:color="auto"/>
            <w:left w:val="none" w:sz="0" w:space="0" w:color="auto"/>
            <w:bottom w:val="none" w:sz="0" w:space="0" w:color="auto"/>
            <w:right w:val="none" w:sz="0" w:space="0" w:color="auto"/>
          </w:divBdr>
        </w:div>
        <w:div w:id="1047991505">
          <w:marLeft w:val="640"/>
          <w:marRight w:val="0"/>
          <w:marTop w:val="0"/>
          <w:marBottom w:val="0"/>
          <w:divBdr>
            <w:top w:val="none" w:sz="0" w:space="0" w:color="auto"/>
            <w:left w:val="none" w:sz="0" w:space="0" w:color="auto"/>
            <w:bottom w:val="none" w:sz="0" w:space="0" w:color="auto"/>
            <w:right w:val="none" w:sz="0" w:space="0" w:color="auto"/>
          </w:divBdr>
        </w:div>
        <w:div w:id="311644882">
          <w:marLeft w:val="640"/>
          <w:marRight w:val="0"/>
          <w:marTop w:val="0"/>
          <w:marBottom w:val="0"/>
          <w:divBdr>
            <w:top w:val="none" w:sz="0" w:space="0" w:color="auto"/>
            <w:left w:val="none" w:sz="0" w:space="0" w:color="auto"/>
            <w:bottom w:val="none" w:sz="0" w:space="0" w:color="auto"/>
            <w:right w:val="none" w:sz="0" w:space="0" w:color="auto"/>
          </w:divBdr>
        </w:div>
        <w:div w:id="1925146991">
          <w:marLeft w:val="640"/>
          <w:marRight w:val="0"/>
          <w:marTop w:val="0"/>
          <w:marBottom w:val="0"/>
          <w:divBdr>
            <w:top w:val="none" w:sz="0" w:space="0" w:color="auto"/>
            <w:left w:val="none" w:sz="0" w:space="0" w:color="auto"/>
            <w:bottom w:val="none" w:sz="0" w:space="0" w:color="auto"/>
            <w:right w:val="none" w:sz="0" w:space="0" w:color="auto"/>
          </w:divBdr>
        </w:div>
        <w:div w:id="1685395885">
          <w:marLeft w:val="640"/>
          <w:marRight w:val="0"/>
          <w:marTop w:val="0"/>
          <w:marBottom w:val="0"/>
          <w:divBdr>
            <w:top w:val="none" w:sz="0" w:space="0" w:color="auto"/>
            <w:left w:val="none" w:sz="0" w:space="0" w:color="auto"/>
            <w:bottom w:val="none" w:sz="0" w:space="0" w:color="auto"/>
            <w:right w:val="none" w:sz="0" w:space="0" w:color="auto"/>
          </w:divBdr>
        </w:div>
        <w:div w:id="241722961">
          <w:marLeft w:val="640"/>
          <w:marRight w:val="0"/>
          <w:marTop w:val="0"/>
          <w:marBottom w:val="0"/>
          <w:divBdr>
            <w:top w:val="none" w:sz="0" w:space="0" w:color="auto"/>
            <w:left w:val="none" w:sz="0" w:space="0" w:color="auto"/>
            <w:bottom w:val="none" w:sz="0" w:space="0" w:color="auto"/>
            <w:right w:val="none" w:sz="0" w:space="0" w:color="auto"/>
          </w:divBdr>
        </w:div>
        <w:div w:id="1211575661">
          <w:marLeft w:val="640"/>
          <w:marRight w:val="0"/>
          <w:marTop w:val="0"/>
          <w:marBottom w:val="0"/>
          <w:divBdr>
            <w:top w:val="none" w:sz="0" w:space="0" w:color="auto"/>
            <w:left w:val="none" w:sz="0" w:space="0" w:color="auto"/>
            <w:bottom w:val="none" w:sz="0" w:space="0" w:color="auto"/>
            <w:right w:val="none" w:sz="0" w:space="0" w:color="auto"/>
          </w:divBdr>
        </w:div>
        <w:div w:id="1027367634">
          <w:marLeft w:val="640"/>
          <w:marRight w:val="0"/>
          <w:marTop w:val="0"/>
          <w:marBottom w:val="0"/>
          <w:divBdr>
            <w:top w:val="none" w:sz="0" w:space="0" w:color="auto"/>
            <w:left w:val="none" w:sz="0" w:space="0" w:color="auto"/>
            <w:bottom w:val="none" w:sz="0" w:space="0" w:color="auto"/>
            <w:right w:val="none" w:sz="0" w:space="0" w:color="auto"/>
          </w:divBdr>
        </w:div>
        <w:div w:id="820193904">
          <w:marLeft w:val="640"/>
          <w:marRight w:val="0"/>
          <w:marTop w:val="0"/>
          <w:marBottom w:val="0"/>
          <w:divBdr>
            <w:top w:val="none" w:sz="0" w:space="0" w:color="auto"/>
            <w:left w:val="none" w:sz="0" w:space="0" w:color="auto"/>
            <w:bottom w:val="none" w:sz="0" w:space="0" w:color="auto"/>
            <w:right w:val="none" w:sz="0" w:space="0" w:color="auto"/>
          </w:divBdr>
        </w:div>
        <w:div w:id="438720944">
          <w:marLeft w:val="640"/>
          <w:marRight w:val="0"/>
          <w:marTop w:val="0"/>
          <w:marBottom w:val="0"/>
          <w:divBdr>
            <w:top w:val="none" w:sz="0" w:space="0" w:color="auto"/>
            <w:left w:val="none" w:sz="0" w:space="0" w:color="auto"/>
            <w:bottom w:val="none" w:sz="0" w:space="0" w:color="auto"/>
            <w:right w:val="none" w:sz="0" w:space="0" w:color="auto"/>
          </w:divBdr>
        </w:div>
        <w:div w:id="1781951524">
          <w:marLeft w:val="640"/>
          <w:marRight w:val="0"/>
          <w:marTop w:val="0"/>
          <w:marBottom w:val="0"/>
          <w:divBdr>
            <w:top w:val="none" w:sz="0" w:space="0" w:color="auto"/>
            <w:left w:val="none" w:sz="0" w:space="0" w:color="auto"/>
            <w:bottom w:val="none" w:sz="0" w:space="0" w:color="auto"/>
            <w:right w:val="none" w:sz="0" w:space="0" w:color="auto"/>
          </w:divBdr>
        </w:div>
        <w:div w:id="1337272127">
          <w:marLeft w:val="640"/>
          <w:marRight w:val="0"/>
          <w:marTop w:val="0"/>
          <w:marBottom w:val="0"/>
          <w:divBdr>
            <w:top w:val="none" w:sz="0" w:space="0" w:color="auto"/>
            <w:left w:val="none" w:sz="0" w:space="0" w:color="auto"/>
            <w:bottom w:val="none" w:sz="0" w:space="0" w:color="auto"/>
            <w:right w:val="none" w:sz="0" w:space="0" w:color="auto"/>
          </w:divBdr>
        </w:div>
        <w:div w:id="979769957">
          <w:marLeft w:val="640"/>
          <w:marRight w:val="0"/>
          <w:marTop w:val="0"/>
          <w:marBottom w:val="0"/>
          <w:divBdr>
            <w:top w:val="none" w:sz="0" w:space="0" w:color="auto"/>
            <w:left w:val="none" w:sz="0" w:space="0" w:color="auto"/>
            <w:bottom w:val="none" w:sz="0" w:space="0" w:color="auto"/>
            <w:right w:val="none" w:sz="0" w:space="0" w:color="auto"/>
          </w:divBdr>
        </w:div>
        <w:div w:id="558592690">
          <w:marLeft w:val="640"/>
          <w:marRight w:val="0"/>
          <w:marTop w:val="0"/>
          <w:marBottom w:val="0"/>
          <w:divBdr>
            <w:top w:val="none" w:sz="0" w:space="0" w:color="auto"/>
            <w:left w:val="none" w:sz="0" w:space="0" w:color="auto"/>
            <w:bottom w:val="none" w:sz="0" w:space="0" w:color="auto"/>
            <w:right w:val="none" w:sz="0" w:space="0" w:color="auto"/>
          </w:divBdr>
        </w:div>
        <w:div w:id="1073354405">
          <w:marLeft w:val="640"/>
          <w:marRight w:val="0"/>
          <w:marTop w:val="0"/>
          <w:marBottom w:val="0"/>
          <w:divBdr>
            <w:top w:val="none" w:sz="0" w:space="0" w:color="auto"/>
            <w:left w:val="none" w:sz="0" w:space="0" w:color="auto"/>
            <w:bottom w:val="none" w:sz="0" w:space="0" w:color="auto"/>
            <w:right w:val="none" w:sz="0" w:space="0" w:color="auto"/>
          </w:divBdr>
        </w:div>
        <w:div w:id="1301886806">
          <w:marLeft w:val="640"/>
          <w:marRight w:val="0"/>
          <w:marTop w:val="0"/>
          <w:marBottom w:val="0"/>
          <w:divBdr>
            <w:top w:val="none" w:sz="0" w:space="0" w:color="auto"/>
            <w:left w:val="none" w:sz="0" w:space="0" w:color="auto"/>
            <w:bottom w:val="none" w:sz="0" w:space="0" w:color="auto"/>
            <w:right w:val="none" w:sz="0" w:space="0" w:color="auto"/>
          </w:divBdr>
        </w:div>
        <w:div w:id="1984263951">
          <w:marLeft w:val="640"/>
          <w:marRight w:val="0"/>
          <w:marTop w:val="0"/>
          <w:marBottom w:val="0"/>
          <w:divBdr>
            <w:top w:val="none" w:sz="0" w:space="0" w:color="auto"/>
            <w:left w:val="none" w:sz="0" w:space="0" w:color="auto"/>
            <w:bottom w:val="none" w:sz="0" w:space="0" w:color="auto"/>
            <w:right w:val="none" w:sz="0" w:space="0" w:color="auto"/>
          </w:divBdr>
        </w:div>
        <w:div w:id="782964945">
          <w:marLeft w:val="640"/>
          <w:marRight w:val="0"/>
          <w:marTop w:val="0"/>
          <w:marBottom w:val="0"/>
          <w:divBdr>
            <w:top w:val="none" w:sz="0" w:space="0" w:color="auto"/>
            <w:left w:val="none" w:sz="0" w:space="0" w:color="auto"/>
            <w:bottom w:val="none" w:sz="0" w:space="0" w:color="auto"/>
            <w:right w:val="none" w:sz="0" w:space="0" w:color="auto"/>
          </w:divBdr>
        </w:div>
        <w:div w:id="454105597">
          <w:marLeft w:val="640"/>
          <w:marRight w:val="0"/>
          <w:marTop w:val="0"/>
          <w:marBottom w:val="0"/>
          <w:divBdr>
            <w:top w:val="none" w:sz="0" w:space="0" w:color="auto"/>
            <w:left w:val="none" w:sz="0" w:space="0" w:color="auto"/>
            <w:bottom w:val="none" w:sz="0" w:space="0" w:color="auto"/>
            <w:right w:val="none" w:sz="0" w:space="0" w:color="auto"/>
          </w:divBdr>
        </w:div>
        <w:div w:id="100270232">
          <w:marLeft w:val="640"/>
          <w:marRight w:val="0"/>
          <w:marTop w:val="0"/>
          <w:marBottom w:val="0"/>
          <w:divBdr>
            <w:top w:val="none" w:sz="0" w:space="0" w:color="auto"/>
            <w:left w:val="none" w:sz="0" w:space="0" w:color="auto"/>
            <w:bottom w:val="none" w:sz="0" w:space="0" w:color="auto"/>
            <w:right w:val="none" w:sz="0" w:space="0" w:color="auto"/>
          </w:divBdr>
        </w:div>
        <w:div w:id="1547374546">
          <w:marLeft w:val="640"/>
          <w:marRight w:val="0"/>
          <w:marTop w:val="0"/>
          <w:marBottom w:val="0"/>
          <w:divBdr>
            <w:top w:val="none" w:sz="0" w:space="0" w:color="auto"/>
            <w:left w:val="none" w:sz="0" w:space="0" w:color="auto"/>
            <w:bottom w:val="none" w:sz="0" w:space="0" w:color="auto"/>
            <w:right w:val="none" w:sz="0" w:space="0" w:color="auto"/>
          </w:divBdr>
        </w:div>
        <w:div w:id="46495561">
          <w:marLeft w:val="640"/>
          <w:marRight w:val="0"/>
          <w:marTop w:val="0"/>
          <w:marBottom w:val="0"/>
          <w:divBdr>
            <w:top w:val="none" w:sz="0" w:space="0" w:color="auto"/>
            <w:left w:val="none" w:sz="0" w:space="0" w:color="auto"/>
            <w:bottom w:val="none" w:sz="0" w:space="0" w:color="auto"/>
            <w:right w:val="none" w:sz="0" w:space="0" w:color="auto"/>
          </w:divBdr>
        </w:div>
        <w:div w:id="1591154808">
          <w:marLeft w:val="640"/>
          <w:marRight w:val="0"/>
          <w:marTop w:val="0"/>
          <w:marBottom w:val="0"/>
          <w:divBdr>
            <w:top w:val="none" w:sz="0" w:space="0" w:color="auto"/>
            <w:left w:val="none" w:sz="0" w:space="0" w:color="auto"/>
            <w:bottom w:val="none" w:sz="0" w:space="0" w:color="auto"/>
            <w:right w:val="none" w:sz="0" w:space="0" w:color="auto"/>
          </w:divBdr>
        </w:div>
        <w:div w:id="1438451434">
          <w:marLeft w:val="640"/>
          <w:marRight w:val="0"/>
          <w:marTop w:val="0"/>
          <w:marBottom w:val="0"/>
          <w:divBdr>
            <w:top w:val="none" w:sz="0" w:space="0" w:color="auto"/>
            <w:left w:val="none" w:sz="0" w:space="0" w:color="auto"/>
            <w:bottom w:val="none" w:sz="0" w:space="0" w:color="auto"/>
            <w:right w:val="none" w:sz="0" w:space="0" w:color="auto"/>
          </w:divBdr>
        </w:div>
        <w:div w:id="1544174721">
          <w:marLeft w:val="640"/>
          <w:marRight w:val="0"/>
          <w:marTop w:val="0"/>
          <w:marBottom w:val="0"/>
          <w:divBdr>
            <w:top w:val="none" w:sz="0" w:space="0" w:color="auto"/>
            <w:left w:val="none" w:sz="0" w:space="0" w:color="auto"/>
            <w:bottom w:val="none" w:sz="0" w:space="0" w:color="auto"/>
            <w:right w:val="none" w:sz="0" w:space="0" w:color="auto"/>
          </w:divBdr>
        </w:div>
        <w:div w:id="1157570608">
          <w:marLeft w:val="640"/>
          <w:marRight w:val="0"/>
          <w:marTop w:val="0"/>
          <w:marBottom w:val="0"/>
          <w:divBdr>
            <w:top w:val="none" w:sz="0" w:space="0" w:color="auto"/>
            <w:left w:val="none" w:sz="0" w:space="0" w:color="auto"/>
            <w:bottom w:val="none" w:sz="0" w:space="0" w:color="auto"/>
            <w:right w:val="none" w:sz="0" w:space="0" w:color="auto"/>
          </w:divBdr>
        </w:div>
        <w:div w:id="1405957836">
          <w:marLeft w:val="640"/>
          <w:marRight w:val="0"/>
          <w:marTop w:val="0"/>
          <w:marBottom w:val="0"/>
          <w:divBdr>
            <w:top w:val="none" w:sz="0" w:space="0" w:color="auto"/>
            <w:left w:val="none" w:sz="0" w:space="0" w:color="auto"/>
            <w:bottom w:val="none" w:sz="0" w:space="0" w:color="auto"/>
            <w:right w:val="none" w:sz="0" w:space="0" w:color="auto"/>
          </w:divBdr>
        </w:div>
        <w:div w:id="1142884928">
          <w:marLeft w:val="640"/>
          <w:marRight w:val="0"/>
          <w:marTop w:val="0"/>
          <w:marBottom w:val="0"/>
          <w:divBdr>
            <w:top w:val="none" w:sz="0" w:space="0" w:color="auto"/>
            <w:left w:val="none" w:sz="0" w:space="0" w:color="auto"/>
            <w:bottom w:val="none" w:sz="0" w:space="0" w:color="auto"/>
            <w:right w:val="none" w:sz="0" w:space="0" w:color="auto"/>
          </w:divBdr>
        </w:div>
        <w:div w:id="928082060">
          <w:marLeft w:val="640"/>
          <w:marRight w:val="0"/>
          <w:marTop w:val="0"/>
          <w:marBottom w:val="0"/>
          <w:divBdr>
            <w:top w:val="none" w:sz="0" w:space="0" w:color="auto"/>
            <w:left w:val="none" w:sz="0" w:space="0" w:color="auto"/>
            <w:bottom w:val="none" w:sz="0" w:space="0" w:color="auto"/>
            <w:right w:val="none" w:sz="0" w:space="0" w:color="auto"/>
          </w:divBdr>
        </w:div>
        <w:div w:id="1900675574">
          <w:marLeft w:val="640"/>
          <w:marRight w:val="0"/>
          <w:marTop w:val="0"/>
          <w:marBottom w:val="0"/>
          <w:divBdr>
            <w:top w:val="none" w:sz="0" w:space="0" w:color="auto"/>
            <w:left w:val="none" w:sz="0" w:space="0" w:color="auto"/>
            <w:bottom w:val="none" w:sz="0" w:space="0" w:color="auto"/>
            <w:right w:val="none" w:sz="0" w:space="0" w:color="auto"/>
          </w:divBdr>
        </w:div>
        <w:div w:id="1310407114">
          <w:marLeft w:val="640"/>
          <w:marRight w:val="0"/>
          <w:marTop w:val="0"/>
          <w:marBottom w:val="0"/>
          <w:divBdr>
            <w:top w:val="none" w:sz="0" w:space="0" w:color="auto"/>
            <w:left w:val="none" w:sz="0" w:space="0" w:color="auto"/>
            <w:bottom w:val="none" w:sz="0" w:space="0" w:color="auto"/>
            <w:right w:val="none" w:sz="0" w:space="0" w:color="auto"/>
          </w:divBdr>
        </w:div>
        <w:div w:id="639386029">
          <w:marLeft w:val="640"/>
          <w:marRight w:val="0"/>
          <w:marTop w:val="0"/>
          <w:marBottom w:val="0"/>
          <w:divBdr>
            <w:top w:val="none" w:sz="0" w:space="0" w:color="auto"/>
            <w:left w:val="none" w:sz="0" w:space="0" w:color="auto"/>
            <w:bottom w:val="none" w:sz="0" w:space="0" w:color="auto"/>
            <w:right w:val="none" w:sz="0" w:space="0" w:color="auto"/>
          </w:divBdr>
        </w:div>
        <w:div w:id="930357664">
          <w:marLeft w:val="640"/>
          <w:marRight w:val="0"/>
          <w:marTop w:val="0"/>
          <w:marBottom w:val="0"/>
          <w:divBdr>
            <w:top w:val="none" w:sz="0" w:space="0" w:color="auto"/>
            <w:left w:val="none" w:sz="0" w:space="0" w:color="auto"/>
            <w:bottom w:val="none" w:sz="0" w:space="0" w:color="auto"/>
            <w:right w:val="none" w:sz="0" w:space="0" w:color="auto"/>
          </w:divBdr>
        </w:div>
      </w:divsChild>
    </w:div>
    <w:div w:id="238826584">
      <w:bodyDiv w:val="1"/>
      <w:marLeft w:val="0"/>
      <w:marRight w:val="0"/>
      <w:marTop w:val="0"/>
      <w:marBottom w:val="0"/>
      <w:divBdr>
        <w:top w:val="none" w:sz="0" w:space="0" w:color="auto"/>
        <w:left w:val="none" w:sz="0" w:space="0" w:color="auto"/>
        <w:bottom w:val="none" w:sz="0" w:space="0" w:color="auto"/>
        <w:right w:val="none" w:sz="0" w:space="0" w:color="auto"/>
      </w:divBdr>
    </w:div>
    <w:div w:id="240408213">
      <w:bodyDiv w:val="1"/>
      <w:marLeft w:val="0"/>
      <w:marRight w:val="0"/>
      <w:marTop w:val="0"/>
      <w:marBottom w:val="0"/>
      <w:divBdr>
        <w:top w:val="none" w:sz="0" w:space="0" w:color="auto"/>
        <w:left w:val="none" w:sz="0" w:space="0" w:color="auto"/>
        <w:bottom w:val="none" w:sz="0" w:space="0" w:color="auto"/>
        <w:right w:val="none" w:sz="0" w:space="0" w:color="auto"/>
      </w:divBdr>
    </w:div>
    <w:div w:id="243691480">
      <w:bodyDiv w:val="1"/>
      <w:marLeft w:val="0"/>
      <w:marRight w:val="0"/>
      <w:marTop w:val="0"/>
      <w:marBottom w:val="0"/>
      <w:divBdr>
        <w:top w:val="none" w:sz="0" w:space="0" w:color="auto"/>
        <w:left w:val="none" w:sz="0" w:space="0" w:color="auto"/>
        <w:bottom w:val="none" w:sz="0" w:space="0" w:color="auto"/>
        <w:right w:val="none" w:sz="0" w:space="0" w:color="auto"/>
      </w:divBdr>
    </w:div>
    <w:div w:id="246159298">
      <w:bodyDiv w:val="1"/>
      <w:marLeft w:val="0"/>
      <w:marRight w:val="0"/>
      <w:marTop w:val="0"/>
      <w:marBottom w:val="0"/>
      <w:divBdr>
        <w:top w:val="none" w:sz="0" w:space="0" w:color="auto"/>
        <w:left w:val="none" w:sz="0" w:space="0" w:color="auto"/>
        <w:bottom w:val="none" w:sz="0" w:space="0" w:color="auto"/>
        <w:right w:val="none" w:sz="0" w:space="0" w:color="auto"/>
      </w:divBdr>
    </w:div>
    <w:div w:id="248512832">
      <w:bodyDiv w:val="1"/>
      <w:marLeft w:val="0"/>
      <w:marRight w:val="0"/>
      <w:marTop w:val="0"/>
      <w:marBottom w:val="0"/>
      <w:divBdr>
        <w:top w:val="none" w:sz="0" w:space="0" w:color="auto"/>
        <w:left w:val="none" w:sz="0" w:space="0" w:color="auto"/>
        <w:bottom w:val="none" w:sz="0" w:space="0" w:color="auto"/>
        <w:right w:val="none" w:sz="0" w:space="0" w:color="auto"/>
      </w:divBdr>
      <w:divsChild>
        <w:div w:id="267204658">
          <w:marLeft w:val="640"/>
          <w:marRight w:val="0"/>
          <w:marTop w:val="0"/>
          <w:marBottom w:val="0"/>
          <w:divBdr>
            <w:top w:val="none" w:sz="0" w:space="0" w:color="auto"/>
            <w:left w:val="none" w:sz="0" w:space="0" w:color="auto"/>
            <w:bottom w:val="none" w:sz="0" w:space="0" w:color="auto"/>
            <w:right w:val="none" w:sz="0" w:space="0" w:color="auto"/>
          </w:divBdr>
        </w:div>
        <w:div w:id="1746611046">
          <w:marLeft w:val="640"/>
          <w:marRight w:val="0"/>
          <w:marTop w:val="0"/>
          <w:marBottom w:val="0"/>
          <w:divBdr>
            <w:top w:val="none" w:sz="0" w:space="0" w:color="auto"/>
            <w:left w:val="none" w:sz="0" w:space="0" w:color="auto"/>
            <w:bottom w:val="none" w:sz="0" w:space="0" w:color="auto"/>
            <w:right w:val="none" w:sz="0" w:space="0" w:color="auto"/>
          </w:divBdr>
        </w:div>
        <w:div w:id="235668219">
          <w:marLeft w:val="640"/>
          <w:marRight w:val="0"/>
          <w:marTop w:val="0"/>
          <w:marBottom w:val="0"/>
          <w:divBdr>
            <w:top w:val="none" w:sz="0" w:space="0" w:color="auto"/>
            <w:left w:val="none" w:sz="0" w:space="0" w:color="auto"/>
            <w:bottom w:val="none" w:sz="0" w:space="0" w:color="auto"/>
            <w:right w:val="none" w:sz="0" w:space="0" w:color="auto"/>
          </w:divBdr>
        </w:div>
        <w:div w:id="1899976644">
          <w:marLeft w:val="640"/>
          <w:marRight w:val="0"/>
          <w:marTop w:val="0"/>
          <w:marBottom w:val="0"/>
          <w:divBdr>
            <w:top w:val="none" w:sz="0" w:space="0" w:color="auto"/>
            <w:left w:val="none" w:sz="0" w:space="0" w:color="auto"/>
            <w:bottom w:val="none" w:sz="0" w:space="0" w:color="auto"/>
            <w:right w:val="none" w:sz="0" w:space="0" w:color="auto"/>
          </w:divBdr>
        </w:div>
        <w:div w:id="574054779">
          <w:marLeft w:val="640"/>
          <w:marRight w:val="0"/>
          <w:marTop w:val="0"/>
          <w:marBottom w:val="0"/>
          <w:divBdr>
            <w:top w:val="none" w:sz="0" w:space="0" w:color="auto"/>
            <w:left w:val="none" w:sz="0" w:space="0" w:color="auto"/>
            <w:bottom w:val="none" w:sz="0" w:space="0" w:color="auto"/>
            <w:right w:val="none" w:sz="0" w:space="0" w:color="auto"/>
          </w:divBdr>
        </w:div>
        <w:div w:id="1135636796">
          <w:marLeft w:val="640"/>
          <w:marRight w:val="0"/>
          <w:marTop w:val="0"/>
          <w:marBottom w:val="0"/>
          <w:divBdr>
            <w:top w:val="none" w:sz="0" w:space="0" w:color="auto"/>
            <w:left w:val="none" w:sz="0" w:space="0" w:color="auto"/>
            <w:bottom w:val="none" w:sz="0" w:space="0" w:color="auto"/>
            <w:right w:val="none" w:sz="0" w:space="0" w:color="auto"/>
          </w:divBdr>
        </w:div>
        <w:div w:id="946042313">
          <w:marLeft w:val="640"/>
          <w:marRight w:val="0"/>
          <w:marTop w:val="0"/>
          <w:marBottom w:val="0"/>
          <w:divBdr>
            <w:top w:val="none" w:sz="0" w:space="0" w:color="auto"/>
            <w:left w:val="none" w:sz="0" w:space="0" w:color="auto"/>
            <w:bottom w:val="none" w:sz="0" w:space="0" w:color="auto"/>
            <w:right w:val="none" w:sz="0" w:space="0" w:color="auto"/>
          </w:divBdr>
        </w:div>
        <w:div w:id="1489857990">
          <w:marLeft w:val="640"/>
          <w:marRight w:val="0"/>
          <w:marTop w:val="0"/>
          <w:marBottom w:val="0"/>
          <w:divBdr>
            <w:top w:val="none" w:sz="0" w:space="0" w:color="auto"/>
            <w:left w:val="none" w:sz="0" w:space="0" w:color="auto"/>
            <w:bottom w:val="none" w:sz="0" w:space="0" w:color="auto"/>
            <w:right w:val="none" w:sz="0" w:space="0" w:color="auto"/>
          </w:divBdr>
        </w:div>
        <w:div w:id="1865438529">
          <w:marLeft w:val="640"/>
          <w:marRight w:val="0"/>
          <w:marTop w:val="0"/>
          <w:marBottom w:val="0"/>
          <w:divBdr>
            <w:top w:val="none" w:sz="0" w:space="0" w:color="auto"/>
            <w:left w:val="none" w:sz="0" w:space="0" w:color="auto"/>
            <w:bottom w:val="none" w:sz="0" w:space="0" w:color="auto"/>
            <w:right w:val="none" w:sz="0" w:space="0" w:color="auto"/>
          </w:divBdr>
        </w:div>
        <w:div w:id="1301879115">
          <w:marLeft w:val="640"/>
          <w:marRight w:val="0"/>
          <w:marTop w:val="0"/>
          <w:marBottom w:val="0"/>
          <w:divBdr>
            <w:top w:val="none" w:sz="0" w:space="0" w:color="auto"/>
            <w:left w:val="none" w:sz="0" w:space="0" w:color="auto"/>
            <w:bottom w:val="none" w:sz="0" w:space="0" w:color="auto"/>
            <w:right w:val="none" w:sz="0" w:space="0" w:color="auto"/>
          </w:divBdr>
        </w:div>
        <w:div w:id="1701276418">
          <w:marLeft w:val="640"/>
          <w:marRight w:val="0"/>
          <w:marTop w:val="0"/>
          <w:marBottom w:val="0"/>
          <w:divBdr>
            <w:top w:val="none" w:sz="0" w:space="0" w:color="auto"/>
            <w:left w:val="none" w:sz="0" w:space="0" w:color="auto"/>
            <w:bottom w:val="none" w:sz="0" w:space="0" w:color="auto"/>
            <w:right w:val="none" w:sz="0" w:space="0" w:color="auto"/>
          </w:divBdr>
        </w:div>
        <w:div w:id="1483809266">
          <w:marLeft w:val="640"/>
          <w:marRight w:val="0"/>
          <w:marTop w:val="0"/>
          <w:marBottom w:val="0"/>
          <w:divBdr>
            <w:top w:val="none" w:sz="0" w:space="0" w:color="auto"/>
            <w:left w:val="none" w:sz="0" w:space="0" w:color="auto"/>
            <w:bottom w:val="none" w:sz="0" w:space="0" w:color="auto"/>
            <w:right w:val="none" w:sz="0" w:space="0" w:color="auto"/>
          </w:divBdr>
        </w:div>
        <w:div w:id="1368943779">
          <w:marLeft w:val="640"/>
          <w:marRight w:val="0"/>
          <w:marTop w:val="0"/>
          <w:marBottom w:val="0"/>
          <w:divBdr>
            <w:top w:val="none" w:sz="0" w:space="0" w:color="auto"/>
            <w:left w:val="none" w:sz="0" w:space="0" w:color="auto"/>
            <w:bottom w:val="none" w:sz="0" w:space="0" w:color="auto"/>
            <w:right w:val="none" w:sz="0" w:space="0" w:color="auto"/>
          </w:divBdr>
        </w:div>
        <w:div w:id="1424649396">
          <w:marLeft w:val="640"/>
          <w:marRight w:val="0"/>
          <w:marTop w:val="0"/>
          <w:marBottom w:val="0"/>
          <w:divBdr>
            <w:top w:val="none" w:sz="0" w:space="0" w:color="auto"/>
            <w:left w:val="none" w:sz="0" w:space="0" w:color="auto"/>
            <w:bottom w:val="none" w:sz="0" w:space="0" w:color="auto"/>
            <w:right w:val="none" w:sz="0" w:space="0" w:color="auto"/>
          </w:divBdr>
        </w:div>
        <w:div w:id="1392921471">
          <w:marLeft w:val="640"/>
          <w:marRight w:val="0"/>
          <w:marTop w:val="0"/>
          <w:marBottom w:val="0"/>
          <w:divBdr>
            <w:top w:val="none" w:sz="0" w:space="0" w:color="auto"/>
            <w:left w:val="none" w:sz="0" w:space="0" w:color="auto"/>
            <w:bottom w:val="none" w:sz="0" w:space="0" w:color="auto"/>
            <w:right w:val="none" w:sz="0" w:space="0" w:color="auto"/>
          </w:divBdr>
        </w:div>
        <w:div w:id="1820337833">
          <w:marLeft w:val="640"/>
          <w:marRight w:val="0"/>
          <w:marTop w:val="0"/>
          <w:marBottom w:val="0"/>
          <w:divBdr>
            <w:top w:val="none" w:sz="0" w:space="0" w:color="auto"/>
            <w:left w:val="none" w:sz="0" w:space="0" w:color="auto"/>
            <w:bottom w:val="none" w:sz="0" w:space="0" w:color="auto"/>
            <w:right w:val="none" w:sz="0" w:space="0" w:color="auto"/>
          </w:divBdr>
        </w:div>
        <w:div w:id="1091699284">
          <w:marLeft w:val="640"/>
          <w:marRight w:val="0"/>
          <w:marTop w:val="0"/>
          <w:marBottom w:val="0"/>
          <w:divBdr>
            <w:top w:val="none" w:sz="0" w:space="0" w:color="auto"/>
            <w:left w:val="none" w:sz="0" w:space="0" w:color="auto"/>
            <w:bottom w:val="none" w:sz="0" w:space="0" w:color="auto"/>
            <w:right w:val="none" w:sz="0" w:space="0" w:color="auto"/>
          </w:divBdr>
        </w:div>
        <w:div w:id="1300378716">
          <w:marLeft w:val="640"/>
          <w:marRight w:val="0"/>
          <w:marTop w:val="0"/>
          <w:marBottom w:val="0"/>
          <w:divBdr>
            <w:top w:val="none" w:sz="0" w:space="0" w:color="auto"/>
            <w:left w:val="none" w:sz="0" w:space="0" w:color="auto"/>
            <w:bottom w:val="none" w:sz="0" w:space="0" w:color="auto"/>
            <w:right w:val="none" w:sz="0" w:space="0" w:color="auto"/>
          </w:divBdr>
        </w:div>
        <w:div w:id="880216124">
          <w:marLeft w:val="640"/>
          <w:marRight w:val="0"/>
          <w:marTop w:val="0"/>
          <w:marBottom w:val="0"/>
          <w:divBdr>
            <w:top w:val="none" w:sz="0" w:space="0" w:color="auto"/>
            <w:left w:val="none" w:sz="0" w:space="0" w:color="auto"/>
            <w:bottom w:val="none" w:sz="0" w:space="0" w:color="auto"/>
            <w:right w:val="none" w:sz="0" w:space="0" w:color="auto"/>
          </w:divBdr>
        </w:div>
        <w:div w:id="1645819799">
          <w:marLeft w:val="640"/>
          <w:marRight w:val="0"/>
          <w:marTop w:val="0"/>
          <w:marBottom w:val="0"/>
          <w:divBdr>
            <w:top w:val="none" w:sz="0" w:space="0" w:color="auto"/>
            <w:left w:val="none" w:sz="0" w:space="0" w:color="auto"/>
            <w:bottom w:val="none" w:sz="0" w:space="0" w:color="auto"/>
            <w:right w:val="none" w:sz="0" w:space="0" w:color="auto"/>
          </w:divBdr>
        </w:div>
        <w:div w:id="752554721">
          <w:marLeft w:val="640"/>
          <w:marRight w:val="0"/>
          <w:marTop w:val="0"/>
          <w:marBottom w:val="0"/>
          <w:divBdr>
            <w:top w:val="none" w:sz="0" w:space="0" w:color="auto"/>
            <w:left w:val="none" w:sz="0" w:space="0" w:color="auto"/>
            <w:bottom w:val="none" w:sz="0" w:space="0" w:color="auto"/>
            <w:right w:val="none" w:sz="0" w:space="0" w:color="auto"/>
          </w:divBdr>
        </w:div>
        <w:div w:id="1281304469">
          <w:marLeft w:val="640"/>
          <w:marRight w:val="0"/>
          <w:marTop w:val="0"/>
          <w:marBottom w:val="0"/>
          <w:divBdr>
            <w:top w:val="none" w:sz="0" w:space="0" w:color="auto"/>
            <w:left w:val="none" w:sz="0" w:space="0" w:color="auto"/>
            <w:bottom w:val="none" w:sz="0" w:space="0" w:color="auto"/>
            <w:right w:val="none" w:sz="0" w:space="0" w:color="auto"/>
          </w:divBdr>
        </w:div>
        <w:div w:id="603806785">
          <w:marLeft w:val="640"/>
          <w:marRight w:val="0"/>
          <w:marTop w:val="0"/>
          <w:marBottom w:val="0"/>
          <w:divBdr>
            <w:top w:val="none" w:sz="0" w:space="0" w:color="auto"/>
            <w:left w:val="none" w:sz="0" w:space="0" w:color="auto"/>
            <w:bottom w:val="none" w:sz="0" w:space="0" w:color="auto"/>
            <w:right w:val="none" w:sz="0" w:space="0" w:color="auto"/>
          </w:divBdr>
        </w:div>
        <w:div w:id="1512796710">
          <w:marLeft w:val="640"/>
          <w:marRight w:val="0"/>
          <w:marTop w:val="0"/>
          <w:marBottom w:val="0"/>
          <w:divBdr>
            <w:top w:val="none" w:sz="0" w:space="0" w:color="auto"/>
            <w:left w:val="none" w:sz="0" w:space="0" w:color="auto"/>
            <w:bottom w:val="none" w:sz="0" w:space="0" w:color="auto"/>
            <w:right w:val="none" w:sz="0" w:space="0" w:color="auto"/>
          </w:divBdr>
        </w:div>
        <w:div w:id="1446463577">
          <w:marLeft w:val="640"/>
          <w:marRight w:val="0"/>
          <w:marTop w:val="0"/>
          <w:marBottom w:val="0"/>
          <w:divBdr>
            <w:top w:val="none" w:sz="0" w:space="0" w:color="auto"/>
            <w:left w:val="none" w:sz="0" w:space="0" w:color="auto"/>
            <w:bottom w:val="none" w:sz="0" w:space="0" w:color="auto"/>
            <w:right w:val="none" w:sz="0" w:space="0" w:color="auto"/>
          </w:divBdr>
        </w:div>
        <w:div w:id="412093477">
          <w:marLeft w:val="640"/>
          <w:marRight w:val="0"/>
          <w:marTop w:val="0"/>
          <w:marBottom w:val="0"/>
          <w:divBdr>
            <w:top w:val="none" w:sz="0" w:space="0" w:color="auto"/>
            <w:left w:val="none" w:sz="0" w:space="0" w:color="auto"/>
            <w:bottom w:val="none" w:sz="0" w:space="0" w:color="auto"/>
            <w:right w:val="none" w:sz="0" w:space="0" w:color="auto"/>
          </w:divBdr>
        </w:div>
        <w:div w:id="68888339">
          <w:marLeft w:val="640"/>
          <w:marRight w:val="0"/>
          <w:marTop w:val="0"/>
          <w:marBottom w:val="0"/>
          <w:divBdr>
            <w:top w:val="none" w:sz="0" w:space="0" w:color="auto"/>
            <w:left w:val="none" w:sz="0" w:space="0" w:color="auto"/>
            <w:bottom w:val="none" w:sz="0" w:space="0" w:color="auto"/>
            <w:right w:val="none" w:sz="0" w:space="0" w:color="auto"/>
          </w:divBdr>
        </w:div>
        <w:div w:id="263344688">
          <w:marLeft w:val="640"/>
          <w:marRight w:val="0"/>
          <w:marTop w:val="0"/>
          <w:marBottom w:val="0"/>
          <w:divBdr>
            <w:top w:val="none" w:sz="0" w:space="0" w:color="auto"/>
            <w:left w:val="none" w:sz="0" w:space="0" w:color="auto"/>
            <w:bottom w:val="none" w:sz="0" w:space="0" w:color="auto"/>
            <w:right w:val="none" w:sz="0" w:space="0" w:color="auto"/>
          </w:divBdr>
        </w:div>
        <w:div w:id="647245594">
          <w:marLeft w:val="640"/>
          <w:marRight w:val="0"/>
          <w:marTop w:val="0"/>
          <w:marBottom w:val="0"/>
          <w:divBdr>
            <w:top w:val="none" w:sz="0" w:space="0" w:color="auto"/>
            <w:left w:val="none" w:sz="0" w:space="0" w:color="auto"/>
            <w:bottom w:val="none" w:sz="0" w:space="0" w:color="auto"/>
            <w:right w:val="none" w:sz="0" w:space="0" w:color="auto"/>
          </w:divBdr>
        </w:div>
        <w:div w:id="340283915">
          <w:marLeft w:val="640"/>
          <w:marRight w:val="0"/>
          <w:marTop w:val="0"/>
          <w:marBottom w:val="0"/>
          <w:divBdr>
            <w:top w:val="none" w:sz="0" w:space="0" w:color="auto"/>
            <w:left w:val="none" w:sz="0" w:space="0" w:color="auto"/>
            <w:bottom w:val="none" w:sz="0" w:space="0" w:color="auto"/>
            <w:right w:val="none" w:sz="0" w:space="0" w:color="auto"/>
          </w:divBdr>
        </w:div>
        <w:div w:id="491338353">
          <w:marLeft w:val="640"/>
          <w:marRight w:val="0"/>
          <w:marTop w:val="0"/>
          <w:marBottom w:val="0"/>
          <w:divBdr>
            <w:top w:val="none" w:sz="0" w:space="0" w:color="auto"/>
            <w:left w:val="none" w:sz="0" w:space="0" w:color="auto"/>
            <w:bottom w:val="none" w:sz="0" w:space="0" w:color="auto"/>
            <w:right w:val="none" w:sz="0" w:space="0" w:color="auto"/>
          </w:divBdr>
        </w:div>
        <w:div w:id="221715438">
          <w:marLeft w:val="640"/>
          <w:marRight w:val="0"/>
          <w:marTop w:val="0"/>
          <w:marBottom w:val="0"/>
          <w:divBdr>
            <w:top w:val="none" w:sz="0" w:space="0" w:color="auto"/>
            <w:left w:val="none" w:sz="0" w:space="0" w:color="auto"/>
            <w:bottom w:val="none" w:sz="0" w:space="0" w:color="auto"/>
            <w:right w:val="none" w:sz="0" w:space="0" w:color="auto"/>
          </w:divBdr>
        </w:div>
        <w:div w:id="383145076">
          <w:marLeft w:val="640"/>
          <w:marRight w:val="0"/>
          <w:marTop w:val="0"/>
          <w:marBottom w:val="0"/>
          <w:divBdr>
            <w:top w:val="none" w:sz="0" w:space="0" w:color="auto"/>
            <w:left w:val="none" w:sz="0" w:space="0" w:color="auto"/>
            <w:bottom w:val="none" w:sz="0" w:space="0" w:color="auto"/>
            <w:right w:val="none" w:sz="0" w:space="0" w:color="auto"/>
          </w:divBdr>
        </w:div>
        <w:div w:id="435907146">
          <w:marLeft w:val="640"/>
          <w:marRight w:val="0"/>
          <w:marTop w:val="0"/>
          <w:marBottom w:val="0"/>
          <w:divBdr>
            <w:top w:val="none" w:sz="0" w:space="0" w:color="auto"/>
            <w:left w:val="none" w:sz="0" w:space="0" w:color="auto"/>
            <w:bottom w:val="none" w:sz="0" w:space="0" w:color="auto"/>
            <w:right w:val="none" w:sz="0" w:space="0" w:color="auto"/>
          </w:divBdr>
        </w:div>
        <w:div w:id="1363167523">
          <w:marLeft w:val="640"/>
          <w:marRight w:val="0"/>
          <w:marTop w:val="0"/>
          <w:marBottom w:val="0"/>
          <w:divBdr>
            <w:top w:val="none" w:sz="0" w:space="0" w:color="auto"/>
            <w:left w:val="none" w:sz="0" w:space="0" w:color="auto"/>
            <w:bottom w:val="none" w:sz="0" w:space="0" w:color="auto"/>
            <w:right w:val="none" w:sz="0" w:space="0" w:color="auto"/>
          </w:divBdr>
        </w:div>
        <w:div w:id="1918519200">
          <w:marLeft w:val="640"/>
          <w:marRight w:val="0"/>
          <w:marTop w:val="0"/>
          <w:marBottom w:val="0"/>
          <w:divBdr>
            <w:top w:val="none" w:sz="0" w:space="0" w:color="auto"/>
            <w:left w:val="none" w:sz="0" w:space="0" w:color="auto"/>
            <w:bottom w:val="none" w:sz="0" w:space="0" w:color="auto"/>
            <w:right w:val="none" w:sz="0" w:space="0" w:color="auto"/>
          </w:divBdr>
        </w:div>
        <w:div w:id="1905295235">
          <w:marLeft w:val="640"/>
          <w:marRight w:val="0"/>
          <w:marTop w:val="0"/>
          <w:marBottom w:val="0"/>
          <w:divBdr>
            <w:top w:val="none" w:sz="0" w:space="0" w:color="auto"/>
            <w:left w:val="none" w:sz="0" w:space="0" w:color="auto"/>
            <w:bottom w:val="none" w:sz="0" w:space="0" w:color="auto"/>
            <w:right w:val="none" w:sz="0" w:space="0" w:color="auto"/>
          </w:divBdr>
        </w:div>
        <w:div w:id="59834463">
          <w:marLeft w:val="640"/>
          <w:marRight w:val="0"/>
          <w:marTop w:val="0"/>
          <w:marBottom w:val="0"/>
          <w:divBdr>
            <w:top w:val="none" w:sz="0" w:space="0" w:color="auto"/>
            <w:left w:val="none" w:sz="0" w:space="0" w:color="auto"/>
            <w:bottom w:val="none" w:sz="0" w:space="0" w:color="auto"/>
            <w:right w:val="none" w:sz="0" w:space="0" w:color="auto"/>
          </w:divBdr>
        </w:div>
        <w:div w:id="986665947">
          <w:marLeft w:val="640"/>
          <w:marRight w:val="0"/>
          <w:marTop w:val="0"/>
          <w:marBottom w:val="0"/>
          <w:divBdr>
            <w:top w:val="none" w:sz="0" w:space="0" w:color="auto"/>
            <w:left w:val="none" w:sz="0" w:space="0" w:color="auto"/>
            <w:bottom w:val="none" w:sz="0" w:space="0" w:color="auto"/>
            <w:right w:val="none" w:sz="0" w:space="0" w:color="auto"/>
          </w:divBdr>
        </w:div>
        <w:div w:id="185759094">
          <w:marLeft w:val="640"/>
          <w:marRight w:val="0"/>
          <w:marTop w:val="0"/>
          <w:marBottom w:val="0"/>
          <w:divBdr>
            <w:top w:val="none" w:sz="0" w:space="0" w:color="auto"/>
            <w:left w:val="none" w:sz="0" w:space="0" w:color="auto"/>
            <w:bottom w:val="none" w:sz="0" w:space="0" w:color="auto"/>
            <w:right w:val="none" w:sz="0" w:space="0" w:color="auto"/>
          </w:divBdr>
        </w:div>
        <w:div w:id="1369405316">
          <w:marLeft w:val="640"/>
          <w:marRight w:val="0"/>
          <w:marTop w:val="0"/>
          <w:marBottom w:val="0"/>
          <w:divBdr>
            <w:top w:val="none" w:sz="0" w:space="0" w:color="auto"/>
            <w:left w:val="none" w:sz="0" w:space="0" w:color="auto"/>
            <w:bottom w:val="none" w:sz="0" w:space="0" w:color="auto"/>
            <w:right w:val="none" w:sz="0" w:space="0" w:color="auto"/>
          </w:divBdr>
        </w:div>
        <w:div w:id="943609705">
          <w:marLeft w:val="640"/>
          <w:marRight w:val="0"/>
          <w:marTop w:val="0"/>
          <w:marBottom w:val="0"/>
          <w:divBdr>
            <w:top w:val="none" w:sz="0" w:space="0" w:color="auto"/>
            <w:left w:val="none" w:sz="0" w:space="0" w:color="auto"/>
            <w:bottom w:val="none" w:sz="0" w:space="0" w:color="auto"/>
            <w:right w:val="none" w:sz="0" w:space="0" w:color="auto"/>
          </w:divBdr>
        </w:div>
        <w:div w:id="132332035">
          <w:marLeft w:val="640"/>
          <w:marRight w:val="0"/>
          <w:marTop w:val="0"/>
          <w:marBottom w:val="0"/>
          <w:divBdr>
            <w:top w:val="none" w:sz="0" w:space="0" w:color="auto"/>
            <w:left w:val="none" w:sz="0" w:space="0" w:color="auto"/>
            <w:bottom w:val="none" w:sz="0" w:space="0" w:color="auto"/>
            <w:right w:val="none" w:sz="0" w:space="0" w:color="auto"/>
          </w:divBdr>
        </w:div>
        <w:div w:id="274558951">
          <w:marLeft w:val="640"/>
          <w:marRight w:val="0"/>
          <w:marTop w:val="0"/>
          <w:marBottom w:val="0"/>
          <w:divBdr>
            <w:top w:val="none" w:sz="0" w:space="0" w:color="auto"/>
            <w:left w:val="none" w:sz="0" w:space="0" w:color="auto"/>
            <w:bottom w:val="none" w:sz="0" w:space="0" w:color="auto"/>
            <w:right w:val="none" w:sz="0" w:space="0" w:color="auto"/>
          </w:divBdr>
        </w:div>
        <w:div w:id="738212037">
          <w:marLeft w:val="640"/>
          <w:marRight w:val="0"/>
          <w:marTop w:val="0"/>
          <w:marBottom w:val="0"/>
          <w:divBdr>
            <w:top w:val="none" w:sz="0" w:space="0" w:color="auto"/>
            <w:left w:val="none" w:sz="0" w:space="0" w:color="auto"/>
            <w:bottom w:val="none" w:sz="0" w:space="0" w:color="auto"/>
            <w:right w:val="none" w:sz="0" w:space="0" w:color="auto"/>
          </w:divBdr>
        </w:div>
        <w:div w:id="1740322163">
          <w:marLeft w:val="640"/>
          <w:marRight w:val="0"/>
          <w:marTop w:val="0"/>
          <w:marBottom w:val="0"/>
          <w:divBdr>
            <w:top w:val="none" w:sz="0" w:space="0" w:color="auto"/>
            <w:left w:val="none" w:sz="0" w:space="0" w:color="auto"/>
            <w:bottom w:val="none" w:sz="0" w:space="0" w:color="auto"/>
            <w:right w:val="none" w:sz="0" w:space="0" w:color="auto"/>
          </w:divBdr>
        </w:div>
        <w:div w:id="625043728">
          <w:marLeft w:val="640"/>
          <w:marRight w:val="0"/>
          <w:marTop w:val="0"/>
          <w:marBottom w:val="0"/>
          <w:divBdr>
            <w:top w:val="none" w:sz="0" w:space="0" w:color="auto"/>
            <w:left w:val="none" w:sz="0" w:space="0" w:color="auto"/>
            <w:bottom w:val="none" w:sz="0" w:space="0" w:color="auto"/>
            <w:right w:val="none" w:sz="0" w:space="0" w:color="auto"/>
          </w:divBdr>
        </w:div>
        <w:div w:id="525405997">
          <w:marLeft w:val="640"/>
          <w:marRight w:val="0"/>
          <w:marTop w:val="0"/>
          <w:marBottom w:val="0"/>
          <w:divBdr>
            <w:top w:val="none" w:sz="0" w:space="0" w:color="auto"/>
            <w:left w:val="none" w:sz="0" w:space="0" w:color="auto"/>
            <w:bottom w:val="none" w:sz="0" w:space="0" w:color="auto"/>
            <w:right w:val="none" w:sz="0" w:space="0" w:color="auto"/>
          </w:divBdr>
        </w:div>
        <w:div w:id="888960616">
          <w:marLeft w:val="640"/>
          <w:marRight w:val="0"/>
          <w:marTop w:val="0"/>
          <w:marBottom w:val="0"/>
          <w:divBdr>
            <w:top w:val="none" w:sz="0" w:space="0" w:color="auto"/>
            <w:left w:val="none" w:sz="0" w:space="0" w:color="auto"/>
            <w:bottom w:val="none" w:sz="0" w:space="0" w:color="auto"/>
            <w:right w:val="none" w:sz="0" w:space="0" w:color="auto"/>
          </w:divBdr>
        </w:div>
        <w:div w:id="424423693">
          <w:marLeft w:val="640"/>
          <w:marRight w:val="0"/>
          <w:marTop w:val="0"/>
          <w:marBottom w:val="0"/>
          <w:divBdr>
            <w:top w:val="none" w:sz="0" w:space="0" w:color="auto"/>
            <w:left w:val="none" w:sz="0" w:space="0" w:color="auto"/>
            <w:bottom w:val="none" w:sz="0" w:space="0" w:color="auto"/>
            <w:right w:val="none" w:sz="0" w:space="0" w:color="auto"/>
          </w:divBdr>
        </w:div>
        <w:div w:id="1184827440">
          <w:marLeft w:val="640"/>
          <w:marRight w:val="0"/>
          <w:marTop w:val="0"/>
          <w:marBottom w:val="0"/>
          <w:divBdr>
            <w:top w:val="none" w:sz="0" w:space="0" w:color="auto"/>
            <w:left w:val="none" w:sz="0" w:space="0" w:color="auto"/>
            <w:bottom w:val="none" w:sz="0" w:space="0" w:color="auto"/>
            <w:right w:val="none" w:sz="0" w:space="0" w:color="auto"/>
          </w:divBdr>
        </w:div>
        <w:div w:id="685131132">
          <w:marLeft w:val="640"/>
          <w:marRight w:val="0"/>
          <w:marTop w:val="0"/>
          <w:marBottom w:val="0"/>
          <w:divBdr>
            <w:top w:val="none" w:sz="0" w:space="0" w:color="auto"/>
            <w:left w:val="none" w:sz="0" w:space="0" w:color="auto"/>
            <w:bottom w:val="none" w:sz="0" w:space="0" w:color="auto"/>
            <w:right w:val="none" w:sz="0" w:space="0" w:color="auto"/>
          </w:divBdr>
        </w:div>
        <w:div w:id="1015500247">
          <w:marLeft w:val="640"/>
          <w:marRight w:val="0"/>
          <w:marTop w:val="0"/>
          <w:marBottom w:val="0"/>
          <w:divBdr>
            <w:top w:val="none" w:sz="0" w:space="0" w:color="auto"/>
            <w:left w:val="none" w:sz="0" w:space="0" w:color="auto"/>
            <w:bottom w:val="none" w:sz="0" w:space="0" w:color="auto"/>
            <w:right w:val="none" w:sz="0" w:space="0" w:color="auto"/>
          </w:divBdr>
        </w:div>
        <w:div w:id="1396199806">
          <w:marLeft w:val="640"/>
          <w:marRight w:val="0"/>
          <w:marTop w:val="0"/>
          <w:marBottom w:val="0"/>
          <w:divBdr>
            <w:top w:val="none" w:sz="0" w:space="0" w:color="auto"/>
            <w:left w:val="none" w:sz="0" w:space="0" w:color="auto"/>
            <w:bottom w:val="none" w:sz="0" w:space="0" w:color="auto"/>
            <w:right w:val="none" w:sz="0" w:space="0" w:color="auto"/>
          </w:divBdr>
        </w:div>
        <w:div w:id="1742756927">
          <w:marLeft w:val="640"/>
          <w:marRight w:val="0"/>
          <w:marTop w:val="0"/>
          <w:marBottom w:val="0"/>
          <w:divBdr>
            <w:top w:val="none" w:sz="0" w:space="0" w:color="auto"/>
            <w:left w:val="none" w:sz="0" w:space="0" w:color="auto"/>
            <w:bottom w:val="none" w:sz="0" w:space="0" w:color="auto"/>
            <w:right w:val="none" w:sz="0" w:space="0" w:color="auto"/>
          </w:divBdr>
        </w:div>
        <w:div w:id="130706917">
          <w:marLeft w:val="640"/>
          <w:marRight w:val="0"/>
          <w:marTop w:val="0"/>
          <w:marBottom w:val="0"/>
          <w:divBdr>
            <w:top w:val="none" w:sz="0" w:space="0" w:color="auto"/>
            <w:left w:val="none" w:sz="0" w:space="0" w:color="auto"/>
            <w:bottom w:val="none" w:sz="0" w:space="0" w:color="auto"/>
            <w:right w:val="none" w:sz="0" w:space="0" w:color="auto"/>
          </w:divBdr>
        </w:div>
        <w:div w:id="595133036">
          <w:marLeft w:val="640"/>
          <w:marRight w:val="0"/>
          <w:marTop w:val="0"/>
          <w:marBottom w:val="0"/>
          <w:divBdr>
            <w:top w:val="none" w:sz="0" w:space="0" w:color="auto"/>
            <w:left w:val="none" w:sz="0" w:space="0" w:color="auto"/>
            <w:bottom w:val="none" w:sz="0" w:space="0" w:color="auto"/>
            <w:right w:val="none" w:sz="0" w:space="0" w:color="auto"/>
          </w:divBdr>
        </w:div>
        <w:div w:id="1969776123">
          <w:marLeft w:val="640"/>
          <w:marRight w:val="0"/>
          <w:marTop w:val="0"/>
          <w:marBottom w:val="0"/>
          <w:divBdr>
            <w:top w:val="none" w:sz="0" w:space="0" w:color="auto"/>
            <w:left w:val="none" w:sz="0" w:space="0" w:color="auto"/>
            <w:bottom w:val="none" w:sz="0" w:space="0" w:color="auto"/>
            <w:right w:val="none" w:sz="0" w:space="0" w:color="auto"/>
          </w:divBdr>
        </w:div>
        <w:div w:id="1899240314">
          <w:marLeft w:val="640"/>
          <w:marRight w:val="0"/>
          <w:marTop w:val="0"/>
          <w:marBottom w:val="0"/>
          <w:divBdr>
            <w:top w:val="none" w:sz="0" w:space="0" w:color="auto"/>
            <w:left w:val="none" w:sz="0" w:space="0" w:color="auto"/>
            <w:bottom w:val="none" w:sz="0" w:space="0" w:color="auto"/>
            <w:right w:val="none" w:sz="0" w:space="0" w:color="auto"/>
          </w:divBdr>
        </w:div>
        <w:div w:id="689798913">
          <w:marLeft w:val="640"/>
          <w:marRight w:val="0"/>
          <w:marTop w:val="0"/>
          <w:marBottom w:val="0"/>
          <w:divBdr>
            <w:top w:val="none" w:sz="0" w:space="0" w:color="auto"/>
            <w:left w:val="none" w:sz="0" w:space="0" w:color="auto"/>
            <w:bottom w:val="none" w:sz="0" w:space="0" w:color="auto"/>
            <w:right w:val="none" w:sz="0" w:space="0" w:color="auto"/>
          </w:divBdr>
        </w:div>
        <w:div w:id="1680278539">
          <w:marLeft w:val="640"/>
          <w:marRight w:val="0"/>
          <w:marTop w:val="0"/>
          <w:marBottom w:val="0"/>
          <w:divBdr>
            <w:top w:val="none" w:sz="0" w:space="0" w:color="auto"/>
            <w:left w:val="none" w:sz="0" w:space="0" w:color="auto"/>
            <w:bottom w:val="none" w:sz="0" w:space="0" w:color="auto"/>
            <w:right w:val="none" w:sz="0" w:space="0" w:color="auto"/>
          </w:divBdr>
        </w:div>
        <w:div w:id="740837134">
          <w:marLeft w:val="640"/>
          <w:marRight w:val="0"/>
          <w:marTop w:val="0"/>
          <w:marBottom w:val="0"/>
          <w:divBdr>
            <w:top w:val="none" w:sz="0" w:space="0" w:color="auto"/>
            <w:left w:val="none" w:sz="0" w:space="0" w:color="auto"/>
            <w:bottom w:val="none" w:sz="0" w:space="0" w:color="auto"/>
            <w:right w:val="none" w:sz="0" w:space="0" w:color="auto"/>
          </w:divBdr>
        </w:div>
        <w:div w:id="67533685">
          <w:marLeft w:val="640"/>
          <w:marRight w:val="0"/>
          <w:marTop w:val="0"/>
          <w:marBottom w:val="0"/>
          <w:divBdr>
            <w:top w:val="none" w:sz="0" w:space="0" w:color="auto"/>
            <w:left w:val="none" w:sz="0" w:space="0" w:color="auto"/>
            <w:bottom w:val="none" w:sz="0" w:space="0" w:color="auto"/>
            <w:right w:val="none" w:sz="0" w:space="0" w:color="auto"/>
          </w:divBdr>
        </w:div>
        <w:div w:id="1537888888">
          <w:marLeft w:val="640"/>
          <w:marRight w:val="0"/>
          <w:marTop w:val="0"/>
          <w:marBottom w:val="0"/>
          <w:divBdr>
            <w:top w:val="none" w:sz="0" w:space="0" w:color="auto"/>
            <w:left w:val="none" w:sz="0" w:space="0" w:color="auto"/>
            <w:bottom w:val="none" w:sz="0" w:space="0" w:color="auto"/>
            <w:right w:val="none" w:sz="0" w:space="0" w:color="auto"/>
          </w:divBdr>
        </w:div>
        <w:div w:id="1857882296">
          <w:marLeft w:val="640"/>
          <w:marRight w:val="0"/>
          <w:marTop w:val="0"/>
          <w:marBottom w:val="0"/>
          <w:divBdr>
            <w:top w:val="none" w:sz="0" w:space="0" w:color="auto"/>
            <w:left w:val="none" w:sz="0" w:space="0" w:color="auto"/>
            <w:bottom w:val="none" w:sz="0" w:space="0" w:color="auto"/>
            <w:right w:val="none" w:sz="0" w:space="0" w:color="auto"/>
          </w:divBdr>
        </w:div>
        <w:div w:id="1988169462">
          <w:marLeft w:val="640"/>
          <w:marRight w:val="0"/>
          <w:marTop w:val="0"/>
          <w:marBottom w:val="0"/>
          <w:divBdr>
            <w:top w:val="none" w:sz="0" w:space="0" w:color="auto"/>
            <w:left w:val="none" w:sz="0" w:space="0" w:color="auto"/>
            <w:bottom w:val="none" w:sz="0" w:space="0" w:color="auto"/>
            <w:right w:val="none" w:sz="0" w:space="0" w:color="auto"/>
          </w:divBdr>
        </w:div>
        <w:div w:id="264264117">
          <w:marLeft w:val="640"/>
          <w:marRight w:val="0"/>
          <w:marTop w:val="0"/>
          <w:marBottom w:val="0"/>
          <w:divBdr>
            <w:top w:val="none" w:sz="0" w:space="0" w:color="auto"/>
            <w:left w:val="none" w:sz="0" w:space="0" w:color="auto"/>
            <w:bottom w:val="none" w:sz="0" w:space="0" w:color="auto"/>
            <w:right w:val="none" w:sz="0" w:space="0" w:color="auto"/>
          </w:divBdr>
        </w:div>
        <w:div w:id="125322361">
          <w:marLeft w:val="640"/>
          <w:marRight w:val="0"/>
          <w:marTop w:val="0"/>
          <w:marBottom w:val="0"/>
          <w:divBdr>
            <w:top w:val="none" w:sz="0" w:space="0" w:color="auto"/>
            <w:left w:val="none" w:sz="0" w:space="0" w:color="auto"/>
            <w:bottom w:val="none" w:sz="0" w:space="0" w:color="auto"/>
            <w:right w:val="none" w:sz="0" w:space="0" w:color="auto"/>
          </w:divBdr>
        </w:div>
        <w:div w:id="1940874302">
          <w:marLeft w:val="640"/>
          <w:marRight w:val="0"/>
          <w:marTop w:val="0"/>
          <w:marBottom w:val="0"/>
          <w:divBdr>
            <w:top w:val="none" w:sz="0" w:space="0" w:color="auto"/>
            <w:left w:val="none" w:sz="0" w:space="0" w:color="auto"/>
            <w:bottom w:val="none" w:sz="0" w:space="0" w:color="auto"/>
            <w:right w:val="none" w:sz="0" w:space="0" w:color="auto"/>
          </w:divBdr>
        </w:div>
        <w:div w:id="1312716606">
          <w:marLeft w:val="640"/>
          <w:marRight w:val="0"/>
          <w:marTop w:val="0"/>
          <w:marBottom w:val="0"/>
          <w:divBdr>
            <w:top w:val="none" w:sz="0" w:space="0" w:color="auto"/>
            <w:left w:val="none" w:sz="0" w:space="0" w:color="auto"/>
            <w:bottom w:val="none" w:sz="0" w:space="0" w:color="auto"/>
            <w:right w:val="none" w:sz="0" w:space="0" w:color="auto"/>
          </w:divBdr>
        </w:div>
        <w:div w:id="988703150">
          <w:marLeft w:val="640"/>
          <w:marRight w:val="0"/>
          <w:marTop w:val="0"/>
          <w:marBottom w:val="0"/>
          <w:divBdr>
            <w:top w:val="none" w:sz="0" w:space="0" w:color="auto"/>
            <w:left w:val="none" w:sz="0" w:space="0" w:color="auto"/>
            <w:bottom w:val="none" w:sz="0" w:space="0" w:color="auto"/>
            <w:right w:val="none" w:sz="0" w:space="0" w:color="auto"/>
          </w:divBdr>
        </w:div>
        <w:div w:id="1561205892">
          <w:marLeft w:val="640"/>
          <w:marRight w:val="0"/>
          <w:marTop w:val="0"/>
          <w:marBottom w:val="0"/>
          <w:divBdr>
            <w:top w:val="none" w:sz="0" w:space="0" w:color="auto"/>
            <w:left w:val="none" w:sz="0" w:space="0" w:color="auto"/>
            <w:bottom w:val="none" w:sz="0" w:space="0" w:color="auto"/>
            <w:right w:val="none" w:sz="0" w:space="0" w:color="auto"/>
          </w:divBdr>
        </w:div>
        <w:div w:id="255482188">
          <w:marLeft w:val="640"/>
          <w:marRight w:val="0"/>
          <w:marTop w:val="0"/>
          <w:marBottom w:val="0"/>
          <w:divBdr>
            <w:top w:val="none" w:sz="0" w:space="0" w:color="auto"/>
            <w:left w:val="none" w:sz="0" w:space="0" w:color="auto"/>
            <w:bottom w:val="none" w:sz="0" w:space="0" w:color="auto"/>
            <w:right w:val="none" w:sz="0" w:space="0" w:color="auto"/>
          </w:divBdr>
        </w:div>
        <w:div w:id="1840150792">
          <w:marLeft w:val="640"/>
          <w:marRight w:val="0"/>
          <w:marTop w:val="0"/>
          <w:marBottom w:val="0"/>
          <w:divBdr>
            <w:top w:val="none" w:sz="0" w:space="0" w:color="auto"/>
            <w:left w:val="none" w:sz="0" w:space="0" w:color="auto"/>
            <w:bottom w:val="none" w:sz="0" w:space="0" w:color="auto"/>
            <w:right w:val="none" w:sz="0" w:space="0" w:color="auto"/>
          </w:divBdr>
        </w:div>
        <w:div w:id="1698508815">
          <w:marLeft w:val="640"/>
          <w:marRight w:val="0"/>
          <w:marTop w:val="0"/>
          <w:marBottom w:val="0"/>
          <w:divBdr>
            <w:top w:val="none" w:sz="0" w:space="0" w:color="auto"/>
            <w:left w:val="none" w:sz="0" w:space="0" w:color="auto"/>
            <w:bottom w:val="none" w:sz="0" w:space="0" w:color="auto"/>
            <w:right w:val="none" w:sz="0" w:space="0" w:color="auto"/>
          </w:divBdr>
        </w:div>
        <w:div w:id="867448837">
          <w:marLeft w:val="640"/>
          <w:marRight w:val="0"/>
          <w:marTop w:val="0"/>
          <w:marBottom w:val="0"/>
          <w:divBdr>
            <w:top w:val="none" w:sz="0" w:space="0" w:color="auto"/>
            <w:left w:val="none" w:sz="0" w:space="0" w:color="auto"/>
            <w:bottom w:val="none" w:sz="0" w:space="0" w:color="auto"/>
            <w:right w:val="none" w:sz="0" w:space="0" w:color="auto"/>
          </w:divBdr>
        </w:div>
        <w:div w:id="1085568352">
          <w:marLeft w:val="640"/>
          <w:marRight w:val="0"/>
          <w:marTop w:val="0"/>
          <w:marBottom w:val="0"/>
          <w:divBdr>
            <w:top w:val="none" w:sz="0" w:space="0" w:color="auto"/>
            <w:left w:val="none" w:sz="0" w:space="0" w:color="auto"/>
            <w:bottom w:val="none" w:sz="0" w:space="0" w:color="auto"/>
            <w:right w:val="none" w:sz="0" w:space="0" w:color="auto"/>
          </w:divBdr>
        </w:div>
        <w:div w:id="323513360">
          <w:marLeft w:val="640"/>
          <w:marRight w:val="0"/>
          <w:marTop w:val="0"/>
          <w:marBottom w:val="0"/>
          <w:divBdr>
            <w:top w:val="none" w:sz="0" w:space="0" w:color="auto"/>
            <w:left w:val="none" w:sz="0" w:space="0" w:color="auto"/>
            <w:bottom w:val="none" w:sz="0" w:space="0" w:color="auto"/>
            <w:right w:val="none" w:sz="0" w:space="0" w:color="auto"/>
          </w:divBdr>
        </w:div>
        <w:div w:id="1435250906">
          <w:marLeft w:val="640"/>
          <w:marRight w:val="0"/>
          <w:marTop w:val="0"/>
          <w:marBottom w:val="0"/>
          <w:divBdr>
            <w:top w:val="none" w:sz="0" w:space="0" w:color="auto"/>
            <w:left w:val="none" w:sz="0" w:space="0" w:color="auto"/>
            <w:bottom w:val="none" w:sz="0" w:space="0" w:color="auto"/>
            <w:right w:val="none" w:sz="0" w:space="0" w:color="auto"/>
          </w:divBdr>
        </w:div>
        <w:div w:id="631594941">
          <w:marLeft w:val="640"/>
          <w:marRight w:val="0"/>
          <w:marTop w:val="0"/>
          <w:marBottom w:val="0"/>
          <w:divBdr>
            <w:top w:val="none" w:sz="0" w:space="0" w:color="auto"/>
            <w:left w:val="none" w:sz="0" w:space="0" w:color="auto"/>
            <w:bottom w:val="none" w:sz="0" w:space="0" w:color="auto"/>
            <w:right w:val="none" w:sz="0" w:space="0" w:color="auto"/>
          </w:divBdr>
        </w:div>
        <w:div w:id="103617865">
          <w:marLeft w:val="640"/>
          <w:marRight w:val="0"/>
          <w:marTop w:val="0"/>
          <w:marBottom w:val="0"/>
          <w:divBdr>
            <w:top w:val="none" w:sz="0" w:space="0" w:color="auto"/>
            <w:left w:val="none" w:sz="0" w:space="0" w:color="auto"/>
            <w:bottom w:val="none" w:sz="0" w:space="0" w:color="auto"/>
            <w:right w:val="none" w:sz="0" w:space="0" w:color="auto"/>
          </w:divBdr>
        </w:div>
        <w:div w:id="759838644">
          <w:marLeft w:val="640"/>
          <w:marRight w:val="0"/>
          <w:marTop w:val="0"/>
          <w:marBottom w:val="0"/>
          <w:divBdr>
            <w:top w:val="none" w:sz="0" w:space="0" w:color="auto"/>
            <w:left w:val="none" w:sz="0" w:space="0" w:color="auto"/>
            <w:bottom w:val="none" w:sz="0" w:space="0" w:color="auto"/>
            <w:right w:val="none" w:sz="0" w:space="0" w:color="auto"/>
          </w:divBdr>
        </w:div>
        <w:div w:id="349456889">
          <w:marLeft w:val="640"/>
          <w:marRight w:val="0"/>
          <w:marTop w:val="0"/>
          <w:marBottom w:val="0"/>
          <w:divBdr>
            <w:top w:val="none" w:sz="0" w:space="0" w:color="auto"/>
            <w:left w:val="none" w:sz="0" w:space="0" w:color="auto"/>
            <w:bottom w:val="none" w:sz="0" w:space="0" w:color="auto"/>
            <w:right w:val="none" w:sz="0" w:space="0" w:color="auto"/>
          </w:divBdr>
        </w:div>
        <w:div w:id="1652560125">
          <w:marLeft w:val="640"/>
          <w:marRight w:val="0"/>
          <w:marTop w:val="0"/>
          <w:marBottom w:val="0"/>
          <w:divBdr>
            <w:top w:val="none" w:sz="0" w:space="0" w:color="auto"/>
            <w:left w:val="none" w:sz="0" w:space="0" w:color="auto"/>
            <w:bottom w:val="none" w:sz="0" w:space="0" w:color="auto"/>
            <w:right w:val="none" w:sz="0" w:space="0" w:color="auto"/>
          </w:divBdr>
        </w:div>
        <w:div w:id="1176192243">
          <w:marLeft w:val="640"/>
          <w:marRight w:val="0"/>
          <w:marTop w:val="0"/>
          <w:marBottom w:val="0"/>
          <w:divBdr>
            <w:top w:val="none" w:sz="0" w:space="0" w:color="auto"/>
            <w:left w:val="none" w:sz="0" w:space="0" w:color="auto"/>
            <w:bottom w:val="none" w:sz="0" w:space="0" w:color="auto"/>
            <w:right w:val="none" w:sz="0" w:space="0" w:color="auto"/>
          </w:divBdr>
        </w:div>
        <w:div w:id="823084165">
          <w:marLeft w:val="640"/>
          <w:marRight w:val="0"/>
          <w:marTop w:val="0"/>
          <w:marBottom w:val="0"/>
          <w:divBdr>
            <w:top w:val="none" w:sz="0" w:space="0" w:color="auto"/>
            <w:left w:val="none" w:sz="0" w:space="0" w:color="auto"/>
            <w:bottom w:val="none" w:sz="0" w:space="0" w:color="auto"/>
            <w:right w:val="none" w:sz="0" w:space="0" w:color="auto"/>
          </w:divBdr>
        </w:div>
        <w:div w:id="1263993580">
          <w:marLeft w:val="640"/>
          <w:marRight w:val="0"/>
          <w:marTop w:val="0"/>
          <w:marBottom w:val="0"/>
          <w:divBdr>
            <w:top w:val="none" w:sz="0" w:space="0" w:color="auto"/>
            <w:left w:val="none" w:sz="0" w:space="0" w:color="auto"/>
            <w:bottom w:val="none" w:sz="0" w:space="0" w:color="auto"/>
            <w:right w:val="none" w:sz="0" w:space="0" w:color="auto"/>
          </w:divBdr>
        </w:div>
        <w:div w:id="334580506">
          <w:marLeft w:val="640"/>
          <w:marRight w:val="0"/>
          <w:marTop w:val="0"/>
          <w:marBottom w:val="0"/>
          <w:divBdr>
            <w:top w:val="none" w:sz="0" w:space="0" w:color="auto"/>
            <w:left w:val="none" w:sz="0" w:space="0" w:color="auto"/>
            <w:bottom w:val="none" w:sz="0" w:space="0" w:color="auto"/>
            <w:right w:val="none" w:sz="0" w:space="0" w:color="auto"/>
          </w:divBdr>
        </w:div>
        <w:div w:id="897789021">
          <w:marLeft w:val="640"/>
          <w:marRight w:val="0"/>
          <w:marTop w:val="0"/>
          <w:marBottom w:val="0"/>
          <w:divBdr>
            <w:top w:val="none" w:sz="0" w:space="0" w:color="auto"/>
            <w:left w:val="none" w:sz="0" w:space="0" w:color="auto"/>
            <w:bottom w:val="none" w:sz="0" w:space="0" w:color="auto"/>
            <w:right w:val="none" w:sz="0" w:space="0" w:color="auto"/>
          </w:divBdr>
        </w:div>
        <w:div w:id="214315021">
          <w:marLeft w:val="640"/>
          <w:marRight w:val="0"/>
          <w:marTop w:val="0"/>
          <w:marBottom w:val="0"/>
          <w:divBdr>
            <w:top w:val="none" w:sz="0" w:space="0" w:color="auto"/>
            <w:left w:val="none" w:sz="0" w:space="0" w:color="auto"/>
            <w:bottom w:val="none" w:sz="0" w:space="0" w:color="auto"/>
            <w:right w:val="none" w:sz="0" w:space="0" w:color="auto"/>
          </w:divBdr>
        </w:div>
        <w:div w:id="131214330">
          <w:marLeft w:val="640"/>
          <w:marRight w:val="0"/>
          <w:marTop w:val="0"/>
          <w:marBottom w:val="0"/>
          <w:divBdr>
            <w:top w:val="none" w:sz="0" w:space="0" w:color="auto"/>
            <w:left w:val="none" w:sz="0" w:space="0" w:color="auto"/>
            <w:bottom w:val="none" w:sz="0" w:space="0" w:color="auto"/>
            <w:right w:val="none" w:sz="0" w:space="0" w:color="auto"/>
          </w:divBdr>
        </w:div>
        <w:div w:id="973947224">
          <w:marLeft w:val="640"/>
          <w:marRight w:val="0"/>
          <w:marTop w:val="0"/>
          <w:marBottom w:val="0"/>
          <w:divBdr>
            <w:top w:val="none" w:sz="0" w:space="0" w:color="auto"/>
            <w:left w:val="none" w:sz="0" w:space="0" w:color="auto"/>
            <w:bottom w:val="none" w:sz="0" w:space="0" w:color="auto"/>
            <w:right w:val="none" w:sz="0" w:space="0" w:color="auto"/>
          </w:divBdr>
        </w:div>
        <w:div w:id="1914663038">
          <w:marLeft w:val="640"/>
          <w:marRight w:val="0"/>
          <w:marTop w:val="0"/>
          <w:marBottom w:val="0"/>
          <w:divBdr>
            <w:top w:val="none" w:sz="0" w:space="0" w:color="auto"/>
            <w:left w:val="none" w:sz="0" w:space="0" w:color="auto"/>
            <w:bottom w:val="none" w:sz="0" w:space="0" w:color="auto"/>
            <w:right w:val="none" w:sz="0" w:space="0" w:color="auto"/>
          </w:divBdr>
        </w:div>
        <w:div w:id="772286588">
          <w:marLeft w:val="640"/>
          <w:marRight w:val="0"/>
          <w:marTop w:val="0"/>
          <w:marBottom w:val="0"/>
          <w:divBdr>
            <w:top w:val="none" w:sz="0" w:space="0" w:color="auto"/>
            <w:left w:val="none" w:sz="0" w:space="0" w:color="auto"/>
            <w:bottom w:val="none" w:sz="0" w:space="0" w:color="auto"/>
            <w:right w:val="none" w:sz="0" w:space="0" w:color="auto"/>
          </w:divBdr>
        </w:div>
        <w:div w:id="1029448770">
          <w:marLeft w:val="640"/>
          <w:marRight w:val="0"/>
          <w:marTop w:val="0"/>
          <w:marBottom w:val="0"/>
          <w:divBdr>
            <w:top w:val="none" w:sz="0" w:space="0" w:color="auto"/>
            <w:left w:val="none" w:sz="0" w:space="0" w:color="auto"/>
            <w:bottom w:val="none" w:sz="0" w:space="0" w:color="auto"/>
            <w:right w:val="none" w:sz="0" w:space="0" w:color="auto"/>
          </w:divBdr>
        </w:div>
        <w:div w:id="2014263626">
          <w:marLeft w:val="640"/>
          <w:marRight w:val="0"/>
          <w:marTop w:val="0"/>
          <w:marBottom w:val="0"/>
          <w:divBdr>
            <w:top w:val="none" w:sz="0" w:space="0" w:color="auto"/>
            <w:left w:val="none" w:sz="0" w:space="0" w:color="auto"/>
            <w:bottom w:val="none" w:sz="0" w:space="0" w:color="auto"/>
            <w:right w:val="none" w:sz="0" w:space="0" w:color="auto"/>
          </w:divBdr>
        </w:div>
        <w:div w:id="1774937403">
          <w:marLeft w:val="640"/>
          <w:marRight w:val="0"/>
          <w:marTop w:val="0"/>
          <w:marBottom w:val="0"/>
          <w:divBdr>
            <w:top w:val="none" w:sz="0" w:space="0" w:color="auto"/>
            <w:left w:val="none" w:sz="0" w:space="0" w:color="auto"/>
            <w:bottom w:val="none" w:sz="0" w:space="0" w:color="auto"/>
            <w:right w:val="none" w:sz="0" w:space="0" w:color="auto"/>
          </w:divBdr>
        </w:div>
        <w:div w:id="981617287">
          <w:marLeft w:val="640"/>
          <w:marRight w:val="0"/>
          <w:marTop w:val="0"/>
          <w:marBottom w:val="0"/>
          <w:divBdr>
            <w:top w:val="none" w:sz="0" w:space="0" w:color="auto"/>
            <w:left w:val="none" w:sz="0" w:space="0" w:color="auto"/>
            <w:bottom w:val="none" w:sz="0" w:space="0" w:color="auto"/>
            <w:right w:val="none" w:sz="0" w:space="0" w:color="auto"/>
          </w:divBdr>
        </w:div>
        <w:div w:id="815951989">
          <w:marLeft w:val="640"/>
          <w:marRight w:val="0"/>
          <w:marTop w:val="0"/>
          <w:marBottom w:val="0"/>
          <w:divBdr>
            <w:top w:val="none" w:sz="0" w:space="0" w:color="auto"/>
            <w:left w:val="none" w:sz="0" w:space="0" w:color="auto"/>
            <w:bottom w:val="none" w:sz="0" w:space="0" w:color="auto"/>
            <w:right w:val="none" w:sz="0" w:space="0" w:color="auto"/>
          </w:divBdr>
        </w:div>
        <w:div w:id="1652250313">
          <w:marLeft w:val="640"/>
          <w:marRight w:val="0"/>
          <w:marTop w:val="0"/>
          <w:marBottom w:val="0"/>
          <w:divBdr>
            <w:top w:val="none" w:sz="0" w:space="0" w:color="auto"/>
            <w:left w:val="none" w:sz="0" w:space="0" w:color="auto"/>
            <w:bottom w:val="none" w:sz="0" w:space="0" w:color="auto"/>
            <w:right w:val="none" w:sz="0" w:space="0" w:color="auto"/>
          </w:divBdr>
        </w:div>
        <w:div w:id="213349100">
          <w:marLeft w:val="640"/>
          <w:marRight w:val="0"/>
          <w:marTop w:val="0"/>
          <w:marBottom w:val="0"/>
          <w:divBdr>
            <w:top w:val="none" w:sz="0" w:space="0" w:color="auto"/>
            <w:left w:val="none" w:sz="0" w:space="0" w:color="auto"/>
            <w:bottom w:val="none" w:sz="0" w:space="0" w:color="auto"/>
            <w:right w:val="none" w:sz="0" w:space="0" w:color="auto"/>
          </w:divBdr>
        </w:div>
        <w:div w:id="1921282747">
          <w:marLeft w:val="640"/>
          <w:marRight w:val="0"/>
          <w:marTop w:val="0"/>
          <w:marBottom w:val="0"/>
          <w:divBdr>
            <w:top w:val="none" w:sz="0" w:space="0" w:color="auto"/>
            <w:left w:val="none" w:sz="0" w:space="0" w:color="auto"/>
            <w:bottom w:val="none" w:sz="0" w:space="0" w:color="auto"/>
            <w:right w:val="none" w:sz="0" w:space="0" w:color="auto"/>
          </w:divBdr>
        </w:div>
        <w:div w:id="478965354">
          <w:marLeft w:val="640"/>
          <w:marRight w:val="0"/>
          <w:marTop w:val="0"/>
          <w:marBottom w:val="0"/>
          <w:divBdr>
            <w:top w:val="none" w:sz="0" w:space="0" w:color="auto"/>
            <w:left w:val="none" w:sz="0" w:space="0" w:color="auto"/>
            <w:bottom w:val="none" w:sz="0" w:space="0" w:color="auto"/>
            <w:right w:val="none" w:sz="0" w:space="0" w:color="auto"/>
          </w:divBdr>
        </w:div>
        <w:div w:id="1961836855">
          <w:marLeft w:val="640"/>
          <w:marRight w:val="0"/>
          <w:marTop w:val="0"/>
          <w:marBottom w:val="0"/>
          <w:divBdr>
            <w:top w:val="none" w:sz="0" w:space="0" w:color="auto"/>
            <w:left w:val="none" w:sz="0" w:space="0" w:color="auto"/>
            <w:bottom w:val="none" w:sz="0" w:space="0" w:color="auto"/>
            <w:right w:val="none" w:sz="0" w:space="0" w:color="auto"/>
          </w:divBdr>
        </w:div>
        <w:div w:id="134103099">
          <w:marLeft w:val="640"/>
          <w:marRight w:val="0"/>
          <w:marTop w:val="0"/>
          <w:marBottom w:val="0"/>
          <w:divBdr>
            <w:top w:val="none" w:sz="0" w:space="0" w:color="auto"/>
            <w:left w:val="none" w:sz="0" w:space="0" w:color="auto"/>
            <w:bottom w:val="none" w:sz="0" w:space="0" w:color="auto"/>
            <w:right w:val="none" w:sz="0" w:space="0" w:color="auto"/>
          </w:divBdr>
        </w:div>
        <w:div w:id="873155860">
          <w:marLeft w:val="640"/>
          <w:marRight w:val="0"/>
          <w:marTop w:val="0"/>
          <w:marBottom w:val="0"/>
          <w:divBdr>
            <w:top w:val="none" w:sz="0" w:space="0" w:color="auto"/>
            <w:left w:val="none" w:sz="0" w:space="0" w:color="auto"/>
            <w:bottom w:val="none" w:sz="0" w:space="0" w:color="auto"/>
            <w:right w:val="none" w:sz="0" w:space="0" w:color="auto"/>
          </w:divBdr>
        </w:div>
        <w:div w:id="253124833">
          <w:marLeft w:val="640"/>
          <w:marRight w:val="0"/>
          <w:marTop w:val="0"/>
          <w:marBottom w:val="0"/>
          <w:divBdr>
            <w:top w:val="none" w:sz="0" w:space="0" w:color="auto"/>
            <w:left w:val="none" w:sz="0" w:space="0" w:color="auto"/>
            <w:bottom w:val="none" w:sz="0" w:space="0" w:color="auto"/>
            <w:right w:val="none" w:sz="0" w:space="0" w:color="auto"/>
          </w:divBdr>
        </w:div>
        <w:div w:id="889538512">
          <w:marLeft w:val="640"/>
          <w:marRight w:val="0"/>
          <w:marTop w:val="0"/>
          <w:marBottom w:val="0"/>
          <w:divBdr>
            <w:top w:val="none" w:sz="0" w:space="0" w:color="auto"/>
            <w:left w:val="none" w:sz="0" w:space="0" w:color="auto"/>
            <w:bottom w:val="none" w:sz="0" w:space="0" w:color="auto"/>
            <w:right w:val="none" w:sz="0" w:space="0" w:color="auto"/>
          </w:divBdr>
        </w:div>
        <w:div w:id="515846576">
          <w:marLeft w:val="640"/>
          <w:marRight w:val="0"/>
          <w:marTop w:val="0"/>
          <w:marBottom w:val="0"/>
          <w:divBdr>
            <w:top w:val="none" w:sz="0" w:space="0" w:color="auto"/>
            <w:left w:val="none" w:sz="0" w:space="0" w:color="auto"/>
            <w:bottom w:val="none" w:sz="0" w:space="0" w:color="auto"/>
            <w:right w:val="none" w:sz="0" w:space="0" w:color="auto"/>
          </w:divBdr>
        </w:div>
        <w:div w:id="1233812267">
          <w:marLeft w:val="640"/>
          <w:marRight w:val="0"/>
          <w:marTop w:val="0"/>
          <w:marBottom w:val="0"/>
          <w:divBdr>
            <w:top w:val="none" w:sz="0" w:space="0" w:color="auto"/>
            <w:left w:val="none" w:sz="0" w:space="0" w:color="auto"/>
            <w:bottom w:val="none" w:sz="0" w:space="0" w:color="auto"/>
            <w:right w:val="none" w:sz="0" w:space="0" w:color="auto"/>
          </w:divBdr>
        </w:div>
        <w:div w:id="1077558004">
          <w:marLeft w:val="640"/>
          <w:marRight w:val="0"/>
          <w:marTop w:val="0"/>
          <w:marBottom w:val="0"/>
          <w:divBdr>
            <w:top w:val="none" w:sz="0" w:space="0" w:color="auto"/>
            <w:left w:val="none" w:sz="0" w:space="0" w:color="auto"/>
            <w:bottom w:val="none" w:sz="0" w:space="0" w:color="auto"/>
            <w:right w:val="none" w:sz="0" w:space="0" w:color="auto"/>
          </w:divBdr>
        </w:div>
        <w:div w:id="710418733">
          <w:marLeft w:val="640"/>
          <w:marRight w:val="0"/>
          <w:marTop w:val="0"/>
          <w:marBottom w:val="0"/>
          <w:divBdr>
            <w:top w:val="none" w:sz="0" w:space="0" w:color="auto"/>
            <w:left w:val="none" w:sz="0" w:space="0" w:color="auto"/>
            <w:bottom w:val="none" w:sz="0" w:space="0" w:color="auto"/>
            <w:right w:val="none" w:sz="0" w:space="0" w:color="auto"/>
          </w:divBdr>
        </w:div>
        <w:div w:id="1569069952">
          <w:marLeft w:val="640"/>
          <w:marRight w:val="0"/>
          <w:marTop w:val="0"/>
          <w:marBottom w:val="0"/>
          <w:divBdr>
            <w:top w:val="none" w:sz="0" w:space="0" w:color="auto"/>
            <w:left w:val="none" w:sz="0" w:space="0" w:color="auto"/>
            <w:bottom w:val="none" w:sz="0" w:space="0" w:color="auto"/>
            <w:right w:val="none" w:sz="0" w:space="0" w:color="auto"/>
          </w:divBdr>
        </w:div>
        <w:div w:id="545797667">
          <w:marLeft w:val="640"/>
          <w:marRight w:val="0"/>
          <w:marTop w:val="0"/>
          <w:marBottom w:val="0"/>
          <w:divBdr>
            <w:top w:val="none" w:sz="0" w:space="0" w:color="auto"/>
            <w:left w:val="none" w:sz="0" w:space="0" w:color="auto"/>
            <w:bottom w:val="none" w:sz="0" w:space="0" w:color="auto"/>
            <w:right w:val="none" w:sz="0" w:space="0" w:color="auto"/>
          </w:divBdr>
        </w:div>
        <w:div w:id="102577585">
          <w:marLeft w:val="640"/>
          <w:marRight w:val="0"/>
          <w:marTop w:val="0"/>
          <w:marBottom w:val="0"/>
          <w:divBdr>
            <w:top w:val="none" w:sz="0" w:space="0" w:color="auto"/>
            <w:left w:val="none" w:sz="0" w:space="0" w:color="auto"/>
            <w:bottom w:val="none" w:sz="0" w:space="0" w:color="auto"/>
            <w:right w:val="none" w:sz="0" w:space="0" w:color="auto"/>
          </w:divBdr>
        </w:div>
        <w:div w:id="1651666278">
          <w:marLeft w:val="640"/>
          <w:marRight w:val="0"/>
          <w:marTop w:val="0"/>
          <w:marBottom w:val="0"/>
          <w:divBdr>
            <w:top w:val="none" w:sz="0" w:space="0" w:color="auto"/>
            <w:left w:val="none" w:sz="0" w:space="0" w:color="auto"/>
            <w:bottom w:val="none" w:sz="0" w:space="0" w:color="auto"/>
            <w:right w:val="none" w:sz="0" w:space="0" w:color="auto"/>
          </w:divBdr>
        </w:div>
        <w:div w:id="107356223">
          <w:marLeft w:val="640"/>
          <w:marRight w:val="0"/>
          <w:marTop w:val="0"/>
          <w:marBottom w:val="0"/>
          <w:divBdr>
            <w:top w:val="none" w:sz="0" w:space="0" w:color="auto"/>
            <w:left w:val="none" w:sz="0" w:space="0" w:color="auto"/>
            <w:bottom w:val="none" w:sz="0" w:space="0" w:color="auto"/>
            <w:right w:val="none" w:sz="0" w:space="0" w:color="auto"/>
          </w:divBdr>
        </w:div>
        <w:div w:id="871530209">
          <w:marLeft w:val="640"/>
          <w:marRight w:val="0"/>
          <w:marTop w:val="0"/>
          <w:marBottom w:val="0"/>
          <w:divBdr>
            <w:top w:val="none" w:sz="0" w:space="0" w:color="auto"/>
            <w:left w:val="none" w:sz="0" w:space="0" w:color="auto"/>
            <w:bottom w:val="none" w:sz="0" w:space="0" w:color="auto"/>
            <w:right w:val="none" w:sz="0" w:space="0" w:color="auto"/>
          </w:divBdr>
        </w:div>
        <w:div w:id="626011056">
          <w:marLeft w:val="640"/>
          <w:marRight w:val="0"/>
          <w:marTop w:val="0"/>
          <w:marBottom w:val="0"/>
          <w:divBdr>
            <w:top w:val="none" w:sz="0" w:space="0" w:color="auto"/>
            <w:left w:val="none" w:sz="0" w:space="0" w:color="auto"/>
            <w:bottom w:val="none" w:sz="0" w:space="0" w:color="auto"/>
            <w:right w:val="none" w:sz="0" w:space="0" w:color="auto"/>
          </w:divBdr>
        </w:div>
        <w:div w:id="44304982">
          <w:marLeft w:val="640"/>
          <w:marRight w:val="0"/>
          <w:marTop w:val="0"/>
          <w:marBottom w:val="0"/>
          <w:divBdr>
            <w:top w:val="none" w:sz="0" w:space="0" w:color="auto"/>
            <w:left w:val="none" w:sz="0" w:space="0" w:color="auto"/>
            <w:bottom w:val="none" w:sz="0" w:space="0" w:color="auto"/>
            <w:right w:val="none" w:sz="0" w:space="0" w:color="auto"/>
          </w:divBdr>
        </w:div>
        <w:div w:id="538783907">
          <w:marLeft w:val="640"/>
          <w:marRight w:val="0"/>
          <w:marTop w:val="0"/>
          <w:marBottom w:val="0"/>
          <w:divBdr>
            <w:top w:val="none" w:sz="0" w:space="0" w:color="auto"/>
            <w:left w:val="none" w:sz="0" w:space="0" w:color="auto"/>
            <w:bottom w:val="none" w:sz="0" w:space="0" w:color="auto"/>
            <w:right w:val="none" w:sz="0" w:space="0" w:color="auto"/>
          </w:divBdr>
        </w:div>
        <w:div w:id="2124767873">
          <w:marLeft w:val="640"/>
          <w:marRight w:val="0"/>
          <w:marTop w:val="0"/>
          <w:marBottom w:val="0"/>
          <w:divBdr>
            <w:top w:val="none" w:sz="0" w:space="0" w:color="auto"/>
            <w:left w:val="none" w:sz="0" w:space="0" w:color="auto"/>
            <w:bottom w:val="none" w:sz="0" w:space="0" w:color="auto"/>
            <w:right w:val="none" w:sz="0" w:space="0" w:color="auto"/>
          </w:divBdr>
        </w:div>
        <w:div w:id="187303140">
          <w:marLeft w:val="640"/>
          <w:marRight w:val="0"/>
          <w:marTop w:val="0"/>
          <w:marBottom w:val="0"/>
          <w:divBdr>
            <w:top w:val="none" w:sz="0" w:space="0" w:color="auto"/>
            <w:left w:val="none" w:sz="0" w:space="0" w:color="auto"/>
            <w:bottom w:val="none" w:sz="0" w:space="0" w:color="auto"/>
            <w:right w:val="none" w:sz="0" w:space="0" w:color="auto"/>
          </w:divBdr>
        </w:div>
        <w:div w:id="728695147">
          <w:marLeft w:val="640"/>
          <w:marRight w:val="0"/>
          <w:marTop w:val="0"/>
          <w:marBottom w:val="0"/>
          <w:divBdr>
            <w:top w:val="none" w:sz="0" w:space="0" w:color="auto"/>
            <w:left w:val="none" w:sz="0" w:space="0" w:color="auto"/>
            <w:bottom w:val="none" w:sz="0" w:space="0" w:color="auto"/>
            <w:right w:val="none" w:sz="0" w:space="0" w:color="auto"/>
          </w:divBdr>
        </w:div>
        <w:div w:id="1633249699">
          <w:marLeft w:val="640"/>
          <w:marRight w:val="0"/>
          <w:marTop w:val="0"/>
          <w:marBottom w:val="0"/>
          <w:divBdr>
            <w:top w:val="none" w:sz="0" w:space="0" w:color="auto"/>
            <w:left w:val="none" w:sz="0" w:space="0" w:color="auto"/>
            <w:bottom w:val="none" w:sz="0" w:space="0" w:color="auto"/>
            <w:right w:val="none" w:sz="0" w:space="0" w:color="auto"/>
          </w:divBdr>
        </w:div>
        <w:div w:id="1027832841">
          <w:marLeft w:val="640"/>
          <w:marRight w:val="0"/>
          <w:marTop w:val="0"/>
          <w:marBottom w:val="0"/>
          <w:divBdr>
            <w:top w:val="none" w:sz="0" w:space="0" w:color="auto"/>
            <w:left w:val="none" w:sz="0" w:space="0" w:color="auto"/>
            <w:bottom w:val="none" w:sz="0" w:space="0" w:color="auto"/>
            <w:right w:val="none" w:sz="0" w:space="0" w:color="auto"/>
          </w:divBdr>
        </w:div>
        <w:div w:id="316495721">
          <w:marLeft w:val="640"/>
          <w:marRight w:val="0"/>
          <w:marTop w:val="0"/>
          <w:marBottom w:val="0"/>
          <w:divBdr>
            <w:top w:val="none" w:sz="0" w:space="0" w:color="auto"/>
            <w:left w:val="none" w:sz="0" w:space="0" w:color="auto"/>
            <w:bottom w:val="none" w:sz="0" w:space="0" w:color="auto"/>
            <w:right w:val="none" w:sz="0" w:space="0" w:color="auto"/>
          </w:divBdr>
        </w:div>
        <w:div w:id="1938708019">
          <w:marLeft w:val="640"/>
          <w:marRight w:val="0"/>
          <w:marTop w:val="0"/>
          <w:marBottom w:val="0"/>
          <w:divBdr>
            <w:top w:val="none" w:sz="0" w:space="0" w:color="auto"/>
            <w:left w:val="none" w:sz="0" w:space="0" w:color="auto"/>
            <w:bottom w:val="none" w:sz="0" w:space="0" w:color="auto"/>
            <w:right w:val="none" w:sz="0" w:space="0" w:color="auto"/>
          </w:divBdr>
        </w:div>
        <w:div w:id="15083534">
          <w:marLeft w:val="640"/>
          <w:marRight w:val="0"/>
          <w:marTop w:val="0"/>
          <w:marBottom w:val="0"/>
          <w:divBdr>
            <w:top w:val="none" w:sz="0" w:space="0" w:color="auto"/>
            <w:left w:val="none" w:sz="0" w:space="0" w:color="auto"/>
            <w:bottom w:val="none" w:sz="0" w:space="0" w:color="auto"/>
            <w:right w:val="none" w:sz="0" w:space="0" w:color="auto"/>
          </w:divBdr>
        </w:div>
        <w:div w:id="1203131278">
          <w:marLeft w:val="640"/>
          <w:marRight w:val="0"/>
          <w:marTop w:val="0"/>
          <w:marBottom w:val="0"/>
          <w:divBdr>
            <w:top w:val="none" w:sz="0" w:space="0" w:color="auto"/>
            <w:left w:val="none" w:sz="0" w:space="0" w:color="auto"/>
            <w:bottom w:val="none" w:sz="0" w:space="0" w:color="auto"/>
            <w:right w:val="none" w:sz="0" w:space="0" w:color="auto"/>
          </w:divBdr>
        </w:div>
        <w:div w:id="330061675">
          <w:marLeft w:val="640"/>
          <w:marRight w:val="0"/>
          <w:marTop w:val="0"/>
          <w:marBottom w:val="0"/>
          <w:divBdr>
            <w:top w:val="none" w:sz="0" w:space="0" w:color="auto"/>
            <w:left w:val="none" w:sz="0" w:space="0" w:color="auto"/>
            <w:bottom w:val="none" w:sz="0" w:space="0" w:color="auto"/>
            <w:right w:val="none" w:sz="0" w:space="0" w:color="auto"/>
          </w:divBdr>
        </w:div>
        <w:div w:id="885916989">
          <w:marLeft w:val="640"/>
          <w:marRight w:val="0"/>
          <w:marTop w:val="0"/>
          <w:marBottom w:val="0"/>
          <w:divBdr>
            <w:top w:val="none" w:sz="0" w:space="0" w:color="auto"/>
            <w:left w:val="none" w:sz="0" w:space="0" w:color="auto"/>
            <w:bottom w:val="none" w:sz="0" w:space="0" w:color="auto"/>
            <w:right w:val="none" w:sz="0" w:space="0" w:color="auto"/>
          </w:divBdr>
        </w:div>
        <w:div w:id="140201467">
          <w:marLeft w:val="640"/>
          <w:marRight w:val="0"/>
          <w:marTop w:val="0"/>
          <w:marBottom w:val="0"/>
          <w:divBdr>
            <w:top w:val="none" w:sz="0" w:space="0" w:color="auto"/>
            <w:left w:val="none" w:sz="0" w:space="0" w:color="auto"/>
            <w:bottom w:val="none" w:sz="0" w:space="0" w:color="auto"/>
            <w:right w:val="none" w:sz="0" w:space="0" w:color="auto"/>
          </w:divBdr>
        </w:div>
        <w:div w:id="935820993">
          <w:marLeft w:val="640"/>
          <w:marRight w:val="0"/>
          <w:marTop w:val="0"/>
          <w:marBottom w:val="0"/>
          <w:divBdr>
            <w:top w:val="none" w:sz="0" w:space="0" w:color="auto"/>
            <w:left w:val="none" w:sz="0" w:space="0" w:color="auto"/>
            <w:bottom w:val="none" w:sz="0" w:space="0" w:color="auto"/>
            <w:right w:val="none" w:sz="0" w:space="0" w:color="auto"/>
          </w:divBdr>
        </w:div>
        <w:div w:id="1736900624">
          <w:marLeft w:val="640"/>
          <w:marRight w:val="0"/>
          <w:marTop w:val="0"/>
          <w:marBottom w:val="0"/>
          <w:divBdr>
            <w:top w:val="none" w:sz="0" w:space="0" w:color="auto"/>
            <w:left w:val="none" w:sz="0" w:space="0" w:color="auto"/>
            <w:bottom w:val="none" w:sz="0" w:space="0" w:color="auto"/>
            <w:right w:val="none" w:sz="0" w:space="0" w:color="auto"/>
          </w:divBdr>
        </w:div>
        <w:div w:id="2105570435">
          <w:marLeft w:val="640"/>
          <w:marRight w:val="0"/>
          <w:marTop w:val="0"/>
          <w:marBottom w:val="0"/>
          <w:divBdr>
            <w:top w:val="none" w:sz="0" w:space="0" w:color="auto"/>
            <w:left w:val="none" w:sz="0" w:space="0" w:color="auto"/>
            <w:bottom w:val="none" w:sz="0" w:space="0" w:color="auto"/>
            <w:right w:val="none" w:sz="0" w:space="0" w:color="auto"/>
          </w:divBdr>
        </w:div>
        <w:div w:id="1847942107">
          <w:marLeft w:val="640"/>
          <w:marRight w:val="0"/>
          <w:marTop w:val="0"/>
          <w:marBottom w:val="0"/>
          <w:divBdr>
            <w:top w:val="none" w:sz="0" w:space="0" w:color="auto"/>
            <w:left w:val="none" w:sz="0" w:space="0" w:color="auto"/>
            <w:bottom w:val="none" w:sz="0" w:space="0" w:color="auto"/>
            <w:right w:val="none" w:sz="0" w:space="0" w:color="auto"/>
          </w:divBdr>
        </w:div>
        <w:div w:id="245918949">
          <w:marLeft w:val="640"/>
          <w:marRight w:val="0"/>
          <w:marTop w:val="0"/>
          <w:marBottom w:val="0"/>
          <w:divBdr>
            <w:top w:val="none" w:sz="0" w:space="0" w:color="auto"/>
            <w:left w:val="none" w:sz="0" w:space="0" w:color="auto"/>
            <w:bottom w:val="none" w:sz="0" w:space="0" w:color="auto"/>
            <w:right w:val="none" w:sz="0" w:space="0" w:color="auto"/>
          </w:divBdr>
        </w:div>
        <w:div w:id="992563698">
          <w:marLeft w:val="640"/>
          <w:marRight w:val="0"/>
          <w:marTop w:val="0"/>
          <w:marBottom w:val="0"/>
          <w:divBdr>
            <w:top w:val="none" w:sz="0" w:space="0" w:color="auto"/>
            <w:left w:val="none" w:sz="0" w:space="0" w:color="auto"/>
            <w:bottom w:val="none" w:sz="0" w:space="0" w:color="auto"/>
            <w:right w:val="none" w:sz="0" w:space="0" w:color="auto"/>
          </w:divBdr>
        </w:div>
        <w:div w:id="1463110483">
          <w:marLeft w:val="640"/>
          <w:marRight w:val="0"/>
          <w:marTop w:val="0"/>
          <w:marBottom w:val="0"/>
          <w:divBdr>
            <w:top w:val="none" w:sz="0" w:space="0" w:color="auto"/>
            <w:left w:val="none" w:sz="0" w:space="0" w:color="auto"/>
            <w:bottom w:val="none" w:sz="0" w:space="0" w:color="auto"/>
            <w:right w:val="none" w:sz="0" w:space="0" w:color="auto"/>
          </w:divBdr>
        </w:div>
        <w:div w:id="1214537150">
          <w:marLeft w:val="640"/>
          <w:marRight w:val="0"/>
          <w:marTop w:val="0"/>
          <w:marBottom w:val="0"/>
          <w:divBdr>
            <w:top w:val="none" w:sz="0" w:space="0" w:color="auto"/>
            <w:left w:val="none" w:sz="0" w:space="0" w:color="auto"/>
            <w:bottom w:val="none" w:sz="0" w:space="0" w:color="auto"/>
            <w:right w:val="none" w:sz="0" w:space="0" w:color="auto"/>
          </w:divBdr>
        </w:div>
        <w:div w:id="1711803842">
          <w:marLeft w:val="640"/>
          <w:marRight w:val="0"/>
          <w:marTop w:val="0"/>
          <w:marBottom w:val="0"/>
          <w:divBdr>
            <w:top w:val="none" w:sz="0" w:space="0" w:color="auto"/>
            <w:left w:val="none" w:sz="0" w:space="0" w:color="auto"/>
            <w:bottom w:val="none" w:sz="0" w:space="0" w:color="auto"/>
            <w:right w:val="none" w:sz="0" w:space="0" w:color="auto"/>
          </w:divBdr>
        </w:div>
        <w:div w:id="1424103351">
          <w:marLeft w:val="640"/>
          <w:marRight w:val="0"/>
          <w:marTop w:val="0"/>
          <w:marBottom w:val="0"/>
          <w:divBdr>
            <w:top w:val="none" w:sz="0" w:space="0" w:color="auto"/>
            <w:left w:val="none" w:sz="0" w:space="0" w:color="auto"/>
            <w:bottom w:val="none" w:sz="0" w:space="0" w:color="auto"/>
            <w:right w:val="none" w:sz="0" w:space="0" w:color="auto"/>
          </w:divBdr>
        </w:div>
        <w:div w:id="1243561189">
          <w:marLeft w:val="640"/>
          <w:marRight w:val="0"/>
          <w:marTop w:val="0"/>
          <w:marBottom w:val="0"/>
          <w:divBdr>
            <w:top w:val="none" w:sz="0" w:space="0" w:color="auto"/>
            <w:left w:val="none" w:sz="0" w:space="0" w:color="auto"/>
            <w:bottom w:val="none" w:sz="0" w:space="0" w:color="auto"/>
            <w:right w:val="none" w:sz="0" w:space="0" w:color="auto"/>
          </w:divBdr>
        </w:div>
        <w:div w:id="645429344">
          <w:marLeft w:val="640"/>
          <w:marRight w:val="0"/>
          <w:marTop w:val="0"/>
          <w:marBottom w:val="0"/>
          <w:divBdr>
            <w:top w:val="none" w:sz="0" w:space="0" w:color="auto"/>
            <w:left w:val="none" w:sz="0" w:space="0" w:color="auto"/>
            <w:bottom w:val="none" w:sz="0" w:space="0" w:color="auto"/>
            <w:right w:val="none" w:sz="0" w:space="0" w:color="auto"/>
          </w:divBdr>
        </w:div>
        <w:div w:id="450783790">
          <w:marLeft w:val="640"/>
          <w:marRight w:val="0"/>
          <w:marTop w:val="0"/>
          <w:marBottom w:val="0"/>
          <w:divBdr>
            <w:top w:val="none" w:sz="0" w:space="0" w:color="auto"/>
            <w:left w:val="none" w:sz="0" w:space="0" w:color="auto"/>
            <w:bottom w:val="none" w:sz="0" w:space="0" w:color="auto"/>
            <w:right w:val="none" w:sz="0" w:space="0" w:color="auto"/>
          </w:divBdr>
        </w:div>
        <w:div w:id="31080905">
          <w:marLeft w:val="640"/>
          <w:marRight w:val="0"/>
          <w:marTop w:val="0"/>
          <w:marBottom w:val="0"/>
          <w:divBdr>
            <w:top w:val="none" w:sz="0" w:space="0" w:color="auto"/>
            <w:left w:val="none" w:sz="0" w:space="0" w:color="auto"/>
            <w:bottom w:val="none" w:sz="0" w:space="0" w:color="auto"/>
            <w:right w:val="none" w:sz="0" w:space="0" w:color="auto"/>
          </w:divBdr>
        </w:div>
        <w:div w:id="1567569443">
          <w:marLeft w:val="640"/>
          <w:marRight w:val="0"/>
          <w:marTop w:val="0"/>
          <w:marBottom w:val="0"/>
          <w:divBdr>
            <w:top w:val="none" w:sz="0" w:space="0" w:color="auto"/>
            <w:left w:val="none" w:sz="0" w:space="0" w:color="auto"/>
            <w:bottom w:val="none" w:sz="0" w:space="0" w:color="auto"/>
            <w:right w:val="none" w:sz="0" w:space="0" w:color="auto"/>
          </w:divBdr>
        </w:div>
        <w:div w:id="43678820">
          <w:marLeft w:val="640"/>
          <w:marRight w:val="0"/>
          <w:marTop w:val="0"/>
          <w:marBottom w:val="0"/>
          <w:divBdr>
            <w:top w:val="none" w:sz="0" w:space="0" w:color="auto"/>
            <w:left w:val="none" w:sz="0" w:space="0" w:color="auto"/>
            <w:bottom w:val="none" w:sz="0" w:space="0" w:color="auto"/>
            <w:right w:val="none" w:sz="0" w:space="0" w:color="auto"/>
          </w:divBdr>
        </w:div>
        <w:div w:id="644550659">
          <w:marLeft w:val="640"/>
          <w:marRight w:val="0"/>
          <w:marTop w:val="0"/>
          <w:marBottom w:val="0"/>
          <w:divBdr>
            <w:top w:val="none" w:sz="0" w:space="0" w:color="auto"/>
            <w:left w:val="none" w:sz="0" w:space="0" w:color="auto"/>
            <w:bottom w:val="none" w:sz="0" w:space="0" w:color="auto"/>
            <w:right w:val="none" w:sz="0" w:space="0" w:color="auto"/>
          </w:divBdr>
        </w:div>
        <w:div w:id="1273441133">
          <w:marLeft w:val="640"/>
          <w:marRight w:val="0"/>
          <w:marTop w:val="0"/>
          <w:marBottom w:val="0"/>
          <w:divBdr>
            <w:top w:val="none" w:sz="0" w:space="0" w:color="auto"/>
            <w:left w:val="none" w:sz="0" w:space="0" w:color="auto"/>
            <w:bottom w:val="none" w:sz="0" w:space="0" w:color="auto"/>
            <w:right w:val="none" w:sz="0" w:space="0" w:color="auto"/>
          </w:divBdr>
        </w:div>
        <w:div w:id="162742344">
          <w:marLeft w:val="640"/>
          <w:marRight w:val="0"/>
          <w:marTop w:val="0"/>
          <w:marBottom w:val="0"/>
          <w:divBdr>
            <w:top w:val="none" w:sz="0" w:space="0" w:color="auto"/>
            <w:left w:val="none" w:sz="0" w:space="0" w:color="auto"/>
            <w:bottom w:val="none" w:sz="0" w:space="0" w:color="auto"/>
            <w:right w:val="none" w:sz="0" w:space="0" w:color="auto"/>
          </w:divBdr>
        </w:div>
        <w:div w:id="839585378">
          <w:marLeft w:val="640"/>
          <w:marRight w:val="0"/>
          <w:marTop w:val="0"/>
          <w:marBottom w:val="0"/>
          <w:divBdr>
            <w:top w:val="none" w:sz="0" w:space="0" w:color="auto"/>
            <w:left w:val="none" w:sz="0" w:space="0" w:color="auto"/>
            <w:bottom w:val="none" w:sz="0" w:space="0" w:color="auto"/>
            <w:right w:val="none" w:sz="0" w:space="0" w:color="auto"/>
          </w:divBdr>
        </w:div>
        <w:div w:id="1478301554">
          <w:marLeft w:val="640"/>
          <w:marRight w:val="0"/>
          <w:marTop w:val="0"/>
          <w:marBottom w:val="0"/>
          <w:divBdr>
            <w:top w:val="none" w:sz="0" w:space="0" w:color="auto"/>
            <w:left w:val="none" w:sz="0" w:space="0" w:color="auto"/>
            <w:bottom w:val="none" w:sz="0" w:space="0" w:color="auto"/>
            <w:right w:val="none" w:sz="0" w:space="0" w:color="auto"/>
          </w:divBdr>
        </w:div>
        <w:div w:id="57441799">
          <w:marLeft w:val="640"/>
          <w:marRight w:val="0"/>
          <w:marTop w:val="0"/>
          <w:marBottom w:val="0"/>
          <w:divBdr>
            <w:top w:val="none" w:sz="0" w:space="0" w:color="auto"/>
            <w:left w:val="none" w:sz="0" w:space="0" w:color="auto"/>
            <w:bottom w:val="none" w:sz="0" w:space="0" w:color="auto"/>
            <w:right w:val="none" w:sz="0" w:space="0" w:color="auto"/>
          </w:divBdr>
        </w:div>
        <w:div w:id="1850874958">
          <w:marLeft w:val="640"/>
          <w:marRight w:val="0"/>
          <w:marTop w:val="0"/>
          <w:marBottom w:val="0"/>
          <w:divBdr>
            <w:top w:val="none" w:sz="0" w:space="0" w:color="auto"/>
            <w:left w:val="none" w:sz="0" w:space="0" w:color="auto"/>
            <w:bottom w:val="none" w:sz="0" w:space="0" w:color="auto"/>
            <w:right w:val="none" w:sz="0" w:space="0" w:color="auto"/>
          </w:divBdr>
        </w:div>
        <w:div w:id="1525441012">
          <w:marLeft w:val="640"/>
          <w:marRight w:val="0"/>
          <w:marTop w:val="0"/>
          <w:marBottom w:val="0"/>
          <w:divBdr>
            <w:top w:val="none" w:sz="0" w:space="0" w:color="auto"/>
            <w:left w:val="none" w:sz="0" w:space="0" w:color="auto"/>
            <w:bottom w:val="none" w:sz="0" w:space="0" w:color="auto"/>
            <w:right w:val="none" w:sz="0" w:space="0" w:color="auto"/>
          </w:divBdr>
        </w:div>
        <w:div w:id="2051565004">
          <w:marLeft w:val="640"/>
          <w:marRight w:val="0"/>
          <w:marTop w:val="0"/>
          <w:marBottom w:val="0"/>
          <w:divBdr>
            <w:top w:val="none" w:sz="0" w:space="0" w:color="auto"/>
            <w:left w:val="none" w:sz="0" w:space="0" w:color="auto"/>
            <w:bottom w:val="none" w:sz="0" w:space="0" w:color="auto"/>
            <w:right w:val="none" w:sz="0" w:space="0" w:color="auto"/>
          </w:divBdr>
        </w:div>
        <w:div w:id="1650397761">
          <w:marLeft w:val="640"/>
          <w:marRight w:val="0"/>
          <w:marTop w:val="0"/>
          <w:marBottom w:val="0"/>
          <w:divBdr>
            <w:top w:val="none" w:sz="0" w:space="0" w:color="auto"/>
            <w:left w:val="none" w:sz="0" w:space="0" w:color="auto"/>
            <w:bottom w:val="none" w:sz="0" w:space="0" w:color="auto"/>
            <w:right w:val="none" w:sz="0" w:space="0" w:color="auto"/>
          </w:divBdr>
        </w:div>
        <w:div w:id="1667585370">
          <w:marLeft w:val="640"/>
          <w:marRight w:val="0"/>
          <w:marTop w:val="0"/>
          <w:marBottom w:val="0"/>
          <w:divBdr>
            <w:top w:val="none" w:sz="0" w:space="0" w:color="auto"/>
            <w:left w:val="none" w:sz="0" w:space="0" w:color="auto"/>
            <w:bottom w:val="none" w:sz="0" w:space="0" w:color="auto"/>
            <w:right w:val="none" w:sz="0" w:space="0" w:color="auto"/>
          </w:divBdr>
        </w:div>
        <w:div w:id="286667293">
          <w:marLeft w:val="640"/>
          <w:marRight w:val="0"/>
          <w:marTop w:val="0"/>
          <w:marBottom w:val="0"/>
          <w:divBdr>
            <w:top w:val="none" w:sz="0" w:space="0" w:color="auto"/>
            <w:left w:val="none" w:sz="0" w:space="0" w:color="auto"/>
            <w:bottom w:val="none" w:sz="0" w:space="0" w:color="auto"/>
            <w:right w:val="none" w:sz="0" w:space="0" w:color="auto"/>
          </w:divBdr>
        </w:div>
        <w:div w:id="228150026">
          <w:marLeft w:val="640"/>
          <w:marRight w:val="0"/>
          <w:marTop w:val="0"/>
          <w:marBottom w:val="0"/>
          <w:divBdr>
            <w:top w:val="none" w:sz="0" w:space="0" w:color="auto"/>
            <w:left w:val="none" w:sz="0" w:space="0" w:color="auto"/>
            <w:bottom w:val="none" w:sz="0" w:space="0" w:color="auto"/>
            <w:right w:val="none" w:sz="0" w:space="0" w:color="auto"/>
          </w:divBdr>
        </w:div>
        <w:div w:id="1786803004">
          <w:marLeft w:val="640"/>
          <w:marRight w:val="0"/>
          <w:marTop w:val="0"/>
          <w:marBottom w:val="0"/>
          <w:divBdr>
            <w:top w:val="none" w:sz="0" w:space="0" w:color="auto"/>
            <w:left w:val="none" w:sz="0" w:space="0" w:color="auto"/>
            <w:bottom w:val="none" w:sz="0" w:space="0" w:color="auto"/>
            <w:right w:val="none" w:sz="0" w:space="0" w:color="auto"/>
          </w:divBdr>
        </w:div>
        <w:div w:id="1555003884">
          <w:marLeft w:val="640"/>
          <w:marRight w:val="0"/>
          <w:marTop w:val="0"/>
          <w:marBottom w:val="0"/>
          <w:divBdr>
            <w:top w:val="none" w:sz="0" w:space="0" w:color="auto"/>
            <w:left w:val="none" w:sz="0" w:space="0" w:color="auto"/>
            <w:bottom w:val="none" w:sz="0" w:space="0" w:color="auto"/>
            <w:right w:val="none" w:sz="0" w:space="0" w:color="auto"/>
          </w:divBdr>
        </w:div>
        <w:div w:id="2061593776">
          <w:marLeft w:val="640"/>
          <w:marRight w:val="0"/>
          <w:marTop w:val="0"/>
          <w:marBottom w:val="0"/>
          <w:divBdr>
            <w:top w:val="none" w:sz="0" w:space="0" w:color="auto"/>
            <w:left w:val="none" w:sz="0" w:space="0" w:color="auto"/>
            <w:bottom w:val="none" w:sz="0" w:space="0" w:color="auto"/>
            <w:right w:val="none" w:sz="0" w:space="0" w:color="auto"/>
          </w:divBdr>
        </w:div>
        <w:div w:id="1062023435">
          <w:marLeft w:val="640"/>
          <w:marRight w:val="0"/>
          <w:marTop w:val="0"/>
          <w:marBottom w:val="0"/>
          <w:divBdr>
            <w:top w:val="none" w:sz="0" w:space="0" w:color="auto"/>
            <w:left w:val="none" w:sz="0" w:space="0" w:color="auto"/>
            <w:bottom w:val="none" w:sz="0" w:space="0" w:color="auto"/>
            <w:right w:val="none" w:sz="0" w:space="0" w:color="auto"/>
          </w:divBdr>
        </w:div>
        <w:div w:id="138887559">
          <w:marLeft w:val="640"/>
          <w:marRight w:val="0"/>
          <w:marTop w:val="0"/>
          <w:marBottom w:val="0"/>
          <w:divBdr>
            <w:top w:val="none" w:sz="0" w:space="0" w:color="auto"/>
            <w:left w:val="none" w:sz="0" w:space="0" w:color="auto"/>
            <w:bottom w:val="none" w:sz="0" w:space="0" w:color="auto"/>
            <w:right w:val="none" w:sz="0" w:space="0" w:color="auto"/>
          </w:divBdr>
        </w:div>
        <w:div w:id="1823109758">
          <w:marLeft w:val="640"/>
          <w:marRight w:val="0"/>
          <w:marTop w:val="0"/>
          <w:marBottom w:val="0"/>
          <w:divBdr>
            <w:top w:val="none" w:sz="0" w:space="0" w:color="auto"/>
            <w:left w:val="none" w:sz="0" w:space="0" w:color="auto"/>
            <w:bottom w:val="none" w:sz="0" w:space="0" w:color="auto"/>
            <w:right w:val="none" w:sz="0" w:space="0" w:color="auto"/>
          </w:divBdr>
        </w:div>
        <w:div w:id="1699774391">
          <w:marLeft w:val="640"/>
          <w:marRight w:val="0"/>
          <w:marTop w:val="0"/>
          <w:marBottom w:val="0"/>
          <w:divBdr>
            <w:top w:val="none" w:sz="0" w:space="0" w:color="auto"/>
            <w:left w:val="none" w:sz="0" w:space="0" w:color="auto"/>
            <w:bottom w:val="none" w:sz="0" w:space="0" w:color="auto"/>
            <w:right w:val="none" w:sz="0" w:space="0" w:color="auto"/>
          </w:divBdr>
        </w:div>
        <w:div w:id="1110465783">
          <w:marLeft w:val="640"/>
          <w:marRight w:val="0"/>
          <w:marTop w:val="0"/>
          <w:marBottom w:val="0"/>
          <w:divBdr>
            <w:top w:val="none" w:sz="0" w:space="0" w:color="auto"/>
            <w:left w:val="none" w:sz="0" w:space="0" w:color="auto"/>
            <w:bottom w:val="none" w:sz="0" w:space="0" w:color="auto"/>
            <w:right w:val="none" w:sz="0" w:space="0" w:color="auto"/>
          </w:divBdr>
        </w:div>
        <w:div w:id="566691134">
          <w:marLeft w:val="640"/>
          <w:marRight w:val="0"/>
          <w:marTop w:val="0"/>
          <w:marBottom w:val="0"/>
          <w:divBdr>
            <w:top w:val="none" w:sz="0" w:space="0" w:color="auto"/>
            <w:left w:val="none" w:sz="0" w:space="0" w:color="auto"/>
            <w:bottom w:val="none" w:sz="0" w:space="0" w:color="auto"/>
            <w:right w:val="none" w:sz="0" w:space="0" w:color="auto"/>
          </w:divBdr>
        </w:div>
        <w:div w:id="653870939">
          <w:marLeft w:val="640"/>
          <w:marRight w:val="0"/>
          <w:marTop w:val="0"/>
          <w:marBottom w:val="0"/>
          <w:divBdr>
            <w:top w:val="none" w:sz="0" w:space="0" w:color="auto"/>
            <w:left w:val="none" w:sz="0" w:space="0" w:color="auto"/>
            <w:bottom w:val="none" w:sz="0" w:space="0" w:color="auto"/>
            <w:right w:val="none" w:sz="0" w:space="0" w:color="auto"/>
          </w:divBdr>
        </w:div>
        <w:div w:id="468211982">
          <w:marLeft w:val="640"/>
          <w:marRight w:val="0"/>
          <w:marTop w:val="0"/>
          <w:marBottom w:val="0"/>
          <w:divBdr>
            <w:top w:val="none" w:sz="0" w:space="0" w:color="auto"/>
            <w:left w:val="none" w:sz="0" w:space="0" w:color="auto"/>
            <w:bottom w:val="none" w:sz="0" w:space="0" w:color="auto"/>
            <w:right w:val="none" w:sz="0" w:space="0" w:color="auto"/>
          </w:divBdr>
        </w:div>
        <w:div w:id="41486424">
          <w:marLeft w:val="640"/>
          <w:marRight w:val="0"/>
          <w:marTop w:val="0"/>
          <w:marBottom w:val="0"/>
          <w:divBdr>
            <w:top w:val="none" w:sz="0" w:space="0" w:color="auto"/>
            <w:left w:val="none" w:sz="0" w:space="0" w:color="auto"/>
            <w:bottom w:val="none" w:sz="0" w:space="0" w:color="auto"/>
            <w:right w:val="none" w:sz="0" w:space="0" w:color="auto"/>
          </w:divBdr>
        </w:div>
        <w:div w:id="698893012">
          <w:marLeft w:val="640"/>
          <w:marRight w:val="0"/>
          <w:marTop w:val="0"/>
          <w:marBottom w:val="0"/>
          <w:divBdr>
            <w:top w:val="none" w:sz="0" w:space="0" w:color="auto"/>
            <w:left w:val="none" w:sz="0" w:space="0" w:color="auto"/>
            <w:bottom w:val="none" w:sz="0" w:space="0" w:color="auto"/>
            <w:right w:val="none" w:sz="0" w:space="0" w:color="auto"/>
          </w:divBdr>
        </w:div>
        <w:div w:id="1549685567">
          <w:marLeft w:val="640"/>
          <w:marRight w:val="0"/>
          <w:marTop w:val="0"/>
          <w:marBottom w:val="0"/>
          <w:divBdr>
            <w:top w:val="none" w:sz="0" w:space="0" w:color="auto"/>
            <w:left w:val="none" w:sz="0" w:space="0" w:color="auto"/>
            <w:bottom w:val="none" w:sz="0" w:space="0" w:color="auto"/>
            <w:right w:val="none" w:sz="0" w:space="0" w:color="auto"/>
          </w:divBdr>
        </w:div>
        <w:div w:id="1181047643">
          <w:marLeft w:val="640"/>
          <w:marRight w:val="0"/>
          <w:marTop w:val="0"/>
          <w:marBottom w:val="0"/>
          <w:divBdr>
            <w:top w:val="none" w:sz="0" w:space="0" w:color="auto"/>
            <w:left w:val="none" w:sz="0" w:space="0" w:color="auto"/>
            <w:bottom w:val="none" w:sz="0" w:space="0" w:color="auto"/>
            <w:right w:val="none" w:sz="0" w:space="0" w:color="auto"/>
          </w:divBdr>
        </w:div>
        <w:div w:id="1157261872">
          <w:marLeft w:val="640"/>
          <w:marRight w:val="0"/>
          <w:marTop w:val="0"/>
          <w:marBottom w:val="0"/>
          <w:divBdr>
            <w:top w:val="none" w:sz="0" w:space="0" w:color="auto"/>
            <w:left w:val="none" w:sz="0" w:space="0" w:color="auto"/>
            <w:bottom w:val="none" w:sz="0" w:space="0" w:color="auto"/>
            <w:right w:val="none" w:sz="0" w:space="0" w:color="auto"/>
          </w:divBdr>
        </w:div>
        <w:div w:id="1800149899">
          <w:marLeft w:val="640"/>
          <w:marRight w:val="0"/>
          <w:marTop w:val="0"/>
          <w:marBottom w:val="0"/>
          <w:divBdr>
            <w:top w:val="none" w:sz="0" w:space="0" w:color="auto"/>
            <w:left w:val="none" w:sz="0" w:space="0" w:color="auto"/>
            <w:bottom w:val="none" w:sz="0" w:space="0" w:color="auto"/>
            <w:right w:val="none" w:sz="0" w:space="0" w:color="auto"/>
          </w:divBdr>
        </w:div>
        <w:div w:id="800460433">
          <w:marLeft w:val="640"/>
          <w:marRight w:val="0"/>
          <w:marTop w:val="0"/>
          <w:marBottom w:val="0"/>
          <w:divBdr>
            <w:top w:val="none" w:sz="0" w:space="0" w:color="auto"/>
            <w:left w:val="none" w:sz="0" w:space="0" w:color="auto"/>
            <w:bottom w:val="none" w:sz="0" w:space="0" w:color="auto"/>
            <w:right w:val="none" w:sz="0" w:space="0" w:color="auto"/>
          </w:divBdr>
        </w:div>
        <w:div w:id="1328166386">
          <w:marLeft w:val="640"/>
          <w:marRight w:val="0"/>
          <w:marTop w:val="0"/>
          <w:marBottom w:val="0"/>
          <w:divBdr>
            <w:top w:val="none" w:sz="0" w:space="0" w:color="auto"/>
            <w:left w:val="none" w:sz="0" w:space="0" w:color="auto"/>
            <w:bottom w:val="none" w:sz="0" w:space="0" w:color="auto"/>
            <w:right w:val="none" w:sz="0" w:space="0" w:color="auto"/>
          </w:divBdr>
        </w:div>
        <w:div w:id="569853691">
          <w:marLeft w:val="640"/>
          <w:marRight w:val="0"/>
          <w:marTop w:val="0"/>
          <w:marBottom w:val="0"/>
          <w:divBdr>
            <w:top w:val="none" w:sz="0" w:space="0" w:color="auto"/>
            <w:left w:val="none" w:sz="0" w:space="0" w:color="auto"/>
            <w:bottom w:val="none" w:sz="0" w:space="0" w:color="auto"/>
            <w:right w:val="none" w:sz="0" w:space="0" w:color="auto"/>
          </w:divBdr>
        </w:div>
        <w:div w:id="615523107">
          <w:marLeft w:val="640"/>
          <w:marRight w:val="0"/>
          <w:marTop w:val="0"/>
          <w:marBottom w:val="0"/>
          <w:divBdr>
            <w:top w:val="none" w:sz="0" w:space="0" w:color="auto"/>
            <w:left w:val="none" w:sz="0" w:space="0" w:color="auto"/>
            <w:bottom w:val="none" w:sz="0" w:space="0" w:color="auto"/>
            <w:right w:val="none" w:sz="0" w:space="0" w:color="auto"/>
          </w:divBdr>
        </w:div>
        <w:div w:id="249431204">
          <w:marLeft w:val="640"/>
          <w:marRight w:val="0"/>
          <w:marTop w:val="0"/>
          <w:marBottom w:val="0"/>
          <w:divBdr>
            <w:top w:val="none" w:sz="0" w:space="0" w:color="auto"/>
            <w:left w:val="none" w:sz="0" w:space="0" w:color="auto"/>
            <w:bottom w:val="none" w:sz="0" w:space="0" w:color="auto"/>
            <w:right w:val="none" w:sz="0" w:space="0" w:color="auto"/>
          </w:divBdr>
        </w:div>
        <w:div w:id="114056546">
          <w:marLeft w:val="640"/>
          <w:marRight w:val="0"/>
          <w:marTop w:val="0"/>
          <w:marBottom w:val="0"/>
          <w:divBdr>
            <w:top w:val="none" w:sz="0" w:space="0" w:color="auto"/>
            <w:left w:val="none" w:sz="0" w:space="0" w:color="auto"/>
            <w:bottom w:val="none" w:sz="0" w:space="0" w:color="auto"/>
            <w:right w:val="none" w:sz="0" w:space="0" w:color="auto"/>
          </w:divBdr>
        </w:div>
        <w:div w:id="638264545">
          <w:marLeft w:val="640"/>
          <w:marRight w:val="0"/>
          <w:marTop w:val="0"/>
          <w:marBottom w:val="0"/>
          <w:divBdr>
            <w:top w:val="none" w:sz="0" w:space="0" w:color="auto"/>
            <w:left w:val="none" w:sz="0" w:space="0" w:color="auto"/>
            <w:bottom w:val="none" w:sz="0" w:space="0" w:color="auto"/>
            <w:right w:val="none" w:sz="0" w:space="0" w:color="auto"/>
          </w:divBdr>
        </w:div>
        <w:div w:id="1495801611">
          <w:marLeft w:val="640"/>
          <w:marRight w:val="0"/>
          <w:marTop w:val="0"/>
          <w:marBottom w:val="0"/>
          <w:divBdr>
            <w:top w:val="none" w:sz="0" w:space="0" w:color="auto"/>
            <w:left w:val="none" w:sz="0" w:space="0" w:color="auto"/>
            <w:bottom w:val="none" w:sz="0" w:space="0" w:color="auto"/>
            <w:right w:val="none" w:sz="0" w:space="0" w:color="auto"/>
          </w:divBdr>
        </w:div>
        <w:div w:id="7563305">
          <w:marLeft w:val="640"/>
          <w:marRight w:val="0"/>
          <w:marTop w:val="0"/>
          <w:marBottom w:val="0"/>
          <w:divBdr>
            <w:top w:val="none" w:sz="0" w:space="0" w:color="auto"/>
            <w:left w:val="none" w:sz="0" w:space="0" w:color="auto"/>
            <w:bottom w:val="none" w:sz="0" w:space="0" w:color="auto"/>
            <w:right w:val="none" w:sz="0" w:space="0" w:color="auto"/>
          </w:divBdr>
        </w:div>
        <w:div w:id="117068952">
          <w:marLeft w:val="640"/>
          <w:marRight w:val="0"/>
          <w:marTop w:val="0"/>
          <w:marBottom w:val="0"/>
          <w:divBdr>
            <w:top w:val="none" w:sz="0" w:space="0" w:color="auto"/>
            <w:left w:val="none" w:sz="0" w:space="0" w:color="auto"/>
            <w:bottom w:val="none" w:sz="0" w:space="0" w:color="auto"/>
            <w:right w:val="none" w:sz="0" w:space="0" w:color="auto"/>
          </w:divBdr>
        </w:div>
        <w:div w:id="1730029625">
          <w:marLeft w:val="640"/>
          <w:marRight w:val="0"/>
          <w:marTop w:val="0"/>
          <w:marBottom w:val="0"/>
          <w:divBdr>
            <w:top w:val="none" w:sz="0" w:space="0" w:color="auto"/>
            <w:left w:val="none" w:sz="0" w:space="0" w:color="auto"/>
            <w:bottom w:val="none" w:sz="0" w:space="0" w:color="auto"/>
            <w:right w:val="none" w:sz="0" w:space="0" w:color="auto"/>
          </w:divBdr>
        </w:div>
        <w:div w:id="677538385">
          <w:marLeft w:val="640"/>
          <w:marRight w:val="0"/>
          <w:marTop w:val="0"/>
          <w:marBottom w:val="0"/>
          <w:divBdr>
            <w:top w:val="none" w:sz="0" w:space="0" w:color="auto"/>
            <w:left w:val="none" w:sz="0" w:space="0" w:color="auto"/>
            <w:bottom w:val="none" w:sz="0" w:space="0" w:color="auto"/>
            <w:right w:val="none" w:sz="0" w:space="0" w:color="auto"/>
          </w:divBdr>
        </w:div>
        <w:div w:id="1495301093">
          <w:marLeft w:val="640"/>
          <w:marRight w:val="0"/>
          <w:marTop w:val="0"/>
          <w:marBottom w:val="0"/>
          <w:divBdr>
            <w:top w:val="none" w:sz="0" w:space="0" w:color="auto"/>
            <w:left w:val="none" w:sz="0" w:space="0" w:color="auto"/>
            <w:bottom w:val="none" w:sz="0" w:space="0" w:color="auto"/>
            <w:right w:val="none" w:sz="0" w:space="0" w:color="auto"/>
          </w:divBdr>
        </w:div>
        <w:div w:id="822627239">
          <w:marLeft w:val="640"/>
          <w:marRight w:val="0"/>
          <w:marTop w:val="0"/>
          <w:marBottom w:val="0"/>
          <w:divBdr>
            <w:top w:val="none" w:sz="0" w:space="0" w:color="auto"/>
            <w:left w:val="none" w:sz="0" w:space="0" w:color="auto"/>
            <w:bottom w:val="none" w:sz="0" w:space="0" w:color="auto"/>
            <w:right w:val="none" w:sz="0" w:space="0" w:color="auto"/>
          </w:divBdr>
        </w:div>
        <w:div w:id="1909488966">
          <w:marLeft w:val="640"/>
          <w:marRight w:val="0"/>
          <w:marTop w:val="0"/>
          <w:marBottom w:val="0"/>
          <w:divBdr>
            <w:top w:val="none" w:sz="0" w:space="0" w:color="auto"/>
            <w:left w:val="none" w:sz="0" w:space="0" w:color="auto"/>
            <w:bottom w:val="none" w:sz="0" w:space="0" w:color="auto"/>
            <w:right w:val="none" w:sz="0" w:space="0" w:color="auto"/>
          </w:divBdr>
        </w:div>
        <w:div w:id="609164054">
          <w:marLeft w:val="640"/>
          <w:marRight w:val="0"/>
          <w:marTop w:val="0"/>
          <w:marBottom w:val="0"/>
          <w:divBdr>
            <w:top w:val="none" w:sz="0" w:space="0" w:color="auto"/>
            <w:left w:val="none" w:sz="0" w:space="0" w:color="auto"/>
            <w:bottom w:val="none" w:sz="0" w:space="0" w:color="auto"/>
            <w:right w:val="none" w:sz="0" w:space="0" w:color="auto"/>
          </w:divBdr>
        </w:div>
        <w:div w:id="539242968">
          <w:marLeft w:val="640"/>
          <w:marRight w:val="0"/>
          <w:marTop w:val="0"/>
          <w:marBottom w:val="0"/>
          <w:divBdr>
            <w:top w:val="none" w:sz="0" w:space="0" w:color="auto"/>
            <w:left w:val="none" w:sz="0" w:space="0" w:color="auto"/>
            <w:bottom w:val="none" w:sz="0" w:space="0" w:color="auto"/>
            <w:right w:val="none" w:sz="0" w:space="0" w:color="auto"/>
          </w:divBdr>
        </w:div>
        <w:div w:id="1406076321">
          <w:marLeft w:val="640"/>
          <w:marRight w:val="0"/>
          <w:marTop w:val="0"/>
          <w:marBottom w:val="0"/>
          <w:divBdr>
            <w:top w:val="none" w:sz="0" w:space="0" w:color="auto"/>
            <w:left w:val="none" w:sz="0" w:space="0" w:color="auto"/>
            <w:bottom w:val="none" w:sz="0" w:space="0" w:color="auto"/>
            <w:right w:val="none" w:sz="0" w:space="0" w:color="auto"/>
          </w:divBdr>
        </w:div>
        <w:div w:id="2097362466">
          <w:marLeft w:val="640"/>
          <w:marRight w:val="0"/>
          <w:marTop w:val="0"/>
          <w:marBottom w:val="0"/>
          <w:divBdr>
            <w:top w:val="none" w:sz="0" w:space="0" w:color="auto"/>
            <w:left w:val="none" w:sz="0" w:space="0" w:color="auto"/>
            <w:bottom w:val="none" w:sz="0" w:space="0" w:color="auto"/>
            <w:right w:val="none" w:sz="0" w:space="0" w:color="auto"/>
          </w:divBdr>
        </w:div>
        <w:div w:id="1356149440">
          <w:marLeft w:val="640"/>
          <w:marRight w:val="0"/>
          <w:marTop w:val="0"/>
          <w:marBottom w:val="0"/>
          <w:divBdr>
            <w:top w:val="none" w:sz="0" w:space="0" w:color="auto"/>
            <w:left w:val="none" w:sz="0" w:space="0" w:color="auto"/>
            <w:bottom w:val="none" w:sz="0" w:space="0" w:color="auto"/>
            <w:right w:val="none" w:sz="0" w:space="0" w:color="auto"/>
          </w:divBdr>
        </w:div>
        <w:div w:id="396166293">
          <w:marLeft w:val="640"/>
          <w:marRight w:val="0"/>
          <w:marTop w:val="0"/>
          <w:marBottom w:val="0"/>
          <w:divBdr>
            <w:top w:val="none" w:sz="0" w:space="0" w:color="auto"/>
            <w:left w:val="none" w:sz="0" w:space="0" w:color="auto"/>
            <w:bottom w:val="none" w:sz="0" w:space="0" w:color="auto"/>
            <w:right w:val="none" w:sz="0" w:space="0" w:color="auto"/>
          </w:divBdr>
        </w:div>
        <w:div w:id="1510099047">
          <w:marLeft w:val="640"/>
          <w:marRight w:val="0"/>
          <w:marTop w:val="0"/>
          <w:marBottom w:val="0"/>
          <w:divBdr>
            <w:top w:val="none" w:sz="0" w:space="0" w:color="auto"/>
            <w:left w:val="none" w:sz="0" w:space="0" w:color="auto"/>
            <w:bottom w:val="none" w:sz="0" w:space="0" w:color="auto"/>
            <w:right w:val="none" w:sz="0" w:space="0" w:color="auto"/>
          </w:divBdr>
        </w:div>
        <w:div w:id="622885015">
          <w:marLeft w:val="640"/>
          <w:marRight w:val="0"/>
          <w:marTop w:val="0"/>
          <w:marBottom w:val="0"/>
          <w:divBdr>
            <w:top w:val="none" w:sz="0" w:space="0" w:color="auto"/>
            <w:left w:val="none" w:sz="0" w:space="0" w:color="auto"/>
            <w:bottom w:val="none" w:sz="0" w:space="0" w:color="auto"/>
            <w:right w:val="none" w:sz="0" w:space="0" w:color="auto"/>
          </w:divBdr>
        </w:div>
        <w:div w:id="1653488054">
          <w:marLeft w:val="640"/>
          <w:marRight w:val="0"/>
          <w:marTop w:val="0"/>
          <w:marBottom w:val="0"/>
          <w:divBdr>
            <w:top w:val="none" w:sz="0" w:space="0" w:color="auto"/>
            <w:left w:val="none" w:sz="0" w:space="0" w:color="auto"/>
            <w:bottom w:val="none" w:sz="0" w:space="0" w:color="auto"/>
            <w:right w:val="none" w:sz="0" w:space="0" w:color="auto"/>
          </w:divBdr>
        </w:div>
        <w:div w:id="618337376">
          <w:marLeft w:val="640"/>
          <w:marRight w:val="0"/>
          <w:marTop w:val="0"/>
          <w:marBottom w:val="0"/>
          <w:divBdr>
            <w:top w:val="none" w:sz="0" w:space="0" w:color="auto"/>
            <w:left w:val="none" w:sz="0" w:space="0" w:color="auto"/>
            <w:bottom w:val="none" w:sz="0" w:space="0" w:color="auto"/>
            <w:right w:val="none" w:sz="0" w:space="0" w:color="auto"/>
          </w:divBdr>
        </w:div>
        <w:div w:id="1174343308">
          <w:marLeft w:val="640"/>
          <w:marRight w:val="0"/>
          <w:marTop w:val="0"/>
          <w:marBottom w:val="0"/>
          <w:divBdr>
            <w:top w:val="none" w:sz="0" w:space="0" w:color="auto"/>
            <w:left w:val="none" w:sz="0" w:space="0" w:color="auto"/>
            <w:bottom w:val="none" w:sz="0" w:space="0" w:color="auto"/>
            <w:right w:val="none" w:sz="0" w:space="0" w:color="auto"/>
          </w:divBdr>
        </w:div>
        <w:div w:id="754327100">
          <w:marLeft w:val="640"/>
          <w:marRight w:val="0"/>
          <w:marTop w:val="0"/>
          <w:marBottom w:val="0"/>
          <w:divBdr>
            <w:top w:val="none" w:sz="0" w:space="0" w:color="auto"/>
            <w:left w:val="none" w:sz="0" w:space="0" w:color="auto"/>
            <w:bottom w:val="none" w:sz="0" w:space="0" w:color="auto"/>
            <w:right w:val="none" w:sz="0" w:space="0" w:color="auto"/>
          </w:divBdr>
        </w:div>
        <w:div w:id="21710705">
          <w:marLeft w:val="640"/>
          <w:marRight w:val="0"/>
          <w:marTop w:val="0"/>
          <w:marBottom w:val="0"/>
          <w:divBdr>
            <w:top w:val="none" w:sz="0" w:space="0" w:color="auto"/>
            <w:left w:val="none" w:sz="0" w:space="0" w:color="auto"/>
            <w:bottom w:val="none" w:sz="0" w:space="0" w:color="auto"/>
            <w:right w:val="none" w:sz="0" w:space="0" w:color="auto"/>
          </w:divBdr>
        </w:div>
        <w:div w:id="1233663639">
          <w:marLeft w:val="640"/>
          <w:marRight w:val="0"/>
          <w:marTop w:val="0"/>
          <w:marBottom w:val="0"/>
          <w:divBdr>
            <w:top w:val="none" w:sz="0" w:space="0" w:color="auto"/>
            <w:left w:val="none" w:sz="0" w:space="0" w:color="auto"/>
            <w:bottom w:val="none" w:sz="0" w:space="0" w:color="auto"/>
            <w:right w:val="none" w:sz="0" w:space="0" w:color="auto"/>
          </w:divBdr>
        </w:div>
        <w:div w:id="1373383325">
          <w:marLeft w:val="640"/>
          <w:marRight w:val="0"/>
          <w:marTop w:val="0"/>
          <w:marBottom w:val="0"/>
          <w:divBdr>
            <w:top w:val="none" w:sz="0" w:space="0" w:color="auto"/>
            <w:left w:val="none" w:sz="0" w:space="0" w:color="auto"/>
            <w:bottom w:val="none" w:sz="0" w:space="0" w:color="auto"/>
            <w:right w:val="none" w:sz="0" w:space="0" w:color="auto"/>
          </w:divBdr>
        </w:div>
        <w:div w:id="1353996787">
          <w:marLeft w:val="640"/>
          <w:marRight w:val="0"/>
          <w:marTop w:val="0"/>
          <w:marBottom w:val="0"/>
          <w:divBdr>
            <w:top w:val="none" w:sz="0" w:space="0" w:color="auto"/>
            <w:left w:val="none" w:sz="0" w:space="0" w:color="auto"/>
            <w:bottom w:val="none" w:sz="0" w:space="0" w:color="auto"/>
            <w:right w:val="none" w:sz="0" w:space="0" w:color="auto"/>
          </w:divBdr>
        </w:div>
        <w:div w:id="1897816470">
          <w:marLeft w:val="640"/>
          <w:marRight w:val="0"/>
          <w:marTop w:val="0"/>
          <w:marBottom w:val="0"/>
          <w:divBdr>
            <w:top w:val="none" w:sz="0" w:space="0" w:color="auto"/>
            <w:left w:val="none" w:sz="0" w:space="0" w:color="auto"/>
            <w:bottom w:val="none" w:sz="0" w:space="0" w:color="auto"/>
            <w:right w:val="none" w:sz="0" w:space="0" w:color="auto"/>
          </w:divBdr>
        </w:div>
        <w:div w:id="1557282070">
          <w:marLeft w:val="640"/>
          <w:marRight w:val="0"/>
          <w:marTop w:val="0"/>
          <w:marBottom w:val="0"/>
          <w:divBdr>
            <w:top w:val="none" w:sz="0" w:space="0" w:color="auto"/>
            <w:left w:val="none" w:sz="0" w:space="0" w:color="auto"/>
            <w:bottom w:val="none" w:sz="0" w:space="0" w:color="auto"/>
            <w:right w:val="none" w:sz="0" w:space="0" w:color="auto"/>
          </w:divBdr>
        </w:div>
        <w:div w:id="424345857">
          <w:marLeft w:val="640"/>
          <w:marRight w:val="0"/>
          <w:marTop w:val="0"/>
          <w:marBottom w:val="0"/>
          <w:divBdr>
            <w:top w:val="none" w:sz="0" w:space="0" w:color="auto"/>
            <w:left w:val="none" w:sz="0" w:space="0" w:color="auto"/>
            <w:bottom w:val="none" w:sz="0" w:space="0" w:color="auto"/>
            <w:right w:val="none" w:sz="0" w:space="0" w:color="auto"/>
          </w:divBdr>
        </w:div>
        <w:div w:id="393941243">
          <w:marLeft w:val="640"/>
          <w:marRight w:val="0"/>
          <w:marTop w:val="0"/>
          <w:marBottom w:val="0"/>
          <w:divBdr>
            <w:top w:val="none" w:sz="0" w:space="0" w:color="auto"/>
            <w:left w:val="none" w:sz="0" w:space="0" w:color="auto"/>
            <w:bottom w:val="none" w:sz="0" w:space="0" w:color="auto"/>
            <w:right w:val="none" w:sz="0" w:space="0" w:color="auto"/>
          </w:divBdr>
        </w:div>
        <w:div w:id="1811898082">
          <w:marLeft w:val="640"/>
          <w:marRight w:val="0"/>
          <w:marTop w:val="0"/>
          <w:marBottom w:val="0"/>
          <w:divBdr>
            <w:top w:val="none" w:sz="0" w:space="0" w:color="auto"/>
            <w:left w:val="none" w:sz="0" w:space="0" w:color="auto"/>
            <w:bottom w:val="none" w:sz="0" w:space="0" w:color="auto"/>
            <w:right w:val="none" w:sz="0" w:space="0" w:color="auto"/>
          </w:divBdr>
        </w:div>
        <w:div w:id="404958813">
          <w:marLeft w:val="640"/>
          <w:marRight w:val="0"/>
          <w:marTop w:val="0"/>
          <w:marBottom w:val="0"/>
          <w:divBdr>
            <w:top w:val="none" w:sz="0" w:space="0" w:color="auto"/>
            <w:left w:val="none" w:sz="0" w:space="0" w:color="auto"/>
            <w:bottom w:val="none" w:sz="0" w:space="0" w:color="auto"/>
            <w:right w:val="none" w:sz="0" w:space="0" w:color="auto"/>
          </w:divBdr>
        </w:div>
        <w:div w:id="1064450895">
          <w:marLeft w:val="640"/>
          <w:marRight w:val="0"/>
          <w:marTop w:val="0"/>
          <w:marBottom w:val="0"/>
          <w:divBdr>
            <w:top w:val="none" w:sz="0" w:space="0" w:color="auto"/>
            <w:left w:val="none" w:sz="0" w:space="0" w:color="auto"/>
            <w:bottom w:val="none" w:sz="0" w:space="0" w:color="auto"/>
            <w:right w:val="none" w:sz="0" w:space="0" w:color="auto"/>
          </w:divBdr>
        </w:div>
        <w:div w:id="1478106595">
          <w:marLeft w:val="640"/>
          <w:marRight w:val="0"/>
          <w:marTop w:val="0"/>
          <w:marBottom w:val="0"/>
          <w:divBdr>
            <w:top w:val="none" w:sz="0" w:space="0" w:color="auto"/>
            <w:left w:val="none" w:sz="0" w:space="0" w:color="auto"/>
            <w:bottom w:val="none" w:sz="0" w:space="0" w:color="auto"/>
            <w:right w:val="none" w:sz="0" w:space="0" w:color="auto"/>
          </w:divBdr>
        </w:div>
        <w:div w:id="379986481">
          <w:marLeft w:val="640"/>
          <w:marRight w:val="0"/>
          <w:marTop w:val="0"/>
          <w:marBottom w:val="0"/>
          <w:divBdr>
            <w:top w:val="none" w:sz="0" w:space="0" w:color="auto"/>
            <w:left w:val="none" w:sz="0" w:space="0" w:color="auto"/>
            <w:bottom w:val="none" w:sz="0" w:space="0" w:color="auto"/>
            <w:right w:val="none" w:sz="0" w:space="0" w:color="auto"/>
          </w:divBdr>
        </w:div>
        <w:div w:id="953555756">
          <w:marLeft w:val="640"/>
          <w:marRight w:val="0"/>
          <w:marTop w:val="0"/>
          <w:marBottom w:val="0"/>
          <w:divBdr>
            <w:top w:val="none" w:sz="0" w:space="0" w:color="auto"/>
            <w:left w:val="none" w:sz="0" w:space="0" w:color="auto"/>
            <w:bottom w:val="none" w:sz="0" w:space="0" w:color="auto"/>
            <w:right w:val="none" w:sz="0" w:space="0" w:color="auto"/>
          </w:divBdr>
        </w:div>
        <w:div w:id="1767186018">
          <w:marLeft w:val="640"/>
          <w:marRight w:val="0"/>
          <w:marTop w:val="0"/>
          <w:marBottom w:val="0"/>
          <w:divBdr>
            <w:top w:val="none" w:sz="0" w:space="0" w:color="auto"/>
            <w:left w:val="none" w:sz="0" w:space="0" w:color="auto"/>
            <w:bottom w:val="none" w:sz="0" w:space="0" w:color="auto"/>
            <w:right w:val="none" w:sz="0" w:space="0" w:color="auto"/>
          </w:divBdr>
        </w:div>
        <w:div w:id="688946945">
          <w:marLeft w:val="640"/>
          <w:marRight w:val="0"/>
          <w:marTop w:val="0"/>
          <w:marBottom w:val="0"/>
          <w:divBdr>
            <w:top w:val="none" w:sz="0" w:space="0" w:color="auto"/>
            <w:left w:val="none" w:sz="0" w:space="0" w:color="auto"/>
            <w:bottom w:val="none" w:sz="0" w:space="0" w:color="auto"/>
            <w:right w:val="none" w:sz="0" w:space="0" w:color="auto"/>
          </w:divBdr>
        </w:div>
        <w:div w:id="1903830491">
          <w:marLeft w:val="640"/>
          <w:marRight w:val="0"/>
          <w:marTop w:val="0"/>
          <w:marBottom w:val="0"/>
          <w:divBdr>
            <w:top w:val="none" w:sz="0" w:space="0" w:color="auto"/>
            <w:left w:val="none" w:sz="0" w:space="0" w:color="auto"/>
            <w:bottom w:val="none" w:sz="0" w:space="0" w:color="auto"/>
            <w:right w:val="none" w:sz="0" w:space="0" w:color="auto"/>
          </w:divBdr>
        </w:div>
        <w:div w:id="1234924709">
          <w:marLeft w:val="640"/>
          <w:marRight w:val="0"/>
          <w:marTop w:val="0"/>
          <w:marBottom w:val="0"/>
          <w:divBdr>
            <w:top w:val="none" w:sz="0" w:space="0" w:color="auto"/>
            <w:left w:val="none" w:sz="0" w:space="0" w:color="auto"/>
            <w:bottom w:val="none" w:sz="0" w:space="0" w:color="auto"/>
            <w:right w:val="none" w:sz="0" w:space="0" w:color="auto"/>
          </w:divBdr>
        </w:div>
        <w:div w:id="44764012">
          <w:marLeft w:val="640"/>
          <w:marRight w:val="0"/>
          <w:marTop w:val="0"/>
          <w:marBottom w:val="0"/>
          <w:divBdr>
            <w:top w:val="none" w:sz="0" w:space="0" w:color="auto"/>
            <w:left w:val="none" w:sz="0" w:space="0" w:color="auto"/>
            <w:bottom w:val="none" w:sz="0" w:space="0" w:color="auto"/>
            <w:right w:val="none" w:sz="0" w:space="0" w:color="auto"/>
          </w:divBdr>
        </w:div>
        <w:div w:id="1275601496">
          <w:marLeft w:val="640"/>
          <w:marRight w:val="0"/>
          <w:marTop w:val="0"/>
          <w:marBottom w:val="0"/>
          <w:divBdr>
            <w:top w:val="none" w:sz="0" w:space="0" w:color="auto"/>
            <w:left w:val="none" w:sz="0" w:space="0" w:color="auto"/>
            <w:bottom w:val="none" w:sz="0" w:space="0" w:color="auto"/>
            <w:right w:val="none" w:sz="0" w:space="0" w:color="auto"/>
          </w:divBdr>
        </w:div>
        <w:div w:id="406193662">
          <w:marLeft w:val="640"/>
          <w:marRight w:val="0"/>
          <w:marTop w:val="0"/>
          <w:marBottom w:val="0"/>
          <w:divBdr>
            <w:top w:val="none" w:sz="0" w:space="0" w:color="auto"/>
            <w:left w:val="none" w:sz="0" w:space="0" w:color="auto"/>
            <w:bottom w:val="none" w:sz="0" w:space="0" w:color="auto"/>
            <w:right w:val="none" w:sz="0" w:space="0" w:color="auto"/>
          </w:divBdr>
        </w:div>
        <w:div w:id="1553038927">
          <w:marLeft w:val="640"/>
          <w:marRight w:val="0"/>
          <w:marTop w:val="0"/>
          <w:marBottom w:val="0"/>
          <w:divBdr>
            <w:top w:val="none" w:sz="0" w:space="0" w:color="auto"/>
            <w:left w:val="none" w:sz="0" w:space="0" w:color="auto"/>
            <w:bottom w:val="none" w:sz="0" w:space="0" w:color="auto"/>
            <w:right w:val="none" w:sz="0" w:space="0" w:color="auto"/>
          </w:divBdr>
        </w:div>
        <w:div w:id="1082726350">
          <w:marLeft w:val="640"/>
          <w:marRight w:val="0"/>
          <w:marTop w:val="0"/>
          <w:marBottom w:val="0"/>
          <w:divBdr>
            <w:top w:val="none" w:sz="0" w:space="0" w:color="auto"/>
            <w:left w:val="none" w:sz="0" w:space="0" w:color="auto"/>
            <w:bottom w:val="none" w:sz="0" w:space="0" w:color="auto"/>
            <w:right w:val="none" w:sz="0" w:space="0" w:color="auto"/>
          </w:divBdr>
        </w:div>
        <w:div w:id="919559561">
          <w:marLeft w:val="640"/>
          <w:marRight w:val="0"/>
          <w:marTop w:val="0"/>
          <w:marBottom w:val="0"/>
          <w:divBdr>
            <w:top w:val="none" w:sz="0" w:space="0" w:color="auto"/>
            <w:left w:val="none" w:sz="0" w:space="0" w:color="auto"/>
            <w:bottom w:val="none" w:sz="0" w:space="0" w:color="auto"/>
            <w:right w:val="none" w:sz="0" w:space="0" w:color="auto"/>
          </w:divBdr>
        </w:div>
        <w:div w:id="1966041125">
          <w:marLeft w:val="640"/>
          <w:marRight w:val="0"/>
          <w:marTop w:val="0"/>
          <w:marBottom w:val="0"/>
          <w:divBdr>
            <w:top w:val="none" w:sz="0" w:space="0" w:color="auto"/>
            <w:left w:val="none" w:sz="0" w:space="0" w:color="auto"/>
            <w:bottom w:val="none" w:sz="0" w:space="0" w:color="auto"/>
            <w:right w:val="none" w:sz="0" w:space="0" w:color="auto"/>
          </w:divBdr>
        </w:div>
        <w:div w:id="1919241710">
          <w:marLeft w:val="640"/>
          <w:marRight w:val="0"/>
          <w:marTop w:val="0"/>
          <w:marBottom w:val="0"/>
          <w:divBdr>
            <w:top w:val="none" w:sz="0" w:space="0" w:color="auto"/>
            <w:left w:val="none" w:sz="0" w:space="0" w:color="auto"/>
            <w:bottom w:val="none" w:sz="0" w:space="0" w:color="auto"/>
            <w:right w:val="none" w:sz="0" w:space="0" w:color="auto"/>
          </w:divBdr>
        </w:div>
        <w:div w:id="968559268">
          <w:marLeft w:val="640"/>
          <w:marRight w:val="0"/>
          <w:marTop w:val="0"/>
          <w:marBottom w:val="0"/>
          <w:divBdr>
            <w:top w:val="none" w:sz="0" w:space="0" w:color="auto"/>
            <w:left w:val="none" w:sz="0" w:space="0" w:color="auto"/>
            <w:bottom w:val="none" w:sz="0" w:space="0" w:color="auto"/>
            <w:right w:val="none" w:sz="0" w:space="0" w:color="auto"/>
          </w:divBdr>
        </w:div>
        <w:div w:id="1263953387">
          <w:marLeft w:val="640"/>
          <w:marRight w:val="0"/>
          <w:marTop w:val="0"/>
          <w:marBottom w:val="0"/>
          <w:divBdr>
            <w:top w:val="none" w:sz="0" w:space="0" w:color="auto"/>
            <w:left w:val="none" w:sz="0" w:space="0" w:color="auto"/>
            <w:bottom w:val="none" w:sz="0" w:space="0" w:color="auto"/>
            <w:right w:val="none" w:sz="0" w:space="0" w:color="auto"/>
          </w:divBdr>
        </w:div>
        <w:div w:id="223949228">
          <w:marLeft w:val="640"/>
          <w:marRight w:val="0"/>
          <w:marTop w:val="0"/>
          <w:marBottom w:val="0"/>
          <w:divBdr>
            <w:top w:val="none" w:sz="0" w:space="0" w:color="auto"/>
            <w:left w:val="none" w:sz="0" w:space="0" w:color="auto"/>
            <w:bottom w:val="none" w:sz="0" w:space="0" w:color="auto"/>
            <w:right w:val="none" w:sz="0" w:space="0" w:color="auto"/>
          </w:divBdr>
        </w:div>
        <w:div w:id="800538631">
          <w:marLeft w:val="640"/>
          <w:marRight w:val="0"/>
          <w:marTop w:val="0"/>
          <w:marBottom w:val="0"/>
          <w:divBdr>
            <w:top w:val="none" w:sz="0" w:space="0" w:color="auto"/>
            <w:left w:val="none" w:sz="0" w:space="0" w:color="auto"/>
            <w:bottom w:val="none" w:sz="0" w:space="0" w:color="auto"/>
            <w:right w:val="none" w:sz="0" w:space="0" w:color="auto"/>
          </w:divBdr>
        </w:div>
        <w:div w:id="1689939159">
          <w:marLeft w:val="640"/>
          <w:marRight w:val="0"/>
          <w:marTop w:val="0"/>
          <w:marBottom w:val="0"/>
          <w:divBdr>
            <w:top w:val="none" w:sz="0" w:space="0" w:color="auto"/>
            <w:left w:val="none" w:sz="0" w:space="0" w:color="auto"/>
            <w:bottom w:val="none" w:sz="0" w:space="0" w:color="auto"/>
            <w:right w:val="none" w:sz="0" w:space="0" w:color="auto"/>
          </w:divBdr>
        </w:div>
        <w:div w:id="340398352">
          <w:marLeft w:val="640"/>
          <w:marRight w:val="0"/>
          <w:marTop w:val="0"/>
          <w:marBottom w:val="0"/>
          <w:divBdr>
            <w:top w:val="none" w:sz="0" w:space="0" w:color="auto"/>
            <w:left w:val="none" w:sz="0" w:space="0" w:color="auto"/>
            <w:bottom w:val="none" w:sz="0" w:space="0" w:color="auto"/>
            <w:right w:val="none" w:sz="0" w:space="0" w:color="auto"/>
          </w:divBdr>
        </w:div>
        <w:div w:id="244842798">
          <w:marLeft w:val="640"/>
          <w:marRight w:val="0"/>
          <w:marTop w:val="0"/>
          <w:marBottom w:val="0"/>
          <w:divBdr>
            <w:top w:val="none" w:sz="0" w:space="0" w:color="auto"/>
            <w:left w:val="none" w:sz="0" w:space="0" w:color="auto"/>
            <w:bottom w:val="none" w:sz="0" w:space="0" w:color="auto"/>
            <w:right w:val="none" w:sz="0" w:space="0" w:color="auto"/>
          </w:divBdr>
        </w:div>
        <w:div w:id="1349987633">
          <w:marLeft w:val="640"/>
          <w:marRight w:val="0"/>
          <w:marTop w:val="0"/>
          <w:marBottom w:val="0"/>
          <w:divBdr>
            <w:top w:val="none" w:sz="0" w:space="0" w:color="auto"/>
            <w:left w:val="none" w:sz="0" w:space="0" w:color="auto"/>
            <w:bottom w:val="none" w:sz="0" w:space="0" w:color="auto"/>
            <w:right w:val="none" w:sz="0" w:space="0" w:color="auto"/>
          </w:divBdr>
        </w:div>
        <w:div w:id="1047684641">
          <w:marLeft w:val="640"/>
          <w:marRight w:val="0"/>
          <w:marTop w:val="0"/>
          <w:marBottom w:val="0"/>
          <w:divBdr>
            <w:top w:val="none" w:sz="0" w:space="0" w:color="auto"/>
            <w:left w:val="none" w:sz="0" w:space="0" w:color="auto"/>
            <w:bottom w:val="none" w:sz="0" w:space="0" w:color="auto"/>
            <w:right w:val="none" w:sz="0" w:space="0" w:color="auto"/>
          </w:divBdr>
        </w:div>
        <w:div w:id="668823669">
          <w:marLeft w:val="640"/>
          <w:marRight w:val="0"/>
          <w:marTop w:val="0"/>
          <w:marBottom w:val="0"/>
          <w:divBdr>
            <w:top w:val="none" w:sz="0" w:space="0" w:color="auto"/>
            <w:left w:val="none" w:sz="0" w:space="0" w:color="auto"/>
            <w:bottom w:val="none" w:sz="0" w:space="0" w:color="auto"/>
            <w:right w:val="none" w:sz="0" w:space="0" w:color="auto"/>
          </w:divBdr>
        </w:div>
        <w:div w:id="1803886060">
          <w:marLeft w:val="640"/>
          <w:marRight w:val="0"/>
          <w:marTop w:val="0"/>
          <w:marBottom w:val="0"/>
          <w:divBdr>
            <w:top w:val="none" w:sz="0" w:space="0" w:color="auto"/>
            <w:left w:val="none" w:sz="0" w:space="0" w:color="auto"/>
            <w:bottom w:val="none" w:sz="0" w:space="0" w:color="auto"/>
            <w:right w:val="none" w:sz="0" w:space="0" w:color="auto"/>
          </w:divBdr>
        </w:div>
        <w:div w:id="12193377">
          <w:marLeft w:val="640"/>
          <w:marRight w:val="0"/>
          <w:marTop w:val="0"/>
          <w:marBottom w:val="0"/>
          <w:divBdr>
            <w:top w:val="none" w:sz="0" w:space="0" w:color="auto"/>
            <w:left w:val="none" w:sz="0" w:space="0" w:color="auto"/>
            <w:bottom w:val="none" w:sz="0" w:space="0" w:color="auto"/>
            <w:right w:val="none" w:sz="0" w:space="0" w:color="auto"/>
          </w:divBdr>
        </w:div>
        <w:div w:id="475142785">
          <w:marLeft w:val="640"/>
          <w:marRight w:val="0"/>
          <w:marTop w:val="0"/>
          <w:marBottom w:val="0"/>
          <w:divBdr>
            <w:top w:val="none" w:sz="0" w:space="0" w:color="auto"/>
            <w:left w:val="none" w:sz="0" w:space="0" w:color="auto"/>
            <w:bottom w:val="none" w:sz="0" w:space="0" w:color="auto"/>
            <w:right w:val="none" w:sz="0" w:space="0" w:color="auto"/>
          </w:divBdr>
        </w:div>
        <w:div w:id="1358963421">
          <w:marLeft w:val="640"/>
          <w:marRight w:val="0"/>
          <w:marTop w:val="0"/>
          <w:marBottom w:val="0"/>
          <w:divBdr>
            <w:top w:val="none" w:sz="0" w:space="0" w:color="auto"/>
            <w:left w:val="none" w:sz="0" w:space="0" w:color="auto"/>
            <w:bottom w:val="none" w:sz="0" w:space="0" w:color="auto"/>
            <w:right w:val="none" w:sz="0" w:space="0" w:color="auto"/>
          </w:divBdr>
        </w:div>
        <w:div w:id="2007705739">
          <w:marLeft w:val="640"/>
          <w:marRight w:val="0"/>
          <w:marTop w:val="0"/>
          <w:marBottom w:val="0"/>
          <w:divBdr>
            <w:top w:val="none" w:sz="0" w:space="0" w:color="auto"/>
            <w:left w:val="none" w:sz="0" w:space="0" w:color="auto"/>
            <w:bottom w:val="none" w:sz="0" w:space="0" w:color="auto"/>
            <w:right w:val="none" w:sz="0" w:space="0" w:color="auto"/>
          </w:divBdr>
        </w:div>
        <w:div w:id="1810248180">
          <w:marLeft w:val="640"/>
          <w:marRight w:val="0"/>
          <w:marTop w:val="0"/>
          <w:marBottom w:val="0"/>
          <w:divBdr>
            <w:top w:val="none" w:sz="0" w:space="0" w:color="auto"/>
            <w:left w:val="none" w:sz="0" w:space="0" w:color="auto"/>
            <w:bottom w:val="none" w:sz="0" w:space="0" w:color="auto"/>
            <w:right w:val="none" w:sz="0" w:space="0" w:color="auto"/>
          </w:divBdr>
        </w:div>
        <w:div w:id="125634527">
          <w:marLeft w:val="640"/>
          <w:marRight w:val="0"/>
          <w:marTop w:val="0"/>
          <w:marBottom w:val="0"/>
          <w:divBdr>
            <w:top w:val="none" w:sz="0" w:space="0" w:color="auto"/>
            <w:left w:val="none" w:sz="0" w:space="0" w:color="auto"/>
            <w:bottom w:val="none" w:sz="0" w:space="0" w:color="auto"/>
            <w:right w:val="none" w:sz="0" w:space="0" w:color="auto"/>
          </w:divBdr>
        </w:div>
        <w:div w:id="1992558242">
          <w:marLeft w:val="640"/>
          <w:marRight w:val="0"/>
          <w:marTop w:val="0"/>
          <w:marBottom w:val="0"/>
          <w:divBdr>
            <w:top w:val="none" w:sz="0" w:space="0" w:color="auto"/>
            <w:left w:val="none" w:sz="0" w:space="0" w:color="auto"/>
            <w:bottom w:val="none" w:sz="0" w:space="0" w:color="auto"/>
            <w:right w:val="none" w:sz="0" w:space="0" w:color="auto"/>
          </w:divBdr>
        </w:div>
        <w:div w:id="1884438932">
          <w:marLeft w:val="640"/>
          <w:marRight w:val="0"/>
          <w:marTop w:val="0"/>
          <w:marBottom w:val="0"/>
          <w:divBdr>
            <w:top w:val="none" w:sz="0" w:space="0" w:color="auto"/>
            <w:left w:val="none" w:sz="0" w:space="0" w:color="auto"/>
            <w:bottom w:val="none" w:sz="0" w:space="0" w:color="auto"/>
            <w:right w:val="none" w:sz="0" w:space="0" w:color="auto"/>
          </w:divBdr>
        </w:div>
        <w:div w:id="1883319525">
          <w:marLeft w:val="640"/>
          <w:marRight w:val="0"/>
          <w:marTop w:val="0"/>
          <w:marBottom w:val="0"/>
          <w:divBdr>
            <w:top w:val="none" w:sz="0" w:space="0" w:color="auto"/>
            <w:left w:val="none" w:sz="0" w:space="0" w:color="auto"/>
            <w:bottom w:val="none" w:sz="0" w:space="0" w:color="auto"/>
            <w:right w:val="none" w:sz="0" w:space="0" w:color="auto"/>
          </w:divBdr>
        </w:div>
        <w:div w:id="1506507210">
          <w:marLeft w:val="640"/>
          <w:marRight w:val="0"/>
          <w:marTop w:val="0"/>
          <w:marBottom w:val="0"/>
          <w:divBdr>
            <w:top w:val="none" w:sz="0" w:space="0" w:color="auto"/>
            <w:left w:val="none" w:sz="0" w:space="0" w:color="auto"/>
            <w:bottom w:val="none" w:sz="0" w:space="0" w:color="auto"/>
            <w:right w:val="none" w:sz="0" w:space="0" w:color="auto"/>
          </w:divBdr>
        </w:div>
        <w:div w:id="1896701937">
          <w:marLeft w:val="640"/>
          <w:marRight w:val="0"/>
          <w:marTop w:val="0"/>
          <w:marBottom w:val="0"/>
          <w:divBdr>
            <w:top w:val="none" w:sz="0" w:space="0" w:color="auto"/>
            <w:left w:val="none" w:sz="0" w:space="0" w:color="auto"/>
            <w:bottom w:val="none" w:sz="0" w:space="0" w:color="auto"/>
            <w:right w:val="none" w:sz="0" w:space="0" w:color="auto"/>
          </w:divBdr>
        </w:div>
        <w:div w:id="1298755915">
          <w:marLeft w:val="640"/>
          <w:marRight w:val="0"/>
          <w:marTop w:val="0"/>
          <w:marBottom w:val="0"/>
          <w:divBdr>
            <w:top w:val="none" w:sz="0" w:space="0" w:color="auto"/>
            <w:left w:val="none" w:sz="0" w:space="0" w:color="auto"/>
            <w:bottom w:val="none" w:sz="0" w:space="0" w:color="auto"/>
            <w:right w:val="none" w:sz="0" w:space="0" w:color="auto"/>
          </w:divBdr>
        </w:div>
        <w:div w:id="1738747324">
          <w:marLeft w:val="640"/>
          <w:marRight w:val="0"/>
          <w:marTop w:val="0"/>
          <w:marBottom w:val="0"/>
          <w:divBdr>
            <w:top w:val="none" w:sz="0" w:space="0" w:color="auto"/>
            <w:left w:val="none" w:sz="0" w:space="0" w:color="auto"/>
            <w:bottom w:val="none" w:sz="0" w:space="0" w:color="auto"/>
            <w:right w:val="none" w:sz="0" w:space="0" w:color="auto"/>
          </w:divBdr>
        </w:div>
        <w:div w:id="292638097">
          <w:marLeft w:val="640"/>
          <w:marRight w:val="0"/>
          <w:marTop w:val="0"/>
          <w:marBottom w:val="0"/>
          <w:divBdr>
            <w:top w:val="none" w:sz="0" w:space="0" w:color="auto"/>
            <w:left w:val="none" w:sz="0" w:space="0" w:color="auto"/>
            <w:bottom w:val="none" w:sz="0" w:space="0" w:color="auto"/>
            <w:right w:val="none" w:sz="0" w:space="0" w:color="auto"/>
          </w:divBdr>
        </w:div>
        <w:div w:id="1079670486">
          <w:marLeft w:val="640"/>
          <w:marRight w:val="0"/>
          <w:marTop w:val="0"/>
          <w:marBottom w:val="0"/>
          <w:divBdr>
            <w:top w:val="none" w:sz="0" w:space="0" w:color="auto"/>
            <w:left w:val="none" w:sz="0" w:space="0" w:color="auto"/>
            <w:bottom w:val="none" w:sz="0" w:space="0" w:color="auto"/>
            <w:right w:val="none" w:sz="0" w:space="0" w:color="auto"/>
          </w:divBdr>
        </w:div>
        <w:div w:id="343167913">
          <w:marLeft w:val="640"/>
          <w:marRight w:val="0"/>
          <w:marTop w:val="0"/>
          <w:marBottom w:val="0"/>
          <w:divBdr>
            <w:top w:val="none" w:sz="0" w:space="0" w:color="auto"/>
            <w:left w:val="none" w:sz="0" w:space="0" w:color="auto"/>
            <w:bottom w:val="none" w:sz="0" w:space="0" w:color="auto"/>
            <w:right w:val="none" w:sz="0" w:space="0" w:color="auto"/>
          </w:divBdr>
        </w:div>
        <w:div w:id="695085656">
          <w:marLeft w:val="640"/>
          <w:marRight w:val="0"/>
          <w:marTop w:val="0"/>
          <w:marBottom w:val="0"/>
          <w:divBdr>
            <w:top w:val="none" w:sz="0" w:space="0" w:color="auto"/>
            <w:left w:val="none" w:sz="0" w:space="0" w:color="auto"/>
            <w:bottom w:val="none" w:sz="0" w:space="0" w:color="auto"/>
            <w:right w:val="none" w:sz="0" w:space="0" w:color="auto"/>
          </w:divBdr>
        </w:div>
        <w:div w:id="193540386">
          <w:marLeft w:val="640"/>
          <w:marRight w:val="0"/>
          <w:marTop w:val="0"/>
          <w:marBottom w:val="0"/>
          <w:divBdr>
            <w:top w:val="none" w:sz="0" w:space="0" w:color="auto"/>
            <w:left w:val="none" w:sz="0" w:space="0" w:color="auto"/>
            <w:bottom w:val="none" w:sz="0" w:space="0" w:color="auto"/>
            <w:right w:val="none" w:sz="0" w:space="0" w:color="auto"/>
          </w:divBdr>
        </w:div>
        <w:div w:id="120735476">
          <w:marLeft w:val="640"/>
          <w:marRight w:val="0"/>
          <w:marTop w:val="0"/>
          <w:marBottom w:val="0"/>
          <w:divBdr>
            <w:top w:val="none" w:sz="0" w:space="0" w:color="auto"/>
            <w:left w:val="none" w:sz="0" w:space="0" w:color="auto"/>
            <w:bottom w:val="none" w:sz="0" w:space="0" w:color="auto"/>
            <w:right w:val="none" w:sz="0" w:space="0" w:color="auto"/>
          </w:divBdr>
        </w:div>
        <w:div w:id="218126872">
          <w:marLeft w:val="640"/>
          <w:marRight w:val="0"/>
          <w:marTop w:val="0"/>
          <w:marBottom w:val="0"/>
          <w:divBdr>
            <w:top w:val="none" w:sz="0" w:space="0" w:color="auto"/>
            <w:left w:val="none" w:sz="0" w:space="0" w:color="auto"/>
            <w:bottom w:val="none" w:sz="0" w:space="0" w:color="auto"/>
            <w:right w:val="none" w:sz="0" w:space="0" w:color="auto"/>
          </w:divBdr>
        </w:div>
        <w:div w:id="1691106381">
          <w:marLeft w:val="640"/>
          <w:marRight w:val="0"/>
          <w:marTop w:val="0"/>
          <w:marBottom w:val="0"/>
          <w:divBdr>
            <w:top w:val="none" w:sz="0" w:space="0" w:color="auto"/>
            <w:left w:val="none" w:sz="0" w:space="0" w:color="auto"/>
            <w:bottom w:val="none" w:sz="0" w:space="0" w:color="auto"/>
            <w:right w:val="none" w:sz="0" w:space="0" w:color="auto"/>
          </w:divBdr>
        </w:div>
        <w:div w:id="2121366976">
          <w:marLeft w:val="640"/>
          <w:marRight w:val="0"/>
          <w:marTop w:val="0"/>
          <w:marBottom w:val="0"/>
          <w:divBdr>
            <w:top w:val="none" w:sz="0" w:space="0" w:color="auto"/>
            <w:left w:val="none" w:sz="0" w:space="0" w:color="auto"/>
            <w:bottom w:val="none" w:sz="0" w:space="0" w:color="auto"/>
            <w:right w:val="none" w:sz="0" w:space="0" w:color="auto"/>
          </w:divBdr>
        </w:div>
        <w:div w:id="1328361098">
          <w:marLeft w:val="640"/>
          <w:marRight w:val="0"/>
          <w:marTop w:val="0"/>
          <w:marBottom w:val="0"/>
          <w:divBdr>
            <w:top w:val="none" w:sz="0" w:space="0" w:color="auto"/>
            <w:left w:val="none" w:sz="0" w:space="0" w:color="auto"/>
            <w:bottom w:val="none" w:sz="0" w:space="0" w:color="auto"/>
            <w:right w:val="none" w:sz="0" w:space="0" w:color="auto"/>
          </w:divBdr>
        </w:div>
        <w:div w:id="55518383">
          <w:marLeft w:val="640"/>
          <w:marRight w:val="0"/>
          <w:marTop w:val="0"/>
          <w:marBottom w:val="0"/>
          <w:divBdr>
            <w:top w:val="none" w:sz="0" w:space="0" w:color="auto"/>
            <w:left w:val="none" w:sz="0" w:space="0" w:color="auto"/>
            <w:bottom w:val="none" w:sz="0" w:space="0" w:color="auto"/>
            <w:right w:val="none" w:sz="0" w:space="0" w:color="auto"/>
          </w:divBdr>
        </w:div>
        <w:div w:id="1645893243">
          <w:marLeft w:val="640"/>
          <w:marRight w:val="0"/>
          <w:marTop w:val="0"/>
          <w:marBottom w:val="0"/>
          <w:divBdr>
            <w:top w:val="none" w:sz="0" w:space="0" w:color="auto"/>
            <w:left w:val="none" w:sz="0" w:space="0" w:color="auto"/>
            <w:bottom w:val="none" w:sz="0" w:space="0" w:color="auto"/>
            <w:right w:val="none" w:sz="0" w:space="0" w:color="auto"/>
          </w:divBdr>
        </w:div>
        <w:div w:id="1390809203">
          <w:marLeft w:val="640"/>
          <w:marRight w:val="0"/>
          <w:marTop w:val="0"/>
          <w:marBottom w:val="0"/>
          <w:divBdr>
            <w:top w:val="none" w:sz="0" w:space="0" w:color="auto"/>
            <w:left w:val="none" w:sz="0" w:space="0" w:color="auto"/>
            <w:bottom w:val="none" w:sz="0" w:space="0" w:color="auto"/>
            <w:right w:val="none" w:sz="0" w:space="0" w:color="auto"/>
          </w:divBdr>
        </w:div>
        <w:div w:id="95289837">
          <w:marLeft w:val="640"/>
          <w:marRight w:val="0"/>
          <w:marTop w:val="0"/>
          <w:marBottom w:val="0"/>
          <w:divBdr>
            <w:top w:val="none" w:sz="0" w:space="0" w:color="auto"/>
            <w:left w:val="none" w:sz="0" w:space="0" w:color="auto"/>
            <w:bottom w:val="none" w:sz="0" w:space="0" w:color="auto"/>
            <w:right w:val="none" w:sz="0" w:space="0" w:color="auto"/>
          </w:divBdr>
        </w:div>
        <w:div w:id="1947224622">
          <w:marLeft w:val="640"/>
          <w:marRight w:val="0"/>
          <w:marTop w:val="0"/>
          <w:marBottom w:val="0"/>
          <w:divBdr>
            <w:top w:val="none" w:sz="0" w:space="0" w:color="auto"/>
            <w:left w:val="none" w:sz="0" w:space="0" w:color="auto"/>
            <w:bottom w:val="none" w:sz="0" w:space="0" w:color="auto"/>
            <w:right w:val="none" w:sz="0" w:space="0" w:color="auto"/>
          </w:divBdr>
        </w:div>
        <w:div w:id="1636446843">
          <w:marLeft w:val="640"/>
          <w:marRight w:val="0"/>
          <w:marTop w:val="0"/>
          <w:marBottom w:val="0"/>
          <w:divBdr>
            <w:top w:val="none" w:sz="0" w:space="0" w:color="auto"/>
            <w:left w:val="none" w:sz="0" w:space="0" w:color="auto"/>
            <w:bottom w:val="none" w:sz="0" w:space="0" w:color="auto"/>
            <w:right w:val="none" w:sz="0" w:space="0" w:color="auto"/>
          </w:divBdr>
        </w:div>
        <w:div w:id="547227536">
          <w:marLeft w:val="640"/>
          <w:marRight w:val="0"/>
          <w:marTop w:val="0"/>
          <w:marBottom w:val="0"/>
          <w:divBdr>
            <w:top w:val="none" w:sz="0" w:space="0" w:color="auto"/>
            <w:left w:val="none" w:sz="0" w:space="0" w:color="auto"/>
            <w:bottom w:val="none" w:sz="0" w:space="0" w:color="auto"/>
            <w:right w:val="none" w:sz="0" w:space="0" w:color="auto"/>
          </w:divBdr>
        </w:div>
        <w:div w:id="647172126">
          <w:marLeft w:val="640"/>
          <w:marRight w:val="0"/>
          <w:marTop w:val="0"/>
          <w:marBottom w:val="0"/>
          <w:divBdr>
            <w:top w:val="none" w:sz="0" w:space="0" w:color="auto"/>
            <w:left w:val="none" w:sz="0" w:space="0" w:color="auto"/>
            <w:bottom w:val="none" w:sz="0" w:space="0" w:color="auto"/>
            <w:right w:val="none" w:sz="0" w:space="0" w:color="auto"/>
          </w:divBdr>
        </w:div>
        <w:div w:id="1829321375">
          <w:marLeft w:val="640"/>
          <w:marRight w:val="0"/>
          <w:marTop w:val="0"/>
          <w:marBottom w:val="0"/>
          <w:divBdr>
            <w:top w:val="none" w:sz="0" w:space="0" w:color="auto"/>
            <w:left w:val="none" w:sz="0" w:space="0" w:color="auto"/>
            <w:bottom w:val="none" w:sz="0" w:space="0" w:color="auto"/>
            <w:right w:val="none" w:sz="0" w:space="0" w:color="auto"/>
          </w:divBdr>
        </w:div>
        <w:div w:id="2024932739">
          <w:marLeft w:val="640"/>
          <w:marRight w:val="0"/>
          <w:marTop w:val="0"/>
          <w:marBottom w:val="0"/>
          <w:divBdr>
            <w:top w:val="none" w:sz="0" w:space="0" w:color="auto"/>
            <w:left w:val="none" w:sz="0" w:space="0" w:color="auto"/>
            <w:bottom w:val="none" w:sz="0" w:space="0" w:color="auto"/>
            <w:right w:val="none" w:sz="0" w:space="0" w:color="auto"/>
          </w:divBdr>
        </w:div>
      </w:divsChild>
    </w:div>
    <w:div w:id="249773738">
      <w:bodyDiv w:val="1"/>
      <w:marLeft w:val="0"/>
      <w:marRight w:val="0"/>
      <w:marTop w:val="0"/>
      <w:marBottom w:val="0"/>
      <w:divBdr>
        <w:top w:val="none" w:sz="0" w:space="0" w:color="auto"/>
        <w:left w:val="none" w:sz="0" w:space="0" w:color="auto"/>
        <w:bottom w:val="none" w:sz="0" w:space="0" w:color="auto"/>
        <w:right w:val="none" w:sz="0" w:space="0" w:color="auto"/>
      </w:divBdr>
    </w:div>
    <w:div w:id="253055850">
      <w:bodyDiv w:val="1"/>
      <w:marLeft w:val="0"/>
      <w:marRight w:val="0"/>
      <w:marTop w:val="0"/>
      <w:marBottom w:val="0"/>
      <w:divBdr>
        <w:top w:val="none" w:sz="0" w:space="0" w:color="auto"/>
        <w:left w:val="none" w:sz="0" w:space="0" w:color="auto"/>
        <w:bottom w:val="none" w:sz="0" w:space="0" w:color="auto"/>
        <w:right w:val="none" w:sz="0" w:space="0" w:color="auto"/>
      </w:divBdr>
    </w:div>
    <w:div w:id="255211710">
      <w:bodyDiv w:val="1"/>
      <w:marLeft w:val="0"/>
      <w:marRight w:val="0"/>
      <w:marTop w:val="0"/>
      <w:marBottom w:val="0"/>
      <w:divBdr>
        <w:top w:val="none" w:sz="0" w:space="0" w:color="auto"/>
        <w:left w:val="none" w:sz="0" w:space="0" w:color="auto"/>
        <w:bottom w:val="none" w:sz="0" w:space="0" w:color="auto"/>
        <w:right w:val="none" w:sz="0" w:space="0" w:color="auto"/>
      </w:divBdr>
    </w:div>
    <w:div w:id="256136731">
      <w:bodyDiv w:val="1"/>
      <w:marLeft w:val="0"/>
      <w:marRight w:val="0"/>
      <w:marTop w:val="0"/>
      <w:marBottom w:val="0"/>
      <w:divBdr>
        <w:top w:val="none" w:sz="0" w:space="0" w:color="auto"/>
        <w:left w:val="none" w:sz="0" w:space="0" w:color="auto"/>
        <w:bottom w:val="none" w:sz="0" w:space="0" w:color="auto"/>
        <w:right w:val="none" w:sz="0" w:space="0" w:color="auto"/>
      </w:divBdr>
    </w:div>
    <w:div w:id="260115637">
      <w:bodyDiv w:val="1"/>
      <w:marLeft w:val="0"/>
      <w:marRight w:val="0"/>
      <w:marTop w:val="0"/>
      <w:marBottom w:val="0"/>
      <w:divBdr>
        <w:top w:val="none" w:sz="0" w:space="0" w:color="auto"/>
        <w:left w:val="none" w:sz="0" w:space="0" w:color="auto"/>
        <w:bottom w:val="none" w:sz="0" w:space="0" w:color="auto"/>
        <w:right w:val="none" w:sz="0" w:space="0" w:color="auto"/>
      </w:divBdr>
    </w:div>
    <w:div w:id="263922785">
      <w:bodyDiv w:val="1"/>
      <w:marLeft w:val="0"/>
      <w:marRight w:val="0"/>
      <w:marTop w:val="0"/>
      <w:marBottom w:val="0"/>
      <w:divBdr>
        <w:top w:val="none" w:sz="0" w:space="0" w:color="auto"/>
        <w:left w:val="none" w:sz="0" w:space="0" w:color="auto"/>
        <w:bottom w:val="none" w:sz="0" w:space="0" w:color="auto"/>
        <w:right w:val="none" w:sz="0" w:space="0" w:color="auto"/>
      </w:divBdr>
    </w:div>
    <w:div w:id="266432179">
      <w:bodyDiv w:val="1"/>
      <w:marLeft w:val="0"/>
      <w:marRight w:val="0"/>
      <w:marTop w:val="0"/>
      <w:marBottom w:val="0"/>
      <w:divBdr>
        <w:top w:val="none" w:sz="0" w:space="0" w:color="auto"/>
        <w:left w:val="none" w:sz="0" w:space="0" w:color="auto"/>
        <w:bottom w:val="none" w:sz="0" w:space="0" w:color="auto"/>
        <w:right w:val="none" w:sz="0" w:space="0" w:color="auto"/>
      </w:divBdr>
    </w:div>
    <w:div w:id="267323812">
      <w:bodyDiv w:val="1"/>
      <w:marLeft w:val="0"/>
      <w:marRight w:val="0"/>
      <w:marTop w:val="0"/>
      <w:marBottom w:val="0"/>
      <w:divBdr>
        <w:top w:val="none" w:sz="0" w:space="0" w:color="auto"/>
        <w:left w:val="none" w:sz="0" w:space="0" w:color="auto"/>
        <w:bottom w:val="none" w:sz="0" w:space="0" w:color="auto"/>
        <w:right w:val="none" w:sz="0" w:space="0" w:color="auto"/>
      </w:divBdr>
    </w:div>
    <w:div w:id="268970536">
      <w:bodyDiv w:val="1"/>
      <w:marLeft w:val="0"/>
      <w:marRight w:val="0"/>
      <w:marTop w:val="0"/>
      <w:marBottom w:val="0"/>
      <w:divBdr>
        <w:top w:val="none" w:sz="0" w:space="0" w:color="auto"/>
        <w:left w:val="none" w:sz="0" w:space="0" w:color="auto"/>
        <w:bottom w:val="none" w:sz="0" w:space="0" w:color="auto"/>
        <w:right w:val="none" w:sz="0" w:space="0" w:color="auto"/>
      </w:divBdr>
    </w:div>
    <w:div w:id="270624116">
      <w:bodyDiv w:val="1"/>
      <w:marLeft w:val="0"/>
      <w:marRight w:val="0"/>
      <w:marTop w:val="0"/>
      <w:marBottom w:val="0"/>
      <w:divBdr>
        <w:top w:val="none" w:sz="0" w:space="0" w:color="auto"/>
        <w:left w:val="none" w:sz="0" w:space="0" w:color="auto"/>
        <w:bottom w:val="none" w:sz="0" w:space="0" w:color="auto"/>
        <w:right w:val="none" w:sz="0" w:space="0" w:color="auto"/>
      </w:divBdr>
    </w:div>
    <w:div w:id="270669246">
      <w:bodyDiv w:val="1"/>
      <w:marLeft w:val="0"/>
      <w:marRight w:val="0"/>
      <w:marTop w:val="0"/>
      <w:marBottom w:val="0"/>
      <w:divBdr>
        <w:top w:val="none" w:sz="0" w:space="0" w:color="auto"/>
        <w:left w:val="none" w:sz="0" w:space="0" w:color="auto"/>
        <w:bottom w:val="none" w:sz="0" w:space="0" w:color="auto"/>
        <w:right w:val="none" w:sz="0" w:space="0" w:color="auto"/>
      </w:divBdr>
    </w:div>
    <w:div w:id="273905568">
      <w:bodyDiv w:val="1"/>
      <w:marLeft w:val="0"/>
      <w:marRight w:val="0"/>
      <w:marTop w:val="0"/>
      <w:marBottom w:val="0"/>
      <w:divBdr>
        <w:top w:val="none" w:sz="0" w:space="0" w:color="auto"/>
        <w:left w:val="none" w:sz="0" w:space="0" w:color="auto"/>
        <w:bottom w:val="none" w:sz="0" w:space="0" w:color="auto"/>
        <w:right w:val="none" w:sz="0" w:space="0" w:color="auto"/>
      </w:divBdr>
    </w:div>
    <w:div w:id="274336814">
      <w:bodyDiv w:val="1"/>
      <w:marLeft w:val="0"/>
      <w:marRight w:val="0"/>
      <w:marTop w:val="0"/>
      <w:marBottom w:val="0"/>
      <w:divBdr>
        <w:top w:val="none" w:sz="0" w:space="0" w:color="auto"/>
        <w:left w:val="none" w:sz="0" w:space="0" w:color="auto"/>
        <w:bottom w:val="none" w:sz="0" w:space="0" w:color="auto"/>
        <w:right w:val="none" w:sz="0" w:space="0" w:color="auto"/>
      </w:divBdr>
    </w:div>
    <w:div w:id="276760951">
      <w:bodyDiv w:val="1"/>
      <w:marLeft w:val="0"/>
      <w:marRight w:val="0"/>
      <w:marTop w:val="0"/>
      <w:marBottom w:val="0"/>
      <w:divBdr>
        <w:top w:val="none" w:sz="0" w:space="0" w:color="auto"/>
        <w:left w:val="none" w:sz="0" w:space="0" w:color="auto"/>
        <w:bottom w:val="none" w:sz="0" w:space="0" w:color="auto"/>
        <w:right w:val="none" w:sz="0" w:space="0" w:color="auto"/>
      </w:divBdr>
    </w:div>
    <w:div w:id="284312020">
      <w:bodyDiv w:val="1"/>
      <w:marLeft w:val="0"/>
      <w:marRight w:val="0"/>
      <w:marTop w:val="0"/>
      <w:marBottom w:val="0"/>
      <w:divBdr>
        <w:top w:val="none" w:sz="0" w:space="0" w:color="auto"/>
        <w:left w:val="none" w:sz="0" w:space="0" w:color="auto"/>
        <w:bottom w:val="none" w:sz="0" w:space="0" w:color="auto"/>
        <w:right w:val="none" w:sz="0" w:space="0" w:color="auto"/>
      </w:divBdr>
    </w:div>
    <w:div w:id="284699009">
      <w:bodyDiv w:val="1"/>
      <w:marLeft w:val="0"/>
      <w:marRight w:val="0"/>
      <w:marTop w:val="0"/>
      <w:marBottom w:val="0"/>
      <w:divBdr>
        <w:top w:val="none" w:sz="0" w:space="0" w:color="auto"/>
        <w:left w:val="none" w:sz="0" w:space="0" w:color="auto"/>
        <w:bottom w:val="none" w:sz="0" w:space="0" w:color="auto"/>
        <w:right w:val="none" w:sz="0" w:space="0" w:color="auto"/>
      </w:divBdr>
    </w:div>
    <w:div w:id="285623558">
      <w:bodyDiv w:val="1"/>
      <w:marLeft w:val="0"/>
      <w:marRight w:val="0"/>
      <w:marTop w:val="0"/>
      <w:marBottom w:val="0"/>
      <w:divBdr>
        <w:top w:val="none" w:sz="0" w:space="0" w:color="auto"/>
        <w:left w:val="none" w:sz="0" w:space="0" w:color="auto"/>
        <w:bottom w:val="none" w:sz="0" w:space="0" w:color="auto"/>
        <w:right w:val="none" w:sz="0" w:space="0" w:color="auto"/>
      </w:divBdr>
    </w:div>
    <w:div w:id="287665507">
      <w:bodyDiv w:val="1"/>
      <w:marLeft w:val="0"/>
      <w:marRight w:val="0"/>
      <w:marTop w:val="0"/>
      <w:marBottom w:val="0"/>
      <w:divBdr>
        <w:top w:val="none" w:sz="0" w:space="0" w:color="auto"/>
        <w:left w:val="none" w:sz="0" w:space="0" w:color="auto"/>
        <w:bottom w:val="none" w:sz="0" w:space="0" w:color="auto"/>
        <w:right w:val="none" w:sz="0" w:space="0" w:color="auto"/>
      </w:divBdr>
    </w:div>
    <w:div w:id="291373722">
      <w:bodyDiv w:val="1"/>
      <w:marLeft w:val="0"/>
      <w:marRight w:val="0"/>
      <w:marTop w:val="0"/>
      <w:marBottom w:val="0"/>
      <w:divBdr>
        <w:top w:val="none" w:sz="0" w:space="0" w:color="auto"/>
        <w:left w:val="none" w:sz="0" w:space="0" w:color="auto"/>
        <w:bottom w:val="none" w:sz="0" w:space="0" w:color="auto"/>
        <w:right w:val="none" w:sz="0" w:space="0" w:color="auto"/>
      </w:divBdr>
    </w:div>
    <w:div w:id="291523396">
      <w:bodyDiv w:val="1"/>
      <w:marLeft w:val="0"/>
      <w:marRight w:val="0"/>
      <w:marTop w:val="0"/>
      <w:marBottom w:val="0"/>
      <w:divBdr>
        <w:top w:val="none" w:sz="0" w:space="0" w:color="auto"/>
        <w:left w:val="none" w:sz="0" w:space="0" w:color="auto"/>
        <w:bottom w:val="none" w:sz="0" w:space="0" w:color="auto"/>
        <w:right w:val="none" w:sz="0" w:space="0" w:color="auto"/>
      </w:divBdr>
    </w:div>
    <w:div w:id="292370895">
      <w:bodyDiv w:val="1"/>
      <w:marLeft w:val="0"/>
      <w:marRight w:val="0"/>
      <w:marTop w:val="0"/>
      <w:marBottom w:val="0"/>
      <w:divBdr>
        <w:top w:val="none" w:sz="0" w:space="0" w:color="auto"/>
        <w:left w:val="none" w:sz="0" w:space="0" w:color="auto"/>
        <w:bottom w:val="none" w:sz="0" w:space="0" w:color="auto"/>
        <w:right w:val="none" w:sz="0" w:space="0" w:color="auto"/>
      </w:divBdr>
    </w:div>
    <w:div w:id="292489786">
      <w:bodyDiv w:val="1"/>
      <w:marLeft w:val="0"/>
      <w:marRight w:val="0"/>
      <w:marTop w:val="0"/>
      <w:marBottom w:val="0"/>
      <w:divBdr>
        <w:top w:val="none" w:sz="0" w:space="0" w:color="auto"/>
        <w:left w:val="none" w:sz="0" w:space="0" w:color="auto"/>
        <w:bottom w:val="none" w:sz="0" w:space="0" w:color="auto"/>
        <w:right w:val="none" w:sz="0" w:space="0" w:color="auto"/>
      </w:divBdr>
    </w:div>
    <w:div w:id="296228167">
      <w:bodyDiv w:val="1"/>
      <w:marLeft w:val="0"/>
      <w:marRight w:val="0"/>
      <w:marTop w:val="0"/>
      <w:marBottom w:val="0"/>
      <w:divBdr>
        <w:top w:val="none" w:sz="0" w:space="0" w:color="auto"/>
        <w:left w:val="none" w:sz="0" w:space="0" w:color="auto"/>
        <w:bottom w:val="none" w:sz="0" w:space="0" w:color="auto"/>
        <w:right w:val="none" w:sz="0" w:space="0" w:color="auto"/>
      </w:divBdr>
    </w:div>
    <w:div w:id="297731155">
      <w:bodyDiv w:val="1"/>
      <w:marLeft w:val="0"/>
      <w:marRight w:val="0"/>
      <w:marTop w:val="0"/>
      <w:marBottom w:val="0"/>
      <w:divBdr>
        <w:top w:val="none" w:sz="0" w:space="0" w:color="auto"/>
        <w:left w:val="none" w:sz="0" w:space="0" w:color="auto"/>
        <w:bottom w:val="none" w:sz="0" w:space="0" w:color="auto"/>
        <w:right w:val="none" w:sz="0" w:space="0" w:color="auto"/>
      </w:divBdr>
    </w:div>
    <w:div w:id="298338824">
      <w:bodyDiv w:val="1"/>
      <w:marLeft w:val="0"/>
      <w:marRight w:val="0"/>
      <w:marTop w:val="0"/>
      <w:marBottom w:val="0"/>
      <w:divBdr>
        <w:top w:val="none" w:sz="0" w:space="0" w:color="auto"/>
        <w:left w:val="none" w:sz="0" w:space="0" w:color="auto"/>
        <w:bottom w:val="none" w:sz="0" w:space="0" w:color="auto"/>
        <w:right w:val="none" w:sz="0" w:space="0" w:color="auto"/>
      </w:divBdr>
    </w:div>
    <w:div w:id="300892559">
      <w:bodyDiv w:val="1"/>
      <w:marLeft w:val="0"/>
      <w:marRight w:val="0"/>
      <w:marTop w:val="0"/>
      <w:marBottom w:val="0"/>
      <w:divBdr>
        <w:top w:val="none" w:sz="0" w:space="0" w:color="auto"/>
        <w:left w:val="none" w:sz="0" w:space="0" w:color="auto"/>
        <w:bottom w:val="none" w:sz="0" w:space="0" w:color="auto"/>
        <w:right w:val="none" w:sz="0" w:space="0" w:color="auto"/>
      </w:divBdr>
    </w:div>
    <w:div w:id="301034874">
      <w:bodyDiv w:val="1"/>
      <w:marLeft w:val="0"/>
      <w:marRight w:val="0"/>
      <w:marTop w:val="0"/>
      <w:marBottom w:val="0"/>
      <w:divBdr>
        <w:top w:val="none" w:sz="0" w:space="0" w:color="auto"/>
        <w:left w:val="none" w:sz="0" w:space="0" w:color="auto"/>
        <w:bottom w:val="none" w:sz="0" w:space="0" w:color="auto"/>
        <w:right w:val="none" w:sz="0" w:space="0" w:color="auto"/>
      </w:divBdr>
      <w:divsChild>
        <w:div w:id="15040170">
          <w:marLeft w:val="480"/>
          <w:marRight w:val="0"/>
          <w:marTop w:val="0"/>
          <w:marBottom w:val="0"/>
          <w:divBdr>
            <w:top w:val="none" w:sz="0" w:space="0" w:color="auto"/>
            <w:left w:val="none" w:sz="0" w:space="0" w:color="auto"/>
            <w:bottom w:val="none" w:sz="0" w:space="0" w:color="auto"/>
            <w:right w:val="none" w:sz="0" w:space="0" w:color="auto"/>
          </w:divBdr>
        </w:div>
        <w:div w:id="1515834">
          <w:marLeft w:val="480"/>
          <w:marRight w:val="0"/>
          <w:marTop w:val="0"/>
          <w:marBottom w:val="0"/>
          <w:divBdr>
            <w:top w:val="none" w:sz="0" w:space="0" w:color="auto"/>
            <w:left w:val="none" w:sz="0" w:space="0" w:color="auto"/>
            <w:bottom w:val="none" w:sz="0" w:space="0" w:color="auto"/>
            <w:right w:val="none" w:sz="0" w:space="0" w:color="auto"/>
          </w:divBdr>
        </w:div>
        <w:div w:id="819539157">
          <w:marLeft w:val="480"/>
          <w:marRight w:val="0"/>
          <w:marTop w:val="0"/>
          <w:marBottom w:val="0"/>
          <w:divBdr>
            <w:top w:val="none" w:sz="0" w:space="0" w:color="auto"/>
            <w:left w:val="none" w:sz="0" w:space="0" w:color="auto"/>
            <w:bottom w:val="none" w:sz="0" w:space="0" w:color="auto"/>
            <w:right w:val="none" w:sz="0" w:space="0" w:color="auto"/>
          </w:divBdr>
        </w:div>
        <w:div w:id="88089917">
          <w:marLeft w:val="480"/>
          <w:marRight w:val="0"/>
          <w:marTop w:val="0"/>
          <w:marBottom w:val="0"/>
          <w:divBdr>
            <w:top w:val="none" w:sz="0" w:space="0" w:color="auto"/>
            <w:left w:val="none" w:sz="0" w:space="0" w:color="auto"/>
            <w:bottom w:val="none" w:sz="0" w:space="0" w:color="auto"/>
            <w:right w:val="none" w:sz="0" w:space="0" w:color="auto"/>
          </w:divBdr>
        </w:div>
        <w:div w:id="353462846">
          <w:marLeft w:val="480"/>
          <w:marRight w:val="0"/>
          <w:marTop w:val="0"/>
          <w:marBottom w:val="0"/>
          <w:divBdr>
            <w:top w:val="none" w:sz="0" w:space="0" w:color="auto"/>
            <w:left w:val="none" w:sz="0" w:space="0" w:color="auto"/>
            <w:bottom w:val="none" w:sz="0" w:space="0" w:color="auto"/>
            <w:right w:val="none" w:sz="0" w:space="0" w:color="auto"/>
          </w:divBdr>
        </w:div>
        <w:div w:id="1833450770">
          <w:marLeft w:val="480"/>
          <w:marRight w:val="0"/>
          <w:marTop w:val="0"/>
          <w:marBottom w:val="0"/>
          <w:divBdr>
            <w:top w:val="none" w:sz="0" w:space="0" w:color="auto"/>
            <w:left w:val="none" w:sz="0" w:space="0" w:color="auto"/>
            <w:bottom w:val="none" w:sz="0" w:space="0" w:color="auto"/>
            <w:right w:val="none" w:sz="0" w:space="0" w:color="auto"/>
          </w:divBdr>
        </w:div>
        <w:div w:id="1976982526">
          <w:marLeft w:val="480"/>
          <w:marRight w:val="0"/>
          <w:marTop w:val="0"/>
          <w:marBottom w:val="0"/>
          <w:divBdr>
            <w:top w:val="none" w:sz="0" w:space="0" w:color="auto"/>
            <w:left w:val="none" w:sz="0" w:space="0" w:color="auto"/>
            <w:bottom w:val="none" w:sz="0" w:space="0" w:color="auto"/>
            <w:right w:val="none" w:sz="0" w:space="0" w:color="auto"/>
          </w:divBdr>
        </w:div>
        <w:div w:id="1075935336">
          <w:marLeft w:val="480"/>
          <w:marRight w:val="0"/>
          <w:marTop w:val="0"/>
          <w:marBottom w:val="0"/>
          <w:divBdr>
            <w:top w:val="none" w:sz="0" w:space="0" w:color="auto"/>
            <w:left w:val="none" w:sz="0" w:space="0" w:color="auto"/>
            <w:bottom w:val="none" w:sz="0" w:space="0" w:color="auto"/>
            <w:right w:val="none" w:sz="0" w:space="0" w:color="auto"/>
          </w:divBdr>
        </w:div>
        <w:div w:id="1757677400">
          <w:marLeft w:val="480"/>
          <w:marRight w:val="0"/>
          <w:marTop w:val="0"/>
          <w:marBottom w:val="0"/>
          <w:divBdr>
            <w:top w:val="none" w:sz="0" w:space="0" w:color="auto"/>
            <w:left w:val="none" w:sz="0" w:space="0" w:color="auto"/>
            <w:bottom w:val="none" w:sz="0" w:space="0" w:color="auto"/>
            <w:right w:val="none" w:sz="0" w:space="0" w:color="auto"/>
          </w:divBdr>
        </w:div>
        <w:div w:id="956057957">
          <w:marLeft w:val="480"/>
          <w:marRight w:val="0"/>
          <w:marTop w:val="0"/>
          <w:marBottom w:val="0"/>
          <w:divBdr>
            <w:top w:val="none" w:sz="0" w:space="0" w:color="auto"/>
            <w:left w:val="none" w:sz="0" w:space="0" w:color="auto"/>
            <w:bottom w:val="none" w:sz="0" w:space="0" w:color="auto"/>
            <w:right w:val="none" w:sz="0" w:space="0" w:color="auto"/>
          </w:divBdr>
        </w:div>
        <w:div w:id="1097408918">
          <w:marLeft w:val="480"/>
          <w:marRight w:val="0"/>
          <w:marTop w:val="0"/>
          <w:marBottom w:val="0"/>
          <w:divBdr>
            <w:top w:val="none" w:sz="0" w:space="0" w:color="auto"/>
            <w:left w:val="none" w:sz="0" w:space="0" w:color="auto"/>
            <w:bottom w:val="none" w:sz="0" w:space="0" w:color="auto"/>
            <w:right w:val="none" w:sz="0" w:space="0" w:color="auto"/>
          </w:divBdr>
        </w:div>
        <w:div w:id="156697842">
          <w:marLeft w:val="480"/>
          <w:marRight w:val="0"/>
          <w:marTop w:val="0"/>
          <w:marBottom w:val="0"/>
          <w:divBdr>
            <w:top w:val="none" w:sz="0" w:space="0" w:color="auto"/>
            <w:left w:val="none" w:sz="0" w:space="0" w:color="auto"/>
            <w:bottom w:val="none" w:sz="0" w:space="0" w:color="auto"/>
            <w:right w:val="none" w:sz="0" w:space="0" w:color="auto"/>
          </w:divBdr>
        </w:div>
        <w:div w:id="880360230">
          <w:marLeft w:val="480"/>
          <w:marRight w:val="0"/>
          <w:marTop w:val="0"/>
          <w:marBottom w:val="0"/>
          <w:divBdr>
            <w:top w:val="none" w:sz="0" w:space="0" w:color="auto"/>
            <w:left w:val="none" w:sz="0" w:space="0" w:color="auto"/>
            <w:bottom w:val="none" w:sz="0" w:space="0" w:color="auto"/>
            <w:right w:val="none" w:sz="0" w:space="0" w:color="auto"/>
          </w:divBdr>
        </w:div>
        <w:div w:id="799035532">
          <w:marLeft w:val="480"/>
          <w:marRight w:val="0"/>
          <w:marTop w:val="0"/>
          <w:marBottom w:val="0"/>
          <w:divBdr>
            <w:top w:val="none" w:sz="0" w:space="0" w:color="auto"/>
            <w:left w:val="none" w:sz="0" w:space="0" w:color="auto"/>
            <w:bottom w:val="none" w:sz="0" w:space="0" w:color="auto"/>
            <w:right w:val="none" w:sz="0" w:space="0" w:color="auto"/>
          </w:divBdr>
        </w:div>
        <w:div w:id="483398560">
          <w:marLeft w:val="480"/>
          <w:marRight w:val="0"/>
          <w:marTop w:val="0"/>
          <w:marBottom w:val="0"/>
          <w:divBdr>
            <w:top w:val="none" w:sz="0" w:space="0" w:color="auto"/>
            <w:left w:val="none" w:sz="0" w:space="0" w:color="auto"/>
            <w:bottom w:val="none" w:sz="0" w:space="0" w:color="auto"/>
            <w:right w:val="none" w:sz="0" w:space="0" w:color="auto"/>
          </w:divBdr>
        </w:div>
        <w:div w:id="1823084808">
          <w:marLeft w:val="480"/>
          <w:marRight w:val="0"/>
          <w:marTop w:val="0"/>
          <w:marBottom w:val="0"/>
          <w:divBdr>
            <w:top w:val="none" w:sz="0" w:space="0" w:color="auto"/>
            <w:left w:val="none" w:sz="0" w:space="0" w:color="auto"/>
            <w:bottom w:val="none" w:sz="0" w:space="0" w:color="auto"/>
            <w:right w:val="none" w:sz="0" w:space="0" w:color="auto"/>
          </w:divBdr>
        </w:div>
        <w:div w:id="2079470475">
          <w:marLeft w:val="480"/>
          <w:marRight w:val="0"/>
          <w:marTop w:val="0"/>
          <w:marBottom w:val="0"/>
          <w:divBdr>
            <w:top w:val="none" w:sz="0" w:space="0" w:color="auto"/>
            <w:left w:val="none" w:sz="0" w:space="0" w:color="auto"/>
            <w:bottom w:val="none" w:sz="0" w:space="0" w:color="auto"/>
            <w:right w:val="none" w:sz="0" w:space="0" w:color="auto"/>
          </w:divBdr>
        </w:div>
        <w:div w:id="2146701682">
          <w:marLeft w:val="480"/>
          <w:marRight w:val="0"/>
          <w:marTop w:val="0"/>
          <w:marBottom w:val="0"/>
          <w:divBdr>
            <w:top w:val="none" w:sz="0" w:space="0" w:color="auto"/>
            <w:left w:val="none" w:sz="0" w:space="0" w:color="auto"/>
            <w:bottom w:val="none" w:sz="0" w:space="0" w:color="auto"/>
            <w:right w:val="none" w:sz="0" w:space="0" w:color="auto"/>
          </w:divBdr>
        </w:div>
        <w:div w:id="1511948269">
          <w:marLeft w:val="480"/>
          <w:marRight w:val="0"/>
          <w:marTop w:val="0"/>
          <w:marBottom w:val="0"/>
          <w:divBdr>
            <w:top w:val="none" w:sz="0" w:space="0" w:color="auto"/>
            <w:left w:val="none" w:sz="0" w:space="0" w:color="auto"/>
            <w:bottom w:val="none" w:sz="0" w:space="0" w:color="auto"/>
            <w:right w:val="none" w:sz="0" w:space="0" w:color="auto"/>
          </w:divBdr>
        </w:div>
        <w:div w:id="1400864382">
          <w:marLeft w:val="480"/>
          <w:marRight w:val="0"/>
          <w:marTop w:val="0"/>
          <w:marBottom w:val="0"/>
          <w:divBdr>
            <w:top w:val="none" w:sz="0" w:space="0" w:color="auto"/>
            <w:left w:val="none" w:sz="0" w:space="0" w:color="auto"/>
            <w:bottom w:val="none" w:sz="0" w:space="0" w:color="auto"/>
            <w:right w:val="none" w:sz="0" w:space="0" w:color="auto"/>
          </w:divBdr>
        </w:div>
        <w:div w:id="1677536660">
          <w:marLeft w:val="480"/>
          <w:marRight w:val="0"/>
          <w:marTop w:val="0"/>
          <w:marBottom w:val="0"/>
          <w:divBdr>
            <w:top w:val="none" w:sz="0" w:space="0" w:color="auto"/>
            <w:left w:val="none" w:sz="0" w:space="0" w:color="auto"/>
            <w:bottom w:val="none" w:sz="0" w:space="0" w:color="auto"/>
            <w:right w:val="none" w:sz="0" w:space="0" w:color="auto"/>
          </w:divBdr>
        </w:div>
        <w:div w:id="281156544">
          <w:marLeft w:val="480"/>
          <w:marRight w:val="0"/>
          <w:marTop w:val="0"/>
          <w:marBottom w:val="0"/>
          <w:divBdr>
            <w:top w:val="none" w:sz="0" w:space="0" w:color="auto"/>
            <w:left w:val="none" w:sz="0" w:space="0" w:color="auto"/>
            <w:bottom w:val="none" w:sz="0" w:space="0" w:color="auto"/>
            <w:right w:val="none" w:sz="0" w:space="0" w:color="auto"/>
          </w:divBdr>
        </w:div>
        <w:div w:id="351300395">
          <w:marLeft w:val="480"/>
          <w:marRight w:val="0"/>
          <w:marTop w:val="0"/>
          <w:marBottom w:val="0"/>
          <w:divBdr>
            <w:top w:val="none" w:sz="0" w:space="0" w:color="auto"/>
            <w:left w:val="none" w:sz="0" w:space="0" w:color="auto"/>
            <w:bottom w:val="none" w:sz="0" w:space="0" w:color="auto"/>
            <w:right w:val="none" w:sz="0" w:space="0" w:color="auto"/>
          </w:divBdr>
        </w:div>
        <w:div w:id="119694476">
          <w:marLeft w:val="480"/>
          <w:marRight w:val="0"/>
          <w:marTop w:val="0"/>
          <w:marBottom w:val="0"/>
          <w:divBdr>
            <w:top w:val="none" w:sz="0" w:space="0" w:color="auto"/>
            <w:left w:val="none" w:sz="0" w:space="0" w:color="auto"/>
            <w:bottom w:val="none" w:sz="0" w:space="0" w:color="auto"/>
            <w:right w:val="none" w:sz="0" w:space="0" w:color="auto"/>
          </w:divBdr>
        </w:div>
        <w:div w:id="1953903290">
          <w:marLeft w:val="480"/>
          <w:marRight w:val="0"/>
          <w:marTop w:val="0"/>
          <w:marBottom w:val="0"/>
          <w:divBdr>
            <w:top w:val="none" w:sz="0" w:space="0" w:color="auto"/>
            <w:left w:val="none" w:sz="0" w:space="0" w:color="auto"/>
            <w:bottom w:val="none" w:sz="0" w:space="0" w:color="auto"/>
            <w:right w:val="none" w:sz="0" w:space="0" w:color="auto"/>
          </w:divBdr>
        </w:div>
        <w:div w:id="761605186">
          <w:marLeft w:val="480"/>
          <w:marRight w:val="0"/>
          <w:marTop w:val="0"/>
          <w:marBottom w:val="0"/>
          <w:divBdr>
            <w:top w:val="none" w:sz="0" w:space="0" w:color="auto"/>
            <w:left w:val="none" w:sz="0" w:space="0" w:color="auto"/>
            <w:bottom w:val="none" w:sz="0" w:space="0" w:color="auto"/>
            <w:right w:val="none" w:sz="0" w:space="0" w:color="auto"/>
          </w:divBdr>
        </w:div>
        <w:div w:id="115679445">
          <w:marLeft w:val="480"/>
          <w:marRight w:val="0"/>
          <w:marTop w:val="0"/>
          <w:marBottom w:val="0"/>
          <w:divBdr>
            <w:top w:val="none" w:sz="0" w:space="0" w:color="auto"/>
            <w:left w:val="none" w:sz="0" w:space="0" w:color="auto"/>
            <w:bottom w:val="none" w:sz="0" w:space="0" w:color="auto"/>
            <w:right w:val="none" w:sz="0" w:space="0" w:color="auto"/>
          </w:divBdr>
        </w:div>
        <w:div w:id="479081020">
          <w:marLeft w:val="480"/>
          <w:marRight w:val="0"/>
          <w:marTop w:val="0"/>
          <w:marBottom w:val="0"/>
          <w:divBdr>
            <w:top w:val="none" w:sz="0" w:space="0" w:color="auto"/>
            <w:left w:val="none" w:sz="0" w:space="0" w:color="auto"/>
            <w:bottom w:val="none" w:sz="0" w:space="0" w:color="auto"/>
            <w:right w:val="none" w:sz="0" w:space="0" w:color="auto"/>
          </w:divBdr>
        </w:div>
        <w:div w:id="1171332845">
          <w:marLeft w:val="480"/>
          <w:marRight w:val="0"/>
          <w:marTop w:val="0"/>
          <w:marBottom w:val="0"/>
          <w:divBdr>
            <w:top w:val="none" w:sz="0" w:space="0" w:color="auto"/>
            <w:left w:val="none" w:sz="0" w:space="0" w:color="auto"/>
            <w:bottom w:val="none" w:sz="0" w:space="0" w:color="auto"/>
            <w:right w:val="none" w:sz="0" w:space="0" w:color="auto"/>
          </w:divBdr>
        </w:div>
        <w:div w:id="5326225">
          <w:marLeft w:val="480"/>
          <w:marRight w:val="0"/>
          <w:marTop w:val="0"/>
          <w:marBottom w:val="0"/>
          <w:divBdr>
            <w:top w:val="none" w:sz="0" w:space="0" w:color="auto"/>
            <w:left w:val="none" w:sz="0" w:space="0" w:color="auto"/>
            <w:bottom w:val="none" w:sz="0" w:space="0" w:color="auto"/>
            <w:right w:val="none" w:sz="0" w:space="0" w:color="auto"/>
          </w:divBdr>
        </w:div>
        <w:div w:id="1466048272">
          <w:marLeft w:val="480"/>
          <w:marRight w:val="0"/>
          <w:marTop w:val="0"/>
          <w:marBottom w:val="0"/>
          <w:divBdr>
            <w:top w:val="none" w:sz="0" w:space="0" w:color="auto"/>
            <w:left w:val="none" w:sz="0" w:space="0" w:color="auto"/>
            <w:bottom w:val="none" w:sz="0" w:space="0" w:color="auto"/>
            <w:right w:val="none" w:sz="0" w:space="0" w:color="auto"/>
          </w:divBdr>
        </w:div>
        <w:div w:id="1007094794">
          <w:marLeft w:val="480"/>
          <w:marRight w:val="0"/>
          <w:marTop w:val="0"/>
          <w:marBottom w:val="0"/>
          <w:divBdr>
            <w:top w:val="none" w:sz="0" w:space="0" w:color="auto"/>
            <w:left w:val="none" w:sz="0" w:space="0" w:color="auto"/>
            <w:bottom w:val="none" w:sz="0" w:space="0" w:color="auto"/>
            <w:right w:val="none" w:sz="0" w:space="0" w:color="auto"/>
          </w:divBdr>
        </w:div>
        <w:div w:id="1739938522">
          <w:marLeft w:val="480"/>
          <w:marRight w:val="0"/>
          <w:marTop w:val="0"/>
          <w:marBottom w:val="0"/>
          <w:divBdr>
            <w:top w:val="none" w:sz="0" w:space="0" w:color="auto"/>
            <w:left w:val="none" w:sz="0" w:space="0" w:color="auto"/>
            <w:bottom w:val="none" w:sz="0" w:space="0" w:color="auto"/>
            <w:right w:val="none" w:sz="0" w:space="0" w:color="auto"/>
          </w:divBdr>
        </w:div>
        <w:div w:id="2141069507">
          <w:marLeft w:val="480"/>
          <w:marRight w:val="0"/>
          <w:marTop w:val="0"/>
          <w:marBottom w:val="0"/>
          <w:divBdr>
            <w:top w:val="none" w:sz="0" w:space="0" w:color="auto"/>
            <w:left w:val="none" w:sz="0" w:space="0" w:color="auto"/>
            <w:bottom w:val="none" w:sz="0" w:space="0" w:color="auto"/>
            <w:right w:val="none" w:sz="0" w:space="0" w:color="auto"/>
          </w:divBdr>
        </w:div>
        <w:div w:id="1629698845">
          <w:marLeft w:val="480"/>
          <w:marRight w:val="0"/>
          <w:marTop w:val="0"/>
          <w:marBottom w:val="0"/>
          <w:divBdr>
            <w:top w:val="none" w:sz="0" w:space="0" w:color="auto"/>
            <w:left w:val="none" w:sz="0" w:space="0" w:color="auto"/>
            <w:bottom w:val="none" w:sz="0" w:space="0" w:color="auto"/>
            <w:right w:val="none" w:sz="0" w:space="0" w:color="auto"/>
          </w:divBdr>
        </w:div>
        <w:div w:id="1320034539">
          <w:marLeft w:val="480"/>
          <w:marRight w:val="0"/>
          <w:marTop w:val="0"/>
          <w:marBottom w:val="0"/>
          <w:divBdr>
            <w:top w:val="none" w:sz="0" w:space="0" w:color="auto"/>
            <w:left w:val="none" w:sz="0" w:space="0" w:color="auto"/>
            <w:bottom w:val="none" w:sz="0" w:space="0" w:color="auto"/>
            <w:right w:val="none" w:sz="0" w:space="0" w:color="auto"/>
          </w:divBdr>
        </w:div>
        <w:div w:id="1755977552">
          <w:marLeft w:val="480"/>
          <w:marRight w:val="0"/>
          <w:marTop w:val="0"/>
          <w:marBottom w:val="0"/>
          <w:divBdr>
            <w:top w:val="none" w:sz="0" w:space="0" w:color="auto"/>
            <w:left w:val="none" w:sz="0" w:space="0" w:color="auto"/>
            <w:bottom w:val="none" w:sz="0" w:space="0" w:color="auto"/>
            <w:right w:val="none" w:sz="0" w:space="0" w:color="auto"/>
          </w:divBdr>
        </w:div>
        <w:div w:id="1942180746">
          <w:marLeft w:val="480"/>
          <w:marRight w:val="0"/>
          <w:marTop w:val="0"/>
          <w:marBottom w:val="0"/>
          <w:divBdr>
            <w:top w:val="none" w:sz="0" w:space="0" w:color="auto"/>
            <w:left w:val="none" w:sz="0" w:space="0" w:color="auto"/>
            <w:bottom w:val="none" w:sz="0" w:space="0" w:color="auto"/>
            <w:right w:val="none" w:sz="0" w:space="0" w:color="auto"/>
          </w:divBdr>
        </w:div>
        <w:div w:id="1752700492">
          <w:marLeft w:val="480"/>
          <w:marRight w:val="0"/>
          <w:marTop w:val="0"/>
          <w:marBottom w:val="0"/>
          <w:divBdr>
            <w:top w:val="none" w:sz="0" w:space="0" w:color="auto"/>
            <w:left w:val="none" w:sz="0" w:space="0" w:color="auto"/>
            <w:bottom w:val="none" w:sz="0" w:space="0" w:color="auto"/>
            <w:right w:val="none" w:sz="0" w:space="0" w:color="auto"/>
          </w:divBdr>
        </w:div>
        <w:div w:id="2059082753">
          <w:marLeft w:val="480"/>
          <w:marRight w:val="0"/>
          <w:marTop w:val="0"/>
          <w:marBottom w:val="0"/>
          <w:divBdr>
            <w:top w:val="none" w:sz="0" w:space="0" w:color="auto"/>
            <w:left w:val="none" w:sz="0" w:space="0" w:color="auto"/>
            <w:bottom w:val="none" w:sz="0" w:space="0" w:color="auto"/>
            <w:right w:val="none" w:sz="0" w:space="0" w:color="auto"/>
          </w:divBdr>
        </w:div>
        <w:div w:id="1937976168">
          <w:marLeft w:val="480"/>
          <w:marRight w:val="0"/>
          <w:marTop w:val="0"/>
          <w:marBottom w:val="0"/>
          <w:divBdr>
            <w:top w:val="none" w:sz="0" w:space="0" w:color="auto"/>
            <w:left w:val="none" w:sz="0" w:space="0" w:color="auto"/>
            <w:bottom w:val="none" w:sz="0" w:space="0" w:color="auto"/>
            <w:right w:val="none" w:sz="0" w:space="0" w:color="auto"/>
          </w:divBdr>
        </w:div>
        <w:div w:id="1368333683">
          <w:marLeft w:val="480"/>
          <w:marRight w:val="0"/>
          <w:marTop w:val="0"/>
          <w:marBottom w:val="0"/>
          <w:divBdr>
            <w:top w:val="none" w:sz="0" w:space="0" w:color="auto"/>
            <w:left w:val="none" w:sz="0" w:space="0" w:color="auto"/>
            <w:bottom w:val="none" w:sz="0" w:space="0" w:color="auto"/>
            <w:right w:val="none" w:sz="0" w:space="0" w:color="auto"/>
          </w:divBdr>
        </w:div>
        <w:div w:id="1574242561">
          <w:marLeft w:val="480"/>
          <w:marRight w:val="0"/>
          <w:marTop w:val="0"/>
          <w:marBottom w:val="0"/>
          <w:divBdr>
            <w:top w:val="none" w:sz="0" w:space="0" w:color="auto"/>
            <w:left w:val="none" w:sz="0" w:space="0" w:color="auto"/>
            <w:bottom w:val="none" w:sz="0" w:space="0" w:color="auto"/>
            <w:right w:val="none" w:sz="0" w:space="0" w:color="auto"/>
          </w:divBdr>
        </w:div>
        <w:div w:id="2098096248">
          <w:marLeft w:val="480"/>
          <w:marRight w:val="0"/>
          <w:marTop w:val="0"/>
          <w:marBottom w:val="0"/>
          <w:divBdr>
            <w:top w:val="none" w:sz="0" w:space="0" w:color="auto"/>
            <w:left w:val="none" w:sz="0" w:space="0" w:color="auto"/>
            <w:bottom w:val="none" w:sz="0" w:space="0" w:color="auto"/>
            <w:right w:val="none" w:sz="0" w:space="0" w:color="auto"/>
          </w:divBdr>
        </w:div>
        <w:div w:id="1721904055">
          <w:marLeft w:val="480"/>
          <w:marRight w:val="0"/>
          <w:marTop w:val="0"/>
          <w:marBottom w:val="0"/>
          <w:divBdr>
            <w:top w:val="none" w:sz="0" w:space="0" w:color="auto"/>
            <w:left w:val="none" w:sz="0" w:space="0" w:color="auto"/>
            <w:bottom w:val="none" w:sz="0" w:space="0" w:color="auto"/>
            <w:right w:val="none" w:sz="0" w:space="0" w:color="auto"/>
          </w:divBdr>
        </w:div>
        <w:div w:id="814614091">
          <w:marLeft w:val="480"/>
          <w:marRight w:val="0"/>
          <w:marTop w:val="0"/>
          <w:marBottom w:val="0"/>
          <w:divBdr>
            <w:top w:val="none" w:sz="0" w:space="0" w:color="auto"/>
            <w:left w:val="none" w:sz="0" w:space="0" w:color="auto"/>
            <w:bottom w:val="none" w:sz="0" w:space="0" w:color="auto"/>
            <w:right w:val="none" w:sz="0" w:space="0" w:color="auto"/>
          </w:divBdr>
        </w:div>
        <w:div w:id="1696342393">
          <w:marLeft w:val="480"/>
          <w:marRight w:val="0"/>
          <w:marTop w:val="0"/>
          <w:marBottom w:val="0"/>
          <w:divBdr>
            <w:top w:val="none" w:sz="0" w:space="0" w:color="auto"/>
            <w:left w:val="none" w:sz="0" w:space="0" w:color="auto"/>
            <w:bottom w:val="none" w:sz="0" w:space="0" w:color="auto"/>
            <w:right w:val="none" w:sz="0" w:space="0" w:color="auto"/>
          </w:divBdr>
        </w:div>
        <w:div w:id="704913347">
          <w:marLeft w:val="480"/>
          <w:marRight w:val="0"/>
          <w:marTop w:val="0"/>
          <w:marBottom w:val="0"/>
          <w:divBdr>
            <w:top w:val="none" w:sz="0" w:space="0" w:color="auto"/>
            <w:left w:val="none" w:sz="0" w:space="0" w:color="auto"/>
            <w:bottom w:val="none" w:sz="0" w:space="0" w:color="auto"/>
            <w:right w:val="none" w:sz="0" w:space="0" w:color="auto"/>
          </w:divBdr>
        </w:div>
        <w:div w:id="532965490">
          <w:marLeft w:val="480"/>
          <w:marRight w:val="0"/>
          <w:marTop w:val="0"/>
          <w:marBottom w:val="0"/>
          <w:divBdr>
            <w:top w:val="none" w:sz="0" w:space="0" w:color="auto"/>
            <w:left w:val="none" w:sz="0" w:space="0" w:color="auto"/>
            <w:bottom w:val="none" w:sz="0" w:space="0" w:color="auto"/>
            <w:right w:val="none" w:sz="0" w:space="0" w:color="auto"/>
          </w:divBdr>
        </w:div>
        <w:div w:id="7606841">
          <w:marLeft w:val="480"/>
          <w:marRight w:val="0"/>
          <w:marTop w:val="0"/>
          <w:marBottom w:val="0"/>
          <w:divBdr>
            <w:top w:val="none" w:sz="0" w:space="0" w:color="auto"/>
            <w:left w:val="none" w:sz="0" w:space="0" w:color="auto"/>
            <w:bottom w:val="none" w:sz="0" w:space="0" w:color="auto"/>
            <w:right w:val="none" w:sz="0" w:space="0" w:color="auto"/>
          </w:divBdr>
        </w:div>
        <w:div w:id="644356034">
          <w:marLeft w:val="480"/>
          <w:marRight w:val="0"/>
          <w:marTop w:val="0"/>
          <w:marBottom w:val="0"/>
          <w:divBdr>
            <w:top w:val="none" w:sz="0" w:space="0" w:color="auto"/>
            <w:left w:val="none" w:sz="0" w:space="0" w:color="auto"/>
            <w:bottom w:val="none" w:sz="0" w:space="0" w:color="auto"/>
            <w:right w:val="none" w:sz="0" w:space="0" w:color="auto"/>
          </w:divBdr>
        </w:div>
        <w:div w:id="187567201">
          <w:marLeft w:val="480"/>
          <w:marRight w:val="0"/>
          <w:marTop w:val="0"/>
          <w:marBottom w:val="0"/>
          <w:divBdr>
            <w:top w:val="none" w:sz="0" w:space="0" w:color="auto"/>
            <w:left w:val="none" w:sz="0" w:space="0" w:color="auto"/>
            <w:bottom w:val="none" w:sz="0" w:space="0" w:color="auto"/>
            <w:right w:val="none" w:sz="0" w:space="0" w:color="auto"/>
          </w:divBdr>
        </w:div>
        <w:div w:id="1741637615">
          <w:marLeft w:val="480"/>
          <w:marRight w:val="0"/>
          <w:marTop w:val="0"/>
          <w:marBottom w:val="0"/>
          <w:divBdr>
            <w:top w:val="none" w:sz="0" w:space="0" w:color="auto"/>
            <w:left w:val="none" w:sz="0" w:space="0" w:color="auto"/>
            <w:bottom w:val="none" w:sz="0" w:space="0" w:color="auto"/>
            <w:right w:val="none" w:sz="0" w:space="0" w:color="auto"/>
          </w:divBdr>
        </w:div>
        <w:div w:id="1086533979">
          <w:marLeft w:val="480"/>
          <w:marRight w:val="0"/>
          <w:marTop w:val="0"/>
          <w:marBottom w:val="0"/>
          <w:divBdr>
            <w:top w:val="none" w:sz="0" w:space="0" w:color="auto"/>
            <w:left w:val="none" w:sz="0" w:space="0" w:color="auto"/>
            <w:bottom w:val="none" w:sz="0" w:space="0" w:color="auto"/>
            <w:right w:val="none" w:sz="0" w:space="0" w:color="auto"/>
          </w:divBdr>
        </w:div>
        <w:div w:id="294529074">
          <w:marLeft w:val="480"/>
          <w:marRight w:val="0"/>
          <w:marTop w:val="0"/>
          <w:marBottom w:val="0"/>
          <w:divBdr>
            <w:top w:val="none" w:sz="0" w:space="0" w:color="auto"/>
            <w:left w:val="none" w:sz="0" w:space="0" w:color="auto"/>
            <w:bottom w:val="none" w:sz="0" w:space="0" w:color="auto"/>
            <w:right w:val="none" w:sz="0" w:space="0" w:color="auto"/>
          </w:divBdr>
        </w:div>
        <w:div w:id="390351940">
          <w:marLeft w:val="480"/>
          <w:marRight w:val="0"/>
          <w:marTop w:val="0"/>
          <w:marBottom w:val="0"/>
          <w:divBdr>
            <w:top w:val="none" w:sz="0" w:space="0" w:color="auto"/>
            <w:left w:val="none" w:sz="0" w:space="0" w:color="auto"/>
            <w:bottom w:val="none" w:sz="0" w:space="0" w:color="auto"/>
            <w:right w:val="none" w:sz="0" w:space="0" w:color="auto"/>
          </w:divBdr>
        </w:div>
        <w:div w:id="1682926961">
          <w:marLeft w:val="480"/>
          <w:marRight w:val="0"/>
          <w:marTop w:val="0"/>
          <w:marBottom w:val="0"/>
          <w:divBdr>
            <w:top w:val="none" w:sz="0" w:space="0" w:color="auto"/>
            <w:left w:val="none" w:sz="0" w:space="0" w:color="auto"/>
            <w:bottom w:val="none" w:sz="0" w:space="0" w:color="auto"/>
            <w:right w:val="none" w:sz="0" w:space="0" w:color="auto"/>
          </w:divBdr>
        </w:div>
        <w:div w:id="1090813622">
          <w:marLeft w:val="480"/>
          <w:marRight w:val="0"/>
          <w:marTop w:val="0"/>
          <w:marBottom w:val="0"/>
          <w:divBdr>
            <w:top w:val="none" w:sz="0" w:space="0" w:color="auto"/>
            <w:left w:val="none" w:sz="0" w:space="0" w:color="auto"/>
            <w:bottom w:val="none" w:sz="0" w:space="0" w:color="auto"/>
            <w:right w:val="none" w:sz="0" w:space="0" w:color="auto"/>
          </w:divBdr>
        </w:div>
        <w:div w:id="838498575">
          <w:marLeft w:val="480"/>
          <w:marRight w:val="0"/>
          <w:marTop w:val="0"/>
          <w:marBottom w:val="0"/>
          <w:divBdr>
            <w:top w:val="none" w:sz="0" w:space="0" w:color="auto"/>
            <w:left w:val="none" w:sz="0" w:space="0" w:color="auto"/>
            <w:bottom w:val="none" w:sz="0" w:space="0" w:color="auto"/>
            <w:right w:val="none" w:sz="0" w:space="0" w:color="auto"/>
          </w:divBdr>
        </w:div>
        <w:div w:id="1804304279">
          <w:marLeft w:val="480"/>
          <w:marRight w:val="0"/>
          <w:marTop w:val="0"/>
          <w:marBottom w:val="0"/>
          <w:divBdr>
            <w:top w:val="none" w:sz="0" w:space="0" w:color="auto"/>
            <w:left w:val="none" w:sz="0" w:space="0" w:color="auto"/>
            <w:bottom w:val="none" w:sz="0" w:space="0" w:color="auto"/>
            <w:right w:val="none" w:sz="0" w:space="0" w:color="auto"/>
          </w:divBdr>
        </w:div>
        <w:div w:id="1664042338">
          <w:marLeft w:val="480"/>
          <w:marRight w:val="0"/>
          <w:marTop w:val="0"/>
          <w:marBottom w:val="0"/>
          <w:divBdr>
            <w:top w:val="none" w:sz="0" w:space="0" w:color="auto"/>
            <w:left w:val="none" w:sz="0" w:space="0" w:color="auto"/>
            <w:bottom w:val="none" w:sz="0" w:space="0" w:color="auto"/>
            <w:right w:val="none" w:sz="0" w:space="0" w:color="auto"/>
          </w:divBdr>
        </w:div>
        <w:div w:id="1432778355">
          <w:marLeft w:val="480"/>
          <w:marRight w:val="0"/>
          <w:marTop w:val="0"/>
          <w:marBottom w:val="0"/>
          <w:divBdr>
            <w:top w:val="none" w:sz="0" w:space="0" w:color="auto"/>
            <w:left w:val="none" w:sz="0" w:space="0" w:color="auto"/>
            <w:bottom w:val="none" w:sz="0" w:space="0" w:color="auto"/>
            <w:right w:val="none" w:sz="0" w:space="0" w:color="auto"/>
          </w:divBdr>
        </w:div>
        <w:div w:id="1424456740">
          <w:marLeft w:val="480"/>
          <w:marRight w:val="0"/>
          <w:marTop w:val="0"/>
          <w:marBottom w:val="0"/>
          <w:divBdr>
            <w:top w:val="none" w:sz="0" w:space="0" w:color="auto"/>
            <w:left w:val="none" w:sz="0" w:space="0" w:color="auto"/>
            <w:bottom w:val="none" w:sz="0" w:space="0" w:color="auto"/>
            <w:right w:val="none" w:sz="0" w:space="0" w:color="auto"/>
          </w:divBdr>
        </w:div>
        <w:div w:id="524025999">
          <w:marLeft w:val="480"/>
          <w:marRight w:val="0"/>
          <w:marTop w:val="0"/>
          <w:marBottom w:val="0"/>
          <w:divBdr>
            <w:top w:val="none" w:sz="0" w:space="0" w:color="auto"/>
            <w:left w:val="none" w:sz="0" w:space="0" w:color="auto"/>
            <w:bottom w:val="none" w:sz="0" w:space="0" w:color="auto"/>
            <w:right w:val="none" w:sz="0" w:space="0" w:color="auto"/>
          </w:divBdr>
        </w:div>
        <w:div w:id="2133477543">
          <w:marLeft w:val="480"/>
          <w:marRight w:val="0"/>
          <w:marTop w:val="0"/>
          <w:marBottom w:val="0"/>
          <w:divBdr>
            <w:top w:val="none" w:sz="0" w:space="0" w:color="auto"/>
            <w:left w:val="none" w:sz="0" w:space="0" w:color="auto"/>
            <w:bottom w:val="none" w:sz="0" w:space="0" w:color="auto"/>
            <w:right w:val="none" w:sz="0" w:space="0" w:color="auto"/>
          </w:divBdr>
        </w:div>
        <w:div w:id="1200823799">
          <w:marLeft w:val="480"/>
          <w:marRight w:val="0"/>
          <w:marTop w:val="0"/>
          <w:marBottom w:val="0"/>
          <w:divBdr>
            <w:top w:val="none" w:sz="0" w:space="0" w:color="auto"/>
            <w:left w:val="none" w:sz="0" w:space="0" w:color="auto"/>
            <w:bottom w:val="none" w:sz="0" w:space="0" w:color="auto"/>
            <w:right w:val="none" w:sz="0" w:space="0" w:color="auto"/>
          </w:divBdr>
        </w:div>
        <w:div w:id="346755301">
          <w:marLeft w:val="480"/>
          <w:marRight w:val="0"/>
          <w:marTop w:val="0"/>
          <w:marBottom w:val="0"/>
          <w:divBdr>
            <w:top w:val="none" w:sz="0" w:space="0" w:color="auto"/>
            <w:left w:val="none" w:sz="0" w:space="0" w:color="auto"/>
            <w:bottom w:val="none" w:sz="0" w:space="0" w:color="auto"/>
            <w:right w:val="none" w:sz="0" w:space="0" w:color="auto"/>
          </w:divBdr>
        </w:div>
        <w:div w:id="599219027">
          <w:marLeft w:val="480"/>
          <w:marRight w:val="0"/>
          <w:marTop w:val="0"/>
          <w:marBottom w:val="0"/>
          <w:divBdr>
            <w:top w:val="none" w:sz="0" w:space="0" w:color="auto"/>
            <w:left w:val="none" w:sz="0" w:space="0" w:color="auto"/>
            <w:bottom w:val="none" w:sz="0" w:space="0" w:color="auto"/>
            <w:right w:val="none" w:sz="0" w:space="0" w:color="auto"/>
          </w:divBdr>
        </w:div>
        <w:div w:id="337998368">
          <w:marLeft w:val="480"/>
          <w:marRight w:val="0"/>
          <w:marTop w:val="0"/>
          <w:marBottom w:val="0"/>
          <w:divBdr>
            <w:top w:val="none" w:sz="0" w:space="0" w:color="auto"/>
            <w:left w:val="none" w:sz="0" w:space="0" w:color="auto"/>
            <w:bottom w:val="none" w:sz="0" w:space="0" w:color="auto"/>
            <w:right w:val="none" w:sz="0" w:space="0" w:color="auto"/>
          </w:divBdr>
        </w:div>
        <w:div w:id="1378047661">
          <w:marLeft w:val="480"/>
          <w:marRight w:val="0"/>
          <w:marTop w:val="0"/>
          <w:marBottom w:val="0"/>
          <w:divBdr>
            <w:top w:val="none" w:sz="0" w:space="0" w:color="auto"/>
            <w:left w:val="none" w:sz="0" w:space="0" w:color="auto"/>
            <w:bottom w:val="none" w:sz="0" w:space="0" w:color="auto"/>
            <w:right w:val="none" w:sz="0" w:space="0" w:color="auto"/>
          </w:divBdr>
        </w:div>
        <w:div w:id="1365982940">
          <w:marLeft w:val="480"/>
          <w:marRight w:val="0"/>
          <w:marTop w:val="0"/>
          <w:marBottom w:val="0"/>
          <w:divBdr>
            <w:top w:val="none" w:sz="0" w:space="0" w:color="auto"/>
            <w:left w:val="none" w:sz="0" w:space="0" w:color="auto"/>
            <w:bottom w:val="none" w:sz="0" w:space="0" w:color="auto"/>
            <w:right w:val="none" w:sz="0" w:space="0" w:color="auto"/>
          </w:divBdr>
        </w:div>
        <w:div w:id="554699044">
          <w:marLeft w:val="480"/>
          <w:marRight w:val="0"/>
          <w:marTop w:val="0"/>
          <w:marBottom w:val="0"/>
          <w:divBdr>
            <w:top w:val="none" w:sz="0" w:space="0" w:color="auto"/>
            <w:left w:val="none" w:sz="0" w:space="0" w:color="auto"/>
            <w:bottom w:val="none" w:sz="0" w:space="0" w:color="auto"/>
            <w:right w:val="none" w:sz="0" w:space="0" w:color="auto"/>
          </w:divBdr>
        </w:div>
        <w:div w:id="1123813623">
          <w:marLeft w:val="480"/>
          <w:marRight w:val="0"/>
          <w:marTop w:val="0"/>
          <w:marBottom w:val="0"/>
          <w:divBdr>
            <w:top w:val="none" w:sz="0" w:space="0" w:color="auto"/>
            <w:left w:val="none" w:sz="0" w:space="0" w:color="auto"/>
            <w:bottom w:val="none" w:sz="0" w:space="0" w:color="auto"/>
            <w:right w:val="none" w:sz="0" w:space="0" w:color="auto"/>
          </w:divBdr>
        </w:div>
        <w:div w:id="1703434001">
          <w:marLeft w:val="480"/>
          <w:marRight w:val="0"/>
          <w:marTop w:val="0"/>
          <w:marBottom w:val="0"/>
          <w:divBdr>
            <w:top w:val="none" w:sz="0" w:space="0" w:color="auto"/>
            <w:left w:val="none" w:sz="0" w:space="0" w:color="auto"/>
            <w:bottom w:val="none" w:sz="0" w:space="0" w:color="auto"/>
            <w:right w:val="none" w:sz="0" w:space="0" w:color="auto"/>
          </w:divBdr>
        </w:div>
        <w:div w:id="1296370263">
          <w:marLeft w:val="480"/>
          <w:marRight w:val="0"/>
          <w:marTop w:val="0"/>
          <w:marBottom w:val="0"/>
          <w:divBdr>
            <w:top w:val="none" w:sz="0" w:space="0" w:color="auto"/>
            <w:left w:val="none" w:sz="0" w:space="0" w:color="auto"/>
            <w:bottom w:val="none" w:sz="0" w:space="0" w:color="auto"/>
            <w:right w:val="none" w:sz="0" w:space="0" w:color="auto"/>
          </w:divBdr>
        </w:div>
        <w:div w:id="827861233">
          <w:marLeft w:val="480"/>
          <w:marRight w:val="0"/>
          <w:marTop w:val="0"/>
          <w:marBottom w:val="0"/>
          <w:divBdr>
            <w:top w:val="none" w:sz="0" w:space="0" w:color="auto"/>
            <w:left w:val="none" w:sz="0" w:space="0" w:color="auto"/>
            <w:bottom w:val="none" w:sz="0" w:space="0" w:color="auto"/>
            <w:right w:val="none" w:sz="0" w:space="0" w:color="auto"/>
          </w:divBdr>
        </w:div>
        <w:div w:id="1249189577">
          <w:marLeft w:val="480"/>
          <w:marRight w:val="0"/>
          <w:marTop w:val="0"/>
          <w:marBottom w:val="0"/>
          <w:divBdr>
            <w:top w:val="none" w:sz="0" w:space="0" w:color="auto"/>
            <w:left w:val="none" w:sz="0" w:space="0" w:color="auto"/>
            <w:bottom w:val="none" w:sz="0" w:space="0" w:color="auto"/>
            <w:right w:val="none" w:sz="0" w:space="0" w:color="auto"/>
          </w:divBdr>
        </w:div>
        <w:div w:id="484321923">
          <w:marLeft w:val="480"/>
          <w:marRight w:val="0"/>
          <w:marTop w:val="0"/>
          <w:marBottom w:val="0"/>
          <w:divBdr>
            <w:top w:val="none" w:sz="0" w:space="0" w:color="auto"/>
            <w:left w:val="none" w:sz="0" w:space="0" w:color="auto"/>
            <w:bottom w:val="none" w:sz="0" w:space="0" w:color="auto"/>
            <w:right w:val="none" w:sz="0" w:space="0" w:color="auto"/>
          </w:divBdr>
        </w:div>
        <w:div w:id="1749956728">
          <w:marLeft w:val="480"/>
          <w:marRight w:val="0"/>
          <w:marTop w:val="0"/>
          <w:marBottom w:val="0"/>
          <w:divBdr>
            <w:top w:val="none" w:sz="0" w:space="0" w:color="auto"/>
            <w:left w:val="none" w:sz="0" w:space="0" w:color="auto"/>
            <w:bottom w:val="none" w:sz="0" w:space="0" w:color="auto"/>
            <w:right w:val="none" w:sz="0" w:space="0" w:color="auto"/>
          </w:divBdr>
        </w:div>
        <w:div w:id="1734497524">
          <w:marLeft w:val="480"/>
          <w:marRight w:val="0"/>
          <w:marTop w:val="0"/>
          <w:marBottom w:val="0"/>
          <w:divBdr>
            <w:top w:val="none" w:sz="0" w:space="0" w:color="auto"/>
            <w:left w:val="none" w:sz="0" w:space="0" w:color="auto"/>
            <w:bottom w:val="none" w:sz="0" w:space="0" w:color="auto"/>
            <w:right w:val="none" w:sz="0" w:space="0" w:color="auto"/>
          </w:divBdr>
        </w:div>
        <w:div w:id="931939593">
          <w:marLeft w:val="480"/>
          <w:marRight w:val="0"/>
          <w:marTop w:val="0"/>
          <w:marBottom w:val="0"/>
          <w:divBdr>
            <w:top w:val="none" w:sz="0" w:space="0" w:color="auto"/>
            <w:left w:val="none" w:sz="0" w:space="0" w:color="auto"/>
            <w:bottom w:val="none" w:sz="0" w:space="0" w:color="auto"/>
            <w:right w:val="none" w:sz="0" w:space="0" w:color="auto"/>
          </w:divBdr>
        </w:div>
        <w:div w:id="357046267">
          <w:marLeft w:val="480"/>
          <w:marRight w:val="0"/>
          <w:marTop w:val="0"/>
          <w:marBottom w:val="0"/>
          <w:divBdr>
            <w:top w:val="none" w:sz="0" w:space="0" w:color="auto"/>
            <w:left w:val="none" w:sz="0" w:space="0" w:color="auto"/>
            <w:bottom w:val="none" w:sz="0" w:space="0" w:color="auto"/>
            <w:right w:val="none" w:sz="0" w:space="0" w:color="auto"/>
          </w:divBdr>
        </w:div>
        <w:div w:id="2001231171">
          <w:marLeft w:val="480"/>
          <w:marRight w:val="0"/>
          <w:marTop w:val="0"/>
          <w:marBottom w:val="0"/>
          <w:divBdr>
            <w:top w:val="none" w:sz="0" w:space="0" w:color="auto"/>
            <w:left w:val="none" w:sz="0" w:space="0" w:color="auto"/>
            <w:bottom w:val="none" w:sz="0" w:space="0" w:color="auto"/>
            <w:right w:val="none" w:sz="0" w:space="0" w:color="auto"/>
          </w:divBdr>
        </w:div>
        <w:div w:id="163670993">
          <w:marLeft w:val="480"/>
          <w:marRight w:val="0"/>
          <w:marTop w:val="0"/>
          <w:marBottom w:val="0"/>
          <w:divBdr>
            <w:top w:val="none" w:sz="0" w:space="0" w:color="auto"/>
            <w:left w:val="none" w:sz="0" w:space="0" w:color="auto"/>
            <w:bottom w:val="none" w:sz="0" w:space="0" w:color="auto"/>
            <w:right w:val="none" w:sz="0" w:space="0" w:color="auto"/>
          </w:divBdr>
        </w:div>
        <w:div w:id="1816217180">
          <w:marLeft w:val="480"/>
          <w:marRight w:val="0"/>
          <w:marTop w:val="0"/>
          <w:marBottom w:val="0"/>
          <w:divBdr>
            <w:top w:val="none" w:sz="0" w:space="0" w:color="auto"/>
            <w:left w:val="none" w:sz="0" w:space="0" w:color="auto"/>
            <w:bottom w:val="none" w:sz="0" w:space="0" w:color="auto"/>
            <w:right w:val="none" w:sz="0" w:space="0" w:color="auto"/>
          </w:divBdr>
        </w:div>
        <w:div w:id="1691253502">
          <w:marLeft w:val="480"/>
          <w:marRight w:val="0"/>
          <w:marTop w:val="0"/>
          <w:marBottom w:val="0"/>
          <w:divBdr>
            <w:top w:val="none" w:sz="0" w:space="0" w:color="auto"/>
            <w:left w:val="none" w:sz="0" w:space="0" w:color="auto"/>
            <w:bottom w:val="none" w:sz="0" w:space="0" w:color="auto"/>
            <w:right w:val="none" w:sz="0" w:space="0" w:color="auto"/>
          </w:divBdr>
        </w:div>
        <w:div w:id="268852694">
          <w:marLeft w:val="480"/>
          <w:marRight w:val="0"/>
          <w:marTop w:val="0"/>
          <w:marBottom w:val="0"/>
          <w:divBdr>
            <w:top w:val="none" w:sz="0" w:space="0" w:color="auto"/>
            <w:left w:val="none" w:sz="0" w:space="0" w:color="auto"/>
            <w:bottom w:val="none" w:sz="0" w:space="0" w:color="auto"/>
            <w:right w:val="none" w:sz="0" w:space="0" w:color="auto"/>
          </w:divBdr>
        </w:div>
        <w:div w:id="122501909">
          <w:marLeft w:val="480"/>
          <w:marRight w:val="0"/>
          <w:marTop w:val="0"/>
          <w:marBottom w:val="0"/>
          <w:divBdr>
            <w:top w:val="none" w:sz="0" w:space="0" w:color="auto"/>
            <w:left w:val="none" w:sz="0" w:space="0" w:color="auto"/>
            <w:bottom w:val="none" w:sz="0" w:space="0" w:color="auto"/>
            <w:right w:val="none" w:sz="0" w:space="0" w:color="auto"/>
          </w:divBdr>
        </w:div>
        <w:div w:id="850920778">
          <w:marLeft w:val="480"/>
          <w:marRight w:val="0"/>
          <w:marTop w:val="0"/>
          <w:marBottom w:val="0"/>
          <w:divBdr>
            <w:top w:val="none" w:sz="0" w:space="0" w:color="auto"/>
            <w:left w:val="none" w:sz="0" w:space="0" w:color="auto"/>
            <w:bottom w:val="none" w:sz="0" w:space="0" w:color="auto"/>
            <w:right w:val="none" w:sz="0" w:space="0" w:color="auto"/>
          </w:divBdr>
        </w:div>
        <w:div w:id="1791975884">
          <w:marLeft w:val="480"/>
          <w:marRight w:val="0"/>
          <w:marTop w:val="0"/>
          <w:marBottom w:val="0"/>
          <w:divBdr>
            <w:top w:val="none" w:sz="0" w:space="0" w:color="auto"/>
            <w:left w:val="none" w:sz="0" w:space="0" w:color="auto"/>
            <w:bottom w:val="none" w:sz="0" w:space="0" w:color="auto"/>
            <w:right w:val="none" w:sz="0" w:space="0" w:color="auto"/>
          </w:divBdr>
        </w:div>
        <w:div w:id="1701197096">
          <w:marLeft w:val="480"/>
          <w:marRight w:val="0"/>
          <w:marTop w:val="0"/>
          <w:marBottom w:val="0"/>
          <w:divBdr>
            <w:top w:val="none" w:sz="0" w:space="0" w:color="auto"/>
            <w:left w:val="none" w:sz="0" w:space="0" w:color="auto"/>
            <w:bottom w:val="none" w:sz="0" w:space="0" w:color="auto"/>
            <w:right w:val="none" w:sz="0" w:space="0" w:color="auto"/>
          </w:divBdr>
        </w:div>
        <w:div w:id="1622106514">
          <w:marLeft w:val="480"/>
          <w:marRight w:val="0"/>
          <w:marTop w:val="0"/>
          <w:marBottom w:val="0"/>
          <w:divBdr>
            <w:top w:val="none" w:sz="0" w:space="0" w:color="auto"/>
            <w:left w:val="none" w:sz="0" w:space="0" w:color="auto"/>
            <w:bottom w:val="none" w:sz="0" w:space="0" w:color="auto"/>
            <w:right w:val="none" w:sz="0" w:space="0" w:color="auto"/>
          </w:divBdr>
        </w:div>
        <w:div w:id="1174031691">
          <w:marLeft w:val="480"/>
          <w:marRight w:val="0"/>
          <w:marTop w:val="0"/>
          <w:marBottom w:val="0"/>
          <w:divBdr>
            <w:top w:val="none" w:sz="0" w:space="0" w:color="auto"/>
            <w:left w:val="none" w:sz="0" w:space="0" w:color="auto"/>
            <w:bottom w:val="none" w:sz="0" w:space="0" w:color="auto"/>
            <w:right w:val="none" w:sz="0" w:space="0" w:color="auto"/>
          </w:divBdr>
        </w:div>
        <w:div w:id="1457677392">
          <w:marLeft w:val="480"/>
          <w:marRight w:val="0"/>
          <w:marTop w:val="0"/>
          <w:marBottom w:val="0"/>
          <w:divBdr>
            <w:top w:val="none" w:sz="0" w:space="0" w:color="auto"/>
            <w:left w:val="none" w:sz="0" w:space="0" w:color="auto"/>
            <w:bottom w:val="none" w:sz="0" w:space="0" w:color="auto"/>
            <w:right w:val="none" w:sz="0" w:space="0" w:color="auto"/>
          </w:divBdr>
        </w:div>
        <w:div w:id="89661608">
          <w:marLeft w:val="480"/>
          <w:marRight w:val="0"/>
          <w:marTop w:val="0"/>
          <w:marBottom w:val="0"/>
          <w:divBdr>
            <w:top w:val="none" w:sz="0" w:space="0" w:color="auto"/>
            <w:left w:val="none" w:sz="0" w:space="0" w:color="auto"/>
            <w:bottom w:val="none" w:sz="0" w:space="0" w:color="auto"/>
            <w:right w:val="none" w:sz="0" w:space="0" w:color="auto"/>
          </w:divBdr>
        </w:div>
        <w:div w:id="1875189549">
          <w:marLeft w:val="480"/>
          <w:marRight w:val="0"/>
          <w:marTop w:val="0"/>
          <w:marBottom w:val="0"/>
          <w:divBdr>
            <w:top w:val="none" w:sz="0" w:space="0" w:color="auto"/>
            <w:left w:val="none" w:sz="0" w:space="0" w:color="auto"/>
            <w:bottom w:val="none" w:sz="0" w:space="0" w:color="auto"/>
            <w:right w:val="none" w:sz="0" w:space="0" w:color="auto"/>
          </w:divBdr>
        </w:div>
        <w:div w:id="247547032">
          <w:marLeft w:val="480"/>
          <w:marRight w:val="0"/>
          <w:marTop w:val="0"/>
          <w:marBottom w:val="0"/>
          <w:divBdr>
            <w:top w:val="none" w:sz="0" w:space="0" w:color="auto"/>
            <w:left w:val="none" w:sz="0" w:space="0" w:color="auto"/>
            <w:bottom w:val="none" w:sz="0" w:space="0" w:color="auto"/>
            <w:right w:val="none" w:sz="0" w:space="0" w:color="auto"/>
          </w:divBdr>
        </w:div>
        <w:div w:id="528378630">
          <w:marLeft w:val="480"/>
          <w:marRight w:val="0"/>
          <w:marTop w:val="0"/>
          <w:marBottom w:val="0"/>
          <w:divBdr>
            <w:top w:val="none" w:sz="0" w:space="0" w:color="auto"/>
            <w:left w:val="none" w:sz="0" w:space="0" w:color="auto"/>
            <w:bottom w:val="none" w:sz="0" w:space="0" w:color="auto"/>
            <w:right w:val="none" w:sz="0" w:space="0" w:color="auto"/>
          </w:divBdr>
        </w:div>
        <w:div w:id="1514296935">
          <w:marLeft w:val="480"/>
          <w:marRight w:val="0"/>
          <w:marTop w:val="0"/>
          <w:marBottom w:val="0"/>
          <w:divBdr>
            <w:top w:val="none" w:sz="0" w:space="0" w:color="auto"/>
            <w:left w:val="none" w:sz="0" w:space="0" w:color="auto"/>
            <w:bottom w:val="none" w:sz="0" w:space="0" w:color="auto"/>
            <w:right w:val="none" w:sz="0" w:space="0" w:color="auto"/>
          </w:divBdr>
        </w:div>
        <w:div w:id="1201936730">
          <w:marLeft w:val="480"/>
          <w:marRight w:val="0"/>
          <w:marTop w:val="0"/>
          <w:marBottom w:val="0"/>
          <w:divBdr>
            <w:top w:val="none" w:sz="0" w:space="0" w:color="auto"/>
            <w:left w:val="none" w:sz="0" w:space="0" w:color="auto"/>
            <w:bottom w:val="none" w:sz="0" w:space="0" w:color="auto"/>
            <w:right w:val="none" w:sz="0" w:space="0" w:color="auto"/>
          </w:divBdr>
        </w:div>
        <w:div w:id="249850662">
          <w:marLeft w:val="480"/>
          <w:marRight w:val="0"/>
          <w:marTop w:val="0"/>
          <w:marBottom w:val="0"/>
          <w:divBdr>
            <w:top w:val="none" w:sz="0" w:space="0" w:color="auto"/>
            <w:left w:val="none" w:sz="0" w:space="0" w:color="auto"/>
            <w:bottom w:val="none" w:sz="0" w:space="0" w:color="auto"/>
            <w:right w:val="none" w:sz="0" w:space="0" w:color="auto"/>
          </w:divBdr>
        </w:div>
        <w:div w:id="1110971367">
          <w:marLeft w:val="480"/>
          <w:marRight w:val="0"/>
          <w:marTop w:val="0"/>
          <w:marBottom w:val="0"/>
          <w:divBdr>
            <w:top w:val="none" w:sz="0" w:space="0" w:color="auto"/>
            <w:left w:val="none" w:sz="0" w:space="0" w:color="auto"/>
            <w:bottom w:val="none" w:sz="0" w:space="0" w:color="auto"/>
            <w:right w:val="none" w:sz="0" w:space="0" w:color="auto"/>
          </w:divBdr>
        </w:div>
        <w:div w:id="357857392">
          <w:marLeft w:val="480"/>
          <w:marRight w:val="0"/>
          <w:marTop w:val="0"/>
          <w:marBottom w:val="0"/>
          <w:divBdr>
            <w:top w:val="none" w:sz="0" w:space="0" w:color="auto"/>
            <w:left w:val="none" w:sz="0" w:space="0" w:color="auto"/>
            <w:bottom w:val="none" w:sz="0" w:space="0" w:color="auto"/>
            <w:right w:val="none" w:sz="0" w:space="0" w:color="auto"/>
          </w:divBdr>
        </w:div>
        <w:div w:id="343745301">
          <w:marLeft w:val="480"/>
          <w:marRight w:val="0"/>
          <w:marTop w:val="0"/>
          <w:marBottom w:val="0"/>
          <w:divBdr>
            <w:top w:val="none" w:sz="0" w:space="0" w:color="auto"/>
            <w:left w:val="none" w:sz="0" w:space="0" w:color="auto"/>
            <w:bottom w:val="none" w:sz="0" w:space="0" w:color="auto"/>
            <w:right w:val="none" w:sz="0" w:space="0" w:color="auto"/>
          </w:divBdr>
        </w:div>
        <w:div w:id="2132504701">
          <w:marLeft w:val="480"/>
          <w:marRight w:val="0"/>
          <w:marTop w:val="0"/>
          <w:marBottom w:val="0"/>
          <w:divBdr>
            <w:top w:val="none" w:sz="0" w:space="0" w:color="auto"/>
            <w:left w:val="none" w:sz="0" w:space="0" w:color="auto"/>
            <w:bottom w:val="none" w:sz="0" w:space="0" w:color="auto"/>
            <w:right w:val="none" w:sz="0" w:space="0" w:color="auto"/>
          </w:divBdr>
        </w:div>
        <w:div w:id="354767958">
          <w:marLeft w:val="480"/>
          <w:marRight w:val="0"/>
          <w:marTop w:val="0"/>
          <w:marBottom w:val="0"/>
          <w:divBdr>
            <w:top w:val="none" w:sz="0" w:space="0" w:color="auto"/>
            <w:left w:val="none" w:sz="0" w:space="0" w:color="auto"/>
            <w:bottom w:val="none" w:sz="0" w:space="0" w:color="auto"/>
            <w:right w:val="none" w:sz="0" w:space="0" w:color="auto"/>
          </w:divBdr>
        </w:div>
        <w:div w:id="211505422">
          <w:marLeft w:val="480"/>
          <w:marRight w:val="0"/>
          <w:marTop w:val="0"/>
          <w:marBottom w:val="0"/>
          <w:divBdr>
            <w:top w:val="none" w:sz="0" w:space="0" w:color="auto"/>
            <w:left w:val="none" w:sz="0" w:space="0" w:color="auto"/>
            <w:bottom w:val="none" w:sz="0" w:space="0" w:color="auto"/>
            <w:right w:val="none" w:sz="0" w:space="0" w:color="auto"/>
          </w:divBdr>
        </w:div>
        <w:div w:id="513612616">
          <w:marLeft w:val="480"/>
          <w:marRight w:val="0"/>
          <w:marTop w:val="0"/>
          <w:marBottom w:val="0"/>
          <w:divBdr>
            <w:top w:val="none" w:sz="0" w:space="0" w:color="auto"/>
            <w:left w:val="none" w:sz="0" w:space="0" w:color="auto"/>
            <w:bottom w:val="none" w:sz="0" w:space="0" w:color="auto"/>
            <w:right w:val="none" w:sz="0" w:space="0" w:color="auto"/>
          </w:divBdr>
        </w:div>
        <w:div w:id="790436794">
          <w:marLeft w:val="480"/>
          <w:marRight w:val="0"/>
          <w:marTop w:val="0"/>
          <w:marBottom w:val="0"/>
          <w:divBdr>
            <w:top w:val="none" w:sz="0" w:space="0" w:color="auto"/>
            <w:left w:val="none" w:sz="0" w:space="0" w:color="auto"/>
            <w:bottom w:val="none" w:sz="0" w:space="0" w:color="auto"/>
            <w:right w:val="none" w:sz="0" w:space="0" w:color="auto"/>
          </w:divBdr>
        </w:div>
        <w:div w:id="742605282">
          <w:marLeft w:val="480"/>
          <w:marRight w:val="0"/>
          <w:marTop w:val="0"/>
          <w:marBottom w:val="0"/>
          <w:divBdr>
            <w:top w:val="none" w:sz="0" w:space="0" w:color="auto"/>
            <w:left w:val="none" w:sz="0" w:space="0" w:color="auto"/>
            <w:bottom w:val="none" w:sz="0" w:space="0" w:color="auto"/>
            <w:right w:val="none" w:sz="0" w:space="0" w:color="auto"/>
          </w:divBdr>
        </w:div>
        <w:div w:id="601229060">
          <w:marLeft w:val="480"/>
          <w:marRight w:val="0"/>
          <w:marTop w:val="0"/>
          <w:marBottom w:val="0"/>
          <w:divBdr>
            <w:top w:val="none" w:sz="0" w:space="0" w:color="auto"/>
            <w:left w:val="none" w:sz="0" w:space="0" w:color="auto"/>
            <w:bottom w:val="none" w:sz="0" w:space="0" w:color="auto"/>
            <w:right w:val="none" w:sz="0" w:space="0" w:color="auto"/>
          </w:divBdr>
        </w:div>
        <w:div w:id="577330236">
          <w:marLeft w:val="480"/>
          <w:marRight w:val="0"/>
          <w:marTop w:val="0"/>
          <w:marBottom w:val="0"/>
          <w:divBdr>
            <w:top w:val="none" w:sz="0" w:space="0" w:color="auto"/>
            <w:left w:val="none" w:sz="0" w:space="0" w:color="auto"/>
            <w:bottom w:val="none" w:sz="0" w:space="0" w:color="auto"/>
            <w:right w:val="none" w:sz="0" w:space="0" w:color="auto"/>
          </w:divBdr>
        </w:div>
        <w:div w:id="90710358">
          <w:marLeft w:val="480"/>
          <w:marRight w:val="0"/>
          <w:marTop w:val="0"/>
          <w:marBottom w:val="0"/>
          <w:divBdr>
            <w:top w:val="none" w:sz="0" w:space="0" w:color="auto"/>
            <w:left w:val="none" w:sz="0" w:space="0" w:color="auto"/>
            <w:bottom w:val="none" w:sz="0" w:space="0" w:color="auto"/>
            <w:right w:val="none" w:sz="0" w:space="0" w:color="auto"/>
          </w:divBdr>
        </w:div>
        <w:div w:id="83891028">
          <w:marLeft w:val="480"/>
          <w:marRight w:val="0"/>
          <w:marTop w:val="0"/>
          <w:marBottom w:val="0"/>
          <w:divBdr>
            <w:top w:val="none" w:sz="0" w:space="0" w:color="auto"/>
            <w:left w:val="none" w:sz="0" w:space="0" w:color="auto"/>
            <w:bottom w:val="none" w:sz="0" w:space="0" w:color="auto"/>
            <w:right w:val="none" w:sz="0" w:space="0" w:color="auto"/>
          </w:divBdr>
        </w:div>
        <w:div w:id="8262253">
          <w:marLeft w:val="480"/>
          <w:marRight w:val="0"/>
          <w:marTop w:val="0"/>
          <w:marBottom w:val="0"/>
          <w:divBdr>
            <w:top w:val="none" w:sz="0" w:space="0" w:color="auto"/>
            <w:left w:val="none" w:sz="0" w:space="0" w:color="auto"/>
            <w:bottom w:val="none" w:sz="0" w:space="0" w:color="auto"/>
            <w:right w:val="none" w:sz="0" w:space="0" w:color="auto"/>
          </w:divBdr>
        </w:div>
        <w:div w:id="1623345144">
          <w:marLeft w:val="480"/>
          <w:marRight w:val="0"/>
          <w:marTop w:val="0"/>
          <w:marBottom w:val="0"/>
          <w:divBdr>
            <w:top w:val="none" w:sz="0" w:space="0" w:color="auto"/>
            <w:left w:val="none" w:sz="0" w:space="0" w:color="auto"/>
            <w:bottom w:val="none" w:sz="0" w:space="0" w:color="auto"/>
            <w:right w:val="none" w:sz="0" w:space="0" w:color="auto"/>
          </w:divBdr>
        </w:div>
        <w:div w:id="303314546">
          <w:marLeft w:val="480"/>
          <w:marRight w:val="0"/>
          <w:marTop w:val="0"/>
          <w:marBottom w:val="0"/>
          <w:divBdr>
            <w:top w:val="none" w:sz="0" w:space="0" w:color="auto"/>
            <w:left w:val="none" w:sz="0" w:space="0" w:color="auto"/>
            <w:bottom w:val="none" w:sz="0" w:space="0" w:color="auto"/>
            <w:right w:val="none" w:sz="0" w:space="0" w:color="auto"/>
          </w:divBdr>
        </w:div>
        <w:div w:id="1190606645">
          <w:marLeft w:val="480"/>
          <w:marRight w:val="0"/>
          <w:marTop w:val="0"/>
          <w:marBottom w:val="0"/>
          <w:divBdr>
            <w:top w:val="none" w:sz="0" w:space="0" w:color="auto"/>
            <w:left w:val="none" w:sz="0" w:space="0" w:color="auto"/>
            <w:bottom w:val="none" w:sz="0" w:space="0" w:color="auto"/>
            <w:right w:val="none" w:sz="0" w:space="0" w:color="auto"/>
          </w:divBdr>
        </w:div>
        <w:div w:id="2102751715">
          <w:marLeft w:val="480"/>
          <w:marRight w:val="0"/>
          <w:marTop w:val="0"/>
          <w:marBottom w:val="0"/>
          <w:divBdr>
            <w:top w:val="none" w:sz="0" w:space="0" w:color="auto"/>
            <w:left w:val="none" w:sz="0" w:space="0" w:color="auto"/>
            <w:bottom w:val="none" w:sz="0" w:space="0" w:color="auto"/>
            <w:right w:val="none" w:sz="0" w:space="0" w:color="auto"/>
          </w:divBdr>
        </w:div>
        <w:div w:id="1230269680">
          <w:marLeft w:val="480"/>
          <w:marRight w:val="0"/>
          <w:marTop w:val="0"/>
          <w:marBottom w:val="0"/>
          <w:divBdr>
            <w:top w:val="none" w:sz="0" w:space="0" w:color="auto"/>
            <w:left w:val="none" w:sz="0" w:space="0" w:color="auto"/>
            <w:bottom w:val="none" w:sz="0" w:space="0" w:color="auto"/>
            <w:right w:val="none" w:sz="0" w:space="0" w:color="auto"/>
          </w:divBdr>
        </w:div>
        <w:div w:id="1779446305">
          <w:marLeft w:val="480"/>
          <w:marRight w:val="0"/>
          <w:marTop w:val="0"/>
          <w:marBottom w:val="0"/>
          <w:divBdr>
            <w:top w:val="none" w:sz="0" w:space="0" w:color="auto"/>
            <w:left w:val="none" w:sz="0" w:space="0" w:color="auto"/>
            <w:bottom w:val="none" w:sz="0" w:space="0" w:color="auto"/>
            <w:right w:val="none" w:sz="0" w:space="0" w:color="auto"/>
          </w:divBdr>
        </w:div>
        <w:div w:id="825126072">
          <w:marLeft w:val="480"/>
          <w:marRight w:val="0"/>
          <w:marTop w:val="0"/>
          <w:marBottom w:val="0"/>
          <w:divBdr>
            <w:top w:val="none" w:sz="0" w:space="0" w:color="auto"/>
            <w:left w:val="none" w:sz="0" w:space="0" w:color="auto"/>
            <w:bottom w:val="none" w:sz="0" w:space="0" w:color="auto"/>
            <w:right w:val="none" w:sz="0" w:space="0" w:color="auto"/>
          </w:divBdr>
        </w:div>
        <w:div w:id="1965185628">
          <w:marLeft w:val="480"/>
          <w:marRight w:val="0"/>
          <w:marTop w:val="0"/>
          <w:marBottom w:val="0"/>
          <w:divBdr>
            <w:top w:val="none" w:sz="0" w:space="0" w:color="auto"/>
            <w:left w:val="none" w:sz="0" w:space="0" w:color="auto"/>
            <w:bottom w:val="none" w:sz="0" w:space="0" w:color="auto"/>
            <w:right w:val="none" w:sz="0" w:space="0" w:color="auto"/>
          </w:divBdr>
        </w:div>
        <w:div w:id="435951711">
          <w:marLeft w:val="480"/>
          <w:marRight w:val="0"/>
          <w:marTop w:val="0"/>
          <w:marBottom w:val="0"/>
          <w:divBdr>
            <w:top w:val="none" w:sz="0" w:space="0" w:color="auto"/>
            <w:left w:val="none" w:sz="0" w:space="0" w:color="auto"/>
            <w:bottom w:val="none" w:sz="0" w:space="0" w:color="auto"/>
            <w:right w:val="none" w:sz="0" w:space="0" w:color="auto"/>
          </w:divBdr>
        </w:div>
        <w:div w:id="125050508">
          <w:marLeft w:val="480"/>
          <w:marRight w:val="0"/>
          <w:marTop w:val="0"/>
          <w:marBottom w:val="0"/>
          <w:divBdr>
            <w:top w:val="none" w:sz="0" w:space="0" w:color="auto"/>
            <w:left w:val="none" w:sz="0" w:space="0" w:color="auto"/>
            <w:bottom w:val="none" w:sz="0" w:space="0" w:color="auto"/>
            <w:right w:val="none" w:sz="0" w:space="0" w:color="auto"/>
          </w:divBdr>
        </w:div>
        <w:div w:id="2093816832">
          <w:marLeft w:val="480"/>
          <w:marRight w:val="0"/>
          <w:marTop w:val="0"/>
          <w:marBottom w:val="0"/>
          <w:divBdr>
            <w:top w:val="none" w:sz="0" w:space="0" w:color="auto"/>
            <w:left w:val="none" w:sz="0" w:space="0" w:color="auto"/>
            <w:bottom w:val="none" w:sz="0" w:space="0" w:color="auto"/>
            <w:right w:val="none" w:sz="0" w:space="0" w:color="auto"/>
          </w:divBdr>
        </w:div>
        <w:div w:id="783421421">
          <w:marLeft w:val="480"/>
          <w:marRight w:val="0"/>
          <w:marTop w:val="0"/>
          <w:marBottom w:val="0"/>
          <w:divBdr>
            <w:top w:val="none" w:sz="0" w:space="0" w:color="auto"/>
            <w:left w:val="none" w:sz="0" w:space="0" w:color="auto"/>
            <w:bottom w:val="none" w:sz="0" w:space="0" w:color="auto"/>
            <w:right w:val="none" w:sz="0" w:space="0" w:color="auto"/>
          </w:divBdr>
        </w:div>
        <w:div w:id="223639693">
          <w:marLeft w:val="480"/>
          <w:marRight w:val="0"/>
          <w:marTop w:val="0"/>
          <w:marBottom w:val="0"/>
          <w:divBdr>
            <w:top w:val="none" w:sz="0" w:space="0" w:color="auto"/>
            <w:left w:val="none" w:sz="0" w:space="0" w:color="auto"/>
            <w:bottom w:val="none" w:sz="0" w:space="0" w:color="auto"/>
            <w:right w:val="none" w:sz="0" w:space="0" w:color="auto"/>
          </w:divBdr>
        </w:div>
        <w:div w:id="1485854363">
          <w:marLeft w:val="480"/>
          <w:marRight w:val="0"/>
          <w:marTop w:val="0"/>
          <w:marBottom w:val="0"/>
          <w:divBdr>
            <w:top w:val="none" w:sz="0" w:space="0" w:color="auto"/>
            <w:left w:val="none" w:sz="0" w:space="0" w:color="auto"/>
            <w:bottom w:val="none" w:sz="0" w:space="0" w:color="auto"/>
            <w:right w:val="none" w:sz="0" w:space="0" w:color="auto"/>
          </w:divBdr>
        </w:div>
        <w:div w:id="546718264">
          <w:marLeft w:val="480"/>
          <w:marRight w:val="0"/>
          <w:marTop w:val="0"/>
          <w:marBottom w:val="0"/>
          <w:divBdr>
            <w:top w:val="none" w:sz="0" w:space="0" w:color="auto"/>
            <w:left w:val="none" w:sz="0" w:space="0" w:color="auto"/>
            <w:bottom w:val="none" w:sz="0" w:space="0" w:color="auto"/>
            <w:right w:val="none" w:sz="0" w:space="0" w:color="auto"/>
          </w:divBdr>
        </w:div>
        <w:div w:id="2002805524">
          <w:marLeft w:val="480"/>
          <w:marRight w:val="0"/>
          <w:marTop w:val="0"/>
          <w:marBottom w:val="0"/>
          <w:divBdr>
            <w:top w:val="none" w:sz="0" w:space="0" w:color="auto"/>
            <w:left w:val="none" w:sz="0" w:space="0" w:color="auto"/>
            <w:bottom w:val="none" w:sz="0" w:space="0" w:color="auto"/>
            <w:right w:val="none" w:sz="0" w:space="0" w:color="auto"/>
          </w:divBdr>
        </w:div>
        <w:div w:id="246113535">
          <w:marLeft w:val="480"/>
          <w:marRight w:val="0"/>
          <w:marTop w:val="0"/>
          <w:marBottom w:val="0"/>
          <w:divBdr>
            <w:top w:val="none" w:sz="0" w:space="0" w:color="auto"/>
            <w:left w:val="none" w:sz="0" w:space="0" w:color="auto"/>
            <w:bottom w:val="none" w:sz="0" w:space="0" w:color="auto"/>
            <w:right w:val="none" w:sz="0" w:space="0" w:color="auto"/>
          </w:divBdr>
        </w:div>
        <w:div w:id="919170272">
          <w:marLeft w:val="480"/>
          <w:marRight w:val="0"/>
          <w:marTop w:val="0"/>
          <w:marBottom w:val="0"/>
          <w:divBdr>
            <w:top w:val="none" w:sz="0" w:space="0" w:color="auto"/>
            <w:left w:val="none" w:sz="0" w:space="0" w:color="auto"/>
            <w:bottom w:val="none" w:sz="0" w:space="0" w:color="auto"/>
            <w:right w:val="none" w:sz="0" w:space="0" w:color="auto"/>
          </w:divBdr>
        </w:div>
        <w:div w:id="1909803431">
          <w:marLeft w:val="480"/>
          <w:marRight w:val="0"/>
          <w:marTop w:val="0"/>
          <w:marBottom w:val="0"/>
          <w:divBdr>
            <w:top w:val="none" w:sz="0" w:space="0" w:color="auto"/>
            <w:left w:val="none" w:sz="0" w:space="0" w:color="auto"/>
            <w:bottom w:val="none" w:sz="0" w:space="0" w:color="auto"/>
            <w:right w:val="none" w:sz="0" w:space="0" w:color="auto"/>
          </w:divBdr>
        </w:div>
        <w:div w:id="634719977">
          <w:marLeft w:val="480"/>
          <w:marRight w:val="0"/>
          <w:marTop w:val="0"/>
          <w:marBottom w:val="0"/>
          <w:divBdr>
            <w:top w:val="none" w:sz="0" w:space="0" w:color="auto"/>
            <w:left w:val="none" w:sz="0" w:space="0" w:color="auto"/>
            <w:bottom w:val="none" w:sz="0" w:space="0" w:color="auto"/>
            <w:right w:val="none" w:sz="0" w:space="0" w:color="auto"/>
          </w:divBdr>
        </w:div>
        <w:div w:id="51121493">
          <w:marLeft w:val="480"/>
          <w:marRight w:val="0"/>
          <w:marTop w:val="0"/>
          <w:marBottom w:val="0"/>
          <w:divBdr>
            <w:top w:val="none" w:sz="0" w:space="0" w:color="auto"/>
            <w:left w:val="none" w:sz="0" w:space="0" w:color="auto"/>
            <w:bottom w:val="none" w:sz="0" w:space="0" w:color="auto"/>
            <w:right w:val="none" w:sz="0" w:space="0" w:color="auto"/>
          </w:divBdr>
        </w:div>
        <w:div w:id="105119771">
          <w:marLeft w:val="480"/>
          <w:marRight w:val="0"/>
          <w:marTop w:val="0"/>
          <w:marBottom w:val="0"/>
          <w:divBdr>
            <w:top w:val="none" w:sz="0" w:space="0" w:color="auto"/>
            <w:left w:val="none" w:sz="0" w:space="0" w:color="auto"/>
            <w:bottom w:val="none" w:sz="0" w:space="0" w:color="auto"/>
            <w:right w:val="none" w:sz="0" w:space="0" w:color="auto"/>
          </w:divBdr>
        </w:div>
        <w:div w:id="577401793">
          <w:marLeft w:val="480"/>
          <w:marRight w:val="0"/>
          <w:marTop w:val="0"/>
          <w:marBottom w:val="0"/>
          <w:divBdr>
            <w:top w:val="none" w:sz="0" w:space="0" w:color="auto"/>
            <w:left w:val="none" w:sz="0" w:space="0" w:color="auto"/>
            <w:bottom w:val="none" w:sz="0" w:space="0" w:color="auto"/>
            <w:right w:val="none" w:sz="0" w:space="0" w:color="auto"/>
          </w:divBdr>
        </w:div>
        <w:div w:id="1620331075">
          <w:marLeft w:val="480"/>
          <w:marRight w:val="0"/>
          <w:marTop w:val="0"/>
          <w:marBottom w:val="0"/>
          <w:divBdr>
            <w:top w:val="none" w:sz="0" w:space="0" w:color="auto"/>
            <w:left w:val="none" w:sz="0" w:space="0" w:color="auto"/>
            <w:bottom w:val="none" w:sz="0" w:space="0" w:color="auto"/>
            <w:right w:val="none" w:sz="0" w:space="0" w:color="auto"/>
          </w:divBdr>
        </w:div>
        <w:div w:id="134641442">
          <w:marLeft w:val="480"/>
          <w:marRight w:val="0"/>
          <w:marTop w:val="0"/>
          <w:marBottom w:val="0"/>
          <w:divBdr>
            <w:top w:val="none" w:sz="0" w:space="0" w:color="auto"/>
            <w:left w:val="none" w:sz="0" w:space="0" w:color="auto"/>
            <w:bottom w:val="none" w:sz="0" w:space="0" w:color="auto"/>
            <w:right w:val="none" w:sz="0" w:space="0" w:color="auto"/>
          </w:divBdr>
        </w:div>
        <w:div w:id="188110849">
          <w:marLeft w:val="480"/>
          <w:marRight w:val="0"/>
          <w:marTop w:val="0"/>
          <w:marBottom w:val="0"/>
          <w:divBdr>
            <w:top w:val="none" w:sz="0" w:space="0" w:color="auto"/>
            <w:left w:val="none" w:sz="0" w:space="0" w:color="auto"/>
            <w:bottom w:val="none" w:sz="0" w:space="0" w:color="auto"/>
            <w:right w:val="none" w:sz="0" w:space="0" w:color="auto"/>
          </w:divBdr>
        </w:div>
        <w:div w:id="833377932">
          <w:marLeft w:val="480"/>
          <w:marRight w:val="0"/>
          <w:marTop w:val="0"/>
          <w:marBottom w:val="0"/>
          <w:divBdr>
            <w:top w:val="none" w:sz="0" w:space="0" w:color="auto"/>
            <w:left w:val="none" w:sz="0" w:space="0" w:color="auto"/>
            <w:bottom w:val="none" w:sz="0" w:space="0" w:color="auto"/>
            <w:right w:val="none" w:sz="0" w:space="0" w:color="auto"/>
          </w:divBdr>
        </w:div>
        <w:div w:id="1639649939">
          <w:marLeft w:val="480"/>
          <w:marRight w:val="0"/>
          <w:marTop w:val="0"/>
          <w:marBottom w:val="0"/>
          <w:divBdr>
            <w:top w:val="none" w:sz="0" w:space="0" w:color="auto"/>
            <w:left w:val="none" w:sz="0" w:space="0" w:color="auto"/>
            <w:bottom w:val="none" w:sz="0" w:space="0" w:color="auto"/>
            <w:right w:val="none" w:sz="0" w:space="0" w:color="auto"/>
          </w:divBdr>
        </w:div>
        <w:div w:id="778183971">
          <w:marLeft w:val="480"/>
          <w:marRight w:val="0"/>
          <w:marTop w:val="0"/>
          <w:marBottom w:val="0"/>
          <w:divBdr>
            <w:top w:val="none" w:sz="0" w:space="0" w:color="auto"/>
            <w:left w:val="none" w:sz="0" w:space="0" w:color="auto"/>
            <w:bottom w:val="none" w:sz="0" w:space="0" w:color="auto"/>
            <w:right w:val="none" w:sz="0" w:space="0" w:color="auto"/>
          </w:divBdr>
        </w:div>
        <w:div w:id="903415690">
          <w:marLeft w:val="480"/>
          <w:marRight w:val="0"/>
          <w:marTop w:val="0"/>
          <w:marBottom w:val="0"/>
          <w:divBdr>
            <w:top w:val="none" w:sz="0" w:space="0" w:color="auto"/>
            <w:left w:val="none" w:sz="0" w:space="0" w:color="auto"/>
            <w:bottom w:val="none" w:sz="0" w:space="0" w:color="auto"/>
            <w:right w:val="none" w:sz="0" w:space="0" w:color="auto"/>
          </w:divBdr>
        </w:div>
        <w:div w:id="1060713265">
          <w:marLeft w:val="480"/>
          <w:marRight w:val="0"/>
          <w:marTop w:val="0"/>
          <w:marBottom w:val="0"/>
          <w:divBdr>
            <w:top w:val="none" w:sz="0" w:space="0" w:color="auto"/>
            <w:left w:val="none" w:sz="0" w:space="0" w:color="auto"/>
            <w:bottom w:val="none" w:sz="0" w:space="0" w:color="auto"/>
            <w:right w:val="none" w:sz="0" w:space="0" w:color="auto"/>
          </w:divBdr>
        </w:div>
        <w:div w:id="2056855883">
          <w:marLeft w:val="480"/>
          <w:marRight w:val="0"/>
          <w:marTop w:val="0"/>
          <w:marBottom w:val="0"/>
          <w:divBdr>
            <w:top w:val="none" w:sz="0" w:space="0" w:color="auto"/>
            <w:left w:val="none" w:sz="0" w:space="0" w:color="auto"/>
            <w:bottom w:val="none" w:sz="0" w:space="0" w:color="auto"/>
            <w:right w:val="none" w:sz="0" w:space="0" w:color="auto"/>
          </w:divBdr>
        </w:div>
        <w:div w:id="1523474210">
          <w:marLeft w:val="480"/>
          <w:marRight w:val="0"/>
          <w:marTop w:val="0"/>
          <w:marBottom w:val="0"/>
          <w:divBdr>
            <w:top w:val="none" w:sz="0" w:space="0" w:color="auto"/>
            <w:left w:val="none" w:sz="0" w:space="0" w:color="auto"/>
            <w:bottom w:val="none" w:sz="0" w:space="0" w:color="auto"/>
            <w:right w:val="none" w:sz="0" w:space="0" w:color="auto"/>
          </w:divBdr>
        </w:div>
        <w:div w:id="1333484170">
          <w:marLeft w:val="480"/>
          <w:marRight w:val="0"/>
          <w:marTop w:val="0"/>
          <w:marBottom w:val="0"/>
          <w:divBdr>
            <w:top w:val="none" w:sz="0" w:space="0" w:color="auto"/>
            <w:left w:val="none" w:sz="0" w:space="0" w:color="auto"/>
            <w:bottom w:val="none" w:sz="0" w:space="0" w:color="auto"/>
            <w:right w:val="none" w:sz="0" w:space="0" w:color="auto"/>
          </w:divBdr>
        </w:div>
        <w:div w:id="4135908">
          <w:marLeft w:val="480"/>
          <w:marRight w:val="0"/>
          <w:marTop w:val="0"/>
          <w:marBottom w:val="0"/>
          <w:divBdr>
            <w:top w:val="none" w:sz="0" w:space="0" w:color="auto"/>
            <w:left w:val="none" w:sz="0" w:space="0" w:color="auto"/>
            <w:bottom w:val="none" w:sz="0" w:space="0" w:color="auto"/>
            <w:right w:val="none" w:sz="0" w:space="0" w:color="auto"/>
          </w:divBdr>
        </w:div>
        <w:div w:id="31852456">
          <w:marLeft w:val="480"/>
          <w:marRight w:val="0"/>
          <w:marTop w:val="0"/>
          <w:marBottom w:val="0"/>
          <w:divBdr>
            <w:top w:val="none" w:sz="0" w:space="0" w:color="auto"/>
            <w:left w:val="none" w:sz="0" w:space="0" w:color="auto"/>
            <w:bottom w:val="none" w:sz="0" w:space="0" w:color="auto"/>
            <w:right w:val="none" w:sz="0" w:space="0" w:color="auto"/>
          </w:divBdr>
        </w:div>
        <w:div w:id="1038814746">
          <w:marLeft w:val="480"/>
          <w:marRight w:val="0"/>
          <w:marTop w:val="0"/>
          <w:marBottom w:val="0"/>
          <w:divBdr>
            <w:top w:val="none" w:sz="0" w:space="0" w:color="auto"/>
            <w:left w:val="none" w:sz="0" w:space="0" w:color="auto"/>
            <w:bottom w:val="none" w:sz="0" w:space="0" w:color="auto"/>
            <w:right w:val="none" w:sz="0" w:space="0" w:color="auto"/>
          </w:divBdr>
        </w:div>
        <w:div w:id="2077580169">
          <w:marLeft w:val="480"/>
          <w:marRight w:val="0"/>
          <w:marTop w:val="0"/>
          <w:marBottom w:val="0"/>
          <w:divBdr>
            <w:top w:val="none" w:sz="0" w:space="0" w:color="auto"/>
            <w:left w:val="none" w:sz="0" w:space="0" w:color="auto"/>
            <w:bottom w:val="none" w:sz="0" w:space="0" w:color="auto"/>
            <w:right w:val="none" w:sz="0" w:space="0" w:color="auto"/>
          </w:divBdr>
        </w:div>
        <w:div w:id="782697639">
          <w:marLeft w:val="480"/>
          <w:marRight w:val="0"/>
          <w:marTop w:val="0"/>
          <w:marBottom w:val="0"/>
          <w:divBdr>
            <w:top w:val="none" w:sz="0" w:space="0" w:color="auto"/>
            <w:left w:val="none" w:sz="0" w:space="0" w:color="auto"/>
            <w:bottom w:val="none" w:sz="0" w:space="0" w:color="auto"/>
            <w:right w:val="none" w:sz="0" w:space="0" w:color="auto"/>
          </w:divBdr>
        </w:div>
        <w:div w:id="2108648311">
          <w:marLeft w:val="480"/>
          <w:marRight w:val="0"/>
          <w:marTop w:val="0"/>
          <w:marBottom w:val="0"/>
          <w:divBdr>
            <w:top w:val="none" w:sz="0" w:space="0" w:color="auto"/>
            <w:left w:val="none" w:sz="0" w:space="0" w:color="auto"/>
            <w:bottom w:val="none" w:sz="0" w:space="0" w:color="auto"/>
            <w:right w:val="none" w:sz="0" w:space="0" w:color="auto"/>
          </w:divBdr>
        </w:div>
        <w:div w:id="1555115307">
          <w:marLeft w:val="480"/>
          <w:marRight w:val="0"/>
          <w:marTop w:val="0"/>
          <w:marBottom w:val="0"/>
          <w:divBdr>
            <w:top w:val="none" w:sz="0" w:space="0" w:color="auto"/>
            <w:left w:val="none" w:sz="0" w:space="0" w:color="auto"/>
            <w:bottom w:val="none" w:sz="0" w:space="0" w:color="auto"/>
            <w:right w:val="none" w:sz="0" w:space="0" w:color="auto"/>
          </w:divBdr>
        </w:div>
        <w:div w:id="1924340973">
          <w:marLeft w:val="480"/>
          <w:marRight w:val="0"/>
          <w:marTop w:val="0"/>
          <w:marBottom w:val="0"/>
          <w:divBdr>
            <w:top w:val="none" w:sz="0" w:space="0" w:color="auto"/>
            <w:left w:val="none" w:sz="0" w:space="0" w:color="auto"/>
            <w:bottom w:val="none" w:sz="0" w:space="0" w:color="auto"/>
            <w:right w:val="none" w:sz="0" w:space="0" w:color="auto"/>
          </w:divBdr>
        </w:div>
        <w:div w:id="1225987896">
          <w:marLeft w:val="480"/>
          <w:marRight w:val="0"/>
          <w:marTop w:val="0"/>
          <w:marBottom w:val="0"/>
          <w:divBdr>
            <w:top w:val="none" w:sz="0" w:space="0" w:color="auto"/>
            <w:left w:val="none" w:sz="0" w:space="0" w:color="auto"/>
            <w:bottom w:val="none" w:sz="0" w:space="0" w:color="auto"/>
            <w:right w:val="none" w:sz="0" w:space="0" w:color="auto"/>
          </w:divBdr>
        </w:div>
        <w:div w:id="1519543912">
          <w:marLeft w:val="480"/>
          <w:marRight w:val="0"/>
          <w:marTop w:val="0"/>
          <w:marBottom w:val="0"/>
          <w:divBdr>
            <w:top w:val="none" w:sz="0" w:space="0" w:color="auto"/>
            <w:left w:val="none" w:sz="0" w:space="0" w:color="auto"/>
            <w:bottom w:val="none" w:sz="0" w:space="0" w:color="auto"/>
            <w:right w:val="none" w:sz="0" w:space="0" w:color="auto"/>
          </w:divBdr>
        </w:div>
        <w:div w:id="1317565269">
          <w:marLeft w:val="480"/>
          <w:marRight w:val="0"/>
          <w:marTop w:val="0"/>
          <w:marBottom w:val="0"/>
          <w:divBdr>
            <w:top w:val="none" w:sz="0" w:space="0" w:color="auto"/>
            <w:left w:val="none" w:sz="0" w:space="0" w:color="auto"/>
            <w:bottom w:val="none" w:sz="0" w:space="0" w:color="auto"/>
            <w:right w:val="none" w:sz="0" w:space="0" w:color="auto"/>
          </w:divBdr>
        </w:div>
        <w:div w:id="588778080">
          <w:marLeft w:val="480"/>
          <w:marRight w:val="0"/>
          <w:marTop w:val="0"/>
          <w:marBottom w:val="0"/>
          <w:divBdr>
            <w:top w:val="none" w:sz="0" w:space="0" w:color="auto"/>
            <w:left w:val="none" w:sz="0" w:space="0" w:color="auto"/>
            <w:bottom w:val="none" w:sz="0" w:space="0" w:color="auto"/>
            <w:right w:val="none" w:sz="0" w:space="0" w:color="auto"/>
          </w:divBdr>
        </w:div>
        <w:div w:id="394165455">
          <w:marLeft w:val="480"/>
          <w:marRight w:val="0"/>
          <w:marTop w:val="0"/>
          <w:marBottom w:val="0"/>
          <w:divBdr>
            <w:top w:val="none" w:sz="0" w:space="0" w:color="auto"/>
            <w:left w:val="none" w:sz="0" w:space="0" w:color="auto"/>
            <w:bottom w:val="none" w:sz="0" w:space="0" w:color="auto"/>
            <w:right w:val="none" w:sz="0" w:space="0" w:color="auto"/>
          </w:divBdr>
        </w:div>
        <w:div w:id="740981497">
          <w:marLeft w:val="480"/>
          <w:marRight w:val="0"/>
          <w:marTop w:val="0"/>
          <w:marBottom w:val="0"/>
          <w:divBdr>
            <w:top w:val="none" w:sz="0" w:space="0" w:color="auto"/>
            <w:left w:val="none" w:sz="0" w:space="0" w:color="auto"/>
            <w:bottom w:val="none" w:sz="0" w:space="0" w:color="auto"/>
            <w:right w:val="none" w:sz="0" w:space="0" w:color="auto"/>
          </w:divBdr>
        </w:div>
        <w:div w:id="1578906849">
          <w:marLeft w:val="480"/>
          <w:marRight w:val="0"/>
          <w:marTop w:val="0"/>
          <w:marBottom w:val="0"/>
          <w:divBdr>
            <w:top w:val="none" w:sz="0" w:space="0" w:color="auto"/>
            <w:left w:val="none" w:sz="0" w:space="0" w:color="auto"/>
            <w:bottom w:val="none" w:sz="0" w:space="0" w:color="auto"/>
            <w:right w:val="none" w:sz="0" w:space="0" w:color="auto"/>
          </w:divBdr>
        </w:div>
        <w:div w:id="679547846">
          <w:marLeft w:val="480"/>
          <w:marRight w:val="0"/>
          <w:marTop w:val="0"/>
          <w:marBottom w:val="0"/>
          <w:divBdr>
            <w:top w:val="none" w:sz="0" w:space="0" w:color="auto"/>
            <w:left w:val="none" w:sz="0" w:space="0" w:color="auto"/>
            <w:bottom w:val="none" w:sz="0" w:space="0" w:color="auto"/>
            <w:right w:val="none" w:sz="0" w:space="0" w:color="auto"/>
          </w:divBdr>
        </w:div>
        <w:div w:id="738789715">
          <w:marLeft w:val="480"/>
          <w:marRight w:val="0"/>
          <w:marTop w:val="0"/>
          <w:marBottom w:val="0"/>
          <w:divBdr>
            <w:top w:val="none" w:sz="0" w:space="0" w:color="auto"/>
            <w:left w:val="none" w:sz="0" w:space="0" w:color="auto"/>
            <w:bottom w:val="none" w:sz="0" w:space="0" w:color="auto"/>
            <w:right w:val="none" w:sz="0" w:space="0" w:color="auto"/>
          </w:divBdr>
        </w:div>
        <w:div w:id="964968398">
          <w:marLeft w:val="480"/>
          <w:marRight w:val="0"/>
          <w:marTop w:val="0"/>
          <w:marBottom w:val="0"/>
          <w:divBdr>
            <w:top w:val="none" w:sz="0" w:space="0" w:color="auto"/>
            <w:left w:val="none" w:sz="0" w:space="0" w:color="auto"/>
            <w:bottom w:val="none" w:sz="0" w:space="0" w:color="auto"/>
            <w:right w:val="none" w:sz="0" w:space="0" w:color="auto"/>
          </w:divBdr>
        </w:div>
        <w:div w:id="1254558033">
          <w:marLeft w:val="480"/>
          <w:marRight w:val="0"/>
          <w:marTop w:val="0"/>
          <w:marBottom w:val="0"/>
          <w:divBdr>
            <w:top w:val="none" w:sz="0" w:space="0" w:color="auto"/>
            <w:left w:val="none" w:sz="0" w:space="0" w:color="auto"/>
            <w:bottom w:val="none" w:sz="0" w:space="0" w:color="auto"/>
            <w:right w:val="none" w:sz="0" w:space="0" w:color="auto"/>
          </w:divBdr>
        </w:div>
        <w:div w:id="1944418548">
          <w:marLeft w:val="480"/>
          <w:marRight w:val="0"/>
          <w:marTop w:val="0"/>
          <w:marBottom w:val="0"/>
          <w:divBdr>
            <w:top w:val="none" w:sz="0" w:space="0" w:color="auto"/>
            <w:left w:val="none" w:sz="0" w:space="0" w:color="auto"/>
            <w:bottom w:val="none" w:sz="0" w:space="0" w:color="auto"/>
            <w:right w:val="none" w:sz="0" w:space="0" w:color="auto"/>
          </w:divBdr>
        </w:div>
        <w:div w:id="1197965066">
          <w:marLeft w:val="480"/>
          <w:marRight w:val="0"/>
          <w:marTop w:val="0"/>
          <w:marBottom w:val="0"/>
          <w:divBdr>
            <w:top w:val="none" w:sz="0" w:space="0" w:color="auto"/>
            <w:left w:val="none" w:sz="0" w:space="0" w:color="auto"/>
            <w:bottom w:val="none" w:sz="0" w:space="0" w:color="auto"/>
            <w:right w:val="none" w:sz="0" w:space="0" w:color="auto"/>
          </w:divBdr>
        </w:div>
        <w:div w:id="1226181383">
          <w:marLeft w:val="480"/>
          <w:marRight w:val="0"/>
          <w:marTop w:val="0"/>
          <w:marBottom w:val="0"/>
          <w:divBdr>
            <w:top w:val="none" w:sz="0" w:space="0" w:color="auto"/>
            <w:left w:val="none" w:sz="0" w:space="0" w:color="auto"/>
            <w:bottom w:val="none" w:sz="0" w:space="0" w:color="auto"/>
            <w:right w:val="none" w:sz="0" w:space="0" w:color="auto"/>
          </w:divBdr>
        </w:div>
        <w:div w:id="270089848">
          <w:marLeft w:val="480"/>
          <w:marRight w:val="0"/>
          <w:marTop w:val="0"/>
          <w:marBottom w:val="0"/>
          <w:divBdr>
            <w:top w:val="none" w:sz="0" w:space="0" w:color="auto"/>
            <w:left w:val="none" w:sz="0" w:space="0" w:color="auto"/>
            <w:bottom w:val="none" w:sz="0" w:space="0" w:color="auto"/>
            <w:right w:val="none" w:sz="0" w:space="0" w:color="auto"/>
          </w:divBdr>
        </w:div>
        <w:div w:id="371152455">
          <w:marLeft w:val="480"/>
          <w:marRight w:val="0"/>
          <w:marTop w:val="0"/>
          <w:marBottom w:val="0"/>
          <w:divBdr>
            <w:top w:val="none" w:sz="0" w:space="0" w:color="auto"/>
            <w:left w:val="none" w:sz="0" w:space="0" w:color="auto"/>
            <w:bottom w:val="none" w:sz="0" w:space="0" w:color="auto"/>
            <w:right w:val="none" w:sz="0" w:space="0" w:color="auto"/>
          </w:divBdr>
        </w:div>
        <w:div w:id="1979869645">
          <w:marLeft w:val="480"/>
          <w:marRight w:val="0"/>
          <w:marTop w:val="0"/>
          <w:marBottom w:val="0"/>
          <w:divBdr>
            <w:top w:val="none" w:sz="0" w:space="0" w:color="auto"/>
            <w:left w:val="none" w:sz="0" w:space="0" w:color="auto"/>
            <w:bottom w:val="none" w:sz="0" w:space="0" w:color="auto"/>
            <w:right w:val="none" w:sz="0" w:space="0" w:color="auto"/>
          </w:divBdr>
        </w:div>
        <w:div w:id="2092114488">
          <w:marLeft w:val="480"/>
          <w:marRight w:val="0"/>
          <w:marTop w:val="0"/>
          <w:marBottom w:val="0"/>
          <w:divBdr>
            <w:top w:val="none" w:sz="0" w:space="0" w:color="auto"/>
            <w:left w:val="none" w:sz="0" w:space="0" w:color="auto"/>
            <w:bottom w:val="none" w:sz="0" w:space="0" w:color="auto"/>
            <w:right w:val="none" w:sz="0" w:space="0" w:color="auto"/>
          </w:divBdr>
        </w:div>
        <w:div w:id="1479108242">
          <w:marLeft w:val="480"/>
          <w:marRight w:val="0"/>
          <w:marTop w:val="0"/>
          <w:marBottom w:val="0"/>
          <w:divBdr>
            <w:top w:val="none" w:sz="0" w:space="0" w:color="auto"/>
            <w:left w:val="none" w:sz="0" w:space="0" w:color="auto"/>
            <w:bottom w:val="none" w:sz="0" w:space="0" w:color="auto"/>
            <w:right w:val="none" w:sz="0" w:space="0" w:color="auto"/>
          </w:divBdr>
        </w:div>
        <w:div w:id="124011546">
          <w:marLeft w:val="480"/>
          <w:marRight w:val="0"/>
          <w:marTop w:val="0"/>
          <w:marBottom w:val="0"/>
          <w:divBdr>
            <w:top w:val="none" w:sz="0" w:space="0" w:color="auto"/>
            <w:left w:val="none" w:sz="0" w:space="0" w:color="auto"/>
            <w:bottom w:val="none" w:sz="0" w:space="0" w:color="auto"/>
            <w:right w:val="none" w:sz="0" w:space="0" w:color="auto"/>
          </w:divBdr>
        </w:div>
        <w:div w:id="1207907183">
          <w:marLeft w:val="480"/>
          <w:marRight w:val="0"/>
          <w:marTop w:val="0"/>
          <w:marBottom w:val="0"/>
          <w:divBdr>
            <w:top w:val="none" w:sz="0" w:space="0" w:color="auto"/>
            <w:left w:val="none" w:sz="0" w:space="0" w:color="auto"/>
            <w:bottom w:val="none" w:sz="0" w:space="0" w:color="auto"/>
            <w:right w:val="none" w:sz="0" w:space="0" w:color="auto"/>
          </w:divBdr>
        </w:div>
        <w:div w:id="1096175908">
          <w:marLeft w:val="480"/>
          <w:marRight w:val="0"/>
          <w:marTop w:val="0"/>
          <w:marBottom w:val="0"/>
          <w:divBdr>
            <w:top w:val="none" w:sz="0" w:space="0" w:color="auto"/>
            <w:left w:val="none" w:sz="0" w:space="0" w:color="auto"/>
            <w:bottom w:val="none" w:sz="0" w:space="0" w:color="auto"/>
            <w:right w:val="none" w:sz="0" w:space="0" w:color="auto"/>
          </w:divBdr>
        </w:div>
        <w:div w:id="2001076474">
          <w:marLeft w:val="480"/>
          <w:marRight w:val="0"/>
          <w:marTop w:val="0"/>
          <w:marBottom w:val="0"/>
          <w:divBdr>
            <w:top w:val="none" w:sz="0" w:space="0" w:color="auto"/>
            <w:left w:val="none" w:sz="0" w:space="0" w:color="auto"/>
            <w:bottom w:val="none" w:sz="0" w:space="0" w:color="auto"/>
            <w:right w:val="none" w:sz="0" w:space="0" w:color="auto"/>
          </w:divBdr>
        </w:div>
        <w:div w:id="1904246261">
          <w:marLeft w:val="480"/>
          <w:marRight w:val="0"/>
          <w:marTop w:val="0"/>
          <w:marBottom w:val="0"/>
          <w:divBdr>
            <w:top w:val="none" w:sz="0" w:space="0" w:color="auto"/>
            <w:left w:val="none" w:sz="0" w:space="0" w:color="auto"/>
            <w:bottom w:val="none" w:sz="0" w:space="0" w:color="auto"/>
            <w:right w:val="none" w:sz="0" w:space="0" w:color="auto"/>
          </w:divBdr>
        </w:div>
        <w:div w:id="1417509137">
          <w:marLeft w:val="480"/>
          <w:marRight w:val="0"/>
          <w:marTop w:val="0"/>
          <w:marBottom w:val="0"/>
          <w:divBdr>
            <w:top w:val="none" w:sz="0" w:space="0" w:color="auto"/>
            <w:left w:val="none" w:sz="0" w:space="0" w:color="auto"/>
            <w:bottom w:val="none" w:sz="0" w:space="0" w:color="auto"/>
            <w:right w:val="none" w:sz="0" w:space="0" w:color="auto"/>
          </w:divBdr>
        </w:div>
        <w:div w:id="654183114">
          <w:marLeft w:val="480"/>
          <w:marRight w:val="0"/>
          <w:marTop w:val="0"/>
          <w:marBottom w:val="0"/>
          <w:divBdr>
            <w:top w:val="none" w:sz="0" w:space="0" w:color="auto"/>
            <w:left w:val="none" w:sz="0" w:space="0" w:color="auto"/>
            <w:bottom w:val="none" w:sz="0" w:space="0" w:color="auto"/>
            <w:right w:val="none" w:sz="0" w:space="0" w:color="auto"/>
          </w:divBdr>
        </w:div>
        <w:div w:id="1615285712">
          <w:marLeft w:val="480"/>
          <w:marRight w:val="0"/>
          <w:marTop w:val="0"/>
          <w:marBottom w:val="0"/>
          <w:divBdr>
            <w:top w:val="none" w:sz="0" w:space="0" w:color="auto"/>
            <w:left w:val="none" w:sz="0" w:space="0" w:color="auto"/>
            <w:bottom w:val="none" w:sz="0" w:space="0" w:color="auto"/>
            <w:right w:val="none" w:sz="0" w:space="0" w:color="auto"/>
          </w:divBdr>
        </w:div>
        <w:div w:id="1213804668">
          <w:marLeft w:val="480"/>
          <w:marRight w:val="0"/>
          <w:marTop w:val="0"/>
          <w:marBottom w:val="0"/>
          <w:divBdr>
            <w:top w:val="none" w:sz="0" w:space="0" w:color="auto"/>
            <w:left w:val="none" w:sz="0" w:space="0" w:color="auto"/>
            <w:bottom w:val="none" w:sz="0" w:space="0" w:color="auto"/>
            <w:right w:val="none" w:sz="0" w:space="0" w:color="auto"/>
          </w:divBdr>
        </w:div>
        <w:div w:id="295910907">
          <w:marLeft w:val="480"/>
          <w:marRight w:val="0"/>
          <w:marTop w:val="0"/>
          <w:marBottom w:val="0"/>
          <w:divBdr>
            <w:top w:val="none" w:sz="0" w:space="0" w:color="auto"/>
            <w:left w:val="none" w:sz="0" w:space="0" w:color="auto"/>
            <w:bottom w:val="none" w:sz="0" w:space="0" w:color="auto"/>
            <w:right w:val="none" w:sz="0" w:space="0" w:color="auto"/>
          </w:divBdr>
        </w:div>
        <w:div w:id="1618679760">
          <w:marLeft w:val="480"/>
          <w:marRight w:val="0"/>
          <w:marTop w:val="0"/>
          <w:marBottom w:val="0"/>
          <w:divBdr>
            <w:top w:val="none" w:sz="0" w:space="0" w:color="auto"/>
            <w:left w:val="none" w:sz="0" w:space="0" w:color="auto"/>
            <w:bottom w:val="none" w:sz="0" w:space="0" w:color="auto"/>
            <w:right w:val="none" w:sz="0" w:space="0" w:color="auto"/>
          </w:divBdr>
        </w:div>
        <w:div w:id="262689109">
          <w:marLeft w:val="480"/>
          <w:marRight w:val="0"/>
          <w:marTop w:val="0"/>
          <w:marBottom w:val="0"/>
          <w:divBdr>
            <w:top w:val="none" w:sz="0" w:space="0" w:color="auto"/>
            <w:left w:val="none" w:sz="0" w:space="0" w:color="auto"/>
            <w:bottom w:val="none" w:sz="0" w:space="0" w:color="auto"/>
            <w:right w:val="none" w:sz="0" w:space="0" w:color="auto"/>
          </w:divBdr>
        </w:div>
        <w:div w:id="923028251">
          <w:marLeft w:val="480"/>
          <w:marRight w:val="0"/>
          <w:marTop w:val="0"/>
          <w:marBottom w:val="0"/>
          <w:divBdr>
            <w:top w:val="none" w:sz="0" w:space="0" w:color="auto"/>
            <w:left w:val="none" w:sz="0" w:space="0" w:color="auto"/>
            <w:bottom w:val="none" w:sz="0" w:space="0" w:color="auto"/>
            <w:right w:val="none" w:sz="0" w:space="0" w:color="auto"/>
          </w:divBdr>
        </w:div>
        <w:div w:id="1542404911">
          <w:marLeft w:val="480"/>
          <w:marRight w:val="0"/>
          <w:marTop w:val="0"/>
          <w:marBottom w:val="0"/>
          <w:divBdr>
            <w:top w:val="none" w:sz="0" w:space="0" w:color="auto"/>
            <w:left w:val="none" w:sz="0" w:space="0" w:color="auto"/>
            <w:bottom w:val="none" w:sz="0" w:space="0" w:color="auto"/>
            <w:right w:val="none" w:sz="0" w:space="0" w:color="auto"/>
          </w:divBdr>
        </w:div>
        <w:div w:id="96142581">
          <w:marLeft w:val="480"/>
          <w:marRight w:val="0"/>
          <w:marTop w:val="0"/>
          <w:marBottom w:val="0"/>
          <w:divBdr>
            <w:top w:val="none" w:sz="0" w:space="0" w:color="auto"/>
            <w:left w:val="none" w:sz="0" w:space="0" w:color="auto"/>
            <w:bottom w:val="none" w:sz="0" w:space="0" w:color="auto"/>
            <w:right w:val="none" w:sz="0" w:space="0" w:color="auto"/>
          </w:divBdr>
        </w:div>
        <w:div w:id="1034886521">
          <w:marLeft w:val="480"/>
          <w:marRight w:val="0"/>
          <w:marTop w:val="0"/>
          <w:marBottom w:val="0"/>
          <w:divBdr>
            <w:top w:val="none" w:sz="0" w:space="0" w:color="auto"/>
            <w:left w:val="none" w:sz="0" w:space="0" w:color="auto"/>
            <w:bottom w:val="none" w:sz="0" w:space="0" w:color="auto"/>
            <w:right w:val="none" w:sz="0" w:space="0" w:color="auto"/>
          </w:divBdr>
        </w:div>
        <w:div w:id="925458678">
          <w:marLeft w:val="480"/>
          <w:marRight w:val="0"/>
          <w:marTop w:val="0"/>
          <w:marBottom w:val="0"/>
          <w:divBdr>
            <w:top w:val="none" w:sz="0" w:space="0" w:color="auto"/>
            <w:left w:val="none" w:sz="0" w:space="0" w:color="auto"/>
            <w:bottom w:val="none" w:sz="0" w:space="0" w:color="auto"/>
            <w:right w:val="none" w:sz="0" w:space="0" w:color="auto"/>
          </w:divBdr>
        </w:div>
        <w:div w:id="1345475397">
          <w:marLeft w:val="480"/>
          <w:marRight w:val="0"/>
          <w:marTop w:val="0"/>
          <w:marBottom w:val="0"/>
          <w:divBdr>
            <w:top w:val="none" w:sz="0" w:space="0" w:color="auto"/>
            <w:left w:val="none" w:sz="0" w:space="0" w:color="auto"/>
            <w:bottom w:val="none" w:sz="0" w:space="0" w:color="auto"/>
            <w:right w:val="none" w:sz="0" w:space="0" w:color="auto"/>
          </w:divBdr>
        </w:div>
        <w:div w:id="463814199">
          <w:marLeft w:val="480"/>
          <w:marRight w:val="0"/>
          <w:marTop w:val="0"/>
          <w:marBottom w:val="0"/>
          <w:divBdr>
            <w:top w:val="none" w:sz="0" w:space="0" w:color="auto"/>
            <w:left w:val="none" w:sz="0" w:space="0" w:color="auto"/>
            <w:bottom w:val="none" w:sz="0" w:space="0" w:color="auto"/>
            <w:right w:val="none" w:sz="0" w:space="0" w:color="auto"/>
          </w:divBdr>
        </w:div>
        <w:div w:id="1329938575">
          <w:marLeft w:val="480"/>
          <w:marRight w:val="0"/>
          <w:marTop w:val="0"/>
          <w:marBottom w:val="0"/>
          <w:divBdr>
            <w:top w:val="none" w:sz="0" w:space="0" w:color="auto"/>
            <w:left w:val="none" w:sz="0" w:space="0" w:color="auto"/>
            <w:bottom w:val="none" w:sz="0" w:space="0" w:color="auto"/>
            <w:right w:val="none" w:sz="0" w:space="0" w:color="auto"/>
          </w:divBdr>
        </w:div>
        <w:div w:id="1478456412">
          <w:marLeft w:val="480"/>
          <w:marRight w:val="0"/>
          <w:marTop w:val="0"/>
          <w:marBottom w:val="0"/>
          <w:divBdr>
            <w:top w:val="none" w:sz="0" w:space="0" w:color="auto"/>
            <w:left w:val="none" w:sz="0" w:space="0" w:color="auto"/>
            <w:bottom w:val="none" w:sz="0" w:space="0" w:color="auto"/>
            <w:right w:val="none" w:sz="0" w:space="0" w:color="auto"/>
          </w:divBdr>
        </w:div>
        <w:div w:id="115410911">
          <w:marLeft w:val="480"/>
          <w:marRight w:val="0"/>
          <w:marTop w:val="0"/>
          <w:marBottom w:val="0"/>
          <w:divBdr>
            <w:top w:val="none" w:sz="0" w:space="0" w:color="auto"/>
            <w:left w:val="none" w:sz="0" w:space="0" w:color="auto"/>
            <w:bottom w:val="none" w:sz="0" w:space="0" w:color="auto"/>
            <w:right w:val="none" w:sz="0" w:space="0" w:color="auto"/>
          </w:divBdr>
        </w:div>
        <w:div w:id="45564580">
          <w:marLeft w:val="480"/>
          <w:marRight w:val="0"/>
          <w:marTop w:val="0"/>
          <w:marBottom w:val="0"/>
          <w:divBdr>
            <w:top w:val="none" w:sz="0" w:space="0" w:color="auto"/>
            <w:left w:val="none" w:sz="0" w:space="0" w:color="auto"/>
            <w:bottom w:val="none" w:sz="0" w:space="0" w:color="auto"/>
            <w:right w:val="none" w:sz="0" w:space="0" w:color="auto"/>
          </w:divBdr>
        </w:div>
        <w:div w:id="532809408">
          <w:marLeft w:val="480"/>
          <w:marRight w:val="0"/>
          <w:marTop w:val="0"/>
          <w:marBottom w:val="0"/>
          <w:divBdr>
            <w:top w:val="none" w:sz="0" w:space="0" w:color="auto"/>
            <w:left w:val="none" w:sz="0" w:space="0" w:color="auto"/>
            <w:bottom w:val="none" w:sz="0" w:space="0" w:color="auto"/>
            <w:right w:val="none" w:sz="0" w:space="0" w:color="auto"/>
          </w:divBdr>
        </w:div>
        <w:div w:id="128136383">
          <w:marLeft w:val="480"/>
          <w:marRight w:val="0"/>
          <w:marTop w:val="0"/>
          <w:marBottom w:val="0"/>
          <w:divBdr>
            <w:top w:val="none" w:sz="0" w:space="0" w:color="auto"/>
            <w:left w:val="none" w:sz="0" w:space="0" w:color="auto"/>
            <w:bottom w:val="none" w:sz="0" w:space="0" w:color="auto"/>
            <w:right w:val="none" w:sz="0" w:space="0" w:color="auto"/>
          </w:divBdr>
        </w:div>
        <w:div w:id="402526402">
          <w:marLeft w:val="480"/>
          <w:marRight w:val="0"/>
          <w:marTop w:val="0"/>
          <w:marBottom w:val="0"/>
          <w:divBdr>
            <w:top w:val="none" w:sz="0" w:space="0" w:color="auto"/>
            <w:left w:val="none" w:sz="0" w:space="0" w:color="auto"/>
            <w:bottom w:val="none" w:sz="0" w:space="0" w:color="auto"/>
            <w:right w:val="none" w:sz="0" w:space="0" w:color="auto"/>
          </w:divBdr>
        </w:div>
        <w:div w:id="2128960062">
          <w:marLeft w:val="480"/>
          <w:marRight w:val="0"/>
          <w:marTop w:val="0"/>
          <w:marBottom w:val="0"/>
          <w:divBdr>
            <w:top w:val="none" w:sz="0" w:space="0" w:color="auto"/>
            <w:left w:val="none" w:sz="0" w:space="0" w:color="auto"/>
            <w:bottom w:val="none" w:sz="0" w:space="0" w:color="auto"/>
            <w:right w:val="none" w:sz="0" w:space="0" w:color="auto"/>
          </w:divBdr>
        </w:div>
        <w:div w:id="694621590">
          <w:marLeft w:val="480"/>
          <w:marRight w:val="0"/>
          <w:marTop w:val="0"/>
          <w:marBottom w:val="0"/>
          <w:divBdr>
            <w:top w:val="none" w:sz="0" w:space="0" w:color="auto"/>
            <w:left w:val="none" w:sz="0" w:space="0" w:color="auto"/>
            <w:bottom w:val="none" w:sz="0" w:space="0" w:color="auto"/>
            <w:right w:val="none" w:sz="0" w:space="0" w:color="auto"/>
          </w:divBdr>
        </w:div>
        <w:div w:id="886331716">
          <w:marLeft w:val="480"/>
          <w:marRight w:val="0"/>
          <w:marTop w:val="0"/>
          <w:marBottom w:val="0"/>
          <w:divBdr>
            <w:top w:val="none" w:sz="0" w:space="0" w:color="auto"/>
            <w:left w:val="none" w:sz="0" w:space="0" w:color="auto"/>
            <w:bottom w:val="none" w:sz="0" w:space="0" w:color="auto"/>
            <w:right w:val="none" w:sz="0" w:space="0" w:color="auto"/>
          </w:divBdr>
        </w:div>
        <w:div w:id="949095249">
          <w:marLeft w:val="480"/>
          <w:marRight w:val="0"/>
          <w:marTop w:val="0"/>
          <w:marBottom w:val="0"/>
          <w:divBdr>
            <w:top w:val="none" w:sz="0" w:space="0" w:color="auto"/>
            <w:left w:val="none" w:sz="0" w:space="0" w:color="auto"/>
            <w:bottom w:val="none" w:sz="0" w:space="0" w:color="auto"/>
            <w:right w:val="none" w:sz="0" w:space="0" w:color="auto"/>
          </w:divBdr>
        </w:div>
        <w:div w:id="860701194">
          <w:marLeft w:val="480"/>
          <w:marRight w:val="0"/>
          <w:marTop w:val="0"/>
          <w:marBottom w:val="0"/>
          <w:divBdr>
            <w:top w:val="none" w:sz="0" w:space="0" w:color="auto"/>
            <w:left w:val="none" w:sz="0" w:space="0" w:color="auto"/>
            <w:bottom w:val="none" w:sz="0" w:space="0" w:color="auto"/>
            <w:right w:val="none" w:sz="0" w:space="0" w:color="auto"/>
          </w:divBdr>
        </w:div>
        <w:div w:id="83235386">
          <w:marLeft w:val="480"/>
          <w:marRight w:val="0"/>
          <w:marTop w:val="0"/>
          <w:marBottom w:val="0"/>
          <w:divBdr>
            <w:top w:val="none" w:sz="0" w:space="0" w:color="auto"/>
            <w:left w:val="none" w:sz="0" w:space="0" w:color="auto"/>
            <w:bottom w:val="none" w:sz="0" w:space="0" w:color="auto"/>
            <w:right w:val="none" w:sz="0" w:space="0" w:color="auto"/>
          </w:divBdr>
        </w:div>
        <w:div w:id="1150748573">
          <w:marLeft w:val="480"/>
          <w:marRight w:val="0"/>
          <w:marTop w:val="0"/>
          <w:marBottom w:val="0"/>
          <w:divBdr>
            <w:top w:val="none" w:sz="0" w:space="0" w:color="auto"/>
            <w:left w:val="none" w:sz="0" w:space="0" w:color="auto"/>
            <w:bottom w:val="none" w:sz="0" w:space="0" w:color="auto"/>
            <w:right w:val="none" w:sz="0" w:space="0" w:color="auto"/>
          </w:divBdr>
        </w:div>
        <w:div w:id="153575442">
          <w:marLeft w:val="480"/>
          <w:marRight w:val="0"/>
          <w:marTop w:val="0"/>
          <w:marBottom w:val="0"/>
          <w:divBdr>
            <w:top w:val="none" w:sz="0" w:space="0" w:color="auto"/>
            <w:left w:val="none" w:sz="0" w:space="0" w:color="auto"/>
            <w:bottom w:val="none" w:sz="0" w:space="0" w:color="auto"/>
            <w:right w:val="none" w:sz="0" w:space="0" w:color="auto"/>
          </w:divBdr>
        </w:div>
        <w:div w:id="926233951">
          <w:marLeft w:val="480"/>
          <w:marRight w:val="0"/>
          <w:marTop w:val="0"/>
          <w:marBottom w:val="0"/>
          <w:divBdr>
            <w:top w:val="none" w:sz="0" w:space="0" w:color="auto"/>
            <w:left w:val="none" w:sz="0" w:space="0" w:color="auto"/>
            <w:bottom w:val="none" w:sz="0" w:space="0" w:color="auto"/>
            <w:right w:val="none" w:sz="0" w:space="0" w:color="auto"/>
          </w:divBdr>
        </w:div>
        <w:div w:id="341202447">
          <w:marLeft w:val="480"/>
          <w:marRight w:val="0"/>
          <w:marTop w:val="0"/>
          <w:marBottom w:val="0"/>
          <w:divBdr>
            <w:top w:val="none" w:sz="0" w:space="0" w:color="auto"/>
            <w:left w:val="none" w:sz="0" w:space="0" w:color="auto"/>
            <w:bottom w:val="none" w:sz="0" w:space="0" w:color="auto"/>
            <w:right w:val="none" w:sz="0" w:space="0" w:color="auto"/>
          </w:divBdr>
        </w:div>
        <w:div w:id="250508226">
          <w:marLeft w:val="480"/>
          <w:marRight w:val="0"/>
          <w:marTop w:val="0"/>
          <w:marBottom w:val="0"/>
          <w:divBdr>
            <w:top w:val="none" w:sz="0" w:space="0" w:color="auto"/>
            <w:left w:val="none" w:sz="0" w:space="0" w:color="auto"/>
            <w:bottom w:val="none" w:sz="0" w:space="0" w:color="auto"/>
            <w:right w:val="none" w:sz="0" w:space="0" w:color="auto"/>
          </w:divBdr>
        </w:div>
        <w:div w:id="103887293">
          <w:marLeft w:val="480"/>
          <w:marRight w:val="0"/>
          <w:marTop w:val="0"/>
          <w:marBottom w:val="0"/>
          <w:divBdr>
            <w:top w:val="none" w:sz="0" w:space="0" w:color="auto"/>
            <w:left w:val="none" w:sz="0" w:space="0" w:color="auto"/>
            <w:bottom w:val="none" w:sz="0" w:space="0" w:color="auto"/>
            <w:right w:val="none" w:sz="0" w:space="0" w:color="auto"/>
          </w:divBdr>
        </w:div>
        <w:div w:id="922298450">
          <w:marLeft w:val="480"/>
          <w:marRight w:val="0"/>
          <w:marTop w:val="0"/>
          <w:marBottom w:val="0"/>
          <w:divBdr>
            <w:top w:val="none" w:sz="0" w:space="0" w:color="auto"/>
            <w:left w:val="none" w:sz="0" w:space="0" w:color="auto"/>
            <w:bottom w:val="none" w:sz="0" w:space="0" w:color="auto"/>
            <w:right w:val="none" w:sz="0" w:space="0" w:color="auto"/>
          </w:divBdr>
        </w:div>
        <w:div w:id="1909068640">
          <w:marLeft w:val="480"/>
          <w:marRight w:val="0"/>
          <w:marTop w:val="0"/>
          <w:marBottom w:val="0"/>
          <w:divBdr>
            <w:top w:val="none" w:sz="0" w:space="0" w:color="auto"/>
            <w:left w:val="none" w:sz="0" w:space="0" w:color="auto"/>
            <w:bottom w:val="none" w:sz="0" w:space="0" w:color="auto"/>
            <w:right w:val="none" w:sz="0" w:space="0" w:color="auto"/>
          </w:divBdr>
        </w:div>
        <w:div w:id="1657683634">
          <w:marLeft w:val="480"/>
          <w:marRight w:val="0"/>
          <w:marTop w:val="0"/>
          <w:marBottom w:val="0"/>
          <w:divBdr>
            <w:top w:val="none" w:sz="0" w:space="0" w:color="auto"/>
            <w:left w:val="none" w:sz="0" w:space="0" w:color="auto"/>
            <w:bottom w:val="none" w:sz="0" w:space="0" w:color="auto"/>
            <w:right w:val="none" w:sz="0" w:space="0" w:color="auto"/>
          </w:divBdr>
        </w:div>
        <w:div w:id="1562710149">
          <w:marLeft w:val="480"/>
          <w:marRight w:val="0"/>
          <w:marTop w:val="0"/>
          <w:marBottom w:val="0"/>
          <w:divBdr>
            <w:top w:val="none" w:sz="0" w:space="0" w:color="auto"/>
            <w:left w:val="none" w:sz="0" w:space="0" w:color="auto"/>
            <w:bottom w:val="none" w:sz="0" w:space="0" w:color="auto"/>
            <w:right w:val="none" w:sz="0" w:space="0" w:color="auto"/>
          </w:divBdr>
        </w:div>
        <w:div w:id="1303341404">
          <w:marLeft w:val="480"/>
          <w:marRight w:val="0"/>
          <w:marTop w:val="0"/>
          <w:marBottom w:val="0"/>
          <w:divBdr>
            <w:top w:val="none" w:sz="0" w:space="0" w:color="auto"/>
            <w:left w:val="none" w:sz="0" w:space="0" w:color="auto"/>
            <w:bottom w:val="none" w:sz="0" w:space="0" w:color="auto"/>
            <w:right w:val="none" w:sz="0" w:space="0" w:color="auto"/>
          </w:divBdr>
        </w:div>
        <w:div w:id="684677281">
          <w:marLeft w:val="480"/>
          <w:marRight w:val="0"/>
          <w:marTop w:val="0"/>
          <w:marBottom w:val="0"/>
          <w:divBdr>
            <w:top w:val="none" w:sz="0" w:space="0" w:color="auto"/>
            <w:left w:val="none" w:sz="0" w:space="0" w:color="auto"/>
            <w:bottom w:val="none" w:sz="0" w:space="0" w:color="auto"/>
            <w:right w:val="none" w:sz="0" w:space="0" w:color="auto"/>
          </w:divBdr>
        </w:div>
        <w:div w:id="1026714742">
          <w:marLeft w:val="480"/>
          <w:marRight w:val="0"/>
          <w:marTop w:val="0"/>
          <w:marBottom w:val="0"/>
          <w:divBdr>
            <w:top w:val="none" w:sz="0" w:space="0" w:color="auto"/>
            <w:left w:val="none" w:sz="0" w:space="0" w:color="auto"/>
            <w:bottom w:val="none" w:sz="0" w:space="0" w:color="auto"/>
            <w:right w:val="none" w:sz="0" w:space="0" w:color="auto"/>
          </w:divBdr>
        </w:div>
        <w:div w:id="454301004">
          <w:marLeft w:val="480"/>
          <w:marRight w:val="0"/>
          <w:marTop w:val="0"/>
          <w:marBottom w:val="0"/>
          <w:divBdr>
            <w:top w:val="none" w:sz="0" w:space="0" w:color="auto"/>
            <w:left w:val="none" w:sz="0" w:space="0" w:color="auto"/>
            <w:bottom w:val="none" w:sz="0" w:space="0" w:color="auto"/>
            <w:right w:val="none" w:sz="0" w:space="0" w:color="auto"/>
          </w:divBdr>
        </w:div>
        <w:div w:id="2143039509">
          <w:marLeft w:val="480"/>
          <w:marRight w:val="0"/>
          <w:marTop w:val="0"/>
          <w:marBottom w:val="0"/>
          <w:divBdr>
            <w:top w:val="none" w:sz="0" w:space="0" w:color="auto"/>
            <w:left w:val="none" w:sz="0" w:space="0" w:color="auto"/>
            <w:bottom w:val="none" w:sz="0" w:space="0" w:color="auto"/>
            <w:right w:val="none" w:sz="0" w:space="0" w:color="auto"/>
          </w:divBdr>
        </w:div>
        <w:div w:id="437141390">
          <w:marLeft w:val="480"/>
          <w:marRight w:val="0"/>
          <w:marTop w:val="0"/>
          <w:marBottom w:val="0"/>
          <w:divBdr>
            <w:top w:val="none" w:sz="0" w:space="0" w:color="auto"/>
            <w:left w:val="none" w:sz="0" w:space="0" w:color="auto"/>
            <w:bottom w:val="none" w:sz="0" w:space="0" w:color="auto"/>
            <w:right w:val="none" w:sz="0" w:space="0" w:color="auto"/>
          </w:divBdr>
        </w:div>
        <w:div w:id="1447624884">
          <w:marLeft w:val="480"/>
          <w:marRight w:val="0"/>
          <w:marTop w:val="0"/>
          <w:marBottom w:val="0"/>
          <w:divBdr>
            <w:top w:val="none" w:sz="0" w:space="0" w:color="auto"/>
            <w:left w:val="none" w:sz="0" w:space="0" w:color="auto"/>
            <w:bottom w:val="none" w:sz="0" w:space="0" w:color="auto"/>
            <w:right w:val="none" w:sz="0" w:space="0" w:color="auto"/>
          </w:divBdr>
        </w:div>
        <w:div w:id="143668989">
          <w:marLeft w:val="480"/>
          <w:marRight w:val="0"/>
          <w:marTop w:val="0"/>
          <w:marBottom w:val="0"/>
          <w:divBdr>
            <w:top w:val="none" w:sz="0" w:space="0" w:color="auto"/>
            <w:left w:val="none" w:sz="0" w:space="0" w:color="auto"/>
            <w:bottom w:val="none" w:sz="0" w:space="0" w:color="auto"/>
            <w:right w:val="none" w:sz="0" w:space="0" w:color="auto"/>
          </w:divBdr>
        </w:div>
        <w:div w:id="227309734">
          <w:marLeft w:val="480"/>
          <w:marRight w:val="0"/>
          <w:marTop w:val="0"/>
          <w:marBottom w:val="0"/>
          <w:divBdr>
            <w:top w:val="none" w:sz="0" w:space="0" w:color="auto"/>
            <w:left w:val="none" w:sz="0" w:space="0" w:color="auto"/>
            <w:bottom w:val="none" w:sz="0" w:space="0" w:color="auto"/>
            <w:right w:val="none" w:sz="0" w:space="0" w:color="auto"/>
          </w:divBdr>
        </w:div>
        <w:div w:id="456023342">
          <w:marLeft w:val="480"/>
          <w:marRight w:val="0"/>
          <w:marTop w:val="0"/>
          <w:marBottom w:val="0"/>
          <w:divBdr>
            <w:top w:val="none" w:sz="0" w:space="0" w:color="auto"/>
            <w:left w:val="none" w:sz="0" w:space="0" w:color="auto"/>
            <w:bottom w:val="none" w:sz="0" w:space="0" w:color="auto"/>
            <w:right w:val="none" w:sz="0" w:space="0" w:color="auto"/>
          </w:divBdr>
        </w:div>
        <w:div w:id="1411080863">
          <w:marLeft w:val="480"/>
          <w:marRight w:val="0"/>
          <w:marTop w:val="0"/>
          <w:marBottom w:val="0"/>
          <w:divBdr>
            <w:top w:val="none" w:sz="0" w:space="0" w:color="auto"/>
            <w:left w:val="none" w:sz="0" w:space="0" w:color="auto"/>
            <w:bottom w:val="none" w:sz="0" w:space="0" w:color="auto"/>
            <w:right w:val="none" w:sz="0" w:space="0" w:color="auto"/>
          </w:divBdr>
        </w:div>
        <w:div w:id="430130303">
          <w:marLeft w:val="480"/>
          <w:marRight w:val="0"/>
          <w:marTop w:val="0"/>
          <w:marBottom w:val="0"/>
          <w:divBdr>
            <w:top w:val="none" w:sz="0" w:space="0" w:color="auto"/>
            <w:left w:val="none" w:sz="0" w:space="0" w:color="auto"/>
            <w:bottom w:val="none" w:sz="0" w:space="0" w:color="auto"/>
            <w:right w:val="none" w:sz="0" w:space="0" w:color="auto"/>
          </w:divBdr>
        </w:div>
        <w:div w:id="1695035790">
          <w:marLeft w:val="480"/>
          <w:marRight w:val="0"/>
          <w:marTop w:val="0"/>
          <w:marBottom w:val="0"/>
          <w:divBdr>
            <w:top w:val="none" w:sz="0" w:space="0" w:color="auto"/>
            <w:left w:val="none" w:sz="0" w:space="0" w:color="auto"/>
            <w:bottom w:val="none" w:sz="0" w:space="0" w:color="auto"/>
            <w:right w:val="none" w:sz="0" w:space="0" w:color="auto"/>
          </w:divBdr>
        </w:div>
        <w:div w:id="499350908">
          <w:marLeft w:val="480"/>
          <w:marRight w:val="0"/>
          <w:marTop w:val="0"/>
          <w:marBottom w:val="0"/>
          <w:divBdr>
            <w:top w:val="none" w:sz="0" w:space="0" w:color="auto"/>
            <w:left w:val="none" w:sz="0" w:space="0" w:color="auto"/>
            <w:bottom w:val="none" w:sz="0" w:space="0" w:color="auto"/>
            <w:right w:val="none" w:sz="0" w:space="0" w:color="auto"/>
          </w:divBdr>
        </w:div>
        <w:div w:id="534346255">
          <w:marLeft w:val="480"/>
          <w:marRight w:val="0"/>
          <w:marTop w:val="0"/>
          <w:marBottom w:val="0"/>
          <w:divBdr>
            <w:top w:val="none" w:sz="0" w:space="0" w:color="auto"/>
            <w:left w:val="none" w:sz="0" w:space="0" w:color="auto"/>
            <w:bottom w:val="none" w:sz="0" w:space="0" w:color="auto"/>
            <w:right w:val="none" w:sz="0" w:space="0" w:color="auto"/>
          </w:divBdr>
        </w:div>
        <w:div w:id="1181503470">
          <w:marLeft w:val="480"/>
          <w:marRight w:val="0"/>
          <w:marTop w:val="0"/>
          <w:marBottom w:val="0"/>
          <w:divBdr>
            <w:top w:val="none" w:sz="0" w:space="0" w:color="auto"/>
            <w:left w:val="none" w:sz="0" w:space="0" w:color="auto"/>
            <w:bottom w:val="none" w:sz="0" w:space="0" w:color="auto"/>
            <w:right w:val="none" w:sz="0" w:space="0" w:color="auto"/>
          </w:divBdr>
        </w:div>
        <w:div w:id="2002344706">
          <w:marLeft w:val="480"/>
          <w:marRight w:val="0"/>
          <w:marTop w:val="0"/>
          <w:marBottom w:val="0"/>
          <w:divBdr>
            <w:top w:val="none" w:sz="0" w:space="0" w:color="auto"/>
            <w:left w:val="none" w:sz="0" w:space="0" w:color="auto"/>
            <w:bottom w:val="none" w:sz="0" w:space="0" w:color="auto"/>
            <w:right w:val="none" w:sz="0" w:space="0" w:color="auto"/>
          </w:divBdr>
        </w:div>
        <w:div w:id="158473595">
          <w:marLeft w:val="480"/>
          <w:marRight w:val="0"/>
          <w:marTop w:val="0"/>
          <w:marBottom w:val="0"/>
          <w:divBdr>
            <w:top w:val="none" w:sz="0" w:space="0" w:color="auto"/>
            <w:left w:val="none" w:sz="0" w:space="0" w:color="auto"/>
            <w:bottom w:val="none" w:sz="0" w:space="0" w:color="auto"/>
            <w:right w:val="none" w:sz="0" w:space="0" w:color="auto"/>
          </w:divBdr>
        </w:div>
        <w:div w:id="12458956">
          <w:marLeft w:val="480"/>
          <w:marRight w:val="0"/>
          <w:marTop w:val="0"/>
          <w:marBottom w:val="0"/>
          <w:divBdr>
            <w:top w:val="none" w:sz="0" w:space="0" w:color="auto"/>
            <w:left w:val="none" w:sz="0" w:space="0" w:color="auto"/>
            <w:bottom w:val="none" w:sz="0" w:space="0" w:color="auto"/>
            <w:right w:val="none" w:sz="0" w:space="0" w:color="auto"/>
          </w:divBdr>
        </w:div>
        <w:div w:id="64186299">
          <w:marLeft w:val="480"/>
          <w:marRight w:val="0"/>
          <w:marTop w:val="0"/>
          <w:marBottom w:val="0"/>
          <w:divBdr>
            <w:top w:val="none" w:sz="0" w:space="0" w:color="auto"/>
            <w:left w:val="none" w:sz="0" w:space="0" w:color="auto"/>
            <w:bottom w:val="none" w:sz="0" w:space="0" w:color="auto"/>
            <w:right w:val="none" w:sz="0" w:space="0" w:color="auto"/>
          </w:divBdr>
        </w:div>
        <w:div w:id="181092418">
          <w:marLeft w:val="480"/>
          <w:marRight w:val="0"/>
          <w:marTop w:val="0"/>
          <w:marBottom w:val="0"/>
          <w:divBdr>
            <w:top w:val="none" w:sz="0" w:space="0" w:color="auto"/>
            <w:left w:val="none" w:sz="0" w:space="0" w:color="auto"/>
            <w:bottom w:val="none" w:sz="0" w:space="0" w:color="auto"/>
            <w:right w:val="none" w:sz="0" w:space="0" w:color="auto"/>
          </w:divBdr>
        </w:div>
        <w:div w:id="766921475">
          <w:marLeft w:val="480"/>
          <w:marRight w:val="0"/>
          <w:marTop w:val="0"/>
          <w:marBottom w:val="0"/>
          <w:divBdr>
            <w:top w:val="none" w:sz="0" w:space="0" w:color="auto"/>
            <w:left w:val="none" w:sz="0" w:space="0" w:color="auto"/>
            <w:bottom w:val="none" w:sz="0" w:space="0" w:color="auto"/>
            <w:right w:val="none" w:sz="0" w:space="0" w:color="auto"/>
          </w:divBdr>
        </w:div>
        <w:div w:id="1096169755">
          <w:marLeft w:val="480"/>
          <w:marRight w:val="0"/>
          <w:marTop w:val="0"/>
          <w:marBottom w:val="0"/>
          <w:divBdr>
            <w:top w:val="none" w:sz="0" w:space="0" w:color="auto"/>
            <w:left w:val="none" w:sz="0" w:space="0" w:color="auto"/>
            <w:bottom w:val="none" w:sz="0" w:space="0" w:color="auto"/>
            <w:right w:val="none" w:sz="0" w:space="0" w:color="auto"/>
          </w:divBdr>
        </w:div>
        <w:div w:id="1206134659">
          <w:marLeft w:val="480"/>
          <w:marRight w:val="0"/>
          <w:marTop w:val="0"/>
          <w:marBottom w:val="0"/>
          <w:divBdr>
            <w:top w:val="none" w:sz="0" w:space="0" w:color="auto"/>
            <w:left w:val="none" w:sz="0" w:space="0" w:color="auto"/>
            <w:bottom w:val="none" w:sz="0" w:space="0" w:color="auto"/>
            <w:right w:val="none" w:sz="0" w:space="0" w:color="auto"/>
          </w:divBdr>
        </w:div>
        <w:div w:id="1663268871">
          <w:marLeft w:val="480"/>
          <w:marRight w:val="0"/>
          <w:marTop w:val="0"/>
          <w:marBottom w:val="0"/>
          <w:divBdr>
            <w:top w:val="none" w:sz="0" w:space="0" w:color="auto"/>
            <w:left w:val="none" w:sz="0" w:space="0" w:color="auto"/>
            <w:bottom w:val="none" w:sz="0" w:space="0" w:color="auto"/>
            <w:right w:val="none" w:sz="0" w:space="0" w:color="auto"/>
          </w:divBdr>
        </w:div>
        <w:div w:id="1497452144">
          <w:marLeft w:val="480"/>
          <w:marRight w:val="0"/>
          <w:marTop w:val="0"/>
          <w:marBottom w:val="0"/>
          <w:divBdr>
            <w:top w:val="none" w:sz="0" w:space="0" w:color="auto"/>
            <w:left w:val="none" w:sz="0" w:space="0" w:color="auto"/>
            <w:bottom w:val="none" w:sz="0" w:space="0" w:color="auto"/>
            <w:right w:val="none" w:sz="0" w:space="0" w:color="auto"/>
          </w:divBdr>
        </w:div>
        <w:div w:id="1338926890">
          <w:marLeft w:val="480"/>
          <w:marRight w:val="0"/>
          <w:marTop w:val="0"/>
          <w:marBottom w:val="0"/>
          <w:divBdr>
            <w:top w:val="none" w:sz="0" w:space="0" w:color="auto"/>
            <w:left w:val="none" w:sz="0" w:space="0" w:color="auto"/>
            <w:bottom w:val="none" w:sz="0" w:space="0" w:color="auto"/>
            <w:right w:val="none" w:sz="0" w:space="0" w:color="auto"/>
          </w:divBdr>
        </w:div>
        <w:div w:id="1665474559">
          <w:marLeft w:val="480"/>
          <w:marRight w:val="0"/>
          <w:marTop w:val="0"/>
          <w:marBottom w:val="0"/>
          <w:divBdr>
            <w:top w:val="none" w:sz="0" w:space="0" w:color="auto"/>
            <w:left w:val="none" w:sz="0" w:space="0" w:color="auto"/>
            <w:bottom w:val="none" w:sz="0" w:space="0" w:color="auto"/>
            <w:right w:val="none" w:sz="0" w:space="0" w:color="auto"/>
          </w:divBdr>
        </w:div>
        <w:div w:id="2103453274">
          <w:marLeft w:val="480"/>
          <w:marRight w:val="0"/>
          <w:marTop w:val="0"/>
          <w:marBottom w:val="0"/>
          <w:divBdr>
            <w:top w:val="none" w:sz="0" w:space="0" w:color="auto"/>
            <w:left w:val="none" w:sz="0" w:space="0" w:color="auto"/>
            <w:bottom w:val="none" w:sz="0" w:space="0" w:color="auto"/>
            <w:right w:val="none" w:sz="0" w:space="0" w:color="auto"/>
          </w:divBdr>
        </w:div>
        <w:div w:id="1465199988">
          <w:marLeft w:val="480"/>
          <w:marRight w:val="0"/>
          <w:marTop w:val="0"/>
          <w:marBottom w:val="0"/>
          <w:divBdr>
            <w:top w:val="none" w:sz="0" w:space="0" w:color="auto"/>
            <w:left w:val="none" w:sz="0" w:space="0" w:color="auto"/>
            <w:bottom w:val="none" w:sz="0" w:space="0" w:color="auto"/>
            <w:right w:val="none" w:sz="0" w:space="0" w:color="auto"/>
          </w:divBdr>
        </w:div>
        <w:div w:id="1222475051">
          <w:marLeft w:val="480"/>
          <w:marRight w:val="0"/>
          <w:marTop w:val="0"/>
          <w:marBottom w:val="0"/>
          <w:divBdr>
            <w:top w:val="none" w:sz="0" w:space="0" w:color="auto"/>
            <w:left w:val="none" w:sz="0" w:space="0" w:color="auto"/>
            <w:bottom w:val="none" w:sz="0" w:space="0" w:color="auto"/>
            <w:right w:val="none" w:sz="0" w:space="0" w:color="auto"/>
          </w:divBdr>
        </w:div>
        <w:div w:id="442380647">
          <w:marLeft w:val="480"/>
          <w:marRight w:val="0"/>
          <w:marTop w:val="0"/>
          <w:marBottom w:val="0"/>
          <w:divBdr>
            <w:top w:val="none" w:sz="0" w:space="0" w:color="auto"/>
            <w:left w:val="none" w:sz="0" w:space="0" w:color="auto"/>
            <w:bottom w:val="none" w:sz="0" w:space="0" w:color="auto"/>
            <w:right w:val="none" w:sz="0" w:space="0" w:color="auto"/>
          </w:divBdr>
        </w:div>
        <w:div w:id="1611665687">
          <w:marLeft w:val="480"/>
          <w:marRight w:val="0"/>
          <w:marTop w:val="0"/>
          <w:marBottom w:val="0"/>
          <w:divBdr>
            <w:top w:val="none" w:sz="0" w:space="0" w:color="auto"/>
            <w:left w:val="none" w:sz="0" w:space="0" w:color="auto"/>
            <w:bottom w:val="none" w:sz="0" w:space="0" w:color="auto"/>
            <w:right w:val="none" w:sz="0" w:space="0" w:color="auto"/>
          </w:divBdr>
        </w:div>
        <w:div w:id="740755161">
          <w:marLeft w:val="480"/>
          <w:marRight w:val="0"/>
          <w:marTop w:val="0"/>
          <w:marBottom w:val="0"/>
          <w:divBdr>
            <w:top w:val="none" w:sz="0" w:space="0" w:color="auto"/>
            <w:left w:val="none" w:sz="0" w:space="0" w:color="auto"/>
            <w:bottom w:val="none" w:sz="0" w:space="0" w:color="auto"/>
            <w:right w:val="none" w:sz="0" w:space="0" w:color="auto"/>
          </w:divBdr>
        </w:div>
        <w:div w:id="1198346997">
          <w:marLeft w:val="480"/>
          <w:marRight w:val="0"/>
          <w:marTop w:val="0"/>
          <w:marBottom w:val="0"/>
          <w:divBdr>
            <w:top w:val="none" w:sz="0" w:space="0" w:color="auto"/>
            <w:left w:val="none" w:sz="0" w:space="0" w:color="auto"/>
            <w:bottom w:val="none" w:sz="0" w:space="0" w:color="auto"/>
            <w:right w:val="none" w:sz="0" w:space="0" w:color="auto"/>
          </w:divBdr>
        </w:div>
        <w:div w:id="798494945">
          <w:marLeft w:val="480"/>
          <w:marRight w:val="0"/>
          <w:marTop w:val="0"/>
          <w:marBottom w:val="0"/>
          <w:divBdr>
            <w:top w:val="none" w:sz="0" w:space="0" w:color="auto"/>
            <w:left w:val="none" w:sz="0" w:space="0" w:color="auto"/>
            <w:bottom w:val="none" w:sz="0" w:space="0" w:color="auto"/>
            <w:right w:val="none" w:sz="0" w:space="0" w:color="auto"/>
          </w:divBdr>
        </w:div>
        <w:div w:id="305090011">
          <w:marLeft w:val="480"/>
          <w:marRight w:val="0"/>
          <w:marTop w:val="0"/>
          <w:marBottom w:val="0"/>
          <w:divBdr>
            <w:top w:val="none" w:sz="0" w:space="0" w:color="auto"/>
            <w:left w:val="none" w:sz="0" w:space="0" w:color="auto"/>
            <w:bottom w:val="none" w:sz="0" w:space="0" w:color="auto"/>
            <w:right w:val="none" w:sz="0" w:space="0" w:color="auto"/>
          </w:divBdr>
        </w:div>
        <w:div w:id="1612273977">
          <w:marLeft w:val="480"/>
          <w:marRight w:val="0"/>
          <w:marTop w:val="0"/>
          <w:marBottom w:val="0"/>
          <w:divBdr>
            <w:top w:val="none" w:sz="0" w:space="0" w:color="auto"/>
            <w:left w:val="none" w:sz="0" w:space="0" w:color="auto"/>
            <w:bottom w:val="none" w:sz="0" w:space="0" w:color="auto"/>
            <w:right w:val="none" w:sz="0" w:space="0" w:color="auto"/>
          </w:divBdr>
        </w:div>
        <w:div w:id="1878348095">
          <w:marLeft w:val="480"/>
          <w:marRight w:val="0"/>
          <w:marTop w:val="0"/>
          <w:marBottom w:val="0"/>
          <w:divBdr>
            <w:top w:val="none" w:sz="0" w:space="0" w:color="auto"/>
            <w:left w:val="none" w:sz="0" w:space="0" w:color="auto"/>
            <w:bottom w:val="none" w:sz="0" w:space="0" w:color="auto"/>
            <w:right w:val="none" w:sz="0" w:space="0" w:color="auto"/>
          </w:divBdr>
        </w:div>
        <w:div w:id="1949583588">
          <w:marLeft w:val="480"/>
          <w:marRight w:val="0"/>
          <w:marTop w:val="0"/>
          <w:marBottom w:val="0"/>
          <w:divBdr>
            <w:top w:val="none" w:sz="0" w:space="0" w:color="auto"/>
            <w:left w:val="none" w:sz="0" w:space="0" w:color="auto"/>
            <w:bottom w:val="none" w:sz="0" w:space="0" w:color="auto"/>
            <w:right w:val="none" w:sz="0" w:space="0" w:color="auto"/>
          </w:divBdr>
        </w:div>
        <w:div w:id="1963799854">
          <w:marLeft w:val="480"/>
          <w:marRight w:val="0"/>
          <w:marTop w:val="0"/>
          <w:marBottom w:val="0"/>
          <w:divBdr>
            <w:top w:val="none" w:sz="0" w:space="0" w:color="auto"/>
            <w:left w:val="none" w:sz="0" w:space="0" w:color="auto"/>
            <w:bottom w:val="none" w:sz="0" w:space="0" w:color="auto"/>
            <w:right w:val="none" w:sz="0" w:space="0" w:color="auto"/>
          </w:divBdr>
        </w:div>
        <w:div w:id="1059136231">
          <w:marLeft w:val="480"/>
          <w:marRight w:val="0"/>
          <w:marTop w:val="0"/>
          <w:marBottom w:val="0"/>
          <w:divBdr>
            <w:top w:val="none" w:sz="0" w:space="0" w:color="auto"/>
            <w:left w:val="none" w:sz="0" w:space="0" w:color="auto"/>
            <w:bottom w:val="none" w:sz="0" w:space="0" w:color="auto"/>
            <w:right w:val="none" w:sz="0" w:space="0" w:color="auto"/>
          </w:divBdr>
        </w:div>
        <w:div w:id="2009096186">
          <w:marLeft w:val="480"/>
          <w:marRight w:val="0"/>
          <w:marTop w:val="0"/>
          <w:marBottom w:val="0"/>
          <w:divBdr>
            <w:top w:val="none" w:sz="0" w:space="0" w:color="auto"/>
            <w:left w:val="none" w:sz="0" w:space="0" w:color="auto"/>
            <w:bottom w:val="none" w:sz="0" w:space="0" w:color="auto"/>
            <w:right w:val="none" w:sz="0" w:space="0" w:color="auto"/>
          </w:divBdr>
        </w:div>
        <w:div w:id="691805080">
          <w:marLeft w:val="480"/>
          <w:marRight w:val="0"/>
          <w:marTop w:val="0"/>
          <w:marBottom w:val="0"/>
          <w:divBdr>
            <w:top w:val="none" w:sz="0" w:space="0" w:color="auto"/>
            <w:left w:val="none" w:sz="0" w:space="0" w:color="auto"/>
            <w:bottom w:val="none" w:sz="0" w:space="0" w:color="auto"/>
            <w:right w:val="none" w:sz="0" w:space="0" w:color="auto"/>
          </w:divBdr>
        </w:div>
        <w:div w:id="608464356">
          <w:marLeft w:val="480"/>
          <w:marRight w:val="0"/>
          <w:marTop w:val="0"/>
          <w:marBottom w:val="0"/>
          <w:divBdr>
            <w:top w:val="none" w:sz="0" w:space="0" w:color="auto"/>
            <w:left w:val="none" w:sz="0" w:space="0" w:color="auto"/>
            <w:bottom w:val="none" w:sz="0" w:space="0" w:color="auto"/>
            <w:right w:val="none" w:sz="0" w:space="0" w:color="auto"/>
          </w:divBdr>
        </w:div>
        <w:div w:id="1955480928">
          <w:marLeft w:val="480"/>
          <w:marRight w:val="0"/>
          <w:marTop w:val="0"/>
          <w:marBottom w:val="0"/>
          <w:divBdr>
            <w:top w:val="none" w:sz="0" w:space="0" w:color="auto"/>
            <w:left w:val="none" w:sz="0" w:space="0" w:color="auto"/>
            <w:bottom w:val="none" w:sz="0" w:space="0" w:color="auto"/>
            <w:right w:val="none" w:sz="0" w:space="0" w:color="auto"/>
          </w:divBdr>
        </w:div>
        <w:div w:id="84695268">
          <w:marLeft w:val="480"/>
          <w:marRight w:val="0"/>
          <w:marTop w:val="0"/>
          <w:marBottom w:val="0"/>
          <w:divBdr>
            <w:top w:val="none" w:sz="0" w:space="0" w:color="auto"/>
            <w:left w:val="none" w:sz="0" w:space="0" w:color="auto"/>
            <w:bottom w:val="none" w:sz="0" w:space="0" w:color="auto"/>
            <w:right w:val="none" w:sz="0" w:space="0" w:color="auto"/>
          </w:divBdr>
        </w:div>
        <w:div w:id="1484540474">
          <w:marLeft w:val="480"/>
          <w:marRight w:val="0"/>
          <w:marTop w:val="0"/>
          <w:marBottom w:val="0"/>
          <w:divBdr>
            <w:top w:val="none" w:sz="0" w:space="0" w:color="auto"/>
            <w:left w:val="none" w:sz="0" w:space="0" w:color="auto"/>
            <w:bottom w:val="none" w:sz="0" w:space="0" w:color="auto"/>
            <w:right w:val="none" w:sz="0" w:space="0" w:color="auto"/>
          </w:divBdr>
        </w:div>
        <w:div w:id="1142625163">
          <w:marLeft w:val="480"/>
          <w:marRight w:val="0"/>
          <w:marTop w:val="0"/>
          <w:marBottom w:val="0"/>
          <w:divBdr>
            <w:top w:val="none" w:sz="0" w:space="0" w:color="auto"/>
            <w:left w:val="none" w:sz="0" w:space="0" w:color="auto"/>
            <w:bottom w:val="none" w:sz="0" w:space="0" w:color="auto"/>
            <w:right w:val="none" w:sz="0" w:space="0" w:color="auto"/>
          </w:divBdr>
        </w:div>
        <w:div w:id="912082505">
          <w:marLeft w:val="480"/>
          <w:marRight w:val="0"/>
          <w:marTop w:val="0"/>
          <w:marBottom w:val="0"/>
          <w:divBdr>
            <w:top w:val="none" w:sz="0" w:space="0" w:color="auto"/>
            <w:left w:val="none" w:sz="0" w:space="0" w:color="auto"/>
            <w:bottom w:val="none" w:sz="0" w:space="0" w:color="auto"/>
            <w:right w:val="none" w:sz="0" w:space="0" w:color="auto"/>
          </w:divBdr>
        </w:div>
        <w:div w:id="222451612">
          <w:marLeft w:val="480"/>
          <w:marRight w:val="0"/>
          <w:marTop w:val="0"/>
          <w:marBottom w:val="0"/>
          <w:divBdr>
            <w:top w:val="none" w:sz="0" w:space="0" w:color="auto"/>
            <w:left w:val="none" w:sz="0" w:space="0" w:color="auto"/>
            <w:bottom w:val="none" w:sz="0" w:space="0" w:color="auto"/>
            <w:right w:val="none" w:sz="0" w:space="0" w:color="auto"/>
          </w:divBdr>
        </w:div>
        <w:div w:id="815953004">
          <w:marLeft w:val="480"/>
          <w:marRight w:val="0"/>
          <w:marTop w:val="0"/>
          <w:marBottom w:val="0"/>
          <w:divBdr>
            <w:top w:val="none" w:sz="0" w:space="0" w:color="auto"/>
            <w:left w:val="none" w:sz="0" w:space="0" w:color="auto"/>
            <w:bottom w:val="none" w:sz="0" w:space="0" w:color="auto"/>
            <w:right w:val="none" w:sz="0" w:space="0" w:color="auto"/>
          </w:divBdr>
        </w:div>
        <w:div w:id="206571499">
          <w:marLeft w:val="480"/>
          <w:marRight w:val="0"/>
          <w:marTop w:val="0"/>
          <w:marBottom w:val="0"/>
          <w:divBdr>
            <w:top w:val="none" w:sz="0" w:space="0" w:color="auto"/>
            <w:left w:val="none" w:sz="0" w:space="0" w:color="auto"/>
            <w:bottom w:val="none" w:sz="0" w:space="0" w:color="auto"/>
            <w:right w:val="none" w:sz="0" w:space="0" w:color="auto"/>
          </w:divBdr>
        </w:div>
        <w:div w:id="1564831201">
          <w:marLeft w:val="480"/>
          <w:marRight w:val="0"/>
          <w:marTop w:val="0"/>
          <w:marBottom w:val="0"/>
          <w:divBdr>
            <w:top w:val="none" w:sz="0" w:space="0" w:color="auto"/>
            <w:left w:val="none" w:sz="0" w:space="0" w:color="auto"/>
            <w:bottom w:val="none" w:sz="0" w:space="0" w:color="auto"/>
            <w:right w:val="none" w:sz="0" w:space="0" w:color="auto"/>
          </w:divBdr>
        </w:div>
        <w:div w:id="155071320">
          <w:marLeft w:val="480"/>
          <w:marRight w:val="0"/>
          <w:marTop w:val="0"/>
          <w:marBottom w:val="0"/>
          <w:divBdr>
            <w:top w:val="none" w:sz="0" w:space="0" w:color="auto"/>
            <w:left w:val="none" w:sz="0" w:space="0" w:color="auto"/>
            <w:bottom w:val="none" w:sz="0" w:space="0" w:color="auto"/>
            <w:right w:val="none" w:sz="0" w:space="0" w:color="auto"/>
          </w:divBdr>
        </w:div>
        <w:div w:id="1433017333">
          <w:marLeft w:val="480"/>
          <w:marRight w:val="0"/>
          <w:marTop w:val="0"/>
          <w:marBottom w:val="0"/>
          <w:divBdr>
            <w:top w:val="none" w:sz="0" w:space="0" w:color="auto"/>
            <w:left w:val="none" w:sz="0" w:space="0" w:color="auto"/>
            <w:bottom w:val="none" w:sz="0" w:space="0" w:color="auto"/>
            <w:right w:val="none" w:sz="0" w:space="0" w:color="auto"/>
          </w:divBdr>
        </w:div>
        <w:div w:id="287860859">
          <w:marLeft w:val="480"/>
          <w:marRight w:val="0"/>
          <w:marTop w:val="0"/>
          <w:marBottom w:val="0"/>
          <w:divBdr>
            <w:top w:val="none" w:sz="0" w:space="0" w:color="auto"/>
            <w:left w:val="none" w:sz="0" w:space="0" w:color="auto"/>
            <w:bottom w:val="none" w:sz="0" w:space="0" w:color="auto"/>
            <w:right w:val="none" w:sz="0" w:space="0" w:color="auto"/>
          </w:divBdr>
        </w:div>
        <w:div w:id="1540899054">
          <w:marLeft w:val="480"/>
          <w:marRight w:val="0"/>
          <w:marTop w:val="0"/>
          <w:marBottom w:val="0"/>
          <w:divBdr>
            <w:top w:val="none" w:sz="0" w:space="0" w:color="auto"/>
            <w:left w:val="none" w:sz="0" w:space="0" w:color="auto"/>
            <w:bottom w:val="none" w:sz="0" w:space="0" w:color="auto"/>
            <w:right w:val="none" w:sz="0" w:space="0" w:color="auto"/>
          </w:divBdr>
        </w:div>
      </w:divsChild>
    </w:div>
    <w:div w:id="301079269">
      <w:bodyDiv w:val="1"/>
      <w:marLeft w:val="0"/>
      <w:marRight w:val="0"/>
      <w:marTop w:val="0"/>
      <w:marBottom w:val="0"/>
      <w:divBdr>
        <w:top w:val="none" w:sz="0" w:space="0" w:color="auto"/>
        <w:left w:val="none" w:sz="0" w:space="0" w:color="auto"/>
        <w:bottom w:val="none" w:sz="0" w:space="0" w:color="auto"/>
        <w:right w:val="none" w:sz="0" w:space="0" w:color="auto"/>
      </w:divBdr>
    </w:div>
    <w:div w:id="301547300">
      <w:bodyDiv w:val="1"/>
      <w:marLeft w:val="0"/>
      <w:marRight w:val="0"/>
      <w:marTop w:val="0"/>
      <w:marBottom w:val="0"/>
      <w:divBdr>
        <w:top w:val="none" w:sz="0" w:space="0" w:color="auto"/>
        <w:left w:val="none" w:sz="0" w:space="0" w:color="auto"/>
        <w:bottom w:val="none" w:sz="0" w:space="0" w:color="auto"/>
        <w:right w:val="none" w:sz="0" w:space="0" w:color="auto"/>
      </w:divBdr>
    </w:div>
    <w:div w:id="307365915">
      <w:bodyDiv w:val="1"/>
      <w:marLeft w:val="0"/>
      <w:marRight w:val="0"/>
      <w:marTop w:val="0"/>
      <w:marBottom w:val="0"/>
      <w:divBdr>
        <w:top w:val="none" w:sz="0" w:space="0" w:color="auto"/>
        <w:left w:val="none" w:sz="0" w:space="0" w:color="auto"/>
        <w:bottom w:val="none" w:sz="0" w:space="0" w:color="auto"/>
        <w:right w:val="none" w:sz="0" w:space="0" w:color="auto"/>
      </w:divBdr>
    </w:div>
    <w:div w:id="308412436">
      <w:bodyDiv w:val="1"/>
      <w:marLeft w:val="0"/>
      <w:marRight w:val="0"/>
      <w:marTop w:val="0"/>
      <w:marBottom w:val="0"/>
      <w:divBdr>
        <w:top w:val="none" w:sz="0" w:space="0" w:color="auto"/>
        <w:left w:val="none" w:sz="0" w:space="0" w:color="auto"/>
        <w:bottom w:val="none" w:sz="0" w:space="0" w:color="auto"/>
        <w:right w:val="none" w:sz="0" w:space="0" w:color="auto"/>
      </w:divBdr>
    </w:div>
    <w:div w:id="309747366">
      <w:bodyDiv w:val="1"/>
      <w:marLeft w:val="0"/>
      <w:marRight w:val="0"/>
      <w:marTop w:val="0"/>
      <w:marBottom w:val="0"/>
      <w:divBdr>
        <w:top w:val="none" w:sz="0" w:space="0" w:color="auto"/>
        <w:left w:val="none" w:sz="0" w:space="0" w:color="auto"/>
        <w:bottom w:val="none" w:sz="0" w:space="0" w:color="auto"/>
        <w:right w:val="none" w:sz="0" w:space="0" w:color="auto"/>
      </w:divBdr>
    </w:div>
    <w:div w:id="313723675">
      <w:bodyDiv w:val="1"/>
      <w:marLeft w:val="0"/>
      <w:marRight w:val="0"/>
      <w:marTop w:val="0"/>
      <w:marBottom w:val="0"/>
      <w:divBdr>
        <w:top w:val="none" w:sz="0" w:space="0" w:color="auto"/>
        <w:left w:val="none" w:sz="0" w:space="0" w:color="auto"/>
        <w:bottom w:val="none" w:sz="0" w:space="0" w:color="auto"/>
        <w:right w:val="none" w:sz="0" w:space="0" w:color="auto"/>
      </w:divBdr>
    </w:div>
    <w:div w:id="316959881">
      <w:bodyDiv w:val="1"/>
      <w:marLeft w:val="0"/>
      <w:marRight w:val="0"/>
      <w:marTop w:val="0"/>
      <w:marBottom w:val="0"/>
      <w:divBdr>
        <w:top w:val="none" w:sz="0" w:space="0" w:color="auto"/>
        <w:left w:val="none" w:sz="0" w:space="0" w:color="auto"/>
        <w:bottom w:val="none" w:sz="0" w:space="0" w:color="auto"/>
        <w:right w:val="none" w:sz="0" w:space="0" w:color="auto"/>
      </w:divBdr>
    </w:div>
    <w:div w:id="317656732">
      <w:bodyDiv w:val="1"/>
      <w:marLeft w:val="0"/>
      <w:marRight w:val="0"/>
      <w:marTop w:val="0"/>
      <w:marBottom w:val="0"/>
      <w:divBdr>
        <w:top w:val="none" w:sz="0" w:space="0" w:color="auto"/>
        <w:left w:val="none" w:sz="0" w:space="0" w:color="auto"/>
        <w:bottom w:val="none" w:sz="0" w:space="0" w:color="auto"/>
        <w:right w:val="none" w:sz="0" w:space="0" w:color="auto"/>
      </w:divBdr>
    </w:div>
    <w:div w:id="318970214">
      <w:bodyDiv w:val="1"/>
      <w:marLeft w:val="0"/>
      <w:marRight w:val="0"/>
      <w:marTop w:val="0"/>
      <w:marBottom w:val="0"/>
      <w:divBdr>
        <w:top w:val="none" w:sz="0" w:space="0" w:color="auto"/>
        <w:left w:val="none" w:sz="0" w:space="0" w:color="auto"/>
        <w:bottom w:val="none" w:sz="0" w:space="0" w:color="auto"/>
        <w:right w:val="none" w:sz="0" w:space="0" w:color="auto"/>
      </w:divBdr>
    </w:div>
    <w:div w:id="324742330">
      <w:bodyDiv w:val="1"/>
      <w:marLeft w:val="0"/>
      <w:marRight w:val="0"/>
      <w:marTop w:val="0"/>
      <w:marBottom w:val="0"/>
      <w:divBdr>
        <w:top w:val="none" w:sz="0" w:space="0" w:color="auto"/>
        <w:left w:val="none" w:sz="0" w:space="0" w:color="auto"/>
        <w:bottom w:val="none" w:sz="0" w:space="0" w:color="auto"/>
        <w:right w:val="none" w:sz="0" w:space="0" w:color="auto"/>
      </w:divBdr>
    </w:div>
    <w:div w:id="325671905">
      <w:bodyDiv w:val="1"/>
      <w:marLeft w:val="0"/>
      <w:marRight w:val="0"/>
      <w:marTop w:val="0"/>
      <w:marBottom w:val="0"/>
      <w:divBdr>
        <w:top w:val="none" w:sz="0" w:space="0" w:color="auto"/>
        <w:left w:val="none" w:sz="0" w:space="0" w:color="auto"/>
        <w:bottom w:val="none" w:sz="0" w:space="0" w:color="auto"/>
        <w:right w:val="none" w:sz="0" w:space="0" w:color="auto"/>
      </w:divBdr>
    </w:div>
    <w:div w:id="330181871">
      <w:bodyDiv w:val="1"/>
      <w:marLeft w:val="0"/>
      <w:marRight w:val="0"/>
      <w:marTop w:val="0"/>
      <w:marBottom w:val="0"/>
      <w:divBdr>
        <w:top w:val="none" w:sz="0" w:space="0" w:color="auto"/>
        <w:left w:val="none" w:sz="0" w:space="0" w:color="auto"/>
        <w:bottom w:val="none" w:sz="0" w:space="0" w:color="auto"/>
        <w:right w:val="none" w:sz="0" w:space="0" w:color="auto"/>
      </w:divBdr>
    </w:div>
    <w:div w:id="332295314">
      <w:bodyDiv w:val="1"/>
      <w:marLeft w:val="0"/>
      <w:marRight w:val="0"/>
      <w:marTop w:val="0"/>
      <w:marBottom w:val="0"/>
      <w:divBdr>
        <w:top w:val="none" w:sz="0" w:space="0" w:color="auto"/>
        <w:left w:val="none" w:sz="0" w:space="0" w:color="auto"/>
        <w:bottom w:val="none" w:sz="0" w:space="0" w:color="auto"/>
        <w:right w:val="none" w:sz="0" w:space="0" w:color="auto"/>
      </w:divBdr>
    </w:div>
    <w:div w:id="333728323">
      <w:bodyDiv w:val="1"/>
      <w:marLeft w:val="0"/>
      <w:marRight w:val="0"/>
      <w:marTop w:val="0"/>
      <w:marBottom w:val="0"/>
      <w:divBdr>
        <w:top w:val="none" w:sz="0" w:space="0" w:color="auto"/>
        <w:left w:val="none" w:sz="0" w:space="0" w:color="auto"/>
        <w:bottom w:val="none" w:sz="0" w:space="0" w:color="auto"/>
        <w:right w:val="none" w:sz="0" w:space="0" w:color="auto"/>
      </w:divBdr>
      <w:divsChild>
        <w:div w:id="1255674312">
          <w:marLeft w:val="640"/>
          <w:marRight w:val="0"/>
          <w:marTop w:val="0"/>
          <w:marBottom w:val="0"/>
          <w:divBdr>
            <w:top w:val="none" w:sz="0" w:space="0" w:color="auto"/>
            <w:left w:val="none" w:sz="0" w:space="0" w:color="auto"/>
            <w:bottom w:val="none" w:sz="0" w:space="0" w:color="auto"/>
            <w:right w:val="none" w:sz="0" w:space="0" w:color="auto"/>
          </w:divBdr>
        </w:div>
        <w:div w:id="1012335657">
          <w:marLeft w:val="640"/>
          <w:marRight w:val="0"/>
          <w:marTop w:val="0"/>
          <w:marBottom w:val="0"/>
          <w:divBdr>
            <w:top w:val="none" w:sz="0" w:space="0" w:color="auto"/>
            <w:left w:val="none" w:sz="0" w:space="0" w:color="auto"/>
            <w:bottom w:val="none" w:sz="0" w:space="0" w:color="auto"/>
            <w:right w:val="none" w:sz="0" w:space="0" w:color="auto"/>
          </w:divBdr>
        </w:div>
        <w:div w:id="564608274">
          <w:marLeft w:val="640"/>
          <w:marRight w:val="0"/>
          <w:marTop w:val="0"/>
          <w:marBottom w:val="0"/>
          <w:divBdr>
            <w:top w:val="none" w:sz="0" w:space="0" w:color="auto"/>
            <w:left w:val="none" w:sz="0" w:space="0" w:color="auto"/>
            <w:bottom w:val="none" w:sz="0" w:space="0" w:color="auto"/>
            <w:right w:val="none" w:sz="0" w:space="0" w:color="auto"/>
          </w:divBdr>
        </w:div>
        <w:div w:id="1962764856">
          <w:marLeft w:val="640"/>
          <w:marRight w:val="0"/>
          <w:marTop w:val="0"/>
          <w:marBottom w:val="0"/>
          <w:divBdr>
            <w:top w:val="none" w:sz="0" w:space="0" w:color="auto"/>
            <w:left w:val="none" w:sz="0" w:space="0" w:color="auto"/>
            <w:bottom w:val="none" w:sz="0" w:space="0" w:color="auto"/>
            <w:right w:val="none" w:sz="0" w:space="0" w:color="auto"/>
          </w:divBdr>
        </w:div>
        <w:div w:id="2145006650">
          <w:marLeft w:val="640"/>
          <w:marRight w:val="0"/>
          <w:marTop w:val="0"/>
          <w:marBottom w:val="0"/>
          <w:divBdr>
            <w:top w:val="none" w:sz="0" w:space="0" w:color="auto"/>
            <w:left w:val="none" w:sz="0" w:space="0" w:color="auto"/>
            <w:bottom w:val="none" w:sz="0" w:space="0" w:color="auto"/>
            <w:right w:val="none" w:sz="0" w:space="0" w:color="auto"/>
          </w:divBdr>
        </w:div>
        <w:div w:id="973095593">
          <w:marLeft w:val="640"/>
          <w:marRight w:val="0"/>
          <w:marTop w:val="0"/>
          <w:marBottom w:val="0"/>
          <w:divBdr>
            <w:top w:val="none" w:sz="0" w:space="0" w:color="auto"/>
            <w:left w:val="none" w:sz="0" w:space="0" w:color="auto"/>
            <w:bottom w:val="none" w:sz="0" w:space="0" w:color="auto"/>
            <w:right w:val="none" w:sz="0" w:space="0" w:color="auto"/>
          </w:divBdr>
        </w:div>
        <w:div w:id="1493905881">
          <w:marLeft w:val="640"/>
          <w:marRight w:val="0"/>
          <w:marTop w:val="0"/>
          <w:marBottom w:val="0"/>
          <w:divBdr>
            <w:top w:val="none" w:sz="0" w:space="0" w:color="auto"/>
            <w:left w:val="none" w:sz="0" w:space="0" w:color="auto"/>
            <w:bottom w:val="none" w:sz="0" w:space="0" w:color="auto"/>
            <w:right w:val="none" w:sz="0" w:space="0" w:color="auto"/>
          </w:divBdr>
        </w:div>
        <w:div w:id="1641113208">
          <w:marLeft w:val="640"/>
          <w:marRight w:val="0"/>
          <w:marTop w:val="0"/>
          <w:marBottom w:val="0"/>
          <w:divBdr>
            <w:top w:val="none" w:sz="0" w:space="0" w:color="auto"/>
            <w:left w:val="none" w:sz="0" w:space="0" w:color="auto"/>
            <w:bottom w:val="none" w:sz="0" w:space="0" w:color="auto"/>
            <w:right w:val="none" w:sz="0" w:space="0" w:color="auto"/>
          </w:divBdr>
        </w:div>
        <w:div w:id="702288986">
          <w:marLeft w:val="640"/>
          <w:marRight w:val="0"/>
          <w:marTop w:val="0"/>
          <w:marBottom w:val="0"/>
          <w:divBdr>
            <w:top w:val="none" w:sz="0" w:space="0" w:color="auto"/>
            <w:left w:val="none" w:sz="0" w:space="0" w:color="auto"/>
            <w:bottom w:val="none" w:sz="0" w:space="0" w:color="auto"/>
            <w:right w:val="none" w:sz="0" w:space="0" w:color="auto"/>
          </w:divBdr>
        </w:div>
        <w:div w:id="1141731257">
          <w:marLeft w:val="640"/>
          <w:marRight w:val="0"/>
          <w:marTop w:val="0"/>
          <w:marBottom w:val="0"/>
          <w:divBdr>
            <w:top w:val="none" w:sz="0" w:space="0" w:color="auto"/>
            <w:left w:val="none" w:sz="0" w:space="0" w:color="auto"/>
            <w:bottom w:val="none" w:sz="0" w:space="0" w:color="auto"/>
            <w:right w:val="none" w:sz="0" w:space="0" w:color="auto"/>
          </w:divBdr>
        </w:div>
        <w:div w:id="937367646">
          <w:marLeft w:val="640"/>
          <w:marRight w:val="0"/>
          <w:marTop w:val="0"/>
          <w:marBottom w:val="0"/>
          <w:divBdr>
            <w:top w:val="none" w:sz="0" w:space="0" w:color="auto"/>
            <w:left w:val="none" w:sz="0" w:space="0" w:color="auto"/>
            <w:bottom w:val="none" w:sz="0" w:space="0" w:color="auto"/>
            <w:right w:val="none" w:sz="0" w:space="0" w:color="auto"/>
          </w:divBdr>
        </w:div>
        <w:div w:id="1543903749">
          <w:marLeft w:val="640"/>
          <w:marRight w:val="0"/>
          <w:marTop w:val="0"/>
          <w:marBottom w:val="0"/>
          <w:divBdr>
            <w:top w:val="none" w:sz="0" w:space="0" w:color="auto"/>
            <w:left w:val="none" w:sz="0" w:space="0" w:color="auto"/>
            <w:bottom w:val="none" w:sz="0" w:space="0" w:color="auto"/>
            <w:right w:val="none" w:sz="0" w:space="0" w:color="auto"/>
          </w:divBdr>
        </w:div>
        <w:div w:id="810170968">
          <w:marLeft w:val="640"/>
          <w:marRight w:val="0"/>
          <w:marTop w:val="0"/>
          <w:marBottom w:val="0"/>
          <w:divBdr>
            <w:top w:val="none" w:sz="0" w:space="0" w:color="auto"/>
            <w:left w:val="none" w:sz="0" w:space="0" w:color="auto"/>
            <w:bottom w:val="none" w:sz="0" w:space="0" w:color="auto"/>
            <w:right w:val="none" w:sz="0" w:space="0" w:color="auto"/>
          </w:divBdr>
        </w:div>
        <w:div w:id="1252548987">
          <w:marLeft w:val="640"/>
          <w:marRight w:val="0"/>
          <w:marTop w:val="0"/>
          <w:marBottom w:val="0"/>
          <w:divBdr>
            <w:top w:val="none" w:sz="0" w:space="0" w:color="auto"/>
            <w:left w:val="none" w:sz="0" w:space="0" w:color="auto"/>
            <w:bottom w:val="none" w:sz="0" w:space="0" w:color="auto"/>
            <w:right w:val="none" w:sz="0" w:space="0" w:color="auto"/>
          </w:divBdr>
        </w:div>
        <w:div w:id="1443725278">
          <w:marLeft w:val="640"/>
          <w:marRight w:val="0"/>
          <w:marTop w:val="0"/>
          <w:marBottom w:val="0"/>
          <w:divBdr>
            <w:top w:val="none" w:sz="0" w:space="0" w:color="auto"/>
            <w:left w:val="none" w:sz="0" w:space="0" w:color="auto"/>
            <w:bottom w:val="none" w:sz="0" w:space="0" w:color="auto"/>
            <w:right w:val="none" w:sz="0" w:space="0" w:color="auto"/>
          </w:divBdr>
        </w:div>
        <w:div w:id="538514357">
          <w:marLeft w:val="640"/>
          <w:marRight w:val="0"/>
          <w:marTop w:val="0"/>
          <w:marBottom w:val="0"/>
          <w:divBdr>
            <w:top w:val="none" w:sz="0" w:space="0" w:color="auto"/>
            <w:left w:val="none" w:sz="0" w:space="0" w:color="auto"/>
            <w:bottom w:val="none" w:sz="0" w:space="0" w:color="auto"/>
            <w:right w:val="none" w:sz="0" w:space="0" w:color="auto"/>
          </w:divBdr>
        </w:div>
        <w:div w:id="243147213">
          <w:marLeft w:val="640"/>
          <w:marRight w:val="0"/>
          <w:marTop w:val="0"/>
          <w:marBottom w:val="0"/>
          <w:divBdr>
            <w:top w:val="none" w:sz="0" w:space="0" w:color="auto"/>
            <w:left w:val="none" w:sz="0" w:space="0" w:color="auto"/>
            <w:bottom w:val="none" w:sz="0" w:space="0" w:color="auto"/>
            <w:right w:val="none" w:sz="0" w:space="0" w:color="auto"/>
          </w:divBdr>
        </w:div>
        <w:div w:id="1276865762">
          <w:marLeft w:val="640"/>
          <w:marRight w:val="0"/>
          <w:marTop w:val="0"/>
          <w:marBottom w:val="0"/>
          <w:divBdr>
            <w:top w:val="none" w:sz="0" w:space="0" w:color="auto"/>
            <w:left w:val="none" w:sz="0" w:space="0" w:color="auto"/>
            <w:bottom w:val="none" w:sz="0" w:space="0" w:color="auto"/>
            <w:right w:val="none" w:sz="0" w:space="0" w:color="auto"/>
          </w:divBdr>
        </w:div>
        <w:div w:id="1019114440">
          <w:marLeft w:val="640"/>
          <w:marRight w:val="0"/>
          <w:marTop w:val="0"/>
          <w:marBottom w:val="0"/>
          <w:divBdr>
            <w:top w:val="none" w:sz="0" w:space="0" w:color="auto"/>
            <w:left w:val="none" w:sz="0" w:space="0" w:color="auto"/>
            <w:bottom w:val="none" w:sz="0" w:space="0" w:color="auto"/>
            <w:right w:val="none" w:sz="0" w:space="0" w:color="auto"/>
          </w:divBdr>
        </w:div>
        <w:div w:id="1678076473">
          <w:marLeft w:val="640"/>
          <w:marRight w:val="0"/>
          <w:marTop w:val="0"/>
          <w:marBottom w:val="0"/>
          <w:divBdr>
            <w:top w:val="none" w:sz="0" w:space="0" w:color="auto"/>
            <w:left w:val="none" w:sz="0" w:space="0" w:color="auto"/>
            <w:bottom w:val="none" w:sz="0" w:space="0" w:color="auto"/>
            <w:right w:val="none" w:sz="0" w:space="0" w:color="auto"/>
          </w:divBdr>
        </w:div>
        <w:div w:id="1178695245">
          <w:marLeft w:val="640"/>
          <w:marRight w:val="0"/>
          <w:marTop w:val="0"/>
          <w:marBottom w:val="0"/>
          <w:divBdr>
            <w:top w:val="none" w:sz="0" w:space="0" w:color="auto"/>
            <w:left w:val="none" w:sz="0" w:space="0" w:color="auto"/>
            <w:bottom w:val="none" w:sz="0" w:space="0" w:color="auto"/>
            <w:right w:val="none" w:sz="0" w:space="0" w:color="auto"/>
          </w:divBdr>
        </w:div>
        <w:div w:id="532814101">
          <w:marLeft w:val="640"/>
          <w:marRight w:val="0"/>
          <w:marTop w:val="0"/>
          <w:marBottom w:val="0"/>
          <w:divBdr>
            <w:top w:val="none" w:sz="0" w:space="0" w:color="auto"/>
            <w:left w:val="none" w:sz="0" w:space="0" w:color="auto"/>
            <w:bottom w:val="none" w:sz="0" w:space="0" w:color="auto"/>
            <w:right w:val="none" w:sz="0" w:space="0" w:color="auto"/>
          </w:divBdr>
        </w:div>
        <w:div w:id="949506751">
          <w:marLeft w:val="640"/>
          <w:marRight w:val="0"/>
          <w:marTop w:val="0"/>
          <w:marBottom w:val="0"/>
          <w:divBdr>
            <w:top w:val="none" w:sz="0" w:space="0" w:color="auto"/>
            <w:left w:val="none" w:sz="0" w:space="0" w:color="auto"/>
            <w:bottom w:val="none" w:sz="0" w:space="0" w:color="auto"/>
            <w:right w:val="none" w:sz="0" w:space="0" w:color="auto"/>
          </w:divBdr>
        </w:div>
        <w:div w:id="8680542">
          <w:marLeft w:val="640"/>
          <w:marRight w:val="0"/>
          <w:marTop w:val="0"/>
          <w:marBottom w:val="0"/>
          <w:divBdr>
            <w:top w:val="none" w:sz="0" w:space="0" w:color="auto"/>
            <w:left w:val="none" w:sz="0" w:space="0" w:color="auto"/>
            <w:bottom w:val="none" w:sz="0" w:space="0" w:color="auto"/>
            <w:right w:val="none" w:sz="0" w:space="0" w:color="auto"/>
          </w:divBdr>
        </w:div>
        <w:div w:id="1497570351">
          <w:marLeft w:val="640"/>
          <w:marRight w:val="0"/>
          <w:marTop w:val="0"/>
          <w:marBottom w:val="0"/>
          <w:divBdr>
            <w:top w:val="none" w:sz="0" w:space="0" w:color="auto"/>
            <w:left w:val="none" w:sz="0" w:space="0" w:color="auto"/>
            <w:bottom w:val="none" w:sz="0" w:space="0" w:color="auto"/>
            <w:right w:val="none" w:sz="0" w:space="0" w:color="auto"/>
          </w:divBdr>
        </w:div>
        <w:div w:id="880635560">
          <w:marLeft w:val="640"/>
          <w:marRight w:val="0"/>
          <w:marTop w:val="0"/>
          <w:marBottom w:val="0"/>
          <w:divBdr>
            <w:top w:val="none" w:sz="0" w:space="0" w:color="auto"/>
            <w:left w:val="none" w:sz="0" w:space="0" w:color="auto"/>
            <w:bottom w:val="none" w:sz="0" w:space="0" w:color="auto"/>
            <w:right w:val="none" w:sz="0" w:space="0" w:color="auto"/>
          </w:divBdr>
        </w:div>
        <w:div w:id="1051878448">
          <w:marLeft w:val="640"/>
          <w:marRight w:val="0"/>
          <w:marTop w:val="0"/>
          <w:marBottom w:val="0"/>
          <w:divBdr>
            <w:top w:val="none" w:sz="0" w:space="0" w:color="auto"/>
            <w:left w:val="none" w:sz="0" w:space="0" w:color="auto"/>
            <w:bottom w:val="none" w:sz="0" w:space="0" w:color="auto"/>
            <w:right w:val="none" w:sz="0" w:space="0" w:color="auto"/>
          </w:divBdr>
        </w:div>
        <w:div w:id="542208124">
          <w:marLeft w:val="640"/>
          <w:marRight w:val="0"/>
          <w:marTop w:val="0"/>
          <w:marBottom w:val="0"/>
          <w:divBdr>
            <w:top w:val="none" w:sz="0" w:space="0" w:color="auto"/>
            <w:left w:val="none" w:sz="0" w:space="0" w:color="auto"/>
            <w:bottom w:val="none" w:sz="0" w:space="0" w:color="auto"/>
            <w:right w:val="none" w:sz="0" w:space="0" w:color="auto"/>
          </w:divBdr>
        </w:div>
        <w:div w:id="25567411">
          <w:marLeft w:val="640"/>
          <w:marRight w:val="0"/>
          <w:marTop w:val="0"/>
          <w:marBottom w:val="0"/>
          <w:divBdr>
            <w:top w:val="none" w:sz="0" w:space="0" w:color="auto"/>
            <w:left w:val="none" w:sz="0" w:space="0" w:color="auto"/>
            <w:bottom w:val="none" w:sz="0" w:space="0" w:color="auto"/>
            <w:right w:val="none" w:sz="0" w:space="0" w:color="auto"/>
          </w:divBdr>
        </w:div>
        <w:div w:id="395475334">
          <w:marLeft w:val="640"/>
          <w:marRight w:val="0"/>
          <w:marTop w:val="0"/>
          <w:marBottom w:val="0"/>
          <w:divBdr>
            <w:top w:val="none" w:sz="0" w:space="0" w:color="auto"/>
            <w:left w:val="none" w:sz="0" w:space="0" w:color="auto"/>
            <w:bottom w:val="none" w:sz="0" w:space="0" w:color="auto"/>
            <w:right w:val="none" w:sz="0" w:space="0" w:color="auto"/>
          </w:divBdr>
        </w:div>
        <w:div w:id="979770995">
          <w:marLeft w:val="640"/>
          <w:marRight w:val="0"/>
          <w:marTop w:val="0"/>
          <w:marBottom w:val="0"/>
          <w:divBdr>
            <w:top w:val="none" w:sz="0" w:space="0" w:color="auto"/>
            <w:left w:val="none" w:sz="0" w:space="0" w:color="auto"/>
            <w:bottom w:val="none" w:sz="0" w:space="0" w:color="auto"/>
            <w:right w:val="none" w:sz="0" w:space="0" w:color="auto"/>
          </w:divBdr>
        </w:div>
        <w:div w:id="1110201609">
          <w:marLeft w:val="640"/>
          <w:marRight w:val="0"/>
          <w:marTop w:val="0"/>
          <w:marBottom w:val="0"/>
          <w:divBdr>
            <w:top w:val="none" w:sz="0" w:space="0" w:color="auto"/>
            <w:left w:val="none" w:sz="0" w:space="0" w:color="auto"/>
            <w:bottom w:val="none" w:sz="0" w:space="0" w:color="auto"/>
            <w:right w:val="none" w:sz="0" w:space="0" w:color="auto"/>
          </w:divBdr>
        </w:div>
        <w:div w:id="1448543288">
          <w:marLeft w:val="640"/>
          <w:marRight w:val="0"/>
          <w:marTop w:val="0"/>
          <w:marBottom w:val="0"/>
          <w:divBdr>
            <w:top w:val="none" w:sz="0" w:space="0" w:color="auto"/>
            <w:left w:val="none" w:sz="0" w:space="0" w:color="auto"/>
            <w:bottom w:val="none" w:sz="0" w:space="0" w:color="auto"/>
            <w:right w:val="none" w:sz="0" w:space="0" w:color="auto"/>
          </w:divBdr>
        </w:div>
        <w:div w:id="1770586997">
          <w:marLeft w:val="640"/>
          <w:marRight w:val="0"/>
          <w:marTop w:val="0"/>
          <w:marBottom w:val="0"/>
          <w:divBdr>
            <w:top w:val="none" w:sz="0" w:space="0" w:color="auto"/>
            <w:left w:val="none" w:sz="0" w:space="0" w:color="auto"/>
            <w:bottom w:val="none" w:sz="0" w:space="0" w:color="auto"/>
            <w:right w:val="none" w:sz="0" w:space="0" w:color="auto"/>
          </w:divBdr>
        </w:div>
        <w:div w:id="478428364">
          <w:marLeft w:val="640"/>
          <w:marRight w:val="0"/>
          <w:marTop w:val="0"/>
          <w:marBottom w:val="0"/>
          <w:divBdr>
            <w:top w:val="none" w:sz="0" w:space="0" w:color="auto"/>
            <w:left w:val="none" w:sz="0" w:space="0" w:color="auto"/>
            <w:bottom w:val="none" w:sz="0" w:space="0" w:color="auto"/>
            <w:right w:val="none" w:sz="0" w:space="0" w:color="auto"/>
          </w:divBdr>
        </w:div>
        <w:div w:id="2085178489">
          <w:marLeft w:val="640"/>
          <w:marRight w:val="0"/>
          <w:marTop w:val="0"/>
          <w:marBottom w:val="0"/>
          <w:divBdr>
            <w:top w:val="none" w:sz="0" w:space="0" w:color="auto"/>
            <w:left w:val="none" w:sz="0" w:space="0" w:color="auto"/>
            <w:bottom w:val="none" w:sz="0" w:space="0" w:color="auto"/>
            <w:right w:val="none" w:sz="0" w:space="0" w:color="auto"/>
          </w:divBdr>
        </w:div>
        <w:div w:id="1371956540">
          <w:marLeft w:val="640"/>
          <w:marRight w:val="0"/>
          <w:marTop w:val="0"/>
          <w:marBottom w:val="0"/>
          <w:divBdr>
            <w:top w:val="none" w:sz="0" w:space="0" w:color="auto"/>
            <w:left w:val="none" w:sz="0" w:space="0" w:color="auto"/>
            <w:bottom w:val="none" w:sz="0" w:space="0" w:color="auto"/>
            <w:right w:val="none" w:sz="0" w:space="0" w:color="auto"/>
          </w:divBdr>
        </w:div>
        <w:div w:id="1200437208">
          <w:marLeft w:val="640"/>
          <w:marRight w:val="0"/>
          <w:marTop w:val="0"/>
          <w:marBottom w:val="0"/>
          <w:divBdr>
            <w:top w:val="none" w:sz="0" w:space="0" w:color="auto"/>
            <w:left w:val="none" w:sz="0" w:space="0" w:color="auto"/>
            <w:bottom w:val="none" w:sz="0" w:space="0" w:color="auto"/>
            <w:right w:val="none" w:sz="0" w:space="0" w:color="auto"/>
          </w:divBdr>
        </w:div>
        <w:div w:id="1995260994">
          <w:marLeft w:val="640"/>
          <w:marRight w:val="0"/>
          <w:marTop w:val="0"/>
          <w:marBottom w:val="0"/>
          <w:divBdr>
            <w:top w:val="none" w:sz="0" w:space="0" w:color="auto"/>
            <w:left w:val="none" w:sz="0" w:space="0" w:color="auto"/>
            <w:bottom w:val="none" w:sz="0" w:space="0" w:color="auto"/>
            <w:right w:val="none" w:sz="0" w:space="0" w:color="auto"/>
          </w:divBdr>
        </w:div>
        <w:div w:id="663321922">
          <w:marLeft w:val="640"/>
          <w:marRight w:val="0"/>
          <w:marTop w:val="0"/>
          <w:marBottom w:val="0"/>
          <w:divBdr>
            <w:top w:val="none" w:sz="0" w:space="0" w:color="auto"/>
            <w:left w:val="none" w:sz="0" w:space="0" w:color="auto"/>
            <w:bottom w:val="none" w:sz="0" w:space="0" w:color="auto"/>
            <w:right w:val="none" w:sz="0" w:space="0" w:color="auto"/>
          </w:divBdr>
        </w:div>
        <w:div w:id="1974865334">
          <w:marLeft w:val="640"/>
          <w:marRight w:val="0"/>
          <w:marTop w:val="0"/>
          <w:marBottom w:val="0"/>
          <w:divBdr>
            <w:top w:val="none" w:sz="0" w:space="0" w:color="auto"/>
            <w:left w:val="none" w:sz="0" w:space="0" w:color="auto"/>
            <w:bottom w:val="none" w:sz="0" w:space="0" w:color="auto"/>
            <w:right w:val="none" w:sz="0" w:space="0" w:color="auto"/>
          </w:divBdr>
        </w:div>
        <w:div w:id="2099015625">
          <w:marLeft w:val="640"/>
          <w:marRight w:val="0"/>
          <w:marTop w:val="0"/>
          <w:marBottom w:val="0"/>
          <w:divBdr>
            <w:top w:val="none" w:sz="0" w:space="0" w:color="auto"/>
            <w:left w:val="none" w:sz="0" w:space="0" w:color="auto"/>
            <w:bottom w:val="none" w:sz="0" w:space="0" w:color="auto"/>
            <w:right w:val="none" w:sz="0" w:space="0" w:color="auto"/>
          </w:divBdr>
        </w:div>
        <w:div w:id="510265252">
          <w:marLeft w:val="640"/>
          <w:marRight w:val="0"/>
          <w:marTop w:val="0"/>
          <w:marBottom w:val="0"/>
          <w:divBdr>
            <w:top w:val="none" w:sz="0" w:space="0" w:color="auto"/>
            <w:left w:val="none" w:sz="0" w:space="0" w:color="auto"/>
            <w:bottom w:val="none" w:sz="0" w:space="0" w:color="auto"/>
            <w:right w:val="none" w:sz="0" w:space="0" w:color="auto"/>
          </w:divBdr>
        </w:div>
        <w:div w:id="368795860">
          <w:marLeft w:val="640"/>
          <w:marRight w:val="0"/>
          <w:marTop w:val="0"/>
          <w:marBottom w:val="0"/>
          <w:divBdr>
            <w:top w:val="none" w:sz="0" w:space="0" w:color="auto"/>
            <w:left w:val="none" w:sz="0" w:space="0" w:color="auto"/>
            <w:bottom w:val="none" w:sz="0" w:space="0" w:color="auto"/>
            <w:right w:val="none" w:sz="0" w:space="0" w:color="auto"/>
          </w:divBdr>
        </w:div>
        <w:div w:id="1286816273">
          <w:marLeft w:val="640"/>
          <w:marRight w:val="0"/>
          <w:marTop w:val="0"/>
          <w:marBottom w:val="0"/>
          <w:divBdr>
            <w:top w:val="none" w:sz="0" w:space="0" w:color="auto"/>
            <w:left w:val="none" w:sz="0" w:space="0" w:color="auto"/>
            <w:bottom w:val="none" w:sz="0" w:space="0" w:color="auto"/>
            <w:right w:val="none" w:sz="0" w:space="0" w:color="auto"/>
          </w:divBdr>
        </w:div>
        <w:div w:id="300044497">
          <w:marLeft w:val="640"/>
          <w:marRight w:val="0"/>
          <w:marTop w:val="0"/>
          <w:marBottom w:val="0"/>
          <w:divBdr>
            <w:top w:val="none" w:sz="0" w:space="0" w:color="auto"/>
            <w:left w:val="none" w:sz="0" w:space="0" w:color="auto"/>
            <w:bottom w:val="none" w:sz="0" w:space="0" w:color="auto"/>
            <w:right w:val="none" w:sz="0" w:space="0" w:color="auto"/>
          </w:divBdr>
        </w:div>
        <w:div w:id="289018195">
          <w:marLeft w:val="640"/>
          <w:marRight w:val="0"/>
          <w:marTop w:val="0"/>
          <w:marBottom w:val="0"/>
          <w:divBdr>
            <w:top w:val="none" w:sz="0" w:space="0" w:color="auto"/>
            <w:left w:val="none" w:sz="0" w:space="0" w:color="auto"/>
            <w:bottom w:val="none" w:sz="0" w:space="0" w:color="auto"/>
            <w:right w:val="none" w:sz="0" w:space="0" w:color="auto"/>
          </w:divBdr>
        </w:div>
        <w:div w:id="839464508">
          <w:marLeft w:val="640"/>
          <w:marRight w:val="0"/>
          <w:marTop w:val="0"/>
          <w:marBottom w:val="0"/>
          <w:divBdr>
            <w:top w:val="none" w:sz="0" w:space="0" w:color="auto"/>
            <w:left w:val="none" w:sz="0" w:space="0" w:color="auto"/>
            <w:bottom w:val="none" w:sz="0" w:space="0" w:color="auto"/>
            <w:right w:val="none" w:sz="0" w:space="0" w:color="auto"/>
          </w:divBdr>
        </w:div>
        <w:div w:id="603923021">
          <w:marLeft w:val="640"/>
          <w:marRight w:val="0"/>
          <w:marTop w:val="0"/>
          <w:marBottom w:val="0"/>
          <w:divBdr>
            <w:top w:val="none" w:sz="0" w:space="0" w:color="auto"/>
            <w:left w:val="none" w:sz="0" w:space="0" w:color="auto"/>
            <w:bottom w:val="none" w:sz="0" w:space="0" w:color="auto"/>
            <w:right w:val="none" w:sz="0" w:space="0" w:color="auto"/>
          </w:divBdr>
        </w:div>
        <w:div w:id="1802115997">
          <w:marLeft w:val="640"/>
          <w:marRight w:val="0"/>
          <w:marTop w:val="0"/>
          <w:marBottom w:val="0"/>
          <w:divBdr>
            <w:top w:val="none" w:sz="0" w:space="0" w:color="auto"/>
            <w:left w:val="none" w:sz="0" w:space="0" w:color="auto"/>
            <w:bottom w:val="none" w:sz="0" w:space="0" w:color="auto"/>
            <w:right w:val="none" w:sz="0" w:space="0" w:color="auto"/>
          </w:divBdr>
        </w:div>
        <w:div w:id="1509515908">
          <w:marLeft w:val="640"/>
          <w:marRight w:val="0"/>
          <w:marTop w:val="0"/>
          <w:marBottom w:val="0"/>
          <w:divBdr>
            <w:top w:val="none" w:sz="0" w:space="0" w:color="auto"/>
            <w:left w:val="none" w:sz="0" w:space="0" w:color="auto"/>
            <w:bottom w:val="none" w:sz="0" w:space="0" w:color="auto"/>
            <w:right w:val="none" w:sz="0" w:space="0" w:color="auto"/>
          </w:divBdr>
        </w:div>
        <w:div w:id="301811260">
          <w:marLeft w:val="640"/>
          <w:marRight w:val="0"/>
          <w:marTop w:val="0"/>
          <w:marBottom w:val="0"/>
          <w:divBdr>
            <w:top w:val="none" w:sz="0" w:space="0" w:color="auto"/>
            <w:left w:val="none" w:sz="0" w:space="0" w:color="auto"/>
            <w:bottom w:val="none" w:sz="0" w:space="0" w:color="auto"/>
            <w:right w:val="none" w:sz="0" w:space="0" w:color="auto"/>
          </w:divBdr>
        </w:div>
        <w:div w:id="213930535">
          <w:marLeft w:val="640"/>
          <w:marRight w:val="0"/>
          <w:marTop w:val="0"/>
          <w:marBottom w:val="0"/>
          <w:divBdr>
            <w:top w:val="none" w:sz="0" w:space="0" w:color="auto"/>
            <w:left w:val="none" w:sz="0" w:space="0" w:color="auto"/>
            <w:bottom w:val="none" w:sz="0" w:space="0" w:color="auto"/>
            <w:right w:val="none" w:sz="0" w:space="0" w:color="auto"/>
          </w:divBdr>
        </w:div>
        <w:div w:id="977689982">
          <w:marLeft w:val="640"/>
          <w:marRight w:val="0"/>
          <w:marTop w:val="0"/>
          <w:marBottom w:val="0"/>
          <w:divBdr>
            <w:top w:val="none" w:sz="0" w:space="0" w:color="auto"/>
            <w:left w:val="none" w:sz="0" w:space="0" w:color="auto"/>
            <w:bottom w:val="none" w:sz="0" w:space="0" w:color="auto"/>
            <w:right w:val="none" w:sz="0" w:space="0" w:color="auto"/>
          </w:divBdr>
        </w:div>
        <w:div w:id="1633633172">
          <w:marLeft w:val="640"/>
          <w:marRight w:val="0"/>
          <w:marTop w:val="0"/>
          <w:marBottom w:val="0"/>
          <w:divBdr>
            <w:top w:val="none" w:sz="0" w:space="0" w:color="auto"/>
            <w:left w:val="none" w:sz="0" w:space="0" w:color="auto"/>
            <w:bottom w:val="none" w:sz="0" w:space="0" w:color="auto"/>
            <w:right w:val="none" w:sz="0" w:space="0" w:color="auto"/>
          </w:divBdr>
        </w:div>
        <w:div w:id="230431753">
          <w:marLeft w:val="640"/>
          <w:marRight w:val="0"/>
          <w:marTop w:val="0"/>
          <w:marBottom w:val="0"/>
          <w:divBdr>
            <w:top w:val="none" w:sz="0" w:space="0" w:color="auto"/>
            <w:left w:val="none" w:sz="0" w:space="0" w:color="auto"/>
            <w:bottom w:val="none" w:sz="0" w:space="0" w:color="auto"/>
            <w:right w:val="none" w:sz="0" w:space="0" w:color="auto"/>
          </w:divBdr>
        </w:div>
        <w:div w:id="220141046">
          <w:marLeft w:val="640"/>
          <w:marRight w:val="0"/>
          <w:marTop w:val="0"/>
          <w:marBottom w:val="0"/>
          <w:divBdr>
            <w:top w:val="none" w:sz="0" w:space="0" w:color="auto"/>
            <w:left w:val="none" w:sz="0" w:space="0" w:color="auto"/>
            <w:bottom w:val="none" w:sz="0" w:space="0" w:color="auto"/>
            <w:right w:val="none" w:sz="0" w:space="0" w:color="auto"/>
          </w:divBdr>
        </w:div>
        <w:div w:id="324088185">
          <w:marLeft w:val="640"/>
          <w:marRight w:val="0"/>
          <w:marTop w:val="0"/>
          <w:marBottom w:val="0"/>
          <w:divBdr>
            <w:top w:val="none" w:sz="0" w:space="0" w:color="auto"/>
            <w:left w:val="none" w:sz="0" w:space="0" w:color="auto"/>
            <w:bottom w:val="none" w:sz="0" w:space="0" w:color="auto"/>
            <w:right w:val="none" w:sz="0" w:space="0" w:color="auto"/>
          </w:divBdr>
        </w:div>
        <w:div w:id="217980228">
          <w:marLeft w:val="640"/>
          <w:marRight w:val="0"/>
          <w:marTop w:val="0"/>
          <w:marBottom w:val="0"/>
          <w:divBdr>
            <w:top w:val="none" w:sz="0" w:space="0" w:color="auto"/>
            <w:left w:val="none" w:sz="0" w:space="0" w:color="auto"/>
            <w:bottom w:val="none" w:sz="0" w:space="0" w:color="auto"/>
            <w:right w:val="none" w:sz="0" w:space="0" w:color="auto"/>
          </w:divBdr>
        </w:div>
        <w:div w:id="1238638860">
          <w:marLeft w:val="640"/>
          <w:marRight w:val="0"/>
          <w:marTop w:val="0"/>
          <w:marBottom w:val="0"/>
          <w:divBdr>
            <w:top w:val="none" w:sz="0" w:space="0" w:color="auto"/>
            <w:left w:val="none" w:sz="0" w:space="0" w:color="auto"/>
            <w:bottom w:val="none" w:sz="0" w:space="0" w:color="auto"/>
            <w:right w:val="none" w:sz="0" w:space="0" w:color="auto"/>
          </w:divBdr>
        </w:div>
        <w:div w:id="1699501964">
          <w:marLeft w:val="640"/>
          <w:marRight w:val="0"/>
          <w:marTop w:val="0"/>
          <w:marBottom w:val="0"/>
          <w:divBdr>
            <w:top w:val="none" w:sz="0" w:space="0" w:color="auto"/>
            <w:left w:val="none" w:sz="0" w:space="0" w:color="auto"/>
            <w:bottom w:val="none" w:sz="0" w:space="0" w:color="auto"/>
            <w:right w:val="none" w:sz="0" w:space="0" w:color="auto"/>
          </w:divBdr>
        </w:div>
        <w:div w:id="992638818">
          <w:marLeft w:val="640"/>
          <w:marRight w:val="0"/>
          <w:marTop w:val="0"/>
          <w:marBottom w:val="0"/>
          <w:divBdr>
            <w:top w:val="none" w:sz="0" w:space="0" w:color="auto"/>
            <w:left w:val="none" w:sz="0" w:space="0" w:color="auto"/>
            <w:bottom w:val="none" w:sz="0" w:space="0" w:color="auto"/>
            <w:right w:val="none" w:sz="0" w:space="0" w:color="auto"/>
          </w:divBdr>
        </w:div>
        <w:div w:id="314994508">
          <w:marLeft w:val="640"/>
          <w:marRight w:val="0"/>
          <w:marTop w:val="0"/>
          <w:marBottom w:val="0"/>
          <w:divBdr>
            <w:top w:val="none" w:sz="0" w:space="0" w:color="auto"/>
            <w:left w:val="none" w:sz="0" w:space="0" w:color="auto"/>
            <w:bottom w:val="none" w:sz="0" w:space="0" w:color="auto"/>
            <w:right w:val="none" w:sz="0" w:space="0" w:color="auto"/>
          </w:divBdr>
        </w:div>
        <w:div w:id="1615163165">
          <w:marLeft w:val="640"/>
          <w:marRight w:val="0"/>
          <w:marTop w:val="0"/>
          <w:marBottom w:val="0"/>
          <w:divBdr>
            <w:top w:val="none" w:sz="0" w:space="0" w:color="auto"/>
            <w:left w:val="none" w:sz="0" w:space="0" w:color="auto"/>
            <w:bottom w:val="none" w:sz="0" w:space="0" w:color="auto"/>
            <w:right w:val="none" w:sz="0" w:space="0" w:color="auto"/>
          </w:divBdr>
        </w:div>
        <w:div w:id="1159031131">
          <w:marLeft w:val="640"/>
          <w:marRight w:val="0"/>
          <w:marTop w:val="0"/>
          <w:marBottom w:val="0"/>
          <w:divBdr>
            <w:top w:val="none" w:sz="0" w:space="0" w:color="auto"/>
            <w:left w:val="none" w:sz="0" w:space="0" w:color="auto"/>
            <w:bottom w:val="none" w:sz="0" w:space="0" w:color="auto"/>
            <w:right w:val="none" w:sz="0" w:space="0" w:color="auto"/>
          </w:divBdr>
        </w:div>
        <w:div w:id="2101219071">
          <w:marLeft w:val="640"/>
          <w:marRight w:val="0"/>
          <w:marTop w:val="0"/>
          <w:marBottom w:val="0"/>
          <w:divBdr>
            <w:top w:val="none" w:sz="0" w:space="0" w:color="auto"/>
            <w:left w:val="none" w:sz="0" w:space="0" w:color="auto"/>
            <w:bottom w:val="none" w:sz="0" w:space="0" w:color="auto"/>
            <w:right w:val="none" w:sz="0" w:space="0" w:color="auto"/>
          </w:divBdr>
        </w:div>
        <w:div w:id="1695031360">
          <w:marLeft w:val="640"/>
          <w:marRight w:val="0"/>
          <w:marTop w:val="0"/>
          <w:marBottom w:val="0"/>
          <w:divBdr>
            <w:top w:val="none" w:sz="0" w:space="0" w:color="auto"/>
            <w:left w:val="none" w:sz="0" w:space="0" w:color="auto"/>
            <w:bottom w:val="none" w:sz="0" w:space="0" w:color="auto"/>
            <w:right w:val="none" w:sz="0" w:space="0" w:color="auto"/>
          </w:divBdr>
        </w:div>
        <w:div w:id="1085882174">
          <w:marLeft w:val="640"/>
          <w:marRight w:val="0"/>
          <w:marTop w:val="0"/>
          <w:marBottom w:val="0"/>
          <w:divBdr>
            <w:top w:val="none" w:sz="0" w:space="0" w:color="auto"/>
            <w:left w:val="none" w:sz="0" w:space="0" w:color="auto"/>
            <w:bottom w:val="none" w:sz="0" w:space="0" w:color="auto"/>
            <w:right w:val="none" w:sz="0" w:space="0" w:color="auto"/>
          </w:divBdr>
        </w:div>
        <w:div w:id="1319119118">
          <w:marLeft w:val="640"/>
          <w:marRight w:val="0"/>
          <w:marTop w:val="0"/>
          <w:marBottom w:val="0"/>
          <w:divBdr>
            <w:top w:val="none" w:sz="0" w:space="0" w:color="auto"/>
            <w:left w:val="none" w:sz="0" w:space="0" w:color="auto"/>
            <w:bottom w:val="none" w:sz="0" w:space="0" w:color="auto"/>
            <w:right w:val="none" w:sz="0" w:space="0" w:color="auto"/>
          </w:divBdr>
        </w:div>
        <w:div w:id="107747439">
          <w:marLeft w:val="640"/>
          <w:marRight w:val="0"/>
          <w:marTop w:val="0"/>
          <w:marBottom w:val="0"/>
          <w:divBdr>
            <w:top w:val="none" w:sz="0" w:space="0" w:color="auto"/>
            <w:left w:val="none" w:sz="0" w:space="0" w:color="auto"/>
            <w:bottom w:val="none" w:sz="0" w:space="0" w:color="auto"/>
            <w:right w:val="none" w:sz="0" w:space="0" w:color="auto"/>
          </w:divBdr>
        </w:div>
        <w:div w:id="1589537920">
          <w:marLeft w:val="640"/>
          <w:marRight w:val="0"/>
          <w:marTop w:val="0"/>
          <w:marBottom w:val="0"/>
          <w:divBdr>
            <w:top w:val="none" w:sz="0" w:space="0" w:color="auto"/>
            <w:left w:val="none" w:sz="0" w:space="0" w:color="auto"/>
            <w:bottom w:val="none" w:sz="0" w:space="0" w:color="auto"/>
            <w:right w:val="none" w:sz="0" w:space="0" w:color="auto"/>
          </w:divBdr>
        </w:div>
        <w:div w:id="421990691">
          <w:marLeft w:val="640"/>
          <w:marRight w:val="0"/>
          <w:marTop w:val="0"/>
          <w:marBottom w:val="0"/>
          <w:divBdr>
            <w:top w:val="none" w:sz="0" w:space="0" w:color="auto"/>
            <w:left w:val="none" w:sz="0" w:space="0" w:color="auto"/>
            <w:bottom w:val="none" w:sz="0" w:space="0" w:color="auto"/>
            <w:right w:val="none" w:sz="0" w:space="0" w:color="auto"/>
          </w:divBdr>
        </w:div>
        <w:div w:id="2046907941">
          <w:marLeft w:val="640"/>
          <w:marRight w:val="0"/>
          <w:marTop w:val="0"/>
          <w:marBottom w:val="0"/>
          <w:divBdr>
            <w:top w:val="none" w:sz="0" w:space="0" w:color="auto"/>
            <w:left w:val="none" w:sz="0" w:space="0" w:color="auto"/>
            <w:bottom w:val="none" w:sz="0" w:space="0" w:color="auto"/>
            <w:right w:val="none" w:sz="0" w:space="0" w:color="auto"/>
          </w:divBdr>
        </w:div>
        <w:div w:id="1726024226">
          <w:marLeft w:val="640"/>
          <w:marRight w:val="0"/>
          <w:marTop w:val="0"/>
          <w:marBottom w:val="0"/>
          <w:divBdr>
            <w:top w:val="none" w:sz="0" w:space="0" w:color="auto"/>
            <w:left w:val="none" w:sz="0" w:space="0" w:color="auto"/>
            <w:bottom w:val="none" w:sz="0" w:space="0" w:color="auto"/>
            <w:right w:val="none" w:sz="0" w:space="0" w:color="auto"/>
          </w:divBdr>
        </w:div>
        <w:div w:id="1059354731">
          <w:marLeft w:val="640"/>
          <w:marRight w:val="0"/>
          <w:marTop w:val="0"/>
          <w:marBottom w:val="0"/>
          <w:divBdr>
            <w:top w:val="none" w:sz="0" w:space="0" w:color="auto"/>
            <w:left w:val="none" w:sz="0" w:space="0" w:color="auto"/>
            <w:bottom w:val="none" w:sz="0" w:space="0" w:color="auto"/>
            <w:right w:val="none" w:sz="0" w:space="0" w:color="auto"/>
          </w:divBdr>
        </w:div>
        <w:div w:id="1071124920">
          <w:marLeft w:val="640"/>
          <w:marRight w:val="0"/>
          <w:marTop w:val="0"/>
          <w:marBottom w:val="0"/>
          <w:divBdr>
            <w:top w:val="none" w:sz="0" w:space="0" w:color="auto"/>
            <w:left w:val="none" w:sz="0" w:space="0" w:color="auto"/>
            <w:bottom w:val="none" w:sz="0" w:space="0" w:color="auto"/>
            <w:right w:val="none" w:sz="0" w:space="0" w:color="auto"/>
          </w:divBdr>
        </w:div>
        <w:div w:id="1570192139">
          <w:marLeft w:val="640"/>
          <w:marRight w:val="0"/>
          <w:marTop w:val="0"/>
          <w:marBottom w:val="0"/>
          <w:divBdr>
            <w:top w:val="none" w:sz="0" w:space="0" w:color="auto"/>
            <w:left w:val="none" w:sz="0" w:space="0" w:color="auto"/>
            <w:bottom w:val="none" w:sz="0" w:space="0" w:color="auto"/>
            <w:right w:val="none" w:sz="0" w:space="0" w:color="auto"/>
          </w:divBdr>
        </w:div>
        <w:div w:id="880361832">
          <w:marLeft w:val="640"/>
          <w:marRight w:val="0"/>
          <w:marTop w:val="0"/>
          <w:marBottom w:val="0"/>
          <w:divBdr>
            <w:top w:val="none" w:sz="0" w:space="0" w:color="auto"/>
            <w:left w:val="none" w:sz="0" w:space="0" w:color="auto"/>
            <w:bottom w:val="none" w:sz="0" w:space="0" w:color="auto"/>
            <w:right w:val="none" w:sz="0" w:space="0" w:color="auto"/>
          </w:divBdr>
        </w:div>
        <w:div w:id="1452170413">
          <w:marLeft w:val="640"/>
          <w:marRight w:val="0"/>
          <w:marTop w:val="0"/>
          <w:marBottom w:val="0"/>
          <w:divBdr>
            <w:top w:val="none" w:sz="0" w:space="0" w:color="auto"/>
            <w:left w:val="none" w:sz="0" w:space="0" w:color="auto"/>
            <w:bottom w:val="none" w:sz="0" w:space="0" w:color="auto"/>
            <w:right w:val="none" w:sz="0" w:space="0" w:color="auto"/>
          </w:divBdr>
        </w:div>
        <w:div w:id="2033916495">
          <w:marLeft w:val="640"/>
          <w:marRight w:val="0"/>
          <w:marTop w:val="0"/>
          <w:marBottom w:val="0"/>
          <w:divBdr>
            <w:top w:val="none" w:sz="0" w:space="0" w:color="auto"/>
            <w:left w:val="none" w:sz="0" w:space="0" w:color="auto"/>
            <w:bottom w:val="none" w:sz="0" w:space="0" w:color="auto"/>
            <w:right w:val="none" w:sz="0" w:space="0" w:color="auto"/>
          </w:divBdr>
        </w:div>
        <w:div w:id="1330906480">
          <w:marLeft w:val="640"/>
          <w:marRight w:val="0"/>
          <w:marTop w:val="0"/>
          <w:marBottom w:val="0"/>
          <w:divBdr>
            <w:top w:val="none" w:sz="0" w:space="0" w:color="auto"/>
            <w:left w:val="none" w:sz="0" w:space="0" w:color="auto"/>
            <w:bottom w:val="none" w:sz="0" w:space="0" w:color="auto"/>
            <w:right w:val="none" w:sz="0" w:space="0" w:color="auto"/>
          </w:divBdr>
        </w:div>
        <w:div w:id="490605836">
          <w:marLeft w:val="640"/>
          <w:marRight w:val="0"/>
          <w:marTop w:val="0"/>
          <w:marBottom w:val="0"/>
          <w:divBdr>
            <w:top w:val="none" w:sz="0" w:space="0" w:color="auto"/>
            <w:left w:val="none" w:sz="0" w:space="0" w:color="auto"/>
            <w:bottom w:val="none" w:sz="0" w:space="0" w:color="auto"/>
            <w:right w:val="none" w:sz="0" w:space="0" w:color="auto"/>
          </w:divBdr>
        </w:div>
        <w:div w:id="288709906">
          <w:marLeft w:val="640"/>
          <w:marRight w:val="0"/>
          <w:marTop w:val="0"/>
          <w:marBottom w:val="0"/>
          <w:divBdr>
            <w:top w:val="none" w:sz="0" w:space="0" w:color="auto"/>
            <w:left w:val="none" w:sz="0" w:space="0" w:color="auto"/>
            <w:bottom w:val="none" w:sz="0" w:space="0" w:color="auto"/>
            <w:right w:val="none" w:sz="0" w:space="0" w:color="auto"/>
          </w:divBdr>
        </w:div>
        <w:div w:id="268006519">
          <w:marLeft w:val="640"/>
          <w:marRight w:val="0"/>
          <w:marTop w:val="0"/>
          <w:marBottom w:val="0"/>
          <w:divBdr>
            <w:top w:val="none" w:sz="0" w:space="0" w:color="auto"/>
            <w:left w:val="none" w:sz="0" w:space="0" w:color="auto"/>
            <w:bottom w:val="none" w:sz="0" w:space="0" w:color="auto"/>
            <w:right w:val="none" w:sz="0" w:space="0" w:color="auto"/>
          </w:divBdr>
        </w:div>
        <w:div w:id="636954538">
          <w:marLeft w:val="640"/>
          <w:marRight w:val="0"/>
          <w:marTop w:val="0"/>
          <w:marBottom w:val="0"/>
          <w:divBdr>
            <w:top w:val="none" w:sz="0" w:space="0" w:color="auto"/>
            <w:left w:val="none" w:sz="0" w:space="0" w:color="auto"/>
            <w:bottom w:val="none" w:sz="0" w:space="0" w:color="auto"/>
            <w:right w:val="none" w:sz="0" w:space="0" w:color="auto"/>
          </w:divBdr>
        </w:div>
        <w:div w:id="882518842">
          <w:marLeft w:val="640"/>
          <w:marRight w:val="0"/>
          <w:marTop w:val="0"/>
          <w:marBottom w:val="0"/>
          <w:divBdr>
            <w:top w:val="none" w:sz="0" w:space="0" w:color="auto"/>
            <w:left w:val="none" w:sz="0" w:space="0" w:color="auto"/>
            <w:bottom w:val="none" w:sz="0" w:space="0" w:color="auto"/>
            <w:right w:val="none" w:sz="0" w:space="0" w:color="auto"/>
          </w:divBdr>
        </w:div>
        <w:div w:id="1976182237">
          <w:marLeft w:val="640"/>
          <w:marRight w:val="0"/>
          <w:marTop w:val="0"/>
          <w:marBottom w:val="0"/>
          <w:divBdr>
            <w:top w:val="none" w:sz="0" w:space="0" w:color="auto"/>
            <w:left w:val="none" w:sz="0" w:space="0" w:color="auto"/>
            <w:bottom w:val="none" w:sz="0" w:space="0" w:color="auto"/>
            <w:right w:val="none" w:sz="0" w:space="0" w:color="auto"/>
          </w:divBdr>
        </w:div>
        <w:div w:id="366637749">
          <w:marLeft w:val="640"/>
          <w:marRight w:val="0"/>
          <w:marTop w:val="0"/>
          <w:marBottom w:val="0"/>
          <w:divBdr>
            <w:top w:val="none" w:sz="0" w:space="0" w:color="auto"/>
            <w:left w:val="none" w:sz="0" w:space="0" w:color="auto"/>
            <w:bottom w:val="none" w:sz="0" w:space="0" w:color="auto"/>
            <w:right w:val="none" w:sz="0" w:space="0" w:color="auto"/>
          </w:divBdr>
        </w:div>
        <w:div w:id="917785070">
          <w:marLeft w:val="640"/>
          <w:marRight w:val="0"/>
          <w:marTop w:val="0"/>
          <w:marBottom w:val="0"/>
          <w:divBdr>
            <w:top w:val="none" w:sz="0" w:space="0" w:color="auto"/>
            <w:left w:val="none" w:sz="0" w:space="0" w:color="auto"/>
            <w:bottom w:val="none" w:sz="0" w:space="0" w:color="auto"/>
            <w:right w:val="none" w:sz="0" w:space="0" w:color="auto"/>
          </w:divBdr>
        </w:div>
        <w:div w:id="1279600141">
          <w:marLeft w:val="640"/>
          <w:marRight w:val="0"/>
          <w:marTop w:val="0"/>
          <w:marBottom w:val="0"/>
          <w:divBdr>
            <w:top w:val="none" w:sz="0" w:space="0" w:color="auto"/>
            <w:left w:val="none" w:sz="0" w:space="0" w:color="auto"/>
            <w:bottom w:val="none" w:sz="0" w:space="0" w:color="auto"/>
            <w:right w:val="none" w:sz="0" w:space="0" w:color="auto"/>
          </w:divBdr>
        </w:div>
        <w:div w:id="1515991901">
          <w:marLeft w:val="640"/>
          <w:marRight w:val="0"/>
          <w:marTop w:val="0"/>
          <w:marBottom w:val="0"/>
          <w:divBdr>
            <w:top w:val="none" w:sz="0" w:space="0" w:color="auto"/>
            <w:left w:val="none" w:sz="0" w:space="0" w:color="auto"/>
            <w:bottom w:val="none" w:sz="0" w:space="0" w:color="auto"/>
            <w:right w:val="none" w:sz="0" w:space="0" w:color="auto"/>
          </w:divBdr>
        </w:div>
        <w:div w:id="298220006">
          <w:marLeft w:val="640"/>
          <w:marRight w:val="0"/>
          <w:marTop w:val="0"/>
          <w:marBottom w:val="0"/>
          <w:divBdr>
            <w:top w:val="none" w:sz="0" w:space="0" w:color="auto"/>
            <w:left w:val="none" w:sz="0" w:space="0" w:color="auto"/>
            <w:bottom w:val="none" w:sz="0" w:space="0" w:color="auto"/>
            <w:right w:val="none" w:sz="0" w:space="0" w:color="auto"/>
          </w:divBdr>
        </w:div>
        <w:div w:id="505706497">
          <w:marLeft w:val="640"/>
          <w:marRight w:val="0"/>
          <w:marTop w:val="0"/>
          <w:marBottom w:val="0"/>
          <w:divBdr>
            <w:top w:val="none" w:sz="0" w:space="0" w:color="auto"/>
            <w:left w:val="none" w:sz="0" w:space="0" w:color="auto"/>
            <w:bottom w:val="none" w:sz="0" w:space="0" w:color="auto"/>
            <w:right w:val="none" w:sz="0" w:space="0" w:color="auto"/>
          </w:divBdr>
        </w:div>
        <w:div w:id="2089958628">
          <w:marLeft w:val="640"/>
          <w:marRight w:val="0"/>
          <w:marTop w:val="0"/>
          <w:marBottom w:val="0"/>
          <w:divBdr>
            <w:top w:val="none" w:sz="0" w:space="0" w:color="auto"/>
            <w:left w:val="none" w:sz="0" w:space="0" w:color="auto"/>
            <w:bottom w:val="none" w:sz="0" w:space="0" w:color="auto"/>
            <w:right w:val="none" w:sz="0" w:space="0" w:color="auto"/>
          </w:divBdr>
        </w:div>
        <w:div w:id="560599792">
          <w:marLeft w:val="640"/>
          <w:marRight w:val="0"/>
          <w:marTop w:val="0"/>
          <w:marBottom w:val="0"/>
          <w:divBdr>
            <w:top w:val="none" w:sz="0" w:space="0" w:color="auto"/>
            <w:left w:val="none" w:sz="0" w:space="0" w:color="auto"/>
            <w:bottom w:val="none" w:sz="0" w:space="0" w:color="auto"/>
            <w:right w:val="none" w:sz="0" w:space="0" w:color="auto"/>
          </w:divBdr>
        </w:div>
        <w:div w:id="301733290">
          <w:marLeft w:val="640"/>
          <w:marRight w:val="0"/>
          <w:marTop w:val="0"/>
          <w:marBottom w:val="0"/>
          <w:divBdr>
            <w:top w:val="none" w:sz="0" w:space="0" w:color="auto"/>
            <w:left w:val="none" w:sz="0" w:space="0" w:color="auto"/>
            <w:bottom w:val="none" w:sz="0" w:space="0" w:color="auto"/>
            <w:right w:val="none" w:sz="0" w:space="0" w:color="auto"/>
          </w:divBdr>
        </w:div>
        <w:div w:id="997734699">
          <w:marLeft w:val="640"/>
          <w:marRight w:val="0"/>
          <w:marTop w:val="0"/>
          <w:marBottom w:val="0"/>
          <w:divBdr>
            <w:top w:val="none" w:sz="0" w:space="0" w:color="auto"/>
            <w:left w:val="none" w:sz="0" w:space="0" w:color="auto"/>
            <w:bottom w:val="none" w:sz="0" w:space="0" w:color="auto"/>
            <w:right w:val="none" w:sz="0" w:space="0" w:color="auto"/>
          </w:divBdr>
        </w:div>
        <w:div w:id="1312558419">
          <w:marLeft w:val="640"/>
          <w:marRight w:val="0"/>
          <w:marTop w:val="0"/>
          <w:marBottom w:val="0"/>
          <w:divBdr>
            <w:top w:val="none" w:sz="0" w:space="0" w:color="auto"/>
            <w:left w:val="none" w:sz="0" w:space="0" w:color="auto"/>
            <w:bottom w:val="none" w:sz="0" w:space="0" w:color="auto"/>
            <w:right w:val="none" w:sz="0" w:space="0" w:color="auto"/>
          </w:divBdr>
        </w:div>
        <w:div w:id="623467977">
          <w:marLeft w:val="640"/>
          <w:marRight w:val="0"/>
          <w:marTop w:val="0"/>
          <w:marBottom w:val="0"/>
          <w:divBdr>
            <w:top w:val="none" w:sz="0" w:space="0" w:color="auto"/>
            <w:left w:val="none" w:sz="0" w:space="0" w:color="auto"/>
            <w:bottom w:val="none" w:sz="0" w:space="0" w:color="auto"/>
            <w:right w:val="none" w:sz="0" w:space="0" w:color="auto"/>
          </w:divBdr>
        </w:div>
        <w:div w:id="424888309">
          <w:marLeft w:val="640"/>
          <w:marRight w:val="0"/>
          <w:marTop w:val="0"/>
          <w:marBottom w:val="0"/>
          <w:divBdr>
            <w:top w:val="none" w:sz="0" w:space="0" w:color="auto"/>
            <w:left w:val="none" w:sz="0" w:space="0" w:color="auto"/>
            <w:bottom w:val="none" w:sz="0" w:space="0" w:color="auto"/>
            <w:right w:val="none" w:sz="0" w:space="0" w:color="auto"/>
          </w:divBdr>
        </w:div>
        <w:div w:id="538247962">
          <w:marLeft w:val="640"/>
          <w:marRight w:val="0"/>
          <w:marTop w:val="0"/>
          <w:marBottom w:val="0"/>
          <w:divBdr>
            <w:top w:val="none" w:sz="0" w:space="0" w:color="auto"/>
            <w:left w:val="none" w:sz="0" w:space="0" w:color="auto"/>
            <w:bottom w:val="none" w:sz="0" w:space="0" w:color="auto"/>
            <w:right w:val="none" w:sz="0" w:space="0" w:color="auto"/>
          </w:divBdr>
        </w:div>
        <w:div w:id="19554538">
          <w:marLeft w:val="640"/>
          <w:marRight w:val="0"/>
          <w:marTop w:val="0"/>
          <w:marBottom w:val="0"/>
          <w:divBdr>
            <w:top w:val="none" w:sz="0" w:space="0" w:color="auto"/>
            <w:left w:val="none" w:sz="0" w:space="0" w:color="auto"/>
            <w:bottom w:val="none" w:sz="0" w:space="0" w:color="auto"/>
            <w:right w:val="none" w:sz="0" w:space="0" w:color="auto"/>
          </w:divBdr>
        </w:div>
        <w:div w:id="553737663">
          <w:marLeft w:val="640"/>
          <w:marRight w:val="0"/>
          <w:marTop w:val="0"/>
          <w:marBottom w:val="0"/>
          <w:divBdr>
            <w:top w:val="none" w:sz="0" w:space="0" w:color="auto"/>
            <w:left w:val="none" w:sz="0" w:space="0" w:color="auto"/>
            <w:bottom w:val="none" w:sz="0" w:space="0" w:color="auto"/>
            <w:right w:val="none" w:sz="0" w:space="0" w:color="auto"/>
          </w:divBdr>
        </w:div>
        <w:div w:id="261500478">
          <w:marLeft w:val="640"/>
          <w:marRight w:val="0"/>
          <w:marTop w:val="0"/>
          <w:marBottom w:val="0"/>
          <w:divBdr>
            <w:top w:val="none" w:sz="0" w:space="0" w:color="auto"/>
            <w:left w:val="none" w:sz="0" w:space="0" w:color="auto"/>
            <w:bottom w:val="none" w:sz="0" w:space="0" w:color="auto"/>
            <w:right w:val="none" w:sz="0" w:space="0" w:color="auto"/>
          </w:divBdr>
        </w:div>
        <w:div w:id="669403937">
          <w:marLeft w:val="640"/>
          <w:marRight w:val="0"/>
          <w:marTop w:val="0"/>
          <w:marBottom w:val="0"/>
          <w:divBdr>
            <w:top w:val="none" w:sz="0" w:space="0" w:color="auto"/>
            <w:left w:val="none" w:sz="0" w:space="0" w:color="auto"/>
            <w:bottom w:val="none" w:sz="0" w:space="0" w:color="auto"/>
            <w:right w:val="none" w:sz="0" w:space="0" w:color="auto"/>
          </w:divBdr>
        </w:div>
        <w:div w:id="1590501326">
          <w:marLeft w:val="640"/>
          <w:marRight w:val="0"/>
          <w:marTop w:val="0"/>
          <w:marBottom w:val="0"/>
          <w:divBdr>
            <w:top w:val="none" w:sz="0" w:space="0" w:color="auto"/>
            <w:left w:val="none" w:sz="0" w:space="0" w:color="auto"/>
            <w:bottom w:val="none" w:sz="0" w:space="0" w:color="auto"/>
            <w:right w:val="none" w:sz="0" w:space="0" w:color="auto"/>
          </w:divBdr>
        </w:div>
        <w:div w:id="818808757">
          <w:marLeft w:val="640"/>
          <w:marRight w:val="0"/>
          <w:marTop w:val="0"/>
          <w:marBottom w:val="0"/>
          <w:divBdr>
            <w:top w:val="none" w:sz="0" w:space="0" w:color="auto"/>
            <w:left w:val="none" w:sz="0" w:space="0" w:color="auto"/>
            <w:bottom w:val="none" w:sz="0" w:space="0" w:color="auto"/>
            <w:right w:val="none" w:sz="0" w:space="0" w:color="auto"/>
          </w:divBdr>
        </w:div>
        <w:div w:id="704405512">
          <w:marLeft w:val="640"/>
          <w:marRight w:val="0"/>
          <w:marTop w:val="0"/>
          <w:marBottom w:val="0"/>
          <w:divBdr>
            <w:top w:val="none" w:sz="0" w:space="0" w:color="auto"/>
            <w:left w:val="none" w:sz="0" w:space="0" w:color="auto"/>
            <w:bottom w:val="none" w:sz="0" w:space="0" w:color="auto"/>
            <w:right w:val="none" w:sz="0" w:space="0" w:color="auto"/>
          </w:divBdr>
        </w:div>
        <w:div w:id="849681416">
          <w:marLeft w:val="640"/>
          <w:marRight w:val="0"/>
          <w:marTop w:val="0"/>
          <w:marBottom w:val="0"/>
          <w:divBdr>
            <w:top w:val="none" w:sz="0" w:space="0" w:color="auto"/>
            <w:left w:val="none" w:sz="0" w:space="0" w:color="auto"/>
            <w:bottom w:val="none" w:sz="0" w:space="0" w:color="auto"/>
            <w:right w:val="none" w:sz="0" w:space="0" w:color="auto"/>
          </w:divBdr>
        </w:div>
        <w:div w:id="2118131325">
          <w:marLeft w:val="640"/>
          <w:marRight w:val="0"/>
          <w:marTop w:val="0"/>
          <w:marBottom w:val="0"/>
          <w:divBdr>
            <w:top w:val="none" w:sz="0" w:space="0" w:color="auto"/>
            <w:left w:val="none" w:sz="0" w:space="0" w:color="auto"/>
            <w:bottom w:val="none" w:sz="0" w:space="0" w:color="auto"/>
            <w:right w:val="none" w:sz="0" w:space="0" w:color="auto"/>
          </w:divBdr>
        </w:div>
        <w:div w:id="870148198">
          <w:marLeft w:val="640"/>
          <w:marRight w:val="0"/>
          <w:marTop w:val="0"/>
          <w:marBottom w:val="0"/>
          <w:divBdr>
            <w:top w:val="none" w:sz="0" w:space="0" w:color="auto"/>
            <w:left w:val="none" w:sz="0" w:space="0" w:color="auto"/>
            <w:bottom w:val="none" w:sz="0" w:space="0" w:color="auto"/>
            <w:right w:val="none" w:sz="0" w:space="0" w:color="auto"/>
          </w:divBdr>
        </w:div>
        <w:div w:id="885483020">
          <w:marLeft w:val="640"/>
          <w:marRight w:val="0"/>
          <w:marTop w:val="0"/>
          <w:marBottom w:val="0"/>
          <w:divBdr>
            <w:top w:val="none" w:sz="0" w:space="0" w:color="auto"/>
            <w:left w:val="none" w:sz="0" w:space="0" w:color="auto"/>
            <w:bottom w:val="none" w:sz="0" w:space="0" w:color="auto"/>
            <w:right w:val="none" w:sz="0" w:space="0" w:color="auto"/>
          </w:divBdr>
        </w:div>
        <w:div w:id="2112505876">
          <w:marLeft w:val="640"/>
          <w:marRight w:val="0"/>
          <w:marTop w:val="0"/>
          <w:marBottom w:val="0"/>
          <w:divBdr>
            <w:top w:val="none" w:sz="0" w:space="0" w:color="auto"/>
            <w:left w:val="none" w:sz="0" w:space="0" w:color="auto"/>
            <w:bottom w:val="none" w:sz="0" w:space="0" w:color="auto"/>
            <w:right w:val="none" w:sz="0" w:space="0" w:color="auto"/>
          </w:divBdr>
        </w:div>
        <w:div w:id="1000355483">
          <w:marLeft w:val="640"/>
          <w:marRight w:val="0"/>
          <w:marTop w:val="0"/>
          <w:marBottom w:val="0"/>
          <w:divBdr>
            <w:top w:val="none" w:sz="0" w:space="0" w:color="auto"/>
            <w:left w:val="none" w:sz="0" w:space="0" w:color="auto"/>
            <w:bottom w:val="none" w:sz="0" w:space="0" w:color="auto"/>
            <w:right w:val="none" w:sz="0" w:space="0" w:color="auto"/>
          </w:divBdr>
        </w:div>
        <w:div w:id="1596861157">
          <w:marLeft w:val="640"/>
          <w:marRight w:val="0"/>
          <w:marTop w:val="0"/>
          <w:marBottom w:val="0"/>
          <w:divBdr>
            <w:top w:val="none" w:sz="0" w:space="0" w:color="auto"/>
            <w:left w:val="none" w:sz="0" w:space="0" w:color="auto"/>
            <w:bottom w:val="none" w:sz="0" w:space="0" w:color="auto"/>
            <w:right w:val="none" w:sz="0" w:space="0" w:color="auto"/>
          </w:divBdr>
        </w:div>
        <w:div w:id="485628399">
          <w:marLeft w:val="640"/>
          <w:marRight w:val="0"/>
          <w:marTop w:val="0"/>
          <w:marBottom w:val="0"/>
          <w:divBdr>
            <w:top w:val="none" w:sz="0" w:space="0" w:color="auto"/>
            <w:left w:val="none" w:sz="0" w:space="0" w:color="auto"/>
            <w:bottom w:val="none" w:sz="0" w:space="0" w:color="auto"/>
            <w:right w:val="none" w:sz="0" w:space="0" w:color="auto"/>
          </w:divBdr>
        </w:div>
        <w:div w:id="1934707665">
          <w:marLeft w:val="640"/>
          <w:marRight w:val="0"/>
          <w:marTop w:val="0"/>
          <w:marBottom w:val="0"/>
          <w:divBdr>
            <w:top w:val="none" w:sz="0" w:space="0" w:color="auto"/>
            <w:left w:val="none" w:sz="0" w:space="0" w:color="auto"/>
            <w:bottom w:val="none" w:sz="0" w:space="0" w:color="auto"/>
            <w:right w:val="none" w:sz="0" w:space="0" w:color="auto"/>
          </w:divBdr>
        </w:div>
        <w:div w:id="820119211">
          <w:marLeft w:val="640"/>
          <w:marRight w:val="0"/>
          <w:marTop w:val="0"/>
          <w:marBottom w:val="0"/>
          <w:divBdr>
            <w:top w:val="none" w:sz="0" w:space="0" w:color="auto"/>
            <w:left w:val="none" w:sz="0" w:space="0" w:color="auto"/>
            <w:bottom w:val="none" w:sz="0" w:space="0" w:color="auto"/>
            <w:right w:val="none" w:sz="0" w:space="0" w:color="auto"/>
          </w:divBdr>
        </w:div>
        <w:div w:id="1722513497">
          <w:marLeft w:val="640"/>
          <w:marRight w:val="0"/>
          <w:marTop w:val="0"/>
          <w:marBottom w:val="0"/>
          <w:divBdr>
            <w:top w:val="none" w:sz="0" w:space="0" w:color="auto"/>
            <w:left w:val="none" w:sz="0" w:space="0" w:color="auto"/>
            <w:bottom w:val="none" w:sz="0" w:space="0" w:color="auto"/>
            <w:right w:val="none" w:sz="0" w:space="0" w:color="auto"/>
          </w:divBdr>
        </w:div>
        <w:div w:id="223951919">
          <w:marLeft w:val="640"/>
          <w:marRight w:val="0"/>
          <w:marTop w:val="0"/>
          <w:marBottom w:val="0"/>
          <w:divBdr>
            <w:top w:val="none" w:sz="0" w:space="0" w:color="auto"/>
            <w:left w:val="none" w:sz="0" w:space="0" w:color="auto"/>
            <w:bottom w:val="none" w:sz="0" w:space="0" w:color="auto"/>
            <w:right w:val="none" w:sz="0" w:space="0" w:color="auto"/>
          </w:divBdr>
        </w:div>
        <w:div w:id="1867743203">
          <w:marLeft w:val="640"/>
          <w:marRight w:val="0"/>
          <w:marTop w:val="0"/>
          <w:marBottom w:val="0"/>
          <w:divBdr>
            <w:top w:val="none" w:sz="0" w:space="0" w:color="auto"/>
            <w:left w:val="none" w:sz="0" w:space="0" w:color="auto"/>
            <w:bottom w:val="none" w:sz="0" w:space="0" w:color="auto"/>
            <w:right w:val="none" w:sz="0" w:space="0" w:color="auto"/>
          </w:divBdr>
        </w:div>
        <w:div w:id="1605650691">
          <w:marLeft w:val="640"/>
          <w:marRight w:val="0"/>
          <w:marTop w:val="0"/>
          <w:marBottom w:val="0"/>
          <w:divBdr>
            <w:top w:val="none" w:sz="0" w:space="0" w:color="auto"/>
            <w:left w:val="none" w:sz="0" w:space="0" w:color="auto"/>
            <w:bottom w:val="none" w:sz="0" w:space="0" w:color="auto"/>
            <w:right w:val="none" w:sz="0" w:space="0" w:color="auto"/>
          </w:divBdr>
        </w:div>
        <w:div w:id="640235817">
          <w:marLeft w:val="640"/>
          <w:marRight w:val="0"/>
          <w:marTop w:val="0"/>
          <w:marBottom w:val="0"/>
          <w:divBdr>
            <w:top w:val="none" w:sz="0" w:space="0" w:color="auto"/>
            <w:left w:val="none" w:sz="0" w:space="0" w:color="auto"/>
            <w:bottom w:val="none" w:sz="0" w:space="0" w:color="auto"/>
            <w:right w:val="none" w:sz="0" w:space="0" w:color="auto"/>
          </w:divBdr>
        </w:div>
        <w:div w:id="1751154473">
          <w:marLeft w:val="640"/>
          <w:marRight w:val="0"/>
          <w:marTop w:val="0"/>
          <w:marBottom w:val="0"/>
          <w:divBdr>
            <w:top w:val="none" w:sz="0" w:space="0" w:color="auto"/>
            <w:left w:val="none" w:sz="0" w:space="0" w:color="auto"/>
            <w:bottom w:val="none" w:sz="0" w:space="0" w:color="auto"/>
            <w:right w:val="none" w:sz="0" w:space="0" w:color="auto"/>
          </w:divBdr>
        </w:div>
        <w:div w:id="101846717">
          <w:marLeft w:val="640"/>
          <w:marRight w:val="0"/>
          <w:marTop w:val="0"/>
          <w:marBottom w:val="0"/>
          <w:divBdr>
            <w:top w:val="none" w:sz="0" w:space="0" w:color="auto"/>
            <w:left w:val="none" w:sz="0" w:space="0" w:color="auto"/>
            <w:bottom w:val="none" w:sz="0" w:space="0" w:color="auto"/>
            <w:right w:val="none" w:sz="0" w:space="0" w:color="auto"/>
          </w:divBdr>
        </w:div>
        <w:div w:id="47146674">
          <w:marLeft w:val="640"/>
          <w:marRight w:val="0"/>
          <w:marTop w:val="0"/>
          <w:marBottom w:val="0"/>
          <w:divBdr>
            <w:top w:val="none" w:sz="0" w:space="0" w:color="auto"/>
            <w:left w:val="none" w:sz="0" w:space="0" w:color="auto"/>
            <w:bottom w:val="none" w:sz="0" w:space="0" w:color="auto"/>
            <w:right w:val="none" w:sz="0" w:space="0" w:color="auto"/>
          </w:divBdr>
        </w:div>
        <w:div w:id="1362629746">
          <w:marLeft w:val="640"/>
          <w:marRight w:val="0"/>
          <w:marTop w:val="0"/>
          <w:marBottom w:val="0"/>
          <w:divBdr>
            <w:top w:val="none" w:sz="0" w:space="0" w:color="auto"/>
            <w:left w:val="none" w:sz="0" w:space="0" w:color="auto"/>
            <w:bottom w:val="none" w:sz="0" w:space="0" w:color="auto"/>
            <w:right w:val="none" w:sz="0" w:space="0" w:color="auto"/>
          </w:divBdr>
        </w:div>
        <w:div w:id="1565489671">
          <w:marLeft w:val="640"/>
          <w:marRight w:val="0"/>
          <w:marTop w:val="0"/>
          <w:marBottom w:val="0"/>
          <w:divBdr>
            <w:top w:val="none" w:sz="0" w:space="0" w:color="auto"/>
            <w:left w:val="none" w:sz="0" w:space="0" w:color="auto"/>
            <w:bottom w:val="none" w:sz="0" w:space="0" w:color="auto"/>
            <w:right w:val="none" w:sz="0" w:space="0" w:color="auto"/>
          </w:divBdr>
        </w:div>
        <w:div w:id="31655124">
          <w:marLeft w:val="640"/>
          <w:marRight w:val="0"/>
          <w:marTop w:val="0"/>
          <w:marBottom w:val="0"/>
          <w:divBdr>
            <w:top w:val="none" w:sz="0" w:space="0" w:color="auto"/>
            <w:left w:val="none" w:sz="0" w:space="0" w:color="auto"/>
            <w:bottom w:val="none" w:sz="0" w:space="0" w:color="auto"/>
            <w:right w:val="none" w:sz="0" w:space="0" w:color="auto"/>
          </w:divBdr>
        </w:div>
        <w:div w:id="1057163718">
          <w:marLeft w:val="640"/>
          <w:marRight w:val="0"/>
          <w:marTop w:val="0"/>
          <w:marBottom w:val="0"/>
          <w:divBdr>
            <w:top w:val="none" w:sz="0" w:space="0" w:color="auto"/>
            <w:left w:val="none" w:sz="0" w:space="0" w:color="auto"/>
            <w:bottom w:val="none" w:sz="0" w:space="0" w:color="auto"/>
            <w:right w:val="none" w:sz="0" w:space="0" w:color="auto"/>
          </w:divBdr>
        </w:div>
        <w:div w:id="1919946002">
          <w:marLeft w:val="640"/>
          <w:marRight w:val="0"/>
          <w:marTop w:val="0"/>
          <w:marBottom w:val="0"/>
          <w:divBdr>
            <w:top w:val="none" w:sz="0" w:space="0" w:color="auto"/>
            <w:left w:val="none" w:sz="0" w:space="0" w:color="auto"/>
            <w:bottom w:val="none" w:sz="0" w:space="0" w:color="auto"/>
            <w:right w:val="none" w:sz="0" w:space="0" w:color="auto"/>
          </w:divBdr>
        </w:div>
        <w:div w:id="140734428">
          <w:marLeft w:val="640"/>
          <w:marRight w:val="0"/>
          <w:marTop w:val="0"/>
          <w:marBottom w:val="0"/>
          <w:divBdr>
            <w:top w:val="none" w:sz="0" w:space="0" w:color="auto"/>
            <w:left w:val="none" w:sz="0" w:space="0" w:color="auto"/>
            <w:bottom w:val="none" w:sz="0" w:space="0" w:color="auto"/>
            <w:right w:val="none" w:sz="0" w:space="0" w:color="auto"/>
          </w:divBdr>
        </w:div>
        <w:div w:id="1792699054">
          <w:marLeft w:val="640"/>
          <w:marRight w:val="0"/>
          <w:marTop w:val="0"/>
          <w:marBottom w:val="0"/>
          <w:divBdr>
            <w:top w:val="none" w:sz="0" w:space="0" w:color="auto"/>
            <w:left w:val="none" w:sz="0" w:space="0" w:color="auto"/>
            <w:bottom w:val="none" w:sz="0" w:space="0" w:color="auto"/>
            <w:right w:val="none" w:sz="0" w:space="0" w:color="auto"/>
          </w:divBdr>
        </w:div>
        <w:div w:id="1160923098">
          <w:marLeft w:val="640"/>
          <w:marRight w:val="0"/>
          <w:marTop w:val="0"/>
          <w:marBottom w:val="0"/>
          <w:divBdr>
            <w:top w:val="none" w:sz="0" w:space="0" w:color="auto"/>
            <w:left w:val="none" w:sz="0" w:space="0" w:color="auto"/>
            <w:bottom w:val="none" w:sz="0" w:space="0" w:color="auto"/>
            <w:right w:val="none" w:sz="0" w:space="0" w:color="auto"/>
          </w:divBdr>
        </w:div>
        <w:div w:id="238250163">
          <w:marLeft w:val="640"/>
          <w:marRight w:val="0"/>
          <w:marTop w:val="0"/>
          <w:marBottom w:val="0"/>
          <w:divBdr>
            <w:top w:val="none" w:sz="0" w:space="0" w:color="auto"/>
            <w:left w:val="none" w:sz="0" w:space="0" w:color="auto"/>
            <w:bottom w:val="none" w:sz="0" w:space="0" w:color="auto"/>
            <w:right w:val="none" w:sz="0" w:space="0" w:color="auto"/>
          </w:divBdr>
        </w:div>
        <w:div w:id="925915238">
          <w:marLeft w:val="640"/>
          <w:marRight w:val="0"/>
          <w:marTop w:val="0"/>
          <w:marBottom w:val="0"/>
          <w:divBdr>
            <w:top w:val="none" w:sz="0" w:space="0" w:color="auto"/>
            <w:left w:val="none" w:sz="0" w:space="0" w:color="auto"/>
            <w:bottom w:val="none" w:sz="0" w:space="0" w:color="auto"/>
            <w:right w:val="none" w:sz="0" w:space="0" w:color="auto"/>
          </w:divBdr>
        </w:div>
        <w:div w:id="1815101277">
          <w:marLeft w:val="640"/>
          <w:marRight w:val="0"/>
          <w:marTop w:val="0"/>
          <w:marBottom w:val="0"/>
          <w:divBdr>
            <w:top w:val="none" w:sz="0" w:space="0" w:color="auto"/>
            <w:left w:val="none" w:sz="0" w:space="0" w:color="auto"/>
            <w:bottom w:val="none" w:sz="0" w:space="0" w:color="auto"/>
            <w:right w:val="none" w:sz="0" w:space="0" w:color="auto"/>
          </w:divBdr>
        </w:div>
        <w:div w:id="1663315524">
          <w:marLeft w:val="640"/>
          <w:marRight w:val="0"/>
          <w:marTop w:val="0"/>
          <w:marBottom w:val="0"/>
          <w:divBdr>
            <w:top w:val="none" w:sz="0" w:space="0" w:color="auto"/>
            <w:left w:val="none" w:sz="0" w:space="0" w:color="auto"/>
            <w:bottom w:val="none" w:sz="0" w:space="0" w:color="auto"/>
            <w:right w:val="none" w:sz="0" w:space="0" w:color="auto"/>
          </w:divBdr>
        </w:div>
        <w:div w:id="2117217008">
          <w:marLeft w:val="640"/>
          <w:marRight w:val="0"/>
          <w:marTop w:val="0"/>
          <w:marBottom w:val="0"/>
          <w:divBdr>
            <w:top w:val="none" w:sz="0" w:space="0" w:color="auto"/>
            <w:left w:val="none" w:sz="0" w:space="0" w:color="auto"/>
            <w:bottom w:val="none" w:sz="0" w:space="0" w:color="auto"/>
            <w:right w:val="none" w:sz="0" w:space="0" w:color="auto"/>
          </w:divBdr>
        </w:div>
        <w:div w:id="987126294">
          <w:marLeft w:val="640"/>
          <w:marRight w:val="0"/>
          <w:marTop w:val="0"/>
          <w:marBottom w:val="0"/>
          <w:divBdr>
            <w:top w:val="none" w:sz="0" w:space="0" w:color="auto"/>
            <w:left w:val="none" w:sz="0" w:space="0" w:color="auto"/>
            <w:bottom w:val="none" w:sz="0" w:space="0" w:color="auto"/>
            <w:right w:val="none" w:sz="0" w:space="0" w:color="auto"/>
          </w:divBdr>
        </w:div>
        <w:div w:id="441002441">
          <w:marLeft w:val="640"/>
          <w:marRight w:val="0"/>
          <w:marTop w:val="0"/>
          <w:marBottom w:val="0"/>
          <w:divBdr>
            <w:top w:val="none" w:sz="0" w:space="0" w:color="auto"/>
            <w:left w:val="none" w:sz="0" w:space="0" w:color="auto"/>
            <w:bottom w:val="none" w:sz="0" w:space="0" w:color="auto"/>
            <w:right w:val="none" w:sz="0" w:space="0" w:color="auto"/>
          </w:divBdr>
        </w:div>
        <w:div w:id="525798275">
          <w:marLeft w:val="640"/>
          <w:marRight w:val="0"/>
          <w:marTop w:val="0"/>
          <w:marBottom w:val="0"/>
          <w:divBdr>
            <w:top w:val="none" w:sz="0" w:space="0" w:color="auto"/>
            <w:left w:val="none" w:sz="0" w:space="0" w:color="auto"/>
            <w:bottom w:val="none" w:sz="0" w:space="0" w:color="auto"/>
            <w:right w:val="none" w:sz="0" w:space="0" w:color="auto"/>
          </w:divBdr>
        </w:div>
        <w:div w:id="940138260">
          <w:marLeft w:val="640"/>
          <w:marRight w:val="0"/>
          <w:marTop w:val="0"/>
          <w:marBottom w:val="0"/>
          <w:divBdr>
            <w:top w:val="none" w:sz="0" w:space="0" w:color="auto"/>
            <w:left w:val="none" w:sz="0" w:space="0" w:color="auto"/>
            <w:bottom w:val="none" w:sz="0" w:space="0" w:color="auto"/>
            <w:right w:val="none" w:sz="0" w:space="0" w:color="auto"/>
          </w:divBdr>
        </w:div>
        <w:div w:id="886064515">
          <w:marLeft w:val="640"/>
          <w:marRight w:val="0"/>
          <w:marTop w:val="0"/>
          <w:marBottom w:val="0"/>
          <w:divBdr>
            <w:top w:val="none" w:sz="0" w:space="0" w:color="auto"/>
            <w:left w:val="none" w:sz="0" w:space="0" w:color="auto"/>
            <w:bottom w:val="none" w:sz="0" w:space="0" w:color="auto"/>
            <w:right w:val="none" w:sz="0" w:space="0" w:color="auto"/>
          </w:divBdr>
        </w:div>
        <w:div w:id="1328828695">
          <w:marLeft w:val="640"/>
          <w:marRight w:val="0"/>
          <w:marTop w:val="0"/>
          <w:marBottom w:val="0"/>
          <w:divBdr>
            <w:top w:val="none" w:sz="0" w:space="0" w:color="auto"/>
            <w:left w:val="none" w:sz="0" w:space="0" w:color="auto"/>
            <w:bottom w:val="none" w:sz="0" w:space="0" w:color="auto"/>
            <w:right w:val="none" w:sz="0" w:space="0" w:color="auto"/>
          </w:divBdr>
        </w:div>
        <w:div w:id="2014063369">
          <w:marLeft w:val="640"/>
          <w:marRight w:val="0"/>
          <w:marTop w:val="0"/>
          <w:marBottom w:val="0"/>
          <w:divBdr>
            <w:top w:val="none" w:sz="0" w:space="0" w:color="auto"/>
            <w:left w:val="none" w:sz="0" w:space="0" w:color="auto"/>
            <w:bottom w:val="none" w:sz="0" w:space="0" w:color="auto"/>
            <w:right w:val="none" w:sz="0" w:space="0" w:color="auto"/>
          </w:divBdr>
        </w:div>
        <w:div w:id="421494282">
          <w:marLeft w:val="640"/>
          <w:marRight w:val="0"/>
          <w:marTop w:val="0"/>
          <w:marBottom w:val="0"/>
          <w:divBdr>
            <w:top w:val="none" w:sz="0" w:space="0" w:color="auto"/>
            <w:left w:val="none" w:sz="0" w:space="0" w:color="auto"/>
            <w:bottom w:val="none" w:sz="0" w:space="0" w:color="auto"/>
            <w:right w:val="none" w:sz="0" w:space="0" w:color="auto"/>
          </w:divBdr>
        </w:div>
        <w:div w:id="1736273834">
          <w:marLeft w:val="640"/>
          <w:marRight w:val="0"/>
          <w:marTop w:val="0"/>
          <w:marBottom w:val="0"/>
          <w:divBdr>
            <w:top w:val="none" w:sz="0" w:space="0" w:color="auto"/>
            <w:left w:val="none" w:sz="0" w:space="0" w:color="auto"/>
            <w:bottom w:val="none" w:sz="0" w:space="0" w:color="auto"/>
            <w:right w:val="none" w:sz="0" w:space="0" w:color="auto"/>
          </w:divBdr>
        </w:div>
        <w:div w:id="1806311078">
          <w:marLeft w:val="640"/>
          <w:marRight w:val="0"/>
          <w:marTop w:val="0"/>
          <w:marBottom w:val="0"/>
          <w:divBdr>
            <w:top w:val="none" w:sz="0" w:space="0" w:color="auto"/>
            <w:left w:val="none" w:sz="0" w:space="0" w:color="auto"/>
            <w:bottom w:val="none" w:sz="0" w:space="0" w:color="auto"/>
            <w:right w:val="none" w:sz="0" w:space="0" w:color="auto"/>
          </w:divBdr>
        </w:div>
        <w:div w:id="1313559525">
          <w:marLeft w:val="640"/>
          <w:marRight w:val="0"/>
          <w:marTop w:val="0"/>
          <w:marBottom w:val="0"/>
          <w:divBdr>
            <w:top w:val="none" w:sz="0" w:space="0" w:color="auto"/>
            <w:left w:val="none" w:sz="0" w:space="0" w:color="auto"/>
            <w:bottom w:val="none" w:sz="0" w:space="0" w:color="auto"/>
            <w:right w:val="none" w:sz="0" w:space="0" w:color="auto"/>
          </w:divBdr>
        </w:div>
        <w:div w:id="180246831">
          <w:marLeft w:val="640"/>
          <w:marRight w:val="0"/>
          <w:marTop w:val="0"/>
          <w:marBottom w:val="0"/>
          <w:divBdr>
            <w:top w:val="none" w:sz="0" w:space="0" w:color="auto"/>
            <w:left w:val="none" w:sz="0" w:space="0" w:color="auto"/>
            <w:bottom w:val="none" w:sz="0" w:space="0" w:color="auto"/>
            <w:right w:val="none" w:sz="0" w:space="0" w:color="auto"/>
          </w:divBdr>
        </w:div>
        <w:div w:id="271520922">
          <w:marLeft w:val="640"/>
          <w:marRight w:val="0"/>
          <w:marTop w:val="0"/>
          <w:marBottom w:val="0"/>
          <w:divBdr>
            <w:top w:val="none" w:sz="0" w:space="0" w:color="auto"/>
            <w:left w:val="none" w:sz="0" w:space="0" w:color="auto"/>
            <w:bottom w:val="none" w:sz="0" w:space="0" w:color="auto"/>
            <w:right w:val="none" w:sz="0" w:space="0" w:color="auto"/>
          </w:divBdr>
        </w:div>
        <w:div w:id="1865483985">
          <w:marLeft w:val="640"/>
          <w:marRight w:val="0"/>
          <w:marTop w:val="0"/>
          <w:marBottom w:val="0"/>
          <w:divBdr>
            <w:top w:val="none" w:sz="0" w:space="0" w:color="auto"/>
            <w:left w:val="none" w:sz="0" w:space="0" w:color="auto"/>
            <w:bottom w:val="none" w:sz="0" w:space="0" w:color="auto"/>
            <w:right w:val="none" w:sz="0" w:space="0" w:color="auto"/>
          </w:divBdr>
        </w:div>
        <w:div w:id="1994791461">
          <w:marLeft w:val="640"/>
          <w:marRight w:val="0"/>
          <w:marTop w:val="0"/>
          <w:marBottom w:val="0"/>
          <w:divBdr>
            <w:top w:val="none" w:sz="0" w:space="0" w:color="auto"/>
            <w:left w:val="none" w:sz="0" w:space="0" w:color="auto"/>
            <w:bottom w:val="none" w:sz="0" w:space="0" w:color="auto"/>
            <w:right w:val="none" w:sz="0" w:space="0" w:color="auto"/>
          </w:divBdr>
        </w:div>
        <w:div w:id="434523059">
          <w:marLeft w:val="640"/>
          <w:marRight w:val="0"/>
          <w:marTop w:val="0"/>
          <w:marBottom w:val="0"/>
          <w:divBdr>
            <w:top w:val="none" w:sz="0" w:space="0" w:color="auto"/>
            <w:left w:val="none" w:sz="0" w:space="0" w:color="auto"/>
            <w:bottom w:val="none" w:sz="0" w:space="0" w:color="auto"/>
            <w:right w:val="none" w:sz="0" w:space="0" w:color="auto"/>
          </w:divBdr>
        </w:div>
        <w:div w:id="840319876">
          <w:marLeft w:val="640"/>
          <w:marRight w:val="0"/>
          <w:marTop w:val="0"/>
          <w:marBottom w:val="0"/>
          <w:divBdr>
            <w:top w:val="none" w:sz="0" w:space="0" w:color="auto"/>
            <w:left w:val="none" w:sz="0" w:space="0" w:color="auto"/>
            <w:bottom w:val="none" w:sz="0" w:space="0" w:color="auto"/>
            <w:right w:val="none" w:sz="0" w:space="0" w:color="auto"/>
          </w:divBdr>
        </w:div>
        <w:div w:id="886917330">
          <w:marLeft w:val="640"/>
          <w:marRight w:val="0"/>
          <w:marTop w:val="0"/>
          <w:marBottom w:val="0"/>
          <w:divBdr>
            <w:top w:val="none" w:sz="0" w:space="0" w:color="auto"/>
            <w:left w:val="none" w:sz="0" w:space="0" w:color="auto"/>
            <w:bottom w:val="none" w:sz="0" w:space="0" w:color="auto"/>
            <w:right w:val="none" w:sz="0" w:space="0" w:color="auto"/>
          </w:divBdr>
        </w:div>
        <w:div w:id="1038167893">
          <w:marLeft w:val="640"/>
          <w:marRight w:val="0"/>
          <w:marTop w:val="0"/>
          <w:marBottom w:val="0"/>
          <w:divBdr>
            <w:top w:val="none" w:sz="0" w:space="0" w:color="auto"/>
            <w:left w:val="none" w:sz="0" w:space="0" w:color="auto"/>
            <w:bottom w:val="none" w:sz="0" w:space="0" w:color="auto"/>
            <w:right w:val="none" w:sz="0" w:space="0" w:color="auto"/>
          </w:divBdr>
        </w:div>
        <w:div w:id="1888489062">
          <w:marLeft w:val="640"/>
          <w:marRight w:val="0"/>
          <w:marTop w:val="0"/>
          <w:marBottom w:val="0"/>
          <w:divBdr>
            <w:top w:val="none" w:sz="0" w:space="0" w:color="auto"/>
            <w:left w:val="none" w:sz="0" w:space="0" w:color="auto"/>
            <w:bottom w:val="none" w:sz="0" w:space="0" w:color="auto"/>
            <w:right w:val="none" w:sz="0" w:space="0" w:color="auto"/>
          </w:divBdr>
        </w:div>
        <w:div w:id="2120223329">
          <w:marLeft w:val="640"/>
          <w:marRight w:val="0"/>
          <w:marTop w:val="0"/>
          <w:marBottom w:val="0"/>
          <w:divBdr>
            <w:top w:val="none" w:sz="0" w:space="0" w:color="auto"/>
            <w:left w:val="none" w:sz="0" w:space="0" w:color="auto"/>
            <w:bottom w:val="none" w:sz="0" w:space="0" w:color="auto"/>
            <w:right w:val="none" w:sz="0" w:space="0" w:color="auto"/>
          </w:divBdr>
        </w:div>
        <w:div w:id="1134298336">
          <w:marLeft w:val="640"/>
          <w:marRight w:val="0"/>
          <w:marTop w:val="0"/>
          <w:marBottom w:val="0"/>
          <w:divBdr>
            <w:top w:val="none" w:sz="0" w:space="0" w:color="auto"/>
            <w:left w:val="none" w:sz="0" w:space="0" w:color="auto"/>
            <w:bottom w:val="none" w:sz="0" w:space="0" w:color="auto"/>
            <w:right w:val="none" w:sz="0" w:space="0" w:color="auto"/>
          </w:divBdr>
        </w:div>
        <w:div w:id="472721144">
          <w:marLeft w:val="640"/>
          <w:marRight w:val="0"/>
          <w:marTop w:val="0"/>
          <w:marBottom w:val="0"/>
          <w:divBdr>
            <w:top w:val="none" w:sz="0" w:space="0" w:color="auto"/>
            <w:left w:val="none" w:sz="0" w:space="0" w:color="auto"/>
            <w:bottom w:val="none" w:sz="0" w:space="0" w:color="auto"/>
            <w:right w:val="none" w:sz="0" w:space="0" w:color="auto"/>
          </w:divBdr>
        </w:div>
        <w:div w:id="472645815">
          <w:marLeft w:val="640"/>
          <w:marRight w:val="0"/>
          <w:marTop w:val="0"/>
          <w:marBottom w:val="0"/>
          <w:divBdr>
            <w:top w:val="none" w:sz="0" w:space="0" w:color="auto"/>
            <w:left w:val="none" w:sz="0" w:space="0" w:color="auto"/>
            <w:bottom w:val="none" w:sz="0" w:space="0" w:color="auto"/>
            <w:right w:val="none" w:sz="0" w:space="0" w:color="auto"/>
          </w:divBdr>
        </w:div>
        <w:div w:id="1837761478">
          <w:marLeft w:val="640"/>
          <w:marRight w:val="0"/>
          <w:marTop w:val="0"/>
          <w:marBottom w:val="0"/>
          <w:divBdr>
            <w:top w:val="none" w:sz="0" w:space="0" w:color="auto"/>
            <w:left w:val="none" w:sz="0" w:space="0" w:color="auto"/>
            <w:bottom w:val="none" w:sz="0" w:space="0" w:color="auto"/>
            <w:right w:val="none" w:sz="0" w:space="0" w:color="auto"/>
          </w:divBdr>
        </w:div>
        <w:div w:id="1335064052">
          <w:marLeft w:val="640"/>
          <w:marRight w:val="0"/>
          <w:marTop w:val="0"/>
          <w:marBottom w:val="0"/>
          <w:divBdr>
            <w:top w:val="none" w:sz="0" w:space="0" w:color="auto"/>
            <w:left w:val="none" w:sz="0" w:space="0" w:color="auto"/>
            <w:bottom w:val="none" w:sz="0" w:space="0" w:color="auto"/>
            <w:right w:val="none" w:sz="0" w:space="0" w:color="auto"/>
          </w:divBdr>
        </w:div>
        <w:div w:id="1310549134">
          <w:marLeft w:val="640"/>
          <w:marRight w:val="0"/>
          <w:marTop w:val="0"/>
          <w:marBottom w:val="0"/>
          <w:divBdr>
            <w:top w:val="none" w:sz="0" w:space="0" w:color="auto"/>
            <w:left w:val="none" w:sz="0" w:space="0" w:color="auto"/>
            <w:bottom w:val="none" w:sz="0" w:space="0" w:color="auto"/>
            <w:right w:val="none" w:sz="0" w:space="0" w:color="auto"/>
          </w:divBdr>
        </w:div>
        <w:div w:id="1421028142">
          <w:marLeft w:val="640"/>
          <w:marRight w:val="0"/>
          <w:marTop w:val="0"/>
          <w:marBottom w:val="0"/>
          <w:divBdr>
            <w:top w:val="none" w:sz="0" w:space="0" w:color="auto"/>
            <w:left w:val="none" w:sz="0" w:space="0" w:color="auto"/>
            <w:bottom w:val="none" w:sz="0" w:space="0" w:color="auto"/>
            <w:right w:val="none" w:sz="0" w:space="0" w:color="auto"/>
          </w:divBdr>
        </w:div>
        <w:div w:id="457452260">
          <w:marLeft w:val="640"/>
          <w:marRight w:val="0"/>
          <w:marTop w:val="0"/>
          <w:marBottom w:val="0"/>
          <w:divBdr>
            <w:top w:val="none" w:sz="0" w:space="0" w:color="auto"/>
            <w:left w:val="none" w:sz="0" w:space="0" w:color="auto"/>
            <w:bottom w:val="none" w:sz="0" w:space="0" w:color="auto"/>
            <w:right w:val="none" w:sz="0" w:space="0" w:color="auto"/>
          </w:divBdr>
        </w:div>
        <w:div w:id="1975673340">
          <w:marLeft w:val="640"/>
          <w:marRight w:val="0"/>
          <w:marTop w:val="0"/>
          <w:marBottom w:val="0"/>
          <w:divBdr>
            <w:top w:val="none" w:sz="0" w:space="0" w:color="auto"/>
            <w:left w:val="none" w:sz="0" w:space="0" w:color="auto"/>
            <w:bottom w:val="none" w:sz="0" w:space="0" w:color="auto"/>
            <w:right w:val="none" w:sz="0" w:space="0" w:color="auto"/>
          </w:divBdr>
        </w:div>
        <w:div w:id="343947652">
          <w:marLeft w:val="640"/>
          <w:marRight w:val="0"/>
          <w:marTop w:val="0"/>
          <w:marBottom w:val="0"/>
          <w:divBdr>
            <w:top w:val="none" w:sz="0" w:space="0" w:color="auto"/>
            <w:left w:val="none" w:sz="0" w:space="0" w:color="auto"/>
            <w:bottom w:val="none" w:sz="0" w:space="0" w:color="auto"/>
            <w:right w:val="none" w:sz="0" w:space="0" w:color="auto"/>
          </w:divBdr>
        </w:div>
        <w:div w:id="414515544">
          <w:marLeft w:val="640"/>
          <w:marRight w:val="0"/>
          <w:marTop w:val="0"/>
          <w:marBottom w:val="0"/>
          <w:divBdr>
            <w:top w:val="none" w:sz="0" w:space="0" w:color="auto"/>
            <w:left w:val="none" w:sz="0" w:space="0" w:color="auto"/>
            <w:bottom w:val="none" w:sz="0" w:space="0" w:color="auto"/>
            <w:right w:val="none" w:sz="0" w:space="0" w:color="auto"/>
          </w:divBdr>
        </w:div>
        <w:div w:id="207837578">
          <w:marLeft w:val="640"/>
          <w:marRight w:val="0"/>
          <w:marTop w:val="0"/>
          <w:marBottom w:val="0"/>
          <w:divBdr>
            <w:top w:val="none" w:sz="0" w:space="0" w:color="auto"/>
            <w:left w:val="none" w:sz="0" w:space="0" w:color="auto"/>
            <w:bottom w:val="none" w:sz="0" w:space="0" w:color="auto"/>
            <w:right w:val="none" w:sz="0" w:space="0" w:color="auto"/>
          </w:divBdr>
        </w:div>
        <w:div w:id="821890492">
          <w:marLeft w:val="640"/>
          <w:marRight w:val="0"/>
          <w:marTop w:val="0"/>
          <w:marBottom w:val="0"/>
          <w:divBdr>
            <w:top w:val="none" w:sz="0" w:space="0" w:color="auto"/>
            <w:left w:val="none" w:sz="0" w:space="0" w:color="auto"/>
            <w:bottom w:val="none" w:sz="0" w:space="0" w:color="auto"/>
            <w:right w:val="none" w:sz="0" w:space="0" w:color="auto"/>
          </w:divBdr>
        </w:div>
        <w:div w:id="1747529920">
          <w:marLeft w:val="640"/>
          <w:marRight w:val="0"/>
          <w:marTop w:val="0"/>
          <w:marBottom w:val="0"/>
          <w:divBdr>
            <w:top w:val="none" w:sz="0" w:space="0" w:color="auto"/>
            <w:left w:val="none" w:sz="0" w:space="0" w:color="auto"/>
            <w:bottom w:val="none" w:sz="0" w:space="0" w:color="auto"/>
            <w:right w:val="none" w:sz="0" w:space="0" w:color="auto"/>
          </w:divBdr>
        </w:div>
        <w:div w:id="1284774835">
          <w:marLeft w:val="640"/>
          <w:marRight w:val="0"/>
          <w:marTop w:val="0"/>
          <w:marBottom w:val="0"/>
          <w:divBdr>
            <w:top w:val="none" w:sz="0" w:space="0" w:color="auto"/>
            <w:left w:val="none" w:sz="0" w:space="0" w:color="auto"/>
            <w:bottom w:val="none" w:sz="0" w:space="0" w:color="auto"/>
            <w:right w:val="none" w:sz="0" w:space="0" w:color="auto"/>
          </w:divBdr>
        </w:div>
        <w:div w:id="667288502">
          <w:marLeft w:val="640"/>
          <w:marRight w:val="0"/>
          <w:marTop w:val="0"/>
          <w:marBottom w:val="0"/>
          <w:divBdr>
            <w:top w:val="none" w:sz="0" w:space="0" w:color="auto"/>
            <w:left w:val="none" w:sz="0" w:space="0" w:color="auto"/>
            <w:bottom w:val="none" w:sz="0" w:space="0" w:color="auto"/>
            <w:right w:val="none" w:sz="0" w:space="0" w:color="auto"/>
          </w:divBdr>
        </w:div>
        <w:div w:id="1786659908">
          <w:marLeft w:val="640"/>
          <w:marRight w:val="0"/>
          <w:marTop w:val="0"/>
          <w:marBottom w:val="0"/>
          <w:divBdr>
            <w:top w:val="none" w:sz="0" w:space="0" w:color="auto"/>
            <w:left w:val="none" w:sz="0" w:space="0" w:color="auto"/>
            <w:bottom w:val="none" w:sz="0" w:space="0" w:color="auto"/>
            <w:right w:val="none" w:sz="0" w:space="0" w:color="auto"/>
          </w:divBdr>
        </w:div>
        <w:div w:id="123431617">
          <w:marLeft w:val="640"/>
          <w:marRight w:val="0"/>
          <w:marTop w:val="0"/>
          <w:marBottom w:val="0"/>
          <w:divBdr>
            <w:top w:val="none" w:sz="0" w:space="0" w:color="auto"/>
            <w:left w:val="none" w:sz="0" w:space="0" w:color="auto"/>
            <w:bottom w:val="none" w:sz="0" w:space="0" w:color="auto"/>
            <w:right w:val="none" w:sz="0" w:space="0" w:color="auto"/>
          </w:divBdr>
        </w:div>
        <w:div w:id="193813795">
          <w:marLeft w:val="640"/>
          <w:marRight w:val="0"/>
          <w:marTop w:val="0"/>
          <w:marBottom w:val="0"/>
          <w:divBdr>
            <w:top w:val="none" w:sz="0" w:space="0" w:color="auto"/>
            <w:left w:val="none" w:sz="0" w:space="0" w:color="auto"/>
            <w:bottom w:val="none" w:sz="0" w:space="0" w:color="auto"/>
            <w:right w:val="none" w:sz="0" w:space="0" w:color="auto"/>
          </w:divBdr>
        </w:div>
        <w:div w:id="587234110">
          <w:marLeft w:val="640"/>
          <w:marRight w:val="0"/>
          <w:marTop w:val="0"/>
          <w:marBottom w:val="0"/>
          <w:divBdr>
            <w:top w:val="none" w:sz="0" w:space="0" w:color="auto"/>
            <w:left w:val="none" w:sz="0" w:space="0" w:color="auto"/>
            <w:bottom w:val="none" w:sz="0" w:space="0" w:color="auto"/>
            <w:right w:val="none" w:sz="0" w:space="0" w:color="auto"/>
          </w:divBdr>
        </w:div>
        <w:div w:id="634682090">
          <w:marLeft w:val="640"/>
          <w:marRight w:val="0"/>
          <w:marTop w:val="0"/>
          <w:marBottom w:val="0"/>
          <w:divBdr>
            <w:top w:val="none" w:sz="0" w:space="0" w:color="auto"/>
            <w:left w:val="none" w:sz="0" w:space="0" w:color="auto"/>
            <w:bottom w:val="none" w:sz="0" w:space="0" w:color="auto"/>
            <w:right w:val="none" w:sz="0" w:space="0" w:color="auto"/>
          </w:divBdr>
        </w:div>
        <w:div w:id="2120682080">
          <w:marLeft w:val="640"/>
          <w:marRight w:val="0"/>
          <w:marTop w:val="0"/>
          <w:marBottom w:val="0"/>
          <w:divBdr>
            <w:top w:val="none" w:sz="0" w:space="0" w:color="auto"/>
            <w:left w:val="none" w:sz="0" w:space="0" w:color="auto"/>
            <w:bottom w:val="none" w:sz="0" w:space="0" w:color="auto"/>
            <w:right w:val="none" w:sz="0" w:space="0" w:color="auto"/>
          </w:divBdr>
        </w:div>
        <w:div w:id="50158626">
          <w:marLeft w:val="640"/>
          <w:marRight w:val="0"/>
          <w:marTop w:val="0"/>
          <w:marBottom w:val="0"/>
          <w:divBdr>
            <w:top w:val="none" w:sz="0" w:space="0" w:color="auto"/>
            <w:left w:val="none" w:sz="0" w:space="0" w:color="auto"/>
            <w:bottom w:val="none" w:sz="0" w:space="0" w:color="auto"/>
            <w:right w:val="none" w:sz="0" w:space="0" w:color="auto"/>
          </w:divBdr>
        </w:div>
        <w:div w:id="509879723">
          <w:marLeft w:val="640"/>
          <w:marRight w:val="0"/>
          <w:marTop w:val="0"/>
          <w:marBottom w:val="0"/>
          <w:divBdr>
            <w:top w:val="none" w:sz="0" w:space="0" w:color="auto"/>
            <w:left w:val="none" w:sz="0" w:space="0" w:color="auto"/>
            <w:bottom w:val="none" w:sz="0" w:space="0" w:color="auto"/>
            <w:right w:val="none" w:sz="0" w:space="0" w:color="auto"/>
          </w:divBdr>
        </w:div>
        <w:div w:id="852303873">
          <w:marLeft w:val="640"/>
          <w:marRight w:val="0"/>
          <w:marTop w:val="0"/>
          <w:marBottom w:val="0"/>
          <w:divBdr>
            <w:top w:val="none" w:sz="0" w:space="0" w:color="auto"/>
            <w:left w:val="none" w:sz="0" w:space="0" w:color="auto"/>
            <w:bottom w:val="none" w:sz="0" w:space="0" w:color="auto"/>
            <w:right w:val="none" w:sz="0" w:space="0" w:color="auto"/>
          </w:divBdr>
        </w:div>
        <w:div w:id="1745296846">
          <w:marLeft w:val="640"/>
          <w:marRight w:val="0"/>
          <w:marTop w:val="0"/>
          <w:marBottom w:val="0"/>
          <w:divBdr>
            <w:top w:val="none" w:sz="0" w:space="0" w:color="auto"/>
            <w:left w:val="none" w:sz="0" w:space="0" w:color="auto"/>
            <w:bottom w:val="none" w:sz="0" w:space="0" w:color="auto"/>
            <w:right w:val="none" w:sz="0" w:space="0" w:color="auto"/>
          </w:divBdr>
        </w:div>
        <w:div w:id="1744599912">
          <w:marLeft w:val="640"/>
          <w:marRight w:val="0"/>
          <w:marTop w:val="0"/>
          <w:marBottom w:val="0"/>
          <w:divBdr>
            <w:top w:val="none" w:sz="0" w:space="0" w:color="auto"/>
            <w:left w:val="none" w:sz="0" w:space="0" w:color="auto"/>
            <w:bottom w:val="none" w:sz="0" w:space="0" w:color="auto"/>
            <w:right w:val="none" w:sz="0" w:space="0" w:color="auto"/>
          </w:divBdr>
        </w:div>
        <w:div w:id="56634328">
          <w:marLeft w:val="640"/>
          <w:marRight w:val="0"/>
          <w:marTop w:val="0"/>
          <w:marBottom w:val="0"/>
          <w:divBdr>
            <w:top w:val="none" w:sz="0" w:space="0" w:color="auto"/>
            <w:left w:val="none" w:sz="0" w:space="0" w:color="auto"/>
            <w:bottom w:val="none" w:sz="0" w:space="0" w:color="auto"/>
            <w:right w:val="none" w:sz="0" w:space="0" w:color="auto"/>
          </w:divBdr>
        </w:div>
        <w:div w:id="492064014">
          <w:marLeft w:val="640"/>
          <w:marRight w:val="0"/>
          <w:marTop w:val="0"/>
          <w:marBottom w:val="0"/>
          <w:divBdr>
            <w:top w:val="none" w:sz="0" w:space="0" w:color="auto"/>
            <w:left w:val="none" w:sz="0" w:space="0" w:color="auto"/>
            <w:bottom w:val="none" w:sz="0" w:space="0" w:color="auto"/>
            <w:right w:val="none" w:sz="0" w:space="0" w:color="auto"/>
          </w:divBdr>
        </w:div>
        <w:div w:id="889658681">
          <w:marLeft w:val="640"/>
          <w:marRight w:val="0"/>
          <w:marTop w:val="0"/>
          <w:marBottom w:val="0"/>
          <w:divBdr>
            <w:top w:val="none" w:sz="0" w:space="0" w:color="auto"/>
            <w:left w:val="none" w:sz="0" w:space="0" w:color="auto"/>
            <w:bottom w:val="none" w:sz="0" w:space="0" w:color="auto"/>
            <w:right w:val="none" w:sz="0" w:space="0" w:color="auto"/>
          </w:divBdr>
        </w:div>
        <w:div w:id="533157084">
          <w:marLeft w:val="640"/>
          <w:marRight w:val="0"/>
          <w:marTop w:val="0"/>
          <w:marBottom w:val="0"/>
          <w:divBdr>
            <w:top w:val="none" w:sz="0" w:space="0" w:color="auto"/>
            <w:left w:val="none" w:sz="0" w:space="0" w:color="auto"/>
            <w:bottom w:val="none" w:sz="0" w:space="0" w:color="auto"/>
            <w:right w:val="none" w:sz="0" w:space="0" w:color="auto"/>
          </w:divBdr>
        </w:div>
        <w:div w:id="248386746">
          <w:marLeft w:val="640"/>
          <w:marRight w:val="0"/>
          <w:marTop w:val="0"/>
          <w:marBottom w:val="0"/>
          <w:divBdr>
            <w:top w:val="none" w:sz="0" w:space="0" w:color="auto"/>
            <w:left w:val="none" w:sz="0" w:space="0" w:color="auto"/>
            <w:bottom w:val="none" w:sz="0" w:space="0" w:color="auto"/>
            <w:right w:val="none" w:sz="0" w:space="0" w:color="auto"/>
          </w:divBdr>
        </w:div>
        <w:div w:id="938831807">
          <w:marLeft w:val="640"/>
          <w:marRight w:val="0"/>
          <w:marTop w:val="0"/>
          <w:marBottom w:val="0"/>
          <w:divBdr>
            <w:top w:val="none" w:sz="0" w:space="0" w:color="auto"/>
            <w:left w:val="none" w:sz="0" w:space="0" w:color="auto"/>
            <w:bottom w:val="none" w:sz="0" w:space="0" w:color="auto"/>
            <w:right w:val="none" w:sz="0" w:space="0" w:color="auto"/>
          </w:divBdr>
        </w:div>
        <w:div w:id="692001053">
          <w:marLeft w:val="640"/>
          <w:marRight w:val="0"/>
          <w:marTop w:val="0"/>
          <w:marBottom w:val="0"/>
          <w:divBdr>
            <w:top w:val="none" w:sz="0" w:space="0" w:color="auto"/>
            <w:left w:val="none" w:sz="0" w:space="0" w:color="auto"/>
            <w:bottom w:val="none" w:sz="0" w:space="0" w:color="auto"/>
            <w:right w:val="none" w:sz="0" w:space="0" w:color="auto"/>
          </w:divBdr>
        </w:div>
        <w:div w:id="1853714419">
          <w:marLeft w:val="640"/>
          <w:marRight w:val="0"/>
          <w:marTop w:val="0"/>
          <w:marBottom w:val="0"/>
          <w:divBdr>
            <w:top w:val="none" w:sz="0" w:space="0" w:color="auto"/>
            <w:left w:val="none" w:sz="0" w:space="0" w:color="auto"/>
            <w:bottom w:val="none" w:sz="0" w:space="0" w:color="auto"/>
            <w:right w:val="none" w:sz="0" w:space="0" w:color="auto"/>
          </w:divBdr>
        </w:div>
        <w:div w:id="1492067296">
          <w:marLeft w:val="640"/>
          <w:marRight w:val="0"/>
          <w:marTop w:val="0"/>
          <w:marBottom w:val="0"/>
          <w:divBdr>
            <w:top w:val="none" w:sz="0" w:space="0" w:color="auto"/>
            <w:left w:val="none" w:sz="0" w:space="0" w:color="auto"/>
            <w:bottom w:val="none" w:sz="0" w:space="0" w:color="auto"/>
            <w:right w:val="none" w:sz="0" w:space="0" w:color="auto"/>
          </w:divBdr>
        </w:div>
        <w:div w:id="1316959860">
          <w:marLeft w:val="640"/>
          <w:marRight w:val="0"/>
          <w:marTop w:val="0"/>
          <w:marBottom w:val="0"/>
          <w:divBdr>
            <w:top w:val="none" w:sz="0" w:space="0" w:color="auto"/>
            <w:left w:val="none" w:sz="0" w:space="0" w:color="auto"/>
            <w:bottom w:val="none" w:sz="0" w:space="0" w:color="auto"/>
            <w:right w:val="none" w:sz="0" w:space="0" w:color="auto"/>
          </w:divBdr>
        </w:div>
        <w:div w:id="529800026">
          <w:marLeft w:val="640"/>
          <w:marRight w:val="0"/>
          <w:marTop w:val="0"/>
          <w:marBottom w:val="0"/>
          <w:divBdr>
            <w:top w:val="none" w:sz="0" w:space="0" w:color="auto"/>
            <w:left w:val="none" w:sz="0" w:space="0" w:color="auto"/>
            <w:bottom w:val="none" w:sz="0" w:space="0" w:color="auto"/>
            <w:right w:val="none" w:sz="0" w:space="0" w:color="auto"/>
          </w:divBdr>
        </w:div>
        <w:div w:id="1560434639">
          <w:marLeft w:val="640"/>
          <w:marRight w:val="0"/>
          <w:marTop w:val="0"/>
          <w:marBottom w:val="0"/>
          <w:divBdr>
            <w:top w:val="none" w:sz="0" w:space="0" w:color="auto"/>
            <w:left w:val="none" w:sz="0" w:space="0" w:color="auto"/>
            <w:bottom w:val="none" w:sz="0" w:space="0" w:color="auto"/>
            <w:right w:val="none" w:sz="0" w:space="0" w:color="auto"/>
          </w:divBdr>
        </w:div>
        <w:div w:id="1404645294">
          <w:marLeft w:val="640"/>
          <w:marRight w:val="0"/>
          <w:marTop w:val="0"/>
          <w:marBottom w:val="0"/>
          <w:divBdr>
            <w:top w:val="none" w:sz="0" w:space="0" w:color="auto"/>
            <w:left w:val="none" w:sz="0" w:space="0" w:color="auto"/>
            <w:bottom w:val="none" w:sz="0" w:space="0" w:color="auto"/>
            <w:right w:val="none" w:sz="0" w:space="0" w:color="auto"/>
          </w:divBdr>
        </w:div>
        <w:div w:id="785127021">
          <w:marLeft w:val="640"/>
          <w:marRight w:val="0"/>
          <w:marTop w:val="0"/>
          <w:marBottom w:val="0"/>
          <w:divBdr>
            <w:top w:val="none" w:sz="0" w:space="0" w:color="auto"/>
            <w:left w:val="none" w:sz="0" w:space="0" w:color="auto"/>
            <w:bottom w:val="none" w:sz="0" w:space="0" w:color="auto"/>
            <w:right w:val="none" w:sz="0" w:space="0" w:color="auto"/>
          </w:divBdr>
        </w:div>
        <w:div w:id="1509635755">
          <w:marLeft w:val="640"/>
          <w:marRight w:val="0"/>
          <w:marTop w:val="0"/>
          <w:marBottom w:val="0"/>
          <w:divBdr>
            <w:top w:val="none" w:sz="0" w:space="0" w:color="auto"/>
            <w:left w:val="none" w:sz="0" w:space="0" w:color="auto"/>
            <w:bottom w:val="none" w:sz="0" w:space="0" w:color="auto"/>
            <w:right w:val="none" w:sz="0" w:space="0" w:color="auto"/>
          </w:divBdr>
        </w:div>
        <w:div w:id="1569995114">
          <w:marLeft w:val="640"/>
          <w:marRight w:val="0"/>
          <w:marTop w:val="0"/>
          <w:marBottom w:val="0"/>
          <w:divBdr>
            <w:top w:val="none" w:sz="0" w:space="0" w:color="auto"/>
            <w:left w:val="none" w:sz="0" w:space="0" w:color="auto"/>
            <w:bottom w:val="none" w:sz="0" w:space="0" w:color="auto"/>
            <w:right w:val="none" w:sz="0" w:space="0" w:color="auto"/>
          </w:divBdr>
        </w:div>
        <w:div w:id="708990710">
          <w:marLeft w:val="640"/>
          <w:marRight w:val="0"/>
          <w:marTop w:val="0"/>
          <w:marBottom w:val="0"/>
          <w:divBdr>
            <w:top w:val="none" w:sz="0" w:space="0" w:color="auto"/>
            <w:left w:val="none" w:sz="0" w:space="0" w:color="auto"/>
            <w:bottom w:val="none" w:sz="0" w:space="0" w:color="auto"/>
            <w:right w:val="none" w:sz="0" w:space="0" w:color="auto"/>
          </w:divBdr>
        </w:div>
        <w:div w:id="907228425">
          <w:marLeft w:val="640"/>
          <w:marRight w:val="0"/>
          <w:marTop w:val="0"/>
          <w:marBottom w:val="0"/>
          <w:divBdr>
            <w:top w:val="none" w:sz="0" w:space="0" w:color="auto"/>
            <w:left w:val="none" w:sz="0" w:space="0" w:color="auto"/>
            <w:bottom w:val="none" w:sz="0" w:space="0" w:color="auto"/>
            <w:right w:val="none" w:sz="0" w:space="0" w:color="auto"/>
          </w:divBdr>
        </w:div>
        <w:div w:id="1085691972">
          <w:marLeft w:val="640"/>
          <w:marRight w:val="0"/>
          <w:marTop w:val="0"/>
          <w:marBottom w:val="0"/>
          <w:divBdr>
            <w:top w:val="none" w:sz="0" w:space="0" w:color="auto"/>
            <w:left w:val="none" w:sz="0" w:space="0" w:color="auto"/>
            <w:bottom w:val="none" w:sz="0" w:space="0" w:color="auto"/>
            <w:right w:val="none" w:sz="0" w:space="0" w:color="auto"/>
          </w:divBdr>
        </w:div>
        <w:div w:id="1301810037">
          <w:marLeft w:val="640"/>
          <w:marRight w:val="0"/>
          <w:marTop w:val="0"/>
          <w:marBottom w:val="0"/>
          <w:divBdr>
            <w:top w:val="none" w:sz="0" w:space="0" w:color="auto"/>
            <w:left w:val="none" w:sz="0" w:space="0" w:color="auto"/>
            <w:bottom w:val="none" w:sz="0" w:space="0" w:color="auto"/>
            <w:right w:val="none" w:sz="0" w:space="0" w:color="auto"/>
          </w:divBdr>
        </w:div>
        <w:div w:id="282228676">
          <w:marLeft w:val="640"/>
          <w:marRight w:val="0"/>
          <w:marTop w:val="0"/>
          <w:marBottom w:val="0"/>
          <w:divBdr>
            <w:top w:val="none" w:sz="0" w:space="0" w:color="auto"/>
            <w:left w:val="none" w:sz="0" w:space="0" w:color="auto"/>
            <w:bottom w:val="none" w:sz="0" w:space="0" w:color="auto"/>
            <w:right w:val="none" w:sz="0" w:space="0" w:color="auto"/>
          </w:divBdr>
        </w:div>
        <w:div w:id="1110734097">
          <w:marLeft w:val="640"/>
          <w:marRight w:val="0"/>
          <w:marTop w:val="0"/>
          <w:marBottom w:val="0"/>
          <w:divBdr>
            <w:top w:val="none" w:sz="0" w:space="0" w:color="auto"/>
            <w:left w:val="none" w:sz="0" w:space="0" w:color="auto"/>
            <w:bottom w:val="none" w:sz="0" w:space="0" w:color="auto"/>
            <w:right w:val="none" w:sz="0" w:space="0" w:color="auto"/>
          </w:divBdr>
        </w:div>
        <w:div w:id="908424834">
          <w:marLeft w:val="640"/>
          <w:marRight w:val="0"/>
          <w:marTop w:val="0"/>
          <w:marBottom w:val="0"/>
          <w:divBdr>
            <w:top w:val="none" w:sz="0" w:space="0" w:color="auto"/>
            <w:left w:val="none" w:sz="0" w:space="0" w:color="auto"/>
            <w:bottom w:val="none" w:sz="0" w:space="0" w:color="auto"/>
            <w:right w:val="none" w:sz="0" w:space="0" w:color="auto"/>
          </w:divBdr>
        </w:div>
        <w:div w:id="296838940">
          <w:marLeft w:val="640"/>
          <w:marRight w:val="0"/>
          <w:marTop w:val="0"/>
          <w:marBottom w:val="0"/>
          <w:divBdr>
            <w:top w:val="none" w:sz="0" w:space="0" w:color="auto"/>
            <w:left w:val="none" w:sz="0" w:space="0" w:color="auto"/>
            <w:bottom w:val="none" w:sz="0" w:space="0" w:color="auto"/>
            <w:right w:val="none" w:sz="0" w:space="0" w:color="auto"/>
          </w:divBdr>
        </w:div>
        <w:div w:id="1187674264">
          <w:marLeft w:val="640"/>
          <w:marRight w:val="0"/>
          <w:marTop w:val="0"/>
          <w:marBottom w:val="0"/>
          <w:divBdr>
            <w:top w:val="none" w:sz="0" w:space="0" w:color="auto"/>
            <w:left w:val="none" w:sz="0" w:space="0" w:color="auto"/>
            <w:bottom w:val="none" w:sz="0" w:space="0" w:color="auto"/>
            <w:right w:val="none" w:sz="0" w:space="0" w:color="auto"/>
          </w:divBdr>
        </w:div>
        <w:div w:id="292902501">
          <w:marLeft w:val="640"/>
          <w:marRight w:val="0"/>
          <w:marTop w:val="0"/>
          <w:marBottom w:val="0"/>
          <w:divBdr>
            <w:top w:val="none" w:sz="0" w:space="0" w:color="auto"/>
            <w:left w:val="none" w:sz="0" w:space="0" w:color="auto"/>
            <w:bottom w:val="none" w:sz="0" w:space="0" w:color="auto"/>
            <w:right w:val="none" w:sz="0" w:space="0" w:color="auto"/>
          </w:divBdr>
        </w:div>
        <w:div w:id="1893811578">
          <w:marLeft w:val="640"/>
          <w:marRight w:val="0"/>
          <w:marTop w:val="0"/>
          <w:marBottom w:val="0"/>
          <w:divBdr>
            <w:top w:val="none" w:sz="0" w:space="0" w:color="auto"/>
            <w:left w:val="none" w:sz="0" w:space="0" w:color="auto"/>
            <w:bottom w:val="none" w:sz="0" w:space="0" w:color="auto"/>
            <w:right w:val="none" w:sz="0" w:space="0" w:color="auto"/>
          </w:divBdr>
        </w:div>
        <w:div w:id="2100640086">
          <w:marLeft w:val="640"/>
          <w:marRight w:val="0"/>
          <w:marTop w:val="0"/>
          <w:marBottom w:val="0"/>
          <w:divBdr>
            <w:top w:val="none" w:sz="0" w:space="0" w:color="auto"/>
            <w:left w:val="none" w:sz="0" w:space="0" w:color="auto"/>
            <w:bottom w:val="none" w:sz="0" w:space="0" w:color="auto"/>
            <w:right w:val="none" w:sz="0" w:space="0" w:color="auto"/>
          </w:divBdr>
        </w:div>
        <w:div w:id="603542061">
          <w:marLeft w:val="640"/>
          <w:marRight w:val="0"/>
          <w:marTop w:val="0"/>
          <w:marBottom w:val="0"/>
          <w:divBdr>
            <w:top w:val="none" w:sz="0" w:space="0" w:color="auto"/>
            <w:left w:val="none" w:sz="0" w:space="0" w:color="auto"/>
            <w:bottom w:val="none" w:sz="0" w:space="0" w:color="auto"/>
            <w:right w:val="none" w:sz="0" w:space="0" w:color="auto"/>
          </w:divBdr>
        </w:div>
        <w:div w:id="479267414">
          <w:marLeft w:val="640"/>
          <w:marRight w:val="0"/>
          <w:marTop w:val="0"/>
          <w:marBottom w:val="0"/>
          <w:divBdr>
            <w:top w:val="none" w:sz="0" w:space="0" w:color="auto"/>
            <w:left w:val="none" w:sz="0" w:space="0" w:color="auto"/>
            <w:bottom w:val="none" w:sz="0" w:space="0" w:color="auto"/>
            <w:right w:val="none" w:sz="0" w:space="0" w:color="auto"/>
          </w:divBdr>
        </w:div>
        <w:div w:id="375349920">
          <w:marLeft w:val="640"/>
          <w:marRight w:val="0"/>
          <w:marTop w:val="0"/>
          <w:marBottom w:val="0"/>
          <w:divBdr>
            <w:top w:val="none" w:sz="0" w:space="0" w:color="auto"/>
            <w:left w:val="none" w:sz="0" w:space="0" w:color="auto"/>
            <w:bottom w:val="none" w:sz="0" w:space="0" w:color="auto"/>
            <w:right w:val="none" w:sz="0" w:space="0" w:color="auto"/>
          </w:divBdr>
        </w:div>
        <w:div w:id="1147476533">
          <w:marLeft w:val="640"/>
          <w:marRight w:val="0"/>
          <w:marTop w:val="0"/>
          <w:marBottom w:val="0"/>
          <w:divBdr>
            <w:top w:val="none" w:sz="0" w:space="0" w:color="auto"/>
            <w:left w:val="none" w:sz="0" w:space="0" w:color="auto"/>
            <w:bottom w:val="none" w:sz="0" w:space="0" w:color="auto"/>
            <w:right w:val="none" w:sz="0" w:space="0" w:color="auto"/>
          </w:divBdr>
        </w:div>
        <w:div w:id="1755928590">
          <w:marLeft w:val="640"/>
          <w:marRight w:val="0"/>
          <w:marTop w:val="0"/>
          <w:marBottom w:val="0"/>
          <w:divBdr>
            <w:top w:val="none" w:sz="0" w:space="0" w:color="auto"/>
            <w:left w:val="none" w:sz="0" w:space="0" w:color="auto"/>
            <w:bottom w:val="none" w:sz="0" w:space="0" w:color="auto"/>
            <w:right w:val="none" w:sz="0" w:space="0" w:color="auto"/>
          </w:divBdr>
        </w:div>
        <w:div w:id="638000597">
          <w:marLeft w:val="640"/>
          <w:marRight w:val="0"/>
          <w:marTop w:val="0"/>
          <w:marBottom w:val="0"/>
          <w:divBdr>
            <w:top w:val="none" w:sz="0" w:space="0" w:color="auto"/>
            <w:left w:val="none" w:sz="0" w:space="0" w:color="auto"/>
            <w:bottom w:val="none" w:sz="0" w:space="0" w:color="auto"/>
            <w:right w:val="none" w:sz="0" w:space="0" w:color="auto"/>
          </w:divBdr>
        </w:div>
        <w:div w:id="264772011">
          <w:marLeft w:val="640"/>
          <w:marRight w:val="0"/>
          <w:marTop w:val="0"/>
          <w:marBottom w:val="0"/>
          <w:divBdr>
            <w:top w:val="none" w:sz="0" w:space="0" w:color="auto"/>
            <w:left w:val="none" w:sz="0" w:space="0" w:color="auto"/>
            <w:bottom w:val="none" w:sz="0" w:space="0" w:color="auto"/>
            <w:right w:val="none" w:sz="0" w:space="0" w:color="auto"/>
          </w:divBdr>
        </w:div>
        <w:div w:id="1293707399">
          <w:marLeft w:val="640"/>
          <w:marRight w:val="0"/>
          <w:marTop w:val="0"/>
          <w:marBottom w:val="0"/>
          <w:divBdr>
            <w:top w:val="none" w:sz="0" w:space="0" w:color="auto"/>
            <w:left w:val="none" w:sz="0" w:space="0" w:color="auto"/>
            <w:bottom w:val="none" w:sz="0" w:space="0" w:color="auto"/>
            <w:right w:val="none" w:sz="0" w:space="0" w:color="auto"/>
          </w:divBdr>
        </w:div>
        <w:div w:id="826480190">
          <w:marLeft w:val="640"/>
          <w:marRight w:val="0"/>
          <w:marTop w:val="0"/>
          <w:marBottom w:val="0"/>
          <w:divBdr>
            <w:top w:val="none" w:sz="0" w:space="0" w:color="auto"/>
            <w:left w:val="none" w:sz="0" w:space="0" w:color="auto"/>
            <w:bottom w:val="none" w:sz="0" w:space="0" w:color="auto"/>
            <w:right w:val="none" w:sz="0" w:space="0" w:color="auto"/>
          </w:divBdr>
        </w:div>
        <w:div w:id="1375077848">
          <w:marLeft w:val="640"/>
          <w:marRight w:val="0"/>
          <w:marTop w:val="0"/>
          <w:marBottom w:val="0"/>
          <w:divBdr>
            <w:top w:val="none" w:sz="0" w:space="0" w:color="auto"/>
            <w:left w:val="none" w:sz="0" w:space="0" w:color="auto"/>
            <w:bottom w:val="none" w:sz="0" w:space="0" w:color="auto"/>
            <w:right w:val="none" w:sz="0" w:space="0" w:color="auto"/>
          </w:divBdr>
        </w:div>
        <w:div w:id="874998443">
          <w:marLeft w:val="640"/>
          <w:marRight w:val="0"/>
          <w:marTop w:val="0"/>
          <w:marBottom w:val="0"/>
          <w:divBdr>
            <w:top w:val="none" w:sz="0" w:space="0" w:color="auto"/>
            <w:left w:val="none" w:sz="0" w:space="0" w:color="auto"/>
            <w:bottom w:val="none" w:sz="0" w:space="0" w:color="auto"/>
            <w:right w:val="none" w:sz="0" w:space="0" w:color="auto"/>
          </w:divBdr>
        </w:div>
        <w:div w:id="1210923878">
          <w:marLeft w:val="640"/>
          <w:marRight w:val="0"/>
          <w:marTop w:val="0"/>
          <w:marBottom w:val="0"/>
          <w:divBdr>
            <w:top w:val="none" w:sz="0" w:space="0" w:color="auto"/>
            <w:left w:val="none" w:sz="0" w:space="0" w:color="auto"/>
            <w:bottom w:val="none" w:sz="0" w:space="0" w:color="auto"/>
            <w:right w:val="none" w:sz="0" w:space="0" w:color="auto"/>
          </w:divBdr>
        </w:div>
        <w:div w:id="1474440907">
          <w:marLeft w:val="640"/>
          <w:marRight w:val="0"/>
          <w:marTop w:val="0"/>
          <w:marBottom w:val="0"/>
          <w:divBdr>
            <w:top w:val="none" w:sz="0" w:space="0" w:color="auto"/>
            <w:left w:val="none" w:sz="0" w:space="0" w:color="auto"/>
            <w:bottom w:val="none" w:sz="0" w:space="0" w:color="auto"/>
            <w:right w:val="none" w:sz="0" w:space="0" w:color="auto"/>
          </w:divBdr>
        </w:div>
        <w:div w:id="712386979">
          <w:marLeft w:val="640"/>
          <w:marRight w:val="0"/>
          <w:marTop w:val="0"/>
          <w:marBottom w:val="0"/>
          <w:divBdr>
            <w:top w:val="none" w:sz="0" w:space="0" w:color="auto"/>
            <w:left w:val="none" w:sz="0" w:space="0" w:color="auto"/>
            <w:bottom w:val="none" w:sz="0" w:space="0" w:color="auto"/>
            <w:right w:val="none" w:sz="0" w:space="0" w:color="auto"/>
          </w:divBdr>
        </w:div>
        <w:div w:id="1735228757">
          <w:marLeft w:val="640"/>
          <w:marRight w:val="0"/>
          <w:marTop w:val="0"/>
          <w:marBottom w:val="0"/>
          <w:divBdr>
            <w:top w:val="none" w:sz="0" w:space="0" w:color="auto"/>
            <w:left w:val="none" w:sz="0" w:space="0" w:color="auto"/>
            <w:bottom w:val="none" w:sz="0" w:space="0" w:color="auto"/>
            <w:right w:val="none" w:sz="0" w:space="0" w:color="auto"/>
          </w:divBdr>
        </w:div>
        <w:div w:id="1707363026">
          <w:marLeft w:val="640"/>
          <w:marRight w:val="0"/>
          <w:marTop w:val="0"/>
          <w:marBottom w:val="0"/>
          <w:divBdr>
            <w:top w:val="none" w:sz="0" w:space="0" w:color="auto"/>
            <w:left w:val="none" w:sz="0" w:space="0" w:color="auto"/>
            <w:bottom w:val="none" w:sz="0" w:space="0" w:color="auto"/>
            <w:right w:val="none" w:sz="0" w:space="0" w:color="auto"/>
          </w:divBdr>
        </w:div>
        <w:div w:id="18816972">
          <w:marLeft w:val="640"/>
          <w:marRight w:val="0"/>
          <w:marTop w:val="0"/>
          <w:marBottom w:val="0"/>
          <w:divBdr>
            <w:top w:val="none" w:sz="0" w:space="0" w:color="auto"/>
            <w:left w:val="none" w:sz="0" w:space="0" w:color="auto"/>
            <w:bottom w:val="none" w:sz="0" w:space="0" w:color="auto"/>
            <w:right w:val="none" w:sz="0" w:space="0" w:color="auto"/>
          </w:divBdr>
        </w:div>
        <w:div w:id="1414594841">
          <w:marLeft w:val="640"/>
          <w:marRight w:val="0"/>
          <w:marTop w:val="0"/>
          <w:marBottom w:val="0"/>
          <w:divBdr>
            <w:top w:val="none" w:sz="0" w:space="0" w:color="auto"/>
            <w:left w:val="none" w:sz="0" w:space="0" w:color="auto"/>
            <w:bottom w:val="none" w:sz="0" w:space="0" w:color="auto"/>
            <w:right w:val="none" w:sz="0" w:space="0" w:color="auto"/>
          </w:divBdr>
        </w:div>
        <w:div w:id="834881208">
          <w:marLeft w:val="640"/>
          <w:marRight w:val="0"/>
          <w:marTop w:val="0"/>
          <w:marBottom w:val="0"/>
          <w:divBdr>
            <w:top w:val="none" w:sz="0" w:space="0" w:color="auto"/>
            <w:left w:val="none" w:sz="0" w:space="0" w:color="auto"/>
            <w:bottom w:val="none" w:sz="0" w:space="0" w:color="auto"/>
            <w:right w:val="none" w:sz="0" w:space="0" w:color="auto"/>
          </w:divBdr>
        </w:div>
        <w:div w:id="808743168">
          <w:marLeft w:val="640"/>
          <w:marRight w:val="0"/>
          <w:marTop w:val="0"/>
          <w:marBottom w:val="0"/>
          <w:divBdr>
            <w:top w:val="none" w:sz="0" w:space="0" w:color="auto"/>
            <w:left w:val="none" w:sz="0" w:space="0" w:color="auto"/>
            <w:bottom w:val="none" w:sz="0" w:space="0" w:color="auto"/>
            <w:right w:val="none" w:sz="0" w:space="0" w:color="auto"/>
          </w:divBdr>
        </w:div>
        <w:div w:id="918518096">
          <w:marLeft w:val="640"/>
          <w:marRight w:val="0"/>
          <w:marTop w:val="0"/>
          <w:marBottom w:val="0"/>
          <w:divBdr>
            <w:top w:val="none" w:sz="0" w:space="0" w:color="auto"/>
            <w:left w:val="none" w:sz="0" w:space="0" w:color="auto"/>
            <w:bottom w:val="none" w:sz="0" w:space="0" w:color="auto"/>
            <w:right w:val="none" w:sz="0" w:space="0" w:color="auto"/>
          </w:divBdr>
        </w:div>
        <w:div w:id="824736339">
          <w:marLeft w:val="640"/>
          <w:marRight w:val="0"/>
          <w:marTop w:val="0"/>
          <w:marBottom w:val="0"/>
          <w:divBdr>
            <w:top w:val="none" w:sz="0" w:space="0" w:color="auto"/>
            <w:left w:val="none" w:sz="0" w:space="0" w:color="auto"/>
            <w:bottom w:val="none" w:sz="0" w:space="0" w:color="auto"/>
            <w:right w:val="none" w:sz="0" w:space="0" w:color="auto"/>
          </w:divBdr>
        </w:div>
        <w:div w:id="1622494133">
          <w:marLeft w:val="640"/>
          <w:marRight w:val="0"/>
          <w:marTop w:val="0"/>
          <w:marBottom w:val="0"/>
          <w:divBdr>
            <w:top w:val="none" w:sz="0" w:space="0" w:color="auto"/>
            <w:left w:val="none" w:sz="0" w:space="0" w:color="auto"/>
            <w:bottom w:val="none" w:sz="0" w:space="0" w:color="auto"/>
            <w:right w:val="none" w:sz="0" w:space="0" w:color="auto"/>
          </w:divBdr>
        </w:div>
        <w:div w:id="1927960265">
          <w:marLeft w:val="640"/>
          <w:marRight w:val="0"/>
          <w:marTop w:val="0"/>
          <w:marBottom w:val="0"/>
          <w:divBdr>
            <w:top w:val="none" w:sz="0" w:space="0" w:color="auto"/>
            <w:left w:val="none" w:sz="0" w:space="0" w:color="auto"/>
            <w:bottom w:val="none" w:sz="0" w:space="0" w:color="auto"/>
            <w:right w:val="none" w:sz="0" w:space="0" w:color="auto"/>
          </w:divBdr>
        </w:div>
        <w:div w:id="176846413">
          <w:marLeft w:val="640"/>
          <w:marRight w:val="0"/>
          <w:marTop w:val="0"/>
          <w:marBottom w:val="0"/>
          <w:divBdr>
            <w:top w:val="none" w:sz="0" w:space="0" w:color="auto"/>
            <w:left w:val="none" w:sz="0" w:space="0" w:color="auto"/>
            <w:bottom w:val="none" w:sz="0" w:space="0" w:color="auto"/>
            <w:right w:val="none" w:sz="0" w:space="0" w:color="auto"/>
          </w:divBdr>
        </w:div>
        <w:div w:id="280377455">
          <w:marLeft w:val="640"/>
          <w:marRight w:val="0"/>
          <w:marTop w:val="0"/>
          <w:marBottom w:val="0"/>
          <w:divBdr>
            <w:top w:val="none" w:sz="0" w:space="0" w:color="auto"/>
            <w:left w:val="none" w:sz="0" w:space="0" w:color="auto"/>
            <w:bottom w:val="none" w:sz="0" w:space="0" w:color="auto"/>
            <w:right w:val="none" w:sz="0" w:space="0" w:color="auto"/>
          </w:divBdr>
        </w:div>
        <w:div w:id="293409844">
          <w:marLeft w:val="640"/>
          <w:marRight w:val="0"/>
          <w:marTop w:val="0"/>
          <w:marBottom w:val="0"/>
          <w:divBdr>
            <w:top w:val="none" w:sz="0" w:space="0" w:color="auto"/>
            <w:left w:val="none" w:sz="0" w:space="0" w:color="auto"/>
            <w:bottom w:val="none" w:sz="0" w:space="0" w:color="auto"/>
            <w:right w:val="none" w:sz="0" w:space="0" w:color="auto"/>
          </w:divBdr>
        </w:div>
        <w:div w:id="607084726">
          <w:marLeft w:val="640"/>
          <w:marRight w:val="0"/>
          <w:marTop w:val="0"/>
          <w:marBottom w:val="0"/>
          <w:divBdr>
            <w:top w:val="none" w:sz="0" w:space="0" w:color="auto"/>
            <w:left w:val="none" w:sz="0" w:space="0" w:color="auto"/>
            <w:bottom w:val="none" w:sz="0" w:space="0" w:color="auto"/>
            <w:right w:val="none" w:sz="0" w:space="0" w:color="auto"/>
          </w:divBdr>
        </w:div>
        <w:div w:id="1330715511">
          <w:marLeft w:val="640"/>
          <w:marRight w:val="0"/>
          <w:marTop w:val="0"/>
          <w:marBottom w:val="0"/>
          <w:divBdr>
            <w:top w:val="none" w:sz="0" w:space="0" w:color="auto"/>
            <w:left w:val="none" w:sz="0" w:space="0" w:color="auto"/>
            <w:bottom w:val="none" w:sz="0" w:space="0" w:color="auto"/>
            <w:right w:val="none" w:sz="0" w:space="0" w:color="auto"/>
          </w:divBdr>
        </w:div>
        <w:div w:id="607196310">
          <w:marLeft w:val="640"/>
          <w:marRight w:val="0"/>
          <w:marTop w:val="0"/>
          <w:marBottom w:val="0"/>
          <w:divBdr>
            <w:top w:val="none" w:sz="0" w:space="0" w:color="auto"/>
            <w:left w:val="none" w:sz="0" w:space="0" w:color="auto"/>
            <w:bottom w:val="none" w:sz="0" w:space="0" w:color="auto"/>
            <w:right w:val="none" w:sz="0" w:space="0" w:color="auto"/>
          </w:divBdr>
        </w:div>
        <w:div w:id="1275399864">
          <w:marLeft w:val="640"/>
          <w:marRight w:val="0"/>
          <w:marTop w:val="0"/>
          <w:marBottom w:val="0"/>
          <w:divBdr>
            <w:top w:val="none" w:sz="0" w:space="0" w:color="auto"/>
            <w:left w:val="none" w:sz="0" w:space="0" w:color="auto"/>
            <w:bottom w:val="none" w:sz="0" w:space="0" w:color="auto"/>
            <w:right w:val="none" w:sz="0" w:space="0" w:color="auto"/>
          </w:divBdr>
        </w:div>
        <w:div w:id="856238367">
          <w:marLeft w:val="640"/>
          <w:marRight w:val="0"/>
          <w:marTop w:val="0"/>
          <w:marBottom w:val="0"/>
          <w:divBdr>
            <w:top w:val="none" w:sz="0" w:space="0" w:color="auto"/>
            <w:left w:val="none" w:sz="0" w:space="0" w:color="auto"/>
            <w:bottom w:val="none" w:sz="0" w:space="0" w:color="auto"/>
            <w:right w:val="none" w:sz="0" w:space="0" w:color="auto"/>
          </w:divBdr>
        </w:div>
        <w:div w:id="190345176">
          <w:marLeft w:val="640"/>
          <w:marRight w:val="0"/>
          <w:marTop w:val="0"/>
          <w:marBottom w:val="0"/>
          <w:divBdr>
            <w:top w:val="none" w:sz="0" w:space="0" w:color="auto"/>
            <w:left w:val="none" w:sz="0" w:space="0" w:color="auto"/>
            <w:bottom w:val="none" w:sz="0" w:space="0" w:color="auto"/>
            <w:right w:val="none" w:sz="0" w:space="0" w:color="auto"/>
          </w:divBdr>
        </w:div>
        <w:div w:id="1575239563">
          <w:marLeft w:val="640"/>
          <w:marRight w:val="0"/>
          <w:marTop w:val="0"/>
          <w:marBottom w:val="0"/>
          <w:divBdr>
            <w:top w:val="none" w:sz="0" w:space="0" w:color="auto"/>
            <w:left w:val="none" w:sz="0" w:space="0" w:color="auto"/>
            <w:bottom w:val="none" w:sz="0" w:space="0" w:color="auto"/>
            <w:right w:val="none" w:sz="0" w:space="0" w:color="auto"/>
          </w:divBdr>
        </w:div>
        <w:div w:id="1254364749">
          <w:marLeft w:val="640"/>
          <w:marRight w:val="0"/>
          <w:marTop w:val="0"/>
          <w:marBottom w:val="0"/>
          <w:divBdr>
            <w:top w:val="none" w:sz="0" w:space="0" w:color="auto"/>
            <w:left w:val="none" w:sz="0" w:space="0" w:color="auto"/>
            <w:bottom w:val="none" w:sz="0" w:space="0" w:color="auto"/>
            <w:right w:val="none" w:sz="0" w:space="0" w:color="auto"/>
          </w:divBdr>
        </w:div>
        <w:div w:id="464660004">
          <w:marLeft w:val="640"/>
          <w:marRight w:val="0"/>
          <w:marTop w:val="0"/>
          <w:marBottom w:val="0"/>
          <w:divBdr>
            <w:top w:val="none" w:sz="0" w:space="0" w:color="auto"/>
            <w:left w:val="none" w:sz="0" w:space="0" w:color="auto"/>
            <w:bottom w:val="none" w:sz="0" w:space="0" w:color="auto"/>
            <w:right w:val="none" w:sz="0" w:space="0" w:color="auto"/>
          </w:divBdr>
        </w:div>
        <w:div w:id="1478759231">
          <w:marLeft w:val="640"/>
          <w:marRight w:val="0"/>
          <w:marTop w:val="0"/>
          <w:marBottom w:val="0"/>
          <w:divBdr>
            <w:top w:val="none" w:sz="0" w:space="0" w:color="auto"/>
            <w:left w:val="none" w:sz="0" w:space="0" w:color="auto"/>
            <w:bottom w:val="none" w:sz="0" w:space="0" w:color="auto"/>
            <w:right w:val="none" w:sz="0" w:space="0" w:color="auto"/>
          </w:divBdr>
        </w:div>
        <w:div w:id="1794325402">
          <w:marLeft w:val="640"/>
          <w:marRight w:val="0"/>
          <w:marTop w:val="0"/>
          <w:marBottom w:val="0"/>
          <w:divBdr>
            <w:top w:val="none" w:sz="0" w:space="0" w:color="auto"/>
            <w:left w:val="none" w:sz="0" w:space="0" w:color="auto"/>
            <w:bottom w:val="none" w:sz="0" w:space="0" w:color="auto"/>
            <w:right w:val="none" w:sz="0" w:space="0" w:color="auto"/>
          </w:divBdr>
        </w:div>
        <w:div w:id="372270375">
          <w:marLeft w:val="640"/>
          <w:marRight w:val="0"/>
          <w:marTop w:val="0"/>
          <w:marBottom w:val="0"/>
          <w:divBdr>
            <w:top w:val="none" w:sz="0" w:space="0" w:color="auto"/>
            <w:left w:val="none" w:sz="0" w:space="0" w:color="auto"/>
            <w:bottom w:val="none" w:sz="0" w:space="0" w:color="auto"/>
            <w:right w:val="none" w:sz="0" w:space="0" w:color="auto"/>
          </w:divBdr>
        </w:div>
        <w:div w:id="722098143">
          <w:marLeft w:val="640"/>
          <w:marRight w:val="0"/>
          <w:marTop w:val="0"/>
          <w:marBottom w:val="0"/>
          <w:divBdr>
            <w:top w:val="none" w:sz="0" w:space="0" w:color="auto"/>
            <w:left w:val="none" w:sz="0" w:space="0" w:color="auto"/>
            <w:bottom w:val="none" w:sz="0" w:space="0" w:color="auto"/>
            <w:right w:val="none" w:sz="0" w:space="0" w:color="auto"/>
          </w:divBdr>
        </w:div>
        <w:div w:id="501168839">
          <w:marLeft w:val="640"/>
          <w:marRight w:val="0"/>
          <w:marTop w:val="0"/>
          <w:marBottom w:val="0"/>
          <w:divBdr>
            <w:top w:val="none" w:sz="0" w:space="0" w:color="auto"/>
            <w:left w:val="none" w:sz="0" w:space="0" w:color="auto"/>
            <w:bottom w:val="none" w:sz="0" w:space="0" w:color="auto"/>
            <w:right w:val="none" w:sz="0" w:space="0" w:color="auto"/>
          </w:divBdr>
        </w:div>
        <w:div w:id="1997604981">
          <w:marLeft w:val="640"/>
          <w:marRight w:val="0"/>
          <w:marTop w:val="0"/>
          <w:marBottom w:val="0"/>
          <w:divBdr>
            <w:top w:val="none" w:sz="0" w:space="0" w:color="auto"/>
            <w:left w:val="none" w:sz="0" w:space="0" w:color="auto"/>
            <w:bottom w:val="none" w:sz="0" w:space="0" w:color="auto"/>
            <w:right w:val="none" w:sz="0" w:space="0" w:color="auto"/>
          </w:divBdr>
        </w:div>
        <w:div w:id="211159432">
          <w:marLeft w:val="640"/>
          <w:marRight w:val="0"/>
          <w:marTop w:val="0"/>
          <w:marBottom w:val="0"/>
          <w:divBdr>
            <w:top w:val="none" w:sz="0" w:space="0" w:color="auto"/>
            <w:left w:val="none" w:sz="0" w:space="0" w:color="auto"/>
            <w:bottom w:val="none" w:sz="0" w:space="0" w:color="auto"/>
            <w:right w:val="none" w:sz="0" w:space="0" w:color="auto"/>
          </w:divBdr>
        </w:div>
        <w:div w:id="693306077">
          <w:marLeft w:val="640"/>
          <w:marRight w:val="0"/>
          <w:marTop w:val="0"/>
          <w:marBottom w:val="0"/>
          <w:divBdr>
            <w:top w:val="none" w:sz="0" w:space="0" w:color="auto"/>
            <w:left w:val="none" w:sz="0" w:space="0" w:color="auto"/>
            <w:bottom w:val="none" w:sz="0" w:space="0" w:color="auto"/>
            <w:right w:val="none" w:sz="0" w:space="0" w:color="auto"/>
          </w:divBdr>
        </w:div>
        <w:div w:id="1434588174">
          <w:marLeft w:val="640"/>
          <w:marRight w:val="0"/>
          <w:marTop w:val="0"/>
          <w:marBottom w:val="0"/>
          <w:divBdr>
            <w:top w:val="none" w:sz="0" w:space="0" w:color="auto"/>
            <w:left w:val="none" w:sz="0" w:space="0" w:color="auto"/>
            <w:bottom w:val="none" w:sz="0" w:space="0" w:color="auto"/>
            <w:right w:val="none" w:sz="0" w:space="0" w:color="auto"/>
          </w:divBdr>
        </w:div>
        <w:div w:id="2027294014">
          <w:marLeft w:val="640"/>
          <w:marRight w:val="0"/>
          <w:marTop w:val="0"/>
          <w:marBottom w:val="0"/>
          <w:divBdr>
            <w:top w:val="none" w:sz="0" w:space="0" w:color="auto"/>
            <w:left w:val="none" w:sz="0" w:space="0" w:color="auto"/>
            <w:bottom w:val="none" w:sz="0" w:space="0" w:color="auto"/>
            <w:right w:val="none" w:sz="0" w:space="0" w:color="auto"/>
          </w:divBdr>
        </w:div>
        <w:div w:id="368261173">
          <w:marLeft w:val="640"/>
          <w:marRight w:val="0"/>
          <w:marTop w:val="0"/>
          <w:marBottom w:val="0"/>
          <w:divBdr>
            <w:top w:val="none" w:sz="0" w:space="0" w:color="auto"/>
            <w:left w:val="none" w:sz="0" w:space="0" w:color="auto"/>
            <w:bottom w:val="none" w:sz="0" w:space="0" w:color="auto"/>
            <w:right w:val="none" w:sz="0" w:space="0" w:color="auto"/>
          </w:divBdr>
        </w:div>
        <w:div w:id="1558013501">
          <w:marLeft w:val="640"/>
          <w:marRight w:val="0"/>
          <w:marTop w:val="0"/>
          <w:marBottom w:val="0"/>
          <w:divBdr>
            <w:top w:val="none" w:sz="0" w:space="0" w:color="auto"/>
            <w:left w:val="none" w:sz="0" w:space="0" w:color="auto"/>
            <w:bottom w:val="none" w:sz="0" w:space="0" w:color="auto"/>
            <w:right w:val="none" w:sz="0" w:space="0" w:color="auto"/>
          </w:divBdr>
        </w:div>
        <w:div w:id="1593926182">
          <w:marLeft w:val="640"/>
          <w:marRight w:val="0"/>
          <w:marTop w:val="0"/>
          <w:marBottom w:val="0"/>
          <w:divBdr>
            <w:top w:val="none" w:sz="0" w:space="0" w:color="auto"/>
            <w:left w:val="none" w:sz="0" w:space="0" w:color="auto"/>
            <w:bottom w:val="none" w:sz="0" w:space="0" w:color="auto"/>
            <w:right w:val="none" w:sz="0" w:space="0" w:color="auto"/>
          </w:divBdr>
        </w:div>
        <w:div w:id="1639610504">
          <w:marLeft w:val="640"/>
          <w:marRight w:val="0"/>
          <w:marTop w:val="0"/>
          <w:marBottom w:val="0"/>
          <w:divBdr>
            <w:top w:val="none" w:sz="0" w:space="0" w:color="auto"/>
            <w:left w:val="none" w:sz="0" w:space="0" w:color="auto"/>
            <w:bottom w:val="none" w:sz="0" w:space="0" w:color="auto"/>
            <w:right w:val="none" w:sz="0" w:space="0" w:color="auto"/>
          </w:divBdr>
        </w:div>
        <w:div w:id="455410145">
          <w:marLeft w:val="640"/>
          <w:marRight w:val="0"/>
          <w:marTop w:val="0"/>
          <w:marBottom w:val="0"/>
          <w:divBdr>
            <w:top w:val="none" w:sz="0" w:space="0" w:color="auto"/>
            <w:left w:val="none" w:sz="0" w:space="0" w:color="auto"/>
            <w:bottom w:val="none" w:sz="0" w:space="0" w:color="auto"/>
            <w:right w:val="none" w:sz="0" w:space="0" w:color="auto"/>
          </w:divBdr>
        </w:div>
        <w:div w:id="255984413">
          <w:marLeft w:val="640"/>
          <w:marRight w:val="0"/>
          <w:marTop w:val="0"/>
          <w:marBottom w:val="0"/>
          <w:divBdr>
            <w:top w:val="none" w:sz="0" w:space="0" w:color="auto"/>
            <w:left w:val="none" w:sz="0" w:space="0" w:color="auto"/>
            <w:bottom w:val="none" w:sz="0" w:space="0" w:color="auto"/>
            <w:right w:val="none" w:sz="0" w:space="0" w:color="auto"/>
          </w:divBdr>
        </w:div>
        <w:div w:id="1718966983">
          <w:marLeft w:val="640"/>
          <w:marRight w:val="0"/>
          <w:marTop w:val="0"/>
          <w:marBottom w:val="0"/>
          <w:divBdr>
            <w:top w:val="none" w:sz="0" w:space="0" w:color="auto"/>
            <w:left w:val="none" w:sz="0" w:space="0" w:color="auto"/>
            <w:bottom w:val="none" w:sz="0" w:space="0" w:color="auto"/>
            <w:right w:val="none" w:sz="0" w:space="0" w:color="auto"/>
          </w:divBdr>
        </w:div>
        <w:div w:id="518735992">
          <w:marLeft w:val="640"/>
          <w:marRight w:val="0"/>
          <w:marTop w:val="0"/>
          <w:marBottom w:val="0"/>
          <w:divBdr>
            <w:top w:val="none" w:sz="0" w:space="0" w:color="auto"/>
            <w:left w:val="none" w:sz="0" w:space="0" w:color="auto"/>
            <w:bottom w:val="none" w:sz="0" w:space="0" w:color="auto"/>
            <w:right w:val="none" w:sz="0" w:space="0" w:color="auto"/>
          </w:divBdr>
        </w:div>
        <w:div w:id="986209108">
          <w:marLeft w:val="640"/>
          <w:marRight w:val="0"/>
          <w:marTop w:val="0"/>
          <w:marBottom w:val="0"/>
          <w:divBdr>
            <w:top w:val="none" w:sz="0" w:space="0" w:color="auto"/>
            <w:left w:val="none" w:sz="0" w:space="0" w:color="auto"/>
            <w:bottom w:val="none" w:sz="0" w:space="0" w:color="auto"/>
            <w:right w:val="none" w:sz="0" w:space="0" w:color="auto"/>
          </w:divBdr>
        </w:div>
        <w:div w:id="976879883">
          <w:marLeft w:val="640"/>
          <w:marRight w:val="0"/>
          <w:marTop w:val="0"/>
          <w:marBottom w:val="0"/>
          <w:divBdr>
            <w:top w:val="none" w:sz="0" w:space="0" w:color="auto"/>
            <w:left w:val="none" w:sz="0" w:space="0" w:color="auto"/>
            <w:bottom w:val="none" w:sz="0" w:space="0" w:color="auto"/>
            <w:right w:val="none" w:sz="0" w:space="0" w:color="auto"/>
          </w:divBdr>
        </w:div>
        <w:div w:id="315644175">
          <w:marLeft w:val="640"/>
          <w:marRight w:val="0"/>
          <w:marTop w:val="0"/>
          <w:marBottom w:val="0"/>
          <w:divBdr>
            <w:top w:val="none" w:sz="0" w:space="0" w:color="auto"/>
            <w:left w:val="none" w:sz="0" w:space="0" w:color="auto"/>
            <w:bottom w:val="none" w:sz="0" w:space="0" w:color="auto"/>
            <w:right w:val="none" w:sz="0" w:space="0" w:color="auto"/>
          </w:divBdr>
        </w:div>
        <w:div w:id="1003121745">
          <w:marLeft w:val="640"/>
          <w:marRight w:val="0"/>
          <w:marTop w:val="0"/>
          <w:marBottom w:val="0"/>
          <w:divBdr>
            <w:top w:val="none" w:sz="0" w:space="0" w:color="auto"/>
            <w:left w:val="none" w:sz="0" w:space="0" w:color="auto"/>
            <w:bottom w:val="none" w:sz="0" w:space="0" w:color="auto"/>
            <w:right w:val="none" w:sz="0" w:space="0" w:color="auto"/>
          </w:divBdr>
        </w:div>
        <w:div w:id="241642805">
          <w:marLeft w:val="640"/>
          <w:marRight w:val="0"/>
          <w:marTop w:val="0"/>
          <w:marBottom w:val="0"/>
          <w:divBdr>
            <w:top w:val="none" w:sz="0" w:space="0" w:color="auto"/>
            <w:left w:val="none" w:sz="0" w:space="0" w:color="auto"/>
            <w:bottom w:val="none" w:sz="0" w:space="0" w:color="auto"/>
            <w:right w:val="none" w:sz="0" w:space="0" w:color="auto"/>
          </w:divBdr>
        </w:div>
        <w:div w:id="1370033252">
          <w:marLeft w:val="640"/>
          <w:marRight w:val="0"/>
          <w:marTop w:val="0"/>
          <w:marBottom w:val="0"/>
          <w:divBdr>
            <w:top w:val="none" w:sz="0" w:space="0" w:color="auto"/>
            <w:left w:val="none" w:sz="0" w:space="0" w:color="auto"/>
            <w:bottom w:val="none" w:sz="0" w:space="0" w:color="auto"/>
            <w:right w:val="none" w:sz="0" w:space="0" w:color="auto"/>
          </w:divBdr>
        </w:div>
        <w:div w:id="1495681782">
          <w:marLeft w:val="640"/>
          <w:marRight w:val="0"/>
          <w:marTop w:val="0"/>
          <w:marBottom w:val="0"/>
          <w:divBdr>
            <w:top w:val="none" w:sz="0" w:space="0" w:color="auto"/>
            <w:left w:val="none" w:sz="0" w:space="0" w:color="auto"/>
            <w:bottom w:val="none" w:sz="0" w:space="0" w:color="auto"/>
            <w:right w:val="none" w:sz="0" w:space="0" w:color="auto"/>
          </w:divBdr>
        </w:div>
        <w:div w:id="1804612231">
          <w:marLeft w:val="640"/>
          <w:marRight w:val="0"/>
          <w:marTop w:val="0"/>
          <w:marBottom w:val="0"/>
          <w:divBdr>
            <w:top w:val="none" w:sz="0" w:space="0" w:color="auto"/>
            <w:left w:val="none" w:sz="0" w:space="0" w:color="auto"/>
            <w:bottom w:val="none" w:sz="0" w:space="0" w:color="auto"/>
            <w:right w:val="none" w:sz="0" w:space="0" w:color="auto"/>
          </w:divBdr>
        </w:div>
        <w:div w:id="2127969246">
          <w:marLeft w:val="640"/>
          <w:marRight w:val="0"/>
          <w:marTop w:val="0"/>
          <w:marBottom w:val="0"/>
          <w:divBdr>
            <w:top w:val="none" w:sz="0" w:space="0" w:color="auto"/>
            <w:left w:val="none" w:sz="0" w:space="0" w:color="auto"/>
            <w:bottom w:val="none" w:sz="0" w:space="0" w:color="auto"/>
            <w:right w:val="none" w:sz="0" w:space="0" w:color="auto"/>
          </w:divBdr>
        </w:div>
        <w:div w:id="1381899499">
          <w:marLeft w:val="640"/>
          <w:marRight w:val="0"/>
          <w:marTop w:val="0"/>
          <w:marBottom w:val="0"/>
          <w:divBdr>
            <w:top w:val="none" w:sz="0" w:space="0" w:color="auto"/>
            <w:left w:val="none" w:sz="0" w:space="0" w:color="auto"/>
            <w:bottom w:val="none" w:sz="0" w:space="0" w:color="auto"/>
            <w:right w:val="none" w:sz="0" w:space="0" w:color="auto"/>
          </w:divBdr>
        </w:div>
        <w:div w:id="2047750649">
          <w:marLeft w:val="640"/>
          <w:marRight w:val="0"/>
          <w:marTop w:val="0"/>
          <w:marBottom w:val="0"/>
          <w:divBdr>
            <w:top w:val="none" w:sz="0" w:space="0" w:color="auto"/>
            <w:left w:val="none" w:sz="0" w:space="0" w:color="auto"/>
            <w:bottom w:val="none" w:sz="0" w:space="0" w:color="auto"/>
            <w:right w:val="none" w:sz="0" w:space="0" w:color="auto"/>
          </w:divBdr>
        </w:div>
        <w:div w:id="660624544">
          <w:marLeft w:val="640"/>
          <w:marRight w:val="0"/>
          <w:marTop w:val="0"/>
          <w:marBottom w:val="0"/>
          <w:divBdr>
            <w:top w:val="none" w:sz="0" w:space="0" w:color="auto"/>
            <w:left w:val="none" w:sz="0" w:space="0" w:color="auto"/>
            <w:bottom w:val="none" w:sz="0" w:space="0" w:color="auto"/>
            <w:right w:val="none" w:sz="0" w:space="0" w:color="auto"/>
          </w:divBdr>
        </w:div>
      </w:divsChild>
    </w:div>
    <w:div w:id="334187431">
      <w:bodyDiv w:val="1"/>
      <w:marLeft w:val="0"/>
      <w:marRight w:val="0"/>
      <w:marTop w:val="0"/>
      <w:marBottom w:val="0"/>
      <w:divBdr>
        <w:top w:val="none" w:sz="0" w:space="0" w:color="auto"/>
        <w:left w:val="none" w:sz="0" w:space="0" w:color="auto"/>
        <w:bottom w:val="none" w:sz="0" w:space="0" w:color="auto"/>
        <w:right w:val="none" w:sz="0" w:space="0" w:color="auto"/>
      </w:divBdr>
    </w:div>
    <w:div w:id="335810686">
      <w:bodyDiv w:val="1"/>
      <w:marLeft w:val="0"/>
      <w:marRight w:val="0"/>
      <w:marTop w:val="0"/>
      <w:marBottom w:val="0"/>
      <w:divBdr>
        <w:top w:val="none" w:sz="0" w:space="0" w:color="auto"/>
        <w:left w:val="none" w:sz="0" w:space="0" w:color="auto"/>
        <w:bottom w:val="none" w:sz="0" w:space="0" w:color="auto"/>
        <w:right w:val="none" w:sz="0" w:space="0" w:color="auto"/>
      </w:divBdr>
    </w:div>
    <w:div w:id="341784918">
      <w:bodyDiv w:val="1"/>
      <w:marLeft w:val="0"/>
      <w:marRight w:val="0"/>
      <w:marTop w:val="0"/>
      <w:marBottom w:val="0"/>
      <w:divBdr>
        <w:top w:val="none" w:sz="0" w:space="0" w:color="auto"/>
        <w:left w:val="none" w:sz="0" w:space="0" w:color="auto"/>
        <w:bottom w:val="none" w:sz="0" w:space="0" w:color="auto"/>
        <w:right w:val="none" w:sz="0" w:space="0" w:color="auto"/>
      </w:divBdr>
    </w:div>
    <w:div w:id="342900083">
      <w:bodyDiv w:val="1"/>
      <w:marLeft w:val="0"/>
      <w:marRight w:val="0"/>
      <w:marTop w:val="0"/>
      <w:marBottom w:val="0"/>
      <w:divBdr>
        <w:top w:val="none" w:sz="0" w:space="0" w:color="auto"/>
        <w:left w:val="none" w:sz="0" w:space="0" w:color="auto"/>
        <w:bottom w:val="none" w:sz="0" w:space="0" w:color="auto"/>
        <w:right w:val="none" w:sz="0" w:space="0" w:color="auto"/>
      </w:divBdr>
      <w:divsChild>
        <w:div w:id="124665167">
          <w:marLeft w:val="640"/>
          <w:marRight w:val="0"/>
          <w:marTop w:val="0"/>
          <w:marBottom w:val="0"/>
          <w:divBdr>
            <w:top w:val="none" w:sz="0" w:space="0" w:color="auto"/>
            <w:left w:val="none" w:sz="0" w:space="0" w:color="auto"/>
            <w:bottom w:val="none" w:sz="0" w:space="0" w:color="auto"/>
            <w:right w:val="none" w:sz="0" w:space="0" w:color="auto"/>
          </w:divBdr>
        </w:div>
        <w:div w:id="471286992">
          <w:marLeft w:val="640"/>
          <w:marRight w:val="0"/>
          <w:marTop w:val="0"/>
          <w:marBottom w:val="0"/>
          <w:divBdr>
            <w:top w:val="none" w:sz="0" w:space="0" w:color="auto"/>
            <w:left w:val="none" w:sz="0" w:space="0" w:color="auto"/>
            <w:bottom w:val="none" w:sz="0" w:space="0" w:color="auto"/>
            <w:right w:val="none" w:sz="0" w:space="0" w:color="auto"/>
          </w:divBdr>
        </w:div>
        <w:div w:id="1869365788">
          <w:marLeft w:val="640"/>
          <w:marRight w:val="0"/>
          <w:marTop w:val="0"/>
          <w:marBottom w:val="0"/>
          <w:divBdr>
            <w:top w:val="none" w:sz="0" w:space="0" w:color="auto"/>
            <w:left w:val="none" w:sz="0" w:space="0" w:color="auto"/>
            <w:bottom w:val="none" w:sz="0" w:space="0" w:color="auto"/>
            <w:right w:val="none" w:sz="0" w:space="0" w:color="auto"/>
          </w:divBdr>
        </w:div>
        <w:div w:id="1392853038">
          <w:marLeft w:val="640"/>
          <w:marRight w:val="0"/>
          <w:marTop w:val="0"/>
          <w:marBottom w:val="0"/>
          <w:divBdr>
            <w:top w:val="none" w:sz="0" w:space="0" w:color="auto"/>
            <w:left w:val="none" w:sz="0" w:space="0" w:color="auto"/>
            <w:bottom w:val="none" w:sz="0" w:space="0" w:color="auto"/>
            <w:right w:val="none" w:sz="0" w:space="0" w:color="auto"/>
          </w:divBdr>
        </w:div>
        <w:div w:id="1265066470">
          <w:marLeft w:val="640"/>
          <w:marRight w:val="0"/>
          <w:marTop w:val="0"/>
          <w:marBottom w:val="0"/>
          <w:divBdr>
            <w:top w:val="none" w:sz="0" w:space="0" w:color="auto"/>
            <w:left w:val="none" w:sz="0" w:space="0" w:color="auto"/>
            <w:bottom w:val="none" w:sz="0" w:space="0" w:color="auto"/>
            <w:right w:val="none" w:sz="0" w:space="0" w:color="auto"/>
          </w:divBdr>
        </w:div>
        <w:div w:id="1205365103">
          <w:marLeft w:val="640"/>
          <w:marRight w:val="0"/>
          <w:marTop w:val="0"/>
          <w:marBottom w:val="0"/>
          <w:divBdr>
            <w:top w:val="none" w:sz="0" w:space="0" w:color="auto"/>
            <w:left w:val="none" w:sz="0" w:space="0" w:color="auto"/>
            <w:bottom w:val="none" w:sz="0" w:space="0" w:color="auto"/>
            <w:right w:val="none" w:sz="0" w:space="0" w:color="auto"/>
          </w:divBdr>
        </w:div>
        <w:div w:id="1653482966">
          <w:marLeft w:val="640"/>
          <w:marRight w:val="0"/>
          <w:marTop w:val="0"/>
          <w:marBottom w:val="0"/>
          <w:divBdr>
            <w:top w:val="none" w:sz="0" w:space="0" w:color="auto"/>
            <w:left w:val="none" w:sz="0" w:space="0" w:color="auto"/>
            <w:bottom w:val="none" w:sz="0" w:space="0" w:color="auto"/>
            <w:right w:val="none" w:sz="0" w:space="0" w:color="auto"/>
          </w:divBdr>
        </w:div>
        <w:div w:id="251092556">
          <w:marLeft w:val="640"/>
          <w:marRight w:val="0"/>
          <w:marTop w:val="0"/>
          <w:marBottom w:val="0"/>
          <w:divBdr>
            <w:top w:val="none" w:sz="0" w:space="0" w:color="auto"/>
            <w:left w:val="none" w:sz="0" w:space="0" w:color="auto"/>
            <w:bottom w:val="none" w:sz="0" w:space="0" w:color="auto"/>
            <w:right w:val="none" w:sz="0" w:space="0" w:color="auto"/>
          </w:divBdr>
        </w:div>
        <w:div w:id="1016081568">
          <w:marLeft w:val="640"/>
          <w:marRight w:val="0"/>
          <w:marTop w:val="0"/>
          <w:marBottom w:val="0"/>
          <w:divBdr>
            <w:top w:val="none" w:sz="0" w:space="0" w:color="auto"/>
            <w:left w:val="none" w:sz="0" w:space="0" w:color="auto"/>
            <w:bottom w:val="none" w:sz="0" w:space="0" w:color="auto"/>
            <w:right w:val="none" w:sz="0" w:space="0" w:color="auto"/>
          </w:divBdr>
        </w:div>
        <w:div w:id="147332064">
          <w:marLeft w:val="640"/>
          <w:marRight w:val="0"/>
          <w:marTop w:val="0"/>
          <w:marBottom w:val="0"/>
          <w:divBdr>
            <w:top w:val="none" w:sz="0" w:space="0" w:color="auto"/>
            <w:left w:val="none" w:sz="0" w:space="0" w:color="auto"/>
            <w:bottom w:val="none" w:sz="0" w:space="0" w:color="auto"/>
            <w:right w:val="none" w:sz="0" w:space="0" w:color="auto"/>
          </w:divBdr>
        </w:div>
        <w:div w:id="1960989999">
          <w:marLeft w:val="640"/>
          <w:marRight w:val="0"/>
          <w:marTop w:val="0"/>
          <w:marBottom w:val="0"/>
          <w:divBdr>
            <w:top w:val="none" w:sz="0" w:space="0" w:color="auto"/>
            <w:left w:val="none" w:sz="0" w:space="0" w:color="auto"/>
            <w:bottom w:val="none" w:sz="0" w:space="0" w:color="auto"/>
            <w:right w:val="none" w:sz="0" w:space="0" w:color="auto"/>
          </w:divBdr>
        </w:div>
        <w:div w:id="366688680">
          <w:marLeft w:val="640"/>
          <w:marRight w:val="0"/>
          <w:marTop w:val="0"/>
          <w:marBottom w:val="0"/>
          <w:divBdr>
            <w:top w:val="none" w:sz="0" w:space="0" w:color="auto"/>
            <w:left w:val="none" w:sz="0" w:space="0" w:color="auto"/>
            <w:bottom w:val="none" w:sz="0" w:space="0" w:color="auto"/>
            <w:right w:val="none" w:sz="0" w:space="0" w:color="auto"/>
          </w:divBdr>
        </w:div>
        <w:div w:id="2035955269">
          <w:marLeft w:val="640"/>
          <w:marRight w:val="0"/>
          <w:marTop w:val="0"/>
          <w:marBottom w:val="0"/>
          <w:divBdr>
            <w:top w:val="none" w:sz="0" w:space="0" w:color="auto"/>
            <w:left w:val="none" w:sz="0" w:space="0" w:color="auto"/>
            <w:bottom w:val="none" w:sz="0" w:space="0" w:color="auto"/>
            <w:right w:val="none" w:sz="0" w:space="0" w:color="auto"/>
          </w:divBdr>
        </w:div>
        <w:div w:id="154691974">
          <w:marLeft w:val="640"/>
          <w:marRight w:val="0"/>
          <w:marTop w:val="0"/>
          <w:marBottom w:val="0"/>
          <w:divBdr>
            <w:top w:val="none" w:sz="0" w:space="0" w:color="auto"/>
            <w:left w:val="none" w:sz="0" w:space="0" w:color="auto"/>
            <w:bottom w:val="none" w:sz="0" w:space="0" w:color="auto"/>
            <w:right w:val="none" w:sz="0" w:space="0" w:color="auto"/>
          </w:divBdr>
        </w:div>
        <w:div w:id="1775514424">
          <w:marLeft w:val="640"/>
          <w:marRight w:val="0"/>
          <w:marTop w:val="0"/>
          <w:marBottom w:val="0"/>
          <w:divBdr>
            <w:top w:val="none" w:sz="0" w:space="0" w:color="auto"/>
            <w:left w:val="none" w:sz="0" w:space="0" w:color="auto"/>
            <w:bottom w:val="none" w:sz="0" w:space="0" w:color="auto"/>
            <w:right w:val="none" w:sz="0" w:space="0" w:color="auto"/>
          </w:divBdr>
        </w:div>
        <w:div w:id="2052457941">
          <w:marLeft w:val="640"/>
          <w:marRight w:val="0"/>
          <w:marTop w:val="0"/>
          <w:marBottom w:val="0"/>
          <w:divBdr>
            <w:top w:val="none" w:sz="0" w:space="0" w:color="auto"/>
            <w:left w:val="none" w:sz="0" w:space="0" w:color="auto"/>
            <w:bottom w:val="none" w:sz="0" w:space="0" w:color="auto"/>
            <w:right w:val="none" w:sz="0" w:space="0" w:color="auto"/>
          </w:divBdr>
        </w:div>
        <w:div w:id="1049571380">
          <w:marLeft w:val="640"/>
          <w:marRight w:val="0"/>
          <w:marTop w:val="0"/>
          <w:marBottom w:val="0"/>
          <w:divBdr>
            <w:top w:val="none" w:sz="0" w:space="0" w:color="auto"/>
            <w:left w:val="none" w:sz="0" w:space="0" w:color="auto"/>
            <w:bottom w:val="none" w:sz="0" w:space="0" w:color="auto"/>
            <w:right w:val="none" w:sz="0" w:space="0" w:color="auto"/>
          </w:divBdr>
        </w:div>
        <w:div w:id="1461915785">
          <w:marLeft w:val="640"/>
          <w:marRight w:val="0"/>
          <w:marTop w:val="0"/>
          <w:marBottom w:val="0"/>
          <w:divBdr>
            <w:top w:val="none" w:sz="0" w:space="0" w:color="auto"/>
            <w:left w:val="none" w:sz="0" w:space="0" w:color="auto"/>
            <w:bottom w:val="none" w:sz="0" w:space="0" w:color="auto"/>
            <w:right w:val="none" w:sz="0" w:space="0" w:color="auto"/>
          </w:divBdr>
        </w:div>
        <w:div w:id="1578129801">
          <w:marLeft w:val="640"/>
          <w:marRight w:val="0"/>
          <w:marTop w:val="0"/>
          <w:marBottom w:val="0"/>
          <w:divBdr>
            <w:top w:val="none" w:sz="0" w:space="0" w:color="auto"/>
            <w:left w:val="none" w:sz="0" w:space="0" w:color="auto"/>
            <w:bottom w:val="none" w:sz="0" w:space="0" w:color="auto"/>
            <w:right w:val="none" w:sz="0" w:space="0" w:color="auto"/>
          </w:divBdr>
        </w:div>
        <w:div w:id="37971304">
          <w:marLeft w:val="640"/>
          <w:marRight w:val="0"/>
          <w:marTop w:val="0"/>
          <w:marBottom w:val="0"/>
          <w:divBdr>
            <w:top w:val="none" w:sz="0" w:space="0" w:color="auto"/>
            <w:left w:val="none" w:sz="0" w:space="0" w:color="auto"/>
            <w:bottom w:val="none" w:sz="0" w:space="0" w:color="auto"/>
            <w:right w:val="none" w:sz="0" w:space="0" w:color="auto"/>
          </w:divBdr>
        </w:div>
        <w:div w:id="1967420981">
          <w:marLeft w:val="640"/>
          <w:marRight w:val="0"/>
          <w:marTop w:val="0"/>
          <w:marBottom w:val="0"/>
          <w:divBdr>
            <w:top w:val="none" w:sz="0" w:space="0" w:color="auto"/>
            <w:left w:val="none" w:sz="0" w:space="0" w:color="auto"/>
            <w:bottom w:val="none" w:sz="0" w:space="0" w:color="auto"/>
            <w:right w:val="none" w:sz="0" w:space="0" w:color="auto"/>
          </w:divBdr>
        </w:div>
        <w:div w:id="2112311483">
          <w:marLeft w:val="640"/>
          <w:marRight w:val="0"/>
          <w:marTop w:val="0"/>
          <w:marBottom w:val="0"/>
          <w:divBdr>
            <w:top w:val="none" w:sz="0" w:space="0" w:color="auto"/>
            <w:left w:val="none" w:sz="0" w:space="0" w:color="auto"/>
            <w:bottom w:val="none" w:sz="0" w:space="0" w:color="auto"/>
            <w:right w:val="none" w:sz="0" w:space="0" w:color="auto"/>
          </w:divBdr>
        </w:div>
        <w:div w:id="1105493558">
          <w:marLeft w:val="640"/>
          <w:marRight w:val="0"/>
          <w:marTop w:val="0"/>
          <w:marBottom w:val="0"/>
          <w:divBdr>
            <w:top w:val="none" w:sz="0" w:space="0" w:color="auto"/>
            <w:left w:val="none" w:sz="0" w:space="0" w:color="auto"/>
            <w:bottom w:val="none" w:sz="0" w:space="0" w:color="auto"/>
            <w:right w:val="none" w:sz="0" w:space="0" w:color="auto"/>
          </w:divBdr>
        </w:div>
        <w:div w:id="215092664">
          <w:marLeft w:val="640"/>
          <w:marRight w:val="0"/>
          <w:marTop w:val="0"/>
          <w:marBottom w:val="0"/>
          <w:divBdr>
            <w:top w:val="none" w:sz="0" w:space="0" w:color="auto"/>
            <w:left w:val="none" w:sz="0" w:space="0" w:color="auto"/>
            <w:bottom w:val="none" w:sz="0" w:space="0" w:color="auto"/>
            <w:right w:val="none" w:sz="0" w:space="0" w:color="auto"/>
          </w:divBdr>
        </w:div>
        <w:div w:id="1621033424">
          <w:marLeft w:val="640"/>
          <w:marRight w:val="0"/>
          <w:marTop w:val="0"/>
          <w:marBottom w:val="0"/>
          <w:divBdr>
            <w:top w:val="none" w:sz="0" w:space="0" w:color="auto"/>
            <w:left w:val="none" w:sz="0" w:space="0" w:color="auto"/>
            <w:bottom w:val="none" w:sz="0" w:space="0" w:color="auto"/>
            <w:right w:val="none" w:sz="0" w:space="0" w:color="auto"/>
          </w:divBdr>
        </w:div>
        <w:div w:id="206140352">
          <w:marLeft w:val="640"/>
          <w:marRight w:val="0"/>
          <w:marTop w:val="0"/>
          <w:marBottom w:val="0"/>
          <w:divBdr>
            <w:top w:val="none" w:sz="0" w:space="0" w:color="auto"/>
            <w:left w:val="none" w:sz="0" w:space="0" w:color="auto"/>
            <w:bottom w:val="none" w:sz="0" w:space="0" w:color="auto"/>
            <w:right w:val="none" w:sz="0" w:space="0" w:color="auto"/>
          </w:divBdr>
        </w:div>
        <w:div w:id="1043482413">
          <w:marLeft w:val="640"/>
          <w:marRight w:val="0"/>
          <w:marTop w:val="0"/>
          <w:marBottom w:val="0"/>
          <w:divBdr>
            <w:top w:val="none" w:sz="0" w:space="0" w:color="auto"/>
            <w:left w:val="none" w:sz="0" w:space="0" w:color="auto"/>
            <w:bottom w:val="none" w:sz="0" w:space="0" w:color="auto"/>
            <w:right w:val="none" w:sz="0" w:space="0" w:color="auto"/>
          </w:divBdr>
        </w:div>
        <w:div w:id="336928303">
          <w:marLeft w:val="640"/>
          <w:marRight w:val="0"/>
          <w:marTop w:val="0"/>
          <w:marBottom w:val="0"/>
          <w:divBdr>
            <w:top w:val="none" w:sz="0" w:space="0" w:color="auto"/>
            <w:left w:val="none" w:sz="0" w:space="0" w:color="auto"/>
            <w:bottom w:val="none" w:sz="0" w:space="0" w:color="auto"/>
            <w:right w:val="none" w:sz="0" w:space="0" w:color="auto"/>
          </w:divBdr>
        </w:div>
        <w:div w:id="89400552">
          <w:marLeft w:val="640"/>
          <w:marRight w:val="0"/>
          <w:marTop w:val="0"/>
          <w:marBottom w:val="0"/>
          <w:divBdr>
            <w:top w:val="none" w:sz="0" w:space="0" w:color="auto"/>
            <w:left w:val="none" w:sz="0" w:space="0" w:color="auto"/>
            <w:bottom w:val="none" w:sz="0" w:space="0" w:color="auto"/>
            <w:right w:val="none" w:sz="0" w:space="0" w:color="auto"/>
          </w:divBdr>
        </w:div>
        <w:div w:id="1886481086">
          <w:marLeft w:val="640"/>
          <w:marRight w:val="0"/>
          <w:marTop w:val="0"/>
          <w:marBottom w:val="0"/>
          <w:divBdr>
            <w:top w:val="none" w:sz="0" w:space="0" w:color="auto"/>
            <w:left w:val="none" w:sz="0" w:space="0" w:color="auto"/>
            <w:bottom w:val="none" w:sz="0" w:space="0" w:color="auto"/>
            <w:right w:val="none" w:sz="0" w:space="0" w:color="auto"/>
          </w:divBdr>
        </w:div>
        <w:div w:id="393510122">
          <w:marLeft w:val="640"/>
          <w:marRight w:val="0"/>
          <w:marTop w:val="0"/>
          <w:marBottom w:val="0"/>
          <w:divBdr>
            <w:top w:val="none" w:sz="0" w:space="0" w:color="auto"/>
            <w:left w:val="none" w:sz="0" w:space="0" w:color="auto"/>
            <w:bottom w:val="none" w:sz="0" w:space="0" w:color="auto"/>
            <w:right w:val="none" w:sz="0" w:space="0" w:color="auto"/>
          </w:divBdr>
        </w:div>
        <w:div w:id="1380858570">
          <w:marLeft w:val="640"/>
          <w:marRight w:val="0"/>
          <w:marTop w:val="0"/>
          <w:marBottom w:val="0"/>
          <w:divBdr>
            <w:top w:val="none" w:sz="0" w:space="0" w:color="auto"/>
            <w:left w:val="none" w:sz="0" w:space="0" w:color="auto"/>
            <w:bottom w:val="none" w:sz="0" w:space="0" w:color="auto"/>
            <w:right w:val="none" w:sz="0" w:space="0" w:color="auto"/>
          </w:divBdr>
        </w:div>
        <w:div w:id="1738279670">
          <w:marLeft w:val="640"/>
          <w:marRight w:val="0"/>
          <w:marTop w:val="0"/>
          <w:marBottom w:val="0"/>
          <w:divBdr>
            <w:top w:val="none" w:sz="0" w:space="0" w:color="auto"/>
            <w:left w:val="none" w:sz="0" w:space="0" w:color="auto"/>
            <w:bottom w:val="none" w:sz="0" w:space="0" w:color="auto"/>
            <w:right w:val="none" w:sz="0" w:space="0" w:color="auto"/>
          </w:divBdr>
        </w:div>
        <w:div w:id="179703086">
          <w:marLeft w:val="640"/>
          <w:marRight w:val="0"/>
          <w:marTop w:val="0"/>
          <w:marBottom w:val="0"/>
          <w:divBdr>
            <w:top w:val="none" w:sz="0" w:space="0" w:color="auto"/>
            <w:left w:val="none" w:sz="0" w:space="0" w:color="auto"/>
            <w:bottom w:val="none" w:sz="0" w:space="0" w:color="auto"/>
            <w:right w:val="none" w:sz="0" w:space="0" w:color="auto"/>
          </w:divBdr>
        </w:div>
        <w:div w:id="961687886">
          <w:marLeft w:val="640"/>
          <w:marRight w:val="0"/>
          <w:marTop w:val="0"/>
          <w:marBottom w:val="0"/>
          <w:divBdr>
            <w:top w:val="none" w:sz="0" w:space="0" w:color="auto"/>
            <w:left w:val="none" w:sz="0" w:space="0" w:color="auto"/>
            <w:bottom w:val="none" w:sz="0" w:space="0" w:color="auto"/>
            <w:right w:val="none" w:sz="0" w:space="0" w:color="auto"/>
          </w:divBdr>
        </w:div>
        <w:div w:id="483011957">
          <w:marLeft w:val="640"/>
          <w:marRight w:val="0"/>
          <w:marTop w:val="0"/>
          <w:marBottom w:val="0"/>
          <w:divBdr>
            <w:top w:val="none" w:sz="0" w:space="0" w:color="auto"/>
            <w:left w:val="none" w:sz="0" w:space="0" w:color="auto"/>
            <w:bottom w:val="none" w:sz="0" w:space="0" w:color="auto"/>
            <w:right w:val="none" w:sz="0" w:space="0" w:color="auto"/>
          </w:divBdr>
        </w:div>
        <w:div w:id="2125298699">
          <w:marLeft w:val="640"/>
          <w:marRight w:val="0"/>
          <w:marTop w:val="0"/>
          <w:marBottom w:val="0"/>
          <w:divBdr>
            <w:top w:val="none" w:sz="0" w:space="0" w:color="auto"/>
            <w:left w:val="none" w:sz="0" w:space="0" w:color="auto"/>
            <w:bottom w:val="none" w:sz="0" w:space="0" w:color="auto"/>
            <w:right w:val="none" w:sz="0" w:space="0" w:color="auto"/>
          </w:divBdr>
        </w:div>
        <w:div w:id="1418940501">
          <w:marLeft w:val="640"/>
          <w:marRight w:val="0"/>
          <w:marTop w:val="0"/>
          <w:marBottom w:val="0"/>
          <w:divBdr>
            <w:top w:val="none" w:sz="0" w:space="0" w:color="auto"/>
            <w:left w:val="none" w:sz="0" w:space="0" w:color="auto"/>
            <w:bottom w:val="none" w:sz="0" w:space="0" w:color="auto"/>
            <w:right w:val="none" w:sz="0" w:space="0" w:color="auto"/>
          </w:divBdr>
        </w:div>
        <w:div w:id="1895434061">
          <w:marLeft w:val="640"/>
          <w:marRight w:val="0"/>
          <w:marTop w:val="0"/>
          <w:marBottom w:val="0"/>
          <w:divBdr>
            <w:top w:val="none" w:sz="0" w:space="0" w:color="auto"/>
            <w:left w:val="none" w:sz="0" w:space="0" w:color="auto"/>
            <w:bottom w:val="none" w:sz="0" w:space="0" w:color="auto"/>
            <w:right w:val="none" w:sz="0" w:space="0" w:color="auto"/>
          </w:divBdr>
        </w:div>
        <w:div w:id="618417735">
          <w:marLeft w:val="640"/>
          <w:marRight w:val="0"/>
          <w:marTop w:val="0"/>
          <w:marBottom w:val="0"/>
          <w:divBdr>
            <w:top w:val="none" w:sz="0" w:space="0" w:color="auto"/>
            <w:left w:val="none" w:sz="0" w:space="0" w:color="auto"/>
            <w:bottom w:val="none" w:sz="0" w:space="0" w:color="auto"/>
            <w:right w:val="none" w:sz="0" w:space="0" w:color="auto"/>
          </w:divBdr>
        </w:div>
        <w:div w:id="342706542">
          <w:marLeft w:val="640"/>
          <w:marRight w:val="0"/>
          <w:marTop w:val="0"/>
          <w:marBottom w:val="0"/>
          <w:divBdr>
            <w:top w:val="none" w:sz="0" w:space="0" w:color="auto"/>
            <w:left w:val="none" w:sz="0" w:space="0" w:color="auto"/>
            <w:bottom w:val="none" w:sz="0" w:space="0" w:color="auto"/>
            <w:right w:val="none" w:sz="0" w:space="0" w:color="auto"/>
          </w:divBdr>
        </w:div>
        <w:div w:id="701177481">
          <w:marLeft w:val="640"/>
          <w:marRight w:val="0"/>
          <w:marTop w:val="0"/>
          <w:marBottom w:val="0"/>
          <w:divBdr>
            <w:top w:val="none" w:sz="0" w:space="0" w:color="auto"/>
            <w:left w:val="none" w:sz="0" w:space="0" w:color="auto"/>
            <w:bottom w:val="none" w:sz="0" w:space="0" w:color="auto"/>
            <w:right w:val="none" w:sz="0" w:space="0" w:color="auto"/>
          </w:divBdr>
        </w:div>
        <w:div w:id="2146505373">
          <w:marLeft w:val="640"/>
          <w:marRight w:val="0"/>
          <w:marTop w:val="0"/>
          <w:marBottom w:val="0"/>
          <w:divBdr>
            <w:top w:val="none" w:sz="0" w:space="0" w:color="auto"/>
            <w:left w:val="none" w:sz="0" w:space="0" w:color="auto"/>
            <w:bottom w:val="none" w:sz="0" w:space="0" w:color="auto"/>
            <w:right w:val="none" w:sz="0" w:space="0" w:color="auto"/>
          </w:divBdr>
        </w:div>
        <w:div w:id="627127763">
          <w:marLeft w:val="640"/>
          <w:marRight w:val="0"/>
          <w:marTop w:val="0"/>
          <w:marBottom w:val="0"/>
          <w:divBdr>
            <w:top w:val="none" w:sz="0" w:space="0" w:color="auto"/>
            <w:left w:val="none" w:sz="0" w:space="0" w:color="auto"/>
            <w:bottom w:val="none" w:sz="0" w:space="0" w:color="auto"/>
            <w:right w:val="none" w:sz="0" w:space="0" w:color="auto"/>
          </w:divBdr>
        </w:div>
        <w:div w:id="1854606017">
          <w:marLeft w:val="640"/>
          <w:marRight w:val="0"/>
          <w:marTop w:val="0"/>
          <w:marBottom w:val="0"/>
          <w:divBdr>
            <w:top w:val="none" w:sz="0" w:space="0" w:color="auto"/>
            <w:left w:val="none" w:sz="0" w:space="0" w:color="auto"/>
            <w:bottom w:val="none" w:sz="0" w:space="0" w:color="auto"/>
            <w:right w:val="none" w:sz="0" w:space="0" w:color="auto"/>
          </w:divBdr>
        </w:div>
        <w:div w:id="505479572">
          <w:marLeft w:val="640"/>
          <w:marRight w:val="0"/>
          <w:marTop w:val="0"/>
          <w:marBottom w:val="0"/>
          <w:divBdr>
            <w:top w:val="none" w:sz="0" w:space="0" w:color="auto"/>
            <w:left w:val="none" w:sz="0" w:space="0" w:color="auto"/>
            <w:bottom w:val="none" w:sz="0" w:space="0" w:color="auto"/>
            <w:right w:val="none" w:sz="0" w:space="0" w:color="auto"/>
          </w:divBdr>
        </w:div>
        <w:div w:id="245459346">
          <w:marLeft w:val="640"/>
          <w:marRight w:val="0"/>
          <w:marTop w:val="0"/>
          <w:marBottom w:val="0"/>
          <w:divBdr>
            <w:top w:val="none" w:sz="0" w:space="0" w:color="auto"/>
            <w:left w:val="none" w:sz="0" w:space="0" w:color="auto"/>
            <w:bottom w:val="none" w:sz="0" w:space="0" w:color="auto"/>
            <w:right w:val="none" w:sz="0" w:space="0" w:color="auto"/>
          </w:divBdr>
        </w:div>
        <w:div w:id="741680005">
          <w:marLeft w:val="640"/>
          <w:marRight w:val="0"/>
          <w:marTop w:val="0"/>
          <w:marBottom w:val="0"/>
          <w:divBdr>
            <w:top w:val="none" w:sz="0" w:space="0" w:color="auto"/>
            <w:left w:val="none" w:sz="0" w:space="0" w:color="auto"/>
            <w:bottom w:val="none" w:sz="0" w:space="0" w:color="auto"/>
            <w:right w:val="none" w:sz="0" w:space="0" w:color="auto"/>
          </w:divBdr>
        </w:div>
        <w:div w:id="770005685">
          <w:marLeft w:val="640"/>
          <w:marRight w:val="0"/>
          <w:marTop w:val="0"/>
          <w:marBottom w:val="0"/>
          <w:divBdr>
            <w:top w:val="none" w:sz="0" w:space="0" w:color="auto"/>
            <w:left w:val="none" w:sz="0" w:space="0" w:color="auto"/>
            <w:bottom w:val="none" w:sz="0" w:space="0" w:color="auto"/>
            <w:right w:val="none" w:sz="0" w:space="0" w:color="auto"/>
          </w:divBdr>
        </w:div>
        <w:div w:id="1908412706">
          <w:marLeft w:val="640"/>
          <w:marRight w:val="0"/>
          <w:marTop w:val="0"/>
          <w:marBottom w:val="0"/>
          <w:divBdr>
            <w:top w:val="none" w:sz="0" w:space="0" w:color="auto"/>
            <w:left w:val="none" w:sz="0" w:space="0" w:color="auto"/>
            <w:bottom w:val="none" w:sz="0" w:space="0" w:color="auto"/>
            <w:right w:val="none" w:sz="0" w:space="0" w:color="auto"/>
          </w:divBdr>
        </w:div>
        <w:div w:id="1561473989">
          <w:marLeft w:val="640"/>
          <w:marRight w:val="0"/>
          <w:marTop w:val="0"/>
          <w:marBottom w:val="0"/>
          <w:divBdr>
            <w:top w:val="none" w:sz="0" w:space="0" w:color="auto"/>
            <w:left w:val="none" w:sz="0" w:space="0" w:color="auto"/>
            <w:bottom w:val="none" w:sz="0" w:space="0" w:color="auto"/>
            <w:right w:val="none" w:sz="0" w:space="0" w:color="auto"/>
          </w:divBdr>
        </w:div>
        <w:div w:id="712340956">
          <w:marLeft w:val="640"/>
          <w:marRight w:val="0"/>
          <w:marTop w:val="0"/>
          <w:marBottom w:val="0"/>
          <w:divBdr>
            <w:top w:val="none" w:sz="0" w:space="0" w:color="auto"/>
            <w:left w:val="none" w:sz="0" w:space="0" w:color="auto"/>
            <w:bottom w:val="none" w:sz="0" w:space="0" w:color="auto"/>
            <w:right w:val="none" w:sz="0" w:space="0" w:color="auto"/>
          </w:divBdr>
        </w:div>
        <w:div w:id="547913622">
          <w:marLeft w:val="640"/>
          <w:marRight w:val="0"/>
          <w:marTop w:val="0"/>
          <w:marBottom w:val="0"/>
          <w:divBdr>
            <w:top w:val="none" w:sz="0" w:space="0" w:color="auto"/>
            <w:left w:val="none" w:sz="0" w:space="0" w:color="auto"/>
            <w:bottom w:val="none" w:sz="0" w:space="0" w:color="auto"/>
            <w:right w:val="none" w:sz="0" w:space="0" w:color="auto"/>
          </w:divBdr>
        </w:div>
        <w:div w:id="1108743573">
          <w:marLeft w:val="640"/>
          <w:marRight w:val="0"/>
          <w:marTop w:val="0"/>
          <w:marBottom w:val="0"/>
          <w:divBdr>
            <w:top w:val="none" w:sz="0" w:space="0" w:color="auto"/>
            <w:left w:val="none" w:sz="0" w:space="0" w:color="auto"/>
            <w:bottom w:val="none" w:sz="0" w:space="0" w:color="auto"/>
            <w:right w:val="none" w:sz="0" w:space="0" w:color="auto"/>
          </w:divBdr>
        </w:div>
        <w:div w:id="122234111">
          <w:marLeft w:val="640"/>
          <w:marRight w:val="0"/>
          <w:marTop w:val="0"/>
          <w:marBottom w:val="0"/>
          <w:divBdr>
            <w:top w:val="none" w:sz="0" w:space="0" w:color="auto"/>
            <w:left w:val="none" w:sz="0" w:space="0" w:color="auto"/>
            <w:bottom w:val="none" w:sz="0" w:space="0" w:color="auto"/>
            <w:right w:val="none" w:sz="0" w:space="0" w:color="auto"/>
          </w:divBdr>
        </w:div>
        <w:div w:id="1500190759">
          <w:marLeft w:val="640"/>
          <w:marRight w:val="0"/>
          <w:marTop w:val="0"/>
          <w:marBottom w:val="0"/>
          <w:divBdr>
            <w:top w:val="none" w:sz="0" w:space="0" w:color="auto"/>
            <w:left w:val="none" w:sz="0" w:space="0" w:color="auto"/>
            <w:bottom w:val="none" w:sz="0" w:space="0" w:color="auto"/>
            <w:right w:val="none" w:sz="0" w:space="0" w:color="auto"/>
          </w:divBdr>
        </w:div>
        <w:div w:id="682632522">
          <w:marLeft w:val="640"/>
          <w:marRight w:val="0"/>
          <w:marTop w:val="0"/>
          <w:marBottom w:val="0"/>
          <w:divBdr>
            <w:top w:val="none" w:sz="0" w:space="0" w:color="auto"/>
            <w:left w:val="none" w:sz="0" w:space="0" w:color="auto"/>
            <w:bottom w:val="none" w:sz="0" w:space="0" w:color="auto"/>
            <w:right w:val="none" w:sz="0" w:space="0" w:color="auto"/>
          </w:divBdr>
        </w:div>
        <w:div w:id="354157099">
          <w:marLeft w:val="640"/>
          <w:marRight w:val="0"/>
          <w:marTop w:val="0"/>
          <w:marBottom w:val="0"/>
          <w:divBdr>
            <w:top w:val="none" w:sz="0" w:space="0" w:color="auto"/>
            <w:left w:val="none" w:sz="0" w:space="0" w:color="auto"/>
            <w:bottom w:val="none" w:sz="0" w:space="0" w:color="auto"/>
            <w:right w:val="none" w:sz="0" w:space="0" w:color="auto"/>
          </w:divBdr>
        </w:div>
        <w:div w:id="1113551641">
          <w:marLeft w:val="640"/>
          <w:marRight w:val="0"/>
          <w:marTop w:val="0"/>
          <w:marBottom w:val="0"/>
          <w:divBdr>
            <w:top w:val="none" w:sz="0" w:space="0" w:color="auto"/>
            <w:left w:val="none" w:sz="0" w:space="0" w:color="auto"/>
            <w:bottom w:val="none" w:sz="0" w:space="0" w:color="auto"/>
            <w:right w:val="none" w:sz="0" w:space="0" w:color="auto"/>
          </w:divBdr>
        </w:div>
        <w:div w:id="588003620">
          <w:marLeft w:val="640"/>
          <w:marRight w:val="0"/>
          <w:marTop w:val="0"/>
          <w:marBottom w:val="0"/>
          <w:divBdr>
            <w:top w:val="none" w:sz="0" w:space="0" w:color="auto"/>
            <w:left w:val="none" w:sz="0" w:space="0" w:color="auto"/>
            <w:bottom w:val="none" w:sz="0" w:space="0" w:color="auto"/>
            <w:right w:val="none" w:sz="0" w:space="0" w:color="auto"/>
          </w:divBdr>
        </w:div>
        <w:div w:id="680815448">
          <w:marLeft w:val="640"/>
          <w:marRight w:val="0"/>
          <w:marTop w:val="0"/>
          <w:marBottom w:val="0"/>
          <w:divBdr>
            <w:top w:val="none" w:sz="0" w:space="0" w:color="auto"/>
            <w:left w:val="none" w:sz="0" w:space="0" w:color="auto"/>
            <w:bottom w:val="none" w:sz="0" w:space="0" w:color="auto"/>
            <w:right w:val="none" w:sz="0" w:space="0" w:color="auto"/>
          </w:divBdr>
        </w:div>
        <w:div w:id="812605639">
          <w:marLeft w:val="640"/>
          <w:marRight w:val="0"/>
          <w:marTop w:val="0"/>
          <w:marBottom w:val="0"/>
          <w:divBdr>
            <w:top w:val="none" w:sz="0" w:space="0" w:color="auto"/>
            <w:left w:val="none" w:sz="0" w:space="0" w:color="auto"/>
            <w:bottom w:val="none" w:sz="0" w:space="0" w:color="auto"/>
            <w:right w:val="none" w:sz="0" w:space="0" w:color="auto"/>
          </w:divBdr>
        </w:div>
        <w:div w:id="1356077475">
          <w:marLeft w:val="640"/>
          <w:marRight w:val="0"/>
          <w:marTop w:val="0"/>
          <w:marBottom w:val="0"/>
          <w:divBdr>
            <w:top w:val="none" w:sz="0" w:space="0" w:color="auto"/>
            <w:left w:val="none" w:sz="0" w:space="0" w:color="auto"/>
            <w:bottom w:val="none" w:sz="0" w:space="0" w:color="auto"/>
            <w:right w:val="none" w:sz="0" w:space="0" w:color="auto"/>
          </w:divBdr>
        </w:div>
        <w:div w:id="349260764">
          <w:marLeft w:val="640"/>
          <w:marRight w:val="0"/>
          <w:marTop w:val="0"/>
          <w:marBottom w:val="0"/>
          <w:divBdr>
            <w:top w:val="none" w:sz="0" w:space="0" w:color="auto"/>
            <w:left w:val="none" w:sz="0" w:space="0" w:color="auto"/>
            <w:bottom w:val="none" w:sz="0" w:space="0" w:color="auto"/>
            <w:right w:val="none" w:sz="0" w:space="0" w:color="auto"/>
          </w:divBdr>
        </w:div>
        <w:div w:id="1443577233">
          <w:marLeft w:val="640"/>
          <w:marRight w:val="0"/>
          <w:marTop w:val="0"/>
          <w:marBottom w:val="0"/>
          <w:divBdr>
            <w:top w:val="none" w:sz="0" w:space="0" w:color="auto"/>
            <w:left w:val="none" w:sz="0" w:space="0" w:color="auto"/>
            <w:bottom w:val="none" w:sz="0" w:space="0" w:color="auto"/>
            <w:right w:val="none" w:sz="0" w:space="0" w:color="auto"/>
          </w:divBdr>
        </w:div>
        <w:div w:id="260454377">
          <w:marLeft w:val="640"/>
          <w:marRight w:val="0"/>
          <w:marTop w:val="0"/>
          <w:marBottom w:val="0"/>
          <w:divBdr>
            <w:top w:val="none" w:sz="0" w:space="0" w:color="auto"/>
            <w:left w:val="none" w:sz="0" w:space="0" w:color="auto"/>
            <w:bottom w:val="none" w:sz="0" w:space="0" w:color="auto"/>
            <w:right w:val="none" w:sz="0" w:space="0" w:color="auto"/>
          </w:divBdr>
        </w:div>
        <w:div w:id="2001500787">
          <w:marLeft w:val="640"/>
          <w:marRight w:val="0"/>
          <w:marTop w:val="0"/>
          <w:marBottom w:val="0"/>
          <w:divBdr>
            <w:top w:val="none" w:sz="0" w:space="0" w:color="auto"/>
            <w:left w:val="none" w:sz="0" w:space="0" w:color="auto"/>
            <w:bottom w:val="none" w:sz="0" w:space="0" w:color="auto"/>
            <w:right w:val="none" w:sz="0" w:space="0" w:color="auto"/>
          </w:divBdr>
        </w:div>
        <w:div w:id="728501083">
          <w:marLeft w:val="640"/>
          <w:marRight w:val="0"/>
          <w:marTop w:val="0"/>
          <w:marBottom w:val="0"/>
          <w:divBdr>
            <w:top w:val="none" w:sz="0" w:space="0" w:color="auto"/>
            <w:left w:val="none" w:sz="0" w:space="0" w:color="auto"/>
            <w:bottom w:val="none" w:sz="0" w:space="0" w:color="auto"/>
            <w:right w:val="none" w:sz="0" w:space="0" w:color="auto"/>
          </w:divBdr>
        </w:div>
        <w:div w:id="555120367">
          <w:marLeft w:val="640"/>
          <w:marRight w:val="0"/>
          <w:marTop w:val="0"/>
          <w:marBottom w:val="0"/>
          <w:divBdr>
            <w:top w:val="none" w:sz="0" w:space="0" w:color="auto"/>
            <w:left w:val="none" w:sz="0" w:space="0" w:color="auto"/>
            <w:bottom w:val="none" w:sz="0" w:space="0" w:color="auto"/>
            <w:right w:val="none" w:sz="0" w:space="0" w:color="auto"/>
          </w:divBdr>
        </w:div>
        <w:div w:id="1514999564">
          <w:marLeft w:val="640"/>
          <w:marRight w:val="0"/>
          <w:marTop w:val="0"/>
          <w:marBottom w:val="0"/>
          <w:divBdr>
            <w:top w:val="none" w:sz="0" w:space="0" w:color="auto"/>
            <w:left w:val="none" w:sz="0" w:space="0" w:color="auto"/>
            <w:bottom w:val="none" w:sz="0" w:space="0" w:color="auto"/>
            <w:right w:val="none" w:sz="0" w:space="0" w:color="auto"/>
          </w:divBdr>
        </w:div>
        <w:div w:id="1135567290">
          <w:marLeft w:val="640"/>
          <w:marRight w:val="0"/>
          <w:marTop w:val="0"/>
          <w:marBottom w:val="0"/>
          <w:divBdr>
            <w:top w:val="none" w:sz="0" w:space="0" w:color="auto"/>
            <w:left w:val="none" w:sz="0" w:space="0" w:color="auto"/>
            <w:bottom w:val="none" w:sz="0" w:space="0" w:color="auto"/>
            <w:right w:val="none" w:sz="0" w:space="0" w:color="auto"/>
          </w:divBdr>
        </w:div>
        <w:div w:id="1347904329">
          <w:marLeft w:val="640"/>
          <w:marRight w:val="0"/>
          <w:marTop w:val="0"/>
          <w:marBottom w:val="0"/>
          <w:divBdr>
            <w:top w:val="none" w:sz="0" w:space="0" w:color="auto"/>
            <w:left w:val="none" w:sz="0" w:space="0" w:color="auto"/>
            <w:bottom w:val="none" w:sz="0" w:space="0" w:color="auto"/>
            <w:right w:val="none" w:sz="0" w:space="0" w:color="auto"/>
          </w:divBdr>
        </w:div>
        <w:div w:id="2056463625">
          <w:marLeft w:val="640"/>
          <w:marRight w:val="0"/>
          <w:marTop w:val="0"/>
          <w:marBottom w:val="0"/>
          <w:divBdr>
            <w:top w:val="none" w:sz="0" w:space="0" w:color="auto"/>
            <w:left w:val="none" w:sz="0" w:space="0" w:color="auto"/>
            <w:bottom w:val="none" w:sz="0" w:space="0" w:color="auto"/>
            <w:right w:val="none" w:sz="0" w:space="0" w:color="auto"/>
          </w:divBdr>
        </w:div>
        <w:div w:id="1483963989">
          <w:marLeft w:val="640"/>
          <w:marRight w:val="0"/>
          <w:marTop w:val="0"/>
          <w:marBottom w:val="0"/>
          <w:divBdr>
            <w:top w:val="none" w:sz="0" w:space="0" w:color="auto"/>
            <w:left w:val="none" w:sz="0" w:space="0" w:color="auto"/>
            <w:bottom w:val="none" w:sz="0" w:space="0" w:color="auto"/>
            <w:right w:val="none" w:sz="0" w:space="0" w:color="auto"/>
          </w:divBdr>
        </w:div>
        <w:div w:id="746802157">
          <w:marLeft w:val="640"/>
          <w:marRight w:val="0"/>
          <w:marTop w:val="0"/>
          <w:marBottom w:val="0"/>
          <w:divBdr>
            <w:top w:val="none" w:sz="0" w:space="0" w:color="auto"/>
            <w:left w:val="none" w:sz="0" w:space="0" w:color="auto"/>
            <w:bottom w:val="none" w:sz="0" w:space="0" w:color="auto"/>
            <w:right w:val="none" w:sz="0" w:space="0" w:color="auto"/>
          </w:divBdr>
        </w:div>
        <w:div w:id="1647082187">
          <w:marLeft w:val="640"/>
          <w:marRight w:val="0"/>
          <w:marTop w:val="0"/>
          <w:marBottom w:val="0"/>
          <w:divBdr>
            <w:top w:val="none" w:sz="0" w:space="0" w:color="auto"/>
            <w:left w:val="none" w:sz="0" w:space="0" w:color="auto"/>
            <w:bottom w:val="none" w:sz="0" w:space="0" w:color="auto"/>
            <w:right w:val="none" w:sz="0" w:space="0" w:color="auto"/>
          </w:divBdr>
        </w:div>
        <w:div w:id="1749691897">
          <w:marLeft w:val="640"/>
          <w:marRight w:val="0"/>
          <w:marTop w:val="0"/>
          <w:marBottom w:val="0"/>
          <w:divBdr>
            <w:top w:val="none" w:sz="0" w:space="0" w:color="auto"/>
            <w:left w:val="none" w:sz="0" w:space="0" w:color="auto"/>
            <w:bottom w:val="none" w:sz="0" w:space="0" w:color="auto"/>
            <w:right w:val="none" w:sz="0" w:space="0" w:color="auto"/>
          </w:divBdr>
        </w:div>
        <w:div w:id="1374035539">
          <w:marLeft w:val="640"/>
          <w:marRight w:val="0"/>
          <w:marTop w:val="0"/>
          <w:marBottom w:val="0"/>
          <w:divBdr>
            <w:top w:val="none" w:sz="0" w:space="0" w:color="auto"/>
            <w:left w:val="none" w:sz="0" w:space="0" w:color="auto"/>
            <w:bottom w:val="none" w:sz="0" w:space="0" w:color="auto"/>
            <w:right w:val="none" w:sz="0" w:space="0" w:color="auto"/>
          </w:divBdr>
        </w:div>
        <w:div w:id="1670017061">
          <w:marLeft w:val="640"/>
          <w:marRight w:val="0"/>
          <w:marTop w:val="0"/>
          <w:marBottom w:val="0"/>
          <w:divBdr>
            <w:top w:val="none" w:sz="0" w:space="0" w:color="auto"/>
            <w:left w:val="none" w:sz="0" w:space="0" w:color="auto"/>
            <w:bottom w:val="none" w:sz="0" w:space="0" w:color="auto"/>
            <w:right w:val="none" w:sz="0" w:space="0" w:color="auto"/>
          </w:divBdr>
        </w:div>
        <w:div w:id="2005547054">
          <w:marLeft w:val="640"/>
          <w:marRight w:val="0"/>
          <w:marTop w:val="0"/>
          <w:marBottom w:val="0"/>
          <w:divBdr>
            <w:top w:val="none" w:sz="0" w:space="0" w:color="auto"/>
            <w:left w:val="none" w:sz="0" w:space="0" w:color="auto"/>
            <w:bottom w:val="none" w:sz="0" w:space="0" w:color="auto"/>
            <w:right w:val="none" w:sz="0" w:space="0" w:color="auto"/>
          </w:divBdr>
        </w:div>
        <w:div w:id="1458646353">
          <w:marLeft w:val="640"/>
          <w:marRight w:val="0"/>
          <w:marTop w:val="0"/>
          <w:marBottom w:val="0"/>
          <w:divBdr>
            <w:top w:val="none" w:sz="0" w:space="0" w:color="auto"/>
            <w:left w:val="none" w:sz="0" w:space="0" w:color="auto"/>
            <w:bottom w:val="none" w:sz="0" w:space="0" w:color="auto"/>
            <w:right w:val="none" w:sz="0" w:space="0" w:color="auto"/>
          </w:divBdr>
        </w:div>
        <w:div w:id="143014408">
          <w:marLeft w:val="640"/>
          <w:marRight w:val="0"/>
          <w:marTop w:val="0"/>
          <w:marBottom w:val="0"/>
          <w:divBdr>
            <w:top w:val="none" w:sz="0" w:space="0" w:color="auto"/>
            <w:left w:val="none" w:sz="0" w:space="0" w:color="auto"/>
            <w:bottom w:val="none" w:sz="0" w:space="0" w:color="auto"/>
            <w:right w:val="none" w:sz="0" w:space="0" w:color="auto"/>
          </w:divBdr>
        </w:div>
        <w:div w:id="1564636140">
          <w:marLeft w:val="640"/>
          <w:marRight w:val="0"/>
          <w:marTop w:val="0"/>
          <w:marBottom w:val="0"/>
          <w:divBdr>
            <w:top w:val="none" w:sz="0" w:space="0" w:color="auto"/>
            <w:left w:val="none" w:sz="0" w:space="0" w:color="auto"/>
            <w:bottom w:val="none" w:sz="0" w:space="0" w:color="auto"/>
            <w:right w:val="none" w:sz="0" w:space="0" w:color="auto"/>
          </w:divBdr>
        </w:div>
        <w:div w:id="1585413336">
          <w:marLeft w:val="640"/>
          <w:marRight w:val="0"/>
          <w:marTop w:val="0"/>
          <w:marBottom w:val="0"/>
          <w:divBdr>
            <w:top w:val="none" w:sz="0" w:space="0" w:color="auto"/>
            <w:left w:val="none" w:sz="0" w:space="0" w:color="auto"/>
            <w:bottom w:val="none" w:sz="0" w:space="0" w:color="auto"/>
            <w:right w:val="none" w:sz="0" w:space="0" w:color="auto"/>
          </w:divBdr>
        </w:div>
        <w:div w:id="584220633">
          <w:marLeft w:val="640"/>
          <w:marRight w:val="0"/>
          <w:marTop w:val="0"/>
          <w:marBottom w:val="0"/>
          <w:divBdr>
            <w:top w:val="none" w:sz="0" w:space="0" w:color="auto"/>
            <w:left w:val="none" w:sz="0" w:space="0" w:color="auto"/>
            <w:bottom w:val="none" w:sz="0" w:space="0" w:color="auto"/>
            <w:right w:val="none" w:sz="0" w:space="0" w:color="auto"/>
          </w:divBdr>
        </w:div>
        <w:div w:id="1420835402">
          <w:marLeft w:val="640"/>
          <w:marRight w:val="0"/>
          <w:marTop w:val="0"/>
          <w:marBottom w:val="0"/>
          <w:divBdr>
            <w:top w:val="none" w:sz="0" w:space="0" w:color="auto"/>
            <w:left w:val="none" w:sz="0" w:space="0" w:color="auto"/>
            <w:bottom w:val="none" w:sz="0" w:space="0" w:color="auto"/>
            <w:right w:val="none" w:sz="0" w:space="0" w:color="auto"/>
          </w:divBdr>
        </w:div>
        <w:div w:id="1129282265">
          <w:marLeft w:val="640"/>
          <w:marRight w:val="0"/>
          <w:marTop w:val="0"/>
          <w:marBottom w:val="0"/>
          <w:divBdr>
            <w:top w:val="none" w:sz="0" w:space="0" w:color="auto"/>
            <w:left w:val="none" w:sz="0" w:space="0" w:color="auto"/>
            <w:bottom w:val="none" w:sz="0" w:space="0" w:color="auto"/>
            <w:right w:val="none" w:sz="0" w:space="0" w:color="auto"/>
          </w:divBdr>
        </w:div>
        <w:div w:id="2002731415">
          <w:marLeft w:val="640"/>
          <w:marRight w:val="0"/>
          <w:marTop w:val="0"/>
          <w:marBottom w:val="0"/>
          <w:divBdr>
            <w:top w:val="none" w:sz="0" w:space="0" w:color="auto"/>
            <w:left w:val="none" w:sz="0" w:space="0" w:color="auto"/>
            <w:bottom w:val="none" w:sz="0" w:space="0" w:color="auto"/>
            <w:right w:val="none" w:sz="0" w:space="0" w:color="auto"/>
          </w:divBdr>
        </w:div>
        <w:div w:id="1394158585">
          <w:marLeft w:val="640"/>
          <w:marRight w:val="0"/>
          <w:marTop w:val="0"/>
          <w:marBottom w:val="0"/>
          <w:divBdr>
            <w:top w:val="none" w:sz="0" w:space="0" w:color="auto"/>
            <w:left w:val="none" w:sz="0" w:space="0" w:color="auto"/>
            <w:bottom w:val="none" w:sz="0" w:space="0" w:color="auto"/>
            <w:right w:val="none" w:sz="0" w:space="0" w:color="auto"/>
          </w:divBdr>
        </w:div>
        <w:div w:id="331032553">
          <w:marLeft w:val="640"/>
          <w:marRight w:val="0"/>
          <w:marTop w:val="0"/>
          <w:marBottom w:val="0"/>
          <w:divBdr>
            <w:top w:val="none" w:sz="0" w:space="0" w:color="auto"/>
            <w:left w:val="none" w:sz="0" w:space="0" w:color="auto"/>
            <w:bottom w:val="none" w:sz="0" w:space="0" w:color="auto"/>
            <w:right w:val="none" w:sz="0" w:space="0" w:color="auto"/>
          </w:divBdr>
        </w:div>
        <w:div w:id="721441869">
          <w:marLeft w:val="640"/>
          <w:marRight w:val="0"/>
          <w:marTop w:val="0"/>
          <w:marBottom w:val="0"/>
          <w:divBdr>
            <w:top w:val="none" w:sz="0" w:space="0" w:color="auto"/>
            <w:left w:val="none" w:sz="0" w:space="0" w:color="auto"/>
            <w:bottom w:val="none" w:sz="0" w:space="0" w:color="auto"/>
            <w:right w:val="none" w:sz="0" w:space="0" w:color="auto"/>
          </w:divBdr>
        </w:div>
        <w:div w:id="966861438">
          <w:marLeft w:val="640"/>
          <w:marRight w:val="0"/>
          <w:marTop w:val="0"/>
          <w:marBottom w:val="0"/>
          <w:divBdr>
            <w:top w:val="none" w:sz="0" w:space="0" w:color="auto"/>
            <w:left w:val="none" w:sz="0" w:space="0" w:color="auto"/>
            <w:bottom w:val="none" w:sz="0" w:space="0" w:color="auto"/>
            <w:right w:val="none" w:sz="0" w:space="0" w:color="auto"/>
          </w:divBdr>
        </w:div>
        <w:div w:id="1076518668">
          <w:marLeft w:val="640"/>
          <w:marRight w:val="0"/>
          <w:marTop w:val="0"/>
          <w:marBottom w:val="0"/>
          <w:divBdr>
            <w:top w:val="none" w:sz="0" w:space="0" w:color="auto"/>
            <w:left w:val="none" w:sz="0" w:space="0" w:color="auto"/>
            <w:bottom w:val="none" w:sz="0" w:space="0" w:color="auto"/>
            <w:right w:val="none" w:sz="0" w:space="0" w:color="auto"/>
          </w:divBdr>
        </w:div>
        <w:div w:id="2144956565">
          <w:marLeft w:val="640"/>
          <w:marRight w:val="0"/>
          <w:marTop w:val="0"/>
          <w:marBottom w:val="0"/>
          <w:divBdr>
            <w:top w:val="none" w:sz="0" w:space="0" w:color="auto"/>
            <w:left w:val="none" w:sz="0" w:space="0" w:color="auto"/>
            <w:bottom w:val="none" w:sz="0" w:space="0" w:color="auto"/>
            <w:right w:val="none" w:sz="0" w:space="0" w:color="auto"/>
          </w:divBdr>
        </w:div>
        <w:div w:id="551768674">
          <w:marLeft w:val="640"/>
          <w:marRight w:val="0"/>
          <w:marTop w:val="0"/>
          <w:marBottom w:val="0"/>
          <w:divBdr>
            <w:top w:val="none" w:sz="0" w:space="0" w:color="auto"/>
            <w:left w:val="none" w:sz="0" w:space="0" w:color="auto"/>
            <w:bottom w:val="none" w:sz="0" w:space="0" w:color="auto"/>
            <w:right w:val="none" w:sz="0" w:space="0" w:color="auto"/>
          </w:divBdr>
        </w:div>
        <w:div w:id="349264174">
          <w:marLeft w:val="640"/>
          <w:marRight w:val="0"/>
          <w:marTop w:val="0"/>
          <w:marBottom w:val="0"/>
          <w:divBdr>
            <w:top w:val="none" w:sz="0" w:space="0" w:color="auto"/>
            <w:left w:val="none" w:sz="0" w:space="0" w:color="auto"/>
            <w:bottom w:val="none" w:sz="0" w:space="0" w:color="auto"/>
            <w:right w:val="none" w:sz="0" w:space="0" w:color="auto"/>
          </w:divBdr>
        </w:div>
        <w:div w:id="1381637207">
          <w:marLeft w:val="640"/>
          <w:marRight w:val="0"/>
          <w:marTop w:val="0"/>
          <w:marBottom w:val="0"/>
          <w:divBdr>
            <w:top w:val="none" w:sz="0" w:space="0" w:color="auto"/>
            <w:left w:val="none" w:sz="0" w:space="0" w:color="auto"/>
            <w:bottom w:val="none" w:sz="0" w:space="0" w:color="auto"/>
            <w:right w:val="none" w:sz="0" w:space="0" w:color="auto"/>
          </w:divBdr>
        </w:div>
        <w:div w:id="896749006">
          <w:marLeft w:val="640"/>
          <w:marRight w:val="0"/>
          <w:marTop w:val="0"/>
          <w:marBottom w:val="0"/>
          <w:divBdr>
            <w:top w:val="none" w:sz="0" w:space="0" w:color="auto"/>
            <w:left w:val="none" w:sz="0" w:space="0" w:color="auto"/>
            <w:bottom w:val="none" w:sz="0" w:space="0" w:color="auto"/>
            <w:right w:val="none" w:sz="0" w:space="0" w:color="auto"/>
          </w:divBdr>
        </w:div>
        <w:div w:id="1841697139">
          <w:marLeft w:val="640"/>
          <w:marRight w:val="0"/>
          <w:marTop w:val="0"/>
          <w:marBottom w:val="0"/>
          <w:divBdr>
            <w:top w:val="none" w:sz="0" w:space="0" w:color="auto"/>
            <w:left w:val="none" w:sz="0" w:space="0" w:color="auto"/>
            <w:bottom w:val="none" w:sz="0" w:space="0" w:color="auto"/>
            <w:right w:val="none" w:sz="0" w:space="0" w:color="auto"/>
          </w:divBdr>
        </w:div>
        <w:div w:id="1947883258">
          <w:marLeft w:val="640"/>
          <w:marRight w:val="0"/>
          <w:marTop w:val="0"/>
          <w:marBottom w:val="0"/>
          <w:divBdr>
            <w:top w:val="none" w:sz="0" w:space="0" w:color="auto"/>
            <w:left w:val="none" w:sz="0" w:space="0" w:color="auto"/>
            <w:bottom w:val="none" w:sz="0" w:space="0" w:color="auto"/>
            <w:right w:val="none" w:sz="0" w:space="0" w:color="auto"/>
          </w:divBdr>
        </w:div>
        <w:div w:id="1146167630">
          <w:marLeft w:val="640"/>
          <w:marRight w:val="0"/>
          <w:marTop w:val="0"/>
          <w:marBottom w:val="0"/>
          <w:divBdr>
            <w:top w:val="none" w:sz="0" w:space="0" w:color="auto"/>
            <w:left w:val="none" w:sz="0" w:space="0" w:color="auto"/>
            <w:bottom w:val="none" w:sz="0" w:space="0" w:color="auto"/>
            <w:right w:val="none" w:sz="0" w:space="0" w:color="auto"/>
          </w:divBdr>
        </w:div>
        <w:div w:id="1214539254">
          <w:marLeft w:val="640"/>
          <w:marRight w:val="0"/>
          <w:marTop w:val="0"/>
          <w:marBottom w:val="0"/>
          <w:divBdr>
            <w:top w:val="none" w:sz="0" w:space="0" w:color="auto"/>
            <w:left w:val="none" w:sz="0" w:space="0" w:color="auto"/>
            <w:bottom w:val="none" w:sz="0" w:space="0" w:color="auto"/>
            <w:right w:val="none" w:sz="0" w:space="0" w:color="auto"/>
          </w:divBdr>
        </w:div>
        <w:div w:id="631206683">
          <w:marLeft w:val="640"/>
          <w:marRight w:val="0"/>
          <w:marTop w:val="0"/>
          <w:marBottom w:val="0"/>
          <w:divBdr>
            <w:top w:val="none" w:sz="0" w:space="0" w:color="auto"/>
            <w:left w:val="none" w:sz="0" w:space="0" w:color="auto"/>
            <w:bottom w:val="none" w:sz="0" w:space="0" w:color="auto"/>
            <w:right w:val="none" w:sz="0" w:space="0" w:color="auto"/>
          </w:divBdr>
        </w:div>
        <w:div w:id="1786653900">
          <w:marLeft w:val="640"/>
          <w:marRight w:val="0"/>
          <w:marTop w:val="0"/>
          <w:marBottom w:val="0"/>
          <w:divBdr>
            <w:top w:val="none" w:sz="0" w:space="0" w:color="auto"/>
            <w:left w:val="none" w:sz="0" w:space="0" w:color="auto"/>
            <w:bottom w:val="none" w:sz="0" w:space="0" w:color="auto"/>
            <w:right w:val="none" w:sz="0" w:space="0" w:color="auto"/>
          </w:divBdr>
        </w:div>
        <w:div w:id="434908375">
          <w:marLeft w:val="640"/>
          <w:marRight w:val="0"/>
          <w:marTop w:val="0"/>
          <w:marBottom w:val="0"/>
          <w:divBdr>
            <w:top w:val="none" w:sz="0" w:space="0" w:color="auto"/>
            <w:left w:val="none" w:sz="0" w:space="0" w:color="auto"/>
            <w:bottom w:val="none" w:sz="0" w:space="0" w:color="auto"/>
            <w:right w:val="none" w:sz="0" w:space="0" w:color="auto"/>
          </w:divBdr>
        </w:div>
        <w:div w:id="1133908423">
          <w:marLeft w:val="640"/>
          <w:marRight w:val="0"/>
          <w:marTop w:val="0"/>
          <w:marBottom w:val="0"/>
          <w:divBdr>
            <w:top w:val="none" w:sz="0" w:space="0" w:color="auto"/>
            <w:left w:val="none" w:sz="0" w:space="0" w:color="auto"/>
            <w:bottom w:val="none" w:sz="0" w:space="0" w:color="auto"/>
            <w:right w:val="none" w:sz="0" w:space="0" w:color="auto"/>
          </w:divBdr>
        </w:div>
        <w:div w:id="94983857">
          <w:marLeft w:val="640"/>
          <w:marRight w:val="0"/>
          <w:marTop w:val="0"/>
          <w:marBottom w:val="0"/>
          <w:divBdr>
            <w:top w:val="none" w:sz="0" w:space="0" w:color="auto"/>
            <w:left w:val="none" w:sz="0" w:space="0" w:color="auto"/>
            <w:bottom w:val="none" w:sz="0" w:space="0" w:color="auto"/>
            <w:right w:val="none" w:sz="0" w:space="0" w:color="auto"/>
          </w:divBdr>
        </w:div>
        <w:div w:id="1977562407">
          <w:marLeft w:val="640"/>
          <w:marRight w:val="0"/>
          <w:marTop w:val="0"/>
          <w:marBottom w:val="0"/>
          <w:divBdr>
            <w:top w:val="none" w:sz="0" w:space="0" w:color="auto"/>
            <w:left w:val="none" w:sz="0" w:space="0" w:color="auto"/>
            <w:bottom w:val="none" w:sz="0" w:space="0" w:color="auto"/>
            <w:right w:val="none" w:sz="0" w:space="0" w:color="auto"/>
          </w:divBdr>
        </w:div>
        <w:div w:id="748189859">
          <w:marLeft w:val="640"/>
          <w:marRight w:val="0"/>
          <w:marTop w:val="0"/>
          <w:marBottom w:val="0"/>
          <w:divBdr>
            <w:top w:val="none" w:sz="0" w:space="0" w:color="auto"/>
            <w:left w:val="none" w:sz="0" w:space="0" w:color="auto"/>
            <w:bottom w:val="none" w:sz="0" w:space="0" w:color="auto"/>
            <w:right w:val="none" w:sz="0" w:space="0" w:color="auto"/>
          </w:divBdr>
        </w:div>
        <w:div w:id="1068646896">
          <w:marLeft w:val="640"/>
          <w:marRight w:val="0"/>
          <w:marTop w:val="0"/>
          <w:marBottom w:val="0"/>
          <w:divBdr>
            <w:top w:val="none" w:sz="0" w:space="0" w:color="auto"/>
            <w:left w:val="none" w:sz="0" w:space="0" w:color="auto"/>
            <w:bottom w:val="none" w:sz="0" w:space="0" w:color="auto"/>
            <w:right w:val="none" w:sz="0" w:space="0" w:color="auto"/>
          </w:divBdr>
        </w:div>
        <w:div w:id="927690359">
          <w:marLeft w:val="640"/>
          <w:marRight w:val="0"/>
          <w:marTop w:val="0"/>
          <w:marBottom w:val="0"/>
          <w:divBdr>
            <w:top w:val="none" w:sz="0" w:space="0" w:color="auto"/>
            <w:left w:val="none" w:sz="0" w:space="0" w:color="auto"/>
            <w:bottom w:val="none" w:sz="0" w:space="0" w:color="auto"/>
            <w:right w:val="none" w:sz="0" w:space="0" w:color="auto"/>
          </w:divBdr>
        </w:div>
        <w:div w:id="2046176732">
          <w:marLeft w:val="640"/>
          <w:marRight w:val="0"/>
          <w:marTop w:val="0"/>
          <w:marBottom w:val="0"/>
          <w:divBdr>
            <w:top w:val="none" w:sz="0" w:space="0" w:color="auto"/>
            <w:left w:val="none" w:sz="0" w:space="0" w:color="auto"/>
            <w:bottom w:val="none" w:sz="0" w:space="0" w:color="auto"/>
            <w:right w:val="none" w:sz="0" w:space="0" w:color="auto"/>
          </w:divBdr>
        </w:div>
        <w:div w:id="1826975313">
          <w:marLeft w:val="640"/>
          <w:marRight w:val="0"/>
          <w:marTop w:val="0"/>
          <w:marBottom w:val="0"/>
          <w:divBdr>
            <w:top w:val="none" w:sz="0" w:space="0" w:color="auto"/>
            <w:left w:val="none" w:sz="0" w:space="0" w:color="auto"/>
            <w:bottom w:val="none" w:sz="0" w:space="0" w:color="auto"/>
            <w:right w:val="none" w:sz="0" w:space="0" w:color="auto"/>
          </w:divBdr>
        </w:div>
        <w:div w:id="1282762508">
          <w:marLeft w:val="640"/>
          <w:marRight w:val="0"/>
          <w:marTop w:val="0"/>
          <w:marBottom w:val="0"/>
          <w:divBdr>
            <w:top w:val="none" w:sz="0" w:space="0" w:color="auto"/>
            <w:left w:val="none" w:sz="0" w:space="0" w:color="auto"/>
            <w:bottom w:val="none" w:sz="0" w:space="0" w:color="auto"/>
            <w:right w:val="none" w:sz="0" w:space="0" w:color="auto"/>
          </w:divBdr>
        </w:div>
        <w:div w:id="1351106963">
          <w:marLeft w:val="640"/>
          <w:marRight w:val="0"/>
          <w:marTop w:val="0"/>
          <w:marBottom w:val="0"/>
          <w:divBdr>
            <w:top w:val="none" w:sz="0" w:space="0" w:color="auto"/>
            <w:left w:val="none" w:sz="0" w:space="0" w:color="auto"/>
            <w:bottom w:val="none" w:sz="0" w:space="0" w:color="auto"/>
            <w:right w:val="none" w:sz="0" w:space="0" w:color="auto"/>
          </w:divBdr>
        </w:div>
        <w:div w:id="776171664">
          <w:marLeft w:val="640"/>
          <w:marRight w:val="0"/>
          <w:marTop w:val="0"/>
          <w:marBottom w:val="0"/>
          <w:divBdr>
            <w:top w:val="none" w:sz="0" w:space="0" w:color="auto"/>
            <w:left w:val="none" w:sz="0" w:space="0" w:color="auto"/>
            <w:bottom w:val="none" w:sz="0" w:space="0" w:color="auto"/>
            <w:right w:val="none" w:sz="0" w:space="0" w:color="auto"/>
          </w:divBdr>
        </w:div>
        <w:div w:id="2012177597">
          <w:marLeft w:val="640"/>
          <w:marRight w:val="0"/>
          <w:marTop w:val="0"/>
          <w:marBottom w:val="0"/>
          <w:divBdr>
            <w:top w:val="none" w:sz="0" w:space="0" w:color="auto"/>
            <w:left w:val="none" w:sz="0" w:space="0" w:color="auto"/>
            <w:bottom w:val="none" w:sz="0" w:space="0" w:color="auto"/>
            <w:right w:val="none" w:sz="0" w:space="0" w:color="auto"/>
          </w:divBdr>
        </w:div>
        <w:div w:id="1066799197">
          <w:marLeft w:val="640"/>
          <w:marRight w:val="0"/>
          <w:marTop w:val="0"/>
          <w:marBottom w:val="0"/>
          <w:divBdr>
            <w:top w:val="none" w:sz="0" w:space="0" w:color="auto"/>
            <w:left w:val="none" w:sz="0" w:space="0" w:color="auto"/>
            <w:bottom w:val="none" w:sz="0" w:space="0" w:color="auto"/>
            <w:right w:val="none" w:sz="0" w:space="0" w:color="auto"/>
          </w:divBdr>
        </w:div>
        <w:div w:id="1190992322">
          <w:marLeft w:val="640"/>
          <w:marRight w:val="0"/>
          <w:marTop w:val="0"/>
          <w:marBottom w:val="0"/>
          <w:divBdr>
            <w:top w:val="none" w:sz="0" w:space="0" w:color="auto"/>
            <w:left w:val="none" w:sz="0" w:space="0" w:color="auto"/>
            <w:bottom w:val="none" w:sz="0" w:space="0" w:color="auto"/>
            <w:right w:val="none" w:sz="0" w:space="0" w:color="auto"/>
          </w:divBdr>
        </w:div>
        <w:div w:id="729764611">
          <w:marLeft w:val="640"/>
          <w:marRight w:val="0"/>
          <w:marTop w:val="0"/>
          <w:marBottom w:val="0"/>
          <w:divBdr>
            <w:top w:val="none" w:sz="0" w:space="0" w:color="auto"/>
            <w:left w:val="none" w:sz="0" w:space="0" w:color="auto"/>
            <w:bottom w:val="none" w:sz="0" w:space="0" w:color="auto"/>
            <w:right w:val="none" w:sz="0" w:space="0" w:color="auto"/>
          </w:divBdr>
        </w:div>
        <w:div w:id="778454872">
          <w:marLeft w:val="640"/>
          <w:marRight w:val="0"/>
          <w:marTop w:val="0"/>
          <w:marBottom w:val="0"/>
          <w:divBdr>
            <w:top w:val="none" w:sz="0" w:space="0" w:color="auto"/>
            <w:left w:val="none" w:sz="0" w:space="0" w:color="auto"/>
            <w:bottom w:val="none" w:sz="0" w:space="0" w:color="auto"/>
            <w:right w:val="none" w:sz="0" w:space="0" w:color="auto"/>
          </w:divBdr>
        </w:div>
        <w:div w:id="302126320">
          <w:marLeft w:val="640"/>
          <w:marRight w:val="0"/>
          <w:marTop w:val="0"/>
          <w:marBottom w:val="0"/>
          <w:divBdr>
            <w:top w:val="none" w:sz="0" w:space="0" w:color="auto"/>
            <w:left w:val="none" w:sz="0" w:space="0" w:color="auto"/>
            <w:bottom w:val="none" w:sz="0" w:space="0" w:color="auto"/>
            <w:right w:val="none" w:sz="0" w:space="0" w:color="auto"/>
          </w:divBdr>
        </w:div>
        <w:div w:id="1207526496">
          <w:marLeft w:val="640"/>
          <w:marRight w:val="0"/>
          <w:marTop w:val="0"/>
          <w:marBottom w:val="0"/>
          <w:divBdr>
            <w:top w:val="none" w:sz="0" w:space="0" w:color="auto"/>
            <w:left w:val="none" w:sz="0" w:space="0" w:color="auto"/>
            <w:bottom w:val="none" w:sz="0" w:space="0" w:color="auto"/>
            <w:right w:val="none" w:sz="0" w:space="0" w:color="auto"/>
          </w:divBdr>
        </w:div>
        <w:div w:id="1782529572">
          <w:marLeft w:val="640"/>
          <w:marRight w:val="0"/>
          <w:marTop w:val="0"/>
          <w:marBottom w:val="0"/>
          <w:divBdr>
            <w:top w:val="none" w:sz="0" w:space="0" w:color="auto"/>
            <w:left w:val="none" w:sz="0" w:space="0" w:color="auto"/>
            <w:bottom w:val="none" w:sz="0" w:space="0" w:color="auto"/>
            <w:right w:val="none" w:sz="0" w:space="0" w:color="auto"/>
          </w:divBdr>
        </w:div>
        <w:div w:id="36778483">
          <w:marLeft w:val="640"/>
          <w:marRight w:val="0"/>
          <w:marTop w:val="0"/>
          <w:marBottom w:val="0"/>
          <w:divBdr>
            <w:top w:val="none" w:sz="0" w:space="0" w:color="auto"/>
            <w:left w:val="none" w:sz="0" w:space="0" w:color="auto"/>
            <w:bottom w:val="none" w:sz="0" w:space="0" w:color="auto"/>
            <w:right w:val="none" w:sz="0" w:space="0" w:color="auto"/>
          </w:divBdr>
        </w:div>
        <w:div w:id="1018775551">
          <w:marLeft w:val="640"/>
          <w:marRight w:val="0"/>
          <w:marTop w:val="0"/>
          <w:marBottom w:val="0"/>
          <w:divBdr>
            <w:top w:val="none" w:sz="0" w:space="0" w:color="auto"/>
            <w:left w:val="none" w:sz="0" w:space="0" w:color="auto"/>
            <w:bottom w:val="none" w:sz="0" w:space="0" w:color="auto"/>
            <w:right w:val="none" w:sz="0" w:space="0" w:color="auto"/>
          </w:divBdr>
        </w:div>
        <w:div w:id="735470591">
          <w:marLeft w:val="640"/>
          <w:marRight w:val="0"/>
          <w:marTop w:val="0"/>
          <w:marBottom w:val="0"/>
          <w:divBdr>
            <w:top w:val="none" w:sz="0" w:space="0" w:color="auto"/>
            <w:left w:val="none" w:sz="0" w:space="0" w:color="auto"/>
            <w:bottom w:val="none" w:sz="0" w:space="0" w:color="auto"/>
            <w:right w:val="none" w:sz="0" w:space="0" w:color="auto"/>
          </w:divBdr>
        </w:div>
        <w:div w:id="1212426267">
          <w:marLeft w:val="640"/>
          <w:marRight w:val="0"/>
          <w:marTop w:val="0"/>
          <w:marBottom w:val="0"/>
          <w:divBdr>
            <w:top w:val="none" w:sz="0" w:space="0" w:color="auto"/>
            <w:left w:val="none" w:sz="0" w:space="0" w:color="auto"/>
            <w:bottom w:val="none" w:sz="0" w:space="0" w:color="auto"/>
            <w:right w:val="none" w:sz="0" w:space="0" w:color="auto"/>
          </w:divBdr>
        </w:div>
        <w:div w:id="972756584">
          <w:marLeft w:val="640"/>
          <w:marRight w:val="0"/>
          <w:marTop w:val="0"/>
          <w:marBottom w:val="0"/>
          <w:divBdr>
            <w:top w:val="none" w:sz="0" w:space="0" w:color="auto"/>
            <w:left w:val="none" w:sz="0" w:space="0" w:color="auto"/>
            <w:bottom w:val="none" w:sz="0" w:space="0" w:color="auto"/>
            <w:right w:val="none" w:sz="0" w:space="0" w:color="auto"/>
          </w:divBdr>
        </w:div>
        <w:div w:id="288167913">
          <w:marLeft w:val="640"/>
          <w:marRight w:val="0"/>
          <w:marTop w:val="0"/>
          <w:marBottom w:val="0"/>
          <w:divBdr>
            <w:top w:val="none" w:sz="0" w:space="0" w:color="auto"/>
            <w:left w:val="none" w:sz="0" w:space="0" w:color="auto"/>
            <w:bottom w:val="none" w:sz="0" w:space="0" w:color="auto"/>
            <w:right w:val="none" w:sz="0" w:space="0" w:color="auto"/>
          </w:divBdr>
        </w:div>
        <w:div w:id="1433352825">
          <w:marLeft w:val="640"/>
          <w:marRight w:val="0"/>
          <w:marTop w:val="0"/>
          <w:marBottom w:val="0"/>
          <w:divBdr>
            <w:top w:val="none" w:sz="0" w:space="0" w:color="auto"/>
            <w:left w:val="none" w:sz="0" w:space="0" w:color="auto"/>
            <w:bottom w:val="none" w:sz="0" w:space="0" w:color="auto"/>
            <w:right w:val="none" w:sz="0" w:space="0" w:color="auto"/>
          </w:divBdr>
        </w:div>
        <w:div w:id="1498109486">
          <w:marLeft w:val="640"/>
          <w:marRight w:val="0"/>
          <w:marTop w:val="0"/>
          <w:marBottom w:val="0"/>
          <w:divBdr>
            <w:top w:val="none" w:sz="0" w:space="0" w:color="auto"/>
            <w:left w:val="none" w:sz="0" w:space="0" w:color="auto"/>
            <w:bottom w:val="none" w:sz="0" w:space="0" w:color="auto"/>
            <w:right w:val="none" w:sz="0" w:space="0" w:color="auto"/>
          </w:divBdr>
        </w:div>
        <w:div w:id="941457246">
          <w:marLeft w:val="640"/>
          <w:marRight w:val="0"/>
          <w:marTop w:val="0"/>
          <w:marBottom w:val="0"/>
          <w:divBdr>
            <w:top w:val="none" w:sz="0" w:space="0" w:color="auto"/>
            <w:left w:val="none" w:sz="0" w:space="0" w:color="auto"/>
            <w:bottom w:val="none" w:sz="0" w:space="0" w:color="auto"/>
            <w:right w:val="none" w:sz="0" w:space="0" w:color="auto"/>
          </w:divBdr>
        </w:div>
        <w:div w:id="1700473460">
          <w:marLeft w:val="640"/>
          <w:marRight w:val="0"/>
          <w:marTop w:val="0"/>
          <w:marBottom w:val="0"/>
          <w:divBdr>
            <w:top w:val="none" w:sz="0" w:space="0" w:color="auto"/>
            <w:left w:val="none" w:sz="0" w:space="0" w:color="auto"/>
            <w:bottom w:val="none" w:sz="0" w:space="0" w:color="auto"/>
            <w:right w:val="none" w:sz="0" w:space="0" w:color="auto"/>
          </w:divBdr>
        </w:div>
        <w:div w:id="736517658">
          <w:marLeft w:val="640"/>
          <w:marRight w:val="0"/>
          <w:marTop w:val="0"/>
          <w:marBottom w:val="0"/>
          <w:divBdr>
            <w:top w:val="none" w:sz="0" w:space="0" w:color="auto"/>
            <w:left w:val="none" w:sz="0" w:space="0" w:color="auto"/>
            <w:bottom w:val="none" w:sz="0" w:space="0" w:color="auto"/>
            <w:right w:val="none" w:sz="0" w:space="0" w:color="auto"/>
          </w:divBdr>
        </w:div>
        <w:div w:id="598756337">
          <w:marLeft w:val="640"/>
          <w:marRight w:val="0"/>
          <w:marTop w:val="0"/>
          <w:marBottom w:val="0"/>
          <w:divBdr>
            <w:top w:val="none" w:sz="0" w:space="0" w:color="auto"/>
            <w:left w:val="none" w:sz="0" w:space="0" w:color="auto"/>
            <w:bottom w:val="none" w:sz="0" w:space="0" w:color="auto"/>
            <w:right w:val="none" w:sz="0" w:space="0" w:color="auto"/>
          </w:divBdr>
        </w:div>
        <w:div w:id="1884823183">
          <w:marLeft w:val="640"/>
          <w:marRight w:val="0"/>
          <w:marTop w:val="0"/>
          <w:marBottom w:val="0"/>
          <w:divBdr>
            <w:top w:val="none" w:sz="0" w:space="0" w:color="auto"/>
            <w:left w:val="none" w:sz="0" w:space="0" w:color="auto"/>
            <w:bottom w:val="none" w:sz="0" w:space="0" w:color="auto"/>
            <w:right w:val="none" w:sz="0" w:space="0" w:color="auto"/>
          </w:divBdr>
        </w:div>
        <w:div w:id="1886796498">
          <w:marLeft w:val="640"/>
          <w:marRight w:val="0"/>
          <w:marTop w:val="0"/>
          <w:marBottom w:val="0"/>
          <w:divBdr>
            <w:top w:val="none" w:sz="0" w:space="0" w:color="auto"/>
            <w:left w:val="none" w:sz="0" w:space="0" w:color="auto"/>
            <w:bottom w:val="none" w:sz="0" w:space="0" w:color="auto"/>
            <w:right w:val="none" w:sz="0" w:space="0" w:color="auto"/>
          </w:divBdr>
        </w:div>
        <w:div w:id="575360419">
          <w:marLeft w:val="640"/>
          <w:marRight w:val="0"/>
          <w:marTop w:val="0"/>
          <w:marBottom w:val="0"/>
          <w:divBdr>
            <w:top w:val="none" w:sz="0" w:space="0" w:color="auto"/>
            <w:left w:val="none" w:sz="0" w:space="0" w:color="auto"/>
            <w:bottom w:val="none" w:sz="0" w:space="0" w:color="auto"/>
            <w:right w:val="none" w:sz="0" w:space="0" w:color="auto"/>
          </w:divBdr>
        </w:div>
        <w:div w:id="123693843">
          <w:marLeft w:val="640"/>
          <w:marRight w:val="0"/>
          <w:marTop w:val="0"/>
          <w:marBottom w:val="0"/>
          <w:divBdr>
            <w:top w:val="none" w:sz="0" w:space="0" w:color="auto"/>
            <w:left w:val="none" w:sz="0" w:space="0" w:color="auto"/>
            <w:bottom w:val="none" w:sz="0" w:space="0" w:color="auto"/>
            <w:right w:val="none" w:sz="0" w:space="0" w:color="auto"/>
          </w:divBdr>
        </w:div>
        <w:div w:id="1873837564">
          <w:marLeft w:val="640"/>
          <w:marRight w:val="0"/>
          <w:marTop w:val="0"/>
          <w:marBottom w:val="0"/>
          <w:divBdr>
            <w:top w:val="none" w:sz="0" w:space="0" w:color="auto"/>
            <w:left w:val="none" w:sz="0" w:space="0" w:color="auto"/>
            <w:bottom w:val="none" w:sz="0" w:space="0" w:color="auto"/>
            <w:right w:val="none" w:sz="0" w:space="0" w:color="auto"/>
          </w:divBdr>
        </w:div>
        <w:div w:id="1221938002">
          <w:marLeft w:val="640"/>
          <w:marRight w:val="0"/>
          <w:marTop w:val="0"/>
          <w:marBottom w:val="0"/>
          <w:divBdr>
            <w:top w:val="none" w:sz="0" w:space="0" w:color="auto"/>
            <w:left w:val="none" w:sz="0" w:space="0" w:color="auto"/>
            <w:bottom w:val="none" w:sz="0" w:space="0" w:color="auto"/>
            <w:right w:val="none" w:sz="0" w:space="0" w:color="auto"/>
          </w:divBdr>
        </w:div>
        <w:div w:id="536163519">
          <w:marLeft w:val="640"/>
          <w:marRight w:val="0"/>
          <w:marTop w:val="0"/>
          <w:marBottom w:val="0"/>
          <w:divBdr>
            <w:top w:val="none" w:sz="0" w:space="0" w:color="auto"/>
            <w:left w:val="none" w:sz="0" w:space="0" w:color="auto"/>
            <w:bottom w:val="none" w:sz="0" w:space="0" w:color="auto"/>
            <w:right w:val="none" w:sz="0" w:space="0" w:color="auto"/>
          </w:divBdr>
        </w:div>
        <w:div w:id="479349865">
          <w:marLeft w:val="640"/>
          <w:marRight w:val="0"/>
          <w:marTop w:val="0"/>
          <w:marBottom w:val="0"/>
          <w:divBdr>
            <w:top w:val="none" w:sz="0" w:space="0" w:color="auto"/>
            <w:left w:val="none" w:sz="0" w:space="0" w:color="auto"/>
            <w:bottom w:val="none" w:sz="0" w:space="0" w:color="auto"/>
            <w:right w:val="none" w:sz="0" w:space="0" w:color="auto"/>
          </w:divBdr>
        </w:div>
        <w:div w:id="1855073346">
          <w:marLeft w:val="640"/>
          <w:marRight w:val="0"/>
          <w:marTop w:val="0"/>
          <w:marBottom w:val="0"/>
          <w:divBdr>
            <w:top w:val="none" w:sz="0" w:space="0" w:color="auto"/>
            <w:left w:val="none" w:sz="0" w:space="0" w:color="auto"/>
            <w:bottom w:val="none" w:sz="0" w:space="0" w:color="auto"/>
            <w:right w:val="none" w:sz="0" w:space="0" w:color="auto"/>
          </w:divBdr>
        </w:div>
        <w:div w:id="44835863">
          <w:marLeft w:val="640"/>
          <w:marRight w:val="0"/>
          <w:marTop w:val="0"/>
          <w:marBottom w:val="0"/>
          <w:divBdr>
            <w:top w:val="none" w:sz="0" w:space="0" w:color="auto"/>
            <w:left w:val="none" w:sz="0" w:space="0" w:color="auto"/>
            <w:bottom w:val="none" w:sz="0" w:space="0" w:color="auto"/>
            <w:right w:val="none" w:sz="0" w:space="0" w:color="auto"/>
          </w:divBdr>
        </w:div>
        <w:div w:id="370694835">
          <w:marLeft w:val="640"/>
          <w:marRight w:val="0"/>
          <w:marTop w:val="0"/>
          <w:marBottom w:val="0"/>
          <w:divBdr>
            <w:top w:val="none" w:sz="0" w:space="0" w:color="auto"/>
            <w:left w:val="none" w:sz="0" w:space="0" w:color="auto"/>
            <w:bottom w:val="none" w:sz="0" w:space="0" w:color="auto"/>
            <w:right w:val="none" w:sz="0" w:space="0" w:color="auto"/>
          </w:divBdr>
        </w:div>
        <w:div w:id="759302540">
          <w:marLeft w:val="640"/>
          <w:marRight w:val="0"/>
          <w:marTop w:val="0"/>
          <w:marBottom w:val="0"/>
          <w:divBdr>
            <w:top w:val="none" w:sz="0" w:space="0" w:color="auto"/>
            <w:left w:val="none" w:sz="0" w:space="0" w:color="auto"/>
            <w:bottom w:val="none" w:sz="0" w:space="0" w:color="auto"/>
            <w:right w:val="none" w:sz="0" w:space="0" w:color="auto"/>
          </w:divBdr>
        </w:div>
        <w:div w:id="1365406971">
          <w:marLeft w:val="640"/>
          <w:marRight w:val="0"/>
          <w:marTop w:val="0"/>
          <w:marBottom w:val="0"/>
          <w:divBdr>
            <w:top w:val="none" w:sz="0" w:space="0" w:color="auto"/>
            <w:left w:val="none" w:sz="0" w:space="0" w:color="auto"/>
            <w:bottom w:val="none" w:sz="0" w:space="0" w:color="auto"/>
            <w:right w:val="none" w:sz="0" w:space="0" w:color="auto"/>
          </w:divBdr>
        </w:div>
        <w:div w:id="1664041103">
          <w:marLeft w:val="640"/>
          <w:marRight w:val="0"/>
          <w:marTop w:val="0"/>
          <w:marBottom w:val="0"/>
          <w:divBdr>
            <w:top w:val="none" w:sz="0" w:space="0" w:color="auto"/>
            <w:left w:val="none" w:sz="0" w:space="0" w:color="auto"/>
            <w:bottom w:val="none" w:sz="0" w:space="0" w:color="auto"/>
            <w:right w:val="none" w:sz="0" w:space="0" w:color="auto"/>
          </w:divBdr>
        </w:div>
        <w:div w:id="1126892829">
          <w:marLeft w:val="640"/>
          <w:marRight w:val="0"/>
          <w:marTop w:val="0"/>
          <w:marBottom w:val="0"/>
          <w:divBdr>
            <w:top w:val="none" w:sz="0" w:space="0" w:color="auto"/>
            <w:left w:val="none" w:sz="0" w:space="0" w:color="auto"/>
            <w:bottom w:val="none" w:sz="0" w:space="0" w:color="auto"/>
            <w:right w:val="none" w:sz="0" w:space="0" w:color="auto"/>
          </w:divBdr>
        </w:div>
        <w:div w:id="599995608">
          <w:marLeft w:val="640"/>
          <w:marRight w:val="0"/>
          <w:marTop w:val="0"/>
          <w:marBottom w:val="0"/>
          <w:divBdr>
            <w:top w:val="none" w:sz="0" w:space="0" w:color="auto"/>
            <w:left w:val="none" w:sz="0" w:space="0" w:color="auto"/>
            <w:bottom w:val="none" w:sz="0" w:space="0" w:color="auto"/>
            <w:right w:val="none" w:sz="0" w:space="0" w:color="auto"/>
          </w:divBdr>
        </w:div>
        <w:div w:id="1658414919">
          <w:marLeft w:val="640"/>
          <w:marRight w:val="0"/>
          <w:marTop w:val="0"/>
          <w:marBottom w:val="0"/>
          <w:divBdr>
            <w:top w:val="none" w:sz="0" w:space="0" w:color="auto"/>
            <w:left w:val="none" w:sz="0" w:space="0" w:color="auto"/>
            <w:bottom w:val="none" w:sz="0" w:space="0" w:color="auto"/>
            <w:right w:val="none" w:sz="0" w:space="0" w:color="auto"/>
          </w:divBdr>
        </w:div>
        <w:div w:id="662048498">
          <w:marLeft w:val="640"/>
          <w:marRight w:val="0"/>
          <w:marTop w:val="0"/>
          <w:marBottom w:val="0"/>
          <w:divBdr>
            <w:top w:val="none" w:sz="0" w:space="0" w:color="auto"/>
            <w:left w:val="none" w:sz="0" w:space="0" w:color="auto"/>
            <w:bottom w:val="none" w:sz="0" w:space="0" w:color="auto"/>
            <w:right w:val="none" w:sz="0" w:space="0" w:color="auto"/>
          </w:divBdr>
        </w:div>
        <w:div w:id="1752506383">
          <w:marLeft w:val="640"/>
          <w:marRight w:val="0"/>
          <w:marTop w:val="0"/>
          <w:marBottom w:val="0"/>
          <w:divBdr>
            <w:top w:val="none" w:sz="0" w:space="0" w:color="auto"/>
            <w:left w:val="none" w:sz="0" w:space="0" w:color="auto"/>
            <w:bottom w:val="none" w:sz="0" w:space="0" w:color="auto"/>
            <w:right w:val="none" w:sz="0" w:space="0" w:color="auto"/>
          </w:divBdr>
        </w:div>
        <w:div w:id="2063289576">
          <w:marLeft w:val="640"/>
          <w:marRight w:val="0"/>
          <w:marTop w:val="0"/>
          <w:marBottom w:val="0"/>
          <w:divBdr>
            <w:top w:val="none" w:sz="0" w:space="0" w:color="auto"/>
            <w:left w:val="none" w:sz="0" w:space="0" w:color="auto"/>
            <w:bottom w:val="none" w:sz="0" w:space="0" w:color="auto"/>
            <w:right w:val="none" w:sz="0" w:space="0" w:color="auto"/>
          </w:divBdr>
        </w:div>
        <w:div w:id="44456846">
          <w:marLeft w:val="640"/>
          <w:marRight w:val="0"/>
          <w:marTop w:val="0"/>
          <w:marBottom w:val="0"/>
          <w:divBdr>
            <w:top w:val="none" w:sz="0" w:space="0" w:color="auto"/>
            <w:left w:val="none" w:sz="0" w:space="0" w:color="auto"/>
            <w:bottom w:val="none" w:sz="0" w:space="0" w:color="auto"/>
            <w:right w:val="none" w:sz="0" w:space="0" w:color="auto"/>
          </w:divBdr>
        </w:div>
        <w:div w:id="148400291">
          <w:marLeft w:val="640"/>
          <w:marRight w:val="0"/>
          <w:marTop w:val="0"/>
          <w:marBottom w:val="0"/>
          <w:divBdr>
            <w:top w:val="none" w:sz="0" w:space="0" w:color="auto"/>
            <w:left w:val="none" w:sz="0" w:space="0" w:color="auto"/>
            <w:bottom w:val="none" w:sz="0" w:space="0" w:color="auto"/>
            <w:right w:val="none" w:sz="0" w:space="0" w:color="auto"/>
          </w:divBdr>
        </w:div>
        <w:div w:id="1664701993">
          <w:marLeft w:val="640"/>
          <w:marRight w:val="0"/>
          <w:marTop w:val="0"/>
          <w:marBottom w:val="0"/>
          <w:divBdr>
            <w:top w:val="none" w:sz="0" w:space="0" w:color="auto"/>
            <w:left w:val="none" w:sz="0" w:space="0" w:color="auto"/>
            <w:bottom w:val="none" w:sz="0" w:space="0" w:color="auto"/>
            <w:right w:val="none" w:sz="0" w:space="0" w:color="auto"/>
          </w:divBdr>
        </w:div>
        <w:div w:id="2048603064">
          <w:marLeft w:val="640"/>
          <w:marRight w:val="0"/>
          <w:marTop w:val="0"/>
          <w:marBottom w:val="0"/>
          <w:divBdr>
            <w:top w:val="none" w:sz="0" w:space="0" w:color="auto"/>
            <w:left w:val="none" w:sz="0" w:space="0" w:color="auto"/>
            <w:bottom w:val="none" w:sz="0" w:space="0" w:color="auto"/>
            <w:right w:val="none" w:sz="0" w:space="0" w:color="auto"/>
          </w:divBdr>
        </w:div>
        <w:div w:id="561185152">
          <w:marLeft w:val="640"/>
          <w:marRight w:val="0"/>
          <w:marTop w:val="0"/>
          <w:marBottom w:val="0"/>
          <w:divBdr>
            <w:top w:val="none" w:sz="0" w:space="0" w:color="auto"/>
            <w:left w:val="none" w:sz="0" w:space="0" w:color="auto"/>
            <w:bottom w:val="none" w:sz="0" w:space="0" w:color="auto"/>
            <w:right w:val="none" w:sz="0" w:space="0" w:color="auto"/>
          </w:divBdr>
        </w:div>
        <w:div w:id="43608496">
          <w:marLeft w:val="640"/>
          <w:marRight w:val="0"/>
          <w:marTop w:val="0"/>
          <w:marBottom w:val="0"/>
          <w:divBdr>
            <w:top w:val="none" w:sz="0" w:space="0" w:color="auto"/>
            <w:left w:val="none" w:sz="0" w:space="0" w:color="auto"/>
            <w:bottom w:val="none" w:sz="0" w:space="0" w:color="auto"/>
            <w:right w:val="none" w:sz="0" w:space="0" w:color="auto"/>
          </w:divBdr>
        </w:div>
        <w:div w:id="643894997">
          <w:marLeft w:val="640"/>
          <w:marRight w:val="0"/>
          <w:marTop w:val="0"/>
          <w:marBottom w:val="0"/>
          <w:divBdr>
            <w:top w:val="none" w:sz="0" w:space="0" w:color="auto"/>
            <w:left w:val="none" w:sz="0" w:space="0" w:color="auto"/>
            <w:bottom w:val="none" w:sz="0" w:space="0" w:color="auto"/>
            <w:right w:val="none" w:sz="0" w:space="0" w:color="auto"/>
          </w:divBdr>
        </w:div>
        <w:div w:id="363138015">
          <w:marLeft w:val="640"/>
          <w:marRight w:val="0"/>
          <w:marTop w:val="0"/>
          <w:marBottom w:val="0"/>
          <w:divBdr>
            <w:top w:val="none" w:sz="0" w:space="0" w:color="auto"/>
            <w:left w:val="none" w:sz="0" w:space="0" w:color="auto"/>
            <w:bottom w:val="none" w:sz="0" w:space="0" w:color="auto"/>
            <w:right w:val="none" w:sz="0" w:space="0" w:color="auto"/>
          </w:divBdr>
        </w:div>
        <w:div w:id="2108386531">
          <w:marLeft w:val="640"/>
          <w:marRight w:val="0"/>
          <w:marTop w:val="0"/>
          <w:marBottom w:val="0"/>
          <w:divBdr>
            <w:top w:val="none" w:sz="0" w:space="0" w:color="auto"/>
            <w:left w:val="none" w:sz="0" w:space="0" w:color="auto"/>
            <w:bottom w:val="none" w:sz="0" w:space="0" w:color="auto"/>
            <w:right w:val="none" w:sz="0" w:space="0" w:color="auto"/>
          </w:divBdr>
        </w:div>
        <w:div w:id="1873494061">
          <w:marLeft w:val="640"/>
          <w:marRight w:val="0"/>
          <w:marTop w:val="0"/>
          <w:marBottom w:val="0"/>
          <w:divBdr>
            <w:top w:val="none" w:sz="0" w:space="0" w:color="auto"/>
            <w:left w:val="none" w:sz="0" w:space="0" w:color="auto"/>
            <w:bottom w:val="none" w:sz="0" w:space="0" w:color="auto"/>
            <w:right w:val="none" w:sz="0" w:space="0" w:color="auto"/>
          </w:divBdr>
        </w:div>
        <w:div w:id="718044450">
          <w:marLeft w:val="640"/>
          <w:marRight w:val="0"/>
          <w:marTop w:val="0"/>
          <w:marBottom w:val="0"/>
          <w:divBdr>
            <w:top w:val="none" w:sz="0" w:space="0" w:color="auto"/>
            <w:left w:val="none" w:sz="0" w:space="0" w:color="auto"/>
            <w:bottom w:val="none" w:sz="0" w:space="0" w:color="auto"/>
            <w:right w:val="none" w:sz="0" w:space="0" w:color="auto"/>
          </w:divBdr>
        </w:div>
        <w:div w:id="1056321587">
          <w:marLeft w:val="640"/>
          <w:marRight w:val="0"/>
          <w:marTop w:val="0"/>
          <w:marBottom w:val="0"/>
          <w:divBdr>
            <w:top w:val="none" w:sz="0" w:space="0" w:color="auto"/>
            <w:left w:val="none" w:sz="0" w:space="0" w:color="auto"/>
            <w:bottom w:val="none" w:sz="0" w:space="0" w:color="auto"/>
            <w:right w:val="none" w:sz="0" w:space="0" w:color="auto"/>
          </w:divBdr>
        </w:div>
        <w:div w:id="632755261">
          <w:marLeft w:val="640"/>
          <w:marRight w:val="0"/>
          <w:marTop w:val="0"/>
          <w:marBottom w:val="0"/>
          <w:divBdr>
            <w:top w:val="none" w:sz="0" w:space="0" w:color="auto"/>
            <w:left w:val="none" w:sz="0" w:space="0" w:color="auto"/>
            <w:bottom w:val="none" w:sz="0" w:space="0" w:color="auto"/>
            <w:right w:val="none" w:sz="0" w:space="0" w:color="auto"/>
          </w:divBdr>
        </w:div>
        <w:div w:id="2123725725">
          <w:marLeft w:val="640"/>
          <w:marRight w:val="0"/>
          <w:marTop w:val="0"/>
          <w:marBottom w:val="0"/>
          <w:divBdr>
            <w:top w:val="none" w:sz="0" w:space="0" w:color="auto"/>
            <w:left w:val="none" w:sz="0" w:space="0" w:color="auto"/>
            <w:bottom w:val="none" w:sz="0" w:space="0" w:color="auto"/>
            <w:right w:val="none" w:sz="0" w:space="0" w:color="auto"/>
          </w:divBdr>
        </w:div>
        <w:div w:id="1922442083">
          <w:marLeft w:val="640"/>
          <w:marRight w:val="0"/>
          <w:marTop w:val="0"/>
          <w:marBottom w:val="0"/>
          <w:divBdr>
            <w:top w:val="none" w:sz="0" w:space="0" w:color="auto"/>
            <w:left w:val="none" w:sz="0" w:space="0" w:color="auto"/>
            <w:bottom w:val="none" w:sz="0" w:space="0" w:color="auto"/>
            <w:right w:val="none" w:sz="0" w:space="0" w:color="auto"/>
          </w:divBdr>
        </w:div>
        <w:div w:id="423382105">
          <w:marLeft w:val="640"/>
          <w:marRight w:val="0"/>
          <w:marTop w:val="0"/>
          <w:marBottom w:val="0"/>
          <w:divBdr>
            <w:top w:val="none" w:sz="0" w:space="0" w:color="auto"/>
            <w:left w:val="none" w:sz="0" w:space="0" w:color="auto"/>
            <w:bottom w:val="none" w:sz="0" w:space="0" w:color="auto"/>
            <w:right w:val="none" w:sz="0" w:space="0" w:color="auto"/>
          </w:divBdr>
        </w:div>
        <w:div w:id="325482254">
          <w:marLeft w:val="640"/>
          <w:marRight w:val="0"/>
          <w:marTop w:val="0"/>
          <w:marBottom w:val="0"/>
          <w:divBdr>
            <w:top w:val="none" w:sz="0" w:space="0" w:color="auto"/>
            <w:left w:val="none" w:sz="0" w:space="0" w:color="auto"/>
            <w:bottom w:val="none" w:sz="0" w:space="0" w:color="auto"/>
            <w:right w:val="none" w:sz="0" w:space="0" w:color="auto"/>
          </w:divBdr>
        </w:div>
        <w:div w:id="1930653739">
          <w:marLeft w:val="640"/>
          <w:marRight w:val="0"/>
          <w:marTop w:val="0"/>
          <w:marBottom w:val="0"/>
          <w:divBdr>
            <w:top w:val="none" w:sz="0" w:space="0" w:color="auto"/>
            <w:left w:val="none" w:sz="0" w:space="0" w:color="auto"/>
            <w:bottom w:val="none" w:sz="0" w:space="0" w:color="auto"/>
            <w:right w:val="none" w:sz="0" w:space="0" w:color="auto"/>
          </w:divBdr>
        </w:div>
        <w:div w:id="1446267275">
          <w:marLeft w:val="640"/>
          <w:marRight w:val="0"/>
          <w:marTop w:val="0"/>
          <w:marBottom w:val="0"/>
          <w:divBdr>
            <w:top w:val="none" w:sz="0" w:space="0" w:color="auto"/>
            <w:left w:val="none" w:sz="0" w:space="0" w:color="auto"/>
            <w:bottom w:val="none" w:sz="0" w:space="0" w:color="auto"/>
            <w:right w:val="none" w:sz="0" w:space="0" w:color="auto"/>
          </w:divBdr>
        </w:div>
        <w:div w:id="1997763762">
          <w:marLeft w:val="640"/>
          <w:marRight w:val="0"/>
          <w:marTop w:val="0"/>
          <w:marBottom w:val="0"/>
          <w:divBdr>
            <w:top w:val="none" w:sz="0" w:space="0" w:color="auto"/>
            <w:left w:val="none" w:sz="0" w:space="0" w:color="auto"/>
            <w:bottom w:val="none" w:sz="0" w:space="0" w:color="auto"/>
            <w:right w:val="none" w:sz="0" w:space="0" w:color="auto"/>
          </w:divBdr>
        </w:div>
        <w:div w:id="1891526950">
          <w:marLeft w:val="640"/>
          <w:marRight w:val="0"/>
          <w:marTop w:val="0"/>
          <w:marBottom w:val="0"/>
          <w:divBdr>
            <w:top w:val="none" w:sz="0" w:space="0" w:color="auto"/>
            <w:left w:val="none" w:sz="0" w:space="0" w:color="auto"/>
            <w:bottom w:val="none" w:sz="0" w:space="0" w:color="auto"/>
            <w:right w:val="none" w:sz="0" w:space="0" w:color="auto"/>
          </w:divBdr>
        </w:div>
        <w:div w:id="141852436">
          <w:marLeft w:val="640"/>
          <w:marRight w:val="0"/>
          <w:marTop w:val="0"/>
          <w:marBottom w:val="0"/>
          <w:divBdr>
            <w:top w:val="none" w:sz="0" w:space="0" w:color="auto"/>
            <w:left w:val="none" w:sz="0" w:space="0" w:color="auto"/>
            <w:bottom w:val="none" w:sz="0" w:space="0" w:color="auto"/>
            <w:right w:val="none" w:sz="0" w:space="0" w:color="auto"/>
          </w:divBdr>
        </w:div>
        <w:div w:id="1392461198">
          <w:marLeft w:val="640"/>
          <w:marRight w:val="0"/>
          <w:marTop w:val="0"/>
          <w:marBottom w:val="0"/>
          <w:divBdr>
            <w:top w:val="none" w:sz="0" w:space="0" w:color="auto"/>
            <w:left w:val="none" w:sz="0" w:space="0" w:color="auto"/>
            <w:bottom w:val="none" w:sz="0" w:space="0" w:color="auto"/>
            <w:right w:val="none" w:sz="0" w:space="0" w:color="auto"/>
          </w:divBdr>
        </w:div>
        <w:div w:id="2072265602">
          <w:marLeft w:val="640"/>
          <w:marRight w:val="0"/>
          <w:marTop w:val="0"/>
          <w:marBottom w:val="0"/>
          <w:divBdr>
            <w:top w:val="none" w:sz="0" w:space="0" w:color="auto"/>
            <w:left w:val="none" w:sz="0" w:space="0" w:color="auto"/>
            <w:bottom w:val="none" w:sz="0" w:space="0" w:color="auto"/>
            <w:right w:val="none" w:sz="0" w:space="0" w:color="auto"/>
          </w:divBdr>
        </w:div>
        <w:div w:id="1787040509">
          <w:marLeft w:val="640"/>
          <w:marRight w:val="0"/>
          <w:marTop w:val="0"/>
          <w:marBottom w:val="0"/>
          <w:divBdr>
            <w:top w:val="none" w:sz="0" w:space="0" w:color="auto"/>
            <w:left w:val="none" w:sz="0" w:space="0" w:color="auto"/>
            <w:bottom w:val="none" w:sz="0" w:space="0" w:color="auto"/>
            <w:right w:val="none" w:sz="0" w:space="0" w:color="auto"/>
          </w:divBdr>
        </w:div>
        <w:div w:id="1962569478">
          <w:marLeft w:val="640"/>
          <w:marRight w:val="0"/>
          <w:marTop w:val="0"/>
          <w:marBottom w:val="0"/>
          <w:divBdr>
            <w:top w:val="none" w:sz="0" w:space="0" w:color="auto"/>
            <w:left w:val="none" w:sz="0" w:space="0" w:color="auto"/>
            <w:bottom w:val="none" w:sz="0" w:space="0" w:color="auto"/>
            <w:right w:val="none" w:sz="0" w:space="0" w:color="auto"/>
          </w:divBdr>
        </w:div>
        <w:div w:id="1807162367">
          <w:marLeft w:val="640"/>
          <w:marRight w:val="0"/>
          <w:marTop w:val="0"/>
          <w:marBottom w:val="0"/>
          <w:divBdr>
            <w:top w:val="none" w:sz="0" w:space="0" w:color="auto"/>
            <w:left w:val="none" w:sz="0" w:space="0" w:color="auto"/>
            <w:bottom w:val="none" w:sz="0" w:space="0" w:color="auto"/>
            <w:right w:val="none" w:sz="0" w:space="0" w:color="auto"/>
          </w:divBdr>
        </w:div>
        <w:div w:id="242028477">
          <w:marLeft w:val="640"/>
          <w:marRight w:val="0"/>
          <w:marTop w:val="0"/>
          <w:marBottom w:val="0"/>
          <w:divBdr>
            <w:top w:val="none" w:sz="0" w:space="0" w:color="auto"/>
            <w:left w:val="none" w:sz="0" w:space="0" w:color="auto"/>
            <w:bottom w:val="none" w:sz="0" w:space="0" w:color="auto"/>
            <w:right w:val="none" w:sz="0" w:space="0" w:color="auto"/>
          </w:divBdr>
        </w:div>
        <w:div w:id="1128281668">
          <w:marLeft w:val="640"/>
          <w:marRight w:val="0"/>
          <w:marTop w:val="0"/>
          <w:marBottom w:val="0"/>
          <w:divBdr>
            <w:top w:val="none" w:sz="0" w:space="0" w:color="auto"/>
            <w:left w:val="none" w:sz="0" w:space="0" w:color="auto"/>
            <w:bottom w:val="none" w:sz="0" w:space="0" w:color="auto"/>
            <w:right w:val="none" w:sz="0" w:space="0" w:color="auto"/>
          </w:divBdr>
        </w:div>
        <w:div w:id="1643270640">
          <w:marLeft w:val="640"/>
          <w:marRight w:val="0"/>
          <w:marTop w:val="0"/>
          <w:marBottom w:val="0"/>
          <w:divBdr>
            <w:top w:val="none" w:sz="0" w:space="0" w:color="auto"/>
            <w:left w:val="none" w:sz="0" w:space="0" w:color="auto"/>
            <w:bottom w:val="none" w:sz="0" w:space="0" w:color="auto"/>
            <w:right w:val="none" w:sz="0" w:space="0" w:color="auto"/>
          </w:divBdr>
        </w:div>
        <w:div w:id="2101950371">
          <w:marLeft w:val="640"/>
          <w:marRight w:val="0"/>
          <w:marTop w:val="0"/>
          <w:marBottom w:val="0"/>
          <w:divBdr>
            <w:top w:val="none" w:sz="0" w:space="0" w:color="auto"/>
            <w:left w:val="none" w:sz="0" w:space="0" w:color="auto"/>
            <w:bottom w:val="none" w:sz="0" w:space="0" w:color="auto"/>
            <w:right w:val="none" w:sz="0" w:space="0" w:color="auto"/>
          </w:divBdr>
        </w:div>
        <w:div w:id="2101289181">
          <w:marLeft w:val="640"/>
          <w:marRight w:val="0"/>
          <w:marTop w:val="0"/>
          <w:marBottom w:val="0"/>
          <w:divBdr>
            <w:top w:val="none" w:sz="0" w:space="0" w:color="auto"/>
            <w:left w:val="none" w:sz="0" w:space="0" w:color="auto"/>
            <w:bottom w:val="none" w:sz="0" w:space="0" w:color="auto"/>
            <w:right w:val="none" w:sz="0" w:space="0" w:color="auto"/>
          </w:divBdr>
        </w:div>
        <w:div w:id="1109668432">
          <w:marLeft w:val="640"/>
          <w:marRight w:val="0"/>
          <w:marTop w:val="0"/>
          <w:marBottom w:val="0"/>
          <w:divBdr>
            <w:top w:val="none" w:sz="0" w:space="0" w:color="auto"/>
            <w:left w:val="none" w:sz="0" w:space="0" w:color="auto"/>
            <w:bottom w:val="none" w:sz="0" w:space="0" w:color="auto"/>
            <w:right w:val="none" w:sz="0" w:space="0" w:color="auto"/>
          </w:divBdr>
        </w:div>
        <w:div w:id="816604656">
          <w:marLeft w:val="640"/>
          <w:marRight w:val="0"/>
          <w:marTop w:val="0"/>
          <w:marBottom w:val="0"/>
          <w:divBdr>
            <w:top w:val="none" w:sz="0" w:space="0" w:color="auto"/>
            <w:left w:val="none" w:sz="0" w:space="0" w:color="auto"/>
            <w:bottom w:val="none" w:sz="0" w:space="0" w:color="auto"/>
            <w:right w:val="none" w:sz="0" w:space="0" w:color="auto"/>
          </w:divBdr>
        </w:div>
        <w:div w:id="1458832792">
          <w:marLeft w:val="640"/>
          <w:marRight w:val="0"/>
          <w:marTop w:val="0"/>
          <w:marBottom w:val="0"/>
          <w:divBdr>
            <w:top w:val="none" w:sz="0" w:space="0" w:color="auto"/>
            <w:left w:val="none" w:sz="0" w:space="0" w:color="auto"/>
            <w:bottom w:val="none" w:sz="0" w:space="0" w:color="auto"/>
            <w:right w:val="none" w:sz="0" w:space="0" w:color="auto"/>
          </w:divBdr>
        </w:div>
        <w:div w:id="383410257">
          <w:marLeft w:val="640"/>
          <w:marRight w:val="0"/>
          <w:marTop w:val="0"/>
          <w:marBottom w:val="0"/>
          <w:divBdr>
            <w:top w:val="none" w:sz="0" w:space="0" w:color="auto"/>
            <w:left w:val="none" w:sz="0" w:space="0" w:color="auto"/>
            <w:bottom w:val="none" w:sz="0" w:space="0" w:color="auto"/>
            <w:right w:val="none" w:sz="0" w:space="0" w:color="auto"/>
          </w:divBdr>
        </w:div>
        <w:div w:id="971980199">
          <w:marLeft w:val="640"/>
          <w:marRight w:val="0"/>
          <w:marTop w:val="0"/>
          <w:marBottom w:val="0"/>
          <w:divBdr>
            <w:top w:val="none" w:sz="0" w:space="0" w:color="auto"/>
            <w:left w:val="none" w:sz="0" w:space="0" w:color="auto"/>
            <w:bottom w:val="none" w:sz="0" w:space="0" w:color="auto"/>
            <w:right w:val="none" w:sz="0" w:space="0" w:color="auto"/>
          </w:divBdr>
        </w:div>
        <w:div w:id="1122992123">
          <w:marLeft w:val="640"/>
          <w:marRight w:val="0"/>
          <w:marTop w:val="0"/>
          <w:marBottom w:val="0"/>
          <w:divBdr>
            <w:top w:val="none" w:sz="0" w:space="0" w:color="auto"/>
            <w:left w:val="none" w:sz="0" w:space="0" w:color="auto"/>
            <w:bottom w:val="none" w:sz="0" w:space="0" w:color="auto"/>
            <w:right w:val="none" w:sz="0" w:space="0" w:color="auto"/>
          </w:divBdr>
        </w:div>
        <w:div w:id="1914779035">
          <w:marLeft w:val="640"/>
          <w:marRight w:val="0"/>
          <w:marTop w:val="0"/>
          <w:marBottom w:val="0"/>
          <w:divBdr>
            <w:top w:val="none" w:sz="0" w:space="0" w:color="auto"/>
            <w:left w:val="none" w:sz="0" w:space="0" w:color="auto"/>
            <w:bottom w:val="none" w:sz="0" w:space="0" w:color="auto"/>
            <w:right w:val="none" w:sz="0" w:space="0" w:color="auto"/>
          </w:divBdr>
        </w:div>
        <w:div w:id="207643969">
          <w:marLeft w:val="640"/>
          <w:marRight w:val="0"/>
          <w:marTop w:val="0"/>
          <w:marBottom w:val="0"/>
          <w:divBdr>
            <w:top w:val="none" w:sz="0" w:space="0" w:color="auto"/>
            <w:left w:val="none" w:sz="0" w:space="0" w:color="auto"/>
            <w:bottom w:val="none" w:sz="0" w:space="0" w:color="auto"/>
            <w:right w:val="none" w:sz="0" w:space="0" w:color="auto"/>
          </w:divBdr>
        </w:div>
        <w:div w:id="643002050">
          <w:marLeft w:val="640"/>
          <w:marRight w:val="0"/>
          <w:marTop w:val="0"/>
          <w:marBottom w:val="0"/>
          <w:divBdr>
            <w:top w:val="none" w:sz="0" w:space="0" w:color="auto"/>
            <w:left w:val="none" w:sz="0" w:space="0" w:color="auto"/>
            <w:bottom w:val="none" w:sz="0" w:space="0" w:color="auto"/>
            <w:right w:val="none" w:sz="0" w:space="0" w:color="auto"/>
          </w:divBdr>
        </w:div>
        <w:div w:id="1088649083">
          <w:marLeft w:val="640"/>
          <w:marRight w:val="0"/>
          <w:marTop w:val="0"/>
          <w:marBottom w:val="0"/>
          <w:divBdr>
            <w:top w:val="none" w:sz="0" w:space="0" w:color="auto"/>
            <w:left w:val="none" w:sz="0" w:space="0" w:color="auto"/>
            <w:bottom w:val="none" w:sz="0" w:space="0" w:color="auto"/>
            <w:right w:val="none" w:sz="0" w:space="0" w:color="auto"/>
          </w:divBdr>
        </w:div>
        <w:div w:id="1445417406">
          <w:marLeft w:val="640"/>
          <w:marRight w:val="0"/>
          <w:marTop w:val="0"/>
          <w:marBottom w:val="0"/>
          <w:divBdr>
            <w:top w:val="none" w:sz="0" w:space="0" w:color="auto"/>
            <w:left w:val="none" w:sz="0" w:space="0" w:color="auto"/>
            <w:bottom w:val="none" w:sz="0" w:space="0" w:color="auto"/>
            <w:right w:val="none" w:sz="0" w:space="0" w:color="auto"/>
          </w:divBdr>
        </w:div>
        <w:div w:id="379745103">
          <w:marLeft w:val="640"/>
          <w:marRight w:val="0"/>
          <w:marTop w:val="0"/>
          <w:marBottom w:val="0"/>
          <w:divBdr>
            <w:top w:val="none" w:sz="0" w:space="0" w:color="auto"/>
            <w:left w:val="none" w:sz="0" w:space="0" w:color="auto"/>
            <w:bottom w:val="none" w:sz="0" w:space="0" w:color="auto"/>
            <w:right w:val="none" w:sz="0" w:space="0" w:color="auto"/>
          </w:divBdr>
        </w:div>
        <w:div w:id="1014263216">
          <w:marLeft w:val="640"/>
          <w:marRight w:val="0"/>
          <w:marTop w:val="0"/>
          <w:marBottom w:val="0"/>
          <w:divBdr>
            <w:top w:val="none" w:sz="0" w:space="0" w:color="auto"/>
            <w:left w:val="none" w:sz="0" w:space="0" w:color="auto"/>
            <w:bottom w:val="none" w:sz="0" w:space="0" w:color="auto"/>
            <w:right w:val="none" w:sz="0" w:space="0" w:color="auto"/>
          </w:divBdr>
        </w:div>
        <w:div w:id="722944869">
          <w:marLeft w:val="640"/>
          <w:marRight w:val="0"/>
          <w:marTop w:val="0"/>
          <w:marBottom w:val="0"/>
          <w:divBdr>
            <w:top w:val="none" w:sz="0" w:space="0" w:color="auto"/>
            <w:left w:val="none" w:sz="0" w:space="0" w:color="auto"/>
            <w:bottom w:val="none" w:sz="0" w:space="0" w:color="auto"/>
            <w:right w:val="none" w:sz="0" w:space="0" w:color="auto"/>
          </w:divBdr>
        </w:div>
        <w:div w:id="134295865">
          <w:marLeft w:val="640"/>
          <w:marRight w:val="0"/>
          <w:marTop w:val="0"/>
          <w:marBottom w:val="0"/>
          <w:divBdr>
            <w:top w:val="none" w:sz="0" w:space="0" w:color="auto"/>
            <w:left w:val="none" w:sz="0" w:space="0" w:color="auto"/>
            <w:bottom w:val="none" w:sz="0" w:space="0" w:color="auto"/>
            <w:right w:val="none" w:sz="0" w:space="0" w:color="auto"/>
          </w:divBdr>
        </w:div>
        <w:div w:id="1833377435">
          <w:marLeft w:val="640"/>
          <w:marRight w:val="0"/>
          <w:marTop w:val="0"/>
          <w:marBottom w:val="0"/>
          <w:divBdr>
            <w:top w:val="none" w:sz="0" w:space="0" w:color="auto"/>
            <w:left w:val="none" w:sz="0" w:space="0" w:color="auto"/>
            <w:bottom w:val="none" w:sz="0" w:space="0" w:color="auto"/>
            <w:right w:val="none" w:sz="0" w:space="0" w:color="auto"/>
          </w:divBdr>
        </w:div>
        <w:div w:id="915827229">
          <w:marLeft w:val="640"/>
          <w:marRight w:val="0"/>
          <w:marTop w:val="0"/>
          <w:marBottom w:val="0"/>
          <w:divBdr>
            <w:top w:val="none" w:sz="0" w:space="0" w:color="auto"/>
            <w:left w:val="none" w:sz="0" w:space="0" w:color="auto"/>
            <w:bottom w:val="none" w:sz="0" w:space="0" w:color="auto"/>
            <w:right w:val="none" w:sz="0" w:space="0" w:color="auto"/>
          </w:divBdr>
        </w:div>
        <w:div w:id="355473931">
          <w:marLeft w:val="640"/>
          <w:marRight w:val="0"/>
          <w:marTop w:val="0"/>
          <w:marBottom w:val="0"/>
          <w:divBdr>
            <w:top w:val="none" w:sz="0" w:space="0" w:color="auto"/>
            <w:left w:val="none" w:sz="0" w:space="0" w:color="auto"/>
            <w:bottom w:val="none" w:sz="0" w:space="0" w:color="auto"/>
            <w:right w:val="none" w:sz="0" w:space="0" w:color="auto"/>
          </w:divBdr>
        </w:div>
        <w:div w:id="570847327">
          <w:marLeft w:val="640"/>
          <w:marRight w:val="0"/>
          <w:marTop w:val="0"/>
          <w:marBottom w:val="0"/>
          <w:divBdr>
            <w:top w:val="none" w:sz="0" w:space="0" w:color="auto"/>
            <w:left w:val="none" w:sz="0" w:space="0" w:color="auto"/>
            <w:bottom w:val="none" w:sz="0" w:space="0" w:color="auto"/>
            <w:right w:val="none" w:sz="0" w:space="0" w:color="auto"/>
          </w:divBdr>
        </w:div>
        <w:div w:id="480318899">
          <w:marLeft w:val="640"/>
          <w:marRight w:val="0"/>
          <w:marTop w:val="0"/>
          <w:marBottom w:val="0"/>
          <w:divBdr>
            <w:top w:val="none" w:sz="0" w:space="0" w:color="auto"/>
            <w:left w:val="none" w:sz="0" w:space="0" w:color="auto"/>
            <w:bottom w:val="none" w:sz="0" w:space="0" w:color="auto"/>
            <w:right w:val="none" w:sz="0" w:space="0" w:color="auto"/>
          </w:divBdr>
        </w:div>
        <w:div w:id="248855201">
          <w:marLeft w:val="640"/>
          <w:marRight w:val="0"/>
          <w:marTop w:val="0"/>
          <w:marBottom w:val="0"/>
          <w:divBdr>
            <w:top w:val="none" w:sz="0" w:space="0" w:color="auto"/>
            <w:left w:val="none" w:sz="0" w:space="0" w:color="auto"/>
            <w:bottom w:val="none" w:sz="0" w:space="0" w:color="auto"/>
            <w:right w:val="none" w:sz="0" w:space="0" w:color="auto"/>
          </w:divBdr>
        </w:div>
        <w:div w:id="1215196160">
          <w:marLeft w:val="640"/>
          <w:marRight w:val="0"/>
          <w:marTop w:val="0"/>
          <w:marBottom w:val="0"/>
          <w:divBdr>
            <w:top w:val="none" w:sz="0" w:space="0" w:color="auto"/>
            <w:left w:val="none" w:sz="0" w:space="0" w:color="auto"/>
            <w:bottom w:val="none" w:sz="0" w:space="0" w:color="auto"/>
            <w:right w:val="none" w:sz="0" w:space="0" w:color="auto"/>
          </w:divBdr>
        </w:div>
        <w:div w:id="1985312227">
          <w:marLeft w:val="640"/>
          <w:marRight w:val="0"/>
          <w:marTop w:val="0"/>
          <w:marBottom w:val="0"/>
          <w:divBdr>
            <w:top w:val="none" w:sz="0" w:space="0" w:color="auto"/>
            <w:left w:val="none" w:sz="0" w:space="0" w:color="auto"/>
            <w:bottom w:val="none" w:sz="0" w:space="0" w:color="auto"/>
            <w:right w:val="none" w:sz="0" w:space="0" w:color="auto"/>
          </w:divBdr>
        </w:div>
        <w:div w:id="764228651">
          <w:marLeft w:val="640"/>
          <w:marRight w:val="0"/>
          <w:marTop w:val="0"/>
          <w:marBottom w:val="0"/>
          <w:divBdr>
            <w:top w:val="none" w:sz="0" w:space="0" w:color="auto"/>
            <w:left w:val="none" w:sz="0" w:space="0" w:color="auto"/>
            <w:bottom w:val="none" w:sz="0" w:space="0" w:color="auto"/>
            <w:right w:val="none" w:sz="0" w:space="0" w:color="auto"/>
          </w:divBdr>
        </w:div>
        <w:div w:id="1617979401">
          <w:marLeft w:val="640"/>
          <w:marRight w:val="0"/>
          <w:marTop w:val="0"/>
          <w:marBottom w:val="0"/>
          <w:divBdr>
            <w:top w:val="none" w:sz="0" w:space="0" w:color="auto"/>
            <w:left w:val="none" w:sz="0" w:space="0" w:color="auto"/>
            <w:bottom w:val="none" w:sz="0" w:space="0" w:color="auto"/>
            <w:right w:val="none" w:sz="0" w:space="0" w:color="auto"/>
          </w:divBdr>
        </w:div>
        <w:div w:id="1231621898">
          <w:marLeft w:val="640"/>
          <w:marRight w:val="0"/>
          <w:marTop w:val="0"/>
          <w:marBottom w:val="0"/>
          <w:divBdr>
            <w:top w:val="none" w:sz="0" w:space="0" w:color="auto"/>
            <w:left w:val="none" w:sz="0" w:space="0" w:color="auto"/>
            <w:bottom w:val="none" w:sz="0" w:space="0" w:color="auto"/>
            <w:right w:val="none" w:sz="0" w:space="0" w:color="auto"/>
          </w:divBdr>
        </w:div>
        <w:div w:id="1984500779">
          <w:marLeft w:val="640"/>
          <w:marRight w:val="0"/>
          <w:marTop w:val="0"/>
          <w:marBottom w:val="0"/>
          <w:divBdr>
            <w:top w:val="none" w:sz="0" w:space="0" w:color="auto"/>
            <w:left w:val="none" w:sz="0" w:space="0" w:color="auto"/>
            <w:bottom w:val="none" w:sz="0" w:space="0" w:color="auto"/>
            <w:right w:val="none" w:sz="0" w:space="0" w:color="auto"/>
          </w:divBdr>
        </w:div>
        <w:div w:id="1374846684">
          <w:marLeft w:val="640"/>
          <w:marRight w:val="0"/>
          <w:marTop w:val="0"/>
          <w:marBottom w:val="0"/>
          <w:divBdr>
            <w:top w:val="none" w:sz="0" w:space="0" w:color="auto"/>
            <w:left w:val="none" w:sz="0" w:space="0" w:color="auto"/>
            <w:bottom w:val="none" w:sz="0" w:space="0" w:color="auto"/>
            <w:right w:val="none" w:sz="0" w:space="0" w:color="auto"/>
          </w:divBdr>
        </w:div>
        <w:div w:id="2070886134">
          <w:marLeft w:val="640"/>
          <w:marRight w:val="0"/>
          <w:marTop w:val="0"/>
          <w:marBottom w:val="0"/>
          <w:divBdr>
            <w:top w:val="none" w:sz="0" w:space="0" w:color="auto"/>
            <w:left w:val="none" w:sz="0" w:space="0" w:color="auto"/>
            <w:bottom w:val="none" w:sz="0" w:space="0" w:color="auto"/>
            <w:right w:val="none" w:sz="0" w:space="0" w:color="auto"/>
          </w:divBdr>
        </w:div>
        <w:div w:id="71589246">
          <w:marLeft w:val="640"/>
          <w:marRight w:val="0"/>
          <w:marTop w:val="0"/>
          <w:marBottom w:val="0"/>
          <w:divBdr>
            <w:top w:val="none" w:sz="0" w:space="0" w:color="auto"/>
            <w:left w:val="none" w:sz="0" w:space="0" w:color="auto"/>
            <w:bottom w:val="none" w:sz="0" w:space="0" w:color="auto"/>
            <w:right w:val="none" w:sz="0" w:space="0" w:color="auto"/>
          </w:divBdr>
        </w:div>
        <w:div w:id="1155417278">
          <w:marLeft w:val="640"/>
          <w:marRight w:val="0"/>
          <w:marTop w:val="0"/>
          <w:marBottom w:val="0"/>
          <w:divBdr>
            <w:top w:val="none" w:sz="0" w:space="0" w:color="auto"/>
            <w:left w:val="none" w:sz="0" w:space="0" w:color="auto"/>
            <w:bottom w:val="none" w:sz="0" w:space="0" w:color="auto"/>
            <w:right w:val="none" w:sz="0" w:space="0" w:color="auto"/>
          </w:divBdr>
        </w:div>
        <w:div w:id="1225410778">
          <w:marLeft w:val="640"/>
          <w:marRight w:val="0"/>
          <w:marTop w:val="0"/>
          <w:marBottom w:val="0"/>
          <w:divBdr>
            <w:top w:val="none" w:sz="0" w:space="0" w:color="auto"/>
            <w:left w:val="none" w:sz="0" w:space="0" w:color="auto"/>
            <w:bottom w:val="none" w:sz="0" w:space="0" w:color="auto"/>
            <w:right w:val="none" w:sz="0" w:space="0" w:color="auto"/>
          </w:divBdr>
        </w:div>
        <w:div w:id="1810827104">
          <w:marLeft w:val="640"/>
          <w:marRight w:val="0"/>
          <w:marTop w:val="0"/>
          <w:marBottom w:val="0"/>
          <w:divBdr>
            <w:top w:val="none" w:sz="0" w:space="0" w:color="auto"/>
            <w:left w:val="none" w:sz="0" w:space="0" w:color="auto"/>
            <w:bottom w:val="none" w:sz="0" w:space="0" w:color="auto"/>
            <w:right w:val="none" w:sz="0" w:space="0" w:color="auto"/>
          </w:divBdr>
        </w:div>
        <w:div w:id="104810755">
          <w:marLeft w:val="640"/>
          <w:marRight w:val="0"/>
          <w:marTop w:val="0"/>
          <w:marBottom w:val="0"/>
          <w:divBdr>
            <w:top w:val="none" w:sz="0" w:space="0" w:color="auto"/>
            <w:left w:val="none" w:sz="0" w:space="0" w:color="auto"/>
            <w:bottom w:val="none" w:sz="0" w:space="0" w:color="auto"/>
            <w:right w:val="none" w:sz="0" w:space="0" w:color="auto"/>
          </w:divBdr>
        </w:div>
        <w:div w:id="300158181">
          <w:marLeft w:val="640"/>
          <w:marRight w:val="0"/>
          <w:marTop w:val="0"/>
          <w:marBottom w:val="0"/>
          <w:divBdr>
            <w:top w:val="none" w:sz="0" w:space="0" w:color="auto"/>
            <w:left w:val="none" w:sz="0" w:space="0" w:color="auto"/>
            <w:bottom w:val="none" w:sz="0" w:space="0" w:color="auto"/>
            <w:right w:val="none" w:sz="0" w:space="0" w:color="auto"/>
          </w:divBdr>
        </w:div>
        <w:div w:id="897279413">
          <w:marLeft w:val="640"/>
          <w:marRight w:val="0"/>
          <w:marTop w:val="0"/>
          <w:marBottom w:val="0"/>
          <w:divBdr>
            <w:top w:val="none" w:sz="0" w:space="0" w:color="auto"/>
            <w:left w:val="none" w:sz="0" w:space="0" w:color="auto"/>
            <w:bottom w:val="none" w:sz="0" w:space="0" w:color="auto"/>
            <w:right w:val="none" w:sz="0" w:space="0" w:color="auto"/>
          </w:divBdr>
        </w:div>
        <w:div w:id="1715227866">
          <w:marLeft w:val="640"/>
          <w:marRight w:val="0"/>
          <w:marTop w:val="0"/>
          <w:marBottom w:val="0"/>
          <w:divBdr>
            <w:top w:val="none" w:sz="0" w:space="0" w:color="auto"/>
            <w:left w:val="none" w:sz="0" w:space="0" w:color="auto"/>
            <w:bottom w:val="none" w:sz="0" w:space="0" w:color="auto"/>
            <w:right w:val="none" w:sz="0" w:space="0" w:color="auto"/>
          </w:divBdr>
        </w:div>
        <w:div w:id="1920020374">
          <w:marLeft w:val="640"/>
          <w:marRight w:val="0"/>
          <w:marTop w:val="0"/>
          <w:marBottom w:val="0"/>
          <w:divBdr>
            <w:top w:val="none" w:sz="0" w:space="0" w:color="auto"/>
            <w:left w:val="none" w:sz="0" w:space="0" w:color="auto"/>
            <w:bottom w:val="none" w:sz="0" w:space="0" w:color="auto"/>
            <w:right w:val="none" w:sz="0" w:space="0" w:color="auto"/>
          </w:divBdr>
        </w:div>
        <w:div w:id="654455658">
          <w:marLeft w:val="640"/>
          <w:marRight w:val="0"/>
          <w:marTop w:val="0"/>
          <w:marBottom w:val="0"/>
          <w:divBdr>
            <w:top w:val="none" w:sz="0" w:space="0" w:color="auto"/>
            <w:left w:val="none" w:sz="0" w:space="0" w:color="auto"/>
            <w:bottom w:val="none" w:sz="0" w:space="0" w:color="auto"/>
            <w:right w:val="none" w:sz="0" w:space="0" w:color="auto"/>
          </w:divBdr>
        </w:div>
        <w:div w:id="51194158">
          <w:marLeft w:val="640"/>
          <w:marRight w:val="0"/>
          <w:marTop w:val="0"/>
          <w:marBottom w:val="0"/>
          <w:divBdr>
            <w:top w:val="none" w:sz="0" w:space="0" w:color="auto"/>
            <w:left w:val="none" w:sz="0" w:space="0" w:color="auto"/>
            <w:bottom w:val="none" w:sz="0" w:space="0" w:color="auto"/>
            <w:right w:val="none" w:sz="0" w:space="0" w:color="auto"/>
          </w:divBdr>
        </w:div>
        <w:div w:id="1625313067">
          <w:marLeft w:val="640"/>
          <w:marRight w:val="0"/>
          <w:marTop w:val="0"/>
          <w:marBottom w:val="0"/>
          <w:divBdr>
            <w:top w:val="none" w:sz="0" w:space="0" w:color="auto"/>
            <w:left w:val="none" w:sz="0" w:space="0" w:color="auto"/>
            <w:bottom w:val="none" w:sz="0" w:space="0" w:color="auto"/>
            <w:right w:val="none" w:sz="0" w:space="0" w:color="auto"/>
          </w:divBdr>
        </w:div>
        <w:div w:id="1110205061">
          <w:marLeft w:val="640"/>
          <w:marRight w:val="0"/>
          <w:marTop w:val="0"/>
          <w:marBottom w:val="0"/>
          <w:divBdr>
            <w:top w:val="none" w:sz="0" w:space="0" w:color="auto"/>
            <w:left w:val="none" w:sz="0" w:space="0" w:color="auto"/>
            <w:bottom w:val="none" w:sz="0" w:space="0" w:color="auto"/>
            <w:right w:val="none" w:sz="0" w:space="0" w:color="auto"/>
          </w:divBdr>
        </w:div>
        <w:div w:id="879434698">
          <w:marLeft w:val="640"/>
          <w:marRight w:val="0"/>
          <w:marTop w:val="0"/>
          <w:marBottom w:val="0"/>
          <w:divBdr>
            <w:top w:val="none" w:sz="0" w:space="0" w:color="auto"/>
            <w:left w:val="none" w:sz="0" w:space="0" w:color="auto"/>
            <w:bottom w:val="none" w:sz="0" w:space="0" w:color="auto"/>
            <w:right w:val="none" w:sz="0" w:space="0" w:color="auto"/>
          </w:divBdr>
        </w:div>
        <w:div w:id="393242178">
          <w:marLeft w:val="640"/>
          <w:marRight w:val="0"/>
          <w:marTop w:val="0"/>
          <w:marBottom w:val="0"/>
          <w:divBdr>
            <w:top w:val="none" w:sz="0" w:space="0" w:color="auto"/>
            <w:left w:val="none" w:sz="0" w:space="0" w:color="auto"/>
            <w:bottom w:val="none" w:sz="0" w:space="0" w:color="auto"/>
            <w:right w:val="none" w:sz="0" w:space="0" w:color="auto"/>
          </w:divBdr>
        </w:div>
        <w:div w:id="217976770">
          <w:marLeft w:val="640"/>
          <w:marRight w:val="0"/>
          <w:marTop w:val="0"/>
          <w:marBottom w:val="0"/>
          <w:divBdr>
            <w:top w:val="none" w:sz="0" w:space="0" w:color="auto"/>
            <w:left w:val="none" w:sz="0" w:space="0" w:color="auto"/>
            <w:bottom w:val="none" w:sz="0" w:space="0" w:color="auto"/>
            <w:right w:val="none" w:sz="0" w:space="0" w:color="auto"/>
          </w:divBdr>
        </w:div>
        <w:div w:id="476456978">
          <w:marLeft w:val="640"/>
          <w:marRight w:val="0"/>
          <w:marTop w:val="0"/>
          <w:marBottom w:val="0"/>
          <w:divBdr>
            <w:top w:val="none" w:sz="0" w:space="0" w:color="auto"/>
            <w:left w:val="none" w:sz="0" w:space="0" w:color="auto"/>
            <w:bottom w:val="none" w:sz="0" w:space="0" w:color="auto"/>
            <w:right w:val="none" w:sz="0" w:space="0" w:color="auto"/>
          </w:divBdr>
        </w:div>
        <w:div w:id="1298681902">
          <w:marLeft w:val="640"/>
          <w:marRight w:val="0"/>
          <w:marTop w:val="0"/>
          <w:marBottom w:val="0"/>
          <w:divBdr>
            <w:top w:val="none" w:sz="0" w:space="0" w:color="auto"/>
            <w:left w:val="none" w:sz="0" w:space="0" w:color="auto"/>
            <w:bottom w:val="none" w:sz="0" w:space="0" w:color="auto"/>
            <w:right w:val="none" w:sz="0" w:space="0" w:color="auto"/>
          </w:divBdr>
        </w:div>
        <w:div w:id="568687243">
          <w:marLeft w:val="640"/>
          <w:marRight w:val="0"/>
          <w:marTop w:val="0"/>
          <w:marBottom w:val="0"/>
          <w:divBdr>
            <w:top w:val="none" w:sz="0" w:space="0" w:color="auto"/>
            <w:left w:val="none" w:sz="0" w:space="0" w:color="auto"/>
            <w:bottom w:val="none" w:sz="0" w:space="0" w:color="auto"/>
            <w:right w:val="none" w:sz="0" w:space="0" w:color="auto"/>
          </w:divBdr>
        </w:div>
        <w:div w:id="1189224031">
          <w:marLeft w:val="640"/>
          <w:marRight w:val="0"/>
          <w:marTop w:val="0"/>
          <w:marBottom w:val="0"/>
          <w:divBdr>
            <w:top w:val="none" w:sz="0" w:space="0" w:color="auto"/>
            <w:left w:val="none" w:sz="0" w:space="0" w:color="auto"/>
            <w:bottom w:val="none" w:sz="0" w:space="0" w:color="auto"/>
            <w:right w:val="none" w:sz="0" w:space="0" w:color="auto"/>
          </w:divBdr>
        </w:div>
        <w:div w:id="739714401">
          <w:marLeft w:val="640"/>
          <w:marRight w:val="0"/>
          <w:marTop w:val="0"/>
          <w:marBottom w:val="0"/>
          <w:divBdr>
            <w:top w:val="none" w:sz="0" w:space="0" w:color="auto"/>
            <w:left w:val="none" w:sz="0" w:space="0" w:color="auto"/>
            <w:bottom w:val="none" w:sz="0" w:space="0" w:color="auto"/>
            <w:right w:val="none" w:sz="0" w:space="0" w:color="auto"/>
          </w:divBdr>
        </w:div>
        <w:div w:id="2090422994">
          <w:marLeft w:val="640"/>
          <w:marRight w:val="0"/>
          <w:marTop w:val="0"/>
          <w:marBottom w:val="0"/>
          <w:divBdr>
            <w:top w:val="none" w:sz="0" w:space="0" w:color="auto"/>
            <w:left w:val="none" w:sz="0" w:space="0" w:color="auto"/>
            <w:bottom w:val="none" w:sz="0" w:space="0" w:color="auto"/>
            <w:right w:val="none" w:sz="0" w:space="0" w:color="auto"/>
          </w:divBdr>
        </w:div>
        <w:div w:id="1698770082">
          <w:marLeft w:val="640"/>
          <w:marRight w:val="0"/>
          <w:marTop w:val="0"/>
          <w:marBottom w:val="0"/>
          <w:divBdr>
            <w:top w:val="none" w:sz="0" w:space="0" w:color="auto"/>
            <w:left w:val="none" w:sz="0" w:space="0" w:color="auto"/>
            <w:bottom w:val="none" w:sz="0" w:space="0" w:color="auto"/>
            <w:right w:val="none" w:sz="0" w:space="0" w:color="auto"/>
          </w:divBdr>
        </w:div>
        <w:div w:id="1686781181">
          <w:marLeft w:val="640"/>
          <w:marRight w:val="0"/>
          <w:marTop w:val="0"/>
          <w:marBottom w:val="0"/>
          <w:divBdr>
            <w:top w:val="none" w:sz="0" w:space="0" w:color="auto"/>
            <w:left w:val="none" w:sz="0" w:space="0" w:color="auto"/>
            <w:bottom w:val="none" w:sz="0" w:space="0" w:color="auto"/>
            <w:right w:val="none" w:sz="0" w:space="0" w:color="auto"/>
          </w:divBdr>
        </w:div>
        <w:div w:id="1658070379">
          <w:marLeft w:val="640"/>
          <w:marRight w:val="0"/>
          <w:marTop w:val="0"/>
          <w:marBottom w:val="0"/>
          <w:divBdr>
            <w:top w:val="none" w:sz="0" w:space="0" w:color="auto"/>
            <w:left w:val="none" w:sz="0" w:space="0" w:color="auto"/>
            <w:bottom w:val="none" w:sz="0" w:space="0" w:color="auto"/>
            <w:right w:val="none" w:sz="0" w:space="0" w:color="auto"/>
          </w:divBdr>
        </w:div>
        <w:div w:id="3439605">
          <w:marLeft w:val="640"/>
          <w:marRight w:val="0"/>
          <w:marTop w:val="0"/>
          <w:marBottom w:val="0"/>
          <w:divBdr>
            <w:top w:val="none" w:sz="0" w:space="0" w:color="auto"/>
            <w:left w:val="none" w:sz="0" w:space="0" w:color="auto"/>
            <w:bottom w:val="none" w:sz="0" w:space="0" w:color="auto"/>
            <w:right w:val="none" w:sz="0" w:space="0" w:color="auto"/>
          </w:divBdr>
        </w:div>
        <w:div w:id="372582915">
          <w:marLeft w:val="640"/>
          <w:marRight w:val="0"/>
          <w:marTop w:val="0"/>
          <w:marBottom w:val="0"/>
          <w:divBdr>
            <w:top w:val="none" w:sz="0" w:space="0" w:color="auto"/>
            <w:left w:val="none" w:sz="0" w:space="0" w:color="auto"/>
            <w:bottom w:val="none" w:sz="0" w:space="0" w:color="auto"/>
            <w:right w:val="none" w:sz="0" w:space="0" w:color="auto"/>
          </w:divBdr>
        </w:div>
        <w:div w:id="1330448344">
          <w:marLeft w:val="640"/>
          <w:marRight w:val="0"/>
          <w:marTop w:val="0"/>
          <w:marBottom w:val="0"/>
          <w:divBdr>
            <w:top w:val="none" w:sz="0" w:space="0" w:color="auto"/>
            <w:left w:val="none" w:sz="0" w:space="0" w:color="auto"/>
            <w:bottom w:val="none" w:sz="0" w:space="0" w:color="auto"/>
            <w:right w:val="none" w:sz="0" w:space="0" w:color="auto"/>
          </w:divBdr>
        </w:div>
        <w:div w:id="2014338424">
          <w:marLeft w:val="640"/>
          <w:marRight w:val="0"/>
          <w:marTop w:val="0"/>
          <w:marBottom w:val="0"/>
          <w:divBdr>
            <w:top w:val="none" w:sz="0" w:space="0" w:color="auto"/>
            <w:left w:val="none" w:sz="0" w:space="0" w:color="auto"/>
            <w:bottom w:val="none" w:sz="0" w:space="0" w:color="auto"/>
            <w:right w:val="none" w:sz="0" w:space="0" w:color="auto"/>
          </w:divBdr>
        </w:div>
        <w:div w:id="1990868102">
          <w:marLeft w:val="640"/>
          <w:marRight w:val="0"/>
          <w:marTop w:val="0"/>
          <w:marBottom w:val="0"/>
          <w:divBdr>
            <w:top w:val="none" w:sz="0" w:space="0" w:color="auto"/>
            <w:left w:val="none" w:sz="0" w:space="0" w:color="auto"/>
            <w:bottom w:val="none" w:sz="0" w:space="0" w:color="auto"/>
            <w:right w:val="none" w:sz="0" w:space="0" w:color="auto"/>
          </w:divBdr>
        </w:div>
        <w:div w:id="1757898879">
          <w:marLeft w:val="640"/>
          <w:marRight w:val="0"/>
          <w:marTop w:val="0"/>
          <w:marBottom w:val="0"/>
          <w:divBdr>
            <w:top w:val="none" w:sz="0" w:space="0" w:color="auto"/>
            <w:left w:val="none" w:sz="0" w:space="0" w:color="auto"/>
            <w:bottom w:val="none" w:sz="0" w:space="0" w:color="auto"/>
            <w:right w:val="none" w:sz="0" w:space="0" w:color="auto"/>
          </w:divBdr>
        </w:div>
        <w:div w:id="1695769213">
          <w:marLeft w:val="640"/>
          <w:marRight w:val="0"/>
          <w:marTop w:val="0"/>
          <w:marBottom w:val="0"/>
          <w:divBdr>
            <w:top w:val="none" w:sz="0" w:space="0" w:color="auto"/>
            <w:left w:val="none" w:sz="0" w:space="0" w:color="auto"/>
            <w:bottom w:val="none" w:sz="0" w:space="0" w:color="auto"/>
            <w:right w:val="none" w:sz="0" w:space="0" w:color="auto"/>
          </w:divBdr>
        </w:div>
        <w:div w:id="1743218639">
          <w:marLeft w:val="640"/>
          <w:marRight w:val="0"/>
          <w:marTop w:val="0"/>
          <w:marBottom w:val="0"/>
          <w:divBdr>
            <w:top w:val="none" w:sz="0" w:space="0" w:color="auto"/>
            <w:left w:val="none" w:sz="0" w:space="0" w:color="auto"/>
            <w:bottom w:val="none" w:sz="0" w:space="0" w:color="auto"/>
            <w:right w:val="none" w:sz="0" w:space="0" w:color="auto"/>
          </w:divBdr>
        </w:div>
        <w:div w:id="649753699">
          <w:marLeft w:val="640"/>
          <w:marRight w:val="0"/>
          <w:marTop w:val="0"/>
          <w:marBottom w:val="0"/>
          <w:divBdr>
            <w:top w:val="none" w:sz="0" w:space="0" w:color="auto"/>
            <w:left w:val="none" w:sz="0" w:space="0" w:color="auto"/>
            <w:bottom w:val="none" w:sz="0" w:space="0" w:color="auto"/>
            <w:right w:val="none" w:sz="0" w:space="0" w:color="auto"/>
          </w:divBdr>
        </w:div>
        <w:div w:id="508762172">
          <w:marLeft w:val="640"/>
          <w:marRight w:val="0"/>
          <w:marTop w:val="0"/>
          <w:marBottom w:val="0"/>
          <w:divBdr>
            <w:top w:val="none" w:sz="0" w:space="0" w:color="auto"/>
            <w:left w:val="none" w:sz="0" w:space="0" w:color="auto"/>
            <w:bottom w:val="none" w:sz="0" w:space="0" w:color="auto"/>
            <w:right w:val="none" w:sz="0" w:space="0" w:color="auto"/>
          </w:divBdr>
        </w:div>
        <w:div w:id="1234242665">
          <w:marLeft w:val="640"/>
          <w:marRight w:val="0"/>
          <w:marTop w:val="0"/>
          <w:marBottom w:val="0"/>
          <w:divBdr>
            <w:top w:val="none" w:sz="0" w:space="0" w:color="auto"/>
            <w:left w:val="none" w:sz="0" w:space="0" w:color="auto"/>
            <w:bottom w:val="none" w:sz="0" w:space="0" w:color="auto"/>
            <w:right w:val="none" w:sz="0" w:space="0" w:color="auto"/>
          </w:divBdr>
        </w:div>
        <w:div w:id="703091102">
          <w:marLeft w:val="640"/>
          <w:marRight w:val="0"/>
          <w:marTop w:val="0"/>
          <w:marBottom w:val="0"/>
          <w:divBdr>
            <w:top w:val="none" w:sz="0" w:space="0" w:color="auto"/>
            <w:left w:val="none" w:sz="0" w:space="0" w:color="auto"/>
            <w:bottom w:val="none" w:sz="0" w:space="0" w:color="auto"/>
            <w:right w:val="none" w:sz="0" w:space="0" w:color="auto"/>
          </w:divBdr>
        </w:div>
        <w:div w:id="1094281237">
          <w:marLeft w:val="640"/>
          <w:marRight w:val="0"/>
          <w:marTop w:val="0"/>
          <w:marBottom w:val="0"/>
          <w:divBdr>
            <w:top w:val="none" w:sz="0" w:space="0" w:color="auto"/>
            <w:left w:val="none" w:sz="0" w:space="0" w:color="auto"/>
            <w:bottom w:val="none" w:sz="0" w:space="0" w:color="auto"/>
            <w:right w:val="none" w:sz="0" w:space="0" w:color="auto"/>
          </w:divBdr>
        </w:div>
        <w:div w:id="408622013">
          <w:marLeft w:val="640"/>
          <w:marRight w:val="0"/>
          <w:marTop w:val="0"/>
          <w:marBottom w:val="0"/>
          <w:divBdr>
            <w:top w:val="none" w:sz="0" w:space="0" w:color="auto"/>
            <w:left w:val="none" w:sz="0" w:space="0" w:color="auto"/>
            <w:bottom w:val="none" w:sz="0" w:space="0" w:color="auto"/>
            <w:right w:val="none" w:sz="0" w:space="0" w:color="auto"/>
          </w:divBdr>
        </w:div>
        <w:div w:id="929312624">
          <w:marLeft w:val="640"/>
          <w:marRight w:val="0"/>
          <w:marTop w:val="0"/>
          <w:marBottom w:val="0"/>
          <w:divBdr>
            <w:top w:val="none" w:sz="0" w:space="0" w:color="auto"/>
            <w:left w:val="none" w:sz="0" w:space="0" w:color="auto"/>
            <w:bottom w:val="none" w:sz="0" w:space="0" w:color="auto"/>
            <w:right w:val="none" w:sz="0" w:space="0" w:color="auto"/>
          </w:divBdr>
        </w:div>
        <w:div w:id="1832022038">
          <w:marLeft w:val="640"/>
          <w:marRight w:val="0"/>
          <w:marTop w:val="0"/>
          <w:marBottom w:val="0"/>
          <w:divBdr>
            <w:top w:val="none" w:sz="0" w:space="0" w:color="auto"/>
            <w:left w:val="none" w:sz="0" w:space="0" w:color="auto"/>
            <w:bottom w:val="none" w:sz="0" w:space="0" w:color="auto"/>
            <w:right w:val="none" w:sz="0" w:space="0" w:color="auto"/>
          </w:divBdr>
        </w:div>
        <w:div w:id="586578483">
          <w:marLeft w:val="640"/>
          <w:marRight w:val="0"/>
          <w:marTop w:val="0"/>
          <w:marBottom w:val="0"/>
          <w:divBdr>
            <w:top w:val="none" w:sz="0" w:space="0" w:color="auto"/>
            <w:left w:val="none" w:sz="0" w:space="0" w:color="auto"/>
            <w:bottom w:val="none" w:sz="0" w:space="0" w:color="auto"/>
            <w:right w:val="none" w:sz="0" w:space="0" w:color="auto"/>
          </w:divBdr>
        </w:div>
        <w:div w:id="495458848">
          <w:marLeft w:val="640"/>
          <w:marRight w:val="0"/>
          <w:marTop w:val="0"/>
          <w:marBottom w:val="0"/>
          <w:divBdr>
            <w:top w:val="none" w:sz="0" w:space="0" w:color="auto"/>
            <w:left w:val="none" w:sz="0" w:space="0" w:color="auto"/>
            <w:bottom w:val="none" w:sz="0" w:space="0" w:color="auto"/>
            <w:right w:val="none" w:sz="0" w:space="0" w:color="auto"/>
          </w:divBdr>
        </w:div>
        <w:div w:id="1335110900">
          <w:marLeft w:val="640"/>
          <w:marRight w:val="0"/>
          <w:marTop w:val="0"/>
          <w:marBottom w:val="0"/>
          <w:divBdr>
            <w:top w:val="none" w:sz="0" w:space="0" w:color="auto"/>
            <w:left w:val="none" w:sz="0" w:space="0" w:color="auto"/>
            <w:bottom w:val="none" w:sz="0" w:space="0" w:color="auto"/>
            <w:right w:val="none" w:sz="0" w:space="0" w:color="auto"/>
          </w:divBdr>
        </w:div>
        <w:div w:id="260648686">
          <w:marLeft w:val="640"/>
          <w:marRight w:val="0"/>
          <w:marTop w:val="0"/>
          <w:marBottom w:val="0"/>
          <w:divBdr>
            <w:top w:val="none" w:sz="0" w:space="0" w:color="auto"/>
            <w:left w:val="none" w:sz="0" w:space="0" w:color="auto"/>
            <w:bottom w:val="none" w:sz="0" w:space="0" w:color="auto"/>
            <w:right w:val="none" w:sz="0" w:space="0" w:color="auto"/>
          </w:divBdr>
        </w:div>
        <w:div w:id="2016297116">
          <w:marLeft w:val="640"/>
          <w:marRight w:val="0"/>
          <w:marTop w:val="0"/>
          <w:marBottom w:val="0"/>
          <w:divBdr>
            <w:top w:val="none" w:sz="0" w:space="0" w:color="auto"/>
            <w:left w:val="none" w:sz="0" w:space="0" w:color="auto"/>
            <w:bottom w:val="none" w:sz="0" w:space="0" w:color="auto"/>
            <w:right w:val="none" w:sz="0" w:space="0" w:color="auto"/>
          </w:divBdr>
        </w:div>
        <w:div w:id="792215589">
          <w:marLeft w:val="640"/>
          <w:marRight w:val="0"/>
          <w:marTop w:val="0"/>
          <w:marBottom w:val="0"/>
          <w:divBdr>
            <w:top w:val="none" w:sz="0" w:space="0" w:color="auto"/>
            <w:left w:val="none" w:sz="0" w:space="0" w:color="auto"/>
            <w:bottom w:val="none" w:sz="0" w:space="0" w:color="auto"/>
            <w:right w:val="none" w:sz="0" w:space="0" w:color="auto"/>
          </w:divBdr>
        </w:div>
        <w:div w:id="1536426713">
          <w:marLeft w:val="640"/>
          <w:marRight w:val="0"/>
          <w:marTop w:val="0"/>
          <w:marBottom w:val="0"/>
          <w:divBdr>
            <w:top w:val="none" w:sz="0" w:space="0" w:color="auto"/>
            <w:left w:val="none" w:sz="0" w:space="0" w:color="auto"/>
            <w:bottom w:val="none" w:sz="0" w:space="0" w:color="auto"/>
            <w:right w:val="none" w:sz="0" w:space="0" w:color="auto"/>
          </w:divBdr>
        </w:div>
        <w:div w:id="933786015">
          <w:marLeft w:val="640"/>
          <w:marRight w:val="0"/>
          <w:marTop w:val="0"/>
          <w:marBottom w:val="0"/>
          <w:divBdr>
            <w:top w:val="none" w:sz="0" w:space="0" w:color="auto"/>
            <w:left w:val="none" w:sz="0" w:space="0" w:color="auto"/>
            <w:bottom w:val="none" w:sz="0" w:space="0" w:color="auto"/>
            <w:right w:val="none" w:sz="0" w:space="0" w:color="auto"/>
          </w:divBdr>
        </w:div>
        <w:div w:id="212891154">
          <w:marLeft w:val="640"/>
          <w:marRight w:val="0"/>
          <w:marTop w:val="0"/>
          <w:marBottom w:val="0"/>
          <w:divBdr>
            <w:top w:val="none" w:sz="0" w:space="0" w:color="auto"/>
            <w:left w:val="none" w:sz="0" w:space="0" w:color="auto"/>
            <w:bottom w:val="none" w:sz="0" w:space="0" w:color="auto"/>
            <w:right w:val="none" w:sz="0" w:space="0" w:color="auto"/>
          </w:divBdr>
        </w:div>
        <w:div w:id="757213962">
          <w:marLeft w:val="640"/>
          <w:marRight w:val="0"/>
          <w:marTop w:val="0"/>
          <w:marBottom w:val="0"/>
          <w:divBdr>
            <w:top w:val="none" w:sz="0" w:space="0" w:color="auto"/>
            <w:left w:val="none" w:sz="0" w:space="0" w:color="auto"/>
            <w:bottom w:val="none" w:sz="0" w:space="0" w:color="auto"/>
            <w:right w:val="none" w:sz="0" w:space="0" w:color="auto"/>
          </w:divBdr>
        </w:div>
        <w:div w:id="1026906785">
          <w:marLeft w:val="640"/>
          <w:marRight w:val="0"/>
          <w:marTop w:val="0"/>
          <w:marBottom w:val="0"/>
          <w:divBdr>
            <w:top w:val="none" w:sz="0" w:space="0" w:color="auto"/>
            <w:left w:val="none" w:sz="0" w:space="0" w:color="auto"/>
            <w:bottom w:val="none" w:sz="0" w:space="0" w:color="auto"/>
            <w:right w:val="none" w:sz="0" w:space="0" w:color="auto"/>
          </w:divBdr>
        </w:div>
        <w:div w:id="1973366201">
          <w:marLeft w:val="640"/>
          <w:marRight w:val="0"/>
          <w:marTop w:val="0"/>
          <w:marBottom w:val="0"/>
          <w:divBdr>
            <w:top w:val="none" w:sz="0" w:space="0" w:color="auto"/>
            <w:left w:val="none" w:sz="0" w:space="0" w:color="auto"/>
            <w:bottom w:val="none" w:sz="0" w:space="0" w:color="auto"/>
            <w:right w:val="none" w:sz="0" w:space="0" w:color="auto"/>
          </w:divBdr>
        </w:div>
        <w:div w:id="513541894">
          <w:marLeft w:val="640"/>
          <w:marRight w:val="0"/>
          <w:marTop w:val="0"/>
          <w:marBottom w:val="0"/>
          <w:divBdr>
            <w:top w:val="none" w:sz="0" w:space="0" w:color="auto"/>
            <w:left w:val="none" w:sz="0" w:space="0" w:color="auto"/>
            <w:bottom w:val="none" w:sz="0" w:space="0" w:color="auto"/>
            <w:right w:val="none" w:sz="0" w:space="0" w:color="auto"/>
          </w:divBdr>
        </w:div>
        <w:div w:id="151871555">
          <w:marLeft w:val="640"/>
          <w:marRight w:val="0"/>
          <w:marTop w:val="0"/>
          <w:marBottom w:val="0"/>
          <w:divBdr>
            <w:top w:val="none" w:sz="0" w:space="0" w:color="auto"/>
            <w:left w:val="none" w:sz="0" w:space="0" w:color="auto"/>
            <w:bottom w:val="none" w:sz="0" w:space="0" w:color="auto"/>
            <w:right w:val="none" w:sz="0" w:space="0" w:color="auto"/>
          </w:divBdr>
        </w:div>
        <w:div w:id="229578580">
          <w:marLeft w:val="640"/>
          <w:marRight w:val="0"/>
          <w:marTop w:val="0"/>
          <w:marBottom w:val="0"/>
          <w:divBdr>
            <w:top w:val="none" w:sz="0" w:space="0" w:color="auto"/>
            <w:left w:val="none" w:sz="0" w:space="0" w:color="auto"/>
            <w:bottom w:val="none" w:sz="0" w:space="0" w:color="auto"/>
            <w:right w:val="none" w:sz="0" w:space="0" w:color="auto"/>
          </w:divBdr>
        </w:div>
        <w:div w:id="138891122">
          <w:marLeft w:val="640"/>
          <w:marRight w:val="0"/>
          <w:marTop w:val="0"/>
          <w:marBottom w:val="0"/>
          <w:divBdr>
            <w:top w:val="none" w:sz="0" w:space="0" w:color="auto"/>
            <w:left w:val="none" w:sz="0" w:space="0" w:color="auto"/>
            <w:bottom w:val="none" w:sz="0" w:space="0" w:color="auto"/>
            <w:right w:val="none" w:sz="0" w:space="0" w:color="auto"/>
          </w:divBdr>
        </w:div>
        <w:div w:id="1462117167">
          <w:marLeft w:val="640"/>
          <w:marRight w:val="0"/>
          <w:marTop w:val="0"/>
          <w:marBottom w:val="0"/>
          <w:divBdr>
            <w:top w:val="none" w:sz="0" w:space="0" w:color="auto"/>
            <w:left w:val="none" w:sz="0" w:space="0" w:color="auto"/>
            <w:bottom w:val="none" w:sz="0" w:space="0" w:color="auto"/>
            <w:right w:val="none" w:sz="0" w:space="0" w:color="auto"/>
          </w:divBdr>
        </w:div>
        <w:div w:id="1244994372">
          <w:marLeft w:val="640"/>
          <w:marRight w:val="0"/>
          <w:marTop w:val="0"/>
          <w:marBottom w:val="0"/>
          <w:divBdr>
            <w:top w:val="none" w:sz="0" w:space="0" w:color="auto"/>
            <w:left w:val="none" w:sz="0" w:space="0" w:color="auto"/>
            <w:bottom w:val="none" w:sz="0" w:space="0" w:color="auto"/>
            <w:right w:val="none" w:sz="0" w:space="0" w:color="auto"/>
          </w:divBdr>
        </w:div>
      </w:divsChild>
    </w:div>
    <w:div w:id="345450911">
      <w:bodyDiv w:val="1"/>
      <w:marLeft w:val="0"/>
      <w:marRight w:val="0"/>
      <w:marTop w:val="0"/>
      <w:marBottom w:val="0"/>
      <w:divBdr>
        <w:top w:val="none" w:sz="0" w:space="0" w:color="auto"/>
        <w:left w:val="none" w:sz="0" w:space="0" w:color="auto"/>
        <w:bottom w:val="none" w:sz="0" w:space="0" w:color="auto"/>
        <w:right w:val="none" w:sz="0" w:space="0" w:color="auto"/>
      </w:divBdr>
    </w:div>
    <w:div w:id="347758416">
      <w:bodyDiv w:val="1"/>
      <w:marLeft w:val="0"/>
      <w:marRight w:val="0"/>
      <w:marTop w:val="0"/>
      <w:marBottom w:val="0"/>
      <w:divBdr>
        <w:top w:val="none" w:sz="0" w:space="0" w:color="auto"/>
        <w:left w:val="none" w:sz="0" w:space="0" w:color="auto"/>
        <w:bottom w:val="none" w:sz="0" w:space="0" w:color="auto"/>
        <w:right w:val="none" w:sz="0" w:space="0" w:color="auto"/>
      </w:divBdr>
    </w:div>
    <w:div w:id="350112919">
      <w:bodyDiv w:val="1"/>
      <w:marLeft w:val="0"/>
      <w:marRight w:val="0"/>
      <w:marTop w:val="0"/>
      <w:marBottom w:val="0"/>
      <w:divBdr>
        <w:top w:val="none" w:sz="0" w:space="0" w:color="auto"/>
        <w:left w:val="none" w:sz="0" w:space="0" w:color="auto"/>
        <w:bottom w:val="none" w:sz="0" w:space="0" w:color="auto"/>
        <w:right w:val="none" w:sz="0" w:space="0" w:color="auto"/>
      </w:divBdr>
    </w:div>
    <w:div w:id="350183448">
      <w:bodyDiv w:val="1"/>
      <w:marLeft w:val="0"/>
      <w:marRight w:val="0"/>
      <w:marTop w:val="0"/>
      <w:marBottom w:val="0"/>
      <w:divBdr>
        <w:top w:val="none" w:sz="0" w:space="0" w:color="auto"/>
        <w:left w:val="none" w:sz="0" w:space="0" w:color="auto"/>
        <w:bottom w:val="none" w:sz="0" w:space="0" w:color="auto"/>
        <w:right w:val="none" w:sz="0" w:space="0" w:color="auto"/>
      </w:divBdr>
    </w:div>
    <w:div w:id="350494954">
      <w:bodyDiv w:val="1"/>
      <w:marLeft w:val="0"/>
      <w:marRight w:val="0"/>
      <w:marTop w:val="0"/>
      <w:marBottom w:val="0"/>
      <w:divBdr>
        <w:top w:val="none" w:sz="0" w:space="0" w:color="auto"/>
        <w:left w:val="none" w:sz="0" w:space="0" w:color="auto"/>
        <w:bottom w:val="none" w:sz="0" w:space="0" w:color="auto"/>
        <w:right w:val="none" w:sz="0" w:space="0" w:color="auto"/>
      </w:divBdr>
    </w:div>
    <w:div w:id="366874493">
      <w:bodyDiv w:val="1"/>
      <w:marLeft w:val="0"/>
      <w:marRight w:val="0"/>
      <w:marTop w:val="0"/>
      <w:marBottom w:val="0"/>
      <w:divBdr>
        <w:top w:val="none" w:sz="0" w:space="0" w:color="auto"/>
        <w:left w:val="none" w:sz="0" w:space="0" w:color="auto"/>
        <w:bottom w:val="none" w:sz="0" w:space="0" w:color="auto"/>
        <w:right w:val="none" w:sz="0" w:space="0" w:color="auto"/>
      </w:divBdr>
    </w:div>
    <w:div w:id="370689417">
      <w:bodyDiv w:val="1"/>
      <w:marLeft w:val="0"/>
      <w:marRight w:val="0"/>
      <w:marTop w:val="0"/>
      <w:marBottom w:val="0"/>
      <w:divBdr>
        <w:top w:val="none" w:sz="0" w:space="0" w:color="auto"/>
        <w:left w:val="none" w:sz="0" w:space="0" w:color="auto"/>
        <w:bottom w:val="none" w:sz="0" w:space="0" w:color="auto"/>
        <w:right w:val="none" w:sz="0" w:space="0" w:color="auto"/>
      </w:divBdr>
    </w:div>
    <w:div w:id="372578522">
      <w:bodyDiv w:val="1"/>
      <w:marLeft w:val="0"/>
      <w:marRight w:val="0"/>
      <w:marTop w:val="0"/>
      <w:marBottom w:val="0"/>
      <w:divBdr>
        <w:top w:val="none" w:sz="0" w:space="0" w:color="auto"/>
        <w:left w:val="none" w:sz="0" w:space="0" w:color="auto"/>
        <w:bottom w:val="none" w:sz="0" w:space="0" w:color="auto"/>
        <w:right w:val="none" w:sz="0" w:space="0" w:color="auto"/>
      </w:divBdr>
    </w:div>
    <w:div w:id="375667969">
      <w:bodyDiv w:val="1"/>
      <w:marLeft w:val="0"/>
      <w:marRight w:val="0"/>
      <w:marTop w:val="0"/>
      <w:marBottom w:val="0"/>
      <w:divBdr>
        <w:top w:val="none" w:sz="0" w:space="0" w:color="auto"/>
        <w:left w:val="none" w:sz="0" w:space="0" w:color="auto"/>
        <w:bottom w:val="none" w:sz="0" w:space="0" w:color="auto"/>
        <w:right w:val="none" w:sz="0" w:space="0" w:color="auto"/>
      </w:divBdr>
    </w:div>
    <w:div w:id="378209380">
      <w:bodyDiv w:val="1"/>
      <w:marLeft w:val="0"/>
      <w:marRight w:val="0"/>
      <w:marTop w:val="0"/>
      <w:marBottom w:val="0"/>
      <w:divBdr>
        <w:top w:val="none" w:sz="0" w:space="0" w:color="auto"/>
        <w:left w:val="none" w:sz="0" w:space="0" w:color="auto"/>
        <w:bottom w:val="none" w:sz="0" w:space="0" w:color="auto"/>
        <w:right w:val="none" w:sz="0" w:space="0" w:color="auto"/>
      </w:divBdr>
    </w:div>
    <w:div w:id="381444593">
      <w:bodyDiv w:val="1"/>
      <w:marLeft w:val="0"/>
      <w:marRight w:val="0"/>
      <w:marTop w:val="0"/>
      <w:marBottom w:val="0"/>
      <w:divBdr>
        <w:top w:val="none" w:sz="0" w:space="0" w:color="auto"/>
        <w:left w:val="none" w:sz="0" w:space="0" w:color="auto"/>
        <w:bottom w:val="none" w:sz="0" w:space="0" w:color="auto"/>
        <w:right w:val="none" w:sz="0" w:space="0" w:color="auto"/>
      </w:divBdr>
    </w:div>
    <w:div w:id="381908115">
      <w:bodyDiv w:val="1"/>
      <w:marLeft w:val="0"/>
      <w:marRight w:val="0"/>
      <w:marTop w:val="0"/>
      <w:marBottom w:val="0"/>
      <w:divBdr>
        <w:top w:val="none" w:sz="0" w:space="0" w:color="auto"/>
        <w:left w:val="none" w:sz="0" w:space="0" w:color="auto"/>
        <w:bottom w:val="none" w:sz="0" w:space="0" w:color="auto"/>
        <w:right w:val="none" w:sz="0" w:space="0" w:color="auto"/>
      </w:divBdr>
    </w:div>
    <w:div w:id="382489682">
      <w:bodyDiv w:val="1"/>
      <w:marLeft w:val="0"/>
      <w:marRight w:val="0"/>
      <w:marTop w:val="0"/>
      <w:marBottom w:val="0"/>
      <w:divBdr>
        <w:top w:val="none" w:sz="0" w:space="0" w:color="auto"/>
        <w:left w:val="none" w:sz="0" w:space="0" w:color="auto"/>
        <w:bottom w:val="none" w:sz="0" w:space="0" w:color="auto"/>
        <w:right w:val="none" w:sz="0" w:space="0" w:color="auto"/>
      </w:divBdr>
    </w:div>
    <w:div w:id="383874691">
      <w:bodyDiv w:val="1"/>
      <w:marLeft w:val="0"/>
      <w:marRight w:val="0"/>
      <w:marTop w:val="0"/>
      <w:marBottom w:val="0"/>
      <w:divBdr>
        <w:top w:val="none" w:sz="0" w:space="0" w:color="auto"/>
        <w:left w:val="none" w:sz="0" w:space="0" w:color="auto"/>
        <w:bottom w:val="none" w:sz="0" w:space="0" w:color="auto"/>
        <w:right w:val="none" w:sz="0" w:space="0" w:color="auto"/>
      </w:divBdr>
      <w:divsChild>
        <w:div w:id="1364861501">
          <w:marLeft w:val="480"/>
          <w:marRight w:val="0"/>
          <w:marTop w:val="0"/>
          <w:marBottom w:val="0"/>
          <w:divBdr>
            <w:top w:val="none" w:sz="0" w:space="0" w:color="auto"/>
            <w:left w:val="none" w:sz="0" w:space="0" w:color="auto"/>
            <w:bottom w:val="none" w:sz="0" w:space="0" w:color="auto"/>
            <w:right w:val="none" w:sz="0" w:space="0" w:color="auto"/>
          </w:divBdr>
        </w:div>
        <w:div w:id="2112621327">
          <w:marLeft w:val="480"/>
          <w:marRight w:val="0"/>
          <w:marTop w:val="0"/>
          <w:marBottom w:val="0"/>
          <w:divBdr>
            <w:top w:val="none" w:sz="0" w:space="0" w:color="auto"/>
            <w:left w:val="none" w:sz="0" w:space="0" w:color="auto"/>
            <w:bottom w:val="none" w:sz="0" w:space="0" w:color="auto"/>
            <w:right w:val="none" w:sz="0" w:space="0" w:color="auto"/>
          </w:divBdr>
        </w:div>
        <w:div w:id="1298300618">
          <w:marLeft w:val="480"/>
          <w:marRight w:val="0"/>
          <w:marTop w:val="0"/>
          <w:marBottom w:val="0"/>
          <w:divBdr>
            <w:top w:val="none" w:sz="0" w:space="0" w:color="auto"/>
            <w:left w:val="none" w:sz="0" w:space="0" w:color="auto"/>
            <w:bottom w:val="none" w:sz="0" w:space="0" w:color="auto"/>
            <w:right w:val="none" w:sz="0" w:space="0" w:color="auto"/>
          </w:divBdr>
        </w:div>
        <w:div w:id="1120802098">
          <w:marLeft w:val="480"/>
          <w:marRight w:val="0"/>
          <w:marTop w:val="0"/>
          <w:marBottom w:val="0"/>
          <w:divBdr>
            <w:top w:val="none" w:sz="0" w:space="0" w:color="auto"/>
            <w:left w:val="none" w:sz="0" w:space="0" w:color="auto"/>
            <w:bottom w:val="none" w:sz="0" w:space="0" w:color="auto"/>
            <w:right w:val="none" w:sz="0" w:space="0" w:color="auto"/>
          </w:divBdr>
        </w:div>
        <w:div w:id="790436786">
          <w:marLeft w:val="480"/>
          <w:marRight w:val="0"/>
          <w:marTop w:val="0"/>
          <w:marBottom w:val="0"/>
          <w:divBdr>
            <w:top w:val="none" w:sz="0" w:space="0" w:color="auto"/>
            <w:left w:val="none" w:sz="0" w:space="0" w:color="auto"/>
            <w:bottom w:val="none" w:sz="0" w:space="0" w:color="auto"/>
            <w:right w:val="none" w:sz="0" w:space="0" w:color="auto"/>
          </w:divBdr>
        </w:div>
        <w:div w:id="102311946">
          <w:marLeft w:val="480"/>
          <w:marRight w:val="0"/>
          <w:marTop w:val="0"/>
          <w:marBottom w:val="0"/>
          <w:divBdr>
            <w:top w:val="none" w:sz="0" w:space="0" w:color="auto"/>
            <w:left w:val="none" w:sz="0" w:space="0" w:color="auto"/>
            <w:bottom w:val="none" w:sz="0" w:space="0" w:color="auto"/>
            <w:right w:val="none" w:sz="0" w:space="0" w:color="auto"/>
          </w:divBdr>
        </w:div>
        <w:div w:id="541013803">
          <w:marLeft w:val="480"/>
          <w:marRight w:val="0"/>
          <w:marTop w:val="0"/>
          <w:marBottom w:val="0"/>
          <w:divBdr>
            <w:top w:val="none" w:sz="0" w:space="0" w:color="auto"/>
            <w:left w:val="none" w:sz="0" w:space="0" w:color="auto"/>
            <w:bottom w:val="none" w:sz="0" w:space="0" w:color="auto"/>
            <w:right w:val="none" w:sz="0" w:space="0" w:color="auto"/>
          </w:divBdr>
        </w:div>
        <w:div w:id="291978932">
          <w:marLeft w:val="480"/>
          <w:marRight w:val="0"/>
          <w:marTop w:val="0"/>
          <w:marBottom w:val="0"/>
          <w:divBdr>
            <w:top w:val="none" w:sz="0" w:space="0" w:color="auto"/>
            <w:left w:val="none" w:sz="0" w:space="0" w:color="auto"/>
            <w:bottom w:val="none" w:sz="0" w:space="0" w:color="auto"/>
            <w:right w:val="none" w:sz="0" w:space="0" w:color="auto"/>
          </w:divBdr>
        </w:div>
        <w:div w:id="255749777">
          <w:marLeft w:val="480"/>
          <w:marRight w:val="0"/>
          <w:marTop w:val="0"/>
          <w:marBottom w:val="0"/>
          <w:divBdr>
            <w:top w:val="none" w:sz="0" w:space="0" w:color="auto"/>
            <w:left w:val="none" w:sz="0" w:space="0" w:color="auto"/>
            <w:bottom w:val="none" w:sz="0" w:space="0" w:color="auto"/>
            <w:right w:val="none" w:sz="0" w:space="0" w:color="auto"/>
          </w:divBdr>
        </w:div>
        <w:div w:id="1706128028">
          <w:marLeft w:val="480"/>
          <w:marRight w:val="0"/>
          <w:marTop w:val="0"/>
          <w:marBottom w:val="0"/>
          <w:divBdr>
            <w:top w:val="none" w:sz="0" w:space="0" w:color="auto"/>
            <w:left w:val="none" w:sz="0" w:space="0" w:color="auto"/>
            <w:bottom w:val="none" w:sz="0" w:space="0" w:color="auto"/>
            <w:right w:val="none" w:sz="0" w:space="0" w:color="auto"/>
          </w:divBdr>
        </w:div>
        <w:div w:id="103382190">
          <w:marLeft w:val="480"/>
          <w:marRight w:val="0"/>
          <w:marTop w:val="0"/>
          <w:marBottom w:val="0"/>
          <w:divBdr>
            <w:top w:val="none" w:sz="0" w:space="0" w:color="auto"/>
            <w:left w:val="none" w:sz="0" w:space="0" w:color="auto"/>
            <w:bottom w:val="none" w:sz="0" w:space="0" w:color="auto"/>
            <w:right w:val="none" w:sz="0" w:space="0" w:color="auto"/>
          </w:divBdr>
        </w:div>
        <w:div w:id="1241527472">
          <w:marLeft w:val="480"/>
          <w:marRight w:val="0"/>
          <w:marTop w:val="0"/>
          <w:marBottom w:val="0"/>
          <w:divBdr>
            <w:top w:val="none" w:sz="0" w:space="0" w:color="auto"/>
            <w:left w:val="none" w:sz="0" w:space="0" w:color="auto"/>
            <w:bottom w:val="none" w:sz="0" w:space="0" w:color="auto"/>
            <w:right w:val="none" w:sz="0" w:space="0" w:color="auto"/>
          </w:divBdr>
        </w:div>
        <w:div w:id="1400637482">
          <w:marLeft w:val="480"/>
          <w:marRight w:val="0"/>
          <w:marTop w:val="0"/>
          <w:marBottom w:val="0"/>
          <w:divBdr>
            <w:top w:val="none" w:sz="0" w:space="0" w:color="auto"/>
            <w:left w:val="none" w:sz="0" w:space="0" w:color="auto"/>
            <w:bottom w:val="none" w:sz="0" w:space="0" w:color="auto"/>
            <w:right w:val="none" w:sz="0" w:space="0" w:color="auto"/>
          </w:divBdr>
        </w:div>
        <w:div w:id="1047685689">
          <w:marLeft w:val="480"/>
          <w:marRight w:val="0"/>
          <w:marTop w:val="0"/>
          <w:marBottom w:val="0"/>
          <w:divBdr>
            <w:top w:val="none" w:sz="0" w:space="0" w:color="auto"/>
            <w:left w:val="none" w:sz="0" w:space="0" w:color="auto"/>
            <w:bottom w:val="none" w:sz="0" w:space="0" w:color="auto"/>
            <w:right w:val="none" w:sz="0" w:space="0" w:color="auto"/>
          </w:divBdr>
        </w:div>
        <w:div w:id="941297592">
          <w:marLeft w:val="480"/>
          <w:marRight w:val="0"/>
          <w:marTop w:val="0"/>
          <w:marBottom w:val="0"/>
          <w:divBdr>
            <w:top w:val="none" w:sz="0" w:space="0" w:color="auto"/>
            <w:left w:val="none" w:sz="0" w:space="0" w:color="auto"/>
            <w:bottom w:val="none" w:sz="0" w:space="0" w:color="auto"/>
            <w:right w:val="none" w:sz="0" w:space="0" w:color="auto"/>
          </w:divBdr>
        </w:div>
        <w:div w:id="29959459">
          <w:marLeft w:val="480"/>
          <w:marRight w:val="0"/>
          <w:marTop w:val="0"/>
          <w:marBottom w:val="0"/>
          <w:divBdr>
            <w:top w:val="none" w:sz="0" w:space="0" w:color="auto"/>
            <w:left w:val="none" w:sz="0" w:space="0" w:color="auto"/>
            <w:bottom w:val="none" w:sz="0" w:space="0" w:color="auto"/>
            <w:right w:val="none" w:sz="0" w:space="0" w:color="auto"/>
          </w:divBdr>
        </w:div>
        <w:div w:id="1371227943">
          <w:marLeft w:val="480"/>
          <w:marRight w:val="0"/>
          <w:marTop w:val="0"/>
          <w:marBottom w:val="0"/>
          <w:divBdr>
            <w:top w:val="none" w:sz="0" w:space="0" w:color="auto"/>
            <w:left w:val="none" w:sz="0" w:space="0" w:color="auto"/>
            <w:bottom w:val="none" w:sz="0" w:space="0" w:color="auto"/>
            <w:right w:val="none" w:sz="0" w:space="0" w:color="auto"/>
          </w:divBdr>
        </w:div>
        <w:div w:id="919022885">
          <w:marLeft w:val="480"/>
          <w:marRight w:val="0"/>
          <w:marTop w:val="0"/>
          <w:marBottom w:val="0"/>
          <w:divBdr>
            <w:top w:val="none" w:sz="0" w:space="0" w:color="auto"/>
            <w:left w:val="none" w:sz="0" w:space="0" w:color="auto"/>
            <w:bottom w:val="none" w:sz="0" w:space="0" w:color="auto"/>
            <w:right w:val="none" w:sz="0" w:space="0" w:color="auto"/>
          </w:divBdr>
        </w:div>
        <w:div w:id="64308220">
          <w:marLeft w:val="480"/>
          <w:marRight w:val="0"/>
          <w:marTop w:val="0"/>
          <w:marBottom w:val="0"/>
          <w:divBdr>
            <w:top w:val="none" w:sz="0" w:space="0" w:color="auto"/>
            <w:left w:val="none" w:sz="0" w:space="0" w:color="auto"/>
            <w:bottom w:val="none" w:sz="0" w:space="0" w:color="auto"/>
            <w:right w:val="none" w:sz="0" w:space="0" w:color="auto"/>
          </w:divBdr>
        </w:div>
        <w:div w:id="929704874">
          <w:marLeft w:val="480"/>
          <w:marRight w:val="0"/>
          <w:marTop w:val="0"/>
          <w:marBottom w:val="0"/>
          <w:divBdr>
            <w:top w:val="none" w:sz="0" w:space="0" w:color="auto"/>
            <w:left w:val="none" w:sz="0" w:space="0" w:color="auto"/>
            <w:bottom w:val="none" w:sz="0" w:space="0" w:color="auto"/>
            <w:right w:val="none" w:sz="0" w:space="0" w:color="auto"/>
          </w:divBdr>
        </w:div>
        <w:div w:id="1014458485">
          <w:marLeft w:val="480"/>
          <w:marRight w:val="0"/>
          <w:marTop w:val="0"/>
          <w:marBottom w:val="0"/>
          <w:divBdr>
            <w:top w:val="none" w:sz="0" w:space="0" w:color="auto"/>
            <w:left w:val="none" w:sz="0" w:space="0" w:color="auto"/>
            <w:bottom w:val="none" w:sz="0" w:space="0" w:color="auto"/>
            <w:right w:val="none" w:sz="0" w:space="0" w:color="auto"/>
          </w:divBdr>
        </w:div>
        <w:div w:id="1849322445">
          <w:marLeft w:val="480"/>
          <w:marRight w:val="0"/>
          <w:marTop w:val="0"/>
          <w:marBottom w:val="0"/>
          <w:divBdr>
            <w:top w:val="none" w:sz="0" w:space="0" w:color="auto"/>
            <w:left w:val="none" w:sz="0" w:space="0" w:color="auto"/>
            <w:bottom w:val="none" w:sz="0" w:space="0" w:color="auto"/>
            <w:right w:val="none" w:sz="0" w:space="0" w:color="auto"/>
          </w:divBdr>
        </w:div>
        <w:div w:id="948582429">
          <w:marLeft w:val="480"/>
          <w:marRight w:val="0"/>
          <w:marTop w:val="0"/>
          <w:marBottom w:val="0"/>
          <w:divBdr>
            <w:top w:val="none" w:sz="0" w:space="0" w:color="auto"/>
            <w:left w:val="none" w:sz="0" w:space="0" w:color="auto"/>
            <w:bottom w:val="none" w:sz="0" w:space="0" w:color="auto"/>
            <w:right w:val="none" w:sz="0" w:space="0" w:color="auto"/>
          </w:divBdr>
        </w:div>
        <w:div w:id="1299454492">
          <w:marLeft w:val="480"/>
          <w:marRight w:val="0"/>
          <w:marTop w:val="0"/>
          <w:marBottom w:val="0"/>
          <w:divBdr>
            <w:top w:val="none" w:sz="0" w:space="0" w:color="auto"/>
            <w:left w:val="none" w:sz="0" w:space="0" w:color="auto"/>
            <w:bottom w:val="none" w:sz="0" w:space="0" w:color="auto"/>
            <w:right w:val="none" w:sz="0" w:space="0" w:color="auto"/>
          </w:divBdr>
        </w:div>
        <w:div w:id="800802925">
          <w:marLeft w:val="480"/>
          <w:marRight w:val="0"/>
          <w:marTop w:val="0"/>
          <w:marBottom w:val="0"/>
          <w:divBdr>
            <w:top w:val="none" w:sz="0" w:space="0" w:color="auto"/>
            <w:left w:val="none" w:sz="0" w:space="0" w:color="auto"/>
            <w:bottom w:val="none" w:sz="0" w:space="0" w:color="auto"/>
            <w:right w:val="none" w:sz="0" w:space="0" w:color="auto"/>
          </w:divBdr>
        </w:div>
        <w:div w:id="648821991">
          <w:marLeft w:val="480"/>
          <w:marRight w:val="0"/>
          <w:marTop w:val="0"/>
          <w:marBottom w:val="0"/>
          <w:divBdr>
            <w:top w:val="none" w:sz="0" w:space="0" w:color="auto"/>
            <w:left w:val="none" w:sz="0" w:space="0" w:color="auto"/>
            <w:bottom w:val="none" w:sz="0" w:space="0" w:color="auto"/>
            <w:right w:val="none" w:sz="0" w:space="0" w:color="auto"/>
          </w:divBdr>
        </w:div>
        <w:div w:id="2110587570">
          <w:marLeft w:val="480"/>
          <w:marRight w:val="0"/>
          <w:marTop w:val="0"/>
          <w:marBottom w:val="0"/>
          <w:divBdr>
            <w:top w:val="none" w:sz="0" w:space="0" w:color="auto"/>
            <w:left w:val="none" w:sz="0" w:space="0" w:color="auto"/>
            <w:bottom w:val="none" w:sz="0" w:space="0" w:color="auto"/>
            <w:right w:val="none" w:sz="0" w:space="0" w:color="auto"/>
          </w:divBdr>
        </w:div>
        <w:div w:id="1875119154">
          <w:marLeft w:val="480"/>
          <w:marRight w:val="0"/>
          <w:marTop w:val="0"/>
          <w:marBottom w:val="0"/>
          <w:divBdr>
            <w:top w:val="none" w:sz="0" w:space="0" w:color="auto"/>
            <w:left w:val="none" w:sz="0" w:space="0" w:color="auto"/>
            <w:bottom w:val="none" w:sz="0" w:space="0" w:color="auto"/>
            <w:right w:val="none" w:sz="0" w:space="0" w:color="auto"/>
          </w:divBdr>
        </w:div>
        <w:div w:id="1470707530">
          <w:marLeft w:val="480"/>
          <w:marRight w:val="0"/>
          <w:marTop w:val="0"/>
          <w:marBottom w:val="0"/>
          <w:divBdr>
            <w:top w:val="none" w:sz="0" w:space="0" w:color="auto"/>
            <w:left w:val="none" w:sz="0" w:space="0" w:color="auto"/>
            <w:bottom w:val="none" w:sz="0" w:space="0" w:color="auto"/>
            <w:right w:val="none" w:sz="0" w:space="0" w:color="auto"/>
          </w:divBdr>
        </w:div>
        <w:div w:id="870194228">
          <w:marLeft w:val="480"/>
          <w:marRight w:val="0"/>
          <w:marTop w:val="0"/>
          <w:marBottom w:val="0"/>
          <w:divBdr>
            <w:top w:val="none" w:sz="0" w:space="0" w:color="auto"/>
            <w:left w:val="none" w:sz="0" w:space="0" w:color="auto"/>
            <w:bottom w:val="none" w:sz="0" w:space="0" w:color="auto"/>
            <w:right w:val="none" w:sz="0" w:space="0" w:color="auto"/>
          </w:divBdr>
        </w:div>
        <w:div w:id="342170478">
          <w:marLeft w:val="480"/>
          <w:marRight w:val="0"/>
          <w:marTop w:val="0"/>
          <w:marBottom w:val="0"/>
          <w:divBdr>
            <w:top w:val="none" w:sz="0" w:space="0" w:color="auto"/>
            <w:left w:val="none" w:sz="0" w:space="0" w:color="auto"/>
            <w:bottom w:val="none" w:sz="0" w:space="0" w:color="auto"/>
            <w:right w:val="none" w:sz="0" w:space="0" w:color="auto"/>
          </w:divBdr>
        </w:div>
        <w:div w:id="1571161674">
          <w:marLeft w:val="480"/>
          <w:marRight w:val="0"/>
          <w:marTop w:val="0"/>
          <w:marBottom w:val="0"/>
          <w:divBdr>
            <w:top w:val="none" w:sz="0" w:space="0" w:color="auto"/>
            <w:left w:val="none" w:sz="0" w:space="0" w:color="auto"/>
            <w:bottom w:val="none" w:sz="0" w:space="0" w:color="auto"/>
            <w:right w:val="none" w:sz="0" w:space="0" w:color="auto"/>
          </w:divBdr>
        </w:div>
        <w:div w:id="1611009455">
          <w:marLeft w:val="480"/>
          <w:marRight w:val="0"/>
          <w:marTop w:val="0"/>
          <w:marBottom w:val="0"/>
          <w:divBdr>
            <w:top w:val="none" w:sz="0" w:space="0" w:color="auto"/>
            <w:left w:val="none" w:sz="0" w:space="0" w:color="auto"/>
            <w:bottom w:val="none" w:sz="0" w:space="0" w:color="auto"/>
            <w:right w:val="none" w:sz="0" w:space="0" w:color="auto"/>
          </w:divBdr>
        </w:div>
        <w:div w:id="13001559">
          <w:marLeft w:val="480"/>
          <w:marRight w:val="0"/>
          <w:marTop w:val="0"/>
          <w:marBottom w:val="0"/>
          <w:divBdr>
            <w:top w:val="none" w:sz="0" w:space="0" w:color="auto"/>
            <w:left w:val="none" w:sz="0" w:space="0" w:color="auto"/>
            <w:bottom w:val="none" w:sz="0" w:space="0" w:color="auto"/>
            <w:right w:val="none" w:sz="0" w:space="0" w:color="auto"/>
          </w:divBdr>
        </w:div>
        <w:div w:id="696656797">
          <w:marLeft w:val="480"/>
          <w:marRight w:val="0"/>
          <w:marTop w:val="0"/>
          <w:marBottom w:val="0"/>
          <w:divBdr>
            <w:top w:val="none" w:sz="0" w:space="0" w:color="auto"/>
            <w:left w:val="none" w:sz="0" w:space="0" w:color="auto"/>
            <w:bottom w:val="none" w:sz="0" w:space="0" w:color="auto"/>
            <w:right w:val="none" w:sz="0" w:space="0" w:color="auto"/>
          </w:divBdr>
        </w:div>
        <w:div w:id="1465392048">
          <w:marLeft w:val="480"/>
          <w:marRight w:val="0"/>
          <w:marTop w:val="0"/>
          <w:marBottom w:val="0"/>
          <w:divBdr>
            <w:top w:val="none" w:sz="0" w:space="0" w:color="auto"/>
            <w:left w:val="none" w:sz="0" w:space="0" w:color="auto"/>
            <w:bottom w:val="none" w:sz="0" w:space="0" w:color="auto"/>
            <w:right w:val="none" w:sz="0" w:space="0" w:color="auto"/>
          </w:divBdr>
        </w:div>
        <w:div w:id="834105728">
          <w:marLeft w:val="480"/>
          <w:marRight w:val="0"/>
          <w:marTop w:val="0"/>
          <w:marBottom w:val="0"/>
          <w:divBdr>
            <w:top w:val="none" w:sz="0" w:space="0" w:color="auto"/>
            <w:left w:val="none" w:sz="0" w:space="0" w:color="auto"/>
            <w:bottom w:val="none" w:sz="0" w:space="0" w:color="auto"/>
            <w:right w:val="none" w:sz="0" w:space="0" w:color="auto"/>
          </w:divBdr>
        </w:div>
        <w:div w:id="1947154972">
          <w:marLeft w:val="480"/>
          <w:marRight w:val="0"/>
          <w:marTop w:val="0"/>
          <w:marBottom w:val="0"/>
          <w:divBdr>
            <w:top w:val="none" w:sz="0" w:space="0" w:color="auto"/>
            <w:left w:val="none" w:sz="0" w:space="0" w:color="auto"/>
            <w:bottom w:val="none" w:sz="0" w:space="0" w:color="auto"/>
            <w:right w:val="none" w:sz="0" w:space="0" w:color="auto"/>
          </w:divBdr>
        </w:div>
        <w:div w:id="1364138555">
          <w:marLeft w:val="480"/>
          <w:marRight w:val="0"/>
          <w:marTop w:val="0"/>
          <w:marBottom w:val="0"/>
          <w:divBdr>
            <w:top w:val="none" w:sz="0" w:space="0" w:color="auto"/>
            <w:left w:val="none" w:sz="0" w:space="0" w:color="auto"/>
            <w:bottom w:val="none" w:sz="0" w:space="0" w:color="auto"/>
            <w:right w:val="none" w:sz="0" w:space="0" w:color="auto"/>
          </w:divBdr>
        </w:div>
        <w:div w:id="1320380915">
          <w:marLeft w:val="480"/>
          <w:marRight w:val="0"/>
          <w:marTop w:val="0"/>
          <w:marBottom w:val="0"/>
          <w:divBdr>
            <w:top w:val="none" w:sz="0" w:space="0" w:color="auto"/>
            <w:left w:val="none" w:sz="0" w:space="0" w:color="auto"/>
            <w:bottom w:val="none" w:sz="0" w:space="0" w:color="auto"/>
            <w:right w:val="none" w:sz="0" w:space="0" w:color="auto"/>
          </w:divBdr>
        </w:div>
        <w:div w:id="732583540">
          <w:marLeft w:val="480"/>
          <w:marRight w:val="0"/>
          <w:marTop w:val="0"/>
          <w:marBottom w:val="0"/>
          <w:divBdr>
            <w:top w:val="none" w:sz="0" w:space="0" w:color="auto"/>
            <w:left w:val="none" w:sz="0" w:space="0" w:color="auto"/>
            <w:bottom w:val="none" w:sz="0" w:space="0" w:color="auto"/>
            <w:right w:val="none" w:sz="0" w:space="0" w:color="auto"/>
          </w:divBdr>
        </w:div>
        <w:div w:id="841045366">
          <w:marLeft w:val="480"/>
          <w:marRight w:val="0"/>
          <w:marTop w:val="0"/>
          <w:marBottom w:val="0"/>
          <w:divBdr>
            <w:top w:val="none" w:sz="0" w:space="0" w:color="auto"/>
            <w:left w:val="none" w:sz="0" w:space="0" w:color="auto"/>
            <w:bottom w:val="none" w:sz="0" w:space="0" w:color="auto"/>
            <w:right w:val="none" w:sz="0" w:space="0" w:color="auto"/>
          </w:divBdr>
        </w:div>
        <w:div w:id="915171869">
          <w:marLeft w:val="480"/>
          <w:marRight w:val="0"/>
          <w:marTop w:val="0"/>
          <w:marBottom w:val="0"/>
          <w:divBdr>
            <w:top w:val="none" w:sz="0" w:space="0" w:color="auto"/>
            <w:left w:val="none" w:sz="0" w:space="0" w:color="auto"/>
            <w:bottom w:val="none" w:sz="0" w:space="0" w:color="auto"/>
            <w:right w:val="none" w:sz="0" w:space="0" w:color="auto"/>
          </w:divBdr>
        </w:div>
        <w:div w:id="73817666">
          <w:marLeft w:val="480"/>
          <w:marRight w:val="0"/>
          <w:marTop w:val="0"/>
          <w:marBottom w:val="0"/>
          <w:divBdr>
            <w:top w:val="none" w:sz="0" w:space="0" w:color="auto"/>
            <w:left w:val="none" w:sz="0" w:space="0" w:color="auto"/>
            <w:bottom w:val="none" w:sz="0" w:space="0" w:color="auto"/>
            <w:right w:val="none" w:sz="0" w:space="0" w:color="auto"/>
          </w:divBdr>
        </w:div>
        <w:div w:id="1014918855">
          <w:marLeft w:val="480"/>
          <w:marRight w:val="0"/>
          <w:marTop w:val="0"/>
          <w:marBottom w:val="0"/>
          <w:divBdr>
            <w:top w:val="none" w:sz="0" w:space="0" w:color="auto"/>
            <w:left w:val="none" w:sz="0" w:space="0" w:color="auto"/>
            <w:bottom w:val="none" w:sz="0" w:space="0" w:color="auto"/>
            <w:right w:val="none" w:sz="0" w:space="0" w:color="auto"/>
          </w:divBdr>
        </w:div>
        <w:div w:id="67122518">
          <w:marLeft w:val="480"/>
          <w:marRight w:val="0"/>
          <w:marTop w:val="0"/>
          <w:marBottom w:val="0"/>
          <w:divBdr>
            <w:top w:val="none" w:sz="0" w:space="0" w:color="auto"/>
            <w:left w:val="none" w:sz="0" w:space="0" w:color="auto"/>
            <w:bottom w:val="none" w:sz="0" w:space="0" w:color="auto"/>
            <w:right w:val="none" w:sz="0" w:space="0" w:color="auto"/>
          </w:divBdr>
        </w:div>
        <w:div w:id="1267689439">
          <w:marLeft w:val="480"/>
          <w:marRight w:val="0"/>
          <w:marTop w:val="0"/>
          <w:marBottom w:val="0"/>
          <w:divBdr>
            <w:top w:val="none" w:sz="0" w:space="0" w:color="auto"/>
            <w:left w:val="none" w:sz="0" w:space="0" w:color="auto"/>
            <w:bottom w:val="none" w:sz="0" w:space="0" w:color="auto"/>
            <w:right w:val="none" w:sz="0" w:space="0" w:color="auto"/>
          </w:divBdr>
        </w:div>
        <w:div w:id="25255737">
          <w:marLeft w:val="480"/>
          <w:marRight w:val="0"/>
          <w:marTop w:val="0"/>
          <w:marBottom w:val="0"/>
          <w:divBdr>
            <w:top w:val="none" w:sz="0" w:space="0" w:color="auto"/>
            <w:left w:val="none" w:sz="0" w:space="0" w:color="auto"/>
            <w:bottom w:val="none" w:sz="0" w:space="0" w:color="auto"/>
            <w:right w:val="none" w:sz="0" w:space="0" w:color="auto"/>
          </w:divBdr>
        </w:div>
        <w:div w:id="1134106092">
          <w:marLeft w:val="480"/>
          <w:marRight w:val="0"/>
          <w:marTop w:val="0"/>
          <w:marBottom w:val="0"/>
          <w:divBdr>
            <w:top w:val="none" w:sz="0" w:space="0" w:color="auto"/>
            <w:left w:val="none" w:sz="0" w:space="0" w:color="auto"/>
            <w:bottom w:val="none" w:sz="0" w:space="0" w:color="auto"/>
            <w:right w:val="none" w:sz="0" w:space="0" w:color="auto"/>
          </w:divBdr>
        </w:div>
        <w:div w:id="2114353962">
          <w:marLeft w:val="480"/>
          <w:marRight w:val="0"/>
          <w:marTop w:val="0"/>
          <w:marBottom w:val="0"/>
          <w:divBdr>
            <w:top w:val="none" w:sz="0" w:space="0" w:color="auto"/>
            <w:left w:val="none" w:sz="0" w:space="0" w:color="auto"/>
            <w:bottom w:val="none" w:sz="0" w:space="0" w:color="auto"/>
            <w:right w:val="none" w:sz="0" w:space="0" w:color="auto"/>
          </w:divBdr>
        </w:div>
        <w:div w:id="630984485">
          <w:marLeft w:val="480"/>
          <w:marRight w:val="0"/>
          <w:marTop w:val="0"/>
          <w:marBottom w:val="0"/>
          <w:divBdr>
            <w:top w:val="none" w:sz="0" w:space="0" w:color="auto"/>
            <w:left w:val="none" w:sz="0" w:space="0" w:color="auto"/>
            <w:bottom w:val="none" w:sz="0" w:space="0" w:color="auto"/>
            <w:right w:val="none" w:sz="0" w:space="0" w:color="auto"/>
          </w:divBdr>
        </w:div>
        <w:div w:id="96948900">
          <w:marLeft w:val="480"/>
          <w:marRight w:val="0"/>
          <w:marTop w:val="0"/>
          <w:marBottom w:val="0"/>
          <w:divBdr>
            <w:top w:val="none" w:sz="0" w:space="0" w:color="auto"/>
            <w:left w:val="none" w:sz="0" w:space="0" w:color="auto"/>
            <w:bottom w:val="none" w:sz="0" w:space="0" w:color="auto"/>
            <w:right w:val="none" w:sz="0" w:space="0" w:color="auto"/>
          </w:divBdr>
        </w:div>
        <w:div w:id="1974215852">
          <w:marLeft w:val="480"/>
          <w:marRight w:val="0"/>
          <w:marTop w:val="0"/>
          <w:marBottom w:val="0"/>
          <w:divBdr>
            <w:top w:val="none" w:sz="0" w:space="0" w:color="auto"/>
            <w:left w:val="none" w:sz="0" w:space="0" w:color="auto"/>
            <w:bottom w:val="none" w:sz="0" w:space="0" w:color="auto"/>
            <w:right w:val="none" w:sz="0" w:space="0" w:color="auto"/>
          </w:divBdr>
        </w:div>
        <w:div w:id="2030256554">
          <w:marLeft w:val="480"/>
          <w:marRight w:val="0"/>
          <w:marTop w:val="0"/>
          <w:marBottom w:val="0"/>
          <w:divBdr>
            <w:top w:val="none" w:sz="0" w:space="0" w:color="auto"/>
            <w:left w:val="none" w:sz="0" w:space="0" w:color="auto"/>
            <w:bottom w:val="none" w:sz="0" w:space="0" w:color="auto"/>
            <w:right w:val="none" w:sz="0" w:space="0" w:color="auto"/>
          </w:divBdr>
        </w:div>
        <w:div w:id="941186862">
          <w:marLeft w:val="480"/>
          <w:marRight w:val="0"/>
          <w:marTop w:val="0"/>
          <w:marBottom w:val="0"/>
          <w:divBdr>
            <w:top w:val="none" w:sz="0" w:space="0" w:color="auto"/>
            <w:left w:val="none" w:sz="0" w:space="0" w:color="auto"/>
            <w:bottom w:val="none" w:sz="0" w:space="0" w:color="auto"/>
            <w:right w:val="none" w:sz="0" w:space="0" w:color="auto"/>
          </w:divBdr>
        </w:div>
        <w:div w:id="518471019">
          <w:marLeft w:val="480"/>
          <w:marRight w:val="0"/>
          <w:marTop w:val="0"/>
          <w:marBottom w:val="0"/>
          <w:divBdr>
            <w:top w:val="none" w:sz="0" w:space="0" w:color="auto"/>
            <w:left w:val="none" w:sz="0" w:space="0" w:color="auto"/>
            <w:bottom w:val="none" w:sz="0" w:space="0" w:color="auto"/>
            <w:right w:val="none" w:sz="0" w:space="0" w:color="auto"/>
          </w:divBdr>
        </w:div>
        <w:div w:id="1240749718">
          <w:marLeft w:val="480"/>
          <w:marRight w:val="0"/>
          <w:marTop w:val="0"/>
          <w:marBottom w:val="0"/>
          <w:divBdr>
            <w:top w:val="none" w:sz="0" w:space="0" w:color="auto"/>
            <w:left w:val="none" w:sz="0" w:space="0" w:color="auto"/>
            <w:bottom w:val="none" w:sz="0" w:space="0" w:color="auto"/>
            <w:right w:val="none" w:sz="0" w:space="0" w:color="auto"/>
          </w:divBdr>
        </w:div>
        <w:div w:id="1507330788">
          <w:marLeft w:val="480"/>
          <w:marRight w:val="0"/>
          <w:marTop w:val="0"/>
          <w:marBottom w:val="0"/>
          <w:divBdr>
            <w:top w:val="none" w:sz="0" w:space="0" w:color="auto"/>
            <w:left w:val="none" w:sz="0" w:space="0" w:color="auto"/>
            <w:bottom w:val="none" w:sz="0" w:space="0" w:color="auto"/>
            <w:right w:val="none" w:sz="0" w:space="0" w:color="auto"/>
          </w:divBdr>
        </w:div>
        <w:div w:id="1174103605">
          <w:marLeft w:val="480"/>
          <w:marRight w:val="0"/>
          <w:marTop w:val="0"/>
          <w:marBottom w:val="0"/>
          <w:divBdr>
            <w:top w:val="none" w:sz="0" w:space="0" w:color="auto"/>
            <w:left w:val="none" w:sz="0" w:space="0" w:color="auto"/>
            <w:bottom w:val="none" w:sz="0" w:space="0" w:color="auto"/>
            <w:right w:val="none" w:sz="0" w:space="0" w:color="auto"/>
          </w:divBdr>
        </w:div>
        <w:div w:id="760951026">
          <w:marLeft w:val="480"/>
          <w:marRight w:val="0"/>
          <w:marTop w:val="0"/>
          <w:marBottom w:val="0"/>
          <w:divBdr>
            <w:top w:val="none" w:sz="0" w:space="0" w:color="auto"/>
            <w:left w:val="none" w:sz="0" w:space="0" w:color="auto"/>
            <w:bottom w:val="none" w:sz="0" w:space="0" w:color="auto"/>
            <w:right w:val="none" w:sz="0" w:space="0" w:color="auto"/>
          </w:divBdr>
        </w:div>
        <w:div w:id="1016734838">
          <w:marLeft w:val="480"/>
          <w:marRight w:val="0"/>
          <w:marTop w:val="0"/>
          <w:marBottom w:val="0"/>
          <w:divBdr>
            <w:top w:val="none" w:sz="0" w:space="0" w:color="auto"/>
            <w:left w:val="none" w:sz="0" w:space="0" w:color="auto"/>
            <w:bottom w:val="none" w:sz="0" w:space="0" w:color="auto"/>
            <w:right w:val="none" w:sz="0" w:space="0" w:color="auto"/>
          </w:divBdr>
        </w:div>
        <w:div w:id="1673022632">
          <w:marLeft w:val="480"/>
          <w:marRight w:val="0"/>
          <w:marTop w:val="0"/>
          <w:marBottom w:val="0"/>
          <w:divBdr>
            <w:top w:val="none" w:sz="0" w:space="0" w:color="auto"/>
            <w:left w:val="none" w:sz="0" w:space="0" w:color="auto"/>
            <w:bottom w:val="none" w:sz="0" w:space="0" w:color="auto"/>
            <w:right w:val="none" w:sz="0" w:space="0" w:color="auto"/>
          </w:divBdr>
        </w:div>
        <w:div w:id="1660309764">
          <w:marLeft w:val="480"/>
          <w:marRight w:val="0"/>
          <w:marTop w:val="0"/>
          <w:marBottom w:val="0"/>
          <w:divBdr>
            <w:top w:val="none" w:sz="0" w:space="0" w:color="auto"/>
            <w:left w:val="none" w:sz="0" w:space="0" w:color="auto"/>
            <w:bottom w:val="none" w:sz="0" w:space="0" w:color="auto"/>
            <w:right w:val="none" w:sz="0" w:space="0" w:color="auto"/>
          </w:divBdr>
        </w:div>
        <w:div w:id="663243178">
          <w:marLeft w:val="480"/>
          <w:marRight w:val="0"/>
          <w:marTop w:val="0"/>
          <w:marBottom w:val="0"/>
          <w:divBdr>
            <w:top w:val="none" w:sz="0" w:space="0" w:color="auto"/>
            <w:left w:val="none" w:sz="0" w:space="0" w:color="auto"/>
            <w:bottom w:val="none" w:sz="0" w:space="0" w:color="auto"/>
            <w:right w:val="none" w:sz="0" w:space="0" w:color="auto"/>
          </w:divBdr>
        </w:div>
        <w:div w:id="184052618">
          <w:marLeft w:val="480"/>
          <w:marRight w:val="0"/>
          <w:marTop w:val="0"/>
          <w:marBottom w:val="0"/>
          <w:divBdr>
            <w:top w:val="none" w:sz="0" w:space="0" w:color="auto"/>
            <w:left w:val="none" w:sz="0" w:space="0" w:color="auto"/>
            <w:bottom w:val="none" w:sz="0" w:space="0" w:color="auto"/>
            <w:right w:val="none" w:sz="0" w:space="0" w:color="auto"/>
          </w:divBdr>
        </w:div>
        <w:div w:id="655692717">
          <w:marLeft w:val="480"/>
          <w:marRight w:val="0"/>
          <w:marTop w:val="0"/>
          <w:marBottom w:val="0"/>
          <w:divBdr>
            <w:top w:val="none" w:sz="0" w:space="0" w:color="auto"/>
            <w:left w:val="none" w:sz="0" w:space="0" w:color="auto"/>
            <w:bottom w:val="none" w:sz="0" w:space="0" w:color="auto"/>
            <w:right w:val="none" w:sz="0" w:space="0" w:color="auto"/>
          </w:divBdr>
        </w:div>
        <w:div w:id="1728185036">
          <w:marLeft w:val="480"/>
          <w:marRight w:val="0"/>
          <w:marTop w:val="0"/>
          <w:marBottom w:val="0"/>
          <w:divBdr>
            <w:top w:val="none" w:sz="0" w:space="0" w:color="auto"/>
            <w:left w:val="none" w:sz="0" w:space="0" w:color="auto"/>
            <w:bottom w:val="none" w:sz="0" w:space="0" w:color="auto"/>
            <w:right w:val="none" w:sz="0" w:space="0" w:color="auto"/>
          </w:divBdr>
        </w:div>
        <w:div w:id="1304627732">
          <w:marLeft w:val="480"/>
          <w:marRight w:val="0"/>
          <w:marTop w:val="0"/>
          <w:marBottom w:val="0"/>
          <w:divBdr>
            <w:top w:val="none" w:sz="0" w:space="0" w:color="auto"/>
            <w:left w:val="none" w:sz="0" w:space="0" w:color="auto"/>
            <w:bottom w:val="none" w:sz="0" w:space="0" w:color="auto"/>
            <w:right w:val="none" w:sz="0" w:space="0" w:color="auto"/>
          </w:divBdr>
        </w:div>
        <w:div w:id="630018843">
          <w:marLeft w:val="480"/>
          <w:marRight w:val="0"/>
          <w:marTop w:val="0"/>
          <w:marBottom w:val="0"/>
          <w:divBdr>
            <w:top w:val="none" w:sz="0" w:space="0" w:color="auto"/>
            <w:left w:val="none" w:sz="0" w:space="0" w:color="auto"/>
            <w:bottom w:val="none" w:sz="0" w:space="0" w:color="auto"/>
            <w:right w:val="none" w:sz="0" w:space="0" w:color="auto"/>
          </w:divBdr>
        </w:div>
        <w:div w:id="1635333895">
          <w:marLeft w:val="480"/>
          <w:marRight w:val="0"/>
          <w:marTop w:val="0"/>
          <w:marBottom w:val="0"/>
          <w:divBdr>
            <w:top w:val="none" w:sz="0" w:space="0" w:color="auto"/>
            <w:left w:val="none" w:sz="0" w:space="0" w:color="auto"/>
            <w:bottom w:val="none" w:sz="0" w:space="0" w:color="auto"/>
            <w:right w:val="none" w:sz="0" w:space="0" w:color="auto"/>
          </w:divBdr>
        </w:div>
        <w:div w:id="512843290">
          <w:marLeft w:val="480"/>
          <w:marRight w:val="0"/>
          <w:marTop w:val="0"/>
          <w:marBottom w:val="0"/>
          <w:divBdr>
            <w:top w:val="none" w:sz="0" w:space="0" w:color="auto"/>
            <w:left w:val="none" w:sz="0" w:space="0" w:color="auto"/>
            <w:bottom w:val="none" w:sz="0" w:space="0" w:color="auto"/>
            <w:right w:val="none" w:sz="0" w:space="0" w:color="auto"/>
          </w:divBdr>
        </w:div>
        <w:div w:id="1011025041">
          <w:marLeft w:val="480"/>
          <w:marRight w:val="0"/>
          <w:marTop w:val="0"/>
          <w:marBottom w:val="0"/>
          <w:divBdr>
            <w:top w:val="none" w:sz="0" w:space="0" w:color="auto"/>
            <w:left w:val="none" w:sz="0" w:space="0" w:color="auto"/>
            <w:bottom w:val="none" w:sz="0" w:space="0" w:color="auto"/>
            <w:right w:val="none" w:sz="0" w:space="0" w:color="auto"/>
          </w:divBdr>
        </w:div>
        <w:div w:id="757016389">
          <w:marLeft w:val="480"/>
          <w:marRight w:val="0"/>
          <w:marTop w:val="0"/>
          <w:marBottom w:val="0"/>
          <w:divBdr>
            <w:top w:val="none" w:sz="0" w:space="0" w:color="auto"/>
            <w:left w:val="none" w:sz="0" w:space="0" w:color="auto"/>
            <w:bottom w:val="none" w:sz="0" w:space="0" w:color="auto"/>
            <w:right w:val="none" w:sz="0" w:space="0" w:color="auto"/>
          </w:divBdr>
        </w:div>
        <w:div w:id="455415275">
          <w:marLeft w:val="480"/>
          <w:marRight w:val="0"/>
          <w:marTop w:val="0"/>
          <w:marBottom w:val="0"/>
          <w:divBdr>
            <w:top w:val="none" w:sz="0" w:space="0" w:color="auto"/>
            <w:left w:val="none" w:sz="0" w:space="0" w:color="auto"/>
            <w:bottom w:val="none" w:sz="0" w:space="0" w:color="auto"/>
            <w:right w:val="none" w:sz="0" w:space="0" w:color="auto"/>
          </w:divBdr>
        </w:div>
        <w:div w:id="1956784691">
          <w:marLeft w:val="480"/>
          <w:marRight w:val="0"/>
          <w:marTop w:val="0"/>
          <w:marBottom w:val="0"/>
          <w:divBdr>
            <w:top w:val="none" w:sz="0" w:space="0" w:color="auto"/>
            <w:left w:val="none" w:sz="0" w:space="0" w:color="auto"/>
            <w:bottom w:val="none" w:sz="0" w:space="0" w:color="auto"/>
            <w:right w:val="none" w:sz="0" w:space="0" w:color="auto"/>
          </w:divBdr>
        </w:div>
        <w:div w:id="2123259733">
          <w:marLeft w:val="480"/>
          <w:marRight w:val="0"/>
          <w:marTop w:val="0"/>
          <w:marBottom w:val="0"/>
          <w:divBdr>
            <w:top w:val="none" w:sz="0" w:space="0" w:color="auto"/>
            <w:left w:val="none" w:sz="0" w:space="0" w:color="auto"/>
            <w:bottom w:val="none" w:sz="0" w:space="0" w:color="auto"/>
            <w:right w:val="none" w:sz="0" w:space="0" w:color="auto"/>
          </w:divBdr>
        </w:div>
        <w:div w:id="1893883260">
          <w:marLeft w:val="480"/>
          <w:marRight w:val="0"/>
          <w:marTop w:val="0"/>
          <w:marBottom w:val="0"/>
          <w:divBdr>
            <w:top w:val="none" w:sz="0" w:space="0" w:color="auto"/>
            <w:left w:val="none" w:sz="0" w:space="0" w:color="auto"/>
            <w:bottom w:val="none" w:sz="0" w:space="0" w:color="auto"/>
            <w:right w:val="none" w:sz="0" w:space="0" w:color="auto"/>
          </w:divBdr>
        </w:div>
        <w:div w:id="2137603854">
          <w:marLeft w:val="480"/>
          <w:marRight w:val="0"/>
          <w:marTop w:val="0"/>
          <w:marBottom w:val="0"/>
          <w:divBdr>
            <w:top w:val="none" w:sz="0" w:space="0" w:color="auto"/>
            <w:left w:val="none" w:sz="0" w:space="0" w:color="auto"/>
            <w:bottom w:val="none" w:sz="0" w:space="0" w:color="auto"/>
            <w:right w:val="none" w:sz="0" w:space="0" w:color="auto"/>
          </w:divBdr>
        </w:div>
        <w:div w:id="263609569">
          <w:marLeft w:val="480"/>
          <w:marRight w:val="0"/>
          <w:marTop w:val="0"/>
          <w:marBottom w:val="0"/>
          <w:divBdr>
            <w:top w:val="none" w:sz="0" w:space="0" w:color="auto"/>
            <w:left w:val="none" w:sz="0" w:space="0" w:color="auto"/>
            <w:bottom w:val="none" w:sz="0" w:space="0" w:color="auto"/>
            <w:right w:val="none" w:sz="0" w:space="0" w:color="auto"/>
          </w:divBdr>
        </w:div>
        <w:div w:id="1270964336">
          <w:marLeft w:val="480"/>
          <w:marRight w:val="0"/>
          <w:marTop w:val="0"/>
          <w:marBottom w:val="0"/>
          <w:divBdr>
            <w:top w:val="none" w:sz="0" w:space="0" w:color="auto"/>
            <w:left w:val="none" w:sz="0" w:space="0" w:color="auto"/>
            <w:bottom w:val="none" w:sz="0" w:space="0" w:color="auto"/>
            <w:right w:val="none" w:sz="0" w:space="0" w:color="auto"/>
          </w:divBdr>
        </w:div>
        <w:div w:id="1524049877">
          <w:marLeft w:val="480"/>
          <w:marRight w:val="0"/>
          <w:marTop w:val="0"/>
          <w:marBottom w:val="0"/>
          <w:divBdr>
            <w:top w:val="none" w:sz="0" w:space="0" w:color="auto"/>
            <w:left w:val="none" w:sz="0" w:space="0" w:color="auto"/>
            <w:bottom w:val="none" w:sz="0" w:space="0" w:color="auto"/>
            <w:right w:val="none" w:sz="0" w:space="0" w:color="auto"/>
          </w:divBdr>
        </w:div>
        <w:div w:id="839855294">
          <w:marLeft w:val="480"/>
          <w:marRight w:val="0"/>
          <w:marTop w:val="0"/>
          <w:marBottom w:val="0"/>
          <w:divBdr>
            <w:top w:val="none" w:sz="0" w:space="0" w:color="auto"/>
            <w:left w:val="none" w:sz="0" w:space="0" w:color="auto"/>
            <w:bottom w:val="none" w:sz="0" w:space="0" w:color="auto"/>
            <w:right w:val="none" w:sz="0" w:space="0" w:color="auto"/>
          </w:divBdr>
        </w:div>
        <w:div w:id="377171439">
          <w:marLeft w:val="480"/>
          <w:marRight w:val="0"/>
          <w:marTop w:val="0"/>
          <w:marBottom w:val="0"/>
          <w:divBdr>
            <w:top w:val="none" w:sz="0" w:space="0" w:color="auto"/>
            <w:left w:val="none" w:sz="0" w:space="0" w:color="auto"/>
            <w:bottom w:val="none" w:sz="0" w:space="0" w:color="auto"/>
            <w:right w:val="none" w:sz="0" w:space="0" w:color="auto"/>
          </w:divBdr>
        </w:div>
        <w:div w:id="1324046703">
          <w:marLeft w:val="480"/>
          <w:marRight w:val="0"/>
          <w:marTop w:val="0"/>
          <w:marBottom w:val="0"/>
          <w:divBdr>
            <w:top w:val="none" w:sz="0" w:space="0" w:color="auto"/>
            <w:left w:val="none" w:sz="0" w:space="0" w:color="auto"/>
            <w:bottom w:val="none" w:sz="0" w:space="0" w:color="auto"/>
            <w:right w:val="none" w:sz="0" w:space="0" w:color="auto"/>
          </w:divBdr>
        </w:div>
        <w:div w:id="709691279">
          <w:marLeft w:val="480"/>
          <w:marRight w:val="0"/>
          <w:marTop w:val="0"/>
          <w:marBottom w:val="0"/>
          <w:divBdr>
            <w:top w:val="none" w:sz="0" w:space="0" w:color="auto"/>
            <w:left w:val="none" w:sz="0" w:space="0" w:color="auto"/>
            <w:bottom w:val="none" w:sz="0" w:space="0" w:color="auto"/>
            <w:right w:val="none" w:sz="0" w:space="0" w:color="auto"/>
          </w:divBdr>
        </w:div>
        <w:div w:id="289022287">
          <w:marLeft w:val="480"/>
          <w:marRight w:val="0"/>
          <w:marTop w:val="0"/>
          <w:marBottom w:val="0"/>
          <w:divBdr>
            <w:top w:val="none" w:sz="0" w:space="0" w:color="auto"/>
            <w:left w:val="none" w:sz="0" w:space="0" w:color="auto"/>
            <w:bottom w:val="none" w:sz="0" w:space="0" w:color="auto"/>
            <w:right w:val="none" w:sz="0" w:space="0" w:color="auto"/>
          </w:divBdr>
        </w:div>
        <w:div w:id="1543636303">
          <w:marLeft w:val="480"/>
          <w:marRight w:val="0"/>
          <w:marTop w:val="0"/>
          <w:marBottom w:val="0"/>
          <w:divBdr>
            <w:top w:val="none" w:sz="0" w:space="0" w:color="auto"/>
            <w:left w:val="none" w:sz="0" w:space="0" w:color="auto"/>
            <w:bottom w:val="none" w:sz="0" w:space="0" w:color="auto"/>
            <w:right w:val="none" w:sz="0" w:space="0" w:color="auto"/>
          </w:divBdr>
        </w:div>
        <w:div w:id="933172402">
          <w:marLeft w:val="480"/>
          <w:marRight w:val="0"/>
          <w:marTop w:val="0"/>
          <w:marBottom w:val="0"/>
          <w:divBdr>
            <w:top w:val="none" w:sz="0" w:space="0" w:color="auto"/>
            <w:left w:val="none" w:sz="0" w:space="0" w:color="auto"/>
            <w:bottom w:val="none" w:sz="0" w:space="0" w:color="auto"/>
            <w:right w:val="none" w:sz="0" w:space="0" w:color="auto"/>
          </w:divBdr>
        </w:div>
        <w:div w:id="64108646">
          <w:marLeft w:val="480"/>
          <w:marRight w:val="0"/>
          <w:marTop w:val="0"/>
          <w:marBottom w:val="0"/>
          <w:divBdr>
            <w:top w:val="none" w:sz="0" w:space="0" w:color="auto"/>
            <w:left w:val="none" w:sz="0" w:space="0" w:color="auto"/>
            <w:bottom w:val="none" w:sz="0" w:space="0" w:color="auto"/>
            <w:right w:val="none" w:sz="0" w:space="0" w:color="auto"/>
          </w:divBdr>
        </w:div>
        <w:div w:id="826173210">
          <w:marLeft w:val="480"/>
          <w:marRight w:val="0"/>
          <w:marTop w:val="0"/>
          <w:marBottom w:val="0"/>
          <w:divBdr>
            <w:top w:val="none" w:sz="0" w:space="0" w:color="auto"/>
            <w:left w:val="none" w:sz="0" w:space="0" w:color="auto"/>
            <w:bottom w:val="none" w:sz="0" w:space="0" w:color="auto"/>
            <w:right w:val="none" w:sz="0" w:space="0" w:color="auto"/>
          </w:divBdr>
        </w:div>
        <w:div w:id="2120442940">
          <w:marLeft w:val="480"/>
          <w:marRight w:val="0"/>
          <w:marTop w:val="0"/>
          <w:marBottom w:val="0"/>
          <w:divBdr>
            <w:top w:val="none" w:sz="0" w:space="0" w:color="auto"/>
            <w:left w:val="none" w:sz="0" w:space="0" w:color="auto"/>
            <w:bottom w:val="none" w:sz="0" w:space="0" w:color="auto"/>
            <w:right w:val="none" w:sz="0" w:space="0" w:color="auto"/>
          </w:divBdr>
        </w:div>
        <w:div w:id="106631496">
          <w:marLeft w:val="480"/>
          <w:marRight w:val="0"/>
          <w:marTop w:val="0"/>
          <w:marBottom w:val="0"/>
          <w:divBdr>
            <w:top w:val="none" w:sz="0" w:space="0" w:color="auto"/>
            <w:left w:val="none" w:sz="0" w:space="0" w:color="auto"/>
            <w:bottom w:val="none" w:sz="0" w:space="0" w:color="auto"/>
            <w:right w:val="none" w:sz="0" w:space="0" w:color="auto"/>
          </w:divBdr>
        </w:div>
        <w:div w:id="106628851">
          <w:marLeft w:val="480"/>
          <w:marRight w:val="0"/>
          <w:marTop w:val="0"/>
          <w:marBottom w:val="0"/>
          <w:divBdr>
            <w:top w:val="none" w:sz="0" w:space="0" w:color="auto"/>
            <w:left w:val="none" w:sz="0" w:space="0" w:color="auto"/>
            <w:bottom w:val="none" w:sz="0" w:space="0" w:color="auto"/>
            <w:right w:val="none" w:sz="0" w:space="0" w:color="auto"/>
          </w:divBdr>
        </w:div>
        <w:div w:id="426847256">
          <w:marLeft w:val="480"/>
          <w:marRight w:val="0"/>
          <w:marTop w:val="0"/>
          <w:marBottom w:val="0"/>
          <w:divBdr>
            <w:top w:val="none" w:sz="0" w:space="0" w:color="auto"/>
            <w:left w:val="none" w:sz="0" w:space="0" w:color="auto"/>
            <w:bottom w:val="none" w:sz="0" w:space="0" w:color="auto"/>
            <w:right w:val="none" w:sz="0" w:space="0" w:color="auto"/>
          </w:divBdr>
        </w:div>
        <w:div w:id="929628549">
          <w:marLeft w:val="480"/>
          <w:marRight w:val="0"/>
          <w:marTop w:val="0"/>
          <w:marBottom w:val="0"/>
          <w:divBdr>
            <w:top w:val="none" w:sz="0" w:space="0" w:color="auto"/>
            <w:left w:val="none" w:sz="0" w:space="0" w:color="auto"/>
            <w:bottom w:val="none" w:sz="0" w:space="0" w:color="auto"/>
            <w:right w:val="none" w:sz="0" w:space="0" w:color="auto"/>
          </w:divBdr>
        </w:div>
        <w:div w:id="1194150180">
          <w:marLeft w:val="480"/>
          <w:marRight w:val="0"/>
          <w:marTop w:val="0"/>
          <w:marBottom w:val="0"/>
          <w:divBdr>
            <w:top w:val="none" w:sz="0" w:space="0" w:color="auto"/>
            <w:left w:val="none" w:sz="0" w:space="0" w:color="auto"/>
            <w:bottom w:val="none" w:sz="0" w:space="0" w:color="auto"/>
            <w:right w:val="none" w:sz="0" w:space="0" w:color="auto"/>
          </w:divBdr>
        </w:div>
        <w:div w:id="428627738">
          <w:marLeft w:val="480"/>
          <w:marRight w:val="0"/>
          <w:marTop w:val="0"/>
          <w:marBottom w:val="0"/>
          <w:divBdr>
            <w:top w:val="none" w:sz="0" w:space="0" w:color="auto"/>
            <w:left w:val="none" w:sz="0" w:space="0" w:color="auto"/>
            <w:bottom w:val="none" w:sz="0" w:space="0" w:color="auto"/>
            <w:right w:val="none" w:sz="0" w:space="0" w:color="auto"/>
          </w:divBdr>
        </w:div>
        <w:div w:id="443383423">
          <w:marLeft w:val="480"/>
          <w:marRight w:val="0"/>
          <w:marTop w:val="0"/>
          <w:marBottom w:val="0"/>
          <w:divBdr>
            <w:top w:val="none" w:sz="0" w:space="0" w:color="auto"/>
            <w:left w:val="none" w:sz="0" w:space="0" w:color="auto"/>
            <w:bottom w:val="none" w:sz="0" w:space="0" w:color="auto"/>
            <w:right w:val="none" w:sz="0" w:space="0" w:color="auto"/>
          </w:divBdr>
        </w:div>
        <w:div w:id="1866139514">
          <w:marLeft w:val="480"/>
          <w:marRight w:val="0"/>
          <w:marTop w:val="0"/>
          <w:marBottom w:val="0"/>
          <w:divBdr>
            <w:top w:val="none" w:sz="0" w:space="0" w:color="auto"/>
            <w:left w:val="none" w:sz="0" w:space="0" w:color="auto"/>
            <w:bottom w:val="none" w:sz="0" w:space="0" w:color="auto"/>
            <w:right w:val="none" w:sz="0" w:space="0" w:color="auto"/>
          </w:divBdr>
        </w:div>
        <w:div w:id="1307668289">
          <w:marLeft w:val="480"/>
          <w:marRight w:val="0"/>
          <w:marTop w:val="0"/>
          <w:marBottom w:val="0"/>
          <w:divBdr>
            <w:top w:val="none" w:sz="0" w:space="0" w:color="auto"/>
            <w:left w:val="none" w:sz="0" w:space="0" w:color="auto"/>
            <w:bottom w:val="none" w:sz="0" w:space="0" w:color="auto"/>
            <w:right w:val="none" w:sz="0" w:space="0" w:color="auto"/>
          </w:divBdr>
        </w:div>
        <w:div w:id="766118684">
          <w:marLeft w:val="480"/>
          <w:marRight w:val="0"/>
          <w:marTop w:val="0"/>
          <w:marBottom w:val="0"/>
          <w:divBdr>
            <w:top w:val="none" w:sz="0" w:space="0" w:color="auto"/>
            <w:left w:val="none" w:sz="0" w:space="0" w:color="auto"/>
            <w:bottom w:val="none" w:sz="0" w:space="0" w:color="auto"/>
            <w:right w:val="none" w:sz="0" w:space="0" w:color="auto"/>
          </w:divBdr>
        </w:div>
        <w:div w:id="850997469">
          <w:marLeft w:val="480"/>
          <w:marRight w:val="0"/>
          <w:marTop w:val="0"/>
          <w:marBottom w:val="0"/>
          <w:divBdr>
            <w:top w:val="none" w:sz="0" w:space="0" w:color="auto"/>
            <w:left w:val="none" w:sz="0" w:space="0" w:color="auto"/>
            <w:bottom w:val="none" w:sz="0" w:space="0" w:color="auto"/>
            <w:right w:val="none" w:sz="0" w:space="0" w:color="auto"/>
          </w:divBdr>
        </w:div>
        <w:div w:id="377238900">
          <w:marLeft w:val="480"/>
          <w:marRight w:val="0"/>
          <w:marTop w:val="0"/>
          <w:marBottom w:val="0"/>
          <w:divBdr>
            <w:top w:val="none" w:sz="0" w:space="0" w:color="auto"/>
            <w:left w:val="none" w:sz="0" w:space="0" w:color="auto"/>
            <w:bottom w:val="none" w:sz="0" w:space="0" w:color="auto"/>
            <w:right w:val="none" w:sz="0" w:space="0" w:color="auto"/>
          </w:divBdr>
        </w:div>
        <w:div w:id="760417624">
          <w:marLeft w:val="480"/>
          <w:marRight w:val="0"/>
          <w:marTop w:val="0"/>
          <w:marBottom w:val="0"/>
          <w:divBdr>
            <w:top w:val="none" w:sz="0" w:space="0" w:color="auto"/>
            <w:left w:val="none" w:sz="0" w:space="0" w:color="auto"/>
            <w:bottom w:val="none" w:sz="0" w:space="0" w:color="auto"/>
            <w:right w:val="none" w:sz="0" w:space="0" w:color="auto"/>
          </w:divBdr>
        </w:div>
        <w:div w:id="57561782">
          <w:marLeft w:val="480"/>
          <w:marRight w:val="0"/>
          <w:marTop w:val="0"/>
          <w:marBottom w:val="0"/>
          <w:divBdr>
            <w:top w:val="none" w:sz="0" w:space="0" w:color="auto"/>
            <w:left w:val="none" w:sz="0" w:space="0" w:color="auto"/>
            <w:bottom w:val="none" w:sz="0" w:space="0" w:color="auto"/>
            <w:right w:val="none" w:sz="0" w:space="0" w:color="auto"/>
          </w:divBdr>
        </w:div>
        <w:div w:id="538933408">
          <w:marLeft w:val="480"/>
          <w:marRight w:val="0"/>
          <w:marTop w:val="0"/>
          <w:marBottom w:val="0"/>
          <w:divBdr>
            <w:top w:val="none" w:sz="0" w:space="0" w:color="auto"/>
            <w:left w:val="none" w:sz="0" w:space="0" w:color="auto"/>
            <w:bottom w:val="none" w:sz="0" w:space="0" w:color="auto"/>
            <w:right w:val="none" w:sz="0" w:space="0" w:color="auto"/>
          </w:divBdr>
        </w:div>
        <w:div w:id="1085302457">
          <w:marLeft w:val="480"/>
          <w:marRight w:val="0"/>
          <w:marTop w:val="0"/>
          <w:marBottom w:val="0"/>
          <w:divBdr>
            <w:top w:val="none" w:sz="0" w:space="0" w:color="auto"/>
            <w:left w:val="none" w:sz="0" w:space="0" w:color="auto"/>
            <w:bottom w:val="none" w:sz="0" w:space="0" w:color="auto"/>
            <w:right w:val="none" w:sz="0" w:space="0" w:color="auto"/>
          </w:divBdr>
        </w:div>
        <w:div w:id="1599675072">
          <w:marLeft w:val="480"/>
          <w:marRight w:val="0"/>
          <w:marTop w:val="0"/>
          <w:marBottom w:val="0"/>
          <w:divBdr>
            <w:top w:val="none" w:sz="0" w:space="0" w:color="auto"/>
            <w:left w:val="none" w:sz="0" w:space="0" w:color="auto"/>
            <w:bottom w:val="none" w:sz="0" w:space="0" w:color="auto"/>
            <w:right w:val="none" w:sz="0" w:space="0" w:color="auto"/>
          </w:divBdr>
        </w:div>
        <w:div w:id="1310748762">
          <w:marLeft w:val="480"/>
          <w:marRight w:val="0"/>
          <w:marTop w:val="0"/>
          <w:marBottom w:val="0"/>
          <w:divBdr>
            <w:top w:val="none" w:sz="0" w:space="0" w:color="auto"/>
            <w:left w:val="none" w:sz="0" w:space="0" w:color="auto"/>
            <w:bottom w:val="none" w:sz="0" w:space="0" w:color="auto"/>
            <w:right w:val="none" w:sz="0" w:space="0" w:color="auto"/>
          </w:divBdr>
        </w:div>
        <w:div w:id="1319071602">
          <w:marLeft w:val="480"/>
          <w:marRight w:val="0"/>
          <w:marTop w:val="0"/>
          <w:marBottom w:val="0"/>
          <w:divBdr>
            <w:top w:val="none" w:sz="0" w:space="0" w:color="auto"/>
            <w:left w:val="none" w:sz="0" w:space="0" w:color="auto"/>
            <w:bottom w:val="none" w:sz="0" w:space="0" w:color="auto"/>
            <w:right w:val="none" w:sz="0" w:space="0" w:color="auto"/>
          </w:divBdr>
        </w:div>
        <w:div w:id="424035639">
          <w:marLeft w:val="480"/>
          <w:marRight w:val="0"/>
          <w:marTop w:val="0"/>
          <w:marBottom w:val="0"/>
          <w:divBdr>
            <w:top w:val="none" w:sz="0" w:space="0" w:color="auto"/>
            <w:left w:val="none" w:sz="0" w:space="0" w:color="auto"/>
            <w:bottom w:val="none" w:sz="0" w:space="0" w:color="auto"/>
            <w:right w:val="none" w:sz="0" w:space="0" w:color="auto"/>
          </w:divBdr>
        </w:div>
        <w:div w:id="2061172772">
          <w:marLeft w:val="480"/>
          <w:marRight w:val="0"/>
          <w:marTop w:val="0"/>
          <w:marBottom w:val="0"/>
          <w:divBdr>
            <w:top w:val="none" w:sz="0" w:space="0" w:color="auto"/>
            <w:left w:val="none" w:sz="0" w:space="0" w:color="auto"/>
            <w:bottom w:val="none" w:sz="0" w:space="0" w:color="auto"/>
            <w:right w:val="none" w:sz="0" w:space="0" w:color="auto"/>
          </w:divBdr>
        </w:div>
        <w:div w:id="1781334991">
          <w:marLeft w:val="480"/>
          <w:marRight w:val="0"/>
          <w:marTop w:val="0"/>
          <w:marBottom w:val="0"/>
          <w:divBdr>
            <w:top w:val="none" w:sz="0" w:space="0" w:color="auto"/>
            <w:left w:val="none" w:sz="0" w:space="0" w:color="auto"/>
            <w:bottom w:val="none" w:sz="0" w:space="0" w:color="auto"/>
            <w:right w:val="none" w:sz="0" w:space="0" w:color="auto"/>
          </w:divBdr>
        </w:div>
        <w:div w:id="372538192">
          <w:marLeft w:val="480"/>
          <w:marRight w:val="0"/>
          <w:marTop w:val="0"/>
          <w:marBottom w:val="0"/>
          <w:divBdr>
            <w:top w:val="none" w:sz="0" w:space="0" w:color="auto"/>
            <w:left w:val="none" w:sz="0" w:space="0" w:color="auto"/>
            <w:bottom w:val="none" w:sz="0" w:space="0" w:color="auto"/>
            <w:right w:val="none" w:sz="0" w:space="0" w:color="auto"/>
          </w:divBdr>
        </w:div>
        <w:div w:id="1503080114">
          <w:marLeft w:val="480"/>
          <w:marRight w:val="0"/>
          <w:marTop w:val="0"/>
          <w:marBottom w:val="0"/>
          <w:divBdr>
            <w:top w:val="none" w:sz="0" w:space="0" w:color="auto"/>
            <w:left w:val="none" w:sz="0" w:space="0" w:color="auto"/>
            <w:bottom w:val="none" w:sz="0" w:space="0" w:color="auto"/>
            <w:right w:val="none" w:sz="0" w:space="0" w:color="auto"/>
          </w:divBdr>
        </w:div>
        <w:div w:id="3554962">
          <w:marLeft w:val="480"/>
          <w:marRight w:val="0"/>
          <w:marTop w:val="0"/>
          <w:marBottom w:val="0"/>
          <w:divBdr>
            <w:top w:val="none" w:sz="0" w:space="0" w:color="auto"/>
            <w:left w:val="none" w:sz="0" w:space="0" w:color="auto"/>
            <w:bottom w:val="none" w:sz="0" w:space="0" w:color="auto"/>
            <w:right w:val="none" w:sz="0" w:space="0" w:color="auto"/>
          </w:divBdr>
        </w:div>
        <w:div w:id="61681546">
          <w:marLeft w:val="480"/>
          <w:marRight w:val="0"/>
          <w:marTop w:val="0"/>
          <w:marBottom w:val="0"/>
          <w:divBdr>
            <w:top w:val="none" w:sz="0" w:space="0" w:color="auto"/>
            <w:left w:val="none" w:sz="0" w:space="0" w:color="auto"/>
            <w:bottom w:val="none" w:sz="0" w:space="0" w:color="auto"/>
            <w:right w:val="none" w:sz="0" w:space="0" w:color="auto"/>
          </w:divBdr>
        </w:div>
        <w:div w:id="1412236060">
          <w:marLeft w:val="480"/>
          <w:marRight w:val="0"/>
          <w:marTop w:val="0"/>
          <w:marBottom w:val="0"/>
          <w:divBdr>
            <w:top w:val="none" w:sz="0" w:space="0" w:color="auto"/>
            <w:left w:val="none" w:sz="0" w:space="0" w:color="auto"/>
            <w:bottom w:val="none" w:sz="0" w:space="0" w:color="auto"/>
            <w:right w:val="none" w:sz="0" w:space="0" w:color="auto"/>
          </w:divBdr>
        </w:div>
        <w:div w:id="1412194385">
          <w:marLeft w:val="480"/>
          <w:marRight w:val="0"/>
          <w:marTop w:val="0"/>
          <w:marBottom w:val="0"/>
          <w:divBdr>
            <w:top w:val="none" w:sz="0" w:space="0" w:color="auto"/>
            <w:left w:val="none" w:sz="0" w:space="0" w:color="auto"/>
            <w:bottom w:val="none" w:sz="0" w:space="0" w:color="auto"/>
            <w:right w:val="none" w:sz="0" w:space="0" w:color="auto"/>
          </w:divBdr>
        </w:div>
        <w:div w:id="508329292">
          <w:marLeft w:val="480"/>
          <w:marRight w:val="0"/>
          <w:marTop w:val="0"/>
          <w:marBottom w:val="0"/>
          <w:divBdr>
            <w:top w:val="none" w:sz="0" w:space="0" w:color="auto"/>
            <w:left w:val="none" w:sz="0" w:space="0" w:color="auto"/>
            <w:bottom w:val="none" w:sz="0" w:space="0" w:color="auto"/>
            <w:right w:val="none" w:sz="0" w:space="0" w:color="auto"/>
          </w:divBdr>
        </w:div>
        <w:div w:id="1996640412">
          <w:marLeft w:val="480"/>
          <w:marRight w:val="0"/>
          <w:marTop w:val="0"/>
          <w:marBottom w:val="0"/>
          <w:divBdr>
            <w:top w:val="none" w:sz="0" w:space="0" w:color="auto"/>
            <w:left w:val="none" w:sz="0" w:space="0" w:color="auto"/>
            <w:bottom w:val="none" w:sz="0" w:space="0" w:color="auto"/>
            <w:right w:val="none" w:sz="0" w:space="0" w:color="auto"/>
          </w:divBdr>
        </w:div>
        <w:div w:id="431898935">
          <w:marLeft w:val="480"/>
          <w:marRight w:val="0"/>
          <w:marTop w:val="0"/>
          <w:marBottom w:val="0"/>
          <w:divBdr>
            <w:top w:val="none" w:sz="0" w:space="0" w:color="auto"/>
            <w:left w:val="none" w:sz="0" w:space="0" w:color="auto"/>
            <w:bottom w:val="none" w:sz="0" w:space="0" w:color="auto"/>
            <w:right w:val="none" w:sz="0" w:space="0" w:color="auto"/>
          </w:divBdr>
        </w:div>
        <w:div w:id="2095739554">
          <w:marLeft w:val="480"/>
          <w:marRight w:val="0"/>
          <w:marTop w:val="0"/>
          <w:marBottom w:val="0"/>
          <w:divBdr>
            <w:top w:val="none" w:sz="0" w:space="0" w:color="auto"/>
            <w:left w:val="none" w:sz="0" w:space="0" w:color="auto"/>
            <w:bottom w:val="none" w:sz="0" w:space="0" w:color="auto"/>
            <w:right w:val="none" w:sz="0" w:space="0" w:color="auto"/>
          </w:divBdr>
        </w:div>
        <w:div w:id="1771318099">
          <w:marLeft w:val="480"/>
          <w:marRight w:val="0"/>
          <w:marTop w:val="0"/>
          <w:marBottom w:val="0"/>
          <w:divBdr>
            <w:top w:val="none" w:sz="0" w:space="0" w:color="auto"/>
            <w:left w:val="none" w:sz="0" w:space="0" w:color="auto"/>
            <w:bottom w:val="none" w:sz="0" w:space="0" w:color="auto"/>
            <w:right w:val="none" w:sz="0" w:space="0" w:color="auto"/>
          </w:divBdr>
        </w:div>
        <w:div w:id="681904516">
          <w:marLeft w:val="480"/>
          <w:marRight w:val="0"/>
          <w:marTop w:val="0"/>
          <w:marBottom w:val="0"/>
          <w:divBdr>
            <w:top w:val="none" w:sz="0" w:space="0" w:color="auto"/>
            <w:left w:val="none" w:sz="0" w:space="0" w:color="auto"/>
            <w:bottom w:val="none" w:sz="0" w:space="0" w:color="auto"/>
            <w:right w:val="none" w:sz="0" w:space="0" w:color="auto"/>
          </w:divBdr>
        </w:div>
        <w:div w:id="611205924">
          <w:marLeft w:val="480"/>
          <w:marRight w:val="0"/>
          <w:marTop w:val="0"/>
          <w:marBottom w:val="0"/>
          <w:divBdr>
            <w:top w:val="none" w:sz="0" w:space="0" w:color="auto"/>
            <w:left w:val="none" w:sz="0" w:space="0" w:color="auto"/>
            <w:bottom w:val="none" w:sz="0" w:space="0" w:color="auto"/>
            <w:right w:val="none" w:sz="0" w:space="0" w:color="auto"/>
          </w:divBdr>
        </w:div>
        <w:div w:id="1582716609">
          <w:marLeft w:val="480"/>
          <w:marRight w:val="0"/>
          <w:marTop w:val="0"/>
          <w:marBottom w:val="0"/>
          <w:divBdr>
            <w:top w:val="none" w:sz="0" w:space="0" w:color="auto"/>
            <w:left w:val="none" w:sz="0" w:space="0" w:color="auto"/>
            <w:bottom w:val="none" w:sz="0" w:space="0" w:color="auto"/>
            <w:right w:val="none" w:sz="0" w:space="0" w:color="auto"/>
          </w:divBdr>
        </w:div>
        <w:div w:id="1164323975">
          <w:marLeft w:val="480"/>
          <w:marRight w:val="0"/>
          <w:marTop w:val="0"/>
          <w:marBottom w:val="0"/>
          <w:divBdr>
            <w:top w:val="none" w:sz="0" w:space="0" w:color="auto"/>
            <w:left w:val="none" w:sz="0" w:space="0" w:color="auto"/>
            <w:bottom w:val="none" w:sz="0" w:space="0" w:color="auto"/>
            <w:right w:val="none" w:sz="0" w:space="0" w:color="auto"/>
          </w:divBdr>
        </w:div>
        <w:div w:id="1013459353">
          <w:marLeft w:val="480"/>
          <w:marRight w:val="0"/>
          <w:marTop w:val="0"/>
          <w:marBottom w:val="0"/>
          <w:divBdr>
            <w:top w:val="none" w:sz="0" w:space="0" w:color="auto"/>
            <w:left w:val="none" w:sz="0" w:space="0" w:color="auto"/>
            <w:bottom w:val="none" w:sz="0" w:space="0" w:color="auto"/>
            <w:right w:val="none" w:sz="0" w:space="0" w:color="auto"/>
          </w:divBdr>
        </w:div>
        <w:div w:id="1806970532">
          <w:marLeft w:val="480"/>
          <w:marRight w:val="0"/>
          <w:marTop w:val="0"/>
          <w:marBottom w:val="0"/>
          <w:divBdr>
            <w:top w:val="none" w:sz="0" w:space="0" w:color="auto"/>
            <w:left w:val="none" w:sz="0" w:space="0" w:color="auto"/>
            <w:bottom w:val="none" w:sz="0" w:space="0" w:color="auto"/>
            <w:right w:val="none" w:sz="0" w:space="0" w:color="auto"/>
          </w:divBdr>
        </w:div>
        <w:div w:id="1666401255">
          <w:marLeft w:val="480"/>
          <w:marRight w:val="0"/>
          <w:marTop w:val="0"/>
          <w:marBottom w:val="0"/>
          <w:divBdr>
            <w:top w:val="none" w:sz="0" w:space="0" w:color="auto"/>
            <w:left w:val="none" w:sz="0" w:space="0" w:color="auto"/>
            <w:bottom w:val="none" w:sz="0" w:space="0" w:color="auto"/>
            <w:right w:val="none" w:sz="0" w:space="0" w:color="auto"/>
          </w:divBdr>
        </w:div>
        <w:div w:id="357659127">
          <w:marLeft w:val="480"/>
          <w:marRight w:val="0"/>
          <w:marTop w:val="0"/>
          <w:marBottom w:val="0"/>
          <w:divBdr>
            <w:top w:val="none" w:sz="0" w:space="0" w:color="auto"/>
            <w:left w:val="none" w:sz="0" w:space="0" w:color="auto"/>
            <w:bottom w:val="none" w:sz="0" w:space="0" w:color="auto"/>
            <w:right w:val="none" w:sz="0" w:space="0" w:color="auto"/>
          </w:divBdr>
        </w:div>
        <w:div w:id="1148590686">
          <w:marLeft w:val="480"/>
          <w:marRight w:val="0"/>
          <w:marTop w:val="0"/>
          <w:marBottom w:val="0"/>
          <w:divBdr>
            <w:top w:val="none" w:sz="0" w:space="0" w:color="auto"/>
            <w:left w:val="none" w:sz="0" w:space="0" w:color="auto"/>
            <w:bottom w:val="none" w:sz="0" w:space="0" w:color="auto"/>
            <w:right w:val="none" w:sz="0" w:space="0" w:color="auto"/>
          </w:divBdr>
        </w:div>
        <w:div w:id="587159973">
          <w:marLeft w:val="480"/>
          <w:marRight w:val="0"/>
          <w:marTop w:val="0"/>
          <w:marBottom w:val="0"/>
          <w:divBdr>
            <w:top w:val="none" w:sz="0" w:space="0" w:color="auto"/>
            <w:left w:val="none" w:sz="0" w:space="0" w:color="auto"/>
            <w:bottom w:val="none" w:sz="0" w:space="0" w:color="auto"/>
            <w:right w:val="none" w:sz="0" w:space="0" w:color="auto"/>
          </w:divBdr>
        </w:div>
        <w:div w:id="654265418">
          <w:marLeft w:val="480"/>
          <w:marRight w:val="0"/>
          <w:marTop w:val="0"/>
          <w:marBottom w:val="0"/>
          <w:divBdr>
            <w:top w:val="none" w:sz="0" w:space="0" w:color="auto"/>
            <w:left w:val="none" w:sz="0" w:space="0" w:color="auto"/>
            <w:bottom w:val="none" w:sz="0" w:space="0" w:color="auto"/>
            <w:right w:val="none" w:sz="0" w:space="0" w:color="auto"/>
          </w:divBdr>
        </w:div>
        <w:div w:id="1191411679">
          <w:marLeft w:val="480"/>
          <w:marRight w:val="0"/>
          <w:marTop w:val="0"/>
          <w:marBottom w:val="0"/>
          <w:divBdr>
            <w:top w:val="none" w:sz="0" w:space="0" w:color="auto"/>
            <w:left w:val="none" w:sz="0" w:space="0" w:color="auto"/>
            <w:bottom w:val="none" w:sz="0" w:space="0" w:color="auto"/>
            <w:right w:val="none" w:sz="0" w:space="0" w:color="auto"/>
          </w:divBdr>
        </w:div>
        <w:div w:id="984313063">
          <w:marLeft w:val="480"/>
          <w:marRight w:val="0"/>
          <w:marTop w:val="0"/>
          <w:marBottom w:val="0"/>
          <w:divBdr>
            <w:top w:val="none" w:sz="0" w:space="0" w:color="auto"/>
            <w:left w:val="none" w:sz="0" w:space="0" w:color="auto"/>
            <w:bottom w:val="none" w:sz="0" w:space="0" w:color="auto"/>
            <w:right w:val="none" w:sz="0" w:space="0" w:color="auto"/>
          </w:divBdr>
        </w:div>
        <w:div w:id="1961955467">
          <w:marLeft w:val="480"/>
          <w:marRight w:val="0"/>
          <w:marTop w:val="0"/>
          <w:marBottom w:val="0"/>
          <w:divBdr>
            <w:top w:val="none" w:sz="0" w:space="0" w:color="auto"/>
            <w:left w:val="none" w:sz="0" w:space="0" w:color="auto"/>
            <w:bottom w:val="none" w:sz="0" w:space="0" w:color="auto"/>
            <w:right w:val="none" w:sz="0" w:space="0" w:color="auto"/>
          </w:divBdr>
        </w:div>
        <w:div w:id="1055541345">
          <w:marLeft w:val="480"/>
          <w:marRight w:val="0"/>
          <w:marTop w:val="0"/>
          <w:marBottom w:val="0"/>
          <w:divBdr>
            <w:top w:val="none" w:sz="0" w:space="0" w:color="auto"/>
            <w:left w:val="none" w:sz="0" w:space="0" w:color="auto"/>
            <w:bottom w:val="none" w:sz="0" w:space="0" w:color="auto"/>
            <w:right w:val="none" w:sz="0" w:space="0" w:color="auto"/>
          </w:divBdr>
        </w:div>
        <w:div w:id="1421372480">
          <w:marLeft w:val="480"/>
          <w:marRight w:val="0"/>
          <w:marTop w:val="0"/>
          <w:marBottom w:val="0"/>
          <w:divBdr>
            <w:top w:val="none" w:sz="0" w:space="0" w:color="auto"/>
            <w:left w:val="none" w:sz="0" w:space="0" w:color="auto"/>
            <w:bottom w:val="none" w:sz="0" w:space="0" w:color="auto"/>
            <w:right w:val="none" w:sz="0" w:space="0" w:color="auto"/>
          </w:divBdr>
        </w:div>
        <w:div w:id="1875921549">
          <w:marLeft w:val="480"/>
          <w:marRight w:val="0"/>
          <w:marTop w:val="0"/>
          <w:marBottom w:val="0"/>
          <w:divBdr>
            <w:top w:val="none" w:sz="0" w:space="0" w:color="auto"/>
            <w:left w:val="none" w:sz="0" w:space="0" w:color="auto"/>
            <w:bottom w:val="none" w:sz="0" w:space="0" w:color="auto"/>
            <w:right w:val="none" w:sz="0" w:space="0" w:color="auto"/>
          </w:divBdr>
        </w:div>
        <w:div w:id="476530403">
          <w:marLeft w:val="480"/>
          <w:marRight w:val="0"/>
          <w:marTop w:val="0"/>
          <w:marBottom w:val="0"/>
          <w:divBdr>
            <w:top w:val="none" w:sz="0" w:space="0" w:color="auto"/>
            <w:left w:val="none" w:sz="0" w:space="0" w:color="auto"/>
            <w:bottom w:val="none" w:sz="0" w:space="0" w:color="auto"/>
            <w:right w:val="none" w:sz="0" w:space="0" w:color="auto"/>
          </w:divBdr>
        </w:div>
        <w:div w:id="307823003">
          <w:marLeft w:val="480"/>
          <w:marRight w:val="0"/>
          <w:marTop w:val="0"/>
          <w:marBottom w:val="0"/>
          <w:divBdr>
            <w:top w:val="none" w:sz="0" w:space="0" w:color="auto"/>
            <w:left w:val="none" w:sz="0" w:space="0" w:color="auto"/>
            <w:bottom w:val="none" w:sz="0" w:space="0" w:color="auto"/>
            <w:right w:val="none" w:sz="0" w:space="0" w:color="auto"/>
          </w:divBdr>
        </w:div>
        <w:div w:id="540288104">
          <w:marLeft w:val="480"/>
          <w:marRight w:val="0"/>
          <w:marTop w:val="0"/>
          <w:marBottom w:val="0"/>
          <w:divBdr>
            <w:top w:val="none" w:sz="0" w:space="0" w:color="auto"/>
            <w:left w:val="none" w:sz="0" w:space="0" w:color="auto"/>
            <w:bottom w:val="none" w:sz="0" w:space="0" w:color="auto"/>
            <w:right w:val="none" w:sz="0" w:space="0" w:color="auto"/>
          </w:divBdr>
        </w:div>
        <w:div w:id="941452018">
          <w:marLeft w:val="480"/>
          <w:marRight w:val="0"/>
          <w:marTop w:val="0"/>
          <w:marBottom w:val="0"/>
          <w:divBdr>
            <w:top w:val="none" w:sz="0" w:space="0" w:color="auto"/>
            <w:left w:val="none" w:sz="0" w:space="0" w:color="auto"/>
            <w:bottom w:val="none" w:sz="0" w:space="0" w:color="auto"/>
            <w:right w:val="none" w:sz="0" w:space="0" w:color="auto"/>
          </w:divBdr>
        </w:div>
        <w:div w:id="1694458427">
          <w:marLeft w:val="480"/>
          <w:marRight w:val="0"/>
          <w:marTop w:val="0"/>
          <w:marBottom w:val="0"/>
          <w:divBdr>
            <w:top w:val="none" w:sz="0" w:space="0" w:color="auto"/>
            <w:left w:val="none" w:sz="0" w:space="0" w:color="auto"/>
            <w:bottom w:val="none" w:sz="0" w:space="0" w:color="auto"/>
            <w:right w:val="none" w:sz="0" w:space="0" w:color="auto"/>
          </w:divBdr>
        </w:div>
        <w:div w:id="554894224">
          <w:marLeft w:val="480"/>
          <w:marRight w:val="0"/>
          <w:marTop w:val="0"/>
          <w:marBottom w:val="0"/>
          <w:divBdr>
            <w:top w:val="none" w:sz="0" w:space="0" w:color="auto"/>
            <w:left w:val="none" w:sz="0" w:space="0" w:color="auto"/>
            <w:bottom w:val="none" w:sz="0" w:space="0" w:color="auto"/>
            <w:right w:val="none" w:sz="0" w:space="0" w:color="auto"/>
          </w:divBdr>
        </w:div>
        <w:div w:id="974069094">
          <w:marLeft w:val="480"/>
          <w:marRight w:val="0"/>
          <w:marTop w:val="0"/>
          <w:marBottom w:val="0"/>
          <w:divBdr>
            <w:top w:val="none" w:sz="0" w:space="0" w:color="auto"/>
            <w:left w:val="none" w:sz="0" w:space="0" w:color="auto"/>
            <w:bottom w:val="none" w:sz="0" w:space="0" w:color="auto"/>
            <w:right w:val="none" w:sz="0" w:space="0" w:color="auto"/>
          </w:divBdr>
        </w:div>
        <w:div w:id="1620070230">
          <w:marLeft w:val="480"/>
          <w:marRight w:val="0"/>
          <w:marTop w:val="0"/>
          <w:marBottom w:val="0"/>
          <w:divBdr>
            <w:top w:val="none" w:sz="0" w:space="0" w:color="auto"/>
            <w:left w:val="none" w:sz="0" w:space="0" w:color="auto"/>
            <w:bottom w:val="none" w:sz="0" w:space="0" w:color="auto"/>
            <w:right w:val="none" w:sz="0" w:space="0" w:color="auto"/>
          </w:divBdr>
        </w:div>
        <w:div w:id="846677947">
          <w:marLeft w:val="480"/>
          <w:marRight w:val="0"/>
          <w:marTop w:val="0"/>
          <w:marBottom w:val="0"/>
          <w:divBdr>
            <w:top w:val="none" w:sz="0" w:space="0" w:color="auto"/>
            <w:left w:val="none" w:sz="0" w:space="0" w:color="auto"/>
            <w:bottom w:val="none" w:sz="0" w:space="0" w:color="auto"/>
            <w:right w:val="none" w:sz="0" w:space="0" w:color="auto"/>
          </w:divBdr>
        </w:div>
        <w:div w:id="1582834118">
          <w:marLeft w:val="480"/>
          <w:marRight w:val="0"/>
          <w:marTop w:val="0"/>
          <w:marBottom w:val="0"/>
          <w:divBdr>
            <w:top w:val="none" w:sz="0" w:space="0" w:color="auto"/>
            <w:left w:val="none" w:sz="0" w:space="0" w:color="auto"/>
            <w:bottom w:val="none" w:sz="0" w:space="0" w:color="auto"/>
            <w:right w:val="none" w:sz="0" w:space="0" w:color="auto"/>
          </w:divBdr>
        </w:div>
        <w:div w:id="1282105338">
          <w:marLeft w:val="480"/>
          <w:marRight w:val="0"/>
          <w:marTop w:val="0"/>
          <w:marBottom w:val="0"/>
          <w:divBdr>
            <w:top w:val="none" w:sz="0" w:space="0" w:color="auto"/>
            <w:left w:val="none" w:sz="0" w:space="0" w:color="auto"/>
            <w:bottom w:val="none" w:sz="0" w:space="0" w:color="auto"/>
            <w:right w:val="none" w:sz="0" w:space="0" w:color="auto"/>
          </w:divBdr>
        </w:div>
        <w:div w:id="604849349">
          <w:marLeft w:val="480"/>
          <w:marRight w:val="0"/>
          <w:marTop w:val="0"/>
          <w:marBottom w:val="0"/>
          <w:divBdr>
            <w:top w:val="none" w:sz="0" w:space="0" w:color="auto"/>
            <w:left w:val="none" w:sz="0" w:space="0" w:color="auto"/>
            <w:bottom w:val="none" w:sz="0" w:space="0" w:color="auto"/>
            <w:right w:val="none" w:sz="0" w:space="0" w:color="auto"/>
          </w:divBdr>
        </w:div>
        <w:div w:id="1384594799">
          <w:marLeft w:val="480"/>
          <w:marRight w:val="0"/>
          <w:marTop w:val="0"/>
          <w:marBottom w:val="0"/>
          <w:divBdr>
            <w:top w:val="none" w:sz="0" w:space="0" w:color="auto"/>
            <w:left w:val="none" w:sz="0" w:space="0" w:color="auto"/>
            <w:bottom w:val="none" w:sz="0" w:space="0" w:color="auto"/>
            <w:right w:val="none" w:sz="0" w:space="0" w:color="auto"/>
          </w:divBdr>
        </w:div>
        <w:div w:id="1444230193">
          <w:marLeft w:val="480"/>
          <w:marRight w:val="0"/>
          <w:marTop w:val="0"/>
          <w:marBottom w:val="0"/>
          <w:divBdr>
            <w:top w:val="none" w:sz="0" w:space="0" w:color="auto"/>
            <w:left w:val="none" w:sz="0" w:space="0" w:color="auto"/>
            <w:bottom w:val="none" w:sz="0" w:space="0" w:color="auto"/>
            <w:right w:val="none" w:sz="0" w:space="0" w:color="auto"/>
          </w:divBdr>
        </w:div>
        <w:div w:id="1429306181">
          <w:marLeft w:val="480"/>
          <w:marRight w:val="0"/>
          <w:marTop w:val="0"/>
          <w:marBottom w:val="0"/>
          <w:divBdr>
            <w:top w:val="none" w:sz="0" w:space="0" w:color="auto"/>
            <w:left w:val="none" w:sz="0" w:space="0" w:color="auto"/>
            <w:bottom w:val="none" w:sz="0" w:space="0" w:color="auto"/>
            <w:right w:val="none" w:sz="0" w:space="0" w:color="auto"/>
          </w:divBdr>
        </w:div>
        <w:div w:id="1046218838">
          <w:marLeft w:val="480"/>
          <w:marRight w:val="0"/>
          <w:marTop w:val="0"/>
          <w:marBottom w:val="0"/>
          <w:divBdr>
            <w:top w:val="none" w:sz="0" w:space="0" w:color="auto"/>
            <w:left w:val="none" w:sz="0" w:space="0" w:color="auto"/>
            <w:bottom w:val="none" w:sz="0" w:space="0" w:color="auto"/>
            <w:right w:val="none" w:sz="0" w:space="0" w:color="auto"/>
          </w:divBdr>
        </w:div>
        <w:div w:id="1454862064">
          <w:marLeft w:val="480"/>
          <w:marRight w:val="0"/>
          <w:marTop w:val="0"/>
          <w:marBottom w:val="0"/>
          <w:divBdr>
            <w:top w:val="none" w:sz="0" w:space="0" w:color="auto"/>
            <w:left w:val="none" w:sz="0" w:space="0" w:color="auto"/>
            <w:bottom w:val="none" w:sz="0" w:space="0" w:color="auto"/>
            <w:right w:val="none" w:sz="0" w:space="0" w:color="auto"/>
          </w:divBdr>
        </w:div>
        <w:div w:id="552812597">
          <w:marLeft w:val="480"/>
          <w:marRight w:val="0"/>
          <w:marTop w:val="0"/>
          <w:marBottom w:val="0"/>
          <w:divBdr>
            <w:top w:val="none" w:sz="0" w:space="0" w:color="auto"/>
            <w:left w:val="none" w:sz="0" w:space="0" w:color="auto"/>
            <w:bottom w:val="none" w:sz="0" w:space="0" w:color="auto"/>
            <w:right w:val="none" w:sz="0" w:space="0" w:color="auto"/>
          </w:divBdr>
        </w:div>
        <w:div w:id="1365210842">
          <w:marLeft w:val="480"/>
          <w:marRight w:val="0"/>
          <w:marTop w:val="0"/>
          <w:marBottom w:val="0"/>
          <w:divBdr>
            <w:top w:val="none" w:sz="0" w:space="0" w:color="auto"/>
            <w:left w:val="none" w:sz="0" w:space="0" w:color="auto"/>
            <w:bottom w:val="none" w:sz="0" w:space="0" w:color="auto"/>
            <w:right w:val="none" w:sz="0" w:space="0" w:color="auto"/>
          </w:divBdr>
        </w:div>
        <w:div w:id="1161117811">
          <w:marLeft w:val="480"/>
          <w:marRight w:val="0"/>
          <w:marTop w:val="0"/>
          <w:marBottom w:val="0"/>
          <w:divBdr>
            <w:top w:val="none" w:sz="0" w:space="0" w:color="auto"/>
            <w:left w:val="none" w:sz="0" w:space="0" w:color="auto"/>
            <w:bottom w:val="none" w:sz="0" w:space="0" w:color="auto"/>
            <w:right w:val="none" w:sz="0" w:space="0" w:color="auto"/>
          </w:divBdr>
        </w:div>
        <w:div w:id="356084091">
          <w:marLeft w:val="480"/>
          <w:marRight w:val="0"/>
          <w:marTop w:val="0"/>
          <w:marBottom w:val="0"/>
          <w:divBdr>
            <w:top w:val="none" w:sz="0" w:space="0" w:color="auto"/>
            <w:left w:val="none" w:sz="0" w:space="0" w:color="auto"/>
            <w:bottom w:val="none" w:sz="0" w:space="0" w:color="auto"/>
            <w:right w:val="none" w:sz="0" w:space="0" w:color="auto"/>
          </w:divBdr>
        </w:div>
        <w:div w:id="822505542">
          <w:marLeft w:val="480"/>
          <w:marRight w:val="0"/>
          <w:marTop w:val="0"/>
          <w:marBottom w:val="0"/>
          <w:divBdr>
            <w:top w:val="none" w:sz="0" w:space="0" w:color="auto"/>
            <w:left w:val="none" w:sz="0" w:space="0" w:color="auto"/>
            <w:bottom w:val="none" w:sz="0" w:space="0" w:color="auto"/>
            <w:right w:val="none" w:sz="0" w:space="0" w:color="auto"/>
          </w:divBdr>
        </w:div>
        <w:div w:id="1230770370">
          <w:marLeft w:val="480"/>
          <w:marRight w:val="0"/>
          <w:marTop w:val="0"/>
          <w:marBottom w:val="0"/>
          <w:divBdr>
            <w:top w:val="none" w:sz="0" w:space="0" w:color="auto"/>
            <w:left w:val="none" w:sz="0" w:space="0" w:color="auto"/>
            <w:bottom w:val="none" w:sz="0" w:space="0" w:color="auto"/>
            <w:right w:val="none" w:sz="0" w:space="0" w:color="auto"/>
          </w:divBdr>
        </w:div>
        <w:div w:id="1862737480">
          <w:marLeft w:val="480"/>
          <w:marRight w:val="0"/>
          <w:marTop w:val="0"/>
          <w:marBottom w:val="0"/>
          <w:divBdr>
            <w:top w:val="none" w:sz="0" w:space="0" w:color="auto"/>
            <w:left w:val="none" w:sz="0" w:space="0" w:color="auto"/>
            <w:bottom w:val="none" w:sz="0" w:space="0" w:color="auto"/>
            <w:right w:val="none" w:sz="0" w:space="0" w:color="auto"/>
          </w:divBdr>
        </w:div>
        <w:div w:id="957293097">
          <w:marLeft w:val="480"/>
          <w:marRight w:val="0"/>
          <w:marTop w:val="0"/>
          <w:marBottom w:val="0"/>
          <w:divBdr>
            <w:top w:val="none" w:sz="0" w:space="0" w:color="auto"/>
            <w:left w:val="none" w:sz="0" w:space="0" w:color="auto"/>
            <w:bottom w:val="none" w:sz="0" w:space="0" w:color="auto"/>
            <w:right w:val="none" w:sz="0" w:space="0" w:color="auto"/>
          </w:divBdr>
        </w:div>
        <w:div w:id="433744657">
          <w:marLeft w:val="480"/>
          <w:marRight w:val="0"/>
          <w:marTop w:val="0"/>
          <w:marBottom w:val="0"/>
          <w:divBdr>
            <w:top w:val="none" w:sz="0" w:space="0" w:color="auto"/>
            <w:left w:val="none" w:sz="0" w:space="0" w:color="auto"/>
            <w:bottom w:val="none" w:sz="0" w:space="0" w:color="auto"/>
            <w:right w:val="none" w:sz="0" w:space="0" w:color="auto"/>
          </w:divBdr>
        </w:div>
        <w:div w:id="313604747">
          <w:marLeft w:val="480"/>
          <w:marRight w:val="0"/>
          <w:marTop w:val="0"/>
          <w:marBottom w:val="0"/>
          <w:divBdr>
            <w:top w:val="none" w:sz="0" w:space="0" w:color="auto"/>
            <w:left w:val="none" w:sz="0" w:space="0" w:color="auto"/>
            <w:bottom w:val="none" w:sz="0" w:space="0" w:color="auto"/>
            <w:right w:val="none" w:sz="0" w:space="0" w:color="auto"/>
          </w:divBdr>
        </w:div>
        <w:div w:id="44375812">
          <w:marLeft w:val="480"/>
          <w:marRight w:val="0"/>
          <w:marTop w:val="0"/>
          <w:marBottom w:val="0"/>
          <w:divBdr>
            <w:top w:val="none" w:sz="0" w:space="0" w:color="auto"/>
            <w:left w:val="none" w:sz="0" w:space="0" w:color="auto"/>
            <w:bottom w:val="none" w:sz="0" w:space="0" w:color="auto"/>
            <w:right w:val="none" w:sz="0" w:space="0" w:color="auto"/>
          </w:divBdr>
        </w:div>
        <w:div w:id="1851942565">
          <w:marLeft w:val="480"/>
          <w:marRight w:val="0"/>
          <w:marTop w:val="0"/>
          <w:marBottom w:val="0"/>
          <w:divBdr>
            <w:top w:val="none" w:sz="0" w:space="0" w:color="auto"/>
            <w:left w:val="none" w:sz="0" w:space="0" w:color="auto"/>
            <w:bottom w:val="none" w:sz="0" w:space="0" w:color="auto"/>
            <w:right w:val="none" w:sz="0" w:space="0" w:color="auto"/>
          </w:divBdr>
        </w:div>
        <w:div w:id="1543324870">
          <w:marLeft w:val="480"/>
          <w:marRight w:val="0"/>
          <w:marTop w:val="0"/>
          <w:marBottom w:val="0"/>
          <w:divBdr>
            <w:top w:val="none" w:sz="0" w:space="0" w:color="auto"/>
            <w:left w:val="none" w:sz="0" w:space="0" w:color="auto"/>
            <w:bottom w:val="none" w:sz="0" w:space="0" w:color="auto"/>
            <w:right w:val="none" w:sz="0" w:space="0" w:color="auto"/>
          </w:divBdr>
        </w:div>
        <w:div w:id="1822770329">
          <w:marLeft w:val="480"/>
          <w:marRight w:val="0"/>
          <w:marTop w:val="0"/>
          <w:marBottom w:val="0"/>
          <w:divBdr>
            <w:top w:val="none" w:sz="0" w:space="0" w:color="auto"/>
            <w:left w:val="none" w:sz="0" w:space="0" w:color="auto"/>
            <w:bottom w:val="none" w:sz="0" w:space="0" w:color="auto"/>
            <w:right w:val="none" w:sz="0" w:space="0" w:color="auto"/>
          </w:divBdr>
        </w:div>
        <w:div w:id="981151079">
          <w:marLeft w:val="480"/>
          <w:marRight w:val="0"/>
          <w:marTop w:val="0"/>
          <w:marBottom w:val="0"/>
          <w:divBdr>
            <w:top w:val="none" w:sz="0" w:space="0" w:color="auto"/>
            <w:left w:val="none" w:sz="0" w:space="0" w:color="auto"/>
            <w:bottom w:val="none" w:sz="0" w:space="0" w:color="auto"/>
            <w:right w:val="none" w:sz="0" w:space="0" w:color="auto"/>
          </w:divBdr>
        </w:div>
        <w:div w:id="1566716845">
          <w:marLeft w:val="480"/>
          <w:marRight w:val="0"/>
          <w:marTop w:val="0"/>
          <w:marBottom w:val="0"/>
          <w:divBdr>
            <w:top w:val="none" w:sz="0" w:space="0" w:color="auto"/>
            <w:left w:val="none" w:sz="0" w:space="0" w:color="auto"/>
            <w:bottom w:val="none" w:sz="0" w:space="0" w:color="auto"/>
            <w:right w:val="none" w:sz="0" w:space="0" w:color="auto"/>
          </w:divBdr>
        </w:div>
        <w:div w:id="264651557">
          <w:marLeft w:val="480"/>
          <w:marRight w:val="0"/>
          <w:marTop w:val="0"/>
          <w:marBottom w:val="0"/>
          <w:divBdr>
            <w:top w:val="none" w:sz="0" w:space="0" w:color="auto"/>
            <w:left w:val="none" w:sz="0" w:space="0" w:color="auto"/>
            <w:bottom w:val="none" w:sz="0" w:space="0" w:color="auto"/>
            <w:right w:val="none" w:sz="0" w:space="0" w:color="auto"/>
          </w:divBdr>
        </w:div>
        <w:div w:id="7874231">
          <w:marLeft w:val="480"/>
          <w:marRight w:val="0"/>
          <w:marTop w:val="0"/>
          <w:marBottom w:val="0"/>
          <w:divBdr>
            <w:top w:val="none" w:sz="0" w:space="0" w:color="auto"/>
            <w:left w:val="none" w:sz="0" w:space="0" w:color="auto"/>
            <w:bottom w:val="none" w:sz="0" w:space="0" w:color="auto"/>
            <w:right w:val="none" w:sz="0" w:space="0" w:color="auto"/>
          </w:divBdr>
        </w:div>
        <w:div w:id="1390837159">
          <w:marLeft w:val="480"/>
          <w:marRight w:val="0"/>
          <w:marTop w:val="0"/>
          <w:marBottom w:val="0"/>
          <w:divBdr>
            <w:top w:val="none" w:sz="0" w:space="0" w:color="auto"/>
            <w:left w:val="none" w:sz="0" w:space="0" w:color="auto"/>
            <w:bottom w:val="none" w:sz="0" w:space="0" w:color="auto"/>
            <w:right w:val="none" w:sz="0" w:space="0" w:color="auto"/>
          </w:divBdr>
        </w:div>
        <w:div w:id="496309797">
          <w:marLeft w:val="480"/>
          <w:marRight w:val="0"/>
          <w:marTop w:val="0"/>
          <w:marBottom w:val="0"/>
          <w:divBdr>
            <w:top w:val="none" w:sz="0" w:space="0" w:color="auto"/>
            <w:left w:val="none" w:sz="0" w:space="0" w:color="auto"/>
            <w:bottom w:val="none" w:sz="0" w:space="0" w:color="auto"/>
            <w:right w:val="none" w:sz="0" w:space="0" w:color="auto"/>
          </w:divBdr>
        </w:div>
        <w:div w:id="488904173">
          <w:marLeft w:val="480"/>
          <w:marRight w:val="0"/>
          <w:marTop w:val="0"/>
          <w:marBottom w:val="0"/>
          <w:divBdr>
            <w:top w:val="none" w:sz="0" w:space="0" w:color="auto"/>
            <w:left w:val="none" w:sz="0" w:space="0" w:color="auto"/>
            <w:bottom w:val="none" w:sz="0" w:space="0" w:color="auto"/>
            <w:right w:val="none" w:sz="0" w:space="0" w:color="auto"/>
          </w:divBdr>
        </w:div>
        <w:div w:id="745028559">
          <w:marLeft w:val="480"/>
          <w:marRight w:val="0"/>
          <w:marTop w:val="0"/>
          <w:marBottom w:val="0"/>
          <w:divBdr>
            <w:top w:val="none" w:sz="0" w:space="0" w:color="auto"/>
            <w:left w:val="none" w:sz="0" w:space="0" w:color="auto"/>
            <w:bottom w:val="none" w:sz="0" w:space="0" w:color="auto"/>
            <w:right w:val="none" w:sz="0" w:space="0" w:color="auto"/>
          </w:divBdr>
        </w:div>
        <w:div w:id="252276051">
          <w:marLeft w:val="480"/>
          <w:marRight w:val="0"/>
          <w:marTop w:val="0"/>
          <w:marBottom w:val="0"/>
          <w:divBdr>
            <w:top w:val="none" w:sz="0" w:space="0" w:color="auto"/>
            <w:left w:val="none" w:sz="0" w:space="0" w:color="auto"/>
            <w:bottom w:val="none" w:sz="0" w:space="0" w:color="auto"/>
            <w:right w:val="none" w:sz="0" w:space="0" w:color="auto"/>
          </w:divBdr>
        </w:div>
        <w:div w:id="541404261">
          <w:marLeft w:val="480"/>
          <w:marRight w:val="0"/>
          <w:marTop w:val="0"/>
          <w:marBottom w:val="0"/>
          <w:divBdr>
            <w:top w:val="none" w:sz="0" w:space="0" w:color="auto"/>
            <w:left w:val="none" w:sz="0" w:space="0" w:color="auto"/>
            <w:bottom w:val="none" w:sz="0" w:space="0" w:color="auto"/>
            <w:right w:val="none" w:sz="0" w:space="0" w:color="auto"/>
          </w:divBdr>
        </w:div>
        <w:div w:id="893388848">
          <w:marLeft w:val="480"/>
          <w:marRight w:val="0"/>
          <w:marTop w:val="0"/>
          <w:marBottom w:val="0"/>
          <w:divBdr>
            <w:top w:val="none" w:sz="0" w:space="0" w:color="auto"/>
            <w:left w:val="none" w:sz="0" w:space="0" w:color="auto"/>
            <w:bottom w:val="none" w:sz="0" w:space="0" w:color="auto"/>
            <w:right w:val="none" w:sz="0" w:space="0" w:color="auto"/>
          </w:divBdr>
        </w:div>
        <w:div w:id="682897273">
          <w:marLeft w:val="480"/>
          <w:marRight w:val="0"/>
          <w:marTop w:val="0"/>
          <w:marBottom w:val="0"/>
          <w:divBdr>
            <w:top w:val="none" w:sz="0" w:space="0" w:color="auto"/>
            <w:left w:val="none" w:sz="0" w:space="0" w:color="auto"/>
            <w:bottom w:val="none" w:sz="0" w:space="0" w:color="auto"/>
            <w:right w:val="none" w:sz="0" w:space="0" w:color="auto"/>
          </w:divBdr>
        </w:div>
        <w:div w:id="1316252543">
          <w:marLeft w:val="480"/>
          <w:marRight w:val="0"/>
          <w:marTop w:val="0"/>
          <w:marBottom w:val="0"/>
          <w:divBdr>
            <w:top w:val="none" w:sz="0" w:space="0" w:color="auto"/>
            <w:left w:val="none" w:sz="0" w:space="0" w:color="auto"/>
            <w:bottom w:val="none" w:sz="0" w:space="0" w:color="auto"/>
            <w:right w:val="none" w:sz="0" w:space="0" w:color="auto"/>
          </w:divBdr>
        </w:div>
        <w:div w:id="94978532">
          <w:marLeft w:val="480"/>
          <w:marRight w:val="0"/>
          <w:marTop w:val="0"/>
          <w:marBottom w:val="0"/>
          <w:divBdr>
            <w:top w:val="none" w:sz="0" w:space="0" w:color="auto"/>
            <w:left w:val="none" w:sz="0" w:space="0" w:color="auto"/>
            <w:bottom w:val="none" w:sz="0" w:space="0" w:color="auto"/>
            <w:right w:val="none" w:sz="0" w:space="0" w:color="auto"/>
          </w:divBdr>
        </w:div>
        <w:div w:id="1959994366">
          <w:marLeft w:val="480"/>
          <w:marRight w:val="0"/>
          <w:marTop w:val="0"/>
          <w:marBottom w:val="0"/>
          <w:divBdr>
            <w:top w:val="none" w:sz="0" w:space="0" w:color="auto"/>
            <w:left w:val="none" w:sz="0" w:space="0" w:color="auto"/>
            <w:bottom w:val="none" w:sz="0" w:space="0" w:color="auto"/>
            <w:right w:val="none" w:sz="0" w:space="0" w:color="auto"/>
          </w:divBdr>
        </w:div>
        <w:div w:id="1233202019">
          <w:marLeft w:val="480"/>
          <w:marRight w:val="0"/>
          <w:marTop w:val="0"/>
          <w:marBottom w:val="0"/>
          <w:divBdr>
            <w:top w:val="none" w:sz="0" w:space="0" w:color="auto"/>
            <w:left w:val="none" w:sz="0" w:space="0" w:color="auto"/>
            <w:bottom w:val="none" w:sz="0" w:space="0" w:color="auto"/>
            <w:right w:val="none" w:sz="0" w:space="0" w:color="auto"/>
          </w:divBdr>
        </w:div>
        <w:div w:id="195579382">
          <w:marLeft w:val="480"/>
          <w:marRight w:val="0"/>
          <w:marTop w:val="0"/>
          <w:marBottom w:val="0"/>
          <w:divBdr>
            <w:top w:val="none" w:sz="0" w:space="0" w:color="auto"/>
            <w:left w:val="none" w:sz="0" w:space="0" w:color="auto"/>
            <w:bottom w:val="none" w:sz="0" w:space="0" w:color="auto"/>
            <w:right w:val="none" w:sz="0" w:space="0" w:color="auto"/>
          </w:divBdr>
        </w:div>
        <w:div w:id="1911885430">
          <w:marLeft w:val="480"/>
          <w:marRight w:val="0"/>
          <w:marTop w:val="0"/>
          <w:marBottom w:val="0"/>
          <w:divBdr>
            <w:top w:val="none" w:sz="0" w:space="0" w:color="auto"/>
            <w:left w:val="none" w:sz="0" w:space="0" w:color="auto"/>
            <w:bottom w:val="none" w:sz="0" w:space="0" w:color="auto"/>
            <w:right w:val="none" w:sz="0" w:space="0" w:color="auto"/>
          </w:divBdr>
        </w:div>
        <w:div w:id="1314876125">
          <w:marLeft w:val="480"/>
          <w:marRight w:val="0"/>
          <w:marTop w:val="0"/>
          <w:marBottom w:val="0"/>
          <w:divBdr>
            <w:top w:val="none" w:sz="0" w:space="0" w:color="auto"/>
            <w:left w:val="none" w:sz="0" w:space="0" w:color="auto"/>
            <w:bottom w:val="none" w:sz="0" w:space="0" w:color="auto"/>
            <w:right w:val="none" w:sz="0" w:space="0" w:color="auto"/>
          </w:divBdr>
        </w:div>
        <w:div w:id="1012073286">
          <w:marLeft w:val="480"/>
          <w:marRight w:val="0"/>
          <w:marTop w:val="0"/>
          <w:marBottom w:val="0"/>
          <w:divBdr>
            <w:top w:val="none" w:sz="0" w:space="0" w:color="auto"/>
            <w:left w:val="none" w:sz="0" w:space="0" w:color="auto"/>
            <w:bottom w:val="none" w:sz="0" w:space="0" w:color="auto"/>
            <w:right w:val="none" w:sz="0" w:space="0" w:color="auto"/>
          </w:divBdr>
        </w:div>
        <w:div w:id="605846500">
          <w:marLeft w:val="480"/>
          <w:marRight w:val="0"/>
          <w:marTop w:val="0"/>
          <w:marBottom w:val="0"/>
          <w:divBdr>
            <w:top w:val="none" w:sz="0" w:space="0" w:color="auto"/>
            <w:left w:val="none" w:sz="0" w:space="0" w:color="auto"/>
            <w:bottom w:val="none" w:sz="0" w:space="0" w:color="auto"/>
            <w:right w:val="none" w:sz="0" w:space="0" w:color="auto"/>
          </w:divBdr>
        </w:div>
        <w:div w:id="238440466">
          <w:marLeft w:val="480"/>
          <w:marRight w:val="0"/>
          <w:marTop w:val="0"/>
          <w:marBottom w:val="0"/>
          <w:divBdr>
            <w:top w:val="none" w:sz="0" w:space="0" w:color="auto"/>
            <w:left w:val="none" w:sz="0" w:space="0" w:color="auto"/>
            <w:bottom w:val="none" w:sz="0" w:space="0" w:color="auto"/>
            <w:right w:val="none" w:sz="0" w:space="0" w:color="auto"/>
          </w:divBdr>
        </w:div>
        <w:div w:id="1860007250">
          <w:marLeft w:val="480"/>
          <w:marRight w:val="0"/>
          <w:marTop w:val="0"/>
          <w:marBottom w:val="0"/>
          <w:divBdr>
            <w:top w:val="none" w:sz="0" w:space="0" w:color="auto"/>
            <w:left w:val="none" w:sz="0" w:space="0" w:color="auto"/>
            <w:bottom w:val="none" w:sz="0" w:space="0" w:color="auto"/>
            <w:right w:val="none" w:sz="0" w:space="0" w:color="auto"/>
          </w:divBdr>
        </w:div>
        <w:div w:id="2022508453">
          <w:marLeft w:val="480"/>
          <w:marRight w:val="0"/>
          <w:marTop w:val="0"/>
          <w:marBottom w:val="0"/>
          <w:divBdr>
            <w:top w:val="none" w:sz="0" w:space="0" w:color="auto"/>
            <w:left w:val="none" w:sz="0" w:space="0" w:color="auto"/>
            <w:bottom w:val="none" w:sz="0" w:space="0" w:color="auto"/>
            <w:right w:val="none" w:sz="0" w:space="0" w:color="auto"/>
          </w:divBdr>
        </w:div>
        <w:div w:id="1471704120">
          <w:marLeft w:val="480"/>
          <w:marRight w:val="0"/>
          <w:marTop w:val="0"/>
          <w:marBottom w:val="0"/>
          <w:divBdr>
            <w:top w:val="none" w:sz="0" w:space="0" w:color="auto"/>
            <w:left w:val="none" w:sz="0" w:space="0" w:color="auto"/>
            <w:bottom w:val="none" w:sz="0" w:space="0" w:color="auto"/>
            <w:right w:val="none" w:sz="0" w:space="0" w:color="auto"/>
          </w:divBdr>
        </w:div>
        <w:div w:id="1435126827">
          <w:marLeft w:val="480"/>
          <w:marRight w:val="0"/>
          <w:marTop w:val="0"/>
          <w:marBottom w:val="0"/>
          <w:divBdr>
            <w:top w:val="none" w:sz="0" w:space="0" w:color="auto"/>
            <w:left w:val="none" w:sz="0" w:space="0" w:color="auto"/>
            <w:bottom w:val="none" w:sz="0" w:space="0" w:color="auto"/>
            <w:right w:val="none" w:sz="0" w:space="0" w:color="auto"/>
          </w:divBdr>
        </w:div>
        <w:div w:id="519860302">
          <w:marLeft w:val="480"/>
          <w:marRight w:val="0"/>
          <w:marTop w:val="0"/>
          <w:marBottom w:val="0"/>
          <w:divBdr>
            <w:top w:val="none" w:sz="0" w:space="0" w:color="auto"/>
            <w:left w:val="none" w:sz="0" w:space="0" w:color="auto"/>
            <w:bottom w:val="none" w:sz="0" w:space="0" w:color="auto"/>
            <w:right w:val="none" w:sz="0" w:space="0" w:color="auto"/>
          </w:divBdr>
        </w:div>
        <w:div w:id="2063480236">
          <w:marLeft w:val="480"/>
          <w:marRight w:val="0"/>
          <w:marTop w:val="0"/>
          <w:marBottom w:val="0"/>
          <w:divBdr>
            <w:top w:val="none" w:sz="0" w:space="0" w:color="auto"/>
            <w:left w:val="none" w:sz="0" w:space="0" w:color="auto"/>
            <w:bottom w:val="none" w:sz="0" w:space="0" w:color="auto"/>
            <w:right w:val="none" w:sz="0" w:space="0" w:color="auto"/>
          </w:divBdr>
        </w:div>
        <w:div w:id="597982186">
          <w:marLeft w:val="480"/>
          <w:marRight w:val="0"/>
          <w:marTop w:val="0"/>
          <w:marBottom w:val="0"/>
          <w:divBdr>
            <w:top w:val="none" w:sz="0" w:space="0" w:color="auto"/>
            <w:left w:val="none" w:sz="0" w:space="0" w:color="auto"/>
            <w:bottom w:val="none" w:sz="0" w:space="0" w:color="auto"/>
            <w:right w:val="none" w:sz="0" w:space="0" w:color="auto"/>
          </w:divBdr>
        </w:div>
        <w:div w:id="1626500053">
          <w:marLeft w:val="480"/>
          <w:marRight w:val="0"/>
          <w:marTop w:val="0"/>
          <w:marBottom w:val="0"/>
          <w:divBdr>
            <w:top w:val="none" w:sz="0" w:space="0" w:color="auto"/>
            <w:left w:val="none" w:sz="0" w:space="0" w:color="auto"/>
            <w:bottom w:val="none" w:sz="0" w:space="0" w:color="auto"/>
            <w:right w:val="none" w:sz="0" w:space="0" w:color="auto"/>
          </w:divBdr>
        </w:div>
        <w:div w:id="1875118906">
          <w:marLeft w:val="480"/>
          <w:marRight w:val="0"/>
          <w:marTop w:val="0"/>
          <w:marBottom w:val="0"/>
          <w:divBdr>
            <w:top w:val="none" w:sz="0" w:space="0" w:color="auto"/>
            <w:left w:val="none" w:sz="0" w:space="0" w:color="auto"/>
            <w:bottom w:val="none" w:sz="0" w:space="0" w:color="auto"/>
            <w:right w:val="none" w:sz="0" w:space="0" w:color="auto"/>
          </w:divBdr>
        </w:div>
        <w:div w:id="1077557677">
          <w:marLeft w:val="480"/>
          <w:marRight w:val="0"/>
          <w:marTop w:val="0"/>
          <w:marBottom w:val="0"/>
          <w:divBdr>
            <w:top w:val="none" w:sz="0" w:space="0" w:color="auto"/>
            <w:left w:val="none" w:sz="0" w:space="0" w:color="auto"/>
            <w:bottom w:val="none" w:sz="0" w:space="0" w:color="auto"/>
            <w:right w:val="none" w:sz="0" w:space="0" w:color="auto"/>
          </w:divBdr>
        </w:div>
        <w:div w:id="934292547">
          <w:marLeft w:val="480"/>
          <w:marRight w:val="0"/>
          <w:marTop w:val="0"/>
          <w:marBottom w:val="0"/>
          <w:divBdr>
            <w:top w:val="none" w:sz="0" w:space="0" w:color="auto"/>
            <w:left w:val="none" w:sz="0" w:space="0" w:color="auto"/>
            <w:bottom w:val="none" w:sz="0" w:space="0" w:color="auto"/>
            <w:right w:val="none" w:sz="0" w:space="0" w:color="auto"/>
          </w:divBdr>
        </w:div>
        <w:div w:id="495073664">
          <w:marLeft w:val="480"/>
          <w:marRight w:val="0"/>
          <w:marTop w:val="0"/>
          <w:marBottom w:val="0"/>
          <w:divBdr>
            <w:top w:val="none" w:sz="0" w:space="0" w:color="auto"/>
            <w:left w:val="none" w:sz="0" w:space="0" w:color="auto"/>
            <w:bottom w:val="none" w:sz="0" w:space="0" w:color="auto"/>
            <w:right w:val="none" w:sz="0" w:space="0" w:color="auto"/>
          </w:divBdr>
        </w:div>
        <w:div w:id="22290942">
          <w:marLeft w:val="480"/>
          <w:marRight w:val="0"/>
          <w:marTop w:val="0"/>
          <w:marBottom w:val="0"/>
          <w:divBdr>
            <w:top w:val="none" w:sz="0" w:space="0" w:color="auto"/>
            <w:left w:val="none" w:sz="0" w:space="0" w:color="auto"/>
            <w:bottom w:val="none" w:sz="0" w:space="0" w:color="auto"/>
            <w:right w:val="none" w:sz="0" w:space="0" w:color="auto"/>
          </w:divBdr>
        </w:div>
        <w:div w:id="230046018">
          <w:marLeft w:val="480"/>
          <w:marRight w:val="0"/>
          <w:marTop w:val="0"/>
          <w:marBottom w:val="0"/>
          <w:divBdr>
            <w:top w:val="none" w:sz="0" w:space="0" w:color="auto"/>
            <w:left w:val="none" w:sz="0" w:space="0" w:color="auto"/>
            <w:bottom w:val="none" w:sz="0" w:space="0" w:color="auto"/>
            <w:right w:val="none" w:sz="0" w:space="0" w:color="auto"/>
          </w:divBdr>
        </w:div>
        <w:div w:id="850413579">
          <w:marLeft w:val="480"/>
          <w:marRight w:val="0"/>
          <w:marTop w:val="0"/>
          <w:marBottom w:val="0"/>
          <w:divBdr>
            <w:top w:val="none" w:sz="0" w:space="0" w:color="auto"/>
            <w:left w:val="none" w:sz="0" w:space="0" w:color="auto"/>
            <w:bottom w:val="none" w:sz="0" w:space="0" w:color="auto"/>
            <w:right w:val="none" w:sz="0" w:space="0" w:color="auto"/>
          </w:divBdr>
        </w:div>
        <w:div w:id="1997100722">
          <w:marLeft w:val="480"/>
          <w:marRight w:val="0"/>
          <w:marTop w:val="0"/>
          <w:marBottom w:val="0"/>
          <w:divBdr>
            <w:top w:val="none" w:sz="0" w:space="0" w:color="auto"/>
            <w:left w:val="none" w:sz="0" w:space="0" w:color="auto"/>
            <w:bottom w:val="none" w:sz="0" w:space="0" w:color="auto"/>
            <w:right w:val="none" w:sz="0" w:space="0" w:color="auto"/>
          </w:divBdr>
        </w:div>
        <w:div w:id="290289111">
          <w:marLeft w:val="480"/>
          <w:marRight w:val="0"/>
          <w:marTop w:val="0"/>
          <w:marBottom w:val="0"/>
          <w:divBdr>
            <w:top w:val="none" w:sz="0" w:space="0" w:color="auto"/>
            <w:left w:val="none" w:sz="0" w:space="0" w:color="auto"/>
            <w:bottom w:val="none" w:sz="0" w:space="0" w:color="auto"/>
            <w:right w:val="none" w:sz="0" w:space="0" w:color="auto"/>
          </w:divBdr>
        </w:div>
        <w:div w:id="1861893327">
          <w:marLeft w:val="480"/>
          <w:marRight w:val="0"/>
          <w:marTop w:val="0"/>
          <w:marBottom w:val="0"/>
          <w:divBdr>
            <w:top w:val="none" w:sz="0" w:space="0" w:color="auto"/>
            <w:left w:val="none" w:sz="0" w:space="0" w:color="auto"/>
            <w:bottom w:val="none" w:sz="0" w:space="0" w:color="auto"/>
            <w:right w:val="none" w:sz="0" w:space="0" w:color="auto"/>
          </w:divBdr>
        </w:div>
        <w:div w:id="2007591211">
          <w:marLeft w:val="480"/>
          <w:marRight w:val="0"/>
          <w:marTop w:val="0"/>
          <w:marBottom w:val="0"/>
          <w:divBdr>
            <w:top w:val="none" w:sz="0" w:space="0" w:color="auto"/>
            <w:left w:val="none" w:sz="0" w:space="0" w:color="auto"/>
            <w:bottom w:val="none" w:sz="0" w:space="0" w:color="auto"/>
            <w:right w:val="none" w:sz="0" w:space="0" w:color="auto"/>
          </w:divBdr>
        </w:div>
        <w:div w:id="745539704">
          <w:marLeft w:val="480"/>
          <w:marRight w:val="0"/>
          <w:marTop w:val="0"/>
          <w:marBottom w:val="0"/>
          <w:divBdr>
            <w:top w:val="none" w:sz="0" w:space="0" w:color="auto"/>
            <w:left w:val="none" w:sz="0" w:space="0" w:color="auto"/>
            <w:bottom w:val="none" w:sz="0" w:space="0" w:color="auto"/>
            <w:right w:val="none" w:sz="0" w:space="0" w:color="auto"/>
          </w:divBdr>
        </w:div>
        <w:div w:id="1554582742">
          <w:marLeft w:val="480"/>
          <w:marRight w:val="0"/>
          <w:marTop w:val="0"/>
          <w:marBottom w:val="0"/>
          <w:divBdr>
            <w:top w:val="none" w:sz="0" w:space="0" w:color="auto"/>
            <w:left w:val="none" w:sz="0" w:space="0" w:color="auto"/>
            <w:bottom w:val="none" w:sz="0" w:space="0" w:color="auto"/>
            <w:right w:val="none" w:sz="0" w:space="0" w:color="auto"/>
          </w:divBdr>
        </w:div>
        <w:div w:id="2137290406">
          <w:marLeft w:val="480"/>
          <w:marRight w:val="0"/>
          <w:marTop w:val="0"/>
          <w:marBottom w:val="0"/>
          <w:divBdr>
            <w:top w:val="none" w:sz="0" w:space="0" w:color="auto"/>
            <w:left w:val="none" w:sz="0" w:space="0" w:color="auto"/>
            <w:bottom w:val="none" w:sz="0" w:space="0" w:color="auto"/>
            <w:right w:val="none" w:sz="0" w:space="0" w:color="auto"/>
          </w:divBdr>
        </w:div>
        <w:div w:id="1738475626">
          <w:marLeft w:val="480"/>
          <w:marRight w:val="0"/>
          <w:marTop w:val="0"/>
          <w:marBottom w:val="0"/>
          <w:divBdr>
            <w:top w:val="none" w:sz="0" w:space="0" w:color="auto"/>
            <w:left w:val="none" w:sz="0" w:space="0" w:color="auto"/>
            <w:bottom w:val="none" w:sz="0" w:space="0" w:color="auto"/>
            <w:right w:val="none" w:sz="0" w:space="0" w:color="auto"/>
          </w:divBdr>
        </w:div>
        <w:div w:id="1498957785">
          <w:marLeft w:val="480"/>
          <w:marRight w:val="0"/>
          <w:marTop w:val="0"/>
          <w:marBottom w:val="0"/>
          <w:divBdr>
            <w:top w:val="none" w:sz="0" w:space="0" w:color="auto"/>
            <w:left w:val="none" w:sz="0" w:space="0" w:color="auto"/>
            <w:bottom w:val="none" w:sz="0" w:space="0" w:color="auto"/>
            <w:right w:val="none" w:sz="0" w:space="0" w:color="auto"/>
          </w:divBdr>
        </w:div>
        <w:div w:id="1557231014">
          <w:marLeft w:val="480"/>
          <w:marRight w:val="0"/>
          <w:marTop w:val="0"/>
          <w:marBottom w:val="0"/>
          <w:divBdr>
            <w:top w:val="none" w:sz="0" w:space="0" w:color="auto"/>
            <w:left w:val="none" w:sz="0" w:space="0" w:color="auto"/>
            <w:bottom w:val="none" w:sz="0" w:space="0" w:color="auto"/>
            <w:right w:val="none" w:sz="0" w:space="0" w:color="auto"/>
          </w:divBdr>
        </w:div>
        <w:div w:id="2090806399">
          <w:marLeft w:val="480"/>
          <w:marRight w:val="0"/>
          <w:marTop w:val="0"/>
          <w:marBottom w:val="0"/>
          <w:divBdr>
            <w:top w:val="none" w:sz="0" w:space="0" w:color="auto"/>
            <w:left w:val="none" w:sz="0" w:space="0" w:color="auto"/>
            <w:bottom w:val="none" w:sz="0" w:space="0" w:color="auto"/>
            <w:right w:val="none" w:sz="0" w:space="0" w:color="auto"/>
          </w:divBdr>
        </w:div>
        <w:div w:id="610430904">
          <w:marLeft w:val="480"/>
          <w:marRight w:val="0"/>
          <w:marTop w:val="0"/>
          <w:marBottom w:val="0"/>
          <w:divBdr>
            <w:top w:val="none" w:sz="0" w:space="0" w:color="auto"/>
            <w:left w:val="none" w:sz="0" w:space="0" w:color="auto"/>
            <w:bottom w:val="none" w:sz="0" w:space="0" w:color="auto"/>
            <w:right w:val="none" w:sz="0" w:space="0" w:color="auto"/>
          </w:divBdr>
        </w:div>
        <w:div w:id="511335893">
          <w:marLeft w:val="480"/>
          <w:marRight w:val="0"/>
          <w:marTop w:val="0"/>
          <w:marBottom w:val="0"/>
          <w:divBdr>
            <w:top w:val="none" w:sz="0" w:space="0" w:color="auto"/>
            <w:left w:val="none" w:sz="0" w:space="0" w:color="auto"/>
            <w:bottom w:val="none" w:sz="0" w:space="0" w:color="auto"/>
            <w:right w:val="none" w:sz="0" w:space="0" w:color="auto"/>
          </w:divBdr>
        </w:div>
        <w:div w:id="1319764768">
          <w:marLeft w:val="480"/>
          <w:marRight w:val="0"/>
          <w:marTop w:val="0"/>
          <w:marBottom w:val="0"/>
          <w:divBdr>
            <w:top w:val="none" w:sz="0" w:space="0" w:color="auto"/>
            <w:left w:val="none" w:sz="0" w:space="0" w:color="auto"/>
            <w:bottom w:val="none" w:sz="0" w:space="0" w:color="auto"/>
            <w:right w:val="none" w:sz="0" w:space="0" w:color="auto"/>
          </w:divBdr>
        </w:div>
        <w:div w:id="1586496277">
          <w:marLeft w:val="480"/>
          <w:marRight w:val="0"/>
          <w:marTop w:val="0"/>
          <w:marBottom w:val="0"/>
          <w:divBdr>
            <w:top w:val="none" w:sz="0" w:space="0" w:color="auto"/>
            <w:left w:val="none" w:sz="0" w:space="0" w:color="auto"/>
            <w:bottom w:val="none" w:sz="0" w:space="0" w:color="auto"/>
            <w:right w:val="none" w:sz="0" w:space="0" w:color="auto"/>
          </w:divBdr>
        </w:div>
        <w:div w:id="977806910">
          <w:marLeft w:val="480"/>
          <w:marRight w:val="0"/>
          <w:marTop w:val="0"/>
          <w:marBottom w:val="0"/>
          <w:divBdr>
            <w:top w:val="none" w:sz="0" w:space="0" w:color="auto"/>
            <w:left w:val="none" w:sz="0" w:space="0" w:color="auto"/>
            <w:bottom w:val="none" w:sz="0" w:space="0" w:color="auto"/>
            <w:right w:val="none" w:sz="0" w:space="0" w:color="auto"/>
          </w:divBdr>
        </w:div>
        <w:div w:id="760679667">
          <w:marLeft w:val="480"/>
          <w:marRight w:val="0"/>
          <w:marTop w:val="0"/>
          <w:marBottom w:val="0"/>
          <w:divBdr>
            <w:top w:val="none" w:sz="0" w:space="0" w:color="auto"/>
            <w:left w:val="none" w:sz="0" w:space="0" w:color="auto"/>
            <w:bottom w:val="none" w:sz="0" w:space="0" w:color="auto"/>
            <w:right w:val="none" w:sz="0" w:space="0" w:color="auto"/>
          </w:divBdr>
        </w:div>
        <w:div w:id="1303582219">
          <w:marLeft w:val="480"/>
          <w:marRight w:val="0"/>
          <w:marTop w:val="0"/>
          <w:marBottom w:val="0"/>
          <w:divBdr>
            <w:top w:val="none" w:sz="0" w:space="0" w:color="auto"/>
            <w:left w:val="none" w:sz="0" w:space="0" w:color="auto"/>
            <w:bottom w:val="none" w:sz="0" w:space="0" w:color="auto"/>
            <w:right w:val="none" w:sz="0" w:space="0" w:color="auto"/>
          </w:divBdr>
        </w:div>
        <w:div w:id="575943279">
          <w:marLeft w:val="480"/>
          <w:marRight w:val="0"/>
          <w:marTop w:val="0"/>
          <w:marBottom w:val="0"/>
          <w:divBdr>
            <w:top w:val="none" w:sz="0" w:space="0" w:color="auto"/>
            <w:left w:val="none" w:sz="0" w:space="0" w:color="auto"/>
            <w:bottom w:val="none" w:sz="0" w:space="0" w:color="auto"/>
            <w:right w:val="none" w:sz="0" w:space="0" w:color="auto"/>
          </w:divBdr>
        </w:div>
        <w:div w:id="1577781447">
          <w:marLeft w:val="480"/>
          <w:marRight w:val="0"/>
          <w:marTop w:val="0"/>
          <w:marBottom w:val="0"/>
          <w:divBdr>
            <w:top w:val="none" w:sz="0" w:space="0" w:color="auto"/>
            <w:left w:val="none" w:sz="0" w:space="0" w:color="auto"/>
            <w:bottom w:val="none" w:sz="0" w:space="0" w:color="auto"/>
            <w:right w:val="none" w:sz="0" w:space="0" w:color="auto"/>
          </w:divBdr>
        </w:div>
        <w:div w:id="1189225056">
          <w:marLeft w:val="480"/>
          <w:marRight w:val="0"/>
          <w:marTop w:val="0"/>
          <w:marBottom w:val="0"/>
          <w:divBdr>
            <w:top w:val="none" w:sz="0" w:space="0" w:color="auto"/>
            <w:left w:val="none" w:sz="0" w:space="0" w:color="auto"/>
            <w:bottom w:val="none" w:sz="0" w:space="0" w:color="auto"/>
            <w:right w:val="none" w:sz="0" w:space="0" w:color="auto"/>
          </w:divBdr>
        </w:div>
        <w:div w:id="1126386916">
          <w:marLeft w:val="480"/>
          <w:marRight w:val="0"/>
          <w:marTop w:val="0"/>
          <w:marBottom w:val="0"/>
          <w:divBdr>
            <w:top w:val="none" w:sz="0" w:space="0" w:color="auto"/>
            <w:left w:val="none" w:sz="0" w:space="0" w:color="auto"/>
            <w:bottom w:val="none" w:sz="0" w:space="0" w:color="auto"/>
            <w:right w:val="none" w:sz="0" w:space="0" w:color="auto"/>
          </w:divBdr>
        </w:div>
        <w:div w:id="1461613931">
          <w:marLeft w:val="480"/>
          <w:marRight w:val="0"/>
          <w:marTop w:val="0"/>
          <w:marBottom w:val="0"/>
          <w:divBdr>
            <w:top w:val="none" w:sz="0" w:space="0" w:color="auto"/>
            <w:left w:val="none" w:sz="0" w:space="0" w:color="auto"/>
            <w:bottom w:val="none" w:sz="0" w:space="0" w:color="auto"/>
            <w:right w:val="none" w:sz="0" w:space="0" w:color="auto"/>
          </w:divBdr>
        </w:div>
        <w:div w:id="751006642">
          <w:marLeft w:val="480"/>
          <w:marRight w:val="0"/>
          <w:marTop w:val="0"/>
          <w:marBottom w:val="0"/>
          <w:divBdr>
            <w:top w:val="none" w:sz="0" w:space="0" w:color="auto"/>
            <w:left w:val="none" w:sz="0" w:space="0" w:color="auto"/>
            <w:bottom w:val="none" w:sz="0" w:space="0" w:color="auto"/>
            <w:right w:val="none" w:sz="0" w:space="0" w:color="auto"/>
          </w:divBdr>
        </w:div>
        <w:div w:id="282200942">
          <w:marLeft w:val="480"/>
          <w:marRight w:val="0"/>
          <w:marTop w:val="0"/>
          <w:marBottom w:val="0"/>
          <w:divBdr>
            <w:top w:val="none" w:sz="0" w:space="0" w:color="auto"/>
            <w:left w:val="none" w:sz="0" w:space="0" w:color="auto"/>
            <w:bottom w:val="none" w:sz="0" w:space="0" w:color="auto"/>
            <w:right w:val="none" w:sz="0" w:space="0" w:color="auto"/>
          </w:divBdr>
        </w:div>
        <w:div w:id="1952516834">
          <w:marLeft w:val="480"/>
          <w:marRight w:val="0"/>
          <w:marTop w:val="0"/>
          <w:marBottom w:val="0"/>
          <w:divBdr>
            <w:top w:val="none" w:sz="0" w:space="0" w:color="auto"/>
            <w:left w:val="none" w:sz="0" w:space="0" w:color="auto"/>
            <w:bottom w:val="none" w:sz="0" w:space="0" w:color="auto"/>
            <w:right w:val="none" w:sz="0" w:space="0" w:color="auto"/>
          </w:divBdr>
        </w:div>
        <w:div w:id="173306942">
          <w:marLeft w:val="480"/>
          <w:marRight w:val="0"/>
          <w:marTop w:val="0"/>
          <w:marBottom w:val="0"/>
          <w:divBdr>
            <w:top w:val="none" w:sz="0" w:space="0" w:color="auto"/>
            <w:left w:val="none" w:sz="0" w:space="0" w:color="auto"/>
            <w:bottom w:val="none" w:sz="0" w:space="0" w:color="auto"/>
            <w:right w:val="none" w:sz="0" w:space="0" w:color="auto"/>
          </w:divBdr>
        </w:div>
        <w:div w:id="646204722">
          <w:marLeft w:val="480"/>
          <w:marRight w:val="0"/>
          <w:marTop w:val="0"/>
          <w:marBottom w:val="0"/>
          <w:divBdr>
            <w:top w:val="none" w:sz="0" w:space="0" w:color="auto"/>
            <w:left w:val="none" w:sz="0" w:space="0" w:color="auto"/>
            <w:bottom w:val="none" w:sz="0" w:space="0" w:color="auto"/>
            <w:right w:val="none" w:sz="0" w:space="0" w:color="auto"/>
          </w:divBdr>
        </w:div>
        <w:div w:id="270548556">
          <w:marLeft w:val="480"/>
          <w:marRight w:val="0"/>
          <w:marTop w:val="0"/>
          <w:marBottom w:val="0"/>
          <w:divBdr>
            <w:top w:val="none" w:sz="0" w:space="0" w:color="auto"/>
            <w:left w:val="none" w:sz="0" w:space="0" w:color="auto"/>
            <w:bottom w:val="none" w:sz="0" w:space="0" w:color="auto"/>
            <w:right w:val="none" w:sz="0" w:space="0" w:color="auto"/>
          </w:divBdr>
        </w:div>
        <w:div w:id="272827817">
          <w:marLeft w:val="480"/>
          <w:marRight w:val="0"/>
          <w:marTop w:val="0"/>
          <w:marBottom w:val="0"/>
          <w:divBdr>
            <w:top w:val="none" w:sz="0" w:space="0" w:color="auto"/>
            <w:left w:val="none" w:sz="0" w:space="0" w:color="auto"/>
            <w:bottom w:val="none" w:sz="0" w:space="0" w:color="auto"/>
            <w:right w:val="none" w:sz="0" w:space="0" w:color="auto"/>
          </w:divBdr>
        </w:div>
        <w:div w:id="452946269">
          <w:marLeft w:val="480"/>
          <w:marRight w:val="0"/>
          <w:marTop w:val="0"/>
          <w:marBottom w:val="0"/>
          <w:divBdr>
            <w:top w:val="none" w:sz="0" w:space="0" w:color="auto"/>
            <w:left w:val="none" w:sz="0" w:space="0" w:color="auto"/>
            <w:bottom w:val="none" w:sz="0" w:space="0" w:color="auto"/>
            <w:right w:val="none" w:sz="0" w:space="0" w:color="auto"/>
          </w:divBdr>
        </w:div>
        <w:div w:id="998849654">
          <w:marLeft w:val="480"/>
          <w:marRight w:val="0"/>
          <w:marTop w:val="0"/>
          <w:marBottom w:val="0"/>
          <w:divBdr>
            <w:top w:val="none" w:sz="0" w:space="0" w:color="auto"/>
            <w:left w:val="none" w:sz="0" w:space="0" w:color="auto"/>
            <w:bottom w:val="none" w:sz="0" w:space="0" w:color="auto"/>
            <w:right w:val="none" w:sz="0" w:space="0" w:color="auto"/>
          </w:divBdr>
        </w:div>
        <w:div w:id="505091990">
          <w:marLeft w:val="480"/>
          <w:marRight w:val="0"/>
          <w:marTop w:val="0"/>
          <w:marBottom w:val="0"/>
          <w:divBdr>
            <w:top w:val="none" w:sz="0" w:space="0" w:color="auto"/>
            <w:left w:val="none" w:sz="0" w:space="0" w:color="auto"/>
            <w:bottom w:val="none" w:sz="0" w:space="0" w:color="auto"/>
            <w:right w:val="none" w:sz="0" w:space="0" w:color="auto"/>
          </w:divBdr>
        </w:div>
        <w:div w:id="1932546864">
          <w:marLeft w:val="480"/>
          <w:marRight w:val="0"/>
          <w:marTop w:val="0"/>
          <w:marBottom w:val="0"/>
          <w:divBdr>
            <w:top w:val="none" w:sz="0" w:space="0" w:color="auto"/>
            <w:left w:val="none" w:sz="0" w:space="0" w:color="auto"/>
            <w:bottom w:val="none" w:sz="0" w:space="0" w:color="auto"/>
            <w:right w:val="none" w:sz="0" w:space="0" w:color="auto"/>
          </w:divBdr>
        </w:div>
        <w:div w:id="191110985">
          <w:marLeft w:val="480"/>
          <w:marRight w:val="0"/>
          <w:marTop w:val="0"/>
          <w:marBottom w:val="0"/>
          <w:divBdr>
            <w:top w:val="none" w:sz="0" w:space="0" w:color="auto"/>
            <w:left w:val="none" w:sz="0" w:space="0" w:color="auto"/>
            <w:bottom w:val="none" w:sz="0" w:space="0" w:color="auto"/>
            <w:right w:val="none" w:sz="0" w:space="0" w:color="auto"/>
          </w:divBdr>
        </w:div>
        <w:div w:id="1219590309">
          <w:marLeft w:val="480"/>
          <w:marRight w:val="0"/>
          <w:marTop w:val="0"/>
          <w:marBottom w:val="0"/>
          <w:divBdr>
            <w:top w:val="none" w:sz="0" w:space="0" w:color="auto"/>
            <w:left w:val="none" w:sz="0" w:space="0" w:color="auto"/>
            <w:bottom w:val="none" w:sz="0" w:space="0" w:color="auto"/>
            <w:right w:val="none" w:sz="0" w:space="0" w:color="auto"/>
          </w:divBdr>
        </w:div>
        <w:div w:id="233247692">
          <w:marLeft w:val="480"/>
          <w:marRight w:val="0"/>
          <w:marTop w:val="0"/>
          <w:marBottom w:val="0"/>
          <w:divBdr>
            <w:top w:val="none" w:sz="0" w:space="0" w:color="auto"/>
            <w:left w:val="none" w:sz="0" w:space="0" w:color="auto"/>
            <w:bottom w:val="none" w:sz="0" w:space="0" w:color="auto"/>
            <w:right w:val="none" w:sz="0" w:space="0" w:color="auto"/>
          </w:divBdr>
        </w:div>
        <w:div w:id="390152513">
          <w:marLeft w:val="480"/>
          <w:marRight w:val="0"/>
          <w:marTop w:val="0"/>
          <w:marBottom w:val="0"/>
          <w:divBdr>
            <w:top w:val="none" w:sz="0" w:space="0" w:color="auto"/>
            <w:left w:val="none" w:sz="0" w:space="0" w:color="auto"/>
            <w:bottom w:val="none" w:sz="0" w:space="0" w:color="auto"/>
            <w:right w:val="none" w:sz="0" w:space="0" w:color="auto"/>
          </w:divBdr>
        </w:div>
        <w:div w:id="1741172389">
          <w:marLeft w:val="480"/>
          <w:marRight w:val="0"/>
          <w:marTop w:val="0"/>
          <w:marBottom w:val="0"/>
          <w:divBdr>
            <w:top w:val="none" w:sz="0" w:space="0" w:color="auto"/>
            <w:left w:val="none" w:sz="0" w:space="0" w:color="auto"/>
            <w:bottom w:val="none" w:sz="0" w:space="0" w:color="auto"/>
            <w:right w:val="none" w:sz="0" w:space="0" w:color="auto"/>
          </w:divBdr>
        </w:div>
        <w:div w:id="196282022">
          <w:marLeft w:val="480"/>
          <w:marRight w:val="0"/>
          <w:marTop w:val="0"/>
          <w:marBottom w:val="0"/>
          <w:divBdr>
            <w:top w:val="none" w:sz="0" w:space="0" w:color="auto"/>
            <w:left w:val="none" w:sz="0" w:space="0" w:color="auto"/>
            <w:bottom w:val="none" w:sz="0" w:space="0" w:color="auto"/>
            <w:right w:val="none" w:sz="0" w:space="0" w:color="auto"/>
          </w:divBdr>
        </w:div>
        <w:div w:id="167603409">
          <w:marLeft w:val="480"/>
          <w:marRight w:val="0"/>
          <w:marTop w:val="0"/>
          <w:marBottom w:val="0"/>
          <w:divBdr>
            <w:top w:val="none" w:sz="0" w:space="0" w:color="auto"/>
            <w:left w:val="none" w:sz="0" w:space="0" w:color="auto"/>
            <w:bottom w:val="none" w:sz="0" w:space="0" w:color="auto"/>
            <w:right w:val="none" w:sz="0" w:space="0" w:color="auto"/>
          </w:divBdr>
        </w:div>
        <w:div w:id="1113481587">
          <w:marLeft w:val="480"/>
          <w:marRight w:val="0"/>
          <w:marTop w:val="0"/>
          <w:marBottom w:val="0"/>
          <w:divBdr>
            <w:top w:val="none" w:sz="0" w:space="0" w:color="auto"/>
            <w:left w:val="none" w:sz="0" w:space="0" w:color="auto"/>
            <w:bottom w:val="none" w:sz="0" w:space="0" w:color="auto"/>
            <w:right w:val="none" w:sz="0" w:space="0" w:color="auto"/>
          </w:divBdr>
        </w:div>
        <w:div w:id="222064644">
          <w:marLeft w:val="480"/>
          <w:marRight w:val="0"/>
          <w:marTop w:val="0"/>
          <w:marBottom w:val="0"/>
          <w:divBdr>
            <w:top w:val="none" w:sz="0" w:space="0" w:color="auto"/>
            <w:left w:val="none" w:sz="0" w:space="0" w:color="auto"/>
            <w:bottom w:val="none" w:sz="0" w:space="0" w:color="auto"/>
            <w:right w:val="none" w:sz="0" w:space="0" w:color="auto"/>
          </w:divBdr>
        </w:div>
        <w:div w:id="92555210">
          <w:marLeft w:val="480"/>
          <w:marRight w:val="0"/>
          <w:marTop w:val="0"/>
          <w:marBottom w:val="0"/>
          <w:divBdr>
            <w:top w:val="none" w:sz="0" w:space="0" w:color="auto"/>
            <w:left w:val="none" w:sz="0" w:space="0" w:color="auto"/>
            <w:bottom w:val="none" w:sz="0" w:space="0" w:color="auto"/>
            <w:right w:val="none" w:sz="0" w:space="0" w:color="auto"/>
          </w:divBdr>
        </w:div>
        <w:div w:id="864637780">
          <w:marLeft w:val="480"/>
          <w:marRight w:val="0"/>
          <w:marTop w:val="0"/>
          <w:marBottom w:val="0"/>
          <w:divBdr>
            <w:top w:val="none" w:sz="0" w:space="0" w:color="auto"/>
            <w:left w:val="none" w:sz="0" w:space="0" w:color="auto"/>
            <w:bottom w:val="none" w:sz="0" w:space="0" w:color="auto"/>
            <w:right w:val="none" w:sz="0" w:space="0" w:color="auto"/>
          </w:divBdr>
        </w:div>
        <w:div w:id="1264537923">
          <w:marLeft w:val="480"/>
          <w:marRight w:val="0"/>
          <w:marTop w:val="0"/>
          <w:marBottom w:val="0"/>
          <w:divBdr>
            <w:top w:val="none" w:sz="0" w:space="0" w:color="auto"/>
            <w:left w:val="none" w:sz="0" w:space="0" w:color="auto"/>
            <w:bottom w:val="none" w:sz="0" w:space="0" w:color="auto"/>
            <w:right w:val="none" w:sz="0" w:space="0" w:color="auto"/>
          </w:divBdr>
        </w:div>
        <w:div w:id="153499674">
          <w:marLeft w:val="480"/>
          <w:marRight w:val="0"/>
          <w:marTop w:val="0"/>
          <w:marBottom w:val="0"/>
          <w:divBdr>
            <w:top w:val="none" w:sz="0" w:space="0" w:color="auto"/>
            <w:left w:val="none" w:sz="0" w:space="0" w:color="auto"/>
            <w:bottom w:val="none" w:sz="0" w:space="0" w:color="auto"/>
            <w:right w:val="none" w:sz="0" w:space="0" w:color="auto"/>
          </w:divBdr>
        </w:div>
        <w:div w:id="1305815677">
          <w:marLeft w:val="480"/>
          <w:marRight w:val="0"/>
          <w:marTop w:val="0"/>
          <w:marBottom w:val="0"/>
          <w:divBdr>
            <w:top w:val="none" w:sz="0" w:space="0" w:color="auto"/>
            <w:left w:val="none" w:sz="0" w:space="0" w:color="auto"/>
            <w:bottom w:val="none" w:sz="0" w:space="0" w:color="auto"/>
            <w:right w:val="none" w:sz="0" w:space="0" w:color="auto"/>
          </w:divBdr>
        </w:div>
        <w:div w:id="100077163">
          <w:marLeft w:val="480"/>
          <w:marRight w:val="0"/>
          <w:marTop w:val="0"/>
          <w:marBottom w:val="0"/>
          <w:divBdr>
            <w:top w:val="none" w:sz="0" w:space="0" w:color="auto"/>
            <w:left w:val="none" w:sz="0" w:space="0" w:color="auto"/>
            <w:bottom w:val="none" w:sz="0" w:space="0" w:color="auto"/>
            <w:right w:val="none" w:sz="0" w:space="0" w:color="auto"/>
          </w:divBdr>
        </w:div>
        <w:div w:id="616133919">
          <w:marLeft w:val="480"/>
          <w:marRight w:val="0"/>
          <w:marTop w:val="0"/>
          <w:marBottom w:val="0"/>
          <w:divBdr>
            <w:top w:val="none" w:sz="0" w:space="0" w:color="auto"/>
            <w:left w:val="none" w:sz="0" w:space="0" w:color="auto"/>
            <w:bottom w:val="none" w:sz="0" w:space="0" w:color="auto"/>
            <w:right w:val="none" w:sz="0" w:space="0" w:color="auto"/>
          </w:divBdr>
        </w:div>
        <w:div w:id="1343968109">
          <w:marLeft w:val="480"/>
          <w:marRight w:val="0"/>
          <w:marTop w:val="0"/>
          <w:marBottom w:val="0"/>
          <w:divBdr>
            <w:top w:val="none" w:sz="0" w:space="0" w:color="auto"/>
            <w:left w:val="none" w:sz="0" w:space="0" w:color="auto"/>
            <w:bottom w:val="none" w:sz="0" w:space="0" w:color="auto"/>
            <w:right w:val="none" w:sz="0" w:space="0" w:color="auto"/>
          </w:divBdr>
        </w:div>
        <w:div w:id="466892684">
          <w:marLeft w:val="480"/>
          <w:marRight w:val="0"/>
          <w:marTop w:val="0"/>
          <w:marBottom w:val="0"/>
          <w:divBdr>
            <w:top w:val="none" w:sz="0" w:space="0" w:color="auto"/>
            <w:left w:val="none" w:sz="0" w:space="0" w:color="auto"/>
            <w:bottom w:val="none" w:sz="0" w:space="0" w:color="auto"/>
            <w:right w:val="none" w:sz="0" w:space="0" w:color="auto"/>
          </w:divBdr>
        </w:div>
        <w:div w:id="310326057">
          <w:marLeft w:val="480"/>
          <w:marRight w:val="0"/>
          <w:marTop w:val="0"/>
          <w:marBottom w:val="0"/>
          <w:divBdr>
            <w:top w:val="none" w:sz="0" w:space="0" w:color="auto"/>
            <w:left w:val="none" w:sz="0" w:space="0" w:color="auto"/>
            <w:bottom w:val="none" w:sz="0" w:space="0" w:color="auto"/>
            <w:right w:val="none" w:sz="0" w:space="0" w:color="auto"/>
          </w:divBdr>
        </w:div>
        <w:div w:id="1167747892">
          <w:marLeft w:val="480"/>
          <w:marRight w:val="0"/>
          <w:marTop w:val="0"/>
          <w:marBottom w:val="0"/>
          <w:divBdr>
            <w:top w:val="none" w:sz="0" w:space="0" w:color="auto"/>
            <w:left w:val="none" w:sz="0" w:space="0" w:color="auto"/>
            <w:bottom w:val="none" w:sz="0" w:space="0" w:color="auto"/>
            <w:right w:val="none" w:sz="0" w:space="0" w:color="auto"/>
          </w:divBdr>
        </w:div>
        <w:div w:id="1501768861">
          <w:marLeft w:val="480"/>
          <w:marRight w:val="0"/>
          <w:marTop w:val="0"/>
          <w:marBottom w:val="0"/>
          <w:divBdr>
            <w:top w:val="none" w:sz="0" w:space="0" w:color="auto"/>
            <w:left w:val="none" w:sz="0" w:space="0" w:color="auto"/>
            <w:bottom w:val="none" w:sz="0" w:space="0" w:color="auto"/>
            <w:right w:val="none" w:sz="0" w:space="0" w:color="auto"/>
          </w:divBdr>
        </w:div>
        <w:div w:id="622535512">
          <w:marLeft w:val="480"/>
          <w:marRight w:val="0"/>
          <w:marTop w:val="0"/>
          <w:marBottom w:val="0"/>
          <w:divBdr>
            <w:top w:val="none" w:sz="0" w:space="0" w:color="auto"/>
            <w:left w:val="none" w:sz="0" w:space="0" w:color="auto"/>
            <w:bottom w:val="none" w:sz="0" w:space="0" w:color="auto"/>
            <w:right w:val="none" w:sz="0" w:space="0" w:color="auto"/>
          </w:divBdr>
        </w:div>
        <w:div w:id="103117133">
          <w:marLeft w:val="480"/>
          <w:marRight w:val="0"/>
          <w:marTop w:val="0"/>
          <w:marBottom w:val="0"/>
          <w:divBdr>
            <w:top w:val="none" w:sz="0" w:space="0" w:color="auto"/>
            <w:left w:val="none" w:sz="0" w:space="0" w:color="auto"/>
            <w:bottom w:val="none" w:sz="0" w:space="0" w:color="auto"/>
            <w:right w:val="none" w:sz="0" w:space="0" w:color="auto"/>
          </w:divBdr>
        </w:div>
        <w:div w:id="865408490">
          <w:marLeft w:val="480"/>
          <w:marRight w:val="0"/>
          <w:marTop w:val="0"/>
          <w:marBottom w:val="0"/>
          <w:divBdr>
            <w:top w:val="none" w:sz="0" w:space="0" w:color="auto"/>
            <w:left w:val="none" w:sz="0" w:space="0" w:color="auto"/>
            <w:bottom w:val="none" w:sz="0" w:space="0" w:color="auto"/>
            <w:right w:val="none" w:sz="0" w:space="0" w:color="auto"/>
          </w:divBdr>
        </w:div>
        <w:div w:id="1060177365">
          <w:marLeft w:val="480"/>
          <w:marRight w:val="0"/>
          <w:marTop w:val="0"/>
          <w:marBottom w:val="0"/>
          <w:divBdr>
            <w:top w:val="none" w:sz="0" w:space="0" w:color="auto"/>
            <w:left w:val="none" w:sz="0" w:space="0" w:color="auto"/>
            <w:bottom w:val="none" w:sz="0" w:space="0" w:color="auto"/>
            <w:right w:val="none" w:sz="0" w:space="0" w:color="auto"/>
          </w:divBdr>
        </w:div>
        <w:div w:id="1056587937">
          <w:marLeft w:val="480"/>
          <w:marRight w:val="0"/>
          <w:marTop w:val="0"/>
          <w:marBottom w:val="0"/>
          <w:divBdr>
            <w:top w:val="none" w:sz="0" w:space="0" w:color="auto"/>
            <w:left w:val="none" w:sz="0" w:space="0" w:color="auto"/>
            <w:bottom w:val="none" w:sz="0" w:space="0" w:color="auto"/>
            <w:right w:val="none" w:sz="0" w:space="0" w:color="auto"/>
          </w:divBdr>
        </w:div>
        <w:div w:id="1998456300">
          <w:marLeft w:val="480"/>
          <w:marRight w:val="0"/>
          <w:marTop w:val="0"/>
          <w:marBottom w:val="0"/>
          <w:divBdr>
            <w:top w:val="none" w:sz="0" w:space="0" w:color="auto"/>
            <w:left w:val="none" w:sz="0" w:space="0" w:color="auto"/>
            <w:bottom w:val="none" w:sz="0" w:space="0" w:color="auto"/>
            <w:right w:val="none" w:sz="0" w:space="0" w:color="auto"/>
          </w:divBdr>
        </w:div>
        <w:div w:id="826826442">
          <w:marLeft w:val="480"/>
          <w:marRight w:val="0"/>
          <w:marTop w:val="0"/>
          <w:marBottom w:val="0"/>
          <w:divBdr>
            <w:top w:val="none" w:sz="0" w:space="0" w:color="auto"/>
            <w:left w:val="none" w:sz="0" w:space="0" w:color="auto"/>
            <w:bottom w:val="none" w:sz="0" w:space="0" w:color="auto"/>
            <w:right w:val="none" w:sz="0" w:space="0" w:color="auto"/>
          </w:divBdr>
        </w:div>
        <w:div w:id="446236158">
          <w:marLeft w:val="480"/>
          <w:marRight w:val="0"/>
          <w:marTop w:val="0"/>
          <w:marBottom w:val="0"/>
          <w:divBdr>
            <w:top w:val="none" w:sz="0" w:space="0" w:color="auto"/>
            <w:left w:val="none" w:sz="0" w:space="0" w:color="auto"/>
            <w:bottom w:val="none" w:sz="0" w:space="0" w:color="auto"/>
            <w:right w:val="none" w:sz="0" w:space="0" w:color="auto"/>
          </w:divBdr>
        </w:div>
        <w:div w:id="2094740198">
          <w:marLeft w:val="480"/>
          <w:marRight w:val="0"/>
          <w:marTop w:val="0"/>
          <w:marBottom w:val="0"/>
          <w:divBdr>
            <w:top w:val="none" w:sz="0" w:space="0" w:color="auto"/>
            <w:left w:val="none" w:sz="0" w:space="0" w:color="auto"/>
            <w:bottom w:val="none" w:sz="0" w:space="0" w:color="auto"/>
            <w:right w:val="none" w:sz="0" w:space="0" w:color="auto"/>
          </w:divBdr>
        </w:div>
        <w:div w:id="698242392">
          <w:marLeft w:val="480"/>
          <w:marRight w:val="0"/>
          <w:marTop w:val="0"/>
          <w:marBottom w:val="0"/>
          <w:divBdr>
            <w:top w:val="none" w:sz="0" w:space="0" w:color="auto"/>
            <w:left w:val="none" w:sz="0" w:space="0" w:color="auto"/>
            <w:bottom w:val="none" w:sz="0" w:space="0" w:color="auto"/>
            <w:right w:val="none" w:sz="0" w:space="0" w:color="auto"/>
          </w:divBdr>
        </w:div>
        <w:div w:id="662050209">
          <w:marLeft w:val="480"/>
          <w:marRight w:val="0"/>
          <w:marTop w:val="0"/>
          <w:marBottom w:val="0"/>
          <w:divBdr>
            <w:top w:val="none" w:sz="0" w:space="0" w:color="auto"/>
            <w:left w:val="none" w:sz="0" w:space="0" w:color="auto"/>
            <w:bottom w:val="none" w:sz="0" w:space="0" w:color="auto"/>
            <w:right w:val="none" w:sz="0" w:space="0" w:color="auto"/>
          </w:divBdr>
        </w:div>
        <w:div w:id="1634675605">
          <w:marLeft w:val="480"/>
          <w:marRight w:val="0"/>
          <w:marTop w:val="0"/>
          <w:marBottom w:val="0"/>
          <w:divBdr>
            <w:top w:val="none" w:sz="0" w:space="0" w:color="auto"/>
            <w:left w:val="none" w:sz="0" w:space="0" w:color="auto"/>
            <w:bottom w:val="none" w:sz="0" w:space="0" w:color="auto"/>
            <w:right w:val="none" w:sz="0" w:space="0" w:color="auto"/>
          </w:divBdr>
        </w:div>
      </w:divsChild>
    </w:div>
    <w:div w:id="385302646">
      <w:bodyDiv w:val="1"/>
      <w:marLeft w:val="0"/>
      <w:marRight w:val="0"/>
      <w:marTop w:val="0"/>
      <w:marBottom w:val="0"/>
      <w:divBdr>
        <w:top w:val="none" w:sz="0" w:space="0" w:color="auto"/>
        <w:left w:val="none" w:sz="0" w:space="0" w:color="auto"/>
        <w:bottom w:val="none" w:sz="0" w:space="0" w:color="auto"/>
        <w:right w:val="none" w:sz="0" w:space="0" w:color="auto"/>
      </w:divBdr>
    </w:div>
    <w:div w:id="385876405">
      <w:bodyDiv w:val="1"/>
      <w:marLeft w:val="0"/>
      <w:marRight w:val="0"/>
      <w:marTop w:val="0"/>
      <w:marBottom w:val="0"/>
      <w:divBdr>
        <w:top w:val="none" w:sz="0" w:space="0" w:color="auto"/>
        <w:left w:val="none" w:sz="0" w:space="0" w:color="auto"/>
        <w:bottom w:val="none" w:sz="0" w:space="0" w:color="auto"/>
        <w:right w:val="none" w:sz="0" w:space="0" w:color="auto"/>
      </w:divBdr>
    </w:div>
    <w:div w:id="386491570">
      <w:bodyDiv w:val="1"/>
      <w:marLeft w:val="0"/>
      <w:marRight w:val="0"/>
      <w:marTop w:val="0"/>
      <w:marBottom w:val="0"/>
      <w:divBdr>
        <w:top w:val="none" w:sz="0" w:space="0" w:color="auto"/>
        <w:left w:val="none" w:sz="0" w:space="0" w:color="auto"/>
        <w:bottom w:val="none" w:sz="0" w:space="0" w:color="auto"/>
        <w:right w:val="none" w:sz="0" w:space="0" w:color="auto"/>
      </w:divBdr>
    </w:div>
    <w:div w:id="387534252">
      <w:bodyDiv w:val="1"/>
      <w:marLeft w:val="0"/>
      <w:marRight w:val="0"/>
      <w:marTop w:val="0"/>
      <w:marBottom w:val="0"/>
      <w:divBdr>
        <w:top w:val="none" w:sz="0" w:space="0" w:color="auto"/>
        <w:left w:val="none" w:sz="0" w:space="0" w:color="auto"/>
        <w:bottom w:val="none" w:sz="0" w:space="0" w:color="auto"/>
        <w:right w:val="none" w:sz="0" w:space="0" w:color="auto"/>
      </w:divBdr>
    </w:div>
    <w:div w:id="388261479">
      <w:bodyDiv w:val="1"/>
      <w:marLeft w:val="0"/>
      <w:marRight w:val="0"/>
      <w:marTop w:val="0"/>
      <w:marBottom w:val="0"/>
      <w:divBdr>
        <w:top w:val="none" w:sz="0" w:space="0" w:color="auto"/>
        <w:left w:val="none" w:sz="0" w:space="0" w:color="auto"/>
        <w:bottom w:val="none" w:sz="0" w:space="0" w:color="auto"/>
        <w:right w:val="none" w:sz="0" w:space="0" w:color="auto"/>
      </w:divBdr>
    </w:div>
    <w:div w:id="389695433">
      <w:bodyDiv w:val="1"/>
      <w:marLeft w:val="0"/>
      <w:marRight w:val="0"/>
      <w:marTop w:val="0"/>
      <w:marBottom w:val="0"/>
      <w:divBdr>
        <w:top w:val="none" w:sz="0" w:space="0" w:color="auto"/>
        <w:left w:val="none" w:sz="0" w:space="0" w:color="auto"/>
        <w:bottom w:val="none" w:sz="0" w:space="0" w:color="auto"/>
        <w:right w:val="none" w:sz="0" w:space="0" w:color="auto"/>
      </w:divBdr>
    </w:div>
    <w:div w:id="390276794">
      <w:bodyDiv w:val="1"/>
      <w:marLeft w:val="0"/>
      <w:marRight w:val="0"/>
      <w:marTop w:val="0"/>
      <w:marBottom w:val="0"/>
      <w:divBdr>
        <w:top w:val="none" w:sz="0" w:space="0" w:color="auto"/>
        <w:left w:val="none" w:sz="0" w:space="0" w:color="auto"/>
        <w:bottom w:val="none" w:sz="0" w:space="0" w:color="auto"/>
        <w:right w:val="none" w:sz="0" w:space="0" w:color="auto"/>
      </w:divBdr>
    </w:div>
    <w:div w:id="390733043">
      <w:bodyDiv w:val="1"/>
      <w:marLeft w:val="0"/>
      <w:marRight w:val="0"/>
      <w:marTop w:val="0"/>
      <w:marBottom w:val="0"/>
      <w:divBdr>
        <w:top w:val="none" w:sz="0" w:space="0" w:color="auto"/>
        <w:left w:val="none" w:sz="0" w:space="0" w:color="auto"/>
        <w:bottom w:val="none" w:sz="0" w:space="0" w:color="auto"/>
        <w:right w:val="none" w:sz="0" w:space="0" w:color="auto"/>
      </w:divBdr>
    </w:div>
    <w:div w:id="392896528">
      <w:bodyDiv w:val="1"/>
      <w:marLeft w:val="0"/>
      <w:marRight w:val="0"/>
      <w:marTop w:val="0"/>
      <w:marBottom w:val="0"/>
      <w:divBdr>
        <w:top w:val="none" w:sz="0" w:space="0" w:color="auto"/>
        <w:left w:val="none" w:sz="0" w:space="0" w:color="auto"/>
        <w:bottom w:val="none" w:sz="0" w:space="0" w:color="auto"/>
        <w:right w:val="none" w:sz="0" w:space="0" w:color="auto"/>
      </w:divBdr>
    </w:div>
    <w:div w:id="393355543">
      <w:bodyDiv w:val="1"/>
      <w:marLeft w:val="0"/>
      <w:marRight w:val="0"/>
      <w:marTop w:val="0"/>
      <w:marBottom w:val="0"/>
      <w:divBdr>
        <w:top w:val="none" w:sz="0" w:space="0" w:color="auto"/>
        <w:left w:val="none" w:sz="0" w:space="0" w:color="auto"/>
        <w:bottom w:val="none" w:sz="0" w:space="0" w:color="auto"/>
        <w:right w:val="none" w:sz="0" w:space="0" w:color="auto"/>
      </w:divBdr>
    </w:div>
    <w:div w:id="395862989">
      <w:bodyDiv w:val="1"/>
      <w:marLeft w:val="0"/>
      <w:marRight w:val="0"/>
      <w:marTop w:val="0"/>
      <w:marBottom w:val="0"/>
      <w:divBdr>
        <w:top w:val="none" w:sz="0" w:space="0" w:color="auto"/>
        <w:left w:val="none" w:sz="0" w:space="0" w:color="auto"/>
        <w:bottom w:val="none" w:sz="0" w:space="0" w:color="auto"/>
        <w:right w:val="none" w:sz="0" w:space="0" w:color="auto"/>
      </w:divBdr>
    </w:div>
    <w:div w:id="397285613">
      <w:bodyDiv w:val="1"/>
      <w:marLeft w:val="0"/>
      <w:marRight w:val="0"/>
      <w:marTop w:val="0"/>
      <w:marBottom w:val="0"/>
      <w:divBdr>
        <w:top w:val="none" w:sz="0" w:space="0" w:color="auto"/>
        <w:left w:val="none" w:sz="0" w:space="0" w:color="auto"/>
        <w:bottom w:val="none" w:sz="0" w:space="0" w:color="auto"/>
        <w:right w:val="none" w:sz="0" w:space="0" w:color="auto"/>
      </w:divBdr>
    </w:div>
    <w:div w:id="398021263">
      <w:bodyDiv w:val="1"/>
      <w:marLeft w:val="0"/>
      <w:marRight w:val="0"/>
      <w:marTop w:val="0"/>
      <w:marBottom w:val="0"/>
      <w:divBdr>
        <w:top w:val="none" w:sz="0" w:space="0" w:color="auto"/>
        <w:left w:val="none" w:sz="0" w:space="0" w:color="auto"/>
        <w:bottom w:val="none" w:sz="0" w:space="0" w:color="auto"/>
        <w:right w:val="none" w:sz="0" w:space="0" w:color="auto"/>
      </w:divBdr>
    </w:div>
    <w:div w:id="400098121">
      <w:bodyDiv w:val="1"/>
      <w:marLeft w:val="0"/>
      <w:marRight w:val="0"/>
      <w:marTop w:val="0"/>
      <w:marBottom w:val="0"/>
      <w:divBdr>
        <w:top w:val="none" w:sz="0" w:space="0" w:color="auto"/>
        <w:left w:val="none" w:sz="0" w:space="0" w:color="auto"/>
        <w:bottom w:val="none" w:sz="0" w:space="0" w:color="auto"/>
        <w:right w:val="none" w:sz="0" w:space="0" w:color="auto"/>
      </w:divBdr>
    </w:div>
    <w:div w:id="403724001">
      <w:bodyDiv w:val="1"/>
      <w:marLeft w:val="0"/>
      <w:marRight w:val="0"/>
      <w:marTop w:val="0"/>
      <w:marBottom w:val="0"/>
      <w:divBdr>
        <w:top w:val="none" w:sz="0" w:space="0" w:color="auto"/>
        <w:left w:val="none" w:sz="0" w:space="0" w:color="auto"/>
        <w:bottom w:val="none" w:sz="0" w:space="0" w:color="auto"/>
        <w:right w:val="none" w:sz="0" w:space="0" w:color="auto"/>
      </w:divBdr>
    </w:div>
    <w:div w:id="406155504">
      <w:bodyDiv w:val="1"/>
      <w:marLeft w:val="0"/>
      <w:marRight w:val="0"/>
      <w:marTop w:val="0"/>
      <w:marBottom w:val="0"/>
      <w:divBdr>
        <w:top w:val="none" w:sz="0" w:space="0" w:color="auto"/>
        <w:left w:val="none" w:sz="0" w:space="0" w:color="auto"/>
        <w:bottom w:val="none" w:sz="0" w:space="0" w:color="auto"/>
        <w:right w:val="none" w:sz="0" w:space="0" w:color="auto"/>
      </w:divBdr>
    </w:div>
    <w:div w:id="407270019">
      <w:bodyDiv w:val="1"/>
      <w:marLeft w:val="0"/>
      <w:marRight w:val="0"/>
      <w:marTop w:val="0"/>
      <w:marBottom w:val="0"/>
      <w:divBdr>
        <w:top w:val="none" w:sz="0" w:space="0" w:color="auto"/>
        <w:left w:val="none" w:sz="0" w:space="0" w:color="auto"/>
        <w:bottom w:val="none" w:sz="0" w:space="0" w:color="auto"/>
        <w:right w:val="none" w:sz="0" w:space="0" w:color="auto"/>
      </w:divBdr>
    </w:div>
    <w:div w:id="409474414">
      <w:bodyDiv w:val="1"/>
      <w:marLeft w:val="0"/>
      <w:marRight w:val="0"/>
      <w:marTop w:val="0"/>
      <w:marBottom w:val="0"/>
      <w:divBdr>
        <w:top w:val="none" w:sz="0" w:space="0" w:color="auto"/>
        <w:left w:val="none" w:sz="0" w:space="0" w:color="auto"/>
        <w:bottom w:val="none" w:sz="0" w:space="0" w:color="auto"/>
        <w:right w:val="none" w:sz="0" w:space="0" w:color="auto"/>
      </w:divBdr>
      <w:divsChild>
        <w:div w:id="623461073">
          <w:marLeft w:val="640"/>
          <w:marRight w:val="0"/>
          <w:marTop w:val="0"/>
          <w:marBottom w:val="0"/>
          <w:divBdr>
            <w:top w:val="none" w:sz="0" w:space="0" w:color="auto"/>
            <w:left w:val="none" w:sz="0" w:space="0" w:color="auto"/>
            <w:bottom w:val="none" w:sz="0" w:space="0" w:color="auto"/>
            <w:right w:val="none" w:sz="0" w:space="0" w:color="auto"/>
          </w:divBdr>
        </w:div>
        <w:div w:id="1817061383">
          <w:marLeft w:val="640"/>
          <w:marRight w:val="0"/>
          <w:marTop w:val="0"/>
          <w:marBottom w:val="0"/>
          <w:divBdr>
            <w:top w:val="none" w:sz="0" w:space="0" w:color="auto"/>
            <w:left w:val="none" w:sz="0" w:space="0" w:color="auto"/>
            <w:bottom w:val="none" w:sz="0" w:space="0" w:color="auto"/>
            <w:right w:val="none" w:sz="0" w:space="0" w:color="auto"/>
          </w:divBdr>
        </w:div>
        <w:div w:id="484246426">
          <w:marLeft w:val="640"/>
          <w:marRight w:val="0"/>
          <w:marTop w:val="0"/>
          <w:marBottom w:val="0"/>
          <w:divBdr>
            <w:top w:val="none" w:sz="0" w:space="0" w:color="auto"/>
            <w:left w:val="none" w:sz="0" w:space="0" w:color="auto"/>
            <w:bottom w:val="none" w:sz="0" w:space="0" w:color="auto"/>
            <w:right w:val="none" w:sz="0" w:space="0" w:color="auto"/>
          </w:divBdr>
        </w:div>
        <w:div w:id="948243172">
          <w:marLeft w:val="640"/>
          <w:marRight w:val="0"/>
          <w:marTop w:val="0"/>
          <w:marBottom w:val="0"/>
          <w:divBdr>
            <w:top w:val="none" w:sz="0" w:space="0" w:color="auto"/>
            <w:left w:val="none" w:sz="0" w:space="0" w:color="auto"/>
            <w:bottom w:val="none" w:sz="0" w:space="0" w:color="auto"/>
            <w:right w:val="none" w:sz="0" w:space="0" w:color="auto"/>
          </w:divBdr>
        </w:div>
        <w:div w:id="1375035736">
          <w:marLeft w:val="640"/>
          <w:marRight w:val="0"/>
          <w:marTop w:val="0"/>
          <w:marBottom w:val="0"/>
          <w:divBdr>
            <w:top w:val="none" w:sz="0" w:space="0" w:color="auto"/>
            <w:left w:val="none" w:sz="0" w:space="0" w:color="auto"/>
            <w:bottom w:val="none" w:sz="0" w:space="0" w:color="auto"/>
            <w:right w:val="none" w:sz="0" w:space="0" w:color="auto"/>
          </w:divBdr>
        </w:div>
        <w:div w:id="202644833">
          <w:marLeft w:val="640"/>
          <w:marRight w:val="0"/>
          <w:marTop w:val="0"/>
          <w:marBottom w:val="0"/>
          <w:divBdr>
            <w:top w:val="none" w:sz="0" w:space="0" w:color="auto"/>
            <w:left w:val="none" w:sz="0" w:space="0" w:color="auto"/>
            <w:bottom w:val="none" w:sz="0" w:space="0" w:color="auto"/>
            <w:right w:val="none" w:sz="0" w:space="0" w:color="auto"/>
          </w:divBdr>
        </w:div>
        <w:div w:id="789589735">
          <w:marLeft w:val="640"/>
          <w:marRight w:val="0"/>
          <w:marTop w:val="0"/>
          <w:marBottom w:val="0"/>
          <w:divBdr>
            <w:top w:val="none" w:sz="0" w:space="0" w:color="auto"/>
            <w:left w:val="none" w:sz="0" w:space="0" w:color="auto"/>
            <w:bottom w:val="none" w:sz="0" w:space="0" w:color="auto"/>
            <w:right w:val="none" w:sz="0" w:space="0" w:color="auto"/>
          </w:divBdr>
        </w:div>
        <w:div w:id="1890335396">
          <w:marLeft w:val="640"/>
          <w:marRight w:val="0"/>
          <w:marTop w:val="0"/>
          <w:marBottom w:val="0"/>
          <w:divBdr>
            <w:top w:val="none" w:sz="0" w:space="0" w:color="auto"/>
            <w:left w:val="none" w:sz="0" w:space="0" w:color="auto"/>
            <w:bottom w:val="none" w:sz="0" w:space="0" w:color="auto"/>
            <w:right w:val="none" w:sz="0" w:space="0" w:color="auto"/>
          </w:divBdr>
        </w:div>
        <w:div w:id="1231964621">
          <w:marLeft w:val="640"/>
          <w:marRight w:val="0"/>
          <w:marTop w:val="0"/>
          <w:marBottom w:val="0"/>
          <w:divBdr>
            <w:top w:val="none" w:sz="0" w:space="0" w:color="auto"/>
            <w:left w:val="none" w:sz="0" w:space="0" w:color="auto"/>
            <w:bottom w:val="none" w:sz="0" w:space="0" w:color="auto"/>
            <w:right w:val="none" w:sz="0" w:space="0" w:color="auto"/>
          </w:divBdr>
        </w:div>
        <w:div w:id="1733113009">
          <w:marLeft w:val="640"/>
          <w:marRight w:val="0"/>
          <w:marTop w:val="0"/>
          <w:marBottom w:val="0"/>
          <w:divBdr>
            <w:top w:val="none" w:sz="0" w:space="0" w:color="auto"/>
            <w:left w:val="none" w:sz="0" w:space="0" w:color="auto"/>
            <w:bottom w:val="none" w:sz="0" w:space="0" w:color="auto"/>
            <w:right w:val="none" w:sz="0" w:space="0" w:color="auto"/>
          </w:divBdr>
        </w:div>
        <w:div w:id="2091006250">
          <w:marLeft w:val="640"/>
          <w:marRight w:val="0"/>
          <w:marTop w:val="0"/>
          <w:marBottom w:val="0"/>
          <w:divBdr>
            <w:top w:val="none" w:sz="0" w:space="0" w:color="auto"/>
            <w:left w:val="none" w:sz="0" w:space="0" w:color="auto"/>
            <w:bottom w:val="none" w:sz="0" w:space="0" w:color="auto"/>
            <w:right w:val="none" w:sz="0" w:space="0" w:color="auto"/>
          </w:divBdr>
        </w:div>
        <w:div w:id="231821294">
          <w:marLeft w:val="640"/>
          <w:marRight w:val="0"/>
          <w:marTop w:val="0"/>
          <w:marBottom w:val="0"/>
          <w:divBdr>
            <w:top w:val="none" w:sz="0" w:space="0" w:color="auto"/>
            <w:left w:val="none" w:sz="0" w:space="0" w:color="auto"/>
            <w:bottom w:val="none" w:sz="0" w:space="0" w:color="auto"/>
            <w:right w:val="none" w:sz="0" w:space="0" w:color="auto"/>
          </w:divBdr>
        </w:div>
        <w:div w:id="1901558122">
          <w:marLeft w:val="640"/>
          <w:marRight w:val="0"/>
          <w:marTop w:val="0"/>
          <w:marBottom w:val="0"/>
          <w:divBdr>
            <w:top w:val="none" w:sz="0" w:space="0" w:color="auto"/>
            <w:left w:val="none" w:sz="0" w:space="0" w:color="auto"/>
            <w:bottom w:val="none" w:sz="0" w:space="0" w:color="auto"/>
            <w:right w:val="none" w:sz="0" w:space="0" w:color="auto"/>
          </w:divBdr>
        </w:div>
        <w:div w:id="136000671">
          <w:marLeft w:val="640"/>
          <w:marRight w:val="0"/>
          <w:marTop w:val="0"/>
          <w:marBottom w:val="0"/>
          <w:divBdr>
            <w:top w:val="none" w:sz="0" w:space="0" w:color="auto"/>
            <w:left w:val="none" w:sz="0" w:space="0" w:color="auto"/>
            <w:bottom w:val="none" w:sz="0" w:space="0" w:color="auto"/>
            <w:right w:val="none" w:sz="0" w:space="0" w:color="auto"/>
          </w:divBdr>
        </w:div>
        <w:div w:id="1597863492">
          <w:marLeft w:val="640"/>
          <w:marRight w:val="0"/>
          <w:marTop w:val="0"/>
          <w:marBottom w:val="0"/>
          <w:divBdr>
            <w:top w:val="none" w:sz="0" w:space="0" w:color="auto"/>
            <w:left w:val="none" w:sz="0" w:space="0" w:color="auto"/>
            <w:bottom w:val="none" w:sz="0" w:space="0" w:color="auto"/>
            <w:right w:val="none" w:sz="0" w:space="0" w:color="auto"/>
          </w:divBdr>
        </w:div>
        <w:div w:id="703529084">
          <w:marLeft w:val="640"/>
          <w:marRight w:val="0"/>
          <w:marTop w:val="0"/>
          <w:marBottom w:val="0"/>
          <w:divBdr>
            <w:top w:val="none" w:sz="0" w:space="0" w:color="auto"/>
            <w:left w:val="none" w:sz="0" w:space="0" w:color="auto"/>
            <w:bottom w:val="none" w:sz="0" w:space="0" w:color="auto"/>
            <w:right w:val="none" w:sz="0" w:space="0" w:color="auto"/>
          </w:divBdr>
        </w:div>
        <w:div w:id="774792808">
          <w:marLeft w:val="640"/>
          <w:marRight w:val="0"/>
          <w:marTop w:val="0"/>
          <w:marBottom w:val="0"/>
          <w:divBdr>
            <w:top w:val="none" w:sz="0" w:space="0" w:color="auto"/>
            <w:left w:val="none" w:sz="0" w:space="0" w:color="auto"/>
            <w:bottom w:val="none" w:sz="0" w:space="0" w:color="auto"/>
            <w:right w:val="none" w:sz="0" w:space="0" w:color="auto"/>
          </w:divBdr>
        </w:div>
        <w:div w:id="1384282941">
          <w:marLeft w:val="640"/>
          <w:marRight w:val="0"/>
          <w:marTop w:val="0"/>
          <w:marBottom w:val="0"/>
          <w:divBdr>
            <w:top w:val="none" w:sz="0" w:space="0" w:color="auto"/>
            <w:left w:val="none" w:sz="0" w:space="0" w:color="auto"/>
            <w:bottom w:val="none" w:sz="0" w:space="0" w:color="auto"/>
            <w:right w:val="none" w:sz="0" w:space="0" w:color="auto"/>
          </w:divBdr>
        </w:div>
        <w:div w:id="2009093354">
          <w:marLeft w:val="640"/>
          <w:marRight w:val="0"/>
          <w:marTop w:val="0"/>
          <w:marBottom w:val="0"/>
          <w:divBdr>
            <w:top w:val="none" w:sz="0" w:space="0" w:color="auto"/>
            <w:left w:val="none" w:sz="0" w:space="0" w:color="auto"/>
            <w:bottom w:val="none" w:sz="0" w:space="0" w:color="auto"/>
            <w:right w:val="none" w:sz="0" w:space="0" w:color="auto"/>
          </w:divBdr>
        </w:div>
        <w:div w:id="1072043800">
          <w:marLeft w:val="640"/>
          <w:marRight w:val="0"/>
          <w:marTop w:val="0"/>
          <w:marBottom w:val="0"/>
          <w:divBdr>
            <w:top w:val="none" w:sz="0" w:space="0" w:color="auto"/>
            <w:left w:val="none" w:sz="0" w:space="0" w:color="auto"/>
            <w:bottom w:val="none" w:sz="0" w:space="0" w:color="auto"/>
            <w:right w:val="none" w:sz="0" w:space="0" w:color="auto"/>
          </w:divBdr>
        </w:div>
        <w:div w:id="2038193705">
          <w:marLeft w:val="640"/>
          <w:marRight w:val="0"/>
          <w:marTop w:val="0"/>
          <w:marBottom w:val="0"/>
          <w:divBdr>
            <w:top w:val="none" w:sz="0" w:space="0" w:color="auto"/>
            <w:left w:val="none" w:sz="0" w:space="0" w:color="auto"/>
            <w:bottom w:val="none" w:sz="0" w:space="0" w:color="auto"/>
            <w:right w:val="none" w:sz="0" w:space="0" w:color="auto"/>
          </w:divBdr>
        </w:div>
        <w:div w:id="1706515304">
          <w:marLeft w:val="640"/>
          <w:marRight w:val="0"/>
          <w:marTop w:val="0"/>
          <w:marBottom w:val="0"/>
          <w:divBdr>
            <w:top w:val="none" w:sz="0" w:space="0" w:color="auto"/>
            <w:left w:val="none" w:sz="0" w:space="0" w:color="auto"/>
            <w:bottom w:val="none" w:sz="0" w:space="0" w:color="auto"/>
            <w:right w:val="none" w:sz="0" w:space="0" w:color="auto"/>
          </w:divBdr>
        </w:div>
        <w:div w:id="1313832310">
          <w:marLeft w:val="640"/>
          <w:marRight w:val="0"/>
          <w:marTop w:val="0"/>
          <w:marBottom w:val="0"/>
          <w:divBdr>
            <w:top w:val="none" w:sz="0" w:space="0" w:color="auto"/>
            <w:left w:val="none" w:sz="0" w:space="0" w:color="auto"/>
            <w:bottom w:val="none" w:sz="0" w:space="0" w:color="auto"/>
            <w:right w:val="none" w:sz="0" w:space="0" w:color="auto"/>
          </w:divBdr>
        </w:div>
        <w:div w:id="1438333692">
          <w:marLeft w:val="640"/>
          <w:marRight w:val="0"/>
          <w:marTop w:val="0"/>
          <w:marBottom w:val="0"/>
          <w:divBdr>
            <w:top w:val="none" w:sz="0" w:space="0" w:color="auto"/>
            <w:left w:val="none" w:sz="0" w:space="0" w:color="auto"/>
            <w:bottom w:val="none" w:sz="0" w:space="0" w:color="auto"/>
            <w:right w:val="none" w:sz="0" w:space="0" w:color="auto"/>
          </w:divBdr>
        </w:div>
        <w:div w:id="1875117050">
          <w:marLeft w:val="640"/>
          <w:marRight w:val="0"/>
          <w:marTop w:val="0"/>
          <w:marBottom w:val="0"/>
          <w:divBdr>
            <w:top w:val="none" w:sz="0" w:space="0" w:color="auto"/>
            <w:left w:val="none" w:sz="0" w:space="0" w:color="auto"/>
            <w:bottom w:val="none" w:sz="0" w:space="0" w:color="auto"/>
            <w:right w:val="none" w:sz="0" w:space="0" w:color="auto"/>
          </w:divBdr>
        </w:div>
        <w:div w:id="629627906">
          <w:marLeft w:val="640"/>
          <w:marRight w:val="0"/>
          <w:marTop w:val="0"/>
          <w:marBottom w:val="0"/>
          <w:divBdr>
            <w:top w:val="none" w:sz="0" w:space="0" w:color="auto"/>
            <w:left w:val="none" w:sz="0" w:space="0" w:color="auto"/>
            <w:bottom w:val="none" w:sz="0" w:space="0" w:color="auto"/>
            <w:right w:val="none" w:sz="0" w:space="0" w:color="auto"/>
          </w:divBdr>
        </w:div>
        <w:div w:id="1324357451">
          <w:marLeft w:val="640"/>
          <w:marRight w:val="0"/>
          <w:marTop w:val="0"/>
          <w:marBottom w:val="0"/>
          <w:divBdr>
            <w:top w:val="none" w:sz="0" w:space="0" w:color="auto"/>
            <w:left w:val="none" w:sz="0" w:space="0" w:color="auto"/>
            <w:bottom w:val="none" w:sz="0" w:space="0" w:color="auto"/>
            <w:right w:val="none" w:sz="0" w:space="0" w:color="auto"/>
          </w:divBdr>
        </w:div>
        <w:div w:id="541475387">
          <w:marLeft w:val="640"/>
          <w:marRight w:val="0"/>
          <w:marTop w:val="0"/>
          <w:marBottom w:val="0"/>
          <w:divBdr>
            <w:top w:val="none" w:sz="0" w:space="0" w:color="auto"/>
            <w:left w:val="none" w:sz="0" w:space="0" w:color="auto"/>
            <w:bottom w:val="none" w:sz="0" w:space="0" w:color="auto"/>
            <w:right w:val="none" w:sz="0" w:space="0" w:color="auto"/>
          </w:divBdr>
        </w:div>
        <w:div w:id="1833792115">
          <w:marLeft w:val="640"/>
          <w:marRight w:val="0"/>
          <w:marTop w:val="0"/>
          <w:marBottom w:val="0"/>
          <w:divBdr>
            <w:top w:val="none" w:sz="0" w:space="0" w:color="auto"/>
            <w:left w:val="none" w:sz="0" w:space="0" w:color="auto"/>
            <w:bottom w:val="none" w:sz="0" w:space="0" w:color="auto"/>
            <w:right w:val="none" w:sz="0" w:space="0" w:color="auto"/>
          </w:divBdr>
        </w:div>
        <w:div w:id="1422986746">
          <w:marLeft w:val="640"/>
          <w:marRight w:val="0"/>
          <w:marTop w:val="0"/>
          <w:marBottom w:val="0"/>
          <w:divBdr>
            <w:top w:val="none" w:sz="0" w:space="0" w:color="auto"/>
            <w:left w:val="none" w:sz="0" w:space="0" w:color="auto"/>
            <w:bottom w:val="none" w:sz="0" w:space="0" w:color="auto"/>
            <w:right w:val="none" w:sz="0" w:space="0" w:color="auto"/>
          </w:divBdr>
        </w:div>
        <w:div w:id="1185556906">
          <w:marLeft w:val="640"/>
          <w:marRight w:val="0"/>
          <w:marTop w:val="0"/>
          <w:marBottom w:val="0"/>
          <w:divBdr>
            <w:top w:val="none" w:sz="0" w:space="0" w:color="auto"/>
            <w:left w:val="none" w:sz="0" w:space="0" w:color="auto"/>
            <w:bottom w:val="none" w:sz="0" w:space="0" w:color="auto"/>
            <w:right w:val="none" w:sz="0" w:space="0" w:color="auto"/>
          </w:divBdr>
        </w:div>
        <w:div w:id="1648894846">
          <w:marLeft w:val="640"/>
          <w:marRight w:val="0"/>
          <w:marTop w:val="0"/>
          <w:marBottom w:val="0"/>
          <w:divBdr>
            <w:top w:val="none" w:sz="0" w:space="0" w:color="auto"/>
            <w:left w:val="none" w:sz="0" w:space="0" w:color="auto"/>
            <w:bottom w:val="none" w:sz="0" w:space="0" w:color="auto"/>
            <w:right w:val="none" w:sz="0" w:space="0" w:color="auto"/>
          </w:divBdr>
        </w:div>
        <w:div w:id="885608423">
          <w:marLeft w:val="640"/>
          <w:marRight w:val="0"/>
          <w:marTop w:val="0"/>
          <w:marBottom w:val="0"/>
          <w:divBdr>
            <w:top w:val="none" w:sz="0" w:space="0" w:color="auto"/>
            <w:left w:val="none" w:sz="0" w:space="0" w:color="auto"/>
            <w:bottom w:val="none" w:sz="0" w:space="0" w:color="auto"/>
            <w:right w:val="none" w:sz="0" w:space="0" w:color="auto"/>
          </w:divBdr>
        </w:div>
        <w:div w:id="1747652264">
          <w:marLeft w:val="640"/>
          <w:marRight w:val="0"/>
          <w:marTop w:val="0"/>
          <w:marBottom w:val="0"/>
          <w:divBdr>
            <w:top w:val="none" w:sz="0" w:space="0" w:color="auto"/>
            <w:left w:val="none" w:sz="0" w:space="0" w:color="auto"/>
            <w:bottom w:val="none" w:sz="0" w:space="0" w:color="auto"/>
            <w:right w:val="none" w:sz="0" w:space="0" w:color="auto"/>
          </w:divBdr>
        </w:div>
        <w:div w:id="1110245682">
          <w:marLeft w:val="640"/>
          <w:marRight w:val="0"/>
          <w:marTop w:val="0"/>
          <w:marBottom w:val="0"/>
          <w:divBdr>
            <w:top w:val="none" w:sz="0" w:space="0" w:color="auto"/>
            <w:left w:val="none" w:sz="0" w:space="0" w:color="auto"/>
            <w:bottom w:val="none" w:sz="0" w:space="0" w:color="auto"/>
            <w:right w:val="none" w:sz="0" w:space="0" w:color="auto"/>
          </w:divBdr>
        </w:div>
        <w:div w:id="1782454959">
          <w:marLeft w:val="640"/>
          <w:marRight w:val="0"/>
          <w:marTop w:val="0"/>
          <w:marBottom w:val="0"/>
          <w:divBdr>
            <w:top w:val="none" w:sz="0" w:space="0" w:color="auto"/>
            <w:left w:val="none" w:sz="0" w:space="0" w:color="auto"/>
            <w:bottom w:val="none" w:sz="0" w:space="0" w:color="auto"/>
            <w:right w:val="none" w:sz="0" w:space="0" w:color="auto"/>
          </w:divBdr>
        </w:div>
        <w:div w:id="1097336373">
          <w:marLeft w:val="640"/>
          <w:marRight w:val="0"/>
          <w:marTop w:val="0"/>
          <w:marBottom w:val="0"/>
          <w:divBdr>
            <w:top w:val="none" w:sz="0" w:space="0" w:color="auto"/>
            <w:left w:val="none" w:sz="0" w:space="0" w:color="auto"/>
            <w:bottom w:val="none" w:sz="0" w:space="0" w:color="auto"/>
            <w:right w:val="none" w:sz="0" w:space="0" w:color="auto"/>
          </w:divBdr>
        </w:div>
        <w:div w:id="982194936">
          <w:marLeft w:val="640"/>
          <w:marRight w:val="0"/>
          <w:marTop w:val="0"/>
          <w:marBottom w:val="0"/>
          <w:divBdr>
            <w:top w:val="none" w:sz="0" w:space="0" w:color="auto"/>
            <w:left w:val="none" w:sz="0" w:space="0" w:color="auto"/>
            <w:bottom w:val="none" w:sz="0" w:space="0" w:color="auto"/>
            <w:right w:val="none" w:sz="0" w:space="0" w:color="auto"/>
          </w:divBdr>
        </w:div>
        <w:div w:id="882256995">
          <w:marLeft w:val="640"/>
          <w:marRight w:val="0"/>
          <w:marTop w:val="0"/>
          <w:marBottom w:val="0"/>
          <w:divBdr>
            <w:top w:val="none" w:sz="0" w:space="0" w:color="auto"/>
            <w:left w:val="none" w:sz="0" w:space="0" w:color="auto"/>
            <w:bottom w:val="none" w:sz="0" w:space="0" w:color="auto"/>
            <w:right w:val="none" w:sz="0" w:space="0" w:color="auto"/>
          </w:divBdr>
        </w:div>
        <w:div w:id="1412121233">
          <w:marLeft w:val="640"/>
          <w:marRight w:val="0"/>
          <w:marTop w:val="0"/>
          <w:marBottom w:val="0"/>
          <w:divBdr>
            <w:top w:val="none" w:sz="0" w:space="0" w:color="auto"/>
            <w:left w:val="none" w:sz="0" w:space="0" w:color="auto"/>
            <w:bottom w:val="none" w:sz="0" w:space="0" w:color="auto"/>
            <w:right w:val="none" w:sz="0" w:space="0" w:color="auto"/>
          </w:divBdr>
        </w:div>
        <w:div w:id="1127967862">
          <w:marLeft w:val="640"/>
          <w:marRight w:val="0"/>
          <w:marTop w:val="0"/>
          <w:marBottom w:val="0"/>
          <w:divBdr>
            <w:top w:val="none" w:sz="0" w:space="0" w:color="auto"/>
            <w:left w:val="none" w:sz="0" w:space="0" w:color="auto"/>
            <w:bottom w:val="none" w:sz="0" w:space="0" w:color="auto"/>
            <w:right w:val="none" w:sz="0" w:space="0" w:color="auto"/>
          </w:divBdr>
        </w:div>
        <w:div w:id="419912677">
          <w:marLeft w:val="640"/>
          <w:marRight w:val="0"/>
          <w:marTop w:val="0"/>
          <w:marBottom w:val="0"/>
          <w:divBdr>
            <w:top w:val="none" w:sz="0" w:space="0" w:color="auto"/>
            <w:left w:val="none" w:sz="0" w:space="0" w:color="auto"/>
            <w:bottom w:val="none" w:sz="0" w:space="0" w:color="auto"/>
            <w:right w:val="none" w:sz="0" w:space="0" w:color="auto"/>
          </w:divBdr>
        </w:div>
        <w:div w:id="168450878">
          <w:marLeft w:val="640"/>
          <w:marRight w:val="0"/>
          <w:marTop w:val="0"/>
          <w:marBottom w:val="0"/>
          <w:divBdr>
            <w:top w:val="none" w:sz="0" w:space="0" w:color="auto"/>
            <w:left w:val="none" w:sz="0" w:space="0" w:color="auto"/>
            <w:bottom w:val="none" w:sz="0" w:space="0" w:color="auto"/>
            <w:right w:val="none" w:sz="0" w:space="0" w:color="auto"/>
          </w:divBdr>
        </w:div>
        <w:div w:id="1983265283">
          <w:marLeft w:val="640"/>
          <w:marRight w:val="0"/>
          <w:marTop w:val="0"/>
          <w:marBottom w:val="0"/>
          <w:divBdr>
            <w:top w:val="none" w:sz="0" w:space="0" w:color="auto"/>
            <w:left w:val="none" w:sz="0" w:space="0" w:color="auto"/>
            <w:bottom w:val="none" w:sz="0" w:space="0" w:color="auto"/>
            <w:right w:val="none" w:sz="0" w:space="0" w:color="auto"/>
          </w:divBdr>
        </w:div>
        <w:div w:id="658733799">
          <w:marLeft w:val="640"/>
          <w:marRight w:val="0"/>
          <w:marTop w:val="0"/>
          <w:marBottom w:val="0"/>
          <w:divBdr>
            <w:top w:val="none" w:sz="0" w:space="0" w:color="auto"/>
            <w:left w:val="none" w:sz="0" w:space="0" w:color="auto"/>
            <w:bottom w:val="none" w:sz="0" w:space="0" w:color="auto"/>
            <w:right w:val="none" w:sz="0" w:space="0" w:color="auto"/>
          </w:divBdr>
        </w:div>
        <w:div w:id="480539887">
          <w:marLeft w:val="640"/>
          <w:marRight w:val="0"/>
          <w:marTop w:val="0"/>
          <w:marBottom w:val="0"/>
          <w:divBdr>
            <w:top w:val="none" w:sz="0" w:space="0" w:color="auto"/>
            <w:left w:val="none" w:sz="0" w:space="0" w:color="auto"/>
            <w:bottom w:val="none" w:sz="0" w:space="0" w:color="auto"/>
            <w:right w:val="none" w:sz="0" w:space="0" w:color="auto"/>
          </w:divBdr>
        </w:div>
        <w:div w:id="283654027">
          <w:marLeft w:val="640"/>
          <w:marRight w:val="0"/>
          <w:marTop w:val="0"/>
          <w:marBottom w:val="0"/>
          <w:divBdr>
            <w:top w:val="none" w:sz="0" w:space="0" w:color="auto"/>
            <w:left w:val="none" w:sz="0" w:space="0" w:color="auto"/>
            <w:bottom w:val="none" w:sz="0" w:space="0" w:color="auto"/>
            <w:right w:val="none" w:sz="0" w:space="0" w:color="auto"/>
          </w:divBdr>
        </w:div>
        <w:div w:id="1598516015">
          <w:marLeft w:val="640"/>
          <w:marRight w:val="0"/>
          <w:marTop w:val="0"/>
          <w:marBottom w:val="0"/>
          <w:divBdr>
            <w:top w:val="none" w:sz="0" w:space="0" w:color="auto"/>
            <w:left w:val="none" w:sz="0" w:space="0" w:color="auto"/>
            <w:bottom w:val="none" w:sz="0" w:space="0" w:color="auto"/>
            <w:right w:val="none" w:sz="0" w:space="0" w:color="auto"/>
          </w:divBdr>
        </w:div>
        <w:div w:id="5210108">
          <w:marLeft w:val="640"/>
          <w:marRight w:val="0"/>
          <w:marTop w:val="0"/>
          <w:marBottom w:val="0"/>
          <w:divBdr>
            <w:top w:val="none" w:sz="0" w:space="0" w:color="auto"/>
            <w:left w:val="none" w:sz="0" w:space="0" w:color="auto"/>
            <w:bottom w:val="none" w:sz="0" w:space="0" w:color="auto"/>
            <w:right w:val="none" w:sz="0" w:space="0" w:color="auto"/>
          </w:divBdr>
        </w:div>
        <w:div w:id="348337063">
          <w:marLeft w:val="640"/>
          <w:marRight w:val="0"/>
          <w:marTop w:val="0"/>
          <w:marBottom w:val="0"/>
          <w:divBdr>
            <w:top w:val="none" w:sz="0" w:space="0" w:color="auto"/>
            <w:left w:val="none" w:sz="0" w:space="0" w:color="auto"/>
            <w:bottom w:val="none" w:sz="0" w:space="0" w:color="auto"/>
            <w:right w:val="none" w:sz="0" w:space="0" w:color="auto"/>
          </w:divBdr>
        </w:div>
        <w:div w:id="562178032">
          <w:marLeft w:val="640"/>
          <w:marRight w:val="0"/>
          <w:marTop w:val="0"/>
          <w:marBottom w:val="0"/>
          <w:divBdr>
            <w:top w:val="none" w:sz="0" w:space="0" w:color="auto"/>
            <w:left w:val="none" w:sz="0" w:space="0" w:color="auto"/>
            <w:bottom w:val="none" w:sz="0" w:space="0" w:color="auto"/>
            <w:right w:val="none" w:sz="0" w:space="0" w:color="auto"/>
          </w:divBdr>
        </w:div>
        <w:div w:id="863715627">
          <w:marLeft w:val="640"/>
          <w:marRight w:val="0"/>
          <w:marTop w:val="0"/>
          <w:marBottom w:val="0"/>
          <w:divBdr>
            <w:top w:val="none" w:sz="0" w:space="0" w:color="auto"/>
            <w:left w:val="none" w:sz="0" w:space="0" w:color="auto"/>
            <w:bottom w:val="none" w:sz="0" w:space="0" w:color="auto"/>
            <w:right w:val="none" w:sz="0" w:space="0" w:color="auto"/>
          </w:divBdr>
        </w:div>
        <w:div w:id="438567738">
          <w:marLeft w:val="640"/>
          <w:marRight w:val="0"/>
          <w:marTop w:val="0"/>
          <w:marBottom w:val="0"/>
          <w:divBdr>
            <w:top w:val="none" w:sz="0" w:space="0" w:color="auto"/>
            <w:left w:val="none" w:sz="0" w:space="0" w:color="auto"/>
            <w:bottom w:val="none" w:sz="0" w:space="0" w:color="auto"/>
            <w:right w:val="none" w:sz="0" w:space="0" w:color="auto"/>
          </w:divBdr>
        </w:div>
        <w:div w:id="1518806905">
          <w:marLeft w:val="640"/>
          <w:marRight w:val="0"/>
          <w:marTop w:val="0"/>
          <w:marBottom w:val="0"/>
          <w:divBdr>
            <w:top w:val="none" w:sz="0" w:space="0" w:color="auto"/>
            <w:left w:val="none" w:sz="0" w:space="0" w:color="auto"/>
            <w:bottom w:val="none" w:sz="0" w:space="0" w:color="auto"/>
            <w:right w:val="none" w:sz="0" w:space="0" w:color="auto"/>
          </w:divBdr>
        </w:div>
        <w:div w:id="1433354156">
          <w:marLeft w:val="640"/>
          <w:marRight w:val="0"/>
          <w:marTop w:val="0"/>
          <w:marBottom w:val="0"/>
          <w:divBdr>
            <w:top w:val="none" w:sz="0" w:space="0" w:color="auto"/>
            <w:left w:val="none" w:sz="0" w:space="0" w:color="auto"/>
            <w:bottom w:val="none" w:sz="0" w:space="0" w:color="auto"/>
            <w:right w:val="none" w:sz="0" w:space="0" w:color="auto"/>
          </w:divBdr>
        </w:div>
        <w:div w:id="971250386">
          <w:marLeft w:val="640"/>
          <w:marRight w:val="0"/>
          <w:marTop w:val="0"/>
          <w:marBottom w:val="0"/>
          <w:divBdr>
            <w:top w:val="none" w:sz="0" w:space="0" w:color="auto"/>
            <w:left w:val="none" w:sz="0" w:space="0" w:color="auto"/>
            <w:bottom w:val="none" w:sz="0" w:space="0" w:color="auto"/>
            <w:right w:val="none" w:sz="0" w:space="0" w:color="auto"/>
          </w:divBdr>
        </w:div>
        <w:div w:id="2084523754">
          <w:marLeft w:val="640"/>
          <w:marRight w:val="0"/>
          <w:marTop w:val="0"/>
          <w:marBottom w:val="0"/>
          <w:divBdr>
            <w:top w:val="none" w:sz="0" w:space="0" w:color="auto"/>
            <w:left w:val="none" w:sz="0" w:space="0" w:color="auto"/>
            <w:bottom w:val="none" w:sz="0" w:space="0" w:color="auto"/>
            <w:right w:val="none" w:sz="0" w:space="0" w:color="auto"/>
          </w:divBdr>
        </w:div>
        <w:div w:id="199628515">
          <w:marLeft w:val="640"/>
          <w:marRight w:val="0"/>
          <w:marTop w:val="0"/>
          <w:marBottom w:val="0"/>
          <w:divBdr>
            <w:top w:val="none" w:sz="0" w:space="0" w:color="auto"/>
            <w:left w:val="none" w:sz="0" w:space="0" w:color="auto"/>
            <w:bottom w:val="none" w:sz="0" w:space="0" w:color="auto"/>
            <w:right w:val="none" w:sz="0" w:space="0" w:color="auto"/>
          </w:divBdr>
        </w:div>
        <w:div w:id="555050305">
          <w:marLeft w:val="640"/>
          <w:marRight w:val="0"/>
          <w:marTop w:val="0"/>
          <w:marBottom w:val="0"/>
          <w:divBdr>
            <w:top w:val="none" w:sz="0" w:space="0" w:color="auto"/>
            <w:left w:val="none" w:sz="0" w:space="0" w:color="auto"/>
            <w:bottom w:val="none" w:sz="0" w:space="0" w:color="auto"/>
            <w:right w:val="none" w:sz="0" w:space="0" w:color="auto"/>
          </w:divBdr>
        </w:div>
        <w:div w:id="322129139">
          <w:marLeft w:val="640"/>
          <w:marRight w:val="0"/>
          <w:marTop w:val="0"/>
          <w:marBottom w:val="0"/>
          <w:divBdr>
            <w:top w:val="none" w:sz="0" w:space="0" w:color="auto"/>
            <w:left w:val="none" w:sz="0" w:space="0" w:color="auto"/>
            <w:bottom w:val="none" w:sz="0" w:space="0" w:color="auto"/>
            <w:right w:val="none" w:sz="0" w:space="0" w:color="auto"/>
          </w:divBdr>
        </w:div>
        <w:div w:id="386681841">
          <w:marLeft w:val="640"/>
          <w:marRight w:val="0"/>
          <w:marTop w:val="0"/>
          <w:marBottom w:val="0"/>
          <w:divBdr>
            <w:top w:val="none" w:sz="0" w:space="0" w:color="auto"/>
            <w:left w:val="none" w:sz="0" w:space="0" w:color="auto"/>
            <w:bottom w:val="none" w:sz="0" w:space="0" w:color="auto"/>
            <w:right w:val="none" w:sz="0" w:space="0" w:color="auto"/>
          </w:divBdr>
        </w:div>
        <w:div w:id="1848053499">
          <w:marLeft w:val="640"/>
          <w:marRight w:val="0"/>
          <w:marTop w:val="0"/>
          <w:marBottom w:val="0"/>
          <w:divBdr>
            <w:top w:val="none" w:sz="0" w:space="0" w:color="auto"/>
            <w:left w:val="none" w:sz="0" w:space="0" w:color="auto"/>
            <w:bottom w:val="none" w:sz="0" w:space="0" w:color="auto"/>
            <w:right w:val="none" w:sz="0" w:space="0" w:color="auto"/>
          </w:divBdr>
        </w:div>
        <w:div w:id="1052926724">
          <w:marLeft w:val="640"/>
          <w:marRight w:val="0"/>
          <w:marTop w:val="0"/>
          <w:marBottom w:val="0"/>
          <w:divBdr>
            <w:top w:val="none" w:sz="0" w:space="0" w:color="auto"/>
            <w:left w:val="none" w:sz="0" w:space="0" w:color="auto"/>
            <w:bottom w:val="none" w:sz="0" w:space="0" w:color="auto"/>
            <w:right w:val="none" w:sz="0" w:space="0" w:color="auto"/>
          </w:divBdr>
        </w:div>
        <w:div w:id="646084838">
          <w:marLeft w:val="640"/>
          <w:marRight w:val="0"/>
          <w:marTop w:val="0"/>
          <w:marBottom w:val="0"/>
          <w:divBdr>
            <w:top w:val="none" w:sz="0" w:space="0" w:color="auto"/>
            <w:left w:val="none" w:sz="0" w:space="0" w:color="auto"/>
            <w:bottom w:val="none" w:sz="0" w:space="0" w:color="auto"/>
            <w:right w:val="none" w:sz="0" w:space="0" w:color="auto"/>
          </w:divBdr>
        </w:div>
        <w:div w:id="703941060">
          <w:marLeft w:val="640"/>
          <w:marRight w:val="0"/>
          <w:marTop w:val="0"/>
          <w:marBottom w:val="0"/>
          <w:divBdr>
            <w:top w:val="none" w:sz="0" w:space="0" w:color="auto"/>
            <w:left w:val="none" w:sz="0" w:space="0" w:color="auto"/>
            <w:bottom w:val="none" w:sz="0" w:space="0" w:color="auto"/>
            <w:right w:val="none" w:sz="0" w:space="0" w:color="auto"/>
          </w:divBdr>
        </w:div>
        <w:div w:id="1997566979">
          <w:marLeft w:val="640"/>
          <w:marRight w:val="0"/>
          <w:marTop w:val="0"/>
          <w:marBottom w:val="0"/>
          <w:divBdr>
            <w:top w:val="none" w:sz="0" w:space="0" w:color="auto"/>
            <w:left w:val="none" w:sz="0" w:space="0" w:color="auto"/>
            <w:bottom w:val="none" w:sz="0" w:space="0" w:color="auto"/>
            <w:right w:val="none" w:sz="0" w:space="0" w:color="auto"/>
          </w:divBdr>
        </w:div>
        <w:div w:id="920944243">
          <w:marLeft w:val="640"/>
          <w:marRight w:val="0"/>
          <w:marTop w:val="0"/>
          <w:marBottom w:val="0"/>
          <w:divBdr>
            <w:top w:val="none" w:sz="0" w:space="0" w:color="auto"/>
            <w:left w:val="none" w:sz="0" w:space="0" w:color="auto"/>
            <w:bottom w:val="none" w:sz="0" w:space="0" w:color="auto"/>
            <w:right w:val="none" w:sz="0" w:space="0" w:color="auto"/>
          </w:divBdr>
        </w:div>
        <w:div w:id="1035422200">
          <w:marLeft w:val="640"/>
          <w:marRight w:val="0"/>
          <w:marTop w:val="0"/>
          <w:marBottom w:val="0"/>
          <w:divBdr>
            <w:top w:val="none" w:sz="0" w:space="0" w:color="auto"/>
            <w:left w:val="none" w:sz="0" w:space="0" w:color="auto"/>
            <w:bottom w:val="none" w:sz="0" w:space="0" w:color="auto"/>
            <w:right w:val="none" w:sz="0" w:space="0" w:color="auto"/>
          </w:divBdr>
        </w:div>
        <w:div w:id="1043674996">
          <w:marLeft w:val="640"/>
          <w:marRight w:val="0"/>
          <w:marTop w:val="0"/>
          <w:marBottom w:val="0"/>
          <w:divBdr>
            <w:top w:val="none" w:sz="0" w:space="0" w:color="auto"/>
            <w:left w:val="none" w:sz="0" w:space="0" w:color="auto"/>
            <w:bottom w:val="none" w:sz="0" w:space="0" w:color="auto"/>
            <w:right w:val="none" w:sz="0" w:space="0" w:color="auto"/>
          </w:divBdr>
        </w:div>
        <w:div w:id="1828665815">
          <w:marLeft w:val="640"/>
          <w:marRight w:val="0"/>
          <w:marTop w:val="0"/>
          <w:marBottom w:val="0"/>
          <w:divBdr>
            <w:top w:val="none" w:sz="0" w:space="0" w:color="auto"/>
            <w:left w:val="none" w:sz="0" w:space="0" w:color="auto"/>
            <w:bottom w:val="none" w:sz="0" w:space="0" w:color="auto"/>
            <w:right w:val="none" w:sz="0" w:space="0" w:color="auto"/>
          </w:divBdr>
        </w:div>
        <w:div w:id="268122144">
          <w:marLeft w:val="640"/>
          <w:marRight w:val="0"/>
          <w:marTop w:val="0"/>
          <w:marBottom w:val="0"/>
          <w:divBdr>
            <w:top w:val="none" w:sz="0" w:space="0" w:color="auto"/>
            <w:left w:val="none" w:sz="0" w:space="0" w:color="auto"/>
            <w:bottom w:val="none" w:sz="0" w:space="0" w:color="auto"/>
            <w:right w:val="none" w:sz="0" w:space="0" w:color="auto"/>
          </w:divBdr>
        </w:div>
        <w:div w:id="1285891024">
          <w:marLeft w:val="640"/>
          <w:marRight w:val="0"/>
          <w:marTop w:val="0"/>
          <w:marBottom w:val="0"/>
          <w:divBdr>
            <w:top w:val="none" w:sz="0" w:space="0" w:color="auto"/>
            <w:left w:val="none" w:sz="0" w:space="0" w:color="auto"/>
            <w:bottom w:val="none" w:sz="0" w:space="0" w:color="auto"/>
            <w:right w:val="none" w:sz="0" w:space="0" w:color="auto"/>
          </w:divBdr>
        </w:div>
        <w:div w:id="1732343124">
          <w:marLeft w:val="640"/>
          <w:marRight w:val="0"/>
          <w:marTop w:val="0"/>
          <w:marBottom w:val="0"/>
          <w:divBdr>
            <w:top w:val="none" w:sz="0" w:space="0" w:color="auto"/>
            <w:left w:val="none" w:sz="0" w:space="0" w:color="auto"/>
            <w:bottom w:val="none" w:sz="0" w:space="0" w:color="auto"/>
            <w:right w:val="none" w:sz="0" w:space="0" w:color="auto"/>
          </w:divBdr>
        </w:div>
        <w:div w:id="832646646">
          <w:marLeft w:val="640"/>
          <w:marRight w:val="0"/>
          <w:marTop w:val="0"/>
          <w:marBottom w:val="0"/>
          <w:divBdr>
            <w:top w:val="none" w:sz="0" w:space="0" w:color="auto"/>
            <w:left w:val="none" w:sz="0" w:space="0" w:color="auto"/>
            <w:bottom w:val="none" w:sz="0" w:space="0" w:color="auto"/>
            <w:right w:val="none" w:sz="0" w:space="0" w:color="auto"/>
          </w:divBdr>
        </w:div>
        <w:div w:id="1313408699">
          <w:marLeft w:val="640"/>
          <w:marRight w:val="0"/>
          <w:marTop w:val="0"/>
          <w:marBottom w:val="0"/>
          <w:divBdr>
            <w:top w:val="none" w:sz="0" w:space="0" w:color="auto"/>
            <w:left w:val="none" w:sz="0" w:space="0" w:color="auto"/>
            <w:bottom w:val="none" w:sz="0" w:space="0" w:color="auto"/>
            <w:right w:val="none" w:sz="0" w:space="0" w:color="auto"/>
          </w:divBdr>
        </w:div>
        <w:div w:id="722947177">
          <w:marLeft w:val="640"/>
          <w:marRight w:val="0"/>
          <w:marTop w:val="0"/>
          <w:marBottom w:val="0"/>
          <w:divBdr>
            <w:top w:val="none" w:sz="0" w:space="0" w:color="auto"/>
            <w:left w:val="none" w:sz="0" w:space="0" w:color="auto"/>
            <w:bottom w:val="none" w:sz="0" w:space="0" w:color="auto"/>
            <w:right w:val="none" w:sz="0" w:space="0" w:color="auto"/>
          </w:divBdr>
        </w:div>
        <w:div w:id="1912617046">
          <w:marLeft w:val="640"/>
          <w:marRight w:val="0"/>
          <w:marTop w:val="0"/>
          <w:marBottom w:val="0"/>
          <w:divBdr>
            <w:top w:val="none" w:sz="0" w:space="0" w:color="auto"/>
            <w:left w:val="none" w:sz="0" w:space="0" w:color="auto"/>
            <w:bottom w:val="none" w:sz="0" w:space="0" w:color="auto"/>
            <w:right w:val="none" w:sz="0" w:space="0" w:color="auto"/>
          </w:divBdr>
        </w:div>
        <w:div w:id="1341616300">
          <w:marLeft w:val="640"/>
          <w:marRight w:val="0"/>
          <w:marTop w:val="0"/>
          <w:marBottom w:val="0"/>
          <w:divBdr>
            <w:top w:val="none" w:sz="0" w:space="0" w:color="auto"/>
            <w:left w:val="none" w:sz="0" w:space="0" w:color="auto"/>
            <w:bottom w:val="none" w:sz="0" w:space="0" w:color="auto"/>
            <w:right w:val="none" w:sz="0" w:space="0" w:color="auto"/>
          </w:divBdr>
        </w:div>
        <w:div w:id="510067505">
          <w:marLeft w:val="640"/>
          <w:marRight w:val="0"/>
          <w:marTop w:val="0"/>
          <w:marBottom w:val="0"/>
          <w:divBdr>
            <w:top w:val="none" w:sz="0" w:space="0" w:color="auto"/>
            <w:left w:val="none" w:sz="0" w:space="0" w:color="auto"/>
            <w:bottom w:val="none" w:sz="0" w:space="0" w:color="auto"/>
            <w:right w:val="none" w:sz="0" w:space="0" w:color="auto"/>
          </w:divBdr>
        </w:div>
        <w:div w:id="1728533788">
          <w:marLeft w:val="640"/>
          <w:marRight w:val="0"/>
          <w:marTop w:val="0"/>
          <w:marBottom w:val="0"/>
          <w:divBdr>
            <w:top w:val="none" w:sz="0" w:space="0" w:color="auto"/>
            <w:left w:val="none" w:sz="0" w:space="0" w:color="auto"/>
            <w:bottom w:val="none" w:sz="0" w:space="0" w:color="auto"/>
            <w:right w:val="none" w:sz="0" w:space="0" w:color="auto"/>
          </w:divBdr>
        </w:div>
        <w:div w:id="610402578">
          <w:marLeft w:val="640"/>
          <w:marRight w:val="0"/>
          <w:marTop w:val="0"/>
          <w:marBottom w:val="0"/>
          <w:divBdr>
            <w:top w:val="none" w:sz="0" w:space="0" w:color="auto"/>
            <w:left w:val="none" w:sz="0" w:space="0" w:color="auto"/>
            <w:bottom w:val="none" w:sz="0" w:space="0" w:color="auto"/>
            <w:right w:val="none" w:sz="0" w:space="0" w:color="auto"/>
          </w:divBdr>
        </w:div>
        <w:div w:id="133179605">
          <w:marLeft w:val="640"/>
          <w:marRight w:val="0"/>
          <w:marTop w:val="0"/>
          <w:marBottom w:val="0"/>
          <w:divBdr>
            <w:top w:val="none" w:sz="0" w:space="0" w:color="auto"/>
            <w:left w:val="none" w:sz="0" w:space="0" w:color="auto"/>
            <w:bottom w:val="none" w:sz="0" w:space="0" w:color="auto"/>
            <w:right w:val="none" w:sz="0" w:space="0" w:color="auto"/>
          </w:divBdr>
        </w:div>
        <w:div w:id="2000618298">
          <w:marLeft w:val="640"/>
          <w:marRight w:val="0"/>
          <w:marTop w:val="0"/>
          <w:marBottom w:val="0"/>
          <w:divBdr>
            <w:top w:val="none" w:sz="0" w:space="0" w:color="auto"/>
            <w:left w:val="none" w:sz="0" w:space="0" w:color="auto"/>
            <w:bottom w:val="none" w:sz="0" w:space="0" w:color="auto"/>
            <w:right w:val="none" w:sz="0" w:space="0" w:color="auto"/>
          </w:divBdr>
        </w:div>
        <w:div w:id="1498886754">
          <w:marLeft w:val="640"/>
          <w:marRight w:val="0"/>
          <w:marTop w:val="0"/>
          <w:marBottom w:val="0"/>
          <w:divBdr>
            <w:top w:val="none" w:sz="0" w:space="0" w:color="auto"/>
            <w:left w:val="none" w:sz="0" w:space="0" w:color="auto"/>
            <w:bottom w:val="none" w:sz="0" w:space="0" w:color="auto"/>
            <w:right w:val="none" w:sz="0" w:space="0" w:color="auto"/>
          </w:divBdr>
        </w:div>
        <w:div w:id="1765883483">
          <w:marLeft w:val="640"/>
          <w:marRight w:val="0"/>
          <w:marTop w:val="0"/>
          <w:marBottom w:val="0"/>
          <w:divBdr>
            <w:top w:val="none" w:sz="0" w:space="0" w:color="auto"/>
            <w:left w:val="none" w:sz="0" w:space="0" w:color="auto"/>
            <w:bottom w:val="none" w:sz="0" w:space="0" w:color="auto"/>
            <w:right w:val="none" w:sz="0" w:space="0" w:color="auto"/>
          </w:divBdr>
        </w:div>
        <w:div w:id="1323894917">
          <w:marLeft w:val="640"/>
          <w:marRight w:val="0"/>
          <w:marTop w:val="0"/>
          <w:marBottom w:val="0"/>
          <w:divBdr>
            <w:top w:val="none" w:sz="0" w:space="0" w:color="auto"/>
            <w:left w:val="none" w:sz="0" w:space="0" w:color="auto"/>
            <w:bottom w:val="none" w:sz="0" w:space="0" w:color="auto"/>
            <w:right w:val="none" w:sz="0" w:space="0" w:color="auto"/>
          </w:divBdr>
        </w:div>
        <w:div w:id="1318998882">
          <w:marLeft w:val="640"/>
          <w:marRight w:val="0"/>
          <w:marTop w:val="0"/>
          <w:marBottom w:val="0"/>
          <w:divBdr>
            <w:top w:val="none" w:sz="0" w:space="0" w:color="auto"/>
            <w:left w:val="none" w:sz="0" w:space="0" w:color="auto"/>
            <w:bottom w:val="none" w:sz="0" w:space="0" w:color="auto"/>
            <w:right w:val="none" w:sz="0" w:space="0" w:color="auto"/>
          </w:divBdr>
        </w:div>
        <w:div w:id="2106613729">
          <w:marLeft w:val="640"/>
          <w:marRight w:val="0"/>
          <w:marTop w:val="0"/>
          <w:marBottom w:val="0"/>
          <w:divBdr>
            <w:top w:val="none" w:sz="0" w:space="0" w:color="auto"/>
            <w:left w:val="none" w:sz="0" w:space="0" w:color="auto"/>
            <w:bottom w:val="none" w:sz="0" w:space="0" w:color="auto"/>
            <w:right w:val="none" w:sz="0" w:space="0" w:color="auto"/>
          </w:divBdr>
        </w:div>
        <w:div w:id="1574777197">
          <w:marLeft w:val="640"/>
          <w:marRight w:val="0"/>
          <w:marTop w:val="0"/>
          <w:marBottom w:val="0"/>
          <w:divBdr>
            <w:top w:val="none" w:sz="0" w:space="0" w:color="auto"/>
            <w:left w:val="none" w:sz="0" w:space="0" w:color="auto"/>
            <w:bottom w:val="none" w:sz="0" w:space="0" w:color="auto"/>
            <w:right w:val="none" w:sz="0" w:space="0" w:color="auto"/>
          </w:divBdr>
        </w:div>
        <w:div w:id="945424093">
          <w:marLeft w:val="640"/>
          <w:marRight w:val="0"/>
          <w:marTop w:val="0"/>
          <w:marBottom w:val="0"/>
          <w:divBdr>
            <w:top w:val="none" w:sz="0" w:space="0" w:color="auto"/>
            <w:left w:val="none" w:sz="0" w:space="0" w:color="auto"/>
            <w:bottom w:val="none" w:sz="0" w:space="0" w:color="auto"/>
            <w:right w:val="none" w:sz="0" w:space="0" w:color="auto"/>
          </w:divBdr>
        </w:div>
        <w:div w:id="1587224430">
          <w:marLeft w:val="640"/>
          <w:marRight w:val="0"/>
          <w:marTop w:val="0"/>
          <w:marBottom w:val="0"/>
          <w:divBdr>
            <w:top w:val="none" w:sz="0" w:space="0" w:color="auto"/>
            <w:left w:val="none" w:sz="0" w:space="0" w:color="auto"/>
            <w:bottom w:val="none" w:sz="0" w:space="0" w:color="auto"/>
            <w:right w:val="none" w:sz="0" w:space="0" w:color="auto"/>
          </w:divBdr>
        </w:div>
        <w:div w:id="1567757812">
          <w:marLeft w:val="640"/>
          <w:marRight w:val="0"/>
          <w:marTop w:val="0"/>
          <w:marBottom w:val="0"/>
          <w:divBdr>
            <w:top w:val="none" w:sz="0" w:space="0" w:color="auto"/>
            <w:left w:val="none" w:sz="0" w:space="0" w:color="auto"/>
            <w:bottom w:val="none" w:sz="0" w:space="0" w:color="auto"/>
            <w:right w:val="none" w:sz="0" w:space="0" w:color="auto"/>
          </w:divBdr>
        </w:div>
        <w:div w:id="920676495">
          <w:marLeft w:val="640"/>
          <w:marRight w:val="0"/>
          <w:marTop w:val="0"/>
          <w:marBottom w:val="0"/>
          <w:divBdr>
            <w:top w:val="none" w:sz="0" w:space="0" w:color="auto"/>
            <w:left w:val="none" w:sz="0" w:space="0" w:color="auto"/>
            <w:bottom w:val="none" w:sz="0" w:space="0" w:color="auto"/>
            <w:right w:val="none" w:sz="0" w:space="0" w:color="auto"/>
          </w:divBdr>
        </w:div>
        <w:div w:id="1320961066">
          <w:marLeft w:val="640"/>
          <w:marRight w:val="0"/>
          <w:marTop w:val="0"/>
          <w:marBottom w:val="0"/>
          <w:divBdr>
            <w:top w:val="none" w:sz="0" w:space="0" w:color="auto"/>
            <w:left w:val="none" w:sz="0" w:space="0" w:color="auto"/>
            <w:bottom w:val="none" w:sz="0" w:space="0" w:color="auto"/>
            <w:right w:val="none" w:sz="0" w:space="0" w:color="auto"/>
          </w:divBdr>
        </w:div>
        <w:div w:id="244338920">
          <w:marLeft w:val="640"/>
          <w:marRight w:val="0"/>
          <w:marTop w:val="0"/>
          <w:marBottom w:val="0"/>
          <w:divBdr>
            <w:top w:val="none" w:sz="0" w:space="0" w:color="auto"/>
            <w:left w:val="none" w:sz="0" w:space="0" w:color="auto"/>
            <w:bottom w:val="none" w:sz="0" w:space="0" w:color="auto"/>
            <w:right w:val="none" w:sz="0" w:space="0" w:color="auto"/>
          </w:divBdr>
        </w:div>
        <w:div w:id="1649937308">
          <w:marLeft w:val="640"/>
          <w:marRight w:val="0"/>
          <w:marTop w:val="0"/>
          <w:marBottom w:val="0"/>
          <w:divBdr>
            <w:top w:val="none" w:sz="0" w:space="0" w:color="auto"/>
            <w:left w:val="none" w:sz="0" w:space="0" w:color="auto"/>
            <w:bottom w:val="none" w:sz="0" w:space="0" w:color="auto"/>
            <w:right w:val="none" w:sz="0" w:space="0" w:color="auto"/>
          </w:divBdr>
        </w:div>
        <w:div w:id="2098207428">
          <w:marLeft w:val="640"/>
          <w:marRight w:val="0"/>
          <w:marTop w:val="0"/>
          <w:marBottom w:val="0"/>
          <w:divBdr>
            <w:top w:val="none" w:sz="0" w:space="0" w:color="auto"/>
            <w:left w:val="none" w:sz="0" w:space="0" w:color="auto"/>
            <w:bottom w:val="none" w:sz="0" w:space="0" w:color="auto"/>
            <w:right w:val="none" w:sz="0" w:space="0" w:color="auto"/>
          </w:divBdr>
        </w:div>
        <w:div w:id="1521121398">
          <w:marLeft w:val="640"/>
          <w:marRight w:val="0"/>
          <w:marTop w:val="0"/>
          <w:marBottom w:val="0"/>
          <w:divBdr>
            <w:top w:val="none" w:sz="0" w:space="0" w:color="auto"/>
            <w:left w:val="none" w:sz="0" w:space="0" w:color="auto"/>
            <w:bottom w:val="none" w:sz="0" w:space="0" w:color="auto"/>
            <w:right w:val="none" w:sz="0" w:space="0" w:color="auto"/>
          </w:divBdr>
        </w:div>
        <w:div w:id="1665819744">
          <w:marLeft w:val="640"/>
          <w:marRight w:val="0"/>
          <w:marTop w:val="0"/>
          <w:marBottom w:val="0"/>
          <w:divBdr>
            <w:top w:val="none" w:sz="0" w:space="0" w:color="auto"/>
            <w:left w:val="none" w:sz="0" w:space="0" w:color="auto"/>
            <w:bottom w:val="none" w:sz="0" w:space="0" w:color="auto"/>
            <w:right w:val="none" w:sz="0" w:space="0" w:color="auto"/>
          </w:divBdr>
        </w:div>
        <w:div w:id="1609002093">
          <w:marLeft w:val="640"/>
          <w:marRight w:val="0"/>
          <w:marTop w:val="0"/>
          <w:marBottom w:val="0"/>
          <w:divBdr>
            <w:top w:val="none" w:sz="0" w:space="0" w:color="auto"/>
            <w:left w:val="none" w:sz="0" w:space="0" w:color="auto"/>
            <w:bottom w:val="none" w:sz="0" w:space="0" w:color="auto"/>
            <w:right w:val="none" w:sz="0" w:space="0" w:color="auto"/>
          </w:divBdr>
        </w:div>
        <w:div w:id="875505891">
          <w:marLeft w:val="640"/>
          <w:marRight w:val="0"/>
          <w:marTop w:val="0"/>
          <w:marBottom w:val="0"/>
          <w:divBdr>
            <w:top w:val="none" w:sz="0" w:space="0" w:color="auto"/>
            <w:left w:val="none" w:sz="0" w:space="0" w:color="auto"/>
            <w:bottom w:val="none" w:sz="0" w:space="0" w:color="auto"/>
            <w:right w:val="none" w:sz="0" w:space="0" w:color="auto"/>
          </w:divBdr>
        </w:div>
        <w:div w:id="604727903">
          <w:marLeft w:val="640"/>
          <w:marRight w:val="0"/>
          <w:marTop w:val="0"/>
          <w:marBottom w:val="0"/>
          <w:divBdr>
            <w:top w:val="none" w:sz="0" w:space="0" w:color="auto"/>
            <w:left w:val="none" w:sz="0" w:space="0" w:color="auto"/>
            <w:bottom w:val="none" w:sz="0" w:space="0" w:color="auto"/>
            <w:right w:val="none" w:sz="0" w:space="0" w:color="auto"/>
          </w:divBdr>
        </w:div>
        <w:div w:id="1945527424">
          <w:marLeft w:val="640"/>
          <w:marRight w:val="0"/>
          <w:marTop w:val="0"/>
          <w:marBottom w:val="0"/>
          <w:divBdr>
            <w:top w:val="none" w:sz="0" w:space="0" w:color="auto"/>
            <w:left w:val="none" w:sz="0" w:space="0" w:color="auto"/>
            <w:bottom w:val="none" w:sz="0" w:space="0" w:color="auto"/>
            <w:right w:val="none" w:sz="0" w:space="0" w:color="auto"/>
          </w:divBdr>
        </w:div>
        <w:div w:id="523523491">
          <w:marLeft w:val="640"/>
          <w:marRight w:val="0"/>
          <w:marTop w:val="0"/>
          <w:marBottom w:val="0"/>
          <w:divBdr>
            <w:top w:val="none" w:sz="0" w:space="0" w:color="auto"/>
            <w:left w:val="none" w:sz="0" w:space="0" w:color="auto"/>
            <w:bottom w:val="none" w:sz="0" w:space="0" w:color="auto"/>
            <w:right w:val="none" w:sz="0" w:space="0" w:color="auto"/>
          </w:divBdr>
        </w:div>
        <w:div w:id="2091581882">
          <w:marLeft w:val="640"/>
          <w:marRight w:val="0"/>
          <w:marTop w:val="0"/>
          <w:marBottom w:val="0"/>
          <w:divBdr>
            <w:top w:val="none" w:sz="0" w:space="0" w:color="auto"/>
            <w:left w:val="none" w:sz="0" w:space="0" w:color="auto"/>
            <w:bottom w:val="none" w:sz="0" w:space="0" w:color="auto"/>
            <w:right w:val="none" w:sz="0" w:space="0" w:color="auto"/>
          </w:divBdr>
        </w:div>
        <w:div w:id="1283222404">
          <w:marLeft w:val="640"/>
          <w:marRight w:val="0"/>
          <w:marTop w:val="0"/>
          <w:marBottom w:val="0"/>
          <w:divBdr>
            <w:top w:val="none" w:sz="0" w:space="0" w:color="auto"/>
            <w:left w:val="none" w:sz="0" w:space="0" w:color="auto"/>
            <w:bottom w:val="none" w:sz="0" w:space="0" w:color="auto"/>
            <w:right w:val="none" w:sz="0" w:space="0" w:color="auto"/>
          </w:divBdr>
        </w:div>
        <w:div w:id="1436822767">
          <w:marLeft w:val="640"/>
          <w:marRight w:val="0"/>
          <w:marTop w:val="0"/>
          <w:marBottom w:val="0"/>
          <w:divBdr>
            <w:top w:val="none" w:sz="0" w:space="0" w:color="auto"/>
            <w:left w:val="none" w:sz="0" w:space="0" w:color="auto"/>
            <w:bottom w:val="none" w:sz="0" w:space="0" w:color="auto"/>
            <w:right w:val="none" w:sz="0" w:space="0" w:color="auto"/>
          </w:divBdr>
        </w:div>
        <w:div w:id="1479491769">
          <w:marLeft w:val="640"/>
          <w:marRight w:val="0"/>
          <w:marTop w:val="0"/>
          <w:marBottom w:val="0"/>
          <w:divBdr>
            <w:top w:val="none" w:sz="0" w:space="0" w:color="auto"/>
            <w:left w:val="none" w:sz="0" w:space="0" w:color="auto"/>
            <w:bottom w:val="none" w:sz="0" w:space="0" w:color="auto"/>
            <w:right w:val="none" w:sz="0" w:space="0" w:color="auto"/>
          </w:divBdr>
        </w:div>
        <w:div w:id="342778686">
          <w:marLeft w:val="640"/>
          <w:marRight w:val="0"/>
          <w:marTop w:val="0"/>
          <w:marBottom w:val="0"/>
          <w:divBdr>
            <w:top w:val="none" w:sz="0" w:space="0" w:color="auto"/>
            <w:left w:val="none" w:sz="0" w:space="0" w:color="auto"/>
            <w:bottom w:val="none" w:sz="0" w:space="0" w:color="auto"/>
            <w:right w:val="none" w:sz="0" w:space="0" w:color="auto"/>
          </w:divBdr>
        </w:div>
        <w:div w:id="1986661526">
          <w:marLeft w:val="640"/>
          <w:marRight w:val="0"/>
          <w:marTop w:val="0"/>
          <w:marBottom w:val="0"/>
          <w:divBdr>
            <w:top w:val="none" w:sz="0" w:space="0" w:color="auto"/>
            <w:left w:val="none" w:sz="0" w:space="0" w:color="auto"/>
            <w:bottom w:val="none" w:sz="0" w:space="0" w:color="auto"/>
            <w:right w:val="none" w:sz="0" w:space="0" w:color="auto"/>
          </w:divBdr>
        </w:div>
        <w:div w:id="1951861902">
          <w:marLeft w:val="640"/>
          <w:marRight w:val="0"/>
          <w:marTop w:val="0"/>
          <w:marBottom w:val="0"/>
          <w:divBdr>
            <w:top w:val="none" w:sz="0" w:space="0" w:color="auto"/>
            <w:left w:val="none" w:sz="0" w:space="0" w:color="auto"/>
            <w:bottom w:val="none" w:sz="0" w:space="0" w:color="auto"/>
            <w:right w:val="none" w:sz="0" w:space="0" w:color="auto"/>
          </w:divBdr>
        </w:div>
        <w:div w:id="726145929">
          <w:marLeft w:val="640"/>
          <w:marRight w:val="0"/>
          <w:marTop w:val="0"/>
          <w:marBottom w:val="0"/>
          <w:divBdr>
            <w:top w:val="none" w:sz="0" w:space="0" w:color="auto"/>
            <w:left w:val="none" w:sz="0" w:space="0" w:color="auto"/>
            <w:bottom w:val="none" w:sz="0" w:space="0" w:color="auto"/>
            <w:right w:val="none" w:sz="0" w:space="0" w:color="auto"/>
          </w:divBdr>
        </w:div>
        <w:div w:id="1504201314">
          <w:marLeft w:val="640"/>
          <w:marRight w:val="0"/>
          <w:marTop w:val="0"/>
          <w:marBottom w:val="0"/>
          <w:divBdr>
            <w:top w:val="none" w:sz="0" w:space="0" w:color="auto"/>
            <w:left w:val="none" w:sz="0" w:space="0" w:color="auto"/>
            <w:bottom w:val="none" w:sz="0" w:space="0" w:color="auto"/>
            <w:right w:val="none" w:sz="0" w:space="0" w:color="auto"/>
          </w:divBdr>
        </w:div>
        <w:div w:id="640884052">
          <w:marLeft w:val="640"/>
          <w:marRight w:val="0"/>
          <w:marTop w:val="0"/>
          <w:marBottom w:val="0"/>
          <w:divBdr>
            <w:top w:val="none" w:sz="0" w:space="0" w:color="auto"/>
            <w:left w:val="none" w:sz="0" w:space="0" w:color="auto"/>
            <w:bottom w:val="none" w:sz="0" w:space="0" w:color="auto"/>
            <w:right w:val="none" w:sz="0" w:space="0" w:color="auto"/>
          </w:divBdr>
        </w:div>
        <w:div w:id="499001705">
          <w:marLeft w:val="640"/>
          <w:marRight w:val="0"/>
          <w:marTop w:val="0"/>
          <w:marBottom w:val="0"/>
          <w:divBdr>
            <w:top w:val="none" w:sz="0" w:space="0" w:color="auto"/>
            <w:left w:val="none" w:sz="0" w:space="0" w:color="auto"/>
            <w:bottom w:val="none" w:sz="0" w:space="0" w:color="auto"/>
            <w:right w:val="none" w:sz="0" w:space="0" w:color="auto"/>
          </w:divBdr>
        </w:div>
        <w:div w:id="963081714">
          <w:marLeft w:val="640"/>
          <w:marRight w:val="0"/>
          <w:marTop w:val="0"/>
          <w:marBottom w:val="0"/>
          <w:divBdr>
            <w:top w:val="none" w:sz="0" w:space="0" w:color="auto"/>
            <w:left w:val="none" w:sz="0" w:space="0" w:color="auto"/>
            <w:bottom w:val="none" w:sz="0" w:space="0" w:color="auto"/>
            <w:right w:val="none" w:sz="0" w:space="0" w:color="auto"/>
          </w:divBdr>
        </w:div>
        <w:div w:id="2091659096">
          <w:marLeft w:val="640"/>
          <w:marRight w:val="0"/>
          <w:marTop w:val="0"/>
          <w:marBottom w:val="0"/>
          <w:divBdr>
            <w:top w:val="none" w:sz="0" w:space="0" w:color="auto"/>
            <w:left w:val="none" w:sz="0" w:space="0" w:color="auto"/>
            <w:bottom w:val="none" w:sz="0" w:space="0" w:color="auto"/>
            <w:right w:val="none" w:sz="0" w:space="0" w:color="auto"/>
          </w:divBdr>
        </w:div>
        <w:div w:id="1295988181">
          <w:marLeft w:val="640"/>
          <w:marRight w:val="0"/>
          <w:marTop w:val="0"/>
          <w:marBottom w:val="0"/>
          <w:divBdr>
            <w:top w:val="none" w:sz="0" w:space="0" w:color="auto"/>
            <w:left w:val="none" w:sz="0" w:space="0" w:color="auto"/>
            <w:bottom w:val="none" w:sz="0" w:space="0" w:color="auto"/>
            <w:right w:val="none" w:sz="0" w:space="0" w:color="auto"/>
          </w:divBdr>
        </w:div>
        <w:div w:id="1254317655">
          <w:marLeft w:val="640"/>
          <w:marRight w:val="0"/>
          <w:marTop w:val="0"/>
          <w:marBottom w:val="0"/>
          <w:divBdr>
            <w:top w:val="none" w:sz="0" w:space="0" w:color="auto"/>
            <w:left w:val="none" w:sz="0" w:space="0" w:color="auto"/>
            <w:bottom w:val="none" w:sz="0" w:space="0" w:color="auto"/>
            <w:right w:val="none" w:sz="0" w:space="0" w:color="auto"/>
          </w:divBdr>
        </w:div>
        <w:div w:id="1586458293">
          <w:marLeft w:val="640"/>
          <w:marRight w:val="0"/>
          <w:marTop w:val="0"/>
          <w:marBottom w:val="0"/>
          <w:divBdr>
            <w:top w:val="none" w:sz="0" w:space="0" w:color="auto"/>
            <w:left w:val="none" w:sz="0" w:space="0" w:color="auto"/>
            <w:bottom w:val="none" w:sz="0" w:space="0" w:color="auto"/>
            <w:right w:val="none" w:sz="0" w:space="0" w:color="auto"/>
          </w:divBdr>
        </w:div>
        <w:div w:id="1173029211">
          <w:marLeft w:val="640"/>
          <w:marRight w:val="0"/>
          <w:marTop w:val="0"/>
          <w:marBottom w:val="0"/>
          <w:divBdr>
            <w:top w:val="none" w:sz="0" w:space="0" w:color="auto"/>
            <w:left w:val="none" w:sz="0" w:space="0" w:color="auto"/>
            <w:bottom w:val="none" w:sz="0" w:space="0" w:color="auto"/>
            <w:right w:val="none" w:sz="0" w:space="0" w:color="auto"/>
          </w:divBdr>
        </w:div>
        <w:div w:id="301469143">
          <w:marLeft w:val="640"/>
          <w:marRight w:val="0"/>
          <w:marTop w:val="0"/>
          <w:marBottom w:val="0"/>
          <w:divBdr>
            <w:top w:val="none" w:sz="0" w:space="0" w:color="auto"/>
            <w:left w:val="none" w:sz="0" w:space="0" w:color="auto"/>
            <w:bottom w:val="none" w:sz="0" w:space="0" w:color="auto"/>
            <w:right w:val="none" w:sz="0" w:space="0" w:color="auto"/>
          </w:divBdr>
        </w:div>
        <w:div w:id="88697933">
          <w:marLeft w:val="640"/>
          <w:marRight w:val="0"/>
          <w:marTop w:val="0"/>
          <w:marBottom w:val="0"/>
          <w:divBdr>
            <w:top w:val="none" w:sz="0" w:space="0" w:color="auto"/>
            <w:left w:val="none" w:sz="0" w:space="0" w:color="auto"/>
            <w:bottom w:val="none" w:sz="0" w:space="0" w:color="auto"/>
            <w:right w:val="none" w:sz="0" w:space="0" w:color="auto"/>
          </w:divBdr>
        </w:div>
        <w:div w:id="2025668663">
          <w:marLeft w:val="640"/>
          <w:marRight w:val="0"/>
          <w:marTop w:val="0"/>
          <w:marBottom w:val="0"/>
          <w:divBdr>
            <w:top w:val="none" w:sz="0" w:space="0" w:color="auto"/>
            <w:left w:val="none" w:sz="0" w:space="0" w:color="auto"/>
            <w:bottom w:val="none" w:sz="0" w:space="0" w:color="auto"/>
            <w:right w:val="none" w:sz="0" w:space="0" w:color="auto"/>
          </w:divBdr>
        </w:div>
        <w:div w:id="677852804">
          <w:marLeft w:val="640"/>
          <w:marRight w:val="0"/>
          <w:marTop w:val="0"/>
          <w:marBottom w:val="0"/>
          <w:divBdr>
            <w:top w:val="none" w:sz="0" w:space="0" w:color="auto"/>
            <w:left w:val="none" w:sz="0" w:space="0" w:color="auto"/>
            <w:bottom w:val="none" w:sz="0" w:space="0" w:color="auto"/>
            <w:right w:val="none" w:sz="0" w:space="0" w:color="auto"/>
          </w:divBdr>
        </w:div>
        <w:div w:id="2131779806">
          <w:marLeft w:val="640"/>
          <w:marRight w:val="0"/>
          <w:marTop w:val="0"/>
          <w:marBottom w:val="0"/>
          <w:divBdr>
            <w:top w:val="none" w:sz="0" w:space="0" w:color="auto"/>
            <w:left w:val="none" w:sz="0" w:space="0" w:color="auto"/>
            <w:bottom w:val="none" w:sz="0" w:space="0" w:color="auto"/>
            <w:right w:val="none" w:sz="0" w:space="0" w:color="auto"/>
          </w:divBdr>
        </w:div>
        <w:div w:id="1189569088">
          <w:marLeft w:val="640"/>
          <w:marRight w:val="0"/>
          <w:marTop w:val="0"/>
          <w:marBottom w:val="0"/>
          <w:divBdr>
            <w:top w:val="none" w:sz="0" w:space="0" w:color="auto"/>
            <w:left w:val="none" w:sz="0" w:space="0" w:color="auto"/>
            <w:bottom w:val="none" w:sz="0" w:space="0" w:color="auto"/>
            <w:right w:val="none" w:sz="0" w:space="0" w:color="auto"/>
          </w:divBdr>
        </w:div>
        <w:div w:id="1415471636">
          <w:marLeft w:val="640"/>
          <w:marRight w:val="0"/>
          <w:marTop w:val="0"/>
          <w:marBottom w:val="0"/>
          <w:divBdr>
            <w:top w:val="none" w:sz="0" w:space="0" w:color="auto"/>
            <w:left w:val="none" w:sz="0" w:space="0" w:color="auto"/>
            <w:bottom w:val="none" w:sz="0" w:space="0" w:color="auto"/>
            <w:right w:val="none" w:sz="0" w:space="0" w:color="auto"/>
          </w:divBdr>
        </w:div>
        <w:div w:id="982851018">
          <w:marLeft w:val="640"/>
          <w:marRight w:val="0"/>
          <w:marTop w:val="0"/>
          <w:marBottom w:val="0"/>
          <w:divBdr>
            <w:top w:val="none" w:sz="0" w:space="0" w:color="auto"/>
            <w:left w:val="none" w:sz="0" w:space="0" w:color="auto"/>
            <w:bottom w:val="none" w:sz="0" w:space="0" w:color="auto"/>
            <w:right w:val="none" w:sz="0" w:space="0" w:color="auto"/>
          </w:divBdr>
        </w:div>
        <w:div w:id="1337221764">
          <w:marLeft w:val="640"/>
          <w:marRight w:val="0"/>
          <w:marTop w:val="0"/>
          <w:marBottom w:val="0"/>
          <w:divBdr>
            <w:top w:val="none" w:sz="0" w:space="0" w:color="auto"/>
            <w:left w:val="none" w:sz="0" w:space="0" w:color="auto"/>
            <w:bottom w:val="none" w:sz="0" w:space="0" w:color="auto"/>
            <w:right w:val="none" w:sz="0" w:space="0" w:color="auto"/>
          </w:divBdr>
        </w:div>
        <w:div w:id="1953004347">
          <w:marLeft w:val="640"/>
          <w:marRight w:val="0"/>
          <w:marTop w:val="0"/>
          <w:marBottom w:val="0"/>
          <w:divBdr>
            <w:top w:val="none" w:sz="0" w:space="0" w:color="auto"/>
            <w:left w:val="none" w:sz="0" w:space="0" w:color="auto"/>
            <w:bottom w:val="none" w:sz="0" w:space="0" w:color="auto"/>
            <w:right w:val="none" w:sz="0" w:space="0" w:color="auto"/>
          </w:divBdr>
        </w:div>
        <w:div w:id="1077172394">
          <w:marLeft w:val="640"/>
          <w:marRight w:val="0"/>
          <w:marTop w:val="0"/>
          <w:marBottom w:val="0"/>
          <w:divBdr>
            <w:top w:val="none" w:sz="0" w:space="0" w:color="auto"/>
            <w:left w:val="none" w:sz="0" w:space="0" w:color="auto"/>
            <w:bottom w:val="none" w:sz="0" w:space="0" w:color="auto"/>
            <w:right w:val="none" w:sz="0" w:space="0" w:color="auto"/>
          </w:divBdr>
        </w:div>
        <w:div w:id="603534979">
          <w:marLeft w:val="640"/>
          <w:marRight w:val="0"/>
          <w:marTop w:val="0"/>
          <w:marBottom w:val="0"/>
          <w:divBdr>
            <w:top w:val="none" w:sz="0" w:space="0" w:color="auto"/>
            <w:left w:val="none" w:sz="0" w:space="0" w:color="auto"/>
            <w:bottom w:val="none" w:sz="0" w:space="0" w:color="auto"/>
            <w:right w:val="none" w:sz="0" w:space="0" w:color="auto"/>
          </w:divBdr>
        </w:div>
        <w:div w:id="1640110425">
          <w:marLeft w:val="640"/>
          <w:marRight w:val="0"/>
          <w:marTop w:val="0"/>
          <w:marBottom w:val="0"/>
          <w:divBdr>
            <w:top w:val="none" w:sz="0" w:space="0" w:color="auto"/>
            <w:left w:val="none" w:sz="0" w:space="0" w:color="auto"/>
            <w:bottom w:val="none" w:sz="0" w:space="0" w:color="auto"/>
            <w:right w:val="none" w:sz="0" w:space="0" w:color="auto"/>
          </w:divBdr>
        </w:div>
        <w:div w:id="182978125">
          <w:marLeft w:val="640"/>
          <w:marRight w:val="0"/>
          <w:marTop w:val="0"/>
          <w:marBottom w:val="0"/>
          <w:divBdr>
            <w:top w:val="none" w:sz="0" w:space="0" w:color="auto"/>
            <w:left w:val="none" w:sz="0" w:space="0" w:color="auto"/>
            <w:bottom w:val="none" w:sz="0" w:space="0" w:color="auto"/>
            <w:right w:val="none" w:sz="0" w:space="0" w:color="auto"/>
          </w:divBdr>
        </w:div>
        <w:div w:id="1271737910">
          <w:marLeft w:val="640"/>
          <w:marRight w:val="0"/>
          <w:marTop w:val="0"/>
          <w:marBottom w:val="0"/>
          <w:divBdr>
            <w:top w:val="none" w:sz="0" w:space="0" w:color="auto"/>
            <w:left w:val="none" w:sz="0" w:space="0" w:color="auto"/>
            <w:bottom w:val="none" w:sz="0" w:space="0" w:color="auto"/>
            <w:right w:val="none" w:sz="0" w:space="0" w:color="auto"/>
          </w:divBdr>
        </w:div>
        <w:div w:id="1503397834">
          <w:marLeft w:val="640"/>
          <w:marRight w:val="0"/>
          <w:marTop w:val="0"/>
          <w:marBottom w:val="0"/>
          <w:divBdr>
            <w:top w:val="none" w:sz="0" w:space="0" w:color="auto"/>
            <w:left w:val="none" w:sz="0" w:space="0" w:color="auto"/>
            <w:bottom w:val="none" w:sz="0" w:space="0" w:color="auto"/>
            <w:right w:val="none" w:sz="0" w:space="0" w:color="auto"/>
          </w:divBdr>
        </w:div>
        <w:div w:id="1462841613">
          <w:marLeft w:val="640"/>
          <w:marRight w:val="0"/>
          <w:marTop w:val="0"/>
          <w:marBottom w:val="0"/>
          <w:divBdr>
            <w:top w:val="none" w:sz="0" w:space="0" w:color="auto"/>
            <w:left w:val="none" w:sz="0" w:space="0" w:color="auto"/>
            <w:bottom w:val="none" w:sz="0" w:space="0" w:color="auto"/>
            <w:right w:val="none" w:sz="0" w:space="0" w:color="auto"/>
          </w:divBdr>
        </w:div>
        <w:div w:id="1208835217">
          <w:marLeft w:val="640"/>
          <w:marRight w:val="0"/>
          <w:marTop w:val="0"/>
          <w:marBottom w:val="0"/>
          <w:divBdr>
            <w:top w:val="none" w:sz="0" w:space="0" w:color="auto"/>
            <w:left w:val="none" w:sz="0" w:space="0" w:color="auto"/>
            <w:bottom w:val="none" w:sz="0" w:space="0" w:color="auto"/>
            <w:right w:val="none" w:sz="0" w:space="0" w:color="auto"/>
          </w:divBdr>
        </w:div>
        <w:div w:id="1545479488">
          <w:marLeft w:val="640"/>
          <w:marRight w:val="0"/>
          <w:marTop w:val="0"/>
          <w:marBottom w:val="0"/>
          <w:divBdr>
            <w:top w:val="none" w:sz="0" w:space="0" w:color="auto"/>
            <w:left w:val="none" w:sz="0" w:space="0" w:color="auto"/>
            <w:bottom w:val="none" w:sz="0" w:space="0" w:color="auto"/>
            <w:right w:val="none" w:sz="0" w:space="0" w:color="auto"/>
          </w:divBdr>
        </w:div>
        <w:div w:id="756483077">
          <w:marLeft w:val="640"/>
          <w:marRight w:val="0"/>
          <w:marTop w:val="0"/>
          <w:marBottom w:val="0"/>
          <w:divBdr>
            <w:top w:val="none" w:sz="0" w:space="0" w:color="auto"/>
            <w:left w:val="none" w:sz="0" w:space="0" w:color="auto"/>
            <w:bottom w:val="none" w:sz="0" w:space="0" w:color="auto"/>
            <w:right w:val="none" w:sz="0" w:space="0" w:color="auto"/>
          </w:divBdr>
        </w:div>
        <w:div w:id="1040789015">
          <w:marLeft w:val="640"/>
          <w:marRight w:val="0"/>
          <w:marTop w:val="0"/>
          <w:marBottom w:val="0"/>
          <w:divBdr>
            <w:top w:val="none" w:sz="0" w:space="0" w:color="auto"/>
            <w:left w:val="none" w:sz="0" w:space="0" w:color="auto"/>
            <w:bottom w:val="none" w:sz="0" w:space="0" w:color="auto"/>
            <w:right w:val="none" w:sz="0" w:space="0" w:color="auto"/>
          </w:divBdr>
        </w:div>
        <w:div w:id="1113204385">
          <w:marLeft w:val="640"/>
          <w:marRight w:val="0"/>
          <w:marTop w:val="0"/>
          <w:marBottom w:val="0"/>
          <w:divBdr>
            <w:top w:val="none" w:sz="0" w:space="0" w:color="auto"/>
            <w:left w:val="none" w:sz="0" w:space="0" w:color="auto"/>
            <w:bottom w:val="none" w:sz="0" w:space="0" w:color="auto"/>
            <w:right w:val="none" w:sz="0" w:space="0" w:color="auto"/>
          </w:divBdr>
        </w:div>
        <w:div w:id="42297861">
          <w:marLeft w:val="640"/>
          <w:marRight w:val="0"/>
          <w:marTop w:val="0"/>
          <w:marBottom w:val="0"/>
          <w:divBdr>
            <w:top w:val="none" w:sz="0" w:space="0" w:color="auto"/>
            <w:left w:val="none" w:sz="0" w:space="0" w:color="auto"/>
            <w:bottom w:val="none" w:sz="0" w:space="0" w:color="auto"/>
            <w:right w:val="none" w:sz="0" w:space="0" w:color="auto"/>
          </w:divBdr>
        </w:div>
        <w:div w:id="1791241404">
          <w:marLeft w:val="640"/>
          <w:marRight w:val="0"/>
          <w:marTop w:val="0"/>
          <w:marBottom w:val="0"/>
          <w:divBdr>
            <w:top w:val="none" w:sz="0" w:space="0" w:color="auto"/>
            <w:left w:val="none" w:sz="0" w:space="0" w:color="auto"/>
            <w:bottom w:val="none" w:sz="0" w:space="0" w:color="auto"/>
            <w:right w:val="none" w:sz="0" w:space="0" w:color="auto"/>
          </w:divBdr>
        </w:div>
        <w:div w:id="1165432562">
          <w:marLeft w:val="640"/>
          <w:marRight w:val="0"/>
          <w:marTop w:val="0"/>
          <w:marBottom w:val="0"/>
          <w:divBdr>
            <w:top w:val="none" w:sz="0" w:space="0" w:color="auto"/>
            <w:left w:val="none" w:sz="0" w:space="0" w:color="auto"/>
            <w:bottom w:val="none" w:sz="0" w:space="0" w:color="auto"/>
            <w:right w:val="none" w:sz="0" w:space="0" w:color="auto"/>
          </w:divBdr>
        </w:div>
        <w:div w:id="1333604052">
          <w:marLeft w:val="640"/>
          <w:marRight w:val="0"/>
          <w:marTop w:val="0"/>
          <w:marBottom w:val="0"/>
          <w:divBdr>
            <w:top w:val="none" w:sz="0" w:space="0" w:color="auto"/>
            <w:left w:val="none" w:sz="0" w:space="0" w:color="auto"/>
            <w:bottom w:val="none" w:sz="0" w:space="0" w:color="auto"/>
            <w:right w:val="none" w:sz="0" w:space="0" w:color="auto"/>
          </w:divBdr>
        </w:div>
        <w:div w:id="283660260">
          <w:marLeft w:val="640"/>
          <w:marRight w:val="0"/>
          <w:marTop w:val="0"/>
          <w:marBottom w:val="0"/>
          <w:divBdr>
            <w:top w:val="none" w:sz="0" w:space="0" w:color="auto"/>
            <w:left w:val="none" w:sz="0" w:space="0" w:color="auto"/>
            <w:bottom w:val="none" w:sz="0" w:space="0" w:color="auto"/>
            <w:right w:val="none" w:sz="0" w:space="0" w:color="auto"/>
          </w:divBdr>
        </w:div>
        <w:div w:id="1400108">
          <w:marLeft w:val="640"/>
          <w:marRight w:val="0"/>
          <w:marTop w:val="0"/>
          <w:marBottom w:val="0"/>
          <w:divBdr>
            <w:top w:val="none" w:sz="0" w:space="0" w:color="auto"/>
            <w:left w:val="none" w:sz="0" w:space="0" w:color="auto"/>
            <w:bottom w:val="none" w:sz="0" w:space="0" w:color="auto"/>
            <w:right w:val="none" w:sz="0" w:space="0" w:color="auto"/>
          </w:divBdr>
        </w:div>
        <w:div w:id="155851927">
          <w:marLeft w:val="640"/>
          <w:marRight w:val="0"/>
          <w:marTop w:val="0"/>
          <w:marBottom w:val="0"/>
          <w:divBdr>
            <w:top w:val="none" w:sz="0" w:space="0" w:color="auto"/>
            <w:left w:val="none" w:sz="0" w:space="0" w:color="auto"/>
            <w:bottom w:val="none" w:sz="0" w:space="0" w:color="auto"/>
            <w:right w:val="none" w:sz="0" w:space="0" w:color="auto"/>
          </w:divBdr>
        </w:div>
        <w:div w:id="1852523550">
          <w:marLeft w:val="640"/>
          <w:marRight w:val="0"/>
          <w:marTop w:val="0"/>
          <w:marBottom w:val="0"/>
          <w:divBdr>
            <w:top w:val="none" w:sz="0" w:space="0" w:color="auto"/>
            <w:left w:val="none" w:sz="0" w:space="0" w:color="auto"/>
            <w:bottom w:val="none" w:sz="0" w:space="0" w:color="auto"/>
            <w:right w:val="none" w:sz="0" w:space="0" w:color="auto"/>
          </w:divBdr>
        </w:div>
        <w:div w:id="1294991811">
          <w:marLeft w:val="640"/>
          <w:marRight w:val="0"/>
          <w:marTop w:val="0"/>
          <w:marBottom w:val="0"/>
          <w:divBdr>
            <w:top w:val="none" w:sz="0" w:space="0" w:color="auto"/>
            <w:left w:val="none" w:sz="0" w:space="0" w:color="auto"/>
            <w:bottom w:val="none" w:sz="0" w:space="0" w:color="auto"/>
            <w:right w:val="none" w:sz="0" w:space="0" w:color="auto"/>
          </w:divBdr>
        </w:div>
        <w:div w:id="479275467">
          <w:marLeft w:val="640"/>
          <w:marRight w:val="0"/>
          <w:marTop w:val="0"/>
          <w:marBottom w:val="0"/>
          <w:divBdr>
            <w:top w:val="none" w:sz="0" w:space="0" w:color="auto"/>
            <w:left w:val="none" w:sz="0" w:space="0" w:color="auto"/>
            <w:bottom w:val="none" w:sz="0" w:space="0" w:color="auto"/>
            <w:right w:val="none" w:sz="0" w:space="0" w:color="auto"/>
          </w:divBdr>
        </w:div>
        <w:div w:id="1753046882">
          <w:marLeft w:val="640"/>
          <w:marRight w:val="0"/>
          <w:marTop w:val="0"/>
          <w:marBottom w:val="0"/>
          <w:divBdr>
            <w:top w:val="none" w:sz="0" w:space="0" w:color="auto"/>
            <w:left w:val="none" w:sz="0" w:space="0" w:color="auto"/>
            <w:bottom w:val="none" w:sz="0" w:space="0" w:color="auto"/>
            <w:right w:val="none" w:sz="0" w:space="0" w:color="auto"/>
          </w:divBdr>
        </w:div>
        <w:div w:id="1775711157">
          <w:marLeft w:val="640"/>
          <w:marRight w:val="0"/>
          <w:marTop w:val="0"/>
          <w:marBottom w:val="0"/>
          <w:divBdr>
            <w:top w:val="none" w:sz="0" w:space="0" w:color="auto"/>
            <w:left w:val="none" w:sz="0" w:space="0" w:color="auto"/>
            <w:bottom w:val="none" w:sz="0" w:space="0" w:color="auto"/>
            <w:right w:val="none" w:sz="0" w:space="0" w:color="auto"/>
          </w:divBdr>
        </w:div>
        <w:div w:id="1120994423">
          <w:marLeft w:val="640"/>
          <w:marRight w:val="0"/>
          <w:marTop w:val="0"/>
          <w:marBottom w:val="0"/>
          <w:divBdr>
            <w:top w:val="none" w:sz="0" w:space="0" w:color="auto"/>
            <w:left w:val="none" w:sz="0" w:space="0" w:color="auto"/>
            <w:bottom w:val="none" w:sz="0" w:space="0" w:color="auto"/>
            <w:right w:val="none" w:sz="0" w:space="0" w:color="auto"/>
          </w:divBdr>
        </w:div>
        <w:div w:id="1604144322">
          <w:marLeft w:val="640"/>
          <w:marRight w:val="0"/>
          <w:marTop w:val="0"/>
          <w:marBottom w:val="0"/>
          <w:divBdr>
            <w:top w:val="none" w:sz="0" w:space="0" w:color="auto"/>
            <w:left w:val="none" w:sz="0" w:space="0" w:color="auto"/>
            <w:bottom w:val="none" w:sz="0" w:space="0" w:color="auto"/>
            <w:right w:val="none" w:sz="0" w:space="0" w:color="auto"/>
          </w:divBdr>
        </w:div>
        <w:div w:id="1083842840">
          <w:marLeft w:val="640"/>
          <w:marRight w:val="0"/>
          <w:marTop w:val="0"/>
          <w:marBottom w:val="0"/>
          <w:divBdr>
            <w:top w:val="none" w:sz="0" w:space="0" w:color="auto"/>
            <w:left w:val="none" w:sz="0" w:space="0" w:color="auto"/>
            <w:bottom w:val="none" w:sz="0" w:space="0" w:color="auto"/>
            <w:right w:val="none" w:sz="0" w:space="0" w:color="auto"/>
          </w:divBdr>
        </w:div>
        <w:div w:id="421267972">
          <w:marLeft w:val="640"/>
          <w:marRight w:val="0"/>
          <w:marTop w:val="0"/>
          <w:marBottom w:val="0"/>
          <w:divBdr>
            <w:top w:val="none" w:sz="0" w:space="0" w:color="auto"/>
            <w:left w:val="none" w:sz="0" w:space="0" w:color="auto"/>
            <w:bottom w:val="none" w:sz="0" w:space="0" w:color="auto"/>
            <w:right w:val="none" w:sz="0" w:space="0" w:color="auto"/>
          </w:divBdr>
        </w:div>
        <w:div w:id="1484195678">
          <w:marLeft w:val="640"/>
          <w:marRight w:val="0"/>
          <w:marTop w:val="0"/>
          <w:marBottom w:val="0"/>
          <w:divBdr>
            <w:top w:val="none" w:sz="0" w:space="0" w:color="auto"/>
            <w:left w:val="none" w:sz="0" w:space="0" w:color="auto"/>
            <w:bottom w:val="none" w:sz="0" w:space="0" w:color="auto"/>
            <w:right w:val="none" w:sz="0" w:space="0" w:color="auto"/>
          </w:divBdr>
        </w:div>
        <w:div w:id="617181783">
          <w:marLeft w:val="640"/>
          <w:marRight w:val="0"/>
          <w:marTop w:val="0"/>
          <w:marBottom w:val="0"/>
          <w:divBdr>
            <w:top w:val="none" w:sz="0" w:space="0" w:color="auto"/>
            <w:left w:val="none" w:sz="0" w:space="0" w:color="auto"/>
            <w:bottom w:val="none" w:sz="0" w:space="0" w:color="auto"/>
            <w:right w:val="none" w:sz="0" w:space="0" w:color="auto"/>
          </w:divBdr>
        </w:div>
        <w:div w:id="227881852">
          <w:marLeft w:val="640"/>
          <w:marRight w:val="0"/>
          <w:marTop w:val="0"/>
          <w:marBottom w:val="0"/>
          <w:divBdr>
            <w:top w:val="none" w:sz="0" w:space="0" w:color="auto"/>
            <w:left w:val="none" w:sz="0" w:space="0" w:color="auto"/>
            <w:bottom w:val="none" w:sz="0" w:space="0" w:color="auto"/>
            <w:right w:val="none" w:sz="0" w:space="0" w:color="auto"/>
          </w:divBdr>
        </w:div>
        <w:div w:id="846212127">
          <w:marLeft w:val="640"/>
          <w:marRight w:val="0"/>
          <w:marTop w:val="0"/>
          <w:marBottom w:val="0"/>
          <w:divBdr>
            <w:top w:val="none" w:sz="0" w:space="0" w:color="auto"/>
            <w:left w:val="none" w:sz="0" w:space="0" w:color="auto"/>
            <w:bottom w:val="none" w:sz="0" w:space="0" w:color="auto"/>
            <w:right w:val="none" w:sz="0" w:space="0" w:color="auto"/>
          </w:divBdr>
        </w:div>
        <w:div w:id="1001154446">
          <w:marLeft w:val="640"/>
          <w:marRight w:val="0"/>
          <w:marTop w:val="0"/>
          <w:marBottom w:val="0"/>
          <w:divBdr>
            <w:top w:val="none" w:sz="0" w:space="0" w:color="auto"/>
            <w:left w:val="none" w:sz="0" w:space="0" w:color="auto"/>
            <w:bottom w:val="none" w:sz="0" w:space="0" w:color="auto"/>
            <w:right w:val="none" w:sz="0" w:space="0" w:color="auto"/>
          </w:divBdr>
        </w:div>
        <w:div w:id="1312440487">
          <w:marLeft w:val="640"/>
          <w:marRight w:val="0"/>
          <w:marTop w:val="0"/>
          <w:marBottom w:val="0"/>
          <w:divBdr>
            <w:top w:val="none" w:sz="0" w:space="0" w:color="auto"/>
            <w:left w:val="none" w:sz="0" w:space="0" w:color="auto"/>
            <w:bottom w:val="none" w:sz="0" w:space="0" w:color="auto"/>
            <w:right w:val="none" w:sz="0" w:space="0" w:color="auto"/>
          </w:divBdr>
        </w:div>
        <w:div w:id="1471435589">
          <w:marLeft w:val="640"/>
          <w:marRight w:val="0"/>
          <w:marTop w:val="0"/>
          <w:marBottom w:val="0"/>
          <w:divBdr>
            <w:top w:val="none" w:sz="0" w:space="0" w:color="auto"/>
            <w:left w:val="none" w:sz="0" w:space="0" w:color="auto"/>
            <w:bottom w:val="none" w:sz="0" w:space="0" w:color="auto"/>
            <w:right w:val="none" w:sz="0" w:space="0" w:color="auto"/>
          </w:divBdr>
        </w:div>
        <w:div w:id="632373523">
          <w:marLeft w:val="640"/>
          <w:marRight w:val="0"/>
          <w:marTop w:val="0"/>
          <w:marBottom w:val="0"/>
          <w:divBdr>
            <w:top w:val="none" w:sz="0" w:space="0" w:color="auto"/>
            <w:left w:val="none" w:sz="0" w:space="0" w:color="auto"/>
            <w:bottom w:val="none" w:sz="0" w:space="0" w:color="auto"/>
            <w:right w:val="none" w:sz="0" w:space="0" w:color="auto"/>
          </w:divBdr>
        </w:div>
        <w:div w:id="385373408">
          <w:marLeft w:val="640"/>
          <w:marRight w:val="0"/>
          <w:marTop w:val="0"/>
          <w:marBottom w:val="0"/>
          <w:divBdr>
            <w:top w:val="none" w:sz="0" w:space="0" w:color="auto"/>
            <w:left w:val="none" w:sz="0" w:space="0" w:color="auto"/>
            <w:bottom w:val="none" w:sz="0" w:space="0" w:color="auto"/>
            <w:right w:val="none" w:sz="0" w:space="0" w:color="auto"/>
          </w:divBdr>
        </w:div>
        <w:div w:id="913734902">
          <w:marLeft w:val="640"/>
          <w:marRight w:val="0"/>
          <w:marTop w:val="0"/>
          <w:marBottom w:val="0"/>
          <w:divBdr>
            <w:top w:val="none" w:sz="0" w:space="0" w:color="auto"/>
            <w:left w:val="none" w:sz="0" w:space="0" w:color="auto"/>
            <w:bottom w:val="none" w:sz="0" w:space="0" w:color="auto"/>
            <w:right w:val="none" w:sz="0" w:space="0" w:color="auto"/>
          </w:divBdr>
        </w:div>
        <w:div w:id="156697776">
          <w:marLeft w:val="640"/>
          <w:marRight w:val="0"/>
          <w:marTop w:val="0"/>
          <w:marBottom w:val="0"/>
          <w:divBdr>
            <w:top w:val="none" w:sz="0" w:space="0" w:color="auto"/>
            <w:left w:val="none" w:sz="0" w:space="0" w:color="auto"/>
            <w:bottom w:val="none" w:sz="0" w:space="0" w:color="auto"/>
            <w:right w:val="none" w:sz="0" w:space="0" w:color="auto"/>
          </w:divBdr>
        </w:div>
        <w:div w:id="1551577470">
          <w:marLeft w:val="640"/>
          <w:marRight w:val="0"/>
          <w:marTop w:val="0"/>
          <w:marBottom w:val="0"/>
          <w:divBdr>
            <w:top w:val="none" w:sz="0" w:space="0" w:color="auto"/>
            <w:left w:val="none" w:sz="0" w:space="0" w:color="auto"/>
            <w:bottom w:val="none" w:sz="0" w:space="0" w:color="auto"/>
            <w:right w:val="none" w:sz="0" w:space="0" w:color="auto"/>
          </w:divBdr>
        </w:div>
        <w:div w:id="1441299331">
          <w:marLeft w:val="640"/>
          <w:marRight w:val="0"/>
          <w:marTop w:val="0"/>
          <w:marBottom w:val="0"/>
          <w:divBdr>
            <w:top w:val="none" w:sz="0" w:space="0" w:color="auto"/>
            <w:left w:val="none" w:sz="0" w:space="0" w:color="auto"/>
            <w:bottom w:val="none" w:sz="0" w:space="0" w:color="auto"/>
            <w:right w:val="none" w:sz="0" w:space="0" w:color="auto"/>
          </w:divBdr>
        </w:div>
        <w:div w:id="187260967">
          <w:marLeft w:val="640"/>
          <w:marRight w:val="0"/>
          <w:marTop w:val="0"/>
          <w:marBottom w:val="0"/>
          <w:divBdr>
            <w:top w:val="none" w:sz="0" w:space="0" w:color="auto"/>
            <w:left w:val="none" w:sz="0" w:space="0" w:color="auto"/>
            <w:bottom w:val="none" w:sz="0" w:space="0" w:color="auto"/>
            <w:right w:val="none" w:sz="0" w:space="0" w:color="auto"/>
          </w:divBdr>
        </w:div>
        <w:div w:id="1517235412">
          <w:marLeft w:val="640"/>
          <w:marRight w:val="0"/>
          <w:marTop w:val="0"/>
          <w:marBottom w:val="0"/>
          <w:divBdr>
            <w:top w:val="none" w:sz="0" w:space="0" w:color="auto"/>
            <w:left w:val="none" w:sz="0" w:space="0" w:color="auto"/>
            <w:bottom w:val="none" w:sz="0" w:space="0" w:color="auto"/>
            <w:right w:val="none" w:sz="0" w:space="0" w:color="auto"/>
          </w:divBdr>
        </w:div>
        <w:div w:id="1261254073">
          <w:marLeft w:val="640"/>
          <w:marRight w:val="0"/>
          <w:marTop w:val="0"/>
          <w:marBottom w:val="0"/>
          <w:divBdr>
            <w:top w:val="none" w:sz="0" w:space="0" w:color="auto"/>
            <w:left w:val="none" w:sz="0" w:space="0" w:color="auto"/>
            <w:bottom w:val="none" w:sz="0" w:space="0" w:color="auto"/>
            <w:right w:val="none" w:sz="0" w:space="0" w:color="auto"/>
          </w:divBdr>
        </w:div>
        <w:div w:id="274481014">
          <w:marLeft w:val="640"/>
          <w:marRight w:val="0"/>
          <w:marTop w:val="0"/>
          <w:marBottom w:val="0"/>
          <w:divBdr>
            <w:top w:val="none" w:sz="0" w:space="0" w:color="auto"/>
            <w:left w:val="none" w:sz="0" w:space="0" w:color="auto"/>
            <w:bottom w:val="none" w:sz="0" w:space="0" w:color="auto"/>
            <w:right w:val="none" w:sz="0" w:space="0" w:color="auto"/>
          </w:divBdr>
        </w:div>
        <w:div w:id="523010015">
          <w:marLeft w:val="640"/>
          <w:marRight w:val="0"/>
          <w:marTop w:val="0"/>
          <w:marBottom w:val="0"/>
          <w:divBdr>
            <w:top w:val="none" w:sz="0" w:space="0" w:color="auto"/>
            <w:left w:val="none" w:sz="0" w:space="0" w:color="auto"/>
            <w:bottom w:val="none" w:sz="0" w:space="0" w:color="auto"/>
            <w:right w:val="none" w:sz="0" w:space="0" w:color="auto"/>
          </w:divBdr>
        </w:div>
        <w:div w:id="1218396779">
          <w:marLeft w:val="640"/>
          <w:marRight w:val="0"/>
          <w:marTop w:val="0"/>
          <w:marBottom w:val="0"/>
          <w:divBdr>
            <w:top w:val="none" w:sz="0" w:space="0" w:color="auto"/>
            <w:left w:val="none" w:sz="0" w:space="0" w:color="auto"/>
            <w:bottom w:val="none" w:sz="0" w:space="0" w:color="auto"/>
            <w:right w:val="none" w:sz="0" w:space="0" w:color="auto"/>
          </w:divBdr>
        </w:div>
        <w:div w:id="476534993">
          <w:marLeft w:val="640"/>
          <w:marRight w:val="0"/>
          <w:marTop w:val="0"/>
          <w:marBottom w:val="0"/>
          <w:divBdr>
            <w:top w:val="none" w:sz="0" w:space="0" w:color="auto"/>
            <w:left w:val="none" w:sz="0" w:space="0" w:color="auto"/>
            <w:bottom w:val="none" w:sz="0" w:space="0" w:color="auto"/>
            <w:right w:val="none" w:sz="0" w:space="0" w:color="auto"/>
          </w:divBdr>
        </w:div>
        <w:div w:id="2083210368">
          <w:marLeft w:val="640"/>
          <w:marRight w:val="0"/>
          <w:marTop w:val="0"/>
          <w:marBottom w:val="0"/>
          <w:divBdr>
            <w:top w:val="none" w:sz="0" w:space="0" w:color="auto"/>
            <w:left w:val="none" w:sz="0" w:space="0" w:color="auto"/>
            <w:bottom w:val="none" w:sz="0" w:space="0" w:color="auto"/>
            <w:right w:val="none" w:sz="0" w:space="0" w:color="auto"/>
          </w:divBdr>
        </w:div>
        <w:div w:id="140271128">
          <w:marLeft w:val="640"/>
          <w:marRight w:val="0"/>
          <w:marTop w:val="0"/>
          <w:marBottom w:val="0"/>
          <w:divBdr>
            <w:top w:val="none" w:sz="0" w:space="0" w:color="auto"/>
            <w:left w:val="none" w:sz="0" w:space="0" w:color="auto"/>
            <w:bottom w:val="none" w:sz="0" w:space="0" w:color="auto"/>
            <w:right w:val="none" w:sz="0" w:space="0" w:color="auto"/>
          </w:divBdr>
        </w:div>
        <w:div w:id="1822035586">
          <w:marLeft w:val="640"/>
          <w:marRight w:val="0"/>
          <w:marTop w:val="0"/>
          <w:marBottom w:val="0"/>
          <w:divBdr>
            <w:top w:val="none" w:sz="0" w:space="0" w:color="auto"/>
            <w:left w:val="none" w:sz="0" w:space="0" w:color="auto"/>
            <w:bottom w:val="none" w:sz="0" w:space="0" w:color="auto"/>
            <w:right w:val="none" w:sz="0" w:space="0" w:color="auto"/>
          </w:divBdr>
        </w:div>
        <w:div w:id="254870402">
          <w:marLeft w:val="640"/>
          <w:marRight w:val="0"/>
          <w:marTop w:val="0"/>
          <w:marBottom w:val="0"/>
          <w:divBdr>
            <w:top w:val="none" w:sz="0" w:space="0" w:color="auto"/>
            <w:left w:val="none" w:sz="0" w:space="0" w:color="auto"/>
            <w:bottom w:val="none" w:sz="0" w:space="0" w:color="auto"/>
            <w:right w:val="none" w:sz="0" w:space="0" w:color="auto"/>
          </w:divBdr>
        </w:div>
        <w:div w:id="141696456">
          <w:marLeft w:val="640"/>
          <w:marRight w:val="0"/>
          <w:marTop w:val="0"/>
          <w:marBottom w:val="0"/>
          <w:divBdr>
            <w:top w:val="none" w:sz="0" w:space="0" w:color="auto"/>
            <w:left w:val="none" w:sz="0" w:space="0" w:color="auto"/>
            <w:bottom w:val="none" w:sz="0" w:space="0" w:color="auto"/>
            <w:right w:val="none" w:sz="0" w:space="0" w:color="auto"/>
          </w:divBdr>
        </w:div>
        <w:div w:id="181404666">
          <w:marLeft w:val="640"/>
          <w:marRight w:val="0"/>
          <w:marTop w:val="0"/>
          <w:marBottom w:val="0"/>
          <w:divBdr>
            <w:top w:val="none" w:sz="0" w:space="0" w:color="auto"/>
            <w:left w:val="none" w:sz="0" w:space="0" w:color="auto"/>
            <w:bottom w:val="none" w:sz="0" w:space="0" w:color="auto"/>
            <w:right w:val="none" w:sz="0" w:space="0" w:color="auto"/>
          </w:divBdr>
        </w:div>
        <w:div w:id="470947092">
          <w:marLeft w:val="640"/>
          <w:marRight w:val="0"/>
          <w:marTop w:val="0"/>
          <w:marBottom w:val="0"/>
          <w:divBdr>
            <w:top w:val="none" w:sz="0" w:space="0" w:color="auto"/>
            <w:left w:val="none" w:sz="0" w:space="0" w:color="auto"/>
            <w:bottom w:val="none" w:sz="0" w:space="0" w:color="auto"/>
            <w:right w:val="none" w:sz="0" w:space="0" w:color="auto"/>
          </w:divBdr>
        </w:div>
        <w:div w:id="810294003">
          <w:marLeft w:val="640"/>
          <w:marRight w:val="0"/>
          <w:marTop w:val="0"/>
          <w:marBottom w:val="0"/>
          <w:divBdr>
            <w:top w:val="none" w:sz="0" w:space="0" w:color="auto"/>
            <w:left w:val="none" w:sz="0" w:space="0" w:color="auto"/>
            <w:bottom w:val="none" w:sz="0" w:space="0" w:color="auto"/>
            <w:right w:val="none" w:sz="0" w:space="0" w:color="auto"/>
          </w:divBdr>
        </w:div>
        <w:div w:id="1778675741">
          <w:marLeft w:val="640"/>
          <w:marRight w:val="0"/>
          <w:marTop w:val="0"/>
          <w:marBottom w:val="0"/>
          <w:divBdr>
            <w:top w:val="none" w:sz="0" w:space="0" w:color="auto"/>
            <w:left w:val="none" w:sz="0" w:space="0" w:color="auto"/>
            <w:bottom w:val="none" w:sz="0" w:space="0" w:color="auto"/>
            <w:right w:val="none" w:sz="0" w:space="0" w:color="auto"/>
          </w:divBdr>
        </w:div>
        <w:div w:id="573204854">
          <w:marLeft w:val="640"/>
          <w:marRight w:val="0"/>
          <w:marTop w:val="0"/>
          <w:marBottom w:val="0"/>
          <w:divBdr>
            <w:top w:val="none" w:sz="0" w:space="0" w:color="auto"/>
            <w:left w:val="none" w:sz="0" w:space="0" w:color="auto"/>
            <w:bottom w:val="none" w:sz="0" w:space="0" w:color="auto"/>
            <w:right w:val="none" w:sz="0" w:space="0" w:color="auto"/>
          </w:divBdr>
        </w:div>
        <w:div w:id="50616538">
          <w:marLeft w:val="640"/>
          <w:marRight w:val="0"/>
          <w:marTop w:val="0"/>
          <w:marBottom w:val="0"/>
          <w:divBdr>
            <w:top w:val="none" w:sz="0" w:space="0" w:color="auto"/>
            <w:left w:val="none" w:sz="0" w:space="0" w:color="auto"/>
            <w:bottom w:val="none" w:sz="0" w:space="0" w:color="auto"/>
            <w:right w:val="none" w:sz="0" w:space="0" w:color="auto"/>
          </w:divBdr>
        </w:div>
        <w:div w:id="1296178409">
          <w:marLeft w:val="640"/>
          <w:marRight w:val="0"/>
          <w:marTop w:val="0"/>
          <w:marBottom w:val="0"/>
          <w:divBdr>
            <w:top w:val="none" w:sz="0" w:space="0" w:color="auto"/>
            <w:left w:val="none" w:sz="0" w:space="0" w:color="auto"/>
            <w:bottom w:val="none" w:sz="0" w:space="0" w:color="auto"/>
            <w:right w:val="none" w:sz="0" w:space="0" w:color="auto"/>
          </w:divBdr>
        </w:div>
        <w:div w:id="459422705">
          <w:marLeft w:val="640"/>
          <w:marRight w:val="0"/>
          <w:marTop w:val="0"/>
          <w:marBottom w:val="0"/>
          <w:divBdr>
            <w:top w:val="none" w:sz="0" w:space="0" w:color="auto"/>
            <w:left w:val="none" w:sz="0" w:space="0" w:color="auto"/>
            <w:bottom w:val="none" w:sz="0" w:space="0" w:color="auto"/>
            <w:right w:val="none" w:sz="0" w:space="0" w:color="auto"/>
          </w:divBdr>
        </w:div>
        <w:div w:id="796535303">
          <w:marLeft w:val="640"/>
          <w:marRight w:val="0"/>
          <w:marTop w:val="0"/>
          <w:marBottom w:val="0"/>
          <w:divBdr>
            <w:top w:val="none" w:sz="0" w:space="0" w:color="auto"/>
            <w:left w:val="none" w:sz="0" w:space="0" w:color="auto"/>
            <w:bottom w:val="none" w:sz="0" w:space="0" w:color="auto"/>
            <w:right w:val="none" w:sz="0" w:space="0" w:color="auto"/>
          </w:divBdr>
        </w:div>
        <w:div w:id="1567031919">
          <w:marLeft w:val="640"/>
          <w:marRight w:val="0"/>
          <w:marTop w:val="0"/>
          <w:marBottom w:val="0"/>
          <w:divBdr>
            <w:top w:val="none" w:sz="0" w:space="0" w:color="auto"/>
            <w:left w:val="none" w:sz="0" w:space="0" w:color="auto"/>
            <w:bottom w:val="none" w:sz="0" w:space="0" w:color="auto"/>
            <w:right w:val="none" w:sz="0" w:space="0" w:color="auto"/>
          </w:divBdr>
        </w:div>
        <w:div w:id="1411537700">
          <w:marLeft w:val="640"/>
          <w:marRight w:val="0"/>
          <w:marTop w:val="0"/>
          <w:marBottom w:val="0"/>
          <w:divBdr>
            <w:top w:val="none" w:sz="0" w:space="0" w:color="auto"/>
            <w:left w:val="none" w:sz="0" w:space="0" w:color="auto"/>
            <w:bottom w:val="none" w:sz="0" w:space="0" w:color="auto"/>
            <w:right w:val="none" w:sz="0" w:space="0" w:color="auto"/>
          </w:divBdr>
        </w:div>
        <w:div w:id="533543636">
          <w:marLeft w:val="640"/>
          <w:marRight w:val="0"/>
          <w:marTop w:val="0"/>
          <w:marBottom w:val="0"/>
          <w:divBdr>
            <w:top w:val="none" w:sz="0" w:space="0" w:color="auto"/>
            <w:left w:val="none" w:sz="0" w:space="0" w:color="auto"/>
            <w:bottom w:val="none" w:sz="0" w:space="0" w:color="auto"/>
            <w:right w:val="none" w:sz="0" w:space="0" w:color="auto"/>
          </w:divBdr>
        </w:div>
        <w:div w:id="2110854800">
          <w:marLeft w:val="640"/>
          <w:marRight w:val="0"/>
          <w:marTop w:val="0"/>
          <w:marBottom w:val="0"/>
          <w:divBdr>
            <w:top w:val="none" w:sz="0" w:space="0" w:color="auto"/>
            <w:left w:val="none" w:sz="0" w:space="0" w:color="auto"/>
            <w:bottom w:val="none" w:sz="0" w:space="0" w:color="auto"/>
            <w:right w:val="none" w:sz="0" w:space="0" w:color="auto"/>
          </w:divBdr>
        </w:div>
        <w:div w:id="463888279">
          <w:marLeft w:val="640"/>
          <w:marRight w:val="0"/>
          <w:marTop w:val="0"/>
          <w:marBottom w:val="0"/>
          <w:divBdr>
            <w:top w:val="none" w:sz="0" w:space="0" w:color="auto"/>
            <w:left w:val="none" w:sz="0" w:space="0" w:color="auto"/>
            <w:bottom w:val="none" w:sz="0" w:space="0" w:color="auto"/>
            <w:right w:val="none" w:sz="0" w:space="0" w:color="auto"/>
          </w:divBdr>
        </w:div>
        <w:div w:id="1245996543">
          <w:marLeft w:val="640"/>
          <w:marRight w:val="0"/>
          <w:marTop w:val="0"/>
          <w:marBottom w:val="0"/>
          <w:divBdr>
            <w:top w:val="none" w:sz="0" w:space="0" w:color="auto"/>
            <w:left w:val="none" w:sz="0" w:space="0" w:color="auto"/>
            <w:bottom w:val="none" w:sz="0" w:space="0" w:color="auto"/>
            <w:right w:val="none" w:sz="0" w:space="0" w:color="auto"/>
          </w:divBdr>
        </w:div>
        <w:div w:id="2120489180">
          <w:marLeft w:val="640"/>
          <w:marRight w:val="0"/>
          <w:marTop w:val="0"/>
          <w:marBottom w:val="0"/>
          <w:divBdr>
            <w:top w:val="none" w:sz="0" w:space="0" w:color="auto"/>
            <w:left w:val="none" w:sz="0" w:space="0" w:color="auto"/>
            <w:bottom w:val="none" w:sz="0" w:space="0" w:color="auto"/>
            <w:right w:val="none" w:sz="0" w:space="0" w:color="auto"/>
          </w:divBdr>
        </w:div>
        <w:div w:id="795560443">
          <w:marLeft w:val="640"/>
          <w:marRight w:val="0"/>
          <w:marTop w:val="0"/>
          <w:marBottom w:val="0"/>
          <w:divBdr>
            <w:top w:val="none" w:sz="0" w:space="0" w:color="auto"/>
            <w:left w:val="none" w:sz="0" w:space="0" w:color="auto"/>
            <w:bottom w:val="none" w:sz="0" w:space="0" w:color="auto"/>
            <w:right w:val="none" w:sz="0" w:space="0" w:color="auto"/>
          </w:divBdr>
        </w:div>
        <w:div w:id="1301688308">
          <w:marLeft w:val="640"/>
          <w:marRight w:val="0"/>
          <w:marTop w:val="0"/>
          <w:marBottom w:val="0"/>
          <w:divBdr>
            <w:top w:val="none" w:sz="0" w:space="0" w:color="auto"/>
            <w:left w:val="none" w:sz="0" w:space="0" w:color="auto"/>
            <w:bottom w:val="none" w:sz="0" w:space="0" w:color="auto"/>
            <w:right w:val="none" w:sz="0" w:space="0" w:color="auto"/>
          </w:divBdr>
        </w:div>
        <w:div w:id="1272669061">
          <w:marLeft w:val="640"/>
          <w:marRight w:val="0"/>
          <w:marTop w:val="0"/>
          <w:marBottom w:val="0"/>
          <w:divBdr>
            <w:top w:val="none" w:sz="0" w:space="0" w:color="auto"/>
            <w:left w:val="none" w:sz="0" w:space="0" w:color="auto"/>
            <w:bottom w:val="none" w:sz="0" w:space="0" w:color="auto"/>
            <w:right w:val="none" w:sz="0" w:space="0" w:color="auto"/>
          </w:divBdr>
        </w:div>
        <w:div w:id="323582681">
          <w:marLeft w:val="640"/>
          <w:marRight w:val="0"/>
          <w:marTop w:val="0"/>
          <w:marBottom w:val="0"/>
          <w:divBdr>
            <w:top w:val="none" w:sz="0" w:space="0" w:color="auto"/>
            <w:left w:val="none" w:sz="0" w:space="0" w:color="auto"/>
            <w:bottom w:val="none" w:sz="0" w:space="0" w:color="auto"/>
            <w:right w:val="none" w:sz="0" w:space="0" w:color="auto"/>
          </w:divBdr>
        </w:div>
        <w:div w:id="1907452979">
          <w:marLeft w:val="640"/>
          <w:marRight w:val="0"/>
          <w:marTop w:val="0"/>
          <w:marBottom w:val="0"/>
          <w:divBdr>
            <w:top w:val="none" w:sz="0" w:space="0" w:color="auto"/>
            <w:left w:val="none" w:sz="0" w:space="0" w:color="auto"/>
            <w:bottom w:val="none" w:sz="0" w:space="0" w:color="auto"/>
            <w:right w:val="none" w:sz="0" w:space="0" w:color="auto"/>
          </w:divBdr>
        </w:div>
        <w:div w:id="2011710545">
          <w:marLeft w:val="640"/>
          <w:marRight w:val="0"/>
          <w:marTop w:val="0"/>
          <w:marBottom w:val="0"/>
          <w:divBdr>
            <w:top w:val="none" w:sz="0" w:space="0" w:color="auto"/>
            <w:left w:val="none" w:sz="0" w:space="0" w:color="auto"/>
            <w:bottom w:val="none" w:sz="0" w:space="0" w:color="auto"/>
            <w:right w:val="none" w:sz="0" w:space="0" w:color="auto"/>
          </w:divBdr>
        </w:div>
        <w:div w:id="1701662663">
          <w:marLeft w:val="640"/>
          <w:marRight w:val="0"/>
          <w:marTop w:val="0"/>
          <w:marBottom w:val="0"/>
          <w:divBdr>
            <w:top w:val="none" w:sz="0" w:space="0" w:color="auto"/>
            <w:left w:val="none" w:sz="0" w:space="0" w:color="auto"/>
            <w:bottom w:val="none" w:sz="0" w:space="0" w:color="auto"/>
            <w:right w:val="none" w:sz="0" w:space="0" w:color="auto"/>
          </w:divBdr>
        </w:div>
        <w:div w:id="920941808">
          <w:marLeft w:val="640"/>
          <w:marRight w:val="0"/>
          <w:marTop w:val="0"/>
          <w:marBottom w:val="0"/>
          <w:divBdr>
            <w:top w:val="none" w:sz="0" w:space="0" w:color="auto"/>
            <w:left w:val="none" w:sz="0" w:space="0" w:color="auto"/>
            <w:bottom w:val="none" w:sz="0" w:space="0" w:color="auto"/>
            <w:right w:val="none" w:sz="0" w:space="0" w:color="auto"/>
          </w:divBdr>
        </w:div>
        <w:div w:id="1328512341">
          <w:marLeft w:val="640"/>
          <w:marRight w:val="0"/>
          <w:marTop w:val="0"/>
          <w:marBottom w:val="0"/>
          <w:divBdr>
            <w:top w:val="none" w:sz="0" w:space="0" w:color="auto"/>
            <w:left w:val="none" w:sz="0" w:space="0" w:color="auto"/>
            <w:bottom w:val="none" w:sz="0" w:space="0" w:color="auto"/>
            <w:right w:val="none" w:sz="0" w:space="0" w:color="auto"/>
          </w:divBdr>
        </w:div>
        <w:div w:id="1589969130">
          <w:marLeft w:val="640"/>
          <w:marRight w:val="0"/>
          <w:marTop w:val="0"/>
          <w:marBottom w:val="0"/>
          <w:divBdr>
            <w:top w:val="none" w:sz="0" w:space="0" w:color="auto"/>
            <w:left w:val="none" w:sz="0" w:space="0" w:color="auto"/>
            <w:bottom w:val="none" w:sz="0" w:space="0" w:color="auto"/>
            <w:right w:val="none" w:sz="0" w:space="0" w:color="auto"/>
          </w:divBdr>
        </w:div>
        <w:div w:id="248462580">
          <w:marLeft w:val="640"/>
          <w:marRight w:val="0"/>
          <w:marTop w:val="0"/>
          <w:marBottom w:val="0"/>
          <w:divBdr>
            <w:top w:val="none" w:sz="0" w:space="0" w:color="auto"/>
            <w:left w:val="none" w:sz="0" w:space="0" w:color="auto"/>
            <w:bottom w:val="none" w:sz="0" w:space="0" w:color="auto"/>
            <w:right w:val="none" w:sz="0" w:space="0" w:color="auto"/>
          </w:divBdr>
        </w:div>
        <w:div w:id="2129810896">
          <w:marLeft w:val="640"/>
          <w:marRight w:val="0"/>
          <w:marTop w:val="0"/>
          <w:marBottom w:val="0"/>
          <w:divBdr>
            <w:top w:val="none" w:sz="0" w:space="0" w:color="auto"/>
            <w:left w:val="none" w:sz="0" w:space="0" w:color="auto"/>
            <w:bottom w:val="none" w:sz="0" w:space="0" w:color="auto"/>
            <w:right w:val="none" w:sz="0" w:space="0" w:color="auto"/>
          </w:divBdr>
        </w:div>
        <w:div w:id="619065779">
          <w:marLeft w:val="640"/>
          <w:marRight w:val="0"/>
          <w:marTop w:val="0"/>
          <w:marBottom w:val="0"/>
          <w:divBdr>
            <w:top w:val="none" w:sz="0" w:space="0" w:color="auto"/>
            <w:left w:val="none" w:sz="0" w:space="0" w:color="auto"/>
            <w:bottom w:val="none" w:sz="0" w:space="0" w:color="auto"/>
            <w:right w:val="none" w:sz="0" w:space="0" w:color="auto"/>
          </w:divBdr>
        </w:div>
        <w:div w:id="785542724">
          <w:marLeft w:val="640"/>
          <w:marRight w:val="0"/>
          <w:marTop w:val="0"/>
          <w:marBottom w:val="0"/>
          <w:divBdr>
            <w:top w:val="none" w:sz="0" w:space="0" w:color="auto"/>
            <w:left w:val="none" w:sz="0" w:space="0" w:color="auto"/>
            <w:bottom w:val="none" w:sz="0" w:space="0" w:color="auto"/>
            <w:right w:val="none" w:sz="0" w:space="0" w:color="auto"/>
          </w:divBdr>
        </w:div>
        <w:div w:id="1022559716">
          <w:marLeft w:val="640"/>
          <w:marRight w:val="0"/>
          <w:marTop w:val="0"/>
          <w:marBottom w:val="0"/>
          <w:divBdr>
            <w:top w:val="none" w:sz="0" w:space="0" w:color="auto"/>
            <w:left w:val="none" w:sz="0" w:space="0" w:color="auto"/>
            <w:bottom w:val="none" w:sz="0" w:space="0" w:color="auto"/>
            <w:right w:val="none" w:sz="0" w:space="0" w:color="auto"/>
          </w:divBdr>
        </w:div>
        <w:div w:id="205332223">
          <w:marLeft w:val="640"/>
          <w:marRight w:val="0"/>
          <w:marTop w:val="0"/>
          <w:marBottom w:val="0"/>
          <w:divBdr>
            <w:top w:val="none" w:sz="0" w:space="0" w:color="auto"/>
            <w:left w:val="none" w:sz="0" w:space="0" w:color="auto"/>
            <w:bottom w:val="none" w:sz="0" w:space="0" w:color="auto"/>
            <w:right w:val="none" w:sz="0" w:space="0" w:color="auto"/>
          </w:divBdr>
        </w:div>
        <w:div w:id="727605403">
          <w:marLeft w:val="640"/>
          <w:marRight w:val="0"/>
          <w:marTop w:val="0"/>
          <w:marBottom w:val="0"/>
          <w:divBdr>
            <w:top w:val="none" w:sz="0" w:space="0" w:color="auto"/>
            <w:left w:val="none" w:sz="0" w:space="0" w:color="auto"/>
            <w:bottom w:val="none" w:sz="0" w:space="0" w:color="auto"/>
            <w:right w:val="none" w:sz="0" w:space="0" w:color="auto"/>
          </w:divBdr>
        </w:div>
        <w:div w:id="920257905">
          <w:marLeft w:val="640"/>
          <w:marRight w:val="0"/>
          <w:marTop w:val="0"/>
          <w:marBottom w:val="0"/>
          <w:divBdr>
            <w:top w:val="none" w:sz="0" w:space="0" w:color="auto"/>
            <w:left w:val="none" w:sz="0" w:space="0" w:color="auto"/>
            <w:bottom w:val="none" w:sz="0" w:space="0" w:color="auto"/>
            <w:right w:val="none" w:sz="0" w:space="0" w:color="auto"/>
          </w:divBdr>
        </w:div>
        <w:div w:id="1473138314">
          <w:marLeft w:val="640"/>
          <w:marRight w:val="0"/>
          <w:marTop w:val="0"/>
          <w:marBottom w:val="0"/>
          <w:divBdr>
            <w:top w:val="none" w:sz="0" w:space="0" w:color="auto"/>
            <w:left w:val="none" w:sz="0" w:space="0" w:color="auto"/>
            <w:bottom w:val="none" w:sz="0" w:space="0" w:color="auto"/>
            <w:right w:val="none" w:sz="0" w:space="0" w:color="auto"/>
          </w:divBdr>
        </w:div>
        <w:div w:id="287704212">
          <w:marLeft w:val="640"/>
          <w:marRight w:val="0"/>
          <w:marTop w:val="0"/>
          <w:marBottom w:val="0"/>
          <w:divBdr>
            <w:top w:val="none" w:sz="0" w:space="0" w:color="auto"/>
            <w:left w:val="none" w:sz="0" w:space="0" w:color="auto"/>
            <w:bottom w:val="none" w:sz="0" w:space="0" w:color="auto"/>
            <w:right w:val="none" w:sz="0" w:space="0" w:color="auto"/>
          </w:divBdr>
        </w:div>
        <w:div w:id="541942598">
          <w:marLeft w:val="640"/>
          <w:marRight w:val="0"/>
          <w:marTop w:val="0"/>
          <w:marBottom w:val="0"/>
          <w:divBdr>
            <w:top w:val="none" w:sz="0" w:space="0" w:color="auto"/>
            <w:left w:val="none" w:sz="0" w:space="0" w:color="auto"/>
            <w:bottom w:val="none" w:sz="0" w:space="0" w:color="auto"/>
            <w:right w:val="none" w:sz="0" w:space="0" w:color="auto"/>
          </w:divBdr>
        </w:div>
        <w:div w:id="512451099">
          <w:marLeft w:val="640"/>
          <w:marRight w:val="0"/>
          <w:marTop w:val="0"/>
          <w:marBottom w:val="0"/>
          <w:divBdr>
            <w:top w:val="none" w:sz="0" w:space="0" w:color="auto"/>
            <w:left w:val="none" w:sz="0" w:space="0" w:color="auto"/>
            <w:bottom w:val="none" w:sz="0" w:space="0" w:color="auto"/>
            <w:right w:val="none" w:sz="0" w:space="0" w:color="auto"/>
          </w:divBdr>
        </w:div>
        <w:div w:id="1561019481">
          <w:marLeft w:val="640"/>
          <w:marRight w:val="0"/>
          <w:marTop w:val="0"/>
          <w:marBottom w:val="0"/>
          <w:divBdr>
            <w:top w:val="none" w:sz="0" w:space="0" w:color="auto"/>
            <w:left w:val="none" w:sz="0" w:space="0" w:color="auto"/>
            <w:bottom w:val="none" w:sz="0" w:space="0" w:color="auto"/>
            <w:right w:val="none" w:sz="0" w:space="0" w:color="auto"/>
          </w:divBdr>
        </w:div>
        <w:div w:id="504051919">
          <w:marLeft w:val="640"/>
          <w:marRight w:val="0"/>
          <w:marTop w:val="0"/>
          <w:marBottom w:val="0"/>
          <w:divBdr>
            <w:top w:val="none" w:sz="0" w:space="0" w:color="auto"/>
            <w:left w:val="none" w:sz="0" w:space="0" w:color="auto"/>
            <w:bottom w:val="none" w:sz="0" w:space="0" w:color="auto"/>
            <w:right w:val="none" w:sz="0" w:space="0" w:color="auto"/>
          </w:divBdr>
        </w:div>
        <w:div w:id="1749688201">
          <w:marLeft w:val="640"/>
          <w:marRight w:val="0"/>
          <w:marTop w:val="0"/>
          <w:marBottom w:val="0"/>
          <w:divBdr>
            <w:top w:val="none" w:sz="0" w:space="0" w:color="auto"/>
            <w:left w:val="none" w:sz="0" w:space="0" w:color="auto"/>
            <w:bottom w:val="none" w:sz="0" w:space="0" w:color="auto"/>
            <w:right w:val="none" w:sz="0" w:space="0" w:color="auto"/>
          </w:divBdr>
        </w:div>
        <w:div w:id="1523548009">
          <w:marLeft w:val="640"/>
          <w:marRight w:val="0"/>
          <w:marTop w:val="0"/>
          <w:marBottom w:val="0"/>
          <w:divBdr>
            <w:top w:val="none" w:sz="0" w:space="0" w:color="auto"/>
            <w:left w:val="none" w:sz="0" w:space="0" w:color="auto"/>
            <w:bottom w:val="none" w:sz="0" w:space="0" w:color="auto"/>
            <w:right w:val="none" w:sz="0" w:space="0" w:color="auto"/>
          </w:divBdr>
        </w:div>
        <w:div w:id="87233995">
          <w:marLeft w:val="640"/>
          <w:marRight w:val="0"/>
          <w:marTop w:val="0"/>
          <w:marBottom w:val="0"/>
          <w:divBdr>
            <w:top w:val="none" w:sz="0" w:space="0" w:color="auto"/>
            <w:left w:val="none" w:sz="0" w:space="0" w:color="auto"/>
            <w:bottom w:val="none" w:sz="0" w:space="0" w:color="auto"/>
            <w:right w:val="none" w:sz="0" w:space="0" w:color="auto"/>
          </w:divBdr>
        </w:div>
        <w:div w:id="747732875">
          <w:marLeft w:val="640"/>
          <w:marRight w:val="0"/>
          <w:marTop w:val="0"/>
          <w:marBottom w:val="0"/>
          <w:divBdr>
            <w:top w:val="none" w:sz="0" w:space="0" w:color="auto"/>
            <w:left w:val="none" w:sz="0" w:space="0" w:color="auto"/>
            <w:bottom w:val="none" w:sz="0" w:space="0" w:color="auto"/>
            <w:right w:val="none" w:sz="0" w:space="0" w:color="auto"/>
          </w:divBdr>
        </w:div>
        <w:div w:id="784929367">
          <w:marLeft w:val="640"/>
          <w:marRight w:val="0"/>
          <w:marTop w:val="0"/>
          <w:marBottom w:val="0"/>
          <w:divBdr>
            <w:top w:val="none" w:sz="0" w:space="0" w:color="auto"/>
            <w:left w:val="none" w:sz="0" w:space="0" w:color="auto"/>
            <w:bottom w:val="none" w:sz="0" w:space="0" w:color="auto"/>
            <w:right w:val="none" w:sz="0" w:space="0" w:color="auto"/>
          </w:divBdr>
        </w:div>
        <w:div w:id="284654073">
          <w:marLeft w:val="640"/>
          <w:marRight w:val="0"/>
          <w:marTop w:val="0"/>
          <w:marBottom w:val="0"/>
          <w:divBdr>
            <w:top w:val="none" w:sz="0" w:space="0" w:color="auto"/>
            <w:left w:val="none" w:sz="0" w:space="0" w:color="auto"/>
            <w:bottom w:val="none" w:sz="0" w:space="0" w:color="auto"/>
            <w:right w:val="none" w:sz="0" w:space="0" w:color="auto"/>
          </w:divBdr>
        </w:div>
        <w:div w:id="1956785031">
          <w:marLeft w:val="640"/>
          <w:marRight w:val="0"/>
          <w:marTop w:val="0"/>
          <w:marBottom w:val="0"/>
          <w:divBdr>
            <w:top w:val="none" w:sz="0" w:space="0" w:color="auto"/>
            <w:left w:val="none" w:sz="0" w:space="0" w:color="auto"/>
            <w:bottom w:val="none" w:sz="0" w:space="0" w:color="auto"/>
            <w:right w:val="none" w:sz="0" w:space="0" w:color="auto"/>
          </w:divBdr>
        </w:div>
        <w:div w:id="1621574832">
          <w:marLeft w:val="640"/>
          <w:marRight w:val="0"/>
          <w:marTop w:val="0"/>
          <w:marBottom w:val="0"/>
          <w:divBdr>
            <w:top w:val="none" w:sz="0" w:space="0" w:color="auto"/>
            <w:left w:val="none" w:sz="0" w:space="0" w:color="auto"/>
            <w:bottom w:val="none" w:sz="0" w:space="0" w:color="auto"/>
            <w:right w:val="none" w:sz="0" w:space="0" w:color="auto"/>
          </w:divBdr>
        </w:div>
        <w:div w:id="938487467">
          <w:marLeft w:val="640"/>
          <w:marRight w:val="0"/>
          <w:marTop w:val="0"/>
          <w:marBottom w:val="0"/>
          <w:divBdr>
            <w:top w:val="none" w:sz="0" w:space="0" w:color="auto"/>
            <w:left w:val="none" w:sz="0" w:space="0" w:color="auto"/>
            <w:bottom w:val="none" w:sz="0" w:space="0" w:color="auto"/>
            <w:right w:val="none" w:sz="0" w:space="0" w:color="auto"/>
          </w:divBdr>
        </w:div>
        <w:div w:id="1965306047">
          <w:marLeft w:val="640"/>
          <w:marRight w:val="0"/>
          <w:marTop w:val="0"/>
          <w:marBottom w:val="0"/>
          <w:divBdr>
            <w:top w:val="none" w:sz="0" w:space="0" w:color="auto"/>
            <w:left w:val="none" w:sz="0" w:space="0" w:color="auto"/>
            <w:bottom w:val="none" w:sz="0" w:space="0" w:color="auto"/>
            <w:right w:val="none" w:sz="0" w:space="0" w:color="auto"/>
          </w:divBdr>
        </w:div>
        <w:div w:id="621421220">
          <w:marLeft w:val="640"/>
          <w:marRight w:val="0"/>
          <w:marTop w:val="0"/>
          <w:marBottom w:val="0"/>
          <w:divBdr>
            <w:top w:val="none" w:sz="0" w:space="0" w:color="auto"/>
            <w:left w:val="none" w:sz="0" w:space="0" w:color="auto"/>
            <w:bottom w:val="none" w:sz="0" w:space="0" w:color="auto"/>
            <w:right w:val="none" w:sz="0" w:space="0" w:color="auto"/>
          </w:divBdr>
        </w:div>
        <w:div w:id="1909682301">
          <w:marLeft w:val="640"/>
          <w:marRight w:val="0"/>
          <w:marTop w:val="0"/>
          <w:marBottom w:val="0"/>
          <w:divBdr>
            <w:top w:val="none" w:sz="0" w:space="0" w:color="auto"/>
            <w:left w:val="none" w:sz="0" w:space="0" w:color="auto"/>
            <w:bottom w:val="none" w:sz="0" w:space="0" w:color="auto"/>
            <w:right w:val="none" w:sz="0" w:space="0" w:color="auto"/>
          </w:divBdr>
        </w:div>
        <w:div w:id="329454254">
          <w:marLeft w:val="640"/>
          <w:marRight w:val="0"/>
          <w:marTop w:val="0"/>
          <w:marBottom w:val="0"/>
          <w:divBdr>
            <w:top w:val="none" w:sz="0" w:space="0" w:color="auto"/>
            <w:left w:val="none" w:sz="0" w:space="0" w:color="auto"/>
            <w:bottom w:val="none" w:sz="0" w:space="0" w:color="auto"/>
            <w:right w:val="none" w:sz="0" w:space="0" w:color="auto"/>
          </w:divBdr>
        </w:div>
        <w:div w:id="453328680">
          <w:marLeft w:val="640"/>
          <w:marRight w:val="0"/>
          <w:marTop w:val="0"/>
          <w:marBottom w:val="0"/>
          <w:divBdr>
            <w:top w:val="none" w:sz="0" w:space="0" w:color="auto"/>
            <w:left w:val="none" w:sz="0" w:space="0" w:color="auto"/>
            <w:bottom w:val="none" w:sz="0" w:space="0" w:color="auto"/>
            <w:right w:val="none" w:sz="0" w:space="0" w:color="auto"/>
          </w:divBdr>
        </w:div>
        <w:div w:id="1820489022">
          <w:marLeft w:val="640"/>
          <w:marRight w:val="0"/>
          <w:marTop w:val="0"/>
          <w:marBottom w:val="0"/>
          <w:divBdr>
            <w:top w:val="none" w:sz="0" w:space="0" w:color="auto"/>
            <w:left w:val="none" w:sz="0" w:space="0" w:color="auto"/>
            <w:bottom w:val="none" w:sz="0" w:space="0" w:color="auto"/>
            <w:right w:val="none" w:sz="0" w:space="0" w:color="auto"/>
          </w:divBdr>
        </w:div>
        <w:div w:id="1968929562">
          <w:marLeft w:val="640"/>
          <w:marRight w:val="0"/>
          <w:marTop w:val="0"/>
          <w:marBottom w:val="0"/>
          <w:divBdr>
            <w:top w:val="none" w:sz="0" w:space="0" w:color="auto"/>
            <w:left w:val="none" w:sz="0" w:space="0" w:color="auto"/>
            <w:bottom w:val="none" w:sz="0" w:space="0" w:color="auto"/>
            <w:right w:val="none" w:sz="0" w:space="0" w:color="auto"/>
          </w:divBdr>
        </w:div>
        <w:div w:id="956259701">
          <w:marLeft w:val="640"/>
          <w:marRight w:val="0"/>
          <w:marTop w:val="0"/>
          <w:marBottom w:val="0"/>
          <w:divBdr>
            <w:top w:val="none" w:sz="0" w:space="0" w:color="auto"/>
            <w:left w:val="none" w:sz="0" w:space="0" w:color="auto"/>
            <w:bottom w:val="none" w:sz="0" w:space="0" w:color="auto"/>
            <w:right w:val="none" w:sz="0" w:space="0" w:color="auto"/>
          </w:divBdr>
        </w:div>
        <w:div w:id="1926305989">
          <w:marLeft w:val="640"/>
          <w:marRight w:val="0"/>
          <w:marTop w:val="0"/>
          <w:marBottom w:val="0"/>
          <w:divBdr>
            <w:top w:val="none" w:sz="0" w:space="0" w:color="auto"/>
            <w:left w:val="none" w:sz="0" w:space="0" w:color="auto"/>
            <w:bottom w:val="none" w:sz="0" w:space="0" w:color="auto"/>
            <w:right w:val="none" w:sz="0" w:space="0" w:color="auto"/>
          </w:divBdr>
        </w:div>
        <w:div w:id="1169639787">
          <w:marLeft w:val="640"/>
          <w:marRight w:val="0"/>
          <w:marTop w:val="0"/>
          <w:marBottom w:val="0"/>
          <w:divBdr>
            <w:top w:val="none" w:sz="0" w:space="0" w:color="auto"/>
            <w:left w:val="none" w:sz="0" w:space="0" w:color="auto"/>
            <w:bottom w:val="none" w:sz="0" w:space="0" w:color="auto"/>
            <w:right w:val="none" w:sz="0" w:space="0" w:color="auto"/>
          </w:divBdr>
        </w:div>
        <w:div w:id="528689424">
          <w:marLeft w:val="640"/>
          <w:marRight w:val="0"/>
          <w:marTop w:val="0"/>
          <w:marBottom w:val="0"/>
          <w:divBdr>
            <w:top w:val="none" w:sz="0" w:space="0" w:color="auto"/>
            <w:left w:val="none" w:sz="0" w:space="0" w:color="auto"/>
            <w:bottom w:val="none" w:sz="0" w:space="0" w:color="auto"/>
            <w:right w:val="none" w:sz="0" w:space="0" w:color="auto"/>
          </w:divBdr>
        </w:div>
        <w:div w:id="1497843614">
          <w:marLeft w:val="640"/>
          <w:marRight w:val="0"/>
          <w:marTop w:val="0"/>
          <w:marBottom w:val="0"/>
          <w:divBdr>
            <w:top w:val="none" w:sz="0" w:space="0" w:color="auto"/>
            <w:left w:val="none" w:sz="0" w:space="0" w:color="auto"/>
            <w:bottom w:val="none" w:sz="0" w:space="0" w:color="auto"/>
            <w:right w:val="none" w:sz="0" w:space="0" w:color="auto"/>
          </w:divBdr>
        </w:div>
        <w:div w:id="448857430">
          <w:marLeft w:val="640"/>
          <w:marRight w:val="0"/>
          <w:marTop w:val="0"/>
          <w:marBottom w:val="0"/>
          <w:divBdr>
            <w:top w:val="none" w:sz="0" w:space="0" w:color="auto"/>
            <w:left w:val="none" w:sz="0" w:space="0" w:color="auto"/>
            <w:bottom w:val="none" w:sz="0" w:space="0" w:color="auto"/>
            <w:right w:val="none" w:sz="0" w:space="0" w:color="auto"/>
          </w:divBdr>
        </w:div>
        <w:div w:id="1300719288">
          <w:marLeft w:val="640"/>
          <w:marRight w:val="0"/>
          <w:marTop w:val="0"/>
          <w:marBottom w:val="0"/>
          <w:divBdr>
            <w:top w:val="none" w:sz="0" w:space="0" w:color="auto"/>
            <w:left w:val="none" w:sz="0" w:space="0" w:color="auto"/>
            <w:bottom w:val="none" w:sz="0" w:space="0" w:color="auto"/>
            <w:right w:val="none" w:sz="0" w:space="0" w:color="auto"/>
          </w:divBdr>
        </w:div>
        <w:div w:id="972560154">
          <w:marLeft w:val="640"/>
          <w:marRight w:val="0"/>
          <w:marTop w:val="0"/>
          <w:marBottom w:val="0"/>
          <w:divBdr>
            <w:top w:val="none" w:sz="0" w:space="0" w:color="auto"/>
            <w:left w:val="none" w:sz="0" w:space="0" w:color="auto"/>
            <w:bottom w:val="none" w:sz="0" w:space="0" w:color="auto"/>
            <w:right w:val="none" w:sz="0" w:space="0" w:color="auto"/>
          </w:divBdr>
        </w:div>
        <w:div w:id="1036809145">
          <w:marLeft w:val="640"/>
          <w:marRight w:val="0"/>
          <w:marTop w:val="0"/>
          <w:marBottom w:val="0"/>
          <w:divBdr>
            <w:top w:val="none" w:sz="0" w:space="0" w:color="auto"/>
            <w:left w:val="none" w:sz="0" w:space="0" w:color="auto"/>
            <w:bottom w:val="none" w:sz="0" w:space="0" w:color="auto"/>
            <w:right w:val="none" w:sz="0" w:space="0" w:color="auto"/>
          </w:divBdr>
        </w:div>
        <w:div w:id="956108674">
          <w:marLeft w:val="640"/>
          <w:marRight w:val="0"/>
          <w:marTop w:val="0"/>
          <w:marBottom w:val="0"/>
          <w:divBdr>
            <w:top w:val="none" w:sz="0" w:space="0" w:color="auto"/>
            <w:left w:val="none" w:sz="0" w:space="0" w:color="auto"/>
            <w:bottom w:val="none" w:sz="0" w:space="0" w:color="auto"/>
            <w:right w:val="none" w:sz="0" w:space="0" w:color="auto"/>
          </w:divBdr>
        </w:div>
        <w:div w:id="1845319170">
          <w:marLeft w:val="640"/>
          <w:marRight w:val="0"/>
          <w:marTop w:val="0"/>
          <w:marBottom w:val="0"/>
          <w:divBdr>
            <w:top w:val="none" w:sz="0" w:space="0" w:color="auto"/>
            <w:left w:val="none" w:sz="0" w:space="0" w:color="auto"/>
            <w:bottom w:val="none" w:sz="0" w:space="0" w:color="auto"/>
            <w:right w:val="none" w:sz="0" w:space="0" w:color="auto"/>
          </w:divBdr>
        </w:div>
        <w:div w:id="968125292">
          <w:marLeft w:val="640"/>
          <w:marRight w:val="0"/>
          <w:marTop w:val="0"/>
          <w:marBottom w:val="0"/>
          <w:divBdr>
            <w:top w:val="none" w:sz="0" w:space="0" w:color="auto"/>
            <w:left w:val="none" w:sz="0" w:space="0" w:color="auto"/>
            <w:bottom w:val="none" w:sz="0" w:space="0" w:color="auto"/>
            <w:right w:val="none" w:sz="0" w:space="0" w:color="auto"/>
          </w:divBdr>
        </w:div>
        <w:div w:id="713195166">
          <w:marLeft w:val="640"/>
          <w:marRight w:val="0"/>
          <w:marTop w:val="0"/>
          <w:marBottom w:val="0"/>
          <w:divBdr>
            <w:top w:val="none" w:sz="0" w:space="0" w:color="auto"/>
            <w:left w:val="none" w:sz="0" w:space="0" w:color="auto"/>
            <w:bottom w:val="none" w:sz="0" w:space="0" w:color="auto"/>
            <w:right w:val="none" w:sz="0" w:space="0" w:color="auto"/>
          </w:divBdr>
        </w:div>
        <w:div w:id="661809323">
          <w:marLeft w:val="640"/>
          <w:marRight w:val="0"/>
          <w:marTop w:val="0"/>
          <w:marBottom w:val="0"/>
          <w:divBdr>
            <w:top w:val="none" w:sz="0" w:space="0" w:color="auto"/>
            <w:left w:val="none" w:sz="0" w:space="0" w:color="auto"/>
            <w:bottom w:val="none" w:sz="0" w:space="0" w:color="auto"/>
            <w:right w:val="none" w:sz="0" w:space="0" w:color="auto"/>
          </w:divBdr>
        </w:div>
        <w:div w:id="375204555">
          <w:marLeft w:val="640"/>
          <w:marRight w:val="0"/>
          <w:marTop w:val="0"/>
          <w:marBottom w:val="0"/>
          <w:divBdr>
            <w:top w:val="none" w:sz="0" w:space="0" w:color="auto"/>
            <w:left w:val="none" w:sz="0" w:space="0" w:color="auto"/>
            <w:bottom w:val="none" w:sz="0" w:space="0" w:color="auto"/>
            <w:right w:val="none" w:sz="0" w:space="0" w:color="auto"/>
          </w:divBdr>
        </w:div>
        <w:div w:id="1153764577">
          <w:marLeft w:val="640"/>
          <w:marRight w:val="0"/>
          <w:marTop w:val="0"/>
          <w:marBottom w:val="0"/>
          <w:divBdr>
            <w:top w:val="none" w:sz="0" w:space="0" w:color="auto"/>
            <w:left w:val="none" w:sz="0" w:space="0" w:color="auto"/>
            <w:bottom w:val="none" w:sz="0" w:space="0" w:color="auto"/>
            <w:right w:val="none" w:sz="0" w:space="0" w:color="auto"/>
          </w:divBdr>
        </w:div>
        <w:div w:id="757825426">
          <w:marLeft w:val="640"/>
          <w:marRight w:val="0"/>
          <w:marTop w:val="0"/>
          <w:marBottom w:val="0"/>
          <w:divBdr>
            <w:top w:val="none" w:sz="0" w:space="0" w:color="auto"/>
            <w:left w:val="none" w:sz="0" w:space="0" w:color="auto"/>
            <w:bottom w:val="none" w:sz="0" w:space="0" w:color="auto"/>
            <w:right w:val="none" w:sz="0" w:space="0" w:color="auto"/>
          </w:divBdr>
        </w:div>
        <w:div w:id="1075472372">
          <w:marLeft w:val="640"/>
          <w:marRight w:val="0"/>
          <w:marTop w:val="0"/>
          <w:marBottom w:val="0"/>
          <w:divBdr>
            <w:top w:val="none" w:sz="0" w:space="0" w:color="auto"/>
            <w:left w:val="none" w:sz="0" w:space="0" w:color="auto"/>
            <w:bottom w:val="none" w:sz="0" w:space="0" w:color="auto"/>
            <w:right w:val="none" w:sz="0" w:space="0" w:color="auto"/>
          </w:divBdr>
        </w:div>
        <w:div w:id="590625415">
          <w:marLeft w:val="640"/>
          <w:marRight w:val="0"/>
          <w:marTop w:val="0"/>
          <w:marBottom w:val="0"/>
          <w:divBdr>
            <w:top w:val="none" w:sz="0" w:space="0" w:color="auto"/>
            <w:left w:val="none" w:sz="0" w:space="0" w:color="auto"/>
            <w:bottom w:val="none" w:sz="0" w:space="0" w:color="auto"/>
            <w:right w:val="none" w:sz="0" w:space="0" w:color="auto"/>
          </w:divBdr>
        </w:div>
        <w:div w:id="1452749307">
          <w:marLeft w:val="640"/>
          <w:marRight w:val="0"/>
          <w:marTop w:val="0"/>
          <w:marBottom w:val="0"/>
          <w:divBdr>
            <w:top w:val="none" w:sz="0" w:space="0" w:color="auto"/>
            <w:left w:val="none" w:sz="0" w:space="0" w:color="auto"/>
            <w:bottom w:val="none" w:sz="0" w:space="0" w:color="auto"/>
            <w:right w:val="none" w:sz="0" w:space="0" w:color="auto"/>
          </w:divBdr>
        </w:div>
        <w:div w:id="2010055600">
          <w:marLeft w:val="640"/>
          <w:marRight w:val="0"/>
          <w:marTop w:val="0"/>
          <w:marBottom w:val="0"/>
          <w:divBdr>
            <w:top w:val="none" w:sz="0" w:space="0" w:color="auto"/>
            <w:left w:val="none" w:sz="0" w:space="0" w:color="auto"/>
            <w:bottom w:val="none" w:sz="0" w:space="0" w:color="auto"/>
            <w:right w:val="none" w:sz="0" w:space="0" w:color="auto"/>
          </w:divBdr>
        </w:div>
        <w:div w:id="1911504381">
          <w:marLeft w:val="640"/>
          <w:marRight w:val="0"/>
          <w:marTop w:val="0"/>
          <w:marBottom w:val="0"/>
          <w:divBdr>
            <w:top w:val="none" w:sz="0" w:space="0" w:color="auto"/>
            <w:left w:val="none" w:sz="0" w:space="0" w:color="auto"/>
            <w:bottom w:val="none" w:sz="0" w:space="0" w:color="auto"/>
            <w:right w:val="none" w:sz="0" w:space="0" w:color="auto"/>
          </w:divBdr>
        </w:div>
        <w:div w:id="623728575">
          <w:marLeft w:val="640"/>
          <w:marRight w:val="0"/>
          <w:marTop w:val="0"/>
          <w:marBottom w:val="0"/>
          <w:divBdr>
            <w:top w:val="none" w:sz="0" w:space="0" w:color="auto"/>
            <w:left w:val="none" w:sz="0" w:space="0" w:color="auto"/>
            <w:bottom w:val="none" w:sz="0" w:space="0" w:color="auto"/>
            <w:right w:val="none" w:sz="0" w:space="0" w:color="auto"/>
          </w:divBdr>
        </w:div>
        <w:div w:id="1610819856">
          <w:marLeft w:val="640"/>
          <w:marRight w:val="0"/>
          <w:marTop w:val="0"/>
          <w:marBottom w:val="0"/>
          <w:divBdr>
            <w:top w:val="none" w:sz="0" w:space="0" w:color="auto"/>
            <w:left w:val="none" w:sz="0" w:space="0" w:color="auto"/>
            <w:bottom w:val="none" w:sz="0" w:space="0" w:color="auto"/>
            <w:right w:val="none" w:sz="0" w:space="0" w:color="auto"/>
          </w:divBdr>
        </w:div>
        <w:div w:id="1671987016">
          <w:marLeft w:val="640"/>
          <w:marRight w:val="0"/>
          <w:marTop w:val="0"/>
          <w:marBottom w:val="0"/>
          <w:divBdr>
            <w:top w:val="none" w:sz="0" w:space="0" w:color="auto"/>
            <w:left w:val="none" w:sz="0" w:space="0" w:color="auto"/>
            <w:bottom w:val="none" w:sz="0" w:space="0" w:color="auto"/>
            <w:right w:val="none" w:sz="0" w:space="0" w:color="auto"/>
          </w:divBdr>
        </w:div>
        <w:div w:id="724451965">
          <w:marLeft w:val="640"/>
          <w:marRight w:val="0"/>
          <w:marTop w:val="0"/>
          <w:marBottom w:val="0"/>
          <w:divBdr>
            <w:top w:val="none" w:sz="0" w:space="0" w:color="auto"/>
            <w:left w:val="none" w:sz="0" w:space="0" w:color="auto"/>
            <w:bottom w:val="none" w:sz="0" w:space="0" w:color="auto"/>
            <w:right w:val="none" w:sz="0" w:space="0" w:color="auto"/>
          </w:divBdr>
        </w:div>
        <w:div w:id="1298220416">
          <w:marLeft w:val="640"/>
          <w:marRight w:val="0"/>
          <w:marTop w:val="0"/>
          <w:marBottom w:val="0"/>
          <w:divBdr>
            <w:top w:val="none" w:sz="0" w:space="0" w:color="auto"/>
            <w:left w:val="none" w:sz="0" w:space="0" w:color="auto"/>
            <w:bottom w:val="none" w:sz="0" w:space="0" w:color="auto"/>
            <w:right w:val="none" w:sz="0" w:space="0" w:color="auto"/>
          </w:divBdr>
        </w:div>
        <w:div w:id="1833834769">
          <w:marLeft w:val="640"/>
          <w:marRight w:val="0"/>
          <w:marTop w:val="0"/>
          <w:marBottom w:val="0"/>
          <w:divBdr>
            <w:top w:val="none" w:sz="0" w:space="0" w:color="auto"/>
            <w:left w:val="none" w:sz="0" w:space="0" w:color="auto"/>
            <w:bottom w:val="none" w:sz="0" w:space="0" w:color="auto"/>
            <w:right w:val="none" w:sz="0" w:space="0" w:color="auto"/>
          </w:divBdr>
        </w:div>
        <w:div w:id="601302151">
          <w:marLeft w:val="640"/>
          <w:marRight w:val="0"/>
          <w:marTop w:val="0"/>
          <w:marBottom w:val="0"/>
          <w:divBdr>
            <w:top w:val="none" w:sz="0" w:space="0" w:color="auto"/>
            <w:left w:val="none" w:sz="0" w:space="0" w:color="auto"/>
            <w:bottom w:val="none" w:sz="0" w:space="0" w:color="auto"/>
            <w:right w:val="none" w:sz="0" w:space="0" w:color="auto"/>
          </w:divBdr>
        </w:div>
        <w:div w:id="1821844791">
          <w:marLeft w:val="640"/>
          <w:marRight w:val="0"/>
          <w:marTop w:val="0"/>
          <w:marBottom w:val="0"/>
          <w:divBdr>
            <w:top w:val="none" w:sz="0" w:space="0" w:color="auto"/>
            <w:left w:val="none" w:sz="0" w:space="0" w:color="auto"/>
            <w:bottom w:val="none" w:sz="0" w:space="0" w:color="auto"/>
            <w:right w:val="none" w:sz="0" w:space="0" w:color="auto"/>
          </w:divBdr>
        </w:div>
        <w:div w:id="1025403212">
          <w:marLeft w:val="640"/>
          <w:marRight w:val="0"/>
          <w:marTop w:val="0"/>
          <w:marBottom w:val="0"/>
          <w:divBdr>
            <w:top w:val="none" w:sz="0" w:space="0" w:color="auto"/>
            <w:left w:val="none" w:sz="0" w:space="0" w:color="auto"/>
            <w:bottom w:val="none" w:sz="0" w:space="0" w:color="auto"/>
            <w:right w:val="none" w:sz="0" w:space="0" w:color="auto"/>
          </w:divBdr>
        </w:div>
        <w:div w:id="938099477">
          <w:marLeft w:val="640"/>
          <w:marRight w:val="0"/>
          <w:marTop w:val="0"/>
          <w:marBottom w:val="0"/>
          <w:divBdr>
            <w:top w:val="none" w:sz="0" w:space="0" w:color="auto"/>
            <w:left w:val="none" w:sz="0" w:space="0" w:color="auto"/>
            <w:bottom w:val="none" w:sz="0" w:space="0" w:color="auto"/>
            <w:right w:val="none" w:sz="0" w:space="0" w:color="auto"/>
          </w:divBdr>
        </w:div>
        <w:div w:id="600839836">
          <w:marLeft w:val="640"/>
          <w:marRight w:val="0"/>
          <w:marTop w:val="0"/>
          <w:marBottom w:val="0"/>
          <w:divBdr>
            <w:top w:val="none" w:sz="0" w:space="0" w:color="auto"/>
            <w:left w:val="none" w:sz="0" w:space="0" w:color="auto"/>
            <w:bottom w:val="none" w:sz="0" w:space="0" w:color="auto"/>
            <w:right w:val="none" w:sz="0" w:space="0" w:color="auto"/>
          </w:divBdr>
        </w:div>
        <w:div w:id="1750498067">
          <w:marLeft w:val="640"/>
          <w:marRight w:val="0"/>
          <w:marTop w:val="0"/>
          <w:marBottom w:val="0"/>
          <w:divBdr>
            <w:top w:val="none" w:sz="0" w:space="0" w:color="auto"/>
            <w:left w:val="none" w:sz="0" w:space="0" w:color="auto"/>
            <w:bottom w:val="none" w:sz="0" w:space="0" w:color="auto"/>
            <w:right w:val="none" w:sz="0" w:space="0" w:color="auto"/>
          </w:divBdr>
        </w:div>
        <w:div w:id="839540228">
          <w:marLeft w:val="640"/>
          <w:marRight w:val="0"/>
          <w:marTop w:val="0"/>
          <w:marBottom w:val="0"/>
          <w:divBdr>
            <w:top w:val="none" w:sz="0" w:space="0" w:color="auto"/>
            <w:left w:val="none" w:sz="0" w:space="0" w:color="auto"/>
            <w:bottom w:val="none" w:sz="0" w:space="0" w:color="auto"/>
            <w:right w:val="none" w:sz="0" w:space="0" w:color="auto"/>
          </w:divBdr>
        </w:div>
        <w:div w:id="1633901811">
          <w:marLeft w:val="640"/>
          <w:marRight w:val="0"/>
          <w:marTop w:val="0"/>
          <w:marBottom w:val="0"/>
          <w:divBdr>
            <w:top w:val="none" w:sz="0" w:space="0" w:color="auto"/>
            <w:left w:val="none" w:sz="0" w:space="0" w:color="auto"/>
            <w:bottom w:val="none" w:sz="0" w:space="0" w:color="auto"/>
            <w:right w:val="none" w:sz="0" w:space="0" w:color="auto"/>
          </w:divBdr>
        </w:div>
        <w:div w:id="1851411849">
          <w:marLeft w:val="640"/>
          <w:marRight w:val="0"/>
          <w:marTop w:val="0"/>
          <w:marBottom w:val="0"/>
          <w:divBdr>
            <w:top w:val="none" w:sz="0" w:space="0" w:color="auto"/>
            <w:left w:val="none" w:sz="0" w:space="0" w:color="auto"/>
            <w:bottom w:val="none" w:sz="0" w:space="0" w:color="auto"/>
            <w:right w:val="none" w:sz="0" w:space="0" w:color="auto"/>
          </w:divBdr>
        </w:div>
        <w:div w:id="676736624">
          <w:marLeft w:val="640"/>
          <w:marRight w:val="0"/>
          <w:marTop w:val="0"/>
          <w:marBottom w:val="0"/>
          <w:divBdr>
            <w:top w:val="none" w:sz="0" w:space="0" w:color="auto"/>
            <w:left w:val="none" w:sz="0" w:space="0" w:color="auto"/>
            <w:bottom w:val="none" w:sz="0" w:space="0" w:color="auto"/>
            <w:right w:val="none" w:sz="0" w:space="0" w:color="auto"/>
          </w:divBdr>
        </w:div>
        <w:div w:id="250164593">
          <w:marLeft w:val="640"/>
          <w:marRight w:val="0"/>
          <w:marTop w:val="0"/>
          <w:marBottom w:val="0"/>
          <w:divBdr>
            <w:top w:val="none" w:sz="0" w:space="0" w:color="auto"/>
            <w:left w:val="none" w:sz="0" w:space="0" w:color="auto"/>
            <w:bottom w:val="none" w:sz="0" w:space="0" w:color="auto"/>
            <w:right w:val="none" w:sz="0" w:space="0" w:color="auto"/>
          </w:divBdr>
        </w:div>
        <w:div w:id="1043477421">
          <w:marLeft w:val="640"/>
          <w:marRight w:val="0"/>
          <w:marTop w:val="0"/>
          <w:marBottom w:val="0"/>
          <w:divBdr>
            <w:top w:val="none" w:sz="0" w:space="0" w:color="auto"/>
            <w:left w:val="none" w:sz="0" w:space="0" w:color="auto"/>
            <w:bottom w:val="none" w:sz="0" w:space="0" w:color="auto"/>
            <w:right w:val="none" w:sz="0" w:space="0" w:color="auto"/>
          </w:divBdr>
        </w:div>
        <w:div w:id="173300345">
          <w:marLeft w:val="640"/>
          <w:marRight w:val="0"/>
          <w:marTop w:val="0"/>
          <w:marBottom w:val="0"/>
          <w:divBdr>
            <w:top w:val="none" w:sz="0" w:space="0" w:color="auto"/>
            <w:left w:val="none" w:sz="0" w:space="0" w:color="auto"/>
            <w:bottom w:val="none" w:sz="0" w:space="0" w:color="auto"/>
            <w:right w:val="none" w:sz="0" w:space="0" w:color="auto"/>
          </w:divBdr>
        </w:div>
        <w:div w:id="1840920943">
          <w:marLeft w:val="640"/>
          <w:marRight w:val="0"/>
          <w:marTop w:val="0"/>
          <w:marBottom w:val="0"/>
          <w:divBdr>
            <w:top w:val="none" w:sz="0" w:space="0" w:color="auto"/>
            <w:left w:val="none" w:sz="0" w:space="0" w:color="auto"/>
            <w:bottom w:val="none" w:sz="0" w:space="0" w:color="auto"/>
            <w:right w:val="none" w:sz="0" w:space="0" w:color="auto"/>
          </w:divBdr>
        </w:div>
        <w:div w:id="1943341167">
          <w:marLeft w:val="640"/>
          <w:marRight w:val="0"/>
          <w:marTop w:val="0"/>
          <w:marBottom w:val="0"/>
          <w:divBdr>
            <w:top w:val="none" w:sz="0" w:space="0" w:color="auto"/>
            <w:left w:val="none" w:sz="0" w:space="0" w:color="auto"/>
            <w:bottom w:val="none" w:sz="0" w:space="0" w:color="auto"/>
            <w:right w:val="none" w:sz="0" w:space="0" w:color="auto"/>
          </w:divBdr>
        </w:div>
      </w:divsChild>
    </w:div>
    <w:div w:id="410741477">
      <w:bodyDiv w:val="1"/>
      <w:marLeft w:val="0"/>
      <w:marRight w:val="0"/>
      <w:marTop w:val="0"/>
      <w:marBottom w:val="0"/>
      <w:divBdr>
        <w:top w:val="none" w:sz="0" w:space="0" w:color="auto"/>
        <w:left w:val="none" w:sz="0" w:space="0" w:color="auto"/>
        <w:bottom w:val="none" w:sz="0" w:space="0" w:color="auto"/>
        <w:right w:val="none" w:sz="0" w:space="0" w:color="auto"/>
      </w:divBdr>
    </w:div>
    <w:div w:id="412048277">
      <w:bodyDiv w:val="1"/>
      <w:marLeft w:val="0"/>
      <w:marRight w:val="0"/>
      <w:marTop w:val="0"/>
      <w:marBottom w:val="0"/>
      <w:divBdr>
        <w:top w:val="none" w:sz="0" w:space="0" w:color="auto"/>
        <w:left w:val="none" w:sz="0" w:space="0" w:color="auto"/>
        <w:bottom w:val="none" w:sz="0" w:space="0" w:color="auto"/>
        <w:right w:val="none" w:sz="0" w:space="0" w:color="auto"/>
      </w:divBdr>
    </w:div>
    <w:div w:id="412554531">
      <w:bodyDiv w:val="1"/>
      <w:marLeft w:val="0"/>
      <w:marRight w:val="0"/>
      <w:marTop w:val="0"/>
      <w:marBottom w:val="0"/>
      <w:divBdr>
        <w:top w:val="none" w:sz="0" w:space="0" w:color="auto"/>
        <w:left w:val="none" w:sz="0" w:space="0" w:color="auto"/>
        <w:bottom w:val="none" w:sz="0" w:space="0" w:color="auto"/>
        <w:right w:val="none" w:sz="0" w:space="0" w:color="auto"/>
      </w:divBdr>
    </w:div>
    <w:div w:id="412817897">
      <w:bodyDiv w:val="1"/>
      <w:marLeft w:val="0"/>
      <w:marRight w:val="0"/>
      <w:marTop w:val="0"/>
      <w:marBottom w:val="0"/>
      <w:divBdr>
        <w:top w:val="none" w:sz="0" w:space="0" w:color="auto"/>
        <w:left w:val="none" w:sz="0" w:space="0" w:color="auto"/>
        <w:bottom w:val="none" w:sz="0" w:space="0" w:color="auto"/>
        <w:right w:val="none" w:sz="0" w:space="0" w:color="auto"/>
      </w:divBdr>
      <w:divsChild>
        <w:div w:id="1199972007">
          <w:marLeft w:val="640"/>
          <w:marRight w:val="0"/>
          <w:marTop w:val="0"/>
          <w:marBottom w:val="0"/>
          <w:divBdr>
            <w:top w:val="none" w:sz="0" w:space="0" w:color="auto"/>
            <w:left w:val="none" w:sz="0" w:space="0" w:color="auto"/>
            <w:bottom w:val="none" w:sz="0" w:space="0" w:color="auto"/>
            <w:right w:val="none" w:sz="0" w:space="0" w:color="auto"/>
          </w:divBdr>
        </w:div>
        <w:div w:id="2141338375">
          <w:marLeft w:val="640"/>
          <w:marRight w:val="0"/>
          <w:marTop w:val="0"/>
          <w:marBottom w:val="0"/>
          <w:divBdr>
            <w:top w:val="none" w:sz="0" w:space="0" w:color="auto"/>
            <w:left w:val="none" w:sz="0" w:space="0" w:color="auto"/>
            <w:bottom w:val="none" w:sz="0" w:space="0" w:color="auto"/>
            <w:right w:val="none" w:sz="0" w:space="0" w:color="auto"/>
          </w:divBdr>
        </w:div>
        <w:div w:id="451822115">
          <w:marLeft w:val="640"/>
          <w:marRight w:val="0"/>
          <w:marTop w:val="0"/>
          <w:marBottom w:val="0"/>
          <w:divBdr>
            <w:top w:val="none" w:sz="0" w:space="0" w:color="auto"/>
            <w:left w:val="none" w:sz="0" w:space="0" w:color="auto"/>
            <w:bottom w:val="none" w:sz="0" w:space="0" w:color="auto"/>
            <w:right w:val="none" w:sz="0" w:space="0" w:color="auto"/>
          </w:divBdr>
        </w:div>
        <w:div w:id="1424645938">
          <w:marLeft w:val="640"/>
          <w:marRight w:val="0"/>
          <w:marTop w:val="0"/>
          <w:marBottom w:val="0"/>
          <w:divBdr>
            <w:top w:val="none" w:sz="0" w:space="0" w:color="auto"/>
            <w:left w:val="none" w:sz="0" w:space="0" w:color="auto"/>
            <w:bottom w:val="none" w:sz="0" w:space="0" w:color="auto"/>
            <w:right w:val="none" w:sz="0" w:space="0" w:color="auto"/>
          </w:divBdr>
        </w:div>
        <w:div w:id="826944800">
          <w:marLeft w:val="640"/>
          <w:marRight w:val="0"/>
          <w:marTop w:val="0"/>
          <w:marBottom w:val="0"/>
          <w:divBdr>
            <w:top w:val="none" w:sz="0" w:space="0" w:color="auto"/>
            <w:left w:val="none" w:sz="0" w:space="0" w:color="auto"/>
            <w:bottom w:val="none" w:sz="0" w:space="0" w:color="auto"/>
            <w:right w:val="none" w:sz="0" w:space="0" w:color="auto"/>
          </w:divBdr>
        </w:div>
        <w:div w:id="1094008171">
          <w:marLeft w:val="640"/>
          <w:marRight w:val="0"/>
          <w:marTop w:val="0"/>
          <w:marBottom w:val="0"/>
          <w:divBdr>
            <w:top w:val="none" w:sz="0" w:space="0" w:color="auto"/>
            <w:left w:val="none" w:sz="0" w:space="0" w:color="auto"/>
            <w:bottom w:val="none" w:sz="0" w:space="0" w:color="auto"/>
            <w:right w:val="none" w:sz="0" w:space="0" w:color="auto"/>
          </w:divBdr>
        </w:div>
        <w:div w:id="1366323885">
          <w:marLeft w:val="640"/>
          <w:marRight w:val="0"/>
          <w:marTop w:val="0"/>
          <w:marBottom w:val="0"/>
          <w:divBdr>
            <w:top w:val="none" w:sz="0" w:space="0" w:color="auto"/>
            <w:left w:val="none" w:sz="0" w:space="0" w:color="auto"/>
            <w:bottom w:val="none" w:sz="0" w:space="0" w:color="auto"/>
            <w:right w:val="none" w:sz="0" w:space="0" w:color="auto"/>
          </w:divBdr>
        </w:div>
        <w:div w:id="140121112">
          <w:marLeft w:val="640"/>
          <w:marRight w:val="0"/>
          <w:marTop w:val="0"/>
          <w:marBottom w:val="0"/>
          <w:divBdr>
            <w:top w:val="none" w:sz="0" w:space="0" w:color="auto"/>
            <w:left w:val="none" w:sz="0" w:space="0" w:color="auto"/>
            <w:bottom w:val="none" w:sz="0" w:space="0" w:color="auto"/>
            <w:right w:val="none" w:sz="0" w:space="0" w:color="auto"/>
          </w:divBdr>
        </w:div>
        <w:div w:id="1479495916">
          <w:marLeft w:val="640"/>
          <w:marRight w:val="0"/>
          <w:marTop w:val="0"/>
          <w:marBottom w:val="0"/>
          <w:divBdr>
            <w:top w:val="none" w:sz="0" w:space="0" w:color="auto"/>
            <w:left w:val="none" w:sz="0" w:space="0" w:color="auto"/>
            <w:bottom w:val="none" w:sz="0" w:space="0" w:color="auto"/>
            <w:right w:val="none" w:sz="0" w:space="0" w:color="auto"/>
          </w:divBdr>
        </w:div>
        <w:div w:id="372970388">
          <w:marLeft w:val="640"/>
          <w:marRight w:val="0"/>
          <w:marTop w:val="0"/>
          <w:marBottom w:val="0"/>
          <w:divBdr>
            <w:top w:val="none" w:sz="0" w:space="0" w:color="auto"/>
            <w:left w:val="none" w:sz="0" w:space="0" w:color="auto"/>
            <w:bottom w:val="none" w:sz="0" w:space="0" w:color="auto"/>
            <w:right w:val="none" w:sz="0" w:space="0" w:color="auto"/>
          </w:divBdr>
        </w:div>
        <w:div w:id="501775988">
          <w:marLeft w:val="640"/>
          <w:marRight w:val="0"/>
          <w:marTop w:val="0"/>
          <w:marBottom w:val="0"/>
          <w:divBdr>
            <w:top w:val="none" w:sz="0" w:space="0" w:color="auto"/>
            <w:left w:val="none" w:sz="0" w:space="0" w:color="auto"/>
            <w:bottom w:val="none" w:sz="0" w:space="0" w:color="auto"/>
            <w:right w:val="none" w:sz="0" w:space="0" w:color="auto"/>
          </w:divBdr>
        </w:div>
        <w:div w:id="1404715160">
          <w:marLeft w:val="640"/>
          <w:marRight w:val="0"/>
          <w:marTop w:val="0"/>
          <w:marBottom w:val="0"/>
          <w:divBdr>
            <w:top w:val="none" w:sz="0" w:space="0" w:color="auto"/>
            <w:left w:val="none" w:sz="0" w:space="0" w:color="auto"/>
            <w:bottom w:val="none" w:sz="0" w:space="0" w:color="auto"/>
            <w:right w:val="none" w:sz="0" w:space="0" w:color="auto"/>
          </w:divBdr>
        </w:div>
        <w:div w:id="546793043">
          <w:marLeft w:val="640"/>
          <w:marRight w:val="0"/>
          <w:marTop w:val="0"/>
          <w:marBottom w:val="0"/>
          <w:divBdr>
            <w:top w:val="none" w:sz="0" w:space="0" w:color="auto"/>
            <w:left w:val="none" w:sz="0" w:space="0" w:color="auto"/>
            <w:bottom w:val="none" w:sz="0" w:space="0" w:color="auto"/>
            <w:right w:val="none" w:sz="0" w:space="0" w:color="auto"/>
          </w:divBdr>
        </w:div>
        <w:div w:id="388840707">
          <w:marLeft w:val="640"/>
          <w:marRight w:val="0"/>
          <w:marTop w:val="0"/>
          <w:marBottom w:val="0"/>
          <w:divBdr>
            <w:top w:val="none" w:sz="0" w:space="0" w:color="auto"/>
            <w:left w:val="none" w:sz="0" w:space="0" w:color="auto"/>
            <w:bottom w:val="none" w:sz="0" w:space="0" w:color="auto"/>
            <w:right w:val="none" w:sz="0" w:space="0" w:color="auto"/>
          </w:divBdr>
        </w:div>
        <w:div w:id="1177303219">
          <w:marLeft w:val="640"/>
          <w:marRight w:val="0"/>
          <w:marTop w:val="0"/>
          <w:marBottom w:val="0"/>
          <w:divBdr>
            <w:top w:val="none" w:sz="0" w:space="0" w:color="auto"/>
            <w:left w:val="none" w:sz="0" w:space="0" w:color="auto"/>
            <w:bottom w:val="none" w:sz="0" w:space="0" w:color="auto"/>
            <w:right w:val="none" w:sz="0" w:space="0" w:color="auto"/>
          </w:divBdr>
        </w:div>
        <w:div w:id="1203514761">
          <w:marLeft w:val="640"/>
          <w:marRight w:val="0"/>
          <w:marTop w:val="0"/>
          <w:marBottom w:val="0"/>
          <w:divBdr>
            <w:top w:val="none" w:sz="0" w:space="0" w:color="auto"/>
            <w:left w:val="none" w:sz="0" w:space="0" w:color="auto"/>
            <w:bottom w:val="none" w:sz="0" w:space="0" w:color="auto"/>
            <w:right w:val="none" w:sz="0" w:space="0" w:color="auto"/>
          </w:divBdr>
        </w:div>
        <w:div w:id="1718628591">
          <w:marLeft w:val="640"/>
          <w:marRight w:val="0"/>
          <w:marTop w:val="0"/>
          <w:marBottom w:val="0"/>
          <w:divBdr>
            <w:top w:val="none" w:sz="0" w:space="0" w:color="auto"/>
            <w:left w:val="none" w:sz="0" w:space="0" w:color="auto"/>
            <w:bottom w:val="none" w:sz="0" w:space="0" w:color="auto"/>
            <w:right w:val="none" w:sz="0" w:space="0" w:color="auto"/>
          </w:divBdr>
        </w:div>
        <w:div w:id="1215119947">
          <w:marLeft w:val="640"/>
          <w:marRight w:val="0"/>
          <w:marTop w:val="0"/>
          <w:marBottom w:val="0"/>
          <w:divBdr>
            <w:top w:val="none" w:sz="0" w:space="0" w:color="auto"/>
            <w:left w:val="none" w:sz="0" w:space="0" w:color="auto"/>
            <w:bottom w:val="none" w:sz="0" w:space="0" w:color="auto"/>
            <w:right w:val="none" w:sz="0" w:space="0" w:color="auto"/>
          </w:divBdr>
        </w:div>
        <w:div w:id="1280844357">
          <w:marLeft w:val="640"/>
          <w:marRight w:val="0"/>
          <w:marTop w:val="0"/>
          <w:marBottom w:val="0"/>
          <w:divBdr>
            <w:top w:val="none" w:sz="0" w:space="0" w:color="auto"/>
            <w:left w:val="none" w:sz="0" w:space="0" w:color="auto"/>
            <w:bottom w:val="none" w:sz="0" w:space="0" w:color="auto"/>
            <w:right w:val="none" w:sz="0" w:space="0" w:color="auto"/>
          </w:divBdr>
        </w:div>
        <w:div w:id="948198278">
          <w:marLeft w:val="640"/>
          <w:marRight w:val="0"/>
          <w:marTop w:val="0"/>
          <w:marBottom w:val="0"/>
          <w:divBdr>
            <w:top w:val="none" w:sz="0" w:space="0" w:color="auto"/>
            <w:left w:val="none" w:sz="0" w:space="0" w:color="auto"/>
            <w:bottom w:val="none" w:sz="0" w:space="0" w:color="auto"/>
            <w:right w:val="none" w:sz="0" w:space="0" w:color="auto"/>
          </w:divBdr>
        </w:div>
        <w:div w:id="1097016411">
          <w:marLeft w:val="640"/>
          <w:marRight w:val="0"/>
          <w:marTop w:val="0"/>
          <w:marBottom w:val="0"/>
          <w:divBdr>
            <w:top w:val="none" w:sz="0" w:space="0" w:color="auto"/>
            <w:left w:val="none" w:sz="0" w:space="0" w:color="auto"/>
            <w:bottom w:val="none" w:sz="0" w:space="0" w:color="auto"/>
            <w:right w:val="none" w:sz="0" w:space="0" w:color="auto"/>
          </w:divBdr>
        </w:div>
        <w:div w:id="1091779975">
          <w:marLeft w:val="640"/>
          <w:marRight w:val="0"/>
          <w:marTop w:val="0"/>
          <w:marBottom w:val="0"/>
          <w:divBdr>
            <w:top w:val="none" w:sz="0" w:space="0" w:color="auto"/>
            <w:left w:val="none" w:sz="0" w:space="0" w:color="auto"/>
            <w:bottom w:val="none" w:sz="0" w:space="0" w:color="auto"/>
            <w:right w:val="none" w:sz="0" w:space="0" w:color="auto"/>
          </w:divBdr>
        </w:div>
        <w:div w:id="15664802">
          <w:marLeft w:val="640"/>
          <w:marRight w:val="0"/>
          <w:marTop w:val="0"/>
          <w:marBottom w:val="0"/>
          <w:divBdr>
            <w:top w:val="none" w:sz="0" w:space="0" w:color="auto"/>
            <w:left w:val="none" w:sz="0" w:space="0" w:color="auto"/>
            <w:bottom w:val="none" w:sz="0" w:space="0" w:color="auto"/>
            <w:right w:val="none" w:sz="0" w:space="0" w:color="auto"/>
          </w:divBdr>
        </w:div>
        <w:div w:id="3094883">
          <w:marLeft w:val="640"/>
          <w:marRight w:val="0"/>
          <w:marTop w:val="0"/>
          <w:marBottom w:val="0"/>
          <w:divBdr>
            <w:top w:val="none" w:sz="0" w:space="0" w:color="auto"/>
            <w:left w:val="none" w:sz="0" w:space="0" w:color="auto"/>
            <w:bottom w:val="none" w:sz="0" w:space="0" w:color="auto"/>
            <w:right w:val="none" w:sz="0" w:space="0" w:color="auto"/>
          </w:divBdr>
        </w:div>
        <w:div w:id="683672878">
          <w:marLeft w:val="640"/>
          <w:marRight w:val="0"/>
          <w:marTop w:val="0"/>
          <w:marBottom w:val="0"/>
          <w:divBdr>
            <w:top w:val="none" w:sz="0" w:space="0" w:color="auto"/>
            <w:left w:val="none" w:sz="0" w:space="0" w:color="auto"/>
            <w:bottom w:val="none" w:sz="0" w:space="0" w:color="auto"/>
            <w:right w:val="none" w:sz="0" w:space="0" w:color="auto"/>
          </w:divBdr>
        </w:div>
        <w:div w:id="822165680">
          <w:marLeft w:val="640"/>
          <w:marRight w:val="0"/>
          <w:marTop w:val="0"/>
          <w:marBottom w:val="0"/>
          <w:divBdr>
            <w:top w:val="none" w:sz="0" w:space="0" w:color="auto"/>
            <w:left w:val="none" w:sz="0" w:space="0" w:color="auto"/>
            <w:bottom w:val="none" w:sz="0" w:space="0" w:color="auto"/>
            <w:right w:val="none" w:sz="0" w:space="0" w:color="auto"/>
          </w:divBdr>
        </w:div>
        <w:div w:id="1274702421">
          <w:marLeft w:val="640"/>
          <w:marRight w:val="0"/>
          <w:marTop w:val="0"/>
          <w:marBottom w:val="0"/>
          <w:divBdr>
            <w:top w:val="none" w:sz="0" w:space="0" w:color="auto"/>
            <w:left w:val="none" w:sz="0" w:space="0" w:color="auto"/>
            <w:bottom w:val="none" w:sz="0" w:space="0" w:color="auto"/>
            <w:right w:val="none" w:sz="0" w:space="0" w:color="auto"/>
          </w:divBdr>
        </w:div>
        <w:div w:id="1903639615">
          <w:marLeft w:val="640"/>
          <w:marRight w:val="0"/>
          <w:marTop w:val="0"/>
          <w:marBottom w:val="0"/>
          <w:divBdr>
            <w:top w:val="none" w:sz="0" w:space="0" w:color="auto"/>
            <w:left w:val="none" w:sz="0" w:space="0" w:color="auto"/>
            <w:bottom w:val="none" w:sz="0" w:space="0" w:color="auto"/>
            <w:right w:val="none" w:sz="0" w:space="0" w:color="auto"/>
          </w:divBdr>
        </w:div>
        <w:div w:id="1416246398">
          <w:marLeft w:val="640"/>
          <w:marRight w:val="0"/>
          <w:marTop w:val="0"/>
          <w:marBottom w:val="0"/>
          <w:divBdr>
            <w:top w:val="none" w:sz="0" w:space="0" w:color="auto"/>
            <w:left w:val="none" w:sz="0" w:space="0" w:color="auto"/>
            <w:bottom w:val="none" w:sz="0" w:space="0" w:color="auto"/>
            <w:right w:val="none" w:sz="0" w:space="0" w:color="auto"/>
          </w:divBdr>
        </w:div>
        <w:div w:id="1733195607">
          <w:marLeft w:val="640"/>
          <w:marRight w:val="0"/>
          <w:marTop w:val="0"/>
          <w:marBottom w:val="0"/>
          <w:divBdr>
            <w:top w:val="none" w:sz="0" w:space="0" w:color="auto"/>
            <w:left w:val="none" w:sz="0" w:space="0" w:color="auto"/>
            <w:bottom w:val="none" w:sz="0" w:space="0" w:color="auto"/>
            <w:right w:val="none" w:sz="0" w:space="0" w:color="auto"/>
          </w:divBdr>
        </w:div>
        <w:div w:id="1614049443">
          <w:marLeft w:val="640"/>
          <w:marRight w:val="0"/>
          <w:marTop w:val="0"/>
          <w:marBottom w:val="0"/>
          <w:divBdr>
            <w:top w:val="none" w:sz="0" w:space="0" w:color="auto"/>
            <w:left w:val="none" w:sz="0" w:space="0" w:color="auto"/>
            <w:bottom w:val="none" w:sz="0" w:space="0" w:color="auto"/>
            <w:right w:val="none" w:sz="0" w:space="0" w:color="auto"/>
          </w:divBdr>
        </w:div>
        <w:div w:id="1299728982">
          <w:marLeft w:val="640"/>
          <w:marRight w:val="0"/>
          <w:marTop w:val="0"/>
          <w:marBottom w:val="0"/>
          <w:divBdr>
            <w:top w:val="none" w:sz="0" w:space="0" w:color="auto"/>
            <w:left w:val="none" w:sz="0" w:space="0" w:color="auto"/>
            <w:bottom w:val="none" w:sz="0" w:space="0" w:color="auto"/>
            <w:right w:val="none" w:sz="0" w:space="0" w:color="auto"/>
          </w:divBdr>
        </w:div>
        <w:div w:id="1548104461">
          <w:marLeft w:val="640"/>
          <w:marRight w:val="0"/>
          <w:marTop w:val="0"/>
          <w:marBottom w:val="0"/>
          <w:divBdr>
            <w:top w:val="none" w:sz="0" w:space="0" w:color="auto"/>
            <w:left w:val="none" w:sz="0" w:space="0" w:color="auto"/>
            <w:bottom w:val="none" w:sz="0" w:space="0" w:color="auto"/>
            <w:right w:val="none" w:sz="0" w:space="0" w:color="auto"/>
          </w:divBdr>
        </w:div>
        <w:div w:id="150214325">
          <w:marLeft w:val="640"/>
          <w:marRight w:val="0"/>
          <w:marTop w:val="0"/>
          <w:marBottom w:val="0"/>
          <w:divBdr>
            <w:top w:val="none" w:sz="0" w:space="0" w:color="auto"/>
            <w:left w:val="none" w:sz="0" w:space="0" w:color="auto"/>
            <w:bottom w:val="none" w:sz="0" w:space="0" w:color="auto"/>
            <w:right w:val="none" w:sz="0" w:space="0" w:color="auto"/>
          </w:divBdr>
        </w:div>
        <w:div w:id="447237452">
          <w:marLeft w:val="640"/>
          <w:marRight w:val="0"/>
          <w:marTop w:val="0"/>
          <w:marBottom w:val="0"/>
          <w:divBdr>
            <w:top w:val="none" w:sz="0" w:space="0" w:color="auto"/>
            <w:left w:val="none" w:sz="0" w:space="0" w:color="auto"/>
            <w:bottom w:val="none" w:sz="0" w:space="0" w:color="auto"/>
            <w:right w:val="none" w:sz="0" w:space="0" w:color="auto"/>
          </w:divBdr>
        </w:div>
        <w:div w:id="1753500800">
          <w:marLeft w:val="640"/>
          <w:marRight w:val="0"/>
          <w:marTop w:val="0"/>
          <w:marBottom w:val="0"/>
          <w:divBdr>
            <w:top w:val="none" w:sz="0" w:space="0" w:color="auto"/>
            <w:left w:val="none" w:sz="0" w:space="0" w:color="auto"/>
            <w:bottom w:val="none" w:sz="0" w:space="0" w:color="auto"/>
            <w:right w:val="none" w:sz="0" w:space="0" w:color="auto"/>
          </w:divBdr>
        </w:div>
        <w:div w:id="1809665732">
          <w:marLeft w:val="640"/>
          <w:marRight w:val="0"/>
          <w:marTop w:val="0"/>
          <w:marBottom w:val="0"/>
          <w:divBdr>
            <w:top w:val="none" w:sz="0" w:space="0" w:color="auto"/>
            <w:left w:val="none" w:sz="0" w:space="0" w:color="auto"/>
            <w:bottom w:val="none" w:sz="0" w:space="0" w:color="auto"/>
            <w:right w:val="none" w:sz="0" w:space="0" w:color="auto"/>
          </w:divBdr>
        </w:div>
        <w:div w:id="1398279444">
          <w:marLeft w:val="640"/>
          <w:marRight w:val="0"/>
          <w:marTop w:val="0"/>
          <w:marBottom w:val="0"/>
          <w:divBdr>
            <w:top w:val="none" w:sz="0" w:space="0" w:color="auto"/>
            <w:left w:val="none" w:sz="0" w:space="0" w:color="auto"/>
            <w:bottom w:val="none" w:sz="0" w:space="0" w:color="auto"/>
            <w:right w:val="none" w:sz="0" w:space="0" w:color="auto"/>
          </w:divBdr>
        </w:div>
        <w:div w:id="1322584891">
          <w:marLeft w:val="640"/>
          <w:marRight w:val="0"/>
          <w:marTop w:val="0"/>
          <w:marBottom w:val="0"/>
          <w:divBdr>
            <w:top w:val="none" w:sz="0" w:space="0" w:color="auto"/>
            <w:left w:val="none" w:sz="0" w:space="0" w:color="auto"/>
            <w:bottom w:val="none" w:sz="0" w:space="0" w:color="auto"/>
            <w:right w:val="none" w:sz="0" w:space="0" w:color="auto"/>
          </w:divBdr>
        </w:div>
        <w:div w:id="1549880132">
          <w:marLeft w:val="640"/>
          <w:marRight w:val="0"/>
          <w:marTop w:val="0"/>
          <w:marBottom w:val="0"/>
          <w:divBdr>
            <w:top w:val="none" w:sz="0" w:space="0" w:color="auto"/>
            <w:left w:val="none" w:sz="0" w:space="0" w:color="auto"/>
            <w:bottom w:val="none" w:sz="0" w:space="0" w:color="auto"/>
            <w:right w:val="none" w:sz="0" w:space="0" w:color="auto"/>
          </w:divBdr>
        </w:div>
        <w:div w:id="27342857">
          <w:marLeft w:val="640"/>
          <w:marRight w:val="0"/>
          <w:marTop w:val="0"/>
          <w:marBottom w:val="0"/>
          <w:divBdr>
            <w:top w:val="none" w:sz="0" w:space="0" w:color="auto"/>
            <w:left w:val="none" w:sz="0" w:space="0" w:color="auto"/>
            <w:bottom w:val="none" w:sz="0" w:space="0" w:color="auto"/>
            <w:right w:val="none" w:sz="0" w:space="0" w:color="auto"/>
          </w:divBdr>
        </w:div>
        <w:div w:id="1358196397">
          <w:marLeft w:val="640"/>
          <w:marRight w:val="0"/>
          <w:marTop w:val="0"/>
          <w:marBottom w:val="0"/>
          <w:divBdr>
            <w:top w:val="none" w:sz="0" w:space="0" w:color="auto"/>
            <w:left w:val="none" w:sz="0" w:space="0" w:color="auto"/>
            <w:bottom w:val="none" w:sz="0" w:space="0" w:color="auto"/>
            <w:right w:val="none" w:sz="0" w:space="0" w:color="auto"/>
          </w:divBdr>
        </w:div>
        <w:div w:id="18430006">
          <w:marLeft w:val="640"/>
          <w:marRight w:val="0"/>
          <w:marTop w:val="0"/>
          <w:marBottom w:val="0"/>
          <w:divBdr>
            <w:top w:val="none" w:sz="0" w:space="0" w:color="auto"/>
            <w:left w:val="none" w:sz="0" w:space="0" w:color="auto"/>
            <w:bottom w:val="none" w:sz="0" w:space="0" w:color="auto"/>
            <w:right w:val="none" w:sz="0" w:space="0" w:color="auto"/>
          </w:divBdr>
        </w:div>
        <w:div w:id="81920070">
          <w:marLeft w:val="640"/>
          <w:marRight w:val="0"/>
          <w:marTop w:val="0"/>
          <w:marBottom w:val="0"/>
          <w:divBdr>
            <w:top w:val="none" w:sz="0" w:space="0" w:color="auto"/>
            <w:left w:val="none" w:sz="0" w:space="0" w:color="auto"/>
            <w:bottom w:val="none" w:sz="0" w:space="0" w:color="auto"/>
            <w:right w:val="none" w:sz="0" w:space="0" w:color="auto"/>
          </w:divBdr>
        </w:div>
        <w:div w:id="167133938">
          <w:marLeft w:val="640"/>
          <w:marRight w:val="0"/>
          <w:marTop w:val="0"/>
          <w:marBottom w:val="0"/>
          <w:divBdr>
            <w:top w:val="none" w:sz="0" w:space="0" w:color="auto"/>
            <w:left w:val="none" w:sz="0" w:space="0" w:color="auto"/>
            <w:bottom w:val="none" w:sz="0" w:space="0" w:color="auto"/>
            <w:right w:val="none" w:sz="0" w:space="0" w:color="auto"/>
          </w:divBdr>
        </w:div>
        <w:div w:id="1260067572">
          <w:marLeft w:val="640"/>
          <w:marRight w:val="0"/>
          <w:marTop w:val="0"/>
          <w:marBottom w:val="0"/>
          <w:divBdr>
            <w:top w:val="none" w:sz="0" w:space="0" w:color="auto"/>
            <w:left w:val="none" w:sz="0" w:space="0" w:color="auto"/>
            <w:bottom w:val="none" w:sz="0" w:space="0" w:color="auto"/>
            <w:right w:val="none" w:sz="0" w:space="0" w:color="auto"/>
          </w:divBdr>
        </w:div>
        <w:div w:id="624241213">
          <w:marLeft w:val="640"/>
          <w:marRight w:val="0"/>
          <w:marTop w:val="0"/>
          <w:marBottom w:val="0"/>
          <w:divBdr>
            <w:top w:val="none" w:sz="0" w:space="0" w:color="auto"/>
            <w:left w:val="none" w:sz="0" w:space="0" w:color="auto"/>
            <w:bottom w:val="none" w:sz="0" w:space="0" w:color="auto"/>
            <w:right w:val="none" w:sz="0" w:space="0" w:color="auto"/>
          </w:divBdr>
        </w:div>
        <w:div w:id="1862862802">
          <w:marLeft w:val="640"/>
          <w:marRight w:val="0"/>
          <w:marTop w:val="0"/>
          <w:marBottom w:val="0"/>
          <w:divBdr>
            <w:top w:val="none" w:sz="0" w:space="0" w:color="auto"/>
            <w:left w:val="none" w:sz="0" w:space="0" w:color="auto"/>
            <w:bottom w:val="none" w:sz="0" w:space="0" w:color="auto"/>
            <w:right w:val="none" w:sz="0" w:space="0" w:color="auto"/>
          </w:divBdr>
        </w:div>
        <w:div w:id="37436062">
          <w:marLeft w:val="640"/>
          <w:marRight w:val="0"/>
          <w:marTop w:val="0"/>
          <w:marBottom w:val="0"/>
          <w:divBdr>
            <w:top w:val="none" w:sz="0" w:space="0" w:color="auto"/>
            <w:left w:val="none" w:sz="0" w:space="0" w:color="auto"/>
            <w:bottom w:val="none" w:sz="0" w:space="0" w:color="auto"/>
            <w:right w:val="none" w:sz="0" w:space="0" w:color="auto"/>
          </w:divBdr>
        </w:div>
        <w:div w:id="1671444789">
          <w:marLeft w:val="640"/>
          <w:marRight w:val="0"/>
          <w:marTop w:val="0"/>
          <w:marBottom w:val="0"/>
          <w:divBdr>
            <w:top w:val="none" w:sz="0" w:space="0" w:color="auto"/>
            <w:left w:val="none" w:sz="0" w:space="0" w:color="auto"/>
            <w:bottom w:val="none" w:sz="0" w:space="0" w:color="auto"/>
            <w:right w:val="none" w:sz="0" w:space="0" w:color="auto"/>
          </w:divBdr>
        </w:div>
        <w:div w:id="1136607380">
          <w:marLeft w:val="640"/>
          <w:marRight w:val="0"/>
          <w:marTop w:val="0"/>
          <w:marBottom w:val="0"/>
          <w:divBdr>
            <w:top w:val="none" w:sz="0" w:space="0" w:color="auto"/>
            <w:left w:val="none" w:sz="0" w:space="0" w:color="auto"/>
            <w:bottom w:val="none" w:sz="0" w:space="0" w:color="auto"/>
            <w:right w:val="none" w:sz="0" w:space="0" w:color="auto"/>
          </w:divBdr>
        </w:div>
        <w:div w:id="385952835">
          <w:marLeft w:val="640"/>
          <w:marRight w:val="0"/>
          <w:marTop w:val="0"/>
          <w:marBottom w:val="0"/>
          <w:divBdr>
            <w:top w:val="none" w:sz="0" w:space="0" w:color="auto"/>
            <w:left w:val="none" w:sz="0" w:space="0" w:color="auto"/>
            <w:bottom w:val="none" w:sz="0" w:space="0" w:color="auto"/>
            <w:right w:val="none" w:sz="0" w:space="0" w:color="auto"/>
          </w:divBdr>
        </w:div>
        <w:div w:id="212621234">
          <w:marLeft w:val="640"/>
          <w:marRight w:val="0"/>
          <w:marTop w:val="0"/>
          <w:marBottom w:val="0"/>
          <w:divBdr>
            <w:top w:val="none" w:sz="0" w:space="0" w:color="auto"/>
            <w:left w:val="none" w:sz="0" w:space="0" w:color="auto"/>
            <w:bottom w:val="none" w:sz="0" w:space="0" w:color="auto"/>
            <w:right w:val="none" w:sz="0" w:space="0" w:color="auto"/>
          </w:divBdr>
        </w:div>
        <w:div w:id="1810590042">
          <w:marLeft w:val="640"/>
          <w:marRight w:val="0"/>
          <w:marTop w:val="0"/>
          <w:marBottom w:val="0"/>
          <w:divBdr>
            <w:top w:val="none" w:sz="0" w:space="0" w:color="auto"/>
            <w:left w:val="none" w:sz="0" w:space="0" w:color="auto"/>
            <w:bottom w:val="none" w:sz="0" w:space="0" w:color="auto"/>
            <w:right w:val="none" w:sz="0" w:space="0" w:color="auto"/>
          </w:divBdr>
        </w:div>
        <w:div w:id="1357998915">
          <w:marLeft w:val="640"/>
          <w:marRight w:val="0"/>
          <w:marTop w:val="0"/>
          <w:marBottom w:val="0"/>
          <w:divBdr>
            <w:top w:val="none" w:sz="0" w:space="0" w:color="auto"/>
            <w:left w:val="none" w:sz="0" w:space="0" w:color="auto"/>
            <w:bottom w:val="none" w:sz="0" w:space="0" w:color="auto"/>
            <w:right w:val="none" w:sz="0" w:space="0" w:color="auto"/>
          </w:divBdr>
        </w:div>
        <w:div w:id="175120627">
          <w:marLeft w:val="640"/>
          <w:marRight w:val="0"/>
          <w:marTop w:val="0"/>
          <w:marBottom w:val="0"/>
          <w:divBdr>
            <w:top w:val="none" w:sz="0" w:space="0" w:color="auto"/>
            <w:left w:val="none" w:sz="0" w:space="0" w:color="auto"/>
            <w:bottom w:val="none" w:sz="0" w:space="0" w:color="auto"/>
            <w:right w:val="none" w:sz="0" w:space="0" w:color="auto"/>
          </w:divBdr>
        </w:div>
        <w:div w:id="496381684">
          <w:marLeft w:val="640"/>
          <w:marRight w:val="0"/>
          <w:marTop w:val="0"/>
          <w:marBottom w:val="0"/>
          <w:divBdr>
            <w:top w:val="none" w:sz="0" w:space="0" w:color="auto"/>
            <w:left w:val="none" w:sz="0" w:space="0" w:color="auto"/>
            <w:bottom w:val="none" w:sz="0" w:space="0" w:color="auto"/>
            <w:right w:val="none" w:sz="0" w:space="0" w:color="auto"/>
          </w:divBdr>
        </w:div>
        <w:div w:id="1749838218">
          <w:marLeft w:val="640"/>
          <w:marRight w:val="0"/>
          <w:marTop w:val="0"/>
          <w:marBottom w:val="0"/>
          <w:divBdr>
            <w:top w:val="none" w:sz="0" w:space="0" w:color="auto"/>
            <w:left w:val="none" w:sz="0" w:space="0" w:color="auto"/>
            <w:bottom w:val="none" w:sz="0" w:space="0" w:color="auto"/>
            <w:right w:val="none" w:sz="0" w:space="0" w:color="auto"/>
          </w:divBdr>
        </w:div>
        <w:div w:id="29650203">
          <w:marLeft w:val="640"/>
          <w:marRight w:val="0"/>
          <w:marTop w:val="0"/>
          <w:marBottom w:val="0"/>
          <w:divBdr>
            <w:top w:val="none" w:sz="0" w:space="0" w:color="auto"/>
            <w:left w:val="none" w:sz="0" w:space="0" w:color="auto"/>
            <w:bottom w:val="none" w:sz="0" w:space="0" w:color="auto"/>
            <w:right w:val="none" w:sz="0" w:space="0" w:color="auto"/>
          </w:divBdr>
        </w:div>
        <w:div w:id="1129399558">
          <w:marLeft w:val="640"/>
          <w:marRight w:val="0"/>
          <w:marTop w:val="0"/>
          <w:marBottom w:val="0"/>
          <w:divBdr>
            <w:top w:val="none" w:sz="0" w:space="0" w:color="auto"/>
            <w:left w:val="none" w:sz="0" w:space="0" w:color="auto"/>
            <w:bottom w:val="none" w:sz="0" w:space="0" w:color="auto"/>
            <w:right w:val="none" w:sz="0" w:space="0" w:color="auto"/>
          </w:divBdr>
        </w:div>
        <w:div w:id="101847658">
          <w:marLeft w:val="640"/>
          <w:marRight w:val="0"/>
          <w:marTop w:val="0"/>
          <w:marBottom w:val="0"/>
          <w:divBdr>
            <w:top w:val="none" w:sz="0" w:space="0" w:color="auto"/>
            <w:left w:val="none" w:sz="0" w:space="0" w:color="auto"/>
            <w:bottom w:val="none" w:sz="0" w:space="0" w:color="auto"/>
            <w:right w:val="none" w:sz="0" w:space="0" w:color="auto"/>
          </w:divBdr>
        </w:div>
        <w:div w:id="1942449753">
          <w:marLeft w:val="640"/>
          <w:marRight w:val="0"/>
          <w:marTop w:val="0"/>
          <w:marBottom w:val="0"/>
          <w:divBdr>
            <w:top w:val="none" w:sz="0" w:space="0" w:color="auto"/>
            <w:left w:val="none" w:sz="0" w:space="0" w:color="auto"/>
            <w:bottom w:val="none" w:sz="0" w:space="0" w:color="auto"/>
            <w:right w:val="none" w:sz="0" w:space="0" w:color="auto"/>
          </w:divBdr>
        </w:div>
        <w:div w:id="1778519516">
          <w:marLeft w:val="640"/>
          <w:marRight w:val="0"/>
          <w:marTop w:val="0"/>
          <w:marBottom w:val="0"/>
          <w:divBdr>
            <w:top w:val="none" w:sz="0" w:space="0" w:color="auto"/>
            <w:left w:val="none" w:sz="0" w:space="0" w:color="auto"/>
            <w:bottom w:val="none" w:sz="0" w:space="0" w:color="auto"/>
            <w:right w:val="none" w:sz="0" w:space="0" w:color="auto"/>
          </w:divBdr>
        </w:div>
        <w:div w:id="869798145">
          <w:marLeft w:val="640"/>
          <w:marRight w:val="0"/>
          <w:marTop w:val="0"/>
          <w:marBottom w:val="0"/>
          <w:divBdr>
            <w:top w:val="none" w:sz="0" w:space="0" w:color="auto"/>
            <w:left w:val="none" w:sz="0" w:space="0" w:color="auto"/>
            <w:bottom w:val="none" w:sz="0" w:space="0" w:color="auto"/>
            <w:right w:val="none" w:sz="0" w:space="0" w:color="auto"/>
          </w:divBdr>
        </w:div>
        <w:div w:id="1671786087">
          <w:marLeft w:val="640"/>
          <w:marRight w:val="0"/>
          <w:marTop w:val="0"/>
          <w:marBottom w:val="0"/>
          <w:divBdr>
            <w:top w:val="none" w:sz="0" w:space="0" w:color="auto"/>
            <w:left w:val="none" w:sz="0" w:space="0" w:color="auto"/>
            <w:bottom w:val="none" w:sz="0" w:space="0" w:color="auto"/>
            <w:right w:val="none" w:sz="0" w:space="0" w:color="auto"/>
          </w:divBdr>
        </w:div>
        <w:div w:id="496186740">
          <w:marLeft w:val="640"/>
          <w:marRight w:val="0"/>
          <w:marTop w:val="0"/>
          <w:marBottom w:val="0"/>
          <w:divBdr>
            <w:top w:val="none" w:sz="0" w:space="0" w:color="auto"/>
            <w:left w:val="none" w:sz="0" w:space="0" w:color="auto"/>
            <w:bottom w:val="none" w:sz="0" w:space="0" w:color="auto"/>
            <w:right w:val="none" w:sz="0" w:space="0" w:color="auto"/>
          </w:divBdr>
        </w:div>
        <w:div w:id="816144092">
          <w:marLeft w:val="640"/>
          <w:marRight w:val="0"/>
          <w:marTop w:val="0"/>
          <w:marBottom w:val="0"/>
          <w:divBdr>
            <w:top w:val="none" w:sz="0" w:space="0" w:color="auto"/>
            <w:left w:val="none" w:sz="0" w:space="0" w:color="auto"/>
            <w:bottom w:val="none" w:sz="0" w:space="0" w:color="auto"/>
            <w:right w:val="none" w:sz="0" w:space="0" w:color="auto"/>
          </w:divBdr>
        </w:div>
        <w:div w:id="843712255">
          <w:marLeft w:val="640"/>
          <w:marRight w:val="0"/>
          <w:marTop w:val="0"/>
          <w:marBottom w:val="0"/>
          <w:divBdr>
            <w:top w:val="none" w:sz="0" w:space="0" w:color="auto"/>
            <w:left w:val="none" w:sz="0" w:space="0" w:color="auto"/>
            <w:bottom w:val="none" w:sz="0" w:space="0" w:color="auto"/>
            <w:right w:val="none" w:sz="0" w:space="0" w:color="auto"/>
          </w:divBdr>
        </w:div>
        <w:div w:id="1645695112">
          <w:marLeft w:val="640"/>
          <w:marRight w:val="0"/>
          <w:marTop w:val="0"/>
          <w:marBottom w:val="0"/>
          <w:divBdr>
            <w:top w:val="none" w:sz="0" w:space="0" w:color="auto"/>
            <w:left w:val="none" w:sz="0" w:space="0" w:color="auto"/>
            <w:bottom w:val="none" w:sz="0" w:space="0" w:color="auto"/>
            <w:right w:val="none" w:sz="0" w:space="0" w:color="auto"/>
          </w:divBdr>
        </w:div>
        <w:div w:id="50740971">
          <w:marLeft w:val="640"/>
          <w:marRight w:val="0"/>
          <w:marTop w:val="0"/>
          <w:marBottom w:val="0"/>
          <w:divBdr>
            <w:top w:val="none" w:sz="0" w:space="0" w:color="auto"/>
            <w:left w:val="none" w:sz="0" w:space="0" w:color="auto"/>
            <w:bottom w:val="none" w:sz="0" w:space="0" w:color="auto"/>
            <w:right w:val="none" w:sz="0" w:space="0" w:color="auto"/>
          </w:divBdr>
        </w:div>
        <w:div w:id="1500120277">
          <w:marLeft w:val="640"/>
          <w:marRight w:val="0"/>
          <w:marTop w:val="0"/>
          <w:marBottom w:val="0"/>
          <w:divBdr>
            <w:top w:val="none" w:sz="0" w:space="0" w:color="auto"/>
            <w:left w:val="none" w:sz="0" w:space="0" w:color="auto"/>
            <w:bottom w:val="none" w:sz="0" w:space="0" w:color="auto"/>
            <w:right w:val="none" w:sz="0" w:space="0" w:color="auto"/>
          </w:divBdr>
        </w:div>
        <w:div w:id="1837182885">
          <w:marLeft w:val="640"/>
          <w:marRight w:val="0"/>
          <w:marTop w:val="0"/>
          <w:marBottom w:val="0"/>
          <w:divBdr>
            <w:top w:val="none" w:sz="0" w:space="0" w:color="auto"/>
            <w:left w:val="none" w:sz="0" w:space="0" w:color="auto"/>
            <w:bottom w:val="none" w:sz="0" w:space="0" w:color="auto"/>
            <w:right w:val="none" w:sz="0" w:space="0" w:color="auto"/>
          </w:divBdr>
        </w:div>
        <w:div w:id="1544439736">
          <w:marLeft w:val="640"/>
          <w:marRight w:val="0"/>
          <w:marTop w:val="0"/>
          <w:marBottom w:val="0"/>
          <w:divBdr>
            <w:top w:val="none" w:sz="0" w:space="0" w:color="auto"/>
            <w:left w:val="none" w:sz="0" w:space="0" w:color="auto"/>
            <w:bottom w:val="none" w:sz="0" w:space="0" w:color="auto"/>
            <w:right w:val="none" w:sz="0" w:space="0" w:color="auto"/>
          </w:divBdr>
        </w:div>
        <w:div w:id="185606852">
          <w:marLeft w:val="640"/>
          <w:marRight w:val="0"/>
          <w:marTop w:val="0"/>
          <w:marBottom w:val="0"/>
          <w:divBdr>
            <w:top w:val="none" w:sz="0" w:space="0" w:color="auto"/>
            <w:left w:val="none" w:sz="0" w:space="0" w:color="auto"/>
            <w:bottom w:val="none" w:sz="0" w:space="0" w:color="auto"/>
            <w:right w:val="none" w:sz="0" w:space="0" w:color="auto"/>
          </w:divBdr>
        </w:div>
        <w:div w:id="1534727346">
          <w:marLeft w:val="640"/>
          <w:marRight w:val="0"/>
          <w:marTop w:val="0"/>
          <w:marBottom w:val="0"/>
          <w:divBdr>
            <w:top w:val="none" w:sz="0" w:space="0" w:color="auto"/>
            <w:left w:val="none" w:sz="0" w:space="0" w:color="auto"/>
            <w:bottom w:val="none" w:sz="0" w:space="0" w:color="auto"/>
            <w:right w:val="none" w:sz="0" w:space="0" w:color="auto"/>
          </w:divBdr>
        </w:div>
        <w:div w:id="1831217818">
          <w:marLeft w:val="640"/>
          <w:marRight w:val="0"/>
          <w:marTop w:val="0"/>
          <w:marBottom w:val="0"/>
          <w:divBdr>
            <w:top w:val="none" w:sz="0" w:space="0" w:color="auto"/>
            <w:left w:val="none" w:sz="0" w:space="0" w:color="auto"/>
            <w:bottom w:val="none" w:sz="0" w:space="0" w:color="auto"/>
            <w:right w:val="none" w:sz="0" w:space="0" w:color="auto"/>
          </w:divBdr>
        </w:div>
        <w:div w:id="1691909427">
          <w:marLeft w:val="640"/>
          <w:marRight w:val="0"/>
          <w:marTop w:val="0"/>
          <w:marBottom w:val="0"/>
          <w:divBdr>
            <w:top w:val="none" w:sz="0" w:space="0" w:color="auto"/>
            <w:left w:val="none" w:sz="0" w:space="0" w:color="auto"/>
            <w:bottom w:val="none" w:sz="0" w:space="0" w:color="auto"/>
            <w:right w:val="none" w:sz="0" w:space="0" w:color="auto"/>
          </w:divBdr>
        </w:div>
        <w:div w:id="705984019">
          <w:marLeft w:val="640"/>
          <w:marRight w:val="0"/>
          <w:marTop w:val="0"/>
          <w:marBottom w:val="0"/>
          <w:divBdr>
            <w:top w:val="none" w:sz="0" w:space="0" w:color="auto"/>
            <w:left w:val="none" w:sz="0" w:space="0" w:color="auto"/>
            <w:bottom w:val="none" w:sz="0" w:space="0" w:color="auto"/>
            <w:right w:val="none" w:sz="0" w:space="0" w:color="auto"/>
          </w:divBdr>
        </w:div>
        <w:div w:id="1646542201">
          <w:marLeft w:val="640"/>
          <w:marRight w:val="0"/>
          <w:marTop w:val="0"/>
          <w:marBottom w:val="0"/>
          <w:divBdr>
            <w:top w:val="none" w:sz="0" w:space="0" w:color="auto"/>
            <w:left w:val="none" w:sz="0" w:space="0" w:color="auto"/>
            <w:bottom w:val="none" w:sz="0" w:space="0" w:color="auto"/>
            <w:right w:val="none" w:sz="0" w:space="0" w:color="auto"/>
          </w:divBdr>
        </w:div>
        <w:div w:id="1951469339">
          <w:marLeft w:val="640"/>
          <w:marRight w:val="0"/>
          <w:marTop w:val="0"/>
          <w:marBottom w:val="0"/>
          <w:divBdr>
            <w:top w:val="none" w:sz="0" w:space="0" w:color="auto"/>
            <w:left w:val="none" w:sz="0" w:space="0" w:color="auto"/>
            <w:bottom w:val="none" w:sz="0" w:space="0" w:color="auto"/>
            <w:right w:val="none" w:sz="0" w:space="0" w:color="auto"/>
          </w:divBdr>
        </w:div>
        <w:div w:id="375356627">
          <w:marLeft w:val="640"/>
          <w:marRight w:val="0"/>
          <w:marTop w:val="0"/>
          <w:marBottom w:val="0"/>
          <w:divBdr>
            <w:top w:val="none" w:sz="0" w:space="0" w:color="auto"/>
            <w:left w:val="none" w:sz="0" w:space="0" w:color="auto"/>
            <w:bottom w:val="none" w:sz="0" w:space="0" w:color="auto"/>
            <w:right w:val="none" w:sz="0" w:space="0" w:color="auto"/>
          </w:divBdr>
        </w:div>
        <w:div w:id="1433428855">
          <w:marLeft w:val="640"/>
          <w:marRight w:val="0"/>
          <w:marTop w:val="0"/>
          <w:marBottom w:val="0"/>
          <w:divBdr>
            <w:top w:val="none" w:sz="0" w:space="0" w:color="auto"/>
            <w:left w:val="none" w:sz="0" w:space="0" w:color="auto"/>
            <w:bottom w:val="none" w:sz="0" w:space="0" w:color="auto"/>
            <w:right w:val="none" w:sz="0" w:space="0" w:color="auto"/>
          </w:divBdr>
        </w:div>
        <w:div w:id="1682244175">
          <w:marLeft w:val="640"/>
          <w:marRight w:val="0"/>
          <w:marTop w:val="0"/>
          <w:marBottom w:val="0"/>
          <w:divBdr>
            <w:top w:val="none" w:sz="0" w:space="0" w:color="auto"/>
            <w:left w:val="none" w:sz="0" w:space="0" w:color="auto"/>
            <w:bottom w:val="none" w:sz="0" w:space="0" w:color="auto"/>
            <w:right w:val="none" w:sz="0" w:space="0" w:color="auto"/>
          </w:divBdr>
        </w:div>
        <w:div w:id="587420739">
          <w:marLeft w:val="640"/>
          <w:marRight w:val="0"/>
          <w:marTop w:val="0"/>
          <w:marBottom w:val="0"/>
          <w:divBdr>
            <w:top w:val="none" w:sz="0" w:space="0" w:color="auto"/>
            <w:left w:val="none" w:sz="0" w:space="0" w:color="auto"/>
            <w:bottom w:val="none" w:sz="0" w:space="0" w:color="auto"/>
            <w:right w:val="none" w:sz="0" w:space="0" w:color="auto"/>
          </w:divBdr>
        </w:div>
        <w:div w:id="603729231">
          <w:marLeft w:val="640"/>
          <w:marRight w:val="0"/>
          <w:marTop w:val="0"/>
          <w:marBottom w:val="0"/>
          <w:divBdr>
            <w:top w:val="none" w:sz="0" w:space="0" w:color="auto"/>
            <w:left w:val="none" w:sz="0" w:space="0" w:color="auto"/>
            <w:bottom w:val="none" w:sz="0" w:space="0" w:color="auto"/>
            <w:right w:val="none" w:sz="0" w:space="0" w:color="auto"/>
          </w:divBdr>
        </w:div>
        <w:div w:id="979656785">
          <w:marLeft w:val="640"/>
          <w:marRight w:val="0"/>
          <w:marTop w:val="0"/>
          <w:marBottom w:val="0"/>
          <w:divBdr>
            <w:top w:val="none" w:sz="0" w:space="0" w:color="auto"/>
            <w:left w:val="none" w:sz="0" w:space="0" w:color="auto"/>
            <w:bottom w:val="none" w:sz="0" w:space="0" w:color="auto"/>
            <w:right w:val="none" w:sz="0" w:space="0" w:color="auto"/>
          </w:divBdr>
        </w:div>
        <w:div w:id="903564245">
          <w:marLeft w:val="640"/>
          <w:marRight w:val="0"/>
          <w:marTop w:val="0"/>
          <w:marBottom w:val="0"/>
          <w:divBdr>
            <w:top w:val="none" w:sz="0" w:space="0" w:color="auto"/>
            <w:left w:val="none" w:sz="0" w:space="0" w:color="auto"/>
            <w:bottom w:val="none" w:sz="0" w:space="0" w:color="auto"/>
            <w:right w:val="none" w:sz="0" w:space="0" w:color="auto"/>
          </w:divBdr>
        </w:div>
        <w:div w:id="1114058393">
          <w:marLeft w:val="640"/>
          <w:marRight w:val="0"/>
          <w:marTop w:val="0"/>
          <w:marBottom w:val="0"/>
          <w:divBdr>
            <w:top w:val="none" w:sz="0" w:space="0" w:color="auto"/>
            <w:left w:val="none" w:sz="0" w:space="0" w:color="auto"/>
            <w:bottom w:val="none" w:sz="0" w:space="0" w:color="auto"/>
            <w:right w:val="none" w:sz="0" w:space="0" w:color="auto"/>
          </w:divBdr>
        </w:div>
        <w:div w:id="963121292">
          <w:marLeft w:val="640"/>
          <w:marRight w:val="0"/>
          <w:marTop w:val="0"/>
          <w:marBottom w:val="0"/>
          <w:divBdr>
            <w:top w:val="none" w:sz="0" w:space="0" w:color="auto"/>
            <w:left w:val="none" w:sz="0" w:space="0" w:color="auto"/>
            <w:bottom w:val="none" w:sz="0" w:space="0" w:color="auto"/>
            <w:right w:val="none" w:sz="0" w:space="0" w:color="auto"/>
          </w:divBdr>
        </w:div>
        <w:div w:id="1273974096">
          <w:marLeft w:val="640"/>
          <w:marRight w:val="0"/>
          <w:marTop w:val="0"/>
          <w:marBottom w:val="0"/>
          <w:divBdr>
            <w:top w:val="none" w:sz="0" w:space="0" w:color="auto"/>
            <w:left w:val="none" w:sz="0" w:space="0" w:color="auto"/>
            <w:bottom w:val="none" w:sz="0" w:space="0" w:color="auto"/>
            <w:right w:val="none" w:sz="0" w:space="0" w:color="auto"/>
          </w:divBdr>
        </w:div>
        <w:div w:id="243539609">
          <w:marLeft w:val="640"/>
          <w:marRight w:val="0"/>
          <w:marTop w:val="0"/>
          <w:marBottom w:val="0"/>
          <w:divBdr>
            <w:top w:val="none" w:sz="0" w:space="0" w:color="auto"/>
            <w:left w:val="none" w:sz="0" w:space="0" w:color="auto"/>
            <w:bottom w:val="none" w:sz="0" w:space="0" w:color="auto"/>
            <w:right w:val="none" w:sz="0" w:space="0" w:color="auto"/>
          </w:divBdr>
        </w:div>
        <w:div w:id="1507550671">
          <w:marLeft w:val="640"/>
          <w:marRight w:val="0"/>
          <w:marTop w:val="0"/>
          <w:marBottom w:val="0"/>
          <w:divBdr>
            <w:top w:val="none" w:sz="0" w:space="0" w:color="auto"/>
            <w:left w:val="none" w:sz="0" w:space="0" w:color="auto"/>
            <w:bottom w:val="none" w:sz="0" w:space="0" w:color="auto"/>
            <w:right w:val="none" w:sz="0" w:space="0" w:color="auto"/>
          </w:divBdr>
        </w:div>
        <w:div w:id="1397432269">
          <w:marLeft w:val="640"/>
          <w:marRight w:val="0"/>
          <w:marTop w:val="0"/>
          <w:marBottom w:val="0"/>
          <w:divBdr>
            <w:top w:val="none" w:sz="0" w:space="0" w:color="auto"/>
            <w:left w:val="none" w:sz="0" w:space="0" w:color="auto"/>
            <w:bottom w:val="none" w:sz="0" w:space="0" w:color="auto"/>
            <w:right w:val="none" w:sz="0" w:space="0" w:color="auto"/>
          </w:divBdr>
        </w:div>
        <w:div w:id="187960044">
          <w:marLeft w:val="640"/>
          <w:marRight w:val="0"/>
          <w:marTop w:val="0"/>
          <w:marBottom w:val="0"/>
          <w:divBdr>
            <w:top w:val="none" w:sz="0" w:space="0" w:color="auto"/>
            <w:left w:val="none" w:sz="0" w:space="0" w:color="auto"/>
            <w:bottom w:val="none" w:sz="0" w:space="0" w:color="auto"/>
            <w:right w:val="none" w:sz="0" w:space="0" w:color="auto"/>
          </w:divBdr>
        </w:div>
        <w:div w:id="345446754">
          <w:marLeft w:val="640"/>
          <w:marRight w:val="0"/>
          <w:marTop w:val="0"/>
          <w:marBottom w:val="0"/>
          <w:divBdr>
            <w:top w:val="none" w:sz="0" w:space="0" w:color="auto"/>
            <w:left w:val="none" w:sz="0" w:space="0" w:color="auto"/>
            <w:bottom w:val="none" w:sz="0" w:space="0" w:color="auto"/>
            <w:right w:val="none" w:sz="0" w:space="0" w:color="auto"/>
          </w:divBdr>
        </w:div>
        <w:div w:id="1376461905">
          <w:marLeft w:val="640"/>
          <w:marRight w:val="0"/>
          <w:marTop w:val="0"/>
          <w:marBottom w:val="0"/>
          <w:divBdr>
            <w:top w:val="none" w:sz="0" w:space="0" w:color="auto"/>
            <w:left w:val="none" w:sz="0" w:space="0" w:color="auto"/>
            <w:bottom w:val="none" w:sz="0" w:space="0" w:color="auto"/>
            <w:right w:val="none" w:sz="0" w:space="0" w:color="auto"/>
          </w:divBdr>
        </w:div>
        <w:div w:id="961309089">
          <w:marLeft w:val="640"/>
          <w:marRight w:val="0"/>
          <w:marTop w:val="0"/>
          <w:marBottom w:val="0"/>
          <w:divBdr>
            <w:top w:val="none" w:sz="0" w:space="0" w:color="auto"/>
            <w:left w:val="none" w:sz="0" w:space="0" w:color="auto"/>
            <w:bottom w:val="none" w:sz="0" w:space="0" w:color="auto"/>
            <w:right w:val="none" w:sz="0" w:space="0" w:color="auto"/>
          </w:divBdr>
        </w:div>
        <w:div w:id="1748654287">
          <w:marLeft w:val="640"/>
          <w:marRight w:val="0"/>
          <w:marTop w:val="0"/>
          <w:marBottom w:val="0"/>
          <w:divBdr>
            <w:top w:val="none" w:sz="0" w:space="0" w:color="auto"/>
            <w:left w:val="none" w:sz="0" w:space="0" w:color="auto"/>
            <w:bottom w:val="none" w:sz="0" w:space="0" w:color="auto"/>
            <w:right w:val="none" w:sz="0" w:space="0" w:color="auto"/>
          </w:divBdr>
        </w:div>
        <w:div w:id="254827526">
          <w:marLeft w:val="640"/>
          <w:marRight w:val="0"/>
          <w:marTop w:val="0"/>
          <w:marBottom w:val="0"/>
          <w:divBdr>
            <w:top w:val="none" w:sz="0" w:space="0" w:color="auto"/>
            <w:left w:val="none" w:sz="0" w:space="0" w:color="auto"/>
            <w:bottom w:val="none" w:sz="0" w:space="0" w:color="auto"/>
            <w:right w:val="none" w:sz="0" w:space="0" w:color="auto"/>
          </w:divBdr>
        </w:div>
        <w:div w:id="2082294100">
          <w:marLeft w:val="640"/>
          <w:marRight w:val="0"/>
          <w:marTop w:val="0"/>
          <w:marBottom w:val="0"/>
          <w:divBdr>
            <w:top w:val="none" w:sz="0" w:space="0" w:color="auto"/>
            <w:left w:val="none" w:sz="0" w:space="0" w:color="auto"/>
            <w:bottom w:val="none" w:sz="0" w:space="0" w:color="auto"/>
            <w:right w:val="none" w:sz="0" w:space="0" w:color="auto"/>
          </w:divBdr>
        </w:div>
        <w:div w:id="756483600">
          <w:marLeft w:val="640"/>
          <w:marRight w:val="0"/>
          <w:marTop w:val="0"/>
          <w:marBottom w:val="0"/>
          <w:divBdr>
            <w:top w:val="none" w:sz="0" w:space="0" w:color="auto"/>
            <w:left w:val="none" w:sz="0" w:space="0" w:color="auto"/>
            <w:bottom w:val="none" w:sz="0" w:space="0" w:color="auto"/>
            <w:right w:val="none" w:sz="0" w:space="0" w:color="auto"/>
          </w:divBdr>
        </w:div>
        <w:div w:id="434402898">
          <w:marLeft w:val="640"/>
          <w:marRight w:val="0"/>
          <w:marTop w:val="0"/>
          <w:marBottom w:val="0"/>
          <w:divBdr>
            <w:top w:val="none" w:sz="0" w:space="0" w:color="auto"/>
            <w:left w:val="none" w:sz="0" w:space="0" w:color="auto"/>
            <w:bottom w:val="none" w:sz="0" w:space="0" w:color="auto"/>
            <w:right w:val="none" w:sz="0" w:space="0" w:color="auto"/>
          </w:divBdr>
        </w:div>
        <w:div w:id="1119491640">
          <w:marLeft w:val="640"/>
          <w:marRight w:val="0"/>
          <w:marTop w:val="0"/>
          <w:marBottom w:val="0"/>
          <w:divBdr>
            <w:top w:val="none" w:sz="0" w:space="0" w:color="auto"/>
            <w:left w:val="none" w:sz="0" w:space="0" w:color="auto"/>
            <w:bottom w:val="none" w:sz="0" w:space="0" w:color="auto"/>
            <w:right w:val="none" w:sz="0" w:space="0" w:color="auto"/>
          </w:divBdr>
        </w:div>
        <w:div w:id="1882008771">
          <w:marLeft w:val="640"/>
          <w:marRight w:val="0"/>
          <w:marTop w:val="0"/>
          <w:marBottom w:val="0"/>
          <w:divBdr>
            <w:top w:val="none" w:sz="0" w:space="0" w:color="auto"/>
            <w:left w:val="none" w:sz="0" w:space="0" w:color="auto"/>
            <w:bottom w:val="none" w:sz="0" w:space="0" w:color="auto"/>
            <w:right w:val="none" w:sz="0" w:space="0" w:color="auto"/>
          </w:divBdr>
        </w:div>
        <w:div w:id="963850183">
          <w:marLeft w:val="640"/>
          <w:marRight w:val="0"/>
          <w:marTop w:val="0"/>
          <w:marBottom w:val="0"/>
          <w:divBdr>
            <w:top w:val="none" w:sz="0" w:space="0" w:color="auto"/>
            <w:left w:val="none" w:sz="0" w:space="0" w:color="auto"/>
            <w:bottom w:val="none" w:sz="0" w:space="0" w:color="auto"/>
            <w:right w:val="none" w:sz="0" w:space="0" w:color="auto"/>
          </w:divBdr>
        </w:div>
        <w:div w:id="62728980">
          <w:marLeft w:val="640"/>
          <w:marRight w:val="0"/>
          <w:marTop w:val="0"/>
          <w:marBottom w:val="0"/>
          <w:divBdr>
            <w:top w:val="none" w:sz="0" w:space="0" w:color="auto"/>
            <w:left w:val="none" w:sz="0" w:space="0" w:color="auto"/>
            <w:bottom w:val="none" w:sz="0" w:space="0" w:color="auto"/>
            <w:right w:val="none" w:sz="0" w:space="0" w:color="auto"/>
          </w:divBdr>
        </w:div>
        <w:div w:id="959527860">
          <w:marLeft w:val="640"/>
          <w:marRight w:val="0"/>
          <w:marTop w:val="0"/>
          <w:marBottom w:val="0"/>
          <w:divBdr>
            <w:top w:val="none" w:sz="0" w:space="0" w:color="auto"/>
            <w:left w:val="none" w:sz="0" w:space="0" w:color="auto"/>
            <w:bottom w:val="none" w:sz="0" w:space="0" w:color="auto"/>
            <w:right w:val="none" w:sz="0" w:space="0" w:color="auto"/>
          </w:divBdr>
        </w:div>
        <w:div w:id="2013138044">
          <w:marLeft w:val="640"/>
          <w:marRight w:val="0"/>
          <w:marTop w:val="0"/>
          <w:marBottom w:val="0"/>
          <w:divBdr>
            <w:top w:val="none" w:sz="0" w:space="0" w:color="auto"/>
            <w:left w:val="none" w:sz="0" w:space="0" w:color="auto"/>
            <w:bottom w:val="none" w:sz="0" w:space="0" w:color="auto"/>
            <w:right w:val="none" w:sz="0" w:space="0" w:color="auto"/>
          </w:divBdr>
        </w:div>
        <w:div w:id="1892382904">
          <w:marLeft w:val="640"/>
          <w:marRight w:val="0"/>
          <w:marTop w:val="0"/>
          <w:marBottom w:val="0"/>
          <w:divBdr>
            <w:top w:val="none" w:sz="0" w:space="0" w:color="auto"/>
            <w:left w:val="none" w:sz="0" w:space="0" w:color="auto"/>
            <w:bottom w:val="none" w:sz="0" w:space="0" w:color="auto"/>
            <w:right w:val="none" w:sz="0" w:space="0" w:color="auto"/>
          </w:divBdr>
        </w:div>
        <w:div w:id="1400589503">
          <w:marLeft w:val="640"/>
          <w:marRight w:val="0"/>
          <w:marTop w:val="0"/>
          <w:marBottom w:val="0"/>
          <w:divBdr>
            <w:top w:val="none" w:sz="0" w:space="0" w:color="auto"/>
            <w:left w:val="none" w:sz="0" w:space="0" w:color="auto"/>
            <w:bottom w:val="none" w:sz="0" w:space="0" w:color="auto"/>
            <w:right w:val="none" w:sz="0" w:space="0" w:color="auto"/>
          </w:divBdr>
        </w:div>
        <w:div w:id="1347975355">
          <w:marLeft w:val="640"/>
          <w:marRight w:val="0"/>
          <w:marTop w:val="0"/>
          <w:marBottom w:val="0"/>
          <w:divBdr>
            <w:top w:val="none" w:sz="0" w:space="0" w:color="auto"/>
            <w:left w:val="none" w:sz="0" w:space="0" w:color="auto"/>
            <w:bottom w:val="none" w:sz="0" w:space="0" w:color="auto"/>
            <w:right w:val="none" w:sz="0" w:space="0" w:color="auto"/>
          </w:divBdr>
        </w:div>
        <w:div w:id="1248072364">
          <w:marLeft w:val="640"/>
          <w:marRight w:val="0"/>
          <w:marTop w:val="0"/>
          <w:marBottom w:val="0"/>
          <w:divBdr>
            <w:top w:val="none" w:sz="0" w:space="0" w:color="auto"/>
            <w:left w:val="none" w:sz="0" w:space="0" w:color="auto"/>
            <w:bottom w:val="none" w:sz="0" w:space="0" w:color="auto"/>
            <w:right w:val="none" w:sz="0" w:space="0" w:color="auto"/>
          </w:divBdr>
        </w:div>
        <w:div w:id="1684865670">
          <w:marLeft w:val="640"/>
          <w:marRight w:val="0"/>
          <w:marTop w:val="0"/>
          <w:marBottom w:val="0"/>
          <w:divBdr>
            <w:top w:val="none" w:sz="0" w:space="0" w:color="auto"/>
            <w:left w:val="none" w:sz="0" w:space="0" w:color="auto"/>
            <w:bottom w:val="none" w:sz="0" w:space="0" w:color="auto"/>
            <w:right w:val="none" w:sz="0" w:space="0" w:color="auto"/>
          </w:divBdr>
        </w:div>
        <w:div w:id="1301155836">
          <w:marLeft w:val="640"/>
          <w:marRight w:val="0"/>
          <w:marTop w:val="0"/>
          <w:marBottom w:val="0"/>
          <w:divBdr>
            <w:top w:val="none" w:sz="0" w:space="0" w:color="auto"/>
            <w:left w:val="none" w:sz="0" w:space="0" w:color="auto"/>
            <w:bottom w:val="none" w:sz="0" w:space="0" w:color="auto"/>
            <w:right w:val="none" w:sz="0" w:space="0" w:color="auto"/>
          </w:divBdr>
        </w:div>
        <w:div w:id="1199662301">
          <w:marLeft w:val="640"/>
          <w:marRight w:val="0"/>
          <w:marTop w:val="0"/>
          <w:marBottom w:val="0"/>
          <w:divBdr>
            <w:top w:val="none" w:sz="0" w:space="0" w:color="auto"/>
            <w:left w:val="none" w:sz="0" w:space="0" w:color="auto"/>
            <w:bottom w:val="none" w:sz="0" w:space="0" w:color="auto"/>
            <w:right w:val="none" w:sz="0" w:space="0" w:color="auto"/>
          </w:divBdr>
        </w:div>
        <w:div w:id="189950015">
          <w:marLeft w:val="640"/>
          <w:marRight w:val="0"/>
          <w:marTop w:val="0"/>
          <w:marBottom w:val="0"/>
          <w:divBdr>
            <w:top w:val="none" w:sz="0" w:space="0" w:color="auto"/>
            <w:left w:val="none" w:sz="0" w:space="0" w:color="auto"/>
            <w:bottom w:val="none" w:sz="0" w:space="0" w:color="auto"/>
            <w:right w:val="none" w:sz="0" w:space="0" w:color="auto"/>
          </w:divBdr>
        </w:div>
        <w:div w:id="1426343447">
          <w:marLeft w:val="640"/>
          <w:marRight w:val="0"/>
          <w:marTop w:val="0"/>
          <w:marBottom w:val="0"/>
          <w:divBdr>
            <w:top w:val="none" w:sz="0" w:space="0" w:color="auto"/>
            <w:left w:val="none" w:sz="0" w:space="0" w:color="auto"/>
            <w:bottom w:val="none" w:sz="0" w:space="0" w:color="auto"/>
            <w:right w:val="none" w:sz="0" w:space="0" w:color="auto"/>
          </w:divBdr>
        </w:div>
        <w:div w:id="1943103913">
          <w:marLeft w:val="640"/>
          <w:marRight w:val="0"/>
          <w:marTop w:val="0"/>
          <w:marBottom w:val="0"/>
          <w:divBdr>
            <w:top w:val="none" w:sz="0" w:space="0" w:color="auto"/>
            <w:left w:val="none" w:sz="0" w:space="0" w:color="auto"/>
            <w:bottom w:val="none" w:sz="0" w:space="0" w:color="auto"/>
            <w:right w:val="none" w:sz="0" w:space="0" w:color="auto"/>
          </w:divBdr>
        </w:div>
        <w:div w:id="523445098">
          <w:marLeft w:val="640"/>
          <w:marRight w:val="0"/>
          <w:marTop w:val="0"/>
          <w:marBottom w:val="0"/>
          <w:divBdr>
            <w:top w:val="none" w:sz="0" w:space="0" w:color="auto"/>
            <w:left w:val="none" w:sz="0" w:space="0" w:color="auto"/>
            <w:bottom w:val="none" w:sz="0" w:space="0" w:color="auto"/>
            <w:right w:val="none" w:sz="0" w:space="0" w:color="auto"/>
          </w:divBdr>
        </w:div>
        <w:div w:id="634414350">
          <w:marLeft w:val="640"/>
          <w:marRight w:val="0"/>
          <w:marTop w:val="0"/>
          <w:marBottom w:val="0"/>
          <w:divBdr>
            <w:top w:val="none" w:sz="0" w:space="0" w:color="auto"/>
            <w:left w:val="none" w:sz="0" w:space="0" w:color="auto"/>
            <w:bottom w:val="none" w:sz="0" w:space="0" w:color="auto"/>
            <w:right w:val="none" w:sz="0" w:space="0" w:color="auto"/>
          </w:divBdr>
        </w:div>
        <w:div w:id="1665013960">
          <w:marLeft w:val="640"/>
          <w:marRight w:val="0"/>
          <w:marTop w:val="0"/>
          <w:marBottom w:val="0"/>
          <w:divBdr>
            <w:top w:val="none" w:sz="0" w:space="0" w:color="auto"/>
            <w:left w:val="none" w:sz="0" w:space="0" w:color="auto"/>
            <w:bottom w:val="none" w:sz="0" w:space="0" w:color="auto"/>
            <w:right w:val="none" w:sz="0" w:space="0" w:color="auto"/>
          </w:divBdr>
        </w:div>
        <w:div w:id="955985787">
          <w:marLeft w:val="640"/>
          <w:marRight w:val="0"/>
          <w:marTop w:val="0"/>
          <w:marBottom w:val="0"/>
          <w:divBdr>
            <w:top w:val="none" w:sz="0" w:space="0" w:color="auto"/>
            <w:left w:val="none" w:sz="0" w:space="0" w:color="auto"/>
            <w:bottom w:val="none" w:sz="0" w:space="0" w:color="auto"/>
            <w:right w:val="none" w:sz="0" w:space="0" w:color="auto"/>
          </w:divBdr>
        </w:div>
        <w:div w:id="403989502">
          <w:marLeft w:val="640"/>
          <w:marRight w:val="0"/>
          <w:marTop w:val="0"/>
          <w:marBottom w:val="0"/>
          <w:divBdr>
            <w:top w:val="none" w:sz="0" w:space="0" w:color="auto"/>
            <w:left w:val="none" w:sz="0" w:space="0" w:color="auto"/>
            <w:bottom w:val="none" w:sz="0" w:space="0" w:color="auto"/>
            <w:right w:val="none" w:sz="0" w:space="0" w:color="auto"/>
          </w:divBdr>
        </w:div>
        <w:div w:id="707144677">
          <w:marLeft w:val="640"/>
          <w:marRight w:val="0"/>
          <w:marTop w:val="0"/>
          <w:marBottom w:val="0"/>
          <w:divBdr>
            <w:top w:val="none" w:sz="0" w:space="0" w:color="auto"/>
            <w:left w:val="none" w:sz="0" w:space="0" w:color="auto"/>
            <w:bottom w:val="none" w:sz="0" w:space="0" w:color="auto"/>
            <w:right w:val="none" w:sz="0" w:space="0" w:color="auto"/>
          </w:divBdr>
        </w:div>
        <w:div w:id="116409681">
          <w:marLeft w:val="640"/>
          <w:marRight w:val="0"/>
          <w:marTop w:val="0"/>
          <w:marBottom w:val="0"/>
          <w:divBdr>
            <w:top w:val="none" w:sz="0" w:space="0" w:color="auto"/>
            <w:left w:val="none" w:sz="0" w:space="0" w:color="auto"/>
            <w:bottom w:val="none" w:sz="0" w:space="0" w:color="auto"/>
            <w:right w:val="none" w:sz="0" w:space="0" w:color="auto"/>
          </w:divBdr>
        </w:div>
        <w:div w:id="1289122190">
          <w:marLeft w:val="640"/>
          <w:marRight w:val="0"/>
          <w:marTop w:val="0"/>
          <w:marBottom w:val="0"/>
          <w:divBdr>
            <w:top w:val="none" w:sz="0" w:space="0" w:color="auto"/>
            <w:left w:val="none" w:sz="0" w:space="0" w:color="auto"/>
            <w:bottom w:val="none" w:sz="0" w:space="0" w:color="auto"/>
            <w:right w:val="none" w:sz="0" w:space="0" w:color="auto"/>
          </w:divBdr>
        </w:div>
        <w:div w:id="241449610">
          <w:marLeft w:val="640"/>
          <w:marRight w:val="0"/>
          <w:marTop w:val="0"/>
          <w:marBottom w:val="0"/>
          <w:divBdr>
            <w:top w:val="none" w:sz="0" w:space="0" w:color="auto"/>
            <w:left w:val="none" w:sz="0" w:space="0" w:color="auto"/>
            <w:bottom w:val="none" w:sz="0" w:space="0" w:color="auto"/>
            <w:right w:val="none" w:sz="0" w:space="0" w:color="auto"/>
          </w:divBdr>
        </w:div>
        <w:div w:id="1697006176">
          <w:marLeft w:val="640"/>
          <w:marRight w:val="0"/>
          <w:marTop w:val="0"/>
          <w:marBottom w:val="0"/>
          <w:divBdr>
            <w:top w:val="none" w:sz="0" w:space="0" w:color="auto"/>
            <w:left w:val="none" w:sz="0" w:space="0" w:color="auto"/>
            <w:bottom w:val="none" w:sz="0" w:space="0" w:color="auto"/>
            <w:right w:val="none" w:sz="0" w:space="0" w:color="auto"/>
          </w:divBdr>
        </w:div>
        <w:div w:id="1780955702">
          <w:marLeft w:val="640"/>
          <w:marRight w:val="0"/>
          <w:marTop w:val="0"/>
          <w:marBottom w:val="0"/>
          <w:divBdr>
            <w:top w:val="none" w:sz="0" w:space="0" w:color="auto"/>
            <w:left w:val="none" w:sz="0" w:space="0" w:color="auto"/>
            <w:bottom w:val="none" w:sz="0" w:space="0" w:color="auto"/>
            <w:right w:val="none" w:sz="0" w:space="0" w:color="auto"/>
          </w:divBdr>
        </w:div>
        <w:div w:id="1308625539">
          <w:marLeft w:val="640"/>
          <w:marRight w:val="0"/>
          <w:marTop w:val="0"/>
          <w:marBottom w:val="0"/>
          <w:divBdr>
            <w:top w:val="none" w:sz="0" w:space="0" w:color="auto"/>
            <w:left w:val="none" w:sz="0" w:space="0" w:color="auto"/>
            <w:bottom w:val="none" w:sz="0" w:space="0" w:color="auto"/>
            <w:right w:val="none" w:sz="0" w:space="0" w:color="auto"/>
          </w:divBdr>
        </w:div>
        <w:div w:id="1387990021">
          <w:marLeft w:val="640"/>
          <w:marRight w:val="0"/>
          <w:marTop w:val="0"/>
          <w:marBottom w:val="0"/>
          <w:divBdr>
            <w:top w:val="none" w:sz="0" w:space="0" w:color="auto"/>
            <w:left w:val="none" w:sz="0" w:space="0" w:color="auto"/>
            <w:bottom w:val="none" w:sz="0" w:space="0" w:color="auto"/>
            <w:right w:val="none" w:sz="0" w:space="0" w:color="auto"/>
          </w:divBdr>
        </w:div>
        <w:div w:id="959921804">
          <w:marLeft w:val="640"/>
          <w:marRight w:val="0"/>
          <w:marTop w:val="0"/>
          <w:marBottom w:val="0"/>
          <w:divBdr>
            <w:top w:val="none" w:sz="0" w:space="0" w:color="auto"/>
            <w:left w:val="none" w:sz="0" w:space="0" w:color="auto"/>
            <w:bottom w:val="none" w:sz="0" w:space="0" w:color="auto"/>
            <w:right w:val="none" w:sz="0" w:space="0" w:color="auto"/>
          </w:divBdr>
        </w:div>
        <w:div w:id="617489648">
          <w:marLeft w:val="640"/>
          <w:marRight w:val="0"/>
          <w:marTop w:val="0"/>
          <w:marBottom w:val="0"/>
          <w:divBdr>
            <w:top w:val="none" w:sz="0" w:space="0" w:color="auto"/>
            <w:left w:val="none" w:sz="0" w:space="0" w:color="auto"/>
            <w:bottom w:val="none" w:sz="0" w:space="0" w:color="auto"/>
            <w:right w:val="none" w:sz="0" w:space="0" w:color="auto"/>
          </w:divBdr>
        </w:div>
        <w:div w:id="229313524">
          <w:marLeft w:val="640"/>
          <w:marRight w:val="0"/>
          <w:marTop w:val="0"/>
          <w:marBottom w:val="0"/>
          <w:divBdr>
            <w:top w:val="none" w:sz="0" w:space="0" w:color="auto"/>
            <w:left w:val="none" w:sz="0" w:space="0" w:color="auto"/>
            <w:bottom w:val="none" w:sz="0" w:space="0" w:color="auto"/>
            <w:right w:val="none" w:sz="0" w:space="0" w:color="auto"/>
          </w:divBdr>
        </w:div>
        <w:div w:id="509299893">
          <w:marLeft w:val="640"/>
          <w:marRight w:val="0"/>
          <w:marTop w:val="0"/>
          <w:marBottom w:val="0"/>
          <w:divBdr>
            <w:top w:val="none" w:sz="0" w:space="0" w:color="auto"/>
            <w:left w:val="none" w:sz="0" w:space="0" w:color="auto"/>
            <w:bottom w:val="none" w:sz="0" w:space="0" w:color="auto"/>
            <w:right w:val="none" w:sz="0" w:space="0" w:color="auto"/>
          </w:divBdr>
        </w:div>
        <w:div w:id="1362705599">
          <w:marLeft w:val="640"/>
          <w:marRight w:val="0"/>
          <w:marTop w:val="0"/>
          <w:marBottom w:val="0"/>
          <w:divBdr>
            <w:top w:val="none" w:sz="0" w:space="0" w:color="auto"/>
            <w:left w:val="none" w:sz="0" w:space="0" w:color="auto"/>
            <w:bottom w:val="none" w:sz="0" w:space="0" w:color="auto"/>
            <w:right w:val="none" w:sz="0" w:space="0" w:color="auto"/>
          </w:divBdr>
        </w:div>
        <w:div w:id="298535910">
          <w:marLeft w:val="640"/>
          <w:marRight w:val="0"/>
          <w:marTop w:val="0"/>
          <w:marBottom w:val="0"/>
          <w:divBdr>
            <w:top w:val="none" w:sz="0" w:space="0" w:color="auto"/>
            <w:left w:val="none" w:sz="0" w:space="0" w:color="auto"/>
            <w:bottom w:val="none" w:sz="0" w:space="0" w:color="auto"/>
            <w:right w:val="none" w:sz="0" w:space="0" w:color="auto"/>
          </w:divBdr>
        </w:div>
        <w:div w:id="1327323584">
          <w:marLeft w:val="640"/>
          <w:marRight w:val="0"/>
          <w:marTop w:val="0"/>
          <w:marBottom w:val="0"/>
          <w:divBdr>
            <w:top w:val="none" w:sz="0" w:space="0" w:color="auto"/>
            <w:left w:val="none" w:sz="0" w:space="0" w:color="auto"/>
            <w:bottom w:val="none" w:sz="0" w:space="0" w:color="auto"/>
            <w:right w:val="none" w:sz="0" w:space="0" w:color="auto"/>
          </w:divBdr>
        </w:div>
        <w:div w:id="980426417">
          <w:marLeft w:val="640"/>
          <w:marRight w:val="0"/>
          <w:marTop w:val="0"/>
          <w:marBottom w:val="0"/>
          <w:divBdr>
            <w:top w:val="none" w:sz="0" w:space="0" w:color="auto"/>
            <w:left w:val="none" w:sz="0" w:space="0" w:color="auto"/>
            <w:bottom w:val="none" w:sz="0" w:space="0" w:color="auto"/>
            <w:right w:val="none" w:sz="0" w:space="0" w:color="auto"/>
          </w:divBdr>
        </w:div>
        <w:div w:id="1877506210">
          <w:marLeft w:val="640"/>
          <w:marRight w:val="0"/>
          <w:marTop w:val="0"/>
          <w:marBottom w:val="0"/>
          <w:divBdr>
            <w:top w:val="none" w:sz="0" w:space="0" w:color="auto"/>
            <w:left w:val="none" w:sz="0" w:space="0" w:color="auto"/>
            <w:bottom w:val="none" w:sz="0" w:space="0" w:color="auto"/>
            <w:right w:val="none" w:sz="0" w:space="0" w:color="auto"/>
          </w:divBdr>
        </w:div>
        <w:div w:id="2044398813">
          <w:marLeft w:val="640"/>
          <w:marRight w:val="0"/>
          <w:marTop w:val="0"/>
          <w:marBottom w:val="0"/>
          <w:divBdr>
            <w:top w:val="none" w:sz="0" w:space="0" w:color="auto"/>
            <w:left w:val="none" w:sz="0" w:space="0" w:color="auto"/>
            <w:bottom w:val="none" w:sz="0" w:space="0" w:color="auto"/>
            <w:right w:val="none" w:sz="0" w:space="0" w:color="auto"/>
          </w:divBdr>
        </w:div>
        <w:div w:id="1944919200">
          <w:marLeft w:val="640"/>
          <w:marRight w:val="0"/>
          <w:marTop w:val="0"/>
          <w:marBottom w:val="0"/>
          <w:divBdr>
            <w:top w:val="none" w:sz="0" w:space="0" w:color="auto"/>
            <w:left w:val="none" w:sz="0" w:space="0" w:color="auto"/>
            <w:bottom w:val="none" w:sz="0" w:space="0" w:color="auto"/>
            <w:right w:val="none" w:sz="0" w:space="0" w:color="auto"/>
          </w:divBdr>
        </w:div>
        <w:div w:id="675108289">
          <w:marLeft w:val="640"/>
          <w:marRight w:val="0"/>
          <w:marTop w:val="0"/>
          <w:marBottom w:val="0"/>
          <w:divBdr>
            <w:top w:val="none" w:sz="0" w:space="0" w:color="auto"/>
            <w:left w:val="none" w:sz="0" w:space="0" w:color="auto"/>
            <w:bottom w:val="none" w:sz="0" w:space="0" w:color="auto"/>
            <w:right w:val="none" w:sz="0" w:space="0" w:color="auto"/>
          </w:divBdr>
        </w:div>
        <w:div w:id="1884366758">
          <w:marLeft w:val="640"/>
          <w:marRight w:val="0"/>
          <w:marTop w:val="0"/>
          <w:marBottom w:val="0"/>
          <w:divBdr>
            <w:top w:val="none" w:sz="0" w:space="0" w:color="auto"/>
            <w:left w:val="none" w:sz="0" w:space="0" w:color="auto"/>
            <w:bottom w:val="none" w:sz="0" w:space="0" w:color="auto"/>
            <w:right w:val="none" w:sz="0" w:space="0" w:color="auto"/>
          </w:divBdr>
        </w:div>
        <w:div w:id="732580382">
          <w:marLeft w:val="640"/>
          <w:marRight w:val="0"/>
          <w:marTop w:val="0"/>
          <w:marBottom w:val="0"/>
          <w:divBdr>
            <w:top w:val="none" w:sz="0" w:space="0" w:color="auto"/>
            <w:left w:val="none" w:sz="0" w:space="0" w:color="auto"/>
            <w:bottom w:val="none" w:sz="0" w:space="0" w:color="auto"/>
            <w:right w:val="none" w:sz="0" w:space="0" w:color="auto"/>
          </w:divBdr>
        </w:div>
        <w:div w:id="2067601616">
          <w:marLeft w:val="640"/>
          <w:marRight w:val="0"/>
          <w:marTop w:val="0"/>
          <w:marBottom w:val="0"/>
          <w:divBdr>
            <w:top w:val="none" w:sz="0" w:space="0" w:color="auto"/>
            <w:left w:val="none" w:sz="0" w:space="0" w:color="auto"/>
            <w:bottom w:val="none" w:sz="0" w:space="0" w:color="auto"/>
            <w:right w:val="none" w:sz="0" w:space="0" w:color="auto"/>
          </w:divBdr>
        </w:div>
        <w:div w:id="1852178673">
          <w:marLeft w:val="640"/>
          <w:marRight w:val="0"/>
          <w:marTop w:val="0"/>
          <w:marBottom w:val="0"/>
          <w:divBdr>
            <w:top w:val="none" w:sz="0" w:space="0" w:color="auto"/>
            <w:left w:val="none" w:sz="0" w:space="0" w:color="auto"/>
            <w:bottom w:val="none" w:sz="0" w:space="0" w:color="auto"/>
            <w:right w:val="none" w:sz="0" w:space="0" w:color="auto"/>
          </w:divBdr>
        </w:div>
        <w:div w:id="931666831">
          <w:marLeft w:val="640"/>
          <w:marRight w:val="0"/>
          <w:marTop w:val="0"/>
          <w:marBottom w:val="0"/>
          <w:divBdr>
            <w:top w:val="none" w:sz="0" w:space="0" w:color="auto"/>
            <w:left w:val="none" w:sz="0" w:space="0" w:color="auto"/>
            <w:bottom w:val="none" w:sz="0" w:space="0" w:color="auto"/>
            <w:right w:val="none" w:sz="0" w:space="0" w:color="auto"/>
          </w:divBdr>
        </w:div>
        <w:div w:id="1419324114">
          <w:marLeft w:val="640"/>
          <w:marRight w:val="0"/>
          <w:marTop w:val="0"/>
          <w:marBottom w:val="0"/>
          <w:divBdr>
            <w:top w:val="none" w:sz="0" w:space="0" w:color="auto"/>
            <w:left w:val="none" w:sz="0" w:space="0" w:color="auto"/>
            <w:bottom w:val="none" w:sz="0" w:space="0" w:color="auto"/>
            <w:right w:val="none" w:sz="0" w:space="0" w:color="auto"/>
          </w:divBdr>
        </w:div>
        <w:div w:id="1574317799">
          <w:marLeft w:val="640"/>
          <w:marRight w:val="0"/>
          <w:marTop w:val="0"/>
          <w:marBottom w:val="0"/>
          <w:divBdr>
            <w:top w:val="none" w:sz="0" w:space="0" w:color="auto"/>
            <w:left w:val="none" w:sz="0" w:space="0" w:color="auto"/>
            <w:bottom w:val="none" w:sz="0" w:space="0" w:color="auto"/>
            <w:right w:val="none" w:sz="0" w:space="0" w:color="auto"/>
          </w:divBdr>
        </w:div>
        <w:div w:id="1461877219">
          <w:marLeft w:val="640"/>
          <w:marRight w:val="0"/>
          <w:marTop w:val="0"/>
          <w:marBottom w:val="0"/>
          <w:divBdr>
            <w:top w:val="none" w:sz="0" w:space="0" w:color="auto"/>
            <w:left w:val="none" w:sz="0" w:space="0" w:color="auto"/>
            <w:bottom w:val="none" w:sz="0" w:space="0" w:color="auto"/>
            <w:right w:val="none" w:sz="0" w:space="0" w:color="auto"/>
          </w:divBdr>
        </w:div>
        <w:div w:id="862130852">
          <w:marLeft w:val="640"/>
          <w:marRight w:val="0"/>
          <w:marTop w:val="0"/>
          <w:marBottom w:val="0"/>
          <w:divBdr>
            <w:top w:val="none" w:sz="0" w:space="0" w:color="auto"/>
            <w:left w:val="none" w:sz="0" w:space="0" w:color="auto"/>
            <w:bottom w:val="none" w:sz="0" w:space="0" w:color="auto"/>
            <w:right w:val="none" w:sz="0" w:space="0" w:color="auto"/>
          </w:divBdr>
        </w:div>
        <w:div w:id="788547442">
          <w:marLeft w:val="640"/>
          <w:marRight w:val="0"/>
          <w:marTop w:val="0"/>
          <w:marBottom w:val="0"/>
          <w:divBdr>
            <w:top w:val="none" w:sz="0" w:space="0" w:color="auto"/>
            <w:left w:val="none" w:sz="0" w:space="0" w:color="auto"/>
            <w:bottom w:val="none" w:sz="0" w:space="0" w:color="auto"/>
            <w:right w:val="none" w:sz="0" w:space="0" w:color="auto"/>
          </w:divBdr>
        </w:div>
        <w:div w:id="1861429894">
          <w:marLeft w:val="640"/>
          <w:marRight w:val="0"/>
          <w:marTop w:val="0"/>
          <w:marBottom w:val="0"/>
          <w:divBdr>
            <w:top w:val="none" w:sz="0" w:space="0" w:color="auto"/>
            <w:left w:val="none" w:sz="0" w:space="0" w:color="auto"/>
            <w:bottom w:val="none" w:sz="0" w:space="0" w:color="auto"/>
            <w:right w:val="none" w:sz="0" w:space="0" w:color="auto"/>
          </w:divBdr>
        </w:div>
        <w:div w:id="1878084994">
          <w:marLeft w:val="640"/>
          <w:marRight w:val="0"/>
          <w:marTop w:val="0"/>
          <w:marBottom w:val="0"/>
          <w:divBdr>
            <w:top w:val="none" w:sz="0" w:space="0" w:color="auto"/>
            <w:left w:val="none" w:sz="0" w:space="0" w:color="auto"/>
            <w:bottom w:val="none" w:sz="0" w:space="0" w:color="auto"/>
            <w:right w:val="none" w:sz="0" w:space="0" w:color="auto"/>
          </w:divBdr>
        </w:div>
        <w:div w:id="355085548">
          <w:marLeft w:val="640"/>
          <w:marRight w:val="0"/>
          <w:marTop w:val="0"/>
          <w:marBottom w:val="0"/>
          <w:divBdr>
            <w:top w:val="none" w:sz="0" w:space="0" w:color="auto"/>
            <w:left w:val="none" w:sz="0" w:space="0" w:color="auto"/>
            <w:bottom w:val="none" w:sz="0" w:space="0" w:color="auto"/>
            <w:right w:val="none" w:sz="0" w:space="0" w:color="auto"/>
          </w:divBdr>
        </w:div>
        <w:div w:id="34279289">
          <w:marLeft w:val="640"/>
          <w:marRight w:val="0"/>
          <w:marTop w:val="0"/>
          <w:marBottom w:val="0"/>
          <w:divBdr>
            <w:top w:val="none" w:sz="0" w:space="0" w:color="auto"/>
            <w:left w:val="none" w:sz="0" w:space="0" w:color="auto"/>
            <w:bottom w:val="none" w:sz="0" w:space="0" w:color="auto"/>
            <w:right w:val="none" w:sz="0" w:space="0" w:color="auto"/>
          </w:divBdr>
        </w:div>
        <w:div w:id="751270100">
          <w:marLeft w:val="640"/>
          <w:marRight w:val="0"/>
          <w:marTop w:val="0"/>
          <w:marBottom w:val="0"/>
          <w:divBdr>
            <w:top w:val="none" w:sz="0" w:space="0" w:color="auto"/>
            <w:left w:val="none" w:sz="0" w:space="0" w:color="auto"/>
            <w:bottom w:val="none" w:sz="0" w:space="0" w:color="auto"/>
            <w:right w:val="none" w:sz="0" w:space="0" w:color="auto"/>
          </w:divBdr>
        </w:div>
        <w:div w:id="127013725">
          <w:marLeft w:val="640"/>
          <w:marRight w:val="0"/>
          <w:marTop w:val="0"/>
          <w:marBottom w:val="0"/>
          <w:divBdr>
            <w:top w:val="none" w:sz="0" w:space="0" w:color="auto"/>
            <w:left w:val="none" w:sz="0" w:space="0" w:color="auto"/>
            <w:bottom w:val="none" w:sz="0" w:space="0" w:color="auto"/>
            <w:right w:val="none" w:sz="0" w:space="0" w:color="auto"/>
          </w:divBdr>
        </w:div>
        <w:div w:id="1562447442">
          <w:marLeft w:val="640"/>
          <w:marRight w:val="0"/>
          <w:marTop w:val="0"/>
          <w:marBottom w:val="0"/>
          <w:divBdr>
            <w:top w:val="none" w:sz="0" w:space="0" w:color="auto"/>
            <w:left w:val="none" w:sz="0" w:space="0" w:color="auto"/>
            <w:bottom w:val="none" w:sz="0" w:space="0" w:color="auto"/>
            <w:right w:val="none" w:sz="0" w:space="0" w:color="auto"/>
          </w:divBdr>
        </w:div>
        <w:div w:id="1550460568">
          <w:marLeft w:val="640"/>
          <w:marRight w:val="0"/>
          <w:marTop w:val="0"/>
          <w:marBottom w:val="0"/>
          <w:divBdr>
            <w:top w:val="none" w:sz="0" w:space="0" w:color="auto"/>
            <w:left w:val="none" w:sz="0" w:space="0" w:color="auto"/>
            <w:bottom w:val="none" w:sz="0" w:space="0" w:color="auto"/>
            <w:right w:val="none" w:sz="0" w:space="0" w:color="auto"/>
          </w:divBdr>
        </w:div>
        <w:div w:id="822307478">
          <w:marLeft w:val="640"/>
          <w:marRight w:val="0"/>
          <w:marTop w:val="0"/>
          <w:marBottom w:val="0"/>
          <w:divBdr>
            <w:top w:val="none" w:sz="0" w:space="0" w:color="auto"/>
            <w:left w:val="none" w:sz="0" w:space="0" w:color="auto"/>
            <w:bottom w:val="none" w:sz="0" w:space="0" w:color="auto"/>
            <w:right w:val="none" w:sz="0" w:space="0" w:color="auto"/>
          </w:divBdr>
        </w:div>
        <w:div w:id="461777116">
          <w:marLeft w:val="640"/>
          <w:marRight w:val="0"/>
          <w:marTop w:val="0"/>
          <w:marBottom w:val="0"/>
          <w:divBdr>
            <w:top w:val="none" w:sz="0" w:space="0" w:color="auto"/>
            <w:left w:val="none" w:sz="0" w:space="0" w:color="auto"/>
            <w:bottom w:val="none" w:sz="0" w:space="0" w:color="auto"/>
            <w:right w:val="none" w:sz="0" w:space="0" w:color="auto"/>
          </w:divBdr>
        </w:div>
        <w:div w:id="325868342">
          <w:marLeft w:val="640"/>
          <w:marRight w:val="0"/>
          <w:marTop w:val="0"/>
          <w:marBottom w:val="0"/>
          <w:divBdr>
            <w:top w:val="none" w:sz="0" w:space="0" w:color="auto"/>
            <w:left w:val="none" w:sz="0" w:space="0" w:color="auto"/>
            <w:bottom w:val="none" w:sz="0" w:space="0" w:color="auto"/>
            <w:right w:val="none" w:sz="0" w:space="0" w:color="auto"/>
          </w:divBdr>
        </w:div>
        <w:div w:id="1552496373">
          <w:marLeft w:val="640"/>
          <w:marRight w:val="0"/>
          <w:marTop w:val="0"/>
          <w:marBottom w:val="0"/>
          <w:divBdr>
            <w:top w:val="none" w:sz="0" w:space="0" w:color="auto"/>
            <w:left w:val="none" w:sz="0" w:space="0" w:color="auto"/>
            <w:bottom w:val="none" w:sz="0" w:space="0" w:color="auto"/>
            <w:right w:val="none" w:sz="0" w:space="0" w:color="auto"/>
          </w:divBdr>
        </w:div>
        <w:div w:id="1742436700">
          <w:marLeft w:val="640"/>
          <w:marRight w:val="0"/>
          <w:marTop w:val="0"/>
          <w:marBottom w:val="0"/>
          <w:divBdr>
            <w:top w:val="none" w:sz="0" w:space="0" w:color="auto"/>
            <w:left w:val="none" w:sz="0" w:space="0" w:color="auto"/>
            <w:bottom w:val="none" w:sz="0" w:space="0" w:color="auto"/>
            <w:right w:val="none" w:sz="0" w:space="0" w:color="auto"/>
          </w:divBdr>
        </w:div>
        <w:div w:id="1554849492">
          <w:marLeft w:val="640"/>
          <w:marRight w:val="0"/>
          <w:marTop w:val="0"/>
          <w:marBottom w:val="0"/>
          <w:divBdr>
            <w:top w:val="none" w:sz="0" w:space="0" w:color="auto"/>
            <w:left w:val="none" w:sz="0" w:space="0" w:color="auto"/>
            <w:bottom w:val="none" w:sz="0" w:space="0" w:color="auto"/>
            <w:right w:val="none" w:sz="0" w:space="0" w:color="auto"/>
          </w:divBdr>
        </w:div>
        <w:div w:id="1330064323">
          <w:marLeft w:val="640"/>
          <w:marRight w:val="0"/>
          <w:marTop w:val="0"/>
          <w:marBottom w:val="0"/>
          <w:divBdr>
            <w:top w:val="none" w:sz="0" w:space="0" w:color="auto"/>
            <w:left w:val="none" w:sz="0" w:space="0" w:color="auto"/>
            <w:bottom w:val="none" w:sz="0" w:space="0" w:color="auto"/>
            <w:right w:val="none" w:sz="0" w:space="0" w:color="auto"/>
          </w:divBdr>
        </w:div>
        <w:div w:id="1757051822">
          <w:marLeft w:val="640"/>
          <w:marRight w:val="0"/>
          <w:marTop w:val="0"/>
          <w:marBottom w:val="0"/>
          <w:divBdr>
            <w:top w:val="none" w:sz="0" w:space="0" w:color="auto"/>
            <w:left w:val="none" w:sz="0" w:space="0" w:color="auto"/>
            <w:bottom w:val="none" w:sz="0" w:space="0" w:color="auto"/>
            <w:right w:val="none" w:sz="0" w:space="0" w:color="auto"/>
          </w:divBdr>
        </w:div>
        <w:div w:id="1860972589">
          <w:marLeft w:val="640"/>
          <w:marRight w:val="0"/>
          <w:marTop w:val="0"/>
          <w:marBottom w:val="0"/>
          <w:divBdr>
            <w:top w:val="none" w:sz="0" w:space="0" w:color="auto"/>
            <w:left w:val="none" w:sz="0" w:space="0" w:color="auto"/>
            <w:bottom w:val="none" w:sz="0" w:space="0" w:color="auto"/>
            <w:right w:val="none" w:sz="0" w:space="0" w:color="auto"/>
          </w:divBdr>
        </w:div>
        <w:div w:id="955720823">
          <w:marLeft w:val="640"/>
          <w:marRight w:val="0"/>
          <w:marTop w:val="0"/>
          <w:marBottom w:val="0"/>
          <w:divBdr>
            <w:top w:val="none" w:sz="0" w:space="0" w:color="auto"/>
            <w:left w:val="none" w:sz="0" w:space="0" w:color="auto"/>
            <w:bottom w:val="none" w:sz="0" w:space="0" w:color="auto"/>
            <w:right w:val="none" w:sz="0" w:space="0" w:color="auto"/>
          </w:divBdr>
        </w:div>
        <w:div w:id="1781531664">
          <w:marLeft w:val="640"/>
          <w:marRight w:val="0"/>
          <w:marTop w:val="0"/>
          <w:marBottom w:val="0"/>
          <w:divBdr>
            <w:top w:val="none" w:sz="0" w:space="0" w:color="auto"/>
            <w:left w:val="none" w:sz="0" w:space="0" w:color="auto"/>
            <w:bottom w:val="none" w:sz="0" w:space="0" w:color="auto"/>
            <w:right w:val="none" w:sz="0" w:space="0" w:color="auto"/>
          </w:divBdr>
        </w:div>
        <w:div w:id="1382244833">
          <w:marLeft w:val="640"/>
          <w:marRight w:val="0"/>
          <w:marTop w:val="0"/>
          <w:marBottom w:val="0"/>
          <w:divBdr>
            <w:top w:val="none" w:sz="0" w:space="0" w:color="auto"/>
            <w:left w:val="none" w:sz="0" w:space="0" w:color="auto"/>
            <w:bottom w:val="none" w:sz="0" w:space="0" w:color="auto"/>
            <w:right w:val="none" w:sz="0" w:space="0" w:color="auto"/>
          </w:divBdr>
        </w:div>
        <w:div w:id="586035391">
          <w:marLeft w:val="640"/>
          <w:marRight w:val="0"/>
          <w:marTop w:val="0"/>
          <w:marBottom w:val="0"/>
          <w:divBdr>
            <w:top w:val="none" w:sz="0" w:space="0" w:color="auto"/>
            <w:left w:val="none" w:sz="0" w:space="0" w:color="auto"/>
            <w:bottom w:val="none" w:sz="0" w:space="0" w:color="auto"/>
            <w:right w:val="none" w:sz="0" w:space="0" w:color="auto"/>
          </w:divBdr>
        </w:div>
        <w:div w:id="847402173">
          <w:marLeft w:val="640"/>
          <w:marRight w:val="0"/>
          <w:marTop w:val="0"/>
          <w:marBottom w:val="0"/>
          <w:divBdr>
            <w:top w:val="none" w:sz="0" w:space="0" w:color="auto"/>
            <w:left w:val="none" w:sz="0" w:space="0" w:color="auto"/>
            <w:bottom w:val="none" w:sz="0" w:space="0" w:color="auto"/>
            <w:right w:val="none" w:sz="0" w:space="0" w:color="auto"/>
          </w:divBdr>
        </w:div>
        <w:div w:id="2091732149">
          <w:marLeft w:val="640"/>
          <w:marRight w:val="0"/>
          <w:marTop w:val="0"/>
          <w:marBottom w:val="0"/>
          <w:divBdr>
            <w:top w:val="none" w:sz="0" w:space="0" w:color="auto"/>
            <w:left w:val="none" w:sz="0" w:space="0" w:color="auto"/>
            <w:bottom w:val="none" w:sz="0" w:space="0" w:color="auto"/>
            <w:right w:val="none" w:sz="0" w:space="0" w:color="auto"/>
          </w:divBdr>
        </w:div>
        <w:div w:id="1738243339">
          <w:marLeft w:val="640"/>
          <w:marRight w:val="0"/>
          <w:marTop w:val="0"/>
          <w:marBottom w:val="0"/>
          <w:divBdr>
            <w:top w:val="none" w:sz="0" w:space="0" w:color="auto"/>
            <w:left w:val="none" w:sz="0" w:space="0" w:color="auto"/>
            <w:bottom w:val="none" w:sz="0" w:space="0" w:color="auto"/>
            <w:right w:val="none" w:sz="0" w:space="0" w:color="auto"/>
          </w:divBdr>
        </w:div>
        <w:div w:id="947858216">
          <w:marLeft w:val="640"/>
          <w:marRight w:val="0"/>
          <w:marTop w:val="0"/>
          <w:marBottom w:val="0"/>
          <w:divBdr>
            <w:top w:val="none" w:sz="0" w:space="0" w:color="auto"/>
            <w:left w:val="none" w:sz="0" w:space="0" w:color="auto"/>
            <w:bottom w:val="none" w:sz="0" w:space="0" w:color="auto"/>
            <w:right w:val="none" w:sz="0" w:space="0" w:color="auto"/>
          </w:divBdr>
        </w:div>
        <w:div w:id="787316320">
          <w:marLeft w:val="640"/>
          <w:marRight w:val="0"/>
          <w:marTop w:val="0"/>
          <w:marBottom w:val="0"/>
          <w:divBdr>
            <w:top w:val="none" w:sz="0" w:space="0" w:color="auto"/>
            <w:left w:val="none" w:sz="0" w:space="0" w:color="auto"/>
            <w:bottom w:val="none" w:sz="0" w:space="0" w:color="auto"/>
            <w:right w:val="none" w:sz="0" w:space="0" w:color="auto"/>
          </w:divBdr>
        </w:div>
        <w:div w:id="1328437063">
          <w:marLeft w:val="640"/>
          <w:marRight w:val="0"/>
          <w:marTop w:val="0"/>
          <w:marBottom w:val="0"/>
          <w:divBdr>
            <w:top w:val="none" w:sz="0" w:space="0" w:color="auto"/>
            <w:left w:val="none" w:sz="0" w:space="0" w:color="auto"/>
            <w:bottom w:val="none" w:sz="0" w:space="0" w:color="auto"/>
            <w:right w:val="none" w:sz="0" w:space="0" w:color="auto"/>
          </w:divBdr>
        </w:div>
        <w:div w:id="1509253306">
          <w:marLeft w:val="640"/>
          <w:marRight w:val="0"/>
          <w:marTop w:val="0"/>
          <w:marBottom w:val="0"/>
          <w:divBdr>
            <w:top w:val="none" w:sz="0" w:space="0" w:color="auto"/>
            <w:left w:val="none" w:sz="0" w:space="0" w:color="auto"/>
            <w:bottom w:val="none" w:sz="0" w:space="0" w:color="auto"/>
            <w:right w:val="none" w:sz="0" w:space="0" w:color="auto"/>
          </w:divBdr>
        </w:div>
        <w:div w:id="1577783752">
          <w:marLeft w:val="640"/>
          <w:marRight w:val="0"/>
          <w:marTop w:val="0"/>
          <w:marBottom w:val="0"/>
          <w:divBdr>
            <w:top w:val="none" w:sz="0" w:space="0" w:color="auto"/>
            <w:left w:val="none" w:sz="0" w:space="0" w:color="auto"/>
            <w:bottom w:val="none" w:sz="0" w:space="0" w:color="auto"/>
            <w:right w:val="none" w:sz="0" w:space="0" w:color="auto"/>
          </w:divBdr>
        </w:div>
        <w:div w:id="823859042">
          <w:marLeft w:val="640"/>
          <w:marRight w:val="0"/>
          <w:marTop w:val="0"/>
          <w:marBottom w:val="0"/>
          <w:divBdr>
            <w:top w:val="none" w:sz="0" w:space="0" w:color="auto"/>
            <w:left w:val="none" w:sz="0" w:space="0" w:color="auto"/>
            <w:bottom w:val="none" w:sz="0" w:space="0" w:color="auto"/>
            <w:right w:val="none" w:sz="0" w:space="0" w:color="auto"/>
          </w:divBdr>
        </w:div>
        <w:div w:id="158693644">
          <w:marLeft w:val="640"/>
          <w:marRight w:val="0"/>
          <w:marTop w:val="0"/>
          <w:marBottom w:val="0"/>
          <w:divBdr>
            <w:top w:val="none" w:sz="0" w:space="0" w:color="auto"/>
            <w:left w:val="none" w:sz="0" w:space="0" w:color="auto"/>
            <w:bottom w:val="none" w:sz="0" w:space="0" w:color="auto"/>
            <w:right w:val="none" w:sz="0" w:space="0" w:color="auto"/>
          </w:divBdr>
        </w:div>
        <w:div w:id="1859269830">
          <w:marLeft w:val="640"/>
          <w:marRight w:val="0"/>
          <w:marTop w:val="0"/>
          <w:marBottom w:val="0"/>
          <w:divBdr>
            <w:top w:val="none" w:sz="0" w:space="0" w:color="auto"/>
            <w:left w:val="none" w:sz="0" w:space="0" w:color="auto"/>
            <w:bottom w:val="none" w:sz="0" w:space="0" w:color="auto"/>
            <w:right w:val="none" w:sz="0" w:space="0" w:color="auto"/>
          </w:divBdr>
        </w:div>
        <w:div w:id="829445723">
          <w:marLeft w:val="640"/>
          <w:marRight w:val="0"/>
          <w:marTop w:val="0"/>
          <w:marBottom w:val="0"/>
          <w:divBdr>
            <w:top w:val="none" w:sz="0" w:space="0" w:color="auto"/>
            <w:left w:val="none" w:sz="0" w:space="0" w:color="auto"/>
            <w:bottom w:val="none" w:sz="0" w:space="0" w:color="auto"/>
            <w:right w:val="none" w:sz="0" w:space="0" w:color="auto"/>
          </w:divBdr>
        </w:div>
        <w:div w:id="160050387">
          <w:marLeft w:val="640"/>
          <w:marRight w:val="0"/>
          <w:marTop w:val="0"/>
          <w:marBottom w:val="0"/>
          <w:divBdr>
            <w:top w:val="none" w:sz="0" w:space="0" w:color="auto"/>
            <w:left w:val="none" w:sz="0" w:space="0" w:color="auto"/>
            <w:bottom w:val="none" w:sz="0" w:space="0" w:color="auto"/>
            <w:right w:val="none" w:sz="0" w:space="0" w:color="auto"/>
          </w:divBdr>
        </w:div>
        <w:div w:id="587229673">
          <w:marLeft w:val="640"/>
          <w:marRight w:val="0"/>
          <w:marTop w:val="0"/>
          <w:marBottom w:val="0"/>
          <w:divBdr>
            <w:top w:val="none" w:sz="0" w:space="0" w:color="auto"/>
            <w:left w:val="none" w:sz="0" w:space="0" w:color="auto"/>
            <w:bottom w:val="none" w:sz="0" w:space="0" w:color="auto"/>
            <w:right w:val="none" w:sz="0" w:space="0" w:color="auto"/>
          </w:divBdr>
        </w:div>
        <w:div w:id="1105612505">
          <w:marLeft w:val="640"/>
          <w:marRight w:val="0"/>
          <w:marTop w:val="0"/>
          <w:marBottom w:val="0"/>
          <w:divBdr>
            <w:top w:val="none" w:sz="0" w:space="0" w:color="auto"/>
            <w:left w:val="none" w:sz="0" w:space="0" w:color="auto"/>
            <w:bottom w:val="none" w:sz="0" w:space="0" w:color="auto"/>
            <w:right w:val="none" w:sz="0" w:space="0" w:color="auto"/>
          </w:divBdr>
        </w:div>
        <w:div w:id="181016326">
          <w:marLeft w:val="640"/>
          <w:marRight w:val="0"/>
          <w:marTop w:val="0"/>
          <w:marBottom w:val="0"/>
          <w:divBdr>
            <w:top w:val="none" w:sz="0" w:space="0" w:color="auto"/>
            <w:left w:val="none" w:sz="0" w:space="0" w:color="auto"/>
            <w:bottom w:val="none" w:sz="0" w:space="0" w:color="auto"/>
            <w:right w:val="none" w:sz="0" w:space="0" w:color="auto"/>
          </w:divBdr>
        </w:div>
        <w:div w:id="1328250164">
          <w:marLeft w:val="640"/>
          <w:marRight w:val="0"/>
          <w:marTop w:val="0"/>
          <w:marBottom w:val="0"/>
          <w:divBdr>
            <w:top w:val="none" w:sz="0" w:space="0" w:color="auto"/>
            <w:left w:val="none" w:sz="0" w:space="0" w:color="auto"/>
            <w:bottom w:val="none" w:sz="0" w:space="0" w:color="auto"/>
            <w:right w:val="none" w:sz="0" w:space="0" w:color="auto"/>
          </w:divBdr>
        </w:div>
        <w:div w:id="1853910320">
          <w:marLeft w:val="640"/>
          <w:marRight w:val="0"/>
          <w:marTop w:val="0"/>
          <w:marBottom w:val="0"/>
          <w:divBdr>
            <w:top w:val="none" w:sz="0" w:space="0" w:color="auto"/>
            <w:left w:val="none" w:sz="0" w:space="0" w:color="auto"/>
            <w:bottom w:val="none" w:sz="0" w:space="0" w:color="auto"/>
            <w:right w:val="none" w:sz="0" w:space="0" w:color="auto"/>
          </w:divBdr>
        </w:div>
        <w:div w:id="1859536104">
          <w:marLeft w:val="640"/>
          <w:marRight w:val="0"/>
          <w:marTop w:val="0"/>
          <w:marBottom w:val="0"/>
          <w:divBdr>
            <w:top w:val="none" w:sz="0" w:space="0" w:color="auto"/>
            <w:left w:val="none" w:sz="0" w:space="0" w:color="auto"/>
            <w:bottom w:val="none" w:sz="0" w:space="0" w:color="auto"/>
            <w:right w:val="none" w:sz="0" w:space="0" w:color="auto"/>
          </w:divBdr>
        </w:div>
        <w:div w:id="177351951">
          <w:marLeft w:val="640"/>
          <w:marRight w:val="0"/>
          <w:marTop w:val="0"/>
          <w:marBottom w:val="0"/>
          <w:divBdr>
            <w:top w:val="none" w:sz="0" w:space="0" w:color="auto"/>
            <w:left w:val="none" w:sz="0" w:space="0" w:color="auto"/>
            <w:bottom w:val="none" w:sz="0" w:space="0" w:color="auto"/>
            <w:right w:val="none" w:sz="0" w:space="0" w:color="auto"/>
          </w:divBdr>
        </w:div>
        <w:div w:id="1087263198">
          <w:marLeft w:val="640"/>
          <w:marRight w:val="0"/>
          <w:marTop w:val="0"/>
          <w:marBottom w:val="0"/>
          <w:divBdr>
            <w:top w:val="none" w:sz="0" w:space="0" w:color="auto"/>
            <w:left w:val="none" w:sz="0" w:space="0" w:color="auto"/>
            <w:bottom w:val="none" w:sz="0" w:space="0" w:color="auto"/>
            <w:right w:val="none" w:sz="0" w:space="0" w:color="auto"/>
          </w:divBdr>
        </w:div>
        <w:div w:id="1636790951">
          <w:marLeft w:val="640"/>
          <w:marRight w:val="0"/>
          <w:marTop w:val="0"/>
          <w:marBottom w:val="0"/>
          <w:divBdr>
            <w:top w:val="none" w:sz="0" w:space="0" w:color="auto"/>
            <w:left w:val="none" w:sz="0" w:space="0" w:color="auto"/>
            <w:bottom w:val="none" w:sz="0" w:space="0" w:color="auto"/>
            <w:right w:val="none" w:sz="0" w:space="0" w:color="auto"/>
          </w:divBdr>
        </w:div>
        <w:div w:id="382558300">
          <w:marLeft w:val="640"/>
          <w:marRight w:val="0"/>
          <w:marTop w:val="0"/>
          <w:marBottom w:val="0"/>
          <w:divBdr>
            <w:top w:val="none" w:sz="0" w:space="0" w:color="auto"/>
            <w:left w:val="none" w:sz="0" w:space="0" w:color="auto"/>
            <w:bottom w:val="none" w:sz="0" w:space="0" w:color="auto"/>
            <w:right w:val="none" w:sz="0" w:space="0" w:color="auto"/>
          </w:divBdr>
        </w:div>
        <w:div w:id="1500730776">
          <w:marLeft w:val="640"/>
          <w:marRight w:val="0"/>
          <w:marTop w:val="0"/>
          <w:marBottom w:val="0"/>
          <w:divBdr>
            <w:top w:val="none" w:sz="0" w:space="0" w:color="auto"/>
            <w:left w:val="none" w:sz="0" w:space="0" w:color="auto"/>
            <w:bottom w:val="none" w:sz="0" w:space="0" w:color="auto"/>
            <w:right w:val="none" w:sz="0" w:space="0" w:color="auto"/>
          </w:divBdr>
        </w:div>
        <w:div w:id="1459296294">
          <w:marLeft w:val="640"/>
          <w:marRight w:val="0"/>
          <w:marTop w:val="0"/>
          <w:marBottom w:val="0"/>
          <w:divBdr>
            <w:top w:val="none" w:sz="0" w:space="0" w:color="auto"/>
            <w:left w:val="none" w:sz="0" w:space="0" w:color="auto"/>
            <w:bottom w:val="none" w:sz="0" w:space="0" w:color="auto"/>
            <w:right w:val="none" w:sz="0" w:space="0" w:color="auto"/>
          </w:divBdr>
        </w:div>
        <w:div w:id="2125726376">
          <w:marLeft w:val="640"/>
          <w:marRight w:val="0"/>
          <w:marTop w:val="0"/>
          <w:marBottom w:val="0"/>
          <w:divBdr>
            <w:top w:val="none" w:sz="0" w:space="0" w:color="auto"/>
            <w:left w:val="none" w:sz="0" w:space="0" w:color="auto"/>
            <w:bottom w:val="none" w:sz="0" w:space="0" w:color="auto"/>
            <w:right w:val="none" w:sz="0" w:space="0" w:color="auto"/>
          </w:divBdr>
        </w:div>
        <w:div w:id="1616862778">
          <w:marLeft w:val="640"/>
          <w:marRight w:val="0"/>
          <w:marTop w:val="0"/>
          <w:marBottom w:val="0"/>
          <w:divBdr>
            <w:top w:val="none" w:sz="0" w:space="0" w:color="auto"/>
            <w:left w:val="none" w:sz="0" w:space="0" w:color="auto"/>
            <w:bottom w:val="none" w:sz="0" w:space="0" w:color="auto"/>
            <w:right w:val="none" w:sz="0" w:space="0" w:color="auto"/>
          </w:divBdr>
        </w:div>
        <w:div w:id="225919993">
          <w:marLeft w:val="640"/>
          <w:marRight w:val="0"/>
          <w:marTop w:val="0"/>
          <w:marBottom w:val="0"/>
          <w:divBdr>
            <w:top w:val="none" w:sz="0" w:space="0" w:color="auto"/>
            <w:left w:val="none" w:sz="0" w:space="0" w:color="auto"/>
            <w:bottom w:val="none" w:sz="0" w:space="0" w:color="auto"/>
            <w:right w:val="none" w:sz="0" w:space="0" w:color="auto"/>
          </w:divBdr>
        </w:div>
        <w:div w:id="1321544149">
          <w:marLeft w:val="640"/>
          <w:marRight w:val="0"/>
          <w:marTop w:val="0"/>
          <w:marBottom w:val="0"/>
          <w:divBdr>
            <w:top w:val="none" w:sz="0" w:space="0" w:color="auto"/>
            <w:left w:val="none" w:sz="0" w:space="0" w:color="auto"/>
            <w:bottom w:val="none" w:sz="0" w:space="0" w:color="auto"/>
            <w:right w:val="none" w:sz="0" w:space="0" w:color="auto"/>
          </w:divBdr>
        </w:div>
        <w:div w:id="1824396370">
          <w:marLeft w:val="640"/>
          <w:marRight w:val="0"/>
          <w:marTop w:val="0"/>
          <w:marBottom w:val="0"/>
          <w:divBdr>
            <w:top w:val="none" w:sz="0" w:space="0" w:color="auto"/>
            <w:left w:val="none" w:sz="0" w:space="0" w:color="auto"/>
            <w:bottom w:val="none" w:sz="0" w:space="0" w:color="auto"/>
            <w:right w:val="none" w:sz="0" w:space="0" w:color="auto"/>
          </w:divBdr>
        </w:div>
        <w:div w:id="674193194">
          <w:marLeft w:val="640"/>
          <w:marRight w:val="0"/>
          <w:marTop w:val="0"/>
          <w:marBottom w:val="0"/>
          <w:divBdr>
            <w:top w:val="none" w:sz="0" w:space="0" w:color="auto"/>
            <w:left w:val="none" w:sz="0" w:space="0" w:color="auto"/>
            <w:bottom w:val="none" w:sz="0" w:space="0" w:color="auto"/>
            <w:right w:val="none" w:sz="0" w:space="0" w:color="auto"/>
          </w:divBdr>
        </w:div>
        <w:div w:id="2007245098">
          <w:marLeft w:val="640"/>
          <w:marRight w:val="0"/>
          <w:marTop w:val="0"/>
          <w:marBottom w:val="0"/>
          <w:divBdr>
            <w:top w:val="none" w:sz="0" w:space="0" w:color="auto"/>
            <w:left w:val="none" w:sz="0" w:space="0" w:color="auto"/>
            <w:bottom w:val="none" w:sz="0" w:space="0" w:color="auto"/>
            <w:right w:val="none" w:sz="0" w:space="0" w:color="auto"/>
          </w:divBdr>
        </w:div>
        <w:div w:id="1786729164">
          <w:marLeft w:val="640"/>
          <w:marRight w:val="0"/>
          <w:marTop w:val="0"/>
          <w:marBottom w:val="0"/>
          <w:divBdr>
            <w:top w:val="none" w:sz="0" w:space="0" w:color="auto"/>
            <w:left w:val="none" w:sz="0" w:space="0" w:color="auto"/>
            <w:bottom w:val="none" w:sz="0" w:space="0" w:color="auto"/>
            <w:right w:val="none" w:sz="0" w:space="0" w:color="auto"/>
          </w:divBdr>
        </w:div>
        <w:div w:id="2146775865">
          <w:marLeft w:val="640"/>
          <w:marRight w:val="0"/>
          <w:marTop w:val="0"/>
          <w:marBottom w:val="0"/>
          <w:divBdr>
            <w:top w:val="none" w:sz="0" w:space="0" w:color="auto"/>
            <w:left w:val="none" w:sz="0" w:space="0" w:color="auto"/>
            <w:bottom w:val="none" w:sz="0" w:space="0" w:color="auto"/>
            <w:right w:val="none" w:sz="0" w:space="0" w:color="auto"/>
          </w:divBdr>
        </w:div>
        <w:div w:id="830950315">
          <w:marLeft w:val="640"/>
          <w:marRight w:val="0"/>
          <w:marTop w:val="0"/>
          <w:marBottom w:val="0"/>
          <w:divBdr>
            <w:top w:val="none" w:sz="0" w:space="0" w:color="auto"/>
            <w:left w:val="none" w:sz="0" w:space="0" w:color="auto"/>
            <w:bottom w:val="none" w:sz="0" w:space="0" w:color="auto"/>
            <w:right w:val="none" w:sz="0" w:space="0" w:color="auto"/>
          </w:divBdr>
        </w:div>
        <w:div w:id="125589230">
          <w:marLeft w:val="640"/>
          <w:marRight w:val="0"/>
          <w:marTop w:val="0"/>
          <w:marBottom w:val="0"/>
          <w:divBdr>
            <w:top w:val="none" w:sz="0" w:space="0" w:color="auto"/>
            <w:left w:val="none" w:sz="0" w:space="0" w:color="auto"/>
            <w:bottom w:val="none" w:sz="0" w:space="0" w:color="auto"/>
            <w:right w:val="none" w:sz="0" w:space="0" w:color="auto"/>
          </w:divBdr>
        </w:div>
        <w:div w:id="6563628">
          <w:marLeft w:val="640"/>
          <w:marRight w:val="0"/>
          <w:marTop w:val="0"/>
          <w:marBottom w:val="0"/>
          <w:divBdr>
            <w:top w:val="none" w:sz="0" w:space="0" w:color="auto"/>
            <w:left w:val="none" w:sz="0" w:space="0" w:color="auto"/>
            <w:bottom w:val="none" w:sz="0" w:space="0" w:color="auto"/>
            <w:right w:val="none" w:sz="0" w:space="0" w:color="auto"/>
          </w:divBdr>
        </w:div>
        <w:div w:id="1238175772">
          <w:marLeft w:val="640"/>
          <w:marRight w:val="0"/>
          <w:marTop w:val="0"/>
          <w:marBottom w:val="0"/>
          <w:divBdr>
            <w:top w:val="none" w:sz="0" w:space="0" w:color="auto"/>
            <w:left w:val="none" w:sz="0" w:space="0" w:color="auto"/>
            <w:bottom w:val="none" w:sz="0" w:space="0" w:color="auto"/>
            <w:right w:val="none" w:sz="0" w:space="0" w:color="auto"/>
          </w:divBdr>
        </w:div>
        <w:div w:id="537856933">
          <w:marLeft w:val="640"/>
          <w:marRight w:val="0"/>
          <w:marTop w:val="0"/>
          <w:marBottom w:val="0"/>
          <w:divBdr>
            <w:top w:val="none" w:sz="0" w:space="0" w:color="auto"/>
            <w:left w:val="none" w:sz="0" w:space="0" w:color="auto"/>
            <w:bottom w:val="none" w:sz="0" w:space="0" w:color="auto"/>
            <w:right w:val="none" w:sz="0" w:space="0" w:color="auto"/>
          </w:divBdr>
        </w:div>
        <w:div w:id="1260410206">
          <w:marLeft w:val="640"/>
          <w:marRight w:val="0"/>
          <w:marTop w:val="0"/>
          <w:marBottom w:val="0"/>
          <w:divBdr>
            <w:top w:val="none" w:sz="0" w:space="0" w:color="auto"/>
            <w:left w:val="none" w:sz="0" w:space="0" w:color="auto"/>
            <w:bottom w:val="none" w:sz="0" w:space="0" w:color="auto"/>
            <w:right w:val="none" w:sz="0" w:space="0" w:color="auto"/>
          </w:divBdr>
        </w:div>
        <w:div w:id="451097808">
          <w:marLeft w:val="640"/>
          <w:marRight w:val="0"/>
          <w:marTop w:val="0"/>
          <w:marBottom w:val="0"/>
          <w:divBdr>
            <w:top w:val="none" w:sz="0" w:space="0" w:color="auto"/>
            <w:left w:val="none" w:sz="0" w:space="0" w:color="auto"/>
            <w:bottom w:val="none" w:sz="0" w:space="0" w:color="auto"/>
            <w:right w:val="none" w:sz="0" w:space="0" w:color="auto"/>
          </w:divBdr>
        </w:div>
        <w:div w:id="657806820">
          <w:marLeft w:val="640"/>
          <w:marRight w:val="0"/>
          <w:marTop w:val="0"/>
          <w:marBottom w:val="0"/>
          <w:divBdr>
            <w:top w:val="none" w:sz="0" w:space="0" w:color="auto"/>
            <w:left w:val="none" w:sz="0" w:space="0" w:color="auto"/>
            <w:bottom w:val="none" w:sz="0" w:space="0" w:color="auto"/>
            <w:right w:val="none" w:sz="0" w:space="0" w:color="auto"/>
          </w:divBdr>
        </w:div>
        <w:div w:id="1009214744">
          <w:marLeft w:val="640"/>
          <w:marRight w:val="0"/>
          <w:marTop w:val="0"/>
          <w:marBottom w:val="0"/>
          <w:divBdr>
            <w:top w:val="none" w:sz="0" w:space="0" w:color="auto"/>
            <w:left w:val="none" w:sz="0" w:space="0" w:color="auto"/>
            <w:bottom w:val="none" w:sz="0" w:space="0" w:color="auto"/>
            <w:right w:val="none" w:sz="0" w:space="0" w:color="auto"/>
          </w:divBdr>
        </w:div>
        <w:div w:id="1779569324">
          <w:marLeft w:val="640"/>
          <w:marRight w:val="0"/>
          <w:marTop w:val="0"/>
          <w:marBottom w:val="0"/>
          <w:divBdr>
            <w:top w:val="none" w:sz="0" w:space="0" w:color="auto"/>
            <w:left w:val="none" w:sz="0" w:space="0" w:color="auto"/>
            <w:bottom w:val="none" w:sz="0" w:space="0" w:color="auto"/>
            <w:right w:val="none" w:sz="0" w:space="0" w:color="auto"/>
          </w:divBdr>
        </w:div>
        <w:div w:id="1269462654">
          <w:marLeft w:val="640"/>
          <w:marRight w:val="0"/>
          <w:marTop w:val="0"/>
          <w:marBottom w:val="0"/>
          <w:divBdr>
            <w:top w:val="none" w:sz="0" w:space="0" w:color="auto"/>
            <w:left w:val="none" w:sz="0" w:space="0" w:color="auto"/>
            <w:bottom w:val="none" w:sz="0" w:space="0" w:color="auto"/>
            <w:right w:val="none" w:sz="0" w:space="0" w:color="auto"/>
          </w:divBdr>
        </w:div>
        <w:div w:id="1490436151">
          <w:marLeft w:val="640"/>
          <w:marRight w:val="0"/>
          <w:marTop w:val="0"/>
          <w:marBottom w:val="0"/>
          <w:divBdr>
            <w:top w:val="none" w:sz="0" w:space="0" w:color="auto"/>
            <w:left w:val="none" w:sz="0" w:space="0" w:color="auto"/>
            <w:bottom w:val="none" w:sz="0" w:space="0" w:color="auto"/>
            <w:right w:val="none" w:sz="0" w:space="0" w:color="auto"/>
          </w:divBdr>
        </w:div>
        <w:div w:id="523593277">
          <w:marLeft w:val="640"/>
          <w:marRight w:val="0"/>
          <w:marTop w:val="0"/>
          <w:marBottom w:val="0"/>
          <w:divBdr>
            <w:top w:val="none" w:sz="0" w:space="0" w:color="auto"/>
            <w:left w:val="none" w:sz="0" w:space="0" w:color="auto"/>
            <w:bottom w:val="none" w:sz="0" w:space="0" w:color="auto"/>
            <w:right w:val="none" w:sz="0" w:space="0" w:color="auto"/>
          </w:divBdr>
        </w:div>
        <w:div w:id="1396665689">
          <w:marLeft w:val="640"/>
          <w:marRight w:val="0"/>
          <w:marTop w:val="0"/>
          <w:marBottom w:val="0"/>
          <w:divBdr>
            <w:top w:val="none" w:sz="0" w:space="0" w:color="auto"/>
            <w:left w:val="none" w:sz="0" w:space="0" w:color="auto"/>
            <w:bottom w:val="none" w:sz="0" w:space="0" w:color="auto"/>
            <w:right w:val="none" w:sz="0" w:space="0" w:color="auto"/>
          </w:divBdr>
        </w:div>
        <w:div w:id="461995183">
          <w:marLeft w:val="640"/>
          <w:marRight w:val="0"/>
          <w:marTop w:val="0"/>
          <w:marBottom w:val="0"/>
          <w:divBdr>
            <w:top w:val="none" w:sz="0" w:space="0" w:color="auto"/>
            <w:left w:val="none" w:sz="0" w:space="0" w:color="auto"/>
            <w:bottom w:val="none" w:sz="0" w:space="0" w:color="auto"/>
            <w:right w:val="none" w:sz="0" w:space="0" w:color="auto"/>
          </w:divBdr>
        </w:div>
        <w:div w:id="1719936249">
          <w:marLeft w:val="640"/>
          <w:marRight w:val="0"/>
          <w:marTop w:val="0"/>
          <w:marBottom w:val="0"/>
          <w:divBdr>
            <w:top w:val="none" w:sz="0" w:space="0" w:color="auto"/>
            <w:left w:val="none" w:sz="0" w:space="0" w:color="auto"/>
            <w:bottom w:val="none" w:sz="0" w:space="0" w:color="auto"/>
            <w:right w:val="none" w:sz="0" w:space="0" w:color="auto"/>
          </w:divBdr>
        </w:div>
        <w:div w:id="55707478">
          <w:marLeft w:val="640"/>
          <w:marRight w:val="0"/>
          <w:marTop w:val="0"/>
          <w:marBottom w:val="0"/>
          <w:divBdr>
            <w:top w:val="none" w:sz="0" w:space="0" w:color="auto"/>
            <w:left w:val="none" w:sz="0" w:space="0" w:color="auto"/>
            <w:bottom w:val="none" w:sz="0" w:space="0" w:color="auto"/>
            <w:right w:val="none" w:sz="0" w:space="0" w:color="auto"/>
          </w:divBdr>
        </w:div>
        <w:div w:id="2077588720">
          <w:marLeft w:val="640"/>
          <w:marRight w:val="0"/>
          <w:marTop w:val="0"/>
          <w:marBottom w:val="0"/>
          <w:divBdr>
            <w:top w:val="none" w:sz="0" w:space="0" w:color="auto"/>
            <w:left w:val="none" w:sz="0" w:space="0" w:color="auto"/>
            <w:bottom w:val="none" w:sz="0" w:space="0" w:color="auto"/>
            <w:right w:val="none" w:sz="0" w:space="0" w:color="auto"/>
          </w:divBdr>
        </w:div>
        <w:div w:id="597638027">
          <w:marLeft w:val="640"/>
          <w:marRight w:val="0"/>
          <w:marTop w:val="0"/>
          <w:marBottom w:val="0"/>
          <w:divBdr>
            <w:top w:val="none" w:sz="0" w:space="0" w:color="auto"/>
            <w:left w:val="none" w:sz="0" w:space="0" w:color="auto"/>
            <w:bottom w:val="none" w:sz="0" w:space="0" w:color="auto"/>
            <w:right w:val="none" w:sz="0" w:space="0" w:color="auto"/>
          </w:divBdr>
        </w:div>
        <w:div w:id="1723864674">
          <w:marLeft w:val="640"/>
          <w:marRight w:val="0"/>
          <w:marTop w:val="0"/>
          <w:marBottom w:val="0"/>
          <w:divBdr>
            <w:top w:val="none" w:sz="0" w:space="0" w:color="auto"/>
            <w:left w:val="none" w:sz="0" w:space="0" w:color="auto"/>
            <w:bottom w:val="none" w:sz="0" w:space="0" w:color="auto"/>
            <w:right w:val="none" w:sz="0" w:space="0" w:color="auto"/>
          </w:divBdr>
        </w:div>
        <w:div w:id="811479620">
          <w:marLeft w:val="640"/>
          <w:marRight w:val="0"/>
          <w:marTop w:val="0"/>
          <w:marBottom w:val="0"/>
          <w:divBdr>
            <w:top w:val="none" w:sz="0" w:space="0" w:color="auto"/>
            <w:left w:val="none" w:sz="0" w:space="0" w:color="auto"/>
            <w:bottom w:val="none" w:sz="0" w:space="0" w:color="auto"/>
            <w:right w:val="none" w:sz="0" w:space="0" w:color="auto"/>
          </w:divBdr>
        </w:div>
        <w:div w:id="2125417966">
          <w:marLeft w:val="640"/>
          <w:marRight w:val="0"/>
          <w:marTop w:val="0"/>
          <w:marBottom w:val="0"/>
          <w:divBdr>
            <w:top w:val="none" w:sz="0" w:space="0" w:color="auto"/>
            <w:left w:val="none" w:sz="0" w:space="0" w:color="auto"/>
            <w:bottom w:val="none" w:sz="0" w:space="0" w:color="auto"/>
            <w:right w:val="none" w:sz="0" w:space="0" w:color="auto"/>
          </w:divBdr>
        </w:div>
        <w:div w:id="1244602301">
          <w:marLeft w:val="640"/>
          <w:marRight w:val="0"/>
          <w:marTop w:val="0"/>
          <w:marBottom w:val="0"/>
          <w:divBdr>
            <w:top w:val="none" w:sz="0" w:space="0" w:color="auto"/>
            <w:left w:val="none" w:sz="0" w:space="0" w:color="auto"/>
            <w:bottom w:val="none" w:sz="0" w:space="0" w:color="auto"/>
            <w:right w:val="none" w:sz="0" w:space="0" w:color="auto"/>
          </w:divBdr>
        </w:div>
        <w:div w:id="512496988">
          <w:marLeft w:val="640"/>
          <w:marRight w:val="0"/>
          <w:marTop w:val="0"/>
          <w:marBottom w:val="0"/>
          <w:divBdr>
            <w:top w:val="none" w:sz="0" w:space="0" w:color="auto"/>
            <w:left w:val="none" w:sz="0" w:space="0" w:color="auto"/>
            <w:bottom w:val="none" w:sz="0" w:space="0" w:color="auto"/>
            <w:right w:val="none" w:sz="0" w:space="0" w:color="auto"/>
          </w:divBdr>
        </w:div>
        <w:div w:id="1818453714">
          <w:marLeft w:val="640"/>
          <w:marRight w:val="0"/>
          <w:marTop w:val="0"/>
          <w:marBottom w:val="0"/>
          <w:divBdr>
            <w:top w:val="none" w:sz="0" w:space="0" w:color="auto"/>
            <w:left w:val="none" w:sz="0" w:space="0" w:color="auto"/>
            <w:bottom w:val="none" w:sz="0" w:space="0" w:color="auto"/>
            <w:right w:val="none" w:sz="0" w:space="0" w:color="auto"/>
          </w:divBdr>
        </w:div>
        <w:div w:id="626351422">
          <w:marLeft w:val="640"/>
          <w:marRight w:val="0"/>
          <w:marTop w:val="0"/>
          <w:marBottom w:val="0"/>
          <w:divBdr>
            <w:top w:val="none" w:sz="0" w:space="0" w:color="auto"/>
            <w:left w:val="none" w:sz="0" w:space="0" w:color="auto"/>
            <w:bottom w:val="none" w:sz="0" w:space="0" w:color="auto"/>
            <w:right w:val="none" w:sz="0" w:space="0" w:color="auto"/>
          </w:divBdr>
        </w:div>
        <w:div w:id="930509185">
          <w:marLeft w:val="640"/>
          <w:marRight w:val="0"/>
          <w:marTop w:val="0"/>
          <w:marBottom w:val="0"/>
          <w:divBdr>
            <w:top w:val="none" w:sz="0" w:space="0" w:color="auto"/>
            <w:left w:val="none" w:sz="0" w:space="0" w:color="auto"/>
            <w:bottom w:val="none" w:sz="0" w:space="0" w:color="auto"/>
            <w:right w:val="none" w:sz="0" w:space="0" w:color="auto"/>
          </w:divBdr>
        </w:div>
        <w:div w:id="88237854">
          <w:marLeft w:val="640"/>
          <w:marRight w:val="0"/>
          <w:marTop w:val="0"/>
          <w:marBottom w:val="0"/>
          <w:divBdr>
            <w:top w:val="none" w:sz="0" w:space="0" w:color="auto"/>
            <w:left w:val="none" w:sz="0" w:space="0" w:color="auto"/>
            <w:bottom w:val="none" w:sz="0" w:space="0" w:color="auto"/>
            <w:right w:val="none" w:sz="0" w:space="0" w:color="auto"/>
          </w:divBdr>
        </w:div>
        <w:div w:id="2132891399">
          <w:marLeft w:val="640"/>
          <w:marRight w:val="0"/>
          <w:marTop w:val="0"/>
          <w:marBottom w:val="0"/>
          <w:divBdr>
            <w:top w:val="none" w:sz="0" w:space="0" w:color="auto"/>
            <w:left w:val="none" w:sz="0" w:space="0" w:color="auto"/>
            <w:bottom w:val="none" w:sz="0" w:space="0" w:color="auto"/>
            <w:right w:val="none" w:sz="0" w:space="0" w:color="auto"/>
          </w:divBdr>
        </w:div>
        <w:div w:id="934945632">
          <w:marLeft w:val="640"/>
          <w:marRight w:val="0"/>
          <w:marTop w:val="0"/>
          <w:marBottom w:val="0"/>
          <w:divBdr>
            <w:top w:val="none" w:sz="0" w:space="0" w:color="auto"/>
            <w:left w:val="none" w:sz="0" w:space="0" w:color="auto"/>
            <w:bottom w:val="none" w:sz="0" w:space="0" w:color="auto"/>
            <w:right w:val="none" w:sz="0" w:space="0" w:color="auto"/>
          </w:divBdr>
        </w:div>
        <w:div w:id="902914642">
          <w:marLeft w:val="640"/>
          <w:marRight w:val="0"/>
          <w:marTop w:val="0"/>
          <w:marBottom w:val="0"/>
          <w:divBdr>
            <w:top w:val="none" w:sz="0" w:space="0" w:color="auto"/>
            <w:left w:val="none" w:sz="0" w:space="0" w:color="auto"/>
            <w:bottom w:val="none" w:sz="0" w:space="0" w:color="auto"/>
            <w:right w:val="none" w:sz="0" w:space="0" w:color="auto"/>
          </w:divBdr>
        </w:div>
        <w:div w:id="129136936">
          <w:marLeft w:val="640"/>
          <w:marRight w:val="0"/>
          <w:marTop w:val="0"/>
          <w:marBottom w:val="0"/>
          <w:divBdr>
            <w:top w:val="none" w:sz="0" w:space="0" w:color="auto"/>
            <w:left w:val="none" w:sz="0" w:space="0" w:color="auto"/>
            <w:bottom w:val="none" w:sz="0" w:space="0" w:color="auto"/>
            <w:right w:val="none" w:sz="0" w:space="0" w:color="auto"/>
          </w:divBdr>
        </w:div>
        <w:div w:id="438987123">
          <w:marLeft w:val="640"/>
          <w:marRight w:val="0"/>
          <w:marTop w:val="0"/>
          <w:marBottom w:val="0"/>
          <w:divBdr>
            <w:top w:val="none" w:sz="0" w:space="0" w:color="auto"/>
            <w:left w:val="none" w:sz="0" w:space="0" w:color="auto"/>
            <w:bottom w:val="none" w:sz="0" w:space="0" w:color="auto"/>
            <w:right w:val="none" w:sz="0" w:space="0" w:color="auto"/>
          </w:divBdr>
        </w:div>
        <w:div w:id="101078292">
          <w:marLeft w:val="640"/>
          <w:marRight w:val="0"/>
          <w:marTop w:val="0"/>
          <w:marBottom w:val="0"/>
          <w:divBdr>
            <w:top w:val="none" w:sz="0" w:space="0" w:color="auto"/>
            <w:left w:val="none" w:sz="0" w:space="0" w:color="auto"/>
            <w:bottom w:val="none" w:sz="0" w:space="0" w:color="auto"/>
            <w:right w:val="none" w:sz="0" w:space="0" w:color="auto"/>
          </w:divBdr>
        </w:div>
        <w:div w:id="41947593">
          <w:marLeft w:val="640"/>
          <w:marRight w:val="0"/>
          <w:marTop w:val="0"/>
          <w:marBottom w:val="0"/>
          <w:divBdr>
            <w:top w:val="none" w:sz="0" w:space="0" w:color="auto"/>
            <w:left w:val="none" w:sz="0" w:space="0" w:color="auto"/>
            <w:bottom w:val="none" w:sz="0" w:space="0" w:color="auto"/>
            <w:right w:val="none" w:sz="0" w:space="0" w:color="auto"/>
          </w:divBdr>
        </w:div>
        <w:div w:id="1563178693">
          <w:marLeft w:val="640"/>
          <w:marRight w:val="0"/>
          <w:marTop w:val="0"/>
          <w:marBottom w:val="0"/>
          <w:divBdr>
            <w:top w:val="none" w:sz="0" w:space="0" w:color="auto"/>
            <w:left w:val="none" w:sz="0" w:space="0" w:color="auto"/>
            <w:bottom w:val="none" w:sz="0" w:space="0" w:color="auto"/>
            <w:right w:val="none" w:sz="0" w:space="0" w:color="auto"/>
          </w:divBdr>
        </w:div>
        <w:div w:id="1280455405">
          <w:marLeft w:val="640"/>
          <w:marRight w:val="0"/>
          <w:marTop w:val="0"/>
          <w:marBottom w:val="0"/>
          <w:divBdr>
            <w:top w:val="none" w:sz="0" w:space="0" w:color="auto"/>
            <w:left w:val="none" w:sz="0" w:space="0" w:color="auto"/>
            <w:bottom w:val="none" w:sz="0" w:space="0" w:color="auto"/>
            <w:right w:val="none" w:sz="0" w:space="0" w:color="auto"/>
          </w:divBdr>
        </w:div>
        <w:div w:id="1270891178">
          <w:marLeft w:val="640"/>
          <w:marRight w:val="0"/>
          <w:marTop w:val="0"/>
          <w:marBottom w:val="0"/>
          <w:divBdr>
            <w:top w:val="none" w:sz="0" w:space="0" w:color="auto"/>
            <w:left w:val="none" w:sz="0" w:space="0" w:color="auto"/>
            <w:bottom w:val="none" w:sz="0" w:space="0" w:color="auto"/>
            <w:right w:val="none" w:sz="0" w:space="0" w:color="auto"/>
          </w:divBdr>
        </w:div>
        <w:div w:id="107818070">
          <w:marLeft w:val="640"/>
          <w:marRight w:val="0"/>
          <w:marTop w:val="0"/>
          <w:marBottom w:val="0"/>
          <w:divBdr>
            <w:top w:val="none" w:sz="0" w:space="0" w:color="auto"/>
            <w:left w:val="none" w:sz="0" w:space="0" w:color="auto"/>
            <w:bottom w:val="none" w:sz="0" w:space="0" w:color="auto"/>
            <w:right w:val="none" w:sz="0" w:space="0" w:color="auto"/>
          </w:divBdr>
        </w:div>
        <w:div w:id="2040738353">
          <w:marLeft w:val="640"/>
          <w:marRight w:val="0"/>
          <w:marTop w:val="0"/>
          <w:marBottom w:val="0"/>
          <w:divBdr>
            <w:top w:val="none" w:sz="0" w:space="0" w:color="auto"/>
            <w:left w:val="none" w:sz="0" w:space="0" w:color="auto"/>
            <w:bottom w:val="none" w:sz="0" w:space="0" w:color="auto"/>
            <w:right w:val="none" w:sz="0" w:space="0" w:color="auto"/>
          </w:divBdr>
        </w:div>
        <w:div w:id="451169682">
          <w:marLeft w:val="640"/>
          <w:marRight w:val="0"/>
          <w:marTop w:val="0"/>
          <w:marBottom w:val="0"/>
          <w:divBdr>
            <w:top w:val="none" w:sz="0" w:space="0" w:color="auto"/>
            <w:left w:val="none" w:sz="0" w:space="0" w:color="auto"/>
            <w:bottom w:val="none" w:sz="0" w:space="0" w:color="auto"/>
            <w:right w:val="none" w:sz="0" w:space="0" w:color="auto"/>
          </w:divBdr>
        </w:div>
        <w:div w:id="194463079">
          <w:marLeft w:val="640"/>
          <w:marRight w:val="0"/>
          <w:marTop w:val="0"/>
          <w:marBottom w:val="0"/>
          <w:divBdr>
            <w:top w:val="none" w:sz="0" w:space="0" w:color="auto"/>
            <w:left w:val="none" w:sz="0" w:space="0" w:color="auto"/>
            <w:bottom w:val="none" w:sz="0" w:space="0" w:color="auto"/>
            <w:right w:val="none" w:sz="0" w:space="0" w:color="auto"/>
          </w:divBdr>
        </w:div>
        <w:div w:id="240525549">
          <w:marLeft w:val="640"/>
          <w:marRight w:val="0"/>
          <w:marTop w:val="0"/>
          <w:marBottom w:val="0"/>
          <w:divBdr>
            <w:top w:val="none" w:sz="0" w:space="0" w:color="auto"/>
            <w:left w:val="none" w:sz="0" w:space="0" w:color="auto"/>
            <w:bottom w:val="none" w:sz="0" w:space="0" w:color="auto"/>
            <w:right w:val="none" w:sz="0" w:space="0" w:color="auto"/>
          </w:divBdr>
        </w:div>
        <w:div w:id="956983393">
          <w:marLeft w:val="640"/>
          <w:marRight w:val="0"/>
          <w:marTop w:val="0"/>
          <w:marBottom w:val="0"/>
          <w:divBdr>
            <w:top w:val="none" w:sz="0" w:space="0" w:color="auto"/>
            <w:left w:val="none" w:sz="0" w:space="0" w:color="auto"/>
            <w:bottom w:val="none" w:sz="0" w:space="0" w:color="auto"/>
            <w:right w:val="none" w:sz="0" w:space="0" w:color="auto"/>
          </w:divBdr>
        </w:div>
        <w:div w:id="125205544">
          <w:marLeft w:val="640"/>
          <w:marRight w:val="0"/>
          <w:marTop w:val="0"/>
          <w:marBottom w:val="0"/>
          <w:divBdr>
            <w:top w:val="none" w:sz="0" w:space="0" w:color="auto"/>
            <w:left w:val="none" w:sz="0" w:space="0" w:color="auto"/>
            <w:bottom w:val="none" w:sz="0" w:space="0" w:color="auto"/>
            <w:right w:val="none" w:sz="0" w:space="0" w:color="auto"/>
          </w:divBdr>
        </w:div>
        <w:div w:id="839077237">
          <w:marLeft w:val="640"/>
          <w:marRight w:val="0"/>
          <w:marTop w:val="0"/>
          <w:marBottom w:val="0"/>
          <w:divBdr>
            <w:top w:val="none" w:sz="0" w:space="0" w:color="auto"/>
            <w:left w:val="none" w:sz="0" w:space="0" w:color="auto"/>
            <w:bottom w:val="none" w:sz="0" w:space="0" w:color="auto"/>
            <w:right w:val="none" w:sz="0" w:space="0" w:color="auto"/>
          </w:divBdr>
        </w:div>
        <w:div w:id="341980164">
          <w:marLeft w:val="640"/>
          <w:marRight w:val="0"/>
          <w:marTop w:val="0"/>
          <w:marBottom w:val="0"/>
          <w:divBdr>
            <w:top w:val="none" w:sz="0" w:space="0" w:color="auto"/>
            <w:left w:val="none" w:sz="0" w:space="0" w:color="auto"/>
            <w:bottom w:val="none" w:sz="0" w:space="0" w:color="auto"/>
            <w:right w:val="none" w:sz="0" w:space="0" w:color="auto"/>
          </w:divBdr>
        </w:div>
        <w:div w:id="468402342">
          <w:marLeft w:val="640"/>
          <w:marRight w:val="0"/>
          <w:marTop w:val="0"/>
          <w:marBottom w:val="0"/>
          <w:divBdr>
            <w:top w:val="none" w:sz="0" w:space="0" w:color="auto"/>
            <w:left w:val="none" w:sz="0" w:space="0" w:color="auto"/>
            <w:bottom w:val="none" w:sz="0" w:space="0" w:color="auto"/>
            <w:right w:val="none" w:sz="0" w:space="0" w:color="auto"/>
          </w:divBdr>
        </w:div>
        <w:div w:id="875503702">
          <w:marLeft w:val="640"/>
          <w:marRight w:val="0"/>
          <w:marTop w:val="0"/>
          <w:marBottom w:val="0"/>
          <w:divBdr>
            <w:top w:val="none" w:sz="0" w:space="0" w:color="auto"/>
            <w:left w:val="none" w:sz="0" w:space="0" w:color="auto"/>
            <w:bottom w:val="none" w:sz="0" w:space="0" w:color="auto"/>
            <w:right w:val="none" w:sz="0" w:space="0" w:color="auto"/>
          </w:divBdr>
        </w:div>
        <w:div w:id="132409428">
          <w:marLeft w:val="640"/>
          <w:marRight w:val="0"/>
          <w:marTop w:val="0"/>
          <w:marBottom w:val="0"/>
          <w:divBdr>
            <w:top w:val="none" w:sz="0" w:space="0" w:color="auto"/>
            <w:left w:val="none" w:sz="0" w:space="0" w:color="auto"/>
            <w:bottom w:val="none" w:sz="0" w:space="0" w:color="auto"/>
            <w:right w:val="none" w:sz="0" w:space="0" w:color="auto"/>
          </w:divBdr>
        </w:div>
        <w:div w:id="384991014">
          <w:marLeft w:val="640"/>
          <w:marRight w:val="0"/>
          <w:marTop w:val="0"/>
          <w:marBottom w:val="0"/>
          <w:divBdr>
            <w:top w:val="none" w:sz="0" w:space="0" w:color="auto"/>
            <w:left w:val="none" w:sz="0" w:space="0" w:color="auto"/>
            <w:bottom w:val="none" w:sz="0" w:space="0" w:color="auto"/>
            <w:right w:val="none" w:sz="0" w:space="0" w:color="auto"/>
          </w:divBdr>
        </w:div>
        <w:div w:id="2030448731">
          <w:marLeft w:val="640"/>
          <w:marRight w:val="0"/>
          <w:marTop w:val="0"/>
          <w:marBottom w:val="0"/>
          <w:divBdr>
            <w:top w:val="none" w:sz="0" w:space="0" w:color="auto"/>
            <w:left w:val="none" w:sz="0" w:space="0" w:color="auto"/>
            <w:bottom w:val="none" w:sz="0" w:space="0" w:color="auto"/>
            <w:right w:val="none" w:sz="0" w:space="0" w:color="auto"/>
          </w:divBdr>
        </w:div>
        <w:div w:id="910231400">
          <w:marLeft w:val="640"/>
          <w:marRight w:val="0"/>
          <w:marTop w:val="0"/>
          <w:marBottom w:val="0"/>
          <w:divBdr>
            <w:top w:val="none" w:sz="0" w:space="0" w:color="auto"/>
            <w:left w:val="none" w:sz="0" w:space="0" w:color="auto"/>
            <w:bottom w:val="none" w:sz="0" w:space="0" w:color="auto"/>
            <w:right w:val="none" w:sz="0" w:space="0" w:color="auto"/>
          </w:divBdr>
        </w:div>
        <w:div w:id="784616315">
          <w:marLeft w:val="640"/>
          <w:marRight w:val="0"/>
          <w:marTop w:val="0"/>
          <w:marBottom w:val="0"/>
          <w:divBdr>
            <w:top w:val="none" w:sz="0" w:space="0" w:color="auto"/>
            <w:left w:val="none" w:sz="0" w:space="0" w:color="auto"/>
            <w:bottom w:val="none" w:sz="0" w:space="0" w:color="auto"/>
            <w:right w:val="none" w:sz="0" w:space="0" w:color="auto"/>
          </w:divBdr>
        </w:div>
        <w:div w:id="1279605223">
          <w:marLeft w:val="640"/>
          <w:marRight w:val="0"/>
          <w:marTop w:val="0"/>
          <w:marBottom w:val="0"/>
          <w:divBdr>
            <w:top w:val="none" w:sz="0" w:space="0" w:color="auto"/>
            <w:left w:val="none" w:sz="0" w:space="0" w:color="auto"/>
            <w:bottom w:val="none" w:sz="0" w:space="0" w:color="auto"/>
            <w:right w:val="none" w:sz="0" w:space="0" w:color="auto"/>
          </w:divBdr>
        </w:div>
        <w:div w:id="1598559973">
          <w:marLeft w:val="640"/>
          <w:marRight w:val="0"/>
          <w:marTop w:val="0"/>
          <w:marBottom w:val="0"/>
          <w:divBdr>
            <w:top w:val="none" w:sz="0" w:space="0" w:color="auto"/>
            <w:left w:val="none" w:sz="0" w:space="0" w:color="auto"/>
            <w:bottom w:val="none" w:sz="0" w:space="0" w:color="auto"/>
            <w:right w:val="none" w:sz="0" w:space="0" w:color="auto"/>
          </w:divBdr>
        </w:div>
        <w:div w:id="1785490991">
          <w:marLeft w:val="640"/>
          <w:marRight w:val="0"/>
          <w:marTop w:val="0"/>
          <w:marBottom w:val="0"/>
          <w:divBdr>
            <w:top w:val="none" w:sz="0" w:space="0" w:color="auto"/>
            <w:left w:val="none" w:sz="0" w:space="0" w:color="auto"/>
            <w:bottom w:val="none" w:sz="0" w:space="0" w:color="auto"/>
            <w:right w:val="none" w:sz="0" w:space="0" w:color="auto"/>
          </w:divBdr>
        </w:div>
        <w:div w:id="595334623">
          <w:marLeft w:val="640"/>
          <w:marRight w:val="0"/>
          <w:marTop w:val="0"/>
          <w:marBottom w:val="0"/>
          <w:divBdr>
            <w:top w:val="none" w:sz="0" w:space="0" w:color="auto"/>
            <w:left w:val="none" w:sz="0" w:space="0" w:color="auto"/>
            <w:bottom w:val="none" w:sz="0" w:space="0" w:color="auto"/>
            <w:right w:val="none" w:sz="0" w:space="0" w:color="auto"/>
          </w:divBdr>
        </w:div>
        <w:div w:id="644814791">
          <w:marLeft w:val="640"/>
          <w:marRight w:val="0"/>
          <w:marTop w:val="0"/>
          <w:marBottom w:val="0"/>
          <w:divBdr>
            <w:top w:val="none" w:sz="0" w:space="0" w:color="auto"/>
            <w:left w:val="none" w:sz="0" w:space="0" w:color="auto"/>
            <w:bottom w:val="none" w:sz="0" w:space="0" w:color="auto"/>
            <w:right w:val="none" w:sz="0" w:space="0" w:color="auto"/>
          </w:divBdr>
        </w:div>
        <w:div w:id="772944874">
          <w:marLeft w:val="640"/>
          <w:marRight w:val="0"/>
          <w:marTop w:val="0"/>
          <w:marBottom w:val="0"/>
          <w:divBdr>
            <w:top w:val="none" w:sz="0" w:space="0" w:color="auto"/>
            <w:left w:val="none" w:sz="0" w:space="0" w:color="auto"/>
            <w:bottom w:val="none" w:sz="0" w:space="0" w:color="auto"/>
            <w:right w:val="none" w:sz="0" w:space="0" w:color="auto"/>
          </w:divBdr>
        </w:div>
        <w:div w:id="604466069">
          <w:marLeft w:val="640"/>
          <w:marRight w:val="0"/>
          <w:marTop w:val="0"/>
          <w:marBottom w:val="0"/>
          <w:divBdr>
            <w:top w:val="none" w:sz="0" w:space="0" w:color="auto"/>
            <w:left w:val="none" w:sz="0" w:space="0" w:color="auto"/>
            <w:bottom w:val="none" w:sz="0" w:space="0" w:color="auto"/>
            <w:right w:val="none" w:sz="0" w:space="0" w:color="auto"/>
          </w:divBdr>
        </w:div>
        <w:div w:id="1285112968">
          <w:marLeft w:val="640"/>
          <w:marRight w:val="0"/>
          <w:marTop w:val="0"/>
          <w:marBottom w:val="0"/>
          <w:divBdr>
            <w:top w:val="none" w:sz="0" w:space="0" w:color="auto"/>
            <w:left w:val="none" w:sz="0" w:space="0" w:color="auto"/>
            <w:bottom w:val="none" w:sz="0" w:space="0" w:color="auto"/>
            <w:right w:val="none" w:sz="0" w:space="0" w:color="auto"/>
          </w:divBdr>
        </w:div>
        <w:div w:id="704449917">
          <w:marLeft w:val="640"/>
          <w:marRight w:val="0"/>
          <w:marTop w:val="0"/>
          <w:marBottom w:val="0"/>
          <w:divBdr>
            <w:top w:val="none" w:sz="0" w:space="0" w:color="auto"/>
            <w:left w:val="none" w:sz="0" w:space="0" w:color="auto"/>
            <w:bottom w:val="none" w:sz="0" w:space="0" w:color="auto"/>
            <w:right w:val="none" w:sz="0" w:space="0" w:color="auto"/>
          </w:divBdr>
        </w:div>
        <w:div w:id="2012826769">
          <w:marLeft w:val="640"/>
          <w:marRight w:val="0"/>
          <w:marTop w:val="0"/>
          <w:marBottom w:val="0"/>
          <w:divBdr>
            <w:top w:val="none" w:sz="0" w:space="0" w:color="auto"/>
            <w:left w:val="none" w:sz="0" w:space="0" w:color="auto"/>
            <w:bottom w:val="none" w:sz="0" w:space="0" w:color="auto"/>
            <w:right w:val="none" w:sz="0" w:space="0" w:color="auto"/>
          </w:divBdr>
        </w:div>
        <w:div w:id="2027251742">
          <w:marLeft w:val="640"/>
          <w:marRight w:val="0"/>
          <w:marTop w:val="0"/>
          <w:marBottom w:val="0"/>
          <w:divBdr>
            <w:top w:val="none" w:sz="0" w:space="0" w:color="auto"/>
            <w:left w:val="none" w:sz="0" w:space="0" w:color="auto"/>
            <w:bottom w:val="none" w:sz="0" w:space="0" w:color="auto"/>
            <w:right w:val="none" w:sz="0" w:space="0" w:color="auto"/>
          </w:divBdr>
        </w:div>
        <w:div w:id="1779789975">
          <w:marLeft w:val="640"/>
          <w:marRight w:val="0"/>
          <w:marTop w:val="0"/>
          <w:marBottom w:val="0"/>
          <w:divBdr>
            <w:top w:val="none" w:sz="0" w:space="0" w:color="auto"/>
            <w:left w:val="none" w:sz="0" w:space="0" w:color="auto"/>
            <w:bottom w:val="none" w:sz="0" w:space="0" w:color="auto"/>
            <w:right w:val="none" w:sz="0" w:space="0" w:color="auto"/>
          </w:divBdr>
        </w:div>
        <w:div w:id="1826435489">
          <w:marLeft w:val="640"/>
          <w:marRight w:val="0"/>
          <w:marTop w:val="0"/>
          <w:marBottom w:val="0"/>
          <w:divBdr>
            <w:top w:val="none" w:sz="0" w:space="0" w:color="auto"/>
            <w:left w:val="none" w:sz="0" w:space="0" w:color="auto"/>
            <w:bottom w:val="none" w:sz="0" w:space="0" w:color="auto"/>
            <w:right w:val="none" w:sz="0" w:space="0" w:color="auto"/>
          </w:divBdr>
        </w:div>
        <w:div w:id="2783635">
          <w:marLeft w:val="640"/>
          <w:marRight w:val="0"/>
          <w:marTop w:val="0"/>
          <w:marBottom w:val="0"/>
          <w:divBdr>
            <w:top w:val="none" w:sz="0" w:space="0" w:color="auto"/>
            <w:left w:val="none" w:sz="0" w:space="0" w:color="auto"/>
            <w:bottom w:val="none" w:sz="0" w:space="0" w:color="auto"/>
            <w:right w:val="none" w:sz="0" w:space="0" w:color="auto"/>
          </w:divBdr>
        </w:div>
      </w:divsChild>
    </w:div>
    <w:div w:id="413401891">
      <w:bodyDiv w:val="1"/>
      <w:marLeft w:val="0"/>
      <w:marRight w:val="0"/>
      <w:marTop w:val="0"/>
      <w:marBottom w:val="0"/>
      <w:divBdr>
        <w:top w:val="none" w:sz="0" w:space="0" w:color="auto"/>
        <w:left w:val="none" w:sz="0" w:space="0" w:color="auto"/>
        <w:bottom w:val="none" w:sz="0" w:space="0" w:color="auto"/>
        <w:right w:val="none" w:sz="0" w:space="0" w:color="auto"/>
      </w:divBdr>
    </w:div>
    <w:div w:id="418328299">
      <w:bodyDiv w:val="1"/>
      <w:marLeft w:val="0"/>
      <w:marRight w:val="0"/>
      <w:marTop w:val="0"/>
      <w:marBottom w:val="0"/>
      <w:divBdr>
        <w:top w:val="none" w:sz="0" w:space="0" w:color="auto"/>
        <w:left w:val="none" w:sz="0" w:space="0" w:color="auto"/>
        <w:bottom w:val="none" w:sz="0" w:space="0" w:color="auto"/>
        <w:right w:val="none" w:sz="0" w:space="0" w:color="auto"/>
      </w:divBdr>
    </w:div>
    <w:div w:id="428426542">
      <w:bodyDiv w:val="1"/>
      <w:marLeft w:val="0"/>
      <w:marRight w:val="0"/>
      <w:marTop w:val="0"/>
      <w:marBottom w:val="0"/>
      <w:divBdr>
        <w:top w:val="none" w:sz="0" w:space="0" w:color="auto"/>
        <w:left w:val="none" w:sz="0" w:space="0" w:color="auto"/>
        <w:bottom w:val="none" w:sz="0" w:space="0" w:color="auto"/>
        <w:right w:val="none" w:sz="0" w:space="0" w:color="auto"/>
      </w:divBdr>
    </w:div>
    <w:div w:id="428430593">
      <w:bodyDiv w:val="1"/>
      <w:marLeft w:val="0"/>
      <w:marRight w:val="0"/>
      <w:marTop w:val="0"/>
      <w:marBottom w:val="0"/>
      <w:divBdr>
        <w:top w:val="none" w:sz="0" w:space="0" w:color="auto"/>
        <w:left w:val="none" w:sz="0" w:space="0" w:color="auto"/>
        <w:bottom w:val="none" w:sz="0" w:space="0" w:color="auto"/>
        <w:right w:val="none" w:sz="0" w:space="0" w:color="auto"/>
      </w:divBdr>
    </w:div>
    <w:div w:id="429355652">
      <w:bodyDiv w:val="1"/>
      <w:marLeft w:val="0"/>
      <w:marRight w:val="0"/>
      <w:marTop w:val="0"/>
      <w:marBottom w:val="0"/>
      <w:divBdr>
        <w:top w:val="none" w:sz="0" w:space="0" w:color="auto"/>
        <w:left w:val="none" w:sz="0" w:space="0" w:color="auto"/>
        <w:bottom w:val="none" w:sz="0" w:space="0" w:color="auto"/>
        <w:right w:val="none" w:sz="0" w:space="0" w:color="auto"/>
      </w:divBdr>
    </w:div>
    <w:div w:id="432281825">
      <w:bodyDiv w:val="1"/>
      <w:marLeft w:val="0"/>
      <w:marRight w:val="0"/>
      <w:marTop w:val="0"/>
      <w:marBottom w:val="0"/>
      <w:divBdr>
        <w:top w:val="none" w:sz="0" w:space="0" w:color="auto"/>
        <w:left w:val="none" w:sz="0" w:space="0" w:color="auto"/>
        <w:bottom w:val="none" w:sz="0" w:space="0" w:color="auto"/>
        <w:right w:val="none" w:sz="0" w:space="0" w:color="auto"/>
      </w:divBdr>
    </w:div>
    <w:div w:id="432361318">
      <w:bodyDiv w:val="1"/>
      <w:marLeft w:val="0"/>
      <w:marRight w:val="0"/>
      <w:marTop w:val="0"/>
      <w:marBottom w:val="0"/>
      <w:divBdr>
        <w:top w:val="none" w:sz="0" w:space="0" w:color="auto"/>
        <w:left w:val="none" w:sz="0" w:space="0" w:color="auto"/>
        <w:bottom w:val="none" w:sz="0" w:space="0" w:color="auto"/>
        <w:right w:val="none" w:sz="0" w:space="0" w:color="auto"/>
      </w:divBdr>
    </w:div>
    <w:div w:id="440338100">
      <w:bodyDiv w:val="1"/>
      <w:marLeft w:val="0"/>
      <w:marRight w:val="0"/>
      <w:marTop w:val="0"/>
      <w:marBottom w:val="0"/>
      <w:divBdr>
        <w:top w:val="none" w:sz="0" w:space="0" w:color="auto"/>
        <w:left w:val="none" w:sz="0" w:space="0" w:color="auto"/>
        <w:bottom w:val="none" w:sz="0" w:space="0" w:color="auto"/>
        <w:right w:val="none" w:sz="0" w:space="0" w:color="auto"/>
      </w:divBdr>
      <w:divsChild>
        <w:div w:id="855388772">
          <w:marLeft w:val="640"/>
          <w:marRight w:val="0"/>
          <w:marTop w:val="0"/>
          <w:marBottom w:val="0"/>
          <w:divBdr>
            <w:top w:val="none" w:sz="0" w:space="0" w:color="auto"/>
            <w:left w:val="none" w:sz="0" w:space="0" w:color="auto"/>
            <w:bottom w:val="none" w:sz="0" w:space="0" w:color="auto"/>
            <w:right w:val="none" w:sz="0" w:space="0" w:color="auto"/>
          </w:divBdr>
        </w:div>
        <w:div w:id="711852818">
          <w:marLeft w:val="640"/>
          <w:marRight w:val="0"/>
          <w:marTop w:val="0"/>
          <w:marBottom w:val="0"/>
          <w:divBdr>
            <w:top w:val="none" w:sz="0" w:space="0" w:color="auto"/>
            <w:left w:val="none" w:sz="0" w:space="0" w:color="auto"/>
            <w:bottom w:val="none" w:sz="0" w:space="0" w:color="auto"/>
            <w:right w:val="none" w:sz="0" w:space="0" w:color="auto"/>
          </w:divBdr>
        </w:div>
        <w:div w:id="1650941880">
          <w:marLeft w:val="640"/>
          <w:marRight w:val="0"/>
          <w:marTop w:val="0"/>
          <w:marBottom w:val="0"/>
          <w:divBdr>
            <w:top w:val="none" w:sz="0" w:space="0" w:color="auto"/>
            <w:left w:val="none" w:sz="0" w:space="0" w:color="auto"/>
            <w:bottom w:val="none" w:sz="0" w:space="0" w:color="auto"/>
            <w:right w:val="none" w:sz="0" w:space="0" w:color="auto"/>
          </w:divBdr>
        </w:div>
        <w:div w:id="984118919">
          <w:marLeft w:val="640"/>
          <w:marRight w:val="0"/>
          <w:marTop w:val="0"/>
          <w:marBottom w:val="0"/>
          <w:divBdr>
            <w:top w:val="none" w:sz="0" w:space="0" w:color="auto"/>
            <w:left w:val="none" w:sz="0" w:space="0" w:color="auto"/>
            <w:bottom w:val="none" w:sz="0" w:space="0" w:color="auto"/>
            <w:right w:val="none" w:sz="0" w:space="0" w:color="auto"/>
          </w:divBdr>
        </w:div>
        <w:div w:id="999964090">
          <w:marLeft w:val="640"/>
          <w:marRight w:val="0"/>
          <w:marTop w:val="0"/>
          <w:marBottom w:val="0"/>
          <w:divBdr>
            <w:top w:val="none" w:sz="0" w:space="0" w:color="auto"/>
            <w:left w:val="none" w:sz="0" w:space="0" w:color="auto"/>
            <w:bottom w:val="none" w:sz="0" w:space="0" w:color="auto"/>
            <w:right w:val="none" w:sz="0" w:space="0" w:color="auto"/>
          </w:divBdr>
        </w:div>
        <w:div w:id="402800987">
          <w:marLeft w:val="640"/>
          <w:marRight w:val="0"/>
          <w:marTop w:val="0"/>
          <w:marBottom w:val="0"/>
          <w:divBdr>
            <w:top w:val="none" w:sz="0" w:space="0" w:color="auto"/>
            <w:left w:val="none" w:sz="0" w:space="0" w:color="auto"/>
            <w:bottom w:val="none" w:sz="0" w:space="0" w:color="auto"/>
            <w:right w:val="none" w:sz="0" w:space="0" w:color="auto"/>
          </w:divBdr>
        </w:div>
        <w:div w:id="1600066737">
          <w:marLeft w:val="640"/>
          <w:marRight w:val="0"/>
          <w:marTop w:val="0"/>
          <w:marBottom w:val="0"/>
          <w:divBdr>
            <w:top w:val="none" w:sz="0" w:space="0" w:color="auto"/>
            <w:left w:val="none" w:sz="0" w:space="0" w:color="auto"/>
            <w:bottom w:val="none" w:sz="0" w:space="0" w:color="auto"/>
            <w:right w:val="none" w:sz="0" w:space="0" w:color="auto"/>
          </w:divBdr>
        </w:div>
        <w:div w:id="1257440423">
          <w:marLeft w:val="640"/>
          <w:marRight w:val="0"/>
          <w:marTop w:val="0"/>
          <w:marBottom w:val="0"/>
          <w:divBdr>
            <w:top w:val="none" w:sz="0" w:space="0" w:color="auto"/>
            <w:left w:val="none" w:sz="0" w:space="0" w:color="auto"/>
            <w:bottom w:val="none" w:sz="0" w:space="0" w:color="auto"/>
            <w:right w:val="none" w:sz="0" w:space="0" w:color="auto"/>
          </w:divBdr>
        </w:div>
        <w:div w:id="2139107890">
          <w:marLeft w:val="640"/>
          <w:marRight w:val="0"/>
          <w:marTop w:val="0"/>
          <w:marBottom w:val="0"/>
          <w:divBdr>
            <w:top w:val="none" w:sz="0" w:space="0" w:color="auto"/>
            <w:left w:val="none" w:sz="0" w:space="0" w:color="auto"/>
            <w:bottom w:val="none" w:sz="0" w:space="0" w:color="auto"/>
            <w:right w:val="none" w:sz="0" w:space="0" w:color="auto"/>
          </w:divBdr>
        </w:div>
        <w:div w:id="1009141087">
          <w:marLeft w:val="640"/>
          <w:marRight w:val="0"/>
          <w:marTop w:val="0"/>
          <w:marBottom w:val="0"/>
          <w:divBdr>
            <w:top w:val="none" w:sz="0" w:space="0" w:color="auto"/>
            <w:left w:val="none" w:sz="0" w:space="0" w:color="auto"/>
            <w:bottom w:val="none" w:sz="0" w:space="0" w:color="auto"/>
            <w:right w:val="none" w:sz="0" w:space="0" w:color="auto"/>
          </w:divBdr>
        </w:div>
        <w:div w:id="2034531319">
          <w:marLeft w:val="640"/>
          <w:marRight w:val="0"/>
          <w:marTop w:val="0"/>
          <w:marBottom w:val="0"/>
          <w:divBdr>
            <w:top w:val="none" w:sz="0" w:space="0" w:color="auto"/>
            <w:left w:val="none" w:sz="0" w:space="0" w:color="auto"/>
            <w:bottom w:val="none" w:sz="0" w:space="0" w:color="auto"/>
            <w:right w:val="none" w:sz="0" w:space="0" w:color="auto"/>
          </w:divBdr>
        </w:div>
        <w:div w:id="1847359688">
          <w:marLeft w:val="640"/>
          <w:marRight w:val="0"/>
          <w:marTop w:val="0"/>
          <w:marBottom w:val="0"/>
          <w:divBdr>
            <w:top w:val="none" w:sz="0" w:space="0" w:color="auto"/>
            <w:left w:val="none" w:sz="0" w:space="0" w:color="auto"/>
            <w:bottom w:val="none" w:sz="0" w:space="0" w:color="auto"/>
            <w:right w:val="none" w:sz="0" w:space="0" w:color="auto"/>
          </w:divBdr>
        </w:div>
        <w:div w:id="1290672876">
          <w:marLeft w:val="640"/>
          <w:marRight w:val="0"/>
          <w:marTop w:val="0"/>
          <w:marBottom w:val="0"/>
          <w:divBdr>
            <w:top w:val="none" w:sz="0" w:space="0" w:color="auto"/>
            <w:left w:val="none" w:sz="0" w:space="0" w:color="auto"/>
            <w:bottom w:val="none" w:sz="0" w:space="0" w:color="auto"/>
            <w:right w:val="none" w:sz="0" w:space="0" w:color="auto"/>
          </w:divBdr>
        </w:div>
        <w:div w:id="1431197589">
          <w:marLeft w:val="640"/>
          <w:marRight w:val="0"/>
          <w:marTop w:val="0"/>
          <w:marBottom w:val="0"/>
          <w:divBdr>
            <w:top w:val="none" w:sz="0" w:space="0" w:color="auto"/>
            <w:left w:val="none" w:sz="0" w:space="0" w:color="auto"/>
            <w:bottom w:val="none" w:sz="0" w:space="0" w:color="auto"/>
            <w:right w:val="none" w:sz="0" w:space="0" w:color="auto"/>
          </w:divBdr>
        </w:div>
        <w:div w:id="198248472">
          <w:marLeft w:val="640"/>
          <w:marRight w:val="0"/>
          <w:marTop w:val="0"/>
          <w:marBottom w:val="0"/>
          <w:divBdr>
            <w:top w:val="none" w:sz="0" w:space="0" w:color="auto"/>
            <w:left w:val="none" w:sz="0" w:space="0" w:color="auto"/>
            <w:bottom w:val="none" w:sz="0" w:space="0" w:color="auto"/>
            <w:right w:val="none" w:sz="0" w:space="0" w:color="auto"/>
          </w:divBdr>
        </w:div>
        <w:div w:id="485708226">
          <w:marLeft w:val="640"/>
          <w:marRight w:val="0"/>
          <w:marTop w:val="0"/>
          <w:marBottom w:val="0"/>
          <w:divBdr>
            <w:top w:val="none" w:sz="0" w:space="0" w:color="auto"/>
            <w:left w:val="none" w:sz="0" w:space="0" w:color="auto"/>
            <w:bottom w:val="none" w:sz="0" w:space="0" w:color="auto"/>
            <w:right w:val="none" w:sz="0" w:space="0" w:color="auto"/>
          </w:divBdr>
        </w:div>
        <w:div w:id="784932754">
          <w:marLeft w:val="640"/>
          <w:marRight w:val="0"/>
          <w:marTop w:val="0"/>
          <w:marBottom w:val="0"/>
          <w:divBdr>
            <w:top w:val="none" w:sz="0" w:space="0" w:color="auto"/>
            <w:left w:val="none" w:sz="0" w:space="0" w:color="auto"/>
            <w:bottom w:val="none" w:sz="0" w:space="0" w:color="auto"/>
            <w:right w:val="none" w:sz="0" w:space="0" w:color="auto"/>
          </w:divBdr>
        </w:div>
        <w:div w:id="954873203">
          <w:marLeft w:val="640"/>
          <w:marRight w:val="0"/>
          <w:marTop w:val="0"/>
          <w:marBottom w:val="0"/>
          <w:divBdr>
            <w:top w:val="none" w:sz="0" w:space="0" w:color="auto"/>
            <w:left w:val="none" w:sz="0" w:space="0" w:color="auto"/>
            <w:bottom w:val="none" w:sz="0" w:space="0" w:color="auto"/>
            <w:right w:val="none" w:sz="0" w:space="0" w:color="auto"/>
          </w:divBdr>
        </w:div>
        <w:div w:id="602034229">
          <w:marLeft w:val="640"/>
          <w:marRight w:val="0"/>
          <w:marTop w:val="0"/>
          <w:marBottom w:val="0"/>
          <w:divBdr>
            <w:top w:val="none" w:sz="0" w:space="0" w:color="auto"/>
            <w:left w:val="none" w:sz="0" w:space="0" w:color="auto"/>
            <w:bottom w:val="none" w:sz="0" w:space="0" w:color="auto"/>
            <w:right w:val="none" w:sz="0" w:space="0" w:color="auto"/>
          </w:divBdr>
        </w:div>
        <w:div w:id="876507298">
          <w:marLeft w:val="640"/>
          <w:marRight w:val="0"/>
          <w:marTop w:val="0"/>
          <w:marBottom w:val="0"/>
          <w:divBdr>
            <w:top w:val="none" w:sz="0" w:space="0" w:color="auto"/>
            <w:left w:val="none" w:sz="0" w:space="0" w:color="auto"/>
            <w:bottom w:val="none" w:sz="0" w:space="0" w:color="auto"/>
            <w:right w:val="none" w:sz="0" w:space="0" w:color="auto"/>
          </w:divBdr>
        </w:div>
        <w:div w:id="674385066">
          <w:marLeft w:val="640"/>
          <w:marRight w:val="0"/>
          <w:marTop w:val="0"/>
          <w:marBottom w:val="0"/>
          <w:divBdr>
            <w:top w:val="none" w:sz="0" w:space="0" w:color="auto"/>
            <w:left w:val="none" w:sz="0" w:space="0" w:color="auto"/>
            <w:bottom w:val="none" w:sz="0" w:space="0" w:color="auto"/>
            <w:right w:val="none" w:sz="0" w:space="0" w:color="auto"/>
          </w:divBdr>
        </w:div>
        <w:div w:id="675814702">
          <w:marLeft w:val="640"/>
          <w:marRight w:val="0"/>
          <w:marTop w:val="0"/>
          <w:marBottom w:val="0"/>
          <w:divBdr>
            <w:top w:val="none" w:sz="0" w:space="0" w:color="auto"/>
            <w:left w:val="none" w:sz="0" w:space="0" w:color="auto"/>
            <w:bottom w:val="none" w:sz="0" w:space="0" w:color="auto"/>
            <w:right w:val="none" w:sz="0" w:space="0" w:color="auto"/>
          </w:divBdr>
        </w:div>
        <w:div w:id="1925911405">
          <w:marLeft w:val="640"/>
          <w:marRight w:val="0"/>
          <w:marTop w:val="0"/>
          <w:marBottom w:val="0"/>
          <w:divBdr>
            <w:top w:val="none" w:sz="0" w:space="0" w:color="auto"/>
            <w:left w:val="none" w:sz="0" w:space="0" w:color="auto"/>
            <w:bottom w:val="none" w:sz="0" w:space="0" w:color="auto"/>
            <w:right w:val="none" w:sz="0" w:space="0" w:color="auto"/>
          </w:divBdr>
        </w:div>
        <w:div w:id="1423835647">
          <w:marLeft w:val="640"/>
          <w:marRight w:val="0"/>
          <w:marTop w:val="0"/>
          <w:marBottom w:val="0"/>
          <w:divBdr>
            <w:top w:val="none" w:sz="0" w:space="0" w:color="auto"/>
            <w:left w:val="none" w:sz="0" w:space="0" w:color="auto"/>
            <w:bottom w:val="none" w:sz="0" w:space="0" w:color="auto"/>
            <w:right w:val="none" w:sz="0" w:space="0" w:color="auto"/>
          </w:divBdr>
        </w:div>
        <w:div w:id="563488260">
          <w:marLeft w:val="640"/>
          <w:marRight w:val="0"/>
          <w:marTop w:val="0"/>
          <w:marBottom w:val="0"/>
          <w:divBdr>
            <w:top w:val="none" w:sz="0" w:space="0" w:color="auto"/>
            <w:left w:val="none" w:sz="0" w:space="0" w:color="auto"/>
            <w:bottom w:val="none" w:sz="0" w:space="0" w:color="auto"/>
            <w:right w:val="none" w:sz="0" w:space="0" w:color="auto"/>
          </w:divBdr>
        </w:div>
        <w:div w:id="25954151">
          <w:marLeft w:val="640"/>
          <w:marRight w:val="0"/>
          <w:marTop w:val="0"/>
          <w:marBottom w:val="0"/>
          <w:divBdr>
            <w:top w:val="none" w:sz="0" w:space="0" w:color="auto"/>
            <w:left w:val="none" w:sz="0" w:space="0" w:color="auto"/>
            <w:bottom w:val="none" w:sz="0" w:space="0" w:color="auto"/>
            <w:right w:val="none" w:sz="0" w:space="0" w:color="auto"/>
          </w:divBdr>
        </w:div>
        <w:div w:id="1982997807">
          <w:marLeft w:val="640"/>
          <w:marRight w:val="0"/>
          <w:marTop w:val="0"/>
          <w:marBottom w:val="0"/>
          <w:divBdr>
            <w:top w:val="none" w:sz="0" w:space="0" w:color="auto"/>
            <w:left w:val="none" w:sz="0" w:space="0" w:color="auto"/>
            <w:bottom w:val="none" w:sz="0" w:space="0" w:color="auto"/>
            <w:right w:val="none" w:sz="0" w:space="0" w:color="auto"/>
          </w:divBdr>
        </w:div>
        <w:div w:id="570190816">
          <w:marLeft w:val="640"/>
          <w:marRight w:val="0"/>
          <w:marTop w:val="0"/>
          <w:marBottom w:val="0"/>
          <w:divBdr>
            <w:top w:val="none" w:sz="0" w:space="0" w:color="auto"/>
            <w:left w:val="none" w:sz="0" w:space="0" w:color="auto"/>
            <w:bottom w:val="none" w:sz="0" w:space="0" w:color="auto"/>
            <w:right w:val="none" w:sz="0" w:space="0" w:color="auto"/>
          </w:divBdr>
        </w:div>
        <w:div w:id="264770294">
          <w:marLeft w:val="640"/>
          <w:marRight w:val="0"/>
          <w:marTop w:val="0"/>
          <w:marBottom w:val="0"/>
          <w:divBdr>
            <w:top w:val="none" w:sz="0" w:space="0" w:color="auto"/>
            <w:left w:val="none" w:sz="0" w:space="0" w:color="auto"/>
            <w:bottom w:val="none" w:sz="0" w:space="0" w:color="auto"/>
            <w:right w:val="none" w:sz="0" w:space="0" w:color="auto"/>
          </w:divBdr>
        </w:div>
        <w:div w:id="2076733767">
          <w:marLeft w:val="640"/>
          <w:marRight w:val="0"/>
          <w:marTop w:val="0"/>
          <w:marBottom w:val="0"/>
          <w:divBdr>
            <w:top w:val="none" w:sz="0" w:space="0" w:color="auto"/>
            <w:left w:val="none" w:sz="0" w:space="0" w:color="auto"/>
            <w:bottom w:val="none" w:sz="0" w:space="0" w:color="auto"/>
            <w:right w:val="none" w:sz="0" w:space="0" w:color="auto"/>
          </w:divBdr>
        </w:div>
        <w:div w:id="1503202004">
          <w:marLeft w:val="640"/>
          <w:marRight w:val="0"/>
          <w:marTop w:val="0"/>
          <w:marBottom w:val="0"/>
          <w:divBdr>
            <w:top w:val="none" w:sz="0" w:space="0" w:color="auto"/>
            <w:left w:val="none" w:sz="0" w:space="0" w:color="auto"/>
            <w:bottom w:val="none" w:sz="0" w:space="0" w:color="auto"/>
            <w:right w:val="none" w:sz="0" w:space="0" w:color="auto"/>
          </w:divBdr>
        </w:div>
        <w:div w:id="1763990901">
          <w:marLeft w:val="640"/>
          <w:marRight w:val="0"/>
          <w:marTop w:val="0"/>
          <w:marBottom w:val="0"/>
          <w:divBdr>
            <w:top w:val="none" w:sz="0" w:space="0" w:color="auto"/>
            <w:left w:val="none" w:sz="0" w:space="0" w:color="auto"/>
            <w:bottom w:val="none" w:sz="0" w:space="0" w:color="auto"/>
            <w:right w:val="none" w:sz="0" w:space="0" w:color="auto"/>
          </w:divBdr>
        </w:div>
        <w:div w:id="1679428056">
          <w:marLeft w:val="640"/>
          <w:marRight w:val="0"/>
          <w:marTop w:val="0"/>
          <w:marBottom w:val="0"/>
          <w:divBdr>
            <w:top w:val="none" w:sz="0" w:space="0" w:color="auto"/>
            <w:left w:val="none" w:sz="0" w:space="0" w:color="auto"/>
            <w:bottom w:val="none" w:sz="0" w:space="0" w:color="auto"/>
            <w:right w:val="none" w:sz="0" w:space="0" w:color="auto"/>
          </w:divBdr>
        </w:div>
        <w:div w:id="496464391">
          <w:marLeft w:val="640"/>
          <w:marRight w:val="0"/>
          <w:marTop w:val="0"/>
          <w:marBottom w:val="0"/>
          <w:divBdr>
            <w:top w:val="none" w:sz="0" w:space="0" w:color="auto"/>
            <w:left w:val="none" w:sz="0" w:space="0" w:color="auto"/>
            <w:bottom w:val="none" w:sz="0" w:space="0" w:color="auto"/>
            <w:right w:val="none" w:sz="0" w:space="0" w:color="auto"/>
          </w:divBdr>
        </w:div>
        <w:div w:id="519319550">
          <w:marLeft w:val="640"/>
          <w:marRight w:val="0"/>
          <w:marTop w:val="0"/>
          <w:marBottom w:val="0"/>
          <w:divBdr>
            <w:top w:val="none" w:sz="0" w:space="0" w:color="auto"/>
            <w:left w:val="none" w:sz="0" w:space="0" w:color="auto"/>
            <w:bottom w:val="none" w:sz="0" w:space="0" w:color="auto"/>
            <w:right w:val="none" w:sz="0" w:space="0" w:color="auto"/>
          </w:divBdr>
        </w:div>
        <w:div w:id="865797278">
          <w:marLeft w:val="640"/>
          <w:marRight w:val="0"/>
          <w:marTop w:val="0"/>
          <w:marBottom w:val="0"/>
          <w:divBdr>
            <w:top w:val="none" w:sz="0" w:space="0" w:color="auto"/>
            <w:left w:val="none" w:sz="0" w:space="0" w:color="auto"/>
            <w:bottom w:val="none" w:sz="0" w:space="0" w:color="auto"/>
            <w:right w:val="none" w:sz="0" w:space="0" w:color="auto"/>
          </w:divBdr>
        </w:div>
        <w:div w:id="407844959">
          <w:marLeft w:val="640"/>
          <w:marRight w:val="0"/>
          <w:marTop w:val="0"/>
          <w:marBottom w:val="0"/>
          <w:divBdr>
            <w:top w:val="none" w:sz="0" w:space="0" w:color="auto"/>
            <w:left w:val="none" w:sz="0" w:space="0" w:color="auto"/>
            <w:bottom w:val="none" w:sz="0" w:space="0" w:color="auto"/>
            <w:right w:val="none" w:sz="0" w:space="0" w:color="auto"/>
          </w:divBdr>
        </w:div>
        <w:div w:id="629822369">
          <w:marLeft w:val="640"/>
          <w:marRight w:val="0"/>
          <w:marTop w:val="0"/>
          <w:marBottom w:val="0"/>
          <w:divBdr>
            <w:top w:val="none" w:sz="0" w:space="0" w:color="auto"/>
            <w:left w:val="none" w:sz="0" w:space="0" w:color="auto"/>
            <w:bottom w:val="none" w:sz="0" w:space="0" w:color="auto"/>
            <w:right w:val="none" w:sz="0" w:space="0" w:color="auto"/>
          </w:divBdr>
        </w:div>
        <w:div w:id="1651250085">
          <w:marLeft w:val="640"/>
          <w:marRight w:val="0"/>
          <w:marTop w:val="0"/>
          <w:marBottom w:val="0"/>
          <w:divBdr>
            <w:top w:val="none" w:sz="0" w:space="0" w:color="auto"/>
            <w:left w:val="none" w:sz="0" w:space="0" w:color="auto"/>
            <w:bottom w:val="none" w:sz="0" w:space="0" w:color="auto"/>
            <w:right w:val="none" w:sz="0" w:space="0" w:color="auto"/>
          </w:divBdr>
        </w:div>
        <w:div w:id="772897496">
          <w:marLeft w:val="640"/>
          <w:marRight w:val="0"/>
          <w:marTop w:val="0"/>
          <w:marBottom w:val="0"/>
          <w:divBdr>
            <w:top w:val="none" w:sz="0" w:space="0" w:color="auto"/>
            <w:left w:val="none" w:sz="0" w:space="0" w:color="auto"/>
            <w:bottom w:val="none" w:sz="0" w:space="0" w:color="auto"/>
            <w:right w:val="none" w:sz="0" w:space="0" w:color="auto"/>
          </w:divBdr>
        </w:div>
        <w:div w:id="1639338660">
          <w:marLeft w:val="640"/>
          <w:marRight w:val="0"/>
          <w:marTop w:val="0"/>
          <w:marBottom w:val="0"/>
          <w:divBdr>
            <w:top w:val="none" w:sz="0" w:space="0" w:color="auto"/>
            <w:left w:val="none" w:sz="0" w:space="0" w:color="auto"/>
            <w:bottom w:val="none" w:sz="0" w:space="0" w:color="auto"/>
            <w:right w:val="none" w:sz="0" w:space="0" w:color="auto"/>
          </w:divBdr>
        </w:div>
        <w:div w:id="1861359673">
          <w:marLeft w:val="640"/>
          <w:marRight w:val="0"/>
          <w:marTop w:val="0"/>
          <w:marBottom w:val="0"/>
          <w:divBdr>
            <w:top w:val="none" w:sz="0" w:space="0" w:color="auto"/>
            <w:left w:val="none" w:sz="0" w:space="0" w:color="auto"/>
            <w:bottom w:val="none" w:sz="0" w:space="0" w:color="auto"/>
            <w:right w:val="none" w:sz="0" w:space="0" w:color="auto"/>
          </w:divBdr>
        </w:div>
        <w:div w:id="1543517999">
          <w:marLeft w:val="640"/>
          <w:marRight w:val="0"/>
          <w:marTop w:val="0"/>
          <w:marBottom w:val="0"/>
          <w:divBdr>
            <w:top w:val="none" w:sz="0" w:space="0" w:color="auto"/>
            <w:left w:val="none" w:sz="0" w:space="0" w:color="auto"/>
            <w:bottom w:val="none" w:sz="0" w:space="0" w:color="auto"/>
            <w:right w:val="none" w:sz="0" w:space="0" w:color="auto"/>
          </w:divBdr>
        </w:div>
        <w:div w:id="810057492">
          <w:marLeft w:val="640"/>
          <w:marRight w:val="0"/>
          <w:marTop w:val="0"/>
          <w:marBottom w:val="0"/>
          <w:divBdr>
            <w:top w:val="none" w:sz="0" w:space="0" w:color="auto"/>
            <w:left w:val="none" w:sz="0" w:space="0" w:color="auto"/>
            <w:bottom w:val="none" w:sz="0" w:space="0" w:color="auto"/>
            <w:right w:val="none" w:sz="0" w:space="0" w:color="auto"/>
          </w:divBdr>
        </w:div>
        <w:div w:id="1586761066">
          <w:marLeft w:val="640"/>
          <w:marRight w:val="0"/>
          <w:marTop w:val="0"/>
          <w:marBottom w:val="0"/>
          <w:divBdr>
            <w:top w:val="none" w:sz="0" w:space="0" w:color="auto"/>
            <w:left w:val="none" w:sz="0" w:space="0" w:color="auto"/>
            <w:bottom w:val="none" w:sz="0" w:space="0" w:color="auto"/>
            <w:right w:val="none" w:sz="0" w:space="0" w:color="auto"/>
          </w:divBdr>
        </w:div>
        <w:div w:id="359626396">
          <w:marLeft w:val="640"/>
          <w:marRight w:val="0"/>
          <w:marTop w:val="0"/>
          <w:marBottom w:val="0"/>
          <w:divBdr>
            <w:top w:val="none" w:sz="0" w:space="0" w:color="auto"/>
            <w:left w:val="none" w:sz="0" w:space="0" w:color="auto"/>
            <w:bottom w:val="none" w:sz="0" w:space="0" w:color="auto"/>
            <w:right w:val="none" w:sz="0" w:space="0" w:color="auto"/>
          </w:divBdr>
        </w:div>
        <w:div w:id="2044398466">
          <w:marLeft w:val="640"/>
          <w:marRight w:val="0"/>
          <w:marTop w:val="0"/>
          <w:marBottom w:val="0"/>
          <w:divBdr>
            <w:top w:val="none" w:sz="0" w:space="0" w:color="auto"/>
            <w:left w:val="none" w:sz="0" w:space="0" w:color="auto"/>
            <w:bottom w:val="none" w:sz="0" w:space="0" w:color="auto"/>
            <w:right w:val="none" w:sz="0" w:space="0" w:color="auto"/>
          </w:divBdr>
        </w:div>
        <w:div w:id="2064208886">
          <w:marLeft w:val="640"/>
          <w:marRight w:val="0"/>
          <w:marTop w:val="0"/>
          <w:marBottom w:val="0"/>
          <w:divBdr>
            <w:top w:val="none" w:sz="0" w:space="0" w:color="auto"/>
            <w:left w:val="none" w:sz="0" w:space="0" w:color="auto"/>
            <w:bottom w:val="none" w:sz="0" w:space="0" w:color="auto"/>
            <w:right w:val="none" w:sz="0" w:space="0" w:color="auto"/>
          </w:divBdr>
        </w:div>
        <w:div w:id="308945806">
          <w:marLeft w:val="640"/>
          <w:marRight w:val="0"/>
          <w:marTop w:val="0"/>
          <w:marBottom w:val="0"/>
          <w:divBdr>
            <w:top w:val="none" w:sz="0" w:space="0" w:color="auto"/>
            <w:left w:val="none" w:sz="0" w:space="0" w:color="auto"/>
            <w:bottom w:val="none" w:sz="0" w:space="0" w:color="auto"/>
            <w:right w:val="none" w:sz="0" w:space="0" w:color="auto"/>
          </w:divBdr>
        </w:div>
        <w:div w:id="231670265">
          <w:marLeft w:val="640"/>
          <w:marRight w:val="0"/>
          <w:marTop w:val="0"/>
          <w:marBottom w:val="0"/>
          <w:divBdr>
            <w:top w:val="none" w:sz="0" w:space="0" w:color="auto"/>
            <w:left w:val="none" w:sz="0" w:space="0" w:color="auto"/>
            <w:bottom w:val="none" w:sz="0" w:space="0" w:color="auto"/>
            <w:right w:val="none" w:sz="0" w:space="0" w:color="auto"/>
          </w:divBdr>
        </w:div>
        <w:div w:id="794642616">
          <w:marLeft w:val="640"/>
          <w:marRight w:val="0"/>
          <w:marTop w:val="0"/>
          <w:marBottom w:val="0"/>
          <w:divBdr>
            <w:top w:val="none" w:sz="0" w:space="0" w:color="auto"/>
            <w:left w:val="none" w:sz="0" w:space="0" w:color="auto"/>
            <w:bottom w:val="none" w:sz="0" w:space="0" w:color="auto"/>
            <w:right w:val="none" w:sz="0" w:space="0" w:color="auto"/>
          </w:divBdr>
        </w:div>
        <w:div w:id="1386567789">
          <w:marLeft w:val="640"/>
          <w:marRight w:val="0"/>
          <w:marTop w:val="0"/>
          <w:marBottom w:val="0"/>
          <w:divBdr>
            <w:top w:val="none" w:sz="0" w:space="0" w:color="auto"/>
            <w:left w:val="none" w:sz="0" w:space="0" w:color="auto"/>
            <w:bottom w:val="none" w:sz="0" w:space="0" w:color="auto"/>
            <w:right w:val="none" w:sz="0" w:space="0" w:color="auto"/>
          </w:divBdr>
        </w:div>
        <w:div w:id="2033677985">
          <w:marLeft w:val="640"/>
          <w:marRight w:val="0"/>
          <w:marTop w:val="0"/>
          <w:marBottom w:val="0"/>
          <w:divBdr>
            <w:top w:val="none" w:sz="0" w:space="0" w:color="auto"/>
            <w:left w:val="none" w:sz="0" w:space="0" w:color="auto"/>
            <w:bottom w:val="none" w:sz="0" w:space="0" w:color="auto"/>
            <w:right w:val="none" w:sz="0" w:space="0" w:color="auto"/>
          </w:divBdr>
        </w:div>
        <w:div w:id="406075143">
          <w:marLeft w:val="640"/>
          <w:marRight w:val="0"/>
          <w:marTop w:val="0"/>
          <w:marBottom w:val="0"/>
          <w:divBdr>
            <w:top w:val="none" w:sz="0" w:space="0" w:color="auto"/>
            <w:left w:val="none" w:sz="0" w:space="0" w:color="auto"/>
            <w:bottom w:val="none" w:sz="0" w:space="0" w:color="auto"/>
            <w:right w:val="none" w:sz="0" w:space="0" w:color="auto"/>
          </w:divBdr>
        </w:div>
        <w:div w:id="274674851">
          <w:marLeft w:val="640"/>
          <w:marRight w:val="0"/>
          <w:marTop w:val="0"/>
          <w:marBottom w:val="0"/>
          <w:divBdr>
            <w:top w:val="none" w:sz="0" w:space="0" w:color="auto"/>
            <w:left w:val="none" w:sz="0" w:space="0" w:color="auto"/>
            <w:bottom w:val="none" w:sz="0" w:space="0" w:color="auto"/>
            <w:right w:val="none" w:sz="0" w:space="0" w:color="auto"/>
          </w:divBdr>
        </w:div>
        <w:div w:id="1602567543">
          <w:marLeft w:val="640"/>
          <w:marRight w:val="0"/>
          <w:marTop w:val="0"/>
          <w:marBottom w:val="0"/>
          <w:divBdr>
            <w:top w:val="none" w:sz="0" w:space="0" w:color="auto"/>
            <w:left w:val="none" w:sz="0" w:space="0" w:color="auto"/>
            <w:bottom w:val="none" w:sz="0" w:space="0" w:color="auto"/>
            <w:right w:val="none" w:sz="0" w:space="0" w:color="auto"/>
          </w:divBdr>
        </w:div>
        <w:div w:id="393042796">
          <w:marLeft w:val="640"/>
          <w:marRight w:val="0"/>
          <w:marTop w:val="0"/>
          <w:marBottom w:val="0"/>
          <w:divBdr>
            <w:top w:val="none" w:sz="0" w:space="0" w:color="auto"/>
            <w:left w:val="none" w:sz="0" w:space="0" w:color="auto"/>
            <w:bottom w:val="none" w:sz="0" w:space="0" w:color="auto"/>
            <w:right w:val="none" w:sz="0" w:space="0" w:color="auto"/>
          </w:divBdr>
        </w:div>
        <w:div w:id="1578978424">
          <w:marLeft w:val="640"/>
          <w:marRight w:val="0"/>
          <w:marTop w:val="0"/>
          <w:marBottom w:val="0"/>
          <w:divBdr>
            <w:top w:val="none" w:sz="0" w:space="0" w:color="auto"/>
            <w:left w:val="none" w:sz="0" w:space="0" w:color="auto"/>
            <w:bottom w:val="none" w:sz="0" w:space="0" w:color="auto"/>
            <w:right w:val="none" w:sz="0" w:space="0" w:color="auto"/>
          </w:divBdr>
        </w:div>
        <w:div w:id="925843836">
          <w:marLeft w:val="640"/>
          <w:marRight w:val="0"/>
          <w:marTop w:val="0"/>
          <w:marBottom w:val="0"/>
          <w:divBdr>
            <w:top w:val="none" w:sz="0" w:space="0" w:color="auto"/>
            <w:left w:val="none" w:sz="0" w:space="0" w:color="auto"/>
            <w:bottom w:val="none" w:sz="0" w:space="0" w:color="auto"/>
            <w:right w:val="none" w:sz="0" w:space="0" w:color="auto"/>
          </w:divBdr>
        </w:div>
        <w:div w:id="1567253170">
          <w:marLeft w:val="640"/>
          <w:marRight w:val="0"/>
          <w:marTop w:val="0"/>
          <w:marBottom w:val="0"/>
          <w:divBdr>
            <w:top w:val="none" w:sz="0" w:space="0" w:color="auto"/>
            <w:left w:val="none" w:sz="0" w:space="0" w:color="auto"/>
            <w:bottom w:val="none" w:sz="0" w:space="0" w:color="auto"/>
            <w:right w:val="none" w:sz="0" w:space="0" w:color="auto"/>
          </w:divBdr>
        </w:div>
        <w:div w:id="1954359166">
          <w:marLeft w:val="640"/>
          <w:marRight w:val="0"/>
          <w:marTop w:val="0"/>
          <w:marBottom w:val="0"/>
          <w:divBdr>
            <w:top w:val="none" w:sz="0" w:space="0" w:color="auto"/>
            <w:left w:val="none" w:sz="0" w:space="0" w:color="auto"/>
            <w:bottom w:val="none" w:sz="0" w:space="0" w:color="auto"/>
            <w:right w:val="none" w:sz="0" w:space="0" w:color="auto"/>
          </w:divBdr>
        </w:div>
        <w:div w:id="557672387">
          <w:marLeft w:val="640"/>
          <w:marRight w:val="0"/>
          <w:marTop w:val="0"/>
          <w:marBottom w:val="0"/>
          <w:divBdr>
            <w:top w:val="none" w:sz="0" w:space="0" w:color="auto"/>
            <w:left w:val="none" w:sz="0" w:space="0" w:color="auto"/>
            <w:bottom w:val="none" w:sz="0" w:space="0" w:color="auto"/>
            <w:right w:val="none" w:sz="0" w:space="0" w:color="auto"/>
          </w:divBdr>
        </w:div>
        <w:div w:id="1493714691">
          <w:marLeft w:val="640"/>
          <w:marRight w:val="0"/>
          <w:marTop w:val="0"/>
          <w:marBottom w:val="0"/>
          <w:divBdr>
            <w:top w:val="none" w:sz="0" w:space="0" w:color="auto"/>
            <w:left w:val="none" w:sz="0" w:space="0" w:color="auto"/>
            <w:bottom w:val="none" w:sz="0" w:space="0" w:color="auto"/>
            <w:right w:val="none" w:sz="0" w:space="0" w:color="auto"/>
          </w:divBdr>
        </w:div>
        <w:div w:id="1740056590">
          <w:marLeft w:val="640"/>
          <w:marRight w:val="0"/>
          <w:marTop w:val="0"/>
          <w:marBottom w:val="0"/>
          <w:divBdr>
            <w:top w:val="none" w:sz="0" w:space="0" w:color="auto"/>
            <w:left w:val="none" w:sz="0" w:space="0" w:color="auto"/>
            <w:bottom w:val="none" w:sz="0" w:space="0" w:color="auto"/>
            <w:right w:val="none" w:sz="0" w:space="0" w:color="auto"/>
          </w:divBdr>
        </w:div>
        <w:div w:id="1019356306">
          <w:marLeft w:val="640"/>
          <w:marRight w:val="0"/>
          <w:marTop w:val="0"/>
          <w:marBottom w:val="0"/>
          <w:divBdr>
            <w:top w:val="none" w:sz="0" w:space="0" w:color="auto"/>
            <w:left w:val="none" w:sz="0" w:space="0" w:color="auto"/>
            <w:bottom w:val="none" w:sz="0" w:space="0" w:color="auto"/>
            <w:right w:val="none" w:sz="0" w:space="0" w:color="auto"/>
          </w:divBdr>
        </w:div>
        <w:div w:id="2091153609">
          <w:marLeft w:val="640"/>
          <w:marRight w:val="0"/>
          <w:marTop w:val="0"/>
          <w:marBottom w:val="0"/>
          <w:divBdr>
            <w:top w:val="none" w:sz="0" w:space="0" w:color="auto"/>
            <w:left w:val="none" w:sz="0" w:space="0" w:color="auto"/>
            <w:bottom w:val="none" w:sz="0" w:space="0" w:color="auto"/>
            <w:right w:val="none" w:sz="0" w:space="0" w:color="auto"/>
          </w:divBdr>
        </w:div>
        <w:div w:id="1728915710">
          <w:marLeft w:val="640"/>
          <w:marRight w:val="0"/>
          <w:marTop w:val="0"/>
          <w:marBottom w:val="0"/>
          <w:divBdr>
            <w:top w:val="none" w:sz="0" w:space="0" w:color="auto"/>
            <w:left w:val="none" w:sz="0" w:space="0" w:color="auto"/>
            <w:bottom w:val="none" w:sz="0" w:space="0" w:color="auto"/>
            <w:right w:val="none" w:sz="0" w:space="0" w:color="auto"/>
          </w:divBdr>
        </w:div>
        <w:div w:id="618413344">
          <w:marLeft w:val="640"/>
          <w:marRight w:val="0"/>
          <w:marTop w:val="0"/>
          <w:marBottom w:val="0"/>
          <w:divBdr>
            <w:top w:val="none" w:sz="0" w:space="0" w:color="auto"/>
            <w:left w:val="none" w:sz="0" w:space="0" w:color="auto"/>
            <w:bottom w:val="none" w:sz="0" w:space="0" w:color="auto"/>
            <w:right w:val="none" w:sz="0" w:space="0" w:color="auto"/>
          </w:divBdr>
        </w:div>
        <w:div w:id="6762026">
          <w:marLeft w:val="640"/>
          <w:marRight w:val="0"/>
          <w:marTop w:val="0"/>
          <w:marBottom w:val="0"/>
          <w:divBdr>
            <w:top w:val="none" w:sz="0" w:space="0" w:color="auto"/>
            <w:left w:val="none" w:sz="0" w:space="0" w:color="auto"/>
            <w:bottom w:val="none" w:sz="0" w:space="0" w:color="auto"/>
            <w:right w:val="none" w:sz="0" w:space="0" w:color="auto"/>
          </w:divBdr>
        </w:div>
        <w:div w:id="490102586">
          <w:marLeft w:val="640"/>
          <w:marRight w:val="0"/>
          <w:marTop w:val="0"/>
          <w:marBottom w:val="0"/>
          <w:divBdr>
            <w:top w:val="none" w:sz="0" w:space="0" w:color="auto"/>
            <w:left w:val="none" w:sz="0" w:space="0" w:color="auto"/>
            <w:bottom w:val="none" w:sz="0" w:space="0" w:color="auto"/>
            <w:right w:val="none" w:sz="0" w:space="0" w:color="auto"/>
          </w:divBdr>
        </w:div>
        <w:div w:id="1642270141">
          <w:marLeft w:val="640"/>
          <w:marRight w:val="0"/>
          <w:marTop w:val="0"/>
          <w:marBottom w:val="0"/>
          <w:divBdr>
            <w:top w:val="none" w:sz="0" w:space="0" w:color="auto"/>
            <w:left w:val="none" w:sz="0" w:space="0" w:color="auto"/>
            <w:bottom w:val="none" w:sz="0" w:space="0" w:color="auto"/>
            <w:right w:val="none" w:sz="0" w:space="0" w:color="auto"/>
          </w:divBdr>
        </w:div>
        <w:div w:id="386732305">
          <w:marLeft w:val="640"/>
          <w:marRight w:val="0"/>
          <w:marTop w:val="0"/>
          <w:marBottom w:val="0"/>
          <w:divBdr>
            <w:top w:val="none" w:sz="0" w:space="0" w:color="auto"/>
            <w:left w:val="none" w:sz="0" w:space="0" w:color="auto"/>
            <w:bottom w:val="none" w:sz="0" w:space="0" w:color="auto"/>
            <w:right w:val="none" w:sz="0" w:space="0" w:color="auto"/>
          </w:divBdr>
        </w:div>
        <w:div w:id="1374648446">
          <w:marLeft w:val="640"/>
          <w:marRight w:val="0"/>
          <w:marTop w:val="0"/>
          <w:marBottom w:val="0"/>
          <w:divBdr>
            <w:top w:val="none" w:sz="0" w:space="0" w:color="auto"/>
            <w:left w:val="none" w:sz="0" w:space="0" w:color="auto"/>
            <w:bottom w:val="none" w:sz="0" w:space="0" w:color="auto"/>
            <w:right w:val="none" w:sz="0" w:space="0" w:color="auto"/>
          </w:divBdr>
        </w:div>
        <w:div w:id="815681952">
          <w:marLeft w:val="640"/>
          <w:marRight w:val="0"/>
          <w:marTop w:val="0"/>
          <w:marBottom w:val="0"/>
          <w:divBdr>
            <w:top w:val="none" w:sz="0" w:space="0" w:color="auto"/>
            <w:left w:val="none" w:sz="0" w:space="0" w:color="auto"/>
            <w:bottom w:val="none" w:sz="0" w:space="0" w:color="auto"/>
            <w:right w:val="none" w:sz="0" w:space="0" w:color="auto"/>
          </w:divBdr>
        </w:div>
        <w:div w:id="132449115">
          <w:marLeft w:val="640"/>
          <w:marRight w:val="0"/>
          <w:marTop w:val="0"/>
          <w:marBottom w:val="0"/>
          <w:divBdr>
            <w:top w:val="none" w:sz="0" w:space="0" w:color="auto"/>
            <w:left w:val="none" w:sz="0" w:space="0" w:color="auto"/>
            <w:bottom w:val="none" w:sz="0" w:space="0" w:color="auto"/>
            <w:right w:val="none" w:sz="0" w:space="0" w:color="auto"/>
          </w:divBdr>
        </w:div>
        <w:div w:id="1322124057">
          <w:marLeft w:val="640"/>
          <w:marRight w:val="0"/>
          <w:marTop w:val="0"/>
          <w:marBottom w:val="0"/>
          <w:divBdr>
            <w:top w:val="none" w:sz="0" w:space="0" w:color="auto"/>
            <w:left w:val="none" w:sz="0" w:space="0" w:color="auto"/>
            <w:bottom w:val="none" w:sz="0" w:space="0" w:color="auto"/>
            <w:right w:val="none" w:sz="0" w:space="0" w:color="auto"/>
          </w:divBdr>
        </w:div>
        <w:div w:id="1537814158">
          <w:marLeft w:val="640"/>
          <w:marRight w:val="0"/>
          <w:marTop w:val="0"/>
          <w:marBottom w:val="0"/>
          <w:divBdr>
            <w:top w:val="none" w:sz="0" w:space="0" w:color="auto"/>
            <w:left w:val="none" w:sz="0" w:space="0" w:color="auto"/>
            <w:bottom w:val="none" w:sz="0" w:space="0" w:color="auto"/>
            <w:right w:val="none" w:sz="0" w:space="0" w:color="auto"/>
          </w:divBdr>
        </w:div>
        <w:div w:id="622200138">
          <w:marLeft w:val="640"/>
          <w:marRight w:val="0"/>
          <w:marTop w:val="0"/>
          <w:marBottom w:val="0"/>
          <w:divBdr>
            <w:top w:val="none" w:sz="0" w:space="0" w:color="auto"/>
            <w:left w:val="none" w:sz="0" w:space="0" w:color="auto"/>
            <w:bottom w:val="none" w:sz="0" w:space="0" w:color="auto"/>
            <w:right w:val="none" w:sz="0" w:space="0" w:color="auto"/>
          </w:divBdr>
        </w:div>
        <w:div w:id="1765572271">
          <w:marLeft w:val="640"/>
          <w:marRight w:val="0"/>
          <w:marTop w:val="0"/>
          <w:marBottom w:val="0"/>
          <w:divBdr>
            <w:top w:val="none" w:sz="0" w:space="0" w:color="auto"/>
            <w:left w:val="none" w:sz="0" w:space="0" w:color="auto"/>
            <w:bottom w:val="none" w:sz="0" w:space="0" w:color="auto"/>
            <w:right w:val="none" w:sz="0" w:space="0" w:color="auto"/>
          </w:divBdr>
        </w:div>
        <w:div w:id="619802924">
          <w:marLeft w:val="640"/>
          <w:marRight w:val="0"/>
          <w:marTop w:val="0"/>
          <w:marBottom w:val="0"/>
          <w:divBdr>
            <w:top w:val="none" w:sz="0" w:space="0" w:color="auto"/>
            <w:left w:val="none" w:sz="0" w:space="0" w:color="auto"/>
            <w:bottom w:val="none" w:sz="0" w:space="0" w:color="auto"/>
            <w:right w:val="none" w:sz="0" w:space="0" w:color="auto"/>
          </w:divBdr>
        </w:div>
        <w:div w:id="1469515826">
          <w:marLeft w:val="640"/>
          <w:marRight w:val="0"/>
          <w:marTop w:val="0"/>
          <w:marBottom w:val="0"/>
          <w:divBdr>
            <w:top w:val="none" w:sz="0" w:space="0" w:color="auto"/>
            <w:left w:val="none" w:sz="0" w:space="0" w:color="auto"/>
            <w:bottom w:val="none" w:sz="0" w:space="0" w:color="auto"/>
            <w:right w:val="none" w:sz="0" w:space="0" w:color="auto"/>
          </w:divBdr>
        </w:div>
        <w:div w:id="2019232745">
          <w:marLeft w:val="640"/>
          <w:marRight w:val="0"/>
          <w:marTop w:val="0"/>
          <w:marBottom w:val="0"/>
          <w:divBdr>
            <w:top w:val="none" w:sz="0" w:space="0" w:color="auto"/>
            <w:left w:val="none" w:sz="0" w:space="0" w:color="auto"/>
            <w:bottom w:val="none" w:sz="0" w:space="0" w:color="auto"/>
            <w:right w:val="none" w:sz="0" w:space="0" w:color="auto"/>
          </w:divBdr>
        </w:div>
        <w:div w:id="1823811843">
          <w:marLeft w:val="640"/>
          <w:marRight w:val="0"/>
          <w:marTop w:val="0"/>
          <w:marBottom w:val="0"/>
          <w:divBdr>
            <w:top w:val="none" w:sz="0" w:space="0" w:color="auto"/>
            <w:left w:val="none" w:sz="0" w:space="0" w:color="auto"/>
            <w:bottom w:val="none" w:sz="0" w:space="0" w:color="auto"/>
            <w:right w:val="none" w:sz="0" w:space="0" w:color="auto"/>
          </w:divBdr>
        </w:div>
        <w:div w:id="1893883332">
          <w:marLeft w:val="640"/>
          <w:marRight w:val="0"/>
          <w:marTop w:val="0"/>
          <w:marBottom w:val="0"/>
          <w:divBdr>
            <w:top w:val="none" w:sz="0" w:space="0" w:color="auto"/>
            <w:left w:val="none" w:sz="0" w:space="0" w:color="auto"/>
            <w:bottom w:val="none" w:sz="0" w:space="0" w:color="auto"/>
            <w:right w:val="none" w:sz="0" w:space="0" w:color="auto"/>
          </w:divBdr>
        </w:div>
        <w:div w:id="1045330151">
          <w:marLeft w:val="640"/>
          <w:marRight w:val="0"/>
          <w:marTop w:val="0"/>
          <w:marBottom w:val="0"/>
          <w:divBdr>
            <w:top w:val="none" w:sz="0" w:space="0" w:color="auto"/>
            <w:left w:val="none" w:sz="0" w:space="0" w:color="auto"/>
            <w:bottom w:val="none" w:sz="0" w:space="0" w:color="auto"/>
            <w:right w:val="none" w:sz="0" w:space="0" w:color="auto"/>
          </w:divBdr>
        </w:div>
        <w:div w:id="1468473848">
          <w:marLeft w:val="640"/>
          <w:marRight w:val="0"/>
          <w:marTop w:val="0"/>
          <w:marBottom w:val="0"/>
          <w:divBdr>
            <w:top w:val="none" w:sz="0" w:space="0" w:color="auto"/>
            <w:left w:val="none" w:sz="0" w:space="0" w:color="auto"/>
            <w:bottom w:val="none" w:sz="0" w:space="0" w:color="auto"/>
            <w:right w:val="none" w:sz="0" w:space="0" w:color="auto"/>
          </w:divBdr>
        </w:div>
        <w:div w:id="928275058">
          <w:marLeft w:val="640"/>
          <w:marRight w:val="0"/>
          <w:marTop w:val="0"/>
          <w:marBottom w:val="0"/>
          <w:divBdr>
            <w:top w:val="none" w:sz="0" w:space="0" w:color="auto"/>
            <w:left w:val="none" w:sz="0" w:space="0" w:color="auto"/>
            <w:bottom w:val="none" w:sz="0" w:space="0" w:color="auto"/>
            <w:right w:val="none" w:sz="0" w:space="0" w:color="auto"/>
          </w:divBdr>
        </w:div>
        <w:div w:id="1783719094">
          <w:marLeft w:val="640"/>
          <w:marRight w:val="0"/>
          <w:marTop w:val="0"/>
          <w:marBottom w:val="0"/>
          <w:divBdr>
            <w:top w:val="none" w:sz="0" w:space="0" w:color="auto"/>
            <w:left w:val="none" w:sz="0" w:space="0" w:color="auto"/>
            <w:bottom w:val="none" w:sz="0" w:space="0" w:color="auto"/>
            <w:right w:val="none" w:sz="0" w:space="0" w:color="auto"/>
          </w:divBdr>
        </w:div>
        <w:div w:id="799999343">
          <w:marLeft w:val="640"/>
          <w:marRight w:val="0"/>
          <w:marTop w:val="0"/>
          <w:marBottom w:val="0"/>
          <w:divBdr>
            <w:top w:val="none" w:sz="0" w:space="0" w:color="auto"/>
            <w:left w:val="none" w:sz="0" w:space="0" w:color="auto"/>
            <w:bottom w:val="none" w:sz="0" w:space="0" w:color="auto"/>
            <w:right w:val="none" w:sz="0" w:space="0" w:color="auto"/>
          </w:divBdr>
        </w:div>
        <w:div w:id="2030910563">
          <w:marLeft w:val="640"/>
          <w:marRight w:val="0"/>
          <w:marTop w:val="0"/>
          <w:marBottom w:val="0"/>
          <w:divBdr>
            <w:top w:val="none" w:sz="0" w:space="0" w:color="auto"/>
            <w:left w:val="none" w:sz="0" w:space="0" w:color="auto"/>
            <w:bottom w:val="none" w:sz="0" w:space="0" w:color="auto"/>
            <w:right w:val="none" w:sz="0" w:space="0" w:color="auto"/>
          </w:divBdr>
        </w:div>
        <w:div w:id="929851440">
          <w:marLeft w:val="640"/>
          <w:marRight w:val="0"/>
          <w:marTop w:val="0"/>
          <w:marBottom w:val="0"/>
          <w:divBdr>
            <w:top w:val="none" w:sz="0" w:space="0" w:color="auto"/>
            <w:left w:val="none" w:sz="0" w:space="0" w:color="auto"/>
            <w:bottom w:val="none" w:sz="0" w:space="0" w:color="auto"/>
            <w:right w:val="none" w:sz="0" w:space="0" w:color="auto"/>
          </w:divBdr>
        </w:div>
        <w:div w:id="290868311">
          <w:marLeft w:val="640"/>
          <w:marRight w:val="0"/>
          <w:marTop w:val="0"/>
          <w:marBottom w:val="0"/>
          <w:divBdr>
            <w:top w:val="none" w:sz="0" w:space="0" w:color="auto"/>
            <w:left w:val="none" w:sz="0" w:space="0" w:color="auto"/>
            <w:bottom w:val="none" w:sz="0" w:space="0" w:color="auto"/>
            <w:right w:val="none" w:sz="0" w:space="0" w:color="auto"/>
          </w:divBdr>
        </w:div>
        <w:div w:id="1087463228">
          <w:marLeft w:val="640"/>
          <w:marRight w:val="0"/>
          <w:marTop w:val="0"/>
          <w:marBottom w:val="0"/>
          <w:divBdr>
            <w:top w:val="none" w:sz="0" w:space="0" w:color="auto"/>
            <w:left w:val="none" w:sz="0" w:space="0" w:color="auto"/>
            <w:bottom w:val="none" w:sz="0" w:space="0" w:color="auto"/>
            <w:right w:val="none" w:sz="0" w:space="0" w:color="auto"/>
          </w:divBdr>
        </w:div>
        <w:div w:id="683361753">
          <w:marLeft w:val="640"/>
          <w:marRight w:val="0"/>
          <w:marTop w:val="0"/>
          <w:marBottom w:val="0"/>
          <w:divBdr>
            <w:top w:val="none" w:sz="0" w:space="0" w:color="auto"/>
            <w:left w:val="none" w:sz="0" w:space="0" w:color="auto"/>
            <w:bottom w:val="none" w:sz="0" w:space="0" w:color="auto"/>
            <w:right w:val="none" w:sz="0" w:space="0" w:color="auto"/>
          </w:divBdr>
        </w:div>
        <w:div w:id="1130123186">
          <w:marLeft w:val="640"/>
          <w:marRight w:val="0"/>
          <w:marTop w:val="0"/>
          <w:marBottom w:val="0"/>
          <w:divBdr>
            <w:top w:val="none" w:sz="0" w:space="0" w:color="auto"/>
            <w:left w:val="none" w:sz="0" w:space="0" w:color="auto"/>
            <w:bottom w:val="none" w:sz="0" w:space="0" w:color="auto"/>
            <w:right w:val="none" w:sz="0" w:space="0" w:color="auto"/>
          </w:divBdr>
        </w:div>
        <w:div w:id="2055687978">
          <w:marLeft w:val="640"/>
          <w:marRight w:val="0"/>
          <w:marTop w:val="0"/>
          <w:marBottom w:val="0"/>
          <w:divBdr>
            <w:top w:val="none" w:sz="0" w:space="0" w:color="auto"/>
            <w:left w:val="none" w:sz="0" w:space="0" w:color="auto"/>
            <w:bottom w:val="none" w:sz="0" w:space="0" w:color="auto"/>
            <w:right w:val="none" w:sz="0" w:space="0" w:color="auto"/>
          </w:divBdr>
        </w:div>
        <w:div w:id="233393145">
          <w:marLeft w:val="640"/>
          <w:marRight w:val="0"/>
          <w:marTop w:val="0"/>
          <w:marBottom w:val="0"/>
          <w:divBdr>
            <w:top w:val="none" w:sz="0" w:space="0" w:color="auto"/>
            <w:left w:val="none" w:sz="0" w:space="0" w:color="auto"/>
            <w:bottom w:val="none" w:sz="0" w:space="0" w:color="auto"/>
            <w:right w:val="none" w:sz="0" w:space="0" w:color="auto"/>
          </w:divBdr>
        </w:div>
        <w:div w:id="693699022">
          <w:marLeft w:val="640"/>
          <w:marRight w:val="0"/>
          <w:marTop w:val="0"/>
          <w:marBottom w:val="0"/>
          <w:divBdr>
            <w:top w:val="none" w:sz="0" w:space="0" w:color="auto"/>
            <w:left w:val="none" w:sz="0" w:space="0" w:color="auto"/>
            <w:bottom w:val="none" w:sz="0" w:space="0" w:color="auto"/>
            <w:right w:val="none" w:sz="0" w:space="0" w:color="auto"/>
          </w:divBdr>
        </w:div>
        <w:div w:id="1155147212">
          <w:marLeft w:val="640"/>
          <w:marRight w:val="0"/>
          <w:marTop w:val="0"/>
          <w:marBottom w:val="0"/>
          <w:divBdr>
            <w:top w:val="none" w:sz="0" w:space="0" w:color="auto"/>
            <w:left w:val="none" w:sz="0" w:space="0" w:color="auto"/>
            <w:bottom w:val="none" w:sz="0" w:space="0" w:color="auto"/>
            <w:right w:val="none" w:sz="0" w:space="0" w:color="auto"/>
          </w:divBdr>
        </w:div>
        <w:div w:id="231744442">
          <w:marLeft w:val="640"/>
          <w:marRight w:val="0"/>
          <w:marTop w:val="0"/>
          <w:marBottom w:val="0"/>
          <w:divBdr>
            <w:top w:val="none" w:sz="0" w:space="0" w:color="auto"/>
            <w:left w:val="none" w:sz="0" w:space="0" w:color="auto"/>
            <w:bottom w:val="none" w:sz="0" w:space="0" w:color="auto"/>
            <w:right w:val="none" w:sz="0" w:space="0" w:color="auto"/>
          </w:divBdr>
        </w:div>
        <w:div w:id="609511291">
          <w:marLeft w:val="640"/>
          <w:marRight w:val="0"/>
          <w:marTop w:val="0"/>
          <w:marBottom w:val="0"/>
          <w:divBdr>
            <w:top w:val="none" w:sz="0" w:space="0" w:color="auto"/>
            <w:left w:val="none" w:sz="0" w:space="0" w:color="auto"/>
            <w:bottom w:val="none" w:sz="0" w:space="0" w:color="auto"/>
            <w:right w:val="none" w:sz="0" w:space="0" w:color="auto"/>
          </w:divBdr>
        </w:div>
        <w:div w:id="309136221">
          <w:marLeft w:val="640"/>
          <w:marRight w:val="0"/>
          <w:marTop w:val="0"/>
          <w:marBottom w:val="0"/>
          <w:divBdr>
            <w:top w:val="none" w:sz="0" w:space="0" w:color="auto"/>
            <w:left w:val="none" w:sz="0" w:space="0" w:color="auto"/>
            <w:bottom w:val="none" w:sz="0" w:space="0" w:color="auto"/>
            <w:right w:val="none" w:sz="0" w:space="0" w:color="auto"/>
          </w:divBdr>
        </w:div>
        <w:div w:id="1955625754">
          <w:marLeft w:val="640"/>
          <w:marRight w:val="0"/>
          <w:marTop w:val="0"/>
          <w:marBottom w:val="0"/>
          <w:divBdr>
            <w:top w:val="none" w:sz="0" w:space="0" w:color="auto"/>
            <w:left w:val="none" w:sz="0" w:space="0" w:color="auto"/>
            <w:bottom w:val="none" w:sz="0" w:space="0" w:color="auto"/>
            <w:right w:val="none" w:sz="0" w:space="0" w:color="auto"/>
          </w:divBdr>
        </w:div>
        <w:div w:id="938686278">
          <w:marLeft w:val="640"/>
          <w:marRight w:val="0"/>
          <w:marTop w:val="0"/>
          <w:marBottom w:val="0"/>
          <w:divBdr>
            <w:top w:val="none" w:sz="0" w:space="0" w:color="auto"/>
            <w:left w:val="none" w:sz="0" w:space="0" w:color="auto"/>
            <w:bottom w:val="none" w:sz="0" w:space="0" w:color="auto"/>
            <w:right w:val="none" w:sz="0" w:space="0" w:color="auto"/>
          </w:divBdr>
        </w:div>
        <w:div w:id="543834436">
          <w:marLeft w:val="640"/>
          <w:marRight w:val="0"/>
          <w:marTop w:val="0"/>
          <w:marBottom w:val="0"/>
          <w:divBdr>
            <w:top w:val="none" w:sz="0" w:space="0" w:color="auto"/>
            <w:left w:val="none" w:sz="0" w:space="0" w:color="auto"/>
            <w:bottom w:val="none" w:sz="0" w:space="0" w:color="auto"/>
            <w:right w:val="none" w:sz="0" w:space="0" w:color="auto"/>
          </w:divBdr>
        </w:div>
        <w:div w:id="1507018434">
          <w:marLeft w:val="640"/>
          <w:marRight w:val="0"/>
          <w:marTop w:val="0"/>
          <w:marBottom w:val="0"/>
          <w:divBdr>
            <w:top w:val="none" w:sz="0" w:space="0" w:color="auto"/>
            <w:left w:val="none" w:sz="0" w:space="0" w:color="auto"/>
            <w:bottom w:val="none" w:sz="0" w:space="0" w:color="auto"/>
            <w:right w:val="none" w:sz="0" w:space="0" w:color="auto"/>
          </w:divBdr>
        </w:div>
        <w:div w:id="442503617">
          <w:marLeft w:val="640"/>
          <w:marRight w:val="0"/>
          <w:marTop w:val="0"/>
          <w:marBottom w:val="0"/>
          <w:divBdr>
            <w:top w:val="none" w:sz="0" w:space="0" w:color="auto"/>
            <w:left w:val="none" w:sz="0" w:space="0" w:color="auto"/>
            <w:bottom w:val="none" w:sz="0" w:space="0" w:color="auto"/>
            <w:right w:val="none" w:sz="0" w:space="0" w:color="auto"/>
          </w:divBdr>
        </w:div>
        <w:div w:id="961694266">
          <w:marLeft w:val="640"/>
          <w:marRight w:val="0"/>
          <w:marTop w:val="0"/>
          <w:marBottom w:val="0"/>
          <w:divBdr>
            <w:top w:val="none" w:sz="0" w:space="0" w:color="auto"/>
            <w:left w:val="none" w:sz="0" w:space="0" w:color="auto"/>
            <w:bottom w:val="none" w:sz="0" w:space="0" w:color="auto"/>
            <w:right w:val="none" w:sz="0" w:space="0" w:color="auto"/>
          </w:divBdr>
        </w:div>
        <w:div w:id="611015237">
          <w:marLeft w:val="640"/>
          <w:marRight w:val="0"/>
          <w:marTop w:val="0"/>
          <w:marBottom w:val="0"/>
          <w:divBdr>
            <w:top w:val="none" w:sz="0" w:space="0" w:color="auto"/>
            <w:left w:val="none" w:sz="0" w:space="0" w:color="auto"/>
            <w:bottom w:val="none" w:sz="0" w:space="0" w:color="auto"/>
            <w:right w:val="none" w:sz="0" w:space="0" w:color="auto"/>
          </w:divBdr>
        </w:div>
        <w:div w:id="486824572">
          <w:marLeft w:val="640"/>
          <w:marRight w:val="0"/>
          <w:marTop w:val="0"/>
          <w:marBottom w:val="0"/>
          <w:divBdr>
            <w:top w:val="none" w:sz="0" w:space="0" w:color="auto"/>
            <w:left w:val="none" w:sz="0" w:space="0" w:color="auto"/>
            <w:bottom w:val="none" w:sz="0" w:space="0" w:color="auto"/>
            <w:right w:val="none" w:sz="0" w:space="0" w:color="auto"/>
          </w:divBdr>
        </w:div>
        <w:div w:id="1834639020">
          <w:marLeft w:val="640"/>
          <w:marRight w:val="0"/>
          <w:marTop w:val="0"/>
          <w:marBottom w:val="0"/>
          <w:divBdr>
            <w:top w:val="none" w:sz="0" w:space="0" w:color="auto"/>
            <w:left w:val="none" w:sz="0" w:space="0" w:color="auto"/>
            <w:bottom w:val="none" w:sz="0" w:space="0" w:color="auto"/>
            <w:right w:val="none" w:sz="0" w:space="0" w:color="auto"/>
          </w:divBdr>
        </w:div>
        <w:div w:id="16467675">
          <w:marLeft w:val="640"/>
          <w:marRight w:val="0"/>
          <w:marTop w:val="0"/>
          <w:marBottom w:val="0"/>
          <w:divBdr>
            <w:top w:val="none" w:sz="0" w:space="0" w:color="auto"/>
            <w:left w:val="none" w:sz="0" w:space="0" w:color="auto"/>
            <w:bottom w:val="none" w:sz="0" w:space="0" w:color="auto"/>
            <w:right w:val="none" w:sz="0" w:space="0" w:color="auto"/>
          </w:divBdr>
        </w:div>
        <w:div w:id="1311130957">
          <w:marLeft w:val="640"/>
          <w:marRight w:val="0"/>
          <w:marTop w:val="0"/>
          <w:marBottom w:val="0"/>
          <w:divBdr>
            <w:top w:val="none" w:sz="0" w:space="0" w:color="auto"/>
            <w:left w:val="none" w:sz="0" w:space="0" w:color="auto"/>
            <w:bottom w:val="none" w:sz="0" w:space="0" w:color="auto"/>
            <w:right w:val="none" w:sz="0" w:space="0" w:color="auto"/>
          </w:divBdr>
        </w:div>
        <w:div w:id="1088427168">
          <w:marLeft w:val="640"/>
          <w:marRight w:val="0"/>
          <w:marTop w:val="0"/>
          <w:marBottom w:val="0"/>
          <w:divBdr>
            <w:top w:val="none" w:sz="0" w:space="0" w:color="auto"/>
            <w:left w:val="none" w:sz="0" w:space="0" w:color="auto"/>
            <w:bottom w:val="none" w:sz="0" w:space="0" w:color="auto"/>
            <w:right w:val="none" w:sz="0" w:space="0" w:color="auto"/>
          </w:divBdr>
        </w:div>
        <w:div w:id="1086998142">
          <w:marLeft w:val="640"/>
          <w:marRight w:val="0"/>
          <w:marTop w:val="0"/>
          <w:marBottom w:val="0"/>
          <w:divBdr>
            <w:top w:val="none" w:sz="0" w:space="0" w:color="auto"/>
            <w:left w:val="none" w:sz="0" w:space="0" w:color="auto"/>
            <w:bottom w:val="none" w:sz="0" w:space="0" w:color="auto"/>
            <w:right w:val="none" w:sz="0" w:space="0" w:color="auto"/>
          </w:divBdr>
        </w:div>
        <w:div w:id="2058778439">
          <w:marLeft w:val="640"/>
          <w:marRight w:val="0"/>
          <w:marTop w:val="0"/>
          <w:marBottom w:val="0"/>
          <w:divBdr>
            <w:top w:val="none" w:sz="0" w:space="0" w:color="auto"/>
            <w:left w:val="none" w:sz="0" w:space="0" w:color="auto"/>
            <w:bottom w:val="none" w:sz="0" w:space="0" w:color="auto"/>
            <w:right w:val="none" w:sz="0" w:space="0" w:color="auto"/>
          </w:divBdr>
        </w:div>
        <w:div w:id="411898391">
          <w:marLeft w:val="640"/>
          <w:marRight w:val="0"/>
          <w:marTop w:val="0"/>
          <w:marBottom w:val="0"/>
          <w:divBdr>
            <w:top w:val="none" w:sz="0" w:space="0" w:color="auto"/>
            <w:left w:val="none" w:sz="0" w:space="0" w:color="auto"/>
            <w:bottom w:val="none" w:sz="0" w:space="0" w:color="auto"/>
            <w:right w:val="none" w:sz="0" w:space="0" w:color="auto"/>
          </w:divBdr>
        </w:div>
        <w:div w:id="214123965">
          <w:marLeft w:val="640"/>
          <w:marRight w:val="0"/>
          <w:marTop w:val="0"/>
          <w:marBottom w:val="0"/>
          <w:divBdr>
            <w:top w:val="none" w:sz="0" w:space="0" w:color="auto"/>
            <w:left w:val="none" w:sz="0" w:space="0" w:color="auto"/>
            <w:bottom w:val="none" w:sz="0" w:space="0" w:color="auto"/>
            <w:right w:val="none" w:sz="0" w:space="0" w:color="auto"/>
          </w:divBdr>
        </w:div>
        <w:div w:id="1863323720">
          <w:marLeft w:val="640"/>
          <w:marRight w:val="0"/>
          <w:marTop w:val="0"/>
          <w:marBottom w:val="0"/>
          <w:divBdr>
            <w:top w:val="none" w:sz="0" w:space="0" w:color="auto"/>
            <w:left w:val="none" w:sz="0" w:space="0" w:color="auto"/>
            <w:bottom w:val="none" w:sz="0" w:space="0" w:color="auto"/>
            <w:right w:val="none" w:sz="0" w:space="0" w:color="auto"/>
          </w:divBdr>
        </w:div>
        <w:div w:id="639652918">
          <w:marLeft w:val="640"/>
          <w:marRight w:val="0"/>
          <w:marTop w:val="0"/>
          <w:marBottom w:val="0"/>
          <w:divBdr>
            <w:top w:val="none" w:sz="0" w:space="0" w:color="auto"/>
            <w:left w:val="none" w:sz="0" w:space="0" w:color="auto"/>
            <w:bottom w:val="none" w:sz="0" w:space="0" w:color="auto"/>
            <w:right w:val="none" w:sz="0" w:space="0" w:color="auto"/>
          </w:divBdr>
        </w:div>
        <w:div w:id="1085761331">
          <w:marLeft w:val="640"/>
          <w:marRight w:val="0"/>
          <w:marTop w:val="0"/>
          <w:marBottom w:val="0"/>
          <w:divBdr>
            <w:top w:val="none" w:sz="0" w:space="0" w:color="auto"/>
            <w:left w:val="none" w:sz="0" w:space="0" w:color="auto"/>
            <w:bottom w:val="none" w:sz="0" w:space="0" w:color="auto"/>
            <w:right w:val="none" w:sz="0" w:space="0" w:color="auto"/>
          </w:divBdr>
        </w:div>
        <w:div w:id="1150711440">
          <w:marLeft w:val="640"/>
          <w:marRight w:val="0"/>
          <w:marTop w:val="0"/>
          <w:marBottom w:val="0"/>
          <w:divBdr>
            <w:top w:val="none" w:sz="0" w:space="0" w:color="auto"/>
            <w:left w:val="none" w:sz="0" w:space="0" w:color="auto"/>
            <w:bottom w:val="none" w:sz="0" w:space="0" w:color="auto"/>
            <w:right w:val="none" w:sz="0" w:space="0" w:color="auto"/>
          </w:divBdr>
        </w:div>
        <w:div w:id="488405510">
          <w:marLeft w:val="640"/>
          <w:marRight w:val="0"/>
          <w:marTop w:val="0"/>
          <w:marBottom w:val="0"/>
          <w:divBdr>
            <w:top w:val="none" w:sz="0" w:space="0" w:color="auto"/>
            <w:left w:val="none" w:sz="0" w:space="0" w:color="auto"/>
            <w:bottom w:val="none" w:sz="0" w:space="0" w:color="auto"/>
            <w:right w:val="none" w:sz="0" w:space="0" w:color="auto"/>
          </w:divBdr>
        </w:div>
        <w:div w:id="1888833756">
          <w:marLeft w:val="640"/>
          <w:marRight w:val="0"/>
          <w:marTop w:val="0"/>
          <w:marBottom w:val="0"/>
          <w:divBdr>
            <w:top w:val="none" w:sz="0" w:space="0" w:color="auto"/>
            <w:left w:val="none" w:sz="0" w:space="0" w:color="auto"/>
            <w:bottom w:val="none" w:sz="0" w:space="0" w:color="auto"/>
            <w:right w:val="none" w:sz="0" w:space="0" w:color="auto"/>
          </w:divBdr>
        </w:div>
        <w:div w:id="988244667">
          <w:marLeft w:val="640"/>
          <w:marRight w:val="0"/>
          <w:marTop w:val="0"/>
          <w:marBottom w:val="0"/>
          <w:divBdr>
            <w:top w:val="none" w:sz="0" w:space="0" w:color="auto"/>
            <w:left w:val="none" w:sz="0" w:space="0" w:color="auto"/>
            <w:bottom w:val="none" w:sz="0" w:space="0" w:color="auto"/>
            <w:right w:val="none" w:sz="0" w:space="0" w:color="auto"/>
          </w:divBdr>
        </w:div>
        <w:div w:id="1060904533">
          <w:marLeft w:val="640"/>
          <w:marRight w:val="0"/>
          <w:marTop w:val="0"/>
          <w:marBottom w:val="0"/>
          <w:divBdr>
            <w:top w:val="none" w:sz="0" w:space="0" w:color="auto"/>
            <w:left w:val="none" w:sz="0" w:space="0" w:color="auto"/>
            <w:bottom w:val="none" w:sz="0" w:space="0" w:color="auto"/>
            <w:right w:val="none" w:sz="0" w:space="0" w:color="auto"/>
          </w:divBdr>
        </w:div>
        <w:div w:id="661395543">
          <w:marLeft w:val="640"/>
          <w:marRight w:val="0"/>
          <w:marTop w:val="0"/>
          <w:marBottom w:val="0"/>
          <w:divBdr>
            <w:top w:val="none" w:sz="0" w:space="0" w:color="auto"/>
            <w:left w:val="none" w:sz="0" w:space="0" w:color="auto"/>
            <w:bottom w:val="none" w:sz="0" w:space="0" w:color="auto"/>
            <w:right w:val="none" w:sz="0" w:space="0" w:color="auto"/>
          </w:divBdr>
        </w:div>
        <w:div w:id="1374769472">
          <w:marLeft w:val="640"/>
          <w:marRight w:val="0"/>
          <w:marTop w:val="0"/>
          <w:marBottom w:val="0"/>
          <w:divBdr>
            <w:top w:val="none" w:sz="0" w:space="0" w:color="auto"/>
            <w:left w:val="none" w:sz="0" w:space="0" w:color="auto"/>
            <w:bottom w:val="none" w:sz="0" w:space="0" w:color="auto"/>
            <w:right w:val="none" w:sz="0" w:space="0" w:color="auto"/>
          </w:divBdr>
        </w:div>
        <w:div w:id="720904617">
          <w:marLeft w:val="640"/>
          <w:marRight w:val="0"/>
          <w:marTop w:val="0"/>
          <w:marBottom w:val="0"/>
          <w:divBdr>
            <w:top w:val="none" w:sz="0" w:space="0" w:color="auto"/>
            <w:left w:val="none" w:sz="0" w:space="0" w:color="auto"/>
            <w:bottom w:val="none" w:sz="0" w:space="0" w:color="auto"/>
            <w:right w:val="none" w:sz="0" w:space="0" w:color="auto"/>
          </w:divBdr>
        </w:div>
        <w:div w:id="1720130024">
          <w:marLeft w:val="640"/>
          <w:marRight w:val="0"/>
          <w:marTop w:val="0"/>
          <w:marBottom w:val="0"/>
          <w:divBdr>
            <w:top w:val="none" w:sz="0" w:space="0" w:color="auto"/>
            <w:left w:val="none" w:sz="0" w:space="0" w:color="auto"/>
            <w:bottom w:val="none" w:sz="0" w:space="0" w:color="auto"/>
            <w:right w:val="none" w:sz="0" w:space="0" w:color="auto"/>
          </w:divBdr>
        </w:div>
        <w:div w:id="1932278871">
          <w:marLeft w:val="640"/>
          <w:marRight w:val="0"/>
          <w:marTop w:val="0"/>
          <w:marBottom w:val="0"/>
          <w:divBdr>
            <w:top w:val="none" w:sz="0" w:space="0" w:color="auto"/>
            <w:left w:val="none" w:sz="0" w:space="0" w:color="auto"/>
            <w:bottom w:val="none" w:sz="0" w:space="0" w:color="auto"/>
            <w:right w:val="none" w:sz="0" w:space="0" w:color="auto"/>
          </w:divBdr>
        </w:div>
        <w:div w:id="1729376375">
          <w:marLeft w:val="640"/>
          <w:marRight w:val="0"/>
          <w:marTop w:val="0"/>
          <w:marBottom w:val="0"/>
          <w:divBdr>
            <w:top w:val="none" w:sz="0" w:space="0" w:color="auto"/>
            <w:left w:val="none" w:sz="0" w:space="0" w:color="auto"/>
            <w:bottom w:val="none" w:sz="0" w:space="0" w:color="auto"/>
            <w:right w:val="none" w:sz="0" w:space="0" w:color="auto"/>
          </w:divBdr>
        </w:div>
        <w:div w:id="1494372687">
          <w:marLeft w:val="640"/>
          <w:marRight w:val="0"/>
          <w:marTop w:val="0"/>
          <w:marBottom w:val="0"/>
          <w:divBdr>
            <w:top w:val="none" w:sz="0" w:space="0" w:color="auto"/>
            <w:left w:val="none" w:sz="0" w:space="0" w:color="auto"/>
            <w:bottom w:val="none" w:sz="0" w:space="0" w:color="auto"/>
            <w:right w:val="none" w:sz="0" w:space="0" w:color="auto"/>
          </w:divBdr>
        </w:div>
        <w:div w:id="1878080990">
          <w:marLeft w:val="640"/>
          <w:marRight w:val="0"/>
          <w:marTop w:val="0"/>
          <w:marBottom w:val="0"/>
          <w:divBdr>
            <w:top w:val="none" w:sz="0" w:space="0" w:color="auto"/>
            <w:left w:val="none" w:sz="0" w:space="0" w:color="auto"/>
            <w:bottom w:val="none" w:sz="0" w:space="0" w:color="auto"/>
            <w:right w:val="none" w:sz="0" w:space="0" w:color="auto"/>
          </w:divBdr>
        </w:div>
        <w:div w:id="2129926836">
          <w:marLeft w:val="640"/>
          <w:marRight w:val="0"/>
          <w:marTop w:val="0"/>
          <w:marBottom w:val="0"/>
          <w:divBdr>
            <w:top w:val="none" w:sz="0" w:space="0" w:color="auto"/>
            <w:left w:val="none" w:sz="0" w:space="0" w:color="auto"/>
            <w:bottom w:val="none" w:sz="0" w:space="0" w:color="auto"/>
            <w:right w:val="none" w:sz="0" w:space="0" w:color="auto"/>
          </w:divBdr>
        </w:div>
        <w:div w:id="189150726">
          <w:marLeft w:val="640"/>
          <w:marRight w:val="0"/>
          <w:marTop w:val="0"/>
          <w:marBottom w:val="0"/>
          <w:divBdr>
            <w:top w:val="none" w:sz="0" w:space="0" w:color="auto"/>
            <w:left w:val="none" w:sz="0" w:space="0" w:color="auto"/>
            <w:bottom w:val="none" w:sz="0" w:space="0" w:color="auto"/>
            <w:right w:val="none" w:sz="0" w:space="0" w:color="auto"/>
          </w:divBdr>
        </w:div>
        <w:div w:id="319623352">
          <w:marLeft w:val="640"/>
          <w:marRight w:val="0"/>
          <w:marTop w:val="0"/>
          <w:marBottom w:val="0"/>
          <w:divBdr>
            <w:top w:val="none" w:sz="0" w:space="0" w:color="auto"/>
            <w:left w:val="none" w:sz="0" w:space="0" w:color="auto"/>
            <w:bottom w:val="none" w:sz="0" w:space="0" w:color="auto"/>
            <w:right w:val="none" w:sz="0" w:space="0" w:color="auto"/>
          </w:divBdr>
        </w:div>
        <w:div w:id="1635285468">
          <w:marLeft w:val="640"/>
          <w:marRight w:val="0"/>
          <w:marTop w:val="0"/>
          <w:marBottom w:val="0"/>
          <w:divBdr>
            <w:top w:val="none" w:sz="0" w:space="0" w:color="auto"/>
            <w:left w:val="none" w:sz="0" w:space="0" w:color="auto"/>
            <w:bottom w:val="none" w:sz="0" w:space="0" w:color="auto"/>
            <w:right w:val="none" w:sz="0" w:space="0" w:color="auto"/>
          </w:divBdr>
        </w:div>
        <w:div w:id="108940557">
          <w:marLeft w:val="640"/>
          <w:marRight w:val="0"/>
          <w:marTop w:val="0"/>
          <w:marBottom w:val="0"/>
          <w:divBdr>
            <w:top w:val="none" w:sz="0" w:space="0" w:color="auto"/>
            <w:left w:val="none" w:sz="0" w:space="0" w:color="auto"/>
            <w:bottom w:val="none" w:sz="0" w:space="0" w:color="auto"/>
            <w:right w:val="none" w:sz="0" w:space="0" w:color="auto"/>
          </w:divBdr>
        </w:div>
        <w:div w:id="97874840">
          <w:marLeft w:val="640"/>
          <w:marRight w:val="0"/>
          <w:marTop w:val="0"/>
          <w:marBottom w:val="0"/>
          <w:divBdr>
            <w:top w:val="none" w:sz="0" w:space="0" w:color="auto"/>
            <w:left w:val="none" w:sz="0" w:space="0" w:color="auto"/>
            <w:bottom w:val="none" w:sz="0" w:space="0" w:color="auto"/>
            <w:right w:val="none" w:sz="0" w:space="0" w:color="auto"/>
          </w:divBdr>
        </w:div>
        <w:div w:id="811795008">
          <w:marLeft w:val="640"/>
          <w:marRight w:val="0"/>
          <w:marTop w:val="0"/>
          <w:marBottom w:val="0"/>
          <w:divBdr>
            <w:top w:val="none" w:sz="0" w:space="0" w:color="auto"/>
            <w:left w:val="none" w:sz="0" w:space="0" w:color="auto"/>
            <w:bottom w:val="none" w:sz="0" w:space="0" w:color="auto"/>
            <w:right w:val="none" w:sz="0" w:space="0" w:color="auto"/>
          </w:divBdr>
        </w:div>
        <w:div w:id="1803885900">
          <w:marLeft w:val="640"/>
          <w:marRight w:val="0"/>
          <w:marTop w:val="0"/>
          <w:marBottom w:val="0"/>
          <w:divBdr>
            <w:top w:val="none" w:sz="0" w:space="0" w:color="auto"/>
            <w:left w:val="none" w:sz="0" w:space="0" w:color="auto"/>
            <w:bottom w:val="none" w:sz="0" w:space="0" w:color="auto"/>
            <w:right w:val="none" w:sz="0" w:space="0" w:color="auto"/>
          </w:divBdr>
        </w:div>
        <w:div w:id="1989939871">
          <w:marLeft w:val="640"/>
          <w:marRight w:val="0"/>
          <w:marTop w:val="0"/>
          <w:marBottom w:val="0"/>
          <w:divBdr>
            <w:top w:val="none" w:sz="0" w:space="0" w:color="auto"/>
            <w:left w:val="none" w:sz="0" w:space="0" w:color="auto"/>
            <w:bottom w:val="none" w:sz="0" w:space="0" w:color="auto"/>
            <w:right w:val="none" w:sz="0" w:space="0" w:color="auto"/>
          </w:divBdr>
        </w:div>
        <w:div w:id="1719553178">
          <w:marLeft w:val="640"/>
          <w:marRight w:val="0"/>
          <w:marTop w:val="0"/>
          <w:marBottom w:val="0"/>
          <w:divBdr>
            <w:top w:val="none" w:sz="0" w:space="0" w:color="auto"/>
            <w:left w:val="none" w:sz="0" w:space="0" w:color="auto"/>
            <w:bottom w:val="none" w:sz="0" w:space="0" w:color="auto"/>
            <w:right w:val="none" w:sz="0" w:space="0" w:color="auto"/>
          </w:divBdr>
        </w:div>
        <w:div w:id="1625963194">
          <w:marLeft w:val="640"/>
          <w:marRight w:val="0"/>
          <w:marTop w:val="0"/>
          <w:marBottom w:val="0"/>
          <w:divBdr>
            <w:top w:val="none" w:sz="0" w:space="0" w:color="auto"/>
            <w:left w:val="none" w:sz="0" w:space="0" w:color="auto"/>
            <w:bottom w:val="none" w:sz="0" w:space="0" w:color="auto"/>
            <w:right w:val="none" w:sz="0" w:space="0" w:color="auto"/>
          </w:divBdr>
        </w:div>
        <w:div w:id="20975766">
          <w:marLeft w:val="640"/>
          <w:marRight w:val="0"/>
          <w:marTop w:val="0"/>
          <w:marBottom w:val="0"/>
          <w:divBdr>
            <w:top w:val="none" w:sz="0" w:space="0" w:color="auto"/>
            <w:left w:val="none" w:sz="0" w:space="0" w:color="auto"/>
            <w:bottom w:val="none" w:sz="0" w:space="0" w:color="auto"/>
            <w:right w:val="none" w:sz="0" w:space="0" w:color="auto"/>
          </w:divBdr>
        </w:div>
        <w:div w:id="1335106900">
          <w:marLeft w:val="640"/>
          <w:marRight w:val="0"/>
          <w:marTop w:val="0"/>
          <w:marBottom w:val="0"/>
          <w:divBdr>
            <w:top w:val="none" w:sz="0" w:space="0" w:color="auto"/>
            <w:left w:val="none" w:sz="0" w:space="0" w:color="auto"/>
            <w:bottom w:val="none" w:sz="0" w:space="0" w:color="auto"/>
            <w:right w:val="none" w:sz="0" w:space="0" w:color="auto"/>
          </w:divBdr>
        </w:div>
        <w:div w:id="771321062">
          <w:marLeft w:val="640"/>
          <w:marRight w:val="0"/>
          <w:marTop w:val="0"/>
          <w:marBottom w:val="0"/>
          <w:divBdr>
            <w:top w:val="none" w:sz="0" w:space="0" w:color="auto"/>
            <w:left w:val="none" w:sz="0" w:space="0" w:color="auto"/>
            <w:bottom w:val="none" w:sz="0" w:space="0" w:color="auto"/>
            <w:right w:val="none" w:sz="0" w:space="0" w:color="auto"/>
          </w:divBdr>
        </w:div>
        <w:div w:id="1337734316">
          <w:marLeft w:val="640"/>
          <w:marRight w:val="0"/>
          <w:marTop w:val="0"/>
          <w:marBottom w:val="0"/>
          <w:divBdr>
            <w:top w:val="none" w:sz="0" w:space="0" w:color="auto"/>
            <w:left w:val="none" w:sz="0" w:space="0" w:color="auto"/>
            <w:bottom w:val="none" w:sz="0" w:space="0" w:color="auto"/>
            <w:right w:val="none" w:sz="0" w:space="0" w:color="auto"/>
          </w:divBdr>
        </w:div>
        <w:div w:id="877742799">
          <w:marLeft w:val="640"/>
          <w:marRight w:val="0"/>
          <w:marTop w:val="0"/>
          <w:marBottom w:val="0"/>
          <w:divBdr>
            <w:top w:val="none" w:sz="0" w:space="0" w:color="auto"/>
            <w:left w:val="none" w:sz="0" w:space="0" w:color="auto"/>
            <w:bottom w:val="none" w:sz="0" w:space="0" w:color="auto"/>
            <w:right w:val="none" w:sz="0" w:space="0" w:color="auto"/>
          </w:divBdr>
        </w:div>
        <w:div w:id="108939360">
          <w:marLeft w:val="640"/>
          <w:marRight w:val="0"/>
          <w:marTop w:val="0"/>
          <w:marBottom w:val="0"/>
          <w:divBdr>
            <w:top w:val="none" w:sz="0" w:space="0" w:color="auto"/>
            <w:left w:val="none" w:sz="0" w:space="0" w:color="auto"/>
            <w:bottom w:val="none" w:sz="0" w:space="0" w:color="auto"/>
            <w:right w:val="none" w:sz="0" w:space="0" w:color="auto"/>
          </w:divBdr>
        </w:div>
        <w:div w:id="460851526">
          <w:marLeft w:val="640"/>
          <w:marRight w:val="0"/>
          <w:marTop w:val="0"/>
          <w:marBottom w:val="0"/>
          <w:divBdr>
            <w:top w:val="none" w:sz="0" w:space="0" w:color="auto"/>
            <w:left w:val="none" w:sz="0" w:space="0" w:color="auto"/>
            <w:bottom w:val="none" w:sz="0" w:space="0" w:color="auto"/>
            <w:right w:val="none" w:sz="0" w:space="0" w:color="auto"/>
          </w:divBdr>
        </w:div>
        <w:div w:id="1004822004">
          <w:marLeft w:val="640"/>
          <w:marRight w:val="0"/>
          <w:marTop w:val="0"/>
          <w:marBottom w:val="0"/>
          <w:divBdr>
            <w:top w:val="none" w:sz="0" w:space="0" w:color="auto"/>
            <w:left w:val="none" w:sz="0" w:space="0" w:color="auto"/>
            <w:bottom w:val="none" w:sz="0" w:space="0" w:color="auto"/>
            <w:right w:val="none" w:sz="0" w:space="0" w:color="auto"/>
          </w:divBdr>
        </w:div>
        <w:div w:id="1940717939">
          <w:marLeft w:val="640"/>
          <w:marRight w:val="0"/>
          <w:marTop w:val="0"/>
          <w:marBottom w:val="0"/>
          <w:divBdr>
            <w:top w:val="none" w:sz="0" w:space="0" w:color="auto"/>
            <w:left w:val="none" w:sz="0" w:space="0" w:color="auto"/>
            <w:bottom w:val="none" w:sz="0" w:space="0" w:color="auto"/>
            <w:right w:val="none" w:sz="0" w:space="0" w:color="auto"/>
          </w:divBdr>
        </w:div>
        <w:div w:id="369040609">
          <w:marLeft w:val="640"/>
          <w:marRight w:val="0"/>
          <w:marTop w:val="0"/>
          <w:marBottom w:val="0"/>
          <w:divBdr>
            <w:top w:val="none" w:sz="0" w:space="0" w:color="auto"/>
            <w:left w:val="none" w:sz="0" w:space="0" w:color="auto"/>
            <w:bottom w:val="none" w:sz="0" w:space="0" w:color="auto"/>
            <w:right w:val="none" w:sz="0" w:space="0" w:color="auto"/>
          </w:divBdr>
        </w:div>
        <w:div w:id="2056854939">
          <w:marLeft w:val="640"/>
          <w:marRight w:val="0"/>
          <w:marTop w:val="0"/>
          <w:marBottom w:val="0"/>
          <w:divBdr>
            <w:top w:val="none" w:sz="0" w:space="0" w:color="auto"/>
            <w:left w:val="none" w:sz="0" w:space="0" w:color="auto"/>
            <w:bottom w:val="none" w:sz="0" w:space="0" w:color="auto"/>
            <w:right w:val="none" w:sz="0" w:space="0" w:color="auto"/>
          </w:divBdr>
        </w:div>
        <w:div w:id="1200313086">
          <w:marLeft w:val="640"/>
          <w:marRight w:val="0"/>
          <w:marTop w:val="0"/>
          <w:marBottom w:val="0"/>
          <w:divBdr>
            <w:top w:val="none" w:sz="0" w:space="0" w:color="auto"/>
            <w:left w:val="none" w:sz="0" w:space="0" w:color="auto"/>
            <w:bottom w:val="none" w:sz="0" w:space="0" w:color="auto"/>
            <w:right w:val="none" w:sz="0" w:space="0" w:color="auto"/>
          </w:divBdr>
        </w:div>
        <w:div w:id="175924621">
          <w:marLeft w:val="640"/>
          <w:marRight w:val="0"/>
          <w:marTop w:val="0"/>
          <w:marBottom w:val="0"/>
          <w:divBdr>
            <w:top w:val="none" w:sz="0" w:space="0" w:color="auto"/>
            <w:left w:val="none" w:sz="0" w:space="0" w:color="auto"/>
            <w:bottom w:val="none" w:sz="0" w:space="0" w:color="auto"/>
            <w:right w:val="none" w:sz="0" w:space="0" w:color="auto"/>
          </w:divBdr>
        </w:div>
        <w:div w:id="2007632842">
          <w:marLeft w:val="640"/>
          <w:marRight w:val="0"/>
          <w:marTop w:val="0"/>
          <w:marBottom w:val="0"/>
          <w:divBdr>
            <w:top w:val="none" w:sz="0" w:space="0" w:color="auto"/>
            <w:left w:val="none" w:sz="0" w:space="0" w:color="auto"/>
            <w:bottom w:val="none" w:sz="0" w:space="0" w:color="auto"/>
            <w:right w:val="none" w:sz="0" w:space="0" w:color="auto"/>
          </w:divBdr>
        </w:div>
        <w:div w:id="1450972110">
          <w:marLeft w:val="640"/>
          <w:marRight w:val="0"/>
          <w:marTop w:val="0"/>
          <w:marBottom w:val="0"/>
          <w:divBdr>
            <w:top w:val="none" w:sz="0" w:space="0" w:color="auto"/>
            <w:left w:val="none" w:sz="0" w:space="0" w:color="auto"/>
            <w:bottom w:val="none" w:sz="0" w:space="0" w:color="auto"/>
            <w:right w:val="none" w:sz="0" w:space="0" w:color="auto"/>
          </w:divBdr>
        </w:div>
        <w:div w:id="1414162104">
          <w:marLeft w:val="640"/>
          <w:marRight w:val="0"/>
          <w:marTop w:val="0"/>
          <w:marBottom w:val="0"/>
          <w:divBdr>
            <w:top w:val="none" w:sz="0" w:space="0" w:color="auto"/>
            <w:left w:val="none" w:sz="0" w:space="0" w:color="auto"/>
            <w:bottom w:val="none" w:sz="0" w:space="0" w:color="auto"/>
            <w:right w:val="none" w:sz="0" w:space="0" w:color="auto"/>
          </w:divBdr>
        </w:div>
        <w:div w:id="1006707110">
          <w:marLeft w:val="640"/>
          <w:marRight w:val="0"/>
          <w:marTop w:val="0"/>
          <w:marBottom w:val="0"/>
          <w:divBdr>
            <w:top w:val="none" w:sz="0" w:space="0" w:color="auto"/>
            <w:left w:val="none" w:sz="0" w:space="0" w:color="auto"/>
            <w:bottom w:val="none" w:sz="0" w:space="0" w:color="auto"/>
            <w:right w:val="none" w:sz="0" w:space="0" w:color="auto"/>
          </w:divBdr>
        </w:div>
        <w:div w:id="1616718482">
          <w:marLeft w:val="640"/>
          <w:marRight w:val="0"/>
          <w:marTop w:val="0"/>
          <w:marBottom w:val="0"/>
          <w:divBdr>
            <w:top w:val="none" w:sz="0" w:space="0" w:color="auto"/>
            <w:left w:val="none" w:sz="0" w:space="0" w:color="auto"/>
            <w:bottom w:val="none" w:sz="0" w:space="0" w:color="auto"/>
            <w:right w:val="none" w:sz="0" w:space="0" w:color="auto"/>
          </w:divBdr>
        </w:div>
        <w:div w:id="757672108">
          <w:marLeft w:val="640"/>
          <w:marRight w:val="0"/>
          <w:marTop w:val="0"/>
          <w:marBottom w:val="0"/>
          <w:divBdr>
            <w:top w:val="none" w:sz="0" w:space="0" w:color="auto"/>
            <w:left w:val="none" w:sz="0" w:space="0" w:color="auto"/>
            <w:bottom w:val="none" w:sz="0" w:space="0" w:color="auto"/>
            <w:right w:val="none" w:sz="0" w:space="0" w:color="auto"/>
          </w:divBdr>
        </w:div>
        <w:div w:id="1686246589">
          <w:marLeft w:val="640"/>
          <w:marRight w:val="0"/>
          <w:marTop w:val="0"/>
          <w:marBottom w:val="0"/>
          <w:divBdr>
            <w:top w:val="none" w:sz="0" w:space="0" w:color="auto"/>
            <w:left w:val="none" w:sz="0" w:space="0" w:color="auto"/>
            <w:bottom w:val="none" w:sz="0" w:space="0" w:color="auto"/>
            <w:right w:val="none" w:sz="0" w:space="0" w:color="auto"/>
          </w:divBdr>
        </w:div>
        <w:div w:id="388967370">
          <w:marLeft w:val="640"/>
          <w:marRight w:val="0"/>
          <w:marTop w:val="0"/>
          <w:marBottom w:val="0"/>
          <w:divBdr>
            <w:top w:val="none" w:sz="0" w:space="0" w:color="auto"/>
            <w:left w:val="none" w:sz="0" w:space="0" w:color="auto"/>
            <w:bottom w:val="none" w:sz="0" w:space="0" w:color="auto"/>
            <w:right w:val="none" w:sz="0" w:space="0" w:color="auto"/>
          </w:divBdr>
        </w:div>
        <w:div w:id="2091341233">
          <w:marLeft w:val="640"/>
          <w:marRight w:val="0"/>
          <w:marTop w:val="0"/>
          <w:marBottom w:val="0"/>
          <w:divBdr>
            <w:top w:val="none" w:sz="0" w:space="0" w:color="auto"/>
            <w:left w:val="none" w:sz="0" w:space="0" w:color="auto"/>
            <w:bottom w:val="none" w:sz="0" w:space="0" w:color="auto"/>
            <w:right w:val="none" w:sz="0" w:space="0" w:color="auto"/>
          </w:divBdr>
        </w:div>
        <w:div w:id="343871463">
          <w:marLeft w:val="640"/>
          <w:marRight w:val="0"/>
          <w:marTop w:val="0"/>
          <w:marBottom w:val="0"/>
          <w:divBdr>
            <w:top w:val="none" w:sz="0" w:space="0" w:color="auto"/>
            <w:left w:val="none" w:sz="0" w:space="0" w:color="auto"/>
            <w:bottom w:val="none" w:sz="0" w:space="0" w:color="auto"/>
            <w:right w:val="none" w:sz="0" w:space="0" w:color="auto"/>
          </w:divBdr>
        </w:div>
        <w:div w:id="758791518">
          <w:marLeft w:val="640"/>
          <w:marRight w:val="0"/>
          <w:marTop w:val="0"/>
          <w:marBottom w:val="0"/>
          <w:divBdr>
            <w:top w:val="none" w:sz="0" w:space="0" w:color="auto"/>
            <w:left w:val="none" w:sz="0" w:space="0" w:color="auto"/>
            <w:bottom w:val="none" w:sz="0" w:space="0" w:color="auto"/>
            <w:right w:val="none" w:sz="0" w:space="0" w:color="auto"/>
          </w:divBdr>
        </w:div>
        <w:div w:id="1514224112">
          <w:marLeft w:val="640"/>
          <w:marRight w:val="0"/>
          <w:marTop w:val="0"/>
          <w:marBottom w:val="0"/>
          <w:divBdr>
            <w:top w:val="none" w:sz="0" w:space="0" w:color="auto"/>
            <w:left w:val="none" w:sz="0" w:space="0" w:color="auto"/>
            <w:bottom w:val="none" w:sz="0" w:space="0" w:color="auto"/>
            <w:right w:val="none" w:sz="0" w:space="0" w:color="auto"/>
          </w:divBdr>
        </w:div>
        <w:div w:id="1402436928">
          <w:marLeft w:val="640"/>
          <w:marRight w:val="0"/>
          <w:marTop w:val="0"/>
          <w:marBottom w:val="0"/>
          <w:divBdr>
            <w:top w:val="none" w:sz="0" w:space="0" w:color="auto"/>
            <w:left w:val="none" w:sz="0" w:space="0" w:color="auto"/>
            <w:bottom w:val="none" w:sz="0" w:space="0" w:color="auto"/>
            <w:right w:val="none" w:sz="0" w:space="0" w:color="auto"/>
          </w:divBdr>
        </w:div>
        <w:div w:id="831528418">
          <w:marLeft w:val="640"/>
          <w:marRight w:val="0"/>
          <w:marTop w:val="0"/>
          <w:marBottom w:val="0"/>
          <w:divBdr>
            <w:top w:val="none" w:sz="0" w:space="0" w:color="auto"/>
            <w:left w:val="none" w:sz="0" w:space="0" w:color="auto"/>
            <w:bottom w:val="none" w:sz="0" w:space="0" w:color="auto"/>
            <w:right w:val="none" w:sz="0" w:space="0" w:color="auto"/>
          </w:divBdr>
        </w:div>
        <w:div w:id="137651197">
          <w:marLeft w:val="640"/>
          <w:marRight w:val="0"/>
          <w:marTop w:val="0"/>
          <w:marBottom w:val="0"/>
          <w:divBdr>
            <w:top w:val="none" w:sz="0" w:space="0" w:color="auto"/>
            <w:left w:val="none" w:sz="0" w:space="0" w:color="auto"/>
            <w:bottom w:val="none" w:sz="0" w:space="0" w:color="auto"/>
            <w:right w:val="none" w:sz="0" w:space="0" w:color="auto"/>
          </w:divBdr>
        </w:div>
        <w:div w:id="369305079">
          <w:marLeft w:val="640"/>
          <w:marRight w:val="0"/>
          <w:marTop w:val="0"/>
          <w:marBottom w:val="0"/>
          <w:divBdr>
            <w:top w:val="none" w:sz="0" w:space="0" w:color="auto"/>
            <w:left w:val="none" w:sz="0" w:space="0" w:color="auto"/>
            <w:bottom w:val="none" w:sz="0" w:space="0" w:color="auto"/>
            <w:right w:val="none" w:sz="0" w:space="0" w:color="auto"/>
          </w:divBdr>
        </w:div>
        <w:div w:id="369838499">
          <w:marLeft w:val="640"/>
          <w:marRight w:val="0"/>
          <w:marTop w:val="0"/>
          <w:marBottom w:val="0"/>
          <w:divBdr>
            <w:top w:val="none" w:sz="0" w:space="0" w:color="auto"/>
            <w:left w:val="none" w:sz="0" w:space="0" w:color="auto"/>
            <w:bottom w:val="none" w:sz="0" w:space="0" w:color="auto"/>
            <w:right w:val="none" w:sz="0" w:space="0" w:color="auto"/>
          </w:divBdr>
        </w:div>
        <w:div w:id="538473493">
          <w:marLeft w:val="640"/>
          <w:marRight w:val="0"/>
          <w:marTop w:val="0"/>
          <w:marBottom w:val="0"/>
          <w:divBdr>
            <w:top w:val="none" w:sz="0" w:space="0" w:color="auto"/>
            <w:left w:val="none" w:sz="0" w:space="0" w:color="auto"/>
            <w:bottom w:val="none" w:sz="0" w:space="0" w:color="auto"/>
            <w:right w:val="none" w:sz="0" w:space="0" w:color="auto"/>
          </w:divBdr>
        </w:div>
        <w:div w:id="15666873">
          <w:marLeft w:val="640"/>
          <w:marRight w:val="0"/>
          <w:marTop w:val="0"/>
          <w:marBottom w:val="0"/>
          <w:divBdr>
            <w:top w:val="none" w:sz="0" w:space="0" w:color="auto"/>
            <w:left w:val="none" w:sz="0" w:space="0" w:color="auto"/>
            <w:bottom w:val="none" w:sz="0" w:space="0" w:color="auto"/>
            <w:right w:val="none" w:sz="0" w:space="0" w:color="auto"/>
          </w:divBdr>
        </w:div>
        <w:div w:id="1490828418">
          <w:marLeft w:val="640"/>
          <w:marRight w:val="0"/>
          <w:marTop w:val="0"/>
          <w:marBottom w:val="0"/>
          <w:divBdr>
            <w:top w:val="none" w:sz="0" w:space="0" w:color="auto"/>
            <w:left w:val="none" w:sz="0" w:space="0" w:color="auto"/>
            <w:bottom w:val="none" w:sz="0" w:space="0" w:color="auto"/>
            <w:right w:val="none" w:sz="0" w:space="0" w:color="auto"/>
          </w:divBdr>
        </w:div>
        <w:div w:id="1737126209">
          <w:marLeft w:val="640"/>
          <w:marRight w:val="0"/>
          <w:marTop w:val="0"/>
          <w:marBottom w:val="0"/>
          <w:divBdr>
            <w:top w:val="none" w:sz="0" w:space="0" w:color="auto"/>
            <w:left w:val="none" w:sz="0" w:space="0" w:color="auto"/>
            <w:bottom w:val="none" w:sz="0" w:space="0" w:color="auto"/>
            <w:right w:val="none" w:sz="0" w:space="0" w:color="auto"/>
          </w:divBdr>
        </w:div>
        <w:div w:id="1914464948">
          <w:marLeft w:val="640"/>
          <w:marRight w:val="0"/>
          <w:marTop w:val="0"/>
          <w:marBottom w:val="0"/>
          <w:divBdr>
            <w:top w:val="none" w:sz="0" w:space="0" w:color="auto"/>
            <w:left w:val="none" w:sz="0" w:space="0" w:color="auto"/>
            <w:bottom w:val="none" w:sz="0" w:space="0" w:color="auto"/>
            <w:right w:val="none" w:sz="0" w:space="0" w:color="auto"/>
          </w:divBdr>
        </w:div>
        <w:div w:id="634681477">
          <w:marLeft w:val="640"/>
          <w:marRight w:val="0"/>
          <w:marTop w:val="0"/>
          <w:marBottom w:val="0"/>
          <w:divBdr>
            <w:top w:val="none" w:sz="0" w:space="0" w:color="auto"/>
            <w:left w:val="none" w:sz="0" w:space="0" w:color="auto"/>
            <w:bottom w:val="none" w:sz="0" w:space="0" w:color="auto"/>
            <w:right w:val="none" w:sz="0" w:space="0" w:color="auto"/>
          </w:divBdr>
        </w:div>
        <w:div w:id="973100636">
          <w:marLeft w:val="640"/>
          <w:marRight w:val="0"/>
          <w:marTop w:val="0"/>
          <w:marBottom w:val="0"/>
          <w:divBdr>
            <w:top w:val="none" w:sz="0" w:space="0" w:color="auto"/>
            <w:left w:val="none" w:sz="0" w:space="0" w:color="auto"/>
            <w:bottom w:val="none" w:sz="0" w:space="0" w:color="auto"/>
            <w:right w:val="none" w:sz="0" w:space="0" w:color="auto"/>
          </w:divBdr>
        </w:div>
        <w:div w:id="499933989">
          <w:marLeft w:val="640"/>
          <w:marRight w:val="0"/>
          <w:marTop w:val="0"/>
          <w:marBottom w:val="0"/>
          <w:divBdr>
            <w:top w:val="none" w:sz="0" w:space="0" w:color="auto"/>
            <w:left w:val="none" w:sz="0" w:space="0" w:color="auto"/>
            <w:bottom w:val="none" w:sz="0" w:space="0" w:color="auto"/>
            <w:right w:val="none" w:sz="0" w:space="0" w:color="auto"/>
          </w:divBdr>
        </w:div>
        <w:div w:id="482160676">
          <w:marLeft w:val="640"/>
          <w:marRight w:val="0"/>
          <w:marTop w:val="0"/>
          <w:marBottom w:val="0"/>
          <w:divBdr>
            <w:top w:val="none" w:sz="0" w:space="0" w:color="auto"/>
            <w:left w:val="none" w:sz="0" w:space="0" w:color="auto"/>
            <w:bottom w:val="none" w:sz="0" w:space="0" w:color="auto"/>
            <w:right w:val="none" w:sz="0" w:space="0" w:color="auto"/>
          </w:divBdr>
        </w:div>
        <w:div w:id="1781951698">
          <w:marLeft w:val="640"/>
          <w:marRight w:val="0"/>
          <w:marTop w:val="0"/>
          <w:marBottom w:val="0"/>
          <w:divBdr>
            <w:top w:val="none" w:sz="0" w:space="0" w:color="auto"/>
            <w:left w:val="none" w:sz="0" w:space="0" w:color="auto"/>
            <w:bottom w:val="none" w:sz="0" w:space="0" w:color="auto"/>
            <w:right w:val="none" w:sz="0" w:space="0" w:color="auto"/>
          </w:divBdr>
        </w:div>
        <w:div w:id="1874490098">
          <w:marLeft w:val="640"/>
          <w:marRight w:val="0"/>
          <w:marTop w:val="0"/>
          <w:marBottom w:val="0"/>
          <w:divBdr>
            <w:top w:val="none" w:sz="0" w:space="0" w:color="auto"/>
            <w:left w:val="none" w:sz="0" w:space="0" w:color="auto"/>
            <w:bottom w:val="none" w:sz="0" w:space="0" w:color="auto"/>
            <w:right w:val="none" w:sz="0" w:space="0" w:color="auto"/>
          </w:divBdr>
        </w:div>
        <w:div w:id="1437755443">
          <w:marLeft w:val="640"/>
          <w:marRight w:val="0"/>
          <w:marTop w:val="0"/>
          <w:marBottom w:val="0"/>
          <w:divBdr>
            <w:top w:val="none" w:sz="0" w:space="0" w:color="auto"/>
            <w:left w:val="none" w:sz="0" w:space="0" w:color="auto"/>
            <w:bottom w:val="none" w:sz="0" w:space="0" w:color="auto"/>
            <w:right w:val="none" w:sz="0" w:space="0" w:color="auto"/>
          </w:divBdr>
        </w:div>
        <w:div w:id="602153427">
          <w:marLeft w:val="640"/>
          <w:marRight w:val="0"/>
          <w:marTop w:val="0"/>
          <w:marBottom w:val="0"/>
          <w:divBdr>
            <w:top w:val="none" w:sz="0" w:space="0" w:color="auto"/>
            <w:left w:val="none" w:sz="0" w:space="0" w:color="auto"/>
            <w:bottom w:val="none" w:sz="0" w:space="0" w:color="auto"/>
            <w:right w:val="none" w:sz="0" w:space="0" w:color="auto"/>
          </w:divBdr>
        </w:div>
        <w:div w:id="957376373">
          <w:marLeft w:val="640"/>
          <w:marRight w:val="0"/>
          <w:marTop w:val="0"/>
          <w:marBottom w:val="0"/>
          <w:divBdr>
            <w:top w:val="none" w:sz="0" w:space="0" w:color="auto"/>
            <w:left w:val="none" w:sz="0" w:space="0" w:color="auto"/>
            <w:bottom w:val="none" w:sz="0" w:space="0" w:color="auto"/>
            <w:right w:val="none" w:sz="0" w:space="0" w:color="auto"/>
          </w:divBdr>
        </w:div>
        <w:div w:id="730275391">
          <w:marLeft w:val="640"/>
          <w:marRight w:val="0"/>
          <w:marTop w:val="0"/>
          <w:marBottom w:val="0"/>
          <w:divBdr>
            <w:top w:val="none" w:sz="0" w:space="0" w:color="auto"/>
            <w:left w:val="none" w:sz="0" w:space="0" w:color="auto"/>
            <w:bottom w:val="none" w:sz="0" w:space="0" w:color="auto"/>
            <w:right w:val="none" w:sz="0" w:space="0" w:color="auto"/>
          </w:divBdr>
        </w:div>
        <w:div w:id="1704985054">
          <w:marLeft w:val="640"/>
          <w:marRight w:val="0"/>
          <w:marTop w:val="0"/>
          <w:marBottom w:val="0"/>
          <w:divBdr>
            <w:top w:val="none" w:sz="0" w:space="0" w:color="auto"/>
            <w:left w:val="none" w:sz="0" w:space="0" w:color="auto"/>
            <w:bottom w:val="none" w:sz="0" w:space="0" w:color="auto"/>
            <w:right w:val="none" w:sz="0" w:space="0" w:color="auto"/>
          </w:divBdr>
        </w:div>
        <w:div w:id="786389701">
          <w:marLeft w:val="640"/>
          <w:marRight w:val="0"/>
          <w:marTop w:val="0"/>
          <w:marBottom w:val="0"/>
          <w:divBdr>
            <w:top w:val="none" w:sz="0" w:space="0" w:color="auto"/>
            <w:left w:val="none" w:sz="0" w:space="0" w:color="auto"/>
            <w:bottom w:val="none" w:sz="0" w:space="0" w:color="auto"/>
            <w:right w:val="none" w:sz="0" w:space="0" w:color="auto"/>
          </w:divBdr>
        </w:div>
        <w:div w:id="1630432421">
          <w:marLeft w:val="640"/>
          <w:marRight w:val="0"/>
          <w:marTop w:val="0"/>
          <w:marBottom w:val="0"/>
          <w:divBdr>
            <w:top w:val="none" w:sz="0" w:space="0" w:color="auto"/>
            <w:left w:val="none" w:sz="0" w:space="0" w:color="auto"/>
            <w:bottom w:val="none" w:sz="0" w:space="0" w:color="auto"/>
            <w:right w:val="none" w:sz="0" w:space="0" w:color="auto"/>
          </w:divBdr>
        </w:div>
        <w:div w:id="573394635">
          <w:marLeft w:val="640"/>
          <w:marRight w:val="0"/>
          <w:marTop w:val="0"/>
          <w:marBottom w:val="0"/>
          <w:divBdr>
            <w:top w:val="none" w:sz="0" w:space="0" w:color="auto"/>
            <w:left w:val="none" w:sz="0" w:space="0" w:color="auto"/>
            <w:bottom w:val="none" w:sz="0" w:space="0" w:color="auto"/>
            <w:right w:val="none" w:sz="0" w:space="0" w:color="auto"/>
          </w:divBdr>
        </w:div>
        <w:div w:id="1542204936">
          <w:marLeft w:val="640"/>
          <w:marRight w:val="0"/>
          <w:marTop w:val="0"/>
          <w:marBottom w:val="0"/>
          <w:divBdr>
            <w:top w:val="none" w:sz="0" w:space="0" w:color="auto"/>
            <w:left w:val="none" w:sz="0" w:space="0" w:color="auto"/>
            <w:bottom w:val="none" w:sz="0" w:space="0" w:color="auto"/>
            <w:right w:val="none" w:sz="0" w:space="0" w:color="auto"/>
          </w:divBdr>
        </w:div>
        <w:div w:id="2143107644">
          <w:marLeft w:val="640"/>
          <w:marRight w:val="0"/>
          <w:marTop w:val="0"/>
          <w:marBottom w:val="0"/>
          <w:divBdr>
            <w:top w:val="none" w:sz="0" w:space="0" w:color="auto"/>
            <w:left w:val="none" w:sz="0" w:space="0" w:color="auto"/>
            <w:bottom w:val="none" w:sz="0" w:space="0" w:color="auto"/>
            <w:right w:val="none" w:sz="0" w:space="0" w:color="auto"/>
          </w:divBdr>
        </w:div>
        <w:div w:id="683242590">
          <w:marLeft w:val="640"/>
          <w:marRight w:val="0"/>
          <w:marTop w:val="0"/>
          <w:marBottom w:val="0"/>
          <w:divBdr>
            <w:top w:val="none" w:sz="0" w:space="0" w:color="auto"/>
            <w:left w:val="none" w:sz="0" w:space="0" w:color="auto"/>
            <w:bottom w:val="none" w:sz="0" w:space="0" w:color="auto"/>
            <w:right w:val="none" w:sz="0" w:space="0" w:color="auto"/>
          </w:divBdr>
        </w:div>
        <w:div w:id="1570723120">
          <w:marLeft w:val="640"/>
          <w:marRight w:val="0"/>
          <w:marTop w:val="0"/>
          <w:marBottom w:val="0"/>
          <w:divBdr>
            <w:top w:val="none" w:sz="0" w:space="0" w:color="auto"/>
            <w:left w:val="none" w:sz="0" w:space="0" w:color="auto"/>
            <w:bottom w:val="none" w:sz="0" w:space="0" w:color="auto"/>
            <w:right w:val="none" w:sz="0" w:space="0" w:color="auto"/>
          </w:divBdr>
        </w:div>
        <w:div w:id="1114252563">
          <w:marLeft w:val="640"/>
          <w:marRight w:val="0"/>
          <w:marTop w:val="0"/>
          <w:marBottom w:val="0"/>
          <w:divBdr>
            <w:top w:val="none" w:sz="0" w:space="0" w:color="auto"/>
            <w:left w:val="none" w:sz="0" w:space="0" w:color="auto"/>
            <w:bottom w:val="none" w:sz="0" w:space="0" w:color="auto"/>
            <w:right w:val="none" w:sz="0" w:space="0" w:color="auto"/>
          </w:divBdr>
        </w:div>
        <w:div w:id="1715034735">
          <w:marLeft w:val="640"/>
          <w:marRight w:val="0"/>
          <w:marTop w:val="0"/>
          <w:marBottom w:val="0"/>
          <w:divBdr>
            <w:top w:val="none" w:sz="0" w:space="0" w:color="auto"/>
            <w:left w:val="none" w:sz="0" w:space="0" w:color="auto"/>
            <w:bottom w:val="none" w:sz="0" w:space="0" w:color="auto"/>
            <w:right w:val="none" w:sz="0" w:space="0" w:color="auto"/>
          </w:divBdr>
        </w:div>
        <w:div w:id="2061128302">
          <w:marLeft w:val="640"/>
          <w:marRight w:val="0"/>
          <w:marTop w:val="0"/>
          <w:marBottom w:val="0"/>
          <w:divBdr>
            <w:top w:val="none" w:sz="0" w:space="0" w:color="auto"/>
            <w:left w:val="none" w:sz="0" w:space="0" w:color="auto"/>
            <w:bottom w:val="none" w:sz="0" w:space="0" w:color="auto"/>
            <w:right w:val="none" w:sz="0" w:space="0" w:color="auto"/>
          </w:divBdr>
        </w:div>
        <w:div w:id="1721435729">
          <w:marLeft w:val="640"/>
          <w:marRight w:val="0"/>
          <w:marTop w:val="0"/>
          <w:marBottom w:val="0"/>
          <w:divBdr>
            <w:top w:val="none" w:sz="0" w:space="0" w:color="auto"/>
            <w:left w:val="none" w:sz="0" w:space="0" w:color="auto"/>
            <w:bottom w:val="none" w:sz="0" w:space="0" w:color="auto"/>
            <w:right w:val="none" w:sz="0" w:space="0" w:color="auto"/>
          </w:divBdr>
        </w:div>
        <w:div w:id="1282423083">
          <w:marLeft w:val="640"/>
          <w:marRight w:val="0"/>
          <w:marTop w:val="0"/>
          <w:marBottom w:val="0"/>
          <w:divBdr>
            <w:top w:val="none" w:sz="0" w:space="0" w:color="auto"/>
            <w:left w:val="none" w:sz="0" w:space="0" w:color="auto"/>
            <w:bottom w:val="none" w:sz="0" w:space="0" w:color="auto"/>
            <w:right w:val="none" w:sz="0" w:space="0" w:color="auto"/>
          </w:divBdr>
        </w:div>
        <w:div w:id="1193569788">
          <w:marLeft w:val="640"/>
          <w:marRight w:val="0"/>
          <w:marTop w:val="0"/>
          <w:marBottom w:val="0"/>
          <w:divBdr>
            <w:top w:val="none" w:sz="0" w:space="0" w:color="auto"/>
            <w:left w:val="none" w:sz="0" w:space="0" w:color="auto"/>
            <w:bottom w:val="none" w:sz="0" w:space="0" w:color="auto"/>
            <w:right w:val="none" w:sz="0" w:space="0" w:color="auto"/>
          </w:divBdr>
        </w:div>
        <w:div w:id="1942912600">
          <w:marLeft w:val="640"/>
          <w:marRight w:val="0"/>
          <w:marTop w:val="0"/>
          <w:marBottom w:val="0"/>
          <w:divBdr>
            <w:top w:val="none" w:sz="0" w:space="0" w:color="auto"/>
            <w:left w:val="none" w:sz="0" w:space="0" w:color="auto"/>
            <w:bottom w:val="none" w:sz="0" w:space="0" w:color="auto"/>
            <w:right w:val="none" w:sz="0" w:space="0" w:color="auto"/>
          </w:divBdr>
        </w:div>
        <w:div w:id="793671665">
          <w:marLeft w:val="640"/>
          <w:marRight w:val="0"/>
          <w:marTop w:val="0"/>
          <w:marBottom w:val="0"/>
          <w:divBdr>
            <w:top w:val="none" w:sz="0" w:space="0" w:color="auto"/>
            <w:left w:val="none" w:sz="0" w:space="0" w:color="auto"/>
            <w:bottom w:val="none" w:sz="0" w:space="0" w:color="auto"/>
            <w:right w:val="none" w:sz="0" w:space="0" w:color="auto"/>
          </w:divBdr>
        </w:div>
        <w:div w:id="320811076">
          <w:marLeft w:val="640"/>
          <w:marRight w:val="0"/>
          <w:marTop w:val="0"/>
          <w:marBottom w:val="0"/>
          <w:divBdr>
            <w:top w:val="none" w:sz="0" w:space="0" w:color="auto"/>
            <w:left w:val="none" w:sz="0" w:space="0" w:color="auto"/>
            <w:bottom w:val="none" w:sz="0" w:space="0" w:color="auto"/>
            <w:right w:val="none" w:sz="0" w:space="0" w:color="auto"/>
          </w:divBdr>
        </w:div>
        <w:div w:id="1182281917">
          <w:marLeft w:val="640"/>
          <w:marRight w:val="0"/>
          <w:marTop w:val="0"/>
          <w:marBottom w:val="0"/>
          <w:divBdr>
            <w:top w:val="none" w:sz="0" w:space="0" w:color="auto"/>
            <w:left w:val="none" w:sz="0" w:space="0" w:color="auto"/>
            <w:bottom w:val="none" w:sz="0" w:space="0" w:color="auto"/>
            <w:right w:val="none" w:sz="0" w:space="0" w:color="auto"/>
          </w:divBdr>
        </w:div>
        <w:div w:id="1474911650">
          <w:marLeft w:val="640"/>
          <w:marRight w:val="0"/>
          <w:marTop w:val="0"/>
          <w:marBottom w:val="0"/>
          <w:divBdr>
            <w:top w:val="none" w:sz="0" w:space="0" w:color="auto"/>
            <w:left w:val="none" w:sz="0" w:space="0" w:color="auto"/>
            <w:bottom w:val="none" w:sz="0" w:space="0" w:color="auto"/>
            <w:right w:val="none" w:sz="0" w:space="0" w:color="auto"/>
          </w:divBdr>
        </w:div>
        <w:div w:id="944536672">
          <w:marLeft w:val="640"/>
          <w:marRight w:val="0"/>
          <w:marTop w:val="0"/>
          <w:marBottom w:val="0"/>
          <w:divBdr>
            <w:top w:val="none" w:sz="0" w:space="0" w:color="auto"/>
            <w:left w:val="none" w:sz="0" w:space="0" w:color="auto"/>
            <w:bottom w:val="none" w:sz="0" w:space="0" w:color="auto"/>
            <w:right w:val="none" w:sz="0" w:space="0" w:color="auto"/>
          </w:divBdr>
        </w:div>
        <w:div w:id="554656880">
          <w:marLeft w:val="640"/>
          <w:marRight w:val="0"/>
          <w:marTop w:val="0"/>
          <w:marBottom w:val="0"/>
          <w:divBdr>
            <w:top w:val="none" w:sz="0" w:space="0" w:color="auto"/>
            <w:left w:val="none" w:sz="0" w:space="0" w:color="auto"/>
            <w:bottom w:val="none" w:sz="0" w:space="0" w:color="auto"/>
            <w:right w:val="none" w:sz="0" w:space="0" w:color="auto"/>
          </w:divBdr>
        </w:div>
        <w:div w:id="1296448895">
          <w:marLeft w:val="640"/>
          <w:marRight w:val="0"/>
          <w:marTop w:val="0"/>
          <w:marBottom w:val="0"/>
          <w:divBdr>
            <w:top w:val="none" w:sz="0" w:space="0" w:color="auto"/>
            <w:left w:val="none" w:sz="0" w:space="0" w:color="auto"/>
            <w:bottom w:val="none" w:sz="0" w:space="0" w:color="auto"/>
            <w:right w:val="none" w:sz="0" w:space="0" w:color="auto"/>
          </w:divBdr>
        </w:div>
        <w:div w:id="1178693994">
          <w:marLeft w:val="640"/>
          <w:marRight w:val="0"/>
          <w:marTop w:val="0"/>
          <w:marBottom w:val="0"/>
          <w:divBdr>
            <w:top w:val="none" w:sz="0" w:space="0" w:color="auto"/>
            <w:left w:val="none" w:sz="0" w:space="0" w:color="auto"/>
            <w:bottom w:val="none" w:sz="0" w:space="0" w:color="auto"/>
            <w:right w:val="none" w:sz="0" w:space="0" w:color="auto"/>
          </w:divBdr>
        </w:div>
        <w:div w:id="725026174">
          <w:marLeft w:val="640"/>
          <w:marRight w:val="0"/>
          <w:marTop w:val="0"/>
          <w:marBottom w:val="0"/>
          <w:divBdr>
            <w:top w:val="none" w:sz="0" w:space="0" w:color="auto"/>
            <w:left w:val="none" w:sz="0" w:space="0" w:color="auto"/>
            <w:bottom w:val="none" w:sz="0" w:space="0" w:color="auto"/>
            <w:right w:val="none" w:sz="0" w:space="0" w:color="auto"/>
          </w:divBdr>
        </w:div>
        <w:div w:id="1184634400">
          <w:marLeft w:val="640"/>
          <w:marRight w:val="0"/>
          <w:marTop w:val="0"/>
          <w:marBottom w:val="0"/>
          <w:divBdr>
            <w:top w:val="none" w:sz="0" w:space="0" w:color="auto"/>
            <w:left w:val="none" w:sz="0" w:space="0" w:color="auto"/>
            <w:bottom w:val="none" w:sz="0" w:space="0" w:color="auto"/>
            <w:right w:val="none" w:sz="0" w:space="0" w:color="auto"/>
          </w:divBdr>
        </w:div>
        <w:div w:id="1787776146">
          <w:marLeft w:val="640"/>
          <w:marRight w:val="0"/>
          <w:marTop w:val="0"/>
          <w:marBottom w:val="0"/>
          <w:divBdr>
            <w:top w:val="none" w:sz="0" w:space="0" w:color="auto"/>
            <w:left w:val="none" w:sz="0" w:space="0" w:color="auto"/>
            <w:bottom w:val="none" w:sz="0" w:space="0" w:color="auto"/>
            <w:right w:val="none" w:sz="0" w:space="0" w:color="auto"/>
          </w:divBdr>
        </w:div>
        <w:div w:id="203913504">
          <w:marLeft w:val="640"/>
          <w:marRight w:val="0"/>
          <w:marTop w:val="0"/>
          <w:marBottom w:val="0"/>
          <w:divBdr>
            <w:top w:val="none" w:sz="0" w:space="0" w:color="auto"/>
            <w:left w:val="none" w:sz="0" w:space="0" w:color="auto"/>
            <w:bottom w:val="none" w:sz="0" w:space="0" w:color="auto"/>
            <w:right w:val="none" w:sz="0" w:space="0" w:color="auto"/>
          </w:divBdr>
        </w:div>
        <w:div w:id="1855997430">
          <w:marLeft w:val="640"/>
          <w:marRight w:val="0"/>
          <w:marTop w:val="0"/>
          <w:marBottom w:val="0"/>
          <w:divBdr>
            <w:top w:val="none" w:sz="0" w:space="0" w:color="auto"/>
            <w:left w:val="none" w:sz="0" w:space="0" w:color="auto"/>
            <w:bottom w:val="none" w:sz="0" w:space="0" w:color="auto"/>
            <w:right w:val="none" w:sz="0" w:space="0" w:color="auto"/>
          </w:divBdr>
        </w:div>
        <w:div w:id="183566986">
          <w:marLeft w:val="640"/>
          <w:marRight w:val="0"/>
          <w:marTop w:val="0"/>
          <w:marBottom w:val="0"/>
          <w:divBdr>
            <w:top w:val="none" w:sz="0" w:space="0" w:color="auto"/>
            <w:left w:val="none" w:sz="0" w:space="0" w:color="auto"/>
            <w:bottom w:val="none" w:sz="0" w:space="0" w:color="auto"/>
            <w:right w:val="none" w:sz="0" w:space="0" w:color="auto"/>
          </w:divBdr>
        </w:div>
        <w:div w:id="1671760032">
          <w:marLeft w:val="640"/>
          <w:marRight w:val="0"/>
          <w:marTop w:val="0"/>
          <w:marBottom w:val="0"/>
          <w:divBdr>
            <w:top w:val="none" w:sz="0" w:space="0" w:color="auto"/>
            <w:left w:val="none" w:sz="0" w:space="0" w:color="auto"/>
            <w:bottom w:val="none" w:sz="0" w:space="0" w:color="auto"/>
            <w:right w:val="none" w:sz="0" w:space="0" w:color="auto"/>
          </w:divBdr>
        </w:div>
        <w:div w:id="1984961531">
          <w:marLeft w:val="640"/>
          <w:marRight w:val="0"/>
          <w:marTop w:val="0"/>
          <w:marBottom w:val="0"/>
          <w:divBdr>
            <w:top w:val="none" w:sz="0" w:space="0" w:color="auto"/>
            <w:left w:val="none" w:sz="0" w:space="0" w:color="auto"/>
            <w:bottom w:val="none" w:sz="0" w:space="0" w:color="auto"/>
            <w:right w:val="none" w:sz="0" w:space="0" w:color="auto"/>
          </w:divBdr>
        </w:div>
        <w:div w:id="190843760">
          <w:marLeft w:val="640"/>
          <w:marRight w:val="0"/>
          <w:marTop w:val="0"/>
          <w:marBottom w:val="0"/>
          <w:divBdr>
            <w:top w:val="none" w:sz="0" w:space="0" w:color="auto"/>
            <w:left w:val="none" w:sz="0" w:space="0" w:color="auto"/>
            <w:bottom w:val="none" w:sz="0" w:space="0" w:color="auto"/>
            <w:right w:val="none" w:sz="0" w:space="0" w:color="auto"/>
          </w:divBdr>
        </w:div>
        <w:div w:id="1434472787">
          <w:marLeft w:val="640"/>
          <w:marRight w:val="0"/>
          <w:marTop w:val="0"/>
          <w:marBottom w:val="0"/>
          <w:divBdr>
            <w:top w:val="none" w:sz="0" w:space="0" w:color="auto"/>
            <w:left w:val="none" w:sz="0" w:space="0" w:color="auto"/>
            <w:bottom w:val="none" w:sz="0" w:space="0" w:color="auto"/>
            <w:right w:val="none" w:sz="0" w:space="0" w:color="auto"/>
          </w:divBdr>
        </w:div>
        <w:div w:id="40714159">
          <w:marLeft w:val="640"/>
          <w:marRight w:val="0"/>
          <w:marTop w:val="0"/>
          <w:marBottom w:val="0"/>
          <w:divBdr>
            <w:top w:val="none" w:sz="0" w:space="0" w:color="auto"/>
            <w:left w:val="none" w:sz="0" w:space="0" w:color="auto"/>
            <w:bottom w:val="none" w:sz="0" w:space="0" w:color="auto"/>
            <w:right w:val="none" w:sz="0" w:space="0" w:color="auto"/>
          </w:divBdr>
        </w:div>
        <w:div w:id="1246450620">
          <w:marLeft w:val="640"/>
          <w:marRight w:val="0"/>
          <w:marTop w:val="0"/>
          <w:marBottom w:val="0"/>
          <w:divBdr>
            <w:top w:val="none" w:sz="0" w:space="0" w:color="auto"/>
            <w:left w:val="none" w:sz="0" w:space="0" w:color="auto"/>
            <w:bottom w:val="none" w:sz="0" w:space="0" w:color="auto"/>
            <w:right w:val="none" w:sz="0" w:space="0" w:color="auto"/>
          </w:divBdr>
        </w:div>
        <w:div w:id="42757515">
          <w:marLeft w:val="640"/>
          <w:marRight w:val="0"/>
          <w:marTop w:val="0"/>
          <w:marBottom w:val="0"/>
          <w:divBdr>
            <w:top w:val="none" w:sz="0" w:space="0" w:color="auto"/>
            <w:left w:val="none" w:sz="0" w:space="0" w:color="auto"/>
            <w:bottom w:val="none" w:sz="0" w:space="0" w:color="auto"/>
            <w:right w:val="none" w:sz="0" w:space="0" w:color="auto"/>
          </w:divBdr>
        </w:div>
        <w:div w:id="486287619">
          <w:marLeft w:val="640"/>
          <w:marRight w:val="0"/>
          <w:marTop w:val="0"/>
          <w:marBottom w:val="0"/>
          <w:divBdr>
            <w:top w:val="none" w:sz="0" w:space="0" w:color="auto"/>
            <w:left w:val="none" w:sz="0" w:space="0" w:color="auto"/>
            <w:bottom w:val="none" w:sz="0" w:space="0" w:color="auto"/>
            <w:right w:val="none" w:sz="0" w:space="0" w:color="auto"/>
          </w:divBdr>
        </w:div>
        <w:div w:id="1965234933">
          <w:marLeft w:val="640"/>
          <w:marRight w:val="0"/>
          <w:marTop w:val="0"/>
          <w:marBottom w:val="0"/>
          <w:divBdr>
            <w:top w:val="none" w:sz="0" w:space="0" w:color="auto"/>
            <w:left w:val="none" w:sz="0" w:space="0" w:color="auto"/>
            <w:bottom w:val="none" w:sz="0" w:space="0" w:color="auto"/>
            <w:right w:val="none" w:sz="0" w:space="0" w:color="auto"/>
          </w:divBdr>
        </w:div>
        <w:div w:id="1216576734">
          <w:marLeft w:val="640"/>
          <w:marRight w:val="0"/>
          <w:marTop w:val="0"/>
          <w:marBottom w:val="0"/>
          <w:divBdr>
            <w:top w:val="none" w:sz="0" w:space="0" w:color="auto"/>
            <w:left w:val="none" w:sz="0" w:space="0" w:color="auto"/>
            <w:bottom w:val="none" w:sz="0" w:space="0" w:color="auto"/>
            <w:right w:val="none" w:sz="0" w:space="0" w:color="auto"/>
          </w:divBdr>
        </w:div>
        <w:div w:id="1911231139">
          <w:marLeft w:val="640"/>
          <w:marRight w:val="0"/>
          <w:marTop w:val="0"/>
          <w:marBottom w:val="0"/>
          <w:divBdr>
            <w:top w:val="none" w:sz="0" w:space="0" w:color="auto"/>
            <w:left w:val="none" w:sz="0" w:space="0" w:color="auto"/>
            <w:bottom w:val="none" w:sz="0" w:space="0" w:color="auto"/>
            <w:right w:val="none" w:sz="0" w:space="0" w:color="auto"/>
          </w:divBdr>
        </w:div>
        <w:div w:id="1986933257">
          <w:marLeft w:val="640"/>
          <w:marRight w:val="0"/>
          <w:marTop w:val="0"/>
          <w:marBottom w:val="0"/>
          <w:divBdr>
            <w:top w:val="none" w:sz="0" w:space="0" w:color="auto"/>
            <w:left w:val="none" w:sz="0" w:space="0" w:color="auto"/>
            <w:bottom w:val="none" w:sz="0" w:space="0" w:color="auto"/>
            <w:right w:val="none" w:sz="0" w:space="0" w:color="auto"/>
          </w:divBdr>
        </w:div>
        <w:div w:id="547298714">
          <w:marLeft w:val="640"/>
          <w:marRight w:val="0"/>
          <w:marTop w:val="0"/>
          <w:marBottom w:val="0"/>
          <w:divBdr>
            <w:top w:val="none" w:sz="0" w:space="0" w:color="auto"/>
            <w:left w:val="none" w:sz="0" w:space="0" w:color="auto"/>
            <w:bottom w:val="none" w:sz="0" w:space="0" w:color="auto"/>
            <w:right w:val="none" w:sz="0" w:space="0" w:color="auto"/>
          </w:divBdr>
        </w:div>
        <w:div w:id="834102261">
          <w:marLeft w:val="640"/>
          <w:marRight w:val="0"/>
          <w:marTop w:val="0"/>
          <w:marBottom w:val="0"/>
          <w:divBdr>
            <w:top w:val="none" w:sz="0" w:space="0" w:color="auto"/>
            <w:left w:val="none" w:sz="0" w:space="0" w:color="auto"/>
            <w:bottom w:val="none" w:sz="0" w:space="0" w:color="auto"/>
            <w:right w:val="none" w:sz="0" w:space="0" w:color="auto"/>
          </w:divBdr>
        </w:div>
        <w:div w:id="1591935226">
          <w:marLeft w:val="640"/>
          <w:marRight w:val="0"/>
          <w:marTop w:val="0"/>
          <w:marBottom w:val="0"/>
          <w:divBdr>
            <w:top w:val="none" w:sz="0" w:space="0" w:color="auto"/>
            <w:left w:val="none" w:sz="0" w:space="0" w:color="auto"/>
            <w:bottom w:val="none" w:sz="0" w:space="0" w:color="auto"/>
            <w:right w:val="none" w:sz="0" w:space="0" w:color="auto"/>
          </w:divBdr>
        </w:div>
        <w:div w:id="2028867025">
          <w:marLeft w:val="640"/>
          <w:marRight w:val="0"/>
          <w:marTop w:val="0"/>
          <w:marBottom w:val="0"/>
          <w:divBdr>
            <w:top w:val="none" w:sz="0" w:space="0" w:color="auto"/>
            <w:left w:val="none" w:sz="0" w:space="0" w:color="auto"/>
            <w:bottom w:val="none" w:sz="0" w:space="0" w:color="auto"/>
            <w:right w:val="none" w:sz="0" w:space="0" w:color="auto"/>
          </w:divBdr>
        </w:div>
        <w:div w:id="424543395">
          <w:marLeft w:val="640"/>
          <w:marRight w:val="0"/>
          <w:marTop w:val="0"/>
          <w:marBottom w:val="0"/>
          <w:divBdr>
            <w:top w:val="none" w:sz="0" w:space="0" w:color="auto"/>
            <w:left w:val="none" w:sz="0" w:space="0" w:color="auto"/>
            <w:bottom w:val="none" w:sz="0" w:space="0" w:color="auto"/>
            <w:right w:val="none" w:sz="0" w:space="0" w:color="auto"/>
          </w:divBdr>
        </w:div>
        <w:div w:id="1673412361">
          <w:marLeft w:val="640"/>
          <w:marRight w:val="0"/>
          <w:marTop w:val="0"/>
          <w:marBottom w:val="0"/>
          <w:divBdr>
            <w:top w:val="none" w:sz="0" w:space="0" w:color="auto"/>
            <w:left w:val="none" w:sz="0" w:space="0" w:color="auto"/>
            <w:bottom w:val="none" w:sz="0" w:space="0" w:color="auto"/>
            <w:right w:val="none" w:sz="0" w:space="0" w:color="auto"/>
          </w:divBdr>
        </w:div>
        <w:div w:id="1512405970">
          <w:marLeft w:val="640"/>
          <w:marRight w:val="0"/>
          <w:marTop w:val="0"/>
          <w:marBottom w:val="0"/>
          <w:divBdr>
            <w:top w:val="none" w:sz="0" w:space="0" w:color="auto"/>
            <w:left w:val="none" w:sz="0" w:space="0" w:color="auto"/>
            <w:bottom w:val="none" w:sz="0" w:space="0" w:color="auto"/>
            <w:right w:val="none" w:sz="0" w:space="0" w:color="auto"/>
          </w:divBdr>
        </w:div>
        <w:div w:id="1678463299">
          <w:marLeft w:val="640"/>
          <w:marRight w:val="0"/>
          <w:marTop w:val="0"/>
          <w:marBottom w:val="0"/>
          <w:divBdr>
            <w:top w:val="none" w:sz="0" w:space="0" w:color="auto"/>
            <w:left w:val="none" w:sz="0" w:space="0" w:color="auto"/>
            <w:bottom w:val="none" w:sz="0" w:space="0" w:color="auto"/>
            <w:right w:val="none" w:sz="0" w:space="0" w:color="auto"/>
          </w:divBdr>
        </w:div>
        <w:div w:id="640884968">
          <w:marLeft w:val="640"/>
          <w:marRight w:val="0"/>
          <w:marTop w:val="0"/>
          <w:marBottom w:val="0"/>
          <w:divBdr>
            <w:top w:val="none" w:sz="0" w:space="0" w:color="auto"/>
            <w:left w:val="none" w:sz="0" w:space="0" w:color="auto"/>
            <w:bottom w:val="none" w:sz="0" w:space="0" w:color="auto"/>
            <w:right w:val="none" w:sz="0" w:space="0" w:color="auto"/>
          </w:divBdr>
        </w:div>
        <w:div w:id="2037151011">
          <w:marLeft w:val="640"/>
          <w:marRight w:val="0"/>
          <w:marTop w:val="0"/>
          <w:marBottom w:val="0"/>
          <w:divBdr>
            <w:top w:val="none" w:sz="0" w:space="0" w:color="auto"/>
            <w:left w:val="none" w:sz="0" w:space="0" w:color="auto"/>
            <w:bottom w:val="none" w:sz="0" w:space="0" w:color="auto"/>
            <w:right w:val="none" w:sz="0" w:space="0" w:color="auto"/>
          </w:divBdr>
        </w:div>
        <w:div w:id="1520124614">
          <w:marLeft w:val="640"/>
          <w:marRight w:val="0"/>
          <w:marTop w:val="0"/>
          <w:marBottom w:val="0"/>
          <w:divBdr>
            <w:top w:val="none" w:sz="0" w:space="0" w:color="auto"/>
            <w:left w:val="none" w:sz="0" w:space="0" w:color="auto"/>
            <w:bottom w:val="none" w:sz="0" w:space="0" w:color="auto"/>
            <w:right w:val="none" w:sz="0" w:space="0" w:color="auto"/>
          </w:divBdr>
        </w:div>
        <w:div w:id="900872183">
          <w:marLeft w:val="640"/>
          <w:marRight w:val="0"/>
          <w:marTop w:val="0"/>
          <w:marBottom w:val="0"/>
          <w:divBdr>
            <w:top w:val="none" w:sz="0" w:space="0" w:color="auto"/>
            <w:left w:val="none" w:sz="0" w:space="0" w:color="auto"/>
            <w:bottom w:val="none" w:sz="0" w:space="0" w:color="auto"/>
            <w:right w:val="none" w:sz="0" w:space="0" w:color="auto"/>
          </w:divBdr>
        </w:div>
        <w:div w:id="440540963">
          <w:marLeft w:val="640"/>
          <w:marRight w:val="0"/>
          <w:marTop w:val="0"/>
          <w:marBottom w:val="0"/>
          <w:divBdr>
            <w:top w:val="none" w:sz="0" w:space="0" w:color="auto"/>
            <w:left w:val="none" w:sz="0" w:space="0" w:color="auto"/>
            <w:bottom w:val="none" w:sz="0" w:space="0" w:color="auto"/>
            <w:right w:val="none" w:sz="0" w:space="0" w:color="auto"/>
          </w:divBdr>
        </w:div>
        <w:div w:id="380902280">
          <w:marLeft w:val="640"/>
          <w:marRight w:val="0"/>
          <w:marTop w:val="0"/>
          <w:marBottom w:val="0"/>
          <w:divBdr>
            <w:top w:val="none" w:sz="0" w:space="0" w:color="auto"/>
            <w:left w:val="none" w:sz="0" w:space="0" w:color="auto"/>
            <w:bottom w:val="none" w:sz="0" w:space="0" w:color="auto"/>
            <w:right w:val="none" w:sz="0" w:space="0" w:color="auto"/>
          </w:divBdr>
        </w:div>
        <w:div w:id="991562404">
          <w:marLeft w:val="640"/>
          <w:marRight w:val="0"/>
          <w:marTop w:val="0"/>
          <w:marBottom w:val="0"/>
          <w:divBdr>
            <w:top w:val="none" w:sz="0" w:space="0" w:color="auto"/>
            <w:left w:val="none" w:sz="0" w:space="0" w:color="auto"/>
            <w:bottom w:val="none" w:sz="0" w:space="0" w:color="auto"/>
            <w:right w:val="none" w:sz="0" w:space="0" w:color="auto"/>
          </w:divBdr>
        </w:div>
        <w:div w:id="1036736225">
          <w:marLeft w:val="640"/>
          <w:marRight w:val="0"/>
          <w:marTop w:val="0"/>
          <w:marBottom w:val="0"/>
          <w:divBdr>
            <w:top w:val="none" w:sz="0" w:space="0" w:color="auto"/>
            <w:left w:val="none" w:sz="0" w:space="0" w:color="auto"/>
            <w:bottom w:val="none" w:sz="0" w:space="0" w:color="auto"/>
            <w:right w:val="none" w:sz="0" w:space="0" w:color="auto"/>
          </w:divBdr>
        </w:div>
        <w:div w:id="107241998">
          <w:marLeft w:val="640"/>
          <w:marRight w:val="0"/>
          <w:marTop w:val="0"/>
          <w:marBottom w:val="0"/>
          <w:divBdr>
            <w:top w:val="none" w:sz="0" w:space="0" w:color="auto"/>
            <w:left w:val="none" w:sz="0" w:space="0" w:color="auto"/>
            <w:bottom w:val="none" w:sz="0" w:space="0" w:color="auto"/>
            <w:right w:val="none" w:sz="0" w:space="0" w:color="auto"/>
          </w:divBdr>
        </w:div>
        <w:div w:id="1180394243">
          <w:marLeft w:val="640"/>
          <w:marRight w:val="0"/>
          <w:marTop w:val="0"/>
          <w:marBottom w:val="0"/>
          <w:divBdr>
            <w:top w:val="none" w:sz="0" w:space="0" w:color="auto"/>
            <w:left w:val="none" w:sz="0" w:space="0" w:color="auto"/>
            <w:bottom w:val="none" w:sz="0" w:space="0" w:color="auto"/>
            <w:right w:val="none" w:sz="0" w:space="0" w:color="auto"/>
          </w:divBdr>
        </w:div>
        <w:div w:id="54357151">
          <w:marLeft w:val="640"/>
          <w:marRight w:val="0"/>
          <w:marTop w:val="0"/>
          <w:marBottom w:val="0"/>
          <w:divBdr>
            <w:top w:val="none" w:sz="0" w:space="0" w:color="auto"/>
            <w:left w:val="none" w:sz="0" w:space="0" w:color="auto"/>
            <w:bottom w:val="none" w:sz="0" w:space="0" w:color="auto"/>
            <w:right w:val="none" w:sz="0" w:space="0" w:color="auto"/>
          </w:divBdr>
        </w:div>
        <w:div w:id="1065300529">
          <w:marLeft w:val="640"/>
          <w:marRight w:val="0"/>
          <w:marTop w:val="0"/>
          <w:marBottom w:val="0"/>
          <w:divBdr>
            <w:top w:val="none" w:sz="0" w:space="0" w:color="auto"/>
            <w:left w:val="none" w:sz="0" w:space="0" w:color="auto"/>
            <w:bottom w:val="none" w:sz="0" w:space="0" w:color="auto"/>
            <w:right w:val="none" w:sz="0" w:space="0" w:color="auto"/>
          </w:divBdr>
        </w:div>
        <w:div w:id="292948879">
          <w:marLeft w:val="640"/>
          <w:marRight w:val="0"/>
          <w:marTop w:val="0"/>
          <w:marBottom w:val="0"/>
          <w:divBdr>
            <w:top w:val="none" w:sz="0" w:space="0" w:color="auto"/>
            <w:left w:val="none" w:sz="0" w:space="0" w:color="auto"/>
            <w:bottom w:val="none" w:sz="0" w:space="0" w:color="auto"/>
            <w:right w:val="none" w:sz="0" w:space="0" w:color="auto"/>
          </w:divBdr>
        </w:div>
        <w:div w:id="173811451">
          <w:marLeft w:val="640"/>
          <w:marRight w:val="0"/>
          <w:marTop w:val="0"/>
          <w:marBottom w:val="0"/>
          <w:divBdr>
            <w:top w:val="none" w:sz="0" w:space="0" w:color="auto"/>
            <w:left w:val="none" w:sz="0" w:space="0" w:color="auto"/>
            <w:bottom w:val="none" w:sz="0" w:space="0" w:color="auto"/>
            <w:right w:val="none" w:sz="0" w:space="0" w:color="auto"/>
          </w:divBdr>
        </w:div>
        <w:div w:id="2106685701">
          <w:marLeft w:val="640"/>
          <w:marRight w:val="0"/>
          <w:marTop w:val="0"/>
          <w:marBottom w:val="0"/>
          <w:divBdr>
            <w:top w:val="none" w:sz="0" w:space="0" w:color="auto"/>
            <w:left w:val="none" w:sz="0" w:space="0" w:color="auto"/>
            <w:bottom w:val="none" w:sz="0" w:space="0" w:color="auto"/>
            <w:right w:val="none" w:sz="0" w:space="0" w:color="auto"/>
          </w:divBdr>
        </w:div>
        <w:div w:id="1886135619">
          <w:marLeft w:val="640"/>
          <w:marRight w:val="0"/>
          <w:marTop w:val="0"/>
          <w:marBottom w:val="0"/>
          <w:divBdr>
            <w:top w:val="none" w:sz="0" w:space="0" w:color="auto"/>
            <w:left w:val="none" w:sz="0" w:space="0" w:color="auto"/>
            <w:bottom w:val="none" w:sz="0" w:space="0" w:color="auto"/>
            <w:right w:val="none" w:sz="0" w:space="0" w:color="auto"/>
          </w:divBdr>
        </w:div>
        <w:div w:id="204875877">
          <w:marLeft w:val="640"/>
          <w:marRight w:val="0"/>
          <w:marTop w:val="0"/>
          <w:marBottom w:val="0"/>
          <w:divBdr>
            <w:top w:val="none" w:sz="0" w:space="0" w:color="auto"/>
            <w:left w:val="none" w:sz="0" w:space="0" w:color="auto"/>
            <w:bottom w:val="none" w:sz="0" w:space="0" w:color="auto"/>
            <w:right w:val="none" w:sz="0" w:space="0" w:color="auto"/>
          </w:divBdr>
        </w:div>
        <w:div w:id="1105157340">
          <w:marLeft w:val="640"/>
          <w:marRight w:val="0"/>
          <w:marTop w:val="0"/>
          <w:marBottom w:val="0"/>
          <w:divBdr>
            <w:top w:val="none" w:sz="0" w:space="0" w:color="auto"/>
            <w:left w:val="none" w:sz="0" w:space="0" w:color="auto"/>
            <w:bottom w:val="none" w:sz="0" w:space="0" w:color="auto"/>
            <w:right w:val="none" w:sz="0" w:space="0" w:color="auto"/>
          </w:divBdr>
        </w:div>
        <w:div w:id="448622467">
          <w:marLeft w:val="640"/>
          <w:marRight w:val="0"/>
          <w:marTop w:val="0"/>
          <w:marBottom w:val="0"/>
          <w:divBdr>
            <w:top w:val="none" w:sz="0" w:space="0" w:color="auto"/>
            <w:left w:val="none" w:sz="0" w:space="0" w:color="auto"/>
            <w:bottom w:val="none" w:sz="0" w:space="0" w:color="auto"/>
            <w:right w:val="none" w:sz="0" w:space="0" w:color="auto"/>
          </w:divBdr>
        </w:div>
        <w:div w:id="601688654">
          <w:marLeft w:val="640"/>
          <w:marRight w:val="0"/>
          <w:marTop w:val="0"/>
          <w:marBottom w:val="0"/>
          <w:divBdr>
            <w:top w:val="none" w:sz="0" w:space="0" w:color="auto"/>
            <w:left w:val="none" w:sz="0" w:space="0" w:color="auto"/>
            <w:bottom w:val="none" w:sz="0" w:space="0" w:color="auto"/>
            <w:right w:val="none" w:sz="0" w:space="0" w:color="auto"/>
          </w:divBdr>
        </w:div>
        <w:div w:id="1653094988">
          <w:marLeft w:val="640"/>
          <w:marRight w:val="0"/>
          <w:marTop w:val="0"/>
          <w:marBottom w:val="0"/>
          <w:divBdr>
            <w:top w:val="none" w:sz="0" w:space="0" w:color="auto"/>
            <w:left w:val="none" w:sz="0" w:space="0" w:color="auto"/>
            <w:bottom w:val="none" w:sz="0" w:space="0" w:color="auto"/>
            <w:right w:val="none" w:sz="0" w:space="0" w:color="auto"/>
          </w:divBdr>
        </w:div>
        <w:div w:id="547454355">
          <w:marLeft w:val="640"/>
          <w:marRight w:val="0"/>
          <w:marTop w:val="0"/>
          <w:marBottom w:val="0"/>
          <w:divBdr>
            <w:top w:val="none" w:sz="0" w:space="0" w:color="auto"/>
            <w:left w:val="none" w:sz="0" w:space="0" w:color="auto"/>
            <w:bottom w:val="none" w:sz="0" w:space="0" w:color="auto"/>
            <w:right w:val="none" w:sz="0" w:space="0" w:color="auto"/>
          </w:divBdr>
        </w:div>
        <w:div w:id="731201745">
          <w:marLeft w:val="640"/>
          <w:marRight w:val="0"/>
          <w:marTop w:val="0"/>
          <w:marBottom w:val="0"/>
          <w:divBdr>
            <w:top w:val="none" w:sz="0" w:space="0" w:color="auto"/>
            <w:left w:val="none" w:sz="0" w:space="0" w:color="auto"/>
            <w:bottom w:val="none" w:sz="0" w:space="0" w:color="auto"/>
            <w:right w:val="none" w:sz="0" w:space="0" w:color="auto"/>
          </w:divBdr>
        </w:div>
        <w:div w:id="1010764715">
          <w:marLeft w:val="640"/>
          <w:marRight w:val="0"/>
          <w:marTop w:val="0"/>
          <w:marBottom w:val="0"/>
          <w:divBdr>
            <w:top w:val="none" w:sz="0" w:space="0" w:color="auto"/>
            <w:left w:val="none" w:sz="0" w:space="0" w:color="auto"/>
            <w:bottom w:val="none" w:sz="0" w:space="0" w:color="auto"/>
            <w:right w:val="none" w:sz="0" w:space="0" w:color="auto"/>
          </w:divBdr>
        </w:div>
        <w:div w:id="650863443">
          <w:marLeft w:val="640"/>
          <w:marRight w:val="0"/>
          <w:marTop w:val="0"/>
          <w:marBottom w:val="0"/>
          <w:divBdr>
            <w:top w:val="none" w:sz="0" w:space="0" w:color="auto"/>
            <w:left w:val="none" w:sz="0" w:space="0" w:color="auto"/>
            <w:bottom w:val="none" w:sz="0" w:space="0" w:color="auto"/>
            <w:right w:val="none" w:sz="0" w:space="0" w:color="auto"/>
          </w:divBdr>
        </w:div>
        <w:div w:id="356780703">
          <w:marLeft w:val="640"/>
          <w:marRight w:val="0"/>
          <w:marTop w:val="0"/>
          <w:marBottom w:val="0"/>
          <w:divBdr>
            <w:top w:val="none" w:sz="0" w:space="0" w:color="auto"/>
            <w:left w:val="none" w:sz="0" w:space="0" w:color="auto"/>
            <w:bottom w:val="none" w:sz="0" w:space="0" w:color="auto"/>
            <w:right w:val="none" w:sz="0" w:space="0" w:color="auto"/>
          </w:divBdr>
        </w:div>
        <w:div w:id="305858940">
          <w:marLeft w:val="640"/>
          <w:marRight w:val="0"/>
          <w:marTop w:val="0"/>
          <w:marBottom w:val="0"/>
          <w:divBdr>
            <w:top w:val="none" w:sz="0" w:space="0" w:color="auto"/>
            <w:left w:val="none" w:sz="0" w:space="0" w:color="auto"/>
            <w:bottom w:val="none" w:sz="0" w:space="0" w:color="auto"/>
            <w:right w:val="none" w:sz="0" w:space="0" w:color="auto"/>
          </w:divBdr>
        </w:div>
        <w:div w:id="1878735473">
          <w:marLeft w:val="640"/>
          <w:marRight w:val="0"/>
          <w:marTop w:val="0"/>
          <w:marBottom w:val="0"/>
          <w:divBdr>
            <w:top w:val="none" w:sz="0" w:space="0" w:color="auto"/>
            <w:left w:val="none" w:sz="0" w:space="0" w:color="auto"/>
            <w:bottom w:val="none" w:sz="0" w:space="0" w:color="auto"/>
            <w:right w:val="none" w:sz="0" w:space="0" w:color="auto"/>
          </w:divBdr>
        </w:div>
        <w:div w:id="257717634">
          <w:marLeft w:val="640"/>
          <w:marRight w:val="0"/>
          <w:marTop w:val="0"/>
          <w:marBottom w:val="0"/>
          <w:divBdr>
            <w:top w:val="none" w:sz="0" w:space="0" w:color="auto"/>
            <w:left w:val="none" w:sz="0" w:space="0" w:color="auto"/>
            <w:bottom w:val="none" w:sz="0" w:space="0" w:color="auto"/>
            <w:right w:val="none" w:sz="0" w:space="0" w:color="auto"/>
          </w:divBdr>
        </w:div>
        <w:div w:id="524558345">
          <w:marLeft w:val="640"/>
          <w:marRight w:val="0"/>
          <w:marTop w:val="0"/>
          <w:marBottom w:val="0"/>
          <w:divBdr>
            <w:top w:val="none" w:sz="0" w:space="0" w:color="auto"/>
            <w:left w:val="none" w:sz="0" w:space="0" w:color="auto"/>
            <w:bottom w:val="none" w:sz="0" w:space="0" w:color="auto"/>
            <w:right w:val="none" w:sz="0" w:space="0" w:color="auto"/>
          </w:divBdr>
        </w:div>
        <w:div w:id="131945096">
          <w:marLeft w:val="640"/>
          <w:marRight w:val="0"/>
          <w:marTop w:val="0"/>
          <w:marBottom w:val="0"/>
          <w:divBdr>
            <w:top w:val="none" w:sz="0" w:space="0" w:color="auto"/>
            <w:left w:val="none" w:sz="0" w:space="0" w:color="auto"/>
            <w:bottom w:val="none" w:sz="0" w:space="0" w:color="auto"/>
            <w:right w:val="none" w:sz="0" w:space="0" w:color="auto"/>
          </w:divBdr>
        </w:div>
        <w:div w:id="1052198125">
          <w:marLeft w:val="640"/>
          <w:marRight w:val="0"/>
          <w:marTop w:val="0"/>
          <w:marBottom w:val="0"/>
          <w:divBdr>
            <w:top w:val="none" w:sz="0" w:space="0" w:color="auto"/>
            <w:left w:val="none" w:sz="0" w:space="0" w:color="auto"/>
            <w:bottom w:val="none" w:sz="0" w:space="0" w:color="auto"/>
            <w:right w:val="none" w:sz="0" w:space="0" w:color="auto"/>
          </w:divBdr>
        </w:div>
        <w:div w:id="1664160304">
          <w:marLeft w:val="640"/>
          <w:marRight w:val="0"/>
          <w:marTop w:val="0"/>
          <w:marBottom w:val="0"/>
          <w:divBdr>
            <w:top w:val="none" w:sz="0" w:space="0" w:color="auto"/>
            <w:left w:val="none" w:sz="0" w:space="0" w:color="auto"/>
            <w:bottom w:val="none" w:sz="0" w:space="0" w:color="auto"/>
            <w:right w:val="none" w:sz="0" w:space="0" w:color="auto"/>
          </w:divBdr>
        </w:div>
        <w:div w:id="975060884">
          <w:marLeft w:val="640"/>
          <w:marRight w:val="0"/>
          <w:marTop w:val="0"/>
          <w:marBottom w:val="0"/>
          <w:divBdr>
            <w:top w:val="none" w:sz="0" w:space="0" w:color="auto"/>
            <w:left w:val="none" w:sz="0" w:space="0" w:color="auto"/>
            <w:bottom w:val="none" w:sz="0" w:space="0" w:color="auto"/>
            <w:right w:val="none" w:sz="0" w:space="0" w:color="auto"/>
          </w:divBdr>
        </w:div>
        <w:div w:id="418984020">
          <w:marLeft w:val="640"/>
          <w:marRight w:val="0"/>
          <w:marTop w:val="0"/>
          <w:marBottom w:val="0"/>
          <w:divBdr>
            <w:top w:val="none" w:sz="0" w:space="0" w:color="auto"/>
            <w:left w:val="none" w:sz="0" w:space="0" w:color="auto"/>
            <w:bottom w:val="none" w:sz="0" w:space="0" w:color="auto"/>
            <w:right w:val="none" w:sz="0" w:space="0" w:color="auto"/>
          </w:divBdr>
        </w:div>
        <w:div w:id="474644436">
          <w:marLeft w:val="640"/>
          <w:marRight w:val="0"/>
          <w:marTop w:val="0"/>
          <w:marBottom w:val="0"/>
          <w:divBdr>
            <w:top w:val="none" w:sz="0" w:space="0" w:color="auto"/>
            <w:left w:val="none" w:sz="0" w:space="0" w:color="auto"/>
            <w:bottom w:val="none" w:sz="0" w:space="0" w:color="auto"/>
            <w:right w:val="none" w:sz="0" w:space="0" w:color="auto"/>
          </w:divBdr>
        </w:div>
        <w:div w:id="233315998">
          <w:marLeft w:val="640"/>
          <w:marRight w:val="0"/>
          <w:marTop w:val="0"/>
          <w:marBottom w:val="0"/>
          <w:divBdr>
            <w:top w:val="none" w:sz="0" w:space="0" w:color="auto"/>
            <w:left w:val="none" w:sz="0" w:space="0" w:color="auto"/>
            <w:bottom w:val="none" w:sz="0" w:space="0" w:color="auto"/>
            <w:right w:val="none" w:sz="0" w:space="0" w:color="auto"/>
          </w:divBdr>
        </w:div>
        <w:div w:id="662587005">
          <w:marLeft w:val="640"/>
          <w:marRight w:val="0"/>
          <w:marTop w:val="0"/>
          <w:marBottom w:val="0"/>
          <w:divBdr>
            <w:top w:val="none" w:sz="0" w:space="0" w:color="auto"/>
            <w:left w:val="none" w:sz="0" w:space="0" w:color="auto"/>
            <w:bottom w:val="none" w:sz="0" w:space="0" w:color="auto"/>
            <w:right w:val="none" w:sz="0" w:space="0" w:color="auto"/>
          </w:divBdr>
        </w:div>
        <w:div w:id="1055852265">
          <w:marLeft w:val="640"/>
          <w:marRight w:val="0"/>
          <w:marTop w:val="0"/>
          <w:marBottom w:val="0"/>
          <w:divBdr>
            <w:top w:val="none" w:sz="0" w:space="0" w:color="auto"/>
            <w:left w:val="none" w:sz="0" w:space="0" w:color="auto"/>
            <w:bottom w:val="none" w:sz="0" w:space="0" w:color="auto"/>
            <w:right w:val="none" w:sz="0" w:space="0" w:color="auto"/>
          </w:divBdr>
        </w:div>
        <w:div w:id="432824470">
          <w:marLeft w:val="640"/>
          <w:marRight w:val="0"/>
          <w:marTop w:val="0"/>
          <w:marBottom w:val="0"/>
          <w:divBdr>
            <w:top w:val="none" w:sz="0" w:space="0" w:color="auto"/>
            <w:left w:val="none" w:sz="0" w:space="0" w:color="auto"/>
            <w:bottom w:val="none" w:sz="0" w:space="0" w:color="auto"/>
            <w:right w:val="none" w:sz="0" w:space="0" w:color="auto"/>
          </w:divBdr>
        </w:div>
        <w:div w:id="286549961">
          <w:marLeft w:val="640"/>
          <w:marRight w:val="0"/>
          <w:marTop w:val="0"/>
          <w:marBottom w:val="0"/>
          <w:divBdr>
            <w:top w:val="none" w:sz="0" w:space="0" w:color="auto"/>
            <w:left w:val="none" w:sz="0" w:space="0" w:color="auto"/>
            <w:bottom w:val="none" w:sz="0" w:space="0" w:color="auto"/>
            <w:right w:val="none" w:sz="0" w:space="0" w:color="auto"/>
          </w:divBdr>
        </w:div>
        <w:div w:id="934678036">
          <w:marLeft w:val="640"/>
          <w:marRight w:val="0"/>
          <w:marTop w:val="0"/>
          <w:marBottom w:val="0"/>
          <w:divBdr>
            <w:top w:val="none" w:sz="0" w:space="0" w:color="auto"/>
            <w:left w:val="none" w:sz="0" w:space="0" w:color="auto"/>
            <w:bottom w:val="none" w:sz="0" w:space="0" w:color="auto"/>
            <w:right w:val="none" w:sz="0" w:space="0" w:color="auto"/>
          </w:divBdr>
        </w:div>
        <w:div w:id="516315022">
          <w:marLeft w:val="640"/>
          <w:marRight w:val="0"/>
          <w:marTop w:val="0"/>
          <w:marBottom w:val="0"/>
          <w:divBdr>
            <w:top w:val="none" w:sz="0" w:space="0" w:color="auto"/>
            <w:left w:val="none" w:sz="0" w:space="0" w:color="auto"/>
            <w:bottom w:val="none" w:sz="0" w:space="0" w:color="auto"/>
            <w:right w:val="none" w:sz="0" w:space="0" w:color="auto"/>
          </w:divBdr>
        </w:div>
        <w:div w:id="293293476">
          <w:marLeft w:val="640"/>
          <w:marRight w:val="0"/>
          <w:marTop w:val="0"/>
          <w:marBottom w:val="0"/>
          <w:divBdr>
            <w:top w:val="none" w:sz="0" w:space="0" w:color="auto"/>
            <w:left w:val="none" w:sz="0" w:space="0" w:color="auto"/>
            <w:bottom w:val="none" w:sz="0" w:space="0" w:color="auto"/>
            <w:right w:val="none" w:sz="0" w:space="0" w:color="auto"/>
          </w:divBdr>
        </w:div>
      </w:divsChild>
    </w:div>
    <w:div w:id="441464565">
      <w:bodyDiv w:val="1"/>
      <w:marLeft w:val="0"/>
      <w:marRight w:val="0"/>
      <w:marTop w:val="0"/>
      <w:marBottom w:val="0"/>
      <w:divBdr>
        <w:top w:val="none" w:sz="0" w:space="0" w:color="auto"/>
        <w:left w:val="none" w:sz="0" w:space="0" w:color="auto"/>
        <w:bottom w:val="none" w:sz="0" w:space="0" w:color="auto"/>
        <w:right w:val="none" w:sz="0" w:space="0" w:color="auto"/>
      </w:divBdr>
    </w:div>
    <w:div w:id="444009346">
      <w:bodyDiv w:val="1"/>
      <w:marLeft w:val="0"/>
      <w:marRight w:val="0"/>
      <w:marTop w:val="0"/>
      <w:marBottom w:val="0"/>
      <w:divBdr>
        <w:top w:val="none" w:sz="0" w:space="0" w:color="auto"/>
        <w:left w:val="none" w:sz="0" w:space="0" w:color="auto"/>
        <w:bottom w:val="none" w:sz="0" w:space="0" w:color="auto"/>
        <w:right w:val="none" w:sz="0" w:space="0" w:color="auto"/>
      </w:divBdr>
    </w:div>
    <w:div w:id="444157678">
      <w:bodyDiv w:val="1"/>
      <w:marLeft w:val="0"/>
      <w:marRight w:val="0"/>
      <w:marTop w:val="0"/>
      <w:marBottom w:val="0"/>
      <w:divBdr>
        <w:top w:val="none" w:sz="0" w:space="0" w:color="auto"/>
        <w:left w:val="none" w:sz="0" w:space="0" w:color="auto"/>
        <w:bottom w:val="none" w:sz="0" w:space="0" w:color="auto"/>
        <w:right w:val="none" w:sz="0" w:space="0" w:color="auto"/>
      </w:divBdr>
    </w:div>
    <w:div w:id="445269081">
      <w:bodyDiv w:val="1"/>
      <w:marLeft w:val="0"/>
      <w:marRight w:val="0"/>
      <w:marTop w:val="0"/>
      <w:marBottom w:val="0"/>
      <w:divBdr>
        <w:top w:val="none" w:sz="0" w:space="0" w:color="auto"/>
        <w:left w:val="none" w:sz="0" w:space="0" w:color="auto"/>
        <w:bottom w:val="none" w:sz="0" w:space="0" w:color="auto"/>
        <w:right w:val="none" w:sz="0" w:space="0" w:color="auto"/>
      </w:divBdr>
    </w:div>
    <w:div w:id="446046022">
      <w:bodyDiv w:val="1"/>
      <w:marLeft w:val="0"/>
      <w:marRight w:val="0"/>
      <w:marTop w:val="0"/>
      <w:marBottom w:val="0"/>
      <w:divBdr>
        <w:top w:val="none" w:sz="0" w:space="0" w:color="auto"/>
        <w:left w:val="none" w:sz="0" w:space="0" w:color="auto"/>
        <w:bottom w:val="none" w:sz="0" w:space="0" w:color="auto"/>
        <w:right w:val="none" w:sz="0" w:space="0" w:color="auto"/>
      </w:divBdr>
    </w:div>
    <w:div w:id="450824228">
      <w:bodyDiv w:val="1"/>
      <w:marLeft w:val="0"/>
      <w:marRight w:val="0"/>
      <w:marTop w:val="0"/>
      <w:marBottom w:val="0"/>
      <w:divBdr>
        <w:top w:val="none" w:sz="0" w:space="0" w:color="auto"/>
        <w:left w:val="none" w:sz="0" w:space="0" w:color="auto"/>
        <w:bottom w:val="none" w:sz="0" w:space="0" w:color="auto"/>
        <w:right w:val="none" w:sz="0" w:space="0" w:color="auto"/>
      </w:divBdr>
    </w:div>
    <w:div w:id="450980478">
      <w:bodyDiv w:val="1"/>
      <w:marLeft w:val="0"/>
      <w:marRight w:val="0"/>
      <w:marTop w:val="0"/>
      <w:marBottom w:val="0"/>
      <w:divBdr>
        <w:top w:val="none" w:sz="0" w:space="0" w:color="auto"/>
        <w:left w:val="none" w:sz="0" w:space="0" w:color="auto"/>
        <w:bottom w:val="none" w:sz="0" w:space="0" w:color="auto"/>
        <w:right w:val="none" w:sz="0" w:space="0" w:color="auto"/>
      </w:divBdr>
    </w:div>
    <w:div w:id="451675638">
      <w:bodyDiv w:val="1"/>
      <w:marLeft w:val="0"/>
      <w:marRight w:val="0"/>
      <w:marTop w:val="0"/>
      <w:marBottom w:val="0"/>
      <w:divBdr>
        <w:top w:val="none" w:sz="0" w:space="0" w:color="auto"/>
        <w:left w:val="none" w:sz="0" w:space="0" w:color="auto"/>
        <w:bottom w:val="none" w:sz="0" w:space="0" w:color="auto"/>
        <w:right w:val="none" w:sz="0" w:space="0" w:color="auto"/>
      </w:divBdr>
    </w:div>
    <w:div w:id="456677600">
      <w:bodyDiv w:val="1"/>
      <w:marLeft w:val="0"/>
      <w:marRight w:val="0"/>
      <w:marTop w:val="0"/>
      <w:marBottom w:val="0"/>
      <w:divBdr>
        <w:top w:val="none" w:sz="0" w:space="0" w:color="auto"/>
        <w:left w:val="none" w:sz="0" w:space="0" w:color="auto"/>
        <w:bottom w:val="none" w:sz="0" w:space="0" w:color="auto"/>
        <w:right w:val="none" w:sz="0" w:space="0" w:color="auto"/>
      </w:divBdr>
    </w:div>
    <w:div w:id="458572615">
      <w:bodyDiv w:val="1"/>
      <w:marLeft w:val="0"/>
      <w:marRight w:val="0"/>
      <w:marTop w:val="0"/>
      <w:marBottom w:val="0"/>
      <w:divBdr>
        <w:top w:val="none" w:sz="0" w:space="0" w:color="auto"/>
        <w:left w:val="none" w:sz="0" w:space="0" w:color="auto"/>
        <w:bottom w:val="none" w:sz="0" w:space="0" w:color="auto"/>
        <w:right w:val="none" w:sz="0" w:space="0" w:color="auto"/>
      </w:divBdr>
    </w:div>
    <w:div w:id="458768390">
      <w:bodyDiv w:val="1"/>
      <w:marLeft w:val="0"/>
      <w:marRight w:val="0"/>
      <w:marTop w:val="0"/>
      <w:marBottom w:val="0"/>
      <w:divBdr>
        <w:top w:val="none" w:sz="0" w:space="0" w:color="auto"/>
        <w:left w:val="none" w:sz="0" w:space="0" w:color="auto"/>
        <w:bottom w:val="none" w:sz="0" w:space="0" w:color="auto"/>
        <w:right w:val="none" w:sz="0" w:space="0" w:color="auto"/>
      </w:divBdr>
    </w:div>
    <w:div w:id="460926406">
      <w:bodyDiv w:val="1"/>
      <w:marLeft w:val="0"/>
      <w:marRight w:val="0"/>
      <w:marTop w:val="0"/>
      <w:marBottom w:val="0"/>
      <w:divBdr>
        <w:top w:val="none" w:sz="0" w:space="0" w:color="auto"/>
        <w:left w:val="none" w:sz="0" w:space="0" w:color="auto"/>
        <w:bottom w:val="none" w:sz="0" w:space="0" w:color="auto"/>
        <w:right w:val="none" w:sz="0" w:space="0" w:color="auto"/>
      </w:divBdr>
    </w:div>
    <w:div w:id="464813753">
      <w:bodyDiv w:val="1"/>
      <w:marLeft w:val="0"/>
      <w:marRight w:val="0"/>
      <w:marTop w:val="0"/>
      <w:marBottom w:val="0"/>
      <w:divBdr>
        <w:top w:val="none" w:sz="0" w:space="0" w:color="auto"/>
        <w:left w:val="none" w:sz="0" w:space="0" w:color="auto"/>
        <w:bottom w:val="none" w:sz="0" w:space="0" w:color="auto"/>
        <w:right w:val="none" w:sz="0" w:space="0" w:color="auto"/>
      </w:divBdr>
    </w:div>
    <w:div w:id="465663335">
      <w:bodyDiv w:val="1"/>
      <w:marLeft w:val="0"/>
      <w:marRight w:val="0"/>
      <w:marTop w:val="0"/>
      <w:marBottom w:val="0"/>
      <w:divBdr>
        <w:top w:val="none" w:sz="0" w:space="0" w:color="auto"/>
        <w:left w:val="none" w:sz="0" w:space="0" w:color="auto"/>
        <w:bottom w:val="none" w:sz="0" w:space="0" w:color="auto"/>
        <w:right w:val="none" w:sz="0" w:space="0" w:color="auto"/>
      </w:divBdr>
    </w:div>
    <w:div w:id="468521920">
      <w:bodyDiv w:val="1"/>
      <w:marLeft w:val="0"/>
      <w:marRight w:val="0"/>
      <w:marTop w:val="0"/>
      <w:marBottom w:val="0"/>
      <w:divBdr>
        <w:top w:val="none" w:sz="0" w:space="0" w:color="auto"/>
        <w:left w:val="none" w:sz="0" w:space="0" w:color="auto"/>
        <w:bottom w:val="none" w:sz="0" w:space="0" w:color="auto"/>
        <w:right w:val="none" w:sz="0" w:space="0" w:color="auto"/>
      </w:divBdr>
    </w:div>
    <w:div w:id="468669400">
      <w:bodyDiv w:val="1"/>
      <w:marLeft w:val="0"/>
      <w:marRight w:val="0"/>
      <w:marTop w:val="0"/>
      <w:marBottom w:val="0"/>
      <w:divBdr>
        <w:top w:val="none" w:sz="0" w:space="0" w:color="auto"/>
        <w:left w:val="none" w:sz="0" w:space="0" w:color="auto"/>
        <w:bottom w:val="none" w:sz="0" w:space="0" w:color="auto"/>
        <w:right w:val="none" w:sz="0" w:space="0" w:color="auto"/>
      </w:divBdr>
    </w:div>
    <w:div w:id="473959540">
      <w:bodyDiv w:val="1"/>
      <w:marLeft w:val="0"/>
      <w:marRight w:val="0"/>
      <w:marTop w:val="0"/>
      <w:marBottom w:val="0"/>
      <w:divBdr>
        <w:top w:val="none" w:sz="0" w:space="0" w:color="auto"/>
        <w:left w:val="none" w:sz="0" w:space="0" w:color="auto"/>
        <w:bottom w:val="none" w:sz="0" w:space="0" w:color="auto"/>
        <w:right w:val="none" w:sz="0" w:space="0" w:color="auto"/>
      </w:divBdr>
    </w:div>
    <w:div w:id="475730582">
      <w:bodyDiv w:val="1"/>
      <w:marLeft w:val="0"/>
      <w:marRight w:val="0"/>
      <w:marTop w:val="0"/>
      <w:marBottom w:val="0"/>
      <w:divBdr>
        <w:top w:val="none" w:sz="0" w:space="0" w:color="auto"/>
        <w:left w:val="none" w:sz="0" w:space="0" w:color="auto"/>
        <w:bottom w:val="none" w:sz="0" w:space="0" w:color="auto"/>
        <w:right w:val="none" w:sz="0" w:space="0" w:color="auto"/>
      </w:divBdr>
    </w:div>
    <w:div w:id="476385582">
      <w:bodyDiv w:val="1"/>
      <w:marLeft w:val="0"/>
      <w:marRight w:val="0"/>
      <w:marTop w:val="0"/>
      <w:marBottom w:val="0"/>
      <w:divBdr>
        <w:top w:val="none" w:sz="0" w:space="0" w:color="auto"/>
        <w:left w:val="none" w:sz="0" w:space="0" w:color="auto"/>
        <w:bottom w:val="none" w:sz="0" w:space="0" w:color="auto"/>
        <w:right w:val="none" w:sz="0" w:space="0" w:color="auto"/>
      </w:divBdr>
    </w:div>
    <w:div w:id="479427063">
      <w:bodyDiv w:val="1"/>
      <w:marLeft w:val="0"/>
      <w:marRight w:val="0"/>
      <w:marTop w:val="0"/>
      <w:marBottom w:val="0"/>
      <w:divBdr>
        <w:top w:val="none" w:sz="0" w:space="0" w:color="auto"/>
        <w:left w:val="none" w:sz="0" w:space="0" w:color="auto"/>
        <w:bottom w:val="none" w:sz="0" w:space="0" w:color="auto"/>
        <w:right w:val="none" w:sz="0" w:space="0" w:color="auto"/>
      </w:divBdr>
    </w:div>
    <w:div w:id="479999171">
      <w:bodyDiv w:val="1"/>
      <w:marLeft w:val="0"/>
      <w:marRight w:val="0"/>
      <w:marTop w:val="0"/>
      <w:marBottom w:val="0"/>
      <w:divBdr>
        <w:top w:val="none" w:sz="0" w:space="0" w:color="auto"/>
        <w:left w:val="none" w:sz="0" w:space="0" w:color="auto"/>
        <w:bottom w:val="none" w:sz="0" w:space="0" w:color="auto"/>
        <w:right w:val="none" w:sz="0" w:space="0" w:color="auto"/>
      </w:divBdr>
    </w:div>
    <w:div w:id="482166451">
      <w:bodyDiv w:val="1"/>
      <w:marLeft w:val="0"/>
      <w:marRight w:val="0"/>
      <w:marTop w:val="0"/>
      <w:marBottom w:val="0"/>
      <w:divBdr>
        <w:top w:val="none" w:sz="0" w:space="0" w:color="auto"/>
        <w:left w:val="none" w:sz="0" w:space="0" w:color="auto"/>
        <w:bottom w:val="none" w:sz="0" w:space="0" w:color="auto"/>
        <w:right w:val="none" w:sz="0" w:space="0" w:color="auto"/>
      </w:divBdr>
    </w:div>
    <w:div w:id="484518704">
      <w:bodyDiv w:val="1"/>
      <w:marLeft w:val="0"/>
      <w:marRight w:val="0"/>
      <w:marTop w:val="0"/>
      <w:marBottom w:val="0"/>
      <w:divBdr>
        <w:top w:val="none" w:sz="0" w:space="0" w:color="auto"/>
        <w:left w:val="none" w:sz="0" w:space="0" w:color="auto"/>
        <w:bottom w:val="none" w:sz="0" w:space="0" w:color="auto"/>
        <w:right w:val="none" w:sz="0" w:space="0" w:color="auto"/>
      </w:divBdr>
    </w:div>
    <w:div w:id="486366164">
      <w:bodyDiv w:val="1"/>
      <w:marLeft w:val="0"/>
      <w:marRight w:val="0"/>
      <w:marTop w:val="0"/>
      <w:marBottom w:val="0"/>
      <w:divBdr>
        <w:top w:val="none" w:sz="0" w:space="0" w:color="auto"/>
        <w:left w:val="none" w:sz="0" w:space="0" w:color="auto"/>
        <w:bottom w:val="none" w:sz="0" w:space="0" w:color="auto"/>
        <w:right w:val="none" w:sz="0" w:space="0" w:color="auto"/>
      </w:divBdr>
      <w:divsChild>
        <w:div w:id="1704817118">
          <w:marLeft w:val="640"/>
          <w:marRight w:val="0"/>
          <w:marTop w:val="0"/>
          <w:marBottom w:val="0"/>
          <w:divBdr>
            <w:top w:val="none" w:sz="0" w:space="0" w:color="auto"/>
            <w:left w:val="none" w:sz="0" w:space="0" w:color="auto"/>
            <w:bottom w:val="none" w:sz="0" w:space="0" w:color="auto"/>
            <w:right w:val="none" w:sz="0" w:space="0" w:color="auto"/>
          </w:divBdr>
        </w:div>
        <w:div w:id="2103716929">
          <w:marLeft w:val="640"/>
          <w:marRight w:val="0"/>
          <w:marTop w:val="0"/>
          <w:marBottom w:val="0"/>
          <w:divBdr>
            <w:top w:val="none" w:sz="0" w:space="0" w:color="auto"/>
            <w:left w:val="none" w:sz="0" w:space="0" w:color="auto"/>
            <w:bottom w:val="none" w:sz="0" w:space="0" w:color="auto"/>
            <w:right w:val="none" w:sz="0" w:space="0" w:color="auto"/>
          </w:divBdr>
        </w:div>
        <w:div w:id="1234513162">
          <w:marLeft w:val="640"/>
          <w:marRight w:val="0"/>
          <w:marTop w:val="0"/>
          <w:marBottom w:val="0"/>
          <w:divBdr>
            <w:top w:val="none" w:sz="0" w:space="0" w:color="auto"/>
            <w:left w:val="none" w:sz="0" w:space="0" w:color="auto"/>
            <w:bottom w:val="none" w:sz="0" w:space="0" w:color="auto"/>
            <w:right w:val="none" w:sz="0" w:space="0" w:color="auto"/>
          </w:divBdr>
        </w:div>
        <w:div w:id="1910841051">
          <w:marLeft w:val="640"/>
          <w:marRight w:val="0"/>
          <w:marTop w:val="0"/>
          <w:marBottom w:val="0"/>
          <w:divBdr>
            <w:top w:val="none" w:sz="0" w:space="0" w:color="auto"/>
            <w:left w:val="none" w:sz="0" w:space="0" w:color="auto"/>
            <w:bottom w:val="none" w:sz="0" w:space="0" w:color="auto"/>
            <w:right w:val="none" w:sz="0" w:space="0" w:color="auto"/>
          </w:divBdr>
        </w:div>
        <w:div w:id="1016881019">
          <w:marLeft w:val="640"/>
          <w:marRight w:val="0"/>
          <w:marTop w:val="0"/>
          <w:marBottom w:val="0"/>
          <w:divBdr>
            <w:top w:val="none" w:sz="0" w:space="0" w:color="auto"/>
            <w:left w:val="none" w:sz="0" w:space="0" w:color="auto"/>
            <w:bottom w:val="none" w:sz="0" w:space="0" w:color="auto"/>
            <w:right w:val="none" w:sz="0" w:space="0" w:color="auto"/>
          </w:divBdr>
        </w:div>
        <w:div w:id="116875194">
          <w:marLeft w:val="640"/>
          <w:marRight w:val="0"/>
          <w:marTop w:val="0"/>
          <w:marBottom w:val="0"/>
          <w:divBdr>
            <w:top w:val="none" w:sz="0" w:space="0" w:color="auto"/>
            <w:left w:val="none" w:sz="0" w:space="0" w:color="auto"/>
            <w:bottom w:val="none" w:sz="0" w:space="0" w:color="auto"/>
            <w:right w:val="none" w:sz="0" w:space="0" w:color="auto"/>
          </w:divBdr>
        </w:div>
        <w:div w:id="156699531">
          <w:marLeft w:val="640"/>
          <w:marRight w:val="0"/>
          <w:marTop w:val="0"/>
          <w:marBottom w:val="0"/>
          <w:divBdr>
            <w:top w:val="none" w:sz="0" w:space="0" w:color="auto"/>
            <w:left w:val="none" w:sz="0" w:space="0" w:color="auto"/>
            <w:bottom w:val="none" w:sz="0" w:space="0" w:color="auto"/>
            <w:right w:val="none" w:sz="0" w:space="0" w:color="auto"/>
          </w:divBdr>
        </w:div>
        <w:div w:id="1276980587">
          <w:marLeft w:val="640"/>
          <w:marRight w:val="0"/>
          <w:marTop w:val="0"/>
          <w:marBottom w:val="0"/>
          <w:divBdr>
            <w:top w:val="none" w:sz="0" w:space="0" w:color="auto"/>
            <w:left w:val="none" w:sz="0" w:space="0" w:color="auto"/>
            <w:bottom w:val="none" w:sz="0" w:space="0" w:color="auto"/>
            <w:right w:val="none" w:sz="0" w:space="0" w:color="auto"/>
          </w:divBdr>
        </w:div>
        <w:div w:id="1883052709">
          <w:marLeft w:val="640"/>
          <w:marRight w:val="0"/>
          <w:marTop w:val="0"/>
          <w:marBottom w:val="0"/>
          <w:divBdr>
            <w:top w:val="none" w:sz="0" w:space="0" w:color="auto"/>
            <w:left w:val="none" w:sz="0" w:space="0" w:color="auto"/>
            <w:bottom w:val="none" w:sz="0" w:space="0" w:color="auto"/>
            <w:right w:val="none" w:sz="0" w:space="0" w:color="auto"/>
          </w:divBdr>
        </w:div>
        <w:div w:id="847065870">
          <w:marLeft w:val="640"/>
          <w:marRight w:val="0"/>
          <w:marTop w:val="0"/>
          <w:marBottom w:val="0"/>
          <w:divBdr>
            <w:top w:val="none" w:sz="0" w:space="0" w:color="auto"/>
            <w:left w:val="none" w:sz="0" w:space="0" w:color="auto"/>
            <w:bottom w:val="none" w:sz="0" w:space="0" w:color="auto"/>
            <w:right w:val="none" w:sz="0" w:space="0" w:color="auto"/>
          </w:divBdr>
        </w:div>
        <w:div w:id="1047488938">
          <w:marLeft w:val="640"/>
          <w:marRight w:val="0"/>
          <w:marTop w:val="0"/>
          <w:marBottom w:val="0"/>
          <w:divBdr>
            <w:top w:val="none" w:sz="0" w:space="0" w:color="auto"/>
            <w:left w:val="none" w:sz="0" w:space="0" w:color="auto"/>
            <w:bottom w:val="none" w:sz="0" w:space="0" w:color="auto"/>
            <w:right w:val="none" w:sz="0" w:space="0" w:color="auto"/>
          </w:divBdr>
        </w:div>
        <w:div w:id="905607032">
          <w:marLeft w:val="640"/>
          <w:marRight w:val="0"/>
          <w:marTop w:val="0"/>
          <w:marBottom w:val="0"/>
          <w:divBdr>
            <w:top w:val="none" w:sz="0" w:space="0" w:color="auto"/>
            <w:left w:val="none" w:sz="0" w:space="0" w:color="auto"/>
            <w:bottom w:val="none" w:sz="0" w:space="0" w:color="auto"/>
            <w:right w:val="none" w:sz="0" w:space="0" w:color="auto"/>
          </w:divBdr>
        </w:div>
        <w:div w:id="1799377889">
          <w:marLeft w:val="640"/>
          <w:marRight w:val="0"/>
          <w:marTop w:val="0"/>
          <w:marBottom w:val="0"/>
          <w:divBdr>
            <w:top w:val="none" w:sz="0" w:space="0" w:color="auto"/>
            <w:left w:val="none" w:sz="0" w:space="0" w:color="auto"/>
            <w:bottom w:val="none" w:sz="0" w:space="0" w:color="auto"/>
            <w:right w:val="none" w:sz="0" w:space="0" w:color="auto"/>
          </w:divBdr>
        </w:div>
        <w:div w:id="2022929932">
          <w:marLeft w:val="640"/>
          <w:marRight w:val="0"/>
          <w:marTop w:val="0"/>
          <w:marBottom w:val="0"/>
          <w:divBdr>
            <w:top w:val="none" w:sz="0" w:space="0" w:color="auto"/>
            <w:left w:val="none" w:sz="0" w:space="0" w:color="auto"/>
            <w:bottom w:val="none" w:sz="0" w:space="0" w:color="auto"/>
            <w:right w:val="none" w:sz="0" w:space="0" w:color="auto"/>
          </w:divBdr>
        </w:div>
        <w:div w:id="1142768845">
          <w:marLeft w:val="640"/>
          <w:marRight w:val="0"/>
          <w:marTop w:val="0"/>
          <w:marBottom w:val="0"/>
          <w:divBdr>
            <w:top w:val="none" w:sz="0" w:space="0" w:color="auto"/>
            <w:left w:val="none" w:sz="0" w:space="0" w:color="auto"/>
            <w:bottom w:val="none" w:sz="0" w:space="0" w:color="auto"/>
            <w:right w:val="none" w:sz="0" w:space="0" w:color="auto"/>
          </w:divBdr>
        </w:div>
        <w:div w:id="338047113">
          <w:marLeft w:val="640"/>
          <w:marRight w:val="0"/>
          <w:marTop w:val="0"/>
          <w:marBottom w:val="0"/>
          <w:divBdr>
            <w:top w:val="none" w:sz="0" w:space="0" w:color="auto"/>
            <w:left w:val="none" w:sz="0" w:space="0" w:color="auto"/>
            <w:bottom w:val="none" w:sz="0" w:space="0" w:color="auto"/>
            <w:right w:val="none" w:sz="0" w:space="0" w:color="auto"/>
          </w:divBdr>
        </w:div>
        <w:div w:id="248656336">
          <w:marLeft w:val="640"/>
          <w:marRight w:val="0"/>
          <w:marTop w:val="0"/>
          <w:marBottom w:val="0"/>
          <w:divBdr>
            <w:top w:val="none" w:sz="0" w:space="0" w:color="auto"/>
            <w:left w:val="none" w:sz="0" w:space="0" w:color="auto"/>
            <w:bottom w:val="none" w:sz="0" w:space="0" w:color="auto"/>
            <w:right w:val="none" w:sz="0" w:space="0" w:color="auto"/>
          </w:divBdr>
        </w:div>
        <w:div w:id="23947856">
          <w:marLeft w:val="640"/>
          <w:marRight w:val="0"/>
          <w:marTop w:val="0"/>
          <w:marBottom w:val="0"/>
          <w:divBdr>
            <w:top w:val="none" w:sz="0" w:space="0" w:color="auto"/>
            <w:left w:val="none" w:sz="0" w:space="0" w:color="auto"/>
            <w:bottom w:val="none" w:sz="0" w:space="0" w:color="auto"/>
            <w:right w:val="none" w:sz="0" w:space="0" w:color="auto"/>
          </w:divBdr>
        </w:div>
        <w:div w:id="555508956">
          <w:marLeft w:val="640"/>
          <w:marRight w:val="0"/>
          <w:marTop w:val="0"/>
          <w:marBottom w:val="0"/>
          <w:divBdr>
            <w:top w:val="none" w:sz="0" w:space="0" w:color="auto"/>
            <w:left w:val="none" w:sz="0" w:space="0" w:color="auto"/>
            <w:bottom w:val="none" w:sz="0" w:space="0" w:color="auto"/>
            <w:right w:val="none" w:sz="0" w:space="0" w:color="auto"/>
          </w:divBdr>
        </w:div>
        <w:div w:id="2098595566">
          <w:marLeft w:val="640"/>
          <w:marRight w:val="0"/>
          <w:marTop w:val="0"/>
          <w:marBottom w:val="0"/>
          <w:divBdr>
            <w:top w:val="none" w:sz="0" w:space="0" w:color="auto"/>
            <w:left w:val="none" w:sz="0" w:space="0" w:color="auto"/>
            <w:bottom w:val="none" w:sz="0" w:space="0" w:color="auto"/>
            <w:right w:val="none" w:sz="0" w:space="0" w:color="auto"/>
          </w:divBdr>
        </w:div>
        <w:div w:id="1798910186">
          <w:marLeft w:val="640"/>
          <w:marRight w:val="0"/>
          <w:marTop w:val="0"/>
          <w:marBottom w:val="0"/>
          <w:divBdr>
            <w:top w:val="none" w:sz="0" w:space="0" w:color="auto"/>
            <w:left w:val="none" w:sz="0" w:space="0" w:color="auto"/>
            <w:bottom w:val="none" w:sz="0" w:space="0" w:color="auto"/>
            <w:right w:val="none" w:sz="0" w:space="0" w:color="auto"/>
          </w:divBdr>
        </w:div>
        <w:div w:id="591865414">
          <w:marLeft w:val="640"/>
          <w:marRight w:val="0"/>
          <w:marTop w:val="0"/>
          <w:marBottom w:val="0"/>
          <w:divBdr>
            <w:top w:val="none" w:sz="0" w:space="0" w:color="auto"/>
            <w:left w:val="none" w:sz="0" w:space="0" w:color="auto"/>
            <w:bottom w:val="none" w:sz="0" w:space="0" w:color="auto"/>
            <w:right w:val="none" w:sz="0" w:space="0" w:color="auto"/>
          </w:divBdr>
        </w:div>
        <w:div w:id="1908878779">
          <w:marLeft w:val="640"/>
          <w:marRight w:val="0"/>
          <w:marTop w:val="0"/>
          <w:marBottom w:val="0"/>
          <w:divBdr>
            <w:top w:val="none" w:sz="0" w:space="0" w:color="auto"/>
            <w:left w:val="none" w:sz="0" w:space="0" w:color="auto"/>
            <w:bottom w:val="none" w:sz="0" w:space="0" w:color="auto"/>
            <w:right w:val="none" w:sz="0" w:space="0" w:color="auto"/>
          </w:divBdr>
        </w:div>
        <w:div w:id="2028822548">
          <w:marLeft w:val="640"/>
          <w:marRight w:val="0"/>
          <w:marTop w:val="0"/>
          <w:marBottom w:val="0"/>
          <w:divBdr>
            <w:top w:val="none" w:sz="0" w:space="0" w:color="auto"/>
            <w:left w:val="none" w:sz="0" w:space="0" w:color="auto"/>
            <w:bottom w:val="none" w:sz="0" w:space="0" w:color="auto"/>
            <w:right w:val="none" w:sz="0" w:space="0" w:color="auto"/>
          </w:divBdr>
        </w:div>
        <w:div w:id="236787644">
          <w:marLeft w:val="640"/>
          <w:marRight w:val="0"/>
          <w:marTop w:val="0"/>
          <w:marBottom w:val="0"/>
          <w:divBdr>
            <w:top w:val="none" w:sz="0" w:space="0" w:color="auto"/>
            <w:left w:val="none" w:sz="0" w:space="0" w:color="auto"/>
            <w:bottom w:val="none" w:sz="0" w:space="0" w:color="auto"/>
            <w:right w:val="none" w:sz="0" w:space="0" w:color="auto"/>
          </w:divBdr>
        </w:div>
        <w:div w:id="661202645">
          <w:marLeft w:val="640"/>
          <w:marRight w:val="0"/>
          <w:marTop w:val="0"/>
          <w:marBottom w:val="0"/>
          <w:divBdr>
            <w:top w:val="none" w:sz="0" w:space="0" w:color="auto"/>
            <w:left w:val="none" w:sz="0" w:space="0" w:color="auto"/>
            <w:bottom w:val="none" w:sz="0" w:space="0" w:color="auto"/>
            <w:right w:val="none" w:sz="0" w:space="0" w:color="auto"/>
          </w:divBdr>
        </w:div>
        <w:div w:id="981882514">
          <w:marLeft w:val="640"/>
          <w:marRight w:val="0"/>
          <w:marTop w:val="0"/>
          <w:marBottom w:val="0"/>
          <w:divBdr>
            <w:top w:val="none" w:sz="0" w:space="0" w:color="auto"/>
            <w:left w:val="none" w:sz="0" w:space="0" w:color="auto"/>
            <w:bottom w:val="none" w:sz="0" w:space="0" w:color="auto"/>
            <w:right w:val="none" w:sz="0" w:space="0" w:color="auto"/>
          </w:divBdr>
        </w:div>
        <w:div w:id="1280991993">
          <w:marLeft w:val="640"/>
          <w:marRight w:val="0"/>
          <w:marTop w:val="0"/>
          <w:marBottom w:val="0"/>
          <w:divBdr>
            <w:top w:val="none" w:sz="0" w:space="0" w:color="auto"/>
            <w:left w:val="none" w:sz="0" w:space="0" w:color="auto"/>
            <w:bottom w:val="none" w:sz="0" w:space="0" w:color="auto"/>
            <w:right w:val="none" w:sz="0" w:space="0" w:color="auto"/>
          </w:divBdr>
        </w:div>
        <w:div w:id="227571068">
          <w:marLeft w:val="640"/>
          <w:marRight w:val="0"/>
          <w:marTop w:val="0"/>
          <w:marBottom w:val="0"/>
          <w:divBdr>
            <w:top w:val="none" w:sz="0" w:space="0" w:color="auto"/>
            <w:left w:val="none" w:sz="0" w:space="0" w:color="auto"/>
            <w:bottom w:val="none" w:sz="0" w:space="0" w:color="auto"/>
            <w:right w:val="none" w:sz="0" w:space="0" w:color="auto"/>
          </w:divBdr>
        </w:div>
        <w:div w:id="1158424393">
          <w:marLeft w:val="640"/>
          <w:marRight w:val="0"/>
          <w:marTop w:val="0"/>
          <w:marBottom w:val="0"/>
          <w:divBdr>
            <w:top w:val="none" w:sz="0" w:space="0" w:color="auto"/>
            <w:left w:val="none" w:sz="0" w:space="0" w:color="auto"/>
            <w:bottom w:val="none" w:sz="0" w:space="0" w:color="auto"/>
            <w:right w:val="none" w:sz="0" w:space="0" w:color="auto"/>
          </w:divBdr>
        </w:div>
        <w:div w:id="977345214">
          <w:marLeft w:val="640"/>
          <w:marRight w:val="0"/>
          <w:marTop w:val="0"/>
          <w:marBottom w:val="0"/>
          <w:divBdr>
            <w:top w:val="none" w:sz="0" w:space="0" w:color="auto"/>
            <w:left w:val="none" w:sz="0" w:space="0" w:color="auto"/>
            <w:bottom w:val="none" w:sz="0" w:space="0" w:color="auto"/>
            <w:right w:val="none" w:sz="0" w:space="0" w:color="auto"/>
          </w:divBdr>
        </w:div>
        <w:div w:id="1741781865">
          <w:marLeft w:val="640"/>
          <w:marRight w:val="0"/>
          <w:marTop w:val="0"/>
          <w:marBottom w:val="0"/>
          <w:divBdr>
            <w:top w:val="none" w:sz="0" w:space="0" w:color="auto"/>
            <w:left w:val="none" w:sz="0" w:space="0" w:color="auto"/>
            <w:bottom w:val="none" w:sz="0" w:space="0" w:color="auto"/>
            <w:right w:val="none" w:sz="0" w:space="0" w:color="auto"/>
          </w:divBdr>
        </w:div>
        <w:div w:id="556555259">
          <w:marLeft w:val="640"/>
          <w:marRight w:val="0"/>
          <w:marTop w:val="0"/>
          <w:marBottom w:val="0"/>
          <w:divBdr>
            <w:top w:val="none" w:sz="0" w:space="0" w:color="auto"/>
            <w:left w:val="none" w:sz="0" w:space="0" w:color="auto"/>
            <w:bottom w:val="none" w:sz="0" w:space="0" w:color="auto"/>
            <w:right w:val="none" w:sz="0" w:space="0" w:color="auto"/>
          </w:divBdr>
        </w:div>
        <w:div w:id="1058086573">
          <w:marLeft w:val="640"/>
          <w:marRight w:val="0"/>
          <w:marTop w:val="0"/>
          <w:marBottom w:val="0"/>
          <w:divBdr>
            <w:top w:val="none" w:sz="0" w:space="0" w:color="auto"/>
            <w:left w:val="none" w:sz="0" w:space="0" w:color="auto"/>
            <w:bottom w:val="none" w:sz="0" w:space="0" w:color="auto"/>
            <w:right w:val="none" w:sz="0" w:space="0" w:color="auto"/>
          </w:divBdr>
        </w:div>
        <w:div w:id="1440948586">
          <w:marLeft w:val="640"/>
          <w:marRight w:val="0"/>
          <w:marTop w:val="0"/>
          <w:marBottom w:val="0"/>
          <w:divBdr>
            <w:top w:val="none" w:sz="0" w:space="0" w:color="auto"/>
            <w:left w:val="none" w:sz="0" w:space="0" w:color="auto"/>
            <w:bottom w:val="none" w:sz="0" w:space="0" w:color="auto"/>
            <w:right w:val="none" w:sz="0" w:space="0" w:color="auto"/>
          </w:divBdr>
        </w:div>
        <w:div w:id="38016611">
          <w:marLeft w:val="640"/>
          <w:marRight w:val="0"/>
          <w:marTop w:val="0"/>
          <w:marBottom w:val="0"/>
          <w:divBdr>
            <w:top w:val="none" w:sz="0" w:space="0" w:color="auto"/>
            <w:left w:val="none" w:sz="0" w:space="0" w:color="auto"/>
            <w:bottom w:val="none" w:sz="0" w:space="0" w:color="auto"/>
            <w:right w:val="none" w:sz="0" w:space="0" w:color="auto"/>
          </w:divBdr>
        </w:div>
        <w:div w:id="1605575055">
          <w:marLeft w:val="640"/>
          <w:marRight w:val="0"/>
          <w:marTop w:val="0"/>
          <w:marBottom w:val="0"/>
          <w:divBdr>
            <w:top w:val="none" w:sz="0" w:space="0" w:color="auto"/>
            <w:left w:val="none" w:sz="0" w:space="0" w:color="auto"/>
            <w:bottom w:val="none" w:sz="0" w:space="0" w:color="auto"/>
            <w:right w:val="none" w:sz="0" w:space="0" w:color="auto"/>
          </w:divBdr>
        </w:div>
        <w:div w:id="116223604">
          <w:marLeft w:val="640"/>
          <w:marRight w:val="0"/>
          <w:marTop w:val="0"/>
          <w:marBottom w:val="0"/>
          <w:divBdr>
            <w:top w:val="none" w:sz="0" w:space="0" w:color="auto"/>
            <w:left w:val="none" w:sz="0" w:space="0" w:color="auto"/>
            <w:bottom w:val="none" w:sz="0" w:space="0" w:color="auto"/>
            <w:right w:val="none" w:sz="0" w:space="0" w:color="auto"/>
          </w:divBdr>
        </w:div>
        <w:div w:id="302200190">
          <w:marLeft w:val="640"/>
          <w:marRight w:val="0"/>
          <w:marTop w:val="0"/>
          <w:marBottom w:val="0"/>
          <w:divBdr>
            <w:top w:val="none" w:sz="0" w:space="0" w:color="auto"/>
            <w:left w:val="none" w:sz="0" w:space="0" w:color="auto"/>
            <w:bottom w:val="none" w:sz="0" w:space="0" w:color="auto"/>
            <w:right w:val="none" w:sz="0" w:space="0" w:color="auto"/>
          </w:divBdr>
        </w:div>
        <w:div w:id="837427246">
          <w:marLeft w:val="640"/>
          <w:marRight w:val="0"/>
          <w:marTop w:val="0"/>
          <w:marBottom w:val="0"/>
          <w:divBdr>
            <w:top w:val="none" w:sz="0" w:space="0" w:color="auto"/>
            <w:left w:val="none" w:sz="0" w:space="0" w:color="auto"/>
            <w:bottom w:val="none" w:sz="0" w:space="0" w:color="auto"/>
            <w:right w:val="none" w:sz="0" w:space="0" w:color="auto"/>
          </w:divBdr>
        </w:div>
        <w:div w:id="557010441">
          <w:marLeft w:val="640"/>
          <w:marRight w:val="0"/>
          <w:marTop w:val="0"/>
          <w:marBottom w:val="0"/>
          <w:divBdr>
            <w:top w:val="none" w:sz="0" w:space="0" w:color="auto"/>
            <w:left w:val="none" w:sz="0" w:space="0" w:color="auto"/>
            <w:bottom w:val="none" w:sz="0" w:space="0" w:color="auto"/>
            <w:right w:val="none" w:sz="0" w:space="0" w:color="auto"/>
          </w:divBdr>
        </w:div>
        <w:div w:id="1270091764">
          <w:marLeft w:val="640"/>
          <w:marRight w:val="0"/>
          <w:marTop w:val="0"/>
          <w:marBottom w:val="0"/>
          <w:divBdr>
            <w:top w:val="none" w:sz="0" w:space="0" w:color="auto"/>
            <w:left w:val="none" w:sz="0" w:space="0" w:color="auto"/>
            <w:bottom w:val="none" w:sz="0" w:space="0" w:color="auto"/>
            <w:right w:val="none" w:sz="0" w:space="0" w:color="auto"/>
          </w:divBdr>
        </w:div>
        <w:div w:id="523323135">
          <w:marLeft w:val="640"/>
          <w:marRight w:val="0"/>
          <w:marTop w:val="0"/>
          <w:marBottom w:val="0"/>
          <w:divBdr>
            <w:top w:val="none" w:sz="0" w:space="0" w:color="auto"/>
            <w:left w:val="none" w:sz="0" w:space="0" w:color="auto"/>
            <w:bottom w:val="none" w:sz="0" w:space="0" w:color="auto"/>
            <w:right w:val="none" w:sz="0" w:space="0" w:color="auto"/>
          </w:divBdr>
        </w:div>
        <w:div w:id="932780547">
          <w:marLeft w:val="640"/>
          <w:marRight w:val="0"/>
          <w:marTop w:val="0"/>
          <w:marBottom w:val="0"/>
          <w:divBdr>
            <w:top w:val="none" w:sz="0" w:space="0" w:color="auto"/>
            <w:left w:val="none" w:sz="0" w:space="0" w:color="auto"/>
            <w:bottom w:val="none" w:sz="0" w:space="0" w:color="auto"/>
            <w:right w:val="none" w:sz="0" w:space="0" w:color="auto"/>
          </w:divBdr>
        </w:div>
        <w:div w:id="2000038052">
          <w:marLeft w:val="640"/>
          <w:marRight w:val="0"/>
          <w:marTop w:val="0"/>
          <w:marBottom w:val="0"/>
          <w:divBdr>
            <w:top w:val="none" w:sz="0" w:space="0" w:color="auto"/>
            <w:left w:val="none" w:sz="0" w:space="0" w:color="auto"/>
            <w:bottom w:val="none" w:sz="0" w:space="0" w:color="auto"/>
            <w:right w:val="none" w:sz="0" w:space="0" w:color="auto"/>
          </w:divBdr>
        </w:div>
        <w:div w:id="890728009">
          <w:marLeft w:val="640"/>
          <w:marRight w:val="0"/>
          <w:marTop w:val="0"/>
          <w:marBottom w:val="0"/>
          <w:divBdr>
            <w:top w:val="none" w:sz="0" w:space="0" w:color="auto"/>
            <w:left w:val="none" w:sz="0" w:space="0" w:color="auto"/>
            <w:bottom w:val="none" w:sz="0" w:space="0" w:color="auto"/>
            <w:right w:val="none" w:sz="0" w:space="0" w:color="auto"/>
          </w:divBdr>
        </w:div>
        <w:div w:id="168377608">
          <w:marLeft w:val="640"/>
          <w:marRight w:val="0"/>
          <w:marTop w:val="0"/>
          <w:marBottom w:val="0"/>
          <w:divBdr>
            <w:top w:val="none" w:sz="0" w:space="0" w:color="auto"/>
            <w:left w:val="none" w:sz="0" w:space="0" w:color="auto"/>
            <w:bottom w:val="none" w:sz="0" w:space="0" w:color="auto"/>
            <w:right w:val="none" w:sz="0" w:space="0" w:color="auto"/>
          </w:divBdr>
        </w:div>
        <w:div w:id="99033113">
          <w:marLeft w:val="640"/>
          <w:marRight w:val="0"/>
          <w:marTop w:val="0"/>
          <w:marBottom w:val="0"/>
          <w:divBdr>
            <w:top w:val="none" w:sz="0" w:space="0" w:color="auto"/>
            <w:left w:val="none" w:sz="0" w:space="0" w:color="auto"/>
            <w:bottom w:val="none" w:sz="0" w:space="0" w:color="auto"/>
            <w:right w:val="none" w:sz="0" w:space="0" w:color="auto"/>
          </w:divBdr>
        </w:div>
        <w:div w:id="1942295342">
          <w:marLeft w:val="640"/>
          <w:marRight w:val="0"/>
          <w:marTop w:val="0"/>
          <w:marBottom w:val="0"/>
          <w:divBdr>
            <w:top w:val="none" w:sz="0" w:space="0" w:color="auto"/>
            <w:left w:val="none" w:sz="0" w:space="0" w:color="auto"/>
            <w:bottom w:val="none" w:sz="0" w:space="0" w:color="auto"/>
            <w:right w:val="none" w:sz="0" w:space="0" w:color="auto"/>
          </w:divBdr>
        </w:div>
        <w:div w:id="1675301226">
          <w:marLeft w:val="640"/>
          <w:marRight w:val="0"/>
          <w:marTop w:val="0"/>
          <w:marBottom w:val="0"/>
          <w:divBdr>
            <w:top w:val="none" w:sz="0" w:space="0" w:color="auto"/>
            <w:left w:val="none" w:sz="0" w:space="0" w:color="auto"/>
            <w:bottom w:val="none" w:sz="0" w:space="0" w:color="auto"/>
            <w:right w:val="none" w:sz="0" w:space="0" w:color="auto"/>
          </w:divBdr>
        </w:div>
        <w:div w:id="677075921">
          <w:marLeft w:val="640"/>
          <w:marRight w:val="0"/>
          <w:marTop w:val="0"/>
          <w:marBottom w:val="0"/>
          <w:divBdr>
            <w:top w:val="none" w:sz="0" w:space="0" w:color="auto"/>
            <w:left w:val="none" w:sz="0" w:space="0" w:color="auto"/>
            <w:bottom w:val="none" w:sz="0" w:space="0" w:color="auto"/>
            <w:right w:val="none" w:sz="0" w:space="0" w:color="auto"/>
          </w:divBdr>
        </w:div>
        <w:div w:id="2142727235">
          <w:marLeft w:val="640"/>
          <w:marRight w:val="0"/>
          <w:marTop w:val="0"/>
          <w:marBottom w:val="0"/>
          <w:divBdr>
            <w:top w:val="none" w:sz="0" w:space="0" w:color="auto"/>
            <w:left w:val="none" w:sz="0" w:space="0" w:color="auto"/>
            <w:bottom w:val="none" w:sz="0" w:space="0" w:color="auto"/>
            <w:right w:val="none" w:sz="0" w:space="0" w:color="auto"/>
          </w:divBdr>
        </w:div>
        <w:div w:id="2038043908">
          <w:marLeft w:val="640"/>
          <w:marRight w:val="0"/>
          <w:marTop w:val="0"/>
          <w:marBottom w:val="0"/>
          <w:divBdr>
            <w:top w:val="none" w:sz="0" w:space="0" w:color="auto"/>
            <w:left w:val="none" w:sz="0" w:space="0" w:color="auto"/>
            <w:bottom w:val="none" w:sz="0" w:space="0" w:color="auto"/>
            <w:right w:val="none" w:sz="0" w:space="0" w:color="auto"/>
          </w:divBdr>
        </w:div>
        <w:div w:id="1368599242">
          <w:marLeft w:val="640"/>
          <w:marRight w:val="0"/>
          <w:marTop w:val="0"/>
          <w:marBottom w:val="0"/>
          <w:divBdr>
            <w:top w:val="none" w:sz="0" w:space="0" w:color="auto"/>
            <w:left w:val="none" w:sz="0" w:space="0" w:color="auto"/>
            <w:bottom w:val="none" w:sz="0" w:space="0" w:color="auto"/>
            <w:right w:val="none" w:sz="0" w:space="0" w:color="auto"/>
          </w:divBdr>
        </w:div>
        <w:div w:id="728457808">
          <w:marLeft w:val="640"/>
          <w:marRight w:val="0"/>
          <w:marTop w:val="0"/>
          <w:marBottom w:val="0"/>
          <w:divBdr>
            <w:top w:val="none" w:sz="0" w:space="0" w:color="auto"/>
            <w:left w:val="none" w:sz="0" w:space="0" w:color="auto"/>
            <w:bottom w:val="none" w:sz="0" w:space="0" w:color="auto"/>
            <w:right w:val="none" w:sz="0" w:space="0" w:color="auto"/>
          </w:divBdr>
        </w:div>
        <w:div w:id="1266307649">
          <w:marLeft w:val="640"/>
          <w:marRight w:val="0"/>
          <w:marTop w:val="0"/>
          <w:marBottom w:val="0"/>
          <w:divBdr>
            <w:top w:val="none" w:sz="0" w:space="0" w:color="auto"/>
            <w:left w:val="none" w:sz="0" w:space="0" w:color="auto"/>
            <w:bottom w:val="none" w:sz="0" w:space="0" w:color="auto"/>
            <w:right w:val="none" w:sz="0" w:space="0" w:color="auto"/>
          </w:divBdr>
        </w:div>
        <w:div w:id="948973005">
          <w:marLeft w:val="640"/>
          <w:marRight w:val="0"/>
          <w:marTop w:val="0"/>
          <w:marBottom w:val="0"/>
          <w:divBdr>
            <w:top w:val="none" w:sz="0" w:space="0" w:color="auto"/>
            <w:left w:val="none" w:sz="0" w:space="0" w:color="auto"/>
            <w:bottom w:val="none" w:sz="0" w:space="0" w:color="auto"/>
            <w:right w:val="none" w:sz="0" w:space="0" w:color="auto"/>
          </w:divBdr>
        </w:div>
        <w:div w:id="556357631">
          <w:marLeft w:val="640"/>
          <w:marRight w:val="0"/>
          <w:marTop w:val="0"/>
          <w:marBottom w:val="0"/>
          <w:divBdr>
            <w:top w:val="none" w:sz="0" w:space="0" w:color="auto"/>
            <w:left w:val="none" w:sz="0" w:space="0" w:color="auto"/>
            <w:bottom w:val="none" w:sz="0" w:space="0" w:color="auto"/>
            <w:right w:val="none" w:sz="0" w:space="0" w:color="auto"/>
          </w:divBdr>
        </w:div>
        <w:div w:id="1705135586">
          <w:marLeft w:val="640"/>
          <w:marRight w:val="0"/>
          <w:marTop w:val="0"/>
          <w:marBottom w:val="0"/>
          <w:divBdr>
            <w:top w:val="none" w:sz="0" w:space="0" w:color="auto"/>
            <w:left w:val="none" w:sz="0" w:space="0" w:color="auto"/>
            <w:bottom w:val="none" w:sz="0" w:space="0" w:color="auto"/>
            <w:right w:val="none" w:sz="0" w:space="0" w:color="auto"/>
          </w:divBdr>
        </w:div>
        <w:div w:id="2144762059">
          <w:marLeft w:val="640"/>
          <w:marRight w:val="0"/>
          <w:marTop w:val="0"/>
          <w:marBottom w:val="0"/>
          <w:divBdr>
            <w:top w:val="none" w:sz="0" w:space="0" w:color="auto"/>
            <w:left w:val="none" w:sz="0" w:space="0" w:color="auto"/>
            <w:bottom w:val="none" w:sz="0" w:space="0" w:color="auto"/>
            <w:right w:val="none" w:sz="0" w:space="0" w:color="auto"/>
          </w:divBdr>
        </w:div>
        <w:div w:id="907037383">
          <w:marLeft w:val="640"/>
          <w:marRight w:val="0"/>
          <w:marTop w:val="0"/>
          <w:marBottom w:val="0"/>
          <w:divBdr>
            <w:top w:val="none" w:sz="0" w:space="0" w:color="auto"/>
            <w:left w:val="none" w:sz="0" w:space="0" w:color="auto"/>
            <w:bottom w:val="none" w:sz="0" w:space="0" w:color="auto"/>
            <w:right w:val="none" w:sz="0" w:space="0" w:color="auto"/>
          </w:divBdr>
        </w:div>
        <w:div w:id="1401513966">
          <w:marLeft w:val="640"/>
          <w:marRight w:val="0"/>
          <w:marTop w:val="0"/>
          <w:marBottom w:val="0"/>
          <w:divBdr>
            <w:top w:val="none" w:sz="0" w:space="0" w:color="auto"/>
            <w:left w:val="none" w:sz="0" w:space="0" w:color="auto"/>
            <w:bottom w:val="none" w:sz="0" w:space="0" w:color="auto"/>
            <w:right w:val="none" w:sz="0" w:space="0" w:color="auto"/>
          </w:divBdr>
        </w:div>
        <w:div w:id="743257930">
          <w:marLeft w:val="640"/>
          <w:marRight w:val="0"/>
          <w:marTop w:val="0"/>
          <w:marBottom w:val="0"/>
          <w:divBdr>
            <w:top w:val="none" w:sz="0" w:space="0" w:color="auto"/>
            <w:left w:val="none" w:sz="0" w:space="0" w:color="auto"/>
            <w:bottom w:val="none" w:sz="0" w:space="0" w:color="auto"/>
            <w:right w:val="none" w:sz="0" w:space="0" w:color="auto"/>
          </w:divBdr>
        </w:div>
        <w:div w:id="502280909">
          <w:marLeft w:val="640"/>
          <w:marRight w:val="0"/>
          <w:marTop w:val="0"/>
          <w:marBottom w:val="0"/>
          <w:divBdr>
            <w:top w:val="none" w:sz="0" w:space="0" w:color="auto"/>
            <w:left w:val="none" w:sz="0" w:space="0" w:color="auto"/>
            <w:bottom w:val="none" w:sz="0" w:space="0" w:color="auto"/>
            <w:right w:val="none" w:sz="0" w:space="0" w:color="auto"/>
          </w:divBdr>
        </w:div>
        <w:div w:id="1960330696">
          <w:marLeft w:val="640"/>
          <w:marRight w:val="0"/>
          <w:marTop w:val="0"/>
          <w:marBottom w:val="0"/>
          <w:divBdr>
            <w:top w:val="none" w:sz="0" w:space="0" w:color="auto"/>
            <w:left w:val="none" w:sz="0" w:space="0" w:color="auto"/>
            <w:bottom w:val="none" w:sz="0" w:space="0" w:color="auto"/>
            <w:right w:val="none" w:sz="0" w:space="0" w:color="auto"/>
          </w:divBdr>
        </w:div>
        <w:div w:id="511576947">
          <w:marLeft w:val="640"/>
          <w:marRight w:val="0"/>
          <w:marTop w:val="0"/>
          <w:marBottom w:val="0"/>
          <w:divBdr>
            <w:top w:val="none" w:sz="0" w:space="0" w:color="auto"/>
            <w:left w:val="none" w:sz="0" w:space="0" w:color="auto"/>
            <w:bottom w:val="none" w:sz="0" w:space="0" w:color="auto"/>
            <w:right w:val="none" w:sz="0" w:space="0" w:color="auto"/>
          </w:divBdr>
        </w:div>
        <w:div w:id="1017577891">
          <w:marLeft w:val="640"/>
          <w:marRight w:val="0"/>
          <w:marTop w:val="0"/>
          <w:marBottom w:val="0"/>
          <w:divBdr>
            <w:top w:val="none" w:sz="0" w:space="0" w:color="auto"/>
            <w:left w:val="none" w:sz="0" w:space="0" w:color="auto"/>
            <w:bottom w:val="none" w:sz="0" w:space="0" w:color="auto"/>
            <w:right w:val="none" w:sz="0" w:space="0" w:color="auto"/>
          </w:divBdr>
        </w:div>
        <w:div w:id="1703095305">
          <w:marLeft w:val="640"/>
          <w:marRight w:val="0"/>
          <w:marTop w:val="0"/>
          <w:marBottom w:val="0"/>
          <w:divBdr>
            <w:top w:val="none" w:sz="0" w:space="0" w:color="auto"/>
            <w:left w:val="none" w:sz="0" w:space="0" w:color="auto"/>
            <w:bottom w:val="none" w:sz="0" w:space="0" w:color="auto"/>
            <w:right w:val="none" w:sz="0" w:space="0" w:color="auto"/>
          </w:divBdr>
        </w:div>
        <w:div w:id="1928079733">
          <w:marLeft w:val="640"/>
          <w:marRight w:val="0"/>
          <w:marTop w:val="0"/>
          <w:marBottom w:val="0"/>
          <w:divBdr>
            <w:top w:val="none" w:sz="0" w:space="0" w:color="auto"/>
            <w:left w:val="none" w:sz="0" w:space="0" w:color="auto"/>
            <w:bottom w:val="none" w:sz="0" w:space="0" w:color="auto"/>
            <w:right w:val="none" w:sz="0" w:space="0" w:color="auto"/>
          </w:divBdr>
        </w:div>
        <w:div w:id="1998415320">
          <w:marLeft w:val="640"/>
          <w:marRight w:val="0"/>
          <w:marTop w:val="0"/>
          <w:marBottom w:val="0"/>
          <w:divBdr>
            <w:top w:val="none" w:sz="0" w:space="0" w:color="auto"/>
            <w:left w:val="none" w:sz="0" w:space="0" w:color="auto"/>
            <w:bottom w:val="none" w:sz="0" w:space="0" w:color="auto"/>
            <w:right w:val="none" w:sz="0" w:space="0" w:color="auto"/>
          </w:divBdr>
        </w:div>
        <w:div w:id="678505241">
          <w:marLeft w:val="640"/>
          <w:marRight w:val="0"/>
          <w:marTop w:val="0"/>
          <w:marBottom w:val="0"/>
          <w:divBdr>
            <w:top w:val="none" w:sz="0" w:space="0" w:color="auto"/>
            <w:left w:val="none" w:sz="0" w:space="0" w:color="auto"/>
            <w:bottom w:val="none" w:sz="0" w:space="0" w:color="auto"/>
            <w:right w:val="none" w:sz="0" w:space="0" w:color="auto"/>
          </w:divBdr>
        </w:div>
        <w:div w:id="1850632922">
          <w:marLeft w:val="640"/>
          <w:marRight w:val="0"/>
          <w:marTop w:val="0"/>
          <w:marBottom w:val="0"/>
          <w:divBdr>
            <w:top w:val="none" w:sz="0" w:space="0" w:color="auto"/>
            <w:left w:val="none" w:sz="0" w:space="0" w:color="auto"/>
            <w:bottom w:val="none" w:sz="0" w:space="0" w:color="auto"/>
            <w:right w:val="none" w:sz="0" w:space="0" w:color="auto"/>
          </w:divBdr>
        </w:div>
        <w:div w:id="1183973885">
          <w:marLeft w:val="640"/>
          <w:marRight w:val="0"/>
          <w:marTop w:val="0"/>
          <w:marBottom w:val="0"/>
          <w:divBdr>
            <w:top w:val="none" w:sz="0" w:space="0" w:color="auto"/>
            <w:left w:val="none" w:sz="0" w:space="0" w:color="auto"/>
            <w:bottom w:val="none" w:sz="0" w:space="0" w:color="auto"/>
            <w:right w:val="none" w:sz="0" w:space="0" w:color="auto"/>
          </w:divBdr>
        </w:div>
        <w:div w:id="1315255422">
          <w:marLeft w:val="640"/>
          <w:marRight w:val="0"/>
          <w:marTop w:val="0"/>
          <w:marBottom w:val="0"/>
          <w:divBdr>
            <w:top w:val="none" w:sz="0" w:space="0" w:color="auto"/>
            <w:left w:val="none" w:sz="0" w:space="0" w:color="auto"/>
            <w:bottom w:val="none" w:sz="0" w:space="0" w:color="auto"/>
            <w:right w:val="none" w:sz="0" w:space="0" w:color="auto"/>
          </w:divBdr>
        </w:div>
        <w:div w:id="1801338757">
          <w:marLeft w:val="640"/>
          <w:marRight w:val="0"/>
          <w:marTop w:val="0"/>
          <w:marBottom w:val="0"/>
          <w:divBdr>
            <w:top w:val="none" w:sz="0" w:space="0" w:color="auto"/>
            <w:left w:val="none" w:sz="0" w:space="0" w:color="auto"/>
            <w:bottom w:val="none" w:sz="0" w:space="0" w:color="auto"/>
            <w:right w:val="none" w:sz="0" w:space="0" w:color="auto"/>
          </w:divBdr>
        </w:div>
        <w:div w:id="1832525407">
          <w:marLeft w:val="640"/>
          <w:marRight w:val="0"/>
          <w:marTop w:val="0"/>
          <w:marBottom w:val="0"/>
          <w:divBdr>
            <w:top w:val="none" w:sz="0" w:space="0" w:color="auto"/>
            <w:left w:val="none" w:sz="0" w:space="0" w:color="auto"/>
            <w:bottom w:val="none" w:sz="0" w:space="0" w:color="auto"/>
            <w:right w:val="none" w:sz="0" w:space="0" w:color="auto"/>
          </w:divBdr>
        </w:div>
        <w:div w:id="915821753">
          <w:marLeft w:val="640"/>
          <w:marRight w:val="0"/>
          <w:marTop w:val="0"/>
          <w:marBottom w:val="0"/>
          <w:divBdr>
            <w:top w:val="none" w:sz="0" w:space="0" w:color="auto"/>
            <w:left w:val="none" w:sz="0" w:space="0" w:color="auto"/>
            <w:bottom w:val="none" w:sz="0" w:space="0" w:color="auto"/>
            <w:right w:val="none" w:sz="0" w:space="0" w:color="auto"/>
          </w:divBdr>
        </w:div>
        <w:div w:id="1318340563">
          <w:marLeft w:val="640"/>
          <w:marRight w:val="0"/>
          <w:marTop w:val="0"/>
          <w:marBottom w:val="0"/>
          <w:divBdr>
            <w:top w:val="none" w:sz="0" w:space="0" w:color="auto"/>
            <w:left w:val="none" w:sz="0" w:space="0" w:color="auto"/>
            <w:bottom w:val="none" w:sz="0" w:space="0" w:color="auto"/>
            <w:right w:val="none" w:sz="0" w:space="0" w:color="auto"/>
          </w:divBdr>
        </w:div>
        <w:div w:id="422724600">
          <w:marLeft w:val="640"/>
          <w:marRight w:val="0"/>
          <w:marTop w:val="0"/>
          <w:marBottom w:val="0"/>
          <w:divBdr>
            <w:top w:val="none" w:sz="0" w:space="0" w:color="auto"/>
            <w:left w:val="none" w:sz="0" w:space="0" w:color="auto"/>
            <w:bottom w:val="none" w:sz="0" w:space="0" w:color="auto"/>
            <w:right w:val="none" w:sz="0" w:space="0" w:color="auto"/>
          </w:divBdr>
        </w:div>
        <w:div w:id="190801625">
          <w:marLeft w:val="640"/>
          <w:marRight w:val="0"/>
          <w:marTop w:val="0"/>
          <w:marBottom w:val="0"/>
          <w:divBdr>
            <w:top w:val="none" w:sz="0" w:space="0" w:color="auto"/>
            <w:left w:val="none" w:sz="0" w:space="0" w:color="auto"/>
            <w:bottom w:val="none" w:sz="0" w:space="0" w:color="auto"/>
            <w:right w:val="none" w:sz="0" w:space="0" w:color="auto"/>
          </w:divBdr>
        </w:div>
        <w:div w:id="1126312778">
          <w:marLeft w:val="640"/>
          <w:marRight w:val="0"/>
          <w:marTop w:val="0"/>
          <w:marBottom w:val="0"/>
          <w:divBdr>
            <w:top w:val="none" w:sz="0" w:space="0" w:color="auto"/>
            <w:left w:val="none" w:sz="0" w:space="0" w:color="auto"/>
            <w:bottom w:val="none" w:sz="0" w:space="0" w:color="auto"/>
            <w:right w:val="none" w:sz="0" w:space="0" w:color="auto"/>
          </w:divBdr>
        </w:div>
        <w:div w:id="1176840783">
          <w:marLeft w:val="640"/>
          <w:marRight w:val="0"/>
          <w:marTop w:val="0"/>
          <w:marBottom w:val="0"/>
          <w:divBdr>
            <w:top w:val="none" w:sz="0" w:space="0" w:color="auto"/>
            <w:left w:val="none" w:sz="0" w:space="0" w:color="auto"/>
            <w:bottom w:val="none" w:sz="0" w:space="0" w:color="auto"/>
            <w:right w:val="none" w:sz="0" w:space="0" w:color="auto"/>
          </w:divBdr>
        </w:div>
        <w:div w:id="598147114">
          <w:marLeft w:val="640"/>
          <w:marRight w:val="0"/>
          <w:marTop w:val="0"/>
          <w:marBottom w:val="0"/>
          <w:divBdr>
            <w:top w:val="none" w:sz="0" w:space="0" w:color="auto"/>
            <w:left w:val="none" w:sz="0" w:space="0" w:color="auto"/>
            <w:bottom w:val="none" w:sz="0" w:space="0" w:color="auto"/>
            <w:right w:val="none" w:sz="0" w:space="0" w:color="auto"/>
          </w:divBdr>
        </w:div>
        <w:div w:id="1179004889">
          <w:marLeft w:val="640"/>
          <w:marRight w:val="0"/>
          <w:marTop w:val="0"/>
          <w:marBottom w:val="0"/>
          <w:divBdr>
            <w:top w:val="none" w:sz="0" w:space="0" w:color="auto"/>
            <w:left w:val="none" w:sz="0" w:space="0" w:color="auto"/>
            <w:bottom w:val="none" w:sz="0" w:space="0" w:color="auto"/>
            <w:right w:val="none" w:sz="0" w:space="0" w:color="auto"/>
          </w:divBdr>
        </w:div>
        <w:div w:id="782454611">
          <w:marLeft w:val="640"/>
          <w:marRight w:val="0"/>
          <w:marTop w:val="0"/>
          <w:marBottom w:val="0"/>
          <w:divBdr>
            <w:top w:val="none" w:sz="0" w:space="0" w:color="auto"/>
            <w:left w:val="none" w:sz="0" w:space="0" w:color="auto"/>
            <w:bottom w:val="none" w:sz="0" w:space="0" w:color="auto"/>
            <w:right w:val="none" w:sz="0" w:space="0" w:color="auto"/>
          </w:divBdr>
        </w:div>
        <w:div w:id="1045059353">
          <w:marLeft w:val="640"/>
          <w:marRight w:val="0"/>
          <w:marTop w:val="0"/>
          <w:marBottom w:val="0"/>
          <w:divBdr>
            <w:top w:val="none" w:sz="0" w:space="0" w:color="auto"/>
            <w:left w:val="none" w:sz="0" w:space="0" w:color="auto"/>
            <w:bottom w:val="none" w:sz="0" w:space="0" w:color="auto"/>
            <w:right w:val="none" w:sz="0" w:space="0" w:color="auto"/>
          </w:divBdr>
        </w:div>
        <w:div w:id="1957977967">
          <w:marLeft w:val="640"/>
          <w:marRight w:val="0"/>
          <w:marTop w:val="0"/>
          <w:marBottom w:val="0"/>
          <w:divBdr>
            <w:top w:val="none" w:sz="0" w:space="0" w:color="auto"/>
            <w:left w:val="none" w:sz="0" w:space="0" w:color="auto"/>
            <w:bottom w:val="none" w:sz="0" w:space="0" w:color="auto"/>
            <w:right w:val="none" w:sz="0" w:space="0" w:color="auto"/>
          </w:divBdr>
        </w:div>
        <w:div w:id="1220290562">
          <w:marLeft w:val="640"/>
          <w:marRight w:val="0"/>
          <w:marTop w:val="0"/>
          <w:marBottom w:val="0"/>
          <w:divBdr>
            <w:top w:val="none" w:sz="0" w:space="0" w:color="auto"/>
            <w:left w:val="none" w:sz="0" w:space="0" w:color="auto"/>
            <w:bottom w:val="none" w:sz="0" w:space="0" w:color="auto"/>
            <w:right w:val="none" w:sz="0" w:space="0" w:color="auto"/>
          </w:divBdr>
        </w:div>
        <w:div w:id="1510833968">
          <w:marLeft w:val="640"/>
          <w:marRight w:val="0"/>
          <w:marTop w:val="0"/>
          <w:marBottom w:val="0"/>
          <w:divBdr>
            <w:top w:val="none" w:sz="0" w:space="0" w:color="auto"/>
            <w:left w:val="none" w:sz="0" w:space="0" w:color="auto"/>
            <w:bottom w:val="none" w:sz="0" w:space="0" w:color="auto"/>
            <w:right w:val="none" w:sz="0" w:space="0" w:color="auto"/>
          </w:divBdr>
        </w:div>
        <w:div w:id="42022491">
          <w:marLeft w:val="640"/>
          <w:marRight w:val="0"/>
          <w:marTop w:val="0"/>
          <w:marBottom w:val="0"/>
          <w:divBdr>
            <w:top w:val="none" w:sz="0" w:space="0" w:color="auto"/>
            <w:left w:val="none" w:sz="0" w:space="0" w:color="auto"/>
            <w:bottom w:val="none" w:sz="0" w:space="0" w:color="auto"/>
            <w:right w:val="none" w:sz="0" w:space="0" w:color="auto"/>
          </w:divBdr>
        </w:div>
        <w:div w:id="1807970504">
          <w:marLeft w:val="640"/>
          <w:marRight w:val="0"/>
          <w:marTop w:val="0"/>
          <w:marBottom w:val="0"/>
          <w:divBdr>
            <w:top w:val="none" w:sz="0" w:space="0" w:color="auto"/>
            <w:left w:val="none" w:sz="0" w:space="0" w:color="auto"/>
            <w:bottom w:val="none" w:sz="0" w:space="0" w:color="auto"/>
            <w:right w:val="none" w:sz="0" w:space="0" w:color="auto"/>
          </w:divBdr>
        </w:div>
        <w:div w:id="1444768444">
          <w:marLeft w:val="640"/>
          <w:marRight w:val="0"/>
          <w:marTop w:val="0"/>
          <w:marBottom w:val="0"/>
          <w:divBdr>
            <w:top w:val="none" w:sz="0" w:space="0" w:color="auto"/>
            <w:left w:val="none" w:sz="0" w:space="0" w:color="auto"/>
            <w:bottom w:val="none" w:sz="0" w:space="0" w:color="auto"/>
            <w:right w:val="none" w:sz="0" w:space="0" w:color="auto"/>
          </w:divBdr>
        </w:div>
        <w:div w:id="1650132283">
          <w:marLeft w:val="640"/>
          <w:marRight w:val="0"/>
          <w:marTop w:val="0"/>
          <w:marBottom w:val="0"/>
          <w:divBdr>
            <w:top w:val="none" w:sz="0" w:space="0" w:color="auto"/>
            <w:left w:val="none" w:sz="0" w:space="0" w:color="auto"/>
            <w:bottom w:val="none" w:sz="0" w:space="0" w:color="auto"/>
            <w:right w:val="none" w:sz="0" w:space="0" w:color="auto"/>
          </w:divBdr>
        </w:div>
        <w:div w:id="736972658">
          <w:marLeft w:val="640"/>
          <w:marRight w:val="0"/>
          <w:marTop w:val="0"/>
          <w:marBottom w:val="0"/>
          <w:divBdr>
            <w:top w:val="none" w:sz="0" w:space="0" w:color="auto"/>
            <w:left w:val="none" w:sz="0" w:space="0" w:color="auto"/>
            <w:bottom w:val="none" w:sz="0" w:space="0" w:color="auto"/>
            <w:right w:val="none" w:sz="0" w:space="0" w:color="auto"/>
          </w:divBdr>
        </w:div>
        <w:div w:id="1467579458">
          <w:marLeft w:val="640"/>
          <w:marRight w:val="0"/>
          <w:marTop w:val="0"/>
          <w:marBottom w:val="0"/>
          <w:divBdr>
            <w:top w:val="none" w:sz="0" w:space="0" w:color="auto"/>
            <w:left w:val="none" w:sz="0" w:space="0" w:color="auto"/>
            <w:bottom w:val="none" w:sz="0" w:space="0" w:color="auto"/>
            <w:right w:val="none" w:sz="0" w:space="0" w:color="auto"/>
          </w:divBdr>
        </w:div>
        <w:div w:id="772212207">
          <w:marLeft w:val="640"/>
          <w:marRight w:val="0"/>
          <w:marTop w:val="0"/>
          <w:marBottom w:val="0"/>
          <w:divBdr>
            <w:top w:val="none" w:sz="0" w:space="0" w:color="auto"/>
            <w:left w:val="none" w:sz="0" w:space="0" w:color="auto"/>
            <w:bottom w:val="none" w:sz="0" w:space="0" w:color="auto"/>
            <w:right w:val="none" w:sz="0" w:space="0" w:color="auto"/>
          </w:divBdr>
        </w:div>
        <w:div w:id="863591981">
          <w:marLeft w:val="640"/>
          <w:marRight w:val="0"/>
          <w:marTop w:val="0"/>
          <w:marBottom w:val="0"/>
          <w:divBdr>
            <w:top w:val="none" w:sz="0" w:space="0" w:color="auto"/>
            <w:left w:val="none" w:sz="0" w:space="0" w:color="auto"/>
            <w:bottom w:val="none" w:sz="0" w:space="0" w:color="auto"/>
            <w:right w:val="none" w:sz="0" w:space="0" w:color="auto"/>
          </w:divBdr>
        </w:div>
        <w:div w:id="331764857">
          <w:marLeft w:val="640"/>
          <w:marRight w:val="0"/>
          <w:marTop w:val="0"/>
          <w:marBottom w:val="0"/>
          <w:divBdr>
            <w:top w:val="none" w:sz="0" w:space="0" w:color="auto"/>
            <w:left w:val="none" w:sz="0" w:space="0" w:color="auto"/>
            <w:bottom w:val="none" w:sz="0" w:space="0" w:color="auto"/>
            <w:right w:val="none" w:sz="0" w:space="0" w:color="auto"/>
          </w:divBdr>
        </w:div>
        <w:div w:id="1389498691">
          <w:marLeft w:val="640"/>
          <w:marRight w:val="0"/>
          <w:marTop w:val="0"/>
          <w:marBottom w:val="0"/>
          <w:divBdr>
            <w:top w:val="none" w:sz="0" w:space="0" w:color="auto"/>
            <w:left w:val="none" w:sz="0" w:space="0" w:color="auto"/>
            <w:bottom w:val="none" w:sz="0" w:space="0" w:color="auto"/>
            <w:right w:val="none" w:sz="0" w:space="0" w:color="auto"/>
          </w:divBdr>
        </w:div>
        <w:div w:id="1294214651">
          <w:marLeft w:val="640"/>
          <w:marRight w:val="0"/>
          <w:marTop w:val="0"/>
          <w:marBottom w:val="0"/>
          <w:divBdr>
            <w:top w:val="none" w:sz="0" w:space="0" w:color="auto"/>
            <w:left w:val="none" w:sz="0" w:space="0" w:color="auto"/>
            <w:bottom w:val="none" w:sz="0" w:space="0" w:color="auto"/>
            <w:right w:val="none" w:sz="0" w:space="0" w:color="auto"/>
          </w:divBdr>
        </w:div>
        <w:div w:id="825367300">
          <w:marLeft w:val="640"/>
          <w:marRight w:val="0"/>
          <w:marTop w:val="0"/>
          <w:marBottom w:val="0"/>
          <w:divBdr>
            <w:top w:val="none" w:sz="0" w:space="0" w:color="auto"/>
            <w:left w:val="none" w:sz="0" w:space="0" w:color="auto"/>
            <w:bottom w:val="none" w:sz="0" w:space="0" w:color="auto"/>
            <w:right w:val="none" w:sz="0" w:space="0" w:color="auto"/>
          </w:divBdr>
        </w:div>
        <w:div w:id="1745373337">
          <w:marLeft w:val="640"/>
          <w:marRight w:val="0"/>
          <w:marTop w:val="0"/>
          <w:marBottom w:val="0"/>
          <w:divBdr>
            <w:top w:val="none" w:sz="0" w:space="0" w:color="auto"/>
            <w:left w:val="none" w:sz="0" w:space="0" w:color="auto"/>
            <w:bottom w:val="none" w:sz="0" w:space="0" w:color="auto"/>
            <w:right w:val="none" w:sz="0" w:space="0" w:color="auto"/>
          </w:divBdr>
        </w:div>
        <w:div w:id="580722728">
          <w:marLeft w:val="640"/>
          <w:marRight w:val="0"/>
          <w:marTop w:val="0"/>
          <w:marBottom w:val="0"/>
          <w:divBdr>
            <w:top w:val="none" w:sz="0" w:space="0" w:color="auto"/>
            <w:left w:val="none" w:sz="0" w:space="0" w:color="auto"/>
            <w:bottom w:val="none" w:sz="0" w:space="0" w:color="auto"/>
            <w:right w:val="none" w:sz="0" w:space="0" w:color="auto"/>
          </w:divBdr>
        </w:div>
        <w:div w:id="780876146">
          <w:marLeft w:val="640"/>
          <w:marRight w:val="0"/>
          <w:marTop w:val="0"/>
          <w:marBottom w:val="0"/>
          <w:divBdr>
            <w:top w:val="none" w:sz="0" w:space="0" w:color="auto"/>
            <w:left w:val="none" w:sz="0" w:space="0" w:color="auto"/>
            <w:bottom w:val="none" w:sz="0" w:space="0" w:color="auto"/>
            <w:right w:val="none" w:sz="0" w:space="0" w:color="auto"/>
          </w:divBdr>
        </w:div>
        <w:div w:id="1866626700">
          <w:marLeft w:val="640"/>
          <w:marRight w:val="0"/>
          <w:marTop w:val="0"/>
          <w:marBottom w:val="0"/>
          <w:divBdr>
            <w:top w:val="none" w:sz="0" w:space="0" w:color="auto"/>
            <w:left w:val="none" w:sz="0" w:space="0" w:color="auto"/>
            <w:bottom w:val="none" w:sz="0" w:space="0" w:color="auto"/>
            <w:right w:val="none" w:sz="0" w:space="0" w:color="auto"/>
          </w:divBdr>
        </w:div>
        <w:div w:id="134757083">
          <w:marLeft w:val="640"/>
          <w:marRight w:val="0"/>
          <w:marTop w:val="0"/>
          <w:marBottom w:val="0"/>
          <w:divBdr>
            <w:top w:val="none" w:sz="0" w:space="0" w:color="auto"/>
            <w:left w:val="none" w:sz="0" w:space="0" w:color="auto"/>
            <w:bottom w:val="none" w:sz="0" w:space="0" w:color="auto"/>
            <w:right w:val="none" w:sz="0" w:space="0" w:color="auto"/>
          </w:divBdr>
        </w:div>
        <w:div w:id="2980787">
          <w:marLeft w:val="640"/>
          <w:marRight w:val="0"/>
          <w:marTop w:val="0"/>
          <w:marBottom w:val="0"/>
          <w:divBdr>
            <w:top w:val="none" w:sz="0" w:space="0" w:color="auto"/>
            <w:left w:val="none" w:sz="0" w:space="0" w:color="auto"/>
            <w:bottom w:val="none" w:sz="0" w:space="0" w:color="auto"/>
            <w:right w:val="none" w:sz="0" w:space="0" w:color="auto"/>
          </w:divBdr>
        </w:div>
        <w:div w:id="694113122">
          <w:marLeft w:val="640"/>
          <w:marRight w:val="0"/>
          <w:marTop w:val="0"/>
          <w:marBottom w:val="0"/>
          <w:divBdr>
            <w:top w:val="none" w:sz="0" w:space="0" w:color="auto"/>
            <w:left w:val="none" w:sz="0" w:space="0" w:color="auto"/>
            <w:bottom w:val="none" w:sz="0" w:space="0" w:color="auto"/>
            <w:right w:val="none" w:sz="0" w:space="0" w:color="auto"/>
          </w:divBdr>
        </w:div>
        <w:div w:id="1945381894">
          <w:marLeft w:val="640"/>
          <w:marRight w:val="0"/>
          <w:marTop w:val="0"/>
          <w:marBottom w:val="0"/>
          <w:divBdr>
            <w:top w:val="none" w:sz="0" w:space="0" w:color="auto"/>
            <w:left w:val="none" w:sz="0" w:space="0" w:color="auto"/>
            <w:bottom w:val="none" w:sz="0" w:space="0" w:color="auto"/>
            <w:right w:val="none" w:sz="0" w:space="0" w:color="auto"/>
          </w:divBdr>
        </w:div>
        <w:div w:id="144784673">
          <w:marLeft w:val="640"/>
          <w:marRight w:val="0"/>
          <w:marTop w:val="0"/>
          <w:marBottom w:val="0"/>
          <w:divBdr>
            <w:top w:val="none" w:sz="0" w:space="0" w:color="auto"/>
            <w:left w:val="none" w:sz="0" w:space="0" w:color="auto"/>
            <w:bottom w:val="none" w:sz="0" w:space="0" w:color="auto"/>
            <w:right w:val="none" w:sz="0" w:space="0" w:color="auto"/>
          </w:divBdr>
        </w:div>
        <w:div w:id="589506435">
          <w:marLeft w:val="640"/>
          <w:marRight w:val="0"/>
          <w:marTop w:val="0"/>
          <w:marBottom w:val="0"/>
          <w:divBdr>
            <w:top w:val="none" w:sz="0" w:space="0" w:color="auto"/>
            <w:left w:val="none" w:sz="0" w:space="0" w:color="auto"/>
            <w:bottom w:val="none" w:sz="0" w:space="0" w:color="auto"/>
            <w:right w:val="none" w:sz="0" w:space="0" w:color="auto"/>
          </w:divBdr>
        </w:div>
        <w:div w:id="1694260786">
          <w:marLeft w:val="640"/>
          <w:marRight w:val="0"/>
          <w:marTop w:val="0"/>
          <w:marBottom w:val="0"/>
          <w:divBdr>
            <w:top w:val="none" w:sz="0" w:space="0" w:color="auto"/>
            <w:left w:val="none" w:sz="0" w:space="0" w:color="auto"/>
            <w:bottom w:val="none" w:sz="0" w:space="0" w:color="auto"/>
            <w:right w:val="none" w:sz="0" w:space="0" w:color="auto"/>
          </w:divBdr>
        </w:div>
        <w:div w:id="1271739050">
          <w:marLeft w:val="640"/>
          <w:marRight w:val="0"/>
          <w:marTop w:val="0"/>
          <w:marBottom w:val="0"/>
          <w:divBdr>
            <w:top w:val="none" w:sz="0" w:space="0" w:color="auto"/>
            <w:left w:val="none" w:sz="0" w:space="0" w:color="auto"/>
            <w:bottom w:val="none" w:sz="0" w:space="0" w:color="auto"/>
            <w:right w:val="none" w:sz="0" w:space="0" w:color="auto"/>
          </w:divBdr>
        </w:div>
        <w:div w:id="899247269">
          <w:marLeft w:val="640"/>
          <w:marRight w:val="0"/>
          <w:marTop w:val="0"/>
          <w:marBottom w:val="0"/>
          <w:divBdr>
            <w:top w:val="none" w:sz="0" w:space="0" w:color="auto"/>
            <w:left w:val="none" w:sz="0" w:space="0" w:color="auto"/>
            <w:bottom w:val="none" w:sz="0" w:space="0" w:color="auto"/>
            <w:right w:val="none" w:sz="0" w:space="0" w:color="auto"/>
          </w:divBdr>
        </w:div>
        <w:div w:id="564727209">
          <w:marLeft w:val="640"/>
          <w:marRight w:val="0"/>
          <w:marTop w:val="0"/>
          <w:marBottom w:val="0"/>
          <w:divBdr>
            <w:top w:val="none" w:sz="0" w:space="0" w:color="auto"/>
            <w:left w:val="none" w:sz="0" w:space="0" w:color="auto"/>
            <w:bottom w:val="none" w:sz="0" w:space="0" w:color="auto"/>
            <w:right w:val="none" w:sz="0" w:space="0" w:color="auto"/>
          </w:divBdr>
        </w:div>
        <w:div w:id="341199642">
          <w:marLeft w:val="640"/>
          <w:marRight w:val="0"/>
          <w:marTop w:val="0"/>
          <w:marBottom w:val="0"/>
          <w:divBdr>
            <w:top w:val="none" w:sz="0" w:space="0" w:color="auto"/>
            <w:left w:val="none" w:sz="0" w:space="0" w:color="auto"/>
            <w:bottom w:val="none" w:sz="0" w:space="0" w:color="auto"/>
            <w:right w:val="none" w:sz="0" w:space="0" w:color="auto"/>
          </w:divBdr>
        </w:div>
        <w:div w:id="1168667790">
          <w:marLeft w:val="640"/>
          <w:marRight w:val="0"/>
          <w:marTop w:val="0"/>
          <w:marBottom w:val="0"/>
          <w:divBdr>
            <w:top w:val="none" w:sz="0" w:space="0" w:color="auto"/>
            <w:left w:val="none" w:sz="0" w:space="0" w:color="auto"/>
            <w:bottom w:val="none" w:sz="0" w:space="0" w:color="auto"/>
            <w:right w:val="none" w:sz="0" w:space="0" w:color="auto"/>
          </w:divBdr>
        </w:div>
        <w:div w:id="502090313">
          <w:marLeft w:val="640"/>
          <w:marRight w:val="0"/>
          <w:marTop w:val="0"/>
          <w:marBottom w:val="0"/>
          <w:divBdr>
            <w:top w:val="none" w:sz="0" w:space="0" w:color="auto"/>
            <w:left w:val="none" w:sz="0" w:space="0" w:color="auto"/>
            <w:bottom w:val="none" w:sz="0" w:space="0" w:color="auto"/>
            <w:right w:val="none" w:sz="0" w:space="0" w:color="auto"/>
          </w:divBdr>
        </w:div>
        <w:div w:id="56318780">
          <w:marLeft w:val="640"/>
          <w:marRight w:val="0"/>
          <w:marTop w:val="0"/>
          <w:marBottom w:val="0"/>
          <w:divBdr>
            <w:top w:val="none" w:sz="0" w:space="0" w:color="auto"/>
            <w:left w:val="none" w:sz="0" w:space="0" w:color="auto"/>
            <w:bottom w:val="none" w:sz="0" w:space="0" w:color="auto"/>
            <w:right w:val="none" w:sz="0" w:space="0" w:color="auto"/>
          </w:divBdr>
        </w:div>
        <w:div w:id="724139947">
          <w:marLeft w:val="640"/>
          <w:marRight w:val="0"/>
          <w:marTop w:val="0"/>
          <w:marBottom w:val="0"/>
          <w:divBdr>
            <w:top w:val="none" w:sz="0" w:space="0" w:color="auto"/>
            <w:left w:val="none" w:sz="0" w:space="0" w:color="auto"/>
            <w:bottom w:val="none" w:sz="0" w:space="0" w:color="auto"/>
            <w:right w:val="none" w:sz="0" w:space="0" w:color="auto"/>
          </w:divBdr>
        </w:div>
        <w:div w:id="2140763721">
          <w:marLeft w:val="640"/>
          <w:marRight w:val="0"/>
          <w:marTop w:val="0"/>
          <w:marBottom w:val="0"/>
          <w:divBdr>
            <w:top w:val="none" w:sz="0" w:space="0" w:color="auto"/>
            <w:left w:val="none" w:sz="0" w:space="0" w:color="auto"/>
            <w:bottom w:val="none" w:sz="0" w:space="0" w:color="auto"/>
            <w:right w:val="none" w:sz="0" w:space="0" w:color="auto"/>
          </w:divBdr>
        </w:div>
        <w:div w:id="1795514931">
          <w:marLeft w:val="640"/>
          <w:marRight w:val="0"/>
          <w:marTop w:val="0"/>
          <w:marBottom w:val="0"/>
          <w:divBdr>
            <w:top w:val="none" w:sz="0" w:space="0" w:color="auto"/>
            <w:left w:val="none" w:sz="0" w:space="0" w:color="auto"/>
            <w:bottom w:val="none" w:sz="0" w:space="0" w:color="auto"/>
            <w:right w:val="none" w:sz="0" w:space="0" w:color="auto"/>
          </w:divBdr>
        </w:div>
        <w:div w:id="1473475333">
          <w:marLeft w:val="640"/>
          <w:marRight w:val="0"/>
          <w:marTop w:val="0"/>
          <w:marBottom w:val="0"/>
          <w:divBdr>
            <w:top w:val="none" w:sz="0" w:space="0" w:color="auto"/>
            <w:left w:val="none" w:sz="0" w:space="0" w:color="auto"/>
            <w:bottom w:val="none" w:sz="0" w:space="0" w:color="auto"/>
            <w:right w:val="none" w:sz="0" w:space="0" w:color="auto"/>
          </w:divBdr>
        </w:div>
        <w:div w:id="1031998901">
          <w:marLeft w:val="640"/>
          <w:marRight w:val="0"/>
          <w:marTop w:val="0"/>
          <w:marBottom w:val="0"/>
          <w:divBdr>
            <w:top w:val="none" w:sz="0" w:space="0" w:color="auto"/>
            <w:left w:val="none" w:sz="0" w:space="0" w:color="auto"/>
            <w:bottom w:val="none" w:sz="0" w:space="0" w:color="auto"/>
            <w:right w:val="none" w:sz="0" w:space="0" w:color="auto"/>
          </w:divBdr>
        </w:div>
        <w:div w:id="1422680092">
          <w:marLeft w:val="640"/>
          <w:marRight w:val="0"/>
          <w:marTop w:val="0"/>
          <w:marBottom w:val="0"/>
          <w:divBdr>
            <w:top w:val="none" w:sz="0" w:space="0" w:color="auto"/>
            <w:left w:val="none" w:sz="0" w:space="0" w:color="auto"/>
            <w:bottom w:val="none" w:sz="0" w:space="0" w:color="auto"/>
            <w:right w:val="none" w:sz="0" w:space="0" w:color="auto"/>
          </w:divBdr>
        </w:div>
        <w:div w:id="646977344">
          <w:marLeft w:val="640"/>
          <w:marRight w:val="0"/>
          <w:marTop w:val="0"/>
          <w:marBottom w:val="0"/>
          <w:divBdr>
            <w:top w:val="none" w:sz="0" w:space="0" w:color="auto"/>
            <w:left w:val="none" w:sz="0" w:space="0" w:color="auto"/>
            <w:bottom w:val="none" w:sz="0" w:space="0" w:color="auto"/>
            <w:right w:val="none" w:sz="0" w:space="0" w:color="auto"/>
          </w:divBdr>
        </w:div>
        <w:div w:id="1981381302">
          <w:marLeft w:val="640"/>
          <w:marRight w:val="0"/>
          <w:marTop w:val="0"/>
          <w:marBottom w:val="0"/>
          <w:divBdr>
            <w:top w:val="none" w:sz="0" w:space="0" w:color="auto"/>
            <w:left w:val="none" w:sz="0" w:space="0" w:color="auto"/>
            <w:bottom w:val="none" w:sz="0" w:space="0" w:color="auto"/>
            <w:right w:val="none" w:sz="0" w:space="0" w:color="auto"/>
          </w:divBdr>
        </w:div>
        <w:div w:id="1440565224">
          <w:marLeft w:val="640"/>
          <w:marRight w:val="0"/>
          <w:marTop w:val="0"/>
          <w:marBottom w:val="0"/>
          <w:divBdr>
            <w:top w:val="none" w:sz="0" w:space="0" w:color="auto"/>
            <w:left w:val="none" w:sz="0" w:space="0" w:color="auto"/>
            <w:bottom w:val="none" w:sz="0" w:space="0" w:color="auto"/>
            <w:right w:val="none" w:sz="0" w:space="0" w:color="auto"/>
          </w:divBdr>
        </w:div>
        <w:div w:id="563832635">
          <w:marLeft w:val="640"/>
          <w:marRight w:val="0"/>
          <w:marTop w:val="0"/>
          <w:marBottom w:val="0"/>
          <w:divBdr>
            <w:top w:val="none" w:sz="0" w:space="0" w:color="auto"/>
            <w:left w:val="none" w:sz="0" w:space="0" w:color="auto"/>
            <w:bottom w:val="none" w:sz="0" w:space="0" w:color="auto"/>
            <w:right w:val="none" w:sz="0" w:space="0" w:color="auto"/>
          </w:divBdr>
        </w:div>
        <w:div w:id="1679306985">
          <w:marLeft w:val="640"/>
          <w:marRight w:val="0"/>
          <w:marTop w:val="0"/>
          <w:marBottom w:val="0"/>
          <w:divBdr>
            <w:top w:val="none" w:sz="0" w:space="0" w:color="auto"/>
            <w:left w:val="none" w:sz="0" w:space="0" w:color="auto"/>
            <w:bottom w:val="none" w:sz="0" w:space="0" w:color="auto"/>
            <w:right w:val="none" w:sz="0" w:space="0" w:color="auto"/>
          </w:divBdr>
        </w:div>
        <w:div w:id="1815487159">
          <w:marLeft w:val="640"/>
          <w:marRight w:val="0"/>
          <w:marTop w:val="0"/>
          <w:marBottom w:val="0"/>
          <w:divBdr>
            <w:top w:val="none" w:sz="0" w:space="0" w:color="auto"/>
            <w:left w:val="none" w:sz="0" w:space="0" w:color="auto"/>
            <w:bottom w:val="none" w:sz="0" w:space="0" w:color="auto"/>
            <w:right w:val="none" w:sz="0" w:space="0" w:color="auto"/>
          </w:divBdr>
        </w:div>
        <w:div w:id="1708873578">
          <w:marLeft w:val="640"/>
          <w:marRight w:val="0"/>
          <w:marTop w:val="0"/>
          <w:marBottom w:val="0"/>
          <w:divBdr>
            <w:top w:val="none" w:sz="0" w:space="0" w:color="auto"/>
            <w:left w:val="none" w:sz="0" w:space="0" w:color="auto"/>
            <w:bottom w:val="none" w:sz="0" w:space="0" w:color="auto"/>
            <w:right w:val="none" w:sz="0" w:space="0" w:color="auto"/>
          </w:divBdr>
        </w:div>
        <w:div w:id="466971387">
          <w:marLeft w:val="640"/>
          <w:marRight w:val="0"/>
          <w:marTop w:val="0"/>
          <w:marBottom w:val="0"/>
          <w:divBdr>
            <w:top w:val="none" w:sz="0" w:space="0" w:color="auto"/>
            <w:left w:val="none" w:sz="0" w:space="0" w:color="auto"/>
            <w:bottom w:val="none" w:sz="0" w:space="0" w:color="auto"/>
            <w:right w:val="none" w:sz="0" w:space="0" w:color="auto"/>
          </w:divBdr>
        </w:div>
        <w:div w:id="1465539939">
          <w:marLeft w:val="640"/>
          <w:marRight w:val="0"/>
          <w:marTop w:val="0"/>
          <w:marBottom w:val="0"/>
          <w:divBdr>
            <w:top w:val="none" w:sz="0" w:space="0" w:color="auto"/>
            <w:left w:val="none" w:sz="0" w:space="0" w:color="auto"/>
            <w:bottom w:val="none" w:sz="0" w:space="0" w:color="auto"/>
            <w:right w:val="none" w:sz="0" w:space="0" w:color="auto"/>
          </w:divBdr>
        </w:div>
        <w:div w:id="1215041293">
          <w:marLeft w:val="640"/>
          <w:marRight w:val="0"/>
          <w:marTop w:val="0"/>
          <w:marBottom w:val="0"/>
          <w:divBdr>
            <w:top w:val="none" w:sz="0" w:space="0" w:color="auto"/>
            <w:left w:val="none" w:sz="0" w:space="0" w:color="auto"/>
            <w:bottom w:val="none" w:sz="0" w:space="0" w:color="auto"/>
            <w:right w:val="none" w:sz="0" w:space="0" w:color="auto"/>
          </w:divBdr>
        </w:div>
        <w:div w:id="1660381119">
          <w:marLeft w:val="640"/>
          <w:marRight w:val="0"/>
          <w:marTop w:val="0"/>
          <w:marBottom w:val="0"/>
          <w:divBdr>
            <w:top w:val="none" w:sz="0" w:space="0" w:color="auto"/>
            <w:left w:val="none" w:sz="0" w:space="0" w:color="auto"/>
            <w:bottom w:val="none" w:sz="0" w:space="0" w:color="auto"/>
            <w:right w:val="none" w:sz="0" w:space="0" w:color="auto"/>
          </w:divBdr>
        </w:div>
        <w:div w:id="1075396947">
          <w:marLeft w:val="640"/>
          <w:marRight w:val="0"/>
          <w:marTop w:val="0"/>
          <w:marBottom w:val="0"/>
          <w:divBdr>
            <w:top w:val="none" w:sz="0" w:space="0" w:color="auto"/>
            <w:left w:val="none" w:sz="0" w:space="0" w:color="auto"/>
            <w:bottom w:val="none" w:sz="0" w:space="0" w:color="auto"/>
            <w:right w:val="none" w:sz="0" w:space="0" w:color="auto"/>
          </w:divBdr>
        </w:div>
        <w:div w:id="550001520">
          <w:marLeft w:val="640"/>
          <w:marRight w:val="0"/>
          <w:marTop w:val="0"/>
          <w:marBottom w:val="0"/>
          <w:divBdr>
            <w:top w:val="none" w:sz="0" w:space="0" w:color="auto"/>
            <w:left w:val="none" w:sz="0" w:space="0" w:color="auto"/>
            <w:bottom w:val="none" w:sz="0" w:space="0" w:color="auto"/>
            <w:right w:val="none" w:sz="0" w:space="0" w:color="auto"/>
          </w:divBdr>
        </w:div>
        <w:div w:id="1822890170">
          <w:marLeft w:val="640"/>
          <w:marRight w:val="0"/>
          <w:marTop w:val="0"/>
          <w:marBottom w:val="0"/>
          <w:divBdr>
            <w:top w:val="none" w:sz="0" w:space="0" w:color="auto"/>
            <w:left w:val="none" w:sz="0" w:space="0" w:color="auto"/>
            <w:bottom w:val="none" w:sz="0" w:space="0" w:color="auto"/>
            <w:right w:val="none" w:sz="0" w:space="0" w:color="auto"/>
          </w:divBdr>
        </w:div>
        <w:div w:id="484863189">
          <w:marLeft w:val="640"/>
          <w:marRight w:val="0"/>
          <w:marTop w:val="0"/>
          <w:marBottom w:val="0"/>
          <w:divBdr>
            <w:top w:val="none" w:sz="0" w:space="0" w:color="auto"/>
            <w:left w:val="none" w:sz="0" w:space="0" w:color="auto"/>
            <w:bottom w:val="none" w:sz="0" w:space="0" w:color="auto"/>
            <w:right w:val="none" w:sz="0" w:space="0" w:color="auto"/>
          </w:divBdr>
        </w:div>
        <w:div w:id="1624772811">
          <w:marLeft w:val="640"/>
          <w:marRight w:val="0"/>
          <w:marTop w:val="0"/>
          <w:marBottom w:val="0"/>
          <w:divBdr>
            <w:top w:val="none" w:sz="0" w:space="0" w:color="auto"/>
            <w:left w:val="none" w:sz="0" w:space="0" w:color="auto"/>
            <w:bottom w:val="none" w:sz="0" w:space="0" w:color="auto"/>
            <w:right w:val="none" w:sz="0" w:space="0" w:color="auto"/>
          </w:divBdr>
        </w:div>
        <w:div w:id="990794785">
          <w:marLeft w:val="640"/>
          <w:marRight w:val="0"/>
          <w:marTop w:val="0"/>
          <w:marBottom w:val="0"/>
          <w:divBdr>
            <w:top w:val="none" w:sz="0" w:space="0" w:color="auto"/>
            <w:left w:val="none" w:sz="0" w:space="0" w:color="auto"/>
            <w:bottom w:val="none" w:sz="0" w:space="0" w:color="auto"/>
            <w:right w:val="none" w:sz="0" w:space="0" w:color="auto"/>
          </w:divBdr>
        </w:div>
        <w:div w:id="480464256">
          <w:marLeft w:val="640"/>
          <w:marRight w:val="0"/>
          <w:marTop w:val="0"/>
          <w:marBottom w:val="0"/>
          <w:divBdr>
            <w:top w:val="none" w:sz="0" w:space="0" w:color="auto"/>
            <w:left w:val="none" w:sz="0" w:space="0" w:color="auto"/>
            <w:bottom w:val="none" w:sz="0" w:space="0" w:color="auto"/>
            <w:right w:val="none" w:sz="0" w:space="0" w:color="auto"/>
          </w:divBdr>
        </w:div>
        <w:div w:id="873542870">
          <w:marLeft w:val="640"/>
          <w:marRight w:val="0"/>
          <w:marTop w:val="0"/>
          <w:marBottom w:val="0"/>
          <w:divBdr>
            <w:top w:val="none" w:sz="0" w:space="0" w:color="auto"/>
            <w:left w:val="none" w:sz="0" w:space="0" w:color="auto"/>
            <w:bottom w:val="none" w:sz="0" w:space="0" w:color="auto"/>
            <w:right w:val="none" w:sz="0" w:space="0" w:color="auto"/>
          </w:divBdr>
        </w:div>
        <w:div w:id="350226555">
          <w:marLeft w:val="640"/>
          <w:marRight w:val="0"/>
          <w:marTop w:val="0"/>
          <w:marBottom w:val="0"/>
          <w:divBdr>
            <w:top w:val="none" w:sz="0" w:space="0" w:color="auto"/>
            <w:left w:val="none" w:sz="0" w:space="0" w:color="auto"/>
            <w:bottom w:val="none" w:sz="0" w:space="0" w:color="auto"/>
            <w:right w:val="none" w:sz="0" w:space="0" w:color="auto"/>
          </w:divBdr>
        </w:div>
        <w:div w:id="1902013500">
          <w:marLeft w:val="640"/>
          <w:marRight w:val="0"/>
          <w:marTop w:val="0"/>
          <w:marBottom w:val="0"/>
          <w:divBdr>
            <w:top w:val="none" w:sz="0" w:space="0" w:color="auto"/>
            <w:left w:val="none" w:sz="0" w:space="0" w:color="auto"/>
            <w:bottom w:val="none" w:sz="0" w:space="0" w:color="auto"/>
            <w:right w:val="none" w:sz="0" w:space="0" w:color="auto"/>
          </w:divBdr>
        </w:div>
        <w:div w:id="1848328391">
          <w:marLeft w:val="640"/>
          <w:marRight w:val="0"/>
          <w:marTop w:val="0"/>
          <w:marBottom w:val="0"/>
          <w:divBdr>
            <w:top w:val="none" w:sz="0" w:space="0" w:color="auto"/>
            <w:left w:val="none" w:sz="0" w:space="0" w:color="auto"/>
            <w:bottom w:val="none" w:sz="0" w:space="0" w:color="auto"/>
            <w:right w:val="none" w:sz="0" w:space="0" w:color="auto"/>
          </w:divBdr>
        </w:div>
        <w:div w:id="1029262336">
          <w:marLeft w:val="640"/>
          <w:marRight w:val="0"/>
          <w:marTop w:val="0"/>
          <w:marBottom w:val="0"/>
          <w:divBdr>
            <w:top w:val="none" w:sz="0" w:space="0" w:color="auto"/>
            <w:left w:val="none" w:sz="0" w:space="0" w:color="auto"/>
            <w:bottom w:val="none" w:sz="0" w:space="0" w:color="auto"/>
            <w:right w:val="none" w:sz="0" w:space="0" w:color="auto"/>
          </w:divBdr>
        </w:div>
        <w:div w:id="1230966589">
          <w:marLeft w:val="640"/>
          <w:marRight w:val="0"/>
          <w:marTop w:val="0"/>
          <w:marBottom w:val="0"/>
          <w:divBdr>
            <w:top w:val="none" w:sz="0" w:space="0" w:color="auto"/>
            <w:left w:val="none" w:sz="0" w:space="0" w:color="auto"/>
            <w:bottom w:val="none" w:sz="0" w:space="0" w:color="auto"/>
            <w:right w:val="none" w:sz="0" w:space="0" w:color="auto"/>
          </w:divBdr>
        </w:div>
        <w:div w:id="626739987">
          <w:marLeft w:val="640"/>
          <w:marRight w:val="0"/>
          <w:marTop w:val="0"/>
          <w:marBottom w:val="0"/>
          <w:divBdr>
            <w:top w:val="none" w:sz="0" w:space="0" w:color="auto"/>
            <w:left w:val="none" w:sz="0" w:space="0" w:color="auto"/>
            <w:bottom w:val="none" w:sz="0" w:space="0" w:color="auto"/>
            <w:right w:val="none" w:sz="0" w:space="0" w:color="auto"/>
          </w:divBdr>
        </w:div>
        <w:div w:id="600838530">
          <w:marLeft w:val="640"/>
          <w:marRight w:val="0"/>
          <w:marTop w:val="0"/>
          <w:marBottom w:val="0"/>
          <w:divBdr>
            <w:top w:val="none" w:sz="0" w:space="0" w:color="auto"/>
            <w:left w:val="none" w:sz="0" w:space="0" w:color="auto"/>
            <w:bottom w:val="none" w:sz="0" w:space="0" w:color="auto"/>
            <w:right w:val="none" w:sz="0" w:space="0" w:color="auto"/>
          </w:divBdr>
        </w:div>
        <w:div w:id="759134089">
          <w:marLeft w:val="640"/>
          <w:marRight w:val="0"/>
          <w:marTop w:val="0"/>
          <w:marBottom w:val="0"/>
          <w:divBdr>
            <w:top w:val="none" w:sz="0" w:space="0" w:color="auto"/>
            <w:left w:val="none" w:sz="0" w:space="0" w:color="auto"/>
            <w:bottom w:val="none" w:sz="0" w:space="0" w:color="auto"/>
            <w:right w:val="none" w:sz="0" w:space="0" w:color="auto"/>
          </w:divBdr>
        </w:div>
        <w:div w:id="2146508367">
          <w:marLeft w:val="640"/>
          <w:marRight w:val="0"/>
          <w:marTop w:val="0"/>
          <w:marBottom w:val="0"/>
          <w:divBdr>
            <w:top w:val="none" w:sz="0" w:space="0" w:color="auto"/>
            <w:left w:val="none" w:sz="0" w:space="0" w:color="auto"/>
            <w:bottom w:val="none" w:sz="0" w:space="0" w:color="auto"/>
            <w:right w:val="none" w:sz="0" w:space="0" w:color="auto"/>
          </w:divBdr>
        </w:div>
        <w:div w:id="1017151074">
          <w:marLeft w:val="640"/>
          <w:marRight w:val="0"/>
          <w:marTop w:val="0"/>
          <w:marBottom w:val="0"/>
          <w:divBdr>
            <w:top w:val="none" w:sz="0" w:space="0" w:color="auto"/>
            <w:left w:val="none" w:sz="0" w:space="0" w:color="auto"/>
            <w:bottom w:val="none" w:sz="0" w:space="0" w:color="auto"/>
            <w:right w:val="none" w:sz="0" w:space="0" w:color="auto"/>
          </w:divBdr>
        </w:div>
        <w:div w:id="832988314">
          <w:marLeft w:val="640"/>
          <w:marRight w:val="0"/>
          <w:marTop w:val="0"/>
          <w:marBottom w:val="0"/>
          <w:divBdr>
            <w:top w:val="none" w:sz="0" w:space="0" w:color="auto"/>
            <w:left w:val="none" w:sz="0" w:space="0" w:color="auto"/>
            <w:bottom w:val="none" w:sz="0" w:space="0" w:color="auto"/>
            <w:right w:val="none" w:sz="0" w:space="0" w:color="auto"/>
          </w:divBdr>
        </w:div>
        <w:div w:id="2107535870">
          <w:marLeft w:val="640"/>
          <w:marRight w:val="0"/>
          <w:marTop w:val="0"/>
          <w:marBottom w:val="0"/>
          <w:divBdr>
            <w:top w:val="none" w:sz="0" w:space="0" w:color="auto"/>
            <w:left w:val="none" w:sz="0" w:space="0" w:color="auto"/>
            <w:bottom w:val="none" w:sz="0" w:space="0" w:color="auto"/>
            <w:right w:val="none" w:sz="0" w:space="0" w:color="auto"/>
          </w:divBdr>
        </w:div>
        <w:div w:id="1285697760">
          <w:marLeft w:val="640"/>
          <w:marRight w:val="0"/>
          <w:marTop w:val="0"/>
          <w:marBottom w:val="0"/>
          <w:divBdr>
            <w:top w:val="none" w:sz="0" w:space="0" w:color="auto"/>
            <w:left w:val="none" w:sz="0" w:space="0" w:color="auto"/>
            <w:bottom w:val="none" w:sz="0" w:space="0" w:color="auto"/>
            <w:right w:val="none" w:sz="0" w:space="0" w:color="auto"/>
          </w:divBdr>
        </w:div>
        <w:div w:id="232475694">
          <w:marLeft w:val="640"/>
          <w:marRight w:val="0"/>
          <w:marTop w:val="0"/>
          <w:marBottom w:val="0"/>
          <w:divBdr>
            <w:top w:val="none" w:sz="0" w:space="0" w:color="auto"/>
            <w:left w:val="none" w:sz="0" w:space="0" w:color="auto"/>
            <w:bottom w:val="none" w:sz="0" w:space="0" w:color="auto"/>
            <w:right w:val="none" w:sz="0" w:space="0" w:color="auto"/>
          </w:divBdr>
        </w:div>
        <w:div w:id="282422905">
          <w:marLeft w:val="640"/>
          <w:marRight w:val="0"/>
          <w:marTop w:val="0"/>
          <w:marBottom w:val="0"/>
          <w:divBdr>
            <w:top w:val="none" w:sz="0" w:space="0" w:color="auto"/>
            <w:left w:val="none" w:sz="0" w:space="0" w:color="auto"/>
            <w:bottom w:val="none" w:sz="0" w:space="0" w:color="auto"/>
            <w:right w:val="none" w:sz="0" w:space="0" w:color="auto"/>
          </w:divBdr>
        </w:div>
        <w:div w:id="1171720978">
          <w:marLeft w:val="640"/>
          <w:marRight w:val="0"/>
          <w:marTop w:val="0"/>
          <w:marBottom w:val="0"/>
          <w:divBdr>
            <w:top w:val="none" w:sz="0" w:space="0" w:color="auto"/>
            <w:left w:val="none" w:sz="0" w:space="0" w:color="auto"/>
            <w:bottom w:val="none" w:sz="0" w:space="0" w:color="auto"/>
            <w:right w:val="none" w:sz="0" w:space="0" w:color="auto"/>
          </w:divBdr>
        </w:div>
        <w:div w:id="778916101">
          <w:marLeft w:val="640"/>
          <w:marRight w:val="0"/>
          <w:marTop w:val="0"/>
          <w:marBottom w:val="0"/>
          <w:divBdr>
            <w:top w:val="none" w:sz="0" w:space="0" w:color="auto"/>
            <w:left w:val="none" w:sz="0" w:space="0" w:color="auto"/>
            <w:bottom w:val="none" w:sz="0" w:space="0" w:color="auto"/>
            <w:right w:val="none" w:sz="0" w:space="0" w:color="auto"/>
          </w:divBdr>
        </w:div>
        <w:div w:id="1184708682">
          <w:marLeft w:val="640"/>
          <w:marRight w:val="0"/>
          <w:marTop w:val="0"/>
          <w:marBottom w:val="0"/>
          <w:divBdr>
            <w:top w:val="none" w:sz="0" w:space="0" w:color="auto"/>
            <w:left w:val="none" w:sz="0" w:space="0" w:color="auto"/>
            <w:bottom w:val="none" w:sz="0" w:space="0" w:color="auto"/>
            <w:right w:val="none" w:sz="0" w:space="0" w:color="auto"/>
          </w:divBdr>
        </w:div>
        <w:div w:id="2136211593">
          <w:marLeft w:val="640"/>
          <w:marRight w:val="0"/>
          <w:marTop w:val="0"/>
          <w:marBottom w:val="0"/>
          <w:divBdr>
            <w:top w:val="none" w:sz="0" w:space="0" w:color="auto"/>
            <w:left w:val="none" w:sz="0" w:space="0" w:color="auto"/>
            <w:bottom w:val="none" w:sz="0" w:space="0" w:color="auto"/>
            <w:right w:val="none" w:sz="0" w:space="0" w:color="auto"/>
          </w:divBdr>
        </w:div>
        <w:div w:id="157503750">
          <w:marLeft w:val="640"/>
          <w:marRight w:val="0"/>
          <w:marTop w:val="0"/>
          <w:marBottom w:val="0"/>
          <w:divBdr>
            <w:top w:val="none" w:sz="0" w:space="0" w:color="auto"/>
            <w:left w:val="none" w:sz="0" w:space="0" w:color="auto"/>
            <w:bottom w:val="none" w:sz="0" w:space="0" w:color="auto"/>
            <w:right w:val="none" w:sz="0" w:space="0" w:color="auto"/>
          </w:divBdr>
        </w:div>
        <w:div w:id="90056456">
          <w:marLeft w:val="640"/>
          <w:marRight w:val="0"/>
          <w:marTop w:val="0"/>
          <w:marBottom w:val="0"/>
          <w:divBdr>
            <w:top w:val="none" w:sz="0" w:space="0" w:color="auto"/>
            <w:left w:val="none" w:sz="0" w:space="0" w:color="auto"/>
            <w:bottom w:val="none" w:sz="0" w:space="0" w:color="auto"/>
            <w:right w:val="none" w:sz="0" w:space="0" w:color="auto"/>
          </w:divBdr>
        </w:div>
        <w:div w:id="9308280">
          <w:marLeft w:val="640"/>
          <w:marRight w:val="0"/>
          <w:marTop w:val="0"/>
          <w:marBottom w:val="0"/>
          <w:divBdr>
            <w:top w:val="none" w:sz="0" w:space="0" w:color="auto"/>
            <w:left w:val="none" w:sz="0" w:space="0" w:color="auto"/>
            <w:bottom w:val="none" w:sz="0" w:space="0" w:color="auto"/>
            <w:right w:val="none" w:sz="0" w:space="0" w:color="auto"/>
          </w:divBdr>
        </w:div>
        <w:div w:id="1545479102">
          <w:marLeft w:val="640"/>
          <w:marRight w:val="0"/>
          <w:marTop w:val="0"/>
          <w:marBottom w:val="0"/>
          <w:divBdr>
            <w:top w:val="none" w:sz="0" w:space="0" w:color="auto"/>
            <w:left w:val="none" w:sz="0" w:space="0" w:color="auto"/>
            <w:bottom w:val="none" w:sz="0" w:space="0" w:color="auto"/>
            <w:right w:val="none" w:sz="0" w:space="0" w:color="auto"/>
          </w:divBdr>
        </w:div>
        <w:div w:id="866983846">
          <w:marLeft w:val="640"/>
          <w:marRight w:val="0"/>
          <w:marTop w:val="0"/>
          <w:marBottom w:val="0"/>
          <w:divBdr>
            <w:top w:val="none" w:sz="0" w:space="0" w:color="auto"/>
            <w:left w:val="none" w:sz="0" w:space="0" w:color="auto"/>
            <w:bottom w:val="none" w:sz="0" w:space="0" w:color="auto"/>
            <w:right w:val="none" w:sz="0" w:space="0" w:color="auto"/>
          </w:divBdr>
        </w:div>
        <w:div w:id="1011493269">
          <w:marLeft w:val="640"/>
          <w:marRight w:val="0"/>
          <w:marTop w:val="0"/>
          <w:marBottom w:val="0"/>
          <w:divBdr>
            <w:top w:val="none" w:sz="0" w:space="0" w:color="auto"/>
            <w:left w:val="none" w:sz="0" w:space="0" w:color="auto"/>
            <w:bottom w:val="none" w:sz="0" w:space="0" w:color="auto"/>
            <w:right w:val="none" w:sz="0" w:space="0" w:color="auto"/>
          </w:divBdr>
        </w:div>
        <w:div w:id="1300066735">
          <w:marLeft w:val="640"/>
          <w:marRight w:val="0"/>
          <w:marTop w:val="0"/>
          <w:marBottom w:val="0"/>
          <w:divBdr>
            <w:top w:val="none" w:sz="0" w:space="0" w:color="auto"/>
            <w:left w:val="none" w:sz="0" w:space="0" w:color="auto"/>
            <w:bottom w:val="none" w:sz="0" w:space="0" w:color="auto"/>
            <w:right w:val="none" w:sz="0" w:space="0" w:color="auto"/>
          </w:divBdr>
        </w:div>
        <w:div w:id="2009863438">
          <w:marLeft w:val="640"/>
          <w:marRight w:val="0"/>
          <w:marTop w:val="0"/>
          <w:marBottom w:val="0"/>
          <w:divBdr>
            <w:top w:val="none" w:sz="0" w:space="0" w:color="auto"/>
            <w:left w:val="none" w:sz="0" w:space="0" w:color="auto"/>
            <w:bottom w:val="none" w:sz="0" w:space="0" w:color="auto"/>
            <w:right w:val="none" w:sz="0" w:space="0" w:color="auto"/>
          </w:divBdr>
        </w:div>
        <w:div w:id="1086731180">
          <w:marLeft w:val="640"/>
          <w:marRight w:val="0"/>
          <w:marTop w:val="0"/>
          <w:marBottom w:val="0"/>
          <w:divBdr>
            <w:top w:val="none" w:sz="0" w:space="0" w:color="auto"/>
            <w:left w:val="none" w:sz="0" w:space="0" w:color="auto"/>
            <w:bottom w:val="none" w:sz="0" w:space="0" w:color="auto"/>
            <w:right w:val="none" w:sz="0" w:space="0" w:color="auto"/>
          </w:divBdr>
        </w:div>
        <w:div w:id="1892576548">
          <w:marLeft w:val="640"/>
          <w:marRight w:val="0"/>
          <w:marTop w:val="0"/>
          <w:marBottom w:val="0"/>
          <w:divBdr>
            <w:top w:val="none" w:sz="0" w:space="0" w:color="auto"/>
            <w:left w:val="none" w:sz="0" w:space="0" w:color="auto"/>
            <w:bottom w:val="none" w:sz="0" w:space="0" w:color="auto"/>
            <w:right w:val="none" w:sz="0" w:space="0" w:color="auto"/>
          </w:divBdr>
        </w:div>
        <w:div w:id="682169906">
          <w:marLeft w:val="640"/>
          <w:marRight w:val="0"/>
          <w:marTop w:val="0"/>
          <w:marBottom w:val="0"/>
          <w:divBdr>
            <w:top w:val="none" w:sz="0" w:space="0" w:color="auto"/>
            <w:left w:val="none" w:sz="0" w:space="0" w:color="auto"/>
            <w:bottom w:val="none" w:sz="0" w:space="0" w:color="auto"/>
            <w:right w:val="none" w:sz="0" w:space="0" w:color="auto"/>
          </w:divBdr>
        </w:div>
        <w:div w:id="471406960">
          <w:marLeft w:val="640"/>
          <w:marRight w:val="0"/>
          <w:marTop w:val="0"/>
          <w:marBottom w:val="0"/>
          <w:divBdr>
            <w:top w:val="none" w:sz="0" w:space="0" w:color="auto"/>
            <w:left w:val="none" w:sz="0" w:space="0" w:color="auto"/>
            <w:bottom w:val="none" w:sz="0" w:space="0" w:color="auto"/>
            <w:right w:val="none" w:sz="0" w:space="0" w:color="auto"/>
          </w:divBdr>
        </w:div>
        <w:div w:id="1945266059">
          <w:marLeft w:val="640"/>
          <w:marRight w:val="0"/>
          <w:marTop w:val="0"/>
          <w:marBottom w:val="0"/>
          <w:divBdr>
            <w:top w:val="none" w:sz="0" w:space="0" w:color="auto"/>
            <w:left w:val="none" w:sz="0" w:space="0" w:color="auto"/>
            <w:bottom w:val="none" w:sz="0" w:space="0" w:color="auto"/>
            <w:right w:val="none" w:sz="0" w:space="0" w:color="auto"/>
          </w:divBdr>
        </w:div>
        <w:div w:id="1412046762">
          <w:marLeft w:val="640"/>
          <w:marRight w:val="0"/>
          <w:marTop w:val="0"/>
          <w:marBottom w:val="0"/>
          <w:divBdr>
            <w:top w:val="none" w:sz="0" w:space="0" w:color="auto"/>
            <w:left w:val="none" w:sz="0" w:space="0" w:color="auto"/>
            <w:bottom w:val="none" w:sz="0" w:space="0" w:color="auto"/>
            <w:right w:val="none" w:sz="0" w:space="0" w:color="auto"/>
          </w:divBdr>
        </w:div>
        <w:div w:id="1144154622">
          <w:marLeft w:val="640"/>
          <w:marRight w:val="0"/>
          <w:marTop w:val="0"/>
          <w:marBottom w:val="0"/>
          <w:divBdr>
            <w:top w:val="none" w:sz="0" w:space="0" w:color="auto"/>
            <w:left w:val="none" w:sz="0" w:space="0" w:color="auto"/>
            <w:bottom w:val="none" w:sz="0" w:space="0" w:color="auto"/>
            <w:right w:val="none" w:sz="0" w:space="0" w:color="auto"/>
          </w:divBdr>
        </w:div>
        <w:div w:id="1534611208">
          <w:marLeft w:val="640"/>
          <w:marRight w:val="0"/>
          <w:marTop w:val="0"/>
          <w:marBottom w:val="0"/>
          <w:divBdr>
            <w:top w:val="none" w:sz="0" w:space="0" w:color="auto"/>
            <w:left w:val="none" w:sz="0" w:space="0" w:color="auto"/>
            <w:bottom w:val="none" w:sz="0" w:space="0" w:color="auto"/>
            <w:right w:val="none" w:sz="0" w:space="0" w:color="auto"/>
          </w:divBdr>
        </w:div>
        <w:div w:id="7147757">
          <w:marLeft w:val="640"/>
          <w:marRight w:val="0"/>
          <w:marTop w:val="0"/>
          <w:marBottom w:val="0"/>
          <w:divBdr>
            <w:top w:val="none" w:sz="0" w:space="0" w:color="auto"/>
            <w:left w:val="none" w:sz="0" w:space="0" w:color="auto"/>
            <w:bottom w:val="none" w:sz="0" w:space="0" w:color="auto"/>
            <w:right w:val="none" w:sz="0" w:space="0" w:color="auto"/>
          </w:divBdr>
        </w:div>
        <w:div w:id="1315182113">
          <w:marLeft w:val="640"/>
          <w:marRight w:val="0"/>
          <w:marTop w:val="0"/>
          <w:marBottom w:val="0"/>
          <w:divBdr>
            <w:top w:val="none" w:sz="0" w:space="0" w:color="auto"/>
            <w:left w:val="none" w:sz="0" w:space="0" w:color="auto"/>
            <w:bottom w:val="none" w:sz="0" w:space="0" w:color="auto"/>
            <w:right w:val="none" w:sz="0" w:space="0" w:color="auto"/>
          </w:divBdr>
        </w:div>
        <w:div w:id="198787733">
          <w:marLeft w:val="640"/>
          <w:marRight w:val="0"/>
          <w:marTop w:val="0"/>
          <w:marBottom w:val="0"/>
          <w:divBdr>
            <w:top w:val="none" w:sz="0" w:space="0" w:color="auto"/>
            <w:left w:val="none" w:sz="0" w:space="0" w:color="auto"/>
            <w:bottom w:val="none" w:sz="0" w:space="0" w:color="auto"/>
            <w:right w:val="none" w:sz="0" w:space="0" w:color="auto"/>
          </w:divBdr>
        </w:div>
        <w:div w:id="1829395622">
          <w:marLeft w:val="640"/>
          <w:marRight w:val="0"/>
          <w:marTop w:val="0"/>
          <w:marBottom w:val="0"/>
          <w:divBdr>
            <w:top w:val="none" w:sz="0" w:space="0" w:color="auto"/>
            <w:left w:val="none" w:sz="0" w:space="0" w:color="auto"/>
            <w:bottom w:val="none" w:sz="0" w:space="0" w:color="auto"/>
            <w:right w:val="none" w:sz="0" w:space="0" w:color="auto"/>
          </w:divBdr>
        </w:div>
        <w:div w:id="2127458706">
          <w:marLeft w:val="640"/>
          <w:marRight w:val="0"/>
          <w:marTop w:val="0"/>
          <w:marBottom w:val="0"/>
          <w:divBdr>
            <w:top w:val="none" w:sz="0" w:space="0" w:color="auto"/>
            <w:left w:val="none" w:sz="0" w:space="0" w:color="auto"/>
            <w:bottom w:val="none" w:sz="0" w:space="0" w:color="auto"/>
            <w:right w:val="none" w:sz="0" w:space="0" w:color="auto"/>
          </w:divBdr>
        </w:div>
        <w:div w:id="138151008">
          <w:marLeft w:val="640"/>
          <w:marRight w:val="0"/>
          <w:marTop w:val="0"/>
          <w:marBottom w:val="0"/>
          <w:divBdr>
            <w:top w:val="none" w:sz="0" w:space="0" w:color="auto"/>
            <w:left w:val="none" w:sz="0" w:space="0" w:color="auto"/>
            <w:bottom w:val="none" w:sz="0" w:space="0" w:color="auto"/>
            <w:right w:val="none" w:sz="0" w:space="0" w:color="auto"/>
          </w:divBdr>
        </w:div>
        <w:div w:id="1877499308">
          <w:marLeft w:val="640"/>
          <w:marRight w:val="0"/>
          <w:marTop w:val="0"/>
          <w:marBottom w:val="0"/>
          <w:divBdr>
            <w:top w:val="none" w:sz="0" w:space="0" w:color="auto"/>
            <w:left w:val="none" w:sz="0" w:space="0" w:color="auto"/>
            <w:bottom w:val="none" w:sz="0" w:space="0" w:color="auto"/>
            <w:right w:val="none" w:sz="0" w:space="0" w:color="auto"/>
          </w:divBdr>
        </w:div>
        <w:div w:id="1117412672">
          <w:marLeft w:val="640"/>
          <w:marRight w:val="0"/>
          <w:marTop w:val="0"/>
          <w:marBottom w:val="0"/>
          <w:divBdr>
            <w:top w:val="none" w:sz="0" w:space="0" w:color="auto"/>
            <w:left w:val="none" w:sz="0" w:space="0" w:color="auto"/>
            <w:bottom w:val="none" w:sz="0" w:space="0" w:color="auto"/>
            <w:right w:val="none" w:sz="0" w:space="0" w:color="auto"/>
          </w:divBdr>
        </w:div>
        <w:div w:id="342514976">
          <w:marLeft w:val="640"/>
          <w:marRight w:val="0"/>
          <w:marTop w:val="0"/>
          <w:marBottom w:val="0"/>
          <w:divBdr>
            <w:top w:val="none" w:sz="0" w:space="0" w:color="auto"/>
            <w:left w:val="none" w:sz="0" w:space="0" w:color="auto"/>
            <w:bottom w:val="none" w:sz="0" w:space="0" w:color="auto"/>
            <w:right w:val="none" w:sz="0" w:space="0" w:color="auto"/>
          </w:divBdr>
        </w:div>
        <w:div w:id="766851405">
          <w:marLeft w:val="640"/>
          <w:marRight w:val="0"/>
          <w:marTop w:val="0"/>
          <w:marBottom w:val="0"/>
          <w:divBdr>
            <w:top w:val="none" w:sz="0" w:space="0" w:color="auto"/>
            <w:left w:val="none" w:sz="0" w:space="0" w:color="auto"/>
            <w:bottom w:val="none" w:sz="0" w:space="0" w:color="auto"/>
            <w:right w:val="none" w:sz="0" w:space="0" w:color="auto"/>
          </w:divBdr>
        </w:div>
        <w:div w:id="1238438922">
          <w:marLeft w:val="640"/>
          <w:marRight w:val="0"/>
          <w:marTop w:val="0"/>
          <w:marBottom w:val="0"/>
          <w:divBdr>
            <w:top w:val="none" w:sz="0" w:space="0" w:color="auto"/>
            <w:left w:val="none" w:sz="0" w:space="0" w:color="auto"/>
            <w:bottom w:val="none" w:sz="0" w:space="0" w:color="auto"/>
            <w:right w:val="none" w:sz="0" w:space="0" w:color="auto"/>
          </w:divBdr>
        </w:div>
        <w:div w:id="1417902797">
          <w:marLeft w:val="640"/>
          <w:marRight w:val="0"/>
          <w:marTop w:val="0"/>
          <w:marBottom w:val="0"/>
          <w:divBdr>
            <w:top w:val="none" w:sz="0" w:space="0" w:color="auto"/>
            <w:left w:val="none" w:sz="0" w:space="0" w:color="auto"/>
            <w:bottom w:val="none" w:sz="0" w:space="0" w:color="auto"/>
            <w:right w:val="none" w:sz="0" w:space="0" w:color="auto"/>
          </w:divBdr>
        </w:div>
        <w:div w:id="1104420466">
          <w:marLeft w:val="640"/>
          <w:marRight w:val="0"/>
          <w:marTop w:val="0"/>
          <w:marBottom w:val="0"/>
          <w:divBdr>
            <w:top w:val="none" w:sz="0" w:space="0" w:color="auto"/>
            <w:left w:val="none" w:sz="0" w:space="0" w:color="auto"/>
            <w:bottom w:val="none" w:sz="0" w:space="0" w:color="auto"/>
            <w:right w:val="none" w:sz="0" w:space="0" w:color="auto"/>
          </w:divBdr>
        </w:div>
        <w:div w:id="86923970">
          <w:marLeft w:val="640"/>
          <w:marRight w:val="0"/>
          <w:marTop w:val="0"/>
          <w:marBottom w:val="0"/>
          <w:divBdr>
            <w:top w:val="none" w:sz="0" w:space="0" w:color="auto"/>
            <w:left w:val="none" w:sz="0" w:space="0" w:color="auto"/>
            <w:bottom w:val="none" w:sz="0" w:space="0" w:color="auto"/>
            <w:right w:val="none" w:sz="0" w:space="0" w:color="auto"/>
          </w:divBdr>
        </w:div>
        <w:div w:id="1485124963">
          <w:marLeft w:val="640"/>
          <w:marRight w:val="0"/>
          <w:marTop w:val="0"/>
          <w:marBottom w:val="0"/>
          <w:divBdr>
            <w:top w:val="none" w:sz="0" w:space="0" w:color="auto"/>
            <w:left w:val="none" w:sz="0" w:space="0" w:color="auto"/>
            <w:bottom w:val="none" w:sz="0" w:space="0" w:color="auto"/>
            <w:right w:val="none" w:sz="0" w:space="0" w:color="auto"/>
          </w:divBdr>
        </w:div>
        <w:div w:id="570778861">
          <w:marLeft w:val="640"/>
          <w:marRight w:val="0"/>
          <w:marTop w:val="0"/>
          <w:marBottom w:val="0"/>
          <w:divBdr>
            <w:top w:val="none" w:sz="0" w:space="0" w:color="auto"/>
            <w:left w:val="none" w:sz="0" w:space="0" w:color="auto"/>
            <w:bottom w:val="none" w:sz="0" w:space="0" w:color="auto"/>
            <w:right w:val="none" w:sz="0" w:space="0" w:color="auto"/>
          </w:divBdr>
        </w:div>
        <w:div w:id="1948850568">
          <w:marLeft w:val="640"/>
          <w:marRight w:val="0"/>
          <w:marTop w:val="0"/>
          <w:marBottom w:val="0"/>
          <w:divBdr>
            <w:top w:val="none" w:sz="0" w:space="0" w:color="auto"/>
            <w:left w:val="none" w:sz="0" w:space="0" w:color="auto"/>
            <w:bottom w:val="none" w:sz="0" w:space="0" w:color="auto"/>
            <w:right w:val="none" w:sz="0" w:space="0" w:color="auto"/>
          </w:divBdr>
        </w:div>
        <w:div w:id="2146969909">
          <w:marLeft w:val="640"/>
          <w:marRight w:val="0"/>
          <w:marTop w:val="0"/>
          <w:marBottom w:val="0"/>
          <w:divBdr>
            <w:top w:val="none" w:sz="0" w:space="0" w:color="auto"/>
            <w:left w:val="none" w:sz="0" w:space="0" w:color="auto"/>
            <w:bottom w:val="none" w:sz="0" w:space="0" w:color="auto"/>
            <w:right w:val="none" w:sz="0" w:space="0" w:color="auto"/>
          </w:divBdr>
        </w:div>
        <w:div w:id="1879464990">
          <w:marLeft w:val="640"/>
          <w:marRight w:val="0"/>
          <w:marTop w:val="0"/>
          <w:marBottom w:val="0"/>
          <w:divBdr>
            <w:top w:val="none" w:sz="0" w:space="0" w:color="auto"/>
            <w:left w:val="none" w:sz="0" w:space="0" w:color="auto"/>
            <w:bottom w:val="none" w:sz="0" w:space="0" w:color="auto"/>
            <w:right w:val="none" w:sz="0" w:space="0" w:color="auto"/>
          </w:divBdr>
        </w:div>
        <w:div w:id="299189928">
          <w:marLeft w:val="640"/>
          <w:marRight w:val="0"/>
          <w:marTop w:val="0"/>
          <w:marBottom w:val="0"/>
          <w:divBdr>
            <w:top w:val="none" w:sz="0" w:space="0" w:color="auto"/>
            <w:left w:val="none" w:sz="0" w:space="0" w:color="auto"/>
            <w:bottom w:val="none" w:sz="0" w:space="0" w:color="auto"/>
            <w:right w:val="none" w:sz="0" w:space="0" w:color="auto"/>
          </w:divBdr>
        </w:div>
        <w:div w:id="1081104978">
          <w:marLeft w:val="640"/>
          <w:marRight w:val="0"/>
          <w:marTop w:val="0"/>
          <w:marBottom w:val="0"/>
          <w:divBdr>
            <w:top w:val="none" w:sz="0" w:space="0" w:color="auto"/>
            <w:left w:val="none" w:sz="0" w:space="0" w:color="auto"/>
            <w:bottom w:val="none" w:sz="0" w:space="0" w:color="auto"/>
            <w:right w:val="none" w:sz="0" w:space="0" w:color="auto"/>
          </w:divBdr>
        </w:div>
        <w:div w:id="572088371">
          <w:marLeft w:val="640"/>
          <w:marRight w:val="0"/>
          <w:marTop w:val="0"/>
          <w:marBottom w:val="0"/>
          <w:divBdr>
            <w:top w:val="none" w:sz="0" w:space="0" w:color="auto"/>
            <w:left w:val="none" w:sz="0" w:space="0" w:color="auto"/>
            <w:bottom w:val="none" w:sz="0" w:space="0" w:color="auto"/>
            <w:right w:val="none" w:sz="0" w:space="0" w:color="auto"/>
          </w:divBdr>
        </w:div>
        <w:div w:id="408625325">
          <w:marLeft w:val="640"/>
          <w:marRight w:val="0"/>
          <w:marTop w:val="0"/>
          <w:marBottom w:val="0"/>
          <w:divBdr>
            <w:top w:val="none" w:sz="0" w:space="0" w:color="auto"/>
            <w:left w:val="none" w:sz="0" w:space="0" w:color="auto"/>
            <w:bottom w:val="none" w:sz="0" w:space="0" w:color="auto"/>
            <w:right w:val="none" w:sz="0" w:space="0" w:color="auto"/>
          </w:divBdr>
        </w:div>
        <w:div w:id="227346571">
          <w:marLeft w:val="640"/>
          <w:marRight w:val="0"/>
          <w:marTop w:val="0"/>
          <w:marBottom w:val="0"/>
          <w:divBdr>
            <w:top w:val="none" w:sz="0" w:space="0" w:color="auto"/>
            <w:left w:val="none" w:sz="0" w:space="0" w:color="auto"/>
            <w:bottom w:val="none" w:sz="0" w:space="0" w:color="auto"/>
            <w:right w:val="none" w:sz="0" w:space="0" w:color="auto"/>
          </w:divBdr>
        </w:div>
        <w:div w:id="1201279435">
          <w:marLeft w:val="640"/>
          <w:marRight w:val="0"/>
          <w:marTop w:val="0"/>
          <w:marBottom w:val="0"/>
          <w:divBdr>
            <w:top w:val="none" w:sz="0" w:space="0" w:color="auto"/>
            <w:left w:val="none" w:sz="0" w:space="0" w:color="auto"/>
            <w:bottom w:val="none" w:sz="0" w:space="0" w:color="auto"/>
            <w:right w:val="none" w:sz="0" w:space="0" w:color="auto"/>
          </w:divBdr>
        </w:div>
        <w:div w:id="743601753">
          <w:marLeft w:val="640"/>
          <w:marRight w:val="0"/>
          <w:marTop w:val="0"/>
          <w:marBottom w:val="0"/>
          <w:divBdr>
            <w:top w:val="none" w:sz="0" w:space="0" w:color="auto"/>
            <w:left w:val="none" w:sz="0" w:space="0" w:color="auto"/>
            <w:bottom w:val="none" w:sz="0" w:space="0" w:color="auto"/>
            <w:right w:val="none" w:sz="0" w:space="0" w:color="auto"/>
          </w:divBdr>
        </w:div>
        <w:div w:id="1782411063">
          <w:marLeft w:val="640"/>
          <w:marRight w:val="0"/>
          <w:marTop w:val="0"/>
          <w:marBottom w:val="0"/>
          <w:divBdr>
            <w:top w:val="none" w:sz="0" w:space="0" w:color="auto"/>
            <w:left w:val="none" w:sz="0" w:space="0" w:color="auto"/>
            <w:bottom w:val="none" w:sz="0" w:space="0" w:color="auto"/>
            <w:right w:val="none" w:sz="0" w:space="0" w:color="auto"/>
          </w:divBdr>
        </w:div>
        <w:div w:id="1109087130">
          <w:marLeft w:val="640"/>
          <w:marRight w:val="0"/>
          <w:marTop w:val="0"/>
          <w:marBottom w:val="0"/>
          <w:divBdr>
            <w:top w:val="none" w:sz="0" w:space="0" w:color="auto"/>
            <w:left w:val="none" w:sz="0" w:space="0" w:color="auto"/>
            <w:bottom w:val="none" w:sz="0" w:space="0" w:color="auto"/>
            <w:right w:val="none" w:sz="0" w:space="0" w:color="auto"/>
          </w:divBdr>
        </w:div>
        <w:div w:id="1510561368">
          <w:marLeft w:val="640"/>
          <w:marRight w:val="0"/>
          <w:marTop w:val="0"/>
          <w:marBottom w:val="0"/>
          <w:divBdr>
            <w:top w:val="none" w:sz="0" w:space="0" w:color="auto"/>
            <w:left w:val="none" w:sz="0" w:space="0" w:color="auto"/>
            <w:bottom w:val="none" w:sz="0" w:space="0" w:color="auto"/>
            <w:right w:val="none" w:sz="0" w:space="0" w:color="auto"/>
          </w:divBdr>
        </w:div>
        <w:div w:id="85735231">
          <w:marLeft w:val="640"/>
          <w:marRight w:val="0"/>
          <w:marTop w:val="0"/>
          <w:marBottom w:val="0"/>
          <w:divBdr>
            <w:top w:val="none" w:sz="0" w:space="0" w:color="auto"/>
            <w:left w:val="none" w:sz="0" w:space="0" w:color="auto"/>
            <w:bottom w:val="none" w:sz="0" w:space="0" w:color="auto"/>
            <w:right w:val="none" w:sz="0" w:space="0" w:color="auto"/>
          </w:divBdr>
        </w:div>
        <w:div w:id="170029544">
          <w:marLeft w:val="640"/>
          <w:marRight w:val="0"/>
          <w:marTop w:val="0"/>
          <w:marBottom w:val="0"/>
          <w:divBdr>
            <w:top w:val="none" w:sz="0" w:space="0" w:color="auto"/>
            <w:left w:val="none" w:sz="0" w:space="0" w:color="auto"/>
            <w:bottom w:val="none" w:sz="0" w:space="0" w:color="auto"/>
            <w:right w:val="none" w:sz="0" w:space="0" w:color="auto"/>
          </w:divBdr>
        </w:div>
        <w:div w:id="1876193566">
          <w:marLeft w:val="640"/>
          <w:marRight w:val="0"/>
          <w:marTop w:val="0"/>
          <w:marBottom w:val="0"/>
          <w:divBdr>
            <w:top w:val="none" w:sz="0" w:space="0" w:color="auto"/>
            <w:left w:val="none" w:sz="0" w:space="0" w:color="auto"/>
            <w:bottom w:val="none" w:sz="0" w:space="0" w:color="auto"/>
            <w:right w:val="none" w:sz="0" w:space="0" w:color="auto"/>
          </w:divBdr>
        </w:div>
        <w:div w:id="930356239">
          <w:marLeft w:val="640"/>
          <w:marRight w:val="0"/>
          <w:marTop w:val="0"/>
          <w:marBottom w:val="0"/>
          <w:divBdr>
            <w:top w:val="none" w:sz="0" w:space="0" w:color="auto"/>
            <w:left w:val="none" w:sz="0" w:space="0" w:color="auto"/>
            <w:bottom w:val="none" w:sz="0" w:space="0" w:color="auto"/>
            <w:right w:val="none" w:sz="0" w:space="0" w:color="auto"/>
          </w:divBdr>
        </w:div>
        <w:div w:id="2043630189">
          <w:marLeft w:val="640"/>
          <w:marRight w:val="0"/>
          <w:marTop w:val="0"/>
          <w:marBottom w:val="0"/>
          <w:divBdr>
            <w:top w:val="none" w:sz="0" w:space="0" w:color="auto"/>
            <w:left w:val="none" w:sz="0" w:space="0" w:color="auto"/>
            <w:bottom w:val="none" w:sz="0" w:space="0" w:color="auto"/>
            <w:right w:val="none" w:sz="0" w:space="0" w:color="auto"/>
          </w:divBdr>
        </w:div>
        <w:div w:id="819418629">
          <w:marLeft w:val="640"/>
          <w:marRight w:val="0"/>
          <w:marTop w:val="0"/>
          <w:marBottom w:val="0"/>
          <w:divBdr>
            <w:top w:val="none" w:sz="0" w:space="0" w:color="auto"/>
            <w:left w:val="none" w:sz="0" w:space="0" w:color="auto"/>
            <w:bottom w:val="none" w:sz="0" w:space="0" w:color="auto"/>
            <w:right w:val="none" w:sz="0" w:space="0" w:color="auto"/>
          </w:divBdr>
        </w:div>
        <w:div w:id="731470342">
          <w:marLeft w:val="640"/>
          <w:marRight w:val="0"/>
          <w:marTop w:val="0"/>
          <w:marBottom w:val="0"/>
          <w:divBdr>
            <w:top w:val="none" w:sz="0" w:space="0" w:color="auto"/>
            <w:left w:val="none" w:sz="0" w:space="0" w:color="auto"/>
            <w:bottom w:val="none" w:sz="0" w:space="0" w:color="auto"/>
            <w:right w:val="none" w:sz="0" w:space="0" w:color="auto"/>
          </w:divBdr>
        </w:div>
        <w:div w:id="1308781455">
          <w:marLeft w:val="640"/>
          <w:marRight w:val="0"/>
          <w:marTop w:val="0"/>
          <w:marBottom w:val="0"/>
          <w:divBdr>
            <w:top w:val="none" w:sz="0" w:space="0" w:color="auto"/>
            <w:left w:val="none" w:sz="0" w:space="0" w:color="auto"/>
            <w:bottom w:val="none" w:sz="0" w:space="0" w:color="auto"/>
            <w:right w:val="none" w:sz="0" w:space="0" w:color="auto"/>
          </w:divBdr>
        </w:div>
        <w:div w:id="1812482282">
          <w:marLeft w:val="640"/>
          <w:marRight w:val="0"/>
          <w:marTop w:val="0"/>
          <w:marBottom w:val="0"/>
          <w:divBdr>
            <w:top w:val="none" w:sz="0" w:space="0" w:color="auto"/>
            <w:left w:val="none" w:sz="0" w:space="0" w:color="auto"/>
            <w:bottom w:val="none" w:sz="0" w:space="0" w:color="auto"/>
            <w:right w:val="none" w:sz="0" w:space="0" w:color="auto"/>
          </w:divBdr>
        </w:div>
        <w:div w:id="1766416925">
          <w:marLeft w:val="640"/>
          <w:marRight w:val="0"/>
          <w:marTop w:val="0"/>
          <w:marBottom w:val="0"/>
          <w:divBdr>
            <w:top w:val="none" w:sz="0" w:space="0" w:color="auto"/>
            <w:left w:val="none" w:sz="0" w:space="0" w:color="auto"/>
            <w:bottom w:val="none" w:sz="0" w:space="0" w:color="auto"/>
            <w:right w:val="none" w:sz="0" w:space="0" w:color="auto"/>
          </w:divBdr>
        </w:div>
        <w:div w:id="437261450">
          <w:marLeft w:val="640"/>
          <w:marRight w:val="0"/>
          <w:marTop w:val="0"/>
          <w:marBottom w:val="0"/>
          <w:divBdr>
            <w:top w:val="none" w:sz="0" w:space="0" w:color="auto"/>
            <w:left w:val="none" w:sz="0" w:space="0" w:color="auto"/>
            <w:bottom w:val="none" w:sz="0" w:space="0" w:color="auto"/>
            <w:right w:val="none" w:sz="0" w:space="0" w:color="auto"/>
          </w:divBdr>
        </w:div>
        <w:div w:id="233273272">
          <w:marLeft w:val="640"/>
          <w:marRight w:val="0"/>
          <w:marTop w:val="0"/>
          <w:marBottom w:val="0"/>
          <w:divBdr>
            <w:top w:val="none" w:sz="0" w:space="0" w:color="auto"/>
            <w:left w:val="none" w:sz="0" w:space="0" w:color="auto"/>
            <w:bottom w:val="none" w:sz="0" w:space="0" w:color="auto"/>
            <w:right w:val="none" w:sz="0" w:space="0" w:color="auto"/>
          </w:divBdr>
        </w:div>
        <w:div w:id="1934168101">
          <w:marLeft w:val="640"/>
          <w:marRight w:val="0"/>
          <w:marTop w:val="0"/>
          <w:marBottom w:val="0"/>
          <w:divBdr>
            <w:top w:val="none" w:sz="0" w:space="0" w:color="auto"/>
            <w:left w:val="none" w:sz="0" w:space="0" w:color="auto"/>
            <w:bottom w:val="none" w:sz="0" w:space="0" w:color="auto"/>
            <w:right w:val="none" w:sz="0" w:space="0" w:color="auto"/>
          </w:divBdr>
        </w:div>
        <w:div w:id="1952741504">
          <w:marLeft w:val="640"/>
          <w:marRight w:val="0"/>
          <w:marTop w:val="0"/>
          <w:marBottom w:val="0"/>
          <w:divBdr>
            <w:top w:val="none" w:sz="0" w:space="0" w:color="auto"/>
            <w:left w:val="none" w:sz="0" w:space="0" w:color="auto"/>
            <w:bottom w:val="none" w:sz="0" w:space="0" w:color="auto"/>
            <w:right w:val="none" w:sz="0" w:space="0" w:color="auto"/>
          </w:divBdr>
        </w:div>
        <w:div w:id="2086029561">
          <w:marLeft w:val="640"/>
          <w:marRight w:val="0"/>
          <w:marTop w:val="0"/>
          <w:marBottom w:val="0"/>
          <w:divBdr>
            <w:top w:val="none" w:sz="0" w:space="0" w:color="auto"/>
            <w:left w:val="none" w:sz="0" w:space="0" w:color="auto"/>
            <w:bottom w:val="none" w:sz="0" w:space="0" w:color="auto"/>
            <w:right w:val="none" w:sz="0" w:space="0" w:color="auto"/>
          </w:divBdr>
        </w:div>
        <w:div w:id="97720922">
          <w:marLeft w:val="640"/>
          <w:marRight w:val="0"/>
          <w:marTop w:val="0"/>
          <w:marBottom w:val="0"/>
          <w:divBdr>
            <w:top w:val="none" w:sz="0" w:space="0" w:color="auto"/>
            <w:left w:val="none" w:sz="0" w:space="0" w:color="auto"/>
            <w:bottom w:val="none" w:sz="0" w:space="0" w:color="auto"/>
            <w:right w:val="none" w:sz="0" w:space="0" w:color="auto"/>
          </w:divBdr>
        </w:div>
        <w:div w:id="208808539">
          <w:marLeft w:val="640"/>
          <w:marRight w:val="0"/>
          <w:marTop w:val="0"/>
          <w:marBottom w:val="0"/>
          <w:divBdr>
            <w:top w:val="none" w:sz="0" w:space="0" w:color="auto"/>
            <w:left w:val="none" w:sz="0" w:space="0" w:color="auto"/>
            <w:bottom w:val="none" w:sz="0" w:space="0" w:color="auto"/>
            <w:right w:val="none" w:sz="0" w:space="0" w:color="auto"/>
          </w:divBdr>
        </w:div>
        <w:div w:id="1734356320">
          <w:marLeft w:val="640"/>
          <w:marRight w:val="0"/>
          <w:marTop w:val="0"/>
          <w:marBottom w:val="0"/>
          <w:divBdr>
            <w:top w:val="none" w:sz="0" w:space="0" w:color="auto"/>
            <w:left w:val="none" w:sz="0" w:space="0" w:color="auto"/>
            <w:bottom w:val="none" w:sz="0" w:space="0" w:color="auto"/>
            <w:right w:val="none" w:sz="0" w:space="0" w:color="auto"/>
          </w:divBdr>
        </w:div>
        <w:div w:id="1481265822">
          <w:marLeft w:val="640"/>
          <w:marRight w:val="0"/>
          <w:marTop w:val="0"/>
          <w:marBottom w:val="0"/>
          <w:divBdr>
            <w:top w:val="none" w:sz="0" w:space="0" w:color="auto"/>
            <w:left w:val="none" w:sz="0" w:space="0" w:color="auto"/>
            <w:bottom w:val="none" w:sz="0" w:space="0" w:color="auto"/>
            <w:right w:val="none" w:sz="0" w:space="0" w:color="auto"/>
          </w:divBdr>
        </w:div>
        <w:div w:id="90785832">
          <w:marLeft w:val="640"/>
          <w:marRight w:val="0"/>
          <w:marTop w:val="0"/>
          <w:marBottom w:val="0"/>
          <w:divBdr>
            <w:top w:val="none" w:sz="0" w:space="0" w:color="auto"/>
            <w:left w:val="none" w:sz="0" w:space="0" w:color="auto"/>
            <w:bottom w:val="none" w:sz="0" w:space="0" w:color="auto"/>
            <w:right w:val="none" w:sz="0" w:space="0" w:color="auto"/>
          </w:divBdr>
        </w:div>
        <w:div w:id="1452435485">
          <w:marLeft w:val="640"/>
          <w:marRight w:val="0"/>
          <w:marTop w:val="0"/>
          <w:marBottom w:val="0"/>
          <w:divBdr>
            <w:top w:val="none" w:sz="0" w:space="0" w:color="auto"/>
            <w:left w:val="none" w:sz="0" w:space="0" w:color="auto"/>
            <w:bottom w:val="none" w:sz="0" w:space="0" w:color="auto"/>
            <w:right w:val="none" w:sz="0" w:space="0" w:color="auto"/>
          </w:divBdr>
        </w:div>
        <w:div w:id="1333877040">
          <w:marLeft w:val="640"/>
          <w:marRight w:val="0"/>
          <w:marTop w:val="0"/>
          <w:marBottom w:val="0"/>
          <w:divBdr>
            <w:top w:val="none" w:sz="0" w:space="0" w:color="auto"/>
            <w:left w:val="none" w:sz="0" w:space="0" w:color="auto"/>
            <w:bottom w:val="none" w:sz="0" w:space="0" w:color="auto"/>
            <w:right w:val="none" w:sz="0" w:space="0" w:color="auto"/>
          </w:divBdr>
        </w:div>
        <w:div w:id="446587755">
          <w:marLeft w:val="640"/>
          <w:marRight w:val="0"/>
          <w:marTop w:val="0"/>
          <w:marBottom w:val="0"/>
          <w:divBdr>
            <w:top w:val="none" w:sz="0" w:space="0" w:color="auto"/>
            <w:left w:val="none" w:sz="0" w:space="0" w:color="auto"/>
            <w:bottom w:val="none" w:sz="0" w:space="0" w:color="auto"/>
            <w:right w:val="none" w:sz="0" w:space="0" w:color="auto"/>
          </w:divBdr>
        </w:div>
        <w:div w:id="480855898">
          <w:marLeft w:val="640"/>
          <w:marRight w:val="0"/>
          <w:marTop w:val="0"/>
          <w:marBottom w:val="0"/>
          <w:divBdr>
            <w:top w:val="none" w:sz="0" w:space="0" w:color="auto"/>
            <w:left w:val="none" w:sz="0" w:space="0" w:color="auto"/>
            <w:bottom w:val="none" w:sz="0" w:space="0" w:color="auto"/>
            <w:right w:val="none" w:sz="0" w:space="0" w:color="auto"/>
          </w:divBdr>
        </w:div>
        <w:div w:id="1994213591">
          <w:marLeft w:val="640"/>
          <w:marRight w:val="0"/>
          <w:marTop w:val="0"/>
          <w:marBottom w:val="0"/>
          <w:divBdr>
            <w:top w:val="none" w:sz="0" w:space="0" w:color="auto"/>
            <w:left w:val="none" w:sz="0" w:space="0" w:color="auto"/>
            <w:bottom w:val="none" w:sz="0" w:space="0" w:color="auto"/>
            <w:right w:val="none" w:sz="0" w:space="0" w:color="auto"/>
          </w:divBdr>
        </w:div>
        <w:div w:id="85856601">
          <w:marLeft w:val="640"/>
          <w:marRight w:val="0"/>
          <w:marTop w:val="0"/>
          <w:marBottom w:val="0"/>
          <w:divBdr>
            <w:top w:val="none" w:sz="0" w:space="0" w:color="auto"/>
            <w:left w:val="none" w:sz="0" w:space="0" w:color="auto"/>
            <w:bottom w:val="none" w:sz="0" w:space="0" w:color="auto"/>
            <w:right w:val="none" w:sz="0" w:space="0" w:color="auto"/>
          </w:divBdr>
        </w:div>
        <w:div w:id="572280568">
          <w:marLeft w:val="640"/>
          <w:marRight w:val="0"/>
          <w:marTop w:val="0"/>
          <w:marBottom w:val="0"/>
          <w:divBdr>
            <w:top w:val="none" w:sz="0" w:space="0" w:color="auto"/>
            <w:left w:val="none" w:sz="0" w:space="0" w:color="auto"/>
            <w:bottom w:val="none" w:sz="0" w:space="0" w:color="auto"/>
            <w:right w:val="none" w:sz="0" w:space="0" w:color="auto"/>
          </w:divBdr>
        </w:div>
        <w:div w:id="761144252">
          <w:marLeft w:val="640"/>
          <w:marRight w:val="0"/>
          <w:marTop w:val="0"/>
          <w:marBottom w:val="0"/>
          <w:divBdr>
            <w:top w:val="none" w:sz="0" w:space="0" w:color="auto"/>
            <w:left w:val="none" w:sz="0" w:space="0" w:color="auto"/>
            <w:bottom w:val="none" w:sz="0" w:space="0" w:color="auto"/>
            <w:right w:val="none" w:sz="0" w:space="0" w:color="auto"/>
          </w:divBdr>
        </w:div>
        <w:div w:id="1924021245">
          <w:marLeft w:val="640"/>
          <w:marRight w:val="0"/>
          <w:marTop w:val="0"/>
          <w:marBottom w:val="0"/>
          <w:divBdr>
            <w:top w:val="none" w:sz="0" w:space="0" w:color="auto"/>
            <w:left w:val="none" w:sz="0" w:space="0" w:color="auto"/>
            <w:bottom w:val="none" w:sz="0" w:space="0" w:color="auto"/>
            <w:right w:val="none" w:sz="0" w:space="0" w:color="auto"/>
          </w:divBdr>
        </w:div>
        <w:div w:id="2140759448">
          <w:marLeft w:val="640"/>
          <w:marRight w:val="0"/>
          <w:marTop w:val="0"/>
          <w:marBottom w:val="0"/>
          <w:divBdr>
            <w:top w:val="none" w:sz="0" w:space="0" w:color="auto"/>
            <w:left w:val="none" w:sz="0" w:space="0" w:color="auto"/>
            <w:bottom w:val="none" w:sz="0" w:space="0" w:color="auto"/>
            <w:right w:val="none" w:sz="0" w:space="0" w:color="auto"/>
          </w:divBdr>
        </w:div>
        <w:div w:id="815610949">
          <w:marLeft w:val="640"/>
          <w:marRight w:val="0"/>
          <w:marTop w:val="0"/>
          <w:marBottom w:val="0"/>
          <w:divBdr>
            <w:top w:val="none" w:sz="0" w:space="0" w:color="auto"/>
            <w:left w:val="none" w:sz="0" w:space="0" w:color="auto"/>
            <w:bottom w:val="none" w:sz="0" w:space="0" w:color="auto"/>
            <w:right w:val="none" w:sz="0" w:space="0" w:color="auto"/>
          </w:divBdr>
        </w:div>
        <w:div w:id="1066686433">
          <w:marLeft w:val="640"/>
          <w:marRight w:val="0"/>
          <w:marTop w:val="0"/>
          <w:marBottom w:val="0"/>
          <w:divBdr>
            <w:top w:val="none" w:sz="0" w:space="0" w:color="auto"/>
            <w:left w:val="none" w:sz="0" w:space="0" w:color="auto"/>
            <w:bottom w:val="none" w:sz="0" w:space="0" w:color="auto"/>
            <w:right w:val="none" w:sz="0" w:space="0" w:color="auto"/>
          </w:divBdr>
        </w:div>
        <w:div w:id="1750687731">
          <w:marLeft w:val="640"/>
          <w:marRight w:val="0"/>
          <w:marTop w:val="0"/>
          <w:marBottom w:val="0"/>
          <w:divBdr>
            <w:top w:val="none" w:sz="0" w:space="0" w:color="auto"/>
            <w:left w:val="none" w:sz="0" w:space="0" w:color="auto"/>
            <w:bottom w:val="none" w:sz="0" w:space="0" w:color="auto"/>
            <w:right w:val="none" w:sz="0" w:space="0" w:color="auto"/>
          </w:divBdr>
        </w:div>
        <w:div w:id="583224437">
          <w:marLeft w:val="640"/>
          <w:marRight w:val="0"/>
          <w:marTop w:val="0"/>
          <w:marBottom w:val="0"/>
          <w:divBdr>
            <w:top w:val="none" w:sz="0" w:space="0" w:color="auto"/>
            <w:left w:val="none" w:sz="0" w:space="0" w:color="auto"/>
            <w:bottom w:val="none" w:sz="0" w:space="0" w:color="auto"/>
            <w:right w:val="none" w:sz="0" w:space="0" w:color="auto"/>
          </w:divBdr>
        </w:div>
        <w:div w:id="858590157">
          <w:marLeft w:val="640"/>
          <w:marRight w:val="0"/>
          <w:marTop w:val="0"/>
          <w:marBottom w:val="0"/>
          <w:divBdr>
            <w:top w:val="none" w:sz="0" w:space="0" w:color="auto"/>
            <w:left w:val="none" w:sz="0" w:space="0" w:color="auto"/>
            <w:bottom w:val="none" w:sz="0" w:space="0" w:color="auto"/>
            <w:right w:val="none" w:sz="0" w:space="0" w:color="auto"/>
          </w:divBdr>
        </w:div>
        <w:div w:id="959337764">
          <w:marLeft w:val="640"/>
          <w:marRight w:val="0"/>
          <w:marTop w:val="0"/>
          <w:marBottom w:val="0"/>
          <w:divBdr>
            <w:top w:val="none" w:sz="0" w:space="0" w:color="auto"/>
            <w:left w:val="none" w:sz="0" w:space="0" w:color="auto"/>
            <w:bottom w:val="none" w:sz="0" w:space="0" w:color="auto"/>
            <w:right w:val="none" w:sz="0" w:space="0" w:color="auto"/>
          </w:divBdr>
        </w:div>
        <w:div w:id="1734885252">
          <w:marLeft w:val="640"/>
          <w:marRight w:val="0"/>
          <w:marTop w:val="0"/>
          <w:marBottom w:val="0"/>
          <w:divBdr>
            <w:top w:val="none" w:sz="0" w:space="0" w:color="auto"/>
            <w:left w:val="none" w:sz="0" w:space="0" w:color="auto"/>
            <w:bottom w:val="none" w:sz="0" w:space="0" w:color="auto"/>
            <w:right w:val="none" w:sz="0" w:space="0" w:color="auto"/>
          </w:divBdr>
        </w:div>
        <w:div w:id="1066954212">
          <w:marLeft w:val="640"/>
          <w:marRight w:val="0"/>
          <w:marTop w:val="0"/>
          <w:marBottom w:val="0"/>
          <w:divBdr>
            <w:top w:val="none" w:sz="0" w:space="0" w:color="auto"/>
            <w:left w:val="none" w:sz="0" w:space="0" w:color="auto"/>
            <w:bottom w:val="none" w:sz="0" w:space="0" w:color="auto"/>
            <w:right w:val="none" w:sz="0" w:space="0" w:color="auto"/>
          </w:divBdr>
        </w:div>
        <w:div w:id="1845047783">
          <w:marLeft w:val="640"/>
          <w:marRight w:val="0"/>
          <w:marTop w:val="0"/>
          <w:marBottom w:val="0"/>
          <w:divBdr>
            <w:top w:val="none" w:sz="0" w:space="0" w:color="auto"/>
            <w:left w:val="none" w:sz="0" w:space="0" w:color="auto"/>
            <w:bottom w:val="none" w:sz="0" w:space="0" w:color="auto"/>
            <w:right w:val="none" w:sz="0" w:space="0" w:color="auto"/>
          </w:divBdr>
        </w:div>
        <w:div w:id="309214771">
          <w:marLeft w:val="640"/>
          <w:marRight w:val="0"/>
          <w:marTop w:val="0"/>
          <w:marBottom w:val="0"/>
          <w:divBdr>
            <w:top w:val="none" w:sz="0" w:space="0" w:color="auto"/>
            <w:left w:val="none" w:sz="0" w:space="0" w:color="auto"/>
            <w:bottom w:val="none" w:sz="0" w:space="0" w:color="auto"/>
            <w:right w:val="none" w:sz="0" w:space="0" w:color="auto"/>
          </w:divBdr>
        </w:div>
        <w:div w:id="1408379540">
          <w:marLeft w:val="640"/>
          <w:marRight w:val="0"/>
          <w:marTop w:val="0"/>
          <w:marBottom w:val="0"/>
          <w:divBdr>
            <w:top w:val="none" w:sz="0" w:space="0" w:color="auto"/>
            <w:left w:val="none" w:sz="0" w:space="0" w:color="auto"/>
            <w:bottom w:val="none" w:sz="0" w:space="0" w:color="auto"/>
            <w:right w:val="none" w:sz="0" w:space="0" w:color="auto"/>
          </w:divBdr>
        </w:div>
        <w:div w:id="2010282006">
          <w:marLeft w:val="640"/>
          <w:marRight w:val="0"/>
          <w:marTop w:val="0"/>
          <w:marBottom w:val="0"/>
          <w:divBdr>
            <w:top w:val="none" w:sz="0" w:space="0" w:color="auto"/>
            <w:left w:val="none" w:sz="0" w:space="0" w:color="auto"/>
            <w:bottom w:val="none" w:sz="0" w:space="0" w:color="auto"/>
            <w:right w:val="none" w:sz="0" w:space="0" w:color="auto"/>
          </w:divBdr>
        </w:div>
        <w:div w:id="466511100">
          <w:marLeft w:val="640"/>
          <w:marRight w:val="0"/>
          <w:marTop w:val="0"/>
          <w:marBottom w:val="0"/>
          <w:divBdr>
            <w:top w:val="none" w:sz="0" w:space="0" w:color="auto"/>
            <w:left w:val="none" w:sz="0" w:space="0" w:color="auto"/>
            <w:bottom w:val="none" w:sz="0" w:space="0" w:color="auto"/>
            <w:right w:val="none" w:sz="0" w:space="0" w:color="auto"/>
          </w:divBdr>
        </w:div>
        <w:div w:id="749431003">
          <w:marLeft w:val="640"/>
          <w:marRight w:val="0"/>
          <w:marTop w:val="0"/>
          <w:marBottom w:val="0"/>
          <w:divBdr>
            <w:top w:val="none" w:sz="0" w:space="0" w:color="auto"/>
            <w:left w:val="none" w:sz="0" w:space="0" w:color="auto"/>
            <w:bottom w:val="none" w:sz="0" w:space="0" w:color="auto"/>
            <w:right w:val="none" w:sz="0" w:space="0" w:color="auto"/>
          </w:divBdr>
        </w:div>
        <w:div w:id="1245185555">
          <w:marLeft w:val="640"/>
          <w:marRight w:val="0"/>
          <w:marTop w:val="0"/>
          <w:marBottom w:val="0"/>
          <w:divBdr>
            <w:top w:val="none" w:sz="0" w:space="0" w:color="auto"/>
            <w:left w:val="none" w:sz="0" w:space="0" w:color="auto"/>
            <w:bottom w:val="none" w:sz="0" w:space="0" w:color="auto"/>
            <w:right w:val="none" w:sz="0" w:space="0" w:color="auto"/>
          </w:divBdr>
        </w:div>
        <w:div w:id="332464179">
          <w:marLeft w:val="640"/>
          <w:marRight w:val="0"/>
          <w:marTop w:val="0"/>
          <w:marBottom w:val="0"/>
          <w:divBdr>
            <w:top w:val="none" w:sz="0" w:space="0" w:color="auto"/>
            <w:left w:val="none" w:sz="0" w:space="0" w:color="auto"/>
            <w:bottom w:val="none" w:sz="0" w:space="0" w:color="auto"/>
            <w:right w:val="none" w:sz="0" w:space="0" w:color="auto"/>
          </w:divBdr>
        </w:div>
        <w:div w:id="825514480">
          <w:marLeft w:val="640"/>
          <w:marRight w:val="0"/>
          <w:marTop w:val="0"/>
          <w:marBottom w:val="0"/>
          <w:divBdr>
            <w:top w:val="none" w:sz="0" w:space="0" w:color="auto"/>
            <w:left w:val="none" w:sz="0" w:space="0" w:color="auto"/>
            <w:bottom w:val="none" w:sz="0" w:space="0" w:color="auto"/>
            <w:right w:val="none" w:sz="0" w:space="0" w:color="auto"/>
          </w:divBdr>
        </w:div>
        <w:div w:id="1665166320">
          <w:marLeft w:val="640"/>
          <w:marRight w:val="0"/>
          <w:marTop w:val="0"/>
          <w:marBottom w:val="0"/>
          <w:divBdr>
            <w:top w:val="none" w:sz="0" w:space="0" w:color="auto"/>
            <w:left w:val="none" w:sz="0" w:space="0" w:color="auto"/>
            <w:bottom w:val="none" w:sz="0" w:space="0" w:color="auto"/>
            <w:right w:val="none" w:sz="0" w:space="0" w:color="auto"/>
          </w:divBdr>
        </w:div>
        <w:div w:id="1887597073">
          <w:marLeft w:val="640"/>
          <w:marRight w:val="0"/>
          <w:marTop w:val="0"/>
          <w:marBottom w:val="0"/>
          <w:divBdr>
            <w:top w:val="none" w:sz="0" w:space="0" w:color="auto"/>
            <w:left w:val="none" w:sz="0" w:space="0" w:color="auto"/>
            <w:bottom w:val="none" w:sz="0" w:space="0" w:color="auto"/>
            <w:right w:val="none" w:sz="0" w:space="0" w:color="auto"/>
          </w:divBdr>
        </w:div>
        <w:div w:id="468476819">
          <w:marLeft w:val="640"/>
          <w:marRight w:val="0"/>
          <w:marTop w:val="0"/>
          <w:marBottom w:val="0"/>
          <w:divBdr>
            <w:top w:val="none" w:sz="0" w:space="0" w:color="auto"/>
            <w:left w:val="none" w:sz="0" w:space="0" w:color="auto"/>
            <w:bottom w:val="none" w:sz="0" w:space="0" w:color="auto"/>
            <w:right w:val="none" w:sz="0" w:space="0" w:color="auto"/>
          </w:divBdr>
        </w:div>
        <w:div w:id="483472643">
          <w:marLeft w:val="640"/>
          <w:marRight w:val="0"/>
          <w:marTop w:val="0"/>
          <w:marBottom w:val="0"/>
          <w:divBdr>
            <w:top w:val="none" w:sz="0" w:space="0" w:color="auto"/>
            <w:left w:val="none" w:sz="0" w:space="0" w:color="auto"/>
            <w:bottom w:val="none" w:sz="0" w:space="0" w:color="auto"/>
            <w:right w:val="none" w:sz="0" w:space="0" w:color="auto"/>
          </w:divBdr>
        </w:div>
        <w:div w:id="1259871249">
          <w:marLeft w:val="640"/>
          <w:marRight w:val="0"/>
          <w:marTop w:val="0"/>
          <w:marBottom w:val="0"/>
          <w:divBdr>
            <w:top w:val="none" w:sz="0" w:space="0" w:color="auto"/>
            <w:left w:val="none" w:sz="0" w:space="0" w:color="auto"/>
            <w:bottom w:val="none" w:sz="0" w:space="0" w:color="auto"/>
            <w:right w:val="none" w:sz="0" w:space="0" w:color="auto"/>
          </w:divBdr>
        </w:div>
        <w:div w:id="920722818">
          <w:marLeft w:val="640"/>
          <w:marRight w:val="0"/>
          <w:marTop w:val="0"/>
          <w:marBottom w:val="0"/>
          <w:divBdr>
            <w:top w:val="none" w:sz="0" w:space="0" w:color="auto"/>
            <w:left w:val="none" w:sz="0" w:space="0" w:color="auto"/>
            <w:bottom w:val="none" w:sz="0" w:space="0" w:color="auto"/>
            <w:right w:val="none" w:sz="0" w:space="0" w:color="auto"/>
          </w:divBdr>
        </w:div>
        <w:div w:id="57486079">
          <w:marLeft w:val="640"/>
          <w:marRight w:val="0"/>
          <w:marTop w:val="0"/>
          <w:marBottom w:val="0"/>
          <w:divBdr>
            <w:top w:val="none" w:sz="0" w:space="0" w:color="auto"/>
            <w:left w:val="none" w:sz="0" w:space="0" w:color="auto"/>
            <w:bottom w:val="none" w:sz="0" w:space="0" w:color="auto"/>
            <w:right w:val="none" w:sz="0" w:space="0" w:color="auto"/>
          </w:divBdr>
        </w:div>
        <w:div w:id="487403543">
          <w:marLeft w:val="640"/>
          <w:marRight w:val="0"/>
          <w:marTop w:val="0"/>
          <w:marBottom w:val="0"/>
          <w:divBdr>
            <w:top w:val="none" w:sz="0" w:space="0" w:color="auto"/>
            <w:left w:val="none" w:sz="0" w:space="0" w:color="auto"/>
            <w:bottom w:val="none" w:sz="0" w:space="0" w:color="auto"/>
            <w:right w:val="none" w:sz="0" w:space="0" w:color="auto"/>
          </w:divBdr>
        </w:div>
        <w:div w:id="2031908653">
          <w:marLeft w:val="640"/>
          <w:marRight w:val="0"/>
          <w:marTop w:val="0"/>
          <w:marBottom w:val="0"/>
          <w:divBdr>
            <w:top w:val="none" w:sz="0" w:space="0" w:color="auto"/>
            <w:left w:val="none" w:sz="0" w:space="0" w:color="auto"/>
            <w:bottom w:val="none" w:sz="0" w:space="0" w:color="auto"/>
            <w:right w:val="none" w:sz="0" w:space="0" w:color="auto"/>
          </w:divBdr>
        </w:div>
        <w:div w:id="471102308">
          <w:marLeft w:val="640"/>
          <w:marRight w:val="0"/>
          <w:marTop w:val="0"/>
          <w:marBottom w:val="0"/>
          <w:divBdr>
            <w:top w:val="none" w:sz="0" w:space="0" w:color="auto"/>
            <w:left w:val="none" w:sz="0" w:space="0" w:color="auto"/>
            <w:bottom w:val="none" w:sz="0" w:space="0" w:color="auto"/>
            <w:right w:val="none" w:sz="0" w:space="0" w:color="auto"/>
          </w:divBdr>
        </w:div>
        <w:div w:id="1762528714">
          <w:marLeft w:val="640"/>
          <w:marRight w:val="0"/>
          <w:marTop w:val="0"/>
          <w:marBottom w:val="0"/>
          <w:divBdr>
            <w:top w:val="none" w:sz="0" w:space="0" w:color="auto"/>
            <w:left w:val="none" w:sz="0" w:space="0" w:color="auto"/>
            <w:bottom w:val="none" w:sz="0" w:space="0" w:color="auto"/>
            <w:right w:val="none" w:sz="0" w:space="0" w:color="auto"/>
          </w:divBdr>
        </w:div>
        <w:div w:id="2075004318">
          <w:marLeft w:val="640"/>
          <w:marRight w:val="0"/>
          <w:marTop w:val="0"/>
          <w:marBottom w:val="0"/>
          <w:divBdr>
            <w:top w:val="none" w:sz="0" w:space="0" w:color="auto"/>
            <w:left w:val="none" w:sz="0" w:space="0" w:color="auto"/>
            <w:bottom w:val="none" w:sz="0" w:space="0" w:color="auto"/>
            <w:right w:val="none" w:sz="0" w:space="0" w:color="auto"/>
          </w:divBdr>
        </w:div>
        <w:div w:id="4134979">
          <w:marLeft w:val="640"/>
          <w:marRight w:val="0"/>
          <w:marTop w:val="0"/>
          <w:marBottom w:val="0"/>
          <w:divBdr>
            <w:top w:val="none" w:sz="0" w:space="0" w:color="auto"/>
            <w:left w:val="none" w:sz="0" w:space="0" w:color="auto"/>
            <w:bottom w:val="none" w:sz="0" w:space="0" w:color="auto"/>
            <w:right w:val="none" w:sz="0" w:space="0" w:color="auto"/>
          </w:divBdr>
        </w:div>
        <w:div w:id="1512063903">
          <w:marLeft w:val="640"/>
          <w:marRight w:val="0"/>
          <w:marTop w:val="0"/>
          <w:marBottom w:val="0"/>
          <w:divBdr>
            <w:top w:val="none" w:sz="0" w:space="0" w:color="auto"/>
            <w:left w:val="none" w:sz="0" w:space="0" w:color="auto"/>
            <w:bottom w:val="none" w:sz="0" w:space="0" w:color="auto"/>
            <w:right w:val="none" w:sz="0" w:space="0" w:color="auto"/>
          </w:divBdr>
        </w:div>
        <w:div w:id="958217137">
          <w:marLeft w:val="640"/>
          <w:marRight w:val="0"/>
          <w:marTop w:val="0"/>
          <w:marBottom w:val="0"/>
          <w:divBdr>
            <w:top w:val="none" w:sz="0" w:space="0" w:color="auto"/>
            <w:left w:val="none" w:sz="0" w:space="0" w:color="auto"/>
            <w:bottom w:val="none" w:sz="0" w:space="0" w:color="auto"/>
            <w:right w:val="none" w:sz="0" w:space="0" w:color="auto"/>
          </w:divBdr>
        </w:div>
        <w:div w:id="9913520">
          <w:marLeft w:val="640"/>
          <w:marRight w:val="0"/>
          <w:marTop w:val="0"/>
          <w:marBottom w:val="0"/>
          <w:divBdr>
            <w:top w:val="none" w:sz="0" w:space="0" w:color="auto"/>
            <w:left w:val="none" w:sz="0" w:space="0" w:color="auto"/>
            <w:bottom w:val="none" w:sz="0" w:space="0" w:color="auto"/>
            <w:right w:val="none" w:sz="0" w:space="0" w:color="auto"/>
          </w:divBdr>
        </w:div>
        <w:div w:id="777916806">
          <w:marLeft w:val="640"/>
          <w:marRight w:val="0"/>
          <w:marTop w:val="0"/>
          <w:marBottom w:val="0"/>
          <w:divBdr>
            <w:top w:val="none" w:sz="0" w:space="0" w:color="auto"/>
            <w:left w:val="none" w:sz="0" w:space="0" w:color="auto"/>
            <w:bottom w:val="none" w:sz="0" w:space="0" w:color="auto"/>
            <w:right w:val="none" w:sz="0" w:space="0" w:color="auto"/>
          </w:divBdr>
        </w:div>
        <w:div w:id="1112819959">
          <w:marLeft w:val="640"/>
          <w:marRight w:val="0"/>
          <w:marTop w:val="0"/>
          <w:marBottom w:val="0"/>
          <w:divBdr>
            <w:top w:val="none" w:sz="0" w:space="0" w:color="auto"/>
            <w:left w:val="none" w:sz="0" w:space="0" w:color="auto"/>
            <w:bottom w:val="none" w:sz="0" w:space="0" w:color="auto"/>
            <w:right w:val="none" w:sz="0" w:space="0" w:color="auto"/>
          </w:divBdr>
        </w:div>
        <w:div w:id="1536583213">
          <w:marLeft w:val="640"/>
          <w:marRight w:val="0"/>
          <w:marTop w:val="0"/>
          <w:marBottom w:val="0"/>
          <w:divBdr>
            <w:top w:val="none" w:sz="0" w:space="0" w:color="auto"/>
            <w:left w:val="none" w:sz="0" w:space="0" w:color="auto"/>
            <w:bottom w:val="none" w:sz="0" w:space="0" w:color="auto"/>
            <w:right w:val="none" w:sz="0" w:space="0" w:color="auto"/>
          </w:divBdr>
        </w:div>
        <w:div w:id="1740439798">
          <w:marLeft w:val="640"/>
          <w:marRight w:val="0"/>
          <w:marTop w:val="0"/>
          <w:marBottom w:val="0"/>
          <w:divBdr>
            <w:top w:val="none" w:sz="0" w:space="0" w:color="auto"/>
            <w:left w:val="none" w:sz="0" w:space="0" w:color="auto"/>
            <w:bottom w:val="none" w:sz="0" w:space="0" w:color="auto"/>
            <w:right w:val="none" w:sz="0" w:space="0" w:color="auto"/>
          </w:divBdr>
        </w:div>
        <w:div w:id="1627930638">
          <w:marLeft w:val="640"/>
          <w:marRight w:val="0"/>
          <w:marTop w:val="0"/>
          <w:marBottom w:val="0"/>
          <w:divBdr>
            <w:top w:val="none" w:sz="0" w:space="0" w:color="auto"/>
            <w:left w:val="none" w:sz="0" w:space="0" w:color="auto"/>
            <w:bottom w:val="none" w:sz="0" w:space="0" w:color="auto"/>
            <w:right w:val="none" w:sz="0" w:space="0" w:color="auto"/>
          </w:divBdr>
        </w:div>
        <w:div w:id="2114326394">
          <w:marLeft w:val="640"/>
          <w:marRight w:val="0"/>
          <w:marTop w:val="0"/>
          <w:marBottom w:val="0"/>
          <w:divBdr>
            <w:top w:val="none" w:sz="0" w:space="0" w:color="auto"/>
            <w:left w:val="none" w:sz="0" w:space="0" w:color="auto"/>
            <w:bottom w:val="none" w:sz="0" w:space="0" w:color="auto"/>
            <w:right w:val="none" w:sz="0" w:space="0" w:color="auto"/>
          </w:divBdr>
        </w:div>
        <w:div w:id="1444694085">
          <w:marLeft w:val="640"/>
          <w:marRight w:val="0"/>
          <w:marTop w:val="0"/>
          <w:marBottom w:val="0"/>
          <w:divBdr>
            <w:top w:val="none" w:sz="0" w:space="0" w:color="auto"/>
            <w:left w:val="none" w:sz="0" w:space="0" w:color="auto"/>
            <w:bottom w:val="none" w:sz="0" w:space="0" w:color="auto"/>
            <w:right w:val="none" w:sz="0" w:space="0" w:color="auto"/>
          </w:divBdr>
        </w:div>
        <w:div w:id="604191879">
          <w:marLeft w:val="640"/>
          <w:marRight w:val="0"/>
          <w:marTop w:val="0"/>
          <w:marBottom w:val="0"/>
          <w:divBdr>
            <w:top w:val="none" w:sz="0" w:space="0" w:color="auto"/>
            <w:left w:val="none" w:sz="0" w:space="0" w:color="auto"/>
            <w:bottom w:val="none" w:sz="0" w:space="0" w:color="auto"/>
            <w:right w:val="none" w:sz="0" w:space="0" w:color="auto"/>
          </w:divBdr>
        </w:div>
        <w:div w:id="558827683">
          <w:marLeft w:val="640"/>
          <w:marRight w:val="0"/>
          <w:marTop w:val="0"/>
          <w:marBottom w:val="0"/>
          <w:divBdr>
            <w:top w:val="none" w:sz="0" w:space="0" w:color="auto"/>
            <w:left w:val="none" w:sz="0" w:space="0" w:color="auto"/>
            <w:bottom w:val="none" w:sz="0" w:space="0" w:color="auto"/>
            <w:right w:val="none" w:sz="0" w:space="0" w:color="auto"/>
          </w:divBdr>
        </w:div>
        <w:div w:id="1641031862">
          <w:marLeft w:val="640"/>
          <w:marRight w:val="0"/>
          <w:marTop w:val="0"/>
          <w:marBottom w:val="0"/>
          <w:divBdr>
            <w:top w:val="none" w:sz="0" w:space="0" w:color="auto"/>
            <w:left w:val="none" w:sz="0" w:space="0" w:color="auto"/>
            <w:bottom w:val="none" w:sz="0" w:space="0" w:color="auto"/>
            <w:right w:val="none" w:sz="0" w:space="0" w:color="auto"/>
          </w:divBdr>
        </w:div>
        <w:div w:id="1845778983">
          <w:marLeft w:val="640"/>
          <w:marRight w:val="0"/>
          <w:marTop w:val="0"/>
          <w:marBottom w:val="0"/>
          <w:divBdr>
            <w:top w:val="none" w:sz="0" w:space="0" w:color="auto"/>
            <w:left w:val="none" w:sz="0" w:space="0" w:color="auto"/>
            <w:bottom w:val="none" w:sz="0" w:space="0" w:color="auto"/>
            <w:right w:val="none" w:sz="0" w:space="0" w:color="auto"/>
          </w:divBdr>
        </w:div>
        <w:div w:id="791019641">
          <w:marLeft w:val="640"/>
          <w:marRight w:val="0"/>
          <w:marTop w:val="0"/>
          <w:marBottom w:val="0"/>
          <w:divBdr>
            <w:top w:val="none" w:sz="0" w:space="0" w:color="auto"/>
            <w:left w:val="none" w:sz="0" w:space="0" w:color="auto"/>
            <w:bottom w:val="none" w:sz="0" w:space="0" w:color="auto"/>
            <w:right w:val="none" w:sz="0" w:space="0" w:color="auto"/>
          </w:divBdr>
        </w:div>
      </w:divsChild>
    </w:div>
    <w:div w:id="486869055">
      <w:bodyDiv w:val="1"/>
      <w:marLeft w:val="0"/>
      <w:marRight w:val="0"/>
      <w:marTop w:val="0"/>
      <w:marBottom w:val="0"/>
      <w:divBdr>
        <w:top w:val="none" w:sz="0" w:space="0" w:color="auto"/>
        <w:left w:val="none" w:sz="0" w:space="0" w:color="auto"/>
        <w:bottom w:val="none" w:sz="0" w:space="0" w:color="auto"/>
        <w:right w:val="none" w:sz="0" w:space="0" w:color="auto"/>
      </w:divBdr>
    </w:div>
    <w:div w:id="487133432">
      <w:bodyDiv w:val="1"/>
      <w:marLeft w:val="0"/>
      <w:marRight w:val="0"/>
      <w:marTop w:val="0"/>
      <w:marBottom w:val="0"/>
      <w:divBdr>
        <w:top w:val="none" w:sz="0" w:space="0" w:color="auto"/>
        <w:left w:val="none" w:sz="0" w:space="0" w:color="auto"/>
        <w:bottom w:val="none" w:sz="0" w:space="0" w:color="auto"/>
        <w:right w:val="none" w:sz="0" w:space="0" w:color="auto"/>
      </w:divBdr>
    </w:div>
    <w:div w:id="487865980">
      <w:bodyDiv w:val="1"/>
      <w:marLeft w:val="0"/>
      <w:marRight w:val="0"/>
      <w:marTop w:val="0"/>
      <w:marBottom w:val="0"/>
      <w:divBdr>
        <w:top w:val="none" w:sz="0" w:space="0" w:color="auto"/>
        <w:left w:val="none" w:sz="0" w:space="0" w:color="auto"/>
        <w:bottom w:val="none" w:sz="0" w:space="0" w:color="auto"/>
        <w:right w:val="none" w:sz="0" w:space="0" w:color="auto"/>
      </w:divBdr>
    </w:div>
    <w:div w:id="488836961">
      <w:bodyDiv w:val="1"/>
      <w:marLeft w:val="0"/>
      <w:marRight w:val="0"/>
      <w:marTop w:val="0"/>
      <w:marBottom w:val="0"/>
      <w:divBdr>
        <w:top w:val="none" w:sz="0" w:space="0" w:color="auto"/>
        <w:left w:val="none" w:sz="0" w:space="0" w:color="auto"/>
        <w:bottom w:val="none" w:sz="0" w:space="0" w:color="auto"/>
        <w:right w:val="none" w:sz="0" w:space="0" w:color="auto"/>
      </w:divBdr>
    </w:div>
    <w:div w:id="489292889">
      <w:bodyDiv w:val="1"/>
      <w:marLeft w:val="0"/>
      <w:marRight w:val="0"/>
      <w:marTop w:val="0"/>
      <w:marBottom w:val="0"/>
      <w:divBdr>
        <w:top w:val="none" w:sz="0" w:space="0" w:color="auto"/>
        <w:left w:val="none" w:sz="0" w:space="0" w:color="auto"/>
        <w:bottom w:val="none" w:sz="0" w:space="0" w:color="auto"/>
        <w:right w:val="none" w:sz="0" w:space="0" w:color="auto"/>
      </w:divBdr>
      <w:divsChild>
        <w:div w:id="1306932118">
          <w:marLeft w:val="640"/>
          <w:marRight w:val="0"/>
          <w:marTop w:val="0"/>
          <w:marBottom w:val="0"/>
          <w:divBdr>
            <w:top w:val="none" w:sz="0" w:space="0" w:color="auto"/>
            <w:left w:val="none" w:sz="0" w:space="0" w:color="auto"/>
            <w:bottom w:val="none" w:sz="0" w:space="0" w:color="auto"/>
            <w:right w:val="none" w:sz="0" w:space="0" w:color="auto"/>
          </w:divBdr>
        </w:div>
        <w:div w:id="418982815">
          <w:marLeft w:val="640"/>
          <w:marRight w:val="0"/>
          <w:marTop w:val="0"/>
          <w:marBottom w:val="0"/>
          <w:divBdr>
            <w:top w:val="none" w:sz="0" w:space="0" w:color="auto"/>
            <w:left w:val="none" w:sz="0" w:space="0" w:color="auto"/>
            <w:bottom w:val="none" w:sz="0" w:space="0" w:color="auto"/>
            <w:right w:val="none" w:sz="0" w:space="0" w:color="auto"/>
          </w:divBdr>
        </w:div>
        <w:div w:id="2013991083">
          <w:marLeft w:val="640"/>
          <w:marRight w:val="0"/>
          <w:marTop w:val="0"/>
          <w:marBottom w:val="0"/>
          <w:divBdr>
            <w:top w:val="none" w:sz="0" w:space="0" w:color="auto"/>
            <w:left w:val="none" w:sz="0" w:space="0" w:color="auto"/>
            <w:bottom w:val="none" w:sz="0" w:space="0" w:color="auto"/>
            <w:right w:val="none" w:sz="0" w:space="0" w:color="auto"/>
          </w:divBdr>
        </w:div>
        <w:div w:id="1985622840">
          <w:marLeft w:val="640"/>
          <w:marRight w:val="0"/>
          <w:marTop w:val="0"/>
          <w:marBottom w:val="0"/>
          <w:divBdr>
            <w:top w:val="none" w:sz="0" w:space="0" w:color="auto"/>
            <w:left w:val="none" w:sz="0" w:space="0" w:color="auto"/>
            <w:bottom w:val="none" w:sz="0" w:space="0" w:color="auto"/>
            <w:right w:val="none" w:sz="0" w:space="0" w:color="auto"/>
          </w:divBdr>
        </w:div>
        <w:div w:id="1870024215">
          <w:marLeft w:val="640"/>
          <w:marRight w:val="0"/>
          <w:marTop w:val="0"/>
          <w:marBottom w:val="0"/>
          <w:divBdr>
            <w:top w:val="none" w:sz="0" w:space="0" w:color="auto"/>
            <w:left w:val="none" w:sz="0" w:space="0" w:color="auto"/>
            <w:bottom w:val="none" w:sz="0" w:space="0" w:color="auto"/>
            <w:right w:val="none" w:sz="0" w:space="0" w:color="auto"/>
          </w:divBdr>
        </w:div>
        <w:div w:id="1808667554">
          <w:marLeft w:val="640"/>
          <w:marRight w:val="0"/>
          <w:marTop w:val="0"/>
          <w:marBottom w:val="0"/>
          <w:divBdr>
            <w:top w:val="none" w:sz="0" w:space="0" w:color="auto"/>
            <w:left w:val="none" w:sz="0" w:space="0" w:color="auto"/>
            <w:bottom w:val="none" w:sz="0" w:space="0" w:color="auto"/>
            <w:right w:val="none" w:sz="0" w:space="0" w:color="auto"/>
          </w:divBdr>
        </w:div>
        <w:div w:id="1274511016">
          <w:marLeft w:val="640"/>
          <w:marRight w:val="0"/>
          <w:marTop w:val="0"/>
          <w:marBottom w:val="0"/>
          <w:divBdr>
            <w:top w:val="none" w:sz="0" w:space="0" w:color="auto"/>
            <w:left w:val="none" w:sz="0" w:space="0" w:color="auto"/>
            <w:bottom w:val="none" w:sz="0" w:space="0" w:color="auto"/>
            <w:right w:val="none" w:sz="0" w:space="0" w:color="auto"/>
          </w:divBdr>
        </w:div>
        <w:div w:id="528033166">
          <w:marLeft w:val="640"/>
          <w:marRight w:val="0"/>
          <w:marTop w:val="0"/>
          <w:marBottom w:val="0"/>
          <w:divBdr>
            <w:top w:val="none" w:sz="0" w:space="0" w:color="auto"/>
            <w:left w:val="none" w:sz="0" w:space="0" w:color="auto"/>
            <w:bottom w:val="none" w:sz="0" w:space="0" w:color="auto"/>
            <w:right w:val="none" w:sz="0" w:space="0" w:color="auto"/>
          </w:divBdr>
        </w:div>
        <w:div w:id="1430659249">
          <w:marLeft w:val="640"/>
          <w:marRight w:val="0"/>
          <w:marTop w:val="0"/>
          <w:marBottom w:val="0"/>
          <w:divBdr>
            <w:top w:val="none" w:sz="0" w:space="0" w:color="auto"/>
            <w:left w:val="none" w:sz="0" w:space="0" w:color="auto"/>
            <w:bottom w:val="none" w:sz="0" w:space="0" w:color="auto"/>
            <w:right w:val="none" w:sz="0" w:space="0" w:color="auto"/>
          </w:divBdr>
        </w:div>
        <w:div w:id="1116758929">
          <w:marLeft w:val="640"/>
          <w:marRight w:val="0"/>
          <w:marTop w:val="0"/>
          <w:marBottom w:val="0"/>
          <w:divBdr>
            <w:top w:val="none" w:sz="0" w:space="0" w:color="auto"/>
            <w:left w:val="none" w:sz="0" w:space="0" w:color="auto"/>
            <w:bottom w:val="none" w:sz="0" w:space="0" w:color="auto"/>
            <w:right w:val="none" w:sz="0" w:space="0" w:color="auto"/>
          </w:divBdr>
        </w:div>
        <w:div w:id="1326282637">
          <w:marLeft w:val="640"/>
          <w:marRight w:val="0"/>
          <w:marTop w:val="0"/>
          <w:marBottom w:val="0"/>
          <w:divBdr>
            <w:top w:val="none" w:sz="0" w:space="0" w:color="auto"/>
            <w:left w:val="none" w:sz="0" w:space="0" w:color="auto"/>
            <w:bottom w:val="none" w:sz="0" w:space="0" w:color="auto"/>
            <w:right w:val="none" w:sz="0" w:space="0" w:color="auto"/>
          </w:divBdr>
        </w:div>
        <w:div w:id="2037122956">
          <w:marLeft w:val="640"/>
          <w:marRight w:val="0"/>
          <w:marTop w:val="0"/>
          <w:marBottom w:val="0"/>
          <w:divBdr>
            <w:top w:val="none" w:sz="0" w:space="0" w:color="auto"/>
            <w:left w:val="none" w:sz="0" w:space="0" w:color="auto"/>
            <w:bottom w:val="none" w:sz="0" w:space="0" w:color="auto"/>
            <w:right w:val="none" w:sz="0" w:space="0" w:color="auto"/>
          </w:divBdr>
        </w:div>
        <w:div w:id="352610095">
          <w:marLeft w:val="640"/>
          <w:marRight w:val="0"/>
          <w:marTop w:val="0"/>
          <w:marBottom w:val="0"/>
          <w:divBdr>
            <w:top w:val="none" w:sz="0" w:space="0" w:color="auto"/>
            <w:left w:val="none" w:sz="0" w:space="0" w:color="auto"/>
            <w:bottom w:val="none" w:sz="0" w:space="0" w:color="auto"/>
            <w:right w:val="none" w:sz="0" w:space="0" w:color="auto"/>
          </w:divBdr>
        </w:div>
        <w:div w:id="591815990">
          <w:marLeft w:val="640"/>
          <w:marRight w:val="0"/>
          <w:marTop w:val="0"/>
          <w:marBottom w:val="0"/>
          <w:divBdr>
            <w:top w:val="none" w:sz="0" w:space="0" w:color="auto"/>
            <w:left w:val="none" w:sz="0" w:space="0" w:color="auto"/>
            <w:bottom w:val="none" w:sz="0" w:space="0" w:color="auto"/>
            <w:right w:val="none" w:sz="0" w:space="0" w:color="auto"/>
          </w:divBdr>
        </w:div>
        <w:div w:id="1936552896">
          <w:marLeft w:val="640"/>
          <w:marRight w:val="0"/>
          <w:marTop w:val="0"/>
          <w:marBottom w:val="0"/>
          <w:divBdr>
            <w:top w:val="none" w:sz="0" w:space="0" w:color="auto"/>
            <w:left w:val="none" w:sz="0" w:space="0" w:color="auto"/>
            <w:bottom w:val="none" w:sz="0" w:space="0" w:color="auto"/>
            <w:right w:val="none" w:sz="0" w:space="0" w:color="auto"/>
          </w:divBdr>
        </w:div>
        <w:div w:id="1146319035">
          <w:marLeft w:val="640"/>
          <w:marRight w:val="0"/>
          <w:marTop w:val="0"/>
          <w:marBottom w:val="0"/>
          <w:divBdr>
            <w:top w:val="none" w:sz="0" w:space="0" w:color="auto"/>
            <w:left w:val="none" w:sz="0" w:space="0" w:color="auto"/>
            <w:bottom w:val="none" w:sz="0" w:space="0" w:color="auto"/>
            <w:right w:val="none" w:sz="0" w:space="0" w:color="auto"/>
          </w:divBdr>
        </w:div>
        <w:div w:id="1466193421">
          <w:marLeft w:val="640"/>
          <w:marRight w:val="0"/>
          <w:marTop w:val="0"/>
          <w:marBottom w:val="0"/>
          <w:divBdr>
            <w:top w:val="none" w:sz="0" w:space="0" w:color="auto"/>
            <w:left w:val="none" w:sz="0" w:space="0" w:color="auto"/>
            <w:bottom w:val="none" w:sz="0" w:space="0" w:color="auto"/>
            <w:right w:val="none" w:sz="0" w:space="0" w:color="auto"/>
          </w:divBdr>
        </w:div>
        <w:div w:id="1593777271">
          <w:marLeft w:val="640"/>
          <w:marRight w:val="0"/>
          <w:marTop w:val="0"/>
          <w:marBottom w:val="0"/>
          <w:divBdr>
            <w:top w:val="none" w:sz="0" w:space="0" w:color="auto"/>
            <w:left w:val="none" w:sz="0" w:space="0" w:color="auto"/>
            <w:bottom w:val="none" w:sz="0" w:space="0" w:color="auto"/>
            <w:right w:val="none" w:sz="0" w:space="0" w:color="auto"/>
          </w:divBdr>
        </w:div>
        <w:div w:id="448865957">
          <w:marLeft w:val="640"/>
          <w:marRight w:val="0"/>
          <w:marTop w:val="0"/>
          <w:marBottom w:val="0"/>
          <w:divBdr>
            <w:top w:val="none" w:sz="0" w:space="0" w:color="auto"/>
            <w:left w:val="none" w:sz="0" w:space="0" w:color="auto"/>
            <w:bottom w:val="none" w:sz="0" w:space="0" w:color="auto"/>
            <w:right w:val="none" w:sz="0" w:space="0" w:color="auto"/>
          </w:divBdr>
        </w:div>
        <w:div w:id="462117070">
          <w:marLeft w:val="640"/>
          <w:marRight w:val="0"/>
          <w:marTop w:val="0"/>
          <w:marBottom w:val="0"/>
          <w:divBdr>
            <w:top w:val="none" w:sz="0" w:space="0" w:color="auto"/>
            <w:left w:val="none" w:sz="0" w:space="0" w:color="auto"/>
            <w:bottom w:val="none" w:sz="0" w:space="0" w:color="auto"/>
            <w:right w:val="none" w:sz="0" w:space="0" w:color="auto"/>
          </w:divBdr>
        </w:div>
        <w:div w:id="1929657247">
          <w:marLeft w:val="640"/>
          <w:marRight w:val="0"/>
          <w:marTop w:val="0"/>
          <w:marBottom w:val="0"/>
          <w:divBdr>
            <w:top w:val="none" w:sz="0" w:space="0" w:color="auto"/>
            <w:left w:val="none" w:sz="0" w:space="0" w:color="auto"/>
            <w:bottom w:val="none" w:sz="0" w:space="0" w:color="auto"/>
            <w:right w:val="none" w:sz="0" w:space="0" w:color="auto"/>
          </w:divBdr>
        </w:div>
        <w:div w:id="1439064331">
          <w:marLeft w:val="640"/>
          <w:marRight w:val="0"/>
          <w:marTop w:val="0"/>
          <w:marBottom w:val="0"/>
          <w:divBdr>
            <w:top w:val="none" w:sz="0" w:space="0" w:color="auto"/>
            <w:left w:val="none" w:sz="0" w:space="0" w:color="auto"/>
            <w:bottom w:val="none" w:sz="0" w:space="0" w:color="auto"/>
            <w:right w:val="none" w:sz="0" w:space="0" w:color="auto"/>
          </w:divBdr>
        </w:div>
        <w:div w:id="381633395">
          <w:marLeft w:val="640"/>
          <w:marRight w:val="0"/>
          <w:marTop w:val="0"/>
          <w:marBottom w:val="0"/>
          <w:divBdr>
            <w:top w:val="none" w:sz="0" w:space="0" w:color="auto"/>
            <w:left w:val="none" w:sz="0" w:space="0" w:color="auto"/>
            <w:bottom w:val="none" w:sz="0" w:space="0" w:color="auto"/>
            <w:right w:val="none" w:sz="0" w:space="0" w:color="auto"/>
          </w:divBdr>
        </w:div>
        <w:div w:id="703871532">
          <w:marLeft w:val="640"/>
          <w:marRight w:val="0"/>
          <w:marTop w:val="0"/>
          <w:marBottom w:val="0"/>
          <w:divBdr>
            <w:top w:val="none" w:sz="0" w:space="0" w:color="auto"/>
            <w:left w:val="none" w:sz="0" w:space="0" w:color="auto"/>
            <w:bottom w:val="none" w:sz="0" w:space="0" w:color="auto"/>
            <w:right w:val="none" w:sz="0" w:space="0" w:color="auto"/>
          </w:divBdr>
        </w:div>
        <w:div w:id="1115712051">
          <w:marLeft w:val="640"/>
          <w:marRight w:val="0"/>
          <w:marTop w:val="0"/>
          <w:marBottom w:val="0"/>
          <w:divBdr>
            <w:top w:val="none" w:sz="0" w:space="0" w:color="auto"/>
            <w:left w:val="none" w:sz="0" w:space="0" w:color="auto"/>
            <w:bottom w:val="none" w:sz="0" w:space="0" w:color="auto"/>
            <w:right w:val="none" w:sz="0" w:space="0" w:color="auto"/>
          </w:divBdr>
        </w:div>
        <w:div w:id="1611744591">
          <w:marLeft w:val="640"/>
          <w:marRight w:val="0"/>
          <w:marTop w:val="0"/>
          <w:marBottom w:val="0"/>
          <w:divBdr>
            <w:top w:val="none" w:sz="0" w:space="0" w:color="auto"/>
            <w:left w:val="none" w:sz="0" w:space="0" w:color="auto"/>
            <w:bottom w:val="none" w:sz="0" w:space="0" w:color="auto"/>
            <w:right w:val="none" w:sz="0" w:space="0" w:color="auto"/>
          </w:divBdr>
        </w:div>
        <w:div w:id="2146120609">
          <w:marLeft w:val="640"/>
          <w:marRight w:val="0"/>
          <w:marTop w:val="0"/>
          <w:marBottom w:val="0"/>
          <w:divBdr>
            <w:top w:val="none" w:sz="0" w:space="0" w:color="auto"/>
            <w:left w:val="none" w:sz="0" w:space="0" w:color="auto"/>
            <w:bottom w:val="none" w:sz="0" w:space="0" w:color="auto"/>
            <w:right w:val="none" w:sz="0" w:space="0" w:color="auto"/>
          </w:divBdr>
        </w:div>
        <w:div w:id="737096285">
          <w:marLeft w:val="640"/>
          <w:marRight w:val="0"/>
          <w:marTop w:val="0"/>
          <w:marBottom w:val="0"/>
          <w:divBdr>
            <w:top w:val="none" w:sz="0" w:space="0" w:color="auto"/>
            <w:left w:val="none" w:sz="0" w:space="0" w:color="auto"/>
            <w:bottom w:val="none" w:sz="0" w:space="0" w:color="auto"/>
            <w:right w:val="none" w:sz="0" w:space="0" w:color="auto"/>
          </w:divBdr>
        </w:div>
        <w:div w:id="996570096">
          <w:marLeft w:val="640"/>
          <w:marRight w:val="0"/>
          <w:marTop w:val="0"/>
          <w:marBottom w:val="0"/>
          <w:divBdr>
            <w:top w:val="none" w:sz="0" w:space="0" w:color="auto"/>
            <w:left w:val="none" w:sz="0" w:space="0" w:color="auto"/>
            <w:bottom w:val="none" w:sz="0" w:space="0" w:color="auto"/>
            <w:right w:val="none" w:sz="0" w:space="0" w:color="auto"/>
          </w:divBdr>
        </w:div>
        <w:div w:id="1634561056">
          <w:marLeft w:val="640"/>
          <w:marRight w:val="0"/>
          <w:marTop w:val="0"/>
          <w:marBottom w:val="0"/>
          <w:divBdr>
            <w:top w:val="none" w:sz="0" w:space="0" w:color="auto"/>
            <w:left w:val="none" w:sz="0" w:space="0" w:color="auto"/>
            <w:bottom w:val="none" w:sz="0" w:space="0" w:color="auto"/>
            <w:right w:val="none" w:sz="0" w:space="0" w:color="auto"/>
          </w:divBdr>
        </w:div>
        <w:div w:id="978191105">
          <w:marLeft w:val="640"/>
          <w:marRight w:val="0"/>
          <w:marTop w:val="0"/>
          <w:marBottom w:val="0"/>
          <w:divBdr>
            <w:top w:val="none" w:sz="0" w:space="0" w:color="auto"/>
            <w:left w:val="none" w:sz="0" w:space="0" w:color="auto"/>
            <w:bottom w:val="none" w:sz="0" w:space="0" w:color="auto"/>
            <w:right w:val="none" w:sz="0" w:space="0" w:color="auto"/>
          </w:divBdr>
        </w:div>
        <w:div w:id="1483540089">
          <w:marLeft w:val="640"/>
          <w:marRight w:val="0"/>
          <w:marTop w:val="0"/>
          <w:marBottom w:val="0"/>
          <w:divBdr>
            <w:top w:val="none" w:sz="0" w:space="0" w:color="auto"/>
            <w:left w:val="none" w:sz="0" w:space="0" w:color="auto"/>
            <w:bottom w:val="none" w:sz="0" w:space="0" w:color="auto"/>
            <w:right w:val="none" w:sz="0" w:space="0" w:color="auto"/>
          </w:divBdr>
        </w:div>
        <w:div w:id="1292057109">
          <w:marLeft w:val="640"/>
          <w:marRight w:val="0"/>
          <w:marTop w:val="0"/>
          <w:marBottom w:val="0"/>
          <w:divBdr>
            <w:top w:val="none" w:sz="0" w:space="0" w:color="auto"/>
            <w:left w:val="none" w:sz="0" w:space="0" w:color="auto"/>
            <w:bottom w:val="none" w:sz="0" w:space="0" w:color="auto"/>
            <w:right w:val="none" w:sz="0" w:space="0" w:color="auto"/>
          </w:divBdr>
        </w:div>
        <w:div w:id="1219130806">
          <w:marLeft w:val="640"/>
          <w:marRight w:val="0"/>
          <w:marTop w:val="0"/>
          <w:marBottom w:val="0"/>
          <w:divBdr>
            <w:top w:val="none" w:sz="0" w:space="0" w:color="auto"/>
            <w:left w:val="none" w:sz="0" w:space="0" w:color="auto"/>
            <w:bottom w:val="none" w:sz="0" w:space="0" w:color="auto"/>
            <w:right w:val="none" w:sz="0" w:space="0" w:color="auto"/>
          </w:divBdr>
        </w:div>
        <w:div w:id="2132628585">
          <w:marLeft w:val="640"/>
          <w:marRight w:val="0"/>
          <w:marTop w:val="0"/>
          <w:marBottom w:val="0"/>
          <w:divBdr>
            <w:top w:val="none" w:sz="0" w:space="0" w:color="auto"/>
            <w:left w:val="none" w:sz="0" w:space="0" w:color="auto"/>
            <w:bottom w:val="none" w:sz="0" w:space="0" w:color="auto"/>
            <w:right w:val="none" w:sz="0" w:space="0" w:color="auto"/>
          </w:divBdr>
        </w:div>
        <w:div w:id="1662735536">
          <w:marLeft w:val="640"/>
          <w:marRight w:val="0"/>
          <w:marTop w:val="0"/>
          <w:marBottom w:val="0"/>
          <w:divBdr>
            <w:top w:val="none" w:sz="0" w:space="0" w:color="auto"/>
            <w:left w:val="none" w:sz="0" w:space="0" w:color="auto"/>
            <w:bottom w:val="none" w:sz="0" w:space="0" w:color="auto"/>
            <w:right w:val="none" w:sz="0" w:space="0" w:color="auto"/>
          </w:divBdr>
        </w:div>
        <w:div w:id="2134052609">
          <w:marLeft w:val="640"/>
          <w:marRight w:val="0"/>
          <w:marTop w:val="0"/>
          <w:marBottom w:val="0"/>
          <w:divBdr>
            <w:top w:val="none" w:sz="0" w:space="0" w:color="auto"/>
            <w:left w:val="none" w:sz="0" w:space="0" w:color="auto"/>
            <w:bottom w:val="none" w:sz="0" w:space="0" w:color="auto"/>
            <w:right w:val="none" w:sz="0" w:space="0" w:color="auto"/>
          </w:divBdr>
        </w:div>
        <w:div w:id="339045082">
          <w:marLeft w:val="640"/>
          <w:marRight w:val="0"/>
          <w:marTop w:val="0"/>
          <w:marBottom w:val="0"/>
          <w:divBdr>
            <w:top w:val="none" w:sz="0" w:space="0" w:color="auto"/>
            <w:left w:val="none" w:sz="0" w:space="0" w:color="auto"/>
            <w:bottom w:val="none" w:sz="0" w:space="0" w:color="auto"/>
            <w:right w:val="none" w:sz="0" w:space="0" w:color="auto"/>
          </w:divBdr>
        </w:div>
        <w:div w:id="1694576387">
          <w:marLeft w:val="640"/>
          <w:marRight w:val="0"/>
          <w:marTop w:val="0"/>
          <w:marBottom w:val="0"/>
          <w:divBdr>
            <w:top w:val="none" w:sz="0" w:space="0" w:color="auto"/>
            <w:left w:val="none" w:sz="0" w:space="0" w:color="auto"/>
            <w:bottom w:val="none" w:sz="0" w:space="0" w:color="auto"/>
            <w:right w:val="none" w:sz="0" w:space="0" w:color="auto"/>
          </w:divBdr>
        </w:div>
        <w:div w:id="787234116">
          <w:marLeft w:val="640"/>
          <w:marRight w:val="0"/>
          <w:marTop w:val="0"/>
          <w:marBottom w:val="0"/>
          <w:divBdr>
            <w:top w:val="none" w:sz="0" w:space="0" w:color="auto"/>
            <w:left w:val="none" w:sz="0" w:space="0" w:color="auto"/>
            <w:bottom w:val="none" w:sz="0" w:space="0" w:color="auto"/>
            <w:right w:val="none" w:sz="0" w:space="0" w:color="auto"/>
          </w:divBdr>
        </w:div>
        <w:div w:id="1974753970">
          <w:marLeft w:val="640"/>
          <w:marRight w:val="0"/>
          <w:marTop w:val="0"/>
          <w:marBottom w:val="0"/>
          <w:divBdr>
            <w:top w:val="none" w:sz="0" w:space="0" w:color="auto"/>
            <w:left w:val="none" w:sz="0" w:space="0" w:color="auto"/>
            <w:bottom w:val="none" w:sz="0" w:space="0" w:color="auto"/>
            <w:right w:val="none" w:sz="0" w:space="0" w:color="auto"/>
          </w:divBdr>
        </w:div>
        <w:div w:id="26640258">
          <w:marLeft w:val="640"/>
          <w:marRight w:val="0"/>
          <w:marTop w:val="0"/>
          <w:marBottom w:val="0"/>
          <w:divBdr>
            <w:top w:val="none" w:sz="0" w:space="0" w:color="auto"/>
            <w:left w:val="none" w:sz="0" w:space="0" w:color="auto"/>
            <w:bottom w:val="none" w:sz="0" w:space="0" w:color="auto"/>
            <w:right w:val="none" w:sz="0" w:space="0" w:color="auto"/>
          </w:divBdr>
        </w:div>
        <w:div w:id="1539464561">
          <w:marLeft w:val="640"/>
          <w:marRight w:val="0"/>
          <w:marTop w:val="0"/>
          <w:marBottom w:val="0"/>
          <w:divBdr>
            <w:top w:val="none" w:sz="0" w:space="0" w:color="auto"/>
            <w:left w:val="none" w:sz="0" w:space="0" w:color="auto"/>
            <w:bottom w:val="none" w:sz="0" w:space="0" w:color="auto"/>
            <w:right w:val="none" w:sz="0" w:space="0" w:color="auto"/>
          </w:divBdr>
        </w:div>
        <w:div w:id="1597983626">
          <w:marLeft w:val="640"/>
          <w:marRight w:val="0"/>
          <w:marTop w:val="0"/>
          <w:marBottom w:val="0"/>
          <w:divBdr>
            <w:top w:val="none" w:sz="0" w:space="0" w:color="auto"/>
            <w:left w:val="none" w:sz="0" w:space="0" w:color="auto"/>
            <w:bottom w:val="none" w:sz="0" w:space="0" w:color="auto"/>
            <w:right w:val="none" w:sz="0" w:space="0" w:color="auto"/>
          </w:divBdr>
        </w:div>
        <w:div w:id="228617208">
          <w:marLeft w:val="640"/>
          <w:marRight w:val="0"/>
          <w:marTop w:val="0"/>
          <w:marBottom w:val="0"/>
          <w:divBdr>
            <w:top w:val="none" w:sz="0" w:space="0" w:color="auto"/>
            <w:left w:val="none" w:sz="0" w:space="0" w:color="auto"/>
            <w:bottom w:val="none" w:sz="0" w:space="0" w:color="auto"/>
            <w:right w:val="none" w:sz="0" w:space="0" w:color="auto"/>
          </w:divBdr>
        </w:div>
        <w:div w:id="661735970">
          <w:marLeft w:val="640"/>
          <w:marRight w:val="0"/>
          <w:marTop w:val="0"/>
          <w:marBottom w:val="0"/>
          <w:divBdr>
            <w:top w:val="none" w:sz="0" w:space="0" w:color="auto"/>
            <w:left w:val="none" w:sz="0" w:space="0" w:color="auto"/>
            <w:bottom w:val="none" w:sz="0" w:space="0" w:color="auto"/>
            <w:right w:val="none" w:sz="0" w:space="0" w:color="auto"/>
          </w:divBdr>
        </w:div>
        <w:div w:id="231425877">
          <w:marLeft w:val="640"/>
          <w:marRight w:val="0"/>
          <w:marTop w:val="0"/>
          <w:marBottom w:val="0"/>
          <w:divBdr>
            <w:top w:val="none" w:sz="0" w:space="0" w:color="auto"/>
            <w:left w:val="none" w:sz="0" w:space="0" w:color="auto"/>
            <w:bottom w:val="none" w:sz="0" w:space="0" w:color="auto"/>
            <w:right w:val="none" w:sz="0" w:space="0" w:color="auto"/>
          </w:divBdr>
        </w:div>
        <w:div w:id="674649283">
          <w:marLeft w:val="640"/>
          <w:marRight w:val="0"/>
          <w:marTop w:val="0"/>
          <w:marBottom w:val="0"/>
          <w:divBdr>
            <w:top w:val="none" w:sz="0" w:space="0" w:color="auto"/>
            <w:left w:val="none" w:sz="0" w:space="0" w:color="auto"/>
            <w:bottom w:val="none" w:sz="0" w:space="0" w:color="auto"/>
            <w:right w:val="none" w:sz="0" w:space="0" w:color="auto"/>
          </w:divBdr>
        </w:div>
        <w:div w:id="1647122896">
          <w:marLeft w:val="640"/>
          <w:marRight w:val="0"/>
          <w:marTop w:val="0"/>
          <w:marBottom w:val="0"/>
          <w:divBdr>
            <w:top w:val="none" w:sz="0" w:space="0" w:color="auto"/>
            <w:left w:val="none" w:sz="0" w:space="0" w:color="auto"/>
            <w:bottom w:val="none" w:sz="0" w:space="0" w:color="auto"/>
            <w:right w:val="none" w:sz="0" w:space="0" w:color="auto"/>
          </w:divBdr>
        </w:div>
        <w:div w:id="1191994931">
          <w:marLeft w:val="640"/>
          <w:marRight w:val="0"/>
          <w:marTop w:val="0"/>
          <w:marBottom w:val="0"/>
          <w:divBdr>
            <w:top w:val="none" w:sz="0" w:space="0" w:color="auto"/>
            <w:left w:val="none" w:sz="0" w:space="0" w:color="auto"/>
            <w:bottom w:val="none" w:sz="0" w:space="0" w:color="auto"/>
            <w:right w:val="none" w:sz="0" w:space="0" w:color="auto"/>
          </w:divBdr>
        </w:div>
        <w:div w:id="1638147020">
          <w:marLeft w:val="640"/>
          <w:marRight w:val="0"/>
          <w:marTop w:val="0"/>
          <w:marBottom w:val="0"/>
          <w:divBdr>
            <w:top w:val="none" w:sz="0" w:space="0" w:color="auto"/>
            <w:left w:val="none" w:sz="0" w:space="0" w:color="auto"/>
            <w:bottom w:val="none" w:sz="0" w:space="0" w:color="auto"/>
            <w:right w:val="none" w:sz="0" w:space="0" w:color="auto"/>
          </w:divBdr>
        </w:div>
        <w:div w:id="1679653022">
          <w:marLeft w:val="640"/>
          <w:marRight w:val="0"/>
          <w:marTop w:val="0"/>
          <w:marBottom w:val="0"/>
          <w:divBdr>
            <w:top w:val="none" w:sz="0" w:space="0" w:color="auto"/>
            <w:left w:val="none" w:sz="0" w:space="0" w:color="auto"/>
            <w:bottom w:val="none" w:sz="0" w:space="0" w:color="auto"/>
            <w:right w:val="none" w:sz="0" w:space="0" w:color="auto"/>
          </w:divBdr>
        </w:div>
        <w:div w:id="1935897637">
          <w:marLeft w:val="640"/>
          <w:marRight w:val="0"/>
          <w:marTop w:val="0"/>
          <w:marBottom w:val="0"/>
          <w:divBdr>
            <w:top w:val="none" w:sz="0" w:space="0" w:color="auto"/>
            <w:left w:val="none" w:sz="0" w:space="0" w:color="auto"/>
            <w:bottom w:val="none" w:sz="0" w:space="0" w:color="auto"/>
            <w:right w:val="none" w:sz="0" w:space="0" w:color="auto"/>
          </w:divBdr>
        </w:div>
        <w:div w:id="1512187191">
          <w:marLeft w:val="640"/>
          <w:marRight w:val="0"/>
          <w:marTop w:val="0"/>
          <w:marBottom w:val="0"/>
          <w:divBdr>
            <w:top w:val="none" w:sz="0" w:space="0" w:color="auto"/>
            <w:left w:val="none" w:sz="0" w:space="0" w:color="auto"/>
            <w:bottom w:val="none" w:sz="0" w:space="0" w:color="auto"/>
            <w:right w:val="none" w:sz="0" w:space="0" w:color="auto"/>
          </w:divBdr>
        </w:div>
        <w:div w:id="828209394">
          <w:marLeft w:val="640"/>
          <w:marRight w:val="0"/>
          <w:marTop w:val="0"/>
          <w:marBottom w:val="0"/>
          <w:divBdr>
            <w:top w:val="none" w:sz="0" w:space="0" w:color="auto"/>
            <w:left w:val="none" w:sz="0" w:space="0" w:color="auto"/>
            <w:bottom w:val="none" w:sz="0" w:space="0" w:color="auto"/>
            <w:right w:val="none" w:sz="0" w:space="0" w:color="auto"/>
          </w:divBdr>
        </w:div>
        <w:div w:id="111436104">
          <w:marLeft w:val="640"/>
          <w:marRight w:val="0"/>
          <w:marTop w:val="0"/>
          <w:marBottom w:val="0"/>
          <w:divBdr>
            <w:top w:val="none" w:sz="0" w:space="0" w:color="auto"/>
            <w:left w:val="none" w:sz="0" w:space="0" w:color="auto"/>
            <w:bottom w:val="none" w:sz="0" w:space="0" w:color="auto"/>
            <w:right w:val="none" w:sz="0" w:space="0" w:color="auto"/>
          </w:divBdr>
        </w:div>
        <w:div w:id="805124068">
          <w:marLeft w:val="640"/>
          <w:marRight w:val="0"/>
          <w:marTop w:val="0"/>
          <w:marBottom w:val="0"/>
          <w:divBdr>
            <w:top w:val="none" w:sz="0" w:space="0" w:color="auto"/>
            <w:left w:val="none" w:sz="0" w:space="0" w:color="auto"/>
            <w:bottom w:val="none" w:sz="0" w:space="0" w:color="auto"/>
            <w:right w:val="none" w:sz="0" w:space="0" w:color="auto"/>
          </w:divBdr>
        </w:div>
        <w:div w:id="1081945414">
          <w:marLeft w:val="640"/>
          <w:marRight w:val="0"/>
          <w:marTop w:val="0"/>
          <w:marBottom w:val="0"/>
          <w:divBdr>
            <w:top w:val="none" w:sz="0" w:space="0" w:color="auto"/>
            <w:left w:val="none" w:sz="0" w:space="0" w:color="auto"/>
            <w:bottom w:val="none" w:sz="0" w:space="0" w:color="auto"/>
            <w:right w:val="none" w:sz="0" w:space="0" w:color="auto"/>
          </w:divBdr>
        </w:div>
        <w:div w:id="1943106815">
          <w:marLeft w:val="640"/>
          <w:marRight w:val="0"/>
          <w:marTop w:val="0"/>
          <w:marBottom w:val="0"/>
          <w:divBdr>
            <w:top w:val="none" w:sz="0" w:space="0" w:color="auto"/>
            <w:left w:val="none" w:sz="0" w:space="0" w:color="auto"/>
            <w:bottom w:val="none" w:sz="0" w:space="0" w:color="auto"/>
            <w:right w:val="none" w:sz="0" w:space="0" w:color="auto"/>
          </w:divBdr>
        </w:div>
        <w:div w:id="2082100404">
          <w:marLeft w:val="640"/>
          <w:marRight w:val="0"/>
          <w:marTop w:val="0"/>
          <w:marBottom w:val="0"/>
          <w:divBdr>
            <w:top w:val="none" w:sz="0" w:space="0" w:color="auto"/>
            <w:left w:val="none" w:sz="0" w:space="0" w:color="auto"/>
            <w:bottom w:val="none" w:sz="0" w:space="0" w:color="auto"/>
            <w:right w:val="none" w:sz="0" w:space="0" w:color="auto"/>
          </w:divBdr>
        </w:div>
        <w:div w:id="751270307">
          <w:marLeft w:val="640"/>
          <w:marRight w:val="0"/>
          <w:marTop w:val="0"/>
          <w:marBottom w:val="0"/>
          <w:divBdr>
            <w:top w:val="none" w:sz="0" w:space="0" w:color="auto"/>
            <w:left w:val="none" w:sz="0" w:space="0" w:color="auto"/>
            <w:bottom w:val="none" w:sz="0" w:space="0" w:color="auto"/>
            <w:right w:val="none" w:sz="0" w:space="0" w:color="auto"/>
          </w:divBdr>
        </w:div>
        <w:div w:id="339084107">
          <w:marLeft w:val="640"/>
          <w:marRight w:val="0"/>
          <w:marTop w:val="0"/>
          <w:marBottom w:val="0"/>
          <w:divBdr>
            <w:top w:val="none" w:sz="0" w:space="0" w:color="auto"/>
            <w:left w:val="none" w:sz="0" w:space="0" w:color="auto"/>
            <w:bottom w:val="none" w:sz="0" w:space="0" w:color="auto"/>
            <w:right w:val="none" w:sz="0" w:space="0" w:color="auto"/>
          </w:divBdr>
        </w:div>
        <w:div w:id="1576745425">
          <w:marLeft w:val="640"/>
          <w:marRight w:val="0"/>
          <w:marTop w:val="0"/>
          <w:marBottom w:val="0"/>
          <w:divBdr>
            <w:top w:val="none" w:sz="0" w:space="0" w:color="auto"/>
            <w:left w:val="none" w:sz="0" w:space="0" w:color="auto"/>
            <w:bottom w:val="none" w:sz="0" w:space="0" w:color="auto"/>
            <w:right w:val="none" w:sz="0" w:space="0" w:color="auto"/>
          </w:divBdr>
        </w:div>
        <w:div w:id="267202015">
          <w:marLeft w:val="640"/>
          <w:marRight w:val="0"/>
          <w:marTop w:val="0"/>
          <w:marBottom w:val="0"/>
          <w:divBdr>
            <w:top w:val="none" w:sz="0" w:space="0" w:color="auto"/>
            <w:left w:val="none" w:sz="0" w:space="0" w:color="auto"/>
            <w:bottom w:val="none" w:sz="0" w:space="0" w:color="auto"/>
            <w:right w:val="none" w:sz="0" w:space="0" w:color="auto"/>
          </w:divBdr>
        </w:div>
        <w:div w:id="1395348887">
          <w:marLeft w:val="640"/>
          <w:marRight w:val="0"/>
          <w:marTop w:val="0"/>
          <w:marBottom w:val="0"/>
          <w:divBdr>
            <w:top w:val="none" w:sz="0" w:space="0" w:color="auto"/>
            <w:left w:val="none" w:sz="0" w:space="0" w:color="auto"/>
            <w:bottom w:val="none" w:sz="0" w:space="0" w:color="auto"/>
            <w:right w:val="none" w:sz="0" w:space="0" w:color="auto"/>
          </w:divBdr>
        </w:div>
        <w:div w:id="480195847">
          <w:marLeft w:val="640"/>
          <w:marRight w:val="0"/>
          <w:marTop w:val="0"/>
          <w:marBottom w:val="0"/>
          <w:divBdr>
            <w:top w:val="none" w:sz="0" w:space="0" w:color="auto"/>
            <w:left w:val="none" w:sz="0" w:space="0" w:color="auto"/>
            <w:bottom w:val="none" w:sz="0" w:space="0" w:color="auto"/>
            <w:right w:val="none" w:sz="0" w:space="0" w:color="auto"/>
          </w:divBdr>
        </w:div>
        <w:div w:id="1388647290">
          <w:marLeft w:val="640"/>
          <w:marRight w:val="0"/>
          <w:marTop w:val="0"/>
          <w:marBottom w:val="0"/>
          <w:divBdr>
            <w:top w:val="none" w:sz="0" w:space="0" w:color="auto"/>
            <w:left w:val="none" w:sz="0" w:space="0" w:color="auto"/>
            <w:bottom w:val="none" w:sz="0" w:space="0" w:color="auto"/>
            <w:right w:val="none" w:sz="0" w:space="0" w:color="auto"/>
          </w:divBdr>
        </w:div>
        <w:div w:id="1029180788">
          <w:marLeft w:val="640"/>
          <w:marRight w:val="0"/>
          <w:marTop w:val="0"/>
          <w:marBottom w:val="0"/>
          <w:divBdr>
            <w:top w:val="none" w:sz="0" w:space="0" w:color="auto"/>
            <w:left w:val="none" w:sz="0" w:space="0" w:color="auto"/>
            <w:bottom w:val="none" w:sz="0" w:space="0" w:color="auto"/>
            <w:right w:val="none" w:sz="0" w:space="0" w:color="auto"/>
          </w:divBdr>
        </w:div>
        <w:div w:id="370568638">
          <w:marLeft w:val="640"/>
          <w:marRight w:val="0"/>
          <w:marTop w:val="0"/>
          <w:marBottom w:val="0"/>
          <w:divBdr>
            <w:top w:val="none" w:sz="0" w:space="0" w:color="auto"/>
            <w:left w:val="none" w:sz="0" w:space="0" w:color="auto"/>
            <w:bottom w:val="none" w:sz="0" w:space="0" w:color="auto"/>
            <w:right w:val="none" w:sz="0" w:space="0" w:color="auto"/>
          </w:divBdr>
        </w:div>
        <w:div w:id="1030956195">
          <w:marLeft w:val="640"/>
          <w:marRight w:val="0"/>
          <w:marTop w:val="0"/>
          <w:marBottom w:val="0"/>
          <w:divBdr>
            <w:top w:val="none" w:sz="0" w:space="0" w:color="auto"/>
            <w:left w:val="none" w:sz="0" w:space="0" w:color="auto"/>
            <w:bottom w:val="none" w:sz="0" w:space="0" w:color="auto"/>
            <w:right w:val="none" w:sz="0" w:space="0" w:color="auto"/>
          </w:divBdr>
        </w:div>
        <w:div w:id="206993420">
          <w:marLeft w:val="640"/>
          <w:marRight w:val="0"/>
          <w:marTop w:val="0"/>
          <w:marBottom w:val="0"/>
          <w:divBdr>
            <w:top w:val="none" w:sz="0" w:space="0" w:color="auto"/>
            <w:left w:val="none" w:sz="0" w:space="0" w:color="auto"/>
            <w:bottom w:val="none" w:sz="0" w:space="0" w:color="auto"/>
            <w:right w:val="none" w:sz="0" w:space="0" w:color="auto"/>
          </w:divBdr>
        </w:div>
        <w:div w:id="2142729485">
          <w:marLeft w:val="640"/>
          <w:marRight w:val="0"/>
          <w:marTop w:val="0"/>
          <w:marBottom w:val="0"/>
          <w:divBdr>
            <w:top w:val="none" w:sz="0" w:space="0" w:color="auto"/>
            <w:left w:val="none" w:sz="0" w:space="0" w:color="auto"/>
            <w:bottom w:val="none" w:sz="0" w:space="0" w:color="auto"/>
            <w:right w:val="none" w:sz="0" w:space="0" w:color="auto"/>
          </w:divBdr>
        </w:div>
        <w:div w:id="574438575">
          <w:marLeft w:val="640"/>
          <w:marRight w:val="0"/>
          <w:marTop w:val="0"/>
          <w:marBottom w:val="0"/>
          <w:divBdr>
            <w:top w:val="none" w:sz="0" w:space="0" w:color="auto"/>
            <w:left w:val="none" w:sz="0" w:space="0" w:color="auto"/>
            <w:bottom w:val="none" w:sz="0" w:space="0" w:color="auto"/>
            <w:right w:val="none" w:sz="0" w:space="0" w:color="auto"/>
          </w:divBdr>
        </w:div>
        <w:div w:id="471756367">
          <w:marLeft w:val="640"/>
          <w:marRight w:val="0"/>
          <w:marTop w:val="0"/>
          <w:marBottom w:val="0"/>
          <w:divBdr>
            <w:top w:val="none" w:sz="0" w:space="0" w:color="auto"/>
            <w:left w:val="none" w:sz="0" w:space="0" w:color="auto"/>
            <w:bottom w:val="none" w:sz="0" w:space="0" w:color="auto"/>
            <w:right w:val="none" w:sz="0" w:space="0" w:color="auto"/>
          </w:divBdr>
        </w:div>
        <w:div w:id="1882589433">
          <w:marLeft w:val="640"/>
          <w:marRight w:val="0"/>
          <w:marTop w:val="0"/>
          <w:marBottom w:val="0"/>
          <w:divBdr>
            <w:top w:val="none" w:sz="0" w:space="0" w:color="auto"/>
            <w:left w:val="none" w:sz="0" w:space="0" w:color="auto"/>
            <w:bottom w:val="none" w:sz="0" w:space="0" w:color="auto"/>
            <w:right w:val="none" w:sz="0" w:space="0" w:color="auto"/>
          </w:divBdr>
        </w:div>
        <w:div w:id="1245652070">
          <w:marLeft w:val="640"/>
          <w:marRight w:val="0"/>
          <w:marTop w:val="0"/>
          <w:marBottom w:val="0"/>
          <w:divBdr>
            <w:top w:val="none" w:sz="0" w:space="0" w:color="auto"/>
            <w:left w:val="none" w:sz="0" w:space="0" w:color="auto"/>
            <w:bottom w:val="none" w:sz="0" w:space="0" w:color="auto"/>
            <w:right w:val="none" w:sz="0" w:space="0" w:color="auto"/>
          </w:divBdr>
        </w:div>
        <w:div w:id="1691641115">
          <w:marLeft w:val="640"/>
          <w:marRight w:val="0"/>
          <w:marTop w:val="0"/>
          <w:marBottom w:val="0"/>
          <w:divBdr>
            <w:top w:val="none" w:sz="0" w:space="0" w:color="auto"/>
            <w:left w:val="none" w:sz="0" w:space="0" w:color="auto"/>
            <w:bottom w:val="none" w:sz="0" w:space="0" w:color="auto"/>
            <w:right w:val="none" w:sz="0" w:space="0" w:color="auto"/>
          </w:divBdr>
        </w:div>
        <w:div w:id="1437597712">
          <w:marLeft w:val="640"/>
          <w:marRight w:val="0"/>
          <w:marTop w:val="0"/>
          <w:marBottom w:val="0"/>
          <w:divBdr>
            <w:top w:val="none" w:sz="0" w:space="0" w:color="auto"/>
            <w:left w:val="none" w:sz="0" w:space="0" w:color="auto"/>
            <w:bottom w:val="none" w:sz="0" w:space="0" w:color="auto"/>
            <w:right w:val="none" w:sz="0" w:space="0" w:color="auto"/>
          </w:divBdr>
        </w:div>
        <w:div w:id="1610552313">
          <w:marLeft w:val="640"/>
          <w:marRight w:val="0"/>
          <w:marTop w:val="0"/>
          <w:marBottom w:val="0"/>
          <w:divBdr>
            <w:top w:val="none" w:sz="0" w:space="0" w:color="auto"/>
            <w:left w:val="none" w:sz="0" w:space="0" w:color="auto"/>
            <w:bottom w:val="none" w:sz="0" w:space="0" w:color="auto"/>
            <w:right w:val="none" w:sz="0" w:space="0" w:color="auto"/>
          </w:divBdr>
        </w:div>
        <w:div w:id="1088313510">
          <w:marLeft w:val="640"/>
          <w:marRight w:val="0"/>
          <w:marTop w:val="0"/>
          <w:marBottom w:val="0"/>
          <w:divBdr>
            <w:top w:val="none" w:sz="0" w:space="0" w:color="auto"/>
            <w:left w:val="none" w:sz="0" w:space="0" w:color="auto"/>
            <w:bottom w:val="none" w:sz="0" w:space="0" w:color="auto"/>
            <w:right w:val="none" w:sz="0" w:space="0" w:color="auto"/>
          </w:divBdr>
        </w:div>
        <w:div w:id="1868059406">
          <w:marLeft w:val="640"/>
          <w:marRight w:val="0"/>
          <w:marTop w:val="0"/>
          <w:marBottom w:val="0"/>
          <w:divBdr>
            <w:top w:val="none" w:sz="0" w:space="0" w:color="auto"/>
            <w:left w:val="none" w:sz="0" w:space="0" w:color="auto"/>
            <w:bottom w:val="none" w:sz="0" w:space="0" w:color="auto"/>
            <w:right w:val="none" w:sz="0" w:space="0" w:color="auto"/>
          </w:divBdr>
        </w:div>
        <w:div w:id="1415735719">
          <w:marLeft w:val="640"/>
          <w:marRight w:val="0"/>
          <w:marTop w:val="0"/>
          <w:marBottom w:val="0"/>
          <w:divBdr>
            <w:top w:val="none" w:sz="0" w:space="0" w:color="auto"/>
            <w:left w:val="none" w:sz="0" w:space="0" w:color="auto"/>
            <w:bottom w:val="none" w:sz="0" w:space="0" w:color="auto"/>
            <w:right w:val="none" w:sz="0" w:space="0" w:color="auto"/>
          </w:divBdr>
        </w:div>
        <w:div w:id="1279070539">
          <w:marLeft w:val="640"/>
          <w:marRight w:val="0"/>
          <w:marTop w:val="0"/>
          <w:marBottom w:val="0"/>
          <w:divBdr>
            <w:top w:val="none" w:sz="0" w:space="0" w:color="auto"/>
            <w:left w:val="none" w:sz="0" w:space="0" w:color="auto"/>
            <w:bottom w:val="none" w:sz="0" w:space="0" w:color="auto"/>
            <w:right w:val="none" w:sz="0" w:space="0" w:color="auto"/>
          </w:divBdr>
        </w:div>
        <w:div w:id="1977761352">
          <w:marLeft w:val="640"/>
          <w:marRight w:val="0"/>
          <w:marTop w:val="0"/>
          <w:marBottom w:val="0"/>
          <w:divBdr>
            <w:top w:val="none" w:sz="0" w:space="0" w:color="auto"/>
            <w:left w:val="none" w:sz="0" w:space="0" w:color="auto"/>
            <w:bottom w:val="none" w:sz="0" w:space="0" w:color="auto"/>
            <w:right w:val="none" w:sz="0" w:space="0" w:color="auto"/>
          </w:divBdr>
        </w:div>
        <w:div w:id="2007826434">
          <w:marLeft w:val="640"/>
          <w:marRight w:val="0"/>
          <w:marTop w:val="0"/>
          <w:marBottom w:val="0"/>
          <w:divBdr>
            <w:top w:val="none" w:sz="0" w:space="0" w:color="auto"/>
            <w:left w:val="none" w:sz="0" w:space="0" w:color="auto"/>
            <w:bottom w:val="none" w:sz="0" w:space="0" w:color="auto"/>
            <w:right w:val="none" w:sz="0" w:space="0" w:color="auto"/>
          </w:divBdr>
        </w:div>
        <w:div w:id="1732343089">
          <w:marLeft w:val="640"/>
          <w:marRight w:val="0"/>
          <w:marTop w:val="0"/>
          <w:marBottom w:val="0"/>
          <w:divBdr>
            <w:top w:val="none" w:sz="0" w:space="0" w:color="auto"/>
            <w:left w:val="none" w:sz="0" w:space="0" w:color="auto"/>
            <w:bottom w:val="none" w:sz="0" w:space="0" w:color="auto"/>
            <w:right w:val="none" w:sz="0" w:space="0" w:color="auto"/>
          </w:divBdr>
        </w:div>
        <w:div w:id="226066277">
          <w:marLeft w:val="640"/>
          <w:marRight w:val="0"/>
          <w:marTop w:val="0"/>
          <w:marBottom w:val="0"/>
          <w:divBdr>
            <w:top w:val="none" w:sz="0" w:space="0" w:color="auto"/>
            <w:left w:val="none" w:sz="0" w:space="0" w:color="auto"/>
            <w:bottom w:val="none" w:sz="0" w:space="0" w:color="auto"/>
            <w:right w:val="none" w:sz="0" w:space="0" w:color="auto"/>
          </w:divBdr>
        </w:div>
        <w:div w:id="1631283698">
          <w:marLeft w:val="640"/>
          <w:marRight w:val="0"/>
          <w:marTop w:val="0"/>
          <w:marBottom w:val="0"/>
          <w:divBdr>
            <w:top w:val="none" w:sz="0" w:space="0" w:color="auto"/>
            <w:left w:val="none" w:sz="0" w:space="0" w:color="auto"/>
            <w:bottom w:val="none" w:sz="0" w:space="0" w:color="auto"/>
            <w:right w:val="none" w:sz="0" w:space="0" w:color="auto"/>
          </w:divBdr>
        </w:div>
        <w:div w:id="297419854">
          <w:marLeft w:val="640"/>
          <w:marRight w:val="0"/>
          <w:marTop w:val="0"/>
          <w:marBottom w:val="0"/>
          <w:divBdr>
            <w:top w:val="none" w:sz="0" w:space="0" w:color="auto"/>
            <w:left w:val="none" w:sz="0" w:space="0" w:color="auto"/>
            <w:bottom w:val="none" w:sz="0" w:space="0" w:color="auto"/>
            <w:right w:val="none" w:sz="0" w:space="0" w:color="auto"/>
          </w:divBdr>
        </w:div>
        <w:div w:id="160782205">
          <w:marLeft w:val="640"/>
          <w:marRight w:val="0"/>
          <w:marTop w:val="0"/>
          <w:marBottom w:val="0"/>
          <w:divBdr>
            <w:top w:val="none" w:sz="0" w:space="0" w:color="auto"/>
            <w:left w:val="none" w:sz="0" w:space="0" w:color="auto"/>
            <w:bottom w:val="none" w:sz="0" w:space="0" w:color="auto"/>
            <w:right w:val="none" w:sz="0" w:space="0" w:color="auto"/>
          </w:divBdr>
        </w:div>
        <w:div w:id="110981685">
          <w:marLeft w:val="640"/>
          <w:marRight w:val="0"/>
          <w:marTop w:val="0"/>
          <w:marBottom w:val="0"/>
          <w:divBdr>
            <w:top w:val="none" w:sz="0" w:space="0" w:color="auto"/>
            <w:left w:val="none" w:sz="0" w:space="0" w:color="auto"/>
            <w:bottom w:val="none" w:sz="0" w:space="0" w:color="auto"/>
            <w:right w:val="none" w:sz="0" w:space="0" w:color="auto"/>
          </w:divBdr>
        </w:div>
        <w:div w:id="1944919009">
          <w:marLeft w:val="640"/>
          <w:marRight w:val="0"/>
          <w:marTop w:val="0"/>
          <w:marBottom w:val="0"/>
          <w:divBdr>
            <w:top w:val="none" w:sz="0" w:space="0" w:color="auto"/>
            <w:left w:val="none" w:sz="0" w:space="0" w:color="auto"/>
            <w:bottom w:val="none" w:sz="0" w:space="0" w:color="auto"/>
            <w:right w:val="none" w:sz="0" w:space="0" w:color="auto"/>
          </w:divBdr>
        </w:div>
        <w:div w:id="696589412">
          <w:marLeft w:val="640"/>
          <w:marRight w:val="0"/>
          <w:marTop w:val="0"/>
          <w:marBottom w:val="0"/>
          <w:divBdr>
            <w:top w:val="none" w:sz="0" w:space="0" w:color="auto"/>
            <w:left w:val="none" w:sz="0" w:space="0" w:color="auto"/>
            <w:bottom w:val="none" w:sz="0" w:space="0" w:color="auto"/>
            <w:right w:val="none" w:sz="0" w:space="0" w:color="auto"/>
          </w:divBdr>
        </w:div>
        <w:div w:id="678318044">
          <w:marLeft w:val="640"/>
          <w:marRight w:val="0"/>
          <w:marTop w:val="0"/>
          <w:marBottom w:val="0"/>
          <w:divBdr>
            <w:top w:val="none" w:sz="0" w:space="0" w:color="auto"/>
            <w:left w:val="none" w:sz="0" w:space="0" w:color="auto"/>
            <w:bottom w:val="none" w:sz="0" w:space="0" w:color="auto"/>
            <w:right w:val="none" w:sz="0" w:space="0" w:color="auto"/>
          </w:divBdr>
        </w:div>
        <w:div w:id="1371344875">
          <w:marLeft w:val="640"/>
          <w:marRight w:val="0"/>
          <w:marTop w:val="0"/>
          <w:marBottom w:val="0"/>
          <w:divBdr>
            <w:top w:val="none" w:sz="0" w:space="0" w:color="auto"/>
            <w:left w:val="none" w:sz="0" w:space="0" w:color="auto"/>
            <w:bottom w:val="none" w:sz="0" w:space="0" w:color="auto"/>
            <w:right w:val="none" w:sz="0" w:space="0" w:color="auto"/>
          </w:divBdr>
        </w:div>
        <w:div w:id="856507892">
          <w:marLeft w:val="640"/>
          <w:marRight w:val="0"/>
          <w:marTop w:val="0"/>
          <w:marBottom w:val="0"/>
          <w:divBdr>
            <w:top w:val="none" w:sz="0" w:space="0" w:color="auto"/>
            <w:left w:val="none" w:sz="0" w:space="0" w:color="auto"/>
            <w:bottom w:val="none" w:sz="0" w:space="0" w:color="auto"/>
            <w:right w:val="none" w:sz="0" w:space="0" w:color="auto"/>
          </w:divBdr>
        </w:div>
        <w:div w:id="1343968979">
          <w:marLeft w:val="640"/>
          <w:marRight w:val="0"/>
          <w:marTop w:val="0"/>
          <w:marBottom w:val="0"/>
          <w:divBdr>
            <w:top w:val="none" w:sz="0" w:space="0" w:color="auto"/>
            <w:left w:val="none" w:sz="0" w:space="0" w:color="auto"/>
            <w:bottom w:val="none" w:sz="0" w:space="0" w:color="auto"/>
            <w:right w:val="none" w:sz="0" w:space="0" w:color="auto"/>
          </w:divBdr>
        </w:div>
        <w:div w:id="168443971">
          <w:marLeft w:val="640"/>
          <w:marRight w:val="0"/>
          <w:marTop w:val="0"/>
          <w:marBottom w:val="0"/>
          <w:divBdr>
            <w:top w:val="none" w:sz="0" w:space="0" w:color="auto"/>
            <w:left w:val="none" w:sz="0" w:space="0" w:color="auto"/>
            <w:bottom w:val="none" w:sz="0" w:space="0" w:color="auto"/>
            <w:right w:val="none" w:sz="0" w:space="0" w:color="auto"/>
          </w:divBdr>
        </w:div>
        <w:div w:id="1623657965">
          <w:marLeft w:val="640"/>
          <w:marRight w:val="0"/>
          <w:marTop w:val="0"/>
          <w:marBottom w:val="0"/>
          <w:divBdr>
            <w:top w:val="none" w:sz="0" w:space="0" w:color="auto"/>
            <w:left w:val="none" w:sz="0" w:space="0" w:color="auto"/>
            <w:bottom w:val="none" w:sz="0" w:space="0" w:color="auto"/>
            <w:right w:val="none" w:sz="0" w:space="0" w:color="auto"/>
          </w:divBdr>
        </w:div>
        <w:div w:id="1548179400">
          <w:marLeft w:val="640"/>
          <w:marRight w:val="0"/>
          <w:marTop w:val="0"/>
          <w:marBottom w:val="0"/>
          <w:divBdr>
            <w:top w:val="none" w:sz="0" w:space="0" w:color="auto"/>
            <w:left w:val="none" w:sz="0" w:space="0" w:color="auto"/>
            <w:bottom w:val="none" w:sz="0" w:space="0" w:color="auto"/>
            <w:right w:val="none" w:sz="0" w:space="0" w:color="auto"/>
          </w:divBdr>
        </w:div>
        <w:div w:id="760418875">
          <w:marLeft w:val="640"/>
          <w:marRight w:val="0"/>
          <w:marTop w:val="0"/>
          <w:marBottom w:val="0"/>
          <w:divBdr>
            <w:top w:val="none" w:sz="0" w:space="0" w:color="auto"/>
            <w:left w:val="none" w:sz="0" w:space="0" w:color="auto"/>
            <w:bottom w:val="none" w:sz="0" w:space="0" w:color="auto"/>
            <w:right w:val="none" w:sz="0" w:space="0" w:color="auto"/>
          </w:divBdr>
        </w:div>
        <w:div w:id="2117016679">
          <w:marLeft w:val="640"/>
          <w:marRight w:val="0"/>
          <w:marTop w:val="0"/>
          <w:marBottom w:val="0"/>
          <w:divBdr>
            <w:top w:val="none" w:sz="0" w:space="0" w:color="auto"/>
            <w:left w:val="none" w:sz="0" w:space="0" w:color="auto"/>
            <w:bottom w:val="none" w:sz="0" w:space="0" w:color="auto"/>
            <w:right w:val="none" w:sz="0" w:space="0" w:color="auto"/>
          </w:divBdr>
        </w:div>
        <w:div w:id="838427453">
          <w:marLeft w:val="640"/>
          <w:marRight w:val="0"/>
          <w:marTop w:val="0"/>
          <w:marBottom w:val="0"/>
          <w:divBdr>
            <w:top w:val="none" w:sz="0" w:space="0" w:color="auto"/>
            <w:left w:val="none" w:sz="0" w:space="0" w:color="auto"/>
            <w:bottom w:val="none" w:sz="0" w:space="0" w:color="auto"/>
            <w:right w:val="none" w:sz="0" w:space="0" w:color="auto"/>
          </w:divBdr>
        </w:div>
        <w:div w:id="1109621658">
          <w:marLeft w:val="640"/>
          <w:marRight w:val="0"/>
          <w:marTop w:val="0"/>
          <w:marBottom w:val="0"/>
          <w:divBdr>
            <w:top w:val="none" w:sz="0" w:space="0" w:color="auto"/>
            <w:left w:val="none" w:sz="0" w:space="0" w:color="auto"/>
            <w:bottom w:val="none" w:sz="0" w:space="0" w:color="auto"/>
            <w:right w:val="none" w:sz="0" w:space="0" w:color="auto"/>
          </w:divBdr>
        </w:div>
        <w:div w:id="1645770774">
          <w:marLeft w:val="640"/>
          <w:marRight w:val="0"/>
          <w:marTop w:val="0"/>
          <w:marBottom w:val="0"/>
          <w:divBdr>
            <w:top w:val="none" w:sz="0" w:space="0" w:color="auto"/>
            <w:left w:val="none" w:sz="0" w:space="0" w:color="auto"/>
            <w:bottom w:val="none" w:sz="0" w:space="0" w:color="auto"/>
            <w:right w:val="none" w:sz="0" w:space="0" w:color="auto"/>
          </w:divBdr>
        </w:div>
        <w:div w:id="395903579">
          <w:marLeft w:val="640"/>
          <w:marRight w:val="0"/>
          <w:marTop w:val="0"/>
          <w:marBottom w:val="0"/>
          <w:divBdr>
            <w:top w:val="none" w:sz="0" w:space="0" w:color="auto"/>
            <w:left w:val="none" w:sz="0" w:space="0" w:color="auto"/>
            <w:bottom w:val="none" w:sz="0" w:space="0" w:color="auto"/>
            <w:right w:val="none" w:sz="0" w:space="0" w:color="auto"/>
          </w:divBdr>
        </w:div>
        <w:div w:id="1532187137">
          <w:marLeft w:val="640"/>
          <w:marRight w:val="0"/>
          <w:marTop w:val="0"/>
          <w:marBottom w:val="0"/>
          <w:divBdr>
            <w:top w:val="none" w:sz="0" w:space="0" w:color="auto"/>
            <w:left w:val="none" w:sz="0" w:space="0" w:color="auto"/>
            <w:bottom w:val="none" w:sz="0" w:space="0" w:color="auto"/>
            <w:right w:val="none" w:sz="0" w:space="0" w:color="auto"/>
          </w:divBdr>
        </w:div>
        <w:div w:id="247353061">
          <w:marLeft w:val="640"/>
          <w:marRight w:val="0"/>
          <w:marTop w:val="0"/>
          <w:marBottom w:val="0"/>
          <w:divBdr>
            <w:top w:val="none" w:sz="0" w:space="0" w:color="auto"/>
            <w:left w:val="none" w:sz="0" w:space="0" w:color="auto"/>
            <w:bottom w:val="none" w:sz="0" w:space="0" w:color="auto"/>
            <w:right w:val="none" w:sz="0" w:space="0" w:color="auto"/>
          </w:divBdr>
        </w:div>
        <w:div w:id="1052341181">
          <w:marLeft w:val="640"/>
          <w:marRight w:val="0"/>
          <w:marTop w:val="0"/>
          <w:marBottom w:val="0"/>
          <w:divBdr>
            <w:top w:val="none" w:sz="0" w:space="0" w:color="auto"/>
            <w:left w:val="none" w:sz="0" w:space="0" w:color="auto"/>
            <w:bottom w:val="none" w:sz="0" w:space="0" w:color="auto"/>
            <w:right w:val="none" w:sz="0" w:space="0" w:color="auto"/>
          </w:divBdr>
        </w:div>
        <w:div w:id="1423723437">
          <w:marLeft w:val="640"/>
          <w:marRight w:val="0"/>
          <w:marTop w:val="0"/>
          <w:marBottom w:val="0"/>
          <w:divBdr>
            <w:top w:val="none" w:sz="0" w:space="0" w:color="auto"/>
            <w:left w:val="none" w:sz="0" w:space="0" w:color="auto"/>
            <w:bottom w:val="none" w:sz="0" w:space="0" w:color="auto"/>
            <w:right w:val="none" w:sz="0" w:space="0" w:color="auto"/>
          </w:divBdr>
        </w:div>
        <w:div w:id="1382829184">
          <w:marLeft w:val="640"/>
          <w:marRight w:val="0"/>
          <w:marTop w:val="0"/>
          <w:marBottom w:val="0"/>
          <w:divBdr>
            <w:top w:val="none" w:sz="0" w:space="0" w:color="auto"/>
            <w:left w:val="none" w:sz="0" w:space="0" w:color="auto"/>
            <w:bottom w:val="none" w:sz="0" w:space="0" w:color="auto"/>
            <w:right w:val="none" w:sz="0" w:space="0" w:color="auto"/>
          </w:divBdr>
        </w:div>
        <w:div w:id="2039963009">
          <w:marLeft w:val="640"/>
          <w:marRight w:val="0"/>
          <w:marTop w:val="0"/>
          <w:marBottom w:val="0"/>
          <w:divBdr>
            <w:top w:val="none" w:sz="0" w:space="0" w:color="auto"/>
            <w:left w:val="none" w:sz="0" w:space="0" w:color="auto"/>
            <w:bottom w:val="none" w:sz="0" w:space="0" w:color="auto"/>
            <w:right w:val="none" w:sz="0" w:space="0" w:color="auto"/>
          </w:divBdr>
        </w:div>
        <w:div w:id="1035540589">
          <w:marLeft w:val="640"/>
          <w:marRight w:val="0"/>
          <w:marTop w:val="0"/>
          <w:marBottom w:val="0"/>
          <w:divBdr>
            <w:top w:val="none" w:sz="0" w:space="0" w:color="auto"/>
            <w:left w:val="none" w:sz="0" w:space="0" w:color="auto"/>
            <w:bottom w:val="none" w:sz="0" w:space="0" w:color="auto"/>
            <w:right w:val="none" w:sz="0" w:space="0" w:color="auto"/>
          </w:divBdr>
        </w:div>
        <w:div w:id="804396192">
          <w:marLeft w:val="640"/>
          <w:marRight w:val="0"/>
          <w:marTop w:val="0"/>
          <w:marBottom w:val="0"/>
          <w:divBdr>
            <w:top w:val="none" w:sz="0" w:space="0" w:color="auto"/>
            <w:left w:val="none" w:sz="0" w:space="0" w:color="auto"/>
            <w:bottom w:val="none" w:sz="0" w:space="0" w:color="auto"/>
            <w:right w:val="none" w:sz="0" w:space="0" w:color="auto"/>
          </w:divBdr>
        </w:div>
        <w:div w:id="954604325">
          <w:marLeft w:val="640"/>
          <w:marRight w:val="0"/>
          <w:marTop w:val="0"/>
          <w:marBottom w:val="0"/>
          <w:divBdr>
            <w:top w:val="none" w:sz="0" w:space="0" w:color="auto"/>
            <w:left w:val="none" w:sz="0" w:space="0" w:color="auto"/>
            <w:bottom w:val="none" w:sz="0" w:space="0" w:color="auto"/>
            <w:right w:val="none" w:sz="0" w:space="0" w:color="auto"/>
          </w:divBdr>
        </w:div>
        <w:div w:id="1850871384">
          <w:marLeft w:val="640"/>
          <w:marRight w:val="0"/>
          <w:marTop w:val="0"/>
          <w:marBottom w:val="0"/>
          <w:divBdr>
            <w:top w:val="none" w:sz="0" w:space="0" w:color="auto"/>
            <w:left w:val="none" w:sz="0" w:space="0" w:color="auto"/>
            <w:bottom w:val="none" w:sz="0" w:space="0" w:color="auto"/>
            <w:right w:val="none" w:sz="0" w:space="0" w:color="auto"/>
          </w:divBdr>
        </w:div>
        <w:div w:id="1610383297">
          <w:marLeft w:val="640"/>
          <w:marRight w:val="0"/>
          <w:marTop w:val="0"/>
          <w:marBottom w:val="0"/>
          <w:divBdr>
            <w:top w:val="none" w:sz="0" w:space="0" w:color="auto"/>
            <w:left w:val="none" w:sz="0" w:space="0" w:color="auto"/>
            <w:bottom w:val="none" w:sz="0" w:space="0" w:color="auto"/>
            <w:right w:val="none" w:sz="0" w:space="0" w:color="auto"/>
          </w:divBdr>
        </w:div>
        <w:div w:id="800612285">
          <w:marLeft w:val="640"/>
          <w:marRight w:val="0"/>
          <w:marTop w:val="0"/>
          <w:marBottom w:val="0"/>
          <w:divBdr>
            <w:top w:val="none" w:sz="0" w:space="0" w:color="auto"/>
            <w:left w:val="none" w:sz="0" w:space="0" w:color="auto"/>
            <w:bottom w:val="none" w:sz="0" w:space="0" w:color="auto"/>
            <w:right w:val="none" w:sz="0" w:space="0" w:color="auto"/>
          </w:divBdr>
        </w:div>
        <w:div w:id="1961765698">
          <w:marLeft w:val="640"/>
          <w:marRight w:val="0"/>
          <w:marTop w:val="0"/>
          <w:marBottom w:val="0"/>
          <w:divBdr>
            <w:top w:val="none" w:sz="0" w:space="0" w:color="auto"/>
            <w:left w:val="none" w:sz="0" w:space="0" w:color="auto"/>
            <w:bottom w:val="none" w:sz="0" w:space="0" w:color="auto"/>
            <w:right w:val="none" w:sz="0" w:space="0" w:color="auto"/>
          </w:divBdr>
        </w:div>
        <w:div w:id="474763169">
          <w:marLeft w:val="640"/>
          <w:marRight w:val="0"/>
          <w:marTop w:val="0"/>
          <w:marBottom w:val="0"/>
          <w:divBdr>
            <w:top w:val="none" w:sz="0" w:space="0" w:color="auto"/>
            <w:left w:val="none" w:sz="0" w:space="0" w:color="auto"/>
            <w:bottom w:val="none" w:sz="0" w:space="0" w:color="auto"/>
            <w:right w:val="none" w:sz="0" w:space="0" w:color="auto"/>
          </w:divBdr>
        </w:div>
        <w:div w:id="71006067">
          <w:marLeft w:val="640"/>
          <w:marRight w:val="0"/>
          <w:marTop w:val="0"/>
          <w:marBottom w:val="0"/>
          <w:divBdr>
            <w:top w:val="none" w:sz="0" w:space="0" w:color="auto"/>
            <w:left w:val="none" w:sz="0" w:space="0" w:color="auto"/>
            <w:bottom w:val="none" w:sz="0" w:space="0" w:color="auto"/>
            <w:right w:val="none" w:sz="0" w:space="0" w:color="auto"/>
          </w:divBdr>
        </w:div>
        <w:div w:id="394087853">
          <w:marLeft w:val="640"/>
          <w:marRight w:val="0"/>
          <w:marTop w:val="0"/>
          <w:marBottom w:val="0"/>
          <w:divBdr>
            <w:top w:val="none" w:sz="0" w:space="0" w:color="auto"/>
            <w:left w:val="none" w:sz="0" w:space="0" w:color="auto"/>
            <w:bottom w:val="none" w:sz="0" w:space="0" w:color="auto"/>
            <w:right w:val="none" w:sz="0" w:space="0" w:color="auto"/>
          </w:divBdr>
        </w:div>
        <w:div w:id="2083025111">
          <w:marLeft w:val="640"/>
          <w:marRight w:val="0"/>
          <w:marTop w:val="0"/>
          <w:marBottom w:val="0"/>
          <w:divBdr>
            <w:top w:val="none" w:sz="0" w:space="0" w:color="auto"/>
            <w:left w:val="none" w:sz="0" w:space="0" w:color="auto"/>
            <w:bottom w:val="none" w:sz="0" w:space="0" w:color="auto"/>
            <w:right w:val="none" w:sz="0" w:space="0" w:color="auto"/>
          </w:divBdr>
        </w:div>
        <w:div w:id="188228552">
          <w:marLeft w:val="640"/>
          <w:marRight w:val="0"/>
          <w:marTop w:val="0"/>
          <w:marBottom w:val="0"/>
          <w:divBdr>
            <w:top w:val="none" w:sz="0" w:space="0" w:color="auto"/>
            <w:left w:val="none" w:sz="0" w:space="0" w:color="auto"/>
            <w:bottom w:val="none" w:sz="0" w:space="0" w:color="auto"/>
            <w:right w:val="none" w:sz="0" w:space="0" w:color="auto"/>
          </w:divBdr>
        </w:div>
        <w:div w:id="1077483752">
          <w:marLeft w:val="640"/>
          <w:marRight w:val="0"/>
          <w:marTop w:val="0"/>
          <w:marBottom w:val="0"/>
          <w:divBdr>
            <w:top w:val="none" w:sz="0" w:space="0" w:color="auto"/>
            <w:left w:val="none" w:sz="0" w:space="0" w:color="auto"/>
            <w:bottom w:val="none" w:sz="0" w:space="0" w:color="auto"/>
            <w:right w:val="none" w:sz="0" w:space="0" w:color="auto"/>
          </w:divBdr>
        </w:div>
        <w:div w:id="2061436545">
          <w:marLeft w:val="640"/>
          <w:marRight w:val="0"/>
          <w:marTop w:val="0"/>
          <w:marBottom w:val="0"/>
          <w:divBdr>
            <w:top w:val="none" w:sz="0" w:space="0" w:color="auto"/>
            <w:left w:val="none" w:sz="0" w:space="0" w:color="auto"/>
            <w:bottom w:val="none" w:sz="0" w:space="0" w:color="auto"/>
            <w:right w:val="none" w:sz="0" w:space="0" w:color="auto"/>
          </w:divBdr>
        </w:div>
        <w:div w:id="19404088">
          <w:marLeft w:val="640"/>
          <w:marRight w:val="0"/>
          <w:marTop w:val="0"/>
          <w:marBottom w:val="0"/>
          <w:divBdr>
            <w:top w:val="none" w:sz="0" w:space="0" w:color="auto"/>
            <w:left w:val="none" w:sz="0" w:space="0" w:color="auto"/>
            <w:bottom w:val="none" w:sz="0" w:space="0" w:color="auto"/>
            <w:right w:val="none" w:sz="0" w:space="0" w:color="auto"/>
          </w:divBdr>
        </w:div>
        <w:div w:id="390346435">
          <w:marLeft w:val="640"/>
          <w:marRight w:val="0"/>
          <w:marTop w:val="0"/>
          <w:marBottom w:val="0"/>
          <w:divBdr>
            <w:top w:val="none" w:sz="0" w:space="0" w:color="auto"/>
            <w:left w:val="none" w:sz="0" w:space="0" w:color="auto"/>
            <w:bottom w:val="none" w:sz="0" w:space="0" w:color="auto"/>
            <w:right w:val="none" w:sz="0" w:space="0" w:color="auto"/>
          </w:divBdr>
        </w:div>
        <w:div w:id="1967738987">
          <w:marLeft w:val="640"/>
          <w:marRight w:val="0"/>
          <w:marTop w:val="0"/>
          <w:marBottom w:val="0"/>
          <w:divBdr>
            <w:top w:val="none" w:sz="0" w:space="0" w:color="auto"/>
            <w:left w:val="none" w:sz="0" w:space="0" w:color="auto"/>
            <w:bottom w:val="none" w:sz="0" w:space="0" w:color="auto"/>
            <w:right w:val="none" w:sz="0" w:space="0" w:color="auto"/>
          </w:divBdr>
        </w:div>
        <w:div w:id="860167617">
          <w:marLeft w:val="640"/>
          <w:marRight w:val="0"/>
          <w:marTop w:val="0"/>
          <w:marBottom w:val="0"/>
          <w:divBdr>
            <w:top w:val="none" w:sz="0" w:space="0" w:color="auto"/>
            <w:left w:val="none" w:sz="0" w:space="0" w:color="auto"/>
            <w:bottom w:val="none" w:sz="0" w:space="0" w:color="auto"/>
            <w:right w:val="none" w:sz="0" w:space="0" w:color="auto"/>
          </w:divBdr>
        </w:div>
        <w:div w:id="403573192">
          <w:marLeft w:val="640"/>
          <w:marRight w:val="0"/>
          <w:marTop w:val="0"/>
          <w:marBottom w:val="0"/>
          <w:divBdr>
            <w:top w:val="none" w:sz="0" w:space="0" w:color="auto"/>
            <w:left w:val="none" w:sz="0" w:space="0" w:color="auto"/>
            <w:bottom w:val="none" w:sz="0" w:space="0" w:color="auto"/>
            <w:right w:val="none" w:sz="0" w:space="0" w:color="auto"/>
          </w:divBdr>
        </w:div>
        <w:div w:id="1178426569">
          <w:marLeft w:val="640"/>
          <w:marRight w:val="0"/>
          <w:marTop w:val="0"/>
          <w:marBottom w:val="0"/>
          <w:divBdr>
            <w:top w:val="none" w:sz="0" w:space="0" w:color="auto"/>
            <w:left w:val="none" w:sz="0" w:space="0" w:color="auto"/>
            <w:bottom w:val="none" w:sz="0" w:space="0" w:color="auto"/>
            <w:right w:val="none" w:sz="0" w:space="0" w:color="auto"/>
          </w:divBdr>
        </w:div>
        <w:div w:id="946502787">
          <w:marLeft w:val="640"/>
          <w:marRight w:val="0"/>
          <w:marTop w:val="0"/>
          <w:marBottom w:val="0"/>
          <w:divBdr>
            <w:top w:val="none" w:sz="0" w:space="0" w:color="auto"/>
            <w:left w:val="none" w:sz="0" w:space="0" w:color="auto"/>
            <w:bottom w:val="none" w:sz="0" w:space="0" w:color="auto"/>
            <w:right w:val="none" w:sz="0" w:space="0" w:color="auto"/>
          </w:divBdr>
        </w:div>
        <w:div w:id="1756825083">
          <w:marLeft w:val="640"/>
          <w:marRight w:val="0"/>
          <w:marTop w:val="0"/>
          <w:marBottom w:val="0"/>
          <w:divBdr>
            <w:top w:val="none" w:sz="0" w:space="0" w:color="auto"/>
            <w:left w:val="none" w:sz="0" w:space="0" w:color="auto"/>
            <w:bottom w:val="none" w:sz="0" w:space="0" w:color="auto"/>
            <w:right w:val="none" w:sz="0" w:space="0" w:color="auto"/>
          </w:divBdr>
        </w:div>
        <w:div w:id="165171014">
          <w:marLeft w:val="640"/>
          <w:marRight w:val="0"/>
          <w:marTop w:val="0"/>
          <w:marBottom w:val="0"/>
          <w:divBdr>
            <w:top w:val="none" w:sz="0" w:space="0" w:color="auto"/>
            <w:left w:val="none" w:sz="0" w:space="0" w:color="auto"/>
            <w:bottom w:val="none" w:sz="0" w:space="0" w:color="auto"/>
            <w:right w:val="none" w:sz="0" w:space="0" w:color="auto"/>
          </w:divBdr>
        </w:div>
        <w:div w:id="1091849194">
          <w:marLeft w:val="640"/>
          <w:marRight w:val="0"/>
          <w:marTop w:val="0"/>
          <w:marBottom w:val="0"/>
          <w:divBdr>
            <w:top w:val="none" w:sz="0" w:space="0" w:color="auto"/>
            <w:left w:val="none" w:sz="0" w:space="0" w:color="auto"/>
            <w:bottom w:val="none" w:sz="0" w:space="0" w:color="auto"/>
            <w:right w:val="none" w:sz="0" w:space="0" w:color="auto"/>
          </w:divBdr>
        </w:div>
        <w:div w:id="1723139977">
          <w:marLeft w:val="640"/>
          <w:marRight w:val="0"/>
          <w:marTop w:val="0"/>
          <w:marBottom w:val="0"/>
          <w:divBdr>
            <w:top w:val="none" w:sz="0" w:space="0" w:color="auto"/>
            <w:left w:val="none" w:sz="0" w:space="0" w:color="auto"/>
            <w:bottom w:val="none" w:sz="0" w:space="0" w:color="auto"/>
            <w:right w:val="none" w:sz="0" w:space="0" w:color="auto"/>
          </w:divBdr>
        </w:div>
        <w:div w:id="237374036">
          <w:marLeft w:val="640"/>
          <w:marRight w:val="0"/>
          <w:marTop w:val="0"/>
          <w:marBottom w:val="0"/>
          <w:divBdr>
            <w:top w:val="none" w:sz="0" w:space="0" w:color="auto"/>
            <w:left w:val="none" w:sz="0" w:space="0" w:color="auto"/>
            <w:bottom w:val="none" w:sz="0" w:space="0" w:color="auto"/>
            <w:right w:val="none" w:sz="0" w:space="0" w:color="auto"/>
          </w:divBdr>
        </w:div>
        <w:div w:id="1133014131">
          <w:marLeft w:val="640"/>
          <w:marRight w:val="0"/>
          <w:marTop w:val="0"/>
          <w:marBottom w:val="0"/>
          <w:divBdr>
            <w:top w:val="none" w:sz="0" w:space="0" w:color="auto"/>
            <w:left w:val="none" w:sz="0" w:space="0" w:color="auto"/>
            <w:bottom w:val="none" w:sz="0" w:space="0" w:color="auto"/>
            <w:right w:val="none" w:sz="0" w:space="0" w:color="auto"/>
          </w:divBdr>
        </w:div>
        <w:div w:id="846284837">
          <w:marLeft w:val="640"/>
          <w:marRight w:val="0"/>
          <w:marTop w:val="0"/>
          <w:marBottom w:val="0"/>
          <w:divBdr>
            <w:top w:val="none" w:sz="0" w:space="0" w:color="auto"/>
            <w:left w:val="none" w:sz="0" w:space="0" w:color="auto"/>
            <w:bottom w:val="none" w:sz="0" w:space="0" w:color="auto"/>
            <w:right w:val="none" w:sz="0" w:space="0" w:color="auto"/>
          </w:divBdr>
        </w:div>
        <w:div w:id="1385062489">
          <w:marLeft w:val="640"/>
          <w:marRight w:val="0"/>
          <w:marTop w:val="0"/>
          <w:marBottom w:val="0"/>
          <w:divBdr>
            <w:top w:val="none" w:sz="0" w:space="0" w:color="auto"/>
            <w:left w:val="none" w:sz="0" w:space="0" w:color="auto"/>
            <w:bottom w:val="none" w:sz="0" w:space="0" w:color="auto"/>
            <w:right w:val="none" w:sz="0" w:space="0" w:color="auto"/>
          </w:divBdr>
        </w:div>
        <w:div w:id="1285693064">
          <w:marLeft w:val="640"/>
          <w:marRight w:val="0"/>
          <w:marTop w:val="0"/>
          <w:marBottom w:val="0"/>
          <w:divBdr>
            <w:top w:val="none" w:sz="0" w:space="0" w:color="auto"/>
            <w:left w:val="none" w:sz="0" w:space="0" w:color="auto"/>
            <w:bottom w:val="none" w:sz="0" w:space="0" w:color="auto"/>
            <w:right w:val="none" w:sz="0" w:space="0" w:color="auto"/>
          </w:divBdr>
        </w:div>
        <w:div w:id="1220748135">
          <w:marLeft w:val="640"/>
          <w:marRight w:val="0"/>
          <w:marTop w:val="0"/>
          <w:marBottom w:val="0"/>
          <w:divBdr>
            <w:top w:val="none" w:sz="0" w:space="0" w:color="auto"/>
            <w:left w:val="none" w:sz="0" w:space="0" w:color="auto"/>
            <w:bottom w:val="none" w:sz="0" w:space="0" w:color="auto"/>
            <w:right w:val="none" w:sz="0" w:space="0" w:color="auto"/>
          </w:divBdr>
        </w:div>
        <w:div w:id="813528034">
          <w:marLeft w:val="640"/>
          <w:marRight w:val="0"/>
          <w:marTop w:val="0"/>
          <w:marBottom w:val="0"/>
          <w:divBdr>
            <w:top w:val="none" w:sz="0" w:space="0" w:color="auto"/>
            <w:left w:val="none" w:sz="0" w:space="0" w:color="auto"/>
            <w:bottom w:val="none" w:sz="0" w:space="0" w:color="auto"/>
            <w:right w:val="none" w:sz="0" w:space="0" w:color="auto"/>
          </w:divBdr>
        </w:div>
        <w:div w:id="1298876607">
          <w:marLeft w:val="640"/>
          <w:marRight w:val="0"/>
          <w:marTop w:val="0"/>
          <w:marBottom w:val="0"/>
          <w:divBdr>
            <w:top w:val="none" w:sz="0" w:space="0" w:color="auto"/>
            <w:left w:val="none" w:sz="0" w:space="0" w:color="auto"/>
            <w:bottom w:val="none" w:sz="0" w:space="0" w:color="auto"/>
            <w:right w:val="none" w:sz="0" w:space="0" w:color="auto"/>
          </w:divBdr>
        </w:div>
        <w:div w:id="1514151773">
          <w:marLeft w:val="640"/>
          <w:marRight w:val="0"/>
          <w:marTop w:val="0"/>
          <w:marBottom w:val="0"/>
          <w:divBdr>
            <w:top w:val="none" w:sz="0" w:space="0" w:color="auto"/>
            <w:left w:val="none" w:sz="0" w:space="0" w:color="auto"/>
            <w:bottom w:val="none" w:sz="0" w:space="0" w:color="auto"/>
            <w:right w:val="none" w:sz="0" w:space="0" w:color="auto"/>
          </w:divBdr>
        </w:div>
        <w:div w:id="1155727916">
          <w:marLeft w:val="640"/>
          <w:marRight w:val="0"/>
          <w:marTop w:val="0"/>
          <w:marBottom w:val="0"/>
          <w:divBdr>
            <w:top w:val="none" w:sz="0" w:space="0" w:color="auto"/>
            <w:left w:val="none" w:sz="0" w:space="0" w:color="auto"/>
            <w:bottom w:val="none" w:sz="0" w:space="0" w:color="auto"/>
            <w:right w:val="none" w:sz="0" w:space="0" w:color="auto"/>
          </w:divBdr>
        </w:div>
        <w:div w:id="1600211793">
          <w:marLeft w:val="640"/>
          <w:marRight w:val="0"/>
          <w:marTop w:val="0"/>
          <w:marBottom w:val="0"/>
          <w:divBdr>
            <w:top w:val="none" w:sz="0" w:space="0" w:color="auto"/>
            <w:left w:val="none" w:sz="0" w:space="0" w:color="auto"/>
            <w:bottom w:val="none" w:sz="0" w:space="0" w:color="auto"/>
            <w:right w:val="none" w:sz="0" w:space="0" w:color="auto"/>
          </w:divBdr>
        </w:div>
        <w:div w:id="1909875921">
          <w:marLeft w:val="640"/>
          <w:marRight w:val="0"/>
          <w:marTop w:val="0"/>
          <w:marBottom w:val="0"/>
          <w:divBdr>
            <w:top w:val="none" w:sz="0" w:space="0" w:color="auto"/>
            <w:left w:val="none" w:sz="0" w:space="0" w:color="auto"/>
            <w:bottom w:val="none" w:sz="0" w:space="0" w:color="auto"/>
            <w:right w:val="none" w:sz="0" w:space="0" w:color="auto"/>
          </w:divBdr>
        </w:div>
        <w:div w:id="1182279260">
          <w:marLeft w:val="640"/>
          <w:marRight w:val="0"/>
          <w:marTop w:val="0"/>
          <w:marBottom w:val="0"/>
          <w:divBdr>
            <w:top w:val="none" w:sz="0" w:space="0" w:color="auto"/>
            <w:left w:val="none" w:sz="0" w:space="0" w:color="auto"/>
            <w:bottom w:val="none" w:sz="0" w:space="0" w:color="auto"/>
            <w:right w:val="none" w:sz="0" w:space="0" w:color="auto"/>
          </w:divBdr>
        </w:div>
        <w:div w:id="748041597">
          <w:marLeft w:val="640"/>
          <w:marRight w:val="0"/>
          <w:marTop w:val="0"/>
          <w:marBottom w:val="0"/>
          <w:divBdr>
            <w:top w:val="none" w:sz="0" w:space="0" w:color="auto"/>
            <w:left w:val="none" w:sz="0" w:space="0" w:color="auto"/>
            <w:bottom w:val="none" w:sz="0" w:space="0" w:color="auto"/>
            <w:right w:val="none" w:sz="0" w:space="0" w:color="auto"/>
          </w:divBdr>
        </w:div>
        <w:div w:id="599945477">
          <w:marLeft w:val="640"/>
          <w:marRight w:val="0"/>
          <w:marTop w:val="0"/>
          <w:marBottom w:val="0"/>
          <w:divBdr>
            <w:top w:val="none" w:sz="0" w:space="0" w:color="auto"/>
            <w:left w:val="none" w:sz="0" w:space="0" w:color="auto"/>
            <w:bottom w:val="none" w:sz="0" w:space="0" w:color="auto"/>
            <w:right w:val="none" w:sz="0" w:space="0" w:color="auto"/>
          </w:divBdr>
        </w:div>
        <w:div w:id="2139952763">
          <w:marLeft w:val="640"/>
          <w:marRight w:val="0"/>
          <w:marTop w:val="0"/>
          <w:marBottom w:val="0"/>
          <w:divBdr>
            <w:top w:val="none" w:sz="0" w:space="0" w:color="auto"/>
            <w:left w:val="none" w:sz="0" w:space="0" w:color="auto"/>
            <w:bottom w:val="none" w:sz="0" w:space="0" w:color="auto"/>
            <w:right w:val="none" w:sz="0" w:space="0" w:color="auto"/>
          </w:divBdr>
        </w:div>
        <w:div w:id="238953714">
          <w:marLeft w:val="640"/>
          <w:marRight w:val="0"/>
          <w:marTop w:val="0"/>
          <w:marBottom w:val="0"/>
          <w:divBdr>
            <w:top w:val="none" w:sz="0" w:space="0" w:color="auto"/>
            <w:left w:val="none" w:sz="0" w:space="0" w:color="auto"/>
            <w:bottom w:val="none" w:sz="0" w:space="0" w:color="auto"/>
            <w:right w:val="none" w:sz="0" w:space="0" w:color="auto"/>
          </w:divBdr>
        </w:div>
        <w:div w:id="1924483715">
          <w:marLeft w:val="640"/>
          <w:marRight w:val="0"/>
          <w:marTop w:val="0"/>
          <w:marBottom w:val="0"/>
          <w:divBdr>
            <w:top w:val="none" w:sz="0" w:space="0" w:color="auto"/>
            <w:left w:val="none" w:sz="0" w:space="0" w:color="auto"/>
            <w:bottom w:val="none" w:sz="0" w:space="0" w:color="auto"/>
            <w:right w:val="none" w:sz="0" w:space="0" w:color="auto"/>
          </w:divBdr>
        </w:div>
        <w:div w:id="727730272">
          <w:marLeft w:val="640"/>
          <w:marRight w:val="0"/>
          <w:marTop w:val="0"/>
          <w:marBottom w:val="0"/>
          <w:divBdr>
            <w:top w:val="none" w:sz="0" w:space="0" w:color="auto"/>
            <w:left w:val="none" w:sz="0" w:space="0" w:color="auto"/>
            <w:bottom w:val="none" w:sz="0" w:space="0" w:color="auto"/>
            <w:right w:val="none" w:sz="0" w:space="0" w:color="auto"/>
          </w:divBdr>
        </w:div>
        <w:div w:id="580456045">
          <w:marLeft w:val="640"/>
          <w:marRight w:val="0"/>
          <w:marTop w:val="0"/>
          <w:marBottom w:val="0"/>
          <w:divBdr>
            <w:top w:val="none" w:sz="0" w:space="0" w:color="auto"/>
            <w:left w:val="none" w:sz="0" w:space="0" w:color="auto"/>
            <w:bottom w:val="none" w:sz="0" w:space="0" w:color="auto"/>
            <w:right w:val="none" w:sz="0" w:space="0" w:color="auto"/>
          </w:divBdr>
        </w:div>
        <w:div w:id="73288168">
          <w:marLeft w:val="640"/>
          <w:marRight w:val="0"/>
          <w:marTop w:val="0"/>
          <w:marBottom w:val="0"/>
          <w:divBdr>
            <w:top w:val="none" w:sz="0" w:space="0" w:color="auto"/>
            <w:left w:val="none" w:sz="0" w:space="0" w:color="auto"/>
            <w:bottom w:val="none" w:sz="0" w:space="0" w:color="auto"/>
            <w:right w:val="none" w:sz="0" w:space="0" w:color="auto"/>
          </w:divBdr>
        </w:div>
        <w:div w:id="1968050506">
          <w:marLeft w:val="640"/>
          <w:marRight w:val="0"/>
          <w:marTop w:val="0"/>
          <w:marBottom w:val="0"/>
          <w:divBdr>
            <w:top w:val="none" w:sz="0" w:space="0" w:color="auto"/>
            <w:left w:val="none" w:sz="0" w:space="0" w:color="auto"/>
            <w:bottom w:val="none" w:sz="0" w:space="0" w:color="auto"/>
            <w:right w:val="none" w:sz="0" w:space="0" w:color="auto"/>
          </w:divBdr>
        </w:div>
        <w:div w:id="1150750770">
          <w:marLeft w:val="640"/>
          <w:marRight w:val="0"/>
          <w:marTop w:val="0"/>
          <w:marBottom w:val="0"/>
          <w:divBdr>
            <w:top w:val="none" w:sz="0" w:space="0" w:color="auto"/>
            <w:left w:val="none" w:sz="0" w:space="0" w:color="auto"/>
            <w:bottom w:val="none" w:sz="0" w:space="0" w:color="auto"/>
            <w:right w:val="none" w:sz="0" w:space="0" w:color="auto"/>
          </w:divBdr>
        </w:div>
        <w:div w:id="1297031442">
          <w:marLeft w:val="640"/>
          <w:marRight w:val="0"/>
          <w:marTop w:val="0"/>
          <w:marBottom w:val="0"/>
          <w:divBdr>
            <w:top w:val="none" w:sz="0" w:space="0" w:color="auto"/>
            <w:left w:val="none" w:sz="0" w:space="0" w:color="auto"/>
            <w:bottom w:val="none" w:sz="0" w:space="0" w:color="auto"/>
            <w:right w:val="none" w:sz="0" w:space="0" w:color="auto"/>
          </w:divBdr>
        </w:div>
        <w:div w:id="884222363">
          <w:marLeft w:val="640"/>
          <w:marRight w:val="0"/>
          <w:marTop w:val="0"/>
          <w:marBottom w:val="0"/>
          <w:divBdr>
            <w:top w:val="none" w:sz="0" w:space="0" w:color="auto"/>
            <w:left w:val="none" w:sz="0" w:space="0" w:color="auto"/>
            <w:bottom w:val="none" w:sz="0" w:space="0" w:color="auto"/>
            <w:right w:val="none" w:sz="0" w:space="0" w:color="auto"/>
          </w:divBdr>
        </w:div>
        <w:div w:id="755593767">
          <w:marLeft w:val="640"/>
          <w:marRight w:val="0"/>
          <w:marTop w:val="0"/>
          <w:marBottom w:val="0"/>
          <w:divBdr>
            <w:top w:val="none" w:sz="0" w:space="0" w:color="auto"/>
            <w:left w:val="none" w:sz="0" w:space="0" w:color="auto"/>
            <w:bottom w:val="none" w:sz="0" w:space="0" w:color="auto"/>
            <w:right w:val="none" w:sz="0" w:space="0" w:color="auto"/>
          </w:divBdr>
        </w:div>
        <w:div w:id="1934431648">
          <w:marLeft w:val="640"/>
          <w:marRight w:val="0"/>
          <w:marTop w:val="0"/>
          <w:marBottom w:val="0"/>
          <w:divBdr>
            <w:top w:val="none" w:sz="0" w:space="0" w:color="auto"/>
            <w:left w:val="none" w:sz="0" w:space="0" w:color="auto"/>
            <w:bottom w:val="none" w:sz="0" w:space="0" w:color="auto"/>
            <w:right w:val="none" w:sz="0" w:space="0" w:color="auto"/>
          </w:divBdr>
        </w:div>
        <w:div w:id="709379539">
          <w:marLeft w:val="640"/>
          <w:marRight w:val="0"/>
          <w:marTop w:val="0"/>
          <w:marBottom w:val="0"/>
          <w:divBdr>
            <w:top w:val="none" w:sz="0" w:space="0" w:color="auto"/>
            <w:left w:val="none" w:sz="0" w:space="0" w:color="auto"/>
            <w:bottom w:val="none" w:sz="0" w:space="0" w:color="auto"/>
            <w:right w:val="none" w:sz="0" w:space="0" w:color="auto"/>
          </w:divBdr>
        </w:div>
        <w:div w:id="1183205107">
          <w:marLeft w:val="640"/>
          <w:marRight w:val="0"/>
          <w:marTop w:val="0"/>
          <w:marBottom w:val="0"/>
          <w:divBdr>
            <w:top w:val="none" w:sz="0" w:space="0" w:color="auto"/>
            <w:left w:val="none" w:sz="0" w:space="0" w:color="auto"/>
            <w:bottom w:val="none" w:sz="0" w:space="0" w:color="auto"/>
            <w:right w:val="none" w:sz="0" w:space="0" w:color="auto"/>
          </w:divBdr>
        </w:div>
        <w:div w:id="2142920674">
          <w:marLeft w:val="640"/>
          <w:marRight w:val="0"/>
          <w:marTop w:val="0"/>
          <w:marBottom w:val="0"/>
          <w:divBdr>
            <w:top w:val="none" w:sz="0" w:space="0" w:color="auto"/>
            <w:left w:val="none" w:sz="0" w:space="0" w:color="auto"/>
            <w:bottom w:val="none" w:sz="0" w:space="0" w:color="auto"/>
            <w:right w:val="none" w:sz="0" w:space="0" w:color="auto"/>
          </w:divBdr>
        </w:div>
        <w:div w:id="1968730585">
          <w:marLeft w:val="640"/>
          <w:marRight w:val="0"/>
          <w:marTop w:val="0"/>
          <w:marBottom w:val="0"/>
          <w:divBdr>
            <w:top w:val="none" w:sz="0" w:space="0" w:color="auto"/>
            <w:left w:val="none" w:sz="0" w:space="0" w:color="auto"/>
            <w:bottom w:val="none" w:sz="0" w:space="0" w:color="auto"/>
            <w:right w:val="none" w:sz="0" w:space="0" w:color="auto"/>
          </w:divBdr>
        </w:div>
        <w:div w:id="959383321">
          <w:marLeft w:val="640"/>
          <w:marRight w:val="0"/>
          <w:marTop w:val="0"/>
          <w:marBottom w:val="0"/>
          <w:divBdr>
            <w:top w:val="none" w:sz="0" w:space="0" w:color="auto"/>
            <w:left w:val="none" w:sz="0" w:space="0" w:color="auto"/>
            <w:bottom w:val="none" w:sz="0" w:space="0" w:color="auto"/>
            <w:right w:val="none" w:sz="0" w:space="0" w:color="auto"/>
          </w:divBdr>
        </w:div>
        <w:div w:id="1680962058">
          <w:marLeft w:val="640"/>
          <w:marRight w:val="0"/>
          <w:marTop w:val="0"/>
          <w:marBottom w:val="0"/>
          <w:divBdr>
            <w:top w:val="none" w:sz="0" w:space="0" w:color="auto"/>
            <w:left w:val="none" w:sz="0" w:space="0" w:color="auto"/>
            <w:bottom w:val="none" w:sz="0" w:space="0" w:color="auto"/>
            <w:right w:val="none" w:sz="0" w:space="0" w:color="auto"/>
          </w:divBdr>
        </w:div>
        <w:div w:id="245724903">
          <w:marLeft w:val="640"/>
          <w:marRight w:val="0"/>
          <w:marTop w:val="0"/>
          <w:marBottom w:val="0"/>
          <w:divBdr>
            <w:top w:val="none" w:sz="0" w:space="0" w:color="auto"/>
            <w:left w:val="none" w:sz="0" w:space="0" w:color="auto"/>
            <w:bottom w:val="none" w:sz="0" w:space="0" w:color="auto"/>
            <w:right w:val="none" w:sz="0" w:space="0" w:color="auto"/>
          </w:divBdr>
        </w:div>
        <w:div w:id="490869349">
          <w:marLeft w:val="640"/>
          <w:marRight w:val="0"/>
          <w:marTop w:val="0"/>
          <w:marBottom w:val="0"/>
          <w:divBdr>
            <w:top w:val="none" w:sz="0" w:space="0" w:color="auto"/>
            <w:left w:val="none" w:sz="0" w:space="0" w:color="auto"/>
            <w:bottom w:val="none" w:sz="0" w:space="0" w:color="auto"/>
            <w:right w:val="none" w:sz="0" w:space="0" w:color="auto"/>
          </w:divBdr>
        </w:div>
        <w:div w:id="830099441">
          <w:marLeft w:val="640"/>
          <w:marRight w:val="0"/>
          <w:marTop w:val="0"/>
          <w:marBottom w:val="0"/>
          <w:divBdr>
            <w:top w:val="none" w:sz="0" w:space="0" w:color="auto"/>
            <w:left w:val="none" w:sz="0" w:space="0" w:color="auto"/>
            <w:bottom w:val="none" w:sz="0" w:space="0" w:color="auto"/>
            <w:right w:val="none" w:sz="0" w:space="0" w:color="auto"/>
          </w:divBdr>
        </w:div>
        <w:div w:id="1799294176">
          <w:marLeft w:val="640"/>
          <w:marRight w:val="0"/>
          <w:marTop w:val="0"/>
          <w:marBottom w:val="0"/>
          <w:divBdr>
            <w:top w:val="none" w:sz="0" w:space="0" w:color="auto"/>
            <w:left w:val="none" w:sz="0" w:space="0" w:color="auto"/>
            <w:bottom w:val="none" w:sz="0" w:space="0" w:color="auto"/>
            <w:right w:val="none" w:sz="0" w:space="0" w:color="auto"/>
          </w:divBdr>
        </w:div>
        <w:div w:id="1984117831">
          <w:marLeft w:val="640"/>
          <w:marRight w:val="0"/>
          <w:marTop w:val="0"/>
          <w:marBottom w:val="0"/>
          <w:divBdr>
            <w:top w:val="none" w:sz="0" w:space="0" w:color="auto"/>
            <w:left w:val="none" w:sz="0" w:space="0" w:color="auto"/>
            <w:bottom w:val="none" w:sz="0" w:space="0" w:color="auto"/>
            <w:right w:val="none" w:sz="0" w:space="0" w:color="auto"/>
          </w:divBdr>
        </w:div>
        <w:div w:id="137963544">
          <w:marLeft w:val="640"/>
          <w:marRight w:val="0"/>
          <w:marTop w:val="0"/>
          <w:marBottom w:val="0"/>
          <w:divBdr>
            <w:top w:val="none" w:sz="0" w:space="0" w:color="auto"/>
            <w:left w:val="none" w:sz="0" w:space="0" w:color="auto"/>
            <w:bottom w:val="none" w:sz="0" w:space="0" w:color="auto"/>
            <w:right w:val="none" w:sz="0" w:space="0" w:color="auto"/>
          </w:divBdr>
        </w:div>
        <w:div w:id="1048337085">
          <w:marLeft w:val="640"/>
          <w:marRight w:val="0"/>
          <w:marTop w:val="0"/>
          <w:marBottom w:val="0"/>
          <w:divBdr>
            <w:top w:val="none" w:sz="0" w:space="0" w:color="auto"/>
            <w:left w:val="none" w:sz="0" w:space="0" w:color="auto"/>
            <w:bottom w:val="none" w:sz="0" w:space="0" w:color="auto"/>
            <w:right w:val="none" w:sz="0" w:space="0" w:color="auto"/>
          </w:divBdr>
        </w:div>
        <w:div w:id="948775108">
          <w:marLeft w:val="640"/>
          <w:marRight w:val="0"/>
          <w:marTop w:val="0"/>
          <w:marBottom w:val="0"/>
          <w:divBdr>
            <w:top w:val="none" w:sz="0" w:space="0" w:color="auto"/>
            <w:left w:val="none" w:sz="0" w:space="0" w:color="auto"/>
            <w:bottom w:val="none" w:sz="0" w:space="0" w:color="auto"/>
            <w:right w:val="none" w:sz="0" w:space="0" w:color="auto"/>
          </w:divBdr>
        </w:div>
        <w:div w:id="93597093">
          <w:marLeft w:val="640"/>
          <w:marRight w:val="0"/>
          <w:marTop w:val="0"/>
          <w:marBottom w:val="0"/>
          <w:divBdr>
            <w:top w:val="none" w:sz="0" w:space="0" w:color="auto"/>
            <w:left w:val="none" w:sz="0" w:space="0" w:color="auto"/>
            <w:bottom w:val="none" w:sz="0" w:space="0" w:color="auto"/>
            <w:right w:val="none" w:sz="0" w:space="0" w:color="auto"/>
          </w:divBdr>
        </w:div>
        <w:div w:id="545602128">
          <w:marLeft w:val="640"/>
          <w:marRight w:val="0"/>
          <w:marTop w:val="0"/>
          <w:marBottom w:val="0"/>
          <w:divBdr>
            <w:top w:val="none" w:sz="0" w:space="0" w:color="auto"/>
            <w:left w:val="none" w:sz="0" w:space="0" w:color="auto"/>
            <w:bottom w:val="none" w:sz="0" w:space="0" w:color="auto"/>
            <w:right w:val="none" w:sz="0" w:space="0" w:color="auto"/>
          </w:divBdr>
        </w:div>
        <w:div w:id="904950627">
          <w:marLeft w:val="640"/>
          <w:marRight w:val="0"/>
          <w:marTop w:val="0"/>
          <w:marBottom w:val="0"/>
          <w:divBdr>
            <w:top w:val="none" w:sz="0" w:space="0" w:color="auto"/>
            <w:left w:val="none" w:sz="0" w:space="0" w:color="auto"/>
            <w:bottom w:val="none" w:sz="0" w:space="0" w:color="auto"/>
            <w:right w:val="none" w:sz="0" w:space="0" w:color="auto"/>
          </w:divBdr>
        </w:div>
        <w:div w:id="1473016573">
          <w:marLeft w:val="640"/>
          <w:marRight w:val="0"/>
          <w:marTop w:val="0"/>
          <w:marBottom w:val="0"/>
          <w:divBdr>
            <w:top w:val="none" w:sz="0" w:space="0" w:color="auto"/>
            <w:left w:val="none" w:sz="0" w:space="0" w:color="auto"/>
            <w:bottom w:val="none" w:sz="0" w:space="0" w:color="auto"/>
            <w:right w:val="none" w:sz="0" w:space="0" w:color="auto"/>
          </w:divBdr>
        </w:div>
        <w:div w:id="1854104906">
          <w:marLeft w:val="640"/>
          <w:marRight w:val="0"/>
          <w:marTop w:val="0"/>
          <w:marBottom w:val="0"/>
          <w:divBdr>
            <w:top w:val="none" w:sz="0" w:space="0" w:color="auto"/>
            <w:left w:val="none" w:sz="0" w:space="0" w:color="auto"/>
            <w:bottom w:val="none" w:sz="0" w:space="0" w:color="auto"/>
            <w:right w:val="none" w:sz="0" w:space="0" w:color="auto"/>
          </w:divBdr>
        </w:div>
        <w:div w:id="1627082672">
          <w:marLeft w:val="640"/>
          <w:marRight w:val="0"/>
          <w:marTop w:val="0"/>
          <w:marBottom w:val="0"/>
          <w:divBdr>
            <w:top w:val="none" w:sz="0" w:space="0" w:color="auto"/>
            <w:left w:val="none" w:sz="0" w:space="0" w:color="auto"/>
            <w:bottom w:val="none" w:sz="0" w:space="0" w:color="auto"/>
            <w:right w:val="none" w:sz="0" w:space="0" w:color="auto"/>
          </w:divBdr>
        </w:div>
        <w:div w:id="1167675674">
          <w:marLeft w:val="640"/>
          <w:marRight w:val="0"/>
          <w:marTop w:val="0"/>
          <w:marBottom w:val="0"/>
          <w:divBdr>
            <w:top w:val="none" w:sz="0" w:space="0" w:color="auto"/>
            <w:left w:val="none" w:sz="0" w:space="0" w:color="auto"/>
            <w:bottom w:val="none" w:sz="0" w:space="0" w:color="auto"/>
            <w:right w:val="none" w:sz="0" w:space="0" w:color="auto"/>
          </w:divBdr>
        </w:div>
        <w:div w:id="2127579401">
          <w:marLeft w:val="640"/>
          <w:marRight w:val="0"/>
          <w:marTop w:val="0"/>
          <w:marBottom w:val="0"/>
          <w:divBdr>
            <w:top w:val="none" w:sz="0" w:space="0" w:color="auto"/>
            <w:left w:val="none" w:sz="0" w:space="0" w:color="auto"/>
            <w:bottom w:val="none" w:sz="0" w:space="0" w:color="auto"/>
            <w:right w:val="none" w:sz="0" w:space="0" w:color="auto"/>
          </w:divBdr>
        </w:div>
        <w:div w:id="246500775">
          <w:marLeft w:val="640"/>
          <w:marRight w:val="0"/>
          <w:marTop w:val="0"/>
          <w:marBottom w:val="0"/>
          <w:divBdr>
            <w:top w:val="none" w:sz="0" w:space="0" w:color="auto"/>
            <w:left w:val="none" w:sz="0" w:space="0" w:color="auto"/>
            <w:bottom w:val="none" w:sz="0" w:space="0" w:color="auto"/>
            <w:right w:val="none" w:sz="0" w:space="0" w:color="auto"/>
          </w:divBdr>
        </w:div>
        <w:div w:id="569967494">
          <w:marLeft w:val="640"/>
          <w:marRight w:val="0"/>
          <w:marTop w:val="0"/>
          <w:marBottom w:val="0"/>
          <w:divBdr>
            <w:top w:val="none" w:sz="0" w:space="0" w:color="auto"/>
            <w:left w:val="none" w:sz="0" w:space="0" w:color="auto"/>
            <w:bottom w:val="none" w:sz="0" w:space="0" w:color="auto"/>
            <w:right w:val="none" w:sz="0" w:space="0" w:color="auto"/>
          </w:divBdr>
        </w:div>
        <w:div w:id="848249548">
          <w:marLeft w:val="640"/>
          <w:marRight w:val="0"/>
          <w:marTop w:val="0"/>
          <w:marBottom w:val="0"/>
          <w:divBdr>
            <w:top w:val="none" w:sz="0" w:space="0" w:color="auto"/>
            <w:left w:val="none" w:sz="0" w:space="0" w:color="auto"/>
            <w:bottom w:val="none" w:sz="0" w:space="0" w:color="auto"/>
            <w:right w:val="none" w:sz="0" w:space="0" w:color="auto"/>
          </w:divBdr>
        </w:div>
        <w:div w:id="619646904">
          <w:marLeft w:val="640"/>
          <w:marRight w:val="0"/>
          <w:marTop w:val="0"/>
          <w:marBottom w:val="0"/>
          <w:divBdr>
            <w:top w:val="none" w:sz="0" w:space="0" w:color="auto"/>
            <w:left w:val="none" w:sz="0" w:space="0" w:color="auto"/>
            <w:bottom w:val="none" w:sz="0" w:space="0" w:color="auto"/>
            <w:right w:val="none" w:sz="0" w:space="0" w:color="auto"/>
          </w:divBdr>
        </w:div>
        <w:div w:id="209147555">
          <w:marLeft w:val="640"/>
          <w:marRight w:val="0"/>
          <w:marTop w:val="0"/>
          <w:marBottom w:val="0"/>
          <w:divBdr>
            <w:top w:val="none" w:sz="0" w:space="0" w:color="auto"/>
            <w:left w:val="none" w:sz="0" w:space="0" w:color="auto"/>
            <w:bottom w:val="none" w:sz="0" w:space="0" w:color="auto"/>
            <w:right w:val="none" w:sz="0" w:space="0" w:color="auto"/>
          </w:divBdr>
        </w:div>
        <w:div w:id="1566525996">
          <w:marLeft w:val="640"/>
          <w:marRight w:val="0"/>
          <w:marTop w:val="0"/>
          <w:marBottom w:val="0"/>
          <w:divBdr>
            <w:top w:val="none" w:sz="0" w:space="0" w:color="auto"/>
            <w:left w:val="none" w:sz="0" w:space="0" w:color="auto"/>
            <w:bottom w:val="none" w:sz="0" w:space="0" w:color="auto"/>
            <w:right w:val="none" w:sz="0" w:space="0" w:color="auto"/>
          </w:divBdr>
        </w:div>
        <w:div w:id="178203113">
          <w:marLeft w:val="640"/>
          <w:marRight w:val="0"/>
          <w:marTop w:val="0"/>
          <w:marBottom w:val="0"/>
          <w:divBdr>
            <w:top w:val="none" w:sz="0" w:space="0" w:color="auto"/>
            <w:left w:val="none" w:sz="0" w:space="0" w:color="auto"/>
            <w:bottom w:val="none" w:sz="0" w:space="0" w:color="auto"/>
            <w:right w:val="none" w:sz="0" w:space="0" w:color="auto"/>
          </w:divBdr>
        </w:div>
        <w:div w:id="1781728341">
          <w:marLeft w:val="640"/>
          <w:marRight w:val="0"/>
          <w:marTop w:val="0"/>
          <w:marBottom w:val="0"/>
          <w:divBdr>
            <w:top w:val="none" w:sz="0" w:space="0" w:color="auto"/>
            <w:left w:val="none" w:sz="0" w:space="0" w:color="auto"/>
            <w:bottom w:val="none" w:sz="0" w:space="0" w:color="auto"/>
            <w:right w:val="none" w:sz="0" w:space="0" w:color="auto"/>
          </w:divBdr>
        </w:div>
        <w:div w:id="991298694">
          <w:marLeft w:val="640"/>
          <w:marRight w:val="0"/>
          <w:marTop w:val="0"/>
          <w:marBottom w:val="0"/>
          <w:divBdr>
            <w:top w:val="none" w:sz="0" w:space="0" w:color="auto"/>
            <w:left w:val="none" w:sz="0" w:space="0" w:color="auto"/>
            <w:bottom w:val="none" w:sz="0" w:space="0" w:color="auto"/>
            <w:right w:val="none" w:sz="0" w:space="0" w:color="auto"/>
          </w:divBdr>
        </w:div>
        <w:div w:id="286357766">
          <w:marLeft w:val="640"/>
          <w:marRight w:val="0"/>
          <w:marTop w:val="0"/>
          <w:marBottom w:val="0"/>
          <w:divBdr>
            <w:top w:val="none" w:sz="0" w:space="0" w:color="auto"/>
            <w:left w:val="none" w:sz="0" w:space="0" w:color="auto"/>
            <w:bottom w:val="none" w:sz="0" w:space="0" w:color="auto"/>
            <w:right w:val="none" w:sz="0" w:space="0" w:color="auto"/>
          </w:divBdr>
        </w:div>
        <w:div w:id="1991864125">
          <w:marLeft w:val="640"/>
          <w:marRight w:val="0"/>
          <w:marTop w:val="0"/>
          <w:marBottom w:val="0"/>
          <w:divBdr>
            <w:top w:val="none" w:sz="0" w:space="0" w:color="auto"/>
            <w:left w:val="none" w:sz="0" w:space="0" w:color="auto"/>
            <w:bottom w:val="none" w:sz="0" w:space="0" w:color="auto"/>
            <w:right w:val="none" w:sz="0" w:space="0" w:color="auto"/>
          </w:divBdr>
        </w:div>
        <w:div w:id="559174108">
          <w:marLeft w:val="640"/>
          <w:marRight w:val="0"/>
          <w:marTop w:val="0"/>
          <w:marBottom w:val="0"/>
          <w:divBdr>
            <w:top w:val="none" w:sz="0" w:space="0" w:color="auto"/>
            <w:left w:val="none" w:sz="0" w:space="0" w:color="auto"/>
            <w:bottom w:val="none" w:sz="0" w:space="0" w:color="auto"/>
            <w:right w:val="none" w:sz="0" w:space="0" w:color="auto"/>
          </w:divBdr>
        </w:div>
        <w:div w:id="271985046">
          <w:marLeft w:val="640"/>
          <w:marRight w:val="0"/>
          <w:marTop w:val="0"/>
          <w:marBottom w:val="0"/>
          <w:divBdr>
            <w:top w:val="none" w:sz="0" w:space="0" w:color="auto"/>
            <w:left w:val="none" w:sz="0" w:space="0" w:color="auto"/>
            <w:bottom w:val="none" w:sz="0" w:space="0" w:color="auto"/>
            <w:right w:val="none" w:sz="0" w:space="0" w:color="auto"/>
          </w:divBdr>
        </w:div>
        <w:div w:id="2071539291">
          <w:marLeft w:val="640"/>
          <w:marRight w:val="0"/>
          <w:marTop w:val="0"/>
          <w:marBottom w:val="0"/>
          <w:divBdr>
            <w:top w:val="none" w:sz="0" w:space="0" w:color="auto"/>
            <w:left w:val="none" w:sz="0" w:space="0" w:color="auto"/>
            <w:bottom w:val="none" w:sz="0" w:space="0" w:color="auto"/>
            <w:right w:val="none" w:sz="0" w:space="0" w:color="auto"/>
          </w:divBdr>
        </w:div>
        <w:div w:id="1765146836">
          <w:marLeft w:val="640"/>
          <w:marRight w:val="0"/>
          <w:marTop w:val="0"/>
          <w:marBottom w:val="0"/>
          <w:divBdr>
            <w:top w:val="none" w:sz="0" w:space="0" w:color="auto"/>
            <w:left w:val="none" w:sz="0" w:space="0" w:color="auto"/>
            <w:bottom w:val="none" w:sz="0" w:space="0" w:color="auto"/>
            <w:right w:val="none" w:sz="0" w:space="0" w:color="auto"/>
          </w:divBdr>
        </w:div>
        <w:div w:id="1475219979">
          <w:marLeft w:val="640"/>
          <w:marRight w:val="0"/>
          <w:marTop w:val="0"/>
          <w:marBottom w:val="0"/>
          <w:divBdr>
            <w:top w:val="none" w:sz="0" w:space="0" w:color="auto"/>
            <w:left w:val="none" w:sz="0" w:space="0" w:color="auto"/>
            <w:bottom w:val="none" w:sz="0" w:space="0" w:color="auto"/>
            <w:right w:val="none" w:sz="0" w:space="0" w:color="auto"/>
          </w:divBdr>
        </w:div>
        <w:div w:id="1183516750">
          <w:marLeft w:val="640"/>
          <w:marRight w:val="0"/>
          <w:marTop w:val="0"/>
          <w:marBottom w:val="0"/>
          <w:divBdr>
            <w:top w:val="none" w:sz="0" w:space="0" w:color="auto"/>
            <w:left w:val="none" w:sz="0" w:space="0" w:color="auto"/>
            <w:bottom w:val="none" w:sz="0" w:space="0" w:color="auto"/>
            <w:right w:val="none" w:sz="0" w:space="0" w:color="auto"/>
          </w:divBdr>
        </w:div>
        <w:div w:id="628359470">
          <w:marLeft w:val="640"/>
          <w:marRight w:val="0"/>
          <w:marTop w:val="0"/>
          <w:marBottom w:val="0"/>
          <w:divBdr>
            <w:top w:val="none" w:sz="0" w:space="0" w:color="auto"/>
            <w:left w:val="none" w:sz="0" w:space="0" w:color="auto"/>
            <w:bottom w:val="none" w:sz="0" w:space="0" w:color="auto"/>
            <w:right w:val="none" w:sz="0" w:space="0" w:color="auto"/>
          </w:divBdr>
        </w:div>
        <w:div w:id="1561941095">
          <w:marLeft w:val="640"/>
          <w:marRight w:val="0"/>
          <w:marTop w:val="0"/>
          <w:marBottom w:val="0"/>
          <w:divBdr>
            <w:top w:val="none" w:sz="0" w:space="0" w:color="auto"/>
            <w:left w:val="none" w:sz="0" w:space="0" w:color="auto"/>
            <w:bottom w:val="none" w:sz="0" w:space="0" w:color="auto"/>
            <w:right w:val="none" w:sz="0" w:space="0" w:color="auto"/>
          </w:divBdr>
        </w:div>
        <w:div w:id="458689193">
          <w:marLeft w:val="640"/>
          <w:marRight w:val="0"/>
          <w:marTop w:val="0"/>
          <w:marBottom w:val="0"/>
          <w:divBdr>
            <w:top w:val="none" w:sz="0" w:space="0" w:color="auto"/>
            <w:left w:val="none" w:sz="0" w:space="0" w:color="auto"/>
            <w:bottom w:val="none" w:sz="0" w:space="0" w:color="auto"/>
            <w:right w:val="none" w:sz="0" w:space="0" w:color="auto"/>
          </w:divBdr>
        </w:div>
        <w:div w:id="2052226478">
          <w:marLeft w:val="640"/>
          <w:marRight w:val="0"/>
          <w:marTop w:val="0"/>
          <w:marBottom w:val="0"/>
          <w:divBdr>
            <w:top w:val="none" w:sz="0" w:space="0" w:color="auto"/>
            <w:left w:val="none" w:sz="0" w:space="0" w:color="auto"/>
            <w:bottom w:val="none" w:sz="0" w:space="0" w:color="auto"/>
            <w:right w:val="none" w:sz="0" w:space="0" w:color="auto"/>
          </w:divBdr>
        </w:div>
        <w:div w:id="527450469">
          <w:marLeft w:val="640"/>
          <w:marRight w:val="0"/>
          <w:marTop w:val="0"/>
          <w:marBottom w:val="0"/>
          <w:divBdr>
            <w:top w:val="none" w:sz="0" w:space="0" w:color="auto"/>
            <w:left w:val="none" w:sz="0" w:space="0" w:color="auto"/>
            <w:bottom w:val="none" w:sz="0" w:space="0" w:color="auto"/>
            <w:right w:val="none" w:sz="0" w:space="0" w:color="auto"/>
          </w:divBdr>
        </w:div>
        <w:div w:id="1783382700">
          <w:marLeft w:val="640"/>
          <w:marRight w:val="0"/>
          <w:marTop w:val="0"/>
          <w:marBottom w:val="0"/>
          <w:divBdr>
            <w:top w:val="none" w:sz="0" w:space="0" w:color="auto"/>
            <w:left w:val="none" w:sz="0" w:space="0" w:color="auto"/>
            <w:bottom w:val="none" w:sz="0" w:space="0" w:color="auto"/>
            <w:right w:val="none" w:sz="0" w:space="0" w:color="auto"/>
          </w:divBdr>
        </w:div>
        <w:div w:id="1763837121">
          <w:marLeft w:val="640"/>
          <w:marRight w:val="0"/>
          <w:marTop w:val="0"/>
          <w:marBottom w:val="0"/>
          <w:divBdr>
            <w:top w:val="none" w:sz="0" w:space="0" w:color="auto"/>
            <w:left w:val="none" w:sz="0" w:space="0" w:color="auto"/>
            <w:bottom w:val="none" w:sz="0" w:space="0" w:color="auto"/>
            <w:right w:val="none" w:sz="0" w:space="0" w:color="auto"/>
          </w:divBdr>
        </w:div>
        <w:div w:id="1939366632">
          <w:marLeft w:val="640"/>
          <w:marRight w:val="0"/>
          <w:marTop w:val="0"/>
          <w:marBottom w:val="0"/>
          <w:divBdr>
            <w:top w:val="none" w:sz="0" w:space="0" w:color="auto"/>
            <w:left w:val="none" w:sz="0" w:space="0" w:color="auto"/>
            <w:bottom w:val="none" w:sz="0" w:space="0" w:color="auto"/>
            <w:right w:val="none" w:sz="0" w:space="0" w:color="auto"/>
          </w:divBdr>
        </w:div>
        <w:div w:id="2115129483">
          <w:marLeft w:val="640"/>
          <w:marRight w:val="0"/>
          <w:marTop w:val="0"/>
          <w:marBottom w:val="0"/>
          <w:divBdr>
            <w:top w:val="none" w:sz="0" w:space="0" w:color="auto"/>
            <w:left w:val="none" w:sz="0" w:space="0" w:color="auto"/>
            <w:bottom w:val="none" w:sz="0" w:space="0" w:color="auto"/>
            <w:right w:val="none" w:sz="0" w:space="0" w:color="auto"/>
          </w:divBdr>
        </w:div>
        <w:div w:id="2132241642">
          <w:marLeft w:val="640"/>
          <w:marRight w:val="0"/>
          <w:marTop w:val="0"/>
          <w:marBottom w:val="0"/>
          <w:divBdr>
            <w:top w:val="none" w:sz="0" w:space="0" w:color="auto"/>
            <w:left w:val="none" w:sz="0" w:space="0" w:color="auto"/>
            <w:bottom w:val="none" w:sz="0" w:space="0" w:color="auto"/>
            <w:right w:val="none" w:sz="0" w:space="0" w:color="auto"/>
          </w:divBdr>
        </w:div>
        <w:div w:id="1959411175">
          <w:marLeft w:val="640"/>
          <w:marRight w:val="0"/>
          <w:marTop w:val="0"/>
          <w:marBottom w:val="0"/>
          <w:divBdr>
            <w:top w:val="none" w:sz="0" w:space="0" w:color="auto"/>
            <w:left w:val="none" w:sz="0" w:space="0" w:color="auto"/>
            <w:bottom w:val="none" w:sz="0" w:space="0" w:color="auto"/>
            <w:right w:val="none" w:sz="0" w:space="0" w:color="auto"/>
          </w:divBdr>
        </w:div>
        <w:div w:id="1649284486">
          <w:marLeft w:val="640"/>
          <w:marRight w:val="0"/>
          <w:marTop w:val="0"/>
          <w:marBottom w:val="0"/>
          <w:divBdr>
            <w:top w:val="none" w:sz="0" w:space="0" w:color="auto"/>
            <w:left w:val="none" w:sz="0" w:space="0" w:color="auto"/>
            <w:bottom w:val="none" w:sz="0" w:space="0" w:color="auto"/>
            <w:right w:val="none" w:sz="0" w:space="0" w:color="auto"/>
          </w:divBdr>
        </w:div>
        <w:div w:id="1361853918">
          <w:marLeft w:val="640"/>
          <w:marRight w:val="0"/>
          <w:marTop w:val="0"/>
          <w:marBottom w:val="0"/>
          <w:divBdr>
            <w:top w:val="none" w:sz="0" w:space="0" w:color="auto"/>
            <w:left w:val="none" w:sz="0" w:space="0" w:color="auto"/>
            <w:bottom w:val="none" w:sz="0" w:space="0" w:color="auto"/>
            <w:right w:val="none" w:sz="0" w:space="0" w:color="auto"/>
          </w:divBdr>
        </w:div>
        <w:div w:id="135148235">
          <w:marLeft w:val="640"/>
          <w:marRight w:val="0"/>
          <w:marTop w:val="0"/>
          <w:marBottom w:val="0"/>
          <w:divBdr>
            <w:top w:val="none" w:sz="0" w:space="0" w:color="auto"/>
            <w:left w:val="none" w:sz="0" w:space="0" w:color="auto"/>
            <w:bottom w:val="none" w:sz="0" w:space="0" w:color="auto"/>
            <w:right w:val="none" w:sz="0" w:space="0" w:color="auto"/>
          </w:divBdr>
        </w:div>
        <w:div w:id="743188337">
          <w:marLeft w:val="640"/>
          <w:marRight w:val="0"/>
          <w:marTop w:val="0"/>
          <w:marBottom w:val="0"/>
          <w:divBdr>
            <w:top w:val="none" w:sz="0" w:space="0" w:color="auto"/>
            <w:left w:val="none" w:sz="0" w:space="0" w:color="auto"/>
            <w:bottom w:val="none" w:sz="0" w:space="0" w:color="auto"/>
            <w:right w:val="none" w:sz="0" w:space="0" w:color="auto"/>
          </w:divBdr>
        </w:div>
        <w:div w:id="1016157489">
          <w:marLeft w:val="640"/>
          <w:marRight w:val="0"/>
          <w:marTop w:val="0"/>
          <w:marBottom w:val="0"/>
          <w:divBdr>
            <w:top w:val="none" w:sz="0" w:space="0" w:color="auto"/>
            <w:left w:val="none" w:sz="0" w:space="0" w:color="auto"/>
            <w:bottom w:val="none" w:sz="0" w:space="0" w:color="auto"/>
            <w:right w:val="none" w:sz="0" w:space="0" w:color="auto"/>
          </w:divBdr>
        </w:div>
        <w:div w:id="1355500545">
          <w:marLeft w:val="640"/>
          <w:marRight w:val="0"/>
          <w:marTop w:val="0"/>
          <w:marBottom w:val="0"/>
          <w:divBdr>
            <w:top w:val="none" w:sz="0" w:space="0" w:color="auto"/>
            <w:left w:val="none" w:sz="0" w:space="0" w:color="auto"/>
            <w:bottom w:val="none" w:sz="0" w:space="0" w:color="auto"/>
            <w:right w:val="none" w:sz="0" w:space="0" w:color="auto"/>
          </w:divBdr>
        </w:div>
        <w:div w:id="1839615217">
          <w:marLeft w:val="640"/>
          <w:marRight w:val="0"/>
          <w:marTop w:val="0"/>
          <w:marBottom w:val="0"/>
          <w:divBdr>
            <w:top w:val="none" w:sz="0" w:space="0" w:color="auto"/>
            <w:left w:val="none" w:sz="0" w:space="0" w:color="auto"/>
            <w:bottom w:val="none" w:sz="0" w:space="0" w:color="auto"/>
            <w:right w:val="none" w:sz="0" w:space="0" w:color="auto"/>
          </w:divBdr>
        </w:div>
        <w:div w:id="1631980336">
          <w:marLeft w:val="640"/>
          <w:marRight w:val="0"/>
          <w:marTop w:val="0"/>
          <w:marBottom w:val="0"/>
          <w:divBdr>
            <w:top w:val="none" w:sz="0" w:space="0" w:color="auto"/>
            <w:left w:val="none" w:sz="0" w:space="0" w:color="auto"/>
            <w:bottom w:val="none" w:sz="0" w:space="0" w:color="auto"/>
            <w:right w:val="none" w:sz="0" w:space="0" w:color="auto"/>
          </w:divBdr>
        </w:div>
        <w:div w:id="1310018771">
          <w:marLeft w:val="640"/>
          <w:marRight w:val="0"/>
          <w:marTop w:val="0"/>
          <w:marBottom w:val="0"/>
          <w:divBdr>
            <w:top w:val="none" w:sz="0" w:space="0" w:color="auto"/>
            <w:left w:val="none" w:sz="0" w:space="0" w:color="auto"/>
            <w:bottom w:val="none" w:sz="0" w:space="0" w:color="auto"/>
            <w:right w:val="none" w:sz="0" w:space="0" w:color="auto"/>
          </w:divBdr>
        </w:div>
        <w:div w:id="1351567094">
          <w:marLeft w:val="640"/>
          <w:marRight w:val="0"/>
          <w:marTop w:val="0"/>
          <w:marBottom w:val="0"/>
          <w:divBdr>
            <w:top w:val="none" w:sz="0" w:space="0" w:color="auto"/>
            <w:left w:val="none" w:sz="0" w:space="0" w:color="auto"/>
            <w:bottom w:val="none" w:sz="0" w:space="0" w:color="auto"/>
            <w:right w:val="none" w:sz="0" w:space="0" w:color="auto"/>
          </w:divBdr>
        </w:div>
        <w:div w:id="1834640667">
          <w:marLeft w:val="640"/>
          <w:marRight w:val="0"/>
          <w:marTop w:val="0"/>
          <w:marBottom w:val="0"/>
          <w:divBdr>
            <w:top w:val="none" w:sz="0" w:space="0" w:color="auto"/>
            <w:left w:val="none" w:sz="0" w:space="0" w:color="auto"/>
            <w:bottom w:val="none" w:sz="0" w:space="0" w:color="auto"/>
            <w:right w:val="none" w:sz="0" w:space="0" w:color="auto"/>
          </w:divBdr>
        </w:div>
        <w:div w:id="1387416178">
          <w:marLeft w:val="640"/>
          <w:marRight w:val="0"/>
          <w:marTop w:val="0"/>
          <w:marBottom w:val="0"/>
          <w:divBdr>
            <w:top w:val="none" w:sz="0" w:space="0" w:color="auto"/>
            <w:left w:val="none" w:sz="0" w:space="0" w:color="auto"/>
            <w:bottom w:val="none" w:sz="0" w:space="0" w:color="auto"/>
            <w:right w:val="none" w:sz="0" w:space="0" w:color="auto"/>
          </w:divBdr>
        </w:div>
        <w:div w:id="198014295">
          <w:marLeft w:val="640"/>
          <w:marRight w:val="0"/>
          <w:marTop w:val="0"/>
          <w:marBottom w:val="0"/>
          <w:divBdr>
            <w:top w:val="none" w:sz="0" w:space="0" w:color="auto"/>
            <w:left w:val="none" w:sz="0" w:space="0" w:color="auto"/>
            <w:bottom w:val="none" w:sz="0" w:space="0" w:color="auto"/>
            <w:right w:val="none" w:sz="0" w:space="0" w:color="auto"/>
          </w:divBdr>
        </w:div>
        <w:div w:id="853418140">
          <w:marLeft w:val="640"/>
          <w:marRight w:val="0"/>
          <w:marTop w:val="0"/>
          <w:marBottom w:val="0"/>
          <w:divBdr>
            <w:top w:val="none" w:sz="0" w:space="0" w:color="auto"/>
            <w:left w:val="none" w:sz="0" w:space="0" w:color="auto"/>
            <w:bottom w:val="none" w:sz="0" w:space="0" w:color="auto"/>
            <w:right w:val="none" w:sz="0" w:space="0" w:color="auto"/>
          </w:divBdr>
        </w:div>
        <w:div w:id="314653078">
          <w:marLeft w:val="640"/>
          <w:marRight w:val="0"/>
          <w:marTop w:val="0"/>
          <w:marBottom w:val="0"/>
          <w:divBdr>
            <w:top w:val="none" w:sz="0" w:space="0" w:color="auto"/>
            <w:left w:val="none" w:sz="0" w:space="0" w:color="auto"/>
            <w:bottom w:val="none" w:sz="0" w:space="0" w:color="auto"/>
            <w:right w:val="none" w:sz="0" w:space="0" w:color="auto"/>
          </w:divBdr>
        </w:div>
        <w:div w:id="1446538466">
          <w:marLeft w:val="640"/>
          <w:marRight w:val="0"/>
          <w:marTop w:val="0"/>
          <w:marBottom w:val="0"/>
          <w:divBdr>
            <w:top w:val="none" w:sz="0" w:space="0" w:color="auto"/>
            <w:left w:val="none" w:sz="0" w:space="0" w:color="auto"/>
            <w:bottom w:val="none" w:sz="0" w:space="0" w:color="auto"/>
            <w:right w:val="none" w:sz="0" w:space="0" w:color="auto"/>
          </w:divBdr>
        </w:div>
        <w:div w:id="796097247">
          <w:marLeft w:val="640"/>
          <w:marRight w:val="0"/>
          <w:marTop w:val="0"/>
          <w:marBottom w:val="0"/>
          <w:divBdr>
            <w:top w:val="none" w:sz="0" w:space="0" w:color="auto"/>
            <w:left w:val="none" w:sz="0" w:space="0" w:color="auto"/>
            <w:bottom w:val="none" w:sz="0" w:space="0" w:color="auto"/>
            <w:right w:val="none" w:sz="0" w:space="0" w:color="auto"/>
          </w:divBdr>
        </w:div>
        <w:div w:id="2072536313">
          <w:marLeft w:val="640"/>
          <w:marRight w:val="0"/>
          <w:marTop w:val="0"/>
          <w:marBottom w:val="0"/>
          <w:divBdr>
            <w:top w:val="none" w:sz="0" w:space="0" w:color="auto"/>
            <w:left w:val="none" w:sz="0" w:space="0" w:color="auto"/>
            <w:bottom w:val="none" w:sz="0" w:space="0" w:color="auto"/>
            <w:right w:val="none" w:sz="0" w:space="0" w:color="auto"/>
          </w:divBdr>
        </w:div>
        <w:div w:id="1460108320">
          <w:marLeft w:val="640"/>
          <w:marRight w:val="0"/>
          <w:marTop w:val="0"/>
          <w:marBottom w:val="0"/>
          <w:divBdr>
            <w:top w:val="none" w:sz="0" w:space="0" w:color="auto"/>
            <w:left w:val="none" w:sz="0" w:space="0" w:color="auto"/>
            <w:bottom w:val="none" w:sz="0" w:space="0" w:color="auto"/>
            <w:right w:val="none" w:sz="0" w:space="0" w:color="auto"/>
          </w:divBdr>
        </w:div>
        <w:div w:id="295568458">
          <w:marLeft w:val="640"/>
          <w:marRight w:val="0"/>
          <w:marTop w:val="0"/>
          <w:marBottom w:val="0"/>
          <w:divBdr>
            <w:top w:val="none" w:sz="0" w:space="0" w:color="auto"/>
            <w:left w:val="none" w:sz="0" w:space="0" w:color="auto"/>
            <w:bottom w:val="none" w:sz="0" w:space="0" w:color="auto"/>
            <w:right w:val="none" w:sz="0" w:space="0" w:color="auto"/>
          </w:divBdr>
        </w:div>
        <w:div w:id="48651083">
          <w:marLeft w:val="640"/>
          <w:marRight w:val="0"/>
          <w:marTop w:val="0"/>
          <w:marBottom w:val="0"/>
          <w:divBdr>
            <w:top w:val="none" w:sz="0" w:space="0" w:color="auto"/>
            <w:left w:val="none" w:sz="0" w:space="0" w:color="auto"/>
            <w:bottom w:val="none" w:sz="0" w:space="0" w:color="auto"/>
            <w:right w:val="none" w:sz="0" w:space="0" w:color="auto"/>
          </w:divBdr>
        </w:div>
        <w:div w:id="1912542201">
          <w:marLeft w:val="640"/>
          <w:marRight w:val="0"/>
          <w:marTop w:val="0"/>
          <w:marBottom w:val="0"/>
          <w:divBdr>
            <w:top w:val="none" w:sz="0" w:space="0" w:color="auto"/>
            <w:left w:val="none" w:sz="0" w:space="0" w:color="auto"/>
            <w:bottom w:val="none" w:sz="0" w:space="0" w:color="auto"/>
            <w:right w:val="none" w:sz="0" w:space="0" w:color="auto"/>
          </w:divBdr>
        </w:div>
        <w:div w:id="1016924114">
          <w:marLeft w:val="640"/>
          <w:marRight w:val="0"/>
          <w:marTop w:val="0"/>
          <w:marBottom w:val="0"/>
          <w:divBdr>
            <w:top w:val="none" w:sz="0" w:space="0" w:color="auto"/>
            <w:left w:val="none" w:sz="0" w:space="0" w:color="auto"/>
            <w:bottom w:val="none" w:sz="0" w:space="0" w:color="auto"/>
            <w:right w:val="none" w:sz="0" w:space="0" w:color="auto"/>
          </w:divBdr>
        </w:div>
        <w:div w:id="2115126964">
          <w:marLeft w:val="640"/>
          <w:marRight w:val="0"/>
          <w:marTop w:val="0"/>
          <w:marBottom w:val="0"/>
          <w:divBdr>
            <w:top w:val="none" w:sz="0" w:space="0" w:color="auto"/>
            <w:left w:val="none" w:sz="0" w:space="0" w:color="auto"/>
            <w:bottom w:val="none" w:sz="0" w:space="0" w:color="auto"/>
            <w:right w:val="none" w:sz="0" w:space="0" w:color="auto"/>
          </w:divBdr>
        </w:div>
        <w:div w:id="47731459">
          <w:marLeft w:val="640"/>
          <w:marRight w:val="0"/>
          <w:marTop w:val="0"/>
          <w:marBottom w:val="0"/>
          <w:divBdr>
            <w:top w:val="none" w:sz="0" w:space="0" w:color="auto"/>
            <w:left w:val="none" w:sz="0" w:space="0" w:color="auto"/>
            <w:bottom w:val="none" w:sz="0" w:space="0" w:color="auto"/>
            <w:right w:val="none" w:sz="0" w:space="0" w:color="auto"/>
          </w:divBdr>
        </w:div>
        <w:div w:id="1160845472">
          <w:marLeft w:val="640"/>
          <w:marRight w:val="0"/>
          <w:marTop w:val="0"/>
          <w:marBottom w:val="0"/>
          <w:divBdr>
            <w:top w:val="none" w:sz="0" w:space="0" w:color="auto"/>
            <w:left w:val="none" w:sz="0" w:space="0" w:color="auto"/>
            <w:bottom w:val="none" w:sz="0" w:space="0" w:color="auto"/>
            <w:right w:val="none" w:sz="0" w:space="0" w:color="auto"/>
          </w:divBdr>
        </w:div>
        <w:div w:id="910847641">
          <w:marLeft w:val="640"/>
          <w:marRight w:val="0"/>
          <w:marTop w:val="0"/>
          <w:marBottom w:val="0"/>
          <w:divBdr>
            <w:top w:val="none" w:sz="0" w:space="0" w:color="auto"/>
            <w:left w:val="none" w:sz="0" w:space="0" w:color="auto"/>
            <w:bottom w:val="none" w:sz="0" w:space="0" w:color="auto"/>
            <w:right w:val="none" w:sz="0" w:space="0" w:color="auto"/>
          </w:divBdr>
        </w:div>
        <w:div w:id="276180225">
          <w:marLeft w:val="640"/>
          <w:marRight w:val="0"/>
          <w:marTop w:val="0"/>
          <w:marBottom w:val="0"/>
          <w:divBdr>
            <w:top w:val="none" w:sz="0" w:space="0" w:color="auto"/>
            <w:left w:val="none" w:sz="0" w:space="0" w:color="auto"/>
            <w:bottom w:val="none" w:sz="0" w:space="0" w:color="auto"/>
            <w:right w:val="none" w:sz="0" w:space="0" w:color="auto"/>
          </w:divBdr>
        </w:div>
        <w:div w:id="241450569">
          <w:marLeft w:val="640"/>
          <w:marRight w:val="0"/>
          <w:marTop w:val="0"/>
          <w:marBottom w:val="0"/>
          <w:divBdr>
            <w:top w:val="none" w:sz="0" w:space="0" w:color="auto"/>
            <w:left w:val="none" w:sz="0" w:space="0" w:color="auto"/>
            <w:bottom w:val="none" w:sz="0" w:space="0" w:color="auto"/>
            <w:right w:val="none" w:sz="0" w:space="0" w:color="auto"/>
          </w:divBdr>
        </w:div>
        <w:div w:id="31464223">
          <w:marLeft w:val="640"/>
          <w:marRight w:val="0"/>
          <w:marTop w:val="0"/>
          <w:marBottom w:val="0"/>
          <w:divBdr>
            <w:top w:val="none" w:sz="0" w:space="0" w:color="auto"/>
            <w:left w:val="none" w:sz="0" w:space="0" w:color="auto"/>
            <w:bottom w:val="none" w:sz="0" w:space="0" w:color="auto"/>
            <w:right w:val="none" w:sz="0" w:space="0" w:color="auto"/>
          </w:divBdr>
        </w:div>
        <w:div w:id="90200699">
          <w:marLeft w:val="640"/>
          <w:marRight w:val="0"/>
          <w:marTop w:val="0"/>
          <w:marBottom w:val="0"/>
          <w:divBdr>
            <w:top w:val="none" w:sz="0" w:space="0" w:color="auto"/>
            <w:left w:val="none" w:sz="0" w:space="0" w:color="auto"/>
            <w:bottom w:val="none" w:sz="0" w:space="0" w:color="auto"/>
            <w:right w:val="none" w:sz="0" w:space="0" w:color="auto"/>
          </w:divBdr>
        </w:div>
        <w:div w:id="834805423">
          <w:marLeft w:val="640"/>
          <w:marRight w:val="0"/>
          <w:marTop w:val="0"/>
          <w:marBottom w:val="0"/>
          <w:divBdr>
            <w:top w:val="none" w:sz="0" w:space="0" w:color="auto"/>
            <w:left w:val="none" w:sz="0" w:space="0" w:color="auto"/>
            <w:bottom w:val="none" w:sz="0" w:space="0" w:color="auto"/>
            <w:right w:val="none" w:sz="0" w:space="0" w:color="auto"/>
          </w:divBdr>
        </w:div>
        <w:div w:id="776482212">
          <w:marLeft w:val="640"/>
          <w:marRight w:val="0"/>
          <w:marTop w:val="0"/>
          <w:marBottom w:val="0"/>
          <w:divBdr>
            <w:top w:val="none" w:sz="0" w:space="0" w:color="auto"/>
            <w:left w:val="none" w:sz="0" w:space="0" w:color="auto"/>
            <w:bottom w:val="none" w:sz="0" w:space="0" w:color="auto"/>
            <w:right w:val="none" w:sz="0" w:space="0" w:color="auto"/>
          </w:divBdr>
        </w:div>
        <w:div w:id="243027471">
          <w:marLeft w:val="640"/>
          <w:marRight w:val="0"/>
          <w:marTop w:val="0"/>
          <w:marBottom w:val="0"/>
          <w:divBdr>
            <w:top w:val="none" w:sz="0" w:space="0" w:color="auto"/>
            <w:left w:val="none" w:sz="0" w:space="0" w:color="auto"/>
            <w:bottom w:val="none" w:sz="0" w:space="0" w:color="auto"/>
            <w:right w:val="none" w:sz="0" w:space="0" w:color="auto"/>
          </w:divBdr>
        </w:div>
        <w:div w:id="899242529">
          <w:marLeft w:val="640"/>
          <w:marRight w:val="0"/>
          <w:marTop w:val="0"/>
          <w:marBottom w:val="0"/>
          <w:divBdr>
            <w:top w:val="none" w:sz="0" w:space="0" w:color="auto"/>
            <w:left w:val="none" w:sz="0" w:space="0" w:color="auto"/>
            <w:bottom w:val="none" w:sz="0" w:space="0" w:color="auto"/>
            <w:right w:val="none" w:sz="0" w:space="0" w:color="auto"/>
          </w:divBdr>
        </w:div>
        <w:div w:id="1184243989">
          <w:marLeft w:val="640"/>
          <w:marRight w:val="0"/>
          <w:marTop w:val="0"/>
          <w:marBottom w:val="0"/>
          <w:divBdr>
            <w:top w:val="none" w:sz="0" w:space="0" w:color="auto"/>
            <w:left w:val="none" w:sz="0" w:space="0" w:color="auto"/>
            <w:bottom w:val="none" w:sz="0" w:space="0" w:color="auto"/>
            <w:right w:val="none" w:sz="0" w:space="0" w:color="auto"/>
          </w:divBdr>
        </w:div>
        <w:div w:id="1138307020">
          <w:marLeft w:val="640"/>
          <w:marRight w:val="0"/>
          <w:marTop w:val="0"/>
          <w:marBottom w:val="0"/>
          <w:divBdr>
            <w:top w:val="none" w:sz="0" w:space="0" w:color="auto"/>
            <w:left w:val="none" w:sz="0" w:space="0" w:color="auto"/>
            <w:bottom w:val="none" w:sz="0" w:space="0" w:color="auto"/>
            <w:right w:val="none" w:sz="0" w:space="0" w:color="auto"/>
          </w:divBdr>
        </w:div>
        <w:div w:id="1047873723">
          <w:marLeft w:val="640"/>
          <w:marRight w:val="0"/>
          <w:marTop w:val="0"/>
          <w:marBottom w:val="0"/>
          <w:divBdr>
            <w:top w:val="none" w:sz="0" w:space="0" w:color="auto"/>
            <w:left w:val="none" w:sz="0" w:space="0" w:color="auto"/>
            <w:bottom w:val="none" w:sz="0" w:space="0" w:color="auto"/>
            <w:right w:val="none" w:sz="0" w:space="0" w:color="auto"/>
          </w:divBdr>
        </w:div>
        <w:div w:id="1059858848">
          <w:marLeft w:val="640"/>
          <w:marRight w:val="0"/>
          <w:marTop w:val="0"/>
          <w:marBottom w:val="0"/>
          <w:divBdr>
            <w:top w:val="none" w:sz="0" w:space="0" w:color="auto"/>
            <w:left w:val="none" w:sz="0" w:space="0" w:color="auto"/>
            <w:bottom w:val="none" w:sz="0" w:space="0" w:color="auto"/>
            <w:right w:val="none" w:sz="0" w:space="0" w:color="auto"/>
          </w:divBdr>
        </w:div>
        <w:div w:id="19210875">
          <w:marLeft w:val="640"/>
          <w:marRight w:val="0"/>
          <w:marTop w:val="0"/>
          <w:marBottom w:val="0"/>
          <w:divBdr>
            <w:top w:val="none" w:sz="0" w:space="0" w:color="auto"/>
            <w:left w:val="none" w:sz="0" w:space="0" w:color="auto"/>
            <w:bottom w:val="none" w:sz="0" w:space="0" w:color="auto"/>
            <w:right w:val="none" w:sz="0" w:space="0" w:color="auto"/>
          </w:divBdr>
        </w:div>
        <w:div w:id="1379163697">
          <w:marLeft w:val="640"/>
          <w:marRight w:val="0"/>
          <w:marTop w:val="0"/>
          <w:marBottom w:val="0"/>
          <w:divBdr>
            <w:top w:val="none" w:sz="0" w:space="0" w:color="auto"/>
            <w:left w:val="none" w:sz="0" w:space="0" w:color="auto"/>
            <w:bottom w:val="none" w:sz="0" w:space="0" w:color="auto"/>
            <w:right w:val="none" w:sz="0" w:space="0" w:color="auto"/>
          </w:divBdr>
        </w:div>
        <w:div w:id="477383151">
          <w:marLeft w:val="640"/>
          <w:marRight w:val="0"/>
          <w:marTop w:val="0"/>
          <w:marBottom w:val="0"/>
          <w:divBdr>
            <w:top w:val="none" w:sz="0" w:space="0" w:color="auto"/>
            <w:left w:val="none" w:sz="0" w:space="0" w:color="auto"/>
            <w:bottom w:val="none" w:sz="0" w:space="0" w:color="auto"/>
            <w:right w:val="none" w:sz="0" w:space="0" w:color="auto"/>
          </w:divBdr>
        </w:div>
        <w:div w:id="1783200">
          <w:marLeft w:val="640"/>
          <w:marRight w:val="0"/>
          <w:marTop w:val="0"/>
          <w:marBottom w:val="0"/>
          <w:divBdr>
            <w:top w:val="none" w:sz="0" w:space="0" w:color="auto"/>
            <w:left w:val="none" w:sz="0" w:space="0" w:color="auto"/>
            <w:bottom w:val="none" w:sz="0" w:space="0" w:color="auto"/>
            <w:right w:val="none" w:sz="0" w:space="0" w:color="auto"/>
          </w:divBdr>
        </w:div>
        <w:div w:id="1231966882">
          <w:marLeft w:val="640"/>
          <w:marRight w:val="0"/>
          <w:marTop w:val="0"/>
          <w:marBottom w:val="0"/>
          <w:divBdr>
            <w:top w:val="none" w:sz="0" w:space="0" w:color="auto"/>
            <w:left w:val="none" w:sz="0" w:space="0" w:color="auto"/>
            <w:bottom w:val="none" w:sz="0" w:space="0" w:color="auto"/>
            <w:right w:val="none" w:sz="0" w:space="0" w:color="auto"/>
          </w:divBdr>
        </w:div>
        <w:div w:id="903413875">
          <w:marLeft w:val="640"/>
          <w:marRight w:val="0"/>
          <w:marTop w:val="0"/>
          <w:marBottom w:val="0"/>
          <w:divBdr>
            <w:top w:val="none" w:sz="0" w:space="0" w:color="auto"/>
            <w:left w:val="none" w:sz="0" w:space="0" w:color="auto"/>
            <w:bottom w:val="none" w:sz="0" w:space="0" w:color="auto"/>
            <w:right w:val="none" w:sz="0" w:space="0" w:color="auto"/>
          </w:divBdr>
        </w:div>
        <w:div w:id="1253053016">
          <w:marLeft w:val="640"/>
          <w:marRight w:val="0"/>
          <w:marTop w:val="0"/>
          <w:marBottom w:val="0"/>
          <w:divBdr>
            <w:top w:val="none" w:sz="0" w:space="0" w:color="auto"/>
            <w:left w:val="none" w:sz="0" w:space="0" w:color="auto"/>
            <w:bottom w:val="none" w:sz="0" w:space="0" w:color="auto"/>
            <w:right w:val="none" w:sz="0" w:space="0" w:color="auto"/>
          </w:divBdr>
        </w:div>
        <w:div w:id="931359745">
          <w:marLeft w:val="640"/>
          <w:marRight w:val="0"/>
          <w:marTop w:val="0"/>
          <w:marBottom w:val="0"/>
          <w:divBdr>
            <w:top w:val="none" w:sz="0" w:space="0" w:color="auto"/>
            <w:left w:val="none" w:sz="0" w:space="0" w:color="auto"/>
            <w:bottom w:val="none" w:sz="0" w:space="0" w:color="auto"/>
            <w:right w:val="none" w:sz="0" w:space="0" w:color="auto"/>
          </w:divBdr>
        </w:div>
        <w:div w:id="391387693">
          <w:marLeft w:val="640"/>
          <w:marRight w:val="0"/>
          <w:marTop w:val="0"/>
          <w:marBottom w:val="0"/>
          <w:divBdr>
            <w:top w:val="none" w:sz="0" w:space="0" w:color="auto"/>
            <w:left w:val="none" w:sz="0" w:space="0" w:color="auto"/>
            <w:bottom w:val="none" w:sz="0" w:space="0" w:color="auto"/>
            <w:right w:val="none" w:sz="0" w:space="0" w:color="auto"/>
          </w:divBdr>
        </w:div>
        <w:div w:id="1102726373">
          <w:marLeft w:val="640"/>
          <w:marRight w:val="0"/>
          <w:marTop w:val="0"/>
          <w:marBottom w:val="0"/>
          <w:divBdr>
            <w:top w:val="none" w:sz="0" w:space="0" w:color="auto"/>
            <w:left w:val="none" w:sz="0" w:space="0" w:color="auto"/>
            <w:bottom w:val="none" w:sz="0" w:space="0" w:color="auto"/>
            <w:right w:val="none" w:sz="0" w:space="0" w:color="auto"/>
          </w:divBdr>
        </w:div>
        <w:div w:id="711659740">
          <w:marLeft w:val="640"/>
          <w:marRight w:val="0"/>
          <w:marTop w:val="0"/>
          <w:marBottom w:val="0"/>
          <w:divBdr>
            <w:top w:val="none" w:sz="0" w:space="0" w:color="auto"/>
            <w:left w:val="none" w:sz="0" w:space="0" w:color="auto"/>
            <w:bottom w:val="none" w:sz="0" w:space="0" w:color="auto"/>
            <w:right w:val="none" w:sz="0" w:space="0" w:color="auto"/>
          </w:divBdr>
        </w:div>
        <w:div w:id="1234655353">
          <w:marLeft w:val="640"/>
          <w:marRight w:val="0"/>
          <w:marTop w:val="0"/>
          <w:marBottom w:val="0"/>
          <w:divBdr>
            <w:top w:val="none" w:sz="0" w:space="0" w:color="auto"/>
            <w:left w:val="none" w:sz="0" w:space="0" w:color="auto"/>
            <w:bottom w:val="none" w:sz="0" w:space="0" w:color="auto"/>
            <w:right w:val="none" w:sz="0" w:space="0" w:color="auto"/>
          </w:divBdr>
        </w:div>
        <w:div w:id="693117417">
          <w:marLeft w:val="640"/>
          <w:marRight w:val="0"/>
          <w:marTop w:val="0"/>
          <w:marBottom w:val="0"/>
          <w:divBdr>
            <w:top w:val="none" w:sz="0" w:space="0" w:color="auto"/>
            <w:left w:val="none" w:sz="0" w:space="0" w:color="auto"/>
            <w:bottom w:val="none" w:sz="0" w:space="0" w:color="auto"/>
            <w:right w:val="none" w:sz="0" w:space="0" w:color="auto"/>
          </w:divBdr>
        </w:div>
        <w:div w:id="20978403">
          <w:marLeft w:val="640"/>
          <w:marRight w:val="0"/>
          <w:marTop w:val="0"/>
          <w:marBottom w:val="0"/>
          <w:divBdr>
            <w:top w:val="none" w:sz="0" w:space="0" w:color="auto"/>
            <w:left w:val="none" w:sz="0" w:space="0" w:color="auto"/>
            <w:bottom w:val="none" w:sz="0" w:space="0" w:color="auto"/>
            <w:right w:val="none" w:sz="0" w:space="0" w:color="auto"/>
          </w:divBdr>
        </w:div>
        <w:div w:id="187572021">
          <w:marLeft w:val="640"/>
          <w:marRight w:val="0"/>
          <w:marTop w:val="0"/>
          <w:marBottom w:val="0"/>
          <w:divBdr>
            <w:top w:val="none" w:sz="0" w:space="0" w:color="auto"/>
            <w:left w:val="none" w:sz="0" w:space="0" w:color="auto"/>
            <w:bottom w:val="none" w:sz="0" w:space="0" w:color="auto"/>
            <w:right w:val="none" w:sz="0" w:space="0" w:color="auto"/>
          </w:divBdr>
        </w:div>
        <w:div w:id="1097142720">
          <w:marLeft w:val="640"/>
          <w:marRight w:val="0"/>
          <w:marTop w:val="0"/>
          <w:marBottom w:val="0"/>
          <w:divBdr>
            <w:top w:val="none" w:sz="0" w:space="0" w:color="auto"/>
            <w:left w:val="none" w:sz="0" w:space="0" w:color="auto"/>
            <w:bottom w:val="none" w:sz="0" w:space="0" w:color="auto"/>
            <w:right w:val="none" w:sz="0" w:space="0" w:color="auto"/>
          </w:divBdr>
        </w:div>
        <w:div w:id="292562349">
          <w:marLeft w:val="640"/>
          <w:marRight w:val="0"/>
          <w:marTop w:val="0"/>
          <w:marBottom w:val="0"/>
          <w:divBdr>
            <w:top w:val="none" w:sz="0" w:space="0" w:color="auto"/>
            <w:left w:val="none" w:sz="0" w:space="0" w:color="auto"/>
            <w:bottom w:val="none" w:sz="0" w:space="0" w:color="auto"/>
            <w:right w:val="none" w:sz="0" w:space="0" w:color="auto"/>
          </w:divBdr>
        </w:div>
        <w:div w:id="2121101646">
          <w:marLeft w:val="640"/>
          <w:marRight w:val="0"/>
          <w:marTop w:val="0"/>
          <w:marBottom w:val="0"/>
          <w:divBdr>
            <w:top w:val="none" w:sz="0" w:space="0" w:color="auto"/>
            <w:left w:val="none" w:sz="0" w:space="0" w:color="auto"/>
            <w:bottom w:val="none" w:sz="0" w:space="0" w:color="auto"/>
            <w:right w:val="none" w:sz="0" w:space="0" w:color="auto"/>
          </w:divBdr>
        </w:div>
        <w:div w:id="2007593657">
          <w:marLeft w:val="640"/>
          <w:marRight w:val="0"/>
          <w:marTop w:val="0"/>
          <w:marBottom w:val="0"/>
          <w:divBdr>
            <w:top w:val="none" w:sz="0" w:space="0" w:color="auto"/>
            <w:left w:val="none" w:sz="0" w:space="0" w:color="auto"/>
            <w:bottom w:val="none" w:sz="0" w:space="0" w:color="auto"/>
            <w:right w:val="none" w:sz="0" w:space="0" w:color="auto"/>
          </w:divBdr>
        </w:div>
        <w:div w:id="1525678755">
          <w:marLeft w:val="640"/>
          <w:marRight w:val="0"/>
          <w:marTop w:val="0"/>
          <w:marBottom w:val="0"/>
          <w:divBdr>
            <w:top w:val="none" w:sz="0" w:space="0" w:color="auto"/>
            <w:left w:val="none" w:sz="0" w:space="0" w:color="auto"/>
            <w:bottom w:val="none" w:sz="0" w:space="0" w:color="auto"/>
            <w:right w:val="none" w:sz="0" w:space="0" w:color="auto"/>
          </w:divBdr>
        </w:div>
        <w:div w:id="660086102">
          <w:marLeft w:val="640"/>
          <w:marRight w:val="0"/>
          <w:marTop w:val="0"/>
          <w:marBottom w:val="0"/>
          <w:divBdr>
            <w:top w:val="none" w:sz="0" w:space="0" w:color="auto"/>
            <w:left w:val="none" w:sz="0" w:space="0" w:color="auto"/>
            <w:bottom w:val="none" w:sz="0" w:space="0" w:color="auto"/>
            <w:right w:val="none" w:sz="0" w:space="0" w:color="auto"/>
          </w:divBdr>
        </w:div>
        <w:div w:id="1805587211">
          <w:marLeft w:val="640"/>
          <w:marRight w:val="0"/>
          <w:marTop w:val="0"/>
          <w:marBottom w:val="0"/>
          <w:divBdr>
            <w:top w:val="none" w:sz="0" w:space="0" w:color="auto"/>
            <w:left w:val="none" w:sz="0" w:space="0" w:color="auto"/>
            <w:bottom w:val="none" w:sz="0" w:space="0" w:color="auto"/>
            <w:right w:val="none" w:sz="0" w:space="0" w:color="auto"/>
          </w:divBdr>
        </w:div>
        <w:div w:id="478117102">
          <w:marLeft w:val="640"/>
          <w:marRight w:val="0"/>
          <w:marTop w:val="0"/>
          <w:marBottom w:val="0"/>
          <w:divBdr>
            <w:top w:val="none" w:sz="0" w:space="0" w:color="auto"/>
            <w:left w:val="none" w:sz="0" w:space="0" w:color="auto"/>
            <w:bottom w:val="none" w:sz="0" w:space="0" w:color="auto"/>
            <w:right w:val="none" w:sz="0" w:space="0" w:color="auto"/>
          </w:divBdr>
        </w:div>
        <w:div w:id="1575357575">
          <w:marLeft w:val="640"/>
          <w:marRight w:val="0"/>
          <w:marTop w:val="0"/>
          <w:marBottom w:val="0"/>
          <w:divBdr>
            <w:top w:val="none" w:sz="0" w:space="0" w:color="auto"/>
            <w:left w:val="none" w:sz="0" w:space="0" w:color="auto"/>
            <w:bottom w:val="none" w:sz="0" w:space="0" w:color="auto"/>
            <w:right w:val="none" w:sz="0" w:space="0" w:color="auto"/>
          </w:divBdr>
        </w:div>
        <w:div w:id="860388670">
          <w:marLeft w:val="640"/>
          <w:marRight w:val="0"/>
          <w:marTop w:val="0"/>
          <w:marBottom w:val="0"/>
          <w:divBdr>
            <w:top w:val="none" w:sz="0" w:space="0" w:color="auto"/>
            <w:left w:val="none" w:sz="0" w:space="0" w:color="auto"/>
            <w:bottom w:val="none" w:sz="0" w:space="0" w:color="auto"/>
            <w:right w:val="none" w:sz="0" w:space="0" w:color="auto"/>
          </w:divBdr>
        </w:div>
        <w:div w:id="1330333032">
          <w:marLeft w:val="640"/>
          <w:marRight w:val="0"/>
          <w:marTop w:val="0"/>
          <w:marBottom w:val="0"/>
          <w:divBdr>
            <w:top w:val="none" w:sz="0" w:space="0" w:color="auto"/>
            <w:left w:val="none" w:sz="0" w:space="0" w:color="auto"/>
            <w:bottom w:val="none" w:sz="0" w:space="0" w:color="auto"/>
            <w:right w:val="none" w:sz="0" w:space="0" w:color="auto"/>
          </w:divBdr>
        </w:div>
        <w:div w:id="1130784430">
          <w:marLeft w:val="640"/>
          <w:marRight w:val="0"/>
          <w:marTop w:val="0"/>
          <w:marBottom w:val="0"/>
          <w:divBdr>
            <w:top w:val="none" w:sz="0" w:space="0" w:color="auto"/>
            <w:left w:val="none" w:sz="0" w:space="0" w:color="auto"/>
            <w:bottom w:val="none" w:sz="0" w:space="0" w:color="auto"/>
            <w:right w:val="none" w:sz="0" w:space="0" w:color="auto"/>
          </w:divBdr>
        </w:div>
        <w:div w:id="1431392186">
          <w:marLeft w:val="640"/>
          <w:marRight w:val="0"/>
          <w:marTop w:val="0"/>
          <w:marBottom w:val="0"/>
          <w:divBdr>
            <w:top w:val="none" w:sz="0" w:space="0" w:color="auto"/>
            <w:left w:val="none" w:sz="0" w:space="0" w:color="auto"/>
            <w:bottom w:val="none" w:sz="0" w:space="0" w:color="auto"/>
            <w:right w:val="none" w:sz="0" w:space="0" w:color="auto"/>
          </w:divBdr>
        </w:div>
        <w:div w:id="625813744">
          <w:marLeft w:val="640"/>
          <w:marRight w:val="0"/>
          <w:marTop w:val="0"/>
          <w:marBottom w:val="0"/>
          <w:divBdr>
            <w:top w:val="none" w:sz="0" w:space="0" w:color="auto"/>
            <w:left w:val="none" w:sz="0" w:space="0" w:color="auto"/>
            <w:bottom w:val="none" w:sz="0" w:space="0" w:color="auto"/>
            <w:right w:val="none" w:sz="0" w:space="0" w:color="auto"/>
          </w:divBdr>
        </w:div>
        <w:div w:id="283774909">
          <w:marLeft w:val="640"/>
          <w:marRight w:val="0"/>
          <w:marTop w:val="0"/>
          <w:marBottom w:val="0"/>
          <w:divBdr>
            <w:top w:val="none" w:sz="0" w:space="0" w:color="auto"/>
            <w:left w:val="none" w:sz="0" w:space="0" w:color="auto"/>
            <w:bottom w:val="none" w:sz="0" w:space="0" w:color="auto"/>
            <w:right w:val="none" w:sz="0" w:space="0" w:color="auto"/>
          </w:divBdr>
        </w:div>
        <w:div w:id="1656763053">
          <w:marLeft w:val="640"/>
          <w:marRight w:val="0"/>
          <w:marTop w:val="0"/>
          <w:marBottom w:val="0"/>
          <w:divBdr>
            <w:top w:val="none" w:sz="0" w:space="0" w:color="auto"/>
            <w:left w:val="none" w:sz="0" w:space="0" w:color="auto"/>
            <w:bottom w:val="none" w:sz="0" w:space="0" w:color="auto"/>
            <w:right w:val="none" w:sz="0" w:space="0" w:color="auto"/>
          </w:divBdr>
        </w:div>
        <w:div w:id="1000887619">
          <w:marLeft w:val="640"/>
          <w:marRight w:val="0"/>
          <w:marTop w:val="0"/>
          <w:marBottom w:val="0"/>
          <w:divBdr>
            <w:top w:val="none" w:sz="0" w:space="0" w:color="auto"/>
            <w:left w:val="none" w:sz="0" w:space="0" w:color="auto"/>
            <w:bottom w:val="none" w:sz="0" w:space="0" w:color="auto"/>
            <w:right w:val="none" w:sz="0" w:space="0" w:color="auto"/>
          </w:divBdr>
        </w:div>
      </w:divsChild>
    </w:div>
    <w:div w:id="490680149">
      <w:bodyDiv w:val="1"/>
      <w:marLeft w:val="0"/>
      <w:marRight w:val="0"/>
      <w:marTop w:val="0"/>
      <w:marBottom w:val="0"/>
      <w:divBdr>
        <w:top w:val="none" w:sz="0" w:space="0" w:color="auto"/>
        <w:left w:val="none" w:sz="0" w:space="0" w:color="auto"/>
        <w:bottom w:val="none" w:sz="0" w:space="0" w:color="auto"/>
        <w:right w:val="none" w:sz="0" w:space="0" w:color="auto"/>
      </w:divBdr>
    </w:div>
    <w:div w:id="499469421">
      <w:bodyDiv w:val="1"/>
      <w:marLeft w:val="0"/>
      <w:marRight w:val="0"/>
      <w:marTop w:val="0"/>
      <w:marBottom w:val="0"/>
      <w:divBdr>
        <w:top w:val="none" w:sz="0" w:space="0" w:color="auto"/>
        <w:left w:val="none" w:sz="0" w:space="0" w:color="auto"/>
        <w:bottom w:val="none" w:sz="0" w:space="0" w:color="auto"/>
        <w:right w:val="none" w:sz="0" w:space="0" w:color="auto"/>
      </w:divBdr>
    </w:div>
    <w:div w:id="507714421">
      <w:bodyDiv w:val="1"/>
      <w:marLeft w:val="0"/>
      <w:marRight w:val="0"/>
      <w:marTop w:val="0"/>
      <w:marBottom w:val="0"/>
      <w:divBdr>
        <w:top w:val="none" w:sz="0" w:space="0" w:color="auto"/>
        <w:left w:val="none" w:sz="0" w:space="0" w:color="auto"/>
        <w:bottom w:val="none" w:sz="0" w:space="0" w:color="auto"/>
        <w:right w:val="none" w:sz="0" w:space="0" w:color="auto"/>
      </w:divBdr>
    </w:div>
    <w:div w:id="511989432">
      <w:bodyDiv w:val="1"/>
      <w:marLeft w:val="0"/>
      <w:marRight w:val="0"/>
      <w:marTop w:val="0"/>
      <w:marBottom w:val="0"/>
      <w:divBdr>
        <w:top w:val="none" w:sz="0" w:space="0" w:color="auto"/>
        <w:left w:val="none" w:sz="0" w:space="0" w:color="auto"/>
        <w:bottom w:val="none" w:sz="0" w:space="0" w:color="auto"/>
        <w:right w:val="none" w:sz="0" w:space="0" w:color="auto"/>
      </w:divBdr>
    </w:div>
    <w:div w:id="512647008">
      <w:bodyDiv w:val="1"/>
      <w:marLeft w:val="0"/>
      <w:marRight w:val="0"/>
      <w:marTop w:val="0"/>
      <w:marBottom w:val="0"/>
      <w:divBdr>
        <w:top w:val="none" w:sz="0" w:space="0" w:color="auto"/>
        <w:left w:val="none" w:sz="0" w:space="0" w:color="auto"/>
        <w:bottom w:val="none" w:sz="0" w:space="0" w:color="auto"/>
        <w:right w:val="none" w:sz="0" w:space="0" w:color="auto"/>
      </w:divBdr>
    </w:div>
    <w:div w:id="514226080">
      <w:bodyDiv w:val="1"/>
      <w:marLeft w:val="0"/>
      <w:marRight w:val="0"/>
      <w:marTop w:val="0"/>
      <w:marBottom w:val="0"/>
      <w:divBdr>
        <w:top w:val="none" w:sz="0" w:space="0" w:color="auto"/>
        <w:left w:val="none" w:sz="0" w:space="0" w:color="auto"/>
        <w:bottom w:val="none" w:sz="0" w:space="0" w:color="auto"/>
        <w:right w:val="none" w:sz="0" w:space="0" w:color="auto"/>
      </w:divBdr>
    </w:div>
    <w:div w:id="515118961">
      <w:bodyDiv w:val="1"/>
      <w:marLeft w:val="0"/>
      <w:marRight w:val="0"/>
      <w:marTop w:val="0"/>
      <w:marBottom w:val="0"/>
      <w:divBdr>
        <w:top w:val="none" w:sz="0" w:space="0" w:color="auto"/>
        <w:left w:val="none" w:sz="0" w:space="0" w:color="auto"/>
        <w:bottom w:val="none" w:sz="0" w:space="0" w:color="auto"/>
        <w:right w:val="none" w:sz="0" w:space="0" w:color="auto"/>
      </w:divBdr>
    </w:div>
    <w:div w:id="516312310">
      <w:bodyDiv w:val="1"/>
      <w:marLeft w:val="0"/>
      <w:marRight w:val="0"/>
      <w:marTop w:val="0"/>
      <w:marBottom w:val="0"/>
      <w:divBdr>
        <w:top w:val="none" w:sz="0" w:space="0" w:color="auto"/>
        <w:left w:val="none" w:sz="0" w:space="0" w:color="auto"/>
        <w:bottom w:val="none" w:sz="0" w:space="0" w:color="auto"/>
        <w:right w:val="none" w:sz="0" w:space="0" w:color="auto"/>
      </w:divBdr>
    </w:div>
    <w:div w:id="517550095">
      <w:bodyDiv w:val="1"/>
      <w:marLeft w:val="0"/>
      <w:marRight w:val="0"/>
      <w:marTop w:val="0"/>
      <w:marBottom w:val="0"/>
      <w:divBdr>
        <w:top w:val="none" w:sz="0" w:space="0" w:color="auto"/>
        <w:left w:val="none" w:sz="0" w:space="0" w:color="auto"/>
        <w:bottom w:val="none" w:sz="0" w:space="0" w:color="auto"/>
        <w:right w:val="none" w:sz="0" w:space="0" w:color="auto"/>
      </w:divBdr>
    </w:div>
    <w:div w:id="520169380">
      <w:bodyDiv w:val="1"/>
      <w:marLeft w:val="0"/>
      <w:marRight w:val="0"/>
      <w:marTop w:val="0"/>
      <w:marBottom w:val="0"/>
      <w:divBdr>
        <w:top w:val="none" w:sz="0" w:space="0" w:color="auto"/>
        <w:left w:val="none" w:sz="0" w:space="0" w:color="auto"/>
        <w:bottom w:val="none" w:sz="0" w:space="0" w:color="auto"/>
        <w:right w:val="none" w:sz="0" w:space="0" w:color="auto"/>
      </w:divBdr>
    </w:div>
    <w:div w:id="521477013">
      <w:bodyDiv w:val="1"/>
      <w:marLeft w:val="0"/>
      <w:marRight w:val="0"/>
      <w:marTop w:val="0"/>
      <w:marBottom w:val="0"/>
      <w:divBdr>
        <w:top w:val="none" w:sz="0" w:space="0" w:color="auto"/>
        <w:left w:val="none" w:sz="0" w:space="0" w:color="auto"/>
        <w:bottom w:val="none" w:sz="0" w:space="0" w:color="auto"/>
        <w:right w:val="none" w:sz="0" w:space="0" w:color="auto"/>
      </w:divBdr>
    </w:div>
    <w:div w:id="524246117">
      <w:bodyDiv w:val="1"/>
      <w:marLeft w:val="0"/>
      <w:marRight w:val="0"/>
      <w:marTop w:val="0"/>
      <w:marBottom w:val="0"/>
      <w:divBdr>
        <w:top w:val="none" w:sz="0" w:space="0" w:color="auto"/>
        <w:left w:val="none" w:sz="0" w:space="0" w:color="auto"/>
        <w:bottom w:val="none" w:sz="0" w:space="0" w:color="auto"/>
        <w:right w:val="none" w:sz="0" w:space="0" w:color="auto"/>
      </w:divBdr>
    </w:div>
    <w:div w:id="524564376">
      <w:bodyDiv w:val="1"/>
      <w:marLeft w:val="0"/>
      <w:marRight w:val="0"/>
      <w:marTop w:val="0"/>
      <w:marBottom w:val="0"/>
      <w:divBdr>
        <w:top w:val="none" w:sz="0" w:space="0" w:color="auto"/>
        <w:left w:val="none" w:sz="0" w:space="0" w:color="auto"/>
        <w:bottom w:val="none" w:sz="0" w:space="0" w:color="auto"/>
        <w:right w:val="none" w:sz="0" w:space="0" w:color="auto"/>
      </w:divBdr>
    </w:div>
    <w:div w:id="525876406">
      <w:bodyDiv w:val="1"/>
      <w:marLeft w:val="0"/>
      <w:marRight w:val="0"/>
      <w:marTop w:val="0"/>
      <w:marBottom w:val="0"/>
      <w:divBdr>
        <w:top w:val="none" w:sz="0" w:space="0" w:color="auto"/>
        <w:left w:val="none" w:sz="0" w:space="0" w:color="auto"/>
        <w:bottom w:val="none" w:sz="0" w:space="0" w:color="auto"/>
        <w:right w:val="none" w:sz="0" w:space="0" w:color="auto"/>
      </w:divBdr>
    </w:div>
    <w:div w:id="526213798">
      <w:bodyDiv w:val="1"/>
      <w:marLeft w:val="0"/>
      <w:marRight w:val="0"/>
      <w:marTop w:val="0"/>
      <w:marBottom w:val="0"/>
      <w:divBdr>
        <w:top w:val="none" w:sz="0" w:space="0" w:color="auto"/>
        <w:left w:val="none" w:sz="0" w:space="0" w:color="auto"/>
        <w:bottom w:val="none" w:sz="0" w:space="0" w:color="auto"/>
        <w:right w:val="none" w:sz="0" w:space="0" w:color="auto"/>
      </w:divBdr>
    </w:div>
    <w:div w:id="528956582">
      <w:bodyDiv w:val="1"/>
      <w:marLeft w:val="0"/>
      <w:marRight w:val="0"/>
      <w:marTop w:val="0"/>
      <w:marBottom w:val="0"/>
      <w:divBdr>
        <w:top w:val="none" w:sz="0" w:space="0" w:color="auto"/>
        <w:left w:val="none" w:sz="0" w:space="0" w:color="auto"/>
        <w:bottom w:val="none" w:sz="0" w:space="0" w:color="auto"/>
        <w:right w:val="none" w:sz="0" w:space="0" w:color="auto"/>
      </w:divBdr>
    </w:div>
    <w:div w:id="532228452">
      <w:bodyDiv w:val="1"/>
      <w:marLeft w:val="0"/>
      <w:marRight w:val="0"/>
      <w:marTop w:val="0"/>
      <w:marBottom w:val="0"/>
      <w:divBdr>
        <w:top w:val="none" w:sz="0" w:space="0" w:color="auto"/>
        <w:left w:val="none" w:sz="0" w:space="0" w:color="auto"/>
        <w:bottom w:val="none" w:sz="0" w:space="0" w:color="auto"/>
        <w:right w:val="none" w:sz="0" w:space="0" w:color="auto"/>
      </w:divBdr>
    </w:div>
    <w:div w:id="533083969">
      <w:bodyDiv w:val="1"/>
      <w:marLeft w:val="0"/>
      <w:marRight w:val="0"/>
      <w:marTop w:val="0"/>
      <w:marBottom w:val="0"/>
      <w:divBdr>
        <w:top w:val="none" w:sz="0" w:space="0" w:color="auto"/>
        <w:left w:val="none" w:sz="0" w:space="0" w:color="auto"/>
        <w:bottom w:val="none" w:sz="0" w:space="0" w:color="auto"/>
        <w:right w:val="none" w:sz="0" w:space="0" w:color="auto"/>
      </w:divBdr>
      <w:divsChild>
        <w:div w:id="1319768964">
          <w:marLeft w:val="640"/>
          <w:marRight w:val="0"/>
          <w:marTop w:val="0"/>
          <w:marBottom w:val="0"/>
          <w:divBdr>
            <w:top w:val="none" w:sz="0" w:space="0" w:color="auto"/>
            <w:left w:val="none" w:sz="0" w:space="0" w:color="auto"/>
            <w:bottom w:val="none" w:sz="0" w:space="0" w:color="auto"/>
            <w:right w:val="none" w:sz="0" w:space="0" w:color="auto"/>
          </w:divBdr>
        </w:div>
        <w:div w:id="715854410">
          <w:marLeft w:val="640"/>
          <w:marRight w:val="0"/>
          <w:marTop w:val="0"/>
          <w:marBottom w:val="0"/>
          <w:divBdr>
            <w:top w:val="none" w:sz="0" w:space="0" w:color="auto"/>
            <w:left w:val="none" w:sz="0" w:space="0" w:color="auto"/>
            <w:bottom w:val="none" w:sz="0" w:space="0" w:color="auto"/>
            <w:right w:val="none" w:sz="0" w:space="0" w:color="auto"/>
          </w:divBdr>
        </w:div>
        <w:div w:id="907154113">
          <w:marLeft w:val="640"/>
          <w:marRight w:val="0"/>
          <w:marTop w:val="0"/>
          <w:marBottom w:val="0"/>
          <w:divBdr>
            <w:top w:val="none" w:sz="0" w:space="0" w:color="auto"/>
            <w:left w:val="none" w:sz="0" w:space="0" w:color="auto"/>
            <w:bottom w:val="none" w:sz="0" w:space="0" w:color="auto"/>
            <w:right w:val="none" w:sz="0" w:space="0" w:color="auto"/>
          </w:divBdr>
        </w:div>
        <w:div w:id="11147932">
          <w:marLeft w:val="640"/>
          <w:marRight w:val="0"/>
          <w:marTop w:val="0"/>
          <w:marBottom w:val="0"/>
          <w:divBdr>
            <w:top w:val="none" w:sz="0" w:space="0" w:color="auto"/>
            <w:left w:val="none" w:sz="0" w:space="0" w:color="auto"/>
            <w:bottom w:val="none" w:sz="0" w:space="0" w:color="auto"/>
            <w:right w:val="none" w:sz="0" w:space="0" w:color="auto"/>
          </w:divBdr>
        </w:div>
        <w:div w:id="1651671005">
          <w:marLeft w:val="640"/>
          <w:marRight w:val="0"/>
          <w:marTop w:val="0"/>
          <w:marBottom w:val="0"/>
          <w:divBdr>
            <w:top w:val="none" w:sz="0" w:space="0" w:color="auto"/>
            <w:left w:val="none" w:sz="0" w:space="0" w:color="auto"/>
            <w:bottom w:val="none" w:sz="0" w:space="0" w:color="auto"/>
            <w:right w:val="none" w:sz="0" w:space="0" w:color="auto"/>
          </w:divBdr>
        </w:div>
        <w:div w:id="2002003285">
          <w:marLeft w:val="640"/>
          <w:marRight w:val="0"/>
          <w:marTop w:val="0"/>
          <w:marBottom w:val="0"/>
          <w:divBdr>
            <w:top w:val="none" w:sz="0" w:space="0" w:color="auto"/>
            <w:left w:val="none" w:sz="0" w:space="0" w:color="auto"/>
            <w:bottom w:val="none" w:sz="0" w:space="0" w:color="auto"/>
            <w:right w:val="none" w:sz="0" w:space="0" w:color="auto"/>
          </w:divBdr>
        </w:div>
        <w:div w:id="777139107">
          <w:marLeft w:val="640"/>
          <w:marRight w:val="0"/>
          <w:marTop w:val="0"/>
          <w:marBottom w:val="0"/>
          <w:divBdr>
            <w:top w:val="none" w:sz="0" w:space="0" w:color="auto"/>
            <w:left w:val="none" w:sz="0" w:space="0" w:color="auto"/>
            <w:bottom w:val="none" w:sz="0" w:space="0" w:color="auto"/>
            <w:right w:val="none" w:sz="0" w:space="0" w:color="auto"/>
          </w:divBdr>
        </w:div>
        <w:div w:id="2067214137">
          <w:marLeft w:val="640"/>
          <w:marRight w:val="0"/>
          <w:marTop w:val="0"/>
          <w:marBottom w:val="0"/>
          <w:divBdr>
            <w:top w:val="none" w:sz="0" w:space="0" w:color="auto"/>
            <w:left w:val="none" w:sz="0" w:space="0" w:color="auto"/>
            <w:bottom w:val="none" w:sz="0" w:space="0" w:color="auto"/>
            <w:right w:val="none" w:sz="0" w:space="0" w:color="auto"/>
          </w:divBdr>
        </w:div>
        <w:div w:id="716398199">
          <w:marLeft w:val="640"/>
          <w:marRight w:val="0"/>
          <w:marTop w:val="0"/>
          <w:marBottom w:val="0"/>
          <w:divBdr>
            <w:top w:val="none" w:sz="0" w:space="0" w:color="auto"/>
            <w:left w:val="none" w:sz="0" w:space="0" w:color="auto"/>
            <w:bottom w:val="none" w:sz="0" w:space="0" w:color="auto"/>
            <w:right w:val="none" w:sz="0" w:space="0" w:color="auto"/>
          </w:divBdr>
        </w:div>
        <w:div w:id="620301871">
          <w:marLeft w:val="640"/>
          <w:marRight w:val="0"/>
          <w:marTop w:val="0"/>
          <w:marBottom w:val="0"/>
          <w:divBdr>
            <w:top w:val="none" w:sz="0" w:space="0" w:color="auto"/>
            <w:left w:val="none" w:sz="0" w:space="0" w:color="auto"/>
            <w:bottom w:val="none" w:sz="0" w:space="0" w:color="auto"/>
            <w:right w:val="none" w:sz="0" w:space="0" w:color="auto"/>
          </w:divBdr>
        </w:div>
        <w:div w:id="515924833">
          <w:marLeft w:val="640"/>
          <w:marRight w:val="0"/>
          <w:marTop w:val="0"/>
          <w:marBottom w:val="0"/>
          <w:divBdr>
            <w:top w:val="none" w:sz="0" w:space="0" w:color="auto"/>
            <w:left w:val="none" w:sz="0" w:space="0" w:color="auto"/>
            <w:bottom w:val="none" w:sz="0" w:space="0" w:color="auto"/>
            <w:right w:val="none" w:sz="0" w:space="0" w:color="auto"/>
          </w:divBdr>
        </w:div>
        <w:div w:id="658537645">
          <w:marLeft w:val="640"/>
          <w:marRight w:val="0"/>
          <w:marTop w:val="0"/>
          <w:marBottom w:val="0"/>
          <w:divBdr>
            <w:top w:val="none" w:sz="0" w:space="0" w:color="auto"/>
            <w:left w:val="none" w:sz="0" w:space="0" w:color="auto"/>
            <w:bottom w:val="none" w:sz="0" w:space="0" w:color="auto"/>
            <w:right w:val="none" w:sz="0" w:space="0" w:color="auto"/>
          </w:divBdr>
        </w:div>
        <w:div w:id="625738561">
          <w:marLeft w:val="640"/>
          <w:marRight w:val="0"/>
          <w:marTop w:val="0"/>
          <w:marBottom w:val="0"/>
          <w:divBdr>
            <w:top w:val="none" w:sz="0" w:space="0" w:color="auto"/>
            <w:left w:val="none" w:sz="0" w:space="0" w:color="auto"/>
            <w:bottom w:val="none" w:sz="0" w:space="0" w:color="auto"/>
            <w:right w:val="none" w:sz="0" w:space="0" w:color="auto"/>
          </w:divBdr>
        </w:div>
        <w:div w:id="1325429765">
          <w:marLeft w:val="640"/>
          <w:marRight w:val="0"/>
          <w:marTop w:val="0"/>
          <w:marBottom w:val="0"/>
          <w:divBdr>
            <w:top w:val="none" w:sz="0" w:space="0" w:color="auto"/>
            <w:left w:val="none" w:sz="0" w:space="0" w:color="auto"/>
            <w:bottom w:val="none" w:sz="0" w:space="0" w:color="auto"/>
            <w:right w:val="none" w:sz="0" w:space="0" w:color="auto"/>
          </w:divBdr>
        </w:div>
        <w:div w:id="497352773">
          <w:marLeft w:val="640"/>
          <w:marRight w:val="0"/>
          <w:marTop w:val="0"/>
          <w:marBottom w:val="0"/>
          <w:divBdr>
            <w:top w:val="none" w:sz="0" w:space="0" w:color="auto"/>
            <w:left w:val="none" w:sz="0" w:space="0" w:color="auto"/>
            <w:bottom w:val="none" w:sz="0" w:space="0" w:color="auto"/>
            <w:right w:val="none" w:sz="0" w:space="0" w:color="auto"/>
          </w:divBdr>
        </w:div>
        <w:div w:id="1563130362">
          <w:marLeft w:val="640"/>
          <w:marRight w:val="0"/>
          <w:marTop w:val="0"/>
          <w:marBottom w:val="0"/>
          <w:divBdr>
            <w:top w:val="none" w:sz="0" w:space="0" w:color="auto"/>
            <w:left w:val="none" w:sz="0" w:space="0" w:color="auto"/>
            <w:bottom w:val="none" w:sz="0" w:space="0" w:color="auto"/>
            <w:right w:val="none" w:sz="0" w:space="0" w:color="auto"/>
          </w:divBdr>
        </w:div>
        <w:div w:id="190805470">
          <w:marLeft w:val="640"/>
          <w:marRight w:val="0"/>
          <w:marTop w:val="0"/>
          <w:marBottom w:val="0"/>
          <w:divBdr>
            <w:top w:val="none" w:sz="0" w:space="0" w:color="auto"/>
            <w:left w:val="none" w:sz="0" w:space="0" w:color="auto"/>
            <w:bottom w:val="none" w:sz="0" w:space="0" w:color="auto"/>
            <w:right w:val="none" w:sz="0" w:space="0" w:color="auto"/>
          </w:divBdr>
        </w:div>
        <w:div w:id="1772123895">
          <w:marLeft w:val="640"/>
          <w:marRight w:val="0"/>
          <w:marTop w:val="0"/>
          <w:marBottom w:val="0"/>
          <w:divBdr>
            <w:top w:val="none" w:sz="0" w:space="0" w:color="auto"/>
            <w:left w:val="none" w:sz="0" w:space="0" w:color="auto"/>
            <w:bottom w:val="none" w:sz="0" w:space="0" w:color="auto"/>
            <w:right w:val="none" w:sz="0" w:space="0" w:color="auto"/>
          </w:divBdr>
        </w:div>
        <w:div w:id="13041739">
          <w:marLeft w:val="640"/>
          <w:marRight w:val="0"/>
          <w:marTop w:val="0"/>
          <w:marBottom w:val="0"/>
          <w:divBdr>
            <w:top w:val="none" w:sz="0" w:space="0" w:color="auto"/>
            <w:left w:val="none" w:sz="0" w:space="0" w:color="auto"/>
            <w:bottom w:val="none" w:sz="0" w:space="0" w:color="auto"/>
            <w:right w:val="none" w:sz="0" w:space="0" w:color="auto"/>
          </w:divBdr>
        </w:div>
        <w:div w:id="1283609215">
          <w:marLeft w:val="640"/>
          <w:marRight w:val="0"/>
          <w:marTop w:val="0"/>
          <w:marBottom w:val="0"/>
          <w:divBdr>
            <w:top w:val="none" w:sz="0" w:space="0" w:color="auto"/>
            <w:left w:val="none" w:sz="0" w:space="0" w:color="auto"/>
            <w:bottom w:val="none" w:sz="0" w:space="0" w:color="auto"/>
            <w:right w:val="none" w:sz="0" w:space="0" w:color="auto"/>
          </w:divBdr>
        </w:div>
        <w:div w:id="2080903273">
          <w:marLeft w:val="640"/>
          <w:marRight w:val="0"/>
          <w:marTop w:val="0"/>
          <w:marBottom w:val="0"/>
          <w:divBdr>
            <w:top w:val="none" w:sz="0" w:space="0" w:color="auto"/>
            <w:left w:val="none" w:sz="0" w:space="0" w:color="auto"/>
            <w:bottom w:val="none" w:sz="0" w:space="0" w:color="auto"/>
            <w:right w:val="none" w:sz="0" w:space="0" w:color="auto"/>
          </w:divBdr>
        </w:div>
        <w:div w:id="259072223">
          <w:marLeft w:val="640"/>
          <w:marRight w:val="0"/>
          <w:marTop w:val="0"/>
          <w:marBottom w:val="0"/>
          <w:divBdr>
            <w:top w:val="none" w:sz="0" w:space="0" w:color="auto"/>
            <w:left w:val="none" w:sz="0" w:space="0" w:color="auto"/>
            <w:bottom w:val="none" w:sz="0" w:space="0" w:color="auto"/>
            <w:right w:val="none" w:sz="0" w:space="0" w:color="auto"/>
          </w:divBdr>
        </w:div>
        <w:div w:id="175929848">
          <w:marLeft w:val="640"/>
          <w:marRight w:val="0"/>
          <w:marTop w:val="0"/>
          <w:marBottom w:val="0"/>
          <w:divBdr>
            <w:top w:val="none" w:sz="0" w:space="0" w:color="auto"/>
            <w:left w:val="none" w:sz="0" w:space="0" w:color="auto"/>
            <w:bottom w:val="none" w:sz="0" w:space="0" w:color="auto"/>
            <w:right w:val="none" w:sz="0" w:space="0" w:color="auto"/>
          </w:divBdr>
        </w:div>
        <w:div w:id="1358968590">
          <w:marLeft w:val="640"/>
          <w:marRight w:val="0"/>
          <w:marTop w:val="0"/>
          <w:marBottom w:val="0"/>
          <w:divBdr>
            <w:top w:val="none" w:sz="0" w:space="0" w:color="auto"/>
            <w:left w:val="none" w:sz="0" w:space="0" w:color="auto"/>
            <w:bottom w:val="none" w:sz="0" w:space="0" w:color="auto"/>
            <w:right w:val="none" w:sz="0" w:space="0" w:color="auto"/>
          </w:divBdr>
        </w:div>
        <w:div w:id="597639626">
          <w:marLeft w:val="640"/>
          <w:marRight w:val="0"/>
          <w:marTop w:val="0"/>
          <w:marBottom w:val="0"/>
          <w:divBdr>
            <w:top w:val="none" w:sz="0" w:space="0" w:color="auto"/>
            <w:left w:val="none" w:sz="0" w:space="0" w:color="auto"/>
            <w:bottom w:val="none" w:sz="0" w:space="0" w:color="auto"/>
            <w:right w:val="none" w:sz="0" w:space="0" w:color="auto"/>
          </w:divBdr>
        </w:div>
        <w:div w:id="1919904671">
          <w:marLeft w:val="640"/>
          <w:marRight w:val="0"/>
          <w:marTop w:val="0"/>
          <w:marBottom w:val="0"/>
          <w:divBdr>
            <w:top w:val="none" w:sz="0" w:space="0" w:color="auto"/>
            <w:left w:val="none" w:sz="0" w:space="0" w:color="auto"/>
            <w:bottom w:val="none" w:sz="0" w:space="0" w:color="auto"/>
            <w:right w:val="none" w:sz="0" w:space="0" w:color="auto"/>
          </w:divBdr>
        </w:div>
        <w:div w:id="1833254470">
          <w:marLeft w:val="640"/>
          <w:marRight w:val="0"/>
          <w:marTop w:val="0"/>
          <w:marBottom w:val="0"/>
          <w:divBdr>
            <w:top w:val="none" w:sz="0" w:space="0" w:color="auto"/>
            <w:left w:val="none" w:sz="0" w:space="0" w:color="auto"/>
            <w:bottom w:val="none" w:sz="0" w:space="0" w:color="auto"/>
            <w:right w:val="none" w:sz="0" w:space="0" w:color="auto"/>
          </w:divBdr>
        </w:div>
        <w:div w:id="750279990">
          <w:marLeft w:val="640"/>
          <w:marRight w:val="0"/>
          <w:marTop w:val="0"/>
          <w:marBottom w:val="0"/>
          <w:divBdr>
            <w:top w:val="none" w:sz="0" w:space="0" w:color="auto"/>
            <w:left w:val="none" w:sz="0" w:space="0" w:color="auto"/>
            <w:bottom w:val="none" w:sz="0" w:space="0" w:color="auto"/>
            <w:right w:val="none" w:sz="0" w:space="0" w:color="auto"/>
          </w:divBdr>
        </w:div>
        <w:div w:id="282033937">
          <w:marLeft w:val="640"/>
          <w:marRight w:val="0"/>
          <w:marTop w:val="0"/>
          <w:marBottom w:val="0"/>
          <w:divBdr>
            <w:top w:val="none" w:sz="0" w:space="0" w:color="auto"/>
            <w:left w:val="none" w:sz="0" w:space="0" w:color="auto"/>
            <w:bottom w:val="none" w:sz="0" w:space="0" w:color="auto"/>
            <w:right w:val="none" w:sz="0" w:space="0" w:color="auto"/>
          </w:divBdr>
        </w:div>
        <w:div w:id="1315767289">
          <w:marLeft w:val="640"/>
          <w:marRight w:val="0"/>
          <w:marTop w:val="0"/>
          <w:marBottom w:val="0"/>
          <w:divBdr>
            <w:top w:val="none" w:sz="0" w:space="0" w:color="auto"/>
            <w:left w:val="none" w:sz="0" w:space="0" w:color="auto"/>
            <w:bottom w:val="none" w:sz="0" w:space="0" w:color="auto"/>
            <w:right w:val="none" w:sz="0" w:space="0" w:color="auto"/>
          </w:divBdr>
        </w:div>
        <w:div w:id="1809282201">
          <w:marLeft w:val="640"/>
          <w:marRight w:val="0"/>
          <w:marTop w:val="0"/>
          <w:marBottom w:val="0"/>
          <w:divBdr>
            <w:top w:val="none" w:sz="0" w:space="0" w:color="auto"/>
            <w:left w:val="none" w:sz="0" w:space="0" w:color="auto"/>
            <w:bottom w:val="none" w:sz="0" w:space="0" w:color="auto"/>
            <w:right w:val="none" w:sz="0" w:space="0" w:color="auto"/>
          </w:divBdr>
        </w:div>
        <w:div w:id="1198857385">
          <w:marLeft w:val="640"/>
          <w:marRight w:val="0"/>
          <w:marTop w:val="0"/>
          <w:marBottom w:val="0"/>
          <w:divBdr>
            <w:top w:val="none" w:sz="0" w:space="0" w:color="auto"/>
            <w:left w:val="none" w:sz="0" w:space="0" w:color="auto"/>
            <w:bottom w:val="none" w:sz="0" w:space="0" w:color="auto"/>
            <w:right w:val="none" w:sz="0" w:space="0" w:color="auto"/>
          </w:divBdr>
        </w:div>
        <w:div w:id="365764762">
          <w:marLeft w:val="640"/>
          <w:marRight w:val="0"/>
          <w:marTop w:val="0"/>
          <w:marBottom w:val="0"/>
          <w:divBdr>
            <w:top w:val="none" w:sz="0" w:space="0" w:color="auto"/>
            <w:left w:val="none" w:sz="0" w:space="0" w:color="auto"/>
            <w:bottom w:val="none" w:sz="0" w:space="0" w:color="auto"/>
            <w:right w:val="none" w:sz="0" w:space="0" w:color="auto"/>
          </w:divBdr>
        </w:div>
        <w:div w:id="1140729803">
          <w:marLeft w:val="640"/>
          <w:marRight w:val="0"/>
          <w:marTop w:val="0"/>
          <w:marBottom w:val="0"/>
          <w:divBdr>
            <w:top w:val="none" w:sz="0" w:space="0" w:color="auto"/>
            <w:left w:val="none" w:sz="0" w:space="0" w:color="auto"/>
            <w:bottom w:val="none" w:sz="0" w:space="0" w:color="auto"/>
            <w:right w:val="none" w:sz="0" w:space="0" w:color="auto"/>
          </w:divBdr>
        </w:div>
        <w:div w:id="630063203">
          <w:marLeft w:val="640"/>
          <w:marRight w:val="0"/>
          <w:marTop w:val="0"/>
          <w:marBottom w:val="0"/>
          <w:divBdr>
            <w:top w:val="none" w:sz="0" w:space="0" w:color="auto"/>
            <w:left w:val="none" w:sz="0" w:space="0" w:color="auto"/>
            <w:bottom w:val="none" w:sz="0" w:space="0" w:color="auto"/>
            <w:right w:val="none" w:sz="0" w:space="0" w:color="auto"/>
          </w:divBdr>
        </w:div>
        <w:div w:id="1409425940">
          <w:marLeft w:val="640"/>
          <w:marRight w:val="0"/>
          <w:marTop w:val="0"/>
          <w:marBottom w:val="0"/>
          <w:divBdr>
            <w:top w:val="none" w:sz="0" w:space="0" w:color="auto"/>
            <w:left w:val="none" w:sz="0" w:space="0" w:color="auto"/>
            <w:bottom w:val="none" w:sz="0" w:space="0" w:color="auto"/>
            <w:right w:val="none" w:sz="0" w:space="0" w:color="auto"/>
          </w:divBdr>
        </w:div>
        <w:div w:id="1652833444">
          <w:marLeft w:val="640"/>
          <w:marRight w:val="0"/>
          <w:marTop w:val="0"/>
          <w:marBottom w:val="0"/>
          <w:divBdr>
            <w:top w:val="none" w:sz="0" w:space="0" w:color="auto"/>
            <w:left w:val="none" w:sz="0" w:space="0" w:color="auto"/>
            <w:bottom w:val="none" w:sz="0" w:space="0" w:color="auto"/>
            <w:right w:val="none" w:sz="0" w:space="0" w:color="auto"/>
          </w:divBdr>
        </w:div>
        <w:div w:id="2047946953">
          <w:marLeft w:val="640"/>
          <w:marRight w:val="0"/>
          <w:marTop w:val="0"/>
          <w:marBottom w:val="0"/>
          <w:divBdr>
            <w:top w:val="none" w:sz="0" w:space="0" w:color="auto"/>
            <w:left w:val="none" w:sz="0" w:space="0" w:color="auto"/>
            <w:bottom w:val="none" w:sz="0" w:space="0" w:color="auto"/>
            <w:right w:val="none" w:sz="0" w:space="0" w:color="auto"/>
          </w:divBdr>
        </w:div>
        <w:div w:id="886991826">
          <w:marLeft w:val="640"/>
          <w:marRight w:val="0"/>
          <w:marTop w:val="0"/>
          <w:marBottom w:val="0"/>
          <w:divBdr>
            <w:top w:val="none" w:sz="0" w:space="0" w:color="auto"/>
            <w:left w:val="none" w:sz="0" w:space="0" w:color="auto"/>
            <w:bottom w:val="none" w:sz="0" w:space="0" w:color="auto"/>
            <w:right w:val="none" w:sz="0" w:space="0" w:color="auto"/>
          </w:divBdr>
        </w:div>
        <w:div w:id="32577787">
          <w:marLeft w:val="640"/>
          <w:marRight w:val="0"/>
          <w:marTop w:val="0"/>
          <w:marBottom w:val="0"/>
          <w:divBdr>
            <w:top w:val="none" w:sz="0" w:space="0" w:color="auto"/>
            <w:left w:val="none" w:sz="0" w:space="0" w:color="auto"/>
            <w:bottom w:val="none" w:sz="0" w:space="0" w:color="auto"/>
            <w:right w:val="none" w:sz="0" w:space="0" w:color="auto"/>
          </w:divBdr>
        </w:div>
        <w:div w:id="1777288953">
          <w:marLeft w:val="640"/>
          <w:marRight w:val="0"/>
          <w:marTop w:val="0"/>
          <w:marBottom w:val="0"/>
          <w:divBdr>
            <w:top w:val="none" w:sz="0" w:space="0" w:color="auto"/>
            <w:left w:val="none" w:sz="0" w:space="0" w:color="auto"/>
            <w:bottom w:val="none" w:sz="0" w:space="0" w:color="auto"/>
            <w:right w:val="none" w:sz="0" w:space="0" w:color="auto"/>
          </w:divBdr>
        </w:div>
        <w:div w:id="1774668246">
          <w:marLeft w:val="640"/>
          <w:marRight w:val="0"/>
          <w:marTop w:val="0"/>
          <w:marBottom w:val="0"/>
          <w:divBdr>
            <w:top w:val="none" w:sz="0" w:space="0" w:color="auto"/>
            <w:left w:val="none" w:sz="0" w:space="0" w:color="auto"/>
            <w:bottom w:val="none" w:sz="0" w:space="0" w:color="auto"/>
            <w:right w:val="none" w:sz="0" w:space="0" w:color="auto"/>
          </w:divBdr>
        </w:div>
        <w:div w:id="1057823990">
          <w:marLeft w:val="640"/>
          <w:marRight w:val="0"/>
          <w:marTop w:val="0"/>
          <w:marBottom w:val="0"/>
          <w:divBdr>
            <w:top w:val="none" w:sz="0" w:space="0" w:color="auto"/>
            <w:left w:val="none" w:sz="0" w:space="0" w:color="auto"/>
            <w:bottom w:val="none" w:sz="0" w:space="0" w:color="auto"/>
            <w:right w:val="none" w:sz="0" w:space="0" w:color="auto"/>
          </w:divBdr>
        </w:div>
        <w:div w:id="190610597">
          <w:marLeft w:val="640"/>
          <w:marRight w:val="0"/>
          <w:marTop w:val="0"/>
          <w:marBottom w:val="0"/>
          <w:divBdr>
            <w:top w:val="none" w:sz="0" w:space="0" w:color="auto"/>
            <w:left w:val="none" w:sz="0" w:space="0" w:color="auto"/>
            <w:bottom w:val="none" w:sz="0" w:space="0" w:color="auto"/>
            <w:right w:val="none" w:sz="0" w:space="0" w:color="auto"/>
          </w:divBdr>
        </w:div>
        <w:div w:id="1781871879">
          <w:marLeft w:val="640"/>
          <w:marRight w:val="0"/>
          <w:marTop w:val="0"/>
          <w:marBottom w:val="0"/>
          <w:divBdr>
            <w:top w:val="none" w:sz="0" w:space="0" w:color="auto"/>
            <w:left w:val="none" w:sz="0" w:space="0" w:color="auto"/>
            <w:bottom w:val="none" w:sz="0" w:space="0" w:color="auto"/>
            <w:right w:val="none" w:sz="0" w:space="0" w:color="auto"/>
          </w:divBdr>
        </w:div>
        <w:div w:id="1431705201">
          <w:marLeft w:val="640"/>
          <w:marRight w:val="0"/>
          <w:marTop w:val="0"/>
          <w:marBottom w:val="0"/>
          <w:divBdr>
            <w:top w:val="none" w:sz="0" w:space="0" w:color="auto"/>
            <w:left w:val="none" w:sz="0" w:space="0" w:color="auto"/>
            <w:bottom w:val="none" w:sz="0" w:space="0" w:color="auto"/>
            <w:right w:val="none" w:sz="0" w:space="0" w:color="auto"/>
          </w:divBdr>
        </w:div>
        <w:div w:id="2066903574">
          <w:marLeft w:val="640"/>
          <w:marRight w:val="0"/>
          <w:marTop w:val="0"/>
          <w:marBottom w:val="0"/>
          <w:divBdr>
            <w:top w:val="none" w:sz="0" w:space="0" w:color="auto"/>
            <w:left w:val="none" w:sz="0" w:space="0" w:color="auto"/>
            <w:bottom w:val="none" w:sz="0" w:space="0" w:color="auto"/>
            <w:right w:val="none" w:sz="0" w:space="0" w:color="auto"/>
          </w:divBdr>
        </w:div>
        <w:div w:id="1708793078">
          <w:marLeft w:val="640"/>
          <w:marRight w:val="0"/>
          <w:marTop w:val="0"/>
          <w:marBottom w:val="0"/>
          <w:divBdr>
            <w:top w:val="none" w:sz="0" w:space="0" w:color="auto"/>
            <w:left w:val="none" w:sz="0" w:space="0" w:color="auto"/>
            <w:bottom w:val="none" w:sz="0" w:space="0" w:color="auto"/>
            <w:right w:val="none" w:sz="0" w:space="0" w:color="auto"/>
          </w:divBdr>
        </w:div>
        <w:div w:id="153646534">
          <w:marLeft w:val="640"/>
          <w:marRight w:val="0"/>
          <w:marTop w:val="0"/>
          <w:marBottom w:val="0"/>
          <w:divBdr>
            <w:top w:val="none" w:sz="0" w:space="0" w:color="auto"/>
            <w:left w:val="none" w:sz="0" w:space="0" w:color="auto"/>
            <w:bottom w:val="none" w:sz="0" w:space="0" w:color="auto"/>
            <w:right w:val="none" w:sz="0" w:space="0" w:color="auto"/>
          </w:divBdr>
        </w:div>
        <w:div w:id="1314291253">
          <w:marLeft w:val="640"/>
          <w:marRight w:val="0"/>
          <w:marTop w:val="0"/>
          <w:marBottom w:val="0"/>
          <w:divBdr>
            <w:top w:val="none" w:sz="0" w:space="0" w:color="auto"/>
            <w:left w:val="none" w:sz="0" w:space="0" w:color="auto"/>
            <w:bottom w:val="none" w:sz="0" w:space="0" w:color="auto"/>
            <w:right w:val="none" w:sz="0" w:space="0" w:color="auto"/>
          </w:divBdr>
        </w:div>
        <w:div w:id="1482692821">
          <w:marLeft w:val="640"/>
          <w:marRight w:val="0"/>
          <w:marTop w:val="0"/>
          <w:marBottom w:val="0"/>
          <w:divBdr>
            <w:top w:val="none" w:sz="0" w:space="0" w:color="auto"/>
            <w:left w:val="none" w:sz="0" w:space="0" w:color="auto"/>
            <w:bottom w:val="none" w:sz="0" w:space="0" w:color="auto"/>
            <w:right w:val="none" w:sz="0" w:space="0" w:color="auto"/>
          </w:divBdr>
        </w:div>
        <w:div w:id="1028874501">
          <w:marLeft w:val="640"/>
          <w:marRight w:val="0"/>
          <w:marTop w:val="0"/>
          <w:marBottom w:val="0"/>
          <w:divBdr>
            <w:top w:val="none" w:sz="0" w:space="0" w:color="auto"/>
            <w:left w:val="none" w:sz="0" w:space="0" w:color="auto"/>
            <w:bottom w:val="none" w:sz="0" w:space="0" w:color="auto"/>
            <w:right w:val="none" w:sz="0" w:space="0" w:color="auto"/>
          </w:divBdr>
        </w:div>
        <w:div w:id="836845652">
          <w:marLeft w:val="640"/>
          <w:marRight w:val="0"/>
          <w:marTop w:val="0"/>
          <w:marBottom w:val="0"/>
          <w:divBdr>
            <w:top w:val="none" w:sz="0" w:space="0" w:color="auto"/>
            <w:left w:val="none" w:sz="0" w:space="0" w:color="auto"/>
            <w:bottom w:val="none" w:sz="0" w:space="0" w:color="auto"/>
            <w:right w:val="none" w:sz="0" w:space="0" w:color="auto"/>
          </w:divBdr>
        </w:div>
        <w:div w:id="1983192727">
          <w:marLeft w:val="640"/>
          <w:marRight w:val="0"/>
          <w:marTop w:val="0"/>
          <w:marBottom w:val="0"/>
          <w:divBdr>
            <w:top w:val="none" w:sz="0" w:space="0" w:color="auto"/>
            <w:left w:val="none" w:sz="0" w:space="0" w:color="auto"/>
            <w:bottom w:val="none" w:sz="0" w:space="0" w:color="auto"/>
            <w:right w:val="none" w:sz="0" w:space="0" w:color="auto"/>
          </w:divBdr>
        </w:div>
        <w:div w:id="506480859">
          <w:marLeft w:val="640"/>
          <w:marRight w:val="0"/>
          <w:marTop w:val="0"/>
          <w:marBottom w:val="0"/>
          <w:divBdr>
            <w:top w:val="none" w:sz="0" w:space="0" w:color="auto"/>
            <w:left w:val="none" w:sz="0" w:space="0" w:color="auto"/>
            <w:bottom w:val="none" w:sz="0" w:space="0" w:color="auto"/>
            <w:right w:val="none" w:sz="0" w:space="0" w:color="auto"/>
          </w:divBdr>
        </w:div>
        <w:div w:id="670108827">
          <w:marLeft w:val="640"/>
          <w:marRight w:val="0"/>
          <w:marTop w:val="0"/>
          <w:marBottom w:val="0"/>
          <w:divBdr>
            <w:top w:val="none" w:sz="0" w:space="0" w:color="auto"/>
            <w:left w:val="none" w:sz="0" w:space="0" w:color="auto"/>
            <w:bottom w:val="none" w:sz="0" w:space="0" w:color="auto"/>
            <w:right w:val="none" w:sz="0" w:space="0" w:color="auto"/>
          </w:divBdr>
        </w:div>
        <w:div w:id="388699016">
          <w:marLeft w:val="640"/>
          <w:marRight w:val="0"/>
          <w:marTop w:val="0"/>
          <w:marBottom w:val="0"/>
          <w:divBdr>
            <w:top w:val="none" w:sz="0" w:space="0" w:color="auto"/>
            <w:left w:val="none" w:sz="0" w:space="0" w:color="auto"/>
            <w:bottom w:val="none" w:sz="0" w:space="0" w:color="auto"/>
            <w:right w:val="none" w:sz="0" w:space="0" w:color="auto"/>
          </w:divBdr>
        </w:div>
        <w:div w:id="1467896655">
          <w:marLeft w:val="640"/>
          <w:marRight w:val="0"/>
          <w:marTop w:val="0"/>
          <w:marBottom w:val="0"/>
          <w:divBdr>
            <w:top w:val="none" w:sz="0" w:space="0" w:color="auto"/>
            <w:left w:val="none" w:sz="0" w:space="0" w:color="auto"/>
            <w:bottom w:val="none" w:sz="0" w:space="0" w:color="auto"/>
            <w:right w:val="none" w:sz="0" w:space="0" w:color="auto"/>
          </w:divBdr>
        </w:div>
        <w:div w:id="196623102">
          <w:marLeft w:val="640"/>
          <w:marRight w:val="0"/>
          <w:marTop w:val="0"/>
          <w:marBottom w:val="0"/>
          <w:divBdr>
            <w:top w:val="none" w:sz="0" w:space="0" w:color="auto"/>
            <w:left w:val="none" w:sz="0" w:space="0" w:color="auto"/>
            <w:bottom w:val="none" w:sz="0" w:space="0" w:color="auto"/>
            <w:right w:val="none" w:sz="0" w:space="0" w:color="auto"/>
          </w:divBdr>
        </w:div>
        <w:div w:id="802961473">
          <w:marLeft w:val="640"/>
          <w:marRight w:val="0"/>
          <w:marTop w:val="0"/>
          <w:marBottom w:val="0"/>
          <w:divBdr>
            <w:top w:val="none" w:sz="0" w:space="0" w:color="auto"/>
            <w:left w:val="none" w:sz="0" w:space="0" w:color="auto"/>
            <w:bottom w:val="none" w:sz="0" w:space="0" w:color="auto"/>
            <w:right w:val="none" w:sz="0" w:space="0" w:color="auto"/>
          </w:divBdr>
        </w:div>
        <w:div w:id="685324399">
          <w:marLeft w:val="640"/>
          <w:marRight w:val="0"/>
          <w:marTop w:val="0"/>
          <w:marBottom w:val="0"/>
          <w:divBdr>
            <w:top w:val="none" w:sz="0" w:space="0" w:color="auto"/>
            <w:left w:val="none" w:sz="0" w:space="0" w:color="auto"/>
            <w:bottom w:val="none" w:sz="0" w:space="0" w:color="auto"/>
            <w:right w:val="none" w:sz="0" w:space="0" w:color="auto"/>
          </w:divBdr>
        </w:div>
        <w:div w:id="252324279">
          <w:marLeft w:val="640"/>
          <w:marRight w:val="0"/>
          <w:marTop w:val="0"/>
          <w:marBottom w:val="0"/>
          <w:divBdr>
            <w:top w:val="none" w:sz="0" w:space="0" w:color="auto"/>
            <w:left w:val="none" w:sz="0" w:space="0" w:color="auto"/>
            <w:bottom w:val="none" w:sz="0" w:space="0" w:color="auto"/>
            <w:right w:val="none" w:sz="0" w:space="0" w:color="auto"/>
          </w:divBdr>
        </w:div>
        <w:div w:id="1766806956">
          <w:marLeft w:val="640"/>
          <w:marRight w:val="0"/>
          <w:marTop w:val="0"/>
          <w:marBottom w:val="0"/>
          <w:divBdr>
            <w:top w:val="none" w:sz="0" w:space="0" w:color="auto"/>
            <w:left w:val="none" w:sz="0" w:space="0" w:color="auto"/>
            <w:bottom w:val="none" w:sz="0" w:space="0" w:color="auto"/>
            <w:right w:val="none" w:sz="0" w:space="0" w:color="auto"/>
          </w:divBdr>
        </w:div>
        <w:div w:id="1423911402">
          <w:marLeft w:val="640"/>
          <w:marRight w:val="0"/>
          <w:marTop w:val="0"/>
          <w:marBottom w:val="0"/>
          <w:divBdr>
            <w:top w:val="none" w:sz="0" w:space="0" w:color="auto"/>
            <w:left w:val="none" w:sz="0" w:space="0" w:color="auto"/>
            <w:bottom w:val="none" w:sz="0" w:space="0" w:color="auto"/>
            <w:right w:val="none" w:sz="0" w:space="0" w:color="auto"/>
          </w:divBdr>
        </w:div>
        <w:div w:id="194731187">
          <w:marLeft w:val="640"/>
          <w:marRight w:val="0"/>
          <w:marTop w:val="0"/>
          <w:marBottom w:val="0"/>
          <w:divBdr>
            <w:top w:val="none" w:sz="0" w:space="0" w:color="auto"/>
            <w:left w:val="none" w:sz="0" w:space="0" w:color="auto"/>
            <w:bottom w:val="none" w:sz="0" w:space="0" w:color="auto"/>
            <w:right w:val="none" w:sz="0" w:space="0" w:color="auto"/>
          </w:divBdr>
        </w:div>
        <w:div w:id="1496459471">
          <w:marLeft w:val="640"/>
          <w:marRight w:val="0"/>
          <w:marTop w:val="0"/>
          <w:marBottom w:val="0"/>
          <w:divBdr>
            <w:top w:val="none" w:sz="0" w:space="0" w:color="auto"/>
            <w:left w:val="none" w:sz="0" w:space="0" w:color="auto"/>
            <w:bottom w:val="none" w:sz="0" w:space="0" w:color="auto"/>
            <w:right w:val="none" w:sz="0" w:space="0" w:color="auto"/>
          </w:divBdr>
        </w:div>
        <w:div w:id="708459747">
          <w:marLeft w:val="640"/>
          <w:marRight w:val="0"/>
          <w:marTop w:val="0"/>
          <w:marBottom w:val="0"/>
          <w:divBdr>
            <w:top w:val="none" w:sz="0" w:space="0" w:color="auto"/>
            <w:left w:val="none" w:sz="0" w:space="0" w:color="auto"/>
            <w:bottom w:val="none" w:sz="0" w:space="0" w:color="auto"/>
            <w:right w:val="none" w:sz="0" w:space="0" w:color="auto"/>
          </w:divBdr>
        </w:div>
        <w:div w:id="1742754389">
          <w:marLeft w:val="640"/>
          <w:marRight w:val="0"/>
          <w:marTop w:val="0"/>
          <w:marBottom w:val="0"/>
          <w:divBdr>
            <w:top w:val="none" w:sz="0" w:space="0" w:color="auto"/>
            <w:left w:val="none" w:sz="0" w:space="0" w:color="auto"/>
            <w:bottom w:val="none" w:sz="0" w:space="0" w:color="auto"/>
            <w:right w:val="none" w:sz="0" w:space="0" w:color="auto"/>
          </w:divBdr>
        </w:div>
        <w:div w:id="627318362">
          <w:marLeft w:val="640"/>
          <w:marRight w:val="0"/>
          <w:marTop w:val="0"/>
          <w:marBottom w:val="0"/>
          <w:divBdr>
            <w:top w:val="none" w:sz="0" w:space="0" w:color="auto"/>
            <w:left w:val="none" w:sz="0" w:space="0" w:color="auto"/>
            <w:bottom w:val="none" w:sz="0" w:space="0" w:color="auto"/>
            <w:right w:val="none" w:sz="0" w:space="0" w:color="auto"/>
          </w:divBdr>
        </w:div>
        <w:div w:id="1879510165">
          <w:marLeft w:val="640"/>
          <w:marRight w:val="0"/>
          <w:marTop w:val="0"/>
          <w:marBottom w:val="0"/>
          <w:divBdr>
            <w:top w:val="none" w:sz="0" w:space="0" w:color="auto"/>
            <w:left w:val="none" w:sz="0" w:space="0" w:color="auto"/>
            <w:bottom w:val="none" w:sz="0" w:space="0" w:color="auto"/>
            <w:right w:val="none" w:sz="0" w:space="0" w:color="auto"/>
          </w:divBdr>
        </w:div>
        <w:div w:id="1212618370">
          <w:marLeft w:val="640"/>
          <w:marRight w:val="0"/>
          <w:marTop w:val="0"/>
          <w:marBottom w:val="0"/>
          <w:divBdr>
            <w:top w:val="none" w:sz="0" w:space="0" w:color="auto"/>
            <w:left w:val="none" w:sz="0" w:space="0" w:color="auto"/>
            <w:bottom w:val="none" w:sz="0" w:space="0" w:color="auto"/>
            <w:right w:val="none" w:sz="0" w:space="0" w:color="auto"/>
          </w:divBdr>
        </w:div>
        <w:div w:id="2090536883">
          <w:marLeft w:val="640"/>
          <w:marRight w:val="0"/>
          <w:marTop w:val="0"/>
          <w:marBottom w:val="0"/>
          <w:divBdr>
            <w:top w:val="none" w:sz="0" w:space="0" w:color="auto"/>
            <w:left w:val="none" w:sz="0" w:space="0" w:color="auto"/>
            <w:bottom w:val="none" w:sz="0" w:space="0" w:color="auto"/>
            <w:right w:val="none" w:sz="0" w:space="0" w:color="auto"/>
          </w:divBdr>
        </w:div>
        <w:div w:id="1184398894">
          <w:marLeft w:val="640"/>
          <w:marRight w:val="0"/>
          <w:marTop w:val="0"/>
          <w:marBottom w:val="0"/>
          <w:divBdr>
            <w:top w:val="none" w:sz="0" w:space="0" w:color="auto"/>
            <w:left w:val="none" w:sz="0" w:space="0" w:color="auto"/>
            <w:bottom w:val="none" w:sz="0" w:space="0" w:color="auto"/>
            <w:right w:val="none" w:sz="0" w:space="0" w:color="auto"/>
          </w:divBdr>
        </w:div>
        <w:div w:id="1682316321">
          <w:marLeft w:val="640"/>
          <w:marRight w:val="0"/>
          <w:marTop w:val="0"/>
          <w:marBottom w:val="0"/>
          <w:divBdr>
            <w:top w:val="none" w:sz="0" w:space="0" w:color="auto"/>
            <w:left w:val="none" w:sz="0" w:space="0" w:color="auto"/>
            <w:bottom w:val="none" w:sz="0" w:space="0" w:color="auto"/>
            <w:right w:val="none" w:sz="0" w:space="0" w:color="auto"/>
          </w:divBdr>
        </w:div>
        <w:div w:id="615872637">
          <w:marLeft w:val="640"/>
          <w:marRight w:val="0"/>
          <w:marTop w:val="0"/>
          <w:marBottom w:val="0"/>
          <w:divBdr>
            <w:top w:val="none" w:sz="0" w:space="0" w:color="auto"/>
            <w:left w:val="none" w:sz="0" w:space="0" w:color="auto"/>
            <w:bottom w:val="none" w:sz="0" w:space="0" w:color="auto"/>
            <w:right w:val="none" w:sz="0" w:space="0" w:color="auto"/>
          </w:divBdr>
        </w:div>
        <w:div w:id="2122188723">
          <w:marLeft w:val="640"/>
          <w:marRight w:val="0"/>
          <w:marTop w:val="0"/>
          <w:marBottom w:val="0"/>
          <w:divBdr>
            <w:top w:val="none" w:sz="0" w:space="0" w:color="auto"/>
            <w:left w:val="none" w:sz="0" w:space="0" w:color="auto"/>
            <w:bottom w:val="none" w:sz="0" w:space="0" w:color="auto"/>
            <w:right w:val="none" w:sz="0" w:space="0" w:color="auto"/>
          </w:divBdr>
        </w:div>
        <w:div w:id="1809274612">
          <w:marLeft w:val="640"/>
          <w:marRight w:val="0"/>
          <w:marTop w:val="0"/>
          <w:marBottom w:val="0"/>
          <w:divBdr>
            <w:top w:val="none" w:sz="0" w:space="0" w:color="auto"/>
            <w:left w:val="none" w:sz="0" w:space="0" w:color="auto"/>
            <w:bottom w:val="none" w:sz="0" w:space="0" w:color="auto"/>
            <w:right w:val="none" w:sz="0" w:space="0" w:color="auto"/>
          </w:divBdr>
        </w:div>
        <w:div w:id="2001887985">
          <w:marLeft w:val="640"/>
          <w:marRight w:val="0"/>
          <w:marTop w:val="0"/>
          <w:marBottom w:val="0"/>
          <w:divBdr>
            <w:top w:val="none" w:sz="0" w:space="0" w:color="auto"/>
            <w:left w:val="none" w:sz="0" w:space="0" w:color="auto"/>
            <w:bottom w:val="none" w:sz="0" w:space="0" w:color="auto"/>
            <w:right w:val="none" w:sz="0" w:space="0" w:color="auto"/>
          </w:divBdr>
        </w:div>
        <w:div w:id="1447700120">
          <w:marLeft w:val="640"/>
          <w:marRight w:val="0"/>
          <w:marTop w:val="0"/>
          <w:marBottom w:val="0"/>
          <w:divBdr>
            <w:top w:val="none" w:sz="0" w:space="0" w:color="auto"/>
            <w:left w:val="none" w:sz="0" w:space="0" w:color="auto"/>
            <w:bottom w:val="none" w:sz="0" w:space="0" w:color="auto"/>
            <w:right w:val="none" w:sz="0" w:space="0" w:color="auto"/>
          </w:divBdr>
        </w:div>
        <w:div w:id="690182620">
          <w:marLeft w:val="640"/>
          <w:marRight w:val="0"/>
          <w:marTop w:val="0"/>
          <w:marBottom w:val="0"/>
          <w:divBdr>
            <w:top w:val="none" w:sz="0" w:space="0" w:color="auto"/>
            <w:left w:val="none" w:sz="0" w:space="0" w:color="auto"/>
            <w:bottom w:val="none" w:sz="0" w:space="0" w:color="auto"/>
            <w:right w:val="none" w:sz="0" w:space="0" w:color="auto"/>
          </w:divBdr>
        </w:div>
        <w:div w:id="1622951531">
          <w:marLeft w:val="640"/>
          <w:marRight w:val="0"/>
          <w:marTop w:val="0"/>
          <w:marBottom w:val="0"/>
          <w:divBdr>
            <w:top w:val="none" w:sz="0" w:space="0" w:color="auto"/>
            <w:left w:val="none" w:sz="0" w:space="0" w:color="auto"/>
            <w:bottom w:val="none" w:sz="0" w:space="0" w:color="auto"/>
            <w:right w:val="none" w:sz="0" w:space="0" w:color="auto"/>
          </w:divBdr>
        </w:div>
        <w:div w:id="290593138">
          <w:marLeft w:val="640"/>
          <w:marRight w:val="0"/>
          <w:marTop w:val="0"/>
          <w:marBottom w:val="0"/>
          <w:divBdr>
            <w:top w:val="none" w:sz="0" w:space="0" w:color="auto"/>
            <w:left w:val="none" w:sz="0" w:space="0" w:color="auto"/>
            <w:bottom w:val="none" w:sz="0" w:space="0" w:color="auto"/>
            <w:right w:val="none" w:sz="0" w:space="0" w:color="auto"/>
          </w:divBdr>
        </w:div>
        <w:div w:id="730351424">
          <w:marLeft w:val="640"/>
          <w:marRight w:val="0"/>
          <w:marTop w:val="0"/>
          <w:marBottom w:val="0"/>
          <w:divBdr>
            <w:top w:val="none" w:sz="0" w:space="0" w:color="auto"/>
            <w:left w:val="none" w:sz="0" w:space="0" w:color="auto"/>
            <w:bottom w:val="none" w:sz="0" w:space="0" w:color="auto"/>
            <w:right w:val="none" w:sz="0" w:space="0" w:color="auto"/>
          </w:divBdr>
        </w:div>
        <w:div w:id="292902946">
          <w:marLeft w:val="640"/>
          <w:marRight w:val="0"/>
          <w:marTop w:val="0"/>
          <w:marBottom w:val="0"/>
          <w:divBdr>
            <w:top w:val="none" w:sz="0" w:space="0" w:color="auto"/>
            <w:left w:val="none" w:sz="0" w:space="0" w:color="auto"/>
            <w:bottom w:val="none" w:sz="0" w:space="0" w:color="auto"/>
            <w:right w:val="none" w:sz="0" w:space="0" w:color="auto"/>
          </w:divBdr>
        </w:div>
        <w:div w:id="654841310">
          <w:marLeft w:val="640"/>
          <w:marRight w:val="0"/>
          <w:marTop w:val="0"/>
          <w:marBottom w:val="0"/>
          <w:divBdr>
            <w:top w:val="none" w:sz="0" w:space="0" w:color="auto"/>
            <w:left w:val="none" w:sz="0" w:space="0" w:color="auto"/>
            <w:bottom w:val="none" w:sz="0" w:space="0" w:color="auto"/>
            <w:right w:val="none" w:sz="0" w:space="0" w:color="auto"/>
          </w:divBdr>
        </w:div>
        <w:div w:id="1644964032">
          <w:marLeft w:val="640"/>
          <w:marRight w:val="0"/>
          <w:marTop w:val="0"/>
          <w:marBottom w:val="0"/>
          <w:divBdr>
            <w:top w:val="none" w:sz="0" w:space="0" w:color="auto"/>
            <w:left w:val="none" w:sz="0" w:space="0" w:color="auto"/>
            <w:bottom w:val="none" w:sz="0" w:space="0" w:color="auto"/>
            <w:right w:val="none" w:sz="0" w:space="0" w:color="auto"/>
          </w:divBdr>
        </w:div>
        <w:div w:id="1744177870">
          <w:marLeft w:val="640"/>
          <w:marRight w:val="0"/>
          <w:marTop w:val="0"/>
          <w:marBottom w:val="0"/>
          <w:divBdr>
            <w:top w:val="none" w:sz="0" w:space="0" w:color="auto"/>
            <w:left w:val="none" w:sz="0" w:space="0" w:color="auto"/>
            <w:bottom w:val="none" w:sz="0" w:space="0" w:color="auto"/>
            <w:right w:val="none" w:sz="0" w:space="0" w:color="auto"/>
          </w:divBdr>
        </w:div>
        <w:div w:id="422654950">
          <w:marLeft w:val="640"/>
          <w:marRight w:val="0"/>
          <w:marTop w:val="0"/>
          <w:marBottom w:val="0"/>
          <w:divBdr>
            <w:top w:val="none" w:sz="0" w:space="0" w:color="auto"/>
            <w:left w:val="none" w:sz="0" w:space="0" w:color="auto"/>
            <w:bottom w:val="none" w:sz="0" w:space="0" w:color="auto"/>
            <w:right w:val="none" w:sz="0" w:space="0" w:color="auto"/>
          </w:divBdr>
        </w:div>
        <w:div w:id="634145017">
          <w:marLeft w:val="640"/>
          <w:marRight w:val="0"/>
          <w:marTop w:val="0"/>
          <w:marBottom w:val="0"/>
          <w:divBdr>
            <w:top w:val="none" w:sz="0" w:space="0" w:color="auto"/>
            <w:left w:val="none" w:sz="0" w:space="0" w:color="auto"/>
            <w:bottom w:val="none" w:sz="0" w:space="0" w:color="auto"/>
            <w:right w:val="none" w:sz="0" w:space="0" w:color="auto"/>
          </w:divBdr>
        </w:div>
        <w:div w:id="555900685">
          <w:marLeft w:val="640"/>
          <w:marRight w:val="0"/>
          <w:marTop w:val="0"/>
          <w:marBottom w:val="0"/>
          <w:divBdr>
            <w:top w:val="none" w:sz="0" w:space="0" w:color="auto"/>
            <w:left w:val="none" w:sz="0" w:space="0" w:color="auto"/>
            <w:bottom w:val="none" w:sz="0" w:space="0" w:color="auto"/>
            <w:right w:val="none" w:sz="0" w:space="0" w:color="auto"/>
          </w:divBdr>
        </w:div>
        <w:div w:id="598295606">
          <w:marLeft w:val="640"/>
          <w:marRight w:val="0"/>
          <w:marTop w:val="0"/>
          <w:marBottom w:val="0"/>
          <w:divBdr>
            <w:top w:val="none" w:sz="0" w:space="0" w:color="auto"/>
            <w:left w:val="none" w:sz="0" w:space="0" w:color="auto"/>
            <w:bottom w:val="none" w:sz="0" w:space="0" w:color="auto"/>
            <w:right w:val="none" w:sz="0" w:space="0" w:color="auto"/>
          </w:divBdr>
        </w:div>
        <w:div w:id="1749035363">
          <w:marLeft w:val="640"/>
          <w:marRight w:val="0"/>
          <w:marTop w:val="0"/>
          <w:marBottom w:val="0"/>
          <w:divBdr>
            <w:top w:val="none" w:sz="0" w:space="0" w:color="auto"/>
            <w:left w:val="none" w:sz="0" w:space="0" w:color="auto"/>
            <w:bottom w:val="none" w:sz="0" w:space="0" w:color="auto"/>
            <w:right w:val="none" w:sz="0" w:space="0" w:color="auto"/>
          </w:divBdr>
        </w:div>
        <w:div w:id="1582256135">
          <w:marLeft w:val="640"/>
          <w:marRight w:val="0"/>
          <w:marTop w:val="0"/>
          <w:marBottom w:val="0"/>
          <w:divBdr>
            <w:top w:val="none" w:sz="0" w:space="0" w:color="auto"/>
            <w:left w:val="none" w:sz="0" w:space="0" w:color="auto"/>
            <w:bottom w:val="none" w:sz="0" w:space="0" w:color="auto"/>
            <w:right w:val="none" w:sz="0" w:space="0" w:color="auto"/>
          </w:divBdr>
        </w:div>
        <w:div w:id="1121145621">
          <w:marLeft w:val="640"/>
          <w:marRight w:val="0"/>
          <w:marTop w:val="0"/>
          <w:marBottom w:val="0"/>
          <w:divBdr>
            <w:top w:val="none" w:sz="0" w:space="0" w:color="auto"/>
            <w:left w:val="none" w:sz="0" w:space="0" w:color="auto"/>
            <w:bottom w:val="none" w:sz="0" w:space="0" w:color="auto"/>
            <w:right w:val="none" w:sz="0" w:space="0" w:color="auto"/>
          </w:divBdr>
        </w:div>
        <w:div w:id="1877499970">
          <w:marLeft w:val="640"/>
          <w:marRight w:val="0"/>
          <w:marTop w:val="0"/>
          <w:marBottom w:val="0"/>
          <w:divBdr>
            <w:top w:val="none" w:sz="0" w:space="0" w:color="auto"/>
            <w:left w:val="none" w:sz="0" w:space="0" w:color="auto"/>
            <w:bottom w:val="none" w:sz="0" w:space="0" w:color="auto"/>
            <w:right w:val="none" w:sz="0" w:space="0" w:color="auto"/>
          </w:divBdr>
        </w:div>
        <w:div w:id="1980650087">
          <w:marLeft w:val="640"/>
          <w:marRight w:val="0"/>
          <w:marTop w:val="0"/>
          <w:marBottom w:val="0"/>
          <w:divBdr>
            <w:top w:val="none" w:sz="0" w:space="0" w:color="auto"/>
            <w:left w:val="none" w:sz="0" w:space="0" w:color="auto"/>
            <w:bottom w:val="none" w:sz="0" w:space="0" w:color="auto"/>
            <w:right w:val="none" w:sz="0" w:space="0" w:color="auto"/>
          </w:divBdr>
        </w:div>
        <w:div w:id="1725441950">
          <w:marLeft w:val="640"/>
          <w:marRight w:val="0"/>
          <w:marTop w:val="0"/>
          <w:marBottom w:val="0"/>
          <w:divBdr>
            <w:top w:val="none" w:sz="0" w:space="0" w:color="auto"/>
            <w:left w:val="none" w:sz="0" w:space="0" w:color="auto"/>
            <w:bottom w:val="none" w:sz="0" w:space="0" w:color="auto"/>
            <w:right w:val="none" w:sz="0" w:space="0" w:color="auto"/>
          </w:divBdr>
        </w:div>
        <w:div w:id="1992712645">
          <w:marLeft w:val="640"/>
          <w:marRight w:val="0"/>
          <w:marTop w:val="0"/>
          <w:marBottom w:val="0"/>
          <w:divBdr>
            <w:top w:val="none" w:sz="0" w:space="0" w:color="auto"/>
            <w:left w:val="none" w:sz="0" w:space="0" w:color="auto"/>
            <w:bottom w:val="none" w:sz="0" w:space="0" w:color="auto"/>
            <w:right w:val="none" w:sz="0" w:space="0" w:color="auto"/>
          </w:divBdr>
        </w:div>
        <w:div w:id="1445691329">
          <w:marLeft w:val="640"/>
          <w:marRight w:val="0"/>
          <w:marTop w:val="0"/>
          <w:marBottom w:val="0"/>
          <w:divBdr>
            <w:top w:val="none" w:sz="0" w:space="0" w:color="auto"/>
            <w:left w:val="none" w:sz="0" w:space="0" w:color="auto"/>
            <w:bottom w:val="none" w:sz="0" w:space="0" w:color="auto"/>
            <w:right w:val="none" w:sz="0" w:space="0" w:color="auto"/>
          </w:divBdr>
        </w:div>
        <w:div w:id="834611175">
          <w:marLeft w:val="640"/>
          <w:marRight w:val="0"/>
          <w:marTop w:val="0"/>
          <w:marBottom w:val="0"/>
          <w:divBdr>
            <w:top w:val="none" w:sz="0" w:space="0" w:color="auto"/>
            <w:left w:val="none" w:sz="0" w:space="0" w:color="auto"/>
            <w:bottom w:val="none" w:sz="0" w:space="0" w:color="auto"/>
            <w:right w:val="none" w:sz="0" w:space="0" w:color="auto"/>
          </w:divBdr>
        </w:div>
        <w:div w:id="1835218878">
          <w:marLeft w:val="640"/>
          <w:marRight w:val="0"/>
          <w:marTop w:val="0"/>
          <w:marBottom w:val="0"/>
          <w:divBdr>
            <w:top w:val="none" w:sz="0" w:space="0" w:color="auto"/>
            <w:left w:val="none" w:sz="0" w:space="0" w:color="auto"/>
            <w:bottom w:val="none" w:sz="0" w:space="0" w:color="auto"/>
            <w:right w:val="none" w:sz="0" w:space="0" w:color="auto"/>
          </w:divBdr>
        </w:div>
        <w:div w:id="2114547507">
          <w:marLeft w:val="640"/>
          <w:marRight w:val="0"/>
          <w:marTop w:val="0"/>
          <w:marBottom w:val="0"/>
          <w:divBdr>
            <w:top w:val="none" w:sz="0" w:space="0" w:color="auto"/>
            <w:left w:val="none" w:sz="0" w:space="0" w:color="auto"/>
            <w:bottom w:val="none" w:sz="0" w:space="0" w:color="auto"/>
            <w:right w:val="none" w:sz="0" w:space="0" w:color="auto"/>
          </w:divBdr>
        </w:div>
        <w:div w:id="328020600">
          <w:marLeft w:val="640"/>
          <w:marRight w:val="0"/>
          <w:marTop w:val="0"/>
          <w:marBottom w:val="0"/>
          <w:divBdr>
            <w:top w:val="none" w:sz="0" w:space="0" w:color="auto"/>
            <w:left w:val="none" w:sz="0" w:space="0" w:color="auto"/>
            <w:bottom w:val="none" w:sz="0" w:space="0" w:color="auto"/>
            <w:right w:val="none" w:sz="0" w:space="0" w:color="auto"/>
          </w:divBdr>
        </w:div>
        <w:div w:id="863595923">
          <w:marLeft w:val="640"/>
          <w:marRight w:val="0"/>
          <w:marTop w:val="0"/>
          <w:marBottom w:val="0"/>
          <w:divBdr>
            <w:top w:val="none" w:sz="0" w:space="0" w:color="auto"/>
            <w:left w:val="none" w:sz="0" w:space="0" w:color="auto"/>
            <w:bottom w:val="none" w:sz="0" w:space="0" w:color="auto"/>
            <w:right w:val="none" w:sz="0" w:space="0" w:color="auto"/>
          </w:divBdr>
        </w:div>
        <w:div w:id="1270239902">
          <w:marLeft w:val="640"/>
          <w:marRight w:val="0"/>
          <w:marTop w:val="0"/>
          <w:marBottom w:val="0"/>
          <w:divBdr>
            <w:top w:val="none" w:sz="0" w:space="0" w:color="auto"/>
            <w:left w:val="none" w:sz="0" w:space="0" w:color="auto"/>
            <w:bottom w:val="none" w:sz="0" w:space="0" w:color="auto"/>
            <w:right w:val="none" w:sz="0" w:space="0" w:color="auto"/>
          </w:divBdr>
        </w:div>
        <w:div w:id="390348883">
          <w:marLeft w:val="640"/>
          <w:marRight w:val="0"/>
          <w:marTop w:val="0"/>
          <w:marBottom w:val="0"/>
          <w:divBdr>
            <w:top w:val="none" w:sz="0" w:space="0" w:color="auto"/>
            <w:left w:val="none" w:sz="0" w:space="0" w:color="auto"/>
            <w:bottom w:val="none" w:sz="0" w:space="0" w:color="auto"/>
            <w:right w:val="none" w:sz="0" w:space="0" w:color="auto"/>
          </w:divBdr>
        </w:div>
        <w:div w:id="1541740513">
          <w:marLeft w:val="640"/>
          <w:marRight w:val="0"/>
          <w:marTop w:val="0"/>
          <w:marBottom w:val="0"/>
          <w:divBdr>
            <w:top w:val="none" w:sz="0" w:space="0" w:color="auto"/>
            <w:left w:val="none" w:sz="0" w:space="0" w:color="auto"/>
            <w:bottom w:val="none" w:sz="0" w:space="0" w:color="auto"/>
            <w:right w:val="none" w:sz="0" w:space="0" w:color="auto"/>
          </w:divBdr>
        </w:div>
        <w:div w:id="782001088">
          <w:marLeft w:val="640"/>
          <w:marRight w:val="0"/>
          <w:marTop w:val="0"/>
          <w:marBottom w:val="0"/>
          <w:divBdr>
            <w:top w:val="none" w:sz="0" w:space="0" w:color="auto"/>
            <w:left w:val="none" w:sz="0" w:space="0" w:color="auto"/>
            <w:bottom w:val="none" w:sz="0" w:space="0" w:color="auto"/>
            <w:right w:val="none" w:sz="0" w:space="0" w:color="auto"/>
          </w:divBdr>
        </w:div>
        <w:div w:id="1812793418">
          <w:marLeft w:val="640"/>
          <w:marRight w:val="0"/>
          <w:marTop w:val="0"/>
          <w:marBottom w:val="0"/>
          <w:divBdr>
            <w:top w:val="none" w:sz="0" w:space="0" w:color="auto"/>
            <w:left w:val="none" w:sz="0" w:space="0" w:color="auto"/>
            <w:bottom w:val="none" w:sz="0" w:space="0" w:color="auto"/>
            <w:right w:val="none" w:sz="0" w:space="0" w:color="auto"/>
          </w:divBdr>
        </w:div>
        <w:div w:id="187648378">
          <w:marLeft w:val="640"/>
          <w:marRight w:val="0"/>
          <w:marTop w:val="0"/>
          <w:marBottom w:val="0"/>
          <w:divBdr>
            <w:top w:val="none" w:sz="0" w:space="0" w:color="auto"/>
            <w:left w:val="none" w:sz="0" w:space="0" w:color="auto"/>
            <w:bottom w:val="none" w:sz="0" w:space="0" w:color="auto"/>
            <w:right w:val="none" w:sz="0" w:space="0" w:color="auto"/>
          </w:divBdr>
        </w:div>
        <w:div w:id="1967006180">
          <w:marLeft w:val="640"/>
          <w:marRight w:val="0"/>
          <w:marTop w:val="0"/>
          <w:marBottom w:val="0"/>
          <w:divBdr>
            <w:top w:val="none" w:sz="0" w:space="0" w:color="auto"/>
            <w:left w:val="none" w:sz="0" w:space="0" w:color="auto"/>
            <w:bottom w:val="none" w:sz="0" w:space="0" w:color="auto"/>
            <w:right w:val="none" w:sz="0" w:space="0" w:color="auto"/>
          </w:divBdr>
        </w:div>
        <w:div w:id="825778494">
          <w:marLeft w:val="640"/>
          <w:marRight w:val="0"/>
          <w:marTop w:val="0"/>
          <w:marBottom w:val="0"/>
          <w:divBdr>
            <w:top w:val="none" w:sz="0" w:space="0" w:color="auto"/>
            <w:left w:val="none" w:sz="0" w:space="0" w:color="auto"/>
            <w:bottom w:val="none" w:sz="0" w:space="0" w:color="auto"/>
            <w:right w:val="none" w:sz="0" w:space="0" w:color="auto"/>
          </w:divBdr>
        </w:div>
        <w:div w:id="837303322">
          <w:marLeft w:val="640"/>
          <w:marRight w:val="0"/>
          <w:marTop w:val="0"/>
          <w:marBottom w:val="0"/>
          <w:divBdr>
            <w:top w:val="none" w:sz="0" w:space="0" w:color="auto"/>
            <w:left w:val="none" w:sz="0" w:space="0" w:color="auto"/>
            <w:bottom w:val="none" w:sz="0" w:space="0" w:color="auto"/>
            <w:right w:val="none" w:sz="0" w:space="0" w:color="auto"/>
          </w:divBdr>
        </w:div>
        <w:div w:id="1039939935">
          <w:marLeft w:val="640"/>
          <w:marRight w:val="0"/>
          <w:marTop w:val="0"/>
          <w:marBottom w:val="0"/>
          <w:divBdr>
            <w:top w:val="none" w:sz="0" w:space="0" w:color="auto"/>
            <w:left w:val="none" w:sz="0" w:space="0" w:color="auto"/>
            <w:bottom w:val="none" w:sz="0" w:space="0" w:color="auto"/>
            <w:right w:val="none" w:sz="0" w:space="0" w:color="auto"/>
          </w:divBdr>
        </w:div>
        <w:div w:id="497814168">
          <w:marLeft w:val="640"/>
          <w:marRight w:val="0"/>
          <w:marTop w:val="0"/>
          <w:marBottom w:val="0"/>
          <w:divBdr>
            <w:top w:val="none" w:sz="0" w:space="0" w:color="auto"/>
            <w:left w:val="none" w:sz="0" w:space="0" w:color="auto"/>
            <w:bottom w:val="none" w:sz="0" w:space="0" w:color="auto"/>
            <w:right w:val="none" w:sz="0" w:space="0" w:color="auto"/>
          </w:divBdr>
        </w:div>
        <w:div w:id="110903868">
          <w:marLeft w:val="640"/>
          <w:marRight w:val="0"/>
          <w:marTop w:val="0"/>
          <w:marBottom w:val="0"/>
          <w:divBdr>
            <w:top w:val="none" w:sz="0" w:space="0" w:color="auto"/>
            <w:left w:val="none" w:sz="0" w:space="0" w:color="auto"/>
            <w:bottom w:val="none" w:sz="0" w:space="0" w:color="auto"/>
            <w:right w:val="none" w:sz="0" w:space="0" w:color="auto"/>
          </w:divBdr>
        </w:div>
        <w:div w:id="405540020">
          <w:marLeft w:val="640"/>
          <w:marRight w:val="0"/>
          <w:marTop w:val="0"/>
          <w:marBottom w:val="0"/>
          <w:divBdr>
            <w:top w:val="none" w:sz="0" w:space="0" w:color="auto"/>
            <w:left w:val="none" w:sz="0" w:space="0" w:color="auto"/>
            <w:bottom w:val="none" w:sz="0" w:space="0" w:color="auto"/>
            <w:right w:val="none" w:sz="0" w:space="0" w:color="auto"/>
          </w:divBdr>
        </w:div>
        <w:div w:id="1768308932">
          <w:marLeft w:val="640"/>
          <w:marRight w:val="0"/>
          <w:marTop w:val="0"/>
          <w:marBottom w:val="0"/>
          <w:divBdr>
            <w:top w:val="none" w:sz="0" w:space="0" w:color="auto"/>
            <w:left w:val="none" w:sz="0" w:space="0" w:color="auto"/>
            <w:bottom w:val="none" w:sz="0" w:space="0" w:color="auto"/>
            <w:right w:val="none" w:sz="0" w:space="0" w:color="auto"/>
          </w:divBdr>
        </w:div>
        <w:div w:id="1027608791">
          <w:marLeft w:val="640"/>
          <w:marRight w:val="0"/>
          <w:marTop w:val="0"/>
          <w:marBottom w:val="0"/>
          <w:divBdr>
            <w:top w:val="none" w:sz="0" w:space="0" w:color="auto"/>
            <w:left w:val="none" w:sz="0" w:space="0" w:color="auto"/>
            <w:bottom w:val="none" w:sz="0" w:space="0" w:color="auto"/>
            <w:right w:val="none" w:sz="0" w:space="0" w:color="auto"/>
          </w:divBdr>
        </w:div>
        <w:div w:id="664213668">
          <w:marLeft w:val="640"/>
          <w:marRight w:val="0"/>
          <w:marTop w:val="0"/>
          <w:marBottom w:val="0"/>
          <w:divBdr>
            <w:top w:val="none" w:sz="0" w:space="0" w:color="auto"/>
            <w:left w:val="none" w:sz="0" w:space="0" w:color="auto"/>
            <w:bottom w:val="none" w:sz="0" w:space="0" w:color="auto"/>
            <w:right w:val="none" w:sz="0" w:space="0" w:color="auto"/>
          </w:divBdr>
        </w:div>
        <w:div w:id="1638492261">
          <w:marLeft w:val="640"/>
          <w:marRight w:val="0"/>
          <w:marTop w:val="0"/>
          <w:marBottom w:val="0"/>
          <w:divBdr>
            <w:top w:val="none" w:sz="0" w:space="0" w:color="auto"/>
            <w:left w:val="none" w:sz="0" w:space="0" w:color="auto"/>
            <w:bottom w:val="none" w:sz="0" w:space="0" w:color="auto"/>
            <w:right w:val="none" w:sz="0" w:space="0" w:color="auto"/>
          </w:divBdr>
        </w:div>
        <w:div w:id="473912702">
          <w:marLeft w:val="640"/>
          <w:marRight w:val="0"/>
          <w:marTop w:val="0"/>
          <w:marBottom w:val="0"/>
          <w:divBdr>
            <w:top w:val="none" w:sz="0" w:space="0" w:color="auto"/>
            <w:left w:val="none" w:sz="0" w:space="0" w:color="auto"/>
            <w:bottom w:val="none" w:sz="0" w:space="0" w:color="auto"/>
            <w:right w:val="none" w:sz="0" w:space="0" w:color="auto"/>
          </w:divBdr>
        </w:div>
        <w:div w:id="1460883114">
          <w:marLeft w:val="640"/>
          <w:marRight w:val="0"/>
          <w:marTop w:val="0"/>
          <w:marBottom w:val="0"/>
          <w:divBdr>
            <w:top w:val="none" w:sz="0" w:space="0" w:color="auto"/>
            <w:left w:val="none" w:sz="0" w:space="0" w:color="auto"/>
            <w:bottom w:val="none" w:sz="0" w:space="0" w:color="auto"/>
            <w:right w:val="none" w:sz="0" w:space="0" w:color="auto"/>
          </w:divBdr>
        </w:div>
        <w:div w:id="1802453457">
          <w:marLeft w:val="640"/>
          <w:marRight w:val="0"/>
          <w:marTop w:val="0"/>
          <w:marBottom w:val="0"/>
          <w:divBdr>
            <w:top w:val="none" w:sz="0" w:space="0" w:color="auto"/>
            <w:left w:val="none" w:sz="0" w:space="0" w:color="auto"/>
            <w:bottom w:val="none" w:sz="0" w:space="0" w:color="auto"/>
            <w:right w:val="none" w:sz="0" w:space="0" w:color="auto"/>
          </w:divBdr>
        </w:div>
        <w:div w:id="340548101">
          <w:marLeft w:val="640"/>
          <w:marRight w:val="0"/>
          <w:marTop w:val="0"/>
          <w:marBottom w:val="0"/>
          <w:divBdr>
            <w:top w:val="none" w:sz="0" w:space="0" w:color="auto"/>
            <w:left w:val="none" w:sz="0" w:space="0" w:color="auto"/>
            <w:bottom w:val="none" w:sz="0" w:space="0" w:color="auto"/>
            <w:right w:val="none" w:sz="0" w:space="0" w:color="auto"/>
          </w:divBdr>
        </w:div>
        <w:div w:id="526217835">
          <w:marLeft w:val="640"/>
          <w:marRight w:val="0"/>
          <w:marTop w:val="0"/>
          <w:marBottom w:val="0"/>
          <w:divBdr>
            <w:top w:val="none" w:sz="0" w:space="0" w:color="auto"/>
            <w:left w:val="none" w:sz="0" w:space="0" w:color="auto"/>
            <w:bottom w:val="none" w:sz="0" w:space="0" w:color="auto"/>
            <w:right w:val="none" w:sz="0" w:space="0" w:color="auto"/>
          </w:divBdr>
        </w:div>
        <w:div w:id="316691926">
          <w:marLeft w:val="640"/>
          <w:marRight w:val="0"/>
          <w:marTop w:val="0"/>
          <w:marBottom w:val="0"/>
          <w:divBdr>
            <w:top w:val="none" w:sz="0" w:space="0" w:color="auto"/>
            <w:left w:val="none" w:sz="0" w:space="0" w:color="auto"/>
            <w:bottom w:val="none" w:sz="0" w:space="0" w:color="auto"/>
            <w:right w:val="none" w:sz="0" w:space="0" w:color="auto"/>
          </w:divBdr>
        </w:div>
        <w:div w:id="320159867">
          <w:marLeft w:val="640"/>
          <w:marRight w:val="0"/>
          <w:marTop w:val="0"/>
          <w:marBottom w:val="0"/>
          <w:divBdr>
            <w:top w:val="none" w:sz="0" w:space="0" w:color="auto"/>
            <w:left w:val="none" w:sz="0" w:space="0" w:color="auto"/>
            <w:bottom w:val="none" w:sz="0" w:space="0" w:color="auto"/>
            <w:right w:val="none" w:sz="0" w:space="0" w:color="auto"/>
          </w:divBdr>
        </w:div>
        <w:div w:id="1317102785">
          <w:marLeft w:val="640"/>
          <w:marRight w:val="0"/>
          <w:marTop w:val="0"/>
          <w:marBottom w:val="0"/>
          <w:divBdr>
            <w:top w:val="none" w:sz="0" w:space="0" w:color="auto"/>
            <w:left w:val="none" w:sz="0" w:space="0" w:color="auto"/>
            <w:bottom w:val="none" w:sz="0" w:space="0" w:color="auto"/>
            <w:right w:val="none" w:sz="0" w:space="0" w:color="auto"/>
          </w:divBdr>
        </w:div>
        <w:div w:id="1632439389">
          <w:marLeft w:val="640"/>
          <w:marRight w:val="0"/>
          <w:marTop w:val="0"/>
          <w:marBottom w:val="0"/>
          <w:divBdr>
            <w:top w:val="none" w:sz="0" w:space="0" w:color="auto"/>
            <w:left w:val="none" w:sz="0" w:space="0" w:color="auto"/>
            <w:bottom w:val="none" w:sz="0" w:space="0" w:color="auto"/>
            <w:right w:val="none" w:sz="0" w:space="0" w:color="auto"/>
          </w:divBdr>
        </w:div>
        <w:div w:id="1271160905">
          <w:marLeft w:val="640"/>
          <w:marRight w:val="0"/>
          <w:marTop w:val="0"/>
          <w:marBottom w:val="0"/>
          <w:divBdr>
            <w:top w:val="none" w:sz="0" w:space="0" w:color="auto"/>
            <w:left w:val="none" w:sz="0" w:space="0" w:color="auto"/>
            <w:bottom w:val="none" w:sz="0" w:space="0" w:color="auto"/>
            <w:right w:val="none" w:sz="0" w:space="0" w:color="auto"/>
          </w:divBdr>
        </w:div>
        <w:div w:id="1727029383">
          <w:marLeft w:val="640"/>
          <w:marRight w:val="0"/>
          <w:marTop w:val="0"/>
          <w:marBottom w:val="0"/>
          <w:divBdr>
            <w:top w:val="none" w:sz="0" w:space="0" w:color="auto"/>
            <w:left w:val="none" w:sz="0" w:space="0" w:color="auto"/>
            <w:bottom w:val="none" w:sz="0" w:space="0" w:color="auto"/>
            <w:right w:val="none" w:sz="0" w:space="0" w:color="auto"/>
          </w:divBdr>
        </w:div>
        <w:div w:id="1149401985">
          <w:marLeft w:val="640"/>
          <w:marRight w:val="0"/>
          <w:marTop w:val="0"/>
          <w:marBottom w:val="0"/>
          <w:divBdr>
            <w:top w:val="none" w:sz="0" w:space="0" w:color="auto"/>
            <w:left w:val="none" w:sz="0" w:space="0" w:color="auto"/>
            <w:bottom w:val="none" w:sz="0" w:space="0" w:color="auto"/>
            <w:right w:val="none" w:sz="0" w:space="0" w:color="auto"/>
          </w:divBdr>
        </w:div>
        <w:div w:id="1065908347">
          <w:marLeft w:val="640"/>
          <w:marRight w:val="0"/>
          <w:marTop w:val="0"/>
          <w:marBottom w:val="0"/>
          <w:divBdr>
            <w:top w:val="none" w:sz="0" w:space="0" w:color="auto"/>
            <w:left w:val="none" w:sz="0" w:space="0" w:color="auto"/>
            <w:bottom w:val="none" w:sz="0" w:space="0" w:color="auto"/>
            <w:right w:val="none" w:sz="0" w:space="0" w:color="auto"/>
          </w:divBdr>
        </w:div>
        <w:div w:id="920989210">
          <w:marLeft w:val="640"/>
          <w:marRight w:val="0"/>
          <w:marTop w:val="0"/>
          <w:marBottom w:val="0"/>
          <w:divBdr>
            <w:top w:val="none" w:sz="0" w:space="0" w:color="auto"/>
            <w:left w:val="none" w:sz="0" w:space="0" w:color="auto"/>
            <w:bottom w:val="none" w:sz="0" w:space="0" w:color="auto"/>
            <w:right w:val="none" w:sz="0" w:space="0" w:color="auto"/>
          </w:divBdr>
        </w:div>
        <w:div w:id="855384298">
          <w:marLeft w:val="640"/>
          <w:marRight w:val="0"/>
          <w:marTop w:val="0"/>
          <w:marBottom w:val="0"/>
          <w:divBdr>
            <w:top w:val="none" w:sz="0" w:space="0" w:color="auto"/>
            <w:left w:val="none" w:sz="0" w:space="0" w:color="auto"/>
            <w:bottom w:val="none" w:sz="0" w:space="0" w:color="auto"/>
            <w:right w:val="none" w:sz="0" w:space="0" w:color="auto"/>
          </w:divBdr>
        </w:div>
        <w:div w:id="834341339">
          <w:marLeft w:val="640"/>
          <w:marRight w:val="0"/>
          <w:marTop w:val="0"/>
          <w:marBottom w:val="0"/>
          <w:divBdr>
            <w:top w:val="none" w:sz="0" w:space="0" w:color="auto"/>
            <w:left w:val="none" w:sz="0" w:space="0" w:color="auto"/>
            <w:bottom w:val="none" w:sz="0" w:space="0" w:color="auto"/>
            <w:right w:val="none" w:sz="0" w:space="0" w:color="auto"/>
          </w:divBdr>
        </w:div>
        <w:div w:id="473449052">
          <w:marLeft w:val="640"/>
          <w:marRight w:val="0"/>
          <w:marTop w:val="0"/>
          <w:marBottom w:val="0"/>
          <w:divBdr>
            <w:top w:val="none" w:sz="0" w:space="0" w:color="auto"/>
            <w:left w:val="none" w:sz="0" w:space="0" w:color="auto"/>
            <w:bottom w:val="none" w:sz="0" w:space="0" w:color="auto"/>
            <w:right w:val="none" w:sz="0" w:space="0" w:color="auto"/>
          </w:divBdr>
        </w:div>
        <w:div w:id="1427271229">
          <w:marLeft w:val="640"/>
          <w:marRight w:val="0"/>
          <w:marTop w:val="0"/>
          <w:marBottom w:val="0"/>
          <w:divBdr>
            <w:top w:val="none" w:sz="0" w:space="0" w:color="auto"/>
            <w:left w:val="none" w:sz="0" w:space="0" w:color="auto"/>
            <w:bottom w:val="none" w:sz="0" w:space="0" w:color="auto"/>
            <w:right w:val="none" w:sz="0" w:space="0" w:color="auto"/>
          </w:divBdr>
        </w:div>
        <w:div w:id="1275594117">
          <w:marLeft w:val="640"/>
          <w:marRight w:val="0"/>
          <w:marTop w:val="0"/>
          <w:marBottom w:val="0"/>
          <w:divBdr>
            <w:top w:val="none" w:sz="0" w:space="0" w:color="auto"/>
            <w:left w:val="none" w:sz="0" w:space="0" w:color="auto"/>
            <w:bottom w:val="none" w:sz="0" w:space="0" w:color="auto"/>
            <w:right w:val="none" w:sz="0" w:space="0" w:color="auto"/>
          </w:divBdr>
        </w:div>
        <w:div w:id="1022978521">
          <w:marLeft w:val="640"/>
          <w:marRight w:val="0"/>
          <w:marTop w:val="0"/>
          <w:marBottom w:val="0"/>
          <w:divBdr>
            <w:top w:val="none" w:sz="0" w:space="0" w:color="auto"/>
            <w:left w:val="none" w:sz="0" w:space="0" w:color="auto"/>
            <w:bottom w:val="none" w:sz="0" w:space="0" w:color="auto"/>
            <w:right w:val="none" w:sz="0" w:space="0" w:color="auto"/>
          </w:divBdr>
        </w:div>
        <w:div w:id="1212114478">
          <w:marLeft w:val="640"/>
          <w:marRight w:val="0"/>
          <w:marTop w:val="0"/>
          <w:marBottom w:val="0"/>
          <w:divBdr>
            <w:top w:val="none" w:sz="0" w:space="0" w:color="auto"/>
            <w:left w:val="none" w:sz="0" w:space="0" w:color="auto"/>
            <w:bottom w:val="none" w:sz="0" w:space="0" w:color="auto"/>
            <w:right w:val="none" w:sz="0" w:space="0" w:color="auto"/>
          </w:divBdr>
        </w:div>
        <w:div w:id="646209754">
          <w:marLeft w:val="640"/>
          <w:marRight w:val="0"/>
          <w:marTop w:val="0"/>
          <w:marBottom w:val="0"/>
          <w:divBdr>
            <w:top w:val="none" w:sz="0" w:space="0" w:color="auto"/>
            <w:left w:val="none" w:sz="0" w:space="0" w:color="auto"/>
            <w:bottom w:val="none" w:sz="0" w:space="0" w:color="auto"/>
            <w:right w:val="none" w:sz="0" w:space="0" w:color="auto"/>
          </w:divBdr>
        </w:div>
        <w:div w:id="611254393">
          <w:marLeft w:val="640"/>
          <w:marRight w:val="0"/>
          <w:marTop w:val="0"/>
          <w:marBottom w:val="0"/>
          <w:divBdr>
            <w:top w:val="none" w:sz="0" w:space="0" w:color="auto"/>
            <w:left w:val="none" w:sz="0" w:space="0" w:color="auto"/>
            <w:bottom w:val="none" w:sz="0" w:space="0" w:color="auto"/>
            <w:right w:val="none" w:sz="0" w:space="0" w:color="auto"/>
          </w:divBdr>
        </w:div>
        <w:div w:id="528491556">
          <w:marLeft w:val="640"/>
          <w:marRight w:val="0"/>
          <w:marTop w:val="0"/>
          <w:marBottom w:val="0"/>
          <w:divBdr>
            <w:top w:val="none" w:sz="0" w:space="0" w:color="auto"/>
            <w:left w:val="none" w:sz="0" w:space="0" w:color="auto"/>
            <w:bottom w:val="none" w:sz="0" w:space="0" w:color="auto"/>
            <w:right w:val="none" w:sz="0" w:space="0" w:color="auto"/>
          </w:divBdr>
        </w:div>
        <w:div w:id="2063746768">
          <w:marLeft w:val="640"/>
          <w:marRight w:val="0"/>
          <w:marTop w:val="0"/>
          <w:marBottom w:val="0"/>
          <w:divBdr>
            <w:top w:val="none" w:sz="0" w:space="0" w:color="auto"/>
            <w:left w:val="none" w:sz="0" w:space="0" w:color="auto"/>
            <w:bottom w:val="none" w:sz="0" w:space="0" w:color="auto"/>
            <w:right w:val="none" w:sz="0" w:space="0" w:color="auto"/>
          </w:divBdr>
        </w:div>
        <w:div w:id="892422734">
          <w:marLeft w:val="640"/>
          <w:marRight w:val="0"/>
          <w:marTop w:val="0"/>
          <w:marBottom w:val="0"/>
          <w:divBdr>
            <w:top w:val="none" w:sz="0" w:space="0" w:color="auto"/>
            <w:left w:val="none" w:sz="0" w:space="0" w:color="auto"/>
            <w:bottom w:val="none" w:sz="0" w:space="0" w:color="auto"/>
            <w:right w:val="none" w:sz="0" w:space="0" w:color="auto"/>
          </w:divBdr>
        </w:div>
        <w:div w:id="1022317903">
          <w:marLeft w:val="640"/>
          <w:marRight w:val="0"/>
          <w:marTop w:val="0"/>
          <w:marBottom w:val="0"/>
          <w:divBdr>
            <w:top w:val="none" w:sz="0" w:space="0" w:color="auto"/>
            <w:left w:val="none" w:sz="0" w:space="0" w:color="auto"/>
            <w:bottom w:val="none" w:sz="0" w:space="0" w:color="auto"/>
            <w:right w:val="none" w:sz="0" w:space="0" w:color="auto"/>
          </w:divBdr>
        </w:div>
        <w:div w:id="1277102301">
          <w:marLeft w:val="640"/>
          <w:marRight w:val="0"/>
          <w:marTop w:val="0"/>
          <w:marBottom w:val="0"/>
          <w:divBdr>
            <w:top w:val="none" w:sz="0" w:space="0" w:color="auto"/>
            <w:left w:val="none" w:sz="0" w:space="0" w:color="auto"/>
            <w:bottom w:val="none" w:sz="0" w:space="0" w:color="auto"/>
            <w:right w:val="none" w:sz="0" w:space="0" w:color="auto"/>
          </w:divBdr>
        </w:div>
        <w:div w:id="155531962">
          <w:marLeft w:val="640"/>
          <w:marRight w:val="0"/>
          <w:marTop w:val="0"/>
          <w:marBottom w:val="0"/>
          <w:divBdr>
            <w:top w:val="none" w:sz="0" w:space="0" w:color="auto"/>
            <w:left w:val="none" w:sz="0" w:space="0" w:color="auto"/>
            <w:bottom w:val="none" w:sz="0" w:space="0" w:color="auto"/>
            <w:right w:val="none" w:sz="0" w:space="0" w:color="auto"/>
          </w:divBdr>
        </w:div>
        <w:div w:id="87965740">
          <w:marLeft w:val="640"/>
          <w:marRight w:val="0"/>
          <w:marTop w:val="0"/>
          <w:marBottom w:val="0"/>
          <w:divBdr>
            <w:top w:val="none" w:sz="0" w:space="0" w:color="auto"/>
            <w:left w:val="none" w:sz="0" w:space="0" w:color="auto"/>
            <w:bottom w:val="none" w:sz="0" w:space="0" w:color="auto"/>
            <w:right w:val="none" w:sz="0" w:space="0" w:color="auto"/>
          </w:divBdr>
        </w:div>
        <w:div w:id="1824539434">
          <w:marLeft w:val="640"/>
          <w:marRight w:val="0"/>
          <w:marTop w:val="0"/>
          <w:marBottom w:val="0"/>
          <w:divBdr>
            <w:top w:val="none" w:sz="0" w:space="0" w:color="auto"/>
            <w:left w:val="none" w:sz="0" w:space="0" w:color="auto"/>
            <w:bottom w:val="none" w:sz="0" w:space="0" w:color="auto"/>
            <w:right w:val="none" w:sz="0" w:space="0" w:color="auto"/>
          </w:divBdr>
        </w:div>
        <w:div w:id="1037124763">
          <w:marLeft w:val="640"/>
          <w:marRight w:val="0"/>
          <w:marTop w:val="0"/>
          <w:marBottom w:val="0"/>
          <w:divBdr>
            <w:top w:val="none" w:sz="0" w:space="0" w:color="auto"/>
            <w:left w:val="none" w:sz="0" w:space="0" w:color="auto"/>
            <w:bottom w:val="none" w:sz="0" w:space="0" w:color="auto"/>
            <w:right w:val="none" w:sz="0" w:space="0" w:color="auto"/>
          </w:divBdr>
        </w:div>
        <w:div w:id="2069987280">
          <w:marLeft w:val="640"/>
          <w:marRight w:val="0"/>
          <w:marTop w:val="0"/>
          <w:marBottom w:val="0"/>
          <w:divBdr>
            <w:top w:val="none" w:sz="0" w:space="0" w:color="auto"/>
            <w:left w:val="none" w:sz="0" w:space="0" w:color="auto"/>
            <w:bottom w:val="none" w:sz="0" w:space="0" w:color="auto"/>
            <w:right w:val="none" w:sz="0" w:space="0" w:color="auto"/>
          </w:divBdr>
        </w:div>
        <w:div w:id="1898586980">
          <w:marLeft w:val="640"/>
          <w:marRight w:val="0"/>
          <w:marTop w:val="0"/>
          <w:marBottom w:val="0"/>
          <w:divBdr>
            <w:top w:val="none" w:sz="0" w:space="0" w:color="auto"/>
            <w:left w:val="none" w:sz="0" w:space="0" w:color="auto"/>
            <w:bottom w:val="none" w:sz="0" w:space="0" w:color="auto"/>
            <w:right w:val="none" w:sz="0" w:space="0" w:color="auto"/>
          </w:divBdr>
        </w:div>
        <w:div w:id="1379931576">
          <w:marLeft w:val="640"/>
          <w:marRight w:val="0"/>
          <w:marTop w:val="0"/>
          <w:marBottom w:val="0"/>
          <w:divBdr>
            <w:top w:val="none" w:sz="0" w:space="0" w:color="auto"/>
            <w:left w:val="none" w:sz="0" w:space="0" w:color="auto"/>
            <w:bottom w:val="none" w:sz="0" w:space="0" w:color="auto"/>
            <w:right w:val="none" w:sz="0" w:space="0" w:color="auto"/>
          </w:divBdr>
        </w:div>
        <w:div w:id="1328707891">
          <w:marLeft w:val="640"/>
          <w:marRight w:val="0"/>
          <w:marTop w:val="0"/>
          <w:marBottom w:val="0"/>
          <w:divBdr>
            <w:top w:val="none" w:sz="0" w:space="0" w:color="auto"/>
            <w:left w:val="none" w:sz="0" w:space="0" w:color="auto"/>
            <w:bottom w:val="none" w:sz="0" w:space="0" w:color="auto"/>
            <w:right w:val="none" w:sz="0" w:space="0" w:color="auto"/>
          </w:divBdr>
        </w:div>
        <w:div w:id="1163543166">
          <w:marLeft w:val="640"/>
          <w:marRight w:val="0"/>
          <w:marTop w:val="0"/>
          <w:marBottom w:val="0"/>
          <w:divBdr>
            <w:top w:val="none" w:sz="0" w:space="0" w:color="auto"/>
            <w:left w:val="none" w:sz="0" w:space="0" w:color="auto"/>
            <w:bottom w:val="none" w:sz="0" w:space="0" w:color="auto"/>
            <w:right w:val="none" w:sz="0" w:space="0" w:color="auto"/>
          </w:divBdr>
        </w:div>
        <w:div w:id="1691642184">
          <w:marLeft w:val="640"/>
          <w:marRight w:val="0"/>
          <w:marTop w:val="0"/>
          <w:marBottom w:val="0"/>
          <w:divBdr>
            <w:top w:val="none" w:sz="0" w:space="0" w:color="auto"/>
            <w:left w:val="none" w:sz="0" w:space="0" w:color="auto"/>
            <w:bottom w:val="none" w:sz="0" w:space="0" w:color="auto"/>
            <w:right w:val="none" w:sz="0" w:space="0" w:color="auto"/>
          </w:divBdr>
        </w:div>
        <w:div w:id="495649401">
          <w:marLeft w:val="640"/>
          <w:marRight w:val="0"/>
          <w:marTop w:val="0"/>
          <w:marBottom w:val="0"/>
          <w:divBdr>
            <w:top w:val="none" w:sz="0" w:space="0" w:color="auto"/>
            <w:left w:val="none" w:sz="0" w:space="0" w:color="auto"/>
            <w:bottom w:val="none" w:sz="0" w:space="0" w:color="auto"/>
            <w:right w:val="none" w:sz="0" w:space="0" w:color="auto"/>
          </w:divBdr>
        </w:div>
        <w:div w:id="1909343228">
          <w:marLeft w:val="640"/>
          <w:marRight w:val="0"/>
          <w:marTop w:val="0"/>
          <w:marBottom w:val="0"/>
          <w:divBdr>
            <w:top w:val="none" w:sz="0" w:space="0" w:color="auto"/>
            <w:left w:val="none" w:sz="0" w:space="0" w:color="auto"/>
            <w:bottom w:val="none" w:sz="0" w:space="0" w:color="auto"/>
            <w:right w:val="none" w:sz="0" w:space="0" w:color="auto"/>
          </w:divBdr>
        </w:div>
        <w:div w:id="908729510">
          <w:marLeft w:val="640"/>
          <w:marRight w:val="0"/>
          <w:marTop w:val="0"/>
          <w:marBottom w:val="0"/>
          <w:divBdr>
            <w:top w:val="none" w:sz="0" w:space="0" w:color="auto"/>
            <w:left w:val="none" w:sz="0" w:space="0" w:color="auto"/>
            <w:bottom w:val="none" w:sz="0" w:space="0" w:color="auto"/>
            <w:right w:val="none" w:sz="0" w:space="0" w:color="auto"/>
          </w:divBdr>
        </w:div>
        <w:div w:id="498423500">
          <w:marLeft w:val="640"/>
          <w:marRight w:val="0"/>
          <w:marTop w:val="0"/>
          <w:marBottom w:val="0"/>
          <w:divBdr>
            <w:top w:val="none" w:sz="0" w:space="0" w:color="auto"/>
            <w:left w:val="none" w:sz="0" w:space="0" w:color="auto"/>
            <w:bottom w:val="none" w:sz="0" w:space="0" w:color="auto"/>
            <w:right w:val="none" w:sz="0" w:space="0" w:color="auto"/>
          </w:divBdr>
        </w:div>
        <w:div w:id="1937323729">
          <w:marLeft w:val="640"/>
          <w:marRight w:val="0"/>
          <w:marTop w:val="0"/>
          <w:marBottom w:val="0"/>
          <w:divBdr>
            <w:top w:val="none" w:sz="0" w:space="0" w:color="auto"/>
            <w:left w:val="none" w:sz="0" w:space="0" w:color="auto"/>
            <w:bottom w:val="none" w:sz="0" w:space="0" w:color="auto"/>
            <w:right w:val="none" w:sz="0" w:space="0" w:color="auto"/>
          </w:divBdr>
        </w:div>
        <w:div w:id="447312915">
          <w:marLeft w:val="640"/>
          <w:marRight w:val="0"/>
          <w:marTop w:val="0"/>
          <w:marBottom w:val="0"/>
          <w:divBdr>
            <w:top w:val="none" w:sz="0" w:space="0" w:color="auto"/>
            <w:left w:val="none" w:sz="0" w:space="0" w:color="auto"/>
            <w:bottom w:val="none" w:sz="0" w:space="0" w:color="auto"/>
            <w:right w:val="none" w:sz="0" w:space="0" w:color="auto"/>
          </w:divBdr>
        </w:div>
        <w:div w:id="632564614">
          <w:marLeft w:val="640"/>
          <w:marRight w:val="0"/>
          <w:marTop w:val="0"/>
          <w:marBottom w:val="0"/>
          <w:divBdr>
            <w:top w:val="none" w:sz="0" w:space="0" w:color="auto"/>
            <w:left w:val="none" w:sz="0" w:space="0" w:color="auto"/>
            <w:bottom w:val="none" w:sz="0" w:space="0" w:color="auto"/>
            <w:right w:val="none" w:sz="0" w:space="0" w:color="auto"/>
          </w:divBdr>
        </w:div>
        <w:div w:id="1093209268">
          <w:marLeft w:val="640"/>
          <w:marRight w:val="0"/>
          <w:marTop w:val="0"/>
          <w:marBottom w:val="0"/>
          <w:divBdr>
            <w:top w:val="none" w:sz="0" w:space="0" w:color="auto"/>
            <w:left w:val="none" w:sz="0" w:space="0" w:color="auto"/>
            <w:bottom w:val="none" w:sz="0" w:space="0" w:color="auto"/>
            <w:right w:val="none" w:sz="0" w:space="0" w:color="auto"/>
          </w:divBdr>
        </w:div>
        <w:div w:id="1852255733">
          <w:marLeft w:val="640"/>
          <w:marRight w:val="0"/>
          <w:marTop w:val="0"/>
          <w:marBottom w:val="0"/>
          <w:divBdr>
            <w:top w:val="none" w:sz="0" w:space="0" w:color="auto"/>
            <w:left w:val="none" w:sz="0" w:space="0" w:color="auto"/>
            <w:bottom w:val="none" w:sz="0" w:space="0" w:color="auto"/>
            <w:right w:val="none" w:sz="0" w:space="0" w:color="auto"/>
          </w:divBdr>
        </w:div>
        <w:div w:id="504059480">
          <w:marLeft w:val="640"/>
          <w:marRight w:val="0"/>
          <w:marTop w:val="0"/>
          <w:marBottom w:val="0"/>
          <w:divBdr>
            <w:top w:val="none" w:sz="0" w:space="0" w:color="auto"/>
            <w:left w:val="none" w:sz="0" w:space="0" w:color="auto"/>
            <w:bottom w:val="none" w:sz="0" w:space="0" w:color="auto"/>
            <w:right w:val="none" w:sz="0" w:space="0" w:color="auto"/>
          </w:divBdr>
        </w:div>
        <w:div w:id="489370029">
          <w:marLeft w:val="640"/>
          <w:marRight w:val="0"/>
          <w:marTop w:val="0"/>
          <w:marBottom w:val="0"/>
          <w:divBdr>
            <w:top w:val="none" w:sz="0" w:space="0" w:color="auto"/>
            <w:left w:val="none" w:sz="0" w:space="0" w:color="auto"/>
            <w:bottom w:val="none" w:sz="0" w:space="0" w:color="auto"/>
            <w:right w:val="none" w:sz="0" w:space="0" w:color="auto"/>
          </w:divBdr>
        </w:div>
        <w:div w:id="1533179850">
          <w:marLeft w:val="640"/>
          <w:marRight w:val="0"/>
          <w:marTop w:val="0"/>
          <w:marBottom w:val="0"/>
          <w:divBdr>
            <w:top w:val="none" w:sz="0" w:space="0" w:color="auto"/>
            <w:left w:val="none" w:sz="0" w:space="0" w:color="auto"/>
            <w:bottom w:val="none" w:sz="0" w:space="0" w:color="auto"/>
            <w:right w:val="none" w:sz="0" w:space="0" w:color="auto"/>
          </w:divBdr>
        </w:div>
        <w:div w:id="688529206">
          <w:marLeft w:val="640"/>
          <w:marRight w:val="0"/>
          <w:marTop w:val="0"/>
          <w:marBottom w:val="0"/>
          <w:divBdr>
            <w:top w:val="none" w:sz="0" w:space="0" w:color="auto"/>
            <w:left w:val="none" w:sz="0" w:space="0" w:color="auto"/>
            <w:bottom w:val="none" w:sz="0" w:space="0" w:color="auto"/>
            <w:right w:val="none" w:sz="0" w:space="0" w:color="auto"/>
          </w:divBdr>
        </w:div>
        <w:div w:id="1686442536">
          <w:marLeft w:val="640"/>
          <w:marRight w:val="0"/>
          <w:marTop w:val="0"/>
          <w:marBottom w:val="0"/>
          <w:divBdr>
            <w:top w:val="none" w:sz="0" w:space="0" w:color="auto"/>
            <w:left w:val="none" w:sz="0" w:space="0" w:color="auto"/>
            <w:bottom w:val="none" w:sz="0" w:space="0" w:color="auto"/>
            <w:right w:val="none" w:sz="0" w:space="0" w:color="auto"/>
          </w:divBdr>
        </w:div>
        <w:div w:id="263807080">
          <w:marLeft w:val="640"/>
          <w:marRight w:val="0"/>
          <w:marTop w:val="0"/>
          <w:marBottom w:val="0"/>
          <w:divBdr>
            <w:top w:val="none" w:sz="0" w:space="0" w:color="auto"/>
            <w:left w:val="none" w:sz="0" w:space="0" w:color="auto"/>
            <w:bottom w:val="none" w:sz="0" w:space="0" w:color="auto"/>
            <w:right w:val="none" w:sz="0" w:space="0" w:color="auto"/>
          </w:divBdr>
        </w:div>
        <w:div w:id="486097418">
          <w:marLeft w:val="640"/>
          <w:marRight w:val="0"/>
          <w:marTop w:val="0"/>
          <w:marBottom w:val="0"/>
          <w:divBdr>
            <w:top w:val="none" w:sz="0" w:space="0" w:color="auto"/>
            <w:left w:val="none" w:sz="0" w:space="0" w:color="auto"/>
            <w:bottom w:val="none" w:sz="0" w:space="0" w:color="auto"/>
            <w:right w:val="none" w:sz="0" w:space="0" w:color="auto"/>
          </w:divBdr>
        </w:div>
        <w:div w:id="302544992">
          <w:marLeft w:val="640"/>
          <w:marRight w:val="0"/>
          <w:marTop w:val="0"/>
          <w:marBottom w:val="0"/>
          <w:divBdr>
            <w:top w:val="none" w:sz="0" w:space="0" w:color="auto"/>
            <w:left w:val="none" w:sz="0" w:space="0" w:color="auto"/>
            <w:bottom w:val="none" w:sz="0" w:space="0" w:color="auto"/>
            <w:right w:val="none" w:sz="0" w:space="0" w:color="auto"/>
          </w:divBdr>
        </w:div>
        <w:div w:id="676813971">
          <w:marLeft w:val="640"/>
          <w:marRight w:val="0"/>
          <w:marTop w:val="0"/>
          <w:marBottom w:val="0"/>
          <w:divBdr>
            <w:top w:val="none" w:sz="0" w:space="0" w:color="auto"/>
            <w:left w:val="none" w:sz="0" w:space="0" w:color="auto"/>
            <w:bottom w:val="none" w:sz="0" w:space="0" w:color="auto"/>
            <w:right w:val="none" w:sz="0" w:space="0" w:color="auto"/>
          </w:divBdr>
        </w:div>
        <w:div w:id="397361016">
          <w:marLeft w:val="640"/>
          <w:marRight w:val="0"/>
          <w:marTop w:val="0"/>
          <w:marBottom w:val="0"/>
          <w:divBdr>
            <w:top w:val="none" w:sz="0" w:space="0" w:color="auto"/>
            <w:left w:val="none" w:sz="0" w:space="0" w:color="auto"/>
            <w:bottom w:val="none" w:sz="0" w:space="0" w:color="auto"/>
            <w:right w:val="none" w:sz="0" w:space="0" w:color="auto"/>
          </w:divBdr>
        </w:div>
        <w:div w:id="2039549200">
          <w:marLeft w:val="640"/>
          <w:marRight w:val="0"/>
          <w:marTop w:val="0"/>
          <w:marBottom w:val="0"/>
          <w:divBdr>
            <w:top w:val="none" w:sz="0" w:space="0" w:color="auto"/>
            <w:left w:val="none" w:sz="0" w:space="0" w:color="auto"/>
            <w:bottom w:val="none" w:sz="0" w:space="0" w:color="auto"/>
            <w:right w:val="none" w:sz="0" w:space="0" w:color="auto"/>
          </w:divBdr>
        </w:div>
        <w:div w:id="663975683">
          <w:marLeft w:val="640"/>
          <w:marRight w:val="0"/>
          <w:marTop w:val="0"/>
          <w:marBottom w:val="0"/>
          <w:divBdr>
            <w:top w:val="none" w:sz="0" w:space="0" w:color="auto"/>
            <w:left w:val="none" w:sz="0" w:space="0" w:color="auto"/>
            <w:bottom w:val="none" w:sz="0" w:space="0" w:color="auto"/>
            <w:right w:val="none" w:sz="0" w:space="0" w:color="auto"/>
          </w:divBdr>
        </w:div>
        <w:div w:id="1776091371">
          <w:marLeft w:val="640"/>
          <w:marRight w:val="0"/>
          <w:marTop w:val="0"/>
          <w:marBottom w:val="0"/>
          <w:divBdr>
            <w:top w:val="none" w:sz="0" w:space="0" w:color="auto"/>
            <w:left w:val="none" w:sz="0" w:space="0" w:color="auto"/>
            <w:bottom w:val="none" w:sz="0" w:space="0" w:color="auto"/>
            <w:right w:val="none" w:sz="0" w:space="0" w:color="auto"/>
          </w:divBdr>
        </w:div>
        <w:div w:id="832261289">
          <w:marLeft w:val="640"/>
          <w:marRight w:val="0"/>
          <w:marTop w:val="0"/>
          <w:marBottom w:val="0"/>
          <w:divBdr>
            <w:top w:val="none" w:sz="0" w:space="0" w:color="auto"/>
            <w:left w:val="none" w:sz="0" w:space="0" w:color="auto"/>
            <w:bottom w:val="none" w:sz="0" w:space="0" w:color="auto"/>
            <w:right w:val="none" w:sz="0" w:space="0" w:color="auto"/>
          </w:divBdr>
        </w:div>
        <w:div w:id="2111196245">
          <w:marLeft w:val="640"/>
          <w:marRight w:val="0"/>
          <w:marTop w:val="0"/>
          <w:marBottom w:val="0"/>
          <w:divBdr>
            <w:top w:val="none" w:sz="0" w:space="0" w:color="auto"/>
            <w:left w:val="none" w:sz="0" w:space="0" w:color="auto"/>
            <w:bottom w:val="none" w:sz="0" w:space="0" w:color="auto"/>
            <w:right w:val="none" w:sz="0" w:space="0" w:color="auto"/>
          </w:divBdr>
        </w:div>
        <w:div w:id="1693531920">
          <w:marLeft w:val="640"/>
          <w:marRight w:val="0"/>
          <w:marTop w:val="0"/>
          <w:marBottom w:val="0"/>
          <w:divBdr>
            <w:top w:val="none" w:sz="0" w:space="0" w:color="auto"/>
            <w:left w:val="none" w:sz="0" w:space="0" w:color="auto"/>
            <w:bottom w:val="none" w:sz="0" w:space="0" w:color="auto"/>
            <w:right w:val="none" w:sz="0" w:space="0" w:color="auto"/>
          </w:divBdr>
        </w:div>
        <w:div w:id="1988511466">
          <w:marLeft w:val="640"/>
          <w:marRight w:val="0"/>
          <w:marTop w:val="0"/>
          <w:marBottom w:val="0"/>
          <w:divBdr>
            <w:top w:val="none" w:sz="0" w:space="0" w:color="auto"/>
            <w:left w:val="none" w:sz="0" w:space="0" w:color="auto"/>
            <w:bottom w:val="none" w:sz="0" w:space="0" w:color="auto"/>
            <w:right w:val="none" w:sz="0" w:space="0" w:color="auto"/>
          </w:divBdr>
        </w:div>
        <w:div w:id="572659741">
          <w:marLeft w:val="640"/>
          <w:marRight w:val="0"/>
          <w:marTop w:val="0"/>
          <w:marBottom w:val="0"/>
          <w:divBdr>
            <w:top w:val="none" w:sz="0" w:space="0" w:color="auto"/>
            <w:left w:val="none" w:sz="0" w:space="0" w:color="auto"/>
            <w:bottom w:val="none" w:sz="0" w:space="0" w:color="auto"/>
            <w:right w:val="none" w:sz="0" w:space="0" w:color="auto"/>
          </w:divBdr>
        </w:div>
        <w:div w:id="408618591">
          <w:marLeft w:val="640"/>
          <w:marRight w:val="0"/>
          <w:marTop w:val="0"/>
          <w:marBottom w:val="0"/>
          <w:divBdr>
            <w:top w:val="none" w:sz="0" w:space="0" w:color="auto"/>
            <w:left w:val="none" w:sz="0" w:space="0" w:color="auto"/>
            <w:bottom w:val="none" w:sz="0" w:space="0" w:color="auto"/>
            <w:right w:val="none" w:sz="0" w:space="0" w:color="auto"/>
          </w:divBdr>
        </w:div>
        <w:div w:id="2051682576">
          <w:marLeft w:val="640"/>
          <w:marRight w:val="0"/>
          <w:marTop w:val="0"/>
          <w:marBottom w:val="0"/>
          <w:divBdr>
            <w:top w:val="none" w:sz="0" w:space="0" w:color="auto"/>
            <w:left w:val="none" w:sz="0" w:space="0" w:color="auto"/>
            <w:bottom w:val="none" w:sz="0" w:space="0" w:color="auto"/>
            <w:right w:val="none" w:sz="0" w:space="0" w:color="auto"/>
          </w:divBdr>
        </w:div>
        <w:div w:id="1502575677">
          <w:marLeft w:val="640"/>
          <w:marRight w:val="0"/>
          <w:marTop w:val="0"/>
          <w:marBottom w:val="0"/>
          <w:divBdr>
            <w:top w:val="none" w:sz="0" w:space="0" w:color="auto"/>
            <w:left w:val="none" w:sz="0" w:space="0" w:color="auto"/>
            <w:bottom w:val="none" w:sz="0" w:space="0" w:color="auto"/>
            <w:right w:val="none" w:sz="0" w:space="0" w:color="auto"/>
          </w:divBdr>
        </w:div>
        <w:div w:id="1662347012">
          <w:marLeft w:val="640"/>
          <w:marRight w:val="0"/>
          <w:marTop w:val="0"/>
          <w:marBottom w:val="0"/>
          <w:divBdr>
            <w:top w:val="none" w:sz="0" w:space="0" w:color="auto"/>
            <w:left w:val="none" w:sz="0" w:space="0" w:color="auto"/>
            <w:bottom w:val="none" w:sz="0" w:space="0" w:color="auto"/>
            <w:right w:val="none" w:sz="0" w:space="0" w:color="auto"/>
          </w:divBdr>
        </w:div>
        <w:div w:id="963582975">
          <w:marLeft w:val="640"/>
          <w:marRight w:val="0"/>
          <w:marTop w:val="0"/>
          <w:marBottom w:val="0"/>
          <w:divBdr>
            <w:top w:val="none" w:sz="0" w:space="0" w:color="auto"/>
            <w:left w:val="none" w:sz="0" w:space="0" w:color="auto"/>
            <w:bottom w:val="none" w:sz="0" w:space="0" w:color="auto"/>
            <w:right w:val="none" w:sz="0" w:space="0" w:color="auto"/>
          </w:divBdr>
        </w:div>
        <w:div w:id="199830949">
          <w:marLeft w:val="640"/>
          <w:marRight w:val="0"/>
          <w:marTop w:val="0"/>
          <w:marBottom w:val="0"/>
          <w:divBdr>
            <w:top w:val="none" w:sz="0" w:space="0" w:color="auto"/>
            <w:left w:val="none" w:sz="0" w:space="0" w:color="auto"/>
            <w:bottom w:val="none" w:sz="0" w:space="0" w:color="auto"/>
            <w:right w:val="none" w:sz="0" w:space="0" w:color="auto"/>
          </w:divBdr>
        </w:div>
        <w:div w:id="748846379">
          <w:marLeft w:val="640"/>
          <w:marRight w:val="0"/>
          <w:marTop w:val="0"/>
          <w:marBottom w:val="0"/>
          <w:divBdr>
            <w:top w:val="none" w:sz="0" w:space="0" w:color="auto"/>
            <w:left w:val="none" w:sz="0" w:space="0" w:color="auto"/>
            <w:bottom w:val="none" w:sz="0" w:space="0" w:color="auto"/>
            <w:right w:val="none" w:sz="0" w:space="0" w:color="auto"/>
          </w:divBdr>
        </w:div>
        <w:div w:id="2120567514">
          <w:marLeft w:val="640"/>
          <w:marRight w:val="0"/>
          <w:marTop w:val="0"/>
          <w:marBottom w:val="0"/>
          <w:divBdr>
            <w:top w:val="none" w:sz="0" w:space="0" w:color="auto"/>
            <w:left w:val="none" w:sz="0" w:space="0" w:color="auto"/>
            <w:bottom w:val="none" w:sz="0" w:space="0" w:color="auto"/>
            <w:right w:val="none" w:sz="0" w:space="0" w:color="auto"/>
          </w:divBdr>
        </w:div>
        <w:div w:id="927230462">
          <w:marLeft w:val="640"/>
          <w:marRight w:val="0"/>
          <w:marTop w:val="0"/>
          <w:marBottom w:val="0"/>
          <w:divBdr>
            <w:top w:val="none" w:sz="0" w:space="0" w:color="auto"/>
            <w:left w:val="none" w:sz="0" w:space="0" w:color="auto"/>
            <w:bottom w:val="none" w:sz="0" w:space="0" w:color="auto"/>
            <w:right w:val="none" w:sz="0" w:space="0" w:color="auto"/>
          </w:divBdr>
        </w:div>
        <w:div w:id="1396127203">
          <w:marLeft w:val="640"/>
          <w:marRight w:val="0"/>
          <w:marTop w:val="0"/>
          <w:marBottom w:val="0"/>
          <w:divBdr>
            <w:top w:val="none" w:sz="0" w:space="0" w:color="auto"/>
            <w:left w:val="none" w:sz="0" w:space="0" w:color="auto"/>
            <w:bottom w:val="none" w:sz="0" w:space="0" w:color="auto"/>
            <w:right w:val="none" w:sz="0" w:space="0" w:color="auto"/>
          </w:divBdr>
        </w:div>
        <w:div w:id="1750073427">
          <w:marLeft w:val="640"/>
          <w:marRight w:val="0"/>
          <w:marTop w:val="0"/>
          <w:marBottom w:val="0"/>
          <w:divBdr>
            <w:top w:val="none" w:sz="0" w:space="0" w:color="auto"/>
            <w:left w:val="none" w:sz="0" w:space="0" w:color="auto"/>
            <w:bottom w:val="none" w:sz="0" w:space="0" w:color="auto"/>
            <w:right w:val="none" w:sz="0" w:space="0" w:color="auto"/>
          </w:divBdr>
        </w:div>
        <w:div w:id="1741441282">
          <w:marLeft w:val="640"/>
          <w:marRight w:val="0"/>
          <w:marTop w:val="0"/>
          <w:marBottom w:val="0"/>
          <w:divBdr>
            <w:top w:val="none" w:sz="0" w:space="0" w:color="auto"/>
            <w:left w:val="none" w:sz="0" w:space="0" w:color="auto"/>
            <w:bottom w:val="none" w:sz="0" w:space="0" w:color="auto"/>
            <w:right w:val="none" w:sz="0" w:space="0" w:color="auto"/>
          </w:divBdr>
        </w:div>
        <w:div w:id="1558975047">
          <w:marLeft w:val="640"/>
          <w:marRight w:val="0"/>
          <w:marTop w:val="0"/>
          <w:marBottom w:val="0"/>
          <w:divBdr>
            <w:top w:val="none" w:sz="0" w:space="0" w:color="auto"/>
            <w:left w:val="none" w:sz="0" w:space="0" w:color="auto"/>
            <w:bottom w:val="none" w:sz="0" w:space="0" w:color="auto"/>
            <w:right w:val="none" w:sz="0" w:space="0" w:color="auto"/>
          </w:divBdr>
        </w:div>
        <w:div w:id="1145585569">
          <w:marLeft w:val="640"/>
          <w:marRight w:val="0"/>
          <w:marTop w:val="0"/>
          <w:marBottom w:val="0"/>
          <w:divBdr>
            <w:top w:val="none" w:sz="0" w:space="0" w:color="auto"/>
            <w:left w:val="none" w:sz="0" w:space="0" w:color="auto"/>
            <w:bottom w:val="none" w:sz="0" w:space="0" w:color="auto"/>
            <w:right w:val="none" w:sz="0" w:space="0" w:color="auto"/>
          </w:divBdr>
        </w:div>
        <w:div w:id="574627029">
          <w:marLeft w:val="640"/>
          <w:marRight w:val="0"/>
          <w:marTop w:val="0"/>
          <w:marBottom w:val="0"/>
          <w:divBdr>
            <w:top w:val="none" w:sz="0" w:space="0" w:color="auto"/>
            <w:left w:val="none" w:sz="0" w:space="0" w:color="auto"/>
            <w:bottom w:val="none" w:sz="0" w:space="0" w:color="auto"/>
            <w:right w:val="none" w:sz="0" w:space="0" w:color="auto"/>
          </w:divBdr>
        </w:div>
        <w:div w:id="957755450">
          <w:marLeft w:val="640"/>
          <w:marRight w:val="0"/>
          <w:marTop w:val="0"/>
          <w:marBottom w:val="0"/>
          <w:divBdr>
            <w:top w:val="none" w:sz="0" w:space="0" w:color="auto"/>
            <w:left w:val="none" w:sz="0" w:space="0" w:color="auto"/>
            <w:bottom w:val="none" w:sz="0" w:space="0" w:color="auto"/>
            <w:right w:val="none" w:sz="0" w:space="0" w:color="auto"/>
          </w:divBdr>
        </w:div>
        <w:div w:id="1239483378">
          <w:marLeft w:val="640"/>
          <w:marRight w:val="0"/>
          <w:marTop w:val="0"/>
          <w:marBottom w:val="0"/>
          <w:divBdr>
            <w:top w:val="none" w:sz="0" w:space="0" w:color="auto"/>
            <w:left w:val="none" w:sz="0" w:space="0" w:color="auto"/>
            <w:bottom w:val="none" w:sz="0" w:space="0" w:color="auto"/>
            <w:right w:val="none" w:sz="0" w:space="0" w:color="auto"/>
          </w:divBdr>
        </w:div>
        <w:div w:id="1445423986">
          <w:marLeft w:val="640"/>
          <w:marRight w:val="0"/>
          <w:marTop w:val="0"/>
          <w:marBottom w:val="0"/>
          <w:divBdr>
            <w:top w:val="none" w:sz="0" w:space="0" w:color="auto"/>
            <w:left w:val="none" w:sz="0" w:space="0" w:color="auto"/>
            <w:bottom w:val="none" w:sz="0" w:space="0" w:color="auto"/>
            <w:right w:val="none" w:sz="0" w:space="0" w:color="auto"/>
          </w:divBdr>
        </w:div>
        <w:div w:id="741484734">
          <w:marLeft w:val="640"/>
          <w:marRight w:val="0"/>
          <w:marTop w:val="0"/>
          <w:marBottom w:val="0"/>
          <w:divBdr>
            <w:top w:val="none" w:sz="0" w:space="0" w:color="auto"/>
            <w:left w:val="none" w:sz="0" w:space="0" w:color="auto"/>
            <w:bottom w:val="none" w:sz="0" w:space="0" w:color="auto"/>
            <w:right w:val="none" w:sz="0" w:space="0" w:color="auto"/>
          </w:divBdr>
        </w:div>
        <w:div w:id="496116630">
          <w:marLeft w:val="640"/>
          <w:marRight w:val="0"/>
          <w:marTop w:val="0"/>
          <w:marBottom w:val="0"/>
          <w:divBdr>
            <w:top w:val="none" w:sz="0" w:space="0" w:color="auto"/>
            <w:left w:val="none" w:sz="0" w:space="0" w:color="auto"/>
            <w:bottom w:val="none" w:sz="0" w:space="0" w:color="auto"/>
            <w:right w:val="none" w:sz="0" w:space="0" w:color="auto"/>
          </w:divBdr>
        </w:div>
        <w:div w:id="839856864">
          <w:marLeft w:val="640"/>
          <w:marRight w:val="0"/>
          <w:marTop w:val="0"/>
          <w:marBottom w:val="0"/>
          <w:divBdr>
            <w:top w:val="none" w:sz="0" w:space="0" w:color="auto"/>
            <w:left w:val="none" w:sz="0" w:space="0" w:color="auto"/>
            <w:bottom w:val="none" w:sz="0" w:space="0" w:color="auto"/>
            <w:right w:val="none" w:sz="0" w:space="0" w:color="auto"/>
          </w:divBdr>
        </w:div>
        <w:div w:id="1224488108">
          <w:marLeft w:val="640"/>
          <w:marRight w:val="0"/>
          <w:marTop w:val="0"/>
          <w:marBottom w:val="0"/>
          <w:divBdr>
            <w:top w:val="none" w:sz="0" w:space="0" w:color="auto"/>
            <w:left w:val="none" w:sz="0" w:space="0" w:color="auto"/>
            <w:bottom w:val="none" w:sz="0" w:space="0" w:color="auto"/>
            <w:right w:val="none" w:sz="0" w:space="0" w:color="auto"/>
          </w:divBdr>
        </w:div>
        <w:div w:id="1369179075">
          <w:marLeft w:val="640"/>
          <w:marRight w:val="0"/>
          <w:marTop w:val="0"/>
          <w:marBottom w:val="0"/>
          <w:divBdr>
            <w:top w:val="none" w:sz="0" w:space="0" w:color="auto"/>
            <w:left w:val="none" w:sz="0" w:space="0" w:color="auto"/>
            <w:bottom w:val="none" w:sz="0" w:space="0" w:color="auto"/>
            <w:right w:val="none" w:sz="0" w:space="0" w:color="auto"/>
          </w:divBdr>
        </w:div>
        <w:div w:id="1612976216">
          <w:marLeft w:val="640"/>
          <w:marRight w:val="0"/>
          <w:marTop w:val="0"/>
          <w:marBottom w:val="0"/>
          <w:divBdr>
            <w:top w:val="none" w:sz="0" w:space="0" w:color="auto"/>
            <w:left w:val="none" w:sz="0" w:space="0" w:color="auto"/>
            <w:bottom w:val="none" w:sz="0" w:space="0" w:color="auto"/>
            <w:right w:val="none" w:sz="0" w:space="0" w:color="auto"/>
          </w:divBdr>
        </w:div>
        <w:div w:id="136535710">
          <w:marLeft w:val="640"/>
          <w:marRight w:val="0"/>
          <w:marTop w:val="0"/>
          <w:marBottom w:val="0"/>
          <w:divBdr>
            <w:top w:val="none" w:sz="0" w:space="0" w:color="auto"/>
            <w:left w:val="none" w:sz="0" w:space="0" w:color="auto"/>
            <w:bottom w:val="none" w:sz="0" w:space="0" w:color="auto"/>
            <w:right w:val="none" w:sz="0" w:space="0" w:color="auto"/>
          </w:divBdr>
        </w:div>
        <w:div w:id="124585648">
          <w:marLeft w:val="640"/>
          <w:marRight w:val="0"/>
          <w:marTop w:val="0"/>
          <w:marBottom w:val="0"/>
          <w:divBdr>
            <w:top w:val="none" w:sz="0" w:space="0" w:color="auto"/>
            <w:left w:val="none" w:sz="0" w:space="0" w:color="auto"/>
            <w:bottom w:val="none" w:sz="0" w:space="0" w:color="auto"/>
            <w:right w:val="none" w:sz="0" w:space="0" w:color="auto"/>
          </w:divBdr>
        </w:div>
        <w:div w:id="512040010">
          <w:marLeft w:val="640"/>
          <w:marRight w:val="0"/>
          <w:marTop w:val="0"/>
          <w:marBottom w:val="0"/>
          <w:divBdr>
            <w:top w:val="none" w:sz="0" w:space="0" w:color="auto"/>
            <w:left w:val="none" w:sz="0" w:space="0" w:color="auto"/>
            <w:bottom w:val="none" w:sz="0" w:space="0" w:color="auto"/>
            <w:right w:val="none" w:sz="0" w:space="0" w:color="auto"/>
          </w:divBdr>
        </w:div>
        <w:div w:id="1340541589">
          <w:marLeft w:val="640"/>
          <w:marRight w:val="0"/>
          <w:marTop w:val="0"/>
          <w:marBottom w:val="0"/>
          <w:divBdr>
            <w:top w:val="none" w:sz="0" w:space="0" w:color="auto"/>
            <w:left w:val="none" w:sz="0" w:space="0" w:color="auto"/>
            <w:bottom w:val="none" w:sz="0" w:space="0" w:color="auto"/>
            <w:right w:val="none" w:sz="0" w:space="0" w:color="auto"/>
          </w:divBdr>
        </w:div>
        <w:div w:id="1879470991">
          <w:marLeft w:val="640"/>
          <w:marRight w:val="0"/>
          <w:marTop w:val="0"/>
          <w:marBottom w:val="0"/>
          <w:divBdr>
            <w:top w:val="none" w:sz="0" w:space="0" w:color="auto"/>
            <w:left w:val="none" w:sz="0" w:space="0" w:color="auto"/>
            <w:bottom w:val="none" w:sz="0" w:space="0" w:color="auto"/>
            <w:right w:val="none" w:sz="0" w:space="0" w:color="auto"/>
          </w:divBdr>
        </w:div>
        <w:div w:id="1826042435">
          <w:marLeft w:val="640"/>
          <w:marRight w:val="0"/>
          <w:marTop w:val="0"/>
          <w:marBottom w:val="0"/>
          <w:divBdr>
            <w:top w:val="none" w:sz="0" w:space="0" w:color="auto"/>
            <w:left w:val="none" w:sz="0" w:space="0" w:color="auto"/>
            <w:bottom w:val="none" w:sz="0" w:space="0" w:color="auto"/>
            <w:right w:val="none" w:sz="0" w:space="0" w:color="auto"/>
          </w:divBdr>
        </w:div>
        <w:div w:id="1016808795">
          <w:marLeft w:val="640"/>
          <w:marRight w:val="0"/>
          <w:marTop w:val="0"/>
          <w:marBottom w:val="0"/>
          <w:divBdr>
            <w:top w:val="none" w:sz="0" w:space="0" w:color="auto"/>
            <w:left w:val="none" w:sz="0" w:space="0" w:color="auto"/>
            <w:bottom w:val="none" w:sz="0" w:space="0" w:color="auto"/>
            <w:right w:val="none" w:sz="0" w:space="0" w:color="auto"/>
          </w:divBdr>
        </w:div>
        <w:div w:id="1201627454">
          <w:marLeft w:val="640"/>
          <w:marRight w:val="0"/>
          <w:marTop w:val="0"/>
          <w:marBottom w:val="0"/>
          <w:divBdr>
            <w:top w:val="none" w:sz="0" w:space="0" w:color="auto"/>
            <w:left w:val="none" w:sz="0" w:space="0" w:color="auto"/>
            <w:bottom w:val="none" w:sz="0" w:space="0" w:color="auto"/>
            <w:right w:val="none" w:sz="0" w:space="0" w:color="auto"/>
          </w:divBdr>
        </w:div>
        <w:div w:id="465467912">
          <w:marLeft w:val="640"/>
          <w:marRight w:val="0"/>
          <w:marTop w:val="0"/>
          <w:marBottom w:val="0"/>
          <w:divBdr>
            <w:top w:val="none" w:sz="0" w:space="0" w:color="auto"/>
            <w:left w:val="none" w:sz="0" w:space="0" w:color="auto"/>
            <w:bottom w:val="none" w:sz="0" w:space="0" w:color="auto"/>
            <w:right w:val="none" w:sz="0" w:space="0" w:color="auto"/>
          </w:divBdr>
        </w:div>
        <w:div w:id="758676857">
          <w:marLeft w:val="640"/>
          <w:marRight w:val="0"/>
          <w:marTop w:val="0"/>
          <w:marBottom w:val="0"/>
          <w:divBdr>
            <w:top w:val="none" w:sz="0" w:space="0" w:color="auto"/>
            <w:left w:val="none" w:sz="0" w:space="0" w:color="auto"/>
            <w:bottom w:val="none" w:sz="0" w:space="0" w:color="auto"/>
            <w:right w:val="none" w:sz="0" w:space="0" w:color="auto"/>
          </w:divBdr>
        </w:div>
        <w:div w:id="1243103142">
          <w:marLeft w:val="640"/>
          <w:marRight w:val="0"/>
          <w:marTop w:val="0"/>
          <w:marBottom w:val="0"/>
          <w:divBdr>
            <w:top w:val="none" w:sz="0" w:space="0" w:color="auto"/>
            <w:left w:val="none" w:sz="0" w:space="0" w:color="auto"/>
            <w:bottom w:val="none" w:sz="0" w:space="0" w:color="auto"/>
            <w:right w:val="none" w:sz="0" w:space="0" w:color="auto"/>
          </w:divBdr>
        </w:div>
        <w:div w:id="1492215969">
          <w:marLeft w:val="640"/>
          <w:marRight w:val="0"/>
          <w:marTop w:val="0"/>
          <w:marBottom w:val="0"/>
          <w:divBdr>
            <w:top w:val="none" w:sz="0" w:space="0" w:color="auto"/>
            <w:left w:val="none" w:sz="0" w:space="0" w:color="auto"/>
            <w:bottom w:val="none" w:sz="0" w:space="0" w:color="auto"/>
            <w:right w:val="none" w:sz="0" w:space="0" w:color="auto"/>
          </w:divBdr>
        </w:div>
        <w:div w:id="25062697">
          <w:marLeft w:val="640"/>
          <w:marRight w:val="0"/>
          <w:marTop w:val="0"/>
          <w:marBottom w:val="0"/>
          <w:divBdr>
            <w:top w:val="none" w:sz="0" w:space="0" w:color="auto"/>
            <w:left w:val="none" w:sz="0" w:space="0" w:color="auto"/>
            <w:bottom w:val="none" w:sz="0" w:space="0" w:color="auto"/>
            <w:right w:val="none" w:sz="0" w:space="0" w:color="auto"/>
          </w:divBdr>
        </w:div>
        <w:div w:id="1839346852">
          <w:marLeft w:val="640"/>
          <w:marRight w:val="0"/>
          <w:marTop w:val="0"/>
          <w:marBottom w:val="0"/>
          <w:divBdr>
            <w:top w:val="none" w:sz="0" w:space="0" w:color="auto"/>
            <w:left w:val="none" w:sz="0" w:space="0" w:color="auto"/>
            <w:bottom w:val="none" w:sz="0" w:space="0" w:color="auto"/>
            <w:right w:val="none" w:sz="0" w:space="0" w:color="auto"/>
          </w:divBdr>
        </w:div>
        <w:div w:id="514618126">
          <w:marLeft w:val="640"/>
          <w:marRight w:val="0"/>
          <w:marTop w:val="0"/>
          <w:marBottom w:val="0"/>
          <w:divBdr>
            <w:top w:val="none" w:sz="0" w:space="0" w:color="auto"/>
            <w:left w:val="none" w:sz="0" w:space="0" w:color="auto"/>
            <w:bottom w:val="none" w:sz="0" w:space="0" w:color="auto"/>
            <w:right w:val="none" w:sz="0" w:space="0" w:color="auto"/>
          </w:divBdr>
        </w:div>
        <w:div w:id="2008750205">
          <w:marLeft w:val="640"/>
          <w:marRight w:val="0"/>
          <w:marTop w:val="0"/>
          <w:marBottom w:val="0"/>
          <w:divBdr>
            <w:top w:val="none" w:sz="0" w:space="0" w:color="auto"/>
            <w:left w:val="none" w:sz="0" w:space="0" w:color="auto"/>
            <w:bottom w:val="none" w:sz="0" w:space="0" w:color="auto"/>
            <w:right w:val="none" w:sz="0" w:space="0" w:color="auto"/>
          </w:divBdr>
        </w:div>
        <w:div w:id="1880975394">
          <w:marLeft w:val="640"/>
          <w:marRight w:val="0"/>
          <w:marTop w:val="0"/>
          <w:marBottom w:val="0"/>
          <w:divBdr>
            <w:top w:val="none" w:sz="0" w:space="0" w:color="auto"/>
            <w:left w:val="none" w:sz="0" w:space="0" w:color="auto"/>
            <w:bottom w:val="none" w:sz="0" w:space="0" w:color="auto"/>
            <w:right w:val="none" w:sz="0" w:space="0" w:color="auto"/>
          </w:divBdr>
        </w:div>
        <w:div w:id="2093775054">
          <w:marLeft w:val="640"/>
          <w:marRight w:val="0"/>
          <w:marTop w:val="0"/>
          <w:marBottom w:val="0"/>
          <w:divBdr>
            <w:top w:val="none" w:sz="0" w:space="0" w:color="auto"/>
            <w:left w:val="none" w:sz="0" w:space="0" w:color="auto"/>
            <w:bottom w:val="none" w:sz="0" w:space="0" w:color="auto"/>
            <w:right w:val="none" w:sz="0" w:space="0" w:color="auto"/>
          </w:divBdr>
        </w:div>
        <w:div w:id="666323484">
          <w:marLeft w:val="640"/>
          <w:marRight w:val="0"/>
          <w:marTop w:val="0"/>
          <w:marBottom w:val="0"/>
          <w:divBdr>
            <w:top w:val="none" w:sz="0" w:space="0" w:color="auto"/>
            <w:left w:val="none" w:sz="0" w:space="0" w:color="auto"/>
            <w:bottom w:val="none" w:sz="0" w:space="0" w:color="auto"/>
            <w:right w:val="none" w:sz="0" w:space="0" w:color="auto"/>
          </w:divBdr>
        </w:div>
        <w:div w:id="914825529">
          <w:marLeft w:val="640"/>
          <w:marRight w:val="0"/>
          <w:marTop w:val="0"/>
          <w:marBottom w:val="0"/>
          <w:divBdr>
            <w:top w:val="none" w:sz="0" w:space="0" w:color="auto"/>
            <w:left w:val="none" w:sz="0" w:space="0" w:color="auto"/>
            <w:bottom w:val="none" w:sz="0" w:space="0" w:color="auto"/>
            <w:right w:val="none" w:sz="0" w:space="0" w:color="auto"/>
          </w:divBdr>
        </w:div>
        <w:div w:id="323318145">
          <w:marLeft w:val="640"/>
          <w:marRight w:val="0"/>
          <w:marTop w:val="0"/>
          <w:marBottom w:val="0"/>
          <w:divBdr>
            <w:top w:val="none" w:sz="0" w:space="0" w:color="auto"/>
            <w:left w:val="none" w:sz="0" w:space="0" w:color="auto"/>
            <w:bottom w:val="none" w:sz="0" w:space="0" w:color="auto"/>
            <w:right w:val="none" w:sz="0" w:space="0" w:color="auto"/>
          </w:divBdr>
        </w:div>
        <w:div w:id="245580240">
          <w:marLeft w:val="640"/>
          <w:marRight w:val="0"/>
          <w:marTop w:val="0"/>
          <w:marBottom w:val="0"/>
          <w:divBdr>
            <w:top w:val="none" w:sz="0" w:space="0" w:color="auto"/>
            <w:left w:val="none" w:sz="0" w:space="0" w:color="auto"/>
            <w:bottom w:val="none" w:sz="0" w:space="0" w:color="auto"/>
            <w:right w:val="none" w:sz="0" w:space="0" w:color="auto"/>
          </w:divBdr>
        </w:div>
        <w:div w:id="1863205436">
          <w:marLeft w:val="640"/>
          <w:marRight w:val="0"/>
          <w:marTop w:val="0"/>
          <w:marBottom w:val="0"/>
          <w:divBdr>
            <w:top w:val="none" w:sz="0" w:space="0" w:color="auto"/>
            <w:left w:val="none" w:sz="0" w:space="0" w:color="auto"/>
            <w:bottom w:val="none" w:sz="0" w:space="0" w:color="auto"/>
            <w:right w:val="none" w:sz="0" w:space="0" w:color="auto"/>
          </w:divBdr>
        </w:div>
        <w:div w:id="405494121">
          <w:marLeft w:val="640"/>
          <w:marRight w:val="0"/>
          <w:marTop w:val="0"/>
          <w:marBottom w:val="0"/>
          <w:divBdr>
            <w:top w:val="none" w:sz="0" w:space="0" w:color="auto"/>
            <w:left w:val="none" w:sz="0" w:space="0" w:color="auto"/>
            <w:bottom w:val="none" w:sz="0" w:space="0" w:color="auto"/>
            <w:right w:val="none" w:sz="0" w:space="0" w:color="auto"/>
          </w:divBdr>
        </w:div>
        <w:div w:id="821389069">
          <w:marLeft w:val="640"/>
          <w:marRight w:val="0"/>
          <w:marTop w:val="0"/>
          <w:marBottom w:val="0"/>
          <w:divBdr>
            <w:top w:val="none" w:sz="0" w:space="0" w:color="auto"/>
            <w:left w:val="none" w:sz="0" w:space="0" w:color="auto"/>
            <w:bottom w:val="none" w:sz="0" w:space="0" w:color="auto"/>
            <w:right w:val="none" w:sz="0" w:space="0" w:color="auto"/>
          </w:divBdr>
        </w:div>
        <w:div w:id="2000498717">
          <w:marLeft w:val="640"/>
          <w:marRight w:val="0"/>
          <w:marTop w:val="0"/>
          <w:marBottom w:val="0"/>
          <w:divBdr>
            <w:top w:val="none" w:sz="0" w:space="0" w:color="auto"/>
            <w:left w:val="none" w:sz="0" w:space="0" w:color="auto"/>
            <w:bottom w:val="none" w:sz="0" w:space="0" w:color="auto"/>
            <w:right w:val="none" w:sz="0" w:space="0" w:color="auto"/>
          </w:divBdr>
        </w:div>
        <w:div w:id="1834105070">
          <w:marLeft w:val="640"/>
          <w:marRight w:val="0"/>
          <w:marTop w:val="0"/>
          <w:marBottom w:val="0"/>
          <w:divBdr>
            <w:top w:val="none" w:sz="0" w:space="0" w:color="auto"/>
            <w:left w:val="none" w:sz="0" w:space="0" w:color="auto"/>
            <w:bottom w:val="none" w:sz="0" w:space="0" w:color="auto"/>
            <w:right w:val="none" w:sz="0" w:space="0" w:color="auto"/>
          </w:divBdr>
        </w:div>
        <w:div w:id="671420003">
          <w:marLeft w:val="640"/>
          <w:marRight w:val="0"/>
          <w:marTop w:val="0"/>
          <w:marBottom w:val="0"/>
          <w:divBdr>
            <w:top w:val="none" w:sz="0" w:space="0" w:color="auto"/>
            <w:left w:val="none" w:sz="0" w:space="0" w:color="auto"/>
            <w:bottom w:val="none" w:sz="0" w:space="0" w:color="auto"/>
            <w:right w:val="none" w:sz="0" w:space="0" w:color="auto"/>
          </w:divBdr>
        </w:div>
        <w:div w:id="2089765501">
          <w:marLeft w:val="640"/>
          <w:marRight w:val="0"/>
          <w:marTop w:val="0"/>
          <w:marBottom w:val="0"/>
          <w:divBdr>
            <w:top w:val="none" w:sz="0" w:space="0" w:color="auto"/>
            <w:left w:val="none" w:sz="0" w:space="0" w:color="auto"/>
            <w:bottom w:val="none" w:sz="0" w:space="0" w:color="auto"/>
            <w:right w:val="none" w:sz="0" w:space="0" w:color="auto"/>
          </w:divBdr>
        </w:div>
        <w:div w:id="1234123437">
          <w:marLeft w:val="640"/>
          <w:marRight w:val="0"/>
          <w:marTop w:val="0"/>
          <w:marBottom w:val="0"/>
          <w:divBdr>
            <w:top w:val="none" w:sz="0" w:space="0" w:color="auto"/>
            <w:left w:val="none" w:sz="0" w:space="0" w:color="auto"/>
            <w:bottom w:val="none" w:sz="0" w:space="0" w:color="auto"/>
            <w:right w:val="none" w:sz="0" w:space="0" w:color="auto"/>
          </w:divBdr>
        </w:div>
        <w:div w:id="705641287">
          <w:marLeft w:val="640"/>
          <w:marRight w:val="0"/>
          <w:marTop w:val="0"/>
          <w:marBottom w:val="0"/>
          <w:divBdr>
            <w:top w:val="none" w:sz="0" w:space="0" w:color="auto"/>
            <w:left w:val="none" w:sz="0" w:space="0" w:color="auto"/>
            <w:bottom w:val="none" w:sz="0" w:space="0" w:color="auto"/>
            <w:right w:val="none" w:sz="0" w:space="0" w:color="auto"/>
          </w:divBdr>
        </w:div>
        <w:div w:id="791948077">
          <w:marLeft w:val="640"/>
          <w:marRight w:val="0"/>
          <w:marTop w:val="0"/>
          <w:marBottom w:val="0"/>
          <w:divBdr>
            <w:top w:val="none" w:sz="0" w:space="0" w:color="auto"/>
            <w:left w:val="none" w:sz="0" w:space="0" w:color="auto"/>
            <w:bottom w:val="none" w:sz="0" w:space="0" w:color="auto"/>
            <w:right w:val="none" w:sz="0" w:space="0" w:color="auto"/>
          </w:divBdr>
        </w:div>
        <w:div w:id="1830945748">
          <w:marLeft w:val="640"/>
          <w:marRight w:val="0"/>
          <w:marTop w:val="0"/>
          <w:marBottom w:val="0"/>
          <w:divBdr>
            <w:top w:val="none" w:sz="0" w:space="0" w:color="auto"/>
            <w:left w:val="none" w:sz="0" w:space="0" w:color="auto"/>
            <w:bottom w:val="none" w:sz="0" w:space="0" w:color="auto"/>
            <w:right w:val="none" w:sz="0" w:space="0" w:color="auto"/>
          </w:divBdr>
        </w:div>
        <w:div w:id="1765687978">
          <w:marLeft w:val="640"/>
          <w:marRight w:val="0"/>
          <w:marTop w:val="0"/>
          <w:marBottom w:val="0"/>
          <w:divBdr>
            <w:top w:val="none" w:sz="0" w:space="0" w:color="auto"/>
            <w:left w:val="none" w:sz="0" w:space="0" w:color="auto"/>
            <w:bottom w:val="none" w:sz="0" w:space="0" w:color="auto"/>
            <w:right w:val="none" w:sz="0" w:space="0" w:color="auto"/>
          </w:divBdr>
        </w:div>
        <w:div w:id="175579224">
          <w:marLeft w:val="640"/>
          <w:marRight w:val="0"/>
          <w:marTop w:val="0"/>
          <w:marBottom w:val="0"/>
          <w:divBdr>
            <w:top w:val="none" w:sz="0" w:space="0" w:color="auto"/>
            <w:left w:val="none" w:sz="0" w:space="0" w:color="auto"/>
            <w:bottom w:val="none" w:sz="0" w:space="0" w:color="auto"/>
            <w:right w:val="none" w:sz="0" w:space="0" w:color="auto"/>
          </w:divBdr>
        </w:div>
        <w:div w:id="1497526022">
          <w:marLeft w:val="640"/>
          <w:marRight w:val="0"/>
          <w:marTop w:val="0"/>
          <w:marBottom w:val="0"/>
          <w:divBdr>
            <w:top w:val="none" w:sz="0" w:space="0" w:color="auto"/>
            <w:left w:val="none" w:sz="0" w:space="0" w:color="auto"/>
            <w:bottom w:val="none" w:sz="0" w:space="0" w:color="auto"/>
            <w:right w:val="none" w:sz="0" w:space="0" w:color="auto"/>
          </w:divBdr>
        </w:div>
        <w:div w:id="1734230899">
          <w:marLeft w:val="640"/>
          <w:marRight w:val="0"/>
          <w:marTop w:val="0"/>
          <w:marBottom w:val="0"/>
          <w:divBdr>
            <w:top w:val="none" w:sz="0" w:space="0" w:color="auto"/>
            <w:left w:val="none" w:sz="0" w:space="0" w:color="auto"/>
            <w:bottom w:val="none" w:sz="0" w:space="0" w:color="auto"/>
            <w:right w:val="none" w:sz="0" w:space="0" w:color="auto"/>
          </w:divBdr>
        </w:div>
        <w:div w:id="734207793">
          <w:marLeft w:val="640"/>
          <w:marRight w:val="0"/>
          <w:marTop w:val="0"/>
          <w:marBottom w:val="0"/>
          <w:divBdr>
            <w:top w:val="none" w:sz="0" w:space="0" w:color="auto"/>
            <w:left w:val="none" w:sz="0" w:space="0" w:color="auto"/>
            <w:bottom w:val="none" w:sz="0" w:space="0" w:color="auto"/>
            <w:right w:val="none" w:sz="0" w:space="0" w:color="auto"/>
          </w:divBdr>
        </w:div>
        <w:div w:id="611477078">
          <w:marLeft w:val="640"/>
          <w:marRight w:val="0"/>
          <w:marTop w:val="0"/>
          <w:marBottom w:val="0"/>
          <w:divBdr>
            <w:top w:val="none" w:sz="0" w:space="0" w:color="auto"/>
            <w:left w:val="none" w:sz="0" w:space="0" w:color="auto"/>
            <w:bottom w:val="none" w:sz="0" w:space="0" w:color="auto"/>
            <w:right w:val="none" w:sz="0" w:space="0" w:color="auto"/>
          </w:divBdr>
        </w:div>
        <w:div w:id="688261950">
          <w:marLeft w:val="640"/>
          <w:marRight w:val="0"/>
          <w:marTop w:val="0"/>
          <w:marBottom w:val="0"/>
          <w:divBdr>
            <w:top w:val="none" w:sz="0" w:space="0" w:color="auto"/>
            <w:left w:val="none" w:sz="0" w:space="0" w:color="auto"/>
            <w:bottom w:val="none" w:sz="0" w:space="0" w:color="auto"/>
            <w:right w:val="none" w:sz="0" w:space="0" w:color="auto"/>
          </w:divBdr>
        </w:div>
        <w:div w:id="1447384215">
          <w:marLeft w:val="640"/>
          <w:marRight w:val="0"/>
          <w:marTop w:val="0"/>
          <w:marBottom w:val="0"/>
          <w:divBdr>
            <w:top w:val="none" w:sz="0" w:space="0" w:color="auto"/>
            <w:left w:val="none" w:sz="0" w:space="0" w:color="auto"/>
            <w:bottom w:val="none" w:sz="0" w:space="0" w:color="auto"/>
            <w:right w:val="none" w:sz="0" w:space="0" w:color="auto"/>
          </w:divBdr>
        </w:div>
        <w:div w:id="873808504">
          <w:marLeft w:val="640"/>
          <w:marRight w:val="0"/>
          <w:marTop w:val="0"/>
          <w:marBottom w:val="0"/>
          <w:divBdr>
            <w:top w:val="none" w:sz="0" w:space="0" w:color="auto"/>
            <w:left w:val="none" w:sz="0" w:space="0" w:color="auto"/>
            <w:bottom w:val="none" w:sz="0" w:space="0" w:color="auto"/>
            <w:right w:val="none" w:sz="0" w:space="0" w:color="auto"/>
          </w:divBdr>
        </w:div>
        <w:div w:id="109013330">
          <w:marLeft w:val="640"/>
          <w:marRight w:val="0"/>
          <w:marTop w:val="0"/>
          <w:marBottom w:val="0"/>
          <w:divBdr>
            <w:top w:val="none" w:sz="0" w:space="0" w:color="auto"/>
            <w:left w:val="none" w:sz="0" w:space="0" w:color="auto"/>
            <w:bottom w:val="none" w:sz="0" w:space="0" w:color="auto"/>
            <w:right w:val="none" w:sz="0" w:space="0" w:color="auto"/>
          </w:divBdr>
        </w:div>
        <w:div w:id="350377660">
          <w:marLeft w:val="640"/>
          <w:marRight w:val="0"/>
          <w:marTop w:val="0"/>
          <w:marBottom w:val="0"/>
          <w:divBdr>
            <w:top w:val="none" w:sz="0" w:space="0" w:color="auto"/>
            <w:left w:val="none" w:sz="0" w:space="0" w:color="auto"/>
            <w:bottom w:val="none" w:sz="0" w:space="0" w:color="auto"/>
            <w:right w:val="none" w:sz="0" w:space="0" w:color="auto"/>
          </w:divBdr>
        </w:div>
        <w:div w:id="378093405">
          <w:marLeft w:val="640"/>
          <w:marRight w:val="0"/>
          <w:marTop w:val="0"/>
          <w:marBottom w:val="0"/>
          <w:divBdr>
            <w:top w:val="none" w:sz="0" w:space="0" w:color="auto"/>
            <w:left w:val="none" w:sz="0" w:space="0" w:color="auto"/>
            <w:bottom w:val="none" w:sz="0" w:space="0" w:color="auto"/>
            <w:right w:val="none" w:sz="0" w:space="0" w:color="auto"/>
          </w:divBdr>
        </w:div>
        <w:div w:id="1832599195">
          <w:marLeft w:val="640"/>
          <w:marRight w:val="0"/>
          <w:marTop w:val="0"/>
          <w:marBottom w:val="0"/>
          <w:divBdr>
            <w:top w:val="none" w:sz="0" w:space="0" w:color="auto"/>
            <w:left w:val="none" w:sz="0" w:space="0" w:color="auto"/>
            <w:bottom w:val="none" w:sz="0" w:space="0" w:color="auto"/>
            <w:right w:val="none" w:sz="0" w:space="0" w:color="auto"/>
          </w:divBdr>
        </w:div>
        <w:div w:id="1350716585">
          <w:marLeft w:val="640"/>
          <w:marRight w:val="0"/>
          <w:marTop w:val="0"/>
          <w:marBottom w:val="0"/>
          <w:divBdr>
            <w:top w:val="none" w:sz="0" w:space="0" w:color="auto"/>
            <w:left w:val="none" w:sz="0" w:space="0" w:color="auto"/>
            <w:bottom w:val="none" w:sz="0" w:space="0" w:color="auto"/>
            <w:right w:val="none" w:sz="0" w:space="0" w:color="auto"/>
          </w:divBdr>
        </w:div>
        <w:div w:id="304552554">
          <w:marLeft w:val="640"/>
          <w:marRight w:val="0"/>
          <w:marTop w:val="0"/>
          <w:marBottom w:val="0"/>
          <w:divBdr>
            <w:top w:val="none" w:sz="0" w:space="0" w:color="auto"/>
            <w:left w:val="none" w:sz="0" w:space="0" w:color="auto"/>
            <w:bottom w:val="none" w:sz="0" w:space="0" w:color="auto"/>
            <w:right w:val="none" w:sz="0" w:space="0" w:color="auto"/>
          </w:divBdr>
        </w:div>
        <w:div w:id="1974940561">
          <w:marLeft w:val="640"/>
          <w:marRight w:val="0"/>
          <w:marTop w:val="0"/>
          <w:marBottom w:val="0"/>
          <w:divBdr>
            <w:top w:val="none" w:sz="0" w:space="0" w:color="auto"/>
            <w:left w:val="none" w:sz="0" w:space="0" w:color="auto"/>
            <w:bottom w:val="none" w:sz="0" w:space="0" w:color="auto"/>
            <w:right w:val="none" w:sz="0" w:space="0" w:color="auto"/>
          </w:divBdr>
        </w:div>
        <w:div w:id="1239093295">
          <w:marLeft w:val="640"/>
          <w:marRight w:val="0"/>
          <w:marTop w:val="0"/>
          <w:marBottom w:val="0"/>
          <w:divBdr>
            <w:top w:val="none" w:sz="0" w:space="0" w:color="auto"/>
            <w:left w:val="none" w:sz="0" w:space="0" w:color="auto"/>
            <w:bottom w:val="none" w:sz="0" w:space="0" w:color="auto"/>
            <w:right w:val="none" w:sz="0" w:space="0" w:color="auto"/>
          </w:divBdr>
        </w:div>
        <w:div w:id="1995062616">
          <w:marLeft w:val="640"/>
          <w:marRight w:val="0"/>
          <w:marTop w:val="0"/>
          <w:marBottom w:val="0"/>
          <w:divBdr>
            <w:top w:val="none" w:sz="0" w:space="0" w:color="auto"/>
            <w:left w:val="none" w:sz="0" w:space="0" w:color="auto"/>
            <w:bottom w:val="none" w:sz="0" w:space="0" w:color="auto"/>
            <w:right w:val="none" w:sz="0" w:space="0" w:color="auto"/>
          </w:divBdr>
        </w:div>
        <w:div w:id="1884975211">
          <w:marLeft w:val="640"/>
          <w:marRight w:val="0"/>
          <w:marTop w:val="0"/>
          <w:marBottom w:val="0"/>
          <w:divBdr>
            <w:top w:val="none" w:sz="0" w:space="0" w:color="auto"/>
            <w:left w:val="none" w:sz="0" w:space="0" w:color="auto"/>
            <w:bottom w:val="none" w:sz="0" w:space="0" w:color="auto"/>
            <w:right w:val="none" w:sz="0" w:space="0" w:color="auto"/>
          </w:divBdr>
        </w:div>
        <w:div w:id="1724909427">
          <w:marLeft w:val="640"/>
          <w:marRight w:val="0"/>
          <w:marTop w:val="0"/>
          <w:marBottom w:val="0"/>
          <w:divBdr>
            <w:top w:val="none" w:sz="0" w:space="0" w:color="auto"/>
            <w:left w:val="none" w:sz="0" w:space="0" w:color="auto"/>
            <w:bottom w:val="none" w:sz="0" w:space="0" w:color="auto"/>
            <w:right w:val="none" w:sz="0" w:space="0" w:color="auto"/>
          </w:divBdr>
        </w:div>
        <w:div w:id="1584997046">
          <w:marLeft w:val="640"/>
          <w:marRight w:val="0"/>
          <w:marTop w:val="0"/>
          <w:marBottom w:val="0"/>
          <w:divBdr>
            <w:top w:val="none" w:sz="0" w:space="0" w:color="auto"/>
            <w:left w:val="none" w:sz="0" w:space="0" w:color="auto"/>
            <w:bottom w:val="none" w:sz="0" w:space="0" w:color="auto"/>
            <w:right w:val="none" w:sz="0" w:space="0" w:color="auto"/>
          </w:divBdr>
        </w:div>
        <w:div w:id="993798046">
          <w:marLeft w:val="640"/>
          <w:marRight w:val="0"/>
          <w:marTop w:val="0"/>
          <w:marBottom w:val="0"/>
          <w:divBdr>
            <w:top w:val="none" w:sz="0" w:space="0" w:color="auto"/>
            <w:left w:val="none" w:sz="0" w:space="0" w:color="auto"/>
            <w:bottom w:val="none" w:sz="0" w:space="0" w:color="auto"/>
            <w:right w:val="none" w:sz="0" w:space="0" w:color="auto"/>
          </w:divBdr>
        </w:div>
        <w:div w:id="2076271855">
          <w:marLeft w:val="640"/>
          <w:marRight w:val="0"/>
          <w:marTop w:val="0"/>
          <w:marBottom w:val="0"/>
          <w:divBdr>
            <w:top w:val="none" w:sz="0" w:space="0" w:color="auto"/>
            <w:left w:val="none" w:sz="0" w:space="0" w:color="auto"/>
            <w:bottom w:val="none" w:sz="0" w:space="0" w:color="auto"/>
            <w:right w:val="none" w:sz="0" w:space="0" w:color="auto"/>
          </w:divBdr>
        </w:div>
        <w:div w:id="1179468361">
          <w:marLeft w:val="640"/>
          <w:marRight w:val="0"/>
          <w:marTop w:val="0"/>
          <w:marBottom w:val="0"/>
          <w:divBdr>
            <w:top w:val="none" w:sz="0" w:space="0" w:color="auto"/>
            <w:left w:val="none" w:sz="0" w:space="0" w:color="auto"/>
            <w:bottom w:val="none" w:sz="0" w:space="0" w:color="auto"/>
            <w:right w:val="none" w:sz="0" w:space="0" w:color="auto"/>
          </w:divBdr>
        </w:div>
        <w:div w:id="76901229">
          <w:marLeft w:val="640"/>
          <w:marRight w:val="0"/>
          <w:marTop w:val="0"/>
          <w:marBottom w:val="0"/>
          <w:divBdr>
            <w:top w:val="none" w:sz="0" w:space="0" w:color="auto"/>
            <w:left w:val="none" w:sz="0" w:space="0" w:color="auto"/>
            <w:bottom w:val="none" w:sz="0" w:space="0" w:color="auto"/>
            <w:right w:val="none" w:sz="0" w:space="0" w:color="auto"/>
          </w:divBdr>
        </w:div>
        <w:div w:id="1605652135">
          <w:marLeft w:val="640"/>
          <w:marRight w:val="0"/>
          <w:marTop w:val="0"/>
          <w:marBottom w:val="0"/>
          <w:divBdr>
            <w:top w:val="none" w:sz="0" w:space="0" w:color="auto"/>
            <w:left w:val="none" w:sz="0" w:space="0" w:color="auto"/>
            <w:bottom w:val="none" w:sz="0" w:space="0" w:color="auto"/>
            <w:right w:val="none" w:sz="0" w:space="0" w:color="auto"/>
          </w:divBdr>
        </w:div>
        <w:div w:id="207567832">
          <w:marLeft w:val="640"/>
          <w:marRight w:val="0"/>
          <w:marTop w:val="0"/>
          <w:marBottom w:val="0"/>
          <w:divBdr>
            <w:top w:val="none" w:sz="0" w:space="0" w:color="auto"/>
            <w:left w:val="none" w:sz="0" w:space="0" w:color="auto"/>
            <w:bottom w:val="none" w:sz="0" w:space="0" w:color="auto"/>
            <w:right w:val="none" w:sz="0" w:space="0" w:color="auto"/>
          </w:divBdr>
        </w:div>
        <w:div w:id="1932394800">
          <w:marLeft w:val="640"/>
          <w:marRight w:val="0"/>
          <w:marTop w:val="0"/>
          <w:marBottom w:val="0"/>
          <w:divBdr>
            <w:top w:val="none" w:sz="0" w:space="0" w:color="auto"/>
            <w:left w:val="none" w:sz="0" w:space="0" w:color="auto"/>
            <w:bottom w:val="none" w:sz="0" w:space="0" w:color="auto"/>
            <w:right w:val="none" w:sz="0" w:space="0" w:color="auto"/>
          </w:divBdr>
        </w:div>
        <w:div w:id="611128112">
          <w:marLeft w:val="640"/>
          <w:marRight w:val="0"/>
          <w:marTop w:val="0"/>
          <w:marBottom w:val="0"/>
          <w:divBdr>
            <w:top w:val="none" w:sz="0" w:space="0" w:color="auto"/>
            <w:left w:val="none" w:sz="0" w:space="0" w:color="auto"/>
            <w:bottom w:val="none" w:sz="0" w:space="0" w:color="auto"/>
            <w:right w:val="none" w:sz="0" w:space="0" w:color="auto"/>
          </w:divBdr>
        </w:div>
        <w:div w:id="605576618">
          <w:marLeft w:val="640"/>
          <w:marRight w:val="0"/>
          <w:marTop w:val="0"/>
          <w:marBottom w:val="0"/>
          <w:divBdr>
            <w:top w:val="none" w:sz="0" w:space="0" w:color="auto"/>
            <w:left w:val="none" w:sz="0" w:space="0" w:color="auto"/>
            <w:bottom w:val="none" w:sz="0" w:space="0" w:color="auto"/>
            <w:right w:val="none" w:sz="0" w:space="0" w:color="auto"/>
          </w:divBdr>
        </w:div>
        <w:div w:id="1952086129">
          <w:marLeft w:val="640"/>
          <w:marRight w:val="0"/>
          <w:marTop w:val="0"/>
          <w:marBottom w:val="0"/>
          <w:divBdr>
            <w:top w:val="none" w:sz="0" w:space="0" w:color="auto"/>
            <w:left w:val="none" w:sz="0" w:space="0" w:color="auto"/>
            <w:bottom w:val="none" w:sz="0" w:space="0" w:color="auto"/>
            <w:right w:val="none" w:sz="0" w:space="0" w:color="auto"/>
          </w:divBdr>
        </w:div>
        <w:div w:id="717433921">
          <w:marLeft w:val="640"/>
          <w:marRight w:val="0"/>
          <w:marTop w:val="0"/>
          <w:marBottom w:val="0"/>
          <w:divBdr>
            <w:top w:val="none" w:sz="0" w:space="0" w:color="auto"/>
            <w:left w:val="none" w:sz="0" w:space="0" w:color="auto"/>
            <w:bottom w:val="none" w:sz="0" w:space="0" w:color="auto"/>
            <w:right w:val="none" w:sz="0" w:space="0" w:color="auto"/>
          </w:divBdr>
        </w:div>
        <w:div w:id="1468864241">
          <w:marLeft w:val="640"/>
          <w:marRight w:val="0"/>
          <w:marTop w:val="0"/>
          <w:marBottom w:val="0"/>
          <w:divBdr>
            <w:top w:val="none" w:sz="0" w:space="0" w:color="auto"/>
            <w:left w:val="none" w:sz="0" w:space="0" w:color="auto"/>
            <w:bottom w:val="none" w:sz="0" w:space="0" w:color="auto"/>
            <w:right w:val="none" w:sz="0" w:space="0" w:color="auto"/>
          </w:divBdr>
        </w:div>
        <w:div w:id="506022644">
          <w:marLeft w:val="640"/>
          <w:marRight w:val="0"/>
          <w:marTop w:val="0"/>
          <w:marBottom w:val="0"/>
          <w:divBdr>
            <w:top w:val="none" w:sz="0" w:space="0" w:color="auto"/>
            <w:left w:val="none" w:sz="0" w:space="0" w:color="auto"/>
            <w:bottom w:val="none" w:sz="0" w:space="0" w:color="auto"/>
            <w:right w:val="none" w:sz="0" w:space="0" w:color="auto"/>
          </w:divBdr>
        </w:div>
        <w:div w:id="471335354">
          <w:marLeft w:val="640"/>
          <w:marRight w:val="0"/>
          <w:marTop w:val="0"/>
          <w:marBottom w:val="0"/>
          <w:divBdr>
            <w:top w:val="none" w:sz="0" w:space="0" w:color="auto"/>
            <w:left w:val="none" w:sz="0" w:space="0" w:color="auto"/>
            <w:bottom w:val="none" w:sz="0" w:space="0" w:color="auto"/>
            <w:right w:val="none" w:sz="0" w:space="0" w:color="auto"/>
          </w:divBdr>
        </w:div>
        <w:div w:id="1447699339">
          <w:marLeft w:val="640"/>
          <w:marRight w:val="0"/>
          <w:marTop w:val="0"/>
          <w:marBottom w:val="0"/>
          <w:divBdr>
            <w:top w:val="none" w:sz="0" w:space="0" w:color="auto"/>
            <w:left w:val="none" w:sz="0" w:space="0" w:color="auto"/>
            <w:bottom w:val="none" w:sz="0" w:space="0" w:color="auto"/>
            <w:right w:val="none" w:sz="0" w:space="0" w:color="auto"/>
          </w:divBdr>
        </w:div>
        <w:div w:id="794909678">
          <w:marLeft w:val="640"/>
          <w:marRight w:val="0"/>
          <w:marTop w:val="0"/>
          <w:marBottom w:val="0"/>
          <w:divBdr>
            <w:top w:val="none" w:sz="0" w:space="0" w:color="auto"/>
            <w:left w:val="none" w:sz="0" w:space="0" w:color="auto"/>
            <w:bottom w:val="none" w:sz="0" w:space="0" w:color="auto"/>
            <w:right w:val="none" w:sz="0" w:space="0" w:color="auto"/>
          </w:divBdr>
        </w:div>
        <w:div w:id="1571646787">
          <w:marLeft w:val="640"/>
          <w:marRight w:val="0"/>
          <w:marTop w:val="0"/>
          <w:marBottom w:val="0"/>
          <w:divBdr>
            <w:top w:val="none" w:sz="0" w:space="0" w:color="auto"/>
            <w:left w:val="none" w:sz="0" w:space="0" w:color="auto"/>
            <w:bottom w:val="none" w:sz="0" w:space="0" w:color="auto"/>
            <w:right w:val="none" w:sz="0" w:space="0" w:color="auto"/>
          </w:divBdr>
        </w:div>
        <w:div w:id="1466120335">
          <w:marLeft w:val="640"/>
          <w:marRight w:val="0"/>
          <w:marTop w:val="0"/>
          <w:marBottom w:val="0"/>
          <w:divBdr>
            <w:top w:val="none" w:sz="0" w:space="0" w:color="auto"/>
            <w:left w:val="none" w:sz="0" w:space="0" w:color="auto"/>
            <w:bottom w:val="none" w:sz="0" w:space="0" w:color="auto"/>
            <w:right w:val="none" w:sz="0" w:space="0" w:color="auto"/>
          </w:divBdr>
        </w:div>
        <w:div w:id="1765763384">
          <w:marLeft w:val="640"/>
          <w:marRight w:val="0"/>
          <w:marTop w:val="0"/>
          <w:marBottom w:val="0"/>
          <w:divBdr>
            <w:top w:val="none" w:sz="0" w:space="0" w:color="auto"/>
            <w:left w:val="none" w:sz="0" w:space="0" w:color="auto"/>
            <w:bottom w:val="none" w:sz="0" w:space="0" w:color="auto"/>
            <w:right w:val="none" w:sz="0" w:space="0" w:color="auto"/>
          </w:divBdr>
        </w:div>
      </w:divsChild>
    </w:div>
    <w:div w:id="537397300">
      <w:bodyDiv w:val="1"/>
      <w:marLeft w:val="0"/>
      <w:marRight w:val="0"/>
      <w:marTop w:val="0"/>
      <w:marBottom w:val="0"/>
      <w:divBdr>
        <w:top w:val="none" w:sz="0" w:space="0" w:color="auto"/>
        <w:left w:val="none" w:sz="0" w:space="0" w:color="auto"/>
        <w:bottom w:val="none" w:sz="0" w:space="0" w:color="auto"/>
        <w:right w:val="none" w:sz="0" w:space="0" w:color="auto"/>
      </w:divBdr>
    </w:div>
    <w:div w:id="538712164">
      <w:bodyDiv w:val="1"/>
      <w:marLeft w:val="0"/>
      <w:marRight w:val="0"/>
      <w:marTop w:val="0"/>
      <w:marBottom w:val="0"/>
      <w:divBdr>
        <w:top w:val="none" w:sz="0" w:space="0" w:color="auto"/>
        <w:left w:val="none" w:sz="0" w:space="0" w:color="auto"/>
        <w:bottom w:val="none" w:sz="0" w:space="0" w:color="auto"/>
        <w:right w:val="none" w:sz="0" w:space="0" w:color="auto"/>
      </w:divBdr>
    </w:div>
    <w:div w:id="539972545">
      <w:bodyDiv w:val="1"/>
      <w:marLeft w:val="0"/>
      <w:marRight w:val="0"/>
      <w:marTop w:val="0"/>
      <w:marBottom w:val="0"/>
      <w:divBdr>
        <w:top w:val="none" w:sz="0" w:space="0" w:color="auto"/>
        <w:left w:val="none" w:sz="0" w:space="0" w:color="auto"/>
        <w:bottom w:val="none" w:sz="0" w:space="0" w:color="auto"/>
        <w:right w:val="none" w:sz="0" w:space="0" w:color="auto"/>
      </w:divBdr>
    </w:div>
    <w:div w:id="541481992">
      <w:bodyDiv w:val="1"/>
      <w:marLeft w:val="0"/>
      <w:marRight w:val="0"/>
      <w:marTop w:val="0"/>
      <w:marBottom w:val="0"/>
      <w:divBdr>
        <w:top w:val="none" w:sz="0" w:space="0" w:color="auto"/>
        <w:left w:val="none" w:sz="0" w:space="0" w:color="auto"/>
        <w:bottom w:val="none" w:sz="0" w:space="0" w:color="auto"/>
        <w:right w:val="none" w:sz="0" w:space="0" w:color="auto"/>
      </w:divBdr>
    </w:div>
    <w:div w:id="541596462">
      <w:bodyDiv w:val="1"/>
      <w:marLeft w:val="0"/>
      <w:marRight w:val="0"/>
      <w:marTop w:val="0"/>
      <w:marBottom w:val="0"/>
      <w:divBdr>
        <w:top w:val="none" w:sz="0" w:space="0" w:color="auto"/>
        <w:left w:val="none" w:sz="0" w:space="0" w:color="auto"/>
        <w:bottom w:val="none" w:sz="0" w:space="0" w:color="auto"/>
        <w:right w:val="none" w:sz="0" w:space="0" w:color="auto"/>
      </w:divBdr>
    </w:div>
    <w:div w:id="543759205">
      <w:bodyDiv w:val="1"/>
      <w:marLeft w:val="0"/>
      <w:marRight w:val="0"/>
      <w:marTop w:val="0"/>
      <w:marBottom w:val="0"/>
      <w:divBdr>
        <w:top w:val="none" w:sz="0" w:space="0" w:color="auto"/>
        <w:left w:val="none" w:sz="0" w:space="0" w:color="auto"/>
        <w:bottom w:val="none" w:sz="0" w:space="0" w:color="auto"/>
        <w:right w:val="none" w:sz="0" w:space="0" w:color="auto"/>
      </w:divBdr>
    </w:div>
    <w:div w:id="543761092">
      <w:bodyDiv w:val="1"/>
      <w:marLeft w:val="0"/>
      <w:marRight w:val="0"/>
      <w:marTop w:val="0"/>
      <w:marBottom w:val="0"/>
      <w:divBdr>
        <w:top w:val="none" w:sz="0" w:space="0" w:color="auto"/>
        <w:left w:val="none" w:sz="0" w:space="0" w:color="auto"/>
        <w:bottom w:val="none" w:sz="0" w:space="0" w:color="auto"/>
        <w:right w:val="none" w:sz="0" w:space="0" w:color="auto"/>
      </w:divBdr>
    </w:div>
    <w:div w:id="544565377">
      <w:bodyDiv w:val="1"/>
      <w:marLeft w:val="0"/>
      <w:marRight w:val="0"/>
      <w:marTop w:val="0"/>
      <w:marBottom w:val="0"/>
      <w:divBdr>
        <w:top w:val="none" w:sz="0" w:space="0" w:color="auto"/>
        <w:left w:val="none" w:sz="0" w:space="0" w:color="auto"/>
        <w:bottom w:val="none" w:sz="0" w:space="0" w:color="auto"/>
        <w:right w:val="none" w:sz="0" w:space="0" w:color="auto"/>
      </w:divBdr>
    </w:div>
    <w:div w:id="546182655">
      <w:bodyDiv w:val="1"/>
      <w:marLeft w:val="0"/>
      <w:marRight w:val="0"/>
      <w:marTop w:val="0"/>
      <w:marBottom w:val="0"/>
      <w:divBdr>
        <w:top w:val="none" w:sz="0" w:space="0" w:color="auto"/>
        <w:left w:val="none" w:sz="0" w:space="0" w:color="auto"/>
        <w:bottom w:val="none" w:sz="0" w:space="0" w:color="auto"/>
        <w:right w:val="none" w:sz="0" w:space="0" w:color="auto"/>
      </w:divBdr>
    </w:div>
    <w:div w:id="546989273">
      <w:bodyDiv w:val="1"/>
      <w:marLeft w:val="0"/>
      <w:marRight w:val="0"/>
      <w:marTop w:val="0"/>
      <w:marBottom w:val="0"/>
      <w:divBdr>
        <w:top w:val="none" w:sz="0" w:space="0" w:color="auto"/>
        <w:left w:val="none" w:sz="0" w:space="0" w:color="auto"/>
        <w:bottom w:val="none" w:sz="0" w:space="0" w:color="auto"/>
        <w:right w:val="none" w:sz="0" w:space="0" w:color="auto"/>
      </w:divBdr>
    </w:div>
    <w:div w:id="550582157">
      <w:bodyDiv w:val="1"/>
      <w:marLeft w:val="0"/>
      <w:marRight w:val="0"/>
      <w:marTop w:val="0"/>
      <w:marBottom w:val="0"/>
      <w:divBdr>
        <w:top w:val="none" w:sz="0" w:space="0" w:color="auto"/>
        <w:left w:val="none" w:sz="0" w:space="0" w:color="auto"/>
        <w:bottom w:val="none" w:sz="0" w:space="0" w:color="auto"/>
        <w:right w:val="none" w:sz="0" w:space="0" w:color="auto"/>
      </w:divBdr>
    </w:div>
    <w:div w:id="550769263">
      <w:bodyDiv w:val="1"/>
      <w:marLeft w:val="0"/>
      <w:marRight w:val="0"/>
      <w:marTop w:val="0"/>
      <w:marBottom w:val="0"/>
      <w:divBdr>
        <w:top w:val="none" w:sz="0" w:space="0" w:color="auto"/>
        <w:left w:val="none" w:sz="0" w:space="0" w:color="auto"/>
        <w:bottom w:val="none" w:sz="0" w:space="0" w:color="auto"/>
        <w:right w:val="none" w:sz="0" w:space="0" w:color="auto"/>
      </w:divBdr>
    </w:div>
    <w:div w:id="553544724">
      <w:bodyDiv w:val="1"/>
      <w:marLeft w:val="0"/>
      <w:marRight w:val="0"/>
      <w:marTop w:val="0"/>
      <w:marBottom w:val="0"/>
      <w:divBdr>
        <w:top w:val="none" w:sz="0" w:space="0" w:color="auto"/>
        <w:left w:val="none" w:sz="0" w:space="0" w:color="auto"/>
        <w:bottom w:val="none" w:sz="0" w:space="0" w:color="auto"/>
        <w:right w:val="none" w:sz="0" w:space="0" w:color="auto"/>
      </w:divBdr>
    </w:div>
    <w:div w:id="555514228">
      <w:bodyDiv w:val="1"/>
      <w:marLeft w:val="0"/>
      <w:marRight w:val="0"/>
      <w:marTop w:val="0"/>
      <w:marBottom w:val="0"/>
      <w:divBdr>
        <w:top w:val="none" w:sz="0" w:space="0" w:color="auto"/>
        <w:left w:val="none" w:sz="0" w:space="0" w:color="auto"/>
        <w:bottom w:val="none" w:sz="0" w:space="0" w:color="auto"/>
        <w:right w:val="none" w:sz="0" w:space="0" w:color="auto"/>
      </w:divBdr>
    </w:div>
    <w:div w:id="557320386">
      <w:bodyDiv w:val="1"/>
      <w:marLeft w:val="0"/>
      <w:marRight w:val="0"/>
      <w:marTop w:val="0"/>
      <w:marBottom w:val="0"/>
      <w:divBdr>
        <w:top w:val="none" w:sz="0" w:space="0" w:color="auto"/>
        <w:left w:val="none" w:sz="0" w:space="0" w:color="auto"/>
        <w:bottom w:val="none" w:sz="0" w:space="0" w:color="auto"/>
        <w:right w:val="none" w:sz="0" w:space="0" w:color="auto"/>
      </w:divBdr>
    </w:div>
    <w:div w:id="558977449">
      <w:bodyDiv w:val="1"/>
      <w:marLeft w:val="0"/>
      <w:marRight w:val="0"/>
      <w:marTop w:val="0"/>
      <w:marBottom w:val="0"/>
      <w:divBdr>
        <w:top w:val="none" w:sz="0" w:space="0" w:color="auto"/>
        <w:left w:val="none" w:sz="0" w:space="0" w:color="auto"/>
        <w:bottom w:val="none" w:sz="0" w:space="0" w:color="auto"/>
        <w:right w:val="none" w:sz="0" w:space="0" w:color="auto"/>
      </w:divBdr>
    </w:div>
    <w:div w:id="559484678">
      <w:bodyDiv w:val="1"/>
      <w:marLeft w:val="0"/>
      <w:marRight w:val="0"/>
      <w:marTop w:val="0"/>
      <w:marBottom w:val="0"/>
      <w:divBdr>
        <w:top w:val="none" w:sz="0" w:space="0" w:color="auto"/>
        <w:left w:val="none" w:sz="0" w:space="0" w:color="auto"/>
        <w:bottom w:val="none" w:sz="0" w:space="0" w:color="auto"/>
        <w:right w:val="none" w:sz="0" w:space="0" w:color="auto"/>
      </w:divBdr>
    </w:div>
    <w:div w:id="565334424">
      <w:bodyDiv w:val="1"/>
      <w:marLeft w:val="0"/>
      <w:marRight w:val="0"/>
      <w:marTop w:val="0"/>
      <w:marBottom w:val="0"/>
      <w:divBdr>
        <w:top w:val="none" w:sz="0" w:space="0" w:color="auto"/>
        <w:left w:val="none" w:sz="0" w:space="0" w:color="auto"/>
        <w:bottom w:val="none" w:sz="0" w:space="0" w:color="auto"/>
        <w:right w:val="none" w:sz="0" w:space="0" w:color="auto"/>
      </w:divBdr>
    </w:div>
    <w:div w:id="567570006">
      <w:bodyDiv w:val="1"/>
      <w:marLeft w:val="0"/>
      <w:marRight w:val="0"/>
      <w:marTop w:val="0"/>
      <w:marBottom w:val="0"/>
      <w:divBdr>
        <w:top w:val="none" w:sz="0" w:space="0" w:color="auto"/>
        <w:left w:val="none" w:sz="0" w:space="0" w:color="auto"/>
        <w:bottom w:val="none" w:sz="0" w:space="0" w:color="auto"/>
        <w:right w:val="none" w:sz="0" w:space="0" w:color="auto"/>
      </w:divBdr>
    </w:div>
    <w:div w:id="567961723">
      <w:bodyDiv w:val="1"/>
      <w:marLeft w:val="0"/>
      <w:marRight w:val="0"/>
      <w:marTop w:val="0"/>
      <w:marBottom w:val="0"/>
      <w:divBdr>
        <w:top w:val="none" w:sz="0" w:space="0" w:color="auto"/>
        <w:left w:val="none" w:sz="0" w:space="0" w:color="auto"/>
        <w:bottom w:val="none" w:sz="0" w:space="0" w:color="auto"/>
        <w:right w:val="none" w:sz="0" w:space="0" w:color="auto"/>
      </w:divBdr>
    </w:div>
    <w:div w:id="568343459">
      <w:bodyDiv w:val="1"/>
      <w:marLeft w:val="0"/>
      <w:marRight w:val="0"/>
      <w:marTop w:val="0"/>
      <w:marBottom w:val="0"/>
      <w:divBdr>
        <w:top w:val="none" w:sz="0" w:space="0" w:color="auto"/>
        <w:left w:val="none" w:sz="0" w:space="0" w:color="auto"/>
        <w:bottom w:val="none" w:sz="0" w:space="0" w:color="auto"/>
        <w:right w:val="none" w:sz="0" w:space="0" w:color="auto"/>
      </w:divBdr>
    </w:div>
    <w:div w:id="568735100">
      <w:bodyDiv w:val="1"/>
      <w:marLeft w:val="0"/>
      <w:marRight w:val="0"/>
      <w:marTop w:val="0"/>
      <w:marBottom w:val="0"/>
      <w:divBdr>
        <w:top w:val="none" w:sz="0" w:space="0" w:color="auto"/>
        <w:left w:val="none" w:sz="0" w:space="0" w:color="auto"/>
        <w:bottom w:val="none" w:sz="0" w:space="0" w:color="auto"/>
        <w:right w:val="none" w:sz="0" w:space="0" w:color="auto"/>
      </w:divBdr>
    </w:div>
    <w:div w:id="574046821">
      <w:bodyDiv w:val="1"/>
      <w:marLeft w:val="0"/>
      <w:marRight w:val="0"/>
      <w:marTop w:val="0"/>
      <w:marBottom w:val="0"/>
      <w:divBdr>
        <w:top w:val="none" w:sz="0" w:space="0" w:color="auto"/>
        <w:left w:val="none" w:sz="0" w:space="0" w:color="auto"/>
        <w:bottom w:val="none" w:sz="0" w:space="0" w:color="auto"/>
        <w:right w:val="none" w:sz="0" w:space="0" w:color="auto"/>
      </w:divBdr>
    </w:div>
    <w:div w:id="574822525">
      <w:bodyDiv w:val="1"/>
      <w:marLeft w:val="0"/>
      <w:marRight w:val="0"/>
      <w:marTop w:val="0"/>
      <w:marBottom w:val="0"/>
      <w:divBdr>
        <w:top w:val="none" w:sz="0" w:space="0" w:color="auto"/>
        <w:left w:val="none" w:sz="0" w:space="0" w:color="auto"/>
        <w:bottom w:val="none" w:sz="0" w:space="0" w:color="auto"/>
        <w:right w:val="none" w:sz="0" w:space="0" w:color="auto"/>
      </w:divBdr>
    </w:div>
    <w:div w:id="583346371">
      <w:bodyDiv w:val="1"/>
      <w:marLeft w:val="0"/>
      <w:marRight w:val="0"/>
      <w:marTop w:val="0"/>
      <w:marBottom w:val="0"/>
      <w:divBdr>
        <w:top w:val="none" w:sz="0" w:space="0" w:color="auto"/>
        <w:left w:val="none" w:sz="0" w:space="0" w:color="auto"/>
        <w:bottom w:val="none" w:sz="0" w:space="0" w:color="auto"/>
        <w:right w:val="none" w:sz="0" w:space="0" w:color="auto"/>
      </w:divBdr>
    </w:div>
    <w:div w:id="585959653">
      <w:bodyDiv w:val="1"/>
      <w:marLeft w:val="0"/>
      <w:marRight w:val="0"/>
      <w:marTop w:val="0"/>
      <w:marBottom w:val="0"/>
      <w:divBdr>
        <w:top w:val="none" w:sz="0" w:space="0" w:color="auto"/>
        <w:left w:val="none" w:sz="0" w:space="0" w:color="auto"/>
        <w:bottom w:val="none" w:sz="0" w:space="0" w:color="auto"/>
        <w:right w:val="none" w:sz="0" w:space="0" w:color="auto"/>
      </w:divBdr>
    </w:div>
    <w:div w:id="593629717">
      <w:bodyDiv w:val="1"/>
      <w:marLeft w:val="0"/>
      <w:marRight w:val="0"/>
      <w:marTop w:val="0"/>
      <w:marBottom w:val="0"/>
      <w:divBdr>
        <w:top w:val="none" w:sz="0" w:space="0" w:color="auto"/>
        <w:left w:val="none" w:sz="0" w:space="0" w:color="auto"/>
        <w:bottom w:val="none" w:sz="0" w:space="0" w:color="auto"/>
        <w:right w:val="none" w:sz="0" w:space="0" w:color="auto"/>
      </w:divBdr>
    </w:div>
    <w:div w:id="595097421">
      <w:bodyDiv w:val="1"/>
      <w:marLeft w:val="0"/>
      <w:marRight w:val="0"/>
      <w:marTop w:val="0"/>
      <w:marBottom w:val="0"/>
      <w:divBdr>
        <w:top w:val="none" w:sz="0" w:space="0" w:color="auto"/>
        <w:left w:val="none" w:sz="0" w:space="0" w:color="auto"/>
        <w:bottom w:val="none" w:sz="0" w:space="0" w:color="auto"/>
        <w:right w:val="none" w:sz="0" w:space="0" w:color="auto"/>
      </w:divBdr>
    </w:div>
    <w:div w:id="597058288">
      <w:bodyDiv w:val="1"/>
      <w:marLeft w:val="0"/>
      <w:marRight w:val="0"/>
      <w:marTop w:val="0"/>
      <w:marBottom w:val="0"/>
      <w:divBdr>
        <w:top w:val="none" w:sz="0" w:space="0" w:color="auto"/>
        <w:left w:val="none" w:sz="0" w:space="0" w:color="auto"/>
        <w:bottom w:val="none" w:sz="0" w:space="0" w:color="auto"/>
        <w:right w:val="none" w:sz="0" w:space="0" w:color="auto"/>
      </w:divBdr>
    </w:div>
    <w:div w:id="602882071">
      <w:bodyDiv w:val="1"/>
      <w:marLeft w:val="0"/>
      <w:marRight w:val="0"/>
      <w:marTop w:val="0"/>
      <w:marBottom w:val="0"/>
      <w:divBdr>
        <w:top w:val="none" w:sz="0" w:space="0" w:color="auto"/>
        <w:left w:val="none" w:sz="0" w:space="0" w:color="auto"/>
        <w:bottom w:val="none" w:sz="0" w:space="0" w:color="auto"/>
        <w:right w:val="none" w:sz="0" w:space="0" w:color="auto"/>
      </w:divBdr>
    </w:div>
    <w:div w:id="603001884">
      <w:bodyDiv w:val="1"/>
      <w:marLeft w:val="0"/>
      <w:marRight w:val="0"/>
      <w:marTop w:val="0"/>
      <w:marBottom w:val="0"/>
      <w:divBdr>
        <w:top w:val="none" w:sz="0" w:space="0" w:color="auto"/>
        <w:left w:val="none" w:sz="0" w:space="0" w:color="auto"/>
        <w:bottom w:val="none" w:sz="0" w:space="0" w:color="auto"/>
        <w:right w:val="none" w:sz="0" w:space="0" w:color="auto"/>
      </w:divBdr>
    </w:div>
    <w:div w:id="603466592">
      <w:bodyDiv w:val="1"/>
      <w:marLeft w:val="0"/>
      <w:marRight w:val="0"/>
      <w:marTop w:val="0"/>
      <w:marBottom w:val="0"/>
      <w:divBdr>
        <w:top w:val="none" w:sz="0" w:space="0" w:color="auto"/>
        <w:left w:val="none" w:sz="0" w:space="0" w:color="auto"/>
        <w:bottom w:val="none" w:sz="0" w:space="0" w:color="auto"/>
        <w:right w:val="none" w:sz="0" w:space="0" w:color="auto"/>
      </w:divBdr>
    </w:div>
    <w:div w:id="604112931">
      <w:bodyDiv w:val="1"/>
      <w:marLeft w:val="0"/>
      <w:marRight w:val="0"/>
      <w:marTop w:val="0"/>
      <w:marBottom w:val="0"/>
      <w:divBdr>
        <w:top w:val="none" w:sz="0" w:space="0" w:color="auto"/>
        <w:left w:val="none" w:sz="0" w:space="0" w:color="auto"/>
        <w:bottom w:val="none" w:sz="0" w:space="0" w:color="auto"/>
        <w:right w:val="none" w:sz="0" w:space="0" w:color="auto"/>
      </w:divBdr>
    </w:div>
    <w:div w:id="605039397">
      <w:bodyDiv w:val="1"/>
      <w:marLeft w:val="0"/>
      <w:marRight w:val="0"/>
      <w:marTop w:val="0"/>
      <w:marBottom w:val="0"/>
      <w:divBdr>
        <w:top w:val="none" w:sz="0" w:space="0" w:color="auto"/>
        <w:left w:val="none" w:sz="0" w:space="0" w:color="auto"/>
        <w:bottom w:val="none" w:sz="0" w:space="0" w:color="auto"/>
        <w:right w:val="none" w:sz="0" w:space="0" w:color="auto"/>
      </w:divBdr>
    </w:div>
    <w:div w:id="606935736">
      <w:bodyDiv w:val="1"/>
      <w:marLeft w:val="0"/>
      <w:marRight w:val="0"/>
      <w:marTop w:val="0"/>
      <w:marBottom w:val="0"/>
      <w:divBdr>
        <w:top w:val="none" w:sz="0" w:space="0" w:color="auto"/>
        <w:left w:val="none" w:sz="0" w:space="0" w:color="auto"/>
        <w:bottom w:val="none" w:sz="0" w:space="0" w:color="auto"/>
        <w:right w:val="none" w:sz="0" w:space="0" w:color="auto"/>
      </w:divBdr>
    </w:div>
    <w:div w:id="607549024">
      <w:bodyDiv w:val="1"/>
      <w:marLeft w:val="0"/>
      <w:marRight w:val="0"/>
      <w:marTop w:val="0"/>
      <w:marBottom w:val="0"/>
      <w:divBdr>
        <w:top w:val="none" w:sz="0" w:space="0" w:color="auto"/>
        <w:left w:val="none" w:sz="0" w:space="0" w:color="auto"/>
        <w:bottom w:val="none" w:sz="0" w:space="0" w:color="auto"/>
        <w:right w:val="none" w:sz="0" w:space="0" w:color="auto"/>
      </w:divBdr>
    </w:div>
    <w:div w:id="609120088">
      <w:bodyDiv w:val="1"/>
      <w:marLeft w:val="0"/>
      <w:marRight w:val="0"/>
      <w:marTop w:val="0"/>
      <w:marBottom w:val="0"/>
      <w:divBdr>
        <w:top w:val="none" w:sz="0" w:space="0" w:color="auto"/>
        <w:left w:val="none" w:sz="0" w:space="0" w:color="auto"/>
        <w:bottom w:val="none" w:sz="0" w:space="0" w:color="auto"/>
        <w:right w:val="none" w:sz="0" w:space="0" w:color="auto"/>
      </w:divBdr>
    </w:div>
    <w:div w:id="609821876">
      <w:bodyDiv w:val="1"/>
      <w:marLeft w:val="0"/>
      <w:marRight w:val="0"/>
      <w:marTop w:val="0"/>
      <w:marBottom w:val="0"/>
      <w:divBdr>
        <w:top w:val="none" w:sz="0" w:space="0" w:color="auto"/>
        <w:left w:val="none" w:sz="0" w:space="0" w:color="auto"/>
        <w:bottom w:val="none" w:sz="0" w:space="0" w:color="auto"/>
        <w:right w:val="none" w:sz="0" w:space="0" w:color="auto"/>
      </w:divBdr>
    </w:div>
    <w:div w:id="612369079">
      <w:bodyDiv w:val="1"/>
      <w:marLeft w:val="0"/>
      <w:marRight w:val="0"/>
      <w:marTop w:val="0"/>
      <w:marBottom w:val="0"/>
      <w:divBdr>
        <w:top w:val="none" w:sz="0" w:space="0" w:color="auto"/>
        <w:left w:val="none" w:sz="0" w:space="0" w:color="auto"/>
        <w:bottom w:val="none" w:sz="0" w:space="0" w:color="auto"/>
        <w:right w:val="none" w:sz="0" w:space="0" w:color="auto"/>
      </w:divBdr>
    </w:div>
    <w:div w:id="613444808">
      <w:bodyDiv w:val="1"/>
      <w:marLeft w:val="0"/>
      <w:marRight w:val="0"/>
      <w:marTop w:val="0"/>
      <w:marBottom w:val="0"/>
      <w:divBdr>
        <w:top w:val="none" w:sz="0" w:space="0" w:color="auto"/>
        <w:left w:val="none" w:sz="0" w:space="0" w:color="auto"/>
        <w:bottom w:val="none" w:sz="0" w:space="0" w:color="auto"/>
        <w:right w:val="none" w:sz="0" w:space="0" w:color="auto"/>
      </w:divBdr>
    </w:div>
    <w:div w:id="615022197">
      <w:bodyDiv w:val="1"/>
      <w:marLeft w:val="0"/>
      <w:marRight w:val="0"/>
      <w:marTop w:val="0"/>
      <w:marBottom w:val="0"/>
      <w:divBdr>
        <w:top w:val="none" w:sz="0" w:space="0" w:color="auto"/>
        <w:left w:val="none" w:sz="0" w:space="0" w:color="auto"/>
        <w:bottom w:val="none" w:sz="0" w:space="0" w:color="auto"/>
        <w:right w:val="none" w:sz="0" w:space="0" w:color="auto"/>
      </w:divBdr>
    </w:div>
    <w:div w:id="617296376">
      <w:bodyDiv w:val="1"/>
      <w:marLeft w:val="0"/>
      <w:marRight w:val="0"/>
      <w:marTop w:val="0"/>
      <w:marBottom w:val="0"/>
      <w:divBdr>
        <w:top w:val="none" w:sz="0" w:space="0" w:color="auto"/>
        <w:left w:val="none" w:sz="0" w:space="0" w:color="auto"/>
        <w:bottom w:val="none" w:sz="0" w:space="0" w:color="auto"/>
        <w:right w:val="none" w:sz="0" w:space="0" w:color="auto"/>
      </w:divBdr>
    </w:div>
    <w:div w:id="618143727">
      <w:bodyDiv w:val="1"/>
      <w:marLeft w:val="0"/>
      <w:marRight w:val="0"/>
      <w:marTop w:val="0"/>
      <w:marBottom w:val="0"/>
      <w:divBdr>
        <w:top w:val="none" w:sz="0" w:space="0" w:color="auto"/>
        <w:left w:val="none" w:sz="0" w:space="0" w:color="auto"/>
        <w:bottom w:val="none" w:sz="0" w:space="0" w:color="auto"/>
        <w:right w:val="none" w:sz="0" w:space="0" w:color="auto"/>
      </w:divBdr>
    </w:div>
    <w:div w:id="619267459">
      <w:bodyDiv w:val="1"/>
      <w:marLeft w:val="0"/>
      <w:marRight w:val="0"/>
      <w:marTop w:val="0"/>
      <w:marBottom w:val="0"/>
      <w:divBdr>
        <w:top w:val="none" w:sz="0" w:space="0" w:color="auto"/>
        <w:left w:val="none" w:sz="0" w:space="0" w:color="auto"/>
        <w:bottom w:val="none" w:sz="0" w:space="0" w:color="auto"/>
        <w:right w:val="none" w:sz="0" w:space="0" w:color="auto"/>
      </w:divBdr>
    </w:div>
    <w:div w:id="621113454">
      <w:bodyDiv w:val="1"/>
      <w:marLeft w:val="0"/>
      <w:marRight w:val="0"/>
      <w:marTop w:val="0"/>
      <w:marBottom w:val="0"/>
      <w:divBdr>
        <w:top w:val="none" w:sz="0" w:space="0" w:color="auto"/>
        <w:left w:val="none" w:sz="0" w:space="0" w:color="auto"/>
        <w:bottom w:val="none" w:sz="0" w:space="0" w:color="auto"/>
        <w:right w:val="none" w:sz="0" w:space="0" w:color="auto"/>
      </w:divBdr>
    </w:div>
    <w:div w:id="631256561">
      <w:bodyDiv w:val="1"/>
      <w:marLeft w:val="0"/>
      <w:marRight w:val="0"/>
      <w:marTop w:val="0"/>
      <w:marBottom w:val="0"/>
      <w:divBdr>
        <w:top w:val="none" w:sz="0" w:space="0" w:color="auto"/>
        <w:left w:val="none" w:sz="0" w:space="0" w:color="auto"/>
        <w:bottom w:val="none" w:sz="0" w:space="0" w:color="auto"/>
        <w:right w:val="none" w:sz="0" w:space="0" w:color="auto"/>
      </w:divBdr>
    </w:div>
    <w:div w:id="632640875">
      <w:bodyDiv w:val="1"/>
      <w:marLeft w:val="0"/>
      <w:marRight w:val="0"/>
      <w:marTop w:val="0"/>
      <w:marBottom w:val="0"/>
      <w:divBdr>
        <w:top w:val="none" w:sz="0" w:space="0" w:color="auto"/>
        <w:left w:val="none" w:sz="0" w:space="0" w:color="auto"/>
        <w:bottom w:val="none" w:sz="0" w:space="0" w:color="auto"/>
        <w:right w:val="none" w:sz="0" w:space="0" w:color="auto"/>
      </w:divBdr>
      <w:divsChild>
        <w:div w:id="2033531949">
          <w:marLeft w:val="640"/>
          <w:marRight w:val="0"/>
          <w:marTop w:val="0"/>
          <w:marBottom w:val="0"/>
          <w:divBdr>
            <w:top w:val="none" w:sz="0" w:space="0" w:color="auto"/>
            <w:left w:val="none" w:sz="0" w:space="0" w:color="auto"/>
            <w:bottom w:val="none" w:sz="0" w:space="0" w:color="auto"/>
            <w:right w:val="none" w:sz="0" w:space="0" w:color="auto"/>
          </w:divBdr>
        </w:div>
        <w:div w:id="554246064">
          <w:marLeft w:val="640"/>
          <w:marRight w:val="0"/>
          <w:marTop w:val="0"/>
          <w:marBottom w:val="0"/>
          <w:divBdr>
            <w:top w:val="none" w:sz="0" w:space="0" w:color="auto"/>
            <w:left w:val="none" w:sz="0" w:space="0" w:color="auto"/>
            <w:bottom w:val="none" w:sz="0" w:space="0" w:color="auto"/>
            <w:right w:val="none" w:sz="0" w:space="0" w:color="auto"/>
          </w:divBdr>
        </w:div>
        <w:div w:id="694768431">
          <w:marLeft w:val="640"/>
          <w:marRight w:val="0"/>
          <w:marTop w:val="0"/>
          <w:marBottom w:val="0"/>
          <w:divBdr>
            <w:top w:val="none" w:sz="0" w:space="0" w:color="auto"/>
            <w:left w:val="none" w:sz="0" w:space="0" w:color="auto"/>
            <w:bottom w:val="none" w:sz="0" w:space="0" w:color="auto"/>
            <w:right w:val="none" w:sz="0" w:space="0" w:color="auto"/>
          </w:divBdr>
        </w:div>
        <w:div w:id="1211528841">
          <w:marLeft w:val="640"/>
          <w:marRight w:val="0"/>
          <w:marTop w:val="0"/>
          <w:marBottom w:val="0"/>
          <w:divBdr>
            <w:top w:val="none" w:sz="0" w:space="0" w:color="auto"/>
            <w:left w:val="none" w:sz="0" w:space="0" w:color="auto"/>
            <w:bottom w:val="none" w:sz="0" w:space="0" w:color="auto"/>
            <w:right w:val="none" w:sz="0" w:space="0" w:color="auto"/>
          </w:divBdr>
        </w:div>
        <w:div w:id="117527663">
          <w:marLeft w:val="640"/>
          <w:marRight w:val="0"/>
          <w:marTop w:val="0"/>
          <w:marBottom w:val="0"/>
          <w:divBdr>
            <w:top w:val="none" w:sz="0" w:space="0" w:color="auto"/>
            <w:left w:val="none" w:sz="0" w:space="0" w:color="auto"/>
            <w:bottom w:val="none" w:sz="0" w:space="0" w:color="auto"/>
            <w:right w:val="none" w:sz="0" w:space="0" w:color="auto"/>
          </w:divBdr>
        </w:div>
        <w:div w:id="1258757787">
          <w:marLeft w:val="640"/>
          <w:marRight w:val="0"/>
          <w:marTop w:val="0"/>
          <w:marBottom w:val="0"/>
          <w:divBdr>
            <w:top w:val="none" w:sz="0" w:space="0" w:color="auto"/>
            <w:left w:val="none" w:sz="0" w:space="0" w:color="auto"/>
            <w:bottom w:val="none" w:sz="0" w:space="0" w:color="auto"/>
            <w:right w:val="none" w:sz="0" w:space="0" w:color="auto"/>
          </w:divBdr>
        </w:div>
        <w:div w:id="695619671">
          <w:marLeft w:val="640"/>
          <w:marRight w:val="0"/>
          <w:marTop w:val="0"/>
          <w:marBottom w:val="0"/>
          <w:divBdr>
            <w:top w:val="none" w:sz="0" w:space="0" w:color="auto"/>
            <w:left w:val="none" w:sz="0" w:space="0" w:color="auto"/>
            <w:bottom w:val="none" w:sz="0" w:space="0" w:color="auto"/>
            <w:right w:val="none" w:sz="0" w:space="0" w:color="auto"/>
          </w:divBdr>
        </w:div>
        <w:div w:id="719132086">
          <w:marLeft w:val="640"/>
          <w:marRight w:val="0"/>
          <w:marTop w:val="0"/>
          <w:marBottom w:val="0"/>
          <w:divBdr>
            <w:top w:val="none" w:sz="0" w:space="0" w:color="auto"/>
            <w:left w:val="none" w:sz="0" w:space="0" w:color="auto"/>
            <w:bottom w:val="none" w:sz="0" w:space="0" w:color="auto"/>
            <w:right w:val="none" w:sz="0" w:space="0" w:color="auto"/>
          </w:divBdr>
        </w:div>
        <w:div w:id="1779333711">
          <w:marLeft w:val="640"/>
          <w:marRight w:val="0"/>
          <w:marTop w:val="0"/>
          <w:marBottom w:val="0"/>
          <w:divBdr>
            <w:top w:val="none" w:sz="0" w:space="0" w:color="auto"/>
            <w:left w:val="none" w:sz="0" w:space="0" w:color="auto"/>
            <w:bottom w:val="none" w:sz="0" w:space="0" w:color="auto"/>
            <w:right w:val="none" w:sz="0" w:space="0" w:color="auto"/>
          </w:divBdr>
        </w:div>
        <w:div w:id="1612737957">
          <w:marLeft w:val="640"/>
          <w:marRight w:val="0"/>
          <w:marTop w:val="0"/>
          <w:marBottom w:val="0"/>
          <w:divBdr>
            <w:top w:val="none" w:sz="0" w:space="0" w:color="auto"/>
            <w:left w:val="none" w:sz="0" w:space="0" w:color="auto"/>
            <w:bottom w:val="none" w:sz="0" w:space="0" w:color="auto"/>
            <w:right w:val="none" w:sz="0" w:space="0" w:color="auto"/>
          </w:divBdr>
        </w:div>
        <w:div w:id="86969305">
          <w:marLeft w:val="640"/>
          <w:marRight w:val="0"/>
          <w:marTop w:val="0"/>
          <w:marBottom w:val="0"/>
          <w:divBdr>
            <w:top w:val="none" w:sz="0" w:space="0" w:color="auto"/>
            <w:left w:val="none" w:sz="0" w:space="0" w:color="auto"/>
            <w:bottom w:val="none" w:sz="0" w:space="0" w:color="auto"/>
            <w:right w:val="none" w:sz="0" w:space="0" w:color="auto"/>
          </w:divBdr>
        </w:div>
        <w:div w:id="242615354">
          <w:marLeft w:val="640"/>
          <w:marRight w:val="0"/>
          <w:marTop w:val="0"/>
          <w:marBottom w:val="0"/>
          <w:divBdr>
            <w:top w:val="none" w:sz="0" w:space="0" w:color="auto"/>
            <w:left w:val="none" w:sz="0" w:space="0" w:color="auto"/>
            <w:bottom w:val="none" w:sz="0" w:space="0" w:color="auto"/>
            <w:right w:val="none" w:sz="0" w:space="0" w:color="auto"/>
          </w:divBdr>
        </w:div>
        <w:div w:id="875387669">
          <w:marLeft w:val="640"/>
          <w:marRight w:val="0"/>
          <w:marTop w:val="0"/>
          <w:marBottom w:val="0"/>
          <w:divBdr>
            <w:top w:val="none" w:sz="0" w:space="0" w:color="auto"/>
            <w:left w:val="none" w:sz="0" w:space="0" w:color="auto"/>
            <w:bottom w:val="none" w:sz="0" w:space="0" w:color="auto"/>
            <w:right w:val="none" w:sz="0" w:space="0" w:color="auto"/>
          </w:divBdr>
        </w:div>
        <w:div w:id="1173372564">
          <w:marLeft w:val="640"/>
          <w:marRight w:val="0"/>
          <w:marTop w:val="0"/>
          <w:marBottom w:val="0"/>
          <w:divBdr>
            <w:top w:val="none" w:sz="0" w:space="0" w:color="auto"/>
            <w:left w:val="none" w:sz="0" w:space="0" w:color="auto"/>
            <w:bottom w:val="none" w:sz="0" w:space="0" w:color="auto"/>
            <w:right w:val="none" w:sz="0" w:space="0" w:color="auto"/>
          </w:divBdr>
        </w:div>
        <w:div w:id="1412433260">
          <w:marLeft w:val="640"/>
          <w:marRight w:val="0"/>
          <w:marTop w:val="0"/>
          <w:marBottom w:val="0"/>
          <w:divBdr>
            <w:top w:val="none" w:sz="0" w:space="0" w:color="auto"/>
            <w:left w:val="none" w:sz="0" w:space="0" w:color="auto"/>
            <w:bottom w:val="none" w:sz="0" w:space="0" w:color="auto"/>
            <w:right w:val="none" w:sz="0" w:space="0" w:color="auto"/>
          </w:divBdr>
        </w:div>
        <w:div w:id="369457894">
          <w:marLeft w:val="640"/>
          <w:marRight w:val="0"/>
          <w:marTop w:val="0"/>
          <w:marBottom w:val="0"/>
          <w:divBdr>
            <w:top w:val="none" w:sz="0" w:space="0" w:color="auto"/>
            <w:left w:val="none" w:sz="0" w:space="0" w:color="auto"/>
            <w:bottom w:val="none" w:sz="0" w:space="0" w:color="auto"/>
            <w:right w:val="none" w:sz="0" w:space="0" w:color="auto"/>
          </w:divBdr>
        </w:div>
        <w:div w:id="1912042572">
          <w:marLeft w:val="640"/>
          <w:marRight w:val="0"/>
          <w:marTop w:val="0"/>
          <w:marBottom w:val="0"/>
          <w:divBdr>
            <w:top w:val="none" w:sz="0" w:space="0" w:color="auto"/>
            <w:left w:val="none" w:sz="0" w:space="0" w:color="auto"/>
            <w:bottom w:val="none" w:sz="0" w:space="0" w:color="auto"/>
            <w:right w:val="none" w:sz="0" w:space="0" w:color="auto"/>
          </w:divBdr>
        </w:div>
        <w:div w:id="1110011017">
          <w:marLeft w:val="640"/>
          <w:marRight w:val="0"/>
          <w:marTop w:val="0"/>
          <w:marBottom w:val="0"/>
          <w:divBdr>
            <w:top w:val="none" w:sz="0" w:space="0" w:color="auto"/>
            <w:left w:val="none" w:sz="0" w:space="0" w:color="auto"/>
            <w:bottom w:val="none" w:sz="0" w:space="0" w:color="auto"/>
            <w:right w:val="none" w:sz="0" w:space="0" w:color="auto"/>
          </w:divBdr>
        </w:div>
        <w:div w:id="1533416879">
          <w:marLeft w:val="640"/>
          <w:marRight w:val="0"/>
          <w:marTop w:val="0"/>
          <w:marBottom w:val="0"/>
          <w:divBdr>
            <w:top w:val="none" w:sz="0" w:space="0" w:color="auto"/>
            <w:left w:val="none" w:sz="0" w:space="0" w:color="auto"/>
            <w:bottom w:val="none" w:sz="0" w:space="0" w:color="auto"/>
            <w:right w:val="none" w:sz="0" w:space="0" w:color="auto"/>
          </w:divBdr>
        </w:div>
        <w:div w:id="2072850864">
          <w:marLeft w:val="640"/>
          <w:marRight w:val="0"/>
          <w:marTop w:val="0"/>
          <w:marBottom w:val="0"/>
          <w:divBdr>
            <w:top w:val="none" w:sz="0" w:space="0" w:color="auto"/>
            <w:left w:val="none" w:sz="0" w:space="0" w:color="auto"/>
            <w:bottom w:val="none" w:sz="0" w:space="0" w:color="auto"/>
            <w:right w:val="none" w:sz="0" w:space="0" w:color="auto"/>
          </w:divBdr>
        </w:div>
        <w:div w:id="1037198288">
          <w:marLeft w:val="640"/>
          <w:marRight w:val="0"/>
          <w:marTop w:val="0"/>
          <w:marBottom w:val="0"/>
          <w:divBdr>
            <w:top w:val="none" w:sz="0" w:space="0" w:color="auto"/>
            <w:left w:val="none" w:sz="0" w:space="0" w:color="auto"/>
            <w:bottom w:val="none" w:sz="0" w:space="0" w:color="auto"/>
            <w:right w:val="none" w:sz="0" w:space="0" w:color="auto"/>
          </w:divBdr>
        </w:div>
        <w:div w:id="938946365">
          <w:marLeft w:val="640"/>
          <w:marRight w:val="0"/>
          <w:marTop w:val="0"/>
          <w:marBottom w:val="0"/>
          <w:divBdr>
            <w:top w:val="none" w:sz="0" w:space="0" w:color="auto"/>
            <w:left w:val="none" w:sz="0" w:space="0" w:color="auto"/>
            <w:bottom w:val="none" w:sz="0" w:space="0" w:color="auto"/>
            <w:right w:val="none" w:sz="0" w:space="0" w:color="auto"/>
          </w:divBdr>
        </w:div>
        <w:div w:id="1016737163">
          <w:marLeft w:val="640"/>
          <w:marRight w:val="0"/>
          <w:marTop w:val="0"/>
          <w:marBottom w:val="0"/>
          <w:divBdr>
            <w:top w:val="none" w:sz="0" w:space="0" w:color="auto"/>
            <w:left w:val="none" w:sz="0" w:space="0" w:color="auto"/>
            <w:bottom w:val="none" w:sz="0" w:space="0" w:color="auto"/>
            <w:right w:val="none" w:sz="0" w:space="0" w:color="auto"/>
          </w:divBdr>
        </w:div>
        <w:div w:id="1406801776">
          <w:marLeft w:val="640"/>
          <w:marRight w:val="0"/>
          <w:marTop w:val="0"/>
          <w:marBottom w:val="0"/>
          <w:divBdr>
            <w:top w:val="none" w:sz="0" w:space="0" w:color="auto"/>
            <w:left w:val="none" w:sz="0" w:space="0" w:color="auto"/>
            <w:bottom w:val="none" w:sz="0" w:space="0" w:color="auto"/>
            <w:right w:val="none" w:sz="0" w:space="0" w:color="auto"/>
          </w:divBdr>
        </w:div>
        <w:div w:id="527568174">
          <w:marLeft w:val="640"/>
          <w:marRight w:val="0"/>
          <w:marTop w:val="0"/>
          <w:marBottom w:val="0"/>
          <w:divBdr>
            <w:top w:val="none" w:sz="0" w:space="0" w:color="auto"/>
            <w:left w:val="none" w:sz="0" w:space="0" w:color="auto"/>
            <w:bottom w:val="none" w:sz="0" w:space="0" w:color="auto"/>
            <w:right w:val="none" w:sz="0" w:space="0" w:color="auto"/>
          </w:divBdr>
        </w:div>
        <w:div w:id="729886667">
          <w:marLeft w:val="640"/>
          <w:marRight w:val="0"/>
          <w:marTop w:val="0"/>
          <w:marBottom w:val="0"/>
          <w:divBdr>
            <w:top w:val="none" w:sz="0" w:space="0" w:color="auto"/>
            <w:left w:val="none" w:sz="0" w:space="0" w:color="auto"/>
            <w:bottom w:val="none" w:sz="0" w:space="0" w:color="auto"/>
            <w:right w:val="none" w:sz="0" w:space="0" w:color="auto"/>
          </w:divBdr>
        </w:div>
        <w:div w:id="536888545">
          <w:marLeft w:val="640"/>
          <w:marRight w:val="0"/>
          <w:marTop w:val="0"/>
          <w:marBottom w:val="0"/>
          <w:divBdr>
            <w:top w:val="none" w:sz="0" w:space="0" w:color="auto"/>
            <w:left w:val="none" w:sz="0" w:space="0" w:color="auto"/>
            <w:bottom w:val="none" w:sz="0" w:space="0" w:color="auto"/>
            <w:right w:val="none" w:sz="0" w:space="0" w:color="auto"/>
          </w:divBdr>
        </w:div>
        <w:div w:id="139732385">
          <w:marLeft w:val="640"/>
          <w:marRight w:val="0"/>
          <w:marTop w:val="0"/>
          <w:marBottom w:val="0"/>
          <w:divBdr>
            <w:top w:val="none" w:sz="0" w:space="0" w:color="auto"/>
            <w:left w:val="none" w:sz="0" w:space="0" w:color="auto"/>
            <w:bottom w:val="none" w:sz="0" w:space="0" w:color="auto"/>
            <w:right w:val="none" w:sz="0" w:space="0" w:color="auto"/>
          </w:divBdr>
        </w:div>
        <w:div w:id="443500907">
          <w:marLeft w:val="640"/>
          <w:marRight w:val="0"/>
          <w:marTop w:val="0"/>
          <w:marBottom w:val="0"/>
          <w:divBdr>
            <w:top w:val="none" w:sz="0" w:space="0" w:color="auto"/>
            <w:left w:val="none" w:sz="0" w:space="0" w:color="auto"/>
            <w:bottom w:val="none" w:sz="0" w:space="0" w:color="auto"/>
            <w:right w:val="none" w:sz="0" w:space="0" w:color="auto"/>
          </w:divBdr>
        </w:div>
        <w:div w:id="480272646">
          <w:marLeft w:val="640"/>
          <w:marRight w:val="0"/>
          <w:marTop w:val="0"/>
          <w:marBottom w:val="0"/>
          <w:divBdr>
            <w:top w:val="none" w:sz="0" w:space="0" w:color="auto"/>
            <w:left w:val="none" w:sz="0" w:space="0" w:color="auto"/>
            <w:bottom w:val="none" w:sz="0" w:space="0" w:color="auto"/>
            <w:right w:val="none" w:sz="0" w:space="0" w:color="auto"/>
          </w:divBdr>
        </w:div>
        <w:div w:id="1438674310">
          <w:marLeft w:val="640"/>
          <w:marRight w:val="0"/>
          <w:marTop w:val="0"/>
          <w:marBottom w:val="0"/>
          <w:divBdr>
            <w:top w:val="none" w:sz="0" w:space="0" w:color="auto"/>
            <w:left w:val="none" w:sz="0" w:space="0" w:color="auto"/>
            <w:bottom w:val="none" w:sz="0" w:space="0" w:color="auto"/>
            <w:right w:val="none" w:sz="0" w:space="0" w:color="auto"/>
          </w:divBdr>
        </w:div>
        <w:div w:id="1334652221">
          <w:marLeft w:val="640"/>
          <w:marRight w:val="0"/>
          <w:marTop w:val="0"/>
          <w:marBottom w:val="0"/>
          <w:divBdr>
            <w:top w:val="none" w:sz="0" w:space="0" w:color="auto"/>
            <w:left w:val="none" w:sz="0" w:space="0" w:color="auto"/>
            <w:bottom w:val="none" w:sz="0" w:space="0" w:color="auto"/>
            <w:right w:val="none" w:sz="0" w:space="0" w:color="auto"/>
          </w:divBdr>
        </w:div>
        <w:div w:id="237251899">
          <w:marLeft w:val="640"/>
          <w:marRight w:val="0"/>
          <w:marTop w:val="0"/>
          <w:marBottom w:val="0"/>
          <w:divBdr>
            <w:top w:val="none" w:sz="0" w:space="0" w:color="auto"/>
            <w:left w:val="none" w:sz="0" w:space="0" w:color="auto"/>
            <w:bottom w:val="none" w:sz="0" w:space="0" w:color="auto"/>
            <w:right w:val="none" w:sz="0" w:space="0" w:color="auto"/>
          </w:divBdr>
        </w:div>
        <w:div w:id="1146972884">
          <w:marLeft w:val="640"/>
          <w:marRight w:val="0"/>
          <w:marTop w:val="0"/>
          <w:marBottom w:val="0"/>
          <w:divBdr>
            <w:top w:val="none" w:sz="0" w:space="0" w:color="auto"/>
            <w:left w:val="none" w:sz="0" w:space="0" w:color="auto"/>
            <w:bottom w:val="none" w:sz="0" w:space="0" w:color="auto"/>
            <w:right w:val="none" w:sz="0" w:space="0" w:color="auto"/>
          </w:divBdr>
        </w:div>
        <w:div w:id="1965766565">
          <w:marLeft w:val="640"/>
          <w:marRight w:val="0"/>
          <w:marTop w:val="0"/>
          <w:marBottom w:val="0"/>
          <w:divBdr>
            <w:top w:val="none" w:sz="0" w:space="0" w:color="auto"/>
            <w:left w:val="none" w:sz="0" w:space="0" w:color="auto"/>
            <w:bottom w:val="none" w:sz="0" w:space="0" w:color="auto"/>
            <w:right w:val="none" w:sz="0" w:space="0" w:color="auto"/>
          </w:divBdr>
        </w:div>
        <w:div w:id="1170176910">
          <w:marLeft w:val="640"/>
          <w:marRight w:val="0"/>
          <w:marTop w:val="0"/>
          <w:marBottom w:val="0"/>
          <w:divBdr>
            <w:top w:val="none" w:sz="0" w:space="0" w:color="auto"/>
            <w:left w:val="none" w:sz="0" w:space="0" w:color="auto"/>
            <w:bottom w:val="none" w:sz="0" w:space="0" w:color="auto"/>
            <w:right w:val="none" w:sz="0" w:space="0" w:color="auto"/>
          </w:divBdr>
        </w:div>
        <w:div w:id="446313755">
          <w:marLeft w:val="640"/>
          <w:marRight w:val="0"/>
          <w:marTop w:val="0"/>
          <w:marBottom w:val="0"/>
          <w:divBdr>
            <w:top w:val="none" w:sz="0" w:space="0" w:color="auto"/>
            <w:left w:val="none" w:sz="0" w:space="0" w:color="auto"/>
            <w:bottom w:val="none" w:sz="0" w:space="0" w:color="auto"/>
            <w:right w:val="none" w:sz="0" w:space="0" w:color="auto"/>
          </w:divBdr>
        </w:div>
        <w:div w:id="1613169802">
          <w:marLeft w:val="640"/>
          <w:marRight w:val="0"/>
          <w:marTop w:val="0"/>
          <w:marBottom w:val="0"/>
          <w:divBdr>
            <w:top w:val="none" w:sz="0" w:space="0" w:color="auto"/>
            <w:left w:val="none" w:sz="0" w:space="0" w:color="auto"/>
            <w:bottom w:val="none" w:sz="0" w:space="0" w:color="auto"/>
            <w:right w:val="none" w:sz="0" w:space="0" w:color="auto"/>
          </w:divBdr>
        </w:div>
        <w:div w:id="484400682">
          <w:marLeft w:val="640"/>
          <w:marRight w:val="0"/>
          <w:marTop w:val="0"/>
          <w:marBottom w:val="0"/>
          <w:divBdr>
            <w:top w:val="none" w:sz="0" w:space="0" w:color="auto"/>
            <w:left w:val="none" w:sz="0" w:space="0" w:color="auto"/>
            <w:bottom w:val="none" w:sz="0" w:space="0" w:color="auto"/>
            <w:right w:val="none" w:sz="0" w:space="0" w:color="auto"/>
          </w:divBdr>
        </w:div>
        <w:div w:id="326791877">
          <w:marLeft w:val="640"/>
          <w:marRight w:val="0"/>
          <w:marTop w:val="0"/>
          <w:marBottom w:val="0"/>
          <w:divBdr>
            <w:top w:val="none" w:sz="0" w:space="0" w:color="auto"/>
            <w:left w:val="none" w:sz="0" w:space="0" w:color="auto"/>
            <w:bottom w:val="none" w:sz="0" w:space="0" w:color="auto"/>
            <w:right w:val="none" w:sz="0" w:space="0" w:color="auto"/>
          </w:divBdr>
        </w:div>
        <w:div w:id="479883387">
          <w:marLeft w:val="640"/>
          <w:marRight w:val="0"/>
          <w:marTop w:val="0"/>
          <w:marBottom w:val="0"/>
          <w:divBdr>
            <w:top w:val="none" w:sz="0" w:space="0" w:color="auto"/>
            <w:left w:val="none" w:sz="0" w:space="0" w:color="auto"/>
            <w:bottom w:val="none" w:sz="0" w:space="0" w:color="auto"/>
            <w:right w:val="none" w:sz="0" w:space="0" w:color="auto"/>
          </w:divBdr>
        </w:div>
        <w:div w:id="1476600812">
          <w:marLeft w:val="640"/>
          <w:marRight w:val="0"/>
          <w:marTop w:val="0"/>
          <w:marBottom w:val="0"/>
          <w:divBdr>
            <w:top w:val="none" w:sz="0" w:space="0" w:color="auto"/>
            <w:left w:val="none" w:sz="0" w:space="0" w:color="auto"/>
            <w:bottom w:val="none" w:sz="0" w:space="0" w:color="auto"/>
            <w:right w:val="none" w:sz="0" w:space="0" w:color="auto"/>
          </w:divBdr>
        </w:div>
        <w:div w:id="936063563">
          <w:marLeft w:val="640"/>
          <w:marRight w:val="0"/>
          <w:marTop w:val="0"/>
          <w:marBottom w:val="0"/>
          <w:divBdr>
            <w:top w:val="none" w:sz="0" w:space="0" w:color="auto"/>
            <w:left w:val="none" w:sz="0" w:space="0" w:color="auto"/>
            <w:bottom w:val="none" w:sz="0" w:space="0" w:color="auto"/>
            <w:right w:val="none" w:sz="0" w:space="0" w:color="auto"/>
          </w:divBdr>
        </w:div>
        <w:div w:id="2035111150">
          <w:marLeft w:val="640"/>
          <w:marRight w:val="0"/>
          <w:marTop w:val="0"/>
          <w:marBottom w:val="0"/>
          <w:divBdr>
            <w:top w:val="none" w:sz="0" w:space="0" w:color="auto"/>
            <w:left w:val="none" w:sz="0" w:space="0" w:color="auto"/>
            <w:bottom w:val="none" w:sz="0" w:space="0" w:color="auto"/>
            <w:right w:val="none" w:sz="0" w:space="0" w:color="auto"/>
          </w:divBdr>
        </w:div>
        <w:div w:id="1429429530">
          <w:marLeft w:val="640"/>
          <w:marRight w:val="0"/>
          <w:marTop w:val="0"/>
          <w:marBottom w:val="0"/>
          <w:divBdr>
            <w:top w:val="none" w:sz="0" w:space="0" w:color="auto"/>
            <w:left w:val="none" w:sz="0" w:space="0" w:color="auto"/>
            <w:bottom w:val="none" w:sz="0" w:space="0" w:color="auto"/>
            <w:right w:val="none" w:sz="0" w:space="0" w:color="auto"/>
          </w:divBdr>
        </w:div>
        <w:div w:id="1691105363">
          <w:marLeft w:val="640"/>
          <w:marRight w:val="0"/>
          <w:marTop w:val="0"/>
          <w:marBottom w:val="0"/>
          <w:divBdr>
            <w:top w:val="none" w:sz="0" w:space="0" w:color="auto"/>
            <w:left w:val="none" w:sz="0" w:space="0" w:color="auto"/>
            <w:bottom w:val="none" w:sz="0" w:space="0" w:color="auto"/>
            <w:right w:val="none" w:sz="0" w:space="0" w:color="auto"/>
          </w:divBdr>
        </w:div>
        <w:div w:id="1599756861">
          <w:marLeft w:val="640"/>
          <w:marRight w:val="0"/>
          <w:marTop w:val="0"/>
          <w:marBottom w:val="0"/>
          <w:divBdr>
            <w:top w:val="none" w:sz="0" w:space="0" w:color="auto"/>
            <w:left w:val="none" w:sz="0" w:space="0" w:color="auto"/>
            <w:bottom w:val="none" w:sz="0" w:space="0" w:color="auto"/>
            <w:right w:val="none" w:sz="0" w:space="0" w:color="auto"/>
          </w:divBdr>
        </w:div>
        <w:div w:id="1955745888">
          <w:marLeft w:val="640"/>
          <w:marRight w:val="0"/>
          <w:marTop w:val="0"/>
          <w:marBottom w:val="0"/>
          <w:divBdr>
            <w:top w:val="none" w:sz="0" w:space="0" w:color="auto"/>
            <w:left w:val="none" w:sz="0" w:space="0" w:color="auto"/>
            <w:bottom w:val="none" w:sz="0" w:space="0" w:color="auto"/>
            <w:right w:val="none" w:sz="0" w:space="0" w:color="auto"/>
          </w:divBdr>
        </w:div>
        <w:div w:id="448862981">
          <w:marLeft w:val="640"/>
          <w:marRight w:val="0"/>
          <w:marTop w:val="0"/>
          <w:marBottom w:val="0"/>
          <w:divBdr>
            <w:top w:val="none" w:sz="0" w:space="0" w:color="auto"/>
            <w:left w:val="none" w:sz="0" w:space="0" w:color="auto"/>
            <w:bottom w:val="none" w:sz="0" w:space="0" w:color="auto"/>
            <w:right w:val="none" w:sz="0" w:space="0" w:color="auto"/>
          </w:divBdr>
        </w:div>
        <w:div w:id="651569096">
          <w:marLeft w:val="640"/>
          <w:marRight w:val="0"/>
          <w:marTop w:val="0"/>
          <w:marBottom w:val="0"/>
          <w:divBdr>
            <w:top w:val="none" w:sz="0" w:space="0" w:color="auto"/>
            <w:left w:val="none" w:sz="0" w:space="0" w:color="auto"/>
            <w:bottom w:val="none" w:sz="0" w:space="0" w:color="auto"/>
            <w:right w:val="none" w:sz="0" w:space="0" w:color="auto"/>
          </w:divBdr>
        </w:div>
        <w:div w:id="866142757">
          <w:marLeft w:val="640"/>
          <w:marRight w:val="0"/>
          <w:marTop w:val="0"/>
          <w:marBottom w:val="0"/>
          <w:divBdr>
            <w:top w:val="none" w:sz="0" w:space="0" w:color="auto"/>
            <w:left w:val="none" w:sz="0" w:space="0" w:color="auto"/>
            <w:bottom w:val="none" w:sz="0" w:space="0" w:color="auto"/>
            <w:right w:val="none" w:sz="0" w:space="0" w:color="auto"/>
          </w:divBdr>
        </w:div>
        <w:div w:id="2092583401">
          <w:marLeft w:val="640"/>
          <w:marRight w:val="0"/>
          <w:marTop w:val="0"/>
          <w:marBottom w:val="0"/>
          <w:divBdr>
            <w:top w:val="none" w:sz="0" w:space="0" w:color="auto"/>
            <w:left w:val="none" w:sz="0" w:space="0" w:color="auto"/>
            <w:bottom w:val="none" w:sz="0" w:space="0" w:color="auto"/>
            <w:right w:val="none" w:sz="0" w:space="0" w:color="auto"/>
          </w:divBdr>
        </w:div>
        <w:div w:id="522669098">
          <w:marLeft w:val="640"/>
          <w:marRight w:val="0"/>
          <w:marTop w:val="0"/>
          <w:marBottom w:val="0"/>
          <w:divBdr>
            <w:top w:val="none" w:sz="0" w:space="0" w:color="auto"/>
            <w:left w:val="none" w:sz="0" w:space="0" w:color="auto"/>
            <w:bottom w:val="none" w:sz="0" w:space="0" w:color="auto"/>
            <w:right w:val="none" w:sz="0" w:space="0" w:color="auto"/>
          </w:divBdr>
        </w:div>
        <w:div w:id="417138596">
          <w:marLeft w:val="640"/>
          <w:marRight w:val="0"/>
          <w:marTop w:val="0"/>
          <w:marBottom w:val="0"/>
          <w:divBdr>
            <w:top w:val="none" w:sz="0" w:space="0" w:color="auto"/>
            <w:left w:val="none" w:sz="0" w:space="0" w:color="auto"/>
            <w:bottom w:val="none" w:sz="0" w:space="0" w:color="auto"/>
            <w:right w:val="none" w:sz="0" w:space="0" w:color="auto"/>
          </w:divBdr>
        </w:div>
        <w:div w:id="620915527">
          <w:marLeft w:val="640"/>
          <w:marRight w:val="0"/>
          <w:marTop w:val="0"/>
          <w:marBottom w:val="0"/>
          <w:divBdr>
            <w:top w:val="none" w:sz="0" w:space="0" w:color="auto"/>
            <w:left w:val="none" w:sz="0" w:space="0" w:color="auto"/>
            <w:bottom w:val="none" w:sz="0" w:space="0" w:color="auto"/>
            <w:right w:val="none" w:sz="0" w:space="0" w:color="auto"/>
          </w:divBdr>
        </w:div>
        <w:div w:id="1021783130">
          <w:marLeft w:val="640"/>
          <w:marRight w:val="0"/>
          <w:marTop w:val="0"/>
          <w:marBottom w:val="0"/>
          <w:divBdr>
            <w:top w:val="none" w:sz="0" w:space="0" w:color="auto"/>
            <w:left w:val="none" w:sz="0" w:space="0" w:color="auto"/>
            <w:bottom w:val="none" w:sz="0" w:space="0" w:color="auto"/>
            <w:right w:val="none" w:sz="0" w:space="0" w:color="auto"/>
          </w:divBdr>
        </w:div>
        <w:div w:id="139883855">
          <w:marLeft w:val="640"/>
          <w:marRight w:val="0"/>
          <w:marTop w:val="0"/>
          <w:marBottom w:val="0"/>
          <w:divBdr>
            <w:top w:val="none" w:sz="0" w:space="0" w:color="auto"/>
            <w:left w:val="none" w:sz="0" w:space="0" w:color="auto"/>
            <w:bottom w:val="none" w:sz="0" w:space="0" w:color="auto"/>
            <w:right w:val="none" w:sz="0" w:space="0" w:color="auto"/>
          </w:divBdr>
        </w:div>
        <w:div w:id="1889490863">
          <w:marLeft w:val="640"/>
          <w:marRight w:val="0"/>
          <w:marTop w:val="0"/>
          <w:marBottom w:val="0"/>
          <w:divBdr>
            <w:top w:val="none" w:sz="0" w:space="0" w:color="auto"/>
            <w:left w:val="none" w:sz="0" w:space="0" w:color="auto"/>
            <w:bottom w:val="none" w:sz="0" w:space="0" w:color="auto"/>
            <w:right w:val="none" w:sz="0" w:space="0" w:color="auto"/>
          </w:divBdr>
        </w:div>
        <w:div w:id="1774396291">
          <w:marLeft w:val="640"/>
          <w:marRight w:val="0"/>
          <w:marTop w:val="0"/>
          <w:marBottom w:val="0"/>
          <w:divBdr>
            <w:top w:val="none" w:sz="0" w:space="0" w:color="auto"/>
            <w:left w:val="none" w:sz="0" w:space="0" w:color="auto"/>
            <w:bottom w:val="none" w:sz="0" w:space="0" w:color="auto"/>
            <w:right w:val="none" w:sz="0" w:space="0" w:color="auto"/>
          </w:divBdr>
        </w:div>
        <w:div w:id="1884904673">
          <w:marLeft w:val="640"/>
          <w:marRight w:val="0"/>
          <w:marTop w:val="0"/>
          <w:marBottom w:val="0"/>
          <w:divBdr>
            <w:top w:val="none" w:sz="0" w:space="0" w:color="auto"/>
            <w:left w:val="none" w:sz="0" w:space="0" w:color="auto"/>
            <w:bottom w:val="none" w:sz="0" w:space="0" w:color="auto"/>
            <w:right w:val="none" w:sz="0" w:space="0" w:color="auto"/>
          </w:divBdr>
        </w:div>
        <w:div w:id="1182167491">
          <w:marLeft w:val="640"/>
          <w:marRight w:val="0"/>
          <w:marTop w:val="0"/>
          <w:marBottom w:val="0"/>
          <w:divBdr>
            <w:top w:val="none" w:sz="0" w:space="0" w:color="auto"/>
            <w:left w:val="none" w:sz="0" w:space="0" w:color="auto"/>
            <w:bottom w:val="none" w:sz="0" w:space="0" w:color="auto"/>
            <w:right w:val="none" w:sz="0" w:space="0" w:color="auto"/>
          </w:divBdr>
        </w:div>
        <w:div w:id="1725641086">
          <w:marLeft w:val="640"/>
          <w:marRight w:val="0"/>
          <w:marTop w:val="0"/>
          <w:marBottom w:val="0"/>
          <w:divBdr>
            <w:top w:val="none" w:sz="0" w:space="0" w:color="auto"/>
            <w:left w:val="none" w:sz="0" w:space="0" w:color="auto"/>
            <w:bottom w:val="none" w:sz="0" w:space="0" w:color="auto"/>
            <w:right w:val="none" w:sz="0" w:space="0" w:color="auto"/>
          </w:divBdr>
        </w:div>
        <w:div w:id="1431004154">
          <w:marLeft w:val="640"/>
          <w:marRight w:val="0"/>
          <w:marTop w:val="0"/>
          <w:marBottom w:val="0"/>
          <w:divBdr>
            <w:top w:val="none" w:sz="0" w:space="0" w:color="auto"/>
            <w:left w:val="none" w:sz="0" w:space="0" w:color="auto"/>
            <w:bottom w:val="none" w:sz="0" w:space="0" w:color="auto"/>
            <w:right w:val="none" w:sz="0" w:space="0" w:color="auto"/>
          </w:divBdr>
        </w:div>
        <w:div w:id="178081783">
          <w:marLeft w:val="640"/>
          <w:marRight w:val="0"/>
          <w:marTop w:val="0"/>
          <w:marBottom w:val="0"/>
          <w:divBdr>
            <w:top w:val="none" w:sz="0" w:space="0" w:color="auto"/>
            <w:left w:val="none" w:sz="0" w:space="0" w:color="auto"/>
            <w:bottom w:val="none" w:sz="0" w:space="0" w:color="auto"/>
            <w:right w:val="none" w:sz="0" w:space="0" w:color="auto"/>
          </w:divBdr>
        </w:div>
        <w:div w:id="1313826095">
          <w:marLeft w:val="640"/>
          <w:marRight w:val="0"/>
          <w:marTop w:val="0"/>
          <w:marBottom w:val="0"/>
          <w:divBdr>
            <w:top w:val="none" w:sz="0" w:space="0" w:color="auto"/>
            <w:left w:val="none" w:sz="0" w:space="0" w:color="auto"/>
            <w:bottom w:val="none" w:sz="0" w:space="0" w:color="auto"/>
            <w:right w:val="none" w:sz="0" w:space="0" w:color="auto"/>
          </w:divBdr>
        </w:div>
        <w:div w:id="1508910350">
          <w:marLeft w:val="640"/>
          <w:marRight w:val="0"/>
          <w:marTop w:val="0"/>
          <w:marBottom w:val="0"/>
          <w:divBdr>
            <w:top w:val="none" w:sz="0" w:space="0" w:color="auto"/>
            <w:left w:val="none" w:sz="0" w:space="0" w:color="auto"/>
            <w:bottom w:val="none" w:sz="0" w:space="0" w:color="auto"/>
            <w:right w:val="none" w:sz="0" w:space="0" w:color="auto"/>
          </w:divBdr>
        </w:div>
        <w:div w:id="777524990">
          <w:marLeft w:val="640"/>
          <w:marRight w:val="0"/>
          <w:marTop w:val="0"/>
          <w:marBottom w:val="0"/>
          <w:divBdr>
            <w:top w:val="none" w:sz="0" w:space="0" w:color="auto"/>
            <w:left w:val="none" w:sz="0" w:space="0" w:color="auto"/>
            <w:bottom w:val="none" w:sz="0" w:space="0" w:color="auto"/>
            <w:right w:val="none" w:sz="0" w:space="0" w:color="auto"/>
          </w:divBdr>
        </w:div>
        <w:div w:id="261039159">
          <w:marLeft w:val="640"/>
          <w:marRight w:val="0"/>
          <w:marTop w:val="0"/>
          <w:marBottom w:val="0"/>
          <w:divBdr>
            <w:top w:val="none" w:sz="0" w:space="0" w:color="auto"/>
            <w:left w:val="none" w:sz="0" w:space="0" w:color="auto"/>
            <w:bottom w:val="none" w:sz="0" w:space="0" w:color="auto"/>
            <w:right w:val="none" w:sz="0" w:space="0" w:color="auto"/>
          </w:divBdr>
        </w:div>
        <w:div w:id="1889486905">
          <w:marLeft w:val="640"/>
          <w:marRight w:val="0"/>
          <w:marTop w:val="0"/>
          <w:marBottom w:val="0"/>
          <w:divBdr>
            <w:top w:val="none" w:sz="0" w:space="0" w:color="auto"/>
            <w:left w:val="none" w:sz="0" w:space="0" w:color="auto"/>
            <w:bottom w:val="none" w:sz="0" w:space="0" w:color="auto"/>
            <w:right w:val="none" w:sz="0" w:space="0" w:color="auto"/>
          </w:divBdr>
        </w:div>
        <w:div w:id="1262759719">
          <w:marLeft w:val="640"/>
          <w:marRight w:val="0"/>
          <w:marTop w:val="0"/>
          <w:marBottom w:val="0"/>
          <w:divBdr>
            <w:top w:val="none" w:sz="0" w:space="0" w:color="auto"/>
            <w:left w:val="none" w:sz="0" w:space="0" w:color="auto"/>
            <w:bottom w:val="none" w:sz="0" w:space="0" w:color="auto"/>
            <w:right w:val="none" w:sz="0" w:space="0" w:color="auto"/>
          </w:divBdr>
        </w:div>
        <w:div w:id="207491700">
          <w:marLeft w:val="640"/>
          <w:marRight w:val="0"/>
          <w:marTop w:val="0"/>
          <w:marBottom w:val="0"/>
          <w:divBdr>
            <w:top w:val="none" w:sz="0" w:space="0" w:color="auto"/>
            <w:left w:val="none" w:sz="0" w:space="0" w:color="auto"/>
            <w:bottom w:val="none" w:sz="0" w:space="0" w:color="auto"/>
            <w:right w:val="none" w:sz="0" w:space="0" w:color="auto"/>
          </w:divBdr>
        </w:div>
        <w:div w:id="1888298868">
          <w:marLeft w:val="640"/>
          <w:marRight w:val="0"/>
          <w:marTop w:val="0"/>
          <w:marBottom w:val="0"/>
          <w:divBdr>
            <w:top w:val="none" w:sz="0" w:space="0" w:color="auto"/>
            <w:left w:val="none" w:sz="0" w:space="0" w:color="auto"/>
            <w:bottom w:val="none" w:sz="0" w:space="0" w:color="auto"/>
            <w:right w:val="none" w:sz="0" w:space="0" w:color="auto"/>
          </w:divBdr>
        </w:div>
        <w:div w:id="236139405">
          <w:marLeft w:val="640"/>
          <w:marRight w:val="0"/>
          <w:marTop w:val="0"/>
          <w:marBottom w:val="0"/>
          <w:divBdr>
            <w:top w:val="none" w:sz="0" w:space="0" w:color="auto"/>
            <w:left w:val="none" w:sz="0" w:space="0" w:color="auto"/>
            <w:bottom w:val="none" w:sz="0" w:space="0" w:color="auto"/>
            <w:right w:val="none" w:sz="0" w:space="0" w:color="auto"/>
          </w:divBdr>
        </w:div>
        <w:div w:id="965232290">
          <w:marLeft w:val="640"/>
          <w:marRight w:val="0"/>
          <w:marTop w:val="0"/>
          <w:marBottom w:val="0"/>
          <w:divBdr>
            <w:top w:val="none" w:sz="0" w:space="0" w:color="auto"/>
            <w:left w:val="none" w:sz="0" w:space="0" w:color="auto"/>
            <w:bottom w:val="none" w:sz="0" w:space="0" w:color="auto"/>
            <w:right w:val="none" w:sz="0" w:space="0" w:color="auto"/>
          </w:divBdr>
        </w:div>
        <w:div w:id="1367831739">
          <w:marLeft w:val="640"/>
          <w:marRight w:val="0"/>
          <w:marTop w:val="0"/>
          <w:marBottom w:val="0"/>
          <w:divBdr>
            <w:top w:val="none" w:sz="0" w:space="0" w:color="auto"/>
            <w:left w:val="none" w:sz="0" w:space="0" w:color="auto"/>
            <w:bottom w:val="none" w:sz="0" w:space="0" w:color="auto"/>
            <w:right w:val="none" w:sz="0" w:space="0" w:color="auto"/>
          </w:divBdr>
        </w:div>
        <w:div w:id="1714379601">
          <w:marLeft w:val="640"/>
          <w:marRight w:val="0"/>
          <w:marTop w:val="0"/>
          <w:marBottom w:val="0"/>
          <w:divBdr>
            <w:top w:val="none" w:sz="0" w:space="0" w:color="auto"/>
            <w:left w:val="none" w:sz="0" w:space="0" w:color="auto"/>
            <w:bottom w:val="none" w:sz="0" w:space="0" w:color="auto"/>
            <w:right w:val="none" w:sz="0" w:space="0" w:color="auto"/>
          </w:divBdr>
        </w:div>
        <w:div w:id="1213418861">
          <w:marLeft w:val="640"/>
          <w:marRight w:val="0"/>
          <w:marTop w:val="0"/>
          <w:marBottom w:val="0"/>
          <w:divBdr>
            <w:top w:val="none" w:sz="0" w:space="0" w:color="auto"/>
            <w:left w:val="none" w:sz="0" w:space="0" w:color="auto"/>
            <w:bottom w:val="none" w:sz="0" w:space="0" w:color="auto"/>
            <w:right w:val="none" w:sz="0" w:space="0" w:color="auto"/>
          </w:divBdr>
        </w:div>
        <w:div w:id="2027175425">
          <w:marLeft w:val="640"/>
          <w:marRight w:val="0"/>
          <w:marTop w:val="0"/>
          <w:marBottom w:val="0"/>
          <w:divBdr>
            <w:top w:val="none" w:sz="0" w:space="0" w:color="auto"/>
            <w:left w:val="none" w:sz="0" w:space="0" w:color="auto"/>
            <w:bottom w:val="none" w:sz="0" w:space="0" w:color="auto"/>
            <w:right w:val="none" w:sz="0" w:space="0" w:color="auto"/>
          </w:divBdr>
        </w:div>
        <w:div w:id="1438479619">
          <w:marLeft w:val="640"/>
          <w:marRight w:val="0"/>
          <w:marTop w:val="0"/>
          <w:marBottom w:val="0"/>
          <w:divBdr>
            <w:top w:val="none" w:sz="0" w:space="0" w:color="auto"/>
            <w:left w:val="none" w:sz="0" w:space="0" w:color="auto"/>
            <w:bottom w:val="none" w:sz="0" w:space="0" w:color="auto"/>
            <w:right w:val="none" w:sz="0" w:space="0" w:color="auto"/>
          </w:divBdr>
        </w:div>
        <w:div w:id="520975061">
          <w:marLeft w:val="640"/>
          <w:marRight w:val="0"/>
          <w:marTop w:val="0"/>
          <w:marBottom w:val="0"/>
          <w:divBdr>
            <w:top w:val="none" w:sz="0" w:space="0" w:color="auto"/>
            <w:left w:val="none" w:sz="0" w:space="0" w:color="auto"/>
            <w:bottom w:val="none" w:sz="0" w:space="0" w:color="auto"/>
            <w:right w:val="none" w:sz="0" w:space="0" w:color="auto"/>
          </w:divBdr>
        </w:div>
        <w:div w:id="126092756">
          <w:marLeft w:val="640"/>
          <w:marRight w:val="0"/>
          <w:marTop w:val="0"/>
          <w:marBottom w:val="0"/>
          <w:divBdr>
            <w:top w:val="none" w:sz="0" w:space="0" w:color="auto"/>
            <w:left w:val="none" w:sz="0" w:space="0" w:color="auto"/>
            <w:bottom w:val="none" w:sz="0" w:space="0" w:color="auto"/>
            <w:right w:val="none" w:sz="0" w:space="0" w:color="auto"/>
          </w:divBdr>
        </w:div>
        <w:div w:id="523447212">
          <w:marLeft w:val="640"/>
          <w:marRight w:val="0"/>
          <w:marTop w:val="0"/>
          <w:marBottom w:val="0"/>
          <w:divBdr>
            <w:top w:val="none" w:sz="0" w:space="0" w:color="auto"/>
            <w:left w:val="none" w:sz="0" w:space="0" w:color="auto"/>
            <w:bottom w:val="none" w:sz="0" w:space="0" w:color="auto"/>
            <w:right w:val="none" w:sz="0" w:space="0" w:color="auto"/>
          </w:divBdr>
        </w:div>
        <w:div w:id="1893611976">
          <w:marLeft w:val="640"/>
          <w:marRight w:val="0"/>
          <w:marTop w:val="0"/>
          <w:marBottom w:val="0"/>
          <w:divBdr>
            <w:top w:val="none" w:sz="0" w:space="0" w:color="auto"/>
            <w:left w:val="none" w:sz="0" w:space="0" w:color="auto"/>
            <w:bottom w:val="none" w:sz="0" w:space="0" w:color="auto"/>
            <w:right w:val="none" w:sz="0" w:space="0" w:color="auto"/>
          </w:divBdr>
        </w:div>
        <w:div w:id="937760286">
          <w:marLeft w:val="640"/>
          <w:marRight w:val="0"/>
          <w:marTop w:val="0"/>
          <w:marBottom w:val="0"/>
          <w:divBdr>
            <w:top w:val="none" w:sz="0" w:space="0" w:color="auto"/>
            <w:left w:val="none" w:sz="0" w:space="0" w:color="auto"/>
            <w:bottom w:val="none" w:sz="0" w:space="0" w:color="auto"/>
            <w:right w:val="none" w:sz="0" w:space="0" w:color="auto"/>
          </w:divBdr>
        </w:div>
        <w:div w:id="200898375">
          <w:marLeft w:val="640"/>
          <w:marRight w:val="0"/>
          <w:marTop w:val="0"/>
          <w:marBottom w:val="0"/>
          <w:divBdr>
            <w:top w:val="none" w:sz="0" w:space="0" w:color="auto"/>
            <w:left w:val="none" w:sz="0" w:space="0" w:color="auto"/>
            <w:bottom w:val="none" w:sz="0" w:space="0" w:color="auto"/>
            <w:right w:val="none" w:sz="0" w:space="0" w:color="auto"/>
          </w:divBdr>
        </w:div>
        <w:div w:id="18942938">
          <w:marLeft w:val="640"/>
          <w:marRight w:val="0"/>
          <w:marTop w:val="0"/>
          <w:marBottom w:val="0"/>
          <w:divBdr>
            <w:top w:val="none" w:sz="0" w:space="0" w:color="auto"/>
            <w:left w:val="none" w:sz="0" w:space="0" w:color="auto"/>
            <w:bottom w:val="none" w:sz="0" w:space="0" w:color="auto"/>
            <w:right w:val="none" w:sz="0" w:space="0" w:color="auto"/>
          </w:divBdr>
        </w:div>
        <w:div w:id="589462267">
          <w:marLeft w:val="640"/>
          <w:marRight w:val="0"/>
          <w:marTop w:val="0"/>
          <w:marBottom w:val="0"/>
          <w:divBdr>
            <w:top w:val="none" w:sz="0" w:space="0" w:color="auto"/>
            <w:left w:val="none" w:sz="0" w:space="0" w:color="auto"/>
            <w:bottom w:val="none" w:sz="0" w:space="0" w:color="auto"/>
            <w:right w:val="none" w:sz="0" w:space="0" w:color="auto"/>
          </w:divBdr>
        </w:div>
        <w:div w:id="270822978">
          <w:marLeft w:val="640"/>
          <w:marRight w:val="0"/>
          <w:marTop w:val="0"/>
          <w:marBottom w:val="0"/>
          <w:divBdr>
            <w:top w:val="none" w:sz="0" w:space="0" w:color="auto"/>
            <w:left w:val="none" w:sz="0" w:space="0" w:color="auto"/>
            <w:bottom w:val="none" w:sz="0" w:space="0" w:color="auto"/>
            <w:right w:val="none" w:sz="0" w:space="0" w:color="auto"/>
          </w:divBdr>
        </w:div>
        <w:div w:id="131290274">
          <w:marLeft w:val="640"/>
          <w:marRight w:val="0"/>
          <w:marTop w:val="0"/>
          <w:marBottom w:val="0"/>
          <w:divBdr>
            <w:top w:val="none" w:sz="0" w:space="0" w:color="auto"/>
            <w:left w:val="none" w:sz="0" w:space="0" w:color="auto"/>
            <w:bottom w:val="none" w:sz="0" w:space="0" w:color="auto"/>
            <w:right w:val="none" w:sz="0" w:space="0" w:color="auto"/>
          </w:divBdr>
        </w:div>
        <w:div w:id="1890877099">
          <w:marLeft w:val="640"/>
          <w:marRight w:val="0"/>
          <w:marTop w:val="0"/>
          <w:marBottom w:val="0"/>
          <w:divBdr>
            <w:top w:val="none" w:sz="0" w:space="0" w:color="auto"/>
            <w:left w:val="none" w:sz="0" w:space="0" w:color="auto"/>
            <w:bottom w:val="none" w:sz="0" w:space="0" w:color="auto"/>
            <w:right w:val="none" w:sz="0" w:space="0" w:color="auto"/>
          </w:divBdr>
        </w:div>
        <w:div w:id="174880330">
          <w:marLeft w:val="640"/>
          <w:marRight w:val="0"/>
          <w:marTop w:val="0"/>
          <w:marBottom w:val="0"/>
          <w:divBdr>
            <w:top w:val="none" w:sz="0" w:space="0" w:color="auto"/>
            <w:left w:val="none" w:sz="0" w:space="0" w:color="auto"/>
            <w:bottom w:val="none" w:sz="0" w:space="0" w:color="auto"/>
            <w:right w:val="none" w:sz="0" w:space="0" w:color="auto"/>
          </w:divBdr>
        </w:div>
        <w:div w:id="432167767">
          <w:marLeft w:val="640"/>
          <w:marRight w:val="0"/>
          <w:marTop w:val="0"/>
          <w:marBottom w:val="0"/>
          <w:divBdr>
            <w:top w:val="none" w:sz="0" w:space="0" w:color="auto"/>
            <w:left w:val="none" w:sz="0" w:space="0" w:color="auto"/>
            <w:bottom w:val="none" w:sz="0" w:space="0" w:color="auto"/>
            <w:right w:val="none" w:sz="0" w:space="0" w:color="auto"/>
          </w:divBdr>
        </w:div>
        <w:div w:id="862323253">
          <w:marLeft w:val="640"/>
          <w:marRight w:val="0"/>
          <w:marTop w:val="0"/>
          <w:marBottom w:val="0"/>
          <w:divBdr>
            <w:top w:val="none" w:sz="0" w:space="0" w:color="auto"/>
            <w:left w:val="none" w:sz="0" w:space="0" w:color="auto"/>
            <w:bottom w:val="none" w:sz="0" w:space="0" w:color="auto"/>
            <w:right w:val="none" w:sz="0" w:space="0" w:color="auto"/>
          </w:divBdr>
        </w:div>
        <w:div w:id="931205372">
          <w:marLeft w:val="640"/>
          <w:marRight w:val="0"/>
          <w:marTop w:val="0"/>
          <w:marBottom w:val="0"/>
          <w:divBdr>
            <w:top w:val="none" w:sz="0" w:space="0" w:color="auto"/>
            <w:left w:val="none" w:sz="0" w:space="0" w:color="auto"/>
            <w:bottom w:val="none" w:sz="0" w:space="0" w:color="auto"/>
            <w:right w:val="none" w:sz="0" w:space="0" w:color="auto"/>
          </w:divBdr>
        </w:div>
        <w:div w:id="505903985">
          <w:marLeft w:val="640"/>
          <w:marRight w:val="0"/>
          <w:marTop w:val="0"/>
          <w:marBottom w:val="0"/>
          <w:divBdr>
            <w:top w:val="none" w:sz="0" w:space="0" w:color="auto"/>
            <w:left w:val="none" w:sz="0" w:space="0" w:color="auto"/>
            <w:bottom w:val="none" w:sz="0" w:space="0" w:color="auto"/>
            <w:right w:val="none" w:sz="0" w:space="0" w:color="auto"/>
          </w:divBdr>
        </w:div>
        <w:div w:id="1449272444">
          <w:marLeft w:val="640"/>
          <w:marRight w:val="0"/>
          <w:marTop w:val="0"/>
          <w:marBottom w:val="0"/>
          <w:divBdr>
            <w:top w:val="none" w:sz="0" w:space="0" w:color="auto"/>
            <w:left w:val="none" w:sz="0" w:space="0" w:color="auto"/>
            <w:bottom w:val="none" w:sz="0" w:space="0" w:color="auto"/>
            <w:right w:val="none" w:sz="0" w:space="0" w:color="auto"/>
          </w:divBdr>
        </w:div>
        <w:div w:id="692072058">
          <w:marLeft w:val="640"/>
          <w:marRight w:val="0"/>
          <w:marTop w:val="0"/>
          <w:marBottom w:val="0"/>
          <w:divBdr>
            <w:top w:val="none" w:sz="0" w:space="0" w:color="auto"/>
            <w:left w:val="none" w:sz="0" w:space="0" w:color="auto"/>
            <w:bottom w:val="none" w:sz="0" w:space="0" w:color="auto"/>
            <w:right w:val="none" w:sz="0" w:space="0" w:color="auto"/>
          </w:divBdr>
        </w:div>
        <w:div w:id="78794104">
          <w:marLeft w:val="640"/>
          <w:marRight w:val="0"/>
          <w:marTop w:val="0"/>
          <w:marBottom w:val="0"/>
          <w:divBdr>
            <w:top w:val="none" w:sz="0" w:space="0" w:color="auto"/>
            <w:left w:val="none" w:sz="0" w:space="0" w:color="auto"/>
            <w:bottom w:val="none" w:sz="0" w:space="0" w:color="auto"/>
            <w:right w:val="none" w:sz="0" w:space="0" w:color="auto"/>
          </w:divBdr>
        </w:div>
        <w:div w:id="508519277">
          <w:marLeft w:val="640"/>
          <w:marRight w:val="0"/>
          <w:marTop w:val="0"/>
          <w:marBottom w:val="0"/>
          <w:divBdr>
            <w:top w:val="none" w:sz="0" w:space="0" w:color="auto"/>
            <w:left w:val="none" w:sz="0" w:space="0" w:color="auto"/>
            <w:bottom w:val="none" w:sz="0" w:space="0" w:color="auto"/>
            <w:right w:val="none" w:sz="0" w:space="0" w:color="auto"/>
          </w:divBdr>
        </w:div>
        <w:div w:id="1948736582">
          <w:marLeft w:val="640"/>
          <w:marRight w:val="0"/>
          <w:marTop w:val="0"/>
          <w:marBottom w:val="0"/>
          <w:divBdr>
            <w:top w:val="none" w:sz="0" w:space="0" w:color="auto"/>
            <w:left w:val="none" w:sz="0" w:space="0" w:color="auto"/>
            <w:bottom w:val="none" w:sz="0" w:space="0" w:color="auto"/>
            <w:right w:val="none" w:sz="0" w:space="0" w:color="auto"/>
          </w:divBdr>
        </w:div>
        <w:div w:id="55865263">
          <w:marLeft w:val="640"/>
          <w:marRight w:val="0"/>
          <w:marTop w:val="0"/>
          <w:marBottom w:val="0"/>
          <w:divBdr>
            <w:top w:val="none" w:sz="0" w:space="0" w:color="auto"/>
            <w:left w:val="none" w:sz="0" w:space="0" w:color="auto"/>
            <w:bottom w:val="none" w:sz="0" w:space="0" w:color="auto"/>
            <w:right w:val="none" w:sz="0" w:space="0" w:color="auto"/>
          </w:divBdr>
        </w:div>
        <w:div w:id="678627430">
          <w:marLeft w:val="640"/>
          <w:marRight w:val="0"/>
          <w:marTop w:val="0"/>
          <w:marBottom w:val="0"/>
          <w:divBdr>
            <w:top w:val="none" w:sz="0" w:space="0" w:color="auto"/>
            <w:left w:val="none" w:sz="0" w:space="0" w:color="auto"/>
            <w:bottom w:val="none" w:sz="0" w:space="0" w:color="auto"/>
            <w:right w:val="none" w:sz="0" w:space="0" w:color="auto"/>
          </w:divBdr>
        </w:div>
        <w:div w:id="889071295">
          <w:marLeft w:val="640"/>
          <w:marRight w:val="0"/>
          <w:marTop w:val="0"/>
          <w:marBottom w:val="0"/>
          <w:divBdr>
            <w:top w:val="none" w:sz="0" w:space="0" w:color="auto"/>
            <w:left w:val="none" w:sz="0" w:space="0" w:color="auto"/>
            <w:bottom w:val="none" w:sz="0" w:space="0" w:color="auto"/>
            <w:right w:val="none" w:sz="0" w:space="0" w:color="auto"/>
          </w:divBdr>
        </w:div>
        <w:div w:id="76173114">
          <w:marLeft w:val="640"/>
          <w:marRight w:val="0"/>
          <w:marTop w:val="0"/>
          <w:marBottom w:val="0"/>
          <w:divBdr>
            <w:top w:val="none" w:sz="0" w:space="0" w:color="auto"/>
            <w:left w:val="none" w:sz="0" w:space="0" w:color="auto"/>
            <w:bottom w:val="none" w:sz="0" w:space="0" w:color="auto"/>
            <w:right w:val="none" w:sz="0" w:space="0" w:color="auto"/>
          </w:divBdr>
        </w:div>
        <w:div w:id="1952125208">
          <w:marLeft w:val="640"/>
          <w:marRight w:val="0"/>
          <w:marTop w:val="0"/>
          <w:marBottom w:val="0"/>
          <w:divBdr>
            <w:top w:val="none" w:sz="0" w:space="0" w:color="auto"/>
            <w:left w:val="none" w:sz="0" w:space="0" w:color="auto"/>
            <w:bottom w:val="none" w:sz="0" w:space="0" w:color="auto"/>
            <w:right w:val="none" w:sz="0" w:space="0" w:color="auto"/>
          </w:divBdr>
        </w:div>
        <w:div w:id="1280532780">
          <w:marLeft w:val="640"/>
          <w:marRight w:val="0"/>
          <w:marTop w:val="0"/>
          <w:marBottom w:val="0"/>
          <w:divBdr>
            <w:top w:val="none" w:sz="0" w:space="0" w:color="auto"/>
            <w:left w:val="none" w:sz="0" w:space="0" w:color="auto"/>
            <w:bottom w:val="none" w:sz="0" w:space="0" w:color="auto"/>
            <w:right w:val="none" w:sz="0" w:space="0" w:color="auto"/>
          </w:divBdr>
        </w:div>
        <w:div w:id="127474091">
          <w:marLeft w:val="640"/>
          <w:marRight w:val="0"/>
          <w:marTop w:val="0"/>
          <w:marBottom w:val="0"/>
          <w:divBdr>
            <w:top w:val="none" w:sz="0" w:space="0" w:color="auto"/>
            <w:left w:val="none" w:sz="0" w:space="0" w:color="auto"/>
            <w:bottom w:val="none" w:sz="0" w:space="0" w:color="auto"/>
            <w:right w:val="none" w:sz="0" w:space="0" w:color="auto"/>
          </w:divBdr>
        </w:div>
        <w:div w:id="1111820030">
          <w:marLeft w:val="640"/>
          <w:marRight w:val="0"/>
          <w:marTop w:val="0"/>
          <w:marBottom w:val="0"/>
          <w:divBdr>
            <w:top w:val="none" w:sz="0" w:space="0" w:color="auto"/>
            <w:left w:val="none" w:sz="0" w:space="0" w:color="auto"/>
            <w:bottom w:val="none" w:sz="0" w:space="0" w:color="auto"/>
            <w:right w:val="none" w:sz="0" w:space="0" w:color="auto"/>
          </w:divBdr>
        </w:div>
        <w:div w:id="1158224520">
          <w:marLeft w:val="640"/>
          <w:marRight w:val="0"/>
          <w:marTop w:val="0"/>
          <w:marBottom w:val="0"/>
          <w:divBdr>
            <w:top w:val="none" w:sz="0" w:space="0" w:color="auto"/>
            <w:left w:val="none" w:sz="0" w:space="0" w:color="auto"/>
            <w:bottom w:val="none" w:sz="0" w:space="0" w:color="auto"/>
            <w:right w:val="none" w:sz="0" w:space="0" w:color="auto"/>
          </w:divBdr>
        </w:div>
        <w:div w:id="1517380054">
          <w:marLeft w:val="640"/>
          <w:marRight w:val="0"/>
          <w:marTop w:val="0"/>
          <w:marBottom w:val="0"/>
          <w:divBdr>
            <w:top w:val="none" w:sz="0" w:space="0" w:color="auto"/>
            <w:left w:val="none" w:sz="0" w:space="0" w:color="auto"/>
            <w:bottom w:val="none" w:sz="0" w:space="0" w:color="auto"/>
            <w:right w:val="none" w:sz="0" w:space="0" w:color="auto"/>
          </w:divBdr>
        </w:div>
        <w:div w:id="55475765">
          <w:marLeft w:val="640"/>
          <w:marRight w:val="0"/>
          <w:marTop w:val="0"/>
          <w:marBottom w:val="0"/>
          <w:divBdr>
            <w:top w:val="none" w:sz="0" w:space="0" w:color="auto"/>
            <w:left w:val="none" w:sz="0" w:space="0" w:color="auto"/>
            <w:bottom w:val="none" w:sz="0" w:space="0" w:color="auto"/>
            <w:right w:val="none" w:sz="0" w:space="0" w:color="auto"/>
          </w:divBdr>
        </w:div>
        <w:div w:id="1629049334">
          <w:marLeft w:val="640"/>
          <w:marRight w:val="0"/>
          <w:marTop w:val="0"/>
          <w:marBottom w:val="0"/>
          <w:divBdr>
            <w:top w:val="none" w:sz="0" w:space="0" w:color="auto"/>
            <w:left w:val="none" w:sz="0" w:space="0" w:color="auto"/>
            <w:bottom w:val="none" w:sz="0" w:space="0" w:color="auto"/>
            <w:right w:val="none" w:sz="0" w:space="0" w:color="auto"/>
          </w:divBdr>
        </w:div>
        <w:div w:id="1676809927">
          <w:marLeft w:val="640"/>
          <w:marRight w:val="0"/>
          <w:marTop w:val="0"/>
          <w:marBottom w:val="0"/>
          <w:divBdr>
            <w:top w:val="none" w:sz="0" w:space="0" w:color="auto"/>
            <w:left w:val="none" w:sz="0" w:space="0" w:color="auto"/>
            <w:bottom w:val="none" w:sz="0" w:space="0" w:color="auto"/>
            <w:right w:val="none" w:sz="0" w:space="0" w:color="auto"/>
          </w:divBdr>
        </w:div>
        <w:div w:id="1493371002">
          <w:marLeft w:val="640"/>
          <w:marRight w:val="0"/>
          <w:marTop w:val="0"/>
          <w:marBottom w:val="0"/>
          <w:divBdr>
            <w:top w:val="none" w:sz="0" w:space="0" w:color="auto"/>
            <w:left w:val="none" w:sz="0" w:space="0" w:color="auto"/>
            <w:bottom w:val="none" w:sz="0" w:space="0" w:color="auto"/>
            <w:right w:val="none" w:sz="0" w:space="0" w:color="auto"/>
          </w:divBdr>
        </w:div>
        <w:div w:id="1202784201">
          <w:marLeft w:val="640"/>
          <w:marRight w:val="0"/>
          <w:marTop w:val="0"/>
          <w:marBottom w:val="0"/>
          <w:divBdr>
            <w:top w:val="none" w:sz="0" w:space="0" w:color="auto"/>
            <w:left w:val="none" w:sz="0" w:space="0" w:color="auto"/>
            <w:bottom w:val="none" w:sz="0" w:space="0" w:color="auto"/>
            <w:right w:val="none" w:sz="0" w:space="0" w:color="auto"/>
          </w:divBdr>
        </w:div>
        <w:div w:id="1088769590">
          <w:marLeft w:val="640"/>
          <w:marRight w:val="0"/>
          <w:marTop w:val="0"/>
          <w:marBottom w:val="0"/>
          <w:divBdr>
            <w:top w:val="none" w:sz="0" w:space="0" w:color="auto"/>
            <w:left w:val="none" w:sz="0" w:space="0" w:color="auto"/>
            <w:bottom w:val="none" w:sz="0" w:space="0" w:color="auto"/>
            <w:right w:val="none" w:sz="0" w:space="0" w:color="auto"/>
          </w:divBdr>
        </w:div>
        <w:div w:id="498427584">
          <w:marLeft w:val="640"/>
          <w:marRight w:val="0"/>
          <w:marTop w:val="0"/>
          <w:marBottom w:val="0"/>
          <w:divBdr>
            <w:top w:val="none" w:sz="0" w:space="0" w:color="auto"/>
            <w:left w:val="none" w:sz="0" w:space="0" w:color="auto"/>
            <w:bottom w:val="none" w:sz="0" w:space="0" w:color="auto"/>
            <w:right w:val="none" w:sz="0" w:space="0" w:color="auto"/>
          </w:divBdr>
        </w:div>
        <w:div w:id="1829858751">
          <w:marLeft w:val="640"/>
          <w:marRight w:val="0"/>
          <w:marTop w:val="0"/>
          <w:marBottom w:val="0"/>
          <w:divBdr>
            <w:top w:val="none" w:sz="0" w:space="0" w:color="auto"/>
            <w:left w:val="none" w:sz="0" w:space="0" w:color="auto"/>
            <w:bottom w:val="none" w:sz="0" w:space="0" w:color="auto"/>
            <w:right w:val="none" w:sz="0" w:space="0" w:color="auto"/>
          </w:divBdr>
        </w:div>
        <w:div w:id="1902905057">
          <w:marLeft w:val="640"/>
          <w:marRight w:val="0"/>
          <w:marTop w:val="0"/>
          <w:marBottom w:val="0"/>
          <w:divBdr>
            <w:top w:val="none" w:sz="0" w:space="0" w:color="auto"/>
            <w:left w:val="none" w:sz="0" w:space="0" w:color="auto"/>
            <w:bottom w:val="none" w:sz="0" w:space="0" w:color="auto"/>
            <w:right w:val="none" w:sz="0" w:space="0" w:color="auto"/>
          </w:divBdr>
        </w:div>
        <w:div w:id="1666322945">
          <w:marLeft w:val="640"/>
          <w:marRight w:val="0"/>
          <w:marTop w:val="0"/>
          <w:marBottom w:val="0"/>
          <w:divBdr>
            <w:top w:val="none" w:sz="0" w:space="0" w:color="auto"/>
            <w:left w:val="none" w:sz="0" w:space="0" w:color="auto"/>
            <w:bottom w:val="none" w:sz="0" w:space="0" w:color="auto"/>
            <w:right w:val="none" w:sz="0" w:space="0" w:color="auto"/>
          </w:divBdr>
        </w:div>
        <w:div w:id="997922704">
          <w:marLeft w:val="640"/>
          <w:marRight w:val="0"/>
          <w:marTop w:val="0"/>
          <w:marBottom w:val="0"/>
          <w:divBdr>
            <w:top w:val="none" w:sz="0" w:space="0" w:color="auto"/>
            <w:left w:val="none" w:sz="0" w:space="0" w:color="auto"/>
            <w:bottom w:val="none" w:sz="0" w:space="0" w:color="auto"/>
            <w:right w:val="none" w:sz="0" w:space="0" w:color="auto"/>
          </w:divBdr>
        </w:div>
        <w:div w:id="52119503">
          <w:marLeft w:val="640"/>
          <w:marRight w:val="0"/>
          <w:marTop w:val="0"/>
          <w:marBottom w:val="0"/>
          <w:divBdr>
            <w:top w:val="none" w:sz="0" w:space="0" w:color="auto"/>
            <w:left w:val="none" w:sz="0" w:space="0" w:color="auto"/>
            <w:bottom w:val="none" w:sz="0" w:space="0" w:color="auto"/>
            <w:right w:val="none" w:sz="0" w:space="0" w:color="auto"/>
          </w:divBdr>
        </w:div>
        <w:div w:id="1840845888">
          <w:marLeft w:val="640"/>
          <w:marRight w:val="0"/>
          <w:marTop w:val="0"/>
          <w:marBottom w:val="0"/>
          <w:divBdr>
            <w:top w:val="none" w:sz="0" w:space="0" w:color="auto"/>
            <w:left w:val="none" w:sz="0" w:space="0" w:color="auto"/>
            <w:bottom w:val="none" w:sz="0" w:space="0" w:color="auto"/>
            <w:right w:val="none" w:sz="0" w:space="0" w:color="auto"/>
          </w:divBdr>
        </w:div>
        <w:div w:id="2076972276">
          <w:marLeft w:val="640"/>
          <w:marRight w:val="0"/>
          <w:marTop w:val="0"/>
          <w:marBottom w:val="0"/>
          <w:divBdr>
            <w:top w:val="none" w:sz="0" w:space="0" w:color="auto"/>
            <w:left w:val="none" w:sz="0" w:space="0" w:color="auto"/>
            <w:bottom w:val="none" w:sz="0" w:space="0" w:color="auto"/>
            <w:right w:val="none" w:sz="0" w:space="0" w:color="auto"/>
          </w:divBdr>
        </w:div>
        <w:div w:id="1926764373">
          <w:marLeft w:val="640"/>
          <w:marRight w:val="0"/>
          <w:marTop w:val="0"/>
          <w:marBottom w:val="0"/>
          <w:divBdr>
            <w:top w:val="none" w:sz="0" w:space="0" w:color="auto"/>
            <w:left w:val="none" w:sz="0" w:space="0" w:color="auto"/>
            <w:bottom w:val="none" w:sz="0" w:space="0" w:color="auto"/>
            <w:right w:val="none" w:sz="0" w:space="0" w:color="auto"/>
          </w:divBdr>
        </w:div>
        <w:div w:id="470635345">
          <w:marLeft w:val="640"/>
          <w:marRight w:val="0"/>
          <w:marTop w:val="0"/>
          <w:marBottom w:val="0"/>
          <w:divBdr>
            <w:top w:val="none" w:sz="0" w:space="0" w:color="auto"/>
            <w:left w:val="none" w:sz="0" w:space="0" w:color="auto"/>
            <w:bottom w:val="none" w:sz="0" w:space="0" w:color="auto"/>
            <w:right w:val="none" w:sz="0" w:space="0" w:color="auto"/>
          </w:divBdr>
        </w:div>
        <w:div w:id="1778522560">
          <w:marLeft w:val="640"/>
          <w:marRight w:val="0"/>
          <w:marTop w:val="0"/>
          <w:marBottom w:val="0"/>
          <w:divBdr>
            <w:top w:val="none" w:sz="0" w:space="0" w:color="auto"/>
            <w:left w:val="none" w:sz="0" w:space="0" w:color="auto"/>
            <w:bottom w:val="none" w:sz="0" w:space="0" w:color="auto"/>
            <w:right w:val="none" w:sz="0" w:space="0" w:color="auto"/>
          </w:divBdr>
        </w:div>
        <w:div w:id="1686710606">
          <w:marLeft w:val="640"/>
          <w:marRight w:val="0"/>
          <w:marTop w:val="0"/>
          <w:marBottom w:val="0"/>
          <w:divBdr>
            <w:top w:val="none" w:sz="0" w:space="0" w:color="auto"/>
            <w:left w:val="none" w:sz="0" w:space="0" w:color="auto"/>
            <w:bottom w:val="none" w:sz="0" w:space="0" w:color="auto"/>
            <w:right w:val="none" w:sz="0" w:space="0" w:color="auto"/>
          </w:divBdr>
        </w:div>
        <w:div w:id="966741102">
          <w:marLeft w:val="640"/>
          <w:marRight w:val="0"/>
          <w:marTop w:val="0"/>
          <w:marBottom w:val="0"/>
          <w:divBdr>
            <w:top w:val="none" w:sz="0" w:space="0" w:color="auto"/>
            <w:left w:val="none" w:sz="0" w:space="0" w:color="auto"/>
            <w:bottom w:val="none" w:sz="0" w:space="0" w:color="auto"/>
            <w:right w:val="none" w:sz="0" w:space="0" w:color="auto"/>
          </w:divBdr>
        </w:div>
        <w:div w:id="1037656048">
          <w:marLeft w:val="640"/>
          <w:marRight w:val="0"/>
          <w:marTop w:val="0"/>
          <w:marBottom w:val="0"/>
          <w:divBdr>
            <w:top w:val="none" w:sz="0" w:space="0" w:color="auto"/>
            <w:left w:val="none" w:sz="0" w:space="0" w:color="auto"/>
            <w:bottom w:val="none" w:sz="0" w:space="0" w:color="auto"/>
            <w:right w:val="none" w:sz="0" w:space="0" w:color="auto"/>
          </w:divBdr>
        </w:div>
        <w:div w:id="462234476">
          <w:marLeft w:val="640"/>
          <w:marRight w:val="0"/>
          <w:marTop w:val="0"/>
          <w:marBottom w:val="0"/>
          <w:divBdr>
            <w:top w:val="none" w:sz="0" w:space="0" w:color="auto"/>
            <w:left w:val="none" w:sz="0" w:space="0" w:color="auto"/>
            <w:bottom w:val="none" w:sz="0" w:space="0" w:color="auto"/>
            <w:right w:val="none" w:sz="0" w:space="0" w:color="auto"/>
          </w:divBdr>
        </w:div>
        <w:div w:id="1890991240">
          <w:marLeft w:val="640"/>
          <w:marRight w:val="0"/>
          <w:marTop w:val="0"/>
          <w:marBottom w:val="0"/>
          <w:divBdr>
            <w:top w:val="none" w:sz="0" w:space="0" w:color="auto"/>
            <w:left w:val="none" w:sz="0" w:space="0" w:color="auto"/>
            <w:bottom w:val="none" w:sz="0" w:space="0" w:color="auto"/>
            <w:right w:val="none" w:sz="0" w:space="0" w:color="auto"/>
          </w:divBdr>
        </w:div>
        <w:div w:id="1254240397">
          <w:marLeft w:val="640"/>
          <w:marRight w:val="0"/>
          <w:marTop w:val="0"/>
          <w:marBottom w:val="0"/>
          <w:divBdr>
            <w:top w:val="none" w:sz="0" w:space="0" w:color="auto"/>
            <w:left w:val="none" w:sz="0" w:space="0" w:color="auto"/>
            <w:bottom w:val="none" w:sz="0" w:space="0" w:color="auto"/>
            <w:right w:val="none" w:sz="0" w:space="0" w:color="auto"/>
          </w:divBdr>
        </w:div>
        <w:div w:id="752974529">
          <w:marLeft w:val="640"/>
          <w:marRight w:val="0"/>
          <w:marTop w:val="0"/>
          <w:marBottom w:val="0"/>
          <w:divBdr>
            <w:top w:val="none" w:sz="0" w:space="0" w:color="auto"/>
            <w:left w:val="none" w:sz="0" w:space="0" w:color="auto"/>
            <w:bottom w:val="none" w:sz="0" w:space="0" w:color="auto"/>
            <w:right w:val="none" w:sz="0" w:space="0" w:color="auto"/>
          </w:divBdr>
        </w:div>
        <w:div w:id="1724645401">
          <w:marLeft w:val="640"/>
          <w:marRight w:val="0"/>
          <w:marTop w:val="0"/>
          <w:marBottom w:val="0"/>
          <w:divBdr>
            <w:top w:val="none" w:sz="0" w:space="0" w:color="auto"/>
            <w:left w:val="none" w:sz="0" w:space="0" w:color="auto"/>
            <w:bottom w:val="none" w:sz="0" w:space="0" w:color="auto"/>
            <w:right w:val="none" w:sz="0" w:space="0" w:color="auto"/>
          </w:divBdr>
        </w:div>
        <w:div w:id="1375693159">
          <w:marLeft w:val="640"/>
          <w:marRight w:val="0"/>
          <w:marTop w:val="0"/>
          <w:marBottom w:val="0"/>
          <w:divBdr>
            <w:top w:val="none" w:sz="0" w:space="0" w:color="auto"/>
            <w:left w:val="none" w:sz="0" w:space="0" w:color="auto"/>
            <w:bottom w:val="none" w:sz="0" w:space="0" w:color="auto"/>
            <w:right w:val="none" w:sz="0" w:space="0" w:color="auto"/>
          </w:divBdr>
        </w:div>
        <w:div w:id="837771524">
          <w:marLeft w:val="640"/>
          <w:marRight w:val="0"/>
          <w:marTop w:val="0"/>
          <w:marBottom w:val="0"/>
          <w:divBdr>
            <w:top w:val="none" w:sz="0" w:space="0" w:color="auto"/>
            <w:left w:val="none" w:sz="0" w:space="0" w:color="auto"/>
            <w:bottom w:val="none" w:sz="0" w:space="0" w:color="auto"/>
            <w:right w:val="none" w:sz="0" w:space="0" w:color="auto"/>
          </w:divBdr>
        </w:div>
        <w:div w:id="1794061336">
          <w:marLeft w:val="640"/>
          <w:marRight w:val="0"/>
          <w:marTop w:val="0"/>
          <w:marBottom w:val="0"/>
          <w:divBdr>
            <w:top w:val="none" w:sz="0" w:space="0" w:color="auto"/>
            <w:left w:val="none" w:sz="0" w:space="0" w:color="auto"/>
            <w:bottom w:val="none" w:sz="0" w:space="0" w:color="auto"/>
            <w:right w:val="none" w:sz="0" w:space="0" w:color="auto"/>
          </w:divBdr>
        </w:div>
        <w:div w:id="46682170">
          <w:marLeft w:val="640"/>
          <w:marRight w:val="0"/>
          <w:marTop w:val="0"/>
          <w:marBottom w:val="0"/>
          <w:divBdr>
            <w:top w:val="none" w:sz="0" w:space="0" w:color="auto"/>
            <w:left w:val="none" w:sz="0" w:space="0" w:color="auto"/>
            <w:bottom w:val="none" w:sz="0" w:space="0" w:color="auto"/>
            <w:right w:val="none" w:sz="0" w:space="0" w:color="auto"/>
          </w:divBdr>
        </w:div>
        <w:div w:id="1399011623">
          <w:marLeft w:val="640"/>
          <w:marRight w:val="0"/>
          <w:marTop w:val="0"/>
          <w:marBottom w:val="0"/>
          <w:divBdr>
            <w:top w:val="none" w:sz="0" w:space="0" w:color="auto"/>
            <w:left w:val="none" w:sz="0" w:space="0" w:color="auto"/>
            <w:bottom w:val="none" w:sz="0" w:space="0" w:color="auto"/>
            <w:right w:val="none" w:sz="0" w:space="0" w:color="auto"/>
          </w:divBdr>
        </w:div>
        <w:div w:id="537936361">
          <w:marLeft w:val="640"/>
          <w:marRight w:val="0"/>
          <w:marTop w:val="0"/>
          <w:marBottom w:val="0"/>
          <w:divBdr>
            <w:top w:val="none" w:sz="0" w:space="0" w:color="auto"/>
            <w:left w:val="none" w:sz="0" w:space="0" w:color="auto"/>
            <w:bottom w:val="none" w:sz="0" w:space="0" w:color="auto"/>
            <w:right w:val="none" w:sz="0" w:space="0" w:color="auto"/>
          </w:divBdr>
        </w:div>
        <w:div w:id="665282641">
          <w:marLeft w:val="640"/>
          <w:marRight w:val="0"/>
          <w:marTop w:val="0"/>
          <w:marBottom w:val="0"/>
          <w:divBdr>
            <w:top w:val="none" w:sz="0" w:space="0" w:color="auto"/>
            <w:left w:val="none" w:sz="0" w:space="0" w:color="auto"/>
            <w:bottom w:val="none" w:sz="0" w:space="0" w:color="auto"/>
            <w:right w:val="none" w:sz="0" w:space="0" w:color="auto"/>
          </w:divBdr>
        </w:div>
        <w:div w:id="81727059">
          <w:marLeft w:val="640"/>
          <w:marRight w:val="0"/>
          <w:marTop w:val="0"/>
          <w:marBottom w:val="0"/>
          <w:divBdr>
            <w:top w:val="none" w:sz="0" w:space="0" w:color="auto"/>
            <w:left w:val="none" w:sz="0" w:space="0" w:color="auto"/>
            <w:bottom w:val="none" w:sz="0" w:space="0" w:color="auto"/>
            <w:right w:val="none" w:sz="0" w:space="0" w:color="auto"/>
          </w:divBdr>
        </w:div>
        <w:div w:id="370620049">
          <w:marLeft w:val="640"/>
          <w:marRight w:val="0"/>
          <w:marTop w:val="0"/>
          <w:marBottom w:val="0"/>
          <w:divBdr>
            <w:top w:val="none" w:sz="0" w:space="0" w:color="auto"/>
            <w:left w:val="none" w:sz="0" w:space="0" w:color="auto"/>
            <w:bottom w:val="none" w:sz="0" w:space="0" w:color="auto"/>
            <w:right w:val="none" w:sz="0" w:space="0" w:color="auto"/>
          </w:divBdr>
        </w:div>
        <w:div w:id="1621496559">
          <w:marLeft w:val="640"/>
          <w:marRight w:val="0"/>
          <w:marTop w:val="0"/>
          <w:marBottom w:val="0"/>
          <w:divBdr>
            <w:top w:val="none" w:sz="0" w:space="0" w:color="auto"/>
            <w:left w:val="none" w:sz="0" w:space="0" w:color="auto"/>
            <w:bottom w:val="none" w:sz="0" w:space="0" w:color="auto"/>
            <w:right w:val="none" w:sz="0" w:space="0" w:color="auto"/>
          </w:divBdr>
        </w:div>
        <w:div w:id="1976597882">
          <w:marLeft w:val="640"/>
          <w:marRight w:val="0"/>
          <w:marTop w:val="0"/>
          <w:marBottom w:val="0"/>
          <w:divBdr>
            <w:top w:val="none" w:sz="0" w:space="0" w:color="auto"/>
            <w:left w:val="none" w:sz="0" w:space="0" w:color="auto"/>
            <w:bottom w:val="none" w:sz="0" w:space="0" w:color="auto"/>
            <w:right w:val="none" w:sz="0" w:space="0" w:color="auto"/>
          </w:divBdr>
        </w:div>
        <w:div w:id="1719090969">
          <w:marLeft w:val="640"/>
          <w:marRight w:val="0"/>
          <w:marTop w:val="0"/>
          <w:marBottom w:val="0"/>
          <w:divBdr>
            <w:top w:val="none" w:sz="0" w:space="0" w:color="auto"/>
            <w:left w:val="none" w:sz="0" w:space="0" w:color="auto"/>
            <w:bottom w:val="none" w:sz="0" w:space="0" w:color="auto"/>
            <w:right w:val="none" w:sz="0" w:space="0" w:color="auto"/>
          </w:divBdr>
        </w:div>
        <w:div w:id="734936425">
          <w:marLeft w:val="640"/>
          <w:marRight w:val="0"/>
          <w:marTop w:val="0"/>
          <w:marBottom w:val="0"/>
          <w:divBdr>
            <w:top w:val="none" w:sz="0" w:space="0" w:color="auto"/>
            <w:left w:val="none" w:sz="0" w:space="0" w:color="auto"/>
            <w:bottom w:val="none" w:sz="0" w:space="0" w:color="auto"/>
            <w:right w:val="none" w:sz="0" w:space="0" w:color="auto"/>
          </w:divBdr>
        </w:div>
        <w:div w:id="74010543">
          <w:marLeft w:val="640"/>
          <w:marRight w:val="0"/>
          <w:marTop w:val="0"/>
          <w:marBottom w:val="0"/>
          <w:divBdr>
            <w:top w:val="none" w:sz="0" w:space="0" w:color="auto"/>
            <w:left w:val="none" w:sz="0" w:space="0" w:color="auto"/>
            <w:bottom w:val="none" w:sz="0" w:space="0" w:color="auto"/>
            <w:right w:val="none" w:sz="0" w:space="0" w:color="auto"/>
          </w:divBdr>
        </w:div>
        <w:div w:id="409088079">
          <w:marLeft w:val="640"/>
          <w:marRight w:val="0"/>
          <w:marTop w:val="0"/>
          <w:marBottom w:val="0"/>
          <w:divBdr>
            <w:top w:val="none" w:sz="0" w:space="0" w:color="auto"/>
            <w:left w:val="none" w:sz="0" w:space="0" w:color="auto"/>
            <w:bottom w:val="none" w:sz="0" w:space="0" w:color="auto"/>
            <w:right w:val="none" w:sz="0" w:space="0" w:color="auto"/>
          </w:divBdr>
        </w:div>
        <w:div w:id="1745371636">
          <w:marLeft w:val="640"/>
          <w:marRight w:val="0"/>
          <w:marTop w:val="0"/>
          <w:marBottom w:val="0"/>
          <w:divBdr>
            <w:top w:val="none" w:sz="0" w:space="0" w:color="auto"/>
            <w:left w:val="none" w:sz="0" w:space="0" w:color="auto"/>
            <w:bottom w:val="none" w:sz="0" w:space="0" w:color="auto"/>
            <w:right w:val="none" w:sz="0" w:space="0" w:color="auto"/>
          </w:divBdr>
        </w:div>
        <w:div w:id="1288976178">
          <w:marLeft w:val="640"/>
          <w:marRight w:val="0"/>
          <w:marTop w:val="0"/>
          <w:marBottom w:val="0"/>
          <w:divBdr>
            <w:top w:val="none" w:sz="0" w:space="0" w:color="auto"/>
            <w:left w:val="none" w:sz="0" w:space="0" w:color="auto"/>
            <w:bottom w:val="none" w:sz="0" w:space="0" w:color="auto"/>
            <w:right w:val="none" w:sz="0" w:space="0" w:color="auto"/>
          </w:divBdr>
        </w:div>
        <w:div w:id="177352103">
          <w:marLeft w:val="640"/>
          <w:marRight w:val="0"/>
          <w:marTop w:val="0"/>
          <w:marBottom w:val="0"/>
          <w:divBdr>
            <w:top w:val="none" w:sz="0" w:space="0" w:color="auto"/>
            <w:left w:val="none" w:sz="0" w:space="0" w:color="auto"/>
            <w:bottom w:val="none" w:sz="0" w:space="0" w:color="auto"/>
            <w:right w:val="none" w:sz="0" w:space="0" w:color="auto"/>
          </w:divBdr>
        </w:div>
        <w:div w:id="1910918016">
          <w:marLeft w:val="640"/>
          <w:marRight w:val="0"/>
          <w:marTop w:val="0"/>
          <w:marBottom w:val="0"/>
          <w:divBdr>
            <w:top w:val="none" w:sz="0" w:space="0" w:color="auto"/>
            <w:left w:val="none" w:sz="0" w:space="0" w:color="auto"/>
            <w:bottom w:val="none" w:sz="0" w:space="0" w:color="auto"/>
            <w:right w:val="none" w:sz="0" w:space="0" w:color="auto"/>
          </w:divBdr>
        </w:div>
        <w:div w:id="182328948">
          <w:marLeft w:val="640"/>
          <w:marRight w:val="0"/>
          <w:marTop w:val="0"/>
          <w:marBottom w:val="0"/>
          <w:divBdr>
            <w:top w:val="none" w:sz="0" w:space="0" w:color="auto"/>
            <w:left w:val="none" w:sz="0" w:space="0" w:color="auto"/>
            <w:bottom w:val="none" w:sz="0" w:space="0" w:color="auto"/>
            <w:right w:val="none" w:sz="0" w:space="0" w:color="auto"/>
          </w:divBdr>
        </w:div>
        <w:div w:id="1377117636">
          <w:marLeft w:val="640"/>
          <w:marRight w:val="0"/>
          <w:marTop w:val="0"/>
          <w:marBottom w:val="0"/>
          <w:divBdr>
            <w:top w:val="none" w:sz="0" w:space="0" w:color="auto"/>
            <w:left w:val="none" w:sz="0" w:space="0" w:color="auto"/>
            <w:bottom w:val="none" w:sz="0" w:space="0" w:color="auto"/>
            <w:right w:val="none" w:sz="0" w:space="0" w:color="auto"/>
          </w:divBdr>
        </w:div>
        <w:div w:id="1640915333">
          <w:marLeft w:val="640"/>
          <w:marRight w:val="0"/>
          <w:marTop w:val="0"/>
          <w:marBottom w:val="0"/>
          <w:divBdr>
            <w:top w:val="none" w:sz="0" w:space="0" w:color="auto"/>
            <w:left w:val="none" w:sz="0" w:space="0" w:color="auto"/>
            <w:bottom w:val="none" w:sz="0" w:space="0" w:color="auto"/>
            <w:right w:val="none" w:sz="0" w:space="0" w:color="auto"/>
          </w:divBdr>
        </w:div>
        <w:div w:id="1262564513">
          <w:marLeft w:val="640"/>
          <w:marRight w:val="0"/>
          <w:marTop w:val="0"/>
          <w:marBottom w:val="0"/>
          <w:divBdr>
            <w:top w:val="none" w:sz="0" w:space="0" w:color="auto"/>
            <w:left w:val="none" w:sz="0" w:space="0" w:color="auto"/>
            <w:bottom w:val="none" w:sz="0" w:space="0" w:color="auto"/>
            <w:right w:val="none" w:sz="0" w:space="0" w:color="auto"/>
          </w:divBdr>
        </w:div>
        <w:div w:id="586769733">
          <w:marLeft w:val="640"/>
          <w:marRight w:val="0"/>
          <w:marTop w:val="0"/>
          <w:marBottom w:val="0"/>
          <w:divBdr>
            <w:top w:val="none" w:sz="0" w:space="0" w:color="auto"/>
            <w:left w:val="none" w:sz="0" w:space="0" w:color="auto"/>
            <w:bottom w:val="none" w:sz="0" w:space="0" w:color="auto"/>
            <w:right w:val="none" w:sz="0" w:space="0" w:color="auto"/>
          </w:divBdr>
        </w:div>
        <w:div w:id="1093697341">
          <w:marLeft w:val="640"/>
          <w:marRight w:val="0"/>
          <w:marTop w:val="0"/>
          <w:marBottom w:val="0"/>
          <w:divBdr>
            <w:top w:val="none" w:sz="0" w:space="0" w:color="auto"/>
            <w:left w:val="none" w:sz="0" w:space="0" w:color="auto"/>
            <w:bottom w:val="none" w:sz="0" w:space="0" w:color="auto"/>
            <w:right w:val="none" w:sz="0" w:space="0" w:color="auto"/>
          </w:divBdr>
        </w:div>
        <w:div w:id="1919441609">
          <w:marLeft w:val="640"/>
          <w:marRight w:val="0"/>
          <w:marTop w:val="0"/>
          <w:marBottom w:val="0"/>
          <w:divBdr>
            <w:top w:val="none" w:sz="0" w:space="0" w:color="auto"/>
            <w:left w:val="none" w:sz="0" w:space="0" w:color="auto"/>
            <w:bottom w:val="none" w:sz="0" w:space="0" w:color="auto"/>
            <w:right w:val="none" w:sz="0" w:space="0" w:color="auto"/>
          </w:divBdr>
        </w:div>
        <w:div w:id="1819032101">
          <w:marLeft w:val="640"/>
          <w:marRight w:val="0"/>
          <w:marTop w:val="0"/>
          <w:marBottom w:val="0"/>
          <w:divBdr>
            <w:top w:val="none" w:sz="0" w:space="0" w:color="auto"/>
            <w:left w:val="none" w:sz="0" w:space="0" w:color="auto"/>
            <w:bottom w:val="none" w:sz="0" w:space="0" w:color="auto"/>
            <w:right w:val="none" w:sz="0" w:space="0" w:color="auto"/>
          </w:divBdr>
        </w:div>
        <w:div w:id="1070077738">
          <w:marLeft w:val="640"/>
          <w:marRight w:val="0"/>
          <w:marTop w:val="0"/>
          <w:marBottom w:val="0"/>
          <w:divBdr>
            <w:top w:val="none" w:sz="0" w:space="0" w:color="auto"/>
            <w:left w:val="none" w:sz="0" w:space="0" w:color="auto"/>
            <w:bottom w:val="none" w:sz="0" w:space="0" w:color="auto"/>
            <w:right w:val="none" w:sz="0" w:space="0" w:color="auto"/>
          </w:divBdr>
        </w:div>
        <w:div w:id="738749563">
          <w:marLeft w:val="640"/>
          <w:marRight w:val="0"/>
          <w:marTop w:val="0"/>
          <w:marBottom w:val="0"/>
          <w:divBdr>
            <w:top w:val="none" w:sz="0" w:space="0" w:color="auto"/>
            <w:left w:val="none" w:sz="0" w:space="0" w:color="auto"/>
            <w:bottom w:val="none" w:sz="0" w:space="0" w:color="auto"/>
            <w:right w:val="none" w:sz="0" w:space="0" w:color="auto"/>
          </w:divBdr>
        </w:div>
        <w:div w:id="1366906036">
          <w:marLeft w:val="640"/>
          <w:marRight w:val="0"/>
          <w:marTop w:val="0"/>
          <w:marBottom w:val="0"/>
          <w:divBdr>
            <w:top w:val="none" w:sz="0" w:space="0" w:color="auto"/>
            <w:left w:val="none" w:sz="0" w:space="0" w:color="auto"/>
            <w:bottom w:val="none" w:sz="0" w:space="0" w:color="auto"/>
            <w:right w:val="none" w:sz="0" w:space="0" w:color="auto"/>
          </w:divBdr>
        </w:div>
        <w:div w:id="780951216">
          <w:marLeft w:val="640"/>
          <w:marRight w:val="0"/>
          <w:marTop w:val="0"/>
          <w:marBottom w:val="0"/>
          <w:divBdr>
            <w:top w:val="none" w:sz="0" w:space="0" w:color="auto"/>
            <w:left w:val="none" w:sz="0" w:space="0" w:color="auto"/>
            <w:bottom w:val="none" w:sz="0" w:space="0" w:color="auto"/>
            <w:right w:val="none" w:sz="0" w:space="0" w:color="auto"/>
          </w:divBdr>
        </w:div>
        <w:div w:id="544174500">
          <w:marLeft w:val="640"/>
          <w:marRight w:val="0"/>
          <w:marTop w:val="0"/>
          <w:marBottom w:val="0"/>
          <w:divBdr>
            <w:top w:val="none" w:sz="0" w:space="0" w:color="auto"/>
            <w:left w:val="none" w:sz="0" w:space="0" w:color="auto"/>
            <w:bottom w:val="none" w:sz="0" w:space="0" w:color="auto"/>
            <w:right w:val="none" w:sz="0" w:space="0" w:color="auto"/>
          </w:divBdr>
        </w:div>
        <w:div w:id="1108088216">
          <w:marLeft w:val="640"/>
          <w:marRight w:val="0"/>
          <w:marTop w:val="0"/>
          <w:marBottom w:val="0"/>
          <w:divBdr>
            <w:top w:val="none" w:sz="0" w:space="0" w:color="auto"/>
            <w:left w:val="none" w:sz="0" w:space="0" w:color="auto"/>
            <w:bottom w:val="none" w:sz="0" w:space="0" w:color="auto"/>
            <w:right w:val="none" w:sz="0" w:space="0" w:color="auto"/>
          </w:divBdr>
        </w:div>
        <w:div w:id="1932203880">
          <w:marLeft w:val="640"/>
          <w:marRight w:val="0"/>
          <w:marTop w:val="0"/>
          <w:marBottom w:val="0"/>
          <w:divBdr>
            <w:top w:val="none" w:sz="0" w:space="0" w:color="auto"/>
            <w:left w:val="none" w:sz="0" w:space="0" w:color="auto"/>
            <w:bottom w:val="none" w:sz="0" w:space="0" w:color="auto"/>
            <w:right w:val="none" w:sz="0" w:space="0" w:color="auto"/>
          </w:divBdr>
        </w:div>
        <w:div w:id="33232656">
          <w:marLeft w:val="640"/>
          <w:marRight w:val="0"/>
          <w:marTop w:val="0"/>
          <w:marBottom w:val="0"/>
          <w:divBdr>
            <w:top w:val="none" w:sz="0" w:space="0" w:color="auto"/>
            <w:left w:val="none" w:sz="0" w:space="0" w:color="auto"/>
            <w:bottom w:val="none" w:sz="0" w:space="0" w:color="auto"/>
            <w:right w:val="none" w:sz="0" w:space="0" w:color="auto"/>
          </w:divBdr>
        </w:div>
        <w:div w:id="1374383176">
          <w:marLeft w:val="640"/>
          <w:marRight w:val="0"/>
          <w:marTop w:val="0"/>
          <w:marBottom w:val="0"/>
          <w:divBdr>
            <w:top w:val="none" w:sz="0" w:space="0" w:color="auto"/>
            <w:left w:val="none" w:sz="0" w:space="0" w:color="auto"/>
            <w:bottom w:val="none" w:sz="0" w:space="0" w:color="auto"/>
            <w:right w:val="none" w:sz="0" w:space="0" w:color="auto"/>
          </w:divBdr>
        </w:div>
        <w:div w:id="601256880">
          <w:marLeft w:val="640"/>
          <w:marRight w:val="0"/>
          <w:marTop w:val="0"/>
          <w:marBottom w:val="0"/>
          <w:divBdr>
            <w:top w:val="none" w:sz="0" w:space="0" w:color="auto"/>
            <w:left w:val="none" w:sz="0" w:space="0" w:color="auto"/>
            <w:bottom w:val="none" w:sz="0" w:space="0" w:color="auto"/>
            <w:right w:val="none" w:sz="0" w:space="0" w:color="auto"/>
          </w:divBdr>
        </w:div>
        <w:div w:id="1221556088">
          <w:marLeft w:val="640"/>
          <w:marRight w:val="0"/>
          <w:marTop w:val="0"/>
          <w:marBottom w:val="0"/>
          <w:divBdr>
            <w:top w:val="none" w:sz="0" w:space="0" w:color="auto"/>
            <w:left w:val="none" w:sz="0" w:space="0" w:color="auto"/>
            <w:bottom w:val="none" w:sz="0" w:space="0" w:color="auto"/>
            <w:right w:val="none" w:sz="0" w:space="0" w:color="auto"/>
          </w:divBdr>
        </w:div>
        <w:div w:id="1708334948">
          <w:marLeft w:val="640"/>
          <w:marRight w:val="0"/>
          <w:marTop w:val="0"/>
          <w:marBottom w:val="0"/>
          <w:divBdr>
            <w:top w:val="none" w:sz="0" w:space="0" w:color="auto"/>
            <w:left w:val="none" w:sz="0" w:space="0" w:color="auto"/>
            <w:bottom w:val="none" w:sz="0" w:space="0" w:color="auto"/>
            <w:right w:val="none" w:sz="0" w:space="0" w:color="auto"/>
          </w:divBdr>
        </w:div>
        <w:div w:id="1436562335">
          <w:marLeft w:val="640"/>
          <w:marRight w:val="0"/>
          <w:marTop w:val="0"/>
          <w:marBottom w:val="0"/>
          <w:divBdr>
            <w:top w:val="none" w:sz="0" w:space="0" w:color="auto"/>
            <w:left w:val="none" w:sz="0" w:space="0" w:color="auto"/>
            <w:bottom w:val="none" w:sz="0" w:space="0" w:color="auto"/>
            <w:right w:val="none" w:sz="0" w:space="0" w:color="auto"/>
          </w:divBdr>
        </w:div>
        <w:div w:id="1982731520">
          <w:marLeft w:val="640"/>
          <w:marRight w:val="0"/>
          <w:marTop w:val="0"/>
          <w:marBottom w:val="0"/>
          <w:divBdr>
            <w:top w:val="none" w:sz="0" w:space="0" w:color="auto"/>
            <w:left w:val="none" w:sz="0" w:space="0" w:color="auto"/>
            <w:bottom w:val="none" w:sz="0" w:space="0" w:color="auto"/>
            <w:right w:val="none" w:sz="0" w:space="0" w:color="auto"/>
          </w:divBdr>
        </w:div>
        <w:div w:id="530655342">
          <w:marLeft w:val="640"/>
          <w:marRight w:val="0"/>
          <w:marTop w:val="0"/>
          <w:marBottom w:val="0"/>
          <w:divBdr>
            <w:top w:val="none" w:sz="0" w:space="0" w:color="auto"/>
            <w:left w:val="none" w:sz="0" w:space="0" w:color="auto"/>
            <w:bottom w:val="none" w:sz="0" w:space="0" w:color="auto"/>
            <w:right w:val="none" w:sz="0" w:space="0" w:color="auto"/>
          </w:divBdr>
        </w:div>
        <w:div w:id="565411817">
          <w:marLeft w:val="640"/>
          <w:marRight w:val="0"/>
          <w:marTop w:val="0"/>
          <w:marBottom w:val="0"/>
          <w:divBdr>
            <w:top w:val="none" w:sz="0" w:space="0" w:color="auto"/>
            <w:left w:val="none" w:sz="0" w:space="0" w:color="auto"/>
            <w:bottom w:val="none" w:sz="0" w:space="0" w:color="auto"/>
            <w:right w:val="none" w:sz="0" w:space="0" w:color="auto"/>
          </w:divBdr>
        </w:div>
        <w:div w:id="1288194028">
          <w:marLeft w:val="640"/>
          <w:marRight w:val="0"/>
          <w:marTop w:val="0"/>
          <w:marBottom w:val="0"/>
          <w:divBdr>
            <w:top w:val="none" w:sz="0" w:space="0" w:color="auto"/>
            <w:left w:val="none" w:sz="0" w:space="0" w:color="auto"/>
            <w:bottom w:val="none" w:sz="0" w:space="0" w:color="auto"/>
            <w:right w:val="none" w:sz="0" w:space="0" w:color="auto"/>
          </w:divBdr>
        </w:div>
        <w:div w:id="1316757615">
          <w:marLeft w:val="640"/>
          <w:marRight w:val="0"/>
          <w:marTop w:val="0"/>
          <w:marBottom w:val="0"/>
          <w:divBdr>
            <w:top w:val="none" w:sz="0" w:space="0" w:color="auto"/>
            <w:left w:val="none" w:sz="0" w:space="0" w:color="auto"/>
            <w:bottom w:val="none" w:sz="0" w:space="0" w:color="auto"/>
            <w:right w:val="none" w:sz="0" w:space="0" w:color="auto"/>
          </w:divBdr>
        </w:div>
        <w:div w:id="1278104673">
          <w:marLeft w:val="640"/>
          <w:marRight w:val="0"/>
          <w:marTop w:val="0"/>
          <w:marBottom w:val="0"/>
          <w:divBdr>
            <w:top w:val="none" w:sz="0" w:space="0" w:color="auto"/>
            <w:left w:val="none" w:sz="0" w:space="0" w:color="auto"/>
            <w:bottom w:val="none" w:sz="0" w:space="0" w:color="auto"/>
            <w:right w:val="none" w:sz="0" w:space="0" w:color="auto"/>
          </w:divBdr>
        </w:div>
        <w:div w:id="850919640">
          <w:marLeft w:val="640"/>
          <w:marRight w:val="0"/>
          <w:marTop w:val="0"/>
          <w:marBottom w:val="0"/>
          <w:divBdr>
            <w:top w:val="none" w:sz="0" w:space="0" w:color="auto"/>
            <w:left w:val="none" w:sz="0" w:space="0" w:color="auto"/>
            <w:bottom w:val="none" w:sz="0" w:space="0" w:color="auto"/>
            <w:right w:val="none" w:sz="0" w:space="0" w:color="auto"/>
          </w:divBdr>
        </w:div>
        <w:div w:id="1709256557">
          <w:marLeft w:val="640"/>
          <w:marRight w:val="0"/>
          <w:marTop w:val="0"/>
          <w:marBottom w:val="0"/>
          <w:divBdr>
            <w:top w:val="none" w:sz="0" w:space="0" w:color="auto"/>
            <w:left w:val="none" w:sz="0" w:space="0" w:color="auto"/>
            <w:bottom w:val="none" w:sz="0" w:space="0" w:color="auto"/>
            <w:right w:val="none" w:sz="0" w:space="0" w:color="auto"/>
          </w:divBdr>
        </w:div>
        <w:div w:id="2098599772">
          <w:marLeft w:val="640"/>
          <w:marRight w:val="0"/>
          <w:marTop w:val="0"/>
          <w:marBottom w:val="0"/>
          <w:divBdr>
            <w:top w:val="none" w:sz="0" w:space="0" w:color="auto"/>
            <w:left w:val="none" w:sz="0" w:space="0" w:color="auto"/>
            <w:bottom w:val="none" w:sz="0" w:space="0" w:color="auto"/>
            <w:right w:val="none" w:sz="0" w:space="0" w:color="auto"/>
          </w:divBdr>
        </w:div>
        <w:div w:id="792288789">
          <w:marLeft w:val="640"/>
          <w:marRight w:val="0"/>
          <w:marTop w:val="0"/>
          <w:marBottom w:val="0"/>
          <w:divBdr>
            <w:top w:val="none" w:sz="0" w:space="0" w:color="auto"/>
            <w:left w:val="none" w:sz="0" w:space="0" w:color="auto"/>
            <w:bottom w:val="none" w:sz="0" w:space="0" w:color="auto"/>
            <w:right w:val="none" w:sz="0" w:space="0" w:color="auto"/>
          </w:divBdr>
        </w:div>
        <w:div w:id="1770347865">
          <w:marLeft w:val="640"/>
          <w:marRight w:val="0"/>
          <w:marTop w:val="0"/>
          <w:marBottom w:val="0"/>
          <w:divBdr>
            <w:top w:val="none" w:sz="0" w:space="0" w:color="auto"/>
            <w:left w:val="none" w:sz="0" w:space="0" w:color="auto"/>
            <w:bottom w:val="none" w:sz="0" w:space="0" w:color="auto"/>
            <w:right w:val="none" w:sz="0" w:space="0" w:color="auto"/>
          </w:divBdr>
        </w:div>
        <w:div w:id="1269460302">
          <w:marLeft w:val="640"/>
          <w:marRight w:val="0"/>
          <w:marTop w:val="0"/>
          <w:marBottom w:val="0"/>
          <w:divBdr>
            <w:top w:val="none" w:sz="0" w:space="0" w:color="auto"/>
            <w:left w:val="none" w:sz="0" w:space="0" w:color="auto"/>
            <w:bottom w:val="none" w:sz="0" w:space="0" w:color="auto"/>
            <w:right w:val="none" w:sz="0" w:space="0" w:color="auto"/>
          </w:divBdr>
        </w:div>
        <w:div w:id="1788767344">
          <w:marLeft w:val="640"/>
          <w:marRight w:val="0"/>
          <w:marTop w:val="0"/>
          <w:marBottom w:val="0"/>
          <w:divBdr>
            <w:top w:val="none" w:sz="0" w:space="0" w:color="auto"/>
            <w:left w:val="none" w:sz="0" w:space="0" w:color="auto"/>
            <w:bottom w:val="none" w:sz="0" w:space="0" w:color="auto"/>
            <w:right w:val="none" w:sz="0" w:space="0" w:color="auto"/>
          </w:divBdr>
        </w:div>
        <w:div w:id="771512241">
          <w:marLeft w:val="640"/>
          <w:marRight w:val="0"/>
          <w:marTop w:val="0"/>
          <w:marBottom w:val="0"/>
          <w:divBdr>
            <w:top w:val="none" w:sz="0" w:space="0" w:color="auto"/>
            <w:left w:val="none" w:sz="0" w:space="0" w:color="auto"/>
            <w:bottom w:val="none" w:sz="0" w:space="0" w:color="auto"/>
            <w:right w:val="none" w:sz="0" w:space="0" w:color="auto"/>
          </w:divBdr>
        </w:div>
        <w:div w:id="908922604">
          <w:marLeft w:val="640"/>
          <w:marRight w:val="0"/>
          <w:marTop w:val="0"/>
          <w:marBottom w:val="0"/>
          <w:divBdr>
            <w:top w:val="none" w:sz="0" w:space="0" w:color="auto"/>
            <w:left w:val="none" w:sz="0" w:space="0" w:color="auto"/>
            <w:bottom w:val="none" w:sz="0" w:space="0" w:color="auto"/>
            <w:right w:val="none" w:sz="0" w:space="0" w:color="auto"/>
          </w:divBdr>
        </w:div>
        <w:div w:id="2059627442">
          <w:marLeft w:val="640"/>
          <w:marRight w:val="0"/>
          <w:marTop w:val="0"/>
          <w:marBottom w:val="0"/>
          <w:divBdr>
            <w:top w:val="none" w:sz="0" w:space="0" w:color="auto"/>
            <w:left w:val="none" w:sz="0" w:space="0" w:color="auto"/>
            <w:bottom w:val="none" w:sz="0" w:space="0" w:color="auto"/>
            <w:right w:val="none" w:sz="0" w:space="0" w:color="auto"/>
          </w:divBdr>
        </w:div>
        <w:div w:id="1163854675">
          <w:marLeft w:val="640"/>
          <w:marRight w:val="0"/>
          <w:marTop w:val="0"/>
          <w:marBottom w:val="0"/>
          <w:divBdr>
            <w:top w:val="none" w:sz="0" w:space="0" w:color="auto"/>
            <w:left w:val="none" w:sz="0" w:space="0" w:color="auto"/>
            <w:bottom w:val="none" w:sz="0" w:space="0" w:color="auto"/>
            <w:right w:val="none" w:sz="0" w:space="0" w:color="auto"/>
          </w:divBdr>
        </w:div>
        <w:div w:id="121971879">
          <w:marLeft w:val="640"/>
          <w:marRight w:val="0"/>
          <w:marTop w:val="0"/>
          <w:marBottom w:val="0"/>
          <w:divBdr>
            <w:top w:val="none" w:sz="0" w:space="0" w:color="auto"/>
            <w:left w:val="none" w:sz="0" w:space="0" w:color="auto"/>
            <w:bottom w:val="none" w:sz="0" w:space="0" w:color="auto"/>
            <w:right w:val="none" w:sz="0" w:space="0" w:color="auto"/>
          </w:divBdr>
        </w:div>
        <w:div w:id="1027876654">
          <w:marLeft w:val="640"/>
          <w:marRight w:val="0"/>
          <w:marTop w:val="0"/>
          <w:marBottom w:val="0"/>
          <w:divBdr>
            <w:top w:val="none" w:sz="0" w:space="0" w:color="auto"/>
            <w:left w:val="none" w:sz="0" w:space="0" w:color="auto"/>
            <w:bottom w:val="none" w:sz="0" w:space="0" w:color="auto"/>
            <w:right w:val="none" w:sz="0" w:space="0" w:color="auto"/>
          </w:divBdr>
        </w:div>
        <w:div w:id="306783498">
          <w:marLeft w:val="640"/>
          <w:marRight w:val="0"/>
          <w:marTop w:val="0"/>
          <w:marBottom w:val="0"/>
          <w:divBdr>
            <w:top w:val="none" w:sz="0" w:space="0" w:color="auto"/>
            <w:left w:val="none" w:sz="0" w:space="0" w:color="auto"/>
            <w:bottom w:val="none" w:sz="0" w:space="0" w:color="auto"/>
            <w:right w:val="none" w:sz="0" w:space="0" w:color="auto"/>
          </w:divBdr>
        </w:div>
        <w:div w:id="1943564348">
          <w:marLeft w:val="640"/>
          <w:marRight w:val="0"/>
          <w:marTop w:val="0"/>
          <w:marBottom w:val="0"/>
          <w:divBdr>
            <w:top w:val="none" w:sz="0" w:space="0" w:color="auto"/>
            <w:left w:val="none" w:sz="0" w:space="0" w:color="auto"/>
            <w:bottom w:val="none" w:sz="0" w:space="0" w:color="auto"/>
            <w:right w:val="none" w:sz="0" w:space="0" w:color="auto"/>
          </w:divBdr>
        </w:div>
        <w:div w:id="1441296385">
          <w:marLeft w:val="640"/>
          <w:marRight w:val="0"/>
          <w:marTop w:val="0"/>
          <w:marBottom w:val="0"/>
          <w:divBdr>
            <w:top w:val="none" w:sz="0" w:space="0" w:color="auto"/>
            <w:left w:val="none" w:sz="0" w:space="0" w:color="auto"/>
            <w:bottom w:val="none" w:sz="0" w:space="0" w:color="auto"/>
            <w:right w:val="none" w:sz="0" w:space="0" w:color="auto"/>
          </w:divBdr>
        </w:div>
        <w:div w:id="2041738260">
          <w:marLeft w:val="640"/>
          <w:marRight w:val="0"/>
          <w:marTop w:val="0"/>
          <w:marBottom w:val="0"/>
          <w:divBdr>
            <w:top w:val="none" w:sz="0" w:space="0" w:color="auto"/>
            <w:left w:val="none" w:sz="0" w:space="0" w:color="auto"/>
            <w:bottom w:val="none" w:sz="0" w:space="0" w:color="auto"/>
            <w:right w:val="none" w:sz="0" w:space="0" w:color="auto"/>
          </w:divBdr>
        </w:div>
        <w:div w:id="1616212845">
          <w:marLeft w:val="640"/>
          <w:marRight w:val="0"/>
          <w:marTop w:val="0"/>
          <w:marBottom w:val="0"/>
          <w:divBdr>
            <w:top w:val="none" w:sz="0" w:space="0" w:color="auto"/>
            <w:left w:val="none" w:sz="0" w:space="0" w:color="auto"/>
            <w:bottom w:val="none" w:sz="0" w:space="0" w:color="auto"/>
            <w:right w:val="none" w:sz="0" w:space="0" w:color="auto"/>
          </w:divBdr>
        </w:div>
        <w:div w:id="1235509365">
          <w:marLeft w:val="640"/>
          <w:marRight w:val="0"/>
          <w:marTop w:val="0"/>
          <w:marBottom w:val="0"/>
          <w:divBdr>
            <w:top w:val="none" w:sz="0" w:space="0" w:color="auto"/>
            <w:left w:val="none" w:sz="0" w:space="0" w:color="auto"/>
            <w:bottom w:val="none" w:sz="0" w:space="0" w:color="auto"/>
            <w:right w:val="none" w:sz="0" w:space="0" w:color="auto"/>
          </w:divBdr>
        </w:div>
        <w:div w:id="244389309">
          <w:marLeft w:val="640"/>
          <w:marRight w:val="0"/>
          <w:marTop w:val="0"/>
          <w:marBottom w:val="0"/>
          <w:divBdr>
            <w:top w:val="none" w:sz="0" w:space="0" w:color="auto"/>
            <w:left w:val="none" w:sz="0" w:space="0" w:color="auto"/>
            <w:bottom w:val="none" w:sz="0" w:space="0" w:color="auto"/>
            <w:right w:val="none" w:sz="0" w:space="0" w:color="auto"/>
          </w:divBdr>
        </w:div>
        <w:div w:id="1922518559">
          <w:marLeft w:val="640"/>
          <w:marRight w:val="0"/>
          <w:marTop w:val="0"/>
          <w:marBottom w:val="0"/>
          <w:divBdr>
            <w:top w:val="none" w:sz="0" w:space="0" w:color="auto"/>
            <w:left w:val="none" w:sz="0" w:space="0" w:color="auto"/>
            <w:bottom w:val="none" w:sz="0" w:space="0" w:color="auto"/>
            <w:right w:val="none" w:sz="0" w:space="0" w:color="auto"/>
          </w:divBdr>
        </w:div>
        <w:div w:id="450822924">
          <w:marLeft w:val="640"/>
          <w:marRight w:val="0"/>
          <w:marTop w:val="0"/>
          <w:marBottom w:val="0"/>
          <w:divBdr>
            <w:top w:val="none" w:sz="0" w:space="0" w:color="auto"/>
            <w:left w:val="none" w:sz="0" w:space="0" w:color="auto"/>
            <w:bottom w:val="none" w:sz="0" w:space="0" w:color="auto"/>
            <w:right w:val="none" w:sz="0" w:space="0" w:color="auto"/>
          </w:divBdr>
        </w:div>
        <w:div w:id="1723169504">
          <w:marLeft w:val="640"/>
          <w:marRight w:val="0"/>
          <w:marTop w:val="0"/>
          <w:marBottom w:val="0"/>
          <w:divBdr>
            <w:top w:val="none" w:sz="0" w:space="0" w:color="auto"/>
            <w:left w:val="none" w:sz="0" w:space="0" w:color="auto"/>
            <w:bottom w:val="none" w:sz="0" w:space="0" w:color="auto"/>
            <w:right w:val="none" w:sz="0" w:space="0" w:color="auto"/>
          </w:divBdr>
        </w:div>
        <w:div w:id="584731552">
          <w:marLeft w:val="640"/>
          <w:marRight w:val="0"/>
          <w:marTop w:val="0"/>
          <w:marBottom w:val="0"/>
          <w:divBdr>
            <w:top w:val="none" w:sz="0" w:space="0" w:color="auto"/>
            <w:left w:val="none" w:sz="0" w:space="0" w:color="auto"/>
            <w:bottom w:val="none" w:sz="0" w:space="0" w:color="auto"/>
            <w:right w:val="none" w:sz="0" w:space="0" w:color="auto"/>
          </w:divBdr>
        </w:div>
        <w:div w:id="1657029963">
          <w:marLeft w:val="640"/>
          <w:marRight w:val="0"/>
          <w:marTop w:val="0"/>
          <w:marBottom w:val="0"/>
          <w:divBdr>
            <w:top w:val="none" w:sz="0" w:space="0" w:color="auto"/>
            <w:left w:val="none" w:sz="0" w:space="0" w:color="auto"/>
            <w:bottom w:val="none" w:sz="0" w:space="0" w:color="auto"/>
            <w:right w:val="none" w:sz="0" w:space="0" w:color="auto"/>
          </w:divBdr>
        </w:div>
        <w:div w:id="1727365022">
          <w:marLeft w:val="640"/>
          <w:marRight w:val="0"/>
          <w:marTop w:val="0"/>
          <w:marBottom w:val="0"/>
          <w:divBdr>
            <w:top w:val="none" w:sz="0" w:space="0" w:color="auto"/>
            <w:left w:val="none" w:sz="0" w:space="0" w:color="auto"/>
            <w:bottom w:val="none" w:sz="0" w:space="0" w:color="auto"/>
            <w:right w:val="none" w:sz="0" w:space="0" w:color="auto"/>
          </w:divBdr>
        </w:div>
        <w:div w:id="259459004">
          <w:marLeft w:val="640"/>
          <w:marRight w:val="0"/>
          <w:marTop w:val="0"/>
          <w:marBottom w:val="0"/>
          <w:divBdr>
            <w:top w:val="none" w:sz="0" w:space="0" w:color="auto"/>
            <w:left w:val="none" w:sz="0" w:space="0" w:color="auto"/>
            <w:bottom w:val="none" w:sz="0" w:space="0" w:color="auto"/>
            <w:right w:val="none" w:sz="0" w:space="0" w:color="auto"/>
          </w:divBdr>
        </w:div>
        <w:div w:id="1331061152">
          <w:marLeft w:val="640"/>
          <w:marRight w:val="0"/>
          <w:marTop w:val="0"/>
          <w:marBottom w:val="0"/>
          <w:divBdr>
            <w:top w:val="none" w:sz="0" w:space="0" w:color="auto"/>
            <w:left w:val="none" w:sz="0" w:space="0" w:color="auto"/>
            <w:bottom w:val="none" w:sz="0" w:space="0" w:color="auto"/>
            <w:right w:val="none" w:sz="0" w:space="0" w:color="auto"/>
          </w:divBdr>
        </w:div>
        <w:div w:id="1575360717">
          <w:marLeft w:val="640"/>
          <w:marRight w:val="0"/>
          <w:marTop w:val="0"/>
          <w:marBottom w:val="0"/>
          <w:divBdr>
            <w:top w:val="none" w:sz="0" w:space="0" w:color="auto"/>
            <w:left w:val="none" w:sz="0" w:space="0" w:color="auto"/>
            <w:bottom w:val="none" w:sz="0" w:space="0" w:color="auto"/>
            <w:right w:val="none" w:sz="0" w:space="0" w:color="auto"/>
          </w:divBdr>
        </w:div>
        <w:div w:id="207953605">
          <w:marLeft w:val="640"/>
          <w:marRight w:val="0"/>
          <w:marTop w:val="0"/>
          <w:marBottom w:val="0"/>
          <w:divBdr>
            <w:top w:val="none" w:sz="0" w:space="0" w:color="auto"/>
            <w:left w:val="none" w:sz="0" w:space="0" w:color="auto"/>
            <w:bottom w:val="none" w:sz="0" w:space="0" w:color="auto"/>
            <w:right w:val="none" w:sz="0" w:space="0" w:color="auto"/>
          </w:divBdr>
        </w:div>
        <w:div w:id="184832649">
          <w:marLeft w:val="640"/>
          <w:marRight w:val="0"/>
          <w:marTop w:val="0"/>
          <w:marBottom w:val="0"/>
          <w:divBdr>
            <w:top w:val="none" w:sz="0" w:space="0" w:color="auto"/>
            <w:left w:val="none" w:sz="0" w:space="0" w:color="auto"/>
            <w:bottom w:val="none" w:sz="0" w:space="0" w:color="auto"/>
            <w:right w:val="none" w:sz="0" w:space="0" w:color="auto"/>
          </w:divBdr>
        </w:div>
        <w:div w:id="1903521236">
          <w:marLeft w:val="640"/>
          <w:marRight w:val="0"/>
          <w:marTop w:val="0"/>
          <w:marBottom w:val="0"/>
          <w:divBdr>
            <w:top w:val="none" w:sz="0" w:space="0" w:color="auto"/>
            <w:left w:val="none" w:sz="0" w:space="0" w:color="auto"/>
            <w:bottom w:val="none" w:sz="0" w:space="0" w:color="auto"/>
            <w:right w:val="none" w:sz="0" w:space="0" w:color="auto"/>
          </w:divBdr>
        </w:div>
        <w:div w:id="28263757">
          <w:marLeft w:val="640"/>
          <w:marRight w:val="0"/>
          <w:marTop w:val="0"/>
          <w:marBottom w:val="0"/>
          <w:divBdr>
            <w:top w:val="none" w:sz="0" w:space="0" w:color="auto"/>
            <w:left w:val="none" w:sz="0" w:space="0" w:color="auto"/>
            <w:bottom w:val="none" w:sz="0" w:space="0" w:color="auto"/>
            <w:right w:val="none" w:sz="0" w:space="0" w:color="auto"/>
          </w:divBdr>
        </w:div>
        <w:div w:id="862747922">
          <w:marLeft w:val="640"/>
          <w:marRight w:val="0"/>
          <w:marTop w:val="0"/>
          <w:marBottom w:val="0"/>
          <w:divBdr>
            <w:top w:val="none" w:sz="0" w:space="0" w:color="auto"/>
            <w:left w:val="none" w:sz="0" w:space="0" w:color="auto"/>
            <w:bottom w:val="none" w:sz="0" w:space="0" w:color="auto"/>
            <w:right w:val="none" w:sz="0" w:space="0" w:color="auto"/>
          </w:divBdr>
        </w:div>
        <w:div w:id="993491903">
          <w:marLeft w:val="640"/>
          <w:marRight w:val="0"/>
          <w:marTop w:val="0"/>
          <w:marBottom w:val="0"/>
          <w:divBdr>
            <w:top w:val="none" w:sz="0" w:space="0" w:color="auto"/>
            <w:left w:val="none" w:sz="0" w:space="0" w:color="auto"/>
            <w:bottom w:val="none" w:sz="0" w:space="0" w:color="auto"/>
            <w:right w:val="none" w:sz="0" w:space="0" w:color="auto"/>
          </w:divBdr>
        </w:div>
        <w:div w:id="2063599672">
          <w:marLeft w:val="640"/>
          <w:marRight w:val="0"/>
          <w:marTop w:val="0"/>
          <w:marBottom w:val="0"/>
          <w:divBdr>
            <w:top w:val="none" w:sz="0" w:space="0" w:color="auto"/>
            <w:left w:val="none" w:sz="0" w:space="0" w:color="auto"/>
            <w:bottom w:val="none" w:sz="0" w:space="0" w:color="auto"/>
            <w:right w:val="none" w:sz="0" w:space="0" w:color="auto"/>
          </w:divBdr>
        </w:div>
        <w:div w:id="1487474465">
          <w:marLeft w:val="640"/>
          <w:marRight w:val="0"/>
          <w:marTop w:val="0"/>
          <w:marBottom w:val="0"/>
          <w:divBdr>
            <w:top w:val="none" w:sz="0" w:space="0" w:color="auto"/>
            <w:left w:val="none" w:sz="0" w:space="0" w:color="auto"/>
            <w:bottom w:val="none" w:sz="0" w:space="0" w:color="auto"/>
            <w:right w:val="none" w:sz="0" w:space="0" w:color="auto"/>
          </w:divBdr>
        </w:div>
        <w:div w:id="1978752532">
          <w:marLeft w:val="640"/>
          <w:marRight w:val="0"/>
          <w:marTop w:val="0"/>
          <w:marBottom w:val="0"/>
          <w:divBdr>
            <w:top w:val="none" w:sz="0" w:space="0" w:color="auto"/>
            <w:left w:val="none" w:sz="0" w:space="0" w:color="auto"/>
            <w:bottom w:val="none" w:sz="0" w:space="0" w:color="auto"/>
            <w:right w:val="none" w:sz="0" w:space="0" w:color="auto"/>
          </w:divBdr>
        </w:div>
        <w:div w:id="1027296429">
          <w:marLeft w:val="640"/>
          <w:marRight w:val="0"/>
          <w:marTop w:val="0"/>
          <w:marBottom w:val="0"/>
          <w:divBdr>
            <w:top w:val="none" w:sz="0" w:space="0" w:color="auto"/>
            <w:left w:val="none" w:sz="0" w:space="0" w:color="auto"/>
            <w:bottom w:val="none" w:sz="0" w:space="0" w:color="auto"/>
            <w:right w:val="none" w:sz="0" w:space="0" w:color="auto"/>
          </w:divBdr>
        </w:div>
        <w:div w:id="561064248">
          <w:marLeft w:val="640"/>
          <w:marRight w:val="0"/>
          <w:marTop w:val="0"/>
          <w:marBottom w:val="0"/>
          <w:divBdr>
            <w:top w:val="none" w:sz="0" w:space="0" w:color="auto"/>
            <w:left w:val="none" w:sz="0" w:space="0" w:color="auto"/>
            <w:bottom w:val="none" w:sz="0" w:space="0" w:color="auto"/>
            <w:right w:val="none" w:sz="0" w:space="0" w:color="auto"/>
          </w:divBdr>
        </w:div>
        <w:div w:id="1349019873">
          <w:marLeft w:val="640"/>
          <w:marRight w:val="0"/>
          <w:marTop w:val="0"/>
          <w:marBottom w:val="0"/>
          <w:divBdr>
            <w:top w:val="none" w:sz="0" w:space="0" w:color="auto"/>
            <w:left w:val="none" w:sz="0" w:space="0" w:color="auto"/>
            <w:bottom w:val="none" w:sz="0" w:space="0" w:color="auto"/>
            <w:right w:val="none" w:sz="0" w:space="0" w:color="auto"/>
          </w:divBdr>
        </w:div>
        <w:div w:id="596906147">
          <w:marLeft w:val="640"/>
          <w:marRight w:val="0"/>
          <w:marTop w:val="0"/>
          <w:marBottom w:val="0"/>
          <w:divBdr>
            <w:top w:val="none" w:sz="0" w:space="0" w:color="auto"/>
            <w:left w:val="none" w:sz="0" w:space="0" w:color="auto"/>
            <w:bottom w:val="none" w:sz="0" w:space="0" w:color="auto"/>
            <w:right w:val="none" w:sz="0" w:space="0" w:color="auto"/>
          </w:divBdr>
        </w:div>
        <w:div w:id="1234121954">
          <w:marLeft w:val="640"/>
          <w:marRight w:val="0"/>
          <w:marTop w:val="0"/>
          <w:marBottom w:val="0"/>
          <w:divBdr>
            <w:top w:val="none" w:sz="0" w:space="0" w:color="auto"/>
            <w:left w:val="none" w:sz="0" w:space="0" w:color="auto"/>
            <w:bottom w:val="none" w:sz="0" w:space="0" w:color="auto"/>
            <w:right w:val="none" w:sz="0" w:space="0" w:color="auto"/>
          </w:divBdr>
        </w:div>
        <w:div w:id="1714575377">
          <w:marLeft w:val="640"/>
          <w:marRight w:val="0"/>
          <w:marTop w:val="0"/>
          <w:marBottom w:val="0"/>
          <w:divBdr>
            <w:top w:val="none" w:sz="0" w:space="0" w:color="auto"/>
            <w:left w:val="none" w:sz="0" w:space="0" w:color="auto"/>
            <w:bottom w:val="none" w:sz="0" w:space="0" w:color="auto"/>
            <w:right w:val="none" w:sz="0" w:space="0" w:color="auto"/>
          </w:divBdr>
        </w:div>
        <w:div w:id="836501673">
          <w:marLeft w:val="640"/>
          <w:marRight w:val="0"/>
          <w:marTop w:val="0"/>
          <w:marBottom w:val="0"/>
          <w:divBdr>
            <w:top w:val="none" w:sz="0" w:space="0" w:color="auto"/>
            <w:left w:val="none" w:sz="0" w:space="0" w:color="auto"/>
            <w:bottom w:val="none" w:sz="0" w:space="0" w:color="auto"/>
            <w:right w:val="none" w:sz="0" w:space="0" w:color="auto"/>
          </w:divBdr>
        </w:div>
        <w:div w:id="1624190757">
          <w:marLeft w:val="640"/>
          <w:marRight w:val="0"/>
          <w:marTop w:val="0"/>
          <w:marBottom w:val="0"/>
          <w:divBdr>
            <w:top w:val="none" w:sz="0" w:space="0" w:color="auto"/>
            <w:left w:val="none" w:sz="0" w:space="0" w:color="auto"/>
            <w:bottom w:val="none" w:sz="0" w:space="0" w:color="auto"/>
            <w:right w:val="none" w:sz="0" w:space="0" w:color="auto"/>
          </w:divBdr>
        </w:div>
        <w:div w:id="1094975519">
          <w:marLeft w:val="640"/>
          <w:marRight w:val="0"/>
          <w:marTop w:val="0"/>
          <w:marBottom w:val="0"/>
          <w:divBdr>
            <w:top w:val="none" w:sz="0" w:space="0" w:color="auto"/>
            <w:left w:val="none" w:sz="0" w:space="0" w:color="auto"/>
            <w:bottom w:val="none" w:sz="0" w:space="0" w:color="auto"/>
            <w:right w:val="none" w:sz="0" w:space="0" w:color="auto"/>
          </w:divBdr>
        </w:div>
        <w:div w:id="889657155">
          <w:marLeft w:val="640"/>
          <w:marRight w:val="0"/>
          <w:marTop w:val="0"/>
          <w:marBottom w:val="0"/>
          <w:divBdr>
            <w:top w:val="none" w:sz="0" w:space="0" w:color="auto"/>
            <w:left w:val="none" w:sz="0" w:space="0" w:color="auto"/>
            <w:bottom w:val="none" w:sz="0" w:space="0" w:color="auto"/>
            <w:right w:val="none" w:sz="0" w:space="0" w:color="auto"/>
          </w:divBdr>
        </w:div>
        <w:div w:id="1857116787">
          <w:marLeft w:val="640"/>
          <w:marRight w:val="0"/>
          <w:marTop w:val="0"/>
          <w:marBottom w:val="0"/>
          <w:divBdr>
            <w:top w:val="none" w:sz="0" w:space="0" w:color="auto"/>
            <w:left w:val="none" w:sz="0" w:space="0" w:color="auto"/>
            <w:bottom w:val="none" w:sz="0" w:space="0" w:color="auto"/>
            <w:right w:val="none" w:sz="0" w:space="0" w:color="auto"/>
          </w:divBdr>
        </w:div>
        <w:div w:id="440151474">
          <w:marLeft w:val="640"/>
          <w:marRight w:val="0"/>
          <w:marTop w:val="0"/>
          <w:marBottom w:val="0"/>
          <w:divBdr>
            <w:top w:val="none" w:sz="0" w:space="0" w:color="auto"/>
            <w:left w:val="none" w:sz="0" w:space="0" w:color="auto"/>
            <w:bottom w:val="none" w:sz="0" w:space="0" w:color="auto"/>
            <w:right w:val="none" w:sz="0" w:space="0" w:color="auto"/>
          </w:divBdr>
        </w:div>
        <w:div w:id="555239532">
          <w:marLeft w:val="640"/>
          <w:marRight w:val="0"/>
          <w:marTop w:val="0"/>
          <w:marBottom w:val="0"/>
          <w:divBdr>
            <w:top w:val="none" w:sz="0" w:space="0" w:color="auto"/>
            <w:left w:val="none" w:sz="0" w:space="0" w:color="auto"/>
            <w:bottom w:val="none" w:sz="0" w:space="0" w:color="auto"/>
            <w:right w:val="none" w:sz="0" w:space="0" w:color="auto"/>
          </w:divBdr>
        </w:div>
        <w:div w:id="1838302948">
          <w:marLeft w:val="640"/>
          <w:marRight w:val="0"/>
          <w:marTop w:val="0"/>
          <w:marBottom w:val="0"/>
          <w:divBdr>
            <w:top w:val="none" w:sz="0" w:space="0" w:color="auto"/>
            <w:left w:val="none" w:sz="0" w:space="0" w:color="auto"/>
            <w:bottom w:val="none" w:sz="0" w:space="0" w:color="auto"/>
            <w:right w:val="none" w:sz="0" w:space="0" w:color="auto"/>
          </w:divBdr>
        </w:div>
        <w:div w:id="966007620">
          <w:marLeft w:val="640"/>
          <w:marRight w:val="0"/>
          <w:marTop w:val="0"/>
          <w:marBottom w:val="0"/>
          <w:divBdr>
            <w:top w:val="none" w:sz="0" w:space="0" w:color="auto"/>
            <w:left w:val="none" w:sz="0" w:space="0" w:color="auto"/>
            <w:bottom w:val="none" w:sz="0" w:space="0" w:color="auto"/>
            <w:right w:val="none" w:sz="0" w:space="0" w:color="auto"/>
          </w:divBdr>
        </w:div>
        <w:div w:id="487942772">
          <w:marLeft w:val="640"/>
          <w:marRight w:val="0"/>
          <w:marTop w:val="0"/>
          <w:marBottom w:val="0"/>
          <w:divBdr>
            <w:top w:val="none" w:sz="0" w:space="0" w:color="auto"/>
            <w:left w:val="none" w:sz="0" w:space="0" w:color="auto"/>
            <w:bottom w:val="none" w:sz="0" w:space="0" w:color="auto"/>
            <w:right w:val="none" w:sz="0" w:space="0" w:color="auto"/>
          </w:divBdr>
        </w:div>
        <w:div w:id="112020227">
          <w:marLeft w:val="640"/>
          <w:marRight w:val="0"/>
          <w:marTop w:val="0"/>
          <w:marBottom w:val="0"/>
          <w:divBdr>
            <w:top w:val="none" w:sz="0" w:space="0" w:color="auto"/>
            <w:left w:val="none" w:sz="0" w:space="0" w:color="auto"/>
            <w:bottom w:val="none" w:sz="0" w:space="0" w:color="auto"/>
            <w:right w:val="none" w:sz="0" w:space="0" w:color="auto"/>
          </w:divBdr>
        </w:div>
        <w:div w:id="1394506013">
          <w:marLeft w:val="640"/>
          <w:marRight w:val="0"/>
          <w:marTop w:val="0"/>
          <w:marBottom w:val="0"/>
          <w:divBdr>
            <w:top w:val="none" w:sz="0" w:space="0" w:color="auto"/>
            <w:left w:val="none" w:sz="0" w:space="0" w:color="auto"/>
            <w:bottom w:val="none" w:sz="0" w:space="0" w:color="auto"/>
            <w:right w:val="none" w:sz="0" w:space="0" w:color="auto"/>
          </w:divBdr>
        </w:div>
        <w:div w:id="2117015667">
          <w:marLeft w:val="640"/>
          <w:marRight w:val="0"/>
          <w:marTop w:val="0"/>
          <w:marBottom w:val="0"/>
          <w:divBdr>
            <w:top w:val="none" w:sz="0" w:space="0" w:color="auto"/>
            <w:left w:val="none" w:sz="0" w:space="0" w:color="auto"/>
            <w:bottom w:val="none" w:sz="0" w:space="0" w:color="auto"/>
            <w:right w:val="none" w:sz="0" w:space="0" w:color="auto"/>
          </w:divBdr>
        </w:div>
        <w:div w:id="2132900572">
          <w:marLeft w:val="640"/>
          <w:marRight w:val="0"/>
          <w:marTop w:val="0"/>
          <w:marBottom w:val="0"/>
          <w:divBdr>
            <w:top w:val="none" w:sz="0" w:space="0" w:color="auto"/>
            <w:left w:val="none" w:sz="0" w:space="0" w:color="auto"/>
            <w:bottom w:val="none" w:sz="0" w:space="0" w:color="auto"/>
            <w:right w:val="none" w:sz="0" w:space="0" w:color="auto"/>
          </w:divBdr>
        </w:div>
        <w:div w:id="1708024810">
          <w:marLeft w:val="640"/>
          <w:marRight w:val="0"/>
          <w:marTop w:val="0"/>
          <w:marBottom w:val="0"/>
          <w:divBdr>
            <w:top w:val="none" w:sz="0" w:space="0" w:color="auto"/>
            <w:left w:val="none" w:sz="0" w:space="0" w:color="auto"/>
            <w:bottom w:val="none" w:sz="0" w:space="0" w:color="auto"/>
            <w:right w:val="none" w:sz="0" w:space="0" w:color="auto"/>
          </w:divBdr>
        </w:div>
        <w:div w:id="530536117">
          <w:marLeft w:val="640"/>
          <w:marRight w:val="0"/>
          <w:marTop w:val="0"/>
          <w:marBottom w:val="0"/>
          <w:divBdr>
            <w:top w:val="none" w:sz="0" w:space="0" w:color="auto"/>
            <w:left w:val="none" w:sz="0" w:space="0" w:color="auto"/>
            <w:bottom w:val="none" w:sz="0" w:space="0" w:color="auto"/>
            <w:right w:val="none" w:sz="0" w:space="0" w:color="auto"/>
          </w:divBdr>
        </w:div>
        <w:div w:id="171338219">
          <w:marLeft w:val="640"/>
          <w:marRight w:val="0"/>
          <w:marTop w:val="0"/>
          <w:marBottom w:val="0"/>
          <w:divBdr>
            <w:top w:val="none" w:sz="0" w:space="0" w:color="auto"/>
            <w:left w:val="none" w:sz="0" w:space="0" w:color="auto"/>
            <w:bottom w:val="none" w:sz="0" w:space="0" w:color="auto"/>
            <w:right w:val="none" w:sz="0" w:space="0" w:color="auto"/>
          </w:divBdr>
        </w:div>
        <w:div w:id="2001350223">
          <w:marLeft w:val="640"/>
          <w:marRight w:val="0"/>
          <w:marTop w:val="0"/>
          <w:marBottom w:val="0"/>
          <w:divBdr>
            <w:top w:val="none" w:sz="0" w:space="0" w:color="auto"/>
            <w:left w:val="none" w:sz="0" w:space="0" w:color="auto"/>
            <w:bottom w:val="none" w:sz="0" w:space="0" w:color="auto"/>
            <w:right w:val="none" w:sz="0" w:space="0" w:color="auto"/>
          </w:divBdr>
        </w:div>
        <w:div w:id="332533147">
          <w:marLeft w:val="640"/>
          <w:marRight w:val="0"/>
          <w:marTop w:val="0"/>
          <w:marBottom w:val="0"/>
          <w:divBdr>
            <w:top w:val="none" w:sz="0" w:space="0" w:color="auto"/>
            <w:left w:val="none" w:sz="0" w:space="0" w:color="auto"/>
            <w:bottom w:val="none" w:sz="0" w:space="0" w:color="auto"/>
            <w:right w:val="none" w:sz="0" w:space="0" w:color="auto"/>
          </w:divBdr>
        </w:div>
        <w:div w:id="2082169061">
          <w:marLeft w:val="640"/>
          <w:marRight w:val="0"/>
          <w:marTop w:val="0"/>
          <w:marBottom w:val="0"/>
          <w:divBdr>
            <w:top w:val="none" w:sz="0" w:space="0" w:color="auto"/>
            <w:left w:val="none" w:sz="0" w:space="0" w:color="auto"/>
            <w:bottom w:val="none" w:sz="0" w:space="0" w:color="auto"/>
            <w:right w:val="none" w:sz="0" w:space="0" w:color="auto"/>
          </w:divBdr>
        </w:div>
        <w:div w:id="1676683417">
          <w:marLeft w:val="640"/>
          <w:marRight w:val="0"/>
          <w:marTop w:val="0"/>
          <w:marBottom w:val="0"/>
          <w:divBdr>
            <w:top w:val="none" w:sz="0" w:space="0" w:color="auto"/>
            <w:left w:val="none" w:sz="0" w:space="0" w:color="auto"/>
            <w:bottom w:val="none" w:sz="0" w:space="0" w:color="auto"/>
            <w:right w:val="none" w:sz="0" w:space="0" w:color="auto"/>
          </w:divBdr>
        </w:div>
        <w:div w:id="481385698">
          <w:marLeft w:val="640"/>
          <w:marRight w:val="0"/>
          <w:marTop w:val="0"/>
          <w:marBottom w:val="0"/>
          <w:divBdr>
            <w:top w:val="none" w:sz="0" w:space="0" w:color="auto"/>
            <w:left w:val="none" w:sz="0" w:space="0" w:color="auto"/>
            <w:bottom w:val="none" w:sz="0" w:space="0" w:color="auto"/>
            <w:right w:val="none" w:sz="0" w:space="0" w:color="auto"/>
          </w:divBdr>
        </w:div>
        <w:div w:id="2029407094">
          <w:marLeft w:val="640"/>
          <w:marRight w:val="0"/>
          <w:marTop w:val="0"/>
          <w:marBottom w:val="0"/>
          <w:divBdr>
            <w:top w:val="none" w:sz="0" w:space="0" w:color="auto"/>
            <w:left w:val="none" w:sz="0" w:space="0" w:color="auto"/>
            <w:bottom w:val="none" w:sz="0" w:space="0" w:color="auto"/>
            <w:right w:val="none" w:sz="0" w:space="0" w:color="auto"/>
          </w:divBdr>
        </w:div>
        <w:div w:id="107314263">
          <w:marLeft w:val="640"/>
          <w:marRight w:val="0"/>
          <w:marTop w:val="0"/>
          <w:marBottom w:val="0"/>
          <w:divBdr>
            <w:top w:val="none" w:sz="0" w:space="0" w:color="auto"/>
            <w:left w:val="none" w:sz="0" w:space="0" w:color="auto"/>
            <w:bottom w:val="none" w:sz="0" w:space="0" w:color="auto"/>
            <w:right w:val="none" w:sz="0" w:space="0" w:color="auto"/>
          </w:divBdr>
        </w:div>
        <w:div w:id="1369139397">
          <w:marLeft w:val="640"/>
          <w:marRight w:val="0"/>
          <w:marTop w:val="0"/>
          <w:marBottom w:val="0"/>
          <w:divBdr>
            <w:top w:val="none" w:sz="0" w:space="0" w:color="auto"/>
            <w:left w:val="none" w:sz="0" w:space="0" w:color="auto"/>
            <w:bottom w:val="none" w:sz="0" w:space="0" w:color="auto"/>
            <w:right w:val="none" w:sz="0" w:space="0" w:color="auto"/>
          </w:divBdr>
        </w:div>
        <w:div w:id="1667977226">
          <w:marLeft w:val="640"/>
          <w:marRight w:val="0"/>
          <w:marTop w:val="0"/>
          <w:marBottom w:val="0"/>
          <w:divBdr>
            <w:top w:val="none" w:sz="0" w:space="0" w:color="auto"/>
            <w:left w:val="none" w:sz="0" w:space="0" w:color="auto"/>
            <w:bottom w:val="none" w:sz="0" w:space="0" w:color="auto"/>
            <w:right w:val="none" w:sz="0" w:space="0" w:color="auto"/>
          </w:divBdr>
        </w:div>
        <w:div w:id="972099047">
          <w:marLeft w:val="640"/>
          <w:marRight w:val="0"/>
          <w:marTop w:val="0"/>
          <w:marBottom w:val="0"/>
          <w:divBdr>
            <w:top w:val="none" w:sz="0" w:space="0" w:color="auto"/>
            <w:left w:val="none" w:sz="0" w:space="0" w:color="auto"/>
            <w:bottom w:val="none" w:sz="0" w:space="0" w:color="auto"/>
            <w:right w:val="none" w:sz="0" w:space="0" w:color="auto"/>
          </w:divBdr>
        </w:div>
        <w:div w:id="1942251683">
          <w:marLeft w:val="640"/>
          <w:marRight w:val="0"/>
          <w:marTop w:val="0"/>
          <w:marBottom w:val="0"/>
          <w:divBdr>
            <w:top w:val="none" w:sz="0" w:space="0" w:color="auto"/>
            <w:left w:val="none" w:sz="0" w:space="0" w:color="auto"/>
            <w:bottom w:val="none" w:sz="0" w:space="0" w:color="auto"/>
            <w:right w:val="none" w:sz="0" w:space="0" w:color="auto"/>
          </w:divBdr>
        </w:div>
        <w:div w:id="1512719792">
          <w:marLeft w:val="640"/>
          <w:marRight w:val="0"/>
          <w:marTop w:val="0"/>
          <w:marBottom w:val="0"/>
          <w:divBdr>
            <w:top w:val="none" w:sz="0" w:space="0" w:color="auto"/>
            <w:left w:val="none" w:sz="0" w:space="0" w:color="auto"/>
            <w:bottom w:val="none" w:sz="0" w:space="0" w:color="auto"/>
            <w:right w:val="none" w:sz="0" w:space="0" w:color="auto"/>
          </w:divBdr>
        </w:div>
        <w:div w:id="136189457">
          <w:marLeft w:val="640"/>
          <w:marRight w:val="0"/>
          <w:marTop w:val="0"/>
          <w:marBottom w:val="0"/>
          <w:divBdr>
            <w:top w:val="none" w:sz="0" w:space="0" w:color="auto"/>
            <w:left w:val="none" w:sz="0" w:space="0" w:color="auto"/>
            <w:bottom w:val="none" w:sz="0" w:space="0" w:color="auto"/>
            <w:right w:val="none" w:sz="0" w:space="0" w:color="auto"/>
          </w:divBdr>
        </w:div>
        <w:div w:id="572475987">
          <w:marLeft w:val="640"/>
          <w:marRight w:val="0"/>
          <w:marTop w:val="0"/>
          <w:marBottom w:val="0"/>
          <w:divBdr>
            <w:top w:val="none" w:sz="0" w:space="0" w:color="auto"/>
            <w:left w:val="none" w:sz="0" w:space="0" w:color="auto"/>
            <w:bottom w:val="none" w:sz="0" w:space="0" w:color="auto"/>
            <w:right w:val="none" w:sz="0" w:space="0" w:color="auto"/>
          </w:divBdr>
        </w:div>
        <w:div w:id="1908685324">
          <w:marLeft w:val="640"/>
          <w:marRight w:val="0"/>
          <w:marTop w:val="0"/>
          <w:marBottom w:val="0"/>
          <w:divBdr>
            <w:top w:val="none" w:sz="0" w:space="0" w:color="auto"/>
            <w:left w:val="none" w:sz="0" w:space="0" w:color="auto"/>
            <w:bottom w:val="none" w:sz="0" w:space="0" w:color="auto"/>
            <w:right w:val="none" w:sz="0" w:space="0" w:color="auto"/>
          </w:divBdr>
        </w:div>
        <w:div w:id="1789230770">
          <w:marLeft w:val="640"/>
          <w:marRight w:val="0"/>
          <w:marTop w:val="0"/>
          <w:marBottom w:val="0"/>
          <w:divBdr>
            <w:top w:val="none" w:sz="0" w:space="0" w:color="auto"/>
            <w:left w:val="none" w:sz="0" w:space="0" w:color="auto"/>
            <w:bottom w:val="none" w:sz="0" w:space="0" w:color="auto"/>
            <w:right w:val="none" w:sz="0" w:space="0" w:color="auto"/>
          </w:divBdr>
        </w:div>
        <w:div w:id="287249994">
          <w:marLeft w:val="640"/>
          <w:marRight w:val="0"/>
          <w:marTop w:val="0"/>
          <w:marBottom w:val="0"/>
          <w:divBdr>
            <w:top w:val="none" w:sz="0" w:space="0" w:color="auto"/>
            <w:left w:val="none" w:sz="0" w:space="0" w:color="auto"/>
            <w:bottom w:val="none" w:sz="0" w:space="0" w:color="auto"/>
            <w:right w:val="none" w:sz="0" w:space="0" w:color="auto"/>
          </w:divBdr>
        </w:div>
        <w:div w:id="451293057">
          <w:marLeft w:val="640"/>
          <w:marRight w:val="0"/>
          <w:marTop w:val="0"/>
          <w:marBottom w:val="0"/>
          <w:divBdr>
            <w:top w:val="none" w:sz="0" w:space="0" w:color="auto"/>
            <w:left w:val="none" w:sz="0" w:space="0" w:color="auto"/>
            <w:bottom w:val="none" w:sz="0" w:space="0" w:color="auto"/>
            <w:right w:val="none" w:sz="0" w:space="0" w:color="auto"/>
          </w:divBdr>
        </w:div>
        <w:div w:id="76292911">
          <w:marLeft w:val="640"/>
          <w:marRight w:val="0"/>
          <w:marTop w:val="0"/>
          <w:marBottom w:val="0"/>
          <w:divBdr>
            <w:top w:val="none" w:sz="0" w:space="0" w:color="auto"/>
            <w:left w:val="none" w:sz="0" w:space="0" w:color="auto"/>
            <w:bottom w:val="none" w:sz="0" w:space="0" w:color="auto"/>
            <w:right w:val="none" w:sz="0" w:space="0" w:color="auto"/>
          </w:divBdr>
        </w:div>
        <w:div w:id="1327318377">
          <w:marLeft w:val="640"/>
          <w:marRight w:val="0"/>
          <w:marTop w:val="0"/>
          <w:marBottom w:val="0"/>
          <w:divBdr>
            <w:top w:val="none" w:sz="0" w:space="0" w:color="auto"/>
            <w:left w:val="none" w:sz="0" w:space="0" w:color="auto"/>
            <w:bottom w:val="none" w:sz="0" w:space="0" w:color="auto"/>
            <w:right w:val="none" w:sz="0" w:space="0" w:color="auto"/>
          </w:divBdr>
        </w:div>
        <w:div w:id="1584728987">
          <w:marLeft w:val="640"/>
          <w:marRight w:val="0"/>
          <w:marTop w:val="0"/>
          <w:marBottom w:val="0"/>
          <w:divBdr>
            <w:top w:val="none" w:sz="0" w:space="0" w:color="auto"/>
            <w:left w:val="none" w:sz="0" w:space="0" w:color="auto"/>
            <w:bottom w:val="none" w:sz="0" w:space="0" w:color="auto"/>
            <w:right w:val="none" w:sz="0" w:space="0" w:color="auto"/>
          </w:divBdr>
        </w:div>
        <w:div w:id="1204555303">
          <w:marLeft w:val="640"/>
          <w:marRight w:val="0"/>
          <w:marTop w:val="0"/>
          <w:marBottom w:val="0"/>
          <w:divBdr>
            <w:top w:val="none" w:sz="0" w:space="0" w:color="auto"/>
            <w:left w:val="none" w:sz="0" w:space="0" w:color="auto"/>
            <w:bottom w:val="none" w:sz="0" w:space="0" w:color="auto"/>
            <w:right w:val="none" w:sz="0" w:space="0" w:color="auto"/>
          </w:divBdr>
        </w:div>
        <w:div w:id="1851216636">
          <w:marLeft w:val="640"/>
          <w:marRight w:val="0"/>
          <w:marTop w:val="0"/>
          <w:marBottom w:val="0"/>
          <w:divBdr>
            <w:top w:val="none" w:sz="0" w:space="0" w:color="auto"/>
            <w:left w:val="none" w:sz="0" w:space="0" w:color="auto"/>
            <w:bottom w:val="none" w:sz="0" w:space="0" w:color="auto"/>
            <w:right w:val="none" w:sz="0" w:space="0" w:color="auto"/>
          </w:divBdr>
        </w:div>
        <w:div w:id="859588464">
          <w:marLeft w:val="640"/>
          <w:marRight w:val="0"/>
          <w:marTop w:val="0"/>
          <w:marBottom w:val="0"/>
          <w:divBdr>
            <w:top w:val="none" w:sz="0" w:space="0" w:color="auto"/>
            <w:left w:val="none" w:sz="0" w:space="0" w:color="auto"/>
            <w:bottom w:val="none" w:sz="0" w:space="0" w:color="auto"/>
            <w:right w:val="none" w:sz="0" w:space="0" w:color="auto"/>
          </w:divBdr>
        </w:div>
        <w:div w:id="910507425">
          <w:marLeft w:val="640"/>
          <w:marRight w:val="0"/>
          <w:marTop w:val="0"/>
          <w:marBottom w:val="0"/>
          <w:divBdr>
            <w:top w:val="none" w:sz="0" w:space="0" w:color="auto"/>
            <w:left w:val="none" w:sz="0" w:space="0" w:color="auto"/>
            <w:bottom w:val="none" w:sz="0" w:space="0" w:color="auto"/>
            <w:right w:val="none" w:sz="0" w:space="0" w:color="auto"/>
          </w:divBdr>
        </w:div>
        <w:div w:id="1587837023">
          <w:marLeft w:val="640"/>
          <w:marRight w:val="0"/>
          <w:marTop w:val="0"/>
          <w:marBottom w:val="0"/>
          <w:divBdr>
            <w:top w:val="none" w:sz="0" w:space="0" w:color="auto"/>
            <w:left w:val="none" w:sz="0" w:space="0" w:color="auto"/>
            <w:bottom w:val="none" w:sz="0" w:space="0" w:color="auto"/>
            <w:right w:val="none" w:sz="0" w:space="0" w:color="auto"/>
          </w:divBdr>
        </w:div>
        <w:div w:id="1876650617">
          <w:marLeft w:val="640"/>
          <w:marRight w:val="0"/>
          <w:marTop w:val="0"/>
          <w:marBottom w:val="0"/>
          <w:divBdr>
            <w:top w:val="none" w:sz="0" w:space="0" w:color="auto"/>
            <w:left w:val="none" w:sz="0" w:space="0" w:color="auto"/>
            <w:bottom w:val="none" w:sz="0" w:space="0" w:color="auto"/>
            <w:right w:val="none" w:sz="0" w:space="0" w:color="auto"/>
          </w:divBdr>
        </w:div>
        <w:div w:id="1530098909">
          <w:marLeft w:val="640"/>
          <w:marRight w:val="0"/>
          <w:marTop w:val="0"/>
          <w:marBottom w:val="0"/>
          <w:divBdr>
            <w:top w:val="none" w:sz="0" w:space="0" w:color="auto"/>
            <w:left w:val="none" w:sz="0" w:space="0" w:color="auto"/>
            <w:bottom w:val="none" w:sz="0" w:space="0" w:color="auto"/>
            <w:right w:val="none" w:sz="0" w:space="0" w:color="auto"/>
          </w:divBdr>
        </w:div>
        <w:div w:id="2133553727">
          <w:marLeft w:val="640"/>
          <w:marRight w:val="0"/>
          <w:marTop w:val="0"/>
          <w:marBottom w:val="0"/>
          <w:divBdr>
            <w:top w:val="none" w:sz="0" w:space="0" w:color="auto"/>
            <w:left w:val="none" w:sz="0" w:space="0" w:color="auto"/>
            <w:bottom w:val="none" w:sz="0" w:space="0" w:color="auto"/>
            <w:right w:val="none" w:sz="0" w:space="0" w:color="auto"/>
          </w:divBdr>
        </w:div>
        <w:div w:id="1993095338">
          <w:marLeft w:val="640"/>
          <w:marRight w:val="0"/>
          <w:marTop w:val="0"/>
          <w:marBottom w:val="0"/>
          <w:divBdr>
            <w:top w:val="none" w:sz="0" w:space="0" w:color="auto"/>
            <w:left w:val="none" w:sz="0" w:space="0" w:color="auto"/>
            <w:bottom w:val="none" w:sz="0" w:space="0" w:color="auto"/>
            <w:right w:val="none" w:sz="0" w:space="0" w:color="auto"/>
          </w:divBdr>
        </w:div>
        <w:div w:id="1887832327">
          <w:marLeft w:val="640"/>
          <w:marRight w:val="0"/>
          <w:marTop w:val="0"/>
          <w:marBottom w:val="0"/>
          <w:divBdr>
            <w:top w:val="none" w:sz="0" w:space="0" w:color="auto"/>
            <w:left w:val="none" w:sz="0" w:space="0" w:color="auto"/>
            <w:bottom w:val="none" w:sz="0" w:space="0" w:color="auto"/>
            <w:right w:val="none" w:sz="0" w:space="0" w:color="auto"/>
          </w:divBdr>
        </w:div>
        <w:div w:id="1553730941">
          <w:marLeft w:val="640"/>
          <w:marRight w:val="0"/>
          <w:marTop w:val="0"/>
          <w:marBottom w:val="0"/>
          <w:divBdr>
            <w:top w:val="none" w:sz="0" w:space="0" w:color="auto"/>
            <w:left w:val="none" w:sz="0" w:space="0" w:color="auto"/>
            <w:bottom w:val="none" w:sz="0" w:space="0" w:color="auto"/>
            <w:right w:val="none" w:sz="0" w:space="0" w:color="auto"/>
          </w:divBdr>
        </w:div>
        <w:div w:id="57678740">
          <w:marLeft w:val="640"/>
          <w:marRight w:val="0"/>
          <w:marTop w:val="0"/>
          <w:marBottom w:val="0"/>
          <w:divBdr>
            <w:top w:val="none" w:sz="0" w:space="0" w:color="auto"/>
            <w:left w:val="none" w:sz="0" w:space="0" w:color="auto"/>
            <w:bottom w:val="none" w:sz="0" w:space="0" w:color="auto"/>
            <w:right w:val="none" w:sz="0" w:space="0" w:color="auto"/>
          </w:divBdr>
        </w:div>
        <w:div w:id="77139036">
          <w:marLeft w:val="640"/>
          <w:marRight w:val="0"/>
          <w:marTop w:val="0"/>
          <w:marBottom w:val="0"/>
          <w:divBdr>
            <w:top w:val="none" w:sz="0" w:space="0" w:color="auto"/>
            <w:left w:val="none" w:sz="0" w:space="0" w:color="auto"/>
            <w:bottom w:val="none" w:sz="0" w:space="0" w:color="auto"/>
            <w:right w:val="none" w:sz="0" w:space="0" w:color="auto"/>
          </w:divBdr>
        </w:div>
      </w:divsChild>
    </w:div>
    <w:div w:id="633414967">
      <w:bodyDiv w:val="1"/>
      <w:marLeft w:val="0"/>
      <w:marRight w:val="0"/>
      <w:marTop w:val="0"/>
      <w:marBottom w:val="0"/>
      <w:divBdr>
        <w:top w:val="none" w:sz="0" w:space="0" w:color="auto"/>
        <w:left w:val="none" w:sz="0" w:space="0" w:color="auto"/>
        <w:bottom w:val="none" w:sz="0" w:space="0" w:color="auto"/>
        <w:right w:val="none" w:sz="0" w:space="0" w:color="auto"/>
      </w:divBdr>
    </w:div>
    <w:div w:id="634070197">
      <w:bodyDiv w:val="1"/>
      <w:marLeft w:val="0"/>
      <w:marRight w:val="0"/>
      <w:marTop w:val="0"/>
      <w:marBottom w:val="0"/>
      <w:divBdr>
        <w:top w:val="none" w:sz="0" w:space="0" w:color="auto"/>
        <w:left w:val="none" w:sz="0" w:space="0" w:color="auto"/>
        <w:bottom w:val="none" w:sz="0" w:space="0" w:color="auto"/>
        <w:right w:val="none" w:sz="0" w:space="0" w:color="auto"/>
      </w:divBdr>
    </w:div>
    <w:div w:id="636106282">
      <w:bodyDiv w:val="1"/>
      <w:marLeft w:val="0"/>
      <w:marRight w:val="0"/>
      <w:marTop w:val="0"/>
      <w:marBottom w:val="0"/>
      <w:divBdr>
        <w:top w:val="none" w:sz="0" w:space="0" w:color="auto"/>
        <w:left w:val="none" w:sz="0" w:space="0" w:color="auto"/>
        <w:bottom w:val="none" w:sz="0" w:space="0" w:color="auto"/>
        <w:right w:val="none" w:sz="0" w:space="0" w:color="auto"/>
      </w:divBdr>
    </w:div>
    <w:div w:id="636253587">
      <w:bodyDiv w:val="1"/>
      <w:marLeft w:val="0"/>
      <w:marRight w:val="0"/>
      <w:marTop w:val="0"/>
      <w:marBottom w:val="0"/>
      <w:divBdr>
        <w:top w:val="none" w:sz="0" w:space="0" w:color="auto"/>
        <w:left w:val="none" w:sz="0" w:space="0" w:color="auto"/>
        <w:bottom w:val="none" w:sz="0" w:space="0" w:color="auto"/>
        <w:right w:val="none" w:sz="0" w:space="0" w:color="auto"/>
      </w:divBdr>
    </w:div>
    <w:div w:id="638144550">
      <w:bodyDiv w:val="1"/>
      <w:marLeft w:val="0"/>
      <w:marRight w:val="0"/>
      <w:marTop w:val="0"/>
      <w:marBottom w:val="0"/>
      <w:divBdr>
        <w:top w:val="none" w:sz="0" w:space="0" w:color="auto"/>
        <w:left w:val="none" w:sz="0" w:space="0" w:color="auto"/>
        <w:bottom w:val="none" w:sz="0" w:space="0" w:color="auto"/>
        <w:right w:val="none" w:sz="0" w:space="0" w:color="auto"/>
      </w:divBdr>
    </w:div>
    <w:div w:id="640311046">
      <w:bodyDiv w:val="1"/>
      <w:marLeft w:val="0"/>
      <w:marRight w:val="0"/>
      <w:marTop w:val="0"/>
      <w:marBottom w:val="0"/>
      <w:divBdr>
        <w:top w:val="none" w:sz="0" w:space="0" w:color="auto"/>
        <w:left w:val="none" w:sz="0" w:space="0" w:color="auto"/>
        <w:bottom w:val="none" w:sz="0" w:space="0" w:color="auto"/>
        <w:right w:val="none" w:sz="0" w:space="0" w:color="auto"/>
      </w:divBdr>
    </w:div>
    <w:div w:id="642277091">
      <w:bodyDiv w:val="1"/>
      <w:marLeft w:val="0"/>
      <w:marRight w:val="0"/>
      <w:marTop w:val="0"/>
      <w:marBottom w:val="0"/>
      <w:divBdr>
        <w:top w:val="none" w:sz="0" w:space="0" w:color="auto"/>
        <w:left w:val="none" w:sz="0" w:space="0" w:color="auto"/>
        <w:bottom w:val="none" w:sz="0" w:space="0" w:color="auto"/>
        <w:right w:val="none" w:sz="0" w:space="0" w:color="auto"/>
      </w:divBdr>
      <w:divsChild>
        <w:div w:id="1404795725">
          <w:marLeft w:val="640"/>
          <w:marRight w:val="0"/>
          <w:marTop w:val="0"/>
          <w:marBottom w:val="0"/>
          <w:divBdr>
            <w:top w:val="none" w:sz="0" w:space="0" w:color="auto"/>
            <w:left w:val="none" w:sz="0" w:space="0" w:color="auto"/>
            <w:bottom w:val="none" w:sz="0" w:space="0" w:color="auto"/>
            <w:right w:val="none" w:sz="0" w:space="0" w:color="auto"/>
          </w:divBdr>
        </w:div>
        <w:div w:id="1398092652">
          <w:marLeft w:val="640"/>
          <w:marRight w:val="0"/>
          <w:marTop w:val="0"/>
          <w:marBottom w:val="0"/>
          <w:divBdr>
            <w:top w:val="none" w:sz="0" w:space="0" w:color="auto"/>
            <w:left w:val="none" w:sz="0" w:space="0" w:color="auto"/>
            <w:bottom w:val="none" w:sz="0" w:space="0" w:color="auto"/>
            <w:right w:val="none" w:sz="0" w:space="0" w:color="auto"/>
          </w:divBdr>
        </w:div>
        <w:div w:id="1365405346">
          <w:marLeft w:val="640"/>
          <w:marRight w:val="0"/>
          <w:marTop w:val="0"/>
          <w:marBottom w:val="0"/>
          <w:divBdr>
            <w:top w:val="none" w:sz="0" w:space="0" w:color="auto"/>
            <w:left w:val="none" w:sz="0" w:space="0" w:color="auto"/>
            <w:bottom w:val="none" w:sz="0" w:space="0" w:color="auto"/>
            <w:right w:val="none" w:sz="0" w:space="0" w:color="auto"/>
          </w:divBdr>
        </w:div>
        <w:div w:id="1709180832">
          <w:marLeft w:val="640"/>
          <w:marRight w:val="0"/>
          <w:marTop w:val="0"/>
          <w:marBottom w:val="0"/>
          <w:divBdr>
            <w:top w:val="none" w:sz="0" w:space="0" w:color="auto"/>
            <w:left w:val="none" w:sz="0" w:space="0" w:color="auto"/>
            <w:bottom w:val="none" w:sz="0" w:space="0" w:color="auto"/>
            <w:right w:val="none" w:sz="0" w:space="0" w:color="auto"/>
          </w:divBdr>
        </w:div>
        <w:div w:id="510607533">
          <w:marLeft w:val="640"/>
          <w:marRight w:val="0"/>
          <w:marTop w:val="0"/>
          <w:marBottom w:val="0"/>
          <w:divBdr>
            <w:top w:val="none" w:sz="0" w:space="0" w:color="auto"/>
            <w:left w:val="none" w:sz="0" w:space="0" w:color="auto"/>
            <w:bottom w:val="none" w:sz="0" w:space="0" w:color="auto"/>
            <w:right w:val="none" w:sz="0" w:space="0" w:color="auto"/>
          </w:divBdr>
        </w:div>
        <w:div w:id="1021859860">
          <w:marLeft w:val="640"/>
          <w:marRight w:val="0"/>
          <w:marTop w:val="0"/>
          <w:marBottom w:val="0"/>
          <w:divBdr>
            <w:top w:val="none" w:sz="0" w:space="0" w:color="auto"/>
            <w:left w:val="none" w:sz="0" w:space="0" w:color="auto"/>
            <w:bottom w:val="none" w:sz="0" w:space="0" w:color="auto"/>
            <w:right w:val="none" w:sz="0" w:space="0" w:color="auto"/>
          </w:divBdr>
        </w:div>
        <w:div w:id="259341204">
          <w:marLeft w:val="640"/>
          <w:marRight w:val="0"/>
          <w:marTop w:val="0"/>
          <w:marBottom w:val="0"/>
          <w:divBdr>
            <w:top w:val="none" w:sz="0" w:space="0" w:color="auto"/>
            <w:left w:val="none" w:sz="0" w:space="0" w:color="auto"/>
            <w:bottom w:val="none" w:sz="0" w:space="0" w:color="auto"/>
            <w:right w:val="none" w:sz="0" w:space="0" w:color="auto"/>
          </w:divBdr>
        </w:div>
        <w:div w:id="615138619">
          <w:marLeft w:val="640"/>
          <w:marRight w:val="0"/>
          <w:marTop w:val="0"/>
          <w:marBottom w:val="0"/>
          <w:divBdr>
            <w:top w:val="none" w:sz="0" w:space="0" w:color="auto"/>
            <w:left w:val="none" w:sz="0" w:space="0" w:color="auto"/>
            <w:bottom w:val="none" w:sz="0" w:space="0" w:color="auto"/>
            <w:right w:val="none" w:sz="0" w:space="0" w:color="auto"/>
          </w:divBdr>
        </w:div>
        <w:div w:id="2054115262">
          <w:marLeft w:val="640"/>
          <w:marRight w:val="0"/>
          <w:marTop w:val="0"/>
          <w:marBottom w:val="0"/>
          <w:divBdr>
            <w:top w:val="none" w:sz="0" w:space="0" w:color="auto"/>
            <w:left w:val="none" w:sz="0" w:space="0" w:color="auto"/>
            <w:bottom w:val="none" w:sz="0" w:space="0" w:color="auto"/>
            <w:right w:val="none" w:sz="0" w:space="0" w:color="auto"/>
          </w:divBdr>
        </w:div>
        <w:div w:id="1496804161">
          <w:marLeft w:val="640"/>
          <w:marRight w:val="0"/>
          <w:marTop w:val="0"/>
          <w:marBottom w:val="0"/>
          <w:divBdr>
            <w:top w:val="none" w:sz="0" w:space="0" w:color="auto"/>
            <w:left w:val="none" w:sz="0" w:space="0" w:color="auto"/>
            <w:bottom w:val="none" w:sz="0" w:space="0" w:color="auto"/>
            <w:right w:val="none" w:sz="0" w:space="0" w:color="auto"/>
          </w:divBdr>
        </w:div>
        <w:div w:id="1311056129">
          <w:marLeft w:val="640"/>
          <w:marRight w:val="0"/>
          <w:marTop w:val="0"/>
          <w:marBottom w:val="0"/>
          <w:divBdr>
            <w:top w:val="none" w:sz="0" w:space="0" w:color="auto"/>
            <w:left w:val="none" w:sz="0" w:space="0" w:color="auto"/>
            <w:bottom w:val="none" w:sz="0" w:space="0" w:color="auto"/>
            <w:right w:val="none" w:sz="0" w:space="0" w:color="auto"/>
          </w:divBdr>
        </w:div>
        <w:div w:id="961837144">
          <w:marLeft w:val="640"/>
          <w:marRight w:val="0"/>
          <w:marTop w:val="0"/>
          <w:marBottom w:val="0"/>
          <w:divBdr>
            <w:top w:val="none" w:sz="0" w:space="0" w:color="auto"/>
            <w:left w:val="none" w:sz="0" w:space="0" w:color="auto"/>
            <w:bottom w:val="none" w:sz="0" w:space="0" w:color="auto"/>
            <w:right w:val="none" w:sz="0" w:space="0" w:color="auto"/>
          </w:divBdr>
        </w:div>
        <w:div w:id="1779567283">
          <w:marLeft w:val="640"/>
          <w:marRight w:val="0"/>
          <w:marTop w:val="0"/>
          <w:marBottom w:val="0"/>
          <w:divBdr>
            <w:top w:val="none" w:sz="0" w:space="0" w:color="auto"/>
            <w:left w:val="none" w:sz="0" w:space="0" w:color="auto"/>
            <w:bottom w:val="none" w:sz="0" w:space="0" w:color="auto"/>
            <w:right w:val="none" w:sz="0" w:space="0" w:color="auto"/>
          </w:divBdr>
        </w:div>
        <w:div w:id="2035501092">
          <w:marLeft w:val="640"/>
          <w:marRight w:val="0"/>
          <w:marTop w:val="0"/>
          <w:marBottom w:val="0"/>
          <w:divBdr>
            <w:top w:val="none" w:sz="0" w:space="0" w:color="auto"/>
            <w:left w:val="none" w:sz="0" w:space="0" w:color="auto"/>
            <w:bottom w:val="none" w:sz="0" w:space="0" w:color="auto"/>
            <w:right w:val="none" w:sz="0" w:space="0" w:color="auto"/>
          </w:divBdr>
        </w:div>
        <w:div w:id="624385967">
          <w:marLeft w:val="640"/>
          <w:marRight w:val="0"/>
          <w:marTop w:val="0"/>
          <w:marBottom w:val="0"/>
          <w:divBdr>
            <w:top w:val="none" w:sz="0" w:space="0" w:color="auto"/>
            <w:left w:val="none" w:sz="0" w:space="0" w:color="auto"/>
            <w:bottom w:val="none" w:sz="0" w:space="0" w:color="auto"/>
            <w:right w:val="none" w:sz="0" w:space="0" w:color="auto"/>
          </w:divBdr>
        </w:div>
        <w:div w:id="1779717256">
          <w:marLeft w:val="640"/>
          <w:marRight w:val="0"/>
          <w:marTop w:val="0"/>
          <w:marBottom w:val="0"/>
          <w:divBdr>
            <w:top w:val="none" w:sz="0" w:space="0" w:color="auto"/>
            <w:left w:val="none" w:sz="0" w:space="0" w:color="auto"/>
            <w:bottom w:val="none" w:sz="0" w:space="0" w:color="auto"/>
            <w:right w:val="none" w:sz="0" w:space="0" w:color="auto"/>
          </w:divBdr>
        </w:div>
        <w:div w:id="317731726">
          <w:marLeft w:val="640"/>
          <w:marRight w:val="0"/>
          <w:marTop w:val="0"/>
          <w:marBottom w:val="0"/>
          <w:divBdr>
            <w:top w:val="none" w:sz="0" w:space="0" w:color="auto"/>
            <w:left w:val="none" w:sz="0" w:space="0" w:color="auto"/>
            <w:bottom w:val="none" w:sz="0" w:space="0" w:color="auto"/>
            <w:right w:val="none" w:sz="0" w:space="0" w:color="auto"/>
          </w:divBdr>
        </w:div>
        <w:div w:id="1534150045">
          <w:marLeft w:val="640"/>
          <w:marRight w:val="0"/>
          <w:marTop w:val="0"/>
          <w:marBottom w:val="0"/>
          <w:divBdr>
            <w:top w:val="none" w:sz="0" w:space="0" w:color="auto"/>
            <w:left w:val="none" w:sz="0" w:space="0" w:color="auto"/>
            <w:bottom w:val="none" w:sz="0" w:space="0" w:color="auto"/>
            <w:right w:val="none" w:sz="0" w:space="0" w:color="auto"/>
          </w:divBdr>
        </w:div>
        <w:div w:id="1099763160">
          <w:marLeft w:val="640"/>
          <w:marRight w:val="0"/>
          <w:marTop w:val="0"/>
          <w:marBottom w:val="0"/>
          <w:divBdr>
            <w:top w:val="none" w:sz="0" w:space="0" w:color="auto"/>
            <w:left w:val="none" w:sz="0" w:space="0" w:color="auto"/>
            <w:bottom w:val="none" w:sz="0" w:space="0" w:color="auto"/>
            <w:right w:val="none" w:sz="0" w:space="0" w:color="auto"/>
          </w:divBdr>
        </w:div>
        <w:div w:id="292250965">
          <w:marLeft w:val="640"/>
          <w:marRight w:val="0"/>
          <w:marTop w:val="0"/>
          <w:marBottom w:val="0"/>
          <w:divBdr>
            <w:top w:val="none" w:sz="0" w:space="0" w:color="auto"/>
            <w:left w:val="none" w:sz="0" w:space="0" w:color="auto"/>
            <w:bottom w:val="none" w:sz="0" w:space="0" w:color="auto"/>
            <w:right w:val="none" w:sz="0" w:space="0" w:color="auto"/>
          </w:divBdr>
        </w:div>
        <w:div w:id="651058607">
          <w:marLeft w:val="640"/>
          <w:marRight w:val="0"/>
          <w:marTop w:val="0"/>
          <w:marBottom w:val="0"/>
          <w:divBdr>
            <w:top w:val="none" w:sz="0" w:space="0" w:color="auto"/>
            <w:left w:val="none" w:sz="0" w:space="0" w:color="auto"/>
            <w:bottom w:val="none" w:sz="0" w:space="0" w:color="auto"/>
            <w:right w:val="none" w:sz="0" w:space="0" w:color="auto"/>
          </w:divBdr>
        </w:div>
        <w:div w:id="477695699">
          <w:marLeft w:val="640"/>
          <w:marRight w:val="0"/>
          <w:marTop w:val="0"/>
          <w:marBottom w:val="0"/>
          <w:divBdr>
            <w:top w:val="none" w:sz="0" w:space="0" w:color="auto"/>
            <w:left w:val="none" w:sz="0" w:space="0" w:color="auto"/>
            <w:bottom w:val="none" w:sz="0" w:space="0" w:color="auto"/>
            <w:right w:val="none" w:sz="0" w:space="0" w:color="auto"/>
          </w:divBdr>
        </w:div>
        <w:div w:id="1066954634">
          <w:marLeft w:val="640"/>
          <w:marRight w:val="0"/>
          <w:marTop w:val="0"/>
          <w:marBottom w:val="0"/>
          <w:divBdr>
            <w:top w:val="none" w:sz="0" w:space="0" w:color="auto"/>
            <w:left w:val="none" w:sz="0" w:space="0" w:color="auto"/>
            <w:bottom w:val="none" w:sz="0" w:space="0" w:color="auto"/>
            <w:right w:val="none" w:sz="0" w:space="0" w:color="auto"/>
          </w:divBdr>
        </w:div>
        <w:div w:id="450825529">
          <w:marLeft w:val="640"/>
          <w:marRight w:val="0"/>
          <w:marTop w:val="0"/>
          <w:marBottom w:val="0"/>
          <w:divBdr>
            <w:top w:val="none" w:sz="0" w:space="0" w:color="auto"/>
            <w:left w:val="none" w:sz="0" w:space="0" w:color="auto"/>
            <w:bottom w:val="none" w:sz="0" w:space="0" w:color="auto"/>
            <w:right w:val="none" w:sz="0" w:space="0" w:color="auto"/>
          </w:divBdr>
        </w:div>
        <w:div w:id="1329480332">
          <w:marLeft w:val="640"/>
          <w:marRight w:val="0"/>
          <w:marTop w:val="0"/>
          <w:marBottom w:val="0"/>
          <w:divBdr>
            <w:top w:val="none" w:sz="0" w:space="0" w:color="auto"/>
            <w:left w:val="none" w:sz="0" w:space="0" w:color="auto"/>
            <w:bottom w:val="none" w:sz="0" w:space="0" w:color="auto"/>
            <w:right w:val="none" w:sz="0" w:space="0" w:color="auto"/>
          </w:divBdr>
        </w:div>
        <w:div w:id="590511438">
          <w:marLeft w:val="640"/>
          <w:marRight w:val="0"/>
          <w:marTop w:val="0"/>
          <w:marBottom w:val="0"/>
          <w:divBdr>
            <w:top w:val="none" w:sz="0" w:space="0" w:color="auto"/>
            <w:left w:val="none" w:sz="0" w:space="0" w:color="auto"/>
            <w:bottom w:val="none" w:sz="0" w:space="0" w:color="auto"/>
            <w:right w:val="none" w:sz="0" w:space="0" w:color="auto"/>
          </w:divBdr>
        </w:div>
        <w:div w:id="1020666314">
          <w:marLeft w:val="640"/>
          <w:marRight w:val="0"/>
          <w:marTop w:val="0"/>
          <w:marBottom w:val="0"/>
          <w:divBdr>
            <w:top w:val="none" w:sz="0" w:space="0" w:color="auto"/>
            <w:left w:val="none" w:sz="0" w:space="0" w:color="auto"/>
            <w:bottom w:val="none" w:sz="0" w:space="0" w:color="auto"/>
            <w:right w:val="none" w:sz="0" w:space="0" w:color="auto"/>
          </w:divBdr>
        </w:div>
        <w:div w:id="1610048038">
          <w:marLeft w:val="640"/>
          <w:marRight w:val="0"/>
          <w:marTop w:val="0"/>
          <w:marBottom w:val="0"/>
          <w:divBdr>
            <w:top w:val="none" w:sz="0" w:space="0" w:color="auto"/>
            <w:left w:val="none" w:sz="0" w:space="0" w:color="auto"/>
            <w:bottom w:val="none" w:sz="0" w:space="0" w:color="auto"/>
            <w:right w:val="none" w:sz="0" w:space="0" w:color="auto"/>
          </w:divBdr>
        </w:div>
        <w:div w:id="1981032291">
          <w:marLeft w:val="640"/>
          <w:marRight w:val="0"/>
          <w:marTop w:val="0"/>
          <w:marBottom w:val="0"/>
          <w:divBdr>
            <w:top w:val="none" w:sz="0" w:space="0" w:color="auto"/>
            <w:left w:val="none" w:sz="0" w:space="0" w:color="auto"/>
            <w:bottom w:val="none" w:sz="0" w:space="0" w:color="auto"/>
            <w:right w:val="none" w:sz="0" w:space="0" w:color="auto"/>
          </w:divBdr>
        </w:div>
        <w:div w:id="577061189">
          <w:marLeft w:val="640"/>
          <w:marRight w:val="0"/>
          <w:marTop w:val="0"/>
          <w:marBottom w:val="0"/>
          <w:divBdr>
            <w:top w:val="none" w:sz="0" w:space="0" w:color="auto"/>
            <w:left w:val="none" w:sz="0" w:space="0" w:color="auto"/>
            <w:bottom w:val="none" w:sz="0" w:space="0" w:color="auto"/>
            <w:right w:val="none" w:sz="0" w:space="0" w:color="auto"/>
          </w:divBdr>
        </w:div>
        <w:div w:id="56823821">
          <w:marLeft w:val="640"/>
          <w:marRight w:val="0"/>
          <w:marTop w:val="0"/>
          <w:marBottom w:val="0"/>
          <w:divBdr>
            <w:top w:val="none" w:sz="0" w:space="0" w:color="auto"/>
            <w:left w:val="none" w:sz="0" w:space="0" w:color="auto"/>
            <w:bottom w:val="none" w:sz="0" w:space="0" w:color="auto"/>
            <w:right w:val="none" w:sz="0" w:space="0" w:color="auto"/>
          </w:divBdr>
        </w:div>
        <w:div w:id="1357846135">
          <w:marLeft w:val="640"/>
          <w:marRight w:val="0"/>
          <w:marTop w:val="0"/>
          <w:marBottom w:val="0"/>
          <w:divBdr>
            <w:top w:val="none" w:sz="0" w:space="0" w:color="auto"/>
            <w:left w:val="none" w:sz="0" w:space="0" w:color="auto"/>
            <w:bottom w:val="none" w:sz="0" w:space="0" w:color="auto"/>
            <w:right w:val="none" w:sz="0" w:space="0" w:color="auto"/>
          </w:divBdr>
        </w:div>
        <w:div w:id="1697802436">
          <w:marLeft w:val="640"/>
          <w:marRight w:val="0"/>
          <w:marTop w:val="0"/>
          <w:marBottom w:val="0"/>
          <w:divBdr>
            <w:top w:val="none" w:sz="0" w:space="0" w:color="auto"/>
            <w:left w:val="none" w:sz="0" w:space="0" w:color="auto"/>
            <w:bottom w:val="none" w:sz="0" w:space="0" w:color="auto"/>
            <w:right w:val="none" w:sz="0" w:space="0" w:color="auto"/>
          </w:divBdr>
        </w:div>
        <w:div w:id="1532063261">
          <w:marLeft w:val="640"/>
          <w:marRight w:val="0"/>
          <w:marTop w:val="0"/>
          <w:marBottom w:val="0"/>
          <w:divBdr>
            <w:top w:val="none" w:sz="0" w:space="0" w:color="auto"/>
            <w:left w:val="none" w:sz="0" w:space="0" w:color="auto"/>
            <w:bottom w:val="none" w:sz="0" w:space="0" w:color="auto"/>
            <w:right w:val="none" w:sz="0" w:space="0" w:color="auto"/>
          </w:divBdr>
        </w:div>
        <w:div w:id="47732339">
          <w:marLeft w:val="640"/>
          <w:marRight w:val="0"/>
          <w:marTop w:val="0"/>
          <w:marBottom w:val="0"/>
          <w:divBdr>
            <w:top w:val="none" w:sz="0" w:space="0" w:color="auto"/>
            <w:left w:val="none" w:sz="0" w:space="0" w:color="auto"/>
            <w:bottom w:val="none" w:sz="0" w:space="0" w:color="auto"/>
            <w:right w:val="none" w:sz="0" w:space="0" w:color="auto"/>
          </w:divBdr>
        </w:div>
        <w:div w:id="353265770">
          <w:marLeft w:val="640"/>
          <w:marRight w:val="0"/>
          <w:marTop w:val="0"/>
          <w:marBottom w:val="0"/>
          <w:divBdr>
            <w:top w:val="none" w:sz="0" w:space="0" w:color="auto"/>
            <w:left w:val="none" w:sz="0" w:space="0" w:color="auto"/>
            <w:bottom w:val="none" w:sz="0" w:space="0" w:color="auto"/>
            <w:right w:val="none" w:sz="0" w:space="0" w:color="auto"/>
          </w:divBdr>
        </w:div>
        <w:div w:id="1233077727">
          <w:marLeft w:val="640"/>
          <w:marRight w:val="0"/>
          <w:marTop w:val="0"/>
          <w:marBottom w:val="0"/>
          <w:divBdr>
            <w:top w:val="none" w:sz="0" w:space="0" w:color="auto"/>
            <w:left w:val="none" w:sz="0" w:space="0" w:color="auto"/>
            <w:bottom w:val="none" w:sz="0" w:space="0" w:color="auto"/>
            <w:right w:val="none" w:sz="0" w:space="0" w:color="auto"/>
          </w:divBdr>
        </w:div>
        <w:div w:id="209414797">
          <w:marLeft w:val="640"/>
          <w:marRight w:val="0"/>
          <w:marTop w:val="0"/>
          <w:marBottom w:val="0"/>
          <w:divBdr>
            <w:top w:val="none" w:sz="0" w:space="0" w:color="auto"/>
            <w:left w:val="none" w:sz="0" w:space="0" w:color="auto"/>
            <w:bottom w:val="none" w:sz="0" w:space="0" w:color="auto"/>
            <w:right w:val="none" w:sz="0" w:space="0" w:color="auto"/>
          </w:divBdr>
        </w:div>
        <w:div w:id="1120340279">
          <w:marLeft w:val="640"/>
          <w:marRight w:val="0"/>
          <w:marTop w:val="0"/>
          <w:marBottom w:val="0"/>
          <w:divBdr>
            <w:top w:val="none" w:sz="0" w:space="0" w:color="auto"/>
            <w:left w:val="none" w:sz="0" w:space="0" w:color="auto"/>
            <w:bottom w:val="none" w:sz="0" w:space="0" w:color="auto"/>
            <w:right w:val="none" w:sz="0" w:space="0" w:color="auto"/>
          </w:divBdr>
        </w:div>
        <w:div w:id="353532300">
          <w:marLeft w:val="640"/>
          <w:marRight w:val="0"/>
          <w:marTop w:val="0"/>
          <w:marBottom w:val="0"/>
          <w:divBdr>
            <w:top w:val="none" w:sz="0" w:space="0" w:color="auto"/>
            <w:left w:val="none" w:sz="0" w:space="0" w:color="auto"/>
            <w:bottom w:val="none" w:sz="0" w:space="0" w:color="auto"/>
            <w:right w:val="none" w:sz="0" w:space="0" w:color="auto"/>
          </w:divBdr>
        </w:div>
        <w:div w:id="217279007">
          <w:marLeft w:val="640"/>
          <w:marRight w:val="0"/>
          <w:marTop w:val="0"/>
          <w:marBottom w:val="0"/>
          <w:divBdr>
            <w:top w:val="none" w:sz="0" w:space="0" w:color="auto"/>
            <w:left w:val="none" w:sz="0" w:space="0" w:color="auto"/>
            <w:bottom w:val="none" w:sz="0" w:space="0" w:color="auto"/>
            <w:right w:val="none" w:sz="0" w:space="0" w:color="auto"/>
          </w:divBdr>
        </w:div>
        <w:div w:id="1432971675">
          <w:marLeft w:val="640"/>
          <w:marRight w:val="0"/>
          <w:marTop w:val="0"/>
          <w:marBottom w:val="0"/>
          <w:divBdr>
            <w:top w:val="none" w:sz="0" w:space="0" w:color="auto"/>
            <w:left w:val="none" w:sz="0" w:space="0" w:color="auto"/>
            <w:bottom w:val="none" w:sz="0" w:space="0" w:color="auto"/>
            <w:right w:val="none" w:sz="0" w:space="0" w:color="auto"/>
          </w:divBdr>
        </w:div>
        <w:div w:id="145898819">
          <w:marLeft w:val="640"/>
          <w:marRight w:val="0"/>
          <w:marTop w:val="0"/>
          <w:marBottom w:val="0"/>
          <w:divBdr>
            <w:top w:val="none" w:sz="0" w:space="0" w:color="auto"/>
            <w:left w:val="none" w:sz="0" w:space="0" w:color="auto"/>
            <w:bottom w:val="none" w:sz="0" w:space="0" w:color="auto"/>
            <w:right w:val="none" w:sz="0" w:space="0" w:color="auto"/>
          </w:divBdr>
        </w:div>
        <w:div w:id="1138566852">
          <w:marLeft w:val="640"/>
          <w:marRight w:val="0"/>
          <w:marTop w:val="0"/>
          <w:marBottom w:val="0"/>
          <w:divBdr>
            <w:top w:val="none" w:sz="0" w:space="0" w:color="auto"/>
            <w:left w:val="none" w:sz="0" w:space="0" w:color="auto"/>
            <w:bottom w:val="none" w:sz="0" w:space="0" w:color="auto"/>
            <w:right w:val="none" w:sz="0" w:space="0" w:color="auto"/>
          </w:divBdr>
        </w:div>
        <w:div w:id="1235431228">
          <w:marLeft w:val="640"/>
          <w:marRight w:val="0"/>
          <w:marTop w:val="0"/>
          <w:marBottom w:val="0"/>
          <w:divBdr>
            <w:top w:val="none" w:sz="0" w:space="0" w:color="auto"/>
            <w:left w:val="none" w:sz="0" w:space="0" w:color="auto"/>
            <w:bottom w:val="none" w:sz="0" w:space="0" w:color="auto"/>
            <w:right w:val="none" w:sz="0" w:space="0" w:color="auto"/>
          </w:divBdr>
        </w:div>
        <w:div w:id="547258357">
          <w:marLeft w:val="640"/>
          <w:marRight w:val="0"/>
          <w:marTop w:val="0"/>
          <w:marBottom w:val="0"/>
          <w:divBdr>
            <w:top w:val="none" w:sz="0" w:space="0" w:color="auto"/>
            <w:left w:val="none" w:sz="0" w:space="0" w:color="auto"/>
            <w:bottom w:val="none" w:sz="0" w:space="0" w:color="auto"/>
            <w:right w:val="none" w:sz="0" w:space="0" w:color="auto"/>
          </w:divBdr>
        </w:div>
        <w:div w:id="2071077876">
          <w:marLeft w:val="640"/>
          <w:marRight w:val="0"/>
          <w:marTop w:val="0"/>
          <w:marBottom w:val="0"/>
          <w:divBdr>
            <w:top w:val="none" w:sz="0" w:space="0" w:color="auto"/>
            <w:left w:val="none" w:sz="0" w:space="0" w:color="auto"/>
            <w:bottom w:val="none" w:sz="0" w:space="0" w:color="auto"/>
            <w:right w:val="none" w:sz="0" w:space="0" w:color="auto"/>
          </w:divBdr>
        </w:div>
        <w:div w:id="1609922061">
          <w:marLeft w:val="640"/>
          <w:marRight w:val="0"/>
          <w:marTop w:val="0"/>
          <w:marBottom w:val="0"/>
          <w:divBdr>
            <w:top w:val="none" w:sz="0" w:space="0" w:color="auto"/>
            <w:left w:val="none" w:sz="0" w:space="0" w:color="auto"/>
            <w:bottom w:val="none" w:sz="0" w:space="0" w:color="auto"/>
            <w:right w:val="none" w:sz="0" w:space="0" w:color="auto"/>
          </w:divBdr>
        </w:div>
        <w:div w:id="191578835">
          <w:marLeft w:val="640"/>
          <w:marRight w:val="0"/>
          <w:marTop w:val="0"/>
          <w:marBottom w:val="0"/>
          <w:divBdr>
            <w:top w:val="none" w:sz="0" w:space="0" w:color="auto"/>
            <w:left w:val="none" w:sz="0" w:space="0" w:color="auto"/>
            <w:bottom w:val="none" w:sz="0" w:space="0" w:color="auto"/>
            <w:right w:val="none" w:sz="0" w:space="0" w:color="auto"/>
          </w:divBdr>
        </w:div>
        <w:div w:id="957372691">
          <w:marLeft w:val="640"/>
          <w:marRight w:val="0"/>
          <w:marTop w:val="0"/>
          <w:marBottom w:val="0"/>
          <w:divBdr>
            <w:top w:val="none" w:sz="0" w:space="0" w:color="auto"/>
            <w:left w:val="none" w:sz="0" w:space="0" w:color="auto"/>
            <w:bottom w:val="none" w:sz="0" w:space="0" w:color="auto"/>
            <w:right w:val="none" w:sz="0" w:space="0" w:color="auto"/>
          </w:divBdr>
        </w:div>
        <w:div w:id="1441491307">
          <w:marLeft w:val="640"/>
          <w:marRight w:val="0"/>
          <w:marTop w:val="0"/>
          <w:marBottom w:val="0"/>
          <w:divBdr>
            <w:top w:val="none" w:sz="0" w:space="0" w:color="auto"/>
            <w:left w:val="none" w:sz="0" w:space="0" w:color="auto"/>
            <w:bottom w:val="none" w:sz="0" w:space="0" w:color="auto"/>
            <w:right w:val="none" w:sz="0" w:space="0" w:color="auto"/>
          </w:divBdr>
        </w:div>
        <w:div w:id="1693219240">
          <w:marLeft w:val="640"/>
          <w:marRight w:val="0"/>
          <w:marTop w:val="0"/>
          <w:marBottom w:val="0"/>
          <w:divBdr>
            <w:top w:val="none" w:sz="0" w:space="0" w:color="auto"/>
            <w:left w:val="none" w:sz="0" w:space="0" w:color="auto"/>
            <w:bottom w:val="none" w:sz="0" w:space="0" w:color="auto"/>
            <w:right w:val="none" w:sz="0" w:space="0" w:color="auto"/>
          </w:divBdr>
        </w:div>
        <w:div w:id="1368797156">
          <w:marLeft w:val="640"/>
          <w:marRight w:val="0"/>
          <w:marTop w:val="0"/>
          <w:marBottom w:val="0"/>
          <w:divBdr>
            <w:top w:val="none" w:sz="0" w:space="0" w:color="auto"/>
            <w:left w:val="none" w:sz="0" w:space="0" w:color="auto"/>
            <w:bottom w:val="none" w:sz="0" w:space="0" w:color="auto"/>
            <w:right w:val="none" w:sz="0" w:space="0" w:color="auto"/>
          </w:divBdr>
        </w:div>
        <w:div w:id="1136411677">
          <w:marLeft w:val="640"/>
          <w:marRight w:val="0"/>
          <w:marTop w:val="0"/>
          <w:marBottom w:val="0"/>
          <w:divBdr>
            <w:top w:val="none" w:sz="0" w:space="0" w:color="auto"/>
            <w:left w:val="none" w:sz="0" w:space="0" w:color="auto"/>
            <w:bottom w:val="none" w:sz="0" w:space="0" w:color="auto"/>
            <w:right w:val="none" w:sz="0" w:space="0" w:color="auto"/>
          </w:divBdr>
        </w:div>
        <w:div w:id="568468495">
          <w:marLeft w:val="640"/>
          <w:marRight w:val="0"/>
          <w:marTop w:val="0"/>
          <w:marBottom w:val="0"/>
          <w:divBdr>
            <w:top w:val="none" w:sz="0" w:space="0" w:color="auto"/>
            <w:left w:val="none" w:sz="0" w:space="0" w:color="auto"/>
            <w:bottom w:val="none" w:sz="0" w:space="0" w:color="auto"/>
            <w:right w:val="none" w:sz="0" w:space="0" w:color="auto"/>
          </w:divBdr>
        </w:div>
        <w:div w:id="1452087477">
          <w:marLeft w:val="640"/>
          <w:marRight w:val="0"/>
          <w:marTop w:val="0"/>
          <w:marBottom w:val="0"/>
          <w:divBdr>
            <w:top w:val="none" w:sz="0" w:space="0" w:color="auto"/>
            <w:left w:val="none" w:sz="0" w:space="0" w:color="auto"/>
            <w:bottom w:val="none" w:sz="0" w:space="0" w:color="auto"/>
            <w:right w:val="none" w:sz="0" w:space="0" w:color="auto"/>
          </w:divBdr>
        </w:div>
        <w:div w:id="1891260846">
          <w:marLeft w:val="640"/>
          <w:marRight w:val="0"/>
          <w:marTop w:val="0"/>
          <w:marBottom w:val="0"/>
          <w:divBdr>
            <w:top w:val="none" w:sz="0" w:space="0" w:color="auto"/>
            <w:left w:val="none" w:sz="0" w:space="0" w:color="auto"/>
            <w:bottom w:val="none" w:sz="0" w:space="0" w:color="auto"/>
            <w:right w:val="none" w:sz="0" w:space="0" w:color="auto"/>
          </w:divBdr>
        </w:div>
        <w:div w:id="119155982">
          <w:marLeft w:val="640"/>
          <w:marRight w:val="0"/>
          <w:marTop w:val="0"/>
          <w:marBottom w:val="0"/>
          <w:divBdr>
            <w:top w:val="none" w:sz="0" w:space="0" w:color="auto"/>
            <w:left w:val="none" w:sz="0" w:space="0" w:color="auto"/>
            <w:bottom w:val="none" w:sz="0" w:space="0" w:color="auto"/>
            <w:right w:val="none" w:sz="0" w:space="0" w:color="auto"/>
          </w:divBdr>
        </w:div>
        <w:div w:id="2013677005">
          <w:marLeft w:val="640"/>
          <w:marRight w:val="0"/>
          <w:marTop w:val="0"/>
          <w:marBottom w:val="0"/>
          <w:divBdr>
            <w:top w:val="none" w:sz="0" w:space="0" w:color="auto"/>
            <w:left w:val="none" w:sz="0" w:space="0" w:color="auto"/>
            <w:bottom w:val="none" w:sz="0" w:space="0" w:color="auto"/>
            <w:right w:val="none" w:sz="0" w:space="0" w:color="auto"/>
          </w:divBdr>
        </w:div>
        <w:div w:id="1919560430">
          <w:marLeft w:val="640"/>
          <w:marRight w:val="0"/>
          <w:marTop w:val="0"/>
          <w:marBottom w:val="0"/>
          <w:divBdr>
            <w:top w:val="none" w:sz="0" w:space="0" w:color="auto"/>
            <w:left w:val="none" w:sz="0" w:space="0" w:color="auto"/>
            <w:bottom w:val="none" w:sz="0" w:space="0" w:color="auto"/>
            <w:right w:val="none" w:sz="0" w:space="0" w:color="auto"/>
          </w:divBdr>
        </w:div>
        <w:div w:id="1914659404">
          <w:marLeft w:val="640"/>
          <w:marRight w:val="0"/>
          <w:marTop w:val="0"/>
          <w:marBottom w:val="0"/>
          <w:divBdr>
            <w:top w:val="none" w:sz="0" w:space="0" w:color="auto"/>
            <w:left w:val="none" w:sz="0" w:space="0" w:color="auto"/>
            <w:bottom w:val="none" w:sz="0" w:space="0" w:color="auto"/>
            <w:right w:val="none" w:sz="0" w:space="0" w:color="auto"/>
          </w:divBdr>
        </w:div>
        <w:div w:id="828405627">
          <w:marLeft w:val="640"/>
          <w:marRight w:val="0"/>
          <w:marTop w:val="0"/>
          <w:marBottom w:val="0"/>
          <w:divBdr>
            <w:top w:val="none" w:sz="0" w:space="0" w:color="auto"/>
            <w:left w:val="none" w:sz="0" w:space="0" w:color="auto"/>
            <w:bottom w:val="none" w:sz="0" w:space="0" w:color="auto"/>
            <w:right w:val="none" w:sz="0" w:space="0" w:color="auto"/>
          </w:divBdr>
        </w:div>
        <w:div w:id="1626764742">
          <w:marLeft w:val="640"/>
          <w:marRight w:val="0"/>
          <w:marTop w:val="0"/>
          <w:marBottom w:val="0"/>
          <w:divBdr>
            <w:top w:val="none" w:sz="0" w:space="0" w:color="auto"/>
            <w:left w:val="none" w:sz="0" w:space="0" w:color="auto"/>
            <w:bottom w:val="none" w:sz="0" w:space="0" w:color="auto"/>
            <w:right w:val="none" w:sz="0" w:space="0" w:color="auto"/>
          </w:divBdr>
        </w:div>
        <w:div w:id="1529492584">
          <w:marLeft w:val="640"/>
          <w:marRight w:val="0"/>
          <w:marTop w:val="0"/>
          <w:marBottom w:val="0"/>
          <w:divBdr>
            <w:top w:val="none" w:sz="0" w:space="0" w:color="auto"/>
            <w:left w:val="none" w:sz="0" w:space="0" w:color="auto"/>
            <w:bottom w:val="none" w:sz="0" w:space="0" w:color="auto"/>
            <w:right w:val="none" w:sz="0" w:space="0" w:color="auto"/>
          </w:divBdr>
        </w:div>
        <w:div w:id="211813269">
          <w:marLeft w:val="640"/>
          <w:marRight w:val="0"/>
          <w:marTop w:val="0"/>
          <w:marBottom w:val="0"/>
          <w:divBdr>
            <w:top w:val="none" w:sz="0" w:space="0" w:color="auto"/>
            <w:left w:val="none" w:sz="0" w:space="0" w:color="auto"/>
            <w:bottom w:val="none" w:sz="0" w:space="0" w:color="auto"/>
            <w:right w:val="none" w:sz="0" w:space="0" w:color="auto"/>
          </w:divBdr>
        </w:div>
        <w:div w:id="1752967758">
          <w:marLeft w:val="640"/>
          <w:marRight w:val="0"/>
          <w:marTop w:val="0"/>
          <w:marBottom w:val="0"/>
          <w:divBdr>
            <w:top w:val="none" w:sz="0" w:space="0" w:color="auto"/>
            <w:left w:val="none" w:sz="0" w:space="0" w:color="auto"/>
            <w:bottom w:val="none" w:sz="0" w:space="0" w:color="auto"/>
            <w:right w:val="none" w:sz="0" w:space="0" w:color="auto"/>
          </w:divBdr>
        </w:div>
        <w:div w:id="382488687">
          <w:marLeft w:val="640"/>
          <w:marRight w:val="0"/>
          <w:marTop w:val="0"/>
          <w:marBottom w:val="0"/>
          <w:divBdr>
            <w:top w:val="none" w:sz="0" w:space="0" w:color="auto"/>
            <w:left w:val="none" w:sz="0" w:space="0" w:color="auto"/>
            <w:bottom w:val="none" w:sz="0" w:space="0" w:color="auto"/>
            <w:right w:val="none" w:sz="0" w:space="0" w:color="auto"/>
          </w:divBdr>
        </w:div>
        <w:div w:id="1065294567">
          <w:marLeft w:val="640"/>
          <w:marRight w:val="0"/>
          <w:marTop w:val="0"/>
          <w:marBottom w:val="0"/>
          <w:divBdr>
            <w:top w:val="none" w:sz="0" w:space="0" w:color="auto"/>
            <w:left w:val="none" w:sz="0" w:space="0" w:color="auto"/>
            <w:bottom w:val="none" w:sz="0" w:space="0" w:color="auto"/>
            <w:right w:val="none" w:sz="0" w:space="0" w:color="auto"/>
          </w:divBdr>
        </w:div>
        <w:div w:id="410203370">
          <w:marLeft w:val="640"/>
          <w:marRight w:val="0"/>
          <w:marTop w:val="0"/>
          <w:marBottom w:val="0"/>
          <w:divBdr>
            <w:top w:val="none" w:sz="0" w:space="0" w:color="auto"/>
            <w:left w:val="none" w:sz="0" w:space="0" w:color="auto"/>
            <w:bottom w:val="none" w:sz="0" w:space="0" w:color="auto"/>
            <w:right w:val="none" w:sz="0" w:space="0" w:color="auto"/>
          </w:divBdr>
        </w:div>
        <w:div w:id="248927379">
          <w:marLeft w:val="640"/>
          <w:marRight w:val="0"/>
          <w:marTop w:val="0"/>
          <w:marBottom w:val="0"/>
          <w:divBdr>
            <w:top w:val="none" w:sz="0" w:space="0" w:color="auto"/>
            <w:left w:val="none" w:sz="0" w:space="0" w:color="auto"/>
            <w:bottom w:val="none" w:sz="0" w:space="0" w:color="auto"/>
            <w:right w:val="none" w:sz="0" w:space="0" w:color="auto"/>
          </w:divBdr>
        </w:div>
        <w:div w:id="596449823">
          <w:marLeft w:val="640"/>
          <w:marRight w:val="0"/>
          <w:marTop w:val="0"/>
          <w:marBottom w:val="0"/>
          <w:divBdr>
            <w:top w:val="none" w:sz="0" w:space="0" w:color="auto"/>
            <w:left w:val="none" w:sz="0" w:space="0" w:color="auto"/>
            <w:bottom w:val="none" w:sz="0" w:space="0" w:color="auto"/>
            <w:right w:val="none" w:sz="0" w:space="0" w:color="auto"/>
          </w:divBdr>
        </w:div>
        <w:div w:id="782723854">
          <w:marLeft w:val="640"/>
          <w:marRight w:val="0"/>
          <w:marTop w:val="0"/>
          <w:marBottom w:val="0"/>
          <w:divBdr>
            <w:top w:val="none" w:sz="0" w:space="0" w:color="auto"/>
            <w:left w:val="none" w:sz="0" w:space="0" w:color="auto"/>
            <w:bottom w:val="none" w:sz="0" w:space="0" w:color="auto"/>
            <w:right w:val="none" w:sz="0" w:space="0" w:color="auto"/>
          </w:divBdr>
        </w:div>
        <w:div w:id="562717801">
          <w:marLeft w:val="640"/>
          <w:marRight w:val="0"/>
          <w:marTop w:val="0"/>
          <w:marBottom w:val="0"/>
          <w:divBdr>
            <w:top w:val="none" w:sz="0" w:space="0" w:color="auto"/>
            <w:left w:val="none" w:sz="0" w:space="0" w:color="auto"/>
            <w:bottom w:val="none" w:sz="0" w:space="0" w:color="auto"/>
            <w:right w:val="none" w:sz="0" w:space="0" w:color="auto"/>
          </w:divBdr>
        </w:div>
        <w:div w:id="1132553306">
          <w:marLeft w:val="640"/>
          <w:marRight w:val="0"/>
          <w:marTop w:val="0"/>
          <w:marBottom w:val="0"/>
          <w:divBdr>
            <w:top w:val="none" w:sz="0" w:space="0" w:color="auto"/>
            <w:left w:val="none" w:sz="0" w:space="0" w:color="auto"/>
            <w:bottom w:val="none" w:sz="0" w:space="0" w:color="auto"/>
            <w:right w:val="none" w:sz="0" w:space="0" w:color="auto"/>
          </w:divBdr>
        </w:div>
        <w:div w:id="1836336041">
          <w:marLeft w:val="640"/>
          <w:marRight w:val="0"/>
          <w:marTop w:val="0"/>
          <w:marBottom w:val="0"/>
          <w:divBdr>
            <w:top w:val="none" w:sz="0" w:space="0" w:color="auto"/>
            <w:left w:val="none" w:sz="0" w:space="0" w:color="auto"/>
            <w:bottom w:val="none" w:sz="0" w:space="0" w:color="auto"/>
            <w:right w:val="none" w:sz="0" w:space="0" w:color="auto"/>
          </w:divBdr>
        </w:div>
        <w:div w:id="960575218">
          <w:marLeft w:val="640"/>
          <w:marRight w:val="0"/>
          <w:marTop w:val="0"/>
          <w:marBottom w:val="0"/>
          <w:divBdr>
            <w:top w:val="none" w:sz="0" w:space="0" w:color="auto"/>
            <w:left w:val="none" w:sz="0" w:space="0" w:color="auto"/>
            <w:bottom w:val="none" w:sz="0" w:space="0" w:color="auto"/>
            <w:right w:val="none" w:sz="0" w:space="0" w:color="auto"/>
          </w:divBdr>
        </w:div>
        <w:div w:id="1830711696">
          <w:marLeft w:val="640"/>
          <w:marRight w:val="0"/>
          <w:marTop w:val="0"/>
          <w:marBottom w:val="0"/>
          <w:divBdr>
            <w:top w:val="none" w:sz="0" w:space="0" w:color="auto"/>
            <w:left w:val="none" w:sz="0" w:space="0" w:color="auto"/>
            <w:bottom w:val="none" w:sz="0" w:space="0" w:color="auto"/>
            <w:right w:val="none" w:sz="0" w:space="0" w:color="auto"/>
          </w:divBdr>
        </w:div>
        <w:div w:id="954023444">
          <w:marLeft w:val="640"/>
          <w:marRight w:val="0"/>
          <w:marTop w:val="0"/>
          <w:marBottom w:val="0"/>
          <w:divBdr>
            <w:top w:val="none" w:sz="0" w:space="0" w:color="auto"/>
            <w:left w:val="none" w:sz="0" w:space="0" w:color="auto"/>
            <w:bottom w:val="none" w:sz="0" w:space="0" w:color="auto"/>
            <w:right w:val="none" w:sz="0" w:space="0" w:color="auto"/>
          </w:divBdr>
        </w:div>
        <w:div w:id="279577144">
          <w:marLeft w:val="640"/>
          <w:marRight w:val="0"/>
          <w:marTop w:val="0"/>
          <w:marBottom w:val="0"/>
          <w:divBdr>
            <w:top w:val="none" w:sz="0" w:space="0" w:color="auto"/>
            <w:left w:val="none" w:sz="0" w:space="0" w:color="auto"/>
            <w:bottom w:val="none" w:sz="0" w:space="0" w:color="auto"/>
            <w:right w:val="none" w:sz="0" w:space="0" w:color="auto"/>
          </w:divBdr>
        </w:div>
        <w:div w:id="948665490">
          <w:marLeft w:val="640"/>
          <w:marRight w:val="0"/>
          <w:marTop w:val="0"/>
          <w:marBottom w:val="0"/>
          <w:divBdr>
            <w:top w:val="none" w:sz="0" w:space="0" w:color="auto"/>
            <w:left w:val="none" w:sz="0" w:space="0" w:color="auto"/>
            <w:bottom w:val="none" w:sz="0" w:space="0" w:color="auto"/>
            <w:right w:val="none" w:sz="0" w:space="0" w:color="auto"/>
          </w:divBdr>
        </w:div>
        <w:div w:id="695084030">
          <w:marLeft w:val="640"/>
          <w:marRight w:val="0"/>
          <w:marTop w:val="0"/>
          <w:marBottom w:val="0"/>
          <w:divBdr>
            <w:top w:val="none" w:sz="0" w:space="0" w:color="auto"/>
            <w:left w:val="none" w:sz="0" w:space="0" w:color="auto"/>
            <w:bottom w:val="none" w:sz="0" w:space="0" w:color="auto"/>
            <w:right w:val="none" w:sz="0" w:space="0" w:color="auto"/>
          </w:divBdr>
        </w:div>
        <w:div w:id="1774663521">
          <w:marLeft w:val="640"/>
          <w:marRight w:val="0"/>
          <w:marTop w:val="0"/>
          <w:marBottom w:val="0"/>
          <w:divBdr>
            <w:top w:val="none" w:sz="0" w:space="0" w:color="auto"/>
            <w:left w:val="none" w:sz="0" w:space="0" w:color="auto"/>
            <w:bottom w:val="none" w:sz="0" w:space="0" w:color="auto"/>
            <w:right w:val="none" w:sz="0" w:space="0" w:color="auto"/>
          </w:divBdr>
        </w:div>
        <w:div w:id="282008205">
          <w:marLeft w:val="640"/>
          <w:marRight w:val="0"/>
          <w:marTop w:val="0"/>
          <w:marBottom w:val="0"/>
          <w:divBdr>
            <w:top w:val="none" w:sz="0" w:space="0" w:color="auto"/>
            <w:left w:val="none" w:sz="0" w:space="0" w:color="auto"/>
            <w:bottom w:val="none" w:sz="0" w:space="0" w:color="auto"/>
            <w:right w:val="none" w:sz="0" w:space="0" w:color="auto"/>
          </w:divBdr>
        </w:div>
        <w:div w:id="518541046">
          <w:marLeft w:val="640"/>
          <w:marRight w:val="0"/>
          <w:marTop w:val="0"/>
          <w:marBottom w:val="0"/>
          <w:divBdr>
            <w:top w:val="none" w:sz="0" w:space="0" w:color="auto"/>
            <w:left w:val="none" w:sz="0" w:space="0" w:color="auto"/>
            <w:bottom w:val="none" w:sz="0" w:space="0" w:color="auto"/>
            <w:right w:val="none" w:sz="0" w:space="0" w:color="auto"/>
          </w:divBdr>
        </w:div>
        <w:div w:id="1071198343">
          <w:marLeft w:val="640"/>
          <w:marRight w:val="0"/>
          <w:marTop w:val="0"/>
          <w:marBottom w:val="0"/>
          <w:divBdr>
            <w:top w:val="none" w:sz="0" w:space="0" w:color="auto"/>
            <w:left w:val="none" w:sz="0" w:space="0" w:color="auto"/>
            <w:bottom w:val="none" w:sz="0" w:space="0" w:color="auto"/>
            <w:right w:val="none" w:sz="0" w:space="0" w:color="auto"/>
          </w:divBdr>
        </w:div>
        <w:div w:id="948663868">
          <w:marLeft w:val="640"/>
          <w:marRight w:val="0"/>
          <w:marTop w:val="0"/>
          <w:marBottom w:val="0"/>
          <w:divBdr>
            <w:top w:val="none" w:sz="0" w:space="0" w:color="auto"/>
            <w:left w:val="none" w:sz="0" w:space="0" w:color="auto"/>
            <w:bottom w:val="none" w:sz="0" w:space="0" w:color="auto"/>
            <w:right w:val="none" w:sz="0" w:space="0" w:color="auto"/>
          </w:divBdr>
        </w:div>
        <w:div w:id="403113696">
          <w:marLeft w:val="640"/>
          <w:marRight w:val="0"/>
          <w:marTop w:val="0"/>
          <w:marBottom w:val="0"/>
          <w:divBdr>
            <w:top w:val="none" w:sz="0" w:space="0" w:color="auto"/>
            <w:left w:val="none" w:sz="0" w:space="0" w:color="auto"/>
            <w:bottom w:val="none" w:sz="0" w:space="0" w:color="auto"/>
            <w:right w:val="none" w:sz="0" w:space="0" w:color="auto"/>
          </w:divBdr>
        </w:div>
        <w:div w:id="1431462395">
          <w:marLeft w:val="640"/>
          <w:marRight w:val="0"/>
          <w:marTop w:val="0"/>
          <w:marBottom w:val="0"/>
          <w:divBdr>
            <w:top w:val="none" w:sz="0" w:space="0" w:color="auto"/>
            <w:left w:val="none" w:sz="0" w:space="0" w:color="auto"/>
            <w:bottom w:val="none" w:sz="0" w:space="0" w:color="auto"/>
            <w:right w:val="none" w:sz="0" w:space="0" w:color="auto"/>
          </w:divBdr>
        </w:div>
        <w:div w:id="43138427">
          <w:marLeft w:val="640"/>
          <w:marRight w:val="0"/>
          <w:marTop w:val="0"/>
          <w:marBottom w:val="0"/>
          <w:divBdr>
            <w:top w:val="none" w:sz="0" w:space="0" w:color="auto"/>
            <w:left w:val="none" w:sz="0" w:space="0" w:color="auto"/>
            <w:bottom w:val="none" w:sz="0" w:space="0" w:color="auto"/>
            <w:right w:val="none" w:sz="0" w:space="0" w:color="auto"/>
          </w:divBdr>
        </w:div>
        <w:div w:id="598487980">
          <w:marLeft w:val="640"/>
          <w:marRight w:val="0"/>
          <w:marTop w:val="0"/>
          <w:marBottom w:val="0"/>
          <w:divBdr>
            <w:top w:val="none" w:sz="0" w:space="0" w:color="auto"/>
            <w:left w:val="none" w:sz="0" w:space="0" w:color="auto"/>
            <w:bottom w:val="none" w:sz="0" w:space="0" w:color="auto"/>
            <w:right w:val="none" w:sz="0" w:space="0" w:color="auto"/>
          </w:divBdr>
        </w:div>
        <w:div w:id="1460804057">
          <w:marLeft w:val="640"/>
          <w:marRight w:val="0"/>
          <w:marTop w:val="0"/>
          <w:marBottom w:val="0"/>
          <w:divBdr>
            <w:top w:val="none" w:sz="0" w:space="0" w:color="auto"/>
            <w:left w:val="none" w:sz="0" w:space="0" w:color="auto"/>
            <w:bottom w:val="none" w:sz="0" w:space="0" w:color="auto"/>
            <w:right w:val="none" w:sz="0" w:space="0" w:color="auto"/>
          </w:divBdr>
        </w:div>
        <w:div w:id="772482762">
          <w:marLeft w:val="640"/>
          <w:marRight w:val="0"/>
          <w:marTop w:val="0"/>
          <w:marBottom w:val="0"/>
          <w:divBdr>
            <w:top w:val="none" w:sz="0" w:space="0" w:color="auto"/>
            <w:left w:val="none" w:sz="0" w:space="0" w:color="auto"/>
            <w:bottom w:val="none" w:sz="0" w:space="0" w:color="auto"/>
            <w:right w:val="none" w:sz="0" w:space="0" w:color="auto"/>
          </w:divBdr>
        </w:div>
        <w:div w:id="735737859">
          <w:marLeft w:val="640"/>
          <w:marRight w:val="0"/>
          <w:marTop w:val="0"/>
          <w:marBottom w:val="0"/>
          <w:divBdr>
            <w:top w:val="none" w:sz="0" w:space="0" w:color="auto"/>
            <w:left w:val="none" w:sz="0" w:space="0" w:color="auto"/>
            <w:bottom w:val="none" w:sz="0" w:space="0" w:color="auto"/>
            <w:right w:val="none" w:sz="0" w:space="0" w:color="auto"/>
          </w:divBdr>
        </w:div>
        <w:div w:id="1059061918">
          <w:marLeft w:val="640"/>
          <w:marRight w:val="0"/>
          <w:marTop w:val="0"/>
          <w:marBottom w:val="0"/>
          <w:divBdr>
            <w:top w:val="none" w:sz="0" w:space="0" w:color="auto"/>
            <w:left w:val="none" w:sz="0" w:space="0" w:color="auto"/>
            <w:bottom w:val="none" w:sz="0" w:space="0" w:color="auto"/>
            <w:right w:val="none" w:sz="0" w:space="0" w:color="auto"/>
          </w:divBdr>
        </w:div>
        <w:div w:id="845631615">
          <w:marLeft w:val="640"/>
          <w:marRight w:val="0"/>
          <w:marTop w:val="0"/>
          <w:marBottom w:val="0"/>
          <w:divBdr>
            <w:top w:val="none" w:sz="0" w:space="0" w:color="auto"/>
            <w:left w:val="none" w:sz="0" w:space="0" w:color="auto"/>
            <w:bottom w:val="none" w:sz="0" w:space="0" w:color="auto"/>
            <w:right w:val="none" w:sz="0" w:space="0" w:color="auto"/>
          </w:divBdr>
        </w:div>
        <w:div w:id="694311213">
          <w:marLeft w:val="640"/>
          <w:marRight w:val="0"/>
          <w:marTop w:val="0"/>
          <w:marBottom w:val="0"/>
          <w:divBdr>
            <w:top w:val="none" w:sz="0" w:space="0" w:color="auto"/>
            <w:left w:val="none" w:sz="0" w:space="0" w:color="auto"/>
            <w:bottom w:val="none" w:sz="0" w:space="0" w:color="auto"/>
            <w:right w:val="none" w:sz="0" w:space="0" w:color="auto"/>
          </w:divBdr>
        </w:div>
        <w:div w:id="733548826">
          <w:marLeft w:val="640"/>
          <w:marRight w:val="0"/>
          <w:marTop w:val="0"/>
          <w:marBottom w:val="0"/>
          <w:divBdr>
            <w:top w:val="none" w:sz="0" w:space="0" w:color="auto"/>
            <w:left w:val="none" w:sz="0" w:space="0" w:color="auto"/>
            <w:bottom w:val="none" w:sz="0" w:space="0" w:color="auto"/>
            <w:right w:val="none" w:sz="0" w:space="0" w:color="auto"/>
          </w:divBdr>
        </w:div>
        <w:div w:id="812795612">
          <w:marLeft w:val="640"/>
          <w:marRight w:val="0"/>
          <w:marTop w:val="0"/>
          <w:marBottom w:val="0"/>
          <w:divBdr>
            <w:top w:val="none" w:sz="0" w:space="0" w:color="auto"/>
            <w:left w:val="none" w:sz="0" w:space="0" w:color="auto"/>
            <w:bottom w:val="none" w:sz="0" w:space="0" w:color="auto"/>
            <w:right w:val="none" w:sz="0" w:space="0" w:color="auto"/>
          </w:divBdr>
        </w:div>
        <w:div w:id="22099191">
          <w:marLeft w:val="640"/>
          <w:marRight w:val="0"/>
          <w:marTop w:val="0"/>
          <w:marBottom w:val="0"/>
          <w:divBdr>
            <w:top w:val="none" w:sz="0" w:space="0" w:color="auto"/>
            <w:left w:val="none" w:sz="0" w:space="0" w:color="auto"/>
            <w:bottom w:val="none" w:sz="0" w:space="0" w:color="auto"/>
            <w:right w:val="none" w:sz="0" w:space="0" w:color="auto"/>
          </w:divBdr>
        </w:div>
        <w:div w:id="1922837640">
          <w:marLeft w:val="640"/>
          <w:marRight w:val="0"/>
          <w:marTop w:val="0"/>
          <w:marBottom w:val="0"/>
          <w:divBdr>
            <w:top w:val="none" w:sz="0" w:space="0" w:color="auto"/>
            <w:left w:val="none" w:sz="0" w:space="0" w:color="auto"/>
            <w:bottom w:val="none" w:sz="0" w:space="0" w:color="auto"/>
            <w:right w:val="none" w:sz="0" w:space="0" w:color="auto"/>
          </w:divBdr>
        </w:div>
        <w:div w:id="1919632828">
          <w:marLeft w:val="640"/>
          <w:marRight w:val="0"/>
          <w:marTop w:val="0"/>
          <w:marBottom w:val="0"/>
          <w:divBdr>
            <w:top w:val="none" w:sz="0" w:space="0" w:color="auto"/>
            <w:left w:val="none" w:sz="0" w:space="0" w:color="auto"/>
            <w:bottom w:val="none" w:sz="0" w:space="0" w:color="auto"/>
            <w:right w:val="none" w:sz="0" w:space="0" w:color="auto"/>
          </w:divBdr>
        </w:div>
        <w:div w:id="1797870472">
          <w:marLeft w:val="640"/>
          <w:marRight w:val="0"/>
          <w:marTop w:val="0"/>
          <w:marBottom w:val="0"/>
          <w:divBdr>
            <w:top w:val="none" w:sz="0" w:space="0" w:color="auto"/>
            <w:left w:val="none" w:sz="0" w:space="0" w:color="auto"/>
            <w:bottom w:val="none" w:sz="0" w:space="0" w:color="auto"/>
            <w:right w:val="none" w:sz="0" w:space="0" w:color="auto"/>
          </w:divBdr>
        </w:div>
        <w:div w:id="822353768">
          <w:marLeft w:val="640"/>
          <w:marRight w:val="0"/>
          <w:marTop w:val="0"/>
          <w:marBottom w:val="0"/>
          <w:divBdr>
            <w:top w:val="none" w:sz="0" w:space="0" w:color="auto"/>
            <w:left w:val="none" w:sz="0" w:space="0" w:color="auto"/>
            <w:bottom w:val="none" w:sz="0" w:space="0" w:color="auto"/>
            <w:right w:val="none" w:sz="0" w:space="0" w:color="auto"/>
          </w:divBdr>
        </w:div>
        <w:div w:id="1517185797">
          <w:marLeft w:val="640"/>
          <w:marRight w:val="0"/>
          <w:marTop w:val="0"/>
          <w:marBottom w:val="0"/>
          <w:divBdr>
            <w:top w:val="none" w:sz="0" w:space="0" w:color="auto"/>
            <w:left w:val="none" w:sz="0" w:space="0" w:color="auto"/>
            <w:bottom w:val="none" w:sz="0" w:space="0" w:color="auto"/>
            <w:right w:val="none" w:sz="0" w:space="0" w:color="auto"/>
          </w:divBdr>
        </w:div>
        <w:div w:id="958217220">
          <w:marLeft w:val="640"/>
          <w:marRight w:val="0"/>
          <w:marTop w:val="0"/>
          <w:marBottom w:val="0"/>
          <w:divBdr>
            <w:top w:val="none" w:sz="0" w:space="0" w:color="auto"/>
            <w:left w:val="none" w:sz="0" w:space="0" w:color="auto"/>
            <w:bottom w:val="none" w:sz="0" w:space="0" w:color="auto"/>
            <w:right w:val="none" w:sz="0" w:space="0" w:color="auto"/>
          </w:divBdr>
        </w:div>
        <w:div w:id="237598817">
          <w:marLeft w:val="640"/>
          <w:marRight w:val="0"/>
          <w:marTop w:val="0"/>
          <w:marBottom w:val="0"/>
          <w:divBdr>
            <w:top w:val="none" w:sz="0" w:space="0" w:color="auto"/>
            <w:left w:val="none" w:sz="0" w:space="0" w:color="auto"/>
            <w:bottom w:val="none" w:sz="0" w:space="0" w:color="auto"/>
            <w:right w:val="none" w:sz="0" w:space="0" w:color="auto"/>
          </w:divBdr>
        </w:div>
        <w:div w:id="1403403211">
          <w:marLeft w:val="640"/>
          <w:marRight w:val="0"/>
          <w:marTop w:val="0"/>
          <w:marBottom w:val="0"/>
          <w:divBdr>
            <w:top w:val="none" w:sz="0" w:space="0" w:color="auto"/>
            <w:left w:val="none" w:sz="0" w:space="0" w:color="auto"/>
            <w:bottom w:val="none" w:sz="0" w:space="0" w:color="auto"/>
            <w:right w:val="none" w:sz="0" w:space="0" w:color="auto"/>
          </w:divBdr>
        </w:div>
        <w:div w:id="80687424">
          <w:marLeft w:val="640"/>
          <w:marRight w:val="0"/>
          <w:marTop w:val="0"/>
          <w:marBottom w:val="0"/>
          <w:divBdr>
            <w:top w:val="none" w:sz="0" w:space="0" w:color="auto"/>
            <w:left w:val="none" w:sz="0" w:space="0" w:color="auto"/>
            <w:bottom w:val="none" w:sz="0" w:space="0" w:color="auto"/>
            <w:right w:val="none" w:sz="0" w:space="0" w:color="auto"/>
          </w:divBdr>
        </w:div>
        <w:div w:id="1770926077">
          <w:marLeft w:val="640"/>
          <w:marRight w:val="0"/>
          <w:marTop w:val="0"/>
          <w:marBottom w:val="0"/>
          <w:divBdr>
            <w:top w:val="none" w:sz="0" w:space="0" w:color="auto"/>
            <w:left w:val="none" w:sz="0" w:space="0" w:color="auto"/>
            <w:bottom w:val="none" w:sz="0" w:space="0" w:color="auto"/>
            <w:right w:val="none" w:sz="0" w:space="0" w:color="auto"/>
          </w:divBdr>
        </w:div>
        <w:div w:id="587540546">
          <w:marLeft w:val="640"/>
          <w:marRight w:val="0"/>
          <w:marTop w:val="0"/>
          <w:marBottom w:val="0"/>
          <w:divBdr>
            <w:top w:val="none" w:sz="0" w:space="0" w:color="auto"/>
            <w:left w:val="none" w:sz="0" w:space="0" w:color="auto"/>
            <w:bottom w:val="none" w:sz="0" w:space="0" w:color="auto"/>
            <w:right w:val="none" w:sz="0" w:space="0" w:color="auto"/>
          </w:divBdr>
        </w:div>
        <w:div w:id="77866273">
          <w:marLeft w:val="640"/>
          <w:marRight w:val="0"/>
          <w:marTop w:val="0"/>
          <w:marBottom w:val="0"/>
          <w:divBdr>
            <w:top w:val="none" w:sz="0" w:space="0" w:color="auto"/>
            <w:left w:val="none" w:sz="0" w:space="0" w:color="auto"/>
            <w:bottom w:val="none" w:sz="0" w:space="0" w:color="auto"/>
            <w:right w:val="none" w:sz="0" w:space="0" w:color="auto"/>
          </w:divBdr>
        </w:div>
        <w:div w:id="1766074075">
          <w:marLeft w:val="640"/>
          <w:marRight w:val="0"/>
          <w:marTop w:val="0"/>
          <w:marBottom w:val="0"/>
          <w:divBdr>
            <w:top w:val="none" w:sz="0" w:space="0" w:color="auto"/>
            <w:left w:val="none" w:sz="0" w:space="0" w:color="auto"/>
            <w:bottom w:val="none" w:sz="0" w:space="0" w:color="auto"/>
            <w:right w:val="none" w:sz="0" w:space="0" w:color="auto"/>
          </w:divBdr>
        </w:div>
        <w:div w:id="1077820315">
          <w:marLeft w:val="640"/>
          <w:marRight w:val="0"/>
          <w:marTop w:val="0"/>
          <w:marBottom w:val="0"/>
          <w:divBdr>
            <w:top w:val="none" w:sz="0" w:space="0" w:color="auto"/>
            <w:left w:val="none" w:sz="0" w:space="0" w:color="auto"/>
            <w:bottom w:val="none" w:sz="0" w:space="0" w:color="auto"/>
            <w:right w:val="none" w:sz="0" w:space="0" w:color="auto"/>
          </w:divBdr>
        </w:div>
        <w:div w:id="896817123">
          <w:marLeft w:val="640"/>
          <w:marRight w:val="0"/>
          <w:marTop w:val="0"/>
          <w:marBottom w:val="0"/>
          <w:divBdr>
            <w:top w:val="none" w:sz="0" w:space="0" w:color="auto"/>
            <w:left w:val="none" w:sz="0" w:space="0" w:color="auto"/>
            <w:bottom w:val="none" w:sz="0" w:space="0" w:color="auto"/>
            <w:right w:val="none" w:sz="0" w:space="0" w:color="auto"/>
          </w:divBdr>
        </w:div>
        <w:div w:id="1290549440">
          <w:marLeft w:val="640"/>
          <w:marRight w:val="0"/>
          <w:marTop w:val="0"/>
          <w:marBottom w:val="0"/>
          <w:divBdr>
            <w:top w:val="none" w:sz="0" w:space="0" w:color="auto"/>
            <w:left w:val="none" w:sz="0" w:space="0" w:color="auto"/>
            <w:bottom w:val="none" w:sz="0" w:space="0" w:color="auto"/>
            <w:right w:val="none" w:sz="0" w:space="0" w:color="auto"/>
          </w:divBdr>
        </w:div>
        <w:div w:id="618221948">
          <w:marLeft w:val="640"/>
          <w:marRight w:val="0"/>
          <w:marTop w:val="0"/>
          <w:marBottom w:val="0"/>
          <w:divBdr>
            <w:top w:val="none" w:sz="0" w:space="0" w:color="auto"/>
            <w:left w:val="none" w:sz="0" w:space="0" w:color="auto"/>
            <w:bottom w:val="none" w:sz="0" w:space="0" w:color="auto"/>
            <w:right w:val="none" w:sz="0" w:space="0" w:color="auto"/>
          </w:divBdr>
        </w:div>
        <w:div w:id="353116333">
          <w:marLeft w:val="640"/>
          <w:marRight w:val="0"/>
          <w:marTop w:val="0"/>
          <w:marBottom w:val="0"/>
          <w:divBdr>
            <w:top w:val="none" w:sz="0" w:space="0" w:color="auto"/>
            <w:left w:val="none" w:sz="0" w:space="0" w:color="auto"/>
            <w:bottom w:val="none" w:sz="0" w:space="0" w:color="auto"/>
            <w:right w:val="none" w:sz="0" w:space="0" w:color="auto"/>
          </w:divBdr>
        </w:div>
        <w:div w:id="458643613">
          <w:marLeft w:val="640"/>
          <w:marRight w:val="0"/>
          <w:marTop w:val="0"/>
          <w:marBottom w:val="0"/>
          <w:divBdr>
            <w:top w:val="none" w:sz="0" w:space="0" w:color="auto"/>
            <w:left w:val="none" w:sz="0" w:space="0" w:color="auto"/>
            <w:bottom w:val="none" w:sz="0" w:space="0" w:color="auto"/>
            <w:right w:val="none" w:sz="0" w:space="0" w:color="auto"/>
          </w:divBdr>
        </w:div>
        <w:div w:id="778372989">
          <w:marLeft w:val="640"/>
          <w:marRight w:val="0"/>
          <w:marTop w:val="0"/>
          <w:marBottom w:val="0"/>
          <w:divBdr>
            <w:top w:val="none" w:sz="0" w:space="0" w:color="auto"/>
            <w:left w:val="none" w:sz="0" w:space="0" w:color="auto"/>
            <w:bottom w:val="none" w:sz="0" w:space="0" w:color="auto"/>
            <w:right w:val="none" w:sz="0" w:space="0" w:color="auto"/>
          </w:divBdr>
        </w:div>
        <w:div w:id="1409764019">
          <w:marLeft w:val="640"/>
          <w:marRight w:val="0"/>
          <w:marTop w:val="0"/>
          <w:marBottom w:val="0"/>
          <w:divBdr>
            <w:top w:val="none" w:sz="0" w:space="0" w:color="auto"/>
            <w:left w:val="none" w:sz="0" w:space="0" w:color="auto"/>
            <w:bottom w:val="none" w:sz="0" w:space="0" w:color="auto"/>
            <w:right w:val="none" w:sz="0" w:space="0" w:color="auto"/>
          </w:divBdr>
        </w:div>
        <w:div w:id="1366826619">
          <w:marLeft w:val="640"/>
          <w:marRight w:val="0"/>
          <w:marTop w:val="0"/>
          <w:marBottom w:val="0"/>
          <w:divBdr>
            <w:top w:val="none" w:sz="0" w:space="0" w:color="auto"/>
            <w:left w:val="none" w:sz="0" w:space="0" w:color="auto"/>
            <w:bottom w:val="none" w:sz="0" w:space="0" w:color="auto"/>
            <w:right w:val="none" w:sz="0" w:space="0" w:color="auto"/>
          </w:divBdr>
        </w:div>
        <w:div w:id="1762678962">
          <w:marLeft w:val="640"/>
          <w:marRight w:val="0"/>
          <w:marTop w:val="0"/>
          <w:marBottom w:val="0"/>
          <w:divBdr>
            <w:top w:val="none" w:sz="0" w:space="0" w:color="auto"/>
            <w:left w:val="none" w:sz="0" w:space="0" w:color="auto"/>
            <w:bottom w:val="none" w:sz="0" w:space="0" w:color="auto"/>
            <w:right w:val="none" w:sz="0" w:space="0" w:color="auto"/>
          </w:divBdr>
        </w:div>
        <w:div w:id="1037316643">
          <w:marLeft w:val="640"/>
          <w:marRight w:val="0"/>
          <w:marTop w:val="0"/>
          <w:marBottom w:val="0"/>
          <w:divBdr>
            <w:top w:val="none" w:sz="0" w:space="0" w:color="auto"/>
            <w:left w:val="none" w:sz="0" w:space="0" w:color="auto"/>
            <w:bottom w:val="none" w:sz="0" w:space="0" w:color="auto"/>
            <w:right w:val="none" w:sz="0" w:space="0" w:color="auto"/>
          </w:divBdr>
        </w:div>
        <w:div w:id="2079205458">
          <w:marLeft w:val="640"/>
          <w:marRight w:val="0"/>
          <w:marTop w:val="0"/>
          <w:marBottom w:val="0"/>
          <w:divBdr>
            <w:top w:val="none" w:sz="0" w:space="0" w:color="auto"/>
            <w:left w:val="none" w:sz="0" w:space="0" w:color="auto"/>
            <w:bottom w:val="none" w:sz="0" w:space="0" w:color="auto"/>
            <w:right w:val="none" w:sz="0" w:space="0" w:color="auto"/>
          </w:divBdr>
        </w:div>
        <w:div w:id="1667397591">
          <w:marLeft w:val="640"/>
          <w:marRight w:val="0"/>
          <w:marTop w:val="0"/>
          <w:marBottom w:val="0"/>
          <w:divBdr>
            <w:top w:val="none" w:sz="0" w:space="0" w:color="auto"/>
            <w:left w:val="none" w:sz="0" w:space="0" w:color="auto"/>
            <w:bottom w:val="none" w:sz="0" w:space="0" w:color="auto"/>
            <w:right w:val="none" w:sz="0" w:space="0" w:color="auto"/>
          </w:divBdr>
        </w:div>
        <w:div w:id="597567077">
          <w:marLeft w:val="640"/>
          <w:marRight w:val="0"/>
          <w:marTop w:val="0"/>
          <w:marBottom w:val="0"/>
          <w:divBdr>
            <w:top w:val="none" w:sz="0" w:space="0" w:color="auto"/>
            <w:left w:val="none" w:sz="0" w:space="0" w:color="auto"/>
            <w:bottom w:val="none" w:sz="0" w:space="0" w:color="auto"/>
            <w:right w:val="none" w:sz="0" w:space="0" w:color="auto"/>
          </w:divBdr>
        </w:div>
        <w:div w:id="31393014">
          <w:marLeft w:val="640"/>
          <w:marRight w:val="0"/>
          <w:marTop w:val="0"/>
          <w:marBottom w:val="0"/>
          <w:divBdr>
            <w:top w:val="none" w:sz="0" w:space="0" w:color="auto"/>
            <w:left w:val="none" w:sz="0" w:space="0" w:color="auto"/>
            <w:bottom w:val="none" w:sz="0" w:space="0" w:color="auto"/>
            <w:right w:val="none" w:sz="0" w:space="0" w:color="auto"/>
          </w:divBdr>
        </w:div>
        <w:div w:id="1370302920">
          <w:marLeft w:val="640"/>
          <w:marRight w:val="0"/>
          <w:marTop w:val="0"/>
          <w:marBottom w:val="0"/>
          <w:divBdr>
            <w:top w:val="none" w:sz="0" w:space="0" w:color="auto"/>
            <w:left w:val="none" w:sz="0" w:space="0" w:color="auto"/>
            <w:bottom w:val="none" w:sz="0" w:space="0" w:color="auto"/>
            <w:right w:val="none" w:sz="0" w:space="0" w:color="auto"/>
          </w:divBdr>
        </w:div>
        <w:div w:id="1936548227">
          <w:marLeft w:val="640"/>
          <w:marRight w:val="0"/>
          <w:marTop w:val="0"/>
          <w:marBottom w:val="0"/>
          <w:divBdr>
            <w:top w:val="none" w:sz="0" w:space="0" w:color="auto"/>
            <w:left w:val="none" w:sz="0" w:space="0" w:color="auto"/>
            <w:bottom w:val="none" w:sz="0" w:space="0" w:color="auto"/>
            <w:right w:val="none" w:sz="0" w:space="0" w:color="auto"/>
          </w:divBdr>
        </w:div>
        <w:div w:id="2056852062">
          <w:marLeft w:val="640"/>
          <w:marRight w:val="0"/>
          <w:marTop w:val="0"/>
          <w:marBottom w:val="0"/>
          <w:divBdr>
            <w:top w:val="none" w:sz="0" w:space="0" w:color="auto"/>
            <w:left w:val="none" w:sz="0" w:space="0" w:color="auto"/>
            <w:bottom w:val="none" w:sz="0" w:space="0" w:color="auto"/>
            <w:right w:val="none" w:sz="0" w:space="0" w:color="auto"/>
          </w:divBdr>
        </w:div>
        <w:div w:id="823620852">
          <w:marLeft w:val="640"/>
          <w:marRight w:val="0"/>
          <w:marTop w:val="0"/>
          <w:marBottom w:val="0"/>
          <w:divBdr>
            <w:top w:val="none" w:sz="0" w:space="0" w:color="auto"/>
            <w:left w:val="none" w:sz="0" w:space="0" w:color="auto"/>
            <w:bottom w:val="none" w:sz="0" w:space="0" w:color="auto"/>
            <w:right w:val="none" w:sz="0" w:space="0" w:color="auto"/>
          </w:divBdr>
        </w:div>
        <w:div w:id="1526401906">
          <w:marLeft w:val="640"/>
          <w:marRight w:val="0"/>
          <w:marTop w:val="0"/>
          <w:marBottom w:val="0"/>
          <w:divBdr>
            <w:top w:val="none" w:sz="0" w:space="0" w:color="auto"/>
            <w:left w:val="none" w:sz="0" w:space="0" w:color="auto"/>
            <w:bottom w:val="none" w:sz="0" w:space="0" w:color="auto"/>
            <w:right w:val="none" w:sz="0" w:space="0" w:color="auto"/>
          </w:divBdr>
        </w:div>
        <w:div w:id="630597857">
          <w:marLeft w:val="640"/>
          <w:marRight w:val="0"/>
          <w:marTop w:val="0"/>
          <w:marBottom w:val="0"/>
          <w:divBdr>
            <w:top w:val="none" w:sz="0" w:space="0" w:color="auto"/>
            <w:left w:val="none" w:sz="0" w:space="0" w:color="auto"/>
            <w:bottom w:val="none" w:sz="0" w:space="0" w:color="auto"/>
            <w:right w:val="none" w:sz="0" w:space="0" w:color="auto"/>
          </w:divBdr>
        </w:div>
        <w:div w:id="1513643292">
          <w:marLeft w:val="640"/>
          <w:marRight w:val="0"/>
          <w:marTop w:val="0"/>
          <w:marBottom w:val="0"/>
          <w:divBdr>
            <w:top w:val="none" w:sz="0" w:space="0" w:color="auto"/>
            <w:left w:val="none" w:sz="0" w:space="0" w:color="auto"/>
            <w:bottom w:val="none" w:sz="0" w:space="0" w:color="auto"/>
            <w:right w:val="none" w:sz="0" w:space="0" w:color="auto"/>
          </w:divBdr>
        </w:div>
        <w:div w:id="544290101">
          <w:marLeft w:val="640"/>
          <w:marRight w:val="0"/>
          <w:marTop w:val="0"/>
          <w:marBottom w:val="0"/>
          <w:divBdr>
            <w:top w:val="none" w:sz="0" w:space="0" w:color="auto"/>
            <w:left w:val="none" w:sz="0" w:space="0" w:color="auto"/>
            <w:bottom w:val="none" w:sz="0" w:space="0" w:color="auto"/>
            <w:right w:val="none" w:sz="0" w:space="0" w:color="auto"/>
          </w:divBdr>
        </w:div>
        <w:div w:id="1479960758">
          <w:marLeft w:val="640"/>
          <w:marRight w:val="0"/>
          <w:marTop w:val="0"/>
          <w:marBottom w:val="0"/>
          <w:divBdr>
            <w:top w:val="none" w:sz="0" w:space="0" w:color="auto"/>
            <w:left w:val="none" w:sz="0" w:space="0" w:color="auto"/>
            <w:bottom w:val="none" w:sz="0" w:space="0" w:color="auto"/>
            <w:right w:val="none" w:sz="0" w:space="0" w:color="auto"/>
          </w:divBdr>
        </w:div>
        <w:div w:id="669796265">
          <w:marLeft w:val="640"/>
          <w:marRight w:val="0"/>
          <w:marTop w:val="0"/>
          <w:marBottom w:val="0"/>
          <w:divBdr>
            <w:top w:val="none" w:sz="0" w:space="0" w:color="auto"/>
            <w:left w:val="none" w:sz="0" w:space="0" w:color="auto"/>
            <w:bottom w:val="none" w:sz="0" w:space="0" w:color="auto"/>
            <w:right w:val="none" w:sz="0" w:space="0" w:color="auto"/>
          </w:divBdr>
        </w:div>
        <w:div w:id="1263804718">
          <w:marLeft w:val="640"/>
          <w:marRight w:val="0"/>
          <w:marTop w:val="0"/>
          <w:marBottom w:val="0"/>
          <w:divBdr>
            <w:top w:val="none" w:sz="0" w:space="0" w:color="auto"/>
            <w:left w:val="none" w:sz="0" w:space="0" w:color="auto"/>
            <w:bottom w:val="none" w:sz="0" w:space="0" w:color="auto"/>
            <w:right w:val="none" w:sz="0" w:space="0" w:color="auto"/>
          </w:divBdr>
        </w:div>
        <w:div w:id="1735393538">
          <w:marLeft w:val="640"/>
          <w:marRight w:val="0"/>
          <w:marTop w:val="0"/>
          <w:marBottom w:val="0"/>
          <w:divBdr>
            <w:top w:val="none" w:sz="0" w:space="0" w:color="auto"/>
            <w:left w:val="none" w:sz="0" w:space="0" w:color="auto"/>
            <w:bottom w:val="none" w:sz="0" w:space="0" w:color="auto"/>
            <w:right w:val="none" w:sz="0" w:space="0" w:color="auto"/>
          </w:divBdr>
        </w:div>
        <w:div w:id="1111784231">
          <w:marLeft w:val="640"/>
          <w:marRight w:val="0"/>
          <w:marTop w:val="0"/>
          <w:marBottom w:val="0"/>
          <w:divBdr>
            <w:top w:val="none" w:sz="0" w:space="0" w:color="auto"/>
            <w:left w:val="none" w:sz="0" w:space="0" w:color="auto"/>
            <w:bottom w:val="none" w:sz="0" w:space="0" w:color="auto"/>
            <w:right w:val="none" w:sz="0" w:space="0" w:color="auto"/>
          </w:divBdr>
        </w:div>
        <w:div w:id="670841643">
          <w:marLeft w:val="640"/>
          <w:marRight w:val="0"/>
          <w:marTop w:val="0"/>
          <w:marBottom w:val="0"/>
          <w:divBdr>
            <w:top w:val="none" w:sz="0" w:space="0" w:color="auto"/>
            <w:left w:val="none" w:sz="0" w:space="0" w:color="auto"/>
            <w:bottom w:val="none" w:sz="0" w:space="0" w:color="auto"/>
            <w:right w:val="none" w:sz="0" w:space="0" w:color="auto"/>
          </w:divBdr>
        </w:div>
        <w:div w:id="1794135755">
          <w:marLeft w:val="640"/>
          <w:marRight w:val="0"/>
          <w:marTop w:val="0"/>
          <w:marBottom w:val="0"/>
          <w:divBdr>
            <w:top w:val="none" w:sz="0" w:space="0" w:color="auto"/>
            <w:left w:val="none" w:sz="0" w:space="0" w:color="auto"/>
            <w:bottom w:val="none" w:sz="0" w:space="0" w:color="auto"/>
            <w:right w:val="none" w:sz="0" w:space="0" w:color="auto"/>
          </w:divBdr>
        </w:div>
        <w:div w:id="1577277790">
          <w:marLeft w:val="640"/>
          <w:marRight w:val="0"/>
          <w:marTop w:val="0"/>
          <w:marBottom w:val="0"/>
          <w:divBdr>
            <w:top w:val="none" w:sz="0" w:space="0" w:color="auto"/>
            <w:left w:val="none" w:sz="0" w:space="0" w:color="auto"/>
            <w:bottom w:val="none" w:sz="0" w:space="0" w:color="auto"/>
            <w:right w:val="none" w:sz="0" w:space="0" w:color="auto"/>
          </w:divBdr>
        </w:div>
        <w:div w:id="192964059">
          <w:marLeft w:val="640"/>
          <w:marRight w:val="0"/>
          <w:marTop w:val="0"/>
          <w:marBottom w:val="0"/>
          <w:divBdr>
            <w:top w:val="none" w:sz="0" w:space="0" w:color="auto"/>
            <w:left w:val="none" w:sz="0" w:space="0" w:color="auto"/>
            <w:bottom w:val="none" w:sz="0" w:space="0" w:color="auto"/>
            <w:right w:val="none" w:sz="0" w:space="0" w:color="auto"/>
          </w:divBdr>
        </w:div>
        <w:div w:id="734082774">
          <w:marLeft w:val="640"/>
          <w:marRight w:val="0"/>
          <w:marTop w:val="0"/>
          <w:marBottom w:val="0"/>
          <w:divBdr>
            <w:top w:val="none" w:sz="0" w:space="0" w:color="auto"/>
            <w:left w:val="none" w:sz="0" w:space="0" w:color="auto"/>
            <w:bottom w:val="none" w:sz="0" w:space="0" w:color="auto"/>
            <w:right w:val="none" w:sz="0" w:space="0" w:color="auto"/>
          </w:divBdr>
        </w:div>
        <w:div w:id="1276517190">
          <w:marLeft w:val="640"/>
          <w:marRight w:val="0"/>
          <w:marTop w:val="0"/>
          <w:marBottom w:val="0"/>
          <w:divBdr>
            <w:top w:val="none" w:sz="0" w:space="0" w:color="auto"/>
            <w:left w:val="none" w:sz="0" w:space="0" w:color="auto"/>
            <w:bottom w:val="none" w:sz="0" w:space="0" w:color="auto"/>
            <w:right w:val="none" w:sz="0" w:space="0" w:color="auto"/>
          </w:divBdr>
        </w:div>
        <w:div w:id="1715621376">
          <w:marLeft w:val="640"/>
          <w:marRight w:val="0"/>
          <w:marTop w:val="0"/>
          <w:marBottom w:val="0"/>
          <w:divBdr>
            <w:top w:val="none" w:sz="0" w:space="0" w:color="auto"/>
            <w:left w:val="none" w:sz="0" w:space="0" w:color="auto"/>
            <w:bottom w:val="none" w:sz="0" w:space="0" w:color="auto"/>
            <w:right w:val="none" w:sz="0" w:space="0" w:color="auto"/>
          </w:divBdr>
        </w:div>
        <w:div w:id="23483684">
          <w:marLeft w:val="640"/>
          <w:marRight w:val="0"/>
          <w:marTop w:val="0"/>
          <w:marBottom w:val="0"/>
          <w:divBdr>
            <w:top w:val="none" w:sz="0" w:space="0" w:color="auto"/>
            <w:left w:val="none" w:sz="0" w:space="0" w:color="auto"/>
            <w:bottom w:val="none" w:sz="0" w:space="0" w:color="auto"/>
            <w:right w:val="none" w:sz="0" w:space="0" w:color="auto"/>
          </w:divBdr>
        </w:div>
        <w:div w:id="1417826551">
          <w:marLeft w:val="640"/>
          <w:marRight w:val="0"/>
          <w:marTop w:val="0"/>
          <w:marBottom w:val="0"/>
          <w:divBdr>
            <w:top w:val="none" w:sz="0" w:space="0" w:color="auto"/>
            <w:left w:val="none" w:sz="0" w:space="0" w:color="auto"/>
            <w:bottom w:val="none" w:sz="0" w:space="0" w:color="auto"/>
            <w:right w:val="none" w:sz="0" w:space="0" w:color="auto"/>
          </w:divBdr>
        </w:div>
        <w:div w:id="712844983">
          <w:marLeft w:val="640"/>
          <w:marRight w:val="0"/>
          <w:marTop w:val="0"/>
          <w:marBottom w:val="0"/>
          <w:divBdr>
            <w:top w:val="none" w:sz="0" w:space="0" w:color="auto"/>
            <w:left w:val="none" w:sz="0" w:space="0" w:color="auto"/>
            <w:bottom w:val="none" w:sz="0" w:space="0" w:color="auto"/>
            <w:right w:val="none" w:sz="0" w:space="0" w:color="auto"/>
          </w:divBdr>
        </w:div>
        <w:div w:id="1412695888">
          <w:marLeft w:val="640"/>
          <w:marRight w:val="0"/>
          <w:marTop w:val="0"/>
          <w:marBottom w:val="0"/>
          <w:divBdr>
            <w:top w:val="none" w:sz="0" w:space="0" w:color="auto"/>
            <w:left w:val="none" w:sz="0" w:space="0" w:color="auto"/>
            <w:bottom w:val="none" w:sz="0" w:space="0" w:color="auto"/>
            <w:right w:val="none" w:sz="0" w:space="0" w:color="auto"/>
          </w:divBdr>
        </w:div>
        <w:div w:id="592205338">
          <w:marLeft w:val="640"/>
          <w:marRight w:val="0"/>
          <w:marTop w:val="0"/>
          <w:marBottom w:val="0"/>
          <w:divBdr>
            <w:top w:val="none" w:sz="0" w:space="0" w:color="auto"/>
            <w:left w:val="none" w:sz="0" w:space="0" w:color="auto"/>
            <w:bottom w:val="none" w:sz="0" w:space="0" w:color="auto"/>
            <w:right w:val="none" w:sz="0" w:space="0" w:color="auto"/>
          </w:divBdr>
        </w:div>
        <w:div w:id="1470972692">
          <w:marLeft w:val="640"/>
          <w:marRight w:val="0"/>
          <w:marTop w:val="0"/>
          <w:marBottom w:val="0"/>
          <w:divBdr>
            <w:top w:val="none" w:sz="0" w:space="0" w:color="auto"/>
            <w:left w:val="none" w:sz="0" w:space="0" w:color="auto"/>
            <w:bottom w:val="none" w:sz="0" w:space="0" w:color="auto"/>
            <w:right w:val="none" w:sz="0" w:space="0" w:color="auto"/>
          </w:divBdr>
        </w:div>
        <w:div w:id="1755786488">
          <w:marLeft w:val="640"/>
          <w:marRight w:val="0"/>
          <w:marTop w:val="0"/>
          <w:marBottom w:val="0"/>
          <w:divBdr>
            <w:top w:val="none" w:sz="0" w:space="0" w:color="auto"/>
            <w:left w:val="none" w:sz="0" w:space="0" w:color="auto"/>
            <w:bottom w:val="none" w:sz="0" w:space="0" w:color="auto"/>
            <w:right w:val="none" w:sz="0" w:space="0" w:color="auto"/>
          </w:divBdr>
        </w:div>
        <w:div w:id="1073508057">
          <w:marLeft w:val="640"/>
          <w:marRight w:val="0"/>
          <w:marTop w:val="0"/>
          <w:marBottom w:val="0"/>
          <w:divBdr>
            <w:top w:val="none" w:sz="0" w:space="0" w:color="auto"/>
            <w:left w:val="none" w:sz="0" w:space="0" w:color="auto"/>
            <w:bottom w:val="none" w:sz="0" w:space="0" w:color="auto"/>
            <w:right w:val="none" w:sz="0" w:space="0" w:color="auto"/>
          </w:divBdr>
        </w:div>
        <w:div w:id="413862034">
          <w:marLeft w:val="640"/>
          <w:marRight w:val="0"/>
          <w:marTop w:val="0"/>
          <w:marBottom w:val="0"/>
          <w:divBdr>
            <w:top w:val="none" w:sz="0" w:space="0" w:color="auto"/>
            <w:left w:val="none" w:sz="0" w:space="0" w:color="auto"/>
            <w:bottom w:val="none" w:sz="0" w:space="0" w:color="auto"/>
            <w:right w:val="none" w:sz="0" w:space="0" w:color="auto"/>
          </w:divBdr>
        </w:div>
        <w:div w:id="1448230616">
          <w:marLeft w:val="640"/>
          <w:marRight w:val="0"/>
          <w:marTop w:val="0"/>
          <w:marBottom w:val="0"/>
          <w:divBdr>
            <w:top w:val="none" w:sz="0" w:space="0" w:color="auto"/>
            <w:left w:val="none" w:sz="0" w:space="0" w:color="auto"/>
            <w:bottom w:val="none" w:sz="0" w:space="0" w:color="auto"/>
            <w:right w:val="none" w:sz="0" w:space="0" w:color="auto"/>
          </w:divBdr>
        </w:div>
        <w:div w:id="1889301395">
          <w:marLeft w:val="640"/>
          <w:marRight w:val="0"/>
          <w:marTop w:val="0"/>
          <w:marBottom w:val="0"/>
          <w:divBdr>
            <w:top w:val="none" w:sz="0" w:space="0" w:color="auto"/>
            <w:left w:val="none" w:sz="0" w:space="0" w:color="auto"/>
            <w:bottom w:val="none" w:sz="0" w:space="0" w:color="auto"/>
            <w:right w:val="none" w:sz="0" w:space="0" w:color="auto"/>
          </w:divBdr>
        </w:div>
        <w:div w:id="2013288817">
          <w:marLeft w:val="640"/>
          <w:marRight w:val="0"/>
          <w:marTop w:val="0"/>
          <w:marBottom w:val="0"/>
          <w:divBdr>
            <w:top w:val="none" w:sz="0" w:space="0" w:color="auto"/>
            <w:left w:val="none" w:sz="0" w:space="0" w:color="auto"/>
            <w:bottom w:val="none" w:sz="0" w:space="0" w:color="auto"/>
            <w:right w:val="none" w:sz="0" w:space="0" w:color="auto"/>
          </w:divBdr>
        </w:div>
        <w:div w:id="1453549887">
          <w:marLeft w:val="640"/>
          <w:marRight w:val="0"/>
          <w:marTop w:val="0"/>
          <w:marBottom w:val="0"/>
          <w:divBdr>
            <w:top w:val="none" w:sz="0" w:space="0" w:color="auto"/>
            <w:left w:val="none" w:sz="0" w:space="0" w:color="auto"/>
            <w:bottom w:val="none" w:sz="0" w:space="0" w:color="auto"/>
            <w:right w:val="none" w:sz="0" w:space="0" w:color="auto"/>
          </w:divBdr>
        </w:div>
        <w:div w:id="1317105883">
          <w:marLeft w:val="640"/>
          <w:marRight w:val="0"/>
          <w:marTop w:val="0"/>
          <w:marBottom w:val="0"/>
          <w:divBdr>
            <w:top w:val="none" w:sz="0" w:space="0" w:color="auto"/>
            <w:left w:val="none" w:sz="0" w:space="0" w:color="auto"/>
            <w:bottom w:val="none" w:sz="0" w:space="0" w:color="auto"/>
            <w:right w:val="none" w:sz="0" w:space="0" w:color="auto"/>
          </w:divBdr>
        </w:div>
        <w:div w:id="1041324041">
          <w:marLeft w:val="640"/>
          <w:marRight w:val="0"/>
          <w:marTop w:val="0"/>
          <w:marBottom w:val="0"/>
          <w:divBdr>
            <w:top w:val="none" w:sz="0" w:space="0" w:color="auto"/>
            <w:left w:val="none" w:sz="0" w:space="0" w:color="auto"/>
            <w:bottom w:val="none" w:sz="0" w:space="0" w:color="auto"/>
            <w:right w:val="none" w:sz="0" w:space="0" w:color="auto"/>
          </w:divBdr>
        </w:div>
        <w:div w:id="15549856">
          <w:marLeft w:val="640"/>
          <w:marRight w:val="0"/>
          <w:marTop w:val="0"/>
          <w:marBottom w:val="0"/>
          <w:divBdr>
            <w:top w:val="none" w:sz="0" w:space="0" w:color="auto"/>
            <w:left w:val="none" w:sz="0" w:space="0" w:color="auto"/>
            <w:bottom w:val="none" w:sz="0" w:space="0" w:color="auto"/>
            <w:right w:val="none" w:sz="0" w:space="0" w:color="auto"/>
          </w:divBdr>
        </w:div>
        <w:div w:id="885918216">
          <w:marLeft w:val="640"/>
          <w:marRight w:val="0"/>
          <w:marTop w:val="0"/>
          <w:marBottom w:val="0"/>
          <w:divBdr>
            <w:top w:val="none" w:sz="0" w:space="0" w:color="auto"/>
            <w:left w:val="none" w:sz="0" w:space="0" w:color="auto"/>
            <w:bottom w:val="none" w:sz="0" w:space="0" w:color="auto"/>
            <w:right w:val="none" w:sz="0" w:space="0" w:color="auto"/>
          </w:divBdr>
        </w:div>
        <w:div w:id="1681395348">
          <w:marLeft w:val="640"/>
          <w:marRight w:val="0"/>
          <w:marTop w:val="0"/>
          <w:marBottom w:val="0"/>
          <w:divBdr>
            <w:top w:val="none" w:sz="0" w:space="0" w:color="auto"/>
            <w:left w:val="none" w:sz="0" w:space="0" w:color="auto"/>
            <w:bottom w:val="none" w:sz="0" w:space="0" w:color="auto"/>
            <w:right w:val="none" w:sz="0" w:space="0" w:color="auto"/>
          </w:divBdr>
        </w:div>
        <w:div w:id="1311447448">
          <w:marLeft w:val="640"/>
          <w:marRight w:val="0"/>
          <w:marTop w:val="0"/>
          <w:marBottom w:val="0"/>
          <w:divBdr>
            <w:top w:val="none" w:sz="0" w:space="0" w:color="auto"/>
            <w:left w:val="none" w:sz="0" w:space="0" w:color="auto"/>
            <w:bottom w:val="none" w:sz="0" w:space="0" w:color="auto"/>
            <w:right w:val="none" w:sz="0" w:space="0" w:color="auto"/>
          </w:divBdr>
        </w:div>
        <w:div w:id="2054960600">
          <w:marLeft w:val="640"/>
          <w:marRight w:val="0"/>
          <w:marTop w:val="0"/>
          <w:marBottom w:val="0"/>
          <w:divBdr>
            <w:top w:val="none" w:sz="0" w:space="0" w:color="auto"/>
            <w:left w:val="none" w:sz="0" w:space="0" w:color="auto"/>
            <w:bottom w:val="none" w:sz="0" w:space="0" w:color="auto"/>
            <w:right w:val="none" w:sz="0" w:space="0" w:color="auto"/>
          </w:divBdr>
        </w:div>
        <w:div w:id="1168788298">
          <w:marLeft w:val="640"/>
          <w:marRight w:val="0"/>
          <w:marTop w:val="0"/>
          <w:marBottom w:val="0"/>
          <w:divBdr>
            <w:top w:val="none" w:sz="0" w:space="0" w:color="auto"/>
            <w:left w:val="none" w:sz="0" w:space="0" w:color="auto"/>
            <w:bottom w:val="none" w:sz="0" w:space="0" w:color="auto"/>
            <w:right w:val="none" w:sz="0" w:space="0" w:color="auto"/>
          </w:divBdr>
        </w:div>
        <w:div w:id="1677146153">
          <w:marLeft w:val="640"/>
          <w:marRight w:val="0"/>
          <w:marTop w:val="0"/>
          <w:marBottom w:val="0"/>
          <w:divBdr>
            <w:top w:val="none" w:sz="0" w:space="0" w:color="auto"/>
            <w:left w:val="none" w:sz="0" w:space="0" w:color="auto"/>
            <w:bottom w:val="none" w:sz="0" w:space="0" w:color="auto"/>
            <w:right w:val="none" w:sz="0" w:space="0" w:color="auto"/>
          </w:divBdr>
        </w:div>
        <w:div w:id="479343464">
          <w:marLeft w:val="640"/>
          <w:marRight w:val="0"/>
          <w:marTop w:val="0"/>
          <w:marBottom w:val="0"/>
          <w:divBdr>
            <w:top w:val="none" w:sz="0" w:space="0" w:color="auto"/>
            <w:left w:val="none" w:sz="0" w:space="0" w:color="auto"/>
            <w:bottom w:val="none" w:sz="0" w:space="0" w:color="auto"/>
            <w:right w:val="none" w:sz="0" w:space="0" w:color="auto"/>
          </w:divBdr>
        </w:div>
        <w:div w:id="952974889">
          <w:marLeft w:val="640"/>
          <w:marRight w:val="0"/>
          <w:marTop w:val="0"/>
          <w:marBottom w:val="0"/>
          <w:divBdr>
            <w:top w:val="none" w:sz="0" w:space="0" w:color="auto"/>
            <w:left w:val="none" w:sz="0" w:space="0" w:color="auto"/>
            <w:bottom w:val="none" w:sz="0" w:space="0" w:color="auto"/>
            <w:right w:val="none" w:sz="0" w:space="0" w:color="auto"/>
          </w:divBdr>
        </w:div>
        <w:div w:id="1159032955">
          <w:marLeft w:val="640"/>
          <w:marRight w:val="0"/>
          <w:marTop w:val="0"/>
          <w:marBottom w:val="0"/>
          <w:divBdr>
            <w:top w:val="none" w:sz="0" w:space="0" w:color="auto"/>
            <w:left w:val="none" w:sz="0" w:space="0" w:color="auto"/>
            <w:bottom w:val="none" w:sz="0" w:space="0" w:color="auto"/>
            <w:right w:val="none" w:sz="0" w:space="0" w:color="auto"/>
          </w:divBdr>
        </w:div>
        <w:div w:id="1401060057">
          <w:marLeft w:val="640"/>
          <w:marRight w:val="0"/>
          <w:marTop w:val="0"/>
          <w:marBottom w:val="0"/>
          <w:divBdr>
            <w:top w:val="none" w:sz="0" w:space="0" w:color="auto"/>
            <w:left w:val="none" w:sz="0" w:space="0" w:color="auto"/>
            <w:bottom w:val="none" w:sz="0" w:space="0" w:color="auto"/>
            <w:right w:val="none" w:sz="0" w:space="0" w:color="auto"/>
          </w:divBdr>
        </w:div>
        <w:div w:id="69431403">
          <w:marLeft w:val="640"/>
          <w:marRight w:val="0"/>
          <w:marTop w:val="0"/>
          <w:marBottom w:val="0"/>
          <w:divBdr>
            <w:top w:val="none" w:sz="0" w:space="0" w:color="auto"/>
            <w:left w:val="none" w:sz="0" w:space="0" w:color="auto"/>
            <w:bottom w:val="none" w:sz="0" w:space="0" w:color="auto"/>
            <w:right w:val="none" w:sz="0" w:space="0" w:color="auto"/>
          </w:divBdr>
        </w:div>
        <w:div w:id="1634873004">
          <w:marLeft w:val="640"/>
          <w:marRight w:val="0"/>
          <w:marTop w:val="0"/>
          <w:marBottom w:val="0"/>
          <w:divBdr>
            <w:top w:val="none" w:sz="0" w:space="0" w:color="auto"/>
            <w:left w:val="none" w:sz="0" w:space="0" w:color="auto"/>
            <w:bottom w:val="none" w:sz="0" w:space="0" w:color="auto"/>
            <w:right w:val="none" w:sz="0" w:space="0" w:color="auto"/>
          </w:divBdr>
        </w:div>
        <w:div w:id="336268769">
          <w:marLeft w:val="640"/>
          <w:marRight w:val="0"/>
          <w:marTop w:val="0"/>
          <w:marBottom w:val="0"/>
          <w:divBdr>
            <w:top w:val="none" w:sz="0" w:space="0" w:color="auto"/>
            <w:left w:val="none" w:sz="0" w:space="0" w:color="auto"/>
            <w:bottom w:val="none" w:sz="0" w:space="0" w:color="auto"/>
            <w:right w:val="none" w:sz="0" w:space="0" w:color="auto"/>
          </w:divBdr>
        </w:div>
        <w:div w:id="1946423397">
          <w:marLeft w:val="640"/>
          <w:marRight w:val="0"/>
          <w:marTop w:val="0"/>
          <w:marBottom w:val="0"/>
          <w:divBdr>
            <w:top w:val="none" w:sz="0" w:space="0" w:color="auto"/>
            <w:left w:val="none" w:sz="0" w:space="0" w:color="auto"/>
            <w:bottom w:val="none" w:sz="0" w:space="0" w:color="auto"/>
            <w:right w:val="none" w:sz="0" w:space="0" w:color="auto"/>
          </w:divBdr>
        </w:div>
        <w:div w:id="1979527609">
          <w:marLeft w:val="640"/>
          <w:marRight w:val="0"/>
          <w:marTop w:val="0"/>
          <w:marBottom w:val="0"/>
          <w:divBdr>
            <w:top w:val="none" w:sz="0" w:space="0" w:color="auto"/>
            <w:left w:val="none" w:sz="0" w:space="0" w:color="auto"/>
            <w:bottom w:val="none" w:sz="0" w:space="0" w:color="auto"/>
            <w:right w:val="none" w:sz="0" w:space="0" w:color="auto"/>
          </w:divBdr>
        </w:div>
        <w:div w:id="507447034">
          <w:marLeft w:val="640"/>
          <w:marRight w:val="0"/>
          <w:marTop w:val="0"/>
          <w:marBottom w:val="0"/>
          <w:divBdr>
            <w:top w:val="none" w:sz="0" w:space="0" w:color="auto"/>
            <w:left w:val="none" w:sz="0" w:space="0" w:color="auto"/>
            <w:bottom w:val="none" w:sz="0" w:space="0" w:color="auto"/>
            <w:right w:val="none" w:sz="0" w:space="0" w:color="auto"/>
          </w:divBdr>
        </w:div>
        <w:div w:id="691034540">
          <w:marLeft w:val="640"/>
          <w:marRight w:val="0"/>
          <w:marTop w:val="0"/>
          <w:marBottom w:val="0"/>
          <w:divBdr>
            <w:top w:val="none" w:sz="0" w:space="0" w:color="auto"/>
            <w:left w:val="none" w:sz="0" w:space="0" w:color="auto"/>
            <w:bottom w:val="none" w:sz="0" w:space="0" w:color="auto"/>
            <w:right w:val="none" w:sz="0" w:space="0" w:color="auto"/>
          </w:divBdr>
        </w:div>
        <w:div w:id="1178617189">
          <w:marLeft w:val="640"/>
          <w:marRight w:val="0"/>
          <w:marTop w:val="0"/>
          <w:marBottom w:val="0"/>
          <w:divBdr>
            <w:top w:val="none" w:sz="0" w:space="0" w:color="auto"/>
            <w:left w:val="none" w:sz="0" w:space="0" w:color="auto"/>
            <w:bottom w:val="none" w:sz="0" w:space="0" w:color="auto"/>
            <w:right w:val="none" w:sz="0" w:space="0" w:color="auto"/>
          </w:divBdr>
        </w:div>
        <w:div w:id="1169713355">
          <w:marLeft w:val="640"/>
          <w:marRight w:val="0"/>
          <w:marTop w:val="0"/>
          <w:marBottom w:val="0"/>
          <w:divBdr>
            <w:top w:val="none" w:sz="0" w:space="0" w:color="auto"/>
            <w:left w:val="none" w:sz="0" w:space="0" w:color="auto"/>
            <w:bottom w:val="none" w:sz="0" w:space="0" w:color="auto"/>
            <w:right w:val="none" w:sz="0" w:space="0" w:color="auto"/>
          </w:divBdr>
        </w:div>
        <w:div w:id="1339312478">
          <w:marLeft w:val="640"/>
          <w:marRight w:val="0"/>
          <w:marTop w:val="0"/>
          <w:marBottom w:val="0"/>
          <w:divBdr>
            <w:top w:val="none" w:sz="0" w:space="0" w:color="auto"/>
            <w:left w:val="none" w:sz="0" w:space="0" w:color="auto"/>
            <w:bottom w:val="none" w:sz="0" w:space="0" w:color="auto"/>
            <w:right w:val="none" w:sz="0" w:space="0" w:color="auto"/>
          </w:divBdr>
        </w:div>
        <w:div w:id="1235553265">
          <w:marLeft w:val="640"/>
          <w:marRight w:val="0"/>
          <w:marTop w:val="0"/>
          <w:marBottom w:val="0"/>
          <w:divBdr>
            <w:top w:val="none" w:sz="0" w:space="0" w:color="auto"/>
            <w:left w:val="none" w:sz="0" w:space="0" w:color="auto"/>
            <w:bottom w:val="none" w:sz="0" w:space="0" w:color="auto"/>
            <w:right w:val="none" w:sz="0" w:space="0" w:color="auto"/>
          </w:divBdr>
        </w:div>
        <w:div w:id="360739581">
          <w:marLeft w:val="640"/>
          <w:marRight w:val="0"/>
          <w:marTop w:val="0"/>
          <w:marBottom w:val="0"/>
          <w:divBdr>
            <w:top w:val="none" w:sz="0" w:space="0" w:color="auto"/>
            <w:left w:val="none" w:sz="0" w:space="0" w:color="auto"/>
            <w:bottom w:val="none" w:sz="0" w:space="0" w:color="auto"/>
            <w:right w:val="none" w:sz="0" w:space="0" w:color="auto"/>
          </w:divBdr>
        </w:div>
        <w:div w:id="146823477">
          <w:marLeft w:val="640"/>
          <w:marRight w:val="0"/>
          <w:marTop w:val="0"/>
          <w:marBottom w:val="0"/>
          <w:divBdr>
            <w:top w:val="none" w:sz="0" w:space="0" w:color="auto"/>
            <w:left w:val="none" w:sz="0" w:space="0" w:color="auto"/>
            <w:bottom w:val="none" w:sz="0" w:space="0" w:color="auto"/>
            <w:right w:val="none" w:sz="0" w:space="0" w:color="auto"/>
          </w:divBdr>
        </w:div>
        <w:div w:id="1699350891">
          <w:marLeft w:val="640"/>
          <w:marRight w:val="0"/>
          <w:marTop w:val="0"/>
          <w:marBottom w:val="0"/>
          <w:divBdr>
            <w:top w:val="none" w:sz="0" w:space="0" w:color="auto"/>
            <w:left w:val="none" w:sz="0" w:space="0" w:color="auto"/>
            <w:bottom w:val="none" w:sz="0" w:space="0" w:color="auto"/>
            <w:right w:val="none" w:sz="0" w:space="0" w:color="auto"/>
          </w:divBdr>
        </w:div>
        <w:div w:id="1593735614">
          <w:marLeft w:val="640"/>
          <w:marRight w:val="0"/>
          <w:marTop w:val="0"/>
          <w:marBottom w:val="0"/>
          <w:divBdr>
            <w:top w:val="none" w:sz="0" w:space="0" w:color="auto"/>
            <w:left w:val="none" w:sz="0" w:space="0" w:color="auto"/>
            <w:bottom w:val="none" w:sz="0" w:space="0" w:color="auto"/>
            <w:right w:val="none" w:sz="0" w:space="0" w:color="auto"/>
          </w:divBdr>
        </w:div>
        <w:div w:id="409347996">
          <w:marLeft w:val="640"/>
          <w:marRight w:val="0"/>
          <w:marTop w:val="0"/>
          <w:marBottom w:val="0"/>
          <w:divBdr>
            <w:top w:val="none" w:sz="0" w:space="0" w:color="auto"/>
            <w:left w:val="none" w:sz="0" w:space="0" w:color="auto"/>
            <w:bottom w:val="none" w:sz="0" w:space="0" w:color="auto"/>
            <w:right w:val="none" w:sz="0" w:space="0" w:color="auto"/>
          </w:divBdr>
        </w:div>
        <w:div w:id="579292336">
          <w:marLeft w:val="640"/>
          <w:marRight w:val="0"/>
          <w:marTop w:val="0"/>
          <w:marBottom w:val="0"/>
          <w:divBdr>
            <w:top w:val="none" w:sz="0" w:space="0" w:color="auto"/>
            <w:left w:val="none" w:sz="0" w:space="0" w:color="auto"/>
            <w:bottom w:val="none" w:sz="0" w:space="0" w:color="auto"/>
            <w:right w:val="none" w:sz="0" w:space="0" w:color="auto"/>
          </w:divBdr>
        </w:div>
        <w:div w:id="173540813">
          <w:marLeft w:val="640"/>
          <w:marRight w:val="0"/>
          <w:marTop w:val="0"/>
          <w:marBottom w:val="0"/>
          <w:divBdr>
            <w:top w:val="none" w:sz="0" w:space="0" w:color="auto"/>
            <w:left w:val="none" w:sz="0" w:space="0" w:color="auto"/>
            <w:bottom w:val="none" w:sz="0" w:space="0" w:color="auto"/>
            <w:right w:val="none" w:sz="0" w:space="0" w:color="auto"/>
          </w:divBdr>
        </w:div>
        <w:div w:id="561136145">
          <w:marLeft w:val="640"/>
          <w:marRight w:val="0"/>
          <w:marTop w:val="0"/>
          <w:marBottom w:val="0"/>
          <w:divBdr>
            <w:top w:val="none" w:sz="0" w:space="0" w:color="auto"/>
            <w:left w:val="none" w:sz="0" w:space="0" w:color="auto"/>
            <w:bottom w:val="none" w:sz="0" w:space="0" w:color="auto"/>
            <w:right w:val="none" w:sz="0" w:space="0" w:color="auto"/>
          </w:divBdr>
        </w:div>
        <w:div w:id="490029364">
          <w:marLeft w:val="640"/>
          <w:marRight w:val="0"/>
          <w:marTop w:val="0"/>
          <w:marBottom w:val="0"/>
          <w:divBdr>
            <w:top w:val="none" w:sz="0" w:space="0" w:color="auto"/>
            <w:left w:val="none" w:sz="0" w:space="0" w:color="auto"/>
            <w:bottom w:val="none" w:sz="0" w:space="0" w:color="auto"/>
            <w:right w:val="none" w:sz="0" w:space="0" w:color="auto"/>
          </w:divBdr>
        </w:div>
        <w:div w:id="1914897005">
          <w:marLeft w:val="640"/>
          <w:marRight w:val="0"/>
          <w:marTop w:val="0"/>
          <w:marBottom w:val="0"/>
          <w:divBdr>
            <w:top w:val="none" w:sz="0" w:space="0" w:color="auto"/>
            <w:left w:val="none" w:sz="0" w:space="0" w:color="auto"/>
            <w:bottom w:val="none" w:sz="0" w:space="0" w:color="auto"/>
            <w:right w:val="none" w:sz="0" w:space="0" w:color="auto"/>
          </w:divBdr>
        </w:div>
        <w:div w:id="490676096">
          <w:marLeft w:val="640"/>
          <w:marRight w:val="0"/>
          <w:marTop w:val="0"/>
          <w:marBottom w:val="0"/>
          <w:divBdr>
            <w:top w:val="none" w:sz="0" w:space="0" w:color="auto"/>
            <w:left w:val="none" w:sz="0" w:space="0" w:color="auto"/>
            <w:bottom w:val="none" w:sz="0" w:space="0" w:color="auto"/>
            <w:right w:val="none" w:sz="0" w:space="0" w:color="auto"/>
          </w:divBdr>
        </w:div>
        <w:div w:id="1893080903">
          <w:marLeft w:val="640"/>
          <w:marRight w:val="0"/>
          <w:marTop w:val="0"/>
          <w:marBottom w:val="0"/>
          <w:divBdr>
            <w:top w:val="none" w:sz="0" w:space="0" w:color="auto"/>
            <w:left w:val="none" w:sz="0" w:space="0" w:color="auto"/>
            <w:bottom w:val="none" w:sz="0" w:space="0" w:color="auto"/>
            <w:right w:val="none" w:sz="0" w:space="0" w:color="auto"/>
          </w:divBdr>
        </w:div>
        <w:div w:id="148984332">
          <w:marLeft w:val="640"/>
          <w:marRight w:val="0"/>
          <w:marTop w:val="0"/>
          <w:marBottom w:val="0"/>
          <w:divBdr>
            <w:top w:val="none" w:sz="0" w:space="0" w:color="auto"/>
            <w:left w:val="none" w:sz="0" w:space="0" w:color="auto"/>
            <w:bottom w:val="none" w:sz="0" w:space="0" w:color="auto"/>
            <w:right w:val="none" w:sz="0" w:space="0" w:color="auto"/>
          </w:divBdr>
        </w:div>
        <w:div w:id="1021249438">
          <w:marLeft w:val="640"/>
          <w:marRight w:val="0"/>
          <w:marTop w:val="0"/>
          <w:marBottom w:val="0"/>
          <w:divBdr>
            <w:top w:val="none" w:sz="0" w:space="0" w:color="auto"/>
            <w:left w:val="none" w:sz="0" w:space="0" w:color="auto"/>
            <w:bottom w:val="none" w:sz="0" w:space="0" w:color="auto"/>
            <w:right w:val="none" w:sz="0" w:space="0" w:color="auto"/>
          </w:divBdr>
        </w:div>
        <w:div w:id="842167947">
          <w:marLeft w:val="640"/>
          <w:marRight w:val="0"/>
          <w:marTop w:val="0"/>
          <w:marBottom w:val="0"/>
          <w:divBdr>
            <w:top w:val="none" w:sz="0" w:space="0" w:color="auto"/>
            <w:left w:val="none" w:sz="0" w:space="0" w:color="auto"/>
            <w:bottom w:val="none" w:sz="0" w:space="0" w:color="auto"/>
            <w:right w:val="none" w:sz="0" w:space="0" w:color="auto"/>
          </w:divBdr>
        </w:div>
        <w:div w:id="1591624762">
          <w:marLeft w:val="640"/>
          <w:marRight w:val="0"/>
          <w:marTop w:val="0"/>
          <w:marBottom w:val="0"/>
          <w:divBdr>
            <w:top w:val="none" w:sz="0" w:space="0" w:color="auto"/>
            <w:left w:val="none" w:sz="0" w:space="0" w:color="auto"/>
            <w:bottom w:val="none" w:sz="0" w:space="0" w:color="auto"/>
            <w:right w:val="none" w:sz="0" w:space="0" w:color="auto"/>
          </w:divBdr>
        </w:div>
        <w:div w:id="154415746">
          <w:marLeft w:val="640"/>
          <w:marRight w:val="0"/>
          <w:marTop w:val="0"/>
          <w:marBottom w:val="0"/>
          <w:divBdr>
            <w:top w:val="none" w:sz="0" w:space="0" w:color="auto"/>
            <w:left w:val="none" w:sz="0" w:space="0" w:color="auto"/>
            <w:bottom w:val="none" w:sz="0" w:space="0" w:color="auto"/>
            <w:right w:val="none" w:sz="0" w:space="0" w:color="auto"/>
          </w:divBdr>
        </w:div>
        <w:div w:id="1051540285">
          <w:marLeft w:val="640"/>
          <w:marRight w:val="0"/>
          <w:marTop w:val="0"/>
          <w:marBottom w:val="0"/>
          <w:divBdr>
            <w:top w:val="none" w:sz="0" w:space="0" w:color="auto"/>
            <w:left w:val="none" w:sz="0" w:space="0" w:color="auto"/>
            <w:bottom w:val="none" w:sz="0" w:space="0" w:color="auto"/>
            <w:right w:val="none" w:sz="0" w:space="0" w:color="auto"/>
          </w:divBdr>
        </w:div>
        <w:div w:id="521750996">
          <w:marLeft w:val="640"/>
          <w:marRight w:val="0"/>
          <w:marTop w:val="0"/>
          <w:marBottom w:val="0"/>
          <w:divBdr>
            <w:top w:val="none" w:sz="0" w:space="0" w:color="auto"/>
            <w:left w:val="none" w:sz="0" w:space="0" w:color="auto"/>
            <w:bottom w:val="none" w:sz="0" w:space="0" w:color="auto"/>
            <w:right w:val="none" w:sz="0" w:space="0" w:color="auto"/>
          </w:divBdr>
        </w:div>
        <w:div w:id="1440023209">
          <w:marLeft w:val="640"/>
          <w:marRight w:val="0"/>
          <w:marTop w:val="0"/>
          <w:marBottom w:val="0"/>
          <w:divBdr>
            <w:top w:val="none" w:sz="0" w:space="0" w:color="auto"/>
            <w:left w:val="none" w:sz="0" w:space="0" w:color="auto"/>
            <w:bottom w:val="none" w:sz="0" w:space="0" w:color="auto"/>
            <w:right w:val="none" w:sz="0" w:space="0" w:color="auto"/>
          </w:divBdr>
        </w:div>
        <w:div w:id="449781314">
          <w:marLeft w:val="640"/>
          <w:marRight w:val="0"/>
          <w:marTop w:val="0"/>
          <w:marBottom w:val="0"/>
          <w:divBdr>
            <w:top w:val="none" w:sz="0" w:space="0" w:color="auto"/>
            <w:left w:val="none" w:sz="0" w:space="0" w:color="auto"/>
            <w:bottom w:val="none" w:sz="0" w:space="0" w:color="auto"/>
            <w:right w:val="none" w:sz="0" w:space="0" w:color="auto"/>
          </w:divBdr>
        </w:div>
        <w:div w:id="1789664424">
          <w:marLeft w:val="640"/>
          <w:marRight w:val="0"/>
          <w:marTop w:val="0"/>
          <w:marBottom w:val="0"/>
          <w:divBdr>
            <w:top w:val="none" w:sz="0" w:space="0" w:color="auto"/>
            <w:left w:val="none" w:sz="0" w:space="0" w:color="auto"/>
            <w:bottom w:val="none" w:sz="0" w:space="0" w:color="auto"/>
            <w:right w:val="none" w:sz="0" w:space="0" w:color="auto"/>
          </w:divBdr>
        </w:div>
        <w:div w:id="1934431245">
          <w:marLeft w:val="640"/>
          <w:marRight w:val="0"/>
          <w:marTop w:val="0"/>
          <w:marBottom w:val="0"/>
          <w:divBdr>
            <w:top w:val="none" w:sz="0" w:space="0" w:color="auto"/>
            <w:left w:val="none" w:sz="0" w:space="0" w:color="auto"/>
            <w:bottom w:val="none" w:sz="0" w:space="0" w:color="auto"/>
            <w:right w:val="none" w:sz="0" w:space="0" w:color="auto"/>
          </w:divBdr>
        </w:div>
        <w:div w:id="1218128016">
          <w:marLeft w:val="640"/>
          <w:marRight w:val="0"/>
          <w:marTop w:val="0"/>
          <w:marBottom w:val="0"/>
          <w:divBdr>
            <w:top w:val="none" w:sz="0" w:space="0" w:color="auto"/>
            <w:left w:val="none" w:sz="0" w:space="0" w:color="auto"/>
            <w:bottom w:val="none" w:sz="0" w:space="0" w:color="auto"/>
            <w:right w:val="none" w:sz="0" w:space="0" w:color="auto"/>
          </w:divBdr>
        </w:div>
        <w:div w:id="980384062">
          <w:marLeft w:val="640"/>
          <w:marRight w:val="0"/>
          <w:marTop w:val="0"/>
          <w:marBottom w:val="0"/>
          <w:divBdr>
            <w:top w:val="none" w:sz="0" w:space="0" w:color="auto"/>
            <w:left w:val="none" w:sz="0" w:space="0" w:color="auto"/>
            <w:bottom w:val="none" w:sz="0" w:space="0" w:color="auto"/>
            <w:right w:val="none" w:sz="0" w:space="0" w:color="auto"/>
          </w:divBdr>
        </w:div>
        <w:div w:id="1742755724">
          <w:marLeft w:val="640"/>
          <w:marRight w:val="0"/>
          <w:marTop w:val="0"/>
          <w:marBottom w:val="0"/>
          <w:divBdr>
            <w:top w:val="none" w:sz="0" w:space="0" w:color="auto"/>
            <w:left w:val="none" w:sz="0" w:space="0" w:color="auto"/>
            <w:bottom w:val="none" w:sz="0" w:space="0" w:color="auto"/>
            <w:right w:val="none" w:sz="0" w:space="0" w:color="auto"/>
          </w:divBdr>
        </w:div>
        <w:div w:id="636683623">
          <w:marLeft w:val="640"/>
          <w:marRight w:val="0"/>
          <w:marTop w:val="0"/>
          <w:marBottom w:val="0"/>
          <w:divBdr>
            <w:top w:val="none" w:sz="0" w:space="0" w:color="auto"/>
            <w:left w:val="none" w:sz="0" w:space="0" w:color="auto"/>
            <w:bottom w:val="none" w:sz="0" w:space="0" w:color="auto"/>
            <w:right w:val="none" w:sz="0" w:space="0" w:color="auto"/>
          </w:divBdr>
        </w:div>
        <w:div w:id="1021392562">
          <w:marLeft w:val="640"/>
          <w:marRight w:val="0"/>
          <w:marTop w:val="0"/>
          <w:marBottom w:val="0"/>
          <w:divBdr>
            <w:top w:val="none" w:sz="0" w:space="0" w:color="auto"/>
            <w:left w:val="none" w:sz="0" w:space="0" w:color="auto"/>
            <w:bottom w:val="none" w:sz="0" w:space="0" w:color="auto"/>
            <w:right w:val="none" w:sz="0" w:space="0" w:color="auto"/>
          </w:divBdr>
        </w:div>
        <w:div w:id="1501579171">
          <w:marLeft w:val="640"/>
          <w:marRight w:val="0"/>
          <w:marTop w:val="0"/>
          <w:marBottom w:val="0"/>
          <w:divBdr>
            <w:top w:val="none" w:sz="0" w:space="0" w:color="auto"/>
            <w:left w:val="none" w:sz="0" w:space="0" w:color="auto"/>
            <w:bottom w:val="none" w:sz="0" w:space="0" w:color="auto"/>
            <w:right w:val="none" w:sz="0" w:space="0" w:color="auto"/>
          </w:divBdr>
        </w:div>
        <w:div w:id="1124542417">
          <w:marLeft w:val="640"/>
          <w:marRight w:val="0"/>
          <w:marTop w:val="0"/>
          <w:marBottom w:val="0"/>
          <w:divBdr>
            <w:top w:val="none" w:sz="0" w:space="0" w:color="auto"/>
            <w:left w:val="none" w:sz="0" w:space="0" w:color="auto"/>
            <w:bottom w:val="none" w:sz="0" w:space="0" w:color="auto"/>
            <w:right w:val="none" w:sz="0" w:space="0" w:color="auto"/>
          </w:divBdr>
        </w:div>
        <w:div w:id="463887940">
          <w:marLeft w:val="640"/>
          <w:marRight w:val="0"/>
          <w:marTop w:val="0"/>
          <w:marBottom w:val="0"/>
          <w:divBdr>
            <w:top w:val="none" w:sz="0" w:space="0" w:color="auto"/>
            <w:left w:val="none" w:sz="0" w:space="0" w:color="auto"/>
            <w:bottom w:val="none" w:sz="0" w:space="0" w:color="auto"/>
            <w:right w:val="none" w:sz="0" w:space="0" w:color="auto"/>
          </w:divBdr>
        </w:div>
        <w:div w:id="22562125">
          <w:marLeft w:val="640"/>
          <w:marRight w:val="0"/>
          <w:marTop w:val="0"/>
          <w:marBottom w:val="0"/>
          <w:divBdr>
            <w:top w:val="none" w:sz="0" w:space="0" w:color="auto"/>
            <w:left w:val="none" w:sz="0" w:space="0" w:color="auto"/>
            <w:bottom w:val="none" w:sz="0" w:space="0" w:color="auto"/>
            <w:right w:val="none" w:sz="0" w:space="0" w:color="auto"/>
          </w:divBdr>
        </w:div>
        <w:div w:id="728191224">
          <w:marLeft w:val="640"/>
          <w:marRight w:val="0"/>
          <w:marTop w:val="0"/>
          <w:marBottom w:val="0"/>
          <w:divBdr>
            <w:top w:val="none" w:sz="0" w:space="0" w:color="auto"/>
            <w:left w:val="none" w:sz="0" w:space="0" w:color="auto"/>
            <w:bottom w:val="none" w:sz="0" w:space="0" w:color="auto"/>
            <w:right w:val="none" w:sz="0" w:space="0" w:color="auto"/>
          </w:divBdr>
        </w:div>
        <w:div w:id="1741708566">
          <w:marLeft w:val="640"/>
          <w:marRight w:val="0"/>
          <w:marTop w:val="0"/>
          <w:marBottom w:val="0"/>
          <w:divBdr>
            <w:top w:val="none" w:sz="0" w:space="0" w:color="auto"/>
            <w:left w:val="none" w:sz="0" w:space="0" w:color="auto"/>
            <w:bottom w:val="none" w:sz="0" w:space="0" w:color="auto"/>
            <w:right w:val="none" w:sz="0" w:space="0" w:color="auto"/>
          </w:divBdr>
        </w:div>
        <w:div w:id="725834610">
          <w:marLeft w:val="640"/>
          <w:marRight w:val="0"/>
          <w:marTop w:val="0"/>
          <w:marBottom w:val="0"/>
          <w:divBdr>
            <w:top w:val="none" w:sz="0" w:space="0" w:color="auto"/>
            <w:left w:val="none" w:sz="0" w:space="0" w:color="auto"/>
            <w:bottom w:val="none" w:sz="0" w:space="0" w:color="auto"/>
            <w:right w:val="none" w:sz="0" w:space="0" w:color="auto"/>
          </w:divBdr>
        </w:div>
        <w:div w:id="1511286729">
          <w:marLeft w:val="640"/>
          <w:marRight w:val="0"/>
          <w:marTop w:val="0"/>
          <w:marBottom w:val="0"/>
          <w:divBdr>
            <w:top w:val="none" w:sz="0" w:space="0" w:color="auto"/>
            <w:left w:val="none" w:sz="0" w:space="0" w:color="auto"/>
            <w:bottom w:val="none" w:sz="0" w:space="0" w:color="auto"/>
            <w:right w:val="none" w:sz="0" w:space="0" w:color="auto"/>
          </w:divBdr>
        </w:div>
        <w:div w:id="892809115">
          <w:marLeft w:val="640"/>
          <w:marRight w:val="0"/>
          <w:marTop w:val="0"/>
          <w:marBottom w:val="0"/>
          <w:divBdr>
            <w:top w:val="none" w:sz="0" w:space="0" w:color="auto"/>
            <w:left w:val="none" w:sz="0" w:space="0" w:color="auto"/>
            <w:bottom w:val="none" w:sz="0" w:space="0" w:color="auto"/>
            <w:right w:val="none" w:sz="0" w:space="0" w:color="auto"/>
          </w:divBdr>
        </w:div>
        <w:div w:id="1817453255">
          <w:marLeft w:val="640"/>
          <w:marRight w:val="0"/>
          <w:marTop w:val="0"/>
          <w:marBottom w:val="0"/>
          <w:divBdr>
            <w:top w:val="none" w:sz="0" w:space="0" w:color="auto"/>
            <w:left w:val="none" w:sz="0" w:space="0" w:color="auto"/>
            <w:bottom w:val="none" w:sz="0" w:space="0" w:color="auto"/>
            <w:right w:val="none" w:sz="0" w:space="0" w:color="auto"/>
          </w:divBdr>
        </w:div>
        <w:div w:id="783573249">
          <w:marLeft w:val="640"/>
          <w:marRight w:val="0"/>
          <w:marTop w:val="0"/>
          <w:marBottom w:val="0"/>
          <w:divBdr>
            <w:top w:val="none" w:sz="0" w:space="0" w:color="auto"/>
            <w:left w:val="none" w:sz="0" w:space="0" w:color="auto"/>
            <w:bottom w:val="none" w:sz="0" w:space="0" w:color="auto"/>
            <w:right w:val="none" w:sz="0" w:space="0" w:color="auto"/>
          </w:divBdr>
        </w:div>
        <w:div w:id="408574019">
          <w:marLeft w:val="640"/>
          <w:marRight w:val="0"/>
          <w:marTop w:val="0"/>
          <w:marBottom w:val="0"/>
          <w:divBdr>
            <w:top w:val="none" w:sz="0" w:space="0" w:color="auto"/>
            <w:left w:val="none" w:sz="0" w:space="0" w:color="auto"/>
            <w:bottom w:val="none" w:sz="0" w:space="0" w:color="auto"/>
            <w:right w:val="none" w:sz="0" w:space="0" w:color="auto"/>
          </w:divBdr>
        </w:div>
        <w:div w:id="409935183">
          <w:marLeft w:val="640"/>
          <w:marRight w:val="0"/>
          <w:marTop w:val="0"/>
          <w:marBottom w:val="0"/>
          <w:divBdr>
            <w:top w:val="none" w:sz="0" w:space="0" w:color="auto"/>
            <w:left w:val="none" w:sz="0" w:space="0" w:color="auto"/>
            <w:bottom w:val="none" w:sz="0" w:space="0" w:color="auto"/>
            <w:right w:val="none" w:sz="0" w:space="0" w:color="auto"/>
          </w:divBdr>
        </w:div>
        <w:div w:id="2126458566">
          <w:marLeft w:val="640"/>
          <w:marRight w:val="0"/>
          <w:marTop w:val="0"/>
          <w:marBottom w:val="0"/>
          <w:divBdr>
            <w:top w:val="none" w:sz="0" w:space="0" w:color="auto"/>
            <w:left w:val="none" w:sz="0" w:space="0" w:color="auto"/>
            <w:bottom w:val="none" w:sz="0" w:space="0" w:color="auto"/>
            <w:right w:val="none" w:sz="0" w:space="0" w:color="auto"/>
          </w:divBdr>
        </w:div>
        <w:div w:id="1829705691">
          <w:marLeft w:val="640"/>
          <w:marRight w:val="0"/>
          <w:marTop w:val="0"/>
          <w:marBottom w:val="0"/>
          <w:divBdr>
            <w:top w:val="none" w:sz="0" w:space="0" w:color="auto"/>
            <w:left w:val="none" w:sz="0" w:space="0" w:color="auto"/>
            <w:bottom w:val="none" w:sz="0" w:space="0" w:color="auto"/>
            <w:right w:val="none" w:sz="0" w:space="0" w:color="auto"/>
          </w:divBdr>
        </w:div>
        <w:div w:id="965962711">
          <w:marLeft w:val="640"/>
          <w:marRight w:val="0"/>
          <w:marTop w:val="0"/>
          <w:marBottom w:val="0"/>
          <w:divBdr>
            <w:top w:val="none" w:sz="0" w:space="0" w:color="auto"/>
            <w:left w:val="none" w:sz="0" w:space="0" w:color="auto"/>
            <w:bottom w:val="none" w:sz="0" w:space="0" w:color="auto"/>
            <w:right w:val="none" w:sz="0" w:space="0" w:color="auto"/>
          </w:divBdr>
        </w:div>
        <w:div w:id="968125713">
          <w:marLeft w:val="640"/>
          <w:marRight w:val="0"/>
          <w:marTop w:val="0"/>
          <w:marBottom w:val="0"/>
          <w:divBdr>
            <w:top w:val="none" w:sz="0" w:space="0" w:color="auto"/>
            <w:left w:val="none" w:sz="0" w:space="0" w:color="auto"/>
            <w:bottom w:val="none" w:sz="0" w:space="0" w:color="auto"/>
            <w:right w:val="none" w:sz="0" w:space="0" w:color="auto"/>
          </w:divBdr>
        </w:div>
        <w:div w:id="1165969722">
          <w:marLeft w:val="640"/>
          <w:marRight w:val="0"/>
          <w:marTop w:val="0"/>
          <w:marBottom w:val="0"/>
          <w:divBdr>
            <w:top w:val="none" w:sz="0" w:space="0" w:color="auto"/>
            <w:left w:val="none" w:sz="0" w:space="0" w:color="auto"/>
            <w:bottom w:val="none" w:sz="0" w:space="0" w:color="auto"/>
            <w:right w:val="none" w:sz="0" w:space="0" w:color="auto"/>
          </w:divBdr>
        </w:div>
        <w:div w:id="1472672419">
          <w:marLeft w:val="640"/>
          <w:marRight w:val="0"/>
          <w:marTop w:val="0"/>
          <w:marBottom w:val="0"/>
          <w:divBdr>
            <w:top w:val="none" w:sz="0" w:space="0" w:color="auto"/>
            <w:left w:val="none" w:sz="0" w:space="0" w:color="auto"/>
            <w:bottom w:val="none" w:sz="0" w:space="0" w:color="auto"/>
            <w:right w:val="none" w:sz="0" w:space="0" w:color="auto"/>
          </w:divBdr>
        </w:div>
        <w:div w:id="997147483">
          <w:marLeft w:val="640"/>
          <w:marRight w:val="0"/>
          <w:marTop w:val="0"/>
          <w:marBottom w:val="0"/>
          <w:divBdr>
            <w:top w:val="none" w:sz="0" w:space="0" w:color="auto"/>
            <w:left w:val="none" w:sz="0" w:space="0" w:color="auto"/>
            <w:bottom w:val="none" w:sz="0" w:space="0" w:color="auto"/>
            <w:right w:val="none" w:sz="0" w:space="0" w:color="auto"/>
          </w:divBdr>
        </w:div>
        <w:div w:id="381758425">
          <w:marLeft w:val="640"/>
          <w:marRight w:val="0"/>
          <w:marTop w:val="0"/>
          <w:marBottom w:val="0"/>
          <w:divBdr>
            <w:top w:val="none" w:sz="0" w:space="0" w:color="auto"/>
            <w:left w:val="none" w:sz="0" w:space="0" w:color="auto"/>
            <w:bottom w:val="none" w:sz="0" w:space="0" w:color="auto"/>
            <w:right w:val="none" w:sz="0" w:space="0" w:color="auto"/>
          </w:divBdr>
        </w:div>
        <w:div w:id="638918612">
          <w:marLeft w:val="640"/>
          <w:marRight w:val="0"/>
          <w:marTop w:val="0"/>
          <w:marBottom w:val="0"/>
          <w:divBdr>
            <w:top w:val="none" w:sz="0" w:space="0" w:color="auto"/>
            <w:left w:val="none" w:sz="0" w:space="0" w:color="auto"/>
            <w:bottom w:val="none" w:sz="0" w:space="0" w:color="auto"/>
            <w:right w:val="none" w:sz="0" w:space="0" w:color="auto"/>
          </w:divBdr>
        </w:div>
        <w:div w:id="627316556">
          <w:marLeft w:val="640"/>
          <w:marRight w:val="0"/>
          <w:marTop w:val="0"/>
          <w:marBottom w:val="0"/>
          <w:divBdr>
            <w:top w:val="none" w:sz="0" w:space="0" w:color="auto"/>
            <w:left w:val="none" w:sz="0" w:space="0" w:color="auto"/>
            <w:bottom w:val="none" w:sz="0" w:space="0" w:color="auto"/>
            <w:right w:val="none" w:sz="0" w:space="0" w:color="auto"/>
          </w:divBdr>
        </w:div>
        <w:div w:id="1246458622">
          <w:marLeft w:val="640"/>
          <w:marRight w:val="0"/>
          <w:marTop w:val="0"/>
          <w:marBottom w:val="0"/>
          <w:divBdr>
            <w:top w:val="none" w:sz="0" w:space="0" w:color="auto"/>
            <w:left w:val="none" w:sz="0" w:space="0" w:color="auto"/>
            <w:bottom w:val="none" w:sz="0" w:space="0" w:color="auto"/>
            <w:right w:val="none" w:sz="0" w:space="0" w:color="auto"/>
          </w:divBdr>
        </w:div>
        <w:div w:id="681206551">
          <w:marLeft w:val="640"/>
          <w:marRight w:val="0"/>
          <w:marTop w:val="0"/>
          <w:marBottom w:val="0"/>
          <w:divBdr>
            <w:top w:val="none" w:sz="0" w:space="0" w:color="auto"/>
            <w:left w:val="none" w:sz="0" w:space="0" w:color="auto"/>
            <w:bottom w:val="none" w:sz="0" w:space="0" w:color="auto"/>
            <w:right w:val="none" w:sz="0" w:space="0" w:color="auto"/>
          </w:divBdr>
        </w:div>
        <w:div w:id="53165048">
          <w:marLeft w:val="640"/>
          <w:marRight w:val="0"/>
          <w:marTop w:val="0"/>
          <w:marBottom w:val="0"/>
          <w:divBdr>
            <w:top w:val="none" w:sz="0" w:space="0" w:color="auto"/>
            <w:left w:val="none" w:sz="0" w:space="0" w:color="auto"/>
            <w:bottom w:val="none" w:sz="0" w:space="0" w:color="auto"/>
            <w:right w:val="none" w:sz="0" w:space="0" w:color="auto"/>
          </w:divBdr>
        </w:div>
        <w:div w:id="1058361584">
          <w:marLeft w:val="640"/>
          <w:marRight w:val="0"/>
          <w:marTop w:val="0"/>
          <w:marBottom w:val="0"/>
          <w:divBdr>
            <w:top w:val="none" w:sz="0" w:space="0" w:color="auto"/>
            <w:left w:val="none" w:sz="0" w:space="0" w:color="auto"/>
            <w:bottom w:val="none" w:sz="0" w:space="0" w:color="auto"/>
            <w:right w:val="none" w:sz="0" w:space="0" w:color="auto"/>
          </w:divBdr>
        </w:div>
        <w:div w:id="738287764">
          <w:marLeft w:val="640"/>
          <w:marRight w:val="0"/>
          <w:marTop w:val="0"/>
          <w:marBottom w:val="0"/>
          <w:divBdr>
            <w:top w:val="none" w:sz="0" w:space="0" w:color="auto"/>
            <w:left w:val="none" w:sz="0" w:space="0" w:color="auto"/>
            <w:bottom w:val="none" w:sz="0" w:space="0" w:color="auto"/>
            <w:right w:val="none" w:sz="0" w:space="0" w:color="auto"/>
          </w:divBdr>
        </w:div>
        <w:div w:id="873033295">
          <w:marLeft w:val="640"/>
          <w:marRight w:val="0"/>
          <w:marTop w:val="0"/>
          <w:marBottom w:val="0"/>
          <w:divBdr>
            <w:top w:val="none" w:sz="0" w:space="0" w:color="auto"/>
            <w:left w:val="none" w:sz="0" w:space="0" w:color="auto"/>
            <w:bottom w:val="none" w:sz="0" w:space="0" w:color="auto"/>
            <w:right w:val="none" w:sz="0" w:space="0" w:color="auto"/>
          </w:divBdr>
        </w:div>
        <w:div w:id="2104183718">
          <w:marLeft w:val="640"/>
          <w:marRight w:val="0"/>
          <w:marTop w:val="0"/>
          <w:marBottom w:val="0"/>
          <w:divBdr>
            <w:top w:val="none" w:sz="0" w:space="0" w:color="auto"/>
            <w:left w:val="none" w:sz="0" w:space="0" w:color="auto"/>
            <w:bottom w:val="none" w:sz="0" w:space="0" w:color="auto"/>
            <w:right w:val="none" w:sz="0" w:space="0" w:color="auto"/>
          </w:divBdr>
        </w:div>
        <w:div w:id="1265381899">
          <w:marLeft w:val="640"/>
          <w:marRight w:val="0"/>
          <w:marTop w:val="0"/>
          <w:marBottom w:val="0"/>
          <w:divBdr>
            <w:top w:val="none" w:sz="0" w:space="0" w:color="auto"/>
            <w:left w:val="none" w:sz="0" w:space="0" w:color="auto"/>
            <w:bottom w:val="none" w:sz="0" w:space="0" w:color="auto"/>
            <w:right w:val="none" w:sz="0" w:space="0" w:color="auto"/>
          </w:divBdr>
        </w:div>
        <w:div w:id="1574243016">
          <w:marLeft w:val="640"/>
          <w:marRight w:val="0"/>
          <w:marTop w:val="0"/>
          <w:marBottom w:val="0"/>
          <w:divBdr>
            <w:top w:val="none" w:sz="0" w:space="0" w:color="auto"/>
            <w:left w:val="none" w:sz="0" w:space="0" w:color="auto"/>
            <w:bottom w:val="none" w:sz="0" w:space="0" w:color="auto"/>
            <w:right w:val="none" w:sz="0" w:space="0" w:color="auto"/>
          </w:divBdr>
        </w:div>
        <w:div w:id="569464415">
          <w:marLeft w:val="640"/>
          <w:marRight w:val="0"/>
          <w:marTop w:val="0"/>
          <w:marBottom w:val="0"/>
          <w:divBdr>
            <w:top w:val="none" w:sz="0" w:space="0" w:color="auto"/>
            <w:left w:val="none" w:sz="0" w:space="0" w:color="auto"/>
            <w:bottom w:val="none" w:sz="0" w:space="0" w:color="auto"/>
            <w:right w:val="none" w:sz="0" w:space="0" w:color="auto"/>
          </w:divBdr>
        </w:div>
        <w:div w:id="313409940">
          <w:marLeft w:val="640"/>
          <w:marRight w:val="0"/>
          <w:marTop w:val="0"/>
          <w:marBottom w:val="0"/>
          <w:divBdr>
            <w:top w:val="none" w:sz="0" w:space="0" w:color="auto"/>
            <w:left w:val="none" w:sz="0" w:space="0" w:color="auto"/>
            <w:bottom w:val="none" w:sz="0" w:space="0" w:color="auto"/>
            <w:right w:val="none" w:sz="0" w:space="0" w:color="auto"/>
          </w:divBdr>
        </w:div>
        <w:div w:id="1694116359">
          <w:marLeft w:val="640"/>
          <w:marRight w:val="0"/>
          <w:marTop w:val="0"/>
          <w:marBottom w:val="0"/>
          <w:divBdr>
            <w:top w:val="none" w:sz="0" w:space="0" w:color="auto"/>
            <w:left w:val="none" w:sz="0" w:space="0" w:color="auto"/>
            <w:bottom w:val="none" w:sz="0" w:space="0" w:color="auto"/>
            <w:right w:val="none" w:sz="0" w:space="0" w:color="auto"/>
          </w:divBdr>
        </w:div>
        <w:div w:id="1376077493">
          <w:marLeft w:val="640"/>
          <w:marRight w:val="0"/>
          <w:marTop w:val="0"/>
          <w:marBottom w:val="0"/>
          <w:divBdr>
            <w:top w:val="none" w:sz="0" w:space="0" w:color="auto"/>
            <w:left w:val="none" w:sz="0" w:space="0" w:color="auto"/>
            <w:bottom w:val="none" w:sz="0" w:space="0" w:color="auto"/>
            <w:right w:val="none" w:sz="0" w:space="0" w:color="auto"/>
          </w:divBdr>
        </w:div>
        <w:div w:id="666633495">
          <w:marLeft w:val="640"/>
          <w:marRight w:val="0"/>
          <w:marTop w:val="0"/>
          <w:marBottom w:val="0"/>
          <w:divBdr>
            <w:top w:val="none" w:sz="0" w:space="0" w:color="auto"/>
            <w:left w:val="none" w:sz="0" w:space="0" w:color="auto"/>
            <w:bottom w:val="none" w:sz="0" w:space="0" w:color="auto"/>
            <w:right w:val="none" w:sz="0" w:space="0" w:color="auto"/>
          </w:divBdr>
        </w:div>
        <w:div w:id="1546719042">
          <w:marLeft w:val="640"/>
          <w:marRight w:val="0"/>
          <w:marTop w:val="0"/>
          <w:marBottom w:val="0"/>
          <w:divBdr>
            <w:top w:val="none" w:sz="0" w:space="0" w:color="auto"/>
            <w:left w:val="none" w:sz="0" w:space="0" w:color="auto"/>
            <w:bottom w:val="none" w:sz="0" w:space="0" w:color="auto"/>
            <w:right w:val="none" w:sz="0" w:space="0" w:color="auto"/>
          </w:divBdr>
        </w:div>
        <w:div w:id="1960840415">
          <w:marLeft w:val="640"/>
          <w:marRight w:val="0"/>
          <w:marTop w:val="0"/>
          <w:marBottom w:val="0"/>
          <w:divBdr>
            <w:top w:val="none" w:sz="0" w:space="0" w:color="auto"/>
            <w:left w:val="none" w:sz="0" w:space="0" w:color="auto"/>
            <w:bottom w:val="none" w:sz="0" w:space="0" w:color="auto"/>
            <w:right w:val="none" w:sz="0" w:space="0" w:color="auto"/>
          </w:divBdr>
        </w:div>
        <w:div w:id="1254434912">
          <w:marLeft w:val="640"/>
          <w:marRight w:val="0"/>
          <w:marTop w:val="0"/>
          <w:marBottom w:val="0"/>
          <w:divBdr>
            <w:top w:val="none" w:sz="0" w:space="0" w:color="auto"/>
            <w:left w:val="none" w:sz="0" w:space="0" w:color="auto"/>
            <w:bottom w:val="none" w:sz="0" w:space="0" w:color="auto"/>
            <w:right w:val="none" w:sz="0" w:space="0" w:color="auto"/>
          </w:divBdr>
        </w:div>
        <w:div w:id="1940673096">
          <w:marLeft w:val="640"/>
          <w:marRight w:val="0"/>
          <w:marTop w:val="0"/>
          <w:marBottom w:val="0"/>
          <w:divBdr>
            <w:top w:val="none" w:sz="0" w:space="0" w:color="auto"/>
            <w:left w:val="none" w:sz="0" w:space="0" w:color="auto"/>
            <w:bottom w:val="none" w:sz="0" w:space="0" w:color="auto"/>
            <w:right w:val="none" w:sz="0" w:space="0" w:color="auto"/>
          </w:divBdr>
        </w:div>
        <w:div w:id="1152866953">
          <w:marLeft w:val="640"/>
          <w:marRight w:val="0"/>
          <w:marTop w:val="0"/>
          <w:marBottom w:val="0"/>
          <w:divBdr>
            <w:top w:val="none" w:sz="0" w:space="0" w:color="auto"/>
            <w:left w:val="none" w:sz="0" w:space="0" w:color="auto"/>
            <w:bottom w:val="none" w:sz="0" w:space="0" w:color="auto"/>
            <w:right w:val="none" w:sz="0" w:space="0" w:color="auto"/>
          </w:divBdr>
        </w:div>
        <w:div w:id="1350793967">
          <w:marLeft w:val="640"/>
          <w:marRight w:val="0"/>
          <w:marTop w:val="0"/>
          <w:marBottom w:val="0"/>
          <w:divBdr>
            <w:top w:val="none" w:sz="0" w:space="0" w:color="auto"/>
            <w:left w:val="none" w:sz="0" w:space="0" w:color="auto"/>
            <w:bottom w:val="none" w:sz="0" w:space="0" w:color="auto"/>
            <w:right w:val="none" w:sz="0" w:space="0" w:color="auto"/>
          </w:divBdr>
        </w:div>
        <w:div w:id="1072121642">
          <w:marLeft w:val="640"/>
          <w:marRight w:val="0"/>
          <w:marTop w:val="0"/>
          <w:marBottom w:val="0"/>
          <w:divBdr>
            <w:top w:val="none" w:sz="0" w:space="0" w:color="auto"/>
            <w:left w:val="none" w:sz="0" w:space="0" w:color="auto"/>
            <w:bottom w:val="none" w:sz="0" w:space="0" w:color="auto"/>
            <w:right w:val="none" w:sz="0" w:space="0" w:color="auto"/>
          </w:divBdr>
        </w:div>
        <w:div w:id="1070615627">
          <w:marLeft w:val="640"/>
          <w:marRight w:val="0"/>
          <w:marTop w:val="0"/>
          <w:marBottom w:val="0"/>
          <w:divBdr>
            <w:top w:val="none" w:sz="0" w:space="0" w:color="auto"/>
            <w:left w:val="none" w:sz="0" w:space="0" w:color="auto"/>
            <w:bottom w:val="none" w:sz="0" w:space="0" w:color="auto"/>
            <w:right w:val="none" w:sz="0" w:space="0" w:color="auto"/>
          </w:divBdr>
        </w:div>
        <w:div w:id="1987709292">
          <w:marLeft w:val="640"/>
          <w:marRight w:val="0"/>
          <w:marTop w:val="0"/>
          <w:marBottom w:val="0"/>
          <w:divBdr>
            <w:top w:val="none" w:sz="0" w:space="0" w:color="auto"/>
            <w:left w:val="none" w:sz="0" w:space="0" w:color="auto"/>
            <w:bottom w:val="none" w:sz="0" w:space="0" w:color="auto"/>
            <w:right w:val="none" w:sz="0" w:space="0" w:color="auto"/>
          </w:divBdr>
        </w:div>
        <w:div w:id="25300998">
          <w:marLeft w:val="640"/>
          <w:marRight w:val="0"/>
          <w:marTop w:val="0"/>
          <w:marBottom w:val="0"/>
          <w:divBdr>
            <w:top w:val="none" w:sz="0" w:space="0" w:color="auto"/>
            <w:left w:val="none" w:sz="0" w:space="0" w:color="auto"/>
            <w:bottom w:val="none" w:sz="0" w:space="0" w:color="auto"/>
            <w:right w:val="none" w:sz="0" w:space="0" w:color="auto"/>
          </w:divBdr>
        </w:div>
        <w:div w:id="1301687634">
          <w:marLeft w:val="640"/>
          <w:marRight w:val="0"/>
          <w:marTop w:val="0"/>
          <w:marBottom w:val="0"/>
          <w:divBdr>
            <w:top w:val="none" w:sz="0" w:space="0" w:color="auto"/>
            <w:left w:val="none" w:sz="0" w:space="0" w:color="auto"/>
            <w:bottom w:val="none" w:sz="0" w:space="0" w:color="auto"/>
            <w:right w:val="none" w:sz="0" w:space="0" w:color="auto"/>
          </w:divBdr>
        </w:div>
        <w:div w:id="636380876">
          <w:marLeft w:val="640"/>
          <w:marRight w:val="0"/>
          <w:marTop w:val="0"/>
          <w:marBottom w:val="0"/>
          <w:divBdr>
            <w:top w:val="none" w:sz="0" w:space="0" w:color="auto"/>
            <w:left w:val="none" w:sz="0" w:space="0" w:color="auto"/>
            <w:bottom w:val="none" w:sz="0" w:space="0" w:color="auto"/>
            <w:right w:val="none" w:sz="0" w:space="0" w:color="auto"/>
          </w:divBdr>
        </w:div>
        <w:div w:id="1238828340">
          <w:marLeft w:val="640"/>
          <w:marRight w:val="0"/>
          <w:marTop w:val="0"/>
          <w:marBottom w:val="0"/>
          <w:divBdr>
            <w:top w:val="none" w:sz="0" w:space="0" w:color="auto"/>
            <w:left w:val="none" w:sz="0" w:space="0" w:color="auto"/>
            <w:bottom w:val="none" w:sz="0" w:space="0" w:color="auto"/>
            <w:right w:val="none" w:sz="0" w:space="0" w:color="auto"/>
          </w:divBdr>
        </w:div>
        <w:div w:id="388116383">
          <w:marLeft w:val="640"/>
          <w:marRight w:val="0"/>
          <w:marTop w:val="0"/>
          <w:marBottom w:val="0"/>
          <w:divBdr>
            <w:top w:val="none" w:sz="0" w:space="0" w:color="auto"/>
            <w:left w:val="none" w:sz="0" w:space="0" w:color="auto"/>
            <w:bottom w:val="none" w:sz="0" w:space="0" w:color="auto"/>
            <w:right w:val="none" w:sz="0" w:space="0" w:color="auto"/>
          </w:divBdr>
        </w:div>
        <w:div w:id="1870991121">
          <w:marLeft w:val="640"/>
          <w:marRight w:val="0"/>
          <w:marTop w:val="0"/>
          <w:marBottom w:val="0"/>
          <w:divBdr>
            <w:top w:val="none" w:sz="0" w:space="0" w:color="auto"/>
            <w:left w:val="none" w:sz="0" w:space="0" w:color="auto"/>
            <w:bottom w:val="none" w:sz="0" w:space="0" w:color="auto"/>
            <w:right w:val="none" w:sz="0" w:space="0" w:color="auto"/>
          </w:divBdr>
        </w:div>
        <w:div w:id="145897401">
          <w:marLeft w:val="640"/>
          <w:marRight w:val="0"/>
          <w:marTop w:val="0"/>
          <w:marBottom w:val="0"/>
          <w:divBdr>
            <w:top w:val="none" w:sz="0" w:space="0" w:color="auto"/>
            <w:left w:val="none" w:sz="0" w:space="0" w:color="auto"/>
            <w:bottom w:val="none" w:sz="0" w:space="0" w:color="auto"/>
            <w:right w:val="none" w:sz="0" w:space="0" w:color="auto"/>
          </w:divBdr>
        </w:div>
        <w:div w:id="1020545499">
          <w:marLeft w:val="640"/>
          <w:marRight w:val="0"/>
          <w:marTop w:val="0"/>
          <w:marBottom w:val="0"/>
          <w:divBdr>
            <w:top w:val="none" w:sz="0" w:space="0" w:color="auto"/>
            <w:left w:val="none" w:sz="0" w:space="0" w:color="auto"/>
            <w:bottom w:val="none" w:sz="0" w:space="0" w:color="auto"/>
            <w:right w:val="none" w:sz="0" w:space="0" w:color="auto"/>
          </w:divBdr>
        </w:div>
        <w:div w:id="2078816237">
          <w:marLeft w:val="640"/>
          <w:marRight w:val="0"/>
          <w:marTop w:val="0"/>
          <w:marBottom w:val="0"/>
          <w:divBdr>
            <w:top w:val="none" w:sz="0" w:space="0" w:color="auto"/>
            <w:left w:val="none" w:sz="0" w:space="0" w:color="auto"/>
            <w:bottom w:val="none" w:sz="0" w:space="0" w:color="auto"/>
            <w:right w:val="none" w:sz="0" w:space="0" w:color="auto"/>
          </w:divBdr>
        </w:div>
        <w:div w:id="128473521">
          <w:marLeft w:val="640"/>
          <w:marRight w:val="0"/>
          <w:marTop w:val="0"/>
          <w:marBottom w:val="0"/>
          <w:divBdr>
            <w:top w:val="none" w:sz="0" w:space="0" w:color="auto"/>
            <w:left w:val="none" w:sz="0" w:space="0" w:color="auto"/>
            <w:bottom w:val="none" w:sz="0" w:space="0" w:color="auto"/>
            <w:right w:val="none" w:sz="0" w:space="0" w:color="auto"/>
          </w:divBdr>
        </w:div>
        <w:div w:id="2099671355">
          <w:marLeft w:val="640"/>
          <w:marRight w:val="0"/>
          <w:marTop w:val="0"/>
          <w:marBottom w:val="0"/>
          <w:divBdr>
            <w:top w:val="none" w:sz="0" w:space="0" w:color="auto"/>
            <w:left w:val="none" w:sz="0" w:space="0" w:color="auto"/>
            <w:bottom w:val="none" w:sz="0" w:space="0" w:color="auto"/>
            <w:right w:val="none" w:sz="0" w:space="0" w:color="auto"/>
          </w:divBdr>
        </w:div>
        <w:div w:id="287132025">
          <w:marLeft w:val="640"/>
          <w:marRight w:val="0"/>
          <w:marTop w:val="0"/>
          <w:marBottom w:val="0"/>
          <w:divBdr>
            <w:top w:val="none" w:sz="0" w:space="0" w:color="auto"/>
            <w:left w:val="none" w:sz="0" w:space="0" w:color="auto"/>
            <w:bottom w:val="none" w:sz="0" w:space="0" w:color="auto"/>
            <w:right w:val="none" w:sz="0" w:space="0" w:color="auto"/>
          </w:divBdr>
        </w:div>
        <w:div w:id="1015228903">
          <w:marLeft w:val="640"/>
          <w:marRight w:val="0"/>
          <w:marTop w:val="0"/>
          <w:marBottom w:val="0"/>
          <w:divBdr>
            <w:top w:val="none" w:sz="0" w:space="0" w:color="auto"/>
            <w:left w:val="none" w:sz="0" w:space="0" w:color="auto"/>
            <w:bottom w:val="none" w:sz="0" w:space="0" w:color="auto"/>
            <w:right w:val="none" w:sz="0" w:space="0" w:color="auto"/>
          </w:divBdr>
        </w:div>
      </w:divsChild>
    </w:div>
    <w:div w:id="643315446">
      <w:bodyDiv w:val="1"/>
      <w:marLeft w:val="0"/>
      <w:marRight w:val="0"/>
      <w:marTop w:val="0"/>
      <w:marBottom w:val="0"/>
      <w:divBdr>
        <w:top w:val="none" w:sz="0" w:space="0" w:color="auto"/>
        <w:left w:val="none" w:sz="0" w:space="0" w:color="auto"/>
        <w:bottom w:val="none" w:sz="0" w:space="0" w:color="auto"/>
        <w:right w:val="none" w:sz="0" w:space="0" w:color="auto"/>
      </w:divBdr>
    </w:div>
    <w:div w:id="646008379">
      <w:bodyDiv w:val="1"/>
      <w:marLeft w:val="0"/>
      <w:marRight w:val="0"/>
      <w:marTop w:val="0"/>
      <w:marBottom w:val="0"/>
      <w:divBdr>
        <w:top w:val="none" w:sz="0" w:space="0" w:color="auto"/>
        <w:left w:val="none" w:sz="0" w:space="0" w:color="auto"/>
        <w:bottom w:val="none" w:sz="0" w:space="0" w:color="auto"/>
        <w:right w:val="none" w:sz="0" w:space="0" w:color="auto"/>
      </w:divBdr>
    </w:div>
    <w:div w:id="646663960">
      <w:bodyDiv w:val="1"/>
      <w:marLeft w:val="0"/>
      <w:marRight w:val="0"/>
      <w:marTop w:val="0"/>
      <w:marBottom w:val="0"/>
      <w:divBdr>
        <w:top w:val="none" w:sz="0" w:space="0" w:color="auto"/>
        <w:left w:val="none" w:sz="0" w:space="0" w:color="auto"/>
        <w:bottom w:val="none" w:sz="0" w:space="0" w:color="auto"/>
        <w:right w:val="none" w:sz="0" w:space="0" w:color="auto"/>
      </w:divBdr>
    </w:div>
    <w:div w:id="647707061">
      <w:bodyDiv w:val="1"/>
      <w:marLeft w:val="0"/>
      <w:marRight w:val="0"/>
      <w:marTop w:val="0"/>
      <w:marBottom w:val="0"/>
      <w:divBdr>
        <w:top w:val="none" w:sz="0" w:space="0" w:color="auto"/>
        <w:left w:val="none" w:sz="0" w:space="0" w:color="auto"/>
        <w:bottom w:val="none" w:sz="0" w:space="0" w:color="auto"/>
        <w:right w:val="none" w:sz="0" w:space="0" w:color="auto"/>
      </w:divBdr>
    </w:div>
    <w:div w:id="650256889">
      <w:bodyDiv w:val="1"/>
      <w:marLeft w:val="0"/>
      <w:marRight w:val="0"/>
      <w:marTop w:val="0"/>
      <w:marBottom w:val="0"/>
      <w:divBdr>
        <w:top w:val="none" w:sz="0" w:space="0" w:color="auto"/>
        <w:left w:val="none" w:sz="0" w:space="0" w:color="auto"/>
        <w:bottom w:val="none" w:sz="0" w:space="0" w:color="auto"/>
        <w:right w:val="none" w:sz="0" w:space="0" w:color="auto"/>
      </w:divBdr>
    </w:div>
    <w:div w:id="652374336">
      <w:bodyDiv w:val="1"/>
      <w:marLeft w:val="0"/>
      <w:marRight w:val="0"/>
      <w:marTop w:val="0"/>
      <w:marBottom w:val="0"/>
      <w:divBdr>
        <w:top w:val="none" w:sz="0" w:space="0" w:color="auto"/>
        <w:left w:val="none" w:sz="0" w:space="0" w:color="auto"/>
        <w:bottom w:val="none" w:sz="0" w:space="0" w:color="auto"/>
        <w:right w:val="none" w:sz="0" w:space="0" w:color="auto"/>
      </w:divBdr>
    </w:div>
    <w:div w:id="652953773">
      <w:bodyDiv w:val="1"/>
      <w:marLeft w:val="0"/>
      <w:marRight w:val="0"/>
      <w:marTop w:val="0"/>
      <w:marBottom w:val="0"/>
      <w:divBdr>
        <w:top w:val="none" w:sz="0" w:space="0" w:color="auto"/>
        <w:left w:val="none" w:sz="0" w:space="0" w:color="auto"/>
        <w:bottom w:val="none" w:sz="0" w:space="0" w:color="auto"/>
        <w:right w:val="none" w:sz="0" w:space="0" w:color="auto"/>
      </w:divBdr>
    </w:div>
    <w:div w:id="656113480">
      <w:bodyDiv w:val="1"/>
      <w:marLeft w:val="0"/>
      <w:marRight w:val="0"/>
      <w:marTop w:val="0"/>
      <w:marBottom w:val="0"/>
      <w:divBdr>
        <w:top w:val="none" w:sz="0" w:space="0" w:color="auto"/>
        <w:left w:val="none" w:sz="0" w:space="0" w:color="auto"/>
        <w:bottom w:val="none" w:sz="0" w:space="0" w:color="auto"/>
        <w:right w:val="none" w:sz="0" w:space="0" w:color="auto"/>
      </w:divBdr>
    </w:div>
    <w:div w:id="656347218">
      <w:bodyDiv w:val="1"/>
      <w:marLeft w:val="0"/>
      <w:marRight w:val="0"/>
      <w:marTop w:val="0"/>
      <w:marBottom w:val="0"/>
      <w:divBdr>
        <w:top w:val="none" w:sz="0" w:space="0" w:color="auto"/>
        <w:left w:val="none" w:sz="0" w:space="0" w:color="auto"/>
        <w:bottom w:val="none" w:sz="0" w:space="0" w:color="auto"/>
        <w:right w:val="none" w:sz="0" w:space="0" w:color="auto"/>
      </w:divBdr>
    </w:div>
    <w:div w:id="659114648">
      <w:bodyDiv w:val="1"/>
      <w:marLeft w:val="0"/>
      <w:marRight w:val="0"/>
      <w:marTop w:val="0"/>
      <w:marBottom w:val="0"/>
      <w:divBdr>
        <w:top w:val="none" w:sz="0" w:space="0" w:color="auto"/>
        <w:left w:val="none" w:sz="0" w:space="0" w:color="auto"/>
        <w:bottom w:val="none" w:sz="0" w:space="0" w:color="auto"/>
        <w:right w:val="none" w:sz="0" w:space="0" w:color="auto"/>
      </w:divBdr>
    </w:div>
    <w:div w:id="665329687">
      <w:bodyDiv w:val="1"/>
      <w:marLeft w:val="0"/>
      <w:marRight w:val="0"/>
      <w:marTop w:val="0"/>
      <w:marBottom w:val="0"/>
      <w:divBdr>
        <w:top w:val="none" w:sz="0" w:space="0" w:color="auto"/>
        <w:left w:val="none" w:sz="0" w:space="0" w:color="auto"/>
        <w:bottom w:val="none" w:sz="0" w:space="0" w:color="auto"/>
        <w:right w:val="none" w:sz="0" w:space="0" w:color="auto"/>
      </w:divBdr>
    </w:div>
    <w:div w:id="665860704">
      <w:bodyDiv w:val="1"/>
      <w:marLeft w:val="0"/>
      <w:marRight w:val="0"/>
      <w:marTop w:val="0"/>
      <w:marBottom w:val="0"/>
      <w:divBdr>
        <w:top w:val="none" w:sz="0" w:space="0" w:color="auto"/>
        <w:left w:val="none" w:sz="0" w:space="0" w:color="auto"/>
        <w:bottom w:val="none" w:sz="0" w:space="0" w:color="auto"/>
        <w:right w:val="none" w:sz="0" w:space="0" w:color="auto"/>
      </w:divBdr>
    </w:div>
    <w:div w:id="666329747">
      <w:bodyDiv w:val="1"/>
      <w:marLeft w:val="0"/>
      <w:marRight w:val="0"/>
      <w:marTop w:val="0"/>
      <w:marBottom w:val="0"/>
      <w:divBdr>
        <w:top w:val="none" w:sz="0" w:space="0" w:color="auto"/>
        <w:left w:val="none" w:sz="0" w:space="0" w:color="auto"/>
        <w:bottom w:val="none" w:sz="0" w:space="0" w:color="auto"/>
        <w:right w:val="none" w:sz="0" w:space="0" w:color="auto"/>
      </w:divBdr>
    </w:div>
    <w:div w:id="669411219">
      <w:bodyDiv w:val="1"/>
      <w:marLeft w:val="0"/>
      <w:marRight w:val="0"/>
      <w:marTop w:val="0"/>
      <w:marBottom w:val="0"/>
      <w:divBdr>
        <w:top w:val="none" w:sz="0" w:space="0" w:color="auto"/>
        <w:left w:val="none" w:sz="0" w:space="0" w:color="auto"/>
        <w:bottom w:val="none" w:sz="0" w:space="0" w:color="auto"/>
        <w:right w:val="none" w:sz="0" w:space="0" w:color="auto"/>
      </w:divBdr>
    </w:div>
    <w:div w:id="669673333">
      <w:bodyDiv w:val="1"/>
      <w:marLeft w:val="0"/>
      <w:marRight w:val="0"/>
      <w:marTop w:val="0"/>
      <w:marBottom w:val="0"/>
      <w:divBdr>
        <w:top w:val="none" w:sz="0" w:space="0" w:color="auto"/>
        <w:left w:val="none" w:sz="0" w:space="0" w:color="auto"/>
        <w:bottom w:val="none" w:sz="0" w:space="0" w:color="auto"/>
        <w:right w:val="none" w:sz="0" w:space="0" w:color="auto"/>
      </w:divBdr>
    </w:div>
    <w:div w:id="671496423">
      <w:bodyDiv w:val="1"/>
      <w:marLeft w:val="0"/>
      <w:marRight w:val="0"/>
      <w:marTop w:val="0"/>
      <w:marBottom w:val="0"/>
      <w:divBdr>
        <w:top w:val="none" w:sz="0" w:space="0" w:color="auto"/>
        <w:left w:val="none" w:sz="0" w:space="0" w:color="auto"/>
        <w:bottom w:val="none" w:sz="0" w:space="0" w:color="auto"/>
        <w:right w:val="none" w:sz="0" w:space="0" w:color="auto"/>
      </w:divBdr>
    </w:div>
    <w:div w:id="671685983">
      <w:bodyDiv w:val="1"/>
      <w:marLeft w:val="0"/>
      <w:marRight w:val="0"/>
      <w:marTop w:val="0"/>
      <w:marBottom w:val="0"/>
      <w:divBdr>
        <w:top w:val="none" w:sz="0" w:space="0" w:color="auto"/>
        <w:left w:val="none" w:sz="0" w:space="0" w:color="auto"/>
        <w:bottom w:val="none" w:sz="0" w:space="0" w:color="auto"/>
        <w:right w:val="none" w:sz="0" w:space="0" w:color="auto"/>
      </w:divBdr>
    </w:div>
    <w:div w:id="672146522">
      <w:bodyDiv w:val="1"/>
      <w:marLeft w:val="0"/>
      <w:marRight w:val="0"/>
      <w:marTop w:val="0"/>
      <w:marBottom w:val="0"/>
      <w:divBdr>
        <w:top w:val="none" w:sz="0" w:space="0" w:color="auto"/>
        <w:left w:val="none" w:sz="0" w:space="0" w:color="auto"/>
        <w:bottom w:val="none" w:sz="0" w:space="0" w:color="auto"/>
        <w:right w:val="none" w:sz="0" w:space="0" w:color="auto"/>
      </w:divBdr>
    </w:div>
    <w:div w:id="672222767">
      <w:bodyDiv w:val="1"/>
      <w:marLeft w:val="0"/>
      <w:marRight w:val="0"/>
      <w:marTop w:val="0"/>
      <w:marBottom w:val="0"/>
      <w:divBdr>
        <w:top w:val="none" w:sz="0" w:space="0" w:color="auto"/>
        <w:left w:val="none" w:sz="0" w:space="0" w:color="auto"/>
        <w:bottom w:val="none" w:sz="0" w:space="0" w:color="auto"/>
        <w:right w:val="none" w:sz="0" w:space="0" w:color="auto"/>
      </w:divBdr>
    </w:div>
    <w:div w:id="672731667">
      <w:bodyDiv w:val="1"/>
      <w:marLeft w:val="0"/>
      <w:marRight w:val="0"/>
      <w:marTop w:val="0"/>
      <w:marBottom w:val="0"/>
      <w:divBdr>
        <w:top w:val="none" w:sz="0" w:space="0" w:color="auto"/>
        <w:left w:val="none" w:sz="0" w:space="0" w:color="auto"/>
        <w:bottom w:val="none" w:sz="0" w:space="0" w:color="auto"/>
        <w:right w:val="none" w:sz="0" w:space="0" w:color="auto"/>
      </w:divBdr>
      <w:divsChild>
        <w:div w:id="369689824">
          <w:marLeft w:val="640"/>
          <w:marRight w:val="0"/>
          <w:marTop w:val="0"/>
          <w:marBottom w:val="0"/>
          <w:divBdr>
            <w:top w:val="none" w:sz="0" w:space="0" w:color="auto"/>
            <w:left w:val="none" w:sz="0" w:space="0" w:color="auto"/>
            <w:bottom w:val="none" w:sz="0" w:space="0" w:color="auto"/>
            <w:right w:val="none" w:sz="0" w:space="0" w:color="auto"/>
          </w:divBdr>
        </w:div>
        <w:div w:id="378240765">
          <w:marLeft w:val="640"/>
          <w:marRight w:val="0"/>
          <w:marTop w:val="0"/>
          <w:marBottom w:val="0"/>
          <w:divBdr>
            <w:top w:val="none" w:sz="0" w:space="0" w:color="auto"/>
            <w:left w:val="none" w:sz="0" w:space="0" w:color="auto"/>
            <w:bottom w:val="none" w:sz="0" w:space="0" w:color="auto"/>
            <w:right w:val="none" w:sz="0" w:space="0" w:color="auto"/>
          </w:divBdr>
        </w:div>
        <w:div w:id="1641307128">
          <w:marLeft w:val="640"/>
          <w:marRight w:val="0"/>
          <w:marTop w:val="0"/>
          <w:marBottom w:val="0"/>
          <w:divBdr>
            <w:top w:val="none" w:sz="0" w:space="0" w:color="auto"/>
            <w:left w:val="none" w:sz="0" w:space="0" w:color="auto"/>
            <w:bottom w:val="none" w:sz="0" w:space="0" w:color="auto"/>
            <w:right w:val="none" w:sz="0" w:space="0" w:color="auto"/>
          </w:divBdr>
        </w:div>
        <w:div w:id="1769810302">
          <w:marLeft w:val="640"/>
          <w:marRight w:val="0"/>
          <w:marTop w:val="0"/>
          <w:marBottom w:val="0"/>
          <w:divBdr>
            <w:top w:val="none" w:sz="0" w:space="0" w:color="auto"/>
            <w:left w:val="none" w:sz="0" w:space="0" w:color="auto"/>
            <w:bottom w:val="none" w:sz="0" w:space="0" w:color="auto"/>
            <w:right w:val="none" w:sz="0" w:space="0" w:color="auto"/>
          </w:divBdr>
        </w:div>
        <w:div w:id="1369914674">
          <w:marLeft w:val="640"/>
          <w:marRight w:val="0"/>
          <w:marTop w:val="0"/>
          <w:marBottom w:val="0"/>
          <w:divBdr>
            <w:top w:val="none" w:sz="0" w:space="0" w:color="auto"/>
            <w:left w:val="none" w:sz="0" w:space="0" w:color="auto"/>
            <w:bottom w:val="none" w:sz="0" w:space="0" w:color="auto"/>
            <w:right w:val="none" w:sz="0" w:space="0" w:color="auto"/>
          </w:divBdr>
        </w:div>
        <w:div w:id="961228479">
          <w:marLeft w:val="640"/>
          <w:marRight w:val="0"/>
          <w:marTop w:val="0"/>
          <w:marBottom w:val="0"/>
          <w:divBdr>
            <w:top w:val="none" w:sz="0" w:space="0" w:color="auto"/>
            <w:left w:val="none" w:sz="0" w:space="0" w:color="auto"/>
            <w:bottom w:val="none" w:sz="0" w:space="0" w:color="auto"/>
            <w:right w:val="none" w:sz="0" w:space="0" w:color="auto"/>
          </w:divBdr>
        </w:div>
        <w:div w:id="1665159162">
          <w:marLeft w:val="640"/>
          <w:marRight w:val="0"/>
          <w:marTop w:val="0"/>
          <w:marBottom w:val="0"/>
          <w:divBdr>
            <w:top w:val="none" w:sz="0" w:space="0" w:color="auto"/>
            <w:left w:val="none" w:sz="0" w:space="0" w:color="auto"/>
            <w:bottom w:val="none" w:sz="0" w:space="0" w:color="auto"/>
            <w:right w:val="none" w:sz="0" w:space="0" w:color="auto"/>
          </w:divBdr>
        </w:div>
        <w:div w:id="1128429274">
          <w:marLeft w:val="640"/>
          <w:marRight w:val="0"/>
          <w:marTop w:val="0"/>
          <w:marBottom w:val="0"/>
          <w:divBdr>
            <w:top w:val="none" w:sz="0" w:space="0" w:color="auto"/>
            <w:left w:val="none" w:sz="0" w:space="0" w:color="auto"/>
            <w:bottom w:val="none" w:sz="0" w:space="0" w:color="auto"/>
            <w:right w:val="none" w:sz="0" w:space="0" w:color="auto"/>
          </w:divBdr>
        </w:div>
        <w:div w:id="1153251635">
          <w:marLeft w:val="640"/>
          <w:marRight w:val="0"/>
          <w:marTop w:val="0"/>
          <w:marBottom w:val="0"/>
          <w:divBdr>
            <w:top w:val="none" w:sz="0" w:space="0" w:color="auto"/>
            <w:left w:val="none" w:sz="0" w:space="0" w:color="auto"/>
            <w:bottom w:val="none" w:sz="0" w:space="0" w:color="auto"/>
            <w:right w:val="none" w:sz="0" w:space="0" w:color="auto"/>
          </w:divBdr>
        </w:div>
        <w:div w:id="35349627">
          <w:marLeft w:val="640"/>
          <w:marRight w:val="0"/>
          <w:marTop w:val="0"/>
          <w:marBottom w:val="0"/>
          <w:divBdr>
            <w:top w:val="none" w:sz="0" w:space="0" w:color="auto"/>
            <w:left w:val="none" w:sz="0" w:space="0" w:color="auto"/>
            <w:bottom w:val="none" w:sz="0" w:space="0" w:color="auto"/>
            <w:right w:val="none" w:sz="0" w:space="0" w:color="auto"/>
          </w:divBdr>
        </w:div>
        <w:div w:id="1864200227">
          <w:marLeft w:val="640"/>
          <w:marRight w:val="0"/>
          <w:marTop w:val="0"/>
          <w:marBottom w:val="0"/>
          <w:divBdr>
            <w:top w:val="none" w:sz="0" w:space="0" w:color="auto"/>
            <w:left w:val="none" w:sz="0" w:space="0" w:color="auto"/>
            <w:bottom w:val="none" w:sz="0" w:space="0" w:color="auto"/>
            <w:right w:val="none" w:sz="0" w:space="0" w:color="auto"/>
          </w:divBdr>
        </w:div>
        <w:div w:id="649790221">
          <w:marLeft w:val="640"/>
          <w:marRight w:val="0"/>
          <w:marTop w:val="0"/>
          <w:marBottom w:val="0"/>
          <w:divBdr>
            <w:top w:val="none" w:sz="0" w:space="0" w:color="auto"/>
            <w:left w:val="none" w:sz="0" w:space="0" w:color="auto"/>
            <w:bottom w:val="none" w:sz="0" w:space="0" w:color="auto"/>
            <w:right w:val="none" w:sz="0" w:space="0" w:color="auto"/>
          </w:divBdr>
        </w:div>
        <w:div w:id="588009077">
          <w:marLeft w:val="640"/>
          <w:marRight w:val="0"/>
          <w:marTop w:val="0"/>
          <w:marBottom w:val="0"/>
          <w:divBdr>
            <w:top w:val="none" w:sz="0" w:space="0" w:color="auto"/>
            <w:left w:val="none" w:sz="0" w:space="0" w:color="auto"/>
            <w:bottom w:val="none" w:sz="0" w:space="0" w:color="auto"/>
            <w:right w:val="none" w:sz="0" w:space="0" w:color="auto"/>
          </w:divBdr>
        </w:div>
        <w:div w:id="2017463848">
          <w:marLeft w:val="640"/>
          <w:marRight w:val="0"/>
          <w:marTop w:val="0"/>
          <w:marBottom w:val="0"/>
          <w:divBdr>
            <w:top w:val="none" w:sz="0" w:space="0" w:color="auto"/>
            <w:left w:val="none" w:sz="0" w:space="0" w:color="auto"/>
            <w:bottom w:val="none" w:sz="0" w:space="0" w:color="auto"/>
            <w:right w:val="none" w:sz="0" w:space="0" w:color="auto"/>
          </w:divBdr>
        </w:div>
        <w:div w:id="825588698">
          <w:marLeft w:val="640"/>
          <w:marRight w:val="0"/>
          <w:marTop w:val="0"/>
          <w:marBottom w:val="0"/>
          <w:divBdr>
            <w:top w:val="none" w:sz="0" w:space="0" w:color="auto"/>
            <w:left w:val="none" w:sz="0" w:space="0" w:color="auto"/>
            <w:bottom w:val="none" w:sz="0" w:space="0" w:color="auto"/>
            <w:right w:val="none" w:sz="0" w:space="0" w:color="auto"/>
          </w:divBdr>
        </w:div>
        <w:div w:id="170023186">
          <w:marLeft w:val="640"/>
          <w:marRight w:val="0"/>
          <w:marTop w:val="0"/>
          <w:marBottom w:val="0"/>
          <w:divBdr>
            <w:top w:val="none" w:sz="0" w:space="0" w:color="auto"/>
            <w:left w:val="none" w:sz="0" w:space="0" w:color="auto"/>
            <w:bottom w:val="none" w:sz="0" w:space="0" w:color="auto"/>
            <w:right w:val="none" w:sz="0" w:space="0" w:color="auto"/>
          </w:divBdr>
        </w:div>
        <w:div w:id="452333733">
          <w:marLeft w:val="640"/>
          <w:marRight w:val="0"/>
          <w:marTop w:val="0"/>
          <w:marBottom w:val="0"/>
          <w:divBdr>
            <w:top w:val="none" w:sz="0" w:space="0" w:color="auto"/>
            <w:left w:val="none" w:sz="0" w:space="0" w:color="auto"/>
            <w:bottom w:val="none" w:sz="0" w:space="0" w:color="auto"/>
            <w:right w:val="none" w:sz="0" w:space="0" w:color="auto"/>
          </w:divBdr>
        </w:div>
        <w:div w:id="65156860">
          <w:marLeft w:val="640"/>
          <w:marRight w:val="0"/>
          <w:marTop w:val="0"/>
          <w:marBottom w:val="0"/>
          <w:divBdr>
            <w:top w:val="none" w:sz="0" w:space="0" w:color="auto"/>
            <w:left w:val="none" w:sz="0" w:space="0" w:color="auto"/>
            <w:bottom w:val="none" w:sz="0" w:space="0" w:color="auto"/>
            <w:right w:val="none" w:sz="0" w:space="0" w:color="auto"/>
          </w:divBdr>
        </w:div>
        <w:div w:id="1786002181">
          <w:marLeft w:val="640"/>
          <w:marRight w:val="0"/>
          <w:marTop w:val="0"/>
          <w:marBottom w:val="0"/>
          <w:divBdr>
            <w:top w:val="none" w:sz="0" w:space="0" w:color="auto"/>
            <w:left w:val="none" w:sz="0" w:space="0" w:color="auto"/>
            <w:bottom w:val="none" w:sz="0" w:space="0" w:color="auto"/>
            <w:right w:val="none" w:sz="0" w:space="0" w:color="auto"/>
          </w:divBdr>
        </w:div>
        <w:div w:id="1267810932">
          <w:marLeft w:val="640"/>
          <w:marRight w:val="0"/>
          <w:marTop w:val="0"/>
          <w:marBottom w:val="0"/>
          <w:divBdr>
            <w:top w:val="none" w:sz="0" w:space="0" w:color="auto"/>
            <w:left w:val="none" w:sz="0" w:space="0" w:color="auto"/>
            <w:bottom w:val="none" w:sz="0" w:space="0" w:color="auto"/>
            <w:right w:val="none" w:sz="0" w:space="0" w:color="auto"/>
          </w:divBdr>
        </w:div>
        <w:div w:id="92014973">
          <w:marLeft w:val="640"/>
          <w:marRight w:val="0"/>
          <w:marTop w:val="0"/>
          <w:marBottom w:val="0"/>
          <w:divBdr>
            <w:top w:val="none" w:sz="0" w:space="0" w:color="auto"/>
            <w:left w:val="none" w:sz="0" w:space="0" w:color="auto"/>
            <w:bottom w:val="none" w:sz="0" w:space="0" w:color="auto"/>
            <w:right w:val="none" w:sz="0" w:space="0" w:color="auto"/>
          </w:divBdr>
        </w:div>
        <w:div w:id="2089182374">
          <w:marLeft w:val="640"/>
          <w:marRight w:val="0"/>
          <w:marTop w:val="0"/>
          <w:marBottom w:val="0"/>
          <w:divBdr>
            <w:top w:val="none" w:sz="0" w:space="0" w:color="auto"/>
            <w:left w:val="none" w:sz="0" w:space="0" w:color="auto"/>
            <w:bottom w:val="none" w:sz="0" w:space="0" w:color="auto"/>
            <w:right w:val="none" w:sz="0" w:space="0" w:color="auto"/>
          </w:divBdr>
        </w:div>
        <w:div w:id="1833107518">
          <w:marLeft w:val="640"/>
          <w:marRight w:val="0"/>
          <w:marTop w:val="0"/>
          <w:marBottom w:val="0"/>
          <w:divBdr>
            <w:top w:val="none" w:sz="0" w:space="0" w:color="auto"/>
            <w:left w:val="none" w:sz="0" w:space="0" w:color="auto"/>
            <w:bottom w:val="none" w:sz="0" w:space="0" w:color="auto"/>
            <w:right w:val="none" w:sz="0" w:space="0" w:color="auto"/>
          </w:divBdr>
        </w:div>
        <w:div w:id="1176454228">
          <w:marLeft w:val="640"/>
          <w:marRight w:val="0"/>
          <w:marTop w:val="0"/>
          <w:marBottom w:val="0"/>
          <w:divBdr>
            <w:top w:val="none" w:sz="0" w:space="0" w:color="auto"/>
            <w:left w:val="none" w:sz="0" w:space="0" w:color="auto"/>
            <w:bottom w:val="none" w:sz="0" w:space="0" w:color="auto"/>
            <w:right w:val="none" w:sz="0" w:space="0" w:color="auto"/>
          </w:divBdr>
        </w:div>
        <w:div w:id="1598830100">
          <w:marLeft w:val="640"/>
          <w:marRight w:val="0"/>
          <w:marTop w:val="0"/>
          <w:marBottom w:val="0"/>
          <w:divBdr>
            <w:top w:val="none" w:sz="0" w:space="0" w:color="auto"/>
            <w:left w:val="none" w:sz="0" w:space="0" w:color="auto"/>
            <w:bottom w:val="none" w:sz="0" w:space="0" w:color="auto"/>
            <w:right w:val="none" w:sz="0" w:space="0" w:color="auto"/>
          </w:divBdr>
        </w:div>
        <w:div w:id="769159750">
          <w:marLeft w:val="640"/>
          <w:marRight w:val="0"/>
          <w:marTop w:val="0"/>
          <w:marBottom w:val="0"/>
          <w:divBdr>
            <w:top w:val="none" w:sz="0" w:space="0" w:color="auto"/>
            <w:left w:val="none" w:sz="0" w:space="0" w:color="auto"/>
            <w:bottom w:val="none" w:sz="0" w:space="0" w:color="auto"/>
            <w:right w:val="none" w:sz="0" w:space="0" w:color="auto"/>
          </w:divBdr>
        </w:div>
        <w:div w:id="413358142">
          <w:marLeft w:val="640"/>
          <w:marRight w:val="0"/>
          <w:marTop w:val="0"/>
          <w:marBottom w:val="0"/>
          <w:divBdr>
            <w:top w:val="none" w:sz="0" w:space="0" w:color="auto"/>
            <w:left w:val="none" w:sz="0" w:space="0" w:color="auto"/>
            <w:bottom w:val="none" w:sz="0" w:space="0" w:color="auto"/>
            <w:right w:val="none" w:sz="0" w:space="0" w:color="auto"/>
          </w:divBdr>
        </w:div>
        <w:div w:id="1852404092">
          <w:marLeft w:val="640"/>
          <w:marRight w:val="0"/>
          <w:marTop w:val="0"/>
          <w:marBottom w:val="0"/>
          <w:divBdr>
            <w:top w:val="none" w:sz="0" w:space="0" w:color="auto"/>
            <w:left w:val="none" w:sz="0" w:space="0" w:color="auto"/>
            <w:bottom w:val="none" w:sz="0" w:space="0" w:color="auto"/>
            <w:right w:val="none" w:sz="0" w:space="0" w:color="auto"/>
          </w:divBdr>
        </w:div>
        <w:div w:id="1549688520">
          <w:marLeft w:val="640"/>
          <w:marRight w:val="0"/>
          <w:marTop w:val="0"/>
          <w:marBottom w:val="0"/>
          <w:divBdr>
            <w:top w:val="none" w:sz="0" w:space="0" w:color="auto"/>
            <w:left w:val="none" w:sz="0" w:space="0" w:color="auto"/>
            <w:bottom w:val="none" w:sz="0" w:space="0" w:color="auto"/>
            <w:right w:val="none" w:sz="0" w:space="0" w:color="auto"/>
          </w:divBdr>
        </w:div>
        <w:div w:id="1334989152">
          <w:marLeft w:val="640"/>
          <w:marRight w:val="0"/>
          <w:marTop w:val="0"/>
          <w:marBottom w:val="0"/>
          <w:divBdr>
            <w:top w:val="none" w:sz="0" w:space="0" w:color="auto"/>
            <w:left w:val="none" w:sz="0" w:space="0" w:color="auto"/>
            <w:bottom w:val="none" w:sz="0" w:space="0" w:color="auto"/>
            <w:right w:val="none" w:sz="0" w:space="0" w:color="auto"/>
          </w:divBdr>
        </w:div>
        <w:div w:id="1986623916">
          <w:marLeft w:val="640"/>
          <w:marRight w:val="0"/>
          <w:marTop w:val="0"/>
          <w:marBottom w:val="0"/>
          <w:divBdr>
            <w:top w:val="none" w:sz="0" w:space="0" w:color="auto"/>
            <w:left w:val="none" w:sz="0" w:space="0" w:color="auto"/>
            <w:bottom w:val="none" w:sz="0" w:space="0" w:color="auto"/>
            <w:right w:val="none" w:sz="0" w:space="0" w:color="auto"/>
          </w:divBdr>
        </w:div>
        <w:div w:id="1761177685">
          <w:marLeft w:val="640"/>
          <w:marRight w:val="0"/>
          <w:marTop w:val="0"/>
          <w:marBottom w:val="0"/>
          <w:divBdr>
            <w:top w:val="none" w:sz="0" w:space="0" w:color="auto"/>
            <w:left w:val="none" w:sz="0" w:space="0" w:color="auto"/>
            <w:bottom w:val="none" w:sz="0" w:space="0" w:color="auto"/>
            <w:right w:val="none" w:sz="0" w:space="0" w:color="auto"/>
          </w:divBdr>
        </w:div>
        <w:div w:id="248077512">
          <w:marLeft w:val="640"/>
          <w:marRight w:val="0"/>
          <w:marTop w:val="0"/>
          <w:marBottom w:val="0"/>
          <w:divBdr>
            <w:top w:val="none" w:sz="0" w:space="0" w:color="auto"/>
            <w:left w:val="none" w:sz="0" w:space="0" w:color="auto"/>
            <w:bottom w:val="none" w:sz="0" w:space="0" w:color="auto"/>
            <w:right w:val="none" w:sz="0" w:space="0" w:color="auto"/>
          </w:divBdr>
        </w:div>
        <w:div w:id="23941959">
          <w:marLeft w:val="640"/>
          <w:marRight w:val="0"/>
          <w:marTop w:val="0"/>
          <w:marBottom w:val="0"/>
          <w:divBdr>
            <w:top w:val="none" w:sz="0" w:space="0" w:color="auto"/>
            <w:left w:val="none" w:sz="0" w:space="0" w:color="auto"/>
            <w:bottom w:val="none" w:sz="0" w:space="0" w:color="auto"/>
            <w:right w:val="none" w:sz="0" w:space="0" w:color="auto"/>
          </w:divBdr>
        </w:div>
        <w:div w:id="2060395161">
          <w:marLeft w:val="640"/>
          <w:marRight w:val="0"/>
          <w:marTop w:val="0"/>
          <w:marBottom w:val="0"/>
          <w:divBdr>
            <w:top w:val="none" w:sz="0" w:space="0" w:color="auto"/>
            <w:left w:val="none" w:sz="0" w:space="0" w:color="auto"/>
            <w:bottom w:val="none" w:sz="0" w:space="0" w:color="auto"/>
            <w:right w:val="none" w:sz="0" w:space="0" w:color="auto"/>
          </w:divBdr>
        </w:div>
        <w:div w:id="1294753346">
          <w:marLeft w:val="640"/>
          <w:marRight w:val="0"/>
          <w:marTop w:val="0"/>
          <w:marBottom w:val="0"/>
          <w:divBdr>
            <w:top w:val="none" w:sz="0" w:space="0" w:color="auto"/>
            <w:left w:val="none" w:sz="0" w:space="0" w:color="auto"/>
            <w:bottom w:val="none" w:sz="0" w:space="0" w:color="auto"/>
            <w:right w:val="none" w:sz="0" w:space="0" w:color="auto"/>
          </w:divBdr>
        </w:div>
        <w:div w:id="924650846">
          <w:marLeft w:val="640"/>
          <w:marRight w:val="0"/>
          <w:marTop w:val="0"/>
          <w:marBottom w:val="0"/>
          <w:divBdr>
            <w:top w:val="none" w:sz="0" w:space="0" w:color="auto"/>
            <w:left w:val="none" w:sz="0" w:space="0" w:color="auto"/>
            <w:bottom w:val="none" w:sz="0" w:space="0" w:color="auto"/>
            <w:right w:val="none" w:sz="0" w:space="0" w:color="auto"/>
          </w:divBdr>
        </w:div>
        <w:div w:id="1215196073">
          <w:marLeft w:val="640"/>
          <w:marRight w:val="0"/>
          <w:marTop w:val="0"/>
          <w:marBottom w:val="0"/>
          <w:divBdr>
            <w:top w:val="none" w:sz="0" w:space="0" w:color="auto"/>
            <w:left w:val="none" w:sz="0" w:space="0" w:color="auto"/>
            <w:bottom w:val="none" w:sz="0" w:space="0" w:color="auto"/>
            <w:right w:val="none" w:sz="0" w:space="0" w:color="auto"/>
          </w:divBdr>
        </w:div>
        <w:div w:id="1835685564">
          <w:marLeft w:val="640"/>
          <w:marRight w:val="0"/>
          <w:marTop w:val="0"/>
          <w:marBottom w:val="0"/>
          <w:divBdr>
            <w:top w:val="none" w:sz="0" w:space="0" w:color="auto"/>
            <w:left w:val="none" w:sz="0" w:space="0" w:color="auto"/>
            <w:bottom w:val="none" w:sz="0" w:space="0" w:color="auto"/>
            <w:right w:val="none" w:sz="0" w:space="0" w:color="auto"/>
          </w:divBdr>
        </w:div>
        <w:div w:id="44764274">
          <w:marLeft w:val="640"/>
          <w:marRight w:val="0"/>
          <w:marTop w:val="0"/>
          <w:marBottom w:val="0"/>
          <w:divBdr>
            <w:top w:val="none" w:sz="0" w:space="0" w:color="auto"/>
            <w:left w:val="none" w:sz="0" w:space="0" w:color="auto"/>
            <w:bottom w:val="none" w:sz="0" w:space="0" w:color="auto"/>
            <w:right w:val="none" w:sz="0" w:space="0" w:color="auto"/>
          </w:divBdr>
        </w:div>
        <w:div w:id="1937326749">
          <w:marLeft w:val="640"/>
          <w:marRight w:val="0"/>
          <w:marTop w:val="0"/>
          <w:marBottom w:val="0"/>
          <w:divBdr>
            <w:top w:val="none" w:sz="0" w:space="0" w:color="auto"/>
            <w:left w:val="none" w:sz="0" w:space="0" w:color="auto"/>
            <w:bottom w:val="none" w:sz="0" w:space="0" w:color="auto"/>
            <w:right w:val="none" w:sz="0" w:space="0" w:color="auto"/>
          </w:divBdr>
        </w:div>
        <w:div w:id="666831350">
          <w:marLeft w:val="640"/>
          <w:marRight w:val="0"/>
          <w:marTop w:val="0"/>
          <w:marBottom w:val="0"/>
          <w:divBdr>
            <w:top w:val="none" w:sz="0" w:space="0" w:color="auto"/>
            <w:left w:val="none" w:sz="0" w:space="0" w:color="auto"/>
            <w:bottom w:val="none" w:sz="0" w:space="0" w:color="auto"/>
            <w:right w:val="none" w:sz="0" w:space="0" w:color="auto"/>
          </w:divBdr>
        </w:div>
        <w:div w:id="788202632">
          <w:marLeft w:val="640"/>
          <w:marRight w:val="0"/>
          <w:marTop w:val="0"/>
          <w:marBottom w:val="0"/>
          <w:divBdr>
            <w:top w:val="none" w:sz="0" w:space="0" w:color="auto"/>
            <w:left w:val="none" w:sz="0" w:space="0" w:color="auto"/>
            <w:bottom w:val="none" w:sz="0" w:space="0" w:color="auto"/>
            <w:right w:val="none" w:sz="0" w:space="0" w:color="auto"/>
          </w:divBdr>
        </w:div>
        <w:div w:id="1493133526">
          <w:marLeft w:val="640"/>
          <w:marRight w:val="0"/>
          <w:marTop w:val="0"/>
          <w:marBottom w:val="0"/>
          <w:divBdr>
            <w:top w:val="none" w:sz="0" w:space="0" w:color="auto"/>
            <w:left w:val="none" w:sz="0" w:space="0" w:color="auto"/>
            <w:bottom w:val="none" w:sz="0" w:space="0" w:color="auto"/>
            <w:right w:val="none" w:sz="0" w:space="0" w:color="auto"/>
          </w:divBdr>
        </w:div>
        <w:div w:id="319895062">
          <w:marLeft w:val="640"/>
          <w:marRight w:val="0"/>
          <w:marTop w:val="0"/>
          <w:marBottom w:val="0"/>
          <w:divBdr>
            <w:top w:val="none" w:sz="0" w:space="0" w:color="auto"/>
            <w:left w:val="none" w:sz="0" w:space="0" w:color="auto"/>
            <w:bottom w:val="none" w:sz="0" w:space="0" w:color="auto"/>
            <w:right w:val="none" w:sz="0" w:space="0" w:color="auto"/>
          </w:divBdr>
        </w:div>
        <w:div w:id="313606432">
          <w:marLeft w:val="640"/>
          <w:marRight w:val="0"/>
          <w:marTop w:val="0"/>
          <w:marBottom w:val="0"/>
          <w:divBdr>
            <w:top w:val="none" w:sz="0" w:space="0" w:color="auto"/>
            <w:left w:val="none" w:sz="0" w:space="0" w:color="auto"/>
            <w:bottom w:val="none" w:sz="0" w:space="0" w:color="auto"/>
            <w:right w:val="none" w:sz="0" w:space="0" w:color="auto"/>
          </w:divBdr>
        </w:div>
        <w:div w:id="2051805780">
          <w:marLeft w:val="640"/>
          <w:marRight w:val="0"/>
          <w:marTop w:val="0"/>
          <w:marBottom w:val="0"/>
          <w:divBdr>
            <w:top w:val="none" w:sz="0" w:space="0" w:color="auto"/>
            <w:left w:val="none" w:sz="0" w:space="0" w:color="auto"/>
            <w:bottom w:val="none" w:sz="0" w:space="0" w:color="auto"/>
            <w:right w:val="none" w:sz="0" w:space="0" w:color="auto"/>
          </w:divBdr>
        </w:div>
        <w:div w:id="531646704">
          <w:marLeft w:val="640"/>
          <w:marRight w:val="0"/>
          <w:marTop w:val="0"/>
          <w:marBottom w:val="0"/>
          <w:divBdr>
            <w:top w:val="none" w:sz="0" w:space="0" w:color="auto"/>
            <w:left w:val="none" w:sz="0" w:space="0" w:color="auto"/>
            <w:bottom w:val="none" w:sz="0" w:space="0" w:color="auto"/>
            <w:right w:val="none" w:sz="0" w:space="0" w:color="auto"/>
          </w:divBdr>
        </w:div>
        <w:div w:id="1330213231">
          <w:marLeft w:val="640"/>
          <w:marRight w:val="0"/>
          <w:marTop w:val="0"/>
          <w:marBottom w:val="0"/>
          <w:divBdr>
            <w:top w:val="none" w:sz="0" w:space="0" w:color="auto"/>
            <w:left w:val="none" w:sz="0" w:space="0" w:color="auto"/>
            <w:bottom w:val="none" w:sz="0" w:space="0" w:color="auto"/>
            <w:right w:val="none" w:sz="0" w:space="0" w:color="auto"/>
          </w:divBdr>
        </w:div>
        <w:div w:id="1512718903">
          <w:marLeft w:val="640"/>
          <w:marRight w:val="0"/>
          <w:marTop w:val="0"/>
          <w:marBottom w:val="0"/>
          <w:divBdr>
            <w:top w:val="none" w:sz="0" w:space="0" w:color="auto"/>
            <w:left w:val="none" w:sz="0" w:space="0" w:color="auto"/>
            <w:bottom w:val="none" w:sz="0" w:space="0" w:color="auto"/>
            <w:right w:val="none" w:sz="0" w:space="0" w:color="auto"/>
          </w:divBdr>
        </w:div>
        <w:div w:id="1235093821">
          <w:marLeft w:val="640"/>
          <w:marRight w:val="0"/>
          <w:marTop w:val="0"/>
          <w:marBottom w:val="0"/>
          <w:divBdr>
            <w:top w:val="none" w:sz="0" w:space="0" w:color="auto"/>
            <w:left w:val="none" w:sz="0" w:space="0" w:color="auto"/>
            <w:bottom w:val="none" w:sz="0" w:space="0" w:color="auto"/>
            <w:right w:val="none" w:sz="0" w:space="0" w:color="auto"/>
          </w:divBdr>
        </w:div>
        <w:div w:id="1701054529">
          <w:marLeft w:val="640"/>
          <w:marRight w:val="0"/>
          <w:marTop w:val="0"/>
          <w:marBottom w:val="0"/>
          <w:divBdr>
            <w:top w:val="none" w:sz="0" w:space="0" w:color="auto"/>
            <w:left w:val="none" w:sz="0" w:space="0" w:color="auto"/>
            <w:bottom w:val="none" w:sz="0" w:space="0" w:color="auto"/>
            <w:right w:val="none" w:sz="0" w:space="0" w:color="auto"/>
          </w:divBdr>
        </w:div>
        <w:div w:id="581067218">
          <w:marLeft w:val="640"/>
          <w:marRight w:val="0"/>
          <w:marTop w:val="0"/>
          <w:marBottom w:val="0"/>
          <w:divBdr>
            <w:top w:val="none" w:sz="0" w:space="0" w:color="auto"/>
            <w:left w:val="none" w:sz="0" w:space="0" w:color="auto"/>
            <w:bottom w:val="none" w:sz="0" w:space="0" w:color="auto"/>
            <w:right w:val="none" w:sz="0" w:space="0" w:color="auto"/>
          </w:divBdr>
        </w:div>
        <w:div w:id="1659259638">
          <w:marLeft w:val="640"/>
          <w:marRight w:val="0"/>
          <w:marTop w:val="0"/>
          <w:marBottom w:val="0"/>
          <w:divBdr>
            <w:top w:val="none" w:sz="0" w:space="0" w:color="auto"/>
            <w:left w:val="none" w:sz="0" w:space="0" w:color="auto"/>
            <w:bottom w:val="none" w:sz="0" w:space="0" w:color="auto"/>
            <w:right w:val="none" w:sz="0" w:space="0" w:color="auto"/>
          </w:divBdr>
        </w:div>
        <w:div w:id="1464422048">
          <w:marLeft w:val="640"/>
          <w:marRight w:val="0"/>
          <w:marTop w:val="0"/>
          <w:marBottom w:val="0"/>
          <w:divBdr>
            <w:top w:val="none" w:sz="0" w:space="0" w:color="auto"/>
            <w:left w:val="none" w:sz="0" w:space="0" w:color="auto"/>
            <w:bottom w:val="none" w:sz="0" w:space="0" w:color="auto"/>
            <w:right w:val="none" w:sz="0" w:space="0" w:color="auto"/>
          </w:divBdr>
        </w:div>
        <w:div w:id="1594707026">
          <w:marLeft w:val="640"/>
          <w:marRight w:val="0"/>
          <w:marTop w:val="0"/>
          <w:marBottom w:val="0"/>
          <w:divBdr>
            <w:top w:val="none" w:sz="0" w:space="0" w:color="auto"/>
            <w:left w:val="none" w:sz="0" w:space="0" w:color="auto"/>
            <w:bottom w:val="none" w:sz="0" w:space="0" w:color="auto"/>
            <w:right w:val="none" w:sz="0" w:space="0" w:color="auto"/>
          </w:divBdr>
        </w:div>
        <w:div w:id="2031682662">
          <w:marLeft w:val="640"/>
          <w:marRight w:val="0"/>
          <w:marTop w:val="0"/>
          <w:marBottom w:val="0"/>
          <w:divBdr>
            <w:top w:val="none" w:sz="0" w:space="0" w:color="auto"/>
            <w:left w:val="none" w:sz="0" w:space="0" w:color="auto"/>
            <w:bottom w:val="none" w:sz="0" w:space="0" w:color="auto"/>
            <w:right w:val="none" w:sz="0" w:space="0" w:color="auto"/>
          </w:divBdr>
        </w:div>
        <w:div w:id="1004557176">
          <w:marLeft w:val="640"/>
          <w:marRight w:val="0"/>
          <w:marTop w:val="0"/>
          <w:marBottom w:val="0"/>
          <w:divBdr>
            <w:top w:val="none" w:sz="0" w:space="0" w:color="auto"/>
            <w:left w:val="none" w:sz="0" w:space="0" w:color="auto"/>
            <w:bottom w:val="none" w:sz="0" w:space="0" w:color="auto"/>
            <w:right w:val="none" w:sz="0" w:space="0" w:color="auto"/>
          </w:divBdr>
        </w:div>
        <w:div w:id="1426459573">
          <w:marLeft w:val="640"/>
          <w:marRight w:val="0"/>
          <w:marTop w:val="0"/>
          <w:marBottom w:val="0"/>
          <w:divBdr>
            <w:top w:val="none" w:sz="0" w:space="0" w:color="auto"/>
            <w:left w:val="none" w:sz="0" w:space="0" w:color="auto"/>
            <w:bottom w:val="none" w:sz="0" w:space="0" w:color="auto"/>
            <w:right w:val="none" w:sz="0" w:space="0" w:color="auto"/>
          </w:divBdr>
        </w:div>
        <w:div w:id="432360226">
          <w:marLeft w:val="640"/>
          <w:marRight w:val="0"/>
          <w:marTop w:val="0"/>
          <w:marBottom w:val="0"/>
          <w:divBdr>
            <w:top w:val="none" w:sz="0" w:space="0" w:color="auto"/>
            <w:left w:val="none" w:sz="0" w:space="0" w:color="auto"/>
            <w:bottom w:val="none" w:sz="0" w:space="0" w:color="auto"/>
            <w:right w:val="none" w:sz="0" w:space="0" w:color="auto"/>
          </w:divBdr>
        </w:div>
        <w:div w:id="1779326876">
          <w:marLeft w:val="640"/>
          <w:marRight w:val="0"/>
          <w:marTop w:val="0"/>
          <w:marBottom w:val="0"/>
          <w:divBdr>
            <w:top w:val="none" w:sz="0" w:space="0" w:color="auto"/>
            <w:left w:val="none" w:sz="0" w:space="0" w:color="auto"/>
            <w:bottom w:val="none" w:sz="0" w:space="0" w:color="auto"/>
            <w:right w:val="none" w:sz="0" w:space="0" w:color="auto"/>
          </w:divBdr>
        </w:div>
        <w:div w:id="106589233">
          <w:marLeft w:val="640"/>
          <w:marRight w:val="0"/>
          <w:marTop w:val="0"/>
          <w:marBottom w:val="0"/>
          <w:divBdr>
            <w:top w:val="none" w:sz="0" w:space="0" w:color="auto"/>
            <w:left w:val="none" w:sz="0" w:space="0" w:color="auto"/>
            <w:bottom w:val="none" w:sz="0" w:space="0" w:color="auto"/>
            <w:right w:val="none" w:sz="0" w:space="0" w:color="auto"/>
          </w:divBdr>
        </w:div>
        <w:div w:id="1277835494">
          <w:marLeft w:val="640"/>
          <w:marRight w:val="0"/>
          <w:marTop w:val="0"/>
          <w:marBottom w:val="0"/>
          <w:divBdr>
            <w:top w:val="none" w:sz="0" w:space="0" w:color="auto"/>
            <w:left w:val="none" w:sz="0" w:space="0" w:color="auto"/>
            <w:bottom w:val="none" w:sz="0" w:space="0" w:color="auto"/>
            <w:right w:val="none" w:sz="0" w:space="0" w:color="auto"/>
          </w:divBdr>
        </w:div>
        <w:div w:id="1652248967">
          <w:marLeft w:val="640"/>
          <w:marRight w:val="0"/>
          <w:marTop w:val="0"/>
          <w:marBottom w:val="0"/>
          <w:divBdr>
            <w:top w:val="none" w:sz="0" w:space="0" w:color="auto"/>
            <w:left w:val="none" w:sz="0" w:space="0" w:color="auto"/>
            <w:bottom w:val="none" w:sz="0" w:space="0" w:color="auto"/>
            <w:right w:val="none" w:sz="0" w:space="0" w:color="auto"/>
          </w:divBdr>
        </w:div>
        <w:div w:id="1285115527">
          <w:marLeft w:val="640"/>
          <w:marRight w:val="0"/>
          <w:marTop w:val="0"/>
          <w:marBottom w:val="0"/>
          <w:divBdr>
            <w:top w:val="none" w:sz="0" w:space="0" w:color="auto"/>
            <w:left w:val="none" w:sz="0" w:space="0" w:color="auto"/>
            <w:bottom w:val="none" w:sz="0" w:space="0" w:color="auto"/>
            <w:right w:val="none" w:sz="0" w:space="0" w:color="auto"/>
          </w:divBdr>
        </w:div>
        <w:div w:id="582960066">
          <w:marLeft w:val="640"/>
          <w:marRight w:val="0"/>
          <w:marTop w:val="0"/>
          <w:marBottom w:val="0"/>
          <w:divBdr>
            <w:top w:val="none" w:sz="0" w:space="0" w:color="auto"/>
            <w:left w:val="none" w:sz="0" w:space="0" w:color="auto"/>
            <w:bottom w:val="none" w:sz="0" w:space="0" w:color="auto"/>
            <w:right w:val="none" w:sz="0" w:space="0" w:color="auto"/>
          </w:divBdr>
        </w:div>
        <w:div w:id="21709017">
          <w:marLeft w:val="640"/>
          <w:marRight w:val="0"/>
          <w:marTop w:val="0"/>
          <w:marBottom w:val="0"/>
          <w:divBdr>
            <w:top w:val="none" w:sz="0" w:space="0" w:color="auto"/>
            <w:left w:val="none" w:sz="0" w:space="0" w:color="auto"/>
            <w:bottom w:val="none" w:sz="0" w:space="0" w:color="auto"/>
            <w:right w:val="none" w:sz="0" w:space="0" w:color="auto"/>
          </w:divBdr>
        </w:div>
        <w:div w:id="1667980180">
          <w:marLeft w:val="640"/>
          <w:marRight w:val="0"/>
          <w:marTop w:val="0"/>
          <w:marBottom w:val="0"/>
          <w:divBdr>
            <w:top w:val="none" w:sz="0" w:space="0" w:color="auto"/>
            <w:left w:val="none" w:sz="0" w:space="0" w:color="auto"/>
            <w:bottom w:val="none" w:sz="0" w:space="0" w:color="auto"/>
            <w:right w:val="none" w:sz="0" w:space="0" w:color="auto"/>
          </w:divBdr>
        </w:div>
        <w:div w:id="1697191395">
          <w:marLeft w:val="640"/>
          <w:marRight w:val="0"/>
          <w:marTop w:val="0"/>
          <w:marBottom w:val="0"/>
          <w:divBdr>
            <w:top w:val="none" w:sz="0" w:space="0" w:color="auto"/>
            <w:left w:val="none" w:sz="0" w:space="0" w:color="auto"/>
            <w:bottom w:val="none" w:sz="0" w:space="0" w:color="auto"/>
            <w:right w:val="none" w:sz="0" w:space="0" w:color="auto"/>
          </w:divBdr>
        </w:div>
        <w:div w:id="889878805">
          <w:marLeft w:val="640"/>
          <w:marRight w:val="0"/>
          <w:marTop w:val="0"/>
          <w:marBottom w:val="0"/>
          <w:divBdr>
            <w:top w:val="none" w:sz="0" w:space="0" w:color="auto"/>
            <w:left w:val="none" w:sz="0" w:space="0" w:color="auto"/>
            <w:bottom w:val="none" w:sz="0" w:space="0" w:color="auto"/>
            <w:right w:val="none" w:sz="0" w:space="0" w:color="auto"/>
          </w:divBdr>
        </w:div>
        <w:div w:id="1392465976">
          <w:marLeft w:val="640"/>
          <w:marRight w:val="0"/>
          <w:marTop w:val="0"/>
          <w:marBottom w:val="0"/>
          <w:divBdr>
            <w:top w:val="none" w:sz="0" w:space="0" w:color="auto"/>
            <w:left w:val="none" w:sz="0" w:space="0" w:color="auto"/>
            <w:bottom w:val="none" w:sz="0" w:space="0" w:color="auto"/>
            <w:right w:val="none" w:sz="0" w:space="0" w:color="auto"/>
          </w:divBdr>
        </w:div>
        <w:div w:id="206334455">
          <w:marLeft w:val="640"/>
          <w:marRight w:val="0"/>
          <w:marTop w:val="0"/>
          <w:marBottom w:val="0"/>
          <w:divBdr>
            <w:top w:val="none" w:sz="0" w:space="0" w:color="auto"/>
            <w:left w:val="none" w:sz="0" w:space="0" w:color="auto"/>
            <w:bottom w:val="none" w:sz="0" w:space="0" w:color="auto"/>
            <w:right w:val="none" w:sz="0" w:space="0" w:color="auto"/>
          </w:divBdr>
        </w:div>
        <w:div w:id="1457867022">
          <w:marLeft w:val="640"/>
          <w:marRight w:val="0"/>
          <w:marTop w:val="0"/>
          <w:marBottom w:val="0"/>
          <w:divBdr>
            <w:top w:val="none" w:sz="0" w:space="0" w:color="auto"/>
            <w:left w:val="none" w:sz="0" w:space="0" w:color="auto"/>
            <w:bottom w:val="none" w:sz="0" w:space="0" w:color="auto"/>
            <w:right w:val="none" w:sz="0" w:space="0" w:color="auto"/>
          </w:divBdr>
        </w:div>
        <w:div w:id="994918085">
          <w:marLeft w:val="640"/>
          <w:marRight w:val="0"/>
          <w:marTop w:val="0"/>
          <w:marBottom w:val="0"/>
          <w:divBdr>
            <w:top w:val="none" w:sz="0" w:space="0" w:color="auto"/>
            <w:left w:val="none" w:sz="0" w:space="0" w:color="auto"/>
            <w:bottom w:val="none" w:sz="0" w:space="0" w:color="auto"/>
            <w:right w:val="none" w:sz="0" w:space="0" w:color="auto"/>
          </w:divBdr>
        </w:div>
        <w:div w:id="881668187">
          <w:marLeft w:val="640"/>
          <w:marRight w:val="0"/>
          <w:marTop w:val="0"/>
          <w:marBottom w:val="0"/>
          <w:divBdr>
            <w:top w:val="none" w:sz="0" w:space="0" w:color="auto"/>
            <w:left w:val="none" w:sz="0" w:space="0" w:color="auto"/>
            <w:bottom w:val="none" w:sz="0" w:space="0" w:color="auto"/>
            <w:right w:val="none" w:sz="0" w:space="0" w:color="auto"/>
          </w:divBdr>
        </w:div>
        <w:div w:id="702169978">
          <w:marLeft w:val="640"/>
          <w:marRight w:val="0"/>
          <w:marTop w:val="0"/>
          <w:marBottom w:val="0"/>
          <w:divBdr>
            <w:top w:val="none" w:sz="0" w:space="0" w:color="auto"/>
            <w:left w:val="none" w:sz="0" w:space="0" w:color="auto"/>
            <w:bottom w:val="none" w:sz="0" w:space="0" w:color="auto"/>
            <w:right w:val="none" w:sz="0" w:space="0" w:color="auto"/>
          </w:divBdr>
        </w:div>
        <w:div w:id="1128938804">
          <w:marLeft w:val="640"/>
          <w:marRight w:val="0"/>
          <w:marTop w:val="0"/>
          <w:marBottom w:val="0"/>
          <w:divBdr>
            <w:top w:val="none" w:sz="0" w:space="0" w:color="auto"/>
            <w:left w:val="none" w:sz="0" w:space="0" w:color="auto"/>
            <w:bottom w:val="none" w:sz="0" w:space="0" w:color="auto"/>
            <w:right w:val="none" w:sz="0" w:space="0" w:color="auto"/>
          </w:divBdr>
        </w:div>
        <w:div w:id="211383535">
          <w:marLeft w:val="640"/>
          <w:marRight w:val="0"/>
          <w:marTop w:val="0"/>
          <w:marBottom w:val="0"/>
          <w:divBdr>
            <w:top w:val="none" w:sz="0" w:space="0" w:color="auto"/>
            <w:left w:val="none" w:sz="0" w:space="0" w:color="auto"/>
            <w:bottom w:val="none" w:sz="0" w:space="0" w:color="auto"/>
            <w:right w:val="none" w:sz="0" w:space="0" w:color="auto"/>
          </w:divBdr>
        </w:div>
        <w:div w:id="492643389">
          <w:marLeft w:val="640"/>
          <w:marRight w:val="0"/>
          <w:marTop w:val="0"/>
          <w:marBottom w:val="0"/>
          <w:divBdr>
            <w:top w:val="none" w:sz="0" w:space="0" w:color="auto"/>
            <w:left w:val="none" w:sz="0" w:space="0" w:color="auto"/>
            <w:bottom w:val="none" w:sz="0" w:space="0" w:color="auto"/>
            <w:right w:val="none" w:sz="0" w:space="0" w:color="auto"/>
          </w:divBdr>
        </w:div>
        <w:div w:id="1163473809">
          <w:marLeft w:val="640"/>
          <w:marRight w:val="0"/>
          <w:marTop w:val="0"/>
          <w:marBottom w:val="0"/>
          <w:divBdr>
            <w:top w:val="none" w:sz="0" w:space="0" w:color="auto"/>
            <w:left w:val="none" w:sz="0" w:space="0" w:color="auto"/>
            <w:bottom w:val="none" w:sz="0" w:space="0" w:color="auto"/>
            <w:right w:val="none" w:sz="0" w:space="0" w:color="auto"/>
          </w:divBdr>
        </w:div>
        <w:div w:id="1608662500">
          <w:marLeft w:val="640"/>
          <w:marRight w:val="0"/>
          <w:marTop w:val="0"/>
          <w:marBottom w:val="0"/>
          <w:divBdr>
            <w:top w:val="none" w:sz="0" w:space="0" w:color="auto"/>
            <w:left w:val="none" w:sz="0" w:space="0" w:color="auto"/>
            <w:bottom w:val="none" w:sz="0" w:space="0" w:color="auto"/>
            <w:right w:val="none" w:sz="0" w:space="0" w:color="auto"/>
          </w:divBdr>
        </w:div>
        <w:div w:id="1812626359">
          <w:marLeft w:val="640"/>
          <w:marRight w:val="0"/>
          <w:marTop w:val="0"/>
          <w:marBottom w:val="0"/>
          <w:divBdr>
            <w:top w:val="none" w:sz="0" w:space="0" w:color="auto"/>
            <w:left w:val="none" w:sz="0" w:space="0" w:color="auto"/>
            <w:bottom w:val="none" w:sz="0" w:space="0" w:color="auto"/>
            <w:right w:val="none" w:sz="0" w:space="0" w:color="auto"/>
          </w:divBdr>
        </w:div>
        <w:div w:id="1153182918">
          <w:marLeft w:val="640"/>
          <w:marRight w:val="0"/>
          <w:marTop w:val="0"/>
          <w:marBottom w:val="0"/>
          <w:divBdr>
            <w:top w:val="none" w:sz="0" w:space="0" w:color="auto"/>
            <w:left w:val="none" w:sz="0" w:space="0" w:color="auto"/>
            <w:bottom w:val="none" w:sz="0" w:space="0" w:color="auto"/>
            <w:right w:val="none" w:sz="0" w:space="0" w:color="auto"/>
          </w:divBdr>
        </w:div>
        <w:div w:id="1072511738">
          <w:marLeft w:val="640"/>
          <w:marRight w:val="0"/>
          <w:marTop w:val="0"/>
          <w:marBottom w:val="0"/>
          <w:divBdr>
            <w:top w:val="none" w:sz="0" w:space="0" w:color="auto"/>
            <w:left w:val="none" w:sz="0" w:space="0" w:color="auto"/>
            <w:bottom w:val="none" w:sz="0" w:space="0" w:color="auto"/>
            <w:right w:val="none" w:sz="0" w:space="0" w:color="auto"/>
          </w:divBdr>
        </w:div>
        <w:div w:id="704408621">
          <w:marLeft w:val="640"/>
          <w:marRight w:val="0"/>
          <w:marTop w:val="0"/>
          <w:marBottom w:val="0"/>
          <w:divBdr>
            <w:top w:val="none" w:sz="0" w:space="0" w:color="auto"/>
            <w:left w:val="none" w:sz="0" w:space="0" w:color="auto"/>
            <w:bottom w:val="none" w:sz="0" w:space="0" w:color="auto"/>
            <w:right w:val="none" w:sz="0" w:space="0" w:color="auto"/>
          </w:divBdr>
        </w:div>
        <w:div w:id="828446283">
          <w:marLeft w:val="640"/>
          <w:marRight w:val="0"/>
          <w:marTop w:val="0"/>
          <w:marBottom w:val="0"/>
          <w:divBdr>
            <w:top w:val="none" w:sz="0" w:space="0" w:color="auto"/>
            <w:left w:val="none" w:sz="0" w:space="0" w:color="auto"/>
            <w:bottom w:val="none" w:sz="0" w:space="0" w:color="auto"/>
            <w:right w:val="none" w:sz="0" w:space="0" w:color="auto"/>
          </w:divBdr>
        </w:div>
        <w:div w:id="1137991906">
          <w:marLeft w:val="640"/>
          <w:marRight w:val="0"/>
          <w:marTop w:val="0"/>
          <w:marBottom w:val="0"/>
          <w:divBdr>
            <w:top w:val="none" w:sz="0" w:space="0" w:color="auto"/>
            <w:left w:val="none" w:sz="0" w:space="0" w:color="auto"/>
            <w:bottom w:val="none" w:sz="0" w:space="0" w:color="auto"/>
            <w:right w:val="none" w:sz="0" w:space="0" w:color="auto"/>
          </w:divBdr>
        </w:div>
        <w:div w:id="1407143050">
          <w:marLeft w:val="640"/>
          <w:marRight w:val="0"/>
          <w:marTop w:val="0"/>
          <w:marBottom w:val="0"/>
          <w:divBdr>
            <w:top w:val="none" w:sz="0" w:space="0" w:color="auto"/>
            <w:left w:val="none" w:sz="0" w:space="0" w:color="auto"/>
            <w:bottom w:val="none" w:sz="0" w:space="0" w:color="auto"/>
            <w:right w:val="none" w:sz="0" w:space="0" w:color="auto"/>
          </w:divBdr>
        </w:div>
        <w:div w:id="1773083098">
          <w:marLeft w:val="640"/>
          <w:marRight w:val="0"/>
          <w:marTop w:val="0"/>
          <w:marBottom w:val="0"/>
          <w:divBdr>
            <w:top w:val="none" w:sz="0" w:space="0" w:color="auto"/>
            <w:left w:val="none" w:sz="0" w:space="0" w:color="auto"/>
            <w:bottom w:val="none" w:sz="0" w:space="0" w:color="auto"/>
            <w:right w:val="none" w:sz="0" w:space="0" w:color="auto"/>
          </w:divBdr>
        </w:div>
        <w:div w:id="1493064953">
          <w:marLeft w:val="640"/>
          <w:marRight w:val="0"/>
          <w:marTop w:val="0"/>
          <w:marBottom w:val="0"/>
          <w:divBdr>
            <w:top w:val="none" w:sz="0" w:space="0" w:color="auto"/>
            <w:left w:val="none" w:sz="0" w:space="0" w:color="auto"/>
            <w:bottom w:val="none" w:sz="0" w:space="0" w:color="auto"/>
            <w:right w:val="none" w:sz="0" w:space="0" w:color="auto"/>
          </w:divBdr>
        </w:div>
        <w:div w:id="1335256207">
          <w:marLeft w:val="640"/>
          <w:marRight w:val="0"/>
          <w:marTop w:val="0"/>
          <w:marBottom w:val="0"/>
          <w:divBdr>
            <w:top w:val="none" w:sz="0" w:space="0" w:color="auto"/>
            <w:left w:val="none" w:sz="0" w:space="0" w:color="auto"/>
            <w:bottom w:val="none" w:sz="0" w:space="0" w:color="auto"/>
            <w:right w:val="none" w:sz="0" w:space="0" w:color="auto"/>
          </w:divBdr>
        </w:div>
        <w:div w:id="1750687814">
          <w:marLeft w:val="640"/>
          <w:marRight w:val="0"/>
          <w:marTop w:val="0"/>
          <w:marBottom w:val="0"/>
          <w:divBdr>
            <w:top w:val="none" w:sz="0" w:space="0" w:color="auto"/>
            <w:left w:val="none" w:sz="0" w:space="0" w:color="auto"/>
            <w:bottom w:val="none" w:sz="0" w:space="0" w:color="auto"/>
            <w:right w:val="none" w:sz="0" w:space="0" w:color="auto"/>
          </w:divBdr>
        </w:div>
        <w:div w:id="16546368">
          <w:marLeft w:val="640"/>
          <w:marRight w:val="0"/>
          <w:marTop w:val="0"/>
          <w:marBottom w:val="0"/>
          <w:divBdr>
            <w:top w:val="none" w:sz="0" w:space="0" w:color="auto"/>
            <w:left w:val="none" w:sz="0" w:space="0" w:color="auto"/>
            <w:bottom w:val="none" w:sz="0" w:space="0" w:color="auto"/>
            <w:right w:val="none" w:sz="0" w:space="0" w:color="auto"/>
          </w:divBdr>
        </w:div>
        <w:div w:id="73402007">
          <w:marLeft w:val="640"/>
          <w:marRight w:val="0"/>
          <w:marTop w:val="0"/>
          <w:marBottom w:val="0"/>
          <w:divBdr>
            <w:top w:val="none" w:sz="0" w:space="0" w:color="auto"/>
            <w:left w:val="none" w:sz="0" w:space="0" w:color="auto"/>
            <w:bottom w:val="none" w:sz="0" w:space="0" w:color="auto"/>
            <w:right w:val="none" w:sz="0" w:space="0" w:color="auto"/>
          </w:divBdr>
        </w:div>
        <w:div w:id="1654063884">
          <w:marLeft w:val="640"/>
          <w:marRight w:val="0"/>
          <w:marTop w:val="0"/>
          <w:marBottom w:val="0"/>
          <w:divBdr>
            <w:top w:val="none" w:sz="0" w:space="0" w:color="auto"/>
            <w:left w:val="none" w:sz="0" w:space="0" w:color="auto"/>
            <w:bottom w:val="none" w:sz="0" w:space="0" w:color="auto"/>
            <w:right w:val="none" w:sz="0" w:space="0" w:color="auto"/>
          </w:divBdr>
        </w:div>
        <w:div w:id="1957439985">
          <w:marLeft w:val="640"/>
          <w:marRight w:val="0"/>
          <w:marTop w:val="0"/>
          <w:marBottom w:val="0"/>
          <w:divBdr>
            <w:top w:val="none" w:sz="0" w:space="0" w:color="auto"/>
            <w:left w:val="none" w:sz="0" w:space="0" w:color="auto"/>
            <w:bottom w:val="none" w:sz="0" w:space="0" w:color="auto"/>
            <w:right w:val="none" w:sz="0" w:space="0" w:color="auto"/>
          </w:divBdr>
        </w:div>
        <w:div w:id="500659632">
          <w:marLeft w:val="640"/>
          <w:marRight w:val="0"/>
          <w:marTop w:val="0"/>
          <w:marBottom w:val="0"/>
          <w:divBdr>
            <w:top w:val="none" w:sz="0" w:space="0" w:color="auto"/>
            <w:left w:val="none" w:sz="0" w:space="0" w:color="auto"/>
            <w:bottom w:val="none" w:sz="0" w:space="0" w:color="auto"/>
            <w:right w:val="none" w:sz="0" w:space="0" w:color="auto"/>
          </w:divBdr>
        </w:div>
        <w:div w:id="369303002">
          <w:marLeft w:val="640"/>
          <w:marRight w:val="0"/>
          <w:marTop w:val="0"/>
          <w:marBottom w:val="0"/>
          <w:divBdr>
            <w:top w:val="none" w:sz="0" w:space="0" w:color="auto"/>
            <w:left w:val="none" w:sz="0" w:space="0" w:color="auto"/>
            <w:bottom w:val="none" w:sz="0" w:space="0" w:color="auto"/>
            <w:right w:val="none" w:sz="0" w:space="0" w:color="auto"/>
          </w:divBdr>
        </w:div>
        <w:div w:id="998457906">
          <w:marLeft w:val="640"/>
          <w:marRight w:val="0"/>
          <w:marTop w:val="0"/>
          <w:marBottom w:val="0"/>
          <w:divBdr>
            <w:top w:val="none" w:sz="0" w:space="0" w:color="auto"/>
            <w:left w:val="none" w:sz="0" w:space="0" w:color="auto"/>
            <w:bottom w:val="none" w:sz="0" w:space="0" w:color="auto"/>
            <w:right w:val="none" w:sz="0" w:space="0" w:color="auto"/>
          </w:divBdr>
        </w:div>
        <w:div w:id="130251504">
          <w:marLeft w:val="640"/>
          <w:marRight w:val="0"/>
          <w:marTop w:val="0"/>
          <w:marBottom w:val="0"/>
          <w:divBdr>
            <w:top w:val="none" w:sz="0" w:space="0" w:color="auto"/>
            <w:left w:val="none" w:sz="0" w:space="0" w:color="auto"/>
            <w:bottom w:val="none" w:sz="0" w:space="0" w:color="auto"/>
            <w:right w:val="none" w:sz="0" w:space="0" w:color="auto"/>
          </w:divBdr>
        </w:div>
        <w:div w:id="1742363052">
          <w:marLeft w:val="640"/>
          <w:marRight w:val="0"/>
          <w:marTop w:val="0"/>
          <w:marBottom w:val="0"/>
          <w:divBdr>
            <w:top w:val="none" w:sz="0" w:space="0" w:color="auto"/>
            <w:left w:val="none" w:sz="0" w:space="0" w:color="auto"/>
            <w:bottom w:val="none" w:sz="0" w:space="0" w:color="auto"/>
            <w:right w:val="none" w:sz="0" w:space="0" w:color="auto"/>
          </w:divBdr>
        </w:div>
        <w:div w:id="994337784">
          <w:marLeft w:val="640"/>
          <w:marRight w:val="0"/>
          <w:marTop w:val="0"/>
          <w:marBottom w:val="0"/>
          <w:divBdr>
            <w:top w:val="none" w:sz="0" w:space="0" w:color="auto"/>
            <w:left w:val="none" w:sz="0" w:space="0" w:color="auto"/>
            <w:bottom w:val="none" w:sz="0" w:space="0" w:color="auto"/>
            <w:right w:val="none" w:sz="0" w:space="0" w:color="auto"/>
          </w:divBdr>
        </w:div>
        <w:div w:id="1139806455">
          <w:marLeft w:val="640"/>
          <w:marRight w:val="0"/>
          <w:marTop w:val="0"/>
          <w:marBottom w:val="0"/>
          <w:divBdr>
            <w:top w:val="none" w:sz="0" w:space="0" w:color="auto"/>
            <w:left w:val="none" w:sz="0" w:space="0" w:color="auto"/>
            <w:bottom w:val="none" w:sz="0" w:space="0" w:color="auto"/>
            <w:right w:val="none" w:sz="0" w:space="0" w:color="auto"/>
          </w:divBdr>
        </w:div>
        <w:div w:id="1755543366">
          <w:marLeft w:val="640"/>
          <w:marRight w:val="0"/>
          <w:marTop w:val="0"/>
          <w:marBottom w:val="0"/>
          <w:divBdr>
            <w:top w:val="none" w:sz="0" w:space="0" w:color="auto"/>
            <w:left w:val="none" w:sz="0" w:space="0" w:color="auto"/>
            <w:bottom w:val="none" w:sz="0" w:space="0" w:color="auto"/>
            <w:right w:val="none" w:sz="0" w:space="0" w:color="auto"/>
          </w:divBdr>
        </w:div>
        <w:div w:id="1383481052">
          <w:marLeft w:val="640"/>
          <w:marRight w:val="0"/>
          <w:marTop w:val="0"/>
          <w:marBottom w:val="0"/>
          <w:divBdr>
            <w:top w:val="none" w:sz="0" w:space="0" w:color="auto"/>
            <w:left w:val="none" w:sz="0" w:space="0" w:color="auto"/>
            <w:bottom w:val="none" w:sz="0" w:space="0" w:color="auto"/>
            <w:right w:val="none" w:sz="0" w:space="0" w:color="auto"/>
          </w:divBdr>
        </w:div>
        <w:div w:id="445122662">
          <w:marLeft w:val="640"/>
          <w:marRight w:val="0"/>
          <w:marTop w:val="0"/>
          <w:marBottom w:val="0"/>
          <w:divBdr>
            <w:top w:val="none" w:sz="0" w:space="0" w:color="auto"/>
            <w:left w:val="none" w:sz="0" w:space="0" w:color="auto"/>
            <w:bottom w:val="none" w:sz="0" w:space="0" w:color="auto"/>
            <w:right w:val="none" w:sz="0" w:space="0" w:color="auto"/>
          </w:divBdr>
        </w:div>
        <w:div w:id="889806389">
          <w:marLeft w:val="640"/>
          <w:marRight w:val="0"/>
          <w:marTop w:val="0"/>
          <w:marBottom w:val="0"/>
          <w:divBdr>
            <w:top w:val="none" w:sz="0" w:space="0" w:color="auto"/>
            <w:left w:val="none" w:sz="0" w:space="0" w:color="auto"/>
            <w:bottom w:val="none" w:sz="0" w:space="0" w:color="auto"/>
            <w:right w:val="none" w:sz="0" w:space="0" w:color="auto"/>
          </w:divBdr>
        </w:div>
        <w:div w:id="764545080">
          <w:marLeft w:val="640"/>
          <w:marRight w:val="0"/>
          <w:marTop w:val="0"/>
          <w:marBottom w:val="0"/>
          <w:divBdr>
            <w:top w:val="none" w:sz="0" w:space="0" w:color="auto"/>
            <w:left w:val="none" w:sz="0" w:space="0" w:color="auto"/>
            <w:bottom w:val="none" w:sz="0" w:space="0" w:color="auto"/>
            <w:right w:val="none" w:sz="0" w:space="0" w:color="auto"/>
          </w:divBdr>
        </w:div>
        <w:div w:id="1312371480">
          <w:marLeft w:val="640"/>
          <w:marRight w:val="0"/>
          <w:marTop w:val="0"/>
          <w:marBottom w:val="0"/>
          <w:divBdr>
            <w:top w:val="none" w:sz="0" w:space="0" w:color="auto"/>
            <w:left w:val="none" w:sz="0" w:space="0" w:color="auto"/>
            <w:bottom w:val="none" w:sz="0" w:space="0" w:color="auto"/>
            <w:right w:val="none" w:sz="0" w:space="0" w:color="auto"/>
          </w:divBdr>
        </w:div>
        <w:div w:id="1186821036">
          <w:marLeft w:val="640"/>
          <w:marRight w:val="0"/>
          <w:marTop w:val="0"/>
          <w:marBottom w:val="0"/>
          <w:divBdr>
            <w:top w:val="none" w:sz="0" w:space="0" w:color="auto"/>
            <w:left w:val="none" w:sz="0" w:space="0" w:color="auto"/>
            <w:bottom w:val="none" w:sz="0" w:space="0" w:color="auto"/>
            <w:right w:val="none" w:sz="0" w:space="0" w:color="auto"/>
          </w:divBdr>
        </w:div>
        <w:div w:id="1137065937">
          <w:marLeft w:val="640"/>
          <w:marRight w:val="0"/>
          <w:marTop w:val="0"/>
          <w:marBottom w:val="0"/>
          <w:divBdr>
            <w:top w:val="none" w:sz="0" w:space="0" w:color="auto"/>
            <w:left w:val="none" w:sz="0" w:space="0" w:color="auto"/>
            <w:bottom w:val="none" w:sz="0" w:space="0" w:color="auto"/>
            <w:right w:val="none" w:sz="0" w:space="0" w:color="auto"/>
          </w:divBdr>
        </w:div>
        <w:div w:id="1406224506">
          <w:marLeft w:val="640"/>
          <w:marRight w:val="0"/>
          <w:marTop w:val="0"/>
          <w:marBottom w:val="0"/>
          <w:divBdr>
            <w:top w:val="none" w:sz="0" w:space="0" w:color="auto"/>
            <w:left w:val="none" w:sz="0" w:space="0" w:color="auto"/>
            <w:bottom w:val="none" w:sz="0" w:space="0" w:color="auto"/>
            <w:right w:val="none" w:sz="0" w:space="0" w:color="auto"/>
          </w:divBdr>
        </w:div>
        <w:div w:id="12155204">
          <w:marLeft w:val="640"/>
          <w:marRight w:val="0"/>
          <w:marTop w:val="0"/>
          <w:marBottom w:val="0"/>
          <w:divBdr>
            <w:top w:val="none" w:sz="0" w:space="0" w:color="auto"/>
            <w:left w:val="none" w:sz="0" w:space="0" w:color="auto"/>
            <w:bottom w:val="none" w:sz="0" w:space="0" w:color="auto"/>
            <w:right w:val="none" w:sz="0" w:space="0" w:color="auto"/>
          </w:divBdr>
        </w:div>
        <w:div w:id="1656565308">
          <w:marLeft w:val="640"/>
          <w:marRight w:val="0"/>
          <w:marTop w:val="0"/>
          <w:marBottom w:val="0"/>
          <w:divBdr>
            <w:top w:val="none" w:sz="0" w:space="0" w:color="auto"/>
            <w:left w:val="none" w:sz="0" w:space="0" w:color="auto"/>
            <w:bottom w:val="none" w:sz="0" w:space="0" w:color="auto"/>
            <w:right w:val="none" w:sz="0" w:space="0" w:color="auto"/>
          </w:divBdr>
        </w:div>
        <w:div w:id="930554098">
          <w:marLeft w:val="640"/>
          <w:marRight w:val="0"/>
          <w:marTop w:val="0"/>
          <w:marBottom w:val="0"/>
          <w:divBdr>
            <w:top w:val="none" w:sz="0" w:space="0" w:color="auto"/>
            <w:left w:val="none" w:sz="0" w:space="0" w:color="auto"/>
            <w:bottom w:val="none" w:sz="0" w:space="0" w:color="auto"/>
            <w:right w:val="none" w:sz="0" w:space="0" w:color="auto"/>
          </w:divBdr>
        </w:div>
        <w:div w:id="67197034">
          <w:marLeft w:val="640"/>
          <w:marRight w:val="0"/>
          <w:marTop w:val="0"/>
          <w:marBottom w:val="0"/>
          <w:divBdr>
            <w:top w:val="none" w:sz="0" w:space="0" w:color="auto"/>
            <w:left w:val="none" w:sz="0" w:space="0" w:color="auto"/>
            <w:bottom w:val="none" w:sz="0" w:space="0" w:color="auto"/>
            <w:right w:val="none" w:sz="0" w:space="0" w:color="auto"/>
          </w:divBdr>
        </w:div>
        <w:div w:id="68885609">
          <w:marLeft w:val="640"/>
          <w:marRight w:val="0"/>
          <w:marTop w:val="0"/>
          <w:marBottom w:val="0"/>
          <w:divBdr>
            <w:top w:val="none" w:sz="0" w:space="0" w:color="auto"/>
            <w:left w:val="none" w:sz="0" w:space="0" w:color="auto"/>
            <w:bottom w:val="none" w:sz="0" w:space="0" w:color="auto"/>
            <w:right w:val="none" w:sz="0" w:space="0" w:color="auto"/>
          </w:divBdr>
        </w:div>
        <w:div w:id="1918896750">
          <w:marLeft w:val="640"/>
          <w:marRight w:val="0"/>
          <w:marTop w:val="0"/>
          <w:marBottom w:val="0"/>
          <w:divBdr>
            <w:top w:val="none" w:sz="0" w:space="0" w:color="auto"/>
            <w:left w:val="none" w:sz="0" w:space="0" w:color="auto"/>
            <w:bottom w:val="none" w:sz="0" w:space="0" w:color="auto"/>
            <w:right w:val="none" w:sz="0" w:space="0" w:color="auto"/>
          </w:divBdr>
        </w:div>
        <w:div w:id="680593746">
          <w:marLeft w:val="640"/>
          <w:marRight w:val="0"/>
          <w:marTop w:val="0"/>
          <w:marBottom w:val="0"/>
          <w:divBdr>
            <w:top w:val="none" w:sz="0" w:space="0" w:color="auto"/>
            <w:left w:val="none" w:sz="0" w:space="0" w:color="auto"/>
            <w:bottom w:val="none" w:sz="0" w:space="0" w:color="auto"/>
            <w:right w:val="none" w:sz="0" w:space="0" w:color="auto"/>
          </w:divBdr>
        </w:div>
        <w:div w:id="117532458">
          <w:marLeft w:val="640"/>
          <w:marRight w:val="0"/>
          <w:marTop w:val="0"/>
          <w:marBottom w:val="0"/>
          <w:divBdr>
            <w:top w:val="none" w:sz="0" w:space="0" w:color="auto"/>
            <w:left w:val="none" w:sz="0" w:space="0" w:color="auto"/>
            <w:bottom w:val="none" w:sz="0" w:space="0" w:color="auto"/>
            <w:right w:val="none" w:sz="0" w:space="0" w:color="auto"/>
          </w:divBdr>
        </w:div>
        <w:div w:id="1740904827">
          <w:marLeft w:val="640"/>
          <w:marRight w:val="0"/>
          <w:marTop w:val="0"/>
          <w:marBottom w:val="0"/>
          <w:divBdr>
            <w:top w:val="none" w:sz="0" w:space="0" w:color="auto"/>
            <w:left w:val="none" w:sz="0" w:space="0" w:color="auto"/>
            <w:bottom w:val="none" w:sz="0" w:space="0" w:color="auto"/>
            <w:right w:val="none" w:sz="0" w:space="0" w:color="auto"/>
          </w:divBdr>
        </w:div>
        <w:div w:id="525951131">
          <w:marLeft w:val="640"/>
          <w:marRight w:val="0"/>
          <w:marTop w:val="0"/>
          <w:marBottom w:val="0"/>
          <w:divBdr>
            <w:top w:val="none" w:sz="0" w:space="0" w:color="auto"/>
            <w:left w:val="none" w:sz="0" w:space="0" w:color="auto"/>
            <w:bottom w:val="none" w:sz="0" w:space="0" w:color="auto"/>
            <w:right w:val="none" w:sz="0" w:space="0" w:color="auto"/>
          </w:divBdr>
        </w:div>
        <w:div w:id="825704491">
          <w:marLeft w:val="640"/>
          <w:marRight w:val="0"/>
          <w:marTop w:val="0"/>
          <w:marBottom w:val="0"/>
          <w:divBdr>
            <w:top w:val="none" w:sz="0" w:space="0" w:color="auto"/>
            <w:left w:val="none" w:sz="0" w:space="0" w:color="auto"/>
            <w:bottom w:val="none" w:sz="0" w:space="0" w:color="auto"/>
            <w:right w:val="none" w:sz="0" w:space="0" w:color="auto"/>
          </w:divBdr>
        </w:div>
        <w:div w:id="1104809231">
          <w:marLeft w:val="640"/>
          <w:marRight w:val="0"/>
          <w:marTop w:val="0"/>
          <w:marBottom w:val="0"/>
          <w:divBdr>
            <w:top w:val="none" w:sz="0" w:space="0" w:color="auto"/>
            <w:left w:val="none" w:sz="0" w:space="0" w:color="auto"/>
            <w:bottom w:val="none" w:sz="0" w:space="0" w:color="auto"/>
            <w:right w:val="none" w:sz="0" w:space="0" w:color="auto"/>
          </w:divBdr>
        </w:div>
        <w:div w:id="2145542613">
          <w:marLeft w:val="640"/>
          <w:marRight w:val="0"/>
          <w:marTop w:val="0"/>
          <w:marBottom w:val="0"/>
          <w:divBdr>
            <w:top w:val="none" w:sz="0" w:space="0" w:color="auto"/>
            <w:left w:val="none" w:sz="0" w:space="0" w:color="auto"/>
            <w:bottom w:val="none" w:sz="0" w:space="0" w:color="auto"/>
            <w:right w:val="none" w:sz="0" w:space="0" w:color="auto"/>
          </w:divBdr>
        </w:div>
        <w:div w:id="1083910882">
          <w:marLeft w:val="640"/>
          <w:marRight w:val="0"/>
          <w:marTop w:val="0"/>
          <w:marBottom w:val="0"/>
          <w:divBdr>
            <w:top w:val="none" w:sz="0" w:space="0" w:color="auto"/>
            <w:left w:val="none" w:sz="0" w:space="0" w:color="auto"/>
            <w:bottom w:val="none" w:sz="0" w:space="0" w:color="auto"/>
            <w:right w:val="none" w:sz="0" w:space="0" w:color="auto"/>
          </w:divBdr>
        </w:div>
        <w:div w:id="695812265">
          <w:marLeft w:val="640"/>
          <w:marRight w:val="0"/>
          <w:marTop w:val="0"/>
          <w:marBottom w:val="0"/>
          <w:divBdr>
            <w:top w:val="none" w:sz="0" w:space="0" w:color="auto"/>
            <w:left w:val="none" w:sz="0" w:space="0" w:color="auto"/>
            <w:bottom w:val="none" w:sz="0" w:space="0" w:color="auto"/>
            <w:right w:val="none" w:sz="0" w:space="0" w:color="auto"/>
          </w:divBdr>
        </w:div>
        <w:div w:id="675376969">
          <w:marLeft w:val="640"/>
          <w:marRight w:val="0"/>
          <w:marTop w:val="0"/>
          <w:marBottom w:val="0"/>
          <w:divBdr>
            <w:top w:val="none" w:sz="0" w:space="0" w:color="auto"/>
            <w:left w:val="none" w:sz="0" w:space="0" w:color="auto"/>
            <w:bottom w:val="none" w:sz="0" w:space="0" w:color="auto"/>
            <w:right w:val="none" w:sz="0" w:space="0" w:color="auto"/>
          </w:divBdr>
        </w:div>
        <w:div w:id="1688018677">
          <w:marLeft w:val="640"/>
          <w:marRight w:val="0"/>
          <w:marTop w:val="0"/>
          <w:marBottom w:val="0"/>
          <w:divBdr>
            <w:top w:val="none" w:sz="0" w:space="0" w:color="auto"/>
            <w:left w:val="none" w:sz="0" w:space="0" w:color="auto"/>
            <w:bottom w:val="none" w:sz="0" w:space="0" w:color="auto"/>
            <w:right w:val="none" w:sz="0" w:space="0" w:color="auto"/>
          </w:divBdr>
        </w:div>
        <w:div w:id="882248201">
          <w:marLeft w:val="640"/>
          <w:marRight w:val="0"/>
          <w:marTop w:val="0"/>
          <w:marBottom w:val="0"/>
          <w:divBdr>
            <w:top w:val="none" w:sz="0" w:space="0" w:color="auto"/>
            <w:left w:val="none" w:sz="0" w:space="0" w:color="auto"/>
            <w:bottom w:val="none" w:sz="0" w:space="0" w:color="auto"/>
            <w:right w:val="none" w:sz="0" w:space="0" w:color="auto"/>
          </w:divBdr>
        </w:div>
        <w:div w:id="329219921">
          <w:marLeft w:val="640"/>
          <w:marRight w:val="0"/>
          <w:marTop w:val="0"/>
          <w:marBottom w:val="0"/>
          <w:divBdr>
            <w:top w:val="none" w:sz="0" w:space="0" w:color="auto"/>
            <w:left w:val="none" w:sz="0" w:space="0" w:color="auto"/>
            <w:bottom w:val="none" w:sz="0" w:space="0" w:color="auto"/>
            <w:right w:val="none" w:sz="0" w:space="0" w:color="auto"/>
          </w:divBdr>
        </w:div>
        <w:div w:id="1978562091">
          <w:marLeft w:val="640"/>
          <w:marRight w:val="0"/>
          <w:marTop w:val="0"/>
          <w:marBottom w:val="0"/>
          <w:divBdr>
            <w:top w:val="none" w:sz="0" w:space="0" w:color="auto"/>
            <w:left w:val="none" w:sz="0" w:space="0" w:color="auto"/>
            <w:bottom w:val="none" w:sz="0" w:space="0" w:color="auto"/>
            <w:right w:val="none" w:sz="0" w:space="0" w:color="auto"/>
          </w:divBdr>
        </w:div>
        <w:div w:id="1810396313">
          <w:marLeft w:val="640"/>
          <w:marRight w:val="0"/>
          <w:marTop w:val="0"/>
          <w:marBottom w:val="0"/>
          <w:divBdr>
            <w:top w:val="none" w:sz="0" w:space="0" w:color="auto"/>
            <w:left w:val="none" w:sz="0" w:space="0" w:color="auto"/>
            <w:bottom w:val="none" w:sz="0" w:space="0" w:color="auto"/>
            <w:right w:val="none" w:sz="0" w:space="0" w:color="auto"/>
          </w:divBdr>
        </w:div>
        <w:div w:id="914315733">
          <w:marLeft w:val="640"/>
          <w:marRight w:val="0"/>
          <w:marTop w:val="0"/>
          <w:marBottom w:val="0"/>
          <w:divBdr>
            <w:top w:val="none" w:sz="0" w:space="0" w:color="auto"/>
            <w:left w:val="none" w:sz="0" w:space="0" w:color="auto"/>
            <w:bottom w:val="none" w:sz="0" w:space="0" w:color="auto"/>
            <w:right w:val="none" w:sz="0" w:space="0" w:color="auto"/>
          </w:divBdr>
        </w:div>
        <w:div w:id="1447776601">
          <w:marLeft w:val="640"/>
          <w:marRight w:val="0"/>
          <w:marTop w:val="0"/>
          <w:marBottom w:val="0"/>
          <w:divBdr>
            <w:top w:val="none" w:sz="0" w:space="0" w:color="auto"/>
            <w:left w:val="none" w:sz="0" w:space="0" w:color="auto"/>
            <w:bottom w:val="none" w:sz="0" w:space="0" w:color="auto"/>
            <w:right w:val="none" w:sz="0" w:space="0" w:color="auto"/>
          </w:divBdr>
        </w:div>
        <w:div w:id="1753964347">
          <w:marLeft w:val="640"/>
          <w:marRight w:val="0"/>
          <w:marTop w:val="0"/>
          <w:marBottom w:val="0"/>
          <w:divBdr>
            <w:top w:val="none" w:sz="0" w:space="0" w:color="auto"/>
            <w:left w:val="none" w:sz="0" w:space="0" w:color="auto"/>
            <w:bottom w:val="none" w:sz="0" w:space="0" w:color="auto"/>
            <w:right w:val="none" w:sz="0" w:space="0" w:color="auto"/>
          </w:divBdr>
        </w:div>
        <w:div w:id="1899389672">
          <w:marLeft w:val="640"/>
          <w:marRight w:val="0"/>
          <w:marTop w:val="0"/>
          <w:marBottom w:val="0"/>
          <w:divBdr>
            <w:top w:val="none" w:sz="0" w:space="0" w:color="auto"/>
            <w:left w:val="none" w:sz="0" w:space="0" w:color="auto"/>
            <w:bottom w:val="none" w:sz="0" w:space="0" w:color="auto"/>
            <w:right w:val="none" w:sz="0" w:space="0" w:color="auto"/>
          </w:divBdr>
        </w:div>
        <w:div w:id="139932264">
          <w:marLeft w:val="640"/>
          <w:marRight w:val="0"/>
          <w:marTop w:val="0"/>
          <w:marBottom w:val="0"/>
          <w:divBdr>
            <w:top w:val="none" w:sz="0" w:space="0" w:color="auto"/>
            <w:left w:val="none" w:sz="0" w:space="0" w:color="auto"/>
            <w:bottom w:val="none" w:sz="0" w:space="0" w:color="auto"/>
            <w:right w:val="none" w:sz="0" w:space="0" w:color="auto"/>
          </w:divBdr>
        </w:div>
        <w:div w:id="1775128724">
          <w:marLeft w:val="640"/>
          <w:marRight w:val="0"/>
          <w:marTop w:val="0"/>
          <w:marBottom w:val="0"/>
          <w:divBdr>
            <w:top w:val="none" w:sz="0" w:space="0" w:color="auto"/>
            <w:left w:val="none" w:sz="0" w:space="0" w:color="auto"/>
            <w:bottom w:val="none" w:sz="0" w:space="0" w:color="auto"/>
            <w:right w:val="none" w:sz="0" w:space="0" w:color="auto"/>
          </w:divBdr>
        </w:div>
        <w:div w:id="1578321080">
          <w:marLeft w:val="640"/>
          <w:marRight w:val="0"/>
          <w:marTop w:val="0"/>
          <w:marBottom w:val="0"/>
          <w:divBdr>
            <w:top w:val="none" w:sz="0" w:space="0" w:color="auto"/>
            <w:left w:val="none" w:sz="0" w:space="0" w:color="auto"/>
            <w:bottom w:val="none" w:sz="0" w:space="0" w:color="auto"/>
            <w:right w:val="none" w:sz="0" w:space="0" w:color="auto"/>
          </w:divBdr>
        </w:div>
        <w:div w:id="1480918502">
          <w:marLeft w:val="640"/>
          <w:marRight w:val="0"/>
          <w:marTop w:val="0"/>
          <w:marBottom w:val="0"/>
          <w:divBdr>
            <w:top w:val="none" w:sz="0" w:space="0" w:color="auto"/>
            <w:left w:val="none" w:sz="0" w:space="0" w:color="auto"/>
            <w:bottom w:val="none" w:sz="0" w:space="0" w:color="auto"/>
            <w:right w:val="none" w:sz="0" w:space="0" w:color="auto"/>
          </w:divBdr>
        </w:div>
        <w:div w:id="1166170535">
          <w:marLeft w:val="640"/>
          <w:marRight w:val="0"/>
          <w:marTop w:val="0"/>
          <w:marBottom w:val="0"/>
          <w:divBdr>
            <w:top w:val="none" w:sz="0" w:space="0" w:color="auto"/>
            <w:left w:val="none" w:sz="0" w:space="0" w:color="auto"/>
            <w:bottom w:val="none" w:sz="0" w:space="0" w:color="auto"/>
            <w:right w:val="none" w:sz="0" w:space="0" w:color="auto"/>
          </w:divBdr>
        </w:div>
        <w:div w:id="1921139478">
          <w:marLeft w:val="640"/>
          <w:marRight w:val="0"/>
          <w:marTop w:val="0"/>
          <w:marBottom w:val="0"/>
          <w:divBdr>
            <w:top w:val="none" w:sz="0" w:space="0" w:color="auto"/>
            <w:left w:val="none" w:sz="0" w:space="0" w:color="auto"/>
            <w:bottom w:val="none" w:sz="0" w:space="0" w:color="auto"/>
            <w:right w:val="none" w:sz="0" w:space="0" w:color="auto"/>
          </w:divBdr>
        </w:div>
        <w:div w:id="867177835">
          <w:marLeft w:val="640"/>
          <w:marRight w:val="0"/>
          <w:marTop w:val="0"/>
          <w:marBottom w:val="0"/>
          <w:divBdr>
            <w:top w:val="none" w:sz="0" w:space="0" w:color="auto"/>
            <w:left w:val="none" w:sz="0" w:space="0" w:color="auto"/>
            <w:bottom w:val="none" w:sz="0" w:space="0" w:color="auto"/>
            <w:right w:val="none" w:sz="0" w:space="0" w:color="auto"/>
          </w:divBdr>
        </w:div>
        <w:div w:id="739450905">
          <w:marLeft w:val="640"/>
          <w:marRight w:val="0"/>
          <w:marTop w:val="0"/>
          <w:marBottom w:val="0"/>
          <w:divBdr>
            <w:top w:val="none" w:sz="0" w:space="0" w:color="auto"/>
            <w:left w:val="none" w:sz="0" w:space="0" w:color="auto"/>
            <w:bottom w:val="none" w:sz="0" w:space="0" w:color="auto"/>
            <w:right w:val="none" w:sz="0" w:space="0" w:color="auto"/>
          </w:divBdr>
        </w:div>
        <w:div w:id="1568301437">
          <w:marLeft w:val="640"/>
          <w:marRight w:val="0"/>
          <w:marTop w:val="0"/>
          <w:marBottom w:val="0"/>
          <w:divBdr>
            <w:top w:val="none" w:sz="0" w:space="0" w:color="auto"/>
            <w:left w:val="none" w:sz="0" w:space="0" w:color="auto"/>
            <w:bottom w:val="none" w:sz="0" w:space="0" w:color="auto"/>
            <w:right w:val="none" w:sz="0" w:space="0" w:color="auto"/>
          </w:divBdr>
        </w:div>
        <w:div w:id="728530780">
          <w:marLeft w:val="640"/>
          <w:marRight w:val="0"/>
          <w:marTop w:val="0"/>
          <w:marBottom w:val="0"/>
          <w:divBdr>
            <w:top w:val="none" w:sz="0" w:space="0" w:color="auto"/>
            <w:left w:val="none" w:sz="0" w:space="0" w:color="auto"/>
            <w:bottom w:val="none" w:sz="0" w:space="0" w:color="auto"/>
            <w:right w:val="none" w:sz="0" w:space="0" w:color="auto"/>
          </w:divBdr>
        </w:div>
        <w:div w:id="520781170">
          <w:marLeft w:val="640"/>
          <w:marRight w:val="0"/>
          <w:marTop w:val="0"/>
          <w:marBottom w:val="0"/>
          <w:divBdr>
            <w:top w:val="none" w:sz="0" w:space="0" w:color="auto"/>
            <w:left w:val="none" w:sz="0" w:space="0" w:color="auto"/>
            <w:bottom w:val="none" w:sz="0" w:space="0" w:color="auto"/>
            <w:right w:val="none" w:sz="0" w:space="0" w:color="auto"/>
          </w:divBdr>
        </w:div>
        <w:div w:id="590967808">
          <w:marLeft w:val="640"/>
          <w:marRight w:val="0"/>
          <w:marTop w:val="0"/>
          <w:marBottom w:val="0"/>
          <w:divBdr>
            <w:top w:val="none" w:sz="0" w:space="0" w:color="auto"/>
            <w:left w:val="none" w:sz="0" w:space="0" w:color="auto"/>
            <w:bottom w:val="none" w:sz="0" w:space="0" w:color="auto"/>
            <w:right w:val="none" w:sz="0" w:space="0" w:color="auto"/>
          </w:divBdr>
        </w:div>
        <w:div w:id="1158494337">
          <w:marLeft w:val="640"/>
          <w:marRight w:val="0"/>
          <w:marTop w:val="0"/>
          <w:marBottom w:val="0"/>
          <w:divBdr>
            <w:top w:val="none" w:sz="0" w:space="0" w:color="auto"/>
            <w:left w:val="none" w:sz="0" w:space="0" w:color="auto"/>
            <w:bottom w:val="none" w:sz="0" w:space="0" w:color="auto"/>
            <w:right w:val="none" w:sz="0" w:space="0" w:color="auto"/>
          </w:divBdr>
        </w:div>
        <w:div w:id="1175610477">
          <w:marLeft w:val="640"/>
          <w:marRight w:val="0"/>
          <w:marTop w:val="0"/>
          <w:marBottom w:val="0"/>
          <w:divBdr>
            <w:top w:val="none" w:sz="0" w:space="0" w:color="auto"/>
            <w:left w:val="none" w:sz="0" w:space="0" w:color="auto"/>
            <w:bottom w:val="none" w:sz="0" w:space="0" w:color="auto"/>
            <w:right w:val="none" w:sz="0" w:space="0" w:color="auto"/>
          </w:divBdr>
        </w:div>
        <w:div w:id="1518736513">
          <w:marLeft w:val="640"/>
          <w:marRight w:val="0"/>
          <w:marTop w:val="0"/>
          <w:marBottom w:val="0"/>
          <w:divBdr>
            <w:top w:val="none" w:sz="0" w:space="0" w:color="auto"/>
            <w:left w:val="none" w:sz="0" w:space="0" w:color="auto"/>
            <w:bottom w:val="none" w:sz="0" w:space="0" w:color="auto"/>
            <w:right w:val="none" w:sz="0" w:space="0" w:color="auto"/>
          </w:divBdr>
        </w:div>
        <w:div w:id="632713088">
          <w:marLeft w:val="640"/>
          <w:marRight w:val="0"/>
          <w:marTop w:val="0"/>
          <w:marBottom w:val="0"/>
          <w:divBdr>
            <w:top w:val="none" w:sz="0" w:space="0" w:color="auto"/>
            <w:left w:val="none" w:sz="0" w:space="0" w:color="auto"/>
            <w:bottom w:val="none" w:sz="0" w:space="0" w:color="auto"/>
            <w:right w:val="none" w:sz="0" w:space="0" w:color="auto"/>
          </w:divBdr>
        </w:div>
        <w:div w:id="888997450">
          <w:marLeft w:val="640"/>
          <w:marRight w:val="0"/>
          <w:marTop w:val="0"/>
          <w:marBottom w:val="0"/>
          <w:divBdr>
            <w:top w:val="none" w:sz="0" w:space="0" w:color="auto"/>
            <w:left w:val="none" w:sz="0" w:space="0" w:color="auto"/>
            <w:bottom w:val="none" w:sz="0" w:space="0" w:color="auto"/>
            <w:right w:val="none" w:sz="0" w:space="0" w:color="auto"/>
          </w:divBdr>
        </w:div>
        <w:div w:id="1507557247">
          <w:marLeft w:val="640"/>
          <w:marRight w:val="0"/>
          <w:marTop w:val="0"/>
          <w:marBottom w:val="0"/>
          <w:divBdr>
            <w:top w:val="none" w:sz="0" w:space="0" w:color="auto"/>
            <w:left w:val="none" w:sz="0" w:space="0" w:color="auto"/>
            <w:bottom w:val="none" w:sz="0" w:space="0" w:color="auto"/>
            <w:right w:val="none" w:sz="0" w:space="0" w:color="auto"/>
          </w:divBdr>
        </w:div>
        <w:div w:id="1565095506">
          <w:marLeft w:val="640"/>
          <w:marRight w:val="0"/>
          <w:marTop w:val="0"/>
          <w:marBottom w:val="0"/>
          <w:divBdr>
            <w:top w:val="none" w:sz="0" w:space="0" w:color="auto"/>
            <w:left w:val="none" w:sz="0" w:space="0" w:color="auto"/>
            <w:bottom w:val="none" w:sz="0" w:space="0" w:color="auto"/>
            <w:right w:val="none" w:sz="0" w:space="0" w:color="auto"/>
          </w:divBdr>
        </w:div>
        <w:div w:id="1223785712">
          <w:marLeft w:val="640"/>
          <w:marRight w:val="0"/>
          <w:marTop w:val="0"/>
          <w:marBottom w:val="0"/>
          <w:divBdr>
            <w:top w:val="none" w:sz="0" w:space="0" w:color="auto"/>
            <w:left w:val="none" w:sz="0" w:space="0" w:color="auto"/>
            <w:bottom w:val="none" w:sz="0" w:space="0" w:color="auto"/>
            <w:right w:val="none" w:sz="0" w:space="0" w:color="auto"/>
          </w:divBdr>
        </w:div>
        <w:div w:id="1124349247">
          <w:marLeft w:val="640"/>
          <w:marRight w:val="0"/>
          <w:marTop w:val="0"/>
          <w:marBottom w:val="0"/>
          <w:divBdr>
            <w:top w:val="none" w:sz="0" w:space="0" w:color="auto"/>
            <w:left w:val="none" w:sz="0" w:space="0" w:color="auto"/>
            <w:bottom w:val="none" w:sz="0" w:space="0" w:color="auto"/>
            <w:right w:val="none" w:sz="0" w:space="0" w:color="auto"/>
          </w:divBdr>
        </w:div>
        <w:div w:id="1042678893">
          <w:marLeft w:val="640"/>
          <w:marRight w:val="0"/>
          <w:marTop w:val="0"/>
          <w:marBottom w:val="0"/>
          <w:divBdr>
            <w:top w:val="none" w:sz="0" w:space="0" w:color="auto"/>
            <w:left w:val="none" w:sz="0" w:space="0" w:color="auto"/>
            <w:bottom w:val="none" w:sz="0" w:space="0" w:color="auto"/>
            <w:right w:val="none" w:sz="0" w:space="0" w:color="auto"/>
          </w:divBdr>
        </w:div>
        <w:div w:id="1447847917">
          <w:marLeft w:val="640"/>
          <w:marRight w:val="0"/>
          <w:marTop w:val="0"/>
          <w:marBottom w:val="0"/>
          <w:divBdr>
            <w:top w:val="none" w:sz="0" w:space="0" w:color="auto"/>
            <w:left w:val="none" w:sz="0" w:space="0" w:color="auto"/>
            <w:bottom w:val="none" w:sz="0" w:space="0" w:color="auto"/>
            <w:right w:val="none" w:sz="0" w:space="0" w:color="auto"/>
          </w:divBdr>
        </w:div>
        <w:div w:id="394277744">
          <w:marLeft w:val="640"/>
          <w:marRight w:val="0"/>
          <w:marTop w:val="0"/>
          <w:marBottom w:val="0"/>
          <w:divBdr>
            <w:top w:val="none" w:sz="0" w:space="0" w:color="auto"/>
            <w:left w:val="none" w:sz="0" w:space="0" w:color="auto"/>
            <w:bottom w:val="none" w:sz="0" w:space="0" w:color="auto"/>
            <w:right w:val="none" w:sz="0" w:space="0" w:color="auto"/>
          </w:divBdr>
        </w:div>
        <w:div w:id="1543706417">
          <w:marLeft w:val="640"/>
          <w:marRight w:val="0"/>
          <w:marTop w:val="0"/>
          <w:marBottom w:val="0"/>
          <w:divBdr>
            <w:top w:val="none" w:sz="0" w:space="0" w:color="auto"/>
            <w:left w:val="none" w:sz="0" w:space="0" w:color="auto"/>
            <w:bottom w:val="none" w:sz="0" w:space="0" w:color="auto"/>
            <w:right w:val="none" w:sz="0" w:space="0" w:color="auto"/>
          </w:divBdr>
        </w:div>
        <w:div w:id="780492256">
          <w:marLeft w:val="640"/>
          <w:marRight w:val="0"/>
          <w:marTop w:val="0"/>
          <w:marBottom w:val="0"/>
          <w:divBdr>
            <w:top w:val="none" w:sz="0" w:space="0" w:color="auto"/>
            <w:left w:val="none" w:sz="0" w:space="0" w:color="auto"/>
            <w:bottom w:val="none" w:sz="0" w:space="0" w:color="auto"/>
            <w:right w:val="none" w:sz="0" w:space="0" w:color="auto"/>
          </w:divBdr>
        </w:div>
        <w:div w:id="2017491150">
          <w:marLeft w:val="640"/>
          <w:marRight w:val="0"/>
          <w:marTop w:val="0"/>
          <w:marBottom w:val="0"/>
          <w:divBdr>
            <w:top w:val="none" w:sz="0" w:space="0" w:color="auto"/>
            <w:left w:val="none" w:sz="0" w:space="0" w:color="auto"/>
            <w:bottom w:val="none" w:sz="0" w:space="0" w:color="auto"/>
            <w:right w:val="none" w:sz="0" w:space="0" w:color="auto"/>
          </w:divBdr>
        </w:div>
        <w:div w:id="300700009">
          <w:marLeft w:val="640"/>
          <w:marRight w:val="0"/>
          <w:marTop w:val="0"/>
          <w:marBottom w:val="0"/>
          <w:divBdr>
            <w:top w:val="none" w:sz="0" w:space="0" w:color="auto"/>
            <w:left w:val="none" w:sz="0" w:space="0" w:color="auto"/>
            <w:bottom w:val="none" w:sz="0" w:space="0" w:color="auto"/>
            <w:right w:val="none" w:sz="0" w:space="0" w:color="auto"/>
          </w:divBdr>
        </w:div>
        <w:div w:id="1219050665">
          <w:marLeft w:val="640"/>
          <w:marRight w:val="0"/>
          <w:marTop w:val="0"/>
          <w:marBottom w:val="0"/>
          <w:divBdr>
            <w:top w:val="none" w:sz="0" w:space="0" w:color="auto"/>
            <w:left w:val="none" w:sz="0" w:space="0" w:color="auto"/>
            <w:bottom w:val="none" w:sz="0" w:space="0" w:color="auto"/>
            <w:right w:val="none" w:sz="0" w:space="0" w:color="auto"/>
          </w:divBdr>
        </w:div>
        <w:div w:id="1113016493">
          <w:marLeft w:val="640"/>
          <w:marRight w:val="0"/>
          <w:marTop w:val="0"/>
          <w:marBottom w:val="0"/>
          <w:divBdr>
            <w:top w:val="none" w:sz="0" w:space="0" w:color="auto"/>
            <w:left w:val="none" w:sz="0" w:space="0" w:color="auto"/>
            <w:bottom w:val="none" w:sz="0" w:space="0" w:color="auto"/>
            <w:right w:val="none" w:sz="0" w:space="0" w:color="auto"/>
          </w:divBdr>
        </w:div>
        <w:div w:id="1035741261">
          <w:marLeft w:val="640"/>
          <w:marRight w:val="0"/>
          <w:marTop w:val="0"/>
          <w:marBottom w:val="0"/>
          <w:divBdr>
            <w:top w:val="none" w:sz="0" w:space="0" w:color="auto"/>
            <w:left w:val="none" w:sz="0" w:space="0" w:color="auto"/>
            <w:bottom w:val="none" w:sz="0" w:space="0" w:color="auto"/>
            <w:right w:val="none" w:sz="0" w:space="0" w:color="auto"/>
          </w:divBdr>
        </w:div>
        <w:div w:id="913049171">
          <w:marLeft w:val="640"/>
          <w:marRight w:val="0"/>
          <w:marTop w:val="0"/>
          <w:marBottom w:val="0"/>
          <w:divBdr>
            <w:top w:val="none" w:sz="0" w:space="0" w:color="auto"/>
            <w:left w:val="none" w:sz="0" w:space="0" w:color="auto"/>
            <w:bottom w:val="none" w:sz="0" w:space="0" w:color="auto"/>
            <w:right w:val="none" w:sz="0" w:space="0" w:color="auto"/>
          </w:divBdr>
        </w:div>
        <w:div w:id="889927577">
          <w:marLeft w:val="640"/>
          <w:marRight w:val="0"/>
          <w:marTop w:val="0"/>
          <w:marBottom w:val="0"/>
          <w:divBdr>
            <w:top w:val="none" w:sz="0" w:space="0" w:color="auto"/>
            <w:left w:val="none" w:sz="0" w:space="0" w:color="auto"/>
            <w:bottom w:val="none" w:sz="0" w:space="0" w:color="auto"/>
            <w:right w:val="none" w:sz="0" w:space="0" w:color="auto"/>
          </w:divBdr>
        </w:div>
        <w:div w:id="1895383838">
          <w:marLeft w:val="640"/>
          <w:marRight w:val="0"/>
          <w:marTop w:val="0"/>
          <w:marBottom w:val="0"/>
          <w:divBdr>
            <w:top w:val="none" w:sz="0" w:space="0" w:color="auto"/>
            <w:left w:val="none" w:sz="0" w:space="0" w:color="auto"/>
            <w:bottom w:val="none" w:sz="0" w:space="0" w:color="auto"/>
            <w:right w:val="none" w:sz="0" w:space="0" w:color="auto"/>
          </w:divBdr>
        </w:div>
        <w:div w:id="1756824805">
          <w:marLeft w:val="640"/>
          <w:marRight w:val="0"/>
          <w:marTop w:val="0"/>
          <w:marBottom w:val="0"/>
          <w:divBdr>
            <w:top w:val="none" w:sz="0" w:space="0" w:color="auto"/>
            <w:left w:val="none" w:sz="0" w:space="0" w:color="auto"/>
            <w:bottom w:val="none" w:sz="0" w:space="0" w:color="auto"/>
            <w:right w:val="none" w:sz="0" w:space="0" w:color="auto"/>
          </w:divBdr>
        </w:div>
        <w:div w:id="1041982603">
          <w:marLeft w:val="640"/>
          <w:marRight w:val="0"/>
          <w:marTop w:val="0"/>
          <w:marBottom w:val="0"/>
          <w:divBdr>
            <w:top w:val="none" w:sz="0" w:space="0" w:color="auto"/>
            <w:left w:val="none" w:sz="0" w:space="0" w:color="auto"/>
            <w:bottom w:val="none" w:sz="0" w:space="0" w:color="auto"/>
            <w:right w:val="none" w:sz="0" w:space="0" w:color="auto"/>
          </w:divBdr>
        </w:div>
        <w:div w:id="1024283206">
          <w:marLeft w:val="640"/>
          <w:marRight w:val="0"/>
          <w:marTop w:val="0"/>
          <w:marBottom w:val="0"/>
          <w:divBdr>
            <w:top w:val="none" w:sz="0" w:space="0" w:color="auto"/>
            <w:left w:val="none" w:sz="0" w:space="0" w:color="auto"/>
            <w:bottom w:val="none" w:sz="0" w:space="0" w:color="auto"/>
            <w:right w:val="none" w:sz="0" w:space="0" w:color="auto"/>
          </w:divBdr>
        </w:div>
        <w:div w:id="1462915211">
          <w:marLeft w:val="640"/>
          <w:marRight w:val="0"/>
          <w:marTop w:val="0"/>
          <w:marBottom w:val="0"/>
          <w:divBdr>
            <w:top w:val="none" w:sz="0" w:space="0" w:color="auto"/>
            <w:left w:val="none" w:sz="0" w:space="0" w:color="auto"/>
            <w:bottom w:val="none" w:sz="0" w:space="0" w:color="auto"/>
            <w:right w:val="none" w:sz="0" w:space="0" w:color="auto"/>
          </w:divBdr>
        </w:div>
        <w:div w:id="306975063">
          <w:marLeft w:val="640"/>
          <w:marRight w:val="0"/>
          <w:marTop w:val="0"/>
          <w:marBottom w:val="0"/>
          <w:divBdr>
            <w:top w:val="none" w:sz="0" w:space="0" w:color="auto"/>
            <w:left w:val="none" w:sz="0" w:space="0" w:color="auto"/>
            <w:bottom w:val="none" w:sz="0" w:space="0" w:color="auto"/>
            <w:right w:val="none" w:sz="0" w:space="0" w:color="auto"/>
          </w:divBdr>
        </w:div>
        <w:div w:id="1334449650">
          <w:marLeft w:val="640"/>
          <w:marRight w:val="0"/>
          <w:marTop w:val="0"/>
          <w:marBottom w:val="0"/>
          <w:divBdr>
            <w:top w:val="none" w:sz="0" w:space="0" w:color="auto"/>
            <w:left w:val="none" w:sz="0" w:space="0" w:color="auto"/>
            <w:bottom w:val="none" w:sz="0" w:space="0" w:color="auto"/>
            <w:right w:val="none" w:sz="0" w:space="0" w:color="auto"/>
          </w:divBdr>
        </w:div>
        <w:div w:id="1627732982">
          <w:marLeft w:val="640"/>
          <w:marRight w:val="0"/>
          <w:marTop w:val="0"/>
          <w:marBottom w:val="0"/>
          <w:divBdr>
            <w:top w:val="none" w:sz="0" w:space="0" w:color="auto"/>
            <w:left w:val="none" w:sz="0" w:space="0" w:color="auto"/>
            <w:bottom w:val="none" w:sz="0" w:space="0" w:color="auto"/>
            <w:right w:val="none" w:sz="0" w:space="0" w:color="auto"/>
          </w:divBdr>
        </w:div>
        <w:div w:id="1943415976">
          <w:marLeft w:val="640"/>
          <w:marRight w:val="0"/>
          <w:marTop w:val="0"/>
          <w:marBottom w:val="0"/>
          <w:divBdr>
            <w:top w:val="none" w:sz="0" w:space="0" w:color="auto"/>
            <w:left w:val="none" w:sz="0" w:space="0" w:color="auto"/>
            <w:bottom w:val="none" w:sz="0" w:space="0" w:color="auto"/>
            <w:right w:val="none" w:sz="0" w:space="0" w:color="auto"/>
          </w:divBdr>
        </w:div>
        <w:div w:id="1055619888">
          <w:marLeft w:val="640"/>
          <w:marRight w:val="0"/>
          <w:marTop w:val="0"/>
          <w:marBottom w:val="0"/>
          <w:divBdr>
            <w:top w:val="none" w:sz="0" w:space="0" w:color="auto"/>
            <w:left w:val="none" w:sz="0" w:space="0" w:color="auto"/>
            <w:bottom w:val="none" w:sz="0" w:space="0" w:color="auto"/>
            <w:right w:val="none" w:sz="0" w:space="0" w:color="auto"/>
          </w:divBdr>
        </w:div>
        <w:div w:id="126707551">
          <w:marLeft w:val="640"/>
          <w:marRight w:val="0"/>
          <w:marTop w:val="0"/>
          <w:marBottom w:val="0"/>
          <w:divBdr>
            <w:top w:val="none" w:sz="0" w:space="0" w:color="auto"/>
            <w:left w:val="none" w:sz="0" w:space="0" w:color="auto"/>
            <w:bottom w:val="none" w:sz="0" w:space="0" w:color="auto"/>
            <w:right w:val="none" w:sz="0" w:space="0" w:color="auto"/>
          </w:divBdr>
        </w:div>
        <w:div w:id="1467772496">
          <w:marLeft w:val="640"/>
          <w:marRight w:val="0"/>
          <w:marTop w:val="0"/>
          <w:marBottom w:val="0"/>
          <w:divBdr>
            <w:top w:val="none" w:sz="0" w:space="0" w:color="auto"/>
            <w:left w:val="none" w:sz="0" w:space="0" w:color="auto"/>
            <w:bottom w:val="none" w:sz="0" w:space="0" w:color="auto"/>
            <w:right w:val="none" w:sz="0" w:space="0" w:color="auto"/>
          </w:divBdr>
        </w:div>
        <w:div w:id="219170264">
          <w:marLeft w:val="640"/>
          <w:marRight w:val="0"/>
          <w:marTop w:val="0"/>
          <w:marBottom w:val="0"/>
          <w:divBdr>
            <w:top w:val="none" w:sz="0" w:space="0" w:color="auto"/>
            <w:left w:val="none" w:sz="0" w:space="0" w:color="auto"/>
            <w:bottom w:val="none" w:sz="0" w:space="0" w:color="auto"/>
            <w:right w:val="none" w:sz="0" w:space="0" w:color="auto"/>
          </w:divBdr>
        </w:div>
        <w:div w:id="493187665">
          <w:marLeft w:val="640"/>
          <w:marRight w:val="0"/>
          <w:marTop w:val="0"/>
          <w:marBottom w:val="0"/>
          <w:divBdr>
            <w:top w:val="none" w:sz="0" w:space="0" w:color="auto"/>
            <w:left w:val="none" w:sz="0" w:space="0" w:color="auto"/>
            <w:bottom w:val="none" w:sz="0" w:space="0" w:color="auto"/>
            <w:right w:val="none" w:sz="0" w:space="0" w:color="auto"/>
          </w:divBdr>
        </w:div>
        <w:div w:id="851601340">
          <w:marLeft w:val="640"/>
          <w:marRight w:val="0"/>
          <w:marTop w:val="0"/>
          <w:marBottom w:val="0"/>
          <w:divBdr>
            <w:top w:val="none" w:sz="0" w:space="0" w:color="auto"/>
            <w:left w:val="none" w:sz="0" w:space="0" w:color="auto"/>
            <w:bottom w:val="none" w:sz="0" w:space="0" w:color="auto"/>
            <w:right w:val="none" w:sz="0" w:space="0" w:color="auto"/>
          </w:divBdr>
        </w:div>
        <w:div w:id="1127164720">
          <w:marLeft w:val="640"/>
          <w:marRight w:val="0"/>
          <w:marTop w:val="0"/>
          <w:marBottom w:val="0"/>
          <w:divBdr>
            <w:top w:val="none" w:sz="0" w:space="0" w:color="auto"/>
            <w:left w:val="none" w:sz="0" w:space="0" w:color="auto"/>
            <w:bottom w:val="none" w:sz="0" w:space="0" w:color="auto"/>
            <w:right w:val="none" w:sz="0" w:space="0" w:color="auto"/>
          </w:divBdr>
        </w:div>
        <w:div w:id="1562405884">
          <w:marLeft w:val="640"/>
          <w:marRight w:val="0"/>
          <w:marTop w:val="0"/>
          <w:marBottom w:val="0"/>
          <w:divBdr>
            <w:top w:val="none" w:sz="0" w:space="0" w:color="auto"/>
            <w:left w:val="none" w:sz="0" w:space="0" w:color="auto"/>
            <w:bottom w:val="none" w:sz="0" w:space="0" w:color="auto"/>
            <w:right w:val="none" w:sz="0" w:space="0" w:color="auto"/>
          </w:divBdr>
        </w:div>
        <w:div w:id="1200246435">
          <w:marLeft w:val="640"/>
          <w:marRight w:val="0"/>
          <w:marTop w:val="0"/>
          <w:marBottom w:val="0"/>
          <w:divBdr>
            <w:top w:val="none" w:sz="0" w:space="0" w:color="auto"/>
            <w:left w:val="none" w:sz="0" w:space="0" w:color="auto"/>
            <w:bottom w:val="none" w:sz="0" w:space="0" w:color="auto"/>
            <w:right w:val="none" w:sz="0" w:space="0" w:color="auto"/>
          </w:divBdr>
        </w:div>
        <w:div w:id="1549610166">
          <w:marLeft w:val="640"/>
          <w:marRight w:val="0"/>
          <w:marTop w:val="0"/>
          <w:marBottom w:val="0"/>
          <w:divBdr>
            <w:top w:val="none" w:sz="0" w:space="0" w:color="auto"/>
            <w:left w:val="none" w:sz="0" w:space="0" w:color="auto"/>
            <w:bottom w:val="none" w:sz="0" w:space="0" w:color="auto"/>
            <w:right w:val="none" w:sz="0" w:space="0" w:color="auto"/>
          </w:divBdr>
        </w:div>
        <w:div w:id="1481771287">
          <w:marLeft w:val="640"/>
          <w:marRight w:val="0"/>
          <w:marTop w:val="0"/>
          <w:marBottom w:val="0"/>
          <w:divBdr>
            <w:top w:val="none" w:sz="0" w:space="0" w:color="auto"/>
            <w:left w:val="none" w:sz="0" w:space="0" w:color="auto"/>
            <w:bottom w:val="none" w:sz="0" w:space="0" w:color="auto"/>
            <w:right w:val="none" w:sz="0" w:space="0" w:color="auto"/>
          </w:divBdr>
        </w:div>
        <w:div w:id="1033195712">
          <w:marLeft w:val="640"/>
          <w:marRight w:val="0"/>
          <w:marTop w:val="0"/>
          <w:marBottom w:val="0"/>
          <w:divBdr>
            <w:top w:val="none" w:sz="0" w:space="0" w:color="auto"/>
            <w:left w:val="none" w:sz="0" w:space="0" w:color="auto"/>
            <w:bottom w:val="none" w:sz="0" w:space="0" w:color="auto"/>
            <w:right w:val="none" w:sz="0" w:space="0" w:color="auto"/>
          </w:divBdr>
        </w:div>
        <w:div w:id="1875537578">
          <w:marLeft w:val="640"/>
          <w:marRight w:val="0"/>
          <w:marTop w:val="0"/>
          <w:marBottom w:val="0"/>
          <w:divBdr>
            <w:top w:val="none" w:sz="0" w:space="0" w:color="auto"/>
            <w:left w:val="none" w:sz="0" w:space="0" w:color="auto"/>
            <w:bottom w:val="none" w:sz="0" w:space="0" w:color="auto"/>
            <w:right w:val="none" w:sz="0" w:space="0" w:color="auto"/>
          </w:divBdr>
        </w:div>
        <w:div w:id="410346613">
          <w:marLeft w:val="640"/>
          <w:marRight w:val="0"/>
          <w:marTop w:val="0"/>
          <w:marBottom w:val="0"/>
          <w:divBdr>
            <w:top w:val="none" w:sz="0" w:space="0" w:color="auto"/>
            <w:left w:val="none" w:sz="0" w:space="0" w:color="auto"/>
            <w:bottom w:val="none" w:sz="0" w:space="0" w:color="auto"/>
            <w:right w:val="none" w:sz="0" w:space="0" w:color="auto"/>
          </w:divBdr>
        </w:div>
        <w:div w:id="234781134">
          <w:marLeft w:val="640"/>
          <w:marRight w:val="0"/>
          <w:marTop w:val="0"/>
          <w:marBottom w:val="0"/>
          <w:divBdr>
            <w:top w:val="none" w:sz="0" w:space="0" w:color="auto"/>
            <w:left w:val="none" w:sz="0" w:space="0" w:color="auto"/>
            <w:bottom w:val="none" w:sz="0" w:space="0" w:color="auto"/>
            <w:right w:val="none" w:sz="0" w:space="0" w:color="auto"/>
          </w:divBdr>
        </w:div>
        <w:div w:id="133987384">
          <w:marLeft w:val="640"/>
          <w:marRight w:val="0"/>
          <w:marTop w:val="0"/>
          <w:marBottom w:val="0"/>
          <w:divBdr>
            <w:top w:val="none" w:sz="0" w:space="0" w:color="auto"/>
            <w:left w:val="none" w:sz="0" w:space="0" w:color="auto"/>
            <w:bottom w:val="none" w:sz="0" w:space="0" w:color="auto"/>
            <w:right w:val="none" w:sz="0" w:space="0" w:color="auto"/>
          </w:divBdr>
        </w:div>
        <w:div w:id="274945747">
          <w:marLeft w:val="640"/>
          <w:marRight w:val="0"/>
          <w:marTop w:val="0"/>
          <w:marBottom w:val="0"/>
          <w:divBdr>
            <w:top w:val="none" w:sz="0" w:space="0" w:color="auto"/>
            <w:left w:val="none" w:sz="0" w:space="0" w:color="auto"/>
            <w:bottom w:val="none" w:sz="0" w:space="0" w:color="auto"/>
            <w:right w:val="none" w:sz="0" w:space="0" w:color="auto"/>
          </w:divBdr>
        </w:div>
        <w:div w:id="140923158">
          <w:marLeft w:val="640"/>
          <w:marRight w:val="0"/>
          <w:marTop w:val="0"/>
          <w:marBottom w:val="0"/>
          <w:divBdr>
            <w:top w:val="none" w:sz="0" w:space="0" w:color="auto"/>
            <w:left w:val="none" w:sz="0" w:space="0" w:color="auto"/>
            <w:bottom w:val="none" w:sz="0" w:space="0" w:color="auto"/>
            <w:right w:val="none" w:sz="0" w:space="0" w:color="auto"/>
          </w:divBdr>
        </w:div>
        <w:div w:id="1802379971">
          <w:marLeft w:val="640"/>
          <w:marRight w:val="0"/>
          <w:marTop w:val="0"/>
          <w:marBottom w:val="0"/>
          <w:divBdr>
            <w:top w:val="none" w:sz="0" w:space="0" w:color="auto"/>
            <w:left w:val="none" w:sz="0" w:space="0" w:color="auto"/>
            <w:bottom w:val="none" w:sz="0" w:space="0" w:color="auto"/>
            <w:right w:val="none" w:sz="0" w:space="0" w:color="auto"/>
          </w:divBdr>
        </w:div>
        <w:div w:id="731657751">
          <w:marLeft w:val="640"/>
          <w:marRight w:val="0"/>
          <w:marTop w:val="0"/>
          <w:marBottom w:val="0"/>
          <w:divBdr>
            <w:top w:val="none" w:sz="0" w:space="0" w:color="auto"/>
            <w:left w:val="none" w:sz="0" w:space="0" w:color="auto"/>
            <w:bottom w:val="none" w:sz="0" w:space="0" w:color="auto"/>
            <w:right w:val="none" w:sz="0" w:space="0" w:color="auto"/>
          </w:divBdr>
        </w:div>
        <w:div w:id="639962491">
          <w:marLeft w:val="640"/>
          <w:marRight w:val="0"/>
          <w:marTop w:val="0"/>
          <w:marBottom w:val="0"/>
          <w:divBdr>
            <w:top w:val="none" w:sz="0" w:space="0" w:color="auto"/>
            <w:left w:val="none" w:sz="0" w:space="0" w:color="auto"/>
            <w:bottom w:val="none" w:sz="0" w:space="0" w:color="auto"/>
            <w:right w:val="none" w:sz="0" w:space="0" w:color="auto"/>
          </w:divBdr>
        </w:div>
        <w:div w:id="897130558">
          <w:marLeft w:val="640"/>
          <w:marRight w:val="0"/>
          <w:marTop w:val="0"/>
          <w:marBottom w:val="0"/>
          <w:divBdr>
            <w:top w:val="none" w:sz="0" w:space="0" w:color="auto"/>
            <w:left w:val="none" w:sz="0" w:space="0" w:color="auto"/>
            <w:bottom w:val="none" w:sz="0" w:space="0" w:color="auto"/>
            <w:right w:val="none" w:sz="0" w:space="0" w:color="auto"/>
          </w:divBdr>
        </w:div>
        <w:div w:id="2129397814">
          <w:marLeft w:val="640"/>
          <w:marRight w:val="0"/>
          <w:marTop w:val="0"/>
          <w:marBottom w:val="0"/>
          <w:divBdr>
            <w:top w:val="none" w:sz="0" w:space="0" w:color="auto"/>
            <w:left w:val="none" w:sz="0" w:space="0" w:color="auto"/>
            <w:bottom w:val="none" w:sz="0" w:space="0" w:color="auto"/>
            <w:right w:val="none" w:sz="0" w:space="0" w:color="auto"/>
          </w:divBdr>
        </w:div>
        <w:div w:id="80222344">
          <w:marLeft w:val="640"/>
          <w:marRight w:val="0"/>
          <w:marTop w:val="0"/>
          <w:marBottom w:val="0"/>
          <w:divBdr>
            <w:top w:val="none" w:sz="0" w:space="0" w:color="auto"/>
            <w:left w:val="none" w:sz="0" w:space="0" w:color="auto"/>
            <w:bottom w:val="none" w:sz="0" w:space="0" w:color="auto"/>
            <w:right w:val="none" w:sz="0" w:space="0" w:color="auto"/>
          </w:divBdr>
        </w:div>
        <w:div w:id="949356550">
          <w:marLeft w:val="640"/>
          <w:marRight w:val="0"/>
          <w:marTop w:val="0"/>
          <w:marBottom w:val="0"/>
          <w:divBdr>
            <w:top w:val="none" w:sz="0" w:space="0" w:color="auto"/>
            <w:left w:val="none" w:sz="0" w:space="0" w:color="auto"/>
            <w:bottom w:val="none" w:sz="0" w:space="0" w:color="auto"/>
            <w:right w:val="none" w:sz="0" w:space="0" w:color="auto"/>
          </w:divBdr>
        </w:div>
        <w:div w:id="1311402419">
          <w:marLeft w:val="640"/>
          <w:marRight w:val="0"/>
          <w:marTop w:val="0"/>
          <w:marBottom w:val="0"/>
          <w:divBdr>
            <w:top w:val="none" w:sz="0" w:space="0" w:color="auto"/>
            <w:left w:val="none" w:sz="0" w:space="0" w:color="auto"/>
            <w:bottom w:val="none" w:sz="0" w:space="0" w:color="auto"/>
            <w:right w:val="none" w:sz="0" w:space="0" w:color="auto"/>
          </w:divBdr>
        </w:div>
        <w:div w:id="315106516">
          <w:marLeft w:val="640"/>
          <w:marRight w:val="0"/>
          <w:marTop w:val="0"/>
          <w:marBottom w:val="0"/>
          <w:divBdr>
            <w:top w:val="none" w:sz="0" w:space="0" w:color="auto"/>
            <w:left w:val="none" w:sz="0" w:space="0" w:color="auto"/>
            <w:bottom w:val="none" w:sz="0" w:space="0" w:color="auto"/>
            <w:right w:val="none" w:sz="0" w:space="0" w:color="auto"/>
          </w:divBdr>
        </w:div>
        <w:div w:id="2087603726">
          <w:marLeft w:val="640"/>
          <w:marRight w:val="0"/>
          <w:marTop w:val="0"/>
          <w:marBottom w:val="0"/>
          <w:divBdr>
            <w:top w:val="none" w:sz="0" w:space="0" w:color="auto"/>
            <w:left w:val="none" w:sz="0" w:space="0" w:color="auto"/>
            <w:bottom w:val="none" w:sz="0" w:space="0" w:color="auto"/>
            <w:right w:val="none" w:sz="0" w:space="0" w:color="auto"/>
          </w:divBdr>
        </w:div>
        <w:div w:id="54472366">
          <w:marLeft w:val="640"/>
          <w:marRight w:val="0"/>
          <w:marTop w:val="0"/>
          <w:marBottom w:val="0"/>
          <w:divBdr>
            <w:top w:val="none" w:sz="0" w:space="0" w:color="auto"/>
            <w:left w:val="none" w:sz="0" w:space="0" w:color="auto"/>
            <w:bottom w:val="none" w:sz="0" w:space="0" w:color="auto"/>
            <w:right w:val="none" w:sz="0" w:space="0" w:color="auto"/>
          </w:divBdr>
        </w:div>
        <w:div w:id="1514955833">
          <w:marLeft w:val="640"/>
          <w:marRight w:val="0"/>
          <w:marTop w:val="0"/>
          <w:marBottom w:val="0"/>
          <w:divBdr>
            <w:top w:val="none" w:sz="0" w:space="0" w:color="auto"/>
            <w:left w:val="none" w:sz="0" w:space="0" w:color="auto"/>
            <w:bottom w:val="none" w:sz="0" w:space="0" w:color="auto"/>
            <w:right w:val="none" w:sz="0" w:space="0" w:color="auto"/>
          </w:divBdr>
        </w:div>
        <w:div w:id="2137286969">
          <w:marLeft w:val="640"/>
          <w:marRight w:val="0"/>
          <w:marTop w:val="0"/>
          <w:marBottom w:val="0"/>
          <w:divBdr>
            <w:top w:val="none" w:sz="0" w:space="0" w:color="auto"/>
            <w:left w:val="none" w:sz="0" w:space="0" w:color="auto"/>
            <w:bottom w:val="none" w:sz="0" w:space="0" w:color="auto"/>
            <w:right w:val="none" w:sz="0" w:space="0" w:color="auto"/>
          </w:divBdr>
        </w:div>
        <w:div w:id="1411923057">
          <w:marLeft w:val="640"/>
          <w:marRight w:val="0"/>
          <w:marTop w:val="0"/>
          <w:marBottom w:val="0"/>
          <w:divBdr>
            <w:top w:val="none" w:sz="0" w:space="0" w:color="auto"/>
            <w:left w:val="none" w:sz="0" w:space="0" w:color="auto"/>
            <w:bottom w:val="none" w:sz="0" w:space="0" w:color="auto"/>
            <w:right w:val="none" w:sz="0" w:space="0" w:color="auto"/>
          </w:divBdr>
        </w:div>
        <w:div w:id="1270553864">
          <w:marLeft w:val="640"/>
          <w:marRight w:val="0"/>
          <w:marTop w:val="0"/>
          <w:marBottom w:val="0"/>
          <w:divBdr>
            <w:top w:val="none" w:sz="0" w:space="0" w:color="auto"/>
            <w:left w:val="none" w:sz="0" w:space="0" w:color="auto"/>
            <w:bottom w:val="none" w:sz="0" w:space="0" w:color="auto"/>
            <w:right w:val="none" w:sz="0" w:space="0" w:color="auto"/>
          </w:divBdr>
        </w:div>
        <w:div w:id="1062371154">
          <w:marLeft w:val="640"/>
          <w:marRight w:val="0"/>
          <w:marTop w:val="0"/>
          <w:marBottom w:val="0"/>
          <w:divBdr>
            <w:top w:val="none" w:sz="0" w:space="0" w:color="auto"/>
            <w:left w:val="none" w:sz="0" w:space="0" w:color="auto"/>
            <w:bottom w:val="none" w:sz="0" w:space="0" w:color="auto"/>
            <w:right w:val="none" w:sz="0" w:space="0" w:color="auto"/>
          </w:divBdr>
        </w:div>
        <w:div w:id="687759557">
          <w:marLeft w:val="640"/>
          <w:marRight w:val="0"/>
          <w:marTop w:val="0"/>
          <w:marBottom w:val="0"/>
          <w:divBdr>
            <w:top w:val="none" w:sz="0" w:space="0" w:color="auto"/>
            <w:left w:val="none" w:sz="0" w:space="0" w:color="auto"/>
            <w:bottom w:val="none" w:sz="0" w:space="0" w:color="auto"/>
            <w:right w:val="none" w:sz="0" w:space="0" w:color="auto"/>
          </w:divBdr>
        </w:div>
        <w:div w:id="361901566">
          <w:marLeft w:val="640"/>
          <w:marRight w:val="0"/>
          <w:marTop w:val="0"/>
          <w:marBottom w:val="0"/>
          <w:divBdr>
            <w:top w:val="none" w:sz="0" w:space="0" w:color="auto"/>
            <w:left w:val="none" w:sz="0" w:space="0" w:color="auto"/>
            <w:bottom w:val="none" w:sz="0" w:space="0" w:color="auto"/>
            <w:right w:val="none" w:sz="0" w:space="0" w:color="auto"/>
          </w:divBdr>
        </w:div>
        <w:div w:id="226036699">
          <w:marLeft w:val="640"/>
          <w:marRight w:val="0"/>
          <w:marTop w:val="0"/>
          <w:marBottom w:val="0"/>
          <w:divBdr>
            <w:top w:val="none" w:sz="0" w:space="0" w:color="auto"/>
            <w:left w:val="none" w:sz="0" w:space="0" w:color="auto"/>
            <w:bottom w:val="none" w:sz="0" w:space="0" w:color="auto"/>
            <w:right w:val="none" w:sz="0" w:space="0" w:color="auto"/>
          </w:divBdr>
        </w:div>
        <w:div w:id="1627659164">
          <w:marLeft w:val="640"/>
          <w:marRight w:val="0"/>
          <w:marTop w:val="0"/>
          <w:marBottom w:val="0"/>
          <w:divBdr>
            <w:top w:val="none" w:sz="0" w:space="0" w:color="auto"/>
            <w:left w:val="none" w:sz="0" w:space="0" w:color="auto"/>
            <w:bottom w:val="none" w:sz="0" w:space="0" w:color="auto"/>
            <w:right w:val="none" w:sz="0" w:space="0" w:color="auto"/>
          </w:divBdr>
        </w:div>
        <w:div w:id="1088113516">
          <w:marLeft w:val="640"/>
          <w:marRight w:val="0"/>
          <w:marTop w:val="0"/>
          <w:marBottom w:val="0"/>
          <w:divBdr>
            <w:top w:val="none" w:sz="0" w:space="0" w:color="auto"/>
            <w:left w:val="none" w:sz="0" w:space="0" w:color="auto"/>
            <w:bottom w:val="none" w:sz="0" w:space="0" w:color="auto"/>
            <w:right w:val="none" w:sz="0" w:space="0" w:color="auto"/>
          </w:divBdr>
        </w:div>
        <w:div w:id="133723983">
          <w:marLeft w:val="640"/>
          <w:marRight w:val="0"/>
          <w:marTop w:val="0"/>
          <w:marBottom w:val="0"/>
          <w:divBdr>
            <w:top w:val="none" w:sz="0" w:space="0" w:color="auto"/>
            <w:left w:val="none" w:sz="0" w:space="0" w:color="auto"/>
            <w:bottom w:val="none" w:sz="0" w:space="0" w:color="auto"/>
            <w:right w:val="none" w:sz="0" w:space="0" w:color="auto"/>
          </w:divBdr>
        </w:div>
        <w:div w:id="838429268">
          <w:marLeft w:val="640"/>
          <w:marRight w:val="0"/>
          <w:marTop w:val="0"/>
          <w:marBottom w:val="0"/>
          <w:divBdr>
            <w:top w:val="none" w:sz="0" w:space="0" w:color="auto"/>
            <w:left w:val="none" w:sz="0" w:space="0" w:color="auto"/>
            <w:bottom w:val="none" w:sz="0" w:space="0" w:color="auto"/>
            <w:right w:val="none" w:sz="0" w:space="0" w:color="auto"/>
          </w:divBdr>
        </w:div>
        <w:div w:id="923489159">
          <w:marLeft w:val="640"/>
          <w:marRight w:val="0"/>
          <w:marTop w:val="0"/>
          <w:marBottom w:val="0"/>
          <w:divBdr>
            <w:top w:val="none" w:sz="0" w:space="0" w:color="auto"/>
            <w:left w:val="none" w:sz="0" w:space="0" w:color="auto"/>
            <w:bottom w:val="none" w:sz="0" w:space="0" w:color="auto"/>
            <w:right w:val="none" w:sz="0" w:space="0" w:color="auto"/>
          </w:divBdr>
        </w:div>
        <w:div w:id="302320084">
          <w:marLeft w:val="640"/>
          <w:marRight w:val="0"/>
          <w:marTop w:val="0"/>
          <w:marBottom w:val="0"/>
          <w:divBdr>
            <w:top w:val="none" w:sz="0" w:space="0" w:color="auto"/>
            <w:left w:val="none" w:sz="0" w:space="0" w:color="auto"/>
            <w:bottom w:val="none" w:sz="0" w:space="0" w:color="auto"/>
            <w:right w:val="none" w:sz="0" w:space="0" w:color="auto"/>
          </w:divBdr>
        </w:div>
        <w:div w:id="408235856">
          <w:marLeft w:val="640"/>
          <w:marRight w:val="0"/>
          <w:marTop w:val="0"/>
          <w:marBottom w:val="0"/>
          <w:divBdr>
            <w:top w:val="none" w:sz="0" w:space="0" w:color="auto"/>
            <w:left w:val="none" w:sz="0" w:space="0" w:color="auto"/>
            <w:bottom w:val="none" w:sz="0" w:space="0" w:color="auto"/>
            <w:right w:val="none" w:sz="0" w:space="0" w:color="auto"/>
          </w:divBdr>
        </w:div>
        <w:div w:id="447043722">
          <w:marLeft w:val="640"/>
          <w:marRight w:val="0"/>
          <w:marTop w:val="0"/>
          <w:marBottom w:val="0"/>
          <w:divBdr>
            <w:top w:val="none" w:sz="0" w:space="0" w:color="auto"/>
            <w:left w:val="none" w:sz="0" w:space="0" w:color="auto"/>
            <w:bottom w:val="none" w:sz="0" w:space="0" w:color="auto"/>
            <w:right w:val="none" w:sz="0" w:space="0" w:color="auto"/>
          </w:divBdr>
        </w:div>
        <w:div w:id="1090156123">
          <w:marLeft w:val="640"/>
          <w:marRight w:val="0"/>
          <w:marTop w:val="0"/>
          <w:marBottom w:val="0"/>
          <w:divBdr>
            <w:top w:val="none" w:sz="0" w:space="0" w:color="auto"/>
            <w:left w:val="none" w:sz="0" w:space="0" w:color="auto"/>
            <w:bottom w:val="none" w:sz="0" w:space="0" w:color="auto"/>
            <w:right w:val="none" w:sz="0" w:space="0" w:color="auto"/>
          </w:divBdr>
        </w:div>
        <w:div w:id="841048143">
          <w:marLeft w:val="640"/>
          <w:marRight w:val="0"/>
          <w:marTop w:val="0"/>
          <w:marBottom w:val="0"/>
          <w:divBdr>
            <w:top w:val="none" w:sz="0" w:space="0" w:color="auto"/>
            <w:left w:val="none" w:sz="0" w:space="0" w:color="auto"/>
            <w:bottom w:val="none" w:sz="0" w:space="0" w:color="auto"/>
            <w:right w:val="none" w:sz="0" w:space="0" w:color="auto"/>
          </w:divBdr>
        </w:div>
        <w:div w:id="1497304186">
          <w:marLeft w:val="640"/>
          <w:marRight w:val="0"/>
          <w:marTop w:val="0"/>
          <w:marBottom w:val="0"/>
          <w:divBdr>
            <w:top w:val="none" w:sz="0" w:space="0" w:color="auto"/>
            <w:left w:val="none" w:sz="0" w:space="0" w:color="auto"/>
            <w:bottom w:val="none" w:sz="0" w:space="0" w:color="auto"/>
            <w:right w:val="none" w:sz="0" w:space="0" w:color="auto"/>
          </w:divBdr>
        </w:div>
        <w:div w:id="1123620282">
          <w:marLeft w:val="640"/>
          <w:marRight w:val="0"/>
          <w:marTop w:val="0"/>
          <w:marBottom w:val="0"/>
          <w:divBdr>
            <w:top w:val="none" w:sz="0" w:space="0" w:color="auto"/>
            <w:left w:val="none" w:sz="0" w:space="0" w:color="auto"/>
            <w:bottom w:val="none" w:sz="0" w:space="0" w:color="auto"/>
            <w:right w:val="none" w:sz="0" w:space="0" w:color="auto"/>
          </w:divBdr>
        </w:div>
        <w:div w:id="109977345">
          <w:marLeft w:val="640"/>
          <w:marRight w:val="0"/>
          <w:marTop w:val="0"/>
          <w:marBottom w:val="0"/>
          <w:divBdr>
            <w:top w:val="none" w:sz="0" w:space="0" w:color="auto"/>
            <w:left w:val="none" w:sz="0" w:space="0" w:color="auto"/>
            <w:bottom w:val="none" w:sz="0" w:space="0" w:color="auto"/>
            <w:right w:val="none" w:sz="0" w:space="0" w:color="auto"/>
          </w:divBdr>
        </w:div>
        <w:div w:id="1825201719">
          <w:marLeft w:val="640"/>
          <w:marRight w:val="0"/>
          <w:marTop w:val="0"/>
          <w:marBottom w:val="0"/>
          <w:divBdr>
            <w:top w:val="none" w:sz="0" w:space="0" w:color="auto"/>
            <w:left w:val="none" w:sz="0" w:space="0" w:color="auto"/>
            <w:bottom w:val="none" w:sz="0" w:space="0" w:color="auto"/>
            <w:right w:val="none" w:sz="0" w:space="0" w:color="auto"/>
          </w:divBdr>
        </w:div>
        <w:div w:id="207686128">
          <w:marLeft w:val="640"/>
          <w:marRight w:val="0"/>
          <w:marTop w:val="0"/>
          <w:marBottom w:val="0"/>
          <w:divBdr>
            <w:top w:val="none" w:sz="0" w:space="0" w:color="auto"/>
            <w:left w:val="none" w:sz="0" w:space="0" w:color="auto"/>
            <w:bottom w:val="none" w:sz="0" w:space="0" w:color="auto"/>
            <w:right w:val="none" w:sz="0" w:space="0" w:color="auto"/>
          </w:divBdr>
        </w:div>
        <w:div w:id="1433168149">
          <w:marLeft w:val="640"/>
          <w:marRight w:val="0"/>
          <w:marTop w:val="0"/>
          <w:marBottom w:val="0"/>
          <w:divBdr>
            <w:top w:val="none" w:sz="0" w:space="0" w:color="auto"/>
            <w:left w:val="none" w:sz="0" w:space="0" w:color="auto"/>
            <w:bottom w:val="none" w:sz="0" w:space="0" w:color="auto"/>
            <w:right w:val="none" w:sz="0" w:space="0" w:color="auto"/>
          </w:divBdr>
        </w:div>
        <w:div w:id="2137285633">
          <w:marLeft w:val="640"/>
          <w:marRight w:val="0"/>
          <w:marTop w:val="0"/>
          <w:marBottom w:val="0"/>
          <w:divBdr>
            <w:top w:val="none" w:sz="0" w:space="0" w:color="auto"/>
            <w:left w:val="none" w:sz="0" w:space="0" w:color="auto"/>
            <w:bottom w:val="none" w:sz="0" w:space="0" w:color="auto"/>
            <w:right w:val="none" w:sz="0" w:space="0" w:color="auto"/>
          </w:divBdr>
        </w:div>
        <w:div w:id="513033882">
          <w:marLeft w:val="640"/>
          <w:marRight w:val="0"/>
          <w:marTop w:val="0"/>
          <w:marBottom w:val="0"/>
          <w:divBdr>
            <w:top w:val="none" w:sz="0" w:space="0" w:color="auto"/>
            <w:left w:val="none" w:sz="0" w:space="0" w:color="auto"/>
            <w:bottom w:val="none" w:sz="0" w:space="0" w:color="auto"/>
            <w:right w:val="none" w:sz="0" w:space="0" w:color="auto"/>
          </w:divBdr>
        </w:div>
        <w:div w:id="394933106">
          <w:marLeft w:val="640"/>
          <w:marRight w:val="0"/>
          <w:marTop w:val="0"/>
          <w:marBottom w:val="0"/>
          <w:divBdr>
            <w:top w:val="none" w:sz="0" w:space="0" w:color="auto"/>
            <w:left w:val="none" w:sz="0" w:space="0" w:color="auto"/>
            <w:bottom w:val="none" w:sz="0" w:space="0" w:color="auto"/>
            <w:right w:val="none" w:sz="0" w:space="0" w:color="auto"/>
          </w:divBdr>
        </w:div>
        <w:div w:id="1182552530">
          <w:marLeft w:val="640"/>
          <w:marRight w:val="0"/>
          <w:marTop w:val="0"/>
          <w:marBottom w:val="0"/>
          <w:divBdr>
            <w:top w:val="none" w:sz="0" w:space="0" w:color="auto"/>
            <w:left w:val="none" w:sz="0" w:space="0" w:color="auto"/>
            <w:bottom w:val="none" w:sz="0" w:space="0" w:color="auto"/>
            <w:right w:val="none" w:sz="0" w:space="0" w:color="auto"/>
          </w:divBdr>
        </w:div>
        <w:div w:id="2046176151">
          <w:marLeft w:val="640"/>
          <w:marRight w:val="0"/>
          <w:marTop w:val="0"/>
          <w:marBottom w:val="0"/>
          <w:divBdr>
            <w:top w:val="none" w:sz="0" w:space="0" w:color="auto"/>
            <w:left w:val="none" w:sz="0" w:space="0" w:color="auto"/>
            <w:bottom w:val="none" w:sz="0" w:space="0" w:color="auto"/>
            <w:right w:val="none" w:sz="0" w:space="0" w:color="auto"/>
          </w:divBdr>
        </w:div>
        <w:div w:id="1599824273">
          <w:marLeft w:val="640"/>
          <w:marRight w:val="0"/>
          <w:marTop w:val="0"/>
          <w:marBottom w:val="0"/>
          <w:divBdr>
            <w:top w:val="none" w:sz="0" w:space="0" w:color="auto"/>
            <w:left w:val="none" w:sz="0" w:space="0" w:color="auto"/>
            <w:bottom w:val="none" w:sz="0" w:space="0" w:color="auto"/>
            <w:right w:val="none" w:sz="0" w:space="0" w:color="auto"/>
          </w:divBdr>
        </w:div>
        <w:div w:id="792870525">
          <w:marLeft w:val="640"/>
          <w:marRight w:val="0"/>
          <w:marTop w:val="0"/>
          <w:marBottom w:val="0"/>
          <w:divBdr>
            <w:top w:val="none" w:sz="0" w:space="0" w:color="auto"/>
            <w:left w:val="none" w:sz="0" w:space="0" w:color="auto"/>
            <w:bottom w:val="none" w:sz="0" w:space="0" w:color="auto"/>
            <w:right w:val="none" w:sz="0" w:space="0" w:color="auto"/>
          </w:divBdr>
        </w:div>
        <w:div w:id="1675255519">
          <w:marLeft w:val="640"/>
          <w:marRight w:val="0"/>
          <w:marTop w:val="0"/>
          <w:marBottom w:val="0"/>
          <w:divBdr>
            <w:top w:val="none" w:sz="0" w:space="0" w:color="auto"/>
            <w:left w:val="none" w:sz="0" w:space="0" w:color="auto"/>
            <w:bottom w:val="none" w:sz="0" w:space="0" w:color="auto"/>
            <w:right w:val="none" w:sz="0" w:space="0" w:color="auto"/>
          </w:divBdr>
        </w:div>
        <w:div w:id="1071851530">
          <w:marLeft w:val="640"/>
          <w:marRight w:val="0"/>
          <w:marTop w:val="0"/>
          <w:marBottom w:val="0"/>
          <w:divBdr>
            <w:top w:val="none" w:sz="0" w:space="0" w:color="auto"/>
            <w:left w:val="none" w:sz="0" w:space="0" w:color="auto"/>
            <w:bottom w:val="none" w:sz="0" w:space="0" w:color="auto"/>
            <w:right w:val="none" w:sz="0" w:space="0" w:color="auto"/>
          </w:divBdr>
        </w:div>
        <w:div w:id="741754760">
          <w:marLeft w:val="640"/>
          <w:marRight w:val="0"/>
          <w:marTop w:val="0"/>
          <w:marBottom w:val="0"/>
          <w:divBdr>
            <w:top w:val="none" w:sz="0" w:space="0" w:color="auto"/>
            <w:left w:val="none" w:sz="0" w:space="0" w:color="auto"/>
            <w:bottom w:val="none" w:sz="0" w:space="0" w:color="auto"/>
            <w:right w:val="none" w:sz="0" w:space="0" w:color="auto"/>
          </w:divBdr>
        </w:div>
        <w:div w:id="1386490244">
          <w:marLeft w:val="640"/>
          <w:marRight w:val="0"/>
          <w:marTop w:val="0"/>
          <w:marBottom w:val="0"/>
          <w:divBdr>
            <w:top w:val="none" w:sz="0" w:space="0" w:color="auto"/>
            <w:left w:val="none" w:sz="0" w:space="0" w:color="auto"/>
            <w:bottom w:val="none" w:sz="0" w:space="0" w:color="auto"/>
            <w:right w:val="none" w:sz="0" w:space="0" w:color="auto"/>
          </w:divBdr>
        </w:div>
        <w:div w:id="1297300111">
          <w:marLeft w:val="640"/>
          <w:marRight w:val="0"/>
          <w:marTop w:val="0"/>
          <w:marBottom w:val="0"/>
          <w:divBdr>
            <w:top w:val="none" w:sz="0" w:space="0" w:color="auto"/>
            <w:left w:val="none" w:sz="0" w:space="0" w:color="auto"/>
            <w:bottom w:val="none" w:sz="0" w:space="0" w:color="auto"/>
            <w:right w:val="none" w:sz="0" w:space="0" w:color="auto"/>
          </w:divBdr>
        </w:div>
        <w:div w:id="685785943">
          <w:marLeft w:val="640"/>
          <w:marRight w:val="0"/>
          <w:marTop w:val="0"/>
          <w:marBottom w:val="0"/>
          <w:divBdr>
            <w:top w:val="none" w:sz="0" w:space="0" w:color="auto"/>
            <w:left w:val="none" w:sz="0" w:space="0" w:color="auto"/>
            <w:bottom w:val="none" w:sz="0" w:space="0" w:color="auto"/>
            <w:right w:val="none" w:sz="0" w:space="0" w:color="auto"/>
          </w:divBdr>
        </w:div>
        <w:div w:id="2046558752">
          <w:marLeft w:val="640"/>
          <w:marRight w:val="0"/>
          <w:marTop w:val="0"/>
          <w:marBottom w:val="0"/>
          <w:divBdr>
            <w:top w:val="none" w:sz="0" w:space="0" w:color="auto"/>
            <w:left w:val="none" w:sz="0" w:space="0" w:color="auto"/>
            <w:bottom w:val="none" w:sz="0" w:space="0" w:color="auto"/>
            <w:right w:val="none" w:sz="0" w:space="0" w:color="auto"/>
          </w:divBdr>
        </w:div>
        <w:div w:id="384453264">
          <w:marLeft w:val="640"/>
          <w:marRight w:val="0"/>
          <w:marTop w:val="0"/>
          <w:marBottom w:val="0"/>
          <w:divBdr>
            <w:top w:val="none" w:sz="0" w:space="0" w:color="auto"/>
            <w:left w:val="none" w:sz="0" w:space="0" w:color="auto"/>
            <w:bottom w:val="none" w:sz="0" w:space="0" w:color="auto"/>
            <w:right w:val="none" w:sz="0" w:space="0" w:color="auto"/>
          </w:divBdr>
        </w:div>
        <w:div w:id="556936590">
          <w:marLeft w:val="640"/>
          <w:marRight w:val="0"/>
          <w:marTop w:val="0"/>
          <w:marBottom w:val="0"/>
          <w:divBdr>
            <w:top w:val="none" w:sz="0" w:space="0" w:color="auto"/>
            <w:left w:val="none" w:sz="0" w:space="0" w:color="auto"/>
            <w:bottom w:val="none" w:sz="0" w:space="0" w:color="auto"/>
            <w:right w:val="none" w:sz="0" w:space="0" w:color="auto"/>
          </w:divBdr>
        </w:div>
        <w:div w:id="665061195">
          <w:marLeft w:val="640"/>
          <w:marRight w:val="0"/>
          <w:marTop w:val="0"/>
          <w:marBottom w:val="0"/>
          <w:divBdr>
            <w:top w:val="none" w:sz="0" w:space="0" w:color="auto"/>
            <w:left w:val="none" w:sz="0" w:space="0" w:color="auto"/>
            <w:bottom w:val="none" w:sz="0" w:space="0" w:color="auto"/>
            <w:right w:val="none" w:sz="0" w:space="0" w:color="auto"/>
          </w:divBdr>
        </w:div>
        <w:div w:id="1700273661">
          <w:marLeft w:val="640"/>
          <w:marRight w:val="0"/>
          <w:marTop w:val="0"/>
          <w:marBottom w:val="0"/>
          <w:divBdr>
            <w:top w:val="none" w:sz="0" w:space="0" w:color="auto"/>
            <w:left w:val="none" w:sz="0" w:space="0" w:color="auto"/>
            <w:bottom w:val="none" w:sz="0" w:space="0" w:color="auto"/>
            <w:right w:val="none" w:sz="0" w:space="0" w:color="auto"/>
          </w:divBdr>
        </w:div>
        <w:div w:id="2084403075">
          <w:marLeft w:val="640"/>
          <w:marRight w:val="0"/>
          <w:marTop w:val="0"/>
          <w:marBottom w:val="0"/>
          <w:divBdr>
            <w:top w:val="none" w:sz="0" w:space="0" w:color="auto"/>
            <w:left w:val="none" w:sz="0" w:space="0" w:color="auto"/>
            <w:bottom w:val="none" w:sz="0" w:space="0" w:color="auto"/>
            <w:right w:val="none" w:sz="0" w:space="0" w:color="auto"/>
          </w:divBdr>
        </w:div>
        <w:div w:id="2062172002">
          <w:marLeft w:val="640"/>
          <w:marRight w:val="0"/>
          <w:marTop w:val="0"/>
          <w:marBottom w:val="0"/>
          <w:divBdr>
            <w:top w:val="none" w:sz="0" w:space="0" w:color="auto"/>
            <w:left w:val="none" w:sz="0" w:space="0" w:color="auto"/>
            <w:bottom w:val="none" w:sz="0" w:space="0" w:color="auto"/>
            <w:right w:val="none" w:sz="0" w:space="0" w:color="auto"/>
          </w:divBdr>
        </w:div>
        <w:div w:id="469976851">
          <w:marLeft w:val="640"/>
          <w:marRight w:val="0"/>
          <w:marTop w:val="0"/>
          <w:marBottom w:val="0"/>
          <w:divBdr>
            <w:top w:val="none" w:sz="0" w:space="0" w:color="auto"/>
            <w:left w:val="none" w:sz="0" w:space="0" w:color="auto"/>
            <w:bottom w:val="none" w:sz="0" w:space="0" w:color="auto"/>
            <w:right w:val="none" w:sz="0" w:space="0" w:color="auto"/>
          </w:divBdr>
        </w:div>
        <w:div w:id="976224827">
          <w:marLeft w:val="640"/>
          <w:marRight w:val="0"/>
          <w:marTop w:val="0"/>
          <w:marBottom w:val="0"/>
          <w:divBdr>
            <w:top w:val="none" w:sz="0" w:space="0" w:color="auto"/>
            <w:left w:val="none" w:sz="0" w:space="0" w:color="auto"/>
            <w:bottom w:val="none" w:sz="0" w:space="0" w:color="auto"/>
            <w:right w:val="none" w:sz="0" w:space="0" w:color="auto"/>
          </w:divBdr>
        </w:div>
        <w:div w:id="565532930">
          <w:marLeft w:val="640"/>
          <w:marRight w:val="0"/>
          <w:marTop w:val="0"/>
          <w:marBottom w:val="0"/>
          <w:divBdr>
            <w:top w:val="none" w:sz="0" w:space="0" w:color="auto"/>
            <w:left w:val="none" w:sz="0" w:space="0" w:color="auto"/>
            <w:bottom w:val="none" w:sz="0" w:space="0" w:color="auto"/>
            <w:right w:val="none" w:sz="0" w:space="0" w:color="auto"/>
          </w:divBdr>
        </w:div>
        <w:div w:id="948900646">
          <w:marLeft w:val="640"/>
          <w:marRight w:val="0"/>
          <w:marTop w:val="0"/>
          <w:marBottom w:val="0"/>
          <w:divBdr>
            <w:top w:val="none" w:sz="0" w:space="0" w:color="auto"/>
            <w:left w:val="none" w:sz="0" w:space="0" w:color="auto"/>
            <w:bottom w:val="none" w:sz="0" w:space="0" w:color="auto"/>
            <w:right w:val="none" w:sz="0" w:space="0" w:color="auto"/>
          </w:divBdr>
        </w:div>
        <w:div w:id="584648038">
          <w:marLeft w:val="640"/>
          <w:marRight w:val="0"/>
          <w:marTop w:val="0"/>
          <w:marBottom w:val="0"/>
          <w:divBdr>
            <w:top w:val="none" w:sz="0" w:space="0" w:color="auto"/>
            <w:left w:val="none" w:sz="0" w:space="0" w:color="auto"/>
            <w:bottom w:val="none" w:sz="0" w:space="0" w:color="auto"/>
            <w:right w:val="none" w:sz="0" w:space="0" w:color="auto"/>
          </w:divBdr>
        </w:div>
        <w:div w:id="860968727">
          <w:marLeft w:val="640"/>
          <w:marRight w:val="0"/>
          <w:marTop w:val="0"/>
          <w:marBottom w:val="0"/>
          <w:divBdr>
            <w:top w:val="none" w:sz="0" w:space="0" w:color="auto"/>
            <w:left w:val="none" w:sz="0" w:space="0" w:color="auto"/>
            <w:bottom w:val="none" w:sz="0" w:space="0" w:color="auto"/>
            <w:right w:val="none" w:sz="0" w:space="0" w:color="auto"/>
          </w:divBdr>
        </w:div>
        <w:div w:id="646517927">
          <w:marLeft w:val="640"/>
          <w:marRight w:val="0"/>
          <w:marTop w:val="0"/>
          <w:marBottom w:val="0"/>
          <w:divBdr>
            <w:top w:val="none" w:sz="0" w:space="0" w:color="auto"/>
            <w:left w:val="none" w:sz="0" w:space="0" w:color="auto"/>
            <w:bottom w:val="none" w:sz="0" w:space="0" w:color="auto"/>
            <w:right w:val="none" w:sz="0" w:space="0" w:color="auto"/>
          </w:divBdr>
        </w:div>
        <w:div w:id="1788545711">
          <w:marLeft w:val="640"/>
          <w:marRight w:val="0"/>
          <w:marTop w:val="0"/>
          <w:marBottom w:val="0"/>
          <w:divBdr>
            <w:top w:val="none" w:sz="0" w:space="0" w:color="auto"/>
            <w:left w:val="none" w:sz="0" w:space="0" w:color="auto"/>
            <w:bottom w:val="none" w:sz="0" w:space="0" w:color="auto"/>
            <w:right w:val="none" w:sz="0" w:space="0" w:color="auto"/>
          </w:divBdr>
        </w:div>
        <w:div w:id="1480882315">
          <w:marLeft w:val="640"/>
          <w:marRight w:val="0"/>
          <w:marTop w:val="0"/>
          <w:marBottom w:val="0"/>
          <w:divBdr>
            <w:top w:val="none" w:sz="0" w:space="0" w:color="auto"/>
            <w:left w:val="none" w:sz="0" w:space="0" w:color="auto"/>
            <w:bottom w:val="none" w:sz="0" w:space="0" w:color="auto"/>
            <w:right w:val="none" w:sz="0" w:space="0" w:color="auto"/>
          </w:divBdr>
        </w:div>
        <w:div w:id="479539426">
          <w:marLeft w:val="640"/>
          <w:marRight w:val="0"/>
          <w:marTop w:val="0"/>
          <w:marBottom w:val="0"/>
          <w:divBdr>
            <w:top w:val="none" w:sz="0" w:space="0" w:color="auto"/>
            <w:left w:val="none" w:sz="0" w:space="0" w:color="auto"/>
            <w:bottom w:val="none" w:sz="0" w:space="0" w:color="auto"/>
            <w:right w:val="none" w:sz="0" w:space="0" w:color="auto"/>
          </w:divBdr>
        </w:div>
        <w:div w:id="1620792994">
          <w:marLeft w:val="640"/>
          <w:marRight w:val="0"/>
          <w:marTop w:val="0"/>
          <w:marBottom w:val="0"/>
          <w:divBdr>
            <w:top w:val="none" w:sz="0" w:space="0" w:color="auto"/>
            <w:left w:val="none" w:sz="0" w:space="0" w:color="auto"/>
            <w:bottom w:val="none" w:sz="0" w:space="0" w:color="auto"/>
            <w:right w:val="none" w:sz="0" w:space="0" w:color="auto"/>
          </w:divBdr>
        </w:div>
        <w:div w:id="354187906">
          <w:marLeft w:val="640"/>
          <w:marRight w:val="0"/>
          <w:marTop w:val="0"/>
          <w:marBottom w:val="0"/>
          <w:divBdr>
            <w:top w:val="none" w:sz="0" w:space="0" w:color="auto"/>
            <w:left w:val="none" w:sz="0" w:space="0" w:color="auto"/>
            <w:bottom w:val="none" w:sz="0" w:space="0" w:color="auto"/>
            <w:right w:val="none" w:sz="0" w:space="0" w:color="auto"/>
          </w:divBdr>
        </w:div>
        <w:div w:id="155539613">
          <w:marLeft w:val="640"/>
          <w:marRight w:val="0"/>
          <w:marTop w:val="0"/>
          <w:marBottom w:val="0"/>
          <w:divBdr>
            <w:top w:val="none" w:sz="0" w:space="0" w:color="auto"/>
            <w:left w:val="none" w:sz="0" w:space="0" w:color="auto"/>
            <w:bottom w:val="none" w:sz="0" w:space="0" w:color="auto"/>
            <w:right w:val="none" w:sz="0" w:space="0" w:color="auto"/>
          </w:divBdr>
        </w:div>
        <w:div w:id="421533773">
          <w:marLeft w:val="640"/>
          <w:marRight w:val="0"/>
          <w:marTop w:val="0"/>
          <w:marBottom w:val="0"/>
          <w:divBdr>
            <w:top w:val="none" w:sz="0" w:space="0" w:color="auto"/>
            <w:left w:val="none" w:sz="0" w:space="0" w:color="auto"/>
            <w:bottom w:val="none" w:sz="0" w:space="0" w:color="auto"/>
            <w:right w:val="none" w:sz="0" w:space="0" w:color="auto"/>
          </w:divBdr>
        </w:div>
        <w:div w:id="1589466269">
          <w:marLeft w:val="640"/>
          <w:marRight w:val="0"/>
          <w:marTop w:val="0"/>
          <w:marBottom w:val="0"/>
          <w:divBdr>
            <w:top w:val="none" w:sz="0" w:space="0" w:color="auto"/>
            <w:left w:val="none" w:sz="0" w:space="0" w:color="auto"/>
            <w:bottom w:val="none" w:sz="0" w:space="0" w:color="auto"/>
            <w:right w:val="none" w:sz="0" w:space="0" w:color="auto"/>
          </w:divBdr>
        </w:div>
        <w:div w:id="546257469">
          <w:marLeft w:val="640"/>
          <w:marRight w:val="0"/>
          <w:marTop w:val="0"/>
          <w:marBottom w:val="0"/>
          <w:divBdr>
            <w:top w:val="none" w:sz="0" w:space="0" w:color="auto"/>
            <w:left w:val="none" w:sz="0" w:space="0" w:color="auto"/>
            <w:bottom w:val="none" w:sz="0" w:space="0" w:color="auto"/>
            <w:right w:val="none" w:sz="0" w:space="0" w:color="auto"/>
          </w:divBdr>
        </w:div>
        <w:div w:id="1198812660">
          <w:marLeft w:val="640"/>
          <w:marRight w:val="0"/>
          <w:marTop w:val="0"/>
          <w:marBottom w:val="0"/>
          <w:divBdr>
            <w:top w:val="none" w:sz="0" w:space="0" w:color="auto"/>
            <w:left w:val="none" w:sz="0" w:space="0" w:color="auto"/>
            <w:bottom w:val="none" w:sz="0" w:space="0" w:color="auto"/>
            <w:right w:val="none" w:sz="0" w:space="0" w:color="auto"/>
          </w:divBdr>
        </w:div>
        <w:div w:id="1683436005">
          <w:marLeft w:val="640"/>
          <w:marRight w:val="0"/>
          <w:marTop w:val="0"/>
          <w:marBottom w:val="0"/>
          <w:divBdr>
            <w:top w:val="none" w:sz="0" w:space="0" w:color="auto"/>
            <w:left w:val="none" w:sz="0" w:space="0" w:color="auto"/>
            <w:bottom w:val="none" w:sz="0" w:space="0" w:color="auto"/>
            <w:right w:val="none" w:sz="0" w:space="0" w:color="auto"/>
          </w:divBdr>
        </w:div>
        <w:div w:id="1056322062">
          <w:marLeft w:val="640"/>
          <w:marRight w:val="0"/>
          <w:marTop w:val="0"/>
          <w:marBottom w:val="0"/>
          <w:divBdr>
            <w:top w:val="none" w:sz="0" w:space="0" w:color="auto"/>
            <w:left w:val="none" w:sz="0" w:space="0" w:color="auto"/>
            <w:bottom w:val="none" w:sz="0" w:space="0" w:color="auto"/>
            <w:right w:val="none" w:sz="0" w:space="0" w:color="auto"/>
          </w:divBdr>
        </w:div>
        <w:div w:id="1616328636">
          <w:marLeft w:val="640"/>
          <w:marRight w:val="0"/>
          <w:marTop w:val="0"/>
          <w:marBottom w:val="0"/>
          <w:divBdr>
            <w:top w:val="none" w:sz="0" w:space="0" w:color="auto"/>
            <w:left w:val="none" w:sz="0" w:space="0" w:color="auto"/>
            <w:bottom w:val="none" w:sz="0" w:space="0" w:color="auto"/>
            <w:right w:val="none" w:sz="0" w:space="0" w:color="auto"/>
          </w:divBdr>
        </w:div>
        <w:div w:id="1260135268">
          <w:marLeft w:val="640"/>
          <w:marRight w:val="0"/>
          <w:marTop w:val="0"/>
          <w:marBottom w:val="0"/>
          <w:divBdr>
            <w:top w:val="none" w:sz="0" w:space="0" w:color="auto"/>
            <w:left w:val="none" w:sz="0" w:space="0" w:color="auto"/>
            <w:bottom w:val="none" w:sz="0" w:space="0" w:color="auto"/>
            <w:right w:val="none" w:sz="0" w:space="0" w:color="auto"/>
          </w:divBdr>
        </w:div>
        <w:div w:id="856775877">
          <w:marLeft w:val="640"/>
          <w:marRight w:val="0"/>
          <w:marTop w:val="0"/>
          <w:marBottom w:val="0"/>
          <w:divBdr>
            <w:top w:val="none" w:sz="0" w:space="0" w:color="auto"/>
            <w:left w:val="none" w:sz="0" w:space="0" w:color="auto"/>
            <w:bottom w:val="none" w:sz="0" w:space="0" w:color="auto"/>
            <w:right w:val="none" w:sz="0" w:space="0" w:color="auto"/>
          </w:divBdr>
        </w:div>
        <w:div w:id="567612340">
          <w:marLeft w:val="640"/>
          <w:marRight w:val="0"/>
          <w:marTop w:val="0"/>
          <w:marBottom w:val="0"/>
          <w:divBdr>
            <w:top w:val="none" w:sz="0" w:space="0" w:color="auto"/>
            <w:left w:val="none" w:sz="0" w:space="0" w:color="auto"/>
            <w:bottom w:val="none" w:sz="0" w:space="0" w:color="auto"/>
            <w:right w:val="none" w:sz="0" w:space="0" w:color="auto"/>
          </w:divBdr>
        </w:div>
        <w:div w:id="1829711246">
          <w:marLeft w:val="640"/>
          <w:marRight w:val="0"/>
          <w:marTop w:val="0"/>
          <w:marBottom w:val="0"/>
          <w:divBdr>
            <w:top w:val="none" w:sz="0" w:space="0" w:color="auto"/>
            <w:left w:val="none" w:sz="0" w:space="0" w:color="auto"/>
            <w:bottom w:val="none" w:sz="0" w:space="0" w:color="auto"/>
            <w:right w:val="none" w:sz="0" w:space="0" w:color="auto"/>
          </w:divBdr>
        </w:div>
      </w:divsChild>
    </w:div>
    <w:div w:id="674108984">
      <w:bodyDiv w:val="1"/>
      <w:marLeft w:val="0"/>
      <w:marRight w:val="0"/>
      <w:marTop w:val="0"/>
      <w:marBottom w:val="0"/>
      <w:divBdr>
        <w:top w:val="none" w:sz="0" w:space="0" w:color="auto"/>
        <w:left w:val="none" w:sz="0" w:space="0" w:color="auto"/>
        <w:bottom w:val="none" w:sz="0" w:space="0" w:color="auto"/>
        <w:right w:val="none" w:sz="0" w:space="0" w:color="auto"/>
      </w:divBdr>
    </w:div>
    <w:div w:id="677082287">
      <w:bodyDiv w:val="1"/>
      <w:marLeft w:val="0"/>
      <w:marRight w:val="0"/>
      <w:marTop w:val="0"/>
      <w:marBottom w:val="0"/>
      <w:divBdr>
        <w:top w:val="none" w:sz="0" w:space="0" w:color="auto"/>
        <w:left w:val="none" w:sz="0" w:space="0" w:color="auto"/>
        <w:bottom w:val="none" w:sz="0" w:space="0" w:color="auto"/>
        <w:right w:val="none" w:sz="0" w:space="0" w:color="auto"/>
      </w:divBdr>
    </w:div>
    <w:div w:id="678429323">
      <w:bodyDiv w:val="1"/>
      <w:marLeft w:val="0"/>
      <w:marRight w:val="0"/>
      <w:marTop w:val="0"/>
      <w:marBottom w:val="0"/>
      <w:divBdr>
        <w:top w:val="none" w:sz="0" w:space="0" w:color="auto"/>
        <w:left w:val="none" w:sz="0" w:space="0" w:color="auto"/>
        <w:bottom w:val="none" w:sz="0" w:space="0" w:color="auto"/>
        <w:right w:val="none" w:sz="0" w:space="0" w:color="auto"/>
      </w:divBdr>
    </w:div>
    <w:div w:id="678700340">
      <w:bodyDiv w:val="1"/>
      <w:marLeft w:val="0"/>
      <w:marRight w:val="0"/>
      <w:marTop w:val="0"/>
      <w:marBottom w:val="0"/>
      <w:divBdr>
        <w:top w:val="none" w:sz="0" w:space="0" w:color="auto"/>
        <w:left w:val="none" w:sz="0" w:space="0" w:color="auto"/>
        <w:bottom w:val="none" w:sz="0" w:space="0" w:color="auto"/>
        <w:right w:val="none" w:sz="0" w:space="0" w:color="auto"/>
      </w:divBdr>
    </w:div>
    <w:div w:id="681054290">
      <w:bodyDiv w:val="1"/>
      <w:marLeft w:val="0"/>
      <w:marRight w:val="0"/>
      <w:marTop w:val="0"/>
      <w:marBottom w:val="0"/>
      <w:divBdr>
        <w:top w:val="none" w:sz="0" w:space="0" w:color="auto"/>
        <w:left w:val="none" w:sz="0" w:space="0" w:color="auto"/>
        <w:bottom w:val="none" w:sz="0" w:space="0" w:color="auto"/>
        <w:right w:val="none" w:sz="0" w:space="0" w:color="auto"/>
      </w:divBdr>
    </w:div>
    <w:div w:id="681934076">
      <w:bodyDiv w:val="1"/>
      <w:marLeft w:val="0"/>
      <w:marRight w:val="0"/>
      <w:marTop w:val="0"/>
      <w:marBottom w:val="0"/>
      <w:divBdr>
        <w:top w:val="none" w:sz="0" w:space="0" w:color="auto"/>
        <w:left w:val="none" w:sz="0" w:space="0" w:color="auto"/>
        <w:bottom w:val="none" w:sz="0" w:space="0" w:color="auto"/>
        <w:right w:val="none" w:sz="0" w:space="0" w:color="auto"/>
      </w:divBdr>
    </w:div>
    <w:div w:id="682171310">
      <w:bodyDiv w:val="1"/>
      <w:marLeft w:val="0"/>
      <w:marRight w:val="0"/>
      <w:marTop w:val="0"/>
      <w:marBottom w:val="0"/>
      <w:divBdr>
        <w:top w:val="none" w:sz="0" w:space="0" w:color="auto"/>
        <w:left w:val="none" w:sz="0" w:space="0" w:color="auto"/>
        <w:bottom w:val="none" w:sz="0" w:space="0" w:color="auto"/>
        <w:right w:val="none" w:sz="0" w:space="0" w:color="auto"/>
      </w:divBdr>
    </w:div>
    <w:div w:id="687951578">
      <w:bodyDiv w:val="1"/>
      <w:marLeft w:val="0"/>
      <w:marRight w:val="0"/>
      <w:marTop w:val="0"/>
      <w:marBottom w:val="0"/>
      <w:divBdr>
        <w:top w:val="none" w:sz="0" w:space="0" w:color="auto"/>
        <w:left w:val="none" w:sz="0" w:space="0" w:color="auto"/>
        <w:bottom w:val="none" w:sz="0" w:space="0" w:color="auto"/>
        <w:right w:val="none" w:sz="0" w:space="0" w:color="auto"/>
      </w:divBdr>
    </w:div>
    <w:div w:id="695929510">
      <w:bodyDiv w:val="1"/>
      <w:marLeft w:val="0"/>
      <w:marRight w:val="0"/>
      <w:marTop w:val="0"/>
      <w:marBottom w:val="0"/>
      <w:divBdr>
        <w:top w:val="none" w:sz="0" w:space="0" w:color="auto"/>
        <w:left w:val="none" w:sz="0" w:space="0" w:color="auto"/>
        <w:bottom w:val="none" w:sz="0" w:space="0" w:color="auto"/>
        <w:right w:val="none" w:sz="0" w:space="0" w:color="auto"/>
      </w:divBdr>
    </w:div>
    <w:div w:id="699280390">
      <w:bodyDiv w:val="1"/>
      <w:marLeft w:val="0"/>
      <w:marRight w:val="0"/>
      <w:marTop w:val="0"/>
      <w:marBottom w:val="0"/>
      <w:divBdr>
        <w:top w:val="none" w:sz="0" w:space="0" w:color="auto"/>
        <w:left w:val="none" w:sz="0" w:space="0" w:color="auto"/>
        <w:bottom w:val="none" w:sz="0" w:space="0" w:color="auto"/>
        <w:right w:val="none" w:sz="0" w:space="0" w:color="auto"/>
      </w:divBdr>
    </w:div>
    <w:div w:id="700934078">
      <w:bodyDiv w:val="1"/>
      <w:marLeft w:val="0"/>
      <w:marRight w:val="0"/>
      <w:marTop w:val="0"/>
      <w:marBottom w:val="0"/>
      <w:divBdr>
        <w:top w:val="none" w:sz="0" w:space="0" w:color="auto"/>
        <w:left w:val="none" w:sz="0" w:space="0" w:color="auto"/>
        <w:bottom w:val="none" w:sz="0" w:space="0" w:color="auto"/>
        <w:right w:val="none" w:sz="0" w:space="0" w:color="auto"/>
      </w:divBdr>
    </w:div>
    <w:div w:id="704789280">
      <w:bodyDiv w:val="1"/>
      <w:marLeft w:val="0"/>
      <w:marRight w:val="0"/>
      <w:marTop w:val="0"/>
      <w:marBottom w:val="0"/>
      <w:divBdr>
        <w:top w:val="none" w:sz="0" w:space="0" w:color="auto"/>
        <w:left w:val="none" w:sz="0" w:space="0" w:color="auto"/>
        <w:bottom w:val="none" w:sz="0" w:space="0" w:color="auto"/>
        <w:right w:val="none" w:sz="0" w:space="0" w:color="auto"/>
      </w:divBdr>
    </w:div>
    <w:div w:id="705564029">
      <w:bodyDiv w:val="1"/>
      <w:marLeft w:val="0"/>
      <w:marRight w:val="0"/>
      <w:marTop w:val="0"/>
      <w:marBottom w:val="0"/>
      <w:divBdr>
        <w:top w:val="none" w:sz="0" w:space="0" w:color="auto"/>
        <w:left w:val="none" w:sz="0" w:space="0" w:color="auto"/>
        <w:bottom w:val="none" w:sz="0" w:space="0" w:color="auto"/>
        <w:right w:val="none" w:sz="0" w:space="0" w:color="auto"/>
      </w:divBdr>
    </w:div>
    <w:div w:id="708997726">
      <w:bodyDiv w:val="1"/>
      <w:marLeft w:val="0"/>
      <w:marRight w:val="0"/>
      <w:marTop w:val="0"/>
      <w:marBottom w:val="0"/>
      <w:divBdr>
        <w:top w:val="none" w:sz="0" w:space="0" w:color="auto"/>
        <w:left w:val="none" w:sz="0" w:space="0" w:color="auto"/>
        <w:bottom w:val="none" w:sz="0" w:space="0" w:color="auto"/>
        <w:right w:val="none" w:sz="0" w:space="0" w:color="auto"/>
      </w:divBdr>
    </w:div>
    <w:div w:id="709496289">
      <w:bodyDiv w:val="1"/>
      <w:marLeft w:val="0"/>
      <w:marRight w:val="0"/>
      <w:marTop w:val="0"/>
      <w:marBottom w:val="0"/>
      <w:divBdr>
        <w:top w:val="none" w:sz="0" w:space="0" w:color="auto"/>
        <w:left w:val="none" w:sz="0" w:space="0" w:color="auto"/>
        <w:bottom w:val="none" w:sz="0" w:space="0" w:color="auto"/>
        <w:right w:val="none" w:sz="0" w:space="0" w:color="auto"/>
      </w:divBdr>
    </w:div>
    <w:div w:id="709502623">
      <w:bodyDiv w:val="1"/>
      <w:marLeft w:val="0"/>
      <w:marRight w:val="0"/>
      <w:marTop w:val="0"/>
      <w:marBottom w:val="0"/>
      <w:divBdr>
        <w:top w:val="none" w:sz="0" w:space="0" w:color="auto"/>
        <w:left w:val="none" w:sz="0" w:space="0" w:color="auto"/>
        <w:bottom w:val="none" w:sz="0" w:space="0" w:color="auto"/>
        <w:right w:val="none" w:sz="0" w:space="0" w:color="auto"/>
      </w:divBdr>
    </w:div>
    <w:div w:id="710810653">
      <w:bodyDiv w:val="1"/>
      <w:marLeft w:val="0"/>
      <w:marRight w:val="0"/>
      <w:marTop w:val="0"/>
      <w:marBottom w:val="0"/>
      <w:divBdr>
        <w:top w:val="none" w:sz="0" w:space="0" w:color="auto"/>
        <w:left w:val="none" w:sz="0" w:space="0" w:color="auto"/>
        <w:bottom w:val="none" w:sz="0" w:space="0" w:color="auto"/>
        <w:right w:val="none" w:sz="0" w:space="0" w:color="auto"/>
      </w:divBdr>
    </w:div>
    <w:div w:id="711659579">
      <w:bodyDiv w:val="1"/>
      <w:marLeft w:val="0"/>
      <w:marRight w:val="0"/>
      <w:marTop w:val="0"/>
      <w:marBottom w:val="0"/>
      <w:divBdr>
        <w:top w:val="none" w:sz="0" w:space="0" w:color="auto"/>
        <w:left w:val="none" w:sz="0" w:space="0" w:color="auto"/>
        <w:bottom w:val="none" w:sz="0" w:space="0" w:color="auto"/>
        <w:right w:val="none" w:sz="0" w:space="0" w:color="auto"/>
      </w:divBdr>
    </w:div>
    <w:div w:id="712466927">
      <w:bodyDiv w:val="1"/>
      <w:marLeft w:val="0"/>
      <w:marRight w:val="0"/>
      <w:marTop w:val="0"/>
      <w:marBottom w:val="0"/>
      <w:divBdr>
        <w:top w:val="none" w:sz="0" w:space="0" w:color="auto"/>
        <w:left w:val="none" w:sz="0" w:space="0" w:color="auto"/>
        <w:bottom w:val="none" w:sz="0" w:space="0" w:color="auto"/>
        <w:right w:val="none" w:sz="0" w:space="0" w:color="auto"/>
      </w:divBdr>
    </w:div>
    <w:div w:id="715199983">
      <w:bodyDiv w:val="1"/>
      <w:marLeft w:val="0"/>
      <w:marRight w:val="0"/>
      <w:marTop w:val="0"/>
      <w:marBottom w:val="0"/>
      <w:divBdr>
        <w:top w:val="none" w:sz="0" w:space="0" w:color="auto"/>
        <w:left w:val="none" w:sz="0" w:space="0" w:color="auto"/>
        <w:bottom w:val="none" w:sz="0" w:space="0" w:color="auto"/>
        <w:right w:val="none" w:sz="0" w:space="0" w:color="auto"/>
      </w:divBdr>
    </w:div>
    <w:div w:id="716390555">
      <w:bodyDiv w:val="1"/>
      <w:marLeft w:val="0"/>
      <w:marRight w:val="0"/>
      <w:marTop w:val="0"/>
      <w:marBottom w:val="0"/>
      <w:divBdr>
        <w:top w:val="none" w:sz="0" w:space="0" w:color="auto"/>
        <w:left w:val="none" w:sz="0" w:space="0" w:color="auto"/>
        <w:bottom w:val="none" w:sz="0" w:space="0" w:color="auto"/>
        <w:right w:val="none" w:sz="0" w:space="0" w:color="auto"/>
      </w:divBdr>
    </w:div>
    <w:div w:id="719287542">
      <w:bodyDiv w:val="1"/>
      <w:marLeft w:val="0"/>
      <w:marRight w:val="0"/>
      <w:marTop w:val="0"/>
      <w:marBottom w:val="0"/>
      <w:divBdr>
        <w:top w:val="none" w:sz="0" w:space="0" w:color="auto"/>
        <w:left w:val="none" w:sz="0" w:space="0" w:color="auto"/>
        <w:bottom w:val="none" w:sz="0" w:space="0" w:color="auto"/>
        <w:right w:val="none" w:sz="0" w:space="0" w:color="auto"/>
      </w:divBdr>
    </w:div>
    <w:div w:id="721714367">
      <w:bodyDiv w:val="1"/>
      <w:marLeft w:val="0"/>
      <w:marRight w:val="0"/>
      <w:marTop w:val="0"/>
      <w:marBottom w:val="0"/>
      <w:divBdr>
        <w:top w:val="none" w:sz="0" w:space="0" w:color="auto"/>
        <w:left w:val="none" w:sz="0" w:space="0" w:color="auto"/>
        <w:bottom w:val="none" w:sz="0" w:space="0" w:color="auto"/>
        <w:right w:val="none" w:sz="0" w:space="0" w:color="auto"/>
      </w:divBdr>
    </w:div>
    <w:div w:id="722294785">
      <w:bodyDiv w:val="1"/>
      <w:marLeft w:val="0"/>
      <w:marRight w:val="0"/>
      <w:marTop w:val="0"/>
      <w:marBottom w:val="0"/>
      <w:divBdr>
        <w:top w:val="none" w:sz="0" w:space="0" w:color="auto"/>
        <w:left w:val="none" w:sz="0" w:space="0" w:color="auto"/>
        <w:bottom w:val="none" w:sz="0" w:space="0" w:color="auto"/>
        <w:right w:val="none" w:sz="0" w:space="0" w:color="auto"/>
      </w:divBdr>
      <w:divsChild>
        <w:div w:id="1163935436">
          <w:marLeft w:val="640"/>
          <w:marRight w:val="0"/>
          <w:marTop w:val="0"/>
          <w:marBottom w:val="0"/>
          <w:divBdr>
            <w:top w:val="none" w:sz="0" w:space="0" w:color="auto"/>
            <w:left w:val="none" w:sz="0" w:space="0" w:color="auto"/>
            <w:bottom w:val="none" w:sz="0" w:space="0" w:color="auto"/>
            <w:right w:val="none" w:sz="0" w:space="0" w:color="auto"/>
          </w:divBdr>
        </w:div>
        <w:div w:id="819541755">
          <w:marLeft w:val="640"/>
          <w:marRight w:val="0"/>
          <w:marTop w:val="0"/>
          <w:marBottom w:val="0"/>
          <w:divBdr>
            <w:top w:val="none" w:sz="0" w:space="0" w:color="auto"/>
            <w:left w:val="none" w:sz="0" w:space="0" w:color="auto"/>
            <w:bottom w:val="none" w:sz="0" w:space="0" w:color="auto"/>
            <w:right w:val="none" w:sz="0" w:space="0" w:color="auto"/>
          </w:divBdr>
        </w:div>
        <w:div w:id="1538810728">
          <w:marLeft w:val="640"/>
          <w:marRight w:val="0"/>
          <w:marTop w:val="0"/>
          <w:marBottom w:val="0"/>
          <w:divBdr>
            <w:top w:val="none" w:sz="0" w:space="0" w:color="auto"/>
            <w:left w:val="none" w:sz="0" w:space="0" w:color="auto"/>
            <w:bottom w:val="none" w:sz="0" w:space="0" w:color="auto"/>
            <w:right w:val="none" w:sz="0" w:space="0" w:color="auto"/>
          </w:divBdr>
        </w:div>
        <w:div w:id="560605225">
          <w:marLeft w:val="640"/>
          <w:marRight w:val="0"/>
          <w:marTop w:val="0"/>
          <w:marBottom w:val="0"/>
          <w:divBdr>
            <w:top w:val="none" w:sz="0" w:space="0" w:color="auto"/>
            <w:left w:val="none" w:sz="0" w:space="0" w:color="auto"/>
            <w:bottom w:val="none" w:sz="0" w:space="0" w:color="auto"/>
            <w:right w:val="none" w:sz="0" w:space="0" w:color="auto"/>
          </w:divBdr>
        </w:div>
        <w:div w:id="802580529">
          <w:marLeft w:val="640"/>
          <w:marRight w:val="0"/>
          <w:marTop w:val="0"/>
          <w:marBottom w:val="0"/>
          <w:divBdr>
            <w:top w:val="none" w:sz="0" w:space="0" w:color="auto"/>
            <w:left w:val="none" w:sz="0" w:space="0" w:color="auto"/>
            <w:bottom w:val="none" w:sz="0" w:space="0" w:color="auto"/>
            <w:right w:val="none" w:sz="0" w:space="0" w:color="auto"/>
          </w:divBdr>
        </w:div>
        <w:div w:id="1237280932">
          <w:marLeft w:val="640"/>
          <w:marRight w:val="0"/>
          <w:marTop w:val="0"/>
          <w:marBottom w:val="0"/>
          <w:divBdr>
            <w:top w:val="none" w:sz="0" w:space="0" w:color="auto"/>
            <w:left w:val="none" w:sz="0" w:space="0" w:color="auto"/>
            <w:bottom w:val="none" w:sz="0" w:space="0" w:color="auto"/>
            <w:right w:val="none" w:sz="0" w:space="0" w:color="auto"/>
          </w:divBdr>
        </w:div>
        <w:div w:id="2015263172">
          <w:marLeft w:val="640"/>
          <w:marRight w:val="0"/>
          <w:marTop w:val="0"/>
          <w:marBottom w:val="0"/>
          <w:divBdr>
            <w:top w:val="none" w:sz="0" w:space="0" w:color="auto"/>
            <w:left w:val="none" w:sz="0" w:space="0" w:color="auto"/>
            <w:bottom w:val="none" w:sz="0" w:space="0" w:color="auto"/>
            <w:right w:val="none" w:sz="0" w:space="0" w:color="auto"/>
          </w:divBdr>
        </w:div>
        <w:div w:id="1884244158">
          <w:marLeft w:val="640"/>
          <w:marRight w:val="0"/>
          <w:marTop w:val="0"/>
          <w:marBottom w:val="0"/>
          <w:divBdr>
            <w:top w:val="none" w:sz="0" w:space="0" w:color="auto"/>
            <w:left w:val="none" w:sz="0" w:space="0" w:color="auto"/>
            <w:bottom w:val="none" w:sz="0" w:space="0" w:color="auto"/>
            <w:right w:val="none" w:sz="0" w:space="0" w:color="auto"/>
          </w:divBdr>
        </w:div>
        <w:div w:id="904989934">
          <w:marLeft w:val="640"/>
          <w:marRight w:val="0"/>
          <w:marTop w:val="0"/>
          <w:marBottom w:val="0"/>
          <w:divBdr>
            <w:top w:val="none" w:sz="0" w:space="0" w:color="auto"/>
            <w:left w:val="none" w:sz="0" w:space="0" w:color="auto"/>
            <w:bottom w:val="none" w:sz="0" w:space="0" w:color="auto"/>
            <w:right w:val="none" w:sz="0" w:space="0" w:color="auto"/>
          </w:divBdr>
        </w:div>
        <w:div w:id="276451653">
          <w:marLeft w:val="640"/>
          <w:marRight w:val="0"/>
          <w:marTop w:val="0"/>
          <w:marBottom w:val="0"/>
          <w:divBdr>
            <w:top w:val="none" w:sz="0" w:space="0" w:color="auto"/>
            <w:left w:val="none" w:sz="0" w:space="0" w:color="auto"/>
            <w:bottom w:val="none" w:sz="0" w:space="0" w:color="auto"/>
            <w:right w:val="none" w:sz="0" w:space="0" w:color="auto"/>
          </w:divBdr>
        </w:div>
        <w:div w:id="1649358087">
          <w:marLeft w:val="640"/>
          <w:marRight w:val="0"/>
          <w:marTop w:val="0"/>
          <w:marBottom w:val="0"/>
          <w:divBdr>
            <w:top w:val="none" w:sz="0" w:space="0" w:color="auto"/>
            <w:left w:val="none" w:sz="0" w:space="0" w:color="auto"/>
            <w:bottom w:val="none" w:sz="0" w:space="0" w:color="auto"/>
            <w:right w:val="none" w:sz="0" w:space="0" w:color="auto"/>
          </w:divBdr>
        </w:div>
        <w:div w:id="1830436262">
          <w:marLeft w:val="640"/>
          <w:marRight w:val="0"/>
          <w:marTop w:val="0"/>
          <w:marBottom w:val="0"/>
          <w:divBdr>
            <w:top w:val="none" w:sz="0" w:space="0" w:color="auto"/>
            <w:left w:val="none" w:sz="0" w:space="0" w:color="auto"/>
            <w:bottom w:val="none" w:sz="0" w:space="0" w:color="auto"/>
            <w:right w:val="none" w:sz="0" w:space="0" w:color="auto"/>
          </w:divBdr>
        </w:div>
        <w:div w:id="891617349">
          <w:marLeft w:val="640"/>
          <w:marRight w:val="0"/>
          <w:marTop w:val="0"/>
          <w:marBottom w:val="0"/>
          <w:divBdr>
            <w:top w:val="none" w:sz="0" w:space="0" w:color="auto"/>
            <w:left w:val="none" w:sz="0" w:space="0" w:color="auto"/>
            <w:bottom w:val="none" w:sz="0" w:space="0" w:color="auto"/>
            <w:right w:val="none" w:sz="0" w:space="0" w:color="auto"/>
          </w:divBdr>
        </w:div>
        <w:div w:id="1380587028">
          <w:marLeft w:val="640"/>
          <w:marRight w:val="0"/>
          <w:marTop w:val="0"/>
          <w:marBottom w:val="0"/>
          <w:divBdr>
            <w:top w:val="none" w:sz="0" w:space="0" w:color="auto"/>
            <w:left w:val="none" w:sz="0" w:space="0" w:color="auto"/>
            <w:bottom w:val="none" w:sz="0" w:space="0" w:color="auto"/>
            <w:right w:val="none" w:sz="0" w:space="0" w:color="auto"/>
          </w:divBdr>
        </w:div>
        <w:div w:id="148254176">
          <w:marLeft w:val="640"/>
          <w:marRight w:val="0"/>
          <w:marTop w:val="0"/>
          <w:marBottom w:val="0"/>
          <w:divBdr>
            <w:top w:val="none" w:sz="0" w:space="0" w:color="auto"/>
            <w:left w:val="none" w:sz="0" w:space="0" w:color="auto"/>
            <w:bottom w:val="none" w:sz="0" w:space="0" w:color="auto"/>
            <w:right w:val="none" w:sz="0" w:space="0" w:color="auto"/>
          </w:divBdr>
        </w:div>
        <w:div w:id="157817344">
          <w:marLeft w:val="640"/>
          <w:marRight w:val="0"/>
          <w:marTop w:val="0"/>
          <w:marBottom w:val="0"/>
          <w:divBdr>
            <w:top w:val="none" w:sz="0" w:space="0" w:color="auto"/>
            <w:left w:val="none" w:sz="0" w:space="0" w:color="auto"/>
            <w:bottom w:val="none" w:sz="0" w:space="0" w:color="auto"/>
            <w:right w:val="none" w:sz="0" w:space="0" w:color="auto"/>
          </w:divBdr>
        </w:div>
        <w:div w:id="2010134870">
          <w:marLeft w:val="640"/>
          <w:marRight w:val="0"/>
          <w:marTop w:val="0"/>
          <w:marBottom w:val="0"/>
          <w:divBdr>
            <w:top w:val="none" w:sz="0" w:space="0" w:color="auto"/>
            <w:left w:val="none" w:sz="0" w:space="0" w:color="auto"/>
            <w:bottom w:val="none" w:sz="0" w:space="0" w:color="auto"/>
            <w:right w:val="none" w:sz="0" w:space="0" w:color="auto"/>
          </w:divBdr>
        </w:div>
        <w:div w:id="1080835352">
          <w:marLeft w:val="640"/>
          <w:marRight w:val="0"/>
          <w:marTop w:val="0"/>
          <w:marBottom w:val="0"/>
          <w:divBdr>
            <w:top w:val="none" w:sz="0" w:space="0" w:color="auto"/>
            <w:left w:val="none" w:sz="0" w:space="0" w:color="auto"/>
            <w:bottom w:val="none" w:sz="0" w:space="0" w:color="auto"/>
            <w:right w:val="none" w:sz="0" w:space="0" w:color="auto"/>
          </w:divBdr>
        </w:div>
        <w:div w:id="1399787515">
          <w:marLeft w:val="640"/>
          <w:marRight w:val="0"/>
          <w:marTop w:val="0"/>
          <w:marBottom w:val="0"/>
          <w:divBdr>
            <w:top w:val="none" w:sz="0" w:space="0" w:color="auto"/>
            <w:left w:val="none" w:sz="0" w:space="0" w:color="auto"/>
            <w:bottom w:val="none" w:sz="0" w:space="0" w:color="auto"/>
            <w:right w:val="none" w:sz="0" w:space="0" w:color="auto"/>
          </w:divBdr>
        </w:div>
        <w:div w:id="744498706">
          <w:marLeft w:val="640"/>
          <w:marRight w:val="0"/>
          <w:marTop w:val="0"/>
          <w:marBottom w:val="0"/>
          <w:divBdr>
            <w:top w:val="none" w:sz="0" w:space="0" w:color="auto"/>
            <w:left w:val="none" w:sz="0" w:space="0" w:color="auto"/>
            <w:bottom w:val="none" w:sz="0" w:space="0" w:color="auto"/>
            <w:right w:val="none" w:sz="0" w:space="0" w:color="auto"/>
          </w:divBdr>
        </w:div>
        <w:div w:id="228731384">
          <w:marLeft w:val="640"/>
          <w:marRight w:val="0"/>
          <w:marTop w:val="0"/>
          <w:marBottom w:val="0"/>
          <w:divBdr>
            <w:top w:val="none" w:sz="0" w:space="0" w:color="auto"/>
            <w:left w:val="none" w:sz="0" w:space="0" w:color="auto"/>
            <w:bottom w:val="none" w:sz="0" w:space="0" w:color="auto"/>
            <w:right w:val="none" w:sz="0" w:space="0" w:color="auto"/>
          </w:divBdr>
        </w:div>
        <w:div w:id="492331867">
          <w:marLeft w:val="640"/>
          <w:marRight w:val="0"/>
          <w:marTop w:val="0"/>
          <w:marBottom w:val="0"/>
          <w:divBdr>
            <w:top w:val="none" w:sz="0" w:space="0" w:color="auto"/>
            <w:left w:val="none" w:sz="0" w:space="0" w:color="auto"/>
            <w:bottom w:val="none" w:sz="0" w:space="0" w:color="auto"/>
            <w:right w:val="none" w:sz="0" w:space="0" w:color="auto"/>
          </w:divBdr>
        </w:div>
        <w:div w:id="1218928837">
          <w:marLeft w:val="640"/>
          <w:marRight w:val="0"/>
          <w:marTop w:val="0"/>
          <w:marBottom w:val="0"/>
          <w:divBdr>
            <w:top w:val="none" w:sz="0" w:space="0" w:color="auto"/>
            <w:left w:val="none" w:sz="0" w:space="0" w:color="auto"/>
            <w:bottom w:val="none" w:sz="0" w:space="0" w:color="auto"/>
            <w:right w:val="none" w:sz="0" w:space="0" w:color="auto"/>
          </w:divBdr>
        </w:div>
        <w:div w:id="442303925">
          <w:marLeft w:val="640"/>
          <w:marRight w:val="0"/>
          <w:marTop w:val="0"/>
          <w:marBottom w:val="0"/>
          <w:divBdr>
            <w:top w:val="none" w:sz="0" w:space="0" w:color="auto"/>
            <w:left w:val="none" w:sz="0" w:space="0" w:color="auto"/>
            <w:bottom w:val="none" w:sz="0" w:space="0" w:color="auto"/>
            <w:right w:val="none" w:sz="0" w:space="0" w:color="auto"/>
          </w:divBdr>
        </w:div>
        <w:div w:id="1816944115">
          <w:marLeft w:val="640"/>
          <w:marRight w:val="0"/>
          <w:marTop w:val="0"/>
          <w:marBottom w:val="0"/>
          <w:divBdr>
            <w:top w:val="none" w:sz="0" w:space="0" w:color="auto"/>
            <w:left w:val="none" w:sz="0" w:space="0" w:color="auto"/>
            <w:bottom w:val="none" w:sz="0" w:space="0" w:color="auto"/>
            <w:right w:val="none" w:sz="0" w:space="0" w:color="auto"/>
          </w:divBdr>
        </w:div>
        <w:div w:id="1734544068">
          <w:marLeft w:val="640"/>
          <w:marRight w:val="0"/>
          <w:marTop w:val="0"/>
          <w:marBottom w:val="0"/>
          <w:divBdr>
            <w:top w:val="none" w:sz="0" w:space="0" w:color="auto"/>
            <w:left w:val="none" w:sz="0" w:space="0" w:color="auto"/>
            <w:bottom w:val="none" w:sz="0" w:space="0" w:color="auto"/>
            <w:right w:val="none" w:sz="0" w:space="0" w:color="auto"/>
          </w:divBdr>
        </w:div>
        <w:div w:id="312874734">
          <w:marLeft w:val="640"/>
          <w:marRight w:val="0"/>
          <w:marTop w:val="0"/>
          <w:marBottom w:val="0"/>
          <w:divBdr>
            <w:top w:val="none" w:sz="0" w:space="0" w:color="auto"/>
            <w:left w:val="none" w:sz="0" w:space="0" w:color="auto"/>
            <w:bottom w:val="none" w:sz="0" w:space="0" w:color="auto"/>
            <w:right w:val="none" w:sz="0" w:space="0" w:color="auto"/>
          </w:divBdr>
        </w:div>
        <w:div w:id="678771942">
          <w:marLeft w:val="640"/>
          <w:marRight w:val="0"/>
          <w:marTop w:val="0"/>
          <w:marBottom w:val="0"/>
          <w:divBdr>
            <w:top w:val="none" w:sz="0" w:space="0" w:color="auto"/>
            <w:left w:val="none" w:sz="0" w:space="0" w:color="auto"/>
            <w:bottom w:val="none" w:sz="0" w:space="0" w:color="auto"/>
            <w:right w:val="none" w:sz="0" w:space="0" w:color="auto"/>
          </w:divBdr>
        </w:div>
        <w:div w:id="1636108057">
          <w:marLeft w:val="640"/>
          <w:marRight w:val="0"/>
          <w:marTop w:val="0"/>
          <w:marBottom w:val="0"/>
          <w:divBdr>
            <w:top w:val="none" w:sz="0" w:space="0" w:color="auto"/>
            <w:left w:val="none" w:sz="0" w:space="0" w:color="auto"/>
            <w:bottom w:val="none" w:sz="0" w:space="0" w:color="auto"/>
            <w:right w:val="none" w:sz="0" w:space="0" w:color="auto"/>
          </w:divBdr>
        </w:div>
        <w:div w:id="1605376848">
          <w:marLeft w:val="640"/>
          <w:marRight w:val="0"/>
          <w:marTop w:val="0"/>
          <w:marBottom w:val="0"/>
          <w:divBdr>
            <w:top w:val="none" w:sz="0" w:space="0" w:color="auto"/>
            <w:left w:val="none" w:sz="0" w:space="0" w:color="auto"/>
            <w:bottom w:val="none" w:sz="0" w:space="0" w:color="auto"/>
            <w:right w:val="none" w:sz="0" w:space="0" w:color="auto"/>
          </w:divBdr>
        </w:div>
        <w:div w:id="1621180732">
          <w:marLeft w:val="640"/>
          <w:marRight w:val="0"/>
          <w:marTop w:val="0"/>
          <w:marBottom w:val="0"/>
          <w:divBdr>
            <w:top w:val="none" w:sz="0" w:space="0" w:color="auto"/>
            <w:left w:val="none" w:sz="0" w:space="0" w:color="auto"/>
            <w:bottom w:val="none" w:sz="0" w:space="0" w:color="auto"/>
            <w:right w:val="none" w:sz="0" w:space="0" w:color="auto"/>
          </w:divBdr>
        </w:div>
        <w:div w:id="1108740753">
          <w:marLeft w:val="640"/>
          <w:marRight w:val="0"/>
          <w:marTop w:val="0"/>
          <w:marBottom w:val="0"/>
          <w:divBdr>
            <w:top w:val="none" w:sz="0" w:space="0" w:color="auto"/>
            <w:left w:val="none" w:sz="0" w:space="0" w:color="auto"/>
            <w:bottom w:val="none" w:sz="0" w:space="0" w:color="auto"/>
            <w:right w:val="none" w:sz="0" w:space="0" w:color="auto"/>
          </w:divBdr>
        </w:div>
        <w:div w:id="1494684604">
          <w:marLeft w:val="640"/>
          <w:marRight w:val="0"/>
          <w:marTop w:val="0"/>
          <w:marBottom w:val="0"/>
          <w:divBdr>
            <w:top w:val="none" w:sz="0" w:space="0" w:color="auto"/>
            <w:left w:val="none" w:sz="0" w:space="0" w:color="auto"/>
            <w:bottom w:val="none" w:sz="0" w:space="0" w:color="auto"/>
            <w:right w:val="none" w:sz="0" w:space="0" w:color="auto"/>
          </w:divBdr>
        </w:div>
        <w:div w:id="857890065">
          <w:marLeft w:val="640"/>
          <w:marRight w:val="0"/>
          <w:marTop w:val="0"/>
          <w:marBottom w:val="0"/>
          <w:divBdr>
            <w:top w:val="none" w:sz="0" w:space="0" w:color="auto"/>
            <w:left w:val="none" w:sz="0" w:space="0" w:color="auto"/>
            <w:bottom w:val="none" w:sz="0" w:space="0" w:color="auto"/>
            <w:right w:val="none" w:sz="0" w:space="0" w:color="auto"/>
          </w:divBdr>
        </w:div>
        <w:div w:id="2017271782">
          <w:marLeft w:val="640"/>
          <w:marRight w:val="0"/>
          <w:marTop w:val="0"/>
          <w:marBottom w:val="0"/>
          <w:divBdr>
            <w:top w:val="none" w:sz="0" w:space="0" w:color="auto"/>
            <w:left w:val="none" w:sz="0" w:space="0" w:color="auto"/>
            <w:bottom w:val="none" w:sz="0" w:space="0" w:color="auto"/>
            <w:right w:val="none" w:sz="0" w:space="0" w:color="auto"/>
          </w:divBdr>
        </w:div>
        <w:div w:id="1163470041">
          <w:marLeft w:val="640"/>
          <w:marRight w:val="0"/>
          <w:marTop w:val="0"/>
          <w:marBottom w:val="0"/>
          <w:divBdr>
            <w:top w:val="none" w:sz="0" w:space="0" w:color="auto"/>
            <w:left w:val="none" w:sz="0" w:space="0" w:color="auto"/>
            <w:bottom w:val="none" w:sz="0" w:space="0" w:color="auto"/>
            <w:right w:val="none" w:sz="0" w:space="0" w:color="auto"/>
          </w:divBdr>
        </w:div>
        <w:div w:id="648284951">
          <w:marLeft w:val="640"/>
          <w:marRight w:val="0"/>
          <w:marTop w:val="0"/>
          <w:marBottom w:val="0"/>
          <w:divBdr>
            <w:top w:val="none" w:sz="0" w:space="0" w:color="auto"/>
            <w:left w:val="none" w:sz="0" w:space="0" w:color="auto"/>
            <w:bottom w:val="none" w:sz="0" w:space="0" w:color="auto"/>
            <w:right w:val="none" w:sz="0" w:space="0" w:color="auto"/>
          </w:divBdr>
        </w:div>
        <w:div w:id="102847340">
          <w:marLeft w:val="640"/>
          <w:marRight w:val="0"/>
          <w:marTop w:val="0"/>
          <w:marBottom w:val="0"/>
          <w:divBdr>
            <w:top w:val="none" w:sz="0" w:space="0" w:color="auto"/>
            <w:left w:val="none" w:sz="0" w:space="0" w:color="auto"/>
            <w:bottom w:val="none" w:sz="0" w:space="0" w:color="auto"/>
            <w:right w:val="none" w:sz="0" w:space="0" w:color="auto"/>
          </w:divBdr>
        </w:div>
        <w:div w:id="1701280054">
          <w:marLeft w:val="640"/>
          <w:marRight w:val="0"/>
          <w:marTop w:val="0"/>
          <w:marBottom w:val="0"/>
          <w:divBdr>
            <w:top w:val="none" w:sz="0" w:space="0" w:color="auto"/>
            <w:left w:val="none" w:sz="0" w:space="0" w:color="auto"/>
            <w:bottom w:val="none" w:sz="0" w:space="0" w:color="auto"/>
            <w:right w:val="none" w:sz="0" w:space="0" w:color="auto"/>
          </w:divBdr>
        </w:div>
        <w:div w:id="1027609175">
          <w:marLeft w:val="640"/>
          <w:marRight w:val="0"/>
          <w:marTop w:val="0"/>
          <w:marBottom w:val="0"/>
          <w:divBdr>
            <w:top w:val="none" w:sz="0" w:space="0" w:color="auto"/>
            <w:left w:val="none" w:sz="0" w:space="0" w:color="auto"/>
            <w:bottom w:val="none" w:sz="0" w:space="0" w:color="auto"/>
            <w:right w:val="none" w:sz="0" w:space="0" w:color="auto"/>
          </w:divBdr>
        </w:div>
        <w:div w:id="790976723">
          <w:marLeft w:val="640"/>
          <w:marRight w:val="0"/>
          <w:marTop w:val="0"/>
          <w:marBottom w:val="0"/>
          <w:divBdr>
            <w:top w:val="none" w:sz="0" w:space="0" w:color="auto"/>
            <w:left w:val="none" w:sz="0" w:space="0" w:color="auto"/>
            <w:bottom w:val="none" w:sz="0" w:space="0" w:color="auto"/>
            <w:right w:val="none" w:sz="0" w:space="0" w:color="auto"/>
          </w:divBdr>
        </w:div>
        <w:div w:id="1206328607">
          <w:marLeft w:val="640"/>
          <w:marRight w:val="0"/>
          <w:marTop w:val="0"/>
          <w:marBottom w:val="0"/>
          <w:divBdr>
            <w:top w:val="none" w:sz="0" w:space="0" w:color="auto"/>
            <w:left w:val="none" w:sz="0" w:space="0" w:color="auto"/>
            <w:bottom w:val="none" w:sz="0" w:space="0" w:color="auto"/>
            <w:right w:val="none" w:sz="0" w:space="0" w:color="auto"/>
          </w:divBdr>
        </w:div>
        <w:div w:id="924221126">
          <w:marLeft w:val="640"/>
          <w:marRight w:val="0"/>
          <w:marTop w:val="0"/>
          <w:marBottom w:val="0"/>
          <w:divBdr>
            <w:top w:val="none" w:sz="0" w:space="0" w:color="auto"/>
            <w:left w:val="none" w:sz="0" w:space="0" w:color="auto"/>
            <w:bottom w:val="none" w:sz="0" w:space="0" w:color="auto"/>
            <w:right w:val="none" w:sz="0" w:space="0" w:color="auto"/>
          </w:divBdr>
        </w:div>
        <w:div w:id="500511310">
          <w:marLeft w:val="640"/>
          <w:marRight w:val="0"/>
          <w:marTop w:val="0"/>
          <w:marBottom w:val="0"/>
          <w:divBdr>
            <w:top w:val="none" w:sz="0" w:space="0" w:color="auto"/>
            <w:left w:val="none" w:sz="0" w:space="0" w:color="auto"/>
            <w:bottom w:val="none" w:sz="0" w:space="0" w:color="auto"/>
            <w:right w:val="none" w:sz="0" w:space="0" w:color="auto"/>
          </w:divBdr>
        </w:div>
        <w:div w:id="1631550479">
          <w:marLeft w:val="640"/>
          <w:marRight w:val="0"/>
          <w:marTop w:val="0"/>
          <w:marBottom w:val="0"/>
          <w:divBdr>
            <w:top w:val="none" w:sz="0" w:space="0" w:color="auto"/>
            <w:left w:val="none" w:sz="0" w:space="0" w:color="auto"/>
            <w:bottom w:val="none" w:sz="0" w:space="0" w:color="auto"/>
            <w:right w:val="none" w:sz="0" w:space="0" w:color="auto"/>
          </w:divBdr>
        </w:div>
        <w:div w:id="3171264">
          <w:marLeft w:val="640"/>
          <w:marRight w:val="0"/>
          <w:marTop w:val="0"/>
          <w:marBottom w:val="0"/>
          <w:divBdr>
            <w:top w:val="none" w:sz="0" w:space="0" w:color="auto"/>
            <w:left w:val="none" w:sz="0" w:space="0" w:color="auto"/>
            <w:bottom w:val="none" w:sz="0" w:space="0" w:color="auto"/>
            <w:right w:val="none" w:sz="0" w:space="0" w:color="auto"/>
          </w:divBdr>
        </w:div>
        <w:div w:id="1663577924">
          <w:marLeft w:val="640"/>
          <w:marRight w:val="0"/>
          <w:marTop w:val="0"/>
          <w:marBottom w:val="0"/>
          <w:divBdr>
            <w:top w:val="none" w:sz="0" w:space="0" w:color="auto"/>
            <w:left w:val="none" w:sz="0" w:space="0" w:color="auto"/>
            <w:bottom w:val="none" w:sz="0" w:space="0" w:color="auto"/>
            <w:right w:val="none" w:sz="0" w:space="0" w:color="auto"/>
          </w:divBdr>
        </w:div>
        <w:div w:id="1232689680">
          <w:marLeft w:val="640"/>
          <w:marRight w:val="0"/>
          <w:marTop w:val="0"/>
          <w:marBottom w:val="0"/>
          <w:divBdr>
            <w:top w:val="none" w:sz="0" w:space="0" w:color="auto"/>
            <w:left w:val="none" w:sz="0" w:space="0" w:color="auto"/>
            <w:bottom w:val="none" w:sz="0" w:space="0" w:color="auto"/>
            <w:right w:val="none" w:sz="0" w:space="0" w:color="auto"/>
          </w:divBdr>
        </w:div>
        <w:div w:id="935751808">
          <w:marLeft w:val="640"/>
          <w:marRight w:val="0"/>
          <w:marTop w:val="0"/>
          <w:marBottom w:val="0"/>
          <w:divBdr>
            <w:top w:val="none" w:sz="0" w:space="0" w:color="auto"/>
            <w:left w:val="none" w:sz="0" w:space="0" w:color="auto"/>
            <w:bottom w:val="none" w:sz="0" w:space="0" w:color="auto"/>
            <w:right w:val="none" w:sz="0" w:space="0" w:color="auto"/>
          </w:divBdr>
        </w:div>
        <w:div w:id="2083486132">
          <w:marLeft w:val="640"/>
          <w:marRight w:val="0"/>
          <w:marTop w:val="0"/>
          <w:marBottom w:val="0"/>
          <w:divBdr>
            <w:top w:val="none" w:sz="0" w:space="0" w:color="auto"/>
            <w:left w:val="none" w:sz="0" w:space="0" w:color="auto"/>
            <w:bottom w:val="none" w:sz="0" w:space="0" w:color="auto"/>
            <w:right w:val="none" w:sz="0" w:space="0" w:color="auto"/>
          </w:divBdr>
        </w:div>
        <w:div w:id="767580691">
          <w:marLeft w:val="640"/>
          <w:marRight w:val="0"/>
          <w:marTop w:val="0"/>
          <w:marBottom w:val="0"/>
          <w:divBdr>
            <w:top w:val="none" w:sz="0" w:space="0" w:color="auto"/>
            <w:left w:val="none" w:sz="0" w:space="0" w:color="auto"/>
            <w:bottom w:val="none" w:sz="0" w:space="0" w:color="auto"/>
            <w:right w:val="none" w:sz="0" w:space="0" w:color="auto"/>
          </w:divBdr>
        </w:div>
        <w:div w:id="980840382">
          <w:marLeft w:val="640"/>
          <w:marRight w:val="0"/>
          <w:marTop w:val="0"/>
          <w:marBottom w:val="0"/>
          <w:divBdr>
            <w:top w:val="none" w:sz="0" w:space="0" w:color="auto"/>
            <w:left w:val="none" w:sz="0" w:space="0" w:color="auto"/>
            <w:bottom w:val="none" w:sz="0" w:space="0" w:color="auto"/>
            <w:right w:val="none" w:sz="0" w:space="0" w:color="auto"/>
          </w:divBdr>
        </w:div>
        <w:div w:id="142043377">
          <w:marLeft w:val="640"/>
          <w:marRight w:val="0"/>
          <w:marTop w:val="0"/>
          <w:marBottom w:val="0"/>
          <w:divBdr>
            <w:top w:val="none" w:sz="0" w:space="0" w:color="auto"/>
            <w:left w:val="none" w:sz="0" w:space="0" w:color="auto"/>
            <w:bottom w:val="none" w:sz="0" w:space="0" w:color="auto"/>
            <w:right w:val="none" w:sz="0" w:space="0" w:color="auto"/>
          </w:divBdr>
        </w:div>
        <w:div w:id="287013434">
          <w:marLeft w:val="640"/>
          <w:marRight w:val="0"/>
          <w:marTop w:val="0"/>
          <w:marBottom w:val="0"/>
          <w:divBdr>
            <w:top w:val="none" w:sz="0" w:space="0" w:color="auto"/>
            <w:left w:val="none" w:sz="0" w:space="0" w:color="auto"/>
            <w:bottom w:val="none" w:sz="0" w:space="0" w:color="auto"/>
            <w:right w:val="none" w:sz="0" w:space="0" w:color="auto"/>
          </w:divBdr>
        </w:div>
        <w:div w:id="943881187">
          <w:marLeft w:val="640"/>
          <w:marRight w:val="0"/>
          <w:marTop w:val="0"/>
          <w:marBottom w:val="0"/>
          <w:divBdr>
            <w:top w:val="none" w:sz="0" w:space="0" w:color="auto"/>
            <w:left w:val="none" w:sz="0" w:space="0" w:color="auto"/>
            <w:bottom w:val="none" w:sz="0" w:space="0" w:color="auto"/>
            <w:right w:val="none" w:sz="0" w:space="0" w:color="auto"/>
          </w:divBdr>
        </w:div>
        <w:div w:id="1442645010">
          <w:marLeft w:val="640"/>
          <w:marRight w:val="0"/>
          <w:marTop w:val="0"/>
          <w:marBottom w:val="0"/>
          <w:divBdr>
            <w:top w:val="none" w:sz="0" w:space="0" w:color="auto"/>
            <w:left w:val="none" w:sz="0" w:space="0" w:color="auto"/>
            <w:bottom w:val="none" w:sz="0" w:space="0" w:color="auto"/>
            <w:right w:val="none" w:sz="0" w:space="0" w:color="auto"/>
          </w:divBdr>
        </w:div>
        <w:div w:id="492142221">
          <w:marLeft w:val="640"/>
          <w:marRight w:val="0"/>
          <w:marTop w:val="0"/>
          <w:marBottom w:val="0"/>
          <w:divBdr>
            <w:top w:val="none" w:sz="0" w:space="0" w:color="auto"/>
            <w:left w:val="none" w:sz="0" w:space="0" w:color="auto"/>
            <w:bottom w:val="none" w:sz="0" w:space="0" w:color="auto"/>
            <w:right w:val="none" w:sz="0" w:space="0" w:color="auto"/>
          </w:divBdr>
        </w:div>
        <w:div w:id="98452240">
          <w:marLeft w:val="640"/>
          <w:marRight w:val="0"/>
          <w:marTop w:val="0"/>
          <w:marBottom w:val="0"/>
          <w:divBdr>
            <w:top w:val="none" w:sz="0" w:space="0" w:color="auto"/>
            <w:left w:val="none" w:sz="0" w:space="0" w:color="auto"/>
            <w:bottom w:val="none" w:sz="0" w:space="0" w:color="auto"/>
            <w:right w:val="none" w:sz="0" w:space="0" w:color="auto"/>
          </w:divBdr>
        </w:div>
        <w:div w:id="1310596086">
          <w:marLeft w:val="640"/>
          <w:marRight w:val="0"/>
          <w:marTop w:val="0"/>
          <w:marBottom w:val="0"/>
          <w:divBdr>
            <w:top w:val="none" w:sz="0" w:space="0" w:color="auto"/>
            <w:left w:val="none" w:sz="0" w:space="0" w:color="auto"/>
            <w:bottom w:val="none" w:sz="0" w:space="0" w:color="auto"/>
            <w:right w:val="none" w:sz="0" w:space="0" w:color="auto"/>
          </w:divBdr>
        </w:div>
        <w:div w:id="951059050">
          <w:marLeft w:val="640"/>
          <w:marRight w:val="0"/>
          <w:marTop w:val="0"/>
          <w:marBottom w:val="0"/>
          <w:divBdr>
            <w:top w:val="none" w:sz="0" w:space="0" w:color="auto"/>
            <w:left w:val="none" w:sz="0" w:space="0" w:color="auto"/>
            <w:bottom w:val="none" w:sz="0" w:space="0" w:color="auto"/>
            <w:right w:val="none" w:sz="0" w:space="0" w:color="auto"/>
          </w:divBdr>
        </w:div>
        <w:div w:id="663432873">
          <w:marLeft w:val="640"/>
          <w:marRight w:val="0"/>
          <w:marTop w:val="0"/>
          <w:marBottom w:val="0"/>
          <w:divBdr>
            <w:top w:val="none" w:sz="0" w:space="0" w:color="auto"/>
            <w:left w:val="none" w:sz="0" w:space="0" w:color="auto"/>
            <w:bottom w:val="none" w:sz="0" w:space="0" w:color="auto"/>
            <w:right w:val="none" w:sz="0" w:space="0" w:color="auto"/>
          </w:divBdr>
        </w:div>
        <w:div w:id="234170957">
          <w:marLeft w:val="640"/>
          <w:marRight w:val="0"/>
          <w:marTop w:val="0"/>
          <w:marBottom w:val="0"/>
          <w:divBdr>
            <w:top w:val="none" w:sz="0" w:space="0" w:color="auto"/>
            <w:left w:val="none" w:sz="0" w:space="0" w:color="auto"/>
            <w:bottom w:val="none" w:sz="0" w:space="0" w:color="auto"/>
            <w:right w:val="none" w:sz="0" w:space="0" w:color="auto"/>
          </w:divBdr>
        </w:div>
        <w:div w:id="1897081138">
          <w:marLeft w:val="640"/>
          <w:marRight w:val="0"/>
          <w:marTop w:val="0"/>
          <w:marBottom w:val="0"/>
          <w:divBdr>
            <w:top w:val="none" w:sz="0" w:space="0" w:color="auto"/>
            <w:left w:val="none" w:sz="0" w:space="0" w:color="auto"/>
            <w:bottom w:val="none" w:sz="0" w:space="0" w:color="auto"/>
            <w:right w:val="none" w:sz="0" w:space="0" w:color="auto"/>
          </w:divBdr>
        </w:div>
        <w:div w:id="12802661">
          <w:marLeft w:val="640"/>
          <w:marRight w:val="0"/>
          <w:marTop w:val="0"/>
          <w:marBottom w:val="0"/>
          <w:divBdr>
            <w:top w:val="none" w:sz="0" w:space="0" w:color="auto"/>
            <w:left w:val="none" w:sz="0" w:space="0" w:color="auto"/>
            <w:bottom w:val="none" w:sz="0" w:space="0" w:color="auto"/>
            <w:right w:val="none" w:sz="0" w:space="0" w:color="auto"/>
          </w:divBdr>
        </w:div>
        <w:div w:id="1856190466">
          <w:marLeft w:val="640"/>
          <w:marRight w:val="0"/>
          <w:marTop w:val="0"/>
          <w:marBottom w:val="0"/>
          <w:divBdr>
            <w:top w:val="none" w:sz="0" w:space="0" w:color="auto"/>
            <w:left w:val="none" w:sz="0" w:space="0" w:color="auto"/>
            <w:bottom w:val="none" w:sz="0" w:space="0" w:color="auto"/>
            <w:right w:val="none" w:sz="0" w:space="0" w:color="auto"/>
          </w:divBdr>
        </w:div>
        <w:div w:id="1241477912">
          <w:marLeft w:val="640"/>
          <w:marRight w:val="0"/>
          <w:marTop w:val="0"/>
          <w:marBottom w:val="0"/>
          <w:divBdr>
            <w:top w:val="none" w:sz="0" w:space="0" w:color="auto"/>
            <w:left w:val="none" w:sz="0" w:space="0" w:color="auto"/>
            <w:bottom w:val="none" w:sz="0" w:space="0" w:color="auto"/>
            <w:right w:val="none" w:sz="0" w:space="0" w:color="auto"/>
          </w:divBdr>
        </w:div>
        <w:div w:id="479199963">
          <w:marLeft w:val="640"/>
          <w:marRight w:val="0"/>
          <w:marTop w:val="0"/>
          <w:marBottom w:val="0"/>
          <w:divBdr>
            <w:top w:val="none" w:sz="0" w:space="0" w:color="auto"/>
            <w:left w:val="none" w:sz="0" w:space="0" w:color="auto"/>
            <w:bottom w:val="none" w:sz="0" w:space="0" w:color="auto"/>
            <w:right w:val="none" w:sz="0" w:space="0" w:color="auto"/>
          </w:divBdr>
        </w:div>
        <w:div w:id="487474679">
          <w:marLeft w:val="640"/>
          <w:marRight w:val="0"/>
          <w:marTop w:val="0"/>
          <w:marBottom w:val="0"/>
          <w:divBdr>
            <w:top w:val="none" w:sz="0" w:space="0" w:color="auto"/>
            <w:left w:val="none" w:sz="0" w:space="0" w:color="auto"/>
            <w:bottom w:val="none" w:sz="0" w:space="0" w:color="auto"/>
            <w:right w:val="none" w:sz="0" w:space="0" w:color="auto"/>
          </w:divBdr>
        </w:div>
        <w:div w:id="560479043">
          <w:marLeft w:val="640"/>
          <w:marRight w:val="0"/>
          <w:marTop w:val="0"/>
          <w:marBottom w:val="0"/>
          <w:divBdr>
            <w:top w:val="none" w:sz="0" w:space="0" w:color="auto"/>
            <w:left w:val="none" w:sz="0" w:space="0" w:color="auto"/>
            <w:bottom w:val="none" w:sz="0" w:space="0" w:color="auto"/>
            <w:right w:val="none" w:sz="0" w:space="0" w:color="auto"/>
          </w:divBdr>
        </w:div>
        <w:div w:id="130639110">
          <w:marLeft w:val="640"/>
          <w:marRight w:val="0"/>
          <w:marTop w:val="0"/>
          <w:marBottom w:val="0"/>
          <w:divBdr>
            <w:top w:val="none" w:sz="0" w:space="0" w:color="auto"/>
            <w:left w:val="none" w:sz="0" w:space="0" w:color="auto"/>
            <w:bottom w:val="none" w:sz="0" w:space="0" w:color="auto"/>
            <w:right w:val="none" w:sz="0" w:space="0" w:color="auto"/>
          </w:divBdr>
        </w:div>
        <w:div w:id="1300960104">
          <w:marLeft w:val="640"/>
          <w:marRight w:val="0"/>
          <w:marTop w:val="0"/>
          <w:marBottom w:val="0"/>
          <w:divBdr>
            <w:top w:val="none" w:sz="0" w:space="0" w:color="auto"/>
            <w:left w:val="none" w:sz="0" w:space="0" w:color="auto"/>
            <w:bottom w:val="none" w:sz="0" w:space="0" w:color="auto"/>
            <w:right w:val="none" w:sz="0" w:space="0" w:color="auto"/>
          </w:divBdr>
        </w:div>
        <w:div w:id="416101557">
          <w:marLeft w:val="640"/>
          <w:marRight w:val="0"/>
          <w:marTop w:val="0"/>
          <w:marBottom w:val="0"/>
          <w:divBdr>
            <w:top w:val="none" w:sz="0" w:space="0" w:color="auto"/>
            <w:left w:val="none" w:sz="0" w:space="0" w:color="auto"/>
            <w:bottom w:val="none" w:sz="0" w:space="0" w:color="auto"/>
            <w:right w:val="none" w:sz="0" w:space="0" w:color="auto"/>
          </w:divBdr>
        </w:div>
        <w:div w:id="493104913">
          <w:marLeft w:val="640"/>
          <w:marRight w:val="0"/>
          <w:marTop w:val="0"/>
          <w:marBottom w:val="0"/>
          <w:divBdr>
            <w:top w:val="none" w:sz="0" w:space="0" w:color="auto"/>
            <w:left w:val="none" w:sz="0" w:space="0" w:color="auto"/>
            <w:bottom w:val="none" w:sz="0" w:space="0" w:color="auto"/>
            <w:right w:val="none" w:sz="0" w:space="0" w:color="auto"/>
          </w:divBdr>
        </w:div>
        <w:div w:id="823934198">
          <w:marLeft w:val="640"/>
          <w:marRight w:val="0"/>
          <w:marTop w:val="0"/>
          <w:marBottom w:val="0"/>
          <w:divBdr>
            <w:top w:val="none" w:sz="0" w:space="0" w:color="auto"/>
            <w:left w:val="none" w:sz="0" w:space="0" w:color="auto"/>
            <w:bottom w:val="none" w:sz="0" w:space="0" w:color="auto"/>
            <w:right w:val="none" w:sz="0" w:space="0" w:color="auto"/>
          </w:divBdr>
        </w:div>
        <w:div w:id="1323509018">
          <w:marLeft w:val="640"/>
          <w:marRight w:val="0"/>
          <w:marTop w:val="0"/>
          <w:marBottom w:val="0"/>
          <w:divBdr>
            <w:top w:val="none" w:sz="0" w:space="0" w:color="auto"/>
            <w:left w:val="none" w:sz="0" w:space="0" w:color="auto"/>
            <w:bottom w:val="none" w:sz="0" w:space="0" w:color="auto"/>
            <w:right w:val="none" w:sz="0" w:space="0" w:color="auto"/>
          </w:divBdr>
        </w:div>
        <w:div w:id="1456557079">
          <w:marLeft w:val="640"/>
          <w:marRight w:val="0"/>
          <w:marTop w:val="0"/>
          <w:marBottom w:val="0"/>
          <w:divBdr>
            <w:top w:val="none" w:sz="0" w:space="0" w:color="auto"/>
            <w:left w:val="none" w:sz="0" w:space="0" w:color="auto"/>
            <w:bottom w:val="none" w:sz="0" w:space="0" w:color="auto"/>
            <w:right w:val="none" w:sz="0" w:space="0" w:color="auto"/>
          </w:divBdr>
        </w:div>
        <w:div w:id="643891243">
          <w:marLeft w:val="640"/>
          <w:marRight w:val="0"/>
          <w:marTop w:val="0"/>
          <w:marBottom w:val="0"/>
          <w:divBdr>
            <w:top w:val="none" w:sz="0" w:space="0" w:color="auto"/>
            <w:left w:val="none" w:sz="0" w:space="0" w:color="auto"/>
            <w:bottom w:val="none" w:sz="0" w:space="0" w:color="auto"/>
            <w:right w:val="none" w:sz="0" w:space="0" w:color="auto"/>
          </w:divBdr>
        </w:div>
        <w:div w:id="2125032041">
          <w:marLeft w:val="640"/>
          <w:marRight w:val="0"/>
          <w:marTop w:val="0"/>
          <w:marBottom w:val="0"/>
          <w:divBdr>
            <w:top w:val="none" w:sz="0" w:space="0" w:color="auto"/>
            <w:left w:val="none" w:sz="0" w:space="0" w:color="auto"/>
            <w:bottom w:val="none" w:sz="0" w:space="0" w:color="auto"/>
            <w:right w:val="none" w:sz="0" w:space="0" w:color="auto"/>
          </w:divBdr>
        </w:div>
        <w:div w:id="1547987168">
          <w:marLeft w:val="640"/>
          <w:marRight w:val="0"/>
          <w:marTop w:val="0"/>
          <w:marBottom w:val="0"/>
          <w:divBdr>
            <w:top w:val="none" w:sz="0" w:space="0" w:color="auto"/>
            <w:left w:val="none" w:sz="0" w:space="0" w:color="auto"/>
            <w:bottom w:val="none" w:sz="0" w:space="0" w:color="auto"/>
            <w:right w:val="none" w:sz="0" w:space="0" w:color="auto"/>
          </w:divBdr>
        </w:div>
        <w:div w:id="2127313735">
          <w:marLeft w:val="640"/>
          <w:marRight w:val="0"/>
          <w:marTop w:val="0"/>
          <w:marBottom w:val="0"/>
          <w:divBdr>
            <w:top w:val="none" w:sz="0" w:space="0" w:color="auto"/>
            <w:left w:val="none" w:sz="0" w:space="0" w:color="auto"/>
            <w:bottom w:val="none" w:sz="0" w:space="0" w:color="auto"/>
            <w:right w:val="none" w:sz="0" w:space="0" w:color="auto"/>
          </w:divBdr>
        </w:div>
        <w:div w:id="833881950">
          <w:marLeft w:val="640"/>
          <w:marRight w:val="0"/>
          <w:marTop w:val="0"/>
          <w:marBottom w:val="0"/>
          <w:divBdr>
            <w:top w:val="none" w:sz="0" w:space="0" w:color="auto"/>
            <w:left w:val="none" w:sz="0" w:space="0" w:color="auto"/>
            <w:bottom w:val="none" w:sz="0" w:space="0" w:color="auto"/>
            <w:right w:val="none" w:sz="0" w:space="0" w:color="auto"/>
          </w:divBdr>
        </w:div>
        <w:div w:id="767433496">
          <w:marLeft w:val="640"/>
          <w:marRight w:val="0"/>
          <w:marTop w:val="0"/>
          <w:marBottom w:val="0"/>
          <w:divBdr>
            <w:top w:val="none" w:sz="0" w:space="0" w:color="auto"/>
            <w:left w:val="none" w:sz="0" w:space="0" w:color="auto"/>
            <w:bottom w:val="none" w:sz="0" w:space="0" w:color="auto"/>
            <w:right w:val="none" w:sz="0" w:space="0" w:color="auto"/>
          </w:divBdr>
        </w:div>
        <w:div w:id="175851061">
          <w:marLeft w:val="640"/>
          <w:marRight w:val="0"/>
          <w:marTop w:val="0"/>
          <w:marBottom w:val="0"/>
          <w:divBdr>
            <w:top w:val="none" w:sz="0" w:space="0" w:color="auto"/>
            <w:left w:val="none" w:sz="0" w:space="0" w:color="auto"/>
            <w:bottom w:val="none" w:sz="0" w:space="0" w:color="auto"/>
            <w:right w:val="none" w:sz="0" w:space="0" w:color="auto"/>
          </w:divBdr>
        </w:div>
        <w:div w:id="1927760218">
          <w:marLeft w:val="640"/>
          <w:marRight w:val="0"/>
          <w:marTop w:val="0"/>
          <w:marBottom w:val="0"/>
          <w:divBdr>
            <w:top w:val="none" w:sz="0" w:space="0" w:color="auto"/>
            <w:left w:val="none" w:sz="0" w:space="0" w:color="auto"/>
            <w:bottom w:val="none" w:sz="0" w:space="0" w:color="auto"/>
            <w:right w:val="none" w:sz="0" w:space="0" w:color="auto"/>
          </w:divBdr>
        </w:div>
        <w:div w:id="416025826">
          <w:marLeft w:val="640"/>
          <w:marRight w:val="0"/>
          <w:marTop w:val="0"/>
          <w:marBottom w:val="0"/>
          <w:divBdr>
            <w:top w:val="none" w:sz="0" w:space="0" w:color="auto"/>
            <w:left w:val="none" w:sz="0" w:space="0" w:color="auto"/>
            <w:bottom w:val="none" w:sz="0" w:space="0" w:color="auto"/>
            <w:right w:val="none" w:sz="0" w:space="0" w:color="auto"/>
          </w:divBdr>
        </w:div>
        <w:div w:id="1304385256">
          <w:marLeft w:val="640"/>
          <w:marRight w:val="0"/>
          <w:marTop w:val="0"/>
          <w:marBottom w:val="0"/>
          <w:divBdr>
            <w:top w:val="none" w:sz="0" w:space="0" w:color="auto"/>
            <w:left w:val="none" w:sz="0" w:space="0" w:color="auto"/>
            <w:bottom w:val="none" w:sz="0" w:space="0" w:color="auto"/>
            <w:right w:val="none" w:sz="0" w:space="0" w:color="auto"/>
          </w:divBdr>
        </w:div>
        <w:div w:id="655720271">
          <w:marLeft w:val="640"/>
          <w:marRight w:val="0"/>
          <w:marTop w:val="0"/>
          <w:marBottom w:val="0"/>
          <w:divBdr>
            <w:top w:val="none" w:sz="0" w:space="0" w:color="auto"/>
            <w:left w:val="none" w:sz="0" w:space="0" w:color="auto"/>
            <w:bottom w:val="none" w:sz="0" w:space="0" w:color="auto"/>
            <w:right w:val="none" w:sz="0" w:space="0" w:color="auto"/>
          </w:divBdr>
        </w:div>
        <w:div w:id="441725285">
          <w:marLeft w:val="640"/>
          <w:marRight w:val="0"/>
          <w:marTop w:val="0"/>
          <w:marBottom w:val="0"/>
          <w:divBdr>
            <w:top w:val="none" w:sz="0" w:space="0" w:color="auto"/>
            <w:left w:val="none" w:sz="0" w:space="0" w:color="auto"/>
            <w:bottom w:val="none" w:sz="0" w:space="0" w:color="auto"/>
            <w:right w:val="none" w:sz="0" w:space="0" w:color="auto"/>
          </w:divBdr>
        </w:div>
        <w:div w:id="2018575180">
          <w:marLeft w:val="640"/>
          <w:marRight w:val="0"/>
          <w:marTop w:val="0"/>
          <w:marBottom w:val="0"/>
          <w:divBdr>
            <w:top w:val="none" w:sz="0" w:space="0" w:color="auto"/>
            <w:left w:val="none" w:sz="0" w:space="0" w:color="auto"/>
            <w:bottom w:val="none" w:sz="0" w:space="0" w:color="auto"/>
            <w:right w:val="none" w:sz="0" w:space="0" w:color="auto"/>
          </w:divBdr>
        </w:div>
        <w:div w:id="35980242">
          <w:marLeft w:val="640"/>
          <w:marRight w:val="0"/>
          <w:marTop w:val="0"/>
          <w:marBottom w:val="0"/>
          <w:divBdr>
            <w:top w:val="none" w:sz="0" w:space="0" w:color="auto"/>
            <w:left w:val="none" w:sz="0" w:space="0" w:color="auto"/>
            <w:bottom w:val="none" w:sz="0" w:space="0" w:color="auto"/>
            <w:right w:val="none" w:sz="0" w:space="0" w:color="auto"/>
          </w:divBdr>
        </w:div>
        <w:div w:id="128599459">
          <w:marLeft w:val="640"/>
          <w:marRight w:val="0"/>
          <w:marTop w:val="0"/>
          <w:marBottom w:val="0"/>
          <w:divBdr>
            <w:top w:val="none" w:sz="0" w:space="0" w:color="auto"/>
            <w:left w:val="none" w:sz="0" w:space="0" w:color="auto"/>
            <w:bottom w:val="none" w:sz="0" w:space="0" w:color="auto"/>
            <w:right w:val="none" w:sz="0" w:space="0" w:color="auto"/>
          </w:divBdr>
        </w:div>
        <w:div w:id="273750190">
          <w:marLeft w:val="640"/>
          <w:marRight w:val="0"/>
          <w:marTop w:val="0"/>
          <w:marBottom w:val="0"/>
          <w:divBdr>
            <w:top w:val="none" w:sz="0" w:space="0" w:color="auto"/>
            <w:left w:val="none" w:sz="0" w:space="0" w:color="auto"/>
            <w:bottom w:val="none" w:sz="0" w:space="0" w:color="auto"/>
            <w:right w:val="none" w:sz="0" w:space="0" w:color="auto"/>
          </w:divBdr>
        </w:div>
        <w:div w:id="1455909388">
          <w:marLeft w:val="640"/>
          <w:marRight w:val="0"/>
          <w:marTop w:val="0"/>
          <w:marBottom w:val="0"/>
          <w:divBdr>
            <w:top w:val="none" w:sz="0" w:space="0" w:color="auto"/>
            <w:left w:val="none" w:sz="0" w:space="0" w:color="auto"/>
            <w:bottom w:val="none" w:sz="0" w:space="0" w:color="auto"/>
            <w:right w:val="none" w:sz="0" w:space="0" w:color="auto"/>
          </w:divBdr>
        </w:div>
        <w:div w:id="2017613325">
          <w:marLeft w:val="640"/>
          <w:marRight w:val="0"/>
          <w:marTop w:val="0"/>
          <w:marBottom w:val="0"/>
          <w:divBdr>
            <w:top w:val="none" w:sz="0" w:space="0" w:color="auto"/>
            <w:left w:val="none" w:sz="0" w:space="0" w:color="auto"/>
            <w:bottom w:val="none" w:sz="0" w:space="0" w:color="auto"/>
            <w:right w:val="none" w:sz="0" w:space="0" w:color="auto"/>
          </w:divBdr>
        </w:div>
        <w:div w:id="1122725896">
          <w:marLeft w:val="640"/>
          <w:marRight w:val="0"/>
          <w:marTop w:val="0"/>
          <w:marBottom w:val="0"/>
          <w:divBdr>
            <w:top w:val="none" w:sz="0" w:space="0" w:color="auto"/>
            <w:left w:val="none" w:sz="0" w:space="0" w:color="auto"/>
            <w:bottom w:val="none" w:sz="0" w:space="0" w:color="auto"/>
            <w:right w:val="none" w:sz="0" w:space="0" w:color="auto"/>
          </w:divBdr>
        </w:div>
        <w:div w:id="507673722">
          <w:marLeft w:val="640"/>
          <w:marRight w:val="0"/>
          <w:marTop w:val="0"/>
          <w:marBottom w:val="0"/>
          <w:divBdr>
            <w:top w:val="none" w:sz="0" w:space="0" w:color="auto"/>
            <w:left w:val="none" w:sz="0" w:space="0" w:color="auto"/>
            <w:bottom w:val="none" w:sz="0" w:space="0" w:color="auto"/>
            <w:right w:val="none" w:sz="0" w:space="0" w:color="auto"/>
          </w:divBdr>
        </w:div>
        <w:div w:id="1902446837">
          <w:marLeft w:val="640"/>
          <w:marRight w:val="0"/>
          <w:marTop w:val="0"/>
          <w:marBottom w:val="0"/>
          <w:divBdr>
            <w:top w:val="none" w:sz="0" w:space="0" w:color="auto"/>
            <w:left w:val="none" w:sz="0" w:space="0" w:color="auto"/>
            <w:bottom w:val="none" w:sz="0" w:space="0" w:color="auto"/>
            <w:right w:val="none" w:sz="0" w:space="0" w:color="auto"/>
          </w:divBdr>
        </w:div>
        <w:div w:id="731470563">
          <w:marLeft w:val="640"/>
          <w:marRight w:val="0"/>
          <w:marTop w:val="0"/>
          <w:marBottom w:val="0"/>
          <w:divBdr>
            <w:top w:val="none" w:sz="0" w:space="0" w:color="auto"/>
            <w:left w:val="none" w:sz="0" w:space="0" w:color="auto"/>
            <w:bottom w:val="none" w:sz="0" w:space="0" w:color="auto"/>
            <w:right w:val="none" w:sz="0" w:space="0" w:color="auto"/>
          </w:divBdr>
        </w:div>
        <w:div w:id="1184519270">
          <w:marLeft w:val="640"/>
          <w:marRight w:val="0"/>
          <w:marTop w:val="0"/>
          <w:marBottom w:val="0"/>
          <w:divBdr>
            <w:top w:val="none" w:sz="0" w:space="0" w:color="auto"/>
            <w:left w:val="none" w:sz="0" w:space="0" w:color="auto"/>
            <w:bottom w:val="none" w:sz="0" w:space="0" w:color="auto"/>
            <w:right w:val="none" w:sz="0" w:space="0" w:color="auto"/>
          </w:divBdr>
        </w:div>
        <w:div w:id="1618635582">
          <w:marLeft w:val="640"/>
          <w:marRight w:val="0"/>
          <w:marTop w:val="0"/>
          <w:marBottom w:val="0"/>
          <w:divBdr>
            <w:top w:val="none" w:sz="0" w:space="0" w:color="auto"/>
            <w:left w:val="none" w:sz="0" w:space="0" w:color="auto"/>
            <w:bottom w:val="none" w:sz="0" w:space="0" w:color="auto"/>
            <w:right w:val="none" w:sz="0" w:space="0" w:color="auto"/>
          </w:divBdr>
        </w:div>
        <w:div w:id="1593120610">
          <w:marLeft w:val="640"/>
          <w:marRight w:val="0"/>
          <w:marTop w:val="0"/>
          <w:marBottom w:val="0"/>
          <w:divBdr>
            <w:top w:val="none" w:sz="0" w:space="0" w:color="auto"/>
            <w:left w:val="none" w:sz="0" w:space="0" w:color="auto"/>
            <w:bottom w:val="none" w:sz="0" w:space="0" w:color="auto"/>
            <w:right w:val="none" w:sz="0" w:space="0" w:color="auto"/>
          </w:divBdr>
        </w:div>
        <w:div w:id="362219320">
          <w:marLeft w:val="640"/>
          <w:marRight w:val="0"/>
          <w:marTop w:val="0"/>
          <w:marBottom w:val="0"/>
          <w:divBdr>
            <w:top w:val="none" w:sz="0" w:space="0" w:color="auto"/>
            <w:left w:val="none" w:sz="0" w:space="0" w:color="auto"/>
            <w:bottom w:val="none" w:sz="0" w:space="0" w:color="auto"/>
            <w:right w:val="none" w:sz="0" w:space="0" w:color="auto"/>
          </w:divBdr>
        </w:div>
        <w:div w:id="95179497">
          <w:marLeft w:val="640"/>
          <w:marRight w:val="0"/>
          <w:marTop w:val="0"/>
          <w:marBottom w:val="0"/>
          <w:divBdr>
            <w:top w:val="none" w:sz="0" w:space="0" w:color="auto"/>
            <w:left w:val="none" w:sz="0" w:space="0" w:color="auto"/>
            <w:bottom w:val="none" w:sz="0" w:space="0" w:color="auto"/>
            <w:right w:val="none" w:sz="0" w:space="0" w:color="auto"/>
          </w:divBdr>
        </w:div>
        <w:div w:id="1664970043">
          <w:marLeft w:val="640"/>
          <w:marRight w:val="0"/>
          <w:marTop w:val="0"/>
          <w:marBottom w:val="0"/>
          <w:divBdr>
            <w:top w:val="none" w:sz="0" w:space="0" w:color="auto"/>
            <w:left w:val="none" w:sz="0" w:space="0" w:color="auto"/>
            <w:bottom w:val="none" w:sz="0" w:space="0" w:color="auto"/>
            <w:right w:val="none" w:sz="0" w:space="0" w:color="auto"/>
          </w:divBdr>
        </w:div>
        <w:div w:id="422996050">
          <w:marLeft w:val="640"/>
          <w:marRight w:val="0"/>
          <w:marTop w:val="0"/>
          <w:marBottom w:val="0"/>
          <w:divBdr>
            <w:top w:val="none" w:sz="0" w:space="0" w:color="auto"/>
            <w:left w:val="none" w:sz="0" w:space="0" w:color="auto"/>
            <w:bottom w:val="none" w:sz="0" w:space="0" w:color="auto"/>
            <w:right w:val="none" w:sz="0" w:space="0" w:color="auto"/>
          </w:divBdr>
        </w:div>
        <w:div w:id="830679201">
          <w:marLeft w:val="640"/>
          <w:marRight w:val="0"/>
          <w:marTop w:val="0"/>
          <w:marBottom w:val="0"/>
          <w:divBdr>
            <w:top w:val="none" w:sz="0" w:space="0" w:color="auto"/>
            <w:left w:val="none" w:sz="0" w:space="0" w:color="auto"/>
            <w:bottom w:val="none" w:sz="0" w:space="0" w:color="auto"/>
            <w:right w:val="none" w:sz="0" w:space="0" w:color="auto"/>
          </w:divBdr>
        </w:div>
        <w:div w:id="845632423">
          <w:marLeft w:val="640"/>
          <w:marRight w:val="0"/>
          <w:marTop w:val="0"/>
          <w:marBottom w:val="0"/>
          <w:divBdr>
            <w:top w:val="none" w:sz="0" w:space="0" w:color="auto"/>
            <w:left w:val="none" w:sz="0" w:space="0" w:color="auto"/>
            <w:bottom w:val="none" w:sz="0" w:space="0" w:color="auto"/>
            <w:right w:val="none" w:sz="0" w:space="0" w:color="auto"/>
          </w:divBdr>
        </w:div>
        <w:div w:id="1558667708">
          <w:marLeft w:val="640"/>
          <w:marRight w:val="0"/>
          <w:marTop w:val="0"/>
          <w:marBottom w:val="0"/>
          <w:divBdr>
            <w:top w:val="none" w:sz="0" w:space="0" w:color="auto"/>
            <w:left w:val="none" w:sz="0" w:space="0" w:color="auto"/>
            <w:bottom w:val="none" w:sz="0" w:space="0" w:color="auto"/>
            <w:right w:val="none" w:sz="0" w:space="0" w:color="auto"/>
          </w:divBdr>
        </w:div>
        <w:div w:id="2082753377">
          <w:marLeft w:val="640"/>
          <w:marRight w:val="0"/>
          <w:marTop w:val="0"/>
          <w:marBottom w:val="0"/>
          <w:divBdr>
            <w:top w:val="none" w:sz="0" w:space="0" w:color="auto"/>
            <w:left w:val="none" w:sz="0" w:space="0" w:color="auto"/>
            <w:bottom w:val="none" w:sz="0" w:space="0" w:color="auto"/>
            <w:right w:val="none" w:sz="0" w:space="0" w:color="auto"/>
          </w:divBdr>
        </w:div>
        <w:div w:id="1638952064">
          <w:marLeft w:val="640"/>
          <w:marRight w:val="0"/>
          <w:marTop w:val="0"/>
          <w:marBottom w:val="0"/>
          <w:divBdr>
            <w:top w:val="none" w:sz="0" w:space="0" w:color="auto"/>
            <w:left w:val="none" w:sz="0" w:space="0" w:color="auto"/>
            <w:bottom w:val="none" w:sz="0" w:space="0" w:color="auto"/>
            <w:right w:val="none" w:sz="0" w:space="0" w:color="auto"/>
          </w:divBdr>
        </w:div>
        <w:div w:id="355929183">
          <w:marLeft w:val="640"/>
          <w:marRight w:val="0"/>
          <w:marTop w:val="0"/>
          <w:marBottom w:val="0"/>
          <w:divBdr>
            <w:top w:val="none" w:sz="0" w:space="0" w:color="auto"/>
            <w:left w:val="none" w:sz="0" w:space="0" w:color="auto"/>
            <w:bottom w:val="none" w:sz="0" w:space="0" w:color="auto"/>
            <w:right w:val="none" w:sz="0" w:space="0" w:color="auto"/>
          </w:divBdr>
        </w:div>
        <w:div w:id="734283255">
          <w:marLeft w:val="640"/>
          <w:marRight w:val="0"/>
          <w:marTop w:val="0"/>
          <w:marBottom w:val="0"/>
          <w:divBdr>
            <w:top w:val="none" w:sz="0" w:space="0" w:color="auto"/>
            <w:left w:val="none" w:sz="0" w:space="0" w:color="auto"/>
            <w:bottom w:val="none" w:sz="0" w:space="0" w:color="auto"/>
            <w:right w:val="none" w:sz="0" w:space="0" w:color="auto"/>
          </w:divBdr>
        </w:div>
        <w:div w:id="842091843">
          <w:marLeft w:val="640"/>
          <w:marRight w:val="0"/>
          <w:marTop w:val="0"/>
          <w:marBottom w:val="0"/>
          <w:divBdr>
            <w:top w:val="none" w:sz="0" w:space="0" w:color="auto"/>
            <w:left w:val="none" w:sz="0" w:space="0" w:color="auto"/>
            <w:bottom w:val="none" w:sz="0" w:space="0" w:color="auto"/>
            <w:right w:val="none" w:sz="0" w:space="0" w:color="auto"/>
          </w:divBdr>
        </w:div>
        <w:div w:id="265844324">
          <w:marLeft w:val="640"/>
          <w:marRight w:val="0"/>
          <w:marTop w:val="0"/>
          <w:marBottom w:val="0"/>
          <w:divBdr>
            <w:top w:val="none" w:sz="0" w:space="0" w:color="auto"/>
            <w:left w:val="none" w:sz="0" w:space="0" w:color="auto"/>
            <w:bottom w:val="none" w:sz="0" w:space="0" w:color="auto"/>
            <w:right w:val="none" w:sz="0" w:space="0" w:color="auto"/>
          </w:divBdr>
        </w:div>
        <w:div w:id="240262498">
          <w:marLeft w:val="640"/>
          <w:marRight w:val="0"/>
          <w:marTop w:val="0"/>
          <w:marBottom w:val="0"/>
          <w:divBdr>
            <w:top w:val="none" w:sz="0" w:space="0" w:color="auto"/>
            <w:left w:val="none" w:sz="0" w:space="0" w:color="auto"/>
            <w:bottom w:val="none" w:sz="0" w:space="0" w:color="auto"/>
            <w:right w:val="none" w:sz="0" w:space="0" w:color="auto"/>
          </w:divBdr>
        </w:div>
        <w:div w:id="1534876971">
          <w:marLeft w:val="640"/>
          <w:marRight w:val="0"/>
          <w:marTop w:val="0"/>
          <w:marBottom w:val="0"/>
          <w:divBdr>
            <w:top w:val="none" w:sz="0" w:space="0" w:color="auto"/>
            <w:left w:val="none" w:sz="0" w:space="0" w:color="auto"/>
            <w:bottom w:val="none" w:sz="0" w:space="0" w:color="auto"/>
            <w:right w:val="none" w:sz="0" w:space="0" w:color="auto"/>
          </w:divBdr>
        </w:div>
        <w:div w:id="1285624651">
          <w:marLeft w:val="640"/>
          <w:marRight w:val="0"/>
          <w:marTop w:val="0"/>
          <w:marBottom w:val="0"/>
          <w:divBdr>
            <w:top w:val="none" w:sz="0" w:space="0" w:color="auto"/>
            <w:left w:val="none" w:sz="0" w:space="0" w:color="auto"/>
            <w:bottom w:val="none" w:sz="0" w:space="0" w:color="auto"/>
            <w:right w:val="none" w:sz="0" w:space="0" w:color="auto"/>
          </w:divBdr>
        </w:div>
        <w:div w:id="726418067">
          <w:marLeft w:val="640"/>
          <w:marRight w:val="0"/>
          <w:marTop w:val="0"/>
          <w:marBottom w:val="0"/>
          <w:divBdr>
            <w:top w:val="none" w:sz="0" w:space="0" w:color="auto"/>
            <w:left w:val="none" w:sz="0" w:space="0" w:color="auto"/>
            <w:bottom w:val="none" w:sz="0" w:space="0" w:color="auto"/>
            <w:right w:val="none" w:sz="0" w:space="0" w:color="auto"/>
          </w:divBdr>
        </w:div>
        <w:div w:id="267004279">
          <w:marLeft w:val="640"/>
          <w:marRight w:val="0"/>
          <w:marTop w:val="0"/>
          <w:marBottom w:val="0"/>
          <w:divBdr>
            <w:top w:val="none" w:sz="0" w:space="0" w:color="auto"/>
            <w:left w:val="none" w:sz="0" w:space="0" w:color="auto"/>
            <w:bottom w:val="none" w:sz="0" w:space="0" w:color="auto"/>
            <w:right w:val="none" w:sz="0" w:space="0" w:color="auto"/>
          </w:divBdr>
        </w:div>
        <w:div w:id="1407994583">
          <w:marLeft w:val="640"/>
          <w:marRight w:val="0"/>
          <w:marTop w:val="0"/>
          <w:marBottom w:val="0"/>
          <w:divBdr>
            <w:top w:val="none" w:sz="0" w:space="0" w:color="auto"/>
            <w:left w:val="none" w:sz="0" w:space="0" w:color="auto"/>
            <w:bottom w:val="none" w:sz="0" w:space="0" w:color="auto"/>
            <w:right w:val="none" w:sz="0" w:space="0" w:color="auto"/>
          </w:divBdr>
        </w:div>
        <w:div w:id="1179543117">
          <w:marLeft w:val="640"/>
          <w:marRight w:val="0"/>
          <w:marTop w:val="0"/>
          <w:marBottom w:val="0"/>
          <w:divBdr>
            <w:top w:val="none" w:sz="0" w:space="0" w:color="auto"/>
            <w:left w:val="none" w:sz="0" w:space="0" w:color="auto"/>
            <w:bottom w:val="none" w:sz="0" w:space="0" w:color="auto"/>
            <w:right w:val="none" w:sz="0" w:space="0" w:color="auto"/>
          </w:divBdr>
        </w:div>
        <w:div w:id="1079785567">
          <w:marLeft w:val="640"/>
          <w:marRight w:val="0"/>
          <w:marTop w:val="0"/>
          <w:marBottom w:val="0"/>
          <w:divBdr>
            <w:top w:val="none" w:sz="0" w:space="0" w:color="auto"/>
            <w:left w:val="none" w:sz="0" w:space="0" w:color="auto"/>
            <w:bottom w:val="none" w:sz="0" w:space="0" w:color="auto"/>
            <w:right w:val="none" w:sz="0" w:space="0" w:color="auto"/>
          </w:divBdr>
        </w:div>
        <w:div w:id="665785011">
          <w:marLeft w:val="640"/>
          <w:marRight w:val="0"/>
          <w:marTop w:val="0"/>
          <w:marBottom w:val="0"/>
          <w:divBdr>
            <w:top w:val="none" w:sz="0" w:space="0" w:color="auto"/>
            <w:left w:val="none" w:sz="0" w:space="0" w:color="auto"/>
            <w:bottom w:val="none" w:sz="0" w:space="0" w:color="auto"/>
            <w:right w:val="none" w:sz="0" w:space="0" w:color="auto"/>
          </w:divBdr>
        </w:div>
        <w:div w:id="1668510825">
          <w:marLeft w:val="640"/>
          <w:marRight w:val="0"/>
          <w:marTop w:val="0"/>
          <w:marBottom w:val="0"/>
          <w:divBdr>
            <w:top w:val="none" w:sz="0" w:space="0" w:color="auto"/>
            <w:left w:val="none" w:sz="0" w:space="0" w:color="auto"/>
            <w:bottom w:val="none" w:sz="0" w:space="0" w:color="auto"/>
            <w:right w:val="none" w:sz="0" w:space="0" w:color="auto"/>
          </w:divBdr>
        </w:div>
        <w:div w:id="2056076720">
          <w:marLeft w:val="640"/>
          <w:marRight w:val="0"/>
          <w:marTop w:val="0"/>
          <w:marBottom w:val="0"/>
          <w:divBdr>
            <w:top w:val="none" w:sz="0" w:space="0" w:color="auto"/>
            <w:left w:val="none" w:sz="0" w:space="0" w:color="auto"/>
            <w:bottom w:val="none" w:sz="0" w:space="0" w:color="auto"/>
            <w:right w:val="none" w:sz="0" w:space="0" w:color="auto"/>
          </w:divBdr>
        </w:div>
        <w:div w:id="696321086">
          <w:marLeft w:val="640"/>
          <w:marRight w:val="0"/>
          <w:marTop w:val="0"/>
          <w:marBottom w:val="0"/>
          <w:divBdr>
            <w:top w:val="none" w:sz="0" w:space="0" w:color="auto"/>
            <w:left w:val="none" w:sz="0" w:space="0" w:color="auto"/>
            <w:bottom w:val="none" w:sz="0" w:space="0" w:color="auto"/>
            <w:right w:val="none" w:sz="0" w:space="0" w:color="auto"/>
          </w:divBdr>
        </w:div>
        <w:div w:id="1424372959">
          <w:marLeft w:val="640"/>
          <w:marRight w:val="0"/>
          <w:marTop w:val="0"/>
          <w:marBottom w:val="0"/>
          <w:divBdr>
            <w:top w:val="none" w:sz="0" w:space="0" w:color="auto"/>
            <w:left w:val="none" w:sz="0" w:space="0" w:color="auto"/>
            <w:bottom w:val="none" w:sz="0" w:space="0" w:color="auto"/>
            <w:right w:val="none" w:sz="0" w:space="0" w:color="auto"/>
          </w:divBdr>
        </w:div>
        <w:div w:id="1468936151">
          <w:marLeft w:val="640"/>
          <w:marRight w:val="0"/>
          <w:marTop w:val="0"/>
          <w:marBottom w:val="0"/>
          <w:divBdr>
            <w:top w:val="none" w:sz="0" w:space="0" w:color="auto"/>
            <w:left w:val="none" w:sz="0" w:space="0" w:color="auto"/>
            <w:bottom w:val="none" w:sz="0" w:space="0" w:color="auto"/>
            <w:right w:val="none" w:sz="0" w:space="0" w:color="auto"/>
          </w:divBdr>
        </w:div>
        <w:div w:id="1791050804">
          <w:marLeft w:val="640"/>
          <w:marRight w:val="0"/>
          <w:marTop w:val="0"/>
          <w:marBottom w:val="0"/>
          <w:divBdr>
            <w:top w:val="none" w:sz="0" w:space="0" w:color="auto"/>
            <w:left w:val="none" w:sz="0" w:space="0" w:color="auto"/>
            <w:bottom w:val="none" w:sz="0" w:space="0" w:color="auto"/>
            <w:right w:val="none" w:sz="0" w:space="0" w:color="auto"/>
          </w:divBdr>
        </w:div>
        <w:div w:id="570431694">
          <w:marLeft w:val="640"/>
          <w:marRight w:val="0"/>
          <w:marTop w:val="0"/>
          <w:marBottom w:val="0"/>
          <w:divBdr>
            <w:top w:val="none" w:sz="0" w:space="0" w:color="auto"/>
            <w:left w:val="none" w:sz="0" w:space="0" w:color="auto"/>
            <w:bottom w:val="none" w:sz="0" w:space="0" w:color="auto"/>
            <w:right w:val="none" w:sz="0" w:space="0" w:color="auto"/>
          </w:divBdr>
        </w:div>
        <w:div w:id="692732090">
          <w:marLeft w:val="640"/>
          <w:marRight w:val="0"/>
          <w:marTop w:val="0"/>
          <w:marBottom w:val="0"/>
          <w:divBdr>
            <w:top w:val="none" w:sz="0" w:space="0" w:color="auto"/>
            <w:left w:val="none" w:sz="0" w:space="0" w:color="auto"/>
            <w:bottom w:val="none" w:sz="0" w:space="0" w:color="auto"/>
            <w:right w:val="none" w:sz="0" w:space="0" w:color="auto"/>
          </w:divBdr>
        </w:div>
        <w:div w:id="917984533">
          <w:marLeft w:val="640"/>
          <w:marRight w:val="0"/>
          <w:marTop w:val="0"/>
          <w:marBottom w:val="0"/>
          <w:divBdr>
            <w:top w:val="none" w:sz="0" w:space="0" w:color="auto"/>
            <w:left w:val="none" w:sz="0" w:space="0" w:color="auto"/>
            <w:bottom w:val="none" w:sz="0" w:space="0" w:color="auto"/>
            <w:right w:val="none" w:sz="0" w:space="0" w:color="auto"/>
          </w:divBdr>
        </w:div>
        <w:div w:id="866719617">
          <w:marLeft w:val="640"/>
          <w:marRight w:val="0"/>
          <w:marTop w:val="0"/>
          <w:marBottom w:val="0"/>
          <w:divBdr>
            <w:top w:val="none" w:sz="0" w:space="0" w:color="auto"/>
            <w:left w:val="none" w:sz="0" w:space="0" w:color="auto"/>
            <w:bottom w:val="none" w:sz="0" w:space="0" w:color="auto"/>
            <w:right w:val="none" w:sz="0" w:space="0" w:color="auto"/>
          </w:divBdr>
        </w:div>
        <w:div w:id="1304503028">
          <w:marLeft w:val="640"/>
          <w:marRight w:val="0"/>
          <w:marTop w:val="0"/>
          <w:marBottom w:val="0"/>
          <w:divBdr>
            <w:top w:val="none" w:sz="0" w:space="0" w:color="auto"/>
            <w:left w:val="none" w:sz="0" w:space="0" w:color="auto"/>
            <w:bottom w:val="none" w:sz="0" w:space="0" w:color="auto"/>
            <w:right w:val="none" w:sz="0" w:space="0" w:color="auto"/>
          </w:divBdr>
        </w:div>
        <w:div w:id="2081440958">
          <w:marLeft w:val="640"/>
          <w:marRight w:val="0"/>
          <w:marTop w:val="0"/>
          <w:marBottom w:val="0"/>
          <w:divBdr>
            <w:top w:val="none" w:sz="0" w:space="0" w:color="auto"/>
            <w:left w:val="none" w:sz="0" w:space="0" w:color="auto"/>
            <w:bottom w:val="none" w:sz="0" w:space="0" w:color="auto"/>
            <w:right w:val="none" w:sz="0" w:space="0" w:color="auto"/>
          </w:divBdr>
        </w:div>
        <w:div w:id="1162356269">
          <w:marLeft w:val="640"/>
          <w:marRight w:val="0"/>
          <w:marTop w:val="0"/>
          <w:marBottom w:val="0"/>
          <w:divBdr>
            <w:top w:val="none" w:sz="0" w:space="0" w:color="auto"/>
            <w:left w:val="none" w:sz="0" w:space="0" w:color="auto"/>
            <w:bottom w:val="none" w:sz="0" w:space="0" w:color="auto"/>
            <w:right w:val="none" w:sz="0" w:space="0" w:color="auto"/>
          </w:divBdr>
        </w:div>
        <w:div w:id="365836759">
          <w:marLeft w:val="640"/>
          <w:marRight w:val="0"/>
          <w:marTop w:val="0"/>
          <w:marBottom w:val="0"/>
          <w:divBdr>
            <w:top w:val="none" w:sz="0" w:space="0" w:color="auto"/>
            <w:left w:val="none" w:sz="0" w:space="0" w:color="auto"/>
            <w:bottom w:val="none" w:sz="0" w:space="0" w:color="auto"/>
            <w:right w:val="none" w:sz="0" w:space="0" w:color="auto"/>
          </w:divBdr>
        </w:div>
        <w:div w:id="42367785">
          <w:marLeft w:val="640"/>
          <w:marRight w:val="0"/>
          <w:marTop w:val="0"/>
          <w:marBottom w:val="0"/>
          <w:divBdr>
            <w:top w:val="none" w:sz="0" w:space="0" w:color="auto"/>
            <w:left w:val="none" w:sz="0" w:space="0" w:color="auto"/>
            <w:bottom w:val="none" w:sz="0" w:space="0" w:color="auto"/>
            <w:right w:val="none" w:sz="0" w:space="0" w:color="auto"/>
          </w:divBdr>
        </w:div>
        <w:div w:id="1998990684">
          <w:marLeft w:val="640"/>
          <w:marRight w:val="0"/>
          <w:marTop w:val="0"/>
          <w:marBottom w:val="0"/>
          <w:divBdr>
            <w:top w:val="none" w:sz="0" w:space="0" w:color="auto"/>
            <w:left w:val="none" w:sz="0" w:space="0" w:color="auto"/>
            <w:bottom w:val="none" w:sz="0" w:space="0" w:color="auto"/>
            <w:right w:val="none" w:sz="0" w:space="0" w:color="auto"/>
          </w:divBdr>
        </w:div>
        <w:div w:id="822349969">
          <w:marLeft w:val="640"/>
          <w:marRight w:val="0"/>
          <w:marTop w:val="0"/>
          <w:marBottom w:val="0"/>
          <w:divBdr>
            <w:top w:val="none" w:sz="0" w:space="0" w:color="auto"/>
            <w:left w:val="none" w:sz="0" w:space="0" w:color="auto"/>
            <w:bottom w:val="none" w:sz="0" w:space="0" w:color="auto"/>
            <w:right w:val="none" w:sz="0" w:space="0" w:color="auto"/>
          </w:divBdr>
        </w:div>
        <w:div w:id="75827365">
          <w:marLeft w:val="640"/>
          <w:marRight w:val="0"/>
          <w:marTop w:val="0"/>
          <w:marBottom w:val="0"/>
          <w:divBdr>
            <w:top w:val="none" w:sz="0" w:space="0" w:color="auto"/>
            <w:left w:val="none" w:sz="0" w:space="0" w:color="auto"/>
            <w:bottom w:val="none" w:sz="0" w:space="0" w:color="auto"/>
            <w:right w:val="none" w:sz="0" w:space="0" w:color="auto"/>
          </w:divBdr>
        </w:div>
        <w:div w:id="728307213">
          <w:marLeft w:val="640"/>
          <w:marRight w:val="0"/>
          <w:marTop w:val="0"/>
          <w:marBottom w:val="0"/>
          <w:divBdr>
            <w:top w:val="none" w:sz="0" w:space="0" w:color="auto"/>
            <w:left w:val="none" w:sz="0" w:space="0" w:color="auto"/>
            <w:bottom w:val="none" w:sz="0" w:space="0" w:color="auto"/>
            <w:right w:val="none" w:sz="0" w:space="0" w:color="auto"/>
          </w:divBdr>
        </w:div>
        <w:div w:id="1948925054">
          <w:marLeft w:val="640"/>
          <w:marRight w:val="0"/>
          <w:marTop w:val="0"/>
          <w:marBottom w:val="0"/>
          <w:divBdr>
            <w:top w:val="none" w:sz="0" w:space="0" w:color="auto"/>
            <w:left w:val="none" w:sz="0" w:space="0" w:color="auto"/>
            <w:bottom w:val="none" w:sz="0" w:space="0" w:color="auto"/>
            <w:right w:val="none" w:sz="0" w:space="0" w:color="auto"/>
          </w:divBdr>
        </w:div>
        <w:div w:id="913389947">
          <w:marLeft w:val="640"/>
          <w:marRight w:val="0"/>
          <w:marTop w:val="0"/>
          <w:marBottom w:val="0"/>
          <w:divBdr>
            <w:top w:val="none" w:sz="0" w:space="0" w:color="auto"/>
            <w:left w:val="none" w:sz="0" w:space="0" w:color="auto"/>
            <w:bottom w:val="none" w:sz="0" w:space="0" w:color="auto"/>
            <w:right w:val="none" w:sz="0" w:space="0" w:color="auto"/>
          </w:divBdr>
        </w:div>
        <w:div w:id="1287345692">
          <w:marLeft w:val="640"/>
          <w:marRight w:val="0"/>
          <w:marTop w:val="0"/>
          <w:marBottom w:val="0"/>
          <w:divBdr>
            <w:top w:val="none" w:sz="0" w:space="0" w:color="auto"/>
            <w:left w:val="none" w:sz="0" w:space="0" w:color="auto"/>
            <w:bottom w:val="none" w:sz="0" w:space="0" w:color="auto"/>
            <w:right w:val="none" w:sz="0" w:space="0" w:color="auto"/>
          </w:divBdr>
        </w:div>
        <w:div w:id="182669543">
          <w:marLeft w:val="640"/>
          <w:marRight w:val="0"/>
          <w:marTop w:val="0"/>
          <w:marBottom w:val="0"/>
          <w:divBdr>
            <w:top w:val="none" w:sz="0" w:space="0" w:color="auto"/>
            <w:left w:val="none" w:sz="0" w:space="0" w:color="auto"/>
            <w:bottom w:val="none" w:sz="0" w:space="0" w:color="auto"/>
            <w:right w:val="none" w:sz="0" w:space="0" w:color="auto"/>
          </w:divBdr>
        </w:div>
        <w:div w:id="1131634517">
          <w:marLeft w:val="640"/>
          <w:marRight w:val="0"/>
          <w:marTop w:val="0"/>
          <w:marBottom w:val="0"/>
          <w:divBdr>
            <w:top w:val="none" w:sz="0" w:space="0" w:color="auto"/>
            <w:left w:val="none" w:sz="0" w:space="0" w:color="auto"/>
            <w:bottom w:val="none" w:sz="0" w:space="0" w:color="auto"/>
            <w:right w:val="none" w:sz="0" w:space="0" w:color="auto"/>
          </w:divBdr>
        </w:div>
        <w:div w:id="1826044676">
          <w:marLeft w:val="640"/>
          <w:marRight w:val="0"/>
          <w:marTop w:val="0"/>
          <w:marBottom w:val="0"/>
          <w:divBdr>
            <w:top w:val="none" w:sz="0" w:space="0" w:color="auto"/>
            <w:left w:val="none" w:sz="0" w:space="0" w:color="auto"/>
            <w:bottom w:val="none" w:sz="0" w:space="0" w:color="auto"/>
            <w:right w:val="none" w:sz="0" w:space="0" w:color="auto"/>
          </w:divBdr>
        </w:div>
        <w:div w:id="564146864">
          <w:marLeft w:val="640"/>
          <w:marRight w:val="0"/>
          <w:marTop w:val="0"/>
          <w:marBottom w:val="0"/>
          <w:divBdr>
            <w:top w:val="none" w:sz="0" w:space="0" w:color="auto"/>
            <w:left w:val="none" w:sz="0" w:space="0" w:color="auto"/>
            <w:bottom w:val="none" w:sz="0" w:space="0" w:color="auto"/>
            <w:right w:val="none" w:sz="0" w:space="0" w:color="auto"/>
          </w:divBdr>
        </w:div>
        <w:div w:id="526524934">
          <w:marLeft w:val="640"/>
          <w:marRight w:val="0"/>
          <w:marTop w:val="0"/>
          <w:marBottom w:val="0"/>
          <w:divBdr>
            <w:top w:val="none" w:sz="0" w:space="0" w:color="auto"/>
            <w:left w:val="none" w:sz="0" w:space="0" w:color="auto"/>
            <w:bottom w:val="none" w:sz="0" w:space="0" w:color="auto"/>
            <w:right w:val="none" w:sz="0" w:space="0" w:color="auto"/>
          </w:divBdr>
        </w:div>
        <w:div w:id="1369449204">
          <w:marLeft w:val="640"/>
          <w:marRight w:val="0"/>
          <w:marTop w:val="0"/>
          <w:marBottom w:val="0"/>
          <w:divBdr>
            <w:top w:val="none" w:sz="0" w:space="0" w:color="auto"/>
            <w:left w:val="none" w:sz="0" w:space="0" w:color="auto"/>
            <w:bottom w:val="none" w:sz="0" w:space="0" w:color="auto"/>
            <w:right w:val="none" w:sz="0" w:space="0" w:color="auto"/>
          </w:divBdr>
        </w:div>
        <w:div w:id="1831483752">
          <w:marLeft w:val="640"/>
          <w:marRight w:val="0"/>
          <w:marTop w:val="0"/>
          <w:marBottom w:val="0"/>
          <w:divBdr>
            <w:top w:val="none" w:sz="0" w:space="0" w:color="auto"/>
            <w:left w:val="none" w:sz="0" w:space="0" w:color="auto"/>
            <w:bottom w:val="none" w:sz="0" w:space="0" w:color="auto"/>
            <w:right w:val="none" w:sz="0" w:space="0" w:color="auto"/>
          </w:divBdr>
        </w:div>
        <w:div w:id="1884445033">
          <w:marLeft w:val="640"/>
          <w:marRight w:val="0"/>
          <w:marTop w:val="0"/>
          <w:marBottom w:val="0"/>
          <w:divBdr>
            <w:top w:val="none" w:sz="0" w:space="0" w:color="auto"/>
            <w:left w:val="none" w:sz="0" w:space="0" w:color="auto"/>
            <w:bottom w:val="none" w:sz="0" w:space="0" w:color="auto"/>
            <w:right w:val="none" w:sz="0" w:space="0" w:color="auto"/>
          </w:divBdr>
        </w:div>
        <w:div w:id="567962816">
          <w:marLeft w:val="640"/>
          <w:marRight w:val="0"/>
          <w:marTop w:val="0"/>
          <w:marBottom w:val="0"/>
          <w:divBdr>
            <w:top w:val="none" w:sz="0" w:space="0" w:color="auto"/>
            <w:left w:val="none" w:sz="0" w:space="0" w:color="auto"/>
            <w:bottom w:val="none" w:sz="0" w:space="0" w:color="auto"/>
            <w:right w:val="none" w:sz="0" w:space="0" w:color="auto"/>
          </w:divBdr>
        </w:div>
        <w:div w:id="599728239">
          <w:marLeft w:val="640"/>
          <w:marRight w:val="0"/>
          <w:marTop w:val="0"/>
          <w:marBottom w:val="0"/>
          <w:divBdr>
            <w:top w:val="none" w:sz="0" w:space="0" w:color="auto"/>
            <w:left w:val="none" w:sz="0" w:space="0" w:color="auto"/>
            <w:bottom w:val="none" w:sz="0" w:space="0" w:color="auto"/>
            <w:right w:val="none" w:sz="0" w:space="0" w:color="auto"/>
          </w:divBdr>
        </w:div>
        <w:div w:id="1199127976">
          <w:marLeft w:val="640"/>
          <w:marRight w:val="0"/>
          <w:marTop w:val="0"/>
          <w:marBottom w:val="0"/>
          <w:divBdr>
            <w:top w:val="none" w:sz="0" w:space="0" w:color="auto"/>
            <w:left w:val="none" w:sz="0" w:space="0" w:color="auto"/>
            <w:bottom w:val="none" w:sz="0" w:space="0" w:color="auto"/>
            <w:right w:val="none" w:sz="0" w:space="0" w:color="auto"/>
          </w:divBdr>
        </w:div>
        <w:div w:id="1723362356">
          <w:marLeft w:val="640"/>
          <w:marRight w:val="0"/>
          <w:marTop w:val="0"/>
          <w:marBottom w:val="0"/>
          <w:divBdr>
            <w:top w:val="none" w:sz="0" w:space="0" w:color="auto"/>
            <w:left w:val="none" w:sz="0" w:space="0" w:color="auto"/>
            <w:bottom w:val="none" w:sz="0" w:space="0" w:color="auto"/>
            <w:right w:val="none" w:sz="0" w:space="0" w:color="auto"/>
          </w:divBdr>
        </w:div>
        <w:div w:id="653068824">
          <w:marLeft w:val="640"/>
          <w:marRight w:val="0"/>
          <w:marTop w:val="0"/>
          <w:marBottom w:val="0"/>
          <w:divBdr>
            <w:top w:val="none" w:sz="0" w:space="0" w:color="auto"/>
            <w:left w:val="none" w:sz="0" w:space="0" w:color="auto"/>
            <w:bottom w:val="none" w:sz="0" w:space="0" w:color="auto"/>
            <w:right w:val="none" w:sz="0" w:space="0" w:color="auto"/>
          </w:divBdr>
        </w:div>
        <w:div w:id="998534056">
          <w:marLeft w:val="640"/>
          <w:marRight w:val="0"/>
          <w:marTop w:val="0"/>
          <w:marBottom w:val="0"/>
          <w:divBdr>
            <w:top w:val="none" w:sz="0" w:space="0" w:color="auto"/>
            <w:left w:val="none" w:sz="0" w:space="0" w:color="auto"/>
            <w:bottom w:val="none" w:sz="0" w:space="0" w:color="auto"/>
            <w:right w:val="none" w:sz="0" w:space="0" w:color="auto"/>
          </w:divBdr>
        </w:div>
        <w:div w:id="654534981">
          <w:marLeft w:val="640"/>
          <w:marRight w:val="0"/>
          <w:marTop w:val="0"/>
          <w:marBottom w:val="0"/>
          <w:divBdr>
            <w:top w:val="none" w:sz="0" w:space="0" w:color="auto"/>
            <w:left w:val="none" w:sz="0" w:space="0" w:color="auto"/>
            <w:bottom w:val="none" w:sz="0" w:space="0" w:color="auto"/>
            <w:right w:val="none" w:sz="0" w:space="0" w:color="auto"/>
          </w:divBdr>
        </w:div>
        <w:div w:id="639074273">
          <w:marLeft w:val="640"/>
          <w:marRight w:val="0"/>
          <w:marTop w:val="0"/>
          <w:marBottom w:val="0"/>
          <w:divBdr>
            <w:top w:val="none" w:sz="0" w:space="0" w:color="auto"/>
            <w:left w:val="none" w:sz="0" w:space="0" w:color="auto"/>
            <w:bottom w:val="none" w:sz="0" w:space="0" w:color="auto"/>
            <w:right w:val="none" w:sz="0" w:space="0" w:color="auto"/>
          </w:divBdr>
        </w:div>
        <w:div w:id="380129352">
          <w:marLeft w:val="640"/>
          <w:marRight w:val="0"/>
          <w:marTop w:val="0"/>
          <w:marBottom w:val="0"/>
          <w:divBdr>
            <w:top w:val="none" w:sz="0" w:space="0" w:color="auto"/>
            <w:left w:val="none" w:sz="0" w:space="0" w:color="auto"/>
            <w:bottom w:val="none" w:sz="0" w:space="0" w:color="auto"/>
            <w:right w:val="none" w:sz="0" w:space="0" w:color="auto"/>
          </w:divBdr>
        </w:div>
        <w:div w:id="1969165137">
          <w:marLeft w:val="640"/>
          <w:marRight w:val="0"/>
          <w:marTop w:val="0"/>
          <w:marBottom w:val="0"/>
          <w:divBdr>
            <w:top w:val="none" w:sz="0" w:space="0" w:color="auto"/>
            <w:left w:val="none" w:sz="0" w:space="0" w:color="auto"/>
            <w:bottom w:val="none" w:sz="0" w:space="0" w:color="auto"/>
            <w:right w:val="none" w:sz="0" w:space="0" w:color="auto"/>
          </w:divBdr>
        </w:div>
        <w:div w:id="373045141">
          <w:marLeft w:val="640"/>
          <w:marRight w:val="0"/>
          <w:marTop w:val="0"/>
          <w:marBottom w:val="0"/>
          <w:divBdr>
            <w:top w:val="none" w:sz="0" w:space="0" w:color="auto"/>
            <w:left w:val="none" w:sz="0" w:space="0" w:color="auto"/>
            <w:bottom w:val="none" w:sz="0" w:space="0" w:color="auto"/>
            <w:right w:val="none" w:sz="0" w:space="0" w:color="auto"/>
          </w:divBdr>
        </w:div>
        <w:div w:id="1603612792">
          <w:marLeft w:val="640"/>
          <w:marRight w:val="0"/>
          <w:marTop w:val="0"/>
          <w:marBottom w:val="0"/>
          <w:divBdr>
            <w:top w:val="none" w:sz="0" w:space="0" w:color="auto"/>
            <w:left w:val="none" w:sz="0" w:space="0" w:color="auto"/>
            <w:bottom w:val="none" w:sz="0" w:space="0" w:color="auto"/>
            <w:right w:val="none" w:sz="0" w:space="0" w:color="auto"/>
          </w:divBdr>
        </w:div>
        <w:div w:id="70154406">
          <w:marLeft w:val="640"/>
          <w:marRight w:val="0"/>
          <w:marTop w:val="0"/>
          <w:marBottom w:val="0"/>
          <w:divBdr>
            <w:top w:val="none" w:sz="0" w:space="0" w:color="auto"/>
            <w:left w:val="none" w:sz="0" w:space="0" w:color="auto"/>
            <w:bottom w:val="none" w:sz="0" w:space="0" w:color="auto"/>
            <w:right w:val="none" w:sz="0" w:space="0" w:color="auto"/>
          </w:divBdr>
        </w:div>
        <w:div w:id="804814272">
          <w:marLeft w:val="640"/>
          <w:marRight w:val="0"/>
          <w:marTop w:val="0"/>
          <w:marBottom w:val="0"/>
          <w:divBdr>
            <w:top w:val="none" w:sz="0" w:space="0" w:color="auto"/>
            <w:left w:val="none" w:sz="0" w:space="0" w:color="auto"/>
            <w:bottom w:val="none" w:sz="0" w:space="0" w:color="auto"/>
            <w:right w:val="none" w:sz="0" w:space="0" w:color="auto"/>
          </w:divBdr>
        </w:div>
        <w:div w:id="1241715826">
          <w:marLeft w:val="640"/>
          <w:marRight w:val="0"/>
          <w:marTop w:val="0"/>
          <w:marBottom w:val="0"/>
          <w:divBdr>
            <w:top w:val="none" w:sz="0" w:space="0" w:color="auto"/>
            <w:left w:val="none" w:sz="0" w:space="0" w:color="auto"/>
            <w:bottom w:val="none" w:sz="0" w:space="0" w:color="auto"/>
            <w:right w:val="none" w:sz="0" w:space="0" w:color="auto"/>
          </w:divBdr>
        </w:div>
        <w:div w:id="1890413809">
          <w:marLeft w:val="640"/>
          <w:marRight w:val="0"/>
          <w:marTop w:val="0"/>
          <w:marBottom w:val="0"/>
          <w:divBdr>
            <w:top w:val="none" w:sz="0" w:space="0" w:color="auto"/>
            <w:left w:val="none" w:sz="0" w:space="0" w:color="auto"/>
            <w:bottom w:val="none" w:sz="0" w:space="0" w:color="auto"/>
            <w:right w:val="none" w:sz="0" w:space="0" w:color="auto"/>
          </w:divBdr>
        </w:div>
        <w:div w:id="1999259145">
          <w:marLeft w:val="640"/>
          <w:marRight w:val="0"/>
          <w:marTop w:val="0"/>
          <w:marBottom w:val="0"/>
          <w:divBdr>
            <w:top w:val="none" w:sz="0" w:space="0" w:color="auto"/>
            <w:left w:val="none" w:sz="0" w:space="0" w:color="auto"/>
            <w:bottom w:val="none" w:sz="0" w:space="0" w:color="auto"/>
            <w:right w:val="none" w:sz="0" w:space="0" w:color="auto"/>
          </w:divBdr>
        </w:div>
        <w:div w:id="1622346888">
          <w:marLeft w:val="640"/>
          <w:marRight w:val="0"/>
          <w:marTop w:val="0"/>
          <w:marBottom w:val="0"/>
          <w:divBdr>
            <w:top w:val="none" w:sz="0" w:space="0" w:color="auto"/>
            <w:left w:val="none" w:sz="0" w:space="0" w:color="auto"/>
            <w:bottom w:val="none" w:sz="0" w:space="0" w:color="auto"/>
            <w:right w:val="none" w:sz="0" w:space="0" w:color="auto"/>
          </w:divBdr>
        </w:div>
        <w:div w:id="1059985644">
          <w:marLeft w:val="640"/>
          <w:marRight w:val="0"/>
          <w:marTop w:val="0"/>
          <w:marBottom w:val="0"/>
          <w:divBdr>
            <w:top w:val="none" w:sz="0" w:space="0" w:color="auto"/>
            <w:left w:val="none" w:sz="0" w:space="0" w:color="auto"/>
            <w:bottom w:val="none" w:sz="0" w:space="0" w:color="auto"/>
            <w:right w:val="none" w:sz="0" w:space="0" w:color="auto"/>
          </w:divBdr>
        </w:div>
        <w:div w:id="877550507">
          <w:marLeft w:val="640"/>
          <w:marRight w:val="0"/>
          <w:marTop w:val="0"/>
          <w:marBottom w:val="0"/>
          <w:divBdr>
            <w:top w:val="none" w:sz="0" w:space="0" w:color="auto"/>
            <w:left w:val="none" w:sz="0" w:space="0" w:color="auto"/>
            <w:bottom w:val="none" w:sz="0" w:space="0" w:color="auto"/>
            <w:right w:val="none" w:sz="0" w:space="0" w:color="auto"/>
          </w:divBdr>
        </w:div>
        <w:div w:id="1404520562">
          <w:marLeft w:val="640"/>
          <w:marRight w:val="0"/>
          <w:marTop w:val="0"/>
          <w:marBottom w:val="0"/>
          <w:divBdr>
            <w:top w:val="none" w:sz="0" w:space="0" w:color="auto"/>
            <w:left w:val="none" w:sz="0" w:space="0" w:color="auto"/>
            <w:bottom w:val="none" w:sz="0" w:space="0" w:color="auto"/>
            <w:right w:val="none" w:sz="0" w:space="0" w:color="auto"/>
          </w:divBdr>
        </w:div>
        <w:div w:id="1703238860">
          <w:marLeft w:val="640"/>
          <w:marRight w:val="0"/>
          <w:marTop w:val="0"/>
          <w:marBottom w:val="0"/>
          <w:divBdr>
            <w:top w:val="none" w:sz="0" w:space="0" w:color="auto"/>
            <w:left w:val="none" w:sz="0" w:space="0" w:color="auto"/>
            <w:bottom w:val="none" w:sz="0" w:space="0" w:color="auto"/>
            <w:right w:val="none" w:sz="0" w:space="0" w:color="auto"/>
          </w:divBdr>
        </w:div>
        <w:div w:id="446238165">
          <w:marLeft w:val="640"/>
          <w:marRight w:val="0"/>
          <w:marTop w:val="0"/>
          <w:marBottom w:val="0"/>
          <w:divBdr>
            <w:top w:val="none" w:sz="0" w:space="0" w:color="auto"/>
            <w:left w:val="none" w:sz="0" w:space="0" w:color="auto"/>
            <w:bottom w:val="none" w:sz="0" w:space="0" w:color="auto"/>
            <w:right w:val="none" w:sz="0" w:space="0" w:color="auto"/>
          </w:divBdr>
        </w:div>
        <w:div w:id="795680295">
          <w:marLeft w:val="640"/>
          <w:marRight w:val="0"/>
          <w:marTop w:val="0"/>
          <w:marBottom w:val="0"/>
          <w:divBdr>
            <w:top w:val="none" w:sz="0" w:space="0" w:color="auto"/>
            <w:left w:val="none" w:sz="0" w:space="0" w:color="auto"/>
            <w:bottom w:val="none" w:sz="0" w:space="0" w:color="auto"/>
            <w:right w:val="none" w:sz="0" w:space="0" w:color="auto"/>
          </w:divBdr>
        </w:div>
        <w:div w:id="1222207575">
          <w:marLeft w:val="640"/>
          <w:marRight w:val="0"/>
          <w:marTop w:val="0"/>
          <w:marBottom w:val="0"/>
          <w:divBdr>
            <w:top w:val="none" w:sz="0" w:space="0" w:color="auto"/>
            <w:left w:val="none" w:sz="0" w:space="0" w:color="auto"/>
            <w:bottom w:val="none" w:sz="0" w:space="0" w:color="auto"/>
            <w:right w:val="none" w:sz="0" w:space="0" w:color="auto"/>
          </w:divBdr>
        </w:div>
        <w:div w:id="2015263710">
          <w:marLeft w:val="640"/>
          <w:marRight w:val="0"/>
          <w:marTop w:val="0"/>
          <w:marBottom w:val="0"/>
          <w:divBdr>
            <w:top w:val="none" w:sz="0" w:space="0" w:color="auto"/>
            <w:left w:val="none" w:sz="0" w:space="0" w:color="auto"/>
            <w:bottom w:val="none" w:sz="0" w:space="0" w:color="auto"/>
            <w:right w:val="none" w:sz="0" w:space="0" w:color="auto"/>
          </w:divBdr>
        </w:div>
        <w:div w:id="547108231">
          <w:marLeft w:val="640"/>
          <w:marRight w:val="0"/>
          <w:marTop w:val="0"/>
          <w:marBottom w:val="0"/>
          <w:divBdr>
            <w:top w:val="none" w:sz="0" w:space="0" w:color="auto"/>
            <w:left w:val="none" w:sz="0" w:space="0" w:color="auto"/>
            <w:bottom w:val="none" w:sz="0" w:space="0" w:color="auto"/>
            <w:right w:val="none" w:sz="0" w:space="0" w:color="auto"/>
          </w:divBdr>
        </w:div>
        <w:div w:id="235361394">
          <w:marLeft w:val="640"/>
          <w:marRight w:val="0"/>
          <w:marTop w:val="0"/>
          <w:marBottom w:val="0"/>
          <w:divBdr>
            <w:top w:val="none" w:sz="0" w:space="0" w:color="auto"/>
            <w:left w:val="none" w:sz="0" w:space="0" w:color="auto"/>
            <w:bottom w:val="none" w:sz="0" w:space="0" w:color="auto"/>
            <w:right w:val="none" w:sz="0" w:space="0" w:color="auto"/>
          </w:divBdr>
        </w:div>
        <w:div w:id="716011802">
          <w:marLeft w:val="640"/>
          <w:marRight w:val="0"/>
          <w:marTop w:val="0"/>
          <w:marBottom w:val="0"/>
          <w:divBdr>
            <w:top w:val="none" w:sz="0" w:space="0" w:color="auto"/>
            <w:left w:val="none" w:sz="0" w:space="0" w:color="auto"/>
            <w:bottom w:val="none" w:sz="0" w:space="0" w:color="auto"/>
            <w:right w:val="none" w:sz="0" w:space="0" w:color="auto"/>
          </w:divBdr>
        </w:div>
        <w:div w:id="279649519">
          <w:marLeft w:val="640"/>
          <w:marRight w:val="0"/>
          <w:marTop w:val="0"/>
          <w:marBottom w:val="0"/>
          <w:divBdr>
            <w:top w:val="none" w:sz="0" w:space="0" w:color="auto"/>
            <w:left w:val="none" w:sz="0" w:space="0" w:color="auto"/>
            <w:bottom w:val="none" w:sz="0" w:space="0" w:color="auto"/>
            <w:right w:val="none" w:sz="0" w:space="0" w:color="auto"/>
          </w:divBdr>
        </w:div>
        <w:div w:id="24713928">
          <w:marLeft w:val="640"/>
          <w:marRight w:val="0"/>
          <w:marTop w:val="0"/>
          <w:marBottom w:val="0"/>
          <w:divBdr>
            <w:top w:val="none" w:sz="0" w:space="0" w:color="auto"/>
            <w:left w:val="none" w:sz="0" w:space="0" w:color="auto"/>
            <w:bottom w:val="none" w:sz="0" w:space="0" w:color="auto"/>
            <w:right w:val="none" w:sz="0" w:space="0" w:color="auto"/>
          </w:divBdr>
        </w:div>
        <w:div w:id="1783840998">
          <w:marLeft w:val="640"/>
          <w:marRight w:val="0"/>
          <w:marTop w:val="0"/>
          <w:marBottom w:val="0"/>
          <w:divBdr>
            <w:top w:val="none" w:sz="0" w:space="0" w:color="auto"/>
            <w:left w:val="none" w:sz="0" w:space="0" w:color="auto"/>
            <w:bottom w:val="none" w:sz="0" w:space="0" w:color="auto"/>
            <w:right w:val="none" w:sz="0" w:space="0" w:color="auto"/>
          </w:divBdr>
        </w:div>
        <w:div w:id="1665205151">
          <w:marLeft w:val="640"/>
          <w:marRight w:val="0"/>
          <w:marTop w:val="0"/>
          <w:marBottom w:val="0"/>
          <w:divBdr>
            <w:top w:val="none" w:sz="0" w:space="0" w:color="auto"/>
            <w:left w:val="none" w:sz="0" w:space="0" w:color="auto"/>
            <w:bottom w:val="none" w:sz="0" w:space="0" w:color="auto"/>
            <w:right w:val="none" w:sz="0" w:space="0" w:color="auto"/>
          </w:divBdr>
        </w:div>
        <w:div w:id="1735398008">
          <w:marLeft w:val="640"/>
          <w:marRight w:val="0"/>
          <w:marTop w:val="0"/>
          <w:marBottom w:val="0"/>
          <w:divBdr>
            <w:top w:val="none" w:sz="0" w:space="0" w:color="auto"/>
            <w:left w:val="none" w:sz="0" w:space="0" w:color="auto"/>
            <w:bottom w:val="none" w:sz="0" w:space="0" w:color="auto"/>
            <w:right w:val="none" w:sz="0" w:space="0" w:color="auto"/>
          </w:divBdr>
        </w:div>
        <w:div w:id="406196089">
          <w:marLeft w:val="640"/>
          <w:marRight w:val="0"/>
          <w:marTop w:val="0"/>
          <w:marBottom w:val="0"/>
          <w:divBdr>
            <w:top w:val="none" w:sz="0" w:space="0" w:color="auto"/>
            <w:left w:val="none" w:sz="0" w:space="0" w:color="auto"/>
            <w:bottom w:val="none" w:sz="0" w:space="0" w:color="auto"/>
            <w:right w:val="none" w:sz="0" w:space="0" w:color="auto"/>
          </w:divBdr>
        </w:div>
        <w:div w:id="809175501">
          <w:marLeft w:val="640"/>
          <w:marRight w:val="0"/>
          <w:marTop w:val="0"/>
          <w:marBottom w:val="0"/>
          <w:divBdr>
            <w:top w:val="none" w:sz="0" w:space="0" w:color="auto"/>
            <w:left w:val="none" w:sz="0" w:space="0" w:color="auto"/>
            <w:bottom w:val="none" w:sz="0" w:space="0" w:color="auto"/>
            <w:right w:val="none" w:sz="0" w:space="0" w:color="auto"/>
          </w:divBdr>
        </w:div>
        <w:div w:id="306739412">
          <w:marLeft w:val="640"/>
          <w:marRight w:val="0"/>
          <w:marTop w:val="0"/>
          <w:marBottom w:val="0"/>
          <w:divBdr>
            <w:top w:val="none" w:sz="0" w:space="0" w:color="auto"/>
            <w:left w:val="none" w:sz="0" w:space="0" w:color="auto"/>
            <w:bottom w:val="none" w:sz="0" w:space="0" w:color="auto"/>
            <w:right w:val="none" w:sz="0" w:space="0" w:color="auto"/>
          </w:divBdr>
        </w:div>
        <w:div w:id="153574742">
          <w:marLeft w:val="640"/>
          <w:marRight w:val="0"/>
          <w:marTop w:val="0"/>
          <w:marBottom w:val="0"/>
          <w:divBdr>
            <w:top w:val="none" w:sz="0" w:space="0" w:color="auto"/>
            <w:left w:val="none" w:sz="0" w:space="0" w:color="auto"/>
            <w:bottom w:val="none" w:sz="0" w:space="0" w:color="auto"/>
            <w:right w:val="none" w:sz="0" w:space="0" w:color="auto"/>
          </w:divBdr>
        </w:div>
        <w:div w:id="1398429740">
          <w:marLeft w:val="640"/>
          <w:marRight w:val="0"/>
          <w:marTop w:val="0"/>
          <w:marBottom w:val="0"/>
          <w:divBdr>
            <w:top w:val="none" w:sz="0" w:space="0" w:color="auto"/>
            <w:left w:val="none" w:sz="0" w:space="0" w:color="auto"/>
            <w:bottom w:val="none" w:sz="0" w:space="0" w:color="auto"/>
            <w:right w:val="none" w:sz="0" w:space="0" w:color="auto"/>
          </w:divBdr>
        </w:div>
        <w:div w:id="687488611">
          <w:marLeft w:val="640"/>
          <w:marRight w:val="0"/>
          <w:marTop w:val="0"/>
          <w:marBottom w:val="0"/>
          <w:divBdr>
            <w:top w:val="none" w:sz="0" w:space="0" w:color="auto"/>
            <w:left w:val="none" w:sz="0" w:space="0" w:color="auto"/>
            <w:bottom w:val="none" w:sz="0" w:space="0" w:color="auto"/>
            <w:right w:val="none" w:sz="0" w:space="0" w:color="auto"/>
          </w:divBdr>
        </w:div>
        <w:div w:id="1960991411">
          <w:marLeft w:val="640"/>
          <w:marRight w:val="0"/>
          <w:marTop w:val="0"/>
          <w:marBottom w:val="0"/>
          <w:divBdr>
            <w:top w:val="none" w:sz="0" w:space="0" w:color="auto"/>
            <w:left w:val="none" w:sz="0" w:space="0" w:color="auto"/>
            <w:bottom w:val="none" w:sz="0" w:space="0" w:color="auto"/>
            <w:right w:val="none" w:sz="0" w:space="0" w:color="auto"/>
          </w:divBdr>
        </w:div>
        <w:div w:id="771315198">
          <w:marLeft w:val="640"/>
          <w:marRight w:val="0"/>
          <w:marTop w:val="0"/>
          <w:marBottom w:val="0"/>
          <w:divBdr>
            <w:top w:val="none" w:sz="0" w:space="0" w:color="auto"/>
            <w:left w:val="none" w:sz="0" w:space="0" w:color="auto"/>
            <w:bottom w:val="none" w:sz="0" w:space="0" w:color="auto"/>
            <w:right w:val="none" w:sz="0" w:space="0" w:color="auto"/>
          </w:divBdr>
        </w:div>
        <w:div w:id="342443059">
          <w:marLeft w:val="640"/>
          <w:marRight w:val="0"/>
          <w:marTop w:val="0"/>
          <w:marBottom w:val="0"/>
          <w:divBdr>
            <w:top w:val="none" w:sz="0" w:space="0" w:color="auto"/>
            <w:left w:val="none" w:sz="0" w:space="0" w:color="auto"/>
            <w:bottom w:val="none" w:sz="0" w:space="0" w:color="auto"/>
            <w:right w:val="none" w:sz="0" w:space="0" w:color="auto"/>
          </w:divBdr>
        </w:div>
        <w:div w:id="86192507">
          <w:marLeft w:val="640"/>
          <w:marRight w:val="0"/>
          <w:marTop w:val="0"/>
          <w:marBottom w:val="0"/>
          <w:divBdr>
            <w:top w:val="none" w:sz="0" w:space="0" w:color="auto"/>
            <w:left w:val="none" w:sz="0" w:space="0" w:color="auto"/>
            <w:bottom w:val="none" w:sz="0" w:space="0" w:color="auto"/>
            <w:right w:val="none" w:sz="0" w:space="0" w:color="auto"/>
          </w:divBdr>
        </w:div>
        <w:div w:id="1591426612">
          <w:marLeft w:val="640"/>
          <w:marRight w:val="0"/>
          <w:marTop w:val="0"/>
          <w:marBottom w:val="0"/>
          <w:divBdr>
            <w:top w:val="none" w:sz="0" w:space="0" w:color="auto"/>
            <w:left w:val="none" w:sz="0" w:space="0" w:color="auto"/>
            <w:bottom w:val="none" w:sz="0" w:space="0" w:color="auto"/>
            <w:right w:val="none" w:sz="0" w:space="0" w:color="auto"/>
          </w:divBdr>
        </w:div>
        <w:div w:id="2008632482">
          <w:marLeft w:val="640"/>
          <w:marRight w:val="0"/>
          <w:marTop w:val="0"/>
          <w:marBottom w:val="0"/>
          <w:divBdr>
            <w:top w:val="none" w:sz="0" w:space="0" w:color="auto"/>
            <w:left w:val="none" w:sz="0" w:space="0" w:color="auto"/>
            <w:bottom w:val="none" w:sz="0" w:space="0" w:color="auto"/>
            <w:right w:val="none" w:sz="0" w:space="0" w:color="auto"/>
          </w:divBdr>
        </w:div>
        <w:div w:id="2112042146">
          <w:marLeft w:val="640"/>
          <w:marRight w:val="0"/>
          <w:marTop w:val="0"/>
          <w:marBottom w:val="0"/>
          <w:divBdr>
            <w:top w:val="none" w:sz="0" w:space="0" w:color="auto"/>
            <w:left w:val="none" w:sz="0" w:space="0" w:color="auto"/>
            <w:bottom w:val="none" w:sz="0" w:space="0" w:color="auto"/>
            <w:right w:val="none" w:sz="0" w:space="0" w:color="auto"/>
          </w:divBdr>
        </w:div>
        <w:div w:id="1193304895">
          <w:marLeft w:val="640"/>
          <w:marRight w:val="0"/>
          <w:marTop w:val="0"/>
          <w:marBottom w:val="0"/>
          <w:divBdr>
            <w:top w:val="none" w:sz="0" w:space="0" w:color="auto"/>
            <w:left w:val="none" w:sz="0" w:space="0" w:color="auto"/>
            <w:bottom w:val="none" w:sz="0" w:space="0" w:color="auto"/>
            <w:right w:val="none" w:sz="0" w:space="0" w:color="auto"/>
          </w:divBdr>
        </w:div>
        <w:div w:id="143350676">
          <w:marLeft w:val="640"/>
          <w:marRight w:val="0"/>
          <w:marTop w:val="0"/>
          <w:marBottom w:val="0"/>
          <w:divBdr>
            <w:top w:val="none" w:sz="0" w:space="0" w:color="auto"/>
            <w:left w:val="none" w:sz="0" w:space="0" w:color="auto"/>
            <w:bottom w:val="none" w:sz="0" w:space="0" w:color="auto"/>
            <w:right w:val="none" w:sz="0" w:space="0" w:color="auto"/>
          </w:divBdr>
        </w:div>
        <w:div w:id="1716657497">
          <w:marLeft w:val="640"/>
          <w:marRight w:val="0"/>
          <w:marTop w:val="0"/>
          <w:marBottom w:val="0"/>
          <w:divBdr>
            <w:top w:val="none" w:sz="0" w:space="0" w:color="auto"/>
            <w:left w:val="none" w:sz="0" w:space="0" w:color="auto"/>
            <w:bottom w:val="none" w:sz="0" w:space="0" w:color="auto"/>
            <w:right w:val="none" w:sz="0" w:space="0" w:color="auto"/>
          </w:divBdr>
        </w:div>
        <w:div w:id="1782797500">
          <w:marLeft w:val="640"/>
          <w:marRight w:val="0"/>
          <w:marTop w:val="0"/>
          <w:marBottom w:val="0"/>
          <w:divBdr>
            <w:top w:val="none" w:sz="0" w:space="0" w:color="auto"/>
            <w:left w:val="none" w:sz="0" w:space="0" w:color="auto"/>
            <w:bottom w:val="none" w:sz="0" w:space="0" w:color="auto"/>
            <w:right w:val="none" w:sz="0" w:space="0" w:color="auto"/>
          </w:divBdr>
        </w:div>
        <w:div w:id="1267616969">
          <w:marLeft w:val="640"/>
          <w:marRight w:val="0"/>
          <w:marTop w:val="0"/>
          <w:marBottom w:val="0"/>
          <w:divBdr>
            <w:top w:val="none" w:sz="0" w:space="0" w:color="auto"/>
            <w:left w:val="none" w:sz="0" w:space="0" w:color="auto"/>
            <w:bottom w:val="none" w:sz="0" w:space="0" w:color="auto"/>
            <w:right w:val="none" w:sz="0" w:space="0" w:color="auto"/>
          </w:divBdr>
        </w:div>
        <w:div w:id="1568689757">
          <w:marLeft w:val="640"/>
          <w:marRight w:val="0"/>
          <w:marTop w:val="0"/>
          <w:marBottom w:val="0"/>
          <w:divBdr>
            <w:top w:val="none" w:sz="0" w:space="0" w:color="auto"/>
            <w:left w:val="none" w:sz="0" w:space="0" w:color="auto"/>
            <w:bottom w:val="none" w:sz="0" w:space="0" w:color="auto"/>
            <w:right w:val="none" w:sz="0" w:space="0" w:color="auto"/>
          </w:divBdr>
        </w:div>
        <w:div w:id="1514413593">
          <w:marLeft w:val="640"/>
          <w:marRight w:val="0"/>
          <w:marTop w:val="0"/>
          <w:marBottom w:val="0"/>
          <w:divBdr>
            <w:top w:val="none" w:sz="0" w:space="0" w:color="auto"/>
            <w:left w:val="none" w:sz="0" w:space="0" w:color="auto"/>
            <w:bottom w:val="none" w:sz="0" w:space="0" w:color="auto"/>
            <w:right w:val="none" w:sz="0" w:space="0" w:color="auto"/>
          </w:divBdr>
        </w:div>
        <w:div w:id="935555171">
          <w:marLeft w:val="640"/>
          <w:marRight w:val="0"/>
          <w:marTop w:val="0"/>
          <w:marBottom w:val="0"/>
          <w:divBdr>
            <w:top w:val="none" w:sz="0" w:space="0" w:color="auto"/>
            <w:left w:val="none" w:sz="0" w:space="0" w:color="auto"/>
            <w:bottom w:val="none" w:sz="0" w:space="0" w:color="auto"/>
            <w:right w:val="none" w:sz="0" w:space="0" w:color="auto"/>
          </w:divBdr>
        </w:div>
        <w:div w:id="659310636">
          <w:marLeft w:val="640"/>
          <w:marRight w:val="0"/>
          <w:marTop w:val="0"/>
          <w:marBottom w:val="0"/>
          <w:divBdr>
            <w:top w:val="none" w:sz="0" w:space="0" w:color="auto"/>
            <w:left w:val="none" w:sz="0" w:space="0" w:color="auto"/>
            <w:bottom w:val="none" w:sz="0" w:space="0" w:color="auto"/>
            <w:right w:val="none" w:sz="0" w:space="0" w:color="auto"/>
          </w:divBdr>
        </w:div>
        <w:div w:id="1424230600">
          <w:marLeft w:val="640"/>
          <w:marRight w:val="0"/>
          <w:marTop w:val="0"/>
          <w:marBottom w:val="0"/>
          <w:divBdr>
            <w:top w:val="none" w:sz="0" w:space="0" w:color="auto"/>
            <w:left w:val="none" w:sz="0" w:space="0" w:color="auto"/>
            <w:bottom w:val="none" w:sz="0" w:space="0" w:color="auto"/>
            <w:right w:val="none" w:sz="0" w:space="0" w:color="auto"/>
          </w:divBdr>
        </w:div>
        <w:div w:id="2010058364">
          <w:marLeft w:val="640"/>
          <w:marRight w:val="0"/>
          <w:marTop w:val="0"/>
          <w:marBottom w:val="0"/>
          <w:divBdr>
            <w:top w:val="none" w:sz="0" w:space="0" w:color="auto"/>
            <w:left w:val="none" w:sz="0" w:space="0" w:color="auto"/>
            <w:bottom w:val="none" w:sz="0" w:space="0" w:color="auto"/>
            <w:right w:val="none" w:sz="0" w:space="0" w:color="auto"/>
          </w:divBdr>
        </w:div>
        <w:div w:id="999771809">
          <w:marLeft w:val="640"/>
          <w:marRight w:val="0"/>
          <w:marTop w:val="0"/>
          <w:marBottom w:val="0"/>
          <w:divBdr>
            <w:top w:val="none" w:sz="0" w:space="0" w:color="auto"/>
            <w:left w:val="none" w:sz="0" w:space="0" w:color="auto"/>
            <w:bottom w:val="none" w:sz="0" w:space="0" w:color="auto"/>
            <w:right w:val="none" w:sz="0" w:space="0" w:color="auto"/>
          </w:divBdr>
        </w:div>
        <w:div w:id="572933156">
          <w:marLeft w:val="640"/>
          <w:marRight w:val="0"/>
          <w:marTop w:val="0"/>
          <w:marBottom w:val="0"/>
          <w:divBdr>
            <w:top w:val="none" w:sz="0" w:space="0" w:color="auto"/>
            <w:left w:val="none" w:sz="0" w:space="0" w:color="auto"/>
            <w:bottom w:val="none" w:sz="0" w:space="0" w:color="auto"/>
            <w:right w:val="none" w:sz="0" w:space="0" w:color="auto"/>
          </w:divBdr>
        </w:div>
        <w:div w:id="625694574">
          <w:marLeft w:val="640"/>
          <w:marRight w:val="0"/>
          <w:marTop w:val="0"/>
          <w:marBottom w:val="0"/>
          <w:divBdr>
            <w:top w:val="none" w:sz="0" w:space="0" w:color="auto"/>
            <w:left w:val="none" w:sz="0" w:space="0" w:color="auto"/>
            <w:bottom w:val="none" w:sz="0" w:space="0" w:color="auto"/>
            <w:right w:val="none" w:sz="0" w:space="0" w:color="auto"/>
          </w:divBdr>
        </w:div>
        <w:div w:id="1036736597">
          <w:marLeft w:val="640"/>
          <w:marRight w:val="0"/>
          <w:marTop w:val="0"/>
          <w:marBottom w:val="0"/>
          <w:divBdr>
            <w:top w:val="none" w:sz="0" w:space="0" w:color="auto"/>
            <w:left w:val="none" w:sz="0" w:space="0" w:color="auto"/>
            <w:bottom w:val="none" w:sz="0" w:space="0" w:color="auto"/>
            <w:right w:val="none" w:sz="0" w:space="0" w:color="auto"/>
          </w:divBdr>
        </w:div>
        <w:div w:id="1300576695">
          <w:marLeft w:val="640"/>
          <w:marRight w:val="0"/>
          <w:marTop w:val="0"/>
          <w:marBottom w:val="0"/>
          <w:divBdr>
            <w:top w:val="none" w:sz="0" w:space="0" w:color="auto"/>
            <w:left w:val="none" w:sz="0" w:space="0" w:color="auto"/>
            <w:bottom w:val="none" w:sz="0" w:space="0" w:color="auto"/>
            <w:right w:val="none" w:sz="0" w:space="0" w:color="auto"/>
          </w:divBdr>
        </w:div>
        <w:div w:id="733549695">
          <w:marLeft w:val="640"/>
          <w:marRight w:val="0"/>
          <w:marTop w:val="0"/>
          <w:marBottom w:val="0"/>
          <w:divBdr>
            <w:top w:val="none" w:sz="0" w:space="0" w:color="auto"/>
            <w:left w:val="none" w:sz="0" w:space="0" w:color="auto"/>
            <w:bottom w:val="none" w:sz="0" w:space="0" w:color="auto"/>
            <w:right w:val="none" w:sz="0" w:space="0" w:color="auto"/>
          </w:divBdr>
        </w:div>
        <w:div w:id="1296986320">
          <w:marLeft w:val="640"/>
          <w:marRight w:val="0"/>
          <w:marTop w:val="0"/>
          <w:marBottom w:val="0"/>
          <w:divBdr>
            <w:top w:val="none" w:sz="0" w:space="0" w:color="auto"/>
            <w:left w:val="none" w:sz="0" w:space="0" w:color="auto"/>
            <w:bottom w:val="none" w:sz="0" w:space="0" w:color="auto"/>
            <w:right w:val="none" w:sz="0" w:space="0" w:color="auto"/>
          </w:divBdr>
        </w:div>
        <w:div w:id="2027977163">
          <w:marLeft w:val="640"/>
          <w:marRight w:val="0"/>
          <w:marTop w:val="0"/>
          <w:marBottom w:val="0"/>
          <w:divBdr>
            <w:top w:val="none" w:sz="0" w:space="0" w:color="auto"/>
            <w:left w:val="none" w:sz="0" w:space="0" w:color="auto"/>
            <w:bottom w:val="none" w:sz="0" w:space="0" w:color="auto"/>
            <w:right w:val="none" w:sz="0" w:space="0" w:color="auto"/>
          </w:divBdr>
        </w:div>
        <w:div w:id="322583842">
          <w:marLeft w:val="640"/>
          <w:marRight w:val="0"/>
          <w:marTop w:val="0"/>
          <w:marBottom w:val="0"/>
          <w:divBdr>
            <w:top w:val="none" w:sz="0" w:space="0" w:color="auto"/>
            <w:left w:val="none" w:sz="0" w:space="0" w:color="auto"/>
            <w:bottom w:val="none" w:sz="0" w:space="0" w:color="auto"/>
            <w:right w:val="none" w:sz="0" w:space="0" w:color="auto"/>
          </w:divBdr>
        </w:div>
        <w:div w:id="1802962753">
          <w:marLeft w:val="640"/>
          <w:marRight w:val="0"/>
          <w:marTop w:val="0"/>
          <w:marBottom w:val="0"/>
          <w:divBdr>
            <w:top w:val="none" w:sz="0" w:space="0" w:color="auto"/>
            <w:left w:val="none" w:sz="0" w:space="0" w:color="auto"/>
            <w:bottom w:val="none" w:sz="0" w:space="0" w:color="auto"/>
            <w:right w:val="none" w:sz="0" w:space="0" w:color="auto"/>
          </w:divBdr>
        </w:div>
        <w:div w:id="1370649450">
          <w:marLeft w:val="640"/>
          <w:marRight w:val="0"/>
          <w:marTop w:val="0"/>
          <w:marBottom w:val="0"/>
          <w:divBdr>
            <w:top w:val="none" w:sz="0" w:space="0" w:color="auto"/>
            <w:left w:val="none" w:sz="0" w:space="0" w:color="auto"/>
            <w:bottom w:val="none" w:sz="0" w:space="0" w:color="auto"/>
            <w:right w:val="none" w:sz="0" w:space="0" w:color="auto"/>
          </w:divBdr>
        </w:div>
        <w:div w:id="1710299878">
          <w:marLeft w:val="640"/>
          <w:marRight w:val="0"/>
          <w:marTop w:val="0"/>
          <w:marBottom w:val="0"/>
          <w:divBdr>
            <w:top w:val="none" w:sz="0" w:space="0" w:color="auto"/>
            <w:left w:val="none" w:sz="0" w:space="0" w:color="auto"/>
            <w:bottom w:val="none" w:sz="0" w:space="0" w:color="auto"/>
            <w:right w:val="none" w:sz="0" w:space="0" w:color="auto"/>
          </w:divBdr>
        </w:div>
        <w:div w:id="1767310411">
          <w:marLeft w:val="640"/>
          <w:marRight w:val="0"/>
          <w:marTop w:val="0"/>
          <w:marBottom w:val="0"/>
          <w:divBdr>
            <w:top w:val="none" w:sz="0" w:space="0" w:color="auto"/>
            <w:left w:val="none" w:sz="0" w:space="0" w:color="auto"/>
            <w:bottom w:val="none" w:sz="0" w:space="0" w:color="auto"/>
            <w:right w:val="none" w:sz="0" w:space="0" w:color="auto"/>
          </w:divBdr>
        </w:div>
        <w:div w:id="1149437348">
          <w:marLeft w:val="640"/>
          <w:marRight w:val="0"/>
          <w:marTop w:val="0"/>
          <w:marBottom w:val="0"/>
          <w:divBdr>
            <w:top w:val="none" w:sz="0" w:space="0" w:color="auto"/>
            <w:left w:val="none" w:sz="0" w:space="0" w:color="auto"/>
            <w:bottom w:val="none" w:sz="0" w:space="0" w:color="auto"/>
            <w:right w:val="none" w:sz="0" w:space="0" w:color="auto"/>
          </w:divBdr>
        </w:div>
        <w:div w:id="1949237469">
          <w:marLeft w:val="640"/>
          <w:marRight w:val="0"/>
          <w:marTop w:val="0"/>
          <w:marBottom w:val="0"/>
          <w:divBdr>
            <w:top w:val="none" w:sz="0" w:space="0" w:color="auto"/>
            <w:left w:val="none" w:sz="0" w:space="0" w:color="auto"/>
            <w:bottom w:val="none" w:sz="0" w:space="0" w:color="auto"/>
            <w:right w:val="none" w:sz="0" w:space="0" w:color="auto"/>
          </w:divBdr>
        </w:div>
        <w:div w:id="441610046">
          <w:marLeft w:val="640"/>
          <w:marRight w:val="0"/>
          <w:marTop w:val="0"/>
          <w:marBottom w:val="0"/>
          <w:divBdr>
            <w:top w:val="none" w:sz="0" w:space="0" w:color="auto"/>
            <w:left w:val="none" w:sz="0" w:space="0" w:color="auto"/>
            <w:bottom w:val="none" w:sz="0" w:space="0" w:color="auto"/>
            <w:right w:val="none" w:sz="0" w:space="0" w:color="auto"/>
          </w:divBdr>
        </w:div>
        <w:div w:id="1218006563">
          <w:marLeft w:val="640"/>
          <w:marRight w:val="0"/>
          <w:marTop w:val="0"/>
          <w:marBottom w:val="0"/>
          <w:divBdr>
            <w:top w:val="none" w:sz="0" w:space="0" w:color="auto"/>
            <w:left w:val="none" w:sz="0" w:space="0" w:color="auto"/>
            <w:bottom w:val="none" w:sz="0" w:space="0" w:color="auto"/>
            <w:right w:val="none" w:sz="0" w:space="0" w:color="auto"/>
          </w:divBdr>
        </w:div>
        <w:div w:id="682706350">
          <w:marLeft w:val="640"/>
          <w:marRight w:val="0"/>
          <w:marTop w:val="0"/>
          <w:marBottom w:val="0"/>
          <w:divBdr>
            <w:top w:val="none" w:sz="0" w:space="0" w:color="auto"/>
            <w:left w:val="none" w:sz="0" w:space="0" w:color="auto"/>
            <w:bottom w:val="none" w:sz="0" w:space="0" w:color="auto"/>
            <w:right w:val="none" w:sz="0" w:space="0" w:color="auto"/>
          </w:divBdr>
        </w:div>
        <w:div w:id="1055467253">
          <w:marLeft w:val="640"/>
          <w:marRight w:val="0"/>
          <w:marTop w:val="0"/>
          <w:marBottom w:val="0"/>
          <w:divBdr>
            <w:top w:val="none" w:sz="0" w:space="0" w:color="auto"/>
            <w:left w:val="none" w:sz="0" w:space="0" w:color="auto"/>
            <w:bottom w:val="none" w:sz="0" w:space="0" w:color="auto"/>
            <w:right w:val="none" w:sz="0" w:space="0" w:color="auto"/>
          </w:divBdr>
        </w:div>
        <w:div w:id="120078797">
          <w:marLeft w:val="640"/>
          <w:marRight w:val="0"/>
          <w:marTop w:val="0"/>
          <w:marBottom w:val="0"/>
          <w:divBdr>
            <w:top w:val="none" w:sz="0" w:space="0" w:color="auto"/>
            <w:left w:val="none" w:sz="0" w:space="0" w:color="auto"/>
            <w:bottom w:val="none" w:sz="0" w:space="0" w:color="auto"/>
            <w:right w:val="none" w:sz="0" w:space="0" w:color="auto"/>
          </w:divBdr>
        </w:div>
        <w:div w:id="1995524992">
          <w:marLeft w:val="640"/>
          <w:marRight w:val="0"/>
          <w:marTop w:val="0"/>
          <w:marBottom w:val="0"/>
          <w:divBdr>
            <w:top w:val="none" w:sz="0" w:space="0" w:color="auto"/>
            <w:left w:val="none" w:sz="0" w:space="0" w:color="auto"/>
            <w:bottom w:val="none" w:sz="0" w:space="0" w:color="auto"/>
            <w:right w:val="none" w:sz="0" w:space="0" w:color="auto"/>
          </w:divBdr>
        </w:div>
        <w:div w:id="495877738">
          <w:marLeft w:val="640"/>
          <w:marRight w:val="0"/>
          <w:marTop w:val="0"/>
          <w:marBottom w:val="0"/>
          <w:divBdr>
            <w:top w:val="none" w:sz="0" w:space="0" w:color="auto"/>
            <w:left w:val="none" w:sz="0" w:space="0" w:color="auto"/>
            <w:bottom w:val="none" w:sz="0" w:space="0" w:color="auto"/>
            <w:right w:val="none" w:sz="0" w:space="0" w:color="auto"/>
          </w:divBdr>
        </w:div>
        <w:div w:id="1674726057">
          <w:marLeft w:val="640"/>
          <w:marRight w:val="0"/>
          <w:marTop w:val="0"/>
          <w:marBottom w:val="0"/>
          <w:divBdr>
            <w:top w:val="none" w:sz="0" w:space="0" w:color="auto"/>
            <w:left w:val="none" w:sz="0" w:space="0" w:color="auto"/>
            <w:bottom w:val="none" w:sz="0" w:space="0" w:color="auto"/>
            <w:right w:val="none" w:sz="0" w:space="0" w:color="auto"/>
          </w:divBdr>
        </w:div>
        <w:div w:id="1493790515">
          <w:marLeft w:val="640"/>
          <w:marRight w:val="0"/>
          <w:marTop w:val="0"/>
          <w:marBottom w:val="0"/>
          <w:divBdr>
            <w:top w:val="none" w:sz="0" w:space="0" w:color="auto"/>
            <w:left w:val="none" w:sz="0" w:space="0" w:color="auto"/>
            <w:bottom w:val="none" w:sz="0" w:space="0" w:color="auto"/>
            <w:right w:val="none" w:sz="0" w:space="0" w:color="auto"/>
          </w:divBdr>
        </w:div>
        <w:div w:id="356733076">
          <w:marLeft w:val="640"/>
          <w:marRight w:val="0"/>
          <w:marTop w:val="0"/>
          <w:marBottom w:val="0"/>
          <w:divBdr>
            <w:top w:val="none" w:sz="0" w:space="0" w:color="auto"/>
            <w:left w:val="none" w:sz="0" w:space="0" w:color="auto"/>
            <w:bottom w:val="none" w:sz="0" w:space="0" w:color="auto"/>
            <w:right w:val="none" w:sz="0" w:space="0" w:color="auto"/>
          </w:divBdr>
        </w:div>
        <w:div w:id="1342510478">
          <w:marLeft w:val="640"/>
          <w:marRight w:val="0"/>
          <w:marTop w:val="0"/>
          <w:marBottom w:val="0"/>
          <w:divBdr>
            <w:top w:val="none" w:sz="0" w:space="0" w:color="auto"/>
            <w:left w:val="none" w:sz="0" w:space="0" w:color="auto"/>
            <w:bottom w:val="none" w:sz="0" w:space="0" w:color="auto"/>
            <w:right w:val="none" w:sz="0" w:space="0" w:color="auto"/>
          </w:divBdr>
        </w:div>
        <w:div w:id="2053190594">
          <w:marLeft w:val="640"/>
          <w:marRight w:val="0"/>
          <w:marTop w:val="0"/>
          <w:marBottom w:val="0"/>
          <w:divBdr>
            <w:top w:val="none" w:sz="0" w:space="0" w:color="auto"/>
            <w:left w:val="none" w:sz="0" w:space="0" w:color="auto"/>
            <w:bottom w:val="none" w:sz="0" w:space="0" w:color="auto"/>
            <w:right w:val="none" w:sz="0" w:space="0" w:color="auto"/>
          </w:divBdr>
        </w:div>
        <w:div w:id="1094397281">
          <w:marLeft w:val="640"/>
          <w:marRight w:val="0"/>
          <w:marTop w:val="0"/>
          <w:marBottom w:val="0"/>
          <w:divBdr>
            <w:top w:val="none" w:sz="0" w:space="0" w:color="auto"/>
            <w:left w:val="none" w:sz="0" w:space="0" w:color="auto"/>
            <w:bottom w:val="none" w:sz="0" w:space="0" w:color="auto"/>
            <w:right w:val="none" w:sz="0" w:space="0" w:color="auto"/>
          </w:divBdr>
        </w:div>
        <w:div w:id="1993286687">
          <w:marLeft w:val="640"/>
          <w:marRight w:val="0"/>
          <w:marTop w:val="0"/>
          <w:marBottom w:val="0"/>
          <w:divBdr>
            <w:top w:val="none" w:sz="0" w:space="0" w:color="auto"/>
            <w:left w:val="none" w:sz="0" w:space="0" w:color="auto"/>
            <w:bottom w:val="none" w:sz="0" w:space="0" w:color="auto"/>
            <w:right w:val="none" w:sz="0" w:space="0" w:color="auto"/>
          </w:divBdr>
        </w:div>
        <w:div w:id="1147623556">
          <w:marLeft w:val="640"/>
          <w:marRight w:val="0"/>
          <w:marTop w:val="0"/>
          <w:marBottom w:val="0"/>
          <w:divBdr>
            <w:top w:val="none" w:sz="0" w:space="0" w:color="auto"/>
            <w:left w:val="none" w:sz="0" w:space="0" w:color="auto"/>
            <w:bottom w:val="none" w:sz="0" w:space="0" w:color="auto"/>
            <w:right w:val="none" w:sz="0" w:space="0" w:color="auto"/>
          </w:divBdr>
        </w:div>
        <w:div w:id="1796948566">
          <w:marLeft w:val="640"/>
          <w:marRight w:val="0"/>
          <w:marTop w:val="0"/>
          <w:marBottom w:val="0"/>
          <w:divBdr>
            <w:top w:val="none" w:sz="0" w:space="0" w:color="auto"/>
            <w:left w:val="none" w:sz="0" w:space="0" w:color="auto"/>
            <w:bottom w:val="none" w:sz="0" w:space="0" w:color="auto"/>
            <w:right w:val="none" w:sz="0" w:space="0" w:color="auto"/>
          </w:divBdr>
        </w:div>
        <w:div w:id="2075614184">
          <w:marLeft w:val="640"/>
          <w:marRight w:val="0"/>
          <w:marTop w:val="0"/>
          <w:marBottom w:val="0"/>
          <w:divBdr>
            <w:top w:val="none" w:sz="0" w:space="0" w:color="auto"/>
            <w:left w:val="none" w:sz="0" w:space="0" w:color="auto"/>
            <w:bottom w:val="none" w:sz="0" w:space="0" w:color="auto"/>
            <w:right w:val="none" w:sz="0" w:space="0" w:color="auto"/>
          </w:divBdr>
        </w:div>
        <w:div w:id="2146657937">
          <w:marLeft w:val="640"/>
          <w:marRight w:val="0"/>
          <w:marTop w:val="0"/>
          <w:marBottom w:val="0"/>
          <w:divBdr>
            <w:top w:val="none" w:sz="0" w:space="0" w:color="auto"/>
            <w:left w:val="none" w:sz="0" w:space="0" w:color="auto"/>
            <w:bottom w:val="none" w:sz="0" w:space="0" w:color="auto"/>
            <w:right w:val="none" w:sz="0" w:space="0" w:color="auto"/>
          </w:divBdr>
        </w:div>
        <w:div w:id="2042388828">
          <w:marLeft w:val="640"/>
          <w:marRight w:val="0"/>
          <w:marTop w:val="0"/>
          <w:marBottom w:val="0"/>
          <w:divBdr>
            <w:top w:val="none" w:sz="0" w:space="0" w:color="auto"/>
            <w:left w:val="none" w:sz="0" w:space="0" w:color="auto"/>
            <w:bottom w:val="none" w:sz="0" w:space="0" w:color="auto"/>
            <w:right w:val="none" w:sz="0" w:space="0" w:color="auto"/>
          </w:divBdr>
        </w:div>
        <w:div w:id="683897623">
          <w:marLeft w:val="640"/>
          <w:marRight w:val="0"/>
          <w:marTop w:val="0"/>
          <w:marBottom w:val="0"/>
          <w:divBdr>
            <w:top w:val="none" w:sz="0" w:space="0" w:color="auto"/>
            <w:left w:val="none" w:sz="0" w:space="0" w:color="auto"/>
            <w:bottom w:val="none" w:sz="0" w:space="0" w:color="auto"/>
            <w:right w:val="none" w:sz="0" w:space="0" w:color="auto"/>
          </w:divBdr>
        </w:div>
        <w:div w:id="1970697152">
          <w:marLeft w:val="640"/>
          <w:marRight w:val="0"/>
          <w:marTop w:val="0"/>
          <w:marBottom w:val="0"/>
          <w:divBdr>
            <w:top w:val="none" w:sz="0" w:space="0" w:color="auto"/>
            <w:left w:val="none" w:sz="0" w:space="0" w:color="auto"/>
            <w:bottom w:val="none" w:sz="0" w:space="0" w:color="auto"/>
            <w:right w:val="none" w:sz="0" w:space="0" w:color="auto"/>
          </w:divBdr>
        </w:div>
        <w:div w:id="766656054">
          <w:marLeft w:val="640"/>
          <w:marRight w:val="0"/>
          <w:marTop w:val="0"/>
          <w:marBottom w:val="0"/>
          <w:divBdr>
            <w:top w:val="none" w:sz="0" w:space="0" w:color="auto"/>
            <w:left w:val="none" w:sz="0" w:space="0" w:color="auto"/>
            <w:bottom w:val="none" w:sz="0" w:space="0" w:color="auto"/>
            <w:right w:val="none" w:sz="0" w:space="0" w:color="auto"/>
          </w:divBdr>
        </w:div>
        <w:div w:id="634871743">
          <w:marLeft w:val="640"/>
          <w:marRight w:val="0"/>
          <w:marTop w:val="0"/>
          <w:marBottom w:val="0"/>
          <w:divBdr>
            <w:top w:val="none" w:sz="0" w:space="0" w:color="auto"/>
            <w:left w:val="none" w:sz="0" w:space="0" w:color="auto"/>
            <w:bottom w:val="none" w:sz="0" w:space="0" w:color="auto"/>
            <w:right w:val="none" w:sz="0" w:space="0" w:color="auto"/>
          </w:divBdr>
        </w:div>
        <w:div w:id="1380783156">
          <w:marLeft w:val="640"/>
          <w:marRight w:val="0"/>
          <w:marTop w:val="0"/>
          <w:marBottom w:val="0"/>
          <w:divBdr>
            <w:top w:val="none" w:sz="0" w:space="0" w:color="auto"/>
            <w:left w:val="none" w:sz="0" w:space="0" w:color="auto"/>
            <w:bottom w:val="none" w:sz="0" w:space="0" w:color="auto"/>
            <w:right w:val="none" w:sz="0" w:space="0" w:color="auto"/>
          </w:divBdr>
        </w:div>
        <w:div w:id="719138080">
          <w:marLeft w:val="640"/>
          <w:marRight w:val="0"/>
          <w:marTop w:val="0"/>
          <w:marBottom w:val="0"/>
          <w:divBdr>
            <w:top w:val="none" w:sz="0" w:space="0" w:color="auto"/>
            <w:left w:val="none" w:sz="0" w:space="0" w:color="auto"/>
            <w:bottom w:val="none" w:sz="0" w:space="0" w:color="auto"/>
            <w:right w:val="none" w:sz="0" w:space="0" w:color="auto"/>
          </w:divBdr>
        </w:div>
        <w:div w:id="690492724">
          <w:marLeft w:val="640"/>
          <w:marRight w:val="0"/>
          <w:marTop w:val="0"/>
          <w:marBottom w:val="0"/>
          <w:divBdr>
            <w:top w:val="none" w:sz="0" w:space="0" w:color="auto"/>
            <w:left w:val="none" w:sz="0" w:space="0" w:color="auto"/>
            <w:bottom w:val="none" w:sz="0" w:space="0" w:color="auto"/>
            <w:right w:val="none" w:sz="0" w:space="0" w:color="auto"/>
          </w:divBdr>
        </w:div>
        <w:div w:id="169951609">
          <w:marLeft w:val="640"/>
          <w:marRight w:val="0"/>
          <w:marTop w:val="0"/>
          <w:marBottom w:val="0"/>
          <w:divBdr>
            <w:top w:val="none" w:sz="0" w:space="0" w:color="auto"/>
            <w:left w:val="none" w:sz="0" w:space="0" w:color="auto"/>
            <w:bottom w:val="none" w:sz="0" w:space="0" w:color="auto"/>
            <w:right w:val="none" w:sz="0" w:space="0" w:color="auto"/>
          </w:divBdr>
        </w:div>
        <w:div w:id="1668555478">
          <w:marLeft w:val="640"/>
          <w:marRight w:val="0"/>
          <w:marTop w:val="0"/>
          <w:marBottom w:val="0"/>
          <w:divBdr>
            <w:top w:val="none" w:sz="0" w:space="0" w:color="auto"/>
            <w:left w:val="none" w:sz="0" w:space="0" w:color="auto"/>
            <w:bottom w:val="none" w:sz="0" w:space="0" w:color="auto"/>
            <w:right w:val="none" w:sz="0" w:space="0" w:color="auto"/>
          </w:divBdr>
        </w:div>
        <w:div w:id="2057124137">
          <w:marLeft w:val="640"/>
          <w:marRight w:val="0"/>
          <w:marTop w:val="0"/>
          <w:marBottom w:val="0"/>
          <w:divBdr>
            <w:top w:val="none" w:sz="0" w:space="0" w:color="auto"/>
            <w:left w:val="none" w:sz="0" w:space="0" w:color="auto"/>
            <w:bottom w:val="none" w:sz="0" w:space="0" w:color="auto"/>
            <w:right w:val="none" w:sz="0" w:space="0" w:color="auto"/>
          </w:divBdr>
        </w:div>
        <w:div w:id="1661808799">
          <w:marLeft w:val="640"/>
          <w:marRight w:val="0"/>
          <w:marTop w:val="0"/>
          <w:marBottom w:val="0"/>
          <w:divBdr>
            <w:top w:val="none" w:sz="0" w:space="0" w:color="auto"/>
            <w:left w:val="none" w:sz="0" w:space="0" w:color="auto"/>
            <w:bottom w:val="none" w:sz="0" w:space="0" w:color="auto"/>
            <w:right w:val="none" w:sz="0" w:space="0" w:color="auto"/>
          </w:divBdr>
        </w:div>
        <w:div w:id="1220435936">
          <w:marLeft w:val="640"/>
          <w:marRight w:val="0"/>
          <w:marTop w:val="0"/>
          <w:marBottom w:val="0"/>
          <w:divBdr>
            <w:top w:val="none" w:sz="0" w:space="0" w:color="auto"/>
            <w:left w:val="none" w:sz="0" w:space="0" w:color="auto"/>
            <w:bottom w:val="none" w:sz="0" w:space="0" w:color="auto"/>
            <w:right w:val="none" w:sz="0" w:space="0" w:color="auto"/>
          </w:divBdr>
        </w:div>
        <w:div w:id="1198277075">
          <w:marLeft w:val="640"/>
          <w:marRight w:val="0"/>
          <w:marTop w:val="0"/>
          <w:marBottom w:val="0"/>
          <w:divBdr>
            <w:top w:val="none" w:sz="0" w:space="0" w:color="auto"/>
            <w:left w:val="none" w:sz="0" w:space="0" w:color="auto"/>
            <w:bottom w:val="none" w:sz="0" w:space="0" w:color="auto"/>
            <w:right w:val="none" w:sz="0" w:space="0" w:color="auto"/>
          </w:divBdr>
        </w:div>
        <w:div w:id="1660382721">
          <w:marLeft w:val="640"/>
          <w:marRight w:val="0"/>
          <w:marTop w:val="0"/>
          <w:marBottom w:val="0"/>
          <w:divBdr>
            <w:top w:val="none" w:sz="0" w:space="0" w:color="auto"/>
            <w:left w:val="none" w:sz="0" w:space="0" w:color="auto"/>
            <w:bottom w:val="none" w:sz="0" w:space="0" w:color="auto"/>
            <w:right w:val="none" w:sz="0" w:space="0" w:color="auto"/>
          </w:divBdr>
        </w:div>
        <w:div w:id="1295865768">
          <w:marLeft w:val="640"/>
          <w:marRight w:val="0"/>
          <w:marTop w:val="0"/>
          <w:marBottom w:val="0"/>
          <w:divBdr>
            <w:top w:val="none" w:sz="0" w:space="0" w:color="auto"/>
            <w:left w:val="none" w:sz="0" w:space="0" w:color="auto"/>
            <w:bottom w:val="none" w:sz="0" w:space="0" w:color="auto"/>
            <w:right w:val="none" w:sz="0" w:space="0" w:color="auto"/>
          </w:divBdr>
        </w:div>
        <w:div w:id="1702516537">
          <w:marLeft w:val="640"/>
          <w:marRight w:val="0"/>
          <w:marTop w:val="0"/>
          <w:marBottom w:val="0"/>
          <w:divBdr>
            <w:top w:val="none" w:sz="0" w:space="0" w:color="auto"/>
            <w:left w:val="none" w:sz="0" w:space="0" w:color="auto"/>
            <w:bottom w:val="none" w:sz="0" w:space="0" w:color="auto"/>
            <w:right w:val="none" w:sz="0" w:space="0" w:color="auto"/>
          </w:divBdr>
        </w:div>
        <w:div w:id="890189455">
          <w:marLeft w:val="640"/>
          <w:marRight w:val="0"/>
          <w:marTop w:val="0"/>
          <w:marBottom w:val="0"/>
          <w:divBdr>
            <w:top w:val="none" w:sz="0" w:space="0" w:color="auto"/>
            <w:left w:val="none" w:sz="0" w:space="0" w:color="auto"/>
            <w:bottom w:val="none" w:sz="0" w:space="0" w:color="auto"/>
            <w:right w:val="none" w:sz="0" w:space="0" w:color="auto"/>
          </w:divBdr>
        </w:div>
        <w:div w:id="413934741">
          <w:marLeft w:val="640"/>
          <w:marRight w:val="0"/>
          <w:marTop w:val="0"/>
          <w:marBottom w:val="0"/>
          <w:divBdr>
            <w:top w:val="none" w:sz="0" w:space="0" w:color="auto"/>
            <w:left w:val="none" w:sz="0" w:space="0" w:color="auto"/>
            <w:bottom w:val="none" w:sz="0" w:space="0" w:color="auto"/>
            <w:right w:val="none" w:sz="0" w:space="0" w:color="auto"/>
          </w:divBdr>
        </w:div>
        <w:div w:id="2002350253">
          <w:marLeft w:val="640"/>
          <w:marRight w:val="0"/>
          <w:marTop w:val="0"/>
          <w:marBottom w:val="0"/>
          <w:divBdr>
            <w:top w:val="none" w:sz="0" w:space="0" w:color="auto"/>
            <w:left w:val="none" w:sz="0" w:space="0" w:color="auto"/>
            <w:bottom w:val="none" w:sz="0" w:space="0" w:color="auto"/>
            <w:right w:val="none" w:sz="0" w:space="0" w:color="auto"/>
          </w:divBdr>
        </w:div>
        <w:div w:id="908922617">
          <w:marLeft w:val="640"/>
          <w:marRight w:val="0"/>
          <w:marTop w:val="0"/>
          <w:marBottom w:val="0"/>
          <w:divBdr>
            <w:top w:val="none" w:sz="0" w:space="0" w:color="auto"/>
            <w:left w:val="none" w:sz="0" w:space="0" w:color="auto"/>
            <w:bottom w:val="none" w:sz="0" w:space="0" w:color="auto"/>
            <w:right w:val="none" w:sz="0" w:space="0" w:color="auto"/>
          </w:divBdr>
        </w:div>
        <w:div w:id="1990281307">
          <w:marLeft w:val="640"/>
          <w:marRight w:val="0"/>
          <w:marTop w:val="0"/>
          <w:marBottom w:val="0"/>
          <w:divBdr>
            <w:top w:val="none" w:sz="0" w:space="0" w:color="auto"/>
            <w:left w:val="none" w:sz="0" w:space="0" w:color="auto"/>
            <w:bottom w:val="none" w:sz="0" w:space="0" w:color="auto"/>
            <w:right w:val="none" w:sz="0" w:space="0" w:color="auto"/>
          </w:divBdr>
        </w:div>
        <w:div w:id="2053118134">
          <w:marLeft w:val="640"/>
          <w:marRight w:val="0"/>
          <w:marTop w:val="0"/>
          <w:marBottom w:val="0"/>
          <w:divBdr>
            <w:top w:val="none" w:sz="0" w:space="0" w:color="auto"/>
            <w:left w:val="none" w:sz="0" w:space="0" w:color="auto"/>
            <w:bottom w:val="none" w:sz="0" w:space="0" w:color="auto"/>
            <w:right w:val="none" w:sz="0" w:space="0" w:color="auto"/>
          </w:divBdr>
        </w:div>
        <w:div w:id="180626071">
          <w:marLeft w:val="640"/>
          <w:marRight w:val="0"/>
          <w:marTop w:val="0"/>
          <w:marBottom w:val="0"/>
          <w:divBdr>
            <w:top w:val="none" w:sz="0" w:space="0" w:color="auto"/>
            <w:left w:val="none" w:sz="0" w:space="0" w:color="auto"/>
            <w:bottom w:val="none" w:sz="0" w:space="0" w:color="auto"/>
            <w:right w:val="none" w:sz="0" w:space="0" w:color="auto"/>
          </w:divBdr>
        </w:div>
        <w:div w:id="92408379">
          <w:marLeft w:val="640"/>
          <w:marRight w:val="0"/>
          <w:marTop w:val="0"/>
          <w:marBottom w:val="0"/>
          <w:divBdr>
            <w:top w:val="none" w:sz="0" w:space="0" w:color="auto"/>
            <w:left w:val="none" w:sz="0" w:space="0" w:color="auto"/>
            <w:bottom w:val="none" w:sz="0" w:space="0" w:color="auto"/>
            <w:right w:val="none" w:sz="0" w:space="0" w:color="auto"/>
          </w:divBdr>
        </w:div>
        <w:div w:id="355691047">
          <w:marLeft w:val="640"/>
          <w:marRight w:val="0"/>
          <w:marTop w:val="0"/>
          <w:marBottom w:val="0"/>
          <w:divBdr>
            <w:top w:val="none" w:sz="0" w:space="0" w:color="auto"/>
            <w:left w:val="none" w:sz="0" w:space="0" w:color="auto"/>
            <w:bottom w:val="none" w:sz="0" w:space="0" w:color="auto"/>
            <w:right w:val="none" w:sz="0" w:space="0" w:color="auto"/>
          </w:divBdr>
        </w:div>
        <w:div w:id="28261298">
          <w:marLeft w:val="640"/>
          <w:marRight w:val="0"/>
          <w:marTop w:val="0"/>
          <w:marBottom w:val="0"/>
          <w:divBdr>
            <w:top w:val="none" w:sz="0" w:space="0" w:color="auto"/>
            <w:left w:val="none" w:sz="0" w:space="0" w:color="auto"/>
            <w:bottom w:val="none" w:sz="0" w:space="0" w:color="auto"/>
            <w:right w:val="none" w:sz="0" w:space="0" w:color="auto"/>
          </w:divBdr>
        </w:div>
        <w:div w:id="1084451780">
          <w:marLeft w:val="640"/>
          <w:marRight w:val="0"/>
          <w:marTop w:val="0"/>
          <w:marBottom w:val="0"/>
          <w:divBdr>
            <w:top w:val="none" w:sz="0" w:space="0" w:color="auto"/>
            <w:left w:val="none" w:sz="0" w:space="0" w:color="auto"/>
            <w:bottom w:val="none" w:sz="0" w:space="0" w:color="auto"/>
            <w:right w:val="none" w:sz="0" w:space="0" w:color="auto"/>
          </w:divBdr>
        </w:div>
        <w:div w:id="1868984691">
          <w:marLeft w:val="640"/>
          <w:marRight w:val="0"/>
          <w:marTop w:val="0"/>
          <w:marBottom w:val="0"/>
          <w:divBdr>
            <w:top w:val="none" w:sz="0" w:space="0" w:color="auto"/>
            <w:left w:val="none" w:sz="0" w:space="0" w:color="auto"/>
            <w:bottom w:val="none" w:sz="0" w:space="0" w:color="auto"/>
            <w:right w:val="none" w:sz="0" w:space="0" w:color="auto"/>
          </w:divBdr>
        </w:div>
        <w:div w:id="2122336015">
          <w:marLeft w:val="640"/>
          <w:marRight w:val="0"/>
          <w:marTop w:val="0"/>
          <w:marBottom w:val="0"/>
          <w:divBdr>
            <w:top w:val="none" w:sz="0" w:space="0" w:color="auto"/>
            <w:left w:val="none" w:sz="0" w:space="0" w:color="auto"/>
            <w:bottom w:val="none" w:sz="0" w:space="0" w:color="auto"/>
            <w:right w:val="none" w:sz="0" w:space="0" w:color="auto"/>
          </w:divBdr>
        </w:div>
        <w:div w:id="641886035">
          <w:marLeft w:val="640"/>
          <w:marRight w:val="0"/>
          <w:marTop w:val="0"/>
          <w:marBottom w:val="0"/>
          <w:divBdr>
            <w:top w:val="none" w:sz="0" w:space="0" w:color="auto"/>
            <w:left w:val="none" w:sz="0" w:space="0" w:color="auto"/>
            <w:bottom w:val="none" w:sz="0" w:space="0" w:color="auto"/>
            <w:right w:val="none" w:sz="0" w:space="0" w:color="auto"/>
          </w:divBdr>
        </w:div>
        <w:div w:id="213127192">
          <w:marLeft w:val="640"/>
          <w:marRight w:val="0"/>
          <w:marTop w:val="0"/>
          <w:marBottom w:val="0"/>
          <w:divBdr>
            <w:top w:val="none" w:sz="0" w:space="0" w:color="auto"/>
            <w:left w:val="none" w:sz="0" w:space="0" w:color="auto"/>
            <w:bottom w:val="none" w:sz="0" w:space="0" w:color="auto"/>
            <w:right w:val="none" w:sz="0" w:space="0" w:color="auto"/>
          </w:divBdr>
        </w:div>
        <w:div w:id="1699550236">
          <w:marLeft w:val="640"/>
          <w:marRight w:val="0"/>
          <w:marTop w:val="0"/>
          <w:marBottom w:val="0"/>
          <w:divBdr>
            <w:top w:val="none" w:sz="0" w:space="0" w:color="auto"/>
            <w:left w:val="none" w:sz="0" w:space="0" w:color="auto"/>
            <w:bottom w:val="none" w:sz="0" w:space="0" w:color="auto"/>
            <w:right w:val="none" w:sz="0" w:space="0" w:color="auto"/>
          </w:divBdr>
        </w:div>
        <w:div w:id="342363343">
          <w:marLeft w:val="640"/>
          <w:marRight w:val="0"/>
          <w:marTop w:val="0"/>
          <w:marBottom w:val="0"/>
          <w:divBdr>
            <w:top w:val="none" w:sz="0" w:space="0" w:color="auto"/>
            <w:left w:val="none" w:sz="0" w:space="0" w:color="auto"/>
            <w:bottom w:val="none" w:sz="0" w:space="0" w:color="auto"/>
            <w:right w:val="none" w:sz="0" w:space="0" w:color="auto"/>
          </w:divBdr>
        </w:div>
        <w:div w:id="159206">
          <w:marLeft w:val="640"/>
          <w:marRight w:val="0"/>
          <w:marTop w:val="0"/>
          <w:marBottom w:val="0"/>
          <w:divBdr>
            <w:top w:val="none" w:sz="0" w:space="0" w:color="auto"/>
            <w:left w:val="none" w:sz="0" w:space="0" w:color="auto"/>
            <w:bottom w:val="none" w:sz="0" w:space="0" w:color="auto"/>
            <w:right w:val="none" w:sz="0" w:space="0" w:color="auto"/>
          </w:divBdr>
        </w:div>
        <w:div w:id="686519858">
          <w:marLeft w:val="640"/>
          <w:marRight w:val="0"/>
          <w:marTop w:val="0"/>
          <w:marBottom w:val="0"/>
          <w:divBdr>
            <w:top w:val="none" w:sz="0" w:space="0" w:color="auto"/>
            <w:left w:val="none" w:sz="0" w:space="0" w:color="auto"/>
            <w:bottom w:val="none" w:sz="0" w:space="0" w:color="auto"/>
            <w:right w:val="none" w:sz="0" w:space="0" w:color="auto"/>
          </w:divBdr>
        </w:div>
        <w:div w:id="272328042">
          <w:marLeft w:val="640"/>
          <w:marRight w:val="0"/>
          <w:marTop w:val="0"/>
          <w:marBottom w:val="0"/>
          <w:divBdr>
            <w:top w:val="none" w:sz="0" w:space="0" w:color="auto"/>
            <w:left w:val="none" w:sz="0" w:space="0" w:color="auto"/>
            <w:bottom w:val="none" w:sz="0" w:space="0" w:color="auto"/>
            <w:right w:val="none" w:sz="0" w:space="0" w:color="auto"/>
          </w:divBdr>
        </w:div>
        <w:div w:id="1194491216">
          <w:marLeft w:val="640"/>
          <w:marRight w:val="0"/>
          <w:marTop w:val="0"/>
          <w:marBottom w:val="0"/>
          <w:divBdr>
            <w:top w:val="none" w:sz="0" w:space="0" w:color="auto"/>
            <w:left w:val="none" w:sz="0" w:space="0" w:color="auto"/>
            <w:bottom w:val="none" w:sz="0" w:space="0" w:color="auto"/>
            <w:right w:val="none" w:sz="0" w:space="0" w:color="auto"/>
          </w:divBdr>
        </w:div>
        <w:div w:id="183593465">
          <w:marLeft w:val="640"/>
          <w:marRight w:val="0"/>
          <w:marTop w:val="0"/>
          <w:marBottom w:val="0"/>
          <w:divBdr>
            <w:top w:val="none" w:sz="0" w:space="0" w:color="auto"/>
            <w:left w:val="none" w:sz="0" w:space="0" w:color="auto"/>
            <w:bottom w:val="none" w:sz="0" w:space="0" w:color="auto"/>
            <w:right w:val="none" w:sz="0" w:space="0" w:color="auto"/>
          </w:divBdr>
        </w:div>
      </w:divsChild>
    </w:div>
    <w:div w:id="723332504">
      <w:bodyDiv w:val="1"/>
      <w:marLeft w:val="0"/>
      <w:marRight w:val="0"/>
      <w:marTop w:val="0"/>
      <w:marBottom w:val="0"/>
      <w:divBdr>
        <w:top w:val="none" w:sz="0" w:space="0" w:color="auto"/>
        <w:left w:val="none" w:sz="0" w:space="0" w:color="auto"/>
        <w:bottom w:val="none" w:sz="0" w:space="0" w:color="auto"/>
        <w:right w:val="none" w:sz="0" w:space="0" w:color="auto"/>
      </w:divBdr>
    </w:div>
    <w:div w:id="723990318">
      <w:bodyDiv w:val="1"/>
      <w:marLeft w:val="0"/>
      <w:marRight w:val="0"/>
      <w:marTop w:val="0"/>
      <w:marBottom w:val="0"/>
      <w:divBdr>
        <w:top w:val="none" w:sz="0" w:space="0" w:color="auto"/>
        <w:left w:val="none" w:sz="0" w:space="0" w:color="auto"/>
        <w:bottom w:val="none" w:sz="0" w:space="0" w:color="auto"/>
        <w:right w:val="none" w:sz="0" w:space="0" w:color="auto"/>
      </w:divBdr>
    </w:div>
    <w:div w:id="725180444">
      <w:bodyDiv w:val="1"/>
      <w:marLeft w:val="0"/>
      <w:marRight w:val="0"/>
      <w:marTop w:val="0"/>
      <w:marBottom w:val="0"/>
      <w:divBdr>
        <w:top w:val="none" w:sz="0" w:space="0" w:color="auto"/>
        <w:left w:val="none" w:sz="0" w:space="0" w:color="auto"/>
        <w:bottom w:val="none" w:sz="0" w:space="0" w:color="auto"/>
        <w:right w:val="none" w:sz="0" w:space="0" w:color="auto"/>
      </w:divBdr>
    </w:div>
    <w:div w:id="728192280">
      <w:bodyDiv w:val="1"/>
      <w:marLeft w:val="0"/>
      <w:marRight w:val="0"/>
      <w:marTop w:val="0"/>
      <w:marBottom w:val="0"/>
      <w:divBdr>
        <w:top w:val="none" w:sz="0" w:space="0" w:color="auto"/>
        <w:left w:val="none" w:sz="0" w:space="0" w:color="auto"/>
        <w:bottom w:val="none" w:sz="0" w:space="0" w:color="auto"/>
        <w:right w:val="none" w:sz="0" w:space="0" w:color="auto"/>
      </w:divBdr>
    </w:div>
    <w:div w:id="731537111">
      <w:bodyDiv w:val="1"/>
      <w:marLeft w:val="0"/>
      <w:marRight w:val="0"/>
      <w:marTop w:val="0"/>
      <w:marBottom w:val="0"/>
      <w:divBdr>
        <w:top w:val="none" w:sz="0" w:space="0" w:color="auto"/>
        <w:left w:val="none" w:sz="0" w:space="0" w:color="auto"/>
        <w:bottom w:val="none" w:sz="0" w:space="0" w:color="auto"/>
        <w:right w:val="none" w:sz="0" w:space="0" w:color="auto"/>
      </w:divBdr>
    </w:div>
    <w:div w:id="732316616">
      <w:bodyDiv w:val="1"/>
      <w:marLeft w:val="0"/>
      <w:marRight w:val="0"/>
      <w:marTop w:val="0"/>
      <w:marBottom w:val="0"/>
      <w:divBdr>
        <w:top w:val="none" w:sz="0" w:space="0" w:color="auto"/>
        <w:left w:val="none" w:sz="0" w:space="0" w:color="auto"/>
        <w:bottom w:val="none" w:sz="0" w:space="0" w:color="auto"/>
        <w:right w:val="none" w:sz="0" w:space="0" w:color="auto"/>
      </w:divBdr>
    </w:div>
    <w:div w:id="735279732">
      <w:bodyDiv w:val="1"/>
      <w:marLeft w:val="0"/>
      <w:marRight w:val="0"/>
      <w:marTop w:val="0"/>
      <w:marBottom w:val="0"/>
      <w:divBdr>
        <w:top w:val="none" w:sz="0" w:space="0" w:color="auto"/>
        <w:left w:val="none" w:sz="0" w:space="0" w:color="auto"/>
        <w:bottom w:val="none" w:sz="0" w:space="0" w:color="auto"/>
        <w:right w:val="none" w:sz="0" w:space="0" w:color="auto"/>
      </w:divBdr>
    </w:div>
    <w:div w:id="735395785">
      <w:bodyDiv w:val="1"/>
      <w:marLeft w:val="0"/>
      <w:marRight w:val="0"/>
      <w:marTop w:val="0"/>
      <w:marBottom w:val="0"/>
      <w:divBdr>
        <w:top w:val="none" w:sz="0" w:space="0" w:color="auto"/>
        <w:left w:val="none" w:sz="0" w:space="0" w:color="auto"/>
        <w:bottom w:val="none" w:sz="0" w:space="0" w:color="auto"/>
        <w:right w:val="none" w:sz="0" w:space="0" w:color="auto"/>
      </w:divBdr>
    </w:div>
    <w:div w:id="735665597">
      <w:bodyDiv w:val="1"/>
      <w:marLeft w:val="0"/>
      <w:marRight w:val="0"/>
      <w:marTop w:val="0"/>
      <w:marBottom w:val="0"/>
      <w:divBdr>
        <w:top w:val="none" w:sz="0" w:space="0" w:color="auto"/>
        <w:left w:val="none" w:sz="0" w:space="0" w:color="auto"/>
        <w:bottom w:val="none" w:sz="0" w:space="0" w:color="auto"/>
        <w:right w:val="none" w:sz="0" w:space="0" w:color="auto"/>
      </w:divBdr>
    </w:div>
    <w:div w:id="736905899">
      <w:bodyDiv w:val="1"/>
      <w:marLeft w:val="0"/>
      <w:marRight w:val="0"/>
      <w:marTop w:val="0"/>
      <w:marBottom w:val="0"/>
      <w:divBdr>
        <w:top w:val="none" w:sz="0" w:space="0" w:color="auto"/>
        <w:left w:val="none" w:sz="0" w:space="0" w:color="auto"/>
        <w:bottom w:val="none" w:sz="0" w:space="0" w:color="auto"/>
        <w:right w:val="none" w:sz="0" w:space="0" w:color="auto"/>
      </w:divBdr>
    </w:div>
    <w:div w:id="737098386">
      <w:bodyDiv w:val="1"/>
      <w:marLeft w:val="0"/>
      <w:marRight w:val="0"/>
      <w:marTop w:val="0"/>
      <w:marBottom w:val="0"/>
      <w:divBdr>
        <w:top w:val="none" w:sz="0" w:space="0" w:color="auto"/>
        <w:left w:val="none" w:sz="0" w:space="0" w:color="auto"/>
        <w:bottom w:val="none" w:sz="0" w:space="0" w:color="auto"/>
        <w:right w:val="none" w:sz="0" w:space="0" w:color="auto"/>
      </w:divBdr>
    </w:div>
    <w:div w:id="739669971">
      <w:bodyDiv w:val="1"/>
      <w:marLeft w:val="0"/>
      <w:marRight w:val="0"/>
      <w:marTop w:val="0"/>
      <w:marBottom w:val="0"/>
      <w:divBdr>
        <w:top w:val="none" w:sz="0" w:space="0" w:color="auto"/>
        <w:left w:val="none" w:sz="0" w:space="0" w:color="auto"/>
        <w:bottom w:val="none" w:sz="0" w:space="0" w:color="auto"/>
        <w:right w:val="none" w:sz="0" w:space="0" w:color="auto"/>
      </w:divBdr>
    </w:div>
    <w:div w:id="740249861">
      <w:bodyDiv w:val="1"/>
      <w:marLeft w:val="0"/>
      <w:marRight w:val="0"/>
      <w:marTop w:val="0"/>
      <w:marBottom w:val="0"/>
      <w:divBdr>
        <w:top w:val="none" w:sz="0" w:space="0" w:color="auto"/>
        <w:left w:val="none" w:sz="0" w:space="0" w:color="auto"/>
        <w:bottom w:val="none" w:sz="0" w:space="0" w:color="auto"/>
        <w:right w:val="none" w:sz="0" w:space="0" w:color="auto"/>
      </w:divBdr>
    </w:div>
    <w:div w:id="740365897">
      <w:bodyDiv w:val="1"/>
      <w:marLeft w:val="0"/>
      <w:marRight w:val="0"/>
      <w:marTop w:val="0"/>
      <w:marBottom w:val="0"/>
      <w:divBdr>
        <w:top w:val="none" w:sz="0" w:space="0" w:color="auto"/>
        <w:left w:val="none" w:sz="0" w:space="0" w:color="auto"/>
        <w:bottom w:val="none" w:sz="0" w:space="0" w:color="auto"/>
        <w:right w:val="none" w:sz="0" w:space="0" w:color="auto"/>
      </w:divBdr>
    </w:div>
    <w:div w:id="741026669">
      <w:bodyDiv w:val="1"/>
      <w:marLeft w:val="0"/>
      <w:marRight w:val="0"/>
      <w:marTop w:val="0"/>
      <w:marBottom w:val="0"/>
      <w:divBdr>
        <w:top w:val="none" w:sz="0" w:space="0" w:color="auto"/>
        <w:left w:val="none" w:sz="0" w:space="0" w:color="auto"/>
        <w:bottom w:val="none" w:sz="0" w:space="0" w:color="auto"/>
        <w:right w:val="none" w:sz="0" w:space="0" w:color="auto"/>
      </w:divBdr>
    </w:div>
    <w:div w:id="748965680">
      <w:bodyDiv w:val="1"/>
      <w:marLeft w:val="0"/>
      <w:marRight w:val="0"/>
      <w:marTop w:val="0"/>
      <w:marBottom w:val="0"/>
      <w:divBdr>
        <w:top w:val="none" w:sz="0" w:space="0" w:color="auto"/>
        <w:left w:val="none" w:sz="0" w:space="0" w:color="auto"/>
        <w:bottom w:val="none" w:sz="0" w:space="0" w:color="auto"/>
        <w:right w:val="none" w:sz="0" w:space="0" w:color="auto"/>
      </w:divBdr>
      <w:divsChild>
        <w:div w:id="313216890">
          <w:marLeft w:val="640"/>
          <w:marRight w:val="0"/>
          <w:marTop w:val="0"/>
          <w:marBottom w:val="0"/>
          <w:divBdr>
            <w:top w:val="none" w:sz="0" w:space="0" w:color="auto"/>
            <w:left w:val="none" w:sz="0" w:space="0" w:color="auto"/>
            <w:bottom w:val="none" w:sz="0" w:space="0" w:color="auto"/>
            <w:right w:val="none" w:sz="0" w:space="0" w:color="auto"/>
          </w:divBdr>
        </w:div>
        <w:div w:id="408620300">
          <w:marLeft w:val="640"/>
          <w:marRight w:val="0"/>
          <w:marTop w:val="0"/>
          <w:marBottom w:val="0"/>
          <w:divBdr>
            <w:top w:val="none" w:sz="0" w:space="0" w:color="auto"/>
            <w:left w:val="none" w:sz="0" w:space="0" w:color="auto"/>
            <w:bottom w:val="none" w:sz="0" w:space="0" w:color="auto"/>
            <w:right w:val="none" w:sz="0" w:space="0" w:color="auto"/>
          </w:divBdr>
        </w:div>
        <w:div w:id="318726728">
          <w:marLeft w:val="640"/>
          <w:marRight w:val="0"/>
          <w:marTop w:val="0"/>
          <w:marBottom w:val="0"/>
          <w:divBdr>
            <w:top w:val="none" w:sz="0" w:space="0" w:color="auto"/>
            <w:left w:val="none" w:sz="0" w:space="0" w:color="auto"/>
            <w:bottom w:val="none" w:sz="0" w:space="0" w:color="auto"/>
            <w:right w:val="none" w:sz="0" w:space="0" w:color="auto"/>
          </w:divBdr>
        </w:div>
        <w:div w:id="2139956966">
          <w:marLeft w:val="640"/>
          <w:marRight w:val="0"/>
          <w:marTop w:val="0"/>
          <w:marBottom w:val="0"/>
          <w:divBdr>
            <w:top w:val="none" w:sz="0" w:space="0" w:color="auto"/>
            <w:left w:val="none" w:sz="0" w:space="0" w:color="auto"/>
            <w:bottom w:val="none" w:sz="0" w:space="0" w:color="auto"/>
            <w:right w:val="none" w:sz="0" w:space="0" w:color="auto"/>
          </w:divBdr>
        </w:div>
        <w:div w:id="1542091674">
          <w:marLeft w:val="640"/>
          <w:marRight w:val="0"/>
          <w:marTop w:val="0"/>
          <w:marBottom w:val="0"/>
          <w:divBdr>
            <w:top w:val="none" w:sz="0" w:space="0" w:color="auto"/>
            <w:left w:val="none" w:sz="0" w:space="0" w:color="auto"/>
            <w:bottom w:val="none" w:sz="0" w:space="0" w:color="auto"/>
            <w:right w:val="none" w:sz="0" w:space="0" w:color="auto"/>
          </w:divBdr>
        </w:div>
        <w:div w:id="1972709563">
          <w:marLeft w:val="640"/>
          <w:marRight w:val="0"/>
          <w:marTop w:val="0"/>
          <w:marBottom w:val="0"/>
          <w:divBdr>
            <w:top w:val="none" w:sz="0" w:space="0" w:color="auto"/>
            <w:left w:val="none" w:sz="0" w:space="0" w:color="auto"/>
            <w:bottom w:val="none" w:sz="0" w:space="0" w:color="auto"/>
            <w:right w:val="none" w:sz="0" w:space="0" w:color="auto"/>
          </w:divBdr>
        </w:div>
        <w:div w:id="542406817">
          <w:marLeft w:val="640"/>
          <w:marRight w:val="0"/>
          <w:marTop w:val="0"/>
          <w:marBottom w:val="0"/>
          <w:divBdr>
            <w:top w:val="none" w:sz="0" w:space="0" w:color="auto"/>
            <w:left w:val="none" w:sz="0" w:space="0" w:color="auto"/>
            <w:bottom w:val="none" w:sz="0" w:space="0" w:color="auto"/>
            <w:right w:val="none" w:sz="0" w:space="0" w:color="auto"/>
          </w:divBdr>
        </w:div>
        <w:div w:id="1666010846">
          <w:marLeft w:val="640"/>
          <w:marRight w:val="0"/>
          <w:marTop w:val="0"/>
          <w:marBottom w:val="0"/>
          <w:divBdr>
            <w:top w:val="none" w:sz="0" w:space="0" w:color="auto"/>
            <w:left w:val="none" w:sz="0" w:space="0" w:color="auto"/>
            <w:bottom w:val="none" w:sz="0" w:space="0" w:color="auto"/>
            <w:right w:val="none" w:sz="0" w:space="0" w:color="auto"/>
          </w:divBdr>
        </w:div>
        <w:div w:id="1180510979">
          <w:marLeft w:val="640"/>
          <w:marRight w:val="0"/>
          <w:marTop w:val="0"/>
          <w:marBottom w:val="0"/>
          <w:divBdr>
            <w:top w:val="none" w:sz="0" w:space="0" w:color="auto"/>
            <w:left w:val="none" w:sz="0" w:space="0" w:color="auto"/>
            <w:bottom w:val="none" w:sz="0" w:space="0" w:color="auto"/>
            <w:right w:val="none" w:sz="0" w:space="0" w:color="auto"/>
          </w:divBdr>
        </w:div>
        <w:div w:id="682903720">
          <w:marLeft w:val="640"/>
          <w:marRight w:val="0"/>
          <w:marTop w:val="0"/>
          <w:marBottom w:val="0"/>
          <w:divBdr>
            <w:top w:val="none" w:sz="0" w:space="0" w:color="auto"/>
            <w:left w:val="none" w:sz="0" w:space="0" w:color="auto"/>
            <w:bottom w:val="none" w:sz="0" w:space="0" w:color="auto"/>
            <w:right w:val="none" w:sz="0" w:space="0" w:color="auto"/>
          </w:divBdr>
        </w:div>
        <w:div w:id="1706172564">
          <w:marLeft w:val="640"/>
          <w:marRight w:val="0"/>
          <w:marTop w:val="0"/>
          <w:marBottom w:val="0"/>
          <w:divBdr>
            <w:top w:val="none" w:sz="0" w:space="0" w:color="auto"/>
            <w:left w:val="none" w:sz="0" w:space="0" w:color="auto"/>
            <w:bottom w:val="none" w:sz="0" w:space="0" w:color="auto"/>
            <w:right w:val="none" w:sz="0" w:space="0" w:color="auto"/>
          </w:divBdr>
        </w:div>
        <w:div w:id="1350449637">
          <w:marLeft w:val="640"/>
          <w:marRight w:val="0"/>
          <w:marTop w:val="0"/>
          <w:marBottom w:val="0"/>
          <w:divBdr>
            <w:top w:val="none" w:sz="0" w:space="0" w:color="auto"/>
            <w:left w:val="none" w:sz="0" w:space="0" w:color="auto"/>
            <w:bottom w:val="none" w:sz="0" w:space="0" w:color="auto"/>
            <w:right w:val="none" w:sz="0" w:space="0" w:color="auto"/>
          </w:divBdr>
        </w:div>
        <w:div w:id="707605854">
          <w:marLeft w:val="640"/>
          <w:marRight w:val="0"/>
          <w:marTop w:val="0"/>
          <w:marBottom w:val="0"/>
          <w:divBdr>
            <w:top w:val="none" w:sz="0" w:space="0" w:color="auto"/>
            <w:left w:val="none" w:sz="0" w:space="0" w:color="auto"/>
            <w:bottom w:val="none" w:sz="0" w:space="0" w:color="auto"/>
            <w:right w:val="none" w:sz="0" w:space="0" w:color="auto"/>
          </w:divBdr>
        </w:div>
        <w:div w:id="1734546166">
          <w:marLeft w:val="640"/>
          <w:marRight w:val="0"/>
          <w:marTop w:val="0"/>
          <w:marBottom w:val="0"/>
          <w:divBdr>
            <w:top w:val="none" w:sz="0" w:space="0" w:color="auto"/>
            <w:left w:val="none" w:sz="0" w:space="0" w:color="auto"/>
            <w:bottom w:val="none" w:sz="0" w:space="0" w:color="auto"/>
            <w:right w:val="none" w:sz="0" w:space="0" w:color="auto"/>
          </w:divBdr>
        </w:div>
        <w:div w:id="86192167">
          <w:marLeft w:val="640"/>
          <w:marRight w:val="0"/>
          <w:marTop w:val="0"/>
          <w:marBottom w:val="0"/>
          <w:divBdr>
            <w:top w:val="none" w:sz="0" w:space="0" w:color="auto"/>
            <w:left w:val="none" w:sz="0" w:space="0" w:color="auto"/>
            <w:bottom w:val="none" w:sz="0" w:space="0" w:color="auto"/>
            <w:right w:val="none" w:sz="0" w:space="0" w:color="auto"/>
          </w:divBdr>
        </w:div>
        <w:div w:id="1795056052">
          <w:marLeft w:val="640"/>
          <w:marRight w:val="0"/>
          <w:marTop w:val="0"/>
          <w:marBottom w:val="0"/>
          <w:divBdr>
            <w:top w:val="none" w:sz="0" w:space="0" w:color="auto"/>
            <w:left w:val="none" w:sz="0" w:space="0" w:color="auto"/>
            <w:bottom w:val="none" w:sz="0" w:space="0" w:color="auto"/>
            <w:right w:val="none" w:sz="0" w:space="0" w:color="auto"/>
          </w:divBdr>
        </w:div>
        <w:div w:id="1624113713">
          <w:marLeft w:val="640"/>
          <w:marRight w:val="0"/>
          <w:marTop w:val="0"/>
          <w:marBottom w:val="0"/>
          <w:divBdr>
            <w:top w:val="none" w:sz="0" w:space="0" w:color="auto"/>
            <w:left w:val="none" w:sz="0" w:space="0" w:color="auto"/>
            <w:bottom w:val="none" w:sz="0" w:space="0" w:color="auto"/>
            <w:right w:val="none" w:sz="0" w:space="0" w:color="auto"/>
          </w:divBdr>
        </w:div>
        <w:div w:id="726686973">
          <w:marLeft w:val="640"/>
          <w:marRight w:val="0"/>
          <w:marTop w:val="0"/>
          <w:marBottom w:val="0"/>
          <w:divBdr>
            <w:top w:val="none" w:sz="0" w:space="0" w:color="auto"/>
            <w:left w:val="none" w:sz="0" w:space="0" w:color="auto"/>
            <w:bottom w:val="none" w:sz="0" w:space="0" w:color="auto"/>
            <w:right w:val="none" w:sz="0" w:space="0" w:color="auto"/>
          </w:divBdr>
        </w:div>
        <w:div w:id="2024503495">
          <w:marLeft w:val="640"/>
          <w:marRight w:val="0"/>
          <w:marTop w:val="0"/>
          <w:marBottom w:val="0"/>
          <w:divBdr>
            <w:top w:val="none" w:sz="0" w:space="0" w:color="auto"/>
            <w:left w:val="none" w:sz="0" w:space="0" w:color="auto"/>
            <w:bottom w:val="none" w:sz="0" w:space="0" w:color="auto"/>
            <w:right w:val="none" w:sz="0" w:space="0" w:color="auto"/>
          </w:divBdr>
        </w:div>
        <w:div w:id="190806638">
          <w:marLeft w:val="640"/>
          <w:marRight w:val="0"/>
          <w:marTop w:val="0"/>
          <w:marBottom w:val="0"/>
          <w:divBdr>
            <w:top w:val="none" w:sz="0" w:space="0" w:color="auto"/>
            <w:left w:val="none" w:sz="0" w:space="0" w:color="auto"/>
            <w:bottom w:val="none" w:sz="0" w:space="0" w:color="auto"/>
            <w:right w:val="none" w:sz="0" w:space="0" w:color="auto"/>
          </w:divBdr>
        </w:div>
        <w:div w:id="1786653986">
          <w:marLeft w:val="640"/>
          <w:marRight w:val="0"/>
          <w:marTop w:val="0"/>
          <w:marBottom w:val="0"/>
          <w:divBdr>
            <w:top w:val="none" w:sz="0" w:space="0" w:color="auto"/>
            <w:left w:val="none" w:sz="0" w:space="0" w:color="auto"/>
            <w:bottom w:val="none" w:sz="0" w:space="0" w:color="auto"/>
            <w:right w:val="none" w:sz="0" w:space="0" w:color="auto"/>
          </w:divBdr>
        </w:div>
        <w:div w:id="48580471">
          <w:marLeft w:val="640"/>
          <w:marRight w:val="0"/>
          <w:marTop w:val="0"/>
          <w:marBottom w:val="0"/>
          <w:divBdr>
            <w:top w:val="none" w:sz="0" w:space="0" w:color="auto"/>
            <w:left w:val="none" w:sz="0" w:space="0" w:color="auto"/>
            <w:bottom w:val="none" w:sz="0" w:space="0" w:color="auto"/>
            <w:right w:val="none" w:sz="0" w:space="0" w:color="auto"/>
          </w:divBdr>
        </w:div>
        <w:div w:id="1197768268">
          <w:marLeft w:val="640"/>
          <w:marRight w:val="0"/>
          <w:marTop w:val="0"/>
          <w:marBottom w:val="0"/>
          <w:divBdr>
            <w:top w:val="none" w:sz="0" w:space="0" w:color="auto"/>
            <w:left w:val="none" w:sz="0" w:space="0" w:color="auto"/>
            <w:bottom w:val="none" w:sz="0" w:space="0" w:color="auto"/>
            <w:right w:val="none" w:sz="0" w:space="0" w:color="auto"/>
          </w:divBdr>
        </w:div>
        <w:div w:id="1625652557">
          <w:marLeft w:val="640"/>
          <w:marRight w:val="0"/>
          <w:marTop w:val="0"/>
          <w:marBottom w:val="0"/>
          <w:divBdr>
            <w:top w:val="none" w:sz="0" w:space="0" w:color="auto"/>
            <w:left w:val="none" w:sz="0" w:space="0" w:color="auto"/>
            <w:bottom w:val="none" w:sz="0" w:space="0" w:color="auto"/>
            <w:right w:val="none" w:sz="0" w:space="0" w:color="auto"/>
          </w:divBdr>
        </w:div>
        <w:div w:id="661127196">
          <w:marLeft w:val="640"/>
          <w:marRight w:val="0"/>
          <w:marTop w:val="0"/>
          <w:marBottom w:val="0"/>
          <w:divBdr>
            <w:top w:val="none" w:sz="0" w:space="0" w:color="auto"/>
            <w:left w:val="none" w:sz="0" w:space="0" w:color="auto"/>
            <w:bottom w:val="none" w:sz="0" w:space="0" w:color="auto"/>
            <w:right w:val="none" w:sz="0" w:space="0" w:color="auto"/>
          </w:divBdr>
        </w:div>
        <w:div w:id="869680266">
          <w:marLeft w:val="640"/>
          <w:marRight w:val="0"/>
          <w:marTop w:val="0"/>
          <w:marBottom w:val="0"/>
          <w:divBdr>
            <w:top w:val="none" w:sz="0" w:space="0" w:color="auto"/>
            <w:left w:val="none" w:sz="0" w:space="0" w:color="auto"/>
            <w:bottom w:val="none" w:sz="0" w:space="0" w:color="auto"/>
            <w:right w:val="none" w:sz="0" w:space="0" w:color="auto"/>
          </w:divBdr>
        </w:div>
        <w:div w:id="1925144516">
          <w:marLeft w:val="640"/>
          <w:marRight w:val="0"/>
          <w:marTop w:val="0"/>
          <w:marBottom w:val="0"/>
          <w:divBdr>
            <w:top w:val="none" w:sz="0" w:space="0" w:color="auto"/>
            <w:left w:val="none" w:sz="0" w:space="0" w:color="auto"/>
            <w:bottom w:val="none" w:sz="0" w:space="0" w:color="auto"/>
            <w:right w:val="none" w:sz="0" w:space="0" w:color="auto"/>
          </w:divBdr>
        </w:div>
        <w:div w:id="68577782">
          <w:marLeft w:val="640"/>
          <w:marRight w:val="0"/>
          <w:marTop w:val="0"/>
          <w:marBottom w:val="0"/>
          <w:divBdr>
            <w:top w:val="none" w:sz="0" w:space="0" w:color="auto"/>
            <w:left w:val="none" w:sz="0" w:space="0" w:color="auto"/>
            <w:bottom w:val="none" w:sz="0" w:space="0" w:color="auto"/>
            <w:right w:val="none" w:sz="0" w:space="0" w:color="auto"/>
          </w:divBdr>
        </w:div>
        <w:div w:id="606734349">
          <w:marLeft w:val="640"/>
          <w:marRight w:val="0"/>
          <w:marTop w:val="0"/>
          <w:marBottom w:val="0"/>
          <w:divBdr>
            <w:top w:val="none" w:sz="0" w:space="0" w:color="auto"/>
            <w:left w:val="none" w:sz="0" w:space="0" w:color="auto"/>
            <w:bottom w:val="none" w:sz="0" w:space="0" w:color="auto"/>
            <w:right w:val="none" w:sz="0" w:space="0" w:color="auto"/>
          </w:divBdr>
        </w:div>
        <w:div w:id="1944142073">
          <w:marLeft w:val="640"/>
          <w:marRight w:val="0"/>
          <w:marTop w:val="0"/>
          <w:marBottom w:val="0"/>
          <w:divBdr>
            <w:top w:val="none" w:sz="0" w:space="0" w:color="auto"/>
            <w:left w:val="none" w:sz="0" w:space="0" w:color="auto"/>
            <w:bottom w:val="none" w:sz="0" w:space="0" w:color="auto"/>
            <w:right w:val="none" w:sz="0" w:space="0" w:color="auto"/>
          </w:divBdr>
        </w:div>
        <w:div w:id="1024474277">
          <w:marLeft w:val="640"/>
          <w:marRight w:val="0"/>
          <w:marTop w:val="0"/>
          <w:marBottom w:val="0"/>
          <w:divBdr>
            <w:top w:val="none" w:sz="0" w:space="0" w:color="auto"/>
            <w:left w:val="none" w:sz="0" w:space="0" w:color="auto"/>
            <w:bottom w:val="none" w:sz="0" w:space="0" w:color="auto"/>
            <w:right w:val="none" w:sz="0" w:space="0" w:color="auto"/>
          </w:divBdr>
        </w:div>
        <w:div w:id="646781365">
          <w:marLeft w:val="640"/>
          <w:marRight w:val="0"/>
          <w:marTop w:val="0"/>
          <w:marBottom w:val="0"/>
          <w:divBdr>
            <w:top w:val="none" w:sz="0" w:space="0" w:color="auto"/>
            <w:left w:val="none" w:sz="0" w:space="0" w:color="auto"/>
            <w:bottom w:val="none" w:sz="0" w:space="0" w:color="auto"/>
            <w:right w:val="none" w:sz="0" w:space="0" w:color="auto"/>
          </w:divBdr>
        </w:div>
        <w:div w:id="1066730608">
          <w:marLeft w:val="640"/>
          <w:marRight w:val="0"/>
          <w:marTop w:val="0"/>
          <w:marBottom w:val="0"/>
          <w:divBdr>
            <w:top w:val="none" w:sz="0" w:space="0" w:color="auto"/>
            <w:left w:val="none" w:sz="0" w:space="0" w:color="auto"/>
            <w:bottom w:val="none" w:sz="0" w:space="0" w:color="auto"/>
            <w:right w:val="none" w:sz="0" w:space="0" w:color="auto"/>
          </w:divBdr>
        </w:div>
        <w:div w:id="1414204352">
          <w:marLeft w:val="640"/>
          <w:marRight w:val="0"/>
          <w:marTop w:val="0"/>
          <w:marBottom w:val="0"/>
          <w:divBdr>
            <w:top w:val="none" w:sz="0" w:space="0" w:color="auto"/>
            <w:left w:val="none" w:sz="0" w:space="0" w:color="auto"/>
            <w:bottom w:val="none" w:sz="0" w:space="0" w:color="auto"/>
            <w:right w:val="none" w:sz="0" w:space="0" w:color="auto"/>
          </w:divBdr>
        </w:div>
        <w:div w:id="1643148702">
          <w:marLeft w:val="640"/>
          <w:marRight w:val="0"/>
          <w:marTop w:val="0"/>
          <w:marBottom w:val="0"/>
          <w:divBdr>
            <w:top w:val="none" w:sz="0" w:space="0" w:color="auto"/>
            <w:left w:val="none" w:sz="0" w:space="0" w:color="auto"/>
            <w:bottom w:val="none" w:sz="0" w:space="0" w:color="auto"/>
            <w:right w:val="none" w:sz="0" w:space="0" w:color="auto"/>
          </w:divBdr>
        </w:div>
        <w:div w:id="1725636963">
          <w:marLeft w:val="640"/>
          <w:marRight w:val="0"/>
          <w:marTop w:val="0"/>
          <w:marBottom w:val="0"/>
          <w:divBdr>
            <w:top w:val="none" w:sz="0" w:space="0" w:color="auto"/>
            <w:left w:val="none" w:sz="0" w:space="0" w:color="auto"/>
            <w:bottom w:val="none" w:sz="0" w:space="0" w:color="auto"/>
            <w:right w:val="none" w:sz="0" w:space="0" w:color="auto"/>
          </w:divBdr>
        </w:div>
        <w:div w:id="1411850317">
          <w:marLeft w:val="640"/>
          <w:marRight w:val="0"/>
          <w:marTop w:val="0"/>
          <w:marBottom w:val="0"/>
          <w:divBdr>
            <w:top w:val="none" w:sz="0" w:space="0" w:color="auto"/>
            <w:left w:val="none" w:sz="0" w:space="0" w:color="auto"/>
            <w:bottom w:val="none" w:sz="0" w:space="0" w:color="auto"/>
            <w:right w:val="none" w:sz="0" w:space="0" w:color="auto"/>
          </w:divBdr>
        </w:div>
        <w:div w:id="806976134">
          <w:marLeft w:val="640"/>
          <w:marRight w:val="0"/>
          <w:marTop w:val="0"/>
          <w:marBottom w:val="0"/>
          <w:divBdr>
            <w:top w:val="none" w:sz="0" w:space="0" w:color="auto"/>
            <w:left w:val="none" w:sz="0" w:space="0" w:color="auto"/>
            <w:bottom w:val="none" w:sz="0" w:space="0" w:color="auto"/>
            <w:right w:val="none" w:sz="0" w:space="0" w:color="auto"/>
          </w:divBdr>
        </w:div>
        <w:div w:id="169101830">
          <w:marLeft w:val="640"/>
          <w:marRight w:val="0"/>
          <w:marTop w:val="0"/>
          <w:marBottom w:val="0"/>
          <w:divBdr>
            <w:top w:val="none" w:sz="0" w:space="0" w:color="auto"/>
            <w:left w:val="none" w:sz="0" w:space="0" w:color="auto"/>
            <w:bottom w:val="none" w:sz="0" w:space="0" w:color="auto"/>
            <w:right w:val="none" w:sz="0" w:space="0" w:color="auto"/>
          </w:divBdr>
        </w:div>
        <w:div w:id="1612712250">
          <w:marLeft w:val="640"/>
          <w:marRight w:val="0"/>
          <w:marTop w:val="0"/>
          <w:marBottom w:val="0"/>
          <w:divBdr>
            <w:top w:val="none" w:sz="0" w:space="0" w:color="auto"/>
            <w:left w:val="none" w:sz="0" w:space="0" w:color="auto"/>
            <w:bottom w:val="none" w:sz="0" w:space="0" w:color="auto"/>
            <w:right w:val="none" w:sz="0" w:space="0" w:color="auto"/>
          </w:divBdr>
        </w:div>
        <w:div w:id="229342521">
          <w:marLeft w:val="640"/>
          <w:marRight w:val="0"/>
          <w:marTop w:val="0"/>
          <w:marBottom w:val="0"/>
          <w:divBdr>
            <w:top w:val="none" w:sz="0" w:space="0" w:color="auto"/>
            <w:left w:val="none" w:sz="0" w:space="0" w:color="auto"/>
            <w:bottom w:val="none" w:sz="0" w:space="0" w:color="auto"/>
            <w:right w:val="none" w:sz="0" w:space="0" w:color="auto"/>
          </w:divBdr>
        </w:div>
        <w:div w:id="801312033">
          <w:marLeft w:val="640"/>
          <w:marRight w:val="0"/>
          <w:marTop w:val="0"/>
          <w:marBottom w:val="0"/>
          <w:divBdr>
            <w:top w:val="none" w:sz="0" w:space="0" w:color="auto"/>
            <w:left w:val="none" w:sz="0" w:space="0" w:color="auto"/>
            <w:bottom w:val="none" w:sz="0" w:space="0" w:color="auto"/>
            <w:right w:val="none" w:sz="0" w:space="0" w:color="auto"/>
          </w:divBdr>
        </w:div>
        <w:div w:id="907111939">
          <w:marLeft w:val="640"/>
          <w:marRight w:val="0"/>
          <w:marTop w:val="0"/>
          <w:marBottom w:val="0"/>
          <w:divBdr>
            <w:top w:val="none" w:sz="0" w:space="0" w:color="auto"/>
            <w:left w:val="none" w:sz="0" w:space="0" w:color="auto"/>
            <w:bottom w:val="none" w:sz="0" w:space="0" w:color="auto"/>
            <w:right w:val="none" w:sz="0" w:space="0" w:color="auto"/>
          </w:divBdr>
        </w:div>
        <w:div w:id="389771137">
          <w:marLeft w:val="640"/>
          <w:marRight w:val="0"/>
          <w:marTop w:val="0"/>
          <w:marBottom w:val="0"/>
          <w:divBdr>
            <w:top w:val="none" w:sz="0" w:space="0" w:color="auto"/>
            <w:left w:val="none" w:sz="0" w:space="0" w:color="auto"/>
            <w:bottom w:val="none" w:sz="0" w:space="0" w:color="auto"/>
            <w:right w:val="none" w:sz="0" w:space="0" w:color="auto"/>
          </w:divBdr>
        </w:div>
        <w:div w:id="1134326988">
          <w:marLeft w:val="640"/>
          <w:marRight w:val="0"/>
          <w:marTop w:val="0"/>
          <w:marBottom w:val="0"/>
          <w:divBdr>
            <w:top w:val="none" w:sz="0" w:space="0" w:color="auto"/>
            <w:left w:val="none" w:sz="0" w:space="0" w:color="auto"/>
            <w:bottom w:val="none" w:sz="0" w:space="0" w:color="auto"/>
            <w:right w:val="none" w:sz="0" w:space="0" w:color="auto"/>
          </w:divBdr>
        </w:div>
        <w:div w:id="1669363564">
          <w:marLeft w:val="640"/>
          <w:marRight w:val="0"/>
          <w:marTop w:val="0"/>
          <w:marBottom w:val="0"/>
          <w:divBdr>
            <w:top w:val="none" w:sz="0" w:space="0" w:color="auto"/>
            <w:left w:val="none" w:sz="0" w:space="0" w:color="auto"/>
            <w:bottom w:val="none" w:sz="0" w:space="0" w:color="auto"/>
            <w:right w:val="none" w:sz="0" w:space="0" w:color="auto"/>
          </w:divBdr>
        </w:div>
        <w:div w:id="553152788">
          <w:marLeft w:val="640"/>
          <w:marRight w:val="0"/>
          <w:marTop w:val="0"/>
          <w:marBottom w:val="0"/>
          <w:divBdr>
            <w:top w:val="none" w:sz="0" w:space="0" w:color="auto"/>
            <w:left w:val="none" w:sz="0" w:space="0" w:color="auto"/>
            <w:bottom w:val="none" w:sz="0" w:space="0" w:color="auto"/>
            <w:right w:val="none" w:sz="0" w:space="0" w:color="auto"/>
          </w:divBdr>
        </w:div>
        <w:div w:id="1028144276">
          <w:marLeft w:val="640"/>
          <w:marRight w:val="0"/>
          <w:marTop w:val="0"/>
          <w:marBottom w:val="0"/>
          <w:divBdr>
            <w:top w:val="none" w:sz="0" w:space="0" w:color="auto"/>
            <w:left w:val="none" w:sz="0" w:space="0" w:color="auto"/>
            <w:bottom w:val="none" w:sz="0" w:space="0" w:color="auto"/>
            <w:right w:val="none" w:sz="0" w:space="0" w:color="auto"/>
          </w:divBdr>
        </w:div>
        <w:div w:id="594094013">
          <w:marLeft w:val="640"/>
          <w:marRight w:val="0"/>
          <w:marTop w:val="0"/>
          <w:marBottom w:val="0"/>
          <w:divBdr>
            <w:top w:val="none" w:sz="0" w:space="0" w:color="auto"/>
            <w:left w:val="none" w:sz="0" w:space="0" w:color="auto"/>
            <w:bottom w:val="none" w:sz="0" w:space="0" w:color="auto"/>
            <w:right w:val="none" w:sz="0" w:space="0" w:color="auto"/>
          </w:divBdr>
        </w:div>
        <w:div w:id="266695041">
          <w:marLeft w:val="640"/>
          <w:marRight w:val="0"/>
          <w:marTop w:val="0"/>
          <w:marBottom w:val="0"/>
          <w:divBdr>
            <w:top w:val="none" w:sz="0" w:space="0" w:color="auto"/>
            <w:left w:val="none" w:sz="0" w:space="0" w:color="auto"/>
            <w:bottom w:val="none" w:sz="0" w:space="0" w:color="auto"/>
            <w:right w:val="none" w:sz="0" w:space="0" w:color="auto"/>
          </w:divBdr>
        </w:div>
        <w:div w:id="422920306">
          <w:marLeft w:val="640"/>
          <w:marRight w:val="0"/>
          <w:marTop w:val="0"/>
          <w:marBottom w:val="0"/>
          <w:divBdr>
            <w:top w:val="none" w:sz="0" w:space="0" w:color="auto"/>
            <w:left w:val="none" w:sz="0" w:space="0" w:color="auto"/>
            <w:bottom w:val="none" w:sz="0" w:space="0" w:color="auto"/>
            <w:right w:val="none" w:sz="0" w:space="0" w:color="auto"/>
          </w:divBdr>
        </w:div>
        <w:div w:id="1856765991">
          <w:marLeft w:val="640"/>
          <w:marRight w:val="0"/>
          <w:marTop w:val="0"/>
          <w:marBottom w:val="0"/>
          <w:divBdr>
            <w:top w:val="none" w:sz="0" w:space="0" w:color="auto"/>
            <w:left w:val="none" w:sz="0" w:space="0" w:color="auto"/>
            <w:bottom w:val="none" w:sz="0" w:space="0" w:color="auto"/>
            <w:right w:val="none" w:sz="0" w:space="0" w:color="auto"/>
          </w:divBdr>
        </w:div>
        <w:div w:id="1702854057">
          <w:marLeft w:val="640"/>
          <w:marRight w:val="0"/>
          <w:marTop w:val="0"/>
          <w:marBottom w:val="0"/>
          <w:divBdr>
            <w:top w:val="none" w:sz="0" w:space="0" w:color="auto"/>
            <w:left w:val="none" w:sz="0" w:space="0" w:color="auto"/>
            <w:bottom w:val="none" w:sz="0" w:space="0" w:color="auto"/>
            <w:right w:val="none" w:sz="0" w:space="0" w:color="auto"/>
          </w:divBdr>
        </w:div>
        <w:div w:id="1736389081">
          <w:marLeft w:val="640"/>
          <w:marRight w:val="0"/>
          <w:marTop w:val="0"/>
          <w:marBottom w:val="0"/>
          <w:divBdr>
            <w:top w:val="none" w:sz="0" w:space="0" w:color="auto"/>
            <w:left w:val="none" w:sz="0" w:space="0" w:color="auto"/>
            <w:bottom w:val="none" w:sz="0" w:space="0" w:color="auto"/>
            <w:right w:val="none" w:sz="0" w:space="0" w:color="auto"/>
          </w:divBdr>
        </w:div>
        <w:div w:id="1758482236">
          <w:marLeft w:val="640"/>
          <w:marRight w:val="0"/>
          <w:marTop w:val="0"/>
          <w:marBottom w:val="0"/>
          <w:divBdr>
            <w:top w:val="none" w:sz="0" w:space="0" w:color="auto"/>
            <w:left w:val="none" w:sz="0" w:space="0" w:color="auto"/>
            <w:bottom w:val="none" w:sz="0" w:space="0" w:color="auto"/>
            <w:right w:val="none" w:sz="0" w:space="0" w:color="auto"/>
          </w:divBdr>
        </w:div>
        <w:div w:id="1476873380">
          <w:marLeft w:val="640"/>
          <w:marRight w:val="0"/>
          <w:marTop w:val="0"/>
          <w:marBottom w:val="0"/>
          <w:divBdr>
            <w:top w:val="none" w:sz="0" w:space="0" w:color="auto"/>
            <w:left w:val="none" w:sz="0" w:space="0" w:color="auto"/>
            <w:bottom w:val="none" w:sz="0" w:space="0" w:color="auto"/>
            <w:right w:val="none" w:sz="0" w:space="0" w:color="auto"/>
          </w:divBdr>
        </w:div>
        <w:div w:id="1128353042">
          <w:marLeft w:val="640"/>
          <w:marRight w:val="0"/>
          <w:marTop w:val="0"/>
          <w:marBottom w:val="0"/>
          <w:divBdr>
            <w:top w:val="none" w:sz="0" w:space="0" w:color="auto"/>
            <w:left w:val="none" w:sz="0" w:space="0" w:color="auto"/>
            <w:bottom w:val="none" w:sz="0" w:space="0" w:color="auto"/>
            <w:right w:val="none" w:sz="0" w:space="0" w:color="auto"/>
          </w:divBdr>
        </w:div>
        <w:div w:id="1566525607">
          <w:marLeft w:val="640"/>
          <w:marRight w:val="0"/>
          <w:marTop w:val="0"/>
          <w:marBottom w:val="0"/>
          <w:divBdr>
            <w:top w:val="none" w:sz="0" w:space="0" w:color="auto"/>
            <w:left w:val="none" w:sz="0" w:space="0" w:color="auto"/>
            <w:bottom w:val="none" w:sz="0" w:space="0" w:color="auto"/>
            <w:right w:val="none" w:sz="0" w:space="0" w:color="auto"/>
          </w:divBdr>
        </w:div>
        <w:div w:id="1352294919">
          <w:marLeft w:val="640"/>
          <w:marRight w:val="0"/>
          <w:marTop w:val="0"/>
          <w:marBottom w:val="0"/>
          <w:divBdr>
            <w:top w:val="none" w:sz="0" w:space="0" w:color="auto"/>
            <w:left w:val="none" w:sz="0" w:space="0" w:color="auto"/>
            <w:bottom w:val="none" w:sz="0" w:space="0" w:color="auto"/>
            <w:right w:val="none" w:sz="0" w:space="0" w:color="auto"/>
          </w:divBdr>
        </w:div>
        <w:div w:id="1073432992">
          <w:marLeft w:val="640"/>
          <w:marRight w:val="0"/>
          <w:marTop w:val="0"/>
          <w:marBottom w:val="0"/>
          <w:divBdr>
            <w:top w:val="none" w:sz="0" w:space="0" w:color="auto"/>
            <w:left w:val="none" w:sz="0" w:space="0" w:color="auto"/>
            <w:bottom w:val="none" w:sz="0" w:space="0" w:color="auto"/>
            <w:right w:val="none" w:sz="0" w:space="0" w:color="auto"/>
          </w:divBdr>
        </w:div>
        <w:div w:id="591544555">
          <w:marLeft w:val="640"/>
          <w:marRight w:val="0"/>
          <w:marTop w:val="0"/>
          <w:marBottom w:val="0"/>
          <w:divBdr>
            <w:top w:val="none" w:sz="0" w:space="0" w:color="auto"/>
            <w:left w:val="none" w:sz="0" w:space="0" w:color="auto"/>
            <w:bottom w:val="none" w:sz="0" w:space="0" w:color="auto"/>
            <w:right w:val="none" w:sz="0" w:space="0" w:color="auto"/>
          </w:divBdr>
        </w:div>
        <w:div w:id="186023359">
          <w:marLeft w:val="640"/>
          <w:marRight w:val="0"/>
          <w:marTop w:val="0"/>
          <w:marBottom w:val="0"/>
          <w:divBdr>
            <w:top w:val="none" w:sz="0" w:space="0" w:color="auto"/>
            <w:left w:val="none" w:sz="0" w:space="0" w:color="auto"/>
            <w:bottom w:val="none" w:sz="0" w:space="0" w:color="auto"/>
            <w:right w:val="none" w:sz="0" w:space="0" w:color="auto"/>
          </w:divBdr>
        </w:div>
        <w:div w:id="813721351">
          <w:marLeft w:val="640"/>
          <w:marRight w:val="0"/>
          <w:marTop w:val="0"/>
          <w:marBottom w:val="0"/>
          <w:divBdr>
            <w:top w:val="none" w:sz="0" w:space="0" w:color="auto"/>
            <w:left w:val="none" w:sz="0" w:space="0" w:color="auto"/>
            <w:bottom w:val="none" w:sz="0" w:space="0" w:color="auto"/>
            <w:right w:val="none" w:sz="0" w:space="0" w:color="auto"/>
          </w:divBdr>
        </w:div>
        <w:div w:id="288824956">
          <w:marLeft w:val="640"/>
          <w:marRight w:val="0"/>
          <w:marTop w:val="0"/>
          <w:marBottom w:val="0"/>
          <w:divBdr>
            <w:top w:val="none" w:sz="0" w:space="0" w:color="auto"/>
            <w:left w:val="none" w:sz="0" w:space="0" w:color="auto"/>
            <w:bottom w:val="none" w:sz="0" w:space="0" w:color="auto"/>
            <w:right w:val="none" w:sz="0" w:space="0" w:color="auto"/>
          </w:divBdr>
        </w:div>
        <w:div w:id="2141071998">
          <w:marLeft w:val="640"/>
          <w:marRight w:val="0"/>
          <w:marTop w:val="0"/>
          <w:marBottom w:val="0"/>
          <w:divBdr>
            <w:top w:val="none" w:sz="0" w:space="0" w:color="auto"/>
            <w:left w:val="none" w:sz="0" w:space="0" w:color="auto"/>
            <w:bottom w:val="none" w:sz="0" w:space="0" w:color="auto"/>
            <w:right w:val="none" w:sz="0" w:space="0" w:color="auto"/>
          </w:divBdr>
        </w:div>
        <w:div w:id="1217813912">
          <w:marLeft w:val="640"/>
          <w:marRight w:val="0"/>
          <w:marTop w:val="0"/>
          <w:marBottom w:val="0"/>
          <w:divBdr>
            <w:top w:val="none" w:sz="0" w:space="0" w:color="auto"/>
            <w:left w:val="none" w:sz="0" w:space="0" w:color="auto"/>
            <w:bottom w:val="none" w:sz="0" w:space="0" w:color="auto"/>
            <w:right w:val="none" w:sz="0" w:space="0" w:color="auto"/>
          </w:divBdr>
        </w:div>
        <w:div w:id="667096593">
          <w:marLeft w:val="640"/>
          <w:marRight w:val="0"/>
          <w:marTop w:val="0"/>
          <w:marBottom w:val="0"/>
          <w:divBdr>
            <w:top w:val="none" w:sz="0" w:space="0" w:color="auto"/>
            <w:left w:val="none" w:sz="0" w:space="0" w:color="auto"/>
            <w:bottom w:val="none" w:sz="0" w:space="0" w:color="auto"/>
            <w:right w:val="none" w:sz="0" w:space="0" w:color="auto"/>
          </w:divBdr>
        </w:div>
        <w:div w:id="150877931">
          <w:marLeft w:val="640"/>
          <w:marRight w:val="0"/>
          <w:marTop w:val="0"/>
          <w:marBottom w:val="0"/>
          <w:divBdr>
            <w:top w:val="none" w:sz="0" w:space="0" w:color="auto"/>
            <w:left w:val="none" w:sz="0" w:space="0" w:color="auto"/>
            <w:bottom w:val="none" w:sz="0" w:space="0" w:color="auto"/>
            <w:right w:val="none" w:sz="0" w:space="0" w:color="auto"/>
          </w:divBdr>
        </w:div>
        <w:div w:id="1889683934">
          <w:marLeft w:val="640"/>
          <w:marRight w:val="0"/>
          <w:marTop w:val="0"/>
          <w:marBottom w:val="0"/>
          <w:divBdr>
            <w:top w:val="none" w:sz="0" w:space="0" w:color="auto"/>
            <w:left w:val="none" w:sz="0" w:space="0" w:color="auto"/>
            <w:bottom w:val="none" w:sz="0" w:space="0" w:color="auto"/>
            <w:right w:val="none" w:sz="0" w:space="0" w:color="auto"/>
          </w:divBdr>
        </w:div>
        <w:div w:id="1780291704">
          <w:marLeft w:val="640"/>
          <w:marRight w:val="0"/>
          <w:marTop w:val="0"/>
          <w:marBottom w:val="0"/>
          <w:divBdr>
            <w:top w:val="none" w:sz="0" w:space="0" w:color="auto"/>
            <w:left w:val="none" w:sz="0" w:space="0" w:color="auto"/>
            <w:bottom w:val="none" w:sz="0" w:space="0" w:color="auto"/>
            <w:right w:val="none" w:sz="0" w:space="0" w:color="auto"/>
          </w:divBdr>
        </w:div>
        <w:div w:id="1199665515">
          <w:marLeft w:val="640"/>
          <w:marRight w:val="0"/>
          <w:marTop w:val="0"/>
          <w:marBottom w:val="0"/>
          <w:divBdr>
            <w:top w:val="none" w:sz="0" w:space="0" w:color="auto"/>
            <w:left w:val="none" w:sz="0" w:space="0" w:color="auto"/>
            <w:bottom w:val="none" w:sz="0" w:space="0" w:color="auto"/>
            <w:right w:val="none" w:sz="0" w:space="0" w:color="auto"/>
          </w:divBdr>
        </w:div>
        <w:div w:id="840124683">
          <w:marLeft w:val="640"/>
          <w:marRight w:val="0"/>
          <w:marTop w:val="0"/>
          <w:marBottom w:val="0"/>
          <w:divBdr>
            <w:top w:val="none" w:sz="0" w:space="0" w:color="auto"/>
            <w:left w:val="none" w:sz="0" w:space="0" w:color="auto"/>
            <w:bottom w:val="none" w:sz="0" w:space="0" w:color="auto"/>
            <w:right w:val="none" w:sz="0" w:space="0" w:color="auto"/>
          </w:divBdr>
        </w:div>
        <w:div w:id="1178930220">
          <w:marLeft w:val="640"/>
          <w:marRight w:val="0"/>
          <w:marTop w:val="0"/>
          <w:marBottom w:val="0"/>
          <w:divBdr>
            <w:top w:val="none" w:sz="0" w:space="0" w:color="auto"/>
            <w:left w:val="none" w:sz="0" w:space="0" w:color="auto"/>
            <w:bottom w:val="none" w:sz="0" w:space="0" w:color="auto"/>
            <w:right w:val="none" w:sz="0" w:space="0" w:color="auto"/>
          </w:divBdr>
        </w:div>
        <w:div w:id="171189971">
          <w:marLeft w:val="640"/>
          <w:marRight w:val="0"/>
          <w:marTop w:val="0"/>
          <w:marBottom w:val="0"/>
          <w:divBdr>
            <w:top w:val="none" w:sz="0" w:space="0" w:color="auto"/>
            <w:left w:val="none" w:sz="0" w:space="0" w:color="auto"/>
            <w:bottom w:val="none" w:sz="0" w:space="0" w:color="auto"/>
            <w:right w:val="none" w:sz="0" w:space="0" w:color="auto"/>
          </w:divBdr>
        </w:div>
        <w:div w:id="2054452522">
          <w:marLeft w:val="640"/>
          <w:marRight w:val="0"/>
          <w:marTop w:val="0"/>
          <w:marBottom w:val="0"/>
          <w:divBdr>
            <w:top w:val="none" w:sz="0" w:space="0" w:color="auto"/>
            <w:left w:val="none" w:sz="0" w:space="0" w:color="auto"/>
            <w:bottom w:val="none" w:sz="0" w:space="0" w:color="auto"/>
            <w:right w:val="none" w:sz="0" w:space="0" w:color="auto"/>
          </w:divBdr>
        </w:div>
        <w:div w:id="2122873047">
          <w:marLeft w:val="640"/>
          <w:marRight w:val="0"/>
          <w:marTop w:val="0"/>
          <w:marBottom w:val="0"/>
          <w:divBdr>
            <w:top w:val="none" w:sz="0" w:space="0" w:color="auto"/>
            <w:left w:val="none" w:sz="0" w:space="0" w:color="auto"/>
            <w:bottom w:val="none" w:sz="0" w:space="0" w:color="auto"/>
            <w:right w:val="none" w:sz="0" w:space="0" w:color="auto"/>
          </w:divBdr>
        </w:div>
        <w:div w:id="212893485">
          <w:marLeft w:val="640"/>
          <w:marRight w:val="0"/>
          <w:marTop w:val="0"/>
          <w:marBottom w:val="0"/>
          <w:divBdr>
            <w:top w:val="none" w:sz="0" w:space="0" w:color="auto"/>
            <w:left w:val="none" w:sz="0" w:space="0" w:color="auto"/>
            <w:bottom w:val="none" w:sz="0" w:space="0" w:color="auto"/>
            <w:right w:val="none" w:sz="0" w:space="0" w:color="auto"/>
          </w:divBdr>
        </w:div>
        <w:div w:id="332955132">
          <w:marLeft w:val="640"/>
          <w:marRight w:val="0"/>
          <w:marTop w:val="0"/>
          <w:marBottom w:val="0"/>
          <w:divBdr>
            <w:top w:val="none" w:sz="0" w:space="0" w:color="auto"/>
            <w:left w:val="none" w:sz="0" w:space="0" w:color="auto"/>
            <w:bottom w:val="none" w:sz="0" w:space="0" w:color="auto"/>
            <w:right w:val="none" w:sz="0" w:space="0" w:color="auto"/>
          </w:divBdr>
        </w:div>
        <w:div w:id="1676300136">
          <w:marLeft w:val="640"/>
          <w:marRight w:val="0"/>
          <w:marTop w:val="0"/>
          <w:marBottom w:val="0"/>
          <w:divBdr>
            <w:top w:val="none" w:sz="0" w:space="0" w:color="auto"/>
            <w:left w:val="none" w:sz="0" w:space="0" w:color="auto"/>
            <w:bottom w:val="none" w:sz="0" w:space="0" w:color="auto"/>
            <w:right w:val="none" w:sz="0" w:space="0" w:color="auto"/>
          </w:divBdr>
        </w:div>
        <w:div w:id="1998679848">
          <w:marLeft w:val="640"/>
          <w:marRight w:val="0"/>
          <w:marTop w:val="0"/>
          <w:marBottom w:val="0"/>
          <w:divBdr>
            <w:top w:val="none" w:sz="0" w:space="0" w:color="auto"/>
            <w:left w:val="none" w:sz="0" w:space="0" w:color="auto"/>
            <w:bottom w:val="none" w:sz="0" w:space="0" w:color="auto"/>
            <w:right w:val="none" w:sz="0" w:space="0" w:color="auto"/>
          </w:divBdr>
        </w:div>
        <w:div w:id="35280981">
          <w:marLeft w:val="640"/>
          <w:marRight w:val="0"/>
          <w:marTop w:val="0"/>
          <w:marBottom w:val="0"/>
          <w:divBdr>
            <w:top w:val="none" w:sz="0" w:space="0" w:color="auto"/>
            <w:left w:val="none" w:sz="0" w:space="0" w:color="auto"/>
            <w:bottom w:val="none" w:sz="0" w:space="0" w:color="auto"/>
            <w:right w:val="none" w:sz="0" w:space="0" w:color="auto"/>
          </w:divBdr>
        </w:div>
        <w:div w:id="1670861464">
          <w:marLeft w:val="640"/>
          <w:marRight w:val="0"/>
          <w:marTop w:val="0"/>
          <w:marBottom w:val="0"/>
          <w:divBdr>
            <w:top w:val="none" w:sz="0" w:space="0" w:color="auto"/>
            <w:left w:val="none" w:sz="0" w:space="0" w:color="auto"/>
            <w:bottom w:val="none" w:sz="0" w:space="0" w:color="auto"/>
            <w:right w:val="none" w:sz="0" w:space="0" w:color="auto"/>
          </w:divBdr>
        </w:div>
        <w:div w:id="882787076">
          <w:marLeft w:val="640"/>
          <w:marRight w:val="0"/>
          <w:marTop w:val="0"/>
          <w:marBottom w:val="0"/>
          <w:divBdr>
            <w:top w:val="none" w:sz="0" w:space="0" w:color="auto"/>
            <w:left w:val="none" w:sz="0" w:space="0" w:color="auto"/>
            <w:bottom w:val="none" w:sz="0" w:space="0" w:color="auto"/>
            <w:right w:val="none" w:sz="0" w:space="0" w:color="auto"/>
          </w:divBdr>
        </w:div>
        <w:div w:id="125851679">
          <w:marLeft w:val="640"/>
          <w:marRight w:val="0"/>
          <w:marTop w:val="0"/>
          <w:marBottom w:val="0"/>
          <w:divBdr>
            <w:top w:val="none" w:sz="0" w:space="0" w:color="auto"/>
            <w:left w:val="none" w:sz="0" w:space="0" w:color="auto"/>
            <w:bottom w:val="none" w:sz="0" w:space="0" w:color="auto"/>
            <w:right w:val="none" w:sz="0" w:space="0" w:color="auto"/>
          </w:divBdr>
        </w:div>
        <w:div w:id="1007442472">
          <w:marLeft w:val="640"/>
          <w:marRight w:val="0"/>
          <w:marTop w:val="0"/>
          <w:marBottom w:val="0"/>
          <w:divBdr>
            <w:top w:val="none" w:sz="0" w:space="0" w:color="auto"/>
            <w:left w:val="none" w:sz="0" w:space="0" w:color="auto"/>
            <w:bottom w:val="none" w:sz="0" w:space="0" w:color="auto"/>
            <w:right w:val="none" w:sz="0" w:space="0" w:color="auto"/>
          </w:divBdr>
        </w:div>
        <w:div w:id="1311864770">
          <w:marLeft w:val="640"/>
          <w:marRight w:val="0"/>
          <w:marTop w:val="0"/>
          <w:marBottom w:val="0"/>
          <w:divBdr>
            <w:top w:val="none" w:sz="0" w:space="0" w:color="auto"/>
            <w:left w:val="none" w:sz="0" w:space="0" w:color="auto"/>
            <w:bottom w:val="none" w:sz="0" w:space="0" w:color="auto"/>
            <w:right w:val="none" w:sz="0" w:space="0" w:color="auto"/>
          </w:divBdr>
        </w:div>
        <w:div w:id="2099596102">
          <w:marLeft w:val="640"/>
          <w:marRight w:val="0"/>
          <w:marTop w:val="0"/>
          <w:marBottom w:val="0"/>
          <w:divBdr>
            <w:top w:val="none" w:sz="0" w:space="0" w:color="auto"/>
            <w:left w:val="none" w:sz="0" w:space="0" w:color="auto"/>
            <w:bottom w:val="none" w:sz="0" w:space="0" w:color="auto"/>
            <w:right w:val="none" w:sz="0" w:space="0" w:color="auto"/>
          </w:divBdr>
        </w:div>
        <w:div w:id="1384139611">
          <w:marLeft w:val="640"/>
          <w:marRight w:val="0"/>
          <w:marTop w:val="0"/>
          <w:marBottom w:val="0"/>
          <w:divBdr>
            <w:top w:val="none" w:sz="0" w:space="0" w:color="auto"/>
            <w:left w:val="none" w:sz="0" w:space="0" w:color="auto"/>
            <w:bottom w:val="none" w:sz="0" w:space="0" w:color="auto"/>
            <w:right w:val="none" w:sz="0" w:space="0" w:color="auto"/>
          </w:divBdr>
        </w:div>
        <w:div w:id="270820789">
          <w:marLeft w:val="640"/>
          <w:marRight w:val="0"/>
          <w:marTop w:val="0"/>
          <w:marBottom w:val="0"/>
          <w:divBdr>
            <w:top w:val="none" w:sz="0" w:space="0" w:color="auto"/>
            <w:left w:val="none" w:sz="0" w:space="0" w:color="auto"/>
            <w:bottom w:val="none" w:sz="0" w:space="0" w:color="auto"/>
            <w:right w:val="none" w:sz="0" w:space="0" w:color="auto"/>
          </w:divBdr>
        </w:div>
        <w:div w:id="1868368662">
          <w:marLeft w:val="640"/>
          <w:marRight w:val="0"/>
          <w:marTop w:val="0"/>
          <w:marBottom w:val="0"/>
          <w:divBdr>
            <w:top w:val="none" w:sz="0" w:space="0" w:color="auto"/>
            <w:left w:val="none" w:sz="0" w:space="0" w:color="auto"/>
            <w:bottom w:val="none" w:sz="0" w:space="0" w:color="auto"/>
            <w:right w:val="none" w:sz="0" w:space="0" w:color="auto"/>
          </w:divBdr>
        </w:div>
        <w:div w:id="1354964486">
          <w:marLeft w:val="640"/>
          <w:marRight w:val="0"/>
          <w:marTop w:val="0"/>
          <w:marBottom w:val="0"/>
          <w:divBdr>
            <w:top w:val="none" w:sz="0" w:space="0" w:color="auto"/>
            <w:left w:val="none" w:sz="0" w:space="0" w:color="auto"/>
            <w:bottom w:val="none" w:sz="0" w:space="0" w:color="auto"/>
            <w:right w:val="none" w:sz="0" w:space="0" w:color="auto"/>
          </w:divBdr>
        </w:div>
        <w:div w:id="1873378988">
          <w:marLeft w:val="640"/>
          <w:marRight w:val="0"/>
          <w:marTop w:val="0"/>
          <w:marBottom w:val="0"/>
          <w:divBdr>
            <w:top w:val="none" w:sz="0" w:space="0" w:color="auto"/>
            <w:left w:val="none" w:sz="0" w:space="0" w:color="auto"/>
            <w:bottom w:val="none" w:sz="0" w:space="0" w:color="auto"/>
            <w:right w:val="none" w:sz="0" w:space="0" w:color="auto"/>
          </w:divBdr>
        </w:div>
        <w:div w:id="1249076626">
          <w:marLeft w:val="640"/>
          <w:marRight w:val="0"/>
          <w:marTop w:val="0"/>
          <w:marBottom w:val="0"/>
          <w:divBdr>
            <w:top w:val="none" w:sz="0" w:space="0" w:color="auto"/>
            <w:left w:val="none" w:sz="0" w:space="0" w:color="auto"/>
            <w:bottom w:val="none" w:sz="0" w:space="0" w:color="auto"/>
            <w:right w:val="none" w:sz="0" w:space="0" w:color="auto"/>
          </w:divBdr>
        </w:div>
        <w:div w:id="855579200">
          <w:marLeft w:val="640"/>
          <w:marRight w:val="0"/>
          <w:marTop w:val="0"/>
          <w:marBottom w:val="0"/>
          <w:divBdr>
            <w:top w:val="none" w:sz="0" w:space="0" w:color="auto"/>
            <w:left w:val="none" w:sz="0" w:space="0" w:color="auto"/>
            <w:bottom w:val="none" w:sz="0" w:space="0" w:color="auto"/>
            <w:right w:val="none" w:sz="0" w:space="0" w:color="auto"/>
          </w:divBdr>
        </w:div>
        <w:div w:id="710615744">
          <w:marLeft w:val="640"/>
          <w:marRight w:val="0"/>
          <w:marTop w:val="0"/>
          <w:marBottom w:val="0"/>
          <w:divBdr>
            <w:top w:val="none" w:sz="0" w:space="0" w:color="auto"/>
            <w:left w:val="none" w:sz="0" w:space="0" w:color="auto"/>
            <w:bottom w:val="none" w:sz="0" w:space="0" w:color="auto"/>
            <w:right w:val="none" w:sz="0" w:space="0" w:color="auto"/>
          </w:divBdr>
        </w:div>
        <w:div w:id="1074427770">
          <w:marLeft w:val="640"/>
          <w:marRight w:val="0"/>
          <w:marTop w:val="0"/>
          <w:marBottom w:val="0"/>
          <w:divBdr>
            <w:top w:val="none" w:sz="0" w:space="0" w:color="auto"/>
            <w:left w:val="none" w:sz="0" w:space="0" w:color="auto"/>
            <w:bottom w:val="none" w:sz="0" w:space="0" w:color="auto"/>
            <w:right w:val="none" w:sz="0" w:space="0" w:color="auto"/>
          </w:divBdr>
        </w:div>
        <w:div w:id="1077556112">
          <w:marLeft w:val="640"/>
          <w:marRight w:val="0"/>
          <w:marTop w:val="0"/>
          <w:marBottom w:val="0"/>
          <w:divBdr>
            <w:top w:val="none" w:sz="0" w:space="0" w:color="auto"/>
            <w:left w:val="none" w:sz="0" w:space="0" w:color="auto"/>
            <w:bottom w:val="none" w:sz="0" w:space="0" w:color="auto"/>
            <w:right w:val="none" w:sz="0" w:space="0" w:color="auto"/>
          </w:divBdr>
        </w:div>
        <w:div w:id="597954323">
          <w:marLeft w:val="640"/>
          <w:marRight w:val="0"/>
          <w:marTop w:val="0"/>
          <w:marBottom w:val="0"/>
          <w:divBdr>
            <w:top w:val="none" w:sz="0" w:space="0" w:color="auto"/>
            <w:left w:val="none" w:sz="0" w:space="0" w:color="auto"/>
            <w:bottom w:val="none" w:sz="0" w:space="0" w:color="auto"/>
            <w:right w:val="none" w:sz="0" w:space="0" w:color="auto"/>
          </w:divBdr>
        </w:div>
        <w:div w:id="1771467149">
          <w:marLeft w:val="640"/>
          <w:marRight w:val="0"/>
          <w:marTop w:val="0"/>
          <w:marBottom w:val="0"/>
          <w:divBdr>
            <w:top w:val="none" w:sz="0" w:space="0" w:color="auto"/>
            <w:left w:val="none" w:sz="0" w:space="0" w:color="auto"/>
            <w:bottom w:val="none" w:sz="0" w:space="0" w:color="auto"/>
            <w:right w:val="none" w:sz="0" w:space="0" w:color="auto"/>
          </w:divBdr>
        </w:div>
        <w:div w:id="1352954133">
          <w:marLeft w:val="640"/>
          <w:marRight w:val="0"/>
          <w:marTop w:val="0"/>
          <w:marBottom w:val="0"/>
          <w:divBdr>
            <w:top w:val="none" w:sz="0" w:space="0" w:color="auto"/>
            <w:left w:val="none" w:sz="0" w:space="0" w:color="auto"/>
            <w:bottom w:val="none" w:sz="0" w:space="0" w:color="auto"/>
            <w:right w:val="none" w:sz="0" w:space="0" w:color="auto"/>
          </w:divBdr>
        </w:div>
        <w:div w:id="1458526586">
          <w:marLeft w:val="640"/>
          <w:marRight w:val="0"/>
          <w:marTop w:val="0"/>
          <w:marBottom w:val="0"/>
          <w:divBdr>
            <w:top w:val="none" w:sz="0" w:space="0" w:color="auto"/>
            <w:left w:val="none" w:sz="0" w:space="0" w:color="auto"/>
            <w:bottom w:val="none" w:sz="0" w:space="0" w:color="auto"/>
            <w:right w:val="none" w:sz="0" w:space="0" w:color="auto"/>
          </w:divBdr>
        </w:div>
        <w:div w:id="1083408330">
          <w:marLeft w:val="640"/>
          <w:marRight w:val="0"/>
          <w:marTop w:val="0"/>
          <w:marBottom w:val="0"/>
          <w:divBdr>
            <w:top w:val="none" w:sz="0" w:space="0" w:color="auto"/>
            <w:left w:val="none" w:sz="0" w:space="0" w:color="auto"/>
            <w:bottom w:val="none" w:sz="0" w:space="0" w:color="auto"/>
            <w:right w:val="none" w:sz="0" w:space="0" w:color="auto"/>
          </w:divBdr>
        </w:div>
        <w:div w:id="590285702">
          <w:marLeft w:val="640"/>
          <w:marRight w:val="0"/>
          <w:marTop w:val="0"/>
          <w:marBottom w:val="0"/>
          <w:divBdr>
            <w:top w:val="none" w:sz="0" w:space="0" w:color="auto"/>
            <w:left w:val="none" w:sz="0" w:space="0" w:color="auto"/>
            <w:bottom w:val="none" w:sz="0" w:space="0" w:color="auto"/>
            <w:right w:val="none" w:sz="0" w:space="0" w:color="auto"/>
          </w:divBdr>
        </w:div>
        <w:div w:id="468942326">
          <w:marLeft w:val="640"/>
          <w:marRight w:val="0"/>
          <w:marTop w:val="0"/>
          <w:marBottom w:val="0"/>
          <w:divBdr>
            <w:top w:val="none" w:sz="0" w:space="0" w:color="auto"/>
            <w:left w:val="none" w:sz="0" w:space="0" w:color="auto"/>
            <w:bottom w:val="none" w:sz="0" w:space="0" w:color="auto"/>
            <w:right w:val="none" w:sz="0" w:space="0" w:color="auto"/>
          </w:divBdr>
        </w:div>
        <w:div w:id="98448177">
          <w:marLeft w:val="640"/>
          <w:marRight w:val="0"/>
          <w:marTop w:val="0"/>
          <w:marBottom w:val="0"/>
          <w:divBdr>
            <w:top w:val="none" w:sz="0" w:space="0" w:color="auto"/>
            <w:left w:val="none" w:sz="0" w:space="0" w:color="auto"/>
            <w:bottom w:val="none" w:sz="0" w:space="0" w:color="auto"/>
            <w:right w:val="none" w:sz="0" w:space="0" w:color="auto"/>
          </w:divBdr>
        </w:div>
        <w:div w:id="1795520269">
          <w:marLeft w:val="640"/>
          <w:marRight w:val="0"/>
          <w:marTop w:val="0"/>
          <w:marBottom w:val="0"/>
          <w:divBdr>
            <w:top w:val="none" w:sz="0" w:space="0" w:color="auto"/>
            <w:left w:val="none" w:sz="0" w:space="0" w:color="auto"/>
            <w:bottom w:val="none" w:sz="0" w:space="0" w:color="auto"/>
            <w:right w:val="none" w:sz="0" w:space="0" w:color="auto"/>
          </w:divBdr>
        </w:div>
        <w:div w:id="1600142744">
          <w:marLeft w:val="640"/>
          <w:marRight w:val="0"/>
          <w:marTop w:val="0"/>
          <w:marBottom w:val="0"/>
          <w:divBdr>
            <w:top w:val="none" w:sz="0" w:space="0" w:color="auto"/>
            <w:left w:val="none" w:sz="0" w:space="0" w:color="auto"/>
            <w:bottom w:val="none" w:sz="0" w:space="0" w:color="auto"/>
            <w:right w:val="none" w:sz="0" w:space="0" w:color="auto"/>
          </w:divBdr>
        </w:div>
        <w:div w:id="205023804">
          <w:marLeft w:val="640"/>
          <w:marRight w:val="0"/>
          <w:marTop w:val="0"/>
          <w:marBottom w:val="0"/>
          <w:divBdr>
            <w:top w:val="none" w:sz="0" w:space="0" w:color="auto"/>
            <w:left w:val="none" w:sz="0" w:space="0" w:color="auto"/>
            <w:bottom w:val="none" w:sz="0" w:space="0" w:color="auto"/>
            <w:right w:val="none" w:sz="0" w:space="0" w:color="auto"/>
          </w:divBdr>
        </w:div>
        <w:div w:id="709960062">
          <w:marLeft w:val="640"/>
          <w:marRight w:val="0"/>
          <w:marTop w:val="0"/>
          <w:marBottom w:val="0"/>
          <w:divBdr>
            <w:top w:val="none" w:sz="0" w:space="0" w:color="auto"/>
            <w:left w:val="none" w:sz="0" w:space="0" w:color="auto"/>
            <w:bottom w:val="none" w:sz="0" w:space="0" w:color="auto"/>
            <w:right w:val="none" w:sz="0" w:space="0" w:color="auto"/>
          </w:divBdr>
        </w:div>
        <w:div w:id="1922179731">
          <w:marLeft w:val="640"/>
          <w:marRight w:val="0"/>
          <w:marTop w:val="0"/>
          <w:marBottom w:val="0"/>
          <w:divBdr>
            <w:top w:val="none" w:sz="0" w:space="0" w:color="auto"/>
            <w:left w:val="none" w:sz="0" w:space="0" w:color="auto"/>
            <w:bottom w:val="none" w:sz="0" w:space="0" w:color="auto"/>
            <w:right w:val="none" w:sz="0" w:space="0" w:color="auto"/>
          </w:divBdr>
        </w:div>
        <w:div w:id="1727492253">
          <w:marLeft w:val="640"/>
          <w:marRight w:val="0"/>
          <w:marTop w:val="0"/>
          <w:marBottom w:val="0"/>
          <w:divBdr>
            <w:top w:val="none" w:sz="0" w:space="0" w:color="auto"/>
            <w:left w:val="none" w:sz="0" w:space="0" w:color="auto"/>
            <w:bottom w:val="none" w:sz="0" w:space="0" w:color="auto"/>
            <w:right w:val="none" w:sz="0" w:space="0" w:color="auto"/>
          </w:divBdr>
        </w:div>
        <w:div w:id="1545286798">
          <w:marLeft w:val="640"/>
          <w:marRight w:val="0"/>
          <w:marTop w:val="0"/>
          <w:marBottom w:val="0"/>
          <w:divBdr>
            <w:top w:val="none" w:sz="0" w:space="0" w:color="auto"/>
            <w:left w:val="none" w:sz="0" w:space="0" w:color="auto"/>
            <w:bottom w:val="none" w:sz="0" w:space="0" w:color="auto"/>
            <w:right w:val="none" w:sz="0" w:space="0" w:color="auto"/>
          </w:divBdr>
        </w:div>
        <w:div w:id="972175938">
          <w:marLeft w:val="640"/>
          <w:marRight w:val="0"/>
          <w:marTop w:val="0"/>
          <w:marBottom w:val="0"/>
          <w:divBdr>
            <w:top w:val="none" w:sz="0" w:space="0" w:color="auto"/>
            <w:left w:val="none" w:sz="0" w:space="0" w:color="auto"/>
            <w:bottom w:val="none" w:sz="0" w:space="0" w:color="auto"/>
            <w:right w:val="none" w:sz="0" w:space="0" w:color="auto"/>
          </w:divBdr>
        </w:div>
        <w:div w:id="2126654763">
          <w:marLeft w:val="640"/>
          <w:marRight w:val="0"/>
          <w:marTop w:val="0"/>
          <w:marBottom w:val="0"/>
          <w:divBdr>
            <w:top w:val="none" w:sz="0" w:space="0" w:color="auto"/>
            <w:left w:val="none" w:sz="0" w:space="0" w:color="auto"/>
            <w:bottom w:val="none" w:sz="0" w:space="0" w:color="auto"/>
            <w:right w:val="none" w:sz="0" w:space="0" w:color="auto"/>
          </w:divBdr>
        </w:div>
        <w:div w:id="1785924876">
          <w:marLeft w:val="640"/>
          <w:marRight w:val="0"/>
          <w:marTop w:val="0"/>
          <w:marBottom w:val="0"/>
          <w:divBdr>
            <w:top w:val="none" w:sz="0" w:space="0" w:color="auto"/>
            <w:left w:val="none" w:sz="0" w:space="0" w:color="auto"/>
            <w:bottom w:val="none" w:sz="0" w:space="0" w:color="auto"/>
            <w:right w:val="none" w:sz="0" w:space="0" w:color="auto"/>
          </w:divBdr>
        </w:div>
        <w:div w:id="299968394">
          <w:marLeft w:val="640"/>
          <w:marRight w:val="0"/>
          <w:marTop w:val="0"/>
          <w:marBottom w:val="0"/>
          <w:divBdr>
            <w:top w:val="none" w:sz="0" w:space="0" w:color="auto"/>
            <w:left w:val="none" w:sz="0" w:space="0" w:color="auto"/>
            <w:bottom w:val="none" w:sz="0" w:space="0" w:color="auto"/>
            <w:right w:val="none" w:sz="0" w:space="0" w:color="auto"/>
          </w:divBdr>
        </w:div>
        <w:div w:id="1644849034">
          <w:marLeft w:val="640"/>
          <w:marRight w:val="0"/>
          <w:marTop w:val="0"/>
          <w:marBottom w:val="0"/>
          <w:divBdr>
            <w:top w:val="none" w:sz="0" w:space="0" w:color="auto"/>
            <w:left w:val="none" w:sz="0" w:space="0" w:color="auto"/>
            <w:bottom w:val="none" w:sz="0" w:space="0" w:color="auto"/>
            <w:right w:val="none" w:sz="0" w:space="0" w:color="auto"/>
          </w:divBdr>
        </w:div>
        <w:div w:id="1083407668">
          <w:marLeft w:val="640"/>
          <w:marRight w:val="0"/>
          <w:marTop w:val="0"/>
          <w:marBottom w:val="0"/>
          <w:divBdr>
            <w:top w:val="none" w:sz="0" w:space="0" w:color="auto"/>
            <w:left w:val="none" w:sz="0" w:space="0" w:color="auto"/>
            <w:bottom w:val="none" w:sz="0" w:space="0" w:color="auto"/>
            <w:right w:val="none" w:sz="0" w:space="0" w:color="auto"/>
          </w:divBdr>
        </w:div>
        <w:div w:id="1358000175">
          <w:marLeft w:val="640"/>
          <w:marRight w:val="0"/>
          <w:marTop w:val="0"/>
          <w:marBottom w:val="0"/>
          <w:divBdr>
            <w:top w:val="none" w:sz="0" w:space="0" w:color="auto"/>
            <w:left w:val="none" w:sz="0" w:space="0" w:color="auto"/>
            <w:bottom w:val="none" w:sz="0" w:space="0" w:color="auto"/>
            <w:right w:val="none" w:sz="0" w:space="0" w:color="auto"/>
          </w:divBdr>
        </w:div>
        <w:div w:id="1684743759">
          <w:marLeft w:val="640"/>
          <w:marRight w:val="0"/>
          <w:marTop w:val="0"/>
          <w:marBottom w:val="0"/>
          <w:divBdr>
            <w:top w:val="none" w:sz="0" w:space="0" w:color="auto"/>
            <w:left w:val="none" w:sz="0" w:space="0" w:color="auto"/>
            <w:bottom w:val="none" w:sz="0" w:space="0" w:color="auto"/>
            <w:right w:val="none" w:sz="0" w:space="0" w:color="auto"/>
          </w:divBdr>
        </w:div>
        <w:div w:id="737480726">
          <w:marLeft w:val="640"/>
          <w:marRight w:val="0"/>
          <w:marTop w:val="0"/>
          <w:marBottom w:val="0"/>
          <w:divBdr>
            <w:top w:val="none" w:sz="0" w:space="0" w:color="auto"/>
            <w:left w:val="none" w:sz="0" w:space="0" w:color="auto"/>
            <w:bottom w:val="none" w:sz="0" w:space="0" w:color="auto"/>
            <w:right w:val="none" w:sz="0" w:space="0" w:color="auto"/>
          </w:divBdr>
        </w:div>
        <w:div w:id="897740609">
          <w:marLeft w:val="640"/>
          <w:marRight w:val="0"/>
          <w:marTop w:val="0"/>
          <w:marBottom w:val="0"/>
          <w:divBdr>
            <w:top w:val="none" w:sz="0" w:space="0" w:color="auto"/>
            <w:left w:val="none" w:sz="0" w:space="0" w:color="auto"/>
            <w:bottom w:val="none" w:sz="0" w:space="0" w:color="auto"/>
            <w:right w:val="none" w:sz="0" w:space="0" w:color="auto"/>
          </w:divBdr>
        </w:div>
        <w:div w:id="1199243993">
          <w:marLeft w:val="640"/>
          <w:marRight w:val="0"/>
          <w:marTop w:val="0"/>
          <w:marBottom w:val="0"/>
          <w:divBdr>
            <w:top w:val="none" w:sz="0" w:space="0" w:color="auto"/>
            <w:left w:val="none" w:sz="0" w:space="0" w:color="auto"/>
            <w:bottom w:val="none" w:sz="0" w:space="0" w:color="auto"/>
            <w:right w:val="none" w:sz="0" w:space="0" w:color="auto"/>
          </w:divBdr>
        </w:div>
        <w:div w:id="1090391101">
          <w:marLeft w:val="640"/>
          <w:marRight w:val="0"/>
          <w:marTop w:val="0"/>
          <w:marBottom w:val="0"/>
          <w:divBdr>
            <w:top w:val="none" w:sz="0" w:space="0" w:color="auto"/>
            <w:left w:val="none" w:sz="0" w:space="0" w:color="auto"/>
            <w:bottom w:val="none" w:sz="0" w:space="0" w:color="auto"/>
            <w:right w:val="none" w:sz="0" w:space="0" w:color="auto"/>
          </w:divBdr>
        </w:div>
        <w:div w:id="5526803">
          <w:marLeft w:val="640"/>
          <w:marRight w:val="0"/>
          <w:marTop w:val="0"/>
          <w:marBottom w:val="0"/>
          <w:divBdr>
            <w:top w:val="none" w:sz="0" w:space="0" w:color="auto"/>
            <w:left w:val="none" w:sz="0" w:space="0" w:color="auto"/>
            <w:bottom w:val="none" w:sz="0" w:space="0" w:color="auto"/>
            <w:right w:val="none" w:sz="0" w:space="0" w:color="auto"/>
          </w:divBdr>
        </w:div>
        <w:div w:id="1306274076">
          <w:marLeft w:val="640"/>
          <w:marRight w:val="0"/>
          <w:marTop w:val="0"/>
          <w:marBottom w:val="0"/>
          <w:divBdr>
            <w:top w:val="none" w:sz="0" w:space="0" w:color="auto"/>
            <w:left w:val="none" w:sz="0" w:space="0" w:color="auto"/>
            <w:bottom w:val="none" w:sz="0" w:space="0" w:color="auto"/>
            <w:right w:val="none" w:sz="0" w:space="0" w:color="auto"/>
          </w:divBdr>
        </w:div>
        <w:div w:id="852651454">
          <w:marLeft w:val="640"/>
          <w:marRight w:val="0"/>
          <w:marTop w:val="0"/>
          <w:marBottom w:val="0"/>
          <w:divBdr>
            <w:top w:val="none" w:sz="0" w:space="0" w:color="auto"/>
            <w:left w:val="none" w:sz="0" w:space="0" w:color="auto"/>
            <w:bottom w:val="none" w:sz="0" w:space="0" w:color="auto"/>
            <w:right w:val="none" w:sz="0" w:space="0" w:color="auto"/>
          </w:divBdr>
        </w:div>
        <w:div w:id="986514607">
          <w:marLeft w:val="640"/>
          <w:marRight w:val="0"/>
          <w:marTop w:val="0"/>
          <w:marBottom w:val="0"/>
          <w:divBdr>
            <w:top w:val="none" w:sz="0" w:space="0" w:color="auto"/>
            <w:left w:val="none" w:sz="0" w:space="0" w:color="auto"/>
            <w:bottom w:val="none" w:sz="0" w:space="0" w:color="auto"/>
            <w:right w:val="none" w:sz="0" w:space="0" w:color="auto"/>
          </w:divBdr>
        </w:div>
        <w:div w:id="1098523560">
          <w:marLeft w:val="640"/>
          <w:marRight w:val="0"/>
          <w:marTop w:val="0"/>
          <w:marBottom w:val="0"/>
          <w:divBdr>
            <w:top w:val="none" w:sz="0" w:space="0" w:color="auto"/>
            <w:left w:val="none" w:sz="0" w:space="0" w:color="auto"/>
            <w:bottom w:val="none" w:sz="0" w:space="0" w:color="auto"/>
            <w:right w:val="none" w:sz="0" w:space="0" w:color="auto"/>
          </w:divBdr>
        </w:div>
        <w:div w:id="1792093361">
          <w:marLeft w:val="640"/>
          <w:marRight w:val="0"/>
          <w:marTop w:val="0"/>
          <w:marBottom w:val="0"/>
          <w:divBdr>
            <w:top w:val="none" w:sz="0" w:space="0" w:color="auto"/>
            <w:left w:val="none" w:sz="0" w:space="0" w:color="auto"/>
            <w:bottom w:val="none" w:sz="0" w:space="0" w:color="auto"/>
            <w:right w:val="none" w:sz="0" w:space="0" w:color="auto"/>
          </w:divBdr>
        </w:div>
        <w:div w:id="444154344">
          <w:marLeft w:val="640"/>
          <w:marRight w:val="0"/>
          <w:marTop w:val="0"/>
          <w:marBottom w:val="0"/>
          <w:divBdr>
            <w:top w:val="none" w:sz="0" w:space="0" w:color="auto"/>
            <w:left w:val="none" w:sz="0" w:space="0" w:color="auto"/>
            <w:bottom w:val="none" w:sz="0" w:space="0" w:color="auto"/>
            <w:right w:val="none" w:sz="0" w:space="0" w:color="auto"/>
          </w:divBdr>
        </w:div>
        <w:div w:id="2131698650">
          <w:marLeft w:val="640"/>
          <w:marRight w:val="0"/>
          <w:marTop w:val="0"/>
          <w:marBottom w:val="0"/>
          <w:divBdr>
            <w:top w:val="none" w:sz="0" w:space="0" w:color="auto"/>
            <w:left w:val="none" w:sz="0" w:space="0" w:color="auto"/>
            <w:bottom w:val="none" w:sz="0" w:space="0" w:color="auto"/>
            <w:right w:val="none" w:sz="0" w:space="0" w:color="auto"/>
          </w:divBdr>
        </w:div>
        <w:div w:id="45641324">
          <w:marLeft w:val="640"/>
          <w:marRight w:val="0"/>
          <w:marTop w:val="0"/>
          <w:marBottom w:val="0"/>
          <w:divBdr>
            <w:top w:val="none" w:sz="0" w:space="0" w:color="auto"/>
            <w:left w:val="none" w:sz="0" w:space="0" w:color="auto"/>
            <w:bottom w:val="none" w:sz="0" w:space="0" w:color="auto"/>
            <w:right w:val="none" w:sz="0" w:space="0" w:color="auto"/>
          </w:divBdr>
        </w:div>
        <w:div w:id="1528759480">
          <w:marLeft w:val="640"/>
          <w:marRight w:val="0"/>
          <w:marTop w:val="0"/>
          <w:marBottom w:val="0"/>
          <w:divBdr>
            <w:top w:val="none" w:sz="0" w:space="0" w:color="auto"/>
            <w:left w:val="none" w:sz="0" w:space="0" w:color="auto"/>
            <w:bottom w:val="none" w:sz="0" w:space="0" w:color="auto"/>
            <w:right w:val="none" w:sz="0" w:space="0" w:color="auto"/>
          </w:divBdr>
        </w:div>
        <w:div w:id="544290894">
          <w:marLeft w:val="640"/>
          <w:marRight w:val="0"/>
          <w:marTop w:val="0"/>
          <w:marBottom w:val="0"/>
          <w:divBdr>
            <w:top w:val="none" w:sz="0" w:space="0" w:color="auto"/>
            <w:left w:val="none" w:sz="0" w:space="0" w:color="auto"/>
            <w:bottom w:val="none" w:sz="0" w:space="0" w:color="auto"/>
            <w:right w:val="none" w:sz="0" w:space="0" w:color="auto"/>
          </w:divBdr>
        </w:div>
        <w:div w:id="702483392">
          <w:marLeft w:val="640"/>
          <w:marRight w:val="0"/>
          <w:marTop w:val="0"/>
          <w:marBottom w:val="0"/>
          <w:divBdr>
            <w:top w:val="none" w:sz="0" w:space="0" w:color="auto"/>
            <w:left w:val="none" w:sz="0" w:space="0" w:color="auto"/>
            <w:bottom w:val="none" w:sz="0" w:space="0" w:color="auto"/>
            <w:right w:val="none" w:sz="0" w:space="0" w:color="auto"/>
          </w:divBdr>
        </w:div>
        <w:div w:id="1520385106">
          <w:marLeft w:val="640"/>
          <w:marRight w:val="0"/>
          <w:marTop w:val="0"/>
          <w:marBottom w:val="0"/>
          <w:divBdr>
            <w:top w:val="none" w:sz="0" w:space="0" w:color="auto"/>
            <w:left w:val="none" w:sz="0" w:space="0" w:color="auto"/>
            <w:bottom w:val="none" w:sz="0" w:space="0" w:color="auto"/>
            <w:right w:val="none" w:sz="0" w:space="0" w:color="auto"/>
          </w:divBdr>
        </w:div>
        <w:div w:id="607079495">
          <w:marLeft w:val="640"/>
          <w:marRight w:val="0"/>
          <w:marTop w:val="0"/>
          <w:marBottom w:val="0"/>
          <w:divBdr>
            <w:top w:val="none" w:sz="0" w:space="0" w:color="auto"/>
            <w:left w:val="none" w:sz="0" w:space="0" w:color="auto"/>
            <w:bottom w:val="none" w:sz="0" w:space="0" w:color="auto"/>
            <w:right w:val="none" w:sz="0" w:space="0" w:color="auto"/>
          </w:divBdr>
        </w:div>
        <w:div w:id="1778871278">
          <w:marLeft w:val="640"/>
          <w:marRight w:val="0"/>
          <w:marTop w:val="0"/>
          <w:marBottom w:val="0"/>
          <w:divBdr>
            <w:top w:val="none" w:sz="0" w:space="0" w:color="auto"/>
            <w:left w:val="none" w:sz="0" w:space="0" w:color="auto"/>
            <w:bottom w:val="none" w:sz="0" w:space="0" w:color="auto"/>
            <w:right w:val="none" w:sz="0" w:space="0" w:color="auto"/>
          </w:divBdr>
        </w:div>
        <w:div w:id="1133518309">
          <w:marLeft w:val="640"/>
          <w:marRight w:val="0"/>
          <w:marTop w:val="0"/>
          <w:marBottom w:val="0"/>
          <w:divBdr>
            <w:top w:val="none" w:sz="0" w:space="0" w:color="auto"/>
            <w:left w:val="none" w:sz="0" w:space="0" w:color="auto"/>
            <w:bottom w:val="none" w:sz="0" w:space="0" w:color="auto"/>
            <w:right w:val="none" w:sz="0" w:space="0" w:color="auto"/>
          </w:divBdr>
        </w:div>
        <w:div w:id="1640302477">
          <w:marLeft w:val="640"/>
          <w:marRight w:val="0"/>
          <w:marTop w:val="0"/>
          <w:marBottom w:val="0"/>
          <w:divBdr>
            <w:top w:val="none" w:sz="0" w:space="0" w:color="auto"/>
            <w:left w:val="none" w:sz="0" w:space="0" w:color="auto"/>
            <w:bottom w:val="none" w:sz="0" w:space="0" w:color="auto"/>
            <w:right w:val="none" w:sz="0" w:space="0" w:color="auto"/>
          </w:divBdr>
        </w:div>
        <w:div w:id="834030548">
          <w:marLeft w:val="640"/>
          <w:marRight w:val="0"/>
          <w:marTop w:val="0"/>
          <w:marBottom w:val="0"/>
          <w:divBdr>
            <w:top w:val="none" w:sz="0" w:space="0" w:color="auto"/>
            <w:left w:val="none" w:sz="0" w:space="0" w:color="auto"/>
            <w:bottom w:val="none" w:sz="0" w:space="0" w:color="auto"/>
            <w:right w:val="none" w:sz="0" w:space="0" w:color="auto"/>
          </w:divBdr>
        </w:div>
        <w:div w:id="616176905">
          <w:marLeft w:val="640"/>
          <w:marRight w:val="0"/>
          <w:marTop w:val="0"/>
          <w:marBottom w:val="0"/>
          <w:divBdr>
            <w:top w:val="none" w:sz="0" w:space="0" w:color="auto"/>
            <w:left w:val="none" w:sz="0" w:space="0" w:color="auto"/>
            <w:bottom w:val="none" w:sz="0" w:space="0" w:color="auto"/>
            <w:right w:val="none" w:sz="0" w:space="0" w:color="auto"/>
          </w:divBdr>
        </w:div>
        <w:div w:id="33625957">
          <w:marLeft w:val="640"/>
          <w:marRight w:val="0"/>
          <w:marTop w:val="0"/>
          <w:marBottom w:val="0"/>
          <w:divBdr>
            <w:top w:val="none" w:sz="0" w:space="0" w:color="auto"/>
            <w:left w:val="none" w:sz="0" w:space="0" w:color="auto"/>
            <w:bottom w:val="none" w:sz="0" w:space="0" w:color="auto"/>
            <w:right w:val="none" w:sz="0" w:space="0" w:color="auto"/>
          </w:divBdr>
        </w:div>
        <w:div w:id="261035950">
          <w:marLeft w:val="640"/>
          <w:marRight w:val="0"/>
          <w:marTop w:val="0"/>
          <w:marBottom w:val="0"/>
          <w:divBdr>
            <w:top w:val="none" w:sz="0" w:space="0" w:color="auto"/>
            <w:left w:val="none" w:sz="0" w:space="0" w:color="auto"/>
            <w:bottom w:val="none" w:sz="0" w:space="0" w:color="auto"/>
            <w:right w:val="none" w:sz="0" w:space="0" w:color="auto"/>
          </w:divBdr>
        </w:div>
        <w:div w:id="89356656">
          <w:marLeft w:val="640"/>
          <w:marRight w:val="0"/>
          <w:marTop w:val="0"/>
          <w:marBottom w:val="0"/>
          <w:divBdr>
            <w:top w:val="none" w:sz="0" w:space="0" w:color="auto"/>
            <w:left w:val="none" w:sz="0" w:space="0" w:color="auto"/>
            <w:bottom w:val="none" w:sz="0" w:space="0" w:color="auto"/>
            <w:right w:val="none" w:sz="0" w:space="0" w:color="auto"/>
          </w:divBdr>
        </w:div>
        <w:div w:id="1875384979">
          <w:marLeft w:val="640"/>
          <w:marRight w:val="0"/>
          <w:marTop w:val="0"/>
          <w:marBottom w:val="0"/>
          <w:divBdr>
            <w:top w:val="none" w:sz="0" w:space="0" w:color="auto"/>
            <w:left w:val="none" w:sz="0" w:space="0" w:color="auto"/>
            <w:bottom w:val="none" w:sz="0" w:space="0" w:color="auto"/>
            <w:right w:val="none" w:sz="0" w:space="0" w:color="auto"/>
          </w:divBdr>
        </w:div>
        <w:div w:id="268008743">
          <w:marLeft w:val="640"/>
          <w:marRight w:val="0"/>
          <w:marTop w:val="0"/>
          <w:marBottom w:val="0"/>
          <w:divBdr>
            <w:top w:val="none" w:sz="0" w:space="0" w:color="auto"/>
            <w:left w:val="none" w:sz="0" w:space="0" w:color="auto"/>
            <w:bottom w:val="none" w:sz="0" w:space="0" w:color="auto"/>
            <w:right w:val="none" w:sz="0" w:space="0" w:color="auto"/>
          </w:divBdr>
        </w:div>
        <w:div w:id="1676305558">
          <w:marLeft w:val="640"/>
          <w:marRight w:val="0"/>
          <w:marTop w:val="0"/>
          <w:marBottom w:val="0"/>
          <w:divBdr>
            <w:top w:val="none" w:sz="0" w:space="0" w:color="auto"/>
            <w:left w:val="none" w:sz="0" w:space="0" w:color="auto"/>
            <w:bottom w:val="none" w:sz="0" w:space="0" w:color="auto"/>
            <w:right w:val="none" w:sz="0" w:space="0" w:color="auto"/>
          </w:divBdr>
        </w:div>
        <w:div w:id="2062945752">
          <w:marLeft w:val="640"/>
          <w:marRight w:val="0"/>
          <w:marTop w:val="0"/>
          <w:marBottom w:val="0"/>
          <w:divBdr>
            <w:top w:val="none" w:sz="0" w:space="0" w:color="auto"/>
            <w:left w:val="none" w:sz="0" w:space="0" w:color="auto"/>
            <w:bottom w:val="none" w:sz="0" w:space="0" w:color="auto"/>
            <w:right w:val="none" w:sz="0" w:space="0" w:color="auto"/>
          </w:divBdr>
        </w:div>
        <w:div w:id="520163662">
          <w:marLeft w:val="640"/>
          <w:marRight w:val="0"/>
          <w:marTop w:val="0"/>
          <w:marBottom w:val="0"/>
          <w:divBdr>
            <w:top w:val="none" w:sz="0" w:space="0" w:color="auto"/>
            <w:left w:val="none" w:sz="0" w:space="0" w:color="auto"/>
            <w:bottom w:val="none" w:sz="0" w:space="0" w:color="auto"/>
            <w:right w:val="none" w:sz="0" w:space="0" w:color="auto"/>
          </w:divBdr>
        </w:div>
        <w:div w:id="1926722786">
          <w:marLeft w:val="640"/>
          <w:marRight w:val="0"/>
          <w:marTop w:val="0"/>
          <w:marBottom w:val="0"/>
          <w:divBdr>
            <w:top w:val="none" w:sz="0" w:space="0" w:color="auto"/>
            <w:left w:val="none" w:sz="0" w:space="0" w:color="auto"/>
            <w:bottom w:val="none" w:sz="0" w:space="0" w:color="auto"/>
            <w:right w:val="none" w:sz="0" w:space="0" w:color="auto"/>
          </w:divBdr>
        </w:div>
        <w:div w:id="823084530">
          <w:marLeft w:val="640"/>
          <w:marRight w:val="0"/>
          <w:marTop w:val="0"/>
          <w:marBottom w:val="0"/>
          <w:divBdr>
            <w:top w:val="none" w:sz="0" w:space="0" w:color="auto"/>
            <w:left w:val="none" w:sz="0" w:space="0" w:color="auto"/>
            <w:bottom w:val="none" w:sz="0" w:space="0" w:color="auto"/>
            <w:right w:val="none" w:sz="0" w:space="0" w:color="auto"/>
          </w:divBdr>
        </w:div>
        <w:div w:id="1602493811">
          <w:marLeft w:val="640"/>
          <w:marRight w:val="0"/>
          <w:marTop w:val="0"/>
          <w:marBottom w:val="0"/>
          <w:divBdr>
            <w:top w:val="none" w:sz="0" w:space="0" w:color="auto"/>
            <w:left w:val="none" w:sz="0" w:space="0" w:color="auto"/>
            <w:bottom w:val="none" w:sz="0" w:space="0" w:color="auto"/>
            <w:right w:val="none" w:sz="0" w:space="0" w:color="auto"/>
          </w:divBdr>
        </w:div>
        <w:div w:id="1227763487">
          <w:marLeft w:val="640"/>
          <w:marRight w:val="0"/>
          <w:marTop w:val="0"/>
          <w:marBottom w:val="0"/>
          <w:divBdr>
            <w:top w:val="none" w:sz="0" w:space="0" w:color="auto"/>
            <w:left w:val="none" w:sz="0" w:space="0" w:color="auto"/>
            <w:bottom w:val="none" w:sz="0" w:space="0" w:color="auto"/>
            <w:right w:val="none" w:sz="0" w:space="0" w:color="auto"/>
          </w:divBdr>
        </w:div>
        <w:div w:id="1335259712">
          <w:marLeft w:val="640"/>
          <w:marRight w:val="0"/>
          <w:marTop w:val="0"/>
          <w:marBottom w:val="0"/>
          <w:divBdr>
            <w:top w:val="none" w:sz="0" w:space="0" w:color="auto"/>
            <w:left w:val="none" w:sz="0" w:space="0" w:color="auto"/>
            <w:bottom w:val="none" w:sz="0" w:space="0" w:color="auto"/>
            <w:right w:val="none" w:sz="0" w:space="0" w:color="auto"/>
          </w:divBdr>
        </w:div>
        <w:div w:id="449669901">
          <w:marLeft w:val="640"/>
          <w:marRight w:val="0"/>
          <w:marTop w:val="0"/>
          <w:marBottom w:val="0"/>
          <w:divBdr>
            <w:top w:val="none" w:sz="0" w:space="0" w:color="auto"/>
            <w:left w:val="none" w:sz="0" w:space="0" w:color="auto"/>
            <w:bottom w:val="none" w:sz="0" w:space="0" w:color="auto"/>
            <w:right w:val="none" w:sz="0" w:space="0" w:color="auto"/>
          </w:divBdr>
        </w:div>
        <w:div w:id="1877425966">
          <w:marLeft w:val="640"/>
          <w:marRight w:val="0"/>
          <w:marTop w:val="0"/>
          <w:marBottom w:val="0"/>
          <w:divBdr>
            <w:top w:val="none" w:sz="0" w:space="0" w:color="auto"/>
            <w:left w:val="none" w:sz="0" w:space="0" w:color="auto"/>
            <w:bottom w:val="none" w:sz="0" w:space="0" w:color="auto"/>
            <w:right w:val="none" w:sz="0" w:space="0" w:color="auto"/>
          </w:divBdr>
        </w:div>
        <w:div w:id="1600405361">
          <w:marLeft w:val="640"/>
          <w:marRight w:val="0"/>
          <w:marTop w:val="0"/>
          <w:marBottom w:val="0"/>
          <w:divBdr>
            <w:top w:val="none" w:sz="0" w:space="0" w:color="auto"/>
            <w:left w:val="none" w:sz="0" w:space="0" w:color="auto"/>
            <w:bottom w:val="none" w:sz="0" w:space="0" w:color="auto"/>
            <w:right w:val="none" w:sz="0" w:space="0" w:color="auto"/>
          </w:divBdr>
        </w:div>
        <w:div w:id="1817068052">
          <w:marLeft w:val="640"/>
          <w:marRight w:val="0"/>
          <w:marTop w:val="0"/>
          <w:marBottom w:val="0"/>
          <w:divBdr>
            <w:top w:val="none" w:sz="0" w:space="0" w:color="auto"/>
            <w:left w:val="none" w:sz="0" w:space="0" w:color="auto"/>
            <w:bottom w:val="none" w:sz="0" w:space="0" w:color="auto"/>
            <w:right w:val="none" w:sz="0" w:space="0" w:color="auto"/>
          </w:divBdr>
        </w:div>
        <w:div w:id="550192968">
          <w:marLeft w:val="640"/>
          <w:marRight w:val="0"/>
          <w:marTop w:val="0"/>
          <w:marBottom w:val="0"/>
          <w:divBdr>
            <w:top w:val="none" w:sz="0" w:space="0" w:color="auto"/>
            <w:left w:val="none" w:sz="0" w:space="0" w:color="auto"/>
            <w:bottom w:val="none" w:sz="0" w:space="0" w:color="auto"/>
            <w:right w:val="none" w:sz="0" w:space="0" w:color="auto"/>
          </w:divBdr>
        </w:div>
        <w:div w:id="1016157126">
          <w:marLeft w:val="640"/>
          <w:marRight w:val="0"/>
          <w:marTop w:val="0"/>
          <w:marBottom w:val="0"/>
          <w:divBdr>
            <w:top w:val="none" w:sz="0" w:space="0" w:color="auto"/>
            <w:left w:val="none" w:sz="0" w:space="0" w:color="auto"/>
            <w:bottom w:val="none" w:sz="0" w:space="0" w:color="auto"/>
            <w:right w:val="none" w:sz="0" w:space="0" w:color="auto"/>
          </w:divBdr>
        </w:div>
        <w:div w:id="1885021420">
          <w:marLeft w:val="640"/>
          <w:marRight w:val="0"/>
          <w:marTop w:val="0"/>
          <w:marBottom w:val="0"/>
          <w:divBdr>
            <w:top w:val="none" w:sz="0" w:space="0" w:color="auto"/>
            <w:left w:val="none" w:sz="0" w:space="0" w:color="auto"/>
            <w:bottom w:val="none" w:sz="0" w:space="0" w:color="auto"/>
            <w:right w:val="none" w:sz="0" w:space="0" w:color="auto"/>
          </w:divBdr>
        </w:div>
        <w:div w:id="369965079">
          <w:marLeft w:val="640"/>
          <w:marRight w:val="0"/>
          <w:marTop w:val="0"/>
          <w:marBottom w:val="0"/>
          <w:divBdr>
            <w:top w:val="none" w:sz="0" w:space="0" w:color="auto"/>
            <w:left w:val="none" w:sz="0" w:space="0" w:color="auto"/>
            <w:bottom w:val="none" w:sz="0" w:space="0" w:color="auto"/>
            <w:right w:val="none" w:sz="0" w:space="0" w:color="auto"/>
          </w:divBdr>
        </w:div>
        <w:div w:id="1416904176">
          <w:marLeft w:val="640"/>
          <w:marRight w:val="0"/>
          <w:marTop w:val="0"/>
          <w:marBottom w:val="0"/>
          <w:divBdr>
            <w:top w:val="none" w:sz="0" w:space="0" w:color="auto"/>
            <w:left w:val="none" w:sz="0" w:space="0" w:color="auto"/>
            <w:bottom w:val="none" w:sz="0" w:space="0" w:color="auto"/>
            <w:right w:val="none" w:sz="0" w:space="0" w:color="auto"/>
          </w:divBdr>
        </w:div>
        <w:div w:id="1283076011">
          <w:marLeft w:val="640"/>
          <w:marRight w:val="0"/>
          <w:marTop w:val="0"/>
          <w:marBottom w:val="0"/>
          <w:divBdr>
            <w:top w:val="none" w:sz="0" w:space="0" w:color="auto"/>
            <w:left w:val="none" w:sz="0" w:space="0" w:color="auto"/>
            <w:bottom w:val="none" w:sz="0" w:space="0" w:color="auto"/>
            <w:right w:val="none" w:sz="0" w:space="0" w:color="auto"/>
          </w:divBdr>
        </w:div>
        <w:div w:id="1390346934">
          <w:marLeft w:val="640"/>
          <w:marRight w:val="0"/>
          <w:marTop w:val="0"/>
          <w:marBottom w:val="0"/>
          <w:divBdr>
            <w:top w:val="none" w:sz="0" w:space="0" w:color="auto"/>
            <w:left w:val="none" w:sz="0" w:space="0" w:color="auto"/>
            <w:bottom w:val="none" w:sz="0" w:space="0" w:color="auto"/>
            <w:right w:val="none" w:sz="0" w:space="0" w:color="auto"/>
          </w:divBdr>
        </w:div>
        <w:div w:id="2095976094">
          <w:marLeft w:val="640"/>
          <w:marRight w:val="0"/>
          <w:marTop w:val="0"/>
          <w:marBottom w:val="0"/>
          <w:divBdr>
            <w:top w:val="none" w:sz="0" w:space="0" w:color="auto"/>
            <w:left w:val="none" w:sz="0" w:space="0" w:color="auto"/>
            <w:bottom w:val="none" w:sz="0" w:space="0" w:color="auto"/>
            <w:right w:val="none" w:sz="0" w:space="0" w:color="auto"/>
          </w:divBdr>
        </w:div>
        <w:div w:id="1451626953">
          <w:marLeft w:val="640"/>
          <w:marRight w:val="0"/>
          <w:marTop w:val="0"/>
          <w:marBottom w:val="0"/>
          <w:divBdr>
            <w:top w:val="none" w:sz="0" w:space="0" w:color="auto"/>
            <w:left w:val="none" w:sz="0" w:space="0" w:color="auto"/>
            <w:bottom w:val="none" w:sz="0" w:space="0" w:color="auto"/>
            <w:right w:val="none" w:sz="0" w:space="0" w:color="auto"/>
          </w:divBdr>
        </w:div>
        <w:div w:id="1269268177">
          <w:marLeft w:val="640"/>
          <w:marRight w:val="0"/>
          <w:marTop w:val="0"/>
          <w:marBottom w:val="0"/>
          <w:divBdr>
            <w:top w:val="none" w:sz="0" w:space="0" w:color="auto"/>
            <w:left w:val="none" w:sz="0" w:space="0" w:color="auto"/>
            <w:bottom w:val="none" w:sz="0" w:space="0" w:color="auto"/>
            <w:right w:val="none" w:sz="0" w:space="0" w:color="auto"/>
          </w:divBdr>
        </w:div>
        <w:div w:id="868025454">
          <w:marLeft w:val="640"/>
          <w:marRight w:val="0"/>
          <w:marTop w:val="0"/>
          <w:marBottom w:val="0"/>
          <w:divBdr>
            <w:top w:val="none" w:sz="0" w:space="0" w:color="auto"/>
            <w:left w:val="none" w:sz="0" w:space="0" w:color="auto"/>
            <w:bottom w:val="none" w:sz="0" w:space="0" w:color="auto"/>
            <w:right w:val="none" w:sz="0" w:space="0" w:color="auto"/>
          </w:divBdr>
        </w:div>
        <w:div w:id="1744597310">
          <w:marLeft w:val="640"/>
          <w:marRight w:val="0"/>
          <w:marTop w:val="0"/>
          <w:marBottom w:val="0"/>
          <w:divBdr>
            <w:top w:val="none" w:sz="0" w:space="0" w:color="auto"/>
            <w:left w:val="none" w:sz="0" w:space="0" w:color="auto"/>
            <w:bottom w:val="none" w:sz="0" w:space="0" w:color="auto"/>
            <w:right w:val="none" w:sz="0" w:space="0" w:color="auto"/>
          </w:divBdr>
        </w:div>
        <w:div w:id="227956977">
          <w:marLeft w:val="640"/>
          <w:marRight w:val="0"/>
          <w:marTop w:val="0"/>
          <w:marBottom w:val="0"/>
          <w:divBdr>
            <w:top w:val="none" w:sz="0" w:space="0" w:color="auto"/>
            <w:left w:val="none" w:sz="0" w:space="0" w:color="auto"/>
            <w:bottom w:val="none" w:sz="0" w:space="0" w:color="auto"/>
            <w:right w:val="none" w:sz="0" w:space="0" w:color="auto"/>
          </w:divBdr>
        </w:div>
        <w:div w:id="1145506544">
          <w:marLeft w:val="640"/>
          <w:marRight w:val="0"/>
          <w:marTop w:val="0"/>
          <w:marBottom w:val="0"/>
          <w:divBdr>
            <w:top w:val="none" w:sz="0" w:space="0" w:color="auto"/>
            <w:left w:val="none" w:sz="0" w:space="0" w:color="auto"/>
            <w:bottom w:val="none" w:sz="0" w:space="0" w:color="auto"/>
            <w:right w:val="none" w:sz="0" w:space="0" w:color="auto"/>
          </w:divBdr>
        </w:div>
        <w:div w:id="757604925">
          <w:marLeft w:val="640"/>
          <w:marRight w:val="0"/>
          <w:marTop w:val="0"/>
          <w:marBottom w:val="0"/>
          <w:divBdr>
            <w:top w:val="none" w:sz="0" w:space="0" w:color="auto"/>
            <w:left w:val="none" w:sz="0" w:space="0" w:color="auto"/>
            <w:bottom w:val="none" w:sz="0" w:space="0" w:color="auto"/>
            <w:right w:val="none" w:sz="0" w:space="0" w:color="auto"/>
          </w:divBdr>
        </w:div>
        <w:div w:id="148400495">
          <w:marLeft w:val="640"/>
          <w:marRight w:val="0"/>
          <w:marTop w:val="0"/>
          <w:marBottom w:val="0"/>
          <w:divBdr>
            <w:top w:val="none" w:sz="0" w:space="0" w:color="auto"/>
            <w:left w:val="none" w:sz="0" w:space="0" w:color="auto"/>
            <w:bottom w:val="none" w:sz="0" w:space="0" w:color="auto"/>
            <w:right w:val="none" w:sz="0" w:space="0" w:color="auto"/>
          </w:divBdr>
        </w:div>
        <w:div w:id="19204043">
          <w:marLeft w:val="640"/>
          <w:marRight w:val="0"/>
          <w:marTop w:val="0"/>
          <w:marBottom w:val="0"/>
          <w:divBdr>
            <w:top w:val="none" w:sz="0" w:space="0" w:color="auto"/>
            <w:left w:val="none" w:sz="0" w:space="0" w:color="auto"/>
            <w:bottom w:val="none" w:sz="0" w:space="0" w:color="auto"/>
            <w:right w:val="none" w:sz="0" w:space="0" w:color="auto"/>
          </w:divBdr>
        </w:div>
        <w:div w:id="1885675369">
          <w:marLeft w:val="640"/>
          <w:marRight w:val="0"/>
          <w:marTop w:val="0"/>
          <w:marBottom w:val="0"/>
          <w:divBdr>
            <w:top w:val="none" w:sz="0" w:space="0" w:color="auto"/>
            <w:left w:val="none" w:sz="0" w:space="0" w:color="auto"/>
            <w:bottom w:val="none" w:sz="0" w:space="0" w:color="auto"/>
            <w:right w:val="none" w:sz="0" w:space="0" w:color="auto"/>
          </w:divBdr>
        </w:div>
        <w:div w:id="139663263">
          <w:marLeft w:val="640"/>
          <w:marRight w:val="0"/>
          <w:marTop w:val="0"/>
          <w:marBottom w:val="0"/>
          <w:divBdr>
            <w:top w:val="none" w:sz="0" w:space="0" w:color="auto"/>
            <w:left w:val="none" w:sz="0" w:space="0" w:color="auto"/>
            <w:bottom w:val="none" w:sz="0" w:space="0" w:color="auto"/>
            <w:right w:val="none" w:sz="0" w:space="0" w:color="auto"/>
          </w:divBdr>
        </w:div>
        <w:div w:id="1015033296">
          <w:marLeft w:val="640"/>
          <w:marRight w:val="0"/>
          <w:marTop w:val="0"/>
          <w:marBottom w:val="0"/>
          <w:divBdr>
            <w:top w:val="none" w:sz="0" w:space="0" w:color="auto"/>
            <w:left w:val="none" w:sz="0" w:space="0" w:color="auto"/>
            <w:bottom w:val="none" w:sz="0" w:space="0" w:color="auto"/>
            <w:right w:val="none" w:sz="0" w:space="0" w:color="auto"/>
          </w:divBdr>
        </w:div>
        <w:div w:id="345907848">
          <w:marLeft w:val="640"/>
          <w:marRight w:val="0"/>
          <w:marTop w:val="0"/>
          <w:marBottom w:val="0"/>
          <w:divBdr>
            <w:top w:val="none" w:sz="0" w:space="0" w:color="auto"/>
            <w:left w:val="none" w:sz="0" w:space="0" w:color="auto"/>
            <w:bottom w:val="none" w:sz="0" w:space="0" w:color="auto"/>
            <w:right w:val="none" w:sz="0" w:space="0" w:color="auto"/>
          </w:divBdr>
        </w:div>
        <w:div w:id="1480221947">
          <w:marLeft w:val="640"/>
          <w:marRight w:val="0"/>
          <w:marTop w:val="0"/>
          <w:marBottom w:val="0"/>
          <w:divBdr>
            <w:top w:val="none" w:sz="0" w:space="0" w:color="auto"/>
            <w:left w:val="none" w:sz="0" w:space="0" w:color="auto"/>
            <w:bottom w:val="none" w:sz="0" w:space="0" w:color="auto"/>
            <w:right w:val="none" w:sz="0" w:space="0" w:color="auto"/>
          </w:divBdr>
        </w:div>
        <w:div w:id="693455511">
          <w:marLeft w:val="640"/>
          <w:marRight w:val="0"/>
          <w:marTop w:val="0"/>
          <w:marBottom w:val="0"/>
          <w:divBdr>
            <w:top w:val="none" w:sz="0" w:space="0" w:color="auto"/>
            <w:left w:val="none" w:sz="0" w:space="0" w:color="auto"/>
            <w:bottom w:val="none" w:sz="0" w:space="0" w:color="auto"/>
            <w:right w:val="none" w:sz="0" w:space="0" w:color="auto"/>
          </w:divBdr>
        </w:div>
        <w:div w:id="700671221">
          <w:marLeft w:val="640"/>
          <w:marRight w:val="0"/>
          <w:marTop w:val="0"/>
          <w:marBottom w:val="0"/>
          <w:divBdr>
            <w:top w:val="none" w:sz="0" w:space="0" w:color="auto"/>
            <w:left w:val="none" w:sz="0" w:space="0" w:color="auto"/>
            <w:bottom w:val="none" w:sz="0" w:space="0" w:color="auto"/>
            <w:right w:val="none" w:sz="0" w:space="0" w:color="auto"/>
          </w:divBdr>
        </w:div>
        <w:div w:id="789322796">
          <w:marLeft w:val="640"/>
          <w:marRight w:val="0"/>
          <w:marTop w:val="0"/>
          <w:marBottom w:val="0"/>
          <w:divBdr>
            <w:top w:val="none" w:sz="0" w:space="0" w:color="auto"/>
            <w:left w:val="none" w:sz="0" w:space="0" w:color="auto"/>
            <w:bottom w:val="none" w:sz="0" w:space="0" w:color="auto"/>
            <w:right w:val="none" w:sz="0" w:space="0" w:color="auto"/>
          </w:divBdr>
        </w:div>
        <w:div w:id="1338727467">
          <w:marLeft w:val="640"/>
          <w:marRight w:val="0"/>
          <w:marTop w:val="0"/>
          <w:marBottom w:val="0"/>
          <w:divBdr>
            <w:top w:val="none" w:sz="0" w:space="0" w:color="auto"/>
            <w:left w:val="none" w:sz="0" w:space="0" w:color="auto"/>
            <w:bottom w:val="none" w:sz="0" w:space="0" w:color="auto"/>
            <w:right w:val="none" w:sz="0" w:space="0" w:color="auto"/>
          </w:divBdr>
        </w:div>
        <w:div w:id="134572488">
          <w:marLeft w:val="640"/>
          <w:marRight w:val="0"/>
          <w:marTop w:val="0"/>
          <w:marBottom w:val="0"/>
          <w:divBdr>
            <w:top w:val="none" w:sz="0" w:space="0" w:color="auto"/>
            <w:left w:val="none" w:sz="0" w:space="0" w:color="auto"/>
            <w:bottom w:val="none" w:sz="0" w:space="0" w:color="auto"/>
            <w:right w:val="none" w:sz="0" w:space="0" w:color="auto"/>
          </w:divBdr>
        </w:div>
        <w:div w:id="1386680412">
          <w:marLeft w:val="640"/>
          <w:marRight w:val="0"/>
          <w:marTop w:val="0"/>
          <w:marBottom w:val="0"/>
          <w:divBdr>
            <w:top w:val="none" w:sz="0" w:space="0" w:color="auto"/>
            <w:left w:val="none" w:sz="0" w:space="0" w:color="auto"/>
            <w:bottom w:val="none" w:sz="0" w:space="0" w:color="auto"/>
            <w:right w:val="none" w:sz="0" w:space="0" w:color="auto"/>
          </w:divBdr>
        </w:div>
        <w:div w:id="818226796">
          <w:marLeft w:val="640"/>
          <w:marRight w:val="0"/>
          <w:marTop w:val="0"/>
          <w:marBottom w:val="0"/>
          <w:divBdr>
            <w:top w:val="none" w:sz="0" w:space="0" w:color="auto"/>
            <w:left w:val="none" w:sz="0" w:space="0" w:color="auto"/>
            <w:bottom w:val="none" w:sz="0" w:space="0" w:color="auto"/>
            <w:right w:val="none" w:sz="0" w:space="0" w:color="auto"/>
          </w:divBdr>
        </w:div>
        <w:div w:id="166403161">
          <w:marLeft w:val="640"/>
          <w:marRight w:val="0"/>
          <w:marTop w:val="0"/>
          <w:marBottom w:val="0"/>
          <w:divBdr>
            <w:top w:val="none" w:sz="0" w:space="0" w:color="auto"/>
            <w:left w:val="none" w:sz="0" w:space="0" w:color="auto"/>
            <w:bottom w:val="none" w:sz="0" w:space="0" w:color="auto"/>
            <w:right w:val="none" w:sz="0" w:space="0" w:color="auto"/>
          </w:divBdr>
        </w:div>
        <w:div w:id="558595787">
          <w:marLeft w:val="640"/>
          <w:marRight w:val="0"/>
          <w:marTop w:val="0"/>
          <w:marBottom w:val="0"/>
          <w:divBdr>
            <w:top w:val="none" w:sz="0" w:space="0" w:color="auto"/>
            <w:left w:val="none" w:sz="0" w:space="0" w:color="auto"/>
            <w:bottom w:val="none" w:sz="0" w:space="0" w:color="auto"/>
            <w:right w:val="none" w:sz="0" w:space="0" w:color="auto"/>
          </w:divBdr>
        </w:div>
        <w:div w:id="1465149937">
          <w:marLeft w:val="640"/>
          <w:marRight w:val="0"/>
          <w:marTop w:val="0"/>
          <w:marBottom w:val="0"/>
          <w:divBdr>
            <w:top w:val="none" w:sz="0" w:space="0" w:color="auto"/>
            <w:left w:val="none" w:sz="0" w:space="0" w:color="auto"/>
            <w:bottom w:val="none" w:sz="0" w:space="0" w:color="auto"/>
            <w:right w:val="none" w:sz="0" w:space="0" w:color="auto"/>
          </w:divBdr>
        </w:div>
        <w:div w:id="1575554205">
          <w:marLeft w:val="640"/>
          <w:marRight w:val="0"/>
          <w:marTop w:val="0"/>
          <w:marBottom w:val="0"/>
          <w:divBdr>
            <w:top w:val="none" w:sz="0" w:space="0" w:color="auto"/>
            <w:left w:val="none" w:sz="0" w:space="0" w:color="auto"/>
            <w:bottom w:val="none" w:sz="0" w:space="0" w:color="auto"/>
            <w:right w:val="none" w:sz="0" w:space="0" w:color="auto"/>
          </w:divBdr>
        </w:div>
        <w:div w:id="1856924023">
          <w:marLeft w:val="640"/>
          <w:marRight w:val="0"/>
          <w:marTop w:val="0"/>
          <w:marBottom w:val="0"/>
          <w:divBdr>
            <w:top w:val="none" w:sz="0" w:space="0" w:color="auto"/>
            <w:left w:val="none" w:sz="0" w:space="0" w:color="auto"/>
            <w:bottom w:val="none" w:sz="0" w:space="0" w:color="auto"/>
            <w:right w:val="none" w:sz="0" w:space="0" w:color="auto"/>
          </w:divBdr>
        </w:div>
        <w:div w:id="807432312">
          <w:marLeft w:val="640"/>
          <w:marRight w:val="0"/>
          <w:marTop w:val="0"/>
          <w:marBottom w:val="0"/>
          <w:divBdr>
            <w:top w:val="none" w:sz="0" w:space="0" w:color="auto"/>
            <w:left w:val="none" w:sz="0" w:space="0" w:color="auto"/>
            <w:bottom w:val="none" w:sz="0" w:space="0" w:color="auto"/>
            <w:right w:val="none" w:sz="0" w:space="0" w:color="auto"/>
          </w:divBdr>
        </w:div>
        <w:div w:id="1128936635">
          <w:marLeft w:val="640"/>
          <w:marRight w:val="0"/>
          <w:marTop w:val="0"/>
          <w:marBottom w:val="0"/>
          <w:divBdr>
            <w:top w:val="none" w:sz="0" w:space="0" w:color="auto"/>
            <w:left w:val="none" w:sz="0" w:space="0" w:color="auto"/>
            <w:bottom w:val="none" w:sz="0" w:space="0" w:color="auto"/>
            <w:right w:val="none" w:sz="0" w:space="0" w:color="auto"/>
          </w:divBdr>
        </w:div>
        <w:div w:id="1923907186">
          <w:marLeft w:val="640"/>
          <w:marRight w:val="0"/>
          <w:marTop w:val="0"/>
          <w:marBottom w:val="0"/>
          <w:divBdr>
            <w:top w:val="none" w:sz="0" w:space="0" w:color="auto"/>
            <w:left w:val="none" w:sz="0" w:space="0" w:color="auto"/>
            <w:bottom w:val="none" w:sz="0" w:space="0" w:color="auto"/>
            <w:right w:val="none" w:sz="0" w:space="0" w:color="auto"/>
          </w:divBdr>
        </w:div>
        <w:div w:id="2092585170">
          <w:marLeft w:val="640"/>
          <w:marRight w:val="0"/>
          <w:marTop w:val="0"/>
          <w:marBottom w:val="0"/>
          <w:divBdr>
            <w:top w:val="none" w:sz="0" w:space="0" w:color="auto"/>
            <w:left w:val="none" w:sz="0" w:space="0" w:color="auto"/>
            <w:bottom w:val="none" w:sz="0" w:space="0" w:color="auto"/>
            <w:right w:val="none" w:sz="0" w:space="0" w:color="auto"/>
          </w:divBdr>
        </w:div>
        <w:div w:id="917444485">
          <w:marLeft w:val="640"/>
          <w:marRight w:val="0"/>
          <w:marTop w:val="0"/>
          <w:marBottom w:val="0"/>
          <w:divBdr>
            <w:top w:val="none" w:sz="0" w:space="0" w:color="auto"/>
            <w:left w:val="none" w:sz="0" w:space="0" w:color="auto"/>
            <w:bottom w:val="none" w:sz="0" w:space="0" w:color="auto"/>
            <w:right w:val="none" w:sz="0" w:space="0" w:color="auto"/>
          </w:divBdr>
        </w:div>
        <w:div w:id="1570655127">
          <w:marLeft w:val="640"/>
          <w:marRight w:val="0"/>
          <w:marTop w:val="0"/>
          <w:marBottom w:val="0"/>
          <w:divBdr>
            <w:top w:val="none" w:sz="0" w:space="0" w:color="auto"/>
            <w:left w:val="none" w:sz="0" w:space="0" w:color="auto"/>
            <w:bottom w:val="none" w:sz="0" w:space="0" w:color="auto"/>
            <w:right w:val="none" w:sz="0" w:space="0" w:color="auto"/>
          </w:divBdr>
        </w:div>
        <w:div w:id="86316717">
          <w:marLeft w:val="640"/>
          <w:marRight w:val="0"/>
          <w:marTop w:val="0"/>
          <w:marBottom w:val="0"/>
          <w:divBdr>
            <w:top w:val="none" w:sz="0" w:space="0" w:color="auto"/>
            <w:left w:val="none" w:sz="0" w:space="0" w:color="auto"/>
            <w:bottom w:val="none" w:sz="0" w:space="0" w:color="auto"/>
            <w:right w:val="none" w:sz="0" w:space="0" w:color="auto"/>
          </w:divBdr>
        </w:div>
        <w:div w:id="19281549">
          <w:marLeft w:val="640"/>
          <w:marRight w:val="0"/>
          <w:marTop w:val="0"/>
          <w:marBottom w:val="0"/>
          <w:divBdr>
            <w:top w:val="none" w:sz="0" w:space="0" w:color="auto"/>
            <w:left w:val="none" w:sz="0" w:space="0" w:color="auto"/>
            <w:bottom w:val="none" w:sz="0" w:space="0" w:color="auto"/>
            <w:right w:val="none" w:sz="0" w:space="0" w:color="auto"/>
          </w:divBdr>
        </w:div>
        <w:div w:id="1580166106">
          <w:marLeft w:val="640"/>
          <w:marRight w:val="0"/>
          <w:marTop w:val="0"/>
          <w:marBottom w:val="0"/>
          <w:divBdr>
            <w:top w:val="none" w:sz="0" w:space="0" w:color="auto"/>
            <w:left w:val="none" w:sz="0" w:space="0" w:color="auto"/>
            <w:bottom w:val="none" w:sz="0" w:space="0" w:color="auto"/>
            <w:right w:val="none" w:sz="0" w:space="0" w:color="auto"/>
          </w:divBdr>
        </w:div>
        <w:div w:id="952397089">
          <w:marLeft w:val="640"/>
          <w:marRight w:val="0"/>
          <w:marTop w:val="0"/>
          <w:marBottom w:val="0"/>
          <w:divBdr>
            <w:top w:val="none" w:sz="0" w:space="0" w:color="auto"/>
            <w:left w:val="none" w:sz="0" w:space="0" w:color="auto"/>
            <w:bottom w:val="none" w:sz="0" w:space="0" w:color="auto"/>
            <w:right w:val="none" w:sz="0" w:space="0" w:color="auto"/>
          </w:divBdr>
        </w:div>
        <w:div w:id="1108358288">
          <w:marLeft w:val="640"/>
          <w:marRight w:val="0"/>
          <w:marTop w:val="0"/>
          <w:marBottom w:val="0"/>
          <w:divBdr>
            <w:top w:val="none" w:sz="0" w:space="0" w:color="auto"/>
            <w:left w:val="none" w:sz="0" w:space="0" w:color="auto"/>
            <w:bottom w:val="none" w:sz="0" w:space="0" w:color="auto"/>
            <w:right w:val="none" w:sz="0" w:space="0" w:color="auto"/>
          </w:divBdr>
        </w:div>
        <w:div w:id="551427963">
          <w:marLeft w:val="640"/>
          <w:marRight w:val="0"/>
          <w:marTop w:val="0"/>
          <w:marBottom w:val="0"/>
          <w:divBdr>
            <w:top w:val="none" w:sz="0" w:space="0" w:color="auto"/>
            <w:left w:val="none" w:sz="0" w:space="0" w:color="auto"/>
            <w:bottom w:val="none" w:sz="0" w:space="0" w:color="auto"/>
            <w:right w:val="none" w:sz="0" w:space="0" w:color="auto"/>
          </w:divBdr>
        </w:div>
        <w:div w:id="992757420">
          <w:marLeft w:val="640"/>
          <w:marRight w:val="0"/>
          <w:marTop w:val="0"/>
          <w:marBottom w:val="0"/>
          <w:divBdr>
            <w:top w:val="none" w:sz="0" w:space="0" w:color="auto"/>
            <w:left w:val="none" w:sz="0" w:space="0" w:color="auto"/>
            <w:bottom w:val="none" w:sz="0" w:space="0" w:color="auto"/>
            <w:right w:val="none" w:sz="0" w:space="0" w:color="auto"/>
          </w:divBdr>
        </w:div>
        <w:div w:id="1279331741">
          <w:marLeft w:val="640"/>
          <w:marRight w:val="0"/>
          <w:marTop w:val="0"/>
          <w:marBottom w:val="0"/>
          <w:divBdr>
            <w:top w:val="none" w:sz="0" w:space="0" w:color="auto"/>
            <w:left w:val="none" w:sz="0" w:space="0" w:color="auto"/>
            <w:bottom w:val="none" w:sz="0" w:space="0" w:color="auto"/>
            <w:right w:val="none" w:sz="0" w:space="0" w:color="auto"/>
          </w:divBdr>
        </w:div>
        <w:div w:id="1496845952">
          <w:marLeft w:val="640"/>
          <w:marRight w:val="0"/>
          <w:marTop w:val="0"/>
          <w:marBottom w:val="0"/>
          <w:divBdr>
            <w:top w:val="none" w:sz="0" w:space="0" w:color="auto"/>
            <w:left w:val="none" w:sz="0" w:space="0" w:color="auto"/>
            <w:bottom w:val="none" w:sz="0" w:space="0" w:color="auto"/>
            <w:right w:val="none" w:sz="0" w:space="0" w:color="auto"/>
          </w:divBdr>
        </w:div>
        <w:div w:id="1216547280">
          <w:marLeft w:val="640"/>
          <w:marRight w:val="0"/>
          <w:marTop w:val="0"/>
          <w:marBottom w:val="0"/>
          <w:divBdr>
            <w:top w:val="none" w:sz="0" w:space="0" w:color="auto"/>
            <w:left w:val="none" w:sz="0" w:space="0" w:color="auto"/>
            <w:bottom w:val="none" w:sz="0" w:space="0" w:color="auto"/>
            <w:right w:val="none" w:sz="0" w:space="0" w:color="auto"/>
          </w:divBdr>
        </w:div>
        <w:div w:id="185751733">
          <w:marLeft w:val="640"/>
          <w:marRight w:val="0"/>
          <w:marTop w:val="0"/>
          <w:marBottom w:val="0"/>
          <w:divBdr>
            <w:top w:val="none" w:sz="0" w:space="0" w:color="auto"/>
            <w:left w:val="none" w:sz="0" w:space="0" w:color="auto"/>
            <w:bottom w:val="none" w:sz="0" w:space="0" w:color="auto"/>
            <w:right w:val="none" w:sz="0" w:space="0" w:color="auto"/>
          </w:divBdr>
        </w:div>
        <w:div w:id="759717327">
          <w:marLeft w:val="640"/>
          <w:marRight w:val="0"/>
          <w:marTop w:val="0"/>
          <w:marBottom w:val="0"/>
          <w:divBdr>
            <w:top w:val="none" w:sz="0" w:space="0" w:color="auto"/>
            <w:left w:val="none" w:sz="0" w:space="0" w:color="auto"/>
            <w:bottom w:val="none" w:sz="0" w:space="0" w:color="auto"/>
            <w:right w:val="none" w:sz="0" w:space="0" w:color="auto"/>
          </w:divBdr>
        </w:div>
        <w:div w:id="2006084972">
          <w:marLeft w:val="640"/>
          <w:marRight w:val="0"/>
          <w:marTop w:val="0"/>
          <w:marBottom w:val="0"/>
          <w:divBdr>
            <w:top w:val="none" w:sz="0" w:space="0" w:color="auto"/>
            <w:left w:val="none" w:sz="0" w:space="0" w:color="auto"/>
            <w:bottom w:val="none" w:sz="0" w:space="0" w:color="auto"/>
            <w:right w:val="none" w:sz="0" w:space="0" w:color="auto"/>
          </w:divBdr>
        </w:div>
        <w:div w:id="1694379035">
          <w:marLeft w:val="640"/>
          <w:marRight w:val="0"/>
          <w:marTop w:val="0"/>
          <w:marBottom w:val="0"/>
          <w:divBdr>
            <w:top w:val="none" w:sz="0" w:space="0" w:color="auto"/>
            <w:left w:val="none" w:sz="0" w:space="0" w:color="auto"/>
            <w:bottom w:val="none" w:sz="0" w:space="0" w:color="auto"/>
            <w:right w:val="none" w:sz="0" w:space="0" w:color="auto"/>
          </w:divBdr>
        </w:div>
        <w:div w:id="802619833">
          <w:marLeft w:val="640"/>
          <w:marRight w:val="0"/>
          <w:marTop w:val="0"/>
          <w:marBottom w:val="0"/>
          <w:divBdr>
            <w:top w:val="none" w:sz="0" w:space="0" w:color="auto"/>
            <w:left w:val="none" w:sz="0" w:space="0" w:color="auto"/>
            <w:bottom w:val="none" w:sz="0" w:space="0" w:color="auto"/>
            <w:right w:val="none" w:sz="0" w:space="0" w:color="auto"/>
          </w:divBdr>
        </w:div>
        <w:div w:id="192689993">
          <w:marLeft w:val="640"/>
          <w:marRight w:val="0"/>
          <w:marTop w:val="0"/>
          <w:marBottom w:val="0"/>
          <w:divBdr>
            <w:top w:val="none" w:sz="0" w:space="0" w:color="auto"/>
            <w:left w:val="none" w:sz="0" w:space="0" w:color="auto"/>
            <w:bottom w:val="none" w:sz="0" w:space="0" w:color="auto"/>
            <w:right w:val="none" w:sz="0" w:space="0" w:color="auto"/>
          </w:divBdr>
        </w:div>
        <w:div w:id="1932162506">
          <w:marLeft w:val="640"/>
          <w:marRight w:val="0"/>
          <w:marTop w:val="0"/>
          <w:marBottom w:val="0"/>
          <w:divBdr>
            <w:top w:val="none" w:sz="0" w:space="0" w:color="auto"/>
            <w:left w:val="none" w:sz="0" w:space="0" w:color="auto"/>
            <w:bottom w:val="none" w:sz="0" w:space="0" w:color="auto"/>
            <w:right w:val="none" w:sz="0" w:space="0" w:color="auto"/>
          </w:divBdr>
        </w:div>
        <w:div w:id="1626349314">
          <w:marLeft w:val="640"/>
          <w:marRight w:val="0"/>
          <w:marTop w:val="0"/>
          <w:marBottom w:val="0"/>
          <w:divBdr>
            <w:top w:val="none" w:sz="0" w:space="0" w:color="auto"/>
            <w:left w:val="none" w:sz="0" w:space="0" w:color="auto"/>
            <w:bottom w:val="none" w:sz="0" w:space="0" w:color="auto"/>
            <w:right w:val="none" w:sz="0" w:space="0" w:color="auto"/>
          </w:divBdr>
        </w:div>
        <w:div w:id="267465424">
          <w:marLeft w:val="640"/>
          <w:marRight w:val="0"/>
          <w:marTop w:val="0"/>
          <w:marBottom w:val="0"/>
          <w:divBdr>
            <w:top w:val="none" w:sz="0" w:space="0" w:color="auto"/>
            <w:left w:val="none" w:sz="0" w:space="0" w:color="auto"/>
            <w:bottom w:val="none" w:sz="0" w:space="0" w:color="auto"/>
            <w:right w:val="none" w:sz="0" w:space="0" w:color="auto"/>
          </w:divBdr>
        </w:div>
        <w:div w:id="1568373372">
          <w:marLeft w:val="640"/>
          <w:marRight w:val="0"/>
          <w:marTop w:val="0"/>
          <w:marBottom w:val="0"/>
          <w:divBdr>
            <w:top w:val="none" w:sz="0" w:space="0" w:color="auto"/>
            <w:left w:val="none" w:sz="0" w:space="0" w:color="auto"/>
            <w:bottom w:val="none" w:sz="0" w:space="0" w:color="auto"/>
            <w:right w:val="none" w:sz="0" w:space="0" w:color="auto"/>
          </w:divBdr>
        </w:div>
        <w:div w:id="115368174">
          <w:marLeft w:val="640"/>
          <w:marRight w:val="0"/>
          <w:marTop w:val="0"/>
          <w:marBottom w:val="0"/>
          <w:divBdr>
            <w:top w:val="none" w:sz="0" w:space="0" w:color="auto"/>
            <w:left w:val="none" w:sz="0" w:space="0" w:color="auto"/>
            <w:bottom w:val="none" w:sz="0" w:space="0" w:color="auto"/>
            <w:right w:val="none" w:sz="0" w:space="0" w:color="auto"/>
          </w:divBdr>
        </w:div>
        <w:div w:id="985548712">
          <w:marLeft w:val="640"/>
          <w:marRight w:val="0"/>
          <w:marTop w:val="0"/>
          <w:marBottom w:val="0"/>
          <w:divBdr>
            <w:top w:val="none" w:sz="0" w:space="0" w:color="auto"/>
            <w:left w:val="none" w:sz="0" w:space="0" w:color="auto"/>
            <w:bottom w:val="none" w:sz="0" w:space="0" w:color="auto"/>
            <w:right w:val="none" w:sz="0" w:space="0" w:color="auto"/>
          </w:divBdr>
        </w:div>
        <w:div w:id="283082627">
          <w:marLeft w:val="640"/>
          <w:marRight w:val="0"/>
          <w:marTop w:val="0"/>
          <w:marBottom w:val="0"/>
          <w:divBdr>
            <w:top w:val="none" w:sz="0" w:space="0" w:color="auto"/>
            <w:left w:val="none" w:sz="0" w:space="0" w:color="auto"/>
            <w:bottom w:val="none" w:sz="0" w:space="0" w:color="auto"/>
            <w:right w:val="none" w:sz="0" w:space="0" w:color="auto"/>
          </w:divBdr>
        </w:div>
        <w:div w:id="1627931912">
          <w:marLeft w:val="640"/>
          <w:marRight w:val="0"/>
          <w:marTop w:val="0"/>
          <w:marBottom w:val="0"/>
          <w:divBdr>
            <w:top w:val="none" w:sz="0" w:space="0" w:color="auto"/>
            <w:left w:val="none" w:sz="0" w:space="0" w:color="auto"/>
            <w:bottom w:val="none" w:sz="0" w:space="0" w:color="auto"/>
            <w:right w:val="none" w:sz="0" w:space="0" w:color="auto"/>
          </w:divBdr>
        </w:div>
        <w:div w:id="1381587550">
          <w:marLeft w:val="640"/>
          <w:marRight w:val="0"/>
          <w:marTop w:val="0"/>
          <w:marBottom w:val="0"/>
          <w:divBdr>
            <w:top w:val="none" w:sz="0" w:space="0" w:color="auto"/>
            <w:left w:val="none" w:sz="0" w:space="0" w:color="auto"/>
            <w:bottom w:val="none" w:sz="0" w:space="0" w:color="auto"/>
            <w:right w:val="none" w:sz="0" w:space="0" w:color="auto"/>
          </w:divBdr>
        </w:div>
        <w:div w:id="1893805824">
          <w:marLeft w:val="640"/>
          <w:marRight w:val="0"/>
          <w:marTop w:val="0"/>
          <w:marBottom w:val="0"/>
          <w:divBdr>
            <w:top w:val="none" w:sz="0" w:space="0" w:color="auto"/>
            <w:left w:val="none" w:sz="0" w:space="0" w:color="auto"/>
            <w:bottom w:val="none" w:sz="0" w:space="0" w:color="auto"/>
            <w:right w:val="none" w:sz="0" w:space="0" w:color="auto"/>
          </w:divBdr>
        </w:div>
        <w:div w:id="491456936">
          <w:marLeft w:val="640"/>
          <w:marRight w:val="0"/>
          <w:marTop w:val="0"/>
          <w:marBottom w:val="0"/>
          <w:divBdr>
            <w:top w:val="none" w:sz="0" w:space="0" w:color="auto"/>
            <w:left w:val="none" w:sz="0" w:space="0" w:color="auto"/>
            <w:bottom w:val="none" w:sz="0" w:space="0" w:color="auto"/>
            <w:right w:val="none" w:sz="0" w:space="0" w:color="auto"/>
          </w:divBdr>
        </w:div>
        <w:div w:id="1927377858">
          <w:marLeft w:val="640"/>
          <w:marRight w:val="0"/>
          <w:marTop w:val="0"/>
          <w:marBottom w:val="0"/>
          <w:divBdr>
            <w:top w:val="none" w:sz="0" w:space="0" w:color="auto"/>
            <w:left w:val="none" w:sz="0" w:space="0" w:color="auto"/>
            <w:bottom w:val="none" w:sz="0" w:space="0" w:color="auto"/>
            <w:right w:val="none" w:sz="0" w:space="0" w:color="auto"/>
          </w:divBdr>
        </w:div>
        <w:div w:id="365058438">
          <w:marLeft w:val="640"/>
          <w:marRight w:val="0"/>
          <w:marTop w:val="0"/>
          <w:marBottom w:val="0"/>
          <w:divBdr>
            <w:top w:val="none" w:sz="0" w:space="0" w:color="auto"/>
            <w:left w:val="none" w:sz="0" w:space="0" w:color="auto"/>
            <w:bottom w:val="none" w:sz="0" w:space="0" w:color="auto"/>
            <w:right w:val="none" w:sz="0" w:space="0" w:color="auto"/>
          </w:divBdr>
        </w:div>
        <w:div w:id="450174093">
          <w:marLeft w:val="640"/>
          <w:marRight w:val="0"/>
          <w:marTop w:val="0"/>
          <w:marBottom w:val="0"/>
          <w:divBdr>
            <w:top w:val="none" w:sz="0" w:space="0" w:color="auto"/>
            <w:left w:val="none" w:sz="0" w:space="0" w:color="auto"/>
            <w:bottom w:val="none" w:sz="0" w:space="0" w:color="auto"/>
            <w:right w:val="none" w:sz="0" w:space="0" w:color="auto"/>
          </w:divBdr>
        </w:div>
        <w:div w:id="1705132300">
          <w:marLeft w:val="640"/>
          <w:marRight w:val="0"/>
          <w:marTop w:val="0"/>
          <w:marBottom w:val="0"/>
          <w:divBdr>
            <w:top w:val="none" w:sz="0" w:space="0" w:color="auto"/>
            <w:left w:val="none" w:sz="0" w:space="0" w:color="auto"/>
            <w:bottom w:val="none" w:sz="0" w:space="0" w:color="auto"/>
            <w:right w:val="none" w:sz="0" w:space="0" w:color="auto"/>
          </w:divBdr>
        </w:div>
        <w:div w:id="2018460240">
          <w:marLeft w:val="640"/>
          <w:marRight w:val="0"/>
          <w:marTop w:val="0"/>
          <w:marBottom w:val="0"/>
          <w:divBdr>
            <w:top w:val="none" w:sz="0" w:space="0" w:color="auto"/>
            <w:left w:val="none" w:sz="0" w:space="0" w:color="auto"/>
            <w:bottom w:val="none" w:sz="0" w:space="0" w:color="auto"/>
            <w:right w:val="none" w:sz="0" w:space="0" w:color="auto"/>
          </w:divBdr>
        </w:div>
        <w:div w:id="514003024">
          <w:marLeft w:val="640"/>
          <w:marRight w:val="0"/>
          <w:marTop w:val="0"/>
          <w:marBottom w:val="0"/>
          <w:divBdr>
            <w:top w:val="none" w:sz="0" w:space="0" w:color="auto"/>
            <w:left w:val="none" w:sz="0" w:space="0" w:color="auto"/>
            <w:bottom w:val="none" w:sz="0" w:space="0" w:color="auto"/>
            <w:right w:val="none" w:sz="0" w:space="0" w:color="auto"/>
          </w:divBdr>
        </w:div>
        <w:div w:id="1289823730">
          <w:marLeft w:val="640"/>
          <w:marRight w:val="0"/>
          <w:marTop w:val="0"/>
          <w:marBottom w:val="0"/>
          <w:divBdr>
            <w:top w:val="none" w:sz="0" w:space="0" w:color="auto"/>
            <w:left w:val="none" w:sz="0" w:space="0" w:color="auto"/>
            <w:bottom w:val="none" w:sz="0" w:space="0" w:color="auto"/>
            <w:right w:val="none" w:sz="0" w:space="0" w:color="auto"/>
          </w:divBdr>
        </w:div>
        <w:div w:id="1515727796">
          <w:marLeft w:val="640"/>
          <w:marRight w:val="0"/>
          <w:marTop w:val="0"/>
          <w:marBottom w:val="0"/>
          <w:divBdr>
            <w:top w:val="none" w:sz="0" w:space="0" w:color="auto"/>
            <w:left w:val="none" w:sz="0" w:space="0" w:color="auto"/>
            <w:bottom w:val="none" w:sz="0" w:space="0" w:color="auto"/>
            <w:right w:val="none" w:sz="0" w:space="0" w:color="auto"/>
          </w:divBdr>
        </w:div>
        <w:div w:id="729840326">
          <w:marLeft w:val="640"/>
          <w:marRight w:val="0"/>
          <w:marTop w:val="0"/>
          <w:marBottom w:val="0"/>
          <w:divBdr>
            <w:top w:val="none" w:sz="0" w:space="0" w:color="auto"/>
            <w:left w:val="none" w:sz="0" w:space="0" w:color="auto"/>
            <w:bottom w:val="none" w:sz="0" w:space="0" w:color="auto"/>
            <w:right w:val="none" w:sz="0" w:space="0" w:color="auto"/>
          </w:divBdr>
        </w:div>
        <w:div w:id="896209556">
          <w:marLeft w:val="640"/>
          <w:marRight w:val="0"/>
          <w:marTop w:val="0"/>
          <w:marBottom w:val="0"/>
          <w:divBdr>
            <w:top w:val="none" w:sz="0" w:space="0" w:color="auto"/>
            <w:left w:val="none" w:sz="0" w:space="0" w:color="auto"/>
            <w:bottom w:val="none" w:sz="0" w:space="0" w:color="auto"/>
            <w:right w:val="none" w:sz="0" w:space="0" w:color="auto"/>
          </w:divBdr>
        </w:div>
        <w:div w:id="1430006915">
          <w:marLeft w:val="640"/>
          <w:marRight w:val="0"/>
          <w:marTop w:val="0"/>
          <w:marBottom w:val="0"/>
          <w:divBdr>
            <w:top w:val="none" w:sz="0" w:space="0" w:color="auto"/>
            <w:left w:val="none" w:sz="0" w:space="0" w:color="auto"/>
            <w:bottom w:val="none" w:sz="0" w:space="0" w:color="auto"/>
            <w:right w:val="none" w:sz="0" w:space="0" w:color="auto"/>
          </w:divBdr>
        </w:div>
        <w:div w:id="832719973">
          <w:marLeft w:val="640"/>
          <w:marRight w:val="0"/>
          <w:marTop w:val="0"/>
          <w:marBottom w:val="0"/>
          <w:divBdr>
            <w:top w:val="none" w:sz="0" w:space="0" w:color="auto"/>
            <w:left w:val="none" w:sz="0" w:space="0" w:color="auto"/>
            <w:bottom w:val="none" w:sz="0" w:space="0" w:color="auto"/>
            <w:right w:val="none" w:sz="0" w:space="0" w:color="auto"/>
          </w:divBdr>
        </w:div>
        <w:div w:id="1728606849">
          <w:marLeft w:val="640"/>
          <w:marRight w:val="0"/>
          <w:marTop w:val="0"/>
          <w:marBottom w:val="0"/>
          <w:divBdr>
            <w:top w:val="none" w:sz="0" w:space="0" w:color="auto"/>
            <w:left w:val="none" w:sz="0" w:space="0" w:color="auto"/>
            <w:bottom w:val="none" w:sz="0" w:space="0" w:color="auto"/>
            <w:right w:val="none" w:sz="0" w:space="0" w:color="auto"/>
          </w:divBdr>
        </w:div>
        <w:div w:id="1870533649">
          <w:marLeft w:val="640"/>
          <w:marRight w:val="0"/>
          <w:marTop w:val="0"/>
          <w:marBottom w:val="0"/>
          <w:divBdr>
            <w:top w:val="none" w:sz="0" w:space="0" w:color="auto"/>
            <w:left w:val="none" w:sz="0" w:space="0" w:color="auto"/>
            <w:bottom w:val="none" w:sz="0" w:space="0" w:color="auto"/>
            <w:right w:val="none" w:sz="0" w:space="0" w:color="auto"/>
          </w:divBdr>
        </w:div>
        <w:div w:id="1329208142">
          <w:marLeft w:val="640"/>
          <w:marRight w:val="0"/>
          <w:marTop w:val="0"/>
          <w:marBottom w:val="0"/>
          <w:divBdr>
            <w:top w:val="none" w:sz="0" w:space="0" w:color="auto"/>
            <w:left w:val="none" w:sz="0" w:space="0" w:color="auto"/>
            <w:bottom w:val="none" w:sz="0" w:space="0" w:color="auto"/>
            <w:right w:val="none" w:sz="0" w:space="0" w:color="auto"/>
          </w:divBdr>
        </w:div>
        <w:div w:id="300623919">
          <w:marLeft w:val="640"/>
          <w:marRight w:val="0"/>
          <w:marTop w:val="0"/>
          <w:marBottom w:val="0"/>
          <w:divBdr>
            <w:top w:val="none" w:sz="0" w:space="0" w:color="auto"/>
            <w:left w:val="none" w:sz="0" w:space="0" w:color="auto"/>
            <w:bottom w:val="none" w:sz="0" w:space="0" w:color="auto"/>
            <w:right w:val="none" w:sz="0" w:space="0" w:color="auto"/>
          </w:divBdr>
        </w:div>
        <w:div w:id="765345332">
          <w:marLeft w:val="640"/>
          <w:marRight w:val="0"/>
          <w:marTop w:val="0"/>
          <w:marBottom w:val="0"/>
          <w:divBdr>
            <w:top w:val="none" w:sz="0" w:space="0" w:color="auto"/>
            <w:left w:val="none" w:sz="0" w:space="0" w:color="auto"/>
            <w:bottom w:val="none" w:sz="0" w:space="0" w:color="auto"/>
            <w:right w:val="none" w:sz="0" w:space="0" w:color="auto"/>
          </w:divBdr>
        </w:div>
        <w:div w:id="1616912228">
          <w:marLeft w:val="640"/>
          <w:marRight w:val="0"/>
          <w:marTop w:val="0"/>
          <w:marBottom w:val="0"/>
          <w:divBdr>
            <w:top w:val="none" w:sz="0" w:space="0" w:color="auto"/>
            <w:left w:val="none" w:sz="0" w:space="0" w:color="auto"/>
            <w:bottom w:val="none" w:sz="0" w:space="0" w:color="auto"/>
            <w:right w:val="none" w:sz="0" w:space="0" w:color="auto"/>
          </w:divBdr>
        </w:div>
        <w:div w:id="1574000549">
          <w:marLeft w:val="640"/>
          <w:marRight w:val="0"/>
          <w:marTop w:val="0"/>
          <w:marBottom w:val="0"/>
          <w:divBdr>
            <w:top w:val="none" w:sz="0" w:space="0" w:color="auto"/>
            <w:left w:val="none" w:sz="0" w:space="0" w:color="auto"/>
            <w:bottom w:val="none" w:sz="0" w:space="0" w:color="auto"/>
            <w:right w:val="none" w:sz="0" w:space="0" w:color="auto"/>
          </w:divBdr>
        </w:div>
        <w:div w:id="1700155500">
          <w:marLeft w:val="640"/>
          <w:marRight w:val="0"/>
          <w:marTop w:val="0"/>
          <w:marBottom w:val="0"/>
          <w:divBdr>
            <w:top w:val="none" w:sz="0" w:space="0" w:color="auto"/>
            <w:left w:val="none" w:sz="0" w:space="0" w:color="auto"/>
            <w:bottom w:val="none" w:sz="0" w:space="0" w:color="auto"/>
            <w:right w:val="none" w:sz="0" w:space="0" w:color="auto"/>
          </w:divBdr>
        </w:div>
        <w:div w:id="1442340937">
          <w:marLeft w:val="640"/>
          <w:marRight w:val="0"/>
          <w:marTop w:val="0"/>
          <w:marBottom w:val="0"/>
          <w:divBdr>
            <w:top w:val="none" w:sz="0" w:space="0" w:color="auto"/>
            <w:left w:val="none" w:sz="0" w:space="0" w:color="auto"/>
            <w:bottom w:val="none" w:sz="0" w:space="0" w:color="auto"/>
            <w:right w:val="none" w:sz="0" w:space="0" w:color="auto"/>
          </w:divBdr>
        </w:div>
        <w:div w:id="1947494931">
          <w:marLeft w:val="640"/>
          <w:marRight w:val="0"/>
          <w:marTop w:val="0"/>
          <w:marBottom w:val="0"/>
          <w:divBdr>
            <w:top w:val="none" w:sz="0" w:space="0" w:color="auto"/>
            <w:left w:val="none" w:sz="0" w:space="0" w:color="auto"/>
            <w:bottom w:val="none" w:sz="0" w:space="0" w:color="auto"/>
            <w:right w:val="none" w:sz="0" w:space="0" w:color="auto"/>
          </w:divBdr>
        </w:div>
        <w:div w:id="2092383518">
          <w:marLeft w:val="640"/>
          <w:marRight w:val="0"/>
          <w:marTop w:val="0"/>
          <w:marBottom w:val="0"/>
          <w:divBdr>
            <w:top w:val="none" w:sz="0" w:space="0" w:color="auto"/>
            <w:left w:val="none" w:sz="0" w:space="0" w:color="auto"/>
            <w:bottom w:val="none" w:sz="0" w:space="0" w:color="auto"/>
            <w:right w:val="none" w:sz="0" w:space="0" w:color="auto"/>
          </w:divBdr>
        </w:div>
        <w:div w:id="829753031">
          <w:marLeft w:val="640"/>
          <w:marRight w:val="0"/>
          <w:marTop w:val="0"/>
          <w:marBottom w:val="0"/>
          <w:divBdr>
            <w:top w:val="none" w:sz="0" w:space="0" w:color="auto"/>
            <w:left w:val="none" w:sz="0" w:space="0" w:color="auto"/>
            <w:bottom w:val="none" w:sz="0" w:space="0" w:color="auto"/>
            <w:right w:val="none" w:sz="0" w:space="0" w:color="auto"/>
          </w:divBdr>
        </w:div>
        <w:div w:id="214243253">
          <w:marLeft w:val="640"/>
          <w:marRight w:val="0"/>
          <w:marTop w:val="0"/>
          <w:marBottom w:val="0"/>
          <w:divBdr>
            <w:top w:val="none" w:sz="0" w:space="0" w:color="auto"/>
            <w:left w:val="none" w:sz="0" w:space="0" w:color="auto"/>
            <w:bottom w:val="none" w:sz="0" w:space="0" w:color="auto"/>
            <w:right w:val="none" w:sz="0" w:space="0" w:color="auto"/>
          </w:divBdr>
        </w:div>
        <w:div w:id="258101454">
          <w:marLeft w:val="640"/>
          <w:marRight w:val="0"/>
          <w:marTop w:val="0"/>
          <w:marBottom w:val="0"/>
          <w:divBdr>
            <w:top w:val="none" w:sz="0" w:space="0" w:color="auto"/>
            <w:left w:val="none" w:sz="0" w:space="0" w:color="auto"/>
            <w:bottom w:val="none" w:sz="0" w:space="0" w:color="auto"/>
            <w:right w:val="none" w:sz="0" w:space="0" w:color="auto"/>
          </w:divBdr>
        </w:div>
        <w:div w:id="29112686">
          <w:marLeft w:val="640"/>
          <w:marRight w:val="0"/>
          <w:marTop w:val="0"/>
          <w:marBottom w:val="0"/>
          <w:divBdr>
            <w:top w:val="none" w:sz="0" w:space="0" w:color="auto"/>
            <w:left w:val="none" w:sz="0" w:space="0" w:color="auto"/>
            <w:bottom w:val="none" w:sz="0" w:space="0" w:color="auto"/>
            <w:right w:val="none" w:sz="0" w:space="0" w:color="auto"/>
          </w:divBdr>
        </w:div>
        <w:div w:id="1318072957">
          <w:marLeft w:val="640"/>
          <w:marRight w:val="0"/>
          <w:marTop w:val="0"/>
          <w:marBottom w:val="0"/>
          <w:divBdr>
            <w:top w:val="none" w:sz="0" w:space="0" w:color="auto"/>
            <w:left w:val="none" w:sz="0" w:space="0" w:color="auto"/>
            <w:bottom w:val="none" w:sz="0" w:space="0" w:color="auto"/>
            <w:right w:val="none" w:sz="0" w:space="0" w:color="auto"/>
          </w:divBdr>
        </w:div>
        <w:div w:id="1896165171">
          <w:marLeft w:val="640"/>
          <w:marRight w:val="0"/>
          <w:marTop w:val="0"/>
          <w:marBottom w:val="0"/>
          <w:divBdr>
            <w:top w:val="none" w:sz="0" w:space="0" w:color="auto"/>
            <w:left w:val="none" w:sz="0" w:space="0" w:color="auto"/>
            <w:bottom w:val="none" w:sz="0" w:space="0" w:color="auto"/>
            <w:right w:val="none" w:sz="0" w:space="0" w:color="auto"/>
          </w:divBdr>
        </w:div>
        <w:div w:id="1474250354">
          <w:marLeft w:val="640"/>
          <w:marRight w:val="0"/>
          <w:marTop w:val="0"/>
          <w:marBottom w:val="0"/>
          <w:divBdr>
            <w:top w:val="none" w:sz="0" w:space="0" w:color="auto"/>
            <w:left w:val="none" w:sz="0" w:space="0" w:color="auto"/>
            <w:bottom w:val="none" w:sz="0" w:space="0" w:color="auto"/>
            <w:right w:val="none" w:sz="0" w:space="0" w:color="auto"/>
          </w:divBdr>
        </w:div>
        <w:div w:id="322779176">
          <w:marLeft w:val="640"/>
          <w:marRight w:val="0"/>
          <w:marTop w:val="0"/>
          <w:marBottom w:val="0"/>
          <w:divBdr>
            <w:top w:val="none" w:sz="0" w:space="0" w:color="auto"/>
            <w:left w:val="none" w:sz="0" w:space="0" w:color="auto"/>
            <w:bottom w:val="none" w:sz="0" w:space="0" w:color="auto"/>
            <w:right w:val="none" w:sz="0" w:space="0" w:color="auto"/>
          </w:divBdr>
        </w:div>
        <w:div w:id="1626305225">
          <w:marLeft w:val="640"/>
          <w:marRight w:val="0"/>
          <w:marTop w:val="0"/>
          <w:marBottom w:val="0"/>
          <w:divBdr>
            <w:top w:val="none" w:sz="0" w:space="0" w:color="auto"/>
            <w:left w:val="none" w:sz="0" w:space="0" w:color="auto"/>
            <w:bottom w:val="none" w:sz="0" w:space="0" w:color="auto"/>
            <w:right w:val="none" w:sz="0" w:space="0" w:color="auto"/>
          </w:divBdr>
        </w:div>
        <w:div w:id="640111765">
          <w:marLeft w:val="640"/>
          <w:marRight w:val="0"/>
          <w:marTop w:val="0"/>
          <w:marBottom w:val="0"/>
          <w:divBdr>
            <w:top w:val="none" w:sz="0" w:space="0" w:color="auto"/>
            <w:left w:val="none" w:sz="0" w:space="0" w:color="auto"/>
            <w:bottom w:val="none" w:sz="0" w:space="0" w:color="auto"/>
            <w:right w:val="none" w:sz="0" w:space="0" w:color="auto"/>
          </w:divBdr>
        </w:div>
        <w:div w:id="130170718">
          <w:marLeft w:val="640"/>
          <w:marRight w:val="0"/>
          <w:marTop w:val="0"/>
          <w:marBottom w:val="0"/>
          <w:divBdr>
            <w:top w:val="none" w:sz="0" w:space="0" w:color="auto"/>
            <w:left w:val="none" w:sz="0" w:space="0" w:color="auto"/>
            <w:bottom w:val="none" w:sz="0" w:space="0" w:color="auto"/>
            <w:right w:val="none" w:sz="0" w:space="0" w:color="auto"/>
          </w:divBdr>
        </w:div>
        <w:div w:id="105128180">
          <w:marLeft w:val="640"/>
          <w:marRight w:val="0"/>
          <w:marTop w:val="0"/>
          <w:marBottom w:val="0"/>
          <w:divBdr>
            <w:top w:val="none" w:sz="0" w:space="0" w:color="auto"/>
            <w:left w:val="none" w:sz="0" w:space="0" w:color="auto"/>
            <w:bottom w:val="none" w:sz="0" w:space="0" w:color="auto"/>
            <w:right w:val="none" w:sz="0" w:space="0" w:color="auto"/>
          </w:divBdr>
        </w:div>
        <w:div w:id="1333946635">
          <w:marLeft w:val="640"/>
          <w:marRight w:val="0"/>
          <w:marTop w:val="0"/>
          <w:marBottom w:val="0"/>
          <w:divBdr>
            <w:top w:val="none" w:sz="0" w:space="0" w:color="auto"/>
            <w:left w:val="none" w:sz="0" w:space="0" w:color="auto"/>
            <w:bottom w:val="none" w:sz="0" w:space="0" w:color="auto"/>
            <w:right w:val="none" w:sz="0" w:space="0" w:color="auto"/>
          </w:divBdr>
        </w:div>
        <w:div w:id="1880127623">
          <w:marLeft w:val="640"/>
          <w:marRight w:val="0"/>
          <w:marTop w:val="0"/>
          <w:marBottom w:val="0"/>
          <w:divBdr>
            <w:top w:val="none" w:sz="0" w:space="0" w:color="auto"/>
            <w:left w:val="none" w:sz="0" w:space="0" w:color="auto"/>
            <w:bottom w:val="none" w:sz="0" w:space="0" w:color="auto"/>
            <w:right w:val="none" w:sz="0" w:space="0" w:color="auto"/>
          </w:divBdr>
        </w:div>
        <w:div w:id="1886678109">
          <w:marLeft w:val="640"/>
          <w:marRight w:val="0"/>
          <w:marTop w:val="0"/>
          <w:marBottom w:val="0"/>
          <w:divBdr>
            <w:top w:val="none" w:sz="0" w:space="0" w:color="auto"/>
            <w:left w:val="none" w:sz="0" w:space="0" w:color="auto"/>
            <w:bottom w:val="none" w:sz="0" w:space="0" w:color="auto"/>
            <w:right w:val="none" w:sz="0" w:space="0" w:color="auto"/>
          </w:divBdr>
        </w:div>
        <w:div w:id="1201165539">
          <w:marLeft w:val="640"/>
          <w:marRight w:val="0"/>
          <w:marTop w:val="0"/>
          <w:marBottom w:val="0"/>
          <w:divBdr>
            <w:top w:val="none" w:sz="0" w:space="0" w:color="auto"/>
            <w:left w:val="none" w:sz="0" w:space="0" w:color="auto"/>
            <w:bottom w:val="none" w:sz="0" w:space="0" w:color="auto"/>
            <w:right w:val="none" w:sz="0" w:space="0" w:color="auto"/>
          </w:divBdr>
        </w:div>
        <w:div w:id="427039895">
          <w:marLeft w:val="640"/>
          <w:marRight w:val="0"/>
          <w:marTop w:val="0"/>
          <w:marBottom w:val="0"/>
          <w:divBdr>
            <w:top w:val="none" w:sz="0" w:space="0" w:color="auto"/>
            <w:left w:val="none" w:sz="0" w:space="0" w:color="auto"/>
            <w:bottom w:val="none" w:sz="0" w:space="0" w:color="auto"/>
            <w:right w:val="none" w:sz="0" w:space="0" w:color="auto"/>
          </w:divBdr>
        </w:div>
        <w:div w:id="1861552413">
          <w:marLeft w:val="640"/>
          <w:marRight w:val="0"/>
          <w:marTop w:val="0"/>
          <w:marBottom w:val="0"/>
          <w:divBdr>
            <w:top w:val="none" w:sz="0" w:space="0" w:color="auto"/>
            <w:left w:val="none" w:sz="0" w:space="0" w:color="auto"/>
            <w:bottom w:val="none" w:sz="0" w:space="0" w:color="auto"/>
            <w:right w:val="none" w:sz="0" w:space="0" w:color="auto"/>
          </w:divBdr>
        </w:div>
        <w:div w:id="878054548">
          <w:marLeft w:val="640"/>
          <w:marRight w:val="0"/>
          <w:marTop w:val="0"/>
          <w:marBottom w:val="0"/>
          <w:divBdr>
            <w:top w:val="none" w:sz="0" w:space="0" w:color="auto"/>
            <w:left w:val="none" w:sz="0" w:space="0" w:color="auto"/>
            <w:bottom w:val="none" w:sz="0" w:space="0" w:color="auto"/>
            <w:right w:val="none" w:sz="0" w:space="0" w:color="auto"/>
          </w:divBdr>
        </w:div>
        <w:div w:id="516817111">
          <w:marLeft w:val="640"/>
          <w:marRight w:val="0"/>
          <w:marTop w:val="0"/>
          <w:marBottom w:val="0"/>
          <w:divBdr>
            <w:top w:val="none" w:sz="0" w:space="0" w:color="auto"/>
            <w:left w:val="none" w:sz="0" w:space="0" w:color="auto"/>
            <w:bottom w:val="none" w:sz="0" w:space="0" w:color="auto"/>
            <w:right w:val="none" w:sz="0" w:space="0" w:color="auto"/>
          </w:divBdr>
        </w:div>
        <w:div w:id="1032876981">
          <w:marLeft w:val="640"/>
          <w:marRight w:val="0"/>
          <w:marTop w:val="0"/>
          <w:marBottom w:val="0"/>
          <w:divBdr>
            <w:top w:val="none" w:sz="0" w:space="0" w:color="auto"/>
            <w:left w:val="none" w:sz="0" w:space="0" w:color="auto"/>
            <w:bottom w:val="none" w:sz="0" w:space="0" w:color="auto"/>
            <w:right w:val="none" w:sz="0" w:space="0" w:color="auto"/>
          </w:divBdr>
        </w:div>
        <w:div w:id="310058963">
          <w:marLeft w:val="640"/>
          <w:marRight w:val="0"/>
          <w:marTop w:val="0"/>
          <w:marBottom w:val="0"/>
          <w:divBdr>
            <w:top w:val="none" w:sz="0" w:space="0" w:color="auto"/>
            <w:left w:val="none" w:sz="0" w:space="0" w:color="auto"/>
            <w:bottom w:val="none" w:sz="0" w:space="0" w:color="auto"/>
            <w:right w:val="none" w:sz="0" w:space="0" w:color="auto"/>
          </w:divBdr>
        </w:div>
        <w:div w:id="54015883">
          <w:marLeft w:val="640"/>
          <w:marRight w:val="0"/>
          <w:marTop w:val="0"/>
          <w:marBottom w:val="0"/>
          <w:divBdr>
            <w:top w:val="none" w:sz="0" w:space="0" w:color="auto"/>
            <w:left w:val="none" w:sz="0" w:space="0" w:color="auto"/>
            <w:bottom w:val="none" w:sz="0" w:space="0" w:color="auto"/>
            <w:right w:val="none" w:sz="0" w:space="0" w:color="auto"/>
          </w:divBdr>
        </w:div>
        <w:div w:id="1971744014">
          <w:marLeft w:val="640"/>
          <w:marRight w:val="0"/>
          <w:marTop w:val="0"/>
          <w:marBottom w:val="0"/>
          <w:divBdr>
            <w:top w:val="none" w:sz="0" w:space="0" w:color="auto"/>
            <w:left w:val="none" w:sz="0" w:space="0" w:color="auto"/>
            <w:bottom w:val="none" w:sz="0" w:space="0" w:color="auto"/>
            <w:right w:val="none" w:sz="0" w:space="0" w:color="auto"/>
          </w:divBdr>
        </w:div>
        <w:div w:id="1819762049">
          <w:marLeft w:val="640"/>
          <w:marRight w:val="0"/>
          <w:marTop w:val="0"/>
          <w:marBottom w:val="0"/>
          <w:divBdr>
            <w:top w:val="none" w:sz="0" w:space="0" w:color="auto"/>
            <w:left w:val="none" w:sz="0" w:space="0" w:color="auto"/>
            <w:bottom w:val="none" w:sz="0" w:space="0" w:color="auto"/>
            <w:right w:val="none" w:sz="0" w:space="0" w:color="auto"/>
          </w:divBdr>
        </w:div>
        <w:div w:id="1222667396">
          <w:marLeft w:val="640"/>
          <w:marRight w:val="0"/>
          <w:marTop w:val="0"/>
          <w:marBottom w:val="0"/>
          <w:divBdr>
            <w:top w:val="none" w:sz="0" w:space="0" w:color="auto"/>
            <w:left w:val="none" w:sz="0" w:space="0" w:color="auto"/>
            <w:bottom w:val="none" w:sz="0" w:space="0" w:color="auto"/>
            <w:right w:val="none" w:sz="0" w:space="0" w:color="auto"/>
          </w:divBdr>
        </w:div>
        <w:div w:id="914120720">
          <w:marLeft w:val="640"/>
          <w:marRight w:val="0"/>
          <w:marTop w:val="0"/>
          <w:marBottom w:val="0"/>
          <w:divBdr>
            <w:top w:val="none" w:sz="0" w:space="0" w:color="auto"/>
            <w:left w:val="none" w:sz="0" w:space="0" w:color="auto"/>
            <w:bottom w:val="none" w:sz="0" w:space="0" w:color="auto"/>
            <w:right w:val="none" w:sz="0" w:space="0" w:color="auto"/>
          </w:divBdr>
        </w:div>
        <w:div w:id="1687516850">
          <w:marLeft w:val="640"/>
          <w:marRight w:val="0"/>
          <w:marTop w:val="0"/>
          <w:marBottom w:val="0"/>
          <w:divBdr>
            <w:top w:val="none" w:sz="0" w:space="0" w:color="auto"/>
            <w:left w:val="none" w:sz="0" w:space="0" w:color="auto"/>
            <w:bottom w:val="none" w:sz="0" w:space="0" w:color="auto"/>
            <w:right w:val="none" w:sz="0" w:space="0" w:color="auto"/>
          </w:divBdr>
        </w:div>
        <w:div w:id="969015459">
          <w:marLeft w:val="640"/>
          <w:marRight w:val="0"/>
          <w:marTop w:val="0"/>
          <w:marBottom w:val="0"/>
          <w:divBdr>
            <w:top w:val="none" w:sz="0" w:space="0" w:color="auto"/>
            <w:left w:val="none" w:sz="0" w:space="0" w:color="auto"/>
            <w:bottom w:val="none" w:sz="0" w:space="0" w:color="auto"/>
            <w:right w:val="none" w:sz="0" w:space="0" w:color="auto"/>
          </w:divBdr>
        </w:div>
        <w:div w:id="1836804491">
          <w:marLeft w:val="640"/>
          <w:marRight w:val="0"/>
          <w:marTop w:val="0"/>
          <w:marBottom w:val="0"/>
          <w:divBdr>
            <w:top w:val="none" w:sz="0" w:space="0" w:color="auto"/>
            <w:left w:val="none" w:sz="0" w:space="0" w:color="auto"/>
            <w:bottom w:val="none" w:sz="0" w:space="0" w:color="auto"/>
            <w:right w:val="none" w:sz="0" w:space="0" w:color="auto"/>
          </w:divBdr>
        </w:div>
        <w:div w:id="474687605">
          <w:marLeft w:val="640"/>
          <w:marRight w:val="0"/>
          <w:marTop w:val="0"/>
          <w:marBottom w:val="0"/>
          <w:divBdr>
            <w:top w:val="none" w:sz="0" w:space="0" w:color="auto"/>
            <w:left w:val="none" w:sz="0" w:space="0" w:color="auto"/>
            <w:bottom w:val="none" w:sz="0" w:space="0" w:color="auto"/>
            <w:right w:val="none" w:sz="0" w:space="0" w:color="auto"/>
          </w:divBdr>
        </w:div>
        <w:div w:id="304242108">
          <w:marLeft w:val="640"/>
          <w:marRight w:val="0"/>
          <w:marTop w:val="0"/>
          <w:marBottom w:val="0"/>
          <w:divBdr>
            <w:top w:val="none" w:sz="0" w:space="0" w:color="auto"/>
            <w:left w:val="none" w:sz="0" w:space="0" w:color="auto"/>
            <w:bottom w:val="none" w:sz="0" w:space="0" w:color="auto"/>
            <w:right w:val="none" w:sz="0" w:space="0" w:color="auto"/>
          </w:divBdr>
        </w:div>
        <w:div w:id="715545035">
          <w:marLeft w:val="640"/>
          <w:marRight w:val="0"/>
          <w:marTop w:val="0"/>
          <w:marBottom w:val="0"/>
          <w:divBdr>
            <w:top w:val="none" w:sz="0" w:space="0" w:color="auto"/>
            <w:left w:val="none" w:sz="0" w:space="0" w:color="auto"/>
            <w:bottom w:val="none" w:sz="0" w:space="0" w:color="auto"/>
            <w:right w:val="none" w:sz="0" w:space="0" w:color="auto"/>
          </w:divBdr>
        </w:div>
        <w:div w:id="1351489769">
          <w:marLeft w:val="640"/>
          <w:marRight w:val="0"/>
          <w:marTop w:val="0"/>
          <w:marBottom w:val="0"/>
          <w:divBdr>
            <w:top w:val="none" w:sz="0" w:space="0" w:color="auto"/>
            <w:left w:val="none" w:sz="0" w:space="0" w:color="auto"/>
            <w:bottom w:val="none" w:sz="0" w:space="0" w:color="auto"/>
            <w:right w:val="none" w:sz="0" w:space="0" w:color="auto"/>
          </w:divBdr>
        </w:div>
      </w:divsChild>
    </w:div>
    <w:div w:id="749043041">
      <w:bodyDiv w:val="1"/>
      <w:marLeft w:val="0"/>
      <w:marRight w:val="0"/>
      <w:marTop w:val="0"/>
      <w:marBottom w:val="0"/>
      <w:divBdr>
        <w:top w:val="none" w:sz="0" w:space="0" w:color="auto"/>
        <w:left w:val="none" w:sz="0" w:space="0" w:color="auto"/>
        <w:bottom w:val="none" w:sz="0" w:space="0" w:color="auto"/>
        <w:right w:val="none" w:sz="0" w:space="0" w:color="auto"/>
      </w:divBdr>
    </w:div>
    <w:div w:id="752778918">
      <w:bodyDiv w:val="1"/>
      <w:marLeft w:val="0"/>
      <w:marRight w:val="0"/>
      <w:marTop w:val="0"/>
      <w:marBottom w:val="0"/>
      <w:divBdr>
        <w:top w:val="none" w:sz="0" w:space="0" w:color="auto"/>
        <w:left w:val="none" w:sz="0" w:space="0" w:color="auto"/>
        <w:bottom w:val="none" w:sz="0" w:space="0" w:color="auto"/>
        <w:right w:val="none" w:sz="0" w:space="0" w:color="auto"/>
      </w:divBdr>
    </w:div>
    <w:div w:id="755244408">
      <w:bodyDiv w:val="1"/>
      <w:marLeft w:val="0"/>
      <w:marRight w:val="0"/>
      <w:marTop w:val="0"/>
      <w:marBottom w:val="0"/>
      <w:divBdr>
        <w:top w:val="none" w:sz="0" w:space="0" w:color="auto"/>
        <w:left w:val="none" w:sz="0" w:space="0" w:color="auto"/>
        <w:bottom w:val="none" w:sz="0" w:space="0" w:color="auto"/>
        <w:right w:val="none" w:sz="0" w:space="0" w:color="auto"/>
      </w:divBdr>
    </w:div>
    <w:div w:id="758872972">
      <w:bodyDiv w:val="1"/>
      <w:marLeft w:val="0"/>
      <w:marRight w:val="0"/>
      <w:marTop w:val="0"/>
      <w:marBottom w:val="0"/>
      <w:divBdr>
        <w:top w:val="none" w:sz="0" w:space="0" w:color="auto"/>
        <w:left w:val="none" w:sz="0" w:space="0" w:color="auto"/>
        <w:bottom w:val="none" w:sz="0" w:space="0" w:color="auto"/>
        <w:right w:val="none" w:sz="0" w:space="0" w:color="auto"/>
      </w:divBdr>
    </w:div>
    <w:div w:id="762650334">
      <w:bodyDiv w:val="1"/>
      <w:marLeft w:val="0"/>
      <w:marRight w:val="0"/>
      <w:marTop w:val="0"/>
      <w:marBottom w:val="0"/>
      <w:divBdr>
        <w:top w:val="none" w:sz="0" w:space="0" w:color="auto"/>
        <w:left w:val="none" w:sz="0" w:space="0" w:color="auto"/>
        <w:bottom w:val="none" w:sz="0" w:space="0" w:color="auto"/>
        <w:right w:val="none" w:sz="0" w:space="0" w:color="auto"/>
      </w:divBdr>
    </w:div>
    <w:div w:id="763457339">
      <w:bodyDiv w:val="1"/>
      <w:marLeft w:val="0"/>
      <w:marRight w:val="0"/>
      <w:marTop w:val="0"/>
      <w:marBottom w:val="0"/>
      <w:divBdr>
        <w:top w:val="none" w:sz="0" w:space="0" w:color="auto"/>
        <w:left w:val="none" w:sz="0" w:space="0" w:color="auto"/>
        <w:bottom w:val="none" w:sz="0" w:space="0" w:color="auto"/>
        <w:right w:val="none" w:sz="0" w:space="0" w:color="auto"/>
      </w:divBdr>
      <w:divsChild>
        <w:div w:id="1938634209">
          <w:marLeft w:val="640"/>
          <w:marRight w:val="0"/>
          <w:marTop w:val="0"/>
          <w:marBottom w:val="0"/>
          <w:divBdr>
            <w:top w:val="none" w:sz="0" w:space="0" w:color="auto"/>
            <w:left w:val="none" w:sz="0" w:space="0" w:color="auto"/>
            <w:bottom w:val="none" w:sz="0" w:space="0" w:color="auto"/>
            <w:right w:val="none" w:sz="0" w:space="0" w:color="auto"/>
          </w:divBdr>
        </w:div>
        <w:div w:id="45300423">
          <w:marLeft w:val="640"/>
          <w:marRight w:val="0"/>
          <w:marTop w:val="0"/>
          <w:marBottom w:val="0"/>
          <w:divBdr>
            <w:top w:val="none" w:sz="0" w:space="0" w:color="auto"/>
            <w:left w:val="none" w:sz="0" w:space="0" w:color="auto"/>
            <w:bottom w:val="none" w:sz="0" w:space="0" w:color="auto"/>
            <w:right w:val="none" w:sz="0" w:space="0" w:color="auto"/>
          </w:divBdr>
        </w:div>
        <w:div w:id="1815368256">
          <w:marLeft w:val="640"/>
          <w:marRight w:val="0"/>
          <w:marTop w:val="0"/>
          <w:marBottom w:val="0"/>
          <w:divBdr>
            <w:top w:val="none" w:sz="0" w:space="0" w:color="auto"/>
            <w:left w:val="none" w:sz="0" w:space="0" w:color="auto"/>
            <w:bottom w:val="none" w:sz="0" w:space="0" w:color="auto"/>
            <w:right w:val="none" w:sz="0" w:space="0" w:color="auto"/>
          </w:divBdr>
        </w:div>
        <w:div w:id="38554183">
          <w:marLeft w:val="640"/>
          <w:marRight w:val="0"/>
          <w:marTop w:val="0"/>
          <w:marBottom w:val="0"/>
          <w:divBdr>
            <w:top w:val="none" w:sz="0" w:space="0" w:color="auto"/>
            <w:left w:val="none" w:sz="0" w:space="0" w:color="auto"/>
            <w:bottom w:val="none" w:sz="0" w:space="0" w:color="auto"/>
            <w:right w:val="none" w:sz="0" w:space="0" w:color="auto"/>
          </w:divBdr>
        </w:div>
        <w:div w:id="819619660">
          <w:marLeft w:val="640"/>
          <w:marRight w:val="0"/>
          <w:marTop w:val="0"/>
          <w:marBottom w:val="0"/>
          <w:divBdr>
            <w:top w:val="none" w:sz="0" w:space="0" w:color="auto"/>
            <w:left w:val="none" w:sz="0" w:space="0" w:color="auto"/>
            <w:bottom w:val="none" w:sz="0" w:space="0" w:color="auto"/>
            <w:right w:val="none" w:sz="0" w:space="0" w:color="auto"/>
          </w:divBdr>
        </w:div>
        <w:div w:id="1848011924">
          <w:marLeft w:val="640"/>
          <w:marRight w:val="0"/>
          <w:marTop w:val="0"/>
          <w:marBottom w:val="0"/>
          <w:divBdr>
            <w:top w:val="none" w:sz="0" w:space="0" w:color="auto"/>
            <w:left w:val="none" w:sz="0" w:space="0" w:color="auto"/>
            <w:bottom w:val="none" w:sz="0" w:space="0" w:color="auto"/>
            <w:right w:val="none" w:sz="0" w:space="0" w:color="auto"/>
          </w:divBdr>
        </w:div>
        <w:div w:id="204413964">
          <w:marLeft w:val="640"/>
          <w:marRight w:val="0"/>
          <w:marTop w:val="0"/>
          <w:marBottom w:val="0"/>
          <w:divBdr>
            <w:top w:val="none" w:sz="0" w:space="0" w:color="auto"/>
            <w:left w:val="none" w:sz="0" w:space="0" w:color="auto"/>
            <w:bottom w:val="none" w:sz="0" w:space="0" w:color="auto"/>
            <w:right w:val="none" w:sz="0" w:space="0" w:color="auto"/>
          </w:divBdr>
        </w:div>
        <w:div w:id="2131822227">
          <w:marLeft w:val="640"/>
          <w:marRight w:val="0"/>
          <w:marTop w:val="0"/>
          <w:marBottom w:val="0"/>
          <w:divBdr>
            <w:top w:val="none" w:sz="0" w:space="0" w:color="auto"/>
            <w:left w:val="none" w:sz="0" w:space="0" w:color="auto"/>
            <w:bottom w:val="none" w:sz="0" w:space="0" w:color="auto"/>
            <w:right w:val="none" w:sz="0" w:space="0" w:color="auto"/>
          </w:divBdr>
        </w:div>
        <w:div w:id="871260030">
          <w:marLeft w:val="640"/>
          <w:marRight w:val="0"/>
          <w:marTop w:val="0"/>
          <w:marBottom w:val="0"/>
          <w:divBdr>
            <w:top w:val="none" w:sz="0" w:space="0" w:color="auto"/>
            <w:left w:val="none" w:sz="0" w:space="0" w:color="auto"/>
            <w:bottom w:val="none" w:sz="0" w:space="0" w:color="auto"/>
            <w:right w:val="none" w:sz="0" w:space="0" w:color="auto"/>
          </w:divBdr>
        </w:div>
        <w:div w:id="2129470744">
          <w:marLeft w:val="640"/>
          <w:marRight w:val="0"/>
          <w:marTop w:val="0"/>
          <w:marBottom w:val="0"/>
          <w:divBdr>
            <w:top w:val="none" w:sz="0" w:space="0" w:color="auto"/>
            <w:left w:val="none" w:sz="0" w:space="0" w:color="auto"/>
            <w:bottom w:val="none" w:sz="0" w:space="0" w:color="auto"/>
            <w:right w:val="none" w:sz="0" w:space="0" w:color="auto"/>
          </w:divBdr>
        </w:div>
        <w:div w:id="272516018">
          <w:marLeft w:val="640"/>
          <w:marRight w:val="0"/>
          <w:marTop w:val="0"/>
          <w:marBottom w:val="0"/>
          <w:divBdr>
            <w:top w:val="none" w:sz="0" w:space="0" w:color="auto"/>
            <w:left w:val="none" w:sz="0" w:space="0" w:color="auto"/>
            <w:bottom w:val="none" w:sz="0" w:space="0" w:color="auto"/>
            <w:right w:val="none" w:sz="0" w:space="0" w:color="auto"/>
          </w:divBdr>
        </w:div>
        <w:div w:id="246891341">
          <w:marLeft w:val="640"/>
          <w:marRight w:val="0"/>
          <w:marTop w:val="0"/>
          <w:marBottom w:val="0"/>
          <w:divBdr>
            <w:top w:val="none" w:sz="0" w:space="0" w:color="auto"/>
            <w:left w:val="none" w:sz="0" w:space="0" w:color="auto"/>
            <w:bottom w:val="none" w:sz="0" w:space="0" w:color="auto"/>
            <w:right w:val="none" w:sz="0" w:space="0" w:color="auto"/>
          </w:divBdr>
        </w:div>
        <w:div w:id="1978023517">
          <w:marLeft w:val="640"/>
          <w:marRight w:val="0"/>
          <w:marTop w:val="0"/>
          <w:marBottom w:val="0"/>
          <w:divBdr>
            <w:top w:val="none" w:sz="0" w:space="0" w:color="auto"/>
            <w:left w:val="none" w:sz="0" w:space="0" w:color="auto"/>
            <w:bottom w:val="none" w:sz="0" w:space="0" w:color="auto"/>
            <w:right w:val="none" w:sz="0" w:space="0" w:color="auto"/>
          </w:divBdr>
        </w:div>
        <w:div w:id="314528788">
          <w:marLeft w:val="640"/>
          <w:marRight w:val="0"/>
          <w:marTop w:val="0"/>
          <w:marBottom w:val="0"/>
          <w:divBdr>
            <w:top w:val="none" w:sz="0" w:space="0" w:color="auto"/>
            <w:left w:val="none" w:sz="0" w:space="0" w:color="auto"/>
            <w:bottom w:val="none" w:sz="0" w:space="0" w:color="auto"/>
            <w:right w:val="none" w:sz="0" w:space="0" w:color="auto"/>
          </w:divBdr>
        </w:div>
        <w:div w:id="764350146">
          <w:marLeft w:val="640"/>
          <w:marRight w:val="0"/>
          <w:marTop w:val="0"/>
          <w:marBottom w:val="0"/>
          <w:divBdr>
            <w:top w:val="none" w:sz="0" w:space="0" w:color="auto"/>
            <w:left w:val="none" w:sz="0" w:space="0" w:color="auto"/>
            <w:bottom w:val="none" w:sz="0" w:space="0" w:color="auto"/>
            <w:right w:val="none" w:sz="0" w:space="0" w:color="auto"/>
          </w:divBdr>
        </w:div>
        <w:div w:id="1142846611">
          <w:marLeft w:val="640"/>
          <w:marRight w:val="0"/>
          <w:marTop w:val="0"/>
          <w:marBottom w:val="0"/>
          <w:divBdr>
            <w:top w:val="none" w:sz="0" w:space="0" w:color="auto"/>
            <w:left w:val="none" w:sz="0" w:space="0" w:color="auto"/>
            <w:bottom w:val="none" w:sz="0" w:space="0" w:color="auto"/>
            <w:right w:val="none" w:sz="0" w:space="0" w:color="auto"/>
          </w:divBdr>
        </w:div>
        <w:div w:id="1342704296">
          <w:marLeft w:val="640"/>
          <w:marRight w:val="0"/>
          <w:marTop w:val="0"/>
          <w:marBottom w:val="0"/>
          <w:divBdr>
            <w:top w:val="none" w:sz="0" w:space="0" w:color="auto"/>
            <w:left w:val="none" w:sz="0" w:space="0" w:color="auto"/>
            <w:bottom w:val="none" w:sz="0" w:space="0" w:color="auto"/>
            <w:right w:val="none" w:sz="0" w:space="0" w:color="auto"/>
          </w:divBdr>
        </w:div>
        <w:div w:id="1272392560">
          <w:marLeft w:val="640"/>
          <w:marRight w:val="0"/>
          <w:marTop w:val="0"/>
          <w:marBottom w:val="0"/>
          <w:divBdr>
            <w:top w:val="none" w:sz="0" w:space="0" w:color="auto"/>
            <w:left w:val="none" w:sz="0" w:space="0" w:color="auto"/>
            <w:bottom w:val="none" w:sz="0" w:space="0" w:color="auto"/>
            <w:right w:val="none" w:sz="0" w:space="0" w:color="auto"/>
          </w:divBdr>
        </w:div>
        <w:div w:id="49891931">
          <w:marLeft w:val="640"/>
          <w:marRight w:val="0"/>
          <w:marTop w:val="0"/>
          <w:marBottom w:val="0"/>
          <w:divBdr>
            <w:top w:val="none" w:sz="0" w:space="0" w:color="auto"/>
            <w:left w:val="none" w:sz="0" w:space="0" w:color="auto"/>
            <w:bottom w:val="none" w:sz="0" w:space="0" w:color="auto"/>
            <w:right w:val="none" w:sz="0" w:space="0" w:color="auto"/>
          </w:divBdr>
        </w:div>
        <w:div w:id="551773802">
          <w:marLeft w:val="640"/>
          <w:marRight w:val="0"/>
          <w:marTop w:val="0"/>
          <w:marBottom w:val="0"/>
          <w:divBdr>
            <w:top w:val="none" w:sz="0" w:space="0" w:color="auto"/>
            <w:left w:val="none" w:sz="0" w:space="0" w:color="auto"/>
            <w:bottom w:val="none" w:sz="0" w:space="0" w:color="auto"/>
            <w:right w:val="none" w:sz="0" w:space="0" w:color="auto"/>
          </w:divBdr>
        </w:div>
        <w:div w:id="100343160">
          <w:marLeft w:val="640"/>
          <w:marRight w:val="0"/>
          <w:marTop w:val="0"/>
          <w:marBottom w:val="0"/>
          <w:divBdr>
            <w:top w:val="none" w:sz="0" w:space="0" w:color="auto"/>
            <w:left w:val="none" w:sz="0" w:space="0" w:color="auto"/>
            <w:bottom w:val="none" w:sz="0" w:space="0" w:color="auto"/>
            <w:right w:val="none" w:sz="0" w:space="0" w:color="auto"/>
          </w:divBdr>
        </w:div>
        <w:div w:id="321005966">
          <w:marLeft w:val="640"/>
          <w:marRight w:val="0"/>
          <w:marTop w:val="0"/>
          <w:marBottom w:val="0"/>
          <w:divBdr>
            <w:top w:val="none" w:sz="0" w:space="0" w:color="auto"/>
            <w:left w:val="none" w:sz="0" w:space="0" w:color="auto"/>
            <w:bottom w:val="none" w:sz="0" w:space="0" w:color="auto"/>
            <w:right w:val="none" w:sz="0" w:space="0" w:color="auto"/>
          </w:divBdr>
        </w:div>
        <w:div w:id="1391080250">
          <w:marLeft w:val="640"/>
          <w:marRight w:val="0"/>
          <w:marTop w:val="0"/>
          <w:marBottom w:val="0"/>
          <w:divBdr>
            <w:top w:val="none" w:sz="0" w:space="0" w:color="auto"/>
            <w:left w:val="none" w:sz="0" w:space="0" w:color="auto"/>
            <w:bottom w:val="none" w:sz="0" w:space="0" w:color="auto"/>
            <w:right w:val="none" w:sz="0" w:space="0" w:color="auto"/>
          </w:divBdr>
        </w:div>
        <w:div w:id="1177233686">
          <w:marLeft w:val="640"/>
          <w:marRight w:val="0"/>
          <w:marTop w:val="0"/>
          <w:marBottom w:val="0"/>
          <w:divBdr>
            <w:top w:val="none" w:sz="0" w:space="0" w:color="auto"/>
            <w:left w:val="none" w:sz="0" w:space="0" w:color="auto"/>
            <w:bottom w:val="none" w:sz="0" w:space="0" w:color="auto"/>
            <w:right w:val="none" w:sz="0" w:space="0" w:color="auto"/>
          </w:divBdr>
        </w:div>
        <w:div w:id="905870777">
          <w:marLeft w:val="640"/>
          <w:marRight w:val="0"/>
          <w:marTop w:val="0"/>
          <w:marBottom w:val="0"/>
          <w:divBdr>
            <w:top w:val="none" w:sz="0" w:space="0" w:color="auto"/>
            <w:left w:val="none" w:sz="0" w:space="0" w:color="auto"/>
            <w:bottom w:val="none" w:sz="0" w:space="0" w:color="auto"/>
            <w:right w:val="none" w:sz="0" w:space="0" w:color="auto"/>
          </w:divBdr>
        </w:div>
        <w:div w:id="1235973072">
          <w:marLeft w:val="640"/>
          <w:marRight w:val="0"/>
          <w:marTop w:val="0"/>
          <w:marBottom w:val="0"/>
          <w:divBdr>
            <w:top w:val="none" w:sz="0" w:space="0" w:color="auto"/>
            <w:left w:val="none" w:sz="0" w:space="0" w:color="auto"/>
            <w:bottom w:val="none" w:sz="0" w:space="0" w:color="auto"/>
            <w:right w:val="none" w:sz="0" w:space="0" w:color="auto"/>
          </w:divBdr>
        </w:div>
        <w:div w:id="744884516">
          <w:marLeft w:val="640"/>
          <w:marRight w:val="0"/>
          <w:marTop w:val="0"/>
          <w:marBottom w:val="0"/>
          <w:divBdr>
            <w:top w:val="none" w:sz="0" w:space="0" w:color="auto"/>
            <w:left w:val="none" w:sz="0" w:space="0" w:color="auto"/>
            <w:bottom w:val="none" w:sz="0" w:space="0" w:color="auto"/>
            <w:right w:val="none" w:sz="0" w:space="0" w:color="auto"/>
          </w:divBdr>
        </w:div>
        <w:div w:id="724185945">
          <w:marLeft w:val="640"/>
          <w:marRight w:val="0"/>
          <w:marTop w:val="0"/>
          <w:marBottom w:val="0"/>
          <w:divBdr>
            <w:top w:val="none" w:sz="0" w:space="0" w:color="auto"/>
            <w:left w:val="none" w:sz="0" w:space="0" w:color="auto"/>
            <w:bottom w:val="none" w:sz="0" w:space="0" w:color="auto"/>
            <w:right w:val="none" w:sz="0" w:space="0" w:color="auto"/>
          </w:divBdr>
        </w:div>
        <w:div w:id="1927878436">
          <w:marLeft w:val="640"/>
          <w:marRight w:val="0"/>
          <w:marTop w:val="0"/>
          <w:marBottom w:val="0"/>
          <w:divBdr>
            <w:top w:val="none" w:sz="0" w:space="0" w:color="auto"/>
            <w:left w:val="none" w:sz="0" w:space="0" w:color="auto"/>
            <w:bottom w:val="none" w:sz="0" w:space="0" w:color="auto"/>
            <w:right w:val="none" w:sz="0" w:space="0" w:color="auto"/>
          </w:divBdr>
        </w:div>
        <w:div w:id="1099374529">
          <w:marLeft w:val="640"/>
          <w:marRight w:val="0"/>
          <w:marTop w:val="0"/>
          <w:marBottom w:val="0"/>
          <w:divBdr>
            <w:top w:val="none" w:sz="0" w:space="0" w:color="auto"/>
            <w:left w:val="none" w:sz="0" w:space="0" w:color="auto"/>
            <w:bottom w:val="none" w:sz="0" w:space="0" w:color="auto"/>
            <w:right w:val="none" w:sz="0" w:space="0" w:color="auto"/>
          </w:divBdr>
        </w:div>
        <w:div w:id="1100643987">
          <w:marLeft w:val="640"/>
          <w:marRight w:val="0"/>
          <w:marTop w:val="0"/>
          <w:marBottom w:val="0"/>
          <w:divBdr>
            <w:top w:val="none" w:sz="0" w:space="0" w:color="auto"/>
            <w:left w:val="none" w:sz="0" w:space="0" w:color="auto"/>
            <w:bottom w:val="none" w:sz="0" w:space="0" w:color="auto"/>
            <w:right w:val="none" w:sz="0" w:space="0" w:color="auto"/>
          </w:divBdr>
        </w:div>
        <w:div w:id="2054226464">
          <w:marLeft w:val="640"/>
          <w:marRight w:val="0"/>
          <w:marTop w:val="0"/>
          <w:marBottom w:val="0"/>
          <w:divBdr>
            <w:top w:val="none" w:sz="0" w:space="0" w:color="auto"/>
            <w:left w:val="none" w:sz="0" w:space="0" w:color="auto"/>
            <w:bottom w:val="none" w:sz="0" w:space="0" w:color="auto"/>
            <w:right w:val="none" w:sz="0" w:space="0" w:color="auto"/>
          </w:divBdr>
        </w:div>
        <w:div w:id="29570878">
          <w:marLeft w:val="640"/>
          <w:marRight w:val="0"/>
          <w:marTop w:val="0"/>
          <w:marBottom w:val="0"/>
          <w:divBdr>
            <w:top w:val="none" w:sz="0" w:space="0" w:color="auto"/>
            <w:left w:val="none" w:sz="0" w:space="0" w:color="auto"/>
            <w:bottom w:val="none" w:sz="0" w:space="0" w:color="auto"/>
            <w:right w:val="none" w:sz="0" w:space="0" w:color="auto"/>
          </w:divBdr>
        </w:div>
        <w:div w:id="1847985646">
          <w:marLeft w:val="640"/>
          <w:marRight w:val="0"/>
          <w:marTop w:val="0"/>
          <w:marBottom w:val="0"/>
          <w:divBdr>
            <w:top w:val="none" w:sz="0" w:space="0" w:color="auto"/>
            <w:left w:val="none" w:sz="0" w:space="0" w:color="auto"/>
            <w:bottom w:val="none" w:sz="0" w:space="0" w:color="auto"/>
            <w:right w:val="none" w:sz="0" w:space="0" w:color="auto"/>
          </w:divBdr>
        </w:div>
        <w:div w:id="28067727">
          <w:marLeft w:val="640"/>
          <w:marRight w:val="0"/>
          <w:marTop w:val="0"/>
          <w:marBottom w:val="0"/>
          <w:divBdr>
            <w:top w:val="none" w:sz="0" w:space="0" w:color="auto"/>
            <w:left w:val="none" w:sz="0" w:space="0" w:color="auto"/>
            <w:bottom w:val="none" w:sz="0" w:space="0" w:color="auto"/>
            <w:right w:val="none" w:sz="0" w:space="0" w:color="auto"/>
          </w:divBdr>
        </w:div>
        <w:div w:id="1178811373">
          <w:marLeft w:val="640"/>
          <w:marRight w:val="0"/>
          <w:marTop w:val="0"/>
          <w:marBottom w:val="0"/>
          <w:divBdr>
            <w:top w:val="none" w:sz="0" w:space="0" w:color="auto"/>
            <w:left w:val="none" w:sz="0" w:space="0" w:color="auto"/>
            <w:bottom w:val="none" w:sz="0" w:space="0" w:color="auto"/>
            <w:right w:val="none" w:sz="0" w:space="0" w:color="auto"/>
          </w:divBdr>
        </w:div>
        <w:div w:id="368995630">
          <w:marLeft w:val="640"/>
          <w:marRight w:val="0"/>
          <w:marTop w:val="0"/>
          <w:marBottom w:val="0"/>
          <w:divBdr>
            <w:top w:val="none" w:sz="0" w:space="0" w:color="auto"/>
            <w:left w:val="none" w:sz="0" w:space="0" w:color="auto"/>
            <w:bottom w:val="none" w:sz="0" w:space="0" w:color="auto"/>
            <w:right w:val="none" w:sz="0" w:space="0" w:color="auto"/>
          </w:divBdr>
        </w:div>
        <w:div w:id="551235383">
          <w:marLeft w:val="640"/>
          <w:marRight w:val="0"/>
          <w:marTop w:val="0"/>
          <w:marBottom w:val="0"/>
          <w:divBdr>
            <w:top w:val="none" w:sz="0" w:space="0" w:color="auto"/>
            <w:left w:val="none" w:sz="0" w:space="0" w:color="auto"/>
            <w:bottom w:val="none" w:sz="0" w:space="0" w:color="auto"/>
            <w:right w:val="none" w:sz="0" w:space="0" w:color="auto"/>
          </w:divBdr>
        </w:div>
        <w:div w:id="1438678070">
          <w:marLeft w:val="640"/>
          <w:marRight w:val="0"/>
          <w:marTop w:val="0"/>
          <w:marBottom w:val="0"/>
          <w:divBdr>
            <w:top w:val="none" w:sz="0" w:space="0" w:color="auto"/>
            <w:left w:val="none" w:sz="0" w:space="0" w:color="auto"/>
            <w:bottom w:val="none" w:sz="0" w:space="0" w:color="auto"/>
            <w:right w:val="none" w:sz="0" w:space="0" w:color="auto"/>
          </w:divBdr>
        </w:div>
        <w:div w:id="1171868917">
          <w:marLeft w:val="640"/>
          <w:marRight w:val="0"/>
          <w:marTop w:val="0"/>
          <w:marBottom w:val="0"/>
          <w:divBdr>
            <w:top w:val="none" w:sz="0" w:space="0" w:color="auto"/>
            <w:left w:val="none" w:sz="0" w:space="0" w:color="auto"/>
            <w:bottom w:val="none" w:sz="0" w:space="0" w:color="auto"/>
            <w:right w:val="none" w:sz="0" w:space="0" w:color="auto"/>
          </w:divBdr>
        </w:div>
        <w:div w:id="1746875515">
          <w:marLeft w:val="640"/>
          <w:marRight w:val="0"/>
          <w:marTop w:val="0"/>
          <w:marBottom w:val="0"/>
          <w:divBdr>
            <w:top w:val="none" w:sz="0" w:space="0" w:color="auto"/>
            <w:left w:val="none" w:sz="0" w:space="0" w:color="auto"/>
            <w:bottom w:val="none" w:sz="0" w:space="0" w:color="auto"/>
            <w:right w:val="none" w:sz="0" w:space="0" w:color="auto"/>
          </w:divBdr>
        </w:div>
        <w:div w:id="1865170531">
          <w:marLeft w:val="640"/>
          <w:marRight w:val="0"/>
          <w:marTop w:val="0"/>
          <w:marBottom w:val="0"/>
          <w:divBdr>
            <w:top w:val="none" w:sz="0" w:space="0" w:color="auto"/>
            <w:left w:val="none" w:sz="0" w:space="0" w:color="auto"/>
            <w:bottom w:val="none" w:sz="0" w:space="0" w:color="auto"/>
            <w:right w:val="none" w:sz="0" w:space="0" w:color="auto"/>
          </w:divBdr>
        </w:div>
        <w:div w:id="33504881">
          <w:marLeft w:val="640"/>
          <w:marRight w:val="0"/>
          <w:marTop w:val="0"/>
          <w:marBottom w:val="0"/>
          <w:divBdr>
            <w:top w:val="none" w:sz="0" w:space="0" w:color="auto"/>
            <w:left w:val="none" w:sz="0" w:space="0" w:color="auto"/>
            <w:bottom w:val="none" w:sz="0" w:space="0" w:color="auto"/>
            <w:right w:val="none" w:sz="0" w:space="0" w:color="auto"/>
          </w:divBdr>
        </w:div>
        <w:div w:id="354581897">
          <w:marLeft w:val="640"/>
          <w:marRight w:val="0"/>
          <w:marTop w:val="0"/>
          <w:marBottom w:val="0"/>
          <w:divBdr>
            <w:top w:val="none" w:sz="0" w:space="0" w:color="auto"/>
            <w:left w:val="none" w:sz="0" w:space="0" w:color="auto"/>
            <w:bottom w:val="none" w:sz="0" w:space="0" w:color="auto"/>
            <w:right w:val="none" w:sz="0" w:space="0" w:color="auto"/>
          </w:divBdr>
        </w:div>
        <w:div w:id="533006691">
          <w:marLeft w:val="640"/>
          <w:marRight w:val="0"/>
          <w:marTop w:val="0"/>
          <w:marBottom w:val="0"/>
          <w:divBdr>
            <w:top w:val="none" w:sz="0" w:space="0" w:color="auto"/>
            <w:left w:val="none" w:sz="0" w:space="0" w:color="auto"/>
            <w:bottom w:val="none" w:sz="0" w:space="0" w:color="auto"/>
            <w:right w:val="none" w:sz="0" w:space="0" w:color="auto"/>
          </w:divBdr>
        </w:div>
        <w:div w:id="829711326">
          <w:marLeft w:val="640"/>
          <w:marRight w:val="0"/>
          <w:marTop w:val="0"/>
          <w:marBottom w:val="0"/>
          <w:divBdr>
            <w:top w:val="none" w:sz="0" w:space="0" w:color="auto"/>
            <w:left w:val="none" w:sz="0" w:space="0" w:color="auto"/>
            <w:bottom w:val="none" w:sz="0" w:space="0" w:color="auto"/>
            <w:right w:val="none" w:sz="0" w:space="0" w:color="auto"/>
          </w:divBdr>
        </w:div>
        <w:div w:id="1805418329">
          <w:marLeft w:val="640"/>
          <w:marRight w:val="0"/>
          <w:marTop w:val="0"/>
          <w:marBottom w:val="0"/>
          <w:divBdr>
            <w:top w:val="none" w:sz="0" w:space="0" w:color="auto"/>
            <w:left w:val="none" w:sz="0" w:space="0" w:color="auto"/>
            <w:bottom w:val="none" w:sz="0" w:space="0" w:color="auto"/>
            <w:right w:val="none" w:sz="0" w:space="0" w:color="auto"/>
          </w:divBdr>
        </w:div>
        <w:div w:id="719787159">
          <w:marLeft w:val="640"/>
          <w:marRight w:val="0"/>
          <w:marTop w:val="0"/>
          <w:marBottom w:val="0"/>
          <w:divBdr>
            <w:top w:val="none" w:sz="0" w:space="0" w:color="auto"/>
            <w:left w:val="none" w:sz="0" w:space="0" w:color="auto"/>
            <w:bottom w:val="none" w:sz="0" w:space="0" w:color="auto"/>
            <w:right w:val="none" w:sz="0" w:space="0" w:color="auto"/>
          </w:divBdr>
        </w:div>
        <w:div w:id="1886794656">
          <w:marLeft w:val="640"/>
          <w:marRight w:val="0"/>
          <w:marTop w:val="0"/>
          <w:marBottom w:val="0"/>
          <w:divBdr>
            <w:top w:val="none" w:sz="0" w:space="0" w:color="auto"/>
            <w:left w:val="none" w:sz="0" w:space="0" w:color="auto"/>
            <w:bottom w:val="none" w:sz="0" w:space="0" w:color="auto"/>
            <w:right w:val="none" w:sz="0" w:space="0" w:color="auto"/>
          </w:divBdr>
        </w:div>
        <w:div w:id="618802553">
          <w:marLeft w:val="640"/>
          <w:marRight w:val="0"/>
          <w:marTop w:val="0"/>
          <w:marBottom w:val="0"/>
          <w:divBdr>
            <w:top w:val="none" w:sz="0" w:space="0" w:color="auto"/>
            <w:left w:val="none" w:sz="0" w:space="0" w:color="auto"/>
            <w:bottom w:val="none" w:sz="0" w:space="0" w:color="auto"/>
            <w:right w:val="none" w:sz="0" w:space="0" w:color="auto"/>
          </w:divBdr>
        </w:div>
        <w:div w:id="475530036">
          <w:marLeft w:val="640"/>
          <w:marRight w:val="0"/>
          <w:marTop w:val="0"/>
          <w:marBottom w:val="0"/>
          <w:divBdr>
            <w:top w:val="none" w:sz="0" w:space="0" w:color="auto"/>
            <w:left w:val="none" w:sz="0" w:space="0" w:color="auto"/>
            <w:bottom w:val="none" w:sz="0" w:space="0" w:color="auto"/>
            <w:right w:val="none" w:sz="0" w:space="0" w:color="auto"/>
          </w:divBdr>
        </w:div>
        <w:div w:id="1774520226">
          <w:marLeft w:val="640"/>
          <w:marRight w:val="0"/>
          <w:marTop w:val="0"/>
          <w:marBottom w:val="0"/>
          <w:divBdr>
            <w:top w:val="none" w:sz="0" w:space="0" w:color="auto"/>
            <w:left w:val="none" w:sz="0" w:space="0" w:color="auto"/>
            <w:bottom w:val="none" w:sz="0" w:space="0" w:color="auto"/>
            <w:right w:val="none" w:sz="0" w:space="0" w:color="auto"/>
          </w:divBdr>
        </w:div>
        <w:div w:id="1555315054">
          <w:marLeft w:val="640"/>
          <w:marRight w:val="0"/>
          <w:marTop w:val="0"/>
          <w:marBottom w:val="0"/>
          <w:divBdr>
            <w:top w:val="none" w:sz="0" w:space="0" w:color="auto"/>
            <w:left w:val="none" w:sz="0" w:space="0" w:color="auto"/>
            <w:bottom w:val="none" w:sz="0" w:space="0" w:color="auto"/>
            <w:right w:val="none" w:sz="0" w:space="0" w:color="auto"/>
          </w:divBdr>
        </w:div>
        <w:div w:id="1195734995">
          <w:marLeft w:val="640"/>
          <w:marRight w:val="0"/>
          <w:marTop w:val="0"/>
          <w:marBottom w:val="0"/>
          <w:divBdr>
            <w:top w:val="none" w:sz="0" w:space="0" w:color="auto"/>
            <w:left w:val="none" w:sz="0" w:space="0" w:color="auto"/>
            <w:bottom w:val="none" w:sz="0" w:space="0" w:color="auto"/>
            <w:right w:val="none" w:sz="0" w:space="0" w:color="auto"/>
          </w:divBdr>
        </w:div>
        <w:div w:id="2089764336">
          <w:marLeft w:val="640"/>
          <w:marRight w:val="0"/>
          <w:marTop w:val="0"/>
          <w:marBottom w:val="0"/>
          <w:divBdr>
            <w:top w:val="none" w:sz="0" w:space="0" w:color="auto"/>
            <w:left w:val="none" w:sz="0" w:space="0" w:color="auto"/>
            <w:bottom w:val="none" w:sz="0" w:space="0" w:color="auto"/>
            <w:right w:val="none" w:sz="0" w:space="0" w:color="auto"/>
          </w:divBdr>
        </w:div>
        <w:div w:id="629898480">
          <w:marLeft w:val="640"/>
          <w:marRight w:val="0"/>
          <w:marTop w:val="0"/>
          <w:marBottom w:val="0"/>
          <w:divBdr>
            <w:top w:val="none" w:sz="0" w:space="0" w:color="auto"/>
            <w:left w:val="none" w:sz="0" w:space="0" w:color="auto"/>
            <w:bottom w:val="none" w:sz="0" w:space="0" w:color="auto"/>
            <w:right w:val="none" w:sz="0" w:space="0" w:color="auto"/>
          </w:divBdr>
        </w:div>
        <w:div w:id="506213415">
          <w:marLeft w:val="640"/>
          <w:marRight w:val="0"/>
          <w:marTop w:val="0"/>
          <w:marBottom w:val="0"/>
          <w:divBdr>
            <w:top w:val="none" w:sz="0" w:space="0" w:color="auto"/>
            <w:left w:val="none" w:sz="0" w:space="0" w:color="auto"/>
            <w:bottom w:val="none" w:sz="0" w:space="0" w:color="auto"/>
            <w:right w:val="none" w:sz="0" w:space="0" w:color="auto"/>
          </w:divBdr>
        </w:div>
        <w:div w:id="1131899264">
          <w:marLeft w:val="640"/>
          <w:marRight w:val="0"/>
          <w:marTop w:val="0"/>
          <w:marBottom w:val="0"/>
          <w:divBdr>
            <w:top w:val="none" w:sz="0" w:space="0" w:color="auto"/>
            <w:left w:val="none" w:sz="0" w:space="0" w:color="auto"/>
            <w:bottom w:val="none" w:sz="0" w:space="0" w:color="auto"/>
            <w:right w:val="none" w:sz="0" w:space="0" w:color="auto"/>
          </w:divBdr>
        </w:div>
        <w:div w:id="2052028442">
          <w:marLeft w:val="640"/>
          <w:marRight w:val="0"/>
          <w:marTop w:val="0"/>
          <w:marBottom w:val="0"/>
          <w:divBdr>
            <w:top w:val="none" w:sz="0" w:space="0" w:color="auto"/>
            <w:left w:val="none" w:sz="0" w:space="0" w:color="auto"/>
            <w:bottom w:val="none" w:sz="0" w:space="0" w:color="auto"/>
            <w:right w:val="none" w:sz="0" w:space="0" w:color="auto"/>
          </w:divBdr>
        </w:div>
        <w:div w:id="820653643">
          <w:marLeft w:val="640"/>
          <w:marRight w:val="0"/>
          <w:marTop w:val="0"/>
          <w:marBottom w:val="0"/>
          <w:divBdr>
            <w:top w:val="none" w:sz="0" w:space="0" w:color="auto"/>
            <w:left w:val="none" w:sz="0" w:space="0" w:color="auto"/>
            <w:bottom w:val="none" w:sz="0" w:space="0" w:color="auto"/>
            <w:right w:val="none" w:sz="0" w:space="0" w:color="auto"/>
          </w:divBdr>
        </w:div>
        <w:div w:id="140777871">
          <w:marLeft w:val="640"/>
          <w:marRight w:val="0"/>
          <w:marTop w:val="0"/>
          <w:marBottom w:val="0"/>
          <w:divBdr>
            <w:top w:val="none" w:sz="0" w:space="0" w:color="auto"/>
            <w:left w:val="none" w:sz="0" w:space="0" w:color="auto"/>
            <w:bottom w:val="none" w:sz="0" w:space="0" w:color="auto"/>
            <w:right w:val="none" w:sz="0" w:space="0" w:color="auto"/>
          </w:divBdr>
        </w:div>
        <w:div w:id="191187296">
          <w:marLeft w:val="640"/>
          <w:marRight w:val="0"/>
          <w:marTop w:val="0"/>
          <w:marBottom w:val="0"/>
          <w:divBdr>
            <w:top w:val="none" w:sz="0" w:space="0" w:color="auto"/>
            <w:left w:val="none" w:sz="0" w:space="0" w:color="auto"/>
            <w:bottom w:val="none" w:sz="0" w:space="0" w:color="auto"/>
            <w:right w:val="none" w:sz="0" w:space="0" w:color="auto"/>
          </w:divBdr>
        </w:div>
        <w:div w:id="103891288">
          <w:marLeft w:val="640"/>
          <w:marRight w:val="0"/>
          <w:marTop w:val="0"/>
          <w:marBottom w:val="0"/>
          <w:divBdr>
            <w:top w:val="none" w:sz="0" w:space="0" w:color="auto"/>
            <w:left w:val="none" w:sz="0" w:space="0" w:color="auto"/>
            <w:bottom w:val="none" w:sz="0" w:space="0" w:color="auto"/>
            <w:right w:val="none" w:sz="0" w:space="0" w:color="auto"/>
          </w:divBdr>
        </w:div>
        <w:div w:id="1805542826">
          <w:marLeft w:val="640"/>
          <w:marRight w:val="0"/>
          <w:marTop w:val="0"/>
          <w:marBottom w:val="0"/>
          <w:divBdr>
            <w:top w:val="none" w:sz="0" w:space="0" w:color="auto"/>
            <w:left w:val="none" w:sz="0" w:space="0" w:color="auto"/>
            <w:bottom w:val="none" w:sz="0" w:space="0" w:color="auto"/>
            <w:right w:val="none" w:sz="0" w:space="0" w:color="auto"/>
          </w:divBdr>
        </w:div>
        <w:div w:id="1040590178">
          <w:marLeft w:val="640"/>
          <w:marRight w:val="0"/>
          <w:marTop w:val="0"/>
          <w:marBottom w:val="0"/>
          <w:divBdr>
            <w:top w:val="none" w:sz="0" w:space="0" w:color="auto"/>
            <w:left w:val="none" w:sz="0" w:space="0" w:color="auto"/>
            <w:bottom w:val="none" w:sz="0" w:space="0" w:color="auto"/>
            <w:right w:val="none" w:sz="0" w:space="0" w:color="auto"/>
          </w:divBdr>
        </w:div>
        <w:div w:id="624310367">
          <w:marLeft w:val="640"/>
          <w:marRight w:val="0"/>
          <w:marTop w:val="0"/>
          <w:marBottom w:val="0"/>
          <w:divBdr>
            <w:top w:val="none" w:sz="0" w:space="0" w:color="auto"/>
            <w:left w:val="none" w:sz="0" w:space="0" w:color="auto"/>
            <w:bottom w:val="none" w:sz="0" w:space="0" w:color="auto"/>
            <w:right w:val="none" w:sz="0" w:space="0" w:color="auto"/>
          </w:divBdr>
        </w:div>
        <w:div w:id="491986706">
          <w:marLeft w:val="640"/>
          <w:marRight w:val="0"/>
          <w:marTop w:val="0"/>
          <w:marBottom w:val="0"/>
          <w:divBdr>
            <w:top w:val="none" w:sz="0" w:space="0" w:color="auto"/>
            <w:left w:val="none" w:sz="0" w:space="0" w:color="auto"/>
            <w:bottom w:val="none" w:sz="0" w:space="0" w:color="auto"/>
            <w:right w:val="none" w:sz="0" w:space="0" w:color="auto"/>
          </w:divBdr>
        </w:div>
        <w:div w:id="2133664964">
          <w:marLeft w:val="640"/>
          <w:marRight w:val="0"/>
          <w:marTop w:val="0"/>
          <w:marBottom w:val="0"/>
          <w:divBdr>
            <w:top w:val="none" w:sz="0" w:space="0" w:color="auto"/>
            <w:left w:val="none" w:sz="0" w:space="0" w:color="auto"/>
            <w:bottom w:val="none" w:sz="0" w:space="0" w:color="auto"/>
            <w:right w:val="none" w:sz="0" w:space="0" w:color="auto"/>
          </w:divBdr>
        </w:div>
        <w:div w:id="100033368">
          <w:marLeft w:val="640"/>
          <w:marRight w:val="0"/>
          <w:marTop w:val="0"/>
          <w:marBottom w:val="0"/>
          <w:divBdr>
            <w:top w:val="none" w:sz="0" w:space="0" w:color="auto"/>
            <w:left w:val="none" w:sz="0" w:space="0" w:color="auto"/>
            <w:bottom w:val="none" w:sz="0" w:space="0" w:color="auto"/>
            <w:right w:val="none" w:sz="0" w:space="0" w:color="auto"/>
          </w:divBdr>
        </w:div>
        <w:div w:id="1580215692">
          <w:marLeft w:val="640"/>
          <w:marRight w:val="0"/>
          <w:marTop w:val="0"/>
          <w:marBottom w:val="0"/>
          <w:divBdr>
            <w:top w:val="none" w:sz="0" w:space="0" w:color="auto"/>
            <w:left w:val="none" w:sz="0" w:space="0" w:color="auto"/>
            <w:bottom w:val="none" w:sz="0" w:space="0" w:color="auto"/>
            <w:right w:val="none" w:sz="0" w:space="0" w:color="auto"/>
          </w:divBdr>
        </w:div>
        <w:div w:id="1573393347">
          <w:marLeft w:val="640"/>
          <w:marRight w:val="0"/>
          <w:marTop w:val="0"/>
          <w:marBottom w:val="0"/>
          <w:divBdr>
            <w:top w:val="none" w:sz="0" w:space="0" w:color="auto"/>
            <w:left w:val="none" w:sz="0" w:space="0" w:color="auto"/>
            <w:bottom w:val="none" w:sz="0" w:space="0" w:color="auto"/>
            <w:right w:val="none" w:sz="0" w:space="0" w:color="auto"/>
          </w:divBdr>
        </w:div>
        <w:div w:id="1068654145">
          <w:marLeft w:val="640"/>
          <w:marRight w:val="0"/>
          <w:marTop w:val="0"/>
          <w:marBottom w:val="0"/>
          <w:divBdr>
            <w:top w:val="none" w:sz="0" w:space="0" w:color="auto"/>
            <w:left w:val="none" w:sz="0" w:space="0" w:color="auto"/>
            <w:bottom w:val="none" w:sz="0" w:space="0" w:color="auto"/>
            <w:right w:val="none" w:sz="0" w:space="0" w:color="auto"/>
          </w:divBdr>
        </w:div>
        <w:div w:id="344287507">
          <w:marLeft w:val="640"/>
          <w:marRight w:val="0"/>
          <w:marTop w:val="0"/>
          <w:marBottom w:val="0"/>
          <w:divBdr>
            <w:top w:val="none" w:sz="0" w:space="0" w:color="auto"/>
            <w:left w:val="none" w:sz="0" w:space="0" w:color="auto"/>
            <w:bottom w:val="none" w:sz="0" w:space="0" w:color="auto"/>
            <w:right w:val="none" w:sz="0" w:space="0" w:color="auto"/>
          </w:divBdr>
        </w:div>
        <w:div w:id="690496989">
          <w:marLeft w:val="640"/>
          <w:marRight w:val="0"/>
          <w:marTop w:val="0"/>
          <w:marBottom w:val="0"/>
          <w:divBdr>
            <w:top w:val="none" w:sz="0" w:space="0" w:color="auto"/>
            <w:left w:val="none" w:sz="0" w:space="0" w:color="auto"/>
            <w:bottom w:val="none" w:sz="0" w:space="0" w:color="auto"/>
            <w:right w:val="none" w:sz="0" w:space="0" w:color="auto"/>
          </w:divBdr>
        </w:div>
        <w:div w:id="817694607">
          <w:marLeft w:val="640"/>
          <w:marRight w:val="0"/>
          <w:marTop w:val="0"/>
          <w:marBottom w:val="0"/>
          <w:divBdr>
            <w:top w:val="none" w:sz="0" w:space="0" w:color="auto"/>
            <w:left w:val="none" w:sz="0" w:space="0" w:color="auto"/>
            <w:bottom w:val="none" w:sz="0" w:space="0" w:color="auto"/>
            <w:right w:val="none" w:sz="0" w:space="0" w:color="auto"/>
          </w:divBdr>
        </w:div>
        <w:div w:id="2047827718">
          <w:marLeft w:val="640"/>
          <w:marRight w:val="0"/>
          <w:marTop w:val="0"/>
          <w:marBottom w:val="0"/>
          <w:divBdr>
            <w:top w:val="none" w:sz="0" w:space="0" w:color="auto"/>
            <w:left w:val="none" w:sz="0" w:space="0" w:color="auto"/>
            <w:bottom w:val="none" w:sz="0" w:space="0" w:color="auto"/>
            <w:right w:val="none" w:sz="0" w:space="0" w:color="auto"/>
          </w:divBdr>
        </w:div>
        <w:div w:id="22485110">
          <w:marLeft w:val="640"/>
          <w:marRight w:val="0"/>
          <w:marTop w:val="0"/>
          <w:marBottom w:val="0"/>
          <w:divBdr>
            <w:top w:val="none" w:sz="0" w:space="0" w:color="auto"/>
            <w:left w:val="none" w:sz="0" w:space="0" w:color="auto"/>
            <w:bottom w:val="none" w:sz="0" w:space="0" w:color="auto"/>
            <w:right w:val="none" w:sz="0" w:space="0" w:color="auto"/>
          </w:divBdr>
        </w:div>
        <w:div w:id="2065980537">
          <w:marLeft w:val="640"/>
          <w:marRight w:val="0"/>
          <w:marTop w:val="0"/>
          <w:marBottom w:val="0"/>
          <w:divBdr>
            <w:top w:val="none" w:sz="0" w:space="0" w:color="auto"/>
            <w:left w:val="none" w:sz="0" w:space="0" w:color="auto"/>
            <w:bottom w:val="none" w:sz="0" w:space="0" w:color="auto"/>
            <w:right w:val="none" w:sz="0" w:space="0" w:color="auto"/>
          </w:divBdr>
        </w:div>
        <w:div w:id="668411006">
          <w:marLeft w:val="640"/>
          <w:marRight w:val="0"/>
          <w:marTop w:val="0"/>
          <w:marBottom w:val="0"/>
          <w:divBdr>
            <w:top w:val="none" w:sz="0" w:space="0" w:color="auto"/>
            <w:left w:val="none" w:sz="0" w:space="0" w:color="auto"/>
            <w:bottom w:val="none" w:sz="0" w:space="0" w:color="auto"/>
            <w:right w:val="none" w:sz="0" w:space="0" w:color="auto"/>
          </w:divBdr>
        </w:div>
        <w:div w:id="256983129">
          <w:marLeft w:val="640"/>
          <w:marRight w:val="0"/>
          <w:marTop w:val="0"/>
          <w:marBottom w:val="0"/>
          <w:divBdr>
            <w:top w:val="none" w:sz="0" w:space="0" w:color="auto"/>
            <w:left w:val="none" w:sz="0" w:space="0" w:color="auto"/>
            <w:bottom w:val="none" w:sz="0" w:space="0" w:color="auto"/>
            <w:right w:val="none" w:sz="0" w:space="0" w:color="auto"/>
          </w:divBdr>
        </w:div>
        <w:div w:id="782118483">
          <w:marLeft w:val="640"/>
          <w:marRight w:val="0"/>
          <w:marTop w:val="0"/>
          <w:marBottom w:val="0"/>
          <w:divBdr>
            <w:top w:val="none" w:sz="0" w:space="0" w:color="auto"/>
            <w:left w:val="none" w:sz="0" w:space="0" w:color="auto"/>
            <w:bottom w:val="none" w:sz="0" w:space="0" w:color="auto"/>
            <w:right w:val="none" w:sz="0" w:space="0" w:color="auto"/>
          </w:divBdr>
        </w:div>
        <w:div w:id="1070465877">
          <w:marLeft w:val="640"/>
          <w:marRight w:val="0"/>
          <w:marTop w:val="0"/>
          <w:marBottom w:val="0"/>
          <w:divBdr>
            <w:top w:val="none" w:sz="0" w:space="0" w:color="auto"/>
            <w:left w:val="none" w:sz="0" w:space="0" w:color="auto"/>
            <w:bottom w:val="none" w:sz="0" w:space="0" w:color="auto"/>
            <w:right w:val="none" w:sz="0" w:space="0" w:color="auto"/>
          </w:divBdr>
        </w:div>
        <w:div w:id="1242983308">
          <w:marLeft w:val="640"/>
          <w:marRight w:val="0"/>
          <w:marTop w:val="0"/>
          <w:marBottom w:val="0"/>
          <w:divBdr>
            <w:top w:val="none" w:sz="0" w:space="0" w:color="auto"/>
            <w:left w:val="none" w:sz="0" w:space="0" w:color="auto"/>
            <w:bottom w:val="none" w:sz="0" w:space="0" w:color="auto"/>
            <w:right w:val="none" w:sz="0" w:space="0" w:color="auto"/>
          </w:divBdr>
        </w:div>
        <w:div w:id="231160123">
          <w:marLeft w:val="640"/>
          <w:marRight w:val="0"/>
          <w:marTop w:val="0"/>
          <w:marBottom w:val="0"/>
          <w:divBdr>
            <w:top w:val="none" w:sz="0" w:space="0" w:color="auto"/>
            <w:left w:val="none" w:sz="0" w:space="0" w:color="auto"/>
            <w:bottom w:val="none" w:sz="0" w:space="0" w:color="auto"/>
            <w:right w:val="none" w:sz="0" w:space="0" w:color="auto"/>
          </w:divBdr>
        </w:div>
        <w:div w:id="309753175">
          <w:marLeft w:val="640"/>
          <w:marRight w:val="0"/>
          <w:marTop w:val="0"/>
          <w:marBottom w:val="0"/>
          <w:divBdr>
            <w:top w:val="none" w:sz="0" w:space="0" w:color="auto"/>
            <w:left w:val="none" w:sz="0" w:space="0" w:color="auto"/>
            <w:bottom w:val="none" w:sz="0" w:space="0" w:color="auto"/>
            <w:right w:val="none" w:sz="0" w:space="0" w:color="auto"/>
          </w:divBdr>
        </w:div>
        <w:div w:id="979848922">
          <w:marLeft w:val="640"/>
          <w:marRight w:val="0"/>
          <w:marTop w:val="0"/>
          <w:marBottom w:val="0"/>
          <w:divBdr>
            <w:top w:val="none" w:sz="0" w:space="0" w:color="auto"/>
            <w:left w:val="none" w:sz="0" w:space="0" w:color="auto"/>
            <w:bottom w:val="none" w:sz="0" w:space="0" w:color="auto"/>
            <w:right w:val="none" w:sz="0" w:space="0" w:color="auto"/>
          </w:divBdr>
        </w:div>
        <w:div w:id="769858624">
          <w:marLeft w:val="640"/>
          <w:marRight w:val="0"/>
          <w:marTop w:val="0"/>
          <w:marBottom w:val="0"/>
          <w:divBdr>
            <w:top w:val="none" w:sz="0" w:space="0" w:color="auto"/>
            <w:left w:val="none" w:sz="0" w:space="0" w:color="auto"/>
            <w:bottom w:val="none" w:sz="0" w:space="0" w:color="auto"/>
            <w:right w:val="none" w:sz="0" w:space="0" w:color="auto"/>
          </w:divBdr>
        </w:div>
        <w:div w:id="1604798239">
          <w:marLeft w:val="640"/>
          <w:marRight w:val="0"/>
          <w:marTop w:val="0"/>
          <w:marBottom w:val="0"/>
          <w:divBdr>
            <w:top w:val="none" w:sz="0" w:space="0" w:color="auto"/>
            <w:left w:val="none" w:sz="0" w:space="0" w:color="auto"/>
            <w:bottom w:val="none" w:sz="0" w:space="0" w:color="auto"/>
            <w:right w:val="none" w:sz="0" w:space="0" w:color="auto"/>
          </w:divBdr>
        </w:div>
        <w:div w:id="347876322">
          <w:marLeft w:val="640"/>
          <w:marRight w:val="0"/>
          <w:marTop w:val="0"/>
          <w:marBottom w:val="0"/>
          <w:divBdr>
            <w:top w:val="none" w:sz="0" w:space="0" w:color="auto"/>
            <w:left w:val="none" w:sz="0" w:space="0" w:color="auto"/>
            <w:bottom w:val="none" w:sz="0" w:space="0" w:color="auto"/>
            <w:right w:val="none" w:sz="0" w:space="0" w:color="auto"/>
          </w:divBdr>
        </w:div>
        <w:div w:id="516773438">
          <w:marLeft w:val="640"/>
          <w:marRight w:val="0"/>
          <w:marTop w:val="0"/>
          <w:marBottom w:val="0"/>
          <w:divBdr>
            <w:top w:val="none" w:sz="0" w:space="0" w:color="auto"/>
            <w:left w:val="none" w:sz="0" w:space="0" w:color="auto"/>
            <w:bottom w:val="none" w:sz="0" w:space="0" w:color="auto"/>
            <w:right w:val="none" w:sz="0" w:space="0" w:color="auto"/>
          </w:divBdr>
        </w:div>
        <w:div w:id="951864115">
          <w:marLeft w:val="640"/>
          <w:marRight w:val="0"/>
          <w:marTop w:val="0"/>
          <w:marBottom w:val="0"/>
          <w:divBdr>
            <w:top w:val="none" w:sz="0" w:space="0" w:color="auto"/>
            <w:left w:val="none" w:sz="0" w:space="0" w:color="auto"/>
            <w:bottom w:val="none" w:sz="0" w:space="0" w:color="auto"/>
            <w:right w:val="none" w:sz="0" w:space="0" w:color="auto"/>
          </w:divBdr>
        </w:div>
        <w:div w:id="329019854">
          <w:marLeft w:val="640"/>
          <w:marRight w:val="0"/>
          <w:marTop w:val="0"/>
          <w:marBottom w:val="0"/>
          <w:divBdr>
            <w:top w:val="none" w:sz="0" w:space="0" w:color="auto"/>
            <w:left w:val="none" w:sz="0" w:space="0" w:color="auto"/>
            <w:bottom w:val="none" w:sz="0" w:space="0" w:color="auto"/>
            <w:right w:val="none" w:sz="0" w:space="0" w:color="auto"/>
          </w:divBdr>
        </w:div>
        <w:div w:id="469790989">
          <w:marLeft w:val="640"/>
          <w:marRight w:val="0"/>
          <w:marTop w:val="0"/>
          <w:marBottom w:val="0"/>
          <w:divBdr>
            <w:top w:val="none" w:sz="0" w:space="0" w:color="auto"/>
            <w:left w:val="none" w:sz="0" w:space="0" w:color="auto"/>
            <w:bottom w:val="none" w:sz="0" w:space="0" w:color="auto"/>
            <w:right w:val="none" w:sz="0" w:space="0" w:color="auto"/>
          </w:divBdr>
        </w:div>
        <w:div w:id="992373755">
          <w:marLeft w:val="640"/>
          <w:marRight w:val="0"/>
          <w:marTop w:val="0"/>
          <w:marBottom w:val="0"/>
          <w:divBdr>
            <w:top w:val="none" w:sz="0" w:space="0" w:color="auto"/>
            <w:left w:val="none" w:sz="0" w:space="0" w:color="auto"/>
            <w:bottom w:val="none" w:sz="0" w:space="0" w:color="auto"/>
            <w:right w:val="none" w:sz="0" w:space="0" w:color="auto"/>
          </w:divBdr>
        </w:div>
        <w:div w:id="405303454">
          <w:marLeft w:val="640"/>
          <w:marRight w:val="0"/>
          <w:marTop w:val="0"/>
          <w:marBottom w:val="0"/>
          <w:divBdr>
            <w:top w:val="none" w:sz="0" w:space="0" w:color="auto"/>
            <w:left w:val="none" w:sz="0" w:space="0" w:color="auto"/>
            <w:bottom w:val="none" w:sz="0" w:space="0" w:color="auto"/>
            <w:right w:val="none" w:sz="0" w:space="0" w:color="auto"/>
          </w:divBdr>
        </w:div>
        <w:div w:id="2025400421">
          <w:marLeft w:val="640"/>
          <w:marRight w:val="0"/>
          <w:marTop w:val="0"/>
          <w:marBottom w:val="0"/>
          <w:divBdr>
            <w:top w:val="none" w:sz="0" w:space="0" w:color="auto"/>
            <w:left w:val="none" w:sz="0" w:space="0" w:color="auto"/>
            <w:bottom w:val="none" w:sz="0" w:space="0" w:color="auto"/>
            <w:right w:val="none" w:sz="0" w:space="0" w:color="auto"/>
          </w:divBdr>
        </w:div>
        <w:div w:id="985473697">
          <w:marLeft w:val="640"/>
          <w:marRight w:val="0"/>
          <w:marTop w:val="0"/>
          <w:marBottom w:val="0"/>
          <w:divBdr>
            <w:top w:val="none" w:sz="0" w:space="0" w:color="auto"/>
            <w:left w:val="none" w:sz="0" w:space="0" w:color="auto"/>
            <w:bottom w:val="none" w:sz="0" w:space="0" w:color="auto"/>
            <w:right w:val="none" w:sz="0" w:space="0" w:color="auto"/>
          </w:divBdr>
        </w:div>
        <w:div w:id="471211378">
          <w:marLeft w:val="640"/>
          <w:marRight w:val="0"/>
          <w:marTop w:val="0"/>
          <w:marBottom w:val="0"/>
          <w:divBdr>
            <w:top w:val="none" w:sz="0" w:space="0" w:color="auto"/>
            <w:left w:val="none" w:sz="0" w:space="0" w:color="auto"/>
            <w:bottom w:val="none" w:sz="0" w:space="0" w:color="auto"/>
            <w:right w:val="none" w:sz="0" w:space="0" w:color="auto"/>
          </w:divBdr>
        </w:div>
        <w:div w:id="1045570105">
          <w:marLeft w:val="640"/>
          <w:marRight w:val="0"/>
          <w:marTop w:val="0"/>
          <w:marBottom w:val="0"/>
          <w:divBdr>
            <w:top w:val="none" w:sz="0" w:space="0" w:color="auto"/>
            <w:left w:val="none" w:sz="0" w:space="0" w:color="auto"/>
            <w:bottom w:val="none" w:sz="0" w:space="0" w:color="auto"/>
            <w:right w:val="none" w:sz="0" w:space="0" w:color="auto"/>
          </w:divBdr>
        </w:div>
        <w:div w:id="130439745">
          <w:marLeft w:val="640"/>
          <w:marRight w:val="0"/>
          <w:marTop w:val="0"/>
          <w:marBottom w:val="0"/>
          <w:divBdr>
            <w:top w:val="none" w:sz="0" w:space="0" w:color="auto"/>
            <w:left w:val="none" w:sz="0" w:space="0" w:color="auto"/>
            <w:bottom w:val="none" w:sz="0" w:space="0" w:color="auto"/>
            <w:right w:val="none" w:sz="0" w:space="0" w:color="auto"/>
          </w:divBdr>
        </w:div>
        <w:div w:id="16928490">
          <w:marLeft w:val="640"/>
          <w:marRight w:val="0"/>
          <w:marTop w:val="0"/>
          <w:marBottom w:val="0"/>
          <w:divBdr>
            <w:top w:val="none" w:sz="0" w:space="0" w:color="auto"/>
            <w:left w:val="none" w:sz="0" w:space="0" w:color="auto"/>
            <w:bottom w:val="none" w:sz="0" w:space="0" w:color="auto"/>
            <w:right w:val="none" w:sz="0" w:space="0" w:color="auto"/>
          </w:divBdr>
        </w:div>
        <w:div w:id="2064330049">
          <w:marLeft w:val="640"/>
          <w:marRight w:val="0"/>
          <w:marTop w:val="0"/>
          <w:marBottom w:val="0"/>
          <w:divBdr>
            <w:top w:val="none" w:sz="0" w:space="0" w:color="auto"/>
            <w:left w:val="none" w:sz="0" w:space="0" w:color="auto"/>
            <w:bottom w:val="none" w:sz="0" w:space="0" w:color="auto"/>
            <w:right w:val="none" w:sz="0" w:space="0" w:color="auto"/>
          </w:divBdr>
        </w:div>
        <w:div w:id="538131357">
          <w:marLeft w:val="640"/>
          <w:marRight w:val="0"/>
          <w:marTop w:val="0"/>
          <w:marBottom w:val="0"/>
          <w:divBdr>
            <w:top w:val="none" w:sz="0" w:space="0" w:color="auto"/>
            <w:left w:val="none" w:sz="0" w:space="0" w:color="auto"/>
            <w:bottom w:val="none" w:sz="0" w:space="0" w:color="auto"/>
            <w:right w:val="none" w:sz="0" w:space="0" w:color="auto"/>
          </w:divBdr>
        </w:div>
        <w:div w:id="116412446">
          <w:marLeft w:val="640"/>
          <w:marRight w:val="0"/>
          <w:marTop w:val="0"/>
          <w:marBottom w:val="0"/>
          <w:divBdr>
            <w:top w:val="none" w:sz="0" w:space="0" w:color="auto"/>
            <w:left w:val="none" w:sz="0" w:space="0" w:color="auto"/>
            <w:bottom w:val="none" w:sz="0" w:space="0" w:color="auto"/>
            <w:right w:val="none" w:sz="0" w:space="0" w:color="auto"/>
          </w:divBdr>
        </w:div>
        <w:div w:id="1047603415">
          <w:marLeft w:val="640"/>
          <w:marRight w:val="0"/>
          <w:marTop w:val="0"/>
          <w:marBottom w:val="0"/>
          <w:divBdr>
            <w:top w:val="none" w:sz="0" w:space="0" w:color="auto"/>
            <w:left w:val="none" w:sz="0" w:space="0" w:color="auto"/>
            <w:bottom w:val="none" w:sz="0" w:space="0" w:color="auto"/>
            <w:right w:val="none" w:sz="0" w:space="0" w:color="auto"/>
          </w:divBdr>
        </w:div>
        <w:div w:id="1644119648">
          <w:marLeft w:val="640"/>
          <w:marRight w:val="0"/>
          <w:marTop w:val="0"/>
          <w:marBottom w:val="0"/>
          <w:divBdr>
            <w:top w:val="none" w:sz="0" w:space="0" w:color="auto"/>
            <w:left w:val="none" w:sz="0" w:space="0" w:color="auto"/>
            <w:bottom w:val="none" w:sz="0" w:space="0" w:color="auto"/>
            <w:right w:val="none" w:sz="0" w:space="0" w:color="auto"/>
          </w:divBdr>
        </w:div>
        <w:div w:id="1739597022">
          <w:marLeft w:val="640"/>
          <w:marRight w:val="0"/>
          <w:marTop w:val="0"/>
          <w:marBottom w:val="0"/>
          <w:divBdr>
            <w:top w:val="none" w:sz="0" w:space="0" w:color="auto"/>
            <w:left w:val="none" w:sz="0" w:space="0" w:color="auto"/>
            <w:bottom w:val="none" w:sz="0" w:space="0" w:color="auto"/>
            <w:right w:val="none" w:sz="0" w:space="0" w:color="auto"/>
          </w:divBdr>
        </w:div>
        <w:div w:id="2094737347">
          <w:marLeft w:val="640"/>
          <w:marRight w:val="0"/>
          <w:marTop w:val="0"/>
          <w:marBottom w:val="0"/>
          <w:divBdr>
            <w:top w:val="none" w:sz="0" w:space="0" w:color="auto"/>
            <w:left w:val="none" w:sz="0" w:space="0" w:color="auto"/>
            <w:bottom w:val="none" w:sz="0" w:space="0" w:color="auto"/>
            <w:right w:val="none" w:sz="0" w:space="0" w:color="auto"/>
          </w:divBdr>
        </w:div>
        <w:div w:id="147675732">
          <w:marLeft w:val="640"/>
          <w:marRight w:val="0"/>
          <w:marTop w:val="0"/>
          <w:marBottom w:val="0"/>
          <w:divBdr>
            <w:top w:val="none" w:sz="0" w:space="0" w:color="auto"/>
            <w:left w:val="none" w:sz="0" w:space="0" w:color="auto"/>
            <w:bottom w:val="none" w:sz="0" w:space="0" w:color="auto"/>
            <w:right w:val="none" w:sz="0" w:space="0" w:color="auto"/>
          </w:divBdr>
        </w:div>
        <w:div w:id="1912886213">
          <w:marLeft w:val="640"/>
          <w:marRight w:val="0"/>
          <w:marTop w:val="0"/>
          <w:marBottom w:val="0"/>
          <w:divBdr>
            <w:top w:val="none" w:sz="0" w:space="0" w:color="auto"/>
            <w:left w:val="none" w:sz="0" w:space="0" w:color="auto"/>
            <w:bottom w:val="none" w:sz="0" w:space="0" w:color="auto"/>
            <w:right w:val="none" w:sz="0" w:space="0" w:color="auto"/>
          </w:divBdr>
        </w:div>
        <w:div w:id="1529490535">
          <w:marLeft w:val="640"/>
          <w:marRight w:val="0"/>
          <w:marTop w:val="0"/>
          <w:marBottom w:val="0"/>
          <w:divBdr>
            <w:top w:val="none" w:sz="0" w:space="0" w:color="auto"/>
            <w:left w:val="none" w:sz="0" w:space="0" w:color="auto"/>
            <w:bottom w:val="none" w:sz="0" w:space="0" w:color="auto"/>
            <w:right w:val="none" w:sz="0" w:space="0" w:color="auto"/>
          </w:divBdr>
        </w:div>
        <w:div w:id="2097363283">
          <w:marLeft w:val="640"/>
          <w:marRight w:val="0"/>
          <w:marTop w:val="0"/>
          <w:marBottom w:val="0"/>
          <w:divBdr>
            <w:top w:val="none" w:sz="0" w:space="0" w:color="auto"/>
            <w:left w:val="none" w:sz="0" w:space="0" w:color="auto"/>
            <w:bottom w:val="none" w:sz="0" w:space="0" w:color="auto"/>
            <w:right w:val="none" w:sz="0" w:space="0" w:color="auto"/>
          </w:divBdr>
        </w:div>
        <w:div w:id="768159976">
          <w:marLeft w:val="640"/>
          <w:marRight w:val="0"/>
          <w:marTop w:val="0"/>
          <w:marBottom w:val="0"/>
          <w:divBdr>
            <w:top w:val="none" w:sz="0" w:space="0" w:color="auto"/>
            <w:left w:val="none" w:sz="0" w:space="0" w:color="auto"/>
            <w:bottom w:val="none" w:sz="0" w:space="0" w:color="auto"/>
            <w:right w:val="none" w:sz="0" w:space="0" w:color="auto"/>
          </w:divBdr>
        </w:div>
        <w:div w:id="1548687195">
          <w:marLeft w:val="640"/>
          <w:marRight w:val="0"/>
          <w:marTop w:val="0"/>
          <w:marBottom w:val="0"/>
          <w:divBdr>
            <w:top w:val="none" w:sz="0" w:space="0" w:color="auto"/>
            <w:left w:val="none" w:sz="0" w:space="0" w:color="auto"/>
            <w:bottom w:val="none" w:sz="0" w:space="0" w:color="auto"/>
            <w:right w:val="none" w:sz="0" w:space="0" w:color="auto"/>
          </w:divBdr>
        </w:div>
        <w:div w:id="430707138">
          <w:marLeft w:val="640"/>
          <w:marRight w:val="0"/>
          <w:marTop w:val="0"/>
          <w:marBottom w:val="0"/>
          <w:divBdr>
            <w:top w:val="none" w:sz="0" w:space="0" w:color="auto"/>
            <w:left w:val="none" w:sz="0" w:space="0" w:color="auto"/>
            <w:bottom w:val="none" w:sz="0" w:space="0" w:color="auto"/>
            <w:right w:val="none" w:sz="0" w:space="0" w:color="auto"/>
          </w:divBdr>
        </w:div>
        <w:div w:id="1097099869">
          <w:marLeft w:val="640"/>
          <w:marRight w:val="0"/>
          <w:marTop w:val="0"/>
          <w:marBottom w:val="0"/>
          <w:divBdr>
            <w:top w:val="none" w:sz="0" w:space="0" w:color="auto"/>
            <w:left w:val="none" w:sz="0" w:space="0" w:color="auto"/>
            <w:bottom w:val="none" w:sz="0" w:space="0" w:color="auto"/>
            <w:right w:val="none" w:sz="0" w:space="0" w:color="auto"/>
          </w:divBdr>
        </w:div>
        <w:div w:id="353000654">
          <w:marLeft w:val="640"/>
          <w:marRight w:val="0"/>
          <w:marTop w:val="0"/>
          <w:marBottom w:val="0"/>
          <w:divBdr>
            <w:top w:val="none" w:sz="0" w:space="0" w:color="auto"/>
            <w:left w:val="none" w:sz="0" w:space="0" w:color="auto"/>
            <w:bottom w:val="none" w:sz="0" w:space="0" w:color="auto"/>
            <w:right w:val="none" w:sz="0" w:space="0" w:color="auto"/>
          </w:divBdr>
        </w:div>
        <w:div w:id="2051998031">
          <w:marLeft w:val="640"/>
          <w:marRight w:val="0"/>
          <w:marTop w:val="0"/>
          <w:marBottom w:val="0"/>
          <w:divBdr>
            <w:top w:val="none" w:sz="0" w:space="0" w:color="auto"/>
            <w:left w:val="none" w:sz="0" w:space="0" w:color="auto"/>
            <w:bottom w:val="none" w:sz="0" w:space="0" w:color="auto"/>
            <w:right w:val="none" w:sz="0" w:space="0" w:color="auto"/>
          </w:divBdr>
        </w:div>
        <w:div w:id="735470272">
          <w:marLeft w:val="640"/>
          <w:marRight w:val="0"/>
          <w:marTop w:val="0"/>
          <w:marBottom w:val="0"/>
          <w:divBdr>
            <w:top w:val="none" w:sz="0" w:space="0" w:color="auto"/>
            <w:left w:val="none" w:sz="0" w:space="0" w:color="auto"/>
            <w:bottom w:val="none" w:sz="0" w:space="0" w:color="auto"/>
            <w:right w:val="none" w:sz="0" w:space="0" w:color="auto"/>
          </w:divBdr>
        </w:div>
        <w:div w:id="2077043536">
          <w:marLeft w:val="640"/>
          <w:marRight w:val="0"/>
          <w:marTop w:val="0"/>
          <w:marBottom w:val="0"/>
          <w:divBdr>
            <w:top w:val="none" w:sz="0" w:space="0" w:color="auto"/>
            <w:left w:val="none" w:sz="0" w:space="0" w:color="auto"/>
            <w:bottom w:val="none" w:sz="0" w:space="0" w:color="auto"/>
            <w:right w:val="none" w:sz="0" w:space="0" w:color="auto"/>
          </w:divBdr>
        </w:div>
        <w:div w:id="593560295">
          <w:marLeft w:val="640"/>
          <w:marRight w:val="0"/>
          <w:marTop w:val="0"/>
          <w:marBottom w:val="0"/>
          <w:divBdr>
            <w:top w:val="none" w:sz="0" w:space="0" w:color="auto"/>
            <w:left w:val="none" w:sz="0" w:space="0" w:color="auto"/>
            <w:bottom w:val="none" w:sz="0" w:space="0" w:color="auto"/>
            <w:right w:val="none" w:sz="0" w:space="0" w:color="auto"/>
          </w:divBdr>
        </w:div>
        <w:div w:id="1323238422">
          <w:marLeft w:val="640"/>
          <w:marRight w:val="0"/>
          <w:marTop w:val="0"/>
          <w:marBottom w:val="0"/>
          <w:divBdr>
            <w:top w:val="none" w:sz="0" w:space="0" w:color="auto"/>
            <w:left w:val="none" w:sz="0" w:space="0" w:color="auto"/>
            <w:bottom w:val="none" w:sz="0" w:space="0" w:color="auto"/>
            <w:right w:val="none" w:sz="0" w:space="0" w:color="auto"/>
          </w:divBdr>
        </w:div>
        <w:div w:id="1517692012">
          <w:marLeft w:val="640"/>
          <w:marRight w:val="0"/>
          <w:marTop w:val="0"/>
          <w:marBottom w:val="0"/>
          <w:divBdr>
            <w:top w:val="none" w:sz="0" w:space="0" w:color="auto"/>
            <w:left w:val="none" w:sz="0" w:space="0" w:color="auto"/>
            <w:bottom w:val="none" w:sz="0" w:space="0" w:color="auto"/>
            <w:right w:val="none" w:sz="0" w:space="0" w:color="auto"/>
          </w:divBdr>
        </w:div>
        <w:div w:id="1317224885">
          <w:marLeft w:val="640"/>
          <w:marRight w:val="0"/>
          <w:marTop w:val="0"/>
          <w:marBottom w:val="0"/>
          <w:divBdr>
            <w:top w:val="none" w:sz="0" w:space="0" w:color="auto"/>
            <w:left w:val="none" w:sz="0" w:space="0" w:color="auto"/>
            <w:bottom w:val="none" w:sz="0" w:space="0" w:color="auto"/>
            <w:right w:val="none" w:sz="0" w:space="0" w:color="auto"/>
          </w:divBdr>
        </w:div>
        <w:div w:id="1755852849">
          <w:marLeft w:val="640"/>
          <w:marRight w:val="0"/>
          <w:marTop w:val="0"/>
          <w:marBottom w:val="0"/>
          <w:divBdr>
            <w:top w:val="none" w:sz="0" w:space="0" w:color="auto"/>
            <w:left w:val="none" w:sz="0" w:space="0" w:color="auto"/>
            <w:bottom w:val="none" w:sz="0" w:space="0" w:color="auto"/>
            <w:right w:val="none" w:sz="0" w:space="0" w:color="auto"/>
          </w:divBdr>
        </w:div>
        <w:div w:id="1883250394">
          <w:marLeft w:val="640"/>
          <w:marRight w:val="0"/>
          <w:marTop w:val="0"/>
          <w:marBottom w:val="0"/>
          <w:divBdr>
            <w:top w:val="none" w:sz="0" w:space="0" w:color="auto"/>
            <w:left w:val="none" w:sz="0" w:space="0" w:color="auto"/>
            <w:bottom w:val="none" w:sz="0" w:space="0" w:color="auto"/>
            <w:right w:val="none" w:sz="0" w:space="0" w:color="auto"/>
          </w:divBdr>
        </w:div>
        <w:div w:id="484707030">
          <w:marLeft w:val="640"/>
          <w:marRight w:val="0"/>
          <w:marTop w:val="0"/>
          <w:marBottom w:val="0"/>
          <w:divBdr>
            <w:top w:val="none" w:sz="0" w:space="0" w:color="auto"/>
            <w:left w:val="none" w:sz="0" w:space="0" w:color="auto"/>
            <w:bottom w:val="none" w:sz="0" w:space="0" w:color="auto"/>
            <w:right w:val="none" w:sz="0" w:space="0" w:color="auto"/>
          </w:divBdr>
        </w:div>
        <w:div w:id="1243107790">
          <w:marLeft w:val="640"/>
          <w:marRight w:val="0"/>
          <w:marTop w:val="0"/>
          <w:marBottom w:val="0"/>
          <w:divBdr>
            <w:top w:val="none" w:sz="0" w:space="0" w:color="auto"/>
            <w:left w:val="none" w:sz="0" w:space="0" w:color="auto"/>
            <w:bottom w:val="none" w:sz="0" w:space="0" w:color="auto"/>
            <w:right w:val="none" w:sz="0" w:space="0" w:color="auto"/>
          </w:divBdr>
        </w:div>
        <w:div w:id="2069842295">
          <w:marLeft w:val="640"/>
          <w:marRight w:val="0"/>
          <w:marTop w:val="0"/>
          <w:marBottom w:val="0"/>
          <w:divBdr>
            <w:top w:val="none" w:sz="0" w:space="0" w:color="auto"/>
            <w:left w:val="none" w:sz="0" w:space="0" w:color="auto"/>
            <w:bottom w:val="none" w:sz="0" w:space="0" w:color="auto"/>
            <w:right w:val="none" w:sz="0" w:space="0" w:color="auto"/>
          </w:divBdr>
        </w:div>
        <w:div w:id="131288969">
          <w:marLeft w:val="640"/>
          <w:marRight w:val="0"/>
          <w:marTop w:val="0"/>
          <w:marBottom w:val="0"/>
          <w:divBdr>
            <w:top w:val="none" w:sz="0" w:space="0" w:color="auto"/>
            <w:left w:val="none" w:sz="0" w:space="0" w:color="auto"/>
            <w:bottom w:val="none" w:sz="0" w:space="0" w:color="auto"/>
            <w:right w:val="none" w:sz="0" w:space="0" w:color="auto"/>
          </w:divBdr>
        </w:div>
        <w:div w:id="1649432606">
          <w:marLeft w:val="640"/>
          <w:marRight w:val="0"/>
          <w:marTop w:val="0"/>
          <w:marBottom w:val="0"/>
          <w:divBdr>
            <w:top w:val="none" w:sz="0" w:space="0" w:color="auto"/>
            <w:left w:val="none" w:sz="0" w:space="0" w:color="auto"/>
            <w:bottom w:val="none" w:sz="0" w:space="0" w:color="auto"/>
            <w:right w:val="none" w:sz="0" w:space="0" w:color="auto"/>
          </w:divBdr>
        </w:div>
        <w:div w:id="571427271">
          <w:marLeft w:val="640"/>
          <w:marRight w:val="0"/>
          <w:marTop w:val="0"/>
          <w:marBottom w:val="0"/>
          <w:divBdr>
            <w:top w:val="none" w:sz="0" w:space="0" w:color="auto"/>
            <w:left w:val="none" w:sz="0" w:space="0" w:color="auto"/>
            <w:bottom w:val="none" w:sz="0" w:space="0" w:color="auto"/>
            <w:right w:val="none" w:sz="0" w:space="0" w:color="auto"/>
          </w:divBdr>
        </w:div>
        <w:div w:id="1693650146">
          <w:marLeft w:val="640"/>
          <w:marRight w:val="0"/>
          <w:marTop w:val="0"/>
          <w:marBottom w:val="0"/>
          <w:divBdr>
            <w:top w:val="none" w:sz="0" w:space="0" w:color="auto"/>
            <w:left w:val="none" w:sz="0" w:space="0" w:color="auto"/>
            <w:bottom w:val="none" w:sz="0" w:space="0" w:color="auto"/>
            <w:right w:val="none" w:sz="0" w:space="0" w:color="auto"/>
          </w:divBdr>
        </w:div>
        <w:div w:id="1094787987">
          <w:marLeft w:val="640"/>
          <w:marRight w:val="0"/>
          <w:marTop w:val="0"/>
          <w:marBottom w:val="0"/>
          <w:divBdr>
            <w:top w:val="none" w:sz="0" w:space="0" w:color="auto"/>
            <w:left w:val="none" w:sz="0" w:space="0" w:color="auto"/>
            <w:bottom w:val="none" w:sz="0" w:space="0" w:color="auto"/>
            <w:right w:val="none" w:sz="0" w:space="0" w:color="auto"/>
          </w:divBdr>
        </w:div>
        <w:div w:id="1672835387">
          <w:marLeft w:val="640"/>
          <w:marRight w:val="0"/>
          <w:marTop w:val="0"/>
          <w:marBottom w:val="0"/>
          <w:divBdr>
            <w:top w:val="none" w:sz="0" w:space="0" w:color="auto"/>
            <w:left w:val="none" w:sz="0" w:space="0" w:color="auto"/>
            <w:bottom w:val="none" w:sz="0" w:space="0" w:color="auto"/>
            <w:right w:val="none" w:sz="0" w:space="0" w:color="auto"/>
          </w:divBdr>
        </w:div>
        <w:div w:id="166100798">
          <w:marLeft w:val="640"/>
          <w:marRight w:val="0"/>
          <w:marTop w:val="0"/>
          <w:marBottom w:val="0"/>
          <w:divBdr>
            <w:top w:val="none" w:sz="0" w:space="0" w:color="auto"/>
            <w:left w:val="none" w:sz="0" w:space="0" w:color="auto"/>
            <w:bottom w:val="none" w:sz="0" w:space="0" w:color="auto"/>
            <w:right w:val="none" w:sz="0" w:space="0" w:color="auto"/>
          </w:divBdr>
        </w:div>
        <w:div w:id="353849339">
          <w:marLeft w:val="640"/>
          <w:marRight w:val="0"/>
          <w:marTop w:val="0"/>
          <w:marBottom w:val="0"/>
          <w:divBdr>
            <w:top w:val="none" w:sz="0" w:space="0" w:color="auto"/>
            <w:left w:val="none" w:sz="0" w:space="0" w:color="auto"/>
            <w:bottom w:val="none" w:sz="0" w:space="0" w:color="auto"/>
            <w:right w:val="none" w:sz="0" w:space="0" w:color="auto"/>
          </w:divBdr>
        </w:div>
        <w:div w:id="1888448607">
          <w:marLeft w:val="640"/>
          <w:marRight w:val="0"/>
          <w:marTop w:val="0"/>
          <w:marBottom w:val="0"/>
          <w:divBdr>
            <w:top w:val="none" w:sz="0" w:space="0" w:color="auto"/>
            <w:left w:val="none" w:sz="0" w:space="0" w:color="auto"/>
            <w:bottom w:val="none" w:sz="0" w:space="0" w:color="auto"/>
            <w:right w:val="none" w:sz="0" w:space="0" w:color="auto"/>
          </w:divBdr>
        </w:div>
        <w:div w:id="265239024">
          <w:marLeft w:val="640"/>
          <w:marRight w:val="0"/>
          <w:marTop w:val="0"/>
          <w:marBottom w:val="0"/>
          <w:divBdr>
            <w:top w:val="none" w:sz="0" w:space="0" w:color="auto"/>
            <w:left w:val="none" w:sz="0" w:space="0" w:color="auto"/>
            <w:bottom w:val="none" w:sz="0" w:space="0" w:color="auto"/>
            <w:right w:val="none" w:sz="0" w:space="0" w:color="auto"/>
          </w:divBdr>
        </w:div>
        <w:div w:id="903296568">
          <w:marLeft w:val="640"/>
          <w:marRight w:val="0"/>
          <w:marTop w:val="0"/>
          <w:marBottom w:val="0"/>
          <w:divBdr>
            <w:top w:val="none" w:sz="0" w:space="0" w:color="auto"/>
            <w:left w:val="none" w:sz="0" w:space="0" w:color="auto"/>
            <w:bottom w:val="none" w:sz="0" w:space="0" w:color="auto"/>
            <w:right w:val="none" w:sz="0" w:space="0" w:color="auto"/>
          </w:divBdr>
        </w:div>
        <w:div w:id="517962278">
          <w:marLeft w:val="640"/>
          <w:marRight w:val="0"/>
          <w:marTop w:val="0"/>
          <w:marBottom w:val="0"/>
          <w:divBdr>
            <w:top w:val="none" w:sz="0" w:space="0" w:color="auto"/>
            <w:left w:val="none" w:sz="0" w:space="0" w:color="auto"/>
            <w:bottom w:val="none" w:sz="0" w:space="0" w:color="auto"/>
            <w:right w:val="none" w:sz="0" w:space="0" w:color="auto"/>
          </w:divBdr>
        </w:div>
        <w:div w:id="953901448">
          <w:marLeft w:val="640"/>
          <w:marRight w:val="0"/>
          <w:marTop w:val="0"/>
          <w:marBottom w:val="0"/>
          <w:divBdr>
            <w:top w:val="none" w:sz="0" w:space="0" w:color="auto"/>
            <w:left w:val="none" w:sz="0" w:space="0" w:color="auto"/>
            <w:bottom w:val="none" w:sz="0" w:space="0" w:color="auto"/>
            <w:right w:val="none" w:sz="0" w:space="0" w:color="auto"/>
          </w:divBdr>
        </w:div>
        <w:div w:id="939341320">
          <w:marLeft w:val="640"/>
          <w:marRight w:val="0"/>
          <w:marTop w:val="0"/>
          <w:marBottom w:val="0"/>
          <w:divBdr>
            <w:top w:val="none" w:sz="0" w:space="0" w:color="auto"/>
            <w:left w:val="none" w:sz="0" w:space="0" w:color="auto"/>
            <w:bottom w:val="none" w:sz="0" w:space="0" w:color="auto"/>
            <w:right w:val="none" w:sz="0" w:space="0" w:color="auto"/>
          </w:divBdr>
        </w:div>
        <w:div w:id="1669213695">
          <w:marLeft w:val="640"/>
          <w:marRight w:val="0"/>
          <w:marTop w:val="0"/>
          <w:marBottom w:val="0"/>
          <w:divBdr>
            <w:top w:val="none" w:sz="0" w:space="0" w:color="auto"/>
            <w:left w:val="none" w:sz="0" w:space="0" w:color="auto"/>
            <w:bottom w:val="none" w:sz="0" w:space="0" w:color="auto"/>
            <w:right w:val="none" w:sz="0" w:space="0" w:color="auto"/>
          </w:divBdr>
        </w:div>
        <w:div w:id="460415926">
          <w:marLeft w:val="640"/>
          <w:marRight w:val="0"/>
          <w:marTop w:val="0"/>
          <w:marBottom w:val="0"/>
          <w:divBdr>
            <w:top w:val="none" w:sz="0" w:space="0" w:color="auto"/>
            <w:left w:val="none" w:sz="0" w:space="0" w:color="auto"/>
            <w:bottom w:val="none" w:sz="0" w:space="0" w:color="auto"/>
            <w:right w:val="none" w:sz="0" w:space="0" w:color="auto"/>
          </w:divBdr>
        </w:div>
        <w:div w:id="1363481515">
          <w:marLeft w:val="640"/>
          <w:marRight w:val="0"/>
          <w:marTop w:val="0"/>
          <w:marBottom w:val="0"/>
          <w:divBdr>
            <w:top w:val="none" w:sz="0" w:space="0" w:color="auto"/>
            <w:left w:val="none" w:sz="0" w:space="0" w:color="auto"/>
            <w:bottom w:val="none" w:sz="0" w:space="0" w:color="auto"/>
            <w:right w:val="none" w:sz="0" w:space="0" w:color="auto"/>
          </w:divBdr>
        </w:div>
        <w:div w:id="78672834">
          <w:marLeft w:val="640"/>
          <w:marRight w:val="0"/>
          <w:marTop w:val="0"/>
          <w:marBottom w:val="0"/>
          <w:divBdr>
            <w:top w:val="none" w:sz="0" w:space="0" w:color="auto"/>
            <w:left w:val="none" w:sz="0" w:space="0" w:color="auto"/>
            <w:bottom w:val="none" w:sz="0" w:space="0" w:color="auto"/>
            <w:right w:val="none" w:sz="0" w:space="0" w:color="auto"/>
          </w:divBdr>
        </w:div>
        <w:div w:id="345444947">
          <w:marLeft w:val="640"/>
          <w:marRight w:val="0"/>
          <w:marTop w:val="0"/>
          <w:marBottom w:val="0"/>
          <w:divBdr>
            <w:top w:val="none" w:sz="0" w:space="0" w:color="auto"/>
            <w:left w:val="none" w:sz="0" w:space="0" w:color="auto"/>
            <w:bottom w:val="none" w:sz="0" w:space="0" w:color="auto"/>
            <w:right w:val="none" w:sz="0" w:space="0" w:color="auto"/>
          </w:divBdr>
        </w:div>
        <w:div w:id="1981689682">
          <w:marLeft w:val="640"/>
          <w:marRight w:val="0"/>
          <w:marTop w:val="0"/>
          <w:marBottom w:val="0"/>
          <w:divBdr>
            <w:top w:val="none" w:sz="0" w:space="0" w:color="auto"/>
            <w:left w:val="none" w:sz="0" w:space="0" w:color="auto"/>
            <w:bottom w:val="none" w:sz="0" w:space="0" w:color="auto"/>
            <w:right w:val="none" w:sz="0" w:space="0" w:color="auto"/>
          </w:divBdr>
        </w:div>
        <w:div w:id="1828667939">
          <w:marLeft w:val="640"/>
          <w:marRight w:val="0"/>
          <w:marTop w:val="0"/>
          <w:marBottom w:val="0"/>
          <w:divBdr>
            <w:top w:val="none" w:sz="0" w:space="0" w:color="auto"/>
            <w:left w:val="none" w:sz="0" w:space="0" w:color="auto"/>
            <w:bottom w:val="none" w:sz="0" w:space="0" w:color="auto"/>
            <w:right w:val="none" w:sz="0" w:space="0" w:color="auto"/>
          </w:divBdr>
        </w:div>
        <w:div w:id="1640918334">
          <w:marLeft w:val="640"/>
          <w:marRight w:val="0"/>
          <w:marTop w:val="0"/>
          <w:marBottom w:val="0"/>
          <w:divBdr>
            <w:top w:val="none" w:sz="0" w:space="0" w:color="auto"/>
            <w:left w:val="none" w:sz="0" w:space="0" w:color="auto"/>
            <w:bottom w:val="none" w:sz="0" w:space="0" w:color="auto"/>
            <w:right w:val="none" w:sz="0" w:space="0" w:color="auto"/>
          </w:divBdr>
        </w:div>
        <w:div w:id="259339125">
          <w:marLeft w:val="640"/>
          <w:marRight w:val="0"/>
          <w:marTop w:val="0"/>
          <w:marBottom w:val="0"/>
          <w:divBdr>
            <w:top w:val="none" w:sz="0" w:space="0" w:color="auto"/>
            <w:left w:val="none" w:sz="0" w:space="0" w:color="auto"/>
            <w:bottom w:val="none" w:sz="0" w:space="0" w:color="auto"/>
            <w:right w:val="none" w:sz="0" w:space="0" w:color="auto"/>
          </w:divBdr>
        </w:div>
        <w:div w:id="592325287">
          <w:marLeft w:val="640"/>
          <w:marRight w:val="0"/>
          <w:marTop w:val="0"/>
          <w:marBottom w:val="0"/>
          <w:divBdr>
            <w:top w:val="none" w:sz="0" w:space="0" w:color="auto"/>
            <w:left w:val="none" w:sz="0" w:space="0" w:color="auto"/>
            <w:bottom w:val="none" w:sz="0" w:space="0" w:color="auto"/>
            <w:right w:val="none" w:sz="0" w:space="0" w:color="auto"/>
          </w:divBdr>
        </w:div>
        <w:div w:id="1430736380">
          <w:marLeft w:val="640"/>
          <w:marRight w:val="0"/>
          <w:marTop w:val="0"/>
          <w:marBottom w:val="0"/>
          <w:divBdr>
            <w:top w:val="none" w:sz="0" w:space="0" w:color="auto"/>
            <w:left w:val="none" w:sz="0" w:space="0" w:color="auto"/>
            <w:bottom w:val="none" w:sz="0" w:space="0" w:color="auto"/>
            <w:right w:val="none" w:sz="0" w:space="0" w:color="auto"/>
          </w:divBdr>
        </w:div>
        <w:div w:id="1255090151">
          <w:marLeft w:val="640"/>
          <w:marRight w:val="0"/>
          <w:marTop w:val="0"/>
          <w:marBottom w:val="0"/>
          <w:divBdr>
            <w:top w:val="none" w:sz="0" w:space="0" w:color="auto"/>
            <w:left w:val="none" w:sz="0" w:space="0" w:color="auto"/>
            <w:bottom w:val="none" w:sz="0" w:space="0" w:color="auto"/>
            <w:right w:val="none" w:sz="0" w:space="0" w:color="auto"/>
          </w:divBdr>
        </w:div>
        <w:div w:id="1485703904">
          <w:marLeft w:val="640"/>
          <w:marRight w:val="0"/>
          <w:marTop w:val="0"/>
          <w:marBottom w:val="0"/>
          <w:divBdr>
            <w:top w:val="none" w:sz="0" w:space="0" w:color="auto"/>
            <w:left w:val="none" w:sz="0" w:space="0" w:color="auto"/>
            <w:bottom w:val="none" w:sz="0" w:space="0" w:color="auto"/>
            <w:right w:val="none" w:sz="0" w:space="0" w:color="auto"/>
          </w:divBdr>
        </w:div>
        <w:div w:id="946276933">
          <w:marLeft w:val="640"/>
          <w:marRight w:val="0"/>
          <w:marTop w:val="0"/>
          <w:marBottom w:val="0"/>
          <w:divBdr>
            <w:top w:val="none" w:sz="0" w:space="0" w:color="auto"/>
            <w:left w:val="none" w:sz="0" w:space="0" w:color="auto"/>
            <w:bottom w:val="none" w:sz="0" w:space="0" w:color="auto"/>
            <w:right w:val="none" w:sz="0" w:space="0" w:color="auto"/>
          </w:divBdr>
        </w:div>
        <w:div w:id="2072338628">
          <w:marLeft w:val="640"/>
          <w:marRight w:val="0"/>
          <w:marTop w:val="0"/>
          <w:marBottom w:val="0"/>
          <w:divBdr>
            <w:top w:val="none" w:sz="0" w:space="0" w:color="auto"/>
            <w:left w:val="none" w:sz="0" w:space="0" w:color="auto"/>
            <w:bottom w:val="none" w:sz="0" w:space="0" w:color="auto"/>
            <w:right w:val="none" w:sz="0" w:space="0" w:color="auto"/>
          </w:divBdr>
        </w:div>
        <w:div w:id="1844129272">
          <w:marLeft w:val="640"/>
          <w:marRight w:val="0"/>
          <w:marTop w:val="0"/>
          <w:marBottom w:val="0"/>
          <w:divBdr>
            <w:top w:val="none" w:sz="0" w:space="0" w:color="auto"/>
            <w:left w:val="none" w:sz="0" w:space="0" w:color="auto"/>
            <w:bottom w:val="none" w:sz="0" w:space="0" w:color="auto"/>
            <w:right w:val="none" w:sz="0" w:space="0" w:color="auto"/>
          </w:divBdr>
        </w:div>
        <w:div w:id="318116633">
          <w:marLeft w:val="640"/>
          <w:marRight w:val="0"/>
          <w:marTop w:val="0"/>
          <w:marBottom w:val="0"/>
          <w:divBdr>
            <w:top w:val="none" w:sz="0" w:space="0" w:color="auto"/>
            <w:left w:val="none" w:sz="0" w:space="0" w:color="auto"/>
            <w:bottom w:val="none" w:sz="0" w:space="0" w:color="auto"/>
            <w:right w:val="none" w:sz="0" w:space="0" w:color="auto"/>
          </w:divBdr>
        </w:div>
        <w:div w:id="1020009714">
          <w:marLeft w:val="640"/>
          <w:marRight w:val="0"/>
          <w:marTop w:val="0"/>
          <w:marBottom w:val="0"/>
          <w:divBdr>
            <w:top w:val="none" w:sz="0" w:space="0" w:color="auto"/>
            <w:left w:val="none" w:sz="0" w:space="0" w:color="auto"/>
            <w:bottom w:val="none" w:sz="0" w:space="0" w:color="auto"/>
            <w:right w:val="none" w:sz="0" w:space="0" w:color="auto"/>
          </w:divBdr>
        </w:div>
        <w:div w:id="253245537">
          <w:marLeft w:val="640"/>
          <w:marRight w:val="0"/>
          <w:marTop w:val="0"/>
          <w:marBottom w:val="0"/>
          <w:divBdr>
            <w:top w:val="none" w:sz="0" w:space="0" w:color="auto"/>
            <w:left w:val="none" w:sz="0" w:space="0" w:color="auto"/>
            <w:bottom w:val="none" w:sz="0" w:space="0" w:color="auto"/>
            <w:right w:val="none" w:sz="0" w:space="0" w:color="auto"/>
          </w:divBdr>
        </w:div>
        <w:div w:id="1727102141">
          <w:marLeft w:val="640"/>
          <w:marRight w:val="0"/>
          <w:marTop w:val="0"/>
          <w:marBottom w:val="0"/>
          <w:divBdr>
            <w:top w:val="none" w:sz="0" w:space="0" w:color="auto"/>
            <w:left w:val="none" w:sz="0" w:space="0" w:color="auto"/>
            <w:bottom w:val="none" w:sz="0" w:space="0" w:color="auto"/>
            <w:right w:val="none" w:sz="0" w:space="0" w:color="auto"/>
          </w:divBdr>
        </w:div>
        <w:div w:id="210847644">
          <w:marLeft w:val="640"/>
          <w:marRight w:val="0"/>
          <w:marTop w:val="0"/>
          <w:marBottom w:val="0"/>
          <w:divBdr>
            <w:top w:val="none" w:sz="0" w:space="0" w:color="auto"/>
            <w:left w:val="none" w:sz="0" w:space="0" w:color="auto"/>
            <w:bottom w:val="none" w:sz="0" w:space="0" w:color="auto"/>
            <w:right w:val="none" w:sz="0" w:space="0" w:color="auto"/>
          </w:divBdr>
        </w:div>
        <w:div w:id="1025134750">
          <w:marLeft w:val="640"/>
          <w:marRight w:val="0"/>
          <w:marTop w:val="0"/>
          <w:marBottom w:val="0"/>
          <w:divBdr>
            <w:top w:val="none" w:sz="0" w:space="0" w:color="auto"/>
            <w:left w:val="none" w:sz="0" w:space="0" w:color="auto"/>
            <w:bottom w:val="none" w:sz="0" w:space="0" w:color="auto"/>
            <w:right w:val="none" w:sz="0" w:space="0" w:color="auto"/>
          </w:divBdr>
        </w:div>
        <w:div w:id="1872722553">
          <w:marLeft w:val="640"/>
          <w:marRight w:val="0"/>
          <w:marTop w:val="0"/>
          <w:marBottom w:val="0"/>
          <w:divBdr>
            <w:top w:val="none" w:sz="0" w:space="0" w:color="auto"/>
            <w:left w:val="none" w:sz="0" w:space="0" w:color="auto"/>
            <w:bottom w:val="none" w:sz="0" w:space="0" w:color="auto"/>
            <w:right w:val="none" w:sz="0" w:space="0" w:color="auto"/>
          </w:divBdr>
        </w:div>
        <w:div w:id="788745156">
          <w:marLeft w:val="640"/>
          <w:marRight w:val="0"/>
          <w:marTop w:val="0"/>
          <w:marBottom w:val="0"/>
          <w:divBdr>
            <w:top w:val="none" w:sz="0" w:space="0" w:color="auto"/>
            <w:left w:val="none" w:sz="0" w:space="0" w:color="auto"/>
            <w:bottom w:val="none" w:sz="0" w:space="0" w:color="auto"/>
            <w:right w:val="none" w:sz="0" w:space="0" w:color="auto"/>
          </w:divBdr>
        </w:div>
        <w:div w:id="713310319">
          <w:marLeft w:val="640"/>
          <w:marRight w:val="0"/>
          <w:marTop w:val="0"/>
          <w:marBottom w:val="0"/>
          <w:divBdr>
            <w:top w:val="none" w:sz="0" w:space="0" w:color="auto"/>
            <w:left w:val="none" w:sz="0" w:space="0" w:color="auto"/>
            <w:bottom w:val="none" w:sz="0" w:space="0" w:color="auto"/>
            <w:right w:val="none" w:sz="0" w:space="0" w:color="auto"/>
          </w:divBdr>
        </w:div>
        <w:div w:id="1900092932">
          <w:marLeft w:val="640"/>
          <w:marRight w:val="0"/>
          <w:marTop w:val="0"/>
          <w:marBottom w:val="0"/>
          <w:divBdr>
            <w:top w:val="none" w:sz="0" w:space="0" w:color="auto"/>
            <w:left w:val="none" w:sz="0" w:space="0" w:color="auto"/>
            <w:bottom w:val="none" w:sz="0" w:space="0" w:color="auto"/>
            <w:right w:val="none" w:sz="0" w:space="0" w:color="auto"/>
          </w:divBdr>
        </w:div>
        <w:div w:id="261886221">
          <w:marLeft w:val="640"/>
          <w:marRight w:val="0"/>
          <w:marTop w:val="0"/>
          <w:marBottom w:val="0"/>
          <w:divBdr>
            <w:top w:val="none" w:sz="0" w:space="0" w:color="auto"/>
            <w:left w:val="none" w:sz="0" w:space="0" w:color="auto"/>
            <w:bottom w:val="none" w:sz="0" w:space="0" w:color="auto"/>
            <w:right w:val="none" w:sz="0" w:space="0" w:color="auto"/>
          </w:divBdr>
        </w:div>
        <w:div w:id="580216595">
          <w:marLeft w:val="640"/>
          <w:marRight w:val="0"/>
          <w:marTop w:val="0"/>
          <w:marBottom w:val="0"/>
          <w:divBdr>
            <w:top w:val="none" w:sz="0" w:space="0" w:color="auto"/>
            <w:left w:val="none" w:sz="0" w:space="0" w:color="auto"/>
            <w:bottom w:val="none" w:sz="0" w:space="0" w:color="auto"/>
            <w:right w:val="none" w:sz="0" w:space="0" w:color="auto"/>
          </w:divBdr>
        </w:div>
        <w:div w:id="1983537092">
          <w:marLeft w:val="640"/>
          <w:marRight w:val="0"/>
          <w:marTop w:val="0"/>
          <w:marBottom w:val="0"/>
          <w:divBdr>
            <w:top w:val="none" w:sz="0" w:space="0" w:color="auto"/>
            <w:left w:val="none" w:sz="0" w:space="0" w:color="auto"/>
            <w:bottom w:val="none" w:sz="0" w:space="0" w:color="auto"/>
            <w:right w:val="none" w:sz="0" w:space="0" w:color="auto"/>
          </w:divBdr>
        </w:div>
        <w:div w:id="416755154">
          <w:marLeft w:val="640"/>
          <w:marRight w:val="0"/>
          <w:marTop w:val="0"/>
          <w:marBottom w:val="0"/>
          <w:divBdr>
            <w:top w:val="none" w:sz="0" w:space="0" w:color="auto"/>
            <w:left w:val="none" w:sz="0" w:space="0" w:color="auto"/>
            <w:bottom w:val="none" w:sz="0" w:space="0" w:color="auto"/>
            <w:right w:val="none" w:sz="0" w:space="0" w:color="auto"/>
          </w:divBdr>
        </w:div>
        <w:div w:id="1543708702">
          <w:marLeft w:val="640"/>
          <w:marRight w:val="0"/>
          <w:marTop w:val="0"/>
          <w:marBottom w:val="0"/>
          <w:divBdr>
            <w:top w:val="none" w:sz="0" w:space="0" w:color="auto"/>
            <w:left w:val="none" w:sz="0" w:space="0" w:color="auto"/>
            <w:bottom w:val="none" w:sz="0" w:space="0" w:color="auto"/>
            <w:right w:val="none" w:sz="0" w:space="0" w:color="auto"/>
          </w:divBdr>
        </w:div>
        <w:div w:id="852957002">
          <w:marLeft w:val="640"/>
          <w:marRight w:val="0"/>
          <w:marTop w:val="0"/>
          <w:marBottom w:val="0"/>
          <w:divBdr>
            <w:top w:val="none" w:sz="0" w:space="0" w:color="auto"/>
            <w:left w:val="none" w:sz="0" w:space="0" w:color="auto"/>
            <w:bottom w:val="none" w:sz="0" w:space="0" w:color="auto"/>
            <w:right w:val="none" w:sz="0" w:space="0" w:color="auto"/>
          </w:divBdr>
        </w:div>
        <w:div w:id="55207476">
          <w:marLeft w:val="640"/>
          <w:marRight w:val="0"/>
          <w:marTop w:val="0"/>
          <w:marBottom w:val="0"/>
          <w:divBdr>
            <w:top w:val="none" w:sz="0" w:space="0" w:color="auto"/>
            <w:left w:val="none" w:sz="0" w:space="0" w:color="auto"/>
            <w:bottom w:val="none" w:sz="0" w:space="0" w:color="auto"/>
            <w:right w:val="none" w:sz="0" w:space="0" w:color="auto"/>
          </w:divBdr>
        </w:div>
        <w:div w:id="137765395">
          <w:marLeft w:val="640"/>
          <w:marRight w:val="0"/>
          <w:marTop w:val="0"/>
          <w:marBottom w:val="0"/>
          <w:divBdr>
            <w:top w:val="none" w:sz="0" w:space="0" w:color="auto"/>
            <w:left w:val="none" w:sz="0" w:space="0" w:color="auto"/>
            <w:bottom w:val="none" w:sz="0" w:space="0" w:color="auto"/>
            <w:right w:val="none" w:sz="0" w:space="0" w:color="auto"/>
          </w:divBdr>
        </w:div>
        <w:div w:id="1101729527">
          <w:marLeft w:val="640"/>
          <w:marRight w:val="0"/>
          <w:marTop w:val="0"/>
          <w:marBottom w:val="0"/>
          <w:divBdr>
            <w:top w:val="none" w:sz="0" w:space="0" w:color="auto"/>
            <w:left w:val="none" w:sz="0" w:space="0" w:color="auto"/>
            <w:bottom w:val="none" w:sz="0" w:space="0" w:color="auto"/>
            <w:right w:val="none" w:sz="0" w:space="0" w:color="auto"/>
          </w:divBdr>
        </w:div>
        <w:div w:id="742606389">
          <w:marLeft w:val="640"/>
          <w:marRight w:val="0"/>
          <w:marTop w:val="0"/>
          <w:marBottom w:val="0"/>
          <w:divBdr>
            <w:top w:val="none" w:sz="0" w:space="0" w:color="auto"/>
            <w:left w:val="none" w:sz="0" w:space="0" w:color="auto"/>
            <w:bottom w:val="none" w:sz="0" w:space="0" w:color="auto"/>
            <w:right w:val="none" w:sz="0" w:space="0" w:color="auto"/>
          </w:divBdr>
        </w:div>
        <w:div w:id="211577903">
          <w:marLeft w:val="640"/>
          <w:marRight w:val="0"/>
          <w:marTop w:val="0"/>
          <w:marBottom w:val="0"/>
          <w:divBdr>
            <w:top w:val="none" w:sz="0" w:space="0" w:color="auto"/>
            <w:left w:val="none" w:sz="0" w:space="0" w:color="auto"/>
            <w:bottom w:val="none" w:sz="0" w:space="0" w:color="auto"/>
            <w:right w:val="none" w:sz="0" w:space="0" w:color="auto"/>
          </w:divBdr>
        </w:div>
        <w:div w:id="2002200663">
          <w:marLeft w:val="640"/>
          <w:marRight w:val="0"/>
          <w:marTop w:val="0"/>
          <w:marBottom w:val="0"/>
          <w:divBdr>
            <w:top w:val="none" w:sz="0" w:space="0" w:color="auto"/>
            <w:left w:val="none" w:sz="0" w:space="0" w:color="auto"/>
            <w:bottom w:val="none" w:sz="0" w:space="0" w:color="auto"/>
            <w:right w:val="none" w:sz="0" w:space="0" w:color="auto"/>
          </w:divBdr>
        </w:div>
        <w:div w:id="805666637">
          <w:marLeft w:val="640"/>
          <w:marRight w:val="0"/>
          <w:marTop w:val="0"/>
          <w:marBottom w:val="0"/>
          <w:divBdr>
            <w:top w:val="none" w:sz="0" w:space="0" w:color="auto"/>
            <w:left w:val="none" w:sz="0" w:space="0" w:color="auto"/>
            <w:bottom w:val="none" w:sz="0" w:space="0" w:color="auto"/>
            <w:right w:val="none" w:sz="0" w:space="0" w:color="auto"/>
          </w:divBdr>
        </w:div>
        <w:div w:id="1318918873">
          <w:marLeft w:val="640"/>
          <w:marRight w:val="0"/>
          <w:marTop w:val="0"/>
          <w:marBottom w:val="0"/>
          <w:divBdr>
            <w:top w:val="none" w:sz="0" w:space="0" w:color="auto"/>
            <w:left w:val="none" w:sz="0" w:space="0" w:color="auto"/>
            <w:bottom w:val="none" w:sz="0" w:space="0" w:color="auto"/>
            <w:right w:val="none" w:sz="0" w:space="0" w:color="auto"/>
          </w:divBdr>
        </w:div>
        <w:div w:id="328994546">
          <w:marLeft w:val="640"/>
          <w:marRight w:val="0"/>
          <w:marTop w:val="0"/>
          <w:marBottom w:val="0"/>
          <w:divBdr>
            <w:top w:val="none" w:sz="0" w:space="0" w:color="auto"/>
            <w:left w:val="none" w:sz="0" w:space="0" w:color="auto"/>
            <w:bottom w:val="none" w:sz="0" w:space="0" w:color="auto"/>
            <w:right w:val="none" w:sz="0" w:space="0" w:color="auto"/>
          </w:divBdr>
        </w:div>
        <w:div w:id="1710257394">
          <w:marLeft w:val="640"/>
          <w:marRight w:val="0"/>
          <w:marTop w:val="0"/>
          <w:marBottom w:val="0"/>
          <w:divBdr>
            <w:top w:val="none" w:sz="0" w:space="0" w:color="auto"/>
            <w:left w:val="none" w:sz="0" w:space="0" w:color="auto"/>
            <w:bottom w:val="none" w:sz="0" w:space="0" w:color="auto"/>
            <w:right w:val="none" w:sz="0" w:space="0" w:color="auto"/>
          </w:divBdr>
        </w:div>
        <w:div w:id="632441926">
          <w:marLeft w:val="640"/>
          <w:marRight w:val="0"/>
          <w:marTop w:val="0"/>
          <w:marBottom w:val="0"/>
          <w:divBdr>
            <w:top w:val="none" w:sz="0" w:space="0" w:color="auto"/>
            <w:left w:val="none" w:sz="0" w:space="0" w:color="auto"/>
            <w:bottom w:val="none" w:sz="0" w:space="0" w:color="auto"/>
            <w:right w:val="none" w:sz="0" w:space="0" w:color="auto"/>
          </w:divBdr>
        </w:div>
        <w:div w:id="1062942409">
          <w:marLeft w:val="640"/>
          <w:marRight w:val="0"/>
          <w:marTop w:val="0"/>
          <w:marBottom w:val="0"/>
          <w:divBdr>
            <w:top w:val="none" w:sz="0" w:space="0" w:color="auto"/>
            <w:left w:val="none" w:sz="0" w:space="0" w:color="auto"/>
            <w:bottom w:val="none" w:sz="0" w:space="0" w:color="auto"/>
            <w:right w:val="none" w:sz="0" w:space="0" w:color="auto"/>
          </w:divBdr>
        </w:div>
        <w:div w:id="1214808048">
          <w:marLeft w:val="640"/>
          <w:marRight w:val="0"/>
          <w:marTop w:val="0"/>
          <w:marBottom w:val="0"/>
          <w:divBdr>
            <w:top w:val="none" w:sz="0" w:space="0" w:color="auto"/>
            <w:left w:val="none" w:sz="0" w:space="0" w:color="auto"/>
            <w:bottom w:val="none" w:sz="0" w:space="0" w:color="auto"/>
            <w:right w:val="none" w:sz="0" w:space="0" w:color="auto"/>
          </w:divBdr>
        </w:div>
        <w:div w:id="1517186915">
          <w:marLeft w:val="640"/>
          <w:marRight w:val="0"/>
          <w:marTop w:val="0"/>
          <w:marBottom w:val="0"/>
          <w:divBdr>
            <w:top w:val="none" w:sz="0" w:space="0" w:color="auto"/>
            <w:left w:val="none" w:sz="0" w:space="0" w:color="auto"/>
            <w:bottom w:val="none" w:sz="0" w:space="0" w:color="auto"/>
            <w:right w:val="none" w:sz="0" w:space="0" w:color="auto"/>
          </w:divBdr>
        </w:div>
        <w:div w:id="1340891508">
          <w:marLeft w:val="640"/>
          <w:marRight w:val="0"/>
          <w:marTop w:val="0"/>
          <w:marBottom w:val="0"/>
          <w:divBdr>
            <w:top w:val="none" w:sz="0" w:space="0" w:color="auto"/>
            <w:left w:val="none" w:sz="0" w:space="0" w:color="auto"/>
            <w:bottom w:val="none" w:sz="0" w:space="0" w:color="auto"/>
            <w:right w:val="none" w:sz="0" w:space="0" w:color="auto"/>
          </w:divBdr>
        </w:div>
        <w:div w:id="1291670399">
          <w:marLeft w:val="640"/>
          <w:marRight w:val="0"/>
          <w:marTop w:val="0"/>
          <w:marBottom w:val="0"/>
          <w:divBdr>
            <w:top w:val="none" w:sz="0" w:space="0" w:color="auto"/>
            <w:left w:val="none" w:sz="0" w:space="0" w:color="auto"/>
            <w:bottom w:val="none" w:sz="0" w:space="0" w:color="auto"/>
            <w:right w:val="none" w:sz="0" w:space="0" w:color="auto"/>
          </w:divBdr>
        </w:div>
        <w:div w:id="1550146875">
          <w:marLeft w:val="640"/>
          <w:marRight w:val="0"/>
          <w:marTop w:val="0"/>
          <w:marBottom w:val="0"/>
          <w:divBdr>
            <w:top w:val="none" w:sz="0" w:space="0" w:color="auto"/>
            <w:left w:val="none" w:sz="0" w:space="0" w:color="auto"/>
            <w:bottom w:val="none" w:sz="0" w:space="0" w:color="auto"/>
            <w:right w:val="none" w:sz="0" w:space="0" w:color="auto"/>
          </w:divBdr>
        </w:div>
        <w:div w:id="873887050">
          <w:marLeft w:val="640"/>
          <w:marRight w:val="0"/>
          <w:marTop w:val="0"/>
          <w:marBottom w:val="0"/>
          <w:divBdr>
            <w:top w:val="none" w:sz="0" w:space="0" w:color="auto"/>
            <w:left w:val="none" w:sz="0" w:space="0" w:color="auto"/>
            <w:bottom w:val="none" w:sz="0" w:space="0" w:color="auto"/>
            <w:right w:val="none" w:sz="0" w:space="0" w:color="auto"/>
          </w:divBdr>
        </w:div>
        <w:div w:id="1415853806">
          <w:marLeft w:val="640"/>
          <w:marRight w:val="0"/>
          <w:marTop w:val="0"/>
          <w:marBottom w:val="0"/>
          <w:divBdr>
            <w:top w:val="none" w:sz="0" w:space="0" w:color="auto"/>
            <w:left w:val="none" w:sz="0" w:space="0" w:color="auto"/>
            <w:bottom w:val="none" w:sz="0" w:space="0" w:color="auto"/>
            <w:right w:val="none" w:sz="0" w:space="0" w:color="auto"/>
          </w:divBdr>
        </w:div>
        <w:div w:id="1732844763">
          <w:marLeft w:val="640"/>
          <w:marRight w:val="0"/>
          <w:marTop w:val="0"/>
          <w:marBottom w:val="0"/>
          <w:divBdr>
            <w:top w:val="none" w:sz="0" w:space="0" w:color="auto"/>
            <w:left w:val="none" w:sz="0" w:space="0" w:color="auto"/>
            <w:bottom w:val="none" w:sz="0" w:space="0" w:color="auto"/>
            <w:right w:val="none" w:sz="0" w:space="0" w:color="auto"/>
          </w:divBdr>
        </w:div>
        <w:div w:id="544099169">
          <w:marLeft w:val="640"/>
          <w:marRight w:val="0"/>
          <w:marTop w:val="0"/>
          <w:marBottom w:val="0"/>
          <w:divBdr>
            <w:top w:val="none" w:sz="0" w:space="0" w:color="auto"/>
            <w:left w:val="none" w:sz="0" w:space="0" w:color="auto"/>
            <w:bottom w:val="none" w:sz="0" w:space="0" w:color="auto"/>
            <w:right w:val="none" w:sz="0" w:space="0" w:color="auto"/>
          </w:divBdr>
        </w:div>
        <w:div w:id="1426924802">
          <w:marLeft w:val="640"/>
          <w:marRight w:val="0"/>
          <w:marTop w:val="0"/>
          <w:marBottom w:val="0"/>
          <w:divBdr>
            <w:top w:val="none" w:sz="0" w:space="0" w:color="auto"/>
            <w:left w:val="none" w:sz="0" w:space="0" w:color="auto"/>
            <w:bottom w:val="none" w:sz="0" w:space="0" w:color="auto"/>
            <w:right w:val="none" w:sz="0" w:space="0" w:color="auto"/>
          </w:divBdr>
        </w:div>
        <w:div w:id="1200315855">
          <w:marLeft w:val="640"/>
          <w:marRight w:val="0"/>
          <w:marTop w:val="0"/>
          <w:marBottom w:val="0"/>
          <w:divBdr>
            <w:top w:val="none" w:sz="0" w:space="0" w:color="auto"/>
            <w:left w:val="none" w:sz="0" w:space="0" w:color="auto"/>
            <w:bottom w:val="none" w:sz="0" w:space="0" w:color="auto"/>
            <w:right w:val="none" w:sz="0" w:space="0" w:color="auto"/>
          </w:divBdr>
        </w:div>
        <w:div w:id="1761097223">
          <w:marLeft w:val="640"/>
          <w:marRight w:val="0"/>
          <w:marTop w:val="0"/>
          <w:marBottom w:val="0"/>
          <w:divBdr>
            <w:top w:val="none" w:sz="0" w:space="0" w:color="auto"/>
            <w:left w:val="none" w:sz="0" w:space="0" w:color="auto"/>
            <w:bottom w:val="none" w:sz="0" w:space="0" w:color="auto"/>
            <w:right w:val="none" w:sz="0" w:space="0" w:color="auto"/>
          </w:divBdr>
        </w:div>
        <w:div w:id="955329054">
          <w:marLeft w:val="640"/>
          <w:marRight w:val="0"/>
          <w:marTop w:val="0"/>
          <w:marBottom w:val="0"/>
          <w:divBdr>
            <w:top w:val="none" w:sz="0" w:space="0" w:color="auto"/>
            <w:left w:val="none" w:sz="0" w:space="0" w:color="auto"/>
            <w:bottom w:val="none" w:sz="0" w:space="0" w:color="auto"/>
            <w:right w:val="none" w:sz="0" w:space="0" w:color="auto"/>
          </w:divBdr>
        </w:div>
        <w:div w:id="1117065616">
          <w:marLeft w:val="640"/>
          <w:marRight w:val="0"/>
          <w:marTop w:val="0"/>
          <w:marBottom w:val="0"/>
          <w:divBdr>
            <w:top w:val="none" w:sz="0" w:space="0" w:color="auto"/>
            <w:left w:val="none" w:sz="0" w:space="0" w:color="auto"/>
            <w:bottom w:val="none" w:sz="0" w:space="0" w:color="auto"/>
            <w:right w:val="none" w:sz="0" w:space="0" w:color="auto"/>
          </w:divBdr>
        </w:div>
        <w:div w:id="1250044714">
          <w:marLeft w:val="640"/>
          <w:marRight w:val="0"/>
          <w:marTop w:val="0"/>
          <w:marBottom w:val="0"/>
          <w:divBdr>
            <w:top w:val="none" w:sz="0" w:space="0" w:color="auto"/>
            <w:left w:val="none" w:sz="0" w:space="0" w:color="auto"/>
            <w:bottom w:val="none" w:sz="0" w:space="0" w:color="auto"/>
            <w:right w:val="none" w:sz="0" w:space="0" w:color="auto"/>
          </w:divBdr>
        </w:div>
        <w:div w:id="2058238904">
          <w:marLeft w:val="640"/>
          <w:marRight w:val="0"/>
          <w:marTop w:val="0"/>
          <w:marBottom w:val="0"/>
          <w:divBdr>
            <w:top w:val="none" w:sz="0" w:space="0" w:color="auto"/>
            <w:left w:val="none" w:sz="0" w:space="0" w:color="auto"/>
            <w:bottom w:val="none" w:sz="0" w:space="0" w:color="auto"/>
            <w:right w:val="none" w:sz="0" w:space="0" w:color="auto"/>
          </w:divBdr>
        </w:div>
        <w:div w:id="482240064">
          <w:marLeft w:val="640"/>
          <w:marRight w:val="0"/>
          <w:marTop w:val="0"/>
          <w:marBottom w:val="0"/>
          <w:divBdr>
            <w:top w:val="none" w:sz="0" w:space="0" w:color="auto"/>
            <w:left w:val="none" w:sz="0" w:space="0" w:color="auto"/>
            <w:bottom w:val="none" w:sz="0" w:space="0" w:color="auto"/>
            <w:right w:val="none" w:sz="0" w:space="0" w:color="auto"/>
          </w:divBdr>
        </w:div>
        <w:div w:id="1374160778">
          <w:marLeft w:val="640"/>
          <w:marRight w:val="0"/>
          <w:marTop w:val="0"/>
          <w:marBottom w:val="0"/>
          <w:divBdr>
            <w:top w:val="none" w:sz="0" w:space="0" w:color="auto"/>
            <w:left w:val="none" w:sz="0" w:space="0" w:color="auto"/>
            <w:bottom w:val="none" w:sz="0" w:space="0" w:color="auto"/>
            <w:right w:val="none" w:sz="0" w:space="0" w:color="auto"/>
          </w:divBdr>
        </w:div>
        <w:div w:id="1340355375">
          <w:marLeft w:val="640"/>
          <w:marRight w:val="0"/>
          <w:marTop w:val="0"/>
          <w:marBottom w:val="0"/>
          <w:divBdr>
            <w:top w:val="none" w:sz="0" w:space="0" w:color="auto"/>
            <w:left w:val="none" w:sz="0" w:space="0" w:color="auto"/>
            <w:bottom w:val="none" w:sz="0" w:space="0" w:color="auto"/>
            <w:right w:val="none" w:sz="0" w:space="0" w:color="auto"/>
          </w:divBdr>
        </w:div>
        <w:div w:id="505169092">
          <w:marLeft w:val="640"/>
          <w:marRight w:val="0"/>
          <w:marTop w:val="0"/>
          <w:marBottom w:val="0"/>
          <w:divBdr>
            <w:top w:val="none" w:sz="0" w:space="0" w:color="auto"/>
            <w:left w:val="none" w:sz="0" w:space="0" w:color="auto"/>
            <w:bottom w:val="none" w:sz="0" w:space="0" w:color="auto"/>
            <w:right w:val="none" w:sz="0" w:space="0" w:color="auto"/>
          </w:divBdr>
        </w:div>
        <w:div w:id="807866761">
          <w:marLeft w:val="640"/>
          <w:marRight w:val="0"/>
          <w:marTop w:val="0"/>
          <w:marBottom w:val="0"/>
          <w:divBdr>
            <w:top w:val="none" w:sz="0" w:space="0" w:color="auto"/>
            <w:left w:val="none" w:sz="0" w:space="0" w:color="auto"/>
            <w:bottom w:val="none" w:sz="0" w:space="0" w:color="auto"/>
            <w:right w:val="none" w:sz="0" w:space="0" w:color="auto"/>
          </w:divBdr>
        </w:div>
        <w:div w:id="1303928509">
          <w:marLeft w:val="640"/>
          <w:marRight w:val="0"/>
          <w:marTop w:val="0"/>
          <w:marBottom w:val="0"/>
          <w:divBdr>
            <w:top w:val="none" w:sz="0" w:space="0" w:color="auto"/>
            <w:left w:val="none" w:sz="0" w:space="0" w:color="auto"/>
            <w:bottom w:val="none" w:sz="0" w:space="0" w:color="auto"/>
            <w:right w:val="none" w:sz="0" w:space="0" w:color="auto"/>
          </w:divBdr>
        </w:div>
        <w:div w:id="772020610">
          <w:marLeft w:val="640"/>
          <w:marRight w:val="0"/>
          <w:marTop w:val="0"/>
          <w:marBottom w:val="0"/>
          <w:divBdr>
            <w:top w:val="none" w:sz="0" w:space="0" w:color="auto"/>
            <w:left w:val="none" w:sz="0" w:space="0" w:color="auto"/>
            <w:bottom w:val="none" w:sz="0" w:space="0" w:color="auto"/>
            <w:right w:val="none" w:sz="0" w:space="0" w:color="auto"/>
          </w:divBdr>
        </w:div>
        <w:div w:id="337126166">
          <w:marLeft w:val="640"/>
          <w:marRight w:val="0"/>
          <w:marTop w:val="0"/>
          <w:marBottom w:val="0"/>
          <w:divBdr>
            <w:top w:val="none" w:sz="0" w:space="0" w:color="auto"/>
            <w:left w:val="none" w:sz="0" w:space="0" w:color="auto"/>
            <w:bottom w:val="none" w:sz="0" w:space="0" w:color="auto"/>
            <w:right w:val="none" w:sz="0" w:space="0" w:color="auto"/>
          </w:divBdr>
        </w:div>
        <w:div w:id="469438858">
          <w:marLeft w:val="640"/>
          <w:marRight w:val="0"/>
          <w:marTop w:val="0"/>
          <w:marBottom w:val="0"/>
          <w:divBdr>
            <w:top w:val="none" w:sz="0" w:space="0" w:color="auto"/>
            <w:left w:val="none" w:sz="0" w:space="0" w:color="auto"/>
            <w:bottom w:val="none" w:sz="0" w:space="0" w:color="auto"/>
            <w:right w:val="none" w:sz="0" w:space="0" w:color="auto"/>
          </w:divBdr>
        </w:div>
        <w:div w:id="1805587040">
          <w:marLeft w:val="640"/>
          <w:marRight w:val="0"/>
          <w:marTop w:val="0"/>
          <w:marBottom w:val="0"/>
          <w:divBdr>
            <w:top w:val="none" w:sz="0" w:space="0" w:color="auto"/>
            <w:left w:val="none" w:sz="0" w:space="0" w:color="auto"/>
            <w:bottom w:val="none" w:sz="0" w:space="0" w:color="auto"/>
            <w:right w:val="none" w:sz="0" w:space="0" w:color="auto"/>
          </w:divBdr>
        </w:div>
        <w:div w:id="2035570066">
          <w:marLeft w:val="640"/>
          <w:marRight w:val="0"/>
          <w:marTop w:val="0"/>
          <w:marBottom w:val="0"/>
          <w:divBdr>
            <w:top w:val="none" w:sz="0" w:space="0" w:color="auto"/>
            <w:left w:val="none" w:sz="0" w:space="0" w:color="auto"/>
            <w:bottom w:val="none" w:sz="0" w:space="0" w:color="auto"/>
            <w:right w:val="none" w:sz="0" w:space="0" w:color="auto"/>
          </w:divBdr>
        </w:div>
        <w:div w:id="1589188490">
          <w:marLeft w:val="640"/>
          <w:marRight w:val="0"/>
          <w:marTop w:val="0"/>
          <w:marBottom w:val="0"/>
          <w:divBdr>
            <w:top w:val="none" w:sz="0" w:space="0" w:color="auto"/>
            <w:left w:val="none" w:sz="0" w:space="0" w:color="auto"/>
            <w:bottom w:val="none" w:sz="0" w:space="0" w:color="auto"/>
            <w:right w:val="none" w:sz="0" w:space="0" w:color="auto"/>
          </w:divBdr>
        </w:div>
        <w:div w:id="497306038">
          <w:marLeft w:val="640"/>
          <w:marRight w:val="0"/>
          <w:marTop w:val="0"/>
          <w:marBottom w:val="0"/>
          <w:divBdr>
            <w:top w:val="none" w:sz="0" w:space="0" w:color="auto"/>
            <w:left w:val="none" w:sz="0" w:space="0" w:color="auto"/>
            <w:bottom w:val="none" w:sz="0" w:space="0" w:color="auto"/>
            <w:right w:val="none" w:sz="0" w:space="0" w:color="auto"/>
          </w:divBdr>
        </w:div>
        <w:div w:id="1451166175">
          <w:marLeft w:val="640"/>
          <w:marRight w:val="0"/>
          <w:marTop w:val="0"/>
          <w:marBottom w:val="0"/>
          <w:divBdr>
            <w:top w:val="none" w:sz="0" w:space="0" w:color="auto"/>
            <w:left w:val="none" w:sz="0" w:space="0" w:color="auto"/>
            <w:bottom w:val="none" w:sz="0" w:space="0" w:color="auto"/>
            <w:right w:val="none" w:sz="0" w:space="0" w:color="auto"/>
          </w:divBdr>
        </w:div>
        <w:div w:id="1243612084">
          <w:marLeft w:val="640"/>
          <w:marRight w:val="0"/>
          <w:marTop w:val="0"/>
          <w:marBottom w:val="0"/>
          <w:divBdr>
            <w:top w:val="none" w:sz="0" w:space="0" w:color="auto"/>
            <w:left w:val="none" w:sz="0" w:space="0" w:color="auto"/>
            <w:bottom w:val="none" w:sz="0" w:space="0" w:color="auto"/>
            <w:right w:val="none" w:sz="0" w:space="0" w:color="auto"/>
          </w:divBdr>
        </w:div>
        <w:div w:id="372315258">
          <w:marLeft w:val="640"/>
          <w:marRight w:val="0"/>
          <w:marTop w:val="0"/>
          <w:marBottom w:val="0"/>
          <w:divBdr>
            <w:top w:val="none" w:sz="0" w:space="0" w:color="auto"/>
            <w:left w:val="none" w:sz="0" w:space="0" w:color="auto"/>
            <w:bottom w:val="none" w:sz="0" w:space="0" w:color="auto"/>
            <w:right w:val="none" w:sz="0" w:space="0" w:color="auto"/>
          </w:divBdr>
        </w:div>
        <w:div w:id="290281450">
          <w:marLeft w:val="640"/>
          <w:marRight w:val="0"/>
          <w:marTop w:val="0"/>
          <w:marBottom w:val="0"/>
          <w:divBdr>
            <w:top w:val="none" w:sz="0" w:space="0" w:color="auto"/>
            <w:left w:val="none" w:sz="0" w:space="0" w:color="auto"/>
            <w:bottom w:val="none" w:sz="0" w:space="0" w:color="auto"/>
            <w:right w:val="none" w:sz="0" w:space="0" w:color="auto"/>
          </w:divBdr>
        </w:div>
        <w:div w:id="1173688956">
          <w:marLeft w:val="640"/>
          <w:marRight w:val="0"/>
          <w:marTop w:val="0"/>
          <w:marBottom w:val="0"/>
          <w:divBdr>
            <w:top w:val="none" w:sz="0" w:space="0" w:color="auto"/>
            <w:left w:val="none" w:sz="0" w:space="0" w:color="auto"/>
            <w:bottom w:val="none" w:sz="0" w:space="0" w:color="auto"/>
            <w:right w:val="none" w:sz="0" w:space="0" w:color="auto"/>
          </w:divBdr>
        </w:div>
        <w:div w:id="787822140">
          <w:marLeft w:val="640"/>
          <w:marRight w:val="0"/>
          <w:marTop w:val="0"/>
          <w:marBottom w:val="0"/>
          <w:divBdr>
            <w:top w:val="none" w:sz="0" w:space="0" w:color="auto"/>
            <w:left w:val="none" w:sz="0" w:space="0" w:color="auto"/>
            <w:bottom w:val="none" w:sz="0" w:space="0" w:color="auto"/>
            <w:right w:val="none" w:sz="0" w:space="0" w:color="auto"/>
          </w:divBdr>
        </w:div>
        <w:div w:id="1128550723">
          <w:marLeft w:val="640"/>
          <w:marRight w:val="0"/>
          <w:marTop w:val="0"/>
          <w:marBottom w:val="0"/>
          <w:divBdr>
            <w:top w:val="none" w:sz="0" w:space="0" w:color="auto"/>
            <w:left w:val="none" w:sz="0" w:space="0" w:color="auto"/>
            <w:bottom w:val="none" w:sz="0" w:space="0" w:color="auto"/>
            <w:right w:val="none" w:sz="0" w:space="0" w:color="auto"/>
          </w:divBdr>
        </w:div>
        <w:div w:id="682628990">
          <w:marLeft w:val="640"/>
          <w:marRight w:val="0"/>
          <w:marTop w:val="0"/>
          <w:marBottom w:val="0"/>
          <w:divBdr>
            <w:top w:val="none" w:sz="0" w:space="0" w:color="auto"/>
            <w:left w:val="none" w:sz="0" w:space="0" w:color="auto"/>
            <w:bottom w:val="none" w:sz="0" w:space="0" w:color="auto"/>
            <w:right w:val="none" w:sz="0" w:space="0" w:color="auto"/>
          </w:divBdr>
        </w:div>
        <w:div w:id="1125349352">
          <w:marLeft w:val="640"/>
          <w:marRight w:val="0"/>
          <w:marTop w:val="0"/>
          <w:marBottom w:val="0"/>
          <w:divBdr>
            <w:top w:val="none" w:sz="0" w:space="0" w:color="auto"/>
            <w:left w:val="none" w:sz="0" w:space="0" w:color="auto"/>
            <w:bottom w:val="none" w:sz="0" w:space="0" w:color="auto"/>
            <w:right w:val="none" w:sz="0" w:space="0" w:color="auto"/>
          </w:divBdr>
        </w:div>
        <w:div w:id="813375387">
          <w:marLeft w:val="640"/>
          <w:marRight w:val="0"/>
          <w:marTop w:val="0"/>
          <w:marBottom w:val="0"/>
          <w:divBdr>
            <w:top w:val="none" w:sz="0" w:space="0" w:color="auto"/>
            <w:left w:val="none" w:sz="0" w:space="0" w:color="auto"/>
            <w:bottom w:val="none" w:sz="0" w:space="0" w:color="auto"/>
            <w:right w:val="none" w:sz="0" w:space="0" w:color="auto"/>
          </w:divBdr>
        </w:div>
        <w:div w:id="258023574">
          <w:marLeft w:val="640"/>
          <w:marRight w:val="0"/>
          <w:marTop w:val="0"/>
          <w:marBottom w:val="0"/>
          <w:divBdr>
            <w:top w:val="none" w:sz="0" w:space="0" w:color="auto"/>
            <w:left w:val="none" w:sz="0" w:space="0" w:color="auto"/>
            <w:bottom w:val="none" w:sz="0" w:space="0" w:color="auto"/>
            <w:right w:val="none" w:sz="0" w:space="0" w:color="auto"/>
          </w:divBdr>
        </w:div>
        <w:div w:id="662007865">
          <w:marLeft w:val="640"/>
          <w:marRight w:val="0"/>
          <w:marTop w:val="0"/>
          <w:marBottom w:val="0"/>
          <w:divBdr>
            <w:top w:val="none" w:sz="0" w:space="0" w:color="auto"/>
            <w:left w:val="none" w:sz="0" w:space="0" w:color="auto"/>
            <w:bottom w:val="none" w:sz="0" w:space="0" w:color="auto"/>
            <w:right w:val="none" w:sz="0" w:space="0" w:color="auto"/>
          </w:divBdr>
        </w:div>
        <w:div w:id="1543131143">
          <w:marLeft w:val="640"/>
          <w:marRight w:val="0"/>
          <w:marTop w:val="0"/>
          <w:marBottom w:val="0"/>
          <w:divBdr>
            <w:top w:val="none" w:sz="0" w:space="0" w:color="auto"/>
            <w:left w:val="none" w:sz="0" w:space="0" w:color="auto"/>
            <w:bottom w:val="none" w:sz="0" w:space="0" w:color="auto"/>
            <w:right w:val="none" w:sz="0" w:space="0" w:color="auto"/>
          </w:divBdr>
        </w:div>
        <w:div w:id="1307010925">
          <w:marLeft w:val="640"/>
          <w:marRight w:val="0"/>
          <w:marTop w:val="0"/>
          <w:marBottom w:val="0"/>
          <w:divBdr>
            <w:top w:val="none" w:sz="0" w:space="0" w:color="auto"/>
            <w:left w:val="none" w:sz="0" w:space="0" w:color="auto"/>
            <w:bottom w:val="none" w:sz="0" w:space="0" w:color="auto"/>
            <w:right w:val="none" w:sz="0" w:space="0" w:color="auto"/>
          </w:divBdr>
        </w:div>
        <w:div w:id="1971007323">
          <w:marLeft w:val="640"/>
          <w:marRight w:val="0"/>
          <w:marTop w:val="0"/>
          <w:marBottom w:val="0"/>
          <w:divBdr>
            <w:top w:val="none" w:sz="0" w:space="0" w:color="auto"/>
            <w:left w:val="none" w:sz="0" w:space="0" w:color="auto"/>
            <w:bottom w:val="none" w:sz="0" w:space="0" w:color="auto"/>
            <w:right w:val="none" w:sz="0" w:space="0" w:color="auto"/>
          </w:divBdr>
        </w:div>
        <w:div w:id="1575164830">
          <w:marLeft w:val="640"/>
          <w:marRight w:val="0"/>
          <w:marTop w:val="0"/>
          <w:marBottom w:val="0"/>
          <w:divBdr>
            <w:top w:val="none" w:sz="0" w:space="0" w:color="auto"/>
            <w:left w:val="none" w:sz="0" w:space="0" w:color="auto"/>
            <w:bottom w:val="none" w:sz="0" w:space="0" w:color="auto"/>
            <w:right w:val="none" w:sz="0" w:space="0" w:color="auto"/>
          </w:divBdr>
        </w:div>
        <w:div w:id="125124921">
          <w:marLeft w:val="640"/>
          <w:marRight w:val="0"/>
          <w:marTop w:val="0"/>
          <w:marBottom w:val="0"/>
          <w:divBdr>
            <w:top w:val="none" w:sz="0" w:space="0" w:color="auto"/>
            <w:left w:val="none" w:sz="0" w:space="0" w:color="auto"/>
            <w:bottom w:val="none" w:sz="0" w:space="0" w:color="auto"/>
            <w:right w:val="none" w:sz="0" w:space="0" w:color="auto"/>
          </w:divBdr>
        </w:div>
        <w:div w:id="957683681">
          <w:marLeft w:val="640"/>
          <w:marRight w:val="0"/>
          <w:marTop w:val="0"/>
          <w:marBottom w:val="0"/>
          <w:divBdr>
            <w:top w:val="none" w:sz="0" w:space="0" w:color="auto"/>
            <w:left w:val="none" w:sz="0" w:space="0" w:color="auto"/>
            <w:bottom w:val="none" w:sz="0" w:space="0" w:color="auto"/>
            <w:right w:val="none" w:sz="0" w:space="0" w:color="auto"/>
          </w:divBdr>
        </w:div>
        <w:div w:id="681053216">
          <w:marLeft w:val="640"/>
          <w:marRight w:val="0"/>
          <w:marTop w:val="0"/>
          <w:marBottom w:val="0"/>
          <w:divBdr>
            <w:top w:val="none" w:sz="0" w:space="0" w:color="auto"/>
            <w:left w:val="none" w:sz="0" w:space="0" w:color="auto"/>
            <w:bottom w:val="none" w:sz="0" w:space="0" w:color="auto"/>
            <w:right w:val="none" w:sz="0" w:space="0" w:color="auto"/>
          </w:divBdr>
        </w:div>
        <w:div w:id="1062875604">
          <w:marLeft w:val="640"/>
          <w:marRight w:val="0"/>
          <w:marTop w:val="0"/>
          <w:marBottom w:val="0"/>
          <w:divBdr>
            <w:top w:val="none" w:sz="0" w:space="0" w:color="auto"/>
            <w:left w:val="none" w:sz="0" w:space="0" w:color="auto"/>
            <w:bottom w:val="none" w:sz="0" w:space="0" w:color="auto"/>
            <w:right w:val="none" w:sz="0" w:space="0" w:color="auto"/>
          </w:divBdr>
        </w:div>
        <w:div w:id="728191450">
          <w:marLeft w:val="640"/>
          <w:marRight w:val="0"/>
          <w:marTop w:val="0"/>
          <w:marBottom w:val="0"/>
          <w:divBdr>
            <w:top w:val="none" w:sz="0" w:space="0" w:color="auto"/>
            <w:left w:val="none" w:sz="0" w:space="0" w:color="auto"/>
            <w:bottom w:val="none" w:sz="0" w:space="0" w:color="auto"/>
            <w:right w:val="none" w:sz="0" w:space="0" w:color="auto"/>
          </w:divBdr>
        </w:div>
        <w:div w:id="743916913">
          <w:marLeft w:val="640"/>
          <w:marRight w:val="0"/>
          <w:marTop w:val="0"/>
          <w:marBottom w:val="0"/>
          <w:divBdr>
            <w:top w:val="none" w:sz="0" w:space="0" w:color="auto"/>
            <w:left w:val="none" w:sz="0" w:space="0" w:color="auto"/>
            <w:bottom w:val="none" w:sz="0" w:space="0" w:color="auto"/>
            <w:right w:val="none" w:sz="0" w:space="0" w:color="auto"/>
          </w:divBdr>
        </w:div>
        <w:div w:id="465976502">
          <w:marLeft w:val="640"/>
          <w:marRight w:val="0"/>
          <w:marTop w:val="0"/>
          <w:marBottom w:val="0"/>
          <w:divBdr>
            <w:top w:val="none" w:sz="0" w:space="0" w:color="auto"/>
            <w:left w:val="none" w:sz="0" w:space="0" w:color="auto"/>
            <w:bottom w:val="none" w:sz="0" w:space="0" w:color="auto"/>
            <w:right w:val="none" w:sz="0" w:space="0" w:color="auto"/>
          </w:divBdr>
        </w:div>
        <w:div w:id="918098304">
          <w:marLeft w:val="640"/>
          <w:marRight w:val="0"/>
          <w:marTop w:val="0"/>
          <w:marBottom w:val="0"/>
          <w:divBdr>
            <w:top w:val="none" w:sz="0" w:space="0" w:color="auto"/>
            <w:left w:val="none" w:sz="0" w:space="0" w:color="auto"/>
            <w:bottom w:val="none" w:sz="0" w:space="0" w:color="auto"/>
            <w:right w:val="none" w:sz="0" w:space="0" w:color="auto"/>
          </w:divBdr>
        </w:div>
        <w:div w:id="1617374359">
          <w:marLeft w:val="640"/>
          <w:marRight w:val="0"/>
          <w:marTop w:val="0"/>
          <w:marBottom w:val="0"/>
          <w:divBdr>
            <w:top w:val="none" w:sz="0" w:space="0" w:color="auto"/>
            <w:left w:val="none" w:sz="0" w:space="0" w:color="auto"/>
            <w:bottom w:val="none" w:sz="0" w:space="0" w:color="auto"/>
            <w:right w:val="none" w:sz="0" w:space="0" w:color="auto"/>
          </w:divBdr>
        </w:div>
        <w:div w:id="797332402">
          <w:marLeft w:val="640"/>
          <w:marRight w:val="0"/>
          <w:marTop w:val="0"/>
          <w:marBottom w:val="0"/>
          <w:divBdr>
            <w:top w:val="none" w:sz="0" w:space="0" w:color="auto"/>
            <w:left w:val="none" w:sz="0" w:space="0" w:color="auto"/>
            <w:bottom w:val="none" w:sz="0" w:space="0" w:color="auto"/>
            <w:right w:val="none" w:sz="0" w:space="0" w:color="auto"/>
          </w:divBdr>
        </w:div>
        <w:div w:id="2073381561">
          <w:marLeft w:val="640"/>
          <w:marRight w:val="0"/>
          <w:marTop w:val="0"/>
          <w:marBottom w:val="0"/>
          <w:divBdr>
            <w:top w:val="none" w:sz="0" w:space="0" w:color="auto"/>
            <w:left w:val="none" w:sz="0" w:space="0" w:color="auto"/>
            <w:bottom w:val="none" w:sz="0" w:space="0" w:color="auto"/>
            <w:right w:val="none" w:sz="0" w:space="0" w:color="auto"/>
          </w:divBdr>
        </w:div>
        <w:div w:id="1187138140">
          <w:marLeft w:val="640"/>
          <w:marRight w:val="0"/>
          <w:marTop w:val="0"/>
          <w:marBottom w:val="0"/>
          <w:divBdr>
            <w:top w:val="none" w:sz="0" w:space="0" w:color="auto"/>
            <w:left w:val="none" w:sz="0" w:space="0" w:color="auto"/>
            <w:bottom w:val="none" w:sz="0" w:space="0" w:color="auto"/>
            <w:right w:val="none" w:sz="0" w:space="0" w:color="auto"/>
          </w:divBdr>
        </w:div>
        <w:div w:id="1118992724">
          <w:marLeft w:val="640"/>
          <w:marRight w:val="0"/>
          <w:marTop w:val="0"/>
          <w:marBottom w:val="0"/>
          <w:divBdr>
            <w:top w:val="none" w:sz="0" w:space="0" w:color="auto"/>
            <w:left w:val="none" w:sz="0" w:space="0" w:color="auto"/>
            <w:bottom w:val="none" w:sz="0" w:space="0" w:color="auto"/>
            <w:right w:val="none" w:sz="0" w:space="0" w:color="auto"/>
          </w:divBdr>
        </w:div>
        <w:div w:id="1225027799">
          <w:marLeft w:val="640"/>
          <w:marRight w:val="0"/>
          <w:marTop w:val="0"/>
          <w:marBottom w:val="0"/>
          <w:divBdr>
            <w:top w:val="none" w:sz="0" w:space="0" w:color="auto"/>
            <w:left w:val="none" w:sz="0" w:space="0" w:color="auto"/>
            <w:bottom w:val="none" w:sz="0" w:space="0" w:color="auto"/>
            <w:right w:val="none" w:sz="0" w:space="0" w:color="auto"/>
          </w:divBdr>
        </w:div>
        <w:div w:id="98533118">
          <w:marLeft w:val="640"/>
          <w:marRight w:val="0"/>
          <w:marTop w:val="0"/>
          <w:marBottom w:val="0"/>
          <w:divBdr>
            <w:top w:val="none" w:sz="0" w:space="0" w:color="auto"/>
            <w:left w:val="none" w:sz="0" w:space="0" w:color="auto"/>
            <w:bottom w:val="none" w:sz="0" w:space="0" w:color="auto"/>
            <w:right w:val="none" w:sz="0" w:space="0" w:color="auto"/>
          </w:divBdr>
        </w:div>
        <w:div w:id="316999832">
          <w:marLeft w:val="640"/>
          <w:marRight w:val="0"/>
          <w:marTop w:val="0"/>
          <w:marBottom w:val="0"/>
          <w:divBdr>
            <w:top w:val="none" w:sz="0" w:space="0" w:color="auto"/>
            <w:left w:val="none" w:sz="0" w:space="0" w:color="auto"/>
            <w:bottom w:val="none" w:sz="0" w:space="0" w:color="auto"/>
            <w:right w:val="none" w:sz="0" w:space="0" w:color="auto"/>
          </w:divBdr>
        </w:div>
        <w:div w:id="1058750245">
          <w:marLeft w:val="640"/>
          <w:marRight w:val="0"/>
          <w:marTop w:val="0"/>
          <w:marBottom w:val="0"/>
          <w:divBdr>
            <w:top w:val="none" w:sz="0" w:space="0" w:color="auto"/>
            <w:left w:val="none" w:sz="0" w:space="0" w:color="auto"/>
            <w:bottom w:val="none" w:sz="0" w:space="0" w:color="auto"/>
            <w:right w:val="none" w:sz="0" w:space="0" w:color="auto"/>
          </w:divBdr>
        </w:div>
        <w:div w:id="2136215244">
          <w:marLeft w:val="640"/>
          <w:marRight w:val="0"/>
          <w:marTop w:val="0"/>
          <w:marBottom w:val="0"/>
          <w:divBdr>
            <w:top w:val="none" w:sz="0" w:space="0" w:color="auto"/>
            <w:left w:val="none" w:sz="0" w:space="0" w:color="auto"/>
            <w:bottom w:val="none" w:sz="0" w:space="0" w:color="auto"/>
            <w:right w:val="none" w:sz="0" w:space="0" w:color="auto"/>
          </w:divBdr>
        </w:div>
        <w:div w:id="745687090">
          <w:marLeft w:val="640"/>
          <w:marRight w:val="0"/>
          <w:marTop w:val="0"/>
          <w:marBottom w:val="0"/>
          <w:divBdr>
            <w:top w:val="none" w:sz="0" w:space="0" w:color="auto"/>
            <w:left w:val="none" w:sz="0" w:space="0" w:color="auto"/>
            <w:bottom w:val="none" w:sz="0" w:space="0" w:color="auto"/>
            <w:right w:val="none" w:sz="0" w:space="0" w:color="auto"/>
          </w:divBdr>
        </w:div>
        <w:div w:id="1112095056">
          <w:marLeft w:val="640"/>
          <w:marRight w:val="0"/>
          <w:marTop w:val="0"/>
          <w:marBottom w:val="0"/>
          <w:divBdr>
            <w:top w:val="none" w:sz="0" w:space="0" w:color="auto"/>
            <w:left w:val="none" w:sz="0" w:space="0" w:color="auto"/>
            <w:bottom w:val="none" w:sz="0" w:space="0" w:color="auto"/>
            <w:right w:val="none" w:sz="0" w:space="0" w:color="auto"/>
          </w:divBdr>
        </w:div>
        <w:div w:id="1365908200">
          <w:marLeft w:val="640"/>
          <w:marRight w:val="0"/>
          <w:marTop w:val="0"/>
          <w:marBottom w:val="0"/>
          <w:divBdr>
            <w:top w:val="none" w:sz="0" w:space="0" w:color="auto"/>
            <w:left w:val="none" w:sz="0" w:space="0" w:color="auto"/>
            <w:bottom w:val="none" w:sz="0" w:space="0" w:color="auto"/>
            <w:right w:val="none" w:sz="0" w:space="0" w:color="auto"/>
          </w:divBdr>
        </w:div>
        <w:div w:id="1117944030">
          <w:marLeft w:val="640"/>
          <w:marRight w:val="0"/>
          <w:marTop w:val="0"/>
          <w:marBottom w:val="0"/>
          <w:divBdr>
            <w:top w:val="none" w:sz="0" w:space="0" w:color="auto"/>
            <w:left w:val="none" w:sz="0" w:space="0" w:color="auto"/>
            <w:bottom w:val="none" w:sz="0" w:space="0" w:color="auto"/>
            <w:right w:val="none" w:sz="0" w:space="0" w:color="auto"/>
          </w:divBdr>
        </w:div>
        <w:div w:id="169682199">
          <w:marLeft w:val="640"/>
          <w:marRight w:val="0"/>
          <w:marTop w:val="0"/>
          <w:marBottom w:val="0"/>
          <w:divBdr>
            <w:top w:val="none" w:sz="0" w:space="0" w:color="auto"/>
            <w:left w:val="none" w:sz="0" w:space="0" w:color="auto"/>
            <w:bottom w:val="none" w:sz="0" w:space="0" w:color="auto"/>
            <w:right w:val="none" w:sz="0" w:space="0" w:color="auto"/>
          </w:divBdr>
        </w:div>
        <w:div w:id="1846360179">
          <w:marLeft w:val="640"/>
          <w:marRight w:val="0"/>
          <w:marTop w:val="0"/>
          <w:marBottom w:val="0"/>
          <w:divBdr>
            <w:top w:val="none" w:sz="0" w:space="0" w:color="auto"/>
            <w:left w:val="none" w:sz="0" w:space="0" w:color="auto"/>
            <w:bottom w:val="none" w:sz="0" w:space="0" w:color="auto"/>
            <w:right w:val="none" w:sz="0" w:space="0" w:color="auto"/>
          </w:divBdr>
        </w:div>
        <w:div w:id="856652163">
          <w:marLeft w:val="640"/>
          <w:marRight w:val="0"/>
          <w:marTop w:val="0"/>
          <w:marBottom w:val="0"/>
          <w:divBdr>
            <w:top w:val="none" w:sz="0" w:space="0" w:color="auto"/>
            <w:left w:val="none" w:sz="0" w:space="0" w:color="auto"/>
            <w:bottom w:val="none" w:sz="0" w:space="0" w:color="auto"/>
            <w:right w:val="none" w:sz="0" w:space="0" w:color="auto"/>
          </w:divBdr>
        </w:div>
        <w:div w:id="851845296">
          <w:marLeft w:val="640"/>
          <w:marRight w:val="0"/>
          <w:marTop w:val="0"/>
          <w:marBottom w:val="0"/>
          <w:divBdr>
            <w:top w:val="none" w:sz="0" w:space="0" w:color="auto"/>
            <w:left w:val="none" w:sz="0" w:space="0" w:color="auto"/>
            <w:bottom w:val="none" w:sz="0" w:space="0" w:color="auto"/>
            <w:right w:val="none" w:sz="0" w:space="0" w:color="auto"/>
          </w:divBdr>
        </w:div>
        <w:div w:id="84739549">
          <w:marLeft w:val="640"/>
          <w:marRight w:val="0"/>
          <w:marTop w:val="0"/>
          <w:marBottom w:val="0"/>
          <w:divBdr>
            <w:top w:val="none" w:sz="0" w:space="0" w:color="auto"/>
            <w:left w:val="none" w:sz="0" w:space="0" w:color="auto"/>
            <w:bottom w:val="none" w:sz="0" w:space="0" w:color="auto"/>
            <w:right w:val="none" w:sz="0" w:space="0" w:color="auto"/>
          </w:divBdr>
        </w:div>
        <w:div w:id="2107731301">
          <w:marLeft w:val="640"/>
          <w:marRight w:val="0"/>
          <w:marTop w:val="0"/>
          <w:marBottom w:val="0"/>
          <w:divBdr>
            <w:top w:val="none" w:sz="0" w:space="0" w:color="auto"/>
            <w:left w:val="none" w:sz="0" w:space="0" w:color="auto"/>
            <w:bottom w:val="none" w:sz="0" w:space="0" w:color="auto"/>
            <w:right w:val="none" w:sz="0" w:space="0" w:color="auto"/>
          </w:divBdr>
        </w:div>
        <w:div w:id="1695182695">
          <w:marLeft w:val="640"/>
          <w:marRight w:val="0"/>
          <w:marTop w:val="0"/>
          <w:marBottom w:val="0"/>
          <w:divBdr>
            <w:top w:val="none" w:sz="0" w:space="0" w:color="auto"/>
            <w:left w:val="none" w:sz="0" w:space="0" w:color="auto"/>
            <w:bottom w:val="none" w:sz="0" w:space="0" w:color="auto"/>
            <w:right w:val="none" w:sz="0" w:space="0" w:color="auto"/>
          </w:divBdr>
        </w:div>
        <w:div w:id="2123643355">
          <w:marLeft w:val="640"/>
          <w:marRight w:val="0"/>
          <w:marTop w:val="0"/>
          <w:marBottom w:val="0"/>
          <w:divBdr>
            <w:top w:val="none" w:sz="0" w:space="0" w:color="auto"/>
            <w:left w:val="none" w:sz="0" w:space="0" w:color="auto"/>
            <w:bottom w:val="none" w:sz="0" w:space="0" w:color="auto"/>
            <w:right w:val="none" w:sz="0" w:space="0" w:color="auto"/>
          </w:divBdr>
        </w:div>
        <w:div w:id="734862895">
          <w:marLeft w:val="640"/>
          <w:marRight w:val="0"/>
          <w:marTop w:val="0"/>
          <w:marBottom w:val="0"/>
          <w:divBdr>
            <w:top w:val="none" w:sz="0" w:space="0" w:color="auto"/>
            <w:left w:val="none" w:sz="0" w:space="0" w:color="auto"/>
            <w:bottom w:val="none" w:sz="0" w:space="0" w:color="auto"/>
            <w:right w:val="none" w:sz="0" w:space="0" w:color="auto"/>
          </w:divBdr>
        </w:div>
        <w:div w:id="220673409">
          <w:marLeft w:val="640"/>
          <w:marRight w:val="0"/>
          <w:marTop w:val="0"/>
          <w:marBottom w:val="0"/>
          <w:divBdr>
            <w:top w:val="none" w:sz="0" w:space="0" w:color="auto"/>
            <w:left w:val="none" w:sz="0" w:space="0" w:color="auto"/>
            <w:bottom w:val="none" w:sz="0" w:space="0" w:color="auto"/>
            <w:right w:val="none" w:sz="0" w:space="0" w:color="auto"/>
          </w:divBdr>
        </w:div>
        <w:div w:id="504247014">
          <w:marLeft w:val="640"/>
          <w:marRight w:val="0"/>
          <w:marTop w:val="0"/>
          <w:marBottom w:val="0"/>
          <w:divBdr>
            <w:top w:val="none" w:sz="0" w:space="0" w:color="auto"/>
            <w:left w:val="none" w:sz="0" w:space="0" w:color="auto"/>
            <w:bottom w:val="none" w:sz="0" w:space="0" w:color="auto"/>
            <w:right w:val="none" w:sz="0" w:space="0" w:color="auto"/>
          </w:divBdr>
        </w:div>
        <w:div w:id="762069857">
          <w:marLeft w:val="640"/>
          <w:marRight w:val="0"/>
          <w:marTop w:val="0"/>
          <w:marBottom w:val="0"/>
          <w:divBdr>
            <w:top w:val="none" w:sz="0" w:space="0" w:color="auto"/>
            <w:left w:val="none" w:sz="0" w:space="0" w:color="auto"/>
            <w:bottom w:val="none" w:sz="0" w:space="0" w:color="auto"/>
            <w:right w:val="none" w:sz="0" w:space="0" w:color="auto"/>
          </w:divBdr>
        </w:div>
        <w:div w:id="1980067939">
          <w:marLeft w:val="640"/>
          <w:marRight w:val="0"/>
          <w:marTop w:val="0"/>
          <w:marBottom w:val="0"/>
          <w:divBdr>
            <w:top w:val="none" w:sz="0" w:space="0" w:color="auto"/>
            <w:left w:val="none" w:sz="0" w:space="0" w:color="auto"/>
            <w:bottom w:val="none" w:sz="0" w:space="0" w:color="auto"/>
            <w:right w:val="none" w:sz="0" w:space="0" w:color="auto"/>
          </w:divBdr>
        </w:div>
        <w:div w:id="542719821">
          <w:marLeft w:val="640"/>
          <w:marRight w:val="0"/>
          <w:marTop w:val="0"/>
          <w:marBottom w:val="0"/>
          <w:divBdr>
            <w:top w:val="none" w:sz="0" w:space="0" w:color="auto"/>
            <w:left w:val="none" w:sz="0" w:space="0" w:color="auto"/>
            <w:bottom w:val="none" w:sz="0" w:space="0" w:color="auto"/>
            <w:right w:val="none" w:sz="0" w:space="0" w:color="auto"/>
          </w:divBdr>
        </w:div>
        <w:div w:id="2084138479">
          <w:marLeft w:val="640"/>
          <w:marRight w:val="0"/>
          <w:marTop w:val="0"/>
          <w:marBottom w:val="0"/>
          <w:divBdr>
            <w:top w:val="none" w:sz="0" w:space="0" w:color="auto"/>
            <w:left w:val="none" w:sz="0" w:space="0" w:color="auto"/>
            <w:bottom w:val="none" w:sz="0" w:space="0" w:color="auto"/>
            <w:right w:val="none" w:sz="0" w:space="0" w:color="auto"/>
          </w:divBdr>
        </w:div>
        <w:div w:id="250624409">
          <w:marLeft w:val="640"/>
          <w:marRight w:val="0"/>
          <w:marTop w:val="0"/>
          <w:marBottom w:val="0"/>
          <w:divBdr>
            <w:top w:val="none" w:sz="0" w:space="0" w:color="auto"/>
            <w:left w:val="none" w:sz="0" w:space="0" w:color="auto"/>
            <w:bottom w:val="none" w:sz="0" w:space="0" w:color="auto"/>
            <w:right w:val="none" w:sz="0" w:space="0" w:color="auto"/>
          </w:divBdr>
        </w:div>
        <w:div w:id="1303149034">
          <w:marLeft w:val="640"/>
          <w:marRight w:val="0"/>
          <w:marTop w:val="0"/>
          <w:marBottom w:val="0"/>
          <w:divBdr>
            <w:top w:val="none" w:sz="0" w:space="0" w:color="auto"/>
            <w:left w:val="none" w:sz="0" w:space="0" w:color="auto"/>
            <w:bottom w:val="none" w:sz="0" w:space="0" w:color="auto"/>
            <w:right w:val="none" w:sz="0" w:space="0" w:color="auto"/>
          </w:divBdr>
        </w:div>
        <w:div w:id="644311503">
          <w:marLeft w:val="640"/>
          <w:marRight w:val="0"/>
          <w:marTop w:val="0"/>
          <w:marBottom w:val="0"/>
          <w:divBdr>
            <w:top w:val="none" w:sz="0" w:space="0" w:color="auto"/>
            <w:left w:val="none" w:sz="0" w:space="0" w:color="auto"/>
            <w:bottom w:val="none" w:sz="0" w:space="0" w:color="auto"/>
            <w:right w:val="none" w:sz="0" w:space="0" w:color="auto"/>
          </w:divBdr>
        </w:div>
        <w:div w:id="1352756827">
          <w:marLeft w:val="640"/>
          <w:marRight w:val="0"/>
          <w:marTop w:val="0"/>
          <w:marBottom w:val="0"/>
          <w:divBdr>
            <w:top w:val="none" w:sz="0" w:space="0" w:color="auto"/>
            <w:left w:val="none" w:sz="0" w:space="0" w:color="auto"/>
            <w:bottom w:val="none" w:sz="0" w:space="0" w:color="auto"/>
            <w:right w:val="none" w:sz="0" w:space="0" w:color="auto"/>
          </w:divBdr>
        </w:div>
        <w:div w:id="1097562425">
          <w:marLeft w:val="640"/>
          <w:marRight w:val="0"/>
          <w:marTop w:val="0"/>
          <w:marBottom w:val="0"/>
          <w:divBdr>
            <w:top w:val="none" w:sz="0" w:space="0" w:color="auto"/>
            <w:left w:val="none" w:sz="0" w:space="0" w:color="auto"/>
            <w:bottom w:val="none" w:sz="0" w:space="0" w:color="auto"/>
            <w:right w:val="none" w:sz="0" w:space="0" w:color="auto"/>
          </w:divBdr>
        </w:div>
      </w:divsChild>
    </w:div>
    <w:div w:id="763574173">
      <w:bodyDiv w:val="1"/>
      <w:marLeft w:val="0"/>
      <w:marRight w:val="0"/>
      <w:marTop w:val="0"/>
      <w:marBottom w:val="0"/>
      <w:divBdr>
        <w:top w:val="none" w:sz="0" w:space="0" w:color="auto"/>
        <w:left w:val="none" w:sz="0" w:space="0" w:color="auto"/>
        <w:bottom w:val="none" w:sz="0" w:space="0" w:color="auto"/>
        <w:right w:val="none" w:sz="0" w:space="0" w:color="auto"/>
      </w:divBdr>
    </w:div>
    <w:div w:id="769618318">
      <w:bodyDiv w:val="1"/>
      <w:marLeft w:val="0"/>
      <w:marRight w:val="0"/>
      <w:marTop w:val="0"/>
      <w:marBottom w:val="0"/>
      <w:divBdr>
        <w:top w:val="none" w:sz="0" w:space="0" w:color="auto"/>
        <w:left w:val="none" w:sz="0" w:space="0" w:color="auto"/>
        <w:bottom w:val="none" w:sz="0" w:space="0" w:color="auto"/>
        <w:right w:val="none" w:sz="0" w:space="0" w:color="auto"/>
      </w:divBdr>
    </w:div>
    <w:div w:id="771509916">
      <w:bodyDiv w:val="1"/>
      <w:marLeft w:val="0"/>
      <w:marRight w:val="0"/>
      <w:marTop w:val="0"/>
      <w:marBottom w:val="0"/>
      <w:divBdr>
        <w:top w:val="none" w:sz="0" w:space="0" w:color="auto"/>
        <w:left w:val="none" w:sz="0" w:space="0" w:color="auto"/>
        <w:bottom w:val="none" w:sz="0" w:space="0" w:color="auto"/>
        <w:right w:val="none" w:sz="0" w:space="0" w:color="auto"/>
      </w:divBdr>
    </w:div>
    <w:div w:id="775055042">
      <w:bodyDiv w:val="1"/>
      <w:marLeft w:val="0"/>
      <w:marRight w:val="0"/>
      <w:marTop w:val="0"/>
      <w:marBottom w:val="0"/>
      <w:divBdr>
        <w:top w:val="none" w:sz="0" w:space="0" w:color="auto"/>
        <w:left w:val="none" w:sz="0" w:space="0" w:color="auto"/>
        <w:bottom w:val="none" w:sz="0" w:space="0" w:color="auto"/>
        <w:right w:val="none" w:sz="0" w:space="0" w:color="auto"/>
      </w:divBdr>
    </w:div>
    <w:div w:id="779642641">
      <w:bodyDiv w:val="1"/>
      <w:marLeft w:val="0"/>
      <w:marRight w:val="0"/>
      <w:marTop w:val="0"/>
      <w:marBottom w:val="0"/>
      <w:divBdr>
        <w:top w:val="none" w:sz="0" w:space="0" w:color="auto"/>
        <w:left w:val="none" w:sz="0" w:space="0" w:color="auto"/>
        <w:bottom w:val="none" w:sz="0" w:space="0" w:color="auto"/>
        <w:right w:val="none" w:sz="0" w:space="0" w:color="auto"/>
      </w:divBdr>
    </w:div>
    <w:div w:id="781532159">
      <w:bodyDiv w:val="1"/>
      <w:marLeft w:val="0"/>
      <w:marRight w:val="0"/>
      <w:marTop w:val="0"/>
      <w:marBottom w:val="0"/>
      <w:divBdr>
        <w:top w:val="none" w:sz="0" w:space="0" w:color="auto"/>
        <w:left w:val="none" w:sz="0" w:space="0" w:color="auto"/>
        <w:bottom w:val="none" w:sz="0" w:space="0" w:color="auto"/>
        <w:right w:val="none" w:sz="0" w:space="0" w:color="auto"/>
      </w:divBdr>
    </w:div>
    <w:div w:id="785463556">
      <w:bodyDiv w:val="1"/>
      <w:marLeft w:val="0"/>
      <w:marRight w:val="0"/>
      <w:marTop w:val="0"/>
      <w:marBottom w:val="0"/>
      <w:divBdr>
        <w:top w:val="none" w:sz="0" w:space="0" w:color="auto"/>
        <w:left w:val="none" w:sz="0" w:space="0" w:color="auto"/>
        <w:bottom w:val="none" w:sz="0" w:space="0" w:color="auto"/>
        <w:right w:val="none" w:sz="0" w:space="0" w:color="auto"/>
      </w:divBdr>
    </w:div>
    <w:div w:id="788478070">
      <w:bodyDiv w:val="1"/>
      <w:marLeft w:val="0"/>
      <w:marRight w:val="0"/>
      <w:marTop w:val="0"/>
      <w:marBottom w:val="0"/>
      <w:divBdr>
        <w:top w:val="none" w:sz="0" w:space="0" w:color="auto"/>
        <w:left w:val="none" w:sz="0" w:space="0" w:color="auto"/>
        <w:bottom w:val="none" w:sz="0" w:space="0" w:color="auto"/>
        <w:right w:val="none" w:sz="0" w:space="0" w:color="auto"/>
      </w:divBdr>
    </w:div>
    <w:div w:id="793017327">
      <w:bodyDiv w:val="1"/>
      <w:marLeft w:val="0"/>
      <w:marRight w:val="0"/>
      <w:marTop w:val="0"/>
      <w:marBottom w:val="0"/>
      <w:divBdr>
        <w:top w:val="none" w:sz="0" w:space="0" w:color="auto"/>
        <w:left w:val="none" w:sz="0" w:space="0" w:color="auto"/>
        <w:bottom w:val="none" w:sz="0" w:space="0" w:color="auto"/>
        <w:right w:val="none" w:sz="0" w:space="0" w:color="auto"/>
      </w:divBdr>
    </w:div>
    <w:div w:id="794642907">
      <w:bodyDiv w:val="1"/>
      <w:marLeft w:val="0"/>
      <w:marRight w:val="0"/>
      <w:marTop w:val="0"/>
      <w:marBottom w:val="0"/>
      <w:divBdr>
        <w:top w:val="none" w:sz="0" w:space="0" w:color="auto"/>
        <w:left w:val="none" w:sz="0" w:space="0" w:color="auto"/>
        <w:bottom w:val="none" w:sz="0" w:space="0" w:color="auto"/>
        <w:right w:val="none" w:sz="0" w:space="0" w:color="auto"/>
      </w:divBdr>
    </w:div>
    <w:div w:id="794713285">
      <w:bodyDiv w:val="1"/>
      <w:marLeft w:val="0"/>
      <w:marRight w:val="0"/>
      <w:marTop w:val="0"/>
      <w:marBottom w:val="0"/>
      <w:divBdr>
        <w:top w:val="none" w:sz="0" w:space="0" w:color="auto"/>
        <w:left w:val="none" w:sz="0" w:space="0" w:color="auto"/>
        <w:bottom w:val="none" w:sz="0" w:space="0" w:color="auto"/>
        <w:right w:val="none" w:sz="0" w:space="0" w:color="auto"/>
      </w:divBdr>
    </w:div>
    <w:div w:id="796222666">
      <w:bodyDiv w:val="1"/>
      <w:marLeft w:val="0"/>
      <w:marRight w:val="0"/>
      <w:marTop w:val="0"/>
      <w:marBottom w:val="0"/>
      <w:divBdr>
        <w:top w:val="none" w:sz="0" w:space="0" w:color="auto"/>
        <w:left w:val="none" w:sz="0" w:space="0" w:color="auto"/>
        <w:bottom w:val="none" w:sz="0" w:space="0" w:color="auto"/>
        <w:right w:val="none" w:sz="0" w:space="0" w:color="auto"/>
      </w:divBdr>
    </w:div>
    <w:div w:id="800221571">
      <w:bodyDiv w:val="1"/>
      <w:marLeft w:val="0"/>
      <w:marRight w:val="0"/>
      <w:marTop w:val="0"/>
      <w:marBottom w:val="0"/>
      <w:divBdr>
        <w:top w:val="none" w:sz="0" w:space="0" w:color="auto"/>
        <w:left w:val="none" w:sz="0" w:space="0" w:color="auto"/>
        <w:bottom w:val="none" w:sz="0" w:space="0" w:color="auto"/>
        <w:right w:val="none" w:sz="0" w:space="0" w:color="auto"/>
      </w:divBdr>
    </w:div>
    <w:div w:id="800346349">
      <w:bodyDiv w:val="1"/>
      <w:marLeft w:val="0"/>
      <w:marRight w:val="0"/>
      <w:marTop w:val="0"/>
      <w:marBottom w:val="0"/>
      <w:divBdr>
        <w:top w:val="none" w:sz="0" w:space="0" w:color="auto"/>
        <w:left w:val="none" w:sz="0" w:space="0" w:color="auto"/>
        <w:bottom w:val="none" w:sz="0" w:space="0" w:color="auto"/>
        <w:right w:val="none" w:sz="0" w:space="0" w:color="auto"/>
      </w:divBdr>
    </w:div>
    <w:div w:id="800391422">
      <w:bodyDiv w:val="1"/>
      <w:marLeft w:val="0"/>
      <w:marRight w:val="0"/>
      <w:marTop w:val="0"/>
      <w:marBottom w:val="0"/>
      <w:divBdr>
        <w:top w:val="none" w:sz="0" w:space="0" w:color="auto"/>
        <w:left w:val="none" w:sz="0" w:space="0" w:color="auto"/>
        <w:bottom w:val="none" w:sz="0" w:space="0" w:color="auto"/>
        <w:right w:val="none" w:sz="0" w:space="0" w:color="auto"/>
      </w:divBdr>
    </w:div>
    <w:div w:id="800659485">
      <w:bodyDiv w:val="1"/>
      <w:marLeft w:val="0"/>
      <w:marRight w:val="0"/>
      <w:marTop w:val="0"/>
      <w:marBottom w:val="0"/>
      <w:divBdr>
        <w:top w:val="none" w:sz="0" w:space="0" w:color="auto"/>
        <w:left w:val="none" w:sz="0" w:space="0" w:color="auto"/>
        <w:bottom w:val="none" w:sz="0" w:space="0" w:color="auto"/>
        <w:right w:val="none" w:sz="0" w:space="0" w:color="auto"/>
      </w:divBdr>
    </w:div>
    <w:div w:id="803618998">
      <w:bodyDiv w:val="1"/>
      <w:marLeft w:val="0"/>
      <w:marRight w:val="0"/>
      <w:marTop w:val="0"/>
      <w:marBottom w:val="0"/>
      <w:divBdr>
        <w:top w:val="none" w:sz="0" w:space="0" w:color="auto"/>
        <w:left w:val="none" w:sz="0" w:space="0" w:color="auto"/>
        <w:bottom w:val="none" w:sz="0" w:space="0" w:color="auto"/>
        <w:right w:val="none" w:sz="0" w:space="0" w:color="auto"/>
      </w:divBdr>
    </w:div>
    <w:div w:id="803735070">
      <w:bodyDiv w:val="1"/>
      <w:marLeft w:val="0"/>
      <w:marRight w:val="0"/>
      <w:marTop w:val="0"/>
      <w:marBottom w:val="0"/>
      <w:divBdr>
        <w:top w:val="none" w:sz="0" w:space="0" w:color="auto"/>
        <w:left w:val="none" w:sz="0" w:space="0" w:color="auto"/>
        <w:bottom w:val="none" w:sz="0" w:space="0" w:color="auto"/>
        <w:right w:val="none" w:sz="0" w:space="0" w:color="auto"/>
      </w:divBdr>
    </w:div>
    <w:div w:id="803885465">
      <w:bodyDiv w:val="1"/>
      <w:marLeft w:val="0"/>
      <w:marRight w:val="0"/>
      <w:marTop w:val="0"/>
      <w:marBottom w:val="0"/>
      <w:divBdr>
        <w:top w:val="none" w:sz="0" w:space="0" w:color="auto"/>
        <w:left w:val="none" w:sz="0" w:space="0" w:color="auto"/>
        <w:bottom w:val="none" w:sz="0" w:space="0" w:color="auto"/>
        <w:right w:val="none" w:sz="0" w:space="0" w:color="auto"/>
      </w:divBdr>
    </w:div>
    <w:div w:id="805664051">
      <w:bodyDiv w:val="1"/>
      <w:marLeft w:val="0"/>
      <w:marRight w:val="0"/>
      <w:marTop w:val="0"/>
      <w:marBottom w:val="0"/>
      <w:divBdr>
        <w:top w:val="none" w:sz="0" w:space="0" w:color="auto"/>
        <w:left w:val="none" w:sz="0" w:space="0" w:color="auto"/>
        <w:bottom w:val="none" w:sz="0" w:space="0" w:color="auto"/>
        <w:right w:val="none" w:sz="0" w:space="0" w:color="auto"/>
      </w:divBdr>
    </w:div>
    <w:div w:id="805780960">
      <w:bodyDiv w:val="1"/>
      <w:marLeft w:val="0"/>
      <w:marRight w:val="0"/>
      <w:marTop w:val="0"/>
      <w:marBottom w:val="0"/>
      <w:divBdr>
        <w:top w:val="none" w:sz="0" w:space="0" w:color="auto"/>
        <w:left w:val="none" w:sz="0" w:space="0" w:color="auto"/>
        <w:bottom w:val="none" w:sz="0" w:space="0" w:color="auto"/>
        <w:right w:val="none" w:sz="0" w:space="0" w:color="auto"/>
      </w:divBdr>
    </w:div>
    <w:div w:id="809245551">
      <w:bodyDiv w:val="1"/>
      <w:marLeft w:val="0"/>
      <w:marRight w:val="0"/>
      <w:marTop w:val="0"/>
      <w:marBottom w:val="0"/>
      <w:divBdr>
        <w:top w:val="none" w:sz="0" w:space="0" w:color="auto"/>
        <w:left w:val="none" w:sz="0" w:space="0" w:color="auto"/>
        <w:bottom w:val="none" w:sz="0" w:space="0" w:color="auto"/>
        <w:right w:val="none" w:sz="0" w:space="0" w:color="auto"/>
      </w:divBdr>
    </w:div>
    <w:div w:id="811799592">
      <w:bodyDiv w:val="1"/>
      <w:marLeft w:val="0"/>
      <w:marRight w:val="0"/>
      <w:marTop w:val="0"/>
      <w:marBottom w:val="0"/>
      <w:divBdr>
        <w:top w:val="none" w:sz="0" w:space="0" w:color="auto"/>
        <w:left w:val="none" w:sz="0" w:space="0" w:color="auto"/>
        <w:bottom w:val="none" w:sz="0" w:space="0" w:color="auto"/>
        <w:right w:val="none" w:sz="0" w:space="0" w:color="auto"/>
      </w:divBdr>
    </w:div>
    <w:div w:id="813260836">
      <w:bodyDiv w:val="1"/>
      <w:marLeft w:val="0"/>
      <w:marRight w:val="0"/>
      <w:marTop w:val="0"/>
      <w:marBottom w:val="0"/>
      <w:divBdr>
        <w:top w:val="none" w:sz="0" w:space="0" w:color="auto"/>
        <w:left w:val="none" w:sz="0" w:space="0" w:color="auto"/>
        <w:bottom w:val="none" w:sz="0" w:space="0" w:color="auto"/>
        <w:right w:val="none" w:sz="0" w:space="0" w:color="auto"/>
      </w:divBdr>
    </w:div>
    <w:div w:id="814569149">
      <w:bodyDiv w:val="1"/>
      <w:marLeft w:val="0"/>
      <w:marRight w:val="0"/>
      <w:marTop w:val="0"/>
      <w:marBottom w:val="0"/>
      <w:divBdr>
        <w:top w:val="none" w:sz="0" w:space="0" w:color="auto"/>
        <w:left w:val="none" w:sz="0" w:space="0" w:color="auto"/>
        <w:bottom w:val="none" w:sz="0" w:space="0" w:color="auto"/>
        <w:right w:val="none" w:sz="0" w:space="0" w:color="auto"/>
      </w:divBdr>
    </w:div>
    <w:div w:id="815344266">
      <w:bodyDiv w:val="1"/>
      <w:marLeft w:val="0"/>
      <w:marRight w:val="0"/>
      <w:marTop w:val="0"/>
      <w:marBottom w:val="0"/>
      <w:divBdr>
        <w:top w:val="none" w:sz="0" w:space="0" w:color="auto"/>
        <w:left w:val="none" w:sz="0" w:space="0" w:color="auto"/>
        <w:bottom w:val="none" w:sz="0" w:space="0" w:color="auto"/>
        <w:right w:val="none" w:sz="0" w:space="0" w:color="auto"/>
      </w:divBdr>
    </w:div>
    <w:div w:id="816141331">
      <w:bodyDiv w:val="1"/>
      <w:marLeft w:val="0"/>
      <w:marRight w:val="0"/>
      <w:marTop w:val="0"/>
      <w:marBottom w:val="0"/>
      <w:divBdr>
        <w:top w:val="none" w:sz="0" w:space="0" w:color="auto"/>
        <w:left w:val="none" w:sz="0" w:space="0" w:color="auto"/>
        <w:bottom w:val="none" w:sz="0" w:space="0" w:color="auto"/>
        <w:right w:val="none" w:sz="0" w:space="0" w:color="auto"/>
      </w:divBdr>
    </w:div>
    <w:div w:id="816191408">
      <w:bodyDiv w:val="1"/>
      <w:marLeft w:val="0"/>
      <w:marRight w:val="0"/>
      <w:marTop w:val="0"/>
      <w:marBottom w:val="0"/>
      <w:divBdr>
        <w:top w:val="none" w:sz="0" w:space="0" w:color="auto"/>
        <w:left w:val="none" w:sz="0" w:space="0" w:color="auto"/>
        <w:bottom w:val="none" w:sz="0" w:space="0" w:color="auto"/>
        <w:right w:val="none" w:sz="0" w:space="0" w:color="auto"/>
      </w:divBdr>
    </w:div>
    <w:div w:id="817920677">
      <w:bodyDiv w:val="1"/>
      <w:marLeft w:val="0"/>
      <w:marRight w:val="0"/>
      <w:marTop w:val="0"/>
      <w:marBottom w:val="0"/>
      <w:divBdr>
        <w:top w:val="none" w:sz="0" w:space="0" w:color="auto"/>
        <w:left w:val="none" w:sz="0" w:space="0" w:color="auto"/>
        <w:bottom w:val="none" w:sz="0" w:space="0" w:color="auto"/>
        <w:right w:val="none" w:sz="0" w:space="0" w:color="auto"/>
      </w:divBdr>
    </w:div>
    <w:div w:id="818957233">
      <w:bodyDiv w:val="1"/>
      <w:marLeft w:val="0"/>
      <w:marRight w:val="0"/>
      <w:marTop w:val="0"/>
      <w:marBottom w:val="0"/>
      <w:divBdr>
        <w:top w:val="none" w:sz="0" w:space="0" w:color="auto"/>
        <w:left w:val="none" w:sz="0" w:space="0" w:color="auto"/>
        <w:bottom w:val="none" w:sz="0" w:space="0" w:color="auto"/>
        <w:right w:val="none" w:sz="0" w:space="0" w:color="auto"/>
      </w:divBdr>
    </w:div>
    <w:div w:id="819080711">
      <w:bodyDiv w:val="1"/>
      <w:marLeft w:val="0"/>
      <w:marRight w:val="0"/>
      <w:marTop w:val="0"/>
      <w:marBottom w:val="0"/>
      <w:divBdr>
        <w:top w:val="none" w:sz="0" w:space="0" w:color="auto"/>
        <w:left w:val="none" w:sz="0" w:space="0" w:color="auto"/>
        <w:bottom w:val="none" w:sz="0" w:space="0" w:color="auto"/>
        <w:right w:val="none" w:sz="0" w:space="0" w:color="auto"/>
      </w:divBdr>
    </w:div>
    <w:div w:id="820534919">
      <w:bodyDiv w:val="1"/>
      <w:marLeft w:val="0"/>
      <w:marRight w:val="0"/>
      <w:marTop w:val="0"/>
      <w:marBottom w:val="0"/>
      <w:divBdr>
        <w:top w:val="none" w:sz="0" w:space="0" w:color="auto"/>
        <w:left w:val="none" w:sz="0" w:space="0" w:color="auto"/>
        <w:bottom w:val="none" w:sz="0" w:space="0" w:color="auto"/>
        <w:right w:val="none" w:sz="0" w:space="0" w:color="auto"/>
      </w:divBdr>
    </w:div>
    <w:div w:id="820540158">
      <w:bodyDiv w:val="1"/>
      <w:marLeft w:val="0"/>
      <w:marRight w:val="0"/>
      <w:marTop w:val="0"/>
      <w:marBottom w:val="0"/>
      <w:divBdr>
        <w:top w:val="none" w:sz="0" w:space="0" w:color="auto"/>
        <w:left w:val="none" w:sz="0" w:space="0" w:color="auto"/>
        <w:bottom w:val="none" w:sz="0" w:space="0" w:color="auto"/>
        <w:right w:val="none" w:sz="0" w:space="0" w:color="auto"/>
      </w:divBdr>
    </w:div>
    <w:div w:id="821044997">
      <w:bodyDiv w:val="1"/>
      <w:marLeft w:val="0"/>
      <w:marRight w:val="0"/>
      <w:marTop w:val="0"/>
      <w:marBottom w:val="0"/>
      <w:divBdr>
        <w:top w:val="none" w:sz="0" w:space="0" w:color="auto"/>
        <w:left w:val="none" w:sz="0" w:space="0" w:color="auto"/>
        <w:bottom w:val="none" w:sz="0" w:space="0" w:color="auto"/>
        <w:right w:val="none" w:sz="0" w:space="0" w:color="auto"/>
      </w:divBdr>
    </w:div>
    <w:div w:id="821627261">
      <w:bodyDiv w:val="1"/>
      <w:marLeft w:val="0"/>
      <w:marRight w:val="0"/>
      <w:marTop w:val="0"/>
      <w:marBottom w:val="0"/>
      <w:divBdr>
        <w:top w:val="none" w:sz="0" w:space="0" w:color="auto"/>
        <w:left w:val="none" w:sz="0" w:space="0" w:color="auto"/>
        <w:bottom w:val="none" w:sz="0" w:space="0" w:color="auto"/>
        <w:right w:val="none" w:sz="0" w:space="0" w:color="auto"/>
      </w:divBdr>
    </w:div>
    <w:div w:id="823090093">
      <w:bodyDiv w:val="1"/>
      <w:marLeft w:val="0"/>
      <w:marRight w:val="0"/>
      <w:marTop w:val="0"/>
      <w:marBottom w:val="0"/>
      <w:divBdr>
        <w:top w:val="none" w:sz="0" w:space="0" w:color="auto"/>
        <w:left w:val="none" w:sz="0" w:space="0" w:color="auto"/>
        <w:bottom w:val="none" w:sz="0" w:space="0" w:color="auto"/>
        <w:right w:val="none" w:sz="0" w:space="0" w:color="auto"/>
      </w:divBdr>
    </w:div>
    <w:div w:id="825782163">
      <w:bodyDiv w:val="1"/>
      <w:marLeft w:val="0"/>
      <w:marRight w:val="0"/>
      <w:marTop w:val="0"/>
      <w:marBottom w:val="0"/>
      <w:divBdr>
        <w:top w:val="none" w:sz="0" w:space="0" w:color="auto"/>
        <w:left w:val="none" w:sz="0" w:space="0" w:color="auto"/>
        <w:bottom w:val="none" w:sz="0" w:space="0" w:color="auto"/>
        <w:right w:val="none" w:sz="0" w:space="0" w:color="auto"/>
      </w:divBdr>
    </w:div>
    <w:div w:id="827020814">
      <w:bodyDiv w:val="1"/>
      <w:marLeft w:val="0"/>
      <w:marRight w:val="0"/>
      <w:marTop w:val="0"/>
      <w:marBottom w:val="0"/>
      <w:divBdr>
        <w:top w:val="none" w:sz="0" w:space="0" w:color="auto"/>
        <w:left w:val="none" w:sz="0" w:space="0" w:color="auto"/>
        <w:bottom w:val="none" w:sz="0" w:space="0" w:color="auto"/>
        <w:right w:val="none" w:sz="0" w:space="0" w:color="auto"/>
      </w:divBdr>
    </w:div>
    <w:div w:id="829717695">
      <w:bodyDiv w:val="1"/>
      <w:marLeft w:val="0"/>
      <w:marRight w:val="0"/>
      <w:marTop w:val="0"/>
      <w:marBottom w:val="0"/>
      <w:divBdr>
        <w:top w:val="none" w:sz="0" w:space="0" w:color="auto"/>
        <w:left w:val="none" w:sz="0" w:space="0" w:color="auto"/>
        <w:bottom w:val="none" w:sz="0" w:space="0" w:color="auto"/>
        <w:right w:val="none" w:sz="0" w:space="0" w:color="auto"/>
      </w:divBdr>
    </w:div>
    <w:div w:id="832646283">
      <w:bodyDiv w:val="1"/>
      <w:marLeft w:val="0"/>
      <w:marRight w:val="0"/>
      <w:marTop w:val="0"/>
      <w:marBottom w:val="0"/>
      <w:divBdr>
        <w:top w:val="none" w:sz="0" w:space="0" w:color="auto"/>
        <w:left w:val="none" w:sz="0" w:space="0" w:color="auto"/>
        <w:bottom w:val="none" w:sz="0" w:space="0" w:color="auto"/>
        <w:right w:val="none" w:sz="0" w:space="0" w:color="auto"/>
      </w:divBdr>
    </w:div>
    <w:div w:id="832724639">
      <w:bodyDiv w:val="1"/>
      <w:marLeft w:val="0"/>
      <w:marRight w:val="0"/>
      <w:marTop w:val="0"/>
      <w:marBottom w:val="0"/>
      <w:divBdr>
        <w:top w:val="none" w:sz="0" w:space="0" w:color="auto"/>
        <w:left w:val="none" w:sz="0" w:space="0" w:color="auto"/>
        <w:bottom w:val="none" w:sz="0" w:space="0" w:color="auto"/>
        <w:right w:val="none" w:sz="0" w:space="0" w:color="auto"/>
      </w:divBdr>
    </w:div>
    <w:div w:id="836774888">
      <w:bodyDiv w:val="1"/>
      <w:marLeft w:val="0"/>
      <w:marRight w:val="0"/>
      <w:marTop w:val="0"/>
      <w:marBottom w:val="0"/>
      <w:divBdr>
        <w:top w:val="none" w:sz="0" w:space="0" w:color="auto"/>
        <w:left w:val="none" w:sz="0" w:space="0" w:color="auto"/>
        <w:bottom w:val="none" w:sz="0" w:space="0" w:color="auto"/>
        <w:right w:val="none" w:sz="0" w:space="0" w:color="auto"/>
      </w:divBdr>
    </w:div>
    <w:div w:id="837110896">
      <w:bodyDiv w:val="1"/>
      <w:marLeft w:val="0"/>
      <w:marRight w:val="0"/>
      <w:marTop w:val="0"/>
      <w:marBottom w:val="0"/>
      <w:divBdr>
        <w:top w:val="none" w:sz="0" w:space="0" w:color="auto"/>
        <w:left w:val="none" w:sz="0" w:space="0" w:color="auto"/>
        <w:bottom w:val="none" w:sz="0" w:space="0" w:color="auto"/>
        <w:right w:val="none" w:sz="0" w:space="0" w:color="auto"/>
      </w:divBdr>
    </w:div>
    <w:div w:id="838272346">
      <w:bodyDiv w:val="1"/>
      <w:marLeft w:val="0"/>
      <w:marRight w:val="0"/>
      <w:marTop w:val="0"/>
      <w:marBottom w:val="0"/>
      <w:divBdr>
        <w:top w:val="none" w:sz="0" w:space="0" w:color="auto"/>
        <w:left w:val="none" w:sz="0" w:space="0" w:color="auto"/>
        <w:bottom w:val="none" w:sz="0" w:space="0" w:color="auto"/>
        <w:right w:val="none" w:sz="0" w:space="0" w:color="auto"/>
      </w:divBdr>
    </w:div>
    <w:div w:id="842009727">
      <w:bodyDiv w:val="1"/>
      <w:marLeft w:val="0"/>
      <w:marRight w:val="0"/>
      <w:marTop w:val="0"/>
      <w:marBottom w:val="0"/>
      <w:divBdr>
        <w:top w:val="none" w:sz="0" w:space="0" w:color="auto"/>
        <w:left w:val="none" w:sz="0" w:space="0" w:color="auto"/>
        <w:bottom w:val="none" w:sz="0" w:space="0" w:color="auto"/>
        <w:right w:val="none" w:sz="0" w:space="0" w:color="auto"/>
      </w:divBdr>
    </w:div>
    <w:div w:id="845167935">
      <w:bodyDiv w:val="1"/>
      <w:marLeft w:val="0"/>
      <w:marRight w:val="0"/>
      <w:marTop w:val="0"/>
      <w:marBottom w:val="0"/>
      <w:divBdr>
        <w:top w:val="none" w:sz="0" w:space="0" w:color="auto"/>
        <w:left w:val="none" w:sz="0" w:space="0" w:color="auto"/>
        <w:bottom w:val="none" w:sz="0" w:space="0" w:color="auto"/>
        <w:right w:val="none" w:sz="0" w:space="0" w:color="auto"/>
      </w:divBdr>
      <w:divsChild>
        <w:div w:id="1186864723">
          <w:marLeft w:val="640"/>
          <w:marRight w:val="0"/>
          <w:marTop w:val="0"/>
          <w:marBottom w:val="0"/>
          <w:divBdr>
            <w:top w:val="none" w:sz="0" w:space="0" w:color="auto"/>
            <w:left w:val="none" w:sz="0" w:space="0" w:color="auto"/>
            <w:bottom w:val="none" w:sz="0" w:space="0" w:color="auto"/>
            <w:right w:val="none" w:sz="0" w:space="0" w:color="auto"/>
          </w:divBdr>
        </w:div>
        <w:div w:id="1647664025">
          <w:marLeft w:val="640"/>
          <w:marRight w:val="0"/>
          <w:marTop w:val="0"/>
          <w:marBottom w:val="0"/>
          <w:divBdr>
            <w:top w:val="none" w:sz="0" w:space="0" w:color="auto"/>
            <w:left w:val="none" w:sz="0" w:space="0" w:color="auto"/>
            <w:bottom w:val="none" w:sz="0" w:space="0" w:color="auto"/>
            <w:right w:val="none" w:sz="0" w:space="0" w:color="auto"/>
          </w:divBdr>
        </w:div>
        <w:div w:id="677191807">
          <w:marLeft w:val="640"/>
          <w:marRight w:val="0"/>
          <w:marTop w:val="0"/>
          <w:marBottom w:val="0"/>
          <w:divBdr>
            <w:top w:val="none" w:sz="0" w:space="0" w:color="auto"/>
            <w:left w:val="none" w:sz="0" w:space="0" w:color="auto"/>
            <w:bottom w:val="none" w:sz="0" w:space="0" w:color="auto"/>
            <w:right w:val="none" w:sz="0" w:space="0" w:color="auto"/>
          </w:divBdr>
        </w:div>
        <w:div w:id="763841812">
          <w:marLeft w:val="640"/>
          <w:marRight w:val="0"/>
          <w:marTop w:val="0"/>
          <w:marBottom w:val="0"/>
          <w:divBdr>
            <w:top w:val="none" w:sz="0" w:space="0" w:color="auto"/>
            <w:left w:val="none" w:sz="0" w:space="0" w:color="auto"/>
            <w:bottom w:val="none" w:sz="0" w:space="0" w:color="auto"/>
            <w:right w:val="none" w:sz="0" w:space="0" w:color="auto"/>
          </w:divBdr>
        </w:div>
        <w:div w:id="666979620">
          <w:marLeft w:val="640"/>
          <w:marRight w:val="0"/>
          <w:marTop w:val="0"/>
          <w:marBottom w:val="0"/>
          <w:divBdr>
            <w:top w:val="none" w:sz="0" w:space="0" w:color="auto"/>
            <w:left w:val="none" w:sz="0" w:space="0" w:color="auto"/>
            <w:bottom w:val="none" w:sz="0" w:space="0" w:color="auto"/>
            <w:right w:val="none" w:sz="0" w:space="0" w:color="auto"/>
          </w:divBdr>
        </w:div>
        <w:div w:id="120658655">
          <w:marLeft w:val="640"/>
          <w:marRight w:val="0"/>
          <w:marTop w:val="0"/>
          <w:marBottom w:val="0"/>
          <w:divBdr>
            <w:top w:val="none" w:sz="0" w:space="0" w:color="auto"/>
            <w:left w:val="none" w:sz="0" w:space="0" w:color="auto"/>
            <w:bottom w:val="none" w:sz="0" w:space="0" w:color="auto"/>
            <w:right w:val="none" w:sz="0" w:space="0" w:color="auto"/>
          </w:divBdr>
        </w:div>
        <w:div w:id="1917132157">
          <w:marLeft w:val="640"/>
          <w:marRight w:val="0"/>
          <w:marTop w:val="0"/>
          <w:marBottom w:val="0"/>
          <w:divBdr>
            <w:top w:val="none" w:sz="0" w:space="0" w:color="auto"/>
            <w:left w:val="none" w:sz="0" w:space="0" w:color="auto"/>
            <w:bottom w:val="none" w:sz="0" w:space="0" w:color="auto"/>
            <w:right w:val="none" w:sz="0" w:space="0" w:color="auto"/>
          </w:divBdr>
        </w:div>
        <w:div w:id="1728802510">
          <w:marLeft w:val="640"/>
          <w:marRight w:val="0"/>
          <w:marTop w:val="0"/>
          <w:marBottom w:val="0"/>
          <w:divBdr>
            <w:top w:val="none" w:sz="0" w:space="0" w:color="auto"/>
            <w:left w:val="none" w:sz="0" w:space="0" w:color="auto"/>
            <w:bottom w:val="none" w:sz="0" w:space="0" w:color="auto"/>
            <w:right w:val="none" w:sz="0" w:space="0" w:color="auto"/>
          </w:divBdr>
        </w:div>
        <w:div w:id="1846479960">
          <w:marLeft w:val="640"/>
          <w:marRight w:val="0"/>
          <w:marTop w:val="0"/>
          <w:marBottom w:val="0"/>
          <w:divBdr>
            <w:top w:val="none" w:sz="0" w:space="0" w:color="auto"/>
            <w:left w:val="none" w:sz="0" w:space="0" w:color="auto"/>
            <w:bottom w:val="none" w:sz="0" w:space="0" w:color="auto"/>
            <w:right w:val="none" w:sz="0" w:space="0" w:color="auto"/>
          </w:divBdr>
        </w:div>
        <w:div w:id="613757479">
          <w:marLeft w:val="640"/>
          <w:marRight w:val="0"/>
          <w:marTop w:val="0"/>
          <w:marBottom w:val="0"/>
          <w:divBdr>
            <w:top w:val="none" w:sz="0" w:space="0" w:color="auto"/>
            <w:left w:val="none" w:sz="0" w:space="0" w:color="auto"/>
            <w:bottom w:val="none" w:sz="0" w:space="0" w:color="auto"/>
            <w:right w:val="none" w:sz="0" w:space="0" w:color="auto"/>
          </w:divBdr>
        </w:div>
        <w:div w:id="342558267">
          <w:marLeft w:val="640"/>
          <w:marRight w:val="0"/>
          <w:marTop w:val="0"/>
          <w:marBottom w:val="0"/>
          <w:divBdr>
            <w:top w:val="none" w:sz="0" w:space="0" w:color="auto"/>
            <w:left w:val="none" w:sz="0" w:space="0" w:color="auto"/>
            <w:bottom w:val="none" w:sz="0" w:space="0" w:color="auto"/>
            <w:right w:val="none" w:sz="0" w:space="0" w:color="auto"/>
          </w:divBdr>
        </w:div>
        <w:div w:id="491407785">
          <w:marLeft w:val="640"/>
          <w:marRight w:val="0"/>
          <w:marTop w:val="0"/>
          <w:marBottom w:val="0"/>
          <w:divBdr>
            <w:top w:val="none" w:sz="0" w:space="0" w:color="auto"/>
            <w:left w:val="none" w:sz="0" w:space="0" w:color="auto"/>
            <w:bottom w:val="none" w:sz="0" w:space="0" w:color="auto"/>
            <w:right w:val="none" w:sz="0" w:space="0" w:color="auto"/>
          </w:divBdr>
        </w:div>
        <w:div w:id="152575890">
          <w:marLeft w:val="640"/>
          <w:marRight w:val="0"/>
          <w:marTop w:val="0"/>
          <w:marBottom w:val="0"/>
          <w:divBdr>
            <w:top w:val="none" w:sz="0" w:space="0" w:color="auto"/>
            <w:left w:val="none" w:sz="0" w:space="0" w:color="auto"/>
            <w:bottom w:val="none" w:sz="0" w:space="0" w:color="auto"/>
            <w:right w:val="none" w:sz="0" w:space="0" w:color="auto"/>
          </w:divBdr>
        </w:div>
        <w:div w:id="994837648">
          <w:marLeft w:val="640"/>
          <w:marRight w:val="0"/>
          <w:marTop w:val="0"/>
          <w:marBottom w:val="0"/>
          <w:divBdr>
            <w:top w:val="none" w:sz="0" w:space="0" w:color="auto"/>
            <w:left w:val="none" w:sz="0" w:space="0" w:color="auto"/>
            <w:bottom w:val="none" w:sz="0" w:space="0" w:color="auto"/>
            <w:right w:val="none" w:sz="0" w:space="0" w:color="auto"/>
          </w:divBdr>
        </w:div>
        <w:div w:id="447816051">
          <w:marLeft w:val="640"/>
          <w:marRight w:val="0"/>
          <w:marTop w:val="0"/>
          <w:marBottom w:val="0"/>
          <w:divBdr>
            <w:top w:val="none" w:sz="0" w:space="0" w:color="auto"/>
            <w:left w:val="none" w:sz="0" w:space="0" w:color="auto"/>
            <w:bottom w:val="none" w:sz="0" w:space="0" w:color="auto"/>
            <w:right w:val="none" w:sz="0" w:space="0" w:color="auto"/>
          </w:divBdr>
        </w:div>
        <w:div w:id="1205748729">
          <w:marLeft w:val="640"/>
          <w:marRight w:val="0"/>
          <w:marTop w:val="0"/>
          <w:marBottom w:val="0"/>
          <w:divBdr>
            <w:top w:val="none" w:sz="0" w:space="0" w:color="auto"/>
            <w:left w:val="none" w:sz="0" w:space="0" w:color="auto"/>
            <w:bottom w:val="none" w:sz="0" w:space="0" w:color="auto"/>
            <w:right w:val="none" w:sz="0" w:space="0" w:color="auto"/>
          </w:divBdr>
        </w:div>
        <w:div w:id="1259563300">
          <w:marLeft w:val="640"/>
          <w:marRight w:val="0"/>
          <w:marTop w:val="0"/>
          <w:marBottom w:val="0"/>
          <w:divBdr>
            <w:top w:val="none" w:sz="0" w:space="0" w:color="auto"/>
            <w:left w:val="none" w:sz="0" w:space="0" w:color="auto"/>
            <w:bottom w:val="none" w:sz="0" w:space="0" w:color="auto"/>
            <w:right w:val="none" w:sz="0" w:space="0" w:color="auto"/>
          </w:divBdr>
        </w:div>
        <w:div w:id="987899905">
          <w:marLeft w:val="640"/>
          <w:marRight w:val="0"/>
          <w:marTop w:val="0"/>
          <w:marBottom w:val="0"/>
          <w:divBdr>
            <w:top w:val="none" w:sz="0" w:space="0" w:color="auto"/>
            <w:left w:val="none" w:sz="0" w:space="0" w:color="auto"/>
            <w:bottom w:val="none" w:sz="0" w:space="0" w:color="auto"/>
            <w:right w:val="none" w:sz="0" w:space="0" w:color="auto"/>
          </w:divBdr>
        </w:div>
        <w:div w:id="907886050">
          <w:marLeft w:val="640"/>
          <w:marRight w:val="0"/>
          <w:marTop w:val="0"/>
          <w:marBottom w:val="0"/>
          <w:divBdr>
            <w:top w:val="none" w:sz="0" w:space="0" w:color="auto"/>
            <w:left w:val="none" w:sz="0" w:space="0" w:color="auto"/>
            <w:bottom w:val="none" w:sz="0" w:space="0" w:color="auto"/>
            <w:right w:val="none" w:sz="0" w:space="0" w:color="auto"/>
          </w:divBdr>
        </w:div>
        <w:div w:id="420299719">
          <w:marLeft w:val="640"/>
          <w:marRight w:val="0"/>
          <w:marTop w:val="0"/>
          <w:marBottom w:val="0"/>
          <w:divBdr>
            <w:top w:val="none" w:sz="0" w:space="0" w:color="auto"/>
            <w:left w:val="none" w:sz="0" w:space="0" w:color="auto"/>
            <w:bottom w:val="none" w:sz="0" w:space="0" w:color="auto"/>
            <w:right w:val="none" w:sz="0" w:space="0" w:color="auto"/>
          </w:divBdr>
        </w:div>
        <w:div w:id="1434282147">
          <w:marLeft w:val="640"/>
          <w:marRight w:val="0"/>
          <w:marTop w:val="0"/>
          <w:marBottom w:val="0"/>
          <w:divBdr>
            <w:top w:val="none" w:sz="0" w:space="0" w:color="auto"/>
            <w:left w:val="none" w:sz="0" w:space="0" w:color="auto"/>
            <w:bottom w:val="none" w:sz="0" w:space="0" w:color="auto"/>
            <w:right w:val="none" w:sz="0" w:space="0" w:color="auto"/>
          </w:divBdr>
        </w:div>
        <w:div w:id="1672831995">
          <w:marLeft w:val="640"/>
          <w:marRight w:val="0"/>
          <w:marTop w:val="0"/>
          <w:marBottom w:val="0"/>
          <w:divBdr>
            <w:top w:val="none" w:sz="0" w:space="0" w:color="auto"/>
            <w:left w:val="none" w:sz="0" w:space="0" w:color="auto"/>
            <w:bottom w:val="none" w:sz="0" w:space="0" w:color="auto"/>
            <w:right w:val="none" w:sz="0" w:space="0" w:color="auto"/>
          </w:divBdr>
        </w:div>
        <w:div w:id="1002732794">
          <w:marLeft w:val="640"/>
          <w:marRight w:val="0"/>
          <w:marTop w:val="0"/>
          <w:marBottom w:val="0"/>
          <w:divBdr>
            <w:top w:val="none" w:sz="0" w:space="0" w:color="auto"/>
            <w:left w:val="none" w:sz="0" w:space="0" w:color="auto"/>
            <w:bottom w:val="none" w:sz="0" w:space="0" w:color="auto"/>
            <w:right w:val="none" w:sz="0" w:space="0" w:color="auto"/>
          </w:divBdr>
        </w:div>
        <w:div w:id="972491363">
          <w:marLeft w:val="640"/>
          <w:marRight w:val="0"/>
          <w:marTop w:val="0"/>
          <w:marBottom w:val="0"/>
          <w:divBdr>
            <w:top w:val="none" w:sz="0" w:space="0" w:color="auto"/>
            <w:left w:val="none" w:sz="0" w:space="0" w:color="auto"/>
            <w:bottom w:val="none" w:sz="0" w:space="0" w:color="auto"/>
            <w:right w:val="none" w:sz="0" w:space="0" w:color="auto"/>
          </w:divBdr>
        </w:div>
        <w:div w:id="28192734">
          <w:marLeft w:val="640"/>
          <w:marRight w:val="0"/>
          <w:marTop w:val="0"/>
          <w:marBottom w:val="0"/>
          <w:divBdr>
            <w:top w:val="none" w:sz="0" w:space="0" w:color="auto"/>
            <w:left w:val="none" w:sz="0" w:space="0" w:color="auto"/>
            <w:bottom w:val="none" w:sz="0" w:space="0" w:color="auto"/>
            <w:right w:val="none" w:sz="0" w:space="0" w:color="auto"/>
          </w:divBdr>
        </w:div>
        <w:div w:id="1800805447">
          <w:marLeft w:val="640"/>
          <w:marRight w:val="0"/>
          <w:marTop w:val="0"/>
          <w:marBottom w:val="0"/>
          <w:divBdr>
            <w:top w:val="none" w:sz="0" w:space="0" w:color="auto"/>
            <w:left w:val="none" w:sz="0" w:space="0" w:color="auto"/>
            <w:bottom w:val="none" w:sz="0" w:space="0" w:color="auto"/>
            <w:right w:val="none" w:sz="0" w:space="0" w:color="auto"/>
          </w:divBdr>
        </w:div>
        <w:div w:id="1789424198">
          <w:marLeft w:val="640"/>
          <w:marRight w:val="0"/>
          <w:marTop w:val="0"/>
          <w:marBottom w:val="0"/>
          <w:divBdr>
            <w:top w:val="none" w:sz="0" w:space="0" w:color="auto"/>
            <w:left w:val="none" w:sz="0" w:space="0" w:color="auto"/>
            <w:bottom w:val="none" w:sz="0" w:space="0" w:color="auto"/>
            <w:right w:val="none" w:sz="0" w:space="0" w:color="auto"/>
          </w:divBdr>
        </w:div>
        <w:div w:id="139660904">
          <w:marLeft w:val="640"/>
          <w:marRight w:val="0"/>
          <w:marTop w:val="0"/>
          <w:marBottom w:val="0"/>
          <w:divBdr>
            <w:top w:val="none" w:sz="0" w:space="0" w:color="auto"/>
            <w:left w:val="none" w:sz="0" w:space="0" w:color="auto"/>
            <w:bottom w:val="none" w:sz="0" w:space="0" w:color="auto"/>
            <w:right w:val="none" w:sz="0" w:space="0" w:color="auto"/>
          </w:divBdr>
        </w:div>
        <w:div w:id="898907130">
          <w:marLeft w:val="640"/>
          <w:marRight w:val="0"/>
          <w:marTop w:val="0"/>
          <w:marBottom w:val="0"/>
          <w:divBdr>
            <w:top w:val="none" w:sz="0" w:space="0" w:color="auto"/>
            <w:left w:val="none" w:sz="0" w:space="0" w:color="auto"/>
            <w:bottom w:val="none" w:sz="0" w:space="0" w:color="auto"/>
            <w:right w:val="none" w:sz="0" w:space="0" w:color="auto"/>
          </w:divBdr>
        </w:div>
        <w:div w:id="305745780">
          <w:marLeft w:val="640"/>
          <w:marRight w:val="0"/>
          <w:marTop w:val="0"/>
          <w:marBottom w:val="0"/>
          <w:divBdr>
            <w:top w:val="none" w:sz="0" w:space="0" w:color="auto"/>
            <w:left w:val="none" w:sz="0" w:space="0" w:color="auto"/>
            <w:bottom w:val="none" w:sz="0" w:space="0" w:color="auto"/>
            <w:right w:val="none" w:sz="0" w:space="0" w:color="auto"/>
          </w:divBdr>
        </w:div>
        <w:div w:id="1092050741">
          <w:marLeft w:val="640"/>
          <w:marRight w:val="0"/>
          <w:marTop w:val="0"/>
          <w:marBottom w:val="0"/>
          <w:divBdr>
            <w:top w:val="none" w:sz="0" w:space="0" w:color="auto"/>
            <w:left w:val="none" w:sz="0" w:space="0" w:color="auto"/>
            <w:bottom w:val="none" w:sz="0" w:space="0" w:color="auto"/>
            <w:right w:val="none" w:sz="0" w:space="0" w:color="auto"/>
          </w:divBdr>
        </w:div>
        <w:div w:id="550576623">
          <w:marLeft w:val="640"/>
          <w:marRight w:val="0"/>
          <w:marTop w:val="0"/>
          <w:marBottom w:val="0"/>
          <w:divBdr>
            <w:top w:val="none" w:sz="0" w:space="0" w:color="auto"/>
            <w:left w:val="none" w:sz="0" w:space="0" w:color="auto"/>
            <w:bottom w:val="none" w:sz="0" w:space="0" w:color="auto"/>
            <w:right w:val="none" w:sz="0" w:space="0" w:color="auto"/>
          </w:divBdr>
        </w:div>
        <w:div w:id="1539390483">
          <w:marLeft w:val="640"/>
          <w:marRight w:val="0"/>
          <w:marTop w:val="0"/>
          <w:marBottom w:val="0"/>
          <w:divBdr>
            <w:top w:val="none" w:sz="0" w:space="0" w:color="auto"/>
            <w:left w:val="none" w:sz="0" w:space="0" w:color="auto"/>
            <w:bottom w:val="none" w:sz="0" w:space="0" w:color="auto"/>
            <w:right w:val="none" w:sz="0" w:space="0" w:color="auto"/>
          </w:divBdr>
        </w:div>
        <w:div w:id="1008941298">
          <w:marLeft w:val="640"/>
          <w:marRight w:val="0"/>
          <w:marTop w:val="0"/>
          <w:marBottom w:val="0"/>
          <w:divBdr>
            <w:top w:val="none" w:sz="0" w:space="0" w:color="auto"/>
            <w:left w:val="none" w:sz="0" w:space="0" w:color="auto"/>
            <w:bottom w:val="none" w:sz="0" w:space="0" w:color="auto"/>
            <w:right w:val="none" w:sz="0" w:space="0" w:color="auto"/>
          </w:divBdr>
        </w:div>
        <w:div w:id="1033072401">
          <w:marLeft w:val="640"/>
          <w:marRight w:val="0"/>
          <w:marTop w:val="0"/>
          <w:marBottom w:val="0"/>
          <w:divBdr>
            <w:top w:val="none" w:sz="0" w:space="0" w:color="auto"/>
            <w:left w:val="none" w:sz="0" w:space="0" w:color="auto"/>
            <w:bottom w:val="none" w:sz="0" w:space="0" w:color="auto"/>
            <w:right w:val="none" w:sz="0" w:space="0" w:color="auto"/>
          </w:divBdr>
        </w:div>
        <w:div w:id="225846132">
          <w:marLeft w:val="640"/>
          <w:marRight w:val="0"/>
          <w:marTop w:val="0"/>
          <w:marBottom w:val="0"/>
          <w:divBdr>
            <w:top w:val="none" w:sz="0" w:space="0" w:color="auto"/>
            <w:left w:val="none" w:sz="0" w:space="0" w:color="auto"/>
            <w:bottom w:val="none" w:sz="0" w:space="0" w:color="auto"/>
            <w:right w:val="none" w:sz="0" w:space="0" w:color="auto"/>
          </w:divBdr>
        </w:div>
        <w:div w:id="858667594">
          <w:marLeft w:val="640"/>
          <w:marRight w:val="0"/>
          <w:marTop w:val="0"/>
          <w:marBottom w:val="0"/>
          <w:divBdr>
            <w:top w:val="none" w:sz="0" w:space="0" w:color="auto"/>
            <w:left w:val="none" w:sz="0" w:space="0" w:color="auto"/>
            <w:bottom w:val="none" w:sz="0" w:space="0" w:color="auto"/>
            <w:right w:val="none" w:sz="0" w:space="0" w:color="auto"/>
          </w:divBdr>
        </w:div>
        <w:div w:id="1430814439">
          <w:marLeft w:val="640"/>
          <w:marRight w:val="0"/>
          <w:marTop w:val="0"/>
          <w:marBottom w:val="0"/>
          <w:divBdr>
            <w:top w:val="none" w:sz="0" w:space="0" w:color="auto"/>
            <w:left w:val="none" w:sz="0" w:space="0" w:color="auto"/>
            <w:bottom w:val="none" w:sz="0" w:space="0" w:color="auto"/>
            <w:right w:val="none" w:sz="0" w:space="0" w:color="auto"/>
          </w:divBdr>
        </w:div>
        <w:div w:id="492263880">
          <w:marLeft w:val="640"/>
          <w:marRight w:val="0"/>
          <w:marTop w:val="0"/>
          <w:marBottom w:val="0"/>
          <w:divBdr>
            <w:top w:val="none" w:sz="0" w:space="0" w:color="auto"/>
            <w:left w:val="none" w:sz="0" w:space="0" w:color="auto"/>
            <w:bottom w:val="none" w:sz="0" w:space="0" w:color="auto"/>
            <w:right w:val="none" w:sz="0" w:space="0" w:color="auto"/>
          </w:divBdr>
        </w:div>
        <w:div w:id="20859120">
          <w:marLeft w:val="640"/>
          <w:marRight w:val="0"/>
          <w:marTop w:val="0"/>
          <w:marBottom w:val="0"/>
          <w:divBdr>
            <w:top w:val="none" w:sz="0" w:space="0" w:color="auto"/>
            <w:left w:val="none" w:sz="0" w:space="0" w:color="auto"/>
            <w:bottom w:val="none" w:sz="0" w:space="0" w:color="auto"/>
            <w:right w:val="none" w:sz="0" w:space="0" w:color="auto"/>
          </w:divBdr>
        </w:div>
        <w:div w:id="1282690759">
          <w:marLeft w:val="640"/>
          <w:marRight w:val="0"/>
          <w:marTop w:val="0"/>
          <w:marBottom w:val="0"/>
          <w:divBdr>
            <w:top w:val="none" w:sz="0" w:space="0" w:color="auto"/>
            <w:left w:val="none" w:sz="0" w:space="0" w:color="auto"/>
            <w:bottom w:val="none" w:sz="0" w:space="0" w:color="auto"/>
            <w:right w:val="none" w:sz="0" w:space="0" w:color="auto"/>
          </w:divBdr>
        </w:div>
        <w:div w:id="1004742217">
          <w:marLeft w:val="640"/>
          <w:marRight w:val="0"/>
          <w:marTop w:val="0"/>
          <w:marBottom w:val="0"/>
          <w:divBdr>
            <w:top w:val="none" w:sz="0" w:space="0" w:color="auto"/>
            <w:left w:val="none" w:sz="0" w:space="0" w:color="auto"/>
            <w:bottom w:val="none" w:sz="0" w:space="0" w:color="auto"/>
            <w:right w:val="none" w:sz="0" w:space="0" w:color="auto"/>
          </w:divBdr>
        </w:div>
        <w:div w:id="1160661322">
          <w:marLeft w:val="640"/>
          <w:marRight w:val="0"/>
          <w:marTop w:val="0"/>
          <w:marBottom w:val="0"/>
          <w:divBdr>
            <w:top w:val="none" w:sz="0" w:space="0" w:color="auto"/>
            <w:left w:val="none" w:sz="0" w:space="0" w:color="auto"/>
            <w:bottom w:val="none" w:sz="0" w:space="0" w:color="auto"/>
            <w:right w:val="none" w:sz="0" w:space="0" w:color="auto"/>
          </w:divBdr>
        </w:div>
        <w:div w:id="1253126701">
          <w:marLeft w:val="640"/>
          <w:marRight w:val="0"/>
          <w:marTop w:val="0"/>
          <w:marBottom w:val="0"/>
          <w:divBdr>
            <w:top w:val="none" w:sz="0" w:space="0" w:color="auto"/>
            <w:left w:val="none" w:sz="0" w:space="0" w:color="auto"/>
            <w:bottom w:val="none" w:sz="0" w:space="0" w:color="auto"/>
            <w:right w:val="none" w:sz="0" w:space="0" w:color="auto"/>
          </w:divBdr>
        </w:div>
        <w:div w:id="6756490">
          <w:marLeft w:val="640"/>
          <w:marRight w:val="0"/>
          <w:marTop w:val="0"/>
          <w:marBottom w:val="0"/>
          <w:divBdr>
            <w:top w:val="none" w:sz="0" w:space="0" w:color="auto"/>
            <w:left w:val="none" w:sz="0" w:space="0" w:color="auto"/>
            <w:bottom w:val="none" w:sz="0" w:space="0" w:color="auto"/>
            <w:right w:val="none" w:sz="0" w:space="0" w:color="auto"/>
          </w:divBdr>
        </w:div>
        <w:div w:id="63797087">
          <w:marLeft w:val="640"/>
          <w:marRight w:val="0"/>
          <w:marTop w:val="0"/>
          <w:marBottom w:val="0"/>
          <w:divBdr>
            <w:top w:val="none" w:sz="0" w:space="0" w:color="auto"/>
            <w:left w:val="none" w:sz="0" w:space="0" w:color="auto"/>
            <w:bottom w:val="none" w:sz="0" w:space="0" w:color="auto"/>
            <w:right w:val="none" w:sz="0" w:space="0" w:color="auto"/>
          </w:divBdr>
        </w:div>
        <w:div w:id="745223500">
          <w:marLeft w:val="640"/>
          <w:marRight w:val="0"/>
          <w:marTop w:val="0"/>
          <w:marBottom w:val="0"/>
          <w:divBdr>
            <w:top w:val="none" w:sz="0" w:space="0" w:color="auto"/>
            <w:left w:val="none" w:sz="0" w:space="0" w:color="auto"/>
            <w:bottom w:val="none" w:sz="0" w:space="0" w:color="auto"/>
            <w:right w:val="none" w:sz="0" w:space="0" w:color="auto"/>
          </w:divBdr>
        </w:div>
        <w:div w:id="1193345895">
          <w:marLeft w:val="640"/>
          <w:marRight w:val="0"/>
          <w:marTop w:val="0"/>
          <w:marBottom w:val="0"/>
          <w:divBdr>
            <w:top w:val="none" w:sz="0" w:space="0" w:color="auto"/>
            <w:left w:val="none" w:sz="0" w:space="0" w:color="auto"/>
            <w:bottom w:val="none" w:sz="0" w:space="0" w:color="auto"/>
            <w:right w:val="none" w:sz="0" w:space="0" w:color="auto"/>
          </w:divBdr>
        </w:div>
        <w:div w:id="358052140">
          <w:marLeft w:val="640"/>
          <w:marRight w:val="0"/>
          <w:marTop w:val="0"/>
          <w:marBottom w:val="0"/>
          <w:divBdr>
            <w:top w:val="none" w:sz="0" w:space="0" w:color="auto"/>
            <w:left w:val="none" w:sz="0" w:space="0" w:color="auto"/>
            <w:bottom w:val="none" w:sz="0" w:space="0" w:color="auto"/>
            <w:right w:val="none" w:sz="0" w:space="0" w:color="auto"/>
          </w:divBdr>
        </w:div>
        <w:div w:id="1554072543">
          <w:marLeft w:val="640"/>
          <w:marRight w:val="0"/>
          <w:marTop w:val="0"/>
          <w:marBottom w:val="0"/>
          <w:divBdr>
            <w:top w:val="none" w:sz="0" w:space="0" w:color="auto"/>
            <w:left w:val="none" w:sz="0" w:space="0" w:color="auto"/>
            <w:bottom w:val="none" w:sz="0" w:space="0" w:color="auto"/>
            <w:right w:val="none" w:sz="0" w:space="0" w:color="auto"/>
          </w:divBdr>
        </w:div>
        <w:div w:id="1354111096">
          <w:marLeft w:val="640"/>
          <w:marRight w:val="0"/>
          <w:marTop w:val="0"/>
          <w:marBottom w:val="0"/>
          <w:divBdr>
            <w:top w:val="none" w:sz="0" w:space="0" w:color="auto"/>
            <w:left w:val="none" w:sz="0" w:space="0" w:color="auto"/>
            <w:bottom w:val="none" w:sz="0" w:space="0" w:color="auto"/>
            <w:right w:val="none" w:sz="0" w:space="0" w:color="auto"/>
          </w:divBdr>
        </w:div>
        <w:div w:id="1040671284">
          <w:marLeft w:val="640"/>
          <w:marRight w:val="0"/>
          <w:marTop w:val="0"/>
          <w:marBottom w:val="0"/>
          <w:divBdr>
            <w:top w:val="none" w:sz="0" w:space="0" w:color="auto"/>
            <w:left w:val="none" w:sz="0" w:space="0" w:color="auto"/>
            <w:bottom w:val="none" w:sz="0" w:space="0" w:color="auto"/>
            <w:right w:val="none" w:sz="0" w:space="0" w:color="auto"/>
          </w:divBdr>
        </w:div>
        <w:div w:id="323944579">
          <w:marLeft w:val="640"/>
          <w:marRight w:val="0"/>
          <w:marTop w:val="0"/>
          <w:marBottom w:val="0"/>
          <w:divBdr>
            <w:top w:val="none" w:sz="0" w:space="0" w:color="auto"/>
            <w:left w:val="none" w:sz="0" w:space="0" w:color="auto"/>
            <w:bottom w:val="none" w:sz="0" w:space="0" w:color="auto"/>
            <w:right w:val="none" w:sz="0" w:space="0" w:color="auto"/>
          </w:divBdr>
        </w:div>
        <w:div w:id="994332324">
          <w:marLeft w:val="640"/>
          <w:marRight w:val="0"/>
          <w:marTop w:val="0"/>
          <w:marBottom w:val="0"/>
          <w:divBdr>
            <w:top w:val="none" w:sz="0" w:space="0" w:color="auto"/>
            <w:left w:val="none" w:sz="0" w:space="0" w:color="auto"/>
            <w:bottom w:val="none" w:sz="0" w:space="0" w:color="auto"/>
            <w:right w:val="none" w:sz="0" w:space="0" w:color="auto"/>
          </w:divBdr>
        </w:div>
        <w:div w:id="1995646393">
          <w:marLeft w:val="640"/>
          <w:marRight w:val="0"/>
          <w:marTop w:val="0"/>
          <w:marBottom w:val="0"/>
          <w:divBdr>
            <w:top w:val="none" w:sz="0" w:space="0" w:color="auto"/>
            <w:left w:val="none" w:sz="0" w:space="0" w:color="auto"/>
            <w:bottom w:val="none" w:sz="0" w:space="0" w:color="auto"/>
            <w:right w:val="none" w:sz="0" w:space="0" w:color="auto"/>
          </w:divBdr>
        </w:div>
        <w:div w:id="1201362353">
          <w:marLeft w:val="640"/>
          <w:marRight w:val="0"/>
          <w:marTop w:val="0"/>
          <w:marBottom w:val="0"/>
          <w:divBdr>
            <w:top w:val="none" w:sz="0" w:space="0" w:color="auto"/>
            <w:left w:val="none" w:sz="0" w:space="0" w:color="auto"/>
            <w:bottom w:val="none" w:sz="0" w:space="0" w:color="auto"/>
            <w:right w:val="none" w:sz="0" w:space="0" w:color="auto"/>
          </w:divBdr>
        </w:div>
        <w:div w:id="290526150">
          <w:marLeft w:val="640"/>
          <w:marRight w:val="0"/>
          <w:marTop w:val="0"/>
          <w:marBottom w:val="0"/>
          <w:divBdr>
            <w:top w:val="none" w:sz="0" w:space="0" w:color="auto"/>
            <w:left w:val="none" w:sz="0" w:space="0" w:color="auto"/>
            <w:bottom w:val="none" w:sz="0" w:space="0" w:color="auto"/>
            <w:right w:val="none" w:sz="0" w:space="0" w:color="auto"/>
          </w:divBdr>
        </w:div>
        <w:div w:id="618144230">
          <w:marLeft w:val="640"/>
          <w:marRight w:val="0"/>
          <w:marTop w:val="0"/>
          <w:marBottom w:val="0"/>
          <w:divBdr>
            <w:top w:val="none" w:sz="0" w:space="0" w:color="auto"/>
            <w:left w:val="none" w:sz="0" w:space="0" w:color="auto"/>
            <w:bottom w:val="none" w:sz="0" w:space="0" w:color="auto"/>
            <w:right w:val="none" w:sz="0" w:space="0" w:color="auto"/>
          </w:divBdr>
        </w:div>
        <w:div w:id="132522030">
          <w:marLeft w:val="640"/>
          <w:marRight w:val="0"/>
          <w:marTop w:val="0"/>
          <w:marBottom w:val="0"/>
          <w:divBdr>
            <w:top w:val="none" w:sz="0" w:space="0" w:color="auto"/>
            <w:left w:val="none" w:sz="0" w:space="0" w:color="auto"/>
            <w:bottom w:val="none" w:sz="0" w:space="0" w:color="auto"/>
            <w:right w:val="none" w:sz="0" w:space="0" w:color="auto"/>
          </w:divBdr>
        </w:div>
        <w:div w:id="298531561">
          <w:marLeft w:val="640"/>
          <w:marRight w:val="0"/>
          <w:marTop w:val="0"/>
          <w:marBottom w:val="0"/>
          <w:divBdr>
            <w:top w:val="none" w:sz="0" w:space="0" w:color="auto"/>
            <w:left w:val="none" w:sz="0" w:space="0" w:color="auto"/>
            <w:bottom w:val="none" w:sz="0" w:space="0" w:color="auto"/>
            <w:right w:val="none" w:sz="0" w:space="0" w:color="auto"/>
          </w:divBdr>
        </w:div>
        <w:div w:id="366685095">
          <w:marLeft w:val="640"/>
          <w:marRight w:val="0"/>
          <w:marTop w:val="0"/>
          <w:marBottom w:val="0"/>
          <w:divBdr>
            <w:top w:val="none" w:sz="0" w:space="0" w:color="auto"/>
            <w:left w:val="none" w:sz="0" w:space="0" w:color="auto"/>
            <w:bottom w:val="none" w:sz="0" w:space="0" w:color="auto"/>
            <w:right w:val="none" w:sz="0" w:space="0" w:color="auto"/>
          </w:divBdr>
        </w:div>
        <w:div w:id="735052862">
          <w:marLeft w:val="640"/>
          <w:marRight w:val="0"/>
          <w:marTop w:val="0"/>
          <w:marBottom w:val="0"/>
          <w:divBdr>
            <w:top w:val="none" w:sz="0" w:space="0" w:color="auto"/>
            <w:left w:val="none" w:sz="0" w:space="0" w:color="auto"/>
            <w:bottom w:val="none" w:sz="0" w:space="0" w:color="auto"/>
            <w:right w:val="none" w:sz="0" w:space="0" w:color="auto"/>
          </w:divBdr>
        </w:div>
        <w:div w:id="1349482580">
          <w:marLeft w:val="640"/>
          <w:marRight w:val="0"/>
          <w:marTop w:val="0"/>
          <w:marBottom w:val="0"/>
          <w:divBdr>
            <w:top w:val="none" w:sz="0" w:space="0" w:color="auto"/>
            <w:left w:val="none" w:sz="0" w:space="0" w:color="auto"/>
            <w:bottom w:val="none" w:sz="0" w:space="0" w:color="auto"/>
            <w:right w:val="none" w:sz="0" w:space="0" w:color="auto"/>
          </w:divBdr>
        </w:div>
        <w:div w:id="1401101573">
          <w:marLeft w:val="640"/>
          <w:marRight w:val="0"/>
          <w:marTop w:val="0"/>
          <w:marBottom w:val="0"/>
          <w:divBdr>
            <w:top w:val="none" w:sz="0" w:space="0" w:color="auto"/>
            <w:left w:val="none" w:sz="0" w:space="0" w:color="auto"/>
            <w:bottom w:val="none" w:sz="0" w:space="0" w:color="auto"/>
            <w:right w:val="none" w:sz="0" w:space="0" w:color="auto"/>
          </w:divBdr>
        </w:div>
        <w:div w:id="1770390340">
          <w:marLeft w:val="640"/>
          <w:marRight w:val="0"/>
          <w:marTop w:val="0"/>
          <w:marBottom w:val="0"/>
          <w:divBdr>
            <w:top w:val="none" w:sz="0" w:space="0" w:color="auto"/>
            <w:left w:val="none" w:sz="0" w:space="0" w:color="auto"/>
            <w:bottom w:val="none" w:sz="0" w:space="0" w:color="auto"/>
            <w:right w:val="none" w:sz="0" w:space="0" w:color="auto"/>
          </w:divBdr>
        </w:div>
        <w:div w:id="1594387879">
          <w:marLeft w:val="640"/>
          <w:marRight w:val="0"/>
          <w:marTop w:val="0"/>
          <w:marBottom w:val="0"/>
          <w:divBdr>
            <w:top w:val="none" w:sz="0" w:space="0" w:color="auto"/>
            <w:left w:val="none" w:sz="0" w:space="0" w:color="auto"/>
            <w:bottom w:val="none" w:sz="0" w:space="0" w:color="auto"/>
            <w:right w:val="none" w:sz="0" w:space="0" w:color="auto"/>
          </w:divBdr>
        </w:div>
        <w:div w:id="1352145616">
          <w:marLeft w:val="640"/>
          <w:marRight w:val="0"/>
          <w:marTop w:val="0"/>
          <w:marBottom w:val="0"/>
          <w:divBdr>
            <w:top w:val="none" w:sz="0" w:space="0" w:color="auto"/>
            <w:left w:val="none" w:sz="0" w:space="0" w:color="auto"/>
            <w:bottom w:val="none" w:sz="0" w:space="0" w:color="auto"/>
            <w:right w:val="none" w:sz="0" w:space="0" w:color="auto"/>
          </w:divBdr>
        </w:div>
        <w:div w:id="927498127">
          <w:marLeft w:val="640"/>
          <w:marRight w:val="0"/>
          <w:marTop w:val="0"/>
          <w:marBottom w:val="0"/>
          <w:divBdr>
            <w:top w:val="none" w:sz="0" w:space="0" w:color="auto"/>
            <w:left w:val="none" w:sz="0" w:space="0" w:color="auto"/>
            <w:bottom w:val="none" w:sz="0" w:space="0" w:color="auto"/>
            <w:right w:val="none" w:sz="0" w:space="0" w:color="auto"/>
          </w:divBdr>
        </w:div>
        <w:div w:id="1151168428">
          <w:marLeft w:val="640"/>
          <w:marRight w:val="0"/>
          <w:marTop w:val="0"/>
          <w:marBottom w:val="0"/>
          <w:divBdr>
            <w:top w:val="none" w:sz="0" w:space="0" w:color="auto"/>
            <w:left w:val="none" w:sz="0" w:space="0" w:color="auto"/>
            <w:bottom w:val="none" w:sz="0" w:space="0" w:color="auto"/>
            <w:right w:val="none" w:sz="0" w:space="0" w:color="auto"/>
          </w:divBdr>
        </w:div>
        <w:div w:id="1261598674">
          <w:marLeft w:val="640"/>
          <w:marRight w:val="0"/>
          <w:marTop w:val="0"/>
          <w:marBottom w:val="0"/>
          <w:divBdr>
            <w:top w:val="none" w:sz="0" w:space="0" w:color="auto"/>
            <w:left w:val="none" w:sz="0" w:space="0" w:color="auto"/>
            <w:bottom w:val="none" w:sz="0" w:space="0" w:color="auto"/>
            <w:right w:val="none" w:sz="0" w:space="0" w:color="auto"/>
          </w:divBdr>
        </w:div>
        <w:div w:id="1840460827">
          <w:marLeft w:val="640"/>
          <w:marRight w:val="0"/>
          <w:marTop w:val="0"/>
          <w:marBottom w:val="0"/>
          <w:divBdr>
            <w:top w:val="none" w:sz="0" w:space="0" w:color="auto"/>
            <w:left w:val="none" w:sz="0" w:space="0" w:color="auto"/>
            <w:bottom w:val="none" w:sz="0" w:space="0" w:color="auto"/>
            <w:right w:val="none" w:sz="0" w:space="0" w:color="auto"/>
          </w:divBdr>
        </w:div>
        <w:div w:id="132141633">
          <w:marLeft w:val="640"/>
          <w:marRight w:val="0"/>
          <w:marTop w:val="0"/>
          <w:marBottom w:val="0"/>
          <w:divBdr>
            <w:top w:val="none" w:sz="0" w:space="0" w:color="auto"/>
            <w:left w:val="none" w:sz="0" w:space="0" w:color="auto"/>
            <w:bottom w:val="none" w:sz="0" w:space="0" w:color="auto"/>
            <w:right w:val="none" w:sz="0" w:space="0" w:color="auto"/>
          </w:divBdr>
        </w:div>
        <w:div w:id="624196820">
          <w:marLeft w:val="640"/>
          <w:marRight w:val="0"/>
          <w:marTop w:val="0"/>
          <w:marBottom w:val="0"/>
          <w:divBdr>
            <w:top w:val="none" w:sz="0" w:space="0" w:color="auto"/>
            <w:left w:val="none" w:sz="0" w:space="0" w:color="auto"/>
            <w:bottom w:val="none" w:sz="0" w:space="0" w:color="auto"/>
            <w:right w:val="none" w:sz="0" w:space="0" w:color="auto"/>
          </w:divBdr>
        </w:div>
        <w:div w:id="155533448">
          <w:marLeft w:val="640"/>
          <w:marRight w:val="0"/>
          <w:marTop w:val="0"/>
          <w:marBottom w:val="0"/>
          <w:divBdr>
            <w:top w:val="none" w:sz="0" w:space="0" w:color="auto"/>
            <w:left w:val="none" w:sz="0" w:space="0" w:color="auto"/>
            <w:bottom w:val="none" w:sz="0" w:space="0" w:color="auto"/>
            <w:right w:val="none" w:sz="0" w:space="0" w:color="auto"/>
          </w:divBdr>
        </w:div>
        <w:div w:id="1109929659">
          <w:marLeft w:val="640"/>
          <w:marRight w:val="0"/>
          <w:marTop w:val="0"/>
          <w:marBottom w:val="0"/>
          <w:divBdr>
            <w:top w:val="none" w:sz="0" w:space="0" w:color="auto"/>
            <w:left w:val="none" w:sz="0" w:space="0" w:color="auto"/>
            <w:bottom w:val="none" w:sz="0" w:space="0" w:color="auto"/>
            <w:right w:val="none" w:sz="0" w:space="0" w:color="auto"/>
          </w:divBdr>
        </w:div>
        <w:div w:id="1323700540">
          <w:marLeft w:val="640"/>
          <w:marRight w:val="0"/>
          <w:marTop w:val="0"/>
          <w:marBottom w:val="0"/>
          <w:divBdr>
            <w:top w:val="none" w:sz="0" w:space="0" w:color="auto"/>
            <w:left w:val="none" w:sz="0" w:space="0" w:color="auto"/>
            <w:bottom w:val="none" w:sz="0" w:space="0" w:color="auto"/>
            <w:right w:val="none" w:sz="0" w:space="0" w:color="auto"/>
          </w:divBdr>
        </w:div>
        <w:div w:id="1152676387">
          <w:marLeft w:val="640"/>
          <w:marRight w:val="0"/>
          <w:marTop w:val="0"/>
          <w:marBottom w:val="0"/>
          <w:divBdr>
            <w:top w:val="none" w:sz="0" w:space="0" w:color="auto"/>
            <w:left w:val="none" w:sz="0" w:space="0" w:color="auto"/>
            <w:bottom w:val="none" w:sz="0" w:space="0" w:color="auto"/>
            <w:right w:val="none" w:sz="0" w:space="0" w:color="auto"/>
          </w:divBdr>
        </w:div>
        <w:div w:id="1509178804">
          <w:marLeft w:val="640"/>
          <w:marRight w:val="0"/>
          <w:marTop w:val="0"/>
          <w:marBottom w:val="0"/>
          <w:divBdr>
            <w:top w:val="none" w:sz="0" w:space="0" w:color="auto"/>
            <w:left w:val="none" w:sz="0" w:space="0" w:color="auto"/>
            <w:bottom w:val="none" w:sz="0" w:space="0" w:color="auto"/>
            <w:right w:val="none" w:sz="0" w:space="0" w:color="auto"/>
          </w:divBdr>
        </w:div>
        <w:div w:id="1088385459">
          <w:marLeft w:val="640"/>
          <w:marRight w:val="0"/>
          <w:marTop w:val="0"/>
          <w:marBottom w:val="0"/>
          <w:divBdr>
            <w:top w:val="none" w:sz="0" w:space="0" w:color="auto"/>
            <w:left w:val="none" w:sz="0" w:space="0" w:color="auto"/>
            <w:bottom w:val="none" w:sz="0" w:space="0" w:color="auto"/>
            <w:right w:val="none" w:sz="0" w:space="0" w:color="auto"/>
          </w:divBdr>
        </w:div>
        <w:div w:id="464857226">
          <w:marLeft w:val="640"/>
          <w:marRight w:val="0"/>
          <w:marTop w:val="0"/>
          <w:marBottom w:val="0"/>
          <w:divBdr>
            <w:top w:val="none" w:sz="0" w:space="0" w:color="auto"/>
            <w:left w:val="none" w:sz="0" w:space="0" w:color="auto"/>
            <w:bottom w:val="none" w:sz="0" w:space="0" w:color="auto"/>
            <w:right w:val="none" w:sz="0" w:space="0" w:color="auto"/>
          </w:divBdr>
        </w:div>
        <w:div w:id="954140498">
          <w:marLeft w:val="640"/>
          <w:marRight w:val="0"/>
          <w:marTop w:val="0"/>
          <w:marBottom w:val="0"/>
          <w:divBdr>
            <w:top w:val="none" w:sz="0" w:space="0" w:color="auto"/>
            <w:left w:val="none" w:sz="0" w:space="0" w:color="auto"/>
            <w:bottom w:val="none" w:sz="0" w:space="0" w:color="auto"/>
            <w:right w:val="none" w:sz="0" w:space="0" w:color="auto"/>
          </w:divBdr>
        </w:div>
        <w:div w:id="1539464028">
          <w:marLeft w:val="640"/>
          <w:marRight w:val="0"/>
          <w:marTop w:val="0"/>
          <w:marBottom w:val="0"/>
          <w:divBdr>
            <w:top w:val="none" w:sz="0" w:space="0" w:color="auto"/>
            <w:left w:val="none" w:sz="0" w:space="0" w:color="auto"/>
            <w:bottom w:val="none" w:sz="0" w:space="0" w:color="auto"/>
            <w:right w:val="none" w:sz="0" w:space="0" w:color="auto"/>
          </w:divBdr>
        </w:div>
        <w:div w:id="74670238">
          <w:marLeft w:val="640"/>
          <w:marRight w:val="0"/>
          <w:marTop w:val="0"/>
          <w:marBottom w:val="0"/>
          <w:divBdr>
            <w:top w:val="none" w:sz="0" w:space="0" w:color="auto"/>
            <w:left w:val="none" w:sz="0" w:space="0" w:color="auto"/>
            <w:bottom w:val="none" w:sz="0" w:space="0" w:color="auto"/>
            <w:right w:val="none" w:sz="0" w:space="0" w:color="auto"/>
          </w:divBdr>
        </w:div>
        <w:div w:id="731345581">
          <w:marLeft w:val="640"/>
          <w:marRight w:val="0"/>
          <w:marTop w:val="0"/>
          <w:marBottom w:val="0"/>
          <w:divBdr>
            <w:top w:val="none" w:sz="0" w:space="0" w:color="auto"/>
            <w:left w:val="none" w:sz="0" w:space="0" w:color="auto"/>
            <w:bottom w:val="none" w:sz="0" w:space="0" w:color="auto"/>
            <w:right w:val="none" w:sz="0" w:space="0" w:color="auto"/>
          </w:divBdr>
        </w:div>
        <w:div w:id="2051294776">
          <w:marLeft w:val="640"/>
          <w:marRight w:val="0"/>
          <w:marTop w:val="0"/>
          <w:marBottom w:val="0"/>
          <w:divBdr>
            <w:top w:val="none" w:sz="0" w:space="0" w:color="auto"/>
            <w:left w:val="none" w:sz="0" w:space="0" w:color="auto"/>
            <w:bottom w:val="none" w:sz="0" w:space="0" w:color="auto"/>
            <w:right w:val="none" w:sz="0" w:space="0" w:color="auto"/>
          </w:divBdr>
        </w:div>
        <w:div w:id="1729722219">
          <w:marLeft w:val="640"/>
          <w:marRight w:val="0"/>
          <w:marTop w:val="0"/>
          <w:marBottom w:val="0"/>
          <w:divBdr>
            <w:top w:val="none" w:sz="0" w:space="0" w:color="auto"/>
            <w:left w:val="none" w:sz="0" w:space="0" w:color="auto"/>
            <w:bottom w:val="none" w:sz="0" w:space="0" w:color="auto"/>
            <w:right w:val="none" w:sz="0" w:space="0" w:color="auto"/>
          </w:divBdr>
        </w:div>
        <w:div w:id="1692150131">
          <w:marLeft w:val="640"/>
          <w:marRight w:val="0"/>
          <w:marTop w:val="0"/>
          <w:marBottom w:val="0"/>
          <w:divBdr>
            <w:top w:val="none" w:sz="0" w:space="0" w:color="auto"/>
            <w:left w:val="none" w:sz="0" w:space="0" w:color="auto"/>
            <w:bottom w:val="none" w:sz="0" w:space="0" w:color="auto"/>
            <w:right w:val="none" w:sz="0" w:space="0" w:color="auto"/>
          </w:divBdr>
        </w:div>
        <w:div w:id="591546481">
          <w:marLeft w:val="640"/>
          <w:marRight w:val="0"/>
          <w:marTop w:val="0"/>
          <w:marBottom w:val="0"/>
          <w:divBdr>
            <w:top w:val="none" w:sz="0" w:space="0" w:color="auto"/>
            <w:left w:val="none" w:sz="0" w:space="0" w:color="auto"/>
            <w:bottom w:val="none" w:sz="0" w:space="0" w:color="auto"/>
            <w:right w:val="none" w:sz="0" w:space="0" w:color="auto"/>
          </w:divBdr>
        </w:div>
        <w:div w:id="628164651">
          <w:marLeft w:val="640"/>
          <w:marRight w:val="0"/>
          <w:marTop w:val="0"/>
          <w:marBottom w:val="0"/>
          <w:divBdr>
            <w:top w:val="none" w:sz="0" w:space="0" w:color="auto"/>
            <w:left w:val="none" w:sz="0" w:space="0" w:color="auto"/>
            <w:bottom w:val="none" w:sz="0" w:space="0" w:color="auto"/>
            <w:right w:val="none" w:sz="0" w:space="0" w:color="auto"/>
          </w:divBdr>
        </w:div>
        <w:div w:id="1378774681">
          <w:marLeft w:val="640"/>
          <w:marRight w:val="0"/>
          <w:marTop w:val="0"/>
          <w:marBottom w:val="0"/>
          <w:divBdr>
            <w:top w:val="none" w:sz="0" w:space="0" w:color="auto"/>
            <w:left w:val="none" w:sz="0" w:space="0" w:color="auto"/>
            <w:bottom w:val="none" w:sz="0" w:space="0" w:color="auto"/>
            <w:right w:val="none" w:sz="0" w:space="0" w:color="auto"/>
          </w:divBdr>
        </w:div>
        <w:div w:id="214631173">
          <w:marLeft w:val="640"/>
          <w:marRight w:val="0"/>
          <w:marTop w:val="0"/>
          <w:marBottom w:val="0"/>
          <w:divBdr>
            <w:top w:val="none" w:sz="0" w:space="0" w:color="auto"/>
            <w:left w:val="none" w:sz="0" w:space="0" w:color="auto"/>
            <w:bottom w:val="none" w:sz="0" w:space="0" w:color="auto"/>
            <w:right w:val="none" w:sz="0" w:space="0" w:color="auto"/>
          </w:divBdr>
        </w:div>
        <w:div w:id="1302688928">
          <w:marLeft w:val="640"/>
          <w:marRight w:val="0"/>
          <w:marTop w:val="0"/>
          <w:marBottom w:val="0"/>
          <w:divBdr>
            <w:top w:val="none" w:sz="0" w:space="0" w:color="auto"/>
            <w:left w:val="none" w:sz="0" w:space="0" w:color="auto"/>
            <w:bottom w:val="none" w:sz="0" w:space="0" w:color="auto"/>
            <w:right w:val="none" w:sz="0" w:space="0" w:color="auto"/>
          </w:divBdr>
        </w:div>
        <w:div w:id="1058549122">
          <w:marLeft w:val="640"/>
          <w:marRight w:val="0"/>
          <w:marTop w:val="0"/>
          <w:marBottom w:val="0"/>
          <w:divBdr>
            <w:top w:val="none" w:sz="0" w:space="0" w:color="auto"/>
            <w:left w:val="none" w:sz="0" w:space="0" w:color="auto"/>
            <w:bottom w:val="none" w:sz="0" w:space="0" w:color="auto"/>
            <w:right w:val="none" w:sz="0" w:space="0" w:color="auto"/>
          </w:divBdr>
        </w:div>
        <w:div w:id="2000228402">
          <w:marLeft w:val="640"/>
          <w:marRight w:val="0"/>
          <w:marTop w:val="0"/>
          <w:marBottom w:val="0"/>
          <w:divBdr>
            <w:top w:val="none" w:sz="0" w:space="0" w:color="auto"/>
            <w:left w:val="none" w:sz="0" w:space="0" w:color="auto"/>
            <w:bottom w:val="none" w:sz="0" w:space="0" w:color="auto"/>
            <w:right w:val="none" w:sz="0" w:space="0" w:color="auto"/>
          </w:divBdr>
        </w:div>
        <w:div w:id="1397819012">
          <w:marLeft w:val="640"/>
          <w:marRight w:val="0"/>
          <w:marTop w:val="0"/>
          <w:marBottom w:val="0"/>
          <w:divBdr>
            <w:top w:val="none" w:sz="0" w:space="0" w:color="auto"/>
            <w:left w:val="none" w:sz="0" w:space="0" w:color="auto"/>
            <w:bottom w:val="none" w:sz="0" w:space="0" w:color="auto"/>
            <w:right w:val="none" w:sz="0" w:space="0" w:color="auto"/>
          </w:divBdr>
        </w:div>
        <w:div w:id="1986231730">
          <w:marLeft w:val="640"/>
          <w:marRight w:val="0"/>
          <w:marTop w:val="0"/>
          <w:marBottom w:val="0"/>
          <w:divBdr>
            <w:top w:val="none" w:sz="0" w:space="0" w:color="auto"/>
            <w:left w:val="none" w:sz="0" w:space="0" w:color="auto"/>
            <w:bottom w:val="none" w:sz="0" w:space="0" w:color="auto"/>
            <w:right w:val="none" w:sz="0" w:space="0" w:color="auto"/>
          </w:divBdr>
        </w:div>
        <w:div w:id="1103496116">
          <w:marLeft w:val="640"/>
          <w:marRight w:val="0"/>
          <w:marTop w:val="0"/>
          <w:marBottom w:val="0"/>
          <w:divBdr>
            <w:top w:val="none" w:sz="0" w:space="0" w:color="auto"/>
            <w:left w:val="none" w:sz="0" w:space="0" w:color="auto"/>
            <w:bottom w:val="none" w:sz="0" w:space="0" w:color="auto"/>
            <w:right w:val="none" w:sz="0" w:space="0" w:color="auto"/>
          </w:divBdr>
        </w:div>
        <w:div w:id="255410681">
          <w:marLeft w:val="640"/>
          <w:marRight w:val="0"/>
          <w:marTop w:val="0"/>
          <w:marBottom w:val="0"/>
          <w:divBdr>
            <w:top w:val="none" w:sz="0" w:space="0" w:color="auto"/>
            <w:left w:val="none" w:sz="0" w:space="0" w:color="auto"/>
            <w:bottom w:val="none" w:sz="0" w:space="0" w:color="auto"/>
            <w:right w:val="none" w:sz="0" w:space="0" w:color="auto"/>
          </w:divBdr>
        </w:div>
        <w:div w:id="125855003">
          <w:marLeft w:val="640"/>
          <w:marRight w:val="0"/>
          <w:marTop w:val="0"/>
          <w:marBottom w:val="0"/>
          <w:divBdr>
            <w:top w:val="none" w:sz="0" w:space="0" w:color="auto"/>
            <w:left w:val="none" w:sz="0" w:space="0" w:color="auto"/>
            <w:bottom w:val="none" w:sz="0" w:space="0" w:color="auto"/>
            <w:right w:val="none" w:sz="0" w:space="0" w:color="auto"/>
          </w:divBdr>
        </w:div>
        <w:div w:id="1827819651">
          <w:marLeft w:val="640"/>
          <w:marRight w:val="0"/>
          <w:marTop w:val="0"/>
          <w:marBottom w:val="0"/>
          <w:divBdr>
            <w:top w:val="none" w:sz="0" w:space="0" w:color="auto"/>
            <w:left w:val="none" w:sz="0" w:space="0" w:color="auto"/>
            <w:bottom w:val="none" w:sz="0" w:space="0" w:color="auto"/>
            <w:right w:val="none" w:sz="0" w:space="0" w:color="auto"/>
          </w:divBdr>
        </w:div>
        <w:div w:id="1547062635">
          <w:marLeft w:val="640"/>
          <w:marRight w:val="0"/>
          <w:marTop w:val="0"/>
          <w:marBottom w:val="0"/>
          <w:divBdr>
            <w:top w:val="none" w:sz="0" w:space="0" w:color="auto"/>
            <w:left w:val="none" w:sz="0" w:space="0" w:color="auto"/>
            <w:bottom w:val="none" w:sz="0" w:space="0" w:color="auto"/>
            <w:right w:val="none" w:sz="0" w:space="0" w:color="auto"/>
          </w:divBdr>
        </w:div>
        <w:div w:id="769811923">
          <w:marLeft w:val="640"/>
          <w:marRight w:val="0"/>
          <w:marTop w:val="0"/>
          <w:marBottom w:val="0"/>
          <w:divBdr>
            <w:top w:val="none" w:sz="0" w:space="0" w:color="auto"/>
            <w:left w:val="none" w:sz="0" w:space="0" w:color="auto"/>
            <w:bottom w:val="none" w:sz="0" w:space="0" w:color="auto"/>
            <w:right w:val="none" w:sz="0" w:space="0" w:color="auto"/>
          </w:divBdr>
        </w:div>
        <w:div w:id="1761876676">
          <w:marLeft w:val="640"/>
          <w:marRight w:val="0"/>
          <w:marTop w:val="0"/>
          <w:marBottom w:val="0"/>
          <w:divBdr>
            <w:top w:val="none" w:sz="0" w:space="0" w:color="auto"/>
            <w:left w:val="none" w:sz="0" w:space="0" w:color="auto"/>
            <w:bottom w:val="none" w:sz="0" w:space="0" w:color="auto"/>
            <w:right w:val="none" w:sz="0" w:space="0" w:color="auto"/>
          </w:divBdr>
        </w:div>
        <w:div w:id="1530872624">
          <w:marLeft w:val="640"/>
          <w:marRight w:val="0"/>
          <w:marTop w:val="0"/>
          <w:marBottom w:val="0"/>
          <w:divBdr>
            <w:top w:val="none" w:sz="0" w:space="0" w:color="auto"/>
            <w:left w:val="none" w:sz="0" w:space="0" w:color="auto"/>
            <w:bottom w:val="none" w:sz="0" w:space="0" w:color="auto"/>
            <w:right w:val="none" w:sz="0" w:space="0" w:color="auto"/>
          </w:divBdr>
        </w:div>
        <w:div w:id="457382123">
          <w:marLeft w:val="640"/>
          <w:marRight w:val="0"/>
          <w:marTop w:val="0"/>
          <w:marBottom w:val="0"/>
          <w:divBdr>
            <w:top w:val="none" w:sz="0" w:space="0" w:color="auto"/>
            <w:left w:val="none" w:sz="0" w:space="0" w:color="auto"/>
            <w:bottom w:val="none" w:sz="0" w:space="0" w:color="auto"/>
            <w:right w:val="none" w:sz="0" w:space="0" w:color="auto"/>
          </w:divBdr>
        </w:div>
        <w:div w:id="2107074892">
          <w:marLeft w:val="640"/>
          <w:marRight w:val="0"/>
          <w:marTop w:val="0"/>
          <w:marBottom w:val="0"/>
          <w:divBdr>
            <w:top w:val="none" w:sz="0" w:space="0" w:color="auto"/>
            <w:left w:val="none" w:sz="0" w:space="0" w:color="auto"/>
            <w:bottom w:val="none" w:sz="0" w:space="0" w:color="auto"/>
            <w:right w:val="none" w:sz="0" w:space="0" w:color="auto"/>
          </w:divBdr>
        </w:div>
        <w:div w:id="553547459">
          <w:marLeft w:val="640"/>
          <w:marRight w:val="0"/>
          <w:marTop w:val="0"/>
          <w:marBottom w:val="0"/>
          <w:divBdr>
            <w:top w:val="none" w:sz="0" w:space="0" w:color="auto"/>
            <w:left w:val="none" w:sz="0" w:space="0" w:color="auto"/>
            <w:bottom w:val="none" w:sz="0" w:space="0" w:color="auto"/>
            <w:right w:val="none" w:sz="0" w:space="0" w:color="auto"/>
          </w:divBdr>
        </w:div>
        <w:div w:id="1167330068">
          <w:marLeft w:val="640"/>
          <w:marRight w:val="0"/>
          <w:marTop w:val="0"/>
          <w:marBottom w:val="0"/>
          <w:divBdr>
            <w:top w:val="none" w:sz="0" w:space="0" w:color="auto"/>
            <w:left w:val="none" w:sz="0" w:space="0" w:color="auto"/>
            <w:bottom w:val="none" w:sz="0" w:space="0" w:color="auto"/>
            <w:right w:val="none" w:sz="0" w:space="0" w:color="auto"/>
          </w:divBdr>
        </w:div>
        <w:div w:id="2012566402">
          <w:marLeft w:val="640"/>
          <w:marRight w:val="0"/>
          <w:marTop w:val="0"/>
          <w:marBottom w:val="0"/>
          <w:divBdr>
            <w:top w:val="none" w:sz="0" w:space="0" w:color="auto"/>
            <w:left w:val="none" w:sz="0" w:space="0" w:color="auto"/>
            <w:bottom w:val="none" w:sz="0" w:space="0" w:color="auto"/>
            <w:right w:val="none" w:sz="0" w:space="0" w:color="auto"/>
          </w:divBdr>
        </w:div>
        <w:div w:id="1232736056">
          <w:marLeft w:val="640"/>
          <w:marRight w:val="0"/>
          <w:marTop w:val="0"/>
          <w:marBottom w:val="0"/>
          <w:divBdr>
            <w:top w:val="none" w:sz="0" w:space="0" w:color="auto"/>
            <w:left w:val="none" w:sz="0" w:space="0" w:color="auto"/>
            <w:bottom w:val="none" w:sz="0" w:space="0" w:color="auto"/>
            <w:right w:val="none" w:sz="0" w:space="0" w:color="auto"/>
          </w:divBdr>
        </w:div>
        <w:div w:id="1971744023">
          <w:marLeft w:val="640"/>
          <w:marRight w:val="0"/>
          <w:marTop w:val="0"/>
          <w:marBottom w:val="0"/>
          <w:divBdr>
            <w:top w:val="none" w:sz="0" w:space="0" w:color="auto"/>
            <w:left w:val="none" w:sz="0" w:space="0" w:color="auto"/>
            <w:bottom w:val="none" w:sz="0" w:space="0" w:color="auto"/>
            <w:right w:val="none" w:sz="0" w:space="0" w:color="auto"/>
          </w:divBdr>
        </w:div>
        <w:div w:id="1046492912">
          <w:marLeft w:val="640"/>
          <w:marRight w:val="0"/>
          <w:marTop w:val="0"/>
          <w:marBottom w:val="0"/>
          <w:divBdr>
            <w:top w:val="none" w:sz="0" w:space="0" w:color="auto"/>
            <w:left w:val="none" w:sz="0" w:space="0" w:color="auto"/>
            <w:bottom w:val="none" w:sz="0" w:space="0" w:color="auto"/>
            <w:right w:val="none" w:sz="0" w:space="0" w:color="auto"/>
          </w:divBdr>
        </w:div>
        <w:div w:id="558830991">
          <w:marLeft w:val="640"/>
          <w:marRight w:val="0"/>
          <w:marTop w:val="0"/>
          <w:marBottom w:val="0"/>
          <w:divBdr>
            <w:top w:val="none" w:sz="0" w:space="0" w:color="auto"/>
            <w:left w:val="none" w:sz="0" w:space="0" w:color="auto"/>
            <w:bottom w:val="none" w:sz="0" w:space="0" w:color="auto"/>
            <w:right w:val="none" w:sz="0" w:space="0" w:color="auto"/>
          </w:divBdr>
        </w:div>
        <w:div w:id="541134156">
          <w:marLeft w:val="640"/>
          <w:marRight w:val="0"/>
          <w:marTop w:val="0"/>
          <w:marBottom w:val="0"/>
          <w:divBdr>
            <w:top w:val="none" w:sz="0" w:space="0" w:color="auto"/>
            <w:left w:val="none" w:sz="0" w:space="0" w:color="auto"/>
            <w:bottom w:val="none" w:sz="0" w:space="0" w:color="auto"/>
            <w:right w:val="none" w:sz="0" w:space="0" w:color="auto"/>
          </w:divBdr>
        </w:div>
        <w:div w:id="880943733">
          <w:marLeft w:val="640"/>
          <w:marRight w:val="0"/>
          <w:marTop w:val="0"/>
          <w:marBottom w:val="0"/>
          <w:divBdr>
            <w:top w:val="none" w:sz="0" w:space="0" w:color="auto"/>
            <w:left w:val="none" w:sz="0" w:space="0" w:color="auto"/>
            <w:bottom w:val="none" w:sz="0" w:space="0" w:color="auto"/>
            <w:right w:val="none" w:sz="0" w:space="0" w:color="auto"/>
          </w:divBdr>
        </w:div>
        <w:div w:id="1661345124">
          <w:marLeft w:val="640"/>
          <w:marRight w:val="0"/>
          <w:marTop w:val="0"/>
          <w:marBottom w:val="0"/>
          <w:divBdr>
            <w:top w:val="none" w:sz="0" w:space="0" w:color="auto"/>
            <w:left w:val="none" w:sz="0" w:space="0" w:color="auto"/>
            <w:bottom w:val="none" w:sz="0" w:space="0" w:color="auto"/>
            <w:right w:val="none" w:sz="0" w:space="0" w:color="auto"/>
          </w:divBdr>
        </w:div>
        <w:div w:id="77413181">
          <w:marLeft w:val="640"/>
          <w:marRight w:val="0"/>
          <w:marTop w:val="0"/>
          <w:marBottom w:val="0"/>
          <w:divBdr>
            <w:top w:val="none" w:sz="0" w:space="0" w:color="auto"/>
            <w:left w:val="none" w:sz="0" w:space="0" w:color="auto"/>
            <w:bottom w:val="none" w:sz="0" w:space="0" w:color="auto"/>
            <w:right w:val="none" w:sz="0" w:space="0" w:color="auto"/>
          </w:divBdr>
        </w:div>
        <w:div w:id="1059092016">
          <w:marLeft w:val="640"/>
          <w:marRight w:val="0"/>
          <w:marTop w:val="0"/>
          <w:marBottom w:val="0"/>
          <w:divBdr>
            <w:top w:val="none" w:sz="0" w:space="0" w:color="auto"/>
            <w:left w:val="none" w:sz="0" w:space="0" w:color="auto"/>
            <w:bottom w:val="none" w:sz="0" w:space="0" w:color="auto"/>
            <w:right w:val="none" w:sz="0" w:space="0" w:color="auto"/>
          </w:divBdr>
        </w:div>
        <w:div w:id="664866266">
          <w:marLeft w:val="640"/>
          <w:marRight w:val="0"/>
          <w:marTop w:val="0"/>
          <w:marBottom w:val="0"/>
          <w:divBdr>
            <w:top w:val="none" w:sz="0" w:space="0" w:color="auto"/>
            <w:left w:val="none" w:sz="0" w:space="0" w:color="auto"/>
            <w:bottom w:val="none" w:sz="0" w:space="0" w:color="auto"/>
            <w:right w:val="none" w:sz="0" w:space="0" w:color="auto"/>
          </w:divBdr>
        </w:div>
        <w:div w:id="2069306228">
          <w:marLeft w:val="640"/>
          <w:marRight w:val="0"/>
          <w:marTop w:val="0"/>
          <w:marBottom w:val="0"/>
          <w:divBdr>
            <w:top w:val="none" w:sz="0" w:space="0" w:color="auto"/>
            <w:left w:val="none" w:sz="0" w:space="0" w:color="auto"/>
            <w:bottom w:val="none" w:sz="0" w:space="0" w:color="auto"/>
            <w:right w:val="none" w:sz="0" w:space="0" w:color="auto"/>
          </w:divBdr>
        </w:div>
        <w:div w:id="958414652">
          <w:marLeft w:val="640"/>
          <w:marRight w:val="0"/>
          <w:marTop w:val="0"/>
          <w:marBottom w:val="0"/>
          <w:divBdr>
            <w:top w:val="none" w:sz="0" w:space="0" w:color="auto"/>
            <w:left w:val="none" w:sz="0" w:space="0" w:color="auto"/>
            <w:bottom w:val="none" w:sz="0" w:space="0" w:color="auto"/>
            <w:right w:val="none" w:sz="0" w:space="0" w:color="auto"/>
          </w:divBdr>
        </w:div>
        <w:div w:id="153109710">
          <w:marLeft w:val="640"/>
          <w:marRight w:val="0"/>
          <w:marTop w:val="0"/>
          <w:marBottom w:val="0"/>
          <w:divBdr>
            <w:top w:val="none" w:sz="0" w:space="0" w:color="auto"/>
            <w:left w:val="none" w:sz="0" w:space="0" w:color="auto"/>
            <w:bottom w:val="none" w:sz="0" w:space="0" w:color="auto"/>
            <w:right w:val="none" w:sz="0" w:space="0" w:color="auto"/>
          </w:divBdr>
        </w:div>
        <w:div w:id="978458488">
          <w:marLeft w:val="640"/>
          <w:marRight w:val="0"/>
          <w:marTop w:val="0"/>
          <w:marBottom w:val="0"/>
          <w:divBdr>
            <w:top w:val="none" w:sz="0" w:space="0" w:color="auto"/>
            <w:left w:val="none" w:sz="0" w:space="0" w:color="auto"/>
            <w:bottom w:val="none" w:sz="0" w:space="0" w:color="auto"/>
            <w:right w:val="none" w:sz="0" w:space="0" w:color="auto"/>
          </w:divBdr>
        </w:div>
        <w:div w:id="1618173453">
          <w:marLeft w:val="640"/>
          <w:marRight w:val="0"/>
          <w:marTop w:val="0"/>
          <w:marBottom w:val="0"/>
          <w:divBdr>
            <w:top w:val="none" w:sz="0" w:space="0" w:color="auto"/>
            <w:left w:val="none" w:sz="0" w:space="0" w:color="auto"/>
            <w:bottom w:val="none" w:sz="0" w:space="0" w:color="auto"/>
            <w:right w:val="none" w:sz="0" w:space="0" w:color="auto"/>
          </w:divBdr>
        </w:div>
        <w:div w:id="1305893231">
          <w:marLeft w:val="640"/>
          <w:marRight w:val="0"/>
          <w:marTop w:val="0"/>
          <w:marBottom w:val="0"/>
          <w:divBdr>
            <w:top w:val="none" w:sz="0" w:space="0" w:color="auto"/>
            <w:left w:val="none" w:sz="0" w:space="0" w:color="auto"/>
            <w:bottom w:val="none" w:sz="0" w:space="0" w:color="auto"/>
            <w:right w:val="none" w:sz="0" w:space="0" w:color="auto"/>
          </w:divBdr>
        </w:div>
        <w:div w:id="436145291">
          <w:marLeft w:val="640"/>
          <w:marRight w:val="0"/>
          <w:marTop w:val="0"/>
          <w:marBottom w:val="0"/>
          <w:divBdr>
            <w:top w:val="none" w:sz="0" w:space="0" w:color="auto"/>
            <w:left w:val="none" w:sz="0" w:space="0" w:color="auto"/>
            <w:bottom w:val="none" w:sz="0" w:space="0" w:color="auto"/>
            <w:right w:val="none" w:sz="0" w:space="0" w:color="auto"/>
          </w:divBdr>
        </w:div>
        <w:div w:id="1262836851">
          <w:marLeft w:val="640"/>
          <w:marRight w:val="0"/>
          <w:marTop w:val="0"/>
          <w:marBottom w:val="0"/>
          <w:divBdr>
            <w:top w:val="none" w:sz="0" w:space="0" w:color="auto"/>
            <w:left w:val="none" w:sz="0" w:space="0" w:color="auto"/>
            <w:bottom w:val="none" w:sz="0" w:space="0" w:color="auto"/>
            <w:right w:val="none" w:sz="0" w:space="0" w:color="auto"/>
          </w:divBdr>
        </w:div>
        <w:div w:id="1416514096">
          <w:marLeft w:val="640"/>
          <w:marRight w:val="0"/>
          <w:marTop w:val="0"/>
          <w:marBottom w:val="0"/>
          <w:divBdr>
            <w:top w:val="none" w:sz="0" w:space="0" w:color="auto"/>
            <w:left w:val="none" w:sz="0" w:space="0" w:color="auto"/>
            <w:bottom w:val="none" w:sz="0" w:space="0" w:color="auto"/>
            <w:right w:val="none" w:sz="0" w:space="0" w:color="auto"/>
          </w:divBdr>
        </w:div>
        <w:div w:id="879977971">
          <w:marLeft w:val="640"/>
          <w:marRight w:val="0"/>
          <w:marTop w:val="0"/>
          <w:marBottom w:val="0"/>
          <w:divBdr>
            <w:top w:val="none" w:sz="0" w:space="0" w:color="auto"/>
            <w:left w:val="none" w:sz="0" w:space="0" w:color="auto"/>
            <w:bottom w:val="none" w:sz="0" w:space="0" w:color="auto"/>
            <w:right w:val="none" w:sz="0" w:space="0" w:color="auto"/>
          </w:divBdr>
        </w:div>
        <w:div w:id="1267957498">
          <w:marLeft w:val="640"/>
          <w:marRight w:val="0"/>
          <w:marTop w:val="0"/>
          <w:marBottom w:val="0"/>
          <w:divBdr>
            <w:top w:val="none" w:sz="0" w:space="0" w:color="auto"/>
            <w:left w:val="none" w:sz="0" w:space="0" w:color="auto"/>
            <w:bottom w:val="none" w:sz="0" w:space="0" w:color="auto"/>
            <w:right w:val="none" w:sz="0" w:space="0" w:color="auto"/>
          </w:divBdr>
        </w:div>
        <w:div w:id="1535968461">
          <w:marLeft w:val="640"/>
          <w:marRight w:val="0"/>
          <w:marTop w:val="0"/>
          <w:marBottom w:val="0"/>
          <w:divBdr>
            <w:top w:val="none" w:sz="0" w:space="0" w:color="auto"/>
            <w:left w:val="none" w:sz="0" w:space="0" w:color="auto"/>
            <w:bottom w:val="none" w:sz="0" w:space="0" w:color="auto"/>
            <w:right w:val="none" w:sz="0" w:space="0" w:color="auto"/>
          </w:divBdr>
        </w:div>
        <w:div w:id="805702551">
          <w:marLeft w:val="640"/>
          <w:marRight w:val="0"/>
          <w:marTop w:val="0"/>
          <w:marBottom w:val="0"/>
          <w:divBdr>
            <w:top w:val="none" w:sz="0" w:space="0" w:color="auto"/>
            <w:left w:val="none" w:sz="0" w:space="0" w:color="auto"/>
            <w:bottom w:val="none" w:sz="0" w:space="0" w:color="auto"/>
            <w:right w:val="none" w:sz="0" w:space="0" w:color="auto"/>
          </w:divBdr>
        </w:div>
        <w:div w:id="595527242">
          <w:marLeft w:val="640"/>
          <w:marRight w:val="0"/>
          <w:marTop w:val="0"/>
          <w:marBottom w:val="0"/>
          <w:divBdr>
            <w:top w:val="none" w:sz="0" w:space="0" w:color="auto"/>
            <w:left w:val="none" w:sz="0" w:space="0" w:color="auto"/>
            <w:bottom w:val="none" w:sz="0" w:space="0" w:color="auto"/>
            <w:right w:val="none" w:sz="0" w:space="0" w:color="auto"/>
          </w:divBdr>
        </w:div>
        <w:div w:id="1380128102">
          <w:marLeft w:val="640"/>
          <w:marRight w:val="0"/>
          <w:marTop w:val="0"/>
          <w:marBottom w:val="0"/>
          <w:divBdr>
            <w:top w:val="none" w:sz="0" w:space="0" w:color="auto"/>
            <w:left w:val="none" w:sz="0" w:space="0" w:color="auto"/>
            <w:bottom w:val="none" w:sz="0" w:space="0" w:color="auto"/>
            <w:right w:val="none" w:sz="0" w:space="0" w:color="auto"/>
          </w:divBdr>
        </w:div>
        <w:div w:id="2079589507">
          <w:marLeft w:val="640"/>
          <w:marRight w:val="0"/>
          <w:marTop w:val="0"/>
          <w:marBottom w:val="0"/>
          <w:divBdr>
            <w:top w:val="none" w:sz="0" w:space="0" w:color="auto"/>
            <w:left w:val="none" w:sz="0" w:space="0" w:color="auto"/>
            <w:bottom w:val="none" w:sz="0" w:space="0" w:color="auto"/>
            <w:right w:val="none" w:sz="0" w:space="0" w:color="auto"/>
          </w:divBdr>
        </w:div>
        <w:div w:id="406346769">
          <w:marLeft w:val="640"/>
          <w:marRight w:val="0"/>
          <w:marTop w:val="0"/>
          <w:marBottom w:val="0"/>
          <w:divBdr>
            <w:top w:val="none" w:sz="0" w:space="0" w:color="auto"/>
            <w:left w:val="none" w:sz="0" w:space="0" w:color="auto"/>
            <w:bottom w:val="none" w:sz="0" w:space="0" w:color="auto"/>
            <w:right w:val="none" w:sz="0" w:space="0" w:color="auto"/>
          </w:divBdr>
        </w:div>
        <w:div w:id="409888358">
          <w:marLeft w:val="640"/>
          <w:marRight w:val="0"/>
          <w:marTop w:val="0"/>
          <w:marBottom w:val="0"/>
          <w:divBdr>
            <w:top w:val="none" w:sz="0" w:space="0" w:color="auto"/>
            <w:left w:val="none" w:sz="0" w:space="0" w:color="auto"/>
            <w:bottom w:val="none" w:sz="0" w:space="0" w:color="auto"/>
            <w:right w:val="none" w:sz="0" w:space="0" w:color="auto"/>
          </w:divBdr>
        </w:div>
        <w:div w:id="111098564">
          <w:marLeft w:val="640"/>
          <w:marRight w:val="0"/>
          <w:marTop w:val="0"/>
          <w:marBottom w:val="0"/>
          <w:divBdr>
            <w:top w:val="none" w:sz="0" w:space="0" w:color="auto"/>
            <w:left w:val="none" w:sz="0" w:space="0" w:color="auto"/>
            <w:bottom w:val="none" w:sz="0" w:space="0" w:color="auto"/>
            <w:right w:val="none" w:sz="0" w:space="0" w:color="auto"/>
          </w:divBdr>
        </w:div>
        <w:div w:id="262079616">
          <w:marLeft w:val="640"/>
          <w:marRight w:val="0"/>
          <w:marTop w:val="0"/>
          <w:marBottom w:val="0"/>
          <w:divBdr>
            <w:top w:val="none" w:sz="0" w:space="0" w:color="auto"/>
            <w:left w:val="none" w:sz="0" w:space="0" w:color="auto"/>
            <w:bottom w:val="none" w:sz="0" w:space="0" w:color="auto"/>
            <w:right w:val="none" w:sz="0" w:space="0" w:color="auto"/>
          </w:divBdr>
        </w:div>
        <w:div w:id="868034597">
          <w:marLeft w:val="640"/>
          <w:marRight w:val="0"/>
          <w:marTop w:val="0"/>
          <w:marBottom w:val="0"/>
          <w:divBdr>
            <w:top w:val="none" w:sz="0" w:space="0" w:color="auto"/>
            <w:left w:val="none" w:sz="0" w:space="0" w:color="auto"/>
            <w:bottom w:val="none" w:sz="0" w:space="0" w:color="auto"/>
            <w:right w:val="none" w:sz="0" w:space="0" w:color="auto"/>
          </w:divBdr>
        </w:div>
        <w:div w:id="940260024">
          <w:marLeft w:val="640"/>
          <w:marRight w:val="0"/>
          <w:marTop w:val="0"/>
          <w:marBottom w:val="0"/>
          <w:divBdr>
            <w:top w:val="none" w:sz="0" w:space="0" w:color="auto"/>
            <w:left w:val="none" w:sz="0" w:space="0" w:color="auto"/>
            <w:bottom w:val="none" w:sz="0" w:space="0" w:color="auto"/>
            <w:right w:val="none" w:sz="0" w:space="0" w:color="auto"/>
          </w:divBdr>
        </w:div>
        <w:div w:id="1097290059">
          <w:marLeft w:val="640"/>
          <w:marRight w:val="0"/>
          <w:marTop w:val="0"/>
          <w:marBottom w:val="0"/>
          <w:divBdr>
            <w:top w:val="none" w:sz="0" w:space="0" w:color="auto"/>
            <w:left w:val="none" w:sz="0" w:space="0" w:color="auto"/>
            <w:bottom w:val="none" w:sz="0" w:space="0" w:color="auto"/>
            <w:right w:val="none" w:sz="0" w:space="0" w:color="auto"/>
          </w:divBdr>
        </w:div>
        <w:div w:id="1321468741">
          <w:marLeft w:val="640"/>
          <w:marRight w:val="0"/>
          <w:marTop w:val="0"/>
          <w:marBottom w:val="0"/>
          <w:divBdr>
            <w:top w:val="none" w:sz="0" w:space="0" w:color="auto"/>
            <w:left w:val="none" w:sz="0" w:space="0" w:color="auto"/>
            <w:bottom w:val="none" w:sz="0" w:space="0" w:color="auto"/>
            <w:right w:val="none" w:sz="0" w:space="0" w:color="auto"/>
          </w:divBdr>
        </w:div>
        <w:div w:id="156188567">
          <w:marLeft w:val="640"/>
          <w:marRight w:val="0"/>
          <w:marTop w:val="0"/>
          <w:marBottom w:val="0"/>
          <w:divBdr>
            <w:top w:val="none" w:sz="0" w:space="0" w:color="auto"/>
            <w:left w:val="none" w:sz="0" w:space="0" w:color="auto"/>
            <w:bottom w:val="none" w:sz="0" w:space="0" w:color="auto"/>
            <w:right w:val="none" w:sz="0" w:space="0" w:color="auto"/>
          </w:divBdr>
        </w:div>
        <w:div w:id="448626649">
          <w:marLeft w:val="640"/>
          <w:marRight w:val="0"/>
          <w:marTop w:val="0"/>
          <w:marBottom w:val="0"/>
          <w:divBdr>
            <w:top w:val="none" w:sz="0" w:space="0" w:color="auto"/>
            <w:left w:val="none" w:sz="0" w:space="0" w:color="auto"/>
            <w:bottom w:val="none" w:sz="0" w:space="0" w:color="auto"/>
            <w:right w:val="none" w:sz="0" w:space="0" w:color="auto"/>
          </w:divBdr>
        </w:div>
        <w:div w:id="1166822524">
          <w:marLeft w:val="640"/>
          <w:marRight w:val="0"/>
          <w:marTop w:val="0"/>
          <w:marBottom w:val="0"/>
          <w:divBdr>
            <w:top w:val="none" w:sz="0" w:space="0" w:color="auto"/>
            <w:left w:val="none" w:sz="0" w:space="0" w:color="auto"/>
            <w:bottom w:val="none" w:sz="0" w:space="0" w:color="auto"/>
            <w:right w:val="none" w:sz="0" w:space="0" w:color="auto"/>
          </w:divBdr>
        </w:div>
        <w:div w:id="1063407032">
          <w:marLeft w:val="640"/>
          <w:marRight w:val="0"/>
          <w:marTop w:val="0"/>
          <w:marBottom w:val="0"/>
          <w:divBdr>
            <w:top w:val="none" w:sz="0" w:space="0" w:color="auto"/>
            <w:left w:val="none" w:sz="0" w:space="0" w:color="auto"/>
            <w:bottom w:val="none" w:sz="0" w:space="0" w:color="auto"/>
            <w:right w:val="none" w:sz="0" w:space="0" w:color="auto"/>
          </w:divBdr>
        </w:div>
        <w:div w:id="594557517">
          <w:marLeft w:val="640"/>
          <w:marRight w:val="0"/>
          <w:marTop w:val="0"/>
          <w:marBottom w:val="0"/>
          <w:divBdr>
            <w:top w:val="none" w:sz="0" w:space="0" w:color="auto"/>
            <w:left w:val="none" w:sz="0" w:space="0" w:color="auto"/>
            <w:bottom w:val="none" w:sz="0" w:space="0" w:color="auto"/>
            <w:right w:val="none" w:sz="0" w:space="0" w:color="auto"/>
          </w:divBdr>
        </w:div>
        <w:div w:id="970553620">
          <w:marLeft w:val="640"/>
          <w:marRight w:val="0"/>
          <w:marTop w:val="0"/>
          <w:marBottom w:val="0"/>
          <w:divBdr>
            <w:top w:val="none" w:sz="0" w:space="0" w:color="auto"/>
            <w:left w:val="none" w:sz="0" w:space="0" w:color="auto"/>
            <w:bottom w:val="none" w:sz="0" w:space="0" w:color="auto"/>
            <w:right w:val="none" w:sz="0" w:space="0" w:color="auto"/>
          </w:divBdr>
        </w:div>
        <w:div w:id="395201980">
          <w:marLeft w:val="640"/>
          <w:marRight w:val="0"/>
          <w:marTop w:val="0"/>
          <w:marBottom w:val="0"/>
          <w:divBdr>
            <w:top w:val="none" w:sz="0" w:space="0" w:color="auto"/>
            <w:left w:val="none" w:sz="0" w:space="0" w:color="auto"/>
            <w:bottom w:val="none" w:sz="0" w:space="0" w:color="auto"/>
            <w:right w:val="none" w:sz="0" w:space="0" w:color="auto"/>
          </w:divBdr>
        </w:div>
        <w:div w:id="847594248">
          <w:marLeft w:val="640"/>
          <w:marRight w:val="0"/>
          <w:marTop w:val="0"/>
          <w:marBottom w:val="0"/>
          <w:divBdr>
            <w:top w:val="none" w:sz="0" w:space="0" w:color="auto"/>
            <w:left w:val="none" w:sz="0" w:space="0" w:color="auto"/>
            <w:bottom w:val="none" w:sz="0" w:space="0" w:color="auto"/>
            <w:right w:val="none" w:sz="0" w:space="0" w:color="auto"/>
          </w:divBdr>
        </w:div>
        <w:div w:id="334653437">
          <w:marLeft w:val="640"/>
          <w:marRight w:val="0"/>
          <w:marTop w:val="0"/>
          <w:marBottom w:val="0"/>
          <w:divBdr>
            <w:top w:val="none" w:sz="0" w:space="0" w:color="auto"/>
            <w:left w:val="none" w:sz="0" w:space="0" w:color="auto"/>
            <w:bottom w:val="none" w:sz="0" w:space="0" w:color="auto"/>
            <w:right w:val="none" w:sz="0" w:space="0" w:color="auto"/>
          </w:divBdr>
        </w:div>
        <w:div w:id="1985620911">
          <w:marLeft w:val="640"/>
          <w:marRight w:val="0"/>
          <w:marTop w:val="0"/>
          <w:marBottom w:val="0"/>
          <w:divBdr>
            <w:top w:val="none" w:sz="0" w:space="0" w:color="auto"/>
            <w:left w:val="none" w:sz="0" w:space="0" w:color="auto"/>
            <w:bottom w:val="none" w:sz="0" w:space="0" w:color="auto"/>
            <w:right w:val="none" w:sz="0" w:space="0" w:color="auto"/>
          </w:divBdr>
        </w:div>
        <w:div w:id="1671368115">
          <w:marLeft w:val="640"/>
          <w:marRight w:val="0"/>
          <w:marTop w:val="0"/>
          <w:marBottom w:val="0"/>
          <w:divBdr>
            <w:top w:val="none" w:sz="0" w:space="0" w:color="auto"/>
            <w:left w:val="none" w:sz="0" w:space="0" w:color="auto"/>
            <w:bottom w:val="none" w:sz="0" w:space="0" w:color="auto"/>
            <w:right w:val="none" w:sz="0" w:space="0" w:color="auto"/>
          </w:divBdr>
        </w:div>
        <w:div w:id="637032615">
          <w:marLeft w:val="640"/>
          <w:marRight w:val="0"/>
          <w:marTop w:val="0"/>
          <w:marBottom w:val="0"/>
          <w:divBdr>
            <w:top w:val="none" w:sz="0" w:space="0" w:color="auto"/>
            <w:left w:val="none" w:sz="0" w:space="0" w:color="auto"/>
            <w:bottom w:val="none" w:sz="0" w:space="0" w:color="auto"/>
            <w:right w:val="none" w:sz="0" w:space="0" w:color="auto"/>
          </w:divBdr>
        </w:div>
        <w:div w:id="266084944">
          <w:marLeft w:val="640"/>
          <w:marRight w:val="0"/>
          <w:marTop w:val="0"/>
          <w:marBottom w:val="0"/>
          <w:divBdr>
            <w:top w:val="none" w:sz="0" w:space="0" w:color="auto"/>
            <w:left w:val="none" w:sz="0" w:space="0" w:color="auto"/>
            <w:bottom w:val="none" w:sz="0" w:space="0" w:color="auto"/>
            <w:right w:val="none" w:sz="0" w:space="0" w:color="auto"/>
          </w:divBdr>
        </w:div>
        <w:div w:id="1914465438">
          <w:marLeft w:val="640"/>
          <w:marRight w:val="0"/>
          <w:marTop w:val="0"/>
          <w:marBottom w:val="0"/>
          <w:divBdr>
            <w:top w:val="none" w:sz="0" w:space="0" w:color="auto"/>
            <w:left w:val="none" w:sz="0" w:space="0" w:color="auto"/>
            <w:bottom w:val="none" w:sz="0" w:space="0" w:color="auto"/>
            <w:right w:val="none" w:sz="0" w:space="0" w:color="auto"/>
          </w:divBdr>
        </w:div>
        <w:div w:id="33819148">
          <w:marLeft w:val="640"/>
          <w:marRight w:val="0"/>
          <w:marTop w:val="0"/>
          <w:marBottom w:val="0"/>
          <w:divBdr>
            <w:top w:val="none" w:sz="0" w:space="0" w:color="auto"/>
            <w:left w:val="none" w:sz="0" w:space="0" w:color="auto"/>
            <w:bottom w:val="none" w:sz="0" w:space="0" w:color="auto"/>
            <w:right w:val="none" w:sz="0" w:space="0" w:color="auto"/>
          </w:divBdr>
        </w:div>
        <w:div w:id="1770614847">
          <w:marLeft w:val="640"/>
          <w:marRight w:val="0"/>
          <w:marTop w:val="0"/>
          <w:marBottom w:val="0"/>
          <w:divBdr>
            <w:top w:val="none" w:sz="0" w:space="0" w:color="auto"/>
            <w:left w:val="none" w:sz="0" w:space="0" w:color="auto"/>
            <w:bottom w:val="none" w:sz="0" w:space="0" w:color="auto"/>
            <w:right w:val="none" w:sz="0" w:space="0" w:color="auto"/>
          </w:divBdr>
        </w:div>
        <w:div w:id="1411389764">
          <w:marLeft w:val="640"/>
          <w:marRight w:val="0"/>
          <w:marTop w:val="0"/>
          <w:marBottom w:val="0"/>
          <w:divBdr>
            <w:top w:val="none" w:sz="0" w:space="0" w:color="auto"/>
            <w:left w:val="none" w:sz="0" w:space="0" w:color="auto"/>
            <w:bottom w:val="none" w:sz="0" w:space="0" w:color="auto"/>
            <w:right w:val="none" w:sz="0" w:space="0" w:color="auto"/>
          </w:divBdr>
        </w:div>
        <w:div w:id="1722359554">
          <w:marLeft w:val="640"/>
          <w:marRight w:val="0"/>
          <w:marTop w:val="0"/>
          <w:marBottom w:val="0"/>
          <w:divBdr>
            <w:top w:val="none" w:sz="0" w:space="0" w:color="auto"/>
            <w:left w:val="none" w:sz="0" w:space="0" w:color="auto"/>
            <w:bottom w:val="none" w:sz="0" w:space="0" w:color="auto"/>
            <w:right w:val="none" w:sz="0" w:space="0" w:color="auto"/>
          </w:divBdr>
        </w:div>
        <w:div w:id="381684530">
          <w:marLeft w:val="640"/>
          <w:marRight w:val="0"/>
          <w:marTop w:val="0"/>
          <w:marBottom w:val="0"/>
          <w:divBdr>
            <w:top w:val="none" w:sz="0" w:space="0" w:color="auto"/>
            <w:left w:val="none" w:sz="0" w:space="0" w:color="auto"/>
            <w:bottom w:val="none" w:sz="0" w:space="0" w:color="auto"/>
            <w:right w:val="none" w:sz="0" w:space="0" w:color="auto"/>
          </w:divBdr>
        </w:div>
        <w:div w:id="192958994">
          <w:marLeft w:val="640"/>
          <w:marRight w:val="0"/>
          <w:marTop w:val="0"/>
          <w:marBottom w:val="0"/>
          <w:divBdr>
            <w:top w:val="none" w:sz="0" w:space="0" w:color="auto"/>
            <w:left w:val="none" w:sz="0" w:space="0" w:color="auto"/>
            <w:bottom w:val="none" w:sz="0" w:space="0" w:color="auto"/>
            <w:right w:val="none" w:sz="0" w:space="0" w:color="auto"/>
          </w:divBdr>
        </w:div>
        <w:div w:id="347097166">
          <w:marLeft w:val="640"/>
          <w:marRight w:val="0"/>
          <w:marTop w:val="0"/>
          <w:marBottom w:val="0"/>
          <w:divBdr>
            <w:top w:val="none" w:sz="0" w:space="0" w:color="auto"/>
            <w:left w:val="none" w:sz="0" w:space="0" w:color="auto"/>
            <w:bottom w:val="none" w:sz="0" w:space="0" w:color="auto"/>
            <w:right w:val="none" w:sz="0" w:space="0" w:color="auto"/>
          </w:divBdr>
        </w:div>
        <w:div w:id="1924994750">
          <w:marLeft w:val="640"/>
          <w:marRight w:val="0"/>
          <w:marTop w:val="0"/>
          <w:marBottom w:val="0"/>
          <w:divBdr>
            <w:top w:val="none" w:sz="0" w:space="0" w:color="auto"/>
            <w:left w:val="none" w:sz="0" w:space="0" w:color="auto"/>
            <w:bottom w:val="none" w:sz="0" w:space="0" w:color="auto"/>
            <w:right w:val="none" w:sz="0" w:space="0" w:color="auto"/>
          </w:divBdr>
        </w:div>
        <w:div w:id="2075659073">
          <w:marLeft w:val="640"/>
          <w:marRight w:val="0"/>
          <w:marTop w:val="0"/>
          <w:marBottom w:val="0"/>
          <w:divBdr>
            <w:top w:val="none" w:sz="0" w:space="0" w:color="auto"/>
            <w:left w:val="none" w:sz="0" w:space="0" w:color="auto"/>
            <w:bottom w:val="none" w:sz="0" w:space="0" w:color="auto"/>
            <w:right w:val="none" w:sz="0" w:space="0" w:color="auto"/>
          </w:divBdr>
        </w:div>
        <w:div w:id="922647790">
          <w:marLeft w:val="640"/>
          <w:marRight w:val="0"/>
          <w:marTop w:val="0"/>
          <w:marBottom w:val="0"/>
          <w:divBdr>
            <w:top w:val="none" w:sz="0" w:space="0" w:color="auto"/>
            <w:left w:val="none" w:sz="0" w:space="0" w:color="auto"/>
            <w:bottom w:val="none" w:sz="0" w:space="0" w:color="auto"/>
            <w:right w:val="none" w:sz="0" w:space="0" w:color="auto"/>
          </w:divBdr>
        </w:div>
        <w:div w:id="1377706190">
          <w:marLeft w:val="640"/>
          <w:marRight w:val="0"/>
          <w:marTop w:val="0"/>
          <w:marBottom w:val="0"/>
          <w:divBdr>
            <w:top w:val="none" w:sz="0" w:space="0" w:color="auto"/>
            <w:left w:val="none" w:sz="0" w:space="0" w:color="auto"/>
            <w:bottom w:val="none" w:sz="0" w:space="0" w:color="auto"/>
            <w:right w:val="none" w:sz="0" w:space="0" w:color="auto"/>
          </w:divBdr>
        </w:div>
        <w:div w:id="174272744">
          <w:marLeft w:val="640"/>
          <w:marRight w:val="0"/>
          <w:marTop w:val="0"/>
          <w:marBottom w:val="0"/>
          <w:divBdr>
            <w:top w:val="none" w:sz="0" w:space="0" w:color="auto"/>
            <w:left w:val="none" w:sz="0" w:space="0" w:color="auto"/>
            <w:bottom w:val="none" w:sz="0" w:space="0" w:color="auto"/>
            <w:right w:val="none" w:sz="0" w:space="0" w:color="auto"/>
          </w:divBdr>
        </w:div>
        <w:div w:id="939991044">
          <w:marLeft w:val="640"/>
          <w:marRight w:val="0"/>
          <w:marTop w:val="0"/>
          <w:marBottom w:val="0"/>
          <w:divBdr>
            <w:top w:val="none" w:sz="0" w:space="0" w:color="auto"/>
            <w:left w:val="none" w:sz="0" w:space="0" w:color="auto"/>
            <w:bottom w:val="none" w:sz="0" w:space="0" w:color="auto"/>
            <w:right w:val="none" w:sz="0" w:space="0" w:color="auto"/>
          </w:divBdr>
        </w:div>
        <w:div w:id="1139224710">
          <w:marLeft w:val="640"/>
          <w:marRight w:val="0"/>
          <w:marTop w:val="0"/>
          <w:marBottom w:val="0"/>
          <w:divBdr>
            <w:top w:val="none" w:sz="0" w:space="0" w:color="auto"/>
            <w:left w:val="none" w:sz="0" w:space="0" w:color="auto"/>
            <w:bottom w:val="none" w:sz="0" w:space="0" w:color="auto"/>
            <w:right w:val="none" w:sz="0" w:space="0" w:color="auto"/>
          </w:divBdr>
        </w:div>
        <w:div w:id="212667193">
          <w:marLeft w:val="640"/>
          <w:marRight w:val="0"/>
          <w:marTop w:val="0"/>
          <w:marBottom w:val="0"/>
          <w:divBdr>
            <w:top w:val="none" w:sz="0" w:space="0" w:color="auto"/>
            <w:left w:val="none" w:sz="0" w:space="0" w:color="auto"/>
            <w:bottom w:val="none" w:sz="0" w:space="0" w:color="auto"/>
            <w:right w:val="none" w:sz="0" w:space="0" w:color="auto"/>
          </w:divBdr>
        </w:div>
        <w:div w:id="535434465">
          <w:marLeft w:val="640"/>
          <w:marRight w:val="0"/>
          <w:marTop w:val="0"/>
          <w:marBottom w:val="0"/>
          <w:divBdr>
            <w:top w:val="none" w:sz="0" w:space="0" w:color="auto"/>
            <w:left w:val="none" w:sz="0" w:space="0" w:color="auto"/>
            <w:bottom w:val="none" w:sz="0" w:space="0" w:color="auto"/>
            <w:right w:val="none" w:sz="0" w:space="0" w:color="auto"/>
          </w:divBdr>
        </w:div>
        <w:div w:id="73749118">
          <w:marLeft w:val="640"/>
          <w:marRight w:val="0"/>
          <w:marTop w:val="0"/>
          <w:marBottom w:val="0"/>
          <w:divBdr>
            <w:top w:val="none" w:sz="0" w:space="0" w:color="auto"/>
            <w:left w:val="none" w:sz="0" w:space="0" w:color="auto"/>
            <w:bottom w:val="none" w:sz="0" w:space="0" w:color="auto"/>
            <w:right w:val="none" w:sz="0" w:space="0" w:color="auto"/>
          </w:divBdr>
        </w:div>
        <w:div w:id="1172990340">
          <w:marLeft w:val="640"/>
          <w:marRight w:val="0"/>
          <w:marTop w:val="0"/>
          <w:marBottom w:val="0"/>
          <w:divBdr>
            <w:top w:val="none" w:sz="0" w:space="0" w:color="auto"/>
            <w:left w:val="none" w:sz="0" w:space="0" w:color="auto"/>
            <w:bottom w:val="none" w:sz="0" w:space="0" w:color="auto"/>
            <w:right w:val="none" w:sz="0" w:space="0" w:color="auto"/>
          </w:divBdr>
        </w:div>
        <w:div w:id="549076731">
          <w:marLeft w:val="640"/>
          <w:marRight w:val="0"/>
          <w:marTop w:val="0"/>
          <w:marBottom w:val="0"/>
          <w:divBdr>
            <w:top w:val="none" w:sz="0" w:space="0" w:color="auto"/>
            <w:left w:val="none" w:sz="0" w:space="0" w:color="auto"/>
            <w:bottom w:val="none" w:sz="0" w:space="0" w:color="auto"/>
            <w:right w:val="none" w:sz="0" w:space="0" w:color="auto"/>
          </w:divBdr>
        </w:div>
        <w:div w:id="900989643">
          <w:marLeft w:val="640"/>
          <w:marRight w:val="0"/>
          <w:marTop w:val="0"/>
          <w:marBottom w:val="0"/>
          <w:divBdr>
            <w:top w:val="none" w:sz="0" w:space="0" w:color="auto"/>
            <w:left w:val="none" w:sz="0" w:space="0" w:color="auto"/>
            <w:bottom w:val="none" w:sz="0" w:space="0" w:color="auto"/>
            <w:right w:val="none" w:sz="0" w:space="0" w:color="auto"/>
          </w:divBdr>
        </w:div>
        <w:div w:id="778991742">
          <w:marLeft w:val="640"/>
          <w:marRight w:val="0"/>
          <w:marTop w:val="0"/>
          <w:marBottom w:val="0"/>
          <w:divBdr>
            <w:top w:val="none" w:sz="0" w:space="0" w:color="auto"/>
            <w:left w:val="none" w:sz="0" w:space="0" w:color="auto"/>
            <w:bottom w:val="none" w:sz="0" w:space="0" w:color="auto"/>
            <w:right w:val="none" w:sz="0" w:space="0" w:color="auto"/>
          </w:divBdr>
        </w:div>
        <w:div w:id="614219089">
          <w:marLeft w:val="640"/>
          <w:marRight w:val="0"/>
          <w:marTop w:val="0"/>
          <w:marBottom w:val="0"/>
          <w:divBdr>
            <w:top w:val="none" w:sz="0" w:space="0" w:color="auto"/>
            <w:left w:val="none" w:sz="0" w:space="0" w:color="auto"/>
            <w:bottom w:val="none" w:sz="0" w:space="0" w:color="auto"/>
            <w:right w:val="none" w:sz="0" w:space="0" w:color="auto"/>
          </w:divBdr>
        </w:div>
        <w:div w:id="1938558196">
          <w:marLeft w:val="640"/>
          <w:marRight w:val="0"/>
          <w:marTop w:val="0"/>
          <w:marBottom w:val="0"/>
          <w:divBdr>
            <w:top w:val="none" w:sz="0" w:space="0" w:color="auto"/>
            <w:left w:val="none" w:sz="0" w:space="0" w:color="auto"/>
            <w:bottom w:val="none" w:sz="0" w:space="0" w:color="auto"/>
            <w:right w:val="none" w:sz="0" w:space="0" w:color="auto"/>
          </w:divBdr>
        </w:div>
        <w:div w:id="2116097843">
          <w:marLeft w:val="640"/>
          <w:marRight w:val="0"/>
          <w:marTop w:val="0"/>
          <w:marBottom w:val="0"/>
          <w:divBdr>
            <w:top w:val="none" w:sz="0" w:space="0" w:color="auto"/>
            <w:left w:val="none" w:sz="0" w:space="0" w:color="auto"/>
            <w:bottom w:val="none" w:sz="0" w:space="0" w:color="auto"/>
            <w:right w:val="none" w:sz="0" w:space="0" w:color="auto"/>
          </w:divBdr>
        </w:div>
        <w:div w:id="467013752">
          <w:marLeft w:val="640"/>
          <w:marRight w:val="0"/>
          <w:marTop w:val="0"/>
          <w:marBottom w:val="0"/>
          <w:divBdr>
            <w:top w:val="none" w:sz="0" w:space="0" w:color="auto"/>
            <w:left w:val="none" w:sz="0" w:space="0" w:color="auto"/>
            <w:bottom w:val="none" w:sz="0" w:space="0" w:color="auto"/>
            <w:right w:val="none" w:sz="0" w:space="0" w:color="auto"/>
          </w:divBdr>
        </w:div>
        <w:div w:id="1665477169">
          <w:marLeft w:val="640"/>
          <w:marRight w:val="0"/>
          <w:marTop w:val="0"/>
          <w:marBottom w:val="0"/>
          <w:divBdr>
            <w:top w:val="none" w:sz="0" w:space="0" w:color="auto"/>
            <w:left w:val="none" w:sz="0" w:space="0" w:color="auto"/>
            <w:bottom w:val="none" w:sz="0" w:space="0" w:color="auto"/>
            <w:right w:val="none" w:sz="0" w:space="0" w:color="auto"/>
          </w:divBdr>
        </w:div>
        <w:div w:id="690422950">
          <w:marLeft w:val="640"/>
          <w:marRight w:val="0"/>
          <w:marTop w:val="0"/>
          <w:marBottom w:val="0"/>
          <w:divBdr>
            <w:top w:val="none" w:sz="0" w:space="0" w:color="auto"/>
            <w:left w:val="none" w:sz="0" w:space="0" w:color="auto"/>
            <w:bottom w:val="none" w:sz="0" w:space="0" w:color="auto"/>
            <w:right w:val="none" w:sz="0" w:space="0" w:color="auto"/>
          </w:divBdr>
        </w:div>
        <w:div w:id="1527060278">
          <w:marLeft w:val="640"/>
          <w:marRight w:val="0"/>
          <w:marTop w:val="0"/>
          <w:marBottom w:val="0"/>
          <w:divBdr>
            <w:top w:val="none" w:sz="0" w:space="0" w:color="auto"/>
            <w:left w:val="none" w:sz="0" w:space="0" w:color="auto"/>
            <w:bottom w:val="none" w:sz="0" w:space="0" w:color="auto"/>
            <w:right w:val="none" w:sz="0" w:space="0" w:color="auto"/>
          </w:divBdr>
        </w:div>
        <w:div w:id="1961299164">
          <w:marLeft w:val="640"/>
          <w:marRight w:val="0"/>
          <w:marTop w:val="0"/>
          <w:marBottom w:val="0"/>
          <w:divBdr>
            <w:top w:val="none" w:sz="0" w:space="0" w:color="auto"/>
            <w:left w:val="none" w:sz="0" w:space="0" w:color="auto"/>
            <w:bottom w:val="none" w:sz="0" w:space="0" w:color="auto"/>
            <w:right w:val="none" w:sz="0" w:space="0" w:color="auto"/>
          </w:divBdr>
        </w:div>
        <w:div w:id="1391072430">
          <w:marLeft w:val="640"/>
          <w:marRight w:val="0"/>
          <w:marTop w:val="0"/>
          <w:marBottom w:val="0"/>
          <w:divBdr>
            <w:top w:val="none" w:sz="0" w:space="0" w:color="auto"/>
            <w:left w:val="none" w:sz="0" w:space="0" w:color="auto"/>
            <w:bottom w:val="none" w:sz="0" w:space="0" w:color="auto"/>
            <w:right w:val="none" w:sz="0" w:space="0" w:color="auto"/>
          </w:divBdr>
        </w:div>
        <w:div w:id="1633517142">
          <w:marLeft w:val="640"/>
          <w:marRight w:val="0"/>
          <w:marTop w:val="0"/>
          <w:marBottom w:val="0"/>
          <w:divBdr>
            <w:top w:val="none" w:sz="0" w:space="0" w:color="auto"/>
            <w:left w:val="none" w:sz="0" w:space="0" w:color="auto"/>
            <w:bottom w:val="none" w:sz="0" w:space="0" w:color="auto"/>
            <w:right w:val="none" w:sz="0" w:space="0" w:color="auto"/>
          </w:divBdr>
        </w:div>
        <w:div w:id="1188567262">
          <w:marLeft w:val="640"/>
          <w:marRight w:val="0"/>
          <w:marTop w:val="0"/>
          <w:marBottom w:val="0"/>
          <w:divBdr>
            <w:top w:val="none" w:sz="0" w:space="0" w:color="auto"/>
            <w:left w:val="none" w:sz="0" w:space="0" w:color="auto"/>
            <w:bottom w:val="none" w:sz="0" w:space="0" w:color="auto"/>
            <w:right w:val="none" w:sz="0" w:space="0" w:color="auto"/>
          </w:divBdr>
        </w:div>
        <w:div w:id="2106151046">
          <w:marLeft w:val="640"/>
          <w:marRight w:val="0"/>
          <w:marTop w:val="0"/>
          <w:marBottom w:val="0"/>
          <w:divBdr>
            <w:top w:val="none" w:sz="0" w:space="0" w:color="auto"/>
            <w:left w:val="none" w:sz="0" w:space="0" w:color="auto"/>
            <w:bottom w:val="none" w:sz="0" w:space="0" w:color="auto"/>
            <w:right w:val="none" w:sz="0" w:space="0" w:color="auto"/>
          </w:divBdr>
        </w:div>
        <w:div w:id="1303079690">
          <w:marLeft w:val="640"/>
          <w:marRight w:val="0"/>
          <w:marTop w:val="0"/>
          <w:marBottom w:val="0"/>
          <w:divBdr>
            <w:top w:val="none" w:sz="0" w:space="0" w:color="auto"/>
            <w:left w:val="none" w:sz="0" w:space="0" w:color="auto"/>
            <w:bottom w:val="none" w:sz="0" w:space="0" w:color="auto"/>
            <w:right w:val="none" w:sz="0" w:space="0" w:color="auto"/>
          </w:divBdr>
        </w:div>
        <w:div w:id="243494472">
          <w:marLeft w:val="640"/>
          <w:marRight w:val="0"/>
          <w:marTop w:val="0"/>
          <w:marBottom w:val="0"/>
          <w:divBdr>
            <w:top w:val="none" w:sz="0" w:space="0" w:color="auto"/>
            <w:left w:val="none" w:sz="0" w:space="0" w:color="auto"/>
            <w:bottom w:val="none" w:sz="0" w:space="0" w:color="auto"/>
            <w:right w:val="none" w:sz="0" w:space="0" w:color="auto"/>
          </w:divBdr>
        </w:div>
        <w:div w:id="1441753089">
          <w:marLeft w:val="640"/>
          <w:marRight w:val="0"/>
          <w:marTop w:val="0"/>
          <w:marBottom w:val="0"/>
          <w:divBdr>
            <w:top w:val="none" w:sz="0" w:space="0" w:color="auto"/>
            <w:left w:val="none" w:sz="0" w:space="0" w:color="auto"/>
            <w:bottom w:val="none" w:sz="0" w:space="0" w:color="auto"/>
            <w:right w:val="none" w:sz="0" w:space="0" w:color="auto"/>
          </w:divBdr>
        </w:div>
        <w:div w:id="229735480">
          <w:marLeft w:val="640"/>
          <w:marRight w:val="0"/>
          <w:marTop w:val="0"/>
          <w:marBottom w:val="0"/>
          <w:divBdr>
            <w:top w:val="none" w:sz="0" w:space="0" w:color="auto"/>
            <w:left w:val="none" w:sz="0" w:space="0" w:color="auto"/>
            <w:bottom w:val="none" w:sz="0" w:space="0" w:color="auto"/>
            <w:right w:val="none" w:sz="0" w:space="0" w:color="auto"/>
          </w:divBdr>
        </w:div>
        <w:div w:id="351541273">
          <w:marLeft w:val="640"/>
          <w:marRight w:val="0"/>
          <w:marTop w:val="0"/>
          <w:marBottom w:val="0"/>
          <w:divBdr>
            <w:top w:val="none" w:sz="0" w:space="0" w:color="auto"/>
            <w:left w:val="none" w:sz="0" w:space="0" w:color="auto"/>
            <w:bottom w:val="none" w:sz="0" w:space="0" w:color="auto"/>
            <w:right w:val="none" w:sz="0" w:space="0" w:color="auto"/>
          </w:divBdr>
        </w:div>
        <w:div w:id="406805651">
          <w:marLeft w:val="640"/>
          <w:marRight w:val="0"/>
          <w:marTop w:val="0"/>
          <w:marBottom w:val="0"/>
          <w:divBdr>
            <w:top w:val="none" w:sz="0" w:space="0" w:color="auto"/>
            <w:left w:val="none" w:sz="0" w:space="0" w:color="auto"/>
            <w:bottom w:val="none" w:sz="0" w:space="0" w:color="auto"/>
            <w:right w:val="none" w:sz="0" w:space="0" w:color="auto"/>
          </w:divBdr>
        </w:div>
        <w:div w:id="208226893">
          <w:marLeft w:val="640"/>
          <w:marRight w:val="0"/>
          <w:marTop w:val="0"/>
          <w:marBottom w:val="0"/>
          <w:divBdr>
            <w:top w:val="none" w:sz="0" w:space="0" w:color="auto"/>
            <w:left w:val="none" w:sz="0" w:space="0" w:color="auto"/>
            <w:bottom w:val="none" w:sz="0" w:space="0" w:color="auto"/>
            <w:right w:val="none" w:sz="0" w:space="0" w:color="auto"/>
          </w:divBdr>
        </w:div>
        <w:div w:id="2036076974">
          <w:marLeft w:val="640"/>
          <w:marRight w:val="0"/>
          <w:marTop w:val="0"/>
          <w:marBottom w:val="0"/>
          <w:divBdr>
            <w:top w:val="none" w:sz="0" w:space="0" w:color="auto"/>
            <w:left w:val="none" w:sz="0" w:space="0" w:color="auto"/>
            <w:bottom w:val="none" w:sz="0" w:space="0" w:color="auto"/>
            <w:right w:val="none" w:sz="0" w:space="0" w:color="auto"/>
          </w:divBdr>
        </w:div>
        <w:div w:id="1364208153">
          <w:marLeft w:val="640"/>
          <w:marRight w:val="0"/>
          <w:marTop w:val="0"/>
          <w:marBottom w:val="0"/>
          <w:divBdr>
            <w:top w:val="none" w:sz="0" w:space="0" w:color="auto"/>
            <w:left w:val="none" w:sz="0" w:space="0" w:color="auto"/>
            <w:bottom w:val="none" w:sz="0" w:space="0" w:color="auto"/>
            <w:right w:val="none" w:sz="0" w:space="0" w:color="auto"/>
          </w:divBdr>
        </w:div>
        <w:div w:id="349066411">
          <w:marLeft w:val="640"/>
          <w:marRight w:val="0"/>
          <w:marTop w:val="0"/>
          <w:marBottom w:val="0"/>
          <w:divBdr>
            <w:top w:val="none" w:sz="0" w:space="0" w:color="auto"/>
            <w:left w:val="none" w:sz="0" w:space="0" w:color="auto"/>
            <w:bottom w:val="none" w:sz="0" w:space="0" w:color="auto"/>
            <w:right w:val="none" w:sz="0" w:space="0" w:color="auto"/>
          </w:divBdr>
        </w:div>
        <w:div w:id="1095319820">
          <w:marLeft w:val="640"/>
          <w:marRight w:val="0"/>
          <w:marTop w:val="0"/>
          <w:marBottom w:val="0"/>
          <w:divBdr>
            <w:top w:val="none" w:sz="0" w:space="0" w:color="auto"/>
            <w:left w:val="none" w:sz="0" w:space="0" w:color="auto"/>
            <w:bottom w:val="none" w:sz="0" w:space="0" w:color="auto"/>
            <w:right w:val="none" w:sz="0" w:space="0" w:color="auto"/>
          </w:divBdr>
        </w:div>
        <w:div w:id="72820779">
          <w:marLeft w:val="640"/>
          <w:marRight w:val="0"/>
          <w:marTop w:val="0"/>
          <w:marBottom w:val="0"/>
          <w:divBdr>
            <w:top w:val="none" w:sz="0" w:space="0" w:color="auto"/>
            <w:left w:val="none" w:sz="0" w:space="0" w:color="auto"/>
            <w:bottom w:val="none" w:sz="0" w:space="0" w:color="auto"/>
            <w:right w:val="none" w:sz="0" w:space="0" w:color="auto"/>
          </w:divBdr>
        </w:div>
        <w:div w:id="335807884">
          <w:marLeft w:val="640"/>
          <w:marRight w:val="0"/>
          <w:marTop w:val="0"/>
          <w:marBottom w:val="0"/>
          <w:divBdr>
            <w:top w:val="none" w:sz="0" w:space="0" w:color="auto"/>
            <w:left w:val="none" w:sz="0" w:space="0" w:color="auto"/>
            <w:bottom w:val="none" w:sz="0" w:space="0" w:color="auto"/>
            <w:right w:val="none" w:sz="0" w:space="0" w:color="auto"/>
          </w:divBdr>
        </w:div>
        <w:div w:id="1561286303">
          <w:marLeft w:val="640"/>
          <w:marRight w:val="0"/>
          <w:marTop w:val="0"/>
          <w:marBottom w:val="0"/>
          <w:divBdr>
            <w:top w:val="none" w:sz="0" w:space="0" w:color="auto"/>
            <w:left w:val="none" w:sz="0" w:space="0" w:color="auto"/>
            <w:bottom w:val="none" w:sz="0" w:space="0" w:color="auto"/>
            <w:right w:val="none" w:sz="0" w:space="0" w:color="auto"/>
          </w:divBdr>
        </w:div>
        <w:div w:id="605774419">
          <w:marLeft w:val="640"/>
          <w:marRight w:val="0"/>
          <w:marTop w:val="0"/>
          <w:marBottom w:val="0"/>
          <w:divBdr>
            <w:top w:val="none" w:sz="0" w:space="0" w:color="auto"/>
            <w:left w:val="none" w:sz="0" w:space="0" w:color="auto"/>
            <w:bottom w:val="none" w:sz="0" w:space="0" w:color="auto"/>
            <w:right w:val="none" w:sz="0" w:space="0" w:color="auto"/>
          </w:divBdr>
        </w:div>
        <w:div w:id="837042275">
          <w:marLeft w:val="640"/>
          <w:marRight w:val="0"/>
          <w:marTop w:val="0"/>
          <w:marBottom w:val="0"/>
          <w:divBdr>
            <w:top w:val="none" w:sz="0" w:space="0" w:color="auto"/>
            <w:left w:val="none" w:sz="0" w:space="0" w:color="auto"/>
            <w:bottom w:val="none" w:sz="0" w:space="0" w:color="auto"/>
            <w:right w:val="none" w:sz="0" w:space="0" w:color="auto"/>
          </w:divBdr>
        </w:div>
        <w:div w:id="521558025">
          <w:marLeft w:val="640"/>
          <w:marRight w:val="0"/>
          <w:marTop w:val="0"/>
          <w:marBottom w:val="0"/>
          <w:divBdr>
            <w:top w:val="none" w:sz="0" w:space="0" w:color="auto"/>
            <w:left w:val="none" w:sz="0" w:space="0" w:color="auto"/>
            <w:bottom w:val="none" w:sz="0" w:space="0" w:color="auto"/>
            <w:right w:val="none" w:sz="0" w:space="0" w:color="auto"/>
          </w:divBdr>
        </w:div>
        <w:div w:id="63794413">
          <w:marLeft w:val="640"/>
          <w:marRight w:val="0"/>
          <w:marTop w:val="0"/>
          <w:marBottom w:val="0"/>
          <w:divBdr>
            <w:top w:val="none" w:sz="0" w:space="0" w:color="auto"/>
            <w:left w:val="none" w:sz="0" w:space="0" w:color="auto"/>
            <w:bottom w:val="none" w:sz="0" w:space="0" w:color="auto"/>
            <w:right w:val="none" w:sz="0" w:space="0" w:color="auto"/>
          </w:divBdr>
        </w:div>
        <w:div w:id="1559394262">
          <w:marLeft w:val="640"/>
          <w:marRight w:val="0"/>
          <w:marTop w:val="0"/>
          <w:marBottom w:val="0"/>
          <w:divBdr>
            <w:top w:val="none" w:sz="0" w:space="0" w:color="auto"/>
            <w:left w:val="none" w:sz="0" w:space="0" w:color="auto"/>
            <w:bottom w:val="none" w:sz="0" w:space="0" w:color="auto"/>
            <w:right w:val="none" w:sz="0" w:space="0" w:color="auto"/>
          </w:divBdr>
        </w:div>
        <w:div w:id="164396702">
          <w:marLeft w:val="640"/>
          <w:marRight w:val="0"/>
          <w:marTop w:val="0"/>
          <w:marBottom w:val="0"/>
          <w:divBdr>
            <w:top w:val="none" w:sz="0" w:space="0" w:color="auto"/>
            <w:left w:val="none" w:sz="0" w:space="0" w:color="auto"/>
            <w:bottom w:val="none" w:sz="0" w:space="0" w:color="auto"/>
            <w:right w:val="none" w:sz="0" w:space="0" w:color="auto"/>
          </w:divBdr>
        </w:div>
        <w:div w:id="653069394">
          <w:marLeft w:val="640"/>
          <w:marRight w:val="0"/>
          <w:marTop w:val="0"/>
          <w:marBottom w:val="0"/>
          <w:divBdr>
            <w:top w:val="none" w:sz="0" w:space="0" w:color="auto"/>
            <w:left w:val="none" w:sz="0" w:space="0" w:color="auto"/>
            <w:bottom w:val="none" w:sz="0" w:space="0" w:color="auto"/>
            <w:right w:val="none" w:sz="0" w:space="0" w:color="auto"/>
          </w:divBdr>
        </w:div>
        <w:div w:id="604769606">
          <w:marLeft w:val="640"/>
          <w:marRight w:val="0"/>
          <w:marTop w:val="0"/>
          <w:marBottom w:val="0"/>
          <w:divBdr>
            <w:top w:val="none" w:sz="0" w:space="0" w:color="auto"/>
            <w:left w:val="none" w:sz="0" w:space="0" w:color="auto"/>
            <w:bottom w:val="none" w:sz="0" w:space="0" w:color="auto"/>
            <w:right w:val="none" w:sz="0" w:space="0" w:color="auto"/>
          </w:divBdr>
        </w:div>
        <w:div w:id="1203322602">
          <w:marLeft w:val="640"/>
          <w:marRight w:val="0"/>
          <w:marTop w:val="0"/>
          <w:marBottom w:val="0"/>
          <w:divBdr>
            <w:top w:val="none" w:sz="0" w:space="0" w:color="auto"/>
            <w:left w:val="none" w:sz="0" w:space="0" w:color="auto"/>
            <w:bottom w:val="none" w:sz="0" w:space="0" w:color="auto"/>
            <w:right w:val="none" w:sz="0" w:space="0" w:color="auto"/>
          </w:divBdr>
        </w:div>
        <w:div w:id="904141076">
          <w:marLeft w:val="640"/>
          <w:marRight w:val="0"/>
          <w:marTop w:val="0"/>
          <w:marBottom w:val="0"/>
          <w:divBdr>
            <w:top w:val="none" w:sz="0" w:space="0" w:color="auto"/>
            <w:left w:val="none" w:sz="0" w:space="0" w:color="auto"/>
            <w:bottom w:val="none" w:sz="0" w:space="0" w:color="auto"/>
            <w:right w:val="none" w:sz="0" w:space="0" w:color="auto"/>
          </w:divBdr>
        </w:div>
        <w:div w:id="612132884">
          <w:marLeft w:val="640"/>
          <w:marRight w:val="0"/>
          <w:marTop w:val="0"/>
          <w:marBottom w:val="0"/>
          <w:divBdr>
            <w:top w:val="none" w:sz="0" w:space="0" w:color="auto"/>
            <w:left w:val="none" w:sz="0" w:space="0" w:color="auto"/>
            <w:bottom w:val="none" w:sz="0" w:space="0" w:color="auto"/>
            <w:right w:val="none" w:sz="0" w:space="0" w:color="auto"/>
          </w:divBdr>
        </w:div>
        <w:div w:id="1684240852">
          <w:marLeft w:val="640"/>
          <w:marRight w:val="0"/>
          <w:marTop w:val="0"/>
          <w:marBottom w:val="0"/>
          <w:divBdr>
            <w:top w:val="none" w:sz="0" w:space="0" w:color="auto"/>
            <w:left w:val="none" w:sz="0" w:space="0" w:color="auto"/>
            <w:bottom w:val="none" w:sz="0" w:space="0" w:color="auto"/>
            <w:right w:val="none" w:sz="0" w:space="0" w:color="auto"/>
          </w:divBdr>
        </w:div>
        <w:div w:id="1481380825">
          <w:marLeft w:val="640"/>
          <w:marRight w:val="0"/>
          <w:marTop w:val="0"/>
          <w:marBottom w:val="0"/>
          <w:divBdr>
            <w:top w:val="none" w:sz="0" w:space="0" w:color="auto"/>
            <w:left w:val="none" w:sz="0" w:space="0" w:color="auto"/>
            <w:bottom w:val="none" w:sz="0" w:space="0" w:color="auto"/>
            <w:right w:val="none" w:sz="0" w:space="0" w:color="auto"/>
          </w:divBdr>
        </w:div>
        <w:div w:id="1797336624">
          <w:marLeft w:val="640"/>
          <w:marRight w:val="0"/>
          <w:marTop w:val="0"/>
          <w:marBottom w:val="0"/>
          <w:divBdr>
            <w:top w:val="none" w:sz="0" w:space="0" w:color="auto"/>
            <w:left w:val="none" w:sz="0" w:space="0" w:color="auto"/>
            <w:bottom w:val="none" w:sz="0" w:space="0" w:color="auto"/>
            <w:right w:val="none" w:sz="0" w:space="0" w:color="auto"/>
          </w:divBdr>
        </w:div>
        <w:div w:id="15011820">
          <w:marLeft w:val="640"/>
          <w:marRight w:val="0"/>
          <w:marTop w:val="0"/>
          <w:marBottom w:val="0"/>
          <w:divBdr>
            <w:top w:val="none" w:sz="0" w:space="0" w:color="auto"/>
            <w:left w:val="none" w:sz="0" w:space="0" w:color="auto"/>
            <w:bottom w:val="none" w:sz="0" w:space="0" w:color="auto"/>
            <w:right w:val="none" w:sz="0" w:space="0" w:color="auto"/>
          </w:divBdr>
        </w:div>
        <w:div w:id="1784887405">
          <w:marLeft w:val="640"/>
          <w:marRight w:val="0"/>
          <w:marTop w:val="0"/>
          <w:marBottom w:val="0"/>
          <w:divBdr>
            <w:top w:val="none" w:sz="0" w:space="0" w:color="auto"/>
            <w:left w:val="none" w:sz="0" w:space="0" w:color="auto"/>
            <w:bottom w:val="none" w:sz="0" w:space="0" w:color="auto"/>
            <w:right w:val="none" w:sz="0" w:space="0" w:color="auto"/>
          </w:divBdr>
        </w:div>
        <w:div w:id="1181044693">
          <w:marLeft w:val="640"/>
          <w:marRight w:val="0"/>
          <w:marTop w:val="0"/>
          <w:marBottom w:val="0"/>
          <w:divBdr>
            <w:top w:val="none" w:sz="0" w:space="0" w:color="auto"/>
            <w:left w:val="none" w:sz="0" w:space="0" w:color="auto"/>
            <w:bottom w:val="none" w:sz="0" w:space="0" w:color="auto"/>
            <w:right w:val="none" w:sz="0" w:space="0" w:color="auto"/>
          </w:divBdr>
        </w:div>
        <w:div w:id="811287353">
          <w:marLeft w:val="640"/>
          <w:marRight w:val="0"/>
          <w:marTop w:val="0"/>
          <w:marBottom w:val="0"/>
          <w:divBdr>
            <w:top w:val="none" w:sz="0" w:space="0" w:color="auto"/>
            <w:left w:val="none" w:sz="0" w:space="0" w:color="auto"/>
            <w:bottom w:val="none" w:sz="0" w:space="0" w:color="auto"/>
            <w:right w:val="none" w:sz="0" w:space="0" w:color="auto"/>
          </w:divBdr>
        </w:div>
        <w:div w:id="1948274091">
          <w:marLeft w:val="640"/>
          <w:marRight w:val="0"/>
          <w:marTop w:val="0"/>
          <w:marBottom w:val="0"/>
          <w:divBdr>
            <w:top w:val="none" w:sz="0" w:space="0" w:color="auto"/>
            <w:left w:val="none" w:sz="0" w:space="0" w:color="auto"/>
            <w:bottom w:val="none" w:sz="0" w:space="0" w:color="auto"/>
            <w:right w:val="none" w:sz="0" w:space="0" w:color="auto"/>
          </w:divBdr>
        </w:div>
        <w:div w:id="1147815717">
          <w:marLeft w:val="640"/>
          <w:marRight w:val="0"/>
          <w:marTop w:val="0"/>
          <w:marBottom w:val="0"/>
          <w:divBdr>
            <w:top w:val="none" w:sz="0" w:space="0" w:color="auto"/>
            <w:left w:val="none" w:sz="0" w:space="0" w:color="auto"/>
            <w:bottom w:val="none" w:sz="0" w:space="0" w:color="auto"/>
            <w:right w:val="none" w:sz="0" w:space="0" w:color="auto"/>
          </w:divBdr>
        </w:div>
        <w:div w:id="1873882289">
          <w:marLeft w:val="640"/>
          <w:marRight w:val="0"/>
          <w:marTop w:val="0"/>
          <w:marBottom w:val="0"/>
          <w:divBdr>
            <w:top w:val="none" w:sz="0" w:space="0" w:color="auto"/>
            <w:left w:val="none" w:sz="0" w:space="0" w:color="auto"/>
            <w:bottom w:val="none" w:sz="0" w:space="0" w:color="auto"/>
            <w:right w:val="none" w:sz="0" w:space="0" w:color="auto"/>
          </w:divBdr>
        </w:div>
        <w:div w:id="178355255">
          <w:marLeft w:val="640"/>
          <w:marRight w:val="0"/>
          <w:marTop w:val="0"/>
          <w:marBottom w:val="0"/>
          <w:divBdr>
            <w:top w:val="none" w:sz="0" w:space="0" w:color="auto"/>
            <w:left w:val="none" w:sz="0" w:space="0" w:color="auto"/>
            <w:bottom w:val="none" w:sz="0" w:space="0" w:color="auto"/>
            <w:right w:val="none" w:sz="0" w:space="0" w:color="auto"/>
          </w:divBdr>
        </w:div>
        <w:div w:id="1970553246">
          <w:marLeft w:val="640"/>
          <w:marRight w:val="0"/>
          <w:marTop w:val="0"/>
          <w:marBottom w:val="0"/>
          <w:divBdr>
            <w:top w:val="none" w:sz="0" w:space="0" w:color="auto"/>
            <w:left w:val="none" w:sz="0" w:space="0" w:color="auto"/>
            <w:bottom w:val="none" w:sz="0" w:space="0" w:color="auto"/>
            <w:right w:val="none" w:sz="0" w:space="0" w:color="auto"/>
          </w:divBdr>
        </w:div>
        <w:div w:id="1538083971">
          <w:marLeft w:val="640"/>
          <w:marRight w:val="0"/>
          <w:marTop w:val="0"/>
          <w:marBottom w:val="0"/>
          <w:divBdr>
            <w:top w:val="none" w:sz="0" w:space="0" w:color="auto"/>
            <w:left w:val="none" w:sz="0" w:space="0" w:color="auto"/>
            <w:bottom w:val="none" w:sz="0" w:space="0" w:color="auto"/>
            <w:right w:val="none" w:sz="0" w:space="0" w:color="auto"/>
          </w:divBdr>
        </w:div>
        <w:div w:id="1416977635">
          <w:marLeft w:val="640"/>
          <w:marRight w:val="0"/>
          <w:marTop w:val="0"/>
          <w:marBottom w:val="0"/>
          <w:divBdr>
            <w:top w:val="none" w:sz="0" w:space="0" w:color="auto"/>
            <w:left w:val="none" w:sz="0" w:space="0" w:color="auto"/>
            <w:bottom w:val="none" w:sz="0" w:space="0" w:color="auto"/>
            <w:right w:val="none" w:sz="0" w:space="0" w:color="auto"/>
          </w:divBdr>
        </w:div>
        <w:div w:id="35128990">
          <w:marLeft w:val="640"/>
          <w:marRight w:val="0"/>
          <w:marTop w:val="0"/>
          <w:marBottom w:val="0"/>
          <w:divBdr>
            <w:top w:val="none" w:sz="0" w:space="0" w:color="auto"/>
            <w:left w:val="none" w:sz="0" w:space="0" w:color="auto"/>
            <w:bottom w:val="none" w:sz="0" w:space="0" w:color="auto"/>
            <w:right w:val="none" w:sz="0" w:space="0" w:color="auto"/>
          </w:divBdr>
        </w:div>
        <w:div w:id="1566139156">
          <w:marLeft w:val="640"/>
          <w:marRight w:val="0"/>
          <w:marTop w:val="0"/>
          <w:marBottom w:val="0"/>
          <w:divBdr>
            <w:top w:val="none" w:sz="0" w:space="0" w:color="auto"/>
            <w:left w:val="none" w:sz="0" w:space="0" w:color="auto"/>
            <w:bottom w:val="none" w:sz="0" w:space="0" w:color="auto"/>
            <w:right w:val="none" w:sz="0" w:space="0" w:color="auto"/>
          </w:divBdr>
        </w:div>
        <w:div w:id="688021672">
          <w:marLeft w:val="640"/>
          <w:marRight w:val="0"/>
          <w:marTop w:val="0"/>
          <w:marBottom w:val="0"/>
          <w:divBdr>
            <w:top w:val="none" w:sz="0" w:space="0" w:color="auto"/>
            <w:left w:val="none" w:sz="0" w:space="0" w:color="auto"/>
            <w:bottom w:val="none" w:sz="0" w:space="0" w:color="auto"/>
            <w:right w:val="none" w:sz="0" w:space="0" w:color="auto"/>
          </w:divBdr>
        </w:div>
        <w:div w:id="950361599">
          <w:marLeft w:val="640"/>
          <w:marRight w:val="0"/>
          <w:marTop w:val="0"/>
          <w:marBottom w:val="0"/>
          <w:divBdr>
            <w:top w:val="none" w:sz="0" w:space="0" w:color="auto"/>
            <w:left w:val="none" w:sz="0" w:space="0" w:color="auto"/>
            <w:bottom w:val="none" w:sz="0" w:space="0" w:color="auto"/>
            <w:right w:val="none" w:sz="0" w:space="0" w:color="auto"/>
          </w:divBdr>
        </w:div>
        <w:div w:id="327371995">
          <w:marLeft w:val="640"/>
          <w:marRight w:val="0"/>
          <w:marTop w:val="0"/>
          <w:marBottom w:val="0"/>
          <w:divBdr>
            <w:top w:val="none" w:sz="0" w:space="0" w:color="auto"/>
            <w:left w:val="none" w:sz="0" w:space="0" w:color="auto"/>
            <w:bottom w:val="none" w:sz="0" w:space="0" w:color="auto"/>
            <w:right w:val="none" w:sz="0" w:space="0" w:color="auto"/>
          </w:divBdr>
        </w:div>
        <w:div w:id="7370513">
          <w:marLeft w:val="640"/>
          <w:marRight w:val="0"/>
          <w:marTop w:val="0"/>
          <w:marBottom w:val="0"/>
          <w:divBdr>
            <w:top w:val="none" w:sz="0" w:space="0" w:color="auto"/>
            <w:left w:val="none" w:sz="0" w:space="0" w:color="auto"/>
            <w:bottom w:val="none" w:sz="0" w:space="0" w:color="auto"/>
            <w:right w:val="none" w:sz="0" w:space="0" w:color="auto"/>
          </w:divBdr>
        </w:div>
        <w:div w:id="2066488365">
          <w:marLeft w:val="640"/>
          <w:marRight w:val="0"/>
          <w:marTop w:val="0"/>
          <w:marBottom w:val="0"/>
          <w:divBdr>
            <w:top w:val="none" w:sz="0" w:space="0" w:color="auto"/>
            <w:left w:val="none" w:sz="0" w:space="0" w:color="auto"/>
            <w:bottom w:val="none" w:sz="0" w:space="0" w:color="auto"/>
            <w:right w:val="none" w:sz="0" w:space="0" w:color="auto"/>
          </w:divBdr>
        </w:div>
        <w:div w:id="2052068899">
          <w:marLeft w:val="640"/>
          <w:marRight w:val="0"/>
          <w:marTop w:val="0"/>
          <w:marBottom w:val="0"/>
          <w:divBdr>
            <w:top w:val="none" w:sz="0" w:space="0" w:color="auto"/>
            <w:left w:val="none" w:sz="0" w:space="0" w:color="auto"/>
            <w:bottom w:val="none" w:sz="0" w:space="0" w:color="auto"/>
            <w:right w:val="none" w:sz="0" w:space="0" w:color="auto"/>
          </w:divBdr>
        </w:div>
        <w:div w:id="994259762">
          <w:marLeft w:val="640"/>
          <w:marRight w:val="0"/>
          <w:marTop w:val="0"/>
          <w:marBottom w:val="0"/>
          <w:divBdr>
            <w:top w:val="none" w:sz="0" w:space="0" w:color="auto"/>
            <w:left w:val="none" w:sz="0" w:space="0" w:color="auto"/>
            <w:bottom w:val="none" w:sz="0" w:space="0" w:color="auto"/>
            <w:right w:val="none" w:sz="0" w:space="0" w:color="auto"/>
          </w:divBdr>
        </w:div>
        <w:div w:id="421294073">
          <w:marLeft w:val="640"/>
          <w:marRight w:val="0"/>
          <w:marTop w:val="0"/>
          <w:marBottom w:val="0"/>
          <w:divBdr>
            <w:top w:val="none" w:sz="0" w:space="0" w:color="auto"/>
            <w:left w:val="none" w:sz="0" w:space="0" w:color="auto"/>
            <w:bottom w:val="none" w:sz="0" w:space="0" w:color="auto"/>
            <w:right w:val="none" w:sz="0" w:space="0" w:color="auto"/>
          </w:divBdr>
        </w:div>
        <w:div w:id="1260868949">
          <w:marLeft w:val="640"/>
          <w:marRight w:val="0"/>
          <w:marTop w:val="0"/>
          <w:marBottom w:val="0"/>
          <w:divBdr>
            <w:top w:val="none" w:sz="0" w:space="0" w:color="auto"/>
            <w:left w:val="none" w:sz="0" w:space="0" w:color="auto"/>
            <w:bottom w:val="none" w:sz="0" w:space="0" w:color="auto"/>
            <w:right w:val="none" w:sz="0" w:space="0" w:color="auto"/>
          </w:divBdr>
        </w:div>
        <w:div w:id="1268193702">
          <w:marLeft w:val="640"/>
          <w:marRight w:val="0"/>
          <w:marTop w:val="0"/>
          <w:marBottom w:val="0"/>
          <w:divBdr>
            <w:top w:val="none" w:sz="0" w:space="0" w:color="auto"/>
            <w:left w:val="none" w:sz="0" w:space="0" w:color="auto"/>
            <w:bottom w:val="none" w:sz="0" w:space="0" w:color="auto"/>
            <w:right w:val="none" w:sz="0" w:space="0" w:color="auto"/>
          </w:divBdr>
        </w:div>
        <w:div w:id="129708652">
          <w:marLeft w:val="640"/>
          <w:marRight w:val="0"/>
          <w:marTop w:val="0"/>
          <w:marBottom w:val="0"/>
          <w:divBdr>
            <w:top w:val="none" w:sz="0" w:space="0" w:color="auto"/>
            <w:left w:val="none" w:sz="0" w:space="0" w:color="auto"/>
            <w:bottom w:val="none" w:sz="0" w:space="0" w:color="auto"/>
            <w:right w:val="none" w:sz="0" w:space="0" w:color="auto"/>
          </w:divBdr>
        </w:div>
        <w:div w:id="1755201122">
          <w:marLeft w:val="640"/>
          <w:marRight w:val="0"/>
          <w:marTop w:val="0"/>
          <w:marBottom w:val="0"/>
          <w:divBdr>
            <w:top w:val="none" w:sz="0" w:space="0" w:color="auto"/>
            <w:left w:val="none" w:sz="0" w:space="0" w:color="auto"/>
            <w:bottom w:val="none" w:sz="0" w:space="0" w:color="auto"/>
            <w:right w:val="none" w:sz="0" w:space="0" w:color="auto"/>
          </w:divBdr>
        </w:div>
        <w:div w:id="1494182209">
          <w:marLeft w:val="640"/>
          <w:marRight w:val="0"/>
          <w:marTop w:val="0"/>
          <w:marBottom w:val="0"/>
          <w:divBdr>
            <w:top w:val="none" w:sz="0" w:space="0" w:color="auto"/>
            <w:left w:val="none" w:sz="0" w:space="0" w:color="auto"/>
            <w:bottom w:val="none" w:sz="0" w:space="0" w:color="auto"/>
            <w:right w:val="none" w:sz="0" w:space="0" w:color="auto"/>
          </w:divBdr>
        </w:div>
        <w:div w:id="313147019">
          <w:marLeft w:val="640"/>
          <w:marRight w:val="0"/>
          <w:marTop w:val="0"/>
          <w:marBottom w:val="0"/>
          <w:divBdr>
            <w:top w:val="none" w:sz="0" w:space="0" w:color="auto"/>
            <w:left w:val="none" w:sz="0" w:space="0" w:color="auto"/>
            <w:bottom w:val="none" w:sz="0" w:space="0" w:color="auto"/>
            <w:right w:val="none" w:sz="0" w:space="0" w:color="auto"/>
          </w:divBdr>
        </w:div>
        <w:div w:id="1881478306">
          <w:marLeft w:val="640"/>
          <w:marRight w:val="0"/>
          <w:marTop w:val="0"/>
          <w:marBottom w:val="0"/>
          <w:divBdr>
            <w:top w:val="none" w:sz="0" w:space="0" w:color="auto"/>
            <w:left w:val="none" w:sz="0" w:space="0" w:color="auto"/>
            <w:bottom w:val="none" w:sz="0" w:space="0" w:color="auto"/>
            <w:right w:val="none" w:sz="0" w:space="0" w:color="auto"/>
          </w:divBdr>
        </w:div>
        <w:div w:id="149174479">
          <w:marLeft w:val="640"/>
          <w:marRight w:val="0"/>
          <w:marTop w:val="0"/>
          <w:marBottom w:val="0"/>
          <w:divBdr>
            <w:top w:val="none" w:sz="0" w:space="0" w:color="auto"/>
            <w:left w:val="none" w:sz="0" w:space="0" w:color="auto"/>
            <w:bottom w:val="none" w:sz="0" w:space="0" w:color="auto"/>
            <w:right w:val="none" w:sz="0" w:space="0" w:color="auto"/>
          </w:divBdr>
        </w:div>
        <w:div w:id="2074235918">
          <w:marLeft w:val="640"/>
          <w:marRight w:val="0"/>
          <w:marTop w:val="0"/>
          <w:marBottom w:val="0"/>
          <w:divBdr>
            <w:top w:val="none" w:sz="0" w:space="0" w:color="auto"/>
            <w:left w:val="none" w:sz="0" w:space="0" w:color="auto"/>
            <w:bottom w:val="none" w:sz="0" w:space="0" w:color="auto"/>
            <w:right w:val="none" w:sz="0" w:space="0" w:color="auto"/>
          </w:divBdr>
        </w:div>
        <w:div w:id="1346981388">
          <w:marLeft w:val="640"/>
          <w:marRight w:val="0"/>
          <w:marTop w:val="0"/>
          <w:marBottom w:val="0"/>
          <w:divBdr>
            <w:top w:val="none" w:sz="0" w:space="0" w:color="auto"/>
            <w:left w:val="none" w:sz="0" w:space="0" w:color="auto"/>
            <w:bottom w:val="none" w:sz="0" w:space="0" w:color="auto"/>
            <w:right w:val="none" w:sz="0" w:space="0" w:color="auto"/>
          </w:divBdr>
        </w:div>
        <w:div w:id="862208007">
          <w:marLeft w:val="640"/>
          <w:marRight w:val="0"/>
          <w:marTop w:val="0"/>
          <w:marBottom w:val="0"/>
          <w:divBdr>
            <w:top w:val="none" w:sz="0" w:space="0" w:color="auto"/>
            <w:left w:val="none" w:sz="0" w:space="0" w:color="auto"/>
            <w:bottom w:val="none" w:sz="0" w:space="0" w:color="auto"/>
            <w:right w:val="none" w:sz="0" w:space="0" w:color="auto"/>
          </w:divBdr>
        </w:div>
        <w:div w:id="1433554457">
          <w:marLeft w:val="640"/>
          <w:marRight w:val="0"/>
          <w:marTop w:val="0"/>
          <w:marBottom w:val="0"/>
          <w:divBdr>
            <w:top w:val="none" w:sz="0" w:space="0" w:color="auto"/>
            <w:left w:val="none" w:sz="0" w:space="0" w:color="auto"/>
            <w:bottom w:val="none" w:sz="0" w:space="0" w:color="auto"/>
            <w:right w:val="none" w:sz="0" w:space="0" w:color="auto"/>
          </w:divBdr>
        </w:div>
        <w:div w:id="716929355">
          <w:marLeft w:val="640"/>
          <w:marRight w:val="0"/>
          <w:marTop w:val="0"/>
          <w:marBottom w:val="0"/>
          <w:divBdr>
            <w:top w:val="none" w:sz="0" w:space="0" w:color="auto"/>
            <w:left w:val="none" w:sz="0" w:space="0" w:color="auto"/>
            <w:bottom w:val="none" w:sz="0" w:space="0" w:color="auto"/>
            <w:right w:val="none" w:sz="0" w:space="0" w:color="auto"/>
          </w:divBdr>
        </w:div>
        <w:div w:id="1561090911">
          <w:marLeft w:val="640"/>
          <w:marRight w:val="0"/>
          <w:marTop w:val="0"/>
          <w:marBottom w:val="0"/>
          <w:divBdr>
            <w:top w:val="none" w:sz="0" w:space="0" w:color="auto"/>
            <w:left w:val="none" w:sz="0" w:space="0" w:color="auto"/>
            <w:bottom w:val="none" w:sz="0" w:space="0" w:color="auto"/>
            <w:right w:val="none" w:sz="0" w:space="0" w:color="auto"/>
          </w:divBdr>
        </w:div>
        <w:div w:id="1699545862">
          <w:marLeft w:val="640"/>
          <w:marRight w:val="0"/>
          <w:marTop w:val="0"/>
          <w:marBottom w:val="0"/>
          <w:divBdr>
            <w:top w:val="none" w:sz="0" w:space="0" w:color="auto"/>
            <w:left w:val="none" w:sz="0" w:space="0" w:color="auto"/>
            <w:bottom w:val="none" w:sz="0" w:space="0" w:color="auto"/>
            <w:right w:val="none" w:sz="0" w:space="0" w:color="auto"/>
          </w:divBdr>
        </w:div>
        <w:div w:id="219751012">
          <w:marLeft w:val="640"/>
          <w:marRight w:val="0"/>
          <w:marTop w:val="0"/>
          <w:marBottom w:val="0"/>
          <w:divBdr>
            <w:top w:val="none" w:sz="0" w:space="0" w:color="auto"/>
            <w:left w:val="none" w:sz="0" w:space="0" w:color="auto"/>
            <w:bottom w:val="none" w:sz="0" w:space="0" w:color="auto"/>
            <w:right w:val="none" w:sz="0" w:space="0" w:color="auto"/>
          </w:divBdr>
        </w:div>
        <w:div w:id="1508329554">
          <w:marLeft w:val="640"/>
          <w:marRight w:val="0"/>
          <w:marTop w:val="0"/>
          <w:marBottom w:val="0"/>
          <w:divBdr>
            <w:top w:val="none" w:sz="0" w:space="0" w:color="auto"/>
            <w:left w:val="none" w:sz="0" w:space="0" w:color="auto"/>
            <w:bottom w:val="none" w:sz="0" w:space="0" w:color="auto"/>
            <w:right w:val="none" w:sz="0" w:space="0" w:color="auto"/>
          </w:divBdr>
        </w:div>
        <w:div w:id="2111929408">
          <w:marLeft w:val="640"/>
          <w:marRight w:val="0"/>
          <w:marTop w:val="0"/>
          <w:marBottom w:val="0"/>
          <w:divBdr>
            <w:top w:val="none" w:sz="0" w:space="0" w:color="auto"/>
            <w:left w:val="none" w:sz="0" w:space="0" w:color="auto"/>
            <w:bottom w:val="none" w:sz="0" w:space="0" w:color="auto"/>
            <w:right w:val="none" w:sz="0" w:space="0" w:color="auto"/>
          </w:divBdr>
        </w:div>
        <w:div w:id="1302493577">
          <w:marLeft w:val="640"/>
          <w:marRight w:val="0"/>
          <w:marTop w:val="0"/>
          <w:marBottom w:val="0"/>
          <w:divBdr>
            <w:top w:val="none" w:sz="0" w:space="0" w:color="auto"/>
            <w:left w:val="none" w:sz="0" w:space="0" w:color="auto"/>
            <w:bottom w:val="none" w:sz="0" w:space="0" w:color="auto"/>
            <w:right w:val="none" w:sz="0" w:space="0" w:color="auto"/>
          </w:divBdr>
        </w:div>
        <w:div w:id="691343607">
          <w:marLeft w:val="640"/>
          <w:marRight w:val="0"/>
          <w:marTop w:val="0"/>
          <w:marBottom w:val="0"/>
          <w:divBdr>
            <w:top w:val="none" w:sz="0" w:space="0" w:color="auto"/>
            <w:left w:val="none" w:sz="0" w:space="0" w:color="auto"/>
            <w:bottom w:val="none" w:sz="0" w:space="0" w:color="auto"/>
            <w:right w:val="none" w:sz="0" w:space="0" w:color="auto"/>
          </w:divBdr>
        </w:div>
        <w:div w:id="1638679885">
          <w:marLeft w:val="640"/>
          <w:marRight w:val="0"/>
          <w:marTop w:val="0"/>
          <w:marBottom w:val="0"/>
          <w:divBdr>
            <w:top w:val="none" w:sz="0" w:space="0" w:color="auto"/>
            <w:left w:val="none" w:sz="0" w:space="0" w:color="auto"/>
            <w:bottom w:val="none" w:sz="0" w:space="0" w:color="auto"/>
            <w:right w:val="none" w:sz="0" w:space="0" w:color="auto"/>
          </w:divBdr>
        </w:div>
        <w:div w:id="863903397">
          <w:marLeft w:val="640"/>
          <w:marRight w:val="0"/>
          <w:marTop w:val="0"/>
          <w:marBottom w:val="0"/>
          <w:divBdr>
            <w:top w:val="none" w:sz="0" w:space="0" w:color="auto"/>
            <w:left w:val="none" w:sz="0" w:space="0" w:color="auto"/>
            <w:bottom w:val="none" w:sz="0" w:space="0" w:color="auto"/>
            <w:right w:val="none" w:sz="0" w:space="0" w:color="auto"/>
          </w:divBdr>
        </w:div>
        <w:div w:id="1135219625">
          <w:marLeft w:val="640"/>
          <w:marRight w:val="0"/>
          <w:marTop w:val="0"/>
          <w:marBottom w:val="0"/>
          <w:divBdr>
            <w:top w:val="none" w:sz="0" w:space="0" w:color="auto"/>
            <w:left w:val="none" w:sz="0" w:space="0" w:color="auto"/>
            <w:bottom w:val="none" w:sz="0" w:space="0" w:color="auto"/>
            <w:right w:val="none" w:sz="0" w:space="0" w:color="auto"/>
          </w:divBdr>
        </w:div>
        <w:div w:id="941449669">
          <w:marLeft w:val="640"/>
          <w:marRight w:val="0"/>
          <w:marTop w:val="0"/>
          <w:marBottom w:val="0"/>
          <w:divBdr>
            <w:top w:val="none" w:sz="0" w:space="0" w:color="auto"/>
            <w:left w:val="none" w:sz="0" w:space="0" w:color="auto"/>
            <w:bottom w:val="none" w:sz="0" w:space="0" w:color="auto"/>
            <w:right w:val="none" w:sz="0" w:space="0" w:color="auto"/>
          </w:divBdr>
        </w:div>
        <w:div w:id="1563255759">
          <w:marLeft w:val="640"/>
          <w:marRight w:val="0"/>
          <w:marTop w:val="0"/>
          <w:marBottom w:val="0"/>
          <w:divBdr>
            <w:top w:val="none" w:sz="0" w:space="0" w:color="auto"/>
            <w:left w:val="none" w:sz="0" w:space="0" w:color="auto"/>
            <w:bottom w:val="none" w:sz="0" w:space="0" w:color="auto"/>
            <w:right w:val="none" w:sz="0" w:space="0" w:color="auto"/>
          </w:divBdr>
        </w:div>
        <w:div w:id="604001617">
          <w:marLeft w:val="640"/>
          <w:marRight w:val="0"/>
          <w:marTop w:val="0"/>
          <w:marBottom w:val="0"/>
          <w:divBdr>
            <w:top w:val="none" w:sz="0" w:space="0" w:color="auto"/>
            <w:left w:val="none" w:sz="0" w:space="0" w:color="auto"/>
            <w:bottom w:val="none" w:sz="0" w:space="0" w:color="auto"/>
            <w:right w:val="none" w:sz="0" w:space="0" w:color="auto"/>
          </w:divBdr>
        </w:div>
        <w:div w:id="925460702">
          <w:marLeft w:val="640"/>
          <w:marRight w:val="0"/>
          <w:marTop w:val="0"/>
          <w:marBottom w:val="0"/>
          <w:divBdr>
            <w:top w:val="none" w:sz="0" w:space="0" w:color="auto"/>
            <w:left w:val="none" w:sz="0" w:space="0" w:color="auto"/>
            <w:bottom w:val="none" w:sz="0" w:space="0" w:color="auto"/>
            <w:right w:val="none" w:sz="0" w:space="0" w:color="auto"/>
          </w:divBdr>
        </w:div>
        <w:div w:id="641664302">
          <w:marLeft w:val="640"/>
          <w:marRight w:val="0"/>
          <w:marTop w:val="0"/>
          <w:marBottom w:val="0"/>
          <w:divBdr>
            <w:top w:val="none" w:sz="0" w:space="0" w:color="auto"/>
            <w:left w:val="none" w:sz="0" w:space="0" w:color="auto"/>
            <w:bottom w:val="none" w:sz="0" w:space="0" w:color="auto"/>
            <w:right w:val="none" w:sz="0" w:space="0" w:color="auto"/>
          </w:divBdr>
        </w:div>
        <w:div w:id="1105619368">
          <w:marLeft w:val="640"/>
          <w:marRight w:val="0"/>
          <w:marTop w:val="0"/>
          <w:marBottom w:val="0"/>
          <w:divBdr>
            <w:top w:val="none" w:sz="0" w:space="0" w:color="auto"/>
            <w:left w:val="none" w:sz="0" w:space="0" w:color="auto"/>
            <w:bottom w:val="none" w:sz="0" w:space="0" w:color="auto"/>
            <w:right w:val="none" w:sz="0" w:space="0" w:color="auto"/>
          </w:divBdr>
        </w:div>
        <w:div w:id="1854684424">
          <w:marLeft w:val="640"/>
          <w:marRight w:val="0"/>
          <w:marTop w:val="0"/>
          <w:marBottom w:val="0"/>
          <w:divBdr>
            <w:top w:val="none" w:sz="0" w:space="0" w:color="auto"/>
            <w:left w:val="none" w:sz="0" w:space="0" w:color="auto"/>
            <w:bottom w:val="none" w:sz="0" w:space="0" w:color="auto"/>
            <w:right w:val="none" w:sz="0" w:space="0" w:color="auto"/>
          </w:divBdr>
        </w:div>
        <w:div w:id="1692996745">
          <w:marLeft w:val="640"/>
          <w:marRight w:val="0"/>
          <w:marTop w:val="0"/>
          <w:marBottom w:val="0"/>
          <w:divBdr>
            <w:top w:val="none" w:sz="0" w:space="0" w:color="auto"/>
            <w:left w:val="none" w:sz="0" w:space="0" w:color="auto"/>
            <w:bottom w:val="none" w:sz="0" w:space="0" w:color="auto"/>
            <w:right w:val="none" w:sz="0" w:space="0" w:color="auto"/>
          </w:divBdr>
        </w:div>
        <w:div w:id="1766149921">
          <w:marLeft w:val="640"/>
          <w:marRight w:val="0"/>
          <w:marTop w:val="0"/>
          <w:marBottom w:val="0"/>
          <w:divBdr>
            <w:top w:val="none" w:sz="0" w:space="0" w:color="auto"/>
            <w:left w:val="none" w:sz="0" w:space="0" w:color="auto"/>
            <w:bottom w:val="none" w:sz="0" w:space="0" w:color="auto"/>
            <w:right w:val="none" w:sz="0" w:space="0" w:color="auto"/>
          </w:divBdr>
        </w:div>
      </w:divsChild>
    </w:div>
    <w:div w:id="846287505">
      <w:bodyDiv w:val="1"/>
      <w:marLeft w:val="0"/>
      <w:marRight w:val="0"/>
      <w:marTop w:val="0"/>
      <w:marBottom w:val="0"/>
      <w:divBdr>
        <w:top w:val="none" w:sz="0" w:space="0" w:color="auto"/>
        <w:left w:val="none" w:sz="0" w:space="0" w:color="auto"/>
        <w:bottom w:val="none" w:sz="0" w:space="0" w:color="auto"/>
        <w:right w:val="none" w:sz="0" w:space="0" w:color="auto"/>
      </w:divBdr>
    </w:div>
    <w:div w:id="846603668">
      <w:bodyDiv w:val="1"/>
      <w:marLeft w:val="0"/>
      <w:marRight w:val="0"/>
      <w:marTop w:val="0"/>
      <w:marBottom w:val="0"/>
      <w:divBdr>
        <w:top w:val="none" w:sz="0" w:space="0" w:color="auto"/>
        <w:left w:val="none" w:sz="0" w:space="0" w:color="auto"/>
        <w:bottom w:val="none" w:sz="0" w:space="0" w:color="auto"/>
        <w:right w:val="none" w:sz="0" w:space="0" w:color="auto"/>
      </w:divBdr>
    </w:div>
    <w:div w:id="849292423">
      <w:bodyDiv w:val="1"/>
      <w:marLeft w:val="0"/>
      <w:marRight w:val="0"/>
      <w:marTop w:val="0"/>
      <w:marBottom w:val="0"/>
      <w:divBdr>
        <w:top w:val="none" w:sz="0" w:space="0" w:color="auto"/>
        <w:left w:val="none" w:sz="0" w:space="0" w:color="auto"/>
        <w:bottom w:val="none" w:sz="0" w:space="0" w:color="auto"/>
        <w:right w:val="none" w:sz="0" w:space="0" w:color="auto"/>
      </w:divBdr>
    </w:div>
    <w:div w:id="849560488">
      <w:bodyDiv w:val="1"/>
      <w:marLeft w:val="0"/>
      <w:marRight w:val="0"/>
      <w:marTop w:val="0"/>
      <w:marBottom w:val="0"/>
      <w:divBdr>
        <w:top w:val="none" w:sz="0" w:space="0" w:color="auto"/>
        <w:left w:val="none" w:sz="0" w:space="0" w:color="auto"/>
        <w:bottom w:val="none" w:sz="0" w:space="0" w:color="auto"/>
        <w:right w:val="none" w:sz="0" w:space="0" w:color="auto"/>
      </w:divBdr>
    </w:div>
    <w:div w:id="850026605">
      <w:bodyDiv w:val="1"/>
      <w:marLeft w:val="0"/>
      <w:marRight w:val="0"/>
      <w:marTop w:val="0"/>
      <w:marBottom w:val="0"/>
      <w:divBdr>
        <w:top w:val="none" w:sz="0" w:space="0" w:color="auto"/>
        <w:left w:val="none" w:sz="0" w:space="0" w:color="auto"/>
        <w:bottom w:val="none" w:sz="0" w:space="0" w:color="auto"/>
        <w:right w:val="none" w:sz="0" w:space="0" w:color="auto"/>
      </w:divBdr>
    </w:div>
    <w:div w:id="850219334">
      <w:bodyDiv w:val="1"/>
      <w:marLeft w:val="0"/>
      <w:marRight w:val="0"/>
      <w:marTop w:val="0"/>
      <w:marBottom w:val="0"/>
      <w:divBdr>
        <w:top w:val="none" w:sz="0" w:space="0" w:color="auto"/>
        <w:left w:val="none" w:sz="0" w:space="0" w:color="auto"/>
        <w:bottom w:val="none" w:sz="0" w:space="0" w:color="auto"/>
        <w:right w:val="none" w:sz="0" w:space="0" w:color="auto"/>
      </w:divBdr>
    </w:div>
    <w:div w:id="850605916">
      <w:bodyDiv w:val="1"/>
      <w:marLeft w:val="0"/>
      <w:marRight w:val="0"/>
      <w:marTop w:val="0"/>
      <w:marBottom w:val="0"/>
      <w:divBdr>
        <w:top w:val="none" w:sz="0" w:space="0" w:color="auto"/>
        <w:left w:val="none" w:sz="0" w:space="0" w:color="auto"/>
        <w:bottom w:val="none" w:sz="0" w:space="0" w:color="auto"/>
        <w:right w:val="none" w:sz="0" w:space="0" w:color="auto"/>
      </w:divBdr>
    </w:div>
    <w:div w:id="853301067">
      <w:bodyDiv w:val="1"/>
      <w:marLeft w:val="0"/>
      <w:marRight w:val="0"/>
      <w:marTop w:val="0"/>
      <w:marBottom w:val="0"/>
      <w:divBdr>
        <w:top w:val="none" w:sz="0" w:space="0" w:color="auto"/>
        <w:left w:val="none" w:sz="0" w:space="0" w:color="auto"/>
        <w:bottom w:val="none" w:sz="0" w:space="0" w:color="auto"/>
        <w:right w:val="none" w:sz="0" w:space="0" w:color="auto"/>
      </w:divBdr>
    </w:div>
    <w:div w:id="853884027">
      <w:bodyDiv w:val="1"/>
      <w:marLeft w:val="0"/>
      <w:marRight w:val="0"/>
      <w:marTop w:val="0"/>
      <w:marBottom w:val="0"/>
      <w:divBdr>
        <w:top w:val="none" w:sz="0" w:space="0" w:color="auto"/>
        <w:left w:val="none" w:sz="0" w:space="0" w:color="auto"/>
        <w:bottom w:val="none" w:sz="0" w:space="0" w:color="auto"/>
        <w:right w:val="none" w:sz="0" w:space="0" w:color="auto"/>
      </w:divBdr>
    </w:div>
    <w:div w:id="857501342">
      <w:bodyDiv w:val="1"/>
      <w:marLeft w:val="0"/>
      <w:marRight w:val="0"/>
      <w:marTop w:val="0"/>
      <w:marBottom w:val="0"/>
      <w:divBdr>
        <w:top w:val="none" w:sz="0" w:space="0" w:color="auto"/>
        <w:left w:val="none" w:sz="0" w:space="0" w:color="auto"/>
        <w:bottom w:val="none" w:sz="0" w:space="0" w:color="auto"/>
        <w:right w:val="none" w:sz="0" w:space="0" w:color="auto"/>
      </w:divBdr>
    </w:div>
    <w:div w:id="857692690">
      <w:bodyDiv w:val="1"/>
      <w:marLeft w:val="0"/>
      <w:marRight w:val="0"/>
      <w:marTop w:val="0"/>
      <w:marBottom w:val="0"/>
      <w:divBdr>
        <w:top w:val="none" w:sz="0" w:space="0" w:color="auto"/>
        <w:left w:val="none" w:sz="0" w:space="0" w:color="auto"/>
        <w:bottom w:val="none" w:sz="0" w:space="0" w:color="auto"/>
        <w:right w:val="none" w:sz="0" w:space="0" w:color="auto"/>
      </w:divBdr>
    </w:div>
    <w:div w:id="861170806">
      <w:bodyDiv w:val="1"/>
      <w:marLeft w:val="0"/>
      <w:marRight w:val="0"/>
      <w:marTop w:val="0"/>
      <w:marBottom w:val="0"/>
      <w:divBdr>
        <w:top w:val="none" w:sz="0" w:space="0" w:color="auto"/>
        <w:left w:val="none" w:sz="0" w:space="0" w:color="auto"/>
        <w:bottom w:val="none" w:sz="0" w:space="0" w:color="auto"/>
        <w:right w:val="none" w:sz="0" w:space="0" w:color="auto"/>
      </w:divBdr>
    </w:div>
    <w:div w:id="863909148">
      <w:bodyDiv w:val="1"/>
      <w:marLeft w:val="0"/>
      <w:marRight w:val="0"/>
      <w:marTop w:val="0"/>
      <w:marBottom w:val="0"/>
      <w:divBdr>
        <w:top w:val="none" w:sz="0" w:space="0" w:color="auto"/>
        <w:left w:val="none" w:sz="0" w:space="0" w:color="auto"/>
        <w:bottom w:val="none" w:sz="0" w:space="0" w:color="auto"/>
        <w:right w:val="none" w:sz="0" w:space="0" w:color="auto"/>
      </w:divBdr>
    </w:div>
    <w:div w:id="865749540">
      <w:bodyDiv w:val="1"/>
      <w:marLeft w:val="0"/>
      <w:marRight w:val="0"/>
      <w:marTop w:val="0"/>
      <w:marBottom w:val="0"/>
      <w:divBdr>
        <w:top w:val="none" w:sz="0" w:space="0" w:color="auto"/>
        <w:left w:val="none" w:sz="0" w:space="0" w:color="auto"/>
        <w:bottom w:val="none" w:sz="0" w:space="0" w:color="auto"/>
        <w:right w:val="none" w:sz="0" w:space="0" w:color="auto"/>
      </w:divBdr>
    </w:div>
    <w:div w:id="866723002">
      <w:bodyDiv w:val="1"/>
      <w:marLeft w:val="0"/>
      <w:marRight w:val="0"/>
      <w:marTop w:val="0"/>
      <w:marBottom w:val="0"/>
      <w:divBdr>
        <w:top w:val="none" w:sz="0" w:space="0" w:color="auto"/>
        <w:left w:val="none" w:sz="0" w:space="0" w:color="auto"/>
        <w:bottom w:val="none" w:sz="0" w:space="0" w:color="auto"/>
        <w:right w:val="none" w:sz="0" w:space="0" w:color="auto"/>
      </w:divBdr>
    </w:div>
    <w:div w:id="873425690">
      <w:bodyDiv w:val="1"/>
      <w:marLeft w:val="0"/>
      <w:marRight w:val="0"/>
      <w:marTop w:val="0"/>
      <w:marBottom w:val="0"/>
      <w:divBdr>
        <w:top w:val="none" w:sz="0" w:space="0" w:color="auto"/>
        <w:left w:val="none" w:sz="0" w:space="0" w:color="auto"/>
        <w:bottom w:val="none" w:sz="0" w:space="0" w:color="auto"/>
        <w:right w:val="none" w:sz="0" w:space="0" w:color="auto"/>
      </w:divBdr>
    </w:div>
    <w:div w:id="876623310">
      <w:bodyDiv w:val="1"/>
      <w:marLeft w:val="0"/>
      <w:marRight w:val="0"/>
      <w:marTop w:val="0"/>
      <w:marBottom w:val="0"/>
      <w:divBdr>
        <w:top w:val="none" w:sz="0" w:space="0" w:color="auto"/>
        <w:left w:val="none" w:sz="0" w:space="0" w:color="auto"/>
        <w:bottom w:val="none" w:sz="0" w:space="0" w:color="auto"/>
        <w:right w:val="none" w:sz="0" w:space="0" w:color="auto"/>
      </w:divBdr>
    </w:div>
    <w:div w:id="877202437">
      <w:bodyDiv w:val="1"/>
      <w:marLeft w:val="0"/>
      <w:marRight w:val="0"/>
      <w:marTop w:val="0"/>
      <w:marBottom w:val="0"/>
      <w:divBdr>
        <w:top w:val="none" w:sz="0" w:space="0" w:color="auto"/>
        <w:left w:val="none" w:sz="0" w:space="0" w:color="auto"/>
        <w:bottom w:val="none" w:sz="0" w:space="0" w:color="auto"/>
        <w:right w:val="none" w:sz="0" w:space="0" w:color="auto"/>
      </w:divBdr>
    </w:div>
    <w:div w:id="877932381">
      <w:bodyDiv w:val="1"/>
      <w:marLeft w:val="0"/>
      <w:marRight w:val="0"/>
      <w:marTop w:val="0"/>
      <w:marBottom w:val="0"/>
      <w:divBdr>
        <w:top w:val="none" w:sz="0" w:space="0" w:color="auto"/>
        <w:left w:val="none" w:sz="0" w:space="0" w:color="auto"/>
        <w:bottom w:val="none" w:sz="0" w:space="0" w:color="auto"/>
        <w:right w:val="none" w:sz="0" w:space="0" w:color="auto"/>
      </w:divBdr>
    </w:div>
    <w:div w:id="878594618">
      <w:bodyDiv w:val="1"/>
      <w:marLeft w:val="0"/>
      <w:marRight w:val="0"/>
      <w:marTop w:val="0"/>
      <w:marBottom w:val="0"/>
      <w:divBdr>
        <w:top w:val="none" w:sz="0" w:space="0" w:color="auto"/>
        <w:left w:val="none" w:sz="0" w:space="0" w:color="auto"/>
        <w:bottom w:val="none" w:sz="0" w:space="0" w:color="auto"/>
        <w:right w:val="none" w:sz="0" w:space="0" w:color="auto"/>
      </w:divBdr>
    </w:div>
    <w:div w:id="880432969">
      <w:bodyDiv w:val="1"/>
      <w:marLeft w:val="0"/>
      <w:marRight w:val="0"/>
      <w:marTop w:val="0"/>
      <w:marBottom w:val="0"/>
      <w:divBdr>
        <w:top w:val="none" w:sz="0" w:space="0" w:color="auto"/>
        <w:left w:val="none" w:sz="0" w:space="0" w:color="auto"/>
        <w:bottom w:val="none" w:sz="0" w:space="0" w:color="auto"/>
        <w:right w:val="none" w:sz="0" w:space="0" w:color="auto"/>
      </w:divBdr>
    </w:div>
    <w:div w:id="886337898">
      <w:bodyDiv w:val="1"/>
      <w:marLeft w:val="0"/>
      <w:marRight w:val="0"/>
      <w:marTop w:val="0"/>
      <w:marBottom w:val="0"/>
      <w:divBdr>
        <w:top w:val="none" w:sz="0" w:space="0" w:color="auto"/>
        <w:left w:val="none" w:sz="0" w:space="0" w:color="auto"/>
        <w:bottom w:val="none" w:sz="0" w:space="0" w:color="auto"/>
        <w:right w:val="none" w:sz="0" w:space="0" w:color="auto"/>
      </w:divBdr>
    </w:div>
    <w:div w:id="886642233">
      <w:bodyDiv w:val="1"/>
      <w:marLeft w:val="0"/>
      <w:marRight w:val="0"/>
      <w:marTop w:val="0"/>
      <w:marBottom w:val="0"/>
      <w:divBdr>
        <w:top w:val="none" w:sz="0" w:space="0" w:color="auto"/>
        <w:left w:val="none" w:sz="0" w:space="0" w:color="auto"/>
        <w:bottom w:val="none" w:sz="0" w:space="0" w:color="auto"/>
        <w:right w:val="none" w:sz="0" w:space="0" w:color="auto"/>
      </w:divBdr>
    </w:div>
    <w:div w:id="893541505">
      <w:bodyDiv w:val="1"/>
      <w:marLeft w:val="0"/>
      <w:marRight w:val="0"/>
      <w:marTop w:val="0"/>
      <w:marBottom w:val="0"/>
      <w:divBdr>
        <w:top w:val="none" w:sz="0" w:space="0" w:color="auto"/>
        <w:left w:val="none" w:sz="0" w:space="0" w:color="auto"/>
        <w:bottom w:val="none" w:sz="0" w:space="0" w:color="auto"/>
        <w:right w:val="none" w:sz="0" w:space="0" w:color="auto"/>
      </w:divBdr>
    </w:div>
    <w:div w:id="894200863">
      <w:bodyDiv w:val="1"/>
      <w:marLeft w:val="0"/>
      <w:marRight w:val="0"/>
      <w:marTop w:val="0"/>
      <w:marBottom w:val="0"/>
      <w:divBdr>
        <w:top w:val="none" w:sz="0" w:space="0" w:color="auto"/>
        <w:left w:val="none" w:sz="0" w:space="0" w:color="auto"/>
        <w:bottom w:val="none" w:sz="0" w:space="0" w:color="auto"/>
        <w:right w:val="none" w:sz="0" w:space="0" w:color="auto"/>
      </w:divBdr>
    </w:div>
    <w:div w:id="894391830">
      <w:bodyDiv w:val="1"/>
      <w:marLeft w:val="0"/>
      <w:marRight w:val="0"/>
      <w:marTop w:val="0"/>
      <w:marBottom w:val="0"/>
      <w:divBdr>
        <w:top w:val="none" w:sz="0" w:space="0" w:color="auto"/>
        <w:left w:val="none" w:sz="0" w:space="0" w:color="auto"/>
        <w:bottom w:val="none" w:sz="0" w:space="0" w:color="auto"/>
        <w:right w:val="none" w:sz="0" w:space="0" w:color="auto"/>
      </w:divBdr>
    </w:div>
    <w:div w:id="894588957">
      <w:bodyDiv w:val="1"/>
      <w:marLeft w:val="0"/>
      <w:marRight w:val="0"/>
      <w:marTop w:val="0"/>
      <w:marBottom w:val="0"/>
      <w:divBdr>
        <w:top w:val="none" w:sz="0" w:space="0" w:color="auto"/>
        <w:left w:val="none" w:sz="0" w:space="0" w:color="auto"/>
        <w:bottom w:val="none" w:sz="0" w:space="0" w:color="auto"/>
        <w:right w:val="none" w:sz="0" w:space="0" w:color="auto"/>
      </w:divBdr>
    </w:div>
    <w:div w:id="897547264">
      <w:bodyDiv w:val="1"/>
      <w:marLeft w:val="0"/>
      <w:marRight w:val="0"/>
      <w:marTop w:val="0"/>
      <w:marBottom w:val="0"/>
      <w:divBdr>
        <w:top w:val="none" w:sz="0" w:space="0" w:color="auto"/>
        <w:left w:val="none" w:sz="0" w:space="0" w:color="auto"/>
        <w:bottom w:val="none" w:sz="0" w:space="0" w:color="auto"/>
        <w:right w:val="none" w:sz="0" w:space="0" w:color="auto"/>
      </w:divBdr>
    </w:div>
    <w:div w:id="905183510">
      <w:bodyDiv w:val="1"/>
      <w:marLeft w:val="0"/>
      <w:marRight w:val="0"/>
      <w:marTop w:val="0"/>
      <w:marBottom w:val="0"/>
      <w:divBdr>
        <w:top w:val="none" w:sz="0" w:space="0" w:color="auto"/>
        <w:left w:val="none" w:sz="0" w:space="0" w:color="auto"/>
        <w:bottom w:val="none" w:sz="0" w:space="0" w:color="auto"/>
        <w:right w:val="none" w:sz="0" w:space="0" w:color="auto"/>
      </w:divBdr>
    </w:div>
    <w:div w:id="906502032">
      <w:bodyDiv w:val="1"/>
      <w:marLeft w:val="0"/>
      <w:marRight w:val="0"/>
      <w:marTop w:val="0"/>
      <w:marBottom w:val="0"/>
      <w:divBdr>
        <w:top w:val="none" w:sz="0" w:space="0" w:color="auto"/>
        <w:left w:val="none" w:sz="0" w:space="0" w:color="auto"/>
        <w:bottom w:val="none" w:sz="0" w:space="0" w:color="auto"/>
        <w:right w:val="none" w:sz="0" w:space="0" w:color="auto"/>
      </w:divBdr>
    </w:div>
    <w:div w:id="907157496">
      <w:bodyDiv w:val="1"/>
      <w:marLeft w:val="0"/>
      <w:marRight w:val="0"/>
      <w:marTop w:val="0"/>
      <w:marBottom w:val="0"/>
      <w:divBdr>
        <w:top w:val="none" w:sz="0" w:space="0" w:color="auto"/>
        <w:left w:val="none" w:sz="0" w:space="0" w:color="auto"/>
        <w:bottom w:val="none" w:sz="0" w:space="0" w:color="auto"/>
        <w:right w:val="none" w:sz="0" w:space="0" w:color="auto"/>
      </w:divBdr>
    </w:div>
    <w:div w:id="907304340">
      <w:bodyDiv w:val="1"/>
      <w:marLeft w:val="0"/>
      <w:marRight w:val="0"/>
      <w:marTop w:val="0"/>
      <w:marBottom w:val="0"/>
      <w:divBdr>
        <w:top w:val="none" w:sz="0" w:space="0" w:color="auto"/>
        <w:left w:val="none" w:sz="0" w:space="0" w:color="auto"/>
        <w:bottom w:val="none" w:sz="0" w:space="0" w:color="auto"/>
        <w:right w:val="none" w:sz="0" w:space="0" w:color="auto"/>
      </w:divBdr>
    </w:div>
    <w:div w:id="908075776">
      <w:bodyDiv w:val="1"/>
      <w:marLeft w:val="0"/>
      <w:marRight w:val="0"/>
      <w:marTop w:val="0"/>
      <w:marBottom w:val="0"/>
      <w:divBdr>
        <w:top w:val="none" w:sz="0" w:space="0" w:color="auto"/>
        <w:left w:val="none" w:sz="0" w:space="0" w:color="auto"/>
        <w:bottom w:val="none" w:sz="0" w:space="0" w:color="auto"/>
        <w:right w:val="none" w:sz="0" w:space="0" w:color="auto"/>
      </w:divBdr>
    </w:div>
    <w:div w:id="908078763">
      <w:bodyDiv w:val="1"/>
      <w:marLeft w:val="0"/>
      <w:marRight w:val="0"/>
      <w:marTop w:val="0"/>
      <w:marBottom w:val="0"/>
      <w:divBdr>
        <w:top w:val="none" w:sz="0" w:space="0" w:color="auto"/>
        <w:left w:val="none" w:sz="0" w:space="0" w:color="auto"/>
        <w:bottom w:val="none" w:sz="0" w:space="0" w:color="auto"/>
        <w:right w:val="none" w:sz="0" w:space="0" w:color="auto"/>
      </w:divBdr>
    </w:div>
    <w:div w:id="913003702">
      <w:bodyDiv w:val="1"/>
      <w:marLeft w:val="0"/>
      <w:marRight w:val="0"/>
      <w:marTop w:val="0"/>
      <w:marBottom w:val="0"/>
      <w:divBdr>
        <w:top w:val="none" w:sz="0" w:space="0" w:color="auto"/>
        <w:left w:val="none" w:sz="0" w:space="0" w:color="auto"/>
        <w:bottom w:val="none" w:sz="0" w:space="0" w:color="auto"/>
        <w:right w:val="none" w:sz="0" w:space="0" w:color="auto"/>
      </w:divBdr>
    </w:div>
    <w:div w:id="919946393">
      <w:bodyDiv w:val="1"/>
      <w:marLeft w:val="0"/>
      <w:marRight w:val="0"/>
      <w:marTop w:val="0"/>
      <w:marBottom w:val="0"/>
      <w:divBdr>
        <w:top w:val="none" w:sz="0" w:space="0" w:color="auto"/>
        <w:left w:val="none" w:sz="0" w:space="0" w:color="auto"/>
        <w:bottom w:val="none" w:sz="0" w:space="0" w:color="auto"/>
        <w:right w:val="none" w:sz="0" w:space="0" w:color="auto"/>
      </w:divBdr>
    </w:div>
    <w:div w:id="921764183">
      <w:bodyDiv w:val="1"/>
      <w:marLeft w:val="0"/>
      <w:marRight w:val="0"/>
      <w:marTop w:val="0"/>
      <w:marBottom w:val="0"/>
      <w:divBdr>
        <w:top w:val="none" w:sz="0" w:space="0" w:color="auto"/>
        <w:left w:val="none" w:sz="0" w:space="0" w:color="auto"/>
        <w:bottom w:val="none" w:sz="0" w:space="0" w:color="auto"/>
        <w:right w:val="none" w:sz="0" w:space="0" w:color="auto"/>
      </w:divBdr>
    </w:div>
    <w:div w:id="922688915">
      <w:bodyDiv w:val="1"/>
      <w:marLeft w:val="0"/>
      <w:marRight w:val="0"/>
      <w:marTop w:val="0"/>
      <w:marBottom w:val="0"/>
      <w:divBdr>
        <w:top w:val="none" w:sz="0" w:space="0" w:color="auto"/>
        <w:left w:val="none" w:sz="0" w:space="0" w:color="auto"/>
        <w:bottom w:val="none" w:sz="0" w:space="0" w:color="auto"/>
        <w:right w:val="none" w:sz="0" w:space="0" w:color="auto"/>
      </w:divBdr>
    </w:div>
    <w:div w:id="923799438">
      <w:bodyDiv w:val="1"/>
      <w:marLeft w:val="0"/>
      <w:marRight w:val="0"/>
      <w:marTop w:val="0"/>
      <w:marBottom w:val="0"/>
      <w:divBdr>
        <w:top w:val="none" w:sz="0" w:space="0" w:color="auto"/>
        <w:left w:val="none" w:sz="0" w:space="0" w:color="auto"/>
        <w:bottom w:val="none" w:sz="0" w:space="0" w:color="auto"/>
        <w:right w:val="none" w:sz="0" w:space="0" w:color="auto"/>
      </w:divBdr>
    </w:div>
    <w:div w:id="924339846">
      <w:bodyDiv w:val="1"/>
      <w:marLeft w:val="0"/>
      <w:marRight w:val="0"/>
      <w:marTop w:val="0"/>
      <w:marBottom w:val="0"/>
      <w:divBdr>
        <w:top w:val="none" w:sz="0" w:space="0" w:color="auto"/>
        <w:left w:val="none" w:sz="0" w:space="0" w:color="auto"/>
        <w:bottom w:val="none" w:sz="0" w:space="0" w:color="auto"/>
        <w:right w:val="none" w:sz="0" w:space="0" w:color="auto"/>
      </w:divBdr>
    </w:div>
    <w:div w:id="925697518">
      <w:bodyDiv w:val="1"/>
      <w:marLeft w:val="0"/>
      <w:marRight w:val="0"/>
      <w:marTop w:val="0"/>
      <w:marBottom w:val="0"/>
      <w:divBdr>
        <w:top w:val="none" w:sz="0" w:space="0" w:color="auto"/>
        <w:left w:val="none" w:sz="0" w:space="0" w:color="auto"/>
        <w:bottom w:val="none" w:sz="0" w:space="0" w:color="auto"/>
        <w:right w:val="none" w:sz="0" w:space="0" w:color="auto"/>
      </w:divBdr>
    </w:div>
    <w:div w:id="927543961">
      <w:bodyDiv w:val="1"/>
      <w:marLeft w:val="0"/>
      <w:marRight w:val="0"/>
      <w:marTop w:val="0"/>
      <w:marBottom w:val="0"/>
      <w:divBdr>
        <w:top w:val="none" w:sz="0" w:space="0" w:color="auto"/>
        <w:left w:val="none" w:sz="0" w:space="0" w:color="auto"/>
        <w:bottom w:val="none" w:sz="0" w:space="0" w:color="auto"/>
        <w:right w:val="none" w:sz="0" w:space="0" w:color="auto"/>
      </w:divBdr>
    </w:div>
    <w:div w:id="929309703">
      <w:bodyDiv w:val="1"/>
      <w:marLeft w:val="0"/>
      <w:marRight w:val="0"/>
      <w:marTop w:val="0"/>
      <w:marBottom w:val="0"/>
      <w:divBdr>
        <w:top w:val="none" w:sz="0" w:space="0" w:color="auto"/>
        <w:left w:val="none" w:sz="0" w:space="0" w:color="auto"/>
        <w:bottom w:val="none" w:sz="0" w:space="0" w:color="auto"/>
        <w:right w:val="none" w:sz="0" w:space="0" w:color="auto"/>
      </w:divBdr>
    </w:div>
    <w:div w:id="929587733">
      <w:bodyDiv w:val="1"/>
      <w:marLeft w:val="0"/>
      <w:marRight w:val="0"/>
      <w:marTop w:val="0"/>
      <w:marBottom w:val="0"/>
      <w:divBdr>
        <w:top w:val="none" w:sz="0" w:space="0" w:color="auto"/>
        <w:left w:val="none" w:sz="0" w:space="0" w:color="auto"/>
        <w:bottom w:val="none" w:sz="0" w:space="0" w:color="auto"/>
        <w:right w:val="none" w:sz="0" w:space="0" w:color="auto"/>
      </w:divBdr>
    </w:div>
    <w:div w:id="930284731">
      <w:bodyDiv w:val="1"/>
      <w:marLeft w:val="0"/>
      <w:marRight w:val="0"/>
      <w:marTop w:val="0"/>
      <w:marBottom w:val="0"/>
      <w:divBdr>
        <w:top w:val="none" w:sz="0" w:space="0" w:color="auto"/>
        <w:left w:val="none" w:sz="0" w:space="0" w:color="auto"/>
        <w:bottom w:val="none" w:sz="0" w:space="0" w:color="auto"/>
        <w:right w:val="none" w:sz="0" w:space="0" w:color="auto"/>
      </w:divBdr>
    </w:div>
    <w:div w:id="935597790">
      <w:bodyDiv w:val="1"/>
      <w:marLeft w:val="0"/>
      <w:marRight w:val="0"/>
      <w:marTop w:val="0"/>
      <w:marBottom w:val="0"/>
      <w:divBdr>
        <w:top w:val="none" w:sz="0" w:space="0" w:color="auto"/>
        <w:left w:val="none" w:sz="0" w:space="0" w:color="auto"/>
        <w:bottom w:val="none" w:sz="0" w:space="0" w:color="auto"/>
        <w:right w:val="none" w:sz="0" w:space="0" w:color="auto"/>
      </w:divBdr>
    </w:div>
    <w:div w:id="936595770">
      <w:bodyDiv w:val="1"/>
      <w:marLeft w:val="0"/>
      <w:marRight w:val="0"/>
      <w:marTop w:val="0"/>
      <w:marBottom w:val="0"/>
      <w:divBdr>
        <w:top w:val="none" w:sz="0" w:space="0" w:color="auto"/>
        <w:left w:val="none" w:sz="0" w:space="0" w:color="auto"/>
        <w:bottom w:val="none" w:sz="0" w:space="0" w:color="auto"/>
        <w:right w:val="none" w:sz="0" w:space="0" w:color="auto"/>
      </w:divBdr>
    </w:div>
    <w:div w:id="946502875">
      <w:bodyDiv w:val="1"/>
      <w:marLeft w:val="0"/>
      <w:marRight w:val="0"/>
      <w:marTop w:val="0"/>
      <w:marBottom w:val="0"/>
      <w:divBdr>
        <w:top w:val="none" w:sz="0" w:space="0" w:color="auto"/>
        <w:left w:val="none" w:sz="0" w:space="0" w:color="auto"/>
        <w:bottom w:val="none" w:sz="0" w:space="0" w:color="auto"/>
        <w:right w:val="none" w:sz="0" w:space="0" w:color="auto"/>
      </w:divBdr>
    </w:div>
    <w:div w:id="949626770">
      <w:bodyDiv w:val="1"/>
      <w:marLeft w:val="0"/>
      <w:marRight w:val="0"/>
      <w:marTop w:val="0"/>
      <w:marBottom w:val="0"/>
      <w:divBdr>
        <w:top w:val="none" w:sz="0" w:space="0" w:color="auto"/>
        <w:left w:val="none" w:sz="0" w:space="0" w:color="auto"/>
        <w:bottom w:val="none" w:sz="0" w:space="0" w:color="auto"/>
        <w:right w:val="none" w:sz="0" w:space="0" w:color="auto"/>
      </w:divBdr>
    </w:div>
    <w:div w:id="954675050">
      <w:bodyDiv w:val="1"/>
      <w:marLeft w:val="0"/>
      <w:marRight w:val="0"/>
      <w:marTop w:val="0"/>
      <w:marBottom w:val="0"/>
      <w:divBdr>
        <w:top w:val="none" w:sz="0" w:space="0" w:color="auto"/>
        <w:left w:val="none" w:sz="0" w:space="0" w:color="auto"/>
        <w:bottom w:val="none" w:sz="0" w:space="0" w:color="auto"/>
        <w:right w:val="none" w:sz="0" w:space="0" w:color="auto"/>
      </w:divBdr>
    </w:div>
    <w:div w:id="957029313">
      <w:bodyDiv w:val="1"/>
      <w:marLeft w:val="0"/>
      <w:marRight w:val="0"/>
      <w:marTop w:val="0"/>
      <w:marBottom w:val="0"/>
      <w:divBdr>
        <w:top w:val="none" w:sz="0" w:space="0" w:color="auto"/>
        <w:left w:val="none" w:sz="0" w:space="0" w:color="auto"/>
        <w:bottom w:val="none" w:sz="0" w:space="0" w:color="auto"/>
        <w:right w:val="none" w:sz="0" w:space="0" w:color="auto"/>
      </w:divBdr>
    </w:div>
    <w:div w:id="957101291">
      <w:bodyDiv w:val="1"/>
      <w:marLeft w:val="0"/>
      <w:marRight w:val="0"/>
      <w:marTop w:val="0"/>
      <w:marBottom w:val="0"/>
      <w:divBdr>
        <w:top w:val="none" w:sz="0" w:space="0" w:color="auto"/>
        <w:left w:val="none" w:sz="0" w:space="0" w:color="auto"/>
        <w:bottom w:val="none" w:sz="0" w:space="0" w:color="auto"/>
        <w:right w:val="none" w:sz="0" w:space="0" w:color="auto"/>
      </w:divBdr>
    </w:div>
    <w:div w:id="958606997">
      <w:bodyDiv w:val="1"/>
      <w:marLeft w:val="0"/>
      <w:marRight w:val="0"/>
      <w:marTop w:val="0"/>
      <w:marBottom w:val="0"/>
      <w:divBdr>
        <w:top w:val="none" w:sz="0" w:space="0" w:color="auto"/>
        <w:left w:val="none" w:sz="0" w:space="0" w:color="auto"/>
        <w:bottom w:val="none" w:sz="0" w:space="0" w:color="auto"/>
        <w:right w:val="none" w:sz="0" w:space="0" w:color="auto"/>
      </w:divBdr>
    </w:div>
    <w:div w:id="958947690">
      <w:bodyDiv w:val="1"/>
      <w:marLeft w:val="0"/>
      <w:marRight w:val="0"/>
      <w:marTop w:val="0"/>
      <w:marBottom w:val="0"/>
      <w:divBdr>
        <w:top w:val="none" w:sz="0" w:space="0" w:color="auto"/>
        <w:left w:val="none" w:sz="0" w:space="0" w:color="auto"/>
        <w:bottom w:val="none" w:sz="0" w:space="0" w:color="auto"/>
        <w:right w:val="none" w:sz="0" w:space="0" w:color="auto"/>
      </w:divBdr>
    </w:div>
    <w:div w:id="961114215">
      <w:bodyDiv w:val="1"/>
      <w:marLeft w:val="0"/>
      <w:marRight w:val="0"/>
      <w:marTop w:val="0"/>
      <w:marBottom w:val="0"/>
      <w:divBdr>
        <w:top w:val="none" w:sz="0" w:space="0" w:color="auto"/>
        <w:left w:val="none" w:sz="0" w:space="0" w:color="auto"/>
        <w:bottom w:val="none" w:sz="0" w:space="0" w:color="auto"/>
        <w:right w:val="none" w:sz="0" w:space="0" w:color="auto"/>
      </w:divBdr>
    </w:div>
    <w:div w:id="963315876">
      <w:bodyDiv w:val="1"/>
      <w:marLeft w:val="0"/>
      <w:marRight w:val="0"/>
      <w:marTop w:val="0"/>
      <w:marBottom w:val="0"/>
      <w:divBdr>
        <w:top w:val="none" w:sz="0" w:space="0" w:color="auto"/>
        <w:left w:val="none" w:sz="0" w:space="0" w:color="auto"/>
        <w:bottom w:val="none" w:sz="0" w:space="0" w:color="auto"/>
        <w:right w:val="none" w:sz="0" w:space="0" w:color="auto"/>
      </w:divBdr>
    </w:div>
    <w:div w:id="965620438">
      <w:bodyDiv w:val="1"/>
      <w:marLeft w:val="0"/>
      <w:marRight w:val="0"/>
      <w:marTop w:val="0"/>
      <w:marBottom w:val="0"/>
      <w:divBdr>
        <w:top w:val="none" w:sz="0" w:space="0" w:color="auto"/>
        <w:left w:val="none" w:sz="0" w:space="0" w:color="auto"/>
        <w:bottom w:val="none" w:sz="0" w:space="0" w:color="auto"/>
        <w:right w:val="none" w:sz="0" w:space="0" w:color="auto"/>
      </w:divBdr>
    </w:div>
    <w:div w:id="965702115">
      <w:bodyDiv w:val="1"/>
      <w:marLeft w:val="0"/>
      <w:marRight w:val="0"/>
      <w:marTop w:val="0"/>
      <w:marBottom w:val="0"/>
      <w:divBdr>
        <w:top w:val="none" w:sz="0" w:space="0" w:color="auto"/>
        <w:left w:val="none" w:sz="0" w:space="0" w:color="auto"/>
        <w:bottom w:val="none" w:sz="0" w:space="0" w:color="auto"/>
        <w:right w:val="none" w:sz="0" w:space="0" w:color="auto"/>
      </w:divBdr>
    </w:div>
    <w:div w:id="967517638">
      <w:bodyDiv w:val="1"/>
      <w:marLeft w:val="0"/>
      <w:marRight w:val="0"/>
      <w:marTop w:val="0"/>
      <w:marBottom w:val="0"/>
      <w:divBdr>
        <w:top w:val="none" w:sz="0" w:space="0" w:color="auto"/>
        <w:left w:val="none" w:sz="0" w:space="0" w:color="auto"/>
        <w:bottom w:val="none" w:sz="0" w:space="0" w:color="auto"/>
        <w:right w:val="none" w:sz="0" w:space="0" w:color="auto"/>
      </w:divBdr>
    </w:div>
    <w:div w:id="969090791">
      <w:bodyDiv w:val="1"/>
      <w:marLeft w:val="0"/>
      <w:marRight w:val="0"/>
      <w:marTop w:val="0"/>
      <w:marBottom w:val="0"/>
      <w:divBdr>
        <w:top w:val="none" w:sz="0" w:space="0" w:color="auto"/>
        <w:left w:val="none" w:sz="0" w:space="0" w:color="auto"/>
        <w:bottom w:val="none" w:sz="0" w:space="0" w:color="auto"/>
        <w:right w:val="none" w:sz="0" w:space="0" w:color="auto"/>
      </w:divBdr>
    </w:div>
    <w:div w:id="969827495">
      <w:bodyDiv w:val="1"/>
      <w:marLeft w:val="0"/>
      <w:marRight w:val="0"/>
      <w:marTop w:val="0"/>
      <w:marBottom w:val="0"/>
      <w:divBdr>
        <w:top w:val="none" w:sz="0" w:space="0" w:color="auto"/>
        <w:left w:val="none" w:sz="0" w:space="0" w:color="auto"/>
        <w:bottom w:val="none" w:sz="0" w:space="0" w:color="auto"/>
        <w:right w:val="none" w:sz="0" w:space="0" w:color="auto"/>
      </w:divBdr>
    </w:div>
    <w:div w:id="970552874">
      <w:bodyDiv w:val="1"/>
      <w:marLeft w:val="0"/>
      <w:marRight w:val="0"/>
      <w:marTop w:val="0"/>
      <w:marBottom w:val="0"/>
      <w:divBdr>
        <w:top w:val="none" w:sz="0" w:space="0" w:color="auto"/>
        <w:left w:val="none" w:sz="0" w:space="0" w:color="auto"/>
        <w:bottom w:val="none" w:sz="0" w:space="0" w:color="auto"/>
        <w:right w:val="none" w:sz="0" w:space="0" w:color="auto"/>
      </w:divBdr>
    </w:div>
    <w:div w:id="971399894">
      <w:bodyDiv w:val="1"/>
      <w:marLeft w:val="0"/>
      <w:marRight w:val="0"/>
      <w:marTop w:val="0"/>
      <w:marBottom w:val="0"/>
      <w:divBdr>
        <w:top w:val="none" w:sz="0" w:space="0" w:color="auto"/>
        <w:left w:val="none" w:sz="0" w:space="0" w:color="auto"/>
        <w:bottom w:val="none" w:sz="0" w:space="0" w:color="auto"/>
        <w:right w:val="none" w:sz="0" w:space="0" w:color="auto"/>
      </w:divBdr>
    </w:div>
    <w:div w:id="971709528">
      <w:bodyDiv w:val="1"/>
      <w:marLeft w:val="0"/>
      <w:marRight w:val="0"/>
      <w:marTop w:val="0"/>
      <w:marBottom w:val="0"/>
      <w:divBdr>
        <w:top w:val="none" w:sz="0" w:space="0" w:color="auto"/>
        <w:left w:val="none" w:sz="0" w:space="0" w:color="auto"/>
        <w:bottom w:val="none" w:sz="0" w:space="0" w:color="auto"/>
        <w:right w:val="none" w:sz="0" w:space="0" w:color="auto"/>
      </w:divBdr>
    </w:div>
    <w:div w:id="972557678">
      <w:bodyDiv w:val="1"/>
      <w:marLeft w:val="0"/>
      <w:marRight w:val="0"/>
      <w:marTop w:val="0"/>
      <w:marBottom w:val="0"/>
      <w:divBdr>
        <w:top w:val="none" w:sz="0" w:space="0" w:color="auto"/>
        <w:left w:val="none" w:sz="0" w:space="0" w:color="auto"/>
        <w:bottom w:val="none" w:sz="0" w:space="0" w:color="auto"/>
        <w:right w:val="none" w:sz="0" w:space="0" w:color="auto"/>
      </w:divBdr>
    </w:div>
    <w:div w:id="974289895">
      <w:bodyDiv w:val="1"/>
      <w:marLeft w:val="0"/>
      <w:marRight w:val="0"/>
      <w:marTop w:val="0"/>
      <w:marBottom w:val="0"/>
      <w:divBdr>
        <w:top w:val="none" w:sz="0" w:space="0" w:color="auto"/>
        <w:left w:val="none" w:sz="0" w:space="0" w:color="auto"/>
        <w:bottom w:val="none" w:sz="0" w:space="0" w:color="auto"/>
        <w:right w:val="none" w:sz="0" w:space="0" w:color="auto"/>
      </w:divBdr>
    </w:div>
    <w:div w:id="974529568">
      <w:bodyDiv w:val="1"/>
      <w:marLeft w:val="0"/>
      <w:marRight w:val="0"/>
      <w:marTop w:val="0"/>
      <w:marBottom w:val="0"/>
      <w:divBdr>
        <w:top w:val="none" w:sz="0" w:space="0" w:color="auto"/>
        <w:left w:val="none" w:sz="0" w:space="0" w:color="auto"/>
        <w:bottom w:val="none" w:sz="0" w:space="0" w:color="auto"/>
        <w:right w:val="none" w:sz="0" w:space="0" w:color="auto"/>
      </w:divBdr>
    </w:div>
    <w:div w:id="975062243">
      <w:bodyDiv w:val="1"/>
      <w:marLeft w:val="0"/>
      <w:marRight w:val="0"/>
      <w:marTop w:val="0"/>
      <w:marBottom w:val="0"/>
      <w:divBdr>
        <w:top w:val="none" w:sz="0" w:space="0" w:color="auto"/>
        <w:left w:val="none" w:sz="0" w:space="0" w:color="auto"/>
        <w:bottom w:val="none" w:sz="0" w:space="0" w:color="auto"/>
        <w:right w:val="none" w:sz="0" w:space="0" w:color="auto"/>
      </w:divBdr>
    </w:div>
    <w:div w:id="975064685">
      <w:bodyDiv w:val="1"/>
      <w:marLeft w:val="0"/>
      <w:marRight w:val="0"/>
      <w:marTop w:val="0"/>
      <w:marBottom w:val="0"/>
      <w:divBdr>
        <w:top w:val="none" w:sz="0" w:space="0" w:color="auto"/>
        <w:left w:val="none" w:sz="0" w:space="0" w:color="auto"/>
        <w:bottom w:val="none" w:sz="0" w:space="0" w:color="auto"/>
        <w:right w:val="none" w:sz="0" w:space="0" w:color="auto"/>
      </w:divBdr>
    </w:div>
    <w:div w:id="976952627">
      <w:bodyDiv w:val="1"/>
      <w:marLeft w:val="0"/>
      <w:marRight w:val="0"/>
      <w:marTop w:val="0"/>
      <w:marBottom w:val="0"/>
      <w:divBdr>
        <w:top w:val="none" w:sz="0" w:space="0" w:color="auto"/>
        <w:left w:val="none" w:sz="0" w:space="0" w:color="auto"/>
        <w:bottom w:val="none" w:sz="0" w:space="0" w:color="auto"/>
        <w:right w:val="none" w:sz="0" w:space="0" w:color="auto"/>
      </w:divBdr>
    </w:div>
    <w:div w:id="976956282">
      <w:bodyDiv w:val="1"/>
      <w:marLeft w:val="0"/>
      <w:marRight w:val="0"/>
      <w:marTop w:val="0"/>
      <w:marBottom w:val="0"/>
      <w:divBdr>
        <w:top w:val="none" w:sz="0" w:space="0" w:color="auto"/>
        <w:left w:val="none" w:sz="0" w:space="0" w:color="auto"/>
        <w:bottom w:val="none" w:sz="0" w:space="0" w:color="auto"/>
        <w:right w:val="none" w:sz="0" w:space="0" w:color="auto"/>
      </w:divBdr>
    </w:div>
    <w:div w:id="977343930">
      <w:bodyDiv w:val="1"/>
      <w:marLeft w:val="0"/>
      <w:marRight w:val="0"/>
      <w:marTop w:val="0"/>
      <w:marBottom w:val="0"/>
      <w:divBdr>
        <w:top w:val="none" w:sz="0" w:space="0" w:color="auto"/>
        <w:left w:val="none" w:sz="0" w:space="0" w:color="auto"/>
        <w:bottom w:val="none" w:sz="0" w:space="0" w:color="auto"/>
        <w:right w:val="none" w:sz="0" w:space="0" w:color="auto"/>
      </w:divBdr>
    </w:div>
    <w:div w:id="984626051">
      <w:bodyDiv w:val="1"/>
      <w:marLeft w:val="0"/>
      <w:marRight w:val="0"/>
      <w:marTop w:val="0"/>
      <w:marBottom w:val="0"/>
      <w:divBdr>
        <w:top w:val="none" w:sz="0" w:space="0" w:color="auto"/>
        <w:left w:val="none" w:sz="0" w:space="0" w:color="auto"/>
        <w:bottom w:val="none" w:sz="0" w:space="0" w:color="auto"/>
        <w:right w:val="none" w:sz="0" w:space="0" w:color="auto"/>
      </w:divBdr>
    </w:div>
    <w:div w:id="987318071">
      <w:bodyDiv w:val="1"/>
      <w:marLeft w:val="0"/>
      <w:marRight w:val="0"/>
      <w:marTop w:val="0"/>
      <w:marBottom w:val="0"/>
      <w:divBdr>
        <w:top w:val="none" w:sz="0" w:space="0" w:color="auto"/>
        <w:left w:val="none" w:sz="0" w:space="0" w:color="auto"/>
        <w:bottom w:val="none" w:sz="0" w:space="0" w:color="auto"/>
        <w:right w:val="none" w:sz="0" w:space="0" w:color="auto"/>
      </w:divBdr>
    </w:div>
    <w:div w:id="988941783">
      <w:bodyDiv w:val="1"/>
      <w:marLeft w:val="0"/>
      <w:marRight w:val="0"/>
      <w:marTop w:val="0"/>
      <w:marBottom w:val="0"/>
      <w:divBdr>
        <w:top w:val="none" w:sz="0" w:space="0" w:color="auto"/>
        <w:left w:val="none" w:sz="0" w:space="0" w:color="auto"/>
        <w:bottom w:val="none" w:sz="0" w:space="0" w:color="auto"/>
        <w:right w:val="none" w:sz="0" w:space="0" w:color="auto"/>
      </w:divBdr>
    </w:div>
    <w:div w:id="989600040">
      <w:bodyDiv w:val="1"/>
      <w:marLeft w:val="0"/>
      <w:marRight w:val="0"/>
      <w:marTop w:val="0"/>
      <w:marBottom w:val="0"/>
      <w:divBdr>
        <w:top w:val="none" w:sz="0" w:space="0" w:color="auto"/>
        <w:left w:val="none" w:sz="0" w:space="0" w:color="auto"/>
        <w:bottom w:val="none" w:sz="0" w:space="0" w:color="auto"/>
        <w:right w:val="none" w:sz="0" w:space="0" w:color="auto"/>
      </w:divBdr>
    </w:div>
    <w:div w:id="989601678">
      <w:bodyDiv w:val="1"/>
      <w:marLeft w:val="0"/>
      <w:marRight w:val="0"/>
      <w:marTop w:val="0"/>
      <w:marBottom w:val="0"/>
      <w:divBdr>
        <w:top w:val="none" w:sz="0" w:space="0" w:color="auto"/>
        <w:left w:val="none" w:sz="0" w:space="0" w:color="auto"/>
        <w:bottom w:val="none" w:sz="0" w:space="0" w:color="auto"/>
        <w:right w:val="none" w:sz="0" w:space="0" w:color="auto"/>
      </w:divBdr>
    </w:div>
    <w:div w:id="992024324">
      <w:bodyDiv w:val="1"/>
      <w:marLeft w:val="0"/>
      <w:marRight w:val="0"/>
      <w:marTop w:val="0"/>
      <w:marBottom w:val="0"/>
      <w:divBdr>
        <w:top w:val="none" w:sz="0" w:space="0" w:color="auto"/>
        <w:left w:val="none" w:sz="0" w:space="0" w:color="auto"/>
        <w:bottom w:val="none" w:sz="0" w:space="0" w:color="auto"/>
        <w:right w:val="none" w:sz="0" w:space="0" w:color="auto"/>
      </w:divBdr>
    </w:div>
    <w:div w:id="994651035">
      <w:bodyDiv w:val="1"/>
      <w:marLeft w:val="0"/>
      <w:marRight w:val="0"/>
      <w:marTop w:val="0"/>
      <w:marBottom w:val="0"/>
      <w:divBdr>
        <w:top w:val="none" w:sz="0" w:space="0" w:color="auto"/>
        <w:left w:val="none" w:sz="0" w:space="0" w:color="auto"/>
        <w:bottom w:val="none" w:sz="0" w:space="0" w:color="auto"/>
        <w:right w:val="none" w:sz="0" w:space="0" w:color="auto"/>
      </w:divBdr>
    </w:div>
    <w:div w:id="994837842">
      <w:bodyDiv w:val="1"/>
      <w:marLeft w:val="0"/>
      <w:marRight w:val="0"/>
      <w:marTop w:val="0"/>
      <w:marBottom w:val="0"/>
      <w:divBdr>
        <w:top w:val="none" w:sz="0" w:space="0" w:color="auto"/>
        <w:left w:val="none" w:sz="0" w:space="0" w:color="auto"/>
        <w:bottom w:val="none" w:sz="0" w:space="0" w:color="auto"/>
        <w:right w:val="none" w:sz="0" w:space="0" w:color="auto"/>
      </w:divBdr>
    </w:div>
    <w:div w:id="997420952">
      <w:bodyDiv w:val="1"/>
      <w:marLeft w:val="0"/>
      <w:marRight w:val="0"/>
      <w:marTop w:val="0"/>
      <w:marBottom w:val="0"/>
      <w:divBdr>
        <w:top w:val="none" w:sz="0" w:space="0" w:color="auto"/>
        <w:left w:val="none" w:sz="0" w:space="0" w:color="auto"/>
        <w:bottom w:val="none" w:sz="0" w:space="0" w:color="auto"/>
        <w:right w:val="none" w:sz="0" w:space="0" w:color="auto"/>
      </w:divBdr>
    </w:div>
    <w:div w:id="998312700">
      <w:bodyDiv w:val="1"/>
      <w:marLeft w:val="0"/>
      <w:marRight w:val="0"/>
      <w:marTop w:val="0"/>
      <w:marBottom w:val="0"/>
      <w:divBdr>
        <w:top w:val="none" w:sz="0" w:space="0" w:color="auto"/>
        <w:left w:val="none" w:sz="0" w:space="0" w:color="auto"/>
        <w:bottom w:val="none" w:sz="0" w:space="0" w:color="auto"/>
        <w:right w:val="none" w:sz="0" w:space="0" w:color="auto"/>
      </w:divBdr>
    </w:div>
    <w:div w:id="998769285">
      <w:bodyDiv w:val="1"/>
      <w:marLeft w:val="0"/>
      <w:marRight w:val="0"/>
      <w:marTop w:val="0"/>
      <w:marBottom w:val="0"/>
      <w:divBdr>
        <w:top w:val="none" w:sz="0" w:space="0" w:color="auto"/>
        <w:left w:val="none" w:sz="0" w:space="0" w:color="auto"/>
        <w:bottom w:val="none" w:sz="0" w:space="0" w:color="auto"/>
        <w:right w:val="none" w:sz="0" w:space="0" w:color="auto"/>
      </w:divBdr>
    </w:div>
    <w:div w:id="998844406">
      <w:bodyDiv w:val="1"/>
      <w:marLeft w:val="0"/>
      <w:marRight w:val="0"/>
      <w:marTop w:val="0"/>
      <w:marBottom w:val="0"/>
      <w:divBdr>
        <w:top w:val="none" w:sz="0" w:space="0" w:color="auto"/>
        <w:left w:val="none" w:sz="0" w:space="0" w:color="auto"/>
        <w:bottom w:val="none" w:sz="0" w:space="0" w:color="auto"/>
        <w:right w:val="none" w:sz="0" w:space="0" w:color="auto"/>
      </w:divBdr>
    </w:div>
    <w:div w:id="1004354997">
      <w:bodyDiv w:val="1"/>
      <w:marLeft w:val="0"/>
      <w:marRight w:val="0"/>
      <w:marTop w:val="0"/>
      <w:marBottom w:val="0"/>
      <w:divBdr>
        <w:top w:val="none" w:sz="0" w:space="0" w:color="auto"/>
        <w:left w:val="none" w:sz="0" w:space="0" w:color="auto"/>
        <w:bottom w:val="none" w:sz="0" w:space="0" w:color="auto"/>
        <w:right w:val="none" w:sz="0" w:space="0" w:color="auto"/>
      </w:divBdr>
    </w:div>
    <w:div w:id="1005521313">
      <w:bodyDiv w:val="1"/>
      <w:marLeft w:val="0"/>
      <w:marRight w:val="0"/>
      <w:marTop w:val="0"/>
      <w:marBottom w:val="0"/>
      <w:divBdr>
        <w:top w:val="none" w:sz="0" w:space="0" w:color="auto"/>
        <w:left w:val="none" w:sz="0" w:space="0" w:color="auto"/>
        <w:bottom w:val="none" w:sz="0" w:space="0" w:color="auto"/>
        <w:right w:val="none" w:sz="0" w:space="0" w:color="auto"/>
      </w:divBdr>
    </w:div>
    <w:div w:id="1008631182">
      <w:bodyDiv w:val="1"/>
      <w:marLeft w:val="0"/>
      <w:marRight w:val="0"/>
      <w:marTop w:val="0"/>
      <w:marBottom w:val="0"/>
      <w:divBdr>
        <w:top w:val="none" w:sz="0" w:space="0" w:color="auto"/>
        <w:left w:val="none" w:sz="0" w:space="0" w:color="auto"/>
        <w:bottom w:val="none" w:sz="0" w:space="0" w:color="auto"/>
        <w:right w:val="none" w:sz="0" w:space="0" w:color="auto"/>
      </w:divBdr>
    </w:div>
    <w:div w:id="1009403802">
      <w:bodyDiv w:val="1"/>
      <w:marLeft w:val="0"/>
      <w:marRight w:val="0"/>
      <w:marTop w:val="0"/>
      <w:marBottom w:val="0"/>
      <w:divBdr>
        <w:top w:val="none" w:sz="0" w:space="0" w:color="auto"/>
        <w:left w:val="none" w:sz="0" w:space="0" w:color="auto"/>
        <w:bottom w:val="none" w:sz="0" w:space="0" w:color="auto"/>
        <w:right w:val="none" w:sz="0" w:space="0" w:color="auto"/>
      </w:divBdr>
    </w:div>
    <w:div w:id="1011642792">
      <w:bodyDiv w:val="1"/>
      <w:marLeft w:val="0"/>
      <w:marRight w:val="0"/>
      <w:marTop w:val="0"/>
      <w:marBottom w:val="0"/>
      <w:divBdr>
        <w:top w:val="none" w:sz="0" w:space="0" w:color="auto"/>
        <w:left w:val="none" w:sz="0" w:space="0" w:color="auto"/>
        <w:bottom w:val="none" w:sz="0" w:space="0" w:color="auto"/>
        <w:right w:val="none" w:sz="0" w:space="0" w:color="auto"/>
      </w:divBdr>
    </w:div>
    <w:div w:id="1015423734">
      <w:bodyDiv w:val="1"/>
      <w:marLeft w:val="0"/>
      <w:marRight w:val="0"/>
      <w:marTop w:val="0"/>
      <w:marBottom w:val="0"/>
      <w:divBdr>
        <w:top w:val="none" w:sz="0" w:space="0" w:color="auto"/>
        <w:left w:val="none" w:sz="0" w:space="0" w:color="auto"/>
        <w:bottom w:val="none" w:sz="0" w:space="0" w:color="auto"/>
        <w:right w:val="none" w:sz="0" w:space="0" w:color="auto"/>
      </w:divBdr>
    </w:div>
    <w:div w:id="1016271282">
      <w:bodyDiv w:val="1"/>
      <w:marLeft w:val="0"/>
      <w:marRight w:val="0"/>
      <w:marTop w:val="0"/>
      <w:marBottom w:val="0"/>
      <w:divBdr>
        <w:top w:val="none" w:sz="0" w:space="0" w:color="auto"/>
        <w:left w:val="none" w:sz="0" w:space="0" w:color="auto"/>
        <w:bottom w:val="none" w:sz="0" w:space="0" w:color="auto"/>
        <w:right w:val="none" w:sz="0" w:space="0" w:color="auto"/>
      </w:divBdr>
    </w:div>
    <w:div w:id="1016542268">
      <w:bodyDiv w:val="1"/>
      <w:marLeft w:val="0"/>
      <w:marRight w:val="0"/>
      <w:marTop w:val="0"/>
      <w:marBottom w:val="0"/>
      <w:divBdr>
        <w:top w:val="none" w:sz="0" w:space="0" w:color="auto"/>
        <w:left w:val="none" w:sz="0" w:space="0" w:color="auto"/>
        <w:bottom w:val="none" w:sz="0" w:space="0" w:color="auto"/>
        <w:right w:val="none" w:sz="0" w:space="0" w:color="auto"/>
      </w:divBdr>
    </w:div>
    <w:div w:id="1017081111">
      <w:bodyDiv w:val="1"/>
      <w:marLeft w:val="0"/>
      <w:marRight w:val="0"/>
      <w:marTop w:val="0"/>
      <w:marBottom w:val="0"/>
      <w:divBdr>
        <w:top w:val="none" w:sz="0" w:space="0" w:color="auto"/>
        <w:left w:val="none" w:sz="0" w:space="0" w:color="auto"/>
        <w:bottom w:val="none" w:sz="0" w:space="0" w:color="auto"/>
        <w:right w:val="none" w:sz="0" w:space="0" w:color="auto"/>
      </w:divBdr>
    </w:div>
    <w:div w:id="1020083925">
      <w:bodyDiv w:val="1"/>
      <w:marLeft w:val="0"/>
      <w:marRight w:val="0"/>
      <w:marTop w:val="0"/>
      <w:marBottom w:val="0"/>
      <w:divBdr>
        <w:top w:val="none" w:sz="0" w:space="0" w:color="auto"/>
        <w:left w:val="none" w:sz="0" w:space="0" w:color="auto"/>
        <w:bottom w:val="none" w:sz="0" w:space="0" w:color="auto"/>
        <w:right w:val="none" w:sz="0" w:space="0" w:color="auto"/>
      </w:divBdr>
    </w:div>
    <w:div w:id="1022365650">
      <w:bodyDiv w:val="1"/>
      <w:marLeft w:val="0"/>
      <w:marRight w:val="0"/>
      <w:marTop w:val="0"/>
      <w:marBottom w:val="0"/>
      <w:divBdr>
        <w:top w:val="none" w:sz="0" w:space="0" w:color="auto"/>
        <w:left w:val="none" w:sz="0" w:space="0" w:color="auto"/>
        <w:bottom w:val="none" w:sz="0" w:space="0" w:color="auto"/>
        <w:right w:val="none" w:sz="0" w:space="0" w:color="auto"/>
      </w:divBdr>
      <w:divsChild>
        <w:div w:id="661851748">
          <w:marLeft w:val="640"/>
          <w:marRight w:val="0"/>
          <w:marTop w:val="0"/>
          <w:marBottom w:val="0"/>
          <w:divBdr>
            <w:top w:val="none" w:sz="0" w:space="0" w:color="auto"/>
            <w:left w:val="none" w:sz="0" w:space="0" w:color="auto"/>
            <w:bottom w:val="none" w:sz="0" w:space="0" w:color="auto"/>
            <w:right w:val="none" w:sz="0" w:space="0" w:color="auto"/>
          </w:divBdr>
        </w:div>
        <w:div w:id="652568927">
          <w:marLeft w:val="640"/>
          <w:marRight w:val="0"/>
          <w:marTop w:val="0"/>
          <w:marBottom w:val="0"/>
          <w:divBdr>
            <w:top w:val="none" w:sz="0" w:space="0" w:color="auto"/>
            <w:left w:val="none" w:sz="0" w:space="0" w:color="auto"/>
            <w:bottom w:val="none" w:sz="0" w:space="0" w:color="auto"/>
            <w:right w:val="none" w:sz="0" w:space="0" w:color="auto"/>
          </w:divBdr>
        </w:div>
        <w:div w:id="2022005835">
          <w:marLeft w:val="640"/>
          <w:marRight w:val="0"/>
          <w:marTop w:val="0"/>
          <w:marBottom w:val="0"/>
          <w:divBdr>
            <w:top w:val="none" w:sz="0" w:space="0" w:color="auto"/>
            <w:left w:val="none" w:sz="0" w:space="0" w:color="auto"/>
            <w:bottom w:val="none" w:sz="0" w:space="0" w:color="auto"/>
            <w:right w:val="none" w:sz="0" w:space="0" w:color="auto"/>
          </w:divBdr>
        </w:div>
        <w:div w:id="1381900354">
          <w:marLeft w:val="640"/>
          <w:marRight w:val="0"/>
          <w:marTop w:val="0"/>
          <w:marBottom w:val="0"/>
          <w:divBdr>
            <w:top w:val="none" w:sz="0" w:space="0" w:color="auto"/>
            <w:left w:val="none" w:sz="0" w:space="0" w:color="auto"/>
            <w:bottom w:val="none" w:sz="0" w:space="0" w:color="auto"/>
            <w:right w:val="none" w:sz="0" w:space="0" w:color="auto"/>
          </w:divBdr>
        </w:div>
        <w:div w:id="141192877">
          <w:marLeft w:val="640"/>
          <w:marRight w:val="0"/>
          <w:marTop w:val="0"/>
          <w:marBottom w:val="0"/>
          <w:divBdr>
            <w:top w:val="none" w:sz="0" w:space="0" w:color="auto"/>
            <w:left w:val="none" w:sz="0" w:space="0" w:color="auto"/>
            <w:bottom w:val="none" w:sz="0" w:space="0" w:color="auto"/>
            <w:right w:val="none" w:sz="0" w:space="0" w:color="auto"/>
          </w:divBdr>
        </w:div>
        <w:div w:id="118884637">
          <w:marLeft w:val="640"/>
          <w:marRight w:val="0"/>
          <w:marTop w:val="0"/>
          <w:marBottom w:val="0"/>
          <w:divBdr>
            <w:top w:val="none" w:sz="0" w:space="0" w:color="auto"/>
            <w:left w:val="none" w:sz="0" w:space="0" w:color="auto"/>
            <w:bottom w:val="none" w:sz="0" w:space="0" w:color="auto"/>
            <w:right w:val="none" w:sz="0" w:space="0" w:color="auto"/>
          </w:divBdr>
        </w:div>
        <w:div w:id="971330583">
          <w:marLeft w:val="640"/>
          <w:marRight w:val="0"/>
          <w:marTop w:val="0"/>
          <w:marBottom w:val="0"/>
          <w:divBdr>
            <w:top w:val="none" w:sz="0" w:space="0" w:color="auto"/>
            <w:left w:val="none" w:sz="0" w:space="0" w:color="auto"/>
            <w:bottom w:val="none" w:sz="0" w:space="0" w:color="auto"/>
            <w:right w:val="none" w:sz="0" w:space="0" w:color="auto"/>
          </w:divBdr>
        </w:div>
        <w:div w:id="447555220">
          <w:marLeft w:val="640"/>
          <w:marRight w:val="0"/>
          <w:marTop w:val="0"/>
          <w:marBottom w:val="0"/>
          <w:divBdr>
            <w:top w:val="none" w:sz="0" w:space="0" w:color="auto"/>
            <w:left w:val="none" w:sz="0" w:space="0" w:color="auto"/>
            <w:bottom w:val="none" w:sz="0" w:space="0" w:color="auto"/>
            <w:right w:val="none" w:sz="0" w:space="0" w:color="auto"/>
          </w:divBdr>
        </w:div>
        <w:div w:id="183860272">
          <w:marLeft w:val="640"/>
          <w:marRight w:val="0"/>
          <w:marTop w:val="0"/>
          <w:marBottom w:val="0"/>
          <w:divBdr>
            <w:top w:val="none" w:sz="0" w:space="0" w:color="auto"/>
            <w:left w:val="none" w:sz="0" w:space="0" w:color="auto"/>
            <w:bottom w:val="none" w:sz="0" w:space="0" w:color="auto"/>
            <w:right w:val="none" w:sz="0" w:space="0" w:color="auto"/>
          </w:divBdr>
        </w:div>
        <w:div w:id="1480533146">
          <w:marLeft w:val="640"/>
          <w:marRight w:val="0"/>
          <w:marTop w:val="0"/>
          <w:marBottom w:val="0"/>
          <w:divBdr>
            <w:top w:val="none" w:sz="0" w:space="0" w:color="auto"/>
            <w:left w:val="none" w:sz="0" w:space="0" w:color="auto"/>
            <w:bottom w:val="none" w:sz="0" w:space="0" w:color="auto"/>
            <w:right w:val="none" w:sz="0" w:space="0" w:color="auto"/>
          </w:divBdr>
        </w:div>
        <w:div w:id="821508849">
          <w:marLeft w:val="640"/>
          <w:marRight w:val="0"/>
          <w:marTop w:val="0"/>
          <w:marBottom w:val="0"/>
          <w:divBdr>
            <w:top w:val="none" w:sz="0" w:space="0" w:color="auto"/>
            <w:left w:val="none" w:sz="0" w:space="0" w:color="auto"/>
            <w:bottom w:val="none" w:sz="0" w:space="0" w:color="auto"/>
            <w:right w:val="none" w:sz="0" w:space="0" w:color="auto"/>
          </w:divBdr>
        </w:div>
        <w:div w:id="1216500870">
          <w:marLeft w:val="640"/>
          <w:marRight w:val="0"/>
          <w:marTop w:val="0"/>
          <w:marBottom w:val="0"/>
          <w:divBdr>
            <w:top w:val="none" w:sz="0" w:space="0" w:color="auto"/>
            <w:left w:val="none" w:sz="0" w:space="0" w:color="auto"/>
            <w:bottom w:val="none" w:sz="0" w:space="0" w:color="auto"/>
            <w:right w:val="none" w:sz="0" w:space="0" w:color="auto"/>
          </w:divBdr>
        </w:div>
        <w:div w:id="1267153769">
          <w:marLeft w:val="640"/>
          <w:marRight w:val="0"/>
          <w:marTop w:val="0"/>
          <w:marBottom w:val="0"/>
          <w:divBdr>
            <w:top w:val="none" w:sz="0" w:space="0" w:color="auto"/>
            <w:left w:val="none" w:sz="0" w:space="0" w:color="auto"/>
            <w:bottom w:val="none" w:sz="0" w:space="0" w:color="auto"/>
            <w:right w:val="none" w:sz="0" w:space="0" w:color="auto"/>
          </w:divBdr>
        </w:div>
        <w:div w:id="1017148559">
          <w:marLeft w:val="640"/>
          <w:marRight w:val="0"/>
          <w:marTop w:val="0"/>
          <w:marBottom w:val="0"/>
          <w:divBdr>
            <w:top w:val="none" w:sz="0" w:space="0" w:color="auto"/>
            <w:left w:val="none" w:sz="0" w:space="0" w:color="auto"/>
            <w:bottom w:val="none" w:sz="0" w:space="0" w:color="auto"/>
            <w:right w:val="none" w:sz="0" w:space="0" w:color="auto"/>
          </w:divBdr>
        </w:div>
        <w:div w:id="1272517156">
          <w:marLeft w:val="640"/>
          <w:marRight w:val="0"/>
          <w:marTop w:val="0"/>
          <w:marBottom w:val="0"/>
          <w:divBdr>
            <w:top w:val="none" w:sz="0" w:space="0" w:color="auto"/>
            <w:left w:val="none" w:sz="0" w:space="0" w:color="auto"/>
            <w:bottom w:val="none" w:sz="0" w:space="0" w:color="auto"/>
            <w:right w:val="none" w:sz="0" w:space="0" w:color="auto"/>
          </w:divBdr>
        </w:div>
        <w:div w:id="1832986476">
          <w:marLeft w:val="640"/>
          <w:marRight w:val="0"/>
          <w:marTop w:val="0"/>
          <w:marBottom w:val="0"/>
          <w:divBdr>
            <w:top w:val="none" w:sz="0" w:space="0" w:color="auto"/>
            <w:left w:val="none" w:sz="0" w:space="0" w:color="auto"/>
            <w:bottom w:val="none" w:sz="0" w:space="0" w:color="auto"/>
            <w:right w:val="none" w:sz="0" w:space="0" w:color="auto"/>
          </w:divBdr>
        </w:div>
        <w:div w:id="1566528026">
          <w:marLeft w:val="640"/>
          <w:marRight w:val="0"/>
          <w:marTop w:val="0"/>
          <w:marBottom w:val="0"/>
          <w:divBdr>
            <w:top w:val="none" w:sz="0" w:space="0" w:color="auto"/>
            <w:left w:val="none" w:sz="0" w:space="0" w:color="auto"/>
            <w:bottom w:val="none" w:sz="0" w:space="0" w:color="auto"/>
            <w:right w:val="none" w:sz="0" w:space="0" w:color="auto"/>
          </w:divBdr>
        </w:div>
        <w:div w:id="1363940918">
          <w:marLeft w:val="640"/>
          <w:marRight w:val="0"/>
          <w:marTop w:val="0"/>
          <w:marBottom w:val="0"/>
          <w:divBdr>
            <w:top w:val="none" w:sz="0" w:space="0" w:color="auto"/>
            <w:left w:val="none" w:sz="0" w:space="0" w:color="auto"/>
            <w:bottom w:val="none" w:sz="0" w:space="0" w:color="auto"/>
            <w:right w:val="none" w:sz="0" w:space="0" w:color="auto"/>
          </w:divBdr>
        </w:div>
        <w:div w:id="649595891">
          <w:marLeft w:val="640"/>
          <w:marRight w:val="0"/>
          <w:marTop w:val="0"/>
          <w:marBottom w:val="0"/>
          <w:divBdr>
            <w:top w:val="none" w:sz="0" w:space="0" w:color="auto"/>
            <w:left w:val="none" w:sz="0" w:space="0" w:color="auto"/>
            <w:bottom w:val="none" w:sz="0" w:space="0" w:color="auto"/>
            <w:right w:val="none" w:sz="0" w:space="0" w:color="auto"/>
          </w:divBdr>
        </w:div>
        <w:div w:id="2059549707">
          <w:marLeft w:val="640"/>
          <w:marRight w:val="0"/>
          <w:marTop w:val="0"/>
          <w:marBottom w:val="0"/>
          <w:divBdr>
            <w:top w:val="none" w:sz="0" w:space="0" w:color="auto"/>
            <w:left w:val="none" w:sz="0" w:space="0" w:color="auto"/>
            <w:bottom w:val="none" w:sz="0" w:space="0" w:color="auto"/>
            <w:right w:val="none" w:sz="0" w:space="0" w:color="auto"/>
          </w:divBdr>
        </w:div>
        <w:div w:id="269552067">
          <w:marLeft w:val="640"/>
          <w:marRight w:val="0"/>
          <w:marTop w:val="0"/>
          <w:marBottom w:val="0"/>
          <w:divBdr>
            <w:top w:val="none" w:sz="0" w:space="0" w:color="auto"/>
            <w:left w:val="none" w:sz="0" w:space="0" w:color="auto"/>
            <w:bottom w:val="none" w:sz="0" w:space="0" w:color="auto"/>
            <w:right w:val="none" w:sz="0" w:space="0" w:color="auto"/>
          </w:divBdr>
        </w:div>
        <w:div w:id="150289961">
          <w:marLeft w:val="640"/>
          <w:marRight w:val="0"/>
          <w:marTop w:val="0"/>
          <w:marBottom w:val="0"/>
          <w:divBdr>
            <w:top w:val="none" w:sz="0" w:space="0" w:color="auto"/>
            <w:left w:val="none" w:sz="0" w:space="0" w:color="auto"/>
            <w:bottom w:val="none" w:sz="0" w:space="0" w:color="auto"/>
            <w:right w:val="none" w:sz="0" w:space="0" w:color="auto"/>
          </w:divBdr>
        </w:div>
        <w:div w:id="860123575">
          <w:marLeft w:val="640"/>
          <w:marRight w:val="0"/>
          <w:marTop w:val="0"/>
          <w:marBottom w:val="0"/>
          <w:divBdr>
            <w:top w:val="none" w:sz="0" w:space="0" w:color="auto"/>
            <w:left w:val="none" w:sz="0" w:space="0" w:color="auto"/>
            <w:bottom w:val="none" w:sz="0" w:space="0" w:color="auto"/>
            <w:right w:val="none" w:sz="0" w:space="0" w:color="auto"/>
          </w:divBdr>
        </w:div>
        <w:div w:id="620842876">
          <w:marLeft w:val="640"/>
          <w:marRight w:val="0"/>
          <w:marTop w:val="0"/>
          <w:marBottom w:val="0"/>
          <w:divBdr>
            <w:top w:val="none" w:sz="0" w:space="0" w:color="auto"/>
            <w:left w:val="none" w:sz="0" w:space="0" w:color="auto"/>
            <w:bottom w:val="none" w:sz="0" w:space="0" w:color="auto"/>
            <w:right w:val="none" w:sz="0" w:space="0" w:color="auto"/>
          </w:divBdr>
        </w:div>
        <w:div w:id="1683779597">
          <w:marLeft w:val="640"/>
          <w:marRight w:val="0"/>
          <w:marTop w:val="0"/>
          <w:marBottom w:val="0"/>
          <w:divBdr>
            <w:top w:val="none" w:sz="0" w:space="0" w:color="auto"/>
            <w:left w:val="none" w:sz="0" w:space="0" w:color="auto"/>
            <w:bottom w:val="none" w:sz="0" w:space="0" w:color="auto"/>
            <w:right w:val="none" w:sz="0" w:space="0" w:color="auto"/>
          </w:divBdr>
        </w:div>
        <w:div w:id="1030491362">
          <w:marLeft w:val="640"/>
          <w:marRight w:val="0"/>
          <w:marTop w:val="0"/>
          <w:marBottom w:val="0"/>
          <w:divBdr>
            <w:top w:val="none" w:sz="0" w:space="0" w:color="auto"/>
            <w:left w:val="none" w:sz="0" w:space="0" w:color="auto"/>
            <w:bottom w:val="none" w:sz="0" w:space="0" w:color="auto"/>
            <w:right w:val="none" w:sz="0" w:space="0" w:color="auto"/>
          </w:divBdr>
        </w:div>
        <w:div w:id="1381172939">
          <w:marLeft w:val="640"/>
          <w:marRight w:val="0"/>
          <w:marTop w:val="0"/>
          <w:marBottom w:val="0"/>
          <w:divBdr>
            <w:top w:val="none" w:sz="0" w:space="0" w:color="auto"/>
            <w:left w:val="none" w:sz="0" w:space="0" w:color="auto"/>
            <w:bottom w:val="none" w:sz="0" w:space="0" w:color="auto"/>
            <w:right w:val="none" w:sz="0" w:space="0" w:color="auto"/>
          </w:divBdr>
        </w:div>
        <w:div w:id="646009066">
          <w:marLeft w:val="640"/>
          <w:marRight w:val="0"/>
          <w:marTop w:val="0"/>
          <w:marBottom w:val="0"/>
          <w:divBdr>
            <w:top w:val="none" w:sz="0" w:space="0" w:color="auto"/>
            <w:left w:val="none" w:sz="0" w:space="0" w:color="auto"/>
            <w:bottom w:val="none" w:sz="0" w:space="0" w:color="auto"/>
            <w:right w:val="none" w:sz="0" w:space="0" w:color="auto"/>
          </w:divBdr>
        </w:div>
        <w:div w:id="1361468736">
          <w:marLeft w:val="640"/>
          <w:marRight w:val="0"/>
          <w:marTop w:val="0"/>
          <w:marBottom w:val="0"/>
          <w:divBdr>
            <w:top w:val="none" w:sz="0" w:space="0" w:color="auto"/>
            <w:left w:val="none" w:sz="0" w:space="0" w:color="auto"/>
            <w:bottom w:val="none" w:sz="0" w:space="0" w:color="auto"/>
            <w:right w:val="none" w:sz="0" w:space="0" w:color="auto"/>
          </w:divBdr>
        </w:div>
        <w:div w:id="240798459">
          <w:marLeft w:val="640"/>
          <w:marRight w:val="0"/>
          <w:marTop w:val="0"/>
          <w:marBottom w:val="0"/>
          <w:divBdr>
            <w:top w:val="none" w:sz="0" w:space="0" w:color="auto"/>
            <w:left w:val="none" w:sz="0" w:space="0" w:color="auto"/>
            <w:bottom w:val="none" w:sz="0" w:space="0" w:color="auto"/>
            <w:right w:val="none" w:sz="0" w:space="0" w:color="auto"/>
          </w:divBdr>
        </w:div>
        <w:div w:id="757672132">
          <w:marLeft w:val="640"/>
          <w:marRight w:val="0"/>
          <w:marTop w:val="0"/>
          <w:marBottom w:val="0"/>
          <w:divBdr>
            <w:top w:val="none" w:sz="0" w:space="0" w:color="auto"/>
            <w:left w:val="none" w:sz="0" w:space="0" w:color="auto"/>
            <w:bottom w:val="none" w:sz="0" w:space="0" w:color="auto"/>
            <w:right w:val="none" w:sz="0" w:space="0" w:color="auto"/>
          </w:divBdr>
        </w:div>
        <w:div w:id="88477125">
          <w:marLeft w:val="640"/>
          <w:marRight w:val="0"/>
          <w:marTop w:val="0"/>
          <w:marBottom w:val="0"/>
          <w:divBdr>
            <w:top w:val="none" w:sz="0" w:space="0" w:color="auto"/>
            <w:left w:val="none" w:sz="0" w:space="0" w:color="auto"/>
            <w:bottom w:val="none" w:sz="0" w:space="0" w:color="auto"/>
            <w:right w:val="none" w:sz="0" w:space="0" w:color="auto"/>
          </w:divBdr>
        </w:div>
        <w:div w:id="963464829">
          <w:marLeft w:val="640"/>
          <w:marRight w:val="0"/>
          <w:marTop w:val="0"/>
          <w:marBottom w:val="0"/>
          <w:divBdr>
            <w:top w:val="none" w:sz="0" w:space="0" w:color="auto"/>
            <w:left w:val="none" w:sz="0" w:space="0" w:color="auto"/>
            <w:bottom w:val="none" w:sz="0" w:space="0" w:color="auto"/>
            <w:right w:val="none" w:sz="0" w:space="0" w:color="auto"/>
          </w:divBdr>
        </w:div>
        <w:div w:id="635141971">
          <w:marLeft w:val="640"/>
          <w:marRight w:val="0"/>
          <w:marTop w:val="0"/>
          <w:marBottom w:val="0"/>
          <w:divBdr>
            <w:top w:val="none" w:sz="0" w:space="0" w:color="auto"/>
            <w:left w:val="none" w:sz="0" w:space="0" w:color="auto"/>
            <w:bottom w:val="none" w:sz="0" w:space="0" w:color="auto"/>
            <w:right w:val="none" w:sz="0" w:space="0" w:color="auto"/>
          </w:divBdr>
        </w:div>
        <w:div w:id="1179932580">
          <w:marLeft w:val="640"/>
          <w:marRight w:val="0"/>
          <w:marTop w:val="0"/>
          <w:marBottom w:val="0"/>
          <w:divBdr>
            <w:top w:val="none" w:sz="0" w:space="0" w:color="auto"/>
            <w:left w:val="none" w:sz="0" w:space="0" w:color="auto"/>
            <w:bottom w:val="none" w:sz="0" w:space="0" w:color="auto"/>
            <w:right w:val="none" w:sz="0" w:space="0" w:color="auto"/>
          </w:divBdr>
        </w:div>
        <w:div w:id="1214973347">
          <w:marLeft w:val="640"/>
          <w:marRight w:val="0"/>
          <w:marTop w:val="0"/>
          <w:marBottom w:val="0"/>
          <w:divBdr>
            <w:top w:val="none" w:sz="0" w:space="0" w:color="auto"/>
            <w:left w:val="none" w:sz="0" w:space="0" w:color="auto"/>
            <w:bottom w:val="none" w:sz="0" w:space="0" w:color="auto"/>
            <w:right w:val="none" w:sz="0" w:space="0" w:color="auto"/>
          </w:divBdr>
        </w:div>
        <w:div w:id="982656902">
          <w:marLeft w:val="640"/>
          <w:marRight w:val="0"/>
          <w:marTop w:val="0"/>
          <w:marBottom w:val="0"/>
          <w:divBdr>
            <w:top w:val="none" w:sz="0" w:space="0" w:color="auto"/>
            <w:left w:val="none" w:sz="0" w:space="0" w:color="auto"/>
            <w:bottom w:val="none" w:sz="0" w:space="0" w:color="auto"/>
            <w:right w:val="none" w:sz="0" w:space="0" w:color="auto"/>
          </w:divBdr>
        </w:div>
        <w:div w:id="1660381732">
          <w:marLeft w:val="640"/>
          <w:marRight w:val="0"/>
          <w:marTop w:val="0"/>
          <w:marBottom w:val="0"/>
          <w:divBdr>
            <w:top w:val="none" w:sz="0" w:space="0" w:color="auto"/>
            <w:left w:val="none" w:sz="0" w:space="0" w:color="auto"/>
            <w:bottom w:val="none" w:sz="0" w:space="0" w:color="auto"/>
            <w:right w:val="none" w:sz="0" w:space="0" w:color="auto"/>
          </w:divBdr>
        </w:div>
        <w:div w:id="434057923">
          <w:marLeft w:val="640"/>
          <w:marRight w:val="0"/>
          <w:marTop w:val="0"/>
          <w:marBottom w:val="0"/>
          <w:divBdr>
            <w:top w:val="none" w:sz="0" w:space="0" w:color="auto"/>
            <w:left w:val="none" w:sz="0" w:space="0" w:color="auto"/>
            <w:bottom w:val="none" w:sz="0" w:space="0" w:color="auto"/>
            <w:right w:val="none" w:sz="0" w:space="0" w:color="auto"/>
          </w:divBdr>
        </w:div>
        <w:div w:id="171846597">
          <w:marLeft w:val="640"/>
          <w:marRight w:val="0"/>
          <w:marTop w:val="0"/>
          <w:marBottom w:val="0"/>
          <w:divBdr>
            <w:top w:val="none" w:sz="0" w:space="0" w:color="auto"/>
            <w:left w:val="none" w:sz="0" w:space="0" w:color="auto"/>
            <w:bottom w:val="none" w:sz="0" w:space="0" w:color="auto"/>
            <w:right w:val="none" w:sz="0" w:space="0" w:color="auto"/>
          </w:divBdr>
        </w:div>
        <w:div w:id="753431444">
          <w:marLeft w:val="640"/>
          <w:marRight w:val="0"/>
          <w:marTop w:val="0"/>
          <w:marBottom w:val="0"/>
          <w:divBdr>
            <w:top w:val="none" w:sz="0" w:space="0" w:color="auto"/>
            <w:left w:val="none" w:sz="0" w:space="0" w:color="auto"/>
            <w:bottom w:val="none" w:sz="0" w:space="0" w:color="auto"/>
            <w:right w:val="none" w:sz="0" w:space="0" w:color="auto"/>
          </w:divBdr>
        </w:div>
        <w:div w:id="210385062">
          <w:marLeft w:val="640"/>
          <w:marRight w:val="0"/>
          <w:marTop w:val="0"/>
          <w:marBottom w:val="0"/>
          <w:divBdr>
            <w:top w:val="none" w:sz="0" w:space="0" w:color="auto"/>
            <w:left w:val="none" w:sz="0" w:space="0" w:color="auto"/>
            <w:bottom w:val="none" w:sz="0" w:space="0" w:color="auto"/>
            <w:right w:val="none" w:sz="0" w:space="0" w:color="auto"/>
          </w:divBdr>
        </w:div>
        <w:div w:id="1059136842">
          <w:marLeft w:val="640"/>
          <w:marRight w:val="0"/>
          <w:marTop w:val="0"/>
          <w:marBottom w:val="0"/>
          <w:divBdr>
            <w:top w:val="none" w:sz="0" w:space="0" w:color="auto"/>
            <w:left w:val="none" w:sz="0" w:space="0" w:color="auto"/>
            <w:bottom w:val="none" w:sz="0" w:space="0" w:color="auto"/>
            <w:right w:val="none" w:sz="0" w:space="0" w:color="auto"/>
          </w:divBdr>
        </w:div>
        <w:div w:id="293800791">
          <w:marLeft w:val="640"/>
          <w:marRight w:val="0"/>
          <w:marTop w:val="0"/>
          <w:marBottom w:val="0"/>
          <w:divBdr>
            <w:top w:val="none" w:sz="0" w:space="0" w:color="auto"/>
            <w:left w:val="none" w:sz="0" w:space="0" w:color="auto"/>
            <w:bottom w:val="none" w:sz="0" w:space="0" w:color="auto"/>
            <w:right w:val="none" w:sz="0" w:space="0" w:color="auto"/>
          </w:divBdr>
        </w:div>
        <w:div w:id="540823568">
          <w:marLeft w:val="640"/>
          <w:marRight w:val="0"/>
          <w:marTop w:val="0"/>
          <w:marBottom w:val="0"/>
          <w:divBdr>
            <w:top w:val="none" w:sz="0" w:space="0" w:color="auto"/>
            <w:left w:val="none" w:sz="0" w:space="0" w:color="auto"/>
            <w:bottom w:val="none" w:sz="0" w:space="0" w:color="auto"/>
            <w:right w:val="none" w:sz="0" w:space="0" w:color="auto"/>
          </w:divBdr>
        </w:div>
        <w:div w:id="389305252">
          <w:marLeft w:val="640"/>
          <w:marRight w:val="0"/>
          <w:marTop w:val="0"/>
          <w:marBottom w:val="0"/>
          <w:divBdr>
            <w:top w:val="none" w:sz="0" w:space="0" w:color="auto"/>
            <w:left w:val="none" w:sz="0" w:space="0" w:color="auto"/>
            <w:bottom w:val="none" w:sz="0" w:space="0" w:color="auto"/>
            <w:right w:val="none" w:sz="0" w:space="0" w:color="auto"/>
          </w:divBdr>
        </w:div>
        <w:div w:id="1344013417">
          <w:marLeft w:val="640"/>
          <w:marRight w:val="0"/>
          <w:marTop w:val="0"/>
          <w:marBottom w:val="0"/>
          <w:divBdr>
            <w:top w:val="none" w:sz="0" w:space="0" w:color="auto"/>
            <w:left w:val="none" w:sz="0" w:space="0" w:color="auto"/>
            <w:bottom w:val="none" w:sz="0" w:space="0" w:color="auto"/>
            <w:right w:val="none" w:sz="0" w:space="0" w:color="auto"/>
          </w:divBdr>
        </w:div>
        <w:div w:id="1136798557">
          <w:marLeft w:val="640"/>
          <w:marRight w:val="0"/>
          <w:marTop w:val="0"/>
          <w:marBottom w:val="0"/>
          <w:divBdr>
            <w:top w:val="none" w:sz="0" w:space="0" w:color="auto"/>
            <w:left w:val="none" w:sz="0" w:space="0" w:color="auto"/>
            <w:bottom w:val="none" w:sz="0" w:space="0" w:color="auto"/>
            <w:right w:val="none" w:sz="0" w:space="0" w:color="auto"/>
          </w:divBdr>
        </w:div>
        <w:div w:id="724836357">
          <w:marLeft w:val="640"/>
          <w:marRight w:val="0"/>
          <w:marTop w:val="0"/>
          <w:marBottom w:val="0"/>
          <w:divBdr>
            <w:top w:val="none" w:sz="0" w:space="0" w:color="auto"/>
            <w:left w:val="none" w:sz="0" w:space="0" w:color="auto"/>
            <w:bottom w:val="none" w:sz="0" w:space="0" w:color="auto"/>
            <w:right w:val="none" w:sz="0" w:space="0" w:color="auto"/>
          </w:divBdr>
        </w:div>
        <w:div w:id="2010601220">
          <w:marLeft w:val="640"/>
          <w:marRight w:val="0"/>
          <w:marTop w:val="0"/>
          <w:marBottom w:val="0"/>
          <w:divBdr>
            <w:top w:val="none" w:sz="0" w:space="0" w:color="auto"/>
            <w:left w:val="none" w:sz="0" w:space="0" w:color="auto"/>
            <w:bottom w:val="none" w:sz="0" w:space="0" w:color="auto"/>
            <w:right w:val="none" w:sz="0" w:space="0" w:color="auto"/>
          </w:divBdr>
        </w:div>
        <w:div w:id="1563057827">
          <w:marLeft w:val="640"/>
          <w:marRight w:val="0"/>
          <w:marTop w:val="0"/>
          <w:marBottom w:val="0"/>
          <w:divBdr>
            <w:top w:val="none" w:sz="0" w:space="0" w:color="auto"/>
            <w:left w:val="none" w:sz="0" w:space="0" w:color="auto"/>
            <w:bottom w:val="none" w:sz="0" w:space="0" w:color="auto"/>
            <w:right w:val="none" w:sz="0" w:space="0" w:color="auto"/>
          </w:divBdr>
        </w:div>
        <w:div w:id="1212421790">
          <w:marLeft w:val="640"/>
          <w:marRight w:val="0"/>
          <w:marTop w:val="0"/>
          <w:marBottom w:val="0"/>
          <w:divBdr>
            <w:top w:val="none" w:sz="0" w:space="0" w:color="auto"/>
            <w:left w:val="none" w:sz="0" w:space="0" w:color="auto"/>
            <w:bottom w:val="none" w:sz="0" w:space="0" w:color="auto"/>
            <w:right w:val="none" w:sz="0" w:space="0" w:color="auto"/>
          </w:divBdr>
        </w:div>
        <w:div w:id="904879046">
          <w:marLeft w:val="640"/>
          <w:marRight w:val="0"/>
          <w:marTop w:val="0"/>
          <w:marBottom w:val="0"/>
          <w:divBdr>
            <w:top w:val="none" w:sz="0" w:space="0" w:color="auto"/>
            <w:left w:val="none" w:sz="0" w:space="0" w:color="auto"/>
            <w:bottom w:val="none" w:sz="0" w:space="0" w:color="auto"/>
            <w:right w:val="none" w:sz="0" w:space="0" w:color="auto"/>
          </w:divBdr>
        </w:div>
        <w:div w:id="1771317636">
          <w:marLeft w:val="640"/>
          <w:marRight w:val="0"/>
          <w:marTop w:val="0"/>
          <w:marBottom w:val="0"/>
          <w:divBdr>
            <w:top w:val="none" w:sz="0" w:space="0" w:color="auto"/>
            <w:left w:val="none" w:sz="0" w:space="0" w:color="auto"/>
            <w:bottom w:val="none" w:sz="0" w:space="0" w:color="auto"/>
            <w:right w:val="none" w:sz="0" w:space="0" w:color="auto"/>
          </w:divBdr>
        </w:div>
        <w:div w:id="1116875191">
          <w:marLeft w:val="640"/>
          <w:marRight w:val="0"/>
          <w:marTop w:val="0"/>
          <w:marBottom w:val="0"/>
          <w:divBdr>
            <w:top w:val="none" w:sz="0" w:space="0" w:color="auto"/>
            <w:left w:val="none" w:sz="0" w:space="0" w:color="auto"/>
            <w:bottom w:val="none" w:sz="0" w:space="0" w:color="auto"/>
            <w:right w:val="none" w:sz="0" w:space="0" w:color="auto"/>
          </w:divBdr>
        </w:div>
        <w:div w:id="1917127457">
          <w:marLeft w:val="640"/>
          <w:marRight w:val="0"/>
          <w:marTop w:val="0"/>
          <w:marBottom w:val="0"/>
          <w:divBdr>
            <w:top w:val="none" w:sz="0" w:space="0" w:color="auto"/>
            <w:left w:val="none" w:sz="0" w:space="0" w:color="auto"/>
            <w:bottom w:val="none" w:sz="0" w:space="0" w:color="auto"/>
            <w:right w:val="none" w:sz="0" w:space="0" w:color="auto"/>
          </w:divBdr>
        </w:div>
        <w:div w:id="47992521">
          <w:marLeft w:val="640"/>
          <w:marRight w:val="0"/>
          <w:marTop w:val="0"/>
          <w:marBottom w:val="0"/>
          <w:divBdr>
            <w:top w:val="none" w:sz="0" w:space="0" w:color="auto"/>
            <w:left w:val="none" w:sz="0" w:space="0" w:color="auto"/>
            <w:bottom w:val="none" w:sz="0" w:space="0" w:color="auto"/>
            <w:right w:val="none" w:sz="0" w:space="0" w:color="auto"/>
          </w:divBdr>
        </w:div>
        <w:div w:id="347025989">
          <w:marLeft w:val="640"/>
          <w:marRight w:val="0"/>
          <w:marTop w:val="0"/>
          <w:marBottom w:val="0"/>
          <w:divBdr>
            <w:top w:val="none" w:sz="0" w:space="0" w:color="auto"/>
            <w:left w:val="none" w:sz="0" w:space="0" w:color="auto"/>
            <w:bottom w:val="none" w:sz="0" w:space="0" w:color="auto"/>
            <w:right w:val="none" w:sz="0" w:space="0" w:color="auto"/>
          </w:divBdr>
        </w:div>
        <w:div w:id="84621335">
          <w:marLeft w:val="640"/>
          <w:marRight w:val="0"/>
          <w:marTop w:val="0"/>
          <w:marBottom w:val="0"/>
          <w:divBdr>
            <w:top w:val="none" w:sz="0" w:space="0" w:color="auto"/>
            <w:left w:val="none" w:sz="0" w:space="0" w:color="auto"/>
            <w:bottom w:val="none" w:sz="0" w:space="0" w:color="auto"/>
            <w:right w:val="none" w:sz="0" w:space="0" w:color="auto"/>
          </w:divBdr>
        </w:div>
        <w:div w:id="1367025729">
          <w:marLeft w:val="640"/>
          <w:marRight w:val="0"/>
          <w:marTop w:val="0"/>
          <w:marBottom w:val="0"/>
          <w:divBdr>
            <w:top w:val="none" w:sz="0" w:space="0" w:color="auto"/>
            <w:left w:val="none" w:sz="0" w:space="0" w:color="auto"/>
            <w:bottom w:val="none" w:sz="0" w:space="0" w:color="auto"/>
            <w:right w:val="none" w:sz="0" w:space="0" w:color="auto"/>
          </w:divBdr>
        </w:div>
        <w:div w:id="1339887581">
          <w:marLeft w:val="640"/>
          <w:marRight w:val="0"/>
          <w:marTop w:val="0"/>
          <w:marBottom w:val="0"/>
          <w:divBdr>
            <w:top w:val="none" w:sz="0" w:space="0" w:color="auto"/>
            <w:left w:val="none" w:sz="0" w:space="0" w:color="auto"/>
            <w:bottom w:val="none" w:sz="0" w:space="0" w:color="auto"/>
            <w:right w:val="none" w:sz="0" w:space="0" w:color="auto"/>
          </w:divBdr>
        </w:div>
        <w:div w:id="193814066">
          <w:marLeft w:val="640"/>
          <w:marRight w:val="0"/>
          <w:marTop w:val="0"/>
          <w:marBottom w:val="0"/>
          <w:divBdr>
            <w:top w:val="none" w:sz="0" w:space="0" w:color="auto"/>
            <w:left w:val="none" w:sz="0" w:space="0" w:color="auto"/>
            <w:bottom w:val="none" w:sz="0" w:space="0" w:color="auto"/>
            <w:right w:val="none" w:sz="0" w:space="0" w:color="auto"/>
          </w:divBdr>
        </w:div>
        <w:div w:id="1507985475">
          <w:marLeft w:val="640"/>
          <w:marRight w:val="0"/>
          <w:marTop w:val="0"/>
          <w:marBottom w:val="0"/>
          <w:divBdr>
            <w:top w:val="none" w:sz="0" w:space="0" w:color="auto"/>
            <w:left w:val="none" w:sz="0" w:space="0" w:color="auto"/>
            <w:bottom w:val="none" w:sz="0" w:space="0" w:color="auto"/>
            <w:right w:val="none" w:sz="0" w:space="0" w:color="auto"/>
          </w:divBdr>
        </w:div>
        <w:div w:id="65999240">
          <w:marLeft w:val="640"/>
          <w:marRight w:val="0"/>
          <w:marTop w:val="0"/>
          <w:marBottom w:val="0"/>
          <w:divBdr>
            <w:top w:val="none" w:sz="0" w:space="0" w:color="auto"/>
            <w:left w:val="none" w:sz="0" w:space="0" w:color="auto"/>
            <w:bottom w:val="none" w:sz="0" w:space="0" w:color="auto"/>
            <w:right w:val="none" w:sz="0" w:space="0" w:color="auto"/>
          </w:divBdr>
        </w:div>
        <w:div w:id="350033035">
          <w:marLeft w:val="640"/>
          <w:marRight w:val="0"/>
          <w:marTop w:val="0"/>
          <w:marBottom w:val="0"/>
          <w:divBdr>
            <w:top w:val="none" w:sz="0" w:space="0" w:color="auto"/>
            <w:left w:val="none" w:sz="0" w:space="0" w:color="auto"/>
            <w:bottom w:val="none" w:sz="0" w:space="0" w:color="auto"/>
            <w:right w:val="none" w:sz="0" w:space="0" w:color="auto"/>
          </w:divBdr>
        </w:div>
        <w:div w:id="633831097">
          <w:marLeft w:val="640"/>
          <w:marRight w:val="0"/>
          <w:marTop w:val="0"/>
          <w:marBottom w:val="0"/>
          <w:divBdr>
            <w:top w:val="none" w:sz="0" w:space="0" w:color="auto"/>
            <w:left w:val="none" w:sz="0" w:space="0" w:color="auto"/>
            <w:bottom w:val="none" w:sz="0" w:space="0" w:color="auto"/>
            <w:right w:val="none" w:sz="0" w:space="0" w:color="auto"/>
          </w:divBdr>
        </w:div>
        <w:div w:id="868183838">
          <w:marLeft w:val="640"/>
          <w:marRight w:val="0"/>
          <w:marTop w:val="0"/>
          <w:marBottom w:val="0"/>
          <w:divBdr>
            <w:top w:val="none" w:sz="0" w:space="0" w:color="auto"/>
            <w:left w:val="none" w:sz="0" w:space="0" w:color="auto"/>
            <w:bottom w:val="none" w:sz="0" w:space="0" w:color="auto"/>
            <w:right w:val="none" w:sz="0" w:space="0" w:color="auto"/>
          </w:divBdr>
        </w:div>
        <w:div w:id="43220245">
          <w:marLeft w:val="640"/>
          <w:marRight w:val="0"/>
          <w:marTop w:val="0"/>
          <w:marBottom w:val="0"/>
          <w:divBdr>
            <w:top w:val="none" w:sz="0" w:space="0" w:color="auto"/>
            <w:left w:val="none" w:sz="0" w:space="0" w:color="auto"/>
            <w:bottom w:val="none" w:sz="0" w:space="0" w:color="auto"/>
            <w:right w:val="none" w:sz="0" w:space="0" w:color="auto"/>
          </w:divBdr>
        </w:div>
        <w:div w:id="1124227827">
          <w:marLeft w:val="640"/>
          <w:marRight w:val="0"/>
          <w:marTop w:val="0"/>
          <w:marBottom w:val="0"/>
          <w:divBdr>
            <w:top w:val="none" w:sz="0" w:space="0" w:color="auto"/>
            <w:left w:val="none" w:sz="0" w:space="0" w:color="auto"/>
            <w:bottom w:val="none" w:sz="0" w:space="0" w:color="auto"/>
            <w:right w:val="none" w:sz="0" w:space="0" w:color="auto"/>
          </w:divBdr>
        </w:div>
        <w:div w:id="1061368742">
          <w:marLeft w:val="640"/>
          <w:marRight w:val="0"/>
          <w:marTop w:val="0"/>
          <w:marBottom w:val="0"/>
          <w:divBdr>
            <w:top w:val="none" w:sz="0" w:space="0" w:color="auto"/>
            <w:left w:val="none" w:sz="0" w:space="0" w:color="auto"/>
            <w:bottom w:val="none" w:sz="0" w:space="0" w:color="auto"/>
            <w:right w:val="none" w:sz="0" w:space="0" w:color="auto"/>
          </w:divBdr>
        </w:div>
        <w:div w:id="1894268506">
          <w:marLeft w:val="640"/>
          <w:marRight w:val="0"/>
          <w:marTop w:val="0"/>
          <w:marBottom w:val="0"/>
          <w:divBdr>
            <w:top w:val="none" w:sz="0" w:space="0" w:color="auto"/>
            <w:left w:val="none" w:sz="0" w:space="0" w:color="auto"/>
            <w:bottom w:val="none" w:sz="0" w:space="0" w:color="auto"/>
            <w:right w:val="none" w:sz="0" w:space="0" w:color="auto"/>
          </w:divBdr>
        </w:div>
        <w:div w:id="269629286">
          <w:marLeft w:val="640"/>
          <w:marRight w:val="0"/>
          <w:marTop w:val="0"/>
          <w:marBottom w:val="0"/>
          <w:divBdr>
            <w:top w:val="none" w:sz="0" w:space="0" w:color="auto"/>
            <w:left w:val="none" w:sz="0" w:space="0" w:color="auto"/>
            <w:bottom w:val="none" w:sz="0" w:space="0" w:color="auto"/>
            <w:right w:val="none" w:sz="0" w:space="0" w:color="auto"/>
          </w:divBdr>
        </w:div>
        <w:div w:id="1538471484">
          <w:marLeft w:val="640"/>
          <w:marRight w:val="0"/>
          <w:marTop w:val="0"/>
          <w:marBottom w:val="0"/>
          <w:divBdr>
            <w:top w:val="none" w:sz="0" w:space="0" w:color="auto"/>
            <w:left w:val="none" w:sz="0" w:space="0" w:color="auto"/>
            <w:bottom w:val="none" w:sz="0" w:space="0" w:color="auto"/>
            <w:right w:val="none" w:sz="0" w:space="0" w:color="auto"/>
          </w:divBdr>
        </w:div>
        <w:div w:id="668751579">
          <w:marLeft w:val="640"/>
          <w:marRight w:val="0"/>
          <w:marTop w:val="0"/>
          <w:marBottom w:val="0"/>
          <w:divBdr>
            <w:top w:val="none" w:sz="0" w:space="0" w:color="auto"/>
            <w:left w:val="none" w:sz="0" w:space="0" w:color="auto"/>
            <w:bottom w:val="none" w:sz="0" w:space="0" w:color="auto"/>
            <w:right w:val="none" w:sz="0" w:space="0" w:color="auto"/>
          </w:divBdr>
        </w:div>
        <w:div w:id="964121711">
          <w:marLeft w:val="640"/>
          <w:marRight w:val="0"/>
          <w:marTop w:val="0"/>
          <w:marBottom w:val="0"/>
          <w:divBdr>
            <w:top w:val="none" w:sz="0" w:space="0" w:color="auto"/>
            <w:left w:val="none" w:sz="0" w:space="0" w:color="auto"/>
            <w:bottom w:val="none" w:sz="0" w:space="0" w:color="auto"/>
            <w:right w:val="none" w:sz="0" w:space="0" w:color="auto"/>
          </w:divBdr>
        </w:div>
        <w:div w:id="1438671284">
          <w:marLeft w:val="640"/>
          <w:marRight w:val="0"/>
          <w:marTop w:val="0"/>
          <w:marBottom w:val="0"/>
          <w:divBdr>
            <w:top w:val="none" w:sz="0" w:space="0" w:color="auto"/>
            <w:left w:val="none" w:sz="0" w:space="0" w:color="auto"/>
            <w:bottom w:val="none" w:sz="0" w:space="0" w:color="auto"/>
            <w:right w:val="none" w:sz="0" w:space="0" w:color="auto"/>
          </w:divBdr>
        </w:div>
        <w:div w:id="1453792041">
          <w:marLeft w:val="640"/>
          <w:marRight w:val="0"/>
          <w:marTop w:val="0"/>
          <w:marBottom w:val="0"/>
          <w:divBdr>
            <w:top w:val="none" w:sz="0" w:space="0" w:color="auto"/>
            <w:left w:val="none" w:sz="0" w:space="0" w:color="auto"/>
            <w:bottom w:val="none" w:sz="0" w:space="0" w:color="auto"/>
            <w:right w:val="none" w:sz="0" w:space="0" w:color="auto"/>
          </w:divBdr>
        </w:div>
        <w:div w:id="225529842">
          <w:marLeft w:val="640"/>
          <w:marRight w:val="0"/>
          <w:marTop w:val="0"/>
          <w:marBottom w:val="0"/>
          <w:divBdr>
            <w:top w:val="none" w:sz="0" w:space="0" w:color="auto"/>
            <w:left w:val="none" w:sz="0" w:space="0" w:color="auto"/>
            <w:bottom w:val="none" w:sz="0" w:space="0" w:color="auto"/>
            <w:right w:val="none" w:sz="0" w:space="0" w:color="auto"/>
          </w:divBdr>
        </w:div>
        <w:div w:id="168299924">
          <w:marLeft w:val="640"/>
          <w:marRight w:val="0"/>
          <w:marTop w:val="0"/>
          <w:marBottom w:val="0"/>
          <w:divBdr>
            <w:top w:val="none" w:sz="0" w:space="0" w:color="auto"/>
            <w:left w:val="none" w:sz="0" w:space="0" w:color="auto"/>
            <w:bottom w:val="none" w:sz="0" w:space="0" w:color="auto"/>
            <w:right w:val="none" w:sz="0" w:space="0" w:color="auto"/>
          </w:divBdr>
        </w:div>
        <w:div w:id="2034185901">
          <w:marLeft w:val="640"/>
          <w:marRight w:val="0"/>
          <w:marTop w:val="0"/>
          <w:marBottom w:val="0"/>
          <w:divBdr>
            <w:top w:val="none" w:sz="0" w:space="0" w:color="auto"/>
            <w:left w:val="none" w:sz="0" w:space="0" w:color="auto"/>
            <w:bottom w:val="none" w:sz="0" w:space="0" w:color="auto"/>
            <w:right w:val="none" w:sz="0" w:space="0" w:color="auto"/>
          </w:divBdr>
        </w:div>
        <w:div w:id="493496126">
          <w:marLeft w:val="640"/>
          <w:marRight w:val="0"/>
          <w:marTop w:val="0"/>
          <w:marBottom w:val="0"/>
          <w:divBdr>
            <w:top w:val="none" w:sz="0" w:space="0" w:color="auto"/>
            <w:left w:val="none" w:sz="0" w:space="0" w:color="auto"/>
            <w:bottom w:val="none" w:sz="0" w:space="0" w:color="auto"/>
            <w:right w:val="none" w:sz="0" w:space="0" w:color="auto"/>
          </w:divBdr>
        </w:div>
        <w:div w:id="2106489167">
          <w:marLeft w:val="640"/>
          <w:marRight w:val="0"/>
          <w:marTop w:val="0"/>
          <w:marBottom w:val="0"/>
          <w:divBdr>
            <w:top w:val="none" w:sz="0" w:space="0" w:color="auto"/>
            <w:left w:val="none" w:sz="0" w:space="0" w:color="auto"/>
            <w:bottom w:val="none" w:sz="0" w:space="0" w:color="auto"/>
            <w:right w:val="none" w:sz="0" w:space="0" w:color="auto"/>
          </w:divBdr>
        </w:div>
        <w:div w:id="13465871">
          <w:marLeft w:val="640"/>
          <w:marRight w:val="0"/>
          <w:marTop w:val="0"/>
          <w:marBottom w:val="0"/>
          <w:divBdr>
            <w:top w:val="none" w:sz="0" w:space="0" w:color="auto"/>
            <w:left w:val="none" w:sz="0" w:space="0" w:color="auto"/>
            <w:bottom w:val="none" w:sz="0" w:space="0" w:color="auto"/>
            <w:right w:val="none" w:sz="0" w:space="0" w:color="auto"/>
          </w:divBdr>
        </w:div>
        <w:div w:id="1502088647">
          <w:marLeft w:val="640"/>
          <w:marRight w:val="0"/>
          <w:marTop w:val="0"/>
          <w:marBottom w:val="0"/>
          <w:divBdr>
            <w:top w:val="none" w:sz="0" w:space="0" w:color="auto"/>
            <w:left w:val="none" w:sz="0" w:space="0" w:color="auto"/>
            <w:bottom w:val="none" w:sz="0" w:space="0" w:color="auto"/>
            <w:right w:val="none" w:sz="0" w:space="0" w:color="auto"/>
          </w:divBdr>
        </w:div>
        <w:div w:id="458718902">
          <w:marLeft w:val="640"/>
          <w:marRight w:val="0"/>
          <w:marTop w:val="0"/>
          <w:marBottom w:val="0"/>
          <w:divBdr>
            <w:top w:val="none" w:sz="0" w:space="0" w:color="auto"/>
            <w:left w:val="none" w:sz="0" w:space="0" w:color="auto"/>
            <w:bottom w:val="none" w:sz="0" w:space="0" w:color="auto"/>
            <w:right w:val="none" w:sz="0" w:space="0" w:color="auto"/>
          </w:divBdr>
        </w:div>
        <w:div w:id="1216507902">
          <w:marLeft w:val="640"/>
          <w:marRight w:val="0"/>
          <w:marTop w:val="0"/>
          <w:marBottom w:val="0"/>
          <w:divBdr>
            <w:top w:val="none" w:sz="0" w:space="0" w:color="auto"/>
            <w:left w:val="none" w:sz="0" w:space="0" w:color="auto"/>
            <w:bottom w:val="none" w:sz="0" w:space="0" w:color="auto"/>
            <w:right w:val="none" w:sz="0" w:space="0" w:color="auto"/>
          </w:divBdr>
        </w:div>
        <w:div w:id="217133042">
          <w:marLeft w:val="640"/>
          <w:marRight w:val="0"/>
          <w:marTop w:val="0"/>
          <w:marBottom w:val="0"/>
          <w:divBdr>
            <w:top w:val="none" w:sz="0" w:space="0" w:color="auto"/>
            <w:left w:val="none" w:sz="0" w:space="0" w:color="auto"/>
            <w:bottom w:val="none" w:sz="0" w:space="0" w:color="auto"/>
            <w:right w:val="none" w:sz="0" w:space="0" w:color="auto"/>
          </w:divBdr>
        </w:div>
        <w:div w:id="1804998737">
          <w:marLeft w:val="640"/>
          <w:marRight w:val="0"/>
          <w:marTop w:val="0"/>
          <w:marBottom w:val="0"/>
          <w:divBdr>
            <w:top w:val="none" w:sz="0" w:space="0" w:color="auto"/>
            <w:left w:val="none" w:sz="0" w:space="0" w:color="auto"/>
            <w:bottom w:val="none" w:sz="0" w:space="0" w:color="auto"/>
            <w:right w:val="none" w:sz="0" w:space="0" w:color="auto"/>
          </w:divBdr>
        </w:div>
        <w:div w:id="2102677472">
          <w:marLeft w:val="640"/>
          <w:marRight w:val="0"/>
          <w:marTop w:val="0"/>
          <w:marBottom w:val="0"/>
          <w:divBdr>
            <w:top w:val="none" w:sz="0" w:space="0" w:color="auto"/>
            <w:left w:val="none" w:sz="0" w:space="0" w:color="auto"/>
            <w:bottom w:val="none" w:sz="0" w:space="0" w:color="auto"/>
            <w:right w:val="none" w:sz="0" w:space="0" w:color="auto"/>
          </w:divBdr>
        </w:div>
        <w:div w:id="1645088713">
          <w:marLeft w:val="640"/>
          <w:marRight w:val="0"/>
          <w:marTop w:val="0"/>
          <w:marBottom w:val="0"/>
          <w:divBdr>
            <w:top w:val="none" w:sz="0" w:space="0" w:color="auto"/>
            <w:left w:val="none" w:sz="0" w:space="0" w:color="auto"/>
            <w:bottom w:val="none" w:sz="0" w:space="0" w:color="auto"/>
            <w:right w:val="none" w:sz="0" w:space="0" w:color="auto"/>
          </w:divBdr>
        </w:div>
        <w:div w:id="797574257">
          <w:marLeft w:val="640"/>
          <w:marRight w:val="0"/>
          <w:marTop w:val="0"/>
          <w:marBottom w:val="0"/>
          <w:divBdr>
            <w:top w:val="none" w:sz="0" w:space="0" w:color="auto"/>
            <w:left w:val="none" w:sz="0" w:space="0" w:color="auto"/>
            <w:bottom w:val="none" w:sz="0" w:space="0" w:color="auto"/>
            <w:right w:val="none" w:sz="0" w:space="0" w:color="auto"/>
          </w:divBdr>
        </w:div>
        <w:div w:id="1937055407">
          <w:marLeft w:val="640"/>
          <w:marRight w:val="0"/>
          <w:marTop w:val="0"/>
          <w:marBottom w:val="0"/>
          <w:divBdr>
            <w:top w:val="none" w:sz="0" w:space="0" w:color="auto"/>
            <w:left w:val="none" w:sz="0" w:space="0" w:color="auto"/>
            <w:bottom w:val="none" w:sz="0" w:space="0" w:color="auto"/>
            <w:right w:val="none" w:sz="0" w:space="0" w:color="auto"/>
          </w:divBdr>
        </w:div>
        <w:div w:id="1050960064">
          <w:marLeft w:val="640"/>
          <w:marRight w:val="0"/>
          <w:marTop w:val="0"/>
          <w:marBottom w:val="0"/>
          <w:divBdr>
            <w:top w:val="none" w:sz="0" w:space="0" w:color="auto"/>
            <w:left w:val="none" w:sz="0" w:space="0" w:color="auto"/>
            <w:bottom w:val="none" w:sz="0" w:space="0" w:color="auto"/>
            <w:right w:val="none" w:sz="0" w:space="0" w:color="auto"/>
          </w:divBdr>
        </w:div>
        <w:div w:id="1283154669">
          <w:marLeft w:val="640"/>
          <w:marRight w:val="0"/>
          <w:marTop w:val="0"/>
          <w:marBottom w:val="0"/>
          <w:divBdr>
            <w:top w:val="none" w:sz="0" w:space="0" w:color="auto"/>
            <w:left w:val="none" w:sz="0" w:space="0" w:color="auto"/>
            <w:bottom w:val="none" w:sz="0" w:space="0" w:color="auto"/>
            <w:right w:val="none" w:sz="0" w:space="0" w:color="auto"/>
          </w:divBdr>
        </w:div>
        <w:div w:id="884021107">
          <w:marLeft w:val="640"/>
          <w:marRight w:val="0"/>
          <w:marTop w:val="0"/>
          <w:marBottom w:val="0"/>
          <w:divBdr>
            <w:top w:val="none" w:sz="0" w:space="0" w:color="auto"/>
            <w:left w:val="none" w:sz="0" w:space="0" w:color="auto"/>
            <w:bottom w:val="none" w:sz="0" w:space="0" w:color="auto"/>
            <w:right w:val="none" w:sz="0" w:space="0" w:color="auto"/>
          </w:divBdr>
        </w:div>
        <w:div w:id="616718288">
          <w:marLeft w:val="640"/>
          <w:marRight w:val="0"/>
          <w:marTop w:val="0"/>
          <w:marBottom w:val="0"/>
          <w:divBdr>
            <w:top w:val="none" w:sz="0" w:space="0" w:color="auto"/>
            <w:left w:val="none" w:sz="0" w:space="0" w:color="auto"/>
            <w:bottom w:val="none" w:sz="0" w:space="0" w:color="auto"/>
            <w:right w:val="none" w:sz="0" w:space="0" w:color="auto"/>
          </w:divBdr>
        </w:div>
        <w:div w:id="1672953513">
          <w:marLeft w:val="640"/>
          <w:marRight w:val="0"/>
          <w:marTop w:val="0"/>
          <w:marBottom w:val="0"/>
          <w:divBdr>
            <w:top w:val="none" w:sz="0" w:space="0" w:color="auto"/>
            <w:left w:val="none" w:sz="0" w:space="0" w:color="auto"/>
            <w:bottom w:val="none" w:sz="0" w:space="0" w:color="auto"/>
            <w:right w:val="none" w:sz="0" w:space="0" w:color="auto"/>
          </w:divBdr>
        </w:div>
        <w:div w:id="1713532946">
          <w:marLeft w:val="640"/>
          <w:marRight w:val="0"/>
          <w:marTop w:val="0"/>
          <w:marBottom w:val="0"/>
          <w:divBdr>
            <w:top w:val="none" w:sz="0" w:space="0" w:color="auto"/>
            <w:left w:val="none" w:sz="0" w:space="0" w:color="auto"/>
            <w:bottom w:val="none" w:sz="0" w:space="0" w:color="auto"/>
            <w:right w:val="none" w:sz="0" w:space="0" w:color="auto"/>
          </w:divBdr>
        </w:div>
        <w:div w:id="159085718">
          <w:marLeft w:val="640"/>
          <w:marRight w:val="0"/>
          <w:marTop w:val="0"/>
          <w:marBottom w:val="0"/>
          <w:divBdr>
            <w:top w:val="none" w:sz="0" w:space="0" w:color="auto"/>
            <w:left w:val="none" w:sz="0" w:space="0" w:color="auto"/>
            <w:bottom w:val="none" w:sz="0" w:space="0" w:color="auto"/>
            <w:right w:val="none" w:sz="0" w:space="0" w:color="auto"/>
          </w:divBdr>
        </w:div>
        <w:div w:id="1274553921">
          <w:marLeft w:val="640"/>
          <w:marRight w:val="0"/>
          <w:marTop w:val="0"/>
          <w:marBottom w:val="0"/>
          <w:divBdr>
            <w:top w:val="none" w:sz="0" w:space="0" w:color="auto"/>
            <w:left w:val="none" w:sz="0" w:space="0" w:color="auto"/>
            <w:bottom w:val="none" w:sz="0" w:space="0" w:color="auto"/>
            <w:right w:val="none" w:sz="0" w:space="0" w:color="auto"/>
          </w:divBdr>
        </w:div>
        <w:div w:id="767039080">
          <w:marLeft w:val="640"/>
          <w:marRight w:val="0"/>
          <w:marTop w:val="0"/>
          <w:marBottom w:val="0"/>
          <w:divBdr>
            <w:top w:val="none" w:sz="0" w:space="0" w:color="auto"/>
            <w:left w:val="none" w:sz="0" w:space="0" w:color="auto"/>
            <w:bottom w:val="none" w:sz="0" w:space="0" w:color="auto"/>
            <w:right w:val="none" w:sz="0" w:space="0" w:color="auto"/>
          </w:divBdr>
        </w:div>
        <w:div w:id="716439923">
          <w:marLeft w:val="640"/>
          <w:marRight w:val="0"/>
          <w:marTop w:val="0"/>
          <w:marBottom w:val="0"/>
          <w:divBdr>
            <w:top w:val="none" w:sz="0" w:space="0" w:color="auto"/>
            <w:left w:val="none" w:sz="0" w:space="0" w:color="auto"/>
            <w:bottom w:val="none" w:sz="0" w:space="0" w:color="auto"/>
            <w:right w:val="none" w:sz="0" w:space="0" w:color="auto"/>
          </w:divBdr>
        </w:div>
        <w:div w:id="824467784">
          <w:marLeft w:val="640"/>
          <w:marRight w:val="0"/>
          <w:marTop w:val="0"/>
          <w:marBottom w:val="0"/>
          <w:divBdr>
            <w:top w:val="none" w:sz="0" w:space="0" w:color="auto"/>
            <w:left w:val="none" w:sz="0" w:space="0" w:color="auto"/>
            <w:bottom w:val="none" w:sz="0" w:space="0" w:color="auto"/>
            <w:right w:val="none" w:sz="0" w:space="0" w:color="auto"/>
          </w:divBdr>
        </w:div>
        <w:div w:id="455485430">
          <w:marLeft w:val="640"/>
          <w:marRight w:val="0"/>
          <w:marTop w:val="0"/>
          <w:marBottom w:val="0"/>
          <w:divBdr>
            <w:top w:val="none" w:sz="0" w:space="0" w:color="auto"/>
            <w:left w:val="none" w:sz="0" w:space="0" w:color="auto"/>
            <w:bottom w:val="none" w:sz="0" w:space="0" w:color="auto"/>
            <w:right w:val="none" w:sz="0" w:space="0" w:color="auto"/>
          </w:divBdr>
        </w:div>
        <w:div w:id="355542973">
          <w:marLeft w:val="640"/>
          <w:marRight w:val="0"/>
          <w:marTop w:val="0"/>
          <w:marBottom w:val="0"/>
          <w:divBdr>
            <w:top w:val="none" w:sz="0" w:space="0" w:color="auto"/>
            <w:left w:val="none" w:sz="0" w:space="0" w:color="auto"/>
            <w:bottom w:val="none" w:sz="0" w:space="0" w:color="auto"/>
            <w:right w:val="none" w:sz="0" w:space="0" w:color="auto"/>
          </w:divBdr>
        </w:div>
        <w:div w:id="442305301">
          <w:marLeft w:val="640"/>
          <w:marRight w:val="0"/>
          <w:marTop w:val="0"/>
          <w:marBottom w:val="0"/>
          <w:divBdr>
            <w:top w:val="none" w:sz="0" w:space="0" w:color="auto"/>
            <w:left w:val="none" w:sz="0" w:space="0" w:color="auto"/>
            <w:bottom w:val="none" w:sz="0" w:space="0" w:color="auto"/>
            <w:right w:val="none" w:sz="0" w:space="0" w:color="auto"/>
          </w:divBdr>
        </w:div>
        <w:div w:id="988479766">
          <w:marLeft w:val="640"/>
          <w:marRight w:val="0"/>
          <w:marTop w:val="0"/>
          <w:marBottom w:val="0"/>
          <w:divBdr>
            <w:top w:val="none" w:sz="0" w:space="0" w:color="auto"/>
            <w:left w:val="none" w:sz="0" w:space="0" w:color="auto"/>
            <w:bottom w:val="none" w:sz="0" w:space="0" w:color="auto"/>
            <w:right w:val="none" w:sz="0" w:space="0" w:color="auto"/>
          </w:divBdr>
        </w:div>
        <w:div w:id="537661733">
          <w:marLeft w:val="640"/>
          <w:marRight w:val="0"/>
          <w:marTop w:val="0"/>
          <w:marBottom w:val="0"/>
          <w:divBdr>
            <w:top w:val="none" w:sz="0" w:space="0" w:color="auto"/>
            <w:left w:val="none" w:sz="0" w:space="0" w:color="auto"/>
            <w:bottom w:val="none" w:sz="0" w:space="0" w:color="auto"/>
            <w:right w:val="none" w:sz="0" w:space="0" w:color="auto"/>
          </w:divBdr>
        </w:div>
        <w:div w:id="1221672578">
          <w:marLeft w:val="640"/>
          <w:marRight w:val="0"/>
          <w:marTop w:val="0"/>
          <w:marBottom w:val="0"/>
          <w:divBdr>
            <w:top w:val="none" w:sz="0" w:space="0" w:color="auto"/>
            <w:left w:val="none" w:sz="0" w:space="0" w:color="auto"/>
            <w:bottom w:val="none" w:sz="0" w:space="0" w:color="auto"/>
            <w:right w:val="none" w:sz="0" w:space="0" w:color="auto"/>
          </w:divBdr>
        </w:div>
        <w:div w:id="765272317">
          <w:marLeft w:val="640"/>
          <w:marRight w:val="0"/>
          <w:marTop w:val="0"/>
          <w:marBottom w:val="0"/>
          <w:divBdr>
            <w:top w:val="none" w:sz="0" w:space="0" w:color="auto"/>
            <w:left w:val="none" w:sz="0" w:space="0" w:color="auto"/>
            <w:bottom w:val="none" w:sz="0" w:space="0" w:color="auto"/>
            <w:right w:val="none" w:sz="0" w:space="0" w:color="auto"/>
          </w:divBdr>
        </w:div>
        <w:div w:id="179516665">
          <w:marLeft w:val="640"/>
          <w:marRight w:val="0"/>
          <w:marTop w:val="0"/>
          <w:marBottom w:val="0"/>
          <w:divBdr>
            <w:top w:val="none" w:sz="0" w:space="0" w:color="auto"/>
            <w:left w:val="none" w:sz="0" w:space="0" w:color="auto"/>
            <w:bottom w:val="none" w:sz="0" w:space="0" w:color="auto"/>
            <w:right w:val="none" w:sz="0" w:space="0" w:color="auto"/>
          </w:divBdr>
        </w:div>
        <w:div w:id="1298143928">
          <w:marLeft w:val="640"/>
          <w:marRight w:val="0"/>
          <w:marTop w:val="0"/>
          <w:marBottom w:val="0"/>
          <w:divBdr>
            <w:top w:val="none" w:sz="0" w:space="0" w:color="auto"/>
            <w:left w:val="none" w:sz="0" w:space="0" w:color="auto"/>
            <w:bottom w:val="none" w:sz="0" w:space="0" w:color="auto"/>
            <w:right w:val="none" w:sz="0" w:space="0" w:color="auto"/>
          </w:divBdr>
        </w:div>
        <w:div w:id="65958554">
          <w:marLeft w:val="640"/>
          <w:marRight w:val="0"/>
          <w:marTop w:val="0"/>
          <w:marBottom w:val="0"/>
          <w:divBdr>
            <w:top w:val="none" w:sz="0" w:space="0" w:color="auto"/>
            <w:left w:val="none" w:sz="0" w:space="0" w:color="auto"/>
            <w:bottom w:val="none" w:sz="0" w:space="0" w:color="auto"/>
            <w:right w:val="none" w:sz="0" w:space="0" w:color="auto"/>
          </w:divBdr>
        </w:div>
        <w:div w:id="834105649">
          <w:marLeft w:val="640"/>
          <w:marRight w:val="0"/>
          <w:marTop w:val="0"/>
          <w:marBottom w:val="0"/>
          <w:divBdr>
            <w:top w:val="none" w:sz="0" w:space="0" w:color="auto"/>
            <w:left w:val="none" w:sz="0" w:space="0" w:color="auto"/>
            <w:bottom w:val="none" w:sz="0" w:space="0" w:color="auto"/>
            <w:right w:val="none" w:sz="0" w:space="0" w:color="auto"/>
          </w:divBdr>
        </w:div>
        <w:div w:id="383676147">
          <w:marLeft w:val="640"/>
          <w:marRight w:val="0"/>
          <w:marTop w:val="0"/>
          <w:marBottom w:val="0"/>
          <w:divBdr>
            <w:top w:val="none" w:sz="0" w:space="0" w:color="auto"/>
            <w:left w:val="none" w:sz="0" w:space="0" w:color="auto"/>
            <w:bottom w:val="none" w:sz="0" w:space="0" w:color="auto"/>
            <w:right w:val="none" w:sz="0" w:space="0" w:color="auto"/>
          </w:divBdr>
        </w:div>
        <w:div w:id="177668510">
          <w:marLeft w:val="640"/>
          <w:marRight w:val="0"/>
          <w:marTop w:val="0"/>
          <w:marBottom w:val="0"/>
          <w:divBdr>
            <w:top w:val="none" w:sz="0" w:space="0" w:color="auto"/>
            <w:left w:val="none" w:sz="0" w:space="0" w:color="auto"/>
            <w:bottom w:val="none" w:sz="0" w:space="0" w:color="auto"/>
            <w:right w:val="none" w:sz="0" w:space="0" w:color="auto"/>
          </w:divBdr>
        </w:div>
        <w:div w:id="92941655">
          <w:marLeft w:val="640"/>
          <w:marRight w:val="0"/>
          <w:marTop w:val="0"/>
          <w:marBottom w:val="0"/>
          <w:divBdr>
            <w:top w:val="none" w:sz="0" w:space="0" w:color="auto"/>
            <w:left w:val="none" w:sz="0" w:space="0" w:color="auto"/>
            <w:bottom w:val="none" w:sz="0" w:space="0" w:color="auto"/>
            <w:right w:val="none" w:sz="0" w:space="0" w:color="auto"/>
          </w:divBdr>
        </w:div>
        <w:div w:id="1806776165">
          <w:marLeft w:val="640"/>
          <w:marRight w:val="0"/>
          <w:marTop w:val="0"/>
          <w:marBottom w:val="0"/>
          <w:divBdr>
            <w:top w:val="none" w:sz="0" w:space="0" w:color="auto"/>
            <w:left w:val="none" w:sz="0" w:space="0" w:color="auto"/>
            <w:bottom w:val="none" w:sz="0" w:space="0" w:color="auto"/>
            <w:right w:val="none" w:sz="0" w:space="0" w:color="auto"/>
          </w:divBdr>
        </w:div>
        <w:div w:id="949750437">
          <w:marLeft w:val="640"/>
          <w:marRight w:val="0"/>
          <w:marTop w:val="0"/>
          <w:marBottom w:val="0"/>
          <w:divBdr>
            <w:top w:val="none" w:sz="0" w:space="0" w:color="auto"/>
            <w:left w:val="none" w:sz="0" w:space="0" w:color="auto"/>
            <w:bottom w:val="none" w:sz="0" w:space="0" w:color="auto"/>
            <w:right w:val="none" w:sz="0" w:space="0" w:color="auto"/>
          </w:divBdr>
        </w:div>
        <w:div w:id="1562404266">
          <w:marLeft w:val="640"/>
          <w:marRight w:val="0"/>
          <w:marTop w:val="0"/>
          <w:marBottom w:val="0"/>
          <w:divBdr>
            <w:top w:val="none" w:sz="0" w:space="0" w:color="auto"/>
            <w:left w:val="none" w:sz="0" w:space="0" w:color="auto"/>
            <w:bottom w:val="none" w:sz="0" w:space="0" w:color="auto"/>
            <w:right w:val="none" w:sz="0" w:space="0" w:color="auto"/>
          </w:divBdr>
        </w:div>
        <w:div w:id="1155023518">
          <w:marLeft w:val="640"/>
          <w:marRight w:val="0"/>
          <w:marTop w:val="0"/>
          <w:marBottom w:val="0"/>
          <w:divBdr>
            <w:top w:val="none" w:sz="0" w:space="0" w:color="auto"/>
            <w:left w:val="none" w:sz="0" w:space="0" w:color="auto"/>
            <w:bottom w:val="none" w:sz="0" w:space="0" w:color="auto"/>
            <w:right w:val="none" w:sz="0" w:space="0" w:color="auto"/>
          </w:divBdr>
        </w:div>
        <w:div w:id="1104809958">
          <w:marLeft w:val="640"/>
          <w:marRight w:val="0"/>
          <w:marTop w:val="0"/>
          <w:marBottom w:val="0"/>
          <w:divBdr>
            <w:top w:val="none" w:sz="0" w:space="0" w:color="auto"/>
            <w:left w:val="none" w:sz="0" w:space="0" w:color="auto"/>
            <w:bottom w:val="none" w:sz="0" w:space="0" w:color="auto"/>
            <w:right w:val="none" w:sz="0" w:space="0" w:color="auto"/>
          </w:divBdr>
        </w:div>
        <w:div w:id="1875458028">
          <w:marLeft w:val="640"/>
          <w:marRight w:val="0"/>
          <w:marTop w:val="0"/>
          <w:marBottom w:val="0"/>
          <w:divBdr>
            <w:top w:val="none" w:sz="0" w:space="0" w:color="auto"/>
            <w:left w:val="none" w:sz="0" w:space="0" w:color="auto"/>
            <w:bottom w:val="none" w:sz="0" w:space="0" w:color="auto"/>
            <w:right w:val="none" w:sz="0" w:space="0" w:color="auto"/>
          </w:divBdr>
        </w:div>
        <w:div w:id="1681736678">
          <w:marLeft w:val="640"/>
          <w:marRight w:val="0"/>
          <w:marTop w:val="0"/>
          <w:marBottom w:val="0"/>
          <w:divBdr>
            <w:top w:val="none" w:sz="0" w:space="0" w:color="auto"/>
            <w:left w:val="none" w:sz="0" w:space="0" w:color="auto"/>
            <w:bottom w:val="none" w:sz="0" w:space="0" w:color="auto"/>
            <w:right w:val="none" w:sz="0" w:space="0" w:color="auto"/>
          </w:divBdr>
        </w:div>
        <w:div w:id="1696886725">
          <w:marLeft w:val="640"/>
          <w:marRight w:val="0"/>
          <w:marTop w:val="0"/>
          <w:marBottom w:val="0"/>
          <w:divBdr>
            <w:top w:val="none" w:sz="0" w:space="0" w:color="auto"/>
            <w:left w:val="none" w:sz="0" w:space="0" w:color="auto"/>
            <w:bottom w:val="none" w:sz="0" w:space="0" w:color="auto"/>
            <w:right w:val="none" w:sz="0" w:space="0" w:color="auto"/>
          </w:divBdr>
        </w:div>
        <w:div w:id="22171072">
          <w:marLeft w:val="640"/>
          <w:marRight w:val="0"/>
          <w:marTop w:val="0"/>
          <w:marBottom w:val="0"/>
          <w:divBdr>
            <w:top w:val="none" w:sz="0" w:space="0" w:color="auto"/>
            <w:left w:val="none" w:sz="0" w:space="0" w:color="auto"/>
            <w:bottom w:val="none" w:sz="0" w:space="0" w:color="auto"/>
            <w:right w:val="none" w:sz="0" w:space="0" w:color="auto"/>
          </w:divBdr>
        </w:div>
        <w:div w:id="1368681575">
          <w:marLeft w:val="640"/>
          <w:marRight w:val="0"/>
          <w:marTop w:val="0"/>
          <w:marBottom w:val="0"/>
          <w:divBdr>
            <w:top w:val="none" w:sz="0" w:space="0" w:color="auto"/>
            <w:left w:val="none" w:sz="0" w:space="0" w:color="auto"/>
            <w:bottom w:val="none" w:sz="0" w:space="0" w:color="auto"/>
            <w:right w:val="none" w:sz="0" w:space="0" w:color="auto"/>
          </w:divBdr>
        </w:div>
        <w:div w:id="1212423652">
          <w:marLeft w:val="640"/>
          <w:marRight w:val="0"/>
          <w:marTop w:val="0"/>
          <w:marBottom w:val="0"/>
          <w:divBdr>
            <w:top w:val="none" w:sz="0" w:space="0" w:color="auto"/>
            <w:left w:val="none" w:sz="0" w:space="0" w:color="auto"/>
            <w:bottom w:val="none" w:sz="0" w:space="0" w:color="auto"/>
            <w:right w:val="none" w:sz="0" w:space="0" w:color="auto"/>
          </w:divBdr>
        </w:div>
        <w:div w:id="1007682173">
          <w:marLeft w:val="640"/>
          <w:marRight w:val="0"/>
          <w:marTop w:val="0"/>
          <w:marBottom w:val="0"/>
          <w:divBdr>
            <w:top w:val="none" w:sz="0" w:space="0" w:color="auto"/>
            <w:left w:val="none" w:sz="0" w:space="0" w:color="auto"/>
            <w:bottom w:val="none" w:sz="0" w:space="0" w:color="auto"/>
            <w:right w:val="none" w:sz="0" w:space="0" w:color="auto"/>
          </w:divBdr>
        </w:div>
        <w:div w:id="1905335748">
          <w:marLeft w:val="640"/>
          <w:marRight w:val="0"/>
          <w:marTop w:val="0"/>
          <w:marBottom w:val="0"/>
          <w:divBdr>
            <w:top w:val="none" w:sz="0" w:space="0" w:color="auto"/>
            <w:left w:val="none" w:sz="0" w:space="0" w:color="auto"/>
            <w:bottom w:val="none" w:sz="0" w:space="0" w:color="auto"/>
            <w:right w:val="none" w:sz="0" w:space="0" w:color="auto"/>
          </w:divBdr>
        </w:div>
        <w:div w:id="1866482933">
          <w:marLeft w:val="640"/>
          <w:marRight w:val="0"/>
          <w:marTop w:val="0"/>
          <w:marBottom w:val="0"/>
          <w:divBdr>
            <w:top w:val="none" w:sz="0" w:space="0" w:color="auto"/>
            <w:left w:val="none" w:sz="0" w:space="0" w:color="auto"/>
            <w:bottom w:val="none" w:sz="0" w:space="0" w:color="auto"/>
            <w:right w:val="none" w:sz="0" w:space="0" w:color="auto"/>
          </w:divBdr>
        </w:div>
        <w:div w:id="1972899774">
          <w:marLeft w:val="640"/>
          <w:marRight w:val="0"/>
          <w:marTop w:val="0"/>
          <w:marBottom w:val="0"/>
          <w:divBdr>
            <w:top w:val="none" w:sz="0" w:space="0" w:color="auto"/>
            <w:left w:val="none" w:sz="0" w:space="0" w:color="auto"/>
            <w:bottom w:val="none" w:sz="0" w:space="0" w:color="auto"/>
            <w:right w:val="none" w:sz="0" w:space="0" w:color="auto"/>
          </w:divBdr>
        </w:div>
        <w:div w:id="1916236246">
          <w:marLeft w:val="640"/>
          <w:marRight w:val="0"/>
          <w:marTop w:val="0"/>
          <w:marBottom w:val="0"/>
          <w:divBdr>
            <w:top w:val="none" w:sz="0" w:space="0" w:color="auto"/>
            <w:left w:val="none" w:sz="0" w:space="0" w:color="auto"/>
            <w:bottom w:val="none" w:sz="0" w:space="0" w:color="auto"/>
            <w:right w:val="none" w:sz="0" w:space="0" w:color="auto"/>
          </w:divBdr>
        </w:div>
        <w:div w:id="1176843121">
          <w:marLeft w:val="640"/>
          <w:marRight w:val="0"/>
          <w:marTop w:val="0"/>
          <w:marBottom w:val="0"/>
          <w:divBdr>
            <w:top w:val="none" w:sz="0" w:space="0" w:color="auto"/>
            <w:left w:val="none" w:sz="0" w:space="0" w:color="auto"/>
            <w:bottom w:val="none" w:sz="0" w:space="0" w:color="auto"/>
            <w:right w:val="none" w:sz="0" w:space="0" w:color="auto"/>
          </w:divBdr>
        </w:div>
        <w:div w:id="366412072">
          <w:marLeft w:val="640"/>
          <w:marRight w:val="0"/>
          <w:marTop w:val="0"/>
          <w:marBottom w:val="0"/>
          <w:divBdr>
            <w:top w:val="none" w:sz="0" w:space="0" w:color="auto"/>
            <w:left w:val="none" w:sz="0" w:space="0" w:color="auto"/>
            <w:bottom w:val="none" w:sz="0" w:space="0" w:color="auto"/>
            <w:right w:val="none" w:sz="0" w:space="0" w:color="auto"/>
          </w:divBdr>
        </w:div>
        <w:div w:id="1359234453">
          <w:marLeft w:val="640"/>
          <w:marRight w:val="0"/>
          <w:marTop w:val="0"/>
          <w:marBottom w:val="0"/>
          <w:divBdr>
            <w:top w:val="none" w:sz="0" w:space="0" w:color="auto"/>
            <w:left w:val="none" w:sz="0" w:space="0" w:color="auto"/>
            <w:bottom w:val="none" w:sz="0" w:space="0" w:color="auto"/>
            <w:right w:val="none" w:sz="0" w:space="0" w:color="auto"/>
          </w:divBdr>
        </w:div>
        <w:div w:id="171379428">
          <w:marLeft w:val="640"/>
          <w:marRight w:val="0"/>
          <w:marTop w:val="0"/>
          <w:marBottom w:val="0"/>
          <w:divBdr>
            <w:top w:val="none" w:sz="0" w:space="0" w:color="auto"/>
            <w:left w:val="none" w:sz="0" w:space="0" w:color="auto"/>
            <w:bottom w:val="none" w:sz="0" w:space="0" w:color="auto"/>
            <w:right w:val="none" w:sz="0" w:space="0" w:color="auto"/>
          </w:divBdr>
        </w:div>
        <w:div w:id="1625230563">
          <w:marLeft w:val="640"/>
          <w:marRight w:val="0"/>
          <w:marTop w:val="0"/>
          <w:marBottom w:val="0"/>
          <w:divBdr>
            <w:top w:val="none" w:sz="0" w:space="0" w:color="auto"/>
            <w:left w:val="none" w:sz="0" w:space="0" w:color="auto"/>
            <w:bottom w:val="none" w:sz="0" w:space="0" w:color="auto"/>
            <w:right w:val="none" w:sz="0" w:space="0" w:color="auto"/>
          </w:divBdr>
        </w:div>
        <w:div w:id="2105490283">
          <w:marLeft w:val="640"/>
          <w:marRight w:val="0"/>
          <w:marTop w:val="0"/>
          <w:marBottom w:val="0"/>
          <w:divBdr>
            <w:top w:val="none" w:sz="0" w:space="0" w:color="auto"/>
            <w:left w:val="none" w:sz="0" w:space="0" w:color="auto"/>
            <w:bottom w:val="none" w:sz="0" w:space="0" w:color="auto"/>
            <w:right w:val="none" w:sz="0" w:space="0" w:color="auto"/>
          </w:divBdr>
        </w:div>
        <w:div w:id="258416514">
          <w:marLeft w:val="640"/>
          <w:marRight w:val="0"/>
          <w:marTop w:val="0"/>
          <w:marBottom w:val="0"/>
          <w:divBdr>
            <w:top w:val="none" w:sz="0" w:space="0" w:color="auto"/>
            <w:left w:val="none" w:sz="0" w:space="0" w:color="auto"/>
            <w:bottom w:val="none" w:sz="0" w:space="0" w:color="auto"/>
            <w:right w:val="none" w:sz="0" w:space="0" w:color="auto"/>
          </w:divBdr>
        </w:div>
        <w:div w:id="1628512314">
          <w:marLeft w:val="640"/>
          <w:marRight w:val="0"/>
          <w:marTop w:val="0"/>
          <w:marBottom w:val="0"/>
          <w:divBdr>
            <w:top w:val="none" w:sz="0" w:space="0" w:color="auto"/>
            <w:left w:val="none" w:sz="0" w:space="0" w:color="auto"/>
            <w:bottom w:val="none" w:sz="0" w:space="0" w:color="auto"/>
            <w:right w:val="none" w:sz="0" w:space="0" w:color="auto"/>
          </w:divBdr>
        </w:div>
        <w:div w:id="1832409011">
          <w:marLeft w:val="640"/>
          <w:marRight w:val="0"/>
          <w:marTop w:val="0"/>
          <w:marBottom w:val="0"/>
          <w:divBdr>
            <w:top w:val="none" w:sz="0" w:space="0" w:color="auto"/>
            <w:left w:val="none" w:sz="0" w:space="0" w:color="auto"/>
            <w:bottom w:val="none" w:sz="0" w:space="0" w:color="auto"/>
            <w:right w:val="none" w:sz="0" w:space="0" w:color="auto"/>
          </w:divBdr>
        </w:div>
        <w:div w:id="319624149">
          <w:marLeft w:val="640"/>
          <w:marRight w:val="0"/>
          <w:marTop w:val="0"/>
          <w:marBottom w:val="0"/>
          <w:divBdr>
            <w:top w:val="none" w:sz="0" w:space="0" w:color="auto"/>
            <w:left w:val="none" w:sz="0" w:space="0" w:color="auto"/>
            <w:bottom w:val="none" w:sz="0" w:space="0" w:color="auto"/>
            <w:right w:val="none" w:sz="0" w:space="0" w:color="auto"/>
          </w:divBdr>
        </w:div>
        <w:div w:id="1674646819">
          <w:marLeft w:val="640"/>
          <w:marRight w:val="0"/>
          <w:marTop w:val="0"/>
          <w:marBottom w:val="0"/>
          <w:divBdr>
            <w:top w:val="none" w:sz="0" w:space="0" w:color="auto"/>
            <w:left w:val="none" w:sz="0" w:space="0" w:color="auto"/>
            <w:bottom w:val="none" w:sz="0" w:space="0" w:color="auto"/>
            <w:right w:val="none" w:sz="0" w:space="0" w:color="auto"/>
          </w:divBdr>
        </w:div>
        <w:div w:id="1947349100">
          <w:marLeft w:val="640"/>
          <w:marRight w:val="0"/>
          <w:marTop w:val="0"/>
          <w:marBottom w:val="0"/>
          <w:divBdr>
            <w:top w:val="none" w:sz="0" w:space="0" w:color="auto"/>
            <w:left w:val="none" w:sz="0" w:space="0" w:color="auto"/>
            <w:bottom w:val="none" w:sz="0" w:space="0" w:color="auto"/>
            <w:right w:val="none" w:sz="0" w:space="0" w:color="auto"/>
          </w:divBdr>
        </w:div>
        <w:div w:id="747459573">
          <w:marLeft w:val="640"/>
          <w:marRight w:val="0"/>
          <w:marTop w:val="0"/>
          <w:marBottom w:val="0"/>
          <w:divBdr>
            <w:top w:val="none" w:sz="0" w:space="0" w:color="auto"/>
            <w:left w:val="none" w:sz="0" w:space="0" w:color="auto"/>
            <w:bottom w:val="none" w:sz="0" w:space="0" w:color="auto"/>
            <w:right w:val="none" w:sz="0" w:space="0" w:color="auto"/>
          </w:divBdr>
        </w:div>
        <w:div w:id="2009627506">
          <w:marLeft w:val="640"/>
          <w:marRight w:val="0"/>
          <w:marTop w:val="0"/>
          <w:marBottom w:val="0"/>
          <w:divBdr>
            <w:top w:val="none" w:sz="0" w:space="0" w:color="auto"/>
            <w:left w:val="none" w:sz="0" w:space="0" w:color="auto"/>
            <w:bottom w:val="none" w:sz="0" w:space="0" w:color="auto"/>
            <w:right w:val="none" w:sz="0" w:space="0" w:color="auto"/>
          </w:divBdr>
        </w:div>
        <w:div w:id="1617368443">
          <w:marLeft w:val="640"/>
          <w:marRight w:val="0"/>
          <w:marTop w:val="0"/>
          <w:marBottom w:val="0"/>
          <w:divBdr>
            <w:top w:val="none" w:sz="0" w:space="0" w:color="auto"/>
            <w:left w:val="none" w:sz="0" w:space="0" w:color="auto"/>
            <w:bottom w:val="none" w:sz="0" w:space="0" w:color="auto"/>
            <w:right w:val="none" w:sz="0" w:space="0" w:color="auto"/>
          </w:divBdr>
        </w:div>
        <w:div w:id="677775913">
          <w:marLeft w:val="640"/>
          <w:marRight w:val="0"/>
          <w:marTop w:val="0"/>
          <w:marBottom w:val="0"/>
          <w:divBdr>
            <w:top w:val="none" w:sz="0" w:space="0" w:color="auto"/>
            <w:left w:val="none" w:sz="0" w:space="0" w:color="auto"/>
            <w:bottom w:val="none" w:sz="0" w:space="0" w:color="auto"/>
            <w:right w:val="none" w:sz="0" w:space="0" w:color="auto"/>
          </w:divBdr>
        </w:div>
        <w:div w:id="1663047496">
          <w:marLeft w:val="640"/>
          <w:marRight w:val="0"/>
          <w:marTop w:val="0"/>
          <w:marBottom w:val="0"/>
          <w:divBdr>
            <w:top w:val="none" w:sz="0" w:space="0" w:color="auto"/>
            <w:left w:val="none" w:sz="0" w:space="0" w:color="auto"/>
            <w:bottom w:val="none" w:sz="0" w:space="0" w:color="auto"/>
            <w:right w:val="none" w:sz="0" w:space="0" w:color="auto"/>
          </w:divBdr>
        </w:div>
        <w:div w:id="1170868426">
          <w:marLeft w:val="640"/>
          <w:marRight w:val="0"/>
          <w:marTop w:val="0"/>
          <w:marBottom w:val="0"/>
          <w:divBdr>
            <w:top w:val="none" w:sz="0" w:space="0" w:color="auto"/>
            <w:left w:val="none" w:sz="0" w:space="0" w:color="auto"/>
            <w:bottom w:val="none" w:sz="0" w:space="0" w:color="auto"/>
            <w:right w:val="none" w:sz="0" w:space="0" w:color="auto"/>
          </w:divBdr>
        </w:div>
        <w:div w:id="726026418">
          <w:marLeft w:val="640"/>
          <w:marRight w:val="0"/>
          <w:marTop w:val="0"/>
          <w:marBottom w:val="0"/>
          <w:divBdr>
            <w:top w:val="none" w:sz="0" w:space="0" w:color="auto"/>
            <w:left w:val="none" w:sz="0" w:space="0" w:color="auto"/>
            <w:bottom w:val="none" w:sz="0" w:space="0" w:color="auto"/>
            <w:right w:val="none" w:sz="0" w:space="0" w:color="auto"/>
          </w:divBdr>
        </w:div>
        <w:div w:id="2046907439">
          <w:marLeft w:val="640"/>
          <w:marRight w:val="0"/>
          <w:marTop w:val="0"/>
          <w:marBottom w:val="0"/>
          <w:divBdr>
            <w:top w:val="none" w:sz="0" w:space="0" w:color="auto"/>
            <w:left w:val="none" w:sz="0" w:space="0" w:color="auto"/>
            <w:bottom w:val="none" w:sz="0" w:space="0" w:color="auto"/>
            <w:right w:val="none" w:sz="0" w:space="0" w:color="auto"/>
          </w:divBdr>
        </w:div>
        <w:div w:id="740325267">
          <w:marLeft w:val="640"/>
          <w:marRight w:val="0"/>
          <w:marTop w:val="0"/>
          <w:marBottom w:val="0"/>
          <w:divBdr>
            <w:top w:val="none" w:sz="0" w:space="0" w:color="auto"/>
            <w:left w:val="none" w:sz="0" w:space="0" w:color="auto"/>
            <w:bottom w:val="none" w:sz="0" w:space="0" w:color="auto"/>
            <w:right w:val="none" w:sz="0" w:space="0" w:color="auto"/>
          </w:divBdr>
        </w:div>
        <w:div w:id="1704937450">
          <w:marLeft w:val="640"/>
          <w:marRight w:val="0"/>
          <w:marTop w:val="0"/>
          <w:marBottom w:val="0"/>
          <w:divBdr>
            <w:top w:val="none" w:sz="0" w:space="0" w:color="auto"/>
            <w:left w:val="none" w:sz="0" w:space="0" w:color="auto"/>
            <w:bottom w:val="none" w:sz="0" w:space="0" w:color="auto"/>
            <w:right w:val="none" w:sz="0" w:space="0" w:color="auto"/>
          </w:divBdr>
        </w:div>
        <w:div w:id="1838304652">
          <w:marLeft w:val="640"/>
          <w:marRight w:val="0"/>
          <w:marTop w:val="0"/>
          <w:marBottom w:val="0"/>
          <w:divBdr>
            <w:top w:val="none" w:sz="0" w:space="0" w:color="auto"/>
            <w:left w:val="none" w:sz="0" w:space="0" w:color="auto"/>
            <w:bottom w:val="none" w:sz="0" w:space="0" w:color="auto"/>
            <w:right w:val="none" w:sz="0" w:space="0" w:color="auto"/>
          </w:divBdr>
        </w:div>
        <w:div w:id="18747592">
          <w:marLeft w:val="640"/>
          <w:marRight w:val="0"/>
          <w:marTop w:val="0"/>
          <w:marBottom w:val="0"/>
          <w:divBdr>
            <w:top w:val="none" w:sz="0" w:space="0" w:color="auto"/>
            <w:left w:val="none" w:sz="0" w:space="0" w:color="auto"/>
            <w:bottom w:val="none" w:sz="0" w:space="0" w:color="auto"/>
            <w:right w:val="none" w:sz="0" w:space="0" w:color="auto"/>
          </w:divBdr>
        </w:div>
        <w:div w:id="1473331742">
          <w:marLeft w:val="640"/>
          <w:marRight w:val="0"/>
          <w:marTop w:val="0"/>
          <w:marBottom w:val="0"/>
          <w:divBdr>
            <w:top w:val="none" w:sz="0" w:space="0" w:color="auto"/>
            <w:left w:val="none" w:sz="0" w:space="0" w:color="auto"/>
            <w:bottom w:val="none" w:sz="0" w:space="0" w:color="auto"/>
            <w:right w:val="none" w:sz="0" w:space="0" w:color="auto"/>
          </w:divBdr>
        </w:div>
        <w:div w:id="638264081">
          <w:marLeft w:val="640"/>
          <w:marRight w:val="0"/>
          <w:marTop w:val="0"/>
          <w:marBottom w:val="0"/>
          <w:divBdr>
            <w:top w:val="none" w:sz="0" w:space="0" w:color="auto"/>
            <w:left w:val="none" w:sz="0" w:space="0" w:color="auto"/>
            <w:bottom w:val="none" w:sz="0" w:space="0" w:color="auto"/>
            <w:right w:val="none" w:sz="0" w:space="0" w:color="auto"/>
          </w:divBdr>
        </w:div>
        <w:div w:id="1437214363">
          <w:marLeft w:val="640"/>
          <w:marRight w:val="0"/>
          <w:marTop w:val="0"/>
          <w:marBottom w:val="0"/>
          <w:divBdr>
            <w:top w:val="none" w:sz="0" w:space="0" w:color="auto"/>
            <w:left w:val="none" w:sz="0" w:space="0" w:color="auto"/>
            <w:bottom w:val="none" w:sz="0" w:space="0" w:color="auto"/>
            <w:right w:val="none" w:sz="0" w:space="0" w:color="auto"/>
          </w:divBdr>
        </w:div>
        <w:div w:id="222714377">
          <w:marLeft w:val="640"/>
          <w:marRight w:val="0"/>
          <w:marTop w:val="0"/>
          <w:marBottom w:val="0"/>
          <w:divBdr>
            <w:top w:val="none" w:sz="0" w:space="0" w:color="auto"/>
            <w:left w:val="none" w:sz="0" w:space="0" w:color="auto"/>
            <w:bottom w:val="none" w:sz="0" w:space="0" w:color="auto"/>
            <w:right w:val="none" w:sz="0" w:space="0" w:color="auto"/>
          </w:divBdr>
        </w:div>
        <w:div w:id="887759938">
          <w:marLeft w:val="640"/>
          <w:marRight w:val="0"/>
          <w:marTop w:val="0"/>
          <w:marBottom w:val="0"/>
          <w:divBdr>
            <w:top w:val="none" w:sz="0" w:space="0" w:color="auto"/>
            <w:left w:val="none" w:sz="0" w:space="0" w:color="auto"/>
            <w:bottom w:val="none" w:sz="0" w:space="0" w:color="auto"/>
            <w:right w:val="none" w:sz="0" w:space="0" w:color="auto"/>
          </w:divBdr>
        </w:div>
        <w:div w:id="4288289">
          <w:marLeft w:val="640"/>
          <w:marRight w:val="0"/>
          <w:marTop w:val="0"/>
          <w:marBottom w:val="0"/>
          <w:divBdr>
            <w:top w:val="none" w:sz="0" w:space="0" w:color="auto"/>
            <w:left w:val="none" w:sz="0" w:space="0" w:color="auto"/>
            <w:bottom w:val="none" w:sz="0" w:space="0" w:color="auto"/>
            <w:right w:val="none" w:sz="0" w:space="0" w:color="auto"/>
          </w:divBdr>
        </w:div>
        <w:div w:id="2004161211">
          <w:marLeft w:val="640"/>
          <w:marRight w:val="0"/>
          <w:marTop w:val="0"/>
          <w:marBottom w:val="0"/>
          <w:divBdr>
            <w:top w:val="none" w:sz="0" w:space="0" w:color="auto"/>
            <w:left w:val="none" w:sz="0" w:space="0" w:color="auto"/>
            <w:bottom w:val="none" w:sz="0" w:space="0" w:color="auto"/>
            <w:right w:val="none" w:sz="0" w:space="0" w:color="auto"/>
          </w:divBdr>
        </w:div>
        <w:div w:id="466748892">
          <w:marLeft w:val="640"/>
          <w:marRight w:val="0"/>
          <w:marTop w:val="0"/>
          <w:marBottom w:val="0"/>
          <w:divBdr>
            <w:top w:val="none" w:sz="0" w:space="0" w:color="auto"/>
            <w:left w:val="none" w:sz="0" w:space="0" w:color="auto"/>
            <w:bottom w:val="none" w:sz="0" w:space="0" w:color="auto"/>
            <w:right w:val="none" w:sz="0" w:space="0" w:color="auto"/>
          </w:divBdr>
        </w:div>
        <w:div w:id="1406100383">
          <w:marLeft w:val="640"/>
          <w:marRight w:val="0"/>
          <w:marTop w:val="0"/>
          <w:marBottom w:val="0"/>
          <w:divBdr>
            <w:top w:val="none" w:sz="0" w:space="0" w:color="auto"/>
            <w:left w:val="none" w:sz="0" w:space="0" w:color="auto"/>
            <w:bottom w:val="none" w:sz="0" w:space="0" w:color="auto"/>
            <w:right w:val="none" w:sz="0" w:space="0" w:color="auto"/>
          </w:divBdr>
        </w:div>
        <w:div w:id="2033069277">
          <w:marLeft w:val="640"/>
          <w:marRight w:val="0"/>
          <w:marTop w:val="0"/>
          <w:marBottom w:val="0"/>
          <w:divBdr>
            <w:top w:val="none" w:sz="0" w:space="0" w:color="auto"/>
            <w:left w:val="none" w:sz="0" w:space="0" w:color="auto"/>
            <w:bottom w:val="none" w:sz="0" w:space="0" w:color="auto"/>
            <w:right w:val="none" w:sz="0" w:space="0" w:color="auto"/>
          </w:divBdr>
        </w:div>
        <w:div w:id="479150778">
          <w:marLeft w:val="640"/>
          <w:marRight w:val="0"/>
          <w:marTop w:val="0"/>
          <w:marBottom w:val="0"/>
          <w:divBdr>
            <w:top w:val="none" w:sz="0" w:space="0" w:color="auto"/>
            <w:left w:val="none" w:sz="0" w:space="0" w:color="auto"/>
            <w:bottom w:val="none" w:sz="0" w:space="0" w:color="auto"/>
            <w:right w:val="none" w:sz="0" w:space="0" w:color="auto"/>
          </w:divBdr>
        </w:div>
        <w:div w:id="120272043">
          <w:marLeft w:val="640"/>
          <w:marRight w:val="0"/>
          <w:marTop w:val="0"/>
          <w:marBottom w:val="0"/>
          <w:divBdr>
            <w:top w:val="none" w:sz="0" w:space="0" w:color="auto"/>
            <w:left w:val="none" w:sz="0" w:space="0" w:color="auto"/>
            <w:bottom w:val="none" w:sz="0" w:space="0" w:color="auto"/>
            <w:right w:val="none" w:sz="0" w:space="0" w:color="auto"/>
          </w:divBdr>
        </w:div>
        <w:div w:id="222177139">
          <w:marLeft w:val="640"/>
          <w:marRight w:val="0"/>
          <w:marTop w:val="0"/>
          <w:marBottom w:val="0"/>
          <w:divBdr>
            <w:top w:val="none" w:sz="0" w:space="0" w:color="auto"/>
            <w:left w:val="none" w:sz="0" w:space="0" w:color="auto"/>
            <w:bottom w:val="none" w:sz="0" w:space="0" w:color="auto"/>
            <w:right w:val="none" w:sz="0" w:space="0" w:color="auto"/>
          </w:divBdr>
        </w:div>
        <w:div w:id="1876966449">
          <w:marLeft w:val="640"/>
          <w:marRight w:val="0"/>
          <w:marTop w:val="0"/>
          <w:marBottom w:val="0"/>
          <w:divBdr>
            <w:top w:val="none" w:sz="0" w:space="0" w:color="auto"/>
            <w:left w:val="none" w:sz="0" w:space="0" w:color="auto"/>
            <w:bottom w:val="none" w:sz="0" w:space="0" w:color="auto"/>
            <w:right w:val="none" w:sz="0" w:space="0" w:color="auto"/>
          </w:divBdr>
        </w:div>
        <w:div w:id="1249729091">
          <w:marLeft w:val="640"/>
          <w:marRight w:val="0"/>
          <w:marTop w:val="0"/>
          <w:marBottom w:val="0"/>
          <w:divBdr>
            <w:top w:val="none" w:sz="0" w:space="0" w:color="auto"/>
            <w:left w:val="none" w:sz="0" w:space="0" w:color="auto"/>
            <w:bottom w:val="none" w:sz="0" w:space="0" w:color="auto"/>
            <w:right w:val="none" w:sz="0" w:space="0" w:color="auto"/>
          </w:divBdr>
        </w:div>
        <w:div w:id="1370954033">
          <w:marLeft w:val="640"/>
          <w:marRight w:val="0"/>
          <w:marTop w:val="0"/>
          <w:marBottom w:val="0"/>
          <w:divBdr>
            <w:top w:val="none" w:sz="0" w:space="0" w:color="auto"/>
            <w:left w:val="none" w:sz="0" w:space="0" w:color="auto"/>
            <w:bottom w:val="none" w:sz="0" w:space="0" w:color="auto"/>
            <w:right w:val="none" w:sz="0" w:space="0" w:color="auto"/>
          </w:divBdr>
        </w:div>
        <w:div w:id="186219193">
          <w:marLeft w:val="640"/>
          <w:marRight w:val="0"/>
          <w:marTop w:val="0"/>
          <w:marBottom w:val="0"/>
          <w:divBdr>
            <w:top w:val="none" w:sz="0" w:space="0" w:color="auto"/>
            <w:left w:val="none" w:sz="0" w:space="0" w:color="auto"/>
            <w:bottom w:val="none" w:sz="0" w:space="0" w:color="auto"/>
            <w:right w:val="none" w:sz="0" w:space="0" w:color="auto"/>
          </w:divBdr>
        </w:div>
        <w:div w:id="1156338709">
          <w:marLeft w:val="640"/>
          <w:marRight w:val="0"/>
          <w:marTop w:val="0"/>
          <w:marBottom w:val="0"/>
          <w:divBdr>
            <w:top w:val="none" w:sz="0" w:space="0" w:color="auto"/>
            <w:left w:val="none" w:sz="0" w:space="0" w:color="auto"/>
            <w:bottom w:val="none" w:sz="0" w:space="0" w:color="auto"/>
            <w:right w:val="none" w:sz="0" w:space="0" w:color="auto"/>
          </w:divBdr>
        </w:div>
        <w:div w:id="1494492737">
          <w:marLeft w:val="640"/>
          <w:marRight w:val="0"/>
          <w:marTop w:val="0"/>
          <w:marBottom w:val="0"/>
          <w:divBdr>
            <w:top w:val="none" w:sz="0" w:space="0" w:color="auto"/>
            <w:left w:val="none" w:sz="0" w:space="0" w:color="auto"/>
            <w:bottom w:val="none" w:sz="0" w:space="0" w:color="auto"/>
            <w:right w:val="none" w:sz="0" w:space="0" w:color="auto"/>
          </w:divBdr>
        </w:div>
        <w:div w:id="564142876">
          <w:marLeft w:val="640"/>
          <w:marRight w:val="0"/>
          <w:marTop w:val="0"/>
          <w:marBottom w:val="0"/>
          <w:divBdr>
            <w:top w:val="none" w:sz="0" w:space="0" w:color="auto"/>
            <w:left w:val="none" w:sz="0" w:space="0" w:color="auto"/>
            <w:bottom w:val="none" w:sz="0" w:space="0" w:color="auto"/>
            <w:right w:val="none" w:sz="0" w:space="0" w:color="auto"/>
          </w:divBdr>
        </w:div>
        <w:div w:id="77287255">
          <w:marLeft w:val="640"/>
          <w:marRight w:val="0"/>
          <w:marTop w:val="0"/>
          <w:marBottom w:val="0"/>
          <w:divBdr>
            <w:top w:val="none" w:sz="0" w:space="0" w:color="auto"/>
            <w:left w:val="none" w:sz="0" w:space="0" w:color="auto"/>
            <w:bottom w:val="none" w:sz="0" w:space="0" w:color="auto"/>
            <w:right w:val="none" w:sz="0" w:space="0" w:color="auto"/>
          </w:divBdr>
        </w:div>
        <w:div w:id="1838155476">
          <w:marLeft w:val="640"/>
          <w:marRight w:val="0"/>
          <w:marTop w:val="0"/>
          <w:marBottom w:val="0"/>
          <w:divBdr>
            <w:top w:val="none" w:sz="0" w:space="0" w:color="auto"/>
            <w:left w:val="none" w:sz="0" w:space="0" w:color="auto"/>
            <w:bottom w:val="none" w:sz="0" w:space="0" w:color="auto"/>
            <w:right w:val="none" w:sz="0" w:space="0" w:color="auto"/>
          </w:divBdr>
        </w:div>
        <w:div w:id="2091150031">
          <w:marLeft w:val="640"/>
          <w:marRight w:val="0"/>
          <w:marTop w:val="0"/>
          <w:marBottom w:val="0"/>
          <w:divBdr>
            <w:top w:val="none" w:sz="0" w:space="0" w:color="auto"/>
            <w:left w:val="none" w:sz="0" w:space="0" w:color="auto"/>
            <w:bottom w:val="none" w:sz="0" w:space="0" w:color="auto"/>
            <w:right w:val="none" w:sz="0" w:space="0" w:color="auto"/>
          </w:divBdr>
        </w:div>
        <w:div w:id="484708524">
          <w:marLeft w:val="640"/>
          <w:marRight w:val="0"/>
          <w:marTop w:val="0"/>
          <w:marBottom w:val="0"/>
          <w:divBdr>
            <w:top w:val="none" w:sz="0" w:space="0" w:color="auto"/>
            <w:left w:val="none" w:sz="0" w:space="0" w:color="auto"/>
            <w:bottom w:val="none" w:sz="0" w:space="0" w:color="auto"/>
            <w:right w:val="none" w:sz="0" w:space="0" w:color="auto"/>
          </w:divBdr>
        </w:div>
        <w:div w:id="698048190">
          <w:marLeft w:val="640"/>
          <w:marRight w:val="0"/>
          <w:marTop w:val="0"/>
          <w:marBottom w:val="0"/>
          <w:divBdr>
            <w:top w:val="none" w:sz="0" w:space="0" w:color="auto"/>
            <w:left w:val="none" w:sz="0" w:space="0" w:color="auto"/>
            <w:bottom w:val="none" w:sz="0" w:space="0" w:color="auto"/>
            <w:right w:val="none" w:sz="0" w:space="0" w:color="auto"/>
          </w:divBdr>
        </w:div>
        <w:div w:id="1213344662">
          <w:marLeft w:val="640"/>
          <w:marRight w:val="0"/>
          <w:marTop w:val="0"/>
          <w:marBottom w:val="0"/>
          <w:divBdr>
            <w:top w:val="none" w:sz="0" w:space="0" w:color="auto"/>
            <w:left w:val="none" w:sz="0" w:space="0" w:color="auto"/>
            <w:bottom w:val="none" w:sz="0" w:space="0" w:color="auto"/>
            <w:right w:val="none" w:sz="0" w:space="0" w:color="auto"/>
          </w:divBdr>
        </w:div>
        <w:div w:id="816920276">
          <w:marLeft w:val="640"/>
          <w:marRight w:val="0"/>
          <w:marTop w:val="0"/>
          <w:marBottom w:val="0"/>
          <w:divBdr>
            <w:top w:val="none" w:sz="0" w:space="0" w:color="auto"/>
            <w:left w:val="none" w:sz="0" w:space="0" w:color="auto"/>
            <w:bottom w:val="none" w:sz="0" w:space="0" w:color="auto"/>
            <w:right w:val="none" w:sz="0" w:space="0" w:color="auto"/>
          </w:divBdr>
        </w:div>
        <w:div w:id="2039743842">
          <w:marLeft w:val="640"/>
          <w:marRight w:val="0"/>
          <w:marTop w:val="0"/>
          <w:marBottom w:val="0"/>
          <w:divBdr>
            <w:top w:val="none" w:sz="0" w:space="0" w:color="auto"/>
            <w:left w:val="none" w:sz="0" w:space="0" w:color="auto"/>
            <w:bottom w:val="none" w:sz="0" w:space="0" w:color="auto"/>
            <w:right w:val="none" w:sz="0" w:space="0" w:color="auto"/>
          </w:divBdr>
        </w:div>
        <w:div w:id="101385992">
          <w:marLeft w:val="640"/>
          <w:marRight w:val="0"/>
          <w:marTop w:val="0"/>
          <w:marBottom w:val="0"/>
          <w:divBdr>
            <w:top w:val="none" w:sz="0" w:space="0" w:color="auto"/>
            <w:left w:val="none" w:sz="0" w:space="0" w:color="auto"/>
            <w:bottom w:val="none" w:sz="0" w:space="0" w:color="auto"/>
            <w:right w:val="none" w:sz="0" w:space="0" w:color="auto"/>
          </w:divBdr>
        </w:div>
        <w:div w:id="1003246423">
          <w:marLeft w:val="640"/>
          <w:marRight w:val="0"/>
          <w:marTop w:val="0"/>
          <w:marBottom w:val="0"/>
          <w:divBdr>
            <w:top w:val="none" w:sz="0" w:space="0" w:color="auto"/>
            <w:left w:val="none" w:sz="0" w:space="0" w:color="auto"/>
            <w:bottom w:val="none" w:sz="0" w:space="0" w:color="auto"/>
            <w:right w:val="none" w:sz="0" w:space="0" w:color="auto"/>
          </w:divBdr>
        </w:div>
        <w:div w:id="1227646380">
          <w:marLeft w:val="640"/>
          <w:marRight w:val="0"/>
          <w:marTop w:val="0"/>
          <w:marBottom w:val="0"/>
          <w:divBdr>
            <w:top w:val="none" w:sz="0" w:space="0" w:color="auto"/>
            <w:left w:val="none" w:sz="0" w:space="0" w:color="auto"/>
            <w:bottom w:val="none" w:sz="0" w:space="0" w:color="auto"/>
            <w:right w:val="none" w:sz="0" w:space="0" w:color="auto"/>
          </w:divBdr>
        </w:div>
        <w:div w:id="499276336">
          <w:marLeft w:val="640"/>
          <w:marRight w:val="0"/>
          <w:marTop w:val="0"/>
          <w:marBottom w:val="0"/>
          <w:divBdr>
            <w:top w:val="none" w:sz="0" w:space="0" w:color="auto"/>
            <w:left w:val="none" w:sz="0" w:space="0" w:color="auto"/>
            <w:bottom w:val="none" w:sz="0" w:space="0" w:color="auto"/>
            <w:right w:val="none" w:sz="0" w:space="0" w:color="auto"/>
          </w:divBdr>
        </w:div>
        <w:div w:id="2105298850">
          <w:marLeft w:val="640"/>
          <w:marRight w:val="0"/>
          <w:marTop w:val="0"/>
          <w:marBottom w:val="0"/>
          <w:divBdr>
            <w:top w:val="none" w:sz="0" w:space="0" w:color="auto"/>
            <w:left w:val="none" w:sz="0" w:space="0" w:color="auto"/>
            <w:bottom w:val="none" w:sz="0" w:space="0" w:color="auto"/>
            <w:right w:val="none" w:sz="0" w:space="0" w:color="auto"/>
          </w:divBdr>
        </w:div>
        <w:div w:id="505171510">
          <w:marLeft w:val="640"/>
          <w:marRight w:val="0"/>
          <w:marTop w:val="0"/>
          <w:marBottom w:val="0"/>
          <w:divBdr>
            <w:top w:val="none" w:sz="0" w:space="0" w:color="auto"/>
            <w:left w:val="none" w:sz="0" w:space="0" w:color="auto"/>
            <w:bottom w:val="none" w:sz="0" w:space="0" w:color="auto"/>
            <w:right w:val="none" w:sz="0" w:space="0" w:color="auto"/>
          </w:divBdr>
        </w:div>
        <w:div w:id="291910987">
          <w:marLeft w:val="640"/>
          <w:marRight w:val="0"/>
          <w:marTop w:val="0"/>
          <w:marBottom w:val="0"/>
          <w:divBdr>
            <w:top w:val="none" w:sz="0" w:space="0" w:color="auto"/>
            <w:left w:val="none" w:sz="0" w:space="0" w:color="auto"/>
            <w:bottom w:val="none" w:sz="0" w:space="0" w:color="auto"/>
            <w:right w:val="none" w:sz="0" w:space="0" w:color="auto"/>
          </w:divBdr>
        </w:div>
        <w:div w:id="511384380">
          <w:marLeft w:val="640"/>
          <w:marRight w:val="0"/>
          <w:marTop w:val="0"/>
          <w:marBottom w:val="0"/>
          <w:divBdr>
            <w:top w:val="none" w:sz="0" w:space="0" w:color="auto"/>
            <w:left w:val="none" w:sz="0" w:space="0" w:color="auto"/>
            <w:bottom w:val="none" w:sz="0" w:space="0" w:color="auto"/>
            <w:right w:val="none" w:sz="0" w:space="0" w:color="auto"/>
          </w:divBdr>
        </w:div>
        <w:div w:id="1587766935">
          <w:marLeft w:val="640"/>
          <w:marRight w:val="0"/>
          <w:marTop w:val="0"/>
          <w:marBottom w:val="0"/>
          <w:divBdr>
            <w:top w:val="none" w:sz="0" w:space="0" w:color="auto"/>
            <w:left w:val="none" w:sz="0" w:space="0" w:color="auto"/>
            <w:bottom w:val="none" w:sz="0" w:space="0" w:color="auto"/>
            <w:right w:val="none" w:sz="0" w:space="0" w:color="auto"/>
          </w:divBdr>
        </w:div>
        <w:div w:id="1385176741">
          <w:marLeft w:val="640"/>
          <w:marRight w:val="0"/>
          <w:marTop w:val="0"/>
          <w:marBottom w:val="0"/>
          <w:divBdr>
            <w:top w:val="none" w:sz="0" w:space="0" w:color="auto"/>
            <w:left w:val="none" w:sz="0" w:space="0" w:color="auto"/>
            <w:bottom w:val="none" w:sz="0" w:space="0" w:color="auto"/>
            <w:right w:val="none" w:sz="0" w:space="0" w:color="auto"/>
          </w:divBdr>
        </w:div>
        <w:div w:id="1073314113">
          <w:marLeft w:val="640"/>
          <w:marRight w:val="0"/>
          <w:marTop w:val="0"/>
          <w:marBottom w:val="0"/>
          <w:divBdr>
            <w:top w:val="none" w:sz="0" w:space="0" w:color="auto"/>
            <w:left w:val="none" w:sz="0" w:space="0" w:color="auto"/>
            <w:bottom w:val="none" w:sz="0" w:space="0" w:color="auto"/>
            <w:right w:val="none" w:sz="0" w:space="0" w:color="auto"/>
          </w:divBdr>
        </w:div>
        <w:div w:id="1814979576">
          <w:marLeft w:val="640"/>
          <w:marRight w:val="0"/>
          <w:marTop w:val="0"/>
          <w:marBottom w:val="0"/>
          <w:divBdr>
            <w:top w:val="none" w:sz="0" w:space="0" w:color="auto"/>
            <w:left w:val="none" w:sz="0" w:space="0" w:color="auto"/>
            <w:bottom w:val="none" w:sz="0" w:space="0" w:color="auto"/>
            <w:right w:val="none" w:sz="0" w:space="0" w:color="auto"/>
          </w:divBdr>
        </w:div>
        <w:div w:id="898831098">
          <w:marLeft w:val="640"/>
          <w:marRight w:val="0"/>
          <w:marTop w:val="0"/>
          <w:marBottom w:val="0"/>
          <w:divBdr>
            <w:top w:val="none" w:sz="0" w:space="0" w:color="auto"/>
            <w:left w:val="none" w:sz="0" w:space="0" w:color="auto"/>
            <w:bottom w:val="none" w:sz="0" w:space="0" w:color="auto"/>
            <w:right w:val="none" w:sz="0" w:space="0" w:color="auto"/>
          </w:divBdr>
        </w:div>
        <w:div w:id="531192822">
          <w:marLeft w:val="640"/>
          <w:marRight w:val="0"/>
          <w:marTop w:val="0"/>
          <w:marBottom w:val="0"/>
          <w:divBdr>
            <w:top w:val="none" w:sz="0" w:space="0" w:color="auto"/>
            <w:left w:val="none" w:sz="0" w:space="0" w:color="auto"/>
            <w:bottom w:val="none" w:sz="0" w:space="0" w:color="auto"/>
            <w:right w:val="none" w:sz="0" w:space="0" w:color="auto"/>
          </w:divBdr>
        </w:div>
        <w:div w:id="2101096544">
          <w:marLeft w:val="640"/>
          <w:marRight w:val="0"/>
          <w:marTop w:val="0"/>
          <w:marBottom w:val="0"/>
          <w:divBdr>
            <w:top w:val="none" w:sz="0" w:space="0" w:color="auto"/>
            <w:left w:val="none" w:sz="0" w:space="0" w:color="auto"/>
            <w:bottom w:val="none" w:sz="0" w:space="0" w:color="auto"/>
            <w:right w:val="none" w:sz="0" w:space="0" w:color="auto"/>
          </w:divBdr>
        </w:div>
        <w:div w:id="1966040011">
          <w:marLeft w:val="640"/>
          <w:marRight w:val="0"/>
          <w:marTop w:val="0"/>
          <w:marBottom w:val="0"/>
          <w:divBdr>
            <w:top w:val="none" w:sz="0" w:space="0" w:color="auto"/>
            <w:left w:val="none" w:sz="0" w:space="0" w:color="auto"/>
            <w:bottom w:val="none" w:sz="0" w:space="0" w:color="auto"/>
            <w:right w:val="none" w:sz="0" w:space="0" w:color="auto"/>
          </w:divBdr>
        </w:div>
        <w:div w:id="274558172">
          <w:marLeft w:val="640"/>
          <w:marRight w:val="0"/>
          <w:marTop w:val="0"/>
          <w:marBottom w:val="0"/>
          <w:divBdr>
            <w:top w:val="none" w:sz="0" w:space="0" w:color="auto"/>
            <w:left w:val="none" w:sz="0" w:space="0" w:color="auto"/>
            <w:bottom w:val="none" w:sz="0" w:space="0" w:color="auto"/>
            <w:right w:val="none" w:sz="0" w:space="0" w:color="auto"/>
          </w:divBdr>
        </w:div>
        <w:div w:id="1419017345">
          <w:marLeft w:val="640"/>
          <w:marRight w:val="0"/>
          <w:marTop w:val="0"/>
          <w:marBottom w:val="0"/>
          <w:divBdr>
            <w:top w:val="none" w:sz="0" w:space="0" w:color="auto"/>
            <w:left w:val="none" w:sz="0" w:space="0" w:color="auto"/>
            <w:bottom w:val="none" w:sz="0" w:space="0" w:color="auto"/>
            <w:right w:val="none" w:sz="0" w:space="0" w:color="auto"/>
          </w:divBdr>
        </w:div>
        <w:div w:id="198125262">
          <w:marLeft w:val="640"/>
          <w:marRight w:val="0"/>
          <w:marTop w:val="0"/>
          <w:marBottom w:val="0"/>
          <w:divBdr>
            <w:top w:val="none" w:sz="0" w:space="0" w:color="auto"/>
            <w:left w:val="none" w:sz="0" w:space="0" w:color="auto"/>
            <w:bottom w:val="none" w:sz="0" w:space="0" w:color="auto"/>
            <w:right w:val="none" w:sz="0" w:space="0" w:color="auto"/>
          </w:divBdr>
        </w:div>
        <w:div w:id="1253010634">
          <w:marLeft w:val="640"/>
          <w:marRight w:val="0"/>
          <w:marTop w:val="0"/>
          <w:marBottom w:val="0"/>
          <w:divBdr>
            <w:top w:val="none" w:sz="0" w:space="0" w:color="auto"/>
            <w:left w:val="none" w:sz="0" w:space="0" w:color="auto"/>
            <w:bottom w:val="none" w:sz="0" w:space="0" w:color="auto"/>
            <w:right w:val="none" w:sz="0" w:space="0" w:color="auto"/>
          </w:divBdr>
        </w:div>
        <w:div w:id="469518765">
          <w:marLeft w:val="640"/>
          <w:marRight w:val="0"/>
          <w:marTop w:val="0"/>
          <w:marBottom w:val="0"/>
          <w:divBdr>
            <w:top w:val="none" w:sz="0" w:space="0" w:color="auto"/>
            <w:left w:val="none" w:sz="0" w:space="0" w:color="auto"/>
            <w:bottom w:val="none" w:sz="0" w:space="0" w:color="auto"/>
            <w:right w:val="none" w:sz="0" w:space="0" w:color="auto"/>
          </w:divBdr>
        </w:div>
        <w:div w:id="354187600">
          <w:marLeft w:val="640"/>
          <w:marRight w:val="0"/>
          <w:marTop w:val="0"/>
          <w:marBottom w:val="0"/>
          <w:divBdr>
            <w:top w:val="none" w:sz="0" w:space="0" w:color="auto"/>
            <w:left w:val="none" w:sz="0" w:space="0" w:color="auto"/>
            <w:bottom w:val="none" w:sz="0" w:space="0" w:color="auto"/>
            <w:right w:val="none" w:sz="0" w:space="0" w:color="auto"/>
          </w:divBdr>
        </w:div>
        <w:div w:id="346636968">
          <w:marLeft w:val="640"/>
          <w:marRight w:val="0"/>
          <w:marTop w:val="0"/>
          <w:marBottom w:val="0"/>
          <w:divBdr>
            <w:top w:val="none" w:sz="0" w:space="0" w:color="auto"/>
            <w:left w:val="none" w:sz="0" w:space="0" w:color="auto"/>
            <w:bottom w:val="none" w:sz="0" w:space="0" w:color="auto"/>
            <w:right w:val="none" w:sz="0" w:space="0" w:color="auto"/>
          </w:divBdr>
        </w:div>
        <w:div w:id="1195852627">
          <w:marLeft w:val="640"/>
          <w:marRight w:val="0"/>
          <w:marTop w:val="0"/>
          <w:marBottom w:val="0"/>
          <w:divBdr>
            <w:top w:val="none" w:sz="0" w:space="0" w:color="auto"/>
            <w:left w:val="none" w:sz="0" w:space="0" w:color="auto"/>
            <w:bottom w:val="none" w:sz="0" w:space="0" w:color="auto"/>
            <w:right w:val="none" w:sz="0" w:space="0" w:color="auto"/>
          </w:divBdr>
        </w:div>
        <w:div w:id="1697731113">
          <w:marLeft w:val="640"/>
          <w:marRight w:val="0"/>
          <w:marTop w:val="0"/>
          <w:marBottom w:val="0"/>
          <w:divBdr>
            <w:top w:val="none" w:sz="0" w:space="0" w:color="auto"/>
            <w:left w:val="none" w:sz="0" w:space="0" w:color="auto"/>
            <w:bottom w:val="none" w:sz="0" w:space="0" w:color="auto"/>
            <w:right w:val="none" w:sz="0" w:space="0" w:color="auto"/>
          </w:divBdr>
        </w:div>
        <w:div w:id="500196480">
          <w:marLeft w:val="640"/>
          <w:marRight w:val="0"/>
          <w:marTop w:val="0"/>
          <w:marBottom w:val="0"/>
          <w:divBdr>
            <w:top w:val="none" w:sz="0" w:space="0" w:color="auto"/>
            <w:left w:val="none" w:sz="0" w:space="0" w:color="auto"/>
            <w:bottom w:val="none" w:sz="0" w:space="0" w:color="auto"/>
            <w:right w:val="none" w:sz="0" w:space="0" w:color="auto"/>
          </w:divBdr>
        </w:div>
        <w:div w:id="744113564">
          <w:marLeft w:val="640"/>
          <w:marRight w:val="0"/>
          <w:marTop w:val="0"/>
          <w:marBottom w:val="0"/>
          <w:divBdr>
            <w:top w:val="none" w:sz="0" w:space="0" w:color="auto"/>
            <w:left w:val="none" w:sz="0" w:space="0" w:color="auto"/>
            <w:bottom w:val="none" w:sz="0" w:space="0" w:color="auto"/>
            <w:right w:val="none" w:sz="0" w:space="0" w:color="auto"/>
          </w:divBdr>
        </w:div>
        <w:div w:id="501893271">
          <w:marLeft w:val="640"/>
          <w:marRight w:val="0"/>
          <w:marTop w:val="0"/>
          <w:marBottom w:val="0"/>
          <w:divBdr>
            <w:top w:val="none" w:sz="0" w:space="0" w:color="auto"/>
            <w:left w:val="none" w:sz="0" w:space="0" w:color="auto"/>
            <w:bottom w:val="none" w:sz="0" w:space="0" w:color="auto"/>
            <w:right w:val="none" w:sz="0" w:space="0" w:color="auto"/>
          </w:divBdr>
        </w:div>
        <w:div w:id="1839416742">
          <w:marLeft w:val="640"/>
          <w:marRight w:val="0"/>
          <w:marTop w:val="0"/>
          <w:marBottom w:val="0"/>
          <w:divBdr>
            <w:top w:val="none" w:sz="0" w:space="0" w:color="auto"/>
            <w:left w:val="none" w:sz="0" w:space="0" w:color="auto"/>
            <w:bottom w:val="none" w:sz="0" w:space="0" w:color="auto"/>
            <w:right w:val="none" w:sz="0" w:space="0" w:color="auto"/>
          </w:divBdr>
        </w:div>
        <w:div w:id="140774814">
          <w:marLeft w:val="640"/>
          <w:marRight w:val="0"/>
          <w:marTop w:val="0"/>
          <w:marBottom w:val="0"/>
          <w:divBdr>
            <w:top w:val="none" w:sz="0" w:space="0" w:color="auto"/>
            <w:left w:val="none" w:sz="0" w:space="0" w:color="auto"/>
            <w:bottom w:val="none" w:sz="0" w:space="0" w:color="auto"/>
            <w:right w:val="none" w:sz="0" w:space="0" w:color="auto"/>
          </w:divBdr>
        </w:div>
        <w:div w:id="2080052852">
          <w:marLeft w:val="640"/>
          <w:marRight w:val="0"/>
          <w:marTop w:val="0"/>
          <w:marBottom w:val="0"/>
          <w:divBdr>
            <w:top w:val="none" w:sz="0" w:space="0" w:color="auto"/>
            <w:left w:val="none" w:sz="0" w:space="0" w:color="auto"/>
            <w:bottom w:val="none" w:sz="0" w:space="0" w:color="auto"/>
            <w:right w:val="none" w:sz="0" w:space="0" w:color="auto"/>
          </w:divBdr>
        </w:div>
        <w:div w:id="1829831927">
          <w:marLeft w:val="640"/>
          <w:marRight w:val="0"/>
          <w:marTop w:val="0"/>
          <w:marBottom w:val="0"/>
          <w:divBdr>
            <w:top w:val="none" w:sz="0" w:space="0" w:color="auto"/>
            <w:left w:val="none" w:sz="0" w:space="0" w:color="auto"/>
            <w:bottom w:val="none" w:sz="0" w:space="0" w:color="auto"/>
            <w:right w:val="none" w:sz="0" w:space="0" w:color="auto"/>
          </w:divBdr>
        </w:div>
        <w:div w:id="1960144233">
          <w:marLeft w:val="640"/>
          <w:marRight w:val="0"/>
          <w:marTop w:val="0"/>
          <w:marBottom w:val="0"/>
          <w:divBdr>
            <w:top w:val="none" w:sz="0" w:space="0" w:color="auto"/>
            <w:left w:val="none" w:sz="0" w:space="0" w:color="auto"/>
            <w:bottom w:val="none" w:sz="0" w:space="0" w:color="auto"/>
            <w:right w:val="none" w:sz="0" w:space="0" w:color="auto"/>
          </w:divBdr>
        </w:div>
        <w:div w:id="253167703">
          <w:marLeft w:val="640"/>
          <w:marRight w:val="0"/>
          <w:marTop w:val="0"/>
          <w:marBottom w:val="0"/>
          <w:divBdr>
            <w:top w:val="none" w:sz="0" w:space="0" w:color="auto"/>
            <w:left w:val="none" w:sz="0" w:space="0" w:color="auto"/>
            <w:bottom w:val="none" w:sz="0" w:space="0" w:color="auto"/>
            <w:right w:val="none" w:sz="0" w:space="0" w:color="auto"/>
          </w:divBdr>
        </w:div>
        <w:div w:id="121771983">
          <w:marLeft w:val="640"/>
          <w:marRight w:val="0"/>
          <w:marTop w:val="0"/>
          <w:marBottom w:val="0"/>
          <w:divBdr>
            <w:top w:val="none" w:sz="0" w:space="0" w:color="auto"/>
            <w:left w:val="none" w:sz="0" w:space="0" w:color="auto"/>
            <w:bottom w:val="none" w:sz="0" w:space="0" w:color="auto"/>
            <w:right w:val="none" w:sz="0" w:space="0" w:color="auto"/>
          </w:divBdr>
        </w:div>
        <w:div w:id="2031293706">
          <w:marLeft w:val="640"/>
          <w:marRight w:val="0"/>
          <w:marTop w:val="0"/>
          <w:marBottom w:val="0"/>
          <w:divBdr>
            <w:top w:val="none" w:sz="0" w:space="0" w:color="auto"/>
            <w:left w:val="none" w:sz="0" w:space="0" w:color="auto"/>
            <w:bottom w:val="none" w:sz="0" w:space="0" w:color="auto"/>
            <w:right w:val="none" w:sz="0" w:space="0" w:color="auto"/>
          </w:divBdr>
        </w:div>
        <w:div w:id="604770861">
          <w:marLeft w:val="640"/>
          <w:marRight w:val="0"/>
          <w:marTop w:val="0"/>
          <w:marBottom w:val="0"/>
          <w:divBdr>
            <w:top w:val="none" w:sz="0" w:space="0" w:color="auto"/>
            <w:left w:val="none" w:sz="0" w:space="0" w:color="auto"/>
            <w:bottom w:val="none" w:sz="0" w:space="0" w:color="auto"/>
            <w:right w:val="none" w:sz="0" w:space="0" w:color="auto"/>
          </w:divBdr>
        </w:div>
        <w:div w:id="1401363903">
          <w:marLeft w:val="640"/>
          <w:marRight w:val="0"/>
          <w:marTop w:val="0"/>
          <w:marBottom w:val="0"/>
          <w:divBdr>
            <w:top w:val="none" w:sz="0" w:space="0" w:color="auto"/>
            <w:left w:val="none" w:sz="0" w:space="0" w:color="auto"/>
            <w:bottom w:val="none" w:sz="0" w:space="0" w:color="auto"/>
            <w:right w:val="none" w:sz="0" w:space="0" w:color="auto"/>
          </w:divBdr>
        </w:div>
        <w:div w:id="882211812">
          <w:marLeft w:val="640"/>
          <w:marRight w:val="0"/>
          <w:marTop w:val="0"/>
          <w:marBottom w:val="0"/>
          <w:divBdr>
            <w:top w:val="none" w:sz="0" w:space="0" w:color="auto"/>
            <w:left w:val="none" w:sz="0" w:space="0" w:color="auto"/>
            <w:bottom w:val="none" w:sz="0" w:space="0" w:color="auto"/>
            <w:right w:val="none" w:sz="0" w:space="0" w:color="auto"/>
          </w:divBdr>
        </w:div>
        <w:div w:id="2116240909">
          <w:marLeft w:val="640"/>
          <w:marRight w:val="0"/>
          <w:marTop w:val="0"/>
          <w:marBottom w:val="0"/>
          <w:divBdr>
            <w:top w:val="none" w:sz="0" w:space="0" w:color="auto"/>
            <w:left w:val="none" w:sz="0" w:space="0" w:color="auto"/>
            <w:bottom w:val="none" w:sz="0" w:space="0" w:color="auto"/>
            <w:right w:val="none" w:sz="0" w:space="0" w:color="auto"/>
          </w:divBdr>
        </w:div>
        <w:div w:id="271253941">
          <w:marLeft w:val="640"/>
          <w:marRight w:val="0"/>
          <w:marTop w:val="0"/>
          <w:marBottom w:val="0"/>
          <w:divBdr>
            <w:top w:val="none" w:sz="0" w:space="0" w:color="auto"/>
            <w:left w:val="none" w:sz="0" w:space="0" w:color="auto"/>
            <w:bottom w:val="none" w:sz="0" w:space="0" w:color="auto"/>
            <w:right w:val="none" w:sz="0" w:space="0" w:color="auto"/>
          </w:divBdr>
        </w:div>
        <w:div w:id="254633934">
          <w:marLeft w:val="640"/>
          <w:marRight w:val="0"/>
          <w:marTop w:val="0"/>
          <w:marBottom w:val="0"/>
          <w:divBdr>
            <w:top w:val="none" w:sz="0" w:space="0" w:color="auto"/>
            <w:left w:val="none" w:sz="0" w:space="0" w:color="auto"/>
            <w:bottom w:val="none" w:sz="0" w:space="0" w:color="auto"/>
            <w:right w:val="none" w:sz="0" w:space="0" w:color="auto"/>
          </w:divBdr>
        </w:div>
        <w:div w:id="1759136338">
          <w:marLeft w:val="640"/>
          <w:marRight w:val="0"/>
          <w:marTop w:val="0"/>
          <w:marBottom w:val="0"/>
          <w:divBdr>
            <w:top w:val="none" w:sz="0" w:space="0" w:color="auto"/>
            <w:left w:val="none" w:sz="0" w:space="0" w:color="auto"/>
            <w:bottom w:val="none" w:sz="0" w:space="0" w:color="auto"/>
            <w:right w:val="none" w:sz="0" w:space="0" w:color="auto"/>
          </w:divBdr>
        </w:div>
        <w:div w:id="1445733498">
          <w:marLeft w:val="640"/>
          <w:marRight w:val="0"/>
          <w:marTop w:val="0"/>
          <w:marBottom w:val="0"/>
          <w:divBdr>
            <w:top w:val="none" w:sz="0" w:space="0" w:color="auto"/>
            <w:left w:val="none" w:sz="0" w:space="0" w:color="auto"/>
            <w:bottom w:val="none" w:sz="0" w:space="0" w:color="auto"/>
            <w:right w:val="none" w:sz="0" w:space="0" w:color="auto"/>
          </w:divBdr>
        </w:div>
        <w:div w:id="1933081794">
          <w:marLeft w:val="640"/>
          <w:marRight w:val="0"/>
          <w:marTop w:val="0"/>
          <w:marBottom w:val="0"/>
          <w:divBdr>
            <w:top w:val="none" w:sz="0" w:space="0" w:color="auto"/>
            <w:left w:val="none" w:sz="0" w:space="0" w:color="auto"/>
            <w:bottom w:val="none" w:sz="0" w:space="0" w:color="auto"/>
            <w:right w:val="none" w:sz="0" w:space="0" w:color="auto"/>
          </w:divBdr>
        </w:div>
        <w:div w:id="1463814820">
          <w:marLeft w:val="640"/>
          <w:marRight w:val="0"/>
          <w:marTop w:val="0"/>
          <w:marBottom w:val="0"/>
          <w:divBdr>
            <w:top w:val="none" w:sz="0" w:space="0" w:color="auto"/>
            <w:left w:val="none" w:sz="0" w:space="0" w:color="auto"/>
            <w:bottom w:val="none" w:sz="0" w:space="0" w:color="auto"/>
            <w:right w:val="none" w:sz="0" w:space="0" w:color="auto"/>
          </w:divBdr>
        </w:div>
        <w:div w:id="873344748">
          <w:marLeft w:val="640"/>
          <w:marRight w:val="0"/>
          <w:marTop w:val="0"/>
          <w:marBottom w:val="0"/>
          <w:divBdr>
            <w:top w:val="none" w:sz="0" w:space="0" w:color="auto"/>
            <w:left w:val="none" w:sz="0" w:space="0" w:color="auto"/>
            <w:bottom w:val="none" w:sz="0" w:space="0" w:color="auto"/>
            <w:right w:val="none" w:sz="0" w:space="0" w:color="auto"/>
          </w:divBdr>
        </w:div>
        <w:div w:id="700281771">
          <w:marLeft w:val="640"/>
          <w:marRight w:val="0"/>
          <w:marTop w:val="0"/>
          <w:marBottom w:val="0"/>
          <w:divBdr>
            <w:top w:val="none" w:sz="0" w:space="0" w:color="auto"/>
            <w:left w:val="none" w:sz="0" w:space="0" w:color="auto"/>
            <w:bottom w:val="none" w:sz="0" w:space="0" w:color="auto"/>
            <w:right w:val="none" w:sz="0" w:space="0" w:color="auto"/>
          </w:divBdr>
        </w:div>
        <w:div w:id="352389741">
          <w:marLeft w:val="640"/>
          <w:marRight w:val="0"/>
          <w:marTop w:val="0"/>
          <w:marBottom w:val="0"/>
          <w:divBdr>
            <w:top w:val="none" w:sz="0" w:space="0" w:color="auto"/>
            <w:left w:val="none" w:sz="0" w:space="0" w:color="auto"/>
            <w:bottom w:val="none" w:sz="0" w:space="0" w:color="auto"/>
            <w:right w:val="none" w:sz="0" w:space="0" w:color="auto"/>
          </w:divBdr>
        </w:div>
        <w:div w:id="258100378">
          <w:marLeft w:val="640"/>
          <w:marRight w:val="0"/>
          <w:marTop w:val="0"/>
          <w:marBottom w:val="0"/>
          <w:divBdr>
            <w:top w:val="none" w:sz="0" w:space="0" w:color="auto"/>
            <w:left w:val="none" w:sz="0" w:space="0" w:color="auto"/>
            <w:bottom w:val="none" w:sz="0" w:space="0" w:color="auto"/>
            <w:right w:val="none" w:sz="0" w:space="0" w:color="auto"/>
          </w:divBdr>
        </w:div>
        <w:div w:id="1578245779">
          <w:marLeft w:val="640"/>
          <w:marRight w:val="0"/>
          <w:marTop w:val="0"/>
          <w:marBottom w:val="0"/>
          <w:divBdr>
            <w:top w:val="none" w:sz="0" w:space="0" w:color="auto"/>
            <w:left w:val="none" w:sz="0" w:space="0" w:color="auto"/>
            <w:bottom w:val="none" w:sz="0" w:space="0" w:color="auto"/>
            <w:right w:val="none" w:sz="0" w:space="0" w:color="auto"/>
          </w:divBdr>
        </w:div>
        <w:div w:id="153954084">
          <w:marLeft w:val="640"/>
          <w:marRight w:val="0"/>
          <w:marTop w:val="0"/>
          <w:marBottom w:val="0"/>
          <w:divBdr>
            <w:top w:val="none" w:sz="0" w:space="0" w:color="auto"/>
            <w:left w:val="none" w:sz="0" w:space="0" w:color="auto"/>
            <w:bottom w:val="none" w:sz="0" w:space="0" w:color="auto"/>
            <w:right w:val="none" w:sz="0" w:space="0" w:color="auto"/>
          </w:divBdr>
        </w:div>
        <w:div w:id="746345316">
          <w:marLeft w:val="640"/>
          <w:marRight w:val="0"/>
          <w:marTop w:val="0"/>
          <w:marBottom w:val="0"/>
          <w:divBdr>
            <w:top w:val="none" w:sz="0" w:space="0" w:color="auto"/>
            <w:left w:val="none" w:sz="0" w:space="0" w:color="auto"/>
            <w:bottom w:val="none" w:sz="0" w:space="0" w:color="auto"/>
            <w:right w:val="none" w:sz="0" w:space="0" w:color="auto"/>
          </w:divBdr>
        </w:div>
        <w:div w:id="917597261">
          <w:marLeft w:val="640"/>
          <w:marRight w:val="0"/>
          <w:marTop w:val="0"/>
          <w:marBottom w:val="0"/>
          <w:divBdr>
            <w:top w:val="none" w:sz="0" w:space="0" w:color="auto"/>
            <w:left w:val="none" w:sz="0" w:space="0" w:color="auto"/>
            <w:bottom w:val="none" w:sz="0" w:space="0" w:color="auto"/>
            <w:right w:val="none" w:sz="0" w:space="0" w:color="auto"/>
          </w:divBdr>
        </w:div>
        <w:div w:id="1611204922">
          <w:marLeft w:val="640"/>
          <w:marRight w:val="0"/>
          <w:marTop w:val="0"/>
          <w:marBottom w:val="0"/>
          <w:divBdr>
            <w:top w:val="none" w:sz="0" w:space="0" w:color="auto"/>
            <w:left w:val="none" w:sz="0" w:space="0" w:color="auto"/>
            <w:bottom w:val="none" w:sz="0" w:space="0" w:color="auto"/>
            <w:right w:val="none" w:sz="0" w:space="0" w:color="auto"/>
          </w:divBdr>
        </w:div>
        <w:div w:id="1974170741">
          <w:marLeft w:val="640"/>
          <w:marRight w:val="0"/>
          <w:marTop w:val="0"/>
          <w:marBottom w:val="0"/>
          <w:divBdr>
            <w:top w:val="none" w:sz="0" w:space="0" w:color="auto"/>
            <w:left w:val="none" w:sz="0" w:space="0" w:color="auto"/>
            <w:bottom w:val="none" w:sz="0" w:space="0" w:color="auto"/>
            <w:right w:val="none" w:sz="0" w:space="0" w:color="auto"/>
          </w:divBdr>
        </w:div>
        <w:div w:id="1522623646">
          <w:marLeft w:val="640"/>
          <w:marRight w:val="0"/>
          <w:marTop w:val="0"/>
          <w:marBottom w:val="0"/>
          <w:divBdr>
            <w:top w:val="none" w:sz="0" w:space="0" w:color="auto"/>
            <w:left w:val="none" w:sz="0" w:space="0" w:color="auto"/>
            <w:bottom w:val="none" w:sz="0" w:space="0" w:color="auto"/>
            <w:right w:val="none" w:sz="0" w:space="0" w:color="auto"/>
          </w:divBdr>
        </w:div>
        <w:div w:id="568151851">
          <w:marLeft w:val="640"/>
          <w:marRight w:val="0"/>
          <w:marTop w:val="0"/>
          <w:marBottom w:val="0"/>
          <w:divBdr>
            <w:top w:val="none" w:sz="0" w:space="0" w:color="auto"/>
            <w:left w:val="none" w:sz="0" w:space="0" w:color="auto"/>
            <w:bottom w:val="none" w:sz="0" w:space="0" w:color="auto"/>
            <w:right w:val="none" w:sz="0" w:space="0" w:color="auto"/>
          </w:divBdr>
        </w:div>
        <w:div w:id="1159004255">
          <w:marLeft w:val="640"/>
          <w:marRight w:val="0"/>
          <w:marTop w:val="0"/>
          <w:marBottom w:val="0"/>
          <w:divBdr>
            <w:top w:val="none" w:sz="0" w:space="0" w:color="auto"/>
            <w:left w:val="none" w:sz="0" w:space="0" w:color="auto"/>
            <w:bottom w:val="none" w:sz="0" w:space="0" w:color="auto"/>
            <w:right w:val="none" w:sz="0" w:space="0" w:color="auto"/>
          </w:divBdr>
        </w:div>
        <w:div w:id="1233274951">
          <w:marLeft w:val="640"/>
          <w:marRight w:val="0"/>
          <w:marTop w:val="0"/>
          <w:marBottom w:val="0"/>
          <w:divBdr>
            <w:top w:val="none" w:sz="0" w:space="0" w:color="auto"/>
            <w:left w:val="none" w:sz="0" w:space="0" w:color="auto"/>
            <w:bottom w:val="none" w:sz="0" w:space="0" w:color="auto"/>
            <w:right w:val="none" w:sz="0" w:space="0" w:color="auto"/>
          </w:divBdr>
        </w:div>
        <w:div w:id="1786119936">
          <w:marLeft w:val="640"/>
          <w:marRight w:val="0"/>
          <w:marTop w:val="0"/>
          <w:marBottom w:val="0"/>
          <w:divBdr>
            <w:top w:val="none" w:sz="0" w:space="0" w:color="auto"/>
            <w:left w:val="none" w:sz="0" w:space="0" w:color="auto"/>
            <w:bottom w:val="none" w:sz="0" w:space="0" w:color="auto"/>
            <w:right w:val="none" w:sz="0" w:space="0" w:color="auto"/>
          </w:divBdr>
        </w:div>
        <w:div w:id="514880702">
          <w:marLeft w:val="640"/>
          <w:marRight w:val="0"/>
          <w:marTop w:val="0"/>
          <w:marBottom w:val="0"/>
          <w:divBdr>
            <w:top w:val="none" w:sz="0" w:space="0" w:color="auto"/>
            <w:left w:val="none" w:sz="0" w:space="0" w:color="auto"/>
            <w:bottom w:val="none" w:sz="0" w:space="0" w:color="auto"/>
            <w:right w:val="none" w:sz="0" w:space="0" w:color="auto"/>
          </w:divBdr>
        </w:div>
        <w:div w:id="1005284073">
          <w:marLeft w:val="640"/>
          <w:marRight w:val="0"/>
          <w:marTop w:val="0"/>
          <w:marBottom w:val="0"/>
          <w:divBdr>
            <w:top w:val="none" w:sz="0" w:space="0" w:color="auto"/>
            <w:left w:val="none" w:sz="0" w:space="0" w:color="auto"/>
            <w:bottom w:val="none" w:sz="0" w:space="0" w:color="auto"/>
            <w:right w:val="none" w:sz="0" w:space="0" w:color="auto"/>
          </w:divBdr>
        </w:div>
        <w:div w:id="124274810">
          <w:marLeft w:val="640"/>
          <w:marRight w:val="0"/>
          <w:marTop w:val="0"/>
          <w:marBottom w:val="0"/>
          <w:divBdr>
            <w:top w:val="none" w:sz="0" w:space="0" w:color="auto"/>
            <w:left w:val="none" w:sz="0" w:space="0" w:color="auto"/>
            <w:bottom w:val="none" w:sz="0" w:space="0" w:color="auto"/>
            <w:right w:val="none" w:sz="0" w:space="0" w:color="auto"/>
          </w:divBdr>
        </w:div>
        <w:div w:id="122044484">
          <w:marLeft w:val="640"/>
          <w:marRight w:val="0"/>
          <w:marTop w:val="0"/>
          <w:marBottom w:val="0"/>
          <w:divBdr>
            <w:top w:val="none" w:sz="0" w:space="0" w:color="auto"/>
            <w:left w:val="none" w:sz="0" w:space="0" w:color="auto"/>
            <w:bottom w:val="none" w:sz="0" w:space="0" w:color="auto"/>
            <w:right w:val="none" w:sz="0" w:space="0" w:color="auto"/>
          </w:divBdr>
        </w:div>
        <w:div w:id="2030522424">
          <w:marLeft w:val="640"/>
          <w:marRight w:val="0"/>
          <w:marTop w:val="0"/>
          <w:marBottom w:val="0"/>
          <w:divBdr>
            <w:top w:val="none" w:sz="0" w:space="0" w:color="auto"/>
            <w:left w:val="none" w:sz="0" w:space="0" w:color="auto"/>
            <w:bottom w:val="none" w:sz="0" w:space="0" w:color="auto"/>
            <w:right w:val="none" w:sz="0" w:space="0" w:color="auto"/>
          </w:divBdr>
        </w:div>
        <w:div w:id="314140233">
          <w:marLeft w:val="640"/>
          <w:marRight w:val="0"/>
          <w:marTop w:val="0"/>
          <w:marBottom w:val="0"/>
          <w:divBdr>
            <w:top w:val="none" w:sz="0" w:space="0" w:color="auto"/>
            <w:left w:val="none" w:sz="0" w:space="0" w:color="auto"/>
            <w:bottom w:val="none" w:sz="0" w:space="0" w:color="auto"/>
            <w:right w:val="none" w:sz="0" w:space="0" w:color="auto"/>
          </w:divBdr>
        </w:div>
        <w:div w:id="881792850">
          <w:marLeft w:val="640"/>
          <w:marRight w:val="0"/>
          <w:marTop w:val="0"/>
          <w:marBottom w:val="0"/>
          <w:divBdr>
            <w:top w:val="none" w:sz="0" w:space="0" w:color="auto"/>
            <w:left w:val="none" w:sz="0" w:space="0" w:color="auto"/>
            <w:bottom w:val="none" w:sz="0" w:space="0" w:color="auto"/>
            <w:right w:val="none" w:sz="0" w:space="0" w:color="auto"/>
          </w:divBdr>
        </w:div>
        <w:div w:id="786050774">
          <w:marLeft w:val="640"/>
          <w:marRight w:val="0"/>
          <w:marTop w:val="0"/>
          <w:marBottom w:val="0"/>
          <w:divBdr>
            <w:top w:val="none" w:sz="0" w:space="0" w:color="auto"/>
            <w:left w:val="none" w:sz="0" w:space="0" w:color="auto"/>
            <w:bottom w:val="none" w:sz="0" w:space="0" w:color="auto"/>
            <w:right w:val="none" w:sz="0" w:space="0" w:color="auto"/>
          </w:divBdr>
        </w:div>
        <w:div w:id="1779981777">
          <w:marLeft w:val="640"/>
          <w:marRight w:val="0"/>
          <w:marTop w:val="0"/>
          <w:marBottom w:val="0"/>
          <w:divBdr>
            <w:top w:val="none" w:sz="0" w:space="0" w:color="auto"/>
            <w:left w:val="none" w:sz="0" w:space="0" w:color="auto"/>
            <w:bottom w:val="none" w:sz="0" w:space="0" w:color="auto"/>
            <w:right w:val="none" w:sz="0" w:space="0" w:color="auto"/>
          </w:divBdr>
        </w:div>
        <w:div w:id="1018702595">
          <w:marLeft w:val="640"/>
          <w:marRight w:val="0"/>
          <w:marTop w:val="0"/>
          <w:marBottom w:val="0"/>
          <w:divBdr>
            <w:top w:val="none" w:sz="0" w:space="0" w:color="auto"/>
            <w:left w:val="none" w:sz="0" w:space="0" w:color="auto"/>
            <w:bottom w:val="none" w:sz="0" w:space="0" w:color="auto"/>
            <w:right w:val="none" w:sz="0" w:space="0" w:color="auto"/>
          </w:divBdr>
        </w:div>
        <w:div w:id="972949114">
          <w:marLeft w:val="640"/>
          <w:marRight w:val="0"/>
          <w:marTop w:val="0"/>
          <w:marBottom w:val="0"/>
          <w:divBdr>
            <w:top w:val="none" w:sz="0" w:space="0" w:color="auto"/>
            <w:left w:val="none" w:sz="0" w:space="0" w:color="auto"/>
            <w:bottom w:val="none" w:sz="0" w:space="0" w:color="auto"/>
            <w:right w:val="none" w:sz="0" w:space="0" w:color="auto"/>
          </w:divBdr>
        </w:div>
        <w:div w:id="1873691329">
          <w:marLeft w:val="640"/>
          <w:marRight w:val="0"/>
          <w:marTop w:val="0"/>
          <w:marBottom w:val="0"/>
          <w:divBdr>
            <w:top w:val="none" w:sz="0" w:space="0" w:color="auto"/>
            <w:left w:val="none" w:sz="0" w:space="0" w:color="auto"/>
            <w:bottom w:val="none" w:sz="0" w:space="0" w:color="auto"/>
            <w:right w:val="none" w:sz="0" w:space="0" w:color="auto"/>
          </w:divBdr>
        </w:div>
        <w:div w:id="2087074195">
          <w:marLeft w:val="640"/>
          <w:marRight w:val="0"/>
          <w:marTop w:val="0"/>
          <w:marBottom w:val="0"/>
          <w:divBdr>
            <w:top w:val="none" w:sz="0" w:space="0" w:color="auto"/>
            <w:left w:val="none" w:sz="0" w:space="0" w:color="auto"/>
            <w:bottom w:val="none" w:sz="0" w:space="0" w:color="auto"/>
            <w:right w:val="none" w:sz="0" w:space="0" w:color="auto"/>
          </w:divBdr>
        </w:div>
        <w:div w:id="1481121203">
          <w:marLeft w:val="640"/>
          <w:marRight w:val="0"/>
          <w:marTop w:val="0"/>
          <w:marBottom w:val="0"/>
          <w:divBdr>
            <w:top w:val="none" w:sz="0" w:space="0" w:color="auto"/>
            <w:left w:val="none" w:sz="0" w:space="0" w:color="auto"/>
            <w:bottom w:val="none" w:sz="0" w:space="0" w:color="auto"/>
            <w:right w:val="none" w:sz="0" w:space="0" w:color="auto"/>
          </w:divBdr>
        </w:div>
        <w:div w:id="1547520120">
          <w:marLeft w:val="640"/>
          <w:marRight w:val="0"/>
          <w:marTop w:val="0"/>
          <w:marBottom w:val="0"/>
          <w:divBdr>
            <w:top w:val="none" w:sz="0" w:space="0" w:color="auto"/>
            <w:left w:val="none" w:sz="0" w:space="0" w:color="auto"/>
            <w:bottom w:val="none" w:sz="0" w:space="0" w:color="auto"/>
            <w:right w:val="none" w:sz="0" w:space="0" w:color="auto"/>
          </w:divBdr>
        </w:div>
        <w:div w:id="961112026">
          <w:marLeft w:val="640"/>
          <w:marRight w:val="0"/>
          <w:marTop w:val="0"/>
          <w:marBottom w:val="0"/>
          <w:divBdr>
            <w:top w:val="none" w:sz="0" w:space="0" w:color="auto"/>
            <w:left w:val="none" w:sz="0" w:space="0" w:color="auto"/>
            <w:bottom w:val="none" w:sz="0" w:space="0" w:color="auto"/>
            <w:right w:val="none" w:sz="0" w:space="0" w:color="auto"/>
          </w:divBdr>
        </w:div>
        <w:div w:id="769008590">
          <w:marLeft w:val="640"/>
          <w:marRight w:val="0"/>
          <w:marTop w:val="0"/>
          <w:marBottom w:val="0"/>
          <w:divBdr>
            <w:top w:val="none" w:sz="0" w:space="0" w:color="auto"/>
            <w:left w:val="none" w:sz="0" w:space="0" w:color="auto"/>
            <w:bottom w:val="none" w:sz="0" w:space="0" w:color="auto"/>
            <w:right w:val="none" w:sz="0" w:space="0" w:color="auto"/>
          </w:divBdr>
        </w:div>
        <w:div w:id="695691379">
          <w:marLeft w:val="640"/>
          <w:marRight w:val="0"/>
          <w:marTop w:val="0"/>
          <w:marBottom w:val="0"/>
          <w:divBdr>
            <w:top w:val="none" w:sz="0" w:space="0" w:color="auto"/>
            <w:left w:val="none" w:sz="0" w:space="0" w:color="auto"/>
            <w:bottom w:val="none" w:sz="0" w:space="0" w:color="auto"/>
            <w:right w:val="none" w:sz="0" w:space="0" w:color="auto"/>
          </w:divBdr>
        </w:div>
        <w:div w:id="930047315">
          <w:marLeft w:val="640"/>
          <w:marRight w:val="0"/>
          <w:marTop w:val="0"/>
          <w:marBottom w:val="0"/>
          <w:divBdr>
            <w:top w:val="none" w:sz="0" w:space="0" w:color="auto"/>
            <w:left w:val="none" w:sz="0" w:space="0" w:color="auto"/>
            <w:bottom w:val="none" w:sz="0" w:space="0" w:color="auto"/>
            <w:right w:val="none" w:sz="0" w:space="0" w:color="auto"/>
          </w:divBdr>
        </w:div>
        <w:div w:id="878782318">
          <w:marLeft w:val="640"/>
          <w:marRight w:val="0"/>
          <w:marTop w:val="0"/>
          <w:marBottom w:val="0"/>
          <w:divBdr>
            <w:top w:val="none" w:sz="0" w:space="0" w:color="auto"/>
            <w:left w:val="none" w:sz="0" w:space="0" w:color="auto"/>
            <w:bottom w:val="none" w:sz="0" w:space="0" w:color="auto"/>
            <w:right w:val="none" w:sz="0" w:space="0" w:color="auto"/>
          </w:divBdr>
        </w:div>
        <w:div w:id="708798395">
          <w:marLeft w:val="640"/>
          <w:marRight w:val="0"/>
          <w:marTop w:val="0"/>
          <w:marBottom w:val="0"/>
          <w:divBdr>
            <w:top w:val="none" w:sz="0" w:space="0" w:color="auto"/>
            <w:left w:val="none" w:sz="0" w:space="0" w:color="auto"/>
            <w:bottom w:val="none" w:sz="0" w:space="0" w:color="auto"/>
            <w:right w:val="none" w:sz="0" w:space="0" w:color="auto"/>
          </w:divBdr>
        </w:div>
        <w:div w:id="302664148">
          <w:marLeft w:val="640"/>
          <w:marRight w:val="0"/>
          <w:marTop w:val="0"/>
          <w:marBottom w:val="0"/>
          <w:divBdr>
            <w:top w:val="none" w:sz="0" w:space="0" w:color="auto"/>
            <w:left w:val="none" w:sz="0" w:space="0" w:color="auto"/>
            <w:bottom w:val="none" w:sz="0" w:space="0" w:color="auto"/>
            <w:right w:val="none" w:sz="0" w:space="0" w:color="auto"/>
          </w:divBdr>
        </w:div>
        <w:div w:id="1791432032">
          <w:marLeft w:val="640"/>
          <w:marRight w:val="0"/>
          <w:marTop w:val="0"/>
          <w:marBottom w:val="0"/>
          <w:divBdr>
            <w:top w:val="none" w:sz="0" w:space="0" w:color="auto"/>
            <w:left w:val="none" w:sz="0" w:space="0" w:color="auto"/>
            <w:bottom w:val="none" w:sz="0" w:space="0" w:color="auto"/>
            <w:right w:val="none" w:sz="0" w:space="0" w:color="auto"/>
          </w:divBdr>
        </w:div>
        <w:div w:id="355812775">
          <w:marLeft w:val="640"/>
          <w:marRight w:val="0"/>
          <w:marTop w:val="0"/>
          <w:marBottom w:val="0"/>
          <w:divBdr>
            <w:top w:val="none" w:sz="0" w:space="0" w:color="auto"/>
            <w:left w:val="none" w:sz="0" w:space="0" w:color="auto"/>
            <w:bottom w:val="none" w:sz="0" w:space="0" w:color="auto"/>
            <w:right w:val="none" w:sz="0" w:space="0" w:color="auto"/>
          </w:divBdr>
        </w:div>
        <w:div w:id="718238741">
          <w:marLeft w:val="640"/>
          <w:marRight w:val="0"/>
          <w:marTop w:val="0"/>
          <w:marBottom w:val="0"/>
          <w:divBdr>
            <w:top w:val="none" w:sz="0" w:space="0" w:color="auto"/>
            <w:left w:val="none" w:sz="0" w:space="0" w:color="auto"/>
            <w:bottom w:val="none" w:sz="0" w:space="0" w:color="auto"/>
            <w:right w:val="none" w:sz="0" w:space="0" w:color="auto"/>
          </w:divBdr>
        </w:div>
        <w:div w:id="2140223095">
          <w:marLeft w:val="640"/>
          <w:marRight w:val="0"/>
          <w:marTop w:val="0"/>
          <w:marBottom w:val="0"/>
          <w:divBdr>
            <w:top w:val="none" w:sz="0" w:space="0" w:color="auto"/>
            <w:left w:val="none" w:sz="0" w:space="0" w:color="auto"/>
            <w:bottom w:val="none" w:sz="0" w:space="0" w:color="auto"/>
            <w:right w:val="none" w:sz="0" w:space="0" w:color="auto"/>
          </w:divBdr>
        </w:div>
        <w:div w:id="438914475">
          <w:marLeft w:val="640"/>
          <w:marRight w:val="0"/>
          <w:marTop w:val="0"/>
          <w:marBottom w:val="0"/>
          <w:divBdr>
            <w:top w:val="none" w:sz="0" w:space="0" w:color="auto"/>
            <w:left w:val="none" w:sz="0" w:space="0" w:color="auto"/>
            <w:bottom w:val="none" w:sz="0" w:space="0" w:color="auto"/>
            <w:right w:val="none" w:sz="0" w:space="0" w:color="auto"/>
          </w:divBdr>
        </w:div>
        <w:div w:id="948512522">
          <w:marLeft w:val="640"/>
          <w:marRight w:val="0"/>
          <w:marTop w:val="0"/>
          <w:marBottom w:val="0"/>
          <w:divBdr>
            <w:top w:val="none" w:sz="0" w:space="0" w:color="auto"/>
            <w:left w:val="none" w:sz="0" w:space="0" w:color="auto"/>
            <w:bottom w:val="none" w:sz="0" w:space="0" w:color="auto"/>
            <w:right w:val="none" w:sz="0" w:space="0" w:color="auto"/>
          </w:divBdr>
        </w:div>
        <w:div w:id="1128283221">
          <w:marLeft w:val="640"/>
          <w:marRight w:val="0"/>
          <w:marTop w:val="0"/>
          <w:marBottom w:val="0"/>
          <w:divBdr>
            <w:top w:val="none" w:sz="0" w:space="0" w:color="auto"/>
            <w:left w:val="none" w:sz="0" w:space="0" w:color="auto"/>
            <w:bottom w:val="none" w:sz="0" w:space="0" w:color="auto"/>
            <w:right w:val="none" w:sz="0" w:space="0" w:color="auto"/>
          </w:divBdr>
        </w:div>
        <w:div w:id="353115077">
          <w:marLeft w:val="640"/>
          <w:marRight w:val="0"/>
          <w:marTop w:val="0"/>
          <w:marBottom w:val="0"/>
          <w:divBdr>
            <w:top w:val="none" w:sz="0" w:space="0" w:color="auto"/>
            <w:left w:val="none" w:sz="0" w:space="0" w:color="auto"/>
            <w:bottom w:val="none" w:sz="0" w:space="0" w:color="auto"/>
            <w:right w:val="none" w:sz="0" w:space="0" w:color="auto"/>
          </w:divBdr>
        </w:div>
        <w:div w:id="1572764211">
          <w:marLeft w:val="640"/>
          <w:marRight w:val="0"/>
          <w:marTop w:val="0"/>
          <w:marBottom w:val="0"/>
          <w:divBdr>
            <w:top w:val="none" w:sz="0" w:space="0" w:color="auto"/>
            <w:left w:val="none" w:sz="0" w:space="0" w:color="auto"/>
            <w:bottom w:val="none" w:sz="0" w:space="0" w:color="auto"/>
            <w:right w:val="none" w:sz="0" w:space="0" w:color="auto"/>
          </w:divBdr>
        </w:div>
        <w:div w:id="267278042">
          <w:marLeft w:val="640"/>
          <w:marRight w:val="0"/>
          <w:marTop w:val="0"/>
          <w:marBottom w:val="0"/>
          <w:divBdr>
            <w:top w:val="none" w:sz="0" w:space="0" w:color="auto"/>
            <w:left w:val="none" w:sz="0" w:space="0" w:color="auto"/>
            <w:bottom w:val="none" w:sz="0" w:space="0" w:color="auto"/>
            <w:right w:val="none" w:sz="0" w:space="0" w:color="auto"/>
          </w:divBdr>
        </w:div>
        <w:div w:id="2133790104">
          <w:marLeft w:val="640"/>
          <w:marRight w:val="0"/>
          <w:marTop w:val="0"/>
          <w:marBottom w:val="0"/>
          <w:divBdr>
            <w:top w:val="none" w:sz="0" w:space="0" w:color="auto"/>
            <w:left w:val="none" w:sz="0" w:space="0" w:color="auto"/>
            <w:bottom w:val="none" w:sz="0" w:space="0" w:color="auto"/>
            <w:right w:val="none" w:sz="0" w:space="0" w:color="auto"/>
          </w:divBdr>
        </w:div>
        <w:div w:id="327094915">
          <w:marLeft w:val="640"/>
          <w:marRight w:val="0"/>
          <w:marTop w:val="0"/>
          <w:marBottom w:val="0"/>
          <w:divBdr>
            <w:top w:val="none" w:sz="0" w:space="0" w:color="auto"/>
            <w:left w:val="none" w:sz="0" w:space="0" w:color="auto"/>
            <w:bottom w:val="none" w:sz="0" w:space="0" w:color="auto"/>
            <w:right w:val="none" w:sz="0" w:space="0" w:color="auto"/>
          </w:divBdr>
        </w:div>
        <w:div w:id="1165170095">
          <w:marLeft w:val="640"/>
          <w:marRight w:val="0"/>
          <w:marTop w:val="0"/>
          <w:marBottom w:val="0"/>
          <w:divBdr>
            <w:top w:val="none" w:sz="0" w:space="0" w:color="auto"/>
            <w:left w:val="none" w:sz="0" w:space="0" w:color="auto"/>
            <w:bottom w:val="none" w:sz="0" w:space="0" w:color="auto"/>
            <w:right w:val="none" w:sz="0" w:space="0" w:color="auto"/>
          </w:divBdr>
        </w:div>
        <w:div w:id="1798597430">
          <w:marLeft w:val="640"/>
          <w:marRight w:val="0"/>
          <w:marTop w:val="0"/>
          <w:marBottom w:val="0"/>
          <w:divBdr>
            <w:top w:val="none" w:sz="0" w:space="0" w:color="auto"/>
            <w:left w:val="none" w:sz="0" w:space="0" w:color="auto"/>
            <w:bottom w:val="none" w:sz="0" w:space="0" w:color="auto"/>
            <w:right w:val="none" w:sz="0" w:space="0" w:color="auto"/>
          </w:divBdr>
        </w:div>
        <w:div w:id="519468048">
          <w:marLeft w:val="640"/>
          <w:marRight w:val="0"/>
          <w:marTop w:val="0"/>
          <w:marBottom w:val="0"/>
          <w:divBdr>
            <w:top w:val="none" w:sz="0" w:space="0" w:color="auto"/>
            <w:left w:val="none" w:sz="0" w:space="0" w:color="auto"/>
            <w:bottom w:val="none" w:sz="0" w:space="0" w:color="auto"/>
            <w:right w:val="none" w:sz="0" w:space="0" w:color="auto"/>
          </w:divBdr>
        </w:div>
        <w:div w:id="668144705">
          <w:marLeft w:val="640"/>
          <w:marRight w:val="0"/>
          <w:marTop w:val="0"/>
          <w:marBottom w:val="0"/>
          <w:divBdr>
            <w:top w:val="none" w:sz="0" w:space="0" w:color="auto"/>
            <w:left w:val="none" w:sz="0" w:space="0" w:color="auto"/>
            <w:bottom w:val="none" w:sz="0" w:space="0" w:color="auto"/>
            <w:right w:val="none" w:sz="0" w:space="0" w:color="auto"/>
          </w:divBdr>
        </w:div>
        <w:div w:id="27026384">
          <w:marLeft w:val="640"/>
          <w:marRight w:val="0"/>
          <w:marTop w:val="0"/>
          <w:marBottom w:val="0"/>
          <w:divBdr>
            <w:top w:val="none" w:sz="0" w:space="0" w:color="auto"/>
            <w:left w:val="none" w:sz="0" w:space="0" w:color="auto"/>
            <w:bottom w:val="none" w:sz="0" w:space="0" w:color="auto"/>
            <w:right w:val="none" w:sz="0" w:space="0" w:color="auto"/>
          </w:divBdr>
        </w:div>
      </w:divsChild>
    </w:div>
    <w:div w:id="1024793181">
      <w:bodyDiv w:val="1"/>
      <w:marLeft w:val="0"/>
      <w:marRight w:val="0"/>
      <w:marTop w:val="0"/>
      <w:marBottom w:val="0"/>
      <w:divBdr>
        <w:top w:val="none" w:sz="0" w:space="0" w:color="auto"/>
        <w:left w:val="none" w:sz="0" w:space="0" w:color="auto"/>
        <w:bottom w:val="none" w:sz="0" w:space="0" w:color="auto"/>
        <w:right w:val="none" w:sz="0" w:space="0" w:color="auto"/>
      </w:divBdr>
    </w:div>
    <w:div w:id="1034844686">
      <w:bodyDiv w:val="1"/>
      <w:marLeft w:val="0"/>
      <w:marRight w:val="0"/>
      <w:marTop w:val="0"/>
      <w:marBottom w:val="0"/>
      <w:divBdr>
        <w:top w:val="none" w:sz="0" w:space="0" w:color="auto"/>
        <w:left w:val="none" w:sz="0" w:space="0" w:color="auto"/>
        <w:bottom w:val="none" w:sz="0" w:space="0" w:color="auto"/>
        <w:right w:val="none" w:sz="0" w:space="0" w:color="auto"/>
      </w:divBdr>
    </w:div>
    <w:div w:id="1037465263">
      <w:bodyDiv w:val="1"/>
      <w:marLeft w:val="0"/>
      <w:marRight w:val="0"/>
      <w:marTop w:val="0"/>
      <w:marBottom w:val="0"/>
      <w:divBdr>
        <w:top w:val="none" w:sz="0" w:space="0" w:color="auto"/>
        <w:left w:val="none" w:sz="0" w:space="0" w:color="auto"/>
        <w:bottom w:val="none" w:sz="0" w:space="0" w:color="auto"/>
        <w:right w:val="none" w:sz="0" w:space="0" w:color="auto"/>
      </w:divBdr>
    </w:div>
    <w:div w:id="1040057157">
      <w:bodyDiv w:val="1"/>
      <w:marLeft w:val="0"/>
      <w:marRight w:val="0"/>
      <w:marTop w:val="0"/>
      <w:marBottom w:val="0"/>
      <w:divBdr>
        <w:top w:val="none" w:sz="0" w:space="0" w:color="auto"/>
        <w:left w:val="none" w:sz="0" w:space="0" w:color="auto"/>
        <w:bottom w:val="none" w:sz="0" w:space="0" w:color="auto"/>
        <w:right w:val="none" w:sz="0" w:space="0" w:color="auto"/>
      </w:divBdr>
    </w:div>
    <w:div w:id="1040856916">
      <w:bodyDiv w:val="1"/>
      <w:marLeft w:val="0"/>
      <w:marRight w:val="0"/>
      <w:marTop w:val="0"/>
      <w:marBottom w:val="0"/>
      <w:divBdr>
        <w:top w:val="none" w:sz="0" w:space="0" w:color="auto"/>
        <w:left w:val="none" w:sz="0" w:space="0" w:color="auto"/>
        <w:bottom w:val="none" w:sz="0" w:space="0" w:color="auto"/>
        <w:right w:val="none" w:sz="0" w:space="0" w:color="auto"/>
      </w:divBdr>
    </w:div>
    <w:div w:id="1044058657">
      <w:bodyDiv w:val="1"/>
      <w:marLeft w:val="0"/>
      <w:marRight w:val="0"/>
      <w:marTop w:val="0"/>
      <w:marBottom w:val="0"/>
      <w:divBdr>
        <w:top w:val="none" w:sz="0" w:space="0" w:color="auto"/>
        <w:left w:val="none" w:sz="0" w:space="0" w:color="auto"/>
        <w:bottom w:val="none" w:sz="0" w:space="0" w:color="auto"/>
        <w:right w:val="none" w:sz="0" w:space="0" w:color="auto"/>
      </w:divBdr>
    </w:div>
    <w:div w:id="1044216429">
      <w:bodyDiv w:val="1"/>
      <w:marLeft w:val="0"/>
      <w:marRight w:val="0"/>
      <w:marTop w:val="0"/>
      <w:marBottom w:val="0"/>
      <w:divBdr>
        <w:top w:val="none" w:sz="0" w:space="0" w:color="auto"/>
        <w:left w:val="none" w:sz="0" w:space="0" w:color="auto"/>
        <w:bottom w:val="none" w:sz="0" w:space="0" w:color="auto"/>
        <w:right w:val="none" w:sz="0" w:space="0" w:color="auto"/>
      </w:divBdr>
      <w:divsChild>
        <w:div w:id="1909536291">
          <w:marLeft w:val="640"/>
          <w:marRight w:val="0"/>
          <w:marTop w:val="0"/>
          <w:marBottom w:val="0"/>
          <w:divBdr>
            <w:top w:val="none" w:sz="0" w:space="0" w:color="auto"/>
            <w:left w:val="none" w:sz="0" w:space="0" w:color="auto"/>
            <w:bottom w:val="none" w:sz="0" w:space="0" w:color="auto"/>
            <w:right w:val="none" w:sz="0" w:space="0" w:color="auto"/>
          </w:divBdr>
        </w:div>
        <w:div w:id="1861316621">
          <w:marLeft w:val="640"/>
          <w:marRight w:val="0"/>
          <w:marTop w:val="0"/>
          <w:marBottom w:val="0"/>
          <w:divBdr>
            <w:top w:val="none" w:sz="0" w:space="0" w:color="auto"/>
            <w:left w:val="none" w:sz="0" w:space="0" w:color="auto"/>
            <w:bottom w:val="none" w:sz="0" w:space="0" w:color="auto"/>
            <w:right w:val="none" w:sz="0" w:space="0" w:color="auto"/>
          </w:divBdr>
        </w:div>
        <w:div w:id="998844012">
          <w:marLeft w:val="640"/>
          <w:marRight w:val="0"/>
          <w:marTop w:val="0"/>
          <w:marBottom w:val="0"/>
          <w:divBdr>
            <w:top w:val="none" w:sz="0" w:space="0" w:color="auto"/>
            <w:left w:val="none" w:sz="0" w:space="0" w:color="auto"/>
            <w:bottom w:val="none" w:sz="0" w:space="0" w:color="auto"/>
            <w:right w:val="none" w:sz="0" w:space="0" w:color="auto"/>
          </w:divBdr>
        </w:div>
        <w:div w:id="202524381">
          <w:marLeft w:val="640"/>
          <w:marRight w:val="0"/>
          <w:marTop w:val="0"/>
          <w:marBottom w:val="0"/>
          <w:divBdr>
            <w:top w:val="none" w:sz="0" w:space="0" w:color="auto"/>
            <w:left w:val="none" w:sz="0" w:space="0" w:color="auto"/>
            <w:bottom w:val="none" w:sz="0" w:space="0" w:color="auto"/>
            <w:right w:val="none" w:sz="0" w:space="0" w:color="auto"/>
          </w:divBdr>
        </w:div>
        <w:div w:id="407774994">
          <w:marLeft w:val="640"/>
          <w:marRight w:val="0"/>
          <w:marTop w:val="0"/>
          <w:marBottom w:val="0"/>
          <w:divBdr>
            <w:top w:val="none" w:sz="0" w:space="0" w:color="auto"/>
            <w:left w:val="none" w:sz="0" w:space="0" w:color="auto"/>
            <w:bottom w:val="none" w:sz="0" w:space="0" w:color="auto"/>
            <w:right w:val="none" w:sz="0" w:space="0" w:color="auto"/>
          </w:divBdr>
        </w:div>
        <w:div w:id="1709335347">
          <w:marLeft w:val="640"/>
          <w:marRight w:val="0"/>
          <w:marTop w:val="0"/>
          <w:marBottom w:val="0"/>
          <w:divBdr>
            <w:top w:val="none" w:sz="0" w:space="0" w:color="auto"/>
            <w:left w:val="none" w:sz="0" w:space="0" w:color="auto"/>
            <w:bottom w:val="none" w:sz="0" w:space="0" w:color="auto"/>
            <w:right w:val="none" w:sz="0" w:space="0" w:color="auto"/>
          </w:divBdr>
        </w:div>
        <w:div w:id="1213465821">
          <w:marLeft w:val="640"/>
          <w:marRight w:val="0"/>
          <w:marTop w:val="0"/>
          <w:marBottom w:val="0"/>
          <w:divBdr>
            <w:top w:val="none" w:sz="0" w:space="0" w:color="auto"/>
            <w:left w:val="none" w:sz="0" w:space="0" w:color="auto"/>
            <w:bottom w:val="none" w:sz="0" w:space="0" w:color="auto"/>
            <w:right w:val="none" w:sz="0" w:space="0" w:color="auto"/>
          </w:divBdr>
        </w:div>
        <w:div w:id="192501510">
          <w:marLeft w:val="640"/>
          <w:marRight w:val="0"/>
          <w:marTop w:val="0"/>
          <w:marBottom w:val="0"/>
          <w:divBdr>
            <w:top w:val="none" w:sz="0" w:space="0" w:color="auto"/>
            <w:left w:val="none" w:sz="0" w:space="0" w:color="auto"/>
            <w:bottom w:val="none" w:sz="0" w:space="0" w:color="auto"/>
            <w:right w:val="none" w:sz="0" w:space="0" w:color="auto"/>
          </w:divBdr>
        </w:div>
        <w:div w:id="586767257">
          <w:marLeft w:val="640"/>
          <w:marRight w:val="0"/>
          <w:marTop w:val="0"/>
          <w:marBottom w:val="0"/>
          <w:divBdr>
            <w:top w:val="none" w:sz="0" w:space="0" w:color="auto"/>
            <w:left w:val="none" w:sz="0" w:space="0" w:color="auto"/>
            <w:bottom w:val="none" w:sz="0" w:space="0" w:color="auto"/>
            <w:right w:val="none" w:sz="0" w:space="0" w:color="auto"/>
          </w:divBdr>
        </w:div>
        <w:div w:id="670714680">
          <w:marLeft w:val="640"/>
          <w:marRight w:val="0"/>
          <w:marTop w:val="0"/>
          <w:marBottom w:val="0"/>
          <w:divBdr>
            <w:top w:val="none" w:sz="0" w:space="0" w:color="auto"/>
            <w:left w:val="none" w:sz="0" w:space="0" w:color="auto"/>
            <w:bottom w:val="none" w:sz="0" w:space="0" w:color="auto"/>
            <w:right w:val="none" w:sz="0" w:space="0" w:color="auto"/>
          </w:divBdr>
        </w:div>
        <w:div w:id="1064791918">
          <w:marLeft w:val="640"/>
          <w:marRight w:val="0"/>
          <w:marTop w:val="0"/>
          <w:marBottom w:val="0"/>
          <w:divBdr>
            <w:top w:val="none" w:sz="0" w:space="0" w:color="auto"/>
            <w:left w:val="none" w:sz="0" w:space="0" w:color="auto"/>
            <w:bottom w:val="none" w:sz="0" w:space="0" w:color="auto"/>
            <w:right w:val="none" w:sz="0" w:space="0" w:color="auto"/>
          </w:divBdr>
        </w:div>
        <w:div w:id="145124223">
          <w:marLeft w:val="640"/>
          <w:marRight w:val="0"/>
          <w:marTop w:val="0"/>
          <w:marBottom w:val="0"/>
          <w:divBdr>
            <w:top w:val="none" w:sz="0" w:space="0" w:color="auto"/>
            <w:left w:val="none" w:sz="0" w:space="0" w:color="auto"/>
            <w:bottom w:val="none" w:sz="0" w:space="0" w:color="auto"/>
            <w:right w:val="none" w:sz="0" w:space="0" w:color="auto"/>
          </w:divBdr>
        </w:div>
        <w:div w:id="288248254">
          <w:marLeft w:val="640"/>
          <w:marRight w:val="0"/>
          <w:marTop w:val="0"/>
          <w:marBottom w:val="0"/>
          <w:divBdr>
            <w:top w:val="none" w:sz="0" w:space="0" w:color="auto"/>
            <w:left w:val="none" w:sz="0" w:space="0" w:color="auto"/>
            <w:bottom w:val="none" w:sz="0" w:space="0" w:color="auto"/>
            <w:right w:val="none" w:sz="0" w:space="0" w:color="auto"/>
          </w:divBdr>
        </w:div>
        <w:div w:id="149716484">
          <w:marLeft w:val="640"/>
          <w:marRight w:val="0"/>
          <w:marTop w:val="0"/>
          <w:marBottom w:val="0"/>
          <w:divBdr>
            <w:top w:val="none" w:sz="0" w:space="0" w:color="auto"/>
            <w:left w:val="none" w:sz="0" w:space="0" w:color="auto"/>
            <w:bottom w:val="none" w:sz="0" w:space="0" w:color="auto"/>
            <w:right w:val="none" w:sz="0" w:space="0" w:color="auto"/>
          </w:divBdr>
        </w:div>
        <w:div w:id="485782056">
          <w:marLeft w:val="640"/>
          <w:marRight w:val="0"/>
          <w:marTop w:val="0"/>
          <w:marBottom w:val="0"/>
          <w:divBdr>
            <w:top w:val="none" w:sz="0" w:space="0" w:color="auto"/>
            <w:left w:val="none" w:sz="0" w:space="0" w:color="auto"/>
            <w:bottom w:val="none" w:sz="0" w:space="0" w:color="auto"/>
            <w:right w:val="none" w:sz="0" w:space="0" w:color="auto"/>
          </w:divBdr>
        </w:div>
        <w:div w:id="539170047">
          <w:marLeft w:val="640"/>
          <w:marRight w:val="0"/>
          <w:marTop w:val="0"/>
          <w:marBottom w:val="0"/>
          <w:divBdr>
            <w:top w:val="none" w:sz="0" w:space="0" w:color="auto"/>
            <w:left w:val="none" w:sz="0" w:space="0" w:color="auto"/>
            <w:bottom w:val="none" w:sz="0" w:space="0" w:color="auto"/>
            <w:right w:val="none" w:sz="0" w:space="0" w:color="auto"/>
          </w:divBdr>
        </w:div>
        <w:div w:id="355884069">
          <w:marLeft w:val="640"/>
          <w:marRight w:val="0"/>
          <w:marTop w:val="0"/>
          <w:marBottom w:val="0"/>
          <w:divBdr>
            <w:top w:val="none" w:sz="0" w:space="0" w:color="auto"/>
            <w:left w:val="none" w:sz="0" w:space="0" w:color="auto"/>
            <w:bottom w:val="none" w:sz="0" w:space="0" w:color="auto"/>
            <w:right w:val="none" w:sz="0" w:space="0" w:color="auto"/>
          </w:divBdr>
        </w:div>
        <w:div w:id="263848902">
          <w:marLeft w:val="640"/>
          <w:marRight w:val="0"/>
          <w:marTop w:val="0"/>
          <w:marBottom w:val="0"/>
          <w:divBdr>
            <w:top w:val="none" w:sz="0" w:space="0" w:color="auto"/>
            <w:left w:val="none" w:sz="0" w:space="0" w:color="auto"/>
            <w:bottom w:val="none" w:sz="0" w:space="0" w:color="auto"/>
            <w:right w:val="none" w:sz="0" w:space="0" w:color="auto"/>
          </w:divBdr>
        </w:div>
        <w:div w:id="1252279534">
          <w:marLeft w:val="640"/>
          <w:marRight w:val="0"/>
          <w:marTop w:val="0"/>
          <w:marBottom w:val="0"/>
          <w:divBdr>
            <w:top w:val="none" w:sz="0" w:space="0" w:color="auto"/>
            <w:left w:val="none" w:sz="0" w:space="0" w:color="auto"/>
            <w:bottom w:val="none" w:sz="0" w:space="0" w:color="auto"/>
            <w:right w:val="none" w:sz="0" w:space="0" w:color="auto"/>
          </w:divBdr>
        </w:div>
        <w:div w:id="76248911">
          <w:marLeft w:val="640"/>
          <w:marRight w:val="0"/>
          <w:marTop w:val="0"/>
          <w:marBottom w:val="0"/>
          <w:divBdr>
            <w:top w:val="none" w:sz="0" w:space="0" w:color="auto"/>
            <w:left w:val="none" w:sz="0" w:space="0" w:color="auto"/>
            <w:bottom w:val="none" w:sz="0" w:space="0" w:color="auto"/>
            <w:right w:val="none" w:sz="0" w:space="0" w:color="auto"/>
          </w:divBdr>
        </w:div>
        <w:div w:id="1322193868">
          <w:marLeft w:val="640"/>
          <w:marRight w:val="0"/>
          <w:marTop w:val="0"/>
          <w:marBottom w:val="0"/>
          <w:divBdr>
            <w:top w:val="none" w:sz="0" w:space="0" w:color="auto"/>
            <w:left w:val="none" w:sz="0" w:space="0" w:color="auto"/>
            <w:bottom w:val="none" w:sz="0" w:space="0" w:color="auto"/>
            <w:right w:val="none" w:sz="0" w:space="0" w:color="auto"/>
          </w:divBdr>
        </w:div>
        <w:div w:id="2135556102">
          <w:marLeft w:val="640"/>
          <w:marRight w:val="0"/>
          <w:marTop w:val="0"/>
          <w:marBottom w:val="0"/>
          <w:divBdr>
            <w:top w:val="none" w:sz="0" w:space="0" w:color="auto"/>
            <w:left w:val="none" w:sz="0" w:space="0" w:color="auto"/>
            <w:bottom w:val="none" w:sz="0" w:space="0" w:color="auto"/>
            <w:right w:val="none" w:sz="0" w:space="0" w:color="auto"/>
          </w:divBdr>
        </w:div>
        <w:div w:id="1712608173">
          <w:marLeft w:val="640"/>
          <w:marRight w:val="0"/>
          <w:marTop w:val="0"/>
          <w:marBottom w:val="0"/>
          <w:divBdr>
            <w:top w:val="none" w:sz="0" w:space="0" w:color="auto"/>
            <w:left w:val="none" w:sz="0" w:space="0" w:color="auto"/>
            <w:bottom w:val="none" w:sz="0" w:space="0" w:color="auto"/>
            <w:right w:val="none" w:sz="0" w:space="0" w:color="auto"/>
          </w:divBdr>
        </w:div>
        <w:div w:id="983460954">
          <w:marLeft w:val="640"/>
          <w:marRight w:val="0"/>
          <w:marTop w:val="0"/>
          <w:marBottom w:val="0"/>
          <w:divBdr>
            <w:top w:val="none" w:sz="0" w:space="0" w:color="auto"/>
            <w:left w:val="none" w:sz="0" w:space="0" w:color="auto"/>
            <w:bottom w:val="none" w:sz="0" w:space="0" w:color="auto"/>
            <w:right w:val="none" w:sz="0" w:space="0" w:color="auto"/>
          </w:divBdr>
        </w:div>
        <w:div w:id="1853179548">
          <w:marLeft w:val="640"/>
          <w:marRight w:val="0"/>
          <w:marTop w:val="0"/>
          <w:marBottom w:val="0"/>
          <w:divBdr>
            <w:top w:val="none" w:sz="0" w:space="0" w:color="auto"/>
            <w:left w:val="none" w:sz="0" w:space="0" w:color="auto"/>
            <w:bottom w:val="none" w:sz="0" w:space="0" w:color="auto"/>
            <w:right w:val="none" w:sz="0" w:space="0" w:color="auto"/>
          </w:divBdr>
        </w:div>
        <w:div w:id="1680624001">
          <w:marLeft w:val="640"/>
          <w:marRight w:val="0"/>
          <w:marTop w:val="0"/>
          <w:marBottom w:val="0"/>
          <w:divBdr>
            <w:top w:val="none" w:sz="0" w:space="0" w:color="auto"/>
            <w:left w:val="none" w:sz="0" w:space="0" w:color="auto"/>
            <w:bottom w:val="none" w:sz="0" w:space="0" w:color="auto"/>
            <w:right w:val="none" w:sz="0" w:space="0" w:color="auto"/>
          </w:divBdr>
        </w:div>
        <w:div w:id="2129886023">
          <w:marLeft w:val="640"/>
          <w:marRight w:val="0"/>
          <w:marTop w:val="0"/>
          <w:marBottom w:val="0"/>
          <w:divBdr>
            <w:top w:val="none" w:sz="0" w:space="0" w:color="auto"/>
            <w:left w:val="none" w:sz="0" w:space="0" w:color="auto"/>
            <w:bottom w:val="none" w:sz="0" w:space="0" w:color="auto"/>
            <w:right w:val="none" w:sz="0" w:space="0" w:color="auto"/>
          </w:divBdr>
        </w:div>
        <w:div w:id="1922369159">
          <w:marLeft w:val="640"/>
          <w:marRight w:val="0"/>
          <w:marTop w:val="0"/>
          <w:marBottom w:val="0"/>
          <w:divBdr>
            <w:top w:val="none" w:sz="0" w:space="0" w:color="auto"/>
            <w:left w:val="none" w:sz="0" w:space="0" w:color="auto"/>
            <w:bottom w:val="none" w:sz="0" w:space="0" w:color="auto"/>
            <w:right w:val="none" w:sz="0" w:space="0" w:color="auto"/>
          </w:divBdr>
        </w:div>
        <w:div w:id="1856115048">
          <w:marLeft w:val="640"/>
          <w:marRight w:val="0"/>
          <w:marTop w:val="0"/>
          <w:marBottom w:val="0"/>
          <w:divBdr>
            <w:top w:val="none" w:sz="0" w:space="0" w:color="auto"/>
            <w:left w:val="none" w:sz="0" w:space="0" w:color="auto"/>
            <w:bottom w:val="none" w:sz="0" w:space="0" w:color="auto"/>
            <w:right w:val="none" w:sz="0" w:space="0" w:color="auto"/>
          </w:divBdr>
        </w:div>
        <w:div w:id="1023360476">
          <w:marLeft w:val="640"/>
          <w:marRight w:val="0"/>
          <w:marTop w:val="0"/>
          <w:marBottom w:val="0"/>
          <w:divBdr>
            <w:top w:val="none" w:sz="0" w:space="0" w:color="auto"/>
            <w:left w:val="none" w:sz="0" w:space="0" w:color="auto"/>
            <w:bottom w:val="none" w:sz="0" w:space="0" w:color="auto"/>
            <w:right w:val="none" w:sz="0" w:space="0" w:color="auto"/>
          </w:divBdr>
        </w:div>
        <w:div w:id="930240346">
          <w:marLeft w:val="640"/>
          <w:marRight w:val="0"/>
          <w:marTop w:val="0"/>
          <w:marBottom w:val="0"/>
          <w:divBdr>
            <w:top w:val="none" w:sz="0" w:space="0" w:color="auto"/>
            <w:left w:val="none" w:sz="0" w:space="0" w:color="auto"/>
            <w:bottom w:val="none" w:sz="0" w:space="0" w:color="auto"/>
            <w:right w:val="none" w:sz="0" w:space="0" w:color="auto"/>
          </w:divBdr>
        </w:div>
        <w:div w:id="733548517">
          <w:marLeft w:val="640"/>
          <w:marRight w:val="0"/>
          <w:marTop w:val="0"/>
          <w:marBottom w:val="0"/>
          <w:divBdr>
            <w:top w:val="none" w:sz="0" w:space="0" w:color="auto"/>
            <w:left w:val="none" w:sz="0" w:space="0" w:color="auto"/>
            <w:bottom w:val="none" w:sz="0" w:space="0" w:color="auto"/>
            <w:right w:val="none" w:sz="0" w:space="0" w:color="auto"/>
          </w:divBdr>
        </w:div>
        <w:div w:id="1059938115">
          <w:marLeft w:val="640"/>
          <w:marRight w:val="0"/>
          <w:marTop w:val="0"/>
          <w:marBottom w:val="0"/>
          <w:divBdr>
            <w:top w:val="none" w:sz="0" w:space="0" w:color="auto"/>
            <w:left w:val="none" w:sz="0" w:space="0" w:color="auto"/>
            <w:bottom w:val="none" w:sz="0" w:space="0" w:color="auto"/>
            <w:right w:val="none" w:sz="0" w:space="0" w:color="auto"/>
          </w:divBdr>
        </w:div>
        <w:div w:id="671107405">
          <w:marLeft w:val="640"/>
          <w:marRight w:val="0"/>
          <w:marTop w:val="0"/>
          <w:marBottom w:val="0"/>
          <w:divBdr>
            <w:top w:val="none" w:sz="0" w:space="0" w:color="auto"/>
            <w:left w:val="none" w:sz="0" w:space="0" w:color="auto"/>
            <w:bottom w:val="none" w:sz="0" w:space="0" w:color="auto"/>
            <w:right w:val="none" w:sz="0" w:space="0" w:color="auto"/>
          </w:divBdr>
        </w:div>
        <w:div w:id="1021249905">
          <w:marLeft w:val="640"/>
          <w:marRight w:val="0"/>
          <w:marTop w:val="0"/>
          <w:marBottom w:val="0"/>
          <w:divBdr>
            <w:top w:val="none" w:sz="0" w:space="0" w:color="auto"/>
            <w:left w:val="none" w:sz="0" w:space="0" w:color="auto"/>
            <w:bottom w:val="none" w:sz="0" w:space="0" w:color="auto"/>
            <w:right w:val="none" w:sz="0" w:space="0" w:color="auto"/>
          </w:divBdr>
        </w:div>
        <w:div w:id="1291008570">
          <w:marLeft w:val="640"/>
          <w:marRight w:val="0"/>
          <w:marTop w:val="0"/>
          <w:marBottom w:val="0"/>
          <w:divBdr>
            <w:top w:val="none" w:sz="0" w:space="0" w:color="auto"/>
            <w:left w:val="none" w:sz="0" w:space="0" w:color="auto"/>
            <w:bottom w:val="none" w:sz="0" w:space="0" w:color="auto"/>
            <w:right w:val="none" w:sz="0" w:space="0" w:color="auto"/>
          </w:divBdr>
        </w:div>
        <w:div w:id="1589386239">
          <w:marLeft w:val="640"/>
          <w:marRight w:val="0"/>
          <w:marTop w:val="0"/>
          <w:marBottom w:val="0"/>
          <w:divBdr>
            <w:top w:val="none" w:sz="0" w:space="0" w:color="auto"/>
            <w:left w:val="none" w:sz="0" w:space="0" w:color="auto"/>
            <w:bottom w:val="none" w:sz="0" w:space="0" w:color="auto"/>
            <w:right w:val="none" w:sz="0" w:space="0" w:color="auto"/>
          </w:divBdr>
        </w:div>
        <w:div w:id="408624510">
          <w:marLeft w:val="640"/>
          <w:marRight w:val="0"/>
          <w:marTop w:val="0"/>
          <w:marBottom w:val="0"/>
          <w:divBdr>
            <w:top w:val="none" w:sz="0" w:space="0" w:color="auto"/>
            <w:left w:val="none" w:sz="0" w:space="0" w:color="auto"/>
            <w:bottom w:val="none" w:sz="0" w:space="0" w:color="auto"/>
            <w:right w:val="none" w:sz="0" w:space="0" w:color="auto"/>
          </w:divBdr>
        </w:div>
        <w:div w:id="1851917822">
          <w:marLeft w:val="640"/>
          <w:marRight w:val="0"/>
          <w:marTop w:val="0"/>
          <w:marBottom w:val="0"/>
          <w:divBdr>
            <w:top w:val="none" w:sz="0" w:space="0" w:color="auto"/>
            <w:left w:val="none" w:sz="0" w:space="0" w:color="auto"/>
            <w:bottom w:val="none" w:sz="0" w:space="0" w:color="auto"/>
            <w:right w:val="none" w:sz="0" w:space="0" w:color="auto"/>
          </w:divBdr>
        </w:div>
        <w:div w:id="2047833901">
          <w:marLeft w:val="640"/>
          <w:marRight w:val="0"/>
          <w:marTop w:val="0"/>
          <w:marBottom w:val="0"/>
          <w:divBdr>
            <w:top w:val="none" w:sz="0" w:space="0" w:color="auto"/>
            <w:left w:val="none" w:sz="0" w:space="0" w:color="auto"/>
            <w:bottom w:val="none" w:sz="0" w:space="0" w:color="auto"/>
            <w:right w:val="none" w:sz="0" w:space="0" w:color="auto"/>
          </w:divBdr>
        </w:div>
        <w:div w:id="876619693">
          <w:marLeft w:val="640"/>
          <w:marRight w:val="0"/>
          <w:marTop w:val="0"/>
          <w:marBottom w:val="0"/>
          <w:divBdr>
            <w:top w:val="none" w:sz="0" w:space="0" w:color="auto"/>
            <w:left w:val="none" w:sz="0" w:space="0" w:color="auto"/>
            <w:bottom w:val="none" w:sz="0" w:space="0" w:color="auto"/>
            <w:right w:val="none" w:sz="0" w:space="0" w:color="auto"/>
          </w:divBdr>
        </w:div>
        <w:div w:id="896162865">
          <w:marLeft w:val="640"/>
          <w:marRight w:val="0"/>
          <w:marTop w:val="0"/>
          <w:marBottom w:val="0"/>
          <w:divBdr>
            <w:top w:val="none" w:sz="0" w:space="0" w:color="auto"/>
            <w:left w:val="none" w:sz="0" w:space="0" w:color="auto"/>
            <w:bottom w:val="none" w:sz="0" w:space="0" w:color="auto"/>
            <w:right w:val="none" w:sz="0" w:space="0" w:color="auto"/>
          </w:divBdr>
        </w:div>
        <w:div w:id="1503551123">
          <w:marLeft w:val="640"/>
          <w:marRight w:val="0"/>
          <w:marTop w:val="0"/>
          <w:marBottom w:val="0"/>
          <w:divBdr>
            <w:top w:val="none" w:sz="0" w:space="0" w:color="auto"/>
            <w:left w:val="none" w:sz="0" w:space="0" w:color="auto"/>
            <w:bottom w:val="none" w:sz="0" w:space="0" w:color="auto"/>
            <w:right w:val="none" w:sz="0" w:space="0" w:color="auto"/>
          </w:divBdr>
        </w:div>
        <w:div w:id="1467506048">
          <w:marLeft w:val="640"/>
          <w:marRight w:val="0"/>
          <w:marTop w:val="0"/>
          <w:marBottom w:val="0"/>
          <w:divBdr>
            <w:top w:val="none" w:sz="0" w:space="0" w:color="auto"/>
            <w:left w:val="none" w:sz="0" w:space="0" w:color="auto"/>
            <w:bottom w:val="none" w:sz="0" w:space="0" w:color="auto"/>
            <w:right w:val="none" w:sz="0" w:space="0" w:color="auto"/>
          </w:divBdr>
        </w:div>
        <w:div w:id="657923651">
          <w:marLeft w:val="640"/>
          <w:marRight w:val="0"/>
          <w:marTop w:val="0"/>
          <w:marBottom w:val="0"/>
          <w:divBdr>
            <w:top w:val="none" w:sz="0" w:space="0" w:color="auto"/>
            <w:left w:val="none" w:sz="0" w:space="0" w:color="auto"/>
            <w:bottom w:val="none" w:sz="0" w:space="0" w:color="auto"/>
            <w:right w:val="none" w:sz="0" w:space="0" w:color="auto"/>
          </w:divBdr>
        </w:div>
        <w:div w:id="1883247417">
          <w:marLeft w:val="640"/>
          <w:marRight w:val="0"/>
          <w:marTop w:val="0"/>
          <w:marBottom w:val="0"/>
          <w:divBdr>
            <w:top w:val="none" w:sz="0" w:space="0" w:color="auto"/>
            <w:left w:val="none" w:sz="0" w:space="0" w:color="auto"/>
            <w:bottom w:val="none" w:sz="0" w:space="0" w:color="auto"/>
            <w:right w:val="none" w:sz="0" w:space="0" w:color="auto"/>
          </w:divBdr>
        </w:div>
        <w:div w:id="54596393">
          <w:marLeft w:val="640"/>
          <w:marRight w:val="0"/>
          <w:marTop w:val="0"/>
          <w:marBottom w:val="0"/>
          <w:divBdr>
            <w:top w:val="none" w:sz="0" w:space="0" w:color="auto"/>
            <w:left w:val="none" w:sz="0" w:space="0" w:color="auto"/>
            <w:bottom w:val="none" w:sz="0" w:space="0" w:color="auto"/>
            <w:right w:val="none" w:sz="0" w:space="0" w:color="auto"/>
          </w:divBdr>
        </w:div>
        <w:div w:id="725759974">
          <w:marLeft w:val="640"/>
          <w:marRight w:val="0"/>
          <w:marTop w:val="0"/>
          <w:marBottom w:val="0"/>
          <w:divBdr>
            <w:top w:val="none" w:sz="0" w:space="0" w:color="auto"/>
            <w:left w:val="none" w:sz="0" w:space="0" w:color="auto"/>
            <w:bottom w:val="none" w:sz="0" w:space="0" w:color="auto"/>
            <w:right w:val="none" w:sz="0" w:space="0" w:color="auto"/>
          </w:divBdr>
        </w:div>
        <w:div w:id="2079597361">
          <w:marLeft w:val="640"/>
          <w:marRight w:val="0"/>
          <w:marTop w:val="0"/>
          <w:marBottom w:val="0"/>
          <w:divBdr>
            <w:top w:val="none" w:sz="0" w:space="0" w:color="auto"/>
            <w:left w:val="none" w:sz="0" w:space="0" w:color="auto"/>
            <w:bottom w:val="none" w:sz="0" w:space="0" w:color="auto"/>
            <w:right w:val="none" w:sz="0" w:space="0" w:color="auto"/>
          </w:divBdr>
        </w:div>
        <w:div w:id="379669736">
          <w:marLeft w:val="640"/>
          <w:marRight w:val="0"/>
          <w:marTop w:val="0"/>
          <w:marBottom w:val="0"/>
          <w:divBdr>
            <w:top w:val="none" w:sz="0" w:space="0" w:color="auto"/>
            <w:left w:val="none" w:sz="0" w:space="0" w:color="auto"/>
            <w:bottom w:val="none" w:sz="0" w:space="0" w:color="auto"/>
            <w:right w:val="none" w:sz="0" w:space="0" w:color="auto"/>
          </w:divBdr>
        </w:div>
        <w:div w:id="156262880">
          <w:marLeft w:val="640"/>
          <w:marRight w:val="0"/>
          <w:marTop w:val="0"/>
          <w:marBottom w:val="0"/>
          <w:divBdr>
            <w:top w:val="none" w:sz="0" w:space="0" w:color="auto"/>
            <w:left w:val="none" w:sz="0" w:space="0" w:color="auto"/>
            <w:bottom w:val="none" w:sz="0" w:space="0" w:color="auto"/>
            <w:right w:val="none" w:sz="0" w:space="0" w:color="auto"/>
          </w:divBdr>
        </w:div>
        <w:div w:id="1647319378">
          <w:marLeft w:val="640"/>
          <w:marRight w:val="0"/>
          <w:marTop w:val="0"/>
          <w:marBottom w:val="0"/>
          <w:divBdr>
            <w:top w:val="none" w:sz="0" w:space="0" w:color="auto"/>
            <w:left w:val="none" w:sz="0" w:space="0" w:color="auto"/>
            <w:bottom w:val="none" w:sz="0" w:space="0" w:color="auto"/>
            <w:right w:val="none" w:sz="0" w:space="0" w:color="auto"/>
          </w:divBdr>
        </w:div>
        <w:div w:id="2105371996">
          <w:marLeft w:val="640"/>
          <w:marRight w:val="0"/>
          <w:marTop w:val="0"/>
          <w:marBottom w:val="0"/>
          <w:divBdr>
            <w:top w:val="none" w:sz="0" w:space="0" w:color="auto"/>
            <w:left w:val="none" w:sz="0" w:space="0" w:color="auto"/>
            <w:bottom w:val="none" w:sz="0" w:space="0" w:color="auto"/>
            <w:right w:val="none" w:sz="0" w:space="0" w:color="auto"/>
          </w:divBdr>
        </w:div>
        <w:div w:id="419761841">
          <w:marLeft w:val="640"/>
          <w:marRight w:val="0"/>
          <w:marTop w:val="0"/>
          <w:marBottom w:val="0"/>
          <w:divBdr>
            <w:top w:val="none" w:sz="0" w:space="0" w:color="auto"/>
            <w:left w:val="none" w:sz="0" w:space="0" w:color="auto"/>
            <w:bottom w:val="none" w:sz="0" w:space="0" w:color="auto"/>
            <w:right w:val="none" w:sz="0" w:space="0" w:color="auto"/>
          </w:divBdr>
        </w:div>
        <w:div w:id="611597489">
          <w:marLeft w:val="640"/>
          <w:marRight w:val="0"/>
          <w:marTop w:val="0"/>
          <w:marBottom w:val="0"/>
          <w:divBdr>
            <w:top w:val="none" w:sz="0" w:space="0" w:color="auto"/>
            <w:left w:val="none" w:sz="0" w:space="0" w:color="auto"/>
            <w:bottom w:val="none" w:sz="0" w:space="0" w:color="auto"/>
            <w:right w:val="none" w:sz="0" w:space="0" w:color="auto"/>
          </w:divBdr>
        </w:div>
        <w:div w:id="1928608064">
          <w:marLeft w:val="640"/>
          <w:marRight w:val="0"/>
          <w:marTop w:val="0"/>
          <w:marBottom w:val="0"/>
          <w:divBdr>
            <w:top w:val="none" w:sz="0" w:space="0" w:color="auto"/>
            <w:left w:val="none" w:sz="0" w:space="0" w:color="auto"/>
            <w:bottom w:val="none" w:sz="0" w:space="0" w:color="auto"/>
            <w:right w:val="none" w:sz="0" w:space="0" w:color="auto"/>
          </w:divBdr>
        </w:div>
        <w:div w:id="1611278563">
          <w:marLeft w:val="640"/>
          <w:marRight w:val="0"/>
          <w:marTop w:val="0"/>
          <w:marBottom w:val="0"/>
          <w:divBdr>
            <w:top w:val="none" w:sz="0" w:space="0" w:color="auto"/>
            <w:left w:val="none" w:sz="0" w:space="0" w:color="auto"/>
            <w:bottom w:val="none" w:sz="0" w:space="0" w:color="auto"/>
            <w:right w:val="none" w:sz="0" w:space="0" w:color="auto"/>
          </w:divBdr>
        </w:div>
        <w:div w:id="443840741">
          <w:marLeft w:val="640"/>
          <w:marRight w:val="0"/>
          <w:marTop w:val="0"/>
          <w:marBottom w:val="0"/>
          <w:divBdr>
            <w:top w:val="none" w:sz="0" w:space="0" w:color="auto"/>
            <w:left w:val="none" w:sz="0" w:space="0" w:color="auto"/>
            <w:bottom w:val="none" w:sz="0" w:space="0" w:color="auto"/>
            <w:right w:val="none" w:sz="0" w:space="0" w:color="auto"/>
          </w:divBdr>
        </w:div>
        <w:div w:id="170685847">
          <w:marLeft w:val="640"/>
          <w:marRight w:val="0"/>
          <w:marTop w:val="0"/>
          <w:marBottom w:val="0"/>
          <w:divBdr>
            <w:top w:val="none" w:sz="0" w:space="0" w:color="auto"/>
            <w:left w:val="none" w:sz="0" w:space="0" w:color="auto"/>
            <w:bottom w:val="none" w:sz="0" w:space="0" w:color="auto"/>
            <w:right w:val="none" w:sz="0" w:space="0" w:color="auto"/>
          </w:divBdr>
        </w:div>
        <w:div w:id="1078206356">
          <w:marLeft w:val="640"/>
          <w:marRight w:val="0"/>
          <w:marTop w:val="0"/>
          <w:marBottom w:val="0"/>
          <w:divBdr>
            <w:top w:val="none" w:sz="0" w:space="0" w:color="auto"/>
            <w:left w:val="none" w:sz="0" w:space="0" w:color="auto"/>
            <w:bottom w:val="none" w:sz="0" w:space="0" w:color="auto"/>
            <w:right w:val="none" w:sz="0" w:space="0" w:color="auto"/>
          </w:divBdr>
        </w:div>
        <w:div w:id="2017876317">
          <w:marLeft w:val="640"/>
          <w:marRight w:val="0"/>
          <w:marTop w:val="0"/>
          <w:marBottom w:val="0"/>
          <w:divBdr>
            <w:top w:val="none" w:sz="0" w:space="0" w:color="auto"/>
            <w:left w:val="none" w:sz="0" w:space="0" w:color="auto"/>
            <w:bottom w:val="none" w:sz="0" w:space="0" w:color="auto"/>
            <w:right w:val="none" w:sz="0" w:space="0" w:color="auto"/>
          </w:divBdr>
        </w:div>
        <w:div w:id="1963725878">
          <w:marLeft w:val="640"/>
          <w:marRight w:val="0"/>
          <w:marTop w:val="0"/>
          <w:marBottom w:val="0"/>
          <w:divBdr>
            <w:top w:val="none" w:sz="0" w:space="0" w:color="auto"/>
            <w:left w:val="none" w:sz="0" w:space="0" w:color="auto"/>
            <w:bottom w:val="none" w:sz="0" w:space="0" w:color="auto"/>
            <w:right w:val="none" w:sz="0" w:space="0" w:color="auto"/>
          </w:divBdr>
        </w:div>
        <w:div w:id="1822039803">
          <w:marLeft w:val="640"/>
          <w:marRight w:val="0"/>
          <w:marTop w:val="0"/>
          <w:marBottom w:val="0"/>
          <w:divBdr>
            <w:top w:val="none" w:sz="0" w:space="0" w:color="auto"/>
            <w:left w:val="none" w:sz="0" w:space="0" w:color="auto"/>
            <w:bottom w:val="none" w:sz="0" w:space="0" w:color="auto"/>
            <w:right w:val="none" w:sz="0" w:space="0" w:color="auto"/>
          </w:divBdr>
        </w:div>
        <w:div w:id="612782963">
          <w:marLeft w:val="640"/>
          <w:marRight w:val="0"/>
          <w:marTop w:val="0"/>
          <w:marBottom w:val="0"/>
          <w:divBdr>
            <w:top w:val="none" w:sz="0" w:space="0" w:color="auto"/>
            <w:left w:val="none" w:sz="0" w:space="0" w:color="auto"/>
            <w:bottom w:val="none" w:sz="0" w:space="0" w:color="auto"/>
            <w:right w:val="none" w:sz="0" w:space="0" w:color="auto"/>
          </w:divBdr>
        </w:div>
        <w:div w:id="319577321">
          <w:marLeft w:val="640"/>
          <w:marRight w:val="0"/>
          <w:marTop w:val="0"/>
          <w:marBottom w:val="0"/>
          <w:divBdr>
            <w:top w:val="none" w:sz="0" w:space="0" w:color="auto"/>
            <w:left w:val="none" w:sz="0" w:space="0" w:color="auto"/>
            <w:bottom w:val="none" w:sz="0" w:space="0" w:color="auto"/>
            <w:right w:val="none" w:sz="0" w:space="0" w:color="auto"/>
          </w:divBdr>
        </w:div>
        <w:div w:id="148639773">
          <w:marLeft w:val="640"/>
          <w:marRight w:val="0"/>
          <w:marTop w:val="0"/>
          <w:marBottom w:val="0"/>
          <w:divBdr>
            <w:top w:val="none" w:sz="0" w:space="0" w:color="auto"/>
            <w:left w:val="none" w:sz="0" w:space="0" w:color="auto"/>
            <w:bottom w:val="none" w:sz="0" w:space="0" w:color="auto"/>
            <w:right w:val="none" w:sz="0" w:space="0" w:color="auto"/>
          </w:divBdr>
        </w:div>
        <w:div w:id="818231012">
          <w:marLeft w:val="640"/>
          <w:marRight w:val="0"/>
          <w:marTop w:val="0"/>
          <w:marBottom w:val="0"/>
          <w:divBdr>
            <w:top w:val="none" w:sz="0" w:space="0" w:color="auto"/>
            <w:left w:val="none" w:sz="0" w:space="0" w:color="auto"/>
            <w:bottom w:val="none" w:sz="0" w:space="0" w:color="auto"/>
            <w:right w:val="none" w:sz="0" w:space="0" w:color="auto"/>
          </w:divBdr>
        </w:div>
        <w:div w:id="1521430732">
          <w:marLeft w:val="640"/>
          <w:marRight w:val="0"/>
          <w:marTop w:val="0"/>
          <w:marBottom w:val="0"/>
          <w:divBdr>
            <w:top w:val="none" w:sz="0" w:space="0" w:color="auto"/>
            <w:left w:val="none" w:sz="0" w:space="0" w:color="auto"/>
            <w:bottom w:val="none" w:sz="0" w:space="0" w:color="auto"/>
            <w:right w:val="none" w:sz="0" w:space="0" w:color="auto"/>
          </w:divBdr>
        </w:div>
        <w:div w:id="623386372">
          <w:marLeft w:val="640"/>
          <w:marRight w:val="0"/>
          <w:marTop w:val="0"/>
          <w:marBottom w:val="0"/>
          <w:divBdr>
            <w:top w:val="none" w:sz="0" w:space="0" w:color="auto"/>
            <w:left w:val="none" w:sz="0" w:space="0" w:color="auto"/>
            <w:bottom w:val="none" w:sz="0" w:space="0" w:color="auto"/>
            <w:right w:val="none" w:sz="0" w:space="0" w:color="auto"/>
          </w:divBdr>
        </w:div>
        <w:div w:id="1896233048">
          <w:marLeft w:val="640"/>
          <w:marRight w:val="0"/>
          <w:marTop w:val="0"/>
          <w:marBottom w:val="0"/>
          <w:divBdr>
            <w:top w:val="none" w:sz="0" w:space="0" w:color="auto"/>
            <w:left w:val="none" w:sz="0" w:space="0" w:color="auto"/>
            <w:bottom w:val="none" w:sz="0" w:space="0" w:color="auto"/>
            <w:right w:val="none" w:sz="0" w:space="0" w:color="auto"/>
          </w:divBdr>
        </w:div>
        <w:div w:id="680399436">
          <w:marLeft w:val="640"/>
          <w:marRight w:val="0"/>
          <w:marTop w:val="0"/>
          <w:marBottom w:val="0"/>
          <w:divBdr>
            <w:top w:val="none" w:sz="0" w:space="0" w:color="auto"/>
            <w:left w:val="none" w:sz="0" w:space="0" w:color="auto"/>
            <w:bottom w:val="none" w:sz="0" w:space="0" w:color="auto"/>
            <w:right w:val="none" w:sz="0" w:space="0" w:color="auto"/>
          </w:divBdr>
        </w:div>
        <w:div w:id="2030909657">
          <w:marLeft w:val="640"/>
          <w:marRight w:val="0"/>
          <w:marTop w:val="0"/>
          <w:marBottom w:val="0"/>
          <w:divBdr>
            <w:top w:val="none" w:sz="0" w:space="0" w:color="auto"/>
            <w:left w:val="none" w:sz="0" w:space="0" w:color="auto"/>
            <w:bottom w:val="none" w:sz="0" w:space="0" w:color="auto"/>
            <w:right w:val="none" w:sz="0" w:space="0" w:color="auto"/>
          </w:divBdr>
        </w:div>
        <w:div w:id="1694187869">
          <w:marLeft w:val="640"/>
          <w:marRight w:val="0"/>
          <w:marTop w:val="0"/>
          <w:marBottom w:val="0"/>
          <w:divBdr>
            <w:top w:val="none" w:sz="0" w:space="0" w:color="auto"/>
            <w:left w:val="none" w:sz="0" w:space="0" w:color="auto"/>
            <w:bottom w:val="none" w:sz="0" w:space="0" w:color="auto"/>
            <w:right w:val="none" w:sz="0" w:space="0" w:color="auto"/>
          </w:divBdr>
        </w:div>
        <w:div w:id="870335506">
          <w:marLeft w:val="640"/>
          <w:marRight w:val="0"/>
          <w:marTop w:val="0"/>
          <w:marBottom w:val="0"/>
          <w:divBdr>
            <w:top w:val="none" w:sz="0" w:space="0" w:color="auto"/>
            <w:left w:val="none" w:sz="0" w:space="0" w:color="auto"/>
            <w:bottom w:val="none" w:sz="0" w:space="0" w:color="auto"/>
            <w:right w:val="none" w:sz="0" w:space="0" w:color="auto"/>
          </w:divBdr>
        </w:div>
        <w:div w:id="88739985">
          <w:marLeft w:val="640"/>
          <w:marRight w:val="0"/>
          <w:marTop w:val="0"/>
          <w:marBottom w:val="0"/>
          <w:divBdr>
            <w:top w:val="none" w:sz="0" w:space="0" w:color="auto"/>
            <w:left w:val="none" w:sz="0" w:space="0" w:color="auto"/>
            <w:bottom w:val="none" w:sz="0" w:space="0" w:color="auto"/>
            <w:right w:val="none" w:sz="0" w:space="0" w:color="auto"/>
          </w:divBdr>
        </w:div>
        <w:div w:id="621307663">
          <w:marLeft w:val="640"/>
          <w:marRight w:val="0"/>
          <w:marTop w:val="0"/>
          <w:marBottom w:val="0"/>
          <w:divBdr>
            <w:top w:val="none" w:sz="0" w:space="0" w:color="auto"/>
            <w:left w:val="none" w:sz="0" w:space="0" w:color="auto"/>
            <w:bottom w:val="none" w:sz="0" w:space="0" w:color="auto"/>
            <w:right w:val="none" w:sz="0" w:space="0" w:color="auto"/>
          </w:divBdr>
        </w:div>
        <w:div w:id="1349942647">
          <w:marLeft w:val="640"/>
          <w:marRight w:val="0"/>
          <w:marTop w:val="0"/>
          <w:marBottom w:val="0"/>
          <w:divBdr>
            <w:top w:val="none" w:sz="0" w:space="0" w:color="auto"/>
            <w:left w:val="none" w:sz="0" w:space="0" w:color="auto"/>
            <w:bottom w:val="none" w:sz="0" w:space="0" w:color="auto"/>
            <w:right w:val="none" w:sz="0" w:space="0" w:color="auto"/>
          </w:divBdr>
        </w:div>
        <w:div w:id="2058159894">
          <w:marLeft w:val="640"/>
          <w:marRight w:val="0"/>
          <w:marTop w:val="0"/>
          <w:marBottom w:val="0"/>
          <w:divBdr>
            <w:top w:val="none" w:sz="0" w:space="0" w:color="auto"/>
            <w:left w:val="none" w:sz="0" w:space="0" w:color="auto"/>
            <w:bottom w:val="none" w:sz="0" w:space="0" w:color="auto"/>
            <w:right w:val="none" w:sz="0" w:space="0" w:color="auto"/>
          </w:divBdr>
        </w:div>
        <w:div w:id="1782139475">
          <w:marLeft w:val="640"/>
          <w:marRight w:val="0"/>
          <w:marTop w:val="0"/>
          <w:marBottom w:val="0"/>
          <w:divBdr>
            <w:top w:val="none" w:sz="0" w:space="0" w:color="auto"/>
            <w:left w:val="none" w:sz="0" w:space="0" w:color="auto"/>
            <w:bottom w:val="none" w:sz="0" w:space="0" w:color="auto"/>
            <w:right w:val="none" w:sz="0" w:space="0" w:color="auto"/>
          </w:divBdr>
        </w:div>
        <w:div w:id="1993171060">
          <w:marLeft w:val="640"/>
          <w:marRight w:val="0"/>
          <w:marTop w:val="0"/>
          <w:marBottom w:val="0"/>
          <w:divBdr>
            <w:top w:val="none" w:sz="0" w:space="0" w:color="auto"/>
            <w:left w:val="none" w:sz="0" w:space="0" w:color="auto"/>
            <w:bottom w:val="none" w:sz="0" w:space="0" w:color="auto"/>
            <w:right w:val="none" w:sz="0" w:space="0" w:color="auto"/>
          </w:divBdr>
        </w:div>
        <w:div w:id="1712071854">
          <w:marLeft w:val="640"/>
          <w:marRight w:val="0"/>
          <w:marTop w:val="0"/>
          <w:marBottom w:val="0"/>
          <w:divBdr>
            <w:top w:val="none" w:sz="0" w:space="0" w:color="auto"/>
            <w:left w:val="none" w:sz="0" w:space="0" w:color="auto"/>
            <w:bottom w:val="none" w:sz="0" w:space="0" w:color="auto"/>
            <w:right w:val="none" w:sz="0" w:space="0" w:color="auto"/>
          </w:divBdr>
        </w:div>
        <w:div w:id="889532804">
          <w:marLeft w:val="640"/>
          <w:marRight w:val="0"/>
          <w:marTop w:val="0"/>
          <w:marBottom w:val="0"/>
          <w:divBdr>
            <w:top w:val="none" w:sz="0" w:space="0" w:color="auto"/>
            <w:left w:val="none" w:sz="0" w:space="0" w:color="auto"/>
            <w:bottom w:val="none" w:sz="0" w:space="0" w:color="auto"/>
            <w:right w:val="none" w:sz="0" w:space="0" w:color="auto"/>
          </w:divBdr>
        </w:div>
        <w:div w:id="491987481">
          <w:marLeft w:val="640"/>
          <w:marRight w:val="0"/>
          <w:marTop w:val="0"/>
          <w:marBottom w:val="0"/>
          <w:divBdr>
            <w:top w:val="none" w:sz="0" w:space="0" w:color="auto"/>
            <w:left w:val="none" w:sz="0" w:space="0" w:color="auto"/>
            <w:bottom w:val="none" w:sz="0" w:space="0" w:color="auto"/>
            <w:right w:val="none" w:sz="0" w:space="0" w:color="auto"/>
          </w:divBdr>
        </w:div>
        <w:div w:id="1001587883">
          <w:marLeft w:val="640"/>
          <w:marRight w:val="0"/>
          <w:marTop w:val="0"/>
          <w:marBottom w:val="0"/>
          <w:divBdr>
            <w:top w:val="none" w:sz="0" w:space="0" w:color="auto"/>
            <w:left w:val="none" w:sz="0" w:space="0" w:color="auto"/>
            <w:bottom w:val="none" w:sz="0" w:space="0" w:color="auto"/>
            <w:right w:val="none" w:sz="0" w:space="0" w:color="auto"/>
          </w:divBdr>
        </w:div>
        <w:div w:id="681203324">
          <w:marLeft w:val="640"/>
          <w:marRight w:val="0"/>
          <w:marTop w:val="0"/>
          <w:marBottom w:val="0"/>
          <w:divBdr>
            <w:top w:val="none" w:sz="0" w:space="0" w:color="auto"/>
            <w:left w:val="none" w:sz="0" w:space="0" w:color="auto"/>
            <w:bottom w:val="none" w:sz="0" w:space="0" w:color="auto"/>
            <w:right w:val="none" w:sz="0" w:space="0" w:color="auto"/>
          </w:divBdr>
        </w:div>
        <w:div w:id="2053188969">
          <w:marLeft w:val="640"/>
          <w:marRight w:val="0"/>
          <w:marTop w:val="0"/>
          <w:marBottom w:val="0"/>
          <w:divBdr>
            <w:top w:val="none" w:sz="0" w:space="0" w:color="auto"/>
            <w:left w:val="none" w:sz="0" w:space="0" w:color="auto"/>
            <w:bottom w:val="none" w:sz="0" w:space="0" w:color="auto"/>
            <w:right w:val="none" w:sz="0" w:space="0" w:color="auto"/>
          </w:divBdr>
        </w:div>
        <w:div w:id="1036154734">
          <w:marLeft w:val="640"/>
          <w:marRight w:val="0"/>
          <w:marTop w:val="0"/>
          <w:marBottom w:val="0"/>
          <w:divBdr>
            <w:top w:val="none" w:sz="0" w:space="0" w:color="auto"/>
            <w:left w:val="none" w:sz="0" w:space="0" w:color="auto"/>
            <w:bottom w:val="none" w:sz="0" w:space="0" w:color="auto"/>
            <w:right w:val="none" w:sz="0" w:space="0" w:color="auto"/>
          </w:divBdr>
        </w:div>
        <w:div w:id="1361004776">
          <w:marLeft w:val="640"/>
          <w:marRight w:val="0"/>
          <w:marTop w:val="0"/>
          <w:marBottom w:val="0"/>
          <w:divBdr>
            <w:top w:val="none" w:sz="0" w:space="0" w:color="auto"/>
            <w:left w:val="none" w:sz="0" w:space="0" w:color="auto"/>
            <w:bottom w:val="none" w:sz="0" w:space="0" w:color="auto"/>
            <w:right w:val="none" w:sz="0" w:space="0" w:color="auto"/>
          </w:divBdr>
        </w:div>
        <w:div w:id="218636511">
          <w:marLeft w:val="640"/>
          <w:marRight w:val="0"/>
          <w:marTop w:val="0"/>
          <w:marBottom w:val="0"/>
          <w:divBdr>
            <w:top w:val="none" w:sz="0" w:space="0" w:color="auto"/>
            <w:left w:val="none" w:sz="0" w:space="0" w:color="auto"/>
            <w:bottom w:val="none" w:sz="0" w:space="0" w:color="auto"/>
            <w:right w:val="none" w:sz="0" w:space="0" w:color="auto"/>
          </w:divBdr>
        </w:div>
        <w:div w:id="377822418">
          <w:marLeft w:val="640"/>
          <w:marRight w:val="0"/>
          <w:marTop w:val="0"/>
          <w:marBottom w:val="0"/>
          <w:divBdr>
            <w:top w:val="none" w:sz="0" w:space="0" w:color="auto"/>
            <w:left w:val="none" w:sz="0" w:space="0" w:color="auto"/>
            <w:bottom w:val="none" w:sz="0" w:space="0" w:color="auto"/>
            <w:right w:val="none" w:sz="0" w:space="0" w:color="auto"/>
          </w:divBdr>
        </w:div>
        <w:div w:id="746071955">
          <w:marLeft w:val="640"/>
          <w:marRight w:val="0"/>
          <w:marTop w:val="0"/>
          <w:marBottom w:val="0"/>
          <w:divBdr>
            <w:top w:val="none" w:sz="0" w:space="0" w:color="auto"/>
            <w:left w:val="none" w:sz="0" w:space="0" w:color="auto"/>
            <w:bottom w:val="none" w:sz="0" w:space="0" w:color="auto"/>
            <w:right w:val="none" w:sz="0" w:space="0" w:color="auto"/>
          </w:divBdr>
        </w:div>
        <w:div w:id="1189757272">
          <w:marLeft w:val="640"/>
          <w:marRight w:val="0"/>
          <w:marTop w:val="0"/>
          <w:marBottom w:val="0"/>
          <w:divBdr>
            <w:top w:val="none" w:sz="0" w:space="0" w:color="auto"/>
            <w:left w:val="none" w:sz="0" w:space="0" w:color="auto"/>
            <w:bottom w:val="none" w:sz="0" w:space="0" w:color="auto"/>
            <w:right w:val="none" w:sz="0" w:space="0" w:color="auto"/>
          </w:divBdr>
        </w:div>
        <w:div w:id="1607735458">
          <w:marLeft w:val="640"/>
          <w:marRight w:val="0"/>
          <w:marTop w:val="0"/>
          <w:marBottom w:val="0"/>
          <w:divBdr>
            <w:top w:val="none" w:sz="0" w:space="0" w:color="auto"/>
            <w:left w:val="none" w:sz="0" w:space="0" w:color="auto"/>
            <w:bottom w:val="none" w:sz="0" w:space="0" w:color="auto"/>
            <w:right w:val="none" w:sz="0" w:space="0" w:color="auto"/>
          </w:divBdr>
        </w:div>
        <w:div w:id="428159925">
          <w:marLeft w:val="640"/>
          <w:marRight w:val="0"/>
          <w:marTop w:val="0"/>
          <w:marBottom w:val="0"/>
          <w:divBdr>
            <w:top w:val="none" w:sz="0" w:space="0" w:color="auto"/>
            <w:left w:val="none" w:sz="0" w:space="0" w:color="auto"/>
            <w:bottom w:val="none" w:sz="0" w:space="0" w:color="auto"/>
            <w:right w:val="none" w:sz="0" w:space="0" w:color="auto"/>
          </w:divBdr>
        </w:div>
        <w:div w:id="1055930873">
          <w:marLeft w:val="640"/>
          <w:marRight w:val="0"/>
          <w:marTop w:val="0"/>
          <w:marBottom w:val="0"/>
          <w:divBdr>
            <w:top w:val="none" w:sz="0" w:space="0" w:color="auto"/>
            <w:left w:val="none" w:sz="0" w:space="0" w:color="auto"/>
            <w:bottom w:val="none" w:sz="0" w:space="0" w:color="auto"/>
            <w:right w:val="none" w:sz="0" w:space="0" w:color="auto"/>
          </w:divBdr>
        </w:div>
        <w:div w:id="449252460">
          <w:marLeft w:val="640"/>
          <w:marRight w:val="0"/>
          <w:marTop w:val="0"/>
          <w:marBottom w:val="0"/>
          <w:divBdr>
            <w:top w:val="none" w:sz="0" w:space="0" w:color="auto"/>
            <w:left w:val="none" w:sz="0" w:space="0" w:color="auto"/>
            <w:bottom w:val="none" w:sz="0" w:space="0" w:color="auto"/>
            <w:right w:val="none" w:sz="0" w:space="0" w:color="auto"/>
          </w:divBdr>
        </w:div>
        <w:div w:id="156386285">
          <w:marLeft w:val="640"/>
          <w:marRight w:val="0"/>
          <w:marTop w:val="0"/>
          <w:marBottom w:val="0"/>
          <w:divBdr>
            <w:top w:val="none" w:sz="0" w:space="0" w:color="auto"/>
            <w:left w:val="none" w:sz="0" w:space="0" w:color="auto"/>
            <w:bottom w:val="none" w:sz="0" w:space="0" w:color="auto"/>
            <w:right w:val="none" w:sz="0" w:space="0" w:color="auto"/>
          </w:divBdr>
        </w:div>
        <w:div w:id="2026863912">
          <w:marLeft w:val="640"/>
          <w:marRight w:val="0"/>
          <w:marTop w:val="0"/>
          <w:marBottom w:val="0"/>
          <w:divBdr>
            <w:top w:val="none" w:sz="0" w:space="0" w:color="auto"/>
            <w:left w:val="none" w:sz="0" w:space="0" w:color="auto"/>
            <w:bottom w:val="none" w:sz="0" w:space="0" w:color="auto"/>
            <w:right w:val="none" w:sz="0" w:space="0" w:color="auto"/>
          </w:divBdr>
        </w:div>
        <w:div w:id="194469234">
          <w:marLeft w:val="640"/>
          <w:marRight w:val="0"/>
          <w:marTop w:val="0"/>
          <w:marBottom w:val="0"/>
          <w:divBdr>
            <w:top w:val="none" w:sz="0" w:space="0" w:color="auto"/>
            <w:left w:val="none" w:sz="0" w:space="0" w:color="auto"/>
            <w:bottom w:val="none" w:sz="0" w:space="0" w:color="auto"/>
            <w:right w:val="none" w:sz="0" w:space="0" w:color="auto"/>
          </w:divBdr>
        </w:div>
        <w:div w:id="317654981">
          <w:marLeft w:val="640"/>
          <w:marRight w:val="0"/>
          <w:marTop w:val="0"/>
          <w:marBottom w:val="0"/>
          <w:divBdr>
            <w:top w:val="none" w:sz="0" w:space="0" w:color="auto"/>
            <w:left w:val="none" w:sz="0" w:space="0" w:color="auto"/>
            <w:bottom w:val="none" w:sz="0" w:space="0" w:color="auto"/>
            <w:right w:val="none" w:sz="0" w:space="0" w:color="auto"/>
          </w:divBdr>
        </w:div>
        <w:div w:id="212692058">
          <w:marLeft w:val="640"/>
          <w:marRight w:val="0"/>
          <w:marTop w:val="0"/>
          <w:marBottom w:val="0"/>
          <w:divBdr>
            <w:top w:val="none" w:sz="0" w:space="0" w:color="auto"/>
            <w:left w:val="none" w:sz="0" w:space="0" w:color="auto"/>
            <w:bottom w:val="none" w:sz="0" w:space="0" w:color="auto"/>
            <w:right w:val="none" w:sz="0" w:space="0" w:color="auto"/>
          </w:divBdr>
        </w:div>
        <w:div w:id="1705135258">
          <w:marLeft w:val="640"/>
          <w:marRight w:val="0"/>
          <w:marTop w:val="0"/>
          <w:marBottom w:val="0"/>
          <w:divBdr>
            <w:top w:val="none" w:sz="0" w:space="0" w:color="auto"/>
            <w:left w:val="none" w:sz="0" w:space="0" w:color="auto"/>
            <w:bottom w:val="none" w:sz="0" w:space="0" w:color="auto"/>
            <w:right w:val="none" w:sz="0" w:space="0" w:color="auto"/>
          </w:divBdr>
        </w:div>
        <w:div w:id="1296375367">
          <w:marLeft w:val="640"/>
          <w:marRight w:val="0"/>
          <w:marTop w:val="0"/>
          <w:marBottom w:val="0"/>
          <w:divBdr>
            <w:top w:val="none" w:sz="0" w:space="0" w:color="auto"/>
            <w:left w:val="none" w:sz="0" w:space="0" w:color="auto"/>
            <w:bottom w:val="none" w:sz="0" w:space="0" w:color="auto"/>
            <w:right w:val="none" w:sz="0" w:space="0" w:color="auto"/>
          </w:divBdr>
        </w:div>
        <w:div w:id="558172301">
          <w:marLeft w:val="640"/>
          <w:marRight w:val="0"/>
          <w:marTop w:val="0"/>
          <w:marBottom w:val="0"/>
          <w:divBdr>
            <w:top w:val="none" w:sz="0" w:space="0" w:color="auto"/>
            <w:left w:val="none" w:sz="0" w:space="0" w:color="auto"/>
            <w:bottom w:val="none" w:sz="0" w:space="0" w:color="auto"/>
            <w:right w:val="none" w:sz="0" w:space="0" w:color="auto"/>
          </w:divBdr>
        </w:div>
        <w:div w:id="370032008">
          <w:marLeft w:val="640"/>
          <w:marRight w:val="0"/>
          <w:marTop w:val="0"/>
          <w:marBottom w:val="0"/>
          <w:divBdr>
            <w:top w:val="none" w:sz="0" w:space="0" w:color="auto"/>
            <w:left w:val="none" w:sz="0" w:space="0" w:color="auto"/>
            <w:bottom w:val="none" w:sz="0" w:space="0" w:color="auto"/>
            <w:right w:val="none" w:sz="0" w:space="0" w:color="auto"/>
          </w:divBdr>
        </w:div>
        <w:div w:id="852455911">
          <w:marLeft w:val="640"/>
          <w:marRight w:val="0"/>
          <w:marTop w:val="0"/>
          <w:marBottom w:val="0"/>
          <w:divBdr>
            <w:top w:val="none" w:sz="0" w:space="0" w:color="auto"/>
            <w:left w:val="none" w:sz="0" w:space="0" w:color="auto"/>
            <w:bottom w:val="none" w:sz="0" w:space="0" w:color="auto"/>
            <w:right w:val="none" w:sz="0" w:space="0" w:color="auto"/>
          </w:divBdr>
        </w:div>
        <w:div w:id="1657684822">
          <w:marLeft w:val="640"/>
          <w:marRight w:val="0"/>
          <w:marTop w:val="0"/>
          <w:marBottom w:val="0"/>
          <w:divBdr>
            <w:top w:val="none" w:sz="0" w:space="0" w:color="auto"/>
            <w:left w:val="none" w:sz="0" w:space="0" w:color="auto"/>
            <w:bottom w:val="none" w:sz="0" w:space="0" w:color="auto"/>
            <w:right w:val="none" w:sz="0" w:space="0" w:color="auto"/>
          </w:divBdr>
        </w:div>
        <w:div w:id="1628006340">
          <w:marLeft w:val="640"/>
          <w:marRight w:val="0"/>
          <w:marTop w:val="0"/>
          <w:marBottom w:val="0"/>
          <w:divBdr>
            <w:top w:val="none" w:sz="0" w:space="0" w:color="auto"/>
            <w:left w:val="none" w:sz="0" w:space="0" w:color="auto"/>
            <w:bottom w:val="none" w:sz="0" w:space="0" w:color="auto"/>
            <w:right w:val="none" w:sz="0" w:space="0" w:color="auto"/>
          </w:divBdr>
        </w:div>
        <w:div w:id="1985967518">
          <w:marLeft w:val="640"/>
          <w:marRight w:val="0"/>
          <w:marTop w:val="0"/>
          <w:marBottom w:val="0"/>
          <w:divBdr>
            <w:top w:val="none" w:sz="0" w:space="0" w:color="auto"/>
            <w:left w:val="none" w:sz="0" w:space="0" w:color="auto"/>
            <w:bottom w:val="none" w:sz="0" w:space="0" w:color="auto"/>
            <w:right w:val="none" w:sz="0" w:space="0" w:color="auto"/>
          </w:divBdr>
        </w:div>
        <w:div w:id="1743521074">
          <w:marLeft w:val="640"/>
          <w:marRight w:val="0"/>
          <w:marTop w:val="0"/>
          <w:marBottom w:val="0"/>
          <w:divBdr>
            <w:top w:val="none" w:sz="0" w:space="0" w:color="auto"/>
            <w:left w:val="none" w:sz="0" w:space="0" w:color="auto"/>
            <w:bottom w:val="none" w:sz="0" w:space="0" w:color="auto"/>
            <w:right w:val="none" w:sz="0" w:space="0" w:color="auto"/>
          </w:divBdr>
        </w:div>
        <w:div w:id="1537739289">
          <w:marLeft w:val="640"/>
          <w:marRight w:val="0"/>
          <w:marTop w:val="0"/>
          <w:marBottom w:val="0"/>
          <w:divBdr>
            <w:top w:val="none" w:sz="0" w:space="0" w:color="auto"/>
            <w:left w:val="none" w:sz="0" w:space="0" w:color="auto"/>
            <w:bottom w:val="none" w:sz="0" w:space="0" w:color="auto"/>
            <w:right w:val="none" w:sz="0" w:space="0" w:color="auto"/>
          </w:divBdr>
        </w:div>
        <w:div w:id="1585190714">
          <w:marLeft w:val="640"/>
          <w:marRight w:val="0"/>
          <w:marTop w:val="0"/>
          <w:marBottom w:val="0"/>
          <w:divBdr>
            <w:top w:val="none" w:sz="0" w:space="0" w:color="auto"/>
            <w:left w:val="none" w:sz="0" w:space="0" w:color="auto"/>
            <w:bottom w:val="none" w:sz="0" w:space="0" w:color="auto"/>
            <w:right w:val="none" w:sz="0" w:space="0" w:color="auto"/>
          </w:divBdr>
        </w:div>
        <w:div w:id="567611424">
          <w:marLeft w:val="640"/>
          <w:marRight w:val="0"/>
          <w:marTop w:val="0"/>
          <w:marBottom w:val="0"/>
          <w:divBdr>
            <w:top w:val="none" w:sz="0" w:space="0" w:color="auto"/>
            <w:left w:val="none" w:sz="0" w:space="0" w:color="auto"/>
            <w:bottom w:val="none" w:sz="0" w:space="0" w:color="auto"/>
            <w:right w:val="none" w:sz="0" w:space="0" w:color="auto"/>
          </w:divBdr>
        </w:div>
        <w:div w:id="701319697">
          <w:marLeft w:val="640"/>
          <w:marRight w:val="0"/>
          <w:marTop w:val="0"/>
          <w:marBottom w:val="0"/>
          <w:divBdr>
            <w:top w:val="none" w:sz="0" w:space="0" w:color="auto"/>
            <w:left w:val="none" w:sz="0" w:space="0" w:color="auto"/>
            <w:bottom w:val="none" w:sz="0" w:space="0" w:color="auto"/>
            <w:right w:val="none" w:sz="0" w:space="0" w:color="auto"/>
          </w:divBdr>
        </w:div>
        <w:div w:id="205723078">
          <w:marLeft w:val="640"/>
          <w:marRight w:val="0"/>
          <w:marTop w:val="0"/>
          <w:marBottom w:val="0"/>
          <w:divBdr>
            <w:top w:val="none" w:sz="0" w:space="0" w:color="auto"/>
            <w:left w:val="none" w:sz="0" w:space="0" w:color="auto"/>
            <w:bottom w:val="none" w:sz="0" w:space="0" w:color="auto"/>
            <w:right w:val="none" w:sz="0" w:space="0" w:color="auto"/>
          </w:divBdr>
        </w:div>
        <w:div w:id="1565870864">
          <w:marLeft w:val="640"/>
          <w:marRight w:val="0"/>
          <w:marTop w:val="0"/>
          <w:marBottom w:val="0"/>
          <w:divBdr>
            <w:top w:val="none" w:sz="0" w:space="0" w:color="auto"/>
            <w:left w:val="none" w:sz="0" w:space="0" w:color="auto"/>
            <w:bottom w:val="none" w:sz="0" w:space="0" w:color="auto"/>
            <w:right w:val="none" w:sz="0" w:space="0" w:color="auto"/>
          </w:divBdr>
        </w:div>
        <w:div w:id="849755446">
          <w:marLeft w:val="640"/>
          <w:marRight w:val="0"/>
          <w:marTop w:val="0"/>
          <w:marBottom w:val="0"/>
          <w:divBdr>
            <w:top w:val="none" w:sz="0" w:space="0" w:color="auto"/>
            <w:left w:val="none" w:sz="0" w:space="0" w:color="auto"/>
            <w:bottom w:val="none" w:sz="0" w:space="0" w:color="auto"/>
            <w:right w:val="none" w:sz="0" w:space="0" w:color="auto"/>
          </w:divBdr>
        </w:div>
        <w:div w:id="1670909226">
          <w:marLeft w:val="640"/>
          <w:marRight w:val="0"/>
          <w:marTop w:val="0"/>
          <w:marBottom w:val="0"/>
          <w:divBdr>
            <w:top w:val="none" w:sz="0" w:space="0" w:color="auto"/>
            <w:left w:val="none" w:sz="0" w:space="0" w:color="auto"/>
            <w:bottom w:val="none" w:sz="0" w:space="0" w:color="auto"/>
            <w:right w:val="none" w:sz="0" w:space="0" w:color="auto"/>
          </w:divBdr>
        </w:div>
        <w:div w:id="273370209">
          <w:marLeft w:val="640"/>
          <w:marRight w:val="0"/>
          <w:marTop w:val="0"/>
          <w:marBottom w:val="0"/>
          <w:divBdr>
            <w:top w:val="none" w:sz="0" w:space="0" w:color="auto"/>
            <w:left w:val="none" w:sz="0" w:space="0" w:color="auto"/>
            <w:bottom w:val="none" w:sz="0" w:space="0" w:color="auto"/>
            <w:right w:val="none" w:sz="0" w:space="0" w:color="auto"/>
          </w:divBdr>
        </w:div>
        <w:div w:id="975915421">
          <w:marLeft w:val="640"/>
          <w:marRight w:val="0"/>
          <w:marTop w:val="0"/>
          <w:marBottom w:val="0"/>
          <w:divBdr>
            <w:top w:val="none" w:sz="0" w:space="0" w:color="auto"/>
            <w:left w:val="none" w:sz="0" w:space="0" w:color="auto"/>
            <w:bottom w:val="none" w:sz="0" w:space="0" w:color="auto"/>
            <w:right w:val="none" w:sz="0" w:space="0" w:color="auto"/>
          </w:divBdr>
        </w:div>
        <w:div w:id="778372035">
          <w:marLeft w:val="640"/>
          <w:marRight w:val="0"/>
          <w:marTop w:val="0"/>
          <w:marBottom w:val="0"/>
          <w:divBdr>
            <w:top w:val="none" w:sz="0" w:space="0" w:color="auto"/>
            <w:left w:val="none" w:sz="0" w:space="0" w:color="auto"/>
            <w:bottom w:val="none" w:sz="0" w:space="0" w:color="auto"/>
            <w:right w:val="none" w:sz="0" w:space="0" w:color="auto"/>
          </w:divBdr>
        </w:div>
        <w:div w:id="717557393">
          <w:marLeft w:val="640"/>
          <w:marRight w:val="0"/>
          <w:marTop w:val="0"/>
          <w:marBottom w:val="0"/>
          <w:divBdr>
            <w:top w:val="none" w:sz="0" w:space="0" w:color="auto"/>
            <w:left w:val="none" w:sz="0" w:space="0" w:color="auto"/>
            <w:bottom w:val="none" w:sz="0" w:space="0" w:color="auto"/>
            <w:right w:val="none" w:sz="0" w:space="0" w:color="auto"/>
          </w:divBdr>
        </w:div>
        <w:div w:id="1583876165">
          <w:marLeft w:val="640"/>
          <w:marRight w:val="0"/>
          <w:marTop w:val="0"/>
          <w:marBottom w:val="0"/>
          <w:divBdr>
            <w:top w:val="none" w:sz="0" w:space="0" w:color="auto"/>
            <w:left w:val="none" w:sz="0" w:space="0" w:color="auto"/>
            <w:bottom w:val="none" w:sz="0" w:space="0" w:color="auto"/>
            <w:right w:val="none" w:sz="0" w:space="0" w:color="auto"/>
          </w:divBdr>
        </w:div>
        <w:div w:id="1452439175">
          <w:marLeft w:val="640"/>
          <w:marRight w:val="0"/>
          <w:marTop w:val="0"/>
          <w:marBottom w:val="0"/>
          <w:divBdr>
            <w:top w:val="none" w:sz="0" w:space="0" w:color="auto"/>
            <w:left w:val="none" w:sz="0" w:space="0" w:color="auto"/>
            <w:bottom w:val="none" w:sz="0" w:space="0" w:color="auto"/>
            <w:right w:val="none" w:sz="0" w:space="0" w:color="auto"/>
          </w:divBdr>
        </w:div>
        <w:div w:id="1338851508">
          <w:marLeft w:val="640"/>
          <w:marRight w:val="0"/>
          <w:marTop w:val="0"/>
          <w:marBottom w:val="0"/>
          <w:divBdr>
            <w:top w:val="none" w:sz="0" w:space="0" w:color="auto"/>
            <w:left w:val="none" w:sz="0" w:space="0" w:color="auto"/>
            <w:bottom w:val="none" w:sz="0" w:space="0" w:color="auto"/>
            <w:right w:val="none" w:sz="0" w:space="0" w:color="auto"/>
          </w:divBdr>
        </w:div>
        <w:div w:id="1342974635">
          <w:marLeft w:val="640"/>
          <w:marRight w:val="0"/>
          <w:marTop w:val="0"/>
          <w:marBottom w:val="0"/>
          <w:divBdr>
            <w:top w:val="none" w:sz="0" w:space="0" w:color="auto"/>
            <w:left w:val="none" w:sz="0" w:space="0" w:color="auto"/>
            <w:bottom w:val="none" w:sz="0" w:space="0" w:color="auto"/>
            <w:right w:val="none" w:sz="0" w:space="0" w:color="auto"/>
          </w:divBdr>
        </w:div>
        <w:div w:id="66146671">
          <w:marLeft w:val="640"/>
          <w:marRight w:val="0"/>
          <w:marTop w:val="0"/>
          <w:marBottom w:val="0"/>
          <w:divBdr>
            <w:top w:val="none" w:sz="0" w:space="0" w:color="auto"/>
            <w:left w:val="none" w:sz="0" w:space="0" w:color="auto"/>
            <w:bottom w:val="none" w:sz="0" w:space="0" w:color="auto"/>
            <w:right w:val="none" w:sz="0" w:space="0" w:color="auto"/>
          </w:divBdr>
        </w:div>
        <w:div w:id="875386748">
          <w:marLeft w:val="640"/>
          <w:marRight w:val="0"/>
          <w:marTop w:val="0"/>
          <w:marBottom w:val="0"/>
          <w:divBdr>
            <w:top w:val="none" w:sz="0" w:space="0" w:color="auto"/>
            <w:left w:val="none" w:sz="0" w:space="0" w:color="auto"/>
            <w:bottom w:val="none" w:sz="0" w:space="0" w:color="auto"/>
            <w:right w:val="none" w:sz="0" w:space="0" w:color="auto"/>
          </w:divBdr>
        </w:div>
        <w:div w:id="1608657759">
          <w:marLeft w:val="640"/>
          <w:marRight w:val="0"/>
          <w:marTop w:val="0"/>
          <w:marBottom w:val="0"/>
          <w:divBdr>
            <w:top w:val="none" w:sz="0" w:space="0" w:color="auto"/>
            <w:left w:val="none" w:sz="0" w:space="0" w:color="auto"/>
            <w:bottom w:val="none" w:sz="0" w:space="0" w:color="auto"/>
            <w:right w:val="none" w:sz="0" w:space="0" w:color="auto"/>
          </w:divBdr>
        </w:div>
        <w:div w:id="1887643709">
          <w:marLeft w:val="640"/>
          <w:marRight w:val="0"/>
          <w:marTop w:val="0"/>
          <w:marBottom w:val="0"/>
          <w:divBdr>
            <w:top w:val="none" w:sz="0" w:space="0" w:color="auto"/>
            <w:left w:val="none" w:sz="0" w:space="0" w:color="auto"/>
            <w:bottom w:val="none" w:sz="0" w:space="0" w:color="auto"/>
            <w:right w:val="none" w:sz="0" w:space="0" w:color="auto"/>
          </w:divBdr>
        </w:div>
        <w:div w:id="952249343">
          <w:marLeft w:val="640"/>
          <w:marRight w:val="0"/>
          <w:marTop w:val="0"/>
          <w:marBottom w:val="0"/>
          <w:divBdr>
            <w:top w:val="none" w:sz="0" w:space="0" w:color="auto"/>
            <w:left w:val="none" w:sz="0" w:space="0" w:color="auto"/>
            <w:bottom w:val="none" w:sz="0" w:space="0" w:color="auto"/>
            <w:right w:val="none" w:sz="0" w:space="0" w:color="auto"/>
          </w:divBdr>
        </w:div>
        <w:div w:id="1771319104">
          <w:marLeft w:val="640"/>
          <w:marRight w:val="0"/>
          <w:marTop w:val="0"/>
          <w:marBottom w:val="0"/>
          <w:divBdr>
            <w:top w:val="none" w:sz="0" w:space="0" w:color="auto"/>
            <w:left w:val="none" w:sz="0" w:space="0" w:color="auto"/>
            <w:bottom w:val="none" w:sz="0" w:space="0" w:color="auto"/>
            <w:right w:val="none" w:sz="0" w:space="0" w:color="auto"/>
          </w:divBdr>
        </w:div>
        <w:div w:id="828323646">
          <w:marLeft w:val="640"/>
          <w:marRight w:val="0"/>
          <w:marTop w:val="0"/>
          <w:marBottom w:val="0"/>
          <w:divBdr>
            <w:top w:val="none" w:sz="0" w:space="0" w:color="auto"/>
            <w:left w:val="none" w:sz="0" w:space="0" w:color="auto"/>
            <w:bottom w:val="none" w:sz="0" w:space="0" w:color="auto"/>
            <w:right w:val="none" w:sz="0" w:space="0" w:color="auto"/>
          </w:divBdr>
        </w:div>
        <w:div w:id="1652715814">
          <w:marLeft w:val="640"/>
          <w:marRight w:val="0"/>
          <w:marTop w:val="0"/>
          <w:marBottom w:val="0"/>
          <w:divBdr>
            <w:top w:val="none" w:sz="0" w:space="0" w:color="auto"/>
            <w:left w:val="none" w:sz="0" w:space="0" w:color="auto"/>
            <w:bottom w:val="none" w:sz="0" w:space="0" w:color="auto"/>
            <w:right w:val="none" w:sz="0" w:space="0" w:color="auto"/>
          </w:divBdr>
        </w:div>
        <w:div w:id="1717656407">
          <w:marLeft w:val="640"/>
          <w:marRight w:val="0"/>
          <w:marTop w:val="0"/>
          <w:marBottom w:val="0"/>
          <w:divBdr>
            <w:top w:val="none" w:sz="0" w:space="0" w:color="auto"/>
            <w:left w:val="none" w:sz="0" w:space="0" w:color="auto"/>
            <w:bottom w:val="none" w:sz="0" w:space="0" w:color="auto"/>
            <w:right w:val="none" w:sz="0" w:space="0" w:color="auto"/>
          </w:divBdr>
        </w:div>
        <w:div w:id="850752754">
          <w:marLeft w:val="640"/>
          <w:marRight w:val="0"/>
          <w:marTop w:val="0"/>
          <w:marBottom w:val="0"/>
          <w:divBdr>
            <w:top w:val="none" w:sz="0" w:space="0" w:color="auto"/>
            <w:left w:val="none" w:sz="0" w:space="0" w:color="auto"/>
            <w:bottom w:val="none" w:sz="0" w:space="0" w:color="auto"/>
            <w:right w:val="none" w:sz="0" w:space="0" w:color="auto"/>
          </w:divBdr>
        </w:div>
        <w:div w:id="164634238">
          <w:marLeft w:val="640"/>
          <w:marRight w:val="0"/>
          <w:marTop w:val="0"/>
          <w:marBottom w:val="0"/>
          <w:divBdr>
            <w:top w:val="none" w:sz="0" w:space="0" w:color="auto"/>
            <w:left w:val="none" w:sz="0" w:space="0" w:color="auto"/>
            <w:bottom w:val="none" w:sz="0" w:space="0" w:color="auto"/>
            <w:right w:val="none" w:sz="0" w:space="0" w:color="auto"/>
          </w:divBdr>
        </w:div>
        <w:div w:id="1477332276">
          <w:marLeft w:val="640"/>
          <w:marRight w:val="0"/>
          <w:marTop w:val="0"/>
          <w:marBottom w:val="0"/>
          <w:divBdr>
            <w:top w:val="none" w:sz="0" w:space="0" w:color="auto"/>
            <w:left w:val="none" w:sz="0" w:space="0" w:color="auto"/>
            <w:bottom w:val="none" w:sz="0" w:space="0" w:color="auto"/>
            <w:right w:val="none" w:sz="0" w:space="0" w:color="auto"/>
          </w:divBdr>
        </w:div>
        <w:div w:id="1476491195">
          <w:marLeft w:val="640"/>
          <w:marRight w:val="0"/>
          <w:marTop w:val="0"/>
          <w:marBottom w:val="0"/>
          <w:divBdr>
            <w:top w:val="none" w:sz="0" w:space="0" w:color="auto"/>
            <w:left w:val="none" w:sz="0" w:space="0" w:color="auto"/>
            <w:bottom w:val="none" w:sz="0" w:space="0" w:color="auto"/>
            <w:right w:val="none" w:sz="0" w:space="0" w:color="auto"/>
          </w:divBdr>
        </w:div>
        <w:div w:id="1576554529">
          <w:marLeft w:val="640"/>
          <w:marRight w:val="0"/>
          <w:marTop w:val="0"/>
          <w:marBottom w:val="0"/>
          <w:divBdr>
            <w:top w:val="none" w:sz="0" w:space="0" w:color="auto"/>
            <w:left w:val="none" w:sz="0" w:space="0" w:color="auto"/>
            <w:bottom w:val="none" w:sz="0" w:space="0" w:color="auto"/>
            <w:right w:val="none" w:sz="0" w:space="0" w:color="auto"/>
          </w:divBdr>
        </w:div>
        <w:div w:id="785852367">
          <w:marLeft w:val="640"/>
          <w:marRight w:val="0"/>
          <w:marTop w:val="0"/>
          <w:marBottom w:val="0"/>
          <w:divBdr>
            <w:top w:val="none" w:sz="0" w:space="0" w:color="auto"/>
            <w:left w:val="none" w:sz="0" w:space="0" w:color="auto"/>
            <w:bottom w:val="none" w:sz="0" w:space="0" w:color="auto"/>
            <w:right w:val="none" w:sz="0" w:space="0" w:color="auto"/>
          </w:divBdr>
        </w:div>
        <w:div w:id="1261256199">
          <w:marLeft w:val="640"/>
          <w:marRight w:val="0"/>
          <w:marTop w:val="0"/>
          <w:marBottom w:val="0"/>
          <w:divBdr>
            <w:top w:val="none" w:sz="0" w:space="0" w:color="auto"/>
            <w:left w:val="none" w:sz="0" w:space="0" w:color="auto"/>
            <w:bottom w:val="none" w:sz="0" w:space="0" w:color="auto"/>
            <w:right w:val="none" w:sz="0" w:space="0" w:color="auto"/>
          </w:divBdr>
        </w:div>
        <w:div w:id="500317029">
          <w:marLeft w:val="640"/>
          <w:marRight w:val="0"/>
          <w:marTop w:val="0"/>
          <w:marBottom w:val="0"/>
          <w:divBdr>
            <w:top w:val="none" w:sz="0" w:space="0" w:color="auto"/>
            <w:left w:val="none" w:sz="0" w:space="0" w:color="auto"/>
            <w:bottom w:val="none" w:sz="0" w:space="0" w:color="auto"/>
            <w:right w:val="none" w:sz="0" w:space="0" w:color="auto"/>
          </w:divBdr>
        </w:div>
        <w:div w:id="1014306214">
          <w:marLeft w:val="640"/>
          <w:marRight w:val="0"/>
          <w:marTop w:val="0"/>
          <w:marBottom w:val="0"/>
          <w:divBdr>
            <w:top w:val="none" w:sz="0" w:space="0" w:color="auto"/>
            <w:left w:val="none" w:sz="0" w:space="0" w:color="auto"/>
            <w:bottom w:val="none" w:sz="0" w:space="0" w:color="auto"/>
            <w:right w:val="none" w:sz="0" w:space="0" w:color="auto"/>
          </w:divBdr>
        </w:div>
        <w:div w:id="214975836">
          <w:marLeft w:val="640"/>
          <w:marRight w:val="0"/>
          <w:marTop w:val="0"/>
          <w:marBottom w:val="0"/>
          <w:divBdr>
            <w:top w:val="none" w:sz="0" w:space="0" w:color="auto"/>
            <w:left w:val="none" w:sz="0" w:space="0" w:color="auto"/>
            <w:bottom w:val="none" w:sz="0" w:space="0" w:color="auto"/>
            <w:right w:val="none" w:sz="0" w:space="0" w:color="auto"/>
          </w:divBdr>
        </w:div>
        <w:div w:id="1912885245">
          <w:marLeft w:val="640"/>
          <w:marRight w:val="0"/>
          <w:marTop w:val="0"/>
          <w:marBottom w:val="0"/>
          <w:divBdr>
            <w:top w:val="none" w:sz="0" w:space="0" w:color="auto"/>
            <w:left w:val="none" w:sz="0" w:space="0" w:color="auto"/>
            <w:bottom w:val="none" w:sz="0" w:space="0" w:color="auto"/>
            <w:right w:val="none" w:sz="0" w:space="0" w:color="auto"/>
          </w:divBdr>
        </w:div>
        <w:div w:id="789131711">
          <w:marLeft w:val="640"/>
          <w:marRight w:val="0"/>
          <w:marTop w:val="0"/>
          <w:marBottom w:val="0"/>
          <w:divBdr>
            <w:top w:val="none" w:sz="0" w:space="0" w:color="auto"/>
            <w:left w:val="none" w:sz="0" w:space="0" w:color="auto"/>
            <w:bottom w:val="none" w:sz="0" w:space="0" w:color="auto"/>
            <w:right w:val="none" w:sz="0" w:space="0" w:color="auto"/>
          </w:divBdr>
        </w:div>
        <w:div w:id="191307157">
          <w:marLeft w:val="640"/>
          <w:marRight w:val="0"/>
          <w:marTop w:val="0"/>
          <w:marBottom w:val="0"/>
          <w:divBdr>
            <w:top w:val="none" w:sz="0" w:space="0" w:color="auto"/>
            <w:left w:val="none" w:sz="0" w:space="0" w:color="auto"/>
            <w:bottom w:val="none" w:sz="0" w:space="0" w:color="auto"/>
            <w:right w:val="none" w:sz="0" w:space="0" w:color="auto"/>
          </w:divBdr>
        </w:div>
        <w:div w:id="2063015756">
          <w:marLeft w:val="640"/>
          <w:marRight w:val="0"/>
          <w:marTop w:val="0"/>
          <w:marBottom w:val="0"/>
          <w:divBdr>
            <w:top w:val="none" w:sz="0" w:space="0" w:color="auto"/>
            <w:left w:val="none" w:sz="0" w:space="0" w:color="auto"/>
            <w:bottom w:val="none" w:sz="0" w:space="0" w:color="auto"/>
            <w:right w:val="none" w:sz="0" w:space="0" w:color="auto"/>
          </w:divBdr>
        </w:div>
        <w:div w:id="1027833765">
          <w:marLeft w:val="640"/>
          <w:marRight w:val="0"/>
          <w:marTop w:val="0"/>
          <w:marBottom w:val="0"/>
          <w:divBdr>
            <w:top w:val="none" w:sz="0" w:space="0" w:color="auto"/>
            <w:left w:val="none" w:sz="0" w:space="0" w:color="auto"/>
            <w:bottom w:val="none" w:sz="0" w:space="0" w:color="auto"/>
            <w:right w:val="none" w:sz="0" w:space="0" w:color="auto"/>
          </w:divBdr>
        </w:div>
        <w:div w:id="102195933">
          <w:marLeft w:val="640"/>
          <w:marRight w:val="0"/>
          <w:marTop w:val="0"/>
          <w:marBottom w:val="0"/>
          <w:divBdr>
            <w:top w:val="none" w:sz="0" w:space="0" w:color="auto"/>
            <w:left w:val="none" w:sz="0" w:space="0" w:color="auto"/>
            <w:bottom w:val="none" w:sz="0" w:space="0" w:color="auto"/>
            <w:right w:val="none" w:sz="0" w:space="0" w:color="auto"/>
          </w:divBdr>
        </w:div>
        <w:div w:id="1379356301">
          <w:marLeft w:val="640"/>
          <w:marRight w:val="0"/>
          <w:marTop w:val="0"/>
          <w:marBottom w:val="0"/>
          <w:divBdr>
            <w:top w:val="none" w:sz="0" w:space="0" w:color="auto"/>
            <w:left w:val="none" w:sz="0" w:space="0" w:color="auto"/>
            <w:bottom w:val="none" w:sz="0" w:space="0" w:color="auto"/>
            <w:right w:val="none" w:sz="0" w:space="0" w:color="auto"/>
          </w:divBdr>
        </w:div>
        <w:div w:id="557865590">
          <w:marLeft w:val="640"/>
          <w:marRight w:val="0"/>
          <w:marTop w:val="0"/>
          <w:marBottom w:val="0"/>
          <w:divBdr>
            <w:top w:val="none" w:sz="0" w:space="0" w:color="auto"/>
            <w:left w:val="none" w:sz="0" w:space="0" w:color="auto"/>
            <w:bottom w:val="none" w:sz="0" w:space="0" w:color="auto"/>
            <w:right w:val="none" w:sz="0" w:space="0" w:color="auto"/>
          </w:divBdr>
        </w:div>
        <w:div w:id="143861769">
          <w:marLeft w:val="640"/>
          <w:marRight w:val="0"/>
          <w:marTop w:val="0"/>
          <w:marBottom w:val="0"/>
          <w:divBdr>
            <w:top w:val="none" w:sz="0" w:space="0" w:color="auto"/>
            <w:left w:val="none" w:sz="0" w:space="0" w:color="auto"/>
            <w:bottom w:val="none" w:sz="0" w:space="0" w:color="auto"/>
            <w:right w:val="none" w:sz="0" w:space="0" w:color="auto"/>
          </w:divBdr>
        </w:div>
        <w:div w:id="2041977337">
          <w:marLeft w:val="640"/>
          <w:marRight w:val="0"/>
          <w:marTop w:val="0"/>
          <w:marBottom w:val="0"/>
          <w:divBdr>
            <w:top w:val="none" w:sz="0" w:space="0" w:color="auto"/>
            <w:left w:val="none" w:sz="0" w:space="0" w:color="auto"/>
            <w:bottom w:val="none" w:sz="0" w:space="0" w:color="auto"/>
            <w:right w:val="none" w:sz="0" w:space="0" w:color="auto"/>
          </w:divBdr>
        </w:div>
        <w:div w:id="106431367">
          <w:marLeft w:val="640"/>
          <w:marRight w:val="0"/>
          <w:marTop w:val="0"/>
          <w:marBottom w:val="0"/>
          <w:divBdr>
            <w:top w:val="none" w:sz="0" w:space="0" w:color="auto"/>
            <w:left w:val="none" w:sz="0" w:space="0" w:color="auto"/>
            <w:bottom w:val="none" w:sz="0" w:space="0" w:color="auto"/>
            <w:right w:val="none" w:sz="0" w:space="0" w:color="auto"/>
          </w:divBdr>
        </w:div>
        <w:div w:id="1671367593">
          <w:marLeft w:val="640"/>
          <w:marRight w:val="0"/>
          <w:marTop w:val="0"/>
          <w:marBottom w:val="0"/>
          <w:divBdr>
            <w:top w:val="none" w:sz="0" w:space="0" w:color="auto"/>
            <w:left w:val="none" w:sz="0" w:space="0" w:color="auto"/>
            <w:bottom w:val="none" w:sz="0" w:space="0" w:color="auto"/>
            <w:right w:val="none" w:sz="0" w:space="0" w:color="auto"/>
          </w:divBdr>
        </w:div>
        <w:div w:id="1481383376">
          <w:marLeft w:val="640"/>
          <w:marRight w:val="0"/>
          <w:marTop w:val="0"/>
          <w:marBottom w:val="0"/>
          <w:divBdr>
            <w:top w:val="none" w:sz="0" w:space="0" w:color="auto"/>
            <w:left w:val="none" w:sz="0" w:space="0" w:color="auto"/>
            <w:bottom w:val="none" w:sz="0" w:space="0" w:color="auto"/>
            <w:right w:val="none" w:sz="0" w:space="0" w:color="auto"/>
          </w:divBdr>
        </w:div>
        <w:div w:id="1425761855">
          <w:marLeft w:val="640"/>
          <w:marRight w:val="0"/>
          <w:marTop w:val="0"/>
          <w:marBottom w:val="0"/>
          <w:divBdr>
            <w:top w:val="none" w:sz="0" w:space="0" w:color="auto"/>
            <w:left w:val="none" w:sz="0" w:space="0" w:color="auto"/>
            <w:bottom w:val="none" w:sz="0" w:space="0" w:color="auto"/>
            <w:right w:val="none" w:sz="0" w:space="0" w:color="auto"/>
          </w:divBdr>
        </w:div>
        <w:div w:id="888951687">
          <w:marLeft w:val="640"/>
          <w:marRight w:val="0"/>
          <w:marTop w:val="0"/>
          <w:marBottom w:val="0"/>
          <w:divBdr>
            <w:top w:val="none" w:sz="0" w:space="0" w:color="auto"/>
            <w:left w:val="none" w:sz="0" w:space="0" w:color="auto"/>
            <w:bottom w:val="none" w:sz="0" w:space="0" w:color="auto"/>
            <w:right w:val="none" w:sz="0" w:space="0" w:color="auto"/>
          </w:divBdr>
        </w:div>
        <w:div w:id="150487024">
          <w:marLeft w:val="640"/>
          <w:marRight w:val="0"/>
          <w:marTop w:val="0"/>
          <w:marBottom w:val="0"/>
          <w:divBdr>
            <w:top w:val="none" w:sz="0" w:space="0" w:color="auto"/>
            <w:left w:val="none" w:sz="0" w:space="0" w:color="auto"/>
            <w:bottom w:val="none" w:sz="0" w:space="0" w:color="auto"/>
            <w:right w:val="none" w:sz="0" w:space="0" w:color="auto"/>
          </w:divBdr>
        </w:div>
        <w:div w:id="1800605059">
          <w:marLeft w:val="640"/>
          <w:marRight w:val="0"/>
          <w:marTop w:val="0"/>
          <w:marBottom w:val="0"/>
          <w:divBdr>
            <w:top w:val="none" w:sz="0" w:space="0" w:color="auto"/>
            <w:left w:val="none" w:sz="0" w:space="0" w:color="auto"/>
            <w:bottom w:val="none" w:sz="0" w:space="0" w:color="auto"/>
            <w:right w:val="none" w:sz="0" w:space="0" w:color="auto"/>
          </w:divBdr>
        </w:div>
        <w:div w:id="1555652704">
          <w:marLeft w:val="640"/>
          <w:marRight w:val="0"/>
          <w:marTop w:val="0"/>
          <w:marBottom w:val="0"/>
          <w:divBdr>
            <w:top w:val="none" w:sz="0" w:space="0" w:color="auto"/>
            <w:left w:val="none" w:sz="0" w:space="0" w:color="auto"/>
            <w:bottom w:val="none" w:sz="0" w:space="0" w:color="auto"/>
            <w:right w:val="none" w:sz="0" w:space="0" w:color="auto"/>
          </w:divBdr>
        </w:div>
        <w:div w:id="1441948907">
          <w:marLeft w:val="640"/>
          <w:marRight w:val="0"/>
          <w:marTop w:val="0"/>
          <w:marBottom w:val="0"/>
          <w:divBdr>
            <w:top w:val="none" w:sz="0" w:space="0" w:color="auto"/>
            <w:left w:val="none" w:sz="0" w:space="0" w:color="auto"/>
            <w:bottom w:val="none" w:sz="0" w:space="0" w:color="auto"/>
            <w:right w:val="none" w:sz="0" w:space="0" w:color="auto"/>
          </w:divBdr>
        </w:div>
        <w:div w:id="907614563">
          <w:marLeft w:val="640"/>
          <w:marRight w:val="0"/>
          <w:marTop w:val="0"/>
          <w:marBottom w:val="0"/>
          <w:divBdr>
            <w:top w:val="none" w:sz="0" w:space="0" w:color="auto"/>
            <w:left w:val="none" w:sz="0" w:space="0" w:color="auto"/>
            <w:bottom w:val="none" w:sz="0" w:space="0" w:color="auto"/>
            <w:right w:val="none" w:sz="0" w:space="0" w:color="auto"/>
          </w:divBdr>
        </w:div>
        <w:div w:id="2053725551">
          <w:marLeft w:val="640"/>
          <w:marRight w:val="0"/>
          <w:marTop w:val="0"/>
          <w:marBottom w:val="0"/>
          <w:divBdr>
            <w:top w:val="none" w:sz="0" w:space="0" w:color="auto"/>
            <w:left w:val="none" w:sz="0" w:space="0" w:color="auto"/>
            <w:bottom w:val="none" w:sz="0" w:space="0" w:color="auto"/>
            <w:right w:val="none" w:sz="0" w:space="0" w:color="auto"/>
          </w:divBdr>
        </w:div>
        <w:div w:id="71391747">
          <w:marLeft w:val="640"/>
          <w:marRight w:val="0"/>
          <w:marTop w:val="0"/>
          <w:marBottom w:val="0"/>
          <w:divBdr>
            <w:top w:val="none" w:sz="0" w:space="0" w:color="auto"/>
            <w:left w:val="none" w:sz="0" w:space="0" w:color="auto"/>
            <w:bottom w:val="none" w:sz="0" w:space="0" w:color="auto"/>
            <w:right w:val="none" w:sz="0" w:space="0" w:color="auto"/>
          </w:divBdr>
        </w:div>
        <w:div w:id="900940174">
          <w:marLeft w:val="640"/>
          <w:marRight w:val="0"/>
          <w:marTop w:val="0"/>
          <w:marBottom w:val="0"/>
          <w:divBdr>
            <w:top w:val="none" w:sz="0" w:space="0" w:color="auto"/>
            <w:left w:val="none" w:sz="0" w:space="0" w:color="auto"/>
            <w:bottom w:val="none" w:sz="0" w:space="0" w:color="auto"/>
            <w:right w:val="none" w:sz="0" w:space="0" w:color="auto"/>
          </w:divBdr>
        </w:div>
        <w:div w:id="1894923430">
          <w:marLeft w:val="640"/>
          <w:marRight w:val="0"/>
          <w:marTop w:val="0"/>
          <w:marBottom w:val="0"/>
          <w:divBdr>
            <w:top w:val="none" w:sz="0" w:space="0" w:color="auto"/>
            <w:left w:val="none" w:sz="0" w:space="0" w:color="auto"/>
            <w:bottom w:val="none" w:sz="0" w:space="0" w:color="auto"/>
            <w:right w:val="none" w:sz="0" w:space="0" w:color="auto"/>
          </w:divBdr>
        </w:div>
        <w:div w:id="1213805418">
          <w:marLeft w:val="640"/>
          <w:marRight w:val="0"/>
          <w:marTop w:val="0"/>
          <w:marBottom w:val="0"/>
          <w:divBdr>
            <w:top w:val="none" w:sz="0" w:space="0" w:color="auto"/>
            <w:left w:val="none" w:sz="0" w:space="0" w:color="auto"/>
            <w:bottom w:val="none" w:sz="0" w:space="0" w:color="auto"/>
            <w:right w:val="none" w:sz="0" w:space="0" w:color="auto"/>
          </w:divBdr>
        </w:div>
        <w:div w:id="1927152455">
          <w:marLeft w:val="640"/>
          <w:marRight w:val="0"/>
          <w:marTop w:val="0"/>
          <w:marBottom w:val="0"/>
          <w:divBdr>
            <w:top w:val="none" w:sz="0" w:space="0" w:color="auto"/>
            <w:left w:val="none" w:sz="0" w:space="0" w:color="auto"/>
            <w:bottom w:val="none" w:sz="0" w:space="0" w:color="auto"/>
            <w:right w:val="none" w:sz="0" w:space="0" w:color="auto"/>
          </w:divBdr>
        </w:div>
        <w:div w:id="993097125">
          <w:marLeft w:val="640"/>
          <w:marRight w:val="0"/>
          <w:marTop w:val="0"/>
          <w:marBottom w:val="0"/>
          <w:divBdr>
            <w:top w:val="none" w:sz="0" w:space="0" w:color="auto"/>
            <w:left w:val="none" w:sz="0" w:space="0" w:color="auto"/>
            <w:bottom w:val="none" w:sz="0" w:space="0" w:color="auto"/>
            <w:right w:val="none" w:sz="0" w:space="0" w:color="auto"/>
          </w:divBdr>
        </w:div>
        <w:div w:id="1563907875">
          <w:marLeft w:val="640"/>
          <w:marRight w:val="0"/>
          <w:marTop w:val="0"/>
          <w:marBottom w:val="0"/>
          <w:divBdr>
            <w:top w:val="none" w:sz="0" w:space="0" w:color="auto"/>
            <w:left w:val="none" w:sz="0" w:space="0" w:color="auto"/>
            <w:bottom w:val="none" w:sz="0" w:space="0" w:color="auto"/>
            <w:right w:val="none" w:sz="0" w:space="0" w:color="auto"/>
          </w:divBdr>
        </w:div>
        <w:div w:id="2109040899">
          <w:marLeft w:val="640"/>
          <w:marRight w:val="0"/>
          <w:marTop w:val="0"/>
          <w:marBottom w:val="0"/>
          <w:divBdr>
            <w:top w:val="none" w:sz="0" w:space="0" w:color="auto"/>
            <w:left w:val="none" w:sz="0" w:space="0" w:color="auto"/>
            <w:bottom w:val="none" w:sz="0" w:space="0" w:color="auto"/>
            <w:right w:val="none" w:sz="0" w:space="0" w:color="auto"/>
          </w:divBdr>
        </w:div>
        <w:div w:id="742721915">
          <w:marLeft w:val="640"/>
          <w:marRight w:val="0"/>
          <w:marTop w:val="0"/>
          <w:marBottom w:val="0"/>
          <w:divBdr>
            <w:top w:val="none" w:sz="0" w:space="0" w:color="auto"/>
            <w:left w:val="none" w:sz="0" w:space="0" w:color="auto"/>
            <w:bottom w:val="none" w:sz="0" w:space="0" w:color="auto"/>
            <w:right w:val="none" w:sz="0" w:space="0" w:color="auto"/>
          </w:divBdr>
        </w:div>
        <w:div w:id="778795601">
          <w:marLeft w:val="640"/>
          <w:marRight w:val="0"/>
          <w:marTop w:val="0"/>
          <w:marBottom w:val="0"/>
          <w:divBdr>
            <w:top w:val="none" w:sz="0" w:space="0" w:color="auto"/>
            <w:left w:val="none" w:sz="0" w:space="0" w:color="auto"/>
            <w:bottom w:val="none" w:sz="0" w:space="0" w:color="auto"/>
            <w:right w:val="none" w:sz="0" w:space="0" w:color="auto"/>
          </w:divBdr>
        </w:div>
        <w:div w:id="800653390">
          <w:marLeft w:val="640"/>
          <w:marRight w:val="0"/>
          <w:marTop w:val="0"/>
          <w:marBottom w:val="0"/>
          <w:divBdr>
            <w:top w:val="none" w:sz="0" w:space="0" w:color="auto"/>
            <w:left w:val="none" w:sz="0" w:space="0" w:color="auto"/>
            <w:bottom w:val="none" w:sz="0" w:space="0" w:color="auto"/>
            <w:right w:val="none" w:sz="0" w:space="0" w:color="auto"/>
          </w:divBdr>
        </w:div>
        <w:div w:id="942808348">
          <w:marLeft w:val="640"/>
          <w:marRight w:val="0"/>
          <w:marTop w:val="0"/>
          <w:marBottom w:val="0"/>
          <w:divBdr>
            <w:top w:val="none" w:sz="0" w:space="0" w:color="auto"/>
            <w:left w:val="none" w:sz="0" w:space="0" w:color="auto"/>
            <w:bottom w:val="none" w:sz="0" w:space="0" w:color="auto"/>
            <w:right w:val="none" w:sz="0" w:space="0" w:color="auto"/>
          </w:divBdr>
        </w:div>
        <w:div w:id="1335843248">
          <w:marLeft w:val="640"/>
          <w:marRight w:val="0"/>
          <w:marTop w:val="0"/>
          <w:marBottom w:val="0"/>
          <w:divBdr>
            <w:top w:val="none" w:sz="0" w:space="0" w:color="auto"/>
            <w:left w:val="none" w:sz="0" w:space="0" w:color="auto"/>
            <w:bottom w:val="none" w:sz="0" w:space="0" w:color="auto"/>
            <w:right w:val="none" w:sz="0" w:space="0" w:color="auto"/>
          </w:divBdr>
        </w:div>
        <w:div w:id="1442410803">
          <w:marLeft w:val="640"/>
          <w:marRight w:val="0"/>
          <w:marTop w:val="0"/>
          <w:marBottom w:val="0"/>
          <w:divBdr>
            <w:top w:val="none" w:sz="0" w:space="0" w:color="auto"/>
            <w:left w:val="none" w:sz="0" w:space="0" w:color="auto"/>
            <w:bottom w:val="none" w:sz="0" w:space="0" w:color="auto"/>
            <w:right w:val="none" w:sz="0" w:space="0" w:color="auto"/>
          </w:divBdr>
        </w:div>
        <w:div w:id="1678729137">
          <w:marLeft w:val="640"/>
          <w:marRight w:val="0"/>
          <w:marTop w:val="0"/>
          <w:marBottom w:val="0"/>
          <w:divBdr>
            <w:top w:val="none" w:sz="0" w:space="0" w:color="auto"/>
            <w:left w:val="none" w:sz="0" w:space="0" w:color="auto"/>
            <w:bottom w:val="none" w:sz="0" w:space="0" w:color="auto"/>
            <w:right w:val="none" w:sz="0" w:space="0" w:color="auto"/>
          </w:divBdr>
        </w:div>
        <w:div w:id="653292763">
          <w:marLeft w:val="640"/>
          <w:marRight w:val="0"/>
          <w:marTop w:val="0"/>
          <w:marBottom w:val="0"/>
          <w:divBdr>
            <w:top w:val="none" w:sz="0" w:space="0" w:color="auto"/>
            <w:left w:val="none" w:sz="0" w:space="0" w:color="auto"/>
            <w:bottom w:val="none" w:sz="0" w:space="0" w:color="auto"/>
            <w:right w:val="none" w:sz="0" w:space="0" w:color="auto"/>
          </w:divBdr>
        </w:div>
        <w:div w:id="408234815">
          <w:marLeft w:val="640"/>
          <w:marRight w:val="0"/>
          <w:marTop w:val="0"/>
          <w:marBottom w:val="0"/>
          <w:divBdr>
            <w:top w:val="none" w:sz="0" w:space="0" w:color="auto"/>
            <w:left w:val="none" w:sz="0" w:space="0" w:color="auto"/>
            <w:bottom w:val="none" w:sz="0" w:space="0" w:color="auto"/>
            <w:right w:val="none" w:sz="0" w:space="0" w:color="auto"/>
          </w:divBdr>
        </w:div>
        <w:div w:id="698551148">
          <w:marLeft w:val="640"/>
          <w:marRight w:val="0"/>
          <w:marTop w:val="0"/>
          <w:marBottom w:val="0"/>
          <w:divBdr>
            <w:top w:val="none" w:sz="0" w:space="0" w:color="auto"/>
            <w:left w:val="none" w:sz="0" w:space="0" w:color="auto"/>
            <w:bottom w:val="none" w:sz="0" w:space="0" w:color="auto"/>
            <w:right w:val="none" w:sz="0" w:space="0" w:color="auto"/>
          </w:divBdr>
        </w:div>
        <w:div w:id="996230485">
          <w:marLeft w:val="640"/>
          <w:marRight w:val="0"/>
          <w:marTop w:val="0"/>
          <w:marBottom w:val="0"/>
          <w:divBdr>
            <w:top w:val="none" w:sz="0" w:space="0" w:color="auto"/>
            <w:left w:val="none" w:sz="0" w:space="0" w:color="auto"/>
            <w:bottom w:val="none" w:sz="0" w:space="0" w:color="auto"/>
            <w:right w:val="none" w:sz="0" w:space="0" w:color="auto"/>
          </w:divBdr>
        </w:div>
        <w:div w:id="1940402629">
          <w:marLeft w:val="640"/>
          <w:marRight w:val="0"/>
          <w:marTop w:val="0"/>
          <w:marBottom w:val="0"/>
          <w:divBdr>
            <w:top w:val="none" w:sz="0" w:space="0" w:color="auto"/>
            <w:left w:val="none" w:sz="0" w:space="0" w:color="auto"/>
            <w:bottom w:val="none" w:sz="0" w:space="0" w:color="auto"/>
            <w:right w:val="none" w:sz="0" w:space="0" w:color="auto"/>
          </w:divBdr>
        </w:div>
        <w:div w:id="1577789755">
          <w:marLeft w:val="640"/>
          <w:marRight w:val="0"/>
          <w:marTop w:val="0"/>
          <w:marBottom w:val="0"/>
          <w:divBdr>
            <w:top w:val="none" w:sz="0" w:space="0" w:color="auto"/>
            <w:left w:val="none" w:sz="0" w:space="0" w:color="auto"/>
            <w:bottom w:val="none" w:sz="0" w:space="0" w:color="auto"/>
            <w:right w:val="none" w:sz="0" w:space="0" w:color="auto"/>
          </w:divBdr>
        </w:div>
        <w:div w:id="1421684234">
          <w:marLeft w:val="640"/>
          <w:marRight w:val="0"/>
          <w:marTop w:val="0"/>
          <w:marBottom w:val="0"/>
          <w:divBdr>
            <w:top w:val="none" w:sz="0" w:space="0" w:color="auto"/>
            <w:left w:val="none" w:sz="0" w:space="0" w:color="auto"/>
            <w:bottom w:val="none" w:sz="0" w:space="0" w:color="auto"/>
            <w:right w:val="none" w:sz="0" w:space="0" w:color="auto"/>
          </w:divBdr>
        </w:div>
        <w:div w:id="1207791833">
          <w:marLeft w:val="640"/>
          <w:marRight w:val="0"/>
          <w:marTop w:val="0"/>
          <w:marBottom w:val="0"/>
          <w:divBdr>
            <w:top w:val="none" w:sz="0" w:space="0" w:color="auto"/>
            <w:left w:val="none" w:sz="0" w:space="0" w:color="auto"/>
            <w:bottom w:val="none" w:sz="0" w:space="0" w:color="auto"/>
            <w:right w:val="none" w:sz="0" w:space="0" w:color="auto"/>
          </w:divBdr>
        </w:div>
        <w:div w:id="1628974225">
          <w:marLeft w:val="640"/>
          <w:marRight w:val="0"/>
          <w:marTop w:val="0"/>
          <w:marBottom w:val="0"/>
          <w:divBdr>
            <w:top w:val="none" w:sz="0" w:space="0" w:color="auto"/>
            <w:left w:val="none" w:sz="0" w:space="0" w:color="auto"/>
            <w:bottom w:val="none" w:sz="0" w:space="0" w:color="auto"/>
            <w:right w:val="none" w:sz="0" w:space="0" w:color="auto"/>
          </w:divBdr>
        </w:div>
        <w:div w:id="1491751969">
          <w:marLeft w:val="640"/>
          <w:marRight w:val="0"/>
          <w:marTop w:val="0"/>
          <w:marBottom w:val="0"/>
          <w:divBdr>
            <w:top w:val="none" w:sz="0" w:space="0" w:color="auto"/>
            <w:left w:val="none" w:sz="0" w:space="0" w:color="auto"/>
            <w:bottom w:val="none" w:sz="0" w:space="0" w:color="auto"/>
            <w:right w:val="none" w:sz="0" w:space="0" w:color="auto"/>
          </w:divBdr>
        </w:div>
        <w:div w:id="120997273">
          <w:marLeft w:val="640"/>
          <w:marRight w:val="0"/>
          <w:marTop w:val="0"/>
          <w:marBottom w:val="0"/>
          <w:divBdr>
            <w:top w:val="none" w:sz="0" w:space="0" w:color="auto"/>
            <w:left w:val="none" w:sz="0" w:space="0" w:color="auto"/>
            <w:bottom w:val="none" w:sz="0" w:space="0" w:color="auto"/>
            <w:right w:val="none" w:sz="0" w:space="0" w:color="auto"/>
          </w:divBdr>
        </w:div>
        <w:div w:id="259721270">
          <w:marLeft w:val="640"/>
          <w:marRight w:val="0"/>
          <w:marTop w:val="0"/>
          <w:marBottom w:val="0"/>
          <w:divBdr>
            <w:top w:val="none" w:sz="0" w:space="0" w:color="auto"/>
            <w:left w:val="none" w:sz="0" w:space="0" w:color="auto"/>
            <w:bottom w:val="none" w:sz="0" w:space="0" w:color="auto"/>
            <w:right w:val="none" w:sz="0" w:space="0" w:color="auto"/>
          </w:divBdr>
        </w:div>
        <w:div w:id="179314974">
          <w:marLeft w:val="640"/>
          <w:marRight w:val="0"/>
          <w:marTop w:val="0"/>
          <w:marBottom w:val="0"/>
          <w:divBdr>
            <w:top w:val="none" w:sz="0" w:space="0" w:color="auto"/>
            <w:left w:val="none" w:sz="0" w:space="0" w:color="auto"/>
            <w:bottom w:val="none" w:sz="0" w:space="0" w:color="auto"/>
            <w:right w:val="none" w:sz="0" w:space="0" w:color="auto"/>
          </w:divBdr>
        </w:div>
        <w:div w:id="287786610">
          <w:marLeft w:val="640"/>
          <w:marRight w:val="0"/>
          <w:marTop w:val="0"/>
          <w:marBottom w:val="0"/>
          <w:divBdr>
            <w:top w:val="none" w:sz="0" w:space="0" w:color="auto"/>
            <w:left w:val="none" w:sz="0" w:space="0" w:color="auto"/>
            <w:bottom w:val="none" w:sz="0" w:space="0" w:color="auto"/>
            <w:right w:val="none" w:sz="0" w:space="0" w:color="auto"/>
          </w:divBdr>
        </w:div>
        <w:div w:id="765343774">
          <w:marLeft w:val="640"/>
          <w:marRight w:val="0"/>
          <w:marTop w:val="0"/>
          <w:marBottom w:val="0"/>
          <w:divBdr>
            <w:top w:val="none" w:sz="0" w:space="0" w:color="auto"/>
            <w:left w:val="none" w:sz="0" w:space="0" w:color="auto"/>
            <w:bottom w:val="none" w:sz="0" w:space="0" w:color="auto"/>
            <w:right w:val="none" w:sz="0" w:space="0" w:color="auto"/>
          </w:divBdr>
        </w:div>
        <w:div w:id="2125490882">
          <w:marLeft w:val="640"/>
          <w:marRight w:val="0"/>
          <w:marTop w:val="0"/>
          <w:marBottom w:val="0"/>
          <w:divBdr>
            <w:top w:val="none" w:sz="0" w:space="0" w:color="auto"/>
            <w:left w:val="none" w:sz="0" w:space="0" w:color="auto"/>
            <w:bottom w:val="none" w:sz="0" w:space="0" w:color="auto"/>
            <w:right w:val="none" w:sz="0" w:space="0" w:color="auto"/>
          </w:divBdr>
        </w:div>
        <w:div w:id="725253598">
          <w:marLeft w:val="640"/>
          <w:marRight w:val="0"/>
          <w:marTop w:val="0"/>
          <w:marBottom w:val="0"/>
          <w:divBdr>
            <w:top w:val="none" w:sz="0" w:space="0" w:color="auto"/>
            <w:left w:val="none" w:sz="0" w:space="0" w:color="auto"/>
            <w:bottom w:val="none" w:sz="0" w:space="0" w:color="auto"/>
            <w:right w:val="none" w:sz="0" w:space="0" w:color="auto"/>
          </w:divBdr>
        </w:div>
        <w:div w:id="1438671455">
          <w:marLeft w:val="640"/>
          <w:marRight w:val="0"/>
          <w:marTop w:val="0"/>
          <w:marBottom w:val="0"/>
          <w:divBdr>
            <w:top w:val="none" w:sz="0" w:space="0" w:color="auto"/>
            <w:left w:val="none" w:sz="0" w:space="0" w:color="auto"/>
            <w:bottom w:val="none" w:sz="0" w:space="0" w:color="auto"/>
            <w:right w:val="none" w:sz="0" w:space="0" w:color="auto"/>
          </w:divBdr>
        </w:div>
        <w:div w:id="142239612">
          <w:marLeft w:val="640"/>
          <w:marRight w:val="0"/>
          <w:marTop w:val="0"/>
          <w:marBottom w:val="0"/>
          <w:divBdr>
            <w:top w:val="none" w:sz="0" w:space="0" w:color="auto"/>
            <w:left w:val="none" w:sz="0" w:space="0" w:color="auto"/>
            <w:bottom w:val="none" w:sz="0" w:space="0" w:color="auto"/>
            <w:right w:val="none" w:sz="0" w:space="0" w:color="auto"/>
          </w:divBdr>
        </w:div>
        <w:div w:id="959452536">
          <w:marLeft w:val="640"/>
          <w:marRight w:val="0"/>
          <w:marTop w:val="0"/>
          <w:marBottom w:val="0"/>
          <w:divBdr>
            <w:top w:val="none" w:sz="0" w:space="0" w:color="auto"/>
            <w:left w:val="none" w:sz="0" w:space="0" w:color="auto"/>
            <w:bottom w:val="none" w:sz="0" w:space="0" w:color="auto"/>
            <w:right w:val="none" w:sz="0" w:space="0" w:color="auto"/>
          </w:divBdr>
        </w:div>
        <w:div w:id="449009410">
          <w:marLeft w:val="640"/>
          <w:marRight w:val="0"/>
          <w:marTop w:val="0"/>
          <w:marBottom w:val="0"/>
          <w:divBdr>
            <w:top w:val="none" w:sz="0" w:space="0" w:color="auto"/>
            <w:left w:val="none" w:sz="0" w:space="0" w:color="auto"/>
            <w:bottom w:val="none" w:sz="0" w:space="0" w:color="auto"/>
            <w:right w:val="none" w:sz="0" w:space="0" w:color="auto"/>
          </w:divBdr>
        </w:div>
        <w:div w:id="353649680">
          <w:marLeft w:val="640"/>
          <w:marRight w:val="0"/>
          <w:marTop w:val="0"/>
          <w:marBottom w:val="0"/>
          <w:divBdr>
            <w:top w:val="none" w:sz="0" w:space="0" w:color="auto"/>
            <w:left w:val="none" w:sz="0" w:space="0" w:color="auto"/>
            <w:bottom w:val="none" w:sz="0" w:space="0" w:color="auto"/>
            <w:right w:val="none" w:sz="0" w:space="0" w:color="auto"/>
          </w:divBdr>
        </w:div>
        <w:div w:id="1083991343">
          <w:marLeft w:val="640"/>
          <w:marRight w:val="0"/>
          <w:marTop w:val="0"/>
          <w:marBottom w:val="0"/>
          <w:divBdr>
            <w:top w:val="none" w:sz="0" w:space="0" w:color="auto"/>
            <w:left w:val="none" w:sz="0" w:space="0" w:color="auto"/>
            <w:bottom w:val="none" w:sz="0" w:space="0" w:color="auto"/>
            <w:right w:val="none" w:sz="0" w:space="0" w:color="auto"/>
          </w:divBdr>
        </w:div>
        <w:div w:id="1335886125">
          <w:marLeft w:val="640"/>
          <w:marRight w:val="0"/>
          <w:marTop w:val="0"/>
          <w:marBottom w:val="0"/>
          <w:divBdr>
            <w:top w:val="none" w:sz="0" w:space="0" w:color="auto"/>
            <w:left w:val="none" w:sz="0" w:space="0" w:color="auto"/>
            <w:bottom w:val="none" w:sz="0" w:space="0" w:color="auto"/>
            <w:right w:val="none" w:sz="0" w:space="0" w:color="auto"/>
          </w:divBdr>
        </w:div>
        <w:div w:id="806051359">
          <w:marLeft w:val="640"/>
          <w:marRight w:val="0"/>
          <w:marTop w:val="0"/>
          <w:marBottom w:val="0"/>
          <w:divBdr>
            <w:top w:val="none" w:sz="0" w:space="0" w:color="auto"/>
            <w:left w:val="none" w:sz="0" w:space="0" w:color="auto"/>
            <w:bottom w:val="none" w:sz="0" w:space="0" w:color="auto"/>
            <w:right w:val="none" w:sz="0" w:space="0" w:color="auto"/>
          </w:divBdr>
        </w:div>
        <w:div w:id="1976640924">
          <w:marLeft w:val="640"/>
          <w:marRight w:val="0"/>
          <w:marTop w:val="0"/>
          <w:marBottom w:val="0"/>
          <w:divBdr>
            <w:top w:val="none" w:sz="0" w:space="0" w:color="auto"/>
            <w:left w:val="none" w:sz="0" w:space="0" w:color="auto"/>
            <w:bottom w:val="none" w:sz="0" w:space="0" w:color="auto"/>
            <w:right w:val="none" w:sz="0" w:space="0" w:color="auto"/>
          </w:divBdr>
        </w:div>
        <w:div w:id="1387607563">
          <w:marLeft w:val="640"/>
          <w:marRight w:val="0"/>
          <w:marTop w:val="0"/>
          <w:marBottom w:val="0"/>
          <w:divBdr>
            <w:top w:val="none" w:sz="0" w:space="0" w:color="auto"/>
            <w:left w:val="none" w:sz="0" w:space="0" w:color="auto"/>
            <w:bottom w:val="none" w:sz="0" w:space="0" w:color="auto"/>
            <w:right w:val="none" w:sz="0" w:space="0" w:color="auto"/>
          </w:divBdr>
        </w:div>
        <w:div w:id="1289818294">
          <w:marLeft w:val="640"/>
          <w:marRight w:val="0"/>
          <w:marTop w:val="0"/>
          <w:marBottom w:val="0"/>
          <w:divBdr>
            <w:top w:val="none" w:sz="0" w:space="0" w:color="auto"/>
            <w:left w:val="none" w:sz="0" w:space="0" w:color="auto"/>
            <w:bottom w:val="none" w:sz="0" w:space="0" w:color="auto"/>
            <w:right w:val="none" w:sz="0" w:space="0" w:color="auto"/>
          </w:divBdr>
        </w:div>
        <w:div w:id="465122038">
          <w:marLeft w:val="640"/>
          <w:marRight w:val="0"/>
          <w:marTop w:val="0"/>
          <w:marBottom w:val="0"/>
          <w:divBdr>
            <w:top w:val="none" w:sz="0" w:space="0" w:color="auto"/>
            <w:left w:val="none" w:sz="0" w:space="0" w:color="auto"/>
            <w:bottom w:val="none" w:sz="0" w:space="0" w:color="auto"/>
            <w:right w:val="none" w:sz="0" w:space="0" w:color="auto"/>
          </w:divBdr>
        </w:div>
        <w:div w:id="655037313">
          <w:marLeft w:val="640"/>
          <w:marRight w:val="0"/>
          <w:marTop w:val="0"/>
          <w:marBottom w:val="0"/>
          <w:divBdr>
            <w:top w:val="none" w:sz="0" w:space="0" w:color="auto"/>
            <w:left w:val="none" w:sz="0" w:space="0" w:color="auto"/>
            <w:bottom w:val="none" w:sz="0" w:space="0" w:color="auto"/>
            <w:right w:val="none" w:sz="0" w:space="0" w:color="auto"/>
          </w:divBdr>
        </w:div>
        <w:div w:id="1142309775">
          <w:marLeft w:val="640"/>
          <w:marRight w:val="0"/>
          <w:marTop w:val="0"/>
          <w:marBottom w:val="0"/>
          <w:divBdr>
            <w:top w:val="none" w:sz="0" w:space="0" w:color="auto"/>
            <w:left w:val="none" w:sz="0" w:space="0" w:color="auto"/>
            <w:bottom w:val="none" w:sz="0" w:space="0" w:color="auto"/>
            <w:right w:val="none" w:sz="0" w:space="0" w:color="auto"/>
          </w:divBdr>
        </w:div>
        <w:div w:id="1666856844">
          <w:marLeft w:val="640"/>
          <w:marRight w:val="0"/>
          <w:marTop w:val="0"/>
          <w:marBottom w:val="0"/>
          <w:divBdr>
            <w:top w:val="none" w:sz="0" w:space="0" w:color="auto"/>
            <w:left w:val="none" w:sz="0" w:space="0" w:color="auto"/>
            <w:bottom w:val="none" w:sz="0" w:space="0" w:color="auto"/>
            <w:right w:val="none" w:sz="0" w:space="0" w:color="auto"/>
          </w:divBdr>
        </w:div>
        <w:div w:id="41252153">
          <w:marLeft w:val="640"/>
          <w:marRight w:val="0"/>
          <w:marTop w:val="0"/>
          <w:marBottom w:val="0"/>
          <w:divBdr>
            <w:top w:val="none" w:sz="0" w:space="0" w:color="auto"/>
            <w:left w:val="none" w:sz="0" w:space="0" w:color="auto"/>
            <w:bottom w:val="none" w:sz="0" w:space="0" w:color="auto"/>
            <w:right w:val="none" w:sz="0" w:space="0" w:color="auto"/>
          </w:divBdr>
        </w:div>
        <w:div w:id="798719193">
          <w:marLeft w:val="640"/>
          <w:marRight w:val="0"/>
          <w:marTop w:val="0"/>
          <w:marBottom w:val="0"/>
          <w:divBdr>
            <w:top w:val="none" w:sz="0" w:space="0" w:color="auto"/>
            <w:left w:val="none" w:sz="0" w:space="0" w:color="auto"/>
            <w:bottom w:val="none" w:sz="0" w:space="0" w:color="auto"/>
            <w:right w:val="none" w:sz="0" w:space="0" w:color="auto"/>
          </w:divBdr>
        </w:div>
        <w:div w:id="1155491305">
          <w:marLeft w:val="640"/>
          <w:marRight w:val="0"/>
          <w:marTop w:val="0"/>
          <w:marBottom w:val="0"/>
          <w:divBdr>
            <w:top w:val="none" w:sz="0" w:space="0" w:color="auto"/>
            <w:left w:val="none" w:sz="0" w:space="0" w:color="auto"/>
            <w:bottom w:val="none" w:sz="0" w:space="0" w:color="auto"/>
            <w:right w:val="none" w:sz="0" w:space="0" w:color="auto"/>
          </w:divBdr>
        </w:div>
        <w:div w:id="1286739600">
          <w:marLeft w:val="640"/>
          <w:marRight w:val="0"/>
          <w:marTop w:val="0"/>
          <w:marBottom w:val="0"/>
          <w:divBdr>
            <w:top w:val="none" w:sz="0" w:space="0" w:color="auto"/>
            <w:left w:val="none" w:sz="0" w:space="0" w:color="auto"/>
            <w:bottom w:val="none" w:sz="0" w:space="0" w:color="auto"/>
            <w:right w:val="none" w:sz="0" w:space="0" w:color="auto"/>
          </w:divBdr>
        </w:div>
        <w:div w:id="854075716">
          <w:marLeft w:val="640"/>
          <w:marRight w:val="0"/>
          <w:marTop w:val="0"/>
          <w:marBottom w:val="0"/>
          <w:divBdr>
            <w:top w:val="none" w:sz="0" w:space="0" w:color="auto"/>
            <w:left w:val="none" w:sz="0" w:space="0" w:color="auto"/>
            <w:bottom w:val="none" w:sz="0" w:space="0" w:color="auto"/>
            <w:right w:val="none" w:sz="0" w:space="0" w:color="auto"/>
          </w:divBdr>
        </w:div>
        <w:div w:id="408573794">
          <w:marLeft w:val="640"/>
          <w:marRight w:val="0"/>
          <w:marTop w:val="0"/>
          <w:marBottom w:val="0"/>
          <w:divBdr>
            <w:top w:val="none" w:sz="0" w:space="0" w:color="auto"/>
            <w:left w:val="none" w:sz="0" w:space="0" w:color="auto"/>
            <w:bottom w:val="none" w:sz="0" w:space="0" w:color="auto"/>
            <w:right w:val="none" w:sz="0" w:space="0" w:color="auto"/>
          </w:divBdr>
        </w:div>
        <w:div w:id="1504007041">
          <w:marLeft w:val="640"/>
          <w:marRight w:val="0"/>
          <w:marTop w:val="0"/>
          <w:marBottom w:val="0"/>
          <w:divBdr>
            <w:top w:val="none" w:sz="0" w:space="0" w:color="auto"/>
            <w:left w:val="none" w:sz="0" w:space="0" w:color="auto"/>
            <w:bottom w:val="none" w:sz="0" w:space="0" w:color="auto"/>
            <w:right w:val="none" w:sz="0" w:space="0" w:color="auto"/>
          </w:divBdr>
        </w:div>
        <w:div w:id="596641936">
          <w:marLeft w:val="640"/>
          <w:marRight w:val="0"/>
          <w:marTop w:val="0"/>
          <w:marBottom w:val="0"/>
          <w:divBdr>
            <w:top w:val="none" w:sz="0" w:space="0" w:color="auto"/>
            <w:left w:val="none" w:sz="0" w:space="0" w:color="auto"/>
            <w:bottom w:val="none" w:sz="0" w:space="0" w:color="auto"/>
            <w:right w:val="none" w:sz="0" w:space="0" w:color="auto"/>
          </w:divBdr>
        </w:div>
        <w:div w:id="344595600">
          <w:marLeft w:val="640"/>
          <w:marRight w:val="0"/>
          <w:marTop w:val="0"/>
          <w:marBottom w:val="0"/>
          <w:divBdr>
            <w:top w:val="none" w:sz="0" w:space="0" w:color="auto"/>
            <w:left w:val="none" w:sz="0" w:space="0" w:color="auto"/>
            <w:bottom w:val="none" w:sz="0" w:space="0" w:color="auto"/>
            <w:right w:val="none" w:sz="0" w:space="0" w:color="auto"/>
          </w:divBdr>
        </w:div>
        <w:div w:id="1655377989">
          <w:marLeft w:val="640"/>
          <w:marRight w:val="0"/>
          <w:marTop w:val="0"/>
          <w:marBottom w:val="0"/>
          <w:divBdr>
            <w:top w:val="none" w:sz="0" w:space="0" w:color="auto"/>
            <w:left w:val="none" w:sz="0" w:space="0" w:color="auto"/>
            <w:bottom w:val="none" w:sz="0" w:space="0" w:color="auto"/>
            <w:right w:val="none" w:sz="0" w:space="0" w:color="auto"/>
          </w:divBdr>
        </w:div>
        <w:div w:id="766735627">
          <w:marLeft w:val="640"/>
          <w:marRight w:val="0"/>
          <w:marTop w:val="0"/>
          <w:marBottom w:val="0"/>
          <w:divBdr>
            <w:top w:val="none" w:sz="0" w:space="0" w:color="auto"/>
            <w:left w:val="none" w:sz="0" w:space="0" w:color="auto"/>
            <w:bottom w:val="none" w:sz="0" w:space="0" w:color="auto"/>
            <w:right w:val="none" w:sz="0" w:space="0" w:color="auto"/>
          </w:divBdr>
        </w:div>
        <w:div w:id="1235050513">
          <w:marLeft w:val="640"/>
          <w:marRight w:val="0"/>
          <w:marTop w:val="0"/>
          <w:marBottom w:val="0"/>
          <w:divBdr>
            <w:top w:val="none" w:sz="0" w:space="0" w:color="auto"/>
            <w:left w:val="none" w:sz="0" w:space="0" w:color="auto"/>
            <w:bottom w:val="none" w:sz="0" w:space="0" w:color="auto"/>
            <w:right w:val="none" w:sz="0" w:space="0" w:color="auto"/>
          </w:divBdr>
        </w:div>
        <w:div w:id="392772956">
          <w:marLeft w:val="640"/>
          <w:marRight w:val="0"/>
          <w:marTop w:val="0"/>
          <w:marBottom w:val="0"/>
          <w:divBdr>
            <w:top w:val="none" w:sz="0" w:space="0" w:color="auto"/>
            <w:left w:val="none" w:sz="0" w:space="0" w:color="auto"/>
            <w:bottom w:val="none" w:sz="0" w:space="0" w:color="auto"/>
            <w:right w:val="none" w:sz="0" w:space="0" w:color="auto"/>
          </w:divBdr>
        </w:div>
        <w:div w:id="507184912">
          <w:marLeft w:val="640"/>
          <w:marRight w:val="0"/>
          <w:marTop w:val="0"/>
          <w:marBottom w:val="0"/>
          <w:divBdr>
            <w:top w:val="none" w:sz="0" w:space="0" w:color="auto"/>
            <w:left w:val="none" w:sz="0" w:space="0" w:color="auto"/>
            <w:bottom w:val="none" w:sz="0" w:space="0" w:color="auto"/>
            <w:right w:val="none" w:sz="0" w:space="0" w:color="auto"/>
          </w:divBdr>
        </w:div>
        <w:div w:id="116946338">
          <w:marLeft w:val="640"/>
          <w:marRight w:val="0"/>
          <w:marTop w:val="0"/>
          <w:marBottom w:val="0"/>
          <w:divBdr>
            <w:top w:val="none" w:sz="0" w:space="0" w:color="auto"/>
            <w:left w:val="none" w:sz="0" w:space="0" w:color="auto"/>
            <w:bottom w:val="none" w:sz="0" w:space="0" w:color="auto"/>
            <w:right w:val="none" w:sz="0" w:space="0" w:color="auto"/>
          </w:divBdr>
        </w:div>
        <w:div w:id="25374168">
          <w:marLeft w:val="640"/>
          <w:marRight w:val="0"/>
          <w:marTop w:val="0"/>
          <w:marBottom w:val="0"/>
          <w:divBdr>
            <w:top w:val="none" w:sz="0" w:space="0" w:color="auto"/>
            <w:left w:val="none" w:sz="0" w:space="0" w:color="auto"/>
            <w:bottom w:val="none" w:sz="0" w:space="0" w:color="auto"/>
            <w:right w:val="none" w:sz="0" w:space="0" w:color="auto"/>
          </w:divBdr>
        </w:div>
        <w:div w:id="1499998841">
          <w:marLeft w:val="640"/>
          <w:marRight w:val="0"/>
          <w:marTop w:val="0"/>
          <w:marBottom w:val="0"/>
          <w:divBdr>
            <w:top w:val="none" w:sz="0" w:space="0" w:color="auto"/>
            <w:left w:val="none" w:sz="0" w:space="0" w:color="auto"/>
            <w:bottom w:val="none" w:sz="0" w:space="0" w:color="auto"/>
            <w:right w:val="none" w:sz="0" w:space="0" w:color="auto"/>
          </w:divBdr>
        </w:div>
        <w:div w:id="114956823">
          <w:marLeft w:val="640"/>
          <w:marRight w:val="0"/>
          <w:marTop w:val="0"/>
          <w:marBottom w:val="0"/>
          <w:divBdr>
            <w:top w:val="none" w:sz="0" w:space="0" w:color="auto"/>
            <w:left w:val="none" w:sz="0" w:space="0" w:color="auto"/>
            <w:bottom w:val="none" w:sz="0" w:space="0" w:color="auto"/>
            <w:right w:val="none" w:sz="0" w:space="0" w:color="auto"/>
          </w:divBdr>
        </w:div>
        <w:div w:id="1807121373">
          <w:marLeft w:val="640"/>
          <w:marRight w:val="0"/>
          <w:marTop w:val="0"/>
          <w:marBottom w:val="0"/>
          <w:divBdr>
            <w:top w:val="none" w:sz="0" w:space="0" w:color="auto"/>
            <w:left w:val="none" w:sz="0" w:space="0" w:color="auto"/>
            <w:bottom w:val="none" w:sz="0" w:space="0" w:color="auto"/>
            <w:right w:val="none" w:sz="0" w:space="0" w:color="auto"/>
          </w:divBdr>
        </w:div>
        <w:div w:id="2085371060">
          <w:marLeft w:val="640"/>
          <w:marRight w:val="0"/>
          <w:marTop w:val="0"/>
          <w:marBottom w:val="0"/>
          <w:divBdr>
            <w:top w:val="none" w:sz="0" w:space="0" w:color="auto"/>
            <w:left w:val="none" w:sz="0" w:space="0" w:color="auto"/>
            <w:bottom w:val="none" w:sz="0" w:space="0" w:color="auto"/>
            <w:right w:val="none" w:sz="0" w:space="0" w:color="auto"/>
          </w:divBdr>
        </w:div>
        <w:div w:id="1795294853">
          <w:marLeft w:val="640"/>
          <w:marRight w:val="0"/>
          <w:marTop w:val="0"/>
          <w:marBottom w:val="0"/>
          <w:divBdr>
            <w:top w:val="none" w:sz="0" w:space="0" w:color="auto"/>
            <w:left w:val="none" w:sz="0" w:space="0" w:color="auto"/>
            <w:bottom w:val="none" w:sz="0" w:space="0" w:color="auto"/>
            <w:right w:val="none" w:sz="0" w:space="0" w:color="auto"/>
          </w:divBdr>
        </w:div>
        <w:div w:id="721517895">
          <w:marLeft w:val="640"/>
          <w:marRight w:val="0"/>
          <w:marTop w:val="0"/>
          <w:marBottom w:val="0"/>
          <w:divBdr>
            <w:top w:val="none" w:sz="0" w:space="0" w:color="auto"/>
            <w:left w:val="none" w:sz="0" w:space="0" w:color="auto"/>
            <w:bottom w:val="none" w:sz="0" w:space="0" w:color="auto"/>
            <w:right w:val="none" w:sz="0" w:space="0" w:color="auto"/>
          </w:divBdr>
        </w:div>
        <w:div w:id="1047728201">
          <w:marLeft w:val="640"/>
          <w:marRight w:val="0"/>
          <w:marTop w:val="0"/>
          <w:marBottom w:val="0"/>
          <w:divBdr>
            <w:top w:val="none" w:sz="0" w:space="0" w:color="auto"/>
            <w:left w:val="none" w:sz="0" w:space="0" w:color="auto"/>
            <w:bottom w:val="none" w:sz="0" w:space="0" w:color="auto"/>
            <w:right w:val="none" w:sz="0" w:space="0" w:color="auto"/>
          </w:divBdr>
        </w:div>
        <w:div w:id="1029916532">
          <w:marLeft w:val="640"/>
          <w:marRight w:val="0"/>
          <w:marTop w:val="0"/>
          <w:marBottom w:val="0"/>
          <w:divBdr>
            <w:top w:val="none" w:sz="0" w:space="0" w:color="auto"/>
            <w:left w:val="none" w:sz="0" w:space="0" w:color="auto"/>
            <w:bottom w:val="none" w:sz="0" w:space="0" w:color="auto"/>
            <w:right w:val="none" w:sz="0" w:space="0" w:color="auto"/>
          </w:divBdr>
        </w:div>
        <w:div w:id="1024133671">
          <w:marLeft w:val="640"/>
          <w:marRight w:val="0"/>
          <w:marTop w:val="0"/>
          <w:marBottom w:val="0"/>
          <w:divBdr>
            <w:top w:val="none" w:sz="0" w:space="0" w:color="auto"/>
            <w:left w:val="none" w:sz="0" w:space="0" w:color="auto"/>
            <w:bottom w:val="none" w:sz="0" w:space="0" w:color="auto"/>
            <w:right w:val="none" w:sz="0" w:space="0" w:color="auto"/>
          </w:divBdr>
        </w:div>
        <w:div w:id="2042701826">
          <w:marLeft w:val="640"/>
          <w:marRight w:val="0"/>
          <w:marTop w:val="0"/>
          <w:marBottom w:val="0"/>
          <w:divBdr>
            <w:top w:val="none" w:sz="0" w:space="0" w:color="auto"/>
            <w:left w:val="none" w:sz="0" w:space="0" w:color="auto"/>
            <w:bottom w:val="none" w:sz="0" w:space="0" w:color="auto"/>
            <w:right w:val="none" w:sz="0" w:space="0" w:color="auto"/>
          </w:divBdr>
        </w:div>
        <w:div w:id="1867787597">
          <w:marLeft w:val="640"/>
          <w:marRight w:val="0"/>
          <w:marTop w:val="0"/>
          <w:marBottom w:val="0"/>
          <w:divBdr>
            <w:top w:val="none" w:sz="0" w:space="0" w:color="auto"/>
            <w:left w:val="none" w:sz="0" w:space="0" w:color="auto"/>
            <w:bottom w:val="none" w:sz="0" w:space="0" w:color="auto"/>
            <w:right w:val="none" w:sz="0" w:space="0" w:color="auto"/>
          </w:divBdr>
        </w:div>
        <w:div w:id="1966038787">
          <w:marLeft w:val="640"/>
          <w:marRight w:val="0"/>
          <w:marTop w:val="0"/>
          <w:marBottom w:val="0"/>
          <w:divBdr>
            <w:top w:val="none" w:sz="0" w:space="0" w:color="auto"/>
            <w:left w:val="none" w:sz="0" w:space="0" w:color="auto"/>
            <w:bottom w:val="none" w:sz="0" w:space="0" w:color="auto"/>
            <w:right w:val="none" w:sz="0" w:space="0" w:color="auto"/>
          </w:divBdr>
        </w:div>
        <w:div w:id="304237551">
          <w:marLeft w:val="640"/>
          <w:marRight w:val="0"/>
          <w:marTop w:val="0"/>
          <w:marBottom w:val="0"/>
          <w:divBdr>
            <w:top w:val="none" w:sz="0" w:space="0" w:color="auto"/>
            <w:left w:val="none" w:sz="0" w:space="0" w:color="auto"/>
            <w:bottom w:val="none" w:sz="0" w:space="0" w:color="auto"/>
            <w:right w:val="none" w:sz="0" w:space="0" w:color="auto"/>
          </w:divBdr>
        </w:div>
        <w:div w:id="755518194">
          <w:marLeft w:val="640"/>
          <w:marRight w:val="0"/>
          <w:marTop w:val="0"/>
          <w:marBottom w:val="0"/>
          <w:divBdr>
            <w:top w:val="none" w:sz="0" w:space="0" w:color="auto"/>
            <w:left w:val="none" w:sz="0" w:space="0" w:color="auto"/>
            <w:bottom w:val="none" w:sz="0" w:space="0" w:color="auto"/>
            <w:right w:val="none" w:sz="0" w:space="0" w:color="auto"/>
          </w:divBdr>
        </w:div>
        <w:div w:id="1407993775">
          <w:marLeft w:val="640"/>
          <w:marRight w:val="0"/>
          <w:marTop w:val="0"/>
          <w:marBottom w:val="0"/>
          <w:divBdr>
            <w:top w:val="none" w:sz="0" w:space="0" w:color="auto"/>
            <w:left w:val="none" w:sz="0" w:space="0" w:color="auto"/>
            <w:bottom w:val="none" w:sz="0" w:space="0" w:color="auto"/>
            <w:right w:val="none" w:sz="0" w:space="0" w:color="auto"/>
          </w:divBdr>
        </w:div>
        <w:div w:id="249047418">
          <w:marLeft w:val="640"/>
          <w:marRight w:val="0"/>
          <w:marTop w:val="0"/>
          <w:marBottom w:val="0"/>
          <w:divBdr>
            <w:top w:val="none" w:sz="0" w:space="0" w:color="auto"/>
            <w:left w:val="none" w:sz="0" w:space="0" w:color="auto"/>
            <w:bottom w:val="none" w:sz="0" w:space="0" w:color="auto"/>
            <w:right w:val="none" w:sz="0" w:space="0" w:color="auto"/>
          </w:divBdr>
        </w:div>
        <w:div w:id="1259824241">
          <w:marLeft w:val="640"/>
          <w:marRight w:val="0"/>
          <w:marTop w:val="0"/>
          <w:marBottom w:val="0"/>
          <w:divBdr>
            <w:top w:val="none" w:sz="0" w:space="0" w:color="auto"/>
            <w:left w:val="none" w:sz="0" w:space="0" w:color="auto"/>
            <w:bottom w:val="none" w:sz="0" w:space="0" w:color="auto"/>
            <w:right w:val="none" w:sz="0" w:space="0" w:color="auto"/>
          </w:divBdr>
        </w:div>
        <w:div w:id="2054112669">
          <w:marLeft w:val="640"/>
          <w:marRight w:val="0"/>
          <w:marTop w:val="0"/>
          <w:marBottom w:val="0"/>
          <w:divBdr>
            <w:top w:val="none" w:sz="0" w:space="0" w:color="auto"/>
            <w:left w:val="none" w:sz="0" w:space="0" w:color="auto"/>
            <w:bottom w:val="none" w:sz="0" w:space="0" w:color="auto"/>
            <w:right w:val="none" w:sz="0" w:space="0" w:color="auto"/>
          </w:divBdr>
        </w:div>
        <w:div w:id="714618002">
          <w:marLeft w:val="640"/>
          <w:marRight w:val="0"/>
          <w:marTop w:val="0"/>
          <w:marBottom w:val="0"/>
          <w:divBdr>
            <w:top w:val="none" w:sz="0" w:space="0" w:color="auto"/>
            <w:left w:val="none" w:sz="0" w:space="0" w:color="auto"/>
            <w:bottom w:val="none" w:sz="0" w:space="0" w:color="auto"/>
            <w:right w:val="none" w:sz="0" w:space="0" w:color="auto"/>
          </w:divBdr>
        </w:div>
        <w:div w:id="1736468330">
          <w:marLeft w:val="640"/>
          <w:marRight w:val="0"/>
          <w:marTop w:val="0"/>
          <w:marBottom w:val="0"/>
          <w:divBdr>
            <w:top w:val="none" w:sz="0" w:space="0" w:color="auto"/>
            <w:left w:val="none" w:sz="0" w:space="0" w:color="auto"/>
            <w:bottom w:val="none" w:sz="0" w:space="0" w:color="auto"/>
            <w:right w:val="none" w:sz="0" w:space="0" w:color="auto"/>
          </w:divBdr>
        </w:div>
        <w:div w:id="1664966192">
          <w:marLeft w:val="640"/>
          <w:marRight w:val="0"/>
          <w:marTop w:val="0"/>
          <w:marBottom w:val="0"/>
          <w:divBdr>
            <w:top w:val="none" w:sz="0" w:space="0" w:color="auto"/>
            <w:left w:val="none" w:sz="0" w:space="0" w:color="auto"/>
            <w:bottom w:val="none" w:sz="0" w:space="0" w:color="auto"/>
            <w:right w:val="none" w:sz="0" w:space="0" w:color="auto"/>
          </w:divBdr>
        </w:div>
        <w:div w:id="1997880499">
          <w:marLeft w:val="640"/>
          <w:marRight w:val="0"/>
          <w:marTop w:val="0"/>
          <w:marBottom w:val="0"/>
          <w:divBdr>
            <w:top w:val="none" w:sz="0" w:space="0" w:color="auto"/>
            <w:left w:val="none" w:sz="0" w:space="0" w:color="auto"/>
            <w:bottom w:val="none" w:sz="0" w:space="0" w:color="auto"/>
            <w:right w:val="none" w:sz="0" w:space="0" w:color="auto"/>
          </w:divBdr>
        </w:div>
        <w:div w:id="1081874112">
          <w:marLeft w:val="640"/>
          <w:marRight w:val="0"/>
          <w:marTop w:val="0"/>
          <w:marBottom w:val="0"/>
          <w:divBdr>
            <w:top w:val="none" w:sz="0" w:space="0" w:color="auto"/>
            <w:left w:val="none" w:sz="0" w:space="0" w:color="auto"/>
            <w:bottom w:val="none" w:sz="0" w:space="0" w:color="auto"/>
            <w:right w:val="none" w:sz="0" w:space="0" w:color="auto"/>
          </w:divBdr>
        </w:div>
        <w:div w:id="1102411617">
          <w:marLeft w:val="640"/>
          <w:marRight w:val="0"/>
          <w:marTop w:val="0"/>
          <w:marBottom w:val="0"/>
          <w:divBdr>
            <w:top w:val="none" w:sz="0" w:space="0" w:color="auto"/>
            <w:left w:val="none" w:sz="0" w:space="0" w:color="auto"/>
            <w:bottom w:val="none" w:sz="0" w:space="0" w:color="auto"/>
            <w:right w:val="none" w:sz="0" w:space="0" w:color="auto"/>
          </w:divBdr>
        </w:div>
        <w:div w:id="1698657910">
          <w:marLeft w:val="640"/>
          <w:marRight w:val="0"/>
          <w:marTop w:val="0"/>
          <w:marBottom w:val="0"/>
          <w:divBdr>
            <w:top w:val="none" w:sz="0" w:space="0" w:color="auto"/>
            <w:left w:val="none" w:sz="0" w:space="0" w:color="auto"/>
            <w:bottom w:val="none" w:sz="0" w:space="0" w:color="auto"/>
            <w:right w:val="none" w:sz="0" w:space="0" w:color="auto"/>
          </w:divBdr>
        </w:div>
        <w:div w:id="915671837">
          <w:marLeft w:val="640"/>
          <w:marRight w:val="0"/>
          <w:marTop w:val="0"/>
          <w:marBottom w:val="0"/>
          <w:divBdr>
            <w:top w:val="none" w:sz="0" w:space="0" w:color="auto"/>
            <w:left w:val="none" w:sz="0" w:space="0" w:color="auto"/>
            <w:bottom w:val="none" w:sz="0" w:space="0" w:color="auto"/>
            <w:right w:val="none" w:sz="0" w:space="0" w:color="auto"/>
          </w:divBdr>
        </w:div>
        <w:div w:id="1886985554">
          <w:marLeft w:val="640"/>
          <w:marRight w:val="0"/>
          <w:marTop w:val="0"/>
          <w:marBottom w:val="0"/>
          <w:divBdr>
            <w:top w:val="none" w:sz="0" w:space="0" w:color="auto"/>
            <w:left w:val="none" w:sz="0" w:space="0" w:color="auto"/>
            <w:bottom w:val="none" w:sz="0" w:space="0" w:color="auto"/>
            <w:right w:val="none" w:sz="0" w:space="0" w:color="auto"/>
          </w:divBdr>
        </w:div>
        <w:div w:id="1410151631">
          <w:marLeft w:val="640"/>
          <w:marRight w:val="0"/>
          <w:marTop w:val="0"/>
          <w:marBottom w:val="0"/>
          <w:divBdr>
            <w:top w:val="none" w:sz="0" w:space="0" w:color="auto"/>
            <w:left w:val="none" w:sz="0" w:space="0" w:color="auto"/>
            <w:bottom w:val="none" w:sz="0" w:space="0" w:color="auto"/>
            <w:right w:val="none" w:sz="0" w:space="0" w:color="auto"/>
          </w:divBdr>
        </w:div>
        <w:div w:id="2094936922">
          <w:marLeft w:val="640"/>
          <w:marRight w:val="0"/>
          <w:marTop w:val="0"/>
          <w:marBottom w:val="0"/>
          <w:divBdr>
            <w:top w:val="none" w:sz="0" w:space="0" w:color="auto"/>
            <w:left w:val="none" w:sz="0" w:space="0" w:color="auto"/>
            <w:bottom w:val="none" w:sz="0" w:space="0" w:color="auto"/>
            <w:right w:val="none" w:sz="0" w:space="0" w:color="auto"/>
          </w:divBdr>
        </w:div>
        <w:div w:id="528879698">
          <w:marLeft w:val="640"/>
          <w:marRight w:val="0"/>
          <w:marTop w:val="0"/>
          <w:marBottom w:val="0"/>
          <w:divBdr>
            <w:top w:val="none" w:sz="0" w:space="0" w:color="auto"/>
            <w:left w:val="none" w:sz="0" w:space="0" w:color="auto"/>
            <w:bottom w:val="none" w:sz="0" w:space="0" w:color="auto"/>
            <w:right w:val="none" w:sz="0" w:space="0" w:color="auto"/>
          </w:divBdr>
        </w:div>
        <w:div w:id="763232790">
          <w:marLeft w:val="640"/>
          <w:marRight w:val="0"/>
          <w:marTop w:val="0"/>
          <w:marBottom w:val="0"/>
          <w:divBdr>
            <w:top w:val="none" w:sz="0" w:space="0" w:color="auto"/>
            <w:left w:val="none" w:sz="0" w:space="0" w:color="auto"/>
            <w:bottom w:val="none" w:sz="0" w:space="0" w:color="auto"/>
            <w:right w:val="none" w:sz="0" w:space="0" w:color="auto"/>
          </w:divBdr>
        </w:div>
        <w:div w:id="534197356">
          <w:marLeft w:val="640"/>
          <w:marRight w:val="0"/>
          <w:marTop w:val="0"/>
          <w:marBottom w:val="0"/>
          <w:divBdr>
            <w:top w:val="none" w:sz="0" w:space="0" w:color="auto"/>
            <w:left w:val="none" w:sz="0" w:space="0" w:color="auto"/>
            <w:bottom w:val="none" w:sz="0" w:space="0" w:color="auto"/>
            <w:right w:val="none" w:sz="0" w:space="0" w:color="auto"/>
          </w:divBdr>
        </w:div>
        <w:div w:id="1006713702">
          <w:marLeft w:val="640"/>
          <w:marRight w:val="0"/>
          <w:marTop w:val="0"/>
          <w:marBottom w:val="0"/>
          <w:divBdr>
            <w:top w:val="none" w:sz="0" w:space="0" w:color="auto"/>
            <w:left w:val="none" w:sz="0" w:space="0" w:color="auto"/>
            <w:bottom w:val="none" w:sz="0" w:space="0" w:color="auto"/>
            <w:right w:val="none" w:sz="0" w:space="0" w:color="auto"/>
          </w:divBdr>
        </w:div>
        <w:div w:id="1216308484">
          <w:marLeft w:val="640"/>
          <w:marRight w:val="0"/>
          <w:marTop w:val="0"/>
          <w:marBottom w:val="0"/>
          <w:divBdr>
            <w:top w:val="none" w:sz="0" w:space="0" w:color="auto"/>
            <w:left w:val="none" w:sz="0" w:space="0" w:color="auto"/>
            <w:bottom w:val="none" w:sz="0" w:space="0" w:color="auto"/>
            <w:right w:val="none" w:sz="0" w:space="0" w:color="auto"/>
          </w:divBdr>
        </w:div>
        <w:div w:id="1625115351">
          <w:marLeft w:val="640"/>
          <w:marRight w:val="0"/>
          <w:marTop w:val="0"/>
          <w:marBottom w:val="0"/>
          <w:divBdr>
            <w:top w:val="none" w:sz="0" w:space="0" w:color="auto"/>
            <w:left w:val="none" w:sz="0" w:space="0" w:color="auto"/>
            <w:bottom w:val="none" w:sz="0" w:space="0" w:color="auto"/>
            <w:right w:val="none" w:sz="0" w:space="0" w:color="auto"/>
          </w:divBdr>
        </w:div>
        <w:div w:id="1048188332">
          <w:marLeft w:val="640"/>
          <w:marRight w:val="0"/>
          <w:marTop w:val="0"/>
          <w:marBottom w:val="0"/>
          <w:divBdr>
            <w:top w:val="none" w:sz="0" w:space="0" w:color="auto"/>
            <w:left w:val="none" w:sz="0" w:space="0" w:color="auto"/>
            <w:bottom w:val="none" w:sz="0" w:space="0" w:color="auto"/>
            <w:right w:val="none" w:sz="0" w:space="0" w:color="auto"/>
          </w:divBdr>
        </w:div>
        <w:div w:id="1881044776">
          <w:marLeft w:val="640"/>
          <w:marRight w:val="0"/>
          <w:marTop w:val="0"/>
          <w:marBottom w:val="0"/>
          <w:divBdr>
            <w:top w:val="none" w:sz="0" w:space="0" w:color="auto"/>
            <w:left w:val="none" w:sz="0" w:space="0" w:color="auto"/>
            <w:bottom w:val="none" w:sz="0" w:space="0" w:color="auto"/>
            <w:right w:val="none" w:sz="0" w:space="0" w:color="auto"/>
          </w:divBdr>
        </w:div>
        <w:div w:id="1754820127">
          <w:marLeft w:val="640"/>
          <w:marRight w:val="0"/>
          <w:marTop w:val="0"/>
          <w:marBottom w:val="0"/>
          <w:divBdr>
            <w:top w:val="none" w:sz="0" w:space="0" w:color="auto"/>
            <w:left w:val="none" w:sz="0" w:space="0" w:color="auto"/>
            <w:bottom w:val="none" w:sz="0" w:space="0" w:color="auto"/>
            <w:right w:val="none" w:sz="0" w:space="0" w:color="auto"/>
          </w:divBdr>
        </w:div>
        <w:div w:id="1417282273">
          <w:marLeft w:val="640"/>
          <w:marRight w:val="0"/>
          <w:marTop w:val="0"/>
          <w:marBottom w:val="0"/>
          <w:divBdr>
            <w:top w:val="none" w:sz="0" w:space="0" w:color="auto"/>
            <w:left w:val="none" w:sz="0" w:space="0" w:color="auto"/>
            <w:bottom w:val="none" w:sz="0" w:space="0" w:color="auto"/>
            <w:right w:val="none" w:sz="0" w:space="0" w:color="auto"/>
          </w:divBdr>
        </w:div>
        <w:div w:id="127674558">
          <w:marLeft w:val="640"/>
          <w:marRight w:val="0"/>
          <w:marTop w:val="0"/>
          <w:marBottom w:val="0"/>
          <w:divBdr>
            <w:top w:val="none" w:sz="0" w:space="0" w:color="auto"/>
            <w:left w:val="none" w:sz="0" w:space="0" w:color="auto"/>
            <w:bottom w:val="none" w:sz="0" w:space="0" w:color="auto"/>
            <w:right w:val="none" w:sz="0" w:space="0" w:color="auto"/>
          </w:divBdr>
        </w:div>
        <w:div w:id="391926160">
          <w:marLeft w:val="640"/>
          <w:marRight w:val="0"/>
          <w:marTop w:val="0"/>
          <w:marBottom w:val="0"/>
          <w:divBdr>
            <w:top w:val="none" w:sz="0" w:space="0" w:color="auto"/>
            <w:left w:val="none" w:sz="0" w:space="0" w:color="auto"/>
            <w:bottom w:val="none" w:sz="0" w:space="0" w:color="auto"/>
            <w:right w:val="none" w:sz="0" w:space="0" w:color="auto"/>
          </w:divBdr>
        </w:div>
        <w:div w:id="614799291">
          <w:marLeft w:val="640"/>
          <w:marRight w:val="0"/>
          <w:marTop w:val="0"/>
          <w:marBottom w:val="0"/>
          <w:divBdr>
            <w:top w:val="none" w:sz="0" w:space="0" w:color="auto"/>
            <w:left w:val="none" w:sz="0" w:space="0" w:color="auto"/>
            <w:bottom w:val="none" w:sz="0" w:space="0" w:color="auto"/>
            <w:right w:val="none" w:sz="0" w:space="0" w:color="auto"/>
          </w:divBdr>
        </w:div>
        <w:div w:id="1975403632">
          <w:marLeft w:val="640"/>
          <w:marRight w:val="0"/>
          <w:marTop w:val="0"/>
          <w:marBottom w:val="0"/>
          <w:divBdr>
            <w:top w:val="none" w:sz="0" w:space="0" w:color="auto"/>
            <w:left w:val="none" w:sz="0" w:space="0" w:color="auto"/>
            <w:bottom w:val="none" w:sz="0" w:space="0" w:color="auto"/>
            <w:right w:val="none" w:sz="0" w:space="0" w:color="auto"/>
          </w:divBdr>
        </w:div>
        <w:div w:id="155339667">
          <w:marLeft w:val="640"/>
          <w:marRight w:val="0"/>
          <w:marTop w:val="0"/>
          <w:marBottom w:val="0"/>
          <w:divBdr>
            <w:top w:val="none" w:sz="0" w:space="0" w:color="auto"/>
            <w:left w:val="none" w:sz="0" w:space="0" w:color="auto"/>
            <w:bottom w:val="none" w:sz="0" w:space="0" w:color="auto"/>
            <w:right w:val="none" w:sz="0" w:space="0" w:color="auto"/>
          </w:divBdr>
        </w:div>
        <w:div w:id="1659380119">
          <w:marLeft w:val="640"/>
          <w:marRight w:val="0"/>
          <w:marTop w:val="0"/>
          <w:marBottom w:val="0"/>
          <w:divBdr>
            <w:top w:val="none" w:sz="0" w:space="0" w:color="auto"/>
            <w:left w:val="none" w:sz="0" w:space="0" w:color="auto"/>
            <w:bottom w:val="none" w:sz="0" w:space="0" w:color="auto"/>
            <w:right w:val="none" w:sz="0" w:space="0" w:color="auto"/>
          </w:divBdr>
        </w:div>
        <w:div w:id="942693035">
          <w:marLeft w:val="640"/>
          <w:marRight w:val="0"/>
          <w:marTop w:val="0"/>
          <w:marBottom w:val="0"/>
          <w:divBdr>
            <w:top w:val="none" w:sz="0" w:space="0" w:color="auto"/>
            <w:left w:val="none" w:sz="0" w:space="0" w:color="auto"/>
            <w:bottom w:val="none" w:sz="0" w:space="0" w:color="auto"/>
            <w:right w:val="none" w:sz="0" w:space="0" w:color="auto"/>
          </w:divBdr>
        </w:div>
        <w:div w:id="1676106280">
          <w:marLeft w:val="640"/>
          <w:marRight w:val="0"/>
          <w:marTop w:val="0"/>
          <w:marBottom w:val="0"/>
          <w:divBdr>
            <w:top w:val="none" w:sz="0" w:space="0" w:color="auto"/>
            <w:left w:val="none" w:sz="0" w:space="0" w:color="auto"/>
            <w:bottom w:val="none" w:sz="0" w:space="0" w:color="auto"/>
            <w:right w:val="none" w:sz="0" w:space="0" w:color="auto"/>
          </w:divBdr>
        </w:div>
        <w:div w:id="1430001842">
          <w:marLeft w:val="640"/>
          <w:marRight w:val="0"/>
          <w:marTop w:val="0"/>
          <w:marBottom w:val="0"/>
          <w:divBdr>
            <w:top w:val="none" w:sz="0" w:space="0" w:color="auto"/>
            <w:left w:val="none" w:sz="0" w:space="0" w:color="auto"/>
            <w:bottom w:val="none" w:sz="0" w:space="0" w:color="auto"/>
            <w:right w:val="none" w:sz="0" w:space="0" w:color="auto"/>
          </w:divBdr>
        </w:div>
        <w:div w:id="2007829590">
          <w:marLeft w:val="640"/>
          <w:marRight w:val="0"/>
          <w:marTop w:val="0"/>
          <w:marBottom w:val="0"/>
          <w:divBdr>
            <w:top w:val="none" w:sz="0" w:space="0" w:color="auto"/>
            <w:left w:val="none" w:sz="0" w:space="0" w:color="auto"/>
            <w:bottom w:val="none" w:sz="0" w:space="0" w:color="auto"/>
            <w:right w:val="none" w:sz="0" w:space="0" w:color="auto"/>
          </w:divBdr>
        </w:div>
        <w:div w:id="1294216599">
          <w:marLeft w:val="640"/>
          <w:marRight w:val="0"/>
          <w:marTop w:val="0"/>
          <w:marBottom w:val="0"/>
          <w:divBdr>
            <w:top w:val="none" w:sz="0" w:space="0" w:color="auto"/>
            <w:left w:val="none" w:sz="0" w:space="0" w:color="auto"/>
            <w:bottom w:val="none" w:sz="0" w:space="0" w:color="auto"/>
            <w:right w:val="none" w:sz="0" w:space="0" w:color="auto"/>
          </w:divBdr>
        </w:div>
        <w:div w:id="144054128">
          <w:marLeft w:val="640"/>
          <w:marRight w:val="0"/>
          <w:marTop w:val="0"/>
          <w:marBottom w:val="0"/>
          <w:divBdr>
            <w:top w:val="none" w:sz="0" w:space="0" w:color="auto"/>
            <w:left w:val="none" w:sz="0" w:space="0" w:color="auto"/>
            <w:bottom w:val="none" w:sz="0" w:space="0" w:color="auto"/>
            <w:right w:val="none" w:sz="0" w:space="0" w:color="auto"/>
          </w:divBdr>
        </w:div>
      </w:divsChild>
    </w:div>
    <w:div w:id="1046686737">
      <w:bodyDiv w:val="1"/>
      <w:marLeft w:val="0"/>
      <w:marRight w:val="0"/>
      <w:marTop w:val="0"/>
      <w:marBottom w:val="0"/>
      <w:divBdr>
        <w:top w:val="none" w:sz="0" w:space="0" w:color="auto"/>
        <w:left w:val="none" w:sz="0" w:space="0" w:color="auto"/>
        <w:bottom w:val="none" w:sz="0" w:space="0" w:color="auto"/>
        <w:right w:val="none" w:sz="0" w:space="0" w:color="auto"/>
      </w:divBdr>
    </w:div>
    <w:div w:id="1046875732">
      <w:bodyDiv w:val="1"/>
      <w:marLeft w:val="0"/>
      <w:marRight w:val="0"/>
      <w:marTop w:val="0"/>
      <w:marBottom w:val="0"/>
      <w:divBdr>
        <w:top w:val="none" w:sz="0" w:space="0" w:color="auto"/>
        <w:left w:val="none" w:sz="0" w:space="0" w:color="auto"/>
        <w:bottom w:val="none" w:sz="0" w:space="0" w:color="auto"/>
        <w:right w:val="none" w:sz="0" w:space="0" w:color="auto"/>
      </w:divBdr>
    </w:div>
    <w:div w:id="1046877354">
      <w:bodyDiv w:val="1"/>
      <w:marLeft w:val="0"/>
      <w:marRight w:val="0"/>
      <w:marTop w:val="0"/>
      <w:marBottom w:val="0"/>
      <w:divBdr>
        <w:top w:val="none" w:sz="0" w:space="0" w:color="auto"/>
        <w:left w:val="none" w:sz="0" w:space="0" w:color="auto"/>
        <w:bottom w:val="none" w:sz="0" w:space="0" w:color="auto"/>
        <w:right w:val="none" w:sz="0" w:space="0" w:color="auto"/>
      </w:divBdr>
    </w:div>
    <w:div w:id="1046947119">
      <w:bodyDiv w:val="1"/>
      <w:marLeft w:val="0"/>
      <w:marRight w:val="0"/>
      <w:marTop w:val="0"/>
      <w:marBottom w:val="0"/>
      <w:divBdr>
        <w:top w:val="none" w:sz="0" w:space="0" w:color="auto"/>
        <w:left w:val="none" w:sz="0" w:space="0" w:color="auto"/>
        <w:bottom w:val="none" w:sz="0" w:space="0" w:color="auto"/>
        <w:right w:val="none" w:sz="0" w:space="0" w:color="auto"/>
      </w:divBdr>
    </w:div>
    <w:div w:id="1046950330">
      <w:bodyDiv w:val="1"/>
      <w:marLeft w:val="0"/>
      <w:marRight w:val="0"/>
      <w:marTop w:val="0"/>
      <w:marBottom w:val="0"/>
      <w:divBdr>
        <w:top w:val="none" w:sz="0" w:space="0" w:color="auto"/>
        <w:left w:val="none" w:sz="0" w:space="0" w:color="auto"/>
        <w:bottom w:val="none" w:sz="0" w:space="0" w:color="auto"/>
        <w:right w:val="none" w:sz="0" w:space="0" w:color="auto"/>
      </w:divBdr>
    </w:div>
    <w:div w:id="1046952382">
      <w:bodyDiv w:val="1"/>
      <w:marLeft w:val="0"/>
      <w:marRight w:val="0"/>
      <w:marTop w:val="0"/>
      <w:marBottom w:val="0"/>
      <w:divBdr>
        <w:top w:val="none" w:sz="0" w:space="0" w:color="auto"/>
        <w:left w:val="none" w:sz="0" w:space="0" w:color="auto"/>
        <w:bottom w:val="none" w:sz="0" w:space="0" w:color="auto"/>
        <w:right w:val="none" w:sz="0" w:space="0" w:color="auto"/>
      </w:divBdr>
    </w:div>
    <w:div w:id="1049652370">
      <w:bodyDiv w:val="1"/>
      <w:marLeft w:val="0"/>
      <w:marRight w:val="0"/>
      <w:marTop w:val="0"/>
      <w:marBottom w:val="0"/>
      <w:divBdr>
        <w:top w:val="none" w:sz="0" w:space="0" w:color="auto"/>
        <w:left w:val="none" w:sz="0" w:space="0" w:color="auto"/>
        <w:bottom w:val="none" w:sz="0" w:space="0" w:color="auto"/>
        <w:right w:val="none" w:sz="0" w:space="0" w:color="auto"/>
      </w:divBdr>
    </w:div>
    <w:div w:id="1055471237">
      <w:bodyDiv w:val="1"/>
      <w:marLeft w:val="0"/>
      <w:marRight w:val="0"/>
      <w:marTop w:val="0"/>
      <w:marBottom w:val="0"/>
      <w:divBdr>
        <w:top w:val="none" w:sz="0" w:space="0" w:color="auto"/>
        <w:left w:val="none" w:sz="0" w:space="0" w:color="auto"/>
        <w:bottom w:val="none" w:sz="0" w:space="0" w:color="auto"/>
        <w:right w:val="none" w:sz="0" w:space="0" w:color="auto"/>
      </w:divBdr>
    </w:div>
    <w:div w:id="1057555120">
      <w:bodyDiv w:val="1"/>
      <w:marLeft w:val="0"/>
      <w:marRight w:val="0"/>
      <w:marTop w:val="0"/>
      <w:marBottom w:val="0"/>
      <w:divBdr>
        <w:top w:val="none" w:sz="0" w:space="0" w:color="auto"/>
        <w:left w:val="none" w:sz="0" w:space="0" w:color="auto"/>
        <w:bottom w:val="none" w:sz="0" w:space="0" w:color="auto"/>
        <w:right w:val="none" w:sz="0" w:space="0" w:color="auto"/>
      </w:divBdr>
    </w:div>
    <w:div w:id="1057819919">
      <w:bodyDiv w:val="1"/>
      <w:marLeft w:val="0"/>
      <w:marRight w:val="0"/>
      <w:marTop w:val="0"/>
      <w:marBottom w:val="0"/>
      <w:divBdr>
        <w:top w:val="none" w:sz="0" w:space="0" w:color="auto"/>
        <w:left w:val="none" w:sz="0" w:space="0" w:color="auto"/>
        <w:bottom w:val="none" w:sz="0" w:space="0" w:color="auto"/>
        <w:right w:val="none" w:sz="0" w:space="0" w:color="auto"/>
      </w:divBdr>
    </w:div>
    <w:div w:id="1057899435">
      <w:bodyDiv w:val="1"/>
      <w:marLeft w:val="0"/>
      <w:marRight w:val="0"/>
      <w:marTop w:val="0"/>
      <w:marBottom w:val="0"/>
      <w:divBdr>
        <w:top w:val="none" w:sz="0" w:space="0" w:color="auto"/>
        <w:left w:val="none" w:sz="0" w:space="0" w:color="auto"/>
        <w:bottom w:val="none" w:sz="0" w:space="0" w:color="auto"/>
        <w:right w:val="none" w:sz="0" w:space="0" w:color="auto"/>
      </w:divBdr>
    </w:div>
    <w:div w:id="1059788603">
      <w:bodyDiv w:val="1"/>
      <w:marLeft w:val="0"/>
      <w:marRight w:val="0"/>
      <w:marTop w:val="0"/>
      <w:marBottom w:val="0"/>
      <w:divBdr>
        <w:top w:val="none" w:sz="0" w:space="0" w:color="auto"/>
        <w:left w:val="none" w:sz="0" w:space="0" w:color="auto"/>
        <w:bottom w:val="none" w:sz="0" w:space="0" w:color="auto"/>
        <w:right w:val="none" w:sz="0" w:space="0" w:color="auto"/>
      </w:divBdr>
    </w:div>
    <w:div w:id="1061054129">
      <w:bodyDiv w:val="1"/>
      <w:marLeft w:val="0"/>
      <w:marRight w:val="0"/>
      <w:marTop w:val="0"/>
      <w:marBottom w:val="0"/>
      <w:divBdr>
        <w:top w:val="none" w:sz="0" w:space="0" w:color="auto"/>
        <w:left w:val="none" w:sz="0" w:space="0" w:color="auto"/>
        <w:bottom w:val="none" w:sz="0" w:space="0" w:color="auto"/>
        <w:right w:val="none" w:sz="0" w:space="0" w:color="auto"/>
      </w:divBdr>
    </w:div>
    <w:div w:id="1064765323">
      <w:bodyDiv w:val="1"/>
      <w:marLeft w:val="0"/>
      <w:marRight w:val="0"/>
      <w:marTop w:val="0"/>
      <w:marBottom w:val="0"/>
      <w:divBdr>
        <w:top w:val="none" w:sz="0" w:space="0" w:color="auto"/>
        <w:left w:val="none" w:sz="0" w:space="0" w:color="auto"/>
        <w:bottom w:val="none" w:sz="0" w:space="0" w:color="auto"/>
        <w:right w:val="none" w:sz="0" w:space="0" w:color="auto"/>
      </w:divBdr>
    </w:div>
    <w:div w:id="1065491022">
      <w:bodyDiv w:val="1"/>
      <w:marLeft w:val="0"/>
      <w:marRight w:val="0"/>
      <w:marTop w:val="0"/>
      <w:marBottom w:val="0"/>
      <w:divBdr>
        <w:top w:val="none" w:sz="0" w:space="0" w:color="auto"/>
        <w:left w:val="none" w:sz="0" w:space="0" w:color="auto"/>
        <w:bottom w:val="none" w:sz="0" w:space="0" w:color="auto"/>
        <w:right w:val="none" w:sz="0" w:space="0" w:color="auto"/>
      </w:divBdr>
    </w:div>
    <w:div w:id="1069960386">
      <w:bodyDiv w:val="1"/>
      <w:marLeft w:val="0"/>
      <w:marRight w:val="0"/>
      <w:marTop w:val="0"/>
      <w:marBottom w:val="0"/>
      <w:divBdr>
        <w:top w:val="none" w:sz="0" w:space="0" w:color="auto"/>
        <w:left w:val="none" w:sz="0" w:space="0" w:color="auto"/>
        <w:bottom w:val="none" w:sz="0" w:space="0" w:color="auto"/>
        <w:right w:val="none" w:sz="0" w:space="0" w:color="auto"/>
      </w:divBdr>
    </w:div>
    <w:div w:id="1070345539">
      <w:bodyDiv w:val="1"/>
      <w:marLeft w:val="0"/>
      <w:marRight w:val="0"/>
      <w:marTop w:val="0"/>
      <w:marBottom w:val="0"/>
      <w:divBdr>
        <w:top w:val="none" w:sz="0" w:space="0" w:color="auto"/>
        <w:left w:val="none" w:sz="0" w:space="0" w:color="auto"/>
        <w:bottom w:val="none" w:sz="0" w:space="0" w:color="auto"/>
        <w:right w:val="none" w:sz="0" w:space="0" w:color="auto"/>
      </w:divBdr>
    </w:div>
    <w:div w:id="1072243203">
      <w:bodyDiv w:val="1"/>
      <w:marLeft w:val="0"/>
      <w:marRight w:val="0"/>
      <w:marTop w:val="0"/>
      <w:marBottom w:val="0"/>
      <w:divBdr>
        <w:top w:val="none" w:sz="0" w:space="0" w:color="auto"/>
        <w:left w:val="none" w:sz="0" w:space="0" w:color="auto"/>
        <w:bottom w:val="none" w:sz="0" w:space="0" w:color="auto"/>
        <w:right w:val="none" w:sz="0" w:space="0" w:color="auto"/>
      </w:divBdr>
    </w:div>
    <w:div w:id="1073817543">
      <w:bodyDiv w:val="1"/>
      <w:marLeft w:val="0"/>
      <w:marRight w:val="0"/>
      <w:marTop w:val="0"/>
      <w:marBottom w:val="0"/>
      <w:divBdr>
        <w:top w:val="none" w:sz="0" w:space="0" w:color="auto"/>
        <w:left w:val="none" w:sz="0" w:space="0" w:color="auto"/>
        <w:bottom w:val="none" w:sz="0" w:space="0" w:color="auto"/>
        <w:right w:val="none" w:sz="0" w:space="0" w:color="auto"/>
      </w:divBdr>
    </w:div>
    <w:div w:id="1074547855">
      <w:bodyDiv w:val="1"/>
      <w:marLeft w:val="0"/>
      <w:marRight w:val="0"/>
      <w:marTop w:val="0"/>
      <w:marBottom w:val="0"/>
      <w:divBdr>
        <w:top w:val="none" w:sz="0" w:space="0" w:color="auto"/>
        <w:left w:val="none" w:sz="0" w:space="0" w:color="auto"/>
        <w:bottom w:val="none" w:sz="0" w:space="0" w:color="auto"/>
        <w:right w:val="none" w:sz="0" w:space="0" w:color="auto"/>
      </w:divBdr>
    </w:div>
    <w:div w:id="1075250508">
      <w:bodyDiv w:val="1"/>
      <w:marLeft w:val="0"/>
      <w:marRight w:val="0"/>
      <w:marTop w:val="0"/>
      <w:marBottom w:val="0"/>
      <w:divBdr>
        <w:top w:val="none" w:sz="0" w:space="0" w:color="auto"/>
        <w:left w:val="none" w:sz="0" w:space="0" w:color="auto"/>
        <w:bottom w:val="none" w:sz="0" w:space="0" w:color="auto"/>
        <w:right w:val="none" w:sz="0" w:space="0" w:color="auto"/>
      </w:divBdr>
    </w:div>
    <w:div w:id="1076393741">
      <w:bodyDiv w:val="1"/>
      <w:marLeft w:val="0"/>
      <w:marRight w:val="0"/>
      <w:marTop w:val="0"/>
      <w:marBottom w:val="0"/>
      <w:divBdr>
        <w:top w:val="none" w:sz="0" w:space="0" w:color="auto"/>
        <w:left w:val="none" w:sz="0" w:space="0" w:color="auto"/>
        <w:bottom w:val="none" w:sz="0" w:space="0" w:color="auto"/>
        <w:right w:val="none" w:sz="0" w:space="0" w:color="auto"/>
      </w:divBdr>
    </w:div>
    <w:div w:id="1078593244">
      <w:bodyDiv w:val="1"/>
      <w:marLeft w:val="0"/>
      <w:marRight w:val="0"/>
      <w:marTop w:val="0"/>
      <w:marBottom w:val="0"/>
      <w:divBdr>
        <w:top w:val="none" w:sz="0" w:space="0" w:color="auto"/>
        <w:left w:val="none" w:sz="0" w:space="0" w:color="auto"/>
        <w:bottom w:val="none" w:sz="0" w:space="0" w:color="auto"/>
        <w:right w:val="none" w:sz="0" w:space="0" w:color="auto"/>
      </w:divBdr>
    </w:div>
    <w:div w:id="1082066578">
      <w:bodyDiv w:val="1"/>
      <w:marLeft w:val="0"/>
      <w:marRight w:val="0"/>
      <w:marTop w:val="0"/>
      <w:marBottom w:val="0"/>
      <w:divBdr>
        <w:top w:val="none" w:sz="0" w:space="0" w:color="auto"/>
        <w:left w:val="none" w:sz="0" w:space="0" w:color="auto"/>
        <w:bottom w:val="none" w:sz="0" w:space="0" w:color="auto"/>
        <w:right w:val="none" w:sz="0" w:space="0" w:color="auto"/>
      </w:divBdr>
    </w:div>
    <w:div w:id="1083798403">
      <w:bodyDiv w:val="1"/>
      <w:marLeft w:val="0"/>
      <w:marRight w:val="0"/>
      <w:marTop w:val="0"/>
      <w:marBottom w:val="0"/>
      <w:divBdr>
        <w:top w:val="none" w:sz="0" w:space="0" w:color="auto"/>
        <w:left w:val="none" w:sz="0" w:space="0" w:color="auto"/>
        <w:bottom w:val="none" w:sz="0" w:space="0" w:color="auto"/>
        <w:right w:val="none" w:sz="0" w:space="0" w:color="auto"/>
      </w:divBdr>
    </w:div>
    <w:div w:id="1088043946">
      <w:bodyDiv w:val="1"/>
      <w:marLeft w:val="0"/>
      <w:marRight w:val="0"/>
      <w:marTop w:val="0"/>
      <w:marBottom w:val="0"/>
      <w:divBdr>
        <w:top w:val="none" w:sz="0" w:space="0" w:color="auto"/>
        <w:left w:val="none" w:sz="0" w:space="0" w:color="auto"/>
        <w:bottom w:val="none" w:sz="0" w:space="0" w:color="auto"/>
        <w:right w:val="none" w:sz="0" w:space="0" w:color="auto"/>
      </w:divBdr>
    </w:div>
    <w:div w:id="1092579810">
      <w:bodyDiv w:val="1"/>
      <w:marLeft w:val="0"/>
      <w:marRight w:val="0"/>
      <w:marTop w:val="0"/>
      <w:marBottom w:val="0"/>
      <w:divBdr>
        <w:top w:val="none" w:sz="0" w:space="0" w:color="auto"/>
        <w:left w:val="none" w:sz="0" w:space="0" w:color="auto"/>
        <w:bottom w:val="none" w:sz="0" w:space="0" w:color="auto"/>
        <w:right w:val="none" w:sz="0" w:space="0" w:color="auto"/>
      </w:divBdr>
    </w:div>
    <w:div w:id="1096440093">
      <w:bodyDiv w:val="1"/>
      <w:marLeft w:val="0"/>
      <w:marRight w:val="0"/>
      <w:marTop w:val="0"/>
      <w:marBottom w:val="0"/>
      <w:divBdr>
        <w:top w:val="none" w:sz="0" w:space="0" w:color="auto"/>
        <w:left w:val="none" w:sz="0" w:space="0" w:color="auto"/>
        <w:bottom w:val="none" w:sz="0" w:space="0" w:color="auto"/>
        <w:right w:val="none" w:sz="0" w:space="0" w:color="auto"/>
      </w:divBdr>
    </w:div>
    <w:div w:id="1098674477">
      <w:bodyDiv w:val="1"/>
      <w:marLeft w:val="0"/>
      <w:marRight w:val="0"/>
      <w:marTop w:val="0"/>
      <w:marBottom w:val="0"/>
      <w:divBdr>
        <w:top w:val="none" w:sz="0" w:space="0" w:color="auto"/>
        <w:left w:val="none" w:sz="0" w:space="0" w:color="auto"/>
        <w:bottom w:val="none" w:sz="0" w:space="0" w:color="auto"/>
        <w:right w:val="none" w:sz="0" w:space="0" w:color="auto"/>
      </w:divBdr>
    </w:div>
    <w:div w:id="1099638366">
      <w:bodyDiv w:val="1"/>
      <w:marLeft w:val="0"/>
      <w:marRight w:val="0"/>
      <w:marTop w:val="0"/>
      <w:marBottom w:val="0"/>
      <w:divBdr>
        <w:top w:val="none" w:sz="0" w:space="0" w:color="auto"/>
        <w:left w:val="none" w:sz="0" w:space="0" w:color="auto"/>
        <w:bottom w:val="none" w:sz="0" w:space="0" w:color="auto"/>
        <w:right w:val="none" w:sz="0" w:space="0" w:color="auto"/>
      </w:divBdr>
      <w:divsChild>
        <w:div w:id="1763532386">
          <w:marLeft w:val="640"/>
          <w:marRight w:val="0"/>
          <w:marTop w:val="0"/>
          <w:marBottom w:val="0"/>
          <w:divBdr>
            <w:top w:val="none" w:sz="0" w:space="0" w:color="auto"/>
            <w:left w:val="none" w:sz="0" w:space="0" w:color="auto"/>
            <w:bottom w:val="none" w:sz="0" w:space="0" w:color="auto"/>
            <w:right w:val="none" w:sz="0" w:space="0" w:color="auto"/>
          </w:divBdr>
        </w:div>
        <w:div w:id="1899439229">
          <w:marLeft w:val="640"/>
          <w:marRight w:val="0"/>
          <w:marTop w:val="0"/>
          <w:marBottom w:val="0"/>
          <w:divBdr>
            <w:top w:val="none" w:sz="0" w:space="0" w:color="auto"/>
            <w:left w:val="none" w:sz="0" w:space="0" w:color="auto"/>
            <w:bottom w:val="none" w:sz="0" w:space="0" w:color="auto"/>
            <w:right w:val="none" w:sz="0" w:space="0" w:color="auto"/>
          </w:divBdr>
        </w:div>
        <w:div w:id="1470440836">
          <w:marLeft w:val="640"/>
          <w:marRight w:val="0"/>
          <w:marTop w:val="0"/>
          <w:marBottom w:val="0"/>
          <w:divBdr>
            <w:top w:val="none" w:sz="0" w:space="0" w:color="auto"/>
            <w:left w:val="none" w:sz="0" w:space="0" w:color="auto"/>
            <w:bottom w:val="none" w:sz="0" w:space="0" w:color="auto"/>
            <w:right w:val="none" w:sz="0" w:space="0" w:color="auto"/>
          </w:divBdr>
        </w:div>
        <w:div w:id="974483965">
          <w:marLeft w:val="640"/>
          <w:marRight w:val="0"/>
          <w:marTop w:val="0"/>
          <w:marBottom w:val="0"/>
          <w:divBdr>
            <w:top w:val="none" w:sz="0" w:space="0" w:color="auto"/>
            <w:left w:val="none" w:sz="0" w:space="0" w:color="auto"/>
            <w:bottom w:val="none" w:sz="0" w:space="0" w:color="auto"/>
            <w:right w:val="none" w:sz="0" w:space="0" w:color="auto"/>
          </w:divBdr>
        </w:div>
        <w:div w:id="725494491">
          <w:marLeft w:val="640"/>
          <w:marRight w:val="0"/>
          <w:marTop w:val="0"/>
          <w:marBottom w:val="0"/>
          <w:divBdr>
            <w:top w:val="none" w:sz="0" w:space="0" w:color="auto"/>
            <w:left w:val="none" w:sz="0" w:space="0" w:color="auto"/>
            <w:bottom w:val="none" w:sz="0" w:space="0" w:color="auto"/>
            <w:right w:val="none" w:sz="0" w:space="0" w:color="auto"/>
          </w:divBdr>
        </w:div>
        <w:div w:id="620569638">
          <w:marLeft w:val="640"/>
          <w:marRight w:val="0"/>
          <w:marTop w:val="0"/>
          <w:marBottom w:val="0"/>
          <w:divBdr>
            <w:top w:val="none" w:sz="0" w:space="0" w:color="auto"/>
            <w:left w:val="none" w:sz="0" w:space="0" w:color="auto"/>
            <w:bottom w:val="none" w:sz="0" w:space="0" w:color="auto"/>
            <w:right w:val="none" w:sz="0" w:space="0" w:color="auto"/>
          </w:divBdr>
        </w:div>
        <w:div w:id="1535462461">
          <w:marLeft w:val="640"/>
          <w:marRight w:val="0"/>
          <w:marTop w:val="0"/>
          <w:marBottom w:val="0"/>
          <w:divBdr>
            <w:top w:val="none" w:sz="0" w:space="0" w:color="auto"/>
            <w:left w:val="none" w:sz="0" w:space="0" w:color="auto"/>
            <w:bottom w:val="none" w:sz="0" w:space="0" w:color="auto"/>
            <w:right w:val="none" w:sz="0" w:space="0" w:color="auto"/>
          </w:divBdr>
        </w:div>
        <w:div w:id="1764297486">
          <w:marLeft w:val="640"/>
          <w:marRight w:val="0"/>
          <w:marTop w:val="0"/>
          <w:marBottom w:val="0"/>
          <w:divBdr>
            <w:top w:val="none" w:sz="0" w:space="0" w:color="auto"/>
            <w:left w:val="none" w:sz="0" w:space="0" w:color="auto"/>
            <w:bottom w:val="none" w:sz="0" w:space="0" w:color="auto"/>
            <w:right w:val="none" w:sz="0" w:space="0" w:color="auto"/>
          </w:divBdr>
        </w:div>
        <w:div w:id="532308258">
          <w:marLeft w:val="640"/>
          <w:marRight w:val="0"/>
          <w:marTop w:val="0"/>
          <w:marBottom w:val="0"/>
          <w:divBdr>
            <w:top w:val="none" w:sz="0" w:space="0" w:color="auto"/>
            <w:left w:val="none" w:sz="0" w:space="0" w:color="auto"/>
            <w:bottom w:val="none" w:sz="0" w:space="0" w:color="auto"/>
            <w:right w:val="none" w:sz="0" w:space="0" w:color="auto"/>
          </w:divBdr>
        </w:div>
        <w:div w:id="2117947560">
          <w:marLeft w:val="640"/>
          <w:marRight w:val="0"/>
          <w:marTop w:val="0"/>
          <w:marBottom w:val="0"/>
          <w:divBdr>
            <w:top w:val="none" w:sz="0" w:space="0" w:color="auto"/>
            <w:left w:val="none" w:sz="0" w:space="0" w:color="auto"/>
            <w:bottom w:val="none" w:sz="0" w:space="0" w:color="auto"/>
            <w:right w:val="none" w:sz="0" w:space="0" w:color="auto"/>
          </w:divBdr>
        </w:div>
        <w:div w:id="1714646618">
          <w:marLeft w:val="640"/>
          <w:marRight w:val="0"/>
          <w:marTop w:val="0"/>
          <w:marBottom w:val="0"/>
          <w:divBdr>
            <w:top w:val="none" w:sz="0" w:space="0" w:color="auto"/>
            <w:left w:val="none" w:sz="0" w:space="0" w:color="auto"/>
            <w:bottom w:val="none" w:sz="0" w:space="0" w:color="auto"/>
            <w:right w:val="none" w:sz="0" w:space="0" w:color="auto"/>
          </w:divBdr>
        </w:div>
        <w:div w:id="643245000">
          <w:marLeft w:val="640"/>
          <w:marRight w:val="0"/>
          <w:marTop w:val="0"/>
          <w:marBottom w:val="0"/>
          <w:divBdr>
            <w:top w:val="none" w:sz="0" w:space="0" w:color="auto"/>
            <w:left w:val="none" w:sz="0" w:space="0" w:color="auto"/>
            <w:bottom w:val="none" w:sz="0" w:space="0" w:color="auto"/>
            <w:right w:val="none" w:sz="0" w:space="0" w:color="auto"/>
          </w:divBdr>
        </w:div>
        <w:div w:id="955061676">
          <w:marLeft w:val="640"/>
          <w:marRight w:val="0"/>
          <w:marTop w:val="0"/>
          <w:marBottom w:val="0"/>
          <w:divBdr>
            <w:top w:val="none" w:sz="0" w:space="0" w:color="auto"/>
            <w:left w:val="none" w:sz="0" w:space="0" w:color="auto"/>
            <w:bottom w:val="none" w:sz="0" w:space="0" w:color="auto"/>
            <w:right w:val="none" w:sz="0" w:space="0" w:color="auto"/>
          </w:divBdr>
        </w:div>
        <w:div w:id="103815186">
          <w:marLeft w:val="640"/>
          <w:marRight w:val="0"/>
          <w:marTop w:val="0"/>
          <w:marBottom w:val="0"/>
          <w:divBdr>
            <w:top w:val="none" w:sz="0" w:space="0" w:color="auto"/>
            <w:left w:val="none" w:sz="0" w:space="0" w:color="auto"/>
            <w:bottom w:val="none" w:sz="0" w:space="0" w:color="auto"/>
            <w:right w:val="none" w:sz="0" w:space="0" w:color="auto"/>
          </w:divBdr>
        </w:div>
        <w:div w:id="1823741014">
          <w:marLeft w:val="640"/>
          <w:marRight w:val="0"/>
          <w:marTop w:val="0"/>
          <w:marBottom w:val="0"/>
          <w:divBdr>
            <w:top w:val="none" w:sz="0" w:space="0" w:color="auto"/>
            <w:left w:val="none" w:sz="0" w:space="0" w:color="auto"/>
            <w:bottom w:val="none" w:sz="0" w:space="0" w:color="auto"/>
            <w:right w:val="none" w:sz="0" w:space="0" w:color="auto"/>
          </w:divBdr>
        </w:div>
        <w:div w:id="790051675">
          <w:marLeft w:val="640"/>
          <w:marRight w:val="0"/>
          <w:marTop w:val="0"/>
          <w:marBottom w:val="0"/>
          <w:divBdr>
            <w:top w:val="none" w:sz="0" w:space="0" w:color="auto"/>
            <w:left w:val="none" w:sz="0" w:space="0" w:color="auto"/>
            <w:bottom w:val="none" w:sz="0" w:space="0" w:color="auto"/>
            <w:right w:val="none" w:sz="0" w:space="0" w:color="auto"/>
          </w:divBdr>
        </w:div>
        <w:div w:id="527330232">
          <w:marLeft w:val="640"/>
          <w:marRight w:val="0"/>
          <w:marTop w:val="0"/>
          <w:marBottom w:val="0"/>
          <w:divBdr>
            <w:top w:val="none" w:sz="0" w:space="0" w:color="auto"/>
            <w:left w:val="none" w:sz="0" w:space="0" w:color="auto"/>
            <w:bottom w:val="none" w:sz="0" w:space="0" w:color="auto"/>
            <w:right w:val="none" w:sz="0" w:space="0" w:color="auto"/>
          </w:divBdr>
        </w:div>
        <w:div w:id="378362756">
          <w:marLeft w:val="640"/>
          <w:marRight w:val="0"/>
          <w:marTop w:val="0"/>
          <w:marBottom w:val="0"/>
          <w:divBdr>
            <w:top w:val="none" w:sz="0" w:space="0" w:color="auto"/>
            <w:left w:val="none" w:sz="0" w:space="0" w:color="auto"/>
            <w:bottom w:val="none" w:sz="0" w:space="0" w:color="auto"/>
            <w:right w:val="none" w:sz="0" w:space="0" w:color="auto"/>
          </w:divBdr>
        </w:div>
        <w:div w:id="2045904198">
          <w:marLeft w:val="640"/>
          <w:marRight w:val="0"/>
          <w:marTop w:val="0"/>
          <w:marBottom w:val="0"/>
          <w:divBdr>
            <w:top w:val="none" w:sz="0" w:space="0" w:color="auto"/>
            <w:left w:val="none" w:sz="0" w:space="0" w:color="auto"/>
            <w:bottom w:val="none" w:sz="0" w:space="0" w:color="auto"/>
            <w:right w:val="none" w:sz="0" w:space="0" w:color="auto"/>
          </w:divBdr>
        </w:div>
        <w:div w:id="1332610388">
          <w:marLeft w:val="640"/>
          <w:marRight w:val="0"/>
          <w:marTop w:val="0"/>
          <w:marBottom w:val="0"/>
          <w:divBdr>
            <w:top w:val="none" w:sz="0" w:space="0" w:color="auto"/>
            <w:left w:val="none" w:sz="0" w:space="0" w:color="auto"/>
            <w:bottom w:val="none" w:sz="0" w:space="0" w:color="auto"/>
            <w:right w:val="none" w:sz="0" w:space="0" w:color="auto"/>
          </w:divBdr>
        </w:div>
        <w:div w:id="1615821223">
          <w:marLeft w:val="640"/>
          <w:marRight w:val="0"/>
          <w:marTop w:val="0"/>
          <w:marBottom w:val="0"/>
          <w:divBdr>
            <w:top w:val="none" w:sz="0" w:space="0" w:color="auto"/>
            <w:left w:val="none" w:sz="0" w:space="0" w:color="auto"/>
            <w:bottom w:val="none" w:sz="0" w:space="0" w:color="auto"/>
            <w:right w:val="none" w:sz="0" w:space="0" w:color="auto"/>
          </w:divBdr>
        </w:div>
        <w:div w:id="411121134">
          <w:marLeft w:val="640"/>
          <w:marRight w:val="0"/>
          <w:marTop w:val="0"/>
          <w:marBottom w:val="0"/>
          <w:divBdr>
            <w:top w:val="none" w:sz="0" w:space="0" w:color="auto"/>
            <w:left w:val="none" w:sz="0" w:space="0" w:color="auto"/>
            <w:bottom w:val="none" w:sz="0" w:space="0" w:color="auto"/>
            <w:right w:val="none" w:sz="0" w:space="0" w:color="auto"/>
          </w:divBdr>
        </w:div>
        <w:div w:id="239682504">
          <w:marLeft w:val="640"/>
          <w:marRight w:val="0"/>
          <w:marTop w:val="0"/>
          <w:marBottom w:val="0"/>
          <w:divBdr>
            <w:top w:val="none" w:sz="0" w:space="0" w:color="auto"/>
            <w:left w:val="none" w:sz="0" w:space="0" w:color="auto"/>
            <w:bottom w:val="none" w:sz="0" w:space="0" w:color="auto"/>
            <w:right w:val="none" w:sz="0" w:space="0" w:color="auto"/>
          </w:divBdr>
        </w:div>
        <w:div w:id="2091348562">
          <w:marLeft w:val="640"/>
          <w:marRight w:val="0"/>
          <w:marTop w:val="0"/>
          <w:marBottom w:val="0"/>
          <w:divBdr>
            <w:top w:val="none" w:sz="0" w:space="0" w:color="auto"/>
            <w:left w:val="none" w:sz="0" w:space="0" w:color="auto"/>
            <w:bottom w:val="none" w:sz="0" w:space="0" w:color="auto"/>
            <w:right w:val="none" w:sz="0" w:space="0" w:color="auto"/>
          </w:divBdr>
        </w:div>
        <w:div w:id="1437795280">
          <w:marLeft w:val="640"/>
          <w:marRight w:val="0"/>
          <w:marTop w:val="0"/>
          <w:marBottom w:val="0"/>
          <w:divBdr>
            <w:top w:val="none" w:sz="0" w:space="0" w:color="auto"/>
            <w:left w:val="none" w:sz="0" w:space="0" w:color="auto"/>
            <w:bottom w:val="none" w:sz="0" w:space="0" w:color="auto"/>
            <w:right w:val="none" w:sz="0" w:space="0" w:color="auto"/>
          </w:divBdr>
        </w:div>
        <w:div w:id="1501577109">
          <w:marLeft w:val="640"/>
          <w:marRight w:val="0"/>
          <w:marTop w:val="0"/>
          <w:marBottom w:val="0"/>
          <w:divBdr>
            <w:top w:val="none" w:sz="0" w:space="0" w:color="auto"/>
            <w:left w:val="none" w:sz="0" w:space="0" w:color="auto"/>
            <w:bottom w:val="none" w:sz="0" w:space="0" w:color="auto"/>
            <w:right w:val="none" w:sz="0" w:space="0" w:color="auto"/>
          </w:divBdr>
        </w:div>
        <w:div w:id="1523395147">
          <w:marLeft w:val="640"/>
          <w:marRight w:val="0"/>
          <w:marTop w:val="0"/>
          <w:marBottom w:val="0"/>
          <w:divBdr>
            <w:top w:val="none" w:sz="0" w:space="0" w:color="auto"/>
            <w:left w:val="none" w:sz="0" w:space="0" w:color="auto"/>
            <w:bottom w:val="none" w:sz="0" w:space="0" w:color="auto"/>
            <w:right w:val="none" w:sz="0" w:space="0" w:color="auto"/>
          </w:divBdr>
        </w:div>
        <w:div w:id="480974252">
          <w:marLeft w:val="640"/>
          <w:marRight w:val="0"/>
          <w:marTop w:val="0"/>
          <w:marBottom w:val="0"/>
          <w:divBdr>
            <w:top w:val="none" w:sz="0" w:space="0" w:color="auto"/>
            <w:left w:val="none" w:sz="0" w:space="0" w:color="auto"/>
            <w:bottom w:val="none" w:sz="0" w:space="0" w:color="auto"/>
            <w:right w:val="none" w:sz="0" w:space="0" w:color="auto"/>
          </w:divBdr>
        </w:div>
        <w:div w:id="21057395">
          <w:marLeft w:val="640"/>
          <w:marRight w:val="0"/>
          <w:marTop w:val="0"/>
          <w:marBottom w:val="0"/>
          <w:divBdr>
            <w:top w:val="none" w:sz="0" w:space="0" w:color="auto"/>
            <w:left w:val="none" w:sz="0" w:space="0" w:color="auto"/>
            <w:bottom w:val="none" w:sz="0" w:space="0" w:color="auto"/>
            <w:right w:val="none" w:sz="0" w:space="0" w:color="auto"/>
          </w:divBdr>
        </w:div>
        <w:div w:id="457184713">
          <w:marLeft w:val="640"/>
          <w:marRight w:val="0"/>
          <w:marTop w:val="0"/>
          <w:marBottom w:val="0"/>
          <w:divBdr>
            <w:top w:val="none" w:sz="0" w:space="0" w:color="auto"/>
            <w:left w:val="none" w:sz="0" w:space="0" w:color="auto"/>
            <w:bottom w:val="none" w:sz="0" w:space="0" w:color="auto"/>
            <w:right w:val="none" w:sz="0" w:space="0" w:color="auto"/>
          </w:divBdr>
        </w:div>
        <w:div w:id="1155877646">
          <w:marLeft w:val="640"/>
          <w:marRight w:val="0"/>
          <w:marTop w:val="0"/>
          <w:marBottom w:val="0"/>
          <w:divBdr>
            <w:top w:val="none" w:sz="0" w:space="0" w:color="auto"/>
            <w:left w:val="none" w:sz="0" w:space="0" w:color="auto"/>
            <w:bottom w:val="none" w:sz="0" w:space="0" w:color="auto"/>
            <w:right w:val="none" w:sz="0" w:space="0" w:color="auto"/>
          </w:divBdr>
        </w:div>
        <w:div w:id="1875072540">
          <w:marLeft w:val="640"/>
          <w:marRight w:val="0"/>
          <w:marTop w:val="0"/>
          <w:marBottom w:val="0"/>
          <w:divBdr>
            <w:top w:val="none" w:sz="0" w:space="0" w:color="auto"/>
            <w:left w:val="none" w:sz="0" w:space="0" w:color="auto"/>
            <w:bottom w:val="none" w:sz="0" w:space="0" w:color="auto"/>
            <w:right w:val="none" w:sz="0" w:space="0" w:color="auto"/>
          </w:divBdr>
        </w:div>
        <w:div w:id="348141351">
          <w:marLeft w:val="640"/>
          <w:marRight w:val="0"/>
          <w:marTop w:val="0"/>
          <w:marBottom w:val="0"/>
          <w:divBdr>
            <w:top w:val="none" w:sz="0" w:space="0" w:color="auto"/>
            <w:left w:val="none" w:sz="0" w:space="0" w:color="auto"/>
            <w:bottom w:val="none" w:sz="0" w:space="0" w:color="auto"/>
            <w:right w:val="none" w:sz="0" w:space="0" w:color="auto"/>
          </w:divBdr>
        </w:div>
        <w:div w:id="1903561553">
          <w:marLeft w:val="640"/>
          <w:marRight w:val="0"/>
          <w:marTop w:val="0"/>
          <w:marBottom w:val="0"/>
          <w:divBdr>
            <w:top w:val="none" w:sz="0" w:space="0" w:color="auto"/>
            <w:left w:val="none" w:sz="0" w:space="0" w:color="auto"/>
            <w:bottom w:val="none" w:sz="0" w:space="0" w:color="auto"/>
            <w:right w:val="none" w:sz="0" w:space="0" w:color="auto"/>
          </w:divBdr>
        </w:div>
        <w:div w:id="664162978">
          <w:marLeft w:val="640"/>
          <w:marRight w:val="0"/>
          <w:marTop w:val="0"/>
          <w:marBottom w:val="0"/>
          <w:divBdr>
            <w:top w:val="none" w:sz="0" w:space="0" w:color="auto"/>
            <w:left w:val="none" w:sz="0" w:space="0" w:color="auto"/>
            <w:bottom w:val="none" w:sz="0" w:space="0" w:color="auto"/>
            <w:right w:val="none" w:sz="0" w:space="0" w:color="auto"/>
          </w:divBdr>
        </w:div>
        <w:div w:id="592862501">
          <w:marLeft w:val="640"/>
          <w:marRight w:val="0"/>
          <w:marTop w:val="0"/>
          <w:marBottom w:val="0"/>
          <w:divBdr>
            <w:top w:val="none" w:sz="0" w:space="0" w:color="auto"/>
            <w:left w:val="none" w:sz="0" w:space="0" w:color="auto"/>
            <w:bottom w:val="none" w:sz="0" w:space="0" w:color="auto"/>
            <w:right w:val="none" w:sz="0" w:space="0" w:color="auto"/>
          </w:divBdr>
        </w:div>
        <w:div w:id="1984774022">
          <w:marLeft w:val="640"/>
          <w:marRight w:val="0"/>
          <w:marTop w:val="0"/>
          <w:marBottom w:val="0"/>
          <w:divBdr>
            <w:top w:val="none" w:sz="0" w:space="0" w:color="auto"/>
            <w:left w:val="none" w:sz="0" w:space="0" w:color="auto"/>
            <w:bottom w:val="none" w:sz="0" w:space="0" w:color="auto"/>
            <w:right w:val="none" w:sz="0" w:space="0" w:color="auto"/>
          </w:divBdr>
        </w:div>
        <w:div w:id="623779461">
          <w:marLeft w:val="640"/>
          <w:marRight w:val="0"/>
          <w:marTop w:val="0"/>
          <w:marBottom w:val="0"/>
          <w:divBdr>
            <w:top w:val="none" w:sz="0" w:space="0" w:color="auto"/>
            <w:left w:val="none" w:sz="0" w:space="0" w:color="auto"/>
            <w:bottom w:val="none" w:sz="0" w:space="0" w:color="auto"/>
            <w:right w:val="none" w:sz="0" w:space="0" w:color="auto"/>
          </w:divBdr>
        </w:div>
        <w:div w:id="1983147762">
          <w:marLeft w:val="640"/>
          <w:marRight w:val="0"/>
          <w:marTop w:val="0"/>
          <w:marBottom w:val="0"/>
          <w:divBdr>
            <w:top w:val="none" w:sz="0" w:space="0" w:color="auto"/>
            <w:left w:val="none" w:sz="0" w:space="0" w:color="auto"/>
            <w:bottom w:val="none" w:sz="0" w:space="0" w:color="auto"/>
            <w:right w:val="none" w:sz="0" w:space="0" w:color="auto"/>
          </w:divBdr>
        </w:div>
        <w:div w:id="1706174660">
          <w:marLeft w:val="640"/>
          <w:marRight w:val="0"/>
          <w:marTop w:val="0"/>
          <w:marBottom w:val="0"/>
          <w:divBdr>
            <w:top w:val="none" w:sz="0" w:space="0" w:color="auto"/>
            <w:left w:val="none" w:sz="0" w:space="0" w:color="auto"/>
            <w:bottom w:val="none" w:sz="0" w:space="0" w:color="auto"/>
            <w:right w:val="none" w:sz="0" w:space="0" w:color="auto"/>
          </w:divBdr>
        </w:div>
        <w:div w:id="46418967">
          <w:marLeft w:val="640"/>
          <w:marRight w:val="0"/>
          <w:marTop w:val="0"/>
          <w:marBottom w:val="0"/>
          <w:divBdr>
            <w:top w:val="none" w:sz="0" w:space="0" w:color="auto"/>
            <w:left w:val="none" w:sz="0" w:space="0" w:color="auto"/>
            <w:bottom w:val="none" w:sz="0" w:space="0" w:color="auto"/>
            <w:right w:val="none" w:sz="0" w:space="0" w:color="auto"/>
          </w:divBdr>
        </w:div>
        <w:div w:id="1055082241">
          <w:marLeft w:val="640"/>
          <w:marRight w:val="0"/>
          <w:marTop w:val="0"/>
          <w:marBottom w:val="0"/>
          <w:divBdr>
            <w:top w:val="none" w:sz="0" w:space="0" w:color="auto"/>
            <w:left w:val="none" w:sz="0" w:space="0" w:color="auto"/>
            <w:bottom w:val="none" w:sz="0" w:space="0" w:color="auto"/>
            <w:right w:val="none" w:sz="0" w:space="0" w:color="auto"/>
          </w:divBdr>
        </w:div>
        <w:div w:id="94253036">
          <w:marLeft w:val="640"/>
          <w:marRight w:val="0"/>
          <w:marTop w:val="0"/>
          <w:marBottom w:val="0"/>
          <w:divBdr>
            <w:top w:val="none" w:sz="0" w:space="0" w:color="auto"/>
            <w:left w:val="none" w:sz="0" w:space="0" w:color="auto"/>
            <w:bottom w:val="none" w:sz="0" w:space="0" w:color="auto"/>
            <w:right w:val="none" w:sz="0" w:space="0" w:color="auto"/>
          </w:divBdr>
        </w:div>
        <w:div w:id="2077236761">
          <w:marLeft w:val="640"/>
          <w:marRight w:val="0"/>
          <w:marTop w:val="0"/>
          <w:marBottom w:val="0"/>
          <w:divBdr>
            <w:top w:val="none" w:sz="0" w:space="0" w:color="auto"/>
            <w:left w:val="none" w:sz="0" w:space="0" w:color="auto"/>
            <w:bottom w:val="none" w:sz="0" w:space="0" w:color="auto"/>
            <w:right w:val="none" w:sz="0" w:space="0" w:color="auto"/>
          </w:divBdr>
        </w:div>
        <w:div w:id="1002777397">
          <w:marLeft w:val="640"/>
          <w:marRight w:val="0"/>
          <w:marTop w:val="0"/>
          <w:marBottom w:val="0"/>
          <w:divBdr>
            <w:top w:val="none" w:sz="0" w:space="0" w:color="auto"/>
            <w:left w:val="none" w:sz="0" w:space="0" w:color="auto"/>
            <w:bottom w:val="none" w:sz="0" w:space="0" w:color="auto"/>
            <w:right w:val="none" w:sz="0" w:space="0" w:color="auto"/>
          </w:divBdr>
        </w:div>
        <w:div w:id="924921455">
          <w:marLeft w:val="640"/>
          <w:marRight w:val="0"/>
          <w:marTop w:val="0"/>
          <w:marBottom w:val="0"/>
          <w:divBdr>
            <w:top w:val="none" w:sz="0" w:space="0" w:color="auto"/>
            <w:left w:val="none" w:sz="0" w:space="0" w:color="auto"/>
            <w:bottom w:val="none" w:sz="0" w:space="0" w:color="auto"/>
            <w:right w:val="none" w:sz="0" w:space="0" w:color="auto"/>
          </w:divBdr>
        </w:div>
        <w:div w:id="1966303920">
          <w:marLeft w:val="640"/>
          <w:marRight w:val="0"/>
          <w:marTop w:val="0"/>
          <w:marBottom w:val="0"/>
          <w:divBdr>
            <w:top w:val="none" w:sz="0" w:space="0" w:color="auto"/>
            <w:left w:val="none" w:sz="0" w:space="0" w:color="auto"/>
            <w:bottom w:val="none" w:sz="0" w:space="0" w:color="auto"/>
            <w:right w:val="none" w:sz="0" w:space="0" w:color="auto"/>
          </w:divBdr>
        </w:div>
        <w:div w:id="64375680">
          <w:marLeft w:val="640"/>
          <w:marRight w:val="0"/>
          <w:marTop w:val="0"/>
          <w:marBottom w:val="0"/>
          <w:divBdr>
            <w:top w:val="none" w:sz="0" w:space="0" w:color="auto"/>
            <w:left w:val="none" w:sz="0" w:space="0" w:color="auto"/>
            <w:bottom w:val="none" w:sz="0" w:space="0" w:color="auto"/>
            <w:right w:val="none" w:sz="0" w:space="0" w:color="auto"/>
          </w:divBdr>
        </w:div>
        <w:div w:id="2031104297">
          <w:marLeft w:val="640"/>
          <w:marRight w:val="0"/>
          <w:marTop w:val="0"/>
          <w:marBottom w:val="0"/>
          <w:divBdr>
            <w:top w:val="none" w:sz="0" w:space="0" w:color="auto"/>
            <w:left w:val="none" w:sz="0" w:space="0" w:color="auto"/>
            <w:bottom w:val="none" w:sz="0" w:space="0" w:color="auto"/>
            <w:right w:val="none" w:sz="0" w:space="0" w:color="auto"/>
          </w:divBdr>
        </w:div>
        <w:div w:id="388654225">
          <w:marLeft w:val="640"/>
          <w:marRight w:val="0"/>
          <w:marTop w:val="0"/>
          <w:marBottom w:val="0"/>
          <w:divBdr>
            <w:top w:val="none" w:sz="0" w:space="0" w:color="auto"/>
            <w:left w:val="none" w:sz="0" w:space="0" w:color="auto"/>
            <w:bottom w:val="none" w:sz="0" w:space="0" w:color="auto"/>
            <w:right w:val="none" w:sz="0" w:space="0" w:color="auto"/>
          </w:divBdr>
        </w:div>
        <w:div w:id="907769992">
          <w:marLeft w:val="640"/>
          <w:marRight w:val="0"/>
          <w:marTop w:val="0"/>
          <w:marBottom w:val="0"/>
          <w:divBdr>
            <w:top w:val="none" w:sz="0" w:space="0" w:color="auto"/>
            <w:left w:val="none" w:sz="0" w:space="0" w:color="auto"/>
            <w:bottom w:val="none" w:sz="0" w:space="0" w:color="auto"/>
            <w:right w:val="none" w:sz="0" w:space="0" w:color="auto"/>
          </w:divBdr>
        </w:div>
        <w:div w:id="895967274">
          <w:marLeft w:val="640"/>
          <w:marRight w:val="0"/>
          <w:marTop w:val="0"/>
          <w:marBottom w:val="0"/>
          <w:divBdr>
            <w:top w:val="none" w:sz="0" w:space="0" w:color="auto"/>
            <w:left w:val="none" w:sz="0" w:space="0" w:color="auto"/>
            <w:bottom w:val="none" w:sz="0" w:space="0" w:color="auto"/>
            <w:right w:val="none" w:sz="0" w:space="0" w:color="auto"/>
          </w:divBdr>
        </w:div>
        <w:div w:id="1589777495">
          <w:marLeft w:val="640"/>
          <w:marRight w:val="0"/>
          <w:marTop w:val="0"/>
          <w:marBottom w:val="0"/>
          <w:divBdr>
            <w:top w:val="none" w:sz="0" w:space="0" w:color="auto"/>
            <w:left w:val="none" w:sz="0" w:space="0" w:color="auto"/>
            <w:bottom w:val="none" w:sz="0" w:space="0" w:color="auto"/>
            <w:right w:val="none" w:sz="0" w:space="0" w:color="auto"/>
          </w:divBdr>
        </w:div>
        <w:div w:id="1638147019">
          <w:marLeft w:val="640"/>
          <w:marRight w:val="0"/>
          <w:marTop w:val="0"/>
          <w:marBottom w:val="0"/>
          <w:divBdr>
            <w:top w:val="none" w:sz="0" w:space="0" w:color="auto"/>
            <w:left w:val="none" w:sz="0" w:space="0" w:color="auto"/>
            <w:bottom w:val="none" w:sz="0" w:space="0" w:color="auto"/>
            <w:right w:val="none" w:sz="0" w:space="0" w:color="auto"/>
          </w:divBdr>
        </w:div>
        <w:div w:id="939332521">
          <w:marLeft w:val="640"/>
          <w:marRight w:val="0"/>
          <w:marTop w:val="0"/>
          <w:marBottom w:val="0"/>
          <w:divBdr>
            <w:top w:val="none" w:sz="0" w:space="0" w:color="auto"/>
            <w:left w:val="none" w:sz="0" w:space="0" w:color="auto"/>
            <w:bottom w:val="none" w:sz="0" w:space="0" w:color="auto"/>
            <w:right w:val="none" w:sz="0" w:space="0" w:color="auto"/>
          </w:divBdr>
        </w:div>
        <w:div w:id="1373385467">
          <w:marLeft w:val="640"/>
          <w:marRight w:val="0"/>
          <w:marTop w:val="0"/>
          <w:marBottom w:val="0"/>
          <w:divBdr>
            <w:top w:val="none" w:sz="0" w:space="0" w:color="auto"/>
            <w:left w:val="none" w:sz="0" w:space="0" w:color="auto"/>
            <w:bottom w:val="none" w:sz="0" w:space="0" w:color="auto"/>
            <w:right w:val="none" w:sz="0" w:space="0" w:color="auto"/>
          </w:divBdr>
        </w:div>
        <w:div w:id="1748847641">
          <w:marLeft w:val="640"/>
          <w:marRight w:val="0"/>
          <w:marTop w:val="0"/>
          <w:marBottom w:val="0"/>
          <w:divBdr>
            <w:top w:val="none" w:sz="0" w:space="0" w:color="auto"/>
            <w:left w:val="none" w:sz="0" w:space="0" w:color="auto"/>
            <w:bottom w:val="none" w:sz="0" w:space="0" w:color="auto"/>
            <w:right w:val="none" w:sz="0" w:space="0" w:color="auto"/>
          </w:divBdr>
        </w:div>
        <w:div w:id="1842771966">
          <w:marLeft w:val="640"/>
          <w:marRight w:val="0"/>
          <w:marTop w:val="0"/>
          <w:marBottom w:val="0"/>
          <w:divBdr>
            <w:top w:val="none" w:sz="0" w:space="0" w:color="auto"/>
            <w:left w:val="none" w:sz="0" w:space="0" w:color="auto"/>
            <w:bottom w:val="none" w:sz="0" w:space="0" w:color="auto"/>
            <w:right w:val="none" w:sz="0" w:space="0" w:color="auto"/>
          </w:divBdr>
        </w:div>
        <w:div w:id="1873301974">
          <w:marLeft w:val="640"/>
          <w:marRight w:val="0"/>
          <w:marTop w:val="0"/>
          <w:marBottom w:val="0"/>
          <w:divBdr>
            <w:top w:val="none" w:sz="0" w:space="0" w:color="auto"/>
            <w:left w:val="none" w:sz="0" w:space="0" w:color="auto"/>
            <w:bottom w:val="none" w:sz="0" w:space="0" w:color="auto"/>
            <w:right w:val="none" w:sz="0" w:space="0" w:color="auto"/>
          </w:divBdr>
        </w:div>
        <w:div w:id="591626067">
          <w:marLeft w:val="640"/>
          <w:marRight w:val="0"/>
          <w:marTop w:val="0"/>
          <w:marBottom w:val="0"/>
          <w:divBdr>
            <w:top w:val="none" w:sz="0" w:space="0" w:color="auto"/>
            <w:left w:val="none" w:sz="0" w:space="0" w:color="auto"/>
            <w:bottom w:val="none" w:sz="0" w:space="0" w:color="auto"/>
            <w:right w:val="none" w:sz="0" w:space="0" w:color="auto"/>
          </w:divBdr>
        </w:div>
        <w:div w:id="1243949873">
          <w:marLeft w:val="640"/>
          <w:marRight w:val="0"/>
          <w:marTop w:val="0"/>
          <w:marBottom w:val="0"/>
          <w:divBdr>
            <w:top w:val="none" w:sz="0" w:space="0" w:color="auto"/>
            <w:left w:val="none" w:sz="0" w:space="0" w:color="auto"/>
            <w:bottom w:val="none" w:sz="0" w:space="0" w:color="auto"/>
            <w:right w:val="none" w:sz="0" w:space="0" w:color="auto"/>
          </w:divBdr>
        </w:div>
        <w:div w:id="465202234">
          <w:marLeft w:val="640"/>
          <w:marRight w:val="0"/>
          <w:marTop w:val="0"/>
          <w:marBottom w:val="0"/>
          <w:divBdr>
            <w:top w:val="none" w:sz="0" w:space="0" w:color="auto"/>
            <w:left w:val="none" w:sz="0" w:space="0" w:color="auto"/>
            <w:bottom w:val="none" w:sz="0" w:space="0" w:color="auto"/>
            <w:right w:val="none" w:sz="0" w:space="0" w:color="auto"/>
          </w:divBdr>
        </w:div>
        <w:div w:id="210114584">
          <w:marLeft w:val="640"/>
          <w:marRight w:val="0"/>
          <w:marTop w:val="0"/>
          <w:marBottom w:val="0"/>
          <w:divBdr>
            <w:top w:val="none" w:sz="0" w:space="0" w:color="auto"/>
            <w:left w:val="none" w:sz="0" w:space="0" w:color="auto"/>
            <w:bottom w:val="none" w:sz="0" w:space="0" w:color="auto"/>
            <w:right w:val="none" w:sz="0" w:space="0" w:color="auto"/>
          </w:divBdr>
        </w:div>
        <w:div w:id="1798714052">
          <w:marLeft w:val="640"/>
          <w:marRight w:val="0"/>
          <w:marTop w:val="0"/>
          <w:marBottom w:val="0"/>
          <w:divBdr>
            <w:top w:val="none" w:sz="0" w:space="0" w:color="auto"/>
            <w:left w:val="none" w:sz="0" w:space="0" w:color="auto"/>
            <w:bottom w:val="none" w:sz="0" w:space="0" w:color="auto"/>
            <w:right w:val="none" w:sz="0" w:space="0" w:color="auto"/>
          </w:divBdr>
        </w:div>
        <w:div w:id="329023394">
          <w:marLeft w:val="640"/>
          <w:marRight w:val="0"/>
          <w:marTop w:val="0"/>
          <w:marBottom w:val="0"/>
          <w:divBdr>
            <w:top w:val="none" w:sz="0" w:space="0" w:color="auto"/>
            <w:left w:val="none" w:sz="0" w:space="0" w:color="auto"/>
            <w:bottom w:val="none" w:sz="0" w:space="0" w:color="auto"/>
            <w:right w:val="none" w:sz="0" w:space="0" w:color="auto"/>
          </w:divBdr>
        </w:div>
        <w:div w:id="100416753">
          <w:marLeft w:val="640"/>
          <w:marRight w:val="0"/>
          <w:marTop w:val="0"/>
          <w:marBottom w:val="0"/>
          <w:divBdr>
            <w:top w:val="none" w:sz="0" w:space="0" w:color="auto"/>
            <w:left w:val="none" w:sz="0" w:space="0" w:color="auto"/>
            <w:bottom w:val="none" w:sz="0" w:space="0" w:color="auto"/>
            <w:right w:val="none" w:sz="0" w:space="0" w:color="auto"/>
          </w:divBdr>
        </w:div>
        <w:div w:id="20666786">
          <w:marLeft w:val="640"/>
          <w:marRight w:val="0"/>
          <w:marTop w:val="0"/>
          <w:marBottom w:val="0"/>
          <w:divBdr>
            <w:top w:val="none" w:sz="0" w:space="0" w:color="auto"/>
            <w:left w:val="none" w:sz="0" w:space="0" w:color="auto"/>
            <w:bottom w:val="none" w:sz="0" w:space="0" w:color="auto"/>
            <w:right w:val="none" w:sz="0" w:space="0" w:color="auto"/>
          </w:divBdr>
        </w:div>
        <w:div w:id="802161085">
          <w:marLeft w:val="640"/>
          <w:marRight w:val="0"/>
          <w:marTop w:val="0"/>
          <w:marBottom w:val="0"/>
          <w:divBdr>
            <w:top w:val="none" w:sz="0" w:space="0" w:color="auto"/>
            <w:left w:val="none" w:sz="0" w:space="0" w:color="auto"/>
            <w:bottom w:val="none" w:sz="0" w:space="0" w:color="auto"/>
            <w:right w:val="none" w:sz="0" w:space="0" w:color="auto"/>
          </w:divBdr>
        </w:div>
        <w:div w:id="873005545">
          <w:marLeft w:val="640"/>
          <w:marRight w:val="0"/>
          <w:marTop w:val="0"/>
          <w:marBottom w:val="0"/>
          <w:divBdr>
            <w:top w:val="none" w:sz="0" w:space="0" w:color="auto"/>
            <w:left w:val="none" w:sz="0" w:space="0" w:color="auto"/>
            <w:bottom w:val="none" w:sz="0" w:space="0" w:color="auto"/>
            <w:right w:val="none" w:sz="0" w:space="0" w:color="auto"/>
          </w:divBdr>
        </w:div>
        <w:div w:id="1105271606">
          <w:marLeft w:val="640"/>
          <w:marRight w:val="0"/>
          <w:marTop w:val="0"/>
          <w:marBottom w:val="0"/>
          <w:divBdr>
            <w:top w:val="none" w:sz="0" w:space="0" w:color="auto"/>
            <w:left w:val="none" w:sz="0" w:space="0" w:color="auto"/>
            <w:bottom w:val="none" w:sz="0" w:space="0" w:color="auto"/>
            <w:right w:val="none" w:sz="0" w:space="0" w:color="auto"/>
          </w:divBdr>
        </w:div>
        <w:div w:id="105781563">
          <w:marLeft w:val="640"/>
          <w:marRight w:val="0"/>
          <w:marTop w:val="0"/>
          <w:marBottom w:val="0"/>
          <w:divBdr>
            <w:top w:val="none" w:sz="0" w:space="0" w:color="auto"/>
            <w:left w:val="none" w:sz="0" w:space="0" w:color="auto"/>
            <w:bottom w:val="none" w:sz="0" w:space="0" w:color="auto"/>
            <w:right w:val="none" w:sz="0" w:space="0" w:color="auto"/>
          </w:divBdr>
        </w:div>
        <w:div w:id="237400374">
          <w:marLeft w:val="640"/>
          <w:marRight w:val="0"/>
          <w:marTop w:val="0"/>
          <w:marBottom w:val="0"/>
          <w:divBdr>
            <w:top w:val="none" w:sz="0" w:space="0" w:color="auto"/>
            <w:left w:val="none" w:sz="0" w:space="0" w:color="auto"/>
            <w:bottom w:val="none" w:sz="0" w:space="0" w:color="auto"/>
            <w:right w:val="none" w:sz="0" w:space="0" w:color="auto"/>
          </w:divBdr>
        </w:div>
        <w:div w:id="1016034665">
          <w:marLeft w:val="640"/>
          <w:marRight w:val="0"/>
          <w:marTop w:val="0"/>
          <w:marBottom w:val="0"/>
          <w:divBdr>
            <w:top w:val="none" w:sz="0" w:space="0" w:color="auto"/>
            <w:left w:val="none" w:sz="0" w:space="0" w:color="auto"/>
            <w:bottom w:val="none" w:sz="0" w:space="0" w:color="auto"/>
            <w:right w:val="none" w:sz="0" w:space="0" w:color="auto"/>
          </w:divBdr>
        </w:div>
        <w:div w:id="1670908382">
          <w:marLeft w:val="640"/>
          <w:marRight w:val="0"/>
          <w:marTop w:val="0"/>
          <w:marBottom w:val="0"/>
          <w:divBdr>
            <w:top w:val="none" w:sz="0" w:space="0" w:color="auto"/>
            <w:left w:val="none" w:sz="0" w:space="0" w:color="auto"/>
            <w:bottom w:val="none" w:sz="0" w:space="0" w:color="auto"/>
            <w:right w:val="none" w:sz="0" w:space="0" w:color="auto"/>
          </w:divBdr>
        </w:div>
        <w:div w:id="195578916">
          <w:marLeft w:val="640"/>
          <w:marRight w:val="0"/>
          <w:marTop w:val="0"/>
          <w:marBottom w:val="0"/>
          <w:divBdr>
            <w:top w:val="none" w:sz="0" w:space="0" w:color="auto"/>
            <w:left w:val="none" w:sz="0" w:space="0" w:color="auto"/>
            <w:bottom w:val="none" w:sz="0" w:space="0" w:color="auto"/>
            <w:right w:val="none" w:sz="0" w:space="0" w:color="auto"/>
          </w:divBdr>
        </w:div>
        <w:div w:id="385839962">
          <w:marLeft w:val="640"/>
          <w:marRight w:val="0"/>
          <w:marTop w:val="0"/>
          <w:marBottom w:val="0"/>
          <w:divBdr>
            <w:top w:val="none" w:sz="0" w:space="0" w:color="auto"/>
            <w:left w:val="none" w:sz="0" w:space="0" w:color="auto"/>
            <w:bottom w:val="none" w:sz="0" w:space="0" w:color="auto"/>
            <w:right w:val="none" w:sz="0" w:space="0" w:color="auto"/>
          </w:divBdr>
        </w:div>
        <w:div w:id="2130782820">
          <w:marLeft w:val="640"/>
          <w:marRight w:val="0"/>
          <w:marTop w:val="0"/>
          <w:marBottom w:val="0"/>
          <w:divBdr>
            <w:top w:val="none" w:sz="0" w:space="0" w:color="auto"/>
            <w:left w:val="none" w:sz="0" w:space="0" w:color="auto"/>
            <w:bottom w:val="none" w:sz="0" w:space="0" w:color="auto"/>
            <w:right w:val="none" w:sz="0" w:space="0" w:color="auto"/>
          </w:divBdr>
        </w:div>
        <w:div w:id="1384209936">
          <w:marLeft w:val="640"/>
          <w:marRight w:val="0"/>
          <w:marTop w:val="0"/>
          <w:marBottom w:val="0"/>
          <w:divBdr>
            <w:top w:val="none" w:sz="0" w:space="0" w:color="auto"/>
            <w:left w:val="none" w:sz="0" w:space="0" w:color="auto"/>
            <w:bottom w:val="none" w:sz="0" w:space="0" w:color="auto"/>
            <w:right w:val="none" w:sz="0" w:space="0" w:color="auto"/>
          </w:divBdr>
        </w:div>
        <w:div w:id="483619409">
          <w:marLeft w:val="640"/>
          <w:marRight w:val="0"/>
          <w:marTop w:val="0"/>
          <w:marBottom w:val="0"/>
          <w:divBdr>
            <w:top w:val="none" w:sz="0" w:space="0" w:color="auto"/>
            <w:left w:val="none" w:sz="0" w:space="0" w:color="auto"/>
            <w:bottom w:val="none" w:sz="0" w:space="0" w:color="auto"/>
            <w:right w:val="none" w:sz="0" w:space="0" w:color="auto"/>
          </w:divBdr>
        </w:div>
        <w:div w:id="1067337370">
          <w:marLeft w:val="640"/>
          <w:marRight w:val="0"/>
          <w:marTop w:val="0"/>
          <w:marBottom w:val="0"/>
          <w:divBdr>
            <w:top w:val="none" w:sz="0" w:space="0" w:color="auto"/>
            <w:left w:val="none" w:sz="0" w:space="0" w:color="auto"/>
            <w:bottom w:val="none" w:sz="0" w:space="0" w:color="auto"/>
            <w:right w:val="none" w:sz="0" w:space="0" w:color="auto"/>
          </w:divBdr>
        </w:div>
        <w:div w:id="547767252">
          <w:marLeft w:val="640"/>
          <w:marRight w:val="0"/>
          <w:marTop w:val="0"/>
          <w:marBottom w:val="0"/>
          <w:divBdr>
            <w:top w:val="none" w:sz="0" w:space="0" w:color="auto"/>
            <w:left w:val="none" w:sz="0" w:space="0" w:color="auto"/>
            <w:bottom w:val="none" w:sz="0" w:space="0" w:color="auto"/>
            <w:right w:val="none" w:sz="0" w:space="0" w:color="auto"/>
          </w:divBdr>
        </w:div>
        <w:div w:id="673728459">
          <w:marLeft w:val="640"/>
          <w:marRight w:val="0"/>
          <w:marTop w:val="0"/>
          <w:marBottom w:val="0"/>
          <w:divBdr>
            <w:top w:val="none" w:sz="0" w:space="0" w:color="auto"/>
            <w:left w:val="none" w:sz="0" w:space="0" w:color="auto"/>
            <w:bottom w:val="none" w:sz="0" w:space="0" w:color="auto"/>
            <w:right w:val="none" w:sz="0" w:space="0" w:color="auto"/>
          </w:divBdr>
        </w:div>
        <w:div w:id="1625044495">
          <w:marLeft w:val="640"/>
          <w:marRight w:val="0"/>
          <w:marTop w:val="0"/>
          <w:marBottom w:val="0"/>
          <w:divBdr>
            <w:top w:val="none" w:sz="0" w:space="0" w:color="auto"/>
            <w:left w:val="none" w:sz="0" w:space="0" w:color="auto"/>
            <w:bottom w:val="none" w:sz="0" w:space="0" w:color="auto"/>
            <w:right w:val="none" w:sz="0" w:space="0" w:color="auto"/>
          </w:divBdr>
        </w:div>
        <w:div w:id="55469951">
          <w:marLeft w:val="640"/>
          <w:marRight w:val="0"/>
          <w:marTop w:val="0"/>
          <w:marBottom w:val="0"/>
          <w:divBdr>
            <w:top w:val="none" w:sz="0" w:space="0" w:color="auto"/>
            <w:left w:val="none" w:sz="0" w:space="0" w:color="auto"/>
            <w:bottom w:val="none" w:sz="0" w:space="0" w:color="auto"/>
            <w:right w:val="none" w:sz="0" w:space="0" w:color="auto"/>
          </w:divBdr>
        </w:div>
        <w:div w:id="337735056">
          <w:marLeft w:val="640"/>
          <w:marRight w:val="0"/>
          <w:marTop w:val="0"/>
          <w:marBottom w:val="0"/>
          <w:divBdr>
            <w:top w:val="none" w:sz="0" w:space="0" w:color="auto"/>
            <w:left w:val="none" w:sz="0" w:space="0" w:color="auto"/>
            <w:bottom w:val="none" w:sz="0" w:space="0" w:color="auto"/>
            <w:right w:val="none" w:sz="0" w:space="0" w:color="auto"/>
          </w:divBdr>
        </w:div>
        <w:div w:id="1732386551">
          <w:marLeft w:val="640"/>
          <w:marRight w:val="0"/>
          <w:marTop w:val="0"/>
          <w:marBottom w:val="0"/>
          <w:divBdr>
            <w:top w:val="none" w:sz="0" w:space="0" w:color="auto"/>
            <w:left w:val="none" w:sz="0" w:space="0" w:color="auto"/>
            <w:bottom w:val="none" w:sz="0" w:space="0" w:color="auto"/>
            <w:right w:val="none" w:sz="0" w:space="0" w:color="auto"/>
          </w:divBdr>
        </w:div>
        <w:div w:id="2121141102">
          <w:marLeft w:val="640"/>
          <w:marRight w:val="0"/>
          <w:marTop w:val="0"/>
          <w:marBottom w:val="0"/>
          <w:divBdr>
            <w:top w:val="none" w:sz="0" w:space="0" w:color="auto"/>
            <w:left w:val="none" w:sz="0" w:space="0" w:color="auto"/>
            <w:bottom w:val="none" w:sz="0" w:space="0" w:color="auto"/>
            <w:right w:val="none" w:sz="0" w:space="0" w:color="auto"/>
          </w:divBdr>
        </w:div>
        <w:div w:id="123357667">
          <w:marLeft w:val="640"/>
          <w:marRight w:val="0"/>
          <w:marTop w:val="0"/>
          <w:marBottom w:val="0"/>
          <w:divBdr>
            <w:top w:val="none" w:sz="0" w:space="0" w:color="auto"/>
            <w:left w:val="none" w:sz="0" w:space="0" w:color="auto"/>
            <w:bottom w:val="none" w:sz="0" w:space="0" w:color="auto"/>
            <w:right w:val="none" w:sz="0" w:space="0" w:color="auto"/>
          </w:divBdr>
        </w:div>
        <w:div w:id="459686760">
          <w:marLeft w:val="640"/>
          <w:marRight w:val="0"/>
          <w:marTop w:val="0"/>
          <w:marBottom w:val="0"/>
          <w:divBdr>
            <w:top w:val="none" w:sz="0" w:space="0" w:color="auto"/>
            <w:left w:val="none" w:sz="0" w:space="0" w:color="auto"/>
            <w:bottom w:val="none" w:sz="0" w:space="0" w:color="auto"/>
            <w:right w:val="none" w:sz="0" w:space="0" w:color="auto"/>
          </w:divBdr>
        </w:div>
        <w:div w:id="358244625">
          <w:marLeft w:val="640"/>
          <w:marRight w:val="0"/>
          <w:marTop w:val="0"/>
          <w:marBottom w:val="0"/>
          <w:divBdr>
            <w:top w:val="none" w:sz="0" w:space="0" w:color="auto"/>
            <w:left w:val="none" w:sz="0" w:space="0" w:color="auto"/>
            <w:bottom w:val="none" w:sz="0" w:space="0" w:color="auto"/>
            <w:right w:val="none" w:sz="0" w:space="0" w:color="auto"/>
          </w:divBdr>
        </w:div>
        <w:div w:id="1603611312">
          <w:marLeft w:val="640"/>
          <w:marRight w:val="0"/>
          <w:marTop w:val="0"/>
          <w:marBottom w:val="0"/>
          <w:divBdr>
            <w:top w:val="none" w:sz="0" w:space="0" w:color="auto"/>
            <w:left w:val="none" w:sz="0" w:space="0" w:color="auto"/>
            <w:bottom w:val="none" w:sz="0" w:space="0" w:color="auto"/>
            <w:right w:val="none" w:sz="0" w:space="0" w:color="auto"/>
          </w:divBdr>
        </w:div>
        <w:div w:id="880942002">
          <w:marLeft w:val="640"/>
          <w:marRight w:val="0"/>
          <w:marTop w:val="0"/>
          <w:marBottom w:val="0"/>
          <w:divBdr>
            <w:top w:val="none" w:sz="0" w:space="0" w:color="auto"/>
            <w:left w:val="none" w:sz="0" w:space="0" w:color="auto"/>
            <w:bottom w:val="none" w:sz="0" w:space="0" w:color="auto"/>
            <w:right w:val="none" w:sz="0" w:space="0" w:color="auto"/>
          </w:divBdr>
        </w:div>
        <w:div w:id="56246462">
          <w:marLeft w:val="640"/>
          <w:marRight w:val="0"/>
          <w:marTop w:val="0"/>
          <w:marBottom w:val="0"/>
          <w:divBdr>
            <w:top w:val="none" w:sz="0" w:space="0" w:color="auto"/>
            <w:left w:val="none" w:sz="0" w:space="0" w:color="auto"/>
            <w:bottom w:val="none" w:sz="0" w:space="0" w:color="auto"/>
            <w:right w:val="none" w:sz="0" w:space="0" w:color="auto"/>
          </w:divBdr>
        </w:div>
        <w:div w:id="1128627268">
          <w:marLeft w:val="640"/>
          <w:marRight w:val="0"/>
          <w:marTop w:val="0"/>
          <w:marBottom w:val="0"/>
          <w:divBdr>
            <w:top w:val="none" w:sz="0" w:space="0" w:color="auto"/>
            <w:left w:val="none" w:sz="0" w:space="0" w:color="auto"/>
            <w:bottom w:val="none" w:sz="0" w:space="0" w:color="auto"/>
            <w:right w:val="none" w:sz="0" w:space="0" w:color="auto"/>
          </w:divBdr>
        </w:div>
        <w:div w:id="1661079706">
          <w:marLeft w:val="640"/>
          <w:marRight w:val="0"/>
          <w:marTop w:val="0"/>
          <w:marBottom w:val="0"/>
          <w:divBdr>
            <w:top w:val="none" w:sz="0" w:space="0" w:color="auto"/>
            <w:left w:val="none" w:sz="0" w:space="0" w:color="auto"/>
            <w:bottom w:val="none" w:sz="0" w:space="0" w:color="auto"/>
            <w:right w:val="none" w:sz="0" w:space="0" w:color="auto"/>
          </w:divBdr>
        </w:div>
        <w:div w:id="1666660823">
          <w:marLeft w:val="640"/>
          <w:marRight w:val="0"/>
          <w:marTop w:val="0"/>
          <w:marBottom w:val="0"/>
          <w:divBdr>
            <w:top w:val="none" w:sz="0" w:space="0" w:color="auto"/>
            <w:left w:val="none" w:sz="0" w:space="0" w:color="auto"/>
            <w:bottom w:val="none" w:sz="0" w:space="0" w:color="auto"/>
            <w:right w:val="none" w:sz="0" w:space="0" w:color="auto"/>
          </w:divBdr>
        </w:div>
        <w:div w:id="89667527">
          <w:marLeft w:val="640"/>
          <w:marRight w:val="0"/>
          <w:marTop w:val="0"/>
          <w:marBottom w:val="0"/>
          <w:divBdr>
            <w:top w:val="none" w:sz="0" w:space="0" w:color="auto"/>
            <w:left w:val="none" w:sz="0" w:space="0" w:color="auto"/>
            <w:bottom w:val="none" w:sz="0" w:space="0" w:color="auto"/>
            <w:right w:val="none" w:sz="0" w:space="0" w:color="auto"/>
          </w:divBdr>
        </w:div>
        <w:div w:id="1400249408">
          <w:marLeft w:val="640"/>
          <w:marRight w:val="0"/>
          <w:marTop w:val="0"/>
          <w:marBottom w:val="0"/>
          <w:divBdr>
            <w:top w:val="none" w:sz="0" w:space="0" w:color="auto"/>
            <w:left w:val="none" w:sz="0" w:space="0" w:color="auto"/>
            <w:bottom w:val="none" w:sz="0" w:space="0" w:color="auto"/>
            <w:right w:val="none" w:sz="0" w:space="0" w:color="auto"/>
          </w:divBdr>
        </w:div>
        <w:div w:id="1555852193">
          <w:marLeft w:val="640"/>
          <w:marRight w:val="0"/>
          <w:marTop w:val="0"/>
          <w:marBottom w:val="0"/>
          <w:divBdr>
            <w:top w:val="none" w:sz="0" w:space="0" w:color="auto"/>
            <w:left w:val="none" w:sz="0" w:space="0" w:color="auto"/>
            <w:bottom w:val="none" w:sz="0" w:space="0" w:color="auto"/>
            <w:right w:val="none" w:sz="0" w:space="0" w:color="auto"/>
          </w:divBdr>
        </w:div>
        <w:div w:id="496649428">
          <w:marLeft w:val="640"/>
          <w:marRight w:val="0"/>
          <w:marTop w:val="0"/>
          <w:marBottom w:val="0"/>
          <w:divBdr>
            <w:top w:val="none" w:sz="0" w:space="0" w:color="auto"/>
            <w:left w:val="none" w:sz="0" w:space="0" w:color="auto"/>
            <w:bottom w:val="none" w:sz="0" w:space="0" w:color="auto"/>
            <w:right w:val="none" w:sz="0" w:space="0" w:color="auto"/>
          </w:divBdr>
        </w:div>
        <w:div w:id="646083374">
          <w:marLeft w:val="640"/>
          <w:marRight w:val="0"/>
          <w:marTop w:val="0"/>
          <w:marBottom w:val="0"/>
          <w:divBdr>
            <w:top w:val="none" w:sz="0" w:space="0" w:color="auto"/>
            <w:left w:val="none" w:sz="0" w:space="0" w:color="auto"/>
            <w:bottom w:val="none" w:sz="0" w:space="0" w:color="auto"/>
            <w:right w:val="none" w:sz="0" w:space="0" w:color="auto"/>
          </w:divBdr>
        </w:div>
        <w:div w:id="1601255051">
          <w:marLeft w:val="640"/>
          <w:marRight w:val="0"/>
          <w:marTop w:val="0"/>
          <w:marBottom w:val="0"/>
          <w:divBdr>
            <w:top w:val="none" w:sz="0" w:space="0" w:color="auto"/>
            <w:left w:val="none" w:sz="0" w:space="0" w:color="auto"/>
            <w:bottom w:val="none" w:sz="0" w:space="0" w:color="auto"/>
            <w:right w:val="none" w:sz="0" w:space="0" w:color="auto"/>
          </w:divBdr>
        </w:div>
        <w:div w:id="88896044">
          <w:marLeft w:val="640"/>
          <w:marRight w:val="0"/>
          <w:marTop w:val="0"/>
          <w:marBottom w:val="0"/>
          <w:divBdr>
            <w:top w:val="none" w:sz="0" w:space="0" w:color="auto"/>
            <w:left w:val="none" w:sz="0" w:space="0" w:color="auto"/>
            <w:bottom w:val="none" w:sz="0" w:space="0" w:color="auto"/>
            <w:right w:val="none" w:sz="0" w:space="0" w:color="auto"/>
          </w:divBdr>
        </w:div>
        <w:div w:id="478890548">
          <w:marLeft w:val="640"/>
          <w:marRight w:val="0"/>
          <w:marTop w:val="0"/>
          <w:marBottom w:val="0"/>
          <w:divBdr>
            <w:top w:val="none" w:sz="0" w:space="0" w:color="auto"/>
            <w:left w:val="none" w:sz="0" w:space="0" w:color="auto"/>
            <w:bottom w:val="none" w:sz="0" w:space="0" w:color="auto"/>
            <w:right w:val="none" w:sz="0" w:space="0" w:color="auto"/>
          </w:divBdr>
        </w:div>
        <w:div w:id="1441295930">
          <w:marLeft w:val="640"/>
          <w:marRight w:val="0"/>
          <w:marTop w:val="0"/>
          <w:marBottom w:val="0"/>
          <w:divBdr>
            <w:top w:val="none" w:sz="0" w:space="0" w:color="auto"/>
            <w:left w:val="none" w:sz="0" w:space="0" w:color="auto"/>
            <w:bottom w:val="none" w:sz="0" w:space="0" w:color="auto"/>
            <w:right w:val="none" w:sz="0" w:space="0" w:color="auto"/>
          </w:divBdr>
        </w:div>
        <w:div w:id="1263606141">
          <w:marLeft w:val="640"/>
          <w:marRight w:val="0"/>
          <w:marTop w:val="0"/>
          <w:marBottom w:val="0"/>
          <w:divBdr>
            <w:top w:val="none" w:sz="0" w:space="0" w:color="auto"/>
            <w:left w:val="none" w:sz="0" w:space="0" w:color="auto"/>
            <w:bottom w:val="none" w:sz="0" w:space="0" w:color="auto"/>
            <w:right w:val="none" w:sz="0" w:space="0" w:color="auto"/>
          </w:divBdr>
        </w:div>
        <w:div w:id="1310356992">
          <w:marLeft w:val="640"/>
          <w:marRight w:val="0"/>
          <w:marTop w:val="0"/>
          <w:marBottom w:val="0"/>
          <w:divBdr>
            <w:top w:val="none" w:sz="0" w:space="0" w:color="auto"/>
            <w:left w:val="none" w:sz="0" w:space="0" w:color="auto"/>
            <w:bottom w:val="none" w:sz="0" w:space="0" w:color="auto"/>
            <w:right w:val="none" w:sz="0" w:space="0" w:color="auto"/>
          </w:divBdr>
        </w:div>
        <w:div w:id="141624827">
          <w:marLeft w:val="640"/>
          <w:marRight w:val="0"/>
          <w:marTop w:val="0"/>
          <w:marBottom w:val="0"/>
          <w:divBdr>
            <w:top w:val="none" w:sz="0" w:space="0" w:color="auto"/>
            <w:left w:val="none" w:sz="0" w:space="0" w:color="auto"/>
            <w:bottom w:val="none" w:sz="0" w:space="0" w:color="auto"/>
            <w:right w:val="none" w:sz="0" w:space="0" w:color="auto"/>
          </w:divBdr>
        </w:div>
        <w:div w:id="2091266336">
          <w:marLeft w:val="640"/>
          <w:marRight w:val="0"/>
          <w:marTop w:val="0"/>
          <w:marBottom w:val="0"/>
          <w:divBdr>
            <w:top w:val="none" w:sz="0" w:space="0" w:color="auto"/>
            <w:left w:val="none" w:sz="0" w:space="0" w:color="auto"/>
            <w:bottom w:val="none" w:sz="0" w:space="0" w:color="auto"/>
            <w:right w:val="none" w:sz="0" w:space="0" w:color="auto"/>
          </w:divBdr>
        </w:div>
        <w:div w:id="876966808">
          <w:marLeft w:val="640"/>
          <w:marRight w:val="0"/>
          <w:marTop w:val="0"/>
          <w:marBottom w:val="0"/>
          <w:divBdr>
            <w:top w:val="none" w:sz="0" w:space="0" w:color="auto"/>
            <w:left w:val="none" w:sz="0" w:space="0" w:color="auto"/>
            <w:bottom w:val="none" w:sz="0" w:space="0" w:color="auto"/>
            <w:right w:val="none" w:sz="0" w:space="0" w:color="auto"/>
          </w:divBdr>
        </w:div>
        <w:div w:id="1133408524">
          <w:marLeft w:val="640"/>
          <w:marRight w:val="0"/>
          <w:marTop w:val="0"/>
          <w:marBottom w:val="0"/>
          <w:divBdr>
            <w:top w:val="none" w:sz="0" w:space="0" w:color="auto"/>
            <w:left w:val="none" w:sz="0" w:space="0" w:color="auto"/>
            <w:bottom w:val="none" w:sz="0" w:space="0" w:color="auto"/>
            <w:right w:val="none" w:sz="0" w:space="0" w:color="auto"/>
          </w:divBdr>
        </w:div>
        <w:div w:id="61490690">
          <w:marLeft w:val="640"/>
          <w:marRight w:val="0"/>
          <w:marTop w:val="0"/>
          <w:marBottom w:val="0"/>
          <w:divBdr>
            <w:top w:val="none" w:sz="0" w:space="0" w:color="auto"/>
            <w:left w:val="none" w:sz="0" w:space="0" w:color="auto"/>
            <w:bottom w:val="none" w:sz="0" w:space="0" w:color="auto"/>
            <w:right w:val="none" w:sz="0" w:space="0" w:color="auto"/>
          </w:divBdr>
        </w:div>
        <w:div w:id="1469972826">
          <w:marLeft w:val="640"/>
          <w:marRight w:val="0"/>
          <w:marTop w:val="0"/>
          <w:marBottom w:val="0"/>
          <w:divBdr>
            <w:top w:val="none" w:sz="0" w:space="0" w:color="auto"/>
            <w:left w:val="none" w:sz="0" w:space="0" w:color="auto"/>
            <w:bottom w:val="none" w:sz="0" w:space="0" w:color="auto"/>
            <w:right w:val="none" w:sz="0" w:space="0" w:color="auto"/>
          </w:divBdr>
        </w:div>
        <w:div w:id="1603878470">
          <w:marLeft w:val="640"/>
          <w:marRight w:val="0"/>
          <w:marTop w:val="0"/>
          <w:marBottom w:val="0"/>
          <w:divBdr>
            <w:top w:val="none" w:sz="0" w:space="0" w:color="auto"/>
            <w:left w:val="none" w:sz="0" w:space="0" w:color="auto"/>
            <w:bottom w:val="none" w:sz="0" w:space="0" w:color="auto"/>
            <w:right w:val="none" w:sz="0" w:space="0" w:color="auto"/>
          </w:divBdr>
        </w:div>
        <w:div w:id="349332077">
          <w:marLeft w:val="640"/>
          <w:marRight w:val="0"/>
          <w:marTop w:val="0"/>
          <w:marBottom w:val="0"/>
          <w:divBdr>
            <w:top w:val="none" w:sz="0" w:space="0" w:color="auto"/>
            <w:left w:val="none" w:sz="0" w:space="0" w:color="auto"/>
            <w:bottom w:val="none" w:sz="0" w:space="0" w:color="auto"/>
            <w:right w:val="none" w:sz="0" w:space="0" w:color="auto"/>
          </w:divBdr>
        </w:div>
        <w:div w:id="179006225">
          <w:marLeft w:val="640"/>
          <w:marRight w:val="0"/>
          <w:marTop w:val="0"/>
          <w:marBottom w:val="0"/>
          <w:divBdr>
            <w:top w:val="none" w:sz="0" w:space="0" w:color="auto"/>
            <w:left w:val="none" w:sz="0" w:space="0" w:color="auto"/>
            <w:bottom w:val="none" w:sz="0" w:space="0" w:color="auto"/>
            <w:right w:val="none" w:sz="0" w:space="0" w:color="auto"/>
          </w:divBdr>
        </w:div>
        <w:div w:id="495539459">
          <w:marLeft w:val="640"/>
          <w:marRight w:val="0"/>
          <w:marTop w:val="0"/>
          <w:marBottom w:val="0"/>
          <w:divBdr>
            <w:top w:val="none" w:sz="0" w:space="0" w:color="auto"/>
            <w:left w:val="none" w:sz="0" w:space="0" w:color="auto"/>
            <w:bottom w:val="none" w:sz="0" w:space="0" w:color="auto"/>
            <w:right w:val="none" w:sz="0" w:space="0" w:color="auto"/>
          </w:divBdr>
        </w:div>
        <w:div w:id="1701080086">
          <w:marLeft w:val="640"/>
          <w:marRight w:val="0"/>
          <w:marTop w:val="0"/>
          <w:marBottom w:val="0"/>
          <w:divBdr>
            <w:top w:val="none" w:sz="0" w:space="0" w:color="auto"/>
            <w:left w:val="none" w:sz="0" w:space="0" w:color="auto"/>
            <w:bottom w:val="none" w:sz="0" w:space="0" w:color="auto"/>
            <w:right w:val="none" w:sz="0" w:space="0" w:color="auto"/>
          </w:divBdr>
        </w:div>
        <w:div w:id="726688742">
          <w:marLeft w:val="640"/>
          <w:marRight w:val="0"/>
          <w:marTop w:val="0"/>
          <w:marBottom w:val="0"/>
          <w:divBdr>
            <w:top w:val="none" w:sz="0" w:space="0" w:color="auto"/>
            <w:left w:val="none" w:sz="0" w:space="0" w:color="auto"/>
            <w:bottom w:val="none" w:sz="0" w:space="0" w:color="auto"/>
            <w:right w:val="none" w:sz="0" w:space="0" w:color="auto"/>
          </w:divBdr>
        </w:div>
        <w:div w:id="509150014">
          <w:marLeft w:val="640"/>
          <w:marRight w:val="0"/>
          <w:marTop w:val="0"/>
          <w:marBottom w:val="0"/>
          <w:divBdr>
            <w:top w:val="none" w:sz="0" w:space="0" w:color="auto"/>
            <w:left w:val="none" w:sz="0" w:space="0" w:color="auto"/>
            <w:bottom w:val="none" w:sz="0" w:space="0" w:color="auto"/>
            <w:right w:val="none" w:sz="0" w:space="0" w:color="auto"/>
          </w:divBdr>
        </w:div>
        <w:div w:id="1594123826">
          <w:marLeft w:val="640"/>
          <w:marRight w:val="0"/>
          <w:marTop w:val="0"/>
          <w:marBottom w:val="0"/>
          <w:divBdr>
            <w:top w:val="none" w:sz="0" w:space="0" w:color="auto"/>
            <w:left w:val="none" w:sz="0" w:space="0" w:color="auto"/>
            <w:bottom w:val="none" w:sz="0" w:space="0" w:color="auto"/>
            <w:right w:val="none" w:sz="0" w:space="0" w:color="auto"/>
          </w:divBdr>
        </w:div>
        <w:div w:id="975640960">
          <w:marLeft w:val="640"/>
          <w:marRight w:val="0"/>
          <w:marTop w:val="0"/>
          <w:marBottom w:val="0"/>
          <w:divBdr>
            <w:top w:val="none" w:sz="0" w:space="0" w:color="auto"/>
            <w:left w:val="none" w:sz="0" w:space="0" w:color="auto"/>
            <w:bottom w:val="none" w:sz="0" w:space="0" w:color="auto"/>
            <w:right w:val="none" w:sz="0" w:space="0" w:color="auto"/>
          </w:divBdr>
        </w:div>
        <w:div w:id="1473712519">
          <w:marLeft w:val="640"/>
          <w:marRight w:val="0"/>
          <w:marTop w:val="0"/>
          <w:marBottom w:val="0"/>
          <w:divBdr>
            <w:top w:val="none" w:sz="0" w:space="0" w:color="auto"/>
            <w:left w:val="none" w:sz="0" w:space="0" w:color="auto"/>
            <w:bottom w:val="none" w:sz="0" w:space="0" w:color="auto"/>
            <w:right w:val="none" w:sz="0" w:space="0" w:color="auto"/>
          </w:divBdr>
        </w:div>
        <w:div w:id="2058697700">
          <w:marLeft w:val="640"/>
          <w:marRight w:val="0"/>
          <w:marTop w:val="0"/>
          <w:marBottom w:val="0"/>
          <w:divBdr>
            <w:top w:val="none" w:sz="0" w:space="0" w:color="auto"/>
            <w:left w:val="none" w:sz="0" w:space="0" w:color="auto"/>
            <w:bottom w:val="none" w:sz="0" w:space="0" w:color="auto"/>
            <w:right w:val="none" w:sz="0" w:space="0" w:color="auto"/>
          </w:divBdr>
        </w:div>
        <w:div w:id="1180847579">
          <w:marLeft w:val="640"/>
          <w:marRight w:val="0"/>
          <w:marTop w:val="0"/>
          <w:marBottom w:val="0"/>
          <w:divBdr>
            <w:top w:val="none" w:sz="0" w:space="0" w:color="auto"/>
            <w:left w:val="none" w:sz="0" w:space="0" w:color="auto"/>
            <w:bottom w:val="none" w:sz="0" w:space="0" w:color="auto"/>
            <w:right w:val="none" w:sz="0" w:space="0" w:color="auto"/>
          </w:divBdr>
        </w:div>
        <w:div w:id="2009600152">
          <w:marLeft w:val="640"/>
          <w:marRight w:val="0"/>
          <w:marTop w:val="0"/>
          <w:marBottom w:val="0"/>
          <w:divBdr>
            <w:top w:val="none" w:sz="0" w:space="0" w:color="auto"/>
            <w:left w:val="none" w:sz="0" w:space="0" w:color="auto"/>
            <w:bottom w:val="none" w:sz="0" w:space="0" w:color="auto"/>
            <w:right w:val="none" w:sz="0" w:space="0" w:color="auto"/>
          </w:divBdr>
        </w:div>
        <w:div w:id="887373139">
          <w:marLeft w:val="640"/>
          <w:marRight w:val="0"/>
          <w:marTop w:val="0"/>
          <w:marBottom w:val="0"/>
          <w:divBdr>
            <w:top w:val="none" w:sz="0" w:space="0" w:color="auto"/>
            <w:left w:val="none" w:sz="0" w:space="0" w:color="auto"/>
            <w:bottom w:val="none" w:sz="0" w:space="0" w:color="auto"/>
            <w:right w:val="none" w:sz="0" w:space="0" w:color="auto"/>
          </w:divBdr>
        </w:div>
        <w:div w:id="937056019">
          <w:marLeft w:val="640"/>
          <w:marRight w:val="0"/>
          <w:marTop w:val="0"/>
          <w:marBottom w:val="0"/>
          <w:divBdr>
            <w:top w:val="none" w:sz="0" w:space="0" w:color="auto"/>
            <w:left w:val="none" w:sz="0" w:space="0" w:color="auto"/>
            <w:bottom w:val="none" w:sz="0" w:space="0" w:color="auto"/>
            <w:right w:val="none" w:sz="0" w:space="0" w:color="auto"/>
          </w:divBdr>
        </w:div>
        <w:div w:id="122895202">
          <w:marLeft w:val="640"/>
          <w:marRight w:val="0"/>
          <w:marTop w:val="0"/>
          <w:marBottom w:val="0"/>
          <w:divBdr>
            <w:top w:val="none" w:sz="0" w:space="0" w:color="auto"/>
            <w:left w:val="none" w:sz="0" w:space="0" w:color="auto"/>
            <w:bottom w:val="none" w:sz="0" w:space="0" w:color="auto"/>
            <w:right w:val="none" w:sz="0" w:space="0" w:color="auto"/>
          </w:divBdr>
        </w:div>
        <w:div w:id="844319251">
          <w:marLeft w:val="640"/>
          <w:marRight w:val="0"/>
          <w:marTop w:val="0"/>
          <w:marBottom w:val="0"/>
          <w:divBdr>
            <w:top w:val="none" w:sz="0" w:space="0" w:color="auto"/>
            <w:left w:val="none" w:sz="0" w:space="0" w:color="auto"/>
            <w:bottom w:val="none" w:sz="0" w:space="0" w:color="auto"/>
            <w:right w:val="none" w:sz="0" w:space="0" w:color="auto"/>
          </w:divBdr>
        </w:div>
        <w:div w:id="1693649912">
          <w:marLeft w:val="640"/>
          <w:marRight w:val="0"/>
          <w:marTop w:val="0"/>
          <w:marBottom w:val="0"/>
          <w:divBdr>
            <w:top w:val="none" w:sz="0" w:space="0" w:color="auto"/>
            <w:left w:val="none" w:sz="0" w:space="0" w:color="auto"/>
            <w:bottom w:val="none" w:sz="0" w:space="0" w:color="auto"/>
            <w:right w:val="none" w:sz="0" w:space="0" w:color="auto"/>
          </w:divBdr>
        </w:div>
        <w:div w:id="974918756">
          <w:marLeft w:val="640"/>
          <w:marRight w:val="0"/>
          <w:marTop w:val="0"/>
          <w:marBottom w:val="0"/>
          <w:divBdr>
            <w:top w:val="none" w:sz="0" w:space="0" w:color="auto"/>
            <w:left w:val="none" w:sz="0" w:space="0" w:color="auto"/>
            <w:bottom w:val="none" w:sz="0" w:space="0" w:color="auto"/>
            <w:right w:val="none" w:sz="0" w:space="0" w:color="auto"/>
          </w:divBdr>
        </w:div>
        <w:div w:id="1245258764">
          <w:marLeft w:val="640"/>
          <w:marRight w:val="0"/>
          <w:marTop w:val="0"/>
          <w:marBottom w:val="0"/>
          <w:divBdr>
            <w:top w:val="none" w:sz="0" w:space="0" w:color="auto"/>
            <w:left w:val="none" w:sz="0" w:space="0" w:color="auto"/>
            <w:bottom w:val="none" w:sz="0" w:space="0" w:color="auto"/>
            <w:right w:val="none" w:sz="0" w:space="0" w:color="auto"/>
          </w:divBdr>
        </w:div>
        <w:div w:id="2013489306">
          <w:marLeft w:val="640"/>
          <w:marRight w:val="0"/>
          <w:marTop w:val="0"/>
          <w:marBottom w:val="0"/>
          <w:divBdr>
            <w:top w:val="none" w:sz="0" w:space="0" w:color="auto"/>
            <w:left w:val="none" w:sz="0" w:space="0" w:color="auto"/>
            <w:bottom w:val="none" w:sz="0" w:space="0" w:color="auto"/>
            <w:right w:val="none" w:sz="0" w:space="0" w:color="auto"/>
          </w:divBdr>
        </w:div>
        <w:div w:id="1989020266">
          <w:marLeft w:val="640"/>
          <w:marRight w:val="0"/>
          <w:marTop w:val="0"/>
          <w:marBottom w:val="0"/>
          <w:divBdr>
            <w:top w:val="none" w:sz="0" w:space="0" w:color="auto"/>
            <w:left w:val="none" w:sz="0" w:space="0" w:color="auto"/>
            <w:bottom w:val="none" w:sz="0" w:space="0" w:color="auto"/>
            <w:right w:val="none" w:sz="0" w:space="0" w:color="auto"/>
          </w:divBdr>
        </w:div>
        <w:div w:id="420689234">
          <w:marLeft w:val="640"/>
          <w:marRight w:val="0"/>
          <w:marTop w:val="0"/>
          <w:marBottom w:val="0"/>
          <w:divBdr>
            <w:top w:val="none" w:sz="0" w:space="0" w:color="auto"/>
            <w:left w:val="none" w:sz="0" w:space="0" w:color="auto"/>
            <w:bottom w:val="none" w:sz="0" w:space="0" w:color="auto"/>
            <w:right w:val="none" w:sz="0" w:space="0" w:color="auto"/>
          </w:divBdr>
        </w:div>
        <w:div w:id="486169564">
          <w:marLeft w:val="640"/>
          <w:marRight w:val="0"/>
          <w:marTop w:val="0"/>
          <w:marBottom w:val="0"/>
          <w:divBdr>
            <w:top w:val="none" w:sz="0" w:space="0" w:color="auto"/>
            <w:left w:val="none" w:sz="0" w:space="0" w:color="auto"/>
            <w:bottom w:val="none" w:sz="0" w:space="0" w:color="auto"/>
            <w:right w:val="none" w:sz="0" w:space="0" w:color="auto"/>
          </w:divBdr>
        </w:div>
        <w:div w:id="761072270">
          <w:marLeft w:val="640"/>
          <w:marRight w:val="0"/>
          <w:marTop w:val="0"/>
          <w:marBottom w:val="0"/>
          <w:divBdr>
            <w:top w:val="none" w:sz="0" w:space="0" w:color="auto"/>
            <w:left w:val="none" w:sz="0" w:space="0" w:color="auto"/>
            <w:bottom w:val="none" w:sz="0" w:space="0" w:color="auto"/>
            <w:right w:val="none" w:sz="0" w:space="0" w:color="auto"/>
          </w:divBdr>
        </w:div>
        <w:div w:id="1818842826">
          <w:marLeft w:val="640"/>
          <w:marRight w:val="0"/>
          <w:marTop w:val="0"/>
          <w:marBottom w:val="0"/>
          <w:divBdr>
            <w:top w:val="none" w:sz="0" w:space="0" w:color="auto"/>
            <w:left w:val="none" w:sz="0" w:space="0" w:color="auto"/>
            <w:bottom w:val="none" w:sz="0" w:space="0" w:color="auto"/>
            <w:right w:val="none" w:sz="0" w:space="0" w:color="auto"/>
          </w:divBdr>
        </w:div>
        <w:div w:id="796726160">
          <w:marLeft w:val="640"/>
          <w:marRight w:val="0"/>
          <w:marTop w:val="0"/>
          <w:marBottom w:val="0"/>
          <w:divBdr>
            <w:top w:val="none" w:sz="0" w:space="0" w:color="auto"/>
            <w:left w:val="none" w:sz="0" w:space="0" w:color="auto"/>
            <w:bottom w:val="none" w:sz="0" w:space="0" w:color="auto"/>
            <w:right w:val="none" w:sz="0" w:space="0" w:color="auto"/>
          </w:divBdr>
        </w:div>
        <w:div w:id="390077806">
          <w:marLeft w:val="640"/>
          <w:marRight w:val="0"/>
          <w:marTop w:val="0"/>
          <w:marBottom w:val="0"/>
          <w:divBdr>
            <w:top w:val="none" w:sz="0" w:space="0" w:color="auto"/>
            <w:left w:val="none" w:sz="0" w:space="0" w:color="auto"/>
            <w:bottom w:val="none" w:sz="0" w:space="0" w:color="auto"/>
            <w:right w:val="none" w:sz="0" w:space="0" w:color="auto"/>
          </w:divBdr>
        </w:div>
        <w:div w:id="431705695">
          <w:marLeft w:val="640"/>
          <w:marRight w:val="0"/>
          <w:marTop w:val="0"/>
          <w:marBottom w:val="0"/>
          <w:divBdr>
            <w:top w:val="none" w:sz="0" w:space="0" w:color="auto"/>
            <w:left w:val="none" w:sz="0" w:space="0" w:color="auto"/>
            <w:bottom w:val="none" w:sz="0" w:space="0" w:color="auto"/>
            <w:right w:val="none" w:sz="0" w:space="0" w:color="auto"/>
          </w:divBdr>
        </w:div>
        <w:div w:id="1032220911">
          <w:marLeft w:val="640"/>
          <w:marRight w:val="0"/>
          <w:marTop w:val="0"/>
          <w:marBottom w:val="0"/>
          <w:divBdr>
            <w:top w:val="none" w:sz="0" w:space="0" w:color="auto"/>
            <w:left w:val="none" w:sz="0" w:space="0" w:color="auto"/>
            <w:bottom w:val="none" w:sz="0" w:space="0" w:color="auto"/>
            <w:right w:val="none" w:sz="0" w:space="0" w:color="auto"/>
          </w:divBdr>
        </w:div>
        <w:div w:id="697464905">
          <w:marLeft w:val="640"/>
          <w:marRight w:val="0"/>
          <w:marTop w:val="0"/>
          <w:marBottom w:val="0"/>
          <w:divBdr>
            <w:top w:val="none" w:sz="0" w:space="0" w:color="auto"/>
            <w:left w:val="none" w:sz="0" w:space="0" w:color="auto"/>
            <w:bottom w:val="none" w:sz="0" w:space="0" w:color="auto"/>
            <w:right w:val="none" w:sz="0" w:space="0" w:color="auto"/>
          </w:divBdr>
        </w:div>
        <w:div w:id="744763487">
          <w:marLeft w:val="640"/>
          <w:marRight w:val="0"/>
          <w:marTop w:val="0"/>
          <w:marBottom w:val="0"/>
          <w:divBdr>
            <w:top w:val="none" w:sz="0" w:space="0" w:color="auto"/>
            <w:left w:val="none" w:sz="0" w:space="0" w:color="auto"/>
            <w:bottom w:val="none" w:sz="0" w:space="0" w:color="auto"/>
            <w:right w:val="none" w:sz="0" w:space="0" w:color="auto"/>
          </w:divBdr>
        </w:div>
        <w:div w:id="1288509290">
          <w:marLeft w:val="640"/>
          <w:marRight w:val="0"/>
          <w:marTop w:val="0"/>
          <w:marBottom w:val="0"/>
          <w:divBdr>
            <w:top w:val="none" w:sz="0" w:space="0" w:color="auto"/>
            <w:left w:val="none" w:sz="0" w:space="0" w:color="auto"/>
            <w:bottom w:val="none" w:sz="0" w:space="0" w:color="auto"/>
            <w:right w:val="none" w:sz="0" w:space="0" w:color="auto"/>
          </w:divBdr>
        </w:div>
        <w:div w:id="1410729444">
          <w:marLeft w:val="640"/>
          <w:marRight w:val="0"/>
          <w:marTop w:val="0"/>
          <w:marBottom w:val="0"/>
          <w:divBdr>
            <w:top w:val="none" w:sz="0" w:space="0" w:color="auto"/>
            <w:left w:val="none" w:sz="0" w:space="0" w:color="auto"/>
            <w:bottom w:val="none" w:sz="0" w:space="0" w:color="auto"/>
            <w:right w:val="none" w:sz="0" w:space="0" w:color="auto"/>
          </w:divBdr>
        </w:div>
        <w:div w:id="412581444">
          <w:marLeft w:val="640"/>
          <w:marRight w:val="0"/>
          <w:marTop w:val="0"/>
          <w:marBottom w:val="0"/>
          <w:divBdr>
            <w:top w:val="none" w:sz="0" w:space="0" w:color="auto"/>
            <w:left w:val="none" w:sz="0" w:space="0" w:color="auto"/>
            <w:bottom w:val="none" w:sz="0" w:space="0" w:color="auto"/>
            <w:right w:val="none" w:sz="0" w:space="0" w:color="auto"/>
          </w:divBdr>
        </w:div>
        <w:div w:id="481778443">
          <w:marLeft w:val="640"/>
          <w:marRight w:val="0"/>
          <w:marTop w:val="0"/>
          <w:marBottom w:val="0"/>
          <w:divBdr>
            <w:top w:val="none" w:sz="0" w:space="0" w:color="auto"/>
            <w:left w:val="none" w:sz="0" w:space="0" w:color="auto"/>
            <w:bottom w:val="none" w:sz="0" w:space="0" w:color="auto"/>
            <w:right w:val="none" w:sz="0" w:space="0" w:color="auto"/>
          </w:divBdr>
        </w:div>
        <w:div w:id="1708021909">
          <w:marLeft w:val="640"/>
          <w:marRight w:val="0"/>
          <w:marTop w:val="0"/>
          <w:marBottom w:val="0"/>
          <w:divBdr>
            <w:top w:val="none" w:sz="0" w:space="0" w:color="auto"/>
            <w:left w:val="none" w:sz="0" w:space="0" w:color="auto"/>
            <w:bottom w:val="none" w:sz="0" w:space="0" w:color="auto"/>
            <w:right w:val="none" w:sz="0" w:space="0" w:color="auto"/>
          </w:divBdr>
        </w:div>
        <w:div w:id="1980761402">
          <w:marLeft w:val="640"/>
          <w:marRight w:val="0"/>
          <w:marTop w:val="0"/>
          <w:marBottom w:val="0"/>
          <w:divBdr>
            <w:top w:val="none" w:sz="0" w:space="0" w:color="auto"/>
            <w:left w:val="none" w:sz="0" w:space="0" w:color="auto"/>
            <w:bottom w:val="none" w:sz="0" w:space="0" w:color="auto"/>
            <w:right w:val="none" w:sz="0" w:space="0" w:color="auto"/>
          </w:divBdr>
        </w:div>
        <w:div w:id="2133862269">
          <w:marLeft w:val="640"/>
          <w:marRight w:val="0"/>
          <w:marTop w:val="0"/>
          <w:marBottom w:val="0"/>
          <w:divBdr>
            <w:top w:val="none" w:sz="0" w:space="0" w:color="auto"/>
            <w:left w:val="none" w:sz="0" w:space="0" w:color="auto"/>
            <w:bottom w:val="none" w:sz="0" w:space="0" w:color="auto"/>
            <w:right w:val="none" w:sz="0" w:space="0" w:color="auto"/>
          </w:divBdr>
        </w:div>
        <w:div w:id="1782917713">
          <w:marLeft w:val="640"/>
          <w:marRight w:val="0"/>
          <w:marTop w:val="0"/>
          <w:marBottom w:val="0"/>
          <w:divBdr>
            <w:top w:val="none" w:sz="0" w:space="0" w:color="auto"/>
            <w:left w:val="none" w:sz="0" w:space="0" w:color="auto"/>
            <w:bottom w:val="none" w:sz="0" w:space="0" w:color="auto"/>
            <w:right w:val="none" w:sz="0" w:space="0" w:color="auto"/>
          </w:divBdr>
        </w:div>
        <w:div w:id="2096589927">
          <w:marLeft w:val="640"/>
          <w:marRight w:val="0"/>
          <w:marTop w:val="0"/>
          <w:marBottom w:val="0"/>
          <w:divBdr>
            <w:top w:val="none" w:sz="0" w:space="0" w:color="auto"/>
            <w:left w:val="none" w:sz="0" w:space="0" w:color="auto"/>
            <w:bottom w:val="none" w:sz="0" w:space="0" w:color="auto"/>
            <w:right w:val="none" w:sz="0" w:space="0" w:color="auto"/>
          </w:divBdr>
        </w:div>
        <w:div w:id="1555659126">
          <w:marLeft w:val="640"/>
          <w:marRight w:val="0"/>
          <w:marTop w:val="0"/>
          <w:marBottom w:val="0"/>
          <w:divBdr>
            <w:top w:val="none" w:sz="0" w:space="0" w:color="auto"/>
            <w:left w:val="none" w:sz="0" w:space="0" w:color="auto"/>
            <w:bottom w:val="none" w:sz="0" w:space="0" w:color="auto"/>
            <w:right w:val="none" w:sz="0" w:space="0" w:color="auto"/>
          </w:divBdr>
        </w:div>
        <w:div w:id="1084061596">
          <w:marLeft w:val="640"/>
          <w:marRight w:val="0"/>
          <w:marTop w:val="0"/>
          <w:marBottom w:val="0"/>
          <w:divBdr>
            <w:top w:val="none" w:sz="0" w:space="0" w:color="auto"/>
            <w:left w:val="none" w:sz="0" w:space="0" w:color="auto"/>
            <w:bottom w:val="none" w:sz="0" w:space="0" w:color="auto"/>
            <w:right w:val="none" w:sz="0" w:space="0" w:color="auto"/>
          </w:divBdr>
        </w:div>
        <w:div w:id="1360858697">
          <w:marLeft w:val="640"/>
          <w:marRight w:val="0"/>
          <w:marTop w:val="0"/>
          <w:marBottom w:val="0"/>
          <w:divBdr>
            <w:top w:val="none" w:sz="0" w:space="0" w:color="auto"/>
            <w:left w:val="none" w:sz="0" w:space="0" w:color="auto"/>
            <w:bottom w:val="none" w:sz="0" w:space="0" w:color="auto"/>
            <w:right w:val="none" w:sz="0" w:space="0" w:color="auto"/>
          </w:divBdr>
        </w:div>
        <w:div w:id="150103478">
          <w:marLeft w:val="640"/>
          <w:marRight w:val="0"/>
          <w:marTop w:val="0"/>
          <w:marBottom w:val="0"/>
          <w:divBdr>
            <w:top w:val="none" w:sz="0" w:space="0" w:color="auto"/>
            <w:left w:val="none" w:sz="0" w:space="0" w:color="auto"/>
            <w:bottom w:val="none" w:sz="0" w:space="0" w:color="auto"/>
            <w:right w:val="none" w:sz="0" w:space="0" w:color="auto"/>
          </w:divBdr>
        </w:div>
        <w:div w:id="323510150">
          <w:marLeft w:val="640"/>
          <w:marRight w:val="0"/>
          <w:marTop w:val="0"/>
          <w:marBottom w:val="0"/>
          <w:divBdr>
            <w:top w:val="none" w:sz="0" w:space="0" w:color="auto"/>
            <w:left w:val="none" w:sz="0" w:space="0" w:color="auto"/>
            <w:bottom w:val="none" w:sz="0" w:space="0" w:color="auto"/>
            <w:right w:val="none" w:sz="0" w:space="0" w:color="auto"/>
          </w:divBdr>
        </w:div>
        <w:div w:id="1308052277">
          <w:marLeft w:val="640"/>
          <w:marRight w:val="0"/>
          <w:marTop w:val="0"/>
          <w:marBottom w:val="0"/>
          <w:divBdr>
            <w:top w:val="none" w:sz="0" w:space="0" w:color="auto"/>
            <w:left w:val="none" w:sz="0" w:space="0" w:color="auto"/>
            <w:bottom w:val="none" w:sz="0" w:space="0" w:color="auto"/>
            <w:right w:val="none" w:sz="0" w:space="0" w:color="auto"/>
          </w:divBdr>
        </w:div>
        <w:div w:id="1446655480">
          <w:marLeft w:val="640"/>
          <w:marRight w:val="0"/>
          <w:marTop w:val="0"/>
          <w:marBottom w:val="0"/>
          <w:divBdr>
            <w:top w:val="none" w:sz="0" w:space="0" w:color="auto"/>
            <w:left w:val="none" w:sz="0" w:space="0" w:color="auto"/>
            <w:bottom w:val="none" w:sz="0" w:space="0" w:color="auto"/>
            <w:right w:val="none" w:sz="0" w:space="0" w:color="auto"/>
          </w:divBdr>
        </w:div>
        <w:div w:id="188182159">
          <w:marLeft w:val="640"/>
          <w:marRight w:val="0"/>
          <w:marTop w:val="0"/>
          <w:marBottom w:val="0"/>
          <w:divBdr>
            <w:top w:val="none" w:sz="0" w:space="0" w:color="auto"/>
            <w:left w:val="none" w:sz="0" w:space="0" w:color="auto"/>
            <w:bottom w:val="none" w:sz="0" w:space="0" w:color="auto"/>
            <w:right w:val="none" w:sz="0" w:space="0" w:color="auto"/>
          </w:divBdr>
        </w:div>
        <w:div w:id="229311246">
          <w:marLeft w:val="640"/>
          <w:marRight w:val="0"/>
          <w:marTop w:val="0"/>
          <w:marBottom w:val="0"/>
          <w:divBdr>
            <w:top w:val="none" w:sz="0" w:space="0" w:color="auto"/>
            <w:left w:val="none" w:sz="0" w:space="0" w:color="auto"/>
            <w:bottom w:val="none" w:sz="0" w:space="0" w:color="auto"/>
            <w:right w:val="none" w:sz="0" w:space="0" w:color="auto"/>
          </w:divBdr>
        </w:div>
        <w:div w:id="1071272605">
          <w:marLeft w:val="640"/>
          <w:marRight w:val="0"/>
          <w:marTop w:val="0"/>
          <w:marBottom w:val="0"/>
          <w:divBdr>
            <w:top w:val="none" w:sz="0" w:space="0" w:color="auto"/>
            <w:left w:val="none" w:sz="0" w:space="0" w:color="auto"/>
            <w:bottom w:val="none" w:sz="0" w:space="0" w:color="auto"/>
            <w:right w:val="none" w:sz="0" w:space="0" w:color="auto"/>
          </w:divBdr>
        </w:div>
        <w:div w:id="1669944617">
          <w:marLeft w:val="640"/>
          <w:marRight w:val="0"/>
          <w:marTop w:val="0"/>
          <w:marBottom w:val="0"/>
          <w:divBdr>
            <w:top w:val="none" w:sz="0" w:space="0" w:color="auto"/>
            <w:left w:val="none" w:sz="0" w:space="0" w:color="auto"/>
            <w:bottom w:val="none" w:sz="0" w:space="0" w:color="auto"/>
            <w:right w:val="none" w:sz="0" w:space="0" w:color="auto"/>
          </w:divBdr>
        </w:div>
        <w:div w:id="647243203">
          <w:marLeft w:val="640"/>
          <w:marRight w:val="0"/>
          <w:marTop w:val="0"/>
          <w:marBottom w:val="0"/>
          <w:divBdr>
            <w:top w:val="none" w:sz="0" w:space="0" w:color="auto"/>
            <w:left w:val="none" w:sz="0" w:space="0" w:color="auto"/>
            <w:bottom w:val="none" w:sz="0" w:space="0" w:color="auto"/>
            <w:right w:val="none" w:sz="0" w:space="0" w:color="auto"/>
          </w:divBdr>
        </w:div>
        <w:div w:id="1030448759">
          <w:marLeft w:val="640"/>
          <w:marRight w:val="0"/>
          <w:marTop w:val="0"/>
          <w:marBottom w:val="0"/>
          <w:divBdr>
            <w:top w:val="none" w:sz="0" w:space="0" w:color="auto"/>
            <w:left w:val="none" w:sz="0" w:space="0" w:color="auto"/>
            <w:bottom w:val="none" w:sz="0" w:space="0" w:color="auto"/>
            <w:right w:val="none" w:sz="0" w:space="0" w:color="auto"/>
          </w:divBdr>
        </w:div>
        <w:div w:id="481241679">
          <w:marLeft w:val="640"/>
          <w:marRight w:val="0"/>
          <w:marTop w:val="0"/>
          <w:marBottom w:val="0"/>
          <w:divBdr>
            <w:top w:val="none" w:sz="0" w:space="0" w:color="auto"/>
            <w:left w:val="none" w:sz="0" w:space="0" w:color="auto"/>
            <w:bottom w:val="none" w:sz="0" w:space="0" w:color="auto"/>
            <w:right w:val="none" w:sz="0" w:space="0" w:color="auto"/>
          </w:divBdr>
        </w:div>
        <w:div w:id="588856551">
          <w:marLeft w:val="640"/>
          <w:marRight w:val="0"/>
          <w:marTop w:val="0"/>
          <w:marBottom w:val="0"/>
          <w:divBdr>
            <w:top w:val="none" w:sz="0" w:space="0" w:color="auto"/>
            <w:left w:val="none" w:sz="0" w:space="0" w:color="auto"/>
            <w:bottom w:val="none" w:sz="0" w:space="0" w:color="auto"/>
            <w:right w:val="none" w:sz="0" w:space="0" w:color="auto"/>
          </w:divBdr>
        </w:div>
        <w:div w:id="1948730854">
          <w:marLeft w:val="640"/>
          <w:marRight w:val="0"/>
          <w:marTop w:val="0"/>
          <w:marBottom w:val="0"/>
          <w:divBdr>
            <w:top w:val="none" w:sz="0" w:space="0" w:color="auto"/>
            <w:left w:val="none" w:sz="0" w:space="0" w:color="auto"/>
            <w:bottom w:val="none" w:sz="0" w:space="0" w:color="auto"/>
            <w:right w:val="none" w:sz="0" w:space="0" w:color="auto"/>
          </w:divBdr>
        </w:div>
        <w:div w:id="386612970">
          <w:marLeft w:val="640"/>
          <w:marRight w:val="0"/>
          <w:marTop w:val="0"/>
          <w:marBottom w:val="0"/>
          <w:divBdr>
            <w:top w:val="none" w:sz="0" w:space="0" w:color="auto"/>
            <w:left w:val="none" w:sz="0" w:space="0" w:color="auto"/>
            <w:bottom w:val="none" w:sz="0" w:space="0" w:color="auto"/>
            <w:right w:val="none" w:sz="0" w:space="0" w:color="auto"/>
          </w:divBdr>
        </w:div>
        <w:div w:id="1061903906">
          <w:marLeft w:val="640"/>
          <w:marRight w:val="0"/>
          <w:marTop w:val="0"/>
          <w:marBottom w:val="0"/>
          <w:divBdr>
            <w:top w:val="none" w:sz="0" w:space="0" w:color="auto"/>
            <w:left w:val="none" w:sz="0" w:space="0" w:color="auto"/>
            <w:bottom w:val="none" w:sz="0" w:space="0" w:color="auto"/>
            <w:right w:val="none" w:sz="0" w:space="0" w:color="auto"/>
          </w:divBdr>
        </w:div>
        <w:div w:id="1901087470">
          <w:marLeft w:val="640"/>
          <w:marRight w:val="0"/>
          <w:marTop w:val="0"/>
          <w:marBottom w:val="0"/>
          <w:divBdr>
            <w:top w:val="none" w:sz="0" w:space="0" w:color="auto"/>
            <w:left w:val="none" w:sz="0" w:space="0" w:color="auto"/>
            <w:bottom w:val="none" w:sz="0" w:space="0" w:color="auto"/>
            <w:right w:val="none" w:sz="0" w:space="0" w:color="auto"/>
          </w:divBdr>
        </w:div>
        <w:div w:id="723483329">
          <w:marLeft w:val="640"/>
          <w:marRight w:val="0"/>
          <w:marTop w:val="0"/>
          <w:marBottom w:val="0"/>
          <w:divBdr>
            <w:top w:val="none" w:sz="0" w:space="0" w:color="auto"/>
            <w:left w:val="none" w:sz="0" w:space="0" w:color="auto"/>
            <w:bottom w:val="none" w:sz="0" w:space="0" w:color="auto"/>
            <w:right w:val="none" w:sz="0" w:space="0" w:color="auto"/>
          </w:divBdr>
        </w:div>
        <w:div w:id="1533573665">
          <w:marLeft w:val="640"/>
          <w:marRight w:val="0"/>
          <w:marTop w:val="0"/>
          <w:marBottom w:val="0"/>
          <w:divBdr>
            <w:top w:val="none" w:sz="0" w:space="0" w:color="auto"/>
            <w:left w:val="none" w:sz="0" w:space="0" w:color="auto"/>
            <w:bottom w:val="none" w:sz="0" w:space="0" w:color="auto"/>
            <w:right w:val="none" w:sz="0" w:space="0" w:color="auto"/>
          </w:divBdr>
        </w:div>
        <w:div w:id="1928422482">
          <w:marLeft w:val="640"/>
          <w:marRight w:val="0"/>
          <w:marTop w:val="0"/>
          <w:marBottom w:val="0"/>
          <w:divBdr>
            <w:top w:val="none" w:sz="0" w:space="0" w:color="auto"/>
            <w:left w:val="none" w:sz="0" w:space="0" w:color="auto"/>
            <w:bottom w:val="none" w:sz="0" w:space="0" w:color="auto"/>
            <w:right w:val="none" w:sz="0" w:space="0" w:color="auto"/>
          </w:divBdr>
        </w:div>
        <w:div w:id="1008289188">
          <w:marLeft w:val="640"/>
          <w:marRight w:val="0"/>
          <w:marTop w:val="0"/>
          <w:marBottom w:val="0"/>
          <w:divBdr>
            <w:top w:val="none" w:sz="0" w:space="0" w:color="auto"/>
            <w:left w:val="none" w:sz="0" w:space="0" w:color="auto"/>
            <w:bottom w:val="none" w:sz="0" w:space="0" w:color="auto"/>
            <w:right w:val="none" w:sz="0" w:space="0" w:color="auto"/>
          </w:divBdr>
        </w:div>
        <w:div w:id="884218136">
          <w:marLeft w:val="640"/>
          <w:marRight w:val="0"/>
          <w:marTop w:val="0"/>
          <w:marBottom w:val="0"/>
          <w:divBdr>
            <w:top w:val="none" w:sz="0" w:space="0" w:color="auto"/>
            <w:left w:val="none" w:sz="0" w:space="0" w:color="auto"/>
            <w:bottom w:val="none" w:sz="0" w:space="0" w:color="auto"/>
            <w:right w:val="none" w:sz="0" w:space="0" w:color="auto"/>
          </w:divBdr>
        </w:div>
        <w:div w:id="900797018">
          <w:marLeft w:val="640"/>
          <w:marRight w:val="0"/>
          <w:marTop w:val="0"/>
          <w:marBottom w:val="0"/>
          <w:divBdr>
            <w:top w:val="none" w:sz="0" w:space="0" w:color="auto"/>
            <w:left w:val="none" w:sz="0" w:space="0" w:color="auto"/>
            <w:bottom w:val="none" w:sz="0" w:space="0" w:color="auto"/>
            <w:right w:val="none" w:sz="0" w:space="0" w:color="auto"/>
          </w:divBdr>
        </w:div>
        <w:div w:id="382405755">
          <w:marLeft w:val="640"/>
          <w:marRight w:val="0"/>
          <w:marTop w:val="0"/>
          <w:marBottom w:val="0"/>
          <w:divBdr>
            <w:top w:val="none" w:sz="0" w:space="0" w:color="auto"/>
            <w:left w:val="none" w:sz="0" w:space="0" w:color="auto"/>
            <w:bottom w:val="none" w:sz="0" w:space="0" w:color="auto"/>
            <w:right w:val="none" w:sz="0" w:space="0" w:color="auto"/>
          </w:divBdr>
        </w:div>
        <w:div w:id="1197156514">
          <w:marLeft w:val="640"/>
          <w:marRight w:val="0"/>
          <w:marTop w:val="0"/>
          <w:marBottom w:val="0"/>
          <w:divBdr>
            <w:top w:val="none" w:sz="0" w:space="0" w:color="auto"/>
            <w:left w:val="none" w:sz="0" w:space="0" w:color="auto"/>
            <w:bottom w:val="none" w:sz="0" w:space="0" w:color="auto"/>
            <w:right w:val="none" w:sz="0" w:space="0" w:color="auto"/>
          </w:divBdr>
        </w:div>
        <w:div w:id="1944141928">
          <w:marLeft w:val="640"/>
          <w:marRight w:val="0"/>
          <w:marTop w:val="0"/>
          <w:marBottom w:val="0"/>
          <w:divBdr>
            <w:top w:val="none" w:sz="0" w:space="0" w:color="auto"/>
            <w:left w:val="none" w:sz="0" w:space="0" w:color="auto"/>
            <w:bottom w:val="none" w:sz="0" w:space="0" w:color="auto"/>
            <w:right w:val="none" w:sz="0" w:space="0" w:color="auto"/>
          </w:divBdr>
        </w:div>
        <w:div w:id="24445564">
          <w:marLeft w:val="640"/>
          <w:marRight w:val="0"/>
          <w:marTop w:val="0"/>
          <w:marBottom w:val="0"/>
          <w:divBdr>
            <w:top w:val="none" w:sz="0" w:space="0" w:color="auto"/>
            <w:left w:val="none" w:sz="0" w:space="0" w:color="auto"/>
            <w:bottom w:val="none" w:sz="0" w:space="0" w:color="auto"/>
            <w:right w:val="none" w:sz="0" w:space="0" w:color="auto"/>
          </w:divBdr>
        </w:div>
        <w:div w:id="1258715531">
          <w:marLeft w:val="640"/>
          <w:marRight w:val="0"/>
          <w:marTop w:val="0"/>
          <w:marBottom w:val="0"/>
          <w:divBdr>
            <w:top w:val="none" w:sz="0" w:space="0" w:color="auto"/>
            <w:left w:val="none" w:sz="0" w:space="0" w:color="auto"/>
            <w:bottom w:val="none" w:sz="0" w:space="0" w:color="auto"/>
            <w:right w:val="none" w:sz="0" w:space="0" w:color="auto"/>
          </w:divBdr>
        </w:div>
        <w:div w:id="2087073398">
          <w:marLeft w:val="640"/>
          <w:marRight w:val="0"/>
          <w:marTop w:val="0"/>
          <w:marBottom w:val="0"/>
          <w:divBdr>
            <w:top w:val="none" w:sz="0" w:space="0" w:color="auto"/>
            <w:left w:val="none" w:sz="0" w:space="0" w:color="auto"/>
            <w:bottom w:val="none" w:sz="0" w:space="0" w:color="auto"/>
            <w:right w:val="none" w:sz="0" w:space="0" w:color="auto"/>
          </w:divBdr>
        </w:div>
        <w:div w:id="1997680663">
          <w:marLeft w:val="640"/>
          <w:marRight w:val="0"/>
          <w:marTop w:val="0"/>
          <w:marBottom w:val="0"/>
          <w:divBdr>
            <w:top w:val="none" w:sz="0" w:space="0" w:color="auto"/>
            <w:left w:val="none" w:sz="0" w:space="0" w:color="auto"/>
            <w:bottom w:val="none" w:sz="0" w:space="0" w:color="auto"/>
            <w:right w:val="none" w:sz="0" w:space="0" w:color="auto"/>
          </w:divBdr>
        </w:div>
        <w:div w:id="85150181">
          <w:marLeft w:val="640"/>
          <w:marRight w:val="0"/>
          <w:marTop w:val="0"/>
          <w:marBottom w:val="0"/>
          <w:divBdr>
            <w:top w:val="none" w:sz="0" w:space="0" w:color="auto"/>
            <w:left w:val="none" w:sz="0" w:space="0" w:color="auto"/>
            <w:bottom w:val="none" w:sz="0" w:space="0" w:color="auto"/>
            <w:right w:val="none" w:sz="0" w:space="0" w:color="auto"/>
          </w:divBdr>
        </w:div>
        <w:div w:id="2068259746">
          <w:marLeft w:val="640"/>
          <w:marRight w:val="0"/>
          <w:marTop w:val="0"/>
          <w:marBottom w:val="0"/>
          <w:divBdr>
            <w:top w:val="none" w:sz="0" w:space="0" w:color="auto"/>
            <w:left w:val="none" w:sz="0" w:space="0" w:color="auto"/>
            <w:bottom w:val="none" w:sz="0" w:space="0" w:color="auto"/>
            <w:right w:val="none" w:sz="0" w:space="0" w:color="auto"/>
          </w:divBdr>
        </w:div>
        <w:div w:id="328288045">
          <w:marLeft w:val="640"/>
          <w:marRight w:val="0"/>
          <w:marTop w:val="0"/>
          <w:marBottom w:val="0"/>
          <w:divBdr>
            <w:top w:val="none" w:sz="0" w:space="0" w:color="auto"/>
            <w:left w:val="none" w:sz="0" w:space="0" w:color="auto"/>
            <w:bottom w:val="none" w:sz="0" w:space="0" w:color="auto"/>
            <w:right w:val="none" w:sz="0" w:space="0" w:color="auto"/>
          </w:divBdr>
        </w:div>
        <w:div w:id="837385369">
          <w:marLeft w:val="640"/>
          <w:marRight w:val="0"/>
          <w:marTop w:val="0"/>
          <w:marBottom w:val="0"/>
          <w:divBdr>
            <w:top w:val="none" w:sz="0" w:space="0" w:color="auto"/>
            <w:left w:val="none" w:sz="0" w:space="0" w:color="auto"/>
            <w:bottom w:val="none" w:sz="0" w:space="0" w:color="auto"/>
            <w:right w:val="none" w:sz="0" w:space="0" w:color="auto"/>
          </w:divBdr>
        </w:div>
        <w:div w:id="835144356">
          <w:marLeft w:val="640"/>
          <w:marRight w:val="0"/>
          <w:marTop w:val="0"/>
          <w:marBottom w:val="0"/>
          <w:divBdr>
            <w:top w:val="none" w:sz="0" w:space="0" w:color="auto"/>
            <w:left w:val="none" w:sz="0" w:space="0" w:color="auto"/>
            <w:bottom w:val="none" w:sz="0" w:space="0" w:color="auto"/>
            <w:right w:val="none" w:sz="0" w:space="0" w:color="auto"/>
          </w:divBdr>
        </w:div>
        <w:div w:id="426272520">
          <w:marLeft w:val="640"/>
          <w:marRight w:val="0"/>
          <w:marTop w:val="0"/>
          <w:marBottom w:val="0"/>
          <w:divBdr>
            <w:top w:val="none" w:sz="0" w:space="0" w:color="auto"/>
            <w:left w:val="none" w:sz="0" w:space="0" w:color="auto"/>
            <w:bottom w:val="none" w:sz="0" w:space="0" w:color="auto"/>
            <w:right w:val="none" w:sz="0" w:space="0" w:color="auto"/>
          </w:divBdr>
        </w:div>
        <w:div w:id="912275583">
          <w:marLeft w:val="640"/>
          <w:marRight w:val="0"/>
          <w:marTop w:val="0"/>
          <w:marBottom w:val="0"/>
          <w:divBdr>
            <w:top w:val="none" w:sz="0" w:space="0" w:color="auto"/>
            <w:left w:val="none" w:sz="0" w:space="0" w:color="auto"/>
            <w:bottom w:val="none" w:sz="0" w:space="0" w:color="auto"/>
            <w:right w:val="none" w:sz="0" w:space="0" w:color="auto"/>
          </w:divBdr>
        </w:div>
        <w:div w:id="2121606265">
          <w:marLeft w:val="640"/>
          <w:marRight w:val="0"/>
          <w:marTop w:val="0"/>
          <w:marBottom w:val="0"/>
          <w:divBdr>
            <w:top w:val="none" w:sz="0" w:space="0" w:color="auto"/>
            <w:left w:val="none" w:sz="0" w:space="0" w:color="auto"/>
            <w:bottom w:val="none" w:sz="0" w:space="0" w:color="auto"/>
            <w:right w:val="none" w:sz="0" w:space="0" w:color="auto"/>
          </w:divBdr>
        </w:div>
        <w:div w:id="1313369347">
          <w:marLeft w:val="640"/>
          <w:marRight w:val="0"/>
          <w:marTop w:val="0"/>
          <w:marBottom w:val="0"/>
          <w:divBdr>
            <w:top w:val="none" w:sz="0" w:space="0" w:color="auto"/>
            <w:left w:val="none" w:sz="0" w:space="0" w:color="auto"/>
            <w:bottom w:val="none" w:sz="0" w:space="0" w:color="auto"/>
            <w:right w:val="none" w:sz="0" w:space="0" w:color="auto"/>
          </w:divBdr>
        </w:div>
        <w:div w:id="892666770">
          <w:marLeft w:val="640"/>
          <w:marRight w:val="0"/>
          <w:marTop w:val="0"/>
          <w:marBottom w:val="0"/>
          <w:divBdr>
            <w:top w:val="none" w:sz="0" w:space="0" w:color="auto"/>
            <w:left w:val="none" w:sz="0" w:space="0" w:color="auto"/>
            <w:bottom w:val="none" w:sz="0" w:space="0" w:color="auto"/>
            <w:right w:val="none" w:sz="0" w:space="0" w:color="auto"/>
          </w:divBdr>
        </w:div>
        <w:div w:id="231818637">
          <w:marLeft w:val="640"/>
          <w:marRight w:val="0"/>
          <w:marTop w:val="0"/>
          <w:marBottom w:val="0"/>
          <w:divBdr>
            <w:top w:val="none" w:sz="0" w:space="0" w:color="auto"/>
            <w:left w:val="none" w:sz="0" w:space="0" w:color="auto"/>
            <w:bottom w:val="none" w:sz="0" w:space="0" w:color="auto"/>
            <w:right w:val="none" w:sz="0" w:space="0" w:color="auto"/>
          </w:divBdr>
        </w:div>
        <w:div w:id="1560895777">
          <w:marLeft w:val="640"/>
          <w:marRight w:val="0"/>
          <w:marTop w:val="0"/>
          <w:marBottom w:val="0"/>
          <w:divBdr>
            <w:top w:val="none" w:sz="0" w:space="0" w:color="auto"/>
            <w:left w:val="none" w:sz="0" w:space="0" w:color="auto"/>
            <w:bottom w:val="none" w:sz="0" w:space="0" w:color="auto"/>
            <w:right w:val="none" w:sz="0" w:space="0" w:color="auto"/>
          </w:divBdr>
        </w:div>
        <w:div w:id="1554660673">
          <w:marLeft w:val="640"/>
          <w:marRight w:val="0"/>
          <w:marTop w:val="0"/>
          <w:marBottom w:val="0"/>
          <w:divBdr>
            <w:top w:val="none" w:sz="0" w:space="0" w:color="auto"/>
            <w:left w:val="none" w:sz="0" w:space="0" w:color="auto"/>
            <w:bottom w:val="none" w:sz="0" w:space="0" w:color="auto"/>
            <w:right w:val="none" w:sz="0" w:space="0" w:color="auto"/>
          </w:divBdr>
        </w:div>
        <w:div w:id="10376755">
          <w:marLeft w:val="640"/>
          <w:marRight w:val="0"/>
          <w:marTop w:val="0"/>
          <w:marBottom w:val="0"/>
          <w:divBdr>
            <w:top w:val="none" w:sz="0" w:space="0" w:color="auto"/>
            <w:left w:val="none" w:sz="0" w:space="0" w:color="auto"/>
            <w:bottom w:val="none" w:sz="0" w:space="0" w:color="auto"/>
            <w:right w:val="none" w:sz="0" w:space="0" w:color="auto"/>
          </w:divBdr>
        </w:div>
        <w:div w:id="2065566446">
          <w:marLeft w:val="640"/>
          <w:marRight w:val="0"/>
          <w:marTop w:val="0"/>
          <w:marBottom w:val="0"/>
          <w:divBdr>
            <w:top w:val="none" w:sz="0" w:space="0" w:color="auto"/>
            <w:left w:val="none" w:sz="0" w:space="0" w:color="auto"/>
            <w:bottom w:val="none" w:sz="0" w:space="0" w:color="auto"/>
            <w:right w:val="none" w:sz="0" w:space="0" w:color="auto"/>
          </w:divBdr>
        </w:div>
        <w:div w:id="1216089033">
          <w:marLeft w:val="640"/>
          <w:marRight w:val="0"/>
          <w:marTop w:val="0"/>
          <w:marBottom w:val="0"/>
          <w:divBdr>
            <w:top w:val="none" w:sz="0" w:space="0" w:color="auto"/>
            <w:left w:val="none" w:sz="0" w:space="0" w:color="auto"/>
            <w:bottom w:val="none" w:sz="0" w:space="0" w:color="auto"/>
            <w:right w:val="none" w:sz="0" w:space="0" w:color="auto"/>
          </w:divBdr>
        </w:div>
        <w:div w:id="872619049">
          <w:marLeft w:val="640"/>
          <w:marRight w:val="0"/>
          <w:marTop w:val="0"/>
          <w:marBottom w:val="0"/>
          <w:divBdr>
            <w:top w:val="none" w:sz="0" w:space="0" w:color="auto"/>
            <w:left w:val="none" w:sz="0" w:space="0" w:color="auto"/>
            <w:bottom w:val="none" w:sz="0" w:space="0" w:color="auto"/>
            <w:right w:val="none" w:sz="0" w:space="0" w:color="auto"/>
          </w:divBdr>
        </w:div>
        <w:div w:id="1576934888">
          <w:marLeft w:val="640"/>
          <w:marRight w:val="0"/>
          <w:marTop w:val="0"/>
          <w:marBottom w:val="0"/>
          <w:divBdr>
            <w:top w:val="none" w:sz="0" w:space="0" w:color="auto"/>
            <w:left w:val="none" w:sz="0" w:space="0" w:color="auto"/>
            <w:bottom w:val="none" w:sz="0" w:space="0" w:color="auto"/>
            <w:right w:val="none" w:sz="0" w:space="0" w:color="auto"/>
          </w:divBdr>
        </w:div>
        <w:div w:id="1426881932">
          <w:marLeft w:val="640"/>
          <w:marRight w:val="0"/>
          <w:marTop w:val="0"/>
          <w:marBottom w:val="0"/>
          <w:divBdr>
            <w:top w:val="none" w:sz="0" w:space="0" w:color="auto"/>
            <w:left w:val="none" w:sz="0" w:space="0" w:color="auto"/>
            <w:bottom w:val="none" w:sz="0" w:space="0" w:color="auto"/>
            <w:right w:val="none" w:sz="0" w:space="0" w:color="auto"/>
          </w:divBdr>
        </w:div>
        <w:div w:id="439299351">
          <w:marLeft w:val="640"/>
          <w:marRight w:val="0"/>
          <w:marTop w:val="0"/>
          <w:marBottom w:val="0"/>
          <w:divBdr>
            <w:top w:val="none" w:sz="0" w:space="0" w:color="auto"/>
            <w:left w:val="none" w:sz="0" w:space="0" w:color="auto"/>
            <w:bottom w:val="none" w:sz="0" w:space="0" w:color="auto"/>
            <w:right w:val="none" w:sz="0" w:space="0" w:color="auto"/>
          </w:divBdr>
        </w:div>
        <w:div w:id="1570457662">
          <w:marLeft w:val="640"/>
          <w:marRight w:val="0"/>
          <w:marTop w:val="0"/>
          <w:marBottom w:val="0"/>
          <w:divBdr>
            <w:top w:val="none" w:sz="0" w:space="0" w:color="auto"/>
            <w:left w:val="none" w:sz="0" w:space="0" w:color="auto"/>
            <w:bottom w:val="none" w:sz="0" w:space="0" w:color="auto"/>
            <w:right w:val="none" w:sz="0" w:space="0" w:color="auto"/>
          </w:divBdr>
        </w:div>
        <w:div w:id="562986992">
          <w:marLeft w:val="640"/>
          <w:marRight w:val="0"/>
          <w:marTop w:val="0"/>
          <w:marBottom w:val="0"/>
          <w:divBdr>
            <w:top w:val="none" w:sz="0" w:space="0" w:color="auto"/>
            <w:left w:val="none" w:sz="0" w:space="0" w:color="auto"/>
            <w:bottom w:val="none" w:sz="0" w:space="0" w:color="auto"/>
            <w:right w:val="none" w:sz="0" w:space="0" w:color="auto"/>
          </w:divBdr>
        </w:div>
        <w:div w:id="1259025625">
          <w:marLeft w:val="640"/>
          <w:marRight w:val="0"/>
          <w:marTop w:val="0"/>
          <w:marBottom w:val="0"/>
          <w:divBdr>
            <w:top w:val="none" w:sz="0" w:space="0" w:color="auto"/>
            <w:left w:val="none" w:sz="0" w:space="0" w:color="auto"/>
            <w:bottom w:val="none" w:sz="0" w:space="0" w:color="auto"/>
            <w:right w:val="none" w:sz="0" w:space="0" w:color="auto"/>
          </w:divBdr>
        </w:div>
        <w:div w:id="294944302">
          <w:marLeft w:val="640"/>
          <w:marRight w:val="0"/>
          <w:marTop w:val="0"/>
          <w:marBottom w:val="0"/>
          <w:divBdr>
            <w:top w:val="none" w:sz="0" w:space="0" w:color="auto"/>
            <w:left w:val="none" w:sz="0" w:space="0" w:color="auto"/>
            <w:bottom w:val="none" w:sz="0" w:space="0" w:color="auto"/>
            <w:right w:val="none" w:sz="0" w:space="0" w:color="auto"/>
          </w:divBdr>
        </w:div>
        <w:div w:id="1184519513">
          <w:marLeft w:val="640"/>
          <w:marRight w:val="0"/>
          <w:marTop w:val="0"/>
          <w:marBottom w:val="0"/>
          <w:divBdr>
            <w:top w:val="none" w:sz="0" w:space="0" w:color="auto"/>
            <w:left w:val="none" w:sz="0" w:space="0" w:color="auto"/>
            <w:bottom w:val="none" w:sz="0" w:space="0" w:color="auto"/>
            <w:right w:val="none" w:sz="0" w:space="0" w:color="auto"/>
          </w:divBdr>
        </w:div>
        <w:div w:id="1294360167">
          <w:marLeft w:val="640"/>
          <w:marRight w:val="0"/>
          <w:marTop w:val="0"/>
          <w:marBottom w:val="0"/>
          <w:divBdr>
            <w:top w:val="none" w:sz="0" w:space="0" w:color="auto"/>
            <w:left w:val="none" w:sz="0" w:space="0" w:color="auto"/>
            <w:bottom w:val="none" w:sz="0" w:space="0" w:color="auto"/>
            <w:right w:val="none" w:sz="0" w:space="0" w:color="auto"/>
          </w:divBdr>
        </w:div>
        <w:div w:id="792022996">
          <w:marLeft w:val="640"/>
          <w:marRight w:val="0"/>
          <w:marTop w:val="0"/>
          <w:marBottom w:val="0"/>
          <w:divBdr>
            <w:top w:val="none" w:sz="0" w:space="0" w:color="auto"/>
            <w:left w:val="none" w:sz="0" w:space="0" w:color="auto"/>
            <w:bottom w:val="none" w:sz="0" w:space="0" w:color="auto"/>
            <w:right w:val="none" w:sz="0" w:space="0" w:color="auto"/>
          </w:divBdr>
        </w:div>
        <w:div w:id="513761158">
          <w:marLeft w:val="640"/>
          <w:marRight w:val="0"/>
          <w:marTop w:val="0"/>
          <w:marBottom w:val="0"/>
          <w:divBdr>
            <w:top w:val="none" w:sz="0" w:space="0" w:color="auto"/>
            <w:left w:val="none" w:sz="0" w:space="0" w:color="auto"/>
            <w:bottom w:val="none" w:sz="0" w:space="0" w:color="auto"/>
            <w:right w:val="none" w:sz="0" w:space="0" w:color="auto"/>
          </w:divBdr>
        </w:div>
        <w:div w:id="697851413">
          <w:marLeft w:val="640"/>
          <w:marRight w:val="0"/>
          <w:marTop w:val="0"/>
          <w:marBottom w:val="0"/>
          <w:divBdr>
            <w:top w:val="none" w:sz="0" w:space="0" w:color="auto"/>
            <w:left w:val="none" w:sz="0" w:space="0" w:color="auto"/>
            <w:bottom w:val="none" w:sz="0" w:space="0" w:color="auto"/>
            <w:right w:val="none" w:sz="0" w:space="0" w:color="auto"/>
          </w:divBdr>
        </w:div>
        <w:div w:id="2085880734">
          <w:marLeft w:val="640"/>
          <w:marRight w:val="0"/>
          <w:marTop w:val="0"/>
          <w:marBottom w:val="0"/>
          <w:divBdr>
            <w:top w:val="none" w:sz="0" w:space="0" w:color="auto"/>
            <w:left w:val="none" w:sz="0" w:space="0" w:color="auto"/>
            <w:bottom w:val="none" w:sz="0" w:space="0" w:color="auto"/>
            <w:right w:val="none" w:sz="0" w:space="0" w:color="auto"/>
          </w:divBdr>
        </w:div>
        <w:div w:id="1356955482">
          <w:marLeft w:val="640"/>
          <w:marRight w:val="0"/>
          <w:marTop w:val="0"/>
          <w:marBottom w:val="0"/>
          <w:divBdr>
            <w:top w:val="none" w:sz="0" w:space="0" w:color="auto"/>
            <w:left w:val="none" w:sz="0" w:space="0" w:color="auto"/>
            <w:bottom w:val="none" w:sz="0" w:space="0" w:color="auto"/>
            <w:right w:val="none" w:sz="0" w:space="0" w:color="auto"/>
          </w:divBdr>
        </w:div>
        <w:div w:id="1333293820">
          <w:marLeft w:val="640"/>
          <w:marRight w:val="0"/>
          <w:marTop w:val="0"/>
          <w:marBottom w:val="0"/>
          <w:divBdr>
            <w:top w:val="none" w:sz="0" w:space="0" w:color="auto"/>
            <w:left w:val="none" w:sz="0" w:space="0" w:color="auto"/>
            <w:bottom w:val="none" w:sz="0" w:space="0" w:color="auto"/>
            <w:right w:val="none" w:sz="0" w:space="0" w:color="auto"/>
          </w:divBdr>
        </w:div>
        <w:div w:id="1441952250">
          <w:marLeft w:val="640"/>
          <w:marRight w:val="0"/>
          <w:marTop w:val="0"/>
          <w:marBottom w:val="0"/>
          <w:divBdr>
            <w:top w:val="none" w:sz="0" w:space="0" w:color="auto"/>
            <w:left w:val="none" w:sz="0" w:space="0" w:color="auto"/>
            <w:bottom w:val="none" w:sz="0" w:space="0" w:color="auto"/>
            <w:right w:val="none" w:sz="0" w:space="0" w:color="auto"/>
          </w:divBdr>
        </w:div>
        <w:div w:id="1008487970">
          <w:marLeft w:val="640"/>
          <w:marRight w:val="0"/>
          <w:marTop w:val="0"/>
          <w:marBottom w:val="0"/>
          <w:divBdr>
            <w:top w:val="none" w:sz="0" w:space="0" w:color="auto"/>
            <w:left w:val="none" w:sz="0" w:space="0" w:color="auto"/>
            <w:bottom w:val="none" w:sz="0" w:space="0" w:color="auto"/>
            <w:right w:val="none" w:sz="0" w:space="0" w:color="auto"/>
          </w:divBdr>
        </w:div>
        <w:div w:id="18094363">
          <w:marLeft w:val="640"/>
          <w:marRight w:val="0"/>
          <w:marTop w:val="0"/>
          <w:marBottom w:val="0"/>
          <w:divBdr>
            <w:top w:val="none" w:sz="0" w:space="0" w:color="auto"/>
            <w:left w:val="none" w:sz="0" w:space="0" w:color="auto"/>
            <w:bottom w:val="none" w:sz="0" w:space="0" w:color="auto"/>
            <w:right w:val="none" w:sz="0" w:space="0" w:color="auto"/>
          </w:divBdr>
        </w:div>
        <w:div w:id="562571014">
          <w:marLeft w:val="640"/>
          <w:marRight w:val="0"/>
          <w:marTop w:val="0"/>
          <w:marBottom w:val="0"/>
          <w:divBdr>
            <w:top w:val="none" w:sz="0" w:space="0" w:color="auto"/>
            <w:left w:val="none" w:sz="0" w:space="0" w:color="auto"/>
            <w:bottom w:val="none" w:sz="0" w:space="0" w:color="auto"/>
            <w:right w:val="none" w:sz="0" w:space="0" w:color="auto"/>
          </w:divBdr>
        </w:div>
        <w:div w:id="543295075">
          <w:marLeft w:val="640"/>
          <w:marRight w:val="0"/>
          <w:marTop w:val="0"/>
          <w:marBottom w:val="0"/>
          <w:divBdr>
            <w:top w:val="none" w:sz="0" w:space="0" w:color="auto"/>
            <w:left w:val="none" w:sz="0" w:space="0" w:color="auto"/>
            <w:bottom w:val="none" w:sz="0" w:space="0" w:color="auto"/>
            <w:right w:val="none" w:sz="0" w:space="0" w:color="auto"/>
          </w:divBdr>
        </w:div>
        <w:div w:id="518007300">
          <w:marLeft w:val="640"/>
          <w:marRight w:val="0"/>
          <w:marTop w:val="0"/>
          <w:marBottom w:val="0"/>
          <w:divBdr>
            <w:top w:val="none" w:sz="0" w:space="0" w:color="auto"/>
            <w:left w:val="none" w:sz="0" w:space="0" w:color="auto"/>
            <w:bottom w:val="none" w:sz="0" w:space="0" w:color="auto"/>
            <w:right w:val="none" w:sz="0" w:space="0" w:color="auto"/>
          </w:divBdr>
        </w:div>
        <w:div w:id="1746688455">
          <w:marLeft w:val="640"/>
          <w:marRight w:val="0"/>
          <w:marTop w:val="0"/>
          <w:marBottom w:val="0"/>
          <w:divBdr>
            <w:top w:val="none" w:sz="0" w:space="0" w:color="auto"/>
            <w:left w:val="none" w:sz="0" w:space="0" w:color="auto"/>
            <w:bottom w:val="none" w:sz="0" w:space="0" w:color="auto"/>
            <w:right w:val="none" w:sz="0" w:space="0" w:color="auto"/>
          </w:divBdr>
        </w:div>
        <w:div w:id="1118648637">
          <w:marLeft w:val="640"/>
          <w:marRight w:val="0"/>
          <w:marTop w:val="0"/>
          <w:marBottom w:val="0"/>
          <w:divBdr>
            <w:top w:val="none" w:sz="0" w:space="0" w:color="auto"/>
            <w:left w:val="none" w:sz="0" w:space="0" w:color="auto"/>
            <w:bottom w:val="none" w:sz="0" w:space="0" w:color="auto"/>
            <w:right w:val="none" w:sz="0" w:space="0" w:color="auto"/>
          </w:divBdr>
        </w:div>
        <w:div w:id="2135252868">
          <w:marLeft w:val="640"/>
          <w:marRight w:val="0"/>
          <w:marTop w:val="0"/>
          <w:marBottom w:val="0"/>
          <w:divBdr>
            <w:top w:val="none" w:sz="0" w:space="0" w:color="auto"/>
            <w:left w:val="none" w:sz="0" w:space="0" w:color="auto"/>
            <w:bottom w:val="none" w:sz="0" w:space="0" w:color="auto"/>
            <w:right w:val="none" w:sz="0" w:space="0" w:color="auto"/>
          </w:divBdr>
        </w:div>
        <w:div w:id="2096045871">
          <w:marLeft w:val="640"/>
          <w:marRight w:val="0"/>
          <w:marTop w:val="0"/>
          <w:marBottom w:val="0"/>
          <w:divBdr>
            <w:top w:val="none" w:sz="0" w:space="0" w:color="auto"/>
            <w:left w:val="none" w:sz="0" w:space="0" w:color="auto"/>
            <w:bottom w:val="none" w:sz="0" w:space="0" w:color="auto"/>
            <w:right w:val="none" w:sz="0" w:space="0" w:color="auto"/>
          </w:divBdr>
        </w:div>
        <w:div w:id="1443040178">
          <w:marLeft w:val="640"/>
          <w:marRight w:val="0"/>
          <w:marTop w:val="0"/>
          <w:marBottom w:val="0"/>
          <w:divBdr>
            <w:top w:val="none" w:sz="0" w:space="0" w:color="auto"/>
            <w:left w:val="none" w:sz="0" w:space="0" w:color="auto"/>
            <w:bottom w:val="none" w:sz="0" w:space="0" w:color="auto"/>
            <w:right w:val="none" w:sz="0" w:space="0" w:color="auto"/>
          </w:divBdr>
        </w:div>
        <w:div w:id="1217624289">
          <w:marLeft w:val="640"/>
          <w:marRight w:val="0"/>
          <w:marTop w:val="0"/>
          <w:marBottom w:val="0"/>
          <w:divBdr>
            <w:top w:val="none" w:sz="0" w:space="0" w:color="auto"/>
            <w:left w:val="none" w:sz="0" w:space="0" w:color="auto"/>
            <w:bottom w:val="none" w:sz="0" w:space="0" w:color="auto"/>
            <w:right w:val="none" w:sz="0" w:space="0" w:color="auto"/>
          </w:divBdr>
        </w:div>
        <w:div w:id="94863150">
          <w:marLeft w:val="640"/>
          <w:marRight w:val="0"/>
          <w:marTop w:val="0"/>
          <w:marBottom w:val="0"/>
          <w:divBdr>
            <w:top w:val="none" w:sz="0" w:space="0" w:color="auto"/>
            <w:left w:val="none" w:sz="0" w:space="0" w:color="auto"/>
            <w:bottom w:val="none" w:sz="0" w:space="0" w:color="auto"/>
            <w:right w:val="none" w:sz="0" w:space="0" w:color="auto"/>
          </w:divBdr>
        </w:div>
        <w:div w:id="1151215903">
          <w:marLeft w:val="640"/>
          <w:marRight w:val="0"/>
          <w:marTop w:val="0"/>
          <w:marBottom w:val="0"/>
          <w:divBdr>
            <w:top w:val="none" w:sz="0" w:space="0" w:color="auto"/>
            <w:left w:val="none" w:sz="0" w:space="0" w:color="auto"/>
            <w:bottom w:val="none" w:sz="0" w:space="0" w:color="auto"/>
            <w:right w:val="none" w:sz="0" w:space="0" w:color="auto"/>
          </w:divBdr>
        </w:div>
        <w:div w:id="643506814">
          <w:marLeft w:val="640"/>
          <w:marRight w:val="0"/>
          <w:marTop w:val="0"/>
          <w:marBottom w:val="0"/>
          <w:divBdr>
            <w:top w:val="none" w:sz="0" w:space="0" w:color="auto"/>
            <w:left w:val="none" w:sz="0" w:space="0" w:color="auto"/>
            <w:bottom w:val="none" w:sz="0" w:space="0" w:color="auto"/>
            <w:right w:val="none" w:sz="0" w:space="0" w:color="auto"/>
          </w:divBdr>
        </w:div>
        <w:div w:id="1385908617">
          <w:marLeft w:val="640"/>
          <w:marRight w:val="0"/>
          <w:marTop w:val="0"/>
          <w:marBottom w:val="0"/>
          <w:divBdr>
            <w:top w:val="none" w:sz="0" w:space="0" w:color="auto"/>
            <w:left w:val="none" w:sz="0" w:space="0" w:color="auto"/>
            <w:bottom w:val="none" w:sz="0" w:space="0" w:color="auto"/>
            <w:right w:val="none" w:sz="0" w:space="0" w:color="auto"/>
          </w:divBdr>
        </w:div>
        <w:div w:id="452674044">
          <w:marLeft w:val="640"/>
          <w:marRight w:val="0"/>
          <w:marTop w:val="0"/>
          <w:marBottom w:val="0"/>
          <w:divBdr>
            <w:top w:val="none" w:sz="0" w:space="0" w:color="auto"/>
            <w:left w:val="none" w:sz="0" w:space="0" w:color="auto"/>
            <w:bottom w:val="none" w:sz="0" w:space="0" w:color="auto"/>
            <w:right w:val="none" w:sz="0" w:space="0" w:color="auto"/>
          </w:divBdr>
        </w:div>
        <w:div w:id="1762097301">
          <w:marLeft w:val="640"/>
          <w:marRight w:val="0"/>
          <w:marTop w:val="0"/>
          <w:marBottom w:val="0"/>
          <w:divBdr>
            <w:top w:val="none" w:sz="0" w:space="0" w:color="auto"/>
            <w:left w:val="none" w:sz="0" w:space="0" w:color="auto"/>
            <w:bottom w:val="none" w:sz="0" w:space="0" w:color="auto"/>
            <w:right w:val="none" w:sz="0" w:space="0" w:color="auto"/>
          </w:divBdr>
        </w:div>
        <w:div w:id="371736106">
          <w:marLeft w:val="640"/>
          <w:marRight w:val="0"/>
          <w:marTop w:val="0"/>
          <w:marBottom w:val="0"/>
          <w:divBdr>
            <w:top w:val="none" w:sz="0" w:space="0" w:color="auto"/>
            <w:left w:val="none" w:sz="0" w:space="0" w:color="auto"/>
            <w:bottom w:val="none" w:sz="0" w:space="0" w:color="auto"/>
            <w:right w:val="none" w:sz="0" w:space="0" w:color="auto"/>
          </w:divBdr>
        </w:div>
        <w:div w:id="1518881662">
          <w:marLeft w:val="640"/>
          <w:marRight w:val="0"/>
          <w:marTop w:val="0"/>
          <w:marBottom w:val="0"/>
          <w:divBdr>
            <w:top w:val="none" w:sz="0" w:space="0" w:color="auto"/>
            <w:left w:val="none" w:sz="0" w:space="0" w:color="auto"/>
            <w:bottom w:val="none" w:sz="0" w:space="0" w:color="auto"/>
            <w:right w:val="none" w:sz="0" w:space="0" w:color="auto"/>
          </w:divBdr>
        </w:div>
        <w:div w:id="962617096">
          <w:marLeft w:val="640"/>
          <w:marRight w:val="0"/>
          <w:marTop w:val="0"/>
          <w:marBottom w:val="0"/>
          <w:divBdr>
            <w:top w:val="none" w:sz="0" w:space="0" w:color="auto"/>
            <w:left w:val="none" w:sz="0" w:space="0" w:color="auto"/>
            <w:bottom w:val="none" w:sz="0" w:space="0" w:color="auto"/>
            <w:right w:val="none" w:sz="0" w:space="0" w:color="auto"/>
          </w:divBdr>
        </w:div>
        <w:div w:id="1488521146">
          <w:marLeft w:val="640"/>
          <w:marRight w:val="0"/>
          <w:marTop w:val="0"/>
          <w:marBottom w:val="0"/>
          <w:divBdr>
            <w:top w:val="none" w:sz="0" w:space="0" w:color="auto"/>
            <w:left w:val="none" w:sz="0" w:space="0" w:color="auto"/>
            <w:bottom w:val="none" w:sz="0" w:space="0" w:color="auto"/>
            <w:right w:val="none" w:sz="0" w:space="0" w:color="auto"/>
          </w:divBdr>
        </w:div>
        <w:div w:id="2102487056">
          <w:marLeft w:val="640"/>
          <w:marRight w:val="0"/>
          <w:marTop w:val="0"/>
          <w:marBottom w:val="0"/>
          <w:divBdr>
            <w:top w:val="none" w:sz="0" w:space="0" w:color="auto"/>
            <w:left w:val="none" w:sz="0" w:space="0" w:color="auto"/>
            <w:bottom w:val="none" w:sz="0" w:space="0" w:color="auto"/>
            <w:right w:val="none" w:sz="0" w:space="0" w:color="auto"/>
          </w:divBdr>
        </w:div>
        <w:div w:id="1253392444">
          <w:marLeft w:val="640"/>
          <w:marRight w:val="0"/>
          <w:marTop w:val="0"/>
          <w:marBottom w:val="0"/>
          <w:divBdr>
            <w:top w:val="none" w:sz="0" w:space="0" w:color="auto"/>
            <w:left w:val="none" w:sz="0" w:space="0" w:color="auto"/>
            <w:bottom w:val="none" w:sz="0" w:space="0" w:color="auto"/>
            <w:right w:val="none" w:sz="0" w:space="0" w:color="auto"/>
          </w:divBdr>
        </w:div>
        <w:div w:id="1393428985">
          <w:marLeft w:val="640"/>
          <w:marRight w:val="0"/>
          <w:marTop w:val="0"/>
          <w:marBottom w:val="0"/>
          <w:divBdr>
            <w:top w:val="none" w:sz="0" w:space="0" w:color="auto"/>
            <w:left w:val="none" w:sz="0" w:space="0" w:color="auto"/>
            <w:bottom w:val="none" w:sz="0" w:space="0" w:color="auto"/>
            <w:right w:val="none" w:sz="0" w:space="0" w:color="auto"/>
          </w:divBdr>
        </w:div>
        <w:div w:id="432018831">
          <w:marLeft w:val="640"/>
          <w:marRight w:val="0"/>
          <w:marTop w:val="0"/>
          <w:marBottom w:val="0"/>
          <w:divBdr>
            <w:top w:val="none" w:sz="0" w:space="0" w:color="auto"/>
            <w:left w:val="none" w:sz="0" w:space="0" w:color="auto"/>
            <w:bottom w:val="none" w:sz="0" w:space="0" w:color="auto"/>
            <w:right w:val="none" w:sz="0" w:space="0" w:color="auto"/>
          </w:divBdr>
        </w:div>
        <w:div w:id="596988831">
          <w:marLeft w:val="640"/>
          <w:marRight w:val="0"/>
          <w:marTop w:val="0"/>
          <w:marBottom w:val="0"/>
          <w:divBdr>
            <w:top w:val="none" w:sz="0" w:space="0" w:color="auto"/>
            <w:left w:val="none" w:sz="0" w:space="0" w:color="auto"/>
            <w:bottom w:val="none" w:sz="0" w:space="0" w:color="auto"/>
            <w:right w:val="none" w:sz="0" w:space="0" w:color="auto"/>
          </w:divBdr>
        </w:div>
        <w:div w:id="448814300">
          <w:marLeft w:val="640"/>
          <w:marRight w:val="0"/>
          <w:marTop w:val="0"/>
          <w:marBottom w:val="0"/>
          <w:divBdr>
            <w:top w:val="none" w:sz="0" w:space="0" w:color="auto"/>
            <w:left w:val="none" w:sz="0" w:space="0" w:color="auto"/>
            <w:bottom w:val="none" w:sz="0" w:space="0" w:color="auto"/>
            <w:right w:val="none" w:sz="0" w:space="0" w:color="auto"/>
          </w:divBdr>
        </w:div>
        <w:div w:id="2131626204">
          <w:marLeft w:val="640"/>
          <w:marRight w:val="0"/>
          <w:marTop w:val="0"/>
          <w:marBottom w:val="0"/>
          <w:divBdr>
            <w:top w:val="none" w:sz="0" w:space="0" w:color="auto"/>
            <w:left w:val="none" w:sz="0" w:space="0" w:color="auto"/>
            <w:bottom w:val="none" w:sz="0" w:space="0" w:color="auto"/>
            <w:right w:val="none" w:sz="0" w:space="0" w:color="auto"/>
          </w:divBdr>
        </w:div>
        <w:div w:id="1664045423">
          <w:marLeft w:val="640"/>
          <w:marRight w:val="0"/>
          <w:marTop w:val="0"/>
          <w:marBottom w:val="0"/>
          <w:divBdr>
            <w:top w:val="none" w:sz="0" w:space="0" w:color="auto"/>
            <w:left w:val="none" w:sz="0" w:space="0" w:color="auto"/>
            <w:bottom w:val="none" w:sz="0" w:space="0" w:color="auto"/>
            <w:right w:val="none" w:sz="0" w:space="0" w:color="auto"/>
          </w:divBdr>
        </w:div>
        <w:div w:id="1078290871">
          <w:marLeft w:val="640"/>
          <w:marRight w:val="0"/>
          <w:marTop w:val="0"/>
          <w:marBottom w:val="0"/>
          <w:divBdr>
            <w:top w:val="none" w:sz="0" w:space="0" w:color="auto"/>
            <w:left w:val="none" w:sz="0" w:space="0" w:color="auto"/>
            <w:bottom w:val="none" w:sz="0" w:space="0" w:color="auto"/>
            <w:right w:val="none" w:sz="0" w:space="0" w:color="auto"/>
          </w:divBdr>
        </w:div>
        <w:div w:id="1170365373">
          <w:marLeft w:val="640"/>
          <w:marRight w:val="0"/>
          <w:marTop w:val="0"/>
          <w:marBottom w:val="0"/>
          <w:divBdr>
            <w:top w:val="none" w:sz="0" w:space="0" w:color="auto"/>
            <w:left w:val="none" w:sz="0" w:space="0" w:color="auto"/>
            <w:bottom w:val="none" w:sz="0" w:space="0" w:color="auto"/>
            <w:right w:val="none" w:sz="0" w:space="0" w:color="auto"/>
          </w:divBdr>
        </w:div>
        <w:div w:id="151332659">
          <w:marLeft w:val="640"/>
          <w:marRight w:val="0"/>
          <w:marTop w:val="0"/>
          <w:marBottom w:val="0"/>
          <w:divBdr>
            <w:top w:val="none" w:sz="0" w:space="0" w:color="auto"/>
            <w:left w:val="none" w:sz="0" w:space="0" w:color="auto"/>
            <w:bottom w:val="none" w:sz="0" w:space="0" w:color="auto"/>
            <w:right w:val="none" w:sz="0" w:space="0" w:color="auto"/>
          </w:divBdr>
        </w:div>
        <w:div w:id="1737699614">
          <w:marLeft w:val="640"/>
          <w:marRight w:val="0"/>
          <w:marTop w:val="0"/>
          <w:marBottom w:val="0"/>
          <w:divBdr>
            <w:top w:val="none" w:sz="0" w:space="0" w:color="auto"/>
            <w:left w:val="none" w:sz="0" w:space="0" w:color="auto"/>
            <w:bottom w:val="none" w:sz="0" w:space="0" w:color="auto"/>
            <w:right w:val="none" w:sz="0" w:space="0" w:color="auto"/>
          </w:divBdr>
        </w:div>
        <w:div w:id="1919363484">
          <w:marLeft w:val="640"/>
          <w:marRight w:val="0"/>
          <w:marTop w:val="0"/>
          <w:marBottom w:val="0"/>
          <w:divBdr>
            <w:top w:val="none" w:sz="0" w:space="0" w:color="auto"/>
            <w:left w:val="none" w:sz="0" w:space="0" w:color="auto"/>
            <w:bottom w:val="none" w:sz="0" w:space="0" w:color="auto"/>
            <w:right w:val="none" w:sz="0" w:space="0" w:color="auto"/>
          </w:divBdr>
        </w:div>
        <w:div w:id="1206865997">
          <w:marLeft w:val="640"/>
          <w:marRight w:val="0"/>
          <w:marTop w:val="0"/>
          <w:marBottom w:val="0"/>
          <w:divBdr>
            <w:top w:val="none" w:sz="0" w:space="0" w:color="auto"/>
            <w:left w:val="none" w:sz="0" w:space="0" w:color="auto"/>
            <w:bottom w:val="none" w:sz="0" w:space="0" w:color="auto"/>
            <w:right w:val="none" w:sz="0" w:space="0" w:color="auto"/>
          </w:divBdr>
        </w:div>
        <w:div w:id="976569525">
          <w:marLeft w:val="640"/>
          <w:marRight w:val="0"/>
          <w:marTop w:val="0"/>
          <w:marBottom w:val="0"/>
          <w:divBdr>
            <w:top w:val="none" w:sz="0" w:space="0" w:color="auto"/>
            <w:left w:val="none" w:sz="0" w:space="0" w:color="auto"/>
            <w:bottom w:val="none" w:sz="0" w:space="0" w:color="auto"/>
            <w:right w:val="none" w:sz="0" w:space="0" w:color="auto"/>
          </w:divBdr>
        </w:div>
        <w:div w:id="1691183075">
          <w:marLeft w:val="640"/>
          <w:marRight w:val="0"/>
          <w:marTop w:val="0"/>
          <w:marBottom w:val="0"/>
          <w:divBdr>
            <w:top w:val="none" w:sz="0" w:space="0" w:color="auto"/>
            <w:left w:val="none" w:sz="0" w:space="0" w:color="auto"/>
            <w:bottom w:val="none" w:sz="0" w:space="0" w:color="auto"/>
            <w:right w:val="none" w:sz="0" w:space="0" w:color="auto"/>
          </w:divBdr>
        </w:div>
        <w:div w:id="170687612">
          <w:marLeft w:val="640"/>
          <w:marRight w:val="0"/>
          <w:marTop w:val="0"/>
          <w:marBottom w:val="0"/>
          <w:divBdr>
            <w:top w:val="none" w:sz="0" w:space="0" w:color="auto"/>
            <w:left w:val="none" w:sz="0" w:space="0" w:color="auto"/>
            <w:bottom w:val="none" w:sz="0" w:space="0" w:color="auto"/>
            <w:right w:val="none" w:sz="0" w:space="0" w:color="auto"/>
          </w:divBdr>
        </w:div>
        <w:div w:id="1314260920">
          <w:marLeft w:val="640"/>
          <w:marRight w:val="0"/>
          <w:marTop w:val="0"/>
          <w:marBottom w:val="0"/>
          <w:divBdr>
            <w:top w:val="none" w:sz="0" w:space="0" w:color="auto"/>
            <w:left w:val="none" w:sz="0" w:space="0" w:color="auto"/>
            <w:bottom w:val="none" w:sz="0" w:space="0" w:color="auto"/>
            <w:right w:val="none" w:sz="0" w:space="0" w:color="auto"/>
          </w:divBdr>
        </w:div>
        <w:div w:id="392967236">
          <w:marLeft w:val="640"/>
          <w:marRight w:val="0"/>
          <w:marTop w:val="0"/>
          <w:marBottom w:val="0"/>
          <w:divBdr>
            <w:top w:val="none" w:sz="0" w:space="0" w:color="auto"/>
            <w:left w:val="none" w:sz="0" w:space="0" w:color="auto"/>
            <w:bottom w:val="none" w:sz="0" w:space="0" w:color="auto"/>
            <w:right w:val="none" w:sz="0" w:space="0" w:color="auto"/>
          </w:divBdr>
        </w:div>
        <w:div w:id="555166276">
          <w:marLeft w:val="640"/>
          <w:marRight w:val="0"/>
          <w:marTop w:val="0"/>
          <w:marBottom w:val="0"/>
          <w:divBdr>
            <w:top w:val="none" w:sz="0" w:space="0" w:color="auto"/>
            <w:left w:val="none" w:sz="0" w:space="0" w:color="auto"/>
            <w:bottom w:val="none" w:sz="0" w:space="0" w:color="auto"/>
            <w:right w:val="none" w:sz="0" w:space="0" w:color="auto"/>
          </w:divBdr>
        </w:div>
        <w:div w:id="192697689">
          <w:marLeft w:val="640"/>
          <w:marRight w:val="0"/>
          <w:marTop w:val="0"/>
          <w:marBottom w:val="0"/>
          <w:divBdr>
            <w:top w:val="none" w:sz="0" w:space="0" w:color="auto"/>
            <w:left w:val="none" w:sz="0" w:space="0" w:color="auto"/>
            <w:bottom w:val="none" w:sz="0" w:space="0" w:color="auto"/>
            <w:right w:val="none" w:sz="0" w:space="0" w:color="auto"/>
          </w:divBdr>
        </w:div>
        <w:div w:id="1266425387">
          <w:marLeft w:val="640"/>
          <w:marRight w:val="0"/>
          <w:marTop w:val="0"/>
          <w:marBottom w:val="0"/>
          <w:divBdr>
            <w:top w:val="none" w:sz="0" w:space="0" w:color="auto"/>
            <w:left w:val="none" w:sz="0" w:space="0" w:color="auto"/>
            <w:bottom w:val="none" w:sz="0" w:space="0" w:color="auto"/>
            <w:right w:val="none" w:sz="0" w:space="0" w:color="auto"/>
          </w:divBdr>
        </w:div>
        <w:div w:id="1587807581">
          <w:marLeft w:val="640"/>
          <w:marRight w:val="0"/>
          <w:marTop w:val="0"/>
          <w:marBottom w:val="0"/>
          <w:divBdr>
            <w:top w:val="none" w:sz="0" w:space="0" w:color="auto"/>
            <w:left w:val="none" w:sz="0" w:space="0" w:color="auto"/>
            <w:bottom w:val="none" w:sz="0" w:space="0" w:color="auto"/>
            <w:right w:val="none" w:sz="0" w:space="0" w:color="auto"/>
          </w:divBdr>
        </w:div>
        <w:div w:id="1508055118">
          <w:marLeft w:val="640"/>
          <w:marRight w:val="0"/>
          <w:marTop w:val="0"/>
          <w:marBottom w:val="0"/>
          <w:divBdr>
            <w:top w:val="none" w:sz="0" w:space="0" w:color="auto"/>
            <w:left w:val="none" w:sz="0" w:space="0" w:color="auto"/>
            <w:bottom w:val="none" w:sz="0" w:space="0" w:color="auto"/>
            <w:right w:val="none" w:sz="0" w:space="0" w:color="auto"/>
          </w:divBdr>
        </w:div>
        <w:div w:id="1978603763">
          <w:marLeft w:val="640"/>
          <w:marRight w:val="0"/>
          <w:marTop w:val="0"/>
          <w:marBottom w:val="0"/>
          <w:divBdr>
            <w:top w:val="none" w:sz="0" w:space="0" w:color="auto"/>
            <w:left w:val="none" w:sz="0" w:space="0" w:color="auto"/>
            <w:bottom w:val="none" w:sz="0" w:space="0" w:color="auto"/>
            <w:right w:val="none" w:sz="0" w:space="0" w:color="auto"/>
          </w:divBdr>
        </w:div>
        <w:div w:id="1082145793">
          <w:marLeft w:val="640"/>
          <w:marRight w:val="0"/>
          <w:marTop w:val="0"/>
          <w:marBottom w:val="0"/>
          <w:divBdr>
            <w:top w:val="none" w:sz="0" w:space="0" w:color="auto"/>
            <w:left w:val="none" w:sz="0" w:space="0" w:color="auto"/>
            <w:bottom w:val="none" w:sz="0" w:space="0" w:color="auto"/>
            <w:right w:val="none" w:sz="0" w:space="0" w:color="auto"/>
          </w:divBdr>
        </w:div>
        <w:div w:id="2105226709">
          <w:marLeft w:val="640"/>
          <w:marRight w:val="0"/>
          <w:marTop w:val="0"/>
          <w:marBottom w:val="0"/>
          <w:divBdr>
            <w:top w:val="none" w:sz="0" w:space="0" w:color="auto"/>
            <w:left w:val="none" w:sz="0" w:space="0" w:color="auto"/>
            <w:bottom w:val="none" w:sz="0" w:space="0" w:color="auto"/>
            <w:right w:val="none" w:sz="0" w:space="0" w:color="auto"/>
          </w:divBdr>
        </w:div>
        <w:div w:id="830877361">
          <w:marLeft w:val="640"/>
          <w:marRight w:val="0"/>
          <w:marTop w:val="0"/>
          <w:marBottom w:val="0"/>
          <w:divBdr>
            <w:top w:val="none" w:sz="0" w:space="0" w:color="auto"/>
            <w:left w:val="none" w:sz="0" w:space="0" w:color="auto"/>
            <w:bottom w:val="none" w:sz="0" w:space="0" w:color="auto"/>
            <w:right w:val="none" w:sz="0" w:space="0" w:color="auto"/>
          </w:divBdr>
        </w:div>
        <w:div w:id="1302540057">
          <w:marLeft w:val="640"/>
          <w:marRight w:val="0"/>
          <w:marTop w:val="0"/>
          <w:marBottom w:val="0"/>
          <w:divBdr>
            <w:top w:val="none" w:sz="0" w:space="0" w:color="auto"/>
            <w:left w:val="none" w:sz="0" w:space="0" w:color="auto"/>
            <w:bottom w:val="none" w:sz="0" w:space="0" w:color="auto"/>
            <w:right w:val="none" w:sz="0" w:space="0" w:color="auto"/>
          </w:divBdr>
        </w:div>
        <w:div w:id="1735155988">
          <w:marLeft w:val="640"/>
          <w:marRight w:val="0"/>
          <w:marTop w:val="0"/>
          <w:marBottom w:val="0"/>
          <w:divBdr>
            <w:top w:val="none" w:sz="0" w:space="0" w:color="auto"/>
            <w:left w:val="none" w:sz="0" w:space="0" w:color="auto"/>
            <w:bottom w:val="none" w:sz="0" w:space="0" w:color="auto"/>
            <w:right w:val="none" w:sz="0" w:space="0" w:color="auto"/>
          </w:divBdr>
        </w:div>
        <w:div w:id="1817337981">
          <w:marLeft w:val="640"/>
          <w:marRight w:val="0"/>
          <w:marTop w:val="0"/>
          <w:marBottom w:val="0"/>
          <w:divBdr>
            <w:top w:val="none" w:sz="0" w:space="0" w:color="auto"/>
            <w:left w:val="none" w:sz="0" w:space="0" w:color="auto"/>
            <w:bottom w:val="none" w:sz="0" w:space="0" w:color="auto"/>
            <w:right w:val="none" w:sz="0" w:space="0" w:color="auto"/>
          </w:divBdr>
        </w:div>
        <w:div w:id="1121218481">
          <w:marLeft w:val="640"/>
          <w:marRight w:val="0"/>
          <w:marTop w:val="0"/>
          <w:marBottom w:val="0"/>
          <w:divBdr>
            <w:top w:val="none" w:sz="0" w:space="0" w:color="auto"/>
            <w:left w:val="none" w:sz="0" w:space="0" w:color="auto"/>
            <w:bottom w:val="none" w:sz="0" w:space="0" w:color="auto"/>
            <w:right w:val="none" w:sz="0" w:space="0" w:color="auto"/>
          </w:divBdr>
        </w:div>
        <w:div w:id="2041280669">
          <w:marLeft w:val="640"/>
          <w:marRight w:val="0"/>
          <w:marTop w:val="0"/>
          <w:marBottom w:val="0"/>
          <w:divBdr>
            <w:top w:val="none" w:sz="0" w:space="0" w:color="auto"/>
            <w:left w:val="none" w:sz="0" w:space="0" w:color="auto"/>
            <w:bottom w:val="none" w:sz="0" w:space="0" w:color="auto"/>
            <w:right w:val="none" w:sz="0" w:space="0" w:color="auto"/>
          </w:divBdr>
        </w:div>
        <w:div w:id="990139135">
          <w:marLeft w:val="640"/>
          <w:marRight w:val="0"/>
          <w:marTop w:val="0"/>
          <w:marBottom w:val="0"/>
          <w:divBdr>
            <w:top w:val="none" w:sz="0" w:space="0" w:color="auto"/>
            <w:left w:val="none" w:sz="0" w:space="0" w:color="auto"/>
            <w:bottom w:val="none" w:sz="0" w:space="0" w:color="auto"/>
            <w:right w:val="none" w:sz="0" w:space="0" w:color="auto"/>
          </w:divBdr>
        </w:div>
        <w:div w:id="747381581">
          <w:marLeft w:val="640"/>
          <w:marRight w:val="0"/>
          <w:marTop w:val="0"/>
          <w:marBottom w:val="0"/>
          <w:divBdr>
            <w:top w:val="none" w:sz="0" w:space="0" w:color="auto"/>
            <w:left w:val="none" w:sz="0" w:space="0" w:color="auto"/>
            <w:bottom w:val="none" w:sz="0" w:space="0" w:color="auto"/>
            <w:right w:val="none" w:sz="0" w:space="0" w:color="auto"/>
          </w:divBdr>
        </w:div>
      </w:divsChild>
    </w:div>
    <w:div w:id="1100416493">
      <w:bodyDiv w:val="1"/>
      <w:marLeft w:val="0"/>
      <w:marRight w:val="0"/>
      <w:marTop w:val="0"/>
      <w:marBottom w:val="0"/>
      <w:divBdr>
        <w:top w:val="none" w:sz="0" w:space="0" w:color="auto"/>
        <w:left w:val="none" w:sz="0" w:space="0" w:color="auto"/>
        <w:bottom w:val="none" w:sz="0" w:space="0" w:color="auto"/>
        <w:right w:val="none" w:sz="0" w:space="0" w:color="auto"/>
      </w:divBdr>
    </w:div>
    <w:div w:id="1100637732">
      <w:bodyDiv w:val="1"/>
      <w:marLeft w:val="0"/>
      <w:marRight w:val="0"/>
      <w:marTop w:val="0"/>
      <w:marBottom w:val="0"/>
      <w:divBdr>
        <w:top w:val="none" w:sz="0" w:space="0" w:color="auto"/>
        <w:left w:val="none" w:sz="0" w:space="0" w:color="auto"/>
        <w:bottom w:val="none" w:sz="0" w:space="0" w:color="auto"/>
        <w:right w:val="none" w:sz="0" w:space="0" w:color="auto"/>
      </w:divBdr>
    </w:div>
    <w:div w:id="1101949507">
      <w:bodyDiv w:val="1"/>
      <w:marLeft w:val="0"/>
      <w:marRight w:val="0"/>
      <w:marTop w:val="0"/>
      <w:marBottom w:val="0"/>
      <w:divBdr>
        <w:top w:val="none" w:sz="0" w:space="0" w:color="auto"/>
        <w:left w:val="none" w:sz="0" w:space="0" w:color="auto"/>
        <w:bottom w:val="none" w:sz="0" w:space="0" w:color="auto"/>
        <w:right w:val="none" w:sz="0" w:space="0" w:color="auto"/>
      </w:divBdr>
    </w:div>
    <w:div w:id="1102915004">
      <w:bodyDiv w:val="1"/>
      <w:marLeft w:val="0"/>
      <w:marRight w:val="0"/>
      <w:marTop w:val="0"/>
      <w:marBottom w:val="0"/>
      <w:divBdr>
        <w:top w:val="none" w:sz="0" w:space="0" w:color="auto"/>
        <w:left w:val="none" w:sz="0" w:space="0" w:color="auto"/>
        <w:bottom w:val="none" w:sz="0" w:space="0" w:color="auto"/>
        <w:right w:val="none" w:sz="0" w:space="0" w:color="auto"/>
      </w:divBdr>
    </w:div>
    <w:div w:id="1111513263">
      <w:bodyDiv w:val="1"/>
      <w:marLeft w:val="0"/>
      <w:marRight w:val="0"/>
      <w:marTop w:val="0"/>
      <w:marBottom w:val="0"/>
      <w:divBdr>
        <w:top w:val="none" w:sz="0" w:space="0" w:color="auto"/>
        <w:left w:val="none" w:sz="0" w:space="0" w:color="auto"/>
        <w:bottom w:val="none" w:sz="0" w:space="0" w:color="auto"/>
        <w:right w:val="none" w:sz="0" w:space="0" w:color="auto"/>
      </w:divBdr>
    </w:div>
    <w:div w:id="1113013890">
      <w:bodyDiv w:val="1"/>
      <w:marLeft w:val="0"/>
      <w:marRight w:val="0"/>
      <w:marTop w:val="0"/>
      <w:marBottom w:val="0"/>
      <w:divBdr>
        <w:top w:val="none" w:sz="0" w:space="0" w:color="auto"/>
        <w:left w:val="none" w:sz="0" w:space="0" w:color="auto"/>
        <w:bottom w:val="none" w:sz="0" w:space="0" w:color="auto"/>
        <w:right w:val="none" w:sz="0" w:space="0" w:color="auto"/>
      </w:divBdr>
    </w:div>
    <w:div w:id="1115632898">
      <w:bodyDiv w:val="1"/>
      <w:marLeft w:val="0"/>
      <w:marRight w:val="0"/>
      <w:marTop w:val="0"/>
      <w:marBottom w:val="0"/>
      <w:divBdr>
        <w:top w:val="none" w:sz="0" w:space="0" w:color="auto"/>
        <w:left w:val="none" w:sz="0" w:space="0" w:color="auto"/>
        <w:bottom w:val="none" w:sz="0" w:space="0" w:color="auto"/>
        <w:right w:val="none" w:sz="0" w:space="0" w:color="auto"/>
      </w:divBdr>
    </w:div>
    <w:div w:id="1116603531">
      <w:bodyDiv w:val="1"/>
      <w:marLeft w:val="0"/>
      <w:marRight w:val="0"/>
      <w:marTop w:val="0"/>
      <w:marBottom w:val="0"/>
      <w:divBdr>
        <w:top w:val="none" w:sz="0" w:space="0" w:color="auto"/>
        <w:left w:val="none" w:sz="0" w:space="0" w:color="auto"/>
        <w:bottom w:val="none" w:sz="0" w:space="0" w:color="auto"/>
        <w:right w:val="none" w:sz="0" w:space="0" w:color="auto"/>
      </w:divBdr>
    </w:div>
    <w:div w:id="1117140818">
      <w:bodyDiv w:val="1"/>
      <w:marLeft w:val="0"/>
      <w:marRight w:val="0"/>
      <w:marTop w:val="0"/>
      <w:marBottom w:val="0"/>
      <w:divBdr>
        <w:top w:val="none" w:sz="0" w:space="0" w:color="auto"/>
        <w:left w:val="none" w:sz="0" w:space="0" w:color="auto"/>
        <w:bottom w:val="none" w:sz="0" w:space="0" w:color="auto"/>
        <w:right w:val="none" w:sz="0" w:space="0" w:color="auto"/>
      </w:divBdr>
    </w:div>
    <w:div w:id="1117259393">
      <w:bodyDiv w:val="1"/>
      <w:marLeft w:val="0"/>
      <w:marRight w:val="0"/>
      <w:marTop w:val="0"/>
      <w:marBottom w:val="0"/>
      <w:divBdr>
        <w:top w:val="none" w:sz="0" w:space="0" w:color="auto"/>
        <w:left w:val="none" w:sz="0" w:space="0" w:color="auto"/>
        <w:bottom w:val="none" w:sz="0" w:space="0" w:color="auto"/>
        <w:right w:val="none" w:sz="0" w:space="0" w:color="auto"/>
      </w:divBdr>
    </w:div>
    <w:div w:id="1117331424">
      <w:bodyDiv w:val="1"/>
      <w:marLeft w:val="0"/>
      <w:marRight w:val="0"/>
      <w:marTop w:val="0"/>
      <w:marBottom w:val="0"/>
      <w:divBdr>
        <w:top w:val="none" w:sz="0" w:space="0" w:color="auto"/>
        <w:left w:val="none" w:sz="0" w:space="0" w:color="auto"/>
        <w:bottom w:val="none" w:sz="0" w:space="0" w:color="auto"/>
        <w:right w:val="none" w:sz="0" w:space="0" w:color="auto"/>
      </w:divBdr>
    </w:div>
    <w:div w:id="1117872183">
      <w:bodyDiv w:val="1"/>
      <w:marLeft w:val="0"/>
      <w:marRight w:val="0"/>
      <w:marTop w:val="0"/>
      <w:marBottom w:val="0"/>
      <w:divBdr>
        <w:top w:val="none" w:sz="0" w:space="0" w:color="auto"/>
        <w:left w:val="none" w:sz="0" w:space="0" w:color="auto"/>
        <w:bottom w:val="none" w:sz="0" w:space="0" w:color="auto"/>
        <w:right w:val="none" w:sz="0" w:space="0" w:color="auto"/>
      </w:divBdr>
    </w:div>
    <w:div w:id="1118179443">
      <w:bodyDiv w:val="1"/>
      <w:marLeft w:val="0"/>
      <w:marRight w:val="0"/>
      <w:marTop w:val="0"/>
      <w:marBottom w:val="0"/>
      <w:divBdr>
        <w:top w:val="none" w:sz="0" w:space="0" w:color="auto"/>
        <w:left w:val="none" w:sz="0" w:space="0" w:color="auto"/>
        <w:bottom w:val="none" w:sz="0" w:space="0" w:color="auto"/>
        <w:right w:val="none" w:sz="0" w:space="0" w:color="auto"/>
      </w:divBdr>
    </w:div>
    <w:div w:id="1118451769">
      <w:bodyDiv w:val="1"/>
      <w:marLeft w:val="0"/>
      <w:marRight w:val="0"/>
      <w:marTop w:val="0"/>
      <w:marBottom w:val="0"/>
      <w:divBdr>
        <w:top w:val="none" w:sz="0" w:space="0" w:color="auto"/>
        <w:left w:val="none" w:sz="0" w:space="0" w:color="auto"/>
        <w:bottom w:val="none" w:sz="0" w:space="0" w:color="auto"/>
        <w:right w:val="none" w:sz="0" w:space="0" w:color="auto"/>
      </w:divBdr>
    </w:div>
    <w:div w:id="1120959163">
      <w:bodyDiv w:val="1"/>
      <w:marLeft w:val="0"/>
      <w:marRight w:val="0"/>
      <w:marTop w:val="0"/>
      <w:marBottom w:val="0"/>
      <w:divBdr>
        <w:top w:val="none" w:sz="0" w:space="0" w:color="auto"/>
        <w:left w:val="none" w:sz="0" w:space="0" w:color="auto"/>
        <w:bottom w:val="none" w:sz="0" w:space="0" w:color="auto"/>
        <w:right w:val="none" w:sz="0" w:space="0" w:color="auto"/>
      </w:divBdr>
    </w:div>
    <w:div w:id="1127504253">
      <w:bodyDiv w:val="1"/>
      <w:marLeft w:val="0"/>
      <w:marRight w:val="0"/>
      <w:marTop w:val="0"/>
      <w:marBottom w:val="0"/>
      <w:divBdr>
        <w:top w:val="none" w:sz="0" w:space="0" w:color="auto"/>
        <w:left w:val="none" w:sz="0" w:space="0" w:color="auto"/>
        <w:bottom w:val="none" w:sz="0" w:space="0" w:color="auto"/>
        <w:right w:val="none" w:sz="0" w:space="0" w:color="auto"/>
      </w:divBdr>
    </w:div>
    <w:div w:id="1128547555">
      <w:bodyDiv w:val="1"/>
      <w:marLeft w:val="0"/>
      <w:marRight w:val="0"/>
      <w:marTop w:val="0"/>
      <w:marBottom w:val="0"/>
      <w:divBdr>
        <w:top w:val="none" w:sz="0" w:space="0" w:color="auto"/>
        <w:left w:val="none" w:sz="0" w:space="0" w:color="auto"/>
        <w:bottom w:val="none" w:sz="0" w:space="0" w:color="auto"/>
        <w:right w:val="none" w:sz="0" w:space="0" w:color="auto"/>
      </w:divBdr>
    </w:div>
    <w:div w:id="1130905081">
      <w:bodyDiv w:val="1"/>
      <w:marLeft w:val="0"/>
      <w:marRight w:val="0"/>
      <w:marTop w:val="0"/>
      <w:marBottom w:val="0"/>
      <w:divBdr>
        <w:top w:val="none" w:sz="0" w:space="0" w:color="auto"/>
        <w:left w:val="none" w:sz="0" w:space="0" w:color="auto"/>
        <w:bottom w:val="none" w:sz="0" w:space="0" w:color="auto"/>
        <w:right w:val="none" w:sz="0" w:space="0" w:color="auto"/>
      </w:divBdr>
    </w:div>
    <w:div w:id="1138838801">
      <w:bodyDiv w:val="1"/>
      <w:marLeft w:val="0"/>
      <w:marRight w:val="0"/>
      <w:marTop w:val="0"/>
      <w:marBottom w:val="0"/>
      <w:divBdr>
        <w:top w:val="none" w:sz="0" w:space="0" w:color="auto"/>
        <w:left w:val="none" w:sz="0" w:space="0" w:color="auto"/>
        <w:bottom w:val="none" w:sz="0" w:space="0" w:color="auto"/>
        <w:right w:val="none" w:sz="0" w:space="0" w:color="auto"/>
      </w:divBdr>
    </w:div>
    <w:div w:id="1138961457">
      <w:bodyDiv w:val="1"/>
      <w:marLeft w:val="0"/>
      <w:marRight w:val="0"/>
      <w:marTop w:val="0"/>
      <w:marBottom w:val="0"/>
      <w:divBdr>
        <w:top w:val="none" w:sz="0" w:space="0" w:color="auto"/>
        <w:left w:val="none" w:sz="0" w:space="0" w:color="auto"/>
        <w:bottom w:val="none" w:sz="0" w:space="0" w:color="auto"/>
        <w:right w:val="none" w:sz="0" w:space="0" w:color="auto"/>
      </w:divBdr>
    </w:div>
    <w:div w:id="1139419944">
      <w:bodyDiv w:val="1"/>
      <w:marLeft w:val="0"/>
      <w:marRight w:val="0"/>
      <w:marTop w:val="0"/>
      <w:marBottom w:val="0"/>
      <w:divBdr>
        <w:top w:val="none" w:sz="0" w:space="0" w:color="auto"/>
        <w:left w:val="none" w:sz="0" w:space="0" w:color="auto"/>
        <w:bottom w:val="none" w:sz="0" w:space="0" w:color="auto"/>
        <w:right w:val="none" w:sz="0" w:space="0" w:color="auto"/>
      </w:divBdr>
    </w:div>
    <w:div w:id="1140030022">
      <w:bodyDiv w:val="1"/>
      <w:marLeft w:val="0"/>
      <w:marRight w:val="0"/>
      <w:marTop w:val="0"/>
      <w:marBottom w:val="0"/>
      <w:divBdr>
        <w:top w:val="none" w:sz="0" w:space="0" w:color="auto"/>
        <w:left w:val="none" w:sz="0" w:space="0" w:color="auto"/>
        <w:bottom w:val="none" w:sz="0" w:space="0" w:color="auto"/>
        <w:right w:val="none" w:sz="0" w:space="0" w:color="auto"/>
      </w:divBdr>
    </w:div>
    <w:div w:id="1142768645">
      <w:bodyDiv w:val="1"/>
      <w:marLeft w:val="0"/>
      <w:marRight w:val="0"/>
      <w:marTop w:val="0"/>
      <w:marBottom w:val="0"/>
      <w:divBdr>
        <w:top w:val="none" w:sz="0" w:space="0" w:color="auto"/>
        <w:left w:val="none" w:sz="0" w:space="0" w:color="auto"/>
        <w:bottom w:val="none" w:sz="0" w:space="0" w:color="auto"/>
        <w:right w:val="none" w:sz="0" w:space="0" w:color="auto"/>
      </w:divBdr>
    </w:div>
    <w:div w:id="1143421958">
      <w:bodyDiv w:val="1"/>
      <w:marLeft w:val="0"/>
      <w:marRight w:val="0"/>
      <w:marTop w:val="0"/>
      <w:marBottom w:val="0"/>
      <w:divBdr>
        <w:top w:val="none" w:sz="0" w:space="0" w:color="auto"/>
        <w:left w:val="none" w:sz="0" w:space="0" w:color="auto"/>
        <w:bottom w:val="none" w:sz="0" w:space="0" w:color="auto"/>
        <w:right w:val="none" w:sz="0" w:space="0" w:color="auto"/>
      </w:divBdr>
    </w:div>
    <w:div w:id="1143809837">
      <w:bodyDiv w:val="1"/>
      <w:marLeft w:val="0"/>
      <w:marRight w:val="0"/>
      <w:marTop w:val="0"/>
      <w:marBottom w:val="0"/>
      <w:divBdr>
        <w:top w:val="none" w:sz="0" w:space="0" w:color="auto"/>
        <w:left w:val="none" w:sz="0" w:space="0" w:color="auto"/>
        <w:bottom w:val="none" w:sz="0" w:space="0" w:color="auto"/>
        <w:right w:val="none" w:sz="0" w:space="0" w:color="auto"/>
      </w:divBdr>
    </w:div>
    <w:div w:id="1146244074">
      <w:bodyDiv w:val="1"/>
      <w:marLeft w:val="0"/>
      <w:marRight w:val="0"/>
      <w:marTop w:val="0"/>
      <w:marBottom w:val="0"/>
      <w:divBdr>
        <w:top w:val="none" w:sz="0" w:space="0" w:color="auto"/>
        <w:left w:val="none" w:sz="0" w:space="0" w:color="auto"/>
        <w:bottom w:val="none" w:sz="0" w:space="0" w:color="auto"/>
        <w:right w:val="none" w:sz="0" w:space="0" w:color="auto"/>
      </w:divBdr>
    </w:div>
    <w:div w:id="1147698630">
      <w:bodyDiv w:val="1"/>
      <w:marLeft w:val="0"/>
      <w:marRight w:val="0"/>
      <w:marTop w:val="0"/>
      <w:marBottom w:val="0"/>
      <w:divBdr>
        <w:top w:val="none" w:sz="0" w:space="0" w:color="auto"/>
        <w:left w:val="none" w:sz="0" w:space="0" w:color="auto"/>
        <w:bottom w:val="none" w:sz="0" w:space="0" w:color="auto"/>
        <w:right w:val="none" w:sz="0" w:space="0" w:color="auto"/>
      </w:divBdr>
    </w:div>
    <w:div w:id="1148129740">
      <w:bodyDiv w:val="1"/>
      <w:marLeft w:val="0"/>
      <w:marRight w:val="0"/>
      <w:marTop w:val="0"/>
      <w:marBottom w:val="0"/>
      <w:divBdr>
        <w:top w:val="none" w:sz="0" w:space="0" w:color="auto"/>
        <w:left w:val="none" w:sz="0" w:space="0" w:color="auto"/>
        <w:bottom w:val="none" w:sz="0" w:space="0" w:color="auto"/>
        <w:right w:val="none" w:sz="0" w:space="0" w:color="auto"/>
      </w:divBdr>
    </w:div>
    <w:div w:id="1148282638">
      <w:bodyDiv w:val="1"/>
      <w:marLeft w:val="0"/>
      <w:marRight w:val="0"/>
      <w:marTop w:val="0"/>
      <w:marBottom w:val="0"/>
      <w:divBdr>
        <w:top w:val="none" w:sz="0" w:space="0" w:color="auto"/>
        <w:left w:val="none" w:sz="0" w:space="0" w:color="auto"/>
        <w:bottom w:val="none" w:sz="0" w:space="0" w:color="auto"/>
        <w:right w:val="none" w:sz="0" w:space="0" w:color="auto"/>
      </w:divBdr>
      <w:divsChild>
        <w:div w:id="2123374534">
          <w:marLeft w:val="640"/>
          <w:marRight w:val="0"/>
          <w:marTop w:val="0"/>
          <w:marBottom w:val="0"/>
          <w:divBdr>
            <w:top w:val="none" w:sz="0" w:space="0" w:color="auto"/>
            <w:left w:val="none" w:sz="0" w:space="0" w:color="auto"/>
            <w:bottom w:val="none" w:sz="0" w:space="0" w:color="auto"/>
            <w:right w:val="none" w:sz="0" w:space="0" w:color="auto"/>
          </w:divBdr>
        </w:div>
        <w:div w:id="14549483">
          <w:marLeft w:val="640"/>
          <w:marRight w:val="0"/>
          <w:marTop w:val="0"/>
          <w:marBottom w:val="0"/>
          <w:divBdr>
            <w:top w:val="none" w:sz="0" w:space="0" w:color="auto"/>
            <w:left w:val="none" w:sz="0" w:space="0" w:color="auto"/>
            <w:bottom w:val="none" w:sz="0" w:space="0" w:color="auto"/>
            <w:right w:val="none" w:sz="0" w:space="0" w:color="auto"/>
          </w:divBdr>
        </w:div>
        <w:div w:id="358311542">
          <w:marLeft w:val="640"/>
          <w:marRight w:val="0"/>
          <w:marTop w:val="0"/>
          <w:marBottom w:val="0"/>
          <w:divBdr>
            <w:top w:val="none" w:sz="0" w:space="0" w:color="auto"/>
            <w:left w:val="none" w:sz="0" w:space="0" w:color="auto"/>
            <w:bottom w:val="none" w:sz="0" w:space="0" w:color="auto"/>
            <w:right w:val="none" w:sz="0" w:space="0" w:color="auto"/>
          </w:divBdr>
        </w:div>
        <w:div w:id="1567493047">
          <w:marLeft w:val="640"/>
          <w:marRight w:val="0"/>
          <w:marTop w:val="0"/>
          <w:marBottom w:val="0"/>
          <w:divBdr>
            <w:top w:val="none" w:sz="0" w:space="0" w:color="auto"/>
            <w:left w:val="none" w:sz="0" w:space="0" w:color="auto"/>
            <w:bottom w:val="none" w:sz="0" w:space="0" w:color="auto"/>
            <w:right w:val="none" w:sz="0" w:space="0" w:color="auto"/>
          </w:divBdr>
        </w:div>
        <w:div w:id="2066875428">
          <w:marLeft w:val="640"/>
          <w:marRight w:val="0"/>
          <w:marTop w:val="0"/>
          <w:marBottom w:val="0"/>
          <w:divBdr>
            <w:top w:val="none" w:sz="0" w:space="0" w:color="auto"/>
            <w:left w:val="none" w:sz="0" w:space="0" w:color="auto"/>
            <w:bottom w:val="none" w:sz="0" w:space="0" w:color="auto"/>
            <w:right w:val="none" w:sz="0" w:space="0" w:color="auto"/>
          </w:divBdr>
        </w:div>
        <w:div w:id="1790735900">
          <w:marLeft w:val="640"/>
          <w:marRight w:val="0"/>
          <w:marTop w:val="0"/>
          <w:marBottom w:val="0"/>
          <w:divBdr>
            <w:top w:val="none" w:sz="0" w:space="0" w:color="auto"/>
            <w:left w:val="none" w:sz="0" w:space="0" w:color="auto"/>
            <w:bottom w:val="none" w:sz="0" w:space="0" w:color="auto"/>
            <w:right w:val="none" w:sz="0" w:space="0" w:color="auto"/>
          </w:divBdr>
        </w:div>
        <w:div w:id="800853582">
          <w:marLeft w:val="640"/>
          <w:marRight w:val="0"/>
          <w:marTop w:val="0"/>
          <w:marBottom w:val="0"/>
          <w:divBdr>
            <w:top w:val="none" w:sz="0" w:space="0" w:color="auto"/>
            <w:left w:val="none" w:sz="0" w:space="0" w:color="auto"/>
            <w:bottom w:val="none" w:sz="0" w:space="0" w:color="auto"/>
            <w:right w:val="none" w:sz="0" w:space="0" w:color="auto"/>
          </w:divBdr>
        </w:div>
        <w:div w:id="1634478519">
          <w:marLeft w:val="640"/>
          <w:marRight w:val="0"/>
          <w:marTop w:val="0"/>
          <w:marBottom w:val="0"/>
          <w:divBdr>
            <w:top w:val="none" w:sz="0" w:space="0" w:color="auto"/>
            <w:left w:val="none" w:sz="0" w:space="0" w:color="auto"/>
            <w:bottom w:val="none" w:sz="0" w:space="0" w:color="auto"/>
            <w:right w:val="none" w:sz="0" w:space="0" w:color="auto"/>
          </w:divBdr>
        </w:div>
        <w:div w:id="1759596222">
          <w:marLeft w:val="640"/>
          <w:marRight w:val="0"/>
          <w:marTop w:val="0"/>
          <w:marBottom w:val="0"/>
          <w:divBdr>
            <w:top w:val="none" w:sz="0" w:space="0" w:color="auto"/>
            <w:left w:val="none" w:sz="0" w:space="0" w:color="auto"/>
            <w:bottom w:val="none" w:sz="0" w:space="0" w:color="auto"/>
            <w:right w:val="none" w:sz="0" w:space="0" w:color="auto"/>
          </w:divBdr>
        </w:div>
        <w:div w:id="1912159332">
          <w:marLeft w:val="640"/>
          <w:marRight w:val="0"/>
          <w:marTop w:val="0"/>
          <w:marBottom w:val="0"/>
          <w:divBdr>
            <w:top w:val="none" w:sz="0" w:space="0" w:color="auto"/>
            <w:left w:val="none" w:sz="0" w:space="0" w:color="auto"/>
            <w:bottom w:val="none" w:sz="0" w:space="0" w:color="auto"/>
            <w:right w:val="none" w:sz="0" w:space="0" w:color="auto"/>
          </w:divBdr>
        </w:div>
        <w:div w:id="1970474902">
          <w:marLeft w:val="640"/>
          <w:marRight w:val="0"/>
          <w:marTop w:val="0"/>
          <w:marBottom w:val="0"/>
          <w:divBdr>
            <w:top w:val="none" w:sz="0" w:space="0" w:color="auto"/>
            <w:left w:val="none" w:sz="0" w:space="0" w:color="auto"/>
            <w:bottom w:val="none" w:sz="0" w:space="0" w:color="auto"/>
            <w:right w:val="none" w:sz="0" w:space="0" w:color="auto"/>
          </w:divBdr>
        </w:div>
        <w:div w:id="1743719065">
          <w:marLeft w:val="640"/>
          <w:marRight w:val="0"/>
          <w:marTop w:val="0"/>
          <w:marBottom w:val="0"/>
          <w:divBdr>
            <w:top w:val="none" w:sz="0" w:space="0" w:color="auto"/>
            <w:left w:val="none" w:sz="0" w:space="0" w:color="auto"/>
            <w:bottom w:val="none" w:sz="0" w:space="0" w:color="auto"/>
            <w:right w:val="none" w:sz="0" w:space="0" w:color="auto"/>
          </w:divBdr>
        </w:div>
        <w:div w:id="647513100">
          <w:marLeft w:val="640"/>
          <w:marRight w:val="0"/>
          <w:marTop w:val="0"/>
          <w:marBottom w:val="0"/>
          <w:divBdr>
            <w:top w:val="none" w:sz="0" w:space="0" w:color="auto"/>
            <w:left w:val="none" w:sz="0" w:space="0" w:color="auto"/>
            <w:bottom w:val="none" w:sz="0" w:space="0" w:color="auto"/>
            <w:right w:val="none" w:sz="0" w:space="0" w:color="auto"/>
          </w:divBdr>
        </w:div>
        <w:div w:id="557789112">
          <w:marLeft w:val="640"/>
          <w:marRight w:val="0"/>
          <w:marTop w:val="0"/>
          <w:marBottom w:val="0"/>
          <w:divBdr>
            <w:top w:val="none" w:sz="0" w:space="0" w:color="auto"/>
            <w:left w:val="none" w:sz="0" w:space="0" w:color="auto"/>
            <w:bottom w:val="none" w:sz="0" w:space="0" w:color="auto"/>
            <w:right w:val="none" w:sz="0" w:space="0" w:color="auto"/>
          </w:divBdr>
        </w:div>
        <w:div w:id="915700424">
          <w:marLeft w:val="640"/>
          <w:marRight w:val="0"/>
          <w:marTop w:val="0"/>
          <w:marBottom w:val="0"/>
          <w:divBdr>
            <w:top w:val="none" w:sz="0" w:space="0" w:color="auto"/>
            <w:left w:val="none" w:sz="0" w:space="0" w:color="auto"/>
            <w:bottom w:val="none" w:sz="0" w:space="0" w:color="auto"/>
            <w:right w:val="none" w:sz="0" w:space="0" w:color="auto"/>
          </w:divBdr>
        </w:div>
        <w:div w:id="1911113601">
          <w:marLeft w:val="640"/>
          <w:marRight w:val="0"/>
          <w:marTop w:val="0"/>
          <w:marBottom w:val="0"/>
          <w:divBdr>
            <w:top w:val="none" w:sz="0" w:space="0" w:color="auto"/>
            <w:left w:val="none" w:sz="0" w:space="0" w:color="auto"/>
            <w:bottom w:val="none" w:sz="0" w:space="0" w:color="auto"/>
            <w:right w:val="none" w:sz="0" w:space="0" w:color="auto"/>
          </w:divBdr>
        </w:div>
        <w:div w:id="1135025835">
          <w:marLeft w:val="640"/>
          <w:marRight w:val="0"/>
          <w:marTop w:val="0"/>
          <w:marBottom w:val="0"/>
          <w:divBdr>
            <w:top w:val="none" w:sz="0" w:space="0" w:color="auto"/>
            <w:left w:val="none" w:sz="0" w:space="0" w:color="auto"/>
            <w:bottom w:val="none" w:sz="0" w:space="0" w:color="auto"/>
            <w:right w:val="none" w:sz="0" w:space="0" w:color="auto"/>
          </w:divBdr>
        </w:div>
        <w:div w:id="462576684">
          <w:marLeft w:val="640"/>
          <w:marRight w:val="0"/>
          <w:marTop w:val="0"/>
          <w:marBottom w:val="0"/>
          <w:divBdr>
            <w:top w:val="none" w:sz="0" w:space="0" w:color="auto"/>
            <w:left w:val="none" w:sz="0" w:space="0" w:color="auto"/>
            <w:bottom w:val="none" w:sz="0" w:space="0" w:color="auto"/>
            <w:right w:val="none" w:sz="0" w:space="0" w:color="auto"/>
          </w:divBdr>
        </w:div>
        <w:div w:id="952829730">
          <w:marLeft w:val="640"/>
          <w:marRight w:val="0"/>
          <w:marTop w:val="0"/>
          <w:marBottom w:val="0"/>
          <w:divBdr>
            <w:top w:val="none" w:sz="0" w:space="0" w:color="auto"/>
            <w:left w:val="none" w:sz="0" w:space="0" w:color="auto"/>
            <w:bottom w:val="none" w:sz="0" w:space="0" w:color="auto"/>
            <w:right w:val="none" w:sz="0" w:space="0" w:color="auto"/>
          </w:divBdr>
        </w:div>
        <w:div w:id="458110164">
          <w:marLeft w:val="640"/>
          <w:marRight w:val="0"/>
          <w:marTop w:val="0"/>
          <w:marBottom w:val="0"/>
          <w:divBdr>
            <w:top w:val="none" w:sz="0" w:space="0" w:color="auto"/>
            <w:left w:val="none" w:sz="0" w:space="0" w:color="auto"/>
            <w:bottom w:val="none" w:sz="0" w:space="0" w:color="auto"/>
            <w:right w:val="none" w:sz="0" w:space="0" w:color="auto"/>
          </w:divBdr>
        </w:div>
        <w:div w:id="975373710">
          <w:marLeft w:val="640"/>
          <w:marRight w:val="0"/>
          <w:marTop w:val="0"/>
          <w:marBottom w:val="0"/>
          <w:divBdr>
            <w:top w:val="none" w:sz="0" w:space="0" w:color="auto"/>
            <w:left w:val="none" w:sz="0" w:space="0" w:color="auto"/>
            <w:bottom w:val="none" w:sz="0" w:space="0" w:color="auto"/>
            <w:right w:val="none" w:sz="0" w:space="0" w:color="auto"/>
          </w:divBdr>
        </w:div>
        <w:div w:id="822939113">
          <w:marLeft w:val="640"/>
          <w:marRight w:val="0"/>
          <w:marTop w:val="0"/>
          <w:marBottom w:val="0"/>
          <w:divBdr>
            <w:top w:val="none" w:sz="0" w:space="0" w:color="auto"/>
            <w:left w:val="none" w:sz="0" w:space="0" w:color="auto"/>
            <w:bottom w:val="none" w:sz="0" w:space="0" w:color="auto"/>
            <w:right w:val="none" w:sz="0" w:space="0" w:color="auto"/>
          </w:divBdr>
        </w:div>
        <w:div w:id="840194418">
          <w:marLeft w:val="640"/>
          <w:marRight w:val="0"/>
          <w:marTop w:val="0"/>
          <w:marBottom w:val="0"/>
          <w:divBdr>
            <w:top w:val="none" w:sz="0" w:space="0" w:color="auto"/>
            <w:left w:val="none" w:sz="0" w:space="0" w:color="auto"/>
            <w:bottom w:val="none" w:sz="0" w:space="0" w:color="auto"/>
            <w:right w:val="none" w:sz="0" w:space="0" w:color="auto"/>
          </w:divBdr>
        </w:div>
        <w:div w:id="173497869">
          <w:marLeft w:val="640"/>
          <w:marRight w:val="0"/>
          <w:marTop w:val="0"/>
          <w:marBottom w:val="0"/>
          <w:divBdr>
            <w:top w:val="none" w:sz="0" w:space="0" w:color="auto"/>
            <w:left w:val="none" w:sz="0" w:space="0" w:color="auto"/>
            <w:bottom w:val="none" w:sz="0" w:space="0" w:color="auto"/>
            <w:right w:val="none" w:sz="0" w:space="0" w:color="auto"/>
          </w:divBdr>
        </w:div>
        <w:div w:id="719402852">
          <w:marLeft w:val="640"/>
          <w:marRight w:val="0"/>
          <w:marTop w:val="0"/>
          <w:marBottom w:val="0"/>
          <w:divBdr>
            <w:top w:val="none" w:sz="0" w:space="0" w:color="auto"/>
            <w:left w:val="none" w:sz="0" w:space="0" w:color="auto"/>
            <w:bottom w:val="none" w:sz="0" w:space="0" w:color="auto"/>
            <w:right w:val="none" w:sz="0" w:space="0" w:color="auto"/>
          </w:divBdr>
        </w:div>
        <w:div w:id="403189966">
          <w:marLeft w:val="640"/>
          <w:marRight w:val="0"/>
          <w:marTop w:val="0"/>
          <w:marBottom w:val="0"/>
          <w:divBdr>
            <w:top w:val="none" w:sz="0" w:space="0" w:color="auto"/>
            <w:left w:val="none" w:sz="0" w:space="0" w:color="auto"/>
            <w:bottom w:val="none" w:sz="0" w:space="0" w:color="auto"/>
            <w:right w:val="none" w:sz="0" w:space="0" w:color="auto"/>
          </w:divBdr>
        </w:div>
        <w:div w:id="1724870357">
          <w:marLeft w:val="640"/>
          <w:marRight w:val="0"/>
          <w:marTop w:val="0"/>
          <w:marBottom w:val="0"/>
          <w:divBdr>
            <w:top w:val="none" w:sz="0" w:space="0" w:color="auto"/>
            <w:left w:val="none" w:sz="0" w:space="0" w:color="auto"/>
            <w:bottom w:val="none" w:sz="0" w:space="0" w:color="auto"/>
            <w:right w:val="none" w:sz="0" w:space="0" w:color="auto"/>
          </w:divBdr>
        </w:div>
        <w:div w:id="127744684">
          <w:marLeft w:val="640"/>
          <w:marRight w:val="0"/>
          <w:marTop w:val="0"/>
          <w:marBottom w:val="0"/>
          <w:divBdr>
            <w:top w:val="none" w:sz="0" w:space="0" w:color="auto"/>
            <w:left w:val="none" w:sz="0" w:space="0" w:color="auto"/>
            <w:bottom w:val="none" w:sz="0" w:space="0" w:color="auto"/>
            <w:right w:val="none" w:sz="0" w:space="0" w:color="auto"/>
          </w:divBdr>
        </w:div>
        <w:div w:id="1762867322">
          <w:marLeft w:val="640"/>
          <w:marRight w:val="0"/>
          <w:marTop w:val="0"/>
          <w:marBottom w:val="0"/>
          <w:divBdr>
            <w:top w:val="none" w:sz="0" w:space="0" w:color="auto"/>
            <w:left w:val="none" w:sz="0" w:space="0" w:color="auto"/>
            <w:bottom w:val="none" w:sz="0" w:space="0" w:color="auto"/>
            <w:right w:val="none" w:sz="0" w:space="0" w:color="auto"/>
          </w:divBdr>
        </w:div>
        <w:div w:id="857737368">
          <w:marLeft w:val="640"/>
          <w:marRight w:val="0"/>
          <w:marTop w:val="0"/>
          <w:marBottom w:val="0"/>
          <w:divBdr>
            <w:top w:val="none" w:sz="0" w:space="0" w:color="auto"/>
            <w:left w:val="none" w:sz="0" w:space="0" w:color="auto"/>
            <w:bottom w:val="none" w:sz="0" w:space="0" w:color="auto"/>
            <w:right w:val="none" w:sz="0" w:space="0" w:color="auto"/>
          </w:divBdr>
        </w:div>
        <w:div w:id="668750878">
          <w:marLeft w:val="640"/>
          <w:marRight w:val="0"/>
          <w:marTop w:val="0"/>
          <w:marBottom w:val="0"/>
          <w:divBdr>
            <w:top w:val="none" w:sz="0" w:space="0" w:color="auto"/>
            <w:left w:val="none" w:sz="0" w:space="0" w:color="auto"/>
            <w:bottom w:val="none" w:sz="0" w:space="0" w:color="auto"/>
            <w:right w:val="none" w:sz="0" w:space="0" w:color="auto"/>
          </w:divBdr>
        </w:div>
        <w:div w:id="363672853">
          <w:marLeft w:val="640"/>
          <w:marRight w:val="0"/>
          <w:marTop w:val="0"/>
          <w:marBottom w:val="0"/>
          <w:divBdr>
            <w:top w:val="none" w:sz="0" w:space="0" w:color="auto"/>
            <w:left w:val="none" w:sz="0" w:space="0" w:color="auto"/>
            <w:bottom w:val="none" w:sz="0" w:space="0" w:color="auto"/>
            <w:right w:val="none" w:sz="0" w:space="0" w:color="auto"/>
          </w:divBdr>
        </w:div>
        <w:div w:id="252009618">
          <w:marLeft w:val="640"/>
          <w:marRight w:val="0"/>
          <w:marTop w:val="0"/>
          <w:marBottom w:val="0"/>
          <w:divBdr>
            <w:top w:val="none" w:sz="0" w:space="0" w:color="auto"/>
            <w:left w:val="none" w:sz="0" w:space="0" w:color="auto"/>
            <w:bottom w:val="none" w:sz="0" w:space="0" w:color="auto"/>
            <w:right w:val="none" w:sz="0" w:space="0" w:color="auto"/>
          </w:divBdr>
        </w:div>
        <w:div w:id="1779985040">
          <w:marLeft w:val="640"/>
          <w:marRight w:val="0"/>
          <w:marTop w:val="0"/>
          <w:marBottom w:val="0"/>
          <w:divBdr>
            <w:top w:val="none" w:sz="0" w:space="0" w:color="auto"/>
            <w:left w:val="none" w:sz="0" w:space="0" w:color="auto"/>
            <w:bottom w:val="none" w:sz="0" w:space="0" w:color="auto"/>
            <w:right w:val="none" w:sz="0" w:space="0" w:color="auto"/>
          </w:divBdr>
        </w:div>
        <w:div w:id="781193713">
          <w:marLeft w:val="640"/>
          <w:marRight w:val="0"/>
          <w:marTop w:val="0"/>
          <w:marBottom w:val="0"/>
          <w:divBdr>
            <w:top w:val="none" w:sz="0" w:space="0" w:color="auto"/>
            <w:left w:val="none" w:sz="0" w:space="0" w:color="auto"/>
            <w:bottom w:val="none" w:sz="0" w:space="0" w:color="auto"/>
            <w:right w:val="none" w:sz="0" w:space="0" w:color="auto"/>
          </w:divBdr>
        </w:div>
        <w:div w:id="1717972058">
          <w:marLeft w:val="640"/>
          <w:marRight w:val="0"/>
          <w:marTop w:val="0"/>
          <w:marBottom w:val="0"/>
          <w:divBdr>
            <w:top w:val="none" w:sz="0" w:space="0" w:color="auto"/>
            <w:left w:val="none" w:sz="0" w:space="0" w:color="auto"/>
            <w:bottom w:val="none" w:sz="0" w:space="0" w:color="auto"/>
            <w:right w:val="none" w:sz="0" w:space="0" w:color="auto"/>
          </w:divBdr>
        </w:div>
        <w:div w:id="18707080">
          <w:marLeft w:val="640"/>
          <w:marRight w:val="0"/>
          <w:marTop w:val="0"/>
          <w:marBottom w:val="0"/>
          <w:divBdr>
            <w:top w:val="none" w:sz="0" w:space="0" w:color="auto"/>
            <w:left w:val="none" w:sz="0" w:space="0" w:color="auto"/>
            <w:bottom w:val="none" w:sz="0" w:space="0" w:color="auto"/>
            <w:right w:val="none" w:sz="0" w:space="0" w:color="auto"/>
          </w:divBdr>
        </w:div>
        <w:div w:id="2013797513">
          <w:marLeft w:val="640"/>
          <w:marRight w:val="0"/>
          <w:marTop w:val="0"/>
          <w:marBottom w:val="0"/>
          <w:divBdr>
            <w:top w:val="none" w:sz="0" w:space="0" w:color="auto"/>
            <w:left w:val="none" w:sz="0" w:space="0" w:color="auto"/>
            <w:bottom w:val="none" w:sz="0" w:space="0" w:color="auto"/>
            <w:right w:val="none" w:sz="0" w:space="0" w:color="auto"/>
          </w:divBdr>
        </w:div>
        <w:div w:id="1370298005">
          <w:marLeft w:val="640"/>
          <w:marRight w:val="0"/>
          <w:marTop w:val="0"/>
          <w:marBottom w:val="0"/>
          <w:divBdr>
            <w:top w:val="none" w:sz="0" w:space="0" w:color="auto"/>
            <w:left w:val="none" w:sz="0" w:space="0" w:color="auto"/>
            <w:bottom w:val="none" w:sz="0" w:space="0" w:color="auto"/>
            <w:right w:val="none" w:sz="0" w:space="0" w:color="auto"/>
          </w:divBdr>
        </w:div>
        <w:div w:id="1763992800">
          <w:marLeft w:val="640"/>
          <w:marRight w:val="0"/>
          <w:marTop w:val="0"/>
          <w:marBottom w:val="0"/>
          <w:divBdr>
            <w:top w:val="none" w:sz="0" w:space="0" w:color="auto"/>
            <w:left w:val="none" w:sz="0" w:space="0" w:color="auto"/>
            <w:bottom w:val="none" w:sz="0" w:space="0" w:color="auto"/>
            <w:right w:val="none" w:sz="0" w:space="0" w:color="auto"/>
          </w:divBdr>
        </w:div>
        <w:div w:id="440881102">
          <w:marLeft w:val="640"/>
          <w:marRight w:val="0"/>
          <w:marTop w:val="0"/>
          <w:marBottom w:val="0"/>
          <w:divBdr>
            <w:top w:val="none" w:sz="0" w:space="0" w:color="auto"/>
            <w:left w:val="none" w:sz="0" w:space="0" w:color="auto"/>
            <w:bottom w:val="none" w:sz="0" w:space="0" w:color="auto"/>
            <w:right w:val="none" w:sz="0" w:space="0" w:color="auto"/>
          </w:divBdr>
        </w:div>
        <w:div w:id="1128161964">
          <w:marLeft w:val="640"/>
          <w:marRight w:val="0"/>
          <w:marTop w:val="0"/>
          <w:marBottom w:val="0"/>
          <w:divBdr>
            <w:top w:val="none" w:sz="0" w:space="0" w:color="auto"/>
            <w:left w:val="none" w:sz="0" w:space="0" w:color="auto"/>
            <w:bottom w:val="none" w:sz="0" w:space="0" w:color="auto"/>
            <w:right w:val="none" w:sz="0" w:space="0" w:color="auto"/>
          </w:divBdr>
        </w:div>
        <w:div w:id="1929389255">
          <w:marLeft w:val="640"/>
          <w:marRight w:val="0"/>
          <w:marTop w:val="0"/>
          <w:marBottom w:val="0"/>
          <w:divBdr>
            <w:top w:val="none" w:sz="0" w:space="0" w:color="auto"/>
            <w:left w:val="none" w:sz="0" w:space="0" w:color="auto"/>
            <w:bottom w:val="none" w:sz="0" w:space="0" w:color="auto"/>
            <w:right w:val="none" w:sz="0" w:space="0" w:color="auto"/>
          </w:divBdr>
        </w:div>
        <w:div w:id="1790661887">
          <w:marLeft w:val="640"/>
          <w:marRight w:val="0"/>
          <w:marTop w:val="0"/>
          <w:marBottom w:val="0"/>
          <w:divBdr>
            <w:top w:val="none" w:sz="0" w:space="0" w:color="auto"/>
            <w:left w:val="none" w:sz="0" w:space="0" w:color="auto"/>
            <w:bottom w:val="none" w:sz="0" w:space="0" w:color="auto"/>
            <w:right w:val="none" w:sz="0" w:space="0" w:color="auto"/>
          </w:divBdr>
        </w:div>
        <w:div w:id="1533880415">
          <w:marLeft w:val="640"/>
          <w:marRight w:val="0"/>
          <w:marTop w:val="0"/>
          <w:marBottom w:val="0"/>
          <w:divBdr>
            <w:top w:val="none" w:sz="0" w:space="0" w:color="auto"/>
            <w:left w:val="none" w:sz="0" w:space="0" w:color="auto"/>
            <w:bottom w:val="none" w:sz="0" w:space="0" w:color="auto"/>
            <w:right w:val="none" w:sz="0" w:space="0" w:color="auto"/>
          </w:divBdr>
        </w:div>
        <w:div w:id="1631282593">
          <w:marLeft w:val="640"/>
          <w:marRight w:val="0"/>
          <w:marTop w:val="0"/>
          <w:marBottom w:val="0"/>
          <w:divBdr>
            <w:top w:val="none" w:sz="0" w:space="0" w:color="auto"/>
            <w:left w:val="none" w:sz="0" w:space="0" w:color="auto"/>
            <w:bottom w:val="none" w:sz="0" w:space="0" w:color="auto"/>
            <w:right w:val="none" w:sz="0" w:space="0" w:color="auto"/>
          </w:divBdr>
        </w:div>
        <w:div w:id="109055130">
          <w:marLeft w:val="640"/>
          <w:marRight w:val="0"/>
          <w:marTop w:val="0"/>
          <w:marBottom w:val="0"/>
          <w:divBdr>
            <w:top w:val="none" w:sz="0" w:space="0" w:color="auto"/>
            <w:left w:val="none" w:sz="0" w:space="0" w:color="auto"/>
            <w:bottom w:val="none" w:sz="0" w:space="0" w:color="auto"/>
            <w:right w:val="none" w:sz="0" w:space="0" w:color="auto"/>
          </w:divBdr>
        </w:div>
        <w:div w:id="152911779">
          <w:marLeft w:val="640"/>
          <w:marRight w:val="0"/>
          <w:marTop w:val="0"/>
          <w:marBottom w:val="0"/>
          <w:divBdr>
            <w:top w:val="none" w:sz="0" w:space="0" w:color="auto"/>
            <w:left w:val="none" w:sz="0" w:space="0" w:color="auto"/>
            <w:bottom w:val="none" w:sz="0" w:space="0" w:color="auto"/>
            <w:right w:val="none" w:sz="0" w:space="0" w:color="auto"/>
          </w:divBdr>
        </w:div>
        <w:div w:id="1944608023">
          <w:marLeft w:val="640"/>
          <w:marRight w:val="0"/>
          <w:marTop w:val="0"/>
          <w:marBottom w:val="0"/>
          <w:divBdr>
            <w:top w:val="none" w:sz="0" w:space="0" w:color="auto"/>
            <w:left w:val="none" w:sz="0" w:space="0" w:color="auto"/>
            <w:bottom w:val="none" w:sz="0" w:space="0" w:color="auto"/>
            <w:right w:val="none" w:sz="0" w:space="0" w:color="auto"/>
          </w:divBdr>
        </w:div>
        <w:div w:id="1448115219">
          <w:marLeft w:val="640"/>
          <w:marRight w:val="0"/>
          <w:marTop w:val="0"/>
          <w:marBottom w:val="0"/>
          <w:divBdr>
            <w:top w:val="none" w:sz="0" w:space="0" w:color="auto"/>
            <w:left w:val="none" w:sz="0" w:space="0" w:color="auto"/>
            <w:bottom w:val="none" w:sz="0" w:space="0" w:color="auto"/>
            <w:right w:val="none" w:sz="0" w:space="0" w:color="auto"/>
          </w:divBdr>
        </w:div>
        <w:div w:id="532545715">
          <w:marLeft w:val="640"/>
          <w:marRight w:val="0"/>
          <w:marTop w:val="0"/>
          <w:marBottom w:val="0"/>
          <w:divBdr>
            <w:top w:val="none" w:sz="0" w:space="0" w:color="auto"/>
            <w:left w:val="none" w:sz="0" w:space="0" w:color="auto"/>
            <w:bottom w:val="none" w:sz="0" w:space="0" w:color="auto"/>
            <w:right w:val="none" w:sz="0" w:space="0" w:color="auto"/>
          </w:divBdr>
        </w:div>
        <w:div w:id="1744139261">
          <w:marLeft w:val="640"/>
          <w:marRight w:val="0"/>
          <w:marTop w:val="0"/>
          <w:marBottom w:val="0"/>
          <w:divBdr>
            <w:top w:val="none" w:sz="0" w:space="0" w:color="auto"/>
            <w:left w:val="none" w:sz="0" w:space="0" w:color="auto"/>
            <w:bottom w:val="none" w:sz="0" w:space="0" w:color="auto"/>
            <w:right w:val="none" w:sz="0" w:space="0" w:color="auto"/>
          </w:divBdr>
        </w:div>
        <w:div w:id="1371569354">
          <w:marLeft w:val="640"/>
          <w:marRight w:val="0"/>
          <w:marTop w:val="0"/>
          <w:marBottom w:val="0"/>
          <w:divBdr>
            <w:top w:val="none" w:sz="0" w:space="0" w:color="auto"/>
            <w:left w:val="none" w:sz="0" w:space="0" w:color="auto"/>
            <w:bottom w:val="none" w:sz="0" w:space="0" w:color="auto"/>
            <w:right w:val="none" w:sz="0" w:space="0" w:color="auto"/>
          </w:divBdr>
        </w:div>
        <w:div w:id="41171960">
          <w:marLeft w:val="640"/>
          <w:marRight w:val="0"/>
          <w:marTop w:val="0"/>
          <w:marBottom w:val="0"/>
          <w:divBdr>
            <w:top w:val="none" w:sz="0" w:space="0" w:color="auto"/>
            <w:left w:val="none" w:sz="0" w:space="0" w:color="auto"/>
            <w:bottom w:val="none" w:sz="0" w:space="0" w:color="auto"/>
            <w:right w:val="none" w:sz="0" w:space="0" w:color="auto"/>
          </w:divBdr>
        </w:div>
        <w:div w:id="931427283">
          <w:marLeft w:val="640"/>
          <w:marRight w:val="0"/>
          <w:marTop w:val="0"/>
          <w:marBottom w:val="0"/>
          <w:divBdr>
            <w:top w:val="none" w:sz="0" w:space="0" w:color="auto"/>
            <w:left w:val="none" w:sz="0" w:space="0" w:color="auto"/>
            <w:bottom w:val="none" w:sz="0" w:space="0" w:color="auto"/>
            <w:right w:val="none" w:sz="0" w:space="0" w:color="auto"/>
          </w:divBdr>
        </w:div>
        <w:div w:id="534319110">
          <w:marLeft w:val="640"/>
          <w:marRight w:val="0"/>
          <w:marTop w:val="0"/>
          <w:marBottom w:val="0"/>
          <w:divBdr>
            <w:top w:val="none" w:sz="0" w:space="0" w:color="auto"/>
            <w:left w:val="none" w:sz="0" w:space="0" w:color="auto"/>
            <w:bottom w:val="none" w:sz="0" w:space="0" w:color="auto"/>
            <w:right w:val="none" w:sz="0" w:space="0" w:color="auto"/>
          </w:divBdr>
        </w:div>
        <w:div w:id="1183595808">
          <w:marLeft w:val="640"/>
          <w:marRight w:val="0"/>
          <w:marTop w:val="0"/>
          <w:marBottom w:val="0"/>
          <w:divBdr>
            <w:top w:val="none" w:sz="0" w:space="0" w:color="auto"/>
            <w:left w:val="none" w:sz="0" w:space="0" w:color="auto"/>
            <w:bottom w:val="none" w:sz="0" w:space="0" w:color="auto"/>
            <w:right w:val="none" w:sz="0" w:space="0" w:color="auto"/>
          </w:divBdr>
        </w:div>
        <w:div w:id="430928785">
          <w:marLeft w:val="640"/>
          <w:marRight w:val="0"/>
          <w:marTop w:val="0"/>
          <w:marBottom w:val="0"/>
          <w:divBdr>
            <w:top w:val="none" w:sz="0" w:space="0" w:color="auto"/>
            <w:left w:val="none" w:sz="0" w:space="0" w:color="auto"/>
            <w:bottom w:val="none" w:sz="0" w:space="0" w:color="auto"/>
            <w:right w:val="none" w:sz="0" w:space="0" w:color="auto"/>
          </w:divBdr>
        </w:div>
        <w:div w:id="829827824">
          <w:marLeft w:val="640"/>
          <w:marRight w:val="0"/>
          <w:marTop w:val="0"/>
          <w:marBottom w:val="0"/>
          <w:divBdr>
            <w:top w:val="none" w:sz="0" w:space="0" w:color="auto"/>
            <w:left w:val="none" w:sz="0" w:space="0" w:color="auto"/>
            <w:bottom w:val="none" w:sz="0" w:space="0" w:color="auto"/>
            <w:right w:val="none" w:sz="0" w:space="0" w:color="auto"/>
          </w:divBdr>
        </w:div>
        <w:div w:id="1577089172">
          <w:marLeft w:val="640"/>
          <w:marRight w:val="0"/>
          <w:marTop w:val="0"/>
          <w:marBottom w:val="0"/>
          <w:divBdr>
            <w:top w:val="none" w:sz="0" w:space="0" w:color="auto"/>
            <w:left w:val="none" w:sz="0" w:space="0" w:color="auto"/>
            <w:bottom w:val="none" w:sz="0" w:space="0" w:color="auto"/>
            <w:right w:val="none" w:sz="0" w:space="0" w:color="auto"/>
          </w:divBdr>
        </w:div>
        <w:div w:id="1931428213">
          <w:marLeft w:val="640"/>
          <w:marRight w:val="0"/>
          <w:marTop w:val="0"/>
          <w:marBottom w:val="0"/>
          <w:divBdr>
            <w:top w:val="none" w:sz="0" w:space="0" w:color="auto"/>
            <w:left w:val="none" w:sz="0" w:space="0" w:color="auto"/>
            <w:bottom w:val="none" w:sz="0" w:space="0" w:color="auto"/>
            <w:right w:val="none" w:sz="0" w:space="0" w:color="auto"/>
          </w:divBdr>
        </w:div>
        <w:div w:id="1313291604">
          <w:marLeft w:val="640"/>
          <w:marRight w:val="0"/>
          <w:marTop w:val="0"/>
          <w:marBottom w:val="0"/>
          <w:divBdr>
            <w:top w:val="none" w:sz="0" w:space="0" w:color="auto"/>
            <w:left w:val="none" w:sz="0" w:space="0" w:color="auto"/>
            <w:bottom w:val="none" w:sz="0" w:space="0" w:color="auto"/>
            <w:right w:val="none" w:sz="0" w:space="0" w:color="auto"/>
          </w:divBdr>
        </w:div>
        <w:div w:id="1757437414">
          <w:marLeft w:val="640"/>
          <w:marRight w:val="0"/>
          <w:marTop w:val="0"/>
          <w:marBottom w:val="0"/>
          <w:divBdr>
            <w:top w:val="none" w:sz="0" w:space="0" w:color="auto"/>
            <w:left w:val="none" w:sz="0" w:space="0" w:color="auto"/>
            <w:bottom w:val="none" w:sz="0" w:space="0" w:color="auto"/>
            <w:right w:val="none" w:sz="0" w:space="0" w:color="auto"/>
          </w:divBdr>
        </w:div>
        <w:div w:id="1462839791">
          <w:marLeft w:val="640"/>
          <w:marRight w:val="0"/>
          <w:marTop w:val="0"/>
          <w:marBottom w:val="0"/>
          <w:divBdr>
            <w:top w:val="none" w:sz="0" w:space="0" w:color="auto"/>
            <w:left w:val="none" w:sz="0" w:space="0" w:color="auto"/>
            <w:bottom w:val="none" w:sz="0" w:space="0" w:color="auto"/>
            <w:right w:val="none" w:sz="0" w:space="0" w:color="auto"/>
          </w:divBdr>
        </w:div>
        <w:div w:id="1501042831">
          <w:marLeft w:val="640"/>
          <w:marRight w:val="0"/>
          <w:marTop w:val="0"/>
          <w:marBottom w:val="0"/>
          <w:divBdr>
            <w:top w:val="none" w:sz="0" w:space="0" w:color="auto"/>
            <w:left w:val="none" w:sz="0" w:space="0" w:color="auto"/>
            <w:bottom w:val="none" w:sz="0" w:space="0" w:color="auto"/>
            <w:right w:val="none" w:sz="0" w:space="0" w:color="auto"/>
          </w:divBdr>
        </w:div>
        <w:div w:id="866867440">
          <w:marLeft w:val="640"/>
          <w:marRight w:val="0"/>
          <w:marTop w:val="0"/>
          <w:marBottom w:val="0"/>
          <w:divBdr>
            <w:top w:val="none" w:sz="0" w:space="0" w:color="auto"/>
            <w:left w:val="none" w:sz="0" w:space="0" w:color="auto"/>
            <w:bottom w:val="none" w:sz="0" w:space="0" w:color="auto"/>
            <w:right w:val="none" w:sz="0" w:space="0" w:color="auto"/>
          </w:divBdr>
        </w:div>
        <w:div w:id="436021863">
          <w:marLeft w:val="640"/>
          <w:marRight w:val="0"/>
          <w:marTop w:val="0"/>
          <w:marBottom w:val="0"/>
          <w:divBdr>
            <w:top w:val="none" w:sz="0" w:space="0" w:color="auto"/>
            <w:left w:val="none" w:sz="0" w:space="0" w:color="auto"/>
            <w:bottom w:val="none" w:sz="0" w:space="0" w:color="auto"/>
            <w:right w:val="none" w:sz="0" w:space="0" w:color="auto"/>
          </w:divBdr>
        </w:div>
        <w:div w:id="903225177">
          <w:marLeft w:val="640"/>
          <w:marRight w:val="0"/>
          <w:marTop w:val="0"/>
          <w:marBottom w:val="0"/>
          <w:divBdr>
            <w:top w:val="none" w:sz="0" w:space="0" w:color="auto"/>
            <w:left w:val="none" w:sz="0" w:space="0" w:color="auto"/>
            <w:bottom w:val="none" w:sz="0" w:space="0" w:color="auto"/>
            <w:right w:val="none" w:sz="0" w:space="0" w:color="auto"/>
          </w:divBdr>
        </w:div>
        <w:div w:id="428475227">
          <w:marLeft w:val="640"/>
          <w:marRight w:val="0"/>
          <w:marTop w:val="0"/>
          <w:marBottom w:val="0"/>
          <w:divBdr>
            <w:top w:val="none" w:sz="0" w:space="0" w:color="auto"/>
            <w:left w:val="none" w:sz="0" w:space="0" w:color="auto"/>
            <w:bottom w:val="none" w:sz="0" w:space="0" w:color="auto"/>
            <w:right w:val="none" w:sz="0" w:space="0" w:color="auto"/>
          </w:divBdr>
        </w:div>
        <w:div w:id="932518383">
          <w:marLeft w:val="640"/>
          <w:marRight w:val="0"/>
          <w:marTop w:val="0"/>
          <w:marBottom w:val="0"/>
          <w:divBdr>
            <w:top w:val="none" w:sz="0" w:space="0" w:color="auto"/>
            <w:left w:val="none" w:sz="0" w:space="0" w:color="auto"/>
            <w:bottom w:val="none" w:sz="0" w:space="0" w:color="auto"/>
            <w:right w:val="none" w:sz="0" w:space="0" w:color="auto"/>
          </w:divBdr>
        </w:div>
        <w:div w:id="1687826863">
          <w:marLeft w:val="640"/>
          <w:marRight w:val="0"/>
          <w:marTop w:val="0"/>
          <w:marBottom w:val="0"/>
          <w:divBdr>
            <w:top w:val="none" w:sz="0" w:space="0" w:color="auto"/>
            <w:left w:val="none" w:sz="0" w:space="0" w:color="auto"/>
            <w:bottom w:val="none" w:sz="0" w:space="0" w:color="auto"/>
            <w:right w:val="none" w:sz="0" w:space="0" w:color="auto"/>
          </w:divBdr>
        </w:div>
        <w:div w:id="574706634">
          <w:marLeft w:val="640"/>
          <w:marRight w:val="0"/>
          <w:marTop w:val="0"/>
          <w:marBottom w:val="0"/>
          <w:divBdr>
            <w:top w:val="none" w:sz="0" w:space="0" w:color="auto"/>
            <w:left w:val="none" w:sz="0" w:space="0" w:color="auto"/>
            <w:bottom w:val="none" w:sz="0" w:space="0" w:color="auto"/>
            <w:right w:val="none" w:sz="0" w:space="0" w:color="auto"/>
          </w:divBdr>
        </w:div>
        <w:div w:id="2103067627">
          <w:marLeft w:val="640"/>
          <w:marRight w:val="0"/>
          <w:marTop w:val="0"/>
          <w:marBottom w:val="0"/>
          <w:divBdr>
            <w:top w:val="none" w:sz="0" w:space="0" w:color="auto"/>
            <w:left w:val="none" w:sz="0" w:space="0" w:color="auto"/>
            <w:bottom w:val="none" w:sz="0" w:space="0" w:color="auto"/>
            <w:right w:val="none" w:sz="0" w:space="0" w:color="auto"/>
          </w:divBdr>
        </w:div>
        <w:div w:id="459809400">
          <w:marLeft w:val="640"/>
          <w:marRight w:val="0"/>
          <w:marTop w:val="0"/>
          <w:marBottom w:val="0"/>
          <w:divBdr>
            <w:top w:val="none" w:sz="0" w:space="0" w:color="auto"/>
            <w:left w:val="none" w:sz="0" w:space="0" w:color="auto"/>
            <w:bottom w:val="none" w:sz="0" w:space="0" w:color="auto"/>
            <w:right w:val="none" w:sz="0" w:space="0" w:color="auto"/>
          </w:divBdr>
        </w:div>
        <w:div w:id="1842037975">
          <w:marLeft w:val="640"/>
          <w:marRight w:val="0"/>
          <w:marTop w:val="0"/>
          <w:marBottom w:val="0"/>
          <w:divBdr>
            <w:top w:val="none" w:sz="0" w:space="0" w:color="auto"/>
            <w:left w:val="none" w:sz="0" w:space="0" w:color="auto"/>
            <w:bottom w:val="none" w:sz="0" w:space="0" w:color="auto"/>
            <w:right w:val="none" w:sz="0" w:space="0" w:color="auto"/>
          </w:divBdr>
        </w:div>
        <w:div w:id="2056932192">
          <w:marLeft w:val="640"/>
          <w:marRight w:val="0"/>
          <w:marTop w:val="0"/>
          <w:marBottom w:val="0"/>
          <w:divBdr>
            <w:top w:val="none" w:sz="0" w:space="0" w:color="auto"/>
            <w:left w:val="none" w:sz="0" w:space="0" w:color="auto"/>
            <w:bottom w:val="none" w:sz="0" w:space="0" w:color="auto"/>
            <w:right w:val="none" w:sz="0" w:space="0" w:color="auto"/>
          </w:divBdr>
        </w:div>
        <w:div w:id="1096439252">
          <w:marLeft w:val="640"/>
          <w:marRight w:val="0"/>
          <w:marTop w:val="0"/>
          <w:marBottom w:val="0"/>
          <w:divBdr>
            <w:top w:val="none" w:sz="0" w:space="0" w:color="auto"/>
            <w:left w:val="none" w:sz="0" w:space="0" w:color="auto"/>
            <w:bottom w:val="none" w:sz="0" w:space="0" w:color="auto"/>
            <w:right w:val="none" w:sz="0" w:space="0" w:color="auto"/>
          </w:divBdr>
        </w:div>
        <w:div w:id="1459564097">
          <w:marLeft w:val="640"/>
          <w:marRight w:val="0"/>
          <w:marTop w:val="0"/>
          <w:marBottom w:val="0"/>
          <w:divBdr>
            <w:top w:val="none" w:sz="0" w:space="0" w:color="auto"/>
            <w:left w:val="none" w:sz="0" w:space="0" w:color="auto"/>
            <w:bottom w:val="none" w:sz="0" w:space="0" w:color="auto"/>
            <w:right w:val="none" w:sz="0" w:space="0" w:color="auto"/>
          </w:divBdr>
        </w:div>
        <w:div w:id="406848250">
          <w:marLeft w:val="640"/>
          <w:marRight w:val="0"/>
          <w:marTop w:val="0"/>
          <w:marBottom w:val="0"/>
          <w:divBdr>
            <w:top w:val="none" w:sz="0" w:space="0" w:color="auto"/>
            <w:left w:val="none" w:sz="0" w:space="0" w:color="auto"/>
            <w:bottom w:val="none" w:sz="0" w:space="0" w:color="auto"/>
            <w:right w:val="none" w:sz="0" w:space="0" w:color="auto"/>
          </w:divBdr>
        </w:div>
        <w:div w:id="893347229">
          <w:marLeft w:val="640"/>
          <w:marRight w:val="0"/>
          <w:marTop w:val="0"/>
          <w:marBottom w:val="0"/>
          <w:divBdr>
            <w:top w:val="none" w:sz="0" w:space="0" w:color="auto"/>
            <w:left w:val="none" w:sz="0" w:space="0" w:color="auto"/>
            <w:bottom w:val="none" w:sz="0" w:space="0" w:color="auto"/>
            <w:right w:val="none" w:sz="0" w:space="0" w:color="auto"/>
          </w:divBdr>
        </w:div>
        <w:div w:id="1855683182">
          <w:marLeft w:val="640"/>
          <w:marRight w:val="0"/>
          <w:marTop w:val="0"/>
          <w:marBottom w:val="0"/>
          <w:divBdr>
            <w:top w:val="none" w:sz="0" w:space="0" w:color="auto"/>
            <w:left w:val="none" w:sz="0" w:space="0" w:color="auto"/>
            <w:bottom w:val="none" w:sz="0" w:space="0" w:color="auto"/>
            <w:right w:val="none" w:sz="0" w:space="0" w:color="auto"/>
          </w:divBdr>
        </w:div>
        <w:div w:id="2072652163">
          <w:marLeft w:val="640"/>
          <w:marRight w:val="0"/>
          <w:marTop w:val="0"/>
          <w:marBottom w:val="0"/>
          <w:divBdr>
            <w:top w:val="none" w:sz="0" w:space="0" w:color="auto"/>
            <w:left w:val="none" w:sz="0" w:space="0" w:color="auto"/>
            <w:bottom w:val="none" w:sz="0" w:space="0" w:color="auto"/>
            <w:right w:val="none" w:sz="0" w:space="0" w:color="auto"/>
          </w:divBdr>
        </w:div>
        <w:div w:id="723991327">
          <w:marLeft w:val="640"/>
          <w:marRight w:val="0"/>
          <w:marTop w:val="0"/>
          <w:marBottom w:val="0"/>
          <w:divBdr>
            <w:top w:val="none" w:sz="0" w:space="0" w:color="auto"/>
            <w:left w:val="none" w:sz="0" w:space="0" w:color="auto"/>
            <w:bottom w:val="none" w:sz="0" w:space="0" w:color="auto"/>
            <w:right w:val="none" w:sz="0" w:space="0" w:color="auto"/>
          </w:divBdr>
        </w:div>
        <w:div w:id="937910827">
          <w:marLeft w:val="640"/>
          <w:marRight w:val="0"/>
          <w:marTop w:val="0"/>
          <w:marBottom w:val="0"/>
          <w:divBdr>
            <w:top w:val="none" w:sz="0" w:space="0" w:color="auto"/>
            <w:left w:val="none" w:sz="0" w:space="0" w:color="auto"/>
            <w:bottom w:val="none" w:sz="0" w:space="0" w:color="auto"/>
            <w:right w:val="none" w:sz="0" w:space="0" w:color="auto"/>
          </w:divBdr>
        </w:div>
        <w:div w:id="694232782">
          <w:marLeft w:val="640"/>
          <w:marRight w:val="0"/>
          <w:marTop w:val="0"/>
          <w:marBottom w:val="0"/>
          <w:divBdr>
            <w:top w:val="none" w:sz="0" w:space="0" w:color="auto"/>
            <w:left w:val="none" w:sz="0" w:space="0" w:color="auto"/>
            <w:bottom w:val="none" w:sz="0" w:space="0" w:color="auto"/>
            <w:right w:val="none" w:sz="0" w:space="0" w:color="auto"/>
          </w:divBdr>
        </w:div>
        <w:div w:id="1154613524">
          <w:marLeft w:val="640"/>
          <w:marRight w:val="0"/>
          <w:marTop w:val="0"/>
          <w:marBottom w:val="0"/>
          <w:divBdr>
            <w:top w:val="none" w:sz="0" w:space="0" w:color="auto"/>
            <w:left w:val="none" w:sz="0" w:space="0" w:color="auto"/>
            <w:bottom w:val="none" w:sz="0" w:space="0" w:color="auto"/>
            <w:right w:val="none" w:sz="0" w:space="0" w:color="auto"/>
          </w:divBdr>
        </w:div>
        <w:div w:id="1629504088">
          <w:marLeft w:val="640"/>
          <w:marRight w:val="0"/>
          <w:marTop w:val="0"/>
          <w:marBottom w:val="0"/>
          <w:divBdr>
            <w:top w:val="none" w:sz="0" w:space="0" w:color="auto"/>
            <w:left w:val="none" w:sz="0" w:space="0" w:color="auto"/>
            <w:bottom w:val="none" w:sz="0" w:space="0" w:color="auto"/>
            <w:right w:val="none" w:sz="0" w:space="0" w:color="auto"/>
          </w:divBdr>
        </w:div>
        <w:div w:id="1069423795">
          <w:marLeft w:val="640"/>
          <w:marRight w:val="0"/>
          <w:marTop w:val="0"/>
          <w:marBottom w:val="0"/>
          <w:divBdr>
            <w:top w:val="none" w:sz="0" w:space="0" w:color="auto"/>
            <w:left w:val="none" w:sz="0" w:space="0" w:color="auto"/>
            <w:bottom w:val="none" w:sz="0" w:space="0" w:color="auto"/>
            <w:right w:val="none" w:sz="0" w:space="0" w:color="auto"/>
          </w:divBdr>
        </w:div>
        <w:div w:id="189609690">
          <w:marLeft w:val="640"/>
          <w:marRight w:val="0"/>
          <w:marTop w:val="0"/>
          <w:marBottom w:val="0"/>
          <w:divBdr>
            <w:top w:val="none" w:sz="0" w:space="0" w:color="auto"/>
            <w:left w:val="none" w:sz="0" w:space="0" w:color="auto"/>
            <w:bottom w:val="none" w:sz="0" w:space="0" w:color="auto"/>
            <w:right w:val="none" w:sz="0" w:space="0" w:color="auto"/>
          </w:divBdr>
        </w:div>
        <w:div w:id="1573081331">
          <w:marLeft w:val="640"/>
          <w:marRight w:val="0"/>
          <w:marTop w:val="0"/>
          <w:marBottom w:val="0"/>
          <w:divBdr>
            <w:top w:val="none" w:sz="0" w:space="0" w:color="auto"/>
            <w:left w:val="none" w:sz="0" w:space="0" w:color="auto"/>
            <w:bottom w:val="none" w:sz="0" w:space="0" w:color="auto"/>
            <w:right w:val="none" w:sz="0" w:space="0" w:color="auto"/>
          </w:divBdr>
        </w:div>
        <w:div w:id="227804799">
          <w:marLeft w:val="640"/>
          <w:marRight w:val="0"/>
          <w:marTop w:val="0"/>
          <w:marBottom w:val="0"/>
          <w:divBdr>
            <w:top w:val="none" w:sz="0" w:space="0" w:color="auto"/>
            <w:left w:val="none" w:sz="0" w:space="0" w:color="auto"/>
            <w:bottom w:val="none" w:sz="0" w:space="0" w:color="auto"/>
            <w:right w:val="none" w:sz="0" w:space="0" w:color="auto"/>
          </w:divBdr>
        </w:div>
        <w:div w:id="1298995999">
          <w:marLeft w:val="640"/>
          <w:marRight w:val="0"/>
          <w:marTop w:val="0"/>
          <w:marBottom w:val="0"/>
          <w:divBdr>
            <w:top w:val="none" w:sz="0" w:space="0" w:color="auto"/>
            <w:left w:val="none" w:sz="0" w:space="0" w:color="auto"/>
            <w:bottom w:val="none" w:sz="0" w:space="0" w:color="auto"/>
            <w:right w:val="none" w:sz="0" w:space="0" w:color="auto"/>
          </w:divBdr>
        </w:div>
        <w:div w:id="2015306284">
          <w:marLeft w:val="640"/>
          <w:marRight w:val="0"/>
          <w:marTop w:val="0"/>
          <w:marBottom w:val="0"/>
          <w:divBdr>
            <w:top w:val="none" w:sz="0" w:space="0" w:color="auto"/>
            <w:left w:val="none" w:sz="0" w:space="0" w:color="auto"/>
            <w:bottom w:val="none" w:sz="0" w:space="0" w:color="auto"/>
            <w:right w:val="none" w:sz="0" w:space="0" w:color="auto"/>
          </w:divBdr>
        </w:div>
        <w:div w:id="314577061">
          <w:marLeft w:val="640"/>
          <w:marRight w:val="0"/>
          <w:marTop w:val="0"/>
          <w:marBottom w:val="0"/>
          <w:divBdr>
            <w:top w:val="none" w:sz="0" w:space="0" w:color="auto"/>
            <w:left w:val="none" w:sz="0" w:space="0" w:color="auto"/>
            <w:bottom w:val="none" w:sz="0" w:space="0" w:color="auto"/>
            <w:right w:val="none" w:sz="0" w:space="0" w:color="auto"/>
          </w:divBdr>
        </w:div>
        <w:div w:id="639310600">
          <w:marLeft w:val="640"/>
          <w:marRight w:val="0"/>
          <w:marTop w:val="0"/>
          <w:marBottom w:val="0"/>
          <w:divBdr>
            <w:top w:val="none" w:sz="0" w:space="0" w:color="auto"/>
            <w:left w:val="none" w:sz="0" w:space="0" w:color="auto"/>
            <w:bottom w:val="none" w:sz="0" w:space="0" w:color="auto"/>
            <w:right w:val="none" w:sz="0" w:space="0" w:color="auto"/>
          </w:divBdr>
        </w:div>
        <w:div w:id="477307607">
          <w:marLeft w:val="640"/>
          <w:marRight w:val="0"/>
          <w:marTop w:val="0"/>
          <w:marBottom w:val="0"/>
          <w:divBdr>
            <w:top w:val="none" w:sz="0" w:space="0" w:color="auto"/>
            <w:left w:val="none" w:sz="0" w:space="0" w:color="auto"/>
            <w:bottom w:val="none" w:sz="0" w:space="0" w:color="auto"/>
            <w:right w:val="none" w:sz="0" w:space="0" w:color="auto"/>
          </w:divBdr>
        </w:div>
        <w:div w:id="308440576">
          <w:marLeft w:val="640"/>
          <w:marRight w:val="0"/>
          <w:marTop w:val="0"/>
          <w:marBottom w:val="0"/>
          <w:divBdr>
            <w:top w:val="none" w:sz="0" w:space="0" w:color="auto"/>
            <w:left w:val="none" w:sz="0" w:space="0" w:color="auto"/>
            <w:bottom w:val="none" w:sz="0" w:space="0" w:color="auto"/>
            <w:right w:val="none" w:sz="0" w:space="0" w:color="auto"/>
          </w:divBdr>
        </w:div>
        <w:div w:id="250241709">
          <w:marLeft w:val="640"/>
          <w:marRight w:val="0"/>
          <w:marTop w:val="0"/>
          <w:marBottom w:val="0"/>
          <w:divBdr>
            <w:top w:val="none" w:sz="0" w:space="0" w:color="auto"/>
            <w:left w:val="none" w:sz="0" w:space="0" w:color="auto"/>
            <w:bottom w:val="none" w:sz="0" w:space="0" w:color="auto"/>
            <w:right w:val="none" w:sz="0" w:space="0" w:color="auto"/>
          </w:divBdr>
        </w:div>
        <w:div w:id="900143341">
          <w:marLeft w:val="640"/>
          <w:marRight w:val="0"/>
          <w:marTop w:val="0"/>
          <w:marBottom w:val="0"/>
          <w:divBdr>
            <w:top w:val="none" w:sz="0" w:space="0" w:color="auto"/>
            <w:left w:val="none" w:sz="0" w:space="0" w:color="auto"/>
            <w:bottom w:val="none" w:sz="0" w:space="0" w:color="auto"/>
            <w:right w:val="none" w:sz="0" w:space="0" w:color="auto"/>
          </w:divBdr>
        </w:div>
        <w:div w:id="1584798697">
          <w:marLeft w:val="640"/>
          <w:marRight w:val="0"/>
          <w:marTop w:val="0"/>
          <w:marBottom w:val="0"/>
          <w:divBdr>
            <w:top w:val="none" w:sz="0" w:space="0" w:color="auto"/>
            <w:left w:val="none" w:sz="0" w:space="0" w:color="auto"/>
            <w:bottom w:val="none" w:sz="0" w:space="0" w:color="auto"/>
            <w:right w:val="none" w:sz="0" w:space="0" w:color="auto"/>
          </w:divBdr>
        </w:div>
        <w:div w:id="1224874992">
          <w:marLeft w:val="640"/>
          <w:marRight w:val="0"/>
          <w:marTop w:val="0"/>
          <w:marBottom w:val="0"/>
          <w:divBdr>
            <w:top w:val="none" w:sz="0" w:space="0" w:color="auto"/>
            <w:left w:val="none" w:sz="0" w:space="0" w:color="auto"/>
            <w:bottom w:val="none" w:sz="0" w:space="0" w:color="auto"/>
            <w:right w:val="none" w:sz="0" w:space="0" w:color="auto"/>
          </w:divBdr>
        </w:div>
        <w:div w:id="1337927009">
          <w:marLeft w:val="640"/>
          <w:marRight w:val="0"/>
          <w:marTop w:val="0"/>
          <w:marBottom w:val="0"/>
          <w:divBdr>
            <w:top w:val="none" w:sz="0" w:space="0" w:color="auto"/>
            <w:left w:val="none" w:sz="0" w:space="0" w:color="auto"/>
            <w:bottom w:val="none" w:sz="0" w:space="0" w:color="auto"/>
            <w:right w:val="none" w:sz="0" w:space="0" w:color="auto"/>
          </w:divBdr>
        </w:div>
        <w:div w:id="182136664">
          <w:marLeft w:val="640"/>
          <w:marRight w:val="0"/>
          <w:marTop w:val="0"/>
          <w:marBottom w:val="0"/>
          <w:divBdr>
            <w:top w:val="none" w:sz="0" w:space="0" w:color="auto"/>
            <w:left w:val="none" w:sz="0" w:space="0" w:color="auto"/>
            <w:bottom w:val="none" w:sz="0" w:space="0" w:color="auto"/>
            <w:right w:val="none" w:sz="0" w:space="0" w:color="auto"/>
          </w:divBdr>
        </w:div>
        <w:div w:id="1351252706">
          <w:marLeft w:val="640"/>
          <w:marRight w:val="0"/>
          <w:marTop w:val="0"/>
          <w:marBottom w:val="0"/>
          <w:divBdr>
            <w:top w:val="none" w:sz="0" w:space="0" w:color="auto"/>
            <w:left w:val="none" w:sz="0" w:space="0" w:color="auto"/>
            <w:bottom w:val="none" w:sz="0" w:space="0" w:color="auto"/>
            <w:right w:val="none" w:sz="0" w:space="0" w:color="auto"/>
          </w:divBdr>
        </w:div>
        <w:div w:id="1667173474">
          <w:marLeft w:val="640"/>
          <w:marRight w:val="0"/>
          <w:marTop w:val="0"/>
          <w:marBottom w:val="0"/>
          <w:divBdr>
            <w:top w:val="none" w:sz="0" w:space="0" w:color="auto"/>
            <w:left w:val="none" w:sz="0" w:space="0" w:color="auto"/>
            <w:bottom w:val="none" w:sz="0" w:space="0" w:color="auto"/>
            <w:right w:val="none" w:sz="0" w:space="0" w:color="auto"/>
          </w:divBdr>
        </w:div>
        <w:div w:id="349573110">
          <w:marLeft w:val="640"/>
          <w:marRight w:val="0"/>
          <w:marTop w:val="0"/>
          <w:marBottom w:val="0"/>
          <w:divBdr>
            <w:top w:val="none" w:sz="0" w:space="0" w:color="auto"/>
            <w:left w:val="none" w:sz="0" w:space="0" w:color="auto"/>
            <w:bottom w:val="none" w:sz="0" w:space="0" w:color="auto"/>
            <w:right w:val="none" w:sz="0" w:space="0" w:color="auto"/>
          </w:divBdr>
        </w:div>
        <w:div w:id="1866599052">
          <w:marLeft w:val="640"/>
          <w:marRight w:val="0"/>
          <w:marTop w:val="0"/>
          <w:marBottom w:val="0"/>
          <w:divBdr>
            <w:top w:val="none" w:sz="0" w:space="0" w:color="auto"/>
            <w:left w:val="none" w:sz="0" w:space="0" w:color="auto"/>
            <w:bottom w:val="none" w:sz="0" w:space="0" w:color="auto"/>
            <w:right w:val="none" w:sz="0" w:space="0" w:color="auto"/>
          </w:divBdr>
        </w:div>
        <w:div w:id="803890997">
          <w:marLeft w:val="640"/>
          <w:marRight w:val="0"/>
          <w:marTop w:val="0"/>
          <w:marBottom w:val="0"/>
          <w:divBdr>
            <w:top w:val="none" w:sz="0" w:space="0" w:color="auto"/>
            <w:left w:val="none" w:sz="0" w:space="0" w:color="auto"/>
            <w:bottom w:val="none" w:sz="0" w:space="0" w:color="auto"/>
            <w:right w:val="none" w:sz="0" w:space="0" w:color="auto"/>
          </w:divBdr>
        </w:div>
        <w:div w:id="1949389862">
          <w:marLeft w:val="640"/>
          <w:marRight w:val="0"/>
          <w:marTop w:val="0"/>
          <w:marBottom w:val="0"/>
          <w:divBdr>
            <w:top w:val="none" w:sz="0" w:space="0" w:color="auto"/>
            <w:left w:val="none" w:sz="0" w:space="0" w:color="auto"/>
            <w:bottom w:val="none" w:sz="0" w:space="0" w:color="auto"/>
            <w:right w:val="none" w:sz="0" w:space="0" w:color="auto"/>
          </w:divBdr>
        </w:div>
        <w:div w:id="1500195374">
          <w:marLeft w:val="640"/>
          <w:marRight w:val="0"/>
          <w:marTop w:val="0"/>
          <w:marBottom w:val="0"/>
          <w:divBdr>
            <w:top w:val="none" w:sz="0" w:space="0" w:color="auto"/>
            <w:left w:val="none" w:sz="0" w:space="0" w:color="auto"/>
            <w:bottom w:val="none" w:sz="0" w:space="0" w:color="auto"/>
            <w:right w:val="none" w:sz="0" w:space="0" w:color="auto"/>
          </w:divBdr>
        </w:div>
        <w:div w:id="791169605">
          <w:marLeft w:val="640"/>
          <w:marRight w:val="0"/>
          <w:marTop w:val="0"/>
          <w:marBottom w:val="0"/>
          <w:divBdr>
            <w:top w:val="none" w:sz="0" w:space="0" w:color="auto"/>
            <w:left w:val="none" w:sz="0" w:space="0" w:color="auto"/>
            <w:bottom w:val="none" w:sz="0" w:space="0" w:color="auto"/>
            <w:right w:val="none" w:sz="0" w:space="0" w:color="auto"/>
          </w:divBdr>
        </w:div>
        <w:div w:id="1696226807">
          <w:marLeft w:val="640"/>
          <w:marRight w:val="0"/>
          <w:marTop w:val="0"/>
          <w:marBottom w:val="0"/>
          <w:divBdr>
            <w:top w:val="none" w:sz="0" w:space="0" w:color="auto"/>
            <w:left w:val="none" w:sz="0" w:space="0" w:color="auto"/>
            <w:bottom w:val="none" w:sz="0" w:space="0" w:color="auto"/>
            <w:right w:val="none" w:sz="0" w:space="0" w:color="auto"/>
          </w:divBdr>
        </w:div>
        <w:div w:id="1731152888">
          <w:marLeft w:val="640"/>
          <w:marRight w:val="0"/>
          <w:marTop w:val="0"/>
          <w:marBottom w:val="0"/>
          <w:divBdr>
            <w:top w:val="none" w:sz="0" w:space="0" w:color="auto"/>
            <w:left w:val="none" w:sz="0" w:space="0" w:color="auto"/>
            <w:bottom w:val="none" w:sz="0" w:space="0" w:color="auto"/>
            <w:right w:val="none" w:sz="0" w:space="0" w:color="auto"/>
          </w:divBdr>
        </w:div>
        <w:div w:id="2083529569">
          <w:marLeft w:val="640"/>
          <w:marRight w:val="0"/>
          <w:marTop w:val="0"/>
          <w:marBottom w:val="0"/>
          <w:divBdr>
            <w:top w:val="none" w:sz="0" w:space="0" w:color="auto"/>
            <w:left w:val="none" w:sz="0" w:space="0" w:color="auto"/>
            <w:bottom w:val="none" w:sz="0" w:space="0" w:color="auto"/>
            <w:right w:val="none" w:sz="0" w:space="0" w:color="auto"/>
          </w:divBdr>
        </w:div>
        <w:div w:id="1271543937">
          <w:marLeft w:val="640"/>
          <w:marRight w:val="0"/>
          <w:marTop w:val="0"/>
          <w:marBottom w:val="0"/>
          <w:divBdr>
            <w:top w:val="none" w:sz="0" w:space="0" w:color="auto"/>
            <w:left w:val="none" w:sz="0" w:space="0" w:color="auto"/>
            <w:bottom w:val="none" w:sz="0" w:space="0" w:color="auto"/>
            <w:right w:val="none" w:sz="0" w:space="0" w:color="auto"/>
          </w:divBdr>
        </w:div>
        <w:div w:id="1357273124">
          <w:marLeft w:val="640"/>
          <w:marRight w:val="0"/>
          <w:marTop w:val="0"/>
          <w:marBottom w:val="0"/>
          <w:divBdr>
            <w:top w:val="none" w:sz="0" w:space="0" w:color="auto"/>
            <w:left w:val="none" w:sz="0" w:space="0" w:color="auto"/>
            <w:bottom w:val="none" w:sz="0" w:space="0" w:color="auto"/>
            <w:right w:val="none" w:sz="0" w:space="0" w:color="auto"/>
          </w:divBdr>
        </w:div>
        <w:div w:id="2121534851">
          <w:marLeft w:val="640"/>
          <w:marRight w:val="0"/>
          <w:marTop w:val="0"/>
          <w:marBottom w:val="0"/>
          <w:divBdr>
            <w:top w:val="none" w:sz="0" w:space="0" w:color="auto"/>
            <w:left w:val="none" w:sz="0" w:space="0" w:color="auto"/>
            <w:bottom w:val="none" w:sz="0" w:space="0" w:color="auto"/>
            <w:right w:val="none" w:sz="0" w:space="0" w:color="auto"/>
          </w:divBdr>
        </w:div>
        <w:div w:id="1576429677">
          <w:marLeft w:val="640"/>
          <w:marRight w:val="0"/>
          <w:marTop w:val="0"/>
          <w:marBottom w:val="0"/>
          <w:divBdr>
            <w:top w:val="none" w:sz="0" w:space="0" w:color="auto"/>
            <w:left w:val="none" w:sz="0" w:space="0" w:color="auto"/>
            <w:bottom w:val="none" w:sz="0" w:space="0" w:color="auto"/>
            <w:right w:val="none" w:sz="0" w:space="0" w:color="auto"/>
          </w:divBdr>
        </w:div>
        <w:div w:id="848370543">
          <w:marLeft w:val="640"/>
          <w:marRight w:val="0"/>
          <w:marTop w:val="0"/>
          <w:marBottom w:val="0"/>
          <w:divBdr>
            <w:top w:val="none" w:sz="0" w:space="0" w:color="auto"/>
            <w:left w:val="none" w:sz="0" w:space="0" w:color="auto"/>
            <w:bottom w:val="none" w:sz="0" w:space="0" w:color="auto"/>
            <w:right w:val="none" w:sz="0" w:space="0" w:color="auto"/>
          </w:divBdr>
        </w:div>
        <w:div w:id="2027515105">
          <w:marLeft w:val="640"/>
          <w:marRight w:val="0"/>
          <w:marTop w:val="0"/>
          <w:marBottom w:val="0"/>
          <w:divBdr>
            <w:top w:val="none" w:sz="0" w:space="0" w:color="auto"/>
            <w:left w:val="none" w:sz="0" w:space="0" w:color="auto"/>
            <w:bottom w:val="none" w:sz="0" w:space="0" w:color="auto"/>
            <w:right w:val="none" w:sz="0" w:space="0" w:color="auto"/>
          </w:divBdr>
        </w:div>
        <w:div w:id="234702203">
          <w:marLeft w:val="640"/>
          <w:marRight w:val="0"/>
          <w:marTop w:val="0"/>
          <w:marBottom w:val="0"/>
          <w:divBdr>
            <w:top w:val="none" w:sz="0" w:space="0" w:color="auto"/>
            <w:left w:val="none" w:sz="0" w:space="0" w:color="auto"/>
            <w:bottom w:val="none" w:sz="0" w:space="0" w:color="auto"/>
            <w:right w:val="none" w:sz="0" w:space="0" w:color="auto"/>
          </w:divBdr>
        </w:div>
        <w:div w:id="515384053">
          <w:marLeft w:val="640"/>
          <w:marRight w:val="0"/>
          <w:marTop w:val="0"/>
          <w:marBottom w:val="0"/>
          <w:divBdr>
            <w:top w:val="none" w:sz="0" w:space="0" w:color="auto"/>
            <w:left w:val="none" w:sz="0" w:space="0" w:color="auto"/>
            <w:bottom w:val="none" w:sz="0" w:space="0" w:color="auto"/>
            <w:right w:val="none" w:sz="0" w:space="0" w:color="auto"/>
          </w:divBdr>
        </w:div>
        <w:div w:id="446310671">
          <w:marLeft w:val="640"/>
          <w:marRight w:val="0"/>
          <w:marTop w:val="0"/>
          <w:marBottom w:val="0"/>
          <w:divBdr>
            <w:top w:val="none" w:sz="0" w:space="0" w:color="auto"/>
            <w:left w:val="none" w:sz="0" w:space="0" w:color="auto"/>
            <w:bottom w:val="none" w:sz="0" w:space="0" w:color="auto"/>
            <w:right w:val="none" w:sz="0" w:space="0" w:color="auto"/>
          </w:divBdr>
        </w:div>
        <w:div w:id="983050541">
          <w:marLeft w:val="640"/>
          <w:marRight w:val="0"/>
          <w:marTop w:val="0"/>
          <w:marBottom w:val="0"/>
          <w:divBdr>
            <w:top w:val="none" w:sz="0" w:space="0" w:color="auto"/>
            <w:left w:val="none" w:sz="0" w:space="0" w:color="auto"/>
            <w:bottom w:val="none" w:sz="0" w:space="0" w:color="auto"/>
            <w:right w:val="none" w:sz="0" w:space="0" w:color="auto"/>
          </w:divBdr>
        </w:div>
        <w:div w:id="858739450">
          <w:marLeft w:val="640"/>
          <w:marRight w:val="0"/>
          <w:marTop w:val="0"/>
          <w:marBottom w:val="0"/>
          <w:divBdr>
            <w:top w:val="none" w:sz="0" w:space="0" w:color="auto"/>
            <w:left w:val="none" w:sz="0" w:space="0" w:color="auto"/>
            <w:bottom w:val="none" w:sz="0" w:space="0" w:color="auto"/>
            <w:right w:val="none" w:sz="0" w:space="0" w:color="auto"/>
          </w:divBdr>
        </w:div>
        <w:div w:id="1938632575">
          <w:marLeft w:val="640"/>
          <w:marRight w:val="0"/>
          <w:marTop w:val="0"/>
          <w:marBottom w:val="0"/>
          <w:divBdr>
            <w:top w:val="none" w:sz="0" w:space="0" w:color="auto"/>
            <w:left w:val="none" w:sz="0" w:space="0" w:color="auto"/>
            <w:bottom w:val="none" w:sz="0" w:space="0" w:color="auto"/>
            <w:right w:val="none" w:sz="0" w:space="0" w:color="auto"/>
          </w:divBdr>
        </w:div>
        <w:div w:id="757605260">
          <w:marLeft w:val="640"/>
          <w:marRight w:val="0"/>
          <w:marTop w:val="0"/>
          <w:marBottom w:val="0"/>
          <w:divBdr>
            <w:top w:val="none" w:sz="0" w:space="0" w:color="auto"/>
            <w:left w:val="none" w:sz="0" w:space="0" w:color="auto"/>
            <w:bottom w:val="none" w:sz="0" w:space="0" w:color="auto"/>
            <w:right w:val="none" w:sz="0" w:space="0" w:color="auto"/>
          </w:divBdr>
        </w:div>
        <w:div w:id="1072197936">
          <w:marLeft w:val="640"/>
          <w:marRight w:val="0"/>
          <w:marTop w:val="0"/>
          <w:marBottom w:val="0"/>
          <w:divBdr>
            <w:top w:val="none" w:sz="0" w:space="0" w:color="auto"/>
            <w:left w:val="none" w:sz="0" w:space="0" w:color="auto"/>
            <w:bottom w:val="none" w:sz="0" w:space="0" w:color="auto"/>
            <w:right w:val="none" w:sz="0" w:space="0" w:color="auto"/>
          </w:divBdr>
        </w:div>
        <w:div w:id="2043968060">
          <w:marLeft w:val="640"/>
          <w:marRight w:val="0"/>
          <w:marTop w:val="0"/>
          <w:marBottom w:val="0"/>
          <w:divBdr>
            <w:top w:val="none" w:sz="0" w:space="0" w:color="auto"/>
            <w:left w:val="none" w:sz="0" w:space="0" w:color="auto"/>
            <w:bottom w:val="none" w:sz="0" w:space="0" w:color="auto"/>
            <w:right w:val="none" w:sz="0" w:space="0" w:color="auto"/>
          </w:divBdr>
        </w:div>
        <w:div w:id="79985598">
          <w:marLeft w:val="640"/>
          <w:marRight w:val="0"/>
          <w:marTop w:val="0"/>
          <w:marBottom w:val="0"/>
          <w:divBdr>
            <w:top w:val="none" w:sz="0" w:space="0" w:color="auto"/>
            <w:left w:val="none" w:sz="0" w:space="0" w:color="auto"/>
            <w:bottom w:val="none" w:sz="0" w:space="0" w:color="auto"/>
            <w:right w:val="none" w:sz="0" w:space="0" w:color="auto"/>
          </w:divBdr>
        </w:div>
        <w:div w:id="1303773540">
          <w:marLeft w:val="640"/>
          <w:marRight w:val="0"/>
          <w:marTop w:val="0"/>
          <w:marBottom w:val="0"/>
          <w:divBdr>
            <w:top w:val="none" w:sz="0" w:space="0" w:color="auto"/>
            <w:left w:val="none" w:sz="0" w:space="0" w:color="auto"/>
            <w:bottom w:val="none" w:sz="0" w:space="0" w:color="auto"/>
            <w:right w:val="none" w:sz="0" w:space="0" w:color="auto"/>
          </w:divBdr>
        </w:div>
        <w:div w:id="1526408493">
          <w:marLeft w:val="640"/>
          <w:marRight w:val="0"/>
          <w:marTop w:val="0"/>
          <w:marBottom w:val="0"/>
          <w:divBdr>
            <w:top w:val="none" w:sz="0" w:space="0" w:color="auto"/>
            <w:left w:val="none" w:sz="0" w:space="0" w:color="auto"/>
            <w:bottom w:val="none" w:sz="0" w:space="0" w:color="auto"/>
            <w:right w:val="none" w:sz="0" w:space="0" w:color="auto"/>
          </w:divBdr>
        </w:div>
        <w:div w:id="931282906">
          <w:marLeft w:val="640"/>
          <w:marRight w:val="0"/>
          <w:marTop w:val="0"/>
          <w:marBottom w:val="0"/>
          <w:divBdr>
            <w:top w:val="none" w:sz="0" w:space="0" w:color="auto"/>
            <w:left w:val="none" w:sz="0" w:space="0" w:color="auto"/>
            <w:bottom w:val="none" w:sz="0" w:space="0" w:color="auto"/>
            <w:right w:val="none" w:sz="0" w:space="0" w:color="auto"/>
          </w:divBdr>
        </w:div>
        <w:div w:id="808323091">
          <w:marLeft w:val="640"/>
          <w:marRight w:val="0"/>
          <w:marTop w:val="0"/>
          <w:marBottom w:val="0"/>
          <w:divBdr>
            <w:top w:val="none" w:sz="0" w:space="0" w:color="auto"/>
            <w:left w:val="none" w:sz="0" w:space="0" w:color="auto"/>
            <w:bottom w:val="none" w:sz="0" w:space="0" w:color="auto"/>
            <w:right w:val="none" w:sz="0" w:space="0" w:color="auto"/>
          </w:divBdr>
        </w:div>
        <w:div w:id="1141967344">
          <w:marLeft w:val="640"/>
          <w:marRight w:val="0"/>
          <w:marTop w:val="0"/>
          <w:marBottom w:val="0"/>
          <w:divBdr>
            <w:top w:val="none" w:sz="0" w:space="0" w:color="auto"/>
            <w:left w:val="none" w:sz="0" w:space="0" w:color="auto"/>
            <w:bottom w:val="none" w:sz="0" w:space="0" w:color="auto"/>
            <w:right w:val="none" w:sz="0" w:space="0" w:color="auto"/>
          </w:divBdr>
        </w:div>
        <w:div w:id="963317187">
          <w:marLeft w:val="640"/>
          <w:marRight w:val="0"/>
          <w:marTop w:val="0"/>
          <w:marBottom w:val="0"/>
          <w:divBdr>
            <w:top w:val="none" w:sz="0" w:space="0" w:color="auto"/>
            <w:left w:val="none" w:sz="0" w:space="0" w:color="auto"/>
            <w:bottom w:val="none" w:sz="0" w:space="0" w:color="auto"/>
            <w:right w:val="none" w:sz="0" w:space="0" w:color="auto"/>
          </w:divBdr>
        </w:div>
        <w:div w:id="2031491339">
          <w:marLeft w:val="640"/>
          <w:marRight w:val="0"/>
          <w:marTop w:val="0"/>
          <w:marBottom w:val="0"/>
          <w:divBdr>
            <w:top w:val="none" w:sz="0" w:space="0" w:color="auto"/>
            <w:left w:val="none" w:sz="0" w:space="0" w:color="auto"/>
            <w:bottom w:val="none" w:sz="0" w:space="0" w:color="auto"/>
            <w:right w:val="none" w:sz="0" w:space="0" w:color="auto"/>
          </w:divBdr>
        </w:div>
        <w:div w:id="1066952210">
          <w:marLeft w:val="640"/>
          <w:marRight w:val="0"/>
          <w:marTop w:val="0"/>
          <w:marBottom w:val="0"/>
          <w:divBdr>
            <w:top w:val="none" w:sz="0" w:space="0" w:color="auto"/>
            <w:left w:val="none" w:sz="0" w:space="0" w:color="auto"/>
            <w:bottom w:val="none" w:sz="0" w:space="0" w:color="auto"/>
            <w:right w:val="none" w:sz="0" w:space="0" w:color="auto"/>
          </w:divBdr>
        </w:div>
        <w:div w:id="1960141025">
          <w:marLeft w:val="640"/>
          <w:marRight w:val="0"/>
          <w:marTop w:val="0"/>
          <w:marBottom w:val="0"/>
          <w:divBdr>
            <w:top w:val="none" w:sz="0" w:space="0" w:color="auto"/>
            <w:left w:val="none" w:sz="0" w:space="0" w:color="auto"/>
            <w:bottom w:val="none" w:sz="0" w:space="0" w:color="auto"/>
            <w:right w:val="none" w:sz="0" w:space="0" w:color="auto"/>
          </w:divBdr>
        </w:div>
        <w:div w:id="872304752">
          <w:marLeft w:val="640"/>
          <w:marRight w:val="0"/>
          <w:marTop w:val="0"/>
          <w:marBottom w:val="0"/>
          <w:divBdr>
            <w:top w:val="none" w:sz="0" w:space="0" w:color="auto"/>
            <w:left w:val="none" w:sz="0" w:space="0" w:color="auto"/>
            <w:bottom w:val="none" w:sz="0" w:space="0" w:color="auto"/>
            <w:right w:val="none" w:sz="0" w:space="0" w:color="auto"/>
          </w:divBdr>
        </w:div>
        <w:div w:id="1717463804">
          <w:marLeft w:val="640"/>
          <w:marRight w:val="0"/>
          <w:marTop w:val="0"/>
          <w:marBottom w:val="0"/>
          <w:divBdr>
            <w:top w:val="none" w:sz="0" w:space="0" w:color="auto"/>
            <w:left w:val="none" w:sz="0" w:space="0" w:color="auto"/>
            <w:bottom w:val="none" w:sz="0" w:space="0" w:color="auto"/>
            <w:right w:val="none" w:sz="0" w:space="0" w:color="auto"/>
          </w:divBdr>
        </w:div>
        <w:div w:id="1926185802">
          <w:marLeft w:val="640"/>
          <w:marRight w:val="0"/>
          <w:marTop w:val="0"/>
          <w:marBottom w:val="0"/>
          <w:divBdr>
            <w:top w:val="none" w:sz="0" w:space="0" w:color="auto"/>
            <w:left w:val="none" w:sz="0" w:space="0" w:color="auto"/>
            <w:bottom w:val="none" w:sz="0" w:space="0" w:color="auto"/>
            <w:right w:val="none" w:sz="0" w:space="0" w:color="auto"/>
          </w:divBdr>
        </w:div>
        <w:div w:id="122044030">
          <w:marLeft w:val="640"/>
          <w:marRight w:val="0"/>
          <w:marTop w:val="0"/>
          <w:marBottom w:val="0"/>
          <w:divBdr>
            <w:top w:val="none" w:sz="0" w:space="0" w:color="auto"/>
            <w:left w:val="none" w:sz="0" w:space="0" w:color="auto"/>
            <w:bottom w:val="none" w:sz="0" w:space="0" w:color="auto"/>
            <w:right w:val="none" w:sz="0" w:space="0" w:color="auto"/>
          </w:divBdr>
        </w:div>
        <w:div w:id="334114393">
          <w:marLeft w:val="640"/>
          <w:marRight w:val="0"/>
          <w:marTop w:val="0"/>
          <w:marBottom w:val="0"/>
          <w:divBdr>
            <w:top w:val="none" w:sz="0" w:space="0" w:color="auto"/>
            <w:left w:val="none" w:sz="0" w:space="0" w:color="auto"/>
            <w:bottom w:val="none" w:sz="0" w:space="0" w:color="auto"/>
            <w:right w:val="none" w:sz="0" w:space="0" w:color="auto"/>
          </w:divBdr>
        </w:div>
        <w:div w:id="278223470">
          <w:marLeft w:val="640"/>
          <w:marRight w:val="0"/>
          <w:marTop w:val="0"/>
          <w:marBottom w:val="0"/>
          <w:divBdr>
            <w:top w:val="none" w:sz="0" w:space="0" w:color="auto"/>
            <w:left w:val="none" w:sz="0" w:space="0" w:color="auto"/>
            <w:bottom w:val="none" w:sz="0" w:space="0" w:color="auto"/>
            <w:right w:val="none" w:sz="0" w:space="0" w:color="auto"/>
          </w:divBdr>
        </w:div>
        <w:div w:id="1238780675">
          <w:marLeft w:val="640"/>
          <w:marRight w:val="0"/>
          <w:marTop w:val="0"/>
          <w:marBottom w:val="0"/>
          <w:divBdr>
            <w:top w:val="none" w:sz="0" w:space="0" w:color="auto"/>
            <w:left w:val="none" w:sz="0" w:space="0" w:color="auto"/>
            <w:bottom w:val="none" w:sz="0" w:space="0" w:color="auto"/>
            <w:right w:val="none" w:sz="0" w:space="0" w:color="auto"/>
          </w:divBdr>
        </w:div>
        <w:div w:id="1322001717">
          <w:marLeft w:val="640"/>
          <w:marRight w:val="0"/>
          <w:marTop w:val="0"/>
          <w:marBottom w:val="0"/>
          <w:divBdr>
            <w:top w:val="none" w:sz="0" w:space="0" w:color="auto"/>
            <w:left w:val="none" w:sz="0" w:space="0" w:color="auto"/>
            <w:bottom w:val="none" w:sz="0" w:space="0" w:color="auto"/>
            <w:right w:val="none" w:sz="0" w:space="0" w:color="auto"/>
          </w:divBdr>
        </w:div>
        <w:div w:id="1947153250">
          <w:marLeft w:val="640"/>
          <w:marRight w:val="0"/>
          <w:marTop w:val="0"/>
          <w:marBottom w:val="0"/>
          <w:divBdr>
            <w:top w:val="none" w:sz="0" w:space="0" w:color="auto"/>
            <w:left w:val="none" w:sz="0" w:space="0" w:color="auto"/>
            <w:bottom w:val="none" w:sz="0" w:space="0" w:color="auto"/>
            <w:right w:val="none" w:sz="0" w:space="0" w:color="auto"/>
          </w:divBdr>
        </w:div>
        <w:div w:id="1314871340">
          <w:marLeft w:val="640"/>
          <w:marRight w:val="0"/>
          <w:marTop w:val="0"/>
          <w:marBottom w:val="0"/>
          <w:divBdr>
            <w:top w:val="none" w:sz="0" w:space="0" w:color="auto"/>
            <w:left w:val="none" w:sz="0" w:space="0" w:color="auto"/>
            <w:bottom w:val="none" w:sz="0" w:space="0" w:color="auto"/>
            <w:right w:val="none" w:sz="0" w:space="0" w:color="auto"/>
          </w:divBdr>
        </w:div>
        <w:div w:id="1064258814">
          <w:marLeft w:val="640"/>
          <w:marRight w:val="0"/>
          <w:marTop w:val="0"/>
          <w:marBottom w:val="0"/>
          <w:divBdr>
            <w:top w:val="none" w:sz="0" w:space="0" w:color="auto"/>
            <w:left w:val="none" w:sz="0" w:space="0" w:color="auto"/>
            <w:bottom w:val="none" w:sz="0" w:space="0" w:color="auto"/>
            <w:right w:val="none" w:sz="0" w:space="0" w:color="auto"/>
          </w:divBdr>
        </w:div>
        <w:div w:id="1330406383">
          <w:marLeft w:val="640"/>
          <w:marRight w:val="0"/>
          <w:marTop w:val="0"/>
          <w:marBottom w:val="0"/>
          <w:divBdr>
            <w:top w:val="none" w:sz="0" w:space="0" w:color="auto"/>
            <w:left w:val="none" w:sz="0" w:space="0" w:color="auto"/>
            <w:bottom w:val="none" w:sz="0" w:space="0" w:color="auto"/>
            <w:right w:val="none" w:sz="0" w:space="0" w:color="auto"/>
          </w:divBdr>
        </w:div>
        <w:div w:id="1719697020">
          <w:marLeft w:val="640"/>
          <w:marRight w:val="0"/>
          <w:marTop w:val="0"/>
          <w:marBottom w:val="0"/>
          <w:divBdr>
            <w:top w:val="none" w:sz="0" w:space="0" w:color="auto"/>
            <w:left w:val="none" w:sz="0" w:space="0" w:color="auto"/>
            <w:bottom w:val="none" w:sz="0" w:space="0" w:color="auto"/>
            <w:right w:val="none" w:sz="0" w:space="0" w:color="auto"/>
          </w:divBdr>
        </w:div>
        <w:div w:id="83233797">
          <w:marLeft w:val="640"/>
          <w:marRight w:val="0"/>
          <w:marTop w:val="0"/>
          <w:marBottom w:val="0"/>
          <w:divBdr>
            <w:top w:val="none" w:sz="0" w:space="0" w:color="auto"/>
            <w:left w:val="none" w:sz="0" w:space="0" w:color="auto"/>
            <w:bottom w:val="none" w:sz="0" w:space="0" w:color="auto"/>
            <w:right w:val="none" w:sz="0" w:space="0" w:color="auto"/>
          </w:divBdr>
        </w:div>
        <w:div w:id="778379639">
          <w:marLeft w:val="640"/>
          <w:marRight w:val="0"/>
          <w:marTop w:val="0"/>
          <w:marBottom w:val="0"/>
          <w:divBdr>
            <w:top w:val="none" w:sz="0" w:space="0" w:color="auto"/>
            <w:left w:val="none" w:sz="0" w:space="0" w:color="auto"/>
            <w:bottom w:val="none" w:sz="0" w:space="0" w:color="auto"/>
            <w:right w:val="none" w:sz="0" w:space="0" w:color="auto"/>
          </w:divBdr>
        </w:div>
        <w:div w:id="1424494787">
          <w:marLeft w:val="640"/>
          <w:marRight w:val="0"/>
          <w:marTop w:val="0"/>
          <w:marBottom w:val="0"/>
          <w:divBdr>
            <w:top w:val="none" w:sz="0" w:space="0" w:color="auto"/>
            <w:left w:val="none" w:sz="0" w:space="0" w:color="auto"/>
            <w:bottom w:val="none" w:sz="0" w:space="0" w:color="auto"/>
            <w:right w:val="none" w:sz="0" w:space="0" w:color="auto"/>
          </w:divBdr>
        </w:div>
        <w:div w:id="379942111">
          <w:marLeft w:val="640"/>
          <w:marRight w:val="0"/>
          <w:marTop w:val="0"/>
          <w:marBottom w:val="0"/>
          <w:divBdr>
            <w:top w:val="none" w:sz="0" w:space="0" w:color="auto"/>
            <w:left w:val="none" w:sz="0" w:space="0" w:color="auto"/>
            <w:bottom w:val="none" w:sz="0" w:space="0" w:color="auto"/>
            <w:right w:val="none" w:sz="0" w:space="0" w:color="auto"/>
          </w:divBdr>
        </w:div>
        <w:div w:id="1068455825">
          <w:marLeft w:val="640"/>
          <w:marRight w:val="0"/>
          <w:marTop w:val="0"/>
          <w:marBottom w:val="0"/>
          <w:divBdr>
            <w:top w:val="none" w:sz="0" w:space="0" w:color="auto"/>
            <w:left w:val="none" w:sz="0" w:space="0" w:color="auto"/>
            <w:bottom w:val="none" w:sz="0" w:space="0" w:color="auto"/>
            <w:right w:val="none" w:sz="0" w:space="0" w:color="auto"/>
          </w:divBdr>
        </w:div>
        <w:div w:id="1998457134">
          <w:marLeft w:val="640"/>
          <w:marRight w:val="0"/>
          <w:marTop w:val="0"/>
          <w:marBottom w:val="0"/>
          <w:divBdr>
            <w:top w:val="none" w:sz="0" w:space="0" w:color="auto"/>
            <w:left w:val="none" w:sz="0" w:space="0" w:color="auto"/>
            <w:bottom w:val="none" w:sz="0" w:space="0" w:color="auto"/>
            <w:right w:val="none" w:sz="0" w:space="0" w:color="auto"/>
          </w:divBdr>
        </w:div>
        <w:div w:id="934558775">
          <w:marLeft w:val="640"/>
          <w:marRight w:val="0"/>
          <w:marTop w:val="0"/>
          <w:marBottom w:val="0"/>
          <w:divBdr>
            <w:top w:val="none" w:sz="0" w:space="0" w:color="auto"/>
            <w:left w:val="none" w:sz="0" w:space="0" w:color="auto"/>
            <w:bottom w:val="none" w:sz="0" w:space="0" w:color="auto"/>
            <w:right w:val="none" w:sz="0" w:space="0" w:color="auto"/>
          </w:divBdr>
        </w:div>
        <w:div w:id="846987620">
          <w:marLeft w:val="640"/>
          <w:marRight w:val="0"/>
          <w:marTop w:val="0"/>
          <w:marBottom w:val="0"/>
          <w:divBdr>
            <w:top w:val="none" w:sz="0" w:space="0" w:color="auto"/>
            <w:left w:val="none" w:sz="0" w:space="0" w:color="auto"/>
            <w:bottom w:val="none" w:sz="0" w:space="0" w:color="auto"/>
            <w:right w:val="none" w:sz="0" w:space="0" w:color="auto"/>
          </w:divBdr>
        </w:div>
        <w:div w:id="1320033558">
          <w:marLeft w:val="640"/>
          <w:marRight w:val="0"/>
          <w:marTop w:val="0"/>
          <w:marBottom w:val="0"/>
          <w:divBdr>
            <w:top w:val="none" w:sz="0" w:space="0" w:color="auto"/>
            <w:left w:val="none" w:sz="0" w:space="0" w:color="auto"/>
            <w:bottom w:val="none" w:sz="0" w:space="0" w:color="auto"/>
            <w:right w:val="none" w:sz="0" w:space="0" w:color="auto"/>
          </w:divBdr>
        </w:div>
        <w:div w:id="1446536072">
          <w:marLeft w:val="640"/>
          <w:marRight w:val="0"/>
          <w:marTop w:val="0"/>
          <w:marBottom w:val="0"/>
          <w:divBdr>
            <w:top w:val="none" w:sz="0" w:space="0" w:color="auto"/>
            <w:left w:val="none" w:sz="0" w:space="0" w:color="auto"/>
            <w:bottom w:val="none" w:sz="0" w:space="0" w:color="auto"/>
            <w:right w:val="none" w:sz="0" w:space="0" w:color="auto"/>
          </w:divBdr>
        </w:div>
        <w:div w:id="83815">
          <w:marLeft w:val="640"/>
          <w:marRight w:val="0"/>
          <w:marTop w:val="0"/>
          <w:marBottom w:val="0"/>
          <w:divBdr>
            <w:top w:val="none" w:sz="0" w:space="0" w:color="auto"/>
            <w:left w:val="none" w:sz="0" w:space="0" w:color="auto"/>
            <w:bottom w:val="none" w:sz="0" w:space="0" w:color="auto"/>
            <w:right w:val="none" w:sz="0" w:space="0" w:color="auto"/>
          </w:divBdr>
        </w:div>
        <w:div w:id="1479882174">
          <w:marLeft w:val="640"/>
          <w:marRight w:val="0"/>
          <w:marTop w:val="0"/>
          <w:marBottom w:val="0"/>
          <w:divBdr>
            <w:top w:val="none" w:sz="0" w:space="0" w:color="auto"/>
            <w:left w:val="none" w:sz="0" w:space="0" w:color="auto"/>
            <w:bottom w:val="none" w:sz="0" w:space="0" w:color="auto"/>
            <w:right w:val="none" w:sz="0" w:space="0" w:color="auto"/>
          </w:divBdr>
        </w:div>
        <w:div w:id="1359772084">
          <w:marLeft w:val="640"/>
          <w:marRight w:val="0"/>
          <w:marTop w:val="0"/>
          <w:marBottom w:val="0"/>
          <w:divBdr>
            <w:top w:val="none" w:sz="0" w:space="0" w:color="auto"/>
            <w:left w:val="none" w:sz="0" w:space="0" w:color="auto"/>
            <w:bottom w:val="none" w:sz="0" w:space="0" w:color="auto"/>
            <w:right w:val="none" w:sz="0" w:space="0" w:color="auto"/>
          </w:divBdr>
        </w:div>
        <w:div w:id="760836728">
          <w:marLeft w:val="640"/>
          <w:marRight w:val="0"/>
          <w:marTop w:val="0"/>
          <w:marBottom w:val="0"/>
          <w:divBdr>
            <w:top w:val="none" w:sz="0" w:space="0" w:color="auto"/>
            <w:left w:val="none" w:sz="0" w:space="0" w:color="auto"/>
            <w:bottom w:val="none" w:sz="0" w:space="0" w:color="auto"/>
            <w:right w:val="none" w:sz="0" w:space="0" w:color="auto"/>
          </w:divBdr>
        </w:div>
        <w:div w:id="468135238">
          <w:marLeft w:val="640"/>
          <w:marRight w:val="0"/>
          <w:marTop w:val="0"/>
          <w:marBottom w:val="0"/>
          <w:divBdr>
            <w:top w:val="none" w:sz="0" w:space="0" w:color="auto"/>
            <w:left w:val="none" w:sz="0" w:space="0" w:color="auto"/>
            <w:bottom w:val="none" w:sz="0" w:space="0" w:color="auto"/>
            <w:right w:val="none" w:sz="0" w:space="0" w:color="auto"/>
          </w:divBdr>
        </w:div>
        <w:div w:id="2106028430">
          <w:marLeft w:val="640"/>
          <w:marRight w:val="0"/>
          <w:marTop w:val="0"/>
          <w:marBottom w:val="0"/>
          <w:divBdr>
            <w:top w:val="none" w:sz="0" w:space="0" w:color="auto"/>
            <w:left w:val="none" w:sz="0" w:space="0" w:color="auto"/>
            <w:bottom w:val="none" w:sz="0" w:space="0" w:color="auto"/>
            <w:right w:val="none" w:sz="0" w:space="0" w:color="auto"/>
          </w:divBdr>
        </w:div>
        <w:div w:id="45956757">
          <w:marLeft w:val="640"/>
          <w:marRight w:val="0"/>
          <w:marTop w:val="0"/>
          <w:marBottom w:val="0"/>
          <w:divBdr>
            <w:top w:val="none" w:sz="0" w:space="0" w:color="auto"/>
            <w:left w:val="none" w:sz="0" w:space="0" w:color="auto"/>
            <w:bottom w:val="none" w:sz="0" w:space="0" w:color="auto"/>
            <w:right w:val="none" w:sz="0" w:space="0" w:color="auto"/>
          </w:divBdr>
        </w:div>
        <w:div w:id="2105571086">
          <w:marLeft w:val="640"/>
          <w:marRight w:val="0"/>
          <w:marTop w:val="0"/>
          <w:marBottom w:val="0"/>
          <w:divBdr>
            <w:top w:val="none" w:sz="0" w:space="0" w:color="auto"/>
            <w:left w:val="none" w:sz="0" w:space="0" w:color="auto"/>
            <w:bottom w:val="none" w:sz="0" w:space="0" w:color="auto"/>
            <w:right w:val="none" w:sz="0" w:space="0" w:color="auto"/>
          </w:divBdr>
        </w:div>
        <w:div w:id="1945379412">
          <w:marLeft w:val="640"/>
          <w:marRight w:val="0"/>
          <w:marTop w:val="0"/>
          <w:marBottom w:val="0"/>
          <w:divBdr>
            <w:top w:val="none" w:sz="0" w:space="0" w:color="auto"/>
            <w:left w:val="none" w:sz="0" w:space="0" w:color="auto"/>
            <w:bottom w:val="none" w:sz="0" w:space="0" w:color="auto"/>
            <w:right w:val="none" w:sz="0" w:space="0" w:color="auto"/>
          </w:divBdr>
        </w:div>
        <w:div w:id="76752478">
          <w:marLeft w:val="640"/>
          <w:marRight w:val="0"/>
          <w:marTop w:val="0"/>
          <w:marBottom w:val="0"/>
          <w:divBdr>
            <w:top w:val="none" w:sz="0" w:space="0" w:color="auto"/>
            <w:left w:val="none" w:sz="0" w:space="0" w:color="auto"/>
            <w:bottom w:val="none" w:sz="0" w:space="0" w:color="auto"/>
            <w:right w:val="none" w:sz="0" w:space="0" w:color="auto"/>
          </w:divBdr>
        </w:div>
        <w:div w:id="2087990669">
          <w:marLeft w:val="640"/>
          <w:marRight w:val="0"/>
          <w:marTop w:val="0"/>
          <w:marBottom w:val="0"/>
          <w:divBdr>
            <w:top w:val="none" w:sz="0" w:space="0" w:color="auto"/>
            <w:left w:val="none" w:sz="0" w:space="0" w:color="auto"/>
            <w:bottom w:val="none" w:sz="0" w:space="0" w:color="auto"/>
            <w:right w:val="none" w:sz="0" w:space="0" w:color="auto"/>
          </w:divBdr>
        </w:div>
        <w:div w:id="109862279">
          <w:marLeft w:val="640"/>
          <w:marRight w:val="0"/>
          <w:marTop w:val="0"/>
          <w:marBottom w:val="0"/>
          <w:divBdr>
            <w:top w:val="none" w:sz="0" w:space="0" w:color="auto"/>
            <w:left w:val="none" w:sz="0" w:space="0" w:color="auto"/>
            <w:bottom w:val="none" w:sz="0" w:space="0" w:color="auto"/>
            <w:right w:val="none" w:sz="0" w:space="0" w:color="auto"/>
          </w:divBdr>
        </w:div>
        <w:div w:id="487861493">
          <w:marLeft w:val="640"/>
          <w:marRight w:val="0"/>
          <w:marTop w:val="0"/>
          <w:marBottom w:val="0"/>
          <w:divBdr>
            <w:top w:val="none" w:sz="0" w:space="0" w:color="auto"/>
            <w:left w:val="none" w:sz="0" w:space="0" w:color="auto"/>
            <w:bottom w:val="none" w:sz="0" w:space="0" w:color="auto"/>
            <w:right w:val="none" w:sz="0" w:space="0" w:color="auto"/>
          </w:divBdr>
        </w:div>
        <w:div w:id="1015230411">
          <w:marLeft w:val="640"/>
          <w:marRight w:val="0"/>
          <w:marTop w:val="0"/>
          <w:marBottom w:val="0"/>
          <w:divBdr>
            <w:top w:val="none" w:sz="0" w:space="0" w:color="auto"/>
            <w:left w:val="none" w:sz="0" w:space="0" w:color="auto"/>
            <w:bottom w:val="none" w:sz="0" w:space="0" w:color="auto"/>
            <w:right w:val="none" w:sz="0" w:space="0" w:color="auto"/>
          </w:divBdr>
        </w:div>
        <w:div w:id="301735017">
          <w:marLeft w:val="640"/>
          <w:marRight w:val="0"/>
          <w:marTop w:val="0"/>
          <w:marBottom w:val="0"/>
          <w:divBdr>
            <w:top w:val="none" w:sz="0" w:space="0" w:color="auto"/>
            <w:left w:val="none" w:sz="0" w:space="0" w:color="auto"/>
            <w:bottom w:val="none" w:sz="0" w:space="0" w:color="auto"/>
            <w:right w:val="none" w:sz="0" w:space="0" w:color="auto"/>
          </w:divBdr>
        </w:div>
        <w:div w:id="116070615">
          <w:marLeft w:val="640"/>
          <w:marRight w:val="0"/>
          <w:marTop w:val="0"/>
          <w:marBottom w:val="0"/>
          <w:divBdr>
            <w:top w:val="none" w:sz="0" w:space="0" w:color="auto"/>
            <w:left w:val="none" w:sz="0" w:space="0" w:color="auto"/>
            <w:bottom w:val="none" w:sz="0" w:space="0" w:color="auto"/>
            <w:right w:val="none" w:sz="0" w:space="0" w:color="auto"/>
          </w:divBdr>
        </w:div>
        <w:div w:id="2103377994">
          <w:marLeft w:val="640"/>
          <w:marRight w:val="0"/>
          <w:marTop w:val="0"/>
          <w:marBottom w:val="0"/>
          <w:divBdr>
            <w:top w:val="none" w:sz="0" w:space="0" w:color="auto"/>
            <w:left w:val="none" w:sz="0" w:space="0" w:color="auto"/>
            <w:bottom w:val="none" w:sz="0" w:space="0" w:color="auto"/>
            <w:right w:val="none" w:sz="0" w:space="0" w:color="auto"/>
          </w:divBdr>
        </w:div>
        <w:div w:id="537356887">
          <w:marLeft w:val="640"/>
          <w:marRight w:val="0"/>
          <w:marTop w:val="0"/>
          <w:marBottom w:val="0"/>
          <w:divBdr>
            <w:top w:val="none" w:sz="0" w:space="0" w:color="auto"/>
            <w:left w:val="none" w:sz="0" w:space="0" w:color="auto"/>
            <w:bottom w:val="none" w:sz="0" w:space="0" w:color="auto"/>
            <w:right w:val="none" w:sz="0" w:space="0" w:color="auto"/>
          </w:divBdr>
        </w:div>
        <w:div w:id="978075137">
          <w:marLeft w:val="640"/>
          <w:marRight w:val="0"/>
          <w:marTop w:val="0"/>
          <w:marBottom w:val="0"/>
          <w:divBdr>
            <w:top w:val="none" w:sz="0" w:space="0" w:color="auto"/>
            <w:left w:val="none" w:sz="0" w:space="0" w:color="auto"/>
            <w:bottom w:val="none" w:sz="0" w:space="0" w:color="auto"/>
            <w:right w:val="none" w:sz="0" w:space="0" w:color="auto"/>
          </w:divBdr>
        </w:div>
        <w:div w:id="888150854">
          <w:marLeft w:val="640"/>
          <w:marRight w:val="0"/>
          <w:marTop w:val="0"/>
          <w:marBottom w:val="0"/>
          <w:divBdr>
            <w:top w:val="none" w:sz="0" w:space="0" w:color="auto"/>
            <w:left w:val="none" w:sz="0" w:space="0" w:color="auto"/>
            <w:bottom w:val="none" w:sz="0" w:space="0" w:color="auto"/>
            <w:right w:val="none" w:sz="0" w:space="0" w:color="auto"/>
          </w:divBdr>
        </w:div>
        <w:div w:id="1674603834">
          <w:marLeft w:val="640"/>
          <w:marRight w:val="0"/>
          <w:marTop w:val="0"/>
          <w:marBottom w:val="0"/>
          <w:divBdr>
            <w:top w:val="none" w:sz="0" w:space="0" w:color="auto"/>
            <w:left w:val="none" w:sz="0" w:space="0" w:color="auto"/>
            <w:bottom w:val="none" w:sz="0" w:space="0" w:color="auto"/>
            <w:right w:val="none" w:sz="0" w:space="0" w:color="auto"/>
          </w:divBdr>
        </w:div>
        <w:div w:id="1651666676">
          <w:marLeft w:val="640"/>
          <w:marRight w:val="0"/>
          <w:marTop w:val="0"/>
          <w:marBottom w:val="0"/>
          <w:divBdr>
            <w:top w:val="none" w:sz="0" w:space="0" w:color="auto"/>
            <w:left w:val="none" w:sz="0" w:space="0" w:color="auto"/>
            <w:bottom w:val="none" w:sz="0" w:space="0" w:color="auto"/>
            <w:right w:val="none" w:sz="0" w:space="0" w:color="auto"/>
          </w:divBdr>
        </w:div>
        <w:div w:id="1066102585">
          <w:marLeft w:val="640"/>
          <w:marRight w:val="0"/>
          <w:marTop w:val="0"/>
          <w:marBottom w:val="0"/>
          <w:divBdr>
            <w:top w:val="none" w:sz="0" w:space="0" w:color="auto"/>
            <w:left w:val="none" w:sz="0" w:space="0" w:color="auto"/>
            <w:bottom w:val="none" w:sz="0" w:space="0" w:color="auto"/>
            <w:right w:val="none" w:sz="0" w:space="0" w:color="auto"/>
          </w:divBdr>
        </w:div>
        <w:div w:id="1956448740">
          <w:marLeft w:val="640"/>
          <w:marRight w:val="0"/>
          <w:marTop w:val="0"/>
          <w:marBottom w:val="0"/>
          <w:divBdr>
            <w:top w:val="none" w:sz="0" w:space="0" w:color="auto"/>
            <w:left w:val="none" w:sz="0" w:space="0" w:color="auto"/>
            <w:bottom w:val="none" w:sz="0" w:space="0" w:color="auto"/>
            <w:right w:val="none" w:sz="0" w:space="0" w:color="auto"/>
          </w:divBdr>
        </w:div>
        <w:div w:id="162478555">
          <w:marLeft w:val="640"/>
          <w:marRight w:val="0"/>
          <w:marTop w:val="0"/>
          <w:marBottom w:val="0"/>
          <w:divBdr>
            <w:top w:val="none" w:sz="0" w:space="0" w:color="auto"/>
            <w:left w:val="none" w:sz="0" w:space="0" w:color="auto"/>
            <w:bottom w:val="none" w:sz="0" w:space="0" w:color="auto"/>
            <w:right w:val="none" w:sz="0" w:space="0" w:color="auto"/>
          </w:divBdr>
        </w:div>
        <w:div w:id="446317109">
          <w:marLeft w:val="640"/>
          <w:marRight w:val="0"/>
          <w:marTop w:val="0"/>
          <w:marBottom w:val="0"/>
          <w:divBdr>
            <w:top w:val="none" w:sz="0" w:space="0" w:color="auto"/>
            <w:left w:val="none" w:sz="0" w:space="0" w:color="auto"/>
            <w:bottom w:val="none" w:sz="0" w:space="0" w:color="auto"/>
            <w:right w:val="none" w:sz="0" w:space="0" w:color="auto"/>
          </w:divBdr>
        </w:div>
        <w:div w:id="2127233798">
          <w:marLeft w:val="640"/>
          <w:marRight w:val="0"/>
          <w:marTop w:val="0"/>
          <w:marBottom w:val="0"/>
          <w:divBdr>
            <w:top w:val="none" w:sz="0" w:space="0" w:color="auto"/>
            <w:left w:val="none" w:sz="0" w:space="0" w:color="auto"/>
            <w:bottom w:val="none" w:sz="0" w:space="0" w:color="auto"/>
            <w:right w:val="none" w:sz="0" w:space="0" w:color="auto"/>
          </w:divBdr>
        </w:div>
        <w:div w:id="2079161830">
          <w:marLeft w:val="640"/>
          <w:marRight w:val="0"/>
          <w:marTop w:val="0"/>
          <w:marBottom w:val="0"/>
          <w:divBdr>
            <w:top w:val="none" w:sz="0" w:space="0" w:color="auto"/>
            <w:left w:val="none" w:sz="0" w:space="0" w:color="auto"/>
            <w:bottom w:val="none" w:sz="0" w:space="0" w:color="auto"/>
            <w:right w:val="none" w:sz="0" w:space="0" w:color="auto"/>
          </w:divBdr>
        </w:div>
        <w:div w:id="265189992">
          <w:marLeft w:val="640"/>
          <w:marRight w:val="0"/>
          <w:marTop w:val="0"/>
          <w:marBottom w:val="0"/>
          <w:divBdr>
            <w:top w:val="none" w:sz="0" w:space="0" w:color="auto"/>
            <w:left w:val="none" w:sz="0" w:space="0" w:color="auto"/>
            <w:bottom w:val="none" w:sz="0" w:space="0" w:color="auto"/>
            <w:right w:val="none" w:sz="0" w:space="0" w:color="auto"/>
          </w:divBdr>
        </w:div>
        <w:div w:id="454913229">
          <w:marLeft w:val="640"/>
          <w:marRight w:val="0"/>
          <w:marTop w:val="0"/>
          <w:marBottom w:val="0"/>
          <w:divBdr>
            <w:top w:val="none" w:sz="0" w:space="0" w:color="auto"/>
            <w:left w:val="none" w:sz="0" w:space="0" w:color="auto"/>
            <w:bottom w:val="none" w:sz="0" w:space="0" w:color="auto"/>
            <w:right w:val="none" w:sz="0" w:space="0" w:color="auto"/>
          </w:divBdr>
        </w:div>
        <w:div w:id="776363455">
          <w:marLeft w:val="640"/>
          <w:marRight w:val="0"/>
          <w:marTop w:val="0"/>
          <w:marBottom w:val="0"/>
          <w:divBdr>
            <w:top w:val="none" w:sz="0" w:space="0" w:color="auto"/>
            <w:left w:val="none" w:sz="0" w:space="0" w:color="auto"/>
            <w:bottom w:val="none" w:sz="0" w:space="0" w:color="auto"/>
            <w:right w:val="none" w:sz="0" w:space="0" w:color="auto"/>
          </w:divBdr>
        </w:div>
        <w:div w:id="390008454">
          <w:marLeft w:val="640"/>
          <w:marRight w:val="0"/>
          <w:marTop w:val="0"/>
          <w:marBottom w:val="0"/>
          <w:divBdr>
            <w:top w:val="none" w:sz="0" w:space="0" w:color="auto"/>
            <w:left w:val="none" w:sz="0" w:space="0" w:color="auto"/>
            <w:bottom w:val="none" w:sz="0" w:space="0" w:color="auto"/>
            <w:right w:val="none" w:sz="0" w:space="0" w:color="auto"/>
          </w:divBdr>
        </w:div>
        <w:div w:id="806045732">
          <w:marLeft w:val="640"/>
          <w:marRight w:val="0"/>
          <w:marTop w:val="0"/>
          <w:marBottom w:val="0"/>
          <w:divBdr>
            <w:top w:val="none" w:sz="0" w:space="0" w:color="auto"/>
            <w:left w:val="none" w:sz="0" w:space="0" w:color="auto"/>
            <w:bottom w:val="none" w:sz="0" w:space="0" w:color="auto"/>
            <w:right w:val="none" w:sz="0" w:space="0" w:color="auto"/>
          </w:divBdr>
        </w:div>
        <w:div w:id="785738622">
          <w:marLeft w:val="640"/>
          <w:marRight w:val="0"/>
          <w:marTop w:val="0"/>
          <w:marBottom w:val="0"/>
          <w:divBdr>
            <w:top w:val="none" w:sz="0" w:space="0" w:color="auto"/>
            <w:left w:val="none" w:sz="0" w:space="0" w:color="auto"/>
            <w:bottom w:val="none" w:sz="0" w:space="0" w:color="auto"/>
            <w:right w:val="none" w:sz="0" w:space="0" w:color="auto"/>
          </w:divBdr>
        </w:div>
        <w:div w:id="1741632215">
          <w:marLeft w:val="640"/>
          <w:marRight w:val="0"/>
          <w:marTop w:val="0"/>
          <w:marBottom w:val="0"/>
          <w:divBdr>
            <w:top w:val="none" w:sz="0" w:space="0" w:color="auto"/>
            <w:left w:val="none" w:sz="0" w:space="0" w:color="auto"/>
            <w:bottom w:val="none" w:sz="0" w:space="0" w:color="auto"/>
            <w:right w:val="none" w:sz="0" w:space="0" w:color="auto"/>
          </w:divBdr>
        </w:div>
        <w:div w:id="2005160924">
          <w:marLeft w:val="640"/>
          <w:marRight w:val="0"/>
          <w:marTop w:val="0"/>
          <w:marBottom w:val="0"/>
          <w:divBdr>
            <w:top w:val="none" w:sz="0" w:space="0" w:color="auto"/>
            <w:left w:val="none" w:sz="0" w:space="0" w:color="auto"/>
            <w:bottom w:val="none" w:sz="0" w:space="0" w:color="auto"/>
            <w:right w:val="none" w:sz="0" w:space="0" w:color="auto"/>
          </w:divBdr>
        </w:div>
        <w:div w:id="1392195966">
          <w:marLeft w:val="640"/>
          <w:marRight w:val="0"/>
          <w:marTop w:val="0"/>
          <w:marBottom w:val="0"/>
          <w:divBdr>
            <w:top w:val="none" w:sz="0" w:space="0" w:color="auto"/>
            <w:left w:val="none" w:sz="0" w:space="0" w:color="auto"/>
            <w:bottom w:val="none" w:sz="0" w:space="0" w:color="auto"/>
            <w:right w:val="none" w:sz="0" w:space="0" w:color="auto"/>
          </w:divBdr>
        </w:div>
        <w:div w:id="871113921">
          <w:marLeft w:val="640"/>
          <w:marRight w:val="0"/>
          <w:marTop w:val="0"/>
          <w:marBottom w:val="0"/>
          <w:divBdr>
            <w:top w:val="none" w:sz="0" w:space="0" w:color="auto"/>
            <w:left w:val="none" w:sz="0" w:space="0" w:color="auto"/>
            <w:bottom w:val="none" w:sz="0" w:space="0" w:color="auto"/>
            <w:right w:val="none" w:sz="0" w:space="0" w:color="auto"/>
          </w:divBdr>
        </w:div>
        <w:div w:id="191963417">
          <w:marLeft w:val="640"/>
          <w:marRight w:val="0"/>
          <w:marTop w:val="0"/>
          <w:marBottom w:val="0"/>
          <w:divBdr>
            <w:top w:val="none" w:sz="0" w:space="0" w:color="auto"/>
            <w:left w:val="none" w:sz="0" w:space="0" w:color="auto"/>
            <w:bottom w:val="none" w:sz="0" w:space="0" w:color="auto"/>
            <w:right w:val="none" w:sz="0" w:space="0" w:color="auto"/>
          </w:divBdr>
        </w:div>
        <w:div w:id="1406756697">
          <w:marLeft w:val="640"/>
          <w:marRight w:val="0"/>
          <w:marTop w:val="0"/>
          <w:marBottom w:val="0"/>
          <w:divBdr>
            <w:top w:val="none" w:sz="0" w:space="0" w:color="auto"/>
            <w:left w:val="none" w:sz="0" w:space="0" w:color="auto"/>
            <w:bottom w:val="none" w:sz="0" w:space="0" w:color="auto"/>
            <w:right w:val="none" w:sz="0" w:space="0" w:color="auto"/>
          </w:divBdr>
        </w:div>
        <w:div w:id="2009553052">
          <w:marLeft w:val="640"/>
          <w:marRight w:val="0"/>
          <w:marTop w:val="0"/>
          <w:marBottom w:val="0"/>
          <w:divBdr>
            <w:top w:val="none" w:sz="0" w:space="0" w:color="auto"/>
            <w:left w:val="none" w:sz="0" w:space="0" w:color="auto"/>
            <w:bottom w:val="none" w:sz="0" w:space="0" w:color="auto"/>
            <w:right w:val="none" w:sz="0" w:space="0" w:color="auto"/>
          </w:divBdr>
        </w:div>
        <w:div w:id="1803881765">
          <w:marLeft w:val="640"/>
          <w:marRight w:val="0"/>
          <w:marTop w:val="0"/>
          <w:marBottom w:val="0"/>
          <w:divBdr>
            <w:top w:val="none" w:sz="0" w:space="0" w:color="auto"/>
            <w:left w:val="none" w:sz="0" w:space="0" w:color="auto"/>
            <w:bottom w:val="none" w:sz="0" w:space="0" w:color="auto"/>
            <w:right w:val="none" w:sz="0" w:space="0" w:color="auto"/>
          </w:divBdr>
        </w:div>
        <w:div w:id="1633173011">
          <w:marLeft w:val="640"/>
          <w:marRight w:val="0"/>
          <w:marTop w:val="0"/>
          <w:marBottom w:val="0"/>
          <w:divBdr>
            <w:top w:val="none" w:sz="0" w:space="0" w:color="auto"/>
            <w:left w:val="none" w:sz="0" w:space="0" w:color="auto"/>
            <w:bottom w:val="none" w:sz="0" w:space="0" w:color="auto"/>
            <w:right w:val="none" w:sz="0" w:space="0" w:color="auto"/>
          </w:divBdr>
        </w:div>
        <w:div w:id="2083990162">
          <w:marLeft w:val="640"/>
          <w:marRight w:val="0"/>
          <w:marTop w:val="0"/>
          <w:marBottom w:val="0"/>
          <w:divBdr>
            <w:top w:val="none" w:sz="0" w:space="0" w:color="auto"/>
            <w:left w:val="none" w:sz="0" w:space="0" w:color="auto"/>
            <w:bottom w:val="none" w:sz="0" w:space="0" w:color="auto"/>
            <w:right w:val="none" w:sz="0" w:space="0" w:color="auto"/>
          </w:divBdr>
        </w:div>
        <w:div w:id="966354127">
          <w:marLeft w:val="640"/>
          <w:marRight w:val="0"/>
          <w:marTop w:val="0"/>
          <w:marBottom w:val="0"/>
          <w:divBdr>
            <w:top w:val="none" w:sz="0" w:space="0" w:color="auto"/>
            <w:left w:val="none" w:sz="0" w:space="0" w:color="auto"/>
            <w:bottom w:val="none" w:sz="0" w:space="0" w:color="auto"/>
            <w:right w:val="none" w:sz="0" w:space="0" w:color="auto"/>
          </w:divBdr>
        </w:div>
        <w:div w:id="2107918800">
          <w:marLeft w:val="640"/>
          <w:marRight w:val="0"/>
          <w:marTop w:val="0"/>
          <w:marBottom w:val="0"/>
          <w:divBdr>
            <w:top w:val="none" w:sz="0" w:space="0" w:color="auto"/>
            <w:left w:val="none" w:sz="0" w:space="0" w:color="auto"/>
            <w:bottom w:val="none" w:sz="0" w:space="0" w:color="auto"/>
            <w:right w:val="none" w:sz="0" w:space="0" w:color="auto"/>
          </w:divBdr>
        </w:div>
        <w:div w:id="1469513884">
          <w:marLeft w:val="640"/>
          <w:marRight w:val="0"/>
          <w:marTop w:val="0"/>
          <w:marBottom w:val="0"/>
          <w:divBdr>
            <w:top w:val="none" w:sz="0" w:space="0" w:color="auto"/>
            <w:left w:val="none" w:sz="0" w:space="0" w:color="auto"/>
            <w:bottom w:val="none" w:sz="0" w:space="0" w:color="auto"/>
            <w:right w:val="none" w:sz="0" w:space="0" w:color="auto"/>
          </w:divBdr>
        </w:div>
        <w:div w:id="1969436401">
          <w:marLeft w:val="640"/>
          <w:marRight w:val="0"/>
          <w:marTop w:val="0"/>
          <w:marBottom w:val="0"/>
          <w:divBdr>
            <w:top w:val="none" w:sz="0" w:space="0" w:color="auto"/>
            <w:left w:val="none" w:sz="0" w:space="0" w:color="auto"/>
            <w:bottom w:val="none" w:sz="0" w:space="0" w:color="auto"/>
            <w:right w:val="none" w:sz="0" w:space="0" w:color="auto"/>
          </w:divBdr>
        </w:div>
        <w:div w:id="1341082321">
          <w:marLeft w:val="640"/>
          <w:marRight w:val="0"/>
          <w:marTop w:val="0"/>
          <w:marBottom w:val="0"/>
          <w:divBdr>
            <w:top w:val="none" w:sz="0" w:space="0" w:color="auto"/>
            <w:left w:val="none" w:sz="0" w:space="0" w:color="auto"/>
            <w:bottom w:val="none" w:sz="0" w:space="0" w:color="auto"/>
            <w:right w:val="none" w:sz="0" w:space="0" w:color="auto"/>
          </w:divBdr>
        </w:div>
        <w:div w:id="1427849483">
          <w:marLeft w:val="640"/>
          <w:marRight w:val="0"/>
          <w:marTop w:val="0"/>
          <w:marBottom w:val="0"/>
          <w:divBdr>
            <w:top w:val="none" w:sz="0" w:space="0" w:color="auto"/>
            <w:left w:val="none" w:sz="0" w:space="0" w:color="auto"/>
            <w:bottom w:val="none" w:sz="0" w:space="0" w:color="auto"/>
            <w:right w:val="none" w:sz="0" w:space="0" w:color="auto"/>
          </w:divBdr>
        </w:div>
        <w:div w:id="1547838343">
          <w:marLeft w:val="640"/>
          <w:marRight w:val="0"/>
          <w:marTop w:val="0"/>
          <w:marBottom w:val="0"/>
          <w:divBdr>
            <w:top w:val="none" w:sz="0" w:space="0" w:color="auto"/>
            <w:left w:val="none" w:sz="0" w:space="0" w:color="auto"/>
            <w:bottom w:val="none" w:sz="0" w:space="0" w:color="auto"/>
            <w:right w:val="none" w:sz="0" w:space="0" w:color="auto"/>
          </w:divBdr>
        </w:div>
        <w:div w:id="1933854381">
          <w:marLeft w:val="640"/>
          <w:marRight w:val="0"/>
          <w:marTop w:val="0"/>
          <w:marBottom w:val="0"/>
          <w:divBdr>
            <w:top w:val="none" w:sz="0" w:space="0" w:color="auto"/>
            <w:left w:val="none" w:sz="0" w:space="0" w:color="auto"/>
            <w:bottom w:val="none" w:sz="0" w:space="0" w:color="auto"/>
            <w:right w:val="none" w:sz="0" w:space="0" w:color="auto"/>
          </w:divBdr>
        </w:div>
        <w:div w:id="2015186212">
          <w:marLeft w:val="640"/>
          <w:marRight w:val="0"/>
          <w:marTop w:val="0"/>
          <w:marBottom w:val="0"/>
          <w:divBdr>
            <w:top w:val="none" w:sz="0" w:space="0" w:color="auto"/>
            <w:left w:val="none" w:sz="0" w:space="0" w:color="auto"/>
            <w:bottom w:val="none" w:sz="0" w:space="0" w:color="auto"/>
            <w:right w:val="none" w:sz="0" w:space="0" w:color="auto"/>
          </w:divBdr>
        </w:div>
        <w:div w:id="2047679227">
          <w:marLeft w:val="640"/>
          <w:marRight w:val="0"/>
          <w:marTop w:val="0"/>
          <w:marBottom w:val="0"/>
          <w:divBdr>
            <w:top w:val="none" w:sz="0" w:space="0" w:color="auto"/>
            <w:left w:val="none" w:sz="0" w:space="0" w:color="auto"/>
            <w:bottom w:val="none" w:sz="0" w:space="0" w:color="auto"/>
            <w:right w:val="none" w:sz="0" w:space="0" w:color="auto"/>
          </w:divBdr>
        </w:div>
        <w:div w:id="782069828">
          <w:marLeft w:val="640"/>
          <w:marRight w:val="0"/>
          <w:marTop w:val="0"/>
          <w:marBottom w:val="0"/>
          <w:divBdr>
            <w:top w:val="none" w:sz="0" w:space="0" w:color="auto"/>
            <w:left w:val="none" w:sz="0" w:space="0" w:color="auto"/>
            <w:bottom w:val="none" w:sz="0" w:space="0" w:color="auto"/>
            <w:right w:val="none" w:sz="0" w:space="0" w:color="auto"/>
          </w:divBdr>
        </w:div>
        <w:div w:id="369041063">
          <w:marLeft w:val="640"/>
          <w:marRight w:val="0"/>
          <w:marTop w:val="0"/>
          <w:marBottom w:val="0"/>
          <w:divBdr>
            <w:top w:val="none" w:sz="0" w:space="0" w:color="auto"/>
            <w:left w:val="none" w:sz="0" w:space="0" w:color="auto"/>
            <w:bottom w:val="none" w:sz="0" w:space="0" w:color="auto"/>
            <w:right w:val="none" w:sz="0" w:space="0" w:color="auto"/>
          </w:divBdr>
        </w:div>
        <w:div w:id="225145144">
          <w:marLeft w:val="640"/>
          <w:marRight w:val="0"/>
          <w:marTop w:val="0"/>
          <w:marBottom w:val="0"/>
          <w:divBdr>
            <w:top w:val="none" w:sz="0" w:space="0" w:color="auto"/>
            <w:left w:val="none" w:sz="0" w:space="0" w:color="auto"/>
            <w:bottom w:val="none" w:sz="0" w:space="0" w:color="auto"/>
            <w:right w:val="none" w:sz="0" w:space="0" w:color="auto"/>
          </w:divBdr>
        </w:div>
        <w:div w:id="431556020">
          <w:marLeft w:val="640"/>
          <w:marRight w:val="0"/>
          <w:marTop w:val="0"/>
          <w:marBottom w:val="0"/>
          <w:divBdr>
            <w:top w:val="none" w:sz="0" w:space="0" w:color="auto"/>
            <w:left w:val="none" w:sz="0" w:space="0" w:color="auto"/>
            <w:bottom w:val="none" w:sz="0" w:space="0" w:color="auto"/>
            <w:right w:val="none" w:sz="0" w:space="0" w:color="auto"/>
          </w:divBdr>
        </w:div>
        <w:div w:id="1613442060">
          <w:marLeft w:val="640"/>
          <w:marRight w:val="0"/>
          <w:marTop w:val="0"/>
          <w:marBottom w:val="0"/>
          <w:divBdr>
            <w:top w:val="none" w:sz="0" w:space="0" w:color="auto"/>
            <w:left w:val="none" w:sz="0" w:space="0" w:color="auto"/>
            <w:bottom w:val="none" w:sz="0" w:space="0" w:color="auto"/>
            <w:right w:val="none" w:sz="0" w:space="0" w:color="auto"/>
          </w:divBdr>
        </w:div>
        <w:div w:id="1655064859">
          <w:marLeft w:val="640"/>
          <w:marRight w:val="0"/>
          <w:marTop w:val="0"/>
          <w:marBottom w:val="0"/>
          <w:divBdr>
            <w:top w:val="none" w:sz="0" w:space="0" w:color="auto"/>
            <w:left w:val="none" w:sz="0" w:space="0" w:color="auto"/>
            <w:bottom w:val="none" w:sz="0" w:space="0" w:color="auto"/>
            <w:right w:val="none" w:sz="0" w:space="0" w:color="auto"/>
          </w:divBdr>
        </w:div>
        <w:div w:id="561216983">
          <w:marLeft w:val="640"/>
          <w:marRight w:val="0"/>
          <w:marTop w:val="0"/>
          <w:marBottom w:val="0"/>
          <w:divBdr>
            <w:top w:val="none" w:sz="0" w:space="0" w:color="auto"/>
            <w:left w:val="none" w:sz="0" w:space="0" w:color="auto"/>
            <w:bottom w:val="none" w:sz="0" w:space="0" w:color="auto"/>
            <w:right w:val="none" w:sz="0" w:space="0" w:color="auto"/>
          </w:divBdr>
        </w:div>
        <w:div w:id="1089813246">
          <w:marLeft w:val="640"/>
          <w:marRight w:val="0"/>
          <w:marTop w:val="0"/>
          <w:marBottom w:val="0"/>
          <w:divBdr>
            <w:top w:val="none" w:sz="0" w:space="0" w:color="auto"/>
            <w:left w:val="none" w:sz="0" w:space="0" w:color="auto"/>
            <w:bottom w:val="none" w:sz="0" w:space="0" w:color="auto"/>
            <w:right w:val="none" w:sz="0" w:space="0" w:color="auto"/>
          </w:divBdr>
        </w:div>
        <w:div w:id="963076197">
          <w:marLeft w:val="640"/>
          <w:marRight w:val="0"/>
          <w:marTop w:val="0"/>
          <w:marBottom w:val="0"/>
          <w:divBdr>
            <w:top w:val="none" w:sz="0" w:space="0" w:color="auto"/>
            <w:left w:val="none" w:sz="0" w:space="0" w:color="auto"/>
            <w:bottom w:val="none" w:sz="0" w:space="0" w:color="auto"/>
            <w:right w:val="none" w:sz="0" w:space="0" w:color="auto"/>
          </w:divBdr>
        </w:div>
        <w:div w:id="599223239">
          <w:marLeft w:val="640"/>
          <w:marRight w:val="0"/>
          <w:marTop w:val="0"/>
          <w:marBottom w:val="0"/>
          <w:divBdr>
            <w:top w:val="none" w:sz="0" w:space="0" w:color="auto"/>
            <w:left w:val="none" w:sz="0" w:space="0" w:color="auto"/>
            <w:bottom w:val="none" w:sz="0" w:space="0" w:color="auto"/>
            <w:right w:val="none" w:sz="0" w:space="0" w:color="auto"/>
          </w:divBdr>
        </w:div>
        <w:div w:id="1541632025">
          <w:marLeft w:val="640"/>
          <w:marRight w:val="0"/>
          <w:marTop w:val="0"/>
          <w:marBottom w:val="0"/>
          <w:divBdr>
            <w:top w:val="none" w:sz="0" w:space="0" w:color="auto"/>
            <w:left w:val="none" w:sz="0" w:space="0" w:color="auto"/>
            <w:bottom w:val="none" w:sz="0" w:space="0" w:color="auto"/>
            <w:right w:val="none" w:sz="0" w:space="0" w:color="auto"/>
          </w:divBdr>
        </w:div>
        <w:div w:id="525557368">
          <w:marLeft w:val="640"/>
          <w:marRight w:val="0"/>
          <w:marTop w:val="0"/>
          <w:marBottom w:val="0"/>
          <w:divBdr>
            <w:top w:val="none" w:sz="0" w:space="0" w:color="auto"/>
            <w:left w:val="none" w:sz="0" w:space="0" w:color="auto"/>
            <w:bottom w:val="none" w:sz="0" w:space="0" w:color="auto"/>
            <w:right w:val="none" w:sz="0" w:space="0" w:color="auto"/>
          </w:divBdr>
        </w:div>
        <w:div w:id="1327628968">
          <w:marLeft w:val="640"/>
          <w:marRight w:val="0"/>
          <w:marTop w:val="0"/>
          <w:marBottom w:val="0"/>
          <w:divBdr>
            <w:top w:val="none" w:sz="0" w:space="0" w:color="auto"/>
            <w:left w:val="none" w:sz="0" w:space="0" w:color="auto"/>
            <w:bottom w:val="none" w:sz="0" w:space="0" w:color="auto"/>
            <w:right w:val="none" w:sz="0" w:space="0" w:color="auto"/>
          </w:divBdr>
        </w:div>
        <w:div w:id="2073503136">
          <w:marLeft w:val="640"/>
          <w:marRight w:val="0"/>
          <w:marTop w:val="0"/>
          <w:marBottom w:val="0"/>
          <w:divBdr>
            <w:top w:val="none" w:sz="0" w:space="0" w:color="auto"/>
            <w:left w:val="none" w:sz="0" w:space="0" w:color="auto"/>
            <w:bottom w:val="none" w:sz="0" w:space="0" w:color="auto"/>
            <w:right w:val="none" w:sz="0" w:space="0" w:color="auto"/>
          </w:divBdr>
        </w:div>
        <w:div w:id="71658236">
          <w:marLeft w:val="640"/>
          <w:marRight w:val="0"/>
          <w:marTop w:val="0"/>
          <w:marBottom w:val="0"/>
          <w:divBdr>
            <w:top w:val="none" w:sz="0" w:space="0" w:color="auto"/>
            <w:left w:val="none" w:sz="0" w:space="0" w:color="auto"/>
            <w:bottom w:val="none" w:sz="0" w:space="0" w:color="auto"/>
            <w:right w:val="none" w:sz="0" w:space="0" w:color="auto"/>
          </w:divBdr>
        </w:div>
        <w:div w:id="1897011746">
          <w:marLeft w:val="640"/>
          <w:marRight w:val="0"/>
          <w:marTop w:val="0"/>
          <w:marBottom w:val="0"/>
          <w:divBdr>
            <w:top w:val="none" w:sz="0" w:space="0" w:color="auto"/>
            <w:left w:val="none" w:sz="0" w:space="0" w:color="auto"/>
            <w:bottom w:val="none" w:sz="0" w:space="0" w:color="auto"/>
            <w:right w:val="none" w:sz="0" w:space="0" w:color="auto"/>
          </w:divBdr>
        </w:div>
        <w:div w:id="455098767">
          <w:marLeft w:val="640"/>
          <w:marRight w:val="0"/>
          <w:marTop w:val="0"/>
          <w:marBottom w:val="0"/>
          <w:divBdr>
            <w:top w:val="none" w:sz="0" w:space="0" w:color="auto"/>
            <w:left w:val="none" w:sz="0" w:space="0" w:color="auto"/>
            <w:bottom w:val="none" w:sz="0" w:space="0" w:color="auto"/>
            <w:right w:val="none" w:sz="0" w:space="0" w:color="auto"/>
          </w:divBdr>
        </w:div>
        <w:div w:id="426390082">
          <w:marLeft w:val="640"/>
          <w:marRight w:val="0"/>
          <w:marTop w:val="0"/>
          <w:marBottom w:val="0"/>
          <w:divBdr>
            <w:top w:val="none" w:sz="0" w:space="0" w:color="auto"/>
            <w:left w:val="none" w:sz="0" w:space="0" w:color="auto"/>
            <w:bottom w:val="none" w:sz="0" w:space="0" w:color="auto"/>
            <w:right w:val="none" w:sz="0" w:space="0" w:color="auto"/>
          </w:divBdr>
        </w:div>
        <w:div w:id="426775813">
          <w:marLeft w:val="640"/>
          <w:marRight w:val="0"/>
          <w:marTop w:val="0"/>
          <w:marBottom w:val="0"/>
          <w:divBdr>
            <w:top w:val="none" w:sz="0" w:space="0" w:color="auto"/>
            <w:left w:val="none" w:sz="0" w:space="0" w:color="auto"/>
            <w:bottom w:val="none" w:sz="0" w:space="0" w:color="auto"/>
            <w:right w:val="none" w:sz="0" w:space="0" w:color="auto"/>
          </w:divBdr>
        </w:div>
        <w:div w:id="1941524708">
          <w:marLeft w:val="640"/>
          <w:marRight w:val="0"/>
          <w:marTop w:val="0"/>
          <w:marBottom w:val="0"/>
          <w:divBdr>
            <w:top w:val="none" w:sz="0" w:space="0" w:color="auto"/>
            <w:left w:val="none" w:sz="0" w:space="0" w:color="auto"/>
            <w:bottom w:val="none" w:sz="0" w:space="0" w:color="auto"/>
            <w:right w:val="none" w:sz="0" w:space="0" w:color="auto"/>
          </w:divBdr>
        </w:div>
        <w:div w:id="1215653244">
          <w:marLeft w:val="640"/>
          <w:marRight w:val="0"/>
          <w:marTop w:val="0"/>
          <w:marBottom w:val="0"/>
          <w:divBdr>
            <w:top w:val="none" w:sz="0" w:space="0" w:color="auto"/>
            <w:left w:val="none" w:sz="0" w:space="0" w:color="auto"/>
            <w:bottom w:val="none" w:sz="0" w:space="0" w:color="auto"/>
            <w:right w:val="none" w:sz="0" w:space="0" w:color="auto"/>
          </w:divBdr>
        </w:div>
        <w:div w:id="1928927657">
          <w:marLeft w:val="640"/>
          <w:marRight w:val="0"/>
          <w:marTop w:val="0"/>
          <w:marBottom w:val="0"/>
          <w:divBdr>
            <w:top w:val="none" w:sz="0" w:space="0" w:color="auto"/>
            <w:left w:val="none" w:sz="0" w:space="0" w:color="auto"/>
            <w:bottom w:val="none" w:sz="0" w:space="0" w:color="auto"/>
            <w:right w:val="none" w:sz="0" w:space="0" w:color="auto"/>
          </w:divBdr>
        </w:div>
        <w:div w:id="1974870542">
          <w:marLeft w:val="640"/>
          <w:marRight w:val="0"/>
          <w:marTop w:val="0"/>
          <w:marBottom w:val="0"/>
          <w:divBdr>
            <w:top w:val="none" w:sz="0" w:space="0" w:color="auto"/>
            <w:left w:val="none" w:sz="0" w:space="0" w:color="auto"/>
            <w:bottom w:val="none" w:sz="0" w:space="0" w:color="auto"/>
            <w:right w:val="none" w:sz="0" w:space="0" w:color="auto"/>
          </w:divBdr>
        </w:div>
        <w:div w:id="1958640214">
          <w:marLeft w:val="640"/>
          <w:marRight w:val="0"/>
          <w:marTop w:val="0"/>
          <w:marBottom w:val="0"/>
          <w:divBdr>
            <w:top w:val="none" w:sz="0" w:space="0" w:color="auto"/>
            <w:left w:val="none" w:sz="0" w:space="0" w:color="auto"/>
            <w:bottom w:val="none" w:sz="0" w:space="0" w:color="auto"/>
            <w:right w:val="none" w:sz="0" w:space="0" w:color="auto"/>
          </w:divBdr>
        </w:div>
        <w:div w:id="1879390953">
          <w:marLeft w:val="640"/>
          <w:marRight w:val="0"/>
          <w:marTop w:val="0"/>
          <w:marBottom w:val="0"/>
          <w:divBdr>
            <w:top w:val="none" w:sz="0" w:space="0" w:color="auto"/>
            <w:left w:val="none" w:sz="0" w:space="0" w:color="auto"/>
            <w:bottom w:val="none" w:sz="0" w:space="0" w:color="auto"/>
            <w:right w:val="none" w:sz="0" w:space="0" w:color="auto"/>
          </w:divBdr>
        </w:div>
        <w:div w:id="344594008">
          <w:marLeft w:val="640"/>
          <w:marRight w:val="0"/>
          <w:marTop w:val="0"/>
          <w:marBottom w:val="0"/>
          <w:divBdr>
            <w:top w:val="none" w:sz="0" w:space="0" w:color="auto"/>
            <w:left w:val="none" w:sz="0" w:space="0" w:color="auto"/>
            <w:bottom w:val="none" w:sz="0" w:space="0" w:color="auto"/>
            <w:right w:val="none" w:sz="0" w:space="0" w:color="auto"/>
          </w:divBdr>
        </w:div>
        <w:div w:id="1099524764">
          <w:marLeft w:val="640"/>
          <w:marRight w:val="0"/>
          <w:marTop w:val="0"/>
          <w:marBottom w:val="0"/>
          <w:divBdr>
            <w:top w:val="none" w:sz="0" w:space="0" w:color="auto"/>
            <w:left w:val="none" w:sz="0" w:space="0" w:color="auto"/>
            <w:bottom w:val="none" w:sz="0" w:space="0" w:color="auto"/>
            <w:right w:val="none" w:sz="0" w:space="0" w:color="auto"/>
          </w:divBdr>
        </w:div>
        <w:div w:id="248005458">
          <w:marLeft w:val="640"/>
          <w:marRight w:val="0"/>
          <w:marTop w:val="0"/>
          <w:marBottom w:val="0"/>
          <w:divBdr>
            <w:top w:val="none" w:sz="0" w:space="0" w:color="auto"/>
            <w:left w:val="none" w:sz="0" w:space="0" w:color="auto"/>
            <w:bottom w:val="none" w:sz="0" w:space="0" w:color="auto"/>
            <w:right w:val="none" w:sz="0" w:space="0" w:color="auto"/>
          </w:divBdr>
        </w:div>
        <w:div w:id="707224210">
          <w:marLeft w:val="640"/>
          <w:marRight w:val="0"/>
          <w:marTop w:val="0"/>
          <w:marBottom w:val="0"/>
          <w:divBdr>
            <w:top w:val="none" w:sz="0" w:space="0" w:color="auto"/>
            <w:left w:val="none" w:sz="0" w:space="0" w:color="auto"/>
            <w:bottom w:val="none" w:sz="0" w:space="0" w:color="auto"/>
            <w:right w:val="none" w:sz="0" w:space="0" w:color="auto"/>
          </w:divBdr>
        </w:div>
        <w:div w:id="453789702">
          <w:marLeft w:val="640"/>
          <w:marRight w:val="0"/>
          <w:marTop w:val="0"/>
          <w:marBottom w:val="0"/>
          <w:divBdr>
            <w:top w:val="none" w:sz="0" w:space="0" w:color="auto"/>
            <w:left w:val="none" w:sz="0" w:space="0" w:color="auto"/>
            <w:bottom w:val="none" w:sz="0" w:space="0" w:color="auto"/>
            <w:right w:val="none" w:sz="0" w:space="0" w:color="auto"/>
          </w:divBdr>
        </w:div>
        <w:div w:id="1034306377">
          <w:marLeft w:val="640"/>
          <w:marRight w:val="0"/>
          <w:marTop w:val="0"/>
          <w:marBottom w:val="0"/>
          <w:divBdr>
            <w:top w:val="none" w:sz="0" w:space="0" w:color="auto"/>
            <w:left w:val="none" w:sz="0" w:space="0" w:color="auto"/>
            <w:bottom w:val="none" w:sz="0" w:space="0" w:color="auto"/>
            <w:right w:val="none" w:sz="0" w:space="0" w:color="auto"/>
          </w:divBdr>
        </w:div>
        <w:div w:id="1778404339">
          <w:marLeft w:val="640"/>
          <w:marRight w:val="0"/>
          <w:marTop w:val="0"/>
          <w:marBottom w:val="0"/>
          <w:divBdr>
            <w:top w:val="none" w:sz="0" w:space="0" w:color="auto"/>
            <w:left w:val="none" w:sz="0" w:space="0" w:color="auto"/>
            <w:bottom w:val="none" w:sz="0" w:space="0" w:color="auto"/>
            <w:right w:val="none" w:sz="0" w:space="0" w:color="auto"/>
          </w:divBdr>
        </w:div>
        <w:div w:id="1249119177">
          <w:marLeft w:val="640"/>
          <w:marRight w:val="0"/>
          <w:marTop w:val="0"/>
          <w:marBottom w:val="0"/>
          <w:divBdr>
            <w:top w:val="none" w:sz="0" w:space="0" w:color="auto"/>
            <w:left w:val="none" w:sz="0" w:space="0" w:color="auto"/>
            <w:bottom w:val="none" w:sz="0" w:space="0" w:color="auto"/>
            <w:right w:val="none" w:sz="0" w:space="0" w:color="auto"/>
          </w:divBdr>
        </w:div>
        <w:div w:id="633096067">
          <w:marLeft w:val="640"/>
          <w:marRight w:val="0"/>
          <w:marTop w:val="0"/>
          <w:marBottom w:val="0"/>
          <w:divBdr>
            <w:top w:val="none" w:sz="0" w:space="0" w:color="auto"/>
            <w:left w:val="none" w:sz="0" w:space="0" w:color="auto"/>
            <w:bottom w:val="none" w:sz="0" w:space="0" w:color="auto"/>
            <w:right w:val="none" w:sz="0" w:space="0" w:color="auto"/>
          </w:divBdr>
        </w:div>
        <w:div w:id="2022972993">
          <w:marLeft w:val="640"/>
          <w:marRight w:val="0"/>
          <w:marTop w:val="0"/>
          <w:marBottom w:val="0"/>
          <w:divBdr>
            <w:top w:val="none" w:sz="0" w:space="0" w:color="auto"/>
            <w:left w:val="none" w:sz="0" w:space="0" w:color="auto"/>
            <w:bottom w:val="none" w:sz="0" w:space="0" w:color="auto"/>
            <w:right w:val="none" w:sz="0" w:space="0" w:color="auto"/>
          </w:divBdr>
        </w:div>
        <w:div w:id="1074864033">
          <w:marLeft w:val="640"/>
          <w:marRight w:val="0"/>
          <w:marTop w:val="0"/>
          <w:marBottom w:val="0"/>
          <w:divBdr>
            <w:top w:val="none" w:sz="0" w:space="0" w:color="auto"/>
            <w:left w:val="none" w:sz="0" w:space="0" w:color="auto"/>
            <w:bottom w:val="none" w:sz="0" w:space="0" w:color="auto"/>
            <w:right w:val="none" w:sz="0" w:space="0" w:color="auto"/>
          </w:divBdr>
        </w:div>
        <w:div w:id="2086218504">
          <w:marLeft w:val="640"/>
          <w:marRight w:val="0"/>
          <w:marTop w:val="0"/>
          <w:marBottom w:val="0"/>
          <w:divBdr>
            <w:top w:val="none" w:sz="0" w:space="0" w:color="auto"/>
            <w:left w:val="none" w:sz="0" w:space="0" w:color="auto"/>
            <w:bottom w:val="none" w:sz="0" w:space="0" w:color="auto"/>
            <w:right w:val="none" w:sz="0" w:space="0" w:color="auto"/>
          </w:divBdr>
        </w:div>
        <w:div w:id="1887448378">
          <w:marLeft w:val="640"/>
          <w:marRight w:val="0"/>
          <w:marTop w:val="0"/>
          <w:marBottom w:val="0"/>
          <w:divBdr>
            <w:top w:val="none" w:sz="0" w:space="0" w:color="auto"/>
            <w:left w:val="none" w:sz="0" w:space="0" w:color="auto"/>
            <w:bottom w:val="none" w:sz="0" w:space="0" w:color="auto"/>
            <w:right w:val="none" w:sz="0" w:space="0" w:color="auto"/>
          </w:divBdr>
        </w:div>
        <w:div w:id="500656768">
          <w:marLeft w:val="640"/>
          <w:marRight w:val="0"/>
          <w:marTop w:val="0"/>
          <w:marBottom w:val="0"/>
          <w:divBdr>
            <w:top w:val="none" w:sz="0" w:space="0" w:color="auto"/>
            <w:left w:val="none" w:sz="0" w:space="0" w:color="auto"/>
            <w:bottom w:val="none" w:sz="0" w:space="0" w:color="auto"/>
            <w:right w:val="none" w:sz="0" w:space="0" w:color="auto"/>
          </w:divBdr>
        </w:div>
        <w:div w:id="1732582367">
          <w:marLeft w:val="640"/>
          <w:marRight w:val="0"/>
          <w:marTop w:val="0"/>
          <w:marBottom w:val="0"/>
          <w:divBdr>
            <w:top w:val="none" w:sz="0" w:space="0" w:color="auto"/>
            <w:left w:val="none" w:sz="0" w:space="0" w:color="auto"/>
            <w:bottom w:val="none" w:sz="0" w:space="0" w:color="auto"/>
            <w:right w:val="none" w:sz="0" w:space="0" w:color="auto"/>
          </w:divBdr>
        </w:div>
        <w:div w:id="1025987531">
          <w:marLeft w:val="640"/>
          <w:marRight w:val="0"/>
          <w:marTop w:val="0"/>
          <w:marBottom w:val="0"/>
          <w:divBdr>
            <w:top w:val="none" w:sz="0" w:space="0" w:color="auto"/>
            <w:left w:val="none" w:sz="0" w:space="0" w:color="auto"/>
            <w:bottom w:val="none" w:sz="0" w:space="0" w:color="auto"/>
            <w:right w:val="none" w:sz="0" w:space="0" w:color="auto"/>
          </w:divBdr>
        </w:div>
        <w:div w:id="723213767">
          <w:marLeft w:val="640"/>
          <w:marRight w:val="0"/>
          <w:marTop w:val="0"/>
          <w:marBottom w:val="0"/>
          <w:divBdr>
            <w:top w:val="none" w:sz="0" w:space="0" w:color="auto"/>
            <w:left w:val="none" w:sz="0" w:space="0" w:color="auto"/>
            <w:bottom w:val="none" w:sz="0" w:space="0" w:color="auto"/>
            <w:right w:val="none" w:sz="0" w:space="0" w:color="auto"/>
          </w:divBdr>
        </w:div>
        <w:div w:id="1231885987">
          <w:marLeft w:val="640"/>
          <w:marRight w:val="0"/>
          <w:marTop w:val="0"/>
          <w:marBottom w:val="0"/>
          <w:divBdr>
            <w:top w:val="none" w:sz="0" w:space="0" w:color="auto"/>
            <w:left w:val="none" w:sz="0" w:space="0" w:color="auto"/>
            <w:bottom w:val="none" w:sz="0" w:space="0" w:color="auto"/>
            <w:right w:val="none" w:sz="0" w:space="0" w:color="auto"/>
          </w:divBdr>
        </w:div>
        <w:div w:id="196237435">
          <w:marLeft w:val="640"/>
          <w:marRight w:val="0"/>
          <w:marTop w:val="0"/>
          <w:marBottom w:val="0"/>
          <w:divBdr>
            <w:top w:val="none" w:sz="0" w:space="0" w:color="auto"/>
            <w:left w:val="none" w:sz="0" w:space="0" w:color="auto"/>
            <w:bottom w:val="none" w:sz="0" w:space="0" w:color="auto"/>
            <w:right w:val="none" w:sz="0" w:space="0" w:color="auto"/>
          </w:divBdr>
        </w:div>
        <w:div w:id="2131513028">
          <w:marLeft w:val="640"/>
          <w:marRight w:val="0"/>
          <w:marTop w:val="0"/>
          <w:marBottom w:val="0"/>
          <w:divBdr>
            <w:top w:val="none" w:sz="0" w:space="0" w:color="auto"/>
            <w:left w:val="none" w:sz="0" w:space="0" w:color="auto"/>
            <w:bottom w:val="none" w:sz="0" w:space="0" w:color="auto"/>
            <w:right w:val="none" w:sz="0" w:space="0" w:color="auto"/>
          </w:divBdr>
        </w:div>
        <w:div w:id="1360738951">
          <w:marLeft w:val="640"/>
          <w:marRight w:val="0"/>
          <w:marTop w:val="0"/>
          <w:marBottom w:val="0"/>
          <w:divBdr>
            <w:top w:val="none" w:sz="0" w:space="0" w:color="auto"/>
            <w:left w:val="none" w:sz="0" w:space="0" w:color="auto"/>
            <w:bottom w:val="none" w:sz="0" w:space="0" w:color="auto"/>
            <w:right w:val="none" w:sz="0" w:space="0" w:color="auto"/>
          </w:divBdr>
        </w:div>
        <w:div w:id="1814709727">
          <w:marLeft w:val="640"/>
          <w:marRight w:val="0"/>
          <w:marTop w:val="0"/>
          <w:marBottom w:val="0"/>
          <w:divBdr>
            <w:top w:val="none" w:sz="0" w:space="0" w:color="auto"/>
            <w:left w:val="none" w:sz="0" w:space="0" w:color="auto"/>
            <w:bottom w:val="none" w:sz="0" w:space="0" w:color="auto"/>
            <w:right w:val="none" w:sz="0" w:space="0" w:color="auto"/>
          </w:divBdr>
        </w:div>
        <w:div w:id="242642887">
          <w:marLeft w:val="640"/>
          <w:marRight w:val="0"/>
          <w:marTop w:val="0"/>
          <w:marBottom w:val="0"/>
          <w:divBdr>
            <w:top w:val="none" w:sz="0" w:space="0" w:color="auto"/>
            <w:left w:val="none" w:sz="0" w:space="0" w:color="auto"/>
            <w:bottom w:val="none" w:sz="0" w:space="0" w:color="auto"/>
            <w:right w:val="none" w:sz="0" w:space="0" w:color="auto"/>
          </w:divBdr>
        </w:div>
        <w:div w:id="1427649037">
          <w:marLeft w:val="640"/>
          <w:marRight w:val="0"/>
          <w:marTop w:val="0"/>
          <w:marBottom w:val="0"/>
          <w:divBdr>
            <w:top w:val="none" w:sz="0" w:space="0" w:color="auto"/>
            <w:left w:val="none" w:sz="0" w:space="0" w:color="auto"/>
            <w:bottom w:val="none" w:sz="0" w:space="0" w:color="auto"/>
            <w:right w:val="none" w:sz="0" w:space="0" w:color="auto"/>
          </w:divBdr>
        </w:div>
        <w:div w:id="651713828">
          <w:marLeft w:val="640"/>
          <w:marRight w:val="0"/>
          <w:marTop w:val="0"/>
          <w:marBottom w:val="0"/>
          <w:divBdr>
            <w:top w:val="none" w:sz="0" w:space="0" w:color="auto"/>
            <w:left w:val="none" w:sz="0" w:space="0" w:color="auto"/>
            <w:bottom w:val="none" w:sz="0" w:space="0" w:color="auto"/>
            <w:right w:val="none" w:sz="0" w:space="0" w:color="auto"/>
          </w:divBdr>
        </w:div>
        <w:div w:id="1213231271">
          <w:marLeft w:val="640"/>
          <w:marRight w:val="0"/>
          <w:marTop w:val="0"/>
          <w:marBottom w:val="0"/>
          <w:divBdr>
            <w:top w:val="none" w:sz="0" w:space="0" w:color="auto"/>
            <w:left w:val="none" w:sz="0" w:space="0" w:color="auto"/>
            <w:bottom w:val="none" w:sz="0" w:space="0" w:color="auto"/>
            <w:right w:val="none" w:sz="0" w:space="0" w:color="auto"/>
          </w:divBdr>
        </w:div>
        <w:div w:id="1877430404">
          <w:marLeft w:val="640"/>
          <w:marRight w:val="0"/>
          <w:marTop w:val="0"/>
          <w:marBottom w:val="0"/>
          <w:divBdr>
            <w:top w:val="none" w:sz="0" w:space="0" w:color="auto"/>
            <w:left w:val="none" w:sz="0" w:space="0" w:color="auto"/>
            <w:bottom w:val="none" w:sz="0" w:space="0" w:color="auto"/>
            <w:right w:val="none" w:sz="0" w:space="0" w:color="auto"/>
          </w:divBdr>
        </w:div>
        <w:div w:id="2018263349">
          <w:marLeft w:val="640"/>
          <w:marRight w:val="0"/>
          <w:marTop w:val="0"/>
          <w:marBottom w:val="0"/>
          <w:divBdr>
            <w:top w:val="none" w:sz="0" w:space="0" w:color="auto"/>
            <w:left w:val="none" w:sz="0" w:space="0" w:color="auto"/>
            <w:bottom w:val="none" w:sz="0" w:space="0" w:color="auto"/>
            <w:right w:val="none" w:sz="0" w:space="0" w:color="auto"/>
          </w:divBdr>
        </w:div>
        <w:div w:id="676884334">
          <w:marLeft w:val="640"/>
          <w:marRight w:val="0"/>
          <w:marTop w:val="0"/>
          <w:marBottom w:val="0"/>
          <w:divBdr>
            <w:top w:val="none" w:sz="0" w:space="0" w:color="auto"/>
            <w:left w:val="none" w:sz="0" w:space="0" w:color="auto"/>
            <w:bottom w:val="none" w:sz="0" w:space="0" w:color="auto"/>
            <w:right w:val="none" w:sz="0" w:space="0" w:color="auto"/>
          </w:divBdr>
        </w:div>
        <w:div w:id="2054889995">
          <w:marLeft w:val="640"/>
          <w:marRight w:val="0"/>
          <w:marTop w:val="0"/>
          <w:marBottom w:val="0"/>
          <w:divBdr>
            <w:top w:val="none" w:sz="0" w:space="0" w:color="auto"/>
            <w:left w:val="none" w:sz="0" w:space="0" w:color="auto"/>
            <w:bottom w:val="none" w:sz="0" w:space="0" w:color="auto"/>
            <w:right w:val="none" w:sz="0" w:space="0" w:color="auto"/>
          </w:divBdr>
        </w:div>
        <w:div w:id="391806919">
          <w:marLeft w:val="640"/>
          <w:marRight w:val="0"/>
          <w:marTop w:val="0"/>
          <w:marBottom w:val="0"/>
          <w:divBdr>
            <w:top w:val="none" w:sz="0" w:space="0" w:color="auto"/>
            <w:left w:val="none" w:sz="0" w:space="0" w:color="auto"/>
            <w:bottom w:val="none" w:sz="0" w:space="0" w:color="auto"/>
            <w:right w:val="none" w:sz="0" w:space="0" w:color="auto"/>
          </w:divBdr>
        </w:div>
        <w:div w:id="318074192">
          <w:marLeft w:val="640"/>
          <w:marRight w:val="0"/>
          <w:marTop w:val="0"/>
          <w:marBottom w:val="0"/>
          <w:divBdr>
            <w:top w:val="none" w:sz="0" w:space="0" w:color="auto"/>
            <w:left w:val="none" w:sz="0" w:space="0" w:color="auto"/>
            <w:bottom w:val="none" w:sz="0" w:space="0" w:color="auto"/>
            <w:right w:val="none" w:sz="0" w:space="0" w:color="auto"/>
          </w:divBdr>
        </w:div>
        <w:div w:id="917792942">
          <w:marLeft w:val="640"/>
          <w:marRight w:val="0"/>
          <w:marTop w:val="0"/>
          <w:marBottom w:val="0"/>
          <w:divBdr>
            <w:top w:val="none" w:sz="0" w:space="0" w:color="auto"/>
            <w:left w:val="none" w:sz="0" w:space="0" w:color="auto"/>
            <w:bottom w:val="none" w:sz="0" w:space="0" w:color="auto"/>
            <w:right w:val="none" w:sz="0" w:space="0" w:color="auto"/>
          </w:divBdr>
        </w:div>
        <w:div w:id="93328066">
          <w:marLeft w:val="640"/>
          <w:marRight w:val="0"/>
          <w:marTop w:val="0"/>
          <w:marBottom w:val="0"/>
          <w:divBdr>
            <w:top w:val="none" w:sz="0" w:space="0" w:color="auto"/>
            <w:left w:val="none" w:sz="0" w:space="0" w:color="auto"/>
            <w:bottom w:val="none" w:sz="0" w:space="0" w:color="auto"/>
            <w:right w:val="none" w:sz="0" w:space="0" w:color="auto"/>
          </w:divBdr>
        </w:div>
        <w:div w:id="729889954">
          <w:marLeft w:val="640"/>
          <w:marRight w:val="0"/>
          <w:marTop w:val="0"/>
          <w:marBottom w:val="0"/>
          <w:divBdr>
            <w:top w:val="none" w:sz="0" w:space="0" w:color="auto"/>
            <w:left w:val="none" w:sz="0" w:space="0" w:color="auto"/>
            <w:bottom w:val="none" w:sz="0" w:space="0" w:color="auto"/>
            <w:right w:val="none" w:sz="0" w:space="0" w:color="auto"/>
          </w:divBdr>
        </w:div>
        <w:div w:id="476996507">
          <w:marLeft w:val="640"/>
          <w:marRight w:val="0"/>
          <w:marTop w:val="0"/>
          <w:marBottom w:val="0"/>
          <w:divBdr>
            <w:top w:val="none" w:sz="0" w:space="0" w:color="auto"/>
            <w:left w:val="none" w:sz="0" w:space="0" w:color="auto"/>
            <w:bottom w:val="none" w:sz="0" w:space="0" w:color="auto"/>
            <w:right w:val="none" w:sz="0" w:space="0" w:color="auto"/>
          </w:divBdr>
        </w:div>
        <w:div w:id="1698384726">
          <w:marLeft w:val="640"/>
          <w:marRight w:val="0"/>
          <w:marTop w:val="0"/>
          <w:marBottom w:val="0"/>
          <w:divBdr>
            <w:top w:val="none" w:sz="0" w:space="0" w:color="auto"/>
            <w:left w:val="none" w:sz="0" w:space="0" w:color="auto"/>
            <w:bottom w:val="none" w:sz="0" w:space="0" w:color="auto"/>
            <w:right w:val="none" w:sz="0" w:space="0" w:color="auto"/>
          </w:divBdr>
        </w:div>
        <w:div w:id="1210193342">
          <w:marLeft w:val="640"/>
          <w:marRight w:val="0"/>
          <w:marTop w:val="0"/>
          <w:marBottom w:val="0"/>
          <w:divBdr>
            <w:top w:val="none" w:sz="0" w:space="0" w:color="auto"/>
            <w:left w:val="none" w:sz="0" w:space="0" w:color="auto"/>
            <w:bottom w:val="none" w:sz="0" w:space="0" w:color="auto"/>
            <w:right w:val="none" w:sz="0" w:space="0" w:color="auto"/>
          </w:divBdr>
        </w:div>
        <w:div w:id="875042575">
          <w:marLeft w:val="640"/>
          <w:marRight w:val="0"/>
          <w:marTop w:val="0"/>
          <w:marBottom w:val="0"/>
          <w:divBdr>
            <w:top w:val="none" w:sz="0" w:space="0" w:color="auto"/>
            <w:left w:val="none" w:sz="0" w:space="0" w:color="auto"/>
            <w:bottom w:val="none" w:sz="0" w:space="0" w:color="auto"/>
            <w:right w:val="none" w:sz="0" w:space="0" w:color="auto"/>
          </w:divBdr>
        </w:div>
        <w:div w:id="543954237">
          <w:marLeft w:val="640"/>
          <w:marRight w:val="0"/>
          <w:marTop w:val="0"/>
          <w:marBottom w:val="0"/>
          <w:divBdr>
            <w:top w:val="none" w:sz="0" w:space="0" w:color="auto"/>
            <w:left w:val="none" w:sz="0" w:space="0" w:color="auto"/>
            <w:bottom w:val="none" w:sz="0" w:space="0" w:color="auto"/>
            <w:right w:val="none" w:sz="0" w:space="0" w:color="auto"/>
          </w:divBdr>
        </w:div>
      </w:divsChild>
    </w:div>
    <w:div w:id="1149707676">
      <w:bodyDiv w:val="1"/>
      <w:marLeft w:val="0"/>
      <w:marRight w:val="0"/>
      <w:marTop w:val="0"/>
      <w:marBottom w:val="0"/>
      <w:divBdr>
        <w:top w:val="none" w:sz="0" w:space="0" w:color="auto"/>
        <w:left w:val="none" w:sz="0" w:space="0" w:color="auto"/>
        <w:bottom w:val="none" w:sz="0" w:space="0" w:color="auto"/>
        <w:right w:val="none" w:sz="0" w:space="0" w:color="auto"/>
      </w:divBdr>
    </w:div>
    <w:div w:id="1150756447">
      <w:bodyDiv w:val="1"/>
      <w:marLeft w:val="0"/>
      <w:marRight w:val="0"/>
      <w:marTop w:val="0"/>
      <w:marBottom w:val="0"/>
      <w:divBdr>
        <w:top w:val="none" w:sz="0" w:space="0" w:color="auto"/>
        <w:left w:val="none" w:sz="0" w:space="0" w:color="auto"/>
        <w:bottom w:val="none" w:sz="0" w:space="0" w:color="auto"/>
        <w:right w:val="none" w:sz="0" w:space="0" w:color="auto"/>
      </w:divBdr>
    </w:div>
    <w:div w:id="1153257772">
      <w:bodyDiv w:val="1"/>
      <w:marLeft w:val="0"/>
      <w:marRight w:val="0"/>
      <w:marTop w:val="0"/>
      <w:marBottom w:val="0"/>
      <w:divBdr>
        <w:top w:val="none" w:sz="0" w:space="0" w:color="auto"/>
        <w:left w:val="none" w:sz="0" w:space="0" w:color="auto"/>
        <w:bottom w:val="none" w:sz="0" w:space="0" w:color="auto"/>
        <w:right w:val="none" w:sz="0" w:space="0" w:color="auto"/>
      </w:divBdr>
    </w:div>
    <w:div w:id="1154757025">
      <w:bodyDiv w:val="1"/>
      <w:marLeft w:val="0"/>
      <w:marRight w:val="0"/>
      <w:marTop w:val="0"/>
      <w:marBottom w:val="0"/>
      <w:divBdr>
        <w:top w:val="none" w:sz="0" w:space="0" w:color="auto"/>
        <w:left w:val="none" w:sz="0" w:space="0" w:color="auto"/>
        <w:bottom w:val="none" w:sz="0" w:space="0" w:color="auto"/>
        <w:right w:val="none" w:sz="0" w:space="0" w:color="auto"/>
      </w:divBdr>
    </w:div>
    <w:div w:id="1155609800">
      <w:bodyDiv w:val="1"/>
      <w:marLeft w:val="0"/>
      <w:marRight w:val="0"/>
      <w:marTop w:val="0"/>
      <w:marBottom w:val="0"/>
      <w:divBdr>
        <w:top w:val="none" w:sz="0" w:space="0" w:color="auto"/>
        <w:left w:val="none" w:sz="0" w:space="0" w:color="auto"/>
        <w:bottom w:val="none" w:sz="0" w:space="0" w:color="auto"/>
        <w:right w:val="none" w:sz="0" w:space="0" w:color="auto"/>
      </w:divBdr>
    </w:div>
    <w:div w:id="1156072484">
      <w:bodyDiv w:val="1"/>
      <w:marLeft w:val="0"/>
      <w:marRight w:val="0"/>
      <w:marTop w:val="0"/>
      <w:marBottom w:val="0"/>
      <w:divBdr>
        <w:top w:val="none" w:sz="0" w:space="0" w:color="auto"/>
        <w:left w:val="none" w:sz="0" w:space="0" w:color="auto"/>
        <w:bottom w:val="none" w:sz="0" w:space="0" w:color="auto"/>
        <w:right w:val="none" w:sz="0" w:space="0" w:color="auto"/>
      </w:divBdr>
    </w:div>
    <w:div w:id="1158109004">
      <w:bodyDiv w:val="1"/>
      <w:marLeft w:val="0"/>
      <w:marRight w:val="0"/>
      <w:marTop w:val="0"/>
      <w:marBottom w:val="0"/>
      <w:divBdr>
        <w:top w:val="none" w:sz="0" w:space="0" w:color="auto"/>
        <w:left w:val="none" w:sz="0" w:space="0" w:color="auto"/>
        <w:bottom w:val="none" w:sz="0" w:space="0" w:color="auto"/>
        <w:right w:val="none" w:sz="0" w:space="0" w:color="auto"/>
      </w:divBdr>
    </w:div>
    <w:div w:id="1161891036">
      <w:bodyDiv w:val="1"/>
      <w:marLeft w:val="0"/>
      <w:marRight w:val="0"/>
      <w:marTop w:val="0"/>
      <w:marBottom w:val="0"/>
      <w:divBdr>
        <w:top w:val="none" w:sz="0" w:space="0" w:color="auto"/>
        <w:left w:val="none" w:sz="0" w:space="0" w:color="auto"/>
        <w:bottom w:val="none" w:sz="0" w:space="0" w:color="auto"/>
        <w:right w:val="none" w:sz="0" w:space="0" w:color="auto"/>
      </w:divBdr>
    </w:div>
    <w:div w:id="1162038149">
      <w:bodyDiv w:val="1"/>
      <w:marLeft w:val="0"/>
      <w:marRight w:val="0"/>
      <w:marTop w:val="0"/>
      <w:marBottom w:val="0"/>
      <w:divBdr>
        <w:top w:val="none" w:sz="0" w:space="0" w:color="auto"/>
        <w:left w:val="none" w:sz="0" w:space="0" w:color="auto"/>
        <w:bottom w:val="none" w:sz="0" w:space="0" w:color="auto"/>
        <w:right w:val="none" w:sz="0" w:space="0" w:color="auto"/>
      </w:divBdr>
    </w:div>
    <w:div w:id="1164126135">
      <w:bodyDiv w:val="1"/>
      <w:marLeft w:val="0"/>
      <w:marRight w:val="0"/>
      <w:marTop w:val="0"/>
      <w:marBottom w:val="0"/>
      <w:divBdr>
        <w:top w:val="none" w:sz="0" w:space="0" w:color="auto"/>
        <w:left w:val="none" w:sz="0" w:space="0" w:color="auto"/>
        <w:bottom w:val="none" w:sz="0" w:space="0" w:color="auto"/>
        <w:right w:val="none" w:sz="0" w:space="0" w:color="auto"/>
      </w:divBdr>
    </w:div>
    <w:div w:id="1164206205">
      <w:bodyDiv w:val="1"/>
      <w:marLeft w:val="0"/>
      <w:marRight w:val="0"/>
      <w:marTop w:val="0"/>
      <w:marBottom w:val="0"/>
      <w:divBdr>
        <w:top w:val="none" w:sz="0" w:space="0" w:color="auto"/>
        <w:left w:val="none" w:sz="0" w:space="0" w:color="auto"/>
        <w:bottom w:val="none" w:sz="0" w:space="0" w:color="auto"/>
        <w:right w:val="none" w:sz="0" w:space="0" w:color="auto"/>
      </w:divBdr>
    </w:div>
    <w:div w:id="1164323716">
      <w:bodyDiv w:val="1"/>
      <w:marLeft w:val="0"/>
      <w:marRight w:val="0"/>
      <w:marTop w:val="0"/>
      <w:marBottom w:val="0"/>
      <w:divBdr>
        <w:top w:val="none" w:sz="0" w:space="0" w:color="auto"/>
        <w:left w:val="none" w:sz="0" w:space="0" w:color="auto"/>
        <w:bottom w:val="none" w:sz="0" w:space="0" w:color="auto"/>
        <w:right w:val="none" w:sz="0" w:space="0" w:color="auto"/>
      </w:divBdr>
    </w:div>
    <w:div w:id="1166701616">
      <w:bodyDiv w:val="1"/>
      <w:marLeft w:val="0"/>
      <w:marRight w:val="0"/>
      <w:marTop w:val="0"/>
      <w:marBottom w:val="0"/>
      <w:divBdr>
        <w:top w:val="none" w:sz="0" w:space="0" w:color="auto"/>
        <w:left w:val="none" w:sz="0" w:space="0" w:color="auto"/>
        <w:bottom w:val="none" w:sz="0" w:space="0" w:color="auto"/>
        <w:right w:val="none" w:sz="0" w:space="0" w:color="auto"/>
      </w:divBdr>
    </w:div>
    <w:div w:id="1169368149">
      <w:bodyDiv w:val="1"/>
      <w:marLeft w:val="0"/>
      <w:marRight w:val="0"/>
      <w:marTop w:val="0"/>
      <w:marBottom w:val="0"/>
      <w:divBdr>
        <w:top w:val="none" w:sz="0" w:space="0" w:color="auto"/>
        <w:left w:val="none" w:sz="0" w:space="0" w:color="auto"/>
        <w:bottom w:val="none" w:sz="0" w:space="0" w:color="auto"/>
        <w:right w:val="none" w:sz="0" w:space="0" w:color="auto"/>
      </w:divBdr>
    </w:div>
    <w:div w:id="1170289705">
      <w:bodyDiv w:val="1"/>
      <w:marLeft w:val="0"/>
      <w:marRight w:val="0"/>
      <w:marTop w:val="0"/>
      <w:marBottom w:val="0"/>
      <w:divBdr>
        <w:top w:val="none" w:sz="0" w:space="0" w:color="auto"/>
        <w:left w:val="none" w:sz="0" w:space="0" w:color="auto"/>
        <w:bottom w:val="none" w:sz="0" w:space="0" w:color="auto"/>
        <w:right w:val="none" w:sz="0" w:space="0" w:color="auto"/>
      </w:divBdr>
    </w:div>
    <w:div w:id="1170411421">
      <w:bodyDiv w:val="1"/>
      <w:marLeft w:val="0"/>
      <w:marRight w:val="0"/>
      <w:marTop w:val="0"/>
      <w:marBottom w:val="0"/>
      <w:divBdr>
        <w:top w:val="none" w:sz="0" w:space="0" w:color="auto"/>
        <w:left w:val="none" w:sz="0" w:space="0" w:color="auto"/>
        <w:bottom w:val="none" w:sz="0" w:space="0" w:color="auto"/>
        <w:right w:val="none" w:sz="0" w:space="0" w:color="auto"/>
      </w:divBdr>
    </w:div>
    <w:div w:id="1170635744">
      <w:bodyDiv w:val="1"/>
      <w:marLeft w:val="0"/>
      <w:marRight w:val="0"/>
      <w:marTop w:val="0"/>
      <w:marBottom w:val="0"/>
      <w:divBdr>
        <w:top w:val="none" w:sz="0" w:space="0" w:color="auto"/>
        <w:left w:val="none" w:sz="0" w:space="0" w:color="auto"/>
        <w:bottom w:val="none" w:sz="0" w:space="0" w:color="auto"/>
        <w:right w:val="none" w:sz="0" w:space="0" w:color="auto"/>
      </w:divBdr>
    </w:div>
    <w:div w:id="1177964253">
      <w:bodyDiv w:val="1"/>
      <w:marLeft w:val="0"/>
      <w:marRight w:val="0"/>
      <w:marTop w:val="0"/>
      <w:marBottom w:val="0"/>
      <w:divBdr>
        <w:top w:val="none" w:sz="0" w:space="0" w:color="auto"/>
        <w:left w:val="none" w:sz="0" w:space="0" w:color="auto"/>
        <w:bottom w:val="none" w:sz="0" w:space="0" w:color="auto"/>
        <w:right w:val="none" w:sz="0" w:space="0" w:color="auto"/>
      </w:divBdr>
    </w:div>
    <w:div w:id="1179202191">
      <w:bodyDiv w:val="1"/>
      <w:marLeft w:val="0"/>
      <w:marRight w:val="0"/>
      <w:marTop w:val="0"/>
      <w:marBottom w:val="0"/>
      <w:divBdr>
        <w:top w:val="none" w:sz="0" w:space="0" w:color="auto"/>
        <w:left w:val="none" w:sz="0" w:space="0" w:color="auto"/>
        <w:bottom w:val="none" w:sz="0" w:space="0" w:color="auto"/>
        <w:right w:val="none" w:sz="0" w:space="0" w:color="auto"/>
      </w:divBdr>
    </w:div>
    <w:div w:id="1183325427">
      <w:bodyDiv w:val="1"/>
      <w:marLeft w:val="0"/>
      <w:marRight w:val="0"/>
      <w:marTop w:val="0"/>
      <w:marBottom w:val="0"/>
      <w:divBdr>
        <w:top w:val="none" w:sz="0" w:space="0" w:color="auto"/>
        <w:left w:val="none" w:sz="0" w:space="0" w:color="auto"/>
        <w:bottom w:val="none" w:sz="0" w:space="0" w:color="auto"/>
        <w:right w:val="none" w:sz="0" w:space="0" w:color="auto"/>
      </w:divBdr>
    </w:div>
    <w:div w:id="1184826864">
      <w:bodyDiv w:val="1"/>
      <w:marLeft w:val="0"/>
      <w:marRight w:val="0"/>
      <w:marTop w:val="0"/>
      <w:marBottom w:val="0"/>
      <w:divBdr>
        <w:top w:val="none" w:sz="0" w:space="0" w:color="auto"/>
        <w:left w:val="none" w:sz="0" w:space="0" w:color="auto"/>
        <w:bottom w:val="none" w:sz="0" w:space="0" w:color="auto"/>
        <w:right w:val="none" w:sz="0" w:space="0" w:color="auto"/>
      </w:divBdr>
    </w:div>
    <w:div w:id="1186555992">
      <w:bodyDiv w:val="1"/>
      <w:marLeft w:val="0"/>
      <w:marRight w:val="0"/>
      <w:marTop w:val="0"/>
      <w:marBottom w:val="0"/>
      <w:divBdr>
        <w:top w:val="none" w:sz="0" w:space="0" w:color="auto"/>
        <w:left w:val="none" w:sz="0" w:space="0" w:color="auto"/>
        <w:bottom w:val="none" w:sz="0" w:space="0" w:color="auto"/>
        <w:right w:val="none" w:sz="0" w:space="0" w:color="auto"/>
      </w:divBdr>
    </w:div>
    <w:div w:id="1190870762">
      <w:bodyDiv w:val="1"/>
      <w:marLeft w:val="0"/>
      <w:marRight w:val="0"/>
      <w:marTop w:val="0"/>
      <w:marBottom w:val="0"/>
      <w:divBdr>
        <w:top w:val="none" w:sz="0" w:space="0" w:color="auto"/>
        <w:left w:val="none" w:sz="0" w:space="0" w:color="auto"/>
        <w:bottom w:val="none" w:sz="0" w:space="0" w:color="auto"/>
        <w:right w:val="none" w:sz="0" w:space="0" w:color="auto"/>
      </w:divBdr>
    </w:div>
    <w:div w:id="1190920808">
      <w:bodyDiv w:val="1"/>
      <w:marLeft w:val="0"/>
      <w:marRight w:val="0"/>
      <w:marTop w:val="0"/>
      <w:marBottom w:val="0"/>
      <w:divBdr>
        <w:top w:val="none" w:sz="0" w:space="0" w:color="auto"/>
        <w:left w:val="none" w:sz="0" w:space="0" w:color="auto"/>
        <w:bottom w:val="none" w:sz="0" w:space="0" w:color="auto"/>
        <w:right w:val="none" w:sz="0" w:space="0" w:color="auto"/>
      </w:divBdr>
    </w:div>
    <w:div w:id="1191651381">
      <w:bodyDiv w:val="1"/>
      <w:marLeft w:val="0"/>
      <w:marRight w:val="0"/>
      <w:marTop w:val="0"/>
      <w:marBottom w:val="0"/>
      <w:divBdr>
        <w:top w:val="none" w:sz="0" w:space="0" w:color="auto"/>
        <w:left w:val="none" w:sz="0" w:space="0" w:color="auto"/>
        <w:bottom w:val="none" w:sz="0" w:space="0" w:color="auto"/>
        <w:right w:val="none" w:sz="0" w:space="0" w:color="auto"/>
      </w:divBdr>
      <w:divsChild>
        <w:div w:id="1499424557">
          <w:marLeft w:val="640"/>
          <w:marRight w:val="0"/>
          <w:marTop w:val="0"/>
          <w:marBottom w:val="0"/>
          <w:divBdr>
            <w:top w:val="none" w:sz="0" w:space="0" w:color="auto"/>
            <w:left w:val="none" w:sz="0" w:space="0" w:color="auto"/>
            <w:bottom w:val="none" w:sz="0" w:space="0" w:color="auto"/>
            <w:right w:val="none" w:sz="0" w:space="0" w:color="auto"/>
          </w:divBdr>
        </w:div>
        <w:div w:id="1321076075">
          <w:marLeft w:val="640"/>
          <w:marRight w:val="0"/>
          <w:marTop w:val="0"/>
          <w:marBottom w:val="0"/>
          <w:divBdr>
            <w:top w:val="none" w:sz="0" w:space="0" w:color="auto"/>
            <w:left w:val="none" w:sz="0" w:space="0" w:color="auto"/>
            <w:bottom w:val="none" w:sz="0" w:space="0" w:color="auto"/>
            <w:right w:val="none" w:sz="0" w:space="0" w:color="auto"/>
          </w:divBdr>
        </w:div>
        <w:div w:id="1444880661">
          <w:marLeft w:val="640"/>
          <w:marRight w:val="0"/>
          <w:marTop w:val="0"/>
          <w:marBottom w:val="0"/>
          <w:divBdr>
            <w:top w:val="none" w:sz="0" w:space="0" w:color="auto"/>
            <w:left w:val="none" w:sz="0" w:space="0" w:color="auto"/>
            <w:bottom w:val="none" w:sz="0" w:space="0" w:color="auto"/>
            <w:right w:val="none" w:sz="0" w:space="0" w:color="auto"/>
          </w:divBdr>
        </w:div>
        <w:div w:id="726955552">
          <w:marLeft w:val="640"/>
          <w:marRight w:val="0"/>
          <w:marTop w:val="0"/>
          <w:marBottom w:val="0"/>
          <w:divBdr>
            <w:top w:val="none" w:sz="0" w:space="0" w:color="auto"/>
            <w:left w:val="none" w:sz="0" w:space="0" w:color="auto"/>
            <w:bottom w:val="none" w:sz="0" w:space="0" w:color="auto"/>
            <w:right w:val="none" w:sz="0" w:space="0" w:color="auto"/>
          </w:divBdr>
        </w:div>
        <w:div w:id="1408958466">
          <w:marLeft w:val="640"/>
          <w:marRight w:val="0"/>
          <w:marTop w:val="0"/>
          <w:marBottom w:val="0"/>
          <w:divBdr>
            <w:top w:val="none" w:sz="0" w:space="0" w:color="auto"/>
            <w:left w:val="none" w:sz="0" w:space="0" w:color="auto"/>
            <w:bottom w:val="none" w:sz="0" w:space="0" w:color="auto"/>
            <w:right w:val="none" w:sz="0" w:space="0" w:color="auto"/>
          </w:divBdr>
        </w:div>
        <w:div w:id="1219167782">
          <w:marLeft w:val="640"/>
          <w:marRight w:val="0"/>
          <w:marTop w:val="0"/>
          <w:marBottom w:val="0"/>
          <w:divBdr>
            <w:top w:val="none" w:sz="0" w:space="0" w:color="auto"/>
            <w:left w:val="none" w:sz="0" w:space="0" w:color="auto"/>
            <w:bottom w:val="none" w:sz="0" w:space="0" w:color="auto"/>
            <w:right w:val="none" w:sz="0" w:space="0" w:color="auto"/>
          </w:divBdr>
        </w:div>
        <w:div w:id="1733507252">
          <w:marLeft w:val="640"/>
          <w:marRight w:val="0"/>
          <w:marTop w:val="0"/>
          <w:marBottom w:val="0"/>
          <w:divBdr>
            <w:top w:val="none" w:sz="0" w:space="0" w:color="auto"/>
            <w:left w:val="none" w:sz="0" w:space="0" w:color="auto"/>
            <w:bottom w:val="none" w:sz="0" w:space="0" w:color="auto"/>
            <w:right w:val="none" w:sz="0" w:space="0" w:color="auto"/>
          </w:divBdr>
        </w:div>
        <w:div w:id="1721204702">
          <w:marLeft w:val="640"/>
          <w:marRight w:val="0"/>
          <w:marTop w:val="0"/>
          <w:marBottom w:val="0"/>
          <w:divBdr>
            <w:top w:val="none" w:sz="0" w:space="0" w:color="auto"/>
            <w:left w:val="none" w:sz="0" w:space="0" w:color="auto"/>
            <w:bottom w:val="none" w:sz="0" w:space="0" w:color="auto"/>
            <w:right w:val="none" w:sz="0" w:space="0" w:color="auto"/>
          </w:divBdr>
        </w:div>
        <w:div w:id="512501134">
          <w:marLeft w:val="640"/>
          <w:marRight w:val="0"/>
          <w:marTop w:val="0"/>
          <w:marBottom w:val="0"/>
          <w:divBdr>
            <w:top w:val="none" w:sz="0" w:space="0" w:color="auto"/>
            <w:left w:val="none" w:sz="0" w:space="0" w:color="auto"/>
            <w:bottom w:val="none" w:sz="0" w:space="0" w:color="auto"/>
            <w:right w:val="none" w:sz="0" w:space="0" w:color="auto"/>
          </w:divBdr>
        </w:div>
        <w:div w:id="1318804333">
          <w:marLeft w:val="640"/>
          <w:marRight w:val="0"/>
          <w:marTop w:val="0"/>
          <w:marBottom w:val="0"/>
          <w:divBdr>
            <w:top w:val="none" w:sz="0" w:space="0" w:color="auto"/>
            <w:left w:val="none" w:sz="0" w:space="0" w:color="auto"/>
            <w:bottom w:val="none" w:sz="0" w:space="0" w:color="auto"/>
            <w:right w:val="none" w:sz="0" w:space="0" w:color="auto"/>
          </w:divBdr>
        </w:div>
        <w:div w:id="256211390">
          <w:marLeft w:val="640"/>
          <w:marRight w:val="0"/>
          <w:marTop w:val="0"/>
          <w:marBottom w:val="0"/>
          <w:divBdr>
            <w:top w:val="none" w:sz="0" w:space="0" w:color="auto"/>
            <w:left w:val="none" w:sz="0" w:space="0" w:color="auto"/>
            <w:bottom w:val="none" w:sz="0" w:space="0" w:color="auto"/>
            <w:right w:val="none" w:sz="0" w:space="0" w:color="auto"/>
          </w:divBdr>
        </w:div>
        <w:div w:id="187380363">
          <w:marLeft w:val="640"/>
          <w:marRight w:val="0"/>
          <w:marTop w:val="0"/>
          <w:marBottom w:val="0"/>
          <w:divBdr>
            <w:top w:val="none" w:sz="0" w:space="0" w:color="auto"/>
            <w:left w:val="none" w:sz="0" w:space="0" w:color="auto"/>
            <w:bottom w:val="none" w:sz="0" w:space="0" w:color="auto"/>
            <w:right w:val="none" w:sz="0" w:space="0" w:color="auto"/>
          </w:divBdr>
        </w:div>
        <w:div w:id="496500844">
          <w:marLeft w:val="640"/>
          <w:marRight w:val="0"/>
          <w:marTop w:val="0"/>
          <w:marBottom w:val="0"/>
          <w:divBdr>
            <w:top w:val="none" w:sz="0" w:space="0" w:color="auto"/>
            <w:left w:val="none" w:sz="0" w:space="0" w:color="auto"/>
            <w:bottom w:val="none" w:sz="0" w:space="0" w:color="auto"/>
            <w:right w:val="none" w:sz="0" w:space="0" w:color="auto"/>
          </w:divBdr>
        </w:div>
        <w:div w:id="1024287887">
          <w:marLeft w:val="640"/>
          <w:marRight w:val="0"/>
          <w:marTop w:val="0"/>
          <w:marBottom w:val="0"/>
          <w:divBdr>
            <w:top w:val="none" w:sz="0" w:space="0" w:color="auto"/>
            <w:left w:val="none" w:sz="0" w:space="0" w:color="auto"/>
            <w:bottom w:val="none" w:sz="0" w:space="0" w:color="auto"/>
            <w:right w:val="none" w:sz="0" w:space="0" w:color="auto"/>
          </w:divBdr>
        </w:div>
        <w:div w:id="1624651457">
          <w:marLeft w:val="640"/>
          <w:marRight w:val="0"/>
          <w:marTop w:val="0"/>
          <w:marBottom w:val="0"/>
          <w:divBdr>
            <w:top w:val="none" w:sz="0" w:space="0" w:color="auto"/>
            <w:left w:val="none" w:sz="0" w:space="0" w:color="auto"/>
            <w:bottom w:val="none" w:sz="0" w:space="0" w:color="auto"/>
            <w:right w:val="none" w:sz="0" w:space="0" w:color="auto"/>
          </w:divBdr>
        </w:div>
        <w:div w:id="815025962">
          <w:marLeft w:val="640"/>
          <w:marRight w:val="0"/>
          <w:marTop w:val="0"/>
          <w:marBottom w:val="0"/>
          <w:divBdr>
            <w:top w:val="none" w:sz="0" w:space="0" w:color="auto"/>
            <w:left w:val="none" w:sz="0" w:space="0" w:color="auto"/>
            <w:bottom w:val="none" w:sz="0" w:space="0" w:color="auto"/>
            <w:right w:val="none" w:sz="0" w:space="0" w:color="auto"/>
          </w:divBdr>
        </w:div>
        <w:div w:id="745734438">
          <w:marLeft w:val="640"/>
          <w:marRight w:val="0"/>
          <w:marTop w:val="0"/>
          <w:marBottom w:val="0"/>
          <w:divBdr>
            <w:top w:val="none" w:sz="0" w:space="0" w:color="auto"/>
            <w:left w:val="none" w:sz="0" w:space="0" w:color="auto"/>
            <w:bottom w:val="none" w:sz="0" w:space="0" w:color="auto"/>
            <w:right w:val="none" w:sz="0" w:space="0" w:color="auto"/>
          </w:divBdr>
        </w:div>
        <w:div w:id="156387946">
          <w:marLeft w:val="640"/>
          <w:marRight w:val="0"/>
          <w:marTop w:val="0"/>
          <w:marBottom w:val="0"/>
          <w:divBdr>
            <w:top w:val="none" w:sz="0" w:space="0" w:color="auto"/>
            <w:left w:val="none" w:sz="0" w:space="0" w:color="auto"/>
            <w:bottom w:val="none" w:sz="0" w:space="0" w:color="auto"/>
            <w:right w:val="none" w:sz="0" w:space="0" w:color="auto"/>
          </w:divBdr>
        </w:div>
        <w:div w:id="1418020137">
          <w:marLeft w:val="640"/>
          <w:marRight w:val="0"/>
          <w:marTop w:val="0"/>
          <w:marBottom w:val="0"/>
          <w:divBdr>
            <w:top w:val="none" w:sz="0" w:space="0" w:color="auto"/>
            <w:left w:val="none" w:sz="0" w:space="0" w:color="auto"/>
            <w:bottom w:val="none" w:sz="0" w:space="0" w:color="auto"/>
            <w:right w:val="none" w:sz="0" w:space="0" w:color="auto"/>
          </w:divBdr>
        </w:div>
        <w:div w:id="1086532081">
          <w:marLeft w:val="640"/>
          <w:marRight w:val="0"/>
          <w:marTop w:val="0"/>
          <w:marBottom w:val="0"/>
          <w:divBdr>
            <w:top w:val="none" w:sz="0" w:space="0" w:color="auto"/>
            <w:left w:val="none" w:sz="0" w:space="0" w:color="auto"/>
            <w:bottom w:val="none" w:sz="0" w:space="0" w:color="auto"/>
            <w:right w:val="none" w:sz="0" w:space="0" w:color="auto"/>
          </w:divBdr>
        </w:div>
        <w:div w:id="605650809">
          <w:marLeft w:val="640"/>
          <w:marRight w:val="0"/>
          <w:marTop w:val="0"/>
          <w:marBottom w:val="0"/>
          <w:divBdr>
            <w:top w:val="none" w:sz="0" w:space="0" w:color="auto"/>
            <w:left w:val="none" w:sz="0" w:space="0" w:color="auto"/>
            <w:bottom w:val="none" w:sz="0" w:space="0" w:color="auto"/>
            <w:right w:val="none" w:sz="0" w:space="0" w:color="auto"/>
          </w:divBdr>
        </w:div>
        <w:div w:id="1612318824">
          <w:marLeft w:val="640"/>
          <w:marRight w:val="0"/>
          <w:marTop w:val="0"/>
          <w:marBottom w:val="0"/>
          <w:divBdr>
            <w:top w:val="none" w:sz="0" w:space="0" w:color="auto"/>
            <w:left w:val="none" w:sz="0" w:space="0" w:color="auto"/>
            <w:bottom w:val="none" w:sz="0" w:space="0" w:color="auto"/>
            <w:right w:val="none" w:sz="0" w:space="0" w:color="auto"/>
          </w:divBdr>
        </w:div>
        <w:div w:id="187332572">
          <w:marLeft w:val="640"/>
          <w:marRight w:val="0"/>
          <w:marTop w:val="0"/>
          <w:marBottom w:val="0"/>
          <w:divBdr>
            <w:top w:val="none" w:sz="0" w:space="0" w:color="auto"/>
            <w:left w:val="none" w:sz="0" w:space="0" w:color="auto"/>
            <w:bottom w:val="none" w:sz="0" w:space="0" w:color="auto"/>
            <w:right w:val="none" w:sz="0" w:space="0" w:color="auto"/>
          </w:divBdr>
        </w:div>
        <w:div w:id="1572471552">
          <w:marLeft w:val="640"/>
          <w:marRight w:val="0"/>
          <w:marTop w:val="0"/>
          <w:marBottom w:val="0"/>
          <w:divBdr>
            <w:top w:val="none" w:sz="0" w:space="0" w:color="auto"/>
            <w:left w:val="none" w:sz="0" w:space="0" w:color="auto"/>
            <w:bottom w:val="none" w:sz="0" w:space="0" w:color="auto"/>
            <w:right w:val="none" w:sz="0" w:space="0" w:color="auto"/>
          </w:divBdr>
        </w:div>
        <w:div w:id="806161978">
          <w:marLeft w:val="640"/>
          <w:marRight w:val="0"/>
          <w:marTop w:val="0"/>
          <w:marBottom w:val="0"/>
          <w:divBdr>
            <w:top w:val="none" w:sz="0" w:space="0" w:color="auto"/>
            <w:left w:val="none" w:sz="0" w:space="0" w:color="auto"/>
            <w:bottom w:val="none" w:sz="0" w:space="0" w:color="auto"/>
            <w:right w:val="none" w:sz="0" w:space="0" w:color="auto"/>
          </w:divBdr>
        </w:div>
        <w:div w:id="1136024522">
          <w:marLeft w:val="640"/>
          <w:marRight w:val="0"/>
          <w:marTop w:val="0"/>
          <w:marBottom w:val="0"/>
          <w:divBdr>
            <w:top w:val="none" w:sz="0" w:space="0" w:color="auto"/>
            <w:left w:val="none" w:sz="0" w:space="0" w:color="auto"/>
            <w:bottom w:val="none" w:sz="0" w:space="0" w:color="auto"/>
            <w:right w:val="none" w:sz="0" w:space="0" w:color="auto"/>
          </w:divBdr>
        </w:div>
        <w:div w:id="1794709303">
          <w:marLeft w:val="640"/>
          <w:marRight w:val="0"/>
          <w:marTop w:val="0"/>
          <w:marBottom w:val="0"/>
          <w:divBdr>
            <w:top w:val="none" w:sz="0" w:space="0" w:color="auto"/>
            <w:left w:val="none" w:sz="0" w:space="0" w:color="auto"/>
            <w:bottom w:val="none" w:sz="0" w:space="0" w:color="auto"/>
            <w:right w:val="none" w:sz="0" w:space="0" w:color="auto"/>
          </w:divBdr>
        </w:div>
        <w:div w:id="598149514">
          <w:marLeft w:val="640"/>
          <w:marRight w:val="0"/>
          <w:marTop w:val="0"/>
          <w:marBottom w:val="0"/>
          <w:divBdr>
            <w:top w:val="none" w:sz="0" w:space="0" w:color="auto"/>
            <w:left w:val="none" w:sz="0" w:space="0" w:color="auto"/>
            <w:bottom w:val="none" w:sz="0" w:space="0" w:color="auto"/>
            <w:right w:val="none" w:sz="0" w:space="0" w:color="auto"/>
          </w:divBdr>
        </w:div>
        <w:div w:id="247496538">
          <w:marLeft w:val="640"/>
          <w:marRight w:val="0"/>
          <w:marTop w:val="0"/>
          <w:marBottom w:val="0"/>
          <w:divBdr>
            <w:top w:val="none" w:sz="0" w:space="0" w:color="auto"/>
            <w:left w:val="none" w:sz="0" w:space="0" w:color="auto"/>
            <w:bottom w:val="none" w:sz="0" w:space="0" w:color="auto"/>
            <w:right w:val="none" w:sz="0" w:space="0" w:color="auto"/>
          </w:divBdr>
        </w:div>
        <w:div w:id="1119954074">
          <w:marLeft w:val="640"/>
          <w:marRight w:val="0"/>
          <w:marTop w:val="0"/>
          <w:marBottom w:val="0"/>
          <w:divBdr>
            <w:top w:val="none" w:sz="0" w:space="0" w:color="auto"/>
            <w:left w:val="none" w:sz="0" w:space="0" w:color="auto"/>
            <w:bottom w:val="none" w:sz="0" w:space="0" w:color="auto"/>
            <w:right w:val="none" w:sz="0" w:space="0" w:color="auto"/>
          </w:divBdr>
        </w:div>
        <w:div w:id="949169746">
          <w:marLeft w:val="640"/>
          <w:marRight w:val="0"/>
          <w:marTop w:val="0"/>
          <w:marBottom w:val="0"/>
          <w:divBdr>
            <w:top w:val="none" w:sz="0" w:space="0" w:color="auto"/>
            <w:left w:val="none" w:sz="0" w:space="0" w:color="auto"/>
            <w:bottom w:val="none" w:sz="0" w:space="0" w:color="auto"/>
            <w:right w:val="none" w:sz="0" w:space="0" w:color="auto"/>
          </w:divBdr>
        </w:div>
        <w:div w:id="681855205">
          <w:marLeft w:val="640"/>
          <w:marRight w:val="0"/>
          <w:marTop w:val="0"/>
          <w:marBottom w:val="0"/>
          <w:divBdr>
            <w:top w:val="none" w:sz="0" w:space="0" w:color="auto"/>
            <w:left w:val="none" w:sz="0" w:space="0" w:color="auto"/>
            <w:bottom w:val="none" w:sz="0" w:space="0" w:color="auto"/>
            <w:right w:val="none" w:sz="0" w:space="0" w:color="auto"/>
          </w:divBdr>
        </w:div>
        <w:div w:id="162398227">
          <w:marLeft w:val="640"/>
          <w:marRight w:val="0"/>
          <w:marTop w:val="0"/>
          <w:marBottom w:val="0"/>
          <w:divBdr>
            <w:top w:val="none" w:sz="0" w:space="0" w:color="auto"/>
            <w:left w:val="none" w:sz="0" w:space="0" w:color="auto"/>
            <w:bottom w:val="none" w:sz="0" w:space="0" w:color="auto"/>
            <w:right w:val="none" w:sz="0" w:space="0" w:color="auto"/>
          </w:divBdr>
        </w:div>
        <w:div w:id="1786195144">
          <w:marLeft w:val="640"/>
          <w:marRight w:val="0"/>
          <w:marTop w:val="0"/>
          <w:marBottom w:val="0"/>
          <w:divBdr>
            <w:top w:val="none" w:sz="0" w:space="0" w:color="auto"/>
            <w:left w:val="none" w:sz="0" w:space="0" w:color="auto"/>
            <w:bottom w:val="none" w:sz="0" w:space="0" w:color="auto"/>
            <w:right w:val="none" w:sz="0" w:space="0" w:color="auto"/>
          </w:divBdr>
        </w:div>
        <w:div w:id="133841802">
          <w:marLeft w:val="640"/>
          <w:marRight w:val="0"/>
          <w:marTop w:val="0"/>
          <w:marBottom w:val="0"/>
          <w:divBdr>
            <w:top w:val="none" w:sz="0" w:space="0" w:color="auto"/>
            <w:left w:val="none" w:sz="0" w:space="0" w:color="auto"/>
            <w:bottom w:val="none" w:sz="0" w:space="0" w:color="auto"/>
            <w:right w:val="none" w:sz="0" w:space="0" w:color="auto"/>
          </w:divBdr>
        </w:div>
        <w:div w:id="535387079">
          <w:marLeft w:val="640"/>
          <w:marRight w:val="0"/>
          <w:marTop w:val="0"/>
          <w:marBottom w:val="0"/>
          <w:divBdr>
            <w:top w:val="none" w:sz="0" w:space="0" w:color="auto"/>
            <w:left w:val="none" w:sz="0" w:space="0" w:color="auto"/>
            <w:bottom w:val="none" w:sz="0" w:space="0" w:color="auto"/>
            <w:right w:val="none" w:sz="0" w:space="0" w:color="auto"/>
          </w:divBdr>
        </w:div>
        <w:div w:id="388463381">
          <w:marLeft w:val="640"/>
          <w:marRight w:val="0"/>
          <w:marTop w:val="0"/>
          <w:marBottom w:val="0"/>
          <w:divBdr>
            <w:top w:val="none" w:sz="0" w:space="0" w:color="auto"/>
            <w:left w:val="none" w:sz="0" w:space="0" w:color="auto"/>
            <w:bottom w:val="none" w:sz="0" w:space="0" w:color="auto"/>
            <w:right w:val="none" w:sz="0" w:space="0" w:color="auto"/>
          </w:divBdr>
        </w:div>
        <w:div w:id="1850176249">
          <w:marLeft w:val="640"/>
          <w:marRight w:val="0"/>
          <w:marTop w:val="0"/>
          <w:marBottom w:val="0"/>
          <w:divBdr>
            <w:top w:val="none" w:sz="0" w:space="0" w:color="auto"/>
            <w:left w:val="none" w:sz="0" w:space="0" w:color="auto"/>
            <w:bottom w:val="none" w:sz="0" w:space="0" w:color="auto"/>
            <w:right w:val="none" w:sz="0" w:space="0" w:color="auto"/>
          </w:divBdr>
        </w:div>
        <w:div w:id="1483155937">
          <w:marLeft w:val="640"/>
          <w:marRight w:val="0"/>
          <w:marTop w:val="0"/>
          <w:marBottom w:val="0"/>
          <w:divBdr>
            <w:top w:val="none" w:sz="0" w:space="0" w:color="auto"/>
            <w:left w:val="none" w:sz="0" w:space="0" w:color="auto"/>
            <w:bottom w:val="none" w:sz="0" w:space="0" w:color="auto"/>
            <w:right w:val="none" w:sz="0" w:space="0" w:color="auto"/>
          </w:divBdr>
        </w:div>
        <w:div w:id="857158007">
          <w:marLeft w:val="640"/>
          <w:marRight w:val="0"/>
          <w:marTop w:val="0"/>
          <w:marBottom w:val="0"/>
          <w:divBdr>
            <w:top w:val="none" w:sz="0" w:space="0" w:color="auto"/>
            <w:left w:val="none" w:sz="0" w:space="0" w:color="auto"/>
            <w:bottom w:val="none" w:sz="0" w:space="0" w:color="auto"/>
            <w:right w:val="none" w:sz="0" w:space="0" w:color="auto"/>
          </w:divBdr>
        </w:div>
        <w:div w:id="901251839">
          <w:marLeft w:val="640"/>
          <w:marRight w:val="0"/>
          <w:marTop w:val="0"/>
          <w:marBottom w:val="0"/>
          <w:divBdr>
            <w:top w:val="none" w:sz="0" w:space="0" w:color="auto"/>
            <w:left w:val="none" w:sz="0" w:space="0" w:color="auto"/>
            <w:bottom w:val="none" w:sz="0" w:space="0" w:color="auto"/>
            <w:right w:val="none" w:sz="0" w:space="0" w:color="auto"/>
          </w:divBdr>
        </w:div>
        <w:div w:id="1771045244">
          <w:marLeft w:val="640"/>
          <w:marRight w:val="0"/>
          <w:marTop w:val="0"/>
          <w:marBottom w:val="0"/>
          <w:divBdr>
            <w:top w:val="none" w:sz="0" w:space="0" w:color="auto"/>
            <w:left w:val="none" w:sz="0" w:space="0" w:color="auto"/>
            <w:bottom w:val="none" w:sz="0" w:space="0" w:color="auto"/>
            <w:right w:val="none" w:sz="0" w:space="0" w:color="auto"/>
          </w:divBdr>
        </w:div>
        <w:div w:id="2047290611">
          <w:marLeft w:val="640"/>
          <w:marRight w:val="0"/>
          <w:marTop w:val="0"/>
          <w:marBottom w:val="0"/>
          <w:divBdr>
            <w:top w:val="none" w:sz="0" w:space="0" w:color="auto"/>
            <w:left w:val="none" w:sz="0" w:space="0" w:color="auto"/>
            <w:bottom w:val="none" w:sz="0" w:space="0" w:color="auto"/>
            <w:right w:val="none" w:sz="0" w:space="0" w:color="auto"/>
          </w:divBdr>
        </w:div>
        <w:div w:id="1919706595">
          <w:marLeft w:val="640"/>
          <w:marRight w:val="0"/>
          <w:marTop w:val="0"/>
          <w:marBottom w:val="0"/>
          <w:divBdr>
            <w:top w:val="none" w:sz="0" w:space="0" w:color="auto"/>
            <w:left w:val="none" w:sz="0" w:space="0" w:color="auto"/>
            <w:bottom w:val="none" w:sz="0" w:space="0" w:color="auto"/>
            <w:right w:val="none" w:sz="0" w:space="0" w:color="auto"/>
          </w:divBdr>
        </w:div>
        <w:div w:id="1530533701">
          <w:marLeft w:val="640"/>
          <w:marRight w:val="0"/>
          <w:marTop w:val="0"/>
          <w:marBottom w:val="0"/>
          <w:divBdr>
            <w:top w:val="none" w:sz="0" w:space="0" w:color="auto"/>
            <w:left w:val="none" w:sz="0" w:space="0" w:color="auto"/>
            <w:bottom w:val="none" w:sz="0" w:space="0" w:color="auto"/>
            <w:right w:val="none" w:sz="0" w:space="0" w:color="auto"/>
          </w:divBdr>
        </w:div>
        <w:div w:id="796722207">
          <w:marLeft w:val="640"/>
          <w:marRight w:val="0"/>
          <w:marTop w:val="0"/>
          <w:marBottom w:val="0"/>
          <w:divBdr>
            <w:top w:val="none" w:sz="0" w:space="0" w:color="auto"/>
            <w:left w:val="none" w:sz="0" w:space="0" w:color="auto"/>
            <w:bottom w:val="none" w:sz="0" w:space="0" w:color="auto"/>
            <w:right w:val="none" w:sz="0" w:space="0" w:color="auto"/>
          </w:divBdr>
        </w:div>
        <w:div w:id="773289774">
          <w:marLeft w:val="640"/>
          <w:marRight w:val="0"/>
          <w:marTop w:val="0"/>
          <w:marBottom w:val="0"/>
          <w:divBdr>
            <w:top w:val="none" w:sz="0" w:space="0" w:color="auto"/>
            <w:left w:val="none" w:sz="0" w:space="0" w:color="auto"/>
            <w:bottom w:val="none" w:sz="0" w:space="0" w:color="auto"/>
            <w:right w:val="none" w:sz="0" w:space="0" w:color="auto"/>
          </w:divBdr>
        </w:div>
        <w:div w:id="1175071429">
          <w:marLeft w:val="640"/>
          <w:marRight w:val="0"/>
          <w:marTop w:val="0"/>
          <w:marBottom w:val="0"/>
          <w:divBdr>
            <w:top w:val="none" w:sz="0" w:space="0" w:color="auto"/>
            <w:left w:val="none" w:sz="0" w:space="0" w:color="auto"/>
            <w:bottom w:val="none" w:sz="0" w:space="0" w:color="auto"/>
            <w:right w:val="none" w:sz="0" w:space="0" w:color="auto"/>
          </w:divBdr>
        </w:div>
        <w:div w:id="1256211448">
          <w:marLeft w:val="640"/>
          <w:marRight w:val="0"/>
          <w:marTop w:val="0"/>
          <w:marBottom w:val="0"/>
          <w:divBdr>
            <w:top w:val="none" w:sz="0" w:space="0" w:color="auto"/>
            <w:left w:val="none" w:sz="0" w:space="0" w:color="auto"/>
            <w:bottom w:val="none" w:sz="0" w:space="0" w:color="auto"/>
            <w:right w:val="none" w:sz="0" w:space="0" w:color="auto"/>
          </w:divBdr>
        </w:div>
        <w:div w:id="587036027">
          <w:marLeft w:val="640"/>
          <w:marRight w:val="0"/>
          <w:marTop w:val="0"/>
          <w:marBottom w:val="0"/>
          <w:divBdr>
            <w:top w:val="none" w:sz="0" w:space="0" w:color="auto"/>
            <w:left w:val="none" w:sz="0" w:space="0" w:color="auto"/>
            <w:bottom w:val="none" w:sz="0" w:space="0" w:color="auto"/>
            <w:right w:val="none" w:sz="0" w:space="0" w:color="auto"/>
          </w:divBdr>
        </w:div>
        <w:div w:id="682559701">
          <w:marLeft w:val="640"/>
          <w:marRight w:val="0"/>
          <w:marTop w:val="0"/>
          <w:marBottom w:val="0"/>
          <w:divBdr>
            <w:top w:val="none" w:sz="0" w:space="0" w:color="auto"/>
            <w:left w:val="none" w:sz="0" w:space="0" w:color="auto"/>
            <w:bottom w:val="none" w:sz="0" w:space="0" w:color="auto"/>
            <w:right w:val="none" w:sz="0" w:space="0" w:color="auto"/>
          </w:divBdr>
        </w:div>
        <w:div w:id="1397624560">
          <w:marLeft w:val="640"/>
          <w:marRight w:val="0"/>
          <w:marTop w:val="0"/>
          <w:marBottom w:val="0"/>
          <w:divBdr>
            <w:top w:val="none" w:sz="0" w:space="0" w:color="auto"/>
            <w:left w:val="none" w:sz="0" w:space="0" w:color="auto"/>
            <w:bottom w:val="none" w:sz="0" w:space="0" w:color="auto"/>
            <w:right w:val="none" w:sz="0" w:space="0" w:color="auto"/>
          </w:divBdr>
        </w:div>
        <w:div w:id="201982826">
          <w:marLeft w:val="640"/>
          <w:marRight w:val="0"/>
          <w:marTop w:val="0"/>
          <w:marBottom w:val="0"/>
          <w:divBdr>
            <w:top w:val="none" w:sz="0" w:space="0" w:color="auto"/>
            <w:left w:val="none" w:sz="0" w:space="0" w:color="auto"/>
            <w:bottom w:val="none" w:sz="0" w:space="0" w:color="auto"/>
            <w:right w:val="none" w:sz="0" w:space="0" w:color="auto"/>
          </w:divBdr>
        </w:div>
        <w:div w:id="2090343229">
          <w:marLeft w:val="640"/>
          <w:marRight w:val="0"/>
          <w:marTop w:val="0"/>
          <w:marBottom w:val="0"/>
          <w:divBdr>
            <w:top w:val="none" w:sz="0" w:space="0" w:color="auto"/>
            <w:left w:val="none" w:sz="0" w:space="0" w:color="auto"/>
            <w:bottom w:val="none" w:sz="0" w:space="0" w:color="auto"/>
            <w:right w:val="none" w:sz="0" w:space="0" w:color="auto"/>
          </w:divBdr>
        </w:div>
        <w:div w:id="42757096">
          <w:marLeft w:val="640"/>
          <w:marRight w:val="0"/>
          <w:marTop w:val="0"/>
          <w:marBottom w:val="0"/>
          <w:divBdr>
            <w:top w:val="none" w:sz="0" w:space="0" w:color="auto"/>
            <w:left w:val="none" w:sz="0" w:space="0" w:color="auto"/>
            <w:bottom w:val="none" w:sz="0" w:space="0" w:color="auto"/>
            <w:right w:val="none" w:sz="0" w:space="0" w:color="auto"/>
          </w:divBdr>
        </w:div>
        <w:div w:id="997655073">
          <w:marLeft w:val="640"/>
          <w:marRight w:val="0"/>
          <w:marTop w:val="0"/>
          <w:marBottom w:val="0"/>
          <w:divBdr>
            <w:top w:val="none" w:sz="0" w:space="0" w:color="auto"/>
            <w:left w:val="none" w:sz="0" w:space="0" w:color="auto"/>
            <w:bottom w:val="none" w:sz="0" w:space="0" w:color="auto"/>
            <w:right w:val="none" w:sz="0" w:space="0" w:color="auto"/>
          </w:divBdr>
        </w:div>
        <w:div w:id="880048130">
          <w:marLeft w:val="640"/>
          <w:marRight w:val="0"/>
          <w:marTop w:val="0"/>
          <w:marBottom w:val="0"/>
          <w:divBdr>
            <w:top w:val="none" w:sz="0" w:space="0" w:color="auto"/>
            <w:left w:val="none" w:sz="0" w:space="0" w:color="auto"/>
            <w:bottom w:val="none" w:sz="0" w:space="0" w:color="auto"/>
            <w:right w:val="none" w:sz="0" w:space="0" w:color="auto"/>
          </w:divBdr>
        </w:div>
        <w:div w:id="155264713">
          <w:marLeft w:val="640"/>
          <w:marRight w:val="0"/>
          <w:marTop w:val="0"/>
          <w:marBottom w:val="0"/>
          <w:divBdr>
            <w:top w:val="none" w:sz="0" w:space="0" w:color="auto"/>
            <w:left w:val="none" w:sz="0" w:space="0" w:color="auto"/>
            <w:bottom w:val="none" w:sz="0" w:space="0" w:color="auto"/>
            <w:right w:val="none" w:sz="0" w:space="0" w:color="auto"/>
          </w:divBdr>
        </w:div>
        <w:div w:id="2082169080">
          <w:marLeft w:val="640"/>
          <w:marRight w:val="0"/>
          <w:marTop w:val="0"/>
          <w:marBottom w:val="0"/>
          <w:divBdr>
            <w:top w:val="none" w:sz="0" w:space="0" w:color="auto"/>
            <w:left w:val="none" w:sz="0" w:space="0" w:color="auto"/>
            <w:bottom w:val="none" w:sz="0" w:space="0" w:color="auto"/>
            <w:right w:val="none" w:sz="0" w:space="0" w:color="auto"/>
          </w:divBdr>
        </w:div>
        <w:div w:id="711344648">
          <w:marLeft w:val="640"/>
          <w:marRight w:val="0"/>
          <w:marTop w:val="0"/>
          <w:marBottom w:val="0"/>
          <w:divBdr>
            <w:top w:val="none" w:sz="0" w:space="0" w:color="auto"/>
            <w:left w:val="none" w:sz="0" w:space="0" w:color="auto"/>
            <w:bottom w:val="none" w:sz="0" w:space="0" w:color="auto"/>
            <w:right w:val="none" w:sz="0" w:space="0" w:color="auto"/>
          </w:divBdr>
        </w:div>
        <w:div w:id="1459951909">
          <w:marLeft w:val="640"/>
          <w:marRight w:val="0"/>
          <w:marTop w:val="0"/>
          <w:marBottom w:val="0"/>
          <w:divBdr>
            <w:top w:val="none" w:sz="0" w:space="0" w:color="auto"/>
            <w:left w:val="none" w:sz="0" w:space="0" w:color="auto"/>
            <w:bottom w:val="none" w:sz="0" w:space="0" w:color="auto"/>
            <w:right w:val="none" w:sz="0" w:space="0" w:color="auto"/>
          </w:divBdr>
        </w:div>
        <w:div w:id="893664969">
          <w:marLeft w:val="640"/>
          <w:marRight w:val="0"/>
          <w:marTop w:val="0"/>
          <w:marBottom w:val="0"/>
          <w:divBdr>
            <w:top w:val="none" w:sz="0" w:space="0" w:color="auto"/>
            <w:left w:val="none" w:sz="0" w:space="0" w:color="auto"/>
            <w:bottom w:val="none" w:sz="0" w:space="0" w:color="auto"/>
            <w:right w:val="none" w:sz="0" w:space="0" w:color="auto"/>
          </w:divBdr>
        </w:div>
        <w:div w:id="816527835">
          <w:marLeft w:val="640"/>
          <w:marRight w:val="0"/>
          <w:marTop w:val="0"/>
          <w:marBottom w:val="0"/>
          <w:divBdr>
            <w:top w:val="none" w:sz="0" w:space="0" w:color="auto"/>
            <w:left w:val="none" w:sz="0" w:space="0" w:color="auto"/>
            <w:bottom w:val="none" w:sz="0" w:space="0" w:color="auto"/>
            <w:right w:val="none" w:sz="0" w:space="0" w:color="auto"/>
          </w:divBdr>
        </w:div>
        <w:div w:id="758059115">
          <w:marLeft w:val="640"/>
          <w:marRight w:val="0"/>
          <w:marTop w:val="0"/>
          <w:marBottom w:val="0"/>
          <w:divBdr>
            <w:top w:val="none" w:sz="0" w:space="0" w:color="auto"/>
            <w:left w:val="none" w:sz="0" w:space="0" w:color="auto"/>
            <w:bottom w:val="none" w:sz="0" w:space="0" w:color="auto"/>
            <w:right w:val="none" w:sz="0" w:space="0" w:color="auto"/>
          </w:divBdr>
        </w:div>
        <w:div w:id="1436901608">
          <w:marLeft w:val="640"/>
          <w:marRight w:val="0"/>
          <w:marTop w:val="0"/>
          <w:marBottom w:val="0"/>
          <w:divBdr>
            <w:top w:val="none" w:sz="0" w:space="0" w:color="auto"/>
            <w:left w:val="none" w:sz="0" w:space="0" w:color="auto"/>
            <w:bottom w:val="none" w:sz="0" w:space="0" w:color="auto"/>
            <w:right w:val="none" w:sz="0" w:space="0" w:color="auto"/>
          </w:divBdr>
        </w:div>
        <w:div w:id="1140852821">
          <w:marLeft w:val="640"/>
          <w:marRight w:val="0"/>
          <w:marTop w:val="0"/>
          <w:marBottom w:val="0"/>
          <w:divBdr>
            <w:top w:val="none" w:sz="0" w:space="0" w:color="auto"/>
            <w:left w:val="none" w:sz="0" w:space="0" w:color="auto"/>
            <w:bottom w:val="none" w:sz="0" w:space="0" w:color="auto"/>
            <w:right w:val="none" w:sz="0" w:space="0" w:color="auto"/>
          </w:divBdr>
        </w:div>
        <w:div w:id="732317353">
          <w:marLeft w:val="640"/>
          <w:marRight w:val="0"/>
          <w:marTop w:val="0"/>
          <w:marBottom w:val="0"/>
          <w:divBdr>
            <w:top w:val="none" w:sz="0" w:space="0" w:color="auto"/>
            <w:left w:val="none" w:sz="0" w:space="0" w:color="auto"/>
            <w:bottom w:val="none" w:sz="0" w:space="0" w:color="auto"/>
            <w:right w:val="none" w:sz="0" w:space="0" w:color="auto"/>
          </w:divBdr>
        </w:div>
        <w:div w:id="1381827319">
          <w:marLeft w:val="640"/>
          <w:marRight w:val="0"/>
          <w:marTop w:val="0"/>
          <w:marBottom w:val="0"/>
          <w:divBdr>
            <w:top w:val="none" w:sz="0" w:space="0" w:color="auto"/>
            <w:left w:val="none" w:sz="0" w:space="0" w:color="auto"/>
            <w:bottom w:val="none" w:sz="0" w:space="0" w:color="auto"/>
            <w:right w:val="none" w:sz="0" w:space="0" w:color="auto"/>
          </w:divBdr>
        </w:div>
        <w:div w:id="1381007075">
          <w:marLeft w:val="640"/>
          <w:marRight w:val="0"/>
          <w:marTop w:val="0"/>
          <w:marBottom w:val="0"/>
          <w:divBdr>
            <w:top w:val="none" w:sz="0" w:space="0" w:color="auto"/>
            <w:left w:val="none" w:sz="0" w:space="0" w:color="auto"/>
            <w:bottom w:val="none" w:sz="0" w:space="0" w:color="auto"/>
            <w:right w:val="none" w:sz="0" w:space="0" w:color="auto"/>
          </w:divBdr>
        </w:div>
        <w:div w:id="81146746">
          <w:marLeft w:val="640"/>
          <w:marRight w:val="0"/>
          <w:marTop w:val="0"/>
          <w:marBottom w:val="0"/>
          <w:divBdr>
            <w:top w:val="none" w:sz="0" w:space="0" w:color="auto"/>
            <w:left w:val="none" w:sz="0" w:space="0" w:color="auto"/>
            <w:bottom w:val="none" w:sz="0" w:space="0" w:color="auto"/>
            <w:right w:val="none" w:sz="0" w:space="0" w:color="auto"/>
          </w:divBdr>
        </w:div>
        <w:div w:id="2021001713">
          <w:marLeft w:val="640"/>
          <w:marRight w:val="0"/>
          <w:marTop w:val="0"/>
          <w:marBottom w:val="0"/>
          <w:divBdr>
            <w:top w:val="none" w:sz="0" w:space="0" w:color="auto"/>
            <w:left w:val="none" w:sz="0" w:space="0" w:color="auto"/>
            <w:bottom w:val="none" w:sz="0" w:space="0" w:color="auto"/>
            <w:right w:val="none" w:sz="0" w:space="0" w:color="auto"/>
          </w:divBdr>
        </w:div>
        <w:div w:id="1638727982">
          <w:marLeft w:val="640"/>
          <w:marRight w:val="0"/>
          <w:marTop w:val="0"/>
          <w:marBottom w:val="0"/>
          <w:divBdr>
            <w:top w:val="none" w:sz="0" w:space="0" w:color="auto"/>
            <w:left w:val="none" w:sz="0" w:space="0" w:color="auto"/>
            <w:bottom w:val="none" w:sz="0" w:space="0" w:color="auto"/>
            <w:right w:val="none" w:sz="0" w:space="0" w:color="auto"/>
          </w:divBdr>
        </w:div>
        <w:div w:id="1421945192">
          <w:marLeft w:val="640"/>
          <w:marRight w:val="0"/>
          <w:marTop w:val="0"/>
          <w:marBottom w:val="0"/>
          <w:divBdr>
            <w:top w:val="none" w:sz="0" w:space="0" w:color="auto"/>
            <w:left w:val="none" w:sz="0" w:space="0" w:color="auto"/>
            <w:bottom w:val="none" w:sz="0" w:space="0" w:color="auto"/>
            <w:right w:val="none" w:sz="0" w:space="0" w:color="auto"/>
          </w:divBdr>
        </w:div>
        <w:div w:id="393704368">
          <w:marLeft w:val="640"/>
          <w:marRight w:val="0"/>
          <w:marTop w:val="0"/>
          <w:marBottom w:val="0"/>
          <w:divBdr>
            <w:top w:val="none" w:sz="0" w:space="0" w:color="auto"/>
            <w:left w:val="none" w:sz="0" w:space="0" w:color="auto"/>
            <w:bottom w:val="none" w:sz="0" w:space="0" w:color="auto"/>
            <w:right w:val="none" w:sz="0" w:space="0" w:color="auto"/>
          </w:divBdr>
        </w:div>
        <w:div w:id="1399134678">
          <w:marLeft w:val="640"/>
          <w:marRight w:val="0"/>
          <w:marTop w:val="0"/>
          <w:marBottom w:val="0"/>
          <w:divBdr>
            <w:top w:val="none" w:sz="0" w:space="0" w:color="auto"/>
            <w:left w:val="none" w:sz="0" w:space="0" w:color="auto"/>
            <w:bottom w:val="none" w:sz="0" w:space="0" w:color="auto"/>
            <w:right w:val="none" w:sz="0" w:space="0" w:color="auto"/>
          </w:divBdr>
        </w:div>
        <w:div w:id="1145003426">
          <w:marLeft w:val="640"/>
          <w:marRight w:val="0"/>
          <w:marTop w:val="0"/>
          <w:marBottom w:val="0"/>
          <w:divBdr>
            <w:top w:val="none" w:sz="0" w:space="0" w:color="auto"/>
            <w:left w:val="none" w:sz="0" w:space="0" w:color="auto"/>
            <w:bottom w:val="none" w:sz="0" w:space="0" w:color="auto"/>
            <w:right w:val="none" w:sz="0" w:space="0" w:color="auto"/>
          </w:divBdr>
        </w:div>
        <w:div w:id="704863992">
          <w:marLeft w:val="640"/>
          <w:marRight w:val="0"/>
          <w:marTop w:val="0"/>
          <w:marBottom w:val="0"/>
          <w:divBdr>
            <w:top w:val="none" w:sz="0" w:space="0" w:color="auto"/>
            <w:left w:val="none" w:sz="0" w:space="0" w:color="auto"/>
            <w:bottom w:val="none" w:sz="0" w:space="0" w:color="auto"/>
            <w:right w:val="none" w:sz="0" w:space="0" w:color="auto"/>
          </w:divBdr>
        </w:div>
        <w:div w:id="1699506460">
          <w:marLeft w:val="640"/>
          <w:marRight w:val="0"/>
          <w:marTop w:val="0"/>
          <w:marBottom w:val="0"/>
          <w:divBdr>
            <w:top w:val="none" w:sz="0" w:space="0" w:color="auto"/>
            <w:left w:val="none" w:sz="0" w:space="0" w:color="auto"/>
            <w:bottom w:val="none" w:sz="0" w:space="0" w:color="auto"/>
            <w:right w:val="none" w:sz="0" w:space="0" w:color="auto"/>
          </w:divBdr>
        </w:div>
        <w:div w:id="1895777045">
          <w:marLeft w:val="640"/>
          <w:marRight w:val="0"/>
          <w:marTop w:val="0"/>
          <w:marBottom w:val="0"/>
          <w:divBdr>
            <w:top w:val="none" w:sz="0" w:space="0" w:color="auto"/>
            <w:left w:val="none" w:sz="0" w:space="0" w:color="auto"/>
            <w:bottom w:val="none" w:sz="0" w:space="0" w:color="auto"/>
            <w:right w:val="none" w:sz="0" w:space="0" w:color="auto"/>
          </w:divBdr>
        </w:div>
        <w:div w:id="724333206">
          <w:marLeft w:val="640"/>
          <w:marRight w:val="0"/>
          <w:marTop w:val="0"/>
          <w:marBottom w:val="0"/>
          <w:divBdr>
            <w:top w:val="none" w:sz="0" w:space="0" w:color="auto"/>
            <w:left w:val="none" w:sz="0" w:space="0" w:color="auto"/>
            <w:bottom w:val="none" w:sz="0" w:space="0" w:color="auto"/>
            <w:right w:val="none" w:sz="0" w:space="0" w:color="auto"/>
          </w:divBdr>
        </w:div>
        <w:div w:id="2095853668">
          <w:marLeft w:val="640"/>
          <w:marRight w:val="0"/>
          <w:marTop w:val="0"/>
          <w:marBottom w:val="0"/>
          <w:divBdr>
            <w:top w:val="none" w:sz="0" w:space="0" w:color="auto"/>
            <w:left w:val="none" w:sz="0" w:space="0" w:color="auto"/>
            <w:bottom w:val="none" w:sz="0" w:space="0" w:color="auto"/>
            <w:right w:val="none" w:sz="0" w:space="0" w:color="auto"/>
          </w:divBdr>
        </w:div>
        <w:div w:id="152189184">
          <w:marLeft w:val="640"/>
          <w:marRight w:val="0"/>
          <w:marTop w:val="0"/>
          <w:marBottom w:val="0"/>
          <w:divBdr>
            <w:top w:val="none" w:sz="0" w:space="0" w:color="auto"/>
            <w:left w:val="none" w:sz="0" w:space="0" w:color="auto"/>
            <w:bottom w:val="none" w:sz="0" w:space="0" w:color="auto"/>
            <w:right w:val="none" w:sz="0" w:space="0" w:color="auto"/>
          </w:divBdr>
        </w:div>
        <w:div w:id="1200629446">
          <w:marLeft w:val="640"/>
          <w:marRight w:val="0"/>
          <w:marTop w:val="0"/>
          <w:marBottom w:val="0"/>
          <w:divBdr>
            <w:top w:val="none" w:sz="0" w:space="0" w:color="auto"/>
            <w:left w:val="none" w:sz="0" w:space="0" w:color="auto"/>
            <w:bottom w:val="none" w:sz="0" w:space="0" w:color="auto"/>
            <w:right w:val="none" w:sz="0" w:space="0" w:color="auto"/>
          </w:divBdr>
        </w:div>
        <w:div w:id="482358524">
          <w:marLeft w:val="640"/>
          <w:marRight w:val="0"/>
          <w:marTop w:val="0"/>
          <w:marBottom w:val="0"/>
          <w:divBdr>
            <w:top w:val="none" w:sz="0" w:space="0" w:color="auto"/>
            <w:left w:val="none" w:sz="0" w:space="0" w:color="auto"/>
            <w:bottom w:val="none" w:sz="0" w:space="0" w:color="auto"/>
            <w:right w:val="none" w:sz="0" w:space="0" w:color="auto"/>
          </w:divBdr>
        </w:div>
        <w:div w:id="827936678">
          <w:marLeft w:val="640"/>
          <w:marRight w:val="0"/>
          <w:marTop w:val="0"/>
          <w:marBottom w:val="0"/>
          <w:divBdr>
            <w:top w:val="none" w:sz="0" w:space="0" w:color="auto"/>
            <w:left w:val="none" w:sz="0" w:space="0" w:color="auto"/>
            <w:bottom w:val="none" w:sz="0" w:space="0" w:color="auto"/>
            <w:right w:val="none" w:sz="0" w:space="0" w:color="auto"/>
          </w:divBdr>
        </w:div>
        <w:div w:id="990912629">
          <w:marLeft w:val="640"/>
          <w:marRight w:val="0"/>
          <w:marTop w:val="0"/>
          <w:marBottom w:val="0"/>
          <w:divBdr>
            <w:top w:val="none" w:sz="0" w:space="0" w:color="auto"/>
            <w:left w:val="none" w:sz="0" w:space="0" w:color="auto"/>
            <w:bottom w:val="none" w:sz="0" w:space="0" w:color="auto"/>
            <w:right w:val="none" w:sz="0" w:space="0" w:color="auto"/>
          </w:divBdr>
        </w:div>
        <w:div w:id="1142234675">
          <w:marLeft w:val="640"/>
          <w:marRight w:val="0"/>
          <w:marTop w:val="0"/>
          <w:marBottom w:val="0"/>
          <w:divBdr>
            <w:top w:val="none" w:sz="0" w:space="0" w:color="auto"/>
            <w:left w:val="none" w:sz="0" w:space="0" w:color="auto"/>
            <w:bottom w:val="none" w:sz="0" w:space="0" w:color="auto"/>
            <w:right w:val="none" w:sz="0" w:space="0" w:color="auto"/>
          </w:divBdr>
        </w:div>
        <w:div w:id="460197845">
          <w:marLeft w:val="640"/>
          <w:marRight w:val="0"/>
          <w:marTop w:val="0"/>
          <w:marBottom w:val="0"/>
          <w:divBdr>
            <w:top w:val="none" w:sz="0" w:space="0" w:color="auto"/>
            <w:left w:val="none" w:sz="0" w:space="0" w:color="auto"/>
            <w:bottom w:val="none" w:sz="0" w:space="0" w:color="auto"/>
            <w:right w:val="none" w:sz="0" w:space="0" w:color="auto"/>
          </w:divBdr>
        </w:div>
        <w:div w:id="1790853609">
          <w:marLeft w:val="640"/>
          <w:marRight w:val="0"/>
          <w:marTop w:val="0"/>
          <w:marBottom w:val="0"/>
          <w:divBdr>
            <w:top w:val="none" w:sz="0" w:space="0" w:color="auto"/>
            <w:left w:val="none" w:sz="0" w:space="0" w:color="auto"/>
            <w:bottom w:val="none" w:sz="0" w:space="0" w:color="auto"/>
            <w:right w:val="none" w:sz="0" w:space="0" w:color="auto"/>
          </w:divBdr>
        </w:div>
        <w:div w:id="506794438">
          <w:marLeft w:val="640"/>
          <w:marRight w:val="0"/>
          <w:marTop w:val="0"/>
          <w:marBottom w:val="0"/>
          <w:divBdr>
            <w:top w:val="none" w:sz="0" w:space="0" w:color="auto"/>
            <w:left w:val="none" w:sz="0" w:space="0" w:color="auto"/>
            <w:bottom w:val="none" w:sz="0" w:space="0" w:color="auto"/>
            <w:right w:val="none" w:sz="0" w:space="0" w:color="auto"/>
          </w:divBdr>
        </w:div>
        <w:div w:id="1698432167">
          <w:marLeft w:val="640"/>
          <w:marRight w:val="0"/>
          <w:marTop w:val="0"/>
          <w:marBottom w:val="0"/>
          <w:divBdr>
            <w:top w:val="none" w:sz="0" w:space="0" w:color="auto"/>
            <w:left w:val="none" w:sz="0" w:space="0" w:color="auto"/>
            <w:bottom w:val="none" w:sz="0" w:space="0" w:color="auto"/>
            <w:right w:val="none" w:sz="0" w:space="0" w:color="auto"/>
          </w:divBdr>
        </w:div>
        <w:div w:id="106629793">
          <w:marLeft w:val="640"/>
          <w:marRight w:val="0"/>
          <w:marTop w:val="0"/>
          <w:marBottom w:val="0"/>
          <w:divBdr>
            <w:top w:val="none" w:sz="0" w:space="0" w:color="auto"/>
            <w:left w:val="none" w:sz="0" w:space="0" w:color="auto"/>
            <w:bottom w:val="none" w:sz="0" w:space="0" w:color="auto"/>
            <w:right w:val="none" w:sz="0" w:space="0" w:color="auto"/>
          </w:divBdr>
        </w:div>
        <w:div w:id="1137721810">
          <w:marLeft w:val="640"/>
          <w:marRight w:val="0"/>
          <w:marTop w:val="0"/>
          <w:marBottom w:val="0"/>
          <w:divBdr>
            <w:top w:val="none" w:sz="0" w:space="0" w:color="auto"/>
            <w:left w:val="none" w:sz="0" w:space="0" w:color="auto"/>
            <w:bottom w:val="none" w:sz="0" w:space="0" w:color="auto"/>
            <w:right w:val="none" w:sz="0" w:space="0" w:color="auto"/>
          </w:divBdr>
        </w:div>
        <w:div w:id="739595960">
          <w:marLeft w:val="640"/>
          <w:marRight w:val="0"/>
          <w:marTop w:val="0"/>
          <w:marBottom w:val="0"/>
          <w:divBdr>
            <w:top w:val="none" w:sz="0" w:space="0" w:color="auto"/>
            <w:left w:val="none" w:sz="0" w:space="0" w:color="auto"/>
            <w:bottom w:val="none" w:sz="0" w:space="0" w:color="auto"/>
            <w:right w:val="none" w:sz="0" w:space="0" w:color="auto"/>
          </w:divBdr>
        </w:div>
        <w:div w:id="1827042137">
          <w:marLeft w:val="640"/>
          <w:marRight w:val="0"/>
          <w:marTop w:val="0"/>
          <w:marBottom w:val="0"/>
          <w:divBdr>
            <w:top w:val="none" w:sz="0" w:space="0" w:color="auto"/>
            <w:left w:val="none" w:sz="0" w:space="0" w:color="auto"/>
            <w:bottom w:val="none" w:sz="0" w:space="0" w:color="auto"/>
            <w:right w:val="none" w:sz="0" w:space="0" w:color="auto"/>
          </w:divBdr>
        </w:div>
        <w:div w:id="1189831140">
          <w:marLeft w:val="640"/>
          <w:marRight w:val="0"/>
          <w:marTop w:val="0"/>
          <w:marBottom w:val="0"/>
          <w:divBdr>
            <w:top w:val="none" w:sz="0" w:space="0" w:color="auto"/>
            <w:left w:val="none" w:sz="0" w:space="0" w:color="auto"/>
            <w:bottom w:val="none" w:sz="0" w:space="0" w:color="auto"/>
            <w:right w:val="none" w:sz="0" w:space="0" w:color="auto"/>
          </w:divBdr>
        </w:div>
        <w:div w:id="163328463">
          <w:marLeft w:val="640"/>
          <w:marRight w:val="0"/>
          <w:marTop w:val="0"/>
          <w:marBottom w:val="0"/>
          <w:divBdr>
            <w:top w:val="none" w:sz="0" w:space="0" w:color="auto"/>
            <w:left w:val="none" w:sz="0" w:space="0" w:color="auto"/>
            <w:bottom w:val="none" w:sz="0" w:space="0" w:color="auto"/>
            <w:right w:val="none" w:sz="0" w:space="0" w:color="auto"/>
          </w:divBdr>
        </w:div>
        <w:div w:id="1466505853">
          <w:marLeft w:val="640"/>
          <w:marRight w:val="0"/>
          <w:marTop w:val="0"/>
          <w:marBottom w:val="0"/>
          <w:divBdr>
            <w:top w:val="none" w:sz="0" w:space="0" w:color="auto"/>
            <w:left w:val="none" w:sz="0" w:space="0" w:color="auto"/>
            <w:bottom w:val="none" w:sz="0" w:space="0" w:color="auto"/>
            <w:right w:val="none" w:sz="0" w:space="0" w:color="auto"/>
          </w:divBdr>
        </w:div>
        <w:div w:id="710421686">
          <w:marLeft w:val="640"/>
          <w:marRight w:val="0"/>
          <w:marTop w:val="0"/>
          <w:marBottom w:val="0"/>
          <w:divBdr>
            <w:top w:val="none" w:sz="0" w:space="0" w:color="auto"/>
            <w:left w:val="none" w:sz="0" w:space="0" w:color="auto"/>
            <w:bottom w:val="none" w:sz="0" w:space="0" w:color="auto"/>
            <w:right w:val="none" w:sz="0" w:space="0" w:color="auto"/>
          </w:divBdr>
        </w:div>
        <w:div w:id="1393118695">
          <w:marLeft w:val="640"/>
          <w:marRight w:val="0"/>
          <w:marTop w:val="0"/>
          <w:marBottom w:val="0"/>
          <w:divBdr>
            <w:top w:val="none" w:sz="0" w:space="0" w:color="auto"/>
            <w:left w:val="none" w:sz="0" w:space="0" w:color="auto"/>
            <w:bottom w:val="none" w:sz="0" w:space="0" w:color="auto"/>
            <w:right w:val="none" w:sz="0" w:space="0" w:color="auto"/>
          </w:divBdr>
        </w:div>
        <w:div w:id="1124036478">
          <w:marLeft w:val="640"/>
          <w:marRight w:val="0"/>
          <w:marTop w:val="0"/>
          <w:marBottom w:val="0"/>
          <w:divBdr>
            <w:top w:val="none" w:sz="0" w:space="0" w:color="auto"/>
            <w:left w:val="none" w:sz="0" w:space="0" w:color="auto"/>
            <w:bottom w:val="none" w:sz="0" w:space="0" w:color="auto"/>
            <w:right w:val="none" w:sz="0" w:space="0" w:color="auto"/>
          </w:divBdr>
        </w:div>
        <w:div w:id="1347825547">
          <w:marLeft w:val="640"/>
          <w:marRight w:val="0"/>
          <w:marTop w:val="0"/>
          <w:marBottom w:val="0"/>
          <w:divBdr>
            <w:top w:val="none" w:sz="0" w:space="0" w:color="auto"/>
            <w:left w:val="none" w:sz="0" w:space="0" w:color="auto"/>
            <w:bottom w:val="none" w:sz="0" w:space="0" w:color="auto"/>
            <w:right w:val="none" w:sz="0" w:space="0" w:color="auto"/>
          </w:divBdr>
        </w:div>
        <w:div w:id="1795368617">
          <w:marLeft w:val="640"/>
          <w:marRight w:val="0"/>
          <w:marTop w:val="0"/>
          <w:marBottom w:val="0"/>
          <w:divBdr>
            <w:top w:val="none" w:sz="0" w:space="0" w:color="auto"/>
            <w:left w:val="none" w:sz="0" w:space="0" w:color="auto"/>
            <w:bottom w:val="none" w:sz="0" w:space="0" w:color="auto"/>
            <w:right w:val="none" w:sz="0" w:space="0" w:color="auto"/>
          </w:divBdr>
        </w:div>
        <w:div w:id="1188984934">
          <w:marLeft w:val="640"/>
          <w:marRight w:val="0"/>
          <w:marTop w:val="0"/>
          <w:marBottom w:val="0"/>
          <w:divBdr>
            <w:top w:val="none" w:sz="0" w:space="0" w:color="auto"/>
            <w:left w:val="none" w:sz="0" w:space="0" w:color="auto"/>
            <w:bottom w:val="none" w:sz="0" w:space="0" w:color="auto"/>
            <w:right w:val="none" w:sz="0" w:space="0" w:color="auto"/>
          </w:divBdr>
        </w:div>
        <w:div w:id="247615181">
          <w:marLeft w:val="640"/>
          <w:marRight w:val="0"/>
          <w:marTop w:val="0"/>
          <w:marBottom w:val="0"/>
          <w:divBdr>
            <w:top w:val="none" w:sz="0" w:space="0" w:color="auto"/>
            <w:left w:val="none" w:sz="0" w:space="0" w:color="auto"/>
            <w:bottom w:val="none" w:sz="0" w:space="0" w:color="auto"/>
            <w:right w:val="none" w:sz="0" w:space="0" w:color="auto"/>
          </w:divBdr>
        </w:div>
        <w:div w:id="682703299">
          <w:marLeft w:val="640"/>
          <w:marRight w:val="0"/>
          <w:marTop w:val="0"/>
          <w:marBottom w:val="0"/>
          <w:divBdr>
            <w:top w:val="none" w:sz="0" w:space="0" w:color="auto"/>
            <w:left w:val="none" w:sz="0" w:space="0" w:color="auto"/>
            <w:bottom w:val="none" w:sz="0" w:space="0" w:color="auto"/>
            <w:right w:val="none" w:sz="0" w:space="0" w:color="auto"/>
          </w:divBdr>
        </w:div>
        <w:div w:id="237054851">
          <w:marLeft w:val="640"/>
          <w:marRight w:val="0"/>
          <w:marTop w:val="0"/>
          <w:marBottom w:val="0"/>
          <w:divBdr>
            <w:top w:val="none" w:sz="0" w:space="0" w:color="auto"/>
            <w:left w:val="none" w:sz="0" w:space="0" w:color="auto"/>
            <w:bottom w:val="none" w:sz="0" w:space="0" w:color="auto"/>
            <w:right w:val="none" w:sz="0" w:space="0" w:color="auto"/>
          </w:divBdr>
        </w:div>
        <w:div w:id="1567645811">
          <w:marLeft w:val="640"/>
          <w:marRight w:val="0"/>
          <w:marTop w:val="0"/>
          <w:marBottom w:val="0"/>
          <w:divBdr>
            <w:top w:val="none" w:sz="0" w:space="0" w:color="auto"/>
            <w:left w:val="none" w:sz="0" w:space="0" w:color="auto"/>
            <w:bottom w:val="none" w:sz="0" w:space="0" w:color="auto"/>
            <w:right w:val="none" w:sz="0" w:space="0" w:color="auto"/>
          </w:divBdr>
        </w:div>
        <w:div w:id="1211652953">
          <w:marLeft w:val="640"/>
          <w:marRight w:val="0"/>
          <w:marTop w:val="0"/>
          <w:marBottom w:val="0"/>
          <w:divBdr>
            <w:top w:val="none" w:sz="0" w:space="0" w:color="auto"/>
            <w:left w:val="none" w:sz="0" w:space="0" w:color="auto"/>
            <w:bottom w:val="none" w:sz="0" w:space="0" w:color="auto"/>
            <w:right w:val="none" w:sz="0" w:space="0" w:color="auto"/>
          </w:divBdr>
        </w:div>
        <w:div w:id="18824604">
          <w:marLeft w:val="640"/>
          <w:marRight w:val="0"/>
          <w:marTop w:val="0"/>
          <w:marBottom w:val="0"/>
          <w:divBdr>
            <w:top w:val="none" w:sz="0" w:space="0" w:color="auto"/>
            <w:left w:val="none" w:sz="0" w:space="0" w:color="auto"/>
            <w:bottom w:val="none" w:sz="0" w:space="0" w:color="auto"/>
            <w:right w:val="none" w:sz="0" w:space="0" w:color="auto"/>
          </w:divBdr>
        </w:div>
        <w:div w:id="340472389">
          <w:marLeft w:val="640"/>
          <w:marRight w:val="0"/>
          <w:marTop w:val="0"/>
          <w:marBottom w:val="0"/>
          <w:divBdr>
            <w:top w:val="none" w:sz="0" w:space="0" w:color="auto"/>
            <w:left w:val="none" w:sz="0" w:space="0" w:color="auto"/>
            <w:bottom w:val="none" w:sz="0" w:space="0" w:color="auto"/>
            <w:right w:val="none" w:sz="0" w:space="0" w:color="auto"/>
          </w:divBdr>
        </w:div>
        <w:div w:id="201678024">
          <w:marLeft w:val="640"/>
          <w:marRight w:val="0"/>
          <w:marTop w:val="0"/>
          <w:marBottom w:val="0"/>
          <w:divBdr>
            <w:top w:val="none" w:sz="0" w:space="0" w:color="auto"/>
            <w:left w:val="none" w:sz="0" w:space="0" w:color="auto"/>
            <w:bottom w:val="none" w:sz="0" w:space="0" w:color="auto"/>
            <w:right w:val="none" w:sz="0" w:space="0" w:color="auto"/>
          </w:divBdr>
        </w:div>
        <w:div w:id="145516836">
          <w:marLeft w:val="640"/>
          <w:marRight w:val="0"/>
          <w:marTop w:val="0"/>
          <w:marBottom w:val="0"/>
          <w:divBdr>
            <w:top w:val="none" w:sz="0" w:space="0" w:color="auto"/>
            <w:left w:val="none" w:sz="0" w:space="0" w:color="auto"/>
            <w:bottom w:val="none" w:sz="0" w:space="0" w:color="auto"/>
            <w:right w:val="none" w:sz="0" w:space="0" w:color="auto"/>
          </w:divBdr>
        </w:div>
        <w:div w:id="804158941">
          <w:marLeft w:val="640"/>
          <w:marRight w:val="0"/>
          <w:marTop w:val="0"/>
          <w:marBottom w:val="0"/>
          <w:divBdr>
            <w:top w:val="none" w:sz="0" w:space="0" w:color="auto"/>
            <w:left w:val="none" w:sz="0" w:space="0" w:color="auto"/>
            <w:bottom w:val="none" w:sz="0" w:space="0" w:color="auto"/>
            <w:right w:val="none" w:sz="0" w:space="0" w:color="auto"/>
          </w:divBdr>
        </w:div>
        <w:div w:id="933367615">
          <w:marLeft w:val="640"/>
          <w:marRight w:val="0"/>
          <w:marTop w:val="0"/>
          <w:marBottom w:val="0"/>
          <w:divBdr>
            <w:top w:val="none" w:sz="0" w:space="0" w:color="auto"/>
            <w:left w:val="none" w:sz="0" w:space="0" w:color="auto"/>
            <w:bottom w:val="none" w:sz="0" w:space="0" w:color="auto"/>
            <w:right w:val="none" w:sz="0" w:space="0" w:color="auto"/>
          </w:divBdr>
        </w:div>
        <w:div w:id="2111388197">
          <w:marLeft w:val="640"/>
          <w:marRight w:val="0"/>
          <w:marTop w:val="0"/>
          <w:marBottom w:val="0"/>
          <w:divBdr>
            <w:top w:val="none" w:sz="0" w:space="0" w:color="auto"/>
            <w:left w:val="none" w:sz="0" w:space="0" w:color="auto"/>
            <w:bottom w:val="none" w:sz="0" w:space="0" w:color="auto"/>
            <w:right w:val="none" w:sz="0" w:space="0" w:color="auto"/>
          </w:divBdr>
        </w:div>
        <w:div w:id="834682047">
          <w:marLeft w:val="640"/>
          <w:marRight w:val="0"/>
          <w:marTop w:val="0"/>
          <w:marBottom w:val="0"/>
          <w:divBdr>
            <w:top w:val="none" w:sz="0" w:space="0" w:color="auto"/>
            <w:left w:val="none" w:sz="0" w:space="0" w:color="auto"/>
            <w:bottom w:val="none" w:sz="0" w:space="0" w:color="auto"/>
            <w:right w:val="none" w:sz="0" w:space="0" w:color="auto"/>
          </w:divBdr>
        </w:div>
        <w:div w:id="1939092332">
          <w:marLeft w:val="640"/>
          <w:marRight w:val="0"/>
          <w:marTop w:val="0"/>
          <w:marBottom w:val="0"/>
          <w:divBdr>
            <w:top w:val="none" w:sz="0" w:space="0" w:color="auto"/>
            <w:left w:val="none" w:sz="0" w:space="0" w:color="auto"/>
            <w:bottom w:val="none" w:sz="0" w:space="0" w:color="auto"/>
            <w:right w:val="none" w:sz="0" w:space="0" w:color="auto"/>
          </w:divBdr>
        </w:div>
        <w:div w:id="1599410422">
          <w:marLeft w:val="640"/>
          <w:marRight w:val="0"/>
          <w:marTop w:val="0"/>
          <w:marBottom w:val="0"/>
          <w:divBdr>
            <w:top w:val="none" w:sz="0" w:space="0" w:color="auto"/>
            <w:left w:val="none" w:sz="0" w:space="0" w:color="auto"/>
            <w:bottom w:val="none" w:sz="0" w:space="0" w:color="auto"/>
            <w:right w:val="none" w:sz="0" w:space="0" w:color="auto"/>
          </w:divBdr>
        </w:div>
        <w:div w:id="894973778">
          <w:marLeft w:val="640"/>
          <w:marRight w:val="0"/>
          <w:marTop w:val="0"/>
          <w:marBottom w:val="0"/>
          <w:divBdr>
            <w:top w:val="none" w:sz="0" w:space="0" w:color="auto"/>
            <w:left w:val="none" w:sz="0" w:space="0" w:color="auto"/>
            <w:bottom w:val="none" w:sz="0" w:space="0" w:color="auto"/>
            <w:right w:val="none" w:sz="0" w:space="0" w:color="auto"/>
          </w:divBdr>
        </w:div>
        <w:div w:id="1253857899">
          <w:marLeft w:val="640"/>
          <w:marRight w:val="0"/>
          <w:marTop w:val="0"/>
          <w:marBottom w:val="0"/>
          <w:divBdr>
            <w:top w:val="none" w:sz="0" w:space="0" w:color="auto"/>
            <w:left w:val="none" w:sz="0" w:space="0" w:color="auto"/>
            <w:bottom w:val="none" w:sz="0" w:space="0" w:color="auto"/>
            <w:right w:val="none" w:sz="0" w:space="0" w:color="auto"/>
          </w:divBdr>
        </w:div>
        <w:div w:id="1736121060">
          <w:marLeft w:val="640"/>
          <w:marRight w:val="0"/>
          <w:marTop w:val="0"/>
          <w:marBottom w:val="0"/>
          <w:divBdr>
            <w:top w:val="none" w:sz="0" w:space="0" w:color="auto"/>
            <w:left w:val="none" w:sz="0" w:space="0" w:color="auto"/>
            <w:bottom w:val="none" w:sz="0" w:space="0" w:color="auto"/>
            <w:right w:val="none" w:sz="0" w:space="0" w:color="auto"/>
          </w:divBdr>
        </w:div>
        <w:div w:id="806976665">
          <w:marLeft w:val="640"/>
          <w:marRight w:val="0"/>
          <w:marTop w:val="0"/>
          <w:marBottom w:val="0"/>
          <w:divBdr>
            <w:top w:val="none" w:sz="0" w:space="0" w:color="auto"/>
            <w:left w:val="none" w:sz="0" w:space="0" w:color="auto"/>
            <w:bottom w:val="none" w:sz="0" w:space="0" w:color="auto"/>
            <w:right w:val="none" w:sz="0" w:space="0" w:color="auto"/>
          </w:divBdr>
        </w:div>
        <w:div w:id="684021398">
          <w:marLeft w:val="640"/>
          <w:marRight w:val="0"/>
          <w:marTop w:val="0"/>
          <w:marBottom w:val="0"/>
          <w:divBdr>
            <w:top w:val="none" w:sz="0" w:space="0" w:color="auto"/>
            <w:left w:val="none" w:sz="0" w:space="0" w:color="auto"/>
            <w:bottom w:val="none" w:sz="0" w:space="0" w:color="auto"/>
            <w:right w:val="none" w:sz="0" w:space="0" w:color="auto"/>
          </w:divBdr>
        </w:div>
        <w:div w:id="1265915796">
          <w:marLeft w:val="640"/>
          <w:marRight w:val="0"/>
          <w:marTop w:val="0"/>
          <w:marBottom w:val="0"/>
          <w:divBdr>
            <w:top w:val="none" w:sz="0" w:space="0" w:color="auto"/>
            <w:left w:val="none" w:sz="0" w:space="0" w:color="auto"/>
            <w:bottom w:val="none" w:sz="0" w:space="0" w:color="auto"/>
            <w:right w:val="none" w:sz="0" w:space="0" w:color="auto"/>
          </w:divBdr>
        </w:div>
        <w:div w:id="1540776670">
          <w:marLeft w:val="640"/>
          <w:marRight w:val="0"/>
          <w:marTop w:val="0"/>
          <w:marBottom w:val="0"/>
          <w:divBdr>
            <w:top w:val="none" w:sz="0" w:space="0" w:color="auto"/>
            <w:left w:val="none" w:sz="0" w:space="0" w:color="auto"/>
            <w:bottom w:val="none" w:sz="0" w:space="0" w:color="auto"/>
            <w:right w:val="none" w:sz="0" w:space="0" w:color="auto"/>
          </w:divBdr>
        </w:div>
        <w:div w:id="337200686">
          <w:marLeft w:val="640"/>
          <w:marRight w:val="0"/>
          <w:marTop w:val="0"/>
          <w:marBottom w:val="0"/>
          <w:divBdr>
            <w:top w:val="none" w:sz="0" w:space="0" w:color="auto"/>
            <w:left w:val="none" w:sz="0" w:space="0" w:color="auto"/>
            <w:bottom w:val="none" w:sz="0" w:space="0" w:color="auto"/>
            <w:right w:val="none" w:sz="0" w:space="0" w:color="auto"/>
          </w:divBdr>
        </w:div>
        <w:div w:id="1783379202">
          <w:marLeft w:val="640"/>
          <w:marRight w:val="0"/>
          <w:marTop w:val="0"/>
          <w:marBottom w:val="0"/>
          <w:divBdr>
            <w:top w:val="none" w:sz="0" w:space="0" w:color="auto"/>
            <w:left w:val="none" w:sz="0" w:space="0" w:color="auto"/>
            <w:bottom w:val="none" w:sz="0" w:space="0" w:color="auto"/>
            <w:right w:val="none" w:sz="0" w:space="0" w:color="auto"/>
          </w:divBdr>
        </w:div>
        <w:div w:id="903224394">
          <w:marLeft w:val="640"/>
          <w:marRight w:val="0"/>
          <w:marTop w:val="0"/>
          <w:marBottom w:val="0"/>
          <w:divBdr>
            <w:top w:val="none" w:sz="0" w:space="0" w:color="auto"/>
            <w:left w:val="none" w:sz="0" w:space="0" w:color="auto"/>
            <w:bottom w:val="none" w:sz="0" w:space="0" w:color="auto"/>
            <w:right w:val="none" w:sz="0" w:space="0" w:color="auto"/>
          </w:divBdr>
        </w:div>
        <w:div w:id="1185708839">
          <w:marLeft w:val="640"/>
          <w:marRight w:val="0"/>
          <w:marTop w:val="0"/>
          <w:marBottom w:val="0"/>
          <w:divBdr>
            <w:top w:val="none" w:sz="0" w:space="0" w:color="auto"/>
            <w:left w:val="none" w:sz="0" w:space="0" w:color="auto"/>
            <w:bottom w:val="none" w:sz="0" w:space="0" w:color="auto"/>
            <w:right w:val="none" w:sz="0" w:space="0" w:color="auto"/>
          </w:divBdr>
        </w:div>
        <w:div w:id="945771054">
          <w:marLeft w:val="640"/>
          <w:marRight w:val="0"/>
          <w:marTop w:val="0"/>
          <w:marBottom w:val="0"/>
          <w:divBdr>
            <w:top w:val="none" w:sz="0" w:space="0" w:color="auto"/>
            <w:left w:val="none" w:sz="0" w:space="0" w:color="auto"/>
            <w:bottom w:val="none" w:sz="0" w:space="0" w:color="auto"/>
            <w:right w:val="none" w:sz="0" w:space="0" w:color="auto"/>
          </w:divBdr>
        </w:div>
        <w:div w:id="1437629157">
          <w:marLeft w:val="640"/>
          <w:marRight w:val="0"/>
          <w:marTop w:val="0"/>
          <w:marBottom w:val="0"/>
          <w:divBdr>
            <w:top w:val="none" w:sz="0" w:space="0" w:color="auto"/>
            <w:left w:val="none" w:sz="0" w:space="0" w:color="auto"/>
            <w:bottom w:val="none" w:sz="0" w:space="0" w:color="auto"/>
            <w:right w:val="none" w:sz="0" w:space="0" w:color="auto"/>
          </w:divBdr>
        </w:div>
        <w:div w:id="1612858331">
          <w:marLeft w:val="640"/>
          <w:marRight w:val="0"/>
          <w:marTop w:val="0"/>
          <w:marBottom w:val="0"/>
          <w:divBdr>
            <w:top w:val="none" w:sz="0" w:space="0" w:color="auto"/>
            <w:left w:val="none" w:sz="0" w:space="0" w:color="auto"/>
            <w:bottom w:val="none" w:sz="0" w:space="0" w:color="auto"/>
            <w:right w:val="none" w:sz="0" w:space="0" w:color="auto"/>
          </w:divBdr>
        </w:div>
        <w:div w:id="859202571">
          <w:marLeft w:val="640"/>
          <w:marRight w:val="0"/>
          <w:marTop w:val="0"/>
          <w:marBottom w:val="0"/>
          <w:divBdr>
            <w:top w:val="none" w:sz="0" w:space="0" w:color="auto"/>
            <w:left w:val="none" w:sz="0" w:space="0" w:color="auto"/>
            <w:bottom w:val="none" w:sz="0" w:space="0" w:color="auto"/>
            <w:right w:val="none" w:sz="0" w:space="0" w:color="auto"/>
          </w:divBdr>
        </w:div>
        <w:div w:id="391541430">
          <w:marLeft w:val="640"/>
          <w:marRight w:val="0"/>
          <w:marTop w:val="0"/>
          <w:marBottom w:val="0"/>
          <w:divBdr>
            <w:top w:val="none" w:sz="0" w:space="0" w:color="auto"/>
            <w:left w:val="none" w:sz="0" w:space="0" w:color="auto"/>
            <w:bottom w:val="none" w:sz="0" w:space="0" w:color="auto"/>
            <w:right w:val="none" w:sz="0" w:space="0" w:color="auto"/>
          </w:divBdr>
        </w:div>
        <w:div w:id="1525558113">
          <w:marLeft w:val="640"/>
          <w:marRight w:val="0"/>
          <w:marTop w:val="0"/>
          <w:marBottom w:val="0"/>
          <w:divBdr>
            <w:top w:val="none" w:sz="0" w:space="0" w:color="auto"/>
            <w:left w:val="none" w:sz="0" w:space="0" w:color="auto"/>
            <w:bottom w:val="none" w:sz="0" w:space="0" w:color="auto"/>
            <w:right w:val="none" w:sz="0" w:space="0" w:color="auto"/>
          </w:divBdr>
        </w:div>
        <w:div w:id="1137795983">
          <w:marLeft w:val="640"/>
          <w:marRight w:val="0"/>
          <w:marTop w:val="0"/>
          <w:marBottom w:val="0"/>
          <w:divBdr>
            <w:top w:val="none" w:sz="0" w:space="0" w:color="auto"/>
            <w:left w:val="none" w:sz="0" w:space="0" w:color="auto"/>
            <w:bottom w:val="none" w:sz="0" w:space="0" w:color="auto"/>
            <w:right w:val="none" w:sz="0" w:space="0" w:color="auto"/>
          </w:divBdr>
        </w:div>
        <w:div w:id="2023622576">
          <w:marLeft w:val="640"/>
          <w:marRight w:val="0"/>
          <w:marTop w:val="0"/>
          <w:marBottom w:val="0"/>
          <w:divBdr>
            <w:top w:val="none" w:sz="0" w:space="0" w:color="auto"/>
            <w:left w:val="none" w:sz="0" w:space="0" w:color="auto"/>
            <w:bottom w:val="none" w:sz="0" w:space="0" w:color="auto"/>
            <w:right w:val="none" w:sz="0" w:space="0" w:color="auto"/>
          </w:divBdr>
        </w:div>
        <w:div w:id="1831946610">
          <w:marLeft w:val="640"/>
          <w:marRight w:val="0"/>
          <w:marTop w:val="0"/>
          <w:marBottom w:val="0"/>
          <w:divBdr>
            <w:top w:val="none" w:sz="0" w:space="0" w:color="auto"/>
            <w:left w:val="none" w:sz="0" w:space="0" w:color="auto"/>
            <w:bottom w:val="none" w:sz="0" w:space="0" w:color="auto"/>
            <w:right w:val="none" w:sz="0" w:space="0" w:color="auto"/>
          </w:divBdr>
        </w:div>
        <w:div w:id="1192957523">
          <w:marLeft w:val="640"/>
          <w:marRight w:val="0"/>
          <w:marTop w:val="0"/>
          <w:marBottom w:val="0"/>
          <w:divBdr>
            <w:top w:val="none" w:sz="0" w:space="0" w:color="auto"/>
            <w:left w:val="none" w:sz="0" w:space="0" w:color="auto"/>
            <w:bottom w:val="none" w:sz="0" w:space="0" w:color="auto"/>
            <w:right w:val="none" w:sz="0" w:space="0" w:color="auto"/>
          </w:divBdr>
        </w:div>
        <w:div w:id="75520919">
          <w:marLeft w:val="640"/>
          <w:marRight w:val="0"/>
          <w:marTop w:val="0"/>
          <w:marBottom w:val="0"/>
          <w:divBdr>
            <w:top w:val="none" w:sz="0" w:space="0" w:color="auto"/>
            <w:left w:val="none" w:sz="0" w:space="0" w:color="auto"/>
            <w:bottom w:val="none" w:sz="0" w:space="0" w:color="auto"/>
            <w:right w:val="none" w:sz="0" w:space="0" w:color="auto"/>
          </w:divBdr>
        </w:div>
        <w:div w:id="1649018546">
          <w:marLeft w:val="640"/>
          <w:marRight w:val="0"/>
          <w:marTop w:val="0"/>
          <w:marBottom w:val="0"/>
          <w:divBdr>
            <w:top w:val="none" w:sz="0" w:space="0" w:color="auto"/>
            <w:left w:val="none" w:sz="0" w:space="0" w:color="auto"/>
            <w:bottom w:val="none" w:sz="0" w:space="0" w:color="auto"/>
            <w:right w:val="none" w:sz="0" w:space="0" w:color="auto"/>
          </w:divBdr>
        </w:div>
        <w:div w:id="1435057873">
          <w:marLeft w:val="640"/>
          <w:marRight w:val="0"/>
          <w:marTop w:val="0"/>
          <w:marBottom w:val="0"/>
          <w:divBdr>
            <w:top w:val="none" w:sz="0" w:space="0" w:color="auto"/>
            <w:left w:val="none" w:sz="0" w:space="0" w:color="auto"/>
            <w:bottom w:val="none" w:sz="0" w:space="0" w:color="auto"/>
            <w:right w:val="none" w:sz="0" w:space="0" w:color="auto"/>
          </w:divBdr>
        </w:div>
        <w:div w:id="76248666">
          <w:marLeft w:val="640"/>
          <w:marRight w:val="0"/>
          <w:marTop w:val="0"/>
          <w:marBottom w:val="0"/>
          <w:divBdr>
            <w:top w:val="none" w:sz="0" w:space="0" w:color="auto"/>
            <w:left w:val="none" w:sz="0" w:space="0" w:color="auto"/>
            <w:bottom w:val="none" w:sz="0" w:space="0" w:color="auto"/>
            <w:right w:val="none" w:sz="0" w:space="0" w:color="auto"/>
          </w:divBdr>
        </w:div>
        <w:div w:id="127750952">
          <w:marLeft w:val="640"/>
          <w:marRight w:val="0"/>
          <w:marTop w:val="0"/>
          <w:marBottom w:val="0"/>
          <w:divBdr>
            <w:top w:val="none" w:sz="0" w:space="0" w:color="auto"/>
            <w:left w:val="none" w:sz="0" w:space="0" w:color="auto"/>
            <w:bottom w:val="none" w:sz="0" w:space="0" w:color="auto"/>
            <w:right w:val="none" w:sz="0" w:space="0" w:color="auto"/>
          </w:divBdr>
        </w:div>
        <w:div w:id="1371610126">
          <w:marLeft w:val="640"/>
          <w:marRight w:val="0"/>
          <w:marTop w:val="0"/>
          <w:marBottom w:val="0"/>
          <w:divBdr>
            <w:top w:val="none" w:sz="0" w:space="0" w:color="auto"/>
            <w:left w:val="none" w:sz="0" w:space="0" w:color="auto"/>
            <w:bottom w:val="none" w:sz="0" w:space="0" w:color="auto"/>
            <w:right w:val="none" w:sz="0" w:space="0" w:color="auto"/>
          </w:divBdr>
        </w:div>
        <w:div w:id="1431269114">
          <w:marLeft w:val="640"/>
          <w:marRight w:val="0"/>
          <w:marTop w:val="0"/>
          <w:marBottom w:val="0"/>
          <w:divBdr>
            <w:top w:val="none" w:sz="0" w:space="0" w:color="auto"/>
            <w:left w:val="none" w:sz="0" w:space="0" w:color="auto"/>
            <w:bottom w:val="none" w:sz="0" w:space="0" w:color="auto"/>
            <w:right w:val="none" w:sz="0" w:space="0" w:color="auto"/>
          </w:divBdr>
        </w:div>
        <w:div w:id="85007500">
          <w:marLeft w:val="640"/>
          <w:marRight w:val="0"/>
          <w:marTop w:val="0"/>
          <w:marBottom w:val="0"/>
          <w:divBdr>
            <w:top w:val="none" w:sz="0" w:space="0" w:color="auto"/>
            <w:left w:val="none" w:sz="0" w:space="0" w:color="auto"/>
            <w:bottom w:val="none" w:sz="0" w:space="0" w:color="auto"/>
            <w:right w:val="none" w:sz="0" w:space="0" w:color="auto"/>
          </w:divBdr>
        </w:div>
        <w:div w:id="1181970222">
          <w:marLeft w:val="640"/>
          <w:marRight w:val="0"/>
          <w:marTop w:val="0"/>
          <w:marBottom w:val="0"/>
          <w:divBdr>
            <w:top w:val="none" w:sz="0" w:space="0" w:color="auto"/>
            <w:left w:val="none" w:sz="0" w:space="0" w:color="auto"/>
            <w:bottom w:val="none" w:sz="0" w:space="0" w:color="auto"/>
            <w:right w:val="none" w:sz="0" w:space="0" w:color="auto"/>
          </w:divBdr>
        </w:div>
        <w:div w:id="1855604309">
          <w:marLeft w:val="640"/>
          <w:marRight w:val="0"/>
          <w:marTop w:val="0"/>
          <w:marBottom w:val="0"/>
          <w:divBdr>
            <w:top w:val="none" w:sz="0" w:space="0" w:color="auto"/>
            <w:left w:val="none" w:sz="0" w:space="0" w:color="auto"/>
            <w:bottom w:val="none" w:sz="0" w:space="0" w:color="auto"/>
            <w:right w:val="none" w:sz="0" w:space="0" w:color="auto"/>
          </w:divBdr>
        </w:div>
        <w:div w:id="1378774265">
          <w:marLeft w:val="640"/>
          <w:marRight w:val="0"/>
          <w:marTop w:val="0"/>
          <w:marBottom w:val="0"/>
          <w:divBdr>
            <w:top w:val="none" w:sz="0" w:space="0" w:color="auto"/>
            <w:left w:val="none" w:sz="0" w:space="0" w:color="auto"/>
            <w:bottom w:val="none" w:sz="0" w:space="0" w:color="auto"/>
            <w:right w:val="none" w:sz="0" w:space="0" w:color="auto"/>
          </w:divBdr>
        </w:div>
        <w:div w:id="860625953">
          <w:marLeft w:val="640"/>
          <w:marRight w:val="0"/>
          <w:marTop w:val="0"/>
          <w:marBottom w:val="0"/>
          <w:divBdr>
            <w:top w:val="none" w:sz="0" w:space="0" w:color="auto"/>
            <w:left w:val="none" w:sz="0" w:space="0" w:color="auto"/>
            <w:bottom w:val="none" w:sz="0" w:space="0" w:color="auto"/>
            <w:right w:val="none" w:sz="0" w:space="0" w:color="auto"/>
          </w:divBdr>
        </w:div>
        <w:div w:id="505444540">
          <w:marLeft w:val="640"/>
          <w:marRight w:val="0"/>
          <w:marTop w:val="0"/>
          <w:marBottom w:val="0"/>
          <w:divBdr>
            <w:top w:val="none" w:sz="0" w:space="0" w:color="auto"/>
            <w:left w:val="none" w:sz="0" w:space="0" w:color="auto"/>
            <w:bottom w:val="none" w:sz="0" w:space="0" w:color="auto"/>
            <w:right w:val="none" w:sz="0" w:space="0" w:color="auto"/>
          </w:divBdr>
        </w:div>
        <w:div w:id="1994329208">
          <w:marLeft w:val="640"/>
          <w:marRight w:val="0"/>
          <w:marTop w:val="0"/>
          <w:marBottom w:val="0"/>
          <w:divBdr>
            <w:top w:val="none" w:sz="0" w:space="0" w:color="auto"/>
            <w:left w:val="none" w:sz="0" w:space="0" w:color="auto"/>
            <w:bottom w:val="none" w:sz="0" w:space="0" w:color="auto"/>
            <w:right w:val="none" w:sz="0" w:space="0" w:color="auto"/>
          </w:divBdr>
        </w:div>
        <w:div w:id="1586648256">
          <w:marLeft w:val="640"/>
          <w:marRight w:val="0"/>
          <w:marTop w:val="0"/>
          <w:marBottom w:val="0"/>
          <w:divBdr>
            <w:top w:val="none" w:sz="0" w:space="0" w:color="auto"/>
            <w:left w:val="none" w:sz="0" w:space="0" w:color="auto"/>
            <w:bottom w:val="none" w:sz="0" w:space="0" w:color="auto"/>
            <w:right w:val="none" w:sz="0" w:space="0" w:color="auto"/>
          </w:divBdr>
        </w:div>
        <w:div w:id="1834952446">
          <w:marLeft w:val="640"/>
          <w:marRight w:val="0"/>
          <w:marTop w:val="0"/>
          <w:marBottom w:val="0"/>
          <w:divBdr>
            <w:top w:val="none" w:sz="0" w:space="0" w:color="auto"/>
            <w:left w:val="none" w:sz="0" w:space="0" w:color="auto"/>
            <w:bottom w:val="none" w:sz="0" w:space="0" w:color="auto"/>
            <w:right w:val="none" w:sz="0" w:space="0" w:color="auto"/>
          </w:divBdr>
        </w:div>
        <w:div w:id="2087073365">
          <w:marLeft w:val="640"/>
          <w:marRight w:val="0"/>
          <w:marTop w:val="0"/>
          <w:marBottom w:val="0"/>
          <w:divBdr>
            <w:top w:val="none" w:sz="0" w:space="0" w:color="auto"/>
            <w:left w:val="none" w:sz="0" w:space="0" w:color="auto"/>
            <w:bottom w:val="none" w:sz="0" w:space="0" w:color="auto"/>
            <w:right w:val="none" w:sz="0" w:space="0" w:color="auto"/>
          </w:divBdr>
        </w:div>
        <w:div w:id="1717853869">
          <w:marLeft w:val="640"/>
          <w:marRight w:val="0"/>
          <w:marTop w:val="0"/>
          <w:marBottom w:val="0"/>
          <w:divBdr>
            <w:top w:val="none" w:sz="0" w:space="0" w:color="auto"/>
            <w:left w:val="none" w:sz="0" w:space="0" w:color="auto"/>
            <w:bottom w:val="none" w:sz="0" w:space="0" w:color="auto"/>
            <w:right w:val="none" w:sz="0" w:space="0" w:color="auto"/>
          </w:divBdr>
        </w:div>
        <w:div w:id="798575627">
          <w:marLeft w:val="640"/>
          <w:marRight w:val="0"/>
          <w:marTop w:val="0"/>
          <w:marBottom w:val="0"/>
          <w:divBdr>
            <w:top w:val="none" w:sz="0" w:space="0" w:color="auto"/>
            <w:left w:val="none" w:sz="0" w:space="0" w:color="auto"/>
            <w:bottom w:val="none" w:sz="0" w:space="0" w:color="auto"/>
            <w:right w:val="none" w:sz="0" w:space="0" w:color="auto"/>
          </w:divBdr>
        </w:div>
        <w:div w:id="1803571683">
          <w:marLeft w:val="640"/>
          <w:marRight w:val="0"/>
          <w:marTop w:val="0"/>
          <w:marBottom w:val="0"/>
          <w:divBdr>
            <w:top w:val="none" w:sz="0" w:space="0" w:color="auto"/>
            <w:left w:val="none" w:sz="0" w:space="0" w:color="auto"/>
            <w:bottom w:val="none" w:sz="0" w:space="0" w:color="auto"/>
            <w:right w:val="none" w:sz="0" w:space="0" w:color="auto"/>
          </w:divBdr>
        </w:div>
        <w:div w:id="255358861">
          <w:marLeft w:val="640"/>
          <w:marRight w:val="0"/>
          <w:marTop w:val="0"/>
          <w:marBottom w:val="0"/>
          <w:divBdr>
            <w:top w:val="none" w:sz="0" w:space="0" w:color="auto"/>
            <w:left w:val="none" w:sz="0" w:space="0" w:color="auto"/>
            <w:bottom w:val="none" w:sz="0" w:space="0" w:color="auto"/>
            <w:right w:val="none" w:sz="0" w:space="0" w:color="auto"/>
          </w:divBdr>
        </w:div>
        <w:div w:id="1995982621">
          <w:marLeft w:val="640"/>
          <w:marRight w:val="0"/>
          <w:marTop w:val="0"/>
          <w:marBottom w:val="0"/>
          <w:divBdr>
            <w:top w:val="none" w:sz="0" w:space="0" w:color="auto"/>
            <w:left w:val="none" w:sz="0" w:space="0" w:color="auto"/>
            <w:bottom w:val="none" w:sz="0" w:space="0" w:color="auto"/>
            <w:right w:val="none" w:sz="0" w:space="0" w:color="auto"/>
          </w:divBdr>
        </w:div>
        <w:div w:id="1289703993">
          <w:marLeft w:val="640"/>
          <w:marRight w:val="0"/>
          <w:marTop w:val="0"/>
          <w:marBottom w:val="0"/>
          <w:divBdr>
            <w:top w:val="none" w:sz="0" w:space="0" w:color="auto"/>
            <w:left w:val="none" w:sz="0" w:space="0" w:color="auto"/>
            <w:bottom w:val="none" w:sz="0" w:space="0" w:color="auto"/>
            <w:right w:val="none" w:sz="0" w:space="0" w:color="auto"/>
          </w:divBdr>
        </w:div>
        <w:div w:id="2023705493">
          <w:marLeft w:val="640"/>
          <w:marRight w:val="0"/>
          <w:marTop w:val="0"/>
          <w:marBottom w:val="0"/>
          <w:divBdr>
            <w:top w:val="none" w:sz="0" w:space="0" w:color="auto"/>
            <w:left w:val="none" w:sz="0" w:space="0" w:color="auto"/>
            <w:bottom w:val="none" w:sz="0" w:space="0" w:color="auto"/>
            <w:right w:val="none" w:sz="0" w:space="0" w:color="auto"/>
          </w:divBdr>
        </w:div>
        <w:div w:id="604506659">
          <w:marLeft w:val="640"/>
          <w:marRight w:val="0"/>
          <w:marTop w:val="0"/>
          <w:marBottom w:val="0"/>
          <w:divBdr>
            <w:top w:val="none" w:sz="0" w:space="0" w:color="auto"/>
            <w:left w:val="none" w:sz="0" w:space="0" w:color="auto"/>
            <w:bottom w:val="none" w:sz="0" w:space="0" w:color="auto"/>
            <w:right w:val="none" w:sz="0" w:space="0" w:color="auto"/>
          </w:divBdr>
        </w:div>
        <w:div w:id="2038389605">
          <w:marLeft w:val="640"/>
          <w:marRight w:val="0"/>
          <w:marTop w:val="0"/>
          <w:marBottom w:val="0"/>
          <w:divBdr>
            <w:top w:val="none" w:sz="0" w:space="0" w:color="auto"/>
            <w:left w:val="none" w:sz="0" w:space="0" w:color="auto"/>
            <w:bottom w:val="none" w:sz="0" w:space="0" w:color="auto"/>
            <w:right w:val="none" w:sz="0" w:space="0" w:color="auto"/>
          </w:divBdr>
        </w:div>
        <w:div w:id="1379161605">
          <w:marLeft w:val="640"/>
          <w:marRight w:val="0"/>
          <w:marTop w:val="0"/>
          <w:marBottom w:val="0"/>
          <w:divBdr>
            <w:top w:val="none" w:sz="0" w:space="0" w:color="auto"/>
            <w:left w:val="none" w:sz="0" w:space="0" w:color="auto"/>
            <w:bottom w:val="none" w:sz="0" w:space="0" w:color="auto"/>
            <w:right w:val="none" w:sz="0" w:space="0" w:color="auto"/>
          </w:divBdr>
        </w:div>
        <w:div w:id="712077400">
          <w:marLeft w:val="640"/>
          <w:marRight w:val="0"/>
          <w:marTop w:val="0"/>
          <w:marBottom w:val="0"/>
          <w:divBdr>
            <w:top w:val="none" w:sz="0" w:space="0" w:color="auto"/>
            <w:left w:val="none" w:sz="0" w:space="0" w:color="auto"/>
            <w:bottom w:val="none" w:sz="0" w:space="0" w:color="auto"/>
            <w:right w:val="none" w:sz="0" w:space="0" w:color="auto"/>
          </w:divBdr>
        </w:div>
        <w:div w:id="2050570872">
          <w:marLeft w:val="640"/>
          <w:marRight w:val="0"/>
          <w:marTop w:val="0"/>
          <w:marBottom w:val="0"/>
          <w:divBdr>
            <w:top w:val="none" w:sz="0" w:space="0" w:color="auto"/>
            <w:left w:val="none" w:sz="0" w:space="0" w:color="auto"/>
            <w:bottom w:val="none" w:sz="0" w:space="0" w:color="auto"/>
            <w:right w:val="none" w:sz="0" w:space="0" w:color="auto"/>
          </w:divBdr>
        </w:div>
        <w:div w:id="498353664">
          <w:marLeft w:val="640"/>
          <w:marRight w:val="0"/>
          <w:marTop w:val="0"/>
          <w:marBottom w:val="0"/>
          <w:divBdr>
            <w:top w:val="none" w:sz="0" w:space="0" w:color="auto"/>
            <w:left w:val="none" w:sz="0" w:space="0" w:color="auto"/>
            <w:bottom w:val="none" w:sz="0" w:space="0" w:color="auto"/>
            <w:right w:val="none" w:sz="0" w:space="0" w:color="auto"/>
          </w:divBdr>
        </w:div>
        <w:div w:id="345522553">
          <w:marLeft w:val="640"/>
          <w:marRight w:val="0"/>
          <w:marTop w:val="0"/>
          <w:marBottom w:val="0"/>
          <w:divBdr>
            <w:top w:val="none" w:sz="0" w:space="0" w:color="auto"/>
            <w:left w:val="none" w:sz="0" w:space="0" w:color="auto"/>
            <w:bottom w:val="none" w:sz="0" w:space="0" w:color="auto"/>
            <w:right w:val="none" w:sz="0" w:space="0" w:color="auto"/>
          </w:divBdr>
        </w:div>
        <w:div w:id="1396009830">
          <w:marLeft w:val="640"/>
          <w:marRight w:val="0"/>
          <w:marTop w:val="0"/>
          <w:marBottom w:val="0"/>
          <w:divBdr>
            <w:top w:val="none" w:sz="0" w:space="0" w:color="auto"/>
            <w:left w:val="none" w:sz="0" w:space="0" w:color="auto"/>
            <w:bottom w:val="none" w:sz="0" w:space="0" w:color="auto"/>
            <w:right w:val="none" w:sz="0" w:space="0" w:color="auto"/>
          </w:divBdr>
        </w:div>
        <w:div w:id="1477800516">
          <w:marLeft w:val="640"/>
          <w:marRight w:val="0"/>
          <w:marTop w:val="0"/>
          <w:marBottom w:val="0"/>
          <w:divBdr>
            <w:top w:val="none" w:sz="0" w:space="0" w:color="auto"/>
            <w:left w:val="none" w:sz="0" w:space="0" w:color="auto"/>
            <w:bottom w:val="none" w:sz="0" w:space="0" w:color="auto"/>
            <w:right w:val="none" w:sz="0" w:space="0" w:color="auto"/>
          </w:divBdr>
        </w:div>
        <w:div w:id="1337734812">
          <w:marLeft w:val="640"/>
          <w:marRight w:val="0"/>
          <w:marTop w:val="0"/>
          <w:marBottom w:val="0"/>
          <w:divBdr>
            <w:top w:val="none" w:sz="0" w:space="0" w:color="auto"/>
            <w:left w:val="none" w:sz="0" w:space="0" w:color="auto"/>
            <w:bottom w:val="none" w:sz="0" w:space="0" w:color="auto"/>
            <w:right w:val="none" w:sz="0" w:space="0" w:color="auto"/>
          </w:divBdr>
        </w:div>
        <w:div w:id="226768920">
          <w:marLeft w:val="640"/>
          <w:marRight w:val="0"/>
          <w:marTop w:val="0"/>
          <w:marBottom w:val="0"/>
          <w:divBdr>
            <w:top w:val="none" w:sz="0" w:space="0" w:color="auto"/>
            <w:left w:val="none" w:sz="0" w:space="0" w:color="auto"/>
            <w:bottom w:val="none" w:sz="0" w:space="0" w:color="auto"/>
            <w:right w:val="none" w:sz="0" w:space="0" w:color="auto"/>
          </w:divBdr>
        </w:div>
        <w:div w:id="332225501">
          <w:marLeft w:val="640"/>
          <w:marRight w:val="0"/>
          <w:marTop w:val="0"/>
          <w:marBottom w:val="0"/>
          <w:divBdr>
            <w:top w:val="none" w:sz="0" w:space="0" w:color="auto"/>
            <w:left w:val="none" w:sz="0" w:space="0" w:color="auto"/>
            <w:bottom w:val="none" w:sz="0" w:space="0" w:color="auto"/>
            <w:right w:val="none" w:sz="0" w:space="0" w:color="auto"/>
          </w:divBdr>
        </w:div>
        <w:div w:id="1433286514">
          <w:marLeft w:val="640"/>
          <w:marRight w:val="0"/>
          <w:marTop w:val="0"/>
          <w:marBottom w:val="0"/>
          <w:divBdr>
            <w:top w:val="none" w:sz="0" w:space="0" w:color="auto"/>
            <w:left w:val="none" w:sz="0" w:space="0" w:color="auto"/>
            <w:bottom w:val="none" w:sz="0" w:space="0" w:color="auto"/>
            <w:right w:val="none" w:sz="0" w:space="0" w:color="auto"/>
          </w:divBdr>
        </w:div>
        <w:div w:id="631138052">
          <w:marLeft w:val="640"/>
          <w:marRight w:val="0"/>
          <w:marTop w:val="0"/>
          <w:marBottom w:val="0"/>
          <w:divBdr>
            <w:top w:val="none" w:sz="0" w:space="0" w:color="auto"/>
            <w:left w:val="none" w:sz="0" w:space="0" w:color="auto"/>
            <w:bottom w:val="none" w:sz="0" w:space="0" w:color="auto"/>
            <w:right w:val="none" w:sz="0" w:space="0" w:color="auto"/>
          </w:divBdr>
        </w:div>
        <w:div w:id="1012953932">
          <w:marLeft w:val="640"/>
          <w:marRight w:val="0"/>
          <w:marTop w:val="0"/>
          <w:marBottom w:val="0"/>
          <w:divBdr>
            <w:top w:val="none" w:sz="0" w:space="0" w:color="auto"/>
            <w:left w:val="none" w:sz="0" w:space="0" w:color="auto"/>
            <w:bottom w:val="none" w:sz="0" w:space="0" w:color="auto"/>
            <w:right w:val="none" w:sz="0" w:space="0" w:color="auto"/>
          </w:divBdr>
        </w:div>
        <w:div w:id="1197768668">
          <w:marLeft w:val="640"/>
          <w:marRight w:val="0"/>
          <w:marTop w:val="0"/>
          <w:marBottom w:val="0"/>
          <w:divBdr>
            <w:top w:val="none" w:sz="0" w:space="0" w:color="auto"/>
            <w:left w:val="none" w:sz="0" w:space="0" w:color="auto"/>
            <w:bottom w:val="none" w:sz="0" w:space="0" w:color="auto"/>
            <w:right w:val="none" w:sz="0" w:space="0" w:color="auto"/>
          </w:divBdr>
        </w:div>
        <w:div w:id="1256524553">
          <w:marLeft w:val="640"/>
          <w:marRight w:val="0"/>
          <w:marTop w:val="0"/>
          <w:marBottom w:val="0"/>
          <w:divBdr>
            <w:top w:val="none" w:sz="0" w:space="0" w:color="auto"/>
            <w:left w:val="none" w:sz="0" w:space="0" w:color="auto"/>
            <w:bottom w:val="none" w:sz="0" w:space="0" w:color="auto"/>
            <w:right w:val="none" w:sz="0" w:space="0" w:color="auto"/>
          </w:divBdr>
        </w:div>
        <w:div w:id="1981301892">
          <w:marLeft w:val="640"/>
          <w:marRight w:val="0"/>
          <w:marTop w:val="0"/>
          <w:marBottom w:val="0"/>
          <w:divBdr>
            <w:top w:val="none" w:sz="0" w:space="0" w:color="auto"/>
            <w:left w:val="none" w:sz="0" w:space="0" w:color="auto"/>
            <w:bottom w:val="none" w:sz="0" w:space="0" w:color="auto"/>
            <w:right w:val="none" w:sz="0" w:space="0" w:color="auto"/>
          </w:divBdr>
        </w:div>
        <w:div w:id="384718133">
          <w:marLeft w:val="640"/>
          <w:marRight w:val="0"/>
          <w:marTop w:val="0"/>
          <w:marBottom w:val="0"/>
          <w:divBdr>
            <w:top w:val="none" w:sz="0" w:space="0" w:color="auto"/>
            <w:left w:val="none" w:sz="0" w:space="0" w:color="auto"/>
            <w:bottom w:val="none" w:sz="0" w:space="0" w:color="auto"/>
            <w:right w:val="none" w:sz="0" w:space="0" w:color="auto"/>
          </w:divBdr>
        </w:div>
        <w:div w:id="2065833995">
          <w:marLeft w:val="640"/>
          <w:marRight w:val="0"/>
          <w:marTop w:val="0"/>
          <w:marBottom w:val="0"/>
          <w:divBdr>
            <w:top w:val="none" w:sz="0" w:space="0" w:color="auto"/>
            <w:left w:val="none" w:sz="0" w:space="0" w:color="auto"/>
            <w:bottom w:val="none" w:sz="0" w:space="0" w:color="auto"/>
            <w:right w:val="none" w:sz="0" w:space="0" w:color="auto"/>
          </w:divBdr>
        </w:div>
        <w:div w:id="1188132430">
          <w:marLeft w:val="640"/>
          <w:marRight w:val="0"/>
          <w:marTop w:val="0"/>
          <w:marBottom w:val="0"/>
          <w:divBdr>
            <w:top w:val="none" w:sz="0" w:space="0" w:color="auto"/>
            <w:left w:val="none" w:sz="0" w:space="0" w:color="auto"/>
            <w:bottom w:val="none" w:sz="0" w:space="0" w:color="auto"/>
            <w:right w:val="none" w:sz="0" w:space="0" w:color="auto"/>
          </w:divBdr>
        </w:div>
        <w:div w:id="978657306">
          <w:marLeft w:val="640"/>
          <w:marRight w:val="0"/>
          <w:marTop w:val="0"/>
          <w:marBottom w:val="0"/>
          <w:divBdr>
            <w:top w:val="none" w:sz="0" w:space="0" w:color="auto"/>
            <w:left w:val="none" w:sz="0" w:space="0" w:color="auto"/>
            <w:bottom w:val="none" w:sz="0" w:space="0" w:color="auto"/>
            <w:right w:val="none" w:sz="0" w:space="0" w:color="auto"/>
          </w:divBdr>
        </w:div>
        <w:div w:id="260916046">
          <w:marLeft w:val="640"/>
          <w:marRight w:val="0"/>
          <w:marTop w:val="0"/>
          <w:marBottom w:val="0"/>
          <w:divBdr>
            <w:top w:val="none" w:sz="0" w:space="0" w:color="auto"/>
            <w:left w:val="none" w:sz="0" w:space="0" w:color="auto"/>
            <w:bottom w:val="none" w:sz="0" w:space="0" w:color="auto"/>
            <w:right w:val="none" w:sz="0" w:space="0" w:color="auto"/>
          </w:divBdr>
        </w:div>
        <w:div w:id="547495967">
          <w:marLeft w:val="640"/>
          <w:marRight w:val="0"/>
          <w:marTop w:val="0"/>
          <w:marBottom w:val="0"/>
          <w:divBdr>
            <w:top w:val="none" w:sz="0" w:space="0" w:color="auto"/>
            <w:left w:val="none" w:sz="0" w:space="0" w:color="auto"/>
            <w:bottom w:val="none" w:sz="0" w:space="0" w:color="auto"/>
            <w:right w:val="none" w:sz="0" w:space="0" w:color="auto"/>
          </w:divBdr>
        </w:div>
        <w:div w:id="1519391761">
          <w:marLeft w:val="640"/>
          <w:marRight w:val="0"/>
          <w:marTop w:val="0"/>
          <w:marBottom w:val="0"/>
          <w:divBdr>
            <w:top w:val="none" w:sz="0" w:space="0" w:color="auto"/>
            <w:left w:val="none" w:sz="0" w:space="0" w:color="auto"/>
            <w:bottom w:val="none" w:sz="0" w:space="0" w:color="auto"/>
            <w:right w:val="none" w:sz="0" w:space="0" w:color="auto"/>
          </w:divBdr>
        </w:div>
        <w:div w:id="1394692576">
          <w:marLeft w:val="640"/>
          <w:marRight w:val="0"/>
          <w:marTop w:val="0"/>
          <w:marBottom w:val="0"/>
          <w:divBdr>
            <w:top w:val="none" w:sz="0" w:space="0" w:color="auto"/>
            <w:left w:val="none" w:sz="0" w:space="0" w:color="auto"/>
            <w:bottom w:val="none" w:sz="0" w:space="0" w:color="auto"/>
            <w:right w:val="none" w:sz="0" w:space="0" w:color="auto"/>
          </w:divBdr>
        </w:div>
        <w:div w:id="465585932">
          <w:marLeft w:val="640"/>
          <w:marRight w:val="0"/>
          <w:marTop w:val="0"/>
          <w:marBottom w:val="0"/>
          <w:divBdr>
            <w:top w:val="none" w:sz="0" w:space="0" w:color="auto"/>
            <w:left w:val="none" w:sz="0" w:space="0" w:color="auto"/>
            <w:bottom w:val="none" w:sz="0" w:space="0" w:color="auto"/>
            <w:right w:val="none" w:sz="0" w:space="0" w:color="auto"/>
          </w:divBdr>
        </w:div>
        <w:div w:id="1151218171">
          <w:marLeft w:val="640"/>
          <w:marRight w:val="0"/>
          <w:marTop w:val="0"/>
          <w:marBottom w:val="0"/>
          <w:divBdr>
            <w:top w:val="none" w:sz="0" w:space="0" w:color="auto"/>
            <w:left w:val="none" w:sz="0" w:space="0" w:color="auto"/>
            <w:bottom w:val="none" w:sz="0" w:space="0" w:color="auto"/>
            <w:right w:val="none" w:sz="0" w:space="0" w:color="auto"/>
          </w:divBdr>
        </w:div>
        <w:div w:id="65494697">
          <w:marLeft w:val="640"/>
          <w:marRight w:val="0"/>
          <w:marTop w:val="0"/>
          <w:marBottom w:val="0"/>
          <w:divBdr>
            <w:top w:val="none" w:sz="0" w:space="0" w:color="auto"/>
            <w:left w:val="none" w:sz="0" w:space="0" w:color="auto"/>
            <w:bottom w:val="none" w:sz="0" w:space="0" w:color="auto"/>
            <w:right w:val="none" w:sz="0" w:space="0" w:color="auto"/>
          </w:divBdr>
        </w:div>
        <w:div w:id="273025127">
          <w:marLeft w:val="640"/>
          <w:marRight w:val="0"/>
          <w:marTop w:val="0"/>
          <w:marBottom w:val="0"/>
          <w:divBdr>
            <w:top w:val="none" w:sz="0" w:space="0" w:color="auto"/>
            <w:left w:val="none" w:sz="0" w:space="0" w:color="auto"/>
            <w:bottom w:val="none" w:sz="0" w:space="0" w:color="auto"/>
            <w:right w:val="none" w:sz="0" w:space="0" w:color="auto"/>
          </w:divBdr>
        </w:div>
        <w:div w:id="1704598957">
          <w:marLeft w:val="640"/>
          <w:marRight w:val="0"/>
          <w:marTop w:val="0"/>
          <w:marBottom w:val="0"/>
          <w:divBdr>
            <w:top w:val="none" w:sz="0" w:space="0" w:color="auto"/>
            <w:left w:val="none" w:sz="0" w:space="0" w:color="auto"/>
            <w:bottom w:val="none" w:sz="0" w:space="0" w:color="auto"/>
            <w:right w:val="none" w:sz="0" w:space="0" w:color="auto"/>
          </w:divBdr>
        </w:div>
        <w:div w:id="374474105">
          <w:marLeft w:val="640"/>
          <w:marRight w:val="0"/>
          <w:marTop w:val="0"/>
          <w:marBottom w:val="0"/>
          <w:divBdr>
            <w:top w:val="none" w:sz="0" w:space="0" w:color="auto"/>
            <w:left w:val="none" w:sz="0" w:space="0" w:color="auto"/>
            <w:bottom w:val="none" w:sz="0" w:space="0" w:color="auto"/>
            <w:right w:val="none" w:sz="0" w:space="0" w:color="auto"/>
          </w:divBdr>
        </w:div>
        <w:div w:id="233858500">
          <w:marLeft w:val="640"/>
          <w:marRight w:val="0"/>
          <w:marTop w:val="0"/>
          <w:marBottom w:val="0"/>
          <w:divBdr>
            <w:top w:val="none" w:sz="0" w:space="0" w:color="auto"/>
            <w:left w:val="none" w:sz="0" w:space="0" w:color="auto"/>
            <w:bottom w:val="none" w:sz="0" w:space="0" w:color="auto"/>
            <w:right w:val="none" w:sz="0" w:space="0" w:color="auto"/>
          </w:divBdr>
        </w:div>
        <w:div w:id="637034744">
          <w:marLeft w:val="640"/>
          <w:marRight w:val="0"/>
          <w:marTop w:val="0"/>
          <w:marBottom w:val="0"/>
          <w:divBdr>
            <w:top w:val="none" w:sz="0" w:space="0" w:color="auto"/>
            <w:left w:val="none" w:sz="0" w:space="0" w:color="auto"/>
            <w:bottom w:val="none" w:sz="0" w:space="0" w:color="auto"/>
            <w:right w:val="none" w:sz="0" w:space="0" w:color="auto"/>
          </w:divBdr>
        </w:div>
        <w:div w:id="676463907">
          <w:marLeft w:val="640"/>
          <w:marRight w:val="0"/>
          <w:marTop w:val="0"/>
          <w:marBottom w:val="0"/>
          <w:divBdr>
            <w:top w:val="none" w:sz="0" w:space="0" w:color="auto"/>
            <w:left w:val="none" w:sz="0" w:space="0" w:color="auto"/>
            <w:bottom w:val="none" w:sz="0" w:space="0" w:color="auto"/>
            <w:right w:val="none" w:sz="0" w:space="0" w:color="auto"/>
          </w:divBdr>
        </w:div>
        <w:div w:id="177276402">
          <w:marLeft w:val="640"/>
          <w:marRight w:val="0"/>
          <w:marTop w:val="0"/>
          <w:marBottom w:val="0"/>
          <w:divBdr>
            <w:top w:val="none" w:sz="0" w:space="0" w:color="auto"/>
            <w:left w:val="none" w:sz="0" w:space="0" w:color="auto"/>
            <w:bottom w:val="none" w:sz="0" w:space="0" w:color="auto"/>
            <w:right w:val="none" w:sz="0" w:space="0" w:color="auto"/>
          </w:divBdr>
        </w:div>
        <w:div w:id="790245726">
          <w:marLeft w:val="640"/>
          <w:marRight w:val="0"/>
          <w:marTop w:val="0"/>
          <w:marBottom w:val="0"/>
          <w:divBdr>
            <w:top w:val="none" w:sz="0" w:space="0" w:color="auto"/>
            <w:left w:val="none" w:sz="0" w:space="0" w:color="auto"/>
            <w:bottom w:val="none" w:sz="0" w:space="0" w:color="auto"/>
            <w:right w:val="none" w:sz="0" w:space="0" w:color="auto"/>
          </w:divBdr>
        </w:div>
        <w:div w:id="27026228">
          <w:marLeft w:val="640"/>
          <w:marRight w:val="0"/>
          <w:marTop w:val="0"/>
          <w:marBottom w:val="0"/>
          <w:divBdr>
            <w:top w:val="none" w:sz="0" w:space="0" w:color="auto"/>
            <w:left w:val="none" w:sz="0" w:space="0" w:color="auto"/>
            <w:bottom w:val="none" w:sz="0" w:space="0" w:color="auto"/>
            <w:right w:val="none" w:sz="0" w:space="0" w:color="auto"/>
          </w:divBdr>
        </w:div>
        <w:div w:id="1863277470">
          <w:marLeft w:val="640"/>
          <w:marRight w:val="0"/>
          <w:marTop w:val="0"/>
          <w:marBottom w:val="0"/>
          <w:divBdr>
            <w:top w:val="none" w:sz="0" w:space="0" w:color="auto"/>
            <w:left w:val="none" w:sz="0" w:space="0" w:color="auto"/>
            <w:bottom w:val="none" w:sz="0" w:space="0" w:color="auto"/>
            <w:right w:val="none" w:sz="0" w:space="0" w:color="auto"/>
          </w:divBdr>
        </w:div>
        <w:div w:id="1654749044">
          <w:marLeft w:val="640"/>
          <w:marRight w:val="0"/>
          <w:marTop w:val="0"/>
          <w:marBottom w:val="0"/>
          <w:divBdr>
            <w:top w:val="none" w:sz="0" w:space="0" w:color="auto"/>
            <w:left w:val="none" w:sz="0" w:space="0" w:color="auto"/>
            <w:bottom w:val="none" w:sz="0" w:space="0" w:color="auto"/>
            <w:right w:val="none" w:sz="0" w:space="0" w:color="auto"/>
          </w:divBdr>
        </w:div>
        <w:div w:id="1128351885">
          <w:marLeft w:val="640"/>
          <w:marRight w:val="0"/>
          <w:marTop w:val="0"/>
          <w:marBottom w:val="0"/>
          <w:divBdr>
            <w:top w:val="none" w:sz="0" w:space="0" w:color="auto"/>
            <w:left w:val="none" w:sz="0" w:space="0" w:color="auto"/>
            <w:bottom w:val="none" w:sz="0" w:space="0" w:color="auto"/>
            <w:right w:val="none" w:sz="0" w:space="0" w:color="auto"/>
          </w:divBdr>
        </w:div>
        <w:div w:id="1826893398">
          <w:marLeft w:val="640"/>
          <w:marRight w:val="0"/>
          <w:marTop w:val="0"/>
          <w:marBottom w:val="0"/>
          <w:divBdr>
            <w:top w:val="none" w:sz="0" w:space="0" w:color="auto"/>
            <w:left w:val="none" w:sz="0" w:space="0" w:color="auto"/>
            <w:bottom w:val="none" w:sz="0" w:space="0" w:color="auto"/>
            <w:right w:val="none" w:sz="0" w:space="0" w:color="auto"/>
          </w:divBdr>
        </w:div>
        <w:div w:id="840007102">
          <w:marLeft w:val="640"/>
          <w:marRight w:val="0"/>
          <w:marTop w:val="0"/>
          <w:marBottom w:val="0"/>
          <w:divBdr>
            <w:top w:val="none" w:sz="0" w:space="0" w:color="auto"/>
            <w:left w:val="none" w:sz="0" w:space="0" w:color="auto"/>
            <w:bottom w:val="none" w:sz="0" w:space="0" w:color="auto"/>
            <w:right w:val="none" w:sz="0" w:space="0" w:color="auto"/>
          </w:divBdr>
        </w:div>
        <w:div w:id="547688358">
          <w:marLeft w:val="640"/>
          <w:marRight w:val="0"/>
          <w:marTop w:val="0"/>
          <w:marBottom w:val="0"/>
          <w:divBdr>
            <w:top w:val="none" w:sz="0" w:space="0" w:color="auto"/>
            <w:left w:val="none" w:sz="0" w:space="0" w:color="auto"/>
            <w:bottom w:val="none" w:sz="0" w:space="0" w:color="auto"/>
            <w:right w:val="none" w:sz="0" w:space="0" w:color="auto"/>
          </w:divBdr>
        </w:div>
        <w:div w:id="1690838308">
          <w:marLeft w:val="640"/>
          <w:marRight w:val="0"/>
          <w:marTop w:val="0"/>
          <w:marBottom w:val="0"/>
          <w:divBdr>
            <w:top w:val="none" w:sz="0" w:space="0" w:color="auto"/>
            <w:left w:val="none" w:sz="0" w:space="0" w:color="auto"/>
            <w:bottom w:val="none" w:sz="0" w:space="0" w:color="auto"/>
            <w:right w:val="none" w:sz="0" w:space="0" w:color="auto"/>
          </w:divBdr>
        </w:div>
        <w:div w:id="1665277111">
          <w:marLeft w:val="640"/>
          <w:marRight w:val="0"/>
          <w:marTop w:val="0"/>
          <w:marBottom w:val="0"/>
          <w:divBdr>
            <w:top w:val="none" w:sz="0" w:space="0" w:color="auto"/>
            <w:left w:val="none" w:sz="0" w:space="0" w:color="auto"/>
            <w:bottom w:val="none" w:sz="0" w:space="0" w:color="auto"/>
            <w:right w:val="none" w:sz="0" w:space="0" w:color="auto"/>
          </w:divBdr>
        </w:div>
        <w:div w:id="868833241">
          <w:marLeft w:val="640"/>
          <w:marRight w:val="0"/>
          <w:marTop w:val="0"/>
          <w:marBottom w:val="0"/>
          <w:divBdr>
            <w:top w:val="none" w:sz="0" w:space="0" w:color="auto"/>
            <w:left w:val="none" w:sz="0" w:space="0" w:color="auto"/>
            <w:bottom w:val="none" w:sz="0" w:space="0" w:color="auto"/>
            <w:right w:val="none" w:sz="0" w:space="0" w:color="auto"/>
          </w:divBdr>
        </w:div>
        <w:div w:id="1163813704">
          <w:marLeft w:val="640"/>
          <w:marRight w:val="0"/>
          <w:marTop w:val="0"/>
          <w:marBottom w:val="0"/>
          <w:divBdr>
            <w:top w:val="none" w:sz="0" w:space="0" w:color="auto"/>
            <w:left w:val="none" w:sz="0" w:space="0" w:color="auto"/>
            <w:bottom w:val="none" w:sz="0" w:space="0" w:color="auto"/>
            <w:right w:val="none" w:sz="0" w:space="0" w:color="auto"/>
          </w:divBdr>
        </w:div>
        <w:div w:id="1661469283">
          <w:marLeft w:val="640"/>
          <w:marRight w:val="0"/>
          <w:marTop w:val="0"/>
          <w:marBottom w:val="0"/>
          <w:divBdr>
            <w:top w:val="none" w:sz="0" w:space="0" w:color="auto"/>
            <w:left w:val="none" w:sz="0" w:space="0" w:color="auto"/>
            <w:bottom w:val="none" w:sz="0" w:space="0" w:color="auto"/>
            <w:right w:val="none" w:sz="0" w:space="0" w:color="auto"/>
          </w:divBdr>
        </w:div>
        <w:div w:id="663902114">
          <w:marLeft w:val="640"/>
          <w:marRight w:val="0"/>
          <w:marTop w:val="0"/>
          <w:marBottom w:val="0"/>
          <w:divBdr>
            <w:top w:val="none" w:sz="0" w:space="0" w:color="auto"/>
            <w:left w:val="none" w:sz="0" w:space="0" w:color="auto"/>
            <w:bottom w:val="none" w:sz="0" w:space="0" w:color="auto"/>
            <w:right w:val="none" w:sz="0" w:space="0" w:color="auto"/>
          </w:divBdr>
        </w:div>
        <w:div w:id="2019381598">
          <w:marLeft w:val="640"/>
          <w:marRight w:val="0"/>
          <w:marTop w:val="0"/>
          <w:marBottom w:val="0"/>
          <w:divBdr>
            <w:top w:val="none" w:sz="0" w:space="0" w:color="auto"/>
            <w:left w:val="none" w:sz="0" w:space="0" w:color="auto"/>
            <w:bottom w:val="none" w:sz="0" w:space="0" w:color="auto"/>
            <w:right w:val="none" w:sz="0" w:space="0" w:color="auto"/>
          </w:divBdr>
        </w:div>
        <w:div w:id="909459815">
          <w:marLeft w:val="640"/>
          <w:marRight w:val="0"/>
          <w:marTop w:val="0"/>
          <w:marBottom w:val="0"/>
          <w:divBdr>
            <w:top w:val="none" w:sz="0" w:space="0" w:color="auto"/>
            <w:left w:val="none" w:sz="0" w:space="0" w:color="auto"/>
            <w:bottom w:val="none" w:sz="0" w:space="0" w:color="auto"/>
            <w:right w:val="none" w:sz="0" w:space="0" w:color="auto"/>
          </w:divBdr>
        </w:div>
        <w:div w:id="408893956">
          <w:marLeft w:val="640"/>
          <w:marRight w:val="0"/>
          <w:marTop w:val="0"/>
          <w:marBottom w:val="0"/>
          <w:divBdr>
            <w:top w:val="none" w:sz="0" w:space="0" w:color="auto"/>
            <w:left w:val="none" w:sz="0" w:space="0" w:color="auto"/>
            <w:bottom w:val="none" w:sz="0" w:space="0" w:color="auto"/>
            <w:right w:val="none" w:sz="0" w:space="0" w:color="auto"/>
          </w:divBdr>
        </w:div>
        <w:div w:id="1456173169">
          <w:marLeft w:val="640"/>
          <w:marRight w:val="0"/>
          <w:marTop w:val="0"/>
          <w:marBottom w:val="0"/>
          <w:divBdr>
            <w:top w:val="none" w:sz="0" w:space="0" w:color="auto"/>
            <w:left w:val="none" w:sz="0" w:space="0" w:color="auto"/>
            <w:bottom w:val="none" w:sz="0" w:space="0" w:color="auto"/>
            <w:right w:val="none" w:sz="0" w:space="0" w:color="auto"/>
          </w:divBdr>
        </w:div>
        <w:div w:id="1456632797">
          <w:marLeft w:val="640"/>
          <w:marRight w:val="0"/>
          <w:marTop w:val="0"/>
          <w:marBottom w:val="0"/>
          <w:divBdr>
            <w:top w:val="none" w:sz="0" w:space="0" w:color="auto"/>
            <w:left w:val="none" w:sz="0" w:space="0" w:color="auto"/>
            <w:bottom w:val="none" w:sz="0" w:space="0" w:color="auto"/>
            <w:right w:val="none" w:sz="0" w:space="0" w:color="auto"/>
          </w:divBdr>
        </w:div>
        <w:div w:id="515537283">
          <w:marLeft w:val="640"/>
          <w:marRight w:val="0"/>
          <w:marTop w:val="0"/>
          <w:marBottom w:val="0"/>
          <w:divBdr>
            <w:top w:val="none" w:sz="0" w:space="0" w:color="auto"/>
            <w:left w:val="none" w:sz="0" w:space="0" w:color="auto"/>
            <w:bottom w:val="none" w:sz="0" w:space="0" w:color="auto"/>
            <w:right w:val="none" w:sz="0" w:space="0" w:color="auto"/>
          </w:divBdr>
        </w:div>
        <w:div w:id="1234659073">
          <w:marLeft w:val="640"/>
          <w:marRight w:val="0"/>
          <w:marTop w:val="0"/>
          <w:marBottom w:val="0"/>
          <w:divBdr>
            <w:top w:val="none" w:sz="0" w:space="0" w:color="auto"/>
            <w:left w:val="none" w:sz="0" w:space="0" w:color="auto"/>
            <w:bottom w:val="none" w:sz="0" w:space="0" w:color="auto"/>
            <w:right w:val="none" w:sz="0" w:space="0" w:color="auto"/>
          </w:divBdr>
        </w:div>
        <w:div w:id="711079365">
          <w:marLeft w:val="640"/>
          <w:marRight w:val="0"/>
          <w:marTop w:val="0"/>
          <w:marBottom w:val="0"/>
          <w:divBdr>
            <w:top w:val="none" w:sz="0" w:space="0" w:color="auto"/>
            <w:left w:val="none" w:sz="0" w:space="0" w:color="auto"/>
            <w:bottom w:val="none" w:sz="0" w:space="0" w:color="auto"/>
            <w:right w:val="none" w:sz="0" w:space="0" w:color="auto"/>
          </w:divBdr>
        </w:div>
        <w:div w:id="1576865574">
          <w:marLeft w:val="640"/>
          <w:marRight w:val="0"/>
          <w:marTop w:val="0"/>
          <w:marBottom w:val="0"/>
          <w:divBdr>
            <w:top w:val="none" w:sz="0" w:space="0" w:color="auto"/>
            <w:left w:val="none" w:sz="0" w:space="0" w:color="auto"/>
            <w:bottom w:val="none" w:sz="0" w:space="0" w:color="auto"/>
            <w:right w:val="none" w:sz="0" w:space="0" w:color="auto"/>
          </w:divBdr>
        </w:div>
        <w:div w:id="752582146">
          <w:marLeft w:val="640"/>
          <w:marRight w:val="0"/>
          <w:marTop w:val="0"/>
          <w:marBottom w:val="0"/>
          <w:divBdr>
            <w:top w:val="none" w:sz="0" w:space="0" w:color="auto"/>
            <w:left w:val="none" w:sz="0" w:space="0" w:color="auto"/>
            <w:bottom w:val="none" w:sz="0" w:space="0" w:color="auto"/>
            <w:right w:val="none" w:sz="0" w:space="0" w:color="auto"/>
          </w:divBdr>
        </w:div>
        <w:div w:id="778526822">
          <w:marLeft w:val="640"/>
          <w:marRight w:val="0"/>
          <w:marTop w:val="0"/>
          <w:marBottom w:val="0"/>
          <w:divBdr>
            <w:top w:val="none" w:sz="0" w:space="0" w:color="auto"/>
            <w:left w:val="none" w:sz="0" w:space="0" w:color="auto"/>
            <w:bottom w:val="none" w:sz="0" w:space="0" w:color="auto"/>
            <w:right w:val="none" w:sz="0" w:space="0" w:color="auto"/>
          </w:divBdr>
        </w:div>
        <w:div w:id="1073157498">
          <w:marLeft w:val="640"/>
          <w:marRight w:val="0"/>
          <w:marTop w:val="0"/>
          <w:marBottom w:val="0"/>
          <w:divBdr>
            <w:top w:val="none" w:sz="0" w:space="0" w:color="auto"/>
            <w:left w:val="none" w:sz="0" w:space="0" w:color="auto"/>
            <w:bottom w:val="none" w:sz="0" w:space="0" w:color="auto"/>
            <w:right w:val="none" w:sz="0" w:space="0" w:color="auto"/>
          </w:divBdr>
        </w:div>
        <w:div w:id="13381448">
          <w:marLeft w:val="640"/>
          <w:marRight w:val="0"/>
          <w:marTop w:val="0"/>
          <w:marBottom w:val="0"/>
          <w:divBdr>
            <w:top w:val="none" w:sz="0" w:space="0" w:color="auto"/>
            <w:left w:val="none" w:sz="0" w:space="0" w:color="auto"/>
            <w:bottom w:val="none" w:sz="0" w:space="0" w:color="auto"/>
            <w:right w:val="none" w:sz="0" w:space="0" w:color="auto"/>
          </w:divBdr>
        </w:div>
        <w:div w:id="2131317841">
          <w:marLeft w:val="640"/>
          <w:marRight w:val="0"/>
          <w:marTop w:val="0"/>
          <w:marBottom w:val="0"/>
          <w:divBdr>
            <w:top w:val="none" w:sz="0" w:space="0" w:color="auto"/>
            <w:left w:val="none" w:sz="0" w:space="0" w:color="auto"/>
            <w:bottom w:val="none" w:sz="0" w:space="0" w:color="auto"/>
            <w:right w:val="none" w:sz="0" w:space="0" w:color="auto"/>
          </w:divBdr>
        </w:div>
        <w:div w:id="1114441689">
          <w:marLeft w:val="640"/>
          <w:marRight w:val="0"/>
          <w:marTop w:val="0"/>
          <w:marBottom w:val="0"/>
          <w:divBdr>
            <w:top w:val="none" w:sz="0" w:space="0" w:color="auto"/>
            <w:left w:val="none" w:sz="0" w:space="0" w:color="auto"/>
            <w:bottom w:val="none" w:sz="0" w:space="0" w:color="auto"/>
            <w:right w:val="none" w:sz="0" w:space="0" w:color="auto"/>
          </w:divBdr>
        </w:div>
        <w:div w:id="711151023">
          <w:marLeft w:val="640"/>
          <w:marRight w:val="0"/>
          <w:marTop w:val="0"/>
          <w:marBottom w:val="0"/>
          <w:divBdr>
            <w:top w:val="none" w:sz="0" w:space="0" w:color="auto"/>
            <w:left w:val="none" w:sz="0" w:space="0" w:color="auto"/>
            <w:bottom w:val="none" w:sz="0" w:space="0" w:color="auto"/>
            <w:right w:val="none" w:sz="0" w:space="0" w:color="auto"/>
          </w:divBdr>
        </w:div>
        <w:div w:id="1054230335">
          <w:marLeft w:val="640"/>
          <w:marRight w:val="0"/>
          <w:marTop w:val="0"/>
          <w:marBottom w:val="0"/>
          <w:divBdr>
            <w:top w:val="none" w:sz="0" w:space="0" w:color="auto"/>
            <w:left w:val="none" w:sz="0" w:space="0" w:color="auto"/>
            <w:bottom w:val="none" w:sz="0" w:space="0" w:color="auto"/>
            <w:right w:val="none" w:sz="0" w:space="0" w:color="auto"/>
          </w:divBdr>
        </w:div>
        <w:div w:id="1497695077">
          <w:marLeft w:val="640"/>
          <w:marRight w:val="0"/>
          <w:marTop w:val="0"/>
          <w:marBottom w:val="0"/>
          <w:divBdr>
            <w:top w:val="none" w:sz="0" w:space="0" w:color="auto"/>
            <w:left w:val="none" w:sz="0" w:space="0" w:color="auto"/>
            <w:bottom w:val="none" w:sz="0" w:space="0" w:color="auto"/>
            <w:right w:val="none" w:sz="0" w:space="0" w:color="auto"/>
          </w:divBdr>
        </w:div>
        <w:div w:id="1409958548">
          <w:marLeft w:val="640"/>
          <w:marRight w:val="0"/>
          <w:marTop w:val="0"/>
          <w:marBottom w:val="0"/>
          <w:divBdr>
            <w:top w:val="none" w:sz="0" w:space="0" w:color="auto"/>
            <w:left w:val="none" w:sz="0" w:space="0" w:color="auto"/>
            <w:bottom w:val="none" w:sz="0" w:space="0" w:color="auto"/>
            <w:right w:val="none" w:sz="0" w:space="0" w:color="auto"/>
          </w:divBdr>
        </w:div>
        <w:div w:id="1074015194">
          <w:marLeft w:val="640"/>
          <w:marRight w:val="0"/>
          <w:marTop w:val="0"/>
          <w:marBottom w:val="0"/>
          <w:divBdr>
            <w:top w:val="none" w:sz="0" w:space="0" w:color="auto"/>
            <w:left w:val="none" w:sz="0" w:space="0" w:color="auto"/>
            <w:bottom w:val="none" w:sz="0" w:space="0" w:color="auto"/>
            <w:right w:val="none" w:sz="0" w:space="0" w:color="auto"/>
          </w:divBdr>
        </w:div>
        <w:div w:id="1480687229">
          <w:marLeft w:val="640"/>
          <w:marRight w:val="0"/>
          <w:marTop w:val="0"/>
          <w:marBottom w:val="0"/>
          <w:divBdr>
            <w:top w:val="none" w:sz="0" w:space="0" w:color="auto"/>
            <w:left w:val="none" w:sz="0" w:space="0" w:color="auto"/>
            <w:bottom w:val="none" w:sz="0" w:space="0" w:color="auto"/>
            <w:right w:val="none" w:sz="0" w:space="0" w:color="auto"/>
          </w:divBdr>
        </w:div>
        <w:div w:id="1096286722">
          <w:marLeft w:val="640"/>
          <w:marRight w:val="0"/>
          <w:marTop w:val="0"/>
          <w:marBottom w:val="0"/>
          <w:divBdr>
            <w:top w:val="none" w:sz="0" w:space="0" w:color="auto"/>
            <w:left w:val="none" w:sz="0" w:space="0" w:color="auto"/>
            <w:bottom w:val="none" w:sz="0" w:space="0" w:color="auto"/>
            <w:right w:val="none" w:sz="0" w:space="0" w:color="auto"/>
          </w:divBdr>
        </w:div>
        <w:div w:id="2132505868">
          <w:marLeft w:val="640"/>
          <w:marRight w:val="0"/>
          <w:marTop w:val="0"/>
          <w:marBottom w:val="0"/>
          <w:divBdr>
            <w:top w:val="none" w:sz="0" w:space="0" w:color="auto"/>
            <w:left w:val="none" w:sz="0" w:space="0" w:color="auto"/>
            <w:bottom w:val="none" w:sz="0" w:space="0" w:color="auto"/>
            <w:right w:val="none" w:sz="0" w:space="0" w:color="auto"/>
          </w:divBdr>
        </w:div>
        <w:div w:id="1899168849">
          <w:marLeft w:val="640"/>
          <w:marRight w:val="0"/>
          <w:marTop w:val="0"/>
          <w:marBottom w:val="0"/>
          <w:divBdr>
            <w:top w:val="none" w:sz="0" w:space="0" w:color="auto"/>
            <w:left w:val="none" w:sz="0" w:space="0" w:color="auto"/>
            <w:bottom w:val="none" w:sz="0" w:space="0" w:color="auto"/>
            <w:right w:val="none" w:sz="0" w:space="0" w:color="auto"/>
          </w:divBdr>
        </w:div>
        <w:div w:id="599721597">
          <w:marLeft w:val="640"/>
          <w:marRight w:val="0"/>
          <w:marTop w:val="0"/>
          <w:marBottom w:val="0"/>
          <w:divBdr>
            <w:top w:val="none" w:sz="0" w:space="0" w:color="auto"/>
            <w:left w:val="none" w:sz="0" w:space="0" w:color="auto"/>
            <w:bottom w:val="none" w:sz="0" w:space="0" w:color="auto"/>
            <w:right w:val="none" w:sz="0" w:space="0" w:color="auto"/>
          </w:divBdr>
        </w:div>
        <w:div w:id="1832401592">
          <w:marLeft w:val="640"/>
          <w:marRight w:val="0"/>
          <w:marTop w:val="0"/>
          <w:marBottom w:val="0"/>
          <w:divBdr>
            <w:top w:val="none" w:sz="0" w:space="0" w:color="auto"/>
            <w:left w:val="none" w:sz="0" w:space="0" w:color="auto"/>
            <w:bottom w:val="none" w:sz="0" w:space="0" w:color="auto"/>
            <w:right w:val="none" w:sz="0" w:space="0" w:color="auto"/>
          </w:divBdr>
        </w:div>
        <w:div w:id="744256873">
          <w:marLeft w:val="640"/>
          <w:marRight w:val="0"/>
          <w:marTop w:val="0"/>
          <w:marBottom w:val="0"/>
          <w:divBdr>
            <w:top w:val="none" w:sz="0" w:space="0" w:color="auto"/>
            <w:left w:val="none" w:sz="0" w:space="0" w:color="auto"/>
            <w:bottom w:val="none" w:sz="0" w:space="0" w:color="auto"/>
            <w:right w:val="none" w:sz="0" w:space="0" w:color="auto"/>
          </w:divBdr>
        </w:div>
        <w:div w:id="2041667347">
          <w:marLeft w:val="640"/>
          <w:marRight w:val="0"/>
          <w:marTop w:val="0"/>
          <w:marBottom w:val="0"/>
          <w:divBdr>
            <w:top w:val="none" w:sz="0" w:space="0" w:color="auto"/>
            <w:left w:val="none" w:sz="0" w:space="0" w:color="auto"/>
            <w:bottom w:val="none" w:sz="0" w:space="0" w:color="auto"/>
            <w:right w:val="none" w:sz="0" w:space="0" w:color="auto"/>
          </w:divBdr>
        </w:div>
        <w:div w:id="2112429196">
          <w:marLeft w:val="640"/>
          <w:marRight w:val="0"/>
          <w:marTop w:val="0"/>
          <w:marBottom w:val="0"/>
          <w:divBdr>
            <w:top w:val="none" w:sz="0" w:space="0" w:color="auto"/>
            <w:left w:val="none" w:sz="0" w:space="0" w:color="auto"/>
            <w:bottom w:val="none" w:sz="0" w:space="0" w:color="auto"/>
            <w:right w:val="none" w:sz="0" w:space="0" w:color="auto"/>
          </w:divBdr>
        </w:div>
        <w:div w:id="978536256">
          <w:marLeft w:val="640"/>
          <w:marRight w:val="0"/>
          <w:marTop w:val="0"/>
          <w:marBottom w:val="0"/>
          <w:divBdr>
            <w:top w:val="none" w:sz="0" w:space="0" w:color="auto"/>
            <w:left w:val="none" w:sz="0" w:space="0" w:color="auto"/>
            <w:bottom w:val="none" w:sz="0" w:space="0" w:color="auto"/>
            <w:right w:val="none" w:sz="0" w:space="0" w:color="auto"/>
          </w:divBdr>
        </w:div>
        <w:div w:id="1847358818">
          <w:marLeft w:val="640"/>
          <w:marRight w:val="0"/>
          <w:marTop w:val="0"/>
          <w:marBottom w:val="0"/>
          <w:divBdr>
            <w:top w:val="none" w:sz="0" w:space="0" w:color="auto"/>
            <w:left w:val="none" w:sz="0" w:space="0" w:color="auto"/>
            <w:bottom w:val="none" w:sz="0" w:space="0" w:color="auto"/>
            <w:right w:val="none" w:sz="0" w:space="0" w:color="auto"/>
          </w:divBdr>
        </w:div>
        <w:div w:id="1592161944">
          <w:marLeft w:val="640"/>
          <w:marRight w:val="0"/>
          <w:marTop w:val="0"/>
          <w:marBottom w:val="0"/>
          <w:divBdr>
            <w:top w:val="none" w:sz="0" w:space="0" w:color="auto"/>
            <w:left w:val="none" w:sz="0" w:space="0" w:color="auto"/>
            <w:bottom w:val="none" w:sz="0" w:space="0" w:color="auto"/>
            <w:right w:val="none" w:sz="0" w:space="0" w:color="auto"/>
          </w:divBdr>
        </w:div>
        <w:div w:id="1300456338">
          <w:marLeft w:val="640"/>
          <w:marRight w:val="0"/>
          <w:marTop w:val="0"/>
          <w:marBottom w:val="0"/>
          <w:divBdr>
            <w:top w:val="none" w:sz="0" w:space="0" w:color="auto"/>
            <w:left w:val="none" w:sz="0" w:space="0" w:color="auto"/>
            <w:bottom w:val="none" w:sz="0" w:space="0" w:color="auto"/>
            <w:right w:val="none" w:sz="0" w:space="0" w:color="auto"/>
          </w:divBdr>
        </w:div>
        <w:div w:id="1961648375">
          <w:marLeft w:val="640"/>
          <w:marRight w:val="0"/>
          <w:marTop w:val="0"/>
          <w:marBottom w:val="0"/>
          <w:divBdr>
            <w:top w:val="none" w:sz="0" w:space="0" w:color="auto"/>
            <w:left w:val="none" w:sz="0" w:space="0" w:color="auto"/>
            <w:bottom w:val="none" w:sz="0" w:space="0" w:color="auto"/>
            <w:right w:val="none" w:sz="0" w:space="0" w:color="auto"/>
          </w:divBdr>
        </w:div>
        <w:div w:id="94450728">
          <w:marLeft w:val="640"/>
          <w:marRight w:val="0"/>
          <w:marTop w:val="0"/>
          <w:marBottom w:val="0"/>
          <w:divBdr>
            <w:top w:val="none" w:sz="0" w:space="0" w:color="auto"/>
            <w:left w:val="none" w:sz="0" w:space="0" w:color="auto"/>
            <w:bottom w:val="none" w:sz="0" w:space="0" w:color="auto"/>
            <w:right w:val="none" w:sz="0" w:space="0" w:color="auto"/>
          </w:divBdr>
        </w:div>
        <w:div w:id="2049404754">
          <w:marLeft w:val="640"/>
          <w:marRight w:val="0"/>
          <w:marTop w:val="0"/>
          <w:marBottom w:val="0"/>
          <w:divBdr>
            <w:top w:val="none" w:sz="0" w:space="0" w:color="auto"/>
            <w:left w:val="none" w:sz="0" w:space="0" w:color="auto"/>
            <w:bottom w:val="none" w:sz="0" w:space="0" w:color="auto"/>
            <w:right w:val="none" w:sz="0" w:space="0" w:color="auto"/>
          </w:divBdr>
        </w:div>
        <w:div w:id="1350328521">
          <w:marLeft w:val="640"/>
          <w:marRight w:val="0"/>
          <w:marTop w:val="0"/>
          <w:marBottom w:val="0"/>
          <w:divBdr>
            <w:top w:val="none" w:sz="0" w:space="0" w:color="auto"/>
            <w:left w:val="none" w:sz="0" w:space="0" w:color="auto"/>
            <w:bottom w:val="none" w:sz="0" w:space="0" w:color="auto"/>
            <w:right w:val="none" w:sz="0" w:space="0" w:color="auto"/>
          </w:divBdr>
        </w:div>
        <w:div w:id="333186069">
          <w:marLeft w:val="640"/>
          <w:marRight w:val="0"/>
          <w:marTop w:val="0"/>
          <w:marBottom w:val="0"/>
          <w:divBdr>
            <w:top w:val="none" w:sz="0" w:space="0" w:color="auto"/>
            <w:left w:val="none" w:sz="0" w:space="0" w:color="auto"/>
            <w:bottom w:val="none" w:sz="0" w:space="0" w:color="auto"/>
            <w:right w:val="none" w:sz="0" w:space="0" w:color="auto"/>
          </w:divBdr>
        </w:div>
        <w:div w:id="636450259">
          <w:marLeft w:val="640"/>
          <w:marRight w:val="0"/>
          <w:marTop w:val="0"/>
          <w:marBottom w:val="0"/>
          <w:divBdr>
            <w:top w:val="none" w:sz="0" w:space="0" w:color="auto"/>
            <w:left w:val="none" w:sz="0" w:space="0" w:color="auto"/>
            <w:bottom w:val="none" w:sz="0" w:space="0" w:color="auto"/>
            <w:right w:val="none" w:sz="0" w:space="0" w:color="auto"/>
          </w:divBdr>
        </w:div>
        <w:div w:id="983387739">
          <w:marLeft w:val="640"/>
          <w:marRight w:val="0"/>
          <w:marTop w:val="0"/>
          <w:marBottom w:val="0"/>
          <w:divBdr>
            <w:top w:val="none" w:sz="0" w:space="0" w:color="auto"/>
            <w:left w:val="none" w:sz="0" w:space="0" w:color="auto"/>
            <w:bottom w:val="none" w:sz="0" w:space="0" w:color="auto"/>
            <w:right w:val="none" w:sz="0" w:space="0" w:color="auto"/>
          </w:divBdr>
        </w:div>
        <w:div w:id="179391416">
          <w:marLeft w:val="640"/>
          <w:marRight w:val="0"/>
          <w:marTop w:val="0"/>
          <w:marBottom w:val="0"/>
          <w:divBdr>
            <w:top w:val="none" w:sz="0" w:space="0" w:color="auto"/>
            <w:left w:val="none" w:sz="0" w:space="0" w:color="auto"/>
            <w:bottom w:val="none" w:sz="0" w:space="0" w:color="auto"/>
            <w:right w:val="none" w:sz="0" w:space="0" w:color="auto"/>
          </w:divBdr>
        </w:div>
        <w:div w:id="1657104907">
          <w:marLeft w:val="640"/>
          <w:marRight w:val="0"/>
          <w:marTop w:val="0"/>
          <w:marBottom w:val="0"/>
          <w:divBdr>
            <w:top w:val="none" w:sz="0" w:space="0" w:color="auto"/>
            <w:left w:val="none" w:sz="0" w:space="0" w:color="auto"/>
            <w:bottom w:val="none" w:sz="0" w:space="0" w:color="auto"/>
            <w:right w:val="none" w:sz="0" w:space="0" w:color="auto"/>
          </w:divBdr>
        </w:div>
        <w:div w:id="1211070276">
          <w:marLeft w:val="640"/>
          <w:marRight w:val="0"/>
          <w:marTop w:val="0"/>
          <w:marBottom w:val="0"/>
          <w:divBdr>
            <w:top w:val="none" w:sz="0" w:space="0" w:color="auto"/>
            <w:left w:val="none" w:sz="0" w:space="0" w:color="auto"/>
            <w:bottom w:val="none" w:sz="0" w:space="0" w:color="auto"/>
            <w:right w:val="none" w:sz="0" w:space="0" w:color="auto"/>
          </w:divBdr>
        </w:div>
        <w:div w:id="565727229">
          <w:marLeft w:val="640"/>
          <w:marRight w:val="0"/>
          <w:marTop w:val="0"/>
          <w:marBottom w:val="0"/>
          <w:divBdr>
            <w:top w:val="none" w:sz="0" w:space="0" w:color="auto"/>
            <w:left w:val="none" w:sz="0" w:space="0" w:color="auto"/>
            <w:bottom w:val="none" w:sz="0" w:space="0" w:color="auto"/>
            <w:right w:val="none" w:sz="0" w:space="0" w:color="auto"/>
          </w:divBdr>
        </w:div>
        <w:div w:id="793014301">
          <w:marLeft w:val="640"/>
          <w:marRight w:val="0"/>
          <w:marTop w:val="0"/>
          <w:marBottom w:val="0"/>
          <w:divBdr>
            <w:top w:val="none" w:sz="0" w:space="0" w:color="auto"/>
            <w:left w:val="none" w:sz="0" w:space="0" w:color="auto"/>
            <w:bottom w:val="none" w:sz="0" w:space="0" w:color="auto"/>
            <w:right w:val="none" w:sz="0" w:space="0" w:color="auto"/>
          </w:divBdr>
        </w:div>
        <w:div w:id="611473327">
          <w:marLeft w:val="640"/>
          <w:marRight w:val="0"/>
          <w:marTop w:val="0"/>
          <w:marBottom w:val="0"/>
          <w:divBdr>
            <w:top w:val="none" w:sz="0" w:space="0" w:color="auto"/>
            <w:left w:val="none" w:sz="0" w:space="0" w:color="auto"/>
            <w:bottom w:val="none" w:sz="0" w:space="0" w:color="auto"/>
            <w:right w:val="none" w:sz="0" w:space="0" w:color="auto"/>
          </w:divBdr>
        </w:div>
        <w:div w:id="1811088930">
          <w:marLeft w:val="640"/>
          <w:marRight w:val="0"/>
          <w:marTop w:val="0"/>
          <w:marBottom w:val="0"/>
          <w:divBdr>
            <w:top w:val="none" w:sz="0" w:space="0" w:color="auto"/>
            <w:left w:val="none" w:sz="0" w:space="0" w:color="auto"/>
            <w:bottom w:val="none" w:sz="0" w:space="0" w:color="auto"/>
            <w:right w:val="none" w:sz="0" w:space="0" w:color="auto"/>
          </w:divBdr>
        </w:div>
        <w:div w:id="1555963679">
          <w:marLeft w:val="640"/>
          <w:marRight w:val="0"/>
          <w:marTop w:val="0"/>
          <w:marBottom w:val="0"/>
          <w:divBdr>
            <w:top w:val="none" w:sz="0" w:space="0" w:color="auto"/>
            <w:left w:val="none" w:sz="0" w:space="0" w:color="auto"/>
            <w:bottom w:val="none" w:sz="0" w:space="0" w:color="auto"/>
            <w:right w:val="none" w:sz="0" w:space="0" w:color="auto"/>
          </w:divBdr>
        </w:div>
        <w:div w:id="1931767210">
          <w:marLeft w:val="640"/>
          <w:marRight w:val="0"/>
          <w:marTop w:val="0"/>
          <w:marBottom w:val="0"/>
          <w:divBdr>
            <w:top w:val="none" w:sz="0" w:space="0" w:color="auto"/>
            <w:left w:val="none" w:sz="0" w:space="0" w:color="auto"/>
            <w:bottom w:val="none" w:sz="0" w:space="0" w:color="auto"/>
            <w:right w:val="none" w:sz="0" w:space="0" w:color="auto"/>
          </w:divBdr>
        </w:div>
        <w:div w:id="1090085492">
          <w:marLeft w:val="640"/>
          <w:marRight w:val="0"/>
          <w:marTop w:val="0"/>
          <w:marBottom w:val="0"/>
          <w:divBdr>
            <w:top w:val="none" w:sz="0" w:space="0" w:color="auto"/>
            <w:left w:val="none" w:sz="0" w:space="0" w:color="auto"/>
            <w:bottom w:val="none" w:sz="0" w:space="0" w:color="auto"/>
            <w:right w:val="none" w:sz="0" w:space="0" w:color="auto"/>
          </w:divBdr>
        </w:div>
        <w:div w:id="329916199">
          <w:marLeft w:val="640"/>
          <w:marRight w:val="0"/>
          <w:marTop w:val="0"/>
          <w:marBottom w:val="0"/>
          <w:divBdr>
            <w:top w:val="none" w:sz="0" w:space="0" w:color="auto"/>
            <w:left w:val="none" w:sz="0" w:space="0" w:color="auto"/>
            <w:bottom w:val="none" w:sz="0" w:space="0" w:color="auto"/>
            <w:right w:val="none" w:sz="0" w:space="0" w:color="auto"/>
          </w:divBdr>
        </w:div>
        <w:div w:id="1052120127">
          <w:marLeft w:val="640"/>
          <w:marRight w:val="0"/>
          <w:marTop w:val="0"/>
          <w:marBottom w:val="0"/>
          <w:divBdr>
            <w:top w:val="none" w:sz="0" w:space="0" w:color="auto"/>
            <w:left w:val="none" w:sz="0" w:space="0" w:color="auto"/>
            <w:bottom w:val="none" w:sz="0" w:space="0" w:color="auto"/>
            <w:right w:val="none" w:sz="0" w:space="0" w:color="auto"/>
          </w:divBdr>
        </w:div>
        <w:div w:id="1113281643">
          <w:marLeft w:val="640"/>
          <w:marRight w:val="0"/>
          <w:marTop w:val="0"/>
          <w:marBottom w:val="0"/>
          <w:divBdr>
            <w:top w:val="none" w:sz="0" w:space="0" w:color="auto"/>
            <w:left w:val="none" w:sz="0" w:space="0" w:color="auto"/>
            <w:bottom w:val="none" w:sz="0" w:space="0" w:color="auto"/>
            <w:right w:val="none" w:sz="0" w:space="0" w:color="auto"/>
          </w:divBdr>
        </w:div>
        <w:div w:id="508837420">
          <w:marLeft w:val="640"/>
          <w:marRight w:val="0"/>
          <w:marTop w:val="0"/>
          <w:marBottom w:val="0"/>
          <w:divBdr>
            <w:top w:val="none" w:sz="0" w:space="0" w:color="auto"/>
            <w:left w:val="none" w:sz="0" w:space="0" w:color="auto"/>
            <w:bottom w:val="none" w:sz="0" w:space="0" w:color="auto"/>
            <w:right w:val="none" w:sz="0" w:space="0" w:color="auto"/>
          </w:divBdr>
        </w:div>
        <w:div w:id="825245207">
          <w:marLeft w:val="640"/>
          <w:marRight w:val="0"/>
          <w:marTop w:val="0"/>
          <w:marBottom w:val="0"/>
          <w:divBdr>
            <w:top w:val="none" w:sz="0" w:space="0" w:color="auto"/>
            <w:left w:val="none" w:sz="0" w:space="0" w:color="auto"/>
            <w:bottom w:val="none" w:sz="0" w:space="0" w:color="auto"/>
            <w:right w:val="none" w:sz="0" w:space="0" w:color="auto"/>
          </w:divBdr>
        </w:div>
        <w:div w:id="400059146">
          <w:marLeft w:val="640"/>
          <w:marRight w:val="0"/>
          <w:marTop w:val="0"/>
          <w:marBottom w:val="0"/>
          <w:divBdr>
            <w:top w:val="none" w:sz="0" w:space="0" w:color="auto"/>
            <w:left w:val="none" w:sz="0" w:space="0" w:color="auto"/>
            <w:bottom w:val="none" w:sz="0" w:space="0" w:color="auto"/>
            <w:right w:val="none" w:sz="0" w:space="0" w:color="auto"/>
          </w:divBdr>
        </w:div>
        <w:div w:id="51078312">
          <w:marLeft w:val="640"/>
          <w:marRight w:val="0"/>
          <w:marTop w:val="0"/>
          <w:marBottom w:val="0"/>
          <w:divBdr>
            <w:top w:val="none" w:sz="0" w:space="0" w:color="auto"/>
            <w:left w:val="none" w:sz="0" w:space="0" w:color="auto"/>
            <w:bottom w:val="none" w:sz="0" w:space="0" w:color="auto"/>
            <w:right w:val="none" w:sz="0" w:space="0" w:color="auto"/>
          </w:divBdr>
        </w:div>
        <w:div w:id="912814580">
          <w:marLeft w:val="640"/>
          <w:marRight w:val="0"/>
          <w:marTop w:val="0"/>
          <w:marBottom w:val="0"/>
          <w:divBdr>
            <w:top w:val="none" w:sz="0" w:space="0" w:color="auto"/>
            <w:left w:val="none" w:sz="0" w:space="0" w:color="auto"/>
            <w:bottom w:val="none" w:sz="0" w:space="0" w:color="auto"/>
            <w:right w:val="none" w:sz="0" w:space="0" w:color="auto"/>
          </w:divBdr>
        </w:div>
        <w:div w:id="1121728363">
          <w:marLeft w:val="640"/>
          <w:marRight w:val="0"/>
          <w:marTop w:val="0"/>
          <w:marBottom w:val="0"/>
          <w:divBdr>
            <w:top w:val="none" w:sz="0" w:space="0" w:color="auto"/>
            <w:left w:val="none" w:sz="0" w:space="0" w:color="auto"/>
            <w:bottom w:val="none" w:sz="0" w:space="0" w:color="auto"/>
            <w:right w:val="none" w:sz="0" w:space="0" w:color="auto"/>
          </w:divBdr>
        </w:div>
        <w:div w:id="156925943">
          <w:marLeft w:val="640"/>
          <w:marRight w:val="0"/>
          <w:marTop w:val="0"/>
          <w:marBottom w:val="0"/>
          <w:divBdr>
            <w:top w:val="none" w:sz="0" w:space="0" w:color="auto"/>
            <w:left w:val="none" w:sz="0" w:space="0" w:color="auto"/>
            <w:bottom w:val="none" w:sz="0" w:space="0" w:color="auto"/>
            <w:right w:val="none" w:sz="0" w:space="0" w:color="auto"/>
          </w:divBdr>
        </w:div>
        <w:div w:id="1489394669">
          <w:marLeft w:val="640"/>
          <w:marRight w:val="0"/>
          <w:marTop w:val="0"/>
          <w:marBottom w:val="0"/>
          <w:divBdr>
            <w:top w:val="none" w:sz="0" w:space="0" w:color="auto"/>
            <w:left w:val="none" w:sz="0" w:space="0" w:color="auto"/>
            <w:bottom w:val="none" w:sz="0" w:space="0" w:color="auto"/>
            <w:right w:val="none" w:sz="0" w:space="0" w:color="auto"/>
          </w:divBdr>
        </w:div>
        <w:div w:id="1081290830">
          <w:marLeft w:val="640"/>
          <w:marRight w:val="0"/>
          <w:marTop w:val="0"/>
          <w:marBottom w:val="0"/>
          <w:divBdr>
            <w:top w:val="none" w:sz="0" w:space="0" w:color="auto"/>
            <w:left w:val="none" w:sz="0" w:space="0" w:color="auto"/>
            <w:bottom w:val="none" w:sz="0" w:space="0" w:color="auto"/>
            <w:right w:val="none" w:sz="0" w:space="0" w:color="auto"/>
          </w:divBdr>
        </w:div>
      </w:divsChild>
    </w:div>
    <w:div w:id="1196700933">
      <w:bodyDiv w:val="1"/>
      <w:marLeft w:val="0"/>
      <w:marRight w:val="0"/>
      <w:marTop w:val="0"/>
      <w:marBottom w:val="0"/>
      <w:divBdr>
        <w:top w:val="none" w:sz="0" w:space="0" w:color="auto"/>
        <w:left w:val="none" w:sz="0" w:space="0" w:color="auto"/>
        <w:bottom w:val="none" w:sz="0" w:space="0" w:color="auto"/>
        <w:right w:val="none" w:sz="0" w:space="0" w:color="auto"/>
      </w:divBdr>
    </w:div>
    <w:div w:id="1197304703">
      <w:bodyDiv w:val="1"/>
      <w:marLeft w:val="0"/>
      <w:marRight w:val="0"/>
      <w:marTop w:val="0"/>
      <w:marBottom w:val="0"/>
      <w:divBdr>
        <w:top w:val="none" w:sz="0" w:space="0" w:color="auto"/>
        <w:left w:val="none" w:sz="0" w:space="0" w:color="auto"/>
        <w:bottom w:val="none" w:sz="0" w:space="0" w:color="auto"/>
        <w:right w:val="none" w:sz="0" w:space="0" w:color="auto"/>
      </w:divBdr>
    </w:div>
    <w:div w:id="1202863258">
      <w:bodyDiv w:val="1"/>
      <w:marLeft w:val="0"/>
      <w:marRight w:val="0"/>
      <w:marTop w:val="0"/>
      <w:marBottom w:val="0"/>
      <w:divBdr>
        <w:top w:val="none" w:sz="0" w:space="0" w:color="auto"/>
        <w:left w:val="none" w:sz="0" w:space="0" w:color="auto"/>
        <w:bottom w:val="none" w:sz="0" w:space="0" w:color="auto"/>
        <w:right w:val="none" w:sz="0" w:space="0" w:color="auto"/>
      </w:divBdr>
    </w:div>
    <w:div w:id="1203248059">
      <w:bodyDiv w:val="1"/>
      <w:marLeft w:val="0"/>
      <w:marRight w:val="0"/>
      <w:marTop w:val="0"/>
      <w:marBottom w:val="0"/>
      <w:divBdr>
        <w:top w:val="none" w:sz="0" w:space="0" w:color="auto"/>
        <w:left w:val="none" w:sz="0" w:space="0" w:color="auto"/>
        <w:bottom w:val="none" w:sz="0" w:space="0" w:color="auto"/>
        <w:right w:val="none" w:sz="0" w:space="0" w:color="auto"/>
      </w:divBdr>
    </w:div>
    <w:div w:id="1204097977">
      <w:bodyDiv w:val="1"/>
      <w:marLeft w:val="0"/>
      <w:marRight w:val="0"/>
      <w:marTop w:val="0"/>
      <w:marBottom w:val="0"/>
      <w:divBdr>
        <w:top w:val="none" w:sz="0" w:space="0" w:color="auto"/>
        <w:left w:val="none" w:sz="0" w:space="0" w:color="auto"/>
        <w:bottom w:val="none" w:sz="0" w:space="0" w:color="auto"/>
        <w:right w:val="none" w:sz="0" w:space="0" w:color="auto"/>
      </w:divBdr>
    </w:div>
    <w:div w:id="1206140817">
      <w:bodyDiv w:val="1"/>
      <w:marLeft w:val="0"/>
      <w:marRight w:val="0"/>
      <w:marTop w:val="0"/>
      <w:marBottom w:val="0"/>
      <w:divBdr>
        <w:top w:val="none" w:sz="0" w:space="0" w:color="auto"/>
        <w:left w:val="none" w:sz="0" w:space="0" w:color="auto"/>
        <w:bottom w:val="none" w:sz="0" w:space="0" w:color="auto"/>
        <w:right w:val="none" w:sz="0" w:space="0" w:color="auto"/>
      </w:divBdr>
    </w:div>
    <w:div w:id="1206331924">
      <w:bodyDiv w:val="1"/>
      <w:marLeft w:val="0"/>
      <w:marRight w:val="0"/>
      <w:marTop w:val="0"/>
      <w:marBottom w:val="0"/>
      <w:divBdr>
        <w:top w:val="none" w:sz="0" w:space="0" w:color="auto"/>
        <w:left w:val="none" w:sz="0" w:space="0" w:color="auto"/>
        <w:bottom w:val="none" w:sz="0" w:space="0" w:color="auto"/>
        <w:right w:val="none" w:sz="0" w:space="0" w:color="auto"/>
      </w:divBdr>
    </w:div>
    <w:div w:id="1206714511">
      <w:bodyDiv w:val="1"/>
      <w:marLeft w:val="0"/>
      <w:marRight w:val="0"/>
      <w:marTop w:val="0"/>
      <w:marBottom w:val="0"/>
      <w:divBdr>
        <w:top w:val="none" w:sz="0" w:space="0" w:color="auto"/>
        <w:left w:val="none" w:sz="0" w:space="0" w:color="auto"/>
        <w:bottom w:val="none" w:sz="0" w:space="0" w:color="auto"/>
        <w:right w:val="none" w:sz="0" w:space="0" w:color="auto"/>
      </w:divBdr>
    </w:div>
    <w:div w:id="1207521617">
      <w:bodyDiv w:val="1"/>
      <w:marLeft w:val="0"/>
      <w:marRight w:val="0"/>
      <w:marTop w:val="0"/>
      <w:marBottom w:val="0"/>
      <w:divBdr>
        <w:top w:val="none" w:sz="0" w:space="0" w:color="auto"/>
        <w:left w:val="none" w:sz="0" w:space="0" w:color="auto"/>
        <w:bottom w:val="none" w:sz="0" w:space="0" w:color="auto"/>
        <w:right w:val="none" w:sz="0" w:space="0" w:color="auto"/>
      </w:divBdr>
    </w:div>
    <w:div w:id="1207567052">
      <w:bodyDiv w:val="1"/>
      <w:marLeft w:val="0"/>
      <w:marRight w:val="0"/>
      <w:marTop w:val="0"/>
      <w:marBottom w:val="0"/>
      <w:divBdr>
        <w:top w:val="none" w:sz="0" w:space="0" w:color="auto"/>
        <w:left w:val="none" w:sz="0" w:space="0" w:color="auto"/>
        <w:bottom w:val="none" w:sz="0" w:space="0" w:color="auto"/>
        <w:right w:val="none" w:sz="0" w:space="0" w:color="auto"/>
      </w:divBdr>
    </w:div>
    <w:div w:id="1207834467">
      <w:bodyDiv w:val="1"/>
      <w:marLeft w:val="0"/>
      <w:marRight w:val="0"/>
      <w:marTop w:val="0"/>
      <w:marBottom w:val="0"/>
      <w:divBdr>
        <w:top w:val="none" w:sz="0" w:space="0" w:color="auto"/>
        <w:left w:val="none" w:sz="0" w:space="0" w:color="auto"/>
        <w:bottom w:val="none" w:sz="0" w:space="0" w:color="auto"/>
        <w:right w:val="none" w:sz="0" w:space="0" w:color="auto"/>
      </w:divBdr>
    </w:div>
    <w:div w:id="1209532489">
      <w:bodyDiv w:val="1"/>
      <w:marLeft w:val="0"/>
      <w:marRight w:val="0"/>
      <w:marTop w:val="0"/>
      <w:marBottom w:val="0"/>
      <w:divBdr>
        <w:top w:val="none" w:sz="0" w:space="0" w:color="auto"/>
        <w:left w:val="none" w:sz="0" w:space="0" w:color="auto"/>
        <w:bottom w:val="none" w:sz="0" w:space="0" w:color="auto"/>
        <w:right w:val="none" w:sz="0" w:space="0" w:color="auto"/>
      </w:divBdr>
    </w:div>
    <w:div w:id="1210536575">
      <w:bodyDiv w:val="1"/>
      <w:marLeft w:val="0"/>
      <w:marRight w:val="0"/>
      <w:marTop w:val="0"/>
      <w:marBottom w:val="0"/>
      <w:divBdr>
        <w:top w:val="none" w:sz="0" w:space="0" w:color="auto"/>
        <w:left w:val="none" w:sz="0" w:space="0" w:color="auto"/>
        <w:bottom w:val="none" w:sz="0" w:space="0" w:color="auto"/>
        <w:right w:val="none" w:sz="0" w:space="0" w:color="auto"/>
      </w:divBdr>
    </w:div>
    <w:div w:id="1211066452">
      <w:bodyDiv w:val="1"/>
      <w:marLeft w:val="0"/>
      <w:marRight w:val="0"/>
      <w:marTop w:val="0"/>
      <w:marBottom w:val="0"/>
      <w:divBdr>
        <w:top w:val="none" w:sz="0" w:space="0" w:color="auto"/>
        <w:left w:val="none" w:sz="0" w:space="0" w:color="auto"/>
        <w:bottom w:val="none" w:sz="0" w:space="0" w:color="auto"/>
        <w:right w:val="none" w:sz="0" w:space="0" w:color="auto"/>
      </w:divBdr>
    </w:div>
    <w:div w:id="1215040325">
      <w:bodyDiv w:val="1"/>
      <w:marLeft w:val="0"/>
      <w:marRight w:val="0"/>
      <w:marTop w:val="0"/>
      <w:marBottom w:val="0"/>
      <w:divBdr>
        <w:top w:val="none" w:sz="0" w:space="0" w:color="auto"/>
        <w:left w:val="none" w:sz="0" w:space="0" w:color="auto"/>
        <w:bottom w:val="none" w:sz="0" w:space="0" w:color="auto"/>
        <w:right w:val="none" w:sz="0" w:space="0" w:color="auto"/>
      </w:divBdr>
    </w:div>
    <w:div w:id="1218514406">
      <w:bodyDiv w:val="1"/>
      <w:marLeft w:val="0"/>
      <w:marRight w:val="0"/>
      <w:marTop w:val="0"/>
      <w:marBottom w:val="0"/>
      <w:divBdr>
        <w:top w:val="none" w:sz="0" w:space="0" w:color="auto"/>
        <w:left w:val="none" w:sz="0" w:space="0" w:color="auto"/>
        <w:bottom w:val="none" w:sz="0" w:space="0" w:color="auto"/>
        <w:right w:val="none" w:sz="0" w:space="0" w:color="auto"/>
      </w:divBdr>
    </w:div>
    <w:div w:id="1221667677">
      <w:bodyDiv w:val="1"/>
      <w:marLeft w:val="0"/>
      <w:marRight w:val="0"/>
      <w:marTop w:val="0"/>
      <w:marBottom w:val="0"/>
      <w:divBdr>
        <w:top w:val="none" w:sz="0" w:space="0" w:color="auto"/>
        <w:left w:val="none" w:sz="0" w:space="0" w:color="auto"/>
        <w:bottom w:val="none" w:sz="0" w:space="0" w:color="auto"/>
        <w:right w:val="none" w:sz="0" w:space="0" w:color="auto"/>
      </w:divBdr>
    </w:div>
    <w:div w:id="1223100493">
      <w:bodyDiv w:val="1"/>
      <w:marLeft w:val="0"/>
      <w:marRight w:val="0"/>
      <w:marTop w:val="0"/>
      <w:marBottom w:val="0"/>
      <w:divBdr>
        <w:top w:val="none" w:sz="0" w:space="0" w:color="auto"/>
        <w:left w:val="none" w:sz="0" w:space="0" w:color="auto"/>
        <w:bottom w:val="none" w:sz="0" w:space="0" w:color="auto"/>
        <w:right w:val="none" w:sz="0" w:space="0" w:color="auto"/>
      </w:divBdr>
    </w:div>
    <w:div w:id="1224367699">
      <w:bodyDiv w:val="1"/>
      <w:marLeft w:val="0"/>
      <w:marRight w:val="0"/>
      <w:marTop w:val="0"/>
      <w:marBottom w:val="0"/>
      <w:divBdr>
        <w:top w:val="none" w:sz="0" w:space="0" w:color="auto"/>
        <w:left w:val="none" w:sz="0" w:space="0" w:color="auto"/>
        <w:bottom w:val="none" w:sz="0" w:space="0" w:color="auto"/>
        <w:right w:val="none" w:sz="0" w:space="0" w:color="auto"/>
      </w:divBdr>
      <w:divsChild>
        <w:div w:id="1149320009">
          <w:marLeft w:val="640"/>
          <w:marRight w:val="0"/>
          <w:marTop w:val="0"/>
          <w:marBottom w:val="0"/>
          <w:divBdr>
            <w:top w:val="none" w:sz="0" w:space="0" w:color="auto"/>
            <w:left w:val="none" w:sz="0" w:space="0" w:color="auto"/>
            <w:bottom w:val="none" w:sz="0" w:space="0" w:color="auto"/>
            <w:right w:val="none" w:sz="0" w:space="0" w:color="auto"/>
          </w:divBdr>
        </w:div>
        <w:div w:id="1893149508">
          <w:marLeft w:val="640"/>
          <w:marRight w:val="0"/>
          <w:marTop w:val="0"/>
          <w:marBottom w:val="0"/>
          <w:divBdr>
            <w:top w:val="none" w:sz="0" w:space="0" w:color="auto"/>
            <w:left w:val="none" w:sz="0" w:space="0" w:color="auto"/>
            <w:bottom w:val="none" w:sz="0" w:space="0" w:color="auto"/>
            <w:right w:val="none" w:sz="0" w:space="0" w:color="auto"/>
          </w:divBdr>
        </w:div>
        <w:div w:id="1799106387">
          <w:marLeft w:val="640"/>
          <w:marRight w:val="0"/>
          <w:marTop w:val="0"/>
          <w:marBottom w:val="0"/>
          <w:divBdr>
            <w:top w:val="none" w:sz="0" w:space="0" w:color="auto"/>
            <w:left w:val="none" w:sz="0" w:space="0" w:color="auto"/>
            <w:bottom w:val="none" w:sz="0" w:space="0" w:color="auto"/>
            <w:right w:val="none" w:sz="0" w:space="0" w:color="auto"/>
          </w:divBdr>
        </w:div>
        <w:div w:id="712342690">
          <w:marLeft w:val="640"/>
          <w:marRight w:val="0"/>
          <w:marTop w:val="0"/>
          <w:marBottom w:val="0"/>
          <w:divBdr>
            <w:top w:val="none" w:sz="0" w:space="0" w:color="auto"/>
            <w:left w:val="none" w:sz="0" w:space="0" w:color="auto"/>
            <w:bottom w:val="none" w:sz="0" w:space="0" w:color="auto"/>
            <w:right w:val="none" w:sz="0" w:space="0" w:color="auto"/>
          </w:divBdr>
        </w:div>
        <w:div w:id="1925651930">
          <w:marLeft w:val="640"/>
          <w:marRight w:val="0"/>
          <w:marTop w:val="0"/>
          <w:marBottom w:val="0"/>
          <w:divBdr>
            <w:top w:val="none" w:sz="0" w:space="0" w:color="auto"/>
            <w:left w:val="none" w:sz="0" w:space="0" w:color="auto"/>
            <w:bottom w:val="none" w:sz="0" w:space="0" w:color="auto"/>
            <w:right w:val="none" w:sz="0" w:space="0" w:color="auto"/>
          </w:divBdr>
        </w:div>
        <w:div w:id="1425227440">
          <w:marLeft w:val="640"/>
          <w:marRight w:val="0"/>
          <w:marTop w:val="0"/>
          <w:marBottom w:val="0"/>
          <w:divBdr>
            <w:top w:val="none" w:sz="0" w:space="0" w:color="auto"/>
            <w:left w:val="none" w:sz="0" w:space="0" w:color="auto"/>
            <w:bottom w:val="none" w:sz="0" w:space="0" w:color="auto"/>
            <w:right w:val="none" w:sz="0" w:space="0" w:color="auto"/>
          </w:divBdr>
        </w:div>
        <w:div w:id="22369932">
          <w:marLeft w:val="640"/>
          <w:marRight w:val="0"/>
          <w:marTop w:val="0"/>
          <w:marBottom w:val="0"/>
          <w:divBdr>
            <w:top w:val="none" w:sz="0" w:space="0" w:color="auto"/>
            <w:left w:val="none" w:sz="0" w:space="0" w:color="auto"/>
            <w:bottom w:val="none" w:sz="0" w:space="0" w:color="auto"/>
            <w:right w:val="none" w:sz="0" w:space="0" w:color="auto"/>
          </w:divBdr>
        </w:div>
        <w:div w:id="1222910063">
          <w:marLeft w:val="640"/>
          <w:marRight w:val="0"/>
          <w:marTop w:val="0"/>
          <w:marBottom w:val="0"/>
          <w:divBdr>
            <w:top w:val="none" w:sz="0" w:space="0" w:color="auto"/>
            <w:left w:val="none" w:sz="0" w:space="0" w:color="auto"/>
            <w:bottom w:val="none" w:sz="0" w:space="0" w:color="auto"/>
            <w:right w:val="none" w:sz="0" w:space="0" w:color="auto"/>
          </w:divBdr>
        </w:div>
        <w:div w:id="1351566209">
          <w:marLeft w:val="640"/>
          <w:marRight w:val="0"/>
          <w:marTop w:val="0"/>
          <w:marBottom w:val="0"/>
          <w:divBdr>
            <w:top w:val="none" w:sz="0" w:space="0" w:color="auto"/>
            <w:left w:val="none" w:sz="0" w:space="0" w:color="auto"/>
            <w:bottom w:val="none" w:sz="0" w:space="0" w:color="auto"/>
            <w:right w:val="none" w:sz="0" w:space="0" w:color="auto"/>
          </w:divBdr>
        </w:div>
        <w:div w:id="1232278325">
          <w:marLeft w:val="640"/>
          <w:marRight w:val="0"/>
          <w:marTop w:val="0"/>
          <w:marBottom w:val="0"/>
          <w:divBdr>
            <w:top w:val="none" w:sz="0" w:space="0" w:color="auto"/>
            <w:left w:val="none" w:sz="0" w:space="0" w:color="auto"/>
            <w:bottom w:val="none" w:sz="0" w:space="0" w:color="auto"/>
            <w:right w:val="none" w:sz="0" w:space="0" w:color="auto"/>
          </w:divBdr>
        </w:div>
        <w:div w:id="1982923422">
          <w:marLeft w:val="640"/>
          <w:marRight w:val="0"/>
          <w:marTop w:val="0"/>
          <w:marBottom w:val="0"/>
          <w:divBdr>
            <w:top w:val="none" w:sz="0" w:space="0" w:color="auto"/>
            <w:left w:val="none" w:sz="0" w:space="0" w:color="auto"/>
            <w:bottom w:val="none" w:sz="0" w:space="0" w:color="auto"/>
            <w:right w:val="none" w:sz="0" w:space="0" w:color="auto"/>
          </w:divBdr>
        </w:div>
        <w:div w:id="2020086048">
          <w:marLeft w:val="640"/>
          <w:marRight w:val="0"/>
          <w:marTop w:val="0"/>
          <w:marBottom w:val="0"/>
          <w:divBdr>
            <w:top w:val="none" w:sz="0" w:space="0" w:color="auto"/>
            <w:left w:val="none" w:sz="0" w:space="0" w:color="auto"/>
            <w:bottom w:val="none" w:sz="0" w:space="0" w:color="auto"/>
            <w:right w:val="none" w:sz="0" w:space="0" w:color="auto"/>
          </w:divBdr>
        </w:div>
        <w:div w:id="2087729096">
          <w:marLeft w:val="640"/>
          <w:marRight w:val="0"/>
          <w:marTop w:val="0"/>
          <w:marBottom w:val="0"/>
          <w:divBdr>
            <w:top w:val="none" w:sz="0" w:space="0" w:color="auto"/>
            <w:left w:val="none" w:sz="0" w:space="0" w:color="auto"/>
            <w:bottom w:val="none" w:sz="0" w:space="0" w:color="auto"/>
            <w:right w:val="none" w:sz="0" w:space="0" w:color="auto"/>
          </w:divBdr>
        </w:div>
        <w:div w:id="290325864">
          <w:marLeft w:val="640"/>
          <w:marRight w:val="0"/>
          <w:marTop w:val="0"/>
          <w:marBottom w:val="0"/>
          <w:divBdr>
            <w:top w:val="none" w:sz="0" w:space="0" w:color="auto"/>
            <w:left w:val="none" w:sz="0" w:space="0" w:color="auto"/>
            <w:bottom w:val="none" w:sz="0" w:space="0" w:color="auto"/>
            <w:right w:val="none" w:sz="0" w:space="0" w:color="auto"/>
          </w:divBdr>
        </w:div>
        <w:div w:id="2010983353">
          <w:marLeft w:val="640"/>
          <w:marRight w:val="0"/>
          <w:marTop w:val="0"/>
          <w:marBottom w:val="0"/>
          <w:divBdr>
            <w:top w:val="none" w:sz="0" w:space="0" w:color="auto"/>
            <w:left w:val="none" w:sz="0" w:space="0" w:color="auto"/>
            <w:bottom w:val="none" w:sz="0" w:space="0" w:color="auto"/>
            <w:right w:val="none" w:sz="0" w:space="0" w:color="auto"/>
          </w:divBdr>
        </w:div>
        <w:div w:id="2005085615">
          <w:marLeft w:val="640"/>
          <w:marRight w:val="0"/>
          <w:marTop w:val="0"/>
          <w:marBottom w:val="0"/>
          <w:divBdr>
            <w:top w:val="none" w:sz="0" w:space="0" w:color="auto"/>
            <w:left w:val="none" w:sz="0" w:space="0" w:color="auto"/>
            <w:bottom w:val="none" w:sz="0" w:space="0" w:color="auto"/>
            <w:right w:val="none" w:sz="0" w:space="0" w:color="auto"/>
          </w:divBdr>
        </w:div>
        <w:div w:id="490370303">
          <w:marLeft w:val="640"/>
          <w:marRight w:val="0"/>
          <w:marTop w:val="0"/>
          <w:marBottom w:val="0"/>
          <w:divBdr>
            <w:top w:val="none" w:sz="0" w:space="0" w:color="auto"/>
            <w:left w:val="none" w:sz="0" w:space="0" w:color="auto"/>
            <w:bottom w:val="none" w:sz="0" w:space="0" w:color="auto"/>
            <w:right w:val="none" w:sz="0" w:space="0" w:color="auto"/>
          </w:divBdr>
        </w:div>
        <w:div w:id="88938770">
          <w:marLeft w:val="640"/>
          <w:marRight w:val="0"/>
          <w:marTop w:val="0"/>
          <w:marBottom w:val="0"/>
          <w:divBdr>
            <w:top w:val="none" w:sz="0" w:space="0" w:color="auto"/>
            <w:left w:val="none" w:sz="0" w:space="0" w:color="auto"/>
            <w:bottom w:val="none" w:sz="0" w:space="0" w:color="auto"/>
            <w:right w:val="none" w:sz="0" w:space="0" w:color="auto"/>
          </w:divBdr>
        </w:div>
        <w:div w:id="1321419229">
          <w:marLeft w:val="640"/>
          <w:marRight w:val="0"/>
          <w:marTop w:val="0"/>
          <w:marBottom w:val="0"/>
          <w:divBdr>
            <w:top w:val="none" w:sz="0" w:space="0" w:color="auto"/>
            <w:left w:val="none" w:sz="0" w:space="0" w:color="auto"/>
            <w:bottom w:val="none" w:sz="0" w:space="0" w:color="auto"/>
            <w:right w:val="none" w:sz="0" w:space="0" w:color="auto"/>
          </w:divBdr>
        </w:div>
        <w:div w:id="1488016822">
          <w:marLeft w:val="640"/>
          <w:marRight w:val="0"/>
          <w:marTop w:val="0"/>
          <w:marBottom w:val="0"/>
          <w:divBdr>
            <w:top w:val="none" w:sz="0" w:space="0" w:color="auto"/>
            <w:left w:val="none" w:sz="0" w:space="0" w:color="auto"/>
            <w:bottom w:val="none" w:sz="0" w:space="0" w:color="auto"/>
            <w:right w:val="none" w:sz="0" w:space="0" w:color="auto"/>
          </w:divBdr>
        </w:div>
        <w:div w:id="1269047727">
          <w:marLeft w:val="640"/>
          <w:marRight w:val="0"/>
          <w:marTop w:val="0"/>
          <w:marBottom w:val="0"/>
          <w:divBdr>
            <w:top w:val="none" w:sz="0" w:space="0" w:color="auto"/>
            <w:left w:val="none" w:sz="0" w:space="0" w:color="auto"/>
            <w:bottom w:val="none" w:sz="0" w:space="0" w:color="auto"/>
            <w:right w:val="none" w:sz="0" w:space="0" w:color="auto"/>
          </w:divBdr>
        </w:div>
        <w:div w:id="1116675322">
          <w:marLeft w:val="640"/>
          <w:marRight w:val="0"/>
          <w:marTop w:val="0"/>
          <w:marBottom w:val="0"/>
          <w:divBdr>
            <w:top w:val="none" w:sz="0" w:space="0" w:color="auto"/>
            <w:left w:val="none" w:sz="0" w:space="0" w:color="auto"/>
            <w:bottom w:val="none" w:sz="0" w:space="0" w:color="auto"/>
            <w:right w:val="none" w:sz="0" w:space="0" w:color="auto"/>
          </w:divBdr>
        </w:div>
        <w:div w:id="544488589">
          <w:marLeft w:val="640"/>
          <w:marRight w:val="0"/>
          <w:marTop w:val="0"/>
          <w:marBottom w:val="0"/>
          <w:divBdr>
            <w:top w:val="none" w:sz="0" w:space="0" w:color="auto"/>
            <w:left w:val="none" w:sz="0" w:space="0" w:color="auto"/>
            <w:bottom w:val="none" w:sz="0" w:space="0" w:color="auto"/>
            <w:right w:val="none" w:sz="0" w:space="0" w:color="auto"/>
          </w:divBdr>
        </w:div>
        <w:div w:id="169492196">
          <w:marLeft w:val="640"/>
          <w:marRight w:val="0"/>
          <w:marTop w:val="0"/>
          <w:marBottom w:val="0"/>
          <w:divBdr>
            <w:top w:val="none" w:sz="0" w:space="0" w:color="auto"/>
            <w:left w:val="none" w:sz="0" w:space="0" w:color="auto"/>
            <w:bottom w:val="none" w:sz="0" w:space="0" w:color="auto"/>
            <w:right w:val="none" w:sz="0" w:space="0" w:color="auto"/>
          </w:divBdr>
        </w:div>
        <w:div w:id="1076439884">
          <w:marLeft w:val="640"/>
          <w:marRight w:val="0"/>
          <w:marTop w:val="0"/>
          <w:marBottom w:val="0"/>
          <w:divBdr>
            <w:top w:val="none" w:sz="0" w:space="0" w:color="auto"/>
            <w:left w:val="none" w:sz="0" w:space="0" w:color="auto"/>
            <w:bottom w:val="none" w:sz="0" w:space="0" w:color="auto"/>
            <w:right w:val="none" w:sz="0" w:space="0" w:color="auto"/>
          </w:divBdr>
        </w:div>
        <w:div w:id="190918734">
          <w:marLeft w:val="640"/>
          <w:marRight w:val="0"/>
          <w:marTop w:val="0"/>
          <w:marBottom w:val="0"/>
          <w:divBdr>
            <w:top w:val="none" w:sz="0" w:space="0" w:color="auto"/>
            <w:left w:val="none" w:sz="0" w:space="0" w:color="auto"/>
            <w:bottom w:val="none" w:sz="0" w:space="0" w:color="auto"/>
            <w:right w:val="none" w:sz="0" w:space="0" w:color="auto"/>
          </w:divBdr>
        </w:div>
        <w:div w:id="1196039179">
          <w:marLeft w:val="640"/>
          <w:marRight w:val="0"/>
          <w:marTop w:val="0"/>
          <w:marBottom w:val="0"/>
          <w:divBdr>
            <w:top w:val="none" w:sz="0" w:space="0" w:color="auto"/>
            <w:left w:val="none" w:sz="0" w:space="0" w:color="auto"/>
            <w:bottom w:val="none" w:sz="0" w:space="0" w:color="auto"/>
            <w:right w:val="none" w:sz="0" w:space="0" w:color="auto"/>
          </w:divBdr>
        </w:div>
        <w:div w:id="1495145554">
          <w:marLeft w:val="640"/>
          <w:marRight w:val="0"/>
          <w:marTop w:val="0"/>
          <w:marBottom w:val="0"/>
          <w:divBdr>
            <w:top w:val="none" w:sz="0" w:space="0" w:color="auto"/>
            <w:left w:val="none" w:sz="0" w:space="0" w:color="auto"/>
            <w:bottom w:val="none" w:sz="0" w:space="0" w:color="auto"/>
            <w:right w:val="none" w:sz="0" w:space="0" w:color="auto"/>
          </w:divBdr>
        </w:div>
        <w:div w:id="105320310">
          <w:marLeft w:val="640"/>
          <w:marRight w:val="0"/>
          <w:marTop w:val="0"/>
          <w:marBottom w:val="0"/>
          <w:divBdr>
            <w:top w:val="none" w:sz="0" w:space="0" w:color="auto"/>
            <w:left w:val="none" w:sz="0" w:space="0" w:color="auto"/>
            <w:bottom w:val="none" w:sz="0" w:space="0" w:color="auto"/>
            <w:right w:val="none" w:sz="0" w:space="0" w:color="auto"/>
          </w:divBdr>
        </w:div>
        <w:div w:id="1036003501">
          <w:marLeft w:val="640"/>
          <w:marRight w:val="0"/>
          <w:marTop w:val="0"/>
          <w:marBottom w:val="0"/>
          <w:divBdr>
            <w:top w:val="none" w:sz="0" w:space="0" w:color="auto"/>
            <w:left w:val="none" w:sz="0" w:space="0" w:color="auto"/>
            <w:bottom w:val="none" w:sz="0" w:space="0" w:color="auto"/>
            <w:right w:val="none" w:sz="0" w:space="0" w:color="auto"/>
          </w:divBdr>
        </w:div>
        <w:div w:id="402992868">
          <w:marLeft w:val="640"/>
          <w:marRight w:val="0"/>
          <w:marTop w:val="0"/>
          <w:marBottom w:val="0"/>
          <w:divBdr>
            <w:top w:val="none" w:sz="0" w:space="0" w:color="auto"/>
            <w:left w:val="none" w:sz="0" w:space="0" w:color="auto"/>
            <w:bottom w:val="none" w:sz="0" w:space="0" w:color="auto"/>
            <w:right w:val="none" w:sz="0" w:space="0" w:color="auto"/>
          </w:divBdr>
        </w:div>
        <w:div w:id="1681153021">
          <w:marLeft w:val="640"/>
          <w:marRight w:val="0"/>
          <w:marTop w:val="0"/>
          <w:marBottom w:val="0"/>
          <w:divBdr>
            <w:top w:val="none" w:sz="0" w:space="0" w:color="auto"/>
            <w:left w:val="none" w:sz="0" w:space="0" w:color="auto"/>
            <w:bottom w:val="none" w:sz="0" w:space="0" w:color="auto"/>
            <w:right w:val="none" w:sz="0" w:space="0" w:color="auto"/>
          </w:divBdr>
        </w:div>
        <w:div w:id="633222776">
          <w:marLeft w:val="640"/>
          <w:marRight w:val="0"/>
          <w:marTop w:val="0"/>
          <w:marBottom w:val="0"/>
          <w:divBdr>
            <w:top w:val="none" w:sz="0" w:space="0" w:color="auto"/>
            <w:left w:val="none" w:sz="0" w:space="0" w:color="auto"/>
            <w:bottom w:val="none" w:sz="0" w:space="0" w:color="auto"/>
            <w:right w:val="none" w:sz="0" w:space="0" w:color="auto"/>
          </w:divBdr>
        </w:div>
        <w:div w:id="583883709">
          <w:marLeft w:val="640"/>
          <w:marRight w:val="0"/>
          <w:marTop w:val="0"/>
          <w:marBottom w:val="0"/>
          <w:divBdr>
            <w:top w:val="none" w:sz="0" w:space="0" w:color="auto"/>
            <w:left w:val="none" w:sz="0" w:space="0" w:color="auto"/>
            <w:bottom w:val="none" w:sz="0" w:space="0" w:color="auto"/>
            <w:right w:val="none" w:sz="0" w:space="0" w:color="auto"/>
          </w:divBdr>
        </w:div>
        <w:div w:id="269969057">
          <w:marLeft w:val="640"/>
          <w:marRight w:val="0"/>
          <w:marTop w:val="0"/>
          <w:marBottom w:val="0"/>
          <w:divBdr>
            <w:top w:val="none" w:sz="0" w:space="0" w:color="auto"/>
            <w:left w:val="none" w:sz="0" w:space="0" w:color="auto"/>
            <w:bottom w:val="none" w:sz="0" w:space="0" w:color="auto"/>
            <w:right w:val="none" w:sz="0" w:space="0" w:color="auto"/>
          </w:divBdr>
        </w:div>
        <w:div w:id="1175922988">
          <w:marLeft w:val="640"/>
          <w:marRight w:val="0"/>
          <w:marTop w:val="0"/>
          <w:marBottom w:val="0"/>
          <w:divBdr>
            <w:top w:val="none" w:sz="0" w:space="0" w:color="auto"/>
            <w:left w:val="none" w:sz="0" w:space="0" w:color="auto"/>
            <w:bottom w:val="none" w:sz="0" w:space="0" w:color="auto"/>
            <w:right w:val="none" w:sz="0" w:space="0" w:color="auto"/>
          </w:divBdr>
        </w:div>
        <w:div w:id="231236174">
          <w:marLeft w:val="640"/>
          <w:marRight w:val="0"/>
          <w:marTop w:val="0"/>
          <w:marBottom w:val="0"/>
          <w:divBdr>
            <w:top w:val="none" w:sz="0" w:space="0" w:color="auto"/>
            <w:left w:val="none" w:sz="0" w:space="0" w:color="auto"/>
            <w:bottom w:val="none" w:sz="0" w:space="0" w:color="auto"/>
            <w:right w:val="none" w:sz="0" w:space="0" w:color="auto"/>
          </w:divBdr>
        </w:div>
        <w:div w:id="1864318797">
          <w:marLeft w:val="640"/>
          <w:marRight w:val="0"/>
          <w:marTop w:val="0"/>
          <w:marBottom w:val="0"/>
          <w:divBdr>
            <w:top w:val="none" w:sz="0" w:space="0" w:color="auto"/>
            <w:left w:val="none" w:sz="0" w:space="0" w:color="auto"/>
            <w:bottom w:val="none" w:sz="0" w:space="0" w:color="auto"/>
            <w:right w:val="none" w:sz="0" w:space="0" w:color="auto"/>
          </w:divBdr>
        </w:div>
        <w:div w:id="185101167">
          <w:marLeft w:val="640"/>
          <w:marRight w:val="0"/>
          <w:marTop w:val="0"/>
          <w:marBottom w:val="0"/>
          <w:divBdr>
            <w:top w:val="none" w:sz="0" w:space="0" w:color="auto"/>
            <w:left w:val="none" w:sz="0" w:space="0" w:color="auto"/>
            <w:bottom w:val="none" w:sz="0" w:space="0" w:color="auto"/>
            <w:right w:val="none" w:sz="0" w:space="0" w:color="auto"/>
          </w:divBdr>
        </w:div>
        <w:div w:id="781917365">
          <w:marLeft w:val="640"/>
          <w:marRight w:val="0"/>
          <w:marTop w:val="0"/>
          <w:marBottom w:val="0"/>
          <w:divBdr>
            <w:top w:val="none" w:sz="0" w:space="0" w:color="auto"/>
            <w:left w:val="none" w:sz="0" w:space="0" w:color="auto"/>
            <w:bottom w:val="none" w:sz="0" w:space="0" w:color="auto"/>
            <w:right w:val="none" w:sz="0" w:space="0" w:color="auto"/>
          </w:divBdr>
        </w:div>
        <w:div w:id="1475374083">
          <w:marLeft w:val="640"/>
          <w:marRight w:val="0"/>
          <w:marTop w:val="0"/>
          <w:marBottom w:val="0"/>
          <w:divBdr>
            <w:top w:val="none" w:sz="0" w:space="0" w:color="auto"/>
            <w:left w:val="none" w:sz="0" w:space="0" w:color="auto"/>
            <w:bottom w:val="none" w:sz="0" w:space="0" w:color="auto"/>
            <w:right w:val="none" w:sz="0" w:space="0" w:color="auto"/>
          </w:divBdr>
        </w:div>
        <w:div w:id="1277176356">
          <w:marLeft w:val="640"/>
          <w:marRight w:val="0"/>
          <w:marTop w:val="0"/>
          <w:marBottom w:val="0"/>
          <w:divBdr>
            <w:top w:val="none" w:sz="0" w:space="0" w:color="auto"/>
            <w:left w:val="none" w:sz="0" w:space="0" w:color="auto"/>
            <w:bottom w:val="none" w:sz="0" w:space="0" w:color="auto"/>
            <w:right w:val="none" w:sz="0" w:space="0" w:color="auto"/>
          </w:divBdr>
        </w:div>
        <w:div w:id="1049379822">
          <w:marLeft w:val="640"/>
          <w:marRight w:val="0"/>
          <w:marTop w:val="0"/>
          <w:marBottom w:val="0"/>
          <w:divBdr>
            <w:top w:val="none" w:sz="0" w:space="0" w:color="auto"/>
            <w:left w:val="none" w:sz="0" w:space="0" w:color="auto"/>
            <w:bottom w:val="none" w:sz="0" w:space="0" w:color="auto"/>
            <w:right w:val="none" w:sz="0" w:space="0" w:color="auto"/>
          </w:divBdr>
        </w:div>
        <w:div w:id="590941256">
          <w:marLeft w:val="640"/>
          <w:marRight w:val="0"/>
          <w:marTop w:val="0"/>
          <w:marBottom w:val="0"/>
          <w:divBdr>
            <w:top w:val="none" w:sz="0" w:space="0" w:color="auto"/>
            <w:left w:val="none" w:sz="0" w:space="0" w:color="auto"/>
            <w:bottom w:val="none" w:sz="0" w:space="0" w:color="auto"/>
            <w:right w:val="none" w:sz="0" w:space="0" w:color="auto"/>
          </w:divBdr>
        </w:div>
        <w:div w:id="829954019">
          <w:marLeft w:val="640"/>
          <w:marRight w:val="0"/>
          <w:marTop w:val="0"/>
          <w:marBottom w:val="0"/>
          <w:divBdr>
            <w:top w:val="none" w:sz="0" w:space="0" w:color="auto"/>
            <w:left w:val="none" w:sz="0" w:space="0" w:color="auto"/>
            <w:bottom w:val="none" w:sz="0" w:space="0" w:color="auto"/>
            <w:right w:val="none" w:sz="0" w:space="0" w:color="auto"/>
          </w:divBdr>
        </w:div>
        <w:div w:id="1683821688">
          <w:marLeft w:val="640"/>
          <w:marRight w:val="0"/>
          <w:marTop w:val="0"/>
          <w:marBottom w:val="0"/>
          <w:divBdr>
            <w:top w:val="none" w:sz="0" w:space="0" w:color="auto"/>
            <w:left w:val="none" w:sz="0" w:space="0" w:color="auto"/>
            <w:bottom w:val="none" w:sz="0" w:space="0" w:color="auto"/>
            <w:right w:val="none" w:sz="0" w:space="0" w:color="auto"/>
          </w:divBdr>
        </w:div>
        <w:div w:id="1002243695">
          <w:marLeft w:val="640"/>
          <w:marRight w:val="0"/>
          <w:marTop w:val="0"/>
          <w:marBottom w:val="0"/>
          <w:divBdr>
            <w:top w:val="none" w:sz="0" w:space="0" w:color="auto"/>
            <w:left w:val="none" w:sz="0" w:space="0" w:color="auto"/>
            <w:bottom w:val="none" w:sz="0" w:space="0" w:color="auto"/>
            <w:right w:val="none" w:sz="0" w:space="0" w:color="auto"/>
          </w:divBdr>
        </w:div>
        <w:div w:id="1438253375">
          <w:marLeft w:val="640"/>
          <w:marRight w:val="0"/>
          <w:marTop w:val="0"/>
          <w:marBottom w:val="0"/>
          <w:divBdr>
            <w:top w:val="none" w:sz="0" w:space="0" w:color="auto"/>
            <w:left w:val="none" w:sz="0" w:space="0" w:color="auto"/>
            <w:bottom w:val="none" w:sz="0" w:space="0" w:color="auto"/>
            <w:right w:val="none" w:sz="0" w:space="0" w:color="auto"/>
          </w:divBdr>
        </w:div>
        <w:div w:id="1606772300">
          <w:marLeft w:val="640"/>
          <w:marRight w:val="0"/>
          <w:marTop w:val="0"/>
          <w:marBottom w:val="0"/>
          <w:divBdr>
            <w:top w:val="none" w:sz="0" w:space="0" w:color="auto"/>
            <w:left w:val="none" w:sz="0" w:space="0" w:color="auto"/>
            <w:bottom w:val="none" w:sz="0" w:space="0" w:color="auto"/>
            <w:right w:val="none" w:sz="0" w:space="0" w:color="auto"/>
          </w:divBdr>
        </w:div>
        <w:div w:id="629944091">
          <w:marLeft w:val="640"/>
          <w:marRight w:val="0"/>
          <w:marTop w:val="0"/>
          <w:marBottom w:val="0"/>
          <w:divBdr>
            <w:top w:val="none" w:sz="0" w:space="0" w:color="auto"/>
            <w:left w:val="none" w:sz="0" w:space="0" w:color="auto"/>
            <w:bottom w:val="none" w:sz="0" w:space="0" w:color="auto"/>
            <w:right w:val="none" w:sz="0" w:space="0" w:color="auto"/>
          </w:divBdr>
        </w:div>
        <w:div w:id="1124037966">
          <w:marLeft w:val="640"/>
          <w:marRight w:val="0"/>
          <w:marTop w:val="0"/>
          <w:marBottom w:val="0"/>
          <w:divBdr>
            <w:top w:val="none" w:sz="0" w:space="0" w:color="auto"/>
            <w:left w:val="none" w:sz="0" w:space="0" w:color="auto"/>
            <w:bottom w:val="none" w:sz="0" w:space="0" w:color="auto"/>
            <w:right w:val="none" w:sz="0" w:space="0" w:color="auto"/>
          </w:divBdr>
        </w:div>
        <w:div w:id="1369985465">
          <w:marLeft w:val="640"/>
          <w:marRight w:val="0"/>
          <w:marTop w:val="0"/>
          <w:marBottom w:val="0"/>
          <w:divBdr>
            <w:top w:val="none" w:sz="0" w:space="0" w:color="auto"/>
            <w:left w:val="none" w:sz="0" w:space="0" w:color="auto"/>
            <w:bottom w:val="none" w:sz="0" w:space="0" w:color="auto"/>
            <w:right w:val="none" w:sz="0" w:space="0" w:color="auto"/>
          </w:divBdr>
        </w:div>
        <w:div w:id="1227955847">
          <w:marLeft w:val="640"/>
          <w:marRight w:val="0"/>
          <w:marTop w:val="0"/>
          <w:marBottom w:val="0"/>
          <w:divBdr>
            <w:top w:val="none" w:sz="0" w:space="0" w:color="auto"/>
            <w:left w:val="none" w:sz="0" w:space="0" w:color="auto"/>
            <w:bottom w:val="none" w:sz="0" w:space="0" w:color="auto"/>
            <w:right w:val="none" w:sz="0" w:space="0" w:color="auto"/>
          </w:divBdr>
        </w:div>
        <w:div w:id="848174688">
          <w:marLeft w:val="640"/>
          <w:marRight w:val="0"/>
          <w:marTop w:val="0"/>
          <w:marBottom w:val="0"/>
          <w:divBdr>
            <w:top w:val="none" w:sz="0" w:space="0" w:color="auto"/>
            <w:left w:val="none" w:sz="0" w:space="0" w:color="auto"/>
            <w:bottom w:val="none" w:sz="0" w:space="0" w:color="auto"/>
            <w:right w:val="none" w:sz="0" w:space="0" w:color="auto"/>
          </w:divBdr>
        </w:div>
        <w:div w:id="1560825278">
          <w:marLeft w:val="640"/>
          <w:marRight w:val="0"/>
          <w:marTop w:val="0"/>
          <w:marBottom w:val="0"/>
          <w:divBdr>
            <w:top w:val="none" w:sz="0" w:space="0" w:color="auto"/>
            <w:left w:val="none" w:sz="0" w:space="0" w:color="auto"/>
            <w:bottom w:val="none" w:sz="0" w:space="0" w:color="auto"/>
            <w:right w:val="none" w:sz="0" w:space="0" w:color="auto"/>
          </w:divBdr>
        </w:div>
        <w:div w:id="479810682">
          <w:marLeft w:val="640"/>
          <w:marRight w:val="0"/>
          <w:marTop w:val="0"/>
          <w:marBottom w:val="0"/>
          <w:divBdr>
            <w:top w:val="none" w:sz="0" w:space="0" w:color="auto"/>
            <w:left w:val="none" w:sz="0" w:space="0" w:color="auto"/>
            <w:bottom w:val="none" w:sz="0" w:space="0" w:color="auto"/>
            <w:right w:val="none" w:sz="0" w:space="0" w:color="auto"/>
          </w:divBdr>
        </w:div>
        <w:div w:id="1541017950">
          <w:marLeft w:val="640"/>
          <w:marRight w:val="0"/>
          <w:marTop w:val="0"/>
          <w:marBottom w:val="0"/>
          <w:divBdr>
            <w:top w:val="none" w:sz="0" w:space="0" w:color="auto"/>
            <w:left w:val="none" w:sz="0" w:space="0" w:color="auto"/>
            <w:bottom w:val="none" w:sz="0" w:space="0" w:color="auto"/>
            <w:right w:val="none" w:sz="0" w:space="0" w:color="auto"/>
          </w:divBdr>
        </w:div>
        <w:div w:id="1093353894">
          <w:marLeft w:val="640"/>
          <w:marRight w:val="0"/>
          <w:marTop w:val="0"/>
          <w:marBottom w:val="0"/>
          <w:divBdr>
            <w:top w:val="none" w:sz="0" w:space="0" w:color="auto"/>
            <w:left w:val="none" w:sz="0" w:space="0" w:color="auto"/>
            <w:bottom w:val="none" w:sz="0" w:space="0" w:color="auto"/>
            <w:right w:val="none" w:sz="0" w:space="0" w:color="auto"/>
          </w:divBdr>
        </w:div>
        <w:div w:id="573517955">
          <w:marLeft w:val="640"/>
          <w:marRight w:val="0"/>
          <w:marTop w:val="0"/>
          <w:marBottom w:val="0"/>
          <w:divBdr>
            <w:top w:val="none" w:sz="0" w:space="0" w:color="auto"/>
            <w:left w:val="none" w:sz="0" w:space="0" w:color="auto"/>
            <w:bottom w:val="none" w:sz="0" w:space="0" w:color="auto"/>
            <w:right w:val="none" w:sz="0" w:space="0" w:color="auto"/>
          </w:divBdr>
        </w:div>
        <w:div w:id="560143521">
          <w:marLeft w:val="640"/>
          <w:marRight w:val="0"/>
          <w:marTop w:val="0"/>
          <w:marBottom w:val="0"/>
          <w:divBdr>
            <w:top w:val="none" w:sz="0" w:space="0" w:color="auto"/>
            <w:left w:val="none" w:sz="0" w:space="0" w:color="auto"/>
            <w:bottom w:val="none" w:sz="0" w:space="0" w:color="auto"/>
            <w:right w:val="none" w:sz="0" w:space="0" w:color="auto"/>
          </w:divBdr>
        </w:div>
        <w:div w:id="1565337697">
          <w:marLeft w:val="640"/>
          <w:marRight w:val="0"/>
          <w:marTop w:val="0"/>
          <w:marBottom w:val="0"/>
          <w:divBdr>
            <w:top w:val="none" w:sz="0" w:space="0" w:color="auto"/>
            <w:left w:val="none" w:sz="0" w:space="0" w:color="auto"/>
            <w:bottom w:val="none" w:sz="0" w:space="0" w:color="auto"/>
            <w:right w:val="none" w:sz="0" w:space="0" w:color="auto"/>
          </w:divBdr>
        </w:div>
        <w:div w:id="869225117">
          <w:marLeft w:val="640"/>
          <w:marRight w:val="0"/>
          <w:marTop w:val="0"/>
          <w:marBottom w:val="0"/>
          <w:divBdr>
            <w:top w:val="none" w:sz="0" w:space="0" w:color="auto"/>
            <w:left w:val="none" w:sz="0" w:space="0" w:color="auto"/>
            <w:bottom w:val="none" w:sz="0" w:space="0" w:color="auto"/>
            <w:right w:val="none" w:sz="0" w:space="0" w:color="auto"/>
          </w:divBdr>
        </w:div>
        <w:div w:id="1971589293">
          <w:marLeft w:val="640"/>
          <w:marRight w:val="0"/>
          <w:marTop w:val="0"/>
          <w:marBottom w:val="0"/>
          <w:divBdr>
            <w:top w:val="none" w:sz="0" w:space="0" w:color="auto"/>
            <w:left w:val="none" w:sz="0" w:space="0" w:color="auto"/>
            <w:bottom w:val="none" w:sz="0" w:space="0" w:color="auto"/>
            <w:right w:val="none" w:sz="0" w:space="0" w:color="auto"/>
          </w:divBdr>
        </w:div>
        <w:div w:id="1426612039">
          <w:marLeft w:val="640"/>
          <w:marRight w:val="0"/>
          <w:marTop w:val="0"/>
          <w:marBottom w:val="0"/>
          <w:divBdr>
            <w:top w:val="none" w:sz="0" w:space="0" w:color="auto"/>
            <w:left w:val="none" w:sz="0" w:space="0" w:color="auto"/>
            <w:bottom w:val="none" w:sz="0" w:space="0" w:color="auto"/>
            <w:right w:val="none" w:sz="0" w:space="0" w:color="auto"/>
          </w:divBdr>
        </w:div>
        <w:div w:id="988509982">
          <w:marLeft w:val="640"/>
          <w:marRight w:val="0"/>
          <w:marTop w:val="0"/>
          <w:marBottom w:val="0"/>
          <w:divBdr>
            <w:top w:val="none" w:sz="0" w:space="0" w:color="auto"/>
            <w:left w:val="none" w:sz="0" w:space="0" w:color="auto"/>
            <w:bottom w:val="none" w:sz="0" w:space="0" w:color="auto"/>
            <w:right w:val="none" w:sz="0" w:space="0" w:color="auto"/>
          </w:divBdr>
        </w:div>
        <w:div w:id="1561212683">
          <w:marLeft w:val="640"/>
          <w:marRight w:val="0"/>
          <w:marTop w:val="0"/>
          <w:marBottom w:val="0"/>
          <w:divBdr>
            <w:top w:val="none" w:sz="0" w:space="0" w:color="auto"/>
            <w:left w:val="none" w:sz="0" w:space="0" w:color="auto"/>
            <w:bottom w:val="none" w:sz="0" w:space="0" w:color="auto"/>
            <w:right w:val="none" w:sz="0" w:space="0" w:color="auto"/>
          </w:divBdr>
        </w:div>
        <w:div w:id="729154546">
          <w:marLeft w:val="640"/>
          <w:marRight w:val="0"/>
          <w:marTop w:val="0"/>
          <w:marBottom w:val="0"/>
          <w:divBdr>
            <w:top w:val="none" w:sz="0" w:space="0" w:color="auto"/>
            <w:left w:val="none" w:sz="0" w:space="0" w:color="auto"/>
            <w:bottom w:val="none" w:sz="0" w:space="0" w:color="auto"/>
            <w:right w:val="none" w:sz="0" w:space="0" w:color="auto"/>
          </w:divBdr>
        </w:div>
        <w:div w:id="1398628887">
          <w:marLeft w:val="640"/>
          <w:marRight w:val="0"/>
          <w:marTop w:val="0"/>
          <w:marBottom w:val="0"/>
          <w:divBdr>
            <w:top w:val="none" w:sz="0" w:space="0" w:color="auto"/>
            <w:left w:val="none" w:sz="0" w:space="0" w:color="auto"/>
            <w:bottom w:val="none" w:sz="0" w:space="0" w:color="auto"/>
            <w:right w:val="none" w:sz="0" w:space="0" w:color="auto"/>
          </w:divBdr>
        </w:div>
        <w:div w:id="779109127">
          <w:marLeft w:val="640"/>
          <w:marRight w:val="0"/>
          <w:marTop w:val="0"/>
          <w:marBottom w:val="0"/>
          <w:divBdr>
            <w:top w:val="none" w:sz="0" w:space="0" w:color="auto"/>
            <w:left w:val="none" w:sz="0" w:space="0" w:color="auto"/>
            <w:bottom w:val="none" w:sz="0" w:space="0" w:color="auto"/>
            <w:right w:val="none" w:sz="0" w:space="0" w:color="auto"/>
          </w:divBdr>
        </w:div>
        <w:div w:id="1859153553">
          <w:marLeft w:val="640"/>
          <w:marRight w:val="0"/>
          <w:marTop w:val="0"/>
          <w:marBottom w:val="0"/>
          <w:divBdr>
            <w:top w:val="none" w:sz="0" w:space="0" w:color="auto"/>
            <w:left w:val="none" w:sz="0" w:space="0" w:color="auto"/>
            <w:bottom w:val="none" w:sz="0" w:space="0" w:color="auto"/>
            <w:right w:val="none" w:sz="0" w:space="0" w:color="auto"/>
          </w:divBdr>
        </w:div>
        <w:div w:id="1760448883">
          <w:marLeft w:val="640"/>
          <w:marRight w:val="0"/>
          <w:marTop w:val="0"/>
          <w:marBottom w:val="0"/>
          <w:divBdr>
            <w:top w:val="none" w:sz="0" w:space="0" w:color="auto"/>
            <w:left w:val="none" w:sz="0" w:space="0" w:color="auto"/>
            <w:bottom w:val="none" w:sz="0" w:space="0" w:color="auto"/>
            <w:right w:val="none" w:sz="0" w:space="0" w:color="auto"/>
          </w:divBdr>
        </w:div>
        <w:div w:id="1148009145">
          <w:marLeft w:val="640"/>
          <w:marRight w:val="0"/>
          <w:marTop w:val="0"/>
          <w:marBottom w:val="0"/>
          <w:divBdr>
            <w:top w:val="none" w:sz="0" w:space="0" w:color="auto"/>
            <w:left w:val="none" w:sz="0" w:space="0" w:color="auto"/>
            <w:bottom w:val="none" w:sz="0" w:space="0" w:color="auto"/>
            <w:right w:val="none" w:sz="0" w:space="0" w:color="auto"/>
          </w:divBdr>
        </w:div>
        <w:div w:id="1501576875">
          <w:marLeft w:val="640"/>
          <w:marRight w:val="0"/>
          <w:marTop w:val="0"/>
          <w:marBottom w:val="0"/>
          <w:divBdr>
            <w:top w:val="none" w:sz="0" w:space="0" w:color="auto"/>
            <w:left w:val="none" w:sz="0" w:space="0" w:color="auto"/>
            <w:bottom w:val="none" w:sz="0" w:space="0" w:color="auto"/>
            <w:right w:val="none" w:sz="0" w:space="0" w:color="auto"/>
          </w:divBdr>
        </w:div>
        <w:div w:id="1185752357">
          <w:marLeft w:val="640"/>
          <w:marRight w:val="0"/>
          <w:marTop w:val="0"/>
          <w:marBottom w:val="0"/>
          <w:divBdr>
            <w:top w:val="none" w:sz="0" w:space="0" w:color="auto"/>
            <w:left w:val="none" w:sz="0" w:space="0" w:color="auto"/>
            <w:bottom w:val="none" w:sz="0" w:space="0" w:color="auto"/>
            <w:right w:val="none" w:sz="0" w:space="0" w:color="auto"/>
          </w:divBdr>
        </w:div>
        <w:div w:id="513038896">
          <w:marLeft w:val="640"/>
          <w:marRight w:val="0"/>
          <w:marTop w:val="0"/>
          <w:marBottom w:val="0"/>
          <w:divBdr>
            <w:top w:val="none" w:sz="0" w:space="0" w:color="auto"/>
            <w:left w:val="none" w:sz="0" w:space="0" w:color="auto"/>
            <w:bottom w:val="none" w:sz="0" w:space="0" w:color="auto"/>
            <w:right w:val="none" w:sz="0" w:space="0" w:color="auto"/>
          </w:divBdr>
        </w:div>
        <w:div w:id="26832667">
          <w:marLeft w:val="640"/>
          <w:marRight w:val="0"/>
          <w:marTop w:val="0"/>
          <w:marBottom w:val="0"/>
          <w:divBdr>
            <w:top w:val="none" w:sz="0" w:space="0" w:color="auto"/>
            <w:left w:val="none" w:sz="0" w:space="0" w:color="auto"/>
            <w:bottom w:val="none" w:sz="0" w:space="0" w:color="auto"/>
            <w:right w:val="none" w:sz="0" w:space="0" w:color="auto"/>
          </w:divBdr>
        </w:div>
        <w:div w:id="166869760">
          <w:marLeft w:val="640"/>
          <w:marRight w:val="0"/>
          <w:marTop w:val="0"/>
          <w:marBottom w:val="0"/>
          <w:divBdr>
            <w:top w:val="none" w:sz="0" w:space="0" w:color="auto"/>
            <w:left w:val="none" w:sz="0" w:space="0" w:color="auto"/>
            <w:bottom w:val="none" w:sz="0" w:space="0" w:color="auto"/>
            <w:right w:val="none" w:sz="0" w:space="0" w:color="auto"/>
          </w:divBdr>
        </w:div>
        <w:div w:id="70737297">
          <w:marLeft w:val="640"/>
          <w:marRight w:val="0"/>
          <w:marTop w:val="0"/>
          <w:marBottom w:val="0"/>
          <w:divBdr>
            <w:top w:val="none" w:sz="0" w:space="0" w:color="auto"/>
            <w:left w:val="none" w:sz="0" w:space="0" w:color="auto"/>
            <w:bottom w:val="none" w:sz="0" w:space="0" w:color="auto"/>
            <w:right w:val="none" w:sz="0" w:space="0" w:color="auto"/>
          </w:divBdr>
        </w:div>
        <w:div w:id="438843611">
          <w:marLeft w:val="640"/>
          <w:marRight w:val="0"/>
          <w:marTop w:val="0"/>
          <w:marBottom w:val="0"/>
          <w:divBdr>
            <w:top w:val="none" w:sz="0" w:space="0" w:color="auto"/>
            <w:left w:val="none" w:sz="0" w:space="0" w:color="auto"/>
            <w:bottom w:val="none" w:sz="0" w:space="0" w:color="auto"/>
            <w:right w:val="none" w:sz="0" w:space="0" w:color="auto"/>
          </w:divBdr>
        </w:div>
        <w:div w:id="1225338414">
          <w:marLeft w:val="640"/>
          <w:marRight w:val="0"/>
          <w:marTop w:val="0"/>
          <w:marBottom w:val="0"/>
          <w:divBdr>
            <w:top w:val="none" w:sz="0" w:space="0" w:color="auto"/>
            <w:left w:val="none" w:sz="0" w:space="0" w:color="auto"/>
            <w:bottom w:val="none" w:sz="0" w:space="0" w:color="auto"/>
            <w:right w:val="none" w:sz="0" w:space="0" w:color="auto"/>
          </w:divBdr>
        </w:div>
        <w:div w:id="616840352">
          <w:marLeft w:val="640"/>
          <w:marRight w:val="0"/>
          <w:marTop w:val="0"/>
          <w:marBottom w:val="0"/>
          <w:divBdr>
            <w:top w:val="none" w:sz="0" w:space="0" w:color="auto"/>
            <w:left w:val="none" w:sz="0" w:space="0" w:color="auto"/>
            <w:bottom w:val="none" w:sz="0" w:space="0" w:color="auto"/>
            <w:right w:val="none" w:sz="0" w:space="0" w:color="auto"/>
          </w:divBdr>
        </w:div>
        <w:div w:id="1602759535">
          <w:marLeft w:val="640"/>
          <w:marRight w:val="0"/>
          <w:marTop w:val="0"/>
          <w:marBottom w:val="0"/>
          <w:divBdr>
            <w:top w:val="none" w:sz="0" w:space="0" w:color="auto"/>
            <w:left w:val="none" w:sz="0" w:space="0" w:color="auto"/>
            <w:bottom w:val="none" w:sz="0" w:space="0" w:color="auto"/>
            <w:right w:val="none" w:sz="0" w:space="0" w:color="auto"/>
          </w:divBdr>
        </w:div>
        <w:div w:id="1326669517">
          <w:marLeft w:val="640"/>
          <w:marRight w:val="0"/>
          <w:marTop w:val="0"/>
          <w:marBottom w:val="0"/>
          <w:divBdr>
            <w:top w:val="none" w:sz="0" w:space="0" w:color="auto"/>
            <w:left w:val="none" w:sz="0" w:space="0" w:color="auto"/>
            <w:bottom w:val="none" w:sz="0" w:space="0" w:color="auto"/>
            <w:right w:val="none" w:sz="0" w:space="0" w:color="auto"/>
          </w:divBdr>
        </w:div>
        <w:div w:id="45304424">
          <w:marLeft w:val="640"/>
          <w:marRight w:val="0"/>
          <w:marTop w:val="0"/>
          <w:marBottom w:val="0"/>
          <w:divBdr>
            <w:top w:val="none" w:sz="0" w:space="0" w:color="auto"/>
            <w:left w:val="none" w:sz="0" w:space="0" w:color="auto"/>
            <w:bottom w:val="none" w:sz="0" w:space="0" w:color="auto"/>
            <w:right w:val="none" w:sz="0" w:space="0" w:color="auto"/>
          </w:divBdr>
        </w:div>
        <w:div w:id="689450604">
          <w:marLeft w:val="640"/>
          <w:marRight w:val="0"/>
          <w:marTop w:val="0"/>
          <w:marBottom w:val="0"/>
          <w:divBdr>
            <w:top w:val="none" w:sz="0" w:space="0" w:color="auto"/>
            <w:left w:val="none" w:sz="0" w:space="0" w:color="auto"/>
            <w:bottom w:val="none" w:sz="0" w:space="0" w:color="auto"/>
            <w:right w:val="none" w:sz="0" w:space="0" w:color="auto"/>
          </w:divBdr>
        </w:div>
        <w:div w:id="2091854777">
          <w:marLeft w:val="640"/>
          <w:marRight w:val="0"/>
          <w:marTop w:val="0"/>
          <w:marBottom w:val="0"/>
          <w:divBdr>
            <w:top w:val="none" w:sz="0" w:space="0" w:color="auto"/>
            <w:left w:val="none" w:sz="0" w:space="0" w:color="auto"/>
            <w:bottom w:val="none" w:sz="0" w:space="0" w:color="auto"/>
            <w:right w:val="none" w:sz="0" w:space="0" w:color="auto"/>
          </w:divBdr>
        </w:div>
        <w:div w:id="1999187180">
          <w:marLeft w:val="640"/>
          <w:marRight w:val="0"/>
          <w:marTop w:val="0"/>
          <w:marBottom w:val="0"/>
          <w:divBdr>
            <w:top w:val="none" w:sz="0" w:space="0" w:color="auto"/>
            <w:left w:val="none" w:sz="0" w:space="0" w:color="auto"/>
            <w:bottom w:val="none" w:sz="0" w:space="0" w:color="auto"/>
            <w:right w:val="none" w:sz="0" w:space="0" w:color="auto"/>
          </w:divBdr>
        </w:div>
        <w:div w:id="2020428158">
          <w:marLeft w:val="640"/>
          <w:marRight w:val="0"/>
          <w:marTop w:val="0"/>
          <w:marBottom w:val="0"/>
          <w:divBdr>
            <w:top w:val="none" w:sz="0" w:space="0" w:color="auto"/>
            <w:left w:val="none" w:sz="0" w:space="0" w:color="auto"/>
            <w:bottom w:val="none" w:sz="0" w:space="0" w:color="auto"/>
            <w:right w:val="none" w:sz="0" w:space="0" w:color="auto"/>
          </w:divBdr>
        </w:div>
        <w:div w:id="396048748">
          <w:marLeft w:val="640"/>
          <w:marRight w:val="0"/>
          <w:marTop w:val="0"/>
          <w:marBottom w:val="0"/>
          <w:divBdr>
            <w:top w:val="none" w:sz="0" w:space="0" w:color="auto"/>
            <w:left w:val="none" w:sz="0" w:space="0" w:color="auto"/>
            <w:bottom w:val="none" w:sz="0" w:space="0" w:color="auto"/>
            <w:right w:val="none" w:sz="0" w:space="0" w:color="auto"/>
          </w:divBdr>
        </w:div>
        <w:div w:id="23529329">
          <w:marLeft w:val="640"/>
          <w:marRight w:val="0"/>
          <w:marTop w:val="0"/>
          <w:marBottom w:val="0"/>
          <w:divBdr>
            <w:top w:val="none" w:sz="0" w:space="0" w:color="auto"/>
            <w:left w:val="none" w:sz="0" w:space="0" w:color="auto"/>
            <w:bottom w:val="none" w:sz="0" w:space="0" w:color="auto"/>
            <w:right w:val="none" w:sz="0" w:space="0" w:color="auto"/>
          </w:divBdr>
        </w:div>
        <w:div w:id="2137796140">
          <w:marLeft w:val="640"/>
          <w:marRight w:val="0"/>
          <w:marTop w:val="0"/>
          <w:marBottom w:val="0"/>
          <w:divBdr>
            <w:top w:val="none" w:sz="0" w:space="0" w:color="auto"/>
            <w:left w:val="none" w:sz="0" w:space="0" w:color="auto"/>
            <w:bottom w:val="none" w:sz="0" w:space="0" w:color="auto"/>
            <w:right w:val="none" w:sz="0" w:space="0" w:color="auto"/>
          </w:divBdr>
        </w:div>
        <w:div w:id="1448430338">
          <w:marLeft w:val="640"/>
          <w:marRight w:val="0"/>
          <w:marTop w:val="0"/>
          <w:marBottom w:val="0"/>
          <w:divBdr>
            <w:top w:val="none" w:sz="0" w:space="0" w:color="auto"/>
            <w:left w:val="none" w:sz="0" w:space="0" w:color="auto"/>
            <w:bottom w:val="none" w:sz="0" w:space="0" w:color="auto"/>
            <w:right w:val="none" w:sz="0" w:space="0" w:color="auto"/>
          </w:divBdr>
        </w:div>
        <w:div w:id="676543786">
          <w:marLeft w:val="640"/>
          <w:marRight w:val="0"/>
          <w:marTop w:val="0"/>
          <w:marBottom w:val="0"/>
          <w:divBdr>
            <w:top w:val="none" w:sz="0" w:space="0" w:color="auto"/>
            <w:left w:val="none" w:sz="0" w:space="0" w:color="auto"/>
            <w:bottom w:val="none" w:sz="0" w:space="0" w:color="auto"/>
            <w:right w:val="none" w:sz="0" w:space="0" w:color="auto"/>
          </w:divBdr>
        </w:div>
        <w:div w:id="83650586">
          <w:marLeft w:val="640"/>
          <w:marRight w:val="0"/>
          <w:marTop w:val="0"/>
          <w:marBottom w:val="0"/>
          <w:divBdr>
            <w:top w:val="none" w:sz="0" w:space="0" w:color="auto"/>
            <w:left w:val="none" w:sz="0" w:space="0" w:color="auto"/>
            <w:bottom w:val="none" w:sz="0" w:space="0" w:color="auto"/>
            <w:right w:val="none" w:sz="0" w:space="0" w:color="auto"/>
          </w:divBdr>
        </w:div>
        <w:div w:id="1667324801">
          <w:marLeft w:val="640"/>
          <w:marRight w:val="0"/>
          <w:marTop w:val="0"/>
          <w:marBottom w:val="0"/>
          <w:divBdr>
            <w:top w:val="none" w:sz="0" w:space="0" w:color="auto"/>
            <w:left w:val="none" w:sz="0" w:space="0" w:color="auto"/>
            <w:bottom w:val="none" w:sz="0" w:space="0" w:color="auto"/>
            <w:right w:val="none" w:sz="0" w:space="0" w:color="auto"/>
          </w:divBdr>
        </w:div>
        <w:div w:id="254635453">
          <w:marLeft w:val="640"/>
          <w:marRight w:val="0"/>
          <w:marTop w:val="0"/>
          <w:marBottom w:val="0"/>
          <w:divBdr>
            <w:top w:val="none" w:sz="0" w:space="0" w:color="auto"/>
            <w:left w:val="none" w:sz="0" w:space="0" w:color="auto"/>
            <w:bottom w:val="none" w:sz="0" w:space="0" w:color="auto"/>
            <w:right w:val="none" w:sz="0" w:space="0" w:color="auto"/>
          </w:divBdr>
        </w:div>
        <w:div w:id="462890223">
          <w:marLeft w:val="640"/>
          <w:marRight w:val="0"/>
          <w:marTop w:val="0"/>
          <w:marBottom w:val="0"/>
          <w:divBdr>
            <w:top w:val="none" w:sz="0" w:space="0" w:color="auto"/>
            <w:left w:val="none" w:sz="0" w:space="0" w:color="auto"/>
            <w:bottom w:val="none" w:sz="0" w:space="0" w:color="auto"/>
            <w:right w:val="none" w:sz="0" w:space="0" w:color="auto"/>
          </w:divBdr>
        </w:div>
        <w:div w:id="1821802130">
          <w:marLeft w:val="640"/>
          <w:marRight w:val="0"/>
          <w:marTop w:val="0"/>
          <w:marBottom w:val="0"/>
          <w:divBdr>
            <w:top w:val="none" w:sz="0" w:space="0" w:color="auto"/>
            <w:left w:val="none" w:sz="0" w:space="0" w:color="auto"/>
            <w:bottom w:val="none" w:sz="0" w:space="0" w:color="auto"/>
            <w:right w:val="none" w:sz="0" w:space="0" w:color="auto"/>
          </w:divBdr>
        </w:div>
        <w:div w:id="1222600700">
          <w:marLeft w:val="640"/>
          <w:marRight w:val="0"/>
          <w:marTop w:val="0"/>
          <w:marBottom w:val="0"/>
          <w:divBdr>
            <w:top w:val="none" w:sz="0" w:space="0" w:color="auto"/>
            <w:left w:val="none" w:sz="0" w:space="0" w:color="auto"/>
            <w:bottom w:val="none" w:sz="0" w:space="0" w:color="auto"/>
            <w:right w:val="none" w:sz="0" w:space="0" w:color="auto"/>
          </w:divBdr>
        </w:div>
        <w:div w:id="1189223902">
          <w:marLeft w:val="640"/>
          <w:marRight w:val="0"/>
          <w:marTop w:val="0"/>
          <w:marBottom w:val="0"/>
          <w:divBdr>
            <w:top w:val="none" w:sz="0" w:space="0" w:color="auto"/>
            <w:left w:val="none" w:sz="0" w:space="0" w:color="auto"/>
            <w:bottom w:val="none" w:sz="0" w:space="0" w:color="auto"/>
            <w:right w:val="none" w:sz="0" w:space="0" w:color="auto"/>
          </w:divBdr>
        </w:div>
        <w:div w:id="1816331597">
          <w:marLeft w:val="640"/>
          <w:marRight w:val="0"/>
          <w:marTop w:val="0"/>
          <w:marBottom w:val="0"/>
          <w:divBdr>
            <w:top w:val="none" w:sz="0" w:space="0" w:color="auto"/>
            <w:left w:val="none" w:sz="0" w:space="0" w:color="auto"/>
            <w:bottom w:val="none" w:sz="0" w:space="0" w:color="auto"/>
            <w:right w:val="none" w:sz="0" w:space="0" w:color="auto"/>
          </w:divBdr>
        </w:div>
        <w:div w:id="1989362712">
          <w:marLeft w:val="640"/>
          <w:marRight w:val="0"/>
          <w:marTop w:val="0"/>
          <w:marBottom w:val="0"/>
          <w:divBdr>
            <w:top w:val="none" w:sz="0" w:space="0" w:color="auto"/>
            <w:left w:val="none" w:sz="0" w:space="0" w:color="auto"/>
            <w:bottom w:val="none" w:sz="0" w:space="0" w:color="auto"/>
            <w:right w:val="none" w:sz="0" w:space="0" w:color="auto"/>
          </w:divBdr>
        </w:div>
        <w:div w:id="1711496852">
          <w:marLeft w:val="640"/>
          <w:marRight w:val="0"/>
          <w:marTop w:val="0"/>
          <w:marBottom w:val="0"/>
          <w:divBdr>
            <w:top w:val="none" w:sz="0" w:space="0" w:color="auto"/>
            <w:left w:val="none" w:sz="0" w:space="0" w:color="auto"/>
            <w:bottom w:val="none" w:sz="0" w:space="0" w:color="auto"/>
            <w:right w:val="none" w:sz="0" w:space="0" w:color="auto"/>
          </w:divBdr>
        </w:div>
        <w:div w:id="1744374027">
          <w:marLeft w:val="640"/>
          <w:marRight w:val="0"/>
          <w:marTop w:val="0"/>
          <w:marBottom w:val="0"/>
          <w:divBdr>
            <w:top w:val="none" w:sz="0" w:space="0" w:color="auto"/>
            <w:left w:val="none" w:sz="0" w:space="0" w:color="auto"/>
            <w:bottom w:val="none" w:sz="0" w:space="0" w:color="auto"/>
            <w:right w:val="none" w:sz="0" w:space="0" w:color="auto"/>
          </w:divBdr>
        </w:div>
        <w:div w:id="1948385615">
          <w:marLeft w:val="640"/>
          <w:marRight w:val="0"/>
          <w:marTop w:val="0"/>
          <w:marBottom w:val="0"/>
          <w:divBdr>
            <w:top w:val="none" w:sz="0" w:space="0" w:color="auto"/>
            <w:left w:val="none" w:sz="0" w:space="0" w:color="auto"/>
            <w:bottom w:val="none" w:sz="0" w:space="0" w:color="auto"/>
            <w:right w:val="none" w:sz="0" w:space="0" w:color="auto"/>
          </w:divBdr>
        </w:div>
        <w:div w:id="769013098">
          <w:marLeft w:val="640"/>
          <w:marRight w:val="0"/>
          <w:marTop w:val="0"/>
          <w:marBottom w:val="0"/>
          <w:divBdr>
            <w:top w:val="none" w:sz="0" w:space="0" w:color="auto"/>
            <w:left w:val="none" w:sz="0" w:space="0" w:color="auto"/>
            <w:bottom w:val="none" w:sz="0" w:space="0" w:color="auto"/>
            <w:right w:val="none" w:sz="0" w:space="0" w:color="auto"/>
          </w:divBdr>
        </w:div>
        <w:div w:id="1182665258">
          <w:marLeft w:val="640"/>
          <w:marRight w:val="0"/>
          <w:marTop w:val="0"/>
          <w:marBottom w:val="0"/>
          <w:divBdr>
            <w:top w:val="none" w:sz="0" w:space="0" w:color="auto"/>
            <w:left w:val="none" w:sz="0" w:space="0" w:color="auto"/>
            <w:bottom w:val="none" w:sz="0" w:space="0" w:color="auto"/>
            <w:right w:val="none" w:sz="0" w:space="0" w:color="auto"/>
          </w:divBdr>
        </w:div>
        <w:div w:id="1816413365">
          <w:marLeft w:val="640"/>
          <w:marRight w:val="0"/>
          <w:marTop w:val="0"/>
          <w:marBottom w:val="0"/>
          <w:divBdr>
            <w:top w:val="none" w:sz="0" w:space="0" w:color="auto"/>
            <w:left w:val="none" w:sz="0" w:space="0" w:color="auto"/>
            <w:bottom w:val="none" w:sz="0" w:space="0" w:color="auto"/>
            <w:right w:val="none" w:sz="0" w:space="0" w:color="auto"/>
          </w:divBdr>
        </w:div>
        <w:div w:id="2046102610">
          <w:marLeft w:val="640"/>
          <w:marRight w:val="0"/>
          <w:marTop w:val="0"/>
          <w:marBottom w:val="0"/>
          <w:divBdr>
            <w:top w:val="none" w:sz="0" w:space="0" w:color="auto"/>
            <w:left w:val="none" w:sz="0" w:space="0" w:color="auto"/>
            <w:bottom w:val="none" w:sz="0" w:space="0" w:color="auto"/>
            <w:right w:val="none" w:sz="0" w:space="0" w:color="auto"/>
          </w:divBdr>
        </w:div>
        <w:div w:id="946161263">
          <w:marLeft w:val="640"/>
          <w:marRight w:val="0"/>
          <w:marTop w:val="0"/>
          <w:marBottom w:val="0"/>
          <w:divBdr>
            <w:top w:val="none" w:sz="0" w:space="0" w:color="auto"/>
            <w:left w:val="none" w:sz="0" w:space="0" w:color="auto"/>
            <w:bottom w:val="none" w:sz="0" w:space="0" w:color="auto"/>
            <w:right w:val="none" w:sz="0" w:space="0" w:color="auto"/>
          </w:divBdr>
        </w:div>
        <w:div w:id="1064915443">
          <w:marLeft w:val="640"/>
          <w:marRight w:val="0"/>
          <w:marTop w:val="0"/>
          <w:marBottom w:val="0"/>
          <w:divBdr>
            <w:top w:val="none" w:sz="0" w:space="0" w:color="auto"/>
            <w:left w:val="none" w:sz="0" w:space="0" w:color="auto"/>
            <w:bottom w:val="none" w:sz="0" w:space="0" w:color="auto"/>
            <w:right w:val="none" w:sz="0" w:space="0" w:color="auto"/>
          </w:divBdr>
        </w:div>
        <w:div w:id="8728498">
          <w:marLeft w:val="640"/>
          <w:marRight w:val="0"/>
          <w:marTop w:val="0"/>
          <w:marBottom w:val="0"/>
          <w:divBdr>
            <w:top w:val="none" w:sz="0" w:space="0" w:color="auto"/>
            <w:left w:val="none" w:sz="0" w:space="0" w:color="auto"/>
            <w:bottom w:val="none" w:sz="0" w:space="0" w:color="auto"/>
            <w:right w:val="none" w:sz="0" w:space="0" w:color="auto"/>
          </w:divBdr>
        </w:div>
        <w:div w:id="1745489831">
          <w:marLeft w:val="640"/>
          <w:marRight w:val="0"/>
          <w:marTop w:val="0"/>
          <w:marBottom w:val="0"/>
          <w:divBdr>
            <w:top w:val="none" w:sz="0" w:space="0" w:color="auto"/>
            <w:left w:val="none" w:sz="0" w:space="0" w:color="auto"/>
            <w:bottom w:val="none" w:sz="0" w:space="0" w:color="auto"/>
            <w:right w:val="none" w:sz="0" w:space="0" w:color="auto"/>
          </w:divBdr>
        </w:div>
        <w:div w:id="357005186">
          <w:marLeft w:val="640"/>
          <w:marRight w:val="0"/>
          <w:marTop w:val="0"/>
          <w:marBottom w:val="0"/>
          <w:divBdr>
            <w:top w:val="none" w:sz="0" w:space="0" w:color="auto"/>
            <w:left w:val="none" w:sz="0" w:space="0" w:color="auto"/>
            <w:bottom w:val="none" w:sz="0" w:space="0" w:color="auto"/>
            <w:right w:val="none" w:sz="0" w:space="0" w:color="auto"/>
          </w:divBdr>
        </w:div>
        <w:div w:id="1914313884">
          <w:marLeft w:val="640"/>
          <w:marRight w:val="0"/>
          <w:marTop w:val="0"/>
          <w:marBottom w:val="0"/>
          <w:divBdr>
            <w:top w:val="none" w:sz="0" w:space="0" w:color="auto"/>
            <w:left w:val="none" w:sz="0" w:space="0" w:color="auto"/>
            <w:bottom w:val="none" w:sz="0" w:space="0" w:color="auto"/>
            <w:right w:val="none" w:sz="0" w:space="0" w:color="auto"/>
          </w:divBdr>
        </w:div>
        <w:div w:id="469901584">
          <w:marLeft w:val="640"/>
          <w:marRight w:val="0"/>
          <w:marTop w:val="0"/>
          <w:marBottom w:val="0"/>
          <w:divBdr>
            <w:top w:val="none" w:sz="0" w:space="0" w:color="auto"/>
            <w:left w:val="none" w:sz="0" w:space="0" w:color="auto"/>
            <w:bottom w:val="none" w:sz="0" w:space="0" w:color="auto"/>
            <w:right w:val="none" w:sz="0" w:space="0" w:color="auto"/>
          </w:divBdr>
        </w:div>
        <w:div w:id="1966883026">
          <w:marLeft w:val="640"/>
          <w:marRight w:val="0"/>
          <w:marTop w:val="0"/>
          <w:marBottom w:val="0"/>
          <w:divBdr>
            <w:top w:val="none" w:sz="0" w:space="0" w:color="auto"/>
            <w:left w:val="none" w:sz="0" w:space="0" w:color="auto"/>
            <w:bottom w:val="none" w:sz="0" w:space="0" w:color="auto"/>
            <w:right w:val="none" w:sz="0" w:space="0" w:color="auto"/>
          </w:divBdr>
        </w:div>
        <w:div w:id="1290748470">
          <w:marLeft w:val="640"/>
          <w:marRight w:val="0"/>
          <w:marTop w:val="0"/>
          <w:marBottom w:val="0"/>
          <w:divBdr>
            <w:top w:val="none" w:sz="0" w:space="0" w:color="auto"/>
            <w:left w:val="none" w:sz="0" w:space="0" w:color="auto"/>
            <w:bottom w:val="none" w:sz="0" w:space="0" w:color="auto"/>
            <w:right w:val="none" w:sz="0" w:space="0" w:color="auto"/>
          </w:divBdr>
        </w:div>
        <w:div w:id="505248585">
          <w:marLeft w:val="640"/>
          <w:marRight w:val="0"/>
          <w:marTop w:val="0"/>
          <w:marBottom w:val="0"/>
          <w:divBdr>
            <w:top w:val="none" w:sz="0" w:space="0" w:color="auto"/>
            <w:left w:val="none" w:sz="0" w:space="0" w:color="auto"/>
            <w:bottom w:val="none" w:sz="0" w:space="0" w:color="auto"/>
            <w:right w:val="none" w:sz="0" w:space="0" w:color="auto"/>
          </w:divBdr>
        </w:div>
        <w:div w:id="1565141869">
          <w:marLeft w:val="640"/>
          <w:marRight w:val="0"/>
          <w:marTop w:val="0"/>
          <w:marBottom w:val="0"/>
          <w:divBdr>
            <w:top w:val="none" w:sz="0" w:space="0" w:color="auto"/>
            <w:left w:val="none" w:sz="0" w:space="0" w:color="auto"/>
            <w:bottom w:val="none" w:sz="0" w:space="0" w:color="auto"/>
            <w:right w:val="none" w:sz="0" w:space="0" w:color="auto"/>
          </w:divBdr>
        </w:div>
        <w:div w:id="446003398">
          <w:marLeft w:val="640"/>
          <w:marRight w:val="0"/>
          <w:marTop w:val="0"/>
          <w:marBottom w:val="0"/>
          <w:divBdr>
            <w:top w:val="none" w:sz="0" w:space="0" w:color="auto"/>
            <w:left w:val="none" w:sz="0" w:space="0" w:color="auto"/>
            <w:bottom w:val="none" w:sz="0" w:space="0" w:color="auto"/>
            <w:right w:val="none" w:sz="0" w:space="0" w:color="auto"/>
          </w:divBdr>
        </w:div>
        <w:div w:id="1667781637">
          <w:marLeft w:val="640"/>
          <w:marRight w:val="0"/>
          <w:marTop w:val="0"/>
          <w:marBottom w:val="0"/>
          <w:divBdr>
            <w:top w:val="none" w:sz="0" w:space="0" w:color="auto"/>
            <w:left w:val="none" w:sz="0" w:space="0" w:color="auto"/>
            <w:bottom w:val="none" w:sz="0" w:space="0" w:color="auto"/>
            <w:right w:val="none" w:sz="0" w:space="0" w:color="auto"/>
          </w:divBdr>
        </w:div>
        <w:div w:id="1879311962">
          <w:marLeft w:val="640"/>
          <w:marRight w:val="0"/>
          <w:marTop w:val="0"/>
          <w:marBottom w:val="0"/>
          <w:divBdr>
            <w:top w:val="none" w:sz="0" w:space="0" w:color="auto"/>
            <w:left w:val="none" w:sz="0" w:space="0" w:color="auto"/>
            <w:bottom w:val="none" w:sz="0" w:space="0" w:color="auto"/>
            <w:right w:val="none" w:sz="0" w:space="0" w:color="auto"/>
          </w:divBdr>
        </w:div>
        <w:div w:id="588121347">
          <w:marLeft w:val="640"/>
          <w:marRight w:val="0"/>
          <w:marTop w:val="0"/>
          <w:marBottom w:val="0"/>
          <w:divBdr>
            <w:top w:val="none" w:sz="0" w:space="0" w:color="auto"/>
            <w:left w:val="none" w:sz="0" w:space="0" w:color="auto"/>
            <w:bottom w:val="none" w:sz="0" w:space="0" w:color="auto"/>
            <w:right w:val="none" w:sz="0" w:space="0" w:color="auto"/>
          </w:divBdr>
        </w:div>
        <w:div w:id="1443692960">
          <w:marLeft w:val="640"/>
          <w:marRight w:val="0"/>
          <w:marTop w:val="0"/>
          <w:marBottom w:val="0"/>
          <w:divBdr>
            <w:top w:val="none" w:sz="0" w:space="0" w:color="auto"/>
            <w:left w:val="none" w:sz="0" w:space="0" w:color="auto"/>
            <w:bottom w:val="none" w:sz="0" w:space="0" w:color="auto"/>
            <w:right w:val="none" w:sz="0" w:space="0" w:color="auto"/>
          </w:divBdr>
        </w:div>
        <w:div w:id="1324234845">
          <w:marLeft w:val="640"/>
          <w:marRight w:val="0"/>
          <w:marTop w:val="0"/>
          <w:marBottom w:val="0"/>
          <w:divBdr>
            <w:top w:val="none" w:sz="0" w:space="0" w:color="auto"/>
            <w:left w:val="none" w:sz="0" w:space="0" w:color="auto"/>
            <w:bottom w:val="none" w:sz="0" w:space="0" w:color="auto"/>
            <w:right w:val="none" w:sz="0" w:space="0" w:color="auto"/>
          </w:divBdr>
        </w:div>
        <w:div w:id="1800100804">
          <w:marLeft w:val="640"/>
          <w:marRight w:val="0"/>
          <w:marTop w:val="0"/>
          <w:marBottom w:val="0"/>
          <w:divBdr>
            <w:top w:val="none" w:sz="0" w:space="0" w:color="auto"/>
            <w:left w:val="none" w:sz="0" w:space="0" w:color="auto"/>
            <w:bottom w:val="none" w:sz="0" w:space="0" w:color="auto"/>
            <w:right w:val="none" w:sz="0" w:space="0" w:color="auto"/>
          </w:divBdr>
        </w:div>
        <w:div w:id="198515874">
          <w:marLeft w:val="640"/>
          <w:marRight w:val="0"/>
          <w:marTop w:val="0"/>
          <w:marBottom w:val="0"/>
          <w:divBdr>
            <w:top w:val="none" w:sz="0" w:space="0" w:color="auto"/>
            <w:left w:val="none" w:sz="0" w:space="0" w:color="auto"/>
            <w:bottom w:val="none" w:sz="0" w:space="0" w:color="auto"/>
            <w:right w:val="none" w:sz="0" w:space="0" w:color="auto"/>
          </w:divBdr>
        </w:div>
        <w:div w:id="176622186">
          <w:marLeft w:val="640"/>
          <w:marRight w:val="0"/>
          <w:marTop w:val="0"/>
          <w:marBottom w:val="0"/>
          <w:divBdr>
            <w:top w:val="none" w:sz="0" w:space="0" w:color="auto"/>
            <w:left w:val="none" w:sz="0" w:space="0" w:color="auto"/>
            <w:bottom w:val="none" w:sz="0" w:space="0" w:color="auto"/>
            <w:right w:val="none" w:sz="0" w:space="0" w:color="auto"/>
          </w:divBdr>
        </w:div>
        <w:div w:id="78066599">
          <w:marLeft w:val="640"/>
          <w:marRight w:val="0"/>
          <w:marTop w:val="0"/>
          <w:marBottom w:val="0"/>
          <w:divBdr>
            <w:top w:val="none" w:sz="0" w:space="0" w:color="auto"/>
            <w:left w:val="none" w:sz="0" w:space="0" w:color="auto"/>
            <w:bottom w:val="none" w:sz="0" w:space="0" w:color="auto"/>
            <w:right w:val="none" w:sz="0" w:space="0" w:color="auto"/>
          </w:divBdr>
        </w:div>
        <w:div w:id="632834039">
          <w:marLeft w:val="640"/>
          <w:marRight w:val="0"/>
          <w:marTop w:val="0"/>
          <w:marBottom w:val="0"/>
          <w:divBdr>
            <w:top w:val="none" w:sz="0" w:space="0" w:color="auto"/>
            <w:left w:val="none" w:sz="0" w:space="0" w:color="auto"/>
            <w:bottom w:val="none" w:sz="0" w:space="0" w:color="auto"/>
            <w:right w:val="none" w:sz="0" w:space="0" w:color="auto"/>
          </w:divBdr>
        </w:div>
        <w:div w:id="1825781837">
          <w:marLeft w:val="640"/>
          <w:marRight w:val="0"/>
          <w:marTop w:val="0"/>
          <w:marBottom w:val="0"/>
          <w:divBdr>
            <w:top w:val="none" w:sz="0" w:space="0" w:color="auto"/>
            <w:left w:val="none" w:sz="0" w:space="0" w:color="auto"/>
            <w:bottom w:val="none" w:sz="0" w:space="0" w:color="auto"/>
            <w:right w:val="none" w:sz="0" w:space="0" w:color="auto"/>
          </w:divBdr>
        </w:div>
        <w:div w:id="1818373310">
          <w:marLeft w:val="640"/>
          <w:marRight w:val="0"/>
          <w:marTop w:val="0"/>
          <w:marBottom w:val="0"/>
          <w:divBdr>
            <w:top w:val="none" w:sz="0" w:space="0" w:color="auto"/>
            <w:left w:val="none" w:sz="0" w:space="0" w:color="auto"/>
            <w:bottom w:val="none" w:sz="0" w:space="0" w:color="auto"/>
            <w:right w:val="none" w:sz="0" w:space="0" w:color="auto"/>
          </w:divBdr>
        </w:div>
        <w:div w:id="37514486">
          <w:marLeft w:val="640"/>
          <w:marRight w:val="0"/>
          <w:marTop w:val="0"/>
          <w:marBottom w:val="0"/>
          <w:divBdr>
            <w:top w:val="none" w:sz="0" w:space="0" w:color="auto"/>
            <w:left w:val="none" w:sz="0" w:space="0" w:color="auto"/>
            <w:bottom w:val="none" w:sz="0" w:space="0" w:color="auto"/>
            <w:right w:val="none" w:sz="0" w:space="0" w:color="auto"/>
          </w:divBdr>
        </w:div>
        <w:div w:id="969095076">
          <w:marLeft w:val="640"/>
          <w:marRight w:val="0"/>
          <w:marTop w:val="0"/>
          <w:marBottom w:val="0"/>
          <w:divBdr>
            <w:top w:val="none" w:sz="0" w:space="0" w:color="auto"/>
            <w:left w:val="none" w:sz="0" w:space="0" w:color="auto"/>
            <w:bottom w:val="none" w:sz="0" w:space="0" w:color="auto"/>
            <w:right w:val="none" w:sz="0" w:space="0" w:color="auto"/>
          </w:divBdr>
        </w:div>
        <w:div w:id="497503940">
          <w:marLeft w:val="640"/>
          <w:marRight w:val="0"/>
          <w:marTop w:val="0"/>
          <w:marBottom w:val="0"/>
          <w:divBdr>
            <w:top w:val="none" w:sz="0" w:space="0" w:color="auto"/>
            <w:left w:val="none" w:sz="0" w:space="0" w:color="auto"/>
            <w:bottom w:val="none" w:sz="0" w:space="0" w:color="auto"/>
            <w:right w:val="none" w:sz="0" w:space="0" w:color="auto"/>
          </w:divBdr>
        </w:div>
        <w:div w:id="1357777205">
          <w:marLeft w:val="640"/>
          <w:marRight w:val="0"/>
          <w:marTop w:val="0"/>
          <w:marBottom w:val="0"/>
          <w:divBdr>
            <w:top w:val="none" w:sz="0" w:space="0" w:color="auto"/>
            <w:left w:val="none" w:sz="0" w:space="0" w:color="auto"/>
            <w:bottom w:val="none" w:sz="0" w:space="0" w:color="auto"/>
            <w:right w:val="none" w:sz="0" w:space="0" w:color="auto"/>
          </w:divBdr>
        </w:div>
        <w:div w:id="1084061406">
          <w:marLeft w:val="640"/>
          <w:marRight w:val="0"/>
          <w:marTop w:val="0"/>
          <w:marBottom w:val="0"/>
          <w:divBdr>
            <w:top w:val="none" w:sz="0" w:space="0" w:color="auto"/>
            <w:left w:val="none" w:sz="0" w:space="0" w:color="auto"/>
            <w:bottom w:val="none" w:sz="0" w:space="0" w:color="auto"/>
            <w:right w:val="none" w:sz="0" w:space="0" w:color="auto"/>
          </w:divBdr>
        </w:div>
        <w:div w:id="1344552862">
          <w:marLeft w:val="640"/>
          <w:marRight w:val="0"/>
          <w:marTop w:val="0"/>
          <w:marBottom w:val="0"/>
          <w:divBdr>
            <w:top w:val="none" w:sz="0" w:space="0" w:color="auto"/>
            <w:left w:val="none" w:sz="0" w:space="0" w:color="auto"/>
            <w:bottom w:val="none" w:sz="0" w:space="0" w:color="auto"/>
            <w:right w:val="none" w:sz="0" w:space="0" w:color="auto"/>
          </w:divBdr>
        </w:div>
        <w:div w:id="1003977162">
          <w:marLeft w:val="640"/>
          <w:marRight w:val="0"/>
          <w:marTop w:val="0"/>
          <w:marBottom w:val="0"/>
          <w:divBdr>
            <w:top w:val="none" w:sz="0" w:space="0" w:color="auto"/>
            <w:left w:val="none" w:sz="0" w:space="0" w:color="auto"/>
            <w:bottom w:val="none" w:sz="0" w:space="0" w:color="auto"/>
            <w:right w:val="none" w:sz="0" w:space="0" w:color="auto"/>
          </w:divBdr>
        </w:div>
        <w:div w:id="1406610529">
          <w:marLeft w:val="640"/>
          <w:marRight w:val="0"/>
          <w:marTop w:val="0"/>
          <w:marBottom w:val="0"/>
          <w:divBdr>
            <w:top w:val="none" w:sz="0" w:space="0" w:color="auto"/>
            <w:left w:val="none" w:sz="0" w:space="0" w:color="auto"/>
            <w:bottom w:val="none" w:sz="0" w:space="0" w:color="auto"/>
            <w:right w:val="none" w:sz="0" w:space="0" w:color="auto"/>
          </w:divBdr>
        </w:div>
        <w:div w:id="177739313">
          <w:marLeft w:val="640"/>
          <w:marRight w:val="0"/>
          <w:marTop w:val="0"/>
          <w:marBottom w:val="0"/>
          <w:divBdr>
            <w:top w:val="none" w:sz="0" w:space="0" w:color="auto"/>
            <w:left w:val="none" w:sz="0" w:space="0" w:color="auto"/>
            <w:bottom w:val="none" w:sz="0" w:space="0" w:color="auto"/>
            <w:right w:val="none" w:sz="0" w:space="0" w:color="auto"/>
          </w:divBdr>
        </w:div>
        <w:div w:id="1642033140">
          <w:marLeft w:val="640"/>
          <w:marRight w:val="0"/>
          <w:marTop w:val="0"/>
          <w:marBottom w:val="0"/>
          <w:divBdr>
            <w:top w:val="none" w:sz="0" w:space="0" w:color="auto"/>
            <w:left w:val="none" w:sz="0" w:space="0" w:color="auto"/>
            <w:bottom w:val="none" w:sz="0" w:space="0" w:color="auto"/>
            <w:right w:val="none" w:sz="0" w:space="0" w:color="auto"/>
          </w:divBdr>
        </w:div>
        <w:div w:id="81148820">
          <w:marLeft w:val="640"/>
          <w:marRight w:val="0"/>
          <w:marTop w:val="0"/>
          <w:marBottom w:val="0"/>
          <w:divBdr>
            <w:top w:val="none" w:sz="0" w:space="0" w:color="auto"/>
            <w:left w:val="none" w:sz="0" w:space="0" w:color="auto"/>
            <w:bottom w:val="none" w:sz="0" w:space="0" w:color="auto"/>
            <w:right w:val="none" w:sz="0" w:space="0" w:color="auto"/>
          </w:divBdr>
        </w:div>
        <w:div w:id="642127492">
          <w:marLeft w:val="640"/>
          <w:marRight w:val="0"/>
          <w:marTop w:val="0"/>
          <w:marBottom w:val="0"/>
          <w:divBdr>
            <w:top w:val="none" w:sz="0" w:space="0" w:color="auto"/>
            <w:left w:val="none" w:sz="0" w:space="0" w:color="auto"/>
            <w:bottom w:val="none" w:sz="0" w:space="0" w:color="auto"/>
            <w:right w:val="none" w:sz="0" w:space="0" w:color="auto"/>
          </w:divBdr>
        </w:div>
        <w:div w:id="1319646724">
          <w:marLeft w:val="640"/>
          <w:marRight w:val="0"/>
          <w:marTop w:val="0"/>
          <w:marBottom w:val="0"/>
          <w:divBdr>
            <w:top w:val="none" w:sz="0" w:space="0" w:color="auto"/>
            <w:left w:val="none" w:sz="0" w:space="0" w:color="auto"/>
            <w:bottom w:val="none" w:sz="0" w:space="0" w:color="auto"/>
            <w:right w:val="none" w:sz="0" w:space="0" w:color="auto"/>
          </w:divBdr>
        </w:div>
        <w:div w:id="1326934614">
          <w:marLeft w:val="640"/>
          <w:marRight w:val="0"/>
          <w:marTop w:val="0"/>
          <w:marBottom w:val="0"/>
          <w:divBdr>
            <w:top w:val="none" w:sz="0" w:space="0" w:color="auto"/>
            <w:left w:val="none" w:sz="0" w:space="0" w:color="auto"/>
            <w:bottom w:val="none" w:sz="0" w:space="0" w:color="auto"/>
            <w:right w:val="none" w:sz="0" w:space="0" w:color="auto"/>
          </w:divBdr>
        </w:div>
        <w:div w:id="243877816">
          <w:marLeft w:val="640"/>
          <w:marRight w:val="0"/>
          <w:marTop w:val="0"/>
          <w:marBottom w:val="0"/>
          <w:divBdr>
            <w:top w:val="none" w:sz="0" w:space="0" w:color="auto"/>
            <w:left w:val="none" w:sz="0" w:space="0" w:color="auto"/>
            <w:bottom w:val="none" w:sz="0" w:space="0" w:color="auto"/>
            <w:right w:val="none" w:sz="0" w:space="0" w:color="auto"/>
          </w:divBdr>
        </w:div>
        <w:div w:id="1924407988">
          <w:marLeft w:val="640"/>
          <w:marRight w:val="0"/>
          <w:marTop w:val="0"/>
          <w:marBottom w:val="0"/>
          <w:divBdr>
            <w:top w:val="none" w:sz="0" w:space="0" w:color="auto"/>
            <w:left w:val="none" w:sz="0" w:space="0" w:color="auto"/>
            <w:bottom w:val="none" w:sz="0" w:space="0" w:color="auto"/>
            <w:right w:val="none" w:sz="0" w:space="0" w:color="auto"/>
          </w:divBdr>
        </w:div>
        <w:div w:id="1408188071">
          <w:marLeft w:val="640"/>
          <w:marRight w:val="0"/>
          <w:marTop w:val="0"/>
          <w:marBottom w:val="0"/>
          <w:divBdr>
            <w:top w:val="none" w:sz="0" w:space="0" w:color="auto"/>
            <w:left w:val="none" w:sz="0" w:space="0" w:color="auto"/>
            <w:bottom w:val="none" w:sz="0" w:space="0" w:color="auto"/>
            <w:right w:val="none" w:sz="0" w:space="0" w:color="auto"/>
          </w:divBdr>
        </w:div>
        <w:div w:id="342980935">
          <w:marLeft w:val="640"/>
          <w:marRight w:val="0"/>
          <w:marTop w:val="0"/>
          <w:marBottom w:val="0"/>
          <w:divBdr>
            <w:top w:val="none" w:sz="0" w:space="0" w:color="auto"/>
            <w:left w:val="none" w:sz="0" w:space="0" w:color="auto"/>
            <w:bottom w:val="none" w:sz="0" w:space="0" w:color="auto"/>
            <w:right w:val="none" w:sz="0" w:space="0" w:color="auto"/>
          </w:divBdr>
        </w:div>
        <w:div w:id="1164008580">
          <w:marLeft w:val="640"/>
          <w:marRight w:val="0"/>
          <w:marTop w:val="0"/>
          <w:marBottom w:val="0"/>
          <w:divBdr>
            <w:top w:val="none" w:sz="0" w:space="0" w:color="auto"/>
            <w:left w:val="none" w:sz="0" w:space="0" w:color="auto"/>
            <w:bottom w:val="none" w:sz="0" w:space="0" w:color="auto"/>
            <w:right w:val="none" w:sz="0" w:space="0" w:color="auto"/>
          </w:divBdr>
        </w:div>
        <w:div w:id="1714962964">
          <w:marLeft w:val="640"/>
          <w:marRight w:val="0"/>
          <w:marTop w:val="0"/>
          <w:marBottom w:val="0"/>
          <w:divBdr>
            <w:top w:val="none" w:sz="0" w:space="0" w:color="auto"/>
            <w:left w:val="none" w:sz="0" w:space="0" w:color="auto"/>
            <w:bottom w:val="none" w:sz="0" w:space="0" w:color="auto"/>
            <w:right w:val="none" w:sz="0" w:space="0" w:color="auto"/>
          </w:divBdr>
        </w:div>
        <w:div w:id="36710950">
          <w:marLeft w:val="640"/>
          <w:marRight w:val="0"/>
          <w:marTop w:val="0"/>
          <w:marBottom w:val="0"/>
          <w:divBdr>
            <w:top w:val="none" w:sz="0" w:space="0" w:color="auto"/>
            <w:left w:val="none" w:sz="0" w:space="0" w:color="auto"/>
            <w:bottom w:val="none" w:sz="0" w:space="0" w:color="auto"/>
            <w:right w:val="none" w:sz="0" w:space="0" w:color="auto"/>
          </w:divBdr>
        </w:div>
        <w:div w:id="234901340">
          <w:marLeft w:val="640"/>
          <w:marRight w:val="0"/>
          <w:marTop w:val="0"/>
          <w:marBottom w:val="0"/>
          <w:divBdr>
            <w:top w:val="none" w:sz="0" w:space="0" w:color="auto"/>
            <w:left w:val="none" w:sz="0" w:space="0" w:color="auto"/>
            <w:bottom w:val="none" w:sz="0" w:space="0" w:color="auto"/>
            <w:right w:val="none" w:sz="0" w:space="0" w:color="auto"/>
          </w:divBdr>
        </w:div>
        <w:div w:id="205333667">
          <w:marLeft w:val="640"/>
          <w:marRight w:val="0"/>
          <w:marTop w:val="0"/>
          <w:marBottom w:val="0"/>
          <w:divBdr>
            <w:top w:val="none" w:sz="0" w:space="0" w:color="auto"/>
            <w:left w:val="none" w:sz="0" w:space="0" w:color="auto"/>
            <w:bottom w:val="none" w:sz="0" w:space="0" w:color="auto"/>
            <w:right w:val="none" w:sz="0" w:space="0" w:color="auto"/>
          </w:divBdr>
        </w:div>
        <w:div w:id="88936617">
          <w:marLeft w:val="640"/>
          <w:marRight w:val="0"/>
          <w:marTop w:val="0"/>
          <w:marBottom w:val="0"/>
          <w:divBdr>
            <w:top w:val="none" w:sz="0" w:space="0" w:color="auto"/>
            <w:left w:val="none" w:sz="0" w:space="0" w:color="auto"/>
            <w:bottom w:val="none" w:sz="0" w:space="0" w:color="auto"/>
            <w:right w:val="none" w:sz="0" w:space="0" w:color="auto"/>
          </w:divBdr>
        </w:div>
        <w:div w:id="752237247">
          <w:marLeft w:val="640"/>
          <w:marRight w:val="0"/>
          <w:marTop w:val="0"/>
          <w:marBottom w:val="0"/>
          <w:divBdr>
            <w:top w:val="none" w:sz="0" w:space="0" w:color="auto"/>
            <w:left w:val="none" w:sz="0" w:space="0" w:color="auto"/>
            <w:bottom w:val="none" w:sz="0" w:space="0" w:color="auto"/>
            <w:right w:val="none" w:sz="0" w:space="0" w:color="auto"/>
          </w:divBdr>
        </w:div>
        <w:div w:id="1502499681">
          <w:marLeft w:val="640"/>
          <w:marRight w:val="0"/>
          <w:marTop w:val="0"/>
          <w:marBottom w:val="0"/>
          <w:divBdr>
            <w:top w:val="none" w:sz="0" w:space="0" w:color="auto"/>
            <w:left w:val="none" w:sz="0" w:space="0" w:color="auto"/>
            <w:bottom w:val="none" w:sz="0" w:space="0" w:color="auto"/>
            <w:right w:val="none" w:sz="0" w:space="0" w:color="auto"/>
          </w:divBdr>
        </w:div>
        <w:div w:id="1245409765">
          <w:marLeft w:val="640"/>
          <w:marRight w:val="0"/>
          <w:marTop w:val="0"/>
          <w:marBottom w:val="0"/>
          <w:divBdr>
            <w:top w:val="none" w:sz="0" w:space="0" w:color="auto"/>
            <w:left w:val="none" w:sz="0" w:space="0" w:color="auto"/>
            <w:bottom w:val="none" w:sz="0" w:space="0" w:color="auto"/>
            <w:right w:val="none" w:sz="0" w:space="0" w:color="auto"/>
          </w:divBdr>
        </w:div>
        <w:div w:id="69625443">
          <w:marLeft w:val="640"/>
          <w:marRight w:val="0"/>
          <w:marTop w:val="0"/>
          <w:marBottom w:val="0"/>
          <w:divBdr>
            <w:top w:val="none" w:sz="0" w:space="0" w:color="auto"/>
            <w:left w:val="none" w:sz="0" w:space="0" w:color="auto"/>
            <w:bottom w:val="none" w:sz="0" w:space="0" w:color="auto"/>
            <w:right w:val="none" w:sz="0" w:space="0" w:color="auto"/>
          </w:divBdr>
        </w:div>
        <w:div w:id="2095935968">
          <w:marLeft w:val="640"/>
          <w:marRight w:val="0"/>
          <w:marTop w:val="0"/>
          <w:marBottom w:val="0"/>
          <w:divBdr>
            <w:top w:val="none" w:sz="0" w:space="0" w:color="auto"/>
            <w:left w:val="none" w:sz="0" w:space="0" w:color="auto"/>
            <w:bottom w:val="none" w:sz="0" w:space="0" w:color="auto"/>
            <w:right w:val="none" w:sz="0" w:space="0" w:color="auto"/>
          </w:divBdr>
        </w:div>
        <w:div w:id="939799805">
          <w:marLeft w:val="640"/>
          <w:marRight w:val="0"/>
          <w:marTop w:val="0"/>
          <w:marBottom w:val="0"/>
          <w:divBdr>
            <w:top w:val="none" w:sz="0" w:space="0" w:color="auto"/>
            <w:left w:val="none" w:sz="0" w:space="0" w:color="auto"/>
            <w:bottom w:val="none" w:sz="0" w:space="0" w:color="auto"/>
            <w:right w:val="none" w:sz="0" w:space="0" w:color="auto"/>
          </w:divBdr>
        </w:div>
        <w:div w:id="1520240046">
          <w:marLeft w:val="640"/>
          <w:marRight w:val="0"/>
          <w:marTop w:val="0"/>
          <w:marBottom w:val="0"/>
          <w:divBdr>
            <w:top w:val="none" w:sz="0" w:space="0" w:color="auto"/>
            <w:left w:val="none" w:sz="0" w:space="0" w:color="auto"/>
            <w:bottom w:val="none" w:sz="0" w:space="0" w:color="auto"/>
            <w:right w:val="none" w:sz="0" w:space="0" w:color="auto"/>
          </w:divBdr>
        </w:div>
        <w:div w:id="2030374767">
          <w:marLeft w:val="640"/>
          <w:marRight w:val="0"/>
          <w:marTop w:val="0"/>
          <w:marBottom w:val="0"/>
          <w:divBdr>
            <w:top w:val="none" w:sz="0" w:space="0" w:color="auto"/>
            <w:left w:val="none" w:sz="0" w:space="0" w:color="auto"/>
            <w:bottom w:val="none" w:sz="0" w:space="0" w:color="auto"/>
            <w:right w:val="none" w:sz="0" w:space="0" w:color="auto"/>
          </w:divBdr>
        </w:div>
        <w:div w:id="501705499">
          <w:marLeft w:val="640"/>
          <w:marRight w:val="0"/>
          <w:marTop w:val="0"/>
          <w:marBottom w:val="0"/>
          <w:divBdr>
            <w:top w:val="none" w:sz="0" w:space="0" w:color="auto"/>
            <w:left w:val="none" w:sz="0" w:space="0" w:color="auto"/>
            <w:bottom w:val="none" w:sz="0" w:space="0" w:color="auto"/>
            <w:right w:val="none" w:sz="0" w:space="0" w:color="auto"/>
          </w:divBdr>
        </w:div>
        <w:div w:id="255288177">
          <w:marLeft w:val="640"/>
          <w:marRight w:val="0"/>
          <w:marTop w:val="0"/>
          <w:marBottom w:val="0"/>
          <w:divBdr>
            <w:top w:val="none" w:sz="0" w:space="0" w:color="auto"/>
            <w:left w:val="none" w:sz="0" w:space="0" w:color="auto"/>
            <w:bottom w:val="none" w:sz="0" w:space="0" w:color="auto"/>
            <w:right w:val="none" w:sz="0" w:space="0" w:color="auto"/>
          </w:divBdr>
        </w:div>
        <w:div w:id="2037925818">
          <w:marLeft w:val="640"/>
          <w:marRight w:val="0"/>
          <w:marTop w:val="0"/>
          <w:marBottom w:val="0"/>
          <w:divBdr>
            <w:top w:val="none" w:sz="0" w:space="0" w:color="auto"/>
            <w:left w:val="none" w:sz="0" w:space="0" w:color="auto"/>
            <w:bottom w:val="none" w:sz="0" w:space="0" w:color="auto"/>
            <w:right w:val="none" w:sz="0" w:space="0" w:color="auto"/>
          </w:divBdr>
        </w:div>
        <w:div w:id="929658712">
          <w:marLeft w:val="640"/>
          <w:marRight w:val="0"/>
          <w:marTop w:val="0"/>
          <w:marBottom w:val="0"/>
          <w:divBdr>
            <w:top w:val="none" w:sz="0" w:space="0" w:color="auto"/>
            <w:left w:val="none" w:sz="0" w:space="0" w:color="auto"/>
            <w:bottom w:val="none" w:sz="0" w:space="0" w:color="auto"/>
            <w:right w:val="none" w:sz="0" w:space="0" w:color="auto"/>
          </w:divBdr>
        </w:div>
        <w:div w:id="655963748">
          <w:marLeft w:val="640"/>
          <w:marRight w:val="0"/>
          <w:marTop w:val="0"/>
          <w:marBottom w:val="0"/>
          <w:divBdr>
            <w:top w:val="none" w:sz="0" w:space="0" w:color="auto"/>
            <w:left w:val="none" w:sz="0" w:space="0" w:color="auto"/>
            <w:bottom w:val="none" w:sz="0" w:space="0" w:color="auto"/>
            <w:right w:val="none" w:sz="0" w:space="0" w:color="auto"/>
          </w:divBdr>
        </w:div>
        <w:div w:id="1004085981">
          <w:marLeft w:val="640"/>
          <w:marRight w:val="0"/>
          <w:marTop w:val="0"/>
          <w:marBottom w:val="0"/>
          <w:divBdr>
            <w:top w:val="none" w:sz="0" w:space="0" w:color="auto"/>
            <w:left w:val="none" w:sz="0" w:space="0" w:color="auto"/>
            <w:bottom w:val="none" w:sz="0" w:space="0" w:color="auto"/>
            <w:right w:val="none" w:sz="0" w:space="0" w:color="auto"/>
          </w:divBdr>
        </w:div>
        <w:div w:id="382755075">
          <w:marLeft w:val="640"/>
          <w:marRight w:val="0"/>
          <w:marTop w:val="0"/>
          <w:marBottom w:val="0"/>
          <w:divBdr>
            <w:top w:val="none" w:sz="0" w:space="0" w:color="auto"/>
            <w:left w:val="none" w:sz="0" w:space="0" w:color="auto"/>
            <w:bottom w:val="none" w:sz="0" w:space="0" w:color="auto"/>
            <w:right w:val="none" w:sz="0" w:space="0" w:color="auto"/>
          </w:divBdr>
        </w:div>
        <w:div w:id="1630238013">
          <w:marLeft w:val="640"/>
          <w:marRight w:val="0"/>
          <w:marTop w:val="0"/>
          <w:marBottom w:val="0"/>
          <w:divBdr>
            <w:top w:val="none" w:sz="0" w:space="0" w:color="auto"/>
            <w:left w:val="none" w:sz="0" w:space="0" w:color="auto"/>
            <w:bottom w:val="none" w:sz="0" w:space="0" w:color="auto"/>
            <w:right w:val="none" w:sz="0" w:space="0" w:color="auto"/>
          </w:divBdr>
        </w:div>
        <w:div w:id="1650090919">
          <w:marLeft w:val="640"/>
          <w:marRight w:val="0"/>
          <w:marTop w:val="0"/>
          <w:marBottom w:val="0"/>
          <w:divBdr>
            <w:top w:val="none" w:sz="0" w:space="0" w:color="auto"/>
            <w:left w:val="none" w:sz="0" w:space="0" w:color="auto"/>
            <w:bottom w:val="none" w:sz="0" w:space="0" w:color="auto"/>
            <w:right w:val="none" w:sz="0" w:space="0" w:color="auto"/>
          </w:divBdr>
        </w:div>
        <w:div w:id="442723205">
          <w:marLeft w:val="640"/>
          <w:marRight w:val="0"/>
          <w:marTop w:val="0"/>
          <w:marBottom w:val="0"/>
          <w:divBdr>
            <w:top w:val="none" w:sz="0" w:space="0" w:color="auto"/>
            <w:left w:val="none" w:sz="0" w:space="0" w:color="auto"/>
            <w:bottom w:val="none" w:sz="0" w:space="0" w:color="auto"/>
            <w:right w:val="none" w:sz="0" w:space="0" w:color="auto"/>
          </w:divBdr>
        </w:div>
        <w:div w:id="1657801629">
          <w:marLeft w:val="640"/>
          <w:marRight w:val="0"/>
          <w:marTop w:val="0"/>
          <w:marBottom w:val="0"/>
          <w:divBdr>
            <w:top w:val="none" w:sz="0" w:space="0" w:color="auto"/>
            <w:left w:val="none" w:sz="0" w:space="0" w:color="auto"/>
            <w:bottom w:val="none" w:sz="0" w:space="0" w:color="auto"/>
            <w:right w:val="none" w:sz="0" w:space="0" w:color="auto"/>
          </w:divBdr>
        </w:div>
        <w:div w:id="180971998">
          <w:marLeft w:val="640"/>
          <w:marRight w:val="0"/>
          <w:marTop w:val="0"/>
          <w:marBottom w:val="0"/>
          <w:divBdr>
            <w:top w:val="none" w:sz="0" w:space="0" w:color="auto"/>
            <w:left w:val="none" w:sz="0" w:space="0" w:color="auto"/>
            <w:bottom w:val="none" w:sz="0" w:space="0" w:color="auto"/>
            <w:right w:val="none" w:sz="0" w:space="0" w:color="auto"/>
          </w:divBdr>
        </w:div>
        <w:div w:id="609288567">
          <w:marLeft w:val="640"/>
          <w:marRight w:val="0"/>
          <w:marTop w:val="0"/>
          <w:marBottom w:val="0"/>
          <w:divBdr>
            <w:top w:val="none" w:sz="0" w:space="0" w:color="auto"/>
            <w:left w:val="none" w:sz="0" w:space="0" w:color="auto"/>
            <w:bottom w:val="none" w:sz="0" w:space="0" w:color="auto"/>
            <w:right w:val="none" w:sz="0" w:space="0" w:color="auto"/>
          </w:divBdr>
        </w:div>
        <w:div w:id="760954738">
          <w:marLeft w:val="640"/>
          <w:marRight w:val="0"/>
          <w:marTop w:val="0"/>
          <w:marBottom w:val="0"/>
          <w:divBdr>
            <w:top w:val="none" w:sz="0" w:space="0" w:color="auto"/>
            <w:left w:val="none" w:sz="0" w:space="0" w:color="auto"/>
            <w:bottom w:val="none" w:sz="0" w:space="0" w:color="auto"/>
            <w:right w:val="none" w:sz="0" w:space="0" w:color="auto"/>
          </w:divBdr>
        </w:div>
        <w:div w:id="315499252">
          <w:marLeft w:val="640"/>
          <w:marRight w:val="0"/>
          <w:marTop w:val="0"/>
          <w:marBottom w:val="0"/>
          <w:divBdr>
            <w:top w:val="none" w:sz="0" w:space="0" w:color="auto"/>
            <w:left w:val="none" w:sz="0" w:space="0" w:color="auto"/>
            <w:bottom w:val="none" w:sz="0" w:space="0" w:color="auto"/>
            <w:right w:val="none" w:sz="0" w:space="0" w:color="auto"/>
          </w:divBdr>
        </w:div>
        <w:div w:id="1982733041">
          <w:marLeft w:val="640"/>
          <w:marRight w:val="0"/>
          <w:marTop w:val="0"/>
          <w:marBottom w:val="0"/>
          <w:divBdr>
            <w:top w:val="none" w:sz="0" w:space="0" w:color="auto"/>
            <w:left w:val="none" w:sz="0" w:space="0" w:color="auto"/>
            <w:bottom w:val="none" w:sz="0" w:space="0" w:color="auto"/>
            <w:right w:val="none" w:sz="0" w:space="0" w:color="auto"/>
          </w:divBdr>
        </w:div>
        <w:div w:id="738985300">
          <w:marLeft w:val="640"/>
          <w:marRight w:val="0"/>
          <w:marTop w:val="0"/>
          <w:marBottom w:val="0"/>
          <w:divBdr>
            <w:top w:val="none" w:sz="0" w:space="0" w:color="auto"/>
            <w:left w:val="none" w:sz="0" w:space="0" w:color="auto"/>
            <w:bottom w:val="none" w:sz="0" w:space="0" w:color="auto"/>
            <w:right w:val="none" w:sz="0" w:space="0" w:color="auto"/>
          </w:divBdr>
        </w:div>
        <w:div w:id="1848518931">
          <w:marLeft w:val="640"/>
          <w:marRight w:val="0"/>
          <w:marTop w:val="0"/>
          <w:marBottom w:val="0"/>
          <w:divBdr>
            <w:top w:val="none" w:sz="0" w:space="0" w:color="auto"/>
            <w:left w:val="none" w:sz="0" w:space="0" w:color="auto"/>
            <w:bottom w:val="none" w:sz="0" w:space="0" w:color="auto"/>
            <w:right w:val="none" w:sz="0" w:space="0" w:color="auto"/>
          </w:divBdr>
        </w:div>
        <w:div w:id="1507671845">
          <w:marLeft w:val="640"/>
          <w:marRight w:val="0"/>
          <w:marTop w:val="0"/>
          <w:marBottom w:val="0"/>
          <w:divBdr>
            <w:top w:val="none" w:sz="0" w:space="0" w:color="auto"/>
            <w:left w:val="none" w:sz="0" w:space="0" w:color="auto"/>
            <w:bottom w:val="none" w:sz="0" w:space="0" w:color="auto"/>
            <w:right w:val="none" w:sz="0" w:space="0" w:color="auto"/>
          </w:divBdr>
        </w:div>
        <w:div w:id="4795345">
          <w:marLeft w:val="640"/>
          <w:marRight w:val="0"/>
          <w:marTop w:val="0"/>
          <w:marBottom w:val="0"/>
          <w:divBdr>
            <w:top w:val="none" w:sz="0" w:space="0" w:color="auto"/>
            <w:left w:val="none" w:sz="0" w:space="0" w:color="auto"/>
            <w:bottom w:val="none" w:sz="0" w:space="0" w:color="auto"/>
            <w:right w:val="none" w:sz="0" w:space="0" w:color="auto"/>
          </w:divBdr>
        </w:div>
        <w:div w:id="2080051725">
          <w:marLeft w:val="640"/>
          <w:marRight w:val="0"/>
          <w:marTop w:val="0"/>
          <w:marBottom w:val="0"/>
          <w:divBdr>
            <w:top w:val="none" w:sz="0" w:space="0" w:color="auto"/>
            <w:left w:val="none" w:sz="0" w:space="0" w:color="auto"/>
            <w:bottom w:val="none" w:sz="0" w:space="0" w:color="auto"/>
            <w:right w:val="none" w:sz="0" w:space="0" w:color="auto"/>
          </w:divBdr>
        </w:div>
        <w:div w:id="201669620">
          <w:marLeft w:val="640"/>
          <w:marRight w:val="0"/>
          <w:marTop w:val="0"/>
          <w:marBottom w:val="0"/>
          <w:divBdr>
            <w:top w:val="none" w:sz="0" w:space="0" w:color="auto"/>
            <w:left w:val="none" w:sz="0" w:space="0" w:color="auto"/>
            <w:bottom w:val="none" w:sz="0" w:space="0" w:color="auto"/>
            <w:right w:val="none" w:sz="0" w:space="0" w:color="auto"/>
          </w:divBdr>
        </w:div>
        <w:div w:id="707724959">
          <w:marLeft w:val="640"/>
          <w:marRight w:val="0"/>
          <w:marTop w:val="0"/>
          <w:marBottom w:val="0"/>
          <w:divBdr>
            <w:top w:val="none" w:sz="0" w:space="0" w:color="auto"/>
            <w:left w:val="none" w:sz="0" w:space="0" w:color="auto"/>
            <w:bottom w:val="none" w:sz="0" w:space="0" w:color="auto"/>
            <w:right w:val="none" w:sz="0" w:space="0" w:color="auto"/>
          </w:divBdr>
        </w:div>
        <w:div w:id="2111772351">
          <w:marLeft w:val="640"/>
          <w:marRight w:val="0"/>
          <w:marTop w:val="0"/>
          <w:marBottom w:val="0"/>
          <w:divBdr>
            <w:top w:val="none" w:sz="0" w:space="0" w:color="auto"/>
            <w:left w:val="none" w:sz="0" w:space="0" w:color="auto"/>
            <w:bottom w:val="none" w:sz="0" w:space="0" w:color="auto"/>
            <w:right w:val="none" w:sz="0" w:space="0" w:color="auto"/>
          </w:divBdr>
        </w:div>
        <w:div w:id="584148637">
          <w:marLeft w:val="640"/>
          <w:marRight w:val="0"/>
          <w:marTop w:val="0"/>
          <w:marBottom w:val="0"/>
          <w:divBdr>
            <w:top w:val="none" w:sz="0" w:space="0" w:color="auto"/>
            <w:left w:val="none" w:sz="0" w:space="0" w:color="auto"/>
            <w:bottom w:val="none" w:sz="0" w:space="0" w:color="auto"/>
            <w:right w:val="none" w:sz="0" w:space="0" w:color="auto"/>
          </w:divBdr>
        </w:div>
        <w:div w:id="854075151">
          <w:marLeft w:val="640"/>
          <w:marRight w:val="0"/>
          <w:marTop w:val="0"/>
          <w:marBottom w:val="0"/>
          <w:divBdr>
            <w:top w:val="none" w:sz="0" w:space="0" w:color="auto"/>
            <w:left w:val="none" w:sz="0" w:space="0" w:color="auto"/>
            <w:bottom w:val="none" w:sz="0" w:space="0" w:color="auto"/>
            <w:right w:val="none" w:sz="0" w:space="0" w:color="auto"/>
          </w:divBdr>
        </w:div>
        <w:div w:id="1825782205">
          <w:marLeft w:val="640"/>
          <w:marRight w:val="0"/>
          <w:marTop w:val="0"/>
          <w:marBottom w:val="0"/>
          <w:divBdr>
            <w:top w:val="none" w:sz="0" w:space="0" w:color="auto"/>
            <w:left w:val="none" w:sz="0" w:space="0" w:color="auto"/>
            <w:bottom w:val="none" w:sz="0" w:space="0" w:color="auto"/>
            <w:right w:val="none" w:sz="0" w:space="0" w:color="auto"/>
          </w:divBdr>
        </w:div>
        <w:div w:id="366302164">
          <w:marLeft w:val="640"/>
          <w:marRight w:val="0"/>
          <w:marTop w:val="0"/>
          <w:marBottom w:val="0"/>
          <w:divBdr>
            <w:top w:val="none" w:sz="0" w:space="0" w:color="auto"/>
            <w:left w:val="none" w:sz="0" w:space="0" w:color="auto"/>
            <w:bottom w:val="none" w:sz="0" w:space="0" w:color="auto"/>
            <w:right w:val="none" w:sz="0" w:space="0" w:color="auto"/>
          </w:divBdr>
        </w:div>
        <w:div w:id="2086995302">
          <w:marLeft w:val="640"/>
          <w:marRight w:val="0"/>
          <w:marTop w:val="0"/>
          <w:marBottom w:val="0"/>
          <w:divBdr>
            <w:top w:val="none" w:sz="0" w:space="0" w:color="auto"/>
            <w:left w:val="none" w:sz="0" w:space="0" w:color="auto"/>
            <w:bottom w:val="none" w:sz="0" w:space="0" w:color="auto"/>
            <w:right w:val="none" w:sz="0" w:space="0" w:color="auto"/>
          </w:divBdr>
        </w:div>
        <w:div w:id="632293875">
          <w:marLeft w:val="640"/>
          <w:marRight w:val="0"/>
          <w:marTop w:val="0"/>
          <w:marBottom w:val="0"/>
          <w:divBdr>
            <w:top w:val="none" w:sz="0" w:space="0" w:color="auto"/>
            <w:left w:val="none" w:sz="0" w:space="0" w:color="auto"/>
            <w:bottom w:val="none" w:sz="0" w:space="0" w:color="auto"/>
            <w:right w:val="none" w:sz="0" w:space="0" w:color="auto"/>
          </w:divBdr>
        </w:div>
        <w:div w:id="1097946928">
          <w:marLeft w:val="640"/>
          <w:marRight w:val="0"/>
          <w:marTop w:val="0"/>
          <w:marBottom w:val="0"/>
          <w:divBdr>
            <w:top w:val="none" w:sz="0" w:space="0" w:color="auto"/>
            <w:left w:val="none" w:sz="0" w:space="0" w:color="auto"/>
            <w:bottom w:val="none" w:sz="0" w:space="0" w:color="auto"/>
            <w:right w:val="none" w:sz="0" w:space="0" w:color="auto"/>
          </w:divBdr>
        </w:div>
        <w:div w:id="1632440961">
          <w:marLeft w:val="640"/>
          <w:marRight w:val="0"/>
          <w:marTop w:val="0"/>
          <w:marBottom w:val="0"/>
          <w:divBdr>
            <w:top w:val="none" w:sz="0" w:space="0" w:color="auto"/>
            <w:left w:val="none" w:sz="0" w:space="0" w:color="auto"/>
            <w:bottom w:val="none" w:sz="0" w:space="0" w:color="auto"/>
            <w:right w:val="none" w:sz="0" w:space="0" w:color="auto"/>
          </w:divBdr>
        </w:div>
        <w:div w:id="1986277771">
          <w:marLeft w:val="640"/>
          <w:marRight w:val="0"/>
          <w:marTop w:val="0"/>
          <w:marBottom w:val="0"/>
          <w:divBdr>
            <w:top w:val="none" w:sz="0" w:space="0" w:color="auto"/>
            <w:left w:val="none" w:sz="0" w:space="0" w:color="auto"/>
            <w:bottom w:val="none" w:sz="0" w:space="0" w:color="auto"/>
            <w:right w:val="none" w:sz="0" w:space="0" w:color="auto"/>
          </w:divBdr>
        </w:div>
        <w:div w:id="1018234947">
          <w:marLeft w:val="640"/>
          <w:marRight w:val="0"/>
          <w:marTop w:val="0"/>
          <w:marBottom w:val="0"/>
          <w:divBdr>
            <w:top w:val="none" w:sz="0" w:space="0" w:color="auto"/>
            <w:left w:val="none" w:sz="0" w:space="0" w:color="auto"/>
            <w:bottom w:val="none" w:sz="0" w:space="0" w:color="auto"/>
            <w:right w:val="none" w:sz="0" w:space="0" w:color="auto"/>
          </w:divBdr>
        </w:div>
        <w:div w:id="2076276080">
          <w:marLeft w:val="640"/>
          <w:marRight w:val="0"/>
          <w:marTop w:val="0"/>
          <w:marBottom w:val="0"/>
          <w:divBdr>
            <w:top w:val="none" w:sz="0" w:space="0" w:color="auto"/>
            <w:left w:val="none" w:sz="0" w:space="0" w:color="auto"/>
            <w:bottom w:val="none" w:sz="0" w:space="0" w:color="auto"/>
            <w:right w:val="none" w:sz="0" w:space="0" w:color="auto"/>
          </w:divBdr>
        </w:div>
        <w:div w:id="1937788903">
          <w:marLeft w:val="640"/>
          <w:marRight w:val="0"/>
          <w:marTop w:val="0"/>
          <w:marBottom w:val="0"/>
          <w:divBdr>
            <w:top w:val="none" w:sz="0" w:space="0" w:color="auto"/>
            <w:left w:val="none" w:sz="0" w:space="0" w:color="auto"/>
            <w:bottom w:val="none" w:sz="0" w:space="0" w:color="auto"/>
            <w:right w:val="none" w:sz="0" w:space="0" w:color="auto"/>
          </w:divBdr>
        </w:div>
        <w:div w:id="1635477757">
          <w:marLeft w:val="640"/>
          <w:marRight w:val="0"/>
          <w:marTop w:val="0"/>
          <w:marBottom w:val="0"/>
          <w:divBdr>
            <w:top w:val="none" w:sz="0" w:space="0" w:color="auto"/>
            <w:left w:val="none" w:sz="0" w:space="0" w:color="auto"/>
            <w:bottom w:val="none" w:sz="0" w:space="0" w:color="auto"/>
            <w:right w:val="none" w:sz="0" w:space="0" w:color="auto"/>
          </w:divBdr>
        </w:div>
        <w:div w:id="1206984414">
          <w:marLeft w:val="640"/>
          <w:marRight w:val="0"/>
          <w:marTop w:val="0"/>
          <w:marBottom w:val="0"/>
          <w:divBdr>
            <w:top w:val="none" w:sz="0" w:space="0" w:color="auto"/>
            <w:left w:val="none" w:sz="0" w:space="0" w:color="auto"/>
            <w:bottom w:val="none" w:sz="0" w:space="0" w:color="auto"/>
            <w:right w:val="none" w:sz="0" w:space="0" w:color="auto"/>
          </w:divBdr>
        </w:div>
        <w:div w:id="873422464">
          <w:marLeft w:val="640"/>
          <w:marRight w:val="0"/>
          <w:marTop w:val="0"/>
          <w:marBottom w:val="0"/>
          <w:divBdr>
            <w:top w:val="none" w:sz="0" w:space="0" w:color="auto"/>
            <w:left w:val="none" w:sz="0" w:space="0" w:color="auto"/>
            <w:bottom w:val="none" w:sz="0" w:space="0" w:color="auto"/>
            <w:right w:val="none" w:sz="0" w:space="0" w:color="auto"/>
          </w:divBdr>
        </w:div>
        <w:div w:id="1722170019">
          <w:marLeft w:val="640"/>
          <w:marRight w:val="0"/>
          <w:marTop w:val="0"/>
          <w:marBottom w:val="0"/>
          <w:divBdr>
            <w:top w:val="none" w:sz="0" w:space="0" w:color="auto"/>
            <w:left w:val="none" w:sz="0" w:space="0" w:color="auto"/>
            <w:bottom w:val="none" w:sz="0" w:space="0" w:color="auto"/>
            <w:right w:val="none" w:sz="0" w:space="0" w:color="auto"/>
          </w:divBdr>
        </w:div>
        <w:div w:id="240525926">
          <w:marLeft w:val="640"/>
          <w:marRight w:val="0"/>
          <w:marTop w:val="0"/>
          <w:marBottom w:val="0"/>
          <w:divBdr>
            <w:top w:val="none" w:sz="0" w:space="0" w:color="auto"/>
            <w:left w:val="none" w:sz="0" w:space="0" w:color="auto"/>
            <w:bottom w:val="none" w:sz="0" w:space="0" w:color="auto"/>
            <w:right w:val="none" w:sz="0" w:space="0" w:color="auto"/>
          </w:divBdr>
        </w:div>
        <w:div w:id="828250792">
          <w:marLeft w:val="640"/>
          <w:marRight w:val="0"/>
          <w:marTop w:val="0"/>
          <w:marBottom w:val="0"/>
          <w:divBdr>
            <w:top w:val="none" w:sz="0" w:space="0" w:color="auto"/>
            <w:left w:val="none" w:sz="0" w:space="0" w:color="auto"/>
            <w:bottom w:val="none" w:sz="0" w:space="0" w:color="auto"/>
            <w:right w:val="none" w:sz="0" w:space="0" w:color="auto"/>
          </w:divBdr>
        </w:div>
        <w:div w:id="1008748192">
          <w:marLeft w:val="640"/>
          <w:marRight w:val="0"/>
          <w:marTop w:val="0"/>
          <w:marBottom w:val="0"/>
          <w:divBdr>
            <w:top w:val="none" w:sz="0" w:space="0" w:color="auto"/>
            <w:left w:val="none" w:sz="0" w:space="0" w:color="auto"/>
            <w:bottom w:val="none" w:sz="0" w:space="0" w:color="auto"/>
            <w:right w:val="none" w:sz="0" w:space="0" w:color="auto"/>
          </w:divBdr>
        </w:div>
        <w:div w:id="66000847">
          <w:marLeft w:val="640"/>
          <w:marRight w:val="0"/>
          <w:marTop w:val="0"/>
          <w:marBottom w:val="0"/>
          <w:divBdr>
            <w:top w:val="none" w:sz="0" w:space="0" w:color="auto"/>
            <w:left w:val="none" w:sz="0" w:space="0" w:color="auto"/>
            <w:bottom w:val="none" w:sz="0" w:space="0" w:color="auto"/>
            <w:right w:val="none" w:sz="0" w:space="0" w:color="auto"/>
          </w:divBdr>
        </w:div>
        <w:div w:id="1796170746">
          <w:marLeft w:val="640"/>
          <w:marRight w:val="0"/>
          <w:marTop w:val="0"/>
          <w:marBottom w:val="0"/>
          <w:divBdr>
            <w:top w:val="none" w:sz="0" w:space="0" w:color="auto"/>
            <w:left w:val="none" w:sz="0" w:space="0" w:color="auto"/>
            <w:bottom w:val="none" w:sz="0" w:space="0" w:color="auto"/>
            <w:right w:val="none" w:sz="0" w:space="0" w:color="auto"/>
          </w:divBdr>
        </w:div>
        <w:div w:id="439954010">
          <w:marLeft w:val="640"/>
          <w:marRight w:val="0"/>
          <w:marTop w:val="0"/>
          <w:marBottom w:val="0"/>
          <w:divBdr>
            <w:top w:val="none" w:sz="0" w:space="0" w:color="auto"/>
            <w:left w:val="none" w:sz="0" w:space="0" w:color="auto"/>
            <w:bottom w:val="none" w:sz="0" w:space="0" w:color="auto"/>
            <w:right w:val="none" w:sz="0" w:space="0" w:color="auto"/>
          </w:divBdr>
        </w:div>
        <w:div w:id="1444576851">
          <w:marLeft w:val="640"/>
          <w:marRight w:val="0"/>
          <w:marTop w:val="0"/>
          <w:marBottom w:val="0"/>
          <w:divBdr>
            <w:top w:val="none" w:sz="0" w:space="0" w:color="auto"/>
            <w:left w:val="none" w:sz="0" w:space="0" w:color="auto"/>
            <w:bottom w:val="none" w:sz="0" w:space="0" w:color="auto"/>
            <w:right w:val="none" w:sz="0" w:space="0" w:color="auto"/>
          </w:divBdr>
        </w:div>
        <w:div w:id="1905950659">
          <w:marLeft w:val="640"/>
          <w:marRight w:val="0"/>
          <w:marTop w:val="0"/>
          <w:marBottom w:val="0"/>
          <w:divBdr>
            <w:top w:val="none" w:sz="0" w:space="0" w:color="auto"/>
            <w:left w:val="none" w:sz="0" w:space="0" w:color="auto"/>
            <w:bottom w:val="none" w:sz="0" w:space="0" w:color="auto"/>
            <w:right w:val="none" w:sz="0" w:space="0" w:color="auto"/>
          </w:divBdr>
        </w:div>
        <w:div w:id="271328743">
          <w:marLeft w:val="640"/>
          <w:marRight w:val="0"/>
          <w:marTop w:val="0"/>
          <w:marBottom w:val="0"/>
          <w:divBdr>
            <w:top w:val="none" w:sz="0" w:space="0" w:color="auto"/>
            <w:left w:val="none" w:sz="0" w:space="0" w:color="auto"/>
            <w:bottom w:val="none" w:sz="0" w:space="0" w:color="auto"/>
            <w:right w:val="none" w:sz="0" w:space="0" w:color="auto"/>
          </w:divBdr>
        </w:div>
        <w:div w:id="641540653">
          <w:marLeft w:val="640"/>
          <w:marRight w:val="0"/>
          <w:marTop w:val="0"/>
          <w:marBottom w:val="0"/>
          <w:divBdr>
            <w:top w:val="none" w:sz="0" w:space="0" w:color="auto"/>
            <w:left w:val="none" w:sz="0" w:space="0" w:color="auto"/>
            <w:bottom w:val="none" w:sz="0" w:space="0" w:color="auto"/>
            <w:right w:val="none" w:sz="0" w:space="0" w:color="auto"/>
          </w:divBdr>
        </w:div>
        <w:div w:id="617876260">
          <w:marLeft w:val="640"/>
          <w:marRight w:val="0"/>
          <w:marTop w:val="0"/>
          <w:marBottom w:val="0"/>
          <w:divBdr>
            <w:top w:val="none" w:sz="0" w:space="0" w:color="auto"/>
            <w:left w:val="none" w:sz="0" w:space="0" w:color="auto"/>
            <w:bottom w:val="none" w:sz="0" w:space="0" w:color="auto"/>
            <w:right w:val="none" w:sz="0" w:space="0" w:color="auto"/>
          </w:divBdr>
        </w:div>
        <w:div w:id="2076320246">
          <w:marLeft w:val="640"/>
          <w:marRight w:val="0"/>
          <w:marTop w:val="0"/>
          <w:marBottom w:val="0"/>
          <w:divBdr>
            <w:top w:val="none" w:sz="0" w:space="0" w:color="auto"/>
            <w:left w:val="none" w:sz="0" w:space="0" w:color="auto"/>
            <w:bottom w:val="none" w:sz="0" w:space="0" w:color="auto"/>
            <w:right w:val="none" w:sz="0" w:space="0" w:color="auto"/>
          </w:divBdr>
        </w:div>
        <w:div w:id="2065130584">
          <w:marLeft w:val="640"/>
          <w:marRight w:val="0"/>
          <w:marTop w:val="0"/>
          <w:marBottom w:val="0"/>
          <w:divBdr>
            <w:top w:val="none" w:sz="0" w:space="0" w:color="auto"/>
            <w:left w:val="none" w:sz="0" w:space="0" w:color="auto"/>
            <w:bottom w:val="none" w:sz="0" w:space="0" w:color="auto"/>
            <w:right w:val="none" w:sz="0" w:space="0" w:color="auto"/>
          </w:divBdr>
        </w:div>
        <w:div w:id="791244094">
          <w:marLeft w:val="640"/>
          <w:marRight w:val="0"/>
          <w:marTop w:val="0"/>
          <w:marBottom w:val="0"/>
          <w:divBdr>
            <w:top w:val="none" w:sz="0" w:space="0" w:color="auto"/>
            <w:left w:val="none" w:sz="0" w:space="0" w:color="auto"/>
            <w:bottom w:val="none" w:sz="0" w:space="0" w:color="auto"/>
            <w:right w:val="none" w:sz="0" w:space="0" w:color="auto"/>
          </w:divBdr>
        </w:div>
        <w:div w:id="51463019">
          <w:marLeft w:val="640"/>
          <w:marRight w:val="0"/>
          <w:marTop w:val="0"/>
          <w:marBottom w:val="0"/>
          <w:divBdr>
            <w:top w:val="none" w:sz="0" w:space="0" w:color="auto"/>
            <w:left w:val="none" w:sz="0" w:space="0" w:color="auto"/>
            <w:bottom w:val="none" w:sz="0" w:space="0" w:color="auto"/>
            <w:right w:val="none" w:sz="0" w:space="0" w:color="auto"/>
          </w:divBdr>
        </w:div>
        <w:div w:id="1891720312">
          <w:marLeft w:val="640"/>
          <w:marRight w:val="0"/>
          <w:marTop w:val="0"/>
          <w:marBottom w:val="0"/>
          <w:divBdr>
            <w:top w:val="none" w:sz="0" w:space="0" w:color="auto"/>
            <w:left w:val="none" w:sz="0" w:space="0" w:color="auto"/>
            <w:bottom w:val="none" w:sz="0" w:space="0" w:color="auto"/>
            <w:right w:val="none" w:sz="0" w:space="0" w:color="auto"/>
          </w:divBdr>
        </w:div>
        <w:div w:id="150677462">
          <w:marLeft w:val="640"/>
          <w:marRight w:val="0"/>
          <w:marTop w:val="0"/>
          <w:marBottom w:val="0"/>
          <w:divBdr>
            <w:top w:val="none" w:sz="0" w:space="0" w:color="auto"/>
            <w:left w:val="none" w:sz="0" w:space="0" w:color="auto"/>
            <w:bottom w:val="none" w:sz="0" w:space="0" w:color="auto"/>
            <w:right w:val="none" w:sz="0" w:space="0" w:color="auto"/>
          </w:divBdr>
        </w:div>
        <w:div w:id="1283996977">
          <w:marLeft w:val="640"/>
          <w:marRight w:val="0"/>
          <w:marTop w:val="0"/>
          <w:marBottom w:val="0"/>
          <w:divBdr>
            <w:top w:val="none" w:sz="0" w:space="0" w:color="auto"/>
            <w:left w:val="none" w:sz="0" w:space="0" w:color="auto"/>
            <w:bottom w:val="none" w:sz="0" w:space="0" w:color="auto"/>
            <w:right w:val="none" w:sz="0" w:space="0" w:color="auto"/>
          </w:divBdr>
        </w:div>
        <w:div w:id="309402088">
          <w:marLeft w:val="640"/>
          <w:marRight w:val="0"/>
          <w:marTop w:val="0"/>
          <w:marBottom w:val="0"/>
          <w:divBdr>
            <w:top w:val="none" w:sz="0" w:space="0" w:color="auto"/>
            <w:left w:val="none" w:sz="0" w:space="0" w:color="auto"/>
            <w:bottom w:val="none" w:sz="0" w:space="0" w:color="auto"/>
            <w:right w:val="none" w:sz="0" w:space="0" w:color="auto"/>
          </w:divBdr>
        </w:div>
        <w:div w:id="1806506163">
          <w:marLeft w:val="640"/>
          <w:marRight w:val="0"/>
          <w:marTop w:val="0"/>
          <w:marBottom w:val="0"/>
          <w:divBdr>
            <w:top w:val="none" w:sz="0" w:space="0" w:color="auto"/>
            <w:left w:val="none" w:sz="0" w:space="0" w:color="auto"/>
            <w:bottom w:val="none" w:sz="0" w:space="0" w:color="auto"/>
            <w:right w:val="none" w:sz="0" w:space="0" w:color="auto"/>
          </w:divBdr>
        </w:div>
        <w:div w:id="270672023">
          <w:marLeft w:val="640"/>
          <w:marRight w:val="0"/>
          <w:marTop w:val="0"/>
          <w:marBottom w:val="0"/>
          <w:divBdr>
            <w:top w:val="none" w:sz="0" w:space="0" w:color="auto"/>
            <w:left w:val="none" w:sz="0" w:space="0" w:color="auto"/>
            <w:bottom w:val="none" w:sz="0" w:space="0" w:color="auto"/>
            <w:right w:val="none" w:sz="0" w:space="0" w:color="auto"/>
          </w:divBdr>
        </w:div>
        <w:div w:id="1504196611">
          <w:marLeft w:val="640"/>
          <w:marRight w:val="0"/>
          <w:marTop w:val="0"/>
          <w:marBottom w:val="0"/>
          <w:divBdr>
            <w:top w:val="none" w:sz="0" w:space="0" w:color="auto"/>
            <w:left w:val="none" w:sz="0" w:space="0" w:color="auto"/>
            <w:bottom w:val="none" w:sz="0" w:space="0" w:color="auto"/>
            <w:right w:val="none" w:sz="0" w:space="0" w:color="auto"/>
          </w:divBdr>
        </w:div>
        <w:div w:id="1922446814">
          <w:marLeft w:val="640"/>
          <w:marRight w:val="0"/>
          <w:marTop w:val="0"/>
          <w:marBottom w:val="0"/>
          <w:divBdr>
            <w:top w:val="none" w:sz="0" w:space="0" w:color="auto"/>
            <w:left w:val="none" w:sz="0" w:space="0" w:color="auto"/>
            <w:bottom w:val="none" w:sz="0" w:space="0" w:color="auto"/>
            <w:right w:val="none" w:sz="0" w:space="0" w:color="auto"/>
          </w:divBdr>
        </w:div>
        <w:div w:id="321859785">
          <w:marLeft w:val="640"/>
          <w:marRight w:val="0"/>
          <w:marTop w:val="0"/>
          <w:marBottom w:val="0"/>
          <w:divBdr>
            <w:top w:val="none" w:sz="0" w:space="0" w:color="auto"/>
            <w:left w:val="none" w:sz="0" w:space="0" w:color="auto"/>
            <w:bottom w:val="none" w:sz="0" w:space="0" w:color="auto"/>
            <w:right w:val="none" w:sz="0" w:space="0" w:color="auto"/>
          </w:divBdr>
        </w:div>
        <w:div w:id="675111528">
          <w:marLeft w:val="640"/>
          <w:marRight w:val="0"/>
          <w:marTop w:val="0"/>
          <w:marBottom w:val="0"/>
          <w:divBdr>
            <w:top w:val="none" w:sz="0" w:space="0" w:color="auto"/>
            <w:left w:val="none" w:sz="0" w:space="0" w:color="auto"/>
            <w:bottom w:val="none" w:sz="0" w:space="0" w:color="auto"/>
            <w:right w:val="none" w:sz="0" w:space="0" w:color="auto"/>
          </w:divBdr>
        </w:div>
        <w:div w:id="1661543835">
          <w:marLeft w:val="640"/>
          <w:marRight w:val="0"/>
          <w:marTop w:val="0"/>
          <w:marBottom w:val="0"/>
          <w:divBdr>
            <w:top w:val="none" w:sz="0" w:space="0" w:color="auto"/>
            <w:left w:val="none" w:sz="0" w:space="0" w:color="auto"/>
            <w:bottom w:val="none" w:sz="0" w:space="0" w:color="auto"/>
            <w:right w:val="none" w:sz="0" w:space="0" w:color="auto"/>
          </w:divBdr>
        </w:div>
        <w:div w:id="1324310436">
          <w:marLeft w:val="640"/>
          <w:marRight w:val="0"/>
          <w:marTop w:val="0"/>
          <w:marBottom w:val="0"/>
          <w:divBdr>
            <w:top w:val="none" w:sz="0" w:space="0" w:color="auto"/>
            <w:left w:val="none" w:sz="0" w:space="0" w:color="auto"/>
            <w:bottom w:val="none" w:sz="0" w:space="0" w:color="auto"/>
            <w:right w:val="none" w:sz="0" w:space="0" w:color="auto"/>
          </w:divBdr>
        </w:div>
        <w:div w:id="809438670">
          <w:marLeft w:val="640"/>
          <w:marRight w:val="0"/>
          <w:marTop w:val="0"/>
          <w:marBottom w:val="0"/>
          <w:divBdr>
            <w:top w:val="none" w:sz="0" w:space="0" w:color="auto"/>
            <w:left w:val="none" w:sz="0" w:space="0" w:color="auto"/>
            <w:bottom w:val="none" w:sz="0" w:space="0" w:color="auto"/>
            <w:right w:val="none" w:sz="0" w:space="0" w:color="auto"/>
          </w:divBdr>
        </w:div>
        <w:div w:id="732314465">
          <w:marLeft w:val="640"/>
          <w:marRight w:val="0"/>
          <w:marTop w:val="0"/>
          <w:marBottom w:val="0"/>
          <w:divBdr>
            <w:top w:val="none" w:sz="0" w:space="0" w:color="auto"/>
            <w:left w:val="none" w:sz="0" w:space="0" w:color="auto"/>
            <w:bottom w:val="none" w:sz="0" w:space="0" w:color="auto"/>
            <w:right w:val="none" w:sz="0" w:space="0" w:color="auto"/>
          </w:divBdr>
        </w:div>
        <w:div w:id="417799650">
          <w:marLeft w:val="640"/>
          <w:marRight w:val="0"/>
          <w:marTop w:val="0"/>
          <w:marBottom w:val="0"/>
          <w:divBdr>
            <w:top w:val="none" w:sz="0" w:space="0" w:color="auto"/>
            <w:left w:val="none" w:sz="0" w:space="0" w:color="auto"/>
            <w:bottom w:val="none" w:sz="0" w:space="0" w:color="auto"/>
            <w:right w:val="none" w:sz="0" w:space="0" w:color="auto"/>
          </w:divBdr>
        </w:div>
        <w:div w:id="2078551908">
          <w:marLeft w:val="640"/>
          <w:marRight w:val="0"/>
          <w:marTop w:val="0"/>
          <w:marBottom w:val="0"/>
          <w:divBdr>
            <w:top w:val="none" w:sz="0" w:space="0" w:color="auto"/>
            <w:left w:val="none" w:sz="0" w:space="0" w:color="auto"/>
            <w:bottom w:val="none" w:sz="0" w:space="0" w:color="auto"/>
            <w:right w:val="none" w:sz="0" w:space="0" w:color="auto"/>
          </w:divBdr>
        </w:div>
        <w:div w:id="711538683">
          <w:marLeft w:val="640"/>
          <w:marRight w:val="0"/>
          <w:marTop w:val="0"/>
          <w:marBottom w:val="0"/>
          <w:divBdr>
            <w:top w:val="none" w:sz="0" w:space="0" w:color="auto"/>
            <w:left w:val="none" w:sz="0" w:space="0" w:color="auto"/>
            <w:bottom w:val="none" w:sz="0" w:space="0" w:color="auto"/>
            <w:right w:val="none" w:sz="0" w:space="0" w:color="auto"/>
          </w:divBdr>
        </w:div>
        <w:div w:id="1129740676">
          <w:marLeft w:val="640"/>
          <w:marRight w:val="0"/>
          <w:marTop w:val="0"/>
          <w:marBottom w:val="0"/>
          <w:divBdr>
            <w:top w:val="none" w:sz="0" w:space="0" w:color="auto"/>
            <w:left w:val="none" w:sz="0" w:space="0" w:color="auto"/>
            <w:bottom w:val="none" w:sz="0" w:space="0" w:color="auto"/>
            <w:right w:val="none" w:sz="0" w:space="0" w:color="auto"/>
          </w:divBdr>
        </w:div>
        <w:div w:id="1592547627">
          <w:marLeft w:val="640"/>
          <w:marRight w:val="0"/>
          <w:marTop w:val="0"/>
          <w:marBottom w:val="0"/>
          <w:divBdr>
            <w:top w:val="none" w:sz="0" w:space="0" w:color="auto"/>
            <w:left w:val="none" w:sz="0" w:space="0" w:color="auto"/>
            <w:bottom w:val="none" w:sz="0" w:space="0" w:color="auto"/>
            <w:right w:val="none" w:sz="0" w:space="0" w:color="auto"/>
          </w:divBdr>
        </w:div>
        <w:div w:id="1476950172">
          <w:marLeft w:val="640"/>
          <w:marRight w:val="0"/>
          <w:marTop w:val="0"/>
          <w:marBottom w:val="0"/>
          <w:divBdr>
            <w:top w:val="none" w:sz="0" w:space="0" w:color="auto"/>
            <w:left w:val="none" w:sz="0" w:space="0" w:color="auto"/>
            <w:bottom w:val="none" w:sz="0" w:space="0" w:color="auto"/>
            <w:right w:val="none" w:sz="0" w:space="0" w:color="auto"/>
          </w:divBdr>
        </w:div>
        <w:div w:id="791248626">
          <w:marLeft w:val="640"/>
          <w:marRight w:val="0"/>
          <w:marTop w:val="0"/>
          <w:marBottom w:val="0"/>
          <w:divBdr>
            <w:top w:val="none" w:sz="0" w:space="0" w:color="auto"/>
            <w:left w:val="none" w:sz="0" w:space="0" w:color="auto"/>
            <w:bottom w:val="none" w:sz="0" w:space="0" w:color="auto"/>
            <w:right w:val="none" w:sz="0" w:space="0" w:color="auto"/>
          </w:divBdr>
        </w:div>
        <w:div w:id="1017275651">
          <w:marLeft w:val="640"/>
          <w:marRight w:val="0"/>
          <w:marTop w:val="0"/>
          <w:marBottom w:val="0"/>
          <w:divBdr>
            <w:top w:val="none" w:sz="0" w:space="0" w:color="auto"/>
            <w:left w:val="none" w:sz="0" w:space="0" w:color="auto"/>
            <w:bottom w:val="none" w:sz="0" w:space="0" w:color="auto"/>
            <w:right w:val="none" w:sz="0" w:space="0" w:color="auto"/>
          </w:divBdr>
        </w:div>
        <w:div w:id="1351032627">
          <w:marLeft w:val="640"/>
          <w:marRight w:val="0"/>
          <w:marTop w:val="0"/>
          <w:marBottom w:val="0"/>
          <w:divBdr>
            <w:top w:val="none" w:sz="0" w:space="0" w:color="auto"/>
            <w:left w:val="none" w:sz="0" w:space="0" w:color="auto"/>
            <w:bottom w:val="none" w:sz="0" w:space="0" w:color="auto"/>
            <w:right w:val="none" w:sz="0" w:space="0" w:color="auto"/>
          </w:divBdr>
        </w:div>
        <w:div w:id="1716734821">
          <w:marLeft w:val="640"/>
          <w:marRight w:val="0"/>
          <w:marTop w:val="0"/>
          <w:marBottom w:val="0"/>
          <w:divBdr>
            <w:top w:val="none" w:sz="0" w:space="0" w:color="auto"/>
            <w:left w:val="none" w:sz="0" w:space="0" w:color="auto"/>
            <w:bottom w:val="none" w:sz="0" w:space="0" w:color="auto"/>
            <w:right w:val="none" w:sz="0" w:space="0" w:color="auto"/>
          </w:divBdr>
        </w:div>
        <w:div w:id="1998722748">
          <w:marLeft w:val="640"/>
          <w:marRight w:val="0"/>
          <w:marTop w:val="0"/>
          <w:marBottom w:val="0"/>
          <w:divBdr>
            <w:top w:val="none" w:sz="0" w:space="0" w:color="auto"/>
            <w:left w:val="none" w:sz="0" w:space="0" w:color="auto"/>
            <w:bottom w:val="none" w:sz="0" w:space="0" w:color="auto"/>
            <w:right w:val="none" w:sz="0" w:space="0" w:color="auto"/>
          </w:divBdr>
        </w:div>
        <w:div w:id="811140134">
          <w:marLeft w:val="640"/>
          <w:marRight w:val="0"/>
          <w:marTop w:val="0"/>
          <w:marBottom w:val="0"/>
          <w:divBdr>
            <w:top w:val="none" w:sz="0" w:space="0" w:color="auto"/>
            <w:left w:val="none" w:sz="0" w:space="0" w:color="auto"/>
            <w:bottom w:val="none" w:sz="0" w:space="0" w:color="auto"/>
            <w:right w:val="none" w:sz="0" w:space="0" w:color="auto"/>
          </w:divBdr>
        </w:div>
        <w:div w:id="926887851">
          <w:marLeft w:val="640"/>
          <w:marRight w:val="0"/>
          <w:marTop w:val="0"/>
          <w:marBottom w:val="0"/>
          <w:divBdr>
            <w:top w:val="none" w:sz="0" w:space="0" w:color="auto"/>
            <w:left w:val="none" w:sz="0" w:space="0" w:color="auto"/>
            <w:bottom w:val="none" w:sz="0" w:space="0" w:color="auto"/>
            <w:right w:val="none" w:sz="0" w:space="0" w:color="auto"/>
          </w:divBdr>
        </w:div>
        <w:div w:id="1458721352">
          <w:marLeft w:val="640"/>
          <w:marRight w:val="0"/>
          <w:marTop w:val="0"/>
          <w:marBottom w:val="0"/>
          <w:divBdr>
            <w:top w:val="none" w:sz="0" w:space="0" w:color="auto"/>
            <w:left w:val="none" w:sz="0" w:space="0" w:color="auto"/>
            <w:bottom w:val="none" w:sz="0" w:space="0" w:color="auto"/>
            <w:right w:val="none" w:sz="0" w:space="0" w:color="auto"/>
          </w:divBdr>
        </w:div>
        <w:div w:id="713888973">
          <w:marLeft w:val="640"/>
          <w:marRight w:val="0"/>
          <w:marTop w:val="0"/>
          <w:marBottom w:val="0"/>
          <w:divBdr>
            <w:top w:val="none" w:sz="0" w:space="0" w:color="auto"/>
            <w:left w:val="none" w:sz="0" w:space="0" w:color="auto"/>
            <w:bottom w:val="none" w:sz="0" w:space="0" w:color="auto"/>
            <w:right w:val="none" w:sz="0" w:space="0" w:color="auto"/>
          </w:divBdr>
        </w:div>
        <w:div w:id="385491209">
          <w:marLeft w:val="640"/>
          <w:marRight w:val="0"/>
          <w:marTop w:val="0"/>
          <w:marBottom w:val="0"/>
          <w:divBdr>
            <w:top w:val="none" w:sz="0" w:space="0" w:color="auto"/>
            <w:left w:val="none" w:sz="0" w:space="0" w:color="auto"/>
            <w:bottom w:val="none" w:sz="0" w:space="0" w:color="auto"/>
            <w:right w:val="none" w:sz="0" w:space="0" w:color="auto"/>
          </w:divBdr>
        </w:div>
        <w:div w:id="2049140711">
          <w:marLeft w:val="640"/>
          <w:marRight w:val="0"/>
          <w:marTop w:val="0"/>
          <w:marBottom w:val="0"/>
          <w:divBdr>
            <w:top w:val="none" w:sz="0" w:space="0" w:color="auto"/>
            <w:left w:val="none" w:sz="0" w:space="0" w:color="auto"/>
            <w:bottom w:val="none" w:sz="0" w:space="0" w:color="auto"/>
            <w:right w:val="none" w:sz="0" w:space="0" w:color="auto"/>
          </w:divBdr>
        </w:div>
        <w:div w:id="497841909">
          <w:marLeft w:val="640"/>
          <w:marRight w:val="0"/>
          <w:marTop w:val="0"/>
          <w:marBottom w:val="0"/>
          <w:divBdr>
            <w:top w:val="none" w:sz="0" w:space="0" w:color="auto"/>
            <w:left w:val="none" w:sz="0" w:space="0" w:color="auto"/>
            <w:bottom w:val="none" w:sz="0" w:space="0" w:color="auto"/>
            <w:right w:val="none" w:sz="0" w:space="0" w:color="auto"/>
          </w:divBdr>
        </w:div>
        <w:div w:id="1036853537">
          <w:marLeft w:val="640"/>
          <w:marRight w:val="0"/>
          <w:marTop w:val="0"/>
          <w:marBottom w:val="0"/>
          <w:divBdr>
            <w:top w:val="none" w:sz="0" w:space="0" w:color="auto"/>
            <w:left w:val="none" w:sz="0" w:space="0" w:color="auto"/>
            <w:bottom w:val="none" w:sz="0" w:space="0" w:color="auto"/>
            <w:right w:val="none" w:sz="0" w:space="0" w:color="auto"/>
          </w:divBdr>
        </w:div>
        <w:div w:id="128982927">
          <w:marLeft w:val="640"/>
          <w:marRight w:val="0"/>
          <w:marTop w:val="0"/>
          <w:marBottom w:val="0"/>
          <w:divBdr>
            <w:top w:val="none" w:sz="0" w:space="0" w:color="auto"/>
            <w:left w:val="none" w:sz="0" w:space="0" w:color="auto"/>
            <w:bottom w:val="none" w:sz="0" w:space="0" w:color="auto"/>
            <w:right w:val="none" w:sz="0" w:space="0" w:color="auto"/>
          </w:divBdr>
        </w:div>
        <w:div w:id="880291008">
          <w:marLeft w:val="640"/>
          <w:marRight w:val="0"/>
          <w:marTop w:val="0"/>
          <w:marBottom w:val="0"/>
          <w:divBdr>
            <w:top w:val="none" w:sz="0" w:space="0" w:color="auto"/>
            <w:left w:val="none" w:sz="0" w:space="0" w:color="auto"/>
            <w:bottom w:val="none" w:sz="0" w:space="0" w:color="auto"/>
            <w:right w:val="none" w:sz="0" w:space="0" w:color="auto"/>
          </w:divBdr>
        </w:div>
        <w:div w:id="1157499191">
          <w:marLeft w:val="640"/>
          <w:marRight w:val="0"/>
          <w:marTop w:val="0"/>
          <w:marBottom w:val="0"/>
          <w:divBdr>
            <w:top w:val="none" w:sz="0" w:space="0" w:color="auto"/>
            <w:left w:val="none" w:sz="0" w:space="0" w:color="auto"/>
            <w:bottom w:val="none" w:sz="0" w:space="0" w:color="auto"/>
            <w:right w:val="none" w:sz="0" w:space="0" w:color="auto"/>
          </w:divBdr>
        </w:div>
        <w:div w:id="532572365">
          <w:marLeft w:val="640"/>
          <w:marRight w:val="0"/>
          <w:marTop w:val="0"/>
          <w:marBottom w:val="0"/>
          <w:divBdr>
            <w:top w:val="none" w:sz="0" w:space="0" w:color="auto"/>
            <w:left w:val="none" w:sz="0" w:space="0" w:color="auto"/>
            <w:bottom w:val="none" w:sz="0" w:space="0" w:color="auto"/>
            <w:right w:val="none" w:sz="0" w:space="0" w:color="auto"/>
          </w:divBdr>
        </w:div>
        <w:div w:id="432433756">
          <w:marLeft w:val="640"/>
          <w:marRight w:val="0"/>
          <w:marTop w:val="0"/>
          <w:marBottom w:val="0"/>
          <w:divBdr>
            <w:top w:val="none" w:sz="0" w:space="0" w:color="auto"/>
            <w:left w:val="none" w:sz="0" w:space="0" w:color="auto"/>
            <w:bottom w:val="none" w:sz="0" w:space="0" w:color="auto"/>
            <w:right w:val="none" w:sz="0" w:space="0" w:color="auto"/>
          </w:divBdr>
        </w:div>
        <w:div w:id="1775051196">
          <w:marLeft w:val="640"/>
          <w:marRight w:val="0"/>
          <w:marTop w:val="0"/>
          <w:marBottom w:val="0"/>
          <w:divBdr>
            <w:top w:val="none" w:sz="0" w:space="0" w:color="auto"/>
            <w:left w:val="none" w:sz="0" w:space="0" w:color="auto"/>
            <w:bottom w:val="none" w:sz="0" w:space="0" w:color="auto"/>
            <w:right w:val="none" w:sz="0" w:space="0" w:color="auto"/>
          </w:divBdr>
        </w:div>
        <w:div w:id="1040940183">
          <w:marLeft w:val="640"/>
          <w:marRight w:val="0"/>
          <w:marTop w:val="0"/>
          <w:marBottom w:val="0"/>
          <w:divBdr>
            <w:top w:val="none" w:sz="0" w:space="0" w:color="auto"/>
            <w:left w:val="none" w:sz="0" w:space="0" w:color="auto"/>
            <w:bottom w:val="none" w:sz="0" w:space="0" w:color="auto"/>
            <w:right w:val="none" w:sz="0" w:space="0" w:color="auto"/>
          </w:divBdr>
        </w:div>
        <w:div w:id="1422143681">
          <w:marLeft w:val="640"/>
          <w:marRight w:val="0"/>
          <w:marTop w:val="0"/>
          <w:marBottom w:val="0"/>
          <w:divBdr>
            <w:top w:val="none" w:sz="0" w:space="0" w:color="auto"/>
            <w:left w:val="none" w:sz="0" w:space="0" w:color="auto"/>
            <w:bottom w:val="none" w:sz="0" w:space="0" w:color="auto"/>
            <w:right w:val="none" w:sz="0" w:space="0" w:color="auto"/>
          </w:divBdr>
        </w:div>
        <w:div w:id="1670936819">
          <w:marLeft w:val="640"/>
          <w:marRight w:val="0"/>
          <w:marTop w:val="0"/>
          <w:marBottom w:val="0"/>
          <w:divBdr>
            <w:top w:val="none" w:sz="0" w:space="0" w:color="auto"/>
            <w:left w:val="none" w:sz="0" w:space="0" w:color="auto"/>
            <w:bottom w:val="none" w:sz="0" w:space="0" w:color="auto"/>
            <w:right w:val="none" w:sz="0" w:space="0" w:color="auto"/>
          </w:divBdr>
        </w:div>
        <w:div w:id="523634475">
          <w:marLeft w:val="640"/>
          <w:marRight w:val="0"/>
          <w:marTop w:val="0"/>
          <w:marBottom w:val="0"/>
          <w:divBdr>
            <w:top w:val="none" w:sz="0" w:space="0" w:color="auto"/>
            <w:left w:val="none" w:sz="0" w:space="0" w:color="auto"/>
            <w:bottom w:val="none" w:sz="0" w:space="0" w:color="auto"/>
            <w:right w:val="none" w:sz="0" w:space="0" w:color="auto"/>
          </w:divBdr>
        </w:div>
        <w:div w:id="2075279379">
          <w:marLeft w:val="640"/>
          <w:marRight w:val="0"/>
          <w:marTop w:val="0"/>
          <w:marBottom w:val="0"/>
          <w:divBdr>
            <w:top w:val="none" w:sz="0" w:space="0" w:color="auto"/>
            <w:left w:val="none" w:sz="0" w:space="0" w:color="auto"/>
            <w:bottom w:val="none" w:sz="0" w:space="0" w:color="auto"/>
            <w:right w:val="none" w:sz="0" w:space="0" w:color="auto"/>
          </w:divBdr>
        </w:div>
        <w:div w:id="881788339">
          <w:marLeft w:val="640"/>
          <w:marRight w:val="0"/>
          <w:marTop w:val="0"/>
          <w:marBottom w:val="0"/>
          <w:divBdr>
            <w:top w:val="none" w:sz="0" w:space="0" w:color="auto"/>
            <w:left w:val="none" w:sz="0" w:space="0" w:color="auto"/>
            <w:bottom w:val="none" w:sz="0" w:space="0" w:color="auto"/>
            <w:right w:val="none" w:sz="0" w:space="0" w:color="auto"/>
          </w:divBdr>
        </w:div>
        <w:div w:id="879590133">
          <w:marLeft w:val="640"/>
          <w:marRight w:val="0"/>
          <w:marTop w:val="0"/>
          <w:marBottom w:val="0"/>
          <w:divBdr>
            <w:top w:val="none" w:sz="0" w:space="0" w:color="auto"/>
            <w:left w:val="none" w:sz="0" w:space="0" w:color="auto"/>
            <w:bottom w:val="none" w:sz="0" w:space="0" w:color="auto"/>
            <w:right w:val="none" w:sz="0" w:space="0" w:color="auto"/>
          </w:divBdr>
        </w:div>
        <w:div w:id="719786431">
          <w:marLeft w:val="640"/>
          <w:marRight w:val="0"/>
          <w:marTop w:val="0"/>
          <w:marBottom w:val="0"/>
          <w:divBdr>
            <w:top w:val="none" w:sz="0" w:space="0" w:color="auto"/>
            <w:left w:val="none" w:sz="0" w:space="0" w:color="auto"/>
            <w:bottom w:val="none" w:sz="0" w:space="0" w:color="auto"/>
            <w:right w:val="none" w:sz="0" w:space="0" w:color="auto"/>
          </w:divBdr>
        </w:div>
        <w:div w:id="1200321745">
          <w:marLeft w:val="640"/>
          <w:marRight w:val="0"/>
          <w:marTop w:val="0"/>
          <w:marBottom w:val="0"/>
          <w:divBdr>
            <w:top w:val="none" w:sz="0" w:space="0" w:color="auto"/>
            <w:left w:val="none" w:sz="0" w:space="0" w:color="auto"/>
            <w:bottom w:val="none" w:sz="0" w:space="0" w:color="auto"/>
            <w:right w:val="none" w:sz="0" w:space="0" w:color="auto"/>
          </w:divBdr>
        </w:div>
        <w:div w:id="360782338">
          <w:marLeft w:val="640"/>
          <w:marRight w:val="0"/>
          <w:marTop w:val="0"/>
          <w:marBottom w:val="0"/>
          <w:divBdr>
            <w:top w:val="none" w:sz="0" w:space="0" w:color="auto"/>
            <w:left w:val="none" w:sz="0" w:space="0" w:color="auto"/>
            <w:bottom w:val="none" w:sz="0" w:space="0" w:color="auto"/>
            <w:right w:val="none" w:sz="0" w:space="0" w:color="auto"/>
          </w:divBdr>
        </w:div>
        <w:div w:id="1442267068">
          <w:marLeft w:val="640"/>
          <w:marRight w:val="0"/>
          <w:marTop w:val="0"/>
          <w:marBottom w:val="0"/>
          <w:divBdr>
            <w:top w:val="none" w:sz="0" w:space="0" w:color="auto"/>
            <w:left w:val="none" w:sz="0" w:space="0" w:color="auto"/>
            <w:bottom w:val="none" w:sz="0" w:space="0" w:color="auto"/>
            <w:right w:val="none" w:sz="0" w:space="0" w:color="auto"/>
          </w:divBdr>
        </w:div>
        <w:div w:id="666708816">
          <w:marLeft w:val="640"/>
          <w:marRight w:val="0"/>
          <w:marTop w:val="0"/>
          <w:marBottom w:val="0"/>
          <w:divBdr>
            <w:top w:val="none" w:sz="0" w:space="0" w:color="auto"/>
            <w:left w:val="none" w:sz="0" w:space="0" w:color="auto"/>
            <w:bottom w:val="none" w:sz="0" w:space="0" w:color="auto"/>
            <w:right w:val="none" w:sz="0" w:space="0" w:color="auto"/>
          </w:divBdr>
        </w:div>
        <w:div w:id="999189858">
          <w:marLeft w:val="640"/>
          <w:marRight w:val="0"/>
          <w:marTop w:val="0"/>
          <w:marBottom w:val="0"/>
          <w:divBdr>
            <w:top w:val="none" w:sz="0" w:space="0" w:color="auto"/>
            <w:left w:val="none" w:sz="0" w:space="0" w:color="auto"/>
            <w:bottom w:val="none" w:sz="0" w:space="0" w:color="auto"/>
            <w:right w:val="none" w:sz="0" w:space="0" w:color="auto"/>
          </w:divBdr>
        </w:div>
        <w:div w:id="1692992106">
          <w:marLeft w:val="640"/>
          <w:marRight w:val="0"/>
          <w:marTop w:val="0"/>
          <w:marBottom w:val="0"/>
          <w:divBdr>
            <w:top w:val="none" w:sz="0" w:space="0" w:color="auto"/>
            <w:left w:val="none" w:sz="0" w:space="0" w:color="auto"/>
            <w:bottom w:val="none" w:sz="0" w:space="0" w:color="auto"/>
            <w:right w:val="none" w:sz="0" w:space="0" w:color="auto"/>
          </w:divBdr>
        </w:div>
        <w:div w:id="858353323">
          <w:marLeft w:val="640"/>
          <w:marRight w:val="0"/>
          <w:marTop w:val="0"/>
          <w:marBottom w:val="0"/>
          <w:divBdr>
            <w:top w:val="none" w:sz="0" w:space="0" w:color="auto"/>
            <w:left w:val="none" w:sz="0" w:space="0" w:color="auto"/>
            <w:bottom w:val="none" w:sz="0" w:space="0" w:color="auto"/>
            <w:right w:val="none" w:sz="0" w:space="0" w:color="auto"/>
          </w:divBdr>
        </w:div>
        <w:div w:id="774402999">
          <w:marLeft w:val="640"/>
          <w:marRight w:val="0"/>
          <w:marTop w:val="0"/>
          <w:marBottom w:val="0"/>
          <w:divBdr>
            <w:top w:val="none" w:sz="0" w:space="0" w:color="auto"/>
            <w:left w:val="none" w:sz="0" w:space="0" w:color="auto"/>
            <w:bottom w:val="none" w:sz="0" w:space="0" w:color="auto"/>
            <w:right w:val="none" w:sz="0" w:space="0" w:color="auto"/>
          </w:divBdr>
        </w:div>
        <w:div w:id="1610888668">
          <w:marLeft w:val="640"/>
          <w:marRight w:val="0"/>
          <w:marTop w:val="0"/>
          <w:marBottom w:val="0"/>
          <w:divBdr>
            <w:top w:val="none" w:sz="0" w:space="0" w:color="auto"/>
            <w:left w:val="none" w:sz="0" w:space="0" w:color="auto"/>
            <w:bottom w:val="none" w:sz="0" w:space="0" w:color="auto"/>
            <w:right w:val="none" w:sz="0" w:space="0" w:color="auto"/>
          </w:divBdr>
        </w:div>
        <w:div w:id="1204633735">
          <w:marLeft w:val="640"/>
          <w:marRight w:val="0"/>
          <w:marTop w:val="0"/>
          <w:marBottom w:val="0"/>
          <w:divBdr>
            <w:top w:val="none" w:sz="0" w:space="0" w:color="auto"/>
            <w:left w:val="none" w:sz="0" w:space="0" w:color="auto"/>
            <w:bottom w:val="none" w:sz="0" w:space="0" w:color="auto"/>
            <w:right w:val="none" w:sz="0" w:space="0" w:color="auto"/>
          </w:divBdr>
        </w:div>
        <w:div w:id="312372852">
          <w:marLeft w:val="640"/>
          <w:marRight w:val="0"/>
          <w:marTop w:val="0"/>
          <w:marBottom w:val="0"/>
          <w:divBdr>
            <w:top w:val="none" w:sz="0" w:space="0" w:color="auto"/>
            <w:left w:val="none" w:sz="0" w:space="0" w:color="auto"/>
            <w:bottom w:val="none" w:sz="0" w:space="0" w:color="auto"/>
            <w:right w:val="none" w:sz="0" w:space="0" w:color="auto"/>
          </w:divBdr>
        </w:div>
        <w:div w:id="1844859432">
          <w:marLeft w:val="640"/>
          <w:marRight w:val="0"/>
          <w:marTop w:val="0"/>
          <w:marBottom w:val="0"/>
          <w:divBdr>
            <w:top w:val="none" w:sz="0" w:space="0" w:color="auto"/>
            <w:left w:val="none" w:sz="0" w:space="0" w:color="auto"/>
            <w:bottom w:val="none" w:sz="0" w:space="0" w:color="auto"/>
            <w:right w:val="none" w:sz="0" w:space="0" w:color="auto"/>
          </w:divBdr>
        </w:div>
        <w:div w:id="1627924975">
          <w:marLeft w:val="640"/>
          <w:marRight w:val="0"/>
          <w:marTop w:val="0"/>
          <w:marBottom w:val="0"/>
          <w:divBdr>
            <w:top w:val="none" w:sz="0" w:space="0" w:color="auto"/>
            <w:left w:val="none" w:sz="0" w:space="0" w:color="auto"/>
            <w:bottom w:val="none" w:sz="0" w:space="0" w:color="auto"/>
            <w:right w:val="none" w:sz="0" w:space="0" w:color="auto"/>
          </w:divBdr>
        </w:div>
      </w:divsChild>
    </w:div>
    <w:div w:id="1225289976">
      <w:bodyDiv w:val="1"/>
      <w:marLeft w:val="0"/>
      <w:marRight w:val="0"/>
      <w:marTop w:val="0"/>
      <w:marBottom w:val="0"/>
      <w:divBdr>
        <w:top w:val="none" w:sz="0" w:space="0" w:color="auto"/>
        <w:left w:val="none" w:sz="0" w:space="0" w:color="auto"/>
        <w:bottom w:val="none" w:sz="0" w:space="0" w:color="auto"/>
        <w:right w:val="none" w:sz="0" w:space="0" w:color="auto"/>
      </w:divBdr>
    </w:div>
    <w:div w:id="1227953982">
      <w:bodyDiv w:val="1"/>
      <w:marLeft w:val="0"/>
      <w:marRight w:val="0"/>
      <w:marTop w:val="0"/>
      <w:marBottom w:val="0"/>
      <w:divBdr>
        <w:top w:val="none" w:sz="0" w:space="0" w:color="auto"/>
        <w:left w:val="none" w:sz="0" w:space="0" w:color="auto"/>
        <w:bottom w:val="none" w:sz="0" w:space="0" w:color="auto"/>
        <w:right w:val="none" w:sz="0" w:space="0" w:color="auto"/>
      </w:divBdr>
    </w:div>
    <w:div w:id="1229413374">
      <w:bodyDiv w:val="1"/>
      <w:marLeft w:val="0"/>
      <w:marRight w:val="0"/>
      <w:marTop w:val="0"/>
      <w:marBottom w:val="0"/>
      <w:divBdr>
        <w:top w:val="none" w:sz="0" w:space="0" w:color="auto"/>
        <w:left w:val="none" w:sz="0" w:space="0" w:color="auto"/>
        <w:bottom w:val="none" w:sz="0" w:space="0" w:color="auto"/>
        <w:right w:val="none" w:sz="0" w:space="0" w:color="auto"/>
      </w:divBdr>
    </w:div>
    <w:div w:id="1232034991">
      <w:bodyDiv w:val="1"/>
      <w:marLeft w:val="0"/>
      <w:marRight w:val="0"/>
      <w:marTop w:val="0"/>
      <w:marBottom w:val="0"/>
      <w:divBdr>
        <w:top w:val="none" w:sz="0" w:space="0" w:color="auto"/>
        <w:left w:val="none" w:sz="0" w:space="0" w:color="auto"/>
        <w:bottom w:val="none" w:sz="0" w:space="0" w:color="auto"/>
        <w:right w:val="none" w:sz="0" w:space="0" w:color="auto"/>
      </w:divBdr>
    </w:div>
    <w:div w:id="1232351541">
      <w:bodyDiv w:val="1"/>
      <w:marLeft w:val="0"/>
      <w:marRight w:val="0"/>
      <w:marTop w:val="0"/>
      <w:marBottom w:val="0"/>
      <w:divBdr>
        <w:top w:val="none" w:sz="0" w:space="0" w:color="auto"/>
        <w:left w:val="none" w:sz="0" w:space="0" w:color="auto"/>
        <w:bottom w:val="none" w:sz="0" w:space="0" w:color="auto"/>
        <w:right w:val="none" w:sz="0" w:space="0" w:color="auto"/>
      </w:divBdr>
    </w:div>
    <w:div w:id="1232541992">
      <w:bodyDiv w:val="1"/>
      <w:marLeft w:val="0"/>
      <w:marRight w:val="0"/>
      <w:marTop w:val="0"/>
      <w:marBottom w:val="0"/>
      <w:divBdr>
        <w:top w:val="none" w:sz="0" w:space="0" w:color="auto"/>
        <w:left w:val="none" w:sz="0" w:space="0" w:color="auto"/>
        <w:bottom w:val="none" w:sz="0" w:space="0" w:color="auto"/>
        <w:right w:val="none" w:sz="0" w:space="0" w:color="auto"/>
      </w:divBdr>
    </w:div>
    <w:div w:id="1233858444">
      <w:bodyDiv w:val="1"/>
      <w:marLeft w:val="0"/>
      <w:marRight w:val="0"/>
      <w:marTop w:val="0"/>
      <w:marBottom w:val="0"/>
      <w:divBdr>
        <w:top w:val="none" w:sz="0" w:space="0" w:color="auto"/>
        <w:left w:val="none" w:sz="0" w:space="0" w:color="auto"/>
        <w:bottom w:val="none" w:sz="0" w:space="0" w:color="auto"/>
        <w:right w:val="none" w:sz="0" w:space="0" w:color="auto"/>
      </w:divBdr>
    </w:div>
    <w:div w:id="1234004771">
      <w:bodyDiv w:val="1"/>
      <w:marLeft w:val="0"/>
      <w:marRight w:val="0"/>
      <w:marTop w:val="0"/>
      <w:marBottom w:val="0"/>
      <w:divBdr>
        <w:top w:val="none" w:sz="0" w:space="0" w:color="auto"/>
        <w:left w:val="none" w:sz="0" w:space="0" w:color="auto"/>
        <w:bottom w:val="none" w:sz="0" w:space="0" w:color="auto"/>
        <w:right w:val="none" w:sz="0" w:space="0" w:color="auto"/>
      </w:divBdr>
    </w:div>
    <w:div w:id="1238512688">
      <w:bodyDiv w:val="1"/>
      <w:marLeft w:val="0"/>
      <w:marRight w:val="0"/>
      <w:marTop w:val="0"/>
      <w:marBottom w:val="0"/>
      <w:divBdr>
        <w:top w:val="none" w:sz="0" w:space="0" w:color="auto"/>
        <w:left w:val="none" w:sz="0" w:space="0" w:color="auto"/>
        <w:bottom w:val="none" w:sz="0" w:space="0" w:color="auto"/>
        <w:right w:val="none" w:sz="0" w:space="0" w:color="auto"/>
      </w:divBdr>
    </w:div>
    <w:div w:id="1241063912">
      <w:bodyDiv w:val="1"/>
      <w:marLeft w:val="0"/>
      <w:marRight w:val="0"/>
      <w:marTop w:val="0"/>
      <w:marBottom w:val="0"/>
      <w:divBdr>
        <w:top w:val="none" w:sz="0" w:space="0" w:color="auto"/>
        <w:left w:val="none" w:sz="0" w:space="0" w:color="auto"/>
        <w:bottom w:val="none" w:sz="0" w:space="0" w:color="auto"/>
        <w:right w:val="none" w:sz="0" w:space="0" w:color="auto"/>
      </w:divBdr>
    </w:div>
    <w:div w:id="1242136415">
      <w:bodyDiv w:val="1"/>
      <w:marLeft w:val="0"/>
      <w:marRight w:val="0"/>
      <w:marTop w:val="0"/>
      <w:marBottom w:val="0"/>
      <w:divBdr>
        <w:top w:val="none" w:sz="0" w:space="0" w:color="auto"/>
        <w:left w:val="none" w:sz="0" w:space="0" w:color="auto"/>
        <w:bottom w:val="none" w:sz="0" w:space="0" w:color="auto"/>
        <w:right w:val="none" w:sz="0" w:space="0" w:color="auto"/>
      </w:divBdr>
    </w:div>
    <w:div w:id="1248808785">
      <w:bodyDiv w:val="1"/>
      <w:marLeft w:val="0"/>
      <w:marRight w:val="0"/>
      <w:marTop w:val="0"/>
      <w:marBottom w:val="0"/>
      <w:divBdr>
        <w:top w:val="none" w:sz="0" w:space="0" w:color="auto"/>
        <w:left w:val="none" w:sz="0" w:space="0" w:color="auto"/>
        <w:bottom w:val="none" w:sz="0" w:space="0" w:color="auto"/>
        <w:right w:val="none" w:sz="0" w:space="0" w:color="auto"/>
      </w:divBdr>
      <w:divsChild>
        <w:div w:id="666596985">
          <w:marLeft w:val="640"/>
          <w:marRight w:val="0"/>
          <w:marTop w:val="0"/>
          <w:marBottom w:val="0"/>
          <w:divBdr>
            <w:top w:val="none" w:sz="0" w:space="0" w:color="auto"/>
            <w:left w:val="none" w:sz="0" w:space="0" w:color="auto"/>
            <w:bottom w:val="none" w:sz="0" w:space="0" w:color="auto"/>
            <w:right w:val="none" w:sz="0" w:space="0" w:color="auto"/>
          </w:divBdr>
        </w:div>
        <w:div w:id="892697017">
          <w:marLeft w:val="640"/>
          <w:marRight w:val="0"/>
          <w:marTop w:val="0"/>
          <w:marBottom w:val="0"/>
          <w:divBdr>
            <w:top w:val="none" w:sz="0" w:space="0" w:color="auto"/>
            <w:left w:val="none" w:sz="0" w:space="0" w:color="auto"/>
            <w:bottom w:val="none" w:sz="0" w:space="0" w:color="auto"/>
            <w:right w:val="none" w:sz="0" w:space="0" w:color="auto"/>
          </w:divBdr>
        </w:div>
        <w:div w:id="1785080900">
          <w:marLeft w:val="640"/>
          <w:marRight w:val="0"/>
          <w:marTop w:val="0"/>
          <w:marBottom w:val="0"/>
          <w:divBdr>
            <w:top w:val="none" w:sz="0" w:space="0" w:color="auto"/>
            <w:left w:val="none" w:sz="0" w:space="0" w:color="auto"/>
            <w:bottom w:val="none" w:sz="0" w:space="0" w:color="auto"/>
            <w:right w:val="none" w:sz="0" w:space="0" w:color="auto"/>
          </w:divBdr>
        </w:div>
        <w:div w:id="1034963190">
          <w:marLeft w:val="640"/>
          <w:marRight w:val="0"/>
          <w:marTop w:val="0"/>
          <w:marBottom w:val="0"/>
          <w:divBdr>
            <w:top w:val="none" w:sz="0" w:space="0" w:color="auto"/>
            <w:left w:val="none" w:sz="0" w:space="0" w:color="auto"/>
            <w:bottom w:val="none" w:sz="0" w:space="0" w:color="auto"/>
            <w:right w:val="none" w:sz="0" w:space="0" w:color="auto"/>
          </w:divBdr>
        </w:div>
        <w:div w:id="520970061">
          <w:marLeft w:val="640"/>
          <w:marRight w:val="0"/>
          <w:marTop w:val="0"/>
          <w:marBottom w:val="0"/>
          <w:divBdr>
            <w:top w:val="none" w:sz="0" w:space="0" w:color="auto"/>
            <w:left w:val="none" w:sz="0" w:space="0" w:color="auto"/>
            <w:bottom w:val="none" w:sz="0" w:space="0" w:color="auto"/>
            <w:right w:val="none" w:sz="0" w:space="0" w:color="auto"/>
          </w:divBdr>
        </w:div>
        <w:div w:id="628126107">
          <w:marLeft w:val="640"/>
          <w:marRight w:val="0"/>
          <w:marTop w:val="0"/>
          <w:marBottom w:val="0"/>
          <w:divBdr>
            <w:top w:val="none" w:sz="0" w:space="0" w:color="auto"/>
            <w:left w:val="none" w:sz="0" w:space="0" w:color="auto"/>
            <w:bottom w:val="none" w:sz="0" w:space="0" w:color="auto"/>
            <w:right w:val="none" w:sz="0" w:space="0" w:color="auto"/>
          </w:divBdr>
        </w:div>
        <w:div w:id="2002807616">
          <w:marLeft w:val="640"/>
          <w:marRight w:val="0"/>
          <w:marTop w:val="0"/>
          <w:marBottom w:val="0"/>
          <w:divBdr>
            <w:top w:val="none" w:sz="0" w:space="0" w:color="auto"/>
            <w:left w:val="none" w:sz="0" w:space="0" w:color="auto"/>
            <w:bottom w:val="none" w:sz="0" w:space="0" w:color="auto"/>
            <w:right w:val="none" w:sz="0" w:space="0" w:color="auto"/>
          </w:divBdr>
        </w:div>
        <w:div w:id="205914519">
          <w:marLeft w:val="640"/>
          <w:marRight w:val="0"/>
          <w:marTop w:val="0"/>
          <w:marBottom w:val="0"/>
          <w:divBdr>
            <w:top w:val="none" w:sz="0" w:space="0" w:color="auto"/>
            <w:left w:val="none" w:sz="0" w:space="0" w:color="auto"/>
            <w:bottom w:val="none" w:sz="0" w:space="0" w:color="auto"/>
            <w:right w:val="none" w:sz="0" w:space="0" w:color="auto"/>
          </w:divBdr>
        </w:div>
        <w:div w:id="18437033">
          <w:marLeft w:val="640"/>
          <w:marRight w:val="0"/>
          <w:marTop w:val="0"/>
          <w:marBottom w:val="0"/>
          <w:divBdr>
            <w:top w:val="none" w:sz="0" w:space="0" w:color="auto"/>
            <w:left w:val="none" w:sz="0" w:space="0" w:color="auto"/>
            <w:bottom w:val="none" w:sz="0" w:space="0" w:color="auto"/>
            <w:right w:val="none" w:sz="0" w:space="0" w:color="auto"/>
          </w:divBdr>
        </w:div>
        <w:div w:id="614488656">
          <w:marLeft w:val="640"/>
          <w:marRight w:val="0"/>
          <w:marTop w:val="0"/>
          <w:marBottom w:val="0"/>
          <w:divBdr>
            <w:top w:val="none" w:sz="0" w:space="0" w:color="auto"/>
            <w:left w:val="none" w:sz="0" w:space="0" w:color="auto"/>
            <w:bottom w:val="none" w:sz="0" w:space="0" w:color="auto"/>
            <w:right w:val="none" w:sz="0" w:space="0" w:color="auto"/>
          </w:divBdr>
        </w:div>
        <w:div w:id="1424952053">
          <w:marLeft w:val="640"/>
          <w:marRight w:val="0"/>
          <w:marTop w:val="0"/>
          <w:marBottom w:val="0"/>
          <w:divBdr>
            <w:top w:val="none" w:sz="0" w:space="0" w:color="auto"/>
            <w:left w:val="none" w:sz="0" w:space="0" w:color="auto"/>
            <w:bottom w:val="none" w:sz="0" w:space="0" w:color="auto"/>
            <w:right w:val="none" w:sz="0" w:space="0" w:color="auto"/>
          </w:divBdr>
        </w:div>
        <w:div w:id="1552839636">
          <w:marLeft w:val="640"/>
          <w:marRight w:val="0"/>
          <w:marTop w:val="0"/>
          <w:marBottom w:val="0"/>
          <w:divBdr>
            <w:top w:val="none" w:sz="0" w:space="0" w:color="auto"/>
            <w:left w:val="none" w:sz="0" w:space="0" w:color="auto"/>
            <w:bottom w:val="none" w:sz="0" w:space="0" w:color="auto"/>
            <w:right w:val="none" w:sz="0" w:space="0" w:color="auto"/>
          </w:divBdr>
        </w:div>
        <w:div w:id="833885084">
          <w:marLeft w:val="640"/>
          <w:marRight w:val="0"/>
          <w:marTop w:val="0"/>
          <w:marBottom w:val="0"/>
          <w:divBdr>
            <w:top w:val="none" w:sz="0" w:space="0" w:color="auto"/>
            <w:left w:val="none" w:sz="0" w:space="0" w:color="auto"/>
            <w:bottom w:val="none" w:sz="0" w:space="0" w:color="auto"/>
            <w:right w:val="none" w:sz="0" w:space="0" w:color="auto"/>
          </w:divBdr>
        </w:div>
        <w:div w:id="1637418767">
          <w:marLeft w:val="640"/>
          <w:marRight w:val="0"/>
          <w:marTop w:val="0"/>
          <w:marBottom w:val="0"/>
          <w:divBdr>
            <w:top w:val="none" w:sz="0" w:space="0" w:color="auto"/>
            <w:left w:val="none" w:sz="0" w:space="0" w:color="auto"/>
            <w:bottom w:val="none" w:sz="0" w:space="0" w:color="auto"/>
            <w:right w:val="none" w:sz="0" w:space="0" w:color="auto"/>
          </w:divBdr>
        </w:div>
        <w:div w:id="1304501346">
          <w:marLeft w:val="640"/>
          <w:marRight w:val="0"/>
          <w:marTop w:val="0"/>
          <w:marBottom w:val="0"/>
          <w:divBdr>
            <w:top w:val="none" w:sz="0" w:space="0" w:color="auto"/>
            <w:left w:val="none" w:sz="0" w:space="0" w:color="auto"/>
            <w:bottom w:val="none" w:sz="0" w:space="0" w:color="auto"/>
            <w:right w:val="none" w:sz="0" w:space="0" w:color="auto"/>
          </w:divBdr>
        </w:div>
        <w:div w:id="2018771221">
          <w:marLeft w:val="640"/>
          <w:marRight w:val="0"/>
          <w:marTop w:val="0"/>
          <w:marBottom w:val="0"/>
          <w:divBdr>
            <w:top w:val="none" w:sz="0" w:space="0" w:color="auto"/>
            <w:left w:val="none" w:sz="0" w:space="0" w:color="auto"/>
            <w:bottom w:val="none" w:sz="0" w:space="0" w:color="auto"/>
            <w:right w:val="none" w:sz="0" w:space="0" w:color="auto"/>
          </w:divBdr>
        </w:div>
        <w:div w:id="361632343">
          <w:marLeft w:val="640"/>
          <w:marRight w:val="0"/>
          <w:marTop w:val="0"/>
          <w:marBottom w:val="0"/>
          <w:divBdr>
            <w:top w:val="none" w:sz="0" w:space="0" w:color="auto"/>
            <w:left w:val="none" w:sz="0" w:space="0" w:color="auto"/>
            <w:bottom w:val="none" w:sz="0" w:space="0" w:color="auto"/>
            <w:right w:val="none" w:sz="0" w:space="0" w:color="auto"/>
          </w:divBdr>
        </w:div>
        <w:div w:id="635796271">
          <w:marLeft w:val="640"/>
          <w:marRight w:val="0"/>
          <w:marTop w:val="0"/>
          <w:marBottom w:val="0"/>
          <w:divBdr>
            <w:top w:val="none" w:sz="0" w:space="0" w:color="auto"/>
            <w:left w:val="none" w:sz="0" w:space="0" w:color="auto"/>
            <w:bottom w:val="none" w:sz="0" w:space="0" w:color="auto"/>
            <w:right w:val="none" w:sz="0" w:space="0" w:color="auto"/>
          </w:divBdr>
        </w:div>
        <w:div w:id="1740710018">
          <w:marLeft w:val="640"/>
          <w:marRight w:val="0"/>
          <w:marTop w:val="0"/>
          <w:marBottom w:val="0"/>
          <w:divBdr>
            <w:top w:val="none" w:sz="0" w:space="0" w:color="auto"/>
            <w:left w:val="none" w:sz="0" w:space="0" w:color="auto"/>
            <w:bottom w:val="none" w:sz="0" w:space="0" w:color="auto"/>
            <w:right w:val="none" w:sz="0" w:space="0" w:color="auto"/>
          </w:divBdr>
        </w:div>
        <w:div w:id="472479893">
          <w:marLeft w:val="640"/>
          <w:marRight w:val="0"/>
          <w:marTop w:val="0"/>
          <w:marBottom w:val="0"/>
          <w:divBdr>
            <w:top w:val="none" w:sz="0" w:space="0" w:color="auto"/>
            <w:left w:val="none" w:sz="0" w:space="0" w:color="auto"/>
            <w:bottom w:val="none" w:sz="0" w:space="0" w:color="auto"/>
            <w:right w:val="none" w:sz="0" w:space="0" w:color="auto"/>
          </w:divBdr>
        </w:div>
        <w:div w:id="393282373">
          <w:marLeft w:val="640"/>
          <w:marRight w:val="0"/>
          <w:marTop w:val="0"/>
          <w:marBottom w:val="0"/>
          <w:divBdr>
            <w:top w:val="none" w:sz="0" w:space="0" w:color="auto"/>
            <w:left w:val="none" w:sz="0" w:space="0" w:color="auto"/>
            <w:bottom w:val="none" w:sz="0" w:space="0" w:color="auto"/>
            <w:right w:val="none" w:sz="0" w:space="0" w:color="auto"/>
          </w:divBdr>
        </w:div>
        <w:div w:id="1697195379">
          <w:marLeft w:val="640"/>
          <w:marRight w:val="0"/>
          <w:marTop w:val="0"/>
          <w:marBottom w:val="0"/>
          <w:divBdr>
            <w:top w:val="none" w:sz="0" w:space="0" w:color="auto"/>
            <w:left w:val="none" w:sz="0" w:space="0" w:color="auto"/>
            <w:bottom w:val="none" w:sz="0" w:space="0" w:color="auto"/>
            <w:right w:val="none" w:sz="0" w:space="0" w:color="auto"/>
          </w:divBdr>
        </w:div>
        <w:div w:id="987901672">
          <w:marLeft w:val="640"/>
          <w:marRight w:val="0"/>
          <w:marTop w:val="0"/>
          <w:marBottom w:val="0"/>
          <w:divBdr>
            <w:top w:val="none" w:sz="0" w:space="0" w:color="auto"/>
            <w:left w:val="none" w:sz="0" w:space="0" w:color="auto"/>
            <w:bottom w:val="none" w:sz="0" w:space="0" w:color="auto"/>
            <w:right w:val="none" w:sz="0" w:space="0" w:color="auto"/>
          </w:divBdr>
        </w:div>
        <w:div w:id="327514949">
          <w:marLeft w:val="640"/>
          <w:marRight w:val="0"/>
          <w:marTop w:val="0"/>
          <w:marBottom w:val="0"/>
          <w:divBdr>
            <w:top w:val="none" w:sz="0" w:space="0" w:color="auto"/>
            <w:left w:val="none" w:sz="0" w:space="0" w:color="auto"/>
            <w:bottom w:val="none" w:sz="0" w:space="0" w:color="auto"/>
            <w:right w:val="none" w:sz="0" w:space="0" w:color="auto"/>
          </w:divBdr>
        </w:div>
        <w:div w:id="1028028875">
          <w:marLeft w:val="640"/>
          <w:marRight w:val="0"/>
          <w:marTop w:val="0"/>
          <w:marBottom w:val="0"/>
          <w:divBdr>
            <w:top w:val="none" w:sz="0" w:space="0" w:color="auto"/>
            <w:left w:val="none" w:sz="0" w:space="0" w:color="auto"/>
            <w:bottom w:val="none" w:sz="0" w:space="0" w:color="auto"/>
            <w:right w:val="none" w:sz="0" w:space="0" w:color="auto"/>
          </w:divBdr>
        </w:div>
        <w:div w:id="319042375">
          <w:marLeft w:val="640"/>
          <w:marRight w:val="0"/>
          <w:marTop w:val="0"/>
          <w:marBottom w:val="0"/>
          <w:divBdr>
            <w:top w:val="none" w:sz="0" w:space="0" w:color="auto"/>
            <w:left w:val="none" w:sz="0" w:space="0" w:color="auto"/>
            <w:bottom w:val="none" w:sz="0" w:space="0" w:color="auto"/>
            <w:right w:val="none" w:sz="0" w:space="0" w:color="auto"/>
          </w:divBdr>
        </w:div>
        <w:div w:id="1076975529">
          <w:marLeft w:val="640"/>
          <w:marRight w:val="0"/>
          <w:marTop w:val="0"/>
          <w:marBottom w:val="0"/>
          <w:divBdr>
            <w:top w:val="none" w:sz="0" w:space="0" w:color="auto"/>
            <w:left w:val="none" w:sz="0" w:space="0" w:color="auto"/>
            <w:bottom w:val="none" w:sz="0" w:space="0" w:color="auto"/>
            <w:right w:val="none" w:sz="0" w:space="0" w:color="auto"/>
          </w:divBdr>
        </w:div>
        <w:div w:id="542640357">
          <w:marLeft w:val="640"/>
          <w:marRight w:val="0"/>
          <w:marTop w:val="0"/>
          <w:marBottom w:val="0"/>
          <w:divBdr>
            <w:top w:val="none" w:sz="0" w:space="0" w:color="auto"/>
            <w:left w:val="none" w:sz="0" w:space="0" w:color="auto"/>
            <w:bottom w:val="none" w:sz="0" w:space="0" w:color="auto"/>
            <w:right w:val="none" w:sz="0" w:space="0" w:color="auto"/>
          </w:divBdr>
        </w:div>
        <w:div w:id="1000935313">
          <w:marLeft w:val="640"/>
          <w:marRight w:val="0"/>
          <w:marTop w:val="0"/>
          <w:marBottom w:val="0"/>
          <w:divBdr>
            <w:top w:val="none" w:sz="0" w:space="0" w:color="auto"/>
            <w:left w:val="none" w:sz="0" w:space="0" w:color="auto"/>
            <w:bottom w:val="none" w:sz="0" w:space="0" w:color="auto"/>
            <w:right w:val="none" w:sz="0" w:space="0" w:color="auto"/>
          </w:divBdr>
        </w:div>
        <w:div w:id="1008674446">
          <w:marLeft w:val="640"/>
          <w:marRight w:val="0"/>
          <w:marTop w:val="0"/>
          <w:marBottom w:val="0"/>
          <w:divBdr>
            <w:top w:val="none" w:sz="0" w:space="0" w:color="auto"/>
            <w:left w:val="none" w:sz="0" w:space="0" w:color="auto"/>
            <w:bottom w:val="none" w:sz="0" w:space="0" w:color="auto"/>
            <w:right w:val="none" w:sz="0" w:space="0" w:color="auto"/>
          </w:divBdr>
        </w:div>
        <w:div w:id="554777179">
          <w:marLeft w:val="640"/>
          <w:marRight w:val="0"/>
          <w:marTop w:val="0"/>
          <w:marBottom w:val="0"/>
          <w:divBdr>
            <w:top w:val="none" w:sz="0" w:space="0" w:color="auto"/>
            <w:left w:val="none" w:sz="0" w:space="0" w:color="auto"/>
            <w:bottom w:val="none" w:sz="0" w:space="0" w:color="auto"/>
            <w:right w:val="none" w:sz="0" w:space="0" w:color="auto"/>
          </w:divBdr>
        </w:div>
        <w:div w:id="1060592896">
          <w:marLeft w:val="640"/>
          <w:marRight w:val="0"/>
          <w:marTop w:val="0"/>
          <w:marBottom w:val="0"/>
          <w:divBdr>
            <w:top w:val="none" w:sz="0" w:space="0" w:color="auto"/>
            <w:left w:val="none" w:sz="0" w:space="0" w:color="auto"/>
            <w:bottom w:val="none" w:sz="0" w:space="0" w:color="auto"/>
            <w:right w:val="none" w:sz="0" w:space="0" w:color="auto"/>
          </w:divBdr>
        </w:div>
        <w:div w:id="1636255220">
          <w:marLeft w:val="640"/>
          <w:marRight w:val="0"/>
          <w:marTop w:val="0"/>
          <w:marBottom w:val="0"/>
          <w:divBdr>
            <w:top w:val="none" w:sz="0" w:space="0" w:color="auto"/>
            <w:left w:val="none" w:sz="0" w:space="0" w:color="auto"/>
            <w:bottom w:val="none" w:sz="0" w:space="0" w:color="auto"/>
            <w:right w:val="none" w:sz="0" w:space="0" w:color="auto"/>
          </w:divBdr>
        </w:div>
        <w:div w:id="981274351">
          <w:marLeft w:val="640"/>
          <w:marRight w:val="0"/>
          <w:marTop w:val="0"/>
          <w:marBottom w:val="0"/>
          <w:divBdr>
            <w:top w:val="none" w:sz="0" w:space="0" w:color="auto"/>
            <w:left w:val="none" w:sz="0" w:space="0" w:color="auto"/>
            <w:bottom w:val="none" w:sz="0" w:space="0" w:color="auto"/>
            <w:right w:val="none" w:sz="0" w:space="0" w:color="auto"/>
          </w:divBdr>
        </w:div>
        <w:div w:id="1997607678">
          <w:marLeft w:val="640"/>
          <w:marRight w:val="0"/>
          <w:marTop w:val="0"/>
          <w:marBottom w:val="0"/>
          <w:divBdr>
            <w:top w:val="none" w:sz="0" w:space="0" w:color="auto"/>
            <w:left w:val="none" w:sz="0" w:space="0" w:color="auto"/>
            <w:bottom w:val="none" w:sz="0" w:space="0" w:color="auto"/>
            <w:right w:val="none" w:sz="0" w:space="0" w:color="auto"/>
          </w:divBdr>
        </w:div>
        <w:div w:id="491066085">
          <w:marLeft w:val="640"/>
          <w:marRight w:val="0"/>
          <w:marTop w:val="0"/>
          <w:marBottom w:val="0"/>
          <w:divBdr>
            <w:top w:val="none" w:sz="0" w:space="0" w:color="auto"/>
            <w:left w:val="none" w:sz="0" w:space="0" w:color="auto"/>
            <w:bottom w:val="none" w:sz="0" w:space="0" w:color="auto"/>
            <w:right w:val="none" w:sz="0" w:space="0" w:color="auto"/>
          </w:divBdr>
        </w:div>
        <w:div w:id="1965849858">
          <w:marLeft w:val="640"/>
          <w:marRight w:val="0"/>
          <w:marTop w:val="0"/>
          <w:marBottom w:val="0"/>
          <w:divBdr>
            <w:top w:val="none" w:sz="0" w:space="0" w:color="auto"/>
            <w:left w:val="none" w:sz="0" w:space="0" w:color="auto"/>
            <w:bottom w:val="none" w:sz="0" w:space="0" w:color="auto"/>
            <w:right w:val="none" w:sz="0" w:space="0" w:color="auto"/>
          </w:divBdr>
        </w:div>
        <w:div w:id="1839418441">
          <w:marLeft w:val="640"/>
          <w:marRight w:val="0"/>
          <w:marTop w:val="0"/>
          <w:marBottom w:val="0"/>
          <w:divBdr>
            <w:top w:val="none" w:sz="0" w:space="0" w:color="auto"/>
            <w:left w:val="none" w:sz="0" w:space="0" w:color="auto"/>
            <w:bottom w:val="none" w:sz="0" w:space="0" w:color="auto"/>
            <w:right w:val="none" w:sz="0" w:space="0" w:color="auto"/>
          </w:divBdr>
        </w:div>
        <w:div w:id="679504850">
          <w:marLeft w:val="640"/>
          <w:marRight w:val="0"/>
          <w:marTop w:val="0"/>
          <w:marBottom w:val="0"/>
          <w:divBdr>
            <w:top w:val="none" w:sz="0" w:space="0" w:color="auto"/>
            <w:left w:val="none" w:sz="0" w:space="0" w:color="auto"/>
            <w:bottom w:val="none" w:sz="0" w:space="0" w:color="auto"/>
            <w:right w:val="none" w:sz="0" w:space="0" w:color="auto"/>
          </w:divBdr>
        </w:div>
        <w:div w:id="185294602">
          <w:marLeft w:val="640"/>
          <w:marRight w:val="0"/>
          <w:marTop w:val="0"/>
          <w:marBottom w:val="0"/>
          <w:divBdr>
            <w:top w:val="none" w:sz="0" w:space="0" w:color="auto"/>
            <w:left w:val="none" w:sz="0" w:space="0" w:color="auto"/>
            <w:bottom w:val="none" w:sz="0" w:space="0" w:color="auto"/>
            <w:right w:val="none" w:sz="0" w:space="0" w:color="auto"/>
          </w:divBdr>
        </w:div>
        <w:div w:id="352876245">
          <w:marLeft w:val="640"/>
          <w:marRight w:val="0"/>
          <w:marTop w:val="0"/>
          <w:marBottom w:val="0"/>
          <w:divBdr>
            <w:top w:val="none" w:sz="0" w:space="0" w:color="auto"/>
            <w:left w:val="none" w:sz="0" w:space="0" w:color="auto"/>
            <w:bottom w:val="none" w:sz="0" w:space="0" w:color="auto"/>
            <w:right w:val="none" w:sz="0" w:space="0" w:color="auto"/>
          </w:divBdr>
        </w:div>
        <w:div w:id="1822042586">
          <w:marLeft w:val="640"/>
          <w:marRight w:val="0"/>
          <w:marTop w:val="0"/>
          <w:marBottom w:val="0"/>
          <w:divBdr>
            <w:top w:val="none" w:sz="0" w:space="0" w:color="auto"/>
            <w:left w:val="none" w:sz="0" w:space="0" w:color="auto"/>
            <w:bottom w:val="none" w:sz="0" w:space="0" w:color="auto"/>
            <w:right w:val="none" w:sz="0" w:space="0" w:color="auto"/>
          </w:divBdr>
        </w:div>
        <w:div w:id="486362692">
          <w:marLeft w:val="640"/>
          <w:marRight w:val="0"/>
          <w:marTop w:val="0"/>
          <w:marBottom w:val="0"/>
          <w:divBdr>
            <w:top w:val="none" w:sz="0" w:space="0" w:color="auto"/>
            <w:left w:val="none" w:sz="0" w:space="0" w:color="auto"/>
            <w:bottom w:val="none" w:sz="0" w:space="0" w:color="auto"/>
            <w:right w:val="none" w:sz="0" w:space="0" w:color="auto"/>
          </w:divBdr>
        </w:div>
        <w:div w:id="680427108">
          <w:marLeft w:val="640"/>
          <w:marRight w:val="0"/>
          <w:marTop w:val="0"/>
          <w:marBottom w:val="0"/>
          <w:divBdr>
            <w:top w:val="none" w:sz="0" w:space="0" w:color="auto"/>
            <w:left w:val="none" w:sz="0" w:space="0" w:color="auto"/>
            <w:bottom w:val="none" w:sz="0" w:space="0" w:color="auto"/>
            <w:right w:val="none" w:sz="0" w:space="0" w:color="auto"/>
          </w:divBdr>
        </w:div>
        <w:div w:id="1898785049">
          <w:marLeft w:val="640"/>
          <w:marRight w:val="0"/>
          <w:marTop w:val="0"/>
          <w:marBottom w:val="0"/>
          <w:divBdr>
            <w:top w:val="none" w:sz="0" w:space="0" w:color="auto"/>
            <w:left w:val="none" w:sz="0" w:space="0" w:color="auto"/>
            <w:bottom w:val="none" w:sz="0" w:space="0" w:color="auto"/>
            <w:right w:val="none" w:sz="0" w:space="0" w:color="auto"/>
          </w:divBdr>
        </w:div>
        <w:div w:id="909922184">
          <w:marLeft w:val="640"/>
          <w:marRight w:val="0"/>
          <w:marTop w:val="0"/>
          <w:marBottom w:val="0"/>
          <w:divBdr>
            <w:top w:val="none" w:sz="0" w:space="0" w:color="auto"/>
            <w:left w:val="none" w:sz="0" w:space="0" w:color="auto"/>
            <w:bottom w:val="none" w:sz="0" w:space="0" w:color="auto"/>
            <w:right w:val="none" w:sz="0" w:space="0" w:color="auto"/>
          </w:divBdr>
        </w:div>
        <w:div w:id="680158150">
          <w:marLeft w:val="640"/>
          <w:marRight w:val="0"/>
          <w:marTop w:val="0"/>
          <w:marBottom w:val="0"/>
          <w:divBdr>
            <w:top w:val="none" w:sz="0" w:space="0" w:color="auto"/>
            <w:left w:val="none" w:sz="0" w:space="0" w:color="auto"/>
            <w:bottom w:val="none" w:sz="0" w:space="0" w:color="auto"/>
            <w:right w:val="none" w:sz="0" w:space="0" w:color="auto"/>
          </w:divBdr>
        </w:div>
        <w:div w:id="1531604309">
          <w:marLeft w:val="640"/>
          <w:marRight w:val="0"/>
          <w:marTop w:val="0"/>
          <w:marBottom w:val="0"/>
          <w:divBdr>
            <w:top w:val="none" w:sz="0" w:space="0" w:color="auto"/>
            <w:left w:val="none" w:sz="0" w:space="0" w:color="auto"/>
            <w:bottom w:val="none" w:sz="0" w:space="0" w:color="auto"/>
            <w:right w:val="none" w:sz="0" w:space="0" w:color="auto"/>
          </w:divBdr>
        </w:div>
        <w:div w:id="51200491">
          <w:marLeft w:val="640"/>
          <w:marRight w:val="0"/>
          <w:marTop w:val="0"/>
          <w:marBottom w:val="0"/>
          <w:divBdr>
            <w:top w:val="none" w:sz="0" w:space="0" w:color="auto"/>
            <w:left w:val="none" w:sz="0" w:space="0" w:color="auto"/>
            <w:bottom w:val="none" w:sz="0" w:space="0" w:color="auto"/>
            <w:right w:val="none" w:sz="0" w:space="0" w:color="auto"/>
          </w:divBdr>
        </w:div>
        <w:div w:id="1972049016">
          <w:marLeft w:val="640"/>
          <w:marRight w:val="0"/>
          <w:marTop w:val="0"/>
          <w:marBottom w:val="0"/>
          <w:divBdr>
            <w:top w:val="none" w:sz="0" w:space="0" w:color="auto"/>
            <w:left w:val="none" w:sz="0" w:space="0" w:color="auto"/>
            <w:bottom w:val="none" w:sz="0" w:space="0" w:color="auto"/>
            <w:right w:val="none" w:sz="0" w:space="0" w:color="auto"/>
          </w:divBdr>
        </w:div>
        <w:div w:id="1087579573">
          <w:marLeft w:val="640"/>
          <w:marRight w:val="0"/>
          <w:marTop w:val="0"/>
          <w:marBottom w:val="0"/>
          <w:divBdr>
            <w:top w:val="none" w:sz="0" w:space="0" w:color="auto"/>
            <w:left w:val="none" w:sz="0" w:space="0" w:color="auto"/>
            <w:bottom w:val="none" w:sz="0" w:space="0" w:color="auto"/>
            <w:right w:val="none" w:sz="0" w:space="0" w:color="auto"/>
          </w:divBdr>
        </w:div>
        <w:div w:id="710568863">
          <w:marLeft w:val="640"/>
          <w:marRight w:val="0"/>
          <w:marTop w:val="0"/>
          <w:marBottom w:val="0"/>
          <w:divBdr>
            <w:top w:val="none" w:sz="0" w:space="0" w:color="auto"/>
            <w:left w:val="none" w:sz="0" w:space="0" w:color="auto"/>
            <w:bottom w:val="none" w:sz="0" w:space="0" w:color="auto"/>
            <w:right w:val="none" w:sz="0" w:space="0" w:color="auto"/>
          </w:divBdr>
        </w:div>
        <w:div w:id="1388411847">
          <w:marLeft w:val="640"/>
          <w:marRight w:val="0"/>
          <w:marTop w:val="0"/>
          <w:marBottom w:val="0"/>
          <w:divBdr>
            <w:top w:val="none" w:sz="0" w:space="0" w:color="auto"/>
            <w:left w:val="none" w:sz="0" w:space="0" w:color="auto"/>
            <w:bottom w:val="none" w:sz="0" w:space="0" w:color="auto"/>
            <w:right w:val="none" w:sz="0" w:space="0" w:color="auto"/>
          </w:divBdr>
        </w:div>
        <w:div w:id="676228588">
          <w:marLeft w:val="640"/>
          <w:marRight w:val="0"/>
          <w:marTop w:val="0"/>
          <w:marBottom w:val="0"/>
          <w:divBdr>
            <w:top w:val="none" w:sz="0" w:space="0" w:color="auto"/>
            <w:left w:val="none" w:sz="0" w:space="0" w:color="auto"/>
            <w:bottom w:val="none" w:sz="0" w:space="0" w:color="auto"/>
            <w:right w:val="none" w:sz="0" w:space="0" w:color="auto"/>
          </w:divBdr>
        </w:div>
        <w:div w:id="650332056">
          <w:marLeft w:val="640"/>
          <w:marRight w:val="0"/>
          <w:marTop w:val="0"/>
          <w:marBottom w:val="0"/>
          <w:divBdr>
            <w:top w:val="none" w:sz="0" w:space="0" w:color="auto"/>
            <w:left w:val="none" w:sz="0" w:space="0" w:color="auto"/>
            <w:bottom w:val="none" w:sz="0" w:space="0" w:color="auto"/>
            <w:right w:val="none" w:sz="0" w:space="0" w:color="auto"/>
          </w:divBdr>
        </w:div>
        <w:div w:id="725568857">
          <w:marLeft w:val="640"/>
          <w:marRight w:val="0"/>
          <w:marTop w:val="0"/>
          <w:marBottom w:val="0"/>
          <w:divBdr>
            <w:top w:val="none" w:sz="0" w:space="0" w:color="auto"/>
            <w:left w:val="none" w:sz="0" w:space="0" w:color="auto"/>
            <w:bottom w:val="none" w:sz="0" w:space="0" w:color="auto"/>
            <w:right w:val="none" w:sz="0" w:space="0" w:color="auto"/>
          </w:divBdr>
        </w:div>
        <w:div w:id="1949041247">
          <w:marLeft w:val="640"/>
          <w:marRight w:val="0"/>
          <w:marTop w:val="0"/>
          <w:marBottom w:val="0"/>
          <w:divBdr>
            <w:top w:val="none" w:sz="0" w:space="0" w:color="auto"/>
            <w:left w:val="none" w:sz="0" w:space="0" w:color="auto"/>
            <w:bottom w:val="none" w:sz="0" w:space="0" w:color="auto"/>
            <w:right w:val="none" w:sz="0" w:space="0" w:color="auto"/>
          </w:divBdr>
        </w:div>
        <w:div w:id="1923299274">
          <w:marLeft w:val="640"/>
          <w:marRight w:val="0"/>
          <w:marTop w:val="0"/>
          <w:marBottom w:val="0"/>
          <w:divBdr>
            <w:top w:val="none" w:sz="0" w:space="0" w:color="auto"/>
            <w:left w:val="none" w:sz="0" w:space="0" w:color="auto"/>
            <w:bottom w:val="none" w:sz="0" w:space="0" w:color="auto"/>
            <w:right w:val="none" w:sz="0" w:space="0" w:color="auto"/>
          </w:divBdr>
        </w:div>
        <w:div w:id="1334411254">
          <w:marLeft w:val="640"/>
          <w:marRight w:val="0"/>
          <w:marTop w:val="0"/>
          <w:marBottom w:val="0"/>
          <w:divBdr>
            <w:top w:val="none" w:sz="0" w:space="0" w:color="auto"/>
            <w:left w:val="none" w:sz="0" w:space="0" w:color="auto"/>
            <w:bottom w:val="none" w:sz="0" w:space="0" w:color="auto"/>
            <w:right w:val="none" w:sz="0" w:space="0" w:color="auto"/>
          </w:divBdr>
        </w:div>
        <w:div w:id="1006126793">
          <w:marLeft w:val="640"/>
          <w:marRight w:val="0"/>
          <w:marTop w:val="0"/>
          <w:marBottom w:val="0"/>
          <w:divBdr>
            <w:top w:val="none" w:sz="0" w:space="0" w:color="auto"/>
            <w:left w:val="none" w:sz="0" w:space="0" w:color="auto"/>
            <w:bottom w:val="none" w:sz="0" w:space="0" w:color="auto"/>
            <w:right w:val="none" w:sz="0" w:space="0" w:color="auto"/>
          </w:divBdr>
        </w:div>
        <w:div w:id="386226573">
          <w:marLeft w:val="640"/>
          <w:marRight w:val="0"/>
          <w:marTop w:val="0"/>
          <w:marBottom w:val="0"/>
          <w:divBdr>
            <w:top w:val="none" w:sz="0" w:space="0" w:color="auto"/>
            <w:left w:val="none" w:sz="0" w:space="0" w:color="auto"/>
            <w:bottom w:val="none" w:sz="0" w:space="0" w:color="auto"/>
            <w:right w:val="none" w:sz="0" w:space="0" w:color="auto"/>
          </w:divBdr>
        </w:div>
        <w:div w:id="677191814">
          <w:marLeft w:val="640"/>
          <w:marRight w:val="0"/>
          <w:marTop w:val="0"/>
          <w:marBottom w:val="0"/>
          <w:divBdr>
            <w:top w:val="none" w:sz="0" w:space="0" w:color="auto"/>
            <w:left w:val="none" w:sz="0" w:space="0" w:color="auto"/>
            <w:bottom w:val="none" w:sz="0" w:space="0" w:color="auto"/>
            <w:right w:val="none" w:sz="0" w:space="0" w:color="auto"/>
          </w:divBdr>
        </w:div>
        <w:div w:id="1346442947">
          <w:marLeft w:val="640"/>
          <w:marRight w:val="0"/>
          <w:marTop w:val="0"/>
          <w:marBottom w:val="0"/>
          <w:divBdr>
            <w:top w:val="none" w:sz="0" w:space="0" w:color="auto"/>
            <w:left w:val="none" w:sz="0" w:space="0" w:color="auto"/>
            <w:bottom w:val="none" w:sz="0" w:space="0" w:color="auto"/>
            <w:right w:val="none" w:sz="0" w:space="0" w:color="auto"/>
          </w:divBdr>
        </w:div>
        <w:div w:id="975253691">
          <w:marLeft w:val="640"/>
          <w:marRight w:val="0"/>
          <w:marTop w:val="0"/>
          <w:marBottom w:val="0"/>
          <w:divBdr>
            <w:top w:val="none" w:sz="0" w:space="0" w:color="auto"/>
            <w:left w:val="none" w:sz="0" w:space="0" w:color="auto"/>
            <w:bottom w:val="none" w:sz="0" w:space="0" w:color="auto"/>
            <w:right w:val="none" w:sz="0" w:space="0" w:color="auto"/>
          </w:divBdr>
        </w:div>
        <w:div w:id="234363290">
          <w:marLeft w:val="640"/>
          <w:marRight w:val="0"/>
          <w:marTop w:val="0"/>
          <w:marBottom w:val="0"/>
          <w:divBdr>
            <w:top w:val="none" w:sz="0" w:space="0" w:color="auto"/>
            <w:left w:val="none" w:sz="0" w:space="0" w:color="auto"/>
            <w:bottom w:val="none" w:sz="0" w:space="0" w:color="auto"/>
            <w:right w:val="none" w:sz="0" w:space="0" w:color="auto"/>
          </w:divBdr>
        </w:div>
        <w:div w:id="800272695">
          <w:marLeft w:val="640"/>
          <w:marRight w:val="0"/>
          <w:marTop w:val="0"/>
          <w:marBottom w:val="0"/>
          <w:divBdr>
            <w:top w:val="none" w:sz="0" w:space="0" w:color="auto"/>
            <w:left w:val="none" w:sz="0" w:space="0" w:color="auto"/>
            <w:bottom w:val="none" w:sz="0" w:space="0" w:color="auto"/>
            <w:right w:val="none" w:sz="0" w:space="0" w:color="auto"/>
          </w:divBdr>
        </w:div>
        <w:div w:id="698430497">
          <w:marLeft w:val="640"/>
          <w:marRight w:val="0"/>
          <w:marTop w:val="0"/>
          <w:marBottom w:val="0"/>
          <w:divBdr>
            <w:top w:val="none" w:sz="0" w:space="0" w:color="auto"/>
            <w:left w:val="none" w:sz="0" w:space="0" w:color="auto"/>
            <w:bottom w:val="none" w:sz="0" w:space="0" w:color="auto"/>
            <w:right w:val="none" w:sz="0" w:space="0" w:color="auto"/>
          </w:divBdr>
        </w:div>
        <w:div w:id="2034650072">
          <w:marLeft w:val="640"/>
          <w:marRight w:val="0"/>
          <w:marTop w:val="0"/>
          <w:marBottom w:val="0"/>
          <w:divBdr>
            <w:top w:val="none" w:sz="0" w:space="0" w:color="auto"/>
            <w:left w:val="none" w:sz="0" w:space="0" w:color="auto"/>
            <w:bottom w:val="none" w:sz="0" w:space="0" w:color="auto"/>
            <w:right w:val="none" w:sz="0" w:space="0" w:color="auto"/>
          </w:divBdr>
        </w:div>
        <w:div w:id="1130972548">
          <w:marLeft w:val="640"/>
          <w:marRight w:val="0"/>
          <w:marTop w:val="0"/>
          <w:marBottom w:val="0"/>
          <w:divBdr>
            <w:top w:val="none" w:sz="0" w:space="0" w:color="auto"/>
            <w:left w:val="none" w:sz="0" w:space="0" w:color="auto"/>
            <w:bottom w:val="none" w:sz="0" w:space="0" w:color="auto"/>
            <w:right w:val="none" w:sz="0" w:space="0" w:color="auto"/>
          </w:divBdr>
        </w:div>
        <w:div w:id="1938905286">
          <w:marLeft w:val="640"/>
          <w:marRight w:val="0"/>
          <w:marTop w:val="0"/>
          <w:marBottom w:val="0"/>
          <w:divBdr>
            <w:top w:val="none" w:sz="0" w:space="0" w:color="auto"/>
            <w:left w:val="none" w:sz="0" w:space="0" w:color="auto"/>
            <w:bottom w:val="none" w:sz="0" w:space="0" w:color="auto"/>
            <w:right w:val="none" w:sz="0" w:space="0" w:color="auto"/>
          </w:divBdr>
        </w:div>
        <w:div w:id="1360886365">
          <w:marLeft w:val="640"/>
          <w:marRight w:val="0"/>
          <w:marTop w:val="0"/>
          <w:marBottom w:val="0"/>
          <w:divBdr>
            <w:top w:val="none" w:sz="0" w:space="0" w:color="auto"/>
            <w:left w:val="none" w:sz="0" w:space="0" w:color="auto"/>
            <w:bottom w:val="none" w:sz="0" w:space="0" w:color="auto"/>
            <w:right w:val="none" w:sz="0" w:space="0" w:color="auto"/>
          </w:divBdr>
        </w:div>
        <w:div w:id="1803814024">
          <w:marLeft w:val="640"/>
          <w:marRight w:val="0"/>
          <w:marTop w:val="0"/>
          <w:marBottom w:val="0"/>
          <w:divBdr>
            <w:top w:val="none" w:sz="0" w:space="0" w:color="auto"/>
            <w:left w:val="none" w:sz="0" w:space="0" w:color="auto"/>
            <w:bottom w:val="none" w:sz="0" w:space="0" w:color="auto"/>
            <w:right w:val="none" w:sz="0" w:space="0" w:color="auto"/>
          </w:divBdr>
        </w:div>
        <w:div w:id="1294406540">
          <w:marLeft w:val="640"/>
          <w:marRight w:val="0"/>
          <w:marTop w:val="0"/>
          <w:marBottom w:val="0"/>
          <w:divBdr>
            <w:top w:val="none" w:sz="0" w:space="0" w:color="auto"/>
            <w:left w:val="none" w:sz="0" w:space="0" w:color="auto"/>
            <w:bottom w:val="none" w:sz="0" w:space="0" w:color="auto"/>
            <w:right w:val="none" w:sz="0" w:space="0" w:color="auto"/>
          </w:divBdr>
        </w:div>
        <w:div w:id="37705296">
          <w:marLeft w:val="640"/>
          <w:marRight w:val="0"/>
          <w:marTop w:val="0"/>
          <w:marBottom w:val="0"/>
          <w:divBdr>
            <w:top w:val="none" w:sz="0" w:space="0" w:color="auto"/>
            <w:left w:val="none" w:sz="0" w:space="0" w:color="auto"/>
            <w:bottom w:val="none" w:sz="0" w:space="0" w:color="auto"/>
            <w:right w:val="none" w:sz="0" w:space="0" w:color="auto"/>
          </w:divBdr>
        </w:div>
        <w:div w:id="1873611141">
          <w:marLeft w:val="640"/>
          <w:marRight w:val="0"/>
          <w:marTop w:val="0"/>
          <w:marBottom w:val="0"/>
          <w:divBdr>
            <w:top w:val="none" w:sz="0" w:space="0" w:color="auto"/>
            <w:left w:val="none" w:sz="0" w:space="0" w:color="auto"/>
            <w:bottom w:val="none" w:sz="0" w:space="0" w:color="auto"/>
            <w:right w:val="none" w:sz="0" w:space="0" w:color="auto"/>
          </w:divBdr>
        </w:div>
        <w:div w:id="1277298532">
          <w:marLeft w:val="640"/>
          <w:marRight w:val="0"/>
          <w:marTop w:val="0"/>
          <w:marBottom w:val="0"/>
          <w:divBdr>
            <w:top w:val="none" w:sz="0" w:space="0" w:color="auto"/>
            <w:left w:val="none" w:sz="0" w:space="0" w:color="auto"/>
            <w:bottom w:val="none" w:sz="0" w:space="0" w:color="auto"/>
            <w:right w:val="none" w:sz="0" w:space="0" w:color="auto"/>
          </w:divBdr>
        </w:div>
        <w:div w:id="166988152">
          <w:marLeft w:val="640"/>
          <w:marRight w:val="0"/>
          <w:marTop w:val="0"/>
          <w:marBottom w:val="0"/>
          <w:divBdr>
            <w:top w:val="none" w:sz="0" w:space="0" w:color="auto"/>
            <w:left w:val="none" w:sz="0" w:space="0" w:color="auto"/>
            <w:bottom w:val="none" w:sz="0" w:space="0" w:color="auto"/>
            <w:right w:val="none" w:sz="0" w:space="0" w:color="auto"/>
          </w:divBdr>
        </w:div>
        <w:div w:id="1471093966">
          <w:marLeft w:val="640"/>
          <w:marRight w:val="0"/>
          <w:marTop w:val="0"/>
          <w:marBottom w:val="0"/>
          <w:divBdr>
            <w:top w:val="none" w:sz="0" w:space="0" w:color="auto"/>
            <w:left w:val="none" w:sz="0" w:space="0" w:color="auto"/>
            <w:bottom w:val="none" w:sz="0" w:space="0" w:color="auto"/>
            <w:right w:val="none" w:sz="0" w:space="0" w:color="auto"/>
          </w:divBdr>
        </w:div>
        <w:div w:id="146241219">
          <w:marLeft w:val="640"/>
          <w:marRight w:val="0"/>
          <w:marTop w:val="0"/>
          <w:marBottom w:val="0"/>
          <w:divBdr>
            <w:top w:val="none" w:sz="0" w:space="0" w:color="auto"/>
            <w:left w:val="none" w:sz="0" w:space="0" w:color="auto"/>
            <w:bottom w:val="none" w:sz="0" w:space="0" w:color="auto"/>
            <w:right w:val="none" w:sz="0" w:space="0" w:color="auto"/>
          </w:divBdr>
        </w:div>
        <w:div w:id="1011107309">
          <w:marLeft w:val="640"/>
          <w:marRight w:val="0"/>
          <w:marTop w:val="0"/>
          <w:marBottom w:val="0"/>
          <w:divBdr>
            <w:top w:val="none" w:sz="0" w:space="0" w:color="auto"/>
            <w:left w:val="none" w:sz="0" w:space="0" w:color="auto"/>
            <w:bottom w:val="none" w:sz="0" w:space="0" w:color="auto"/>
            <w:right w:val="none" w:sz="0" w:space="0" w:color="auto"/>
          </w:divBdr>
        </w:div>
        <w:div w:id="995844265">
          <w:marLeft w:val="640"/>
          <w:marRight w:val="0"/>
          <w:marTop w:val="0"/>
          <w:marBottom w:val="0"/>
          <w:divBdr>
            <w:top w:val="none" w:sz="0" w:space="0" w:color="auto"/>
            <w:left w:val="none" w:sz="0" w:space="0" w:color="auto"/>
            <w:bottom w:val="none" w:sz="0" w:space="0" w:color="auto"/>
            <w:right w:val="none" w:sz="0" w:space="0" w:color="auto"/>
          </w:divBdr>
        </w:div>
        <w:div w:id="1662269105">
          <w:marLeft w:val="640"/>
          <w:marRight w:val="0"/>
          <w:marTop w:val="0"/>
          <w:marBottom w:val="0"/>
          <w:divBdr>
            <w:top w:val="none" w:sz="0" w:space="0" w:color="auto"/>
            <w:left w:val="none" w:sz="0" w:space="0" w:color="auto"/>
            <w:bottom w:val="none" w:sz="0" w:space="0" w:color="auto"/>
            <w:right w:val="none" w:sz="0" w:space="0" w:color="auto"/>
          </w:divBdr>
        </w:div>
        <w:div w:id="1126584006">
          <w:marLeft w:val="640"/>
          <w:marRight w:val="0"/>
          <w:marTop w:val="0"/>
          <w:marBottom w:val="0"/>
          <w:divBdr>
            <w:top w:val="none" w:sz="0" w:space="0" w:color="auto"/>
            <w:left w:val="none" w:sz="0" w:space="0" w:color="auto"/>
            <w:bottom w:val="none" w:sz="0" w:space="0" w:color="auto"/>
            <w:right w:val="none" w:sz="0" w:space="0" w:color="auto"/>
          </w:divBdr>
        </w:div>
        <w:div w:id="254244971">
          <w:marLeft w:val="640"/>
          <w:marRight w:val="0"/>
          <w:marTop w:val="0"/>
          <w:marBottom w:val="0"/>
          <w:divBdr>
            <w:top w:val="none" w:sz="0" w:space="0" w:color="auto"/>
            <w:left w:val="none" w:sz="0" w:space="0" w:color="auto"/>
            <w:bottom w:val="none" w:sz="0" w:space="0" w:color="auto"/>
            <w:right w:val="none" w:sz="0" w:space="0" w:color="auto"/>
          </w:divBdr>
        </w:div>
        <w:div w:id="1129132166">
          <w:marLeft w:val="640"/>
          <w:marRight w:val="0"/>
          <w:marTop w:val="0"/>
          <w:marBottom w:val="0"/>
          <w:divBdr>
            <w:top w:val="none" w:sz="0" w:space="0" w:color="auto"/>
            <w:left w:val="none" w:sz="0" w:space="0" w:color="auto"/>
            <w:bottom w:val="none" w:sz="0" w:space="0" w:color="auto"/>
            <w:right w:val="none" w:sz="0" w:space="0" w:color="auto"/>
          </w:divBdr>
        </w:div>
        <w:div w:id="513879165">
          <w:marLeft w:val="640"/>
          <w:marRight w:val="0"/>
          <w:marTop w:val="0"/>
          <w:marBottom w:val="0"/>
          <w:divBdr>
            <w:top w:val="none" w:sz="0" w:space="0" w:color="auto"/>
            <w:left w:val="none" w:sz="0" w:space="0" w:color="auto"/>
            <w:bottom w:val="none" w:sz="0" w:space="0" w:color="auto"/>
            <w:right w:val="none" w:sz="0" w:space="0" w:color="auto"/>
          </w:divBdr>
        </w:div>
        <w:div w:id="1046181394">
          <w:marLeft w:val="640"/>
          <w:marRight w:val="0"/>
          <w:marTop w:val="0"/>
          <w:marBottom w:val="0"/>
          <w:divBdr>
            <w:top w:val="none" w:sz="0" w:space="0" w:color="auto"/>
            <w:left w:val="none" w:sz="0" w:space="0" w:color="auto"/>
            <w:bottom w:val="none" w:sz="0" w:space="0" w:color="auto"/>
            <w:right w:val="none" w:sz="0" w:space="0" w:color="auto"/>
          </w:divBdr>
        </w:div>
        <w:div w:id="1013145256">
          <w:marLeft w:val="640"/>
          <w:marRight w:val="0"/>
          <w:marTop w:val="0"/>
          <w:marBottom w:val="0"/>
          <w:divBdr>
            <w:top w:val="none" w:sz="0" w:space="0" w:color="auto"/>
            <w:left w:val="none" w:sz="0" w:space="0" w:color="auto"/>
            <w:bottom w:val="none" w:sz="0" w:space="0" w:color="auto"/>
            <w:right w:val="none" w:sz="0" w:space="0" w:color="auto"/>
          </w:divBdr>
        </w:div>
        <w:div w:id="2133208117">
          <w:marLeft w:val="640"/>
          <w:marRight w:val="0"/>
          <w:marTop w:val="0"/>
          <w:marBottom w:val="0"/>
          <w:divBdr>
            <w:top w:val="none" w:sz="0" w:space="0" w:color="auto"/>
            <w:left w:val="none" w:sz="0" w:space="0" w:color="auto"/>
            <w:bottom w:val="none" w:sz="0" w:space="0" w:color="auto"/>
            <w:right w:val="none" w:sz="0" w:space="0" w:color="auto"/>
          </w:divBdr>
        </w:div>
        <w:div w:id="2060933275">
          <w:marLeft w:val="640"/>
          <w:marRight w:val="0"/>
          <w:marTop w:val="0"/>
          <w:marBottom w:val="0"/>
          <w:divBdr>
            <w:top w:val="none" w:sz="0" w:space="0" w:color="auto"/>
            <w:left w:val="none" w:sz="0" w:space="0" w:color="auto"/>
            <w:bottom w:val="none" w:sz="0" w:space="0" w:color="auto"/>
            <w:right w:val="none" w:sz="0" w:space="0" w:color="auto"/>
          </w:divBdr>
        </w:div>
        <w:div w:id="1332565483">
          <w:marLeft w:val="640"/>
          <w:marRight w:val="0"/>
          <w:marTop w:val="0"/>
          <w:marBottom w:val="0"/>
          <w:divBdr>
            <w:top w:val="none" w:sz="0" w:space="0" w:color="auto"/>
            <w:left w:val="none" w:sz="0" w:space="0" w:color="auto"/>
            <w:bottom w:val="none" w:sz="0" w:space="0" w:color="auto"/>
            <w:right w:val="none" w:sz="0" w:space="0" w:color="auto"/>
          </w:divBdr>
        </w:div>
        <w:div w:id="1055544342">
          <w:marLeft w:val="640"/>
          <w:marRight w:val="0"/>
          <w:marTop w:val="0"/>
          <w:marBottom w:val="0"/>
          <w:divBdr>
            <w:top w:val="none" w:sz="0" w:space="0" w:color="auto"/>
            <w:left w:val="none" w:sz="0" w:space="0" w:color="auto"/>
            <w:bottom w:val="none" w:sz="0" w:space="0" w:color="auto"/>
            <w:right w:val="none" w:sz="0" w:space="0" w:color="auto"/>
          </w:divBdr>
        </w:div>
        <w:div w:id="1766069285">
          <w:marLeft w:val="640"/>
          <w:marRight w:val="0"/>
          <w:marTop w:val="0"/>
          <w:marBottom w:val="0"/>
          <w:divBdr>
            <w:top w:val="none" w:sz="0" w:space="0" w:color="auto"/>
            <w:left w:val="none" w:sz="0" w:space="0" w:color="auto"/>
            <w:bottom w:val="none" w:sz="0" w:space="0" w:color="auto"/>
            <w:right w:val="none" w:sz="0" w:space="0" w:color="auto"/>
          </w:divBdr>
        </w:div>
        <w:div w:id="1689064639">
          <w:marLeft w:val="640"/>
          <w:marRight w:val="0"/>
          <w:marTop w:val="0"/>
          <w:marBottom w:val="0"/>
          <w:divBdr>
            <w:top w:val="none" w:sz="0" w:space="0" w:color="auto"/>
            <w:left w:val="none" w:sz="0" w:space="0" w:color="auto"/>
            <w:bottom w:val="none" w:sz="0" w:space="0" w:color="auto"/>
            <w:right w:val="none" w:sz="0" w:space="0" w:color="auto"/>
          </w:divBdr>
        </w:div>
        <w:div w:id="1678653609">
          <w:marLeft w:val="640"/>
          <w:marRight w:val="0"/>
          <w:marTop w:val="0"/>
          <w:marBottom w:val="0"/>
          <w:divBdr>
            <w:top w:val="none" w:sz="0" w:space="0" w:color="auto"/>
            <w:left w:val="none" w:sz="0" w:space="0" w:color="auto"/>
            <w:bottom w:val="none" w:sz="0" w:space="0" w:color="auto"/>
            <w:right w:val="none" w:sz="0" w:space="0" w:color="auto"/>
          </w:divBdr>
        </w:div>
        <w:div w:id="1054506187">
          <w:marLeft w:val="640"/>
          <w:marRight w:val="0"/>
          <w:marTop w:val="0"/>
          <w:marBottom w:val="0"/>
          <w:divBdr>
            <w:top w:val="none" w:sz="0" w:space="0" w:color="auto"/>
            <w:left w:val="none" w:sz="0" w:space="0" w:color="auto"/>
            <w:bottom w:val="none" w:sz="0" w:space="0" w:color="auto"/>
            <w:right w:val="none" w:sz="0" w:space="0" w:color="auto"/>
          </w:divBdr>
        </w:div>
        <w:div w:id="645857729">
          <w:marLeft w:val="640"/>
          <w:marRight w:val="0"/>
          <w:marTop w:val="0"/>
          <w:marBottom w:val="0"/>
          <w:divBdr>
            <w:top w:val="none" w:sz="0" w:space="0" w:color="auto"/>
            <w:left w:val="none" w:sz="0" w:space="0" w:color="auto"/>
            <w:bottom w:val="none" w:sz="0" w:space="0" w:color="auto"/>
            <w:right w:val="none" w:sz="0" w:space="0" w:color="auto"/>
          </w:divBdr>
        </w:div>
        <w:div w:id="1148518782">
          <w:marLeft w:val="640"/>
          <w:marRight w:val="0"/>
          <w:marTop w:val="0"/>
          <w:marBottom w:val="0"/>
          <w:divBdr>
            <w:top w:val="none" w:sz="0" w:space="0" w:color="auto"/>
            <w:left w:val="none" w:sz="0" w:space="0" w:color="auto"/>
            <w:bottom w:val="none" w:sz="0" w:space="0" w:color="auto"/>
            <w:right w:val="none" w:sz="0" w:space="0" w:color="auto"/>
          </w:divBdr>
        </w:div>
        <w:div w:id="1027566761">
          <w:marLeft w:val="640"/>
          <w:marRight w:val="0"/>
          <w:marTop w:val="0"/>
          <w:marBottom w:val="0"/>
          <w:divBdr>
            <w:top w:val="none" w:sz="0" w:space="0" w:color="auto"/>
            <w:left w:val="none" w:sz="0" w:space="0" w:color="auto"/>
            <w:bottom w:val="none" w:sz="0" w:space="0" w:color="auto"/>
            <w:right w:val="none" w:sz="0" w:space="0" w:color="auto"/>
          </w:divBdr>
        </w:div>
        <w:div w:id="1025866338">
          <w:marLeft w:val="640"/>
          <w:marRight w:val="0"/>
          <w:marTop w:val="0"/>
          <w:marBottom w:val="0"/>
          <w:divBdr>
            <w:top w:val="none" w:sz="0" w:space="0" w:color="auto"/>
            <w:left w:val="none" w:sz="0" w:space="0" w:color="auto"/>
            <w:bottom w:val="none" w:sz="0" w:space="0" w:color="auto"/>
            <w:right w:val="none" w:sz="0" w:space="0" w:color="auto"/>
          </w:divBdr>
        </w:div>
        <w:div w:id="460849648">
          <w:marLeft w:val="640"/>
          <w:marRight w:val="0"/>
          <w:marTop w:val="0"/>
          <w:marBottom w:val="0"/>
          <w:divBdr>
            <w:top w:val="none" w:sz="0" w:space="0" w:color="auto"/>
            <w:left w:val="none" w:sz="0" w:space="0" w:color="auto"/>
            <w:bottom w:val="none" w:sz="0" w:space="0" w:color="auto"/>
            <w:right w:val="none" w:sz="0" w:space="0" w:color="auto"/>
          </w:divBdr>
        </w:div>
        <w:div w:id="1507209089">
          <w:marLeft w:val="640"/>
          <w:marRight w:val="0"/>
          <w:marTop w:val="0"/>
          <w:marBottom w:val="0"/>
          <w:divBdr>
            <w:top w:val="none" w:sz="0" w:space="0" w:color="auto"/>
            <w:left w:val="none" w:sz="0" w:space="0" w:color="auto"/>
            <w:bottom w:val="none" w:sz="0" w:space="0" w:color="auto"/>
            <w:right w:val="none" w:sz="0" w:space="0" w:color="auto"/>
          </w:divBdr>
        </w:div>
        <w:div w:id="2138208836">
          <w:marLeft w:val="640"/>
          <w:marRight w:val="0"/>
          <w:marTop w:val="0"/>
          <w:marBottom w:val="0"/>
          <w:divBdr>
            <w:top w:val="none" w:sz="0" w:space="0" w:color="auto"/>
            <w:left w:val="none" w:sz="0" w:space="0" w:color="auto"/>
            <w:bottom w:val="none" w:sz="0" w:space="0" w:color="auto"/>
            <w:right w:val="none" w:sz="0" w:space="0" w:color="auto"/>
          </w:divBdr>
        </w:div>
        <w:div w:id="853765877">
          <w:marLeft w:val="640"/>
          <w:marRight w:val="0"/>
          <w:marTop w:val="0"/>
          <w:marBottom w:val="0"/>
          <w:divBdr>
            <w:top w:val="none" w:sz="0" w:space="0" w:color="auto"/>
            <w:left w:val="none" w:sz="0" w:space="0" w:color="auto"/>
            <w:bottom w:val="none" w:sz="0" w:space="0" w:color="auto"/>
            <w:right w:val="none" w:sz="0" w:space="0" w:color="auto"/>
          </w:divBdr>
        </w:div>
        <w:div w:id="1719745135">
          <w:marLeft w:val="640"/>
          <w:marRight w:val="0"/>
          <w:marTop w:val="0"/>
          <w:marBottom w:val="0"/>
          <w:divBdr>
            <w:top w:val="none" w:sz="0" w:space="0" w:color="auto"/>
            <w:left w:val="none" w:sz="0" w:space="0" w:color="auto"/>
            <w:bottom w:val="none" w:sz="0" w:space="0" w:color="auto"/>
            <w:right w:val="none" w:sz="0" w:space="0" w:color="auto"/>
          </w:divBdr>
        </w:div>
        <w:div w:id="1577519944">
          <w:marLeft w:val="640"/>
          <w:marRight w:val="0"/>
          <w:marTop w:val="0"/>
          <w:marBottom w:val="0"/>
          <w:divBdr>
            <w:top w:val="none" w:sz="0" w:space="0" w:color="auto"/>
            <w:left w:val="none" w:sz="0" w:space="0" w:color="auto"/>
            <w:bottom w:val="none" w:sz="0" w:space="0" w:color="auto"/>
            <w:right w:val="none" w:sz="0" w:space="0" w:color="auto"/>
          </w:divBdr>
        </w:div>
        <w:div w:id="1522861862">
          <w:marLeft w:val="640"/>
          <w:marRight w:val="0"/>
          <w:marTop w:val="0"/>
          <w:marBottom w:val="0"/>
          <w:divBdr>
            <w:top w:val="none" w:sz="0" w:space="0" w:color="auto"/>
            <w:left w:val="none" w:sz="0" w:space="0" w:color="auto"/>
            <w:bottom w:val="none" w:sz="0" w:space="0" w:color="auto"/>
            <w:right w:val="none" w:sz="0" w:space="0" w:color="auto"/>
          </w:divBdr>
        </w:div>
        <w:div w:id="913512585">
          <w:marLeft w:val="640"/>
          <w:marRight w:val="0"/>
          <w:marTop w:val="0"/>
          <w:marBottom w:val="0"/>
          <w:divBdr>
            <w:top w:val="none" w:sz="0" w:space="0" w:color="auto"/>
            <w:left w:val="none" w:sz="0" w:space="0" w:color="auto"/>
            <w:bottom w:val="none" w:sz="0" w:space="0" w:color="auto"/>
            <w:right w:val="none" w:sz="0" w:space="0" w:color="auto"/>
          </w:divBdr>
        </w:div>
        <w:div w:id="1101071753">
          <w:marLeft w:val="640"/>
          <w:marRight w:val="0"/>
          <w:marTop w:val="0"/>
          <w:marBottom w:val="0"/>
          <w:divBdr>
            <w:top w:val="none" w:sz="0" w:space="0" w:color="auto"/>
            <w:left w:val="none" w:sz="0" w:space="0" w:color="auto"/>
            <w:bottom w:val="none" w:sz="0" w:space="0" w:color="auto"/>
            <w:right w:val="none" w:sz="0" w:space="0" w:color="auto"/>
          </w:divBdr>
        </w:div>
        <w:div w:id="1883400661">
          <w:marLeft w:val="640"/>
          <w:marRight w:val="0"/>
          <w:marTop w:val="0"/>
          <w:marBottom w:val="0"/>
          <w:divBdr>
            <w:top w:val="none" w:sz="0" w:space="0" w:color="auto"/>
            <w:left w:val="none" w:sz="0" w:space="0" w:color="auto"/>
            <w:bottom w:val="none" w:sz="0" w:space="0" w:color="auto"/>
            <w:right w:val="none" w:sz="0" w:space="0" w:color="auto"/>
          </w:divBdr>
        </w:div>
        <w:div w:id="857239523">
          <w:marLeft w:val="640"/>
          <w:marRight w:val="0"/>
          <w:marTop w:val="0"/>
          <w:marBottom w:val="0"/>
          <w:divBdr>
            <w:top w:val="none" w:sz="0" w:space="0" w:color="auto"/>
            <w:left w:val="none" w:sz="0" w:space="0" w:color="auto"/>
            <w:bottom w:val="none" w:sz="0" w:space="0" w:color="auto"/>
            <w:right w:val="none" w:sz="0" w:space="0" w:color="auto"/>
          </w:divBdr>
        </w:div>
        <w:div w:id="140737609">
          <w:marLeft w:val="640"/>
          <w:marRight w:val="0"/>
          <w:marTop w:val="0"/>
          <w:marBottom w:val="0"/>
          <w:divBdr>
            <w:top w:val="none" w:sz="0" w:space="0" w:color="auto"/>
            <w:left w:val="none" w:sz="0" w:space="0" w:color="auto"/>
            <w:bottom w:val="none" w:sz="0" w:space="0" w:color="auto"/>
            <w:right w:val="none" w:sz="0" w:space="0" w:color="auto"/>
          </w:divBdr>
        </w:div>
        <w:div w:id="832136738">
          <w:marLeft w:val="640"/>
          <w:marRight w:val="0"/>
          <w:marTop w:val="0"/>
          <w:marBottom w:val="0"/>
          <w:divBdr>
            <w:top w:val="none" w:sz="0" w:space="0" w:color="auto"/>
            <w:left w:val="none" w:sz="0" w:space="0" w:color="auto"/>
            <w:bottom w:val="none" w:sz="0" w:space="0" w:color="auto"/>
            <w:right w:val="none" w:sz="0" w:space="0" w:color="auto"/>
          </w:divBdr>
        </w:div>
        <w:div w:id="1219052490">
          <w:marLeft w:val="640"/>
          <w:marRight w:val="0"/>
          <w:marTop w:val="0"/>
          <w:marBottom w:val="0"/>
          <w:divBdr>
            <w:top w:val="none" w:sz="0" w:space="0" w:color="auto"/>
            <w:left w:val="none" w:sz="0" w:space="0" w:color="auto"/>
            <w:bottom w:val="none" w:sz="0" w:space="0" w:color="auto"/>
            <w:right w:val="none" w:sz="0" w:space="0" w:color="auto"/>
          </w:divBdr>
        </w:div>
        <w:div w:id="800344145">
          <w:marLeft w:val="640"/>
          <w:marRight w:val="0"/>
          <w:marTop w:val="0"/>
          <w:marBottom w:val="0"/>
          <w:divBdr>
            <w:top w:val="none" w:sz="0" w:space="0" w:color="auto"/>
            <w:left w:val="none" w:sz="0" w:space="0" w:color="auto"/>
            <w:bottom w:val="none" w:sz="0" w:space="0" w:color="auto"/>
            <w:right w:val="none" w:sz="0" w:space="0" w:color="auto"/>
          </w:divBdr>
        </w:div>
        <w:div w:id="1560628376">
          <w:marLeft w:val="640"/>
          <w:marRight w:val="0"/>
          <w:marTop w:val="0"/>
          <w:marBottom w:val="0"/>
          <w:divBdr>
            <w:top w:val="none" w:sz="0" w:space="0" w:color="auto"/>
            <w:left w:val="none" w:sz="0" w:space="0" w:color="auto"/>
            <w:bottom w:val="none" w:sz="0" w:space="0" w:color="auto"/>
            <w:right w:val="none" w:sz="0" w:space="0" w:color="auto"/>
          </w:divBdr>
        </w:div>
        <w:div w:id="2144300072">
          <w:marLeft w:val="640"/>
          <w:marRight w:val="0"/>
          <w:marTop w:val="0"/>
          <w:marBottom w:val="0"/>
          <w:divBdr>
            <w:top w:val="none" w:sz="0" w:space="0" w:color="auto"/>
            <w:left w:val="none" w:sz="0" w:space="0" w:color="auto"/>
            <w:bottom w:val="none" w:sz="0" w:space="0" w:color="auto"/>
            <w:right w:val="none" w:sz="0" w:space="0" w:color="auto"/>
          </w:divBdr>
        </w:div>
        <w:div w:id="1503547301">
          <w:marLeft w:val="640"/>
          <w:marRight w:val="0"/>
          <w:marTop w:val="0"/>
          <w:marBottom w:val="0"/>
          <w:divBdr>
            <w:top w:val="none" w:sz="0" w:space="0" w:color="auto"/>
            <w:left w:val="none" w:sz="0" w:space="0" w:color="auto"/>
            <w:bottom w:val="none" w:sz="0" w:space="0" w:color="auto"/>
            <w:right w:val="none" w:sz="0" w:space="0" w:color="auto"/>
          </w:divBdr>
        </w:div>
        <w:div w:id="392580526">
          <w:marLeft w:val="640"/>
          <w:marRight w:val="0"/>
          <w:marTop w:val="0"/>
          <w:marBottom w:val="0"/>
          <w:divBdr>
            <w:top w:val="none" w:sz="0" w:space="0" w:color="auto"/>
            <w:left w:val="none" w:sz="0" w:space="0" w:color="auto"/>
            <w:bottom w:val="none" w:sz="0" w:space="0" w:color="auto"/>
            <w:right w:val="none" w:sz="0" w:space="0" w:color="auto"/>
          </w:divBdr>
        </w:div>
        <w:div w:id="502087411">
          <w:marLeft w:val="640"/>
          <w:marRight w:val="0"/>
          <w:marTop w:val="0"/>
          <w:marBottom w:val="0"/>
          <w:divBdr>
            <w:top w:val="none" w:sz="0" w:space="0" w:color="auto"/>
            <w:left w:val="none" w:sz="0" w:space="0" w:color="auto"/>
            <w:bottom w:val="none" w:sz="0" w:space="0" w:color="auto"/>
            <w:right w:val="none" w:sz="0" w:space="0" w:color="auto"/>
          </w:divBdr>
        </w:div>
        <w:div w:id="2074159911">
          <w:marLeft w:val="640"/>
          <w:marRight w:val="0"/>
          <w:marTop w:val="0"/>
          <w:marBottom w:val="0"/>
          <w:divBdr>
            <w:top w:val="none" w:sz="0" w:space="0" w:color="auto"/>
            <w:left w:val="none" w:sz="0" w:space="0" w:color="auto"/>
            <w:bottom w:val="none" w:sz="0" w:space="0" w:color="auto"/>
            <w:right w:val="none" w:sz="0" w:space="0" w:color="auto"/>
          </w:divBdr>
        </w:div>
        <w:div w:id="373890159">
          <w:marLeft w:val="640"/>
          <w:marRight w:val="0"/>
          <w:marTop w:val="0"/>
          <w:marBottom w:val="0"/>
          <w:divBdr>
            <w:top w:val="none" w:sz="0" w:space="0" w:color="auto"/>
            <w:left w:val="none" w:sz="0" w:space="0" w:color="auto"/>
            <w:bottom w:val="none" w:sz="0" w:space="0" w:color="auto"/>
            <w:right w:val="none" w:sz="0" w:space="0" w:color="auto"/>
          </w:divBdr>
        </w:div>
        <w:div w:id="1287197831">
          <w:marLeft w:val="640"/>
          <w:marRight w:val="0"/>
          <w:marTop w:val="0"/>
          <w:marBottom w:val="0"/>
          <w:divBdr>
            <w:top w:val="none" w:sz="0" w:space="0" w:color="auto"/>
            <w:left w:val="none" w:sz="0" w:space="0" w:color="auto"/>
            <w:bottom w:val="none" w:sz="0" w:space="0" w:color="auto"/>
            <w:right w:val="none" w:sz="0" w:space="0" w:color="auto"/>
          </w:divBdr>
        </w:div>
        <w:div w:id="538593979">
          <w:marLeft w:val="640"/>
          <w:marRight w:val="0"/>
          <w:marTop w:val="0"/>
          <w:marBottom w:val="0"/>
          <w:divBdr>
            <w:top w:val="none" w:sz="0" w:space="0" w:color="auto"/>
            <w:left w:val="none" w:sz="0" w:space="0" w:color="auto"/>
            <w:bottom w:val="none" w:sz="0" w:space="0" w:color="auto"/>
            <w:right w:val="none" w:sz="0" w:space="0" w:color="auto"/>
          </w:divBdr>
        </w:div>
        <w:div w:id="2121490229">
          <w:marLeft w:val="640"/>
          <w:marRight w:val="0"/>
          <w:marTop w:val="0"/>
          <w:marBottom w:val="0"/>
          <w:divBdr>
            <w:top w:val="none" w:sz="0" w:space="0" w:color="auto"/>
            <w:left w:val="none" w:sz="0" w:space="0" w:color="auto"/>
            <w:bottom w:val="none" w:sz="0" w:space="0" w:color="auto"/>
            <w:right w:val="none" w:sz="0" w:space="0" w:color="auto"/>
          </w:divBdr>
        </w:div>
        <w:div w:id="261230888">
          <w:marLeft w:val="640"/>
          <w:marRight w:val="0"/>
          <w:marTop w:val="0"/>
          <w:marBottom w:val="0"/>
          <w:divBdr>
            <w:top w:val="none" w:sz="0" w:space="0" w:color="auto"/>
            <w:left w:val="none" w:sz="0" w:space="0" w:color="auto"/>
            <w:bottom w:val="none" w:sz="0" w:space="0" w:color="auto"/>
            <w:right w:val="none" w:sz="0" w:space="0" w:color="auto"/>
          </w:divBdr>
        </w:div>
        <w:div w:id="999120448">
          <w:marLeft w:val="640"/>
          <w:marRight w:val="0"/>
          <w:marTop w:val="0"/>
          <w:marBottom w:val="0"/>
          <w:divBdr>
            <w:top w:val="none" w:sz="0" w:space="0" w:color="auto"/>
            <w:left w:val="none" w:sz="0" w:space="0" w:color="auto"/>
            <w:bottom w:val="none" w:sz="0" w:space="0" w:color="auto"/>
            <w:right w:val="none" w:sz="0" w:space="0" w:color="auto"/>
          </w:divBdr>
        </w:div>
        <w:div w:id="1661692056">
          <w:marLeft w:val="640"/>
          <w:marRight w:val="0"/>
          <w:marTop w:val="0"/>
          <w:marBottom w:val="0"/>
          <w:divBdr>
            <w:top w:val="none" w:sz="0" w:space="0" w:color="auto"/>
            <w:left w:val="none" w:sz="0" w:space="0" w:color="auto"/>
            <w:bottom w:val="none" w:sz="0" w:space="0" w:color="auto"/>
            <w:right w:val="none" w:sz="0" w:space="0" w:color="auto"/>
          </w:divBdr>
        </w:div>
        <w:div w:id="993265420">
          <w:marLeft w:val="640"/>
          <w:marRight w:val="0"/>
          <w:marTop w:val="0"/>
          <w:marBottom w:val="0"/>
          <w:divBdr>
            <w:top w:val="none" w:sz="0" w:space="0" w:color="auto"/>
            <w:left w:val="none" w:sz="0" w:space="0" w:color="auto"/>
            <w:bottom w:val="none" w:sz="0" w:space="0" w:color="auto"/>
            <w:right w:val="none" w:sz="0" w:space="0" w:color="auto"/>
          </w:divBdr>
        </w:div>
        <w:div w:id="1545482757">
          <w:marLeft w:val="640"/>
          <w:marRight w:val="0"/>
          <w:marTop w:val="0"/>
          <w:marBottom w:val="0"/>
          <w:divBdr>
            <w:top w:val="none" w:sz="0" w:space="0" w:color="auto"/>
            <w:left w:val="none" w:sz="0" w:space="0" w:color="auto"/>
            <w:bottom w:val="none" w:sz="0" w:space="0" w:color="auto"/>
            <w:right w:val="none" w:sz="0" w:space="0" w:color="auto"/>
          </w:divBdr>
        </w:div>
        <w:div w:id="7877547">
          <w:marLeft w:val="640"/>
          <w:marRight w:val="0"/>
          <w:marTop w:val="0"/>
          <w:marBottom w:val="0"/>
          <w:divBdr>
            <w:top w:val="none" w:sz="0" w:space="0" w:color="auto"/>
            <w:left w:val="none" w:sz="0" w:space="0" w:color="auto"/>
            <w:bottom w:val="none" w:sz="0" w:space="0" w:color="auto"/>
            <w:right w:val="none" w:sz="0" w:space="0" w:color="auto"/>
          </w:divBdr>
        </w:div>
        <w:div w:id="806314937">
          <w:marLeft w:val="640"/>
          <w:marRight w:val="0"/>
          <w:marTop w:val="0"/>
          <w:marBottom w:val="0"/>
          <w:divBdr>
            <w:top w:val="none" w:sz="0" w:space="0" w:color="auto"/>
            <w:left w:val="none" w:sz="0" w:space="0" w:color="auto"/>
            <w:bottom w:val="none" w:sz="0" w:space="0" w:color="auto"/>
            <w:right w:val="none" w:sz="0" w:space="0" w:color="auto"/>
          </w:divBdr>
        </w:div>
        <w:div w:id="1560675262">
          <w:marLeft w:val="640"/>
          <w:marRight w:val="0"/>
          <w:marTop w:val="0"/>
          <w:marBottom w:val="0"/>
          <w:divBdr>
            <w:top w:val="none" w:sz="0" w:space="0" w:color="auto"/>
            <w:left w:val="none" w:sz="0" w:space="0" w:color="auto"/>
            <w:bottom w:val="none" w:sz="0" w:space="0" w:color="auto"/>
            <w:right w:val="none" w:sz="0" w:space="0" w:color="auto"/>
          </w:divBdr>
        </w:div>
        <w:div w:id="408159852">
          <w:marLeft w:val="640"/>
          <w:marRight w:val="0"/>
          <w:marTop w:val="0"/>
          <w:marBottom w:val="0"/>
          <w:divBdr>
            <w:top w:val="none" w:sz="0" w:space="0" w:color="auto"/>
            <w:left w:val="none" w:sz="0" w:space="0" w:color="auto"/>
            <w:bottom w:val="none" w:sz="0" w:space="0" w:color="auto"/>
            <w:right w:val="none" w:sz="0" w:space="0" w:color="auto"/>
          </w:divBdr>
        </w:div>
        <w:div w:id="1771003113">
          <w:marLeft w:val="640"/>
          <w:marRight w:val="0"/>
          <w:marTop w:val="0"/>
          <w:marBottom w:val="0"/>
          <w:divBdr>
            <w:top w:val="none" w:sz="0" w:space="0" w:color="auto"/>
            <w:left w:val="none" w:sz="0" w:space="0" w:color="auto"/>
            <w:bottom w:val="none" w:sz="0" w:space="0" w:color="auto"/>
            <w:right w:val="none" w:sz="0" w:space="0" w:color="auto"/>
          </w:divBdr>
        </w:div>
        <w:div w:id="84738275">
          <w:marLeft w:val="640"/>
          <w:marRight w:val="0"/>
          <w:marTop w:val="0"/>
          <w:marBottom w:val="0"/>
          <w:divBdr>
            <w:top w:val="none" w:sz="0" w:space="0" w:color="auto"/>
            <w:left w:val="none" w:sz="0" w:space="0" w:color="auto"/>
            <w:bottom w:val="none" w:sz="0" w:space="0" w:color="auto"/>
            <w:right w:val="none" w:sz="0" w:space="0" w:color="auto"/>
          </w:divBdr>
        </w:div>
        <w:div w:id="220677876">
          <w:marLeft w:val="640"/>
          <w:marRight w:val="0"/>
          <w:marTop w:val="0"/>
          <w:marBottom w:val="0"/>
          <w:divBdr>
            <w:top w:val="none" w:sz="0" w:space="0" w:color="auto"/>
            <w:left w:val="none" w:sz="0" w:space="0" w:color="auto"/>
            <w:bottom w:val="none" w:sz="0" w:space="0" w:color="auto"/>
            <w:right w:val="none" w:sz="0" w:space="0" w:color="auto"/>
          </w:divBdr>
        </w:div>
        <w:div w:id="311370247">
          <w:marLeft w:val="640"/>
          <w:marRight w:val="0"/>
          <w:marTop w:val="0"/>
          <w:marBottom w:val="0"/>
          <w:divBdr>
            <w:top w:val="none" w:sz="0" w:space="0" w:color="auto"/>
            <w:left w:val="none" w:sz="0" w:space="0" w:color="auto"/>
            <w:bottom w:val="none" w:sz="0" w:space="0" w:color="auto"/>
            <w:right w:val="none" w:sz="0" w:space="0" w:color="auto"/>
          </w:divBdr>
        </w:div>
        <w:div w:id="134108379">
          <w:marLeft w:val="640"/>
          <w:marRight w:val="0"/>
          <w:marTop w:val="0"/>
          <w:marBottom w:val="0"/>
          <w:divBdr>
            <w:top w:val="none" w:sz="0" w:space="0" w:color="auto"/>
            <w:left w:val="none" w:sz="0" w:space="0" w:color="auto"/>
            <w:bottom w:val="none" w:sz="0" w:space="0" w:color="auto"/>
            <w:right w:val="none" w:sz="0" w:space="0" w:color="auto"/>
          </w:divBdr>
        </w:div>
        <w:div w:id="101459078">
          <w:marLeft w:val="640"/>
          <w:marRight w:val="0"/>
          <w:marTop w:val="0"/>
          <w:marBottom w:val="0"/>
          <w:divBdr>
            <w:top w:val="none" w:sz="0" w:space="0" w:color="auto"/>
            <w:left w:val="none" w:sz="0" w:space="0" w:color="auto"/>
            <w:bottom w:val="none" w:sz="0" w:space="0" w:color="auto"/>
            <w:right w:val="none" w:sz="0" w:space="0" w:color="auto"/>
          </w:divBdr>
        </w:div>
        <w:div w:id="1085223260">
          <w:marLeft w:val="640"/>
          <w:marRight w:val="0"/>
          <w:marTop w:val="0"/>
          <w:marBottom w:val="0"/>
          <w:divBdr>
            <w:top w:val="none" w:sz="0" w:space="0" w:color="auto"/>
            <w:left w:val="none" w:sz="0" w:space="0" w:color="auto"/>
            <w:bottom w:val="none" w:sz="0" w:space="0" w:color="auto"/>
            <w:right w:val="none" w:sz="0" w:space="0" w:color="auto"/>
          </w:divBdr>
        </w:div>
        <w:div w:id="570309631">
          <w:marLeft w:val="640"/>
          <w:marRight w:val="0"/>
          <w:marTop w:val="0"/>
          <w:marBottom w:val="0"/>
          <w:divBdr>
            <w:top w:val="none" w:sz="0" w:space="0" w:color="auto"/>
            <w:left w:val="none" w:sz="0" w:space="0" w:color="auto"/>
            <w:bottom w:val="none" w:sz="0" w:space="0" w:color="auto"/>
            <w:right w:val="none" w:sz="0" w:space="0" w:color="auto"/>
          </w:divBdr>
        </w:div>
        <w:div w:id="826090009">
          <w:marLeft w:val="640"/>
          <w:marRight w:val="0"/>
          <w:marTop w:val="0"/>
          <w:marBottom w:val="0"/>
          <w:divBdr>
            <w:top w:val="none" w:sz="0" w:space="0" w:color="auto"/>
            <w:left w:val="none" w:sz="0" w:space="0" w:color="auto"/>
            <w:bottom w:val="none" w:sz="0" w:space="0" w:color="auto"/>
            <w:right w:val="none" w:sz="0" w:space="0" w:color="auto"/>
          </w:divBdr>
        </w:div>
        <w:div w:id="514003669">
          <w:marLeft w:val="640"/>
          <w:marRight w:val="0"/>
          <w:marTop w:val="0"/>
          <w:marBottom w:val="0"/>
          <w:divBdr>
            <w:top w:val="none" w:sz="0" w:space="0" w:color="auto"/>
            <w:left w:val="none" w:sz="0" w:space="0" w:color="auto"/>
            <w:bottom w:val="none" w:sz="0" w:space="0" w:color="auto"/>
            <w:right w:val="none" w:sz="0" w:space="0" w:color="auto"/>
          </w:divBdr>
        </w:div>
        <w:div w:id="2017612246">
          <w:marLeft w:val="640"/>
          <w:marRight w:val="0"/>
          <w:marTop w:val="0"/>
          <w:marBottom w:val="0"/>
          <w:divBdr>
            <w:top w:val="none" w:sz="0" w:space="0" w:color="auto"/>
            <w:left w:val="none" w:sz="0" w:space="0" w:color="auto"/>
            <w:bottom w:val="none" w:sz="0" w:space="0" w:color="auto"/>
            <w:right w:val="none" w:sz="0" w:space="0" w:color="auto"/>
          </w:divBdr>
        </w:div>
        <w:div w:id="706874906">
          <w:marLeft w:val="640"/>
          <w:marRight w:val="0"/>
          <w:marTop w:val="0"/>
          <w:marBottom w:val="0"/>
          <w:divBdr>
            <w:top w:val="none" w:sz="0" w:space="0" w:color="auto"/>
            <w:left w:val="none" w:sz="0" w:space="0" w:color="auto"/>
            <w:bottom w:val="none" w:sz="0" w:space="0" w:color="auto"/>
            <w:right w:val="none" w:sz="0" w:space="0" w:color="auto"/>
          </w:divBdr>
        </w:div>
        <w:div w:id="1986354554">
          <w:marLeft w:val="640"/>
          <w:marRight w:val="0"/>
          <w:marTop w:val="0"/>
          <w:marBottom w:val="0"/>
          <w:divBdr>
            <w:top w:val="none" w:sz="0" w:space="0" w:color="auto"/>
            <w:left w:val="none" w:sz="0" w:space="0" w:color="auto"/>
            <w:bottom w:val="none" w:sz="0" w:space="0" w:color="auto"/>
            <w:right w:val="none" w:sz="0" w:space="0" w:color="auto"/>
          </w:divBdr>
        </w:div>
        <w:div w:id="831220430">
          <w:marLeft w:val="640"/>
          <w:marRight w:val="0"/>
          <w:marTop w:val="0"/>
          <w:marBottom w:val="0"/>
          <w:divBdr>
            <w:top w:val="none" w:sz="0" w:space="0" w:color="auto"/>
            <w:left w:val="none" w:sz="0" w:space="0" w:color="auto"/>
            <w:bottom w:val="none" w:sz="0" w:space="0" w:color="auto"/>
            <w:right w:val="none" w:sz="0" w:space="0" w:color="auto"/>
          </w:divBdr>
        </w:div>
        <w:div w:id="132987848">
          <w:marLeft w:val="640"/>
          <w:marRight w:val="0"/>
          <w:marTop w:val="0"/>
          <w:marBottom w:val="0"/>
          <w:divBdr>
            <w:top w:val="none" w:sz="0" w:space="0" w:color="auto"/>
            <w:left w:val="none" w:sz="0" w:space="0" w:color="auto"/>
            <w:bottom w:val="none" w:sz="0" w:space="0" w:color="auto"/>
            <w:right w:val="none" w:sz="0" w:space="0" w:color="auto"/>
          </w:divBdr>
        </w:div>
        <w:div w:id="79064404">
          <w:marLeft w:val="640"/>
          <w:marRight w:val="0"/>
          <w:marTop w:val="0"/>
          <w:marBottom w:val="0"/>
          <w:divBdr>
            <w:top w:val="none" w:sz="0" w:space="0" w:color="auto"/>
            <w:left w:val="none" w:sz="0" w:space="0" w:color="auto"/>
            <w:bottom w:val="none" w:sz="0" w:space="0" w:color="auto"/>
            <w:right w:val="none" w:sz="0" w:space="0" w:color="auto"/>
          </w:divBdr>
        </w:div>
        <w:div w:id="1228614880">
          <w:marLeft w:val="640"/>
          <w:marRight w:val="0"/>
          <w:marTop w:val="0"/>
          <w:marBottom w:val="0"/>
          <w:divBdr>
            <w:top w:val="none" w:sz="0" w:space="0" w:color="auto"/>
            <w:left w:val="none" w:sz="0" w:space="0" w:color="auto"/>
            <w:bottom w:val="none" w:sz="0" w:space="0" w:color="auto"/>
            <w:right w:val="none" w:sz="0" w:space="0" w:color="auto"/>
          </w:divBdr>
        </w:div>
        <w:div w:id="759761550">
          <w:marLeft w:val="640"/>
          <w:marRight w:val="0"/>
          <w:marTop w:val="0"/>
          <w:marBottom w:val="0"/>
          <w:divBdr>
            <w:top w:val="none" w:sz="0" w:space="0" w:color="auto"/>
            <w:left w:val="none" w:sz="0" w:space="0" w:color="auto"/>
            <w:bottom w:val="none" w:sz="0" w:space="0" w:color="auto"/>
            <w:right w:val="none" w:sz="0" w:space="0" w:color="auto"/>
          </w:divBdr>
        </w:div>
        <w:div w:id="7488156">
          <w:marLeft w:val="640"/>
          <w:marRight w:val="0"/>
          <w:marTop w:val="0"/>
          <w:marBottom w:val="0"/>
          <w:divBdr>
            <w:top w:val="none" w:sz="0" w:space="0" w:color="auto"/>
            <w:left w:val="none" w:sz="0" w:space="0" w:color="auto"/>
            <w:bottom w:val="none" w:sz="0" w:space="0" w:color="auto"/>
            <w:right w:val="none" w:sz="0" w:space="0" w:color="auto"/>
          </w:divBdr>
        </w:div>
        <w:div w:id="1759130226">
          <w:marLeft w:val="640"/>
          <w:marRight w:val="0"/>
          <w:marTop w:val="0"/>
          <w:marBottom w:val="0"/>
          <w:divBdr>
            <w:top w:val="none" w:sz="0" w:space="0" w:color="auto"/>
            <w:left w:val="none" w:sz="0" w:space="0" w:color="auto"/>
            <w:bottom w:val="none" w:sz="0" w:space="0" w:color="auto"/>
            <w:right w:val="none" w:sz="0" w:space="0" w:color="auto"/>
          </w:divBdr>
        </w:div>
        <w:div w:id="1394541782">
          <w:marLeft w:val="640"/>
          <w:marRight w:val="0"/>
          <w:marTop w:val="0"/>
          <w:marBottom w:val="0"/>
          <w:divBdr>
            <w:top w:val="none" w:sz="0" w:space="0" w:color="auto"/>
            <w:left w:val="none" w:sz="0" w:space="0" w:color="auto"/>
            <w:bottom w:val="none" w:sz="0" w:space="0" w:color="auto"/>
            <w:right w:val="none" w:sz="0" w:space="0" w:color="auto"/>
          </w:divBdr>
        </w:div>
        <w:div w:id="489491392">
          <w:marLeft w:val="640"/>
          <w:marRight w:val="0"/>
          <w:marTop w:val="0"/>
          <w:marBottom w:val="0"/>
          <w:divBdr>
            <w:top w:val="none" w:sz="0" w:space="0" w:color="auto"/>
            <w:left w:val="none" w:sz="0" w:space="0" w:color="auto"/>
            <w:bottom w:val="none" w:sz="0" w:space="0" w:color="auto"/>
            <w:right w:val="none" w:sz="0" w:space="0" w:color="auto"/>
          </w:divBdr>
        </w:div>
        <w:div w:id="1300960649">
          <w:marLeft w:val="640"/>
          <w:marRight w:val="0"/>
          <w:marTop w:val="0"/>
          <w:marBottom w:val="0"/>
          <w:divBdr>
            <w:top w:val="none" w:sz="0" w:space="0" w:color="auto"/>
            <w:left w:val="none" w:sz="0" w:space="0" w:color="auto"/>
            <w:bottom w:val="none" w:sz="0" w:space="0" w:color="auto"/>
            <w:right w:val="none" w:sz="0" w:space="0" w:color="auto"/>
          </w:divBdr>
        </w:div>
        <w:div w:id="1228492661">
          <w:marLeft w:val="640"/>
          <w:marRight w:val="0"/>
          <w:marTop w:val="0"/>
          <w:marBottom w:val="0"/>
          <w:divBdr>
            <w:top w:val="none" w:sz="0" w:space="0" w:color="auto"/>
            <w:left w:val="none" w:sz="0" w:space="0" w:color="auto"/>
            <w:bottom w:val="none" w:sz="0" w:space="0" w:color="auto"/>
            <w:right w:val="none" w:sz="0" w:space="0" w:color="auto"/>
          </w:divBdr>
        </w:div>
        <w:div w:id="1394347470">
          <w:marLeft w:val="640"/>
          <w:marRight w:val="0"/>
          <w:marTop w:val="0"/>
          <w:marBottom w:val="0"/>
          <w:divBdr>
            <w:top w:val="none" w:sz="0" w:space="0" w:color="auto"/>
            <w:left w:val="none" w:sz="0" w:space="0" w:color="auto"/>
            <w:bottom w:val="none" w:sz="0" w:space="0" w:color="auto"/>
            <w:right w:val="none" w:sz="0" w:space="0" w:color="auto"/>
          </w:divBdr>
        </w:div>
        <w:div w:id="557522690">
          <w:marLeft w:val="640"/>
          <w:marRight w:val="0"/>
          <w:marTop w:val="0"/>
          <w:marBottom w:val="0"/>
          <w:divBdr>
            <w:top w:val="none" w:sz="0" w:space="0" w:color="auto"/>
            <w:left w:val="none" w:sz="0" w:space="0" w:color="auto"/>
            <w:bottom w:val="none" w:sz="0" w:space="0" w:color="auto"/>
            <w:right w:val="none" w:sz="0" w:space="0" w:color="auto"/>
          </w:divBdr>
        </w:div>
        <w:div w:id="378935995">
          <w:marLeft w:val="640"/>
          <w:marRight w:val="0"/>
          <w:marTop w:val="0"/>
          <w:marBottom w:val="0"/>
          <w:divBdr>
            <w:top w:val="none" w:sz="0" w:space="0" w:color="auto"/>
            <w:left w:val="none" w:sz="0" w:space="0" w:color="auto"/>
            <w:bottom w:val="none" w:sz="0" w:space="0" w:color="auto"/>
            <w:right w:val="none" w:sz="0" w:space="0" w:color="auto"/>
          </w:divBdr>
        </w:div>
        <w:div w:id="1957129443">
          <w:marLeft w:val="640"/>
          <w:marRight w:val="0"/>
          <w:marTop w:val="0"/>
          <w:marBottom w:val="0"/>
          <w:divBdr>
            <w:top w:val="none" w:sz="0" w:space="0" w:color="auto"/>
            <w:left w:val="none" w:sz="0" w:space="0" w:color="auto"/>
            <w:bottom w:val="none" w:sz="0" w:space="0" w:color="auto"/>
            <w:right w:val="none" w:sz="0" w:space="0" w:color="auto"/>
          </w:divBdr>
        </w:div>
        <w:div w:id="1666784112">
          <w:marLeft w:val="640"/>
          <w:marRight w:val="0"/>
          <w:marTop w:val="0"/>
          <w:marBottom w:val="0"/>
          <w:divBdr>
            <w:top w:val="none" w:sz="0" w:space="0" w:color="auto"/>
            <w:left w:val="none" w:sz="0" w:space="0" w:color="auto"/>
            <w:bottom w:val="none" w:sz="0" w:space="0" w:color="auto"/>
            <w:right w:val="none" w:sz="0" w:space="0" w:color="auto"/>
          </w:divBdr>
        </w:div>
        <w:div w:id="977102087">
          <w:marLeft w:val="640"/>
          <w:marRight w:val="0"/>
          <w:marTop w:val="0"/>
          <w:marBottom w:val="0"/>
          <w:divBdr>
            <w:top w:val="none" w:sz="0" w:space="0" w:color="auto"/>
            <w:left w:val="none" w:sz="0" w:space="0" w:color="auto"/>
            <w:bottom w:val="none" w:sz="0" w:space="0" w:color="auto"/>
            <w:right w:val="none" w:sz="0" w:space="0" w:color="auto"/>
          </w:divBdr>
        </w:div>
        <w:div w:id="1766420323">
          <w:marLeft w:val="640"/>
          <w:marRight w:val="0"/>
          <w:marTop w:val="0"/>
          <w:marBottom w:val="0"/>
          <w:divBdr>
            <w:top w:val="none" w:sz="0" w:space="0" w:color="auto"/>
            <w:left w:val="none" w:sz="0" w:space="0" w:color="auto"/>
            <w:bottom w:val="none" w:sz="0" w:space="0" w:color="auto"/>
            <w:right w:val="none" w:sz="0" w:space="0" w:color="auto"/>
          </w:divBdr>
        </w:div>
        <w:div w:id="1130593822">
          <w:marLeft w:val="640"/>
          <w:marRight w:val="0"/>
          <w:marTop w:val="0"/>
          <w:marBottom w:val="0"/>
          <w:divBdr>
            <w:top w:val="none" w:sz="0" w:space="0" w:color="auto"/>
            <w:left w:val="none" w:sz="0" w:space="0" w:color="auto"/>
            <w:bottom w:val="none" w:sz="0" w:space="0" w:color="auto"/>
            <w:right w:val="none" w:sz="0" w:space="0" w:color="auto"/>
          </w:divBdr>
        </w:div>
        <w:div w:id="1731730014">
          <w:marLeft w:val="640"/>
          <w:marRight w:val="0"/>
          <w:marTop w:val="0"/>
          <w:marBottom w:val="0"/>
          <w:divBdr>
            <w:top w:val="none" w:sz="0" w:space="0" w:color="auto"/>
            <w:left w:val="none" w:sz="0" w:space="0" w:color="auto"/>
            <w:bottom w:val="none" w:sz="0" w:space="0" w:color="auto"/>
            <w:right w:val="none" w:sz="0" w:space="0" w:color="auto"/>
          </w:divBdr>
        </w:div>
        <w:div w:id="592326366">
          <w:marLeft w:val="640"/>
          <w:marRight w:val="0"/>
          <w:marTop w:val="0"/>
          <w:marBottom w:val="0"/>
          <w:divBdr>
            <w:top w:val="none" w:sz="0" w:space="0" w:color="auto"/>
            <w:left w:val="none" w:sz="0" w:space="0" w:color="auto"/>
            <w:bottom w:val="none" w:sz="0" w:space="0" w:color="auto"/>
            <w:right w:val="none" w:sz="0" w:space="0" w:color="auto"/>
          </w:divBdr>
        </w:div>
        <w:div w:id="450784609">
          <w:marLeft w:val="640"/>
          <w:marRight w:val="0"/>
          <w:marTop w:val="0"/>
          <w:marBottom w:val="0"/>
          <w:divBdr>
            <w:top w:val="none" w:sz="0" w:space="0" w:color="auto"/>
            <w:left w:val="none" w:sz="0" w:space="0" w:color="auto"/>
            <w:bottom w:val="none" w:sz="0" w:space="0" w:color="auto"/>
            <w:right w:val="none" w:sz="0" w:space="0" w:color="auto"/>
          </w:divBdr>
        </w:div>
        <w:div w:id="1511331268">
          <w:marLeft w:val="640"/>
          <w:marRight w:val="0"/>
          <w:marTop w:val="0"/>
          <w:marBottom w:val="0"/>
          <w:divBdr>
            <w:top w:val="none" w:sz="0" w:space="0" w:color="auto"/>
            <w:left w:val="none" w:sz="0" w:space="0" w:color="auto"/>
            <w:bottom w:val="none" w:sz="0" w:space="0" w:color="auto"/>
            <w:right w:val="none" w:sz="0" w:space="0" w:color="auto"/>
          </w:divBdr>
        </w:div>
        <w:div w:id="37973175">
          <w:marLeft w:val="640"/>
          <w:marRight w:val="0"/>
          <w:marTop w:val="0"/>
          <w:marBottom w:val="0"/>
          <w:divBdr>
            <w:top w:val="none" w:sz="0" w:space="0" w:color="auto"/>
            <w:left w:val="none" w:sz="0" w:space="0" w:color="auto"/>
            <w:bottom w:val="none" w:sz="0" w:space="0" w:color="auto"/>
            <w:right w:val="none" w:sz="0" w:space="0" w:color="auto"/>
          </w:divBdr>
        </w:div>
        <w:div w:id="1169254370">
          <w:marLeft w:val="640"/>
          <w:marRight w:val="0"/>
          <w:marTop w:val="0"/>
          <w:marBottom w:val="0"/>
          <w:divBdr>
            <w:top w:val="none" w:sz="0" w:space="0" w:color="auto"/>
            <w:left w:val="none" w:sz="0" w:space="0" w:color="auto"/>
            <w:bottom w:val="none" w:sz="0" w:space="0" w:color="auto"/>
            <w:right w:val="none" w:sz="0" w:space="0" w:color="auto"/>
          </w:divBdr>
        </w:div>
        <w:div w:id="2126927082">
          <w:marLeft w:val="640"/>
          <w:marRight w:val="0"/>
          <w:marTop w:val="0"/>
          <w:marBottom w:val="0"/>
          <w:divBdr>
            <w:top w:val="none" w:sz="0" w:space="0" w:color="auto"/>
            <w:left w:val="none" w:sz="0" w:space="0" w:color="auto"/>
            <w:bottom w:val="none" w:sz="0" w:space="0" w:color="auto"/>
            <w:right w:val="none" w:sz="0" w:space="0" w:color="auto"/>
          </w:divBdr>
        </w:div>
        <w:div w:id="705524591">
          <w:marLeft w:val="640"/>
          <w:marRight w:val="0"/>
          <w:marTop w:val="0"/>
          <w:marBottom w:val="0"/>
          <w:divBdr>
            <w:top w:val="none" w:sz="0" w:space="0" w:color="auto"/>
            <w:left w:val="none" w:sz="0" w:space="0" w:color="auto"/>
            <w:bottom w:val="none" w:sz="0" w:space="0" w:color="auto"/>
            <w:right w:val="none" w:sz="0" w:space="0" w:color="auto"/>
          </w:divBdr>
        </w:div>
        <w:div w:id="291716189">
          <w:marLeft w:val="640"/>
          <w:marRight w:val="0"/>
          <w:marTop w:val="0"/>
          <w:marBottom w:val="0"/>
          <w:divBdr>
            <w:top w:val="none" w:sz="0" w:space="0" w:color="auto"/>
            <w:left w:val="none" w:sz="0" w:space="0" w:color="auto"/>
            <w:bottom w:val="none" w:sz="0" w:space="0" w:color="auto"/>
            <w:right w:val="none" w:sz="0" w:space="0" w:color="auto"/>
          </w:divBdr>
        </w:div>
        <w:div w:id="1751122432">
          <w:marLeft w:val="640"/>
          <w:marRight w:val="0"/>
          <w:marTop w:val="0"/>
          <w:marBottom w:val="0"/>
          <w:divBdr>
            <w:top w:val="none" w:sz="0" w:space="0" w:color="auto"/>
            <w:left w:val="none" w:sz="0" w:space="0" w:color="auto"/>
            <w:bottom w:val="none" w:sz="0" w:space="0" w:color="auto"/>
            <w:right w:val="none" w:sz="0" w:space="0" w:color="auto"/>
          </w:divBdr>
        </w:div>
        <w:div w:id="1308516771">
          <w:marLeft w:val="640"/>
          <w:marRight w:val="0"/>
          <w:marTop w:val="0"/>
          <w:marBottom w:val="0"/>
          <w:divBdr>
            <w:top w:val="none" w:sz="0" w:space="0" w:color="auto"/>
            <w:left w:val="none" w:sz="0" w:space="0" w:color="auto"/>
            <w:bottom w:val="none" w:sz="0" w:space="0" w:color="auto"/>
            <w:right w:val="none" w:sz="0" w:space="0" w:color="auto"/>
          </w:divBdr>
        </w:div>
        <w:div w:id="1228297846">
          <w:marLeft w:val="640"/>
          <w:marRight w:val="0"/>
          <w:marTop w:val="0"/>
          <w:marBottom w:val="0"/>
          <w:divBdr>
            <w:top w:val="none" w:sz="0" w:space="0" w:color="auto"/>
            <w:left w:val="none" w:sz="0" w:space="0" w:color="auto"/>
            <w:bottom w:val="none" w:sz="0" w:space="0" w:color="auto"/>
            <w:right w:val="none" w:sz="0" w:space="0" w:color="auto"/>
          </w:divBdr>
        </w:div>
        <w:div w:id="2101485442">
          <w:marLeft w:val="640"/>
          <w:marRight w:val="0"/>
          <w:marTop w:val="0"/>
          <w:marBottom w:val="0"/>
          <w:divBdr>
            <w:top w:val="none" w:sz="0" w:space="0" w:color="auto"/>
            <w:left w:val="none" w:sz="0" w:space="0" w:color="auto"/>
            <w:bottom w:val="none" w:sz="0" w:space="0" w:color="auto"/>
            <w:right w:val="none" w:sz="0" w:space="0" w:color="auto"/>
          </w:divBdr>
        </w:div>
        <w:div w:id="1406410969">
          <w:marLeft w:val="640"/>
          <w:marRight w:val="0"/>
          <w:marTop w:val="0"/>
          <w:marBottom w:val="0"/>
          <w:divBdr>
            <w:top w:val="none" w:sz="0" w:space="0" w:color="auto"/>
            <w:left w:val="none" w:sz="0" w:space="0" w:color="auto"/>
            <w:bottom w:val="none" w:sz="0" w:space="0" w:color="auto"/>
            <w:right w:val="none" w:sz="0" w:space="0" w:color="auto"/>
          </w:divBdr>
        </w:div>
        <w:div w:id="1210997108">
          <w:marLeft w:val="640"/>
          <w:marRight w:val="0"/>
          <w:marTop w:val="0"/>
          <w:marBottom w:val="0"/>
          <w:divBdr>
            <w:top w:val="none" w:sz="0" w:space="0" w:color="auto"/>
            <w:left w:val="none" w:sz="0" w:space="0" w:color="auto"/>
            <w:bottom w:val="none" w:sz="0" w:space="0" w:color="auto"/>
            <w:right w:val="none" w:sz="0" w:space="0" w:color="auto"/>
          </w:divBdr>
        </w:div>
        <w:div w:id="1451706890">
          <w:marLeft w:val="640"/>
          <w:marRight w:val="0"/>
          <w:marTop w:val="0"/>
          <w:marBottom w:val="0"/>
          <w:divBdr>
            <w:top w:val="none" w:sz="0" w:space="0" w:color="auto"/>
            <w:left w:val="none" w:sz="0" w:space="0" w:color="auto"/>
            <w:bottom w:val="none" w:sz="0" w:space="0" w:color="auto"/>
            <w:right w:val="none" w:sz="0" w:space="0" w:color="auto"/>
          </w:divBdr>
        </w:div>
        <w:div w:id="1983071552">
          <w:marLeft w:val="640"/>
          <w:marRight w:val="0"/>
          <w:marTop w:val="0"/>
          <w:marBottom w:val="0"/>
          <w:divBdr>
            <w:top w:val="none" w:sz="0" w:space="0" w:color="auto"/>
            <w:left w:val="none" w:sz="0" w:space="0" w:color="auto"/>
            <w:bottom w:val="none" w:sz="0" w:space="0" w:color="auto"/>
            <w:right w:val="none" w:sz="0" w:space="0" w:color="auto"/>
          </w:divBdr>
        </w:div>
        <w:div w:id="1277250273">
          <w:marLeft w:val="640"/>
          <w:marRight w:val="0"/>
          <w:marTop w:val="0"/>
          <w:marBottom w:val="0"/>
          <w:divBdr>
            <w:top w:val="none" w:sz="0" w:space="0" w:color="auto"/>
            <w:left w:val="none" w:sz="0" w:space="0" w:color="auto"/>
            <w:bottom w:val="none" w:sz="0" w:space="0" w:color="auto"/>
            <w:right w:val="none" w:sz="0" w:space="0" w:color="auto"/>
          </w:divBdr>
        </w:div>
        <w:div w:id="1105005109">
          <w:marLeft w:val="640"/>
          <w:marRight w:val="0"/>
          <w:marTop w:val="0"/>
          <w:marBottom w:val="0"/>
          <w:divBdr>
            <w:top w:val="none" w:sz="0" w:space="0" w:color="auto"/>
            <w:left w:val="none" w:sz="0" w:space="0" w:color="auto"/>
            <w:bottom w:val="none" w:sz="0" w:space="0" w:color="auto"/>
            <w:right w:val="none" w:sz="0" w:space="0" w:color="auto"/>
          </w:divBdr>
        </w:div>
        <w:div w:id="212355794">
          <w:marLeft w:val="640"/>
          <w:marRight w:val="0"/>
          <w:marTop w:val="0"/>
          <w:marBottom w:val="0"/>
          <w:divBdr>
            <w:top w:val="none" w:sz="0" w:space="0" w:color="auto"/>
            <w:left w:val="none" w:sz="0" w:space="0" w:color="auto"/>
            <w:bottom w:val="none" w:sz="0" w:space="0" w:color="auto"/>
            <w:right w:val="none" w:sz="0" w:space="0" w:color="auto"/>
          </w:divBdr>
        </w:div>
        <w:div w:id="2028830540">
          <w:marLeft w:val="640"/>
          <w:marRight w:val="0"/>
          <w:marTop w:val="0"/>
          <w:marBottom w:val="0"/>
          <w:divBdr>
            <w:top w:val="none" w:sz="0" w:space="0" w:color="auto"/>
            <w:left w:val="none" w:sz="0" w:space="0" w:color="auto"/>
            <w:bottom w:val="none" w:sz="0" w:space="0" w:color="auto"/>
            <w:right w:val="none" w:sz="0" w:space="0" w:color="auto"/>
          </w:divBdr>
        </w:div>
        <w:div w:id="663245126">
          <w:marLeft w:val="640"/>
          <w:marRight w:val="0"/>
          <w:marTop w:val="0"/>
          <w:marBottom w:val="0"/>
          <w:divBdr>
            <w:top w:val="none" w:sz="0" w:space="0" w:color="auto"/>
            <w:left w:val="none" w:sz="0" w:space="0" w:color="auto"/>
            <w:bottom w:val="none" w:sz="0" w:space="0" w:color="auto"/>
            <w:right w:val="none" w:sz="0" w:space="0" w:color="auto"/>
          </w:divBdr>
        </w:div>
        <w:div w:id="452864853">
          <w:marLeft w:val="640"/>
          <w:marRight w:val="0"/>
          <w:marTop w:val="0"/>
          <w:marBottom w:val="0"/>
          <w:divBdr>
            <w:top w:val="none" w:sz="0" w:space="0" w:color="auto"/>
            <w:left w:val="none" w:sz="0" w:space="0" w:color="auto"/>
            <w:bottom w:val="none" w:sz="0" w:space="0" w:color="auto"/>
            <w:right w:val="none" w:sz="0" w:space="0" w:color="auto"/>
          </w:divBdr>
        </w:div>
        <w:div w:id="2028363413">
          <w:marLeft w:val="640"/>
          <w:marRight w:val="0"/>
          <w:marTop w:val="0"/>
          <w:marBottom w:val="0"/>
          <w:divBdr>
            <w:top w:val="none" w:sz="0" w:space="0" w:color="auto"/>
            <w:left w:val="none" w:sz="0" w:space="0" w:color="auto"/>
            <w:bottom w:val="none" w:sz="0" w:space="0" w:color="auto"/>
            <w:right w:val="none" w:sz="0" w:space="0" w:color="auto"/>
          </w:divBdr>
        </w:div>
        <w:div w:id="514735655">
          <w:marLeft w:val="640"/>
          <w:marRight w:val="0"/>
          <w:marTop w:val="0"/>
          <w:marBottom w:val="0"/>
          <w:divBdr>
            <w:top w:val="none" w:sz="0" w:space="0" w:color="auto"/>
            <w:left w:val="none" w:sz="0" w:space="0" w:color="auto"/>
            <w:bottom w:val="none" w:sz="0" w:space="0" w:color="auto"/>
            <w:right w:val="none" w:sz="0" w:space="0" w:color="auto"/>
          </w:divBdr>
        </w:div>
        <w:div w:id="1781139606">
          <w:marLeft w:val="640"/>
          <w:marRight w:val="0"/>
          <w:marTop w:val="0"/>
          <w:marBottom w:val="0"/>
          <w:divBdr>
            <w:top w:val="none" w:sz="0" w:space="0" w:color="auto"/>
            <w:left w:val="none" w:sz="0" w:space="0" w:color="auto"/>
            <w:bottom w:val="none" w:sz="0" w:space="0" w:color="auto"/>
            <w:right w:val="none" w:sz="0" w:space="0" w:color="auto"/>
          </w:divBdr>
        </w:div>
        <w:div w:id="1717897796">
          <w:marLeft w:val="640"/>
          <w:marRight w:val="0"/>
          <w:marTop w:val="0"/>
          <w:marBottom w:val="0"/>
          <w:divBdr>
            <w:top w:val="none" w:sz="0" w:space="0" w:color="auto"/>
            <w:left w:val="none" w:sz="0" w:space="0" w:color="auto"/>
            <w:bottom w:val="none" w:sz="0" w:space="0" w:color="auto"/>
            <w:right w:val="none" w:sz="0" w:space="0" w:color="auto"/>
          </w:divBdr>
        </w:div>
        <w:div w:id="1872330023">
          <w:marLeft w:val="640"/>
          <w:marRight w:val="0"/>
          <w:marTop w:val="0"/>
          <w:marBottom w:val="0"/>
          <w:divBdr>
            <w:top w:val="none" w:sz="0" w:space="0" w:color="auto"/>
            <w:left w:val="none" w:sz="0" w:space="0" w:color="auto"/>
            <w:bottom w:val="none" w:sz="0" w:space="0" w:color="auto"/>
            <w:right w:val="none" w:sz="0" w:space="0" w:color="auto"/>
          </w:divBdr>
        </w:div>
        <w:div w:id="1666199999">
          <w:marLeft w:val="640"/>
          <w:marRight w:val="0"/>
          <w:marTop w:val="0"/>
          <w:marBottom w:val="0"/>
          <w:divBdr>
            <w:top w:val="none" w:sz="0" w:space="0" w:color="auto"/>
            <w:left w:val="none" w:sz="0" w:space="0" w:color="auto"/>
            <w:bottom w:val="none" w:sz="0" w:space="0" w:color="auto"/>
            <w:right w:val="none" w:sz="0" w:space="0" w:color="auto"/>
          </w:divBdr>
        </w:div>
        <w:div w:id="219678465">
          <w:marLeft w:val="640"/>
          <w:marRight w:val="0"/>
          <w:marTop w:val="0"/>
          <w:marBottom w:val="0"/>
          <w:divBdr>
            <w:top w:val="none" w:sz="0" w:space="0" w:color="auto"/>
            <w:left w:val="none" w:sz="0" w:space="0" w:color="auto"/>
            <w:bottom w:val="none" w:sz="0" w:space="0" w:color="auto"/>
            <w:right w:val="none" w:sz="0" w:space="0" w:color="auto"/>
          </w:divBdr>
        </w:div>
        <w:div w:id="1163814027">
          <w:marLeft w:val="640"/>
          <w:marRight w:val="0"/>
          <w:marTop w:val="0"/>
          <w:marBottom w:val="0"/>
          <w:divBdr>
            <w:top w:val="none" w:sz="0" w:space="0" w:color="auto"/>
            <w:left w:val="none" w:sz="0" w:space="0" w:color="auto"/>
            <w:bottom w:val="none" w:sz="0" w:space="0" w:color="auto"/>
            <w:right w:val="none" w:sz="0" w:space="0" w:color="auto"/>
          </w:divBdr>
        </w:div>
        <w:div w:id="1222208335">
          <w:marLeft w:val="640"/>
          <w:marRight w:val="0"/>
          <w:marTop w:val="0"/>
          <w:marBottom w:val="0"/>
          <w:divBdr>
            <w:top w:val="none" w:sz="0" w:space="0" w:color="auto"/>
            <w:left w:val="none" w:sz="0" w:space="0" w:color="auto"/>
            <w:bottom w:val="none" w:sz="0" w:space="0" w:color="auto"/>
            <w:right w:val="none" w:sz="0" w:space="0" w:color="auto"/>
          </w:divBdr>
        </w:div>
        <w:div w:id="1334408969">
          <w:marLeft w:val="640"/>
          <w:marRight w:val="0"/>
          <w:marTop w:val="0"/>
          <w:marBottom w:val="0"/>
          <w:divBdr>
            <w:top w:val="none" w:sz="0" w:space="0" w:color="auto"/>
            <w:left w:val="none" w:sz="0" w:space="0" w:color="auto"/>
            <w:bottom w:val="none" w:sz="0" w:space="0" w:color="auto"/>
            <w:right w:val="none" w:sz="0" w:space="0" w:color="auto"/>
          </w:divBdr>
        </w:div>
        <w:div w:id="1294558303">
          <w:marLeft w:val="640"/>
          <w:marRight w:val="0"/>
          <w:marTop w:val="0"/>
          <w:marBottom w:val="0"/>
          <w:divBdr>
            <w:top w:val="none" w:sz="0" w:space="0" w:color="auto"/>
            <w:left w:val="none" w:sz="0" w:space="0" w:color="auto"/>
            <w:bottom w:val="none" w:sz="0" w:space="0" w:color="auto"/>
            <w:right w:val="none" w:sz="0" w:space="0" w:color="auto"/>
          </w:divBdr>
        </w:div>
        <w:div w:id="992441913">
          <w:marLeft w:val="640"/>
          <w:marRight w:val="0"/>
          <w:marTop w:val="0"/>
          <w:marBottom w:val="0"/>
          <w:divBdr>
            <w:top w:val="none" w:sz="0" w:space="0" w:color="auto"/>
            <w:left w:val="none" w:sz="0" w:space="0" w:color="auto"/>
            <w:bottom w:val="none" w:sz="0" w:space="0" w:color="auto"/>
            <w:right w:val="none" w:sz="0" w:space="0" w:color="auto"/>
          </w:divBdr>
        </w:div>
        <w:div w:id="314377673">
          <w:marLeft w:val="640"/>
          <w:marRight w:val="0"/>
          <w:marTop w:val="0"/>
          <w:marBottom w:val="0"/>
          <w:divBdr>
            <w:top w:val="none" w:sz="0" w:space="0" w:color="auto"/>
            <w:left w:val="none" w:sz="0" w:space="0" w:color="auto"/>
            <w:bottom w:val="none" w:sz="0" w:space="0" w:color="auto"/>
            <w:right w:val="none" w:sz="0" w:space="0" w:color="auto"/>
          </w:divBdr>
        </w:div>
        <w:div w:id="2116051887">
          <w:marLeft w:val="640"/>
          <w:marRight w:val="0"/>
          <w:marTop w:val="0"/>
          <w:marBottom w:val="0"/>
          <w:divBdr>
            <w:top w:val="none" w:sz="0" w:space="0" w:color="auto"/>
            <w:left w:val="none" w:sz="0" w:space="0" w:color="auto"/>
            <w:bottom w:val="none" w:sz="0" w:space="0" w:color="auto"/>
            <w:right w:val="none" w:sz="0" w:space="0" w:color="auto"/>
          </w:divBdr>
        </w:div>
        <w:div w:id="1726567356">
          <w:marLeft w:val="640"/>
          <w:marRight w:val="0"/>
          <w:marTop w:val="0"/>
          <w:marBottom w:val="0"/>
          <w:divBdr>
            <w:top w:val="none" w:sz="0" w:space="0" w:color="auto"/>
            <w:left w:val="none" w:sz="0" w:space="0" w:color="auto"/>
            <w:bottom w:val="none" w:sz="0" w:space="0" w:color="auto"/>
            <w:right w:val="none" w:sz="0" w:space="0" w:color="auto"/>
          </w:divBdr>
        </w:div>
        <w:div w:id="1789741712">
          <w:marLeft w:val="640"/>
          <w:marRight w:val="0"/>
          <w:marTop w:val="0"/>
          <w:marBottom w:val="0"/>
          <w:divBdr>
            <w:top w:val="none" w:sz="0" w:space="0" w:color="auto"/>
            <w:left w:val="none" w:sz="0" w:space="0" w:color="auto"/>
            <w:bottom w:val="none" w:sz="0" w:space="0" w:color="auto"/>
            <w:right w:val="none" w:sz="0" w:space="0" w:color="auto"/>
          </w:divBdr>
        </w:div>
        <w:div w:id="380833153">
          <w:marLeft w:val="640"/>
          <w:marRight w:val="0"/>
          <w:marTop w:val="0"/>
          <w:marBottom w:val="0"/>
          <w:divBdr>
            <w:top w:val="none" w:sz="0" w:space="0" w:color="auto"/>
            <w:left w:val="none" w:sz="0" w:space="0" w:color="auto"/>
            <w:bottom w:val="none" w:sz="0" w:space="0" w:color="auto"/>
            <w:right w:val="none" w:sz="0" w:space="0" w:color="auto"/>
          </w:divBdr>
        </w:div>
        <w:div w:id="139075149">
          <w:marLeft w:val="640"/>
          <w:marRight w:val="0"/>
          <w:marTop w:val="0"/>
          <w:marBottom w:val="0"/>
          <w:divBdr>
            <w:top w:val="none" w:sz="0" w:space="0" w:color="auto"/>
            <w:left w:val="none" w:sz="0" w:space="0" w:color="auto"/>
            <w:bottom w:val="none" w:sz="0" w:space="0" w:color="auto"/>
            <w:right w:val="none" w:sz="0" w:space="0" w:color="auto"/>
          </w:divBdr>
        </w:div>
        <w:div w:id="1965110964">
          <w:marLeft w:val="640"/>
          <w:marRight w:val="0"/>
          <w:marTop w:val="0"/>
          <w:marBottom w:val="0"/>
          <w:divBdr>
            <w:top w:val="none" w:sz="0" w:space="0" w:color="auto"/>
            <w:left w:val="none" w:sz="0" w:space="0" w:color="auto"/>
            <w:bottom w:val="none" w:sz="0" w:space="0" w:color="auto"/>
            <w:right w:val="none" w:sz="0" w:space="0" w:color="auto"/>
          </w:divBdr>
        </w:div>
        <w:div w:id="998843329">
          <w:marLeft w:val="640"/>
          <w:marRight w:val="0"/>
          <w:marTop w:val="0"/>
          <w:marBottom w:val="0"/>
          <w:divBdr>
            <w:top w:val="none" w:sz="0" w:space="0" w:color="auto"/>
            <w:left w:val="none" w:sz="0" w:space="0" w:color="auto"/>
            <w:bottom w:val="none" w:sz="0" w:space="0" w:color="auto"/>
            <w:right w:val="none" w:sz="0" w:space="0" w:color="auto"/>
          </w:divBdr>
        </w:div>
        <w:div w:id="842741887">
          <w:marLeft w:val="640"/>
          <w:marRight w:val="0"/>
          <w:marTop w:val="0"/>
          <w:marBottom w:val="0"/>
          <w:divBdr>
            <w:top w:val="none" w:sz="0" w:space="0" w:color="auto"/>
            <w:left w:val="none" w:sz="0" w:space="0" w:color="auto"/>
            <w:bottom w:val="none" w:sz="0" w:space="0" w:color="auto"/>
            <w:right w:val="none" w:sz="0" w:space="0" w:color="auto"/>
          </w:divBdr>
        </w:div>
        <w:div w:id="2078437091">
          <w:marLeft w:val="640"/>
          <w:marRight w:val="0"/>
          <w:marTop w:val="0"/>
          <w:marBottom w:val="0"/>
          <w:divBdr>
            <w:top w:val="none" w:sz="0" w:space="0" w:color="auto"/>
            <w:left w:val="none" w:sz="0" w:space="0" w:color="auto"/>
            <w:bottom w:val="none" w:sz="0" w:space="0" w:color="auto"/>
            <w:right w:val="none" w:sz="0" w:space="0" w:color="auto"/>
          </w:divBdr>
        </w:div>
        <w:div w:id="813528206">
          <w:marLeft w:val="640"/>
          <w:marRight w:val="0"/>
          <w:marTop w:val="0"/>
          <w:marBottom w:val="0"/>
          <w:divBdr>
            <w:top w:val="none" w:sz="0" w:space="0" w:color="auto"/>
            <w:left w:val="none" w:sz="0" w:space="0" w:color="auto"/>
            <w:bottom w:val="none" w:sz="0" w:space="0" w:color="auto"/>
            <w:right w:val="none" w:sz="0" w:space="0" w:color="auto"/>
          </w:divBdr>
        </w:div>
        <w:div w:id="459955502">
          <w:marLeft w:val="640"/>
          <w:marRight w:val="0"/>
          <w:marTop w:val="0"/>
          <w:marBottom w:val="0"/>
          <w:divBdr>
            <w:top w:val="none" w:sz="0" w:space="0" w:color="auto"/>
            <w:left w:val="none" w:sz="0" w:space="0" w:color="auto"/>
            <w:bottom w:val="none" w:sz="0" w:space="0" w:color="auto"/>
            <w:right w:val="none" w:sz="0" w:space="0" w:color="auto"/>
          </w:divBdr>
        </w:div>
        <w:div w:id="1492015937">
          <w:marLeft w:val="640"/>
          <w:marRight w:val="0"/>
          <w:marTop w:val="0"/>
          <w:marBottom w:val="0"/>
          <w:divBdr>
            <w:top w:val="none" w:sz="0" w:space="0" w:color="auto"/>
            <w:left w:val="none" w:sz="0" w:space="0" w:color="auto"/>
            <w:bottom w:val="none" w:sz="0" w:space="0" w:color="auto"/>
            <w:right w:val="none" w:sz="0" w:space="0" w:color="auto"/>
          </w:divBdr>
        </w:div>
        <w:div w:id="1742411258">
          <w:marLeft w:val="640"/>
          <w:marRight w:val="0"/>
          <w:marTop w:val="0"/>
          <w:marBottom w:val="0"/>
          <w:divBdr>
            <w:top w:val="none" w:sz="0" w:space="0" w:color="auto"/>
            <w:left w:val="none" w:sz="0" w:space="0" w:color="auto"/>
            <w:bottom w:val="none" w:sz="0" w:space="0" w:color="auto"/>
            <w:right w:val="none" w:sz="0" w:space="0" w:color="auto"/>
          </w:divBdr>
        </w:div>
        <w:div w:id="601300781">
          <w:marLeft w:val="640"/>
          <w:marRight w:val="0"/>
          <w:marTop w:val="0"/>
          <w:marBottom w:val="0"/>
          <w:divBdr>
            <w:top w:val="none" w:sz="0" w:space="0" w:color="auto"/>
            <w:left w:val="none" w:sz="0" w:space="0" w:color="auto"/>
            <w:bottom w:val="none" w:sz="0" w:space="0" w:color="auto"/>
            <w:right w:val="none" w:sz="0" w:space="0" w:color="auto"/>
          </w:divBdr>
        </w:div>
        <w:div w:id="104616335">
          <w:marLeft w:val="640"/>
          <w:marRight w:val="0"/>
          <w:marTop w:val="0"/>
          <w:marBottom w:val="0"/>
          <w:divBdr>
            <w:top w:val="none" w:sz="0" w:space="0" w:color="auto"/>
            <w:left w:val="none" w:sz="0" w:space="0" w:color="auto"/>
            <w:bottom w:val="none" w:sz="0" w:space="0" w:color="auto"/>
            <w:right w:val="none" w:sz="0" w:space="0" w:color="auto"/>
          </w:divBdr>
        </w:div>
        <w:div w:id="27489535">
          <w:marLeft w:val="640"/>
          <w:marRight w:val="0"/>
          <w:marTop w:val="0"/>
          <w:marBottom w:val="0"/>
          <w:divBdr>
            <w:top w:val="none" w:sz="0" w:space="0" w:color="auto"/>
            <w:left w:val="none" w:sz="0" w:space="0" w:color="auto"/>
            <w:bottom w:val="none" w:sz="0" w:space="0" w:color="auto"/>
            <w:right w:val="none" w:sz="0" w:space="0" w:color="auto"/>
          </w:divBdr>
        </w:div>
        <w:div w:id="335422027">
          <w:marLeft w:val="640"/>
          <w:marRight w:val="0"/>
          <w:marTop w:val="0"/>
          <w:marBottom w:val="0"/>
          <w:divBdr>
            <w:top w:val="none" w:sz="0" w:space="0" w:color="auto"/>
            <w:left w:val="none" w:sz="0" w:space="0" w:color="auto"/>
            <w:bottom w:val="none" w:sz="0" w:space="0" w:color="auto"/>
            <w:right w:val="none" w:sz="0" w:space="0" w:color="auto"/>
          </w:divBdr>
        </w:div>
        <w:div w:id="871382153">
          <w:marLeft w:val="640"/>
          <w:marRight w:val="0"/>
          <w:marTop w:val="0"/>
          <w:marBottom w:val="0"/>
          <w:divBdr>
            <w:top w:val="none" w:sz="0" w:space="0" w:color="auto"/>
            <w:left w:val="none" w:sz="0" w:space="0" w:color="auto"/>
            <w:bottom w:val="none" w:sz="0" w:space="0" w:color="auto"/>
            <w:right w:val="none" w:sz="0" w:space="0" w:color="auto"/>
          </w:divBdr>
        </w:div>
        <w:div w:id="1847479151">
          <w:marLeft w:val="640"/>
          <w:marRight w:val="0"/>
          <w:marTop w:val="0"/>
          <w:marBottom w:val="0"/>
          <w:divBdr>
            <w:top w:val="none" w:sz="0" w:space="0" w:color="auto"/>
            <w:left w:val="none" w:sz="0" w:space="0" w:color="auto"/>
            <w:bottom w:val="none" w:sz="0" w:space="0" w:color="auto"/>
            <w:right w:val="none" w:sz="0" w:space="0" w:color="auto"/>
          </w:divBdr>
        </w:div>
        <w:div w:id="94134159">
          <w:marLeft w:val="640"/>
          <w:marRight w:val="0"/>
          <w:marTop w:val="0"/>
          <w:marBottom w:val="0"/>
          <w:divBdr>
            <w:top w:val="none" w:sz="0" w:space="0" w:color="auto"/>
            <w:left w:val="none" w:sz="0" w:space="0" w:color="auto"/>
            <w:bottom w:val="none" w:sz="0" w:space="0" w:color="auto"/>
            <w:right w:val="none" w:sz="0" w:space="0" w:color="auto"/>
          </w:divBdr>
        </w:div>
        <w:div w:id="48498066">
          <w:marLeft w:val="640"/>
          <w:marRight w:val="0"/>
          <w:marTop w:val="0"/>
          <w:marBottom w:val="0"/>
          <w:divBdr>
            <w:top w:val="none" w:sz="0" w:space="0" w:color="auto"/>
            <w:left w:val="none" w:sz="0" w:space="0" w:color="auto"/>
            <w:bottom w:val="none" w:sz="0" w:space="0" w:color="auto"/>
            <w:right w:val="none" w:sz="0" w:space="0" w:color="auto"/>
          </w:divBdr>
        </w:div>
        <w:div w:id="893002162">
          <w:marLeft w:val="640"/>
          <w:marRight w:val="0"/>
          <w:marTop w:val="0"/>
          <w:marBottom w:val="0"/>
          <w:divBdr>
            <w:top w:val="none" w:sz="0" w:space="0" w:color="auto"/>
            <w:left w:val="none" w:sz="0" w:space="0" w:color="auto"/>
            <w:bottom w:val="none" w:sz="0" w:space="0" w:color="auto"/>
            <w:right w:val="none" w:sz="0" w:space="0" w:color="auto"/>
          </w:divBdr>
        </w:div>
        <w:div w:id="916285735">
          <w:marLeft w:val="640"/>
          <w:marRight w:val="0"/>
          <w:marTop w:val="0"/>
          <w:marBottom w:val="0"/>
          <w:divBdr>
            <w:top w:val="none" w:sz="0" w:space="0" w:color="auto"/>
            <w:left w:val="none" w:sz="0" w:space="0" w:color="auto"/>
            <w:bottom w:val="none" w:sz="0" w:space="0" w:color="auto"/>
            <w:right w:val="none" w:sz="0" w:space="0" w:color="auto"/>
          </w:divBdr>
        </w:div>
        <w:div w:id="516237277">
          <w:marLeft w:val="640"/>
          <w:marRight w:val="0"/>
          <w:marTop w:val="0"/>
          <w:marBottom w:val="0"/>
          <w:divBdr>
            <w:top w:val="none" w:sz="0" w:space="0" w:color="auto"/>
            <w:left w:val="none" w:sz="0" w:space="0" w:color="auto"/>
            <w:bottom w:val="none" w:sz="0" w:space="0" w:color="auto"/>
            <w:right w:val="none" w:sz="0" w:space="0" w:color="auto"/>
          </w:divBdr>
        </w:div>
        <w:div w:id="1682004367">
          <w:marLeft w:val="640"/>
          <w:marRight w:val="0"/>
          <w:marTop w:val="0"/>
          <w:marBottom w:val="0"/>
          <w:divBdr>
            <w:top w:val="none" w:sz="0" w:space="0" w:color="auto"/>
            <w:left w:val="none" w:sz="0" w:space="0" w:color="auto"/>
            <w:bottom w:val="none" w:sz="0" w:space="0" w:color="auto"/>
            <w:right w:val="none" w:sz="0" w:space="0" w:color="auto"/>
          </w:divBdr>
        </w:div>
        <w:div w:id="1553807049">
          <w:marLeft w:val="640"/>
          <w:marRight w:val="0"/>
          <w:marTop w:val="0"/>
          <w:marBottom w:val="0"/>
          <w:divBdr>
            <w:top w:val="none" w:sz="0" w:space="0" w:color="auto"/>
            <w:left w:val="none" w:sz="0" w:space="0" w:color="auto"/>
            <w:bottom w:val="none" w:sz="0" w:space="0" w:color="auto"/>
            <w:right w:val="none" w:sz="0" w:space="0" w:color="auto"/>
          </w:divBdr>
        </w:div>
        <w:div w:id="1725333494">
          <w:marLeft w:val="640"/>
          <w:marRight w:val="0"/>
          <w:marTop w:val="0"/>
          <w:marBottom w:val="0"/>
          <w:divBdr>
            <w:top w:val="none" w:sz="0" w:space="0" w:color="auto"/>
            <w:left w:val="none" w:sz="0" w:space="0" w:color="auto"/>
            <w:bottom w:val="none" w:sz="0" w:space="0" w:color="auto"/>
            <w:right w:val="none" w:sz="0" w:space="0" w:color="auto"/>
          </w:divBdr>
        </w:div>
        <w:div w:id="1015764321">
          <w:marLeft w:val="640"/>
          <w:marRight w:val="0"/>
          <w:marTop w:val="0"/>
          <w:marBottom w:val="0"/>
          <w:divBdr>
            <w:top w:val="none" w:sz="0" w:space="0" w:color="auto"/>
            <w:left w:val="none" w:sz="0" w:space="0" w:color="auto"/>
            <w:bottom w:val="none" w:sz="0" w:space="0" w:color="auto"/>
            <w:right w:val="none" w:sz="0" w:space="0" w:color="auto"/>
          </w:divBdr>
        </w:div>
        <w:div w:id="336732800">
          <w:marLeft w:val="640"/>
          <w:marRight w:val="0"/>
          <w:marTop w:val="0"/>
          <w:marBottom w:val="0"/>
          <w:divBdr>
            <w:top w:val="none" w:sz="0" w:space="0" w:color="auto"/>
            <w:left w:val="none" w:sz="0" w:space="0" w:color="auto"/>
            <w:bottom w:val="none" w:sz="0" w:space="0" w:color="auto"/>
            <w:right w:val="none" w:sz="0" w:space="0" w:color="auto"/>
          </w:divBdr>
        </w:div>
        <w:div w:id="474681841">
          <w:marLeft w:val="640"/>
          <w:marRight w:val="0"/>
          <w:marTop w:val="0"/>
          <w:marBottom w:val="0"/>
          <w:divBdr>
            <w:top w:val="none" w:sz="0" w:space="0" w:color="auto"/>
            <w:left w:val="none" w:sz="0" w:space="0" w:color="auto"/>
            <w:bottom w:val="none" w:sz="0" w:space="0" w:color="auto"/>
            <w:right w:val="none" w:sz="0" w:space="0" w:color="auto"/>
          </w:divBdr>
        </w:div>
        <w:div w:id="1558662979">
          <w:marLeft w:val="640"/>
          <w:marRight w:val="0"/>
          <w:marTop w:val="0"/>
          <w:marBottom w:val="0"/>
          <w:divBdr>
            <w:top w:val="none" w:sz="0" w:space="0" w:color="auto"/>
            <w:left w:val="none" w:sz="0" w:space="0" w:color="auto"/>
            <w:bottom w:val="none" w:sz="0" w:space="0" w:color="auto"/>
            <w:right w:val="none" w:sz="0" w:space="0" w:color="auto"/>
          </w:divBdr>
        </w:div>
        <w:div w:id="1564439388">
          <w:marLeft w:val="640"/>
          <w:marRight w:val="0"/>
          <w:marTop w:val="0"/>
          <w:marBottom w:val="0"/>
          <w:divBdr>
            <w:top w:val="none" w:sz="0" w:space="0" w:color="auto"/>
            <w:left w:val="none" w:sz="0" w:space="0" w:color="auto"/>
            <w:bottom w:val="none" w:sz="0" w:space="0" w:color="auto"/>
            <w:right w:val="none" w:sz="0" w:space="0" w:color="auto"/>
          </w:divBdr>
        </w:div>
        <w:div w:id="862550325">
          <w:marLeft w:val="640"/>
          <w:marRight w:val="0"/>
          <w:marTop w:val="0"/>
          <w:marBottom w:val="0"/>
          <w:divBdr>
            <w:top w:val="none" w:sz="0" w:space="0" w:color="auto"/>
            <w:left w:val="none" w:sz="0" w:space="0" w:color="auto"/>
            <w:bottom w:val="none" w:sz="0" w:space="0" w:color="auto"/>
            <w:right w:val="none" w:sz="0" w:space="0" w:color="auto"/>
          </w:divBdr>
        </w:div>
        <w:div w:id="215361761">
          <w:marLeft w:val="640"/>
          <w:marRight w:val="0"/>
          <w:marTop w:val="0"/>
          <w:marBottom w:val="0"/>
          <w:divBdr>
            <w:top w:val="none" w:sz="0" w:space="0" w:color="auto"/>
            <w:left w:val="none" w:sz="0" w:space="0" w:color="auto"/>
            <w:bottom w:val="none" w:sz="0" w:space="0" w:color="auto"/>
            <w:right w:val="none" w:sz="0" w:space="0" w:color="auto"/>
          </w:divBdr>
        </w:div>
        <w:div w:id="1302230625">
          <w:marLeft w:val="640"/>
          <w:marRight w:val="0"/>
          <w:marTop w:val="0"/>
          <w:marBottom w:val="0"/>
          <w:divBdr>
            <w:top w:val="none" w:sz="0" w:space="0" w:color="auto"/>
            <w:left w:val="none" w:sz="0" w:space="0" w:color="auto"/>
            <w:bottom w:val="none" w:sz="0" w:space="0" w:color="auto"/>
            <w:right w:val="none" w:sz="0" w:space="0" w:color="auto"/>
          </w:divBdr>
        </w:div>
        <w:div w:id="303974148">
          <w:marLeft w:val="640"/>
          <w:marRight w:val="0"/>
          <w:marTop w:val="0"/>
          <w:marBottom w:val="0"/>
          <w:divBdr>
            <w:top w:val="none" w:sz="0" w:space="0" w:color="auto"/>
            <w:left w:val="none" w:sz="0" w:space="0" w:color="auto"/>
            <w:bottom w:val="none" w:sz="0" w:space="0" w:color="auto"/>
            <w:right w:val="none" w:sz="0" w:space="0" w:color="auto"/>
          </w:divBdr>
        </w:div>
        <w:div w:id="105665749">
          <w:marLeft w:val="640"/>
          <w:marRight w:val="0"/>
          <w:marTop w:val="0"/>
          <w:marBottom w:val="0"/>
          <w:divBdr>
            <w:top w:val="none" w:sz="0" w:space="0" w:color="auto"/>
            <w:left w:val="none" w:sz="0" w:space="0" w:color="auto"/>
            <w:bottom w:val="none" w:sz="0" w:space="0" w:color="auto"/>
            <w:right w:val="none" w:sz="0" w:space="0" w:color="auto"/>
          </w:divBdr>
        </w:div>
        <w:div w:id="126509537">
          <w:marLeft w:val="640"/>
          <w:marRight w:val="0"/>
          <w:marTop w:val="0"/>
          <w:marBottom w:val="0"/>
          <w:divBdr>
            <w:top w:val="none" w:sz="0" w:space="0" w:color="auto"/>
            <w:left w:val="none" w:sz="0" w:space="0" w:color="auto"/>
            <w:bottom w:val="none" w:sz="0" w:space="0" w:color="auto"/>
            <w:right w:val="none" w:sz="0" w:space="0" w:color="auto"/>
          </w:divBdr>
        </w:div>
        <w:div w:id="656302262">
          <w:marLeft w:val="640"/>
          <w:marRight w:val="0"/>
          <w:marTop w:val="0"/>
          <w:marBottom w:val="0"/>
          <w:divBdr>
            <w:top w:val="none" w:sz="0" w:space="0" w:color="auto"/>
            <w:left w:val="none" w:sz="0" w:space="0" w:color="auto"/>
            <w:bottom w:val="none" w:sz="0" w:space="0" w:color="auto"/>
            <w:right w:val="none" w:sz="0" w:space="0" w:color="auto"/>
          </w:divBdr>
        </w:div>
        <w:div w:id="993483397">
          <w:marLeft w:val="640"/>
          <w:marRight w:val="0"/>
          <w:marTop w:val="0"/>
          <w:marBottom w:val="0"/>
          <w:divBdr>
            <w:top w:val="none" w:sz="0" w:space="0" w:color="auto"/>
            <w:left w:val="none" w:sz="0" w:space="0" w:color="auto"/>
            <w:bottom w:val="none" w:sz="0" w:space="0" w:color="auto"/>
            <w:right w:val="none" w:sz="0" w:space="0" w:color="auto"/>
          </w:divBdr>
        </w:div>
        <w:div w:id="1042905543">
          <w:marLeft w:val="640"/>
          <w:marRight w:val="0"/>
          <w:marTop w:val="0"/>
          <w:marBottom w:val="0"/>
          <w:divBdr>
            <w:top w:val="none" w:sz="0" w:space="0" w:color="auto"/>
            <w:left w:val="none" w:sz="0" w:space="0" w:color="auto"/>
            <w:bottom w:val="none" w:sz="0" w:space="0" w:color="auto"/>
            <w:right w:val="none" w:sz="0" w:space="0" w:color="auto"/>
          </w:divBdr>
        </w:div>
        <w:div w:id="29651652">
          <w:marLeft w:val="640"/>
          <w:marRight w:val="0"/>
          <w:marTop w:val="0"/>
          <w:marBottom w:val="0"/>
          <w:divBdr>
            <w:top w:val="none" w:sz="0" w:space="0" w:color="auto"/>
            <w:left w:val="none" w:sz="0" w:space="0" w:color="auto"/>
            <w:bottom w:val="none" w:sz="0" w:space="0" w:color="auto"/>
            <w:right w:val="none" w:sz="0" w:space="0" w:color="auto"/>
          </w:divBdr>
        </w:div>
        <w:div w:id="77483660">
          <w:marLeft w:val="640"/>
          <w:marRight w:val="0"/>
          <w:marTop w:val="0"/>
          <w:marBottom w:val="0"/>
          <w:divBdr>
            <w:top w:val="none" w:sz="0" w:space="0" w:color="auto"/>
            <w:left w:val="none" w:sz="0" w:space="0" w:color="auto"/>
            <w:bottom w:val="none" w:sz="0" w:space="0" w:color="auto"/>
            <w:right w:val="none" w:sz="0" w:space="0" w:color="auto"/>
          </w:divBdr>
        </w:div>
        <w:div w:id="1902135183">
          <w:marLeft w:val="640"/>
          <w:marRight w:val="0"/>
          <w:marTop w:val="0"/>
          <w:marBottom w:val="0"/>
          <w:divBdr>
            <w:top w:val="none" w:sz="0" w:space="0" w:color="auto"/>
            <w:left w:val="none" w:sz="0" w:space="0" w:color="auto"/>
            <w:bottom w:val="none" w:sz="0" w:space="0" w:color="auto"/>
            <w:right w:val="none" w:sz="0" w:space="0" w:color="auto"/>
          </w:divBdr>
        </w:div>
        <w:div w:id="1147013218">
          <w:marLeft w:val="640"/>
          <w:marRight w:val="0"/>
          <w:marTop w:val="0"/>
          <w:marBottom w:val="0"/>
          <w:divBdr>
            <w:top w:val="none" w:sz="0" w:space="0" w:color="auto"/>
            <w:left w:val="none" w:sz="0" w:space="0" w:color="auto"/>
            <w:bottom w:val="none" w:sz="0" w:space="0" w:color="auto"/>
            <w:right w:val="none" w:sz="0" w:space="0" w:color="auto"/>
          </w:divBdr>
        </w:div>
        <w:div w:id="504327075">
          <w:marLeft w:val="640"/>
          <w:marRight w:val="0"/>
          <w:marTop w:val="0"/>
          <w:marBottom w:val="0"/>
          <w:divBdr>
            <w:top w:val="none" w:sz="0" w:space="0" w:color="auto"/>
            <w:left w:val="none" w:sz="0" w:space="0" w:color="auto"/>
            <w:bottom w:val="none" w:sz="0" w:space="0" w:color="auto"/>
            <w:right w:val="none" w:sz="0" w:space="0" w:color="auto"/>
          </w:divBdr>
        </w:div>
        <w:div w:id="1648433876">
          <w:marLeft w:val="640"/>
          <w:marRight w:val="0"/>
          <w:marTop w:val="0"/>
          <w:marBottom w:val="0"/>
          <w:divBdr>
            <w:top w:val="none" w:sz="0" w:space="0" w:color="auto"/>
            <w:left w:val="none" w:sz="0" w:space="0" w:color="auto"/>
            <w:bottom w:val="none" w:sz="0" w:space="0" w:color="auto"/>
            <w:right w:val="none" w:sz="0" w:space="0" w:color="auto"/>
          </w:divBdr>
        </w:div>
        <w:div w:id="1221137849">
          <w:marLeft w:val="640"/>
          <w:marRight w:val="0"/>
          <w:marTop w:val="0"/>
          <w:marBottom w:val="0"/>
          <w:divBdr>
            <w:top w:val="none" w:sz="0" w:space="0" w:color="auto"/>
            <w:left w:val="none" w:sz="0" w:space="0" w:color="auto"/>
            <w:bottom w:val="none" w:sz="0" w:space="0" w:color="auto"/>
            <w:right w:val="none" w:sz="0" w:space="0" w:color="auto"/>
          </w:divBdr>
        </w:div>
        <w:div w:id="1889224692">
          <w:marLeft w:val="640"/>
          <w:marRight w:val="0"/>
          <w:marTop w:val="0"/>
          <w:marBottom w:val="0"/>
          <w:divBdr>
            <w:top w:val="none" w:sz="0" w:space="0" w:color="auto"/>
            <w:left w:val="none" w:sz="0" w:space="0" w:color="auto"/>
            <w:bottom w:val="none" w:sz="0" w:space="0" w:color="auto"/>
            <w:right w:val="none" w:sz="0" w:space="0" w:color="auto"/>
          </w:divBdr>
        </w:div>
        <w:div w:id="1767455397">
          <w:marLeft w:val="640"/>
          <w:marRight w:val="0"/>
          <w:marTop w:val="0"/>
          <w:marBottom w:val="0"/>
          <w:divBdr>
            <w:top w:val="none" w:sz="0" w:space="0" w:color="auto"/>
            <w:left w:val="none" w:sz="0" w:space="0" w:color="auto"/>
            <w:bottom w:val="none" w:sz="0" w:space="0" w:color="auto"/>
            <w:right w:val="none" w:sz="0" w:space="0" w:color="auto"/>
          </w:divBdr>
        </w:div>
        <w:div w:id="1715957160">
          <w:marLeft w:val="640"/>
          <w:marRight w:val="0"/>
          <w:marTop w:val="0"/>
          <w:marBottom w:val="0"/>
          <w:divBdr>
            <w:top w:val="none" w:sz="0" w:space="0" w:color="auto"/>
            <w:left w:val="none" w:sz="0" w:space="0" w:color="auto"/>
            <w:bottom w:val="none" w:sz="0" w:space="0" w:color="auto"/>
            <w:right w:val="none" w:sz="0" w:space="0" w:color="auto"/>
          </w:divBdr>
        </w:div>
        <w:div w:id="2107339240">
          <w:marLeft w:val="640"/>
          <w:marRight w:val="0"/>
          <w:marTop w:val="0"/>
          <w:marBottom w:val="0"/>
          <w:divBdr>
            <w:top w:val="none" w:sz="0" w:space="0" w:color="auto"/>
            <w:left w:val="none" w:sz="0" w:space="0" w:color="auto"/>
            <w:bottom w:val="none" w:sz="0" w:space="0" w:color="auto"/>
            <w:right w:val="none" w:sz="0" w:space="0" w:color="auto"/>
          </w:divBdr>
        </w:div>
        <w:div w:id="40830497">
          <w:marLeft w:val="640"/>
          <w:marRight w:val="0"/>
          <w:marTop w:val="0"/>
          <w:marBottom w:val="0"/>
          <w:divBdr>
            <w:top w:val="none" w:sz="0" w:space="0" w:color="auto"/>
            <w:left w:val="none" w:sz="0" w:space="0" w:color="auto"/>
            <w:bottom w:val="none" w:sz="0" w:space="0" w:color="auto"/>
            <w:right w:val="none" w:sz="0" w:space="0" w:color="auto"/>
          </w:divBdr>
        </w:div>
        <w:div w:id="841089292">
          <w:marLeft w:val="640"/>
          <w:marRight w:val="0"/>
          <w:marTop w:val="0"/>
          <w:marBottom w:val="0"/>
          <w:divBdr>
            <w:top w:val="none" w:sz="0" w:space="0" w:color="auto"/>
            <w:left w:val="none" w:sz="0" w:space="0" w:color="auto"/>
            <w:bottom w:val="none" w:sz="0" w:space="0" w:color="auto"/>
            <w:right w:val="none" w:sz="0" w:space="0" w:color="auto"/>
          </w:divBdr>
        </w:div>
        <w:div w:id="1143425792">
          <w:marLeft w:val="640"/>
          <w:marRight w:val="0"/>
          <w:marTop w:val="0"/>
          <w:marBottom w:val="0"/>
          <w:divBdr>
            <w:top w:val="none" w:sz="0" w:space="0" w:color="auto"/>
            <w:left w:val="none" w:sz="0" w:space="0" w:color="auto"/>
            <w:bottom w:val="none" w:sz="0" w:space="0" w:color="auto"/>
            <w:right w:val="none" w:sz="0" w:space="0" w:color="auto"/>
          </w:divBdr>
        </w:div>
        <w:div w:id="1740012461">
          <w:marLeft w:val="640"/>
          <w:marRight w:val="0"/>
          <w:marTop w:val="0"/>
          <w:marBottom w:val="0"/>
          <w:divBdr>
            <w:top w:val="none" w:sz="0" w:space="0" w:color="auto"/>
            <w:left w:val="none" w:sz="0" w:space="0" w:color="auto"/>
            <w:bottom w:val="none" w:sz="0" w:space="0" w:color="auto"/>
            <w:right w:val="none" w:sz="0" w:space="0" w:color="auto"/>
          </w:divBdr>
        </w:div>
        <w:div w:id="1352032286">
          <w:marLeft w:val="640"/>
          <w:marRight w:val="0"/>
          <w:marTop w:val="0"/>
          <w:marBottom w:val="0"/>
          <w:divBdr>
            <w:top w:val="none" w:sz="0" w:space="0" w:color="auto"/>
            <w:left w:val="none" w:sz="0" w:space="0" w:color="auto"/>
            <w:bottom w:val="none" w:sz="0" w:space="0" w:color="auto"/>
            <w:right w:val="none" w:sz="0" w:space="0" w:color="auto"/>
          </w:divBdr>
        </w:div>
        <w:div w:id="273441805">
          <w:marLeft w:val="640"/>
          <w:marRight w:val="0"/>
          <w:marTop w:val="0"/>
          <w:marBottom w:val="0"/>
          <w:divBdr>
            <w:top w:val="none" w:sz="0" w:space="0" w:color="auto"/>
            <w:left w:val="none" w:sz="0" w:space="0" w:color="auto"/>
            <w:bottom w:val="none" w:sz="0" w:space="0" w:color="auto"/>
            <w:right w:val="none" w:sz="0" w:space="0" w:color="auto"/>
          </w:divBdr>
        </w:div>
        <w:div w:id="1708749467">
          <w:marLeft w:val="640"/>
          <w:marRight w:val="0"/>
          <w:marTop w:val="0"/>
          <w:marBottom w:val="0"/>
          <w:divBdr>
            <w:top w:val="none" w:sz="0" w:space="0" w:color="auto"/>
            <w:left w:val="none" w:sz="0" w:space="0" w:color="auto"/>
            <w:bottom w:val="none" w:sz="0" w:space="0" w:color="auto"/>
            <w:right w:val="none" w:sz="0" w:space="0" w:color="auto"/>
          </w:divBdr>
        </w:div>
        <w:div w:id="1389570277">
          <w:marLeft w:val="640"/>
          <w:marRight w:val="0"/>
          <w:marTop w:val="0"/>
          <w:marBottom w:val="0"/>
          <w:divBdr>
            <w:top w:val="none" w:sz="0" w:space="0" w:color="auto"/>
            <w:left w:val="none" w:sz="0" w:space="0" w:color="auto"/>
            <w:bottom w:val="none" w:sz="0" w:space="0" w:color="auto"/>
            <w:right w:val="none" w:sz="0" w:space="0" w:color="auto"/>
          </w:divBdr>
        </w:div>
        <w:div w:id="1744182163">
          <w:marLeft w:val="640"/>
          <w:marRight w:val="0"/>
          <w:marTop w:val="0"/>
          <w:marBottom w:val="0"/>
          <w:divBdr>
            <w:top w:val="none" w:sz="0" w:space="0" w:color="auto"/>
            <w:left w:val="none" w:sz="0" w:space="0" w:color="auto"/>
            <w:bottom w:val="none" w:sz="0" w:space="0" w:color="auto"/>
            <w:right w:val="none" w:sz="0" w:space="0" w:color="auto"/>
          </w:divBdr>
        </w:div>
        <w:div w:id="1736469076">
          <w:marLeft w:val="640"/>
          <w:marRight w:val="0"/>
          <w:marTop w:val="0"/>
          <w:marBottom w:val="0"/>
          <w:divBdr>
            <w:top w:val="none" w:sz="0" w:space="0" w:color="auto"/>
            <w:left w:val="none" w:sz="0" w:space="0" w:color="auto"/>
            <w:bottom w:val="none" w:sz="0" w:space="0" w:color="auto"/>
            <w:right w:val="none" w:sz="0" w:space="0" w:color="auto"/>
          </w:divBdr>
        </w:div>
        <w:div w:id="803621882">
          <w:marLeft w:val="640"/>
          <w:marRight w:val="0"/>
          <w:marTop w:val="0"/>
          <w:marBottom w:val="0"/>
          <w:divBdr>
            <w:top w:val="none" w:sz="0" w:space="0" w:color="auto"/>
            <w:left w:val="none" w:sz="0" w:space="0" w:color="auto"/>
            <w:bottom w:val="none" w:sz="0" w:space="0" w:color="auto"/>
            <w:right w:val="none" w:sz="0" w:space="0" w:color="auto"/>
          </w:divBdr>
        </w:div>
        <w:div w:id="1499005197">
          <w:marLeft w:val="640"/>
          <w:marRight w:val="0"/>
          <w:marTop w:val="0"/>
          <w:marBottom w:val="0"/>
          <w:divBdr>
            <w:top w:val="none" w:sz="0" w:space="0" w:color="auto"/>
            <w:left w:val="none" w:sz="0" w:space="0" w:color="auto"/>
            <w:bottom w:val="none" w:sz="0" w:space="0" w:color="auto"/>
            <w:right w:val="none" w:sz="0" w:space="0" w:color="auto"/>
          </w:divBdr>
        </w:div>
        <w:div w:id="1751734415">
          <w:marLeft w:val="640"/>
          <w:marRight w:val="0"/>
          <w:marTop w:val="0"/>
          <w:marBottom w:val="0"/>
          <w:divBdr>
            <w:top w:val="none" w:sz="0" w:space="0" w:color="auto"/>
            <w:left w:val="none" w:sz="0" w:space="0" w:color="auto"/>
            <w:bottom w:val="none" w:sz="0" w:space="0" w:color="auto"/>
            <w:right w:val="none" w:sz="0" w:space="0" w:color="auto"/>
          </w:divBdr>
        </w:div>
        <w:div w:id="264003799">
          <w:marLeft w:val="640"/>
          <w:marRight w:val="0"/>
          <w:marTop w:val="0"/>
          <w:marBottom w:val="0"/>
          <w:divBdr>
            <w:top w:val="none" w:sz="0" w:space="0" w:color="auto"/>
            <w:left w:val="none" w:sz="0" w:space="0" w:color="auto"/>
            <w:bottom w:val="none" w:sz="0" w:space="0" w:color="auto"/>
            <w:right w:val="none" w:sz="0" w:space="0" w:color="auto"/>
          </w:divBdr>
        </w:div>
        <w:div w:id="971979952">
          <w:marLeft w:val="640"/>
          <w:marRight w:val="0"/>
          <w:marTop w:val="0"/>
          <w:marBottom w:val="0"/>
          <w:divBdr>
            <w:top w:val="none" w:sz="0" w:space="0" w:color="auto"/>
            <w:left w:val="none" w:sz="0" w:space="0" w:color="auto"/>
            <w:bottom w:val="none" w:sz="0" w:space="0" w:color="auto"/>
            <w:right w:val="none" w:sz="0" w:space="0" w:color="auto"/>
          </w:divBdr>
        </w:div>
        <w:div w:id="1358044446">
          <w:marLeft w:val="640"/>
          <w:marRight w:val="0"/>
          <w:marTop w:val="0"/>
          <w:marBottom w:val="0"/>
          <w:divBdr>
            <w:top w:val="none" w:sz="0" w:space="0" w:color="auto"/>
            <w:left w:val="none" w:sz="0" w:space="0" w:color="auto"/>
            <w:bottom w:val="none" w:sz="0" w:space="0" w:color="auto"/>
            <w:right w:val="none" w:sz="0" w:space="0" w:color="auto"/>
          </w:divBdr>
        </w:div>
        <w:div w:id="730731396">
          <w:marLeft w:val="640"/>
          <w:marRight w:val="0"/>
          <w:marTop w:val="0"/>
          <w:marBottom w:val="0"/>
          <w:divBdr>
            <w:top w:val="none" w:sz="0" w:space="0" w:color="auto"/>
            <w:left w:val="none" w:sz="0" w:space="0" w:color="auto"/>
            <w:bottom w:val="none" w:sz="0" w:space="0" w:color="auto"/>
            <w:right w:val="none" w:sz="0" w:space="0" w:color="auto"/>
          </w:divBdr>
        </w:div>
        <w:div w:id="881677056">
          <w:marLeft w:val="640"/>
          <w:marRight w:val="0"/>
          <w:marTop w:val="0"/>
          <w:marBottom w:val="0"/>
          <w:divBdr>
            <w:top w:val="none" w:sz="0" w:space="0" w:color="auto"/>
            <w:left w:val="none" w:sz="0" w:space="0" w:color="auto"/>
            <w:bottom w:val="none" w:sz="0" w:space="0" w:color="auto"/>
            <w:right w:val="none" w:sz="0" w:space="0" w:color="auto"/>
          </w:divBdr>
        </w:div>
        <w:div w:id="1267033739">
          <w:marLeft w:val="640"/>
          <w:marRight w:val="0"/>
          <w:marTop w:val="0"/>
          <w:marBottom w:val="0"/>
          <w:divBdr>
            <w:top w:val="none" w:sz="0" w:space="0" w:color="auto"/>
            <w:left w:val="none" w:sz="0" w:space="0" w:color="auto"/>
            <w:bottom w:val="none" w:sz="0" w:space="0" w:color="auto"/>
            <w:right w:val="none" w:sz="0" w:space="0" w:color="auto"/>
          </w:divBdr>
        </w:div>
        <w:div w:id="2069302807">
          <w:marLeft w:val="640"/>
          <w:marRight w:val="0"/>
          <w:marTop w:val="0"/>
          <w:marBottom w:val="0"/>
          <w:divBdr>
            <w:top w:val="none" w:sz="0" w:space="0" w:color="auto"/>
            <w:left w:val="none" w:sz="0" w:space="0" w:color="auto"/>
            <w:bottom w:val="none" w:sz="0" w:space="0" w:color="auto"/>
            <w:right w:val="none" w:sz="0" w:space="0" w:color="auto"/>
          </w:divBdr>
        </w:div>
        <w:div w:id="221598127">
          <w:marLeft w:val="640"/>
          <w:marRight w:val="0"/>
          <w:marTop w:val="0"/>
          <w:marBottom w:val="0"/>
          <w:divBdr>
            <w:top w:val="none" w:sz="0" w:space="0" w:color="auto"/>
            <w:left w:val="none" w:sz="0" w:space="0" w:color="auto"/>
            <w:bottom w:val="none" w:sz="0" w:space="0" w:color="auto"/>
            <w:right w:val="none" w:sz="0" w:space="0" w:color="auto"/>
          </w:divBdr>
        </w:div>
        <w:div w:id="1028483818">
          <w:marLeft w:val="640"/>
          <w:marRight w:val="0"/>
          <w:marTop w:val="0"/>
          <w:marBottom w:val="0"/>
          <w:divBdr>
            <w:top w:val="none" w:sz="0" w:space="0" w:color="auto"/>
            <w:left w:val="none" w:sz="0" w:space="0" w:color="auto"/>
            <w:bottom w:val="none" w:sz="0" w:space="0" w:color="auto"/>
            <w:right w:val="none" w:sz="0" w:space="0" w:color="auto"/>
          </w:divBdr>
        </w:div>
      </w:divsChild>
    </w:div>
    <w:div w:id="1253781646">
      <w:bodyDiv w:val="1"/>
      <w:marLeft w:val="0"/>
      <w:marRight w:val="0"/>
      <w:marTop w:val="0"/>
      <w:marBottom w:val="0"/>
      <w:divBdr>
        <w:top w:val="none" w:sz="0" w:space="0" w:color="auto"/>
        <w:left w:val="none" w:sz="0" w:space="0" w:color="auto"/>
        <w:bottom w:val="none" w:sz="0" w:space="0" w:color="auto"/>
        <w:right w:val="none" w:sz="0" w:space="0" w:color="auto"/>
      </w:divBdr>
    </w:div>
    <w:div w:id="1256598258">
      <w:bodyDiv w:val="1"/>
      <w:marLeft w:val="0"/>
      <w:marRight w:val="0"/>
      <w:marTop w:val="0"/>
      <w:marBottom w:val="0"/>
      <w:divBdr>
        <w:top w:val="none" w:sz="0" w:space="0" w:color="auto"/>
        <w:left w:val="none" w:sz="0" w:space="0" w:color="auto"/>
        <w:bottom w:val="none" w:sz="0" w:space="0" w:color="auto"/>
        <w:right w:val="none" w:sz="0" w:space="0" w:color="auto"/>
      </w:divBdr>
    </w:div>
    <w:div w:id="1257905494">
      <w:bodyDiv w:val="1"/>
      <w:marLeft w:val="0"/>
      <w:marRight w:val="0"/>
      <w:marTop w:val="0"/>
      <w:marBottom w:val="0"/>
      <w:divBdr>
        <w:top w:val="none" w:sz="0" w:space="0" w:color="auto"/>
        <w:left w:val="none" w:sz="0" w:space="0" w:color="auto"/>
        <w:bottom w:val="none" w:sz="0" w:space="0" w:color="auto"/>
        <w:right w:val="none" w:sz="0" w:space="0" w:color="auto"/>
      </w:divBdr>
    </w:div>
    <w:div w:id="1258057659">
      <w:bodyDiv w:val="1"/>
      <w:marLeft w:val="0"/>
      <w:marRight w:val="0"/>
      <w:marTop w:val="0"/>
      <w:marBottom w:val="0"/>
      <w:divBdr>
        <w:top w:val="none" w:sz="0" w:space="0" w:color="auto"/>
        <w:left w:val="none" w:sz="0" w:space="0" w:color="auto"/>
        <w:bottom w:val="none" w:sz="0" w:space="0" w:color="auto"/>
        <w:right w:val="none" w:sz="0" w:space="0" w:color="auto"/>
      </w:divBdr>
    </w:div>
    <w:div w:id="1258712873">
      <w:bodyDiv w:val="1"/>
      <w:marLeft w:val="0"/>
      <w:marRight w:val="0"/>
      <w:marTop w:val="0"/>
      <w:marBottom w:val="0"/>
      <w:divBdr>
        <w:top w:val="none" w:sz="0" w:space="0" w:color="auto"/>
        <w:left w:val="none" w:sz="0" w:space="0" w:color="auto"/>
        <w:bottom w:val="none" w:sz="0" w:space="0" w:color="auto"/>
        <w:right w:val="none" w:sz="0" w:space="0" w:color="auto"/>
      </w:divBdr>
    </w:div>
    <w:div w:id="1259798816">
      <w:bodyDiv w:val="1"/>
      <w:marLeft w:val="0"/>
      <w:marRight w:val="0"/>
      <w:marTop w:val="0"/>
      <w:marBottom w:val="0"/>
      <w:divBdr>
        <w:top w:val="none" w:sz="0" w:space="0" w:color="auto"/>
        <w:left w:val="none" w:sz="0" w:space="0" w:color="auto"/>
        <w:bottom w:val="none" w:sz="0" w:space="0" w:color="auto"/>
        <w:right w:val="none" w:sz="0" w:space="0" w:color="auto"/>
      </w:divBdr>
    </w:div>
    <w:div w:id="1261909634">
      <w:bodyDiv w:val="1"/>
      <w:marLeft w:val="0"/>
      <w:marRight w:val="0"/>
      <w:marTop w:val="0"/>
      <w:marBottom w:val="0"/>
      <w:divBdr>
        <w:top w:val="none" w:sz="0" w:space="0" w:color="auto"/>
        <w:left w:val="none" w:sz="0" w:space="0" w:color="auto"/>
        <w:bottom w:val="none" w:sz="0" w:space="0" w:color="auto"/>
        <w:right w:val="none" w:sz="0" w:space="0" w:color="auto"/>
      </w:divBdr>
    </w:div>
    <w:div w:id="1262758861">
      <w:bodyDiv w:val="1"/>
      <w:marLeft w:val="0"/>
      <w:marRight w:val="0"/>
      <w:marTop w:val="0"/>
      <w:marBottom w:val="0"/>
      <w:divBdr>
        <w:top w:val="none" w:sz="0" w:space="0" w:color="auto"/>
        <w:left w:val="none" w:sz="0" w:space="0" w:color="auto"/>
        <w:bottom w:val="none" w:sz="0" w:space="0" w:color="auto"/>
        <w:right w:val="none" w:sz="0" w:space="0" w:color="auto"/>
      </w:divBdr>
      <w:divsChild>
        <w:div w:id="170292779">
          <w:marLeft w:val="640"/>
          <w:marRight w:val="0"/>
          <w:marTop w:val="0"/>
          <w:marBottom w:val="0"/>
          <w:divBdr>
            <w:top w:val="none" w:sz="0" w:space="0" w:color="auto"/>
            <w:left w:val="none" w:sz="0" w:space="0" w:color="auto"/>
            <w:bottom w:val="none" w:sz="0" w:space="0" w:color="auto"/>
            <w:right w:val="none" w:sz="0" w:space="0" w:color="auto"/>
          </w:divBdr>
        </w:div>
        <w:div w:id="33582343">
          <w:marLeft w:val="640"/>
          <w:marRight w:val="0"/>
          <w:marTop w:val="0"/>
          <w:marBottom w:val="0"/>
          <w:divBdr>
            <w:top w:val="none" w:sz="0" w:space="0" w:color="auto"/>
            <w:left w:val="none" w:sz="0" w:space="0" w:color="auto"/>
            <w:bottom w:val="none" w:sz="0" w:space="0" w:color="auto"/>
            <w:right w:val="none" w:sz="0" w:space="0" w:color="auto"/>
          </w:divBdr>
        </w:div>
        <w:div w:id="1174030272">
          <w:marLeft w:val="640"/>
          <w:marRight w:val="0"/>
          <w:marTop w:val="0"/>
          <w:marBottom w:val="0"/>
          <w:divBdr>
            <w:top w:val="none" w:sz="0" w:space="0" w:color="auto"/>
            <w:left w:val="none" w:sz="0" w:space="0" w:color="auto"/>
            <w:bottom w:val="none" w:sz="0" w:space="0" w:color="auto"/>
            <w:right w:val="none" w:sz="0" w:space="0" w:color="auto"/>
          </w:divBdr>
        </w:div>
        <w:div w:id="733116860">
          <w:marLeft w:val="640"/>
          <w:marRight w:val="0"/>
          <w:marTop w:val="0"/>
          <w:marBottom w:val="0"/>
          <w:divBdr>
            <w:top w:val="none" w:sz="0" w:space="0" w:color="auto"/>
            <w:left w:val="none" w:sz="0" w:space="0" w:color="auto"/>
            <w:bottom w:val="none" w:sz="0" w:space="0" w:color="auto"/>
            <w:right w:val="none" w:sz="0" w:space="0" w:color="auto"/>
          </w:divBdr>
        </w:div>
        <w:div w:id="1002195524">
          <w:marLeft w:val="640"/>
          <w:marRight w:val="0"/>
          <w:marTop w:val="0"/>
          <w:marBottom w:val="0"/>
          <w:divBdr>
            <w:top w:val="none" w:sz="0" w:space="0" w:color="auto"/>
            <w:left w:val="none" w:sz="0" w:space="0" w:color="auto"/>
            <w:bottom w:val="none" w:sz="0" w:space="0" w:color="auto"/>
            <w:right w:val="none" w:sz="0" w:space="0" w:color="auto"/>
          </w:divBdr>
        </w:div>
        <w:div w:id="814569442">
          <w:marLeft w:val="640"/>
          <w:marRight w:val="0"/>
          <w:marTop w:val="0"/>
          <w:marBottom w:val="0"/>
          <w:divBdr>
            <w:top w:val="none" w:sz="0" w:space="0" w:color="auto"/>
            <w:left w:val="none" w:sz="0" w:space="0" w:color="auto"/>
            <w:bottom w:val="none" w:sz="0" w:space="0" w:color="auto"/>
            <w:right w:val="none" w:sz="0" w:space="0" w:color="auto"/>
          </w:divBdr>
        </w:div>
        <w:div w:id="314383053">
          <w:marLeft w:val="640"/>
          <w:marRight w:val="0"/>
          <w:marTop w:val="0"/>
          <w:marBottom w:val="0"/>
          <w:divBdr>
            <w:top w:val="none" w:sz="0" w:space="0" w:color="auto"/>
            <w:left w:val="none" w:sz="0" w:space="0" w:color="auto"/>
            <w:bottom w:val="none" w:sz="0" w:space="0" w:color="auto"/>
            <w:right w:val="none" w:sz="0" w:space="0" w:color="auto"/>
          </w:divBdr>
        </w:div>
        <w:div w:id="985888856">
          <w:marLeft w:val="640"/>
          <w:marRight w:val="0"/>
          <w:marTop w:val="0"/>
          <w:marBottom w:val="0"/>
          <w:divBdr>
            <w:top w:val="none" w:sz="0" w:space="0" w:color="auto"/>
            <w:left w:val="none" w:sz="0" w:space="0" w:color="auto"/>
            <w:bottom w:val="none" w:sz="0" w:space="0" w:color="auto"/>
            <w:right w:val="none" w:sz="0" w:space="0" w:color="auto"/>
          </w:divBdr>
        </w:div>
        <w:div w:id="1998848592">
          <w:marLeft w:val="640"/>
          <w:marRight w:val="0"/>
          <w:marTop w:val="0"/>
          <w:marBottom w:val="0"/>
          <w:divBdr>
            <w:top w:val="none" w:sz="0" w:space="0" w:color="auto"/>
            <w:left w:val="none" w:sz="0" w:space="0" w:color="auto"/>
            <w:bottom w:val="none" w:sz="0" w:space="0" w:color="auto"/>
            <w:right w:val="none" w:sz="0" w:space="0" w:color="auto"/>
          </w:divBdr>
        </w:div>
        <w:div w:id="852108713">
          <w:marLeft w:val="640"/>
          <w:marRight w:val="0"/>
          <w:marTop w:val="0"/>
          <w:marBottom w:val="0"/>
          <w:divBdr>
            <w:top w:val="none" w:sz="0" w:space="0" w:color="auto"/>
            <w:left w:val="none" w:sz="0" w:space="0" w:color="auto"/>
            <w:bottom w:val="none" w:sz="0" w:space="0" w:color="auto"/>
            <w:right w:val="none" w:sz="0" w:space="0" w:color="auto"/>
          </w:divBdr>
        </w:div>
        <w:div w:id="1694183021">
          <w:marLeft w:val="640"/>
          <w:marRight w:val="0"/>
          <w:marTop w:val="0"/>
          <w:marBottom w:val="0"/>
          <w:divBdr>
            <w:top w:val="none" w:sz="0" w:space="0" w:color="auto"/>
            <w:left w:val="none" w:sz="0" w:space="0" w:color="auto"/>
            <w:bottom w:val="none" w:sz="0" w:space="0" w:color="auto"/>
            <w:right w:val="none" w:sz="0" w:space="0" w:color="auto"/>
          </w:divBdr>
        </w:div>
        <w:div w:id="464472269">
          <w:marLeft w:val="640"/>
          <w:marRight w:val="0"/>
          <w:marTop w:val="0"/>
          <w:marBottom w:val="0"/>
          <w:divBdr>
            <w:top w:val="none" w:sz="0" w:space="0" w:color="auto"/>
            <w:left w:val="none" w:sz="0" w:space="0" w:color="auto"/>
            <w:bottom w:val="none" w:sz="0" w:space="0" w:color="auto"/>
            <w:right w:val="none" w:sz="0" w:space="0" w:color="auto"/>
          </w:divBdr>
        </w:div>
        <w:div w:id="2029913022">
          <w:marLeft w:val="640"/>
          <w:marRight w:val="0"/>
          <w:marTop w:val="0"/>
          <w:marBottom w:val="0"/>
          <w:divBdr>
            <w:top w:val="none" w:sz="0" w:space="0" w:color="auto"/>
            <w:left w:val="none" w:sz="0" w:space="0" w:color="auto"/>
            <w:bottom w:val="none" w:sz="0" w:space="0" w:color="auto"/>
            <w:right w:val="none" w:sz="0" w:space="0" w:color="auto"/>
          </w:divBdr>
        </w:div>
        <w:div w:id="101388596">
          <w:marLeft w:val="640"/>
          <w:marRight w:val="0"/>
          <w:marTop w:val="0"/>
          <w:marBottom w:val="0"/>
          <w:divBdr>
            <w:top w:val="none" w:sz="0" w:space="0" w:color="auto"/>
            <w:left w:val="none" w:sz="0" w:space="0" w:color="auto"/>
            <w:bottom w:val="none" w:sz="0" w:space="0" w:color="auto"/>
            <w:right w:val="none" w:sz="0" w:space="0" w:color="auto"/>
          </w:divBdr>
        </w:div>
        <w:div w:id="325326325">
          <w:marLeft w:val="640"/>
          <w:marRight w:val="0"/>
          <w:marTop w:val="0"/>
          <w:marBottom w:val="0"/>
          <w:divBdr>
            <w:top w:val="none" w:sz="0" w:space="0" w:color="auto"/>
            <w:left w:val="none" w:sz="0" w:space="0" w:color="auto"/>
            <w:bottom w:val="none" w:sz="0" w:space="0" w:color="auto"/>
            <w:right w:val="none" w:sz="0" w:space="0" w:color="auto"/>
          </w:divBdr>
        </w:div>
        <w:div w:id="1487866040">
          <w:marLeft w:val="640"/>
          <w:marRight w:val="0"/>
          <w:marTop w:val="0"/>
          <w:marBottom w:val="0"/>
          <w:divBdr>
            <w:top w:val="none" w:sz="0" w:space="0" w:color="auto"/>
            <w:left w:val="none" w:sz="0" w:space="0" w:color="auto"/>
            <w:bottom w:val="none" w:sz="0" w:space="0" w:color="auto"/>
            <w:right w:val="none" w:sz="0" w:space="0" w:color="auto"/>
          </w:divBdr>
        </w:div>
        <w:div w:id="1937901168">
          <w:marLeft w:val="640"/>
          <w:marRight w:val="0"/>
          <w:marTop w:val="0"/>
          <w:marBottom w:val="0"/>
          <w:divBdr>
            <w:top w:val="none" w:sz="0" w:space="0" w:color="auto"/>
            <w:left w:val="none" w:sz="0" w:space="0" w:color="auto"/>
            <w:bottom w:val="none" w:sz="0" w:space="0" w:color="auto"/>
            <w:right w:val="none" w:sz="0" w:space="0" w:color="auto"/>
          </w:divBdr>
        </w:div>
        <w:div w:id="2089687531">
          <w:marLeft w:val="640"/>
          <w:marRight w:val="0"/>
          <w:marTop w:val="0"/>
          <w:marBottom w:val="0"/>
          <w:divBdr>
            <w:top w:val="none" w:sz="0" w:space="0" w:color="auto"/>
            <w:left w:val="none" w:sz="0" w:space="0" w:color="auto"/>
            <w:bottom w:val="none" w:sz="0" w:space="0" w:color="auto"/>
            <w:right w:val="none" w:sz="0" w:space="0" w:color="auto"/>
          </w:divBdr>
        </w:div>
        <w:div w:id="1244874982">
          <w:marLeft w:val="640"/>
          <w:marRight w:val="0"/>
          <w:marTop w:val="0"/>
          <w:marBottom w:val="0"/>
          <w:divBdr>
            <w:top w:val="none" w:sz="0" w:space="0" w:color="auto"/>
            <w:left w:val="none" w:sz="0" w:space="0" w:color="auto"/>
            <w:bottom w:val="none" w:sz="0" w:space="0" w:color="auto"/>
            <w:right w:val="none" w:sz="0" w:space="0" w:color="auto"/>
          </w:divBdr>
        </w:div>
        <w:div w:id="992685879">
          <w:marLeft w:val="640"/>
          <w:marRight w:val="0"/>
          <w:marTop w:val="0"/>
          <w:marBottom w:val="0"/>
          <w:divBdr>
            <w:top w:val="none" w:sz="0" w:space="0" w:color="auto"/>
            <w:left w:val="none" w:sz="0" w:space="0" w:color="auto"/>
            <w:bottom w:val="none" w:sz="0" w:space="0" w:color="auto"/>
            <w:right w:val="none" w:sz="0" w:space="0" w:color="auto"/>
          </w:divBdr>
        </w:div>
        <w:div w:id="1491022215">
          <w:marLeft w:val="640"/>
          <w:marRight w:val="0"/>
          <w:marTop w:val="0"/>
          <w:marBottom w:val="0"/>
          <w:divBdr>
            <w:top w:val="none" w:sz="0" w:space="0" w:color="auto"/>
            <w:left w:val="none" w:sz="0" w:space="0" w:color="auto"/>
            <w:bottom w:val="none" w:sz="0" w:space="0" w:color="auto"/>
            <w:right w:val="none" w:sz="0" w:space="0" w:color="auto"/>
          </w:divBdr>
        </w:div>
        <w:div w:id="462894236">
          <w:marLeft w:val="640"/>
          <w:marRight w:val="0"/>
          <w:marTop w:val="0"/>
          <w:marBottom w:val="0"/>
          <w:divBdr>
            <w:top w:val="none" w:sz="0" w:space="0" w:color="auto"/>
            <w:left w:val="none" w:sz="0" w:space="0" w:color="auto"/>
            <w:bottom w:val="none" w:sz="0" w:space="0" w:color="auto"/>
            <w:right w:val="none" w:sz="0" w:space="0" w:color="auto"/>
          </w:divBdr>
        </w:div>
        <w:div w:id="1363675227">
          <w:marLeft w:val="640"/>
          <w:marRight w:val="0"/>
          <w:marTop w:val="0"/>
          <w:marBottom w:val="0"/>
          <w:divBdr>
            <w:top w:val="none" w:sz="0" w:space="0" w:color="auto"/>
            <w:left w:val="none" w:sz="0" w:space="0" w:color="auto"/>
            <w:bottom w:val="none" w:sz="0" w:space="0" w:color="auto"/>
            <w:right w:val="none" w:sz="0" w:space="0" w:color="auto"/>
          </w:divBdr>
        </w:div>
        <w:div w:id="112528247">
          <w:marLeft w:val="640"/>
          <w:marRight w:val="0"/>
          <w:marTop w:val="0"/>
          <w:marBottom w:val="0"/>
          <w:divBdr>
            <w:top w:val="none" w:sz="0" w:space="0" w:color="auto"/>
            <w:left w:val="none" w:sz="0" w:space="0" w:color="auto"/>
            <w:bottom w:val="none" w:sz="0" w:space="0" w:color="auto"/>
            <w:right w:val="none" w:sz="0" w:space="0" w:color="auto"/>
          </w:divBdr>
        </w:div>
        <w:div w:id="1918318749">
          <w:marLeft w:val="640"/>
          <w:marRight w:val="0"/>
          <w:marTop w:val="0"/>
          <w:marBottom w:val="0"/>
          <w:divBdr>
            <w:top w:val="none" w:sz="0" w:space="0" w:color="auto"/>
            <w:left w:val="none" w:sz="0" w:space="0" w:color="auto"/>
            <w:bottom w:val="none" w:sz="0" w:space="0" w:color="auto"/>
            <w:right w:val="none" w:sz="0" w:space="0" w:color="auto"/>
          </w:divBdr>
        </w:div>
        <w:div w:id="1900745736">
          <w:marLeft w:val="640"/>
          <w:marRight w:val="0"/>
          <w:marTop w:val="0"/>
          <w:marBottom w:val="0"/>
          <w:divBdr>
            <w:top w:val="none" w:sz="0" w:space="0" w:color="auto"/>
            <w:left w:val="none" w:sz="0" w:space="0" w:color="auto"/>
            <w:bottom w:val="none" w:sz="0" w:space="0" w:color="auto"/>
            <w:right w:val="none" w:sz="0" w:space="0" w:color="auto"/>
          </w:divBdr>
        </w:div>
        <w:div w:id="124742412">
          <w:marLeft w:val="640"/>
          <w:marRight w:val="0"/>
          <w:marTop w:val="0"/>
          <w:marBottom w:val="0"/>
          <w:divBdr>
            <w:top w:val="none" w:sz="0" w:space="0" w:color="auto"/>
            <w:left w:val="none" w:sz="0" w:space="0" w:color="auto"/>
            <w:bottom w:val="none" w:sz="0" w:space="0" w:color="auto"/>
            <w:right w:val="none" w:sz="0" w:space="0" w:color="auto"/>
          </w:divBdr>
        </w:div>
        <w:div w:id="1428576665">
          <w:marLeft w:val="640"/>
          <w:marRight w:val="0"/>
          <w:marTop w:val="0"/>
          <w:marBottom w:val="0"/>
          <w:divBdr>
            <w:top w:val="none" w:sz="0" w:space="0" w:color="auto"/>
            <w:left w:val="none" w:sz="0" w:space="0" w:color="auto"/>
            <w:bottom w:val="none" w:sz="0" w:space="0" w:color="auto"/>
            <w:right w:val="none" w:sz="0" w:space="0" w:color="auto"/>
          </w:divBdr>
        </w:div>
        <w:div w:id="1387337685">
          <w:marLeft w:val="640"/>
          <w:marRight w:val="0"/>
          <w:marTop w:val="0"/>
          <w:marBottom w:val="0"/>
          <w:divBdr>
            <w:top w:val="none" w:sz="0" w:space="0" w:color="auto"/>
            <w:left w:val="none" w:sz="0" w:space="0" w:color="auto"/>
            <w:bottom w:val="none" w:sz="0" w:space="0" w:color="auto"/>
            <w:right w:val="none" w:sz="0" w:space="0" w:color="auto"/>
          </w:divBdr>
        </w:div>
        <w:div w:id="1312518515">
          <w:marLeft w:val="640"/>
          <w:marRight w:val="0"/>
          <w:marTop w:val="0"/>
          <w:marBottom w:val="0"/>
          <w:divBdr>
            <w:top w:val="none" w:sz="0" w:space="0" w:color="auto"/>
            <w:left w:val="none" w:sz="0" w:space="0" w:color="auto"/>
            <w:bottom w:val="none" w:sz="0" w:space="0" w:color="auto"/>
            <w:right w:val="none" w:sz="0" w:space="0" w:color="auto"/>
          </w:divBdr>
        </w:div>
        <w:div w:id="1778940168">
          <w:marLeft w:val="640"/>
          <w:marRight w:val="0"/>
          <w:marTop w:val="0"/>
          <w:marBottom w:val="0"/>
          <w:divBdr>
            <w:top w:val="none" w:sz="0" w:space="0" w:color="auto"/>
            <w:left w:val="none" w:sz="0" w:space="0" w:color="auto"/>
            <w:bottom w:val="none" w:sz="0" w:space="0" w:color="auto"/>
            <w:right w:val="none" w:sz="0" w:space="0" w:color="auto"/>
          </w:divBdr>
        </w:div>
        <w:div w:id="1611936357">
          <w:marLeft w:val="640"/>
          <w:marRight w:val="0"/>
          <w:marTop w:val="0"/>
          <w:marBottom w:val="0"/>
          <w:divBdr>
            <w:top w:val="none" w:sz="0" w:space="0" w:color="auto"/>
            <w:left w:val="none" w:sz="0" w:space="0" w:color="auto"/>
            <w:bottom w:val="none" w:sz="0" w:space="0" w:color="auto"/>
            <w:right w:val="none" w:sz="0" w:space="0" w:color="auto"/>
          </w:divBdr>
        </w:div>
        <w:div w:id="1367482129">
          <w:marLeft w:val="640"/>
          <w:marRight w:val="0"/>
          <w:marTop w:val="0"/>
          <w:marBottom w:val="0"/>
          <w:divBdr>
            <w:top w:val="none" w:sz="0" w:space="0" w:color="auto"/>
            <w:left w:val="none" w:sz="0" w:space="0" w:color="auto"/>
            <w:bottom w:val="none" w:sz="0" w:space="0" w:color="auto"/>
            <w:right w:val="none" w:sz="0" w:space="0" w:color="auto"/>
          </w:divBdr>
        </w:div>
        <w:div w:id="1687517273">
          <w:marLeft w:val="640"/>
          <w:marRight w:val="0"/>
          <w:marTop w:val="0"/>
          <w:marBottom w:val="0"/>
          <w:divBdr>
            <w:top w:val="none" w:sz="0" w:space="0" w:color="auto"/>
            <w:left w:val="none" w:sz="0" w:space="0" w:color="auto"/>
            <w:bottom w:val="none" w:sz="0" w:space="0" w:color="auto"/>
            <w:right w:val="none" w:sz="0" w:space="0" w:color="auto"/>
          </w:divBdr>
        </w:div>
        <w:div w:id="259726348">
          <w:marLeft w:val="640"/>
          <w:marRight w:val="0"/>
          <w:marTop w:val="0"/>
          <w:marBottom w:val="0"/>
          <w:divBdr>
            <w:top w:val="none" w:sz="0" w:space="0" w:color="auto"/>
            <w:left w:val="none" w:sz="0" w:space="0" w:color="auto"/>
            <w:bottom w:val="none" w:sz="0" w:space="0" w:color="auto"/>
            <w:right w:val="none" w:sz="0" w:space="0" w:color="auto"/>
          </w:divBdr>
        </w:div>
        <w:div w:id="36704858">
          <w:marLeft w:val="640"/>
          <w:marRight w:val="0"/>
          <w:marTop w:val="0"/>
          <w:marBottom w:val="0"/>
          <w:divBdr>
            <w:top w:val="none" w:sz="0" w:space="0" w:color="auto"/>
            <w:left w:val="none" w:sz="0" w:space="0" w:color="auto"/>
            <w:bottom w:val="none" w:sz="0" w:space="0" w:color="auto"/>
            <w:right w:val="none" w:sz="0" w:space="0" w:color="auto"/>
          </w:divBdr>
        </w:div>
        <w:div w:id="641736567">
          <w:marLeft w:val="640"/>
          <w:marRight w:val="0"/>
          <w:marTop w:val="0"/>
          <w:marBottom w:val="0"/>
          <w:divBdr>
            <w:top w:val="none" w:sz="0" w:space="0" w:color="auto"/>
            <w:left w:val="none" w:sz="0" w:space="0" w:color="auto"/>
            <w:bottom w:val="none" w:sz="0" w:space="0" w:color="auto"/>
            <w:right w:val="none" w:sz="0" w:space="0" w:color="auto"/>
          </w:divBdr>
        </w:div>
        <w:div w:id="926619267">
          <w:marLeft w:val="640"/>
          <w:marRight w:val="0"/>
          <w:marTop w:val="0"/>
          <w:marBottom w:val="0"/>
          <w:divBdr>
            <w:top w:val="none" w:sz="0" w:space="0" w:color="auto"/>
            <w:left w:val="none" w:sz="0" w:space="0" w:color="auto"/>
            <w:bottom w:val="none" w:sz="0" w:space="0" w:color="auto"/>
            <w:right w:val="none" w:sz="0" w:space="0" w:color="auto"/>
          </w:divBdr>
        </w:div>
        <w:div w:id="685057986">
          <w:marLeft w:val="640"/>
          <w:marRight w:val="0"/>
          <w:marTop w:val="0"/>
          <w:marBottom w:val="0"/>
          <w:divBdr>
            <w:top w:val="none" w:sz="0" w:space="0" w:color="auto"/>
            <w:left w:val="none" w:sz="0" w:space="0" w:color="auto"/>
            <w:bottom w:val="none" w:sz="0" w:space="0" w:color="auto"/>
            <w:right w:val="none" w:sz="0" w:space="0" w:color="auto"/>
          </w:divBdr>
        </w:div>
        <w:div w:id="1347513186">
          <w:marLeft w:val="640"/>
          <w:marRight w:val="0"/>
          <w:marTop w:val="0"/>
          <w:marBottom w:val="0"/>
          <w:divBdr>
            <w:top w:val="none" w:sz="0" w:space="0" w:color="auto"/>
            <w:left w:val="none" w:sz="0" w:space="0" w:color="auto"/>
            <w:bottom w:val="none" w:sz="0" w:space="0" w:color="auto"/>
            <w:right w:val="none" w:sz="0" w:space="0" w:color="auto"/>
          </w:divBdr>
        </w:div>
        <w:div w:id="1087772211">
          <w:marLeft w:val="640"/>
          <w:marRight w:val="0"/>
          <w:marTop w:val="0"/>
          <w:marBottom w:val="0"/>
          <w:divBdr>
            <w:top w:val="none" w:sz="0" w:space="0" w:color="auto"/>
            <w:left w:val="none" w:sz="0" w:space="0" w:color="auto"/>
            <w:bottom w:val="none" w:sz="0" w:space="0" w:color="auto"/>
            <w:right w:val="none" w:sz="0" w:space="0" w:color="auto"/>
          </w:divBdr>
        </w:div>
        <w:div w:id="1012562800">
          <w:marLeft w:val="640"/>
          <w:marRight w:val="0"/>
          <w:marTop w:val="0"/>
          <w:marBottom w:val="0"/>
          <w:divBdr>
            <w:top w:val="none" w:sz="0" w:space="0" w:color="auto"/>
            <w:left w:val="none" w:sz="0" w:space="0" w:color="auto"/>
            <w:bottom w:val="none" w:sz="0" w:space="0" w:color="auto"/>
            <w:right w:val="none" w:sz="0" w:space="0" w:color="auto"/>
          </w:divBdr>
        </w:div>
        <w:div w:id="722676279">
          <w:marLeft w:val="640"/>
          <w:marRight w:val="0"/>
          <w:marTop w:val="0"/>
          <w:marBottom w:val="0"/>
          <w:divBdr>
            <w:top w:val="none" w:sz="0" w:space="0" w:color="auto"/>
            <w:left w:val="none" w:sz="0" w:space="0" w:color="auto"/>
            <w:bottom w:val="none" w:sz="0" w:space="0" w:color="auto"/>
            <w:right w:val="none" w:sz="0" w:space="0" w:color="auto"/>
          </w:divBdr>
        </w:div>
        <w:div w:id="125659328">
          <w:marLeft w:val="640"/>
          <w:marRight w:val="0"/>
          <w:marTop w:val="0"/>
          <w:marBottom w:val="0"/>
          <w:divBdr>
            <w:top w:val="none" w:sz="0" w:space="0" w:color="auto"/>
            <w:left w:val="none" w:sz="0" w:space="0" w:color="auto"/>
            <w:bottom w:val="none" w:sz="0" w:space="0" w:color="auto"/>
            <w:right w:val="none" w:sz="0" w:space="0" w:color="auto"/>
          </w:divBdr>
        </w:div>
        <w:div w:id="726027356">
          <w:marLeft w:val="640"/>
          <w:marRight w:val="0"/>
          <w:marTop w:val="0"/>
          <w:marBottom w:val="0"/>
          <w:divBdr>
            <w:top w:val="none" w:sz="0" w:space="0" w:color="auto"/>
            <w:left w:val="none" w:sz="0" w:space="0" w:color="auto"/>
            <w:bottom w:val="none" w:sz="0" w:space="0" w:color="auto"/>
            <w:right w:val="none" w:sz="0" w:space="0" w:color="auto"/>
          </w:divBdr>
        </w:div>
        <w:div w:id="325479020">
          <w:marLeft w:val="640"/>
          <w:marRight w:val="0"/>
          <w:marTop w:val="0"/>
          <w:marBottom w:val="0"/>
          <w:divBdr>
            <w:top w:val="none" w:sz="0" w:space="0" w:color="auto"/>
            <w:left w:val="none" w:sz="0" w:space="0" w:color="auto"/>
            <w:bottom w:val="none" w:sz="0" w:space="0" w:color="auto"/>
            <w:right w:val="none" w:sz="0" w:space="0" w:color="auto"/>
          </w:divBdr>
        </w:div>
        <w:div w:id="1203666005">
          <w:marLeft w:val="640"/>
          <w:marRight w:val="0"/>
          <w:marTop w:val="0"/>
          <w:marBottom w:val="0"/>
          <w:divBdr>
            <w:top w:val="none" w:sz="0" w:space="0" w:color="auto"/>
            <w:left w:val="none" w:sz="0" w:space="0" w:color="auto"/>
            <w:bottom w:val="none" w:sz="0" w:space="0" w:color="auto"/>
            <w:right w:val="none" w:sz="0" w:space="0" w:color="auto"/>
          </w:divBdr>
        </w:div>
        <w:div w:id="2000881719">
          <w:marLeft w:val="640"/>
          <w:marRight w:val="0"/>
          <w:marTop w:val="0"/>
          <w:marBottom w:val="0"/>
          <w:divBdr>
            <w:top w:val="none" w:sz="0" w:space="0" w:color="auto"/>
            <w:left w:val="none" w:sz="0" w:space="0" w:color="auto"/>
            <w:bottom w:val="none" w:sz="0" w:space="0" w:color="auto"/>
            <w:right w:val="none" w:sz="0" w:space="0" w:color="auto"/>
          </w:divBdr>
        </w:div>
        <w:div w:id="766653029">
          <w:marLeft w:val="640"/>
          <w:marRight w:val="0"/>
          <w:marTop w:val="0"/>
          <w:marBottom w:val="0"/>
          <w:divBdr>
            <w:top w:val="none" w:sz="0" w:space="0" w:color="auto"/>
            <w:left w:val="none" w:sz="0" w:space="0" w:color="auto"/>
            <w:bottom w:val="none" w:sz="0" w:space="0" w:color="auto"/>
            <w:right w:val="none" w:sz="0" w:space="0" w:color="auto"/>
          </w:divBdr>
        </w:div>
        <w:div w:id="1415010517">
          <w:marLeft w:val="640"/>
          <w:marRight w:val="0"/>
          <w:marTop w:val="0"/>
          <w:marBottom w:val="0"/>
          <w:divBdr>
            <w:top w:val="none" w:sz="0" w:space="0" w:color="auto"/>
            <w:left w:val="none" w:sz="0" w:space="0" w:color="auto"/>
            <w:bottom w:val="none" w:sz="0" w:space="0" w:color="auto"/>
            <w:right w:val="none" w:sz="0" w:space="0" w:color="auto"/>
          </w:divBdr>
        </w:div>
        <w:div w:id="111443929">
          <w:marLeft w:val="640"/>
          <w:marRight w:val="0"/>
          <w:marTop w:val="0"/>
          <w:marBottom w:val="0"/>
          <w:divBdr>
            <w:top w:val="none" w:sz="0" w:space="0" w:color="auto"/>
            <w:left w:val="none" w:sz="0" w:space="0" w:color="auto"/>
            <w:bottom w:val="none" w:sz="0" w:space="0" w:color="auto"/>
            <w:right w:val="none" w:sz="0" w:space="0" w:color="auto"/>
          </w:divBdr>
        </w:div>
        <w:div w:id="1434937837">
          <w:marLeft w:val="640"/>
          <w:marRight w:val="0"/>
          <w:marTop w:val="0"/>
          <w:marBottom w:val="0"/>
          <w:divBdr>
            <w:top w:val="none" w:sz="0" w:space="0" w:color="auto"/>
            <w:left w:val="none" w:sz="0" w:space="0" w:color="auto"/>
            <w:bottom w:val="none" w:sz="0" w:space="0" w:color="auto"/>
            <w:right w:val="none" w:sz="0" w:space="0" w:color="auto"/>
          </w:divBdr>
        </w:div>
        <w:div w:id="1401057009">
          <w:marLeft w:val="640"/>
          <w:marRight w:val="0"/>
          <w:marTop w:val="0"/>
          <w:marBottom w:val="0"/>
          <w:divBdr>
            <w:top w:val="none" w:sz="0" w:space="0" w:color="auto"/>
            <w:left w:val="none" w:sz="0" w:space="0" w:color="auto"/>
            <w:bottom w:val="none" w:sz="0" w:space="0" w:color="auto"/>
            <w:right w:val="none" w:sz="0" w:space="0" w:color="auto"/>
          </w:divBdr>
        </w:div>
        <w:div w:id="871840649">
          <w:marLeft w:val="640"/>
          <w:marRight w:val="0"/>
          <w:marTop w:val="0"/>
          <w:marBottom w:val="0"/>
          <w:divBdr>
            <w:top w:val="none" w:sz="0" w:space="0" w:color="auto"/>
            <w:left w:val="none" w:sz="0" w:space="0" w:color="auto"/>
            <w:bottom w:val="none" w:sz="0" w:space="0" w:color="auto"/>
            <w:right w:val="none" w:sz="0" w:space="0" w:color="auto"/>
          </w:divBdr>
        </w:div>
        <w:div w:id="278491045">
          <w:marLeft w:val="640"/>
          <w:marRight w:val="0"/>
          <w:marTop w:val="0"/>
          <w:marBottom w:val="0"/>
          <w:divBdr>
            <w:top w:val="none" w:sz="0" w:space="0" w:color="auto"/>
            <w:left w:val="none" w:sz="0" w:space="0" w:color="auto"/>
            <w:bottom w:val="none" w:sz="0" w:space="0" w:color="auto"/>
            <w:right w:val="none" w:sz="0" w:space="0" w:color="auto"/>
          </w:divBdr>
        </w:div>
        <w:div w:id="953514967">
          <w:marLeft w:val="640"/>
          <w:marRight w:val="0"/>
          <w:marTop w:val="0"/>
          <w:marBottom w:val="0"/>
          <w:divBdr>
            <w:top w:val="none" w:sz="0" w:space="0" w:color="auto"/>
            <w:left w:val="none" w:sz="0" w:space="0" w:color="auto"/>
            <w:bottom w:val="none" w:sz="0" w:space="0" w:color="auto"/>
            <w:right w:val="none" w:sz="0" w:space="0" w:color="auto"/>
          </w:divBdr>
        </w:div>
        <w:div w:id="614599356">
          <w:marLeft w:val="640"/>
          <w:marRight w:val="0"/>
          <w:marTop w:val="0"/>
          <w:marBottom w:val="0"/>
          <w:divBdr>
            <w:top w:val="none" w:sz="0" w:space="0" w:color="auto"/>
            <w:left w:val="none" w:sz="0" w:space="0" w:color="auto"/>
            <w:bottom w:val="none" w:sz="0" w:space="0" w:color="auto"/>
            <w:right w:val="none" w:sz="0" w:space="0" w:color="auto"/>
          </w:divBdr>
        </w:div>
        <w:div w:id="1231041918">
          <w:marLeft w:val="640"/>
          <w:marRight w:val="0"/>
          <w:marTop w:val="0"/>
          <w:marBottom w:val="0"/>
          <w:divBdr>
            <w:top w:val="none" w:sz="0" w:space="0" w:color="auto"/>
            <w:left w:val="none" w:sz="0" w:space="0" w:color="auto"/>
            <w:bottom w:val="none" w:sz="0" w:space="0" w:color="auto"/>
            <w:right w:val="none" w:sz="0" w:space="0" w:color="auto"/>
          </w:divBdr>
        </w:div>
        <w:div w:id="1188134752">
          <w:marLeft w:val="640"/>
          <w:marRight w:val="0"/>
          <w:marTop w:val="0"/>
          <w:marBottom w:val="0"/>
          <w:divBdr>
            <w:top w:val="none" w:sz="0" w:space="0" w:color="auto"/>
            <w:left w:val="none" w:sz="0" w:space="0" w:color="auto"/>
            <w:bottom w:val="none" w:sz="0" w:space="0" w:color="auto"/>
            <w:right w:val="none" w:sz="0" w:space="0" w:color="auto"/>
          </w:divBdr>
        </w:div>
        <w:div w:id="622543378">
          <w:marLeft w:val="640"/>
          <w:marRight w:val="0"/>
          <w:marTop w:val="0"/>
          <w:marBottom w:val="0"/>
          <w:divBdr>
            <w:top w:val="none" w:sz="0" w:space="0" w:color="auto"/>
            <w:left w:val="none" w:sz="0" w:space="0" w:color="auto"/>
            <w:bottom w:val="none" w:sz="0" w:space="0" w:color="auto"/>
            <w:right w:val="none" w:sz="0" w:space="0" w:color="auto"/>
          </w:divBdr>
        </w:div>
        <w:div w:id="1216702870">
          <w:marLeft w:val="640"/>
          <w:marRight w:val="0"/>
          <w:marTop w:val="0"/>
          <w:marBottom w:val="0"/>
          <w:divBdr>
            <w:top w:val="none" w:sz="0" w:space="0" w:color="auto"/>
            <w:left w:val="none" w:sz="0" w:space="0" w:color="auto"/>
            <w:bottom w:val="none" w:sz="0" w:space="0" w:color="auto"/>
            <w:right w:val="none" w:sz="0" w:space="0" w:color="auto"/>
          </w:divBdr>
        </w:div>
        <w:div w:id="931742506">
          <w:marLeft w:val="640"/>
          <w:marRight w:val="0"/>
          <w:marTop w:val="0"/>
          <w:marBottom w:val="0"/>
          <w:divBdr>
            <w:top w:val="none" w:sz="0" w:space="0" w:color="auto"/>
            <w:left w:val="none" w:sz="0" w:space="0" w:color="auto"/>
            <w:bottom w:val="none" w:sz="0" w:space="0" w:color="auto"/>
            <w:right w:val="none" w:sz="0" w:space="0" w:color="auto"/>
          </w:divBdr>
        </w:div>
        <w:div w:id="1237129867">
          <w:marLeft w:val="640"/>
          <w:marRight w:val="0"/>
          <w:marTop w:val="0"/>
          <w:marBottom w:val="0"/>
          <w:divBdr>
            <w:top w:val="none" w:sz="0" w:space="0" w:color="auto"/>
            <w:left w:val="none" w:sz="0" w:space="0" w:color="auto"/>
            <w:bottom w:val="none" w:sz="0" w:space="0" w:color="auto"/>
            <w:right w:val="none" w:sz="0" w:space="0" w:color="auto"/>
          </w:divBdr>
        </w:div>
        <w:div w:id="1526287088">
          <w:marLeft w:val="640"/>
          <w:marRight w:val="0"/>
          <w:marTop w:val="0"/>
          <w:marBottom w:val="0"/>
          <w:divBdr>
            <w:top w:val="none" w:sz="0" w:space="0" w:color="auto"/>
            <w:left w:val="none" w:sz="0" w:space="0" w:color="auto"/>
            <w:bottom w:val="none" w:sz="0" w:space="0" w:color="auto"/>
            <w:right w:val="none" w:sz="0" w:space="0" w:color="auto"/>
          </w:divBdr>
        </w:div>
        <w:div w:id="2139300844">
          <w:marLeft w:val="640"/>
          <w:marRight w:val="0"/>
          <w:marTop w:val="0"/>
          <w:marBottom w:val="0"/>
          <w:divBdr>
            <w:top w:val="none" w:sz="0" w:space="0" w:color="auto"/>
            <w:left w:val="none" w:sz="0" w:space="0" w:color="auto"/>
            <w:bottom w:val="none" w:sz="0" w:space="0" w:color="auto"/>
            <w:right w:val="none" w:sz="0" w:space="0" w:color="auto"/>
          </w:divBdr>
        </w:div>
        <w:div w:id="765230462">
          <w:marLeft w:val="640"/>
          <w:marRight w:val="0"/>
          <w:marTop w:val="0"/>
          <w:marBottom w:val="0"/>
          <w:divBdr>
            <w:top w:val="none" w:sz="0" w:space="0" w:color="auto"/>
            <w:left w:val="none" w:sz="0" w:space="0" w:color="auto"/>
            <w:bottom w:val="none" w:sz="0" w:space="0" w:color="auto"/>
            <w:right w:val="none" w:sz="0" w:space="0" w:color="auto"/>
          </w:divBdr>
        </w:div>
        <w:div w:id="1970820070">
          <w:marLeft w:val="640"/>
          <w:marRight w:val="0"/>
          <w:marTop w:val="0"/>
          <w:marBottom w:val="0"/>
          <w:divBdr>
            <w:top w:val="none" w:sz="0" w:space="0" w:color="auto"/>
            <w:left w:val="none" w:sz="0" w:space="0" w:color="auto"/>
            <w:bottom w:val="none" w:sz="0" w:space="0" w:color="auto"/>
            <w:right w:val="none" w:sz="0" w:space="0" w:color="auto"/>
          </w:divBdr>
        </w:div>
        <w:div w:id="1153718713">
          <w:marLeft w:val="640"/>
          <w:marRight w:val="0"/>
          <w:marTop w:val="0"/>
          <w:marBottom w:val="0"/>
          <w:divBdr>
            <w:top w:val="none" w:sz="0" w:space="0" w:color="auto"/>
            <w:left w:val="none" w:sz="0" w:space="0" w:color="auto"/>
            <w:bottom w:val="none" w:sz="0" w:space="0" w:color="auto"/>
            <w:right w:val="none" w:sz="0" w:space="0" w:color="auto"/>
          </w:divBdr>
        </w:div>
        <w:div w:id="1006589080">
          <w:marLeft w:val="640"/>
          <w:marRight w:val="0"/>
          <w:marTop w:val="0"/>
          <w:marBottom w:val="0"/>
          <w:divBdr>
            <w:top w:val="none" w:sz="0" w:space="0" w:color="auto"/>
            <w:left w:val="none" w:sz="0" w:space="0" w:color="auto"/>
            <w:bottom w:val="none" w:sz="0" w:space="0" w:color="auto"/>
            <w:right w:val="none" w:sz="0" w:space="0" w:color="auto"/>
          </w:divBdr>
        </w:div>
        <w:div w:id="1630628629">
          <w:marLeft w:val="640"/>
          <w:marRight w:val="0"/>
          <w:marTop w:val="0"/>
          <w:marBottom w:val="0"/>
          <w:divBdr>
            <w:top w:val="none" w:sz="0" w:space="0" w:color="auto"/>
            <w:left w:val="none" w:sz="0" w:space="0" w:color="auto"/>
            <w:bottom w:val="none" w:sz="0" w:space="0" w:color="auto"/>
            <w:right w:val="none" w:sz="0" w:space="0" w:color="auto"/>
          </w:divBdr>
        </w:div>
        <w:div w:id="687145591">
          <w:marLeft w:val="640"/>
          <w:marRight w:val="0"/>
          <w:marTop w:val="0"/>
          <w:marBottom w:val="0"/>
          <w:divBdr>
            <w:top w:val="none" w:sz="0" w:space="0" w:color="auto"/>
            <w:left w:val="none" w:sz="0" w:space="0" w:color="auto"/>
            <w:bottom w:val="none" w:sz="0" w:space="0" w:color="auto"/>
            <w:right w:val="none" w:sz="0" w:space="0" w:color="auto"/>
          </w:divBdr>
        </w:div>
        <w:div w:id="584647799">
          <w:marLeft w:val="640"/>
          <w:marRight w:val="0"/>
          <w:marTop w:val="0"/>
          <w:marBottom w:val="0"/>
          <w:divBdr>
            <w:top w:val="none" w:sz="0" w:space="0" w:color="auto"/>
            <w:left w:val="none" w:sz="0" w:space="0" w:color="auto"/>
            <w:bottom w:val="none" w:sz="0" w:space="0" w:color="auto"/>
            <w:right w:val="none" w:sz="0" w:space="0" w:color="auto"/>
          </w:divBdr>
        </w:div>
        <w:div w:id="1090930479">
          <w:marLeft w:val="640"/>
          <w:marRight w:val="0"/>
          <w:marTop w:val="0"/>
          <w:marBottom w:val="0"/>
          <w:divBdr>
            <w:top w:val="none" w:sz="0" w:space="0" w:color="auto"/>
            <w:left w:val="none" w:sz="0" w:space="0" w:color="auto"/>
            <w:bottom w:val="none" w:sz="0" w:space="0" w:color="auto"/>
            <w:right w:val="none" w:sz="0" w:space="0" w:color="auto"/>
          </w:divBdr>
        </w:div>
        <w:div w:id="2125726314">
          <w:marLeft w:val="640"/>
          <w:marRight w:val="0"/>
          <w:marTop w:val="0"/>
          <w:marBottom w:val="0"/>
          <w:divBdr>
            <w:top w:val="none" w:sz="0" w:space="0" w:color="auto"/>
            <w:left w:val="none" w:sz="0" w:space="0" w:color="auto"/>
            <w:bottom w:val="none" w:sz="0" w:space="0" w:color="auto"/>
            <w:right w:val="none" w:sz="0" w:space="0" w:color="auto"/>
          </w:divBdr>
        </w:div>
        <w:div w:id="774253363">
          <w:marLeft w:val="640"/>
          <w:marRight w:val="0"/>
          <w:marTop w:val="0"/>
          <w:marBottom w:val="0"/>
          <w:divBdr>
            <w:top w:val="none" w:sz="0" w:space="0" w:color="auto"/>
            <w:left w:val="none" w:sz="0" w:space="0" w:color="auto"/>
            <w:bottom w:val="none" w:sz="0" w:space="0" w:color="auto"/>
            <w:right w:val="none" w:sz="0" w:space="0" w:color="auto"/>
          </w:divBdr>
        </w:div>
        <w:div w:id="1406873506">
          <w:marLeft w:val="640"/>
          <w:marRight w:val="0"/>
          <w:marTop w:val="0"/>
          <w:marBottom w:val="0"/>
          <w:divBdr>
            <w:top w:val="none" w:sz="0" w:space="0" w:color="auto"/>
            <w:left w:val="none" w:sz="0" w:space="0" w:color="auto"/>
            <w:bottom w:val="none" w:sz="0" w:space="0" w:color="auto"/>
            <w:right w:val="none" w:sz="0" w:space="0" w:color="auto"/>
          </w:divBdr>
        </w:div>
        <w:div w:id="1693652072">
          <w:marLeft w:val="640"/>
          <w:marRight w:val="0"/>
          <w:marTop w:val="0"/>
          <w:marBottom w:val="0"/>
          <w:divBdr>
            <w:top w:val="none" w:sz="0" w:space="0" w:color="auto"/>
            <w:left w:val="none" w:sz="0" w:space="0" w:color="auto"/>
            <w:bottom w:val="none" w:sz="0" w:space="0" w:color="auto"/>
            <w:right w:val="none" w:sz="0" w:space="0" w:color="auto"/>
          </w:divBdr>
        </w:div>
        <w:div w:id="1988826073">
          <w:marLeft w:val="640"/>
          <w:marRight w:val="0"/>
          <w:marTop w:val="0"/>
          <w:marBottom w:val="0"/>
          <w:divBdr>
            <w:top w:val="none" w:sz="0" w:space="0" w:color="auto"/>
            <w:left w:val="none" w:sz="0" w:space="0" w:color="auto"/>
            <w:bottom w:val="none" w:sz="0" w:space="0" w:color="auto"/>
            <w:right w:val="none" w:sz="0" w:space="0" w:color="auto"/>
          </w:divBdr>
        </w:div>
        <w:div w:id="1837569555">
          <w:marLeft w:val="640"/>
          <w:marRight w:val="0"/>
          <w:marTop w:val="0"/>
          <w:marBottom w:val="0"/>
          <w:divBdr>
            <w:top w:val="none" w:sz="0" w:space="0" w:color="auto"/>
            <w:left w:val="none" w:sz="0" w:space="0" w:color="auto"/>
            <w:bottom w:val="none" w:sz="0" w:space="0" w:color="auto"/>
            <w:right w:val="none" w:sz="0" w:space="0" w:color="auto"/>
          </w:divBdr>
        </w:div>
        <w:div w:id="1779641115">
          <w:marLeft w:val="640"/>
          <w:marRight w:val="0"/>
          <w:marTop w:val="0"/>
          <w:marBottom w:val="0"/>
          <w:divBdr>
            <w:top w:val="none" w:sz="0" w:space="0" w:color="auto"/>
            <w:left w:val="none" w:sz="0" w:space="0" w:color="auto"/>
            <w:bottom w:val="none" w:sz="0" w:space="0" w:color="auto"/>
            <w:right w:val="none" w:sz="0" w:space="0" w:color="auto"/>
          </w:divBdr>
        </w:div>
        <w:div w:id="885029399">
          <w:marLeft w:val="640"/>
          <w:marRight w:val="0"/>
          <w:marTop w:val="0"/>
          <w:marBottom w:val="0"/>
          <w:divBdr>
            <w:top w:val="none" w:sz="0" w:space="0" w:color="auto"/>
            <w:left w:val="none" w:sz="0" w:space="0" w:color="auto"/>
            <w:bottom w:val="none" w:sz="0" w:space="0" w:color="auto"/>
            <w:right w:val="none" w:sz="0" w:space="0" w:color="auto"/>
          </w:divBdr>
        </w:div>
        <w:div w:id="2131392671">
          <w:marLeft w:val="640"/>
          <w:marRight w:val="0"/>
          <w:marTop w:val="0"/>
          <w:marBottom w:val="0"/>
          <w:divBdr>
            <w:top w:val="none" w:sz="0" w:space="0" w:color="auto"/>
            <w:left w:val="none" w:sz="0" w:space="0" w:color="auto"/>
            <w:bottom w:val="none" w:sz="0" w:space="0" w:color="auto"/>
            <w:right w:val="none" w:sz="0" w:space="0" w:color="auto"/>
          </w:divBdr>
        </w:div>
        <w:div w:id="340468624">
          <w:marLeft w:val="640"/>
          <w:marRight w:val="0"/>
          <w:marTop w:val="0"/>
          <w:marBottom w:val="0"/>
          <w:divBdr>
            <w:top w:val="none" w:sz="0" w:space="0" w:color="auto"/>
            <w:left w:val="none" w:sz="0" w:space="0" w:color="auto"/>
            <w:bottom w:val="none" w:sz="0" w:space="0" w:color="auto"/>
            <w:right w:val="none" w:sz="0" w:space="0" w:color="auto"/>
          </w:divBdr>
        </w:div>
        <w:div w:id="1316033387">
          <w:marLeft w:val="640"/>
          <w:marRight w:val="0"/>
          <w:marTop w:val="0"/>
          <w:marBottom w:val="0"/>
          <w:divBdr>
            <w:top w:val="none" w:sz="0" w:space="0" w:color="auto"/>
            <w:left w:val="none" w:sz="0" w:space="0" w:color="auto"/>
            <w:bottom w:val="none" w:sz="0" w:space="0" w:color="auto"/>
            <w:right w:val="none" w:sz="0" w:space="0" w:color="auto"/>
          </w:divBdr>
        </w:div>
        <w:div w:id="134638794">
          <w:marLeft w:val="640"/>
          <w:marRight w:val="0"/>
          <w:marTop w:val="0"/>
          <w:marBottom w:val="0"/>
          <w:divBdr>
            <w:top w:val="none" w:sz="0" w:space="0" w:color="auto"/>
            <w:left w:val="none" w:sz="0" w:space="0" w:color="auto"/>
            <w:bottom w:val="none" w:sz="0" w:space="0" w:color="auto"/>
            <w:right w:val="none" w:sz="0" w:space="0" w:color="auto"/>
          </w:divBdr>
        </w:div>
        <w:div w:id="809249044">
          <w:marLeft w:val="640"/>
          <w:marRight w:val="0"/>
          <w:marTop w:val="0"/>
          <w:marBottom w:val="0"/>
          <w:divBdr>
            <w:top w:val="none" w:sz="0" w:space="0" w:color="auto"/>
            <w:left w:val="none" w:sz="0" w:space="0" w:color="auto"/>
            <w:bottom w:val="none" w:sz="0" w:space="0" w:color="auto"/>
            <w:right w:val="none" w:sz="0" w:space="0" w:color="auto"/>
          </w:divBdr>
        </w:div>
        <w:div w:id="128868738">
          <w:marLeft w:val="640"/>
          <w:marRight w:val="0"/>
          <w:marTop w:val="0"/>
          <w:marBottom w:val="0"/>
          <w:divBdr>
            <w:top w:val="none" w:sz="0" w:space="0" w:color="auto"/>
            <w:left w:val="none" w:sz="0" w:space="0" w:color="auto"/>
            <w:bottom w:val="none" w:sz="0" w:space="0" w:color="auto"/>
            <w:right w:val="none" w:sz="0" w:space="0" w:color="auto"/>
          </w:divBdr>
        </w:div>
        <w:div w:id="1442918830">
          <w:marLeft w:val="640"/>
          <w:marRight w:val="0"/>
          <w:marTop w:val="0"/>
          <w:marBottom w:val="0"/>
          <w:divBdr>
            <w:top w:val="none" w:sz="0" w:space="0" w:color="auto"/>
            <w:left w:val="none" w:sz="0" w:space="0" w:color="auto"/>
            <w:bottom w:val="none" w:sz="0" w:space="0" w:color="auto"/>
            <w:right w:val="none" w:sz="0" w:space="0" w:color="auto"/>
          </w:divBdr>
        </w:div>
        <w:div w:id="2056150121">
          <w:marLeft w:val="640"/>
          <w:marRight w:val="0"/>
          <w:marTop w:val="0"/>
          <w:marBottom w:val="0"/>
          <w:divBdr>
            <w:top w:val="none" w:sz="0" w:space="0" w:color="auto"/>
            <w:left w:val="none" w:sz="0" w:space="0" w:color="auto"/>
            <w:bottom w:val="none" w:sz="0" w:space="0" w:color="auto"/>
            <w:right w:val="none" w:sz="0" w:space="0" w:color="auto"/>
          </w:divBdr>
        </w:div>
        <w:div w:id="1354843135">
          <w:marLeft w:val="640"/>
          <w:marRight w:val="0"/>
          <w:marTop w:val="0"/>
          <w:marBottom w:val="0"/>
          <w:divBdr>
            <w:top w:val="none" w:sz="0" w:space="0" w:color="auto"/>
            <w:left w:val="none" w:sz="0" w:space="0" w:color="auto"/>
            <w:bottom w:val="none" w:sz="0" w:space="0" w:color="auto"/>
            <w:right w:val="none" w:sz="0" w:space="0" w:color="auto"/>
          </w:divBdr>
        </w:div>
        <w:div w:id="950359087">
          <w:marLeft w:val="640"/>
          <w:marRight w:val="0"/>
          <w:marTop w:val="0"/>
          <w:marBottom w:val="0"/>
          <w:divBdr>
            <w:top w:val="none" w:sz="0" w:space="0" w:color="auto"/>
            <w:left w:val="none" w:sz="0" w:space="0" w:color="auto"/>
            <w:bottom w:val="none" w:sz="0" w:space="0" w:color="auto"/>
            <w:right w:val="none" w:sz="0" w:space="0" w:color="auto"/>
          </w:divBdr>
        </w:div>
        <w:div w:id="487132485">
          <w:marLeft w:val="640"/>
          <w:marRight w:val="0"/>
          <w:marTop w:val="0"/>
          <w:marBottom w:val="0"/>
          <w:divBdr>
            <w:top w:val="none" w:sz="0" w:space="0" w:color="auto"/>
            <w:left w:val="none" w:sz="0" w:space="0" w:color="auto"/>
            <w:bottom w:val="none" w:sz="0" w:space="0" w:color="auto"/>
            <w:right w:val="none" w:sz="0" w:space="0" w:color="auto"/>
          </w:divBdr>
        </w:div>
        <w:div w:id="694841100">
          <w:marLeft w:val="640"/>
          <w:marRight w:val="0"/>
          <w:marTop w:val="0"/>
          <w:marBottom w:val="0"/>
          <w:divBdr>
            <w:top w:val="none" w:sz="0" w:space="0" w:color="auto"/>
            <w:left w:val="none" w:sz="0" w:space="0" w:color="auto"/>
            <w:bottom w:val="none" w:sz="0" w:space="0" w:color="auto"/>
            <w:right w:val="none" w:sz="0" w:space="0" w:color="auto"/>
          </w:divBdr>
        </w:div>
        <w:div w:id="1356347488">
          <w:marLeft w:val="640"/>
          <w:marRight w:val="0"/>
          <w:marTop w:val="0"/>
          <w:marBottom w:val="0"/>
          <w:divBdr>
            <w:top w:val="none" w:sz="0" w:space="0" w:color="auto"/>
            <w:left w:val="none" w:sz="0" w:space="0" w:color="auto"/>
            <w:bottom w:val="none" w:sz="0" w:space="0" w:color="auto"/>
            <w:right w:val="none" w:sz="0" w:space="0" w:color="auto"/>
          </w:divBdr>
        </w:div>
        <w:div w:id="1354066143">
          <w:marLeft w:val="640"/>
          <w:marRight w:val="0"/>
          <w:marTop w:val="0"/>
          <w:marBottom w:val="0"/>
          <w:divBdr>
            <w:top w:val="none" w:sz="0" w:space="0" w:color="auto"/>
            <w:left w:val="none" w:sz="0" w:space="0" w:color="auto"/>
            <w:bottom w:val="none" w:sz="0" w:space="0" w:color="auto"/>
            <w:right w:val="none" w:sz="0" w:space="0" w:color="auto"/>
          </w:divBdr>
        </w:div>
        <w:div w:id="1351376903">
          <w:marLeft w:val="640"/>
          <w:marRight w:val="0"/>
          <w:marTop w:val="0"/>
          <w:marBottom w:val="0"/>
          <w:divBdr>
            <w:top w:val="none" w:sz="0" w:space="0" w:color="auto"/>
            <w:left w:val="none" w:sz="0" w:space="0" w:color="auto"/>
            <w:bottom w:val="none" w:sz="0" w:space="0" w:color="auto"/>
            <w:right w:val="none" w:sz="0" w:space="0" w:color="auto"/>
          </w:divBdr>
        </w:div>
        <w:div w:id="56705725">
          <w:marLeft w:val="640"/>
          <w:marRight w:val="0"/>
          <w:marTop w:val="0"/>
          <w:marBottom w:val="0"/>
          <w:divBdr>
            <w:top w:val="none" w:sz="0" w:space="0" w:color="auto"/>
            <w:left w:val="none" w:sz="0" w:space="0" w:color="auto"/>
            <w:bottom w:val="none" w:sz="0" w:space="0" w:color="auto"/>
            <w:right w:val="none" w:sz="0" w:space="0" w:color="auto"/>
          </w:divBdr>
        </w:div>
        <w:div w:id="1740982890">
          <w:marLeft w:val="640"/>
          <w:marRight w:val="0"/>
          <w:marTop w:val="0"/>
          <w:marBottom w:val="0"/>
          <w:divBdr>
            <w:top w:val="none" w:sz="0" w:space="0" w:color="auto"/>
            <w:left w:val="none" w:sz="0" w:space="0" w:color="auto"/>
            <w:bottom w:val="none" w:sz="0" w:space="0" w:color="auto"/>
            <w:right w:val="none" w:sz="0" w:space="0" w:color="auto"/>
          </w:divBdr>
        </w:div>
        <w:div w:id="1617718371">
          <w:marLeft w:val="640"/>
          <w:marRight w:val="0"/>
          <w:marTop w:val="0"/>
          <w:marBottom w:val="0"/>
          <w:divBdr>
            <w:top w:val="none" w:sz="0" w:space="0" w:color="auto"/>
            <w:left w:val="none" w:sz="0" w:space="0" w:color="auto"/>
            <w:bottom w:val="none" w:sz="0" w:space="0" w:color="auto"/>
            <w:right w:val="none" w:sz="0" w:space="0" w:color="auto"/>
          </w:divBdr>
        </w:div>
        <w:div w:id="799541546">
          <w:marLeft w:val="640"/>
          <w:marRight w:val="0"/>
          <w:marTop w:val="0"/>
          <w:marBottom w:val="0"/>
          <w:divBdr>
            <w:top w:val="none" w:sz="0" w:space="0" w:color="auto"/>
            <w:left w:val="none" w:sz="0" w:space="0" w:color="auto"/>
            <w:bottom w:val="none" w:sz="0" w:space="0" w:color="auto"/>
            <w:right w:val="none" w:sz="0" w:space="0" w:color="auto"/>
          </w:divBdr>
        </w:div>
        <w:div w:id="335574493">
          <w:marLeft w:val="640"/>
          <w:marRight w:val="0"/>
          <w:marTop w:val="0"/>
          <w:marBottom w:val="0"/>
          <w:divBdr>
            <w:top w:val="none" w:sz="0" w:space="0" w:color="auto"/>
            <w:left w:val="none" w:sz="0" w:space="0" w:color="auto"/>
            <w:bottom w:val="none" w:sz="0" w:space="0" w:color="auto"/>
            <w:right w:val="none" w:sz="0" w:space="0" w:color="auto"/>
          </w:divBdr>
        </w:div>
        <w:div w:id="1445610221">
          <w:marLeft w:val="640"/>
          <w:marRight w:val="0"/>
          <w:marTop w:val="0"/>
          <w:marBottom w:val="0"/>
          <w:divBdr>
            <w:top w:val="none" w:sz="0" w:space="0" w:color="auto"/>
            <w:left w:val="none" w:sz="0" w:space="0" w:color="auto"/>
            <w:bottom w:val="none" w:sz="0" w:space="0" w:color="auto"/>
            <w:right w:val="none" w:sz="0" w:space="0" w:color="auto"/>
          </w:divBdr>
        </w:div>
        <w:div w:id="498933551">
          <w:marLeft w:val="640"/>
          <w:marRight w:val="0"/>
          <w:marTop w:val="0"/>
          <w:marBottom w:val="0"/>
          <w:divBdr>
            <w:top w:val="none" w:sz="0" w:space="0" w:color="auto"/>
            <w:left w:val="none" w:sz="0" w:space="0" w:color="auto"/>
            <w:bottom w:val="none" w:sz="0" w:space="0" w:color="auto"/>
            <w:right w:val="none" w:sz="0" w:space="0" w:color="auto"/>
          </w:divBdr>
        </w:div>
        <w:div w:id="1359818957">
          <w:marLeft w:val="640"/>
          <w:marRight w:val="0"/>
          <w:marTop w:val="0"/>
          <w:marBottom w:val="0"/>
          <w:divBdr>
            <w:top w:val="none" w:sz="0" w:space="0" w:color="auto"/>
            <w:left w:val="none" w:sz="0" w:space="0" w:color="auto"/>
            <w:bottom w:val="none" w:sz="0" w:space="0" w:color="auto"/>
            <w:right w:val="none" w:sz="0" w:space="0" w:color="auto"/>
          </w:divBdr>
        </w:div>
        <w:div w:id="1046759340">
          <w:marLeft w:val="640"/>
          <w:marRight w:val="0"/>
          <w:marTop w:val="0"/>
          <w:marBottom w:val="0"/>
          <w:divBdr>
            <w:top w:val="none" w:sz="0" w:space="0" w:color="auto"/>
            <w:left w:val="none" w:sz="0" w:space="0" w:color="auto"/>
            <w:bottom w:val="none" w:sz="0" w:space="0" w:color="auto"/>
            <w:right w:val="none" w:sz="0" w:space="0" w:color="auto"/>
          </w:divBdr>
        </w:div>
        <w:div w:id="613904701">
          <w:marLeft w:val="640"/>
          <w:marRight w:val="0"/>
          <w:marTop w:val="0"/>
          <w:marBottom w:val="0"/>
          <w:divBdr>
            <w:top w:val="none" w:sz="0" w:space="0" w:color="auto"/>
            <w:left w:val="none" w:sz="0" w:space="0" w:color="auto"/>
            <w:bottom w:val="none" w:sz="0" w:space="0" w:color="auto"/>
            <w:right w:val="none" w:sz="0" w:space="0" w:color="auto"/>
          </w:divBdr>
        </w:div>
        <w:div w:id="1704985008">
          <w:marLeft w:val="640"/>
          <w:marRight w:val="0"/>
          <w:marTop w:val="0"/>
          <w:marBottom w:val="0"/>
          <w:divBdr>
            <w:top w:val="none" w:sz="0" w:space="0" w:color="auto"/>
            <w:left w:val="none" w:sz="0" w:space="0" w:color="auto"/>
            <w:bottom w:val="none" w:sz="0" w:space="0" w:color="auto"/>
            <w:right w:val="none" w:sz="0" w:space="0" w:color="auto"/>
          </w:divBdr>
        </w:div>
        <w:div w:id="984163002">
          <w:marLeft w:val="640"/>
          <w:marRight w:val="0"/>
          <w:marTop w:val="0"/>
          <w:marBottom w:val="0"/>
          <w:divBdr>
            <w:top w:val="none" w:sz="0" w:space="0" w:color="auto"/>
            <w:left w:val="none" w:sz="0" w:space="0" w:color="auto"/>
            <w:bottom w:val="none" w:sz="0" w:space="0" w:color="auto"/>
            <w:right w:val="none" w:sz="0" w:space="0" w:color="auto"/>
          </w:divBdr>
        </w:div>
        <w:div w:id="1399353760">
          <w:marLeft w:val="640"/>
          <w:marRight w:val="0"/>
          <w:marTop w:val="0"/>
          <w:marBottom w:val="0"/>
          <w:divBdr>
            <w:top w:val="none" w:sz="0" w:space="0" w:color="auto"/>
            <w:left w:val="none" w:sz="0" w:space="0" w:color="auto"/>
            <w:bottom w:val="none" w:sz="0" w:space="0" w:color="auto"/>
            <w:right w:val="none" w:sz="0" w:space="0" w:color="auto"/>
          </w:divBdr>
        </w:div>
        <w:div w:id="1047604143">
          <w:marLeft w:val="640"/>
          <w:marRight w:val="0"/>
          <w:marTop w:val="0"/>
          <w:marBottom w:val="0"/>
          <w:divBdr>
            <w:top w:val="none" w:sz="0" w:space="0" w:color="auto"/>
            <w:left w:val="none" w:sz="0" w:space="0" w:color="auto"/>
            <w:bottom w:val="none" w:sz="0" w:space="0" w:color="auto"/>
            <w:right w:val="none" w:sz="0" w:space="0" w:color="auto"/>
          </w:divBdr>
        </w:div>
        <w:div w:id="2145808731">
          <w:marLeft w:val="640"/>
          <w:marRight w:val="0"/>
          <w:marTop w:val="0"/>
          <w:marBottom w:val="0"/>
          <w:divBdr>
            <w:top w:val="none" w:sz="0" w:space="0" w:color="auto"/>
            <w:left w:val="none" w:sz="0" w:space="0" w:color="auto"/>
            <w:bottom w:val="none" w:sz="0" w:space="0" w:color="auto"/>
            <w:right w:val="none" w:sz="0" w:space="0" w:color="auto"/>
          </w:divBdr>
        </w:div>
        <w:div w:id="1403212284">
          <w:marLeft w:val="640"/>
          <w:marRight w:val="0"/>
          <w:marTop w:val="0"/>
          <w:marBottom w:val="0"/>
          <w:divBdr>
            <w:top w:val="none" w:sz="0" w:space="0" w:color="auto"/>
            <w:left w:val="none" w:sz="0" w:space="0" w:color="auto"/>
            <w:bottom w:val="none" w:sz="0" w:space="0" w:color="auto"/>
            <w:right w:val="none" w:sz="0" w:space="0" w:color="auto"/>
          </w:divBdr>
        </w:div>
        <w:div w:id="1399132042">
          <w:marLeft w:val="640"/>
          <w:marRight w:val="0"/>
          <w:marTop w:val="0"/>
          <w:marBottom w:val="0"/>
          <w:divBdr>
            <w:top w:val="none" w:sz="0" w:space="0" w:color="auto"/>
            <w:left w:val="none" w:sz="0" w:space="0" w:color="auto"/>
            <w:bottom w:val="none" w:sz="0" w:space="0" w:color="auto"/>
            <w:right w:val="none" w:sz="0" w:space="0" w:color="auto"/>
          </w:divBdr>
        </w:div>
        <w:div w:id="833187462">
          <w:marLeft w:val="640"/>
          <w:marRight w:val="0"/>
          <w:marTop w:val="0"/>
          <w:marBottom w:val="0"/>
          <w:divBdr>
            <w:top w:val="none" w:sz="0" w:space="0" w:color="auto"/>
            <w:left w:val="none" w:sz="0" w:space="0" w:color="auto"/>
            <w:bottom w:val="none" w:sz="0" w:space="0" w:color="auto"/>
            <w:right w:val="none" w:sz="0" w:space="0" w:color="auto"/>
          </w:divBdr>
        </w:div>
        <w:div w:id="646664000">
          <w:marLeft w:val="640"/>
          <w:marRight w:val="0"/>
          <w:marTop w:val="0"/>
          <w:marBottom w:val="0"/>
          <w:divBdr>
            <w:top w:val="none" w:sz="0" w:space="0" w:color="auto"/>
            <w:left w:val="none" w:sz="0" w:space="0" w:color="auto"/>
            <w:bottom w:val="none" w:sz="0" w:space="0" w:color="auto"/>
            <w:right w:val="none" w:sz="0" w:space="0" w:color="auto"/>
          </w:divBdr>
        </w:div>
        <w:div w:id="1979409768">
          <w:marLeft w:val="640"/>
          <w:marRight w:val="0"/>
          <w:marTop w:val="0"/>
          <w:marBottom w:val="0"/>
          <w:divBdr>
            <w:top w:val="none" w:sz="0" w:space="0" w:color="auto"/>
            <w:left w:val="none" w:sz="0" w:space="0" w:color="auto"/>
            <w:bottom w:val="none" w:sz="0" w:space="0" w:color="auto"/>
            <w:right w:val="none" w:sz="0" w:space="0" w:color="auto"/>
          </w:divBdr>
        </w:div>
        <w:div w:id="2124297551">
          <w:marLeft w:val="640"/>
          <w:marRight w:val="0"/>
          <w:marTop w:val="0"/>
          <w:marBottom w:val="0"/>
          <w:divBdr>
            <w:top w:val="none" w:sz="0" w:space="0" w:color="auto"/>
            <w:left w:val="none" w:sz="0" w:space="0" w:color="auto"/>
            <w:bottom w:val="none" w:sz="0" w:space="0" w:color="auto"/>
            <w:right w:val="none" w:sz="0" w:space="0" w:color="auto"/>
          </w:divBdr>
        </w:div>
        <w:div w:id="693775138">
          <w:marLeft w:val="640"/>
          <w:marRight w:val="0"/>
          <w:marTop w:val="0"/>
          <w:marBottom w:val="0"/>
          <w:divBdr>
            <w:top w:val="none" w:sz="0" w:space="0" w:color="auto"/>
            <w:left w:val="none" w:sz="0" w:space="0" w:color="auto"/>
            <w:bottom w:val="none" w:sz="0" w:space="0" w:color="auto"/>
            <w:right w:val="none" w:sz="0" w:space="0" w:color="auto"/>
          </w:divBdr>
        </w:div>
        <w:div w:id="1234851848">
          <w:marLeft w:val="640"/>
          <w:marRight w:val="0"/>
          <w:marTop w:val="0"/>
          <w:marBottom w:val="0"/>
          <w:divBdr>
            <w:top w:val="none" w:sz="0" w:space="0" w:color="auto"/>
            <w:left w:val="none" w:sz="0" w:space="0" w:color="auto"/>
            <w:bottom w:val="none" w:sz="0" w:space="0" w:color="auto"/>
            <w:right w:val="none" w:sz="0" w:space="0" w:color="auto"/>
          </w:divBdr>
        </w:div>
        <w:div w:id="1115102621">
          <w:marLeft w:val="640"/>
          <w:marRight w:val="0"/>
          <w:marTop w:val="0"/>
          <w:marBottom w:val="0"/>
          <w:divBdr>
            <w:top w:val="none" w:sz="0" w:space="0" w:color="auto"/>
            <w:left w:val="none" w:sz="0" w:space="0" w:color="auto"/>
            <w:bottom w:val="none" w:sz="0" w:space="0" w:color="auto"/>
            <w:right w:val="none" w:sz="0" w:space="0" w:color="auto"/>
          </w:divBdr>
        </w:div>
        <w:div w:id="300161998">
          <w:marLeft w:val="640"/>
          <w:marRight w:val="0"/>
          <w:marTop w:val="0"/>
          <w:marBottom w:val="0"/>
          <w:divBdr>
            <w:top w:val="none" w:sz="0" w:space="0" w:color="auto"/>
            <w:left w:val="none" w:sz="0" w:space="0" w:color="auto"/>
            <w:bottom w:val="none" w:sz="0" w:space="0" w:color="auto"/>
            <w:right w:val="none" w:sz="0" w:space="0" w:color="auto"/>
          </w:divBdr>
        </w:div>
        <w:div w:id="1345940389">
          <w:marLeft w:val="640"/>
          <w:marRight w:val="0"/>
          <w:marTop w:val="0"/>
          <w:marBottom w:val="0"/>
          <w:divBdr>
            <w:top w:val="none" w:sz="0" w:space="0" w:color="auto"/>
            <w:left w:val="none" w:sz="0" w:space="0" w:color="auto"/>
            <w:bottom w:val="none" w:sz="0" w:space="0" w:color="auto"/>
            <w:right w:val="none" w:sz="0" w:space="0" w:color="auto"/>
          </w:divBdr>
        </w:div>
        <w:div w:id="1045524807">
          <w:marLeft w:val="640"/>
          <w:marRight w:val="0"/>
          <w:marTop w:val="0"/>
          <w:marBottom w:val="0"/>
          <w:divBdr>
            <w:top w:val="none" w:sz="0" w:space="0" w:color="auto"/>
            <w:left w:val="none" w:sz="0" w:space="0" w:color="auto"/>
            <w:bottom w:val="none" w:sz="0" w:space="0" w:color="auto"/>
            <w:right w:val="none" w:sz="0" w:space="0" w:color="auto"/>
          </w:divBdr>
        </w:div>
        <w:div w:id="1299411058">
          <w:marLeft w:val="640"/>
          <w:marRight w:val="0"/>
          <w:marTop w:val="0"/>
          <w:marBottom w:val="0"/>
          <w:divBdr>
            <w:top w:val="none" w:sz="0" w:space="0" w:color="auto"/>
            <w:left w:val="none" w:sz="0" w:space="0" w:color="auto"/>
            <w:bottom w:val="none" w:sz="0" w:space="0" w:color="auto"/>
            <w:right w:val="none" w:sz="0" w:space="0" w:color="auto"/>
          </w:divBdr>
        </w:div>
        <w:div w:id="1706127791">
          <w:marLeft w:val="640"/>
          <w:marRight w:val="0"/>
          <w:marTop w:val="0"/>
          <w:marBottom w:val="0"/>
          <w:divBdr>
            <w:top w:val="none" w:sz="0" w:space="0" w:color="auto"/>
            <w:left w:val="none" w:sz="0" w:space="0" w:color="auto"/>
            <w:bottom w:val="none" w:sz="0" w:space="0" w:color="auto"/>
            <w:right w:val="none" w:sz="0" w:space="0" w:color="auto"/>
          </w:divBdr>
        </w:div>
        <w:div w:id="1603762249">
          <w:marLeft w:val="640"/>
          <w:marRight w:val="0"/>
          <w:marTop w:val="0"/>
          <w:marBottom w:val="0"/>
          <w:divBdr>
            <w:top w:val="none" w:sz="0" w:space="0" w:color="auto"/>
            <w:left w:val="none" w:sz="0" w:space="0" w:color="auto"/>
            <w:bottom w:val="none" w:sz="0" w:space="0" w:color="auto"/>
            <w:right w:val="none" w:sz="0" w:space="0" w:color="auto"/>
          </w:divBdr>
        </w:div>
        <w:div w:id="1176193816">
          <w:marLeft w:val="640"/>
          <w:marRight w:val="0"/>
          <w:marTop w:val="0"/>
          <w:marBottom w:val="0"/>
          <w:divBdr>
            <w:top w:val="none" w:sz="0" w:space="0" w:color="auto"/>
            <w:left w:val="none" w:sz="0" w:space="0" w:color="auto"/>
            <w:bottom w:val="none" w:sz="0" w:space="0" w:color="auto"/>
            <w:right w:val="none" w:sz="0" w:space="0" w:color="auto"/>
          </w:divBdr>
        </w:div>
        <w:div w:id="1779908780">
          <w:marLeft w:val="640"/>
          <w:marRight w:val="0"/>
          <w:marTop w:val="0"/>
          <w:marBottom w:val="0"/>
          <w:divBdr>
            <w:top w:val="none" w:sz="0" w:space="0" w:color="auto"/>
            <w:left w:val="none" w:sz="0" w:space="0" w:color="auto"/>
            <w:bottom w:val="none" w:sz="0" w:space="0" w:color="auto"/>
            <w:right w:val="none" w:sz="0" w:space="0" w:color="auto"/>
          </w:divBdr>
        </w:div>
        <w:div w:id="680354493">
          <w:marLeft w:val="640"/>
          <w:marRight w:val="0"/>
          <w:marTop w:val="0"/>
          <w:marBottom w:val="0"/>
          <w:divBdr>
            <w:top w:val="none" w:sz="0" w:space="0" w:color="auto"/>
            <w:left w:val="none" w:sz="0" w:space="0" w:color="auto"/>
            <w:bottom w:val="none" w:sz="0" w:space="0" w:color="auto"/>
            <w:right w:val="none" w:sz="0" w:space="0" w:color="auto"/>
          </w:divBdr>
        </w:div>
        <w:div w:id="598875656">
          <w:marLeft w:val="640"/>
          <w:marRight w:val="0"/>
          <w:marTop w:val="0"/>
          <w:marBottom w:val="0"/>
          <w:divBdr>
            <w:top w:val="none" w:sz="0" w:space="0" w:color="auto"/>
            <w:left w:val="none" w:sz="0" w:space="0" w:color="auto"/>
            <w:bottom w:val="none" w:sz="0" w:space="0" w:color="auto"/>
            <w:right w:val="none" w:sz="0" w:space="0" w:color="auto"/>
          </w:divBdr>
        </w:div>
        <w:div w:id="420223466">
          <w:marLeft w:val="640"/>
          <w:marRight w:val="0"/>
          <w:marTop w:val="0"/>
          <w:marBottom w:val="0"/>
          <w:divBdr>
            <w:top w:val="none" w:sz="0" w:space="0" w:color="auto"/>
            <w:left w:val="none" w:sz="0" w:space="0" w:color="auto"/>
            <w:bottom w:val="none" w:sz="0" w:space="0" w:color="auto"/>
            <w:right w:val="none" w:sz="0" w:space="0" w:color="auto"/>
          </w:divBdr>
        </w:div>
        <w:div w:id="796875526">
          <w:marLeft w:val="640"/>
          <w:marRight w:val="0"/>
          <w:marTop w:val="0"/>
          <w:marBottom w:val="0"/>
          <w:divBdr>
            <w:top w:val="none" w:sz="0" w:space="0" w:color="auto"/>
            <w:left w:val="none" w:sz="0" w:space="0" w:color="auto"/>
            <w:bottom w:val="none" w:sz="0" w:space="0" w:color="auto"/>
            <w:right w:val="none" w:sz="0" w:space="0" w:color="auto"/>
          </w:divBdr>
        </w:div>
        <w:div w:id="694118041">
          <w:marLeft w:val="640"/>
          <w:marRight w:val="0"/>
          <w:marTop w:val="0"/>
          <w:marBottom w:val="0"/>
          <w:divBdr>
            <w:top w:val="none" w:sz="0" w:space="0" w:color="auto"/>
            <w:left w:val="none" w:sz="0" w:space="0" w:color="auto"/>
            <w:bottom w:val="none" w:sz="0" w:space="0" w:color="auto"/>
            <w:right w:val="none" w:sz="0" w:space="0" w:color="auto"/>
          </w:divBdr>
        </w:div>
        <w:div w:id="759908999">
          <w:marLeft w:val="640"/>
          <w:marRight w:val="0"/>
          <w:marTop w:val="0"/>
          <w:marBottom w:val="0"/>
          <w:divBdr>
            <w:top w:val="none" w:sz="0" w:space="0" w:color="auto"/>
            <w:left w:val="none" w:sz="0" w:space="0" w:color="auto"/>
            <w:bottom w:val="none" w:sz="0" w:space="0" w:color="auto"/>
            <w:right w:val="none" w:sz="0" w:space="0" w:color="auto"/>
          </w:divBdr>
        </w:div>
        <w:div w:id="1007974585">
          <w:marLeft w:val="640"/>
          <w:marRight w:val="0"/>
          <w:marTop w:val="0"/>
          <w:marBottom w:val="0"/>
          <w:divBdr>
            <w:top w:val="none" w:sz="0" w:space="0" w:color="auto"/>
            <w:left w:val="none" w:sz="0" w:space="0" w:color="auto"/>
            <w:bottom w:val="none" w:sz="0" w:space="0" w:color="auto"/>
            <w:right w:val="none" w:sz="0" w:space="0" w:color="auto"/>
          </w:divBdr>
        </w:div>
        <w:div w:id="1909224112">
          <w:marLeft w:val="640"/>
          <w:marRight w:val="0"/>
          <w:marTop w:val="0"/>
          <w:marBottom w:val="0"/>
          <w:divBdr>
            <w:top w:val="none" w:sz="0" w:space="0" w:color="auto"/>
            <w:left w:val="none" w:sz="0" w:space="0" w:color="auto"/>
            <w:bottom w:val="none" w:sz="0" w:space="0" w:color="auto"/>
            <w:right w:val="none" w:sz="0" w:space="0" w:color="auto"/>
          </w:divBdr>
        </w:div>
        <w:div w:id="1844710131">
          <w:marLeft w:val="640"/>
          <w:marRight w:val="0"/>
          <w:marTop w:val="0"/>
          <w:marBottom w:val="0"/>
          <w:divBdr>
            <w:top w:val="none" w:sz="0" w:space="0" w:color="auto"/>
            <w:left w:val="none" w:sz="0" w:space="0" w:color="auto"/>
            <w:bottom w:val="none" w:sz="0" w:space="0" w:color="auto"/>
            <w:right w:val="none" w:sz="0" w:space="0" w:color="auto"/>
          </w:divBdr>
        </w:div>
        <w:div w:id="204832413">
          <w:marLeft w:val="640"/>
          <w:marRight w:val="0"/>
          <w:marTop w:val="0"/>
          <w:marBottom w:val="0"/>
          <w:divBdr>
            <w:top w:val="none" w:sz="0" w:space="0" w:color="auto"/>
            <w:left w:val="none" w:sz="0" w:space="0" w:color="auto"/>
            <w:bottom w:val="none" w:sz="0" w:space="0" w:color="auto"/>
            <w:right w:val="none" w:sz="0" w:space="0" w:color="auto"/>
          </w:divBdr>
        </w:div>
        <w:div w:id="1871457220">
          <w:marLeft w:val="640"/>
          <w:marRight w:val="0"/>
          <w:marTop w:val="0"/>
          <w:marBottom w:val="0"/>
          <w:divBdr>
            <w:top w:val="none" w:sz="0" w:space="0" w:color="auto"/>
            <w:left w:val="none" w:sz="0" w:space="0" w:color="auto"/>
            <w:bottom w:val="none" w:sz="0" w:space="0" w:color="auto"/>
            <w:right w:val="none" w:sz="0" w:space="0" w:color="auto"/>
          </w:divBdr>
        </w:div>
        <w:div w:id="233323854">
          <w:marLeft w:val="640"/>
          <w:marRight w:val="0"/>
          <w:marTop w:val="0"/>
          <w:marBottom w:val="0"/>
          <w:divBdr>
            <w:top w:val="none" w:sz="0" w:space="0" w:color="auto"/>
            <w:left w:val="none" w:sz="0" w:space="0" w:color="auto"/>
            <w:bottom w:val="none" w:sz="0" w:space="0" w:color="auto"/>
            <w:right w:val="none" w:sz="0" w:space="0" w:color="auto"/>
          </w:divBdr>
        </w:div>
        <w:div w:id="1769765087">
          <w:marLeft w:val="640"/>
          <w:marRight w:val="0"/>
          <w:marTop w:val="0"/>
          <w:marBottom w:val="0"/>
          <w:divBdr>
            <w:top w:val="none" w:sz="0" w:space="0" w:color="auto"/>
            <w:left w:val="none" w:sz="0" w:space="0" w:color="auto"/>
            <w:bottom w:val="none" w:sz="0" w:space="0" w:color="auto"/>
            <w:right w:val="none" w:sz="0" w:space="0" w:color="auto"/>
          </w:divBdr>
        </w:div>
        <w:div w:id="991058441">
          <w:marLeft w:val="640"/>
          <w:marRight w:val="0"/>
          <w:marTop w:val="0"/>
          <w:marBottom w:val="0"/>
          <w:divBdr>
            <w:top w:val="none" w:sz="0" w:space="0" w:color="auto"/>
            <w:left w:val="none" w:sz="0" w:space="0" w:color="auto"/>
            <w:bottom w:val="none" w:sz="0" w:space="0" w:color="auto"/>
            <w:right w:val="none" w:sz="0" w:space="0" w:color="auto"/>
          </w:divBdr>
        </w:div>
        <w:div w:id="834078285">
          <w:marLeft w:val="640"/>
          <w:marRight w:val="0"/>
          <w:marTop w:val="0"/>
          <w:marBottom w:val="0"/>
          <w:divBdr>
            <w:top w:val="none" w:sz="0" w:space="0" w:color="auto"/>
            <w:left w:val="none" w:sz="0" w:space="0" w:color="auto"/>
            <w:bottom w:val="none" w:sz="0" w:space="0" w:color="auto"/>
            <w:right w:val="none" w:sz="0" w:space="0" w:color="auto"/>
          </w:divBdr>
        </w:div>
        <w:div w:id="1405953910">
          <w:marLeft w:val="640"/>
          <w:marRight w:val="0"/>
          <w:marTop w:val="0"/>
          <w:marBottom w:val="0"/>
          <w:divBdr>
            <w:top w:val="none" w:sz="0" w:space="0" w:color="auto"/>
            <w:left w:val="none" w:sz="0" w:space="0" w:color="auto"/>
            <w:bottom w:val="none" w:sz="0" w:space="0" w:color="auto"/>
            <w:right w:val="none" w:sz="0" w:space="0" w:color="auto"/>
          </w:divBdr>
        </w:div>
        <w:div w:id="2117868538">
          <w:marLeft w:val="640"/>
          <w:marRight w:val="0"/>
          <w:marTop w:val="0"/>
          <w:marBottom w:val="0"/>
          <w:divBdr>
            <w:top w:val="none" w:sz="0" w:space="0" w:color="auto"/>
            <w:left w:val="none" w:sz="0" w:space="0" w:color="auto"/>
            <w:bottom w:val="none" w:sz="0" w:space="0" w:color="auto"/>
            <w:right w:val="none" w:sz="0" w:space="0" w:color="auto"/>
          </w:divBdr>
        </w:div>
        <w:div w:id="1135368249">
          <w:marLeft w:val="640"/>
          <w:marRight w:val="0"/>
          <w:marTop w:val="0"/>
          <w:marBottom w:val="0"/>
          <w:divBdr>
            <w:top w:val="none" w:sz="0" w:space="0" w:color="auto"/>
            <w:left w:val="none" w:sz="0" w:space="0" w:color="auto"/>
            <w:bottom w:val="none" w:sz="0" w:space="0" w:color="auto"/>
            <w:right w:val="none" w:sz="0" w:space="0" w:color="auto"/>
          </w:divBdr>
        </w:div>
        <w:div w:id="822427335">
          <w:marLeft w:val="640"/>
          <w:marRight w:val="0"/>
          <w:marTop w:val="0"/>
          <w:marBottom w:val="0"/>
          <w:divBdr>
            <w:top w:val="none" w:sz="0" w:space="0" w:color="auto"/>
            <w:left w:val="none" w:sz="0" w:space="0" w:color="auto"/>
            <w:bottom w:val="none" w:sz="0" w:space="0" w:color="auto"/>
            <w:right w:val="none" w:sz="0" w:space="0" w:color="auto"/>
          </w:divBdr>
        </w:div>
        <w:div w:id="1902404162">
          <w:marLeft w:val="640"/>
          <w:marRight w:val="0"/>
          <w:marTop w:val="0"/>
          <w:marBottom w:val="0"/>
          <w:divBdr>
            <w:top w:val="none" w:sz="0" w:space="0" w:color="auto"/>
            <w:left w:val="none" w:sz="0" w:space="0" w:color="auto"/>
            <w:bottom w:val="none" w:sz="0" w:space="0" w:color="auto"/>
            <w:right w:val="none" w:sz="0" w:space="0" w:color="auto"/>
          </w:divBdr>
        </w:div>
        <w:div w:id="308218289">
          <w:marLeft w:val="640"/>
          <w:marRight w:val="0"/>
          <w:marTop w:val="0"/>
          <w:marBottom w:val="0"/>
          <w:divBdr>
            <w:top w:val="none" w:sz="0" w:space="0" w:color="auto"/>
            <w:left w:val="none" w:sz="0" w:space="0" w:color="auto"/>
            <w:bottom w:val="none" w:sz="0" w:space="0" w:color="auto"/>
            <w:right w:val="none" w:sz="0" w:space="0" w:color="auto"/>
          </w:divBdr>
        </w:div>
        <w:div w:id="1333223764">
          <w:marLeft w:val="640"/>
          <w:marRight w:val="0"/>
          <w:marTop w:val="0"/>
          <w:marBottom w:val="0"/>
          <w:divBdr>
            <w:top w:val="none" w:sz="0" w:space="0" w:color="auto"/>
            <w:left w:val="none" w:sz="0" w:space="0" w:color="auto"/>
            <w:bottom w:val="none" w:sz="0" w:space="0" w:color="auto"/>
            <w:right w:val="none" w:sz="0" w:space="0" w:color="auto"/>
          </w:divBdr>
        </w:div>
        <w:div w:id="143742225">
          <w:marLeft w:val="640"/>
          <w:marRight w:val="0"/>
          <w:marTop w:val="0"/>
          <w:marBottom w:val="0"/>
          <w:divBdr>
            <w:top w:val="none" w:sz="0" w:space="0" w:color="auto"/>
            <w:left w:val="none" w:sz="0" w:space="0" w:color="auto"/>
            <w:bottom w:val="none" w:sz="0" w:space="0" w:color="auto"/>
            <w:right w:val="none" w:sz="0" w:space="0" w:color="auto"/>
          </w:divBdr>
        </w:div>
        <w:div w:id="355470702">
          <w:marLeft w:val="640"/>
          <w:marRight w:val="0"/>
          <w:marTop w:val="0"/>
          <w:marBottom w:val="0"/>
          <w:divBdr>
            <w:top w:val="none" w:sz="0" w:space="0" w:color="auto"/>
            <w:left w:val="none" w:sz="0" w:space="0" w:color="auto"/>
            <w:bottom w:val="none" w:sz="0" w:space="0" w:color="auto"/>
            <w:right w:val="none" w:sz="0" w:space="0" w:color="auto"/>
          </w:divBdr>
        </w:div>
        <w:div w:id="1389499125">
          <w:marLeft w:val="640"/>
          <w:marRight w:val="0"/>
          <w:marTop w:val="0"/>
          <w:marBottom w:val="0"/>
          <w:divBdr>
            <w:top w:val="none" w:sz="0" w:space="0" w:color="auto"/>
            <w:left w:val="none" w:sz="0" w:space="0" w:color="auto"/>
            <w:bottom w:val="none" w:sz="0" w:space="0" w:color="auto"/>
            <w:right w:val="none" w:sz="0" w:space="0" w:color="auto"/>
          </w:divBdr>
        </w:div>
        <w:div w:id="1357733429">
          <w:marLeft w:val="640"/>
          <w:marRight w:val="0"/>
          <w:marTop w:val="0"/>
          <w:marBottom w:val="0"/>
          <w:divBdr>
            <w:top w:val="none" w:sz="0" w:space="0" w:color="auto"/>
            <w:left w:val="none" w:sz="0" w:space="0" w:color="auto"/>
            <w:bottom w:val="none" w:sz="0" w:space="0" w:color="auto"/>
            <w:right w:val="none" w:sz="0" w:space="0" w:color="auto"/>
          </w:divBdr>
        </w:div>
        <w:div w:id="912355792">
          <w:marLeft w:val="640"/>
          <w:marRight w:val="0"/>
          <w:marTop w:val="0"/>
          <w:marBottom w:val="0"/>
          <w:divBdr>
            <w:top w:val="none" w:sz="0" w:space="0" w:color="auto"/>
            <w:left w:val="none" w:sz="0" w:space="0" w:color="auto"/>
            <w:bottom w:val="none" w:sz="0" w:space="0" w:color="auto"/>
            <w:right w:val="none" w:sz="0" w:space="0" w:color="auto"/>
          </w:divBdr>
        </w:div>
        <w:div w:id="1571115242">
          <w:marLeft w:val="640"/>
          <w:marRight w:val="0"/>
          <w:marTop w:val="0"/>
          <w:marBottom w:val="0"/>
          <w:divBdr>
            <w:top w:val="none" w:sz="0" w:space="0" w:color="auto"/>
            <w:left w:val="none" w:sz="0" w:space="0" w:color="auto"/>
            <w:bottom w:val="none" w:sz="0" w:space="0" w:color="auto"/>
            <w:right w:val="none" w:sz="0" w:space="0" w:color="auto"/>
          </w:divBdr>
        </w:div>
        <w:div w:id="824904369">
          <w:marLeft w:val="640"/>
          <w:marRight w:val="0"/>
          <w:marTop w:val="0"/>
          <w:marBottom w:val="0"/>
          <w:divBdr>
            <w:top w:val="none" w:sz="0" w:space="0" w:color="auto"/>
            <w:left w:val="none" w:sz="0" w:space="0" w:color="auto"/>
            <w:bottom w:val="none" w:sz="0" w:space="0" w:color="auto"/>
            <w:right w:val="none" w:sz="0" w:space="0" w:color="auto"/>
          </w:divBdr>
        </w:div>
        <w:div w:id="716398174">
          <w:marLeft w:val="640"/>
          <w:marRight w:val="0"/>
          <w:marTop w:val="0"/>
          <w:marBottom w:val="0"/>
          <w:divBdr>
            <w:top w:val="none" w:sz="0" w:space="0" w:color="auto"/>
            <w:left w:val="none" w:sz="0" w:space="0" w:color="auto"/>
            <w:bottom w:val="none" w:sz="0" w:space="0" w:color="auto"/>
            <w:right w:val="none" w:sz="0" w:space="0" w:color="auto"/>
          </w:divBdr>
        </w:div>
        <w:div w:id="1406107563">
          <w:marLeft w:val="640"/>
          <w:marRight w:val="0"/>
          <w:marTop w:val="0"/>
          <w:marBottom w:val="0"/>
          <w:divBdr>
            <w:top w:val="none" w:sz="0" w:space="0" w:color="auto"/>
            <w:left w:val="none" w:sz="0" w:space="0" w:color="auto"/>
            <w:bottom w:val="none" w:sz="0" w:space="0" w:color="auto"/>
            <w:right w:val="none" w:sz="0" w:space="0" w:color="auto"/>
          </w:divBdr>
        </w:div>
        <w:div w:id="1974675653">
          <w:marLeft w:val="640"/>
          <w:marRight w:val="0"/>
          <w:marTop w:val="0"/>
          <w:marBottom w:val="0"/>
          <w:divBdr>
            <w:top w:val="none" w:sz="0" w:space="0" w:color="auto"/>
            <w:left w:val="none" w:sz="0" w:space="0" w:color="auto"/>
            <w:bottom w:val="none" w:sz="0" w:space="0" w:color="auto"/>
            <w:right w:val="none" w:sz="0" w:space="0" w:color="auto"/>
          </w:divBdr>
        </w:div>
        <w:div w:id="342360128">
          <w:marLeft w:val="640"/>
          <w:marRight w:val="0"/>
          <w:marTop w:val="0"/>
          <w:marBottom w:val="0"/>
          <w:divBdr>
            <w:top w:val="none" w:sz="0" w:space="0" w:color="auto"/>
            <w:left w:val="none" w:sz="0" w:space="0" w:color="auto"/>
            <w:bottom w:val="none" w:sz="0" w:space="0" w:color="auto"/>
            <w:right w:val="none" w:sz="0" w:space="0" w:color="auto"/>
          </w:divBdr>
        </w:div>
        <w:div w:id="778838029">
          <w:marLeft w:val="640"/>
          <w:marRight w:val="0"/>
          <w:marTop w:val="0"/>
          <w:marBottom w:val="0"/>
          <w:divBdr>
            <w:top w:val="none" w:sz="0" w:space="0" w:color="auto"/>
            <w:left w:val="none" w:sz="0" w:space="0" w:color="auto"/>
            <w:bottom w:val="none" w:sz="0" w:space="0" w:color="auto"/>
            <w:right w:val="none" w:sz="0" w:space="0" w:color="auto"/>
          </w:divBdr>
        </w:div>
        <w:div w:id="347758659">
          <w:marLeft w:val="640"/>
          <w:marRight w:val="0"/>
          <w:marTop w:val="0"/>
          <w:marBottom w:val="0"/>
          <w:divBdr>
            <w:top w:val="none" w:sz="0" w:space="0" w:color="auto"/>
            <w:left w:val="none" w:sz="0" w:space="0" w:color="auto"/>
            <w:bottom w:val="none" w:sz="0" w:space="0" w:color="auto"/>
            <w:right w:val="none" w:sz="0" w:space="0" w:color="auto"/>
          </w:divBdr>
        </w:div>
        <w:div w:id="207110165">
          <w:marLeft w:val="640"/>
          <w:marRight w:val="0"/>
          <w:marTop w:val="0"/>
          <w:marBottom w:val="0"/>
          <w:divBdr>
            <w:top w:val="none" w:sz="0" w:space="0" w:color="auto"/>
            <w:left w:val="none" w:sz="0" w:space="0" w:color="auto"/>
            <w:bottom w:val="none" w:sz="0" w:space="0" w:color="auto"/>
            <w:right w:val="none" w:sz="0" w:space="0" w:color="auto"/>
          </w:divBdr>
        </w:div>
        <w:div w:id="2135437581">
          <w:marLeft w:val="640"/>
          <w:marRight w:val="0"/>
          <w:marTop w:val="0"/>
          <w:marBottom w:val="0"/>
          <w:divBdr>
            <w:top w:val="none" w:sz="0" w:space="0" w:color="auto"/>
            <w:left w:val="none" w:sz="0" w:space="0" w:color="auto"/>
            <w:bottom w:val="none" w:sz="0" w:space="0" w:color="auto"/>
            <w:right w:val="none" w:sz="0" w:space="0" w:color="auto"/>
          </w:divBdr>
        </w:div>
        <w:div w:id="1639725759">
          <w:marLeft w:val="640"/>
          <w:marRight w:val="0"/>
          <w:marTop w:val="0"/>
          <w:marBottom w:val="0"/>
          <w:divBdr>
            <w:top w:val="none" w:sz="0" w:space="0" w:color="auto"/>
            <w:left w:val="none" w:sz="0" w:space="0" w:color="auto"/>
            <w:bottom w:val="none" w:sz="0" w:space="0" w:color="auto"/>
            <w:right w:val="none" w:sz="0" w:space="0" w:color="auto"/>
          </w:divBdr>
        </w:div>
        <w:div w:id="1566645711">
          <w:marLeft w:val="640"/>
          <w:marRight w:val="0"/>
          <w:marTop w:val="0"/>
          <w:marBottom w:val="0"/>
          <w:divBdr>
            <w:top w:val="none" w:sz="0" w:space="0" w:color="auto"/>
            <w:left w:val="none" w:sz="0" w:space="0" w:color="auto"/>
            <w:bottom w:val="none" w:sz="0" w:space="0" w:color="auto"/>
            <w:right w:val="none" w:sz="0" w:space="0" w:color="auto"/>
          </w:divBdr>
        </w:div>
        <w:div w:id="394931133">
          <w:marLeft w:val="640"/>
          <w:marRight w:val="0"/>
          <w:marTop w:val="0"/>
          <w:marBottom w:val="0"/>
          <w:divBdr>
            <w:top w:val="none" w:sz="0" w:space="0" w:color="auto"/>
            <w:left w:val="none" w:sz="0" w:space="0" w:color="auto"/>
            <w:bottom w:val="none" w:sz="0" w:space="0" w:color="auto"/>
            <w:right w:val="none" w:sz="0" w:space="0" w:color="auto"/>
          </w:divBdr>
        </w:div>
        <w:div w:id="1997568678">
          <w:marLeft w:val="640"/>
          <w:marRight w:val="0"/>
          <w:marTop w:val="0"/>
          <w:marBottom w:val="0"/>
          <w:divBdr>
            <w:top w:val="none" w:sz="0" w:space="0" w:color="auto"/>
            <w:left w:val="none" w:sz="0" w:space="0" w:color="auto"/>
            <w:bottom w:val="none" w:sz="0" w:space="0" w:color="auto"/>
            <w:right w:val="none" w:sz="0" w:space="0" w:color="auto"/>
          </w:divBdr>
        </w:div>
        <w:div w:id="1622154245">
          <w:marLeft w:val="640"/>
          <w:marRight w:val="0"/>
          <w:marTop w:val="0"/>
          <w:marBottom w:val="0"/>
          <w:divBdr>
            <w:top w:val="none" w:sz="0" w:space="0" w:color="auto"/>
            <w:left w:val="none" w:sz="0" w:space="0" w:color="auto"/>
            <w:bottom w:val="none" w:sz="0" w:space="0" w:color="auto"/>
            <w:right w:val="none" w:sz="0" w:space="0" w:color="auto"/>
          </w:divBdr>
        </w:div>
        <w:div w:id="2093115255">
          <w:marLeft w:val="640"/>
          <w:marRight w:val="0"/>
          <w:marTop w:val="0"/>
          <w:marBottom w:val="0"/>
          <w:divBdr>
            <w:top w:val="none" w:sz="0" w:space="0" w:color="auto"/>
            <w:left w:val="none" w:sz="0" w:space="0" w:color="auto"/>
            <w:bottom w:val="none" w:sz="0" w:space="0" w:color="auto"/>
            <w:right w:val="none" w:sz="0" w:space="0" w:color="auto"/>
          </w:divBdr>
        </w:div>
        <w:div w:id="1883397532">
          <w:marLeft w:val="640"/>
          <w:marRight w:val="0"/>
          <w:marTop w:val="0"/>
          <w:marBottom w:val="0"/>
          <w:divBdr>
            <w:top w:val="none" w:sz="0" w:space="0" w:color="auto"/>
            <w:left w:val="none" w:sz="0" w:space="0" w:color="auto"/>
            <w:bottom w:val="none" w:sz="0" w:space="0" w:color="auto"/>
            <w:right w:val="none" w:sz="0" w:space="0" w:color="auto"/>
          </w:divBdr>
        </w:div>
        <w:div w:id="1585531155">
          <w:marLeft w:val="640"/>
          <w:marRight w:val="0"/>
          <w:marTop w:val="0"/>
          <w:marBottom w:val="0"/>
          <w:divBdr>
            <w:top w:val="none" w:sz="0" w:space="0" w:color="auto"/>
            <w:left w:val="none" w:sz="0" w:space="0" w:color="auto"/>
            <w:bottom w:val="none" w:sz="0" w:space="0" w:color="auto"/>
            <w:right w:val="none" w:sz="0" w:space="0" w:color="auto"/>
          </w:divBdr>
        </w:div>
        <w:div w:id="37517224">
          <w:marLeft w:val="640"/>
          <w:marRight w:val="0"/>
          <w:marTop w:val="0"/>
          <w:marBottom w:val="0"/>
          <w:divBdr>
            <w:top w:val="none" w:sz="0" w:space="0" w:color="auto"/>
            <w:left w:val="none" w:sz="0" w:space="0" w:color="auto"/>
            <w:bottom w:val="none" w:sz="0" w:space="0" w:color="auto"/>
            <w:right w:val="none" w:sz="0" w:space="0" w:color="auto"/>
          </w:divBdr>
        </w:div>
        <w:div w:id="207382391">
          <w:marLeft w:val="640"/>
          <w:marRight w:val="0"/>
          <w:marTop w:val="0"/>
          <w:marBottom w:val="0"/>
          <w:divBdr>
            <w:top w:val="none" w:sz="0" w:space="0" w:color="auto"/>
            <w:left w:val="none" w:sz="0" w:space="0" w:color="auto"/>
            <w:bottom w:val="none" w:sz="0" w:space="0" w:color="auto"/>
            <w:right w:val="none" w:sz="0" w:space="0" w:color="auto"/>
          </w:divBdr>
        </w:div>
        <w:div w:id="1987976724">
          <w:marLeft w:val="640"/>
          <w:marRight w:val="0"/>
          <w:marTop w:val="0"/>
          <w:marBottom w:val="0"/>
          <w:divBdr>
            <w:top w:val="none" w:sz="0" w:space="0" w:color="auto"/>
            <w:left w:val="none" w:sz="0" w:space="0" w:color="auto"/>
            <w:bottom w:val="none" w:sz="0" w:space="0" w:color="auto"/>
            <w:right w:val="none" w:sz="0" w:space="0" w:color="auto"/>
          </w:divBdr>
        </w:div>
        <w:div w:id="120272903">
          <w:marLeft w:val="640"/>
          <w:marRight w:val="0"/>
          <w:marTop w:val="0"/>
          <w:marBottom w:val="0"/>
          <w:divBdr>
            <w:top w:val="none" w:sz="0" w:space="0" w:color="auto"/>
            <w:left w:val="none" w:sz="0" w:space="0" w:color="auto"/>
            <w:bottom w:val="none" w:sz="0" w:space="0" w:color="auto"/>
            <w:right w:val="none" w:sz="0" w:space="0" w:color="auto"/>
          </w:divBdr>
        </w:div>
        <w:div w:id="161361596">
          <w:marLeft w:val="640"/>
          <w:marRight w:val="0"/>
          <w:marTop w:val="0"/>
          <w:marBottom w:val="0"/>
          <w:divBdr>
            <w:top w:val="none" w:sz="0" w:space="0" w:color="auto"/>
            <w:left w:val="none" w:sz="0" w:space="0" w:color="auto"/>
            <w:bottom w:val="none" w:sz="0" w:space="0" w:color="auto"/>
            <w:right w:val="none" w:sz="0" w:space="0" w:color="auto"/>
          </w:divBdr>
        </w:div>
        <w:div w:id="1756318488">
          <w:marLeft w:val="640"/>
          <w:marRight w:val="0"/>
          <w:marTop w:val="0"/>
          <w:marBottom w:val="0"/>
          <w:divBdr>
            <w:top w:val="none" w:sz="0" w:space="0" w:color="auto"/>
            <w:left w:val="none" w:sz="0" w:space="0" w:color="auto"/>
            <w:bottom w:val="none" w:sz="0" w:space="0" w:color="auto"/>
            <w:right w:val="none" w:sz="0" w:space="0" w:color="auto"/>
          </w:divBdr>
        </w:div>
        <w:div w:id="1949509136">
          <w:marLeft w:val="640"/>
          <w:marRight w:val="0"/>
          <w:marTop w:val="0"/>
          <w:marBottom w:val="0"/>
          <w:divBdr>
            <w:top w:val="none" w:sz="0" w:space="0" w:color="auto"/>
            <w:left w:val="none" w:sz="0" w:space="0" w:color="auto"/>
            <w:bottom w:val="none" w:sz="0" w:space="0" w:color="auto"/>
            <w:right w:val="none" w:sz="0" w:space="0" w:color="auto"/>
          </w:divBdr>
        </w:div>
        <w:div w:id="1102608021">
          <w:marLeft w:val="640"/>
          <w:marRight w:val="0"/>
          <w:marTop w:val="0"/>
          <w:marBottom w:val="0"/>
          <w:divBdr>
            <w:top w:val="none" w:sz="0" w:space="0" w:color="auto"/>
            <w:left w:val="none" w:sz="0" w:space="0" w:color="auto"/>
            <w:bottom w:val="none" w:sz="0" w:space="0" w:color="auto"/>
            <w:right w:val="none" w:sz="0" w:space="0" w:color="auto"/>
          </w:divBdr>
        </w:div>
        <w:div w:id="1373070946">
          <w:marLeft w:val="640"/>
          <w:marRight w:val="0"/>
          <w:marTop w:val="0"/>
          <w:marBottom w:val="0"/>
          <w:divBdr>
            <w:top w:val="none" w:sz="0" w:space="0" w:color="auto"/>
            <w:left w:val="none" w:sz="0" w:space="0" w:color="auto"/>
            <w:bottom w:val="none" w:sz="0" w:space="0" w:color="auto"/>
            <w:right w:val="none" w:sz="0" w:space="0" w:color="auto"/>
          </w:divBdr>
        </w:div>
        <w:div w:id="1507204452">
          <w:marLeft w:val="640"/>
          <w:marRight w:val="0"/>
          <w:marTop w:val="0"/>
          <w:marBottom w:val="0"/>
          <w:divBdr>
            <w:top w:val="none" w:sz="0" w:space="0" w:color="auto"/>
            <w:left w:val="none" w:sz="0" w:space="0" w:color="auto"/>
            <w:bottom w:val="none" w:sz="0" w:space="0" w:color="auto"/>
            <w:right w:val="none" w:sz="0" w:space="0" w:color="auto"/>
          </w:divBdr>
        </w:div>
        <w:div w:id="395008027">
          <w:marLeft w:val="640"/>
          <w:marRight w:val="0"/>
          <w:marTop w:val="0"/>
          <w:marBottom w:val="0"/>
          <w:divBdr>
            <w:top w:val="none" w:sz="0" w:space="0" w:color="auto"/>
            <w:left w:val="none" w:sz="0" w:space="0" w:color="auto"/>
            <w:bottom w:val="none" w:sz="0" w:space="0" w:color="auto"/>
            <w:right w:val="none" w:sz="0" w:space="0" w:color="auto"/>
          </w:divBdr>
        </w:div>
        <w:div w:id="729613174">
          <w:marLeft w:val="640"/>
          <w:marRight w:val="0"/>
          <w:marTop w:val="0"/>
          <w:marBottom w:val="0"/>
          <w:divBdr>
            <w:top w:val="none" w:sz="0" w:space="0" w:color="auto"/>
            <w:left w:val="none" w:sz="0" w:space="0" w:color="auto"/>
            <w:bottom w:val="none" w:sz="0" w:space="0" w:color="auto"/>
            <w:right w:val="none" w:sz="0" w:space="0" w:color="auto"/>
          </w:divBdr>
        </w:div>
        <w:div w:id="1442648471">
          <w:marLeft w:val="640"/>
          <w:marRight w:val="0"/>
          <w:marTop w:val="0"/>
          <w:marBottom w:val="0"/>
          <w:divBdr>
            <w:top w:val="none" w:sz="0" w:space="0" w:color="auto"/>
            <w:left w:val="none" w:sz="0" w:space="0" w:color="auto"/>
            <w:bottom w:val="none" w:sz="0" w:space="0" w:color="auto"/>
            <w:right w:val="none" w:sz="0" w:space="0" w:color="auto"/>
          </w:divBdr>
        </w:div>
        <w:div w:id="1508908220">
          <w:marLeft w:val="640"/>
          <w:marRight w:val="0"/>
          <w:marTop w:val="0"/>
          <w:marBottom w:val="0"/>
          <w:divBdr>
            <w:top w:val="none" w:sz="0" w:space="0" w:color="auto"/>
            <w:left w:val="none" w:sz="0" w:space="0" w:color="auto"/>
            <w:bottom w:val="none" w:sz="0" w:space="0" w:color="auto"/>
            <w:right w:val="none" w:sz="0" w:space="0" w:color="auto"/>
          </w:divBdr>
        </w:div>
        <w:div w:id="1674604468">
          <w:marLeft w:val="640"/>
          <w:marRight w:val="0"/>
          <w:marTop w:val="0"/>
          <w:marBottom w:val="0"/>
          <w:divBdr>
            <w:top w:val="none" w:sz="0" w:space="0" w:color="auto"/>
            <w:left w:val="none" w:sz="0" w:space="0" w:color="auto"/>
            <w:bottom w:val="none" w:sz="0" w:space="0" w:color="auto"/>
            <w:right w:val="none" w:sz="0" w:space="0" w:color="auto"/>
          </w:divBdr>
        </w:div>
        <w:div w:id="81991516">
          <w:marLeft w:val="640"/>
          <w:marRight w:val="0"/>
          <w:marTop w:val="0"/>
          <w:marBottom w:val="0"/>
          <w:divBdr>
            <w:top w:val="none" w:sz="0" w:space="0" w:color="auto"/>
            <w:left w:val="none" w:sz="0" w:space="0" w:color="auto"/>
            <w:bottom w:val="none" w:sz="0" w:space="0" w:color="auto"/>
            <w:right w:val="none" w:sz="0" w:space="0" w:color="auto"/>
          </w:divBdr>
        </w:div>
        <w:div w:id="911887985">
          <w:marLeft w:val="640"/>
          <w:marRight w:val="0"/>
          <w:marTop w:val="0"/>
          <w:marBottom w:val="0"/>
          <w:divBdr>
            <w:top w:val="none" w:sz="0" w:space="0" w:color="auto"/>
            <w:left w:val="none" w:sz="0" w:space="0" w:color="auto"/>
            <w:bottom w:val="none" w:sz="0" w:space="0" w:color="auto"/>
            <w:right w:val="none" w:sz="0" w:space="0" w:color="auto"/>
          </w:divBdr>
        </w:div>
        <w:div w:id="1821994297">
          <w:marLeft w:val="640"/>
          <w:marRight w:val="0"/>
          <w:marTop w:val="0"/>
          <w:marBottom w:val="0"/>
          <w:divBdr>
            <w:top w:val="none" w:sz="0" w:space="0" w:color="auto"/>
            <w:left w:val="none" w:sz="0" w:space="0" w:color="auto"/>
            <w:bottom w:val="none" w:sz="0" w:space="0" w:color="auto"/>
            <w:right w:val="none" w:sz="0" w:space="0" w:color="auto"/>
          </w:divBdr>
        </w:div>
        <w:div w:id="1505048924">
          <w:marLeft w:val="640"/>
          <w:marRight w:val="0"/>
          <w:marTop w:val="0"/>
          <w:marBottom w:val="0"/>
          <w:divBdr>
            <w:top w:val="none" w:sz="0" w:space="0" w:color="auto"/>
            <w:left w:val="none" w:sz="0" w:space="0" w:color="auto"/>
            <w:bottom w:val="none" w:sz="0" w:space="0" w:color="auto"/>
            <w:right w:val="none" w:sz="0" w:space="0" w:color="auto"/>
          </w:divBdr>
        </w:div>
        <w:div w:id="492915695">
          <w:marLeft w:val="640"/>
          <w:marRight w:val="0"/>
          <w:marTop w:val="0"/>
          <w:marBottom w:val="0"/>
          <w:divBdr>
            <w:top w:val="none" w:sz="0" w:space="0" w:color="auto"/>
            <w:left w:val="none" w:sz="0" w:space="0" w:color="auto"/>
            <w:bottom w:val="none" w:sz="0" w:space="0" w:color="auto"/>
            <w:right w:val="none" w:sz="0" w:space="0" w:color="auto"/>
          </w:divBdr>
        </w:div>
        <w:div w:id="953439955">
          <w:marLeft w:val="640"/>
          <w:marRight w:val="0"/>
          <w:marTop w:val="0"/>
          <w:marBottom w:val="0"/>
          <w:divBdr>
            <w:top w:val="none" w:sz="0" w:space="0" w:color="auto"/>
            <w:left w:val="none" w:sz="0" w:space="0" w:color="auto"/>
            <w:bottom w:val="none" w:sz="0" w:space="0" w:color="auto"/>
            <w:right w:val="none" w:sz="0" w:space="0" w:color="auto"/>
          </w:divBdr>
        </w:div>
        <w:div w:id="1910920398">
          <w:marLeft w:val="640"/>
          <w:marRight w:val="0"/>
          <w:marTop w:val="0"/>
          <w:marBottom w:val="0"/>
          <w:divBdr>
            <w:top w:val="none" w:sz="0" w:space="0" w:color="auto"/>
            <w:left w:val="none" w:sz="0" w:space="0" w:color="auto"/>
            <w:bottom w:val="none" w:sz="0" w:space="0" w:color="auto"/>
            <w:right w:val="none" w:sz="0" w:space="0" w:color="auto"/>
          </w:divBdr>
        </w:div>
        <w:div w:id="1901791324">
          <w:marLeft w:val="640"/>
          <w:marRight w:val="0"/>
          <w:marTop w:val="0"/>
          <w:marBottom w:val="0"/>
          <w:divBdr>
            <w:top w:val="none" w:sz="0" w:space="0" w:color="auto"/>
            <w:left w:val="none" w:sz="0" w:space="0" w:color="auto"/>
            <w:bottom w:val="none" w:sz="0" w:space="0" w:color="auto"/>
            <w:right w:val="none" w:sz="0" w:space="0" w:color="auto"/>
          </w:divBdr>
        </w:div>
        <w:div w:id="703940534">
          <w:marLeft w:val="640"/>
          <w:marRight w:val="0"/>
          <w:marTop w:val="0"/>
          <w:marBottom w:val="0"/>
          <w:divBdr>
            <w:top w:val="none" w:sz="0" w:space="0" w:color="auto"/>
            <w:left w:val="none" w:sz="0" w:space="0" w:color="auto"/>
            <w:bottom w:val="none" w:sz="0" w:space="0" w:color="auto"/>
            <w:right w:val="none" w:sz="0" w:space="0" w:color="auto"/>
          </w:divBdr>
        </w:div>
        <w:div w:id="585310288">
          <w:marLeft w:val="640"/>
          <w:marRight w:val="0"/>
          <w:marTop w:val="0"/>
          <w:marBottom w:val="0"/>
          <w:divBdr>
            <w:top w:val="none" w:sz="0" w:space="0" w:color="auto"/>
            <w:left w:val="none" w:sz="0" w:space="0" w:color="auto"/>
            <w:bottom w:val="none" w:sz="0" w:space="0" w:color="auto"/>
            <w:right w:val="none" w:sz="0" w:space="0" w:color="auto"/>
          </w:divBdr>
        </w:div>
        <w:div w:id="672537123">
          <w:marLeft w:val="640"/>
          <w:marRight w:val="0"/>
          <w:marTop w:val="0"/>
          <w:marBottom w:val="0"/>
          <w:divBdr>
            <w:top w:val="none" w:sz="0" w:space="0" w:color="auto"/>
            <w:left w:val="none" w:sz="0" w:space="0" w:color="auto"/>
            <w:bottom w:val="none" w:sz="0" w:space="0" w:color="auto"/>
            <w:right w:val="none" w:sz="0" w:space="0" w:color="auto"/>
          </w:divBdr>
        </w:div>
        <w:div w:id="1227909971">
          <w:marLeft w:val="640"/>
          <w:marRight w:val="0"/>
          <w:marTop w:val="0"/>
          <w:marBottom w:val="0"/>
          <w:divBdr>
            <w:top w:val="none" w:sz="0" w:space="0" w:color="auto"/>
            <w:left w:val="none" w:sz="0" w:space="0" w:color="auto"/>
            <w:bottom w:val="none" w:sz="0" w:space="0" w:color="auto"/>
            <w:right w:val="none" w:sz="0" w:space="0" w:color="auto"/>
          </w:divBdr>
        </w:div>
        <w:div w:id="1689983842">
          <w:marLeft w:val="640"/>
          <w:marRight w:val="0"/>
          <w:marTop w:val="0"/>
          <w:marBottom w:val="0"/>
          <w:divBdr>
            <w:top w:val="none" w:sz="0" w:space="0" w:color="auto"/>
            <w:left w:val="none" w:sz="0" w:space="0" w:color="auto"/>
            <w:bottom w:val="none" w:sz="0" w:space="0" w:color="auto"/>
            <w:right w:val="none" w:sz="0" w:space="0" w:color="auto"/>
          </w:divBdr>
        </w:div>
        <w:div w:id="433595493">
          <w:marLeft w:val="640"/>
          <w:marRight w:val="0"/>
          <w:marTop w:val="0"/>
          <w:marBottom w:val="0"/>
          <w:divBdr>
            <w:top w:val="none" w:sz="0" w:space="0" w:color="auto"/>
            <w:left w:val="none" w:sz="0" w:space="0" w:color="auto"/>
            <w:bottom w:val="none" w:sz="0" w:space="0" w:color="auto"/>
            <w:right w:val="none" w:sz="0" w:space="0" w:color="auto"/>
          </w:divBdr>
        </w:div>
        <w:div w:id="1487162412">
          <w:marLeft w:val="640"/>
          <w:marRight w:val="0"/>
          <w:marTop w:val="0"/>
          <w:marBottom w:val="0"/>
          <w:divBdr>
            <w:top w:val="none" w:sz="0" w:space="0" w:color="auto"/>
            <w:left w:val="none" w:sz="0" w:space="0" w:color="auto"/>
            <w:bottom w:val="none" w:sz="0" w:space="0" w:color="auto"/>
            <w:right w:val="none" w:sz="0" w:space="0" w:color="auto"/>
          </w:divBdr>
        </w:div>
        <w:div w:id="1127158870">
          <w:marLeft w:val="640"/>
          <w:marRight w:val="0"/>
          <w:marTop w:val="0"/>
          <w:marBottom w:val="0"/>
          <w:divBdr>
            <w:top w:val="none" w:sz="0" w:space="0" w:color="auto"/>
            <w:left w:val="none" w:sz="0" w:space="0" w:color="auto"/>
            <w:bottom w:val="none" w:sz="0" w:space="0" w:color="auto"/>
            <w:right w:val="none" w:sz="0" w:space="0" w:color="auto"/>
          </w:divBdr>
        </w:div>
        <w:div w:id="1024283379">
          <w:marLeft w:val="640"/>
          <w:marRight w:val="0"/>
          <w:marTop w:val="0"/>
          <w:marBottom w:val="0"/>
          <w:divBdr>
            <w:top w:val="none" w:sz="0" w:space="0" w:color="auto"/>
            <w:left w:val="none" w:sz="0" w:space="0" w:color="auto"/>
            <w:bottom w:val="none" w:sz="0" w:space="0" w:color="auto"/>
            <w:right w:val="none" w:sz="0" w:space="0" w:color="auto"/>
          </w:divBdr>
        </w:div>
        <w:div w:id="1334651074">
          <w:marLeft w:val="640"/>
          <w:marRight w:val="0"/>
          <w:marTop w:val="0"/>
          <w:marBottom w:val="0"/>
          <w:divBdr>
            <w:top w:val="none" w:sz="0" w:space="0" w:color="auto"/>
            <w:left w:val="none" w:sz="0" w:space="0" w:color="auto"/>
            <w:bottom w:val="none" w:sz="0" w:space="0" w:color="auto"/>
            <w:right w:val="none" w:sz="0" w:space="0" w:color="auto"/>
          </w:divBdr>
        </w:div>
        <w:div w:id="749960641">
          <w:marLeft w:val="640"/>
          <w:marRight w:val="0"/>
          <w:marTop w:val="0"/>
          <w:marBottom w:val="0"/>
          <w:divBdr>
            <w:top w:val="none" w:sz="0" w:space="0" w:color="auto"/>
            <w:left w:val="none" w:sz="0" w:space="0" w:color="auto"/>
            <w:bottom w:val="none" w:sz="0" w:space="0" w:color="auto"/>
            <w:right w:val="none" w:sz="0" w:space="0" w:color="auto"/>
          </w:divBdr>
        </w:div>
        <w:div w:id="2108304019">
          <w:marLeft w:val="640"/>
          <w:marRight w:val="0"/>
          <w:marTop w:val="0"/>
          <w:marBottom w:val="0"/>
          <w:divBdr>
            <w:top w:val="none" w:sz="0" w:space="0" w:color="auto"/>
            <w:left w:val="none" w:sz="0" w:space="0" w:color="auto"/>
            <w:bottom w:val="none" w:sz="0" w:space="0" w:color="auto"/>
            <w:right w:val="none" w:sz="0" w:space="0" w:color="auto"/>
          </w:divBdr>
        </w:div>
        <w:div w:id="1804107144">
          <w:marLeft w:val="640"/>
          <w:marRight w:val="0"/>
          <w:marTop w:val="0"/>
          <w:marBottom w:val="0"/>
          <w:divBdr>
            <w:top w:val="none" w:sz="0" w:space="0" w:color="auto"/>
            <w:left w:val="none" w:sz="0" w:space="0" w:color="auto"/>
            <w:bottom w:val="none" w:sz="0" w:space="0" w:color="auto"/>
            <w:right w:val="none" w:sz="0" w:space="0" w:color="auto"/>
          </w:divBdr>
        </w:div>
        <w:div w:id="2072997171">
          <w:marLeft w:val="640"/>
          <w:marRight w:val="0"/>
          <w:marTop w:val="0"/>
          <w:marBottom w:val="0"/>
          <w:divBdr>
            <w:top w:val="none" w:sz="0" w:space="0" w:color="auto"/>
            <w:left w:val="none" w:sz="0" w:space="0" w:color="auto"/>
            <w:bottom w:val="none" w:sz="0" w:space="0" w:color="auto"/>
            <w:right w:val="none" w:sz="0" w:space="0" w:color="auto"/>
          </w:divBdr>
        </w:div>
        <w:div w:id="1510636383">
          <w:marLeft w:val="640"/>
          <w:marRight w:val="0"/>
          <w:marTop w:val="0"/>
          <w:marBottom w:val="0"/>
          <w:divBdr>
            <w:top w:val="none" w:sz="0" w:space="0" w:color="auto"/>
            <w:left w:val="none" w:sz="0" w:space="0" w:color="auto"/>
            <w:bottom w:val="none" w:sz="0" w:space="0" w:color="auto"/>
            <w:right w:val="none" w:sz="0" w:space="0" w:color="auto"/>
          </w:divBdr>
        </w:div>
        <w:div w:id="425657930">
          <w:marLeft w:val="640"/>
          <w:marRight w:val="0"/>
          <w:marTop w:val="0"/>
          <w:marBottom w:val="0"/>
          <w:divBdr>
            <w:top w:val="none" w:sz="0" w:space="0" w:color="auto"/>
            <w:left w:val="none" w:sz="0" w:space="0" w:color="auto"/>
            <w:bottom w:val="none" w:sz="0" w:space="0" w:color="auto"/>
            <w:right w:val="none" w:sz="0" w:space="0" w:color="auto"/>
          </w:divBdr>
        </w:div>
        <w:div w:id="1232077914">
          <w:marLeft w:val="640"/>
          <w:marRight w:val="0"/>
          <w:marTop w:val="0"/>
          <w:marBottom w:val="0"/>
          <w:divBdr>
            <w:top w:val="none" w:sz="0" w:space="0" w:color="auto"/>
            <w:left w:val="none" w:sz="0" w:space="0" w:color="auto"/>
            <w:bottom w:val="none" w:sz="0" w:space="0" w:color="auto"/>
            <w:right w:val="none" w:sz="0" w:space="0" w:color="auto"/>
          </w:divBdr>
        </w:div>
        <w:div w:id="2024359461">
          <w:marLeft w:val="640"/>
          <w:marRight w:val="0"/>
          <w:marTop w:val="0"/>
          <w:marBottom w:val="0"/>
          <w:divBdr>
            <w:top w:val="none" w:sz="0" w:space="0" w:color="auto"/>
            <w:left w:val="none" w:sz="0" w:space="0" w:color="auto"/>
            <w:bottom w:val="none" w:sz="0" w:space="0" w:color="auto"/>
            <w:right w:val="none" w:sz="0" w:space="0" w:color="auto"/>
          </w:divBdr>
        </w:div>
        <w:div w:id="237643317">
          <w:marLeft w:val="640"/>
          <w:marRight w:val="0"/>
          <w:marTop w:val="0"/>
          <w:marBottom w:val="0"/>
          <w:divBdr>
            <w:top w:val="none" w:sz="0" w:space="0" w:color="auto"/>
            <w:left w:val="none" w:sz="0" w:space="0" w:color="auto"/>
            <w:bottom w:val="none" w:sz="0" w:space="0" w:color="auto"/>
            <w:right w:val="none" w:sz="0" w:space="0" w:color="auto"/>
          </w:divBdr>
        </w:div>
        <w:div w:id="1090466386">
          <w:marLeft w:val="640"/>
          <w:marRight w:val="0"/>
          <w:marTop w:val="0"/>
          <w:marBottom w:val="0"/>
          <w:divBdr>
            <w:top w:val="none" w:sz="0" w:space="0" w:color="auto"/>
            <w:left w:val="none" w:sz="0" w:space="0" w:color="auto"/>
            <w:bottom w:val="none" w:sz="0" w:space="0" w:color="auto"/>
            <w:right w:val="none" w:sz="0" w:space="0" w:color="auto"/>
          </w:divBdr>
        </w:div>
        <w:div w:id="325130117">
          <w:marLeft w:val="640"/>
          <w:marRight w:val="0"/>
          <w:marTop w:val="0"/>
          <w:marBottom w:val="0"/>
          <w:divBdr>
            <w:top w:val="none" w:sz="0" w:space="0" w:color="auto"/>
            <w:left w:val="none" w:sz="0" w:space="0" w:color="auto"/>
            <w:bottom w:val="none" w:sz="0" w:space="0" w:color="auto"/>
            <w:right w:val="none" w:sz="0" w:space="0" w:color="auto"/>
          </w:divBdr>
        </w:div>
        <w:div w:id="1333798447">
          <w:marLeft w:val="640"/>
          <w:marRight w:val="0"/>
          <w:marTop w:val="0"/>
          <w:marBottom w:val="0"/>
          <w:divBdr>
            <w:top w:val="none" w:sz="0" w:space="0" w:color="auto"/>
            <w:left w:val="none" w:sz="0" w:space="0" w:color="auto"/>
            <w:bottom w:val="none" w:sz="0" w:space="0" w:color="auto"/>
            <w:right w:val="none" w:sz="0" w:space="0" w:color="auto"/>
          </w:divBdr>
        </w:div>
        <w:div w:id="1791632781">
          <w:marLeft w:val="640"/>
          <w:marRight w:val="0"/>
          <w:marTop w:val="0"/>
          <w:marBottom w:val="0"/>
          <w:divBdr>
            <w:top w:val="none" w:sz="0" w:space="0" w:color="auto"/>
            <w:left w:val="none" w:sz="0" w:space="0" w:color="auto"/>
            <w:bottom w:val="none" w:sz="0" w:space="0" w:color="auto"/>
            <w:right w:val="none" w:sz="0" w:space="0" w:color="auto"/>
          </w:divBdr>
        </w:div>
        <w:div w:id="902376727">
          <w:marLeft w:val="640"/>
          <w:marRight w:val="0"/>
          <w:marTop w:val="0"/>
          <w:marBottom w:val="0"/>
          <w:divBdr>
            <w:top w:val="none" w:sz="0" w:space="0" w:color="auto"/>
            <w:left w:val="none" w:sz="0" w:space="0" w:color="auto"/>
            <w:bottom w:val="none" w:sz="0" w:space="0" w:color="auto"/>
            <w:right w:val="none" w:sz="0" w:space="0" w:color="auto"/>
          </w:divBdr>
        </w:div>
        <w:div w:id="1343969350">
          <w:marLeft w:val="640"/>
          <w:marRight w:val="0"/>
          <w:marTop w:val="0"/>
          <w:marBottom w:val="0"/>
          <w:divBdr>
            <w:top w:val="none" w:sz="0" w:space="0" w:color="auto"/>
            <w:left w:val="none" w:sz="0" w:space="0" w:color="auto"/>
            <w:bottom w:val="none" w:sz="0" w:space="0" w:color="auto"/>
            <w:right w:val="none" w:sz="0" w:space="0" w:color="auto"/>
          </w:divBdr>
        </w:div>
        <w:div w:id="641232343">
          <w:marLeft w:val="640"/>
          <w:marRight w:val="0"/>
          <w:marTop w:val="0"/>
          <w:marBottom w:val="0"/>
          <w:divBdr>
            <w:top w:val="none" w:sz="0" w:space="0" w:color="auto"/>
            <w:left w:val="none" w:sz="0" w:space="0" w:color="auto"/>
            <w:bottom w:val="none" w:sz="0" w:space="0" w:color="auto"/>
            <w:right w:val="none" w:sz="0" w:space="0" w:color="auto"/>
          </w:divBdr>
        </w:div>
        <w:div w:id="2129278519">
          <w:marLeft w:val="640"/>
          <w:marRight w:val="0"/>
          <w:marTop w:val="0"/>
          <w:marBottom w:val="0"/>
          <w:divBdr>
            <w:top w:val="none" w:sz="0" w:space="0" w:color="auto"/>
            <w:left w:val="none" w:sz="0" w:space="0" w:color="auto"/>
            <w:bottom w:val="none" w:sz="0" w:space="0" w:color="auto"/>
            <w:right w:val="none" w:sz="0" w:space="0" w:color="auto"/>
          </w:divBdr>
        </w:div>
        <w:div w:id="1718503735">
          <w:marLeft w:val="640"/>
          <w:marRight w:val="0"/>
          <w:marTop w:val="0"/>
          <w:marBottom w:val="0"/>
          <w:divBdr>
            <w:top w:val="none" w:sz="0" w:space="0" w:color="auto"/>
            <w:left w:val="none" w:sz="0" w:space="0" w:color="auto"/>
            <w:bottom w:val="none" w:sz="0" w:space="0" w:color="auto"/>
            <w:right w:val="none" w:sz="0" w:space="0" w:color="auto"/>
          </w:divBdr>
        </w:div>
        <w:div w:id="1393582013">
          <w:marLeft w:val="640"/>
          <w:marRight w:val="0"/>
          <w:marTop w:val="0"/>
          <w:marBottom w:val="0"/>
          <w:divBdr>
            <w:top w:val="none" w:sz="0" w:space="0" w:color="auto"/>
            <w:left w:val="none" w:sz="0" w:space="0" w:color="auto"/>
            <w:bottom w:val="none" w:sz="0" w:space="0" w:color="auto"/>
            <w:right w:val="none" w:sz="0" w:space="0" w:color="auto"/>
          </w:divBdr>
        </w:div>
        <w:div w:id="189995439">
          <w:marLeft w:val="640"/>
          <w:marRight w:val="0"/>
          <w:marTop w:val="0"/>
          <w:marBottom w:val="0"/>
          <w:divBdr>
            <w:top w:val="none" w:sz="0" w:space="0" w:color="auto"/>
            <w:left w:val="none" w:sz="0" w:space="0" w:color="auto"/>
            <w:bottom w:val="none" w:sz="0" w:space="0" w:color="auto"/>
            <w:right w:val="none" w:sz="0" w:space="0" w:color="auto"/>
          </w:divBdr>
        </w:div>
        <w:div w:id="1424759672">
          <w:marLeft w:val="640"/>
          <w:marRight w:val="0"/>
          <w:marTop w:val="0"/>
          <w:marBottom w:val="0"/>
          <w:divBdr>
            <w:top w:val="none" w:sz="0" w:space="0" w:color="auto"/>
            <w:left w:val="none" w:sz="0" w:space="0" w:color="auto"/>
            <w:bottom w:val="none" w:sz="0" w:space="0" w:color="auto"/>
            <w:right w:val="none" w:sz="0" w:space="0" w:color="auto"/>
          </w:divBdr>
        </w:div>
        <w:div w:id="1388409722">
          <w:marLeft w:val="640"/>
          <w:marRight w:val="0"/>
          <w:marTop w:val="0"/>
          <w:marBottom w:val="0"/>
          <w:divBdr>
            <w:top w:val="none" w:sz="0" w:space="0" w:color="auto"/>
            <w:left w:val="none" w:sz="0" w:space="0" w:color="auto"/>
            <w:bottom w:val="none" w:sz="0" w:space="0" w:color="auto"/>
            <w:right w:val="none" w:sz="0" w:space="0" w:color="auto"/>
          </w:divBdr>
        </w:div>
        <w:div w:id="860436167">
          <w:marLeft w:val="640"/>
          <w:marRight w:val="0"/>
          <w:marTop w:val="0"/>
          <w:marBottom w:val="0"/>
          <w:divBdr>
            <w:top w:val="none" w:sz="0" w:space="0" w:color="auto"/>
            <w:left w:val="none" w:sz="0" w:space="0" w:color="auto"/>
            <w:bottom w:val="none" w:sz="0" w:space="0" w:color="auto"/>
            <w:right w:val="none" w:sz="0" w:space="0" w:color="auto"/>
          </w:divBdr>
        </w:div>
        <w:div w:id="359473491">
          <w:marLeft w:val="640"/>
          <w:marRight w:val="0"/>
          <w:marTop w:val="0"/>
          <w:marBottom w:val="0"/>
          <w:divBdr>
            <w:top w:val="none" w:sz="0" w:space="0" w:color="auto"/>
            <w:left w:val="none" w:sz="0" w:space="0" w:color="auto"/>
            <w:bottom w:val="none" w:sz="0" w:space="0" w:color="auto"/>
            <w:right w:val="none" w:sz="0" w:space="0" w:color="auto"/>
          </w:divBdr>
        </w:div>
        <w:div w:id="291181233">
          <w:marLeft w:val="640"/>
          <w:marRight w:val="0"/>
          <w:marTop w:val="0"/>
          <w:marBottom w:val="0"/>
          <w:divBdr>
            <w:top w:val="none" w:sz="0" w:space="0" w:color="auto"/>
            <w:left w:val="none" w:sz="0" w:space="0" w:color="auto"/>
            <w:bottom w:val="none" w:sz="0" w:space="0" w:color="auto"/>
            <w:right w:val="none" w:sz="0" w:space="0" w:color="auto"/>
          </w:divBdr>
        </w:div>
        <w:div w:id="534271054">
          <w:marLeft w:val="640"/>
          <w:marRight w:val="0"/>
          <w:marTop w:val="0"/>
          <w:marBottom w:val="0"/>
          <w:divBdr>
            <w:top w:val="none" w:sz="0" w:space="0" w:color="auto"/>
            <w:left w:val="none" w:sz="0" w:space="0" w:color="auto"/>
            <w:bottom w:val="none" w:sz="0" w:space="0" w:color="auto"/>
            <w:right w:val="none" w:sz="0" w:space="0" w:color="auto"/>
          </w:divBdr>
        </w:div>
        <w:div w:id="1299647083">
          <w:marLeft w:val="640"/>
          <w:marRight w:val="0"/>
          <w:marTop w:val="0"/>
          <w:marBottom w:val="0"/>
          <w:divBdr>
            <w:top w:val="none" w:sz="0" w:space="0" w:color="auto"/>
            <w:left w:val="none" w:sz="0" w:space="0" w:color="auto"/>
            <w:bottom w:val="none" w:sz="0" w:space="0" w:color="auto"/>
            <w:right w:val="none" w:sz="0" w:space="0" w:color="auto"/>
          </w:divBdr>
        </w:div>
        <w:div w:id="971445679">
          <w:marLeft w:val="640"/>
          <w:marRight w:val="0"/>
          <w:marTop w:val="0"/>
          <w:marBottom w:val="0"/>
          <w:divBdr>
            <w:top w:val="none" w:sz="0" w:space="0" w:color="auto"/>
            <w:left w:val="none" w:sz="0" w:space="0" w:color="auto"/>
            <w:bottom w:val="none" w:sz="0" w:space="0" w:color="auto"/>
            <w:right w:val="none" w:sz="0" w:space="0" w:color="auto"/>
          </w:divBdr>
        </w:div>
        <w:div w:id="1869558964">
          <w:marLeft w:val="640"/>
          <w:marRight w:val="0"/>
          <w:marTop w:val="0"/>
          <w:marBottom w:val="0"/>
          <w:divBdr>
            <w:top w:val="none" w:sz="0" w:space="0" w:color="auto"/>
            <w:left w:val="none" w:sz="0" w:space="0" w:color="auto"/>
            <w:bottom w:val="none" w:sz="0" w:space="0" w:color="auto"/>
            <w:right w:val="none" w:sz="0" w:space="0" w:color="auto"/>
          </w:divBdr>
        </w:div>
        <w:div w:id="1734892055">
          <w:marLeft w:val="640"/>
          <w:marRight w:val="0"/>
          <w:marTop w:val="0"/>
          <w:marBottom w:val="0"/>
          <w:divBdr>
            <w:top w:val="none" w:sz="0" w:space="0" w:color="auto"/>
            <w:left w:val="none" w:sz="0" w:space="0" w:color="auto"/>
            <w:bottom w:val="none" w:sz="0" w:space="0" w:color="auto"/>
            <w:right w:val="none" w:sz="0" w:space="0" w:color="auto"/>
          </w:divBdr>
        </w:div>
        <w:div w:id="1306622156">
          <w:marLeft w:val="640"/>
          <w:marRight w:val="0"/>
          <w:marTop w:val="0"/>
          <w:marBottom w:val="0"/>
          <w:divBdr>
            <w:top w:val="none" w:sz="0" w:space="0" w:color="auto"/>
            <w:left w:val="none" w:sz="0" w:space="0" w:color="auto"/>
            <w:bottom w:val="none" w:sz="0" w:space="0" w:color="auto"/>
            <w:right w:val="none" w:sz="0" w:space="0" w:color="auto"/>
          </w:divBdr>
        </w:div>
        <w:div w:id="1176506170">
          <w:marLeft w:val="640"/>
          <w:marRight w:val="0"/>
          <w:marTop w:val="0"/>
          <w:marBottom w:val="0"/>
          <w:divBdr>
            <w:top w:val="none" w:sz="0" w:space="0" w:color="auto"/>
            <w:left w:val="none" w:sz="0" w:space="0" w:color="auto"/>
            <w:bottom w:val="none" w:sz="0" w:space="0" w:color="auto"/>
            <w:right w:val="none" w:sz="0" w:space="0" w:color="auto"/>
          </w:divBdr>
        </w:div>
        <w:div w:id="838928522">
          <w:marLeft w:val="640"/>
          <w:marRight w:val="0"/>
          <w:marTop w:val="0"/>
          <w:marBottom w:val="0"/>
          <w:divBdr>
            <w:top w:val="none" w:sz="0" w:space="0" w:color="auto"/>
            <w:left w:val="none" w:sz="0" w:space="0" w:color="auto"/>
            <w:bottom w:val="none" w:sz="0" w:space="0" w:color="auto"/>
            <w:right w:val="none" w:sz="0" w:space="0" w:color="auto"/>
          </w:divBdr>
        </w:div>
        <w:div w:id="387387231">
          <w:marLeft w:val="640"/>
          <w:marRight w:val="0"/>
          <w:marTop w:val="0"/>
          <w:marBottom w:val="0"/>
          <w:divBdr>
            <w:top w:val="none" w:sz="0" w:space="0" w:color="auto"/>
            <w:left w:val="none" w:sz="0" w:space="0" w:color="auto"/>
            <w:bottom w:val="none" w:sz="0" w:space="0" w:color="auto"/>
            <w:right w:val="none" w:sz="0" w:space="0" w:color="auto"/>
          </w:divBdr>
        </w:div>
        <w:div w:id="854226832">
          <w:marLeft w:val="640"/>
          <w:marRight w:val="0"/>
          <w:marTop w:val="0"/>
          <w:marBottom w:val="0"/>
          <w:divBdr>
            <w:top w:val="none" w:sz="0" w:space="0" w:color="auto"/>
            <w:left w:val="none" w:sz="0" w:space="0" w:color="auto"/>
            <w:bottom w:val="none" w:sz="0" w:space="0" w:color="auto"/>
            <w:right w:val="none" w:sz="0" w:space="0" w:color="auto"/>
          </w:divBdr>
        </w:div>
        <w:div w:id="220100328">
          <w:marLeft w:val="640"/>
          <w:marRight w:val="0"/>
          <w:marTop w:val="0"/>
          <w:marBottom w:val="0"/>
          <w:divBdr>
            <w:top w:val="none" w:sz="0" w:space="0" w:color="auto"/>
            <w:left w:val="none" w:sz="0" w:space="0" w:color="auto"/>
            <w:bottom w:val="none" w:sz="0" w:space="0" w:color="auto"/>
            <w:right w:val="none" w:sz="0" w:space="0" w:color="auto"/>
          </w:divBdr>
        </w:div>
        <w:div w:id="1151096326">
          <w:marLeft w:val="640"/>
          <w:marRight w:val="0"/>
          <w:marTop w:val="0"/>
          <w:marBottom w:val="0"/>
          <w:divBdr>
            <w:top w:val="none" w:sz="0" w:space="0" w:color="auto"/>
            <w:left w:val="none" w:sz="0" w:space="0" w:color="auto"/>
            <w:bottom w:val="none" w:sz="0" w:space="0" w:color="auto"/>
            <w:right w:val="none" w:sz="0" w:space="0" w:color="auto"/>
          </w:divBdr>
        </w:div>
        <w:div w:id="1373504008">
          <w:marLeft w:val="640"/>
          <w:marRight w:val="0"/>
          <w:marTop w:val="0"/>
          <w:marBottom w:val="0"/>
          <w:divBdr>
            <w:top w:val="none" w:sz="0" w:space="0" w:color="auto"/>
            <w:left w:val="none" w:sz="0" w:space="0" w:color="auto"/>
            <w:bottom w:val="none" w:sz="0" w:space="0" w:color="auto"/>
            <w:right w:val="none" w:sz="0" w:space="0" w:color="auto"/>
          </w:divBdr>
        </w:div>
        <w:div w:id="1711295148">
          <w:marLeft w:val="640"/>
          <w:marRight w:val="0"/>
          <w:marTop w:val="0"/>
          <w:marBottom w:val="0"/>
          <w:divBdr>
            <w:top w:val="none" w:sz="0" w:space="0" w:color="auto"/>
            <w:left w:val="none" w:sz="0" w:space="0" w:color="auto"/>
            <w:bottom w:val="none" w:sz="0" w:space="0" w:color="auto"/>
            <w:right w:val="none" w:sz="0" w:space="0" w:color="auto"/>
          </w:divBdr>
        </w:div>
        <w:div w:id="1488521710">
          <w:marLeft w:val="640"/>
          <w:marRight w:val="0"/>
          <w:marTop w:val="0"/>
          <w:marBottom w:val="0"/>
          <w:divBdr>
            <w:top w:val="none" w:sz="0" w:space="0" w:color="auto"/>
            <w:left w:val="none" w:sz="0" w:space="0" w:color="auto"/>
            <w:bottom w:val="none" w:sz="0" w:space="0" w:color="auto"/>
            <w:right w:val="none" w:sz="0" w:space="0" w:color="auto"/>
          </w:divBdr>
        </w:div>
        <w:div w:id="40980742">
          <w:marLeft w:val="640"/>
          <w:marRight w:val="0"/>
          <w:marTop w:val="0"/>
          <w:marBottom w:val="0"/>
          <w:divBdr>
            <w:top w:val="none" w:sz="0" w:space="0" w:color="auto"/>
            <w:left w:val="none" w:sz="0" w:space="0" w:color="auto"/>
            <w:bottom w:val="none" w:sz="0" w:space="0" w:color="auto"/>
            <w:right w:val="none" w:sz="0" w:space="0" w:color="auto"/>
          </w:divBdr>
        </w:div>
        <w:div w:id="2131047215">
          <w:marLeft w:val="640"/>
          <w:marRight w:val="0"/>
          <w:marTop w:val="0"/>
          <w:marBottom w:val="0"/>
          <w:divBdr>
            <w:top w:val="none" w:sz="0" w:space="0" w:color="auto"/>
            <w:left w:val="none" w:sz="0" w:space="0" w:color="auto"/>
            <w:bottom w:val="none" w:sz="0" w:space="0" w:color="auto"/>
            <w:right w:val="none" w:sz="0" w:space="0" w:color="auto"/>
          </w:divBdr>
        </w:div>
        <w:div w:id="902563244">
          <w:marLeft w:val="640"/>
          <w:marRight w:val="0"/>
          <w:marTop w:val="0"/>
          <w:marBottom w:val="0"/>
          <w:divBdr>
            <w:top w:val="none" w:sz="0" w:space="0" w:color="auto"/>
            <w:left w:val="none" w:sz="0" w:space="0" w:color="auto"/>
            <w:bottom w:val="none" w:sz="0" w:space="0" w:color="auto"/>
            <w:right w:val="none" w:sz="0" w:space="0" w:color="auto"/>
          </w:divBdr>
        </w:div>
        <w:div w:id="748383667">
          <w:marLeft w:val="640"/>
          <w:marRight w:val="0"/>
          <w:marTop w:val="0"/>
          <w:marBottom w:val="0"/>
          <w:divBdr>
            <w:top w:val="none" w:sz="0" w:space="0" w:color="auto"/>
            <w:left w:val="none" w:sz="0" w:space="0" w:color="auto"/>
            <w:bottom w:val="none" w:sz="0" w:space="0" w:color="auto"/>
            <w:right w:val="none" w:sz="0" w:space="0" w:color="auto"/>
          </w:divBdr>
        </w:div>
        <w:div w:id="214435860">
          <w:marLeft w:val="640"/>
          <w:marRight w:val="0"/>
          <w:marTop w:val="0"/>
          <w:marBottom w:val="0"/>
          <w:divBdr>
            <w:top w:val="none" w:sz="0" w:space="0" w:color="auto"/>
            <w:left w:val="none" w:sz="0" w:space="0" w:color="auto"/>
            <w:bottom w:val="none" w:sz="0" w:space="0" w:color="auto"/>
            <w:right w:val="none" w:sz="0" w:space="0" w:color="auto"/>
          </w:divBdr>
        </w:div>
        <w:div w:id="1583677515">
          <w:marLeft w:val="640"/>
          <w:marRight w:val="0"/>
          <w:marTop w:val="0"/>
          <w:marBottom w:val="0"/>
          <w:divBdr>
            <w:top w:val="none" w:sz="0" w:space="0" w:color="auto"/>
            <w:left w:val="none" w:sz="0" w:space="0" w:color="auto"/>
            <w:bottom w:val="none" w:sz="0" w:space="0" w:color="auto"/>
            <w:right w:val="none" w:sz="0" w:space="0" w:color="auto"/>
          </w:divBdr>
        </w:div>
        <w:div w:id="970525658">
          <w:marLeft w:val="640"/>
          <w:marRight w:val="0"/>
          <w:marTop w:val="0"/>
          <w:marBottom w:val="0"/>
          <w:divBdr>
            <w:top w:val="none" w:sz="0" w:space="0" w:color="auto"/>
            <w:left w:val="none" w:sz="0" w:space="0" w:color="auto"/>
            <w:bottom w:val="none" w:sz="0" w:space="0" w:color="auto"/>
            <w:right w:val="none" w:sz="0" w:space="0" w:color="auto"/>
          </w:divBdr>
        </w:div>
        <w:div w:id="935401480">
          <w:marLeft w:val="640"/>
          <w:marRight w:val="0"/>
          <w:marTop w:val="0"/>
          <w:marBottom w:val="0"/>
          <w:divBdr>
            <w:top w:val="none" w:sz="0" w:space="0" w:color="auto"/>
            <w:left w:val="none" w:sz="0" w:space="0" w:color="auto"/>
            <w:bottom w:val="none" w:sz="0" w:space="0" w:color="auto"/>
            <w:right w:val="none" w:sz="0" w:space="0" w:color="auto"/>
          </w:divBdr>
        </w:div>
        <w:div w:id="1823882958">
          <w:marLeft w:val="640"/>
          <w:marRight w:val="0"/>
          <w:marTop w:val="0"/>
          <w:marBottom w:val="0"/>
          <w:divBdr>
            <w:top w:val="none" w:sz="0" w:space="0" w:color="auto"/>
            <w:left w:val="none" w:sz="0" w:space="0" w:color="auto"/>
            <w:bottom w:val="none" w:sz="0" w:space="0" w:color="auto"/>
            <w:right w:val="none" w:sz="0" w:space="0" w:color="auto"/>
          </w:divBdr>
        </w:div>
        <w:div w:id="51008816">
          <w:marLeft w:val="640"/>
          <w:marRight w:val="0"/>
          <w:marTop w:val="0"/>
          <w:marBottom w:val="0"/>
          <w:divBdr>
            <w:top w:val="none" w:sz="0" w:space="0" w:color="auto"/>
            <w:left w:val="none" w:sz="0" w:space="0" w:color="auto"/>
            <w:bottom w:val="none" w:sz="0" w:space="0" w:color="auto"/>
            <w:right w:val="none" w:sz="0" w:space="0" w:color="auto"/>
          </w:divBdr>
        </w:div>
        <w:div w:id="1173258094">
          <w:marLeft w:val="640"/>
          <w:marRight w:val="0"/>
          <w:marTop w:val="0"/>
          <w:marBottom w:val="0"/>
          <w:divBdr>
            <w:top w:val="none" w:sz="0" w:space="0" w:color="auto"/>
            <w:left w:val="none" w:sz="0" w:space="0" w:color="auto"/>
            <w:bottom w:val="none" w:sz="0" w:space="0" w:color="auto"/>
            <w:right w:val="none" w:sz="0" w:space="0" w:color="auto"/>
          </w:divBdr>
        </w:div>
        <w:div w:id="1333027806">
          <w:marLeft w:val="640"/>
          <w:marRight w:val="0"/>
          <w:marTop w:val="0"/>
          <w:marBottom w:val="0"/>
          <w:divBdr>
            <w:top w:val="none" w:sz="0" w:space="0" w:color="auto"/>
            <w:left w:val="none" w:sz="0" w:space="0" w:color="auto"/>
            <w:bottom w:val="none" w:sz="0" w:space="0" w:color="auto"/>
            <w:right w:val="none" w:sz="0" w:space="0" w:color="auto"/>
          </w:divBdr>
        </w:div>
        <w:div w:id="1728146722">
          <w:marLeft w:val="640"/>
          <w:marRight w:val="0"/>
          <w:marTop w:val="0"/>
          <w:marBottom w:val="0"/>
          <w:divBdr>
            <w:top w:val="none" w:sz="0" w:space="0" w:color="auto"/>
            <w:left w:val="none" w:sz="0" w:space="0" w:color="auto"/>
            <w:bottom w:val="none" w:sz="0" w:space="0" w:color="auto"/>
            <w:right w:val="none" w:sz="0" w:space="0" w:color="auto"/>
          </w:divBdr>
        </w:div>
        <w:div w:id="1295717170">
          <w:marLeft w:val="640"/>
          <w:marRight w:val="0"/>
          <w:marTop w:val="0"/>
          <w:marBottom w:val="0"/>
          <w:divBdr>
            <w:top w:val="none" w:sz="0" w:space="0" w:color="auto"/>
            <w:left w:val="none" w:sz="0" w:space="0" w:color="auto"/>
            <w:bottom w:val="none" w:sz="0" w:space="0" w:color="auto"/>
            <w:right w:val="none" w:sz="0" w:space="0" w:color="auto"/>
          </w:divBdr>
        </w:div>
        <w:div w:id="1694333519">
          <w:marLeft w:val="640"/>
          <w:marRight w:val="0"/>
          <w:marTop w:val="0"/>
          <w:marBottom w:val="0"/>
          <w:divBdr>
            <w:top w:val="none" w:sz="0" w:space="0" w:color="auto"/>
            <w:left w:val="none" w:sz="0" w:space="0" w:color="auto"/>
            <w:bottom w:val="none" w:sz="0" w:space="0" w:color="auto"/>
            <w:right w:val="none" w:sz="0" w:space="0" w:color="auto"/>
          </w:divBdr>
        </w:div>
        <w:div w:id="1410037558">
          <w:marLeft w:val="640"/>
          <w:marRight w:val="0"/>
          <w:marTop w:val="0"/>
          <w:marBottom w:val="0"/>
          <w:divBdr>
            <w:top w:val="none" w:sz="0" w:space="0" w:color="auto"/>
            <w:left w:val="none" w:sz="0" w:space="0" w:color="auto"/>
            <w:bottom w:val="none" w:sz="0" w:space="0" w:color="auto"/>
            <w:right w:val="none" w:sz="0" w:space="0" w:color="auto"/>
          </w:divBdr>
        </w:div>
        <w:div w:id="1907104921">
          <w:marLeft w:val="640"/>
          <w:marRight w:val="0"/>
          <w:marTop w:val="0"/>
          <w:marBottom w:val="0"/>
          <w:divBdr>
            <w:top w:val="none" w:sz="0" w:space="0" w:color="auto"/>
            <w:left w:val="none" w:sz="0" w:space="0" w:color="auto"/>
            <w:bottom w:val="none" w:sz="0" w:space="0" w:color="auto"/>
            <w:right w:val="none" w:sz="0" w:space="0" w:color="auto"/>
          </w:divBdr>
        </w:div>
        <w:div w:id="896402371">
          <w:marLeft w:val="640"/>
          <w:marRight w:val="0"/>
          <w:marTop w:val="0"/>
          <w:marBottom w:val="0"/>
          <w:divBdr>
            <w:top w:val="none" w:sz="0" w:space="0" w:color="auto"/>
            <w:left w:val="none" w:sz="0" w:space="0" w:color="auto"/>
            <w:bottom w:val="none" w:sz="0" w:space="0" w:color="auto"/>
            <w:right w:val="none" w:sz="0" w:space="0" w:color="auto"/>
          </w:divBdr>
        </w:div>
        <w:div w:id="1498225624">
          <w:marLeft w:val="640"/>
          <w:marRight w:val="0"/>
          <w:marTop w:val="0"/>
          <w:marBottom w:val="0"/>
          <w:divBdr>
            <w:top w:val="none" w:sz="0" w:space="0" w:color="auto"/>
            <w:left w:val="none" w:sz="0" w:space="0" w:color="auto"/>
            <w:bottom w:val="none" w:sz="0" w:space="0" w:color="auto"/>
            <w:right w:val="none" w:sz="0" w:space="0" w:color="auto"/>
          </w:divBdr>
        </w:div>
        <w:div w:id="1215433534">
          <w:marLeft w:val="640"/>
          <w:marRight w:val="0"/>
          <w:marTop w:val="0"/>
          <w:marBottom w:val="0"/>
          <w:divBdr>
            <w:top w:val="none" w:sz="0" w:space="0" w:color="auto"/>
            <w:left w:val="none" w:sz="0" w:space="0" w:color="auto"/>
            <w:bottom w:val="none" w:sz="0" w:space="0" w:color="auto"/>
            <w:right w:val="none" w:sz="0" w:space="0" w:color="auto"/>
          </w:divBdr>
        </w:div>
        <w:div w:id="1444228049">
          <w:marLeft w:val="640"/>
          <w:marRight w:val="0"/>
          <w:marTop w:val="0"/>
          <w:marBottom w:val="0"/>
          <w:divBdr>
            <w:top w:val="none" w:sz="0" w:space="0" w:color="auto"/>
            <w:left w:val="none" w:sz="0" w:space="0" w:color="auto"/>
            <w:bottom w:val="none" w:sz="0" w:space="0" w:color="auto"/>
            <w:right w:val="none" w:sz="0" w:space="0" w:color="auto"/>
          </w:divBdr>
        </w:div>
        <w:div w:id="377710154">
          <w:marLeft w:val="640"/>
          <w:marRight w:val="0"/>
          <w:marTop w:val="0"/>
          <w:marBottom w:val="0"/>
          <w:divBdr>
            <w:top w:val="none" w:sz="0" w:space="0" w:color="auto"/>
            <w:left w:val="none" w:sz="0" w:space="0" w:color="auto"/>
            <w:bottom w:val="none" w:sz="0" w:space="0" w:color="auto"/>
            <w:right w:val="none" w:sz="0" w:space="0" w:color="auto"/>
          </w:divBdr>
        </w:div>
        <w:div w:id="1484271545">
          <w:marLeft w:val="640"/>
          <w:marRight w:val="0"/>
          <w:marTop w:val="0"/>
          <w:marBottom w:val="0"/>
          <w:divBdr>
            <w:top w:val="none" w:sz="0" w:space="0" w:color="auto"/>
            <w:left w:val="none" w:sz="0" w:space="0" w:color="auto"/>
            <w:bottom w:val="none" w:sz="0" w:space="0" w:color="auto"/>
            <w:right w:val="none" w:sz="0" w:space="0" w:color="auto"/>
          </w:divBdr>
        </w:div>
        <w:div w:id="1666742550">
          <w:marLeft w:val="640"/>
          <w:marRight w:val="0"/>
          <w:marTop w:val="0"/>
          <w:marBottom w:val="0"/>
          <w:divBdr>
            <w:top w:val="none" w:sz="0" w:space="0" w:color="auto"/>
            <w:left w:val="none" w:sz="0" w:space="0" w:color="auto"/>
            <w:bottom w:val="none" w:sz="0" w:space="0" w:color="auto"/>
            <w:right w:val="none" w:sz="0" w:space="0" w:color="auto"/>
          </w:divBdr>
        </w:div>
        <w:div w:id="1597400373">
          <w:marLeft w:val="640"/>
          <w:marRight w:val="0"/>
          <w:marTop w:val="0"/>
          <w:marBottom w:val="0"/>
          <w:divBdr>
            <w:top w:val="none" w:sz="0" w:space="0" w:color="auto"/>
            <w:left w:val="none" w:sz="0" w:space="0" w:color="auto"/>
            <w:bottom w:val="none" w:sz="0" w:space="0" w:color="auto"/>
            <w:right w:val="none" w:sz="0" w:space="0" w:color="auto"/>
          </w:divBdr>
        </w:div>
        <w:div w:id="991255006">
          <w:marLeft w:val="640"/>
          <w:marRight w:val="0"/>
          <w:marTop w:val="0"/>
          <w:marBottom w:val="0"/>
          <w:divBdr>
            <w:top w:val="none" w:sz="0" w:space="0" w:color="auto"/>
            <w:left w:val="none" w:sz="0" w:space="0" w:color="auto"/>
            <w:bottom w:val="none" w:sz="0" w:space="0" w:color="auto"/>
            <w:right w:val="none" w:sz="0" w:space="0" w:color="auto"/>
          </w:divBdr>
        </w:div>
        <w:div w:id="1000696910">
          <w:marLeft w:val="640"/>
          <w:marRight w:val="0"/>
          <w:marTop w:val="0"/>
          <w:marBottom w:val="0"/>
          <w:divBdr>
            <w:top w:val="none" w:sz="0" w:space="0" w:color="auto"/>
            <w:left w:val="none" w:sz="0" w:space="0" w:color="auto"/>
            <w:bottom w:val="none" w:sz="0" w:space="0" w:color="auto"/>
            <w:right w:val="none" w:sz="0" w:space="0" w:color="auto"/>
          </w:divBdr>
        </w:div>
        <w:div w:id="191188097">
          <w:marLeft w:val="640"/>
          <w:marRight w:val="0"/>
          <w:marTop w:val="0"/>
          <w:marBottom w:val="0"/>
          <w:divBdr>
            <w:top w:val="none" w:sz="0" w:space="0" w:color="auto"/>
            <w:left w:val="none" w:sz="0" w:space="0" w:color="auto"/>
            <w:bottom w:val="none" w:sz="0" w:space="0" w:color="auto"/>
            <w:right w:val="none" w:sz="0" w:space="0" w:color="auto"/>
          </w:divBdr>
        </w:div>
        <w:div w:id="140388308">
          <w:marLeft w:val="640"/>
          <w:marRight w:val="0"/>
          <w:marTop w:val="0"/>
          <w:marBottom w:val="0"/>
          <w:divBdr>
            <w:top w:val="none" w:sz="0" w:space="0" w:color="auto"/>
            <w:left w:val="none" w:sz="0" w:space="0" w:color="auto"/>
            <w:bottom w:val="none" w:sz="0" w:space="0" w:color="auto"/>
            <w:right w:val="none" w:sz="0" w:space="0" w:color="auto"/>
          </w:divBdr>
        </w:div>
        <w:div w:id="46270834">
          <w:marLeft w:val="640"/>
          <w:marRight w:val="0"/>
          <w:marTop w:val="0"/>
          <w:marBottom w:val="0"/>
          <w:divBdr>
            <w:top w:val="none" w:sz="0" w:space="0" w:color="auto"/>
            <w:left w:val="none" w:sz="0" w:space="0" w:color="auto"/>
            <w:bottom w:val="none" w:sz="0" w:space="0" w:color="auto"/>
            <w:right w:val="none" w:sz="0" w:space="0" w:color="auto"/>
          </w:divBdr>
        </w:div>
        <w:div w:id="1747990205">
          <w:marLeft w:val="640"/>
          <w:marRight w:val="0"/>
          <w:marTop w:val="0"/>
          <w:marBottom w:val="0"/>
          <w:divBdr>
            <w:top w:val="none" w:sz="0" w:space="0" w:color="auto"/>
            <w:left w:val="none" w:sz="0" w:space="0" w:color="auto"/>
            <w:bottom w:val="none" w:sz="0" w:space="0" w:color="auto"/>
            <w:right w:val="none" w:sz="0" w:space="0" w:color="auto"/>
          </w:divBdr>
        </w:div>
        <w:div w:id="160973310">
          <w:marLeft w:val="640"/>
          <w:marRight w:val="0"/>
          <w:marTop w:val="0"/>
          <w:marBottom w:val="0"/>
          <w:divBdr>
            <w:top w:val="none" w:sz="0" w:space="0" w:color="auto"/>
            <w:left w:val="none" w:sz="0" w:space="0" w:color="auto"/>
            <w:bottom w:val="none" w:sz="0" w:space="0" w:color="auto"/>
            <w:right w:val="none" w:sz="0" w:space="0" w:color="auto"/>
          </w:divBdr>
        </w:div>
        <w:div w:id="1470786015">
          <w:marLeft w:val="640"/>
          <w:marRight w:val="0"/>
          <w:marTop w:val="0"/>
          <w:marBottom w:val="0"/>
          <w:divBdr>
            <w:top w:val="none" w:sz="0" w:space="0" w:color="auto"/>
            <w:left w:val="none" w:sz="0" w:space="0" w:color="auto"/>
            <w:bottom w:val="none" w:sz="0" w:space="0" w:color="auto"/>
            <w:right w:val="none" w:sz="0" w:space="0" w:color="auto"/>
          </w:divBdr>
        </w:div>
        <w:div w:id="894240249">
          <w:marLeft w:val="640"/>
          <w:marRight w:val="0"/>
          <w:marTop w:val="0"/>
          <w:marBottom w:val="0"/>
          <w:divBdr>
            <w:top w:val="none" w:sz="0" w:space="0" w:color="auto"/>
            <w:left w:val="none" w:sz="0" w:space="0" w:color="auto"/>
            <w:bottom w:val="none" w:sz="0" w:space="0" w:color="auto"/>
            <w:right w:val="none" w:sz="0" w:space="0" w:color="auto"/>
          </w:divBdr>
        </w:div>
        <w:div w:id="591546266">
          <w:marLeft w:val="640"/>
          <w:marRight w:val="0"/>
          <w:marTop w:val="0"/>
          <w:marBottom w:val="0"/>
          <w:divBdr>
            <w:top w:val="none" w:sz="0" w:space="0" w:color="auto"/>
            <w:left w:val="none" w:sz="0" w:space="0" w:color="auto"/>
            <w:bottom w:val="none" w:sz="0" w:space="0" w:color="auto"/>
            <w:right w:val="none" w:sz="0" w:space="0" w:color="auto"/>
          </w:divBdr>
        </w:div>
        <w:div w:id="160439309">
          <w:marLeft w:val="640"/>
          <w:marRight w:val="0"/>
          <w:marTop w:val="0"/>
          <w:marBottom w:val="0"/>
          <w:divBdr>
            <w:top w:val="none" w:sz="0" w:space="0" w:color="auto"/>
            <w:left w:val="none" w:sz="0" w:space="0" w:color="auto"/>
            <w:bottom w:val="none" w:sz="0" w:space="0" w:color="auto"/>
            <w:right w:val="none" w:sz="0" w:space="0" w:color="auto"/>
          </w:divBdr>
        </w:div>
        <w:div w:id="477577342">
          <w:marLeft w:val="640"/>
          <w:marRight w:val="0"/>
          <w:marTop w:val="0"/>
          <w:marBottom w:val="0"/>
          <w:divBdr>
            <w:top w:val="none" w:sz="0" w:space="0" w:color="auto"/>
            <w:left w:val="none" w:sz="0" w:space="0" w:color="auto"/>
            <w:bottom w:val="none" w:sz="0" w:space="0" w:color="auto"/>
            <w:right w:val="none" w:sz="0" w:space="0" w:color="auto"/>
          </w:divBdr>
        </w:div>
      </w:divsChild>
    </w:div>
    <w:div w:id="1264605468">
      <w:bodyDiv w:val="1"/>
      <w:marLeft w:val="0"/>
      <w:marRight w:val="0"/>
      <w:marTop w:val="0"/>
      <w:marBottom w:val="0"/>
      <w:divBdr>
        <w:top w:val="none" w:sz="0" w:space="0" w:color="auto"/>
        <w:left w:val="none" w:sz="0" w:space="0" w:color="auto"/>
        <w:bottom w:val="none" w:sz="0" w:space="0" w:color="auto"/>
        <w:right w:val="none" w:sz="0" w:space="0" w:color="auto"/>
      </w:divBdr>
    </w:div>
    <w:div w:id="1267345814">
      <w:bodyDiv w:val="1"/>
      <w:marLeft w:val="0"/>
      <w:marRight w:val="0"/>
      <w:marTop w:val="0"/>
      <w:marBottom w:val="0"/>
      <w:divBdr>
        <w:top w:val="none" w:sz="0" w:space="0" w:color="auto"/>
        <w:left w:val="none" w:sz="0" w:space="0" w:color="auto"/>
        <w:bottom w:val="none" w:sz="0" w:space="0" w:color="auto"/>
        <w:right w:val="none" w:sz="0" w:space="0" w:color="auto"/>
      </w:divBdr>
    </w:div>
    <w:div w:id="1269241610">
      <w:bodyDiv w:val="1"/>
      <w:marLeft w:val="0"/>
      <w:marRight w:val="0"/>
      <w:marTop w:val="0"/>
      <w:marBottom w:val="0"/>
      <w:divBdr>
        <w:top w:val="none" w:sz="0" w:space="0" w:color="auto"/>
        <w:left w:val="none" w:sz="0" w:space="0" w:color="auto"/>
        <w:bottom w:val="none" w:sz="0" w:space="0" w:color="auto"/>
        <w:right w:val="none" w:sz="0" w:space="0" w:color="auto"/>
      </w:divBdr>
    </w:div>
    <w:div w:id="1270547640">
      <w:bodyDiv w:val="1"/>
      <w:marLeft w:val="0"/>
      <w:marRight w:val="0"/>
      <w:marTop w:val="0"/>
      <w:marBottom w:val="0"/>
      <w:divBdr>
        <w:top w:val="none" w:sz="0" w:space="0" w:color="auto"/>
        <w:left w:val="none" w:sz="0" w:space="0" w:color="auto"/>
        <w:bottom w:val="none" w:sz="0" w:space="0" w:color="auto"/>
        <w:right w:val="none" w:sz="0" w:space="0" w:color="auto"/>
      </w:divBdr>
    </w:div>
    <w:div w:id="1273631644">
      <w:bodyDiv w:val="1"/>
      <w:marLeft w:val="0"/>
      <w:marRight w:val="0"/>
      <w:marTop w:val="0"/>
      <w:marBottom w:val="0"/>
      <w:divBdr>
        <w:top w:val="none" w:sz="0" w:space="0" w:color="auto"/>
        <w:left w:val="none" w:sz="0" w:space="0" w:color="auto"/>
        <w:bottom w:val="none" w:sz="0" w:space="0" w:color="auto"/>
        <w:right w:val="none" w:sz="0" w:space="0" w:color="auto"/>
      </w:divBdr>
    </w:div>
    <w:div w:id="1273828800">
      <w:bodyDiv w:val="1"/>
      <w:marLeft w:val="0"/>
      <w:marRight w:val="0"/>
      <w:marTop w:val="0"/>
      <w:marBottom w:val="0"/>
      <w:divBdr>
        <w:top w:val="none" w:sz="0" w:space="0" w:color="auto"/>
        <w:left w:val="none" w:sz="0" w:space="0" w:color="auto"/>
        <w:bottom w:val="none" w:sz="0" w:space="0" w:color="auto"/>
        <w:right w:val="none" w:sz="0" w:space="0" w:color="auto"/>
      </w:divBdr>
    </w:div>
    <w:div w:id="1275332107">
      <w:bodyDiv w:val="1"/>
      <w:marLeft w:val="0"/>
      <w:marRight w:val="0"/>
      <w:marTop w:val="0"/>
      <w:marBottom w:val="0"/>
      <w:divBdr>
        <w:top w:val="none" w:sz="0" w:space="0" w:color="auto"/>
        <w:left w:val="none" w:sz="0" w:space="0" w:color="auto"/>
        <w:bottom w:val="none" w:sz="0" w:space="0" w:color="auto"/>
        <w:right w:val="none" w:sz="0" w:space="0" w:color="auto"/>
      </w:divBdr>
    </w:div>
    <w:div w:id="1276712555">
      <w:bodyDiv w:val="1"/>
      <w:marLeft w:val="0"/>
      <w:marRight w:val="0"/>
      <w:marTop w:val="0"/>
      <w:marBottom w:val="0"/>
      <w:divBdr>
        <w:top w:val="none" w:sz="0" w:space="0" w:color="auto"/>
        <w:left w:val="none" w:sz="0" w:space="0" w:color="auto"/>
        <w:bottom w:val="none" w:sz="0" w:space="0" w:color="auto"/>
        <w:right w:val="none" w:sz="0" w:space="0" w:color="auto"/>
      </w:divBdr>
    </w:div>
    <w:div w:id="1279144419">
      <w:bodyDiv w:val="1"/>
      <w:marLeft w:val="0"/>
      <w:marRight w:val="0"/>
      <w:marTop w:val="0"/>
      <w:marBottom w:val="0"/>
      <w:divBdr>
        <w:top w:val="none" w:sz="0" w:space="0" w:color="auto"/>
        <w:left w:val="none" w:sz="0" w:space="0" w:color="auto"/>
        <w:bottom w:val="none" w:sz="0" w:space="0" w:color="auto"/>
        <w:right w:val="none" w:sz="0" w:space="0" w:color="auto"/>
      </w:divBdr>
      <w:divsChild>
        <w:div w:id="1837695532">
          <w:marLeft w:val="640"/>
          <w:marRight w:val="0"/>
          <w:marTop w:val="0"/>
          <w:marBottom w:val="0"/>
          <w:divBdr>
            <w:top w:val="none" w:sz="0" w:space="0" w:color="auto"/>
            <w:left w:val="none" w:sz="0" w:space="0" w:color="auto"/>
            <w:bottom w:val="none" w:sz="0" w:space="0" w:color="auto"/>
            <w:right w:val="none" w:sz="0" w:space="0" w:color="auto"/>
          </w:divBdr>
        </w:div>
        <w:div w:id="1374960940">
          <w:marLeft w:val="640"/>
          <w:marRight w:val="0"/>
          <w:marTop w:val="0"/>
          <w:marBottom w:val="0"/>
          <w:divBdr>
            <w:top w:val="none" w:sz="0" w:space="0" w:color="auto"/>
            <w:left w:val="none" w:sz="0" w:space="0" w:color="auto"/>
            <w:bottom w:val="none" w:sz="0" w:space="0" w:color="auto"/>
            <w:right w:val="none" w:sz="0" w:space="0" w:color="auto"/>
          </w:divBdr>
        </w:div>
        <w:div w:id="1413505226">
          <w:marLeft w:val="640"/>
          <w:marRight w:val="0"/>
          <w:marTop w:val="0"/>
          <w:marBottom w:val="0"/>
          <w:divBdr>
            <w:top w:val="none" w:sz="0" w:space="0" w:color="auto"/>
            <w:left w:val="none" w:sz="0" w:space="0" w:color="auto"/>
            <w:bottom w:val="none" w:sz="0" w:space="0" w:color="auto"/>
            <w:right w:val="none" w:sz="0" w:space="0" w:color="auto"/>
          </w:divBdr>
        </w:div>
        <w:div w:id="1393041437">
          <w:marLeft w:val="640"/>
          <w:marRight w:val="0"/>
          <w:marTop w:val="0"/>
          <w:marBottom w:val="0"/>
          <w:divBdr>
            <w:top w:val="none" w:sz="0" w:space="0" w:color="auto"/>
            <w:left w:val="none" w:sz="0" w:space="0" w:color="auto"/>
            <w:bottom w:val="none" w:sz="0" w:space="0" w:color="auto"/>
            <w:right w:val="none" w:sz="0" w:space="0" w:color="auto"/>
          </w:divBdr>
        </w:div>
        <w:div w:id="220797381">
          <w:marLeft w:val="640"/>
          <w:marRight w:val="0"/>
          <w:marTop w:val="0"/>
          <w:marBottom w:val="0"/>
          <w:divBdr>
            <w:top w:val="none" w:sz="0" w:space="0" w:color="auto"/>
            <w:left w:val="none" w:sz="0" w:space="0" w:color="auto"/>
            <w:bottom w:val="none" w:sz="0" w:space="0" w:color="auto"/>
            <w:right w:val="none" w:sz="0" w:space="0" w:color="auto"/>
          </w:divBdr>
        </w:div>
        <w:div w:id="753670609">
          <w:marLeft w:val="640"/>
          <w:marRight w:val="0"/>
          <w:marTop w:val="0"/>
          <w:marBottom w:val="0"/>
          <w:divBdr>
            <w:top w:val="none" w:sz="0" w:space="0" w:color="auto"/>
            <w:left w:val="none" w:sz="0" w:space="0" w:color="auto"/>
            <w:bottom w:val="none" w:sz="0" w:space="0" w:color="auto"/>
            <w:right w:val="none" w:sz="0" w:space="0" w:color="auto"/>
          </w:divBdr>
        </w:div>
        <w:div w:id="121577020">
          <w:marLeft w:val="640"/>
          <w:marRight w:val="0"/>
          <w:marTop w:val="0"/>
          <w:marBottom w:val="0"/>
          <w:divBdr>
            <w:top w:val="none" w:sz="0" w:space="0" w:color="auto"/>
            <w:left w:val="none" w:sz="0" w:space="0" w:color="auto"/>
            <w:bottom w:val="none" w:sz="0" w:space="0" w:color="auto"/>
            <w:right w:val="none" w:sz="0" w:space="0" w:color="auto"/>
          </w:divBdr>
        </w:div>
        <w:div w:id="1994143364">
          <w:marLeft w:val="640"/>
          <w:marRight w:val="0"/>
          <w:marTop w:val="0"/>
          <w:marBottom w:val="0"/>
          <w:divBdr>
            <w:top w:val="none" w:sz="0" w:space="0" w:color="auto"/>
            <w:left w:val="none" w:sz="0" w:space="0" w:color="auto"/>
            <w:bottom w:val="none" w:sz="0" w:space="0" w:color="auto"/>
            <w:right w:val="none" w:sz="0" w:space="0" w:color="auto"/>
          </w:divBdr>
        </w:div>
        <w:div w:id="2015918382">
          <w:marLeft w:val="640"/>
          <w:marRight w:val="0"/>
          <w:marTop w:val="0"/>
          <w:marBottom w:val="0"/>
          <w:divBdr>
            <w:top w:val="none" w:sz="0" w:space="0" w:color="auto"/>
            <w:left w:val="none" w:sz="0" w:space="0" w:color="auto"/>
            <w:bottom w:val="none" w:sz="0" w:space="0" w:color="auto"/>
            <w:right w:val="none" w:sz="0" w:space="0" w:color="auto"/>
          </w:divBdr>
        </w:div>
        <w:div w:id="1972400369">
          <w:marLeft w:val="640"/>
          <w:marRight w:val="0"/>
          <w:marTop w:val="0"/>
          <w:marBottom w:val="0"/>
          <w:divBdr>
            <w:top w:val="none" w:sz="0" w:space="0" w:color="auto"/>
            <w:left w:val="none" w:sz="0" w:space="0" w:color="auto"/>
            <w:bottom w:val="none" w:sz="0" w:space="0" w:color="auto"/>
            <w:right w:val="none" w:sz="0" w:space="0" w:color="auto"/>
          </w:divBdr>
        </w:div>
        <w:div w:id="172916313">
          <w:marLeft w:val="640"/>
          <w:marRight w:val="0"/>
          <w:marTop w:val="0"/>
          <w:marBottom w:val="0"/>
          <w:divBdr>
            <w:top w:val="none" w:sz="0" w:space="0" w:color="auto"/>
            <w:left w:val="none" w:sz="0" w:space="0" w:color="auto"/>
            <w:bottom w:val="none" w:sz="0" w:space="0" w:color="auto"/>
            <w:right w:val="none" w:sz="0" w:space="0" w:color="auto"/>
          </w:divBdr>
        </w:div>
        <w:div w:id="1548490736">
          <w:marLeft w:val="640"/>
          <w:marRight w:val="0"/>
          <w:marTop w:val="0"/>
          <w:marBottom w:val="0"/>
          <w:divBdr>
            <w:top w:val="none" w:sz="0" w:space="0" w:color="auto"/>
            <w:left w:val="none" w:sz="0" w:space="0" w:color="auto"/>
            <w:bottom w:val="none" w:sz="0" w:space="0" w:color="auto"/>
            <w:right w:val="none" w:sz="0" w:space="0" w:color="auto"/>
          </w:divBdr>
        </w:div>
        <w:div w:id="1862012672">
          <w:marLeft w:val="640"/>
          <w:marRight w:val="0"/>
          <w:marTop w:val="0"/>
          <w:marBottom w:val="0"/>
          <w:divBdr>
            <w:top w:val="none" w:sz="0" w:space="0" w:color="auto"/>
            <w:left w:val="none" w:sz="0" w:space="0" w:color="auto"/>
            <w:bottom w:val="none" w:sz="0" w:space="0" w:color="auto"/>
            <w:right w:val="none" w:sz="0" w:space="0" w:color="auto"/>
          </w:divBdr>
        </w:div>
        <w:div w:id="293875881">
          <w:marLeft w:val="640"/>
          <w:marRight w:val="0"/>
          <w:marTop w:val="0"/>
          <w:marBottom w:val="0"/>
          <w:divBdr>
            <w:top w:val="none" w:sz="0" w:space="0" w:color="auto"/>
            <w:left w:val="none" w:sz="0" w:space="0" w:color="auto"/>
            <w:bottom w:val="none" w:sz="0" w:space="0" w:color="auto"/>
            <w:right w:val="none" w:sz="0" w:space="0" w:color="auto"/>
          </w:divBdr>
        </w:div>
        <w:div w:id="1221404489">
          <w:marLeft w:val="640"/>
          <w:marRight w:val="0"/>
          <w:marTop w:val="0"/>
          <w:marBottom w:val="0"/>
          <w:divBdr>
            <w:top w:val="none" w:sz="0" w:space="0" w:color="auto"/>
            <w:left w:val="none" w:sz="0" w:space="0" w:color="auto"/>
            <w:bottom w:val="none" w:sz="0" w:space="0" w:color="auto"/>
            <w:right w:val="none" w:sz="0" w:space="0" w:color="auto"/>
          </w:divBdr>
        </w:div>
        <w:div w:id="519128068">
          <w:marLeft w:val="640"/>
          <w:marRight w:val="0"/>
          <w:marTop w:val="0"/>
          <w:marBottom w:val="0"/>
          <w:divBdr>
            <w:top w:val="none" w:sz="0" w:space="0" w:color="auto"/>
            <w:left w:val="none" w:sz="0" w:space="0" w:color="auto"/>
            <w:bottom w:val="none" w:sz="0" w:space="0" w:color="auto"/>
            <w:right w:val="none" w:sz="0" w:space="0" w:color="auto"/>
          </w:divBdr>
        </w:div>
        <w:div w:id="1898198043">
          <w:marLeft w:val="640"/>
          <w:marRight w:val="0"/>
          <w:marTop w:val="0"/>
          <w:marBottom w:val="0"/>
          <w:divBdr>
            <w:top w:val="none" w:sz="0" w:space="0" w:color="auto"/>
            <w:left w:val="none" w:sz="0" w:space="0" w:color="auto"/>
            <w:bottom w:val="none" w:sz="0" w:space="0" w:color="auto"/>
            <w:right w:val="none" w:sz="0" w:space="0" w:color="auto"/>
          </w:divBdr>
        </w:div>
        <w:div w:id="300381915">
          <w:marLeft w:val="640"/>
          <w:marRight w:val="0"/>
          <w:marTop w:val="0"/>
          <w:marBottom w:val="0"/>
          <w:divBdr>
            <w:top w:val="none" w:sz="0" w:space="0" w:color="auto"/>
            <w:left w:val="none" w:sz="0" w:space="0" w:color="auto"/>
            <w:bottom w:val="none" w:sz="0" w:space="0" w:color="auto"/>
            <w:right w:val="none" w:sz="0" w:space="0" w:color="auto"/>
          </w:divBdr>
        </w:div>
        <w:div w:id="1820266133">
          <w:marLeft w:val="640"/>
          <w:marRight w:val="0"/>
          <w:marTop w:val="0"/>
          <w:marBottom w:val="0"/>
          <w:divBdr>
            <w:top w:val="none" w:sz="0" w:space="0" w:color="auto"/>
            <w:left w:val="none" w:sz="0" w:space="0" w:color="auto"/>
            <w:bottom w:val="none" w:sz="0" w:space="0" w:color="auto"/>
            <w:right w:val="none" w:sz="0" w:space="0" w:color="auto"/>
          </w:divBdr>
        </w:div>
        <w:div w:id="1733313674">
          <w:marLeft w:val="640"/>
          <w:marRight w:val="0"/>
          <w:marTop w:val="0"/>
          <w:marBottom w:val="0"/>
          <w:divBdr>
            <w:top w:val="none" w:sz="0" w:space="0" w:color="auto"/>
            <w:left w:val="none" w:sz="0" w:space="0" w:color="auto"/>
            <w:bottom w:val="none" w:sz="0" w:space="0" w:color="auto"/>
            <w:right w:val="none" w:sz="0" w:space="0" w:color="auto"/>
          </w:divBdr>
        </w:div>
        <w:div w:id="196937002">
          <w:marLeft w:val="640"/>
          <w:marRight w:val="0"/>
          <w:marTop w:val="0"/>
          <w:marBottom w:val="0"/>
          <w:divBdr>
            <w:top w:val="none" w:sz="0" w:space="0" w:color="auto"/>
            <w:left w:val="none" w:sz="0" w:space="0" w:color="auto"/>
            <w:bottom w:val="none" w:sz="0" w:space="0" w:color="auto"/>
            <w:right w:val="none" w:sz="0" w:space="0" w:color="auto"/>
          </w:divBdr>
        </w:div>
        <w:div w:id="898367638">
          <w:marLeft w:val="640"/>
          <w:marRight w:val="0"/>
          <w:marTop w:val="0"/>
          <w:marBottom w:val="0"/>
          <w:divBdr>
            <w:top w:val="none" w:sz="0" w:space="0" w:color="auto"/>
            <w:left w:val="none" w:sz="0" w:space="0" w:color="auto"/>
            <w:bottom w:val="none" w:sz="0" w:space="0" w:color="auto"/>
            <w:right w:val="none" w:sz="0" w:space="0" w:color="auto"/>
          </w:divBdr>
        </w:div>
        <w:div w:id="2130278611">
          <w:marLeft w:val="640"/>
          <w:marRight w:val="0"/>
          <w:marTop w:val="0"/>
          <w:marBottom w:val="0"/>
          <w:divBdr>
            <w:top w:val="none" w:sz="0" w:space="0" w:color="auto"/>
            <w:left w:val="none" w:sz="0" w:space="0" w:color="auto"/>
            <w:bottom w:val="none" w:sz="0" w:space="0" w:color="auto"/>
            <w:right w:val="none" w:sz="0" w:space="0" w:color="auto"/>
          </w:divBdr>
        </w:div>
        <w:div w:id="1502742538">
          <w:marLeft w:val="640"/>
          <w:marRight w:val="0"/>
          <w:marTop w:val="0"/>
          <w:marBottom w:val="0"/>
          <w:divBdr>
            <w:top w:val="none" w:sz="0" w:space="0" w:color="auto"/>
            <w:left w:val="none" w:sz="0" w:space="0" w:color="auto"/>
            <w:bottom w:val="none" w:sz="0" w:space="0" w:color="auto"/>
            <w:right w:val="none" w:sz="0" w:space="0" w:color="auto"/>
          </w:divBdr>
        </w:div>
        <w:div w:id="1861964197">
          <w:marLeft w:val="640"/>
          <w:marRight w:val="0"/>
          <w:marTop w:val="0"/>
          <w:marBottom w:val="0"/>
          <w:divBdr>
            <w:top w:val="none" w:sz="0" w:space="0" w:color="auto"/>
            <w:left w:val="none" w:sz="0" w:space="0" w:color="auto"/>
            <w:bottom w:val="none" w:sz="0" w:space="0" w:color="auto"/>
            <w:right w:val="none" w:sz="0" w:space="0" w:color="auto"/>
          </w:divBdr>
        </w:div>
        <w:div w:id="1470783333">
          <w:marLeft w:val="640"/>
          <w:marRight w:val="0"/>
          <w:marTop w:val="0"/>
          <w:marBottom w:val="0"/>
          <w:divBdr>
            <w:top w:val="none" w:sz="0" w:space="0" w:color="auto"/>
            <w:left w:val="none" w:sz="0" w:space="0" w:color="auto"/>
            <w:bottom w:val="none" w:sz="0" w:space="0" w:color="auto"/>
            <w:right w:val="none" w:sz="0" w:space="0" w:color="auto"/>
          </w:divBdr>
        </w:div>
        <w:div w:id="1021778800">
          <w:marLeft w:val="640"/>
          <w:marRight w:val="0"/>
          <w:marTop w:val="0"/>
          <w:marBottom w:val="0"/>
          <w:divBdr>
            <w:top w:val="none" w:sz="0" w:space="0" w:color="auto"/>
            <w:left w:val="none" w:sz="0" w:space="0" w:color="auto"/>
            <w:bottom w:val="none" w:sz="0" w:space="0" w:color="auto"/>
            <w:right w:val="none" w:sz="0" w:space="0" w:color="auto"/>
          </w:divBdr>
        </w:div>
        <w:div w:id="372076116">
          <w:marLeft w:val="640"/>
          <w:marRight w:val="0"/>
          <w:marTop w:val="0"/>
          <w:marBottom w:val="0"/>
          <w:divBdr>
            <w:top w:val="none" w:sz="0" w:space="0" w:color="auto"/>
            <w:left w:val="none" w:sz="0" w:space="0" w:color="auto"/>
            <w:bottom w:val="none" w:sz="0" w:space="0" w:color="auto"/>
            <w:right w:val="none" w:sz="0" w:space="0" w:color="auto"/>
          </w:divBdr>
        </w:div>
        <w:div w:id="1184396954">
          <w:marLeft w:val="640"/>
          <w:marRight w:val="0"/>
          <w:marTop w:val="0"/>
          <w:marBottom w:val="0"/>
          <w:divBdr>
            <w:top w:val="none" w:sz="0" w:space="0" w:color="auto"/>
            <w:left w:val="none" w:sz="0" w:space="0" w:color="auto"/>
            <w:bottom w:val="none" w:sz="0" w:space="0" w:color="auto"/>
            <w:right w:val="none" w:sz="0" w:space="0" w:color="auto"/>
          </w:divBdr>
        </w:div>
        <w:div w:id="737826883">
          <w:marLeft w:val="640"/>
          <w:marRight w:val="0"/>
          <w:marTop w:val="0"/>
          <w:marBottom w:val="0"/>
          <w:divBdr>
            <w:top w:val="none" w:sz="0" w:space="0" w:color="auto"/>
            <w:left w:val="none" w:sz="0" w:space="0" w:color="auto"/>
            <w:bottom w:val="none" w:sz="0" w:space="0" w:color="auto"/>
            <w:right w:val="none" w:sz="0" w:space="0" w:color="auto"/>
          </w:divBdr>
        </w:div>
        <w:div w:id="877475061">
          <w:marLeft w:val="640"/>
          <w:marRight w:val="0"/>
          <w:marTop w:val="0"/>
          <w:marBottom w:val="0"/>
          <w:divBdr>
            <w:top w:val="none" w:sz="0" w:space="0" w:color="auto"/>
            <w:left w:val="none" w:sz="0" w:space="0" w:color="auto"/>
            <w:bottom w:val="none" w:sz="0" w:space="0" w:color="auto"/>
            <w:right w:val="none" w:sz="0" w:space="0" w:color="auto"/>
          </w:divBdr>
        </w:div>
        <w:div w:id="777335302">
          <w:marLeft w:val="640"/>
          <w:marRight w:val="0"/>
          <w:marTop w:val="0"/>
          <w:marBottom w:val="0"/>
          <w:divBdr>
            <w:top w:val="none" w:sz="0" w:space="0" w:color="auto"/>
            <w:left w:val="none" w:sz="0" w:space="0" w:color="auto"/>
            <w:bottom w:val="none" w:sz="0" w:space="0" w:color="auto"/>
            <w:right w:val="none" w:sz="0" w:space="0" w:color="auto"/>
          </w:divBdr>
        </w:div>
        <w:div w:id="826095658">
          <w:marLeft w:val="640"/>
          <w:marRight w:val="0"/>
          <w:marTop w:val="0"/>
          <w:marBottom w:val="0"/>
          <w:divBdr>
            <w:top w:val="none" w:sz="0" w:space="0" w:color="auto"/>
            <w:left w:val="none" w:sz="0" w:space="0" w:color="auto"/>
            <w:bottom w:val="none" w:sz="0" w:space="0" w:color="auto"/>
            <w:right w:val="none" w:sz="0" w:space="0" w:color="auto"/>
          </w:divBdr>
        </w:div>
        <w:div w:id="839124352">
          <w:marLeft w:val="640"/>
          <w:marRight w:val="0"/>
          <w:marTop w:val="0"/>
          <w:marBottom w:val="0"/>
          <w:divBdr>
            <w:top w:val="none" w:sz="0" w:space="0" w:color="auto"/>
            <w:left w:val="none" w:sz="0" w:space="0" w:color="auto"/>
            <w:bottom w:val="none" w:sz="0" w:space="0" w:color="auto"/>
            <w:right w:val="none" w:sz="0" w:space="0" w:color="auto"/>
          </w:divBdr>
        </w:div>
        <w:div w:id="407267239">
          <w:marLeft w:val="640"/>
          <w:marRight w:val="0"/>
          <w:marTop w:val="0"/>
          <w:marBottom w:val="0"/>
          <w:divBdr>
            <w:top w:val="none" w:sz="0" w:space="0" w:color="auto"/>
            <w:left w:val="none" w:sz="0" w:space="0" w:color="auto"/>
            <w:bottom w:val="none" w:sz="0" w:space="0" w:color="auto"/>
            <w:right w:val="none" w:sz="0" w:space="0" w:color="auto"/>
          </w:divBdr>
        </w:div>
        <w:div w:id="181627109">
          <w:marLeft w:val="640"/>
          <w:marRight w:val="0"/>
          <w:marTop w:val="0"/>
          <w:marBottom w:val="0"/>
          <w:divBdr>
            <w:top w:val="none" w:sz="0" w:space="0" w:color="auto"/>
            <w:left w:val="none" w:sz="0" w:space="0" w:color="auto"/>
            <w:bottom w:val="none" w:sz="0" w:space="0" w:color="auto"/>
            <w:right w:val="none" w:sz="0" w:space="0" w:color="auto"/>
          </w:divBdr>
        </w:div>
        <w:div w:id="877816896">
          <w:marLeft w:val="640"/>
          <w:marRight w:val="0"/>
          <w:marTop w:val="0"/>
          <w:marBottom w:val="0"/>
          <w:divBdr>
            <w:top w:val="none" w:sz="0" w:space="0" w:color="auto"/>
            <w:left w:val="none" w:sz="0" w:space="0" w:color="auto"/>
            <w:bottom w:val="none" w:sz="0" w:space="0" w:color="auto"/>
            <w:right w:val="none" w:sz="0" w:space="0" w:color="auto"/>
          </w:divBdr>
        </w:div>
        <w:div w:id="1930843239">
          <w:marLeft w:val="640"/>
          <w:marRight w:val="0"/>
          <w:marTop w:val="0"/>
          <w:marBottom w:val="0"/>
          <w:divBdr>
            <w:top w:val="none" w:sz="0" w:space="0" w:color="auto"/>
            <w:left w:val="none" w:sz="0" w:space="0" w:color="auto"/>
            <w:bottom w:val="none" w:sz="0" w:space="0" w:color="auto"/>
            <w:right w:val="none" w:sz="0" w:space="0" w:color="auto"/>
          </w:divBdr>
        </w:div>
        <w:div w:id="189807808">
          <w:marLeft w:val="640"/>
          <w:marRight w:val="0"/>
          <w:marTop w:val="0"/>
          <w:marBottom w:val="0"/>
          <w:divBdr>
            <w:top w:val="none" w:sz="0" w:space="0" w:color="auto"/>
            <w:left w:val="none" w:sz="0" w:space="0" w:color="auto"/>
            <w:bottom w:val="none" w:sz="0" w:space="0" w:color="auto"/>
            <w:right w:val="none" w:sz="0" w:space="0" w:color="auto"/>
          </w:divBdr>
        </w:div>
        <w:div w:id="445126773">
          <w:marLeft w:val="640"/>
          <w:marRight w:val="0"/>
          <w:marTop w:val="0"/>
          <w:marBottom w:val="0"/>
          <w:divBdr>
            <w:top w:val="none" w:sz="0" w:space="0" w:color="auto"/>
            <w:left w:val="none" w:sz="0" w:space="0" w:color="auto"/>
            <w:bottom w:val="none" w:sz="0" w:space="0" w:color="auto"/>
            <w:right w:val="none" w:sz="0" w:space="0" w:color="auto"/>
          </w:divBdr>
        </w:div>
        <w:div w:id="1505973670">
          <w:marLeft w:val="640"/>
          <w:marRight w:val="0"/>
          <w:marTop w:val="0"/>
          <w:marBottom w:val="0"/>
          <w:divBdr>
            <w:top w:val="none" w:sz="0" w:space="0" w:color="auto"/>
            <w:left w:val="none" w:sz="0" w:space="0" w:color="auto"/>
            <w:bottom w:val="none" w:sz="0" w:space="0" w:color="auto"/>
            <w:right w:val="none" w:sz="0" w:space="0" w:color="auto"/>
          </w:divBdr>
        </w:div>
        <w:div w:id="1762414105">
          <w:marLeft w:val="640"/>
          <w:marRight w:val="0"/>
          <w:marTop w:val="0"/>
          <w:marBottom w:val="0"/>
          <w:divBdr>
            <w:top w:val="none" w:sz="0" w:space="0" w:color="auto"/>
            <w:left w:val="none" w:sz="0" w:space="0" w:color="auto"/>
            <w:bottom w:val="none" w:sz="0" w:space="0" w:color="auto"/>
            <w:right w:val="none" w:sz="0" w:space="0" w:color="auto"/>
          </w:divBdr>
        </w:div>
        <w:div w:id="903221270">
          <w:marLeft w:val="640"/>
          <w:marRight w:val="0"/>
          <w:marTop w:val="0"/>
          <w:marBottom w:val="0"/>
          <w:divBdr>
            <w:top w:val="none" w:sz="0" w:space="0" w:color="auto"/>
            <w:left w:val="none" w:sz="0" w:space="0" w:color="auto"/>
            <w:bottom w:val="none" w:sz="0" w:space="0" w:color="auto"/>
            <w:right w:val="none" w:sz="0" w:space="0" w:color="auto"/>
          </w:divBdr>
        </w:div>
        <w:div w:id="998650575">
          <w:marLeft w:val="640"/>
          <w:marRight w:val="0"/>
          <w:marTop w:val="0"/>
          <w:marBottom w:val="0"/>
          <w:divBdr>
            <w:top w:val="none" w:sz="0" w:space="0" w:color="auto"/>
            <w:left w:val="none" w:sz="0" w:space="0" w:color="auto"/>
            <w:bottom w:val="none" w:sz="0" w:space="0" w:color="auto"/>
            <w:right w:val="none" w:sz="0" w:space="0" w:color="auto"/>
          </w:divBdr>
        </w:div>
        <w:div w:id="1080250446">
          <w:marLeft w:val="640"/>
          <w:marRight w:val="0"/>
          <w:marTop w:val="0"/>
          <w:marBottom w:val="0"/>
          <w:divBdr>
            <w:top w:val="none" w:sz="0" w:space="0" w:color="auto"/>
            <w:left w:val="none" w:sz="0" w:space="0" w:color="auto"/>
            <w:bottom w:val="none" w:sz="0" w:space="0" w:color="auto"/>
            <w:right w:val="none" w:sz="0" w:space="0" w:color="auto"/>
          </w:divBdr>
        </w:div>
        <w:div w:id="1432386833">
          <w:marLeft w:val="640"/>
          <w:marRight w:val="0"/>
          <w:marTop w:val="0"/>
          <w:marBottom w:val="0"/>
          <w:divBdr>
            <w:top w:val="none" w:sz="0" w:space="0" w:color="auto"/>
            <w:left w:val="none" w:sz="0" w:space="0" w:color="auto"/>
            <w:bottom w:val="none" w:sz="0" w:space="0" w:color="auto"/>
            <w:right w:val="none" w:sz="0" w:space="0" w:color="auto"/>
          </w:divBdr>
        </w:div>
        <w:div w:id="795761673">
          <w:marLeft w:val="640"/>
          <w:marRight w:val="0"/>
          <w:marTop w:val="0"/>
          <w:marBottom w:val="0"/>
          <w:divBdr>
            <w:top w:val="none" w:sz="0" w:space="0" w:color="auto"/>
            <w:left w:val="none" w:sz="0" w:space="0" w:color="auto"/>
            <w:bottom w:val="none" w:sz="0" w:space="0" w:color="auto"/>
            <w:right w:val="none" w:sz="0" w:space="0" w:color="auto"/>
          </w:divBdr>
        </w:div>
        <w:div w:id="1688016303">
          <w:marLeft w:val="640"/>
          <w:marRight w:val="0"/>
          <w:marTop w:val="0"/>
          <w:marBottom w:val="0"/>
          <w:divBdr>
            <w:top w:val="none" w:sz="0" w:space="0" w:color="auto"/>
            <w:left w:val="none" w:sz="0" w:space="0" w:color="auto"/>
            <w:bottom w:val="none" w:sz="0" w:space="0" w:color="auto"/>
            <w:right w:val="none" w:sz="0" w:space="0" w:color="auto"/>
          </w:divBdr>
        </w:div>
        <w:div w:id="1617756220">
          <w:marLeft w:val="640"/>
          <w:marRight w:val="0"/>
          <w:marTop w:val="0"/>
          <w:marBottom w:val="0"/>
          <w:divBdr>
            <w:top w:val="none" w:sz="0" w:space="0" w:color="auto"/>
            <w:left w:val="none" w:sz="0" w:space="0" w:color="auto"/>
            <w:bottom w:val="none" w:sz="0" w:space="0" w:color="auto"/>
            <w:right w:val="none" w:sz="0" w:space="0" w:color="auto"/>
          </w:divBdr>
        </w:div>
        <w:div w:id="2128966569">
          <w:marLeft w:val="640"/>
          <w:marRight w:val="0"/>
          <w:marTop w:val="0"/>
          <w:marBottom w:val="0"/>
          <w:divBdr>
            <w:top w:val="none" w:sz="0" w:space="0" w:color="auto"/>
            <w:left w:val="none" w:sz="0" w:space="0" w:color="auto"/>
            <w:bottom w:val="none" w:sz="0" w:space="0" w:color="auto"/>
            <w:right w:val="none" w:sz="0" w:space="0" w:color="auto"/>
          </w:divBdr>
        </w:div>
        <w:div w:id="1416316398">
          <w:marLeft w:val="640"/>
          <w:marRight w:val="0"/>
          <w:marTop w:val="0"/>
          <w:marBottom w:val="0"/>
          <w:divBdr>
            <w:top w:val="none" w:sz="0" w:space="0" w:color="auto"/>
            <w:left w:val="none" w:sz="0" w:space="0" w:color="auto"/>
            <w:bottom w:val="none" w:sz="0" w:space="0" w:color="auto"/>
            <w:right w:val="none" w:sz="0" w:space="0" w:color="auto"/>
          </w:divBdr>
        </w:div>
        <w:div w:id="1513298895">
          <w:marLeft w:val="640"/>
          <w:marRight w:val="0"/>
          <w:marTop w:val="0"/>
          <w:marBottom w:val="0"/>
          <w:divBdr>
            <w:top w:val="none" w:sz="0" w:space="0" w:color="auto"/>
            <w:left w:val="none" w:sz="0" w:space="0" w:color="auto"/>
            <w:bottom w:val="none" w:sz="0" w:space="0" w:color="auto"/>
            <w:right w:val="none" w:sz="0" w:space="0" w:color="auto"/>
          </w:divBdr>
        </w:div>
        <w:div w:id="1704473194">
          <w:marLeft w:val="640"/>
          <w:marRight w:val="0"/>
          <w:marTop w:val="0"/>
          <w:marBottom w:val="0"/>
          <w:divBdr>
            <w:top w:val="none" w:sz="0" w:space="0" w:color="auto"/>
            <w:left w:val="none" w:sz="0" w:space="0" w:color="auto"/>
            <w:bottom w:val="none" w:sz="0" w:space="0" w:color="auto"/>
            <w:right w:val="none" w:sz="0" w:space="0" w:color="auto"/>
          </w:divBdr>
        </w:div>
        <w:div w:id="661810924">
          <w:marLeft w:val="640"/>
          <w:marRight w:val="0"/>
          <w:marTop w:val="0"/>
          <w:marBottom w:val="0"/>
          <w:divBdr>
            <w:top w:val="none" w:sz="0" w:space="0" w:color="auto"/>
            <w:left w:val="none" w:sz="0" w:space="0" w:color="auto"/>
            <w:bottom w:val="none" w:sz="0" w:space="0" w:color="auto"/>
            <w:right w:val="none" w:sz="0" w:space="0" w:color="auto"/>
          </w:divBdr>
        </w:div>
        <w:div w:id="140000710">
          <w:marLeft w:val="640"/>
          <w:marRight w:val="0"/>
          <w:marTop w:val="0"/>
          <w:marBottom w:val="0"/>
          <w:divBdr>
            <w:top w:val="none" w:sz="0" w:space="0" w:color="auto"/>
            <w:left w:val="none" w:sz="0" w:space="0" w:color="auto"/>
            <w:bottom w:val="none" w:sz="0" w:space="0" w:color="auto"/>
            <w:right w:val="none" w:sz="0" w:space="0" w:color="auto"/>
          </w:divBdr>
        </w:div>
        <w:div w:id="1600214301">
          <w:marLeft w:val="640"/>
          <w:marRight w:val="0"/>
          <w:marTop w:val="0"/>
          <w:marBottom w:val="0"/>
          <w:divBdr>
            <w:top w:val="none" w:sz="0" w:space="0" w:color="auto"/>
            <w:left w:val="none" w:sz="0" w:space="0" w:color="auto"/>
            <w:bottom w:val="none" w:sz="0" w:space="0" w:color="auto"/>
            <w:right w:val="none" w:sz="0" w:space="0" w:color="auto"/>
          </w:divBdr>
        </w:div>
        <w:div w:id="1519656693">
          <w:marLeft w:val="640"/>
          <w:marRight w:val="0"/>
          <w:marTop w:val="0"/>
          <w:marBottom w:val="0"/>
          <w:divBdr>
            <w:top w:val="none" w:sz="0" w:space="0" w:color="auto"/>
            <w:left w:val="none" w:sz="0" w:space="0" w:color="auto"/>
            <w:bottom w:val="none" w:sz="0" w:space="0" w:color="auto"/>
            <w:right w:val="none" w:sz="0" w:space="0" w:color="auto"/>
          </w:divBdr>
        </w:div>
        <w:div w:id="1059480827">
          <w:marLeft w:val="640"/>
          <w:marRight w:val="0"/>
          <w:marTop w:val="0"/>
          <w:marBottom w:val="0"/>
          <w:divBdr>
            <w:top w:val="none" w:sz="0" w:space="0" w:color="auto"/>
            <w:left w:val="none" w:sz="0" w:space="0" w:color="auto"/>
            <w:bottom w:val="none" w:sz="0" w:space="0" w:color="auto"/>
            <w:right w:val="none" w:sz="0" w:space="0" w:color="auto"/>
          </w:divBdr>
        </w:div>
        <w:div w:id="488524768">
          <w:marLeft w:val="640"/>
          <w:marRight w:val="0"/>
          <w:marTop w:val="0"/>
          <w:marBottom w:val="0"/>
          <w:divBdr>
            <w:top w:val="none" w:sz="0" w:space="0" w:color="auto"/>
            <w:left w:val="none" w:sz="0" w:space="0" w:color="auto"/>
            <w:bottom w:val="none" w:sz="0" w:space="0" w:color="auto"/>
            <w:right w:val="none" w:sz="0" w:space="0" w:color="auto"/>
          </w:divBdr>
        </w:div>
        <w:div w:id="2056344817">
          <w:marLeft w:val="640"/>
          <w:marRight w:val="0"/>
          <w:marTop w:val="0"/>
          <w:marBottom w:val="0"/>
          <w:divBdr>
            <w:top w:val="none" w:sz="0" w:space="0" w:color="auto"/>
            <w:left w:val="none" w:sz="0" w:space="0" w:color="auto"/>
            <w:bottom w:val="none" w:sz="0" w:space="0" w:color="auto"/>
            <w:right w:val="none" w:sz="0" w:space="0" w:color="auto"/>
          </w:divBdr>
        </w:div>
        <w:div w:id="853109924">
          <w:marLeft w:val="640"/>
          <w:marRight w:val="0"/>
          <w:marTop w:val="0"/>
          <w:marBottom w:val="0"/>
          <w:divBdr>
            <w:top w:val="none" w:sz="0" w:space="0" w:color="auto"/>
            <w:left w:val="none" w:sz="0" w:space="0" w:color="auto"/>
            <w:bottom w:val="none" w:sz="0" w:space="0" w:color="auto"/>
            <w:right w:val="none" w:sz="0" w:space="0" w:color="auto"/>
          </w:divBdr>
        </w:div>
        <w:div w:id="33651855">
          <w:marLeft w:val="640"/>
          <w:marRight w:val="0"/>
          <w:marTop w:val="0"/>
          <w:marBottom w:val="0"/>
          <w:divBdr>
            <w:top w:val="none" w:sz="0" w:space="0" w:color="auto"/>
            <w:left w:val="none" w:sz="0" w:space="0" w:color="auto"/>
            <w:bottom w:val="none" w:sz="0" w:space="0" w:color="auto"/>
            <w:right w:val="none" w:sz="0" w:space="0" w:color="auto"/>
          </w:divBdr>
        </w:div>
        <w:div w:id="806433089">
          <w:marLeft w:val="640"/>
          <w:marRight w:val="0"/>
          <w:marTop w:val="0"/>
          <w:marBottom w:val="0"/>
          <w:divBdr>
            <w:top w:val="none" w:sz="0" w:space="0" w:color="auto"/>
            <w:left w:val="none" w:sz="0" w:space="0" w:color="auto"/>
            <w:bottom w:val="none" w:sz="0" w:space="0" w:color="auto"/>
            <w:right w:val="none" w:sz="0" w:space="0" w:color="auto"/>
          </w:divBdr>
        </w:div>
        <w:div w:id="461658329">
          <w:marLeft w:val="640"/>
          <w:marRight w:val="0"/>
          <w:marTop w:val="0"/>
          <w:marBottom w:val="0"/>
          <w:divBdr>
            <w:top w:val="none" w:sz="0" w:space="0" w:color="auto"/>
            <w:left w:val="none" w:sz="0" w:space="0" w:color="auto"/>
            <w:bottom w:val="none" w:sz="0" w:space="0" w:color="auto"/>
            <w:right w:val="none" w:sz="0" w:space="0" w:color="auto"/>
          </w:divBdr>
        </w:div>
        <w:div w:id="320931928">
          <w:marLeft w:val="640"/>
          <w:marRight w:val="0"/>
          <w:marTop w:val="0"/>
          <w:marBottom w:val="0"/>
          <w:divBdr>
            <w:top w:val="none" w:sz="0" w:space="0" w:color="auto"/>
            <w:left w:val="none" w:sz="0" w:space="0" w:color="auto"/>
            <w:bottom w:val="none" w:sz="0" w:space="0" w:color="auto"/>
            <w:right w:val="none" w:sz="0" w:space="0" w:color="auto"/>
          </w:divBdr>
        </w:div>
        <w:div w:id="766270536">
          <w:marLeft w:val="640"/>
          <w:marRight w:val="0"/>
          <w:marTop w:val="0"/>
          <w:marBottom w:val="0"/>
          <w:divBdr>
            <w:top w:val="none" w:sz="0" w:space="0" w:color="auto"/>
            <w:left w:val="none" w:sz="0" w:space="0" w:color="auto"/>
            <w:bottom w:val="none" w:sz="0" w:space="0" w:color="auto"/>
            <w:right w:val="none" w:sz="0" w:space="0" w:color="auto"/>
          </w:divBdr>
        </w:div>
        <w:div w:id="1592204603">
          <w:marLeft w:val="640"/>
          <w:marRight w:val="0"/>
          <w:marTop w:val="0"/>
          <w:marBottom w:val="0"/>
          <w:divBdr>
            <w:top w:val="none" w:sz="0" w:space="0" w:color="auto"/>
            <w:left w:val="none" w:sz="0" w:space="0" w:color="auto"/>
            <w:bottom w:val="none" w:sz="0" w:space="0" w:color="auto"/>
            <w:right w:val="none" w:sz="0" w:space="0" w:color="auto"/>
          </w:divBdr>
        </w:div>
        <w:div w:id="1812399832">
          <w:marLeft w:val="640"/>
          <w:marRight w:val="0"/>
          <w:marTop w:val="0"/>
          <w:marBottom w:val="0"/>
          <w:divBdr>
            <w:top w:val="none" w:sz="0" w:space="0" w:color="auto"/>
            <w:left w:val="none" w:sz="0" w:space="0" w:color="auto"/>
            <w:bottom w:val="none" w:sz="0" w:space="0" w:color="auto"/>
            <w:right w:val="none" w:sz="0" w:space="0" w:color="auto"/>
          </w:divBdr>
        </w:div>
        <w:div w:id="447702439">
          <w:marLeft w:val="640"/>
          <w:marRight w:val="0"/>
          <w:marTop w:val="0"/>
          <w:marBottom w:val="0"/>
          <w:divBdr>
            <w:top w:val="none" w:sz="0" w:space="0" w:color="auto"/>
            <w:left w:val="none" w:sz="0" w:space="0" w:color="auto"/>
            <w:bottom w:val="none" w:sz="0" w:space="0" w:color="auto"/>
            <w:right w:val="none" w:sz="0" w:space="0" w:color="auto"/>
          </w:divBdr>
        </w:div>
        <w:div w:id="1604922842">
          <w:marLeft w:val="640"/>
          <w:marRight w:val="0"/>
          <w:marTop w:val="0"/>
          <w:marBottom w:val="0"/>
          <w:divBdr>
            <w:top w:val="none" w:sz="0" w:space="0" w:color="auto"/>
            <w:left w:val="none" w:sz="0" w:space="0" w:color="auto"/>
            <w:bottom w:val="none" w:sz="0" w:space="0" w:color="auto"/>
            <w:right w:val="none" w:sz="0" w:space="0" w:color="auto"/>
          </w:divBdr>
        </w:div>
        <w:div w:id="474417837">
          <w:marLeft w:val="640"/>
          <w:marRight w:val="0"/>
          <w:marTop w:val="0"/>
          <w:marBottom w:val="0"/>
          <w:divBdr>
            <w:top w:val="none" w:sz="0" w:space="0" w:color="auto"/>
            <w:left w:val="none" w:sz="0" w:space="0" w:color="auto"/>
            <w:bottom w:val="none" w:sz="0" w:space="0" w:color="auto"/>
            <w:right w:val="none" w:sz="0" w:space="0" w:color="auto"/>
          </w:divBdr>
        </w:div>
        <w:div w:id="662440329">
          <w:marLeft w:val="640"/>
          <w:marRight w:val="0"/>
          <w:marTop w:val="0"/>
          <w:marBottom w:val="0"/>
          <w:divBdr>
            <w:top w:val="none" w:sz="0" w:space="0" w:color="auto"/>
            <w:left w:val="none" w:sz="0" w:space="0" w:color="auto"/>
            <w:bottom w:val="none" w:sz="0" w:space="0" w:color="auto"/>
            <w:right w:val="none" w:sz="0" w:space="0" w:color="auto"/>
          </w:divBdr>
        </w:div>
        <w:div w:id="1702320471">
          <w:marLeft w:val="640"/>
          <w:marRight w:val="0"/>
          <w:marTop w:val="0"/>
          <w:marBottom w:val="0"/>
          <w:divBdr>
            <w:top w:val="none" w:sz="0" w:space="0" w:color="auto"/>
            <w:left w:val="none" w:sz="0" w:space="0" w:color="auto"/>
            <w:bottom w:val="none" w:sz="0" w:space="0" w:color="auto"/>
            <w:right w:val="none" w:sz="0" w:space="0" w:color="auto"/>
          </w:divBdr>
        </w:div>
        <w:div w:id="129055152">
          <w:marLeft w:val="640"/>
          <w:marRight w:val="0"/>
          <w:marTop w:val="0"/>
          <w:marBottom w:val="0"/>
          <w:divBdr>
            <w:top w:val="none" w:sz="0" w:space="0" w:color="auto"/>
            <w:left w:val="none" w:sz="0" w:space="0" w:color="auto"/>
            <w:bottom w:val="none" w:sz="0" w:space="0" w:color="auto"/>
            <w:right w:val="none" w:sz="0" w:space="0" w:color="auto"/>
          </w:divBdr>
        </w:div>
        <w:div w:id="651787097">
          <w:marLeft w:val="640"/>
          <w:marRight w:val="0"/>
          <w:marTop w:val="0"/>
          <w:marBottom w:val="0"/>
          <w:divBdr>
            <w:top w:val="none" w:sz="0" w:space="0" w:color="auto"/>
            <w:left w:val="none" w:sz="0" w:space="0" w:color="auto"/>
            <w:bottom w:val="none" w:sz="0" w:space="0" w:color="auto"/>
            <w:right w:val="none" w:sz="0" w:space="0" w:color="auto"/>
          </w:divBdr>
        </w:div>
        <w:div w:id="1081296968">
          <w:marLeft w:val="640"/>
          <w:marRight w:val="0"/>
          <w:marTop w:val="0"/>
          <w:marBottom w:val="0"/>
          <w:divBdr>
            <w:top w:val="none" w:sz="0" w:space="0" w:color="auto"/>
            <w:left w:val="none" w:sz="0" w:space="0" w:color="auto"/>
            <w:bottom w:val="none" w:sz="0" w:space="0" w:color="auto"/>
            <w:right w:val="none" w:sz="0" w:space="0" w:color="auto"/>
          </w:divBdr>
        </w:div>
        <w:div w:id="506409580">
          <w:marLeft w:val="640"/>
          <w:marRight w:val="0"/>
          <w:marTop w:val="0"/>
          <w:marBottom w:val="0"/>
          <w:divBdr>
            <w:top w:val="none" w:sz="0" w:space="0" w:color="auto"/>
            <w:left w:val="none" w:sz="0" w:space="0" w:color="auto"/>
            <w:bottom w:val="none" w:sz="0" w:space="0" w:color="auto"/>
            <w:right w:val="none" w:sz="0" w:space="0" w:color="auto"/>
          </w:divBdr>
        </w:div>
        <w:div w:id="1686520718">
          <w:marLeft w:val="640"/>
          <w:marRight w:val="0"/>
          <w:marTop w:val="0"/>
          <w:marBottom w:val="0"/>
          <w:divBdr>
            <w:top w:val="none" w:sz="0" w:space="0" w:color="auto"/>
            <w:left w:val="none" w:sz="0" w:space="0" w:color="auto"/>
            <w:bottom w:val="none" w:sz="0" w:space="0" w:color="auto"/>
            <w:right w:val="none" w:sz="0" w:space="0" w:color="auto"/>
          </w:divBdr>
        </w:div>
        <w:div w:id="810902648">
          <w:marLeft w:val="640"/>
          <w:marRight w:val="0"/>
          <w:marTop w:val="0"/>
          <w:marBottom w:val="0"/>
          <w:divBdr>
            <w:top w:val="none" w:sz="0" w:space="0" w:color="auto"/>
            <w:left w:val="none" w:sz="0" w:space="0" w:color="auto"/>
            <w:bottom w:val="none" w:sz="0" w:space="0" w:color="auto"/>
            <w:right w:val="none" w:sz="0" w:space="0" w:color="auto"/>
          </w:divBdr>
        </w:div>
        <w:div w:id="1805074250">
          <w:marLeft w:val="640"/>
          <w:marRight w:val="0"/>
          <w:marTop w:val="0"/>
          <w:marBottom w:val="0"/>
          <w:divBdr>
            <w:top w:val="none" w:sz="0" w:space="0" w:color="auto"/>
            <w:left w:val="none" w:sz="0" w:space="0" w:color="auto"/>
            <w:bottom w:val="none" w:sz="0" w:space="0" w:color="auto"/>
            <w:right w:val="none" w:sz="0" w:space="0" w:color="auto"/>
          </w:divBdr>
        </w:div>
        <w:div w:id="615068115">
          <w:marLeft w:val="640"/>
          <w:marRight w:val="0"/>
          <w:marTop w:val="0"/>
          <w:marBottom w:val="0"/>
          <w:divBdr>
            <w:top w:val="none" w:sz="0" w:space="0" w:color="auto"/>
            <w:left w:val="none" w:sz="0" w:space="0" w:color="auto"/>
            <w:bottom w:val="none" w:sz="0" w:space="0" w:color="auto"/>
            <w:right w:val="none" w:sz="0" w:space="0" w:color="auto"/>
          </w:divBdr>
        </w:div>
        <w:div w:id="353192795">
          <w:marLeft w:val="640"/>
          <w:marRight w:val="0"/>
          <w:marTop w:val="0"/>
          <w:marBottom w:val="0"/>
          <w:divBdr>
            <w:top w:val="none" w:sz="0" w:space="0" w:color="auto"/>
            <w:left w:val="none" w:sz="0" w:space="0" w:color="auto"/>
            <w:bottom w:val="none" w:sz="0" w:space="0" w:color="auto"/>
            <w:right w:val="none" w:sz="0" w:space="0" w:color="auto"/>
          </w:divBdr>
        </w:div>
        <w:div w:id="109933094">
          <w:marLeft w:val="640"/>
          <w:marRight w:val="0"/>
          <w:marTop w:val="0"/>
          <w:marBottom w:val="0"/>
          <w:divBdr>
            <w:top w:val="none" w:sz="0" w:space="0" w:color="auto"/>
            <w:left w:val="none" w:sz="0" w:space="0" w:color="auto"/>
            <w:bottom w:val="none" w:sz="0" w:space="0" w:color="auto"/>
            <w:right w:val="none" w:sz="0" w:space="0" w:color="auto"/>
          </w:divBdr>
        </w:div>
        <w:div w:id="1420835335">
          <w:marLeft w:val="640"/>
          <w:marRight w:val="0"/>
          <w:marTop w:val="0"/>
          <w:marBottom w:val="0"/>
          <w:divBdr>
            <w:top w:val="none" w:sz="0" w:space="0" w:color="auto"/>
            <w:left w:val="none" w:sz="0" w:space="0" w:color="auto"/>
            <w:bottom w:val="none" w:sz="0" w:space="0" w:color="auto"/>
            <w:right w:val="none" w:sz="0" w:space="0" w:color="auto"/>
          </w:divBdr>
        </w:div>
        <w:div w:id="664213011">
          <w:marLeft w:val="640"/>
          <w:marRight w:val="0"/>
          <w:marTop w:val="0"/>
          <w:marBottom w:val="0"/>
          <w:divBdr>
            <w:top w:val="none" w:sz="0" w:space="0" w:color="auto"/>
            <w:left w:val="none" w:sz="0" w:space="0" w:color="auto"/>
            <w:bottom w:val="none" w:sz="0" w:space="0" w:color="auto"/>
            <w:right w:val="none" w:sz="0" w:space="0" w:color="auto"/>
          </w:divBdr>
        </w:div>
        <w:div w:id="1736851132">
          <w:marLeft w:val="640"/>
          <w:marRight w:val="0"/>
          <w:marTop w:val="0"/>
          <w:marBottom w:val="0"/>
          <w:divBdr>
            <w:top w:val="none" w:sz="0" w:space="0" w:color="auto"/>
            <w:left w:val="none" w:sz="0" w:space="0" w:color="auto"/>
            <w:bottom w:val="none" w:sz="0" w:space="0" w:color="auto"/>
            <w:right w:val="none" w:sz="0" w:space="0" w:color="auto"/>
          </w:divBdr>
        </w:div>
        <w:div w:id="1474912142">
          <w:marLeft w:val="640"/>
          <w:marRight w:val="0"/>
          <w:marTop w:val="0"/>
          <w:marBottom w:val="0"/>
          <w:divBdr>
            <w:top w:val="none" w:sz="0" w:space="0" w:color="auto"/>
            <w:left w:val="none" w:sz="0" w:space="0" w:color="auto"/>
            <w:bottom w:val="none" w:sz="0" w:space="0" w:color="auto"/>
            <w:right w:val="none" w:sz="0" w:space="0" w:color="auto"/>
          </w:divBdr>
        </w:div>
        <w:div w:id="1910068980">
          <w:marLeft w:val="640"/>
          <w:marRight w:val="0"/>
          <w:marTop w:val="0"/>
          <w:marBottom w:val="0"/>
          <w:divBdr>
            <w:top w:val="none" w:sz="0" w:space="0" w:color="auto"/>
            <w:left w:val="none" w:sz="0" w:space="0" w:color="auto"/>
            <w:bottom w:val="none" w:sz="0" w:space="0" w:color="auto"/>
            <w:right w:val="none" w:sz="0" w:space="0" w:color="auto"/>
          </w:divBdr>
        </w:div>
        <w:div w:id="33576695">
          <w:marLeft w:val="640"/>
          <w:marRight w:val="0"/>
          <w:marTop w:val="0"/>
          <w:marBottom w:val="0"/>
          <w:divBdr>
            <w:top w:val="none" w:sz="0" w:space="0" w:color="auto"/>
            <w:left w:val="none" w:sz="0" w:space="0" w:color="auto"/>
            <w:bottom w:val="none" w:sz="0" w:space="0" w:color="auto"/>
            <w:right w:val="none" w:sz="0" w:space="0" w:color="auto"/>
          </w:divBdr>
        </w:div>
        <w:div w:id="1979916416">
          <w:marLeft w:val="640"/>
          <w:marRight w:val="0"/>
          <w:marTop w:val="0"/>
          <w:marBottom w:val="0"/>
          <w:divBdr>
            <w:top w:val="none" w:sz="0" w:space="0" w:color="auto"/>
            <w:left w:val="none" w:sz="0" w:space="0" w:color="auto"/>
            <w:bottom w:val="none" w:sz="0" w:space="0" w:color="auto"/>
            <w:right w:val="none" w:sz="0" w:space="0" w:color="auto"/>
          </w:divBdr>
        </w:div>
        <w:div w:id="1702128099">
          <w:marLeft w:val="640"/>
          <w:marRight w:val="0"/>
          <w:marTop w:val="0"/>
          <w:marBottom w:val="0"/>
          <w:divBdr>
            <w:top w:val="none" w:sz="0" w:space="0" w:color="auto"/>
            <w:left w:val="none" w:sz="0" w:space="0" w:color="auto"/>
            <w:bottom w:val="none" w:sz="0" w:space="0" w:color="auto"/>
            <w:right w:val="none" w:sz="0" w:space="0" w:color="auto"/>
          </w:divBdr>
        </w:div>
        <w:div w:id="1147014857">
          <w:marLeft w:val="640"/>
          <w:marRight w:val="0"/>
          <w:marTop w:val="0"/>
          <w:marBottom w:val="0"/>
          <w:divBdr>
            <w:top w:val="none" w:sz="0" w:space="0" w:color="auto"/>
            <w:left w:val="none" w:sz="0" w:space="0" w:color="auto"/>
            <w:bottom w:val="none" w:sz="0" w:space="0" w:color="auto"/>
            <w:right w:val="none" w:sz="0" w:space="0" w:color="auto"/>
          </w:divBdr>
        </w:div>
        <w:div w:id="1072853650">
          <w:marLeft w:val="640"/>
          <w:marRight w:val="0"/>
          <w:marTop w:val="0"/>
          <w:marBottom w:val="0"/>
          <w:divBdr>
            <w:top w:val="none" w:sz="0" w:space="0" w:color="auto"/>
            <w:left w:val="none" w:sz="0" w:space="0" w:color="auto"/>
            <w:bottom w:val="none" w:sz="0" w:space="0" w:color="auto"/>
            <w:right w:val="none" w:sz="0" w:space="0" w:color="auto"/>
          </w:divBdr>
        </w:div>
        <w:div w:id="1928147806">
          <w:marLeft w:val="640"/>
          <w:marRight w:val="0"/>
          <w:marTop w:val="0"/>
          <w:marBottom w:val="0"/>
          <w:divBdr>
            <w:top w:val="none" w:sz="0" w:space="0" w:color="auto"/>
            <w:left w:val="none" w:sz="0" w:space="0" w:color="auto"/>
            <w:bottom w:val="none" w:sz="0" w:space="0" w:color="auto"/>
            <w:right w:val="none" w:sz="0" w:space="0" w:color="auto"/>
          </w:divBdr>
        </w:div>
        <w:div w:id="841891809">
          <w:marLeft w:val="640"/>
          <w:marRight w:val="0"/>
          <w:marTop w:val="0"/>
          <w:marBottom w:val="0"/>
          <w:divBdr>
            <w:top w:val="none" w:sz="0" w:space="0" w:color="auto"/>
            <w:left w:val="none" w:sz="0" w:space="0" w:color="auto"/>
            <w:bottom w:val="none" w:sz="0" w:space="0" w:color="auto"/>
            <w:right w:val="none" w:sz="0" w:space="0" w:color="auto"/>
          </w:divBdr>
        </w:div>
        <w:div w:id="983854604">
          <w:marLeft w:val="640"/>
          <w:marRight w:val="0"/>
          <w:marTop w:val="0"/>
          <w:marBottom w:val="0"/>
          <w:divBdr>
            <w:top w:val="none" w:sz="0" w:space="0" w:color="auto"/>
            <w:left w:val="none" w:sz="0" w:space="0" w:color="auto"/>
            <w:bottom w:val="none" w:sz="0" w:space="0" w:color="auto"/>
            <w:right w:val="none" w:sz="0" w:space="0" w:color="auto"/>
          </w:divBdr>
        </w:div>
        <w:div w:id="1813785819">
          <w:marLeft w:val="640"/>
          <w:marRight w:val="0"/>
          <w:marTop w:val="0"/>
          <w:marBottom w:val="0"/>
          <w:divBdr>
            <w:top w:val="none" w:sz="0" w:space="0" w:color="auto"/>
            <w:left w:val="none" w:sz="0" w:space="0" w:color="auto"/>
            <w:bottom w:val="none" w:sz="0" w:space="0" w:color="auto"/>
            <w:right w:val="none" w:sz="0" w:space="0" w:color="auto"/>
          </w:divBdr>
        </w:div>
        <w:div w:id="1973555910">
          <w:marLeft w:val="640"/>
          <w:marRight w:val="0"/>
          <w:marTop w:val="0"/>
          <w:marBottom w:val="0"/>
          <w:divBdr>
            <w:top w:val="none" w:sz="0" w:space="0" w:color="auto"/>
            <w:left w:val="none" w:sz="0" w:space="0" w:color="auto"/>
            <w:bottom w:val="none" w:sz="0" w:space="0" w:color="auto"/>
            <w:right w:val="none" w:sz="0" w:space="0" w:color="auto"/>
          </w:divBdr>
        </w:div>
        <w:div w:id="869994354">
          <w:marLeft w:val="640"/>
          <w:marRight w:val="0"/>
          <w:marTop w:val="0"/>
          <w:marBottom w:val="0"/>
          <w:divBdr>
            <w:top w:val="none" w:sz="0" w:space="0" w:color="auto"/>
            <w:left w:val="none" w:sz="0" w:space="0" w:color="auto"/>
            <w:bottom w:val="none" w:sz="0" w:space="0" w:color="auto"/>
            <w:right w:val="none" w:sz="0" w:space="0" w:color="auto"/>
          </w:divBdr>
        </w:div>
        <w:div w:id="197014569">
          <w:marLeft w:val="640"/>
          <w:marRight w:val="0"/>
          <w:marTop w:val="0"/>
          <w:marBottom w:val="0"/>
          <w:divBdr>
            <w:top w:val="none" w:sz="0" w:space="0" w:color="auto"/>
            <w:left w:val="none" w:sz="0" w:space="0" w:color="auto"/>
            <w:bottom w:val="none" w:sz="0" w:space="0" w:color="auto"/>
            <w:right w:val="none" w:sz="0" w:space="0" w:color="auto"/>
          </w:divBdr>
        </w:div>
        <w:div w:id="502554114">
          <w:marLeft w:val="640"/>
          <w:marRight w:val="0"/>
          <w:marTop w:val="0"/>
          <w:marBottom w:val="0"/>
          <w:divBdr>
            <w:top w:val="none" w:sz="0" w:space="0" w:color="auto"/>
            <w:left w:val="none" w:sz="0" w:space="0" w:color="auto"/>
            <w:bottom w:val="none" w:sz="0" w:space="0" w:color="auto"/>
            <w:right w:val="none" w:sz="0" w:space="0" w:color="auto"/>
          </w:divBdr>
        </w:div>
        <w:div w:id="186607068">
          <w:marLeft w:val="640"/>
          <w:marRight w:val="0"/>
          <w:marTop w:val="0"/>
          <w:marBottom w:val="0"/>
          <w:divBdr>
            <w:top w:val="none" w:sz="0" w:space="0" w:color="auto"/>
            <w:left w:val="none" w:sz="0" w:space="0" w:color="auto"/>
            <w:bottom w:val="none" w:sz="0" w:space="0" w:color="auto"/>
            <w:right w:val="none" w:sz="0" w:space="0" w:color="auto"/>
          </w:divBdr>
        </w:div>
        <w:div w:id="1015184691">
          <w:marLeft w:val="640"/>
          <w:marRight w:val="0"/>
          <w:marTop w:val="0"/>
          <w:marBottom w:val="0"/>
          <w:divBdr>
            <w:top w:val="none" w:sz="0" w:space="0" w:color="auto"/>
            <w:left w:val="none" w:sz="0" w:space="0" w:color="auto"/>
            <w:bottom w:val="none" w:sz="0" w:space="0" w:color="auto"/>
            <w:right w:val="none" w:sz="0" w:space="0" w:color="auto"/>
          </w:divBdr>
        </w:div>
        <w:div w:id="1181821771">
          <w:marLeft w:val="640"/>
          <w:marRight w:val="0"/>
          <w:marTop w:val="0"/>
          <w:marBottom w:val="0"/>
          <w:divBdr>
            <w:top w:val="none" w:sz="0" w:space="0" w:color="auto"/>
            <w:left w:val="none" w:sz="0" w:space="0" w:color="auto"/>
            <w:bottom w:val="none" w:sz="0" w:space="0" w:color="auto"/>
            <w:right w:val="none" w:sz="0" w:space="0" w:color="auto"/>
          </w:divBdr>
        </w:div>
        <w:div w:id="1889368128">
          <w:marLeft w:val="640"/>
          <w:marRight w:val="0"/>
          <w:marTop w:val="0"/>
          <w:marBottom w:val="0"/>
          <w:divBdr>
            <w:top w:val="none" w:sz="0" w:space="0" w:color="auto"/>
            <w:left w:val="none" w:sz="0" w:space="0" w:color="auto"/>
            <w:bottom w:val="none" w:sz="0" w:space="0" w:color="auto"/>
            <w:right w:val="none" w:sz="0" w:space="0" w:color="auto"/>
          </w:divBdr>
        </w:div>
        <w:div w:id="1213612593">
          <w:marLeft w:val="640"/>
          <w:marRight w:val="0"/>
          <w:marTop w:val="0"/>
          <w:marBottom w:val="0"/>
          <w:divBdr>
            <w:top w:val="none" w:sz="0" w:space="0" w:color="auto"/>
            <w:left w:val="none" w:sz="0" w:space="0" w:color="auto"/>
            <w:bottom w:val="none" w:sz="0" w:space="0" w:color="auto"/>
            <w:right w:val="none" w:sz="0" w:space="0" w:color="auto"/>
          </w:divBdr>
        </w:div>
        <w:div w:id="1847789867">
          <w:marLeft w:val="640"/>
          <w:marRight w:val="0"/>
          <w:marTop w:val="0"/>
          <w:marBottom w:val="0"/>
          <w:divBdr>
            <w:top w:val="none" w:sz="0" w:space="0" w:color="auto"/>
            <w:left w:val="none" w:sz="0" w:space="0" w:color="auto"/>
            <w:bottom w:val="none" w:sz="0" w:space="0" w:color="auto"/>
            <w:right w:val="none" w:sz="0" w:space="0" w:color="auto"/>
          </w:divBdr>
        </w:div>
        <w:div w:id="1243297531">
          <w:marLeft w:val="640"/>
          <w:marRight w:val="0"/>
          <w:marTop w:val="0"/>
          <w:marBottom w:val="0"/>
          <w:divBdr>
            <w:top w:val="none" w:sz="0" w:space="0" w:color="auto"/>
            <w:left w:val="none" w:sz="0" w:space="0" w:color="auto"/>
            <w:bottom w:val="none" w:sz="0" w:space="0" w:color="auto"/>
            <w:right w:val="none" w:sz="0" w:space="0" w:color="auto"/>
          </w:divBdr>
        </w:div>
        <w:div w:id="1472945875">
          <w:marLeft w:val="640"/>
          <w:marRight w:val="0"/>
          <w:marTop w:val="0"/>
          <w:marBottom w:val="0"/>
          <w:divBdr>
            <w:top w:val="none" w:sz="0" w:space="0" w:color="auto"/>
            <w:left w:val="none" w:sz="0" w:space="0" w:color="auto"/>
            <w:bottom w:val="none" w:sz="0" w:space="0" w:color="auto"/>
            <w:right w:val="none" w:sz="0" w:space="0" w:color="auto"/>
          </w:divBdr>
        </w:div>
        <w:div w:id="1731078931">
          <w:marLeft w:val="640"/>
          <w:marRight w:val="0"/>
          <w:marTop w:val="0"/>
          <w:marBottom w:val="0"/>
          <w:divBdr>
            <w:top w:val="none" w:sz="0" w:space="0" w:color="auto"/>
            <w:left w:val="none" w:sz="0" w:space="0" w:color="auto"/>
            <w:bottom w:val="none" w:sz="0" w:space="0" w:color="auto"/>
            <w:right w:val="none" w:sz="0" w:space="0" w:color="auto"/>
          </w:divBdr>
        </w:div>
        <w:div w:id="262880141">
          <w:marLeft w:val="640"/>
          <w:marRight w:val="0"/>
          <w:marTop w:val="0"/>
          <w:marBottom w:val="0"/>
          <w:divBdr>
            <w:top w:val="none" w:sz="0" w:space="0" w:color="auto"/>
            <w:left w:val="none" w:sz="0" w:space="0" w:color="auto"/>
            <w:bottom w:val="none" w:sz="0" w:space="0" w:color="auto"/>
            <w:right w:val="none" w:sz="0" w:space="0" w:color="auto"/>
          </w:divBdr>
        </w:div>
        <w:div w:id="772943089">
          <w:marLeft w:val="640"/>
          <w:marRight w:val="0"/>
          <w:marTop w:val="0"/>
          <w:marBottom w:val="0"/>
          <w:divBdr>
            <w:top w:val="none" w:sz="0" w:space="0" w:color="auto"/>
            <w:left w:val="none" w:sz="0" w:space="0" w:color="auto"/>
            <w:bottom w:val="none" w:sz="0" w:space="0" w:color="auto"/>
            <w:right w:val="none" w:sz="0" w:space="0" w:color="auto"/>
          </w:divBdr>
        </w:div>
        <w:div w:id="1004625787">
          <w:marLeft w:val="640"/>
          <w:marRight w:val="0"/>
          <w:marTop w:val="0"/>
          <w:marBottom w:val="0"/>
          <w:divBdr>
            <w:top w:val="none" w:sz="0" w:space="0" w:color="auto"/>
            <w:left w:val="none" w:sz="0" w:space="0" w:color="auto"/>
            <w:bottom w:val="none" w:sz="0" w:space="0" w:color="auto"/>
            <w:right w:val="none" w:sz="0" w:space="0" w:color="auto"/>
          </w:divBdr>
        </w:div>
        <w:div w:id="51314735">
          <w:marLeft w:val="640"/>
          <w:marRight w:val="0"/>
          <w:marTop w:val="0"/>
          <w:marBottom w:val="0"/>
          <w:divBdr>
            <w:top w:val="none" w:sz="0" w:space="0" w:color="auto"/>
            <w:left w:val="none" w:sz="0" w:space="0" w:color="auto"/>
            <w:bottom w:val="none" w:sz="0" w:space="0" w:color="auto"/>
            <w:right w:val="none" w:sz="0" w:space="0" w:color="auto"/>
          </w:divBdr>
        </w:div>
        <w:div w:id="634874345">
          <w:marLeft w:val="640"/>
          <w:marRight w:val="0"/>
          <w:marTop w:val="0"/>
          <w:marBottom w:val="0"/>
          <w:divBdr>
            <w:top w:val="none" w:sz="0" w:space="0" w:color="auto"/>
            <w:left w:val="none" w:sz="0" w:space="0" w:color="auto"/>
            <w:bottom w:val="none" w:sz="0" w:space="0" w:color="auto"/>
            <w:right w:val="none" w:sz="0" w:space="0" w:color="auto"/>
          </w:divBdr>
        </w:div>
        <w:div w:id="1039234629">
          <w:marLeft w:val="640"/>
          <w:marRight w:val="0"/>
          <w:marTop w:val="0"/>
          <w:marBottom w:val="0"/>
          <w:divBdr>
            <w:top w:val="none" w:sz="0" w:space="0" w:color="auto"/>
            <w:left w:val="none" w:sz="0" w:space="0" w:color="auto"/>
            <w:bottom w:val="none" w:sz="0" w:space="0" w:color="auto"/>
            <w:right w:val="none" w:sz="0" w:space="0" w:color="auto"/>
          </w:divBdr>
        </w:div>
        <w:div w:id="1475444609">
          <w:marLeft w:val="640"/>
          <w:marRight w:val="0"/>
          <w:marTop w:val="0"/>
          <w:marBottom w:val="0"/>
          <w:divBdr>
            <w:top w:val="none" w:sz="0" w:space="0" w:color="auto"/>
            <w:left w:val="none" w:sz="0" w:space="0" w:color="auto"/>
            <w:bottom w:val="none" w:sz="0" w:space="0" w:color="auto"/>
            <w:right w:val="none" w:sz="0" w:space="0" w:color="auto"/>
          </w:divBdr>
        </w:div>
        <w:div w:id="780222269">
          <w:marLeft w:val="640"/>
          <w:marRight w:val="0"/>
          <w:marTop w:val="0"/>
          <w:marBottom w:val="0"/>
          <w:divBdr>
            <w:top w:val="none" w:sz="0" w:space="0" w:color="auto"/>
            <w:left w:val="none" w:sz="0" w:space="0" w:color="auto"/>
            <w:bottom w:val="none" w:sz="0" w:space="0" w:color="auto"/>
            <w:right w:val="none" w:sz="0" w:space="0" w:color="auto"/>
          </w:divBdr>
        </w:div>
        <w:div w:id="666329600">
          <w:marLeft w:val="640"/>
          <w:marRight w:val="0"/>
          <w:marTop w:val="0"/>
          <w:marBottom w:val="0"/>
          <w:divBdr>
            <w:top w:val="none" w:sz="0" w:space="0" w:color="auto"/>
            <w:left w:val="none" w:sz="0" w:space="0" w:color="auto"/>
            <w:bottom w:val="none" w:sz="0" w:space="0" w:color="auto"/>
            <w:right w:val="none" w:sz="0" w:space="0" w:color="auto"/>
          </w:divBdr>
        </w:div>
        <w:div w:id="1324241240">
          <w:marLeft w:val="640"/>
          <w:marRight w:val="0"/>
          <w:marTop w:val="0"/>
          <w:marBottom w:val="0"/>
          <w:divBdr>
            <w:top w:val="none" w:sz="0" w:space="0" w:color="auto"/>
            <w:left w:val="none" w:sz="0" w:space="0" w:color="auto"/>
            <w:bottom w:val="none" w:sz="0" w:space="0" w:color="auto"/>
            <w:right w:val="none" w:sz="0" w:space="0" w:color="auto"/>
          </w:divBdr>
        </w:div>
        <w:div w:id="1163085147">
          <w:marLeft w:val="640"/>
          <w:marRight w:val="0"/>
          <w:marTop w:val="0"/>
          <w:marBottom w:val="0"/>
          <w:divBdr>
            <w:top w:val="none" w:sz="0" w:space="0" w:color="auto"/>
            <w:left w:val="none" w:sz="0" w:space="0" w:color="auto"/>
            <w:bottom w:val="none" w:sz="0" w:space="0" w:color="auto"/>
            <w:right w:val="none" w:sz="0" w:space="0" w:color="auto"/>
          </w:divBdr>
        </w:div>
        <w:div w:id="1099637772">
          <w:marLeft w:val="640"/>
          <w:marRight w:val="0"/>
          <w:marTop w:val="0"/>
          <w:marBottom w:val="0"/>
          <w:divBdr>
            <w:top w:val="none" w:sz="0" w:space="0" w:color="auto"/>
            <w:left w:val="none" w:sz="0" w:space="0" w:color="auto"/>
            <w:bottom w:val="none" w:sz="0" w:space="0" w:color="auto"/>
            <w:right w:val="none" w:sz="0" w:space="0" w:color="auto"/>
          </w:divBdr>
        </w:div>
        <w:div w:id="1627858499">
          <w:marLeft w:val="640"/>
          <w:marRight w:val="0"/>
          <w:marTop w:val="0"/>
          <w:marBottom w:val="0"/>
          <w:divBdr>
            <w:top w:val="none" w:sz="0" w:space="0" w:color="auto"/>
            <w:left w:val="none" w:sz="0" w:space="0" w:color="auto"/>
            <w:bottom w:val="none" w:sz="0" w:space="0" w:color="auto"/>
            <w:right w:val="none" w:sz="0" w:space="0" w:color="auto"/>
          </w:divBdr>
        </w:div>
        <w:div w:id="2036081115">
          <w:marLeft w:val="640"/>
          <w:marRight w:val="0"/>
          <w:marTop w:val="0"/>
          <w:marBottom w:val="0"/>
          <w:divBdr>
            <w:top w:val="none" w:sz="0" w:space="0" w:color="auto"/>
            <w:left w:val="none" w:sz="0" w:space="0" w:color="auto"/>
            <w:bottom w:val="none" w:sz="0" w:space="0" w:color="auto"/>
            <w:right w:val="none" w:sz="0" w:space="0" w:color="auto"/>
          </w:divBdr>
        </w:div>
        <w:div w:id="1714186817">
          <w:marLeft w:val="640"/>
          <w:marRight w:val="0"/>
          <w:marTop w:val="0"/>
          <w:marBottom w:val="0"/>
          <w:divBdr>
            <w:top w:val="none" w:sz="0" w:space="0" w:color="auto"/>
            <w:left w:val="none" w:sz="0" w:space="0" w:color="auto"/>
            <w:bottom w:val="none" w:sz="0" w:space="0" w:color="auto"/>
            <w:right w:val="none" w:sz="0" w:space="0" w:color="auto"/>
          </w:divBdr>
        </w:div>
        <w:div w:id="1607493744">
          <w:marLeft w:val="640"/>
          <w:marRight w:val="0"/>
          <w:marTop w:val="0"/>
          <w:marBottom w:val="0"/>
          <w:divBdr>
            <w:top w:val="none" w:sz="0" w:space="0" w:color="auto"/>
            <w:left w:val="none" w:sz="0" w:space="0" w:color="auto"/>
            <w:bottom w:val="none" w:sz="0" w:space="0" w:color="auto"/>
            <w:right w:val="none" w:sz="0" w:space="0" w:color="auto"/>
          </w:divBdr>
        </w:div>
        <w:div w:id="1129082018">
          <w:marLeft w:val="640"/>
          <w:marRight w:val="0"/>
          <w:marTop w:val="0"/>
          <w:marBottom w:val="0"/>
          <w:divBdr>
            <w:top w:val="none" w:sz="0" w:space="0" w:color="auto"/>
            <w:left w:val="none" w:sz="0" w:space="0" w:color="auto"/>
            <w:bottom w:val="none" w:sz="0" w:space="0" w:color="auto"/>
            <w:right w:val="none" w:sz="0" w:space="0" w:color="auto"/>
          </w:divBdr>
        </w:div>
        <w:div w:id="567033020">
          <w:marLeft w:val="640"/>
          <w:marRight w:val="0"/>
          <w:marTop w:val="0"/>
          <w:marBottom w:val="0"/>
          <w:divBdr>
            <w:top w:val="none" w:sz="0" w:space="0" w:color="auto"/>
            <w:left w:val="none" w:sz="0" w:space="0" w:color="auto"/>
            <w:bottom w:val="none" w:sz="0" w:space="0" w:color="auto"/>
            <w:right w:val="none" w:sz="0" w:space="0" w:color="auto"/>
          </w:divBdr>
        </w:div>
        <w:div w:id="138110023">
          <w:marLeft w:val="640"/>
          <w:marRight w:val="0"/>
          <w:marTop w:val="0"/>
          <w:marBottom w:val="0"/>
          <w:divBdr>
            <w:top w:val="none" w:sz="0" w:space="0" w:color="auto"/>
            <w:left w:val="none" w:sz="0" w:space="0" w:color="auto"/>
            <w:bottom w:val="none" w:sz="0" w:space="0" w:color="auto"/>
            <w:right w:val="none" w:sz="0" w:space="0" w:color="auto"/>
          </w:divBdr>
        </w:div>
        <w:div w:id="464087398">
          <w:marLeft w:val="640"/>
          <w:marRight w:val="0"/>
          <w:marTop w:val="0"/>
          <w:marBottom w:val="0"/>
          <w:divBdr>
            <w:top w:val="none" w:sz="0" w:space="0" w:color="auto"/>
            <w:left w:val="none" w:sz="0" w:space="0" w:color="auto"/>
            <w:bottom w:val="none" w:sz="0" w:space="0" w:color="auto"/>
            <w:right w:val="none" w:sz="0" w:space="0" w:color="auto"/>
          </w:divBdr>
        </w:div>
        <w:div w:id="596065790">
          <w:marLeft w:val="640"/>
          <w:marRight w:val="0"/>
          <w:marTop w:val="0"/>
          <w:marBottom w:val="0"/>
          <w:divBdr>
            <w:top w:val="none" w:sz="0" w:space="0" w:color="auto"/>
            <w:left w:val="none" w:sz="0" w:space="0" w:color="auto"/>
            <w:bottom w:val="none" w:sz="0" w:space="0" w:color="auto"/>
            <w:right w:val="none" w:sz="0" w:space="0" w:color="auto"/>
          </w:divBdr>
        </w:div>
        <w:div w:id="1514800120">
          <w:marLeft w:val="640"/>
          <w:marRight w:val="0"/>
          <w:marTop w:val="0"/>
          <w:marBottom w:val="0"/>
          <w:divBdr>
            <w:top w:val="none" w:sz="0" w:space="0" w:color="auto"/>
            <w:left w:val="none" w:sz="0" w:space="0" w:color="auto"/>
            <w:bottom w:val="none" w:sz="0" w:space="0" w:color="auto"/>
            <w:right w:val="none" w:sz="0" w:space="0" w:color="auto"/>
          </w:divBdr>
        </w:div>
        <w:div w:id="1353922365">
          <w:marLeft w:val="640"/>
          <w:marRight w:val="0"/>
          <w:marTop w:val="0"/>
          <w:marBottom w:val="0"/>
          <w:divBdr>
            <w:top w:val="none" w:sz="0" w:space="0" w:color="auto"/>
            <w:left w:val="none" w:sz="0" w:space="0" w:color="auto"/>
            <w:bottom w:val="none" w:sz="0" w:space="0" w:color="auto"/>
            <w:right w:val="none" w:sz="0" w:space="0" w:color="auto"/>
          </w:divBdr>
        </w:div>
        <w:div w:id="1029645875">
          <w:marLeft w:val="640"/>
          <w:marRight w:val="0"/>
          <w:marTop w:val="0"/>
          <w:marBottom w:val="0"/>
          <w:divBdr>
            <w:top w:val="none" w:sz="0" w:space="0" w:color="auto"/>
            <w:left w:val="none" w:sz="0" w:space="0" w:color="auto"/>
            <w:bottom w:val="none" w:sz="0" w:space="0" w:color="auto"/>
            <w:right w:val="none" w:sz="0" w:space="0" w:color="auto"/>
          </w:divBdr>
        </w:div>
        <w:div w:id="365720985">
          <w:marLeft w:val="640"/>
          <w:marRight w:val="0"/>
          <w:marTop w:val="0"/>
          <w:marBottom w:val="0"/>
          <w:divBdr>
            <w:top w:val="none" w:sz="0" w:space="0" w:color="auto"/>
            <w:left w:val="none" w:sz="0" w:space="0" w:color="auto"/>
            <w:bottom w:val="none" w:sz="0" w:space="0" w:color="auto"/>
            <w:right w:val="none" w:sz="0" w:space="0" w:color="auto"/>
          </w:divBdr>
        </w:div>
        <w:div w:id="624510378">
          <w:marLeft w:val="640"/>
          <w:marRight w:val="0"/>
          <w:marTop w:val="0"/>
          <w:marBottom w:val="0"/>
          <w:divBdr>
            <w:top w:val="none" w:sz="0" w:space="0" w:color="auto"/>
            <w:left w:val="none" w:sz="0" w:space="0" w:color="auto"/>
            <w:bottom w:val="none" w:sz="0" w:space="0" w:color="auto"/>
            <w:right w:val="none" w:sz="0" w:space="0" w:color="auto"/>
          </w:divBdr>
        </w:div>
        <w:div w:id="584848152">
          <w:marLeft w:val="640"/>
          <w:marRight w:val="0"/>
          <w:marTop w:val="0"/>
          <w:marBottom w:val="0"/>
          <w:divBdr>
            <w:top w:val="none" w:sz="0" w:space="0" w:color="auto"/>
            <w:left w:val="none" w:sz="0" w:space="0" w:color="auto"/>
            <w:bottom w:val="none" w:sz="0" w:space="0" w:color="auto"/>
            <w:right w:val="none" w:sz="0" w:space="0" w:color="auto"/>
          </w:divBdr>
        </w:div>
        <w:div w:id="223377076">
          <w:marLeft w:val="640"/>
          <w:marRight w:val="0"/>
          <w:marTop w:val="0"/>
          <w:marBottom w:val="0"/>
          <w:divBdr>
            <w:top w:val="none" w:sz="0" w:space="0" w:color="auto"/>
            <w:left w:val="none" w:sz="0" w:space="0" w:color="auto"/>
            <w:bottom w:val="none" w:sz="0" w:space="0" w:color="auto"/>
            <w:right w:val="none" w:sz="0" w:space="0" w:color="auto"/>
          </w:divBdr>
        </w:div>
        <w:div w:id="2145537100">
          <w:marLeft w:val="640"/>
          <w:marRight w:val="0"/>
          <w:marTop w:val="0"/>
          <w:marBottom w:val="0"/>
          <w:divBdr>
            <w:top w:val="none" w:sz="0" w:space="0" w:color="auto"/>
            <w:left w:val="none" w:sz="0" w:space="0" w:color="auto"/>
            <w:bottom w:val="none" w:sz="0" w:space="0" w:color="auto"/>
            <w:right w:val="none" w:sz="0" w:space="0" w:color="auto"/>
          </w:divBdr>
        </w:div>
        <w:div w:id="719135074">
          <w:marLeft w:val="640"/>
          <w:marRight w:val="0"/>
          <w:marTop w:val="0"/>
          <w:marBottom w:val="0"/>
          <w:divBdr>
            <w:top w:val="none" w:sz="0" w:space="0" w:color="auto"/>
            <w:left w:val="none" w:sz="0" w:space="0" w:color="auto"/>
            <w:bottom w:val="none" w:sz="0" w:space="0" w:color="auto"/>
            <w:right w:val="none" w:sz="0" w:space="0" w:color="auto"/>
          </w:divBdr>
        </w:div>
        <w:div w:id="1184435533">
          <w:marLeft w:val="640"/>
          <w:marRight w:val="0"/>
          <w:marTop w:val="0"/>
          <w:marBottom w:val="0"/>
          <w:divBdr>
            <w:top w:val="none" w:sz="0" w:space="0" w:color="auto"/>
            <w:left w:val="none" w:sz="0" w:space="0" w:color="auto"/>
            <w:bottom w:val="none" w:sz="0" w:space="0" w:color="auto"/>
            <w:right w:val="none" w:sz="0" w:space="0" w:color="auto"/>
          </w:divBdr>
        </w:div>
        <w:div w:id="1488470950">
          <w:marLeft w:val="640"/>
          <w:marRight w:val="0"/>
          <w:marTop w:val="0"/>
          <w:marBottom w:val="0"/>
          <w:divBdr>
            <w:top w:val="none" w:sz="0" w:space="0" w:color="auto"/>
            <w:left w:val="none" w:sz="0" w:space="0" w:color="auto"/>
            <w:bottom w:val="none" w:sz="0" w:space="0" w:color="auto"/>
            <w:right w:val="none" w:sz="0" w:space="0" w:color="auto"/>
          </w:divBdr>
        </w:div>
        <w:div w:id="1494832786">
          <w:marLeft w:val="640"/>
          <w:marRight w:val="0"/>
          <w:marTop w:val="0"/>
          <w:marBottom w:val="0"/>
          <w:divBdr>
            <w:top w:val="none" w:sz="0" w:space="0" w:color="auto"/>
            <w:left w:val="none" w:sz="0" w:space="0" w:color="auto"/>
            <w:bottom w:val="none" w:sz="0" w:space="0" w:color="auto"/>
            <w:right w:val="none" w:sz="0" w:space="0" w:color="auto"/>
          </w:divBdr>
        </w:div>
        <w:div w:id="1309557096">
          <w:marLeft w:val="640"/>
          <w:marRight w:val="0"/>
          <w:marTop w:val="0"/>
          <w:marBottom w:val="0"/>
          <w:divBdr>
            <w:top w:val="none" w:sz="0" w:space="0" w:color="auto"/>
            <w:left w:val="none" w:sz="0" w:space="0" w:color="auto"/>
            <w:bottom w:val="none" w:sz="0" w:space="0" w:color="auto"/>
            <w:right w:val="none" w:sz="0" w:space="0" w:color="auto"/>
          </w:divBdr>
        </w:div>
        <w:div w:id="1347058744">
          <w:marLeft w:val="640"/>
          <w:marRight w:val="0"/>
          <w:marTop w:val="0"/>
          <w:marBottom w:val="0"/>
          <w:divBdr>
            <w:top w:val="none" w:sz="0" w:space="0" w:color="auto"/>
            <w:left w:val="none" w:sz="0" w:space="0" w:color="auto"/>
            <w:bottom w:val="none" w:sz="0" w:space="0" w:color="auto"/>
            <w:right w:val="none" w:sz="0" w:space="0" w:color="auto"/>
          </w:divBdr>
        </w:div>
        <w:div w:id="570506682">
          <w:marLeft w:val="640"/>
          <w:marRight w:val="0"/>
          <w:marTop w:val="0"/>
          <w:marBottom w:val="0"/>
          <w:divBdr>
            <w:top w:val="none" w:sz="0" w:space="0" w:color="auto"/>
            <w:left w:val="none" w:sz="0" w:space="0" w:color="auto"/>
            <w:bottom w:val="none" w:sz="0" w:space="0" w:color="auto"/>
            <w:right w:val="none" w:sz="0" w:space="0" w:color="auto"/>
          </w:divBdr>
        </w:div>
        <w:div w:id="603077277">
          <w:marLeft w:val="640"/>
          <w:marRight w:val="0"/>
          <w:marTop w:val="0"/>
          <w:marBottom w:val="0"/>
          <w:divBdr>
            <w:top w:val="none" w:sz="0" w:space="0" w:color="auto"/>
            <w:left w:val="none" w:sz="0" w:space="0" w:color="auto"/>
            <w:bottom w:val="none" w:sz="0" w:space="0" w:color="auto"/>
            <w:right w:val="none" w:sz="0" w:space="0" w:color="auto"/>
          </w:divBdr>
        </w:div>
        <w:div w:id="765346473">
          <w:marLeft w:val="640"/>
          <w:marRight w:val="0"/>
          <w:marTop w:val="0"/>
          <w:marBottom w:val="0"/>
          <w:divBdr>
            <w:top w:val="none" w:sz="0" w:space="0" w:color="auto"/>
            <w:left w:val="none" w:sz="0" w:space="0" w:color="auto"/>
            <w:bottom w:val="none" w:sz="0" w:space="0" w:color="auto"/>
            <w:right w:val="none" w:sz="0" w:space="0" w:color="auto"/>
          </w:divBdr>
        </w:div>
        <w:div w:id="1907916621">
          <w:marLeft w:val="640"/>
          <w:marRight w:val="0"/>
          <w:marTop w:val="0"/>
          <w:marBottom w:val="0"/>
          <w:divBdr>
            <w:top w:val="none" w:sz="0" w:space="0" w:color="auto"/>
            <w:left w:val="none" w:sz="0" w:space="0" w:color="auto"/>
            <w:bottom w:val="none" w:sz="0" w:space="0" w:color="auto"/>
            <w:right w:val="none" w:sz="0" w:space="0" w:color="auto"/>
          </w:divBdr>
        </w:div>
        <w:div w:id="1624849889">
          <w:marLeft w:val="640"/>
          <w:marRight w:val="0"/>
          <w:marTop w:val="0"/>
          <w:marBottom w:val="0"/>
          <w:divBdr>
            <w:top w:val="none" w:sz="0" w:space="0" w:color="auto"/>
            <w:left w:val="none" w:sz="0" w:space="0" w:color="auto"/>
            <w:bottom w:val="none" w:sz="0" w:space="0" w:color="auto"/>
            <w:right w:val="none" w:sz="0" w:space="0" w:color="auto"/>
          </w:divBdr>
        </w:div>
        <w:div w:id="169833327">
          <w:marLeft w:val="640"/>
          <w:marRight w:val="0"/>
          <w:marTop w:val="0"/>
          <w:marBottom w:val="0"/>
          <w:divBdr>
            <w:top w:val="none" w:sz="0" w:space="0" w:color="auto"/>
            <w:left w:val="none" w:sz="0" w:space="0" w:color="auto"/>
            <w:bottom w:val="none" w:sz="0" w:space="0" w:color="auto"/>
            <w:right w:val="none" w:sz="0" w:space="0" w:color="auto"/>
          </w:divBdr>
        </w:div>
        <w:div w:id="421344360">
          <w:marLeft w:val="640"/>
          <w:marRight w:val="0"/>
          <w:marTop w:val="0"/>
          <w:marBottom w:val="0"/>
          <w:divBdr>
            <w:top w:val="none" w:sz="0" w:space="0" w:color="auto"/>
            <w:left w:val="none" w:sz="0" w:space="0" w:color="auto"/>
            <w:bottom w:val="none" w:sz="0" w:space="0" w:color="auto"/>
            <w:right w:val="none" w:sz="0" w:space="0" w:color="auto"/>
          </w:divBdr>
        </w:div>
        <w:div w:id="590105">
          <w:marLeft w:val="640"/>
          <w:marRight w:val="0"/>
          <w:marTop w:val="0"/>
          <w:marBottom w:val="0"/>
          <w:divBdr>
            <w:top w:val="none" w:sz="0" w:space="0" w:color="auto"/>
            <w:left w:val="none" w:sz="0" w:space="0" w:color="auto"/>
            <w:bottom w:val="none" w:sz="0" w:space="0" w:color="auto"/>
            <w:right w:val="none" w:sz="0" w:space="0" w:color="auto"/>
          </w:divBdr>
        </w:div>
        <w:div w:id="836190602">
          <w:marLeft w:val="640"/>
          <w:marRight w:val="0"/>
          <w:marTop w:val="0"/>
          <w:marBottom w:val="0"/>
          <w:divBdr>
            <w:top w:val="none" w:sz="0" w:space="0" w:color="auto"/>
            <w:left w:val="none" w:sz="0" w:space="0" w:color="auto"/>
            <w:bottom w:val="none" w:sz="0" w:space="0" w:color="auto"/>
            <w:right w:val="none" w:sz="0" w:space="0" w:color="auto"/>
          </w:divBdr>
        </w:div>
        <w:div w:id="1883515603">
          <w:marLeft w:val="640"/>
          <w:marRight w:val="0"/>
          <w:marTop w:val="0"/>
          <w:marBottom w:val="0"/>
          <w:divBdr>
            <w:top w:val="none" w:sz="0" w:space="0" w:color="auto"/>
            <w:left w:val="none" w:sz="0" w:space="0" w:color="auto"/>
            <w:bottom w:val="none" w:sz="0" w:space="0" w:color="auto"/>
            <w:right w:val="none" w:sz="0" w:space="0" w:color="auto"/>
          </w:divBdr>
        </w:div>
        <w:div w:id="137844322">
          <w:marLeft w:val="640"/>
          <w:marRight w:val="0"/>
          <w:marTop w:val="0"/>
          <w:marBottom w:val="0"/>
          <w:divBdr>
            <w:top w:val="none" w:sz="0" w:space="0" w:color="auto"/>
            <w:left w:val="none" w:sz="0" w:space="0" w:color="auto"/>
            <w:bottom w:val="none" w:sz="0" w:space="0" w:color="auto"/>
            <w:right w:val="none" w:sz="0" w:space="0" w:color="auto"/>
          </w:divBdr>
        </w:div>
        <w:div w:id="492179848">
          <w:marLeft w:val="640"/>
          <w:marRight w:val="0"/>
          <w:marTop w:val="0"/>
          <w:marBottom w:val="0"/>
          <w:divBdr>
            <w:top w:val="none" w:sz="0" w:space="0" w:color="auto"/>
            <w:left w:val="none" w:sz="0" w:space="0" w:color="auto"/>
            <w:bottom w:val="none" w:sz="0" w:space="0" w:color="auto"/>
            <w:right w:val="none" w:sz="0" w:space="0" w:color="auto"/>
          </w:divBdr>
        </w:div>
        <w:div w:id="700083880">
          <w:marLeft w:val="640"/>
          <w:marRight w:val="0"/>
          <w:marTop w:val="0"/>
          <w:marBottom w:val="0"/>
          <w:divBdr>
            <w:top w:val="none" w:sz="0" w:space="0" w:color="auto"/>
            <w:left w:val="none" w:sz="0" w:space="0" w:color="auto"/>
            <w:bottom w:val="none" w:sz="0" w:space="0" w:color="auto"/>
            <w:right w:val="none" w:sz="0" w:space="0" w:color="auto"/>
          </w:divBdr>
        </w:div>
        <w:div w:id="1422919767">
          <w:marLeft w:val="640"/>
          <w:marRight w:val="0"/>
          <w:marTop w:val="0"/>
          <w:marBottom w:val="0"/>
          <w:divBdr>
            <w:top w:val="none" w:sz="0" w:space="0" w:color="auto"/>
            <w:left w:val="none" w:sz="0" w:space="0" w:color="auto"/>
            <w:bottom w:val="none" w:sz="0" w:space="0" w:color="auto"/>
            <w:right w:val="none" w:sz="0" w:space="0" w:color="auto"/>
          </w:divBdr>
        </w:div>
        <w:div w:id="63844568">
          <w:marLeft w:val="640"/>
          <w:marRight w:val="0"/>
          <w:marTop w:val="0"/>
          <w:marBottom w:val="0"/>
          <w:divBdr>
            <w:top w:val="none" w:sz="0" w:space="0" w:color="auto"/>
            <w:left w:val="none" w:sz="0" w:space="0" w:color="auto"/>
            <w:bottom w:val="none" w:sz="0" w:space="0" w:color="auto"/>
            <w:right w:val="none" w:sz="0" w:space="0" w:color="auto"/>
          </w:divBdr>
        </w:div>
        <w:div w:id="1709450065">
          <w:marLeft w:val="640"/>
          <w:marRight w:val="0"/>
          <w:marTop w:val="0"/>
          <w:marBottom w:val="0"/>
          <w:divBdr>
            <w:top w:val="none" w:sz="0" w:space="0" w:color="auto"/>
            <w:left w:val="none" w:sz="0" w:space="0" w:color="auto"/>
            <w:bottom w:val="none" w:sz="0" w:space="0" w:color="auto"/>
            <w:right w:val="none" w:sz="0" w:space="0" w:color="auto"/>
          </w:divBdr>
        </w:div>
        <w:div w:id="1609387682">
          <w:marLeft w:val="640"/>
          <w:marRight w:val="0"/>
          <w:marTop w:val="0"/>
          <w:marBottom w:val="0"/>
          <w:divBdr>
            <w:top w:val="none" w:sz="0" w:space="0" w:color="auto"/>
            <w:left w:val="none" w:sz="0" w:space="0" w:color="auto"/>
            <w:bottom w:val="none" w:sz="0" w:space="0" w:color="auto"/>
            <w:right w:val="none" w:sz="0" w:space="0" w:color="auto"/>
          </w:divBdr>
        </w:div>
        <w:div w:id="971715342">
          <w:marLeft w:val="640"/>
          <w:marRight w:val="0"/>
          <w:marTop w:val="0"/>
          <w:marBottom w:val="0"/>
          <w:divBdr>
            <w:top w:val="none" w:sz="0" w:space="0" w:color="auto"/>
            <w:left w:val="none" w:sz="0" w:space="0" w:color="auto"/>
            <w:bottom w:val="none" w:sz="0" w:space="0" w:color="auto"/>
            <w:right w:val="none" w:sz="0" w:space="0" w:color="auto"/>
          </w:divBdr>
        </w:div>
        <w:div w:id="934947653">
          <w:marLeft w:val="640"/>
          <w:marRight w:val="0"/>
          <w:marTop w:val="0"/>
          <w:marBottom w:val="0"/>
          <w:divBdr>
            <w:top w:val="none" w:sz="0" w:space="0" w:color="auto"/>
            <w:left w:val="none" w:sz="0" w:space="0" w:color="auto"/>
            <w:bottom w:val="none" w:sz="0" w:space="0" w:color="auto"/>
            <w:right w:val="none" w:sz="0" w:space="0" w:color="auto"/>
          </w:divBdr>
        </w:div>
        <w:div w:id="41441383">
          <w:marLeft w:val="640"/>
          <w:marRight w:val="0"/>
          <w:marTop w:val="0"/>
          <w:marBottom w:val="0"/>
          <w:divBdr>
            <w:top w:val="none" w:sz="0" w:space="0" w:color="auto"/>
            <w:left w:val="none" w:sz="0" w:space="0" w:color="auto"/>
            <w:bottom w:val="none" w:sz="0" w:space="0" w:color="auto"/>
            <w:right w:val="none" w:sz="0" w:space="0" w:color="auto"/>
          </w:divBdr>
        </w:div>
        <w:div w:id="119492163">
          <w:marLeft w:val="640"/>
          <w:marRight w:val="0"/>
          <w:marTop w:val="0"/>
          <w:marBottom w:val="0"/>
          <w:divBdr>
            <w:top w:val="none" w:sz="0" w:space="0" w:color="auto"/>
            <w:left w:val="none" w:sz="0" w:space="0" w:color="auto"/>
            <w:bottom w:val="none" w:sz="0" w:space="0" w:color="auto"/>
            <w:right w:val="none" w:sz="0" w:space="0" w:color="auto"/>
          </w:divBdr>
        </w:div>
        <w:div w:id="2092385655">
          <w:marLeft w:val="640"/>
          <w:marRight w:val="0"/>
          <w:marTop w:val="0"/>
          <w:marBottom w:val="0"/>
          <w:divBdr>
            <w:top w:val="none" w:sz="0" w:space="0" w:color="auto"/>
            <w:left w:val="none" w:sz="0" w:space="0" w:color="auto"/>
            <w:bottom w:val="none" w:sz="0" w:space="0" w:color="auto"/>
            <w:right w:val="none" w:sz="0" w:space="0" w:color="auto"/>
          </w:divBdr>
        </w:div>
        <w:div w:id="184904011">
          <w:marLeft w:val="640"/>
          <w:marRight w:val="0"/>
          <w:marTop w:val="0"/>
          <w:marBottom w:val="0"/>
          <w:divBdr>
            <w:top w:val="none" w:sz="0" w:space="0" w:color="auto"/>
            <w:left w:val="none" w:sz="0" w:space="0" w:color="auto"/>
            <w:bottom w:val="none" w:sz="0" w:space="0" w:color="auto"/>
            <w:right w:val="none" w:sz="0" w:space="0" w:color="auto"/>
          </w:divBdr>
        </w:div>
        <w:div w:id="284433955">
          <w:marLeft w:val="640"/>
          <w:marRight w:val="0"/>
          <w:marTop w:val="0"/>
          <w:marBottom w:val="0"/>
          <w:divBdr>
            <w:top w:val="none" w:sz="0" w:space="0" w:color="auto"/>
            <w:left w:val="none" w:sz="0" w:space="0" w:color="auto"/>
            <w:bottom w:val="none" w:sz="0" w:space="0" w:color="auto"/>
            <w:right w:val="none" w:sz="0" w:space="0" w:color="auto"/>
          </w:divBdr>
        </w:div>
        <w:div w:id="1137147171">
          <w:marLeft w:val="640"/>
          <w:marRight w:val="0"/>
          <w:marTop w:val="0"/>
          <w:marBottom w:val="0"/>
          <w:divBdr>
            <w:top w:val="none" w:sz="0" w:space="0" w:color="auto"/>
            <w:left w:val="none" w:sz="0" w:space="0" w:color="auto"/>
            <w:bottom w:val="none" w:sz="0" w:space="0" w:color="auto"/>
            <w:right w:val="none" w:sz="0" w:space="0" w:color="auto"/>
          </w:divBdr>
        </w:div>
        <w:div w:id="1416438420">
          <w:marLeft w:val="640"/>
          <w:marRight w:val="0"/>
          <w:marTop w:val="0"/>
          <w:marBottom w:val="0"/>
          <w:divBdr>
            <w:top w:val="none" w:sz="0" w:space="0" w:color="auto"/>
            <w:left w:val="none" w:sz="0" w:space="0" w:color="auto"/>
            <w:bottom w:val="none" w:sz="0" w:space="0" w:color="auto"/>
            <w:right w:val="none" w:sz="0" w:space="0" w:color="auto"/>
          </w:divBdr>
        </w:div>
        <w:div w:id="630400535">
          <w:marLeft w:val="640"/>
          <w:marRight w:val="0"/>
          <w:marTop w:val="0"/>
          <w:marBottom w:val="0"/>
          <w:divBdr>
            <w:top w:val="none" w:sz="0" w:space="0" w:color="auto"/>
            <w:left w:val="none" w:sz="0" w:space="0" w:color="auto"/>
            <w:bottom w:val="none" w:sz="0" w:space="0" w:color="auto"/>
            <w:right w:val="none" w:sz="0" w:space="0" w:color="auto"/>
          </w:divBdr>
        </w:div>
        <w:div w:id="1595675212">
          <w:marLeft w:val="640"/>
          <w:marRight w:val="0"/>
          <w:marTop w:val="0"/>
          <w:marBottom w:val="0"/>
          <w:divBdr>
            <w:top w:val="none" w:sz="0" w:space="0" w:color="auto"/>
            <w:left w:val="none" w:sz="0" w:space="0" w:color="auto"/>
            <w:bottom w:val="none" w:sz="0" w:space="0" w:color="auto"/>
            <w:right w:val="none" w:sz="0" w:space="0" w:color="auto"/>
          </w:divBdr>
        </w:div>
        <w:div w:id="159195102">
          <w:marLeft w:val="640"/>
          <w:marRight w:val="0"/>
          <w:marTop w:val="0"/>
          <w:marBottom w:val="0"/>
          <w:divBdr>
            <w:top w:val="none" w:sz="0" w:space="0" w:color="auto"/>
            <w:left w:val="none" w:sz="0" w:space="0" w:color="auto"/>
            <w:bottom w:val="none" w:sz="0" w:space="0" w:color="auto"/>
            <w:right w:val="none" w:sz="0" w:space="0" w:color="auto"/>
          </w:divBdr>
        </w:div>
        <w:div w:id="504051297">
          <w:marLeft w:val="640"/>
          <w:marRight w:val="0"/>
          <w:marTop w:val="0"/>
          <w:marBottom w:val="0"/>
          <w:divBdr>
            <w:top w:val="none" w:sz="0" w:space="0" w:color="auto"/>
            <w:left w:val="none" w:sz="0" w:space="0" w:color="auto"/>
            <w:bottom w:val="none" w:sz="0" w:space="0" w:color="auto"/>
            <w:right w:val="none" w:sz="0" w:space="0" w:color="auto"/>
          </w:divBdr>
        </w:div>
        <w:div w:id="748163179">
          <w:marLeft w:val="640"/>
          <w:marRight w:val="0"/>
          <w:marTop w:val="0"/>
          <w:marBottom w:val="0"/>
          <w:divBdr>
            <w:top w:val="none" w:sz="0" w:space="0" w:color="auto"/>
            <w:left w:val="none" w:sz="0" w:space="0" w:color="auto"/>
            <w:bottom w:val="none" w:sz="0" w:space="0" w:color="auto"/>
            <w:right w:val="none" w:sz="0" w:space="0" w:color="auto"/>
          </w:divBdr>
        </w:div>
        <w:div w:id="1564873600">
          <w:marLeft w:val="640"/>
          <w:marRight w:val="0"/>
          <w:marTop w:val="0"/>
          <w:marBottom w:val="0"/>
          <w:divBdr>
            <w:top w:val="none" w:sz="0" w:space="0" w:color="auto"/>
            <w:left w:val="none" w:sz="0" w:space="0" w:color="auto"/>
            <w:bottom w:val="none" w:sz="0" w:space="0" w:color="auto"/>
            <w:right w:val="none" w:sz="0" w:space="0" w:color="auto"/>
          </w:divBdr>
        </w:div>
        <w:div w:id="369451013">
          <w:marLeft w:val="640"/>
          <w:marRight w:val="0"/>
          <w:marTop w:val="0"/>
          <w:marBottom w:val="0"/>
          <w:divBdr>
            <w:top w:val="none" w:sz="0" w:space="0" w:color="auto"/>
            <w:left w:val="none" w:sz="0" w:space="0" w:color="auto"/>
            <w:bottom w:val="none" w:sz="0" w:space="0" w:color="auto"/>
            <w:right w:val="none" w:sz="0" w:space="0" w:color="auto"/>
          </w:divBdr>
        </w:div>
        <w:div w:id="1390609844">
          <w:marLeft w:val="640"/>
          <w:marRight w:val="0"/>
          <w:marTop w:val="0"/>
          <w:marBottom w:val="0"/>
          <w:divBdr>
            <w:top w:val="none" w:sz="0" w:space="0" w:color="auto"/>
            <w:left w:val="none" w:sz="0" w:space="0" w:color="auto"/>
            <w:bottom w:val="none" w:sz="0" w:space="0" w:color="auto"/>
            <w:right w:val="none" w:sz="0" w:space="0" w:color="auto"/>
          </w:divBdr>
        </w:div>
        <w:div w:id="1267156201">
          <w:marLeft w:val="640"/>
          <w:marRight w:val="0"/>
          <w:marTop w:val="0"/>
          <w:marBottom w:val="0"/>
          <w:divBdr>
            <w:top w:val="none" w:sz="0" w:space="0" w:color="auto"/>
            <w:left w:val="none" w:sz="0" w:space="0" w:color="auto"/>
            <w:bottom w:val="none" w:sz="0" w:space="0" w:color="auto"/>
            <w:right w:val="none" w:sz="0" w:space="0" w:color="auto"/>
          </w:divBdr>
        </w:div>
        <w:div w:id="703822376">
          <w:marLeft w:val="640"/>
          <w:marRight w:val="0"/>
          <w:marTop w:val="0"/>
          <w:marBottom w:val="0"/>
          <w:divBdr>
            <w:top w:val="none" w:sz="0" w:space="0" w:color="auto"/>
            <w:left w:val="none" w:sz="0" w:space="0" w:color="auto"/>
            <w:bottom w:val="none" w:sz="0" w:space="0" w:color="auto"/>
            <w:right w:val="none" w:sz="0" w:space="0" w:color="auto"/>
          </w:divBdr>
        </w:div>
        <w:div w:id="1813137219">
          <w:marLeft w:val="640"/>
          <w:marRight w:val="0"/>
          <w:marTop w:val="0"/>
          <w:marBottom w:val="0"/>
          <w:divBdr>
            <w:top w:val="none" w:sz="0" w:space="0" w:color="auto"/>
            <w:left w:val="none" w:sz="0" w:space="0" w:color="auto"/>
            <w:bottom w:val="none" w:sz="0" w:space="0" w:color="auto"/>
            <w:right w:val="none" w:sz="0" w:space="0" w:color="auto"/>
          </w:divBdr>
        </w:div>
        <w:div w:id="36586809">
          <w:marLeft w:val="640"/>
          <w:marRight w:val="0"/>
          <w:marTop w:val="0"/>
          <w:marBottom w:val="0"/>
          <w:divBdr>
            <w:top w:val="none" w:sz="0" w:space="0" w:color="auto"/>
            <w:left w:val="none" w:sz="0" w:space="0" w:color="auto"/>
            <w:bottom w:val="none" w:sz="0" w:space="0" w:color="auto"/>
            <w:right w:val="none" w:sz="0" w:space="0" w:color="auto"/>
          </w:divBdr>
        </w:div>
        <w:div w:id="863640786">
          <w:marLeft w:val="640"/>
          <w:marRight w:val="0"/>
          <w:marTop w:val="0"/>
          <w:marBottom w:val="0"/>
          <w:divBdr>
            <w:top w:val="none" w:sz="0" w:space="0" w:color="auto"/>
            <w:left w:val="none" w:sz="0" w:space="0" w:color="auto"/>
            <w:bottom w:val="none" w:sz="0" w:space="0" w:color="auto"/>
            <w:right w:val="none" w:sz="0" w:space="0" w:color="auto"/>
          </w:divBdr>
        </w:div>
        <w:div w:id="1074862857">
          <w:marLeft w:val="640"/>
          <w:marRight w:val="0"/>
          <w:marTop w:val="0"/>
          <w:marBottom w:val="0"/>
          <w:divBdr>
            <w:top w:val="none" w:sz="0" w:space="0" w:color="auto"/>
            <w:left w:val="none" w:sz="0" w:space="0" w:color="auto"/>
            <w:bottom w:val="none" w:sz="0" w:space="0" w:color="auto"/>
            <w:right w:val="none" w:sz="0" w:space="0" w:color="auto"/>
          </w:divBdr>
        </w:div>
        <w:div w:id="1046948771">
          <w:marLeft w:val="640"/>
          <w:marRight w:val="0"/>
          <w:marTop w:val="0"/>
          <w:marBottom w:val="0"/>
          <w:divBdr>
            <w:top w:val="none" w:sz="0" w:space="0" w:color="auto"/>
            <w:left w:val="none" w:sz="0" w:space="0" w:color="auto"/>
            <w:bottom w:val="none" w:sz="0" w:space="0" w:color="auto"/>
            <w:right w:val="none" w:sz="0" w:space="0" w:color="auto"/>
          </w:divBdr>
        </w:div>
        <w:div w:id="525951315">
          <w:marLeft w:val="640"/>
          <w:marRight w:val="0"/>
          <w:marTop w:val="0"/>
          <w:marBottom w:val="0"/>
          <w:divBdr>
            <w:top w:val="none" w:sz="0" w:space="0" w:color="auto"/>
            <w:left w:val="none" w:sz="0" w:space="0" w:color="auto"/>
            <w:bottom w:val="none" w:sz="0" w:space="0" w:color="auto"/>
            <w:right w:val="none" w:sz="0" w:space="0" w:color="auto"/>
          </w:divBdr>
        </w:div>
        <w:div w:id="1409838823">
          <w:marLeft w:val="640"/>
          <w:marRight w:val="0"/>
          <w:marTop w:val="0"/>
          <w:marBottom w:val="0"/>
          <w:divBdr>
            <w:top w:val="none" w:sz="0" w:space="0" w:color="auto"/>
            <w:left w:val="none" w:sz="0" w:space="0" w:color="auto"/>
            <w:bottom w:val="none" w:sz="0" w:space="0" w:color="auto"/>
            <w:right w:val="none" w:sz="0" w:space="0" w:color="auto"/>
          </w:divBdr>
        </w:div>
        <w:div w:id="705451977">
          <w:marLeft w:val="640"/>
          <w:marRight w:val="0"/>
          <w:marTop w:val="0"/>
          <w:marBottom w:val="0"/>
          <w:divBdr>
            <w:top w:val="none" w:sz="0" w:space="0" w:color="auto"/>
            <w:left w:val="none" w:sz="0" w:space="0" w:color="auto"/>
            <w:bottom w:val="none" w:sz="0" w:space="0" w:color="auto"/>
            <w:right w:val="none" w:sz="0" w:space="0" w:color="auto"/>
          </w:divBdr>
        </w:div>
        <w:div w:id="1366756752">
          <w:marLeft w:val="640"/>
          <w:marRight w:val="0"/>
          <w:marTop w:val="0"/>
          <w:marBottom w:val="0"/>
          <w:divBdr>
            <w:top w:val="none" w:sz="0" w:space="0" w:color="auto"/>
            <w:left w:val="none" w:sz="0" w:space="0" w:color="auto"/>
            <w:bottom w:val="none" w:sz="0" w:space="0" w:color="auto"/>
            <w:right w:val="none" w:sz="0" w:space="0" w:color="auto"/>
          </w:divBdr>
        </w:div>
        <w:div w:id="1531646813">
          <w:marLeft w:val="640"/>
          <w:marRight w:val="0"/>
          <w:marTop w:val="0"/>
          <w:marBottom w:val="0"/>
          <w:divBdr>
            <w:top w:val="none" w:sz="0" w:space="0" w:color="auto"/>
            <w:left w:val="none" w:sz="0" w:space="0" w:color="auto"/>
            <w:bottom w:val="none" w:sz="0" w:space="0" w:color="auto"/>
            <w:right w:val="none" w:sz="0" w:space="0" w:color="auto"/>
          </w:divBdr>
        </w:div>
        <w:div w:id="1707484698">
          <w:marLeft w:val="640"/>
          <w:marRight w:val="0"/>
          <w:marTop w:val="0"/>
          <w:marBottom w:val="0"/>
          <w:divBdr>
            <w:top w:val="none" w:sz="0" w:space="0" w:color="auto"/>
            <w:left w:val="none" w:sz="0" w:space="0" w:color="auto"/>
            <w:bottom w:val="none" w:sz="0" w:space="0" w:color="auto"/>
            <w:right w:val="none" w:sz="0" w:space="0" w:color="auto"/>
          </w:divBdr>
        </w:div>
        <w:div w:id="1340279562">
          <w:marLeft w:val="640"/>
          <w:marRight w:val="0"/>
          <w:marTop w:val="0"/>
          <w:marBottom w:val="0"/>
          <w:divBdr>
            <w:top w:val="none" w:sz="0" w:space="0" w:color="auto"/>
            <w:left w:val="none" w:sz="0" w:space="0" w:color="auto"/>
            <w:bottom w:val="none" w:sz="0" w:space="0" w:color="auto"/>
            <w:right w:val="none" w:sz="0" w:space="0" w:color="auto"/>
          </w:divBdr>
        </w:div>
        <w:div w:id="424769781">
          <w:marLeft w:val="640"/>
          <w:marRight w:val="0"/>
          <w:marTop w:val="0"/>
          <w:marBottom w:val="0"/>
          <w:divBdr>
            <w:top w:val="none" w:sz="0" w:space="0" w:color="auto"/>
            <w:left w:val="none" w:sz="0" w:space="0" w:color="auto"/>
            <w:bottom w:val="none" w:sz="0" w:space="0" w:color="auto"/>
            <w:right w:val="none" w:sz="0" w:space="0" w:color="auto"/>
          </w:divBdr>
        </w:div>
        <w:div w:id="1969164125">
          <w:marLeft w:val="640"/>
          <w:marRight w:val="0"/>
          <w:marTop w:val="0"/>
          <w:marBottom w:val="0"/>
          <w:divBdr>
            <w:top w:val="none" w:sz="0" w:space="0" w:color="auto"/>
            <w:left w:val="none" w:sz="0" w:space="0" w:color="auto"/>
            <w:bottom w:val="none" w:sz="0" w:space="0" w:color="auto"/>
            <w:right w:val="none" w:sz="0" w:space="0" w:color="auto"/>
          </w:divBdr>
        </w:div>
        <w:div w:id="1991395842">
          <w:marLeft w:val="640"/>
          <w:marRight w:val="0"/>
          <w:marTop w:val="0"/>
          <w:marBottom w:val="0"/>
          <w:divBdr>
            <w:top w:val="none" w:sz="0" w:space="0" w:color="auto"/>
            <w:left w:val="none" w:sz="0" w:space="0" w:color="auto"/>
            <w:bottom w:val="none" w:sz="0" w:space="0" w:color="auto"/>
            <w:right w:val="none" w:sz="0" w:space="0" w:color="auto"/>
          </w:divBdr>
        </w:div>
        <w:div w:id="979965826">
          <w:marLeft w:val="640"/>
          <w:marRight w:val="0"/>
          <w:marTop w:val="0"/>
          <w:marBottom w:val="0"/>
          <w:divBdr>
            <w:top w:val="none" w:sz="0" w:space="0" w:color="auto"/>
            <w:left w:val="none" w:sz="0" w:space="0" w:color="auto"/>
            <w:bottom w:val="none" w:sz="0" w:space="0" w:color="auto"/>
            <w:right w:val="none" w:sz="0" w:space="0" w:color="auto"/>
          </w:divBdr>
        </w:div>
        <w:div w:id="1639651567">
          <w:marLeft w:val="640"/>
          <w:marRight w:val="0"/>
          <w:marTop w:val="0"/>
          <w:marBottom w:val="0"/>
          <w:divBdr>
            <w:top w:val="none" w:sz="0" w:space="0" w:color="auto"/>
            <w:left w:val="none" w:sz="0" w:space="0" w:color="auto"/>
            <w:bottom w:val="none" w:sz="0" w:space="0" w:color="auto"/>
            <w:right w:val="none" w:sz="0" w:space="0" w:color="auto"/>
          </w:divBdr>
        </w:div>
        <w:div w:id="712579506">
          <w:marLeft w:val="640"/>
          <w:marRight w:val="0"/>
          <w:marTop w:val="0"/>
          <w:marBottom w:val="0"/>
          <w:divBdr>
            <w:top w:val="none" w:sz="0" w:space="0" w:color="auto"/>
            <w:left w:val="none" w:sz="0" w:space="0" w:color="auto"/>
            <w:bottom w:val="none" w:sz="0" w:space="0" w:color="auto"/>
            <w:right w:val="none" w:sz="0" w:space="0" w:color="auto"/>
          </w:divBdr>
        </w:div>
        <w:div w:id="1366294657">
          <w:marLeft w:val="640"/>
          <w:marRight w:val="0"/>
          <w:marTop w:val="0"/>
          <w:marBottom w:val="0"/>
          <w:divBdr>
            <w:top w:val="none" w:sz="0" w:space="0" w:color="auto"/>
            <w:left w:val="none" w:sz="0" w:space="0" w:color="auto"/>
            <w:bottom w:val="none" w:sz="0" w:space="0" w:color="auto"/>
            <w:right w:val="none" w:sz="0" w:space="0" w:color="auto"/>
          </w:divBdr>
        </w:div>
        <w:div w:id="1660234094">
          <w:marLeft w:val="640"/>
          <w:marRight w:val="0"/>
          <w:marTop w:val="0"/>
          <w:marBottom w:val="0"/>
          <w:divBdr>
            <w:top w:val="none" w:sz="0" w:space="0" w:color="auto"/>
            <w:left w:val="none" w:sz="0" w:space="0" w:color="auto"/>
            <w:bottom w:val="none" w:sz="0" w:space="0" w:color="auto"/>
            <w:right w:val="none" w:sz="0" w:space="0" w:color="auto"/>
          </w:divBdr>
        </w:div>
        <w:div w:id="2066370091">
          <w:marLeft w:val="640"/>
          <w:marRight w:val="0"/>
          <w:marTop w:val="0"/>
          <w:marBottom w:val="0"/>
          <w:divBdr>
            <w:top w:val="none" w:sz="0" w:space="0" w:color="auto"/>
            <w:left w:val="none" w:sz="0" w:space="0" w:color="auto"/>
            <w:bottom w:val="none" w:sz="0" w:space="0" w:color="auto"/>
            <w:right w:val="none" w:sz="0" w:space="0" w:color="auto"/>
          </w:divBdr>
        </w:div>
        <w:div w:id="1797408742">
          <w:marLeft w:val="640"/>
          <w:marRight w:val="0"/>
          <w:marTop w:val="0"/>
          <w:marBottom w:val="0"/>
          <w:divBdr>
            <w:top w:val="none" w:sz="0" w:space="0" w:color="auto"/>
            <w:left w:val="none" w:sz="0" w:space="0" w:color="auto"/>
            <w:bottom w:val="none" w:sz="0" w:space="0" w:color="auto"/>
            <w:right w:val="none" w:sz="0" w:space="0" w:color="auto"/>
          </w:divBdr>
        </w:div>
        <w:div w:id="1538349394">
          <w:marLeft w:val="640"/>
          <w:marRight w:val="0"/>
          <w:marTop w:val="0"/>
          <w:marBottom w:val="0"/>
          <w:divBdr>
            <w:top w:val="none" w:sz="0" w:space="0" w:color="auto"/>
            <w:left w:val="none" w:sz="0" w:space="0" w:color="auto"/>
            <w:bottom w:val="none" w:sz="0" w:space="0" w:color="auto"/>
            <w:right w:val="none" w:sz="0" w:space="0" w:color="auto"/>
          </w:divBdr>
        </w:div>
        <w:div w:id="1296835266">
          <w:marLeft w:val="640"/>
          <w:marRight w:val="0"/>
          <w:marTop w:val="0"/>
          <w:marBottom w:val="0"/>
          <w:divBdr>
            <w:top w:val="none" w:sz="0" w:space="0" w:color="auto"/>
            <w:left w:val="none" w:sz="0" w:space="0" w:color="auto"/>
            <w:bottom w:val="none" w:sz="0" w:space="0" w:color="auto"/>
            <w:right w:val="none" w:sz="0" w:space="0" w:color="auto"/>
          </w:divBdr>
        </w:div>
        <w:div w:id="281499358">
          <w:marLeft w:val="640"/>
          <w:marRight w:val="0"/>
          <w:marTop w:val="0"/>
          <w:marBottom w:val="0"/>
          <w:divBdr>
            <w:top w:val="none" w:sz="0" w:space="0" w:color="auto"/>
            <w:left w:val="none" w:sz="0" w:space="0" w:color="auto"/>
            <w:bottom w:val="none" w:sz="0" w:space="0" w:color="auto"/>
            <w:right w:val="none" w:sz="0" w:space="0" w:color="auto"/>
          </w:divBdr>
        </w:div>
        <w:div w:id="374502096">
          <w:marLeft w:val="640"/>
          <w:marRight w:val="0"/>
          <w:marTop w:val="0"/>
          <w:marBottom w:val="0"/>
          <w:divBdr>
            <w:top w:val="none" w:sz="0" w:space="0" w:color="auto"/>
            <w:left w:val="none" w:sz="0" w:space="0" w:color="auto"/>
            <w:bottom w:val="none" w:sz="0" w:space="0" w:color="auto"/>
            <w:right w:val="none" w:sz="0" w:space="0" w:color="auto"/>
          </w:divBdr>
        </w:div>
        <w:div w:id="1169099232">
          <w:marLeft w:val="640"/>
          <w:marRight w:val="0"/>
          <w:marTop w:val="0"/>
          <w:marBottom w:val="0"/>
          <w:divBdr>
            <w:top w:val="none" w:sz="0" w:space="0" w:color="auto"/>
            <w:left w:val="none" w:sz="0" w:space="0" w:color="auto"/>
            <w:bottom w:val="none" w:sz="0" w:space="0" w:color="auto"/>
            <w:right w:val="none" w:sz="0" w:space="0" w:color="auto"/>
          </w:divBdr>
        </w:div>
        <w:div w:id="1879463236">
          <w:marLeft w:val="640"/>
          <w:marRight w:val="0"/>
          <w:marTop w:val="0"/>
          <w:marBottom w:val="0"/>
          <w:divBdr>
            <w:top w:val="none" w:sz="0" w:space="0" w:color="auto"/>
            <w:left w:val="none" w:sz="0" w:space="0" w:color="auto"/>
            <w:bottom w:val="none" w:sz="0" w:space="0" w:color="auto"/>
            <w:right w:val="none" w:sz="0" w:space="0" w:color="auto"/>
          </w:divBdr>
        </w:div>
        <w:div w:id="589241671">
          <w:marLeft w:val="640"/>
          <w:marRight w:val="0"/>
          <w:marTop w:val="0"/>
          <w:marBottom w:val="0"/>
          <w:divBdr>
            <w:top w:val="none" w:sz="0" w:space="0" w:color="auto"/>
            <w:left w:val="none" w:sz="0" w:space="0" w:color="auto"/>
            <w:bottom w:val="none" w:sz="0" w:space="0" w:color="auto"/>
            <w:right w:val="none" w:sz="0" w:space="0" w:color="auto"/>
          </w:divBdr>
        </w:div>
        <w:div w:id="1179080554">
          <w:marLeft w:val="640"/>
          <w:marRight w:val="0"/>
          <w:marTop w:val="0"/>
          <w:marBottom w:val="0"/>
          <w:divBdr>
            <w:top w:val="none" w:sz="0" w:space="0" w:color="auto"/>
            <w:left w:val="none" w:sz="0" w:space="0" w:color="auto"/>
            <w:bottom w:val="none" w:sz="0" w:space="0" w:color="auto"/>
            <w:right w:val="none" w:sz="0" w:space="0" w:color="auto"/>
          </w:divBdr>
        </w:div>
        <w:div w:id="619000209">
          <w:marLeft w:val="640"/>
          <w:marRight w:val="0"/>
          <w:marTop w:val="0"/>
          <w:marBottom w:val="0"/>
          <w:divBdr>
            <w:top w:val="none" w:sz="0" w:space="0" w:color="auto"/>
            <w:left w:val="none" w:sz="0" w:space="0" w:color="auto"/>
            <w:bottom w:val="none" w:sz="0" w:space="0" w:color="auto"/>
            <w:right w:val="none" w:sz="0" w:space="0" w:color="auto"/>
          </w:divBdr>
        </w:div>
        <w:div w:id="550768788">
          <w:marLeft w:val="640"/>
          <w:marRight w:val="0"/>
          <w:marTop w:val="0"/>
          <w:marBottom w:val="0"/>
          <w:divBdr>
            <w:top w:val="none" w:sz="0" w:space="0" w:color="auto"/>
            <w:left w:val="none" w:sz="0" w:space="0" w:color="auto"/>
            <w:bottom w:val="none" w:sz="0" w:space="0" w:color="auto"/>
            <w:right w:val="none" w:sz="0" w:space="0" w:color="auto"/>
          </w:divBdr>
        </w:div>
        <w:div w:id="225653996">
          <w:marLeft w:val="640"/>
          <w:marRight w:val="0"/>
          <w:marTop w:val="0"/>
          <w:marBottom w:val="0"/>
          <w:divBdr>
            <w:top w:val="none" w:sz="0" w:space="0" w:color="auto"/>
            <w:left w:val="none" w:sz="0" w:space="0" w:color="auto"/>
            <w:bottom w:val="none" w:sz="0" w:space="0" w:color="auto"/>
            <w:right w:val="none" w:sz="0" w:space="0" w:color="auto"/>
          </w:divBdr>
        </w:div>
        <w:div w:id="1775633804">
          <w:marLeft w:val="640"/>
          <w:marRight w:val="0"/>
          <w:marTop w:val="0"/>
          <w:marBottom w:val="0"/>
          <w:divBdr>
            <w:top w:val="none" w:sz="0" w:space="0" w:color="auto"/>
            <w:left w:val="none" w:sz="0" w:space="0" w:color="auto"/>
            <w:bottom w:val="none" w:sz="0" w:space="0" w:color="auto"/>
            <w:right w:val="none" w:sz="0" w:space="0" w:color="auto"/>
          </w:divBdr>
        </w:div>
        <w:div w:id="1233587916">
          <w:marLeft w:val="640"/>
          <w:marRight w:val="0"/>
          <w:marTop w:val="0"/>
          <w:marBottom w:val="0"/>
          <w:divBdr>
            <w:top w:val="none" w:sz="0" w:space="0" w:color="auto"/>
            <w:left w:val="none" w:sz="0" w:space="0" w:color="auto"/>
            <w:bottom w:val="none" w:sz="0" w:space="0" w:color="auto"/>
            <w:right w:val="none" w:sz="0" w:space="0" w:color="auto"/>
          </w:divBdr>
        </w:div>
        <w:div w:id="787896699">
          <w:marLeft w:val="640"/>
          <w:marRight w:val="0"/>
          <w:marTop w:val="0"/>
          <w:marBottom w:val="0"/>
          <w:divBdr>
            <w:top w:val="none" w:sz="0" w:space="0" w:color="auto"/>
            <w:left w:val="none" w:sz="0" w:space="0" w:color="auto"/>
            <w:bottom w:val="none" w:sz="0" w:space="0" w:color="auto"/>
            <w:right w:val="none" w:sz="0" w:space="0" w:color="auto"/>
          </w:divBdr>
        </w:div>
        <w:div w:id="1458837586">
          <w:marLeft w:val="640"/>
          <w:marRight w:val="0"/>
          <w:marTop w:val="0"/>
          <w:marBottom w:val="0"/>
          <w:divBdr>
            <w:top w:val="none" w:sz="0" w:space="0" w:color="auto"/>
            <w:left w:val="none" w:sz="0" w:space="0" w:color="auto"/>
            <w:bottom w:val="none" w:sz="0" w:space="0" w:color="auto"/>
            <w:right w:val="none" w:sz="0" w:space="0" w:color="auto"/>
          </w:divBdr>
        </w:div>
        <w:div w:id="128403690">
          <w:marLeft w:val="640"/>
          <w:marRight w:val="0"/>
          <w:marTop w:val="0"/>
          <w:marBottom w:val="0"/>
          <w:divBdr>
            <w:top w:val="none" w:sz="0" w:space="0" w:color="auto"/>
            <w:left w:val="none" w:sz="0" w:space="0" w:color="auto"/>
            <w:bottom w:val="none" w:sz="0" w:space="0" w:color="auto"/>
            <w:right w:val="none" w:sz="0" w:space="0" w:color="auto"/>
          </w:divBdr>
        </w:div>
        <w:div w:id="1180466543">
          <w:marLeft w:val="640"/>
          <w:marRight w:val="0"/>
          <w:marTop w:val="0"/>
          <w:marBottom w:val="0"/>
          <w:divBdr>
            <w:top w:val="none" w:sz="0" w:space="0" w:color="auto"/>
            <w:left w:val="none" w:sz="0" w:space="0" w:color="auto"/>
            <w:bottom w:val="none" w:sz="0" w:space="0" w:color="auto"/>
            <w:right w:val="none" w:sz="0" w:space="0" w:color="auto"/>
          </w:divBdr>
        </w:div>
        <w:div w:id="640965188">
          <w:marLeft w:val="640"/>
          <w:marRight w:val="0"/>
          <w:marTop w:val="0"/>
          <w:marBottom w:val="0"/>
          <w:divBdr>
            <w:top w:val="none" w:sz="0" w:space="0" w:color="auto"/>
            <w:left w:val="none" w:sz="0" w:space="0" w:color="auto"/>
            <w:bottom w:val="none" w:sz="0" w:space="0" w:color="auto"/>
            <w:right w:val="none" w:sz="0" w:space="0" w:color="auto"/>
          </w:divBdr>
        </w:div>
        <w:div w:id="2002080427">
          <w:marLeft w:val="640"/>
          <w:marRight w:val="0"/>
          <w:marTop w:val="0"/>
          <w:marBottom w:val="0"/>
          <w:divBdr>
            <w:top w:val="none" w:sz="0" w:space="0" w:color="auto"/>
            <w:left w:val="none" w:sz="0" w:space="0" w:color="auto"/>
            <w:bottom w:val="none" w:sz="0" w:space="0" w:color="auto"/>
            <w:right w:val="none" w:sz="0" w:space="0" w:color="auto"/>
          </w:divBdr>
        </w:div>
        <w:div w:id="348340720">
          <w:marLeft w:val="640"/>
          <w:marRight w:val="0"/>
          <w:marTop w:val="0"/>
          <w:marBottom w:val="0"/>
          <w:divBdr>
            <w:top w:val="none" w:sz="0" w:space="0" w:color="auto"/>
            <w:left w:val="none" w:sz="0" w:space="0" w:color="auto"/>
            <w:bottom w:val="none" w:sz="0" w:space="0" w:color="auto"/>
            <w:right w:val="none" w:sz="0" w:space="0" w:color="auto"/>
          </w:divBdr>
        </w:div>
        <w:div w:id="807825407">
          <w:marLeft w:val="640"/>
          <w:marRight w:val="0"/>
          <w:marTop w:val="0"/>
          <w:marBottom w:val="0"/>
          <w:divBdr>
            <w:top w:val="none" w:sz="0" w:space="0" w:color="auto"/>
            <w:left w:val="none" w:sz="0" w:space="0" w:color="auto"/>
            <w:bottom w:val="none" w:sz="0" w:space="0" w:color="auto"/>
            <w:right w:val="none" w:sz="0" w:space="0" w:color="auto"/>
          </w:divBdr>
        </w:div>
        <w:div w:id="1037046079">
          <w:marLeft w:val="640"/>
          <w:marRight w:val="0"/>
          <w:marTop w:val="0"/>
          <w:marBottom w:val="0"/>
          <w:divBdr>
            <w:top w:val="none" w:sz="0" w:space="0" w:color="auto"/>
            <w:left w:val="none" w:sz="0" w:space="0" w:color="auto"/>
            <w:bottom w:val="none" w:sz="0" w:space="0" w:color="auto"/>
            <w:right w:val="none" w:sz="0" w:space="0" w:color="auto"/>
          </w:divBdr>
        </w:div>
        <w:div w:id="793137406">
          <w:marLeft w:val="640"/>
          <w:marRight w:val="0"/>
          <w:marTop w:val="0"/>
          <w:marBottom w:val="0"/>
          <w:divBdr>
            <w:top w:val="none" w:sz="0" w:space="0" w:color="auto"/>
            <w:left w:val="none" w:sz="0" w:space="0" w:color="auto"/>
            <w:bottom w:val="none" w:sz="0" w:space="0" w:color="auto"/>
            <w:right w:val="none" w:sz="0" w:space="0" w:color="auto"/>
          </w:divBdr>
        </w:div>
        <w:div w:id="1260791162">
          <w:marLeft w:val="640"/>
          <w:marRight w:val="0"/>
          <w:marTop w:val="0"/>
          <w:marBottom w:val="0"/>
          <w:divBdr>
            <w:top w:val="none" w:sz="0" w:space="0" w:color="auto"/>
            <w:left w:val="none" w:sz="0" w:space="0" w:color="auto"/>
            <w:bottom w:val="none" w:sz="0" w:space="0" w:color="auto"/>
            <w:right w:val="none" w:sz="0" w:space="0" w:color="auto"/>
          </w:divBdr>
        </w:div>
        <w:div w:id="1144004276">
          <w:marLeft w:val="640"/>
          <w:marRight w:val="0"/>
          <w:marTop w:val="0"/>
          <w:marBottom w:val="0"/>
          <w:divBdr>
            <w:top w:val="none" w:sz="0" w:space="0" w:color="auto"/>
            <w:left w:val="none" w:sz="0" w:space="0" w:color="auto"/>
            <w:bottom w:val="none" w:sz="0" w:space="0" w:color="auto"/>
            <w:right w:val="none" w:sz="0" w:space="0" w:color="auto"/>
          </w:divBdr>
        </w:div>
        <w:div w:id="2007242322">
          <w:marLeft w:val="640"/>
          <w:marRight w:val="0"/>
          <w:marTop w:val="0"/>
          <w:marBottom w:val="0"/>
          <w:divBdr>
            <w:top w:val="none" w:sz="0" w:space="0" w:color="auto"/>
            <w:left w:val="none" w:sz="0" w:space="0" w:color="auto"/>
            <w:bottom w:val="none" w:sz="0" w:space="0" w:color="auto"/>
            <w:right w:val="none" w:sz="0" w:space="0" w:color="auto"/>
          </w:divBdr>
        </w:div>
        <w:div w:id="1507482299">
          <w:marLeft w:val="640"/>
          <w:marRight w:val="0"/>
          <w:marTop w:val="0"/>
          <w:marBottom w:val="0"/>
          <w:divBdr>
            <w:top w:val="none" w:sz="0" w:space="0" w:color="auto"/>
            <w:left w:val="none" w:sz="0" w:space="0" w:color="auto"/>
            <w:bottom w:val="none" w:sz="0" w:space="0" w:color="auto"/>
            <w:right w:val="none" w:sz="0" w:space="0" w:color="auto"/>
          </w:divBdr>
        </w:div>
        <w:div w:id="1727996248">
          <w:marLeft w:val="640"/>
          <w:marRight w:val="0"/>
          <w:marTop w:val="0"/>
          <w:marBottom w:val="0"/>
          <w:divBdr>
            <w:top w:val="none" w:sz="0" w:space="0" w:color="auto"/>
            <w:left w:val="none" w:sz="0" w:space="0" w:color="auto"/>
            <w:bottom w:val="none" w:sz="0" w:space="0" w:color="auto"/>
            <w:right w:val="none" w:sz="0" w:space="0" w:color="auto"/>
          </w:divBdr>
        </w:div>
        <w:div w:id="812482096">
          <w:marLeft w:val="640"/>
          <w:marRight w:val="0"/>
          <w:marTop w:val="0"/>
          <w:marBottom w:val="0"/>
          <w:divBdr>
            <w:top w:val="none" w:sz="0" w:space="0" w:color="auto"/>
            <w:left w:val="none" w:sz="0" w:space="0" w:color="auto"/>
            <w:bottom w:val="none" w:sz="0" w:space="0" w:color="auto"/>
            <w:right w:val="none" w:sz="0" w:space="0" w:color="auto"/>
          </w:divBdr>
        </w:div>
        <w:div w:id="339476640">
          <w:marLeft w:val="640"/>
          <w:marRight w:val="0"/>
          <w:marTop w:val="0"/>
          <w:marBottom w:val="0"/>
          <w:divBdr>
            <w:top w:val="none" w:sz="0" w:space="0" w:color="auto"/>
            <w:left w:val="none" w:sz="0" w:space="0" w:color="auto"/>
            <w:bottom w:val="none" w:sz="0" w:space="0" w:color="auto"/>
            <w:right w:val="none" w:sz="0" w:space="0" w:color="auto"/>
          </w:divBdr>
        </w:div>
        <w:div w:id="344744832">
          <w:marLeft w:val="640"/>
          <w:marRight w:val="0"/>
          <w:marTop w:val="0"/>
          <w:marBottom w:val="0"/>
          <w:divBdr>
            <w:top w:val="none" w:sz="0" w:space="0" w:color="auto"/>
            <w:left w:val="none" w:sz="0" w:space="0" w:color="auto"/>
            <w:bottom w:val="none" w:sz="0" w:space="0" w:color="auto"/>
            <w:right w:val="none" w:sz="0" w:space="0" w:color="auto"/>
          </w:divBdr>
        </w:div>
        <w:div w:id="1528056749">
          <w:marLeft w:val="640"/>
          <w:marRight w:val="0"/>
          <w:marTop w:val="0"/>
          <w:marBottom w:val="0"/>
          <w:divBdr>
            <w:top w:val="none" w:sz="0" w:space="0" w:color="auto"/>
            <w:left w:val="none" w:sz="0" w:space="0" w:color="auto"/>
            <w:bottom w:val="none" w:sz="0" w:space="0" w:color="auto"/>
            <w:right w:val="none" w:sz="0" w:space="0" w:color="auto"/>
          </w:divBdr>
        </w:div>
        <w:div w:id="1524201391">
          <w:marLeft w:val="640"/>
          <w:marRight w:val="0"/>
          <w:marTop w:val="0"/>
          <w:marBottom w:val="0"/>
          <w:divBdr>
            <w:top w:val="none" w:sz="0" w:space="0" w:color="auto"/>
            <w:left w:val="none" w:sz="0" w:space="0" w:color="auto"/>
            <w:bottom w:val="none" w:sz="0" w:space="0" w:color="auto"/>
            <w:right w:val="none" w:sz="0" w:space="0" w:color="auto"/>
          </w:divBdr>
        </w:div>
        <w:div w:id="586504346">
          <w:marLeft w:val="640"/>
          <w:marRight w:val="0"/>
          <w:marTop w:val="0"/>
          <w:marBottom w:val="0"/>
          <w:divBdr>
            <w:top w:val="none" w:sz="0" w:space="0" w:color="auto"/>
            <w:left w:val="none" w:sz="0" w:space="0" w:color="auto"/>
            <w:bottom w:val="none" w:sz="0" w:space="0" w:color="auto"/>
            <w:right w:val="none" w:sz="0" w:space="0" w:color="auto"/>
          </w:divBdr>
        </w:div>
        <w:div w:id="1077746453">
          <w:marLeft w:val="640"/>
          <w:marRight w:val="0"/>
          <w:marTop w:val="0"/>
          <w:marBottom w:val="0"/>
          <w:divBdr>
            <w:top w:val="none" w:sz="0" w:space="0" w:color="auto"/>
            <w:left w:val="none" w:sz="0" w:space="0" w:color="auto"/>
            <w:bottom w:val="none" w:sz="0" w:space="0" w:color="auto"/>
            <w:right w:val="none" w:sz="0" w:space="0" w:color="auto"/>
          </w:divBdr>
        </w:div>
        <w:div w:id="328796895">
          <w:marLeft w:val="640"/>
          <w:marRight w:val="0"/>
          <w:marTop w:val="0"/>
          <w:marBottom w:val="0"/>
          <w:divBdr>
            <w:top w:val="none" w:sz="0" w:space="0" w:color="auto"/>
            <w:left w:val="none" w:sz="0" w:space="0" w:color="auto"/>
            <w:bottom w:val="none" w:sz="0" w:space="0" w:color="auto"/>
            <w:right w:val="none" w:sz="0" w:space="0" w:color="auto"/>
          </w:divBdr>
        </w:div>
        <w:div w:id="85930176">
          <w:marLeft w:val="640"/>
          <w:marRight w:val="0"/>
          <w:marTop w:val="0"/>
          <w:marBottom w:val="0"/>
          <w:divBdr>
            <w:top w:val="none" w:sz="0" w:space="0" w:color="auto"/>
            <w:left w:val="none" w:sz="0" w:space="0" w:color="auto"/>
            <w:bottom w:val="none" w:sz="0" w:space="0" w:color="auto"/>
            <w:right w:val="none" w:sz="0" w:space="0" w:color="auto"/>
          </w:divBdr>
        </w:div>
        <w:div w:id="1260061923">
          <w:marLeft w:val="640"/>
          <w:marRight w:val="0"/>
          <w:marTop w:val="0"/>
          <w:marBottom w:val="0"/>
          <w:divBdr>
            <w:top w:val="none" w:sz="0" w:space="0" w:color="auto"/>
            <w:left w:val="none" w:sz="0" w:space="0" w:color="auto"/>
            <w:bottom w:val="none" w:sz="0" w:space="0" w:color="auto"/>
            <w:right w:val="none" w:sz="0" w:space="0" w:color="auto"/>
          </w:divBdr>
        </w:div>
        <w:div w:id="1891259573">
          <w:marLeft w:val="640"/>
          <w:marRight w:val="0"/>
          <w:marTop w:val="0"/>
          <w:marBottom w:val="0"/>
          <w:divBdr>
            <w:top w:val="none" w:sz="0" w:space="0" w:color="auto"/>
            <w:left w:val="none" w:sz="0" w:space="0" w:color="auto"/>
            <w:bottom w:val="none" w:sz="0" w:space="0" w:color="auto"/>
            <w:right w:val="none" w:sz="0" w:space="0" w:color="auto"/>
          </w:divBdr>
        </w:div>
        <w:div w:id="1413160404">
          <w:marLeft w:val="640"/>
          <w:marRight w:val="0"/>
          <w:marTop w:val="0"/>
          <w:marBottom w:val="0"/>
          <w:divBdr>
            <w:top w:val="none" w:sz="0" w:space="0" w:color="auto"/>
            <w:left w:val="none" w:sz="0" w:space="0" w:color="auto"/>
            <w:bottom w:val="none" w:sz="0" w:space="0" w:color="auto"/>
            <w:right w:val="none" w:sz="0" w:space="0" w:color="auto"/>
          </w:divBdr>
        </w:div>
        <w:div w:id="1446316063">
          <w:marLeft w:val="640"/>
          <w:marRight w:val="0"/>
          <w:marTop w:val="0"/>
          <w:marBottom w:val="0"/>
          <w:divBdr>
            <w:top w:val="none" w:sz="0" w:space="0" w:color="auto"/>
            <w:left w:val="none" w:sz="0" w:space="0" w:color="auto"/>
            <w:bottom w:val="none" w:sz="0" w:space="0" w:color="auto"/>
            <w:right w:val="none" w:sz="0" w:space="0" w:color="auto"/>
          </w:divBdr>
        </w:div>
        <w:div w:id="314071006">
          <w:marLeft w:val="640"/>
          <w:marRight w:val="0"/>
          <w:marTop w:val="0"/>
          <w:marBottom w:val="0"/>
          <w:divBdr>
            <w:top w:val="none" w:sz="0" w:space="0" w:color="auto"/>
            <w:left w:val="none" w:sz="0" w:space="0" w:color="auto"/>
            <w:bottom w:val="none" w:sz="0" w:space="0" w:color="auto"/>
            <w:right w:val="none" w:sz="0" w:space="0" w:color="auto"/>
          </w:divBdr>
        </w:div>
        <w:div w:id="1882478260">
          <w:marLeft w:val="640"/>
          <w:marRight w:val="0"/>
          <w:marTop w:val="0"/>
          <w:marBottom w:val="0"/>
          <w:divBdr>
            <w:top w:val="none" w:sz="0" w:space="0" w:color="auto"/>
            <w:left w:val="none" w:sz="0" w:space="0" w:color="auto"/>
            <w:bottom w:val="none" w:sz="0" w:space="0" w:color="auto"/>
            <w:right w:val="none" w:sz="0" w:space="0" w:color="auto"/>
          </w:divBdr>
        </w:div>
        <w:div w:id="1671788944">
          <w:marLeft w:val="640"/>
          <w:marRight w:val="0"/>
          <w:marTop w:val="0"/>
          <w:marBottom w:val="0"/>
          <w:divBdr>
            <w:top w:val="none" w:sz="0" w:space="0" w:color="auto"/>
            <w:left w:val="none" w:sz="0" w:space="0" w:color="auto"/>
            <w:bottom w:val="none" w:sz="0" w:space="0" w:color="auto"/>
            <w:right w:val="none" w:sz="0" w:space="0" w:color="auto"/>
          </w:divBdr>
        </w:div>
        <w:div w:id="1111511052">
          <w:marLeft w:val="640"/>
          <w:marRight w:val="0"/>
          <w:marTop w:val="0"/>
          <w:marBottom w:val="0"/>
          <w:divBdr>
            <w:top w:val="none" w:sz="0" w:space="0" w:color="auto"/>
            <w:left w:val="none" w:sz="0" w:space="0" w:color="auto"/>
            <w:bottom w:val="none" w:sz="0" w:space="0" w:color="auto"/>
            <w:right w:val="none" w:sz="0" w:space="0" w:color="auto"/>
          </w:divBdr>
        </w:div>
        <w:div w:id="1787579396">
          <w:marLeft w:val="640"/>
          <w:marRight w:val="0"/>
          <w:marTop w:val="0"/>
          <w:marBottom w:val="0"/>
          <w:divBdr>
            <w:top w:val="none" w:sz="0" w:space="0" w:color="auto"/>
            <w:left w:val="none" w:sz="0" w:space="0" w:color="auto"/>
            <w:bottom w:val="none" w:sz="0" w:space="0" w:color="auto"/>
            <w:right w:val="none" w:sz="0" w:space="0" w:color="auto"/>
          </w:divBdr>
        </w:div>
        <w:div w:id="1573351041">
          <w:marLeft w:val="640"/>
          <w:marRight w:val="0"/>
          <w:marTop w:val="0"/>
          <w:marBottom w:val="0"/>
          <w:divBdr>
            <w:top w:val="none" w:sz="0" w:space="0" w:color="auto"/>
            <w:left w:val="none" w:sz="0" w:space="0" w:color="auto"/>
            <w:bottom w:val="none" w:sz="0" w:space="0" w:color="auto"/>
            <w:right w:val="none" w:sz="0" w:space="0" w:color="auto"/>
          </w:divBdr>
        </w:div>
        <w:div w:id="1889342743">
          <w:marLeft w:val="640"/>
          <w:marRight w:val="0"/>
          <w:marTop w:val="0"/>
          <w:marBottom w:val="0"/>
          <w:divBdr>
            <w:top w:val="none" w:sz="0" w:space="0" w:color="auto"/>
            <w:left w:val="none" w:sz="0" w:space="0" w:color="auto"/>
            <w:bottom w:val="none" w:sz="0" w:space="0" w:color="auto"/>
            <w:right w:val="none" w:sz="0" w:space="0" w:color="auto"/>
          </w:divBdr>
        </w:div>
        <w:div w:id="760639680">
          <w:marLeft w:val="640"/>
          <w:marRight w:val="0"/>
          <w:marTop w:val="0"/>
          <w:marBottom w:val="0"/>
          <w:divBdr>
            <w:top w:val="none" w:sz="0" w:space="0" w:color="auto"/>
            <w:left w:val="none" w:sz="0" w:space="0" w:color="auto"/>
            <w:bottom w:val="none" w:sz="0" w:space="0" w:color="auto"/>
            <w:right w:val="none" w:sz="0" w:space="0" w:color="auto"/>
          </w:divBdr>
        </w:div>
        <w:div w:id="211234696">
          <w:marLeft w:val="640"/>
          <w:marRight w:val="0"/>
          <w:marTop w:val="0"/>
          <w:marBottom w:val="0"/>
          <w:divBdr>
            <w:top w:val="none" w:sz="0" w:space="0" w:color="auto"/>
            <w:left w:val="none" w:sz="0" w:space="0" w:color="auto"/>
            <w:bottom w:val="none" w:sz="0" w:space="0" w:color="auto"/>
            <w:right w:val="none" w:sz="0" w:space="0" w:color="auto"/>
          </w:divBdr>
        </w:div>
        <w:div w:id="2035573143">
          <w:marLeft w:val="640"/>
          <w:marRight w:val="0"/>
          <w:marTop w:val="0"/>
          <w:marBottom w:val="0"/>
          <w:divBdr>
            <w:top w:val="none" w:sz="0" w:space="0" w:color="auto"/>
            <w:left w:val="none" w:sz="0" w:space="0" w:color="auto"/>
            <w:bottom w:val="none" w:sz="0" w:space="0" w:color="auto"/>
            <w:right w:val="none" w:sz="0" w:space="0" w:color="auto"/>
          </w:divBdr>
        </w:div>
        <w:div w:id="2090074436">
          <w:marLeft w:val="640"/>
          <w:marRight w:val="0"/>
          <w:marTop w:val="0"/>
          <w:marBottom w:val="0"/>
          <w:divBdr>
            <w:top w:val="none" w:sz="0" w:space="0" w:color="auto"/>
            <w:left w:val="none" w:sz="0" w:space="0" w:color="auto"/>
            <w:bottom w:val="none" w:sz="0" w:space="0" w:color="auto"/>
            <w:right w:val="none" w:sz="0" w:space="0" w:color="auto"/>
          </w:divBdr>
        </w:div>
        <w:div w:id="154419281">
          <w:marLeft w:val="640"/>
          <w:marRight w:val="0"/>
          <w:marTop w:val="0"/>
          <w:marBottom w:val="0"/>
          <w:divBdr>
            <w:top w:val="none" w:sz="0" w:space="0" w:color="auto"/>
            <w:left w:val="none" w:sz="0" w:space="0" w:color="auto"/>
            <w:bottom w:val="none" w:sz="0" w:space="0" w:color="auto"/>
            <w:right w:val="none" w:sz="0" w:space="0" w:color="auto"/>
          </w:divBdr>
        </w:div>
        <w:div w:id="2131775089">
          <w:marLeft w:val="640"/>
          <w:marRight w:val="0"/>
          <w:marTop w:val="0"/>
          <w:marBottom w:val="0"/>
          <w:divBdr>
            <w:top w:val="none" w:sz="0" w:space="0" w:color="auto"/>
            <w:left w:val="none" w:sz="0" w:space="0" w:color="auto"/>
            <w:bottom w:val="none" w:sz="0" w:space="0" w:color="auto"/>
            <w:right w:val="none" w:sz="0" w:space="0" w:color="auto"/>
          </w:divBdr>
        </w:div>
        <w:div w:id="1844315524">
          <w:marLeft w:val="640"/>
          <w:marRight w:val="0"/>
          <w:marTop w:val="0"/>
          <w:marBottom w:val="0"/>
          <w:divBdr>
            <w:top w:val="none" w:sz="0" w:space="0" w:color="auto"/>
            <w:left w:val="none" w:sz="0" w:space="0" w:color="auto"/>
            <w:bottom w:val="none" w:sz="0" w:space="0" w:color="auto"/>
            <w:right w:val="none" w:sz="0" w:space="0" w:color="auto"/>
          </w:divBdr>
        </w:div>
        <w:div w:id="444275539">
          <w:marLeft w:val="640"/>
          <w:marRight w:val="0"/>
          <w:marTop w:val="0"/>
          <w:marBottom w:val="0"/>
          <w:divBdr>
            <w:top w:val="none" w:sz="0" w:space="0" w:color="auto"/>
            <w:left w:val="none" w:sz="0" w:space="0" w:color="auto"/>
            <w:bottom w:val="none" w:sz="0" w:space="0" w:color="auto"/>
            <w:right w:val="none" w:sz="0" w:space="0" w:color="auto"/>
          </w:divBdr>
        </w:div>
        <w:div w:id="1413550503">
          <w:marLeft w:val="640"/>
          <w:marRight w:val="0"/>
          <w:marTop w:val="0"/>
          <w:marBottom w:val="0"/>
          <w:divBdr>
            <w:top w:val="none" w:sz="0" w:space="0" w:color="auto"/>
            <w:left w:val="none" w:sz="0" w:space="0" w:color="auto"/>
            <w:bottom w:val="none" w:sz="0" w:space="0" w:color="auto"/>
            <w:right w:val="none" w:sz="0" w:space="0" w:color="auto"/>
          </w:divBdr>
        </w:div>
        <w:div w:id="1108088914">
          <w:marLeft w:val="640"/>
          <w:marRight w:val="0"/>
          <w:marTop w:val="0"/>
          <w:marBottom w:val="0"/>
          <w:divBdr>
            <w:top w:val="none" w:sz="0" w:space="0" w:color="auto"/>
            <w:left w:val="none" w:sz="0" w:space="0" w:color="auto"/>
            <w:bottom w:val="none" w:sz="0" w:space="0" w:color="auto"/>
            <w:right w:val="none" w:sz="0" w:space="0" w:color="auto"/>
          </w:divBdr>
        </w:div>
        <w:div w:id="336618543">
          <w:marLeft w:val="640"/>
          <w:marRight w:val="0"/>
          <w:marTop w:val="0"/>
          <w:marBottom w:val="0"/>
          <w:divBdr>
            <w:top w:val="none" w:sz="0" w:space="0" w:color="auto"/>
            <w:left w:val="none" w:sz="0" w:space="0" w:color="auto"/>
            <w:bottom w:val="none" w:sz="0" w:space="0" w:color="auto"/>
            <w:right w:val="none" w:sz="0" w:space="0" w:color="auto"/>
          </w:divBdr>
        </w:div>
        <w:div w:id="393823135">
          <w:marLeft w:val="640"/>
          <w:marRight w:val="0"/>
          <w:marTop w:val="0"/>
          <w:marBottom w:val="0"/>
          <w:divBdr>
            <w:top w:val="none" w:sz="0" w:space="0" w:color="auto"/>
            <w:left w:val="none" w:sz="0" w:space="0" w:color="auto"/>
            <w:bottom w:val="none" w:sz="0" w:space="0" w:color="auto"/>
            <w:right w:val="none" w:sz="0" w:space="0" w:color="auto"/>
          </w:divBdr>
        </w:div>
        <w:div w:id="1330715294">
          <w:marLeft w:val="640"/>
          <w:marRight w:val="0"/>
          <w:marTop w:val="0"/>
          <w:marBottom w:val="0"/>
          <w:divBdr>
            <w:top w:val="none" w:sz="0" w:space="0" w:color="auto"/>
            <w:left w:val="none" w:sz="0" w:space="0" w:color="auto"/>
            <w:bottom w:val="none" w:sz="0" w:space="0" w:color="auto"/>
            <w:right w:val="none" w:sz="0" w:space="0" w:color="auto"/>
          </w:divBdr>
        </w:div>
        <w:div w:id="1086993505">
          <w:marLeft w:val="640"/>
          <w:marRight w:val="0"/>
          <w:marTop w:val="0"/>
          <w:marBottom w:val="0"/>
          <w:divBdr>
            <w:top w:val="none" w:sz="0" w:space="0" w:color="auto"/>
            <w:left w:val="none" w:sz="0" w:space="0" w:color="auto"/>
            <w:bottom w:val="none" w:sz="0" w:space="0" w:color="auto"/>
            <w:right w:val="none" w:sz="0" w:space="0" w:color="auto"/>
          </w:divBdr>
        </w:div>
        <w:div w:id="90862189">
          <w:marLeft w:val="640"/>
          <w:marRight w:val="0"/>
          <w:marTop w:val="0"/>
          <w:marBottom w:val="0"/>
          <w:divBdr>
            <w:top w:val="none" w:sz="0" w:space="0" w:color="auto"/>
            <w:left w:val="none" w:sz="0" w:space="0" w:color="auto"/>
            <w:bottom w:val="none" w:sz="0" w:space="0" w:color="auto"/>
            <w:right w:val="none" w:sz="0" w:space="0" w:color="auto"/>
          </w:divBdr>
        </w:div>
        <w:div w:id="1895118738">
          <w:marLeft w:val="640"/>
          <w:marRight w:val="0"/>
          <w:marTop w:val="0"/>
          <w:marBottom w:val="0"/>
          <w:divBdr>
            <w:top w:val="none" w:sz="0" w:space="0" w:color="auto"/>
            <w:left w:val="none" w:sz="0" w:space="0" w:color="auto"/>
            <w:bottom w:val="none" w:sz="0" w:space="0" w:color="auto"/>
            <w:right w:val="none" w:sz="0" w:space="0" w:color="auto"/>
          </w:divBdr>
        </w:div>
        <w:div w:id="2027638120">
          <w:marLeft w:val="640"/>
          <w:marRight w:val="0"/>
          <w:marTop w:val="0"/>
          <w:marBottom w:val="0"/>
          <w:divBdr>
            <w:top w:val="none" w:sz="0" w:space="0" w:color="auto"/>
            <w:left w:val="none" w:sz="0" w:space="0" w:color="auto"/>
            <w:bottom w:val="none" w:sz="0" w:space="0" w:color="auto"/>
            <w:right w:val="none" w:sz="0" w:space="0" w:color="auto"/>
          </w:divBdr>
        </w:div>
        <w:div w:id="822627203">
          <w:marLeft w:val="640"/>
          <w:marRight w:val="0"/>
          <w:marTop w:val="0"/>
          <w:marBottom w:val="0"/>
          <w:divBdr>
            <w:top w:val="none" w:sz="0" w:space="0" w:color="auto"/>
            <w:left w:val="none" w:sz="0" w:space="0" w:color="auto"/>
            <w:bottom w:val="none" w:sz="0" w:space="0" w:color="auto"/>
            <w:right w:val="none" w:sz="0" w:space="0" w:color="auto"/>
          </w:divBdr>
        </w:div>
        <w:div w:id="2022125941">
          <w:marLeft w:val="640"/>
          <w:marRight w:val="0"/>
          <w:marTop w:val="0"/>
          <w:marBottom w:val="0"/>
          <w:divBdr>
            <w:top w:val="none" w:sz="0" w:space="0" w:color="auto"/>
            <w:left w:val="none" w:sz="0" w:space="0" w:color="auto"/>
            <w:bottom w:val="none" w:sz="0" w:space="0" w:color="auto"/>
            <w:right w:val="none" w:sz="0" w:space="0" w:color="auto"/>
          </w:divBdr>
        </w:div>
        <w:div w:id="1534616788">
          <w:marLeft w:val="640"/>
          <w:marRight w:val="0"/>
          <w:marTop w:val="0"/>
          <w:marBottom w:val="0"/>
          <w:divBdr>
            <w:top w:val="none" w:sz="0" w:space="0" w:color="auto"/>
            <w:left w:val="none" w:sz="0" w:space="0" w:color="auto"/>
            <w:bottom w:val="none" w:sz="0" w:space="0" w:color="auto"/>
            <w:right w:val="none" w:sz="0" w:space="0" w:color="auto"/>
          </w:divBdr>
        </w:div>
        <w:div w:id="1319382425">
          <w:marLeft w:val="640"/>
          <w:marRight w:val="0"/>
          <w:marTop w:val="0"/>
          <w:marBottom w:val="0"/>
          <w:divBdr>
            <w:top w:val="none" w:sz="0" w:space="0" w:color="auto"/>
            <w:left w:val="none" w:sz="0" w:space="0" w:color="auto"/>
            <w:bottom w:val="none" w:sz="0" w:space="0" w:color="auto"/>
            <w:right w:val="none" w:sz="0" w:space="0" w:color="auto"/>
          </w:divBdr>
        </w:div>
        <w:div w:id="1363482646">
          <w:marLeft w:val="640"/>
          <w:marRight w:val="0"/>
          <w:marTop w:val="0"/>
          <w:marBottom w:val="0"/>
          <w:divBdr>
            <w:top w:val="none" w:sz="0" w:space="0" w:color="auto"/>
            <w:left w:val="none" w:sz="0" w:space="0" w:color="auto"/>
            <w:bottom w:val="none" w:sz="0" w:space="0" w:color="auto"/>
            <w:right w:val="none" w:sz="0" w:space="0" w:color="auto"/>
          </w:divBdr>
        </w:div>
        <w:div w:id="356195737">
          <w:marLeft w:val="640"/>
          <w:marRight w:val="0"/>
          <w:marTop w:val="0"/>
          <w:marBottom w:val="0"/>
          <w:divBdr>
            <w:top w:val="none" w:sz="0" w:space="0" w:color="auto"/>
            <w:left w:val="none" w:sz="0" w:space="0" w:color="auto"/>
            <w:bottom w:val="none" w:sz="0" w:space="0" w:color="auto"/>
            <w:right w:val="none" w:sz="0" w:space="0" w:color="auto"/>
          </w:divBdr>
        </w:div>
        <w:div w:id="365373741">
          <w:marLeft w:val="640"/>
          <w:marRight w:val="0"/>
          <w:marTop w:val="0"/>
          <w:marBottom w:val="0"/>
          <w:divBdr>
            <w:top w:val="none" w:sz="0" w:space="0" w:color="auto"/>
            <w:left w:val="none" w:sz="0" w:space="0" w:color="auto"/>
            <w:bottom w:val="none" w:sz="0" w:space="0" w:color="auto"/>
            <w:right w:val="none" w:sz="0" w:space="0" w:color="auto"/>
          </w:divBdr>
        </w:div>
        <w:div w:id="1127046383">
          <w:marLeft w:val="640"/>
          <w:marRight w:val="0"/>
          <w:marTop w:val="0"/>
          <w:marBottom w:val="0"/>
          <w:divBdr>
            <w:top w:val="none" w:sz="0" w:space="0" w:color="auto"/>
            <w:left w:val="none" w:sz="0" w:space="0" w:color="auto"/>
            <w:bottom w:val="none" w:sz="0" w:space="0" w:color="auto"/>
            <w:right w:val="none" w:sz="0" w:space="0" w:color="auto"/>
          </w:divBdr>
        </w:div>
        <w:div w:id="1774740293">
          <w:marLeft w:val="640"/>
          <w:marRight w:val="0"/>
          <w:marTop w:val="0"/>
          <w:marBottom w:val="0"/>
          <w:divBdr>
            <w:top w:val="none" w:sz="0" w:space="0" w:color="auto"/>
            <w:left w:val="none" w:sz="0" w:space="0" w:color="auto"/>
            <w:bottom w:val="none" w:sz="0" w:space="0" w:color="auto"/>
            <w:right w:val="none" w:sz="0" w:space="0" w:color="auto"/>
          </w:divBdr>
        </w:div>
        <w:div w:id="1914974850">
          <w:marLeft w:val="640"/>
          <w:marRight w:val="0"/>
          <w:marTop w:val="0"/>
          <w:marBottom w:val="0"/>
          <w:divBdr>
            <w:top w:val="none" w:sz="0" w:space="0" w:color="auto"/>
            <w:left w:val="none" w:sz="0" w:space="0" w:color="auto"/>
            <w:bottom w:val="none" w:sz="0" w:space="0" w:color="auto"/>
            <w:right w:val="none" w:sz="0" w:space="0" w:color="auto"/>
          </w:divBdr>
        </w:div>
        <w:div w:id="793451668">
          <w:marLeft w:val="640"/>
          <w:marRight w:val="0"/>
          <w:marTop w:val="0"/>
          <w:marBottom w:val="0"/>
          <w:divBdr>
            <w:top w:val="none" w:sz="0" w:space="0" w:color="auto"/>
            <w:left w:val="none" w:sz="0" w:space="0" w:color="auto"/>
            <w:bottom w:val="none" w:sz="0" w:space="0" w:color="auto"/>
            <w:right w:val="none" w:sz="0" w:space="0" w:color="auto"/>
          </w:divBdr>
        </w:div>
        <w:div w:id="1974821819">
          <w:marLeft w:val="640"/>
          <w:marRight w:val="0"/>
          <w:marTop w:val="0"/>
          <w:marBottom w:val="0"/>
          <w:divBdr>
            <w:top w:val="none" w:sz="0" w:space="0" w:color="auto"/>
            <w:left w:val="none" w:sz="0" w:space="0" w:color="auto"/>
            <w:bottom w:val="none" w:sz="0" w:space="0" w:color="auto"/>
            <w:right w:val="none" w:sz="0" w:space="0" w:color="auto"/>
          </w:divBdr>
        </w:div>
        <w:div w:id="427890922">
          <w:marLeft w:val="640"/>
          <w:marRight w:val="0"/>
          <w:marTop w:val="0"/>
          <w:marBottom w:val="0"/>
          <w:divBdr>
            <w:top w:val="none" w:sz="0" w:space="0" w:color="auto"/>
            <w:left w:val="none" w:sz="0" w:space="0" w:color="auto"/>
            <w:bottom w:val="none" w:sz="0" w:space="0" w:color="auto"/>
            <w:right w:val="none" w:sz="0" w:space="0" w:color="auto"/>
          </w:divBdr>
        </w:div>
        <w:div w:id="1550529978">
          <w:marLeft w:val="640"/>
          <w:marRight w:val="0"/>
          <w:marTop w:val="0"/>
          <w:marBottom w:val="0"/>
          <w:divBdr>
            <w:top w:val="none" w:sz="0" w:space="0" w:color="auto"/>
            <w:left w:val="none" w:sz="0" w:space="0" w:color="auto"/>
            <w:bottom w:val="none" w:sz="0" w:space="0" w:color="auto"/>
            <w:right w:val="none" w:sz="0" w:space="0" w:color="auto"/>
          </w:divBdr>
        </w:div>
        <w:div w:id="1134638793">
          <w:marLeft w:val="640"/>
          <w:marRight w:val="0"/>
          <w:marTop w:val="0"/>
          <w:marBottom w:val="0"/>
          <w:divBdr>
            <w:top w:val="none" w:sz="0" w:space="0" w:color="auto"/>
            <w:left w:val="none" w:sz="0" w:space="0" w:color="auto"/>
            <w:bottom w:val="none" w:sz="0" w:space="0" w:color="auto"/>
            <w:right w:val="none" w:sz="0" w:space="0" w:color="auto"/>
          </w:divBdr>
        </w:div>
      </w:divsChild>
    </w:div>
    <w:div w:id="1286231788">
      <w:bodyDiv w:val="1"/>
      <w:marLeft w:val="0"/>
      <w:marRight w:val="0"/>
      <w:marTop w:val="0"/>
      <w:marBottom w:val="0"/>
      <w:divBdr>
        <w:top w:val="none" w:sz="0" w:space="0" w:color="auto"/>
        <w:left w:val="none" w:sz="0" w:space="0" w:color="auto"/>
        <w:bottom w:val="none" w:sz="0" w:space="0" w:color="auto"/>
        <w:right w:val="none" w:sz="0" w:space="0" w:color="auto"/>
      </w:divBdr>
    </w:div>
    <w:div w:id="1286306371">
      <w:bodyDiv w:val="1"/>
      <w:marLeft w:val="0"/>
      <w:marRight w:val="0"/>
      <w:marTop w:val="0"/>
      <w:marBottom w:val="0"/>
      <w:divBdr>
        <w:top w:val="none" w:sz="0" w:space="0" w:color="auto"/>
        <w:left w:val="none" w:sz="0" w:space="0" w:color="auto"/>
        <w:bottom w:val="none" w:sz="0" w:space="0" w:color="auto"/>
        <w:right w:val="none" w:sz="0" w:space="0" w:color="auto"/>
      </w:divBdr>
    </w:div>
    <w:div w:id="1288703830">
      <w:bodyDiv w:val="1"/>
      <w:marLeft w:val="0"/>
      <w:marRight w:val="0"/>
      <w:marTop w:val="0"/>
      <w:marBottom w:val="0"/>
      <w:divBdr>
        <w:top w:val="none" w:sz="0" w:space="0" w:color="auto"/>
        <w:left w:val="none" w:sz="0" w:space="0" w:color="auto"/>
        <w:bottom w:val="none" w:sz="0" w:space="0" w:color="auto"/>
        <w:right w:val="none" w:sz="0" w:space="0" w:color="auto"/>
      </w:divBdr>
    </w:div>
    <w:div w:id="1289387980">
      <w:bodyDiv w:val="1"/>
      <w:marLeft w:val="0"/>
      <w:marRight w:val="0"/>
      <w:marTop w:val="0"/>
      <w:marBottom w:val="0"/>
      <w:divBdr>
        <w:top w:val="none" w:sz="0" w:space="0" w:color="auto"/>
        <w:left w:val="none" w:sz="0" w:space="0" w:color="auto"/>
        <w:bottom w:val="none" w:sz="0" w:space="0" w:color="auto"/>
        <w:right w:val="none" w:sz="0" w:space="0" w:color="auto"/>
      </w:divBdr>
    </w:div>
    <w:div w:id="1291135287">
      <w:bodyDiv w:val="1"/>
      <w:marLeft w:val="0"/>
      <w:marRight w:val="0"/>
      <w:marTop w:val="0"/>
      <w:marBottom w:val="0"/>
      <w:divBdr>
        <w:top w:val="none" w:sz="0" w:space="0" w:color="auto"/>
        <w:left w:val="none" w:sz="0" w:space="0" w:color="auto"/>
        <w:bottom w:val="none" w:sz="0" w:space="0" w:color="auto"/>
        <w:right w:val="none" w:sz="0" w:space="0" w:color="auto"/>
      </w:divBdr>
    </w:div>
    <w:div w:id="1293948363">
      <w:bodyDiv w:val="1"/>
      <w:marLeft w:val="0"/>
      <w:marRight w:val="0"/>
      <w:marTop w:val="0"/>
      <w:marBottom w:val="0"/>
      <w:divBdr>
        <w:top w:val="none" w:sz="0" w:space="0" w:color="auto"/>
        <w:left w:val="none" w:sz="0" w:space="0" w:color="auto"/>
        <w:bottom w:val="none" w:sz="0" w:space="0" w:color="auto"/>
        <w:right w:val="none" w:sz="0" w:space="0" w:color="auto"/>
      </w:divBdr>
    </w:div>
    <w:div w:id="1295401825">
      <w:bodyDiv w:val="1"/>
      <w:marLeft w:val="0"/>
      <w:marRight w:val="0"/>
      <w:marTop w:val="0"/>
      <w:marBottom w:val="0"/>
      <w:divBdr>
        <w:top w:val="none" w:sz="0" w:space="0" w:color="auto"/>
        <w:left w:val="none" w:sz="0" w:space="0" w:color="auto"/>
        <w:bottom w:val="none" w:sz="0" w:space="0" w:color="auto"/>
        <w:right w:val="none" w:sz="0" w:space="0" w:color="auto"/>
      </w:divBdr>
    </w:div>
    <w:div w:id="1295525666">
      <w:bodyDiv w:val="1"/>
      <w:marLeft w:val="0"/>
      <w:marRight w:val="0"/>
      <w:marTop w:val="0"/>
      <w:marBottom w:val="0"/>
      <w:divBdr>
        <w:top w:val="none" w:sz="0" w:space="0" w:color="auto"/>
        <w:left w:val="none" w:sz="0" w:space="0" w:color="auto"/>
        <w:bottom w:val="none" w:sz="0" w:space="0" w:color="auto"/>
        <w:right w:val="none" w:sz="0" w:space="0" w:color="auto"/>
      </w:divBdr>
    </w:div>
    <w:div w:id="1296058399">
      <w:bodyDiv w:val="1"/>
      <w:marLeft w:val="0"/>
      <w:marRight w:val="0"/>
      <w:marTop w:val="0"/>
      <w:marBottom w:val="0"/>
      <w:divBdr>
        <w:top w:val="none" w:sz="0" w:space="0" w:color="auto"/>
        <w:left w:val="none" w:sz="0" w:space="0" w:color="auto"/>
        <w:bottom w:val="none" w:sz="0" w:space="0" w:color="auto"/>
        <w:right w:val="none" w:sz="0" w:space="0" w:color="auto"/>
      </w:divBdr>
    </w:div>
    <w:div w:id="1298491268">
      <w:bodyDiv w:val="1"/>
      <w:marLeft w:val="0"/>
      <w:marRight w:val="0"/>
      <w:marTop w:val="0"/>
      <w:marBottom w:val="0"/>
      <w:divBdr>
        <w:top w:val="none" w:sz="0" w:space="0" w:color="auto"/>
        <w:left w:val="none" w:sz="0" w:space="0" w:color="auto"/>
        <w:bottom w:val="none" w:sz="0" w:space="0" w:color="auto"/>
        <w:right w:val="none" w:sz="0" w:space="0" w:color="auto"/>
      </w:divBdr>
    </w:div>
    <w:div w:id="1298989291">
      <w:bodyDiv w:val="1"/>
      <w:marLeft w:val="0"/>
      <w:marRight w:val="0"/>
      <w:marTop w:val="0"/>
      <w:marBottom w:val="0"/>
      <w:divBdr>
        <w:top w:val="none" w:sz="0" w:space="0" w:color="auto"/>
        <w:left w:val="none" w:sz="0" w:space="0" w:color="auto"/>
        <w:bottom w:val="none" w:sz="0" w:space="0" w:color="auto"/>
        <w:right w:val="none" w:sz="0" w:space="0" w:color="auto"/>
      </w:divBdr>
    </w:div>
    <w:div w:id="1299141683">
      <w:bodyDiv w:val="1"/>
      <w:marLeft w:val="0"/>
      <w:marRight w:val="0"/>
      <w:marTop w:val="0"/>
      <w:marBottom w:val="0"/>
      <w:divBdr>
        <w:top w:val="none" w:sz="0" w:space="0" w:color="auto"/>
        <w:left w:val="none" w:sz="0" w:space="0" w:color="auto"/>
        <w:bottom w:val="none" w:sz="0" w:space="0" w:color="auto"/>
        <w:right w:val="none" w:sz="0" w:space="0" w:color="auto"/>
      </w:divBdr>
    </w:div>
    <w:div w:id="1299796745">
      <w:bodyDiv w:val="1"/>
      <w:marLeft w:val="0"/>
      <w:marRight w:val="0"/>
      <w:marTop w:val="0"/>
      <w:marBottom w:val="0"/>
      <w:divBdr>
        <w:top w:val="none" w:sz="0" w:space="0" w:color="auto"/>
        <w:left w:val="none" w:sz="0" w:space="0" w:color="auto"/>
        <w:bottom w:val="none" w:sz="0" w:space="0" w:color="auto"/>
        <w:right w:val="none" w:sz="0" w:space="0" w:color="auto"/>
      </w:divBdr>
    </w:div>
    <w:div w:id="1300844962">
      <w:bodyDiv w:val="1"/>
      <w:marLeft w:val="0"/>
      <w:marRight w:val="0"/>
      <w:marTop w:val="0"/>
      <w:marBottom w:val="0"/>
      <w:divBdr>
        <w:top w:val="none" w:sz="0" w:space="0" w:color="auto"/>
        <w:left w:val="none" w:sz="0" w:space="0" w:color="auto"/>
        <w:bottom w:val="none" w:sz="0" w:space="0" w:color="auto"/>
        <w:right w:val="none" w:sz="0" w:space="0" w:color="auto"/>
      </w:divBdr>
    </w:div>
    <w:div w:id="1303079296">
      <w:bodyDiv w:val="1"/>
      <w:marLeft w:val="0"/>
      <w:marRight w:val="0"/>
      <w:marTop w:val="0"/>
      <w:marBottom w:val="0"/>
      <w:divBdr>
        <w:top w:val="none" w:sz="0" w:space="0" w:color="auto"/>
        <w:left w:val="none" w:sz="0" w:space="0" w:color="auto"/>
        <w:bottom w:val="none" w:sz="0" w:space="0" w:color="auto"/>
        <w:right w:val="none" w:sz="0" w:space="0" w:color="auto"/>
      </w:divBdr>
    </w:div>
    <w:div w:id="1304626859">
      <w:bodyDiv w:val="1"/>
      <w:marLeft w:val="0"/>
      <w:marRight w:val="0"/>
      <w:marTop w:val="0"/>
      <w:marBottom w:val="0"/>
      <w:divBdr>
        <w:top w:val="none" w:sz="0" w:space="0" w:color="auto"/>
        <w:left w:val="none" w:sz="0" w:space="0" w:color="auto"/>
        <w:bottom w:val="none" w:sz="0" w:space="0" w:color="auto"/>
        <w:right w:val="none" w:sz="0" w:space="0" w:color="auto"/>
      </w:divBdr>
    </w:div>
    <w:div w:id="1305431649">
      <w:bodyDiv w:val="1"/>
      <w:marLeft w:val="0"/>
      <w:marRight w:val="0"/>
      <w:marTop w:val="0"/>
      <w:marBottom w:val="0"/>
      <w:divBdr>
        <w:top w:val="none" w:sz="0" w:space="0" w:color="auto"/>
        <w:left w:val="none" w:sz="0" w:space="0" w:color="auto"/>
        <w:bottom w:val="none" w:sz="0" w:space="0" w:color="auto"/>
        <w:right w:val="none" w:sz="0" w:space="0" w:color="auto"/>
      </w:divBdr>
    </w:div>
    <w:div w:id="1308053540">
      <w:bodyDiv w:val="1"/>
      <w:marLeft w:val="0"/>
      <w:marRight w:val="0"/>
      <w:marTop w:val="0"/>
      <w:marBottom w:val="0"/>
      <w:divBdr>
        <w:top w:val="none" w:sz="0" w:space="0" w:color="auto"/>
        <w:left w:val="none" w:sz="0" w:space="0" w:color="auto"/>
        <w:bottom w:val="none" w:sz="0" w:space="0" w:color="auto"/>
        <w:right w:val="none" w:sz="0" w:space="0" w:color="auto"/>
      </w:divBdr>
    </w:div>
    <w:div w:id="1310284562">
      <w:bodyDiv w:val="1"/>
      <w:marLeft w:val="0"/>
      <w:marRight w:val="0"/>
      <w:marTop w:val="0"/>
      <w:marBottom w:val="0"/>
      <w:divBdr>
        <w:top w:val="none" w:sz="0" w:space="0" w:color="auto"/>
        <w:left w:val="none" w:sz="0" w:space="0" w:color="auto"/>
        <w:bottom w:val="none" w:sz="0" w:space="0" w:color="auto"/>
        <w:right w:val="none" w:sz="0" w:space="0" w:color="auto"/>
      </w:divBdr>
    </w:div>
    <w:div w:id="1312442658">
      <w:bodyDiv w:val="1"/>
      <w:marLeft w:val="0"/>
      <w:marRight w:val="0"/>
      <w:marTop w:val="0"/>
      <w:marBottom w:val="0"/>
      <w:divBdr>
        <w:top w:val="none" w:sz="0" w:space="0" w:color="auto"/>
        <w:left w:val="none" w:sz="0" w:space="0" w:color="auto"/>
        <w:bottom w:val="none" w:sz="0" w:space="0" w:color="auto"/>
        <w:right w:val="none" w:sz="0" w:space="0" w:color="auto"/>
      </w:divBdr>
    </w:div>
    <w:div w:id="1313288602">
      <w:bodyDiv w:val="1"/>
      <w:marLeft w:val="0"/>
      <w:marRight w:val="0"/>
      <w:marTop w:val="0"/>
      <w:marBottom w:val="0"/>
      <w:divBdr>
        <w:top w:val="none" w:sz="0" w:space="0" w:color="auto"/>
        <w:left w:val="none" w:sz="0" w:space="0" w:color="auto"/>
        <w:bottom w:val="none" w:sz="0" w:space="0" w:color="auto"/>
        <w:right w:val="none" w:sz="0" w:space="0" w:color="auto"/>
      </w:divBdr>
    </w:div>
    <w:div w:id="1315262671">
      <w:bodyDiv w:val="1"/>
      <w:marLeft w:val="0"/>
      <w:marRight w:val="0"/>
      <w:marTop w:val="0"/>
      <w:marBottom w:val="0"/>
      <w:divBdr>
        <w:top w:val="none" w:sz="0" w:space="0" w:color="auto"/>
        <w:left w:val="none" w:sz="0" w:space="0" w:color="auto"/>
        <w:bottom w:val="none" w:sz="0" w:space="0" w:color="auto"/>
        <w:right w:val="none" w:sz="0" w:space="0" w:color="auto"/>
      </w:divBdr>
    </w:div>
    <w:div w:id="1316300226">
      <w:bodyDiv w:val="1"/>
      <w:marLeft w:val="0"/>
      <w:marRight w:val="0"/>
      <w:marTop w:val="0"/>
      <w:marBottom w:val="0"/>
      <w:divBdr>
        <w:top w:val="none" w:sz="0" w:space="0" w:color="auto"/>
        <w:left w:val="none" w:sz="0" w:space="0" w:color="auto"/>
        <w:bottom w:val="none" w:sz="0" w:space="0" w:color="auto"/>
        <w:right w:val="none" w:sz="0" w:space="0" w:color="auto"/>
      </w:divBdr>
    </w:div>
    <w:div w:id="1319381688">
      <w:bodyDiv w:val="1"/>
      <w:marLeft w:val="0"/>
      <w:marRight w:val="0"/>
      <w:marTop w:val="0"/>
      <w:marBottom w:val="0"/>
      <w:divBdr>
        <w:top w:val="none" w:sz="0" w:space="0" w:color="auto"/>
        <w:left w:val="none" w:sz="0" w:space="0" w:color="auto"/>
        <w:bottom w:val="none" w:sz="0" w:space="0" w:color="auto"/>
        <w:right w:val="none" w:sz="0" w:space="0" w:color="auto"/>
      </w:divBdr>
    </w:div>
    <w:div w:id="1320310390">
      <w:bodyDiv w:val="1"/>
      <w:marLeft w:val="0"/>
      <w:marRight w:val="0"/>
      <w:marTop w:val="0"/>
      <w:marBottom w:val="0"/>
      <w:divBdr>
        <w:top w:val="none" w:sz="0" w:space="0" w:color="auto"/>
        <w:left w:val="none" w:sz="0" w:space="0" w:color="auto"/>
        <w:bottom w:val="none" w:sz="0" w:space="0" w:color="auto"/>
        <w:right w:val="none" w:sz="0" w:space="0" w:color="auto"/>
      </w:divBdr>
    </w:div>
    <w:div w:id="1321739029">
      <w:bodyDiv w:val="1"/>
      <w:marLeft w:val="0"/>
      <w:marRight w:val="0"/>
      <w:marTop w:val="0"/>
      <w:marBottom w:val="0"/>
      <w:divBdr>
        <w:top w:val="none" w:sz="0" w:space="0" w:color="auto"/>
        <w:left w:val="none" w:sz="0" w:space="0" w:color="auto"/>
        <w:bottom w:val="none" w:sz="0" w:space="0" w:color="auto"/>
        <w:right w:val="none" w:sz="0" w:space="0" w:color="auto"/>
      </w:divBdr>
    </w:div>
    <w:div w:id="1325746286">
      <w:bodyDiv w:val="1"/>
      <w:marLeft w:val="0"/>
      <w:marRight w:val="0"/>
      <w:marTop w:val="0"/>
      <w:marBottom w:val="0"/>
      <w:divBdr>
        <w:top w:val="none" w:sz="0" w:space="0" w:color="auto"/>
        <w:left w:val="none" w:sz="0" w:space="0" w:color="auto"/>
        <w:bottom w:val="none" w:sz="0" w:space="0" w:color="auto"/>
        <w:right w:val="none" w:sz="0" w:space="0" w:color="auto"/>
      </w:divBdr>
    </w:div>
    <w:div w:id="1329207913">
      <w:bodyDiv w:val="1"/>
      <w:marLeft w:val="0"/>
      <w:marRight w:val="0"/>
      <w:marTop w:val="0"/>
      <w:marBottom w:val="0"/>
      <w:divBdr>
        <w:top w:val="none" w:sz="0" w:space="0" w:color="auto"/>
        <w:left w:val="none" w:sz="0" w:space="0" w:color="auto"/>
        <w:bottom w:val="none" w:sz="0" w:space="0" w:color="auto"/>
        <w:right w:val="none" w:sz="0" w:space="0" w:color="auto"/>
      </w:divBdr>
    </w:div>
    <w:div w:id="1332372623">
      <w:bodyDiv w:val="1"/>
      <w:marLeft w:val="0"/>
      <w:marRight w:val="0"/>
      <w:marTop w:val="0"/>
      <w:marBottom w:val="0"/>
      <w:divBdr>
        <w:top w:val="none" w:sz="0" w:space="0" w:color="auto"/>
        <w:left w:val="none" w:sz="0" w:space="0" w:color="auto"/>
        <w:bottom w:val="none" w:sz="0" w:space="0" w:color="auto"/>
        <w:right w:val="none" w:sz="0" w:space="0" w:color="auto"/>
      </w:divBdr>
    </w:div>
    <w:div w:id="1332875318">
      <w:bodyDiv w:val="1"/>
      <w:marLeft w:val="0"/>
      <w:marRight w:val="0"/>
      <w:marTop w:val="0"/>
      <w:marBottom w:val="0"/>
      <w:divBdr>
        <w:top w:val="none" w:sz="0" w:space="0" w:color="auto"/>
        <w:left w:val="none" w:sz="0" w:space="0" w:color="auto"/>
        <w:bottom w:val="none" w:sz="0" w:space="0" w:color="auto"/>
        <w:right w:val="none" w:sz="0" w:space="0" w:color="auto"/>
      </w:divBdr>
    </w:div>
    <w:div w:id="1333289847">
      <w:bodyDiv w:val="1"/>
      <w:marLeft w:val="0"/>
      <w:marRight w:val="0"/>
      <w:marTop w:val="0"/>
      <w:marBottom w:val="0"/>
      <w:divBdr>
        <w:top w:val="none" w:sz="0" w:space="0" w:color="auto"/>
        <w:left w:val="none" w:sz="0" w:space="0" w:color="auto"/>
        <w:bottom w:val="none" w:sz="0" w:space="0" w:color="auto"/>
        <w:right w:val="none" w:sz="0" w:space="0" w:color="auto"/>
      </w:divBdr>
    </w:div>
    <w:div w:id="1335109406">
      <w:bodyDiv w:val="1"/>
      <w:marLeft w:val="0"/>
      <w:marRight w:val="0"/>
      <w:marTop w:val="0"/>
      <w:marBottom w:val="0"/>
      <w:divBdr>
        <w:top w:val="none" w:sz="0" w:space="0" w:color="auto"/>
        <w:left w:val="none" w:sz="0" w:space="0" w:color="auto"/>
        <w:bottom w:val="none" w:sz="0" w:space="0" w:color="auto"/>
        <w:right w:val="none" w:sz="0" w:space="0" w:color="auto"/>
      </w:divBdr>
    </w:div>
    <w:div w:id="1336768298">
      <w:bodyDiv w:val="1"/>
      <w:marLeft w:val="0"/>
      <w:marRight w:val="0"/>
      <w:marTop w:val="0"/>
      <w:marBottom w:val="0"/>
      <w:divBdr>
        <w:top w:val="none" w:sz="0" w:space="0" w:color="auto"/>
        <w:left w:val="none" w:sz="0" w:space="0" w:color="auto"/>
        <w:bottom w:val="none" w:sz="0" w:space="0" w:color="auto"/>
        <w:right w:val="none" w:sz="0" w:space="0" w:color="auto"/>
      </w:divBdr>
    </w:div>
    <w:div w:id="1337807607">
      <w:bodyDiv w:val="1"/>
      <w:marLeft w:val="0"/>
      <w:marRight w:val="0"/>
      <w:marTop w:val="0"/>
      <w:marBottom w:val="0"/>
      <w:divBdr>
        <w:top w:val="none" w:sz="0" w:space="0" w:color="auto"/>
        <w:left w:val="none" w:sz="0" w:space="0" w:color="auto"/>
        <w:bottom w:val="none" w:sz="0" w:space="0" w:color="auto"/>
        <w:right w:val="none" w:sz="0" w:space="0" w:color="auto"/>
      </w:divBdr>
    </w:div>
    <w:div w:id="1339039160">
      <w:bodyDiv w:val="1"/>
      <w:marLeft w:val="0"/>
      <w:marRight w:val="0"/>
      <w:marTop w:val="0"/>
      <w:marBottom w:val="0"/>
      <w:divBdr>
        <w:top w:val="none" w:sz="0" w:space="0" w:color="auto"/>
        <w:left w:val="none" w:sz="0" w:space="0" w:color="auto"/>
        <w:bottom w:val="none" w:sz="0" w:space="0" w:color="auto"/>
        <w:right w:val="none" w:sz="0" w:space="0" w:color="auto"/>
      </w:divBdr>
    </w:div>
    <w:div w:id="1339699949">
      <w:bodyDiv w:val="1"/>
      <w:marLeft w:val="0"/>
      <w:marRight w:val="0"/>
      <w:marTop w:val="0"/>
      <w:marBottom w:val="0"/>
      <w:divBdr>
        <w:top w:val="none" w:sz="0" w:space="0" w:color="auto"/>
        <w:left w:val="none" w:sz="0" w:space="0" w:color="auto"/>
        <w:bottom w:val="none" w:sz="0" w:space="0" w:color="auto"/>
        <w:right w:val="none" w:sz="0" w:space="0" w:color="auto"/>
      </w:divBdr>
    </w:div>
    <w:div w:id="1341589097">
      <w:bodyDiv w:val="1"/>
      <w:marLeft w:val="0"/>
      <w:marRight w:val="0"/>
      <w:marTop w:val="0"/>
      <w:marBottom w:val="0"/>
      <w:divBdr>
        <w:top w:val="none" w:sz="0" w:space="0" w:color="auto"/>
        <w:left w:val="none" w:sz="0" w:space="0" w:color="auto"/>
        <w:bottom w:val="none" w:sz="0" w:space="0" w:color="auto"/>
        <w:right w:val="none" w:sz="0" w:space="0" w:color="auto"/>
      </w:divBdr>
    </w:div>
    <w:div w:id="1344555964">
      <w:bodyDiv w:val="1"/>
      <w:marLeft w:val="0"/>
      <w:marRight w:val="0"/>
      <w:marTop w:val="0"/>
      <w:marBottom w:val="0"/>
      <w:divBdr>
        <w:top w:val="none" w:sz="0" w:space="0" w:color="auto"/>
        <w:left w:val="none" w:sz="0" w:space="0" w:color="auto"/>
        <w:bottom w:val="none" w:sz="0" w:space="0" w:color="auto"/>
        <w:right w:val="none" w:sz="0" w:space="0" w:color="auto"/>
      </w:divBdr>
    </w:div>
    <w:div w:id="1348941073">
      <w:bodyDiv w:val="1"/>
      <w:marLeft w:val="0"/>
      <w:marRight w:val="0"/>
      <w:marTop w:val="0"/>
      <w:marBottom w:val="0"/>
      <w:divBdr>
        <w:top w:val="none" w:sz="0" w:space="0" w:color="auto"/>
        <w:left w:val="none" w:sz="0" w:space="0" w:color="auto"/>
        <w:bottom w:val="none" w:sz="0" w:space="0" w:color="auto"/>
        <w:right w:val="none" w:sz="0" w:space="0" w:color="auto"/>
      </w:divBdr>
    </w:div>
    <w:div w:id="1351302590">
      <w:bodyDiv w:val="1"/>
      <w:marLeft w:val="0"/>
      <w:marRight w:val="0"/>
      <w:marTop w:val="0"/>
      <w:marBottom w:val="0"/>
      <w:divBdr>
        <w:top w:val="none" w:sz="0" w:space="0" w:color="auto"/>
        <w:left w:val="none" w:sz="0" w:space="0" w:color="auto"/>
        <w:bottom w:val="none" w:sz="0" w:space="0" w:color="auto"/>
        <w:right w:val="none" w:sz="0" w:space="0" w:color="auto"/>
      </w:divBdr>
    </w:div>
    <w:div w:id="1352031010">
      <w:bodyDiv w:val="1"/>
      <w:marLeft w:val="0"/>
      <w:marRight w:val="0"/>
      <w:marTop w:val="0"/>
      <w:marBottom w:val="0"/>
      <w:divBdr>
        <w:top w:val="none" w:sz="0" w:space="0" w:color="auto"/>
        <w:left w:val="none" w:sz="0" w:space="0" w:color="auto"/>
        <w:bottom w:val="none" w:sz="0" w:space="0" w:color="auto"/>
        <w:right w:val="none" w:sz="0" w:space="0" w:color="auto"/>
      </w:divBdr>
    </w:div>
    <w:div w:id="1352147620">
      <w:bodyDiv w:val="1"/>
      <w:marLeft w:val="0"/>
      <w:marRight w:val="0"/>
      <w:marTop w:val="0"/>
      <w:marBottom w:val="0"/>
      <w:divBdr>
        <w:top w:val="none" w:sz="0" w:space="0" w:color="auto"/>
        <w:left w:val="none" w:sz="0" w:space="0" w:color="auto"/>
        <w:bottom w:val="none" w:sz="0" w:space="0" w:color="auto"/>
        <w:right w:val="none" w:sz="0" w:space="0" w:color="auto"/>
      </w:divBdr>
    </w:div>
    <w:div w:id="1356619896">
      <w:bodyDiv w:val="1"/>
      <w:marLeft w:val="0"/>
      <w:marRight w:val="0"/>
      <w:marTop w:val="0"/>
      <w:marBottom w:val="0"/>
      <w:divBdr>
        <w:top w:val="none" w:sz="0" w:space="0" w:color="auto"/>
        <w:left w:val="none" w:sz="0" w:space="0" w:color="auto"/>
        <w:bottom w:val="none" w:sz="0" w:space="0" w:color="auto"/>
        <w:right w:val="none" w:sz="0" w:space="0" w:color="auto"/>
      </w:divBdr>
    </w:div>
    <w:div w:id="1359425918">
      <w:bodyDiv w:val="1"/>
      <w:marLeft w:val="0"/>
      <w:marRight w:val="0"/>
      <w:marTop w:val="0"/>
      <w:marBottom w:val="0"/>
      <w:divBdr>
        <w:top w:val="none" w:sz="0" w:space="0" w:color="auto"/>
        <w:left w:val="none" w:sz="0" w:space="0" w:color="auto"/>
        <w:bottom w:val="none" w:sz="0" w:space="0" w:color="auto"/>
        <w:right w:val="none" w:sz="0" w:space="0" w:color="auto"/>
      </w:divBdr>
    </w:div>
    <w:div w:id="1363820450">
      <w:bodyDiv w:val="1"/>
      <w:marLeft w:val="0"/>
      <w:marRight w:val="0"/>
      <w:marTop w:val="0"/>
      <w:marBottom w:val="0"/>
      <w:divBdr>
        <w:top w:val="none" w:sz="0" w:space="0" w:color="auto"/>
        <w:left w:val="none" w:sz="0" w:space="0" w:color="auto"/>
        <w:bottom w:val="none" w:sz="0" w:space="0" w:color="auto"/>
        <w:right w:val="none" w:sz="0" w:space="0" w:color="auto"/>
      </w:divBdr>
    </w:div>
    <w:div w:id="1365255406">
      <w:bodyDiv w:val="1"/>
      <w:marLeft w:val="0"/>
      <w:marRight w:val="0"/>
      <w:marTop w:val="0"/>
      <w:marBottom w:val="0"/>
      <w:divBdr>
        <w:top w:val="none" w:sz="0" w:space="0" w:color="auto"/>
        <w:left w:val="none" w:sz="0" w:space="0" w:color="auto"/>
        <w:bottom w:val="none" w:sz="0" w:space="0" w:color="auto"/>
        <w:right w:val="none" w:sz="0" w:space="0" w:color="auto"/>
      </w:divBdr>
    </w:div>
    <w:div w:id="1366980560">
      <w:bodyDiv w:val="1"/>
      <w:marLeft w:val="0"/>
      <w:marRight w:val="0"/>
      <w:marTop w:val="0"/>
      <w:marBottom w:val="0"/>
      <w:divBdr>
        <w:top w:val="none" w:sz="0" w:space="0" w:color="auto"/>
        <w:left w:val="none" w:sz="0" w:space="0" w:color="auto"/>
        <w:bottom w:val="none" w:sz="0" w:space="0" w:color="auto"/>
        <w:right w:val="none" w:sz="0" w:space="0" w:color="auto"/>
      </w:divBdr>
    </w:div>
    <w:div w:id="1367095169">
      <w:bodyDiv w:val="1"/>
      <w:marLeft w:val="0"/>
      <w:marRight w:val="0"/>
      <w:marTop w:val="0"/>
      <w:marBottom w:val="0"/>
      <w:divBdr>
        <w:top w:val="none" w:sz="0" w:space="0" w:color="auto"/>
        <w:left w:val="none" w:sz="0" w:space="0" w:color="auto"/>
        <w:bottom w:val="none" w:sz="0" w:space="0" w:color="auto"/>
        <w:right w:val="none" w:sz="0" w:space="0" w:color="auto"/>
      </w:divBdr>
    </w:div>
    <w:div w:id="1368336002">
      <w:bodyDiv w:val="1"/>
      <w:marLeft w:val="0"/>
      <w:marRight w:val="0"/>
      <w:marTop w:val="0"/>
      <w:marBottom w:val="0"/>
      <w:divBdr>
        <w:top w:val="none" w:sz="0" w:space="0" w:color="auto"/>
        <w:left w:val="none" w:sz="0" w:space="0" w:color="auto"/>
        <w:bottom w:val="none" w:sz="0" w:space="0" w:color="auto"/>
        <w:right w:val="none" w:sz="0" w:space="0" w:color="auto"/>
      </w:divBdr>
    </w:div>
    <w:div w:id="1375427457">
      <w:bodyDiv w:val="1"/>
      <w:marLeft w:val="0"/>
      <w:marRight w:val="0"/>
      <w:marTop w:val="0"/>
      <w:marBottom w:val="0"/>
      <w:divBdr>
        <w:top w:val="none" w:sz="0" w:space="0" w:color="auto"/>
        <w:left w:val="none" w:sz="0" w:space="0" w:color="auto"/>
        <w:bottom w:val="none" w:sz="0" w:space="0" w:color="auto"/>
        <w:right w:val="none" w:sz="0" w:space="0" w:color="auto"/>
      </w:divBdr>
    </w:div>
    <w:div w:id="1377316024">
      <w:bodyDiv w:val="1"/>
      <w:marLeft w:val="0"/>
      <w:marRight w:val="0"/>
      <w:marTop w:val="0"/>
      <w:marBottom w:val="0"/>
      <w:divBdr>
        <w:top w:val="none" w:sz="0" w:space="0" w:color="auto"/>
        <w:left w:val="none" w:sz="0" w:space="0" w:color="auto"/>
        <w:bottom w:val="none" w:sz="0" w:space="0" w:color="auto"/>
        <w:right w:val="none" w:sz="0" w:space="0" w:color="auto"/>
      </w:divBdr>
    </w:div>
    <w:div w:id="1378705205">
      <w:bodyDiv w:val="1"/>
      <w:marLeft w:val="0"/>
      <w:marRight w:val="0"/>
      <w:marTop w:val="0"/>
      <w:marBottom w:val="0"/>
      <w:divBdr>
        <w:top w:val="none" w:sz="0" w:space="0" w:color="auto"/>
        <w:left w:val="none" w:sz="0" w:space="0" w:color="auto"/>
        <w:bottom w:val="none" w:sz="0" w:space="0" w:color="auto"/>
        <w:right w:val="none" w:sz="0" w:space="0" w:color="auto"/>
      </w:divBdr>
    </w:div>
    <w:div w:id="1380325683">
      <w:bodyDiv w:val="1"/>
      <w:marLeft w:val="0"/>
      <w:marRight w:val="0"/>
      <w:marTop w:val="0"/>
      <w:marBottom w:val="0"/>
      <w:divBdr>
        <w:top w:val="none" w:sz="0" w:space="0" w:color="auto"/>
        <w:left w:val="none" w:sz="0" w:space="0" w:color="auto"/>
        <w:bottom w:val="none" w:sz="0" w:space="0" w:color="auto"/>
        <w:right w:val="none" w:sz="0" w:space="0" w:color="auto"/>
      </w:divBdr>
    </w:div>
    <w:div w:id="1382707095">
      <w:bodyDiv w:val="1"/>
      <w:marLeft w:val="0"/>
      <w:marRight w:val="0"/>
      <w:marTop w:val="0"/>
      <w:marBottom w:val="0"/>
      <w:divBdr>
        <w:top w:val="none" w:sz="0" w:space="0" w:color="auto"/>
        <w:left w:val="none" w:sz="0" w:space="0" w:color="auto"/>
        <w:bottom w:val="none" w:sz="0" w:space="0" w:color="auto"/>
        <w:right w:val="none" w:sz="0" w:space="0" w:color="auto"/>
      </w:divBdr>
    </w:div>
    <w:div w:id="1383553908">
      <w:bodyDiv w:val="1"/>
      <w:marLeft w:val="0"/>
      <w:marRight w:val="0"/>
      <w:marTop w:val="0"/>
      <w:marBottom w:val="0"/>
      <w:divBdr>
        <w:top w:val="none" w:sz="0" w:space="0" w:color="auto"/>
        <w:left w:val="none" w:sz="0" w:space="0" w:color="auto"/>
        <w:bottom w:val="none" w:sz="0" w:space="0" w:color="auto"/>
        <w:right w:val="none" w:sz="0" w:space="0" w:color="auto"/>
      </w:divBdr>
    </w:div>
    <w:div w:id="1385568707">
      <w:bodyDiv w:val="1"/>
      <w:marLeft w:val="0"/>
      <w:marRight w:val="0"/>
      <w:marTop w:val="0"/>
      <w:marBottom w:val="0"/>
      <w:divBdr>
        <w:top w:val="none" w:sz="0" w:space="0" w:color="auto"/>
        <w:left w:val="none" w:sz="0" w:space="0" w:color="auto"/>
        <w:bottom w:val="none" w:sz="0" w:space="0" w:color="auto"/>
        <w:right w:val="none" w:sz="0" w:space="0" w:color="auto"/>
      </w:divBdr>
    </w:div>
    <w:div w:id="1386104870">
      <w:bodyDiv w:val="1"/>
      <w:marLeft w:val="0"/>
      <w:marRight w:val="0"/>
      <w:marTop w:val="0"/>
      <w:marBottom w:val="0"/>
      <w:divBdr>
        <w:top w:val="none" w:sz="0" w:space="0" w:color="auto"/>
        <w:left w:val="none" w:sz="0" w:space="0" w:color="auto"/>
        <w:bottom w:val="none" w:sz="0" w:space="0" w:color="auto"/>
        <w:right w:val="none" w:sz="0" w:space="0" w:color="auto"/>
      </w:divBdr>
    </w:div>
    <w:div w:id="1388338716">
      <w:bodyDiv w:val="1"/>
      <w:marLeft w:val="0"/>
      <w:marRight w:val="0"/>
      <w:marTop w:val="0"/>
      <w:marBottom w:val="0"/>
      <w:divBdr>
        <w:top w:val="none" w:sz="0" w:space="0" w:color="auto"/>
        <w:left w:val="none" w:sz="0" w:space="0" w:color="auto"/>
        <w:bottom w:val="none" w:sz="0" w:space="0" w:color="auto"/>
        <w:right w:val="none" w:sz="0" w:space="0" w:color="auto"/>
      </w:divBdr>
      <w:divsChild>
        <w:div w:id="1195192798">
          <w:marLeft w:val="640"/>
          <w:marRight w:val="0"/>
          <w:marTop w:val="0"/>
          <w:marBottom w:val="0"/>
          <w:divBdr>
            <w:top w:val="none" w:sz="0" w:space="0" w:color="auto"/>
            <w:left w:val="none" w:sz="0" w:space="0" w:color="auto"/>
            <w:bottom w:val="none" w:sz="0" w:space="0" w:color="auto"/>
            <w:right w:val="none" w:sz="0" w:space="0" w:color="auto"/>
          </w:divBdr>
        </w:div>
        <w:div w:id="771390998">
          <w:marLeft w:val="640"/>
          <w:marRight w:val="0"/>
          <w:marTop w:val="0"/>
          <w:marBottom w:val="0"/>
          <w:divBdr>
            <w:top w:val="none" w:sz="0" w:space="0" w:color="auto"/>
            <w:left w:val="none" w:sz="0" w:space="0" w:color="auto"/>
            <w:bottom w:val="none" w:sz="0" w:space="0" w:color="auto"/>
            <w:right w:val="none" w:sz="0" w:space="0" w:color="auto"/>
          </w:divBdr>
        </w:div>
        <w:div w:id="899097975">
          <w:marLeft w:val="640"/>
          <w:marRight w:val="0"/>
          <w:marTop w:val="0"/>
          <w:marBottom w:val="0"/>
          <w:divBdr>
            <w:top w:val="none" w:sz="0" w:space="0" w:color="auto"/>
            <w:left w:val="none" w:sz="0" w:space="0" w:color="auto"/>
            <w:bottom w:val="none" w:sz="0" w:space="0" w:color="auto"/>
            <w:right w:val="none" w:sz="0" w:space="0" w:color="auto"/>
          </w:divBdr>
        </w:div>
        <w:div w:id="1590847466">
          <w:marLeft w:val="640"/>
          <w:marRight w:val="0"/>
          <w:marTop w:val="0"/>
          <w:marBottom w:val="0"/>
          <w:divBdr>
            <w:top w:val="none" w:sz="0" w:space="0" w:color="auto"/>
            <w:left w:val="none" w:sz="0" w:space="0" w:color="auto"/>
            <w:bottom w:val="none" w:sz="0" w:space="0" w:color="auto"/>
            <w:right w:val="none" w:sz="0" w:space="0" w:color="auto"/>
          </w:divBdr>
        </w:div>
        <w:div w:id="399405844">
          <w:marLeft w:val="640"/>
          <w:marRight w:val="0"/>
          <w:marTop w:val="0"/>
          <w:marBottom w:val="0"/>
          <w:divBdr>
            <w:top w:val="none" w:sz="0" w:space="0" w:color="auto"/>
            <w:left w:val="none" w:sz="0" w:space="0" w:color="auto"/>
            <w:bottom w:val="none" w:sz="0" w:space="0" w:color="auto"/>
            <w:right w:val="none" w:sz="0" w:space="0" w:color="auto"/>
          </w:divBdr>
        </w:div>
        <w:div w:id="1931504335">
          <w:marLeft w:val="640"/>
          <w:marRight w:val="0"/>
          <w:marTop w:val="0"/>
          <w:marBottom w:val="0"/>
          <w:divBdr>
            <w:top w:val="none" w:sz="0" w:space="0" w:color="auto"/>
            <w:left w:val="none" w:sz="0" w:space="0" w:color="auto"/>
            <w:bottom w:val="none" w:sz="0" w:space="0" w:color="auto"/>
            <w:right w:val="none" w:sz="0" w:space="0" w:color="auto"/>
          </w:divBdr>
        </w:div>
        <w:div w:id="1009216056">
          <w:marLeft w:val="640"/>
          <w:marRight w:val="0"/>
          <w:marTop w:val="0"/>
          <w:marBottom w:val="0"/>
          <w:divBdr>
            <w:top w:val="none" w:sz="0" w:space="0" w:color="auto"/>
            <w:left w:val="none" w:sz="0" w:space="0" w:color="auto"/>
            <w:bottom w:val="none" w:sz="0" w:space="0" w:color="auto"/>
            <w:right w:val="none" w:sz="0" w:space="0" w:color="auto"/>
          </w:divBdr>
        </w:div>
        <w:div w:id="411851260">
          <w:marLeft w:val="640"/>
          <w:marRight w:val="0"/>
          <w:marTop w:val="0"/>
          <w:marBottom w:val="0"/>
          <w:divBdr>
            <w:top w:val="none" w:sz="0" w:space="0" w:color="auto"/>
            <w:left w:val="none" w:sz="0" w:space="0" w:color="auto"/>
            <w:bottom w:val="none" w:sz="0" w:space="0" w:color="auto"/>
            <w:right w:val="none" w:sz="0" w:space="0" w:color="auto"/>
          </w:divBdr>
        </w:div>
        <w:div w:id="1007446606">
          <w:marLeft w:val="640"/>
          <w:marRight w:val="0"/>
          <w:marTop w:val="0"/>
          <w:marBottom w:val="0"/>
          <w:divBdr>
            <w:top w:val="none" w:sz="0" w:space="0" w:color="auto"/>
            <w:left w:val="none" w:sz="0" w:space="0" w:color="auto"/>
            <w:bottom w:val="none" w:sz="0" w:space="0" w:color="auto"/>
            <w:right w:val="none" w:sz="0" w:space="0" w:color="auto"/>
          </w:divBdr>
        </w:div>
        <w:div w:id="1742480564">
          <w:marLeft w:val="640"/>
          <w:marRight w:val="0"/>
          <w:marTop w:val="0"/>
          <w:marBottom w:val="0"/>
          <w:divBdr>
            <w:top w:val="none" w:sz="0" w:space="0" w:color="auto"/>
            <w:left w:val="none" w:sz="0" w:space="0" w:color="auto"/>
            <w:bottom w:val="none" w:sz="0" w:space="0" w:color="auto"/>
            <w:right w:val="none" w:sz="0" w:space="0" w:color="auto"/>
          </w:divBdr>
        </w:div>
        <w:div w:id="308487591">
          <w:marLeft w:val="640"/>
          <w:marRight w:val="0"/>
          <w:marTop w:val="0"/>
          <w:marBottom w:val="0"/>
          <w:divBdr>
            <w:top w:val="none" w:sz="0" w:space="0" w:color="auto"/>
            <w:left w:val="none" w:sz="0" w:space="0" w:color="auto"/>
            <w:bottom w:val="none" w:sz="0" w:space="0" w:color="auto"/>
            <w:right w:val="none" w:sz="0" w:space="0" w:color="auto"/>
          </w:divBdr>
        </w:div>
        <w:div w:id="339239508">
          <w:marLeft w:val="640"/>
          <w:marRight w:val="0"/>
          <w:marTop w:val="0"/>
          <w:marBottom w:val="0"/>
          <w:divBdr>
            <w:top w:val="none" w:sz="0" w:space="0" w:color="auto"/>
            <w:left w:val="none" w:sz="0" w:space="0" w:color="auto"/>
            <w:bottom w:val="none" w:sz="0" w:space="0" w:color="auto"/>
            <w:right w:val="none" w:sz="0" w:space="0" w:color="auto"/>
          </w:divBdr>
        </w:div>
        <w:div w:id="1630630483">
          <w:marLeft w:val="640"/>
          <w:marRight w:val="0"/>
          <w:marTop w:val="0"/>
          <w:marBottom w:val="0"/>
          <w:divBdr>
            <w:top w:val="none" w:sz="0" w:space="0" w:color="auto"/>
            <w:left w:val="none" w:sz="0" w:space="0" w:color="auto"/>
            <w:bottom w:val="none" w:sz="0" w:space="0" w:color="auto"/>
            <w:right w:val="none" w:sz="0" w:space="0" w:color="auto"/>
          </w:divBdr>
        </w:div>
        <w:div w:id="67967989">
          <w:marLeft w:val="640"/>
          <w:marRight w:val="0"/>
          <w:marTop w:val="0"/>
          <w:marBottom w:val="0"/>
          <w:divBdr>
            <w:top w:val="none" w:sz="0" w:space="0" w:color="auto"/>
            <w:left w:val="none" w:sz="0" w:space="0" w:color="auto"/>
            <w:bottom w:val="none" w:sz="0" w:space="0" w:color="auto"/>
            <w:right w:val="none" w:sz="0" w:space="0" w:color="auto"/>
          </w:divBdr>
        </w:div>
        <w:div w:id="266426999">
          <w:marLeft w:val="640"/>
          <w:marRight w:val="0"/>
          <w:marTop w:val="0"/>
          <w:marBottom w:val="0"/>
          <w:divBdr>
            <w:top w:val="none" w:sz="0" w:space="0" w:color="auto"/>
            <w:left w:val="none" w:sz="0" w:space="0" w:color="auto"/>
            <w:bottom w:val="none" w:sz="0" w:space="0" w:color="auto"/>
            <w:right w:val="none" w:sz="0" w:space="0" w:color="auto"/>
          </w:divBdr>
        </w:div>
        <w:div w:id="580918131">
          <w:marLeft w:val="640"/>
          <w:marRight w:val="0"/>
          <w:marTop w:val="0"/>
          <w:marBottom w:val="0"/>
          <w:divBdr>
            <w:top w:val="none" w:sz="0" w:space="0" w:color="auto"/>
            <w:left w:val="none" w:sz="0" w:space="0" w:color="auto"/>
            <w:bottom w:val="none" w:sz="0" w:space="0" w:color="auto"/>
            <w:right w:val="none" w:sz="0" w:space="0" w:color="auto"/>
          </w:divBdr>
        </w:div>
        <w:div w:id="382605515">
          <w:marLeft w:val="640"/>
          <w:marRight w:val="0"/>
          <w:marTop w:val="0"/>
          <w:marBottom w:val="0"/>
          <w:divBdr>
            <w:top w:val="none" w:sz="0" w:space="0" w:color="auto"/>
            <w:left w:val="none" w:sz="0" w:space="0" w:color="auto"/>
            <w:bottom w:val="none" w:sz="0" w:space="0" w:color="auto"/>
            <w:right w:val="none" w:sz="0" w:space="0" w:color="auto"/>
          </w:divBdr>
        </w:div>
        <w:div w:id="1011950833">
          <w:marLeft w:val="640"/>
          <w:marRight w:val="0"/>
          <w:marTop w:val="0"/>
          <w:marBottom w:val="0"/>
          <w:divBdr>
            <w:top w:val="none" w:sz="0" w:space="0" w:color="auto"/>
            <w:left w:val="none" w:sz="0" w:space="0" w:color="auto"/>
            <w:bottom w:val="none" w:sz="0" w:space="0" w:color="auto"/>
            <w:right w:val="none" w:sz="0" w:space="0" w:color="auto"/>
          </w:divBdr>
        </w:div>
        <w:div w:id="1159151191">
          <w:marLeft w:val="640"/>
          <w:marRight w:val="0"/>
          <w:marTop w:val="0"/>
          <w:marBottom w:val="0"/>
          <w:divBdr>
            <w:top w:val="none" w:sz="0" w:space="0" w:color="auto"/>
            <w:left w:val="none" w:sz="0" w:space="0" w:color="auto"/>
            <w:bottom w:val="none" w:sz="0" w:space="0" w:color="auto"/>
            <w:right w:val="none" w:sz="0" w:space="0" w:color="auto"/>
          </w:divBdr>
        </w:div>
        <w:div w:id="966666915">
          <w:marLeft w:val="640"/>
          <w:marRight w:val="0"/>
          <w:marTop w:val="0"/>
          <w:marBottom w:val="0"/>
          <w:divBdr>
            <w:top w:val="none" w:sz="0" w:space="0" w:color="auto"/>
            <w:left w:val="none" w:sz="0" w:space="0" w:color="auto"/>
            <w:bottom w:val="none" w:sz="0" w:space="0" w:color="auto"/>
            <w:right w:val="none" w:sz="0" w:space="0" w:color="auto"/>
          </w:divBdr>
        </w:div>
        <w:div w:id="1176925129">
          <w:marLeft w:val="640"/>
          <w:marRight w:val="0"/>
          <w:marTop w:val="0"/>
          <w:marBottom w:val="0"/>
          <w:divBdr>
            <w:top w:val="none" w:sz="0" w:space="0" w:color="auto"/>
            <w:left w:val="none" w:sz="0" w:space="0" w:color="auto"/>
            <w:bottom w:val="none" w:sz="0" w:space="0" w:color="auto"/>
            <w:right w:val="none" w:sz="0" w:space="0" w:color="auto"/>
          </w:divBdr>
        </w:div>
        <w:div w:id="581380507">
          <w:marLeft w:val="640"/>
          <w:marRight w:val="0"/>
          <w:marTop w:val="0"/>
          <w:marBottom w:val="0"/>
          <w:divBdr>
            <w:top w:val="none" w:sz="0" w:space="0" w:color="auto"/>
            <w:left w:val="none" w:sz="0" w:space="0" w:color="auto"/>
            <w:bottom w:val="none" w:sz="0" w:space="0" w:color="auto"/>
            <w:right w:val="none" w:sz="0" w:space="0" w:color="auto"/>
          </w:divBdr>
        </w:div>
        <w:div w:id="684133831">
          <w:marLeft w:val="640"/>
          <w:marRight w:val="0"/>
          <w:marTop w:val="0"/>
          <w:marBottom w:val="0"/>
          <w:divBdr>
            <w:top w:val="none" w:sz="0" w:space="0" w:color="auto"/>
            <w:left w:val="none" w:sz="0" w:space="0" w:color="auto"/>
            <w:bottom w:val="none" w:sz="0" w:space="0" w:color="auto"/>
            <w:right w:val="none" w:sz="0" w:space="0" w:color="auto"/>
          </w:divBdr>
        </w:div>
        <w:div w:id="220797769">
          <w:marLeft w:val="640"/>
          <w:marRight w:val="0"/>
          <w:marTop w:val="0"/>
          <w:marBottom w:val="0"/>
          <w:divBdr>
            <w:top w:val="none" w:sz="0" w:space="0" w:color="auto"/>
            <w:left w:val="none" w:sz="0" w:space="0" w:color="auto"/>
            <w:bottom w:val="none" w:sz="0" w:space="0" w:color="auto"/>
            <w:right w:val="none" w:sz="0" w:space="0" w:color="auto"/>
          </w:divBdr>
        </w:div>
        <w:div w:id="1155686774">
          <w:marLeft w:val="640"/>
          <w:marRight w:val="0"/>
          <w:marTop w:val="0"/>
          <w:marBottom w:val="0"/>
          <w:divBdr>
            <w:top w:val="none" w:sz="0" w:space="0" w:color="auto"/>
            <w:left w:val="none" w:sz="0" w:space="0" w:color="auto"/>
            <w:bottom w:val="none" w:sz="0" w:space="0" w:color="auto"/>
            <w:right w:val="none" w:sz="0" w:space="0" w:color="auto"/>
          </w:divBdr>
        </w:div>
        <w:div w:id="508907864">
          <w:marLeft w:val="640"/>
          <w:marRight w:val="0"/>
          <w:marTop w:val="0"/>
          <w:marBottom w:val="0"/>
          <w:divBdr>
            <w:top w:val="none" w:sz="0" w:space="0" w:color="auto"/>
            <w:left w:val="none" w:sz="0" w:space="0" w:color="auto"/>
            <w:bottom w:val="none" w:sz="0" w:space="0" w:color="auto"/>
            <w:right w:val="none" w:sz="0" w:space="0" w:color="auto"/>
          </w:divBdr>
        </w:div>
        <w:div w:id="1260601670">
          <w:marLeft w:val="640"/>
          <w:marRight w:val="0"/>
          <w:marTop w:val="0"/>
          <w:marBottom w:val="0"/>
          <w:divBdr>
            <w:top w:val="none" w:sz="0" w:space="0" w:color="auto"/>
            <w:left w:val="none" w:sz="0" w:space="0" w:color="auto"/>
            <w:bottom w:val="none" w:sz="0" w:space="0" w:color="auto"/>
            <w:right w:val="none" w:sz="0" w:space="0" w:color="auto"/>
          </w:divBdr>
        </w:div>
        <w:div w:id="829247443">
          <w:marLeft w:val="640"/>
          <w:marRight w:val="0"/>
          <w:marTop w:val="0"/>
          <w:marBottom w:val="0"/>
          <w:divBdr>
            <w:top w:val="none" w:sz="0" w:space="0" w:color="auto"/>
            <w:left w:val="none" w:sz="0" w:space="0" w:color="auto"/>
            <w:bottom w:val="none" w:sz="0" w:space="0" w:color="auto"/>
            <w:right w:val="none" w:sz="0" w:space="0" w:color="auto"/>
          </w:divBdr>
        </w:div>
        <w:div w:id="1986659971">
          <w:marLeft w:val="640"/>
          <w:marRight w:val="0"/>
          <w:marTop w:val="0"/>
          <w:marBottom w:val="0"/>
          <w:divBdr>
            <w:top w:val="none" w:sz="0" w:space="0" w:color="auto"/>
            <w:left w:val="none" w:sz="0" w:space="0" w:color="auto"/>
            <w:bottom w:val="none" w:sz="0" w:space="0" w:color="auto"/>
            <w:right w:val="none" w:sz="0" w:space="0" w:color="auto"/>
          </w:divBdr>
        </w:div>
        <w:div w:id="1455099282">
          <w:marLeft w:val="640"/>
          <w:marRight w:val="0"/>
          <w:marTop w:val="0"/>
          <w:marBottom w:val="0"/>
          <w:divBdr>
            <w:top w:val="none" w:sz="0" w:space="0" w:color="auto"/>
            <w:left w:val="none" w:sz="0" w:space="0" w:color="auto"/>
            <w:bottom w:val="none" w:sz="0" w:space="0" w:color="auto"/>
            <w:right w:val="none" w:sz="0" w:space="0" w:color="auto"/>
          </w:divBdr>
        </w:div>
        <w:div w:id="353385740">
          <w:marLeft w:val="640"/>
          <w:marRight w:val="0"/>
          <w:marTop w:val="0"/>
          <w:marBottom w:val="0"/>
          <w:divBdr>
            <w:top w:val="none" w:sz="0" w:space="0" w:color="auto"/>
            <w:left w:val="none" w:sz="0" w:space="0" w:color="auto"/>
            <w:bottom w:val="none" w:sz="0" w:space="0" w:color="auto"/>
            <w:right w:val="none" w:sz="0" w:space="0" w:color="auto"/>
          </w:divBdr>
        </w:div>
        <w:div w:id="163010940">
          <w:marLeft w:val="640"/>
          <w:marRight w:val="0"/>
          <w:marTop w:val="0"/>
          <w:marBottom w:val="0"/>
          <w:divBdr>
            <w:top w:val="none" w:sz="0" w:space="0" w:color="auto"/>
            <w:left w:val="none" w:sz="0" w:space="0" w:color="auto"/>
            <w:bottom w:val="none" w:sz="0" w:space="0" w:color="auto"/>
            <w:right w:val="none" w:sz="0" w:space="0" w:color="auto"/>
          </w:divBdr>
        </w:div>
        <w:div w:id="173108736">
          <w:marLeft w:val="640"/>
          <w:marRight w:val="0"/>
          <w:marTop w:val="0"/>
          <w:marBottom w:val="0"/>
          <w:divBdr>
            <w:top w:val="none" w:sz="0" w:space="0" w:color="auto"/>
            <w:left w:val="none" w:sz="0" w:space="0" w:color="auto"/>
            <w:bottom w:val="none" w:sz="0" w:space="0" w:color="auto"/>
            <w:right w:val="none" w:sz="0" w:space="0" w:color="auto"/>
          </w:divBdr>
        </w:div>
        <w:div w:id="655911989">
          <w:marLeft w:val="640"/>
          <w:marRight w:val="0"/>
          <w:marTop w:val="0"/>
          <w:marBottom w:val="0"/>
          <w:divBdr>
            <w:top w:val="none" w:sz="0" w:space="0" w:color="auto"/>
            <w:left w:val="none" w:sz="0" w:space="0" w:color="auto"/>
            <w:bottom w:val="none" w:sz="0" w:space="0" w:color="auto"/>
            <w:right w:val="none" w:sz="0" w:space="0" w:color="auto"/>
          </w:divBdr>
        </w:div>
        <w:div w:id="1513567871">
          <w:marLeft w:val="640"/>
          <w:marRight w:val="0"/>
          <w:marTop w:val="0"/>
          <w:marBottom w:val="0"/>
          <w:divBdr>
            <w:top w:val="none" w:sz="0" w:space="0" w:color="auto"/>
            <w:left w:val="none" w:sz="0" w:space="0" w:color="auto"/>
            <w:bottom w:val="none" w:sz="0" w:space="0" w:color="auto"/>
            <w:right w:val="none" w:sz="0" w:space="0" w:color="auto"/>
          </w:divBdr>
        </w:div>
        <w:div w:id="1314873883">
          <w:marLeft w:val="640"/>
          <w:marRight w:val="0"/>
          <w:marTop w:val="0"/>
          <w:marBottom w:val="0"/>
          <w:divBdr>
            <w:top w:val="none" w:sz="0" w:space="0" w:color="auto"/>
            <w:left w:val="none" w:sz="0" w:space="0" w:color="auto"/>
            <w:bottom w:val="none" w:sz="0" w:space="0" w:color="auto"/>
            <w:right w:val="none" w:sz="0" w:space="0" w:color="auto"/>
          </w:divBdr>
        </w:div>
        <w:div w:id="1178040146">
          <w:marLeft w:val="640"/>
          <w:marRight w:val="0"/>
          <w:marTop w:val="0"/>
          <w:marBottom w:val="0"/>
          <w:divBdr>
            <w:top w:val="none" w:sz="0" w:space="0" w:color="auto"/>
            <w:left w:val="none" w:sz="0" w:space="0" w:color="auto"/>
            <w:bottom w:val="none" w:sz="0" w:space="0" w:color="auto"/>
            <w:right w:val="none" w:sz="0" w:space="0" w:color="auto"/>
          </w:divBdr>
        </w:div>
        <w:div w:id="518547426">
          <w:marLeft w:val="640"/>
          <w:marRight w:val="0"/>
          <w:marTop w:val="0"/>
          <w:marBottom w:val="0"/>
          <w:divBdr>
            <w:top w:val="none" w:sz="0" w:space="0" w:color="auto"/>
            <w:left w:val="none" w:sz="0" w:space="0" w:color="auto"/>
            <w:bottom w:val="none" w:sz="0" w:space="0" w:color="auto"/>
            <w:right w:val="none" w:sz="0" w:space="0" w:color="auto"/>
          </w:divBdr>
        </w:div>
        <w:div w:id="1806893225">
          <w:marLeft w:val="640"/>
          <w:marRight w:val="0"/>
          <w:marTop w:val="0"/>
          <w:marBottom w:val="0"/>
          <w:divBdr>
            <w:top w:val="none" w:sz="0" w:space="0" w:color="auto"/>
            <w:left w:val="none" w:sz="0" w:space="0" w:color="auto"/>
            <w:bottom w:val="none" w:sz="0" w:space="0" w:color="auto"/>
            <w:right w:val="none" w:sz="0" w:space="0" w:color="auto"/>
          </w:divBdr>
        </w:div>
        <w:div w:id="1720474507">
          <w:marLeft w:val="640"/>
          <w:marRight w:val="0"/>
          <w:marTop w:val="0"/>
          <w:marBottom w:val="0"/>
          <w:divBdr>
            <w:top w:val="none" w:sz="0" w:space="0" w:color="auto"/>
            <w:left w:val="none" w:sz="0" w:space="0" w:color="auto"/>
            <w:bottom w:val="none" w:sz="0" w:space="0" w:color="auto"/>
            <w:right w:val="none" w:sz="0" w:space="0" w:color="auto"/>
          </w:divBdr>
        </w:div>
        <w:div w:id="2008751547">
          <w:marLeft w:val="640"/>
          <w:marRight w:val="0"/>
          <w:marTop w:val="0"/>
          <w:marBottom w:val="0"/>
          <w:divBdr>
            <w:top w:val="none" w:sz="0" w:space="0" w:color="auto"/>
            <w:left w:val="none" w:sz="0" w:space="0" w:color="auto"/>
            <w:bottom w:val="none" w:sz="0" w:space="0" w:color="auto"/>
            <w:right w:val="none" w:sz="0" w:space="0" w:color="auto"/>
          </w:divBdr>
        </w:div>
        <w:div w:id="634681913">
          <w:marLeft w:val="640"/>
          <w:marRight w:val="0"/>
          <w:marTop w:val="0"/>
          <w:marBottom w:val="0"/>
          <w:divBdr>
            <w:top w:val="none" w:sz="0" w:space="0" w:color="auto"/>
            <w:left w:val="none" w:sz="0" w:space="0" w:color="auto"/>
            <w:bottom w:val="none" w:sz="0" w:space="0" w:color="auto"/>
            <w:right w:val="none" w:sz="0" w:space="0" w:color="auto"/>
          </w:divBdr>
        </w:div>
        <w:div w:id="3408775">
          <w:marLeft w:val="640"/>
          <w:marRight w:val="0"/>
          <w:marTop w:val="0"/>
          <w:marBottom w:val="0"/>
          <w:divBdr>
            <w:top w:val="none" w:sz="0" w:space="0" w:color="auto"/>
            <w:left w:val="none" w:sz="0" w:space="0" w:color="auto"/>
            <w:bottom w:val="none" w:sz="0" w:space="0" w:color="auto"/>
            <w:right w:val="none" w:sz="0" w:space="0" w:color="auto"/>
          </w:divBdr>
        </w:div>
        <w:div w:id="1463574594">
          <w:marLeft w:val="640"/>
          <w:marRight w:val="0"/>
          <w:marTop w:val="0"/>
          <w:marBottom w:val="0"/>
          <w:divBdr>
            <w:top w:val="none" w:sz="0" w:space="0" w:color="auto"/>
            <w:left w:val="none" w:sz="0" w:space="0" w:color="auto"/>
            <w:bottom w:val="none" w:sz="0" w:space="0" w:color="auto"/>
            <w:right w:val="none" w:sz="0" w:space="0" w:color="auto"/>
          </w:divBdr>
        </w:div>
        <w:div w:id="1733112076">
          <w:marLeft w:val="640"/>
          <w:marRight w:val="0"/>
          <w:marTop w:val="0"/>
          <w:marBottom w:val="0"/>
          <w:divBdr>
            <w:top w:val="none" w:sz="0" w:space="0" w:color="auto"/>
            <w:left w:val="none" w:sz="0" w:space="0" w:color="auto"/>
            <w:bottom w:val="none" w:sz="0" w:space="0" w:color="auto"/>
            <w:right w:val="none" w:sz="0" w:space="0" w:color="auto"/>
          </w:divBdr>
        </w:div>
        <w:div w:id="1020204124">
          <w:marLeft w:val="640"/>
          <w:marRight w:val="0"/>
          <w:marTop w:val="0"/>
          <w:marBottom w:val="0"/>
          <w:divBdr>
            <w:top w:val="none" w:sz="0" w:space="0" w:color="auto"/>
            <w:left w:val="none" w:sz="0" w:space="0" w:color="auto"/>
            <w:bottom w:val="none" w:sz="0" w:space="0" w:color="auto"/>
            <w:right w:val="none" w:sz="0" w:space="0" w:color="auto"/>
          </w:divBdr>
        </w:div>
        <w:div w:id="304773327">
          <w:marLeft w:val="640"/>
          <w:marRight w:val="0"/>
          <w:marTop w:val="0"/>
          <w:marBottom w:val="0"/>
          <w:divBdr>
            <w:top w:val="none" w:sz="0" w:space="0" w:color="auto"/>
            <w:left w:val="none" w:sz="0" w:space="0" w:color="auto"/>
            <w:bottom w:val="none" w:sz="0" w:space="0" w:color="auto"/>
            <w:right w:val="none" w:sz="0" w:space="0" w:color="auto"/>
          </w:divBdr>
        </w:div>
        <w:div w:id="1355309512">
          <w:marLeft w:val="640"/>
          <w:marRight w:val="0"/>
          <w:marTop w:val="0"/>
          <w:marBottom w:val="0"/>
          <w:divBdr>
            <w:top w:val="none" w:sz="0" w:space="0" w:color="auto"/>
            <w:left w:val="none" w:sz="0" w:space="0" w:color="auto"/>
            <w:bottom w:val="none" w:sz="0" w:space="0" w:color="auto"/>
            <w:right w:val="none" w:sz="0" w:space="0" w:color="auto"/>
          </w:divBdr>
        </w:div>
        <w:div w:id="1720666708">
          <w:marLeft w:val="640"/>
          <w:marRight w:val="0"/>
          <w:marTop w:val="0"/>
          <w:marBottom w:val="0"/>
          <w:divBdr>
            <w:top w:val="none" w:sz="0" w:space="0" w:color="auto"/>
            <w:left w:val="none" w:sz="0" w:space="0" w:color="auto"/>
            <w:bottom w:val="none" w:sz="0" w:space="0" w:color="auto"/>
            <w:right w:val="none" w:sz="0" w:space="0" w:color="auto"/>
          </w:divBdr>
        </w:div>
        <w:div w:id="463891884">
          <w:marLeft w:val="640"/>
          <w:marRight w:val="0"/>
          <w:marTop w:val="0"/>
          <w:marBottom w:val="0"/>
          <w:divBdr>
            <w:top w:val="none" w:sz="0" w:space="0" w:color="auto"/>
            <w:left w:val="none" w:sz="0" w:space="0" w:color="auto"/>
            <w:bottom w:val="none" w:sz="0" w:space="0" w:color="auto"/>
            <w:right w:val="none" w:sz="0" w:space="0" w:color="auto"/>
          </w:divBdr>
        </w:div>
        <w:div w:id="432552768">
          <w:marLeft w:val="640"/>
          <w:marRight w:val="0"/>
          <w:marTop w:val="0"/>
          <w:marBottom w:val="0"/>
          <w:divBdr>
            <w:top w:val="none" w:sz="0" w:space="0" w:color="auto"/>
            <w:left w:val="none" w:sz="0" w:space="0" w:color="auto"/>
            <w:bottom w:val="none" w:sz="0" w:space="0" w:color="auto"/>
            <w:right w:val="none" w:sz="0" w:space="0" w:color="auto"/>
          </w:divBdr>
        </w:div>
        <w:div w:id="666591252">
          <w:marLeft w:val="640"/>
          <w:marRight w:val="0"/>
          <w:marTop w:val="0"/>
          <w:marBottom w:val="0"/>
          <w:divBdr>
            <w:top w:val="none" w:sz="0" w:space="0" w:color="auto"/>
            <w:left w:val="none" w:sz="0" w:space="0" w:color="auto"/>
            <w:bottom w:val="none" w:sz="0" w:space="0" w:color="auto"/>
            <w:right w:val="none" w:sz="0" w:space="0" w:color="auto"/>
          </w:divBdr>
        </w:div>
        <w:div w:id="1952666307">
          <w:marLeft w:val="640"/>
          <w:marRight w:val="0"/>
          <w:marTop w:val="0"/>
          <w:marBottom w:val="0"/>
          <w:divBdr>
            <w:top w:val="none" w:sz="0" w:space="0" w:color="auto"/>
            <w:left w:val="none" w:sz="0" w:space="0" w:color="auto"/>
            <w:bottom w:val="none" w:sz="0" w:space="0" w:color="auto"/>
            <w:right w:val="none" w:sz="0" w:space="0" w:color="auto"/>
          </w:divBdr>
        </w:div>
        <w:div w:id="353960662">
          <w:marLeft w:val="640"/>
          <w:marRight w:val="0"/>
          <w:marTop w:val="0"/>
          <w:marBottom w:val="0"/>
          <w:divBdr>
            <w:top w:val="none" w:sz="0" w:space="0" w:color="auto"/>
            <w:left w:val="none" w:sz="0" w:space="0" w:color="auto"/>
            <w:bottom w:val="none" w:sz="0" w:space="0" w:color="auto"/>
            <w:right w:val="none" w:sz="0" w:space="0" w:color="auto"/>
          </w:divBdr>
        </w:div>
        <w:div w:id="1712801244">
          <w:marLeft w:val="640"/>
          <w:marRight w:val="0"/>
          <w:marTop w:val="0"/>
          <w:marBottom w:val="0"/>
          <w:divBdr>
            <w:top w:val="none" w:sz="0" w:space="0" w:color="auto"/>
            <w:left w:val="none" w:sz="0" w:space="0" w:color="auto"/>
            <w:bottom w:val="none" w:sz="0" w:space="0" w:color="auto"/>
            <w:right w:val="none" w:sz="0" w:space="0" w:color="auto"/>
          </w:divBdr>
        </w:div>
        <w:div w:id="366688164">
          <w:marLeft w:val="640"/>
          <w:marRight w:val="0"/>
          <w:marTop w:val="0"/>
          <w:marBottom w:val="0"/>
          <w:divBdr>
            <w:top w:val="none" w:sz="0" w:space="0" w:color="auto"/>
            <w:left w:val="none" w:sz="0" w:space="0" w:color="auto"/>
            <w:bottom w:val="none" w:sz="0" w:space="0" w:color="auto"/>
            <w:right w:val="none" w:sz="0" w:space="0" w:color="auto"/>
          </w:divBdr>
        </w:div>
        <w:div w:id="758865492">
          <w:marLeft w:val="640"/>
          <w:marRight w:val="0"/>
          <w:marTop w:val="0"/>
          <w:marBottom w:val="0"/>
          <w:divBdr>
            <w:top w:val="none" w:sz="0" w:space="0" w:color="auto"/>
            <w:left w:val="none" w:sz="0" w:space="0" w:color="auto"/>
            <w:bottom w:val="none" w:sz="0" w:space="0" w:color="auto"/>
            <w:right w:val="none" w:sz="0" w:space="0" w:color="auto"/>
          </w:divBdr>
        </w:div>
        <w:div w:id="1322585719">
          <w:marLeft w:val="640"/>
          <w:marRight w:val="0"/>
          <w:marTop w:val="0"/>
          <w:marBottom w:val="0"/>
          <w:divBdr>
            <w:top w:val="none" w:sz="0" w:space="0" w:color="auto"/>
            <w:left w:val="none" w:sz="0" w:space="0" w:color="auto"/>
            <w:bottom w:val="none" w:sz="0" w:space="0" w:color="auto"/>
            <w:right w:val="none" w:sz="0" w:space="0" w:color="auto"/>
          </w:divBdr>
        </w:div>
        <w:div w:id="2131976277">
          <w:marLeft w:val="640"/>
          <w:marRight w:val="0"/>
          <w:marTop w:val="0"/>
          <w:marBottom w:val="0"/>
          <w:divBdr>
            <w:top w:val="none" w:sz="0" w:space="0" w:color="auto"/>
            <w:left w:val="none" w:sz="0" w:space="0" w:color="auto"/>
            <w:bottom w:val="none" w:sz="0" w:space="0" w:color="auto"/>
            <w:right w:val="none" w:sz="0" w:space="0" w:color="auto"/>
          </w:divBdr>
        </w:div>
        <w:div w:id="1355224875">
          <w:marLeft w:val="640"/>
          <w:marRight w:val="0"/>
          <w:marTop w:val="0"/>
          <w:marBottom w:val="0"/>
          <w:divBdr>
            <w:top w:val="none" w:sz="0" w:space="0" w:color="auto"/>
            <w:left w:val="none" w:sz="0" w:space="0" w:color="auto"/>
            <w:bottom w:val="none" w:sz="0" w:space="0" w:color="auto"/>
            <w:right w:val="none" w:sz="0" w:space="0" w:color="auto"/>
          </w:divBdr>
        </w:div>
        <w:div w:id="1671564607">
          <w:marLeft w:val="640"/>
          <w:marRight w:val="0"/>
          <w:marTop w:val="0"/>
          <w:marBottom w:val="0"/>
          <w:divBdr>
            <w:top w:val="none" w:sz="0" w:space="0" w:color="auto"/>
            <w:left w:val="none" w:sz="0" w:space="0" w:color="auto"/>
            <w:bottom w:val="none" w:sz="0" w:space="0" w:color="auto"/>
            <w:right w:val="none" w:sz="0" w:space="0" w:color="auto"/>
          </w:divBdr>
        </w:div>
        <w:div w:id="633408871">
          <w:marLeft w:val="640"/>
          <w:marRight w:val="0"/>
          <w:marTop w:val="0"/>
          <w:marBottom w:val="0"/>
          <w:divBdr>
            <w:top w:val="none" w:sz="0" w:space="0" w:color="auto"/>
            <w:left w:val="none" w:sz="0" w:space="0" w:color="auto"/>
            <w:bottom w:val="none" w:sz="0" w:space="0" w:color="auto"/>
            <w:right w:val="none" w:sz="0" w:space="0" w:color="auto"/>
          </w:divBdr>
        </w:div>
        <w:div w:id="667253624">
          <w:marLeft w:val="640"/>
          <w:marRight w:val="0"/>
          <w:marTop w:val="0"/>
          <w:marBottom w:val="0"/>
          <w:divBdr>
            <w:top w:val="none" w:sz="0" w:space="0" w:color="auto"/>
            <w:left w:val="none" w:sz="0" w:space="0" w:color="auto"/>
            <w:bottom w:val="none" w:sz="0" w:space="0" w:color="auto"/>
            <w:right w:val="none" w:sz="0" w:space="0" w:color="auto"/>
          </w:divBdr>
        </w:div>
        <w:div w:id="1324625126">
          <w:marLeft w:val="640"/>
          <w:marRight w:val="0"/>
          <w:marTop w:val="0"/>
          <w:marBottom w:val="0"/>
          <w:divBdr>
            <w:top w:val="none" w:sz="0" w:space="0" w:color="auto"/>
            <w:left w:val="none" w:sz="0" w:space="0" w:color="auto"/>
            <w:bottom w:val="none" w:sz="0" w:space="0" w:color="auto"/>
            <w:right w:val="none" w:sz="0" w:space="0" w:color="auto"/>
          </w:divBdr>
        </w:div>
        <w:div w:id="323818099">
          <w:marLeft w:val="640"/>
          <w:marRight w:val="0"/>
          <w:marTop w:val="0"/>
          <w:marBottom w:val="0"/>
          <w:divBdr>
            <w:top w:val="none" w:sz="0" w:space="0" w:color="auto"/>
            <w:left w:val="none" w:sz="0" w:space="0" w:color="auto"/>
            <w:bottom w:val="none" w:sz="0" w:space="0" w:color="auto"/>
            <w:right w:val="none" w:sz="0" w:space="0" w:color="auto"/>
          </w:divBdr>
        </w:div>
        <w:div w:id="1175537476">
          <w:marLeft w:val="640"/>
          <w:marRight w:val="0"/>
          <w:marTop w:val="0"/>
          <w:marBottom w:val="0"/>
          <w:divBdr>
            <w:top w:val="none" w:sz="0" w:space="0" w:color="auto"/>
            <w:left w:val="none" w:sz="0" w:space="0" w:color="auto"/>
            <w:bottom w:val="none" w:sz="0" w:space="0" w:color="auto"/>
            <w:right w:val="none" w:sz="0" w:space="0" w:color="auto"/>
          </w:divBdr>
        </w:div>
        <w:div w:id="723068690">
          <w:marLeft w:val="640"/>
          <w:marRight w:val="0"/>
          <w:marTop w:val="0"/>
          <w:marBottom w:val="0"/>
          <w:divBdr>
            <w:top w:val="none" w:sz="0" w:space="0" w:color="auto"/>
            <w:left w:val="none" w:sz="0" w:space="0" w:color="auto"/>
            <w:bottom w:val="none" w:sz="0" w:space="0" w:color="auto"/>
            <w:right w:val="none" w:sz="0" w:space="0" w:color="auto"/>
          </w:divBdr>
        </w:div>
        <w:div w:id="1821967807">
          <w:marLeft w:val="640"/>
          <w:marRight w:val="0"/>
          <w:marTop w:val="0"/>
          <w:marBottom w:val="0"/>
          <w:divBdr>
            <w:top w:val="none" w:sz="0" w:space="0" w:color="auto"/>
            <w:left w:val="none" w:sz="0" w:space="0" w:color="auto"/>
            <w:bottom w:val="none" w:sz="0" w:space="0" w:color="auto"/>
            <w:right w:val="none" w:sz="0" w:space="0" w:color="auto"/>
          </w:divBdr>
        </w:div>
        <w:div w:id="1930038191">
          <w:marLeft w:val="640"/>
          <w:marRight w:val="0"/>
          <w:marTop w:val="0"/>
          <w:marBottom w:val="0"/>
          <w:divBdr>
            <w:top w:val="none" w:sz="0" w:space="0" w:color="auto"/>
            <w:left w:val="none" w:sz="0" w:space="0" w:color="auto"/>
            <w:bottom w:val="none" w:sz="0" w:space="0" w:color="auto"/>
            <w:right w:val="none" w:sz="0" w:space="0" w:color="auto"/>
          </w:divBdr>
        </w:div>
        <w:div w:id="1267811003">
          <w:marLeft w:val="640"/>
          <w:marRight w:val="0"/>
          <w:marTop w:val="0"/>
          <w:marBottom w:val="0"/>
          <w:divBdr>
            <w:top w:val="none" w:sz="0" w:space="0" w:color="auto"/>
            <w:left w:val="none" w:sz="0" w:space="0" w:color="auto"/>
            <w:bottom w:val="none" w:sz="0" w:space="0" w:color="auto"/>
            <w:right w:val="none" w:sz="0" w:space="0" w:color="auto"/>
          </w:divBdr>
        </w:div>
        <w:div w:id="627395190">
          <w:marLeft w:val="640"/>
          <w:marRight w:val="0"/>
          <w:marTop w:val="0"/>
          <w:marBottom w:val="0"/>
          <w:divBdr>
            <w:top w:val="none" w:sz="0" w:space="0" w:color="auto"/>
            <w:left w:val="none" w:sz="0" w:space="0" w:color="auto"/>
            <w:bottom w:val="none" w:sz="0" w:space="0" w:color="auto"/>
            <w:right w:val="none" w:sz="0" w:space="0" w:color="auto"/>
          </w:divBdr>
        </w:div>
        <w:div w:id="954481234">
          <w:marLeft w:val="640"/>
          <w:marRight w:val="0"/>
          <w:marTop w:val="0"/>
          <w:marBottom w:val="0"/>
          <w:divBdr>
            <w:top w:val="none" w:sz="0" w:space="0" w:color="auto"/>
            <w:left w:val="none" w:sz="0" w:space="0" w:color="auto"/>
            <w:bottom w:val="none" w:sz="0" w:space="0" w:color="auto"/>
            <w:right w:val="none" w:sz="0" w:space="0" w:color="auto"/>
          </w:divBdr>
        </w:div>
        <w:div w:id="1866864108">
          <w:marLeft w:val="640"/>
          <w:marRight w:val="0"/>
          <w:marTop w:val="0"/>
          <w:marBottom w:val="0"/>
          <w:divBdr>
            <w:top w:val="none" w:sz="0" w:space="0" w:color="auto"/>
            <w:left w:val="none" w:sz="0" w:space="0" w:color="auto"/>
            <w:bottom w:val="none" w:sz="0" w:space="0" w:color="auto"/>
            <w:right w:val="none" w:sz="0" w:space="0" w:color="auto"/>
          </w:divBdr>
        </w:div>
        <w:div w:id="2069264099">
          <w:marLeft w:val="640"/>
          <w:marRight w:val="0"/>
          <w:marTop w:val="0"/>
          <w:marBottom w:val="0"/>
          <w:divBdr>
            <w:top w:val="none" w:sz="0" w:space="0" w:color="auto"/>
            <w:left w:val="none" w:sz="0" w:space="0" w:color="auto"/>
            <w:bottom w:val="none" w:sz="0" w:space="0" w:color="auto"/>
            <w:right w:val="none" w:sz="0" w:space="0" w:color="auto"/>
          </w:divBdr>
        </w:div>
        <w:div w:id="238445794">
          <w:marLeft w:val="640"/>
          <w:marRight w:val="0"/>
          <w:marTop w:val="0"/>
          <w:marBottom w:val="0"/>
          <w:divBdr>
            <w:top w:val="none" w:sz="0" w:space="0" w:color="auto"/>
            <w:left w:val="none" w:sz="0" w:space="0" w:color="auto"/>
            <w:bottom w:val="none" w:sz="0" w:space="0" w:color="auto"/>
            <w:right w:val="none" w:sz="0" w:space="0" w:color="auto"/>
          </w:divBdr>
        </w:div>
        <w:div w:id="1255626205">
          <w:marLeft w:val="640"/>
          <w:marRight w:val="0"/>
          <w:marTop w:val="0"/>
          <w:marBottom w:val="0"/>
          <w:divBdr>
            <w:top w:val="none" w:sz="0" w:space="0" w:color="auto"/>
            <w:left w:val="none" w:sz="0" w:space="0" w:color="auto"/>
            <w:bottom w:val="none" w:sz="0" w:space="0" w:color="auto"/>
            <w:right w:val="none" w:sz="0" w:space="0" w:color="auto"/>
          </w:divBdr>
        </w:div>
        <w:div w:id="799342784">
          <w:marLeft w:val="640"/>
          <w:marRight w:val="0"/>
          <w:marTop w:val="0"/>
          <w:marBottom w:val="0"/>
          <w:divBdr>
            <w:top w:val="none" w:sz="0" w:space="0" w:color="auto"/>
            <w:left w:val="none" w:sz="0" w:space="0" w:color="auto"/>
            <w:bottom w:val="none" w:sz="0" w:space="0" w:color="auto"/>
            <w:right w:val="none" w:sz="0" w:space="0" w:color="auto"/>
          </w:divBdr>
        </w:div>
        <w:div w:id="1346983171">
          <w:marLeft w:val="640"/>
          <w:marRight w:val="0"/>
          <w:marTop w:val="0"/>
          <w:marBottom w:val="0"/>
          <w:divBdr>
            <w:top w:val="none" w:sz="0" w:space="0" w:color="auto"/>
            <w:left w:val="none" w:sz="0" w:space="0" w:color="auto"/>
            <w:bottom w:val="none" w:sz="0" w:space="0" w:color="auto"/>
            <w:right w:val="none" w:sz="0" w:space="0" w:color="auto"/>
          </w:divBdr>
        </w:div>
        <w:div w:id="142940136">
          <w:marLeft w:val="640"/>
          <w:marRight w:val="0"/>
          <w:marTop w:val="0"/>
          <w:marBottom w:val="0"/>
          <w:divBdr>
            <w:top w:val="none" w:sz="0" w:space="0" w:color="auto"/>
            <w:left w:val="none" w:sz="0" w:space="0" w:color="auto"/>
            <w:bottom w:val="none" w:sz="0" w:space="0" w:color="auto"/>
            <w:right w:val="none" w:sz="0" w:space="0" w:color="auto"/>
          </w:divBdr>
        </w:div>
        <w:div w:id="874000061">
          <w:marLeft w:val="640"/>
          <w:marRight w:val="0"/>
          <w:marTop w:val="0"/>
          <w:marBottom w:val="0"/>
          <w:divBdr>
            <w:top w:val="none" w:sz="0" w:space="0" w:color="auto"/>
            <w:left w:val="none" w:sz="0" w:space="0" w:color="auto"/>
            <w:bottom w:val="none" w:sz="0" w:space="0" w:color="auto"/>
            <w:right w:val="none" w:sz="0" w:space="0" w:color="auto"/>
          </w:divBdr>
        </w:div>
        <w:div w:id="273486368">
          <w:marLeft w:val="640"/>
          <w:marRight w:val="0"/>
          <w:marTop w:val="0"/>
          <w:marBottom w:val="0"/>
          <w:divBdr>
            <w:top w:val="none" w:sz="0" w:space="0" w:color="auto"/>
            <w:left w:val="none" w:sz="0" w:space="0" w:color="auto"/>
            <w:bottom w:val="none" w:sz="0" w:space="0" w:color="auto"/>
            <w:right w:val="none" w:sz="0" w:space="0" w:color="auto"/>
          </w:divBdr>
        </w:div>
        <w:div w:id="1905918033">
          <w:marLeft w:val="640"/>
          <w:marRight w:val="0"/>
          <w:marTop w:val="0"/>
          <w:marBottom w:val="0"/>
          <w:divBdr>
            <w:top w:val="none" w:sz="0" w:space="0" w:color="auto"/>
            <w:left w:val="none" w:sz="0" w:space="0" w:color="auto"/>
            <w:bottom w:val="none" w:sz="0" w:space="0" w:color="auto"/>
            <w:right w:val="none" w:sz="0" w:space="0" w:color="auto"/>
          </w:divBdr>
        </w:div>
        <w:div w:id="712384094">
          <w:marLeft w:val="640"/>
          <w:marRight w:val="0"/>
          <w:marTop w:val="0"/>
          <w:marBottom w:val="0"/>
          <w:divBdr>
            <w:top w:val="none" w:sz="0" w:space="0" w:color="auto"/>
            <w:left w:val="none" w:sz="0" w:space="0" w:color="auto"/>
            <w:bottom w:val="none" w:sz="0" w:space="0" w:color="auto"/>
            <w:right w:val="none" w:sz="0" w:space="0" w:color="auto"/>
          </w:divBdr>
        </w:div>
        <w:div w:id="2075154004">
          <w:marLeft w:val="640"/>
          <w:marRight w:val="0"/>
          <w:marTop w:val="0"/>
          <w:marBottom w:val="0"/>
          <w:divBdr>
            <w:top w:val="none" w:sz="0" w:space="0" w:color="auto"/>
            <w:left w:val="none" w:sz="0" w:space="0" w:color="auto"/>
            <w:bottom w:val="none" w:sz="0" w:space="0" w:color="auto"/>
            <w:right w:val="none" w:sz="0" w:space="0" w:color="auto"/>
          </w:divBdr>
        </w:div>
        <w:div w:id="1905798542">
          <w:marLeft w:val="640"/>
          <w:marRight w:val="0"/>
          <w:marTop w:val="0"/>
          <w:marBottom w:val="0"/>
          <w:divBdr>
            <w:top w:val="none" w:sz="0" w:space="0" w:color="auto"/>
            <w:left w:val="none" w:sz="0" w:space="0" w:color="auto"/>
            <w:bottom w:val="none" w:sz="0" w:space="0" w:color="auto"/>
            <w:right w:val="none" w:sz="0" w:space="0" w:color="auto"/>
          </w:divBdr>
        </w:div>
        <w:div w:id="1012729156">
          <w:marLeft w:val="640"/>
          <w:marRight w:val="0"/>
          <w:marTop w:val="0"/>
          <w:marBottom w:val="0"/>
          <w:divBdr>
            <w:top w:val="none" w:sz="0" w:space="0" w:color="auto"/>
            <w:left w:val="none" w:sz="0" w:space="0" w:color="auto"/>
            <w:bottom w:val="none" w:sz="0" w:space="0" w:color="auto"/>
            <w:right w:val="none" w:sz="0" w:space="0" w:color="auto"/>
          </w:divBdr>
        </w:div>
        <w:div w:id="475221333">
          <w:marLeft w:val="640"/>
          <w:marRight w:val="0"/>
          <w:marTop w:val="0"/>
          <w:marBottom w:val="0"/>
          <w:divBdr>
            <w:top w:val="none" w:sz="0" w:space="0" w:color="auto"/>
            <w:left w:val="none" w:sz="0" w:space="0" w:color="auto"/>
            <w:bottom w:val="none" w:sz="0" w:space="0" w:color="auto"/>
            <w:right w:val="none" w:sz="0" w:space="0" w:color="auto"/>
          </w:divBdr>
        </w:div>
        <w:div w:id="1181895768">
          <w:marLeft w:val="640"/>
          <w:marRight w:val="0"/>
          <w:marTop w:val="0"/>
          <w:marBottom w:val="0"/>
          <w:divBdr>
            <w:top w:val="none" w:sz="0" w:space="0" w:color="auto"/>
            <w:left w:val="none" w:sz="0" w:space="0" w:color="auto"/>
            <w:bottom w:val="none" w:sz="0" w:space="0" w:color="auto"/>
            <w:right w:val="none" w:sz="0" w:space="0" w:color="auto"/>
          </w:divBdr>
        </w:div>
        <w:div w:id="1805656783">
          <w:marLeft w:val="640"/>
          <w:marRight w:val="0"/>
          <w:marTop w:val="0"/>
          <w:marBottom w:val="0"/>
          <w:divBdr>
            <w:top w:val="none" w:sz="0" w:space="0" w:color="auto"/>
            <w:left w:val="none" w:sz="0" w:space="0" w:color="auto"/>
            <w:bottom w:val="none" w:sz="0" w:space="0" w:color="auto"/>
            <w:right w:val="none" w:sz="0" w:space="0" w:color="auto"/>
          </w:divBdr>
        </w:div>
        <w:div w:id="1611010210">
          <w:marLeft w:val="640"/>
          <w:marRight w:val="0"/>
          <w:marTop w:val="0"/>
          <w:marBottom w:val="0"/>
          <w:divBdr>
            <w:top w:val="none" w:sz="0" w:space="0" w:color="auto"/>
            <w:left w:val="none" w:sz="0" w:space="0" w:color="auto"/>
            <w:bottom w:val="none" w:sz="0" w:space="0" w:color="auto"/>
            <w:right w:val="none" w:sz="0" w:space="0" w:color="auto"/>
          </w:divBdr>
        </w:div>
        <w:div w:id="394938732">
          <w:marLeft w:val="640"/>
          <w:marRight w:val="0"/>
          <w:marTop w:val="0"/>
          <w:marBottom w:val="0"/>
          <w:divBdr>
            <w:top w:val="none" w:sz="0" w:space="0" w:color="auto"/>
            <w:left w:val="none" w:sz="0" w:space="0" w:color="auto"/>
            <w:bottom w:val="none" w:sz="0" w:space="0" w:color="auto"/>
            <w:right w:val="none" w:sz="0" w:space="0" w:color="auto"/>
          </w:divBdr>
        </w:div>
        <w:div w:id="1285036276">
          <w:marLeft w:val="640"/>
          <w:marRight w:val="0"/>
          <w:marTop w:val="0"/>
          <w:marBottom w:val="0"/>
          <w:divBdr>
            <w:top w:val="none" w:sz="0" w:space="0" w:color="auto"/>
            <w:left w:val="none" w:sz="0" w:space="0" w:color="auto"/>
            <w:bottom w:val="none" w:sz="0" w:space="0" w:color="auto"/>
            <w:right w:val="none" w:sz="0" w:space="0" w:color="auto"/>
          </w:divBdr>
        </w:div>
        <w:div w:id="1429934442">
          <w:marLeft w:val="640"/>
          <w:marRight w:val="0"/>
          <w:marTop w:val="0"/>
          <w:marBottom w:val="0"/>
          <w:divBdr>
            <w:top w:val="none" w:sz="0" w:space="0" w:color="auto"/>
            <w:left w:val="none" w:sz="0" w:space="0" w:color="auto"/>
            <w:bottom w:val="none" w:sz="0" w:space="0" w:color="auto"/>
            <w:right w:val="none" w:sz="0" w:space="0" w:color="auto"/>
          </w:divBdr>
        </w:div>
        <w:div w:id="206452600">
          <w:marLeft w:val="640"/>
          <w:marRight w:val="0"/>
          <w:marTop w:val="0"/>
          <w:marBottom w:val="0"/>
          <w:divBdr>
            <w:top w:val="none" w:sz="0" w:space="0" w:color="auto"/>
            <w:left w:val="none" w:sz="0" w:space="0" w:color="auto"/>
            <w:bottom w:val="none" w:sz="0" w:space="0" w:color="auto"/>
            <w:right w:val="none" w:sz="0" w:space="0" w:color="auto"/>
          </w:divBdr>
        </w:div>
        <w:div w:id="439566869">
          <w:marLeft w:val="640"/>
          <w:marRight w:val="0"/>
          <w:marTop w:val="0"/>
          <w:marBottom w:val="0"/>
          <w:divBdr>
            <w:top w:val="none" w:sz="0" w:space="0" w:color="auto"/>
            <w:left w:val="none" w:sz="0" w:space="0" w:color="auto"/>
            <w:bottom w:val="none" w:sz="0" w:space="0" w:color="auto"/>
            <w:right w:val="none" w:sz="0" w:space="0" w:color="auto"/>
          </w:divBdr>
        </w:div>
        <w:div w:id="1107116481">
          <w:marLeft w:val="640"/>
          <w:marRight w:val="0"/>
          <w:marTop w:val="0"/>
          <w:marBottom w:val="0"/>
          <w:divBdr>
            <w:top w:val="none" w:sz="0" w:space="0" w:color="auto"/>
            <w:left w:val="none" w:sz="0" w:space="0" w:color="auto"/>
            <w:bottom w:val="none" w:sz="0" w:space="0" w:color="auto"/>
            <w:right w:val="none" w:sz="0" w:space="0" w:color="auto"/>
          </w:divBdr>
        </w:div>
        <w:div w:id="507136577">
          <w:marLeft w:val="640"/>
          <w:marRight w:val="0"/>
          <w:marTop w:val="0"/>
          <w:marBottom w:val="0"/>
          <w:divBdr>
            <w:top w:val="none" w:sz="0" w:space="0" w:color="auto"/>
            <w:left w:val="none" w:sz="0" w:space="0" w:color="auto"/>
            <w:bottom w:val="none" w:sz="0" w:space="0" w:color="auto"/>
            <w:right w:val="none" w:sz="0" w:space="0" w:color="auto"/>
          </w:divBdr>
        </w:div>
        <w:div w:id="849030022">
          <w:marLeft w:val="640"/>
          <w:marRight w:val="0"/>
          <w:marTop w:val="0"/>
          <w:marBottom w:val="0"/>
          <w:divBdr>
            <w:top w:val="none" w:sz="0" w:space="0" w:color="auto"/>
            <w:left w:val="none" w:sz="0" w:space="0" w:color="auto"/>
            <w:bottom w:val="none" w:sz="0" w:space="0" w:color="auto"/>
            <w:right w:val="none" w:sz="0" w:space="0" w:color="auto"/>
          </w:divBdr>
        </w:div>
        <w:div w:id="1227030725">
          <w:marLeft w:val="640"/>
          <w:marRight w:val="0"/>
          <w:marTop w:val="0"/>
          <w:marBottom w:val="0"/>
          <w:divBdr>
            <w:top w:val="none" w:sz="0" w:space="0" w:color="auto"/>
            <w:left w:val="none" w:sz="0" w:space="0" w:color="auto"/>
            <w:bottom w:val="none" w:sz="0" w:space="0" w:color="auto"/>
            <w:right w:val="none" w:sz="0" w:space="0" w:color="auto"/>
          </w:divBdr>
        </w:div>
        <w:div w:id="520361233">
          <w:marLeft w:val="640"/>
          <w:marRight w:val="0"/>
          <w:marTop w:val="0"/>
          <w:marBottom w:val="0"/>
          <w:divBdr>
            <w:top w:val="none" w:sz="0" w:space="0" w:color="auto"/>
            <w:left w:val="none" w:sz="0" w:space="0" w:color="auto"/>
            <w:bottom w:val="none" w:sz="0" w:space="0" w:color="auto"/>
            <w:right w:val="none" w:sz="0" w:space="0" w:color="auto"/>
          </w:divBdr>
        </w:div>
        <w:div w:id="1173687148">
          <w:marLeft w:val="640"/>
          <w:marRight w:val="0"/>
          <w:marTop w:val="0"/>
          <w:marBottom w:val="0"/>
          <w:divBdr>
            <w:top w:val="none" w:sz="0" w:space="0" w:color="auto"/>
            <w:left w:val="none" w:sz="0" w:space="0" w:color="auto"/>
            <w:bottom w:val="none" w:sz="0" w:space="0" w:color="auto"/>
            <w:right w:val="none" w:sz="0" w:space="0" w:color="auto"/>
          </w:divBdr>
        </w:div>
        <w:div w:id="1012299831">
          <w:marLeft w:val="640"/>
          <w:marRight w:val="0"/>
          <w:marTop w:val="0"/>
          <w:marBottom w:val="0"/>
          <w:divBdr>
            <w:top w:val="none" w:sz="0" w:space="0" w:color="auto"/>
            <w:left w:val="none" w:sz="0" w:space="0" w:color="auto"/>
            <w:bottom w:val="none" w:sz="0" w:space="0" w:color="auto"/>
            <w:right w:val="none" w:sz="0" w:space="0" w:color="auto"/>
          </w:divBdr>
        </w:div>
        <w:div w:id="1958220040">
          <w:marLeft w:val="640"/>
          <w:marRight w:val="0"/>
          <w:marTop w:val="0"/>
          <w:marBottom w:val="0"/>
          <w:divBdr>
            <w:top w:val="none" w:sz="0" w:space="0" w:color="auto"/>
            <w:left w:val="none" w:sz="0" w:space="0" w:color="auto"/>
            <w:bottom w:val="none" w:sz="0" w:space="0" w:color="auto"/>
            <w:right w:val="none" w:sz="0" w:space="0" w:color="auto"/>
          </w:divBdr>
        </w:div>
        <w:div w:id="2100328610">
          <w:marLeft w:val="640"/>
          <w:marRight w:val="0"/>
          <w:marTop w:val="0"/>
          <w:marBottom w:val="0"/>
          <w:divBdr>
            <w:top w:val="none" w:sz="0" w:space="0" w:color="auto"/>
            <w:left w:val="none" w:sz="0" w:space="0" w:color="auto"/>
            <w:bottom w:val="none" w:sz="0" w:space="0" w:color="auto"/>
            <w:right w:val="none" w:sz="0" w:space="0" w:color="auto"/>
          </w:divBdr>
        </w:div>
        <w:div w:id="2076463212">
          <w:marLeft w:val="640"/>
          <w:marRight w:val="0"/>
          <w:marTop w:val="0"/>
          <w:marBottom w:val="0"/>
          <w:divBdr>
            <w:top w:val="none" w:sz="0" w:space="0" w:color="auto"/>
            <w:left w:val="none" w:sz="0" w:space="0" w:color="auto"/>
            <w:bottom w:val="none" w:sz="0" w:space="0" w:color="auto"/>
            <w:right w:val="none" w:sz="0" w:space="0" w:color="auto"/>
          </w:divBdr>
        </w:div>
        <w:div w:id="1547640100">
          <w:marLeft w:val="640"/>
          <w:marRight w:val="0"/>
          <w:marTop w:val="0"/>
          <w:marBottom w:val="0"/>
          <w:divBdr>
            <w:top w:val="none" w:sz="0" w:space="0" w:color="auto"/>
            <w:left w:val="none" w:sz="0" w:space="0" w:color="auto"/>
            <w:bottom w:val="none" w:sz="0" w:space="0" w:color="auto"/>
            <w:right w:val="none" w:sz="0" w:space="0" w:color="auto"/>
          </w:divBdr>
        </w:div>
        <w:div w:id="146361014">
          <w:marLeft w:val="640"/>
          <w:marRight w:val="0"/>
          <w:marTop w:val="0"/>
          <w:marBottom w:val="0"/>
          <w:divBdr>
            <w:top w:val="none" w:sz="0" w:space="0" w:color="auto"/>
            <w:left w:val="none" w:sz="0" w:space="0" w:color="auto"/>
            <w:bottom w:val="none" w:sz="0" w:space="0" w:color="auto"/>
            <w:right w:val="none" w:sz="0" w:space="0" w:color="auto"/>
          </w:divBdr>
        </w:div>
        <w:div w:id="944190808">
          <w:marLeft w:val="640"/>
          <w:marRight w:val="0"/>
          <w:marTop w:val="0"/>
          <w:marBottom w:val="0"/>
          <w:divBdr>
            <w:top w:val="none" w:sz="0" w:space="0" w:color="auto"/>
            <w:left w:val="none" w:sz="0" w:space="0" w:color="auto"/>
            <w:bottom w:val="none" w:sz="0" w:space="0" w:color="auto"/>
            <w:right w:val="none" w:sz="0" w:space="0" w:color="auto"/>
          </w:divBdr>
        </w:div>
        <w:div w:id="404693850">
          <w:marLeft w:val="640"/>
          <w:marRight w:val="0"/>
          <w:marTop w:val="0"/>
          <w:marBottom w:val="0"/>
          <w:divBdr>
            <w:top w:val="none" w:sz="0" w:space="0" w:color="auto"/>
            <w:left w:val="none" w:sz="0" w:space="0" w:color="auto"/>
            <w:bottom w:val="none" w:sz="0" w:space="0" w:color="auto"/>
            <w:right w:val="none" w:sz="0" w:space="0" w:color="auto"/>
          </w:divBdr>
        </w:div>
        <w:div w:id="866142691">
          <w:marLeft w:val="640"/>
          <w:marRight w:val="0"/>
          <w:marTop w:val="0"/>
          <w:marBottom w:val="0"/>
          <w:divBdr>
            <w:top w:val="none" w:sz="0" w:space="0" w:color="auto"/>
            <w:left w:val="none" w:sz="0" w:space="0" w:color="auto"/>
            <w:bottom w:val="none" w:sz="0" w:space="0" w:color="auto"/>
            <w:right w:val="none" w:sz="0" w:space="0" w:color="auto"/>
          </w:divBdr>
        </w:div>
        <w:div w:id="382099991">
          <w:marLeft w:val="640"/>
          <w:marRight w:val="0"/>
          <w:marTop w:val="0"/>
          <w:marBottom w:val="0"/>
          <w:divBdr>
            <w:top w:val="none" w:sz="0" w:space="0" w:color="auto"/>
            <w:left w:val="none" w:sz="0" w:space="0" w:color="auto"/>
            <w:bottom w:val="none" w:sz="0" w:space="0" w:color="auto"/>
            <w:right w:val="none" w:sz="0" w:space="0" w:color="auto"/>
          </w:divBdr>
        </w:div>
        <w:div w:id="1050231180">
          <w:marLeft w:val="640"/>
          <w:marRight w:val="0"/>
          <w:marTop w:val="0"/>
          <w:marBottom w:val="0"/>
          <w:divBdr>
            <w:top w:val="none" w:sz="0" w:space="0" w:color="auto"/>
            <w:left w:val="none" w:sz="0" w:space="0" w:color="auto"/>
            <w:bottom w:val="none" w:sz="0" w:space="0" w:color="auto"/>
            <w:right w:val="none" w:sz="0" w:space="0" w:color="auto"/>
          </w:divBdr>
        </w:div>
        <w:div w:id="910768981">
          <w:marLeft w:val="640"/>
          <w:marRight w:val="0"/>
          <w:marTop w:val="0"/>
          <w:marBottom w:val="0"/>
          <w:divBdr>
            <w:top w:val="none" w:sz="0" w:space="0" w:color="auto"/>
            <w:left w:val="none" w:sz="0" w:space="0" w:color="auto"/>
            <w:bottom w:val="none" w:sz="0" w:space="0" w:color="auto"/>
            <w:right w:val="none" w:sz="0" w:space="0" w:color="auto"/>
          </w:divBdr>
        </w:div>
        <w:div w:id="1385449242">
          <w:marLeft w:val="640"/>
          <w:marRight w:val="0"/>
          <w:marTop w:val="0"/>
          <w:marBottom w:val="0"/>
          <w:divBdr>
            <w:top w:val="none" w:sz="0" w:space="0" w:color="auto"/>
            <w:left w:val="none" w:sz="0" w:space="0" w:color="auto"/>
            <w:bottom w:val="none" w:sz="0" w:space="0" w:color="auto"/>
            <w:right w:val="none" w:sz="0" w:space="0" w:color="auto"/>
          </w:divBdr>
        </w:div>
        <w:div w:id="1165239236">
          <w:marLeft w:val="640"/>
          <w:marRight w:val="0"/>
          <w:marTop w:val="0"/>
          <w:marBottom w:val="0"/>
          <w:divBdr>
            <w:top w:val="none" w:sz="0" w:space="0" w:color="auto"/>
            <w:left w:val="none" w:sz="0" w:space="0" w:color="auto"/>
            <w:bottom w:val="none" w:sz="0" w:space="0" w:color="auto"/>
            <w:right w:val="none" w:sz="0" w:space="0" w:color="auto"/>
          </w:divBdr>
        </w:div>
        <w:div w:id="830829874">
          <w:marLeft w:val="640"/>
          <w:marRight w:val="0"/>
          <w:marTop w:val="0"/>
          <w:marBottom w:val="0"/>
          <w:divBdr>
            <w:top w:val="none" w:sz="0" w:space="0" w:color="auto"/>
            <w:left w:val="none" w:sz="0" w:space="0" w:color="auto"/>
            <w:bottom w:val="none" w:sz="0" w:space="0" w:color="auto"/>
            <w:right w:val="none" w:sz="0" w:space="0" w:color="auto"/>
          </w:divBdr>
        </w:div>
        <w:div w:id="992029221">
          <w:marLeft w:val="640"/>
          <w:marRight w:val="0"/>
          <w:marTop w:val="0"/>
          <w:marBottom w:val="0"/>
          <w:divBdr>
            <w:top w:val="none" w:sz="0" w:space="0" w:color="auto"/>
            <w:left w:val="none" w:sz="0" w:space="0" w:color="auto"/>
            <w:bottom w:val="none" w:sz="0" w:space="0" w:color="auto"/>
            <w:right w:val="none" w:sz="0" w:space="0" w:color="auto"/>
          </w:divBdr>
        </w:div>
        <w:div w:id="1786725835">
          <w:marLeft w:val="640"/>
          <w:marRight w:val="0"/>
          <w:marTop w:val="0"/>
          <w:marBottom w:val="0"/>
          <w:divBdr>
            <w:top w:val="none" w:sz="0" w:space="0" w:color="auto"/>
            <w:left w:val="none" w:sz="0" w:space="0" w:color="auto"/>
            <w:bottom w:val="none" w:sz="0" w:space="0" w:color="auto"/>
            <w:right w:val="none" w:sz="0" w:space="0" w:color="auto"/>
          </w:divBdr>
        </w:div>
        <w:div w:id="132407800">
          <w:marLeft w:val="640"/>
          <w:marRight w:val="0"/>
          <w:marTop w:val="0"/>
          <w:marBottom w:val="0"/>
          <w:divBdr>
            <w:top w:val="none" w:sz="0" w:space="0" w:color="auto"/>
            <w:left w:val="none" w:sz="0" w:space="0" w:color="auto"/>
            <w:bottom w:val="none" w:sz="0" w:space="0" w:color="auto"/>
            <w:right w:val="none" w:sz="0" w:space="0" w:color="auto"/>
          </w:divBdr>
        </w:div>
        <w:div w:id="500511099">
          <w:marLeft w:val="640"/>
          <w:marRight w:val="0"/>
          <w:marTop w:val="0"/>
          <w:marBottom w:val="0"/>
          <w:divBdr>
            <w:top w:val="none" w:sz="0" w:space="0" w:color="auto"/>
            <w:left w:val="none" w:sz="0" w:space="0" w:color="auto"/>
            <w:bottom w:val="none" w:sz="0" w:space="0" w:color="auto"/>
            <w:right w:val="none" w:sz="0" w:space="0" w:color="auto"/>
          </w:divBdr>
        </w:div>
        <w:div w:id="1198396387">
          <w:marLeft w:val="640"/>
          <w:marRight w:val="0"/>
          <w:marTop w:val="0"/>
          <w:marBottom w:val="0"/>
          <w:divBdr>
            <w:top w:val="none" w:sz="0" w:space="0" w:color="auto"/>
            <w:left w:val="none" w:sz="0" w:space="0" w:color="auto"/>
            <w:bottom w:val="none" w:sz="0" w:space="0" w:color="auto"/>
            <w:right w:val="none" w:sz="0" w:space="0" w:color="auto"/>
          </w:divBdr>
        </w:div>
        <w:div w:id="73014550">
          <w:marLeft w:val="640"/>
          <w:marRight w:val="0"/>
          <w:marTop w:val="0"/>
          <w:marBottom w:val="0"/>
          <w:divBdr>
            <w:top w:val="none" w:sz="0" w:space="0" w:color="auto"/>
            <w:left w:val="none" w:sz="0" w:space="0" w:color="auto"/>
            <w:bottom w:val="none" w:sz="0" w:space="0" w:color="auto"/>
            <w:right w:val="none" w:sz="0" w:space="0" w:color="auto"/>
          </w:divBdr>
        </w:div>
        <w:div w:id="1821263855">
          <w:marLeft w:val="640"/>
          <w:marRight w:val="0"/>
          <w:marTop w:val="0"/>
          <w:marBottom w:val="0"/>
          <w:divBdr>
            <w:top w:val="none" w:sz="0" w:space="0" w:color="auto"/>
            <w:left w:val="none" w:sz="0" w:space="0" w:color="auto"/>
            <w:bottom w:val="none" w:sz="0" w:space="0" w:color="auto"/>
            <w:right w:val="none" w:sz="0" w:space="0" w:color="auto"/>
          </w:divBdr>
        </w:div>
        <w:div w:id="723525466">
          <w:marLeft w:val="640"/>
          <w:marRight w:val="0"/>
          <w:marTop w:val="0"/>
          <w:marBottom w:val="0"/>
          <w:divBdr>
            <w:top w:val="none" w:sz="0" w:space="0" w:color="auto"/>
            <w:left w:val="none" w:sz="0" w:space="0" w:color="auto"/>
            <w:bottom w:val="none" w:sz="0" w:space="0" w:color="auto"/>
            <w:right w:val="none" w:sz="0" w:space="0" w:color="auto"/>
          </w:divBdr>
        </w:div>
        <w:div w:id="1201673509">
          <w:marLeft w:val="640"/>
          <w:marRight w:val="0"/>
          <w:marTop w:val="0"/>
          <w:marBottom w:val="0"/>
          <w:divBdr>
            <w:top w:val="none" w:sz="0" w:space="0" w:color="auto"/>
            <w:left w:val="none" w:sz="0" w:space="0" w:color="auto"/>
            <w:bottom w:val="none" w:sz="0" w:space="0" w:color="auto"/>
            <w:right w:val="none" w:sz="0" w:space="0" w:color="auto"/>
          </w:divBdr>
        </w:div>
        <w:div w:id="1184512761">
          <w:marLeft w:val="640"/>
          <w:marRight w:val="0"/>
          <w:marTop w:val="0"/>
          <w:marBottom w:val="0"/>
          <w:divBdr>
            <w:top w:val="none" w:sz="0" w:space="0" w:color="auto"/>
            <w:left w:val="none" w:sz="0" w:space="0" w:color="auto"/>
            <w:bottom w:val="none" w:sz="0" w:space="0" w:color="auto"/>
            <w:right w:val="none" w:sz="0" w:space="0" w:color="auto"/>
          </w:divBdr>
        </w:div>
        <w:div w:id="1810321713">
          <w:marLeft w:val="640"/>
          <w:marRight w:val="0"/>
          <w:marTop w:val="0"/>
          <w:marBottom w:val="0"/>
          <w:divBdr>
            <w:top w:val="none" w:sz="0" w:space="0" w:color="auto"/>
            <w:left w:val="none" w:sz="0" w:space="0" w:color="auto"/>
            <w:bottom w:val="none" w:sz="0" w:space="0" w:color="auto"/>
            <w:right w:val="none" w:sz="0" w:space="0" w:color="auto"/>
          </w:divBdr>
        </w:div>
        <w:div w:id="1993679301">
          <w:marLeft w:val="640"/>
          <w:marRight w:val="0"/>
          <w:marTop w:val="0"/>
          <w:marBottom w:val="0"/>
          <w:divBdr>
            <w:top w:val="none" w:sz="0" w:space="0" w:color="auto"/>
            <w:left w:val="none" w:sz="0" w:space="0" w:color="auto"/>
            <w:bottom w:val="none" w:sz="0" w:space="0" w:color="auto"/>
            <w:right w:val="none" w:sz="0" w:space="0" w:color="auto"/>
          </w:divBdr>
        </w:div>
        <w:div w:id="382825518">
          <w:marLeft w:val="640"/>
          <w:marRight w:val="0"/>
          <w:marTop w:val="0"/>
          <w:marBottom w:val="0"/>
          <w:divBdr>
            <w:top w:val="none" w:sz="0" w:space="0" w:color="auto"/>
            <w:left w:val="none" w:sz="0" w:space="0" w:color="auto"/>
            <w:bottom w:val="none" w:sz="0" w:space="0" w:color="auto"/>
            <w:right w:val="none" w:sz="0" w:space="0" w:color="auto"/>
          </w:divBdr>
        </w:div>
        <w:div w:id="1022515060">
          <w:marLeft w:val="640"/>
          <w:marRight w:val="0"/>
          <w:marTop w:val="0"/>
          <w:marBottom w:val="0"/>
          <w:divBdr>
            <w:top w:val="none" w:sz="0" w:space="0" w:color="auto"/>
            <w:left w:val="none" w:sz="0" w:space="0" w:color="auto"/>
            <w:bottom w:val="none" w:sz="0" w:space="0" w:color="auto"/>
            <w:right w:val="none" w:sz="0" w:space="0" w:color="auto"/>
          </w:divBdr>
        </w:div>
        <w:div w:id="643848676">
          <w:marLeft w:val="640"/>
          <w:marRight w:val="0"/>
          <w:marTop w:val="0"/>
          <w:marBottom w:val="0"/>
          <w:divBdr>
            <w:top w:val="none" w:sz="0" w:space="0" w:color="auto"/>
            <w:left w:val="none" w:sz="0" w:space="0" w:color="auto"/>
            <w:bottom w:val="none" w:sz="0" w:space="0" w:color="auto"/>
            <w:right w:val="none" w:sz="0" w:space="0" w:color="auto"/>
          </w:divBdr>
        </w:div>
        <w:div w:id="625047599">
          <w:marLeft w:val="640"/>
          <w:marRight w:val="0"/>
          <w:marTop w:val="0"/>
          <w:marBottom w:val="0"/>
          <w:divBdr>
            <w:top w:val="none" w:sz="0" w:space="0" w:color="auto"/>
            <w:left w:val="none" w:sz="0" w:space="0" w:color="auto"/>
            <w:bottom w:val="none" w:sz="0" w:space="0" w:color="auto"/>
            <w:right w:val="none" w:sz="0" w:space="0" w:color="auto"/>
          </w:divBdr>
        </w:div>
        <w:div w:id="1300499858">
          <w:marLeft w:val="640"/>
          <w:marRight w:val="0"/>
          <w:marTop w:val="0"/>
          <w:marBottom w:val="0"/>
          <w:divBdr>
            <w:top w:val="none" w:sz="0" w:space="0" w:color="auto"/>
            <w:left w:val="none" w:sz="0" w:space="0" w:color="auto"/>
            <w:bottom w:val="none" w:sz="0" w:space="0" w:color="auto"/>
            <w:right w:val="none" w:sz="0" w:space="0" w:color="auto"/>
          </w:divBdr>
        </w:div>
        <w:div w:id="785347243">
          <w:marLeft w:val="640"/>
          <w:marRight w:val="0"/>
          <w:marTop w:val="0"/>
          <w:marBottom w:val="0"/>
          <w:divBdr>
            <w:top w:val="none" w:sz="0" w:space="0" w:color="auto"/>
            <w:left w:val="none" w:sz="0" w:space="0" w:color="auto"/>
            <w:bottom w:val="none" w:sz="0" w:space="0" w:color="auto"/>
            <w:right w:val="none" w:sz="0" w:space="0" w:color="auto"/>
          </w:divBdr>
        </w:div>
        <w:div w:id="855120472">
          <w:marLeft w:val="640"/>
          <w:marRight w:val="0"/>
          <w:marTop w:val="0"/>
          <w:marBottom w:val="0"/>
          <w:divBdr>
            <w:top w:val="none" w:sz="0" w:space="0" w:color="auto"/>
            <w:left w:val="none" w:sz="0" w:space="0" w:color="auto"/>
            <w:bottom w:val="none" w:sz="0" w:space="0" w:color="auto"/>
            <w:right w:val="none" w:sz="0" w:space="0" w:color="auto"/>
          </w:divBdr>
        </w:div>
        <w:div w:id="913584949">
          <w:marLeft w:val="640"/>
          <w:marRight w:val="0"/>
          <w:marTop w:val="0"/>
          <w:marBottom w:val="0"/>
          <w:divBdr>
            <w:top w:val="none" w:sz="0" w:space="0" w:color="auto"/>
            <w:left w:val="none" w:sz="0" w:space="0" w:color="auto"/>
            <w:bottom w:val="none" w:sz="0" w:space="0" w:color="auto"/>
            <w:right w:val="none" w:sz="0" w:space="0" w:color="auto"/>
          </w:divBdr>
        </w:div>
        <w:div w:id="359623608">
          <w:marLeft w:val="640"/>
          <w:marRight w:val="0"/>
          <w:marTop w:val="0"/>
          <w:marBottom w:val="0"/>
          <w:divBdr>
            <w:top w:val="none" w:sz="0" w:space="0" w:color="auto"/>
            <w:left w:val="none" w:sz="0" w:space="0" w:color="auto"/>
            <w:bottom w:val="none" w:sz="0" w:space="0" w:color="auto"/>
            <w:right w:val="none" w:sz="0" w:space="0" w:color="auto"/>
          </w:divBdr>
        </w:div>
        <w:div w:id="357967932">
          <w:marLeft w:val="640"/>
          <w:marRight w:val="0"/>
          <w:marTop w:val="0"/>
          <w:marBottom w:val="0"/>
          <w:divBdr>
            <w:top w:val="none" w:sz="0" w:space="0" w:color="auto"/>
            <w:left w:val="none" w:sz="0" w:space="0" w:color="auto"/>
            <w:bottom w:val="none" w:sz="0" w:space="0" w:color="auto"/>
            <w:right w:val="none" w:sz="0" w:space="0" w:color="auto"/>
          </w:divBdr>
        </w:div>
        <w:div w:id="525556917">
          <w:marLeft w:val="640"/>
          <w:marRight w:val="0"/>
          <w:marTop w:val="0"/>
          <w:marBottom w:val="0"/>
          <w:divBdr>
            <w:top w:val="none" w:sz="0" w:space="0" w:color="auto"/>
            <w:left w:val="none" w:sz="0" w:space="0" w:color="auto"/>
            <w:bottom w:val="none" w:sz="0" w:space="0" w:color="auto"/>
            <w:right w:val="none" w:sz="0" w:space="0" w:color="auto"/>
          </w:divBdr>
        </w:div>
        <w:div w:id="794833353">
          <w:marLeft w:val="640"/>
          <w:marRight w:val="0"/>
          <w:marTop w:val="0"/>
          <w:marBottom w:val="0"/>
          <w:divBdr>
            <w:top w:val="none" w:sz="0" w:space="0" w:color="auto"/>
            <w:left w:val="none" w:sz="0" w:space="0" w:color="auto"/>
            <w:bottom w:val="none" w:sz="0" w:space="0" w:color="auto"/>
            <w:right w:val="none" w:sz="0" w:space="0" w:color="auto"/>
          </w:divBdr>
        </w:div>
        <w:div w:id="231737524">
          <w:marLeft w:val="640"/>
          <w:marRight w:val="0"/>
          <w:marTop w:val="0"/>
          <w:marBottom w:val="0"/>
          <w:divBdr>
            <w:top w:val="none" w:sz="0" w:space="0" w:color="auto"/>
            <w:left w:val="none" w:sz="0" w:space="0" w:color="auto"/>
            <w:bottom w:val="none" w:sz="0" w:space="0" w:color="auto"/>
            <w:right w:val="none" w:sz="0" w:space="0" w:color="auto"/>
          </w:divBdr>
        </w:div>
        <w:div w:id="1933930040">
          <w:marLeft w:val="640"/>
          <w:marRight w:val="0"/>
          <w:marTop w:val="0"/>
          <w:marBottom w:val="0"/>
          <w:divBdr>
            <w:top w:val="none" w:sz="0" w:space="0" w:color="auto"/>
            <w:left w:val="none" w:sz="0" w:space="0" w:color="auto"/>
            <w:bottom w:val="none" w:sz="0" w:space="0" w:color="auto"/>
            <w:right w:val="none" w:sz="0" w:space="0" w:color="auto"/>
          </w:divBdr>
        </w:div>
        <w:div w:id="2121219562">
          <w:marLeft w:val="640"/>
          <w:marRight w:val="0"/>
          <w:marTop w:val="0"/>
          <w:marBottom w:val="0"/>
          <w:divBdr>
            <w:top w:val="none" w:sz="0" w:space="0" w:color="auto"/>
            <w:left w:val="none" w:sz="0" w:space="0" w:color="auto"/>
            <w:bottom w:val="none" w:sz="0" w:space="0" w:color="auto"/>
            <w:right w:val="none" w:sz="0" w:space="0" w:color="auto"/>
          </w:divBdr>
        </w:div>
        <w:div w:id="1443918031">
          <w:marLeft w:val="640"/>
          <w:marRight w:val="0"/>
          <w:marTop w:val="0"/>
          <w:marBottom w:val="0"/>
          <w:divBdr>
            <w:top w:val="none" w:sz="0" w:space="0" w:color="auto"/>
            <w:left w:val="none" w:sz="0" w:space="0" w:color="auto"/>
            <w:bottom w:val="none" w:sz="0" w:space="0" w:color="auto"/>
            <w:right w:val="none" w:sz="0" w:space="0" w:color="auto"/>
          </w:divBdr>
        </w:div>
        <w:div w:id="1851483713">
          <w:marLeft w:val="640"/>
          <w:marRight w:val="0"/>
          <w:marTop w:val="0"/>
          <w:marBottom w:val="0"/>
          <w:divBdr>
            <w:top w:val="none" w:sz="0" w:space="0" w:color="auto"/>
            <w:left w:val="none" w:sz="0" w:space="0" w:color="auto"/>
            <w:bottom w:val="none" w:sz="0" w:space="0" w:color="auto"/>
            <w:right w:val="none" w:sz="0" w:space="0" w:color="auto"/>
          </w:divBdr>
        </w:div>
        <w:div w:id="1633055966">
          <w:marLeft w:val="640"/>
          <w:marRight w:val="0"/>
          <w:marTop w:val="0"/>
          <w:marBottom w:val="0"/>
          <w:divBdr>
            <w:top w:val="none" w:sz="0" w:space="0" w:color="auto"/>
            <w:left w:val="none" w:sz="0" w:space="0" w:color="auto"/>
            <w:bottom w:val="none" w:sz="0" w:space="0" w:color="auto"/>
            <w:right w:val="none" w:sz="0" w:space="0" w:color="auto"/>
          </w:divBdr>
        </w:div>
        <w:div w:id="81490800">
          <w:marLeft w:val="640"/>
          <w:marRight w:val="0"/>
          <w:marTop w:val="0"/>
          <w:marBottom w:val="0"/>
          <w:divBdr>
            <w:top w:val="none" w:sz="0" w:space="0" w:color="auto"/>
            <w:left w:val="none" w:sz="0" w:space="0" w:color="auto"/>
            <w:bottom w:val="none" w:sz="0" w:space="0" w:color="auto"/>
            <w:right w:val="none" w:sz="0" w:space="0" w:color="auto"/>
          </w:divBdr>
        </w:div>
        <w:div w:id="956059768">
          <w:marLeft w:val="640"/>
          <w:marRight w:val="0"/>
          <w:marTop w:val="0"/>
          <w:marBottom w:val="0"/>
          <w:divBdr>
            <w:top w:val="none" w:sz="0" w:space="0" w:color="auto"/>
            <w:left w:val="none" w:sz="0" w:space="0" w:color="auto"/>
            <w:bottom w:val="none" w:sz="0" w:space="0" w:color="auto"/>
            <w:right w:val="none" w:sz="0" w:space="0" w:color="auto"/>
          </w:divBdr>
        </w:div>
        <w:div w:id="886144850">
          <w:marLeft w:val="640"/>
          <w:marRight w:val="0"/>
          <w:marTop w:val="0"/>
          <w:marBottom w:val="0"/>
          <w:divBdr>
            <w:top w:val="none" w:sz="0" w:space="0" w:color="auto"/>
            <w:left w:val="none" w:sz="0" w:space="0" w:color="auto"/>
            <w:bottom w:val="none" w:sz="0" w:space="0" w:color="auto"/>
            <w:right w:val="none" w:sz="0" w:space="0" w:color="auto"/>
          </w:divBdr>
        </w:div>
        <w:div w:id="608926375">
          <w:marLeft w:val="640"/>
          <w:marRight w:val="0"/>
          <w:marTop w:val="0"/>
          <w:marBottom w:val="0"/>
          <w:divBdr>
            <w:top w:val="none" w:sz="0" w:space="0" w:color="auto"/>
            <w:left w:val="none" w:sz="0" w:space="0" w:color="auto"/>
            <w:bottom w:val="none" w:sz="0" w:space="0" w:color="auto"/>
            <w:right w:val="none" w:sz="0" w:space="0" w:color="auto"/>
          </w:divBdr>
        </w:div>
        <w:div w:id="239366284">
          <w:marLeft w:val="640"/>
          <w:marRight w:val="0"/>
          <w:marTop w:val="0"/>
          <w:marBottom w:val="0"/>
          <w:divBdr>
            <w:top w:val="none" w:sz="0" w:space="0" w:color="auto"/>
            <w:left w:val="none" w:sz="0" w:space="0" w:color="auto"/>
            <w:bottom w:val="none" w:sz="0" w:space="0" w:color="auto"/>
            <w:right w:val="none" w:sz="0" w:space="0" w:color="auto"/>
          </w:divBdr>
        </w:div>
        <w:div w:id="1628898739">
          <w:marLeft w:val="640"/>
          <w:marRight w:val="0"/>
          <w:marTop w:val="0"/>
          <w:marBottom w:val="0"/>
          <w:divBdr>
            <w:top w:val="none" w:sz="0" w:space="0" w:color="auto"/>
            <w:left w:val="none" w:sz="0" w:space="0" w:color="auto"/>
            <w:bottom w:val="none" w:sz="0" w:space="0" w:color="auto"/>
            <w:right w:val="none" w:sz="0" w:space="0" w:color="auto"/>
          </w:divBdr>
        </w:div>
        <w:div w:id="797912173">
          <w:marLeft w:val="640"/>
          <w:marRight w:val="0"/>
          <w:marTop w:val="0"/>
          <w:marBottom w:val="0"/>
          <w:divBdr>
            <w:top w:val="none" w:sz="0" w:space="0" w:color="auto"/>
            <w:left w:val="none" w:sz="0" w:space="0" w:color="auto"/>
            <w:bottom w:val="none" w:sz="0" w:space="0" w:color="auto"/>
            <w:right w:val="none" w:sz="0" w:space="0" w:color="auto"/>
          </w:divBdr>
        </w:div>
        <w:div w:id="1744378401">
          <w:marLeft w:val="640"/>
          <w:marRight w:val="0"/>
          <w:marTop w:val="0"/>
          <w:marBottom w:val="0"/>
          <w:divBdr>
            <w:top w:val="none" w:sz="0" w:space="0" w:color="auto"/>
            <w:left w:val="none" w:sz="0" w:space="0" w:color="auto"/>
            <w:bottom w:val="none" w:sz="0" w:space="0" w:color="auto"/>
            <w:right w:val="none" w:sz="0" w:space="0" w:color="auto"/>
          </w:divBdr>
        </w:div>
        <w:div w:id="2106803196">
          <w:marLeft w:val="640"/>
          <w:marRight w:val="0"/>
          <w:marTop w:val="0"/>
          <w:marBottom w:val="0"/>
          <w:divBdr>
            <w:top w:val="none" w:sz="0" w:space="0" w:color="auto"/>
            <w:left w:val="none" w:sz="0" w:space="0" w:color="auto"/>
            <w:bottom w:val="none" w:sz="0" w:space="0" w:color="auto"/>
            <w:right w:val="none" w:sz="0" w:space="0" w:color="auto"/>
          </w:divBdr>
        </w:div>
        <w:div w:id="1184057806">
          <w:marLeft w:val="640"/>
          <w:marRight w:val="0"/>
          <w:marTop w:val="0"/>
          <w:marBottom w:val="0"/>
          <w:divBdr>
            <w:top w:val="none" w:sz="0" w:space="0" w:color="auto"/>
            <w:left w:val="none" w:sz="0" w:space="0" w:color="auto"/>
            <w:bottom w:val="none" w:sz="0" w:space="0" w:color="auto"/>
            <w:right w:val="none" w:sz="0" w:space="0" w:color="auto"/>
          </w:divBdr>
        </w:div>
        <w:div w:id="1875774050">
          <w:marLeft w:val="640"/>
          <w:marRight w:val="0"/>
          <w:marTop w:val="0"/>
          <w:marBottom w:val="0"/>
          <w:divBdr>
            <w:top w:val="none" w:sz="0" w:space="0" w:color="auto"/>
            <w:left w:val="none" w:sz="0" w:space="0" w:color="auto"/>
            <w:bottom w:val="none" w:sz="0" w:space="0" w:color="auto"/>
            <w:right w:val="none" w:sz="0" w:space="0" w:color="auto"/>
          </w:divBdr>
        </w:div>
        <w:div w:id="1445734131">
          <w:marLeft w:val="640"/>
          <w:marRight w:val="0"/>
          <w:marTop w:val="0"/>
          <w:marBottom w:val="0"/>
          <w:divBdr>
            <w:top w:val="none" w:sz="0" w:space="0" w:color="auto"/>
            <w:left w:val="none" w:sz="0" w:space="0" w:color="auto"/>
            <w:bottom w:val="none" w:sz="0" w:space="0" w:color="auto"/>
            <w:right w:val="none" w:sz="0" w:space="0" w:color="auto"/>
          </w:divBdr>
        </w:div>
        <w:div w:id="1584727297">
          <w:marLeft w:val="640"/>
          <w:marRight w:val="0"/>
          <w:marTop w:val="0"/>
          <w:marBottom w:val="0"/>
          <w:divBdr>
            <w:top w:val="none" w:sz="0" w:space="0" w:color="auto"/>
            <w:left w:val="none" w:sz="0" w:space="0" w:color="auto"/>
            <w:bottom w:val="none" w:sz="0" w:space="0" w:color="auto"/>
            <w:right w:val="none" w:sz="0" w:space="0" w:color="auto"/>
          </w:divBdr>
        </w:div>
        <w:div w:id="2023624568">
          <w:marLeft w:val="640"/>
          <w:marRight w:val="0"/>
          <w:marTop w:val="0"/>
          <w:marBottom w:val="0"/>
          <w:divBdr>
            <w:top w:val="none" w:sz="0" w:space="0" w:color="auto"/>
            <w:left w:val="none" w:sz="0" w:space="0" w:color="auto"/>
            <w:bottom w:val="none" w:sz="0" w:space="0" w:color="auto"/>
            <w:right w:val="none" w:sz="0" w:space="0" w:color="auto"/>
          </w:divBdr>
        </w:div>
        <w:div w:id="1968470376">
          <w:marLeft w:val="640"/>
          <w:marRight w:val="0"/>
          <w:marTop w:val="0"/>
          <w:marBottom w:val="0"/>
          <w:divBdr>
            <w:top w:val="none" w:sz="0" w:space="0" w:color="auto"/>
            <w:left w:val="none" w:sz="0" w:space="0" w:color="auto"/>
            <w:bottom w:val="none" w:sz="0" w:space="0" w:color="auto"/>
            <w:right w:val="none" w:sz="0" w:space="0" w:color="auto"/>
          </w:divBdr>
        </w:div>
        <w:div w:id="845363131">
          <w:marLeft w:val="640"/>
          <w:marRight w:val="0"/>
          <w:marTop w:val="0"/>
          <w:marBottom w:val="0"/>
          <w:divBdr>
            <w:top w:val="none" w:sz="0" w:space="0" w:color="auto"/>
            <w:left w:val="none" w:sz="0" w:space="0" w:color="auto"/>
            <w:bottom w:val="none" w:sz="0" w:space="0" w:color="auto"/>
            <w:right w:val="none" w:sz="0" w:space="0" w:color="auto"/>
          </w:divBdr>
        </w:div>
        <w:div w:id="129907495">
          <w:marLeft w:val="640"/>
          <w:marRight w:val="0"/>
          <w:marTop w:val="0"/>
          <w:marBottom w:val="0"/>
          <w:divBdr>
            <w:top w:val="none" w:sz="0" w:space="0" w:color="auto"/>
            <w:left w:val="none" w:sz="0" w:space="0" w:color="auto"/>
            <w:bottom w:val="none" w:sz="0" w:space="0" w:color="auto"/>
            <w:right w:val="none" w:sz="0" w:space="0" w:color="auto"/>
          </w:divBdr>
        </w:div>
        <w:div w:id="1700744276">
          <w:marLeft w:val="640"/>
          <w:marRight w:val="0"/>
          <w:marTop w:val="0"/>
          <w:marBottom w:val="0"/>
          <w:divBdr>
            <w:top w:val="none" w:sz="0" w:space="0" w:color="auto"/>
            <w:left w:val="none" w:sz="0" w:space="0" w:color="auto"/>
            <w:bottom w:val="none" w:sz="0" w:space="0" w:color="auto"/>
            <w:right w:val="none" w:sz="0" w:space="0" w:color="auto"/>
          </w:divBdr>
        </w:div>
        <w:div w:id="1340429959">
          <w:marLeft w:val="640"/>
          <w:marRight w:val="0"/>
          <w:marTop w:val="0"/>
          <w:marBottom w:val="0"/>
          <w:divBdr>
            <w:top w:val="none" w:sz="0" w:space="0" w:color="auto"/>
            <w:left w:val="none" w:sz="0" w:space="0" w:color="auto"/>
            <w:bottom w:val="none" w:sz="0" w:space="0" w:color="auto"/>
            <w:right w:val="none" w:sz="0" w:space="0" w:color="auto"/>
          </w:divBdr>
        </w:div>
        <w:div w:id="695737796">
          <w:marLeft w:val="640"/>
          <w:marRight w:val="0"/>
          <w:marTop w:val="0"/>
          <w:marBottom w:val="0"/>
          <w:divBdr>
            <w:top w:val="none" w:sz="0" w:space="0" w:color="auto"/>
            <w:left w:val="none" w:sz="0" w:space="0" w:color="auto"/>
            <w:bottom w:val="none" w:sz="0" w:space="0" w:color="auto"/>
            <w:right w:val="none" w:sz="0" w:space="0" w:color="auto"/>
          </w:divBdr>
        </w:div>
        <w:div w:id="1755663511">
          <w:marLeft w:val="640"/>
          <w:marRight w:val="0"/>
          <w:marTop w:val="0"/>
          <w:marBottom w:val="0"/>
          <w:divBdr>
            <w:top w:val="none" w:sz="0" w:space="0" w:color="auto"/>
            <w:left w:val="none" w:sz="0" w:space="0" w:color="auto"/>
            <w:bottom w:val="none" w:sz="0" w:space="0" w:color="auto"/>
            <w:right w:val="none" w:sz="0" w:space="0" w:color="auto"/>
          </w:divBdr>
        </w:div>
        <w:div w:id="1845777736">
          <w:marLeft w:val="640"/>
          <w:marRight w:val="0"/>
          <w:marTop w:val="0"/>
          <w:marBottom w:val="0"/>
          <w:divBdr>
            <w:top w:val="none" w:sz="0" w:space="0" w:color="auto"/>
            <w:left w:val="none" w:sz="0" w:space="0" w:color="auto"/>
            <w:bottom w:val="none" w:sz="0" w:space="0" w:color="auto"/>
            <w:right w:val="none" w:sz="0" w:space="0" w:color="auto"/>
          </w:divBdr>
        </w:div>
        <w:div w:id="1132672158">
          <w:marLeft w:val="640"/>
          <w:marRight w:val="0"/>
          <w:marTop w:val="0"/>
          <w:marBottom w:val="0"/>
          <w:divBdr>
            <w:top w:val="none" w:sz="0" w:space="0" w:color="auto"/>
            <w:left w:val="none" w:sz="0" w:space="0" w:color="auto"/>
            <w:bottom w:val="none" w:sz="0" w:space="0" w:color="auto"/>
            <w:right w:val="none" w:sz="0" w:space="0" w:color="auto"/>
          </w:divBdr>
        </w:div>
        <w:div w:id="788166822">
          <w:marLeft w:val="640"/>
          <w:marRight w:val="0"/>
          <w:marTop w:val="0"/>
          <w:marBottom w:val="0"/>
          <w:divBdr>
            <w:top w:val="none" w:sz="0" w:space="0" w:color="auto"/>
            <w:left w:val="none" w:sz="0" w:space="0" w:color="auto"/>
            <w:bottom w:val="none" w:sz="0" w:space="0" w:color="auto"/>
            <w:right w:val="none" w:sz="0" w:space="0" w:color="auto"/>
          </w:divBdr>
        </w:div>
        <w:div w:id="613903129">
          <w:marLeft w:val="640"/>
          <w:marRight w:val="0"/>
          <w:marTop w:val="0"/>
          <w:marBottom w:val="0"/>
          <w:divBdr>
            <w:top w:val="none" w:sz="0" w:space="0" w:color="auto"/>
            <w:left w:val="none" w:sz="0" w:space="0" w:color="auto"/>
            <w:bottom w:val="none" w:sz="0" w:space="0" w:color="auto"/>
            <w:right w:val="none" w:sz="0" w:space="0" w:color="auto"/>
          </w:divBdr>
        </w:div>
        <w:div w:id="1472290518">
          <w:marLeft w:val="640"/>
          <w:marRight w:val="0"/>
          <w:marTop w:val="0"/>
          <w:marBottom w:val="0"/>
          <w:divBdr>
            <w:top w:val="none" w:sz="0" w:space="0" w:color="auto"/>
            <w:left w:val="none" w:sz="0" w:space="0" w:color="auto"/>
            <w:bottom w:val="none" w:sz="0" w:space="0" w:color="auto"/>
            <w:right w:val="none" w:sz="0" w:space="0" w:color="auto"/>
          </w:divBdr>
        </w:div>
        <w:div w:id="1666664969">
          <w:marLeft w:val="640"/>
          <w:marRight w:val="0"/>
          <w:marTop w:val="0"/>
          <w:marBottom w:val="0"/>
          <w:divBdr>
            <w:top w:val="none" w:sz="0" w:space="0" w:color="auto"/>
            <w:left w:val="none" w:sz="0" w:space="0" w:color="auto"/>
            <w:bottom w:val="none" w:sz="0" w:space="0" w:color="auto"/>
            <w:right w:val="none" w:sz="0" w:space="0" w:color="auto"/>
          </w:divBdr>
        </w:div>
        <w:div w:id="1663778518">
          <w:marLeft w:val="640"/>
          <w:marRight w:val="0"/>
          <w:marTop w:val="0"/>
          <w:marBottom w:val="0"/>
          <w:divBdr>
            <w:top w:val="none" w:sz="0" w:space="0" w:color="auto"/>
            <w:left w:val="none" w:sz="0" w:space="0" w:color="auto"/>
            <w:bottom w:val="none" w:sz="0" w:space="0" w:color="auto"/>
            <w:right w:val="none" w:sz="0" w:space="0" w:color="auto"/>
          </w:divBdr>
        </w:div>
        <w:div w:id="869800215">
          <w:marLeft w:val="640"/>
          <w:marRight w:val="0"/>
          <w:marTop w:val="0"/>
          <w:marBottom w:val="0"/>
          <w:divBdr>
            <w:top w:val="none" w:sz="0" w:space="0" w:color="auto"/>
            <w:left w:val="none" w:sz="0" w:space="0" w:color="auto"/>
            <w:bottom w:val="none" w:sz="0" w:space="0" w:color="auto"/>
            <w:right w:val="none" w:sz="0" w:space="0" w:color="auto"/>
          </w:divBdr>
        </w:div>
        <w:div w:id="474034170">
          <w:marLeft w:val="640"/>
          <w:marRight w:val="0"/>
          <w:marTop w:val="0"/>
          <w:marBottom w:val="0"/>
          <w:divBdr>
            <w:top w:val="none" w:sz="0" w:space="0" w:color="auto"/>
            <w:left w:val="none" w:sz="0" w:space="0" w:color="auto"/>
            <w:bottom w:val="none" w:sz="0" w:space="0" w:color="auto"/>
            <w:right w:val="none" w:sz="0" w:space="0" w:color="auto"/>
          </w:divBdr>
        </w:div>
        <w:div w:id="285157439">
          <w:marLeft w:val="640"/>
          <w:marRight w:val="0"/>
          <w:marTop w:val="0"/>
          <w:marBottom w:val="0"/>
          <w:divBdr>
            <w:top w:val="none" w:sz="0" w:space="0" w:color="auto"/>
            <w:left w:val="none" w:sz="0" w:space="0" w:color="auto"/>
            <w:bottom w:val="none" w:sz="0" w:space="0" w:color="auto"/>
            <w:right w:val="none" w:sz="0" w:space="0" w:color="auto"/>
          </w:divBdr>
        </w:div>
        <w:div w:id="532034308">
          <w:marLeft w:val="640"/>
          <w:marRight w:val="0"/>
          <w:marTop w:val="0"/>
          <w:marBottom w:val="0"/>
          <w:divBdr>
            <w:top w:val="none" w:sz="0" w:space="0" w:color="auto"/>
            <w:left w:val="none" w:sz="0" w:space="0" w:color="auto"/>
            <w:bottom w:val="none" w:sz="0" w:space="0" w:color="auto"/>
            <w:right w:val="none" w:sz="0" w:space="0" w:color="auto"/>
          </w:divBdr>
        </w:div>
        <w:div w:id="785926498">
          <w:marLeft w:val="640"/>
          <w:marRight w:val="0"/>
          <w:marTop w:val="0"/>
          <w:marBottom w:val="0"/>
          <w:divBdr>
            <w:top w:val="none" w:sz="0" w:space="0" w:color="auto"/>
            <w:left w:val="none" w:sz="0" w:space="0" w:color="auto"/>
            <w:bottom w:val="none" w:sz="0" w:space="0" w:color="auto"/>
            <w:right w:val="none" w:sz="0" w:space="0" w:color="auto"/>
          </w:divBdr>
        </w:div>
        <w:div w:id="1352418673">
          <w:marLeft w:val="640"/>
          <w:marRight w:val="0"/>
          <w:marTop w:val="0"/>
          <w:marBottom w:val="0"/>
          <w:divBdr>
            <w:top w:val="none" w:sz="0" w:space="0" w:color="auto"/>
            <w:left w:val="none" w:sz="0" w:space="0" w:color="auto"/>
            <w:bottom w:val="none" w:sz="0" w:space="0" w:color="auto"/>
            <w:right w:val="none" w:sz="0" w:space="0" w:color="auto"/>
          </w:divBdr>
        </w:div>
        <w:div w:id="790708929">
          <w:marLeft w:val="640"/>
          <w:marRight w:val="0"/>
          <w:marTop w:val="0"/>
          <w:marBottom w:val="0"/>
          <w:divBdr>
            <w:top w:val="none" w:sz="0" w:space="0" w:color="auto"/>
            <w:left w:val="none" w:sz="0" w:space="0" w:color="auto"/>
            <w:bottom w:val="none" w:sz="0" w:space="0" w:color="auto"/>
            <w:right w:val="none" w:sz="0" w:space="0" w:color="auto"/>
          </w:divBdr>
        </w:div>
        <w:div w:id="18245716">
          <w:marLeft w:val="640"/>
          <w:marRight w:val="0"/>
          <w:marTop w:val="0"/>
          <w:marBottom w:val="0"/>
          <w:divBdr>
            <w:top w:val="none" w:sz="0" w:space="0" w:color="auto"/>
            <w:left w:val="none" w:sz="0" w:space="0" w:color="auto"/>
            <w:bottom w:val="none" w:sz="0" w:space="0" w:color="auto"/>
            <w:right w:val="none" w:sz="0" w:space="0" w:color="auto"/>
          </w:divBdr>
        </w:div>
        <w:div w:id="133565156">
          <w:marLeft w:val="640"/>
          <w:marRight w:val="0"/>
          <w:marTop w:val="0"/>
          <w:marBottom w:val="0"/>
          <w:divBdr>
            <w:top w:val="none" w:sz="0" w:space="0" w:color="auto"/>
            <w:left w:val="none" w:sz="0" w:space="0" w:color="auto"/>
            <w:bottom w:val="none" w:sz="0" w:space="0" w:color="auto"/>
            <w:right w:val="none" w:sz="0" w:space="0" w:color="auto"/>
          </w:divBdr>
        </w:div>
        <w:div w:id="1519925985">
          <w:marLeft w:val="640"/>
          <w:marRight w:val="0"/>
          <w:marTop w:val="0"/>
          <w:marBottom w:val="0"/>
          <w:divBdr>
            <w:top w:val="none" w:sz="0" w:space="0" w:color="auto"/>
            <w:left w:val="none" w:sz="0" w:space="0" w:color="auto"/>
            <w:bottom w:val="none" w:sz="0" w:space="0" w:color="auto"/>
            <w:right w:val="none" w:sz="0" w:space="0" w:color="auto"/>
          </w:divBdr>
        </w:div>
        <w:div w:id="1520899370">
          <w:marLeft w:val="640"/>
          <w:marRight w:val="0"/>
          <w:marTop w:val="0"/>
          <w:marBottom w:val="0"/>
          <w:divBdr>
            <w:top w:val="none" w:sz="0" w:space="0" w:color="auto"/>
            <w:left w:val="none" w:sz="0" w:space="0" w:color="auto"/>
            <w:bottom w:val="none" w:sz="0" w:space="0" w:color="auto"/>
            <w:right w:val="none" w:sz="0" w:space="0" w:color="auto"/>
          </w:divBdr>
        </w:div>
        <w:div w:id="203904685">
          <w:marLeft w:val="640"/>
          <w:marRight w:val="0"/>
          <w:marTop w:val="0"/>
          <w:marBottom w:val="0"/>
          <w:divBdr>
            <w:top w:val="none" w:sz="0" w:space="0" w:color="auto"/>
            <w:left w:val="none" w:sz="0" w:space="0" w:color="auto"/>
            <w:bottom w:val="none" w:sz="0" w:space="0" w:color="auto"/>
            <w:right w:val="none" w:sz="0" w:space="0" w:color="auto"/>
          </w:divBdr>
        </w:div>
        <w:div w:id="1361319341">
          <w:marLeft w:val="640"/>
          <w:marRight w:val="0"/>
          <w:marTop w:val="0"/>
          <w:marBottom w:val="0"/>
          <w:divBdr>
            <w:top w:val="none" w:sz="0" w:space="0" w:color="auto"/>
            <w:left w:val="none" w:sz="0" w:space="0" w:color="auto"/>
            <w:bottom w:val="none" w:sz="0" w:space="0" w:color="auto"/>
            <w:right w:val="none" w:sz="0" w:space="0" w:color="auto"/>
          </w:divBdr>
        </w:div>
        <w:div w:id="283388044">
          <w:marLeft w:val="640"/>
          <w:marRight w:val="0"/>
          <w:marTop w:val="0"/>
          <w:marBottom w:val="0"/>
          <w:divBdr>
            <w:top w:val="none" w:sz="0" w:space="0" w:color="auto"/>
            <w:left w:val="none" w:sz="0" w:space="0" w:color="auto"/>
            <w:bottom w:val="none" w:sz="0" w:space="0" w:color="auto"/>
            <w:right w:val="none" w:sz="0" w:space="0" w:color="auto"/>
          </w:divBdr>
        </w:div>
        <w:div w:id="173763840">
          <w:marLeft w:val="640"/>
          <w:marRight w:val="0"/>
          <w:marTop w:val="0"/>
          <w:marBottom w:val="0"/>
          <w:divBdr>
            <w:top w:val="none" w:sz="0" w:space="0" w:color="auto"/>
            <w:left w:val="none" w:sz="0" w:space="0" w:color="auto"/>
            <w:bottom w:val="none" w:sz="0" w:space="0" w:color="auto"/>
            <w:right w:val="none" w:sz="0" w:space="0" w:color="auto"/>
          </w:divBdr>
        </w:div>
        <w:div w:id="786629375">
          <w:marLeft w:val="640"/>
          <w:marRight w:val="0"/>
          <w:marTop w:val="0"/>
          <w:marBottom w:val="0"/>
          <w:divBdr>
            <w:top w:val="none" w:sz="0" w:space="0" w:color="auto"/>
            <w:left w:val="none" w:sz="0" w:space="0" w:color="auto"/>
            <w:bottom w:val="none" w:sz="0" w:space="0" w:color="auto"/>
            <w:right w:val="none" w:sz="0" w:space="0" w:color="auto"/>
          </w:divBdr>
        </w:div>
        <w:div w:id="2075004897">
          <w:marLeft w:val="640"/>
          <w:marRight w:val="0"/>
          <w:marTop w:val="0"/>
          <w:marBottom w:val="0"/>
          <w:divBdr>
            <w:top w:val="none" w:sz="0" w:space="0" w:color="auto"/>
            <w:left w:val="none" w:sz="0" w:space="0" w:color="auto"/>
            <w:bottom w:val="none" w:sz="0" w:space="0" w:color="auto"/>
            <w:right w:val="none" w:sz="0" w:space="0" w:color="auto"/>
          </w:divBdr>
        </w:div>
        <w:div w:id="1067458506">
          <w:marLeft w:val="640"/>
          <w:marRight w:val="0"/>
          <w:marTop w:val="0"/>
          <w:marBottom w:val="0"/>
          <w:divBdr>
            <w:top w:val="none" w:sz="0" w:space="0" w:color="auto"/>
            <w:left w:val="none" w:sz="0" w:space="0" w:color="auto"/>
            <w:bottom w:val="none" w:sz="0" w:space="0" w:color="auto"/>
            <w:right w:val="none" w:sz="0" w:space="0" w:color="auto"/>
          </w:divBdr>
        </w:div>
        <w:div w:id="723918483">
          <w:marLeft w:val="640"/>
          <w:marRight w:val="0"/>
          <w:marTop w:val="0"/>
          <w:marBottom w:val="0"/>
          <w:divBdr>
            <w:top w:val="none" w:sz="0" w:space="0" w:color="auto"/>
            <w:left w:val="none" w:sz="0" w:space="0" w:color="auto"/>
            <w:bottom w:val="none" w:sz="0" w:space="0" w:color="auto"/>
            <w:right w:val="none" w:sz="0" w:space="0" w:color="auto"/>
          </w:divBdr>
        </w:div>
        <w:div w:id="135533279">
          <w:marLeft w:val="640"/>
          <w:marRight w:val="0"/>
          <w:marTop w:val="0"/>
          <w:marBottom w:val="0"/>
          <w:divBdr>
            <w:top w:val="none" w:sz="0" w:space="0" w:color="auto"/>
            <w:left w:val="none" w:sz="0" w:space="0" w:color="auto"/>
            <w:bottom w:val="none" w:sz="0" w:space="0" w:color="auto"/>
            <w:right w:val="none" w:sz="0" w:space="0" w:color="auto"/>
          </w:divBdr>
        </w:div>
        <w:div w:id="149493157">
          <w:marLeft w:val="640"/>
          <w:marRight w:val="0"/>
          <w:marTop w:val="0"/>
          <w:marBottom w:val="0"/>
          <w:divBdr>
            <w:top w:val="none" w:sz="0" w:space="0" w:color="auto"/>
            <w:left w:val="none" w:sz="0" w:space="0" w:color="auto"/>
            <w:bottom w:val="none" w:sz="0" w:space="0" w:color="auto"/>
            <w:right w:val="none" w:sz="0" w:space="0" w:color="auto"/>
          </w:divBdr>
        </w:div>
        <w:div w:id="2052221000">
          <w:marLeft w:val="640"/>
          <w:marRight w:val="0"/>
          <w:marTop w:val="0"/>
          <w:marBottom w:val="0"/>
          <w:divBdr>
            <w:top w:val="none" w:sz="0" w:space="0" w:color="auto"/>
            <w:left w:val="none" w:sz="0" w:space="0" w:color="auto"/>
            <w:bottom w:val="none" w:sz="0" w:space="0" w:color="auto"/>
            <w:right w:val="none" w:sz="0" w:space="0" w:color="auto"/>
          </w:divBdr>
        </w:div>
        <w:div w:id="1231842767">
          <w:marLeft w:val="640"/>
          <w:marRight w:val="0"/>
          <w:marTop w:val="0"/>
          <w:marBottom w:val="0"/>
          <w:divBdr>
            <w:top w:val="none" w:sz="0" w:space="0" w:color="auto"/>
            <w:left w:val="none" w:sz="0" w:space="0" w:color="auto"/>
            <w:bottom w:val="none" w:sz="0" w:space="0" w:color="auto"/>
            <w:right w:val="none" w:sz="0" w:space="0" w:color="auto"/>
          </w:divBdr>
        </w:div>
        <w:div w:id="880288252">
          <w:marLeft w:val="640"/>
          <w:marRight w:val="0"/>
          <w:marTop w:val="0"/>
          <w:marBottom w:val="0"/>
          <w:divBdr>
            <w:top w:val="none" w:sz="0" w:space="0" w:color="auto"/>
            <w:left w:val="none" w:sz="0" w:space="0" w:color="auto"/>
            <w:bottom w:val="none" w:sz="0" w:space="0" w:color="auto"/>
            <w:right w:val="none" w:sz="0" w:space="0" w:color="auto"/>
          </w:divBdr>
        </w:div>
        <w:div w:id="1351031383">
          <w:marLeft w:val="640"/>
          <w:marRight w:val="0"/>
          <w:marTop w:val="0"/>
          <w:marBottom w:val="0"/>
          <w:divBdr>
            <w:top w:val="none" w:sz="0" w:space="0" w:color="auto"/>
            <w:left w:val="none" w:sz="0" w:space="0" w:color="auto"/>
            <w:bottom w:val="none" w:sz="0" w:space="0" w:color="auto"/>
            <w:right w:val="none" w:sz="0" w:space="0" w:color="auto"/>
          </w:divBdr>
        </w:div>
        <w:div w:id="449592196">
          <w:marLeft w:val="640"/>
          <w:marRight w:val="0"/>
          <w:marTop w:val="0"/>
          <w:marBottom w:val="0"/>
          <w:divBdr>
            <w:top w:val="none" w:sz="0" w:space="0" w:color="auto"/>
            <w:left w:val="none" w:sz="0" w:space="0" w:color="auto"/>
            <w:bottom w:val="none" w:sz="0" w:space="0" w:color="auto"/>
            <w:right w:val="none" w:sz="0" w:space="0" w:color="auto"/>
          </w:divBdr>
        </w:div>
        <w:div w:id="1315987709">
          <w:marLeft w:val="640"/>
          <w:marRight w:val="0"/>
          <w:marTop w:val="0"/>
          <w:marBottom w:val="0"/>
          <w:divBdr>
            <w:top w:val="none" w:sz="0" w:space="0" w:color="auto"/>
            <w:left w:val="none" w:sz="0" w:space="0" w:color="auto"/>
            <w:bottom w:val="none" w:sz="0" w:space="0" w:color="auto"/>
            <w:right w:val="none" w:sz="0" w:space="0" w:color="auto"/>
          </w:divBdr>
        </w:div>
        <w:div w:id="2051345204">
          <w:marLeft w:val="640"/>
          <w:marRight w:val="0"/>
          <w:marTop w:val="0"/>
          <w:marBottom w:val="0"/>
          <w:divBdr>
            <w:top w:val="none" w:sz="0" w:space="0" w:color="auto"/>
            <w:left w:val="none" w:sz="0" w:space="0" w:color="auto"/>
            <w:bottom w:val="none" w:sz="0" w:space="0" w:color="auto"/>
            <w:right w:val="none" w:sz="0" w:space="0" w:color="auto"/>
          </w:divBdr>
        </w:div>
        <w:div w:id="1523085851">
          <w:marLeft w:val="640"/>
          <w:marRight w:val="0"/>
          <w:marTop w:val="0"/>
          <w:marBottom w:val="0"/>
          <w:divBdr>
            <w:top w:val="none" w:sz="0" w:space="0" w:color="auto"/>
            <w:left w:val="none" w:sz="0" w:space="0" w:color="auto"/>
            <w:bottom w:val="none" w:sz="0" w:space="0" w:color="auto"/>
            <w:right w:val="none" w:sz="0" w:space="0" w:color="auto"/>
          </w:divBdr>
        </w:div>
        <w:div w:id="398135239">
          <w:marLeft w:val="640"/>
          <w:marRight w:val="0"/>
          <w:marTop w:val="0"/>
          <w:marBottom w:val="0"/>
          <w:divBdr>
            <w:top w:val="none" w:sz="0" w:space="0" w:color="auto"/>
            <w:left w:val="none" w:sz="0" w:space="0" w:color="auto"/>
            <w:bottom w:val="none" w:sz="0" w:space="0" w:color="auto"/>
            <w:right w:val="none" w:sz="0" w:space="0" w:color="auto"/>
          </w:divBdr>
        </w:div>
        <w:div w:id="1421292178">
          <w:marLeft w:val="640"/>
          <w:marRight w:val="0"/>
          <w:marTop w:val="0"/>
          <w:marBottom w:val="0"/>
          <w:divBdr>
            <w:top w:val="none" w:sz="0" w:space="0" w:color="auto"/>
            <w:left w:val="none" w:sz="0" w:space="0" w:color="auto"/>
            <w:bottom w:val="none" w:sz="0" w:space="0" w:color="auto"/>
            <w:right w:val="none" w:sz="0" w:space="0" w:color="auto"/>
          </w:divBdr>
        </w:div>
        <w:div w:id="812482396">
          <w:marLeft w:val="640"/>
          <w:marRight w:val="0"/>
          <w:marTop w:val="0"/>
          <w:marBottom w:val="0"/>
          <w:divBdr>
            <w:top w:val="none" w:sz="0" w:space="0" w:color="auto"/>
            <w:left w:val="none" w:sz="0" w:space="0" w:color="auto"/>
            <w:bottom w:val="none" w:sz="0" w:space="0" w:color="auto"/>
            <w:right w:val="none" w:sz="0" w:space="0" w:color="auto"/>
          </w:divBdr>
        </w:div>
        <w:div w:id="204220175">
          <w:marLeft w:val="640"/>
          <w:marRight w:val="0"/>
          <w:marTop w:val="0"/>
          <w:marBottom w:val="0"/>
          <w:divBdr>
            <w:top w:val="none" w:sz="0" w:space="0" w:color="auto"/>
            <w:left w:val="none" w:sz="0" w:space="0" w:color="auto"/>
            <w:bottom w:val="none" w:sz="0" w:space="0" w:color="auto"/>
            <w:right w:val="none" w:sz="0" w:space="0" w:color="auto"/>
          </w:divBdr>
        </w:div>
        <w:div w:id="2101487073">
          <w:marLeft w:val="640"/>
          <w:marRight w:val="0"/>
          <w:marTop w:val="0"/>
          <w:marBottom w:val="0"/>
          <w:divBdr>
            <w:top w:val="none" w:sz="0" w:space="0" w:color="auto"/>
            <w:left w:val="none" w:sz="0" w:space="0" w:color="auto"/>
            <w:bottom w:val="none" w:sz="0" w:space="0" w:color="auto"/>
            <w:right w:val="none" w:sz="0" w:space="0" w:color="auto"/>
          </w:divBdr>
        </w:div>
        <w:div w:id="1011951811">
          <w:marLeft w:val="640"/>
          <w:marRight w:val="0"/>
          <w:marTop w:val="0"/>
          <w:marBottom w:val="0"/>
          <w:divBdr>
            <w:top w:val="none" w:sz="0" w:space="0" w:color="auto"/>
            <w:left w:val="none" w:sz="0" w:space="0" w:color="auto"/>
            <w:bottom w:val="none" w:sz="0" w:space="0" w:color="auto"/>
            <w:right w:val="none" w:sz="0" w:space="0" w:color="auto"/>
          </w:divBdr>
        </w:div>
        <w:div w:id="1431782553">
          <w:marLeft w:val="640"/>
          <w:marRight w:val="0"/>
          <w:marTop w:val="0"/>
          <w:marBottom w:val="0"/>
          <w:divBdr>
            <w:top w:val="none" w:sz="0" w:space="0" w:color="auto"/>
            <w:left w:val="none" w:sz="0" w:space="0" w:color="auto"/>
            <w:bottom w:val="none" w:sz="0" w:space="0" w:color="auto"/>
            <w:right w:val="none" w:sz="0" w:space="0" w:color="auto"/>
          </w:divBdr>
        </w:div>
        <w:div w:id="872577126">
          <w:marLeft w:val="640"/>
          <w:marRight w:val="0"/>
          <w:marTop w:val="0"/>
          <w:marBottom w:val="0"/>
          <w:divBdr>
            <w:top w:val="none" w:sz="0" w:space="0" w:color="auto"/>
            <w:left w:val="none" w:sz="0" w:space="0" w:color="auto"/>
            <w:bottom w:val="none" w:sz="0" w:space="0" w:color="auto"/>
            <w:right w:val="none" w:sz="0" w:space="0" w:color="auto"/>
          </w:divBdr>
        </w:div>
        <w:div w:id="483550362">
          <w:marLeft w:val="640"/>
          <w:marRight w:val="0"/>
          <w:marTop w:val="0"/>
          <w:marBottom w:val="0"/>
          <w:divBdr>
            <w:top w:val="none" w:sz="0" w:space="0" w:color="auto"/>
            <w:left w:val="none" w:sz="0" w:space="0" w:color="auto"/>
            <w:bottom w:val="none" w:sz="0" w:space="0" w:color="auto"/>
            <w:right w:val="none" w:sz="0" w:space="0" w:color="auto"/>
          </w:divBdr>
        </w:div>
        <w:div w:id="517427154">
          <w:marLeft w:val="640"/>
          <w:marRight w:val="0"/>
          <w:marTop w:val="0"/>
          <w:marBottom w:val="0"/>
          <w:divBdr>
            <w:top w:val="none" w:sz="0" w:space="0" w:color="auto"/>
            <w:left w:val="none" w:sz="0" w:space="0" w:color="auto"/>
            <w:bottom w:val="none" w:sz="0" w:space="0" w:color="auto"/>
            <w:right w:val="none" w:sz="0" w:space="0" w:color="auto"/>
          </w:divBdr>
        </w:div>
        <w:div w:id="1066533695">
          <w:marLeft w:val="640"/>
          <w:marRight w:val="0"/>
          <w:marTop w:val="0"/>
          <w:marBottom w:val="0"/>
          <w:divBdr>
            <w:top w:val="none" w:sz="0" w:space="0" w:color="auto"/>
            <w:left w:val="none" w:sz="0" w:space="0" w:color="auto"/>
            <w:bottom w:val="none" w:sz="0" w:space="0" w:color="auto"/>
            <w:right w:val="none" w:sz="0" w:space="0" w:color="auto"/>
          </w:divBdr>
        </w:div>
        <w:div w:id="593246577">
          <w:marLeft w:val="640"/>
          <w:marRight w:val="0"/>
          <w:marTop w:val="0"/>
          <w:marBottom w:val="0"/>
          <w:divBdr>
            <w:top w:val="none" w:sz="0" w:space="0" w:color="auto"/>
            <w:left w:val="none" w:sz="0" w:space="0" w:color="auto"/>
            <w:bottom w:val="none" w:sz="0" w:space="0" w:color="auto"/>
            <w:right w:val="none" w:sz="0" w:space="0" w:color="auto"/>
          </w:divBdr>
        </w:div>
        <w:div w:id="725371758">
          <w:marLeft w:val="640"/>
          <w:marRight w:val="0"/>
          <w:marTop w:val="0"/>
          <w:marBottom w:val="0"/>
          <w:divBdr>
            <w:top w:val="none" w:sz="0" w:space="0" w:color="auto"/>
            <w:left w:val="none" w:sz="0" w:space="0" w:color="auto"/>
            <w:bottom w:val="none" w:sz="0" w:space="0" w:color="auto"/>
            <w:right w:val="none" w:sz="0" w:space="0" w:color="auto"/>
          </w:divBdr>
        </w:div>
        <w:div w:id="1535657951">
          <w:marLeft w:val="640"/>
          <w:marRight w:val="0"/>
          <w:marTop w:val="0"/>
          <w:marBottom w:val="0"/>
          <w:divBdr>
            <w:top w:val="none" w:sz="0" w:space="0" w:color="auto"/>
            <w:left w:val="none" w:sz="0" w:space="0" w:color="auto"/>
            <w:bottom w:val="none" w:sz="0" w:space="0" w:color="auto"/>
            <w:right w:val="none" w:sz="0" w:space="0" w:color="auto"/>
          </w:divBdr>
        </w:div>
        <w:div w:id="1239901920">
          <w:marLeft w:val="640"/>
          <w:marRight w:val="0"/>
          <w:marTop w:val="0"/>
          <w:marBottom w:val="0"/>
          <w:divBdr>
            <w:top w:val="none" w:sz="0" w:space="0" w:color="auto"/>
            <w:left w:val="none" w:sz="0" w:space="0" w:color="auto"/>
            <w:bottom w:val="none" w:sz="0" w:space="0" w:color="auto"/>
            <w:right w:val="none" w:sz="0" w:space="0" w:color="auto"/>
          </w:divBdr>
        </w:div>
        <w:div w:id="994262455">
          <w:marLeft w:val="640"/>
          <w:marRight w:val="0"/>
          <w:marTop w:val="0"/>
          <w:marBottom w:val="0"/>
          <w:divBdr>
            <w:top w:val="none" w:sz="0" w:space="0" w:color="auto"/>
            <w:left w:val="none" w:sz="0" w:space="0" w:color="auto"/>
            <w:bottom w:val="none" w:sz="0" w:space="0" w:color="auto"/>
            <w:right w:val="none" w:sz="0" w:space="0" w:color="auto"/>
          </w:divBdr>
        </w:div>
        <w:div w:id="582955843">
          <w:marLeft w:val="640"/>
          <w:marRight w:val="0"/>
          <w:marTop w:val="0"/>
          <w:marBottom w:val="0"/>
          <w:divBdr>
            <w:top w:val="none" w:sz="0" w:space="0" w:color="auto"/>
            <w:left w:val="none" w:sz="0" w:space="0" w:color="auto"/>
            <w:bottom w:val="none" w:sz="0" w:space="0" w:color="auto"/>
            <w:right w:val="none" w:sz="0" w:space="0" w:color="auto"/>
          </w:divBdr>
        </w:div>
        <w:div w:id="914318793">
          <w:marLeft w:val="640"/>
          <w:marRight w:val="0"/>
          <w:marTop w:val="0"/>
          <w:marBottom w:val="0"/>
          <w:divBdr>
            <w:top w:val="none" w:sz="0" w:space="0" w:color="auto"/>
            <w:left w:val="none" w:sz="0" w:space="0" w:color="auto"/>
            <w:bottom w:val="none" w:sz="0" w:space="0" w:color="auto"/>
            <w:right w:val="none" w:sz="0" w:space="0" w:color="auto"/>
          </w:divBdr>
        </w:div>
        <w:div w:id="13382479">
          <w:marLeft w:val="640"/>
          <w:marRight w:val="0"/>
          <w:marTop w:val="0"/>
          <w:marBottom w:val="0"/>
          <w:divBdr>
            <w:top w:val="none" w:sz="0" w:space="0" w:color="auto"/>
            <w:left w:val="none" w:sz="0" w:space="0" w:color="auto"/>
            <w:bottom w:val="none" w:sz="0" w:space="0" w:color="auto"/>
            <w:right w:val="none" w:sz="0" w:space="0" w:color="auto"/>
          </w:divBdr>
        </w:div>
        <w:div w:id="1929460097">
          <w:marLeft w:val="640"/>
          <w:marRight w:val="0"/>
          <w:marTop w:val="0"/>
          <w:marBottom w:val="0"/>
          <w:divBdr>
            <w:top w:val="none" w:sz="0" w:space="0" w:color="auto"/>
            <w:left w:val="none" w:sz="0" w:space="0" w:color="auto"/>
            <w:bottom w:val="none" w:sz="0" w:space="0" w:color="auto"/>
            <w:right w:val="none" w:sz="0" w:space="0" w:color="auto"/>
          </w:divBdr>
        </w:div>
        <w:div w:id="386536952">
          <w:marLeft w:val="640"/>
          <w:marRight w:val="0"/>
          <w:marTop w:val="0"/>
          <w:marBottom w:val="0"/>
          <w:divBdr>
            <w:top w:val="none" w:sz="0" w:space="0" w:color="auto"/>
            <w:left w:val="none" w:sz="0" w:space="0" w:color="auto"/>
            <w:bottom w:val="none" w:sz="0" w:space="0" w:color="auto"/>
            <w:right w:val="none" w:sz="0" w:space="0" w:color="auto"/>
          </w:divBdr>
        </w:div>
        <w:div w:id="1324746050">
          <w:marLeft w:val="640"/>
          <w:marRight w:val="0"/>
          <w:marTop w:val="0"/>
          <w:marBottom w:val="0"/>
          <w:divBdr>
            <w:top w:val="none" w:sz="0" w:space="0" w:color="auto"/>
            <w:left w:val="none" w:sz="0" w:space="0" w:color="auto"/>
            <w:bottom w:val="none" w:sz="0" w:space="0" w:color="auto"/>
            <w:right w:val="none" w:sz="0" w:space="0" w:color="auto"/>
          </w:divBdr>
        </w:div>
        <w:div w:id="813522873">
          <w:marLeft w:val="640"/>
          <w:marRight w:val="0"/>
          <w:marTop w:val="0"/>
          <w:marBottom w:val="0"/>
          <w:divBdr>
            <w:top w:val="none" w:sz="0" w:space="0" w:color="auto"/>
            <w:left w:val="none" w:sz="0" w:space="0" w:color="auto"/>
            <w:bottom w:val="none" w:sz="0" w:space="0" w:color="auto"/>
            <w:right w:val="none" w:sz="0" w:space="0" w:color="auto"/>
          </w:divBdr>
        </w:div>
        <w:div w:id="1568490430">
          <w:marLeft w:val="640"/>
          <w:marRight w:val="0"/>
          <w:marTop w:val="0"/>
          <w:marBottom w:val="0"/>
          <w:divBdr>
            <w:top w:val="none" w:sz="0" w:space="0" w:color="auto"/>
            <w:left w:val="none" w:sz="0" w:space="0" w:color="auto"/>
            <w:bottom w:val="none" w:sz="0" w:space="0" w:color="auto"/>
            <w:right w:val="none" w:sz="0" w:space="0" w:color="auto"/>
          </w:divBdr>
        </w:div>
        <w:div w:id="1647050902">
          <w:marLeft w:val="640"/>
          <w:marRight w:val="0"/>
          <w:marTop w:val="0"/>
          <w:marBottom w:val="0"/>
          <w:divBdr>
            <w:top w:val="none" w:sz="0" w:space="0" w:color="auto"/>
            <w:left w:val="none" w:sz="0" w:space="0" w:color="auto"/>
            <w:bottom w:val="none" w:sz="0" w:space="0" w:color="auto"/>
            <w:right w:val="none" w:sz="0" w:space="0" w:color="auto"/>
          </w:divBdr>
        </w:div>
        <w:div w:id="2082100795">
          <w:marLeft w:val="640"/>
          <w:marRight w:val="0"/>
          <w:marTop w:val="0"/>
          <w:marBottom w:val="0"/>
          <w:divBdr>
            <w:top w:val="none" w:sz="0" w:space="0" w:color="auto"/>
            <w:left w:val="none" w:sz="0" w:space="0" w:color="auto"/>
            <w:bottom w:val="none" w:sz="0" w:space="0" w:color="auto"/>
            <w:right w:val="none" w:sz="0" w:space="0" w:color="auto"/>
          </w:divBdr>
        </w:div>
        <w:div w:id="783155234">
          <w:marLeft w:val="640"/>
          <w:marRight w:val="0"/>
          <w:marTop w:val="0"/>
          <w:marBottom w:val="0"/>
          <w:divBdr>
            <w:top w:val="none" w:sz="0" w:space="0" w:color="auto"/>
            <w:left w:val="none" w:sz="0" w:space="0" w:color="auto"/>
            <w:bottom w:val="none" w:sz="0" w:space="0" w:color="auto"/>
            <w:right w:val="none" w:sz="0" w:space="0" w:color="auto"/>
          </w:divBdr>
        </w:div>
        <w:div w:id="552696036">
          <w:marLeft w:val="640"/>
          <w:marRight w:val="0"/>
          <w:marTop w:val="0"/>
          <w:marBottom w:val="0"/>
          <w:divBdr>
            <w:top w:val="none" w:sz="0" w:space="0" w:color="auto"/>
            <w:left w:val="none" w:sz="0" w:space="0" w:color="auto"/>
            <w:bottom w:val="none" w:sz="0" w:space="0" w:color="auto"/>
            <w:right w:val="none" w:sz="0" w:space="0" w:color="auto"/>
          </w:divBdr>
        </w:div>
        <w:div w:id="2034455384">
          <w:marLeft w:val="640"/>
          <w:marRight w:val="0"/>
          <w:marTop w:val="0"/>
          <w:marBottom w:val="0"/>
          <w:divBdr>
            <w:top w:val="none" w:sz="0" w:space="0" w:color="auto"/>
            <w:left w:val="none" w:sz="0" w:space="0" w:color="auto"/>
            <w:bottom w:val="none" w:sz="0" w:space="0" w:color="auto"/>
            <w:right w:val="none" w:sz="0" w:space="0" w:color="auto"/>
          </w:divBdr>
        </w:div>
        <w:div w:id="1960257057">
          <w:marLeft w:val="640"/>
          <w:marRight w:val="0"/>
          <w:marTop w:val="0"/>
          <w:marBottom w:val="0"/>
          <w:divBdr>
            <w:top w:val="none" w:sz="0" w:space="0" w:color="auto"/>
            <w:left w:val="none" w:sz="0" w:space="0" w:color="auto"/>
            <w:bottom w:val="none" w:sz="0" w:space="0" w:color="auto"/>
            <w:right w:val="none" w:sz="0" w:space="0" w:color="auto"/>
          </w:divBdr>
        </w:div>
        <w:div w:id="1257637193">
          <w:marLeft w:val="640"/>
          <w:marRight w:val="0"/>
          <w:marTop w:val="0"/>
          <w:marBottom w:val="0"/>
          <w:divBdr>
            <w:top w:val="none" w:sz="0" w:space="0" w:color="auto"/>
            <w:left w:val="none" w:sz="0" w:space="0" w:color="auto"/>
            <w:bottom w:val="none" w:sz="0" w:space="0" w:color="auto"/>
            <w:right w:val="none" w:sz="0" w:space="0" w:color="auto"/>
          </w:divBdr>
        </w:div>
        <w:div w:id="1476413346">
          <w:marLeft w:val="640"/>
          <w:marRight w:val="0"/>
          <w:marTop w:val="0"/>
          <w:marBottom w:val="0"/>
          <w:divBdr>
            <w:top w:val="none" w:sz="0" w:space="0" w:color="auto"/>
            <w:left w:val="none" w:sz="0" w:space="0" w:color="auto"/>
            <w:bottom w:val="none" w:sz="0" w:space="0" w:color="auto"/>
            <w:right w:val="none" w:sz="0" w:space="0" w:color="auto"/>
          </w:divBdr>
        </w:div>
        <w:div w:id="1018234486">
          <w:marLeft w:val="640"/>
          <w:marRight w:val="0"/>
          <w:marTop w:val="0"/>
          <w:marBottom w:val="0"/>
          <w:divBdr>
            <w:top w:val="none" w:sz="0" w:space="0" w:color="auto"/>
            <w:left w:val="none" w:sz="0" w:space="0" w:color="auto"/>
            <w:bottom w:val="none" w:sz="0" w:space="0" w:color="auto"/>
            <w:right w:val="none" w:sz="0" w:space="0" w:color="auto"/>
          </w:divBdr>
        </w:div>
        <w:div w:id="1696610724">
          <w:marLeft w:val="640"/>
          <w:marRight w:val="0"/>
          <w:marTop w:val="0"/>
          <w:marBottom w:val="0"/>
          <w:divBdr>
            <w:top w:val="none" w:sz="0" w:space="0" w:color="auto"/>
            <w:left w:val="none" w:sz="0" w:space="0" w:color="auto"/>
            <w:bottom w:val="none" w:sz="0" w:space="0" w:color="auto"/>
            <w:right w:val="none" w:sz="0" w:space="0" w:color="auto"/>
          </w:divBdr>
        </w:div>
        <w:div w:id="1734625027">
          <w:marLeft w:val="640"/>
          <w:marRight w:val="0"/>
          <w:marTop w:val="0"/>
          <w:marBottom w:val="0"/>
          <w:divBdr>
            <w:top w:val="none" w:sz="0" w:space="0" w:color="auto"/>
            <w:left w:val="none" w:sz="0" w:space="0" w:color="auto"/>
            <w:bottom w:val="none" w:sz="0" w:space="0" w:color="auto"/>
            <w:right w:val="none" w:sz="0" w:space="0" w:color="auto"/>
          </w:divBdr>
        </w:div>
        <w:div w:id="1747452215">
          <w:marLeft w:val="640"/>
          <w:marRight w:val="0"/>
          <w:marTop w:val="0"/>
          <w:marBottom w:val="0"/>
          <w:divBdr>
            <w:top w:val="none" w:sz="0" w:space="0" w:color="auto"/>
            <w:left w:val="none" w:sz="0" w:space="0" w:color="auto"/>
            <w:bottom w:val="none" w:sz="0" w:space="0" w:color="auto"/>
            <w:right w:val="none" w:sz="0" w:space="0" w:color="auto"/>
          </w:divBdr>
        </w:div>
        <w:div w:id="400517649">
          <w:marLeft w:val="640"/>
          <w:marRight w:val="0"/>
          <w:marTop w:val="0"/>
          <w:marBottom w:val="0"/>
          <w:divBdr>
            <w:top w:val="none" w:sz="0" w:space="0" w:color="auto"/>
            <w:left w:val="none" w:sz="0" w:space="0" w:color="auto"/>
            <w:bottom w:val="none" w:sz="0" w:space="0" w:color="auto"/>
            <w:right w:val="none" w:sz="0" w:space="0" w:color="auto"/>
          </w:divBdr>
        </w:div>
        <w:div w:id="767315167">
          <w:marLeft w:val="640"/>
          <w:marRight w:val="0"/>
          <w:marTop w:val="0"/>
          <w:marBottom w:val="0"/>
          <w:divBdr>
            <w:top w:val="none" w:sz="0" w:space="0" w:color="auto"/>
            <w:left w:val="none" w:sz="0" w:space="0" w:color="auto"/>
            <w:bottom w:val="none" w:sz="0" w:space="0" w:color="auto"/>
            <w:right w:val="none" w:sz="0" w:space="0" w:color="auto"/>
          </w:divBdr>
        </w:div>
        <w:div w:id="812016973">
          <w:marLeft w:val="640"/>
          <w:marRight w:val="0"/>
          <w:marTop w:val="0"/>
          <w:marBottom w:val="0"/>
          <w:divBdr>
            <w:top w:val="none" w:sz="0" w:space="0" w:color="auto"/>
            <w:left w:val="none" w:sz="0" w:space="0" w:color="auto"/>
            <w:bottom w:val="none" w:sz="0" w:space="0" w:color="auto"/>
            <w:right w:val="none" w:sz="0" w:space="0" w:color="auto"/>
          </w:divBdr>
        </w:div>
        <w:div w:id="1402289450">
          <w:marLeft w:val="640"/>
          <w:marRight w:val="0"/>
          <w:marTop w:val="0"/>
          <w:marBottom w:val="0"/>
          <w:divBdr>
            <w:top w:val="none" w:sz="0" w:space="0" w:color="auto"/>
            <w:left w:val="none" w:sz="0" w:space="0" w:color="auto"/>
            <w:bottom w:val="none" w:sz="0" w:space="0" w:color="auto"/>
            <w:right w:val="none" w:sz="0" w:space="0" w:color="auto"/>
          </w:divBdr>
        </w:div>
        <w:div w:id="164170419">
          <w:marLeft w:val="640"/>
          <w:marRight w:val="0"/>
          <w:marTop w:val="0"/>
          <w:marBottom w:val="0"/>
          <w:divBdr>
            <w:top w:val="none" w:sz="0" w:space="0" w:color="auto"/>
            <w:left w:val="none" w:sz="0" w:space="0" w:color="auto"/>
            <w:bottom w:val="none" w:sz="0" w:space="0" w:color="auto"/>
            <w:right w:val="none" w:sz="0" w:space="0" w:color="auto"/>
          </w:divBdr>
        </w:div>
        <w:div w:id="42604704">
          <w:marLeft w:val="640"/>
          <w:marRight w:val="0"/>
          <w:marTop w:val="0"/>
          <w:marBottom w:val="0"/>
          <w:divBdr>
            <w:top w:val="none" w:sz="0" w:space="0" w:color="auto"/>
            <w:left w:val="none" w:sz="0" w:space="0" w:color="auto"/>
            <w:bottom w:val="none" w:sz="0" w:space="0" w:color="auto"/>
            <w:right w:val="none" w:sz="0" w:space="0" w:color="auto"/>
          </w:divBdr>
        </w:div>
        <w:div w:id="1100442850">
          <w:marLeft w:val="640"/>
          <w:marRight w:val="0"/>
          <w:marTop w:val="0"/>
          <w:marBottom w:val="0"/>
          <w:divBdr>
            <w:top w:val="none" w:sz="0" w:space="0" w:color="auto"/>
            <w:left w:val="none" w:sz="0" w:space="0" w:color="auto"/>
            <w:bottom w:val="none" w:sz="0" w:space="0" w:color="auto"/>
            <w:right w:val="none" w:sz="0" w:space="0" w:color="auto"/>
          </w:divBdr>
        </w:div>
        <w:div w:id="1281693245">
          <w:marLeft w:val="640"/>
          <w:marRight w:val="0"/>
          <w:marTop w:val="0"/>
          <w:marBottom w:val="0"/>
          <w:divBdr>
            <w:top w:val="none" w:sz="0" w:space="0" w:color="auto"/>
            <w:left w:val="none" w:sz="0" w:space="0" w:color="auto"/>
            <w:bottom w:val="none" w:sz="0" w:space="0" w:color="auto"/>
            <w:right w:val="none" w:sz="0" w:space="0" w:color="auto"/>
          </w:divBdr>
        </w:div>
        <w:div w:id="765619634">
          <w:marLeft w:val="640"/>
          <w:marRight w:val="0"/>
          <w:marTop w:val="0"/>
          <w:marBottom w:val="0"/>
          <w:divBdr>
            <w:top w:val="none" w:sz="0" w:space="0" w:color="auto"/>
            <w:left w:val="none" w:sz="0" w:space="0" w:color="auto"/>
            <w:bottom w:val="none" w:sz="0" w:space="0" w:color="auto"/>
            <w:right w:val="none" w:sz="0" w:space="0" w:color="auto"/>
          </w:divBdr>
        </w:div>
        <w:div w:id="2087145474">
          <w:marLeft w:val="640"/>
          <w:marRight w:val="0"/>
          <w:marTop w:val="0"/>
          <w:marBottom w:val="0"/>
          <w:divBdr>
            <w:top w:val="none" w:sz="0" w:space="0" w:color="auto"/>
            <w:left w:val="none" w:sz="0" w:space="0" w:color="auto"/>
            <w:bottom w:val="none" w:sz="0" w:space="0" w:color="auto"/>
            <w:right w:val="none" w:sz="0" w:space="0" w:color="auto"/>
          </w:divBdr>
        </w:div>
        <w:div w:id="2038001759">
          <w:marLeft w:val="640"/>
          <w:marRight w:val="0"/>
          <w:marTop w:val="0"/>
          <w:marBottom w:val="0"/>
          <w:divBdr>
            <w:top w:val="none" w:sz="0" w:space="0" w:color="auto"/>
            <w:left w:val="none" w:sz="0" w:space="0" w:color="auto"/>
            <w:bottom w:val="none" w:sz="0" w:space="0" w:color="auto"/>
            <w:right w:val="none" w:sz="0" w:space="0" w:color="auto"/>
          </w:divBdr>
        </w:div>
        <w:div w:id="271714621">
          <w:marLeft w:val="640"/>
          <w:marRight w:val="0"/>
          <w:marTop w:val="0"/>
          <w:marBottom w:val="0"/>
          <w:divBdr>
            <w:top w:val="none" w:sz="0" w:space="0" w:color="auto"/>
            <w:left w:val="none" w:sz="0" w:space="0" w:color="auto"/>
            <w:bottom w:val="none" w:sz="0" w:space="0" w:color="auto"/>
            <w:right w:val="none" w:sz="0" w:space="0" w:color="auto"/>
          </w:divBdr>
        </w:div>
        <w:div w:id="2039626055">
          <w:marLeft w:val="640"/>
          <w:marRight w:val="0"/>
          <w:marTop w:val="0"/>
          <w:marBottom w:val="0"/>
          <w:divBdr>
            <w:top w:val="none" w:sz="0" w:space="0" w:color="auto"/>
            <w:left w:val="none" w:sz="0" w:space="0" w:color="auto"/>
            <w:bottom w:val="none" w:sz="0" w:space="0" w:color="auto"/>
            <w:right w:val="none" w:sz="0" w:space="0" w:color="auto"/>
          </w:divBdr>
        </w:div>
        <w:div w:id="2008704843">
          <w:marLeft w:val="640"/>
          <w:marRight w:val="0"/>
          <w:marTop w:val="0"/>
          <w:marBottom w:val="0"/>
          <w:divBdr>
            <w:top w:val="none" w:sz="0" w:space="0" w:color="auto"/>
            <w:left w:val="none" w:sz="0" w:space="0" w:color="auto"/>
            <w:bottom w:val="none" w:sz="0" w:space="0" w:color="auto"/>
            <w:right w:val="none" w:sz="0" w:space="0" w:color="auto"/>
          </w:divBdr>
        </w:div>
        <w:div w:id="1443499503">
          <w:marLeft w:val="640"/>
          <w:marRight w:val="0"/>
          <w:marTop w:val="0"/>
          <w:marBottom w:val="0"/>
          <w:divBdr>
            <w:top w:val="none" w:sz="0" w:space="0" w:color="auto"/>
            <w:left w:val="none" w:sz="0" w:space="0" w:color="auto"/>
            <w:bottom w:val="none" w:sz="0" w:space="0" w:color="auto"/>
            <w:right w:val="none" w:sz="0" w:space="0" w:color="auto"/>
          </w:divBdr>
        </w:div>
        <w:div w:id="227082992">
          <w:marLeft w:val="640"/>
          <w:marRight w:val="0"/>
          <w:marTop w:val="0"/>
          <w:marBottom w:val="0"/>
          <w:divBdr>
            <w:top w:val="none" w:sz="0" w:space="0" w:color="auto"/>
            <w:left w:val="none" w:sz="0" w:space="0" w:color="auto"/>
            <w:bottom w:val="none" w:sz="0" w:space="0" w:color="auto"/>
            <w:right w:val="none" w:sz="0" w:space="0" w:color="auto"/>
          </w:divBdr>
        </w:div>
        <w:div w:id="1230732457">
          <w:marLeft w:val="640"/>
          <w:marRight w:val="0"/>
          <w:marTop w:val="0"/>
          <w:marBottom w:val="0"/>
          <w:divBdr>
            <w:top w:val="none" w:sz="0" w:space="0" w:color="auto"/>
            <w:left w:val="none" w:sz="0" w:space="0" w:color="auto"/>
            <w:bottom w:val="none" w:sz="0" w:space="0" w:color="auto"/>
            <w:right w:val="none" w:sz="0" w:space="0" w:color="auto"/>
          </w:divBdr>
        </w:div>
        <w:div w:id="426852220">
          <w:marLeft w:val="640"/>
          <w:marRight w:val="0"/>
          <w:marTop w:val="0"/>
          <w:marBottom w:val="0"/>
          <w:divBdr>
            <w:top w:val="none" w:sz="0" w:space="0" w:color="auto"/>
            <w:left w:val="none" w:sz="0" w:space="0" w:color="auto"/>
            <w:bottom w:val="none" w:sz="0" w:space="0" w:color="auto"/>
            <w:right w:val="none" w:sz="0" w:space="0" w:color="auto"/>
          </w:divBdr>
        </w:div>
        <w:div w:id="164714869">
          <w:marLeft w:val="640"/>
          <w:marRight w:val="0"/>
          <w:marTop w:val="0"/>
          <w:marBottom w:val="0"/>
          <w:divBdr>
            <w:top w:val="none" w:sz="0" w:space="0" w:color="auto"/>
            <w:left w:val="none" w:sz="0" w:space="0" w:color="auto"/>
            <w:bottom w:val="none" w:sz="0" w:space="0" w:color="auto"/>
            <w:right w:val="none" w:sz="0" w:space="0" w:color="auto"/>
          </w:divBdr>
        </w:div>
        <w:div w:id="1975211512">
          <w:marLeft w:val="640"/>
          <w:marRight w:val="0"/>
          <w:marTop w:val="0"/>
          <w:marBottom w:val="0"/>
          <w:divBdr>
            <w:top w:val="none" w:sz="0" w:space="0" w:color="auto"/>
            <w:left w:val="none" w:sz="0" w:space="0" w:color="auto"/>
            <w:bottom w:val="none" w:sz="0" w:space="0" w:color="auto"/>
            <w:right w:val="none" w:sz="0" w:space="0" w:color="auto"/>
          </w:divBdr>
        </w:div>
        <w:div w:id="668024330">
          <w:marLeft w:val="640"/>
          <w:marRight w:val="0"/>
          <w:marTop w:val="0"/>
          <w:marBottom w:val="0"/>
          <w:divBdr>
            <w:top w:val="none" w:sz="0" w:space="0" w:color="auto"/>
            <w:left w:val="none" w:sz="0" w:space="0" w:color="auto"/>
            <w:bottom w:val="none" w:sz="0" w:space="0" w:color="auto"/>
            <w:right w:val="none" w:sz="0" w:space="0" w:color="auto"/>
          </w:divBdr>
        </w:div>
        <w:div w:id="338846960">
          <w:marLeft w:val="640"/>
          <w:marRight w:val="0"/>
          <w:marTop w:val="0"/>
          <w:marBottom w:val="0"/>
          <w:divBdr>
            <w:top w:val="none" w:sz="0" w:space="0" w:color="auto"/>
            <w:left w:val="none" w:sz="0" w:space="0" w:color="auto"/>
            <w:bottom w:val="none" w:sz="0" w:space="0" w:color="auto"/>
            <w:right w:val="none" w:sz="0" w:space="0" w:color="auto"/>
          </w:divBdr>
        </w:div>
        <w:div w:id="2051415067">
          <w:marLeft w:val="640"/>
          <w:marRight w:val="0"/>
          <w:marTop w:val="0"/>
          <w:marBottom w:val="0"/>
          <w:divBdr>
            <w:top w:val="none" w:sz="0" w:space="0" w:color="auto"/>
            <w:left w:val="none" w:sz="0" w:space="0" w:color="auto"/>
            <w:bottom w:val="none" w:sz="0" w:space="0" w:color="auto"/>
            <w:right w:val="none" w:sz="0" w:space="0" w:color="auto"/>
          </w:divBdr>
        </w:div>
        <w:div w:id="1229413330">
          <w:marLeft w:val="640"/>
          <w:marRight w:val="0"/>
          <w:marTop w:val="0"/>
          <w:marBottom w:val="0"/>
          <w:divBdr>
            <w:top w:val="none" w:sz="0" w:space="0" w:color="auto"/>
            <w:left w:val="none" w:sz="0" w:space="0" w:color="auto"/>
            <w:bottom w:val="none" w:sz="0" w:space="0" w:color="auto"/>
            <w:right w:val="none" w:sz="0" w:space="0" w:color="auto"/>
          </w:divBdr>
        </w:div>
        <w:div w:id="512186590">
          <w:marLeft w:val="640"/>
          <w:marRight w:val="0"/>
          <w:marTop w:val="0"/>
          <w:marBottom w:val="0"/>
          <w:divBdr>
            <w:top w:val="none" w:sz="0" w:space="0" w:color="auto"/>
            <w:left w:val="none" w:sz="0" w:space="0" w:color="auto"/>
            <w:bottom w:val="none" w:sz="0" w:space="0" w:color="auto"/>
            <w:right w:val="none" w:sz="0" w:space="0" w:color="auto"/>
          </w:divBdr>
        </w:div>
        <w:div w:id="1561213231">
          <w:marLeft w:val="640"/>
          <w:marRight w:val="0"/>
          <w:marTop w:val="0"/>
          <w:marBottom w:val="0"/>
          <w:divBdr>
            <w:top w:val="none" w:sz="0" w:space="0" w:color="auto"/>
            <w:left w:val="none" w:sz="0" w:space="0" w:color="auto"/>
            <w:bottom w:val="none" w:sz="0" w:space="0" w:color="auto"/>
            <w:right w:val="none" w:sz="0" w:space="0" w:color="auto"/>
          </w:divBdr>
        </w:div>
        <w:div w:id="1253199665">
          <w:marLeft w:val="640"/>
          <w:marRight w:val="0"/>
          <w:marTop w:val="0"/>
          <w:marBottom w:val="0"/>
          <w:divBdr>
            <w:top w:val="none" w:sz="0" w:space="0" w:color="auto"/>
            <w:left w:val="none" w:sz="0" w:space="0" w:color="auto"/>
            <w:bottom w:val="none" w:sz="0" w:space="0" w:color="auto"/>
            <w:right w:val="none" w:sz="0" w:space="0" w:color="auto"/>
          </w:divBdr>
        </w:div>
        <w:div w:id="772163427">
          <w:marLeft w:val="640"/>
          <w:marRight w:val="0"/>
          <w:marTop w:val="0"/>
          <w:marBottom w:val="0"/>
          <w:divBdr>
            <w:top w:val="none" w:sz="0" w:space="0" w:color="auto"/>
            <w:left w:val="none" w:sz="0" w:space="0" w:color="auto"/>
            <w:bottom w:val="none" w:sz="0" w:space="0" w:color="auto"/>
            <w:right w:val="none" w:sz="0" w:space="0" w:color="auto"/>
          </w:divBdr>
        </w:div>
        <w:div w:id="751895558">
          <w:marLeft w:val="640"/>
          <w:marRight w:val="0"/>
          <w:marTop w:val="0"/>
          <w:marBottom w:val="0"/>
          <w:divBdr>
            <w:top w:val="none" w:sz="0" w:space="0" w:color="auto"/>
            <w:left w:val="none" w:sz="0" w:space="0" w:color="auto"/>
            <w:bottom w:val="none" w:sz="0" w:space="0" w:color="auto"/>
            <w:right w:val="none" w:sz="0" w:space="0" w:color="auto"/>
          </w:divBdr>
        </w:div>
        <w:div w:id="1640962426">
          <w:marLeft w:val="640"/>
          <w:marRight w:val="0"/>
          <w:marTop w:val="0"/>
          <w:marBottom w:val="0"/>
          <w:divBdr>
            <w:top w:val="none" w:sz="0" w:space="0" w:color="auto"/>
            <w:left w:val="none" w:sz="0" w:space="0" w:color="auto"/>
            <w:bottom w:val="none" w:sz="0" w:space="0" w:color="auto"/>
            <w:right w:val="none" w:sz="0" w:space="0" w:color="auto"/>
          </w:divBdr>
        </w:div>
        <w:div w:id="1731078331">
          <w:marLeft w:val="640"/>
          <w:marRight w:val="0"/>
          <w:marTop w:val="0"/>
          <w:marBottom w:val="0"/>
          <w:divBdr>
            <w:top w:val="none" w:sz="0" w:space="0" w:color="auto"/>
            <w:left w:val="none" w:sz="0" w:space="0" w:color="auto"/>
            <w:bottom w:val="none" w:sz="0" w:space="0" w:color="auto"/>
            <w:right w:val="none" w:sz="0" w:space="0" w:color="auto"/>
          </w:divBdr>
        </w:div>
        <w:div w:id="481847122">
          <w:marLeft w:val="640"/>
          <w:marRight w:val="0"/>
          <w:marTop w:val="0"/>
          <w:marBottom w:val="0"/>
          <w:divBdr>
            <w:top w:val="none" w:sz="0" w:space="0" w:color="auto"/>
            <w:left w:val="none" w:sz="0" w:space="0" w:color="auto"/>
            <w:bottom w:val="none" w:sz="0" w:space="0" w:color="auto"/>
            <w:right w:val="none" w:sz="0" w:space="0" w:color="auto"/>
          </w:divBdr>
        </w:div>
        <w:div w:id="1425763479">
          <w:marLeft w:val="640"/>
          <w:marRight w:val="0"/>
          <w:marTop w:val="0"/>
          <w:marBottom w:val="0"/>
          <w:divBdr>
            <w:top w:val="none" w:sz="0" w:space="0" w:color="auto"/>
            <w:left w:val="none" w:sz="0" w:space="0" w:color="auto"/>
            <w:bottom w:val="none" w:sz="0" w:space="0" w:color="auto"/>
            <w:right w:val="none" w:sz="0" w:space="0" w:color="auto"/>
          </w:divBdr>
        </w:div>
        <w:div w:id="42758895">
          <w:marLeft w:val="640"/>
          <w:marRight w:val="0"/>
          <w:marTop w:val="0"/>
          <w:marBottom w:val="0"/>
          <w:divBdr>
            <w:top w:val="none" w:sz="0" w:space="0" w:color="auto"/>
            <w:left w:val="none" w:sz="0" w:space="0" w:color="auto"/>
            <w:bottom w:val="none" w:sz="0" w:space="0" w:color="auto"/>
            <w:right w:val="none" w:sz="0" w:space="0" w:color="auto"/>
          </w:divBdr>
        </w:div>
        <w:div w:id="1714960313">
          <w:marLeft w:val="640"/>
          <w:marRight w:val="0"/>
          <w:marTop w:val="0"/>
          <w:marBottom w:val="0"/>
          <w:divBdr>
            <w:top w:val="none" w:sz="0" w:space="0" w:color="auto"/>
            <w:left w:val="none" w:sz="0" w:space="0" w:color="auto"/>
            <w:bottom w:val="none" w:sz="0" w:space="0" w:color="auto"/>
            <w:right w:val="none" w:sz="0" w:space="0" w:color="auto"/>
          </w:divBdr>
        </w:div>
        <w:div w:id="1560895033">
          <w:marLeft w:val="640"/>
          <w:marRight w:val="0"/>
          <w:marTop w:val="0"/>
          <w:marBottom w:val="0"/>
          <w:divBdr>
            <w:top w:val="none" w:sz="0" w:space="0" w:color="auto"/>
            <w:left w:val="none" w:sz="0" w:space="0" w:color="auto"/>
            <w:bottom w:val="none" w:sz="0" w:space="0" w:color="auto"/>
            <w:right w:val="none" w:sz="0" w:space="0" w:color="auto"/>
          </w:divBdr>
        </w:div>
        <w:div w:id="1220825052">
          <w:marLeft w:val="640"/>
          <w:marRight w:val="0"/>
          <w:marTop w:val="0"/>
          <w:marBottom w:val="0"/>
          <w:divBdr>
            <w:top w:val="none" w:sz="0" w:space="0" w:color="auto"/>
            <w:left w:val="none" w:sz="0" w:space="0" w:color="auto"/>
            <w:bottom w:val="none" w:sz="0" w:space="0" w:color="auto"/>
            <w:right w:val="none" w:sz="0" w:space="0" w:color="auto"/>
          </w:divBdr>
        </w:div>
        <w:div w:id="1044214741">
          <w:marLeft w:val="640"/>
          <w:marRight w:val="0"/>
          <w:marTop w:val="0"/>
          <w:marBottom w:val="0"/>
          <w:divBdr>
            <w:top w:val="none" w:sz="0" w:space="0" w:color="auto"/>
            <w:left w:val="none" w:sz="0" w:space="0" w:color="auto"/>
            <w:bottom w:val="none" w:sz="0" w:space="0" w:color="auto"/>
            <w:right w:val="none" w:sz="0" w:space="0" w:color="auto"/>
          </w:divBdr>
        </w:div>
        <w:div w:id="1853106139">
          <w:marLeft w:val="640"/>
          <w:marRight w:val="0"/>
          <w:marTop w:val="0"/>
          <w:marBottom w:val="0"/>
          <w:divBdr>
            <w:top w:val="none" w:sz="0" w:space="0" w:color="auto"/>
            <w:left w:val="none" w:sz="0" w:space="0" w:color="auto"/>
            <w:bottom w:val="none" w:sz="0" w:space="0" w:color="auto"/>
            <w:right w:val="none" w:sz="0" w:space="0" w:color="auto"/>
          </w:divBdr>
        </w:div>
        <w:div w:id="592128733">
          <w:marLeft w:val="640"/>
          <w:marRight w:val="0"/>
          <w:marTop w:val="0"/>
          <w:marBottom w:val="0"/>
          <w:divBdr>
            <w:top w:val="none" w:sz="0" w:space="0" w:color="auto"/>
            <w:left w:val="none" w:sz="0" w:space="0" w:color="auto"/>
            <w:bottom w:val="none" w:sz="0" w:space="0" w:color="auto"/>
            <w:right w:val="none" w:sz="0" w:space="0" w:color="auto"/>
          </w:divBdr>
        </w:div>
        <w:div w:id="2018144585">
          <w:marLeft w:val="640"/>
          <w:marRight w:val="0"/>
          <w:marTop w:val="0"/>
          <w:marBottom w:val="0"/>
          <w:divBdr>
            <w:top w:val="none" w:sz="0" w:space="0" w:color="auto"/>
            <w:left w:val="none" w:sz="0" w:space="0" w:color="auto"/>
            <w:bottom w:val="none" w:sz="0" w:space="0" w:color="auto"/>
            <w:right w:val="none" w:sz="0" w:space="0" w:color="auto"/>
          </w:divBdr>
        </w:div>
        <w:div w:id="971250182">
          <w:marLeft w:val="640"/>
          <w:marRight w:val="0"/>
          <w:marTop w:val="0"/>
          <w:marBottom w:val="0"/>
          <w:divBdr>
            <w:top w:val="none" w:sz="0" w:space="0" w:color="auto"/>
            <w:left w:val="none" w:sz="0" w:space="0" w:color="auto"/>
            <w:bottom w:val="none" w:sz="0" w:space="0" w:color="auto"/>
            <w:right w:val="none" w:sz="0" w:space="0" w:color="auto"/>
          </w:divBdr>
        </w:div>
        <w:div w:id="1915119809">
          <w:marLeft w:val="640"/>
          <w:marRight w:val="0"/>
          <w:marTop w:val="0"/>
          <w:marBottom w:val="0"/>
          <w:divBdr>
            <w:top w:val="none" w:sz="0" w:space="0" w:color="auto"/>
            <w:left w:val="none" w:sz="0" w:space="0" w:color="auto"/>
            <w:bottom w:val="none" w:sz="0" w:space="0" w:color="auto"/>
            <w:right w:val="none" w:sz="0" w:space="0" w:color="auto"/>
          </w:divBdr>
        </w:div>
      </w:divsChild>
    </w:div>
    <w:div w:id="1389911828">
      <w:bodyDiv w:val="1"/>
      <w:marLeft w:val="0"/>
      <w:marRight w:val="0"/>
      <w:marTop w:val="0"/>
      <w:marBottom w:val="0"/>
      <w:divBdr>
        <w:top w:val="none" w:sz="0" w:space="0" w:color="auto"/>
        <w:left w:val="none" w:sz="0" w:space="0" w:color="auto"/>
        <w:bottom w:val="none" w:sz="0" w:space="0" w:color="auto"/>
        <w:right w:val="none" w:sz="0" w:space="0" w:color="auto"/>
      </w:divBdr>
    </w:div>
    <w:div w:id="1390836445">
      <w:bodyDiv w:val="1"/>
      <w:marLeft w:val="0"/>
      <w:marRight w:val="0"/>
      <w:marTop w:val="0"/>
      <w:marBottom w:val="0"/>
      <w:divBdr>
        <w:top w:val="none" w:sz="0" w:space="0" w:color="auto"/>
        <w:left w:val="none" w:sz="0" w:space="0" w:color="auto"/>
        <w:bottom w:val="none" w:sz="0" w:space="0" w:color="auto"/>
        <w:right w:val="none" w:sz="0" w:space="0" w:color="auto"/>
      </w:divBdr>
    </w:div>
    <w:div w:id="1391732418">
      <w:bodyDiv w:val="1"/>
      <w:marLeft w:val="0"/>
      <w:marRight w:val="0"/>
      <w:marTop w:val="0"/>
      <w:marBottom w:val="0"/>
      <w:divBdr>
        <w:top w:val="none" w:sz="0" w:space="0" w:color="auto"/>
        <w:left w:val="none" w:sz="0" w:space="0" w:color="auto"/>
        <w:bottom w:val="none" w:sz="0" w:space="0" w:color="auto"/>
        <w:right w:val="none" w:sz="0" w:space="0" w:color="auto"/>
      </w:divBdr>
      <w:divsChild>
        <w:div w:id="1560633698">
          <w:marLeft w:val="640"/>
          <w:marRight w:val="0"/>
          <w:marTop w:val="0"/>
          <w:marBottom w:val="0"/>
          <w:divBdr>
            <w:top w:val="none" w:sz="0" w:space="0" w:color="auto"/>
            <w:left w:val="none" w:sz="0" w:space="0" w:color="auto"/>
            <w:bottom w:val="none" w:sz="0" w:space="0" w:color="auto"/>
            <w:right w:val="none" w:sz="0" w:space="0" w:color="auto"/>
          </w:divBdr>
        </w:div>
        <w:div w:id="76444794">
          <w:marLeft w:val="640"/>
          <w:marRight w:val="0"/>
          <w:marTop w:val="0"/>
          <w:marBottom w:val="0"/>
          <w:divBdr>
            <w:top w:val="none" w:sz="0" w:space="0" w:color="auto"/>
            <w:left w:val="none" w:sz="0" w:space="0" w:color="auto"/>
            <w:bottom w:val="none" w:sz="0" w:space="0" w:color="auto"/>
            <w:right w:val="none" w:sz="0" w:space="0" w:color="auto"/>
          </w:divBdr>
        </w:div>
        <w:div w:id="515997122">
          <w:marLeft w:val="640"/>
          <w:marRight w:val="0"/>
          <w:marTop w:val="0"/>
          <w:marBottom w:val="0"/>
          <w:divBdr>
            <w:top w:val="none" w:sz="0" w:space="0" w:color="auto"/>
            <w:left w:val="none" w:sz="0" w:space="0" w:color="auto"/>
            <w:bottom w:val="none" w:sz="0" w:space="0" w:color="auto"/>
            <w:right w:val="none" w:sz="0" w:space="0" w:color="auto"/>
          </w:divBdr>
        </w:div>
        <w:div w:id="656803017">
          <w:marLeft w:val="640"/>
          <w:marRight w:val="0"/>
          <w:marTop w:val="0"/>
          <w:marBottom w:val="0"/>
          <w:divBdr>
            <w:top w:val="none" w:sz="0" w:space="0" w:color="auto"/>
            <w:left w:val="none" w:sz="0" w:space="0" w:color="auto"/>
            <w:bottom w:val="none" w:sz="0" w:space="0" w:color="auto"/>
            <w:right w:val="none" w:sz="0" w:space="0" w:color="auto"/>
          </w:divBdr>
        </w:div>
        <w:div w:id="159464731">
          <w:marLeft w:val="640"/>
          <w:marRight w:val="0"/>
          <w:marTop w:val="0"/>
          <w:marBottom w:val="0"/>
          <w:divBdr>
            <w:top w:val="none" w:sz="0" w:space="0" w:color="auto"/>
            <w:left w:val="none" w:sz="0" w:space="0" w:color="auto"/>
            <w:bottom w:val="none" w:sz="0" w:space="0" w:color="auto"/>
            <w:right w:val="none" w:sz="0" w:space="0" w:color="auto"/>
          </w:divBdr>
        </w:div>
        <w:div w:id="1282805824">
          <w:marLeft w:val="640"/>
          <w:marRight w:val="0"/>
          <w:marTop w:val="0"/>
          <w:marBottom w:val="0"/>
          <w:divBdr>
            <w:top w:val="none" w:sz="0" w:space="0" w:color="auto"/>
            <w:left w:val="none" w:sz="0" w:space="0" w:color="auto"/>
            <w:bottom w:val="none" w:sz="0" w:space="0" w:color="auto"/>
            <w:right w:val="none" w:sz="0" w:space="0" w:color="auto"/>
          </w:divBdr>
        </w:div>
        <w:div w:id="1992513803">
          <w:marLeft w:val="640"/>
          <w:marRight w:val="0"/>
          <w:marTop w:val="0"/>
          <w:marBottom w:val="0"/>
          <w:divBdr>
            <w:top w:val="none" w:sz="0" w:space="0" w:color="auto"/>
            <w:left w:val="none" w:sz="0" w:space="0" w:color="auto"/>
            <w:bottom w:val="none" w:sz="0" w:space="0" w:color="auto"/>
            <w:right w:val="none" w:sz="0" w:space="0" w:color="auto"/>
          </w:divBdr>
        </w:div>
        <w:div w:id="734401879">
          <w:marLeft w:val="640"/>
          <w:marRight w:val="0"/>
          <w:marTop w:val="0"/>
          <w:marBottom w:val="0"/>
          <w:divBdr>
            <w:top w:val="none" w:sz="0" w:space="0" w:color="auto"/>
            <w:left w:val="none" w:sz="0" w:space="0" w:color="auto"/>
            <w:bottom w:val="none" w:sz="0" w:space="0" w:color="auto"/>
            <w:right w:val="none" w:sz="0" w:space="0" w:color="auto"/>
          </w:divBdr>
        </w:div>
        <w:div w:id="683550825">
          <w:marLeft w:val="640"/>
          <w:marRight w:val="0"/>
          <w:marTop w:val="0"/>
          <w:marBottom w:val="0"/>
          <w:divBdr>
            <w:top w:val="none" w:sz="0" w:space="0" w:color="auto"/>
            <w:left w:val="none" w:sz="0" w:space="0" w:color="auto"/>
            <w:bottom w:val="none" w:sz="0" w:space="0" w:color="auto"/>
            <w:right w:val="none" w:sz="0" w:space="0" w:color="auto"/>
          </w:divBdr>
        </w:div>
        <w:div w:id="1195000371">
          <w:marLeft w:val="640"/>
          <w:marRight w:val="0"/>
          <w:marTop w:val="0"/>
          <w:marBottom w:val="0"/>
          <w:divBdr>
            <w:top w:val="none" w:sz="0" w:space="0" w:color="auto"/>
            <w:left w:val="none" w:sz="0" w:space="0" w:color="auto"/>
            <w:bottom w:val="none" w:sz="0" w:space="0" w:color="auto"/>
            <w:right w:val="none" w:sz="0" w:space="0" w:color="auto"/>
          </w:divBdr>
        </w:div>
        <w:div w:id="729155941">
          <w:marLeft w:val="640"/>
          <w:marRight w:val="0"/>
          <w:marTop w:val="0"/>
          <w:marBottom w:val="0"/>
          <w:divBdr>
            <w:top w:val="none" w:sz="0" w:space="0" w:color="auto"/>
            <w:left w:val="none" w:sz="0" w:space="0" w:color="auto"/>
            <w:bottom w:val="none" w:sz="0" w:space="0" w:color="auto"/>
            <w:right w:val="none" w:sz="0" w:space="0" w:color="auto"/>
          </w:divBdr>
        </w:div>
        <w:div w:id="2128309164">
          <w:marLeft w:val="640"/>
          <w:marRight w:val="0"/>
          <w:marTop w:val="0"/>
          <w:marBottom w:val="0"/>
          <w:divBdr>
            <w:top w:val="none" w:sz="0" w:space="0" w:color="auto"/>
            <w:left w:val="none" w:sz="0" w:space="0" w:color="auto"/>
            <w:bottom w:val="none" w:sz="0" w:space="0" w:color="auto"/>
            <w:right w:val="none" w:sz="0" w:space="0" w:color="auto"/>
          </w:divBdr>
        </w:div>
        <w:div w:id="1186215685">
          <w:marLeft w:val="640"/>
          <w:marRight w:val="0"/>
          <w:marTop w:val="0"/>
          <w:marBottom w:val="0"/>
          <w:divBdr>
            <w:top w:val="none" w:sz="0" w:space="0" w:color="auto"/>
            <w:left w:val="none" w:sz="0" w:space="0" w:color="auto"/>
            <w:bottom w:val="none" w:sz="0" w:space="0" w:color="auto"/>
            <w:right w:val="none" w:sz="0" w:space="0" w:color="auto"/>
          </w:divBdr>
        </w:div>
        <w:div w:id="1698653239">
          <w:marLeft w:val="640"/>
          <w:marRight w:val="0"/>
          <w:marTop w:val="0"/>
          <w:marBottom w:val="0"/>
          <w:divBdr>
            <w:top w:val="none" w:sz="0" w:space="0" w:color="auto"/>
            <w:left w:val="none" w:sz="0" w:space="0" w:color="auto"/>
            <w:bottom w:val="none" w:sz="0" w:space="0" w:color="auto"/>
            <w:right w:val="none" w:sz="0" w:space="0" w:color="auto"/>
          </w:divBdr>
        </w:div>
        <w:div w:id="901676751">
          <w:marLeft w:val="640"/>
          <w:marRight w:val="0"/>
          <w:marTop w:val="0"/>
          <w:marBottom w:val="0"/>
          <w:divBdr>
            <w:top w:val="none" w:sz="0" w:space="0" w:color="auto"/>
            <w:left w:val="none" w:sz="0" w:space="0" w:color="auto"/>
            <w:bottom w:val="none" w:sz="0" w:space="0" w:color="auto"/>
            <w:right w:val="none" w:sz="0" w:space="0" w:color="auto"/>
          </w:divBdr>
        </w:div>
        <w:div w:id="1805926628">
          <w:marLeft w:val="640"/>
          <w:marRight w:val="0"/>
          <w:marTop w:val="0"/>
          <w:marBottom w:val="0"/>
          <w:divBdr>
            <w:top w:val="none" w:sz="0" w:space="0" w:color="auto"/>
            <w:left w:val="none" w:sz="0" w:space="0" w:color="auto"/>
            <w:bottom w:val="none" w:sz="0" w:space="0" w:color="auto"/>
            <w:right w:val="none" w:sz="0" w:space="0" w:color="auto"/>
          </w:divBdr>
        </w:div>
        <w:div w:id="1962028706">
          <w:marLeft w:val="640"/>
          <w:marRight w:val="0"/>
          <w:marTop w:val="0"/>
          <w:marBottom w:val="0"/>
          <w:divBdr>
            <w:top w:val="none" w:sz="0" w:space="0" w:color="auto"/>
            <w:left w:val="none" w:sz="0" w:space="0" w:color="auto"/>
            <w:bottom w:val="none" w:sz="0" w:space="0" w:color="auto"/>
            <w:right w:val="none" w:sz="0" w:space="0" w:color="auto"/>
          </w:divBdr>
        </w:div>
        <w:div w:id="618419985">
          <w:marLeft w:val="640"/>
          <w:marRight w:val="0"/>
          <w:marTop w:val="0"/>
          <w:marBottom w:val="0"/>
          <w:divBdr>
            <w:top w:val="none" w:sz="0" w:space="0" w:color="auto"/>
            <w:left w:val="none" w:sz="0" w:space="0" w:color="auto"/>
            <w:bottom w:val="none" w:sz="0" w:space="0" w:color="auto"/>
            <w:right w:val="none" w:sz="0" w:space="0" w:color="auto"/>
          </w:divBdr>
        </w:div>
        <w:div w:id="1318653362">
          <w:marLeft w:val="640"/>
          <w:marRight w:val="0"/>
          <w:marTop w:val="0"/>
          <w:marBottom w:val="0"/>
          <w:divBdr>
            <w:top w:val="none" w:sz="0" w:space="0" w:color="auto"/>
            <w:left w:val="none" w:sz="0" w:space="0" w:color="auto"/>
            <w:bottom w:val="none" w:sz="0" w:space="0" w:color="auto"/>
            <w:right w:val="none" w:sz="0" w:space="0" w:color="auto"/>
          </w:divBdr>
        </w:div>
        <w:div w:id="23791422">
          <w:marLeft w:val="640"/>
          <w:marRight w:val="0"/>
          <w:marTop w:val="0"/>
          <w:marBottom w:val="0"/>
          <w:divBdr>
            <w:top w:val="none" w:sz="0" w:space="0" w:color="auto"/>
            <w:left w:val="none" w:sz="0" w:space="0" w:color="auto"/>
            <w:bottom w:val="none" w:sz="0" w:space="0" w:color="auto"/>
            <w:right w:val="none" w:sz="0" w:space="0" w:color="auto"/>
          </w:divBdr>
        </w:div>
        <w:div w:id="1341204195">
          <w:marLeft w:val="640"/>
          <w:marRight w:val="0"/>
          <w:marTop w:val="0"/>
          <w:marBottom w:val="0"/>
          <w:divBdr>
            <w:top w:val="none" w:sz="0" w:space="0" w:color="auto"/>
            <w:left w:val="none" w:sz="0" w:space="0" w:color="auto"/>
            <w:bottom w:val="none" w:sz="0" w:space="0" w:color="auto"/>
            <w:right w:val="none" w:sz="0" w:space="0" w:color="auto"/>
          </w:divBdr>
        </w:div>
        <w:div w:id="1969504080">
          <w:marLeft w:val="640"/>
          <w:marRight w:val="0"/>
          <w:marTop w:val="0"/>
          <w:marBottom w:val="0"/>
          <w:divBdr>
            <w:top w:val="none" w:sz="0" w:space="0" w:color="auto"/>
            <w:left w:val="none" w:sz="0" w:space="0" w:color="auto"/>
            <w:bottom w:val="none" w:sz="0" w:space="0" w:color="auto"/>
            <w:right w:val="none" w:sz="0" w:space="0" w:color="auto"/>
          </w:divBdr>
        </w:div>
        <w:div w:id="1987974980">
          <w:marLeft w:val="640"/>
          <w:marRight w:val="0"/>
          <w:marTop w:val="0"/>
          <w:marBottom w:val="0"/>
          <w:divBdr>
            <w:top w:val="none" w:sz="0" w:space="0" w:color="auto"/>
            <w:left w:val="none" w:sz="0" w:space="0" w:color="auto"/>
            <w:bottom w:val="none" w:sz="0" w:space="0" w:color="auto"/>
            <w:right w:val="none" w:sz="0" w:space="0" w:color="auto"/>
          </w:divBdr>
        </w:div>
        <w:div w:id="647562109">
          <w:marLeft w:val="640"/>
          <w:marRight w:val="0"/>
          <w:marTop w:val="0"/>
          <w:marBottom w:val="0"/>
          <w:divBdr>
            <w:top w:val="none" w:sz="0" w:space="0" w:color="auto"/>
            <w:left w:val="none" w:sz="0" w:space="0" w:color="auto"/>
            <w:bottom w:val="none" w:sz="0" w:space="0" w:color="auto"/>
            <w:right w:val="none" w:sz="0" w:space="0" w:color="auto"/>
          </w:divBdr>
        </w:div>
        <w:div w:id="1601256858">
          <w:marLeft w:val="640"/>
          <w:marRight w:val="0"/>
          <w:marTop w:val="0"/>
          <w:marBottom w:val="0"/>
          <w:divBdr>
            <w:top w:val="none" w:sz="0" w:space="0" w:color="auto"/>
            <w:left w:val="none" w:sz="0" w:space="0" w:color="auto"/>
            <w:bottom w:val="none" w:sz="0" w:space="0" w:color="auto"/>
            <w:right w:val="none" w:sz="0" w:space="0" w:color="auto"/>
          </w:divBdr>
        </w:div>
        <w:div w:id="1333415061">
          <w:marLeft w:val="640"/>
          <w:marRight w:val="0"/>
          <w:marTop w:val="0"/>
          <w:marBottom w:val="0"/>
          <w:divBdr>
            <w:top w:val="none" w:sz="0" w:space="0" w:color="auto"/>
            <w:left w:val="none" w:sz="0" w:space="0" w:color="auto"/>
            <w:bottom w:val="none" w:sz="0" w:space="0" w:color="auto"/>
            <w:right w:val="none" w:sz="0" w:space="0" w:color="auto"/>
          </w:divBdr>
        </w:div>
        <w:div w:id="232392964">
          <w:marLeft w:val="640"/>
          <w:marRight w:val="0"/>
          <w:marTop w:val="0"/>
          <w:marBottom w:val="0"/>
          <w:divBdr>
            <w:top w:val="none" w:sz="0" w:space="0" w:color="auto"/>
            <w:left w:val="none" w:sz="0" w:space="0" w:color="auto"/>
            <w:bottom w:val="none" w:sz="0" w:space="0" w:color="auto"/>
            <w:right w:val="none" w:sz="0" w:space="0" w:color="auto"/>
          </w:divBdr>
        </w:div>
        <w:div w:id="1937127685">
          <w:marLeft w:val="640"/>
          <w:marRight w:val="0"/>
          <w:marTop w:val="0"/>
          <w:marBottom w:val="0"/>
          <w:divBdr>
            <w:top w:val="none" w:sz="0" w:space="0" w:color="auto"/>
            <w:left w:val="none" w:sz="0" w:space="0" w:color="auto"/>
            <w:bottom w:val="none" w:sz="0" w:space="0" w:color="auto"/>
            <w:right w:val="none" w:sz="0" w:space="0" w:color="auto"/>
          </w:divBdr>
        </w:div>
        <w:div w:id="216935712">
          <w:marLeft w:val="640"/>
          <w:marRight w:val="0"/>
          <w:marTop w:val="0"/>
          <w:marBottom w:val="0"/>
          <w:divBdr>
            <w:top w:val="none" w:sz="0" w:space="0" w:color="auto"/>
            <w:left w:val="none" w:sz="0" w:space="0" w:color="auto"/>
            <w:bottom w:val="none" w:sz="0" w:space="0" w:color="auto"/>
            <w:right w:val="none" w:sz="0" w:space="0" w:color="auto"/>
          </w:divBdr>
        </w:div>
        <w:div w:id="771515315">
          <w:marLeft w:val="640"/>
          <w:marRight w:val="0"/>
          <w:marTop w:val="0"/>
          <w:marBottom w:val="0"/>
          <w:divBdr>
            <w:top w:val="none" w:sz="0" w:space="0" w:color="auto"/>
            <w:left w:val="none" w:sz="0" w:space="0" w:color="auto"/>
            <w:bottom w:val="none" w:sz="0" w:space="0" w:color="auto"/>
            <w:right w:val="none" w:sz="0" w:space="0" w:color="auto"/>
          </w:divBdr>
        </w:div>
        <w:div w:id="1638799236">
          <w:marLeft w:val="640"/>
          <w:marRight w:val="0"/>
          <w:marTop w:val="0"/>
          <w:marBottom w:val="0"/>
          <w:divBdr>
            <w:top w:val="none" w:sz="0" w:space="0" w:color="auto"/>
            <w:left w:val="none" w:sz="0" w:space="0" w:color="auto"/>
            <w:bottom w:val="none" w:sz="0" w:space="0" w:color="auto"/>
            <w:right w:val="none" w:sz="0" w:space="0" w:color="auto"/>
          </w:divBdr>
        </w:div>
        <w:div w:id="549730077">
          <w:marLeft w:val="640"/>
          <w:marRight w:val="0"/>
          <w:marTop w:val="0"/>
          <w:marBottom w:val="0"/>
          <w:divBdr>
            <w:top w:val="none" w:sz="0" w:space="0" w:color="auto"/>
            <w:left w:val="none" w:sz="0" w:space="0" w:color="auto"/>
            <w:bottom w:val="none" w:sz="0" w:space="0" w:color="auto"/>
            <w:right w:val="none" w:sz="0" w:space="0" w:color="auto"/>
          </w:divBdr>
        </w:div>
        <w:div w:id="1944991354">
          <w:marLeft w:val="640"/>
          <w:marRight w:val="0"/>
          <w:marTop w:val="0"/>
          <w:marBottom w:val="0"/>
          <w:divBdr>
            <w:top w:val="none" w:sz="0" w:space="0" w:color="auto"/>
            <w:left w:val="none" w:sz="0" w:space="0" w:color="auto"/>
            <w:bottom w:val="none" w:sz="0" w:space="0" w:color="auto"/>
            <w:right w:val="none" w:sz="0" w:space="0" w:color="auto"/>
          </w:divBdr>
        </w:div>
        <w:div w:id="63721010">
          <w:marLeft w:val="640"/>
          <w:marRight w:val="0"/>
          <w:marTop w:val="0"/>
          <w:marBottom w:val="0"/>
          <w:divBdr>
            <w:top w:val="none" w:sz="0" w:space="0" w:color="auto"/>
            <w:left w:val="none" w:sz="0" w:space="0" w:color="auto"/>
            <w:bottom w:val="none" w:sz="0" w:space="0" w:color="auto"/>
            <w:right w:val="none" w:sz="0" w:space="0" w:color="auto"/>
          </w:divBdr>
        </w:div>
        <w:div w:id="2070614159">
          <w:marLeft w:val="640"/>
          <w:marRight w:val="0"/>
          <w:marTop w:val="0"/>
          <w:marBottom w:val="0"/>
          <w:divBdr>
            <w:top w:val="none" w:sz="0" w:space="0" w:color="auto"/>
            <w:left w:val="none" w:sz="0" w:space="0" w:color="auto"/>
            <w:bottom w:val="none" w:sz="0" w:space="0" w:color="auto"/>
            <w:right w:val="none" w:sz="0" w:space="0" w:color="auto"/>
          </w:divBdr>
        </w:div>
        <w:div w:id="1223102522">
          <w:marLeft w:val="640"/>
          <w:marRight w:val="0"/>
          <w:marTop w:val="0"/>
          <w:marBottom w:val="0"/>
          <w:divBdr>
            <w:top w:val="none" w:sz="0" w:space="0" w:color="auto"/>
            <w:left w:val="none" w:sz="0" w:space="0" w:color="auto"/>
            <w:bottom w:val="none" w:sz="0" w:space="0" w:color="auto"/>
            <w:right w:val="none" w:sz="0" w:space="0" w:color="auto"/>
          </w:divBdr>
        </w:div>
        <w:div w:id="351691155">
          <w:marLeft w:val="640"/>
          <w:marRight w:val="0"/>
          <w:marTop w:val="0"/>
          <w:marBottom w:val="0"/>
          <w:divBdr>
            <w:top w:val="none" w:sz="0" w:space="0" w:color="auto"/>
            <w:left w:val="none" w:sz="0" w:space="0" w:color="auto"/>
            <w:bottom w:val="none" w:sz="0" w:space="0" w:color="auto"/>
            <w:right w:val="none" w:sz="0" w:space="0" w:color="auto"/>
          </w:divBdr>
        </w:div>
        <w:div w:id="1563172721">
          <w:marLeft w:val="640"/>
          <w:marRight w:val="0"/>
          <w:marTop w:val="0"/>
          <w:marBottom w:val="0"/>
          <w:divBdr>
            <w:top w:val="none" w:sz="0" w:space="0" w:color="auto"/>
            <w:left w:val="none" w:sz="0" w:space="0" w:color="auto"/>
            <w:bottom w:val="none" w:sz="0" w:space="0" w:color="auto"/>
            <w:right w:val="none" w:sz="0" w:space="0" w:color="auto"/>
          </w:divBdr>
        </w:div>
        <w:div w:id="1294286523">
          <w:marLeft w:val="640"/>
          <w:marRight w:val="0"/>
          <w:marTop w:val="0"/>
          <w:marBottom w:val="0"/>
          <w:divBdr>
            <w:top w:val="none" w:sz="0" w:space="0" w:color="auto"/>
            <w:left w:val="none" w:sz="0" w:space="0" w:color="auto"/>
            <w:bottom w:val="none" w:sz="0" w:space="0" w:color="auto"/>
            <w:right w:val="none" w:sz="0" w:space="0" w:color="auto"/>
          </w:divBdr>
        </w:div>
        <w:div w:id="635650193">
          <w:marLeft w:val="640"/>
          <w:marRight w:val="0"/>
          <w:marTop w:val="0"/>
          <w:marBottom w:val="0"/>
          <w:divBdr>
            <w:top w:val="none" w:sz="0" w:space="0" w:color="auto"/>
            <w:left w:val="none" w:sz="0" w:space="0" w:color="auto"/>
            <w:bottom w:val="none" w:sz="0" w:space="0" w:color="auto"/>
            <w:right w:val="none" w:sz="0" w:space="0" w:color="auto"/>
          </w:divBdr>
        </w:div>
        <w:div w:id="336034013">
          <w:marLeft w:val="640"/>
          <w:marRight w:val="0"/>
          <w:marTop w:val="0"/>
          <w:marBottom w:val="0"/>
          <w:divBdr>
            <w:top w:val="none" w:sz="0" w:space="0" w:color="auto"/>
            <w:left w:val="none" w:sz="0" w:space="0" w:color="auto"/>
            <w:bottom w:val="none" w:sz="0" w:space="0" w:color="auto"/>
            <w:right w:val="none" w:sz="0" w:space="0" w:color="auto"/>
          </w:divBdr>
        </w:div>
        <w:div w:id="1412044440">
          <w:marLeft w:val="640"/>
          <w:marRight w:val="0"/>
          <w:marTop w:val="0"/>
          <w:marBottom w:val="0"/>
          <w:divBdr>
            <w:top w:val="none" w:sz="0" w:space="0" w:color="auto"/>
            <w:left w:val="none" w:sz="0" w:space="0" w:color="auto"/>
            <w:bottom w:val="none" w:sz="0" w:space="0" w:color="auto"/>
            <w:right w:val="none" w:sz="0" w:space="0" w:color="auto"/>
          </w:divBdr>
        </w:div>
        <w:div w:id="1615137743">
          <w:marLeft w:val="640"/>
          <w:marRight w:val="0"/>
          <w:marTop w:val="0"/>
          <w:marBottom w:val="0"/>
          <w:divBdr>
            <w:top w:val="none" w:sz="0" w:space="0" w:color="auto"/>
            <w:left w:val="none" w:sz="0" w:space="0" w:color="auto"/>
            <w:bottom w:val="none" w:sz="0" w:space="0" w:color="auto"/>
            <w:right w:val="none" w:sz="0" w:space="0" w:color="auto"/>
          </w:divBdr>
        </w:div>
        <w:div w:id="2119787079">
          <w:marLeft w:val="640"/>
          <w:marRight w:val="0"/>
          <w:marTop w:val="0"/>
          <w:marBottom w:val="0"/>
          <w:divBdr>
            <w:top w:val="none" w:sz="0" w:space="0" w:color="auto"/>
            <w:left w:val="none" w:sz="0" w:space="0" w:color="auto"/>
            <w:bottom w:val="none" w:sz="0" w:space="0" w:color="auto"/>
            <w:right w:val="none" w:sz="0" w:space="0" w:color="auto"/>
          </w:divBdr>
        </w:div>
        <w:div w:id="1887255542">
          <w:marLeft w:val="640"/>
          <w:marRight w:val="0"/>
          <w:marTop w:val="0"/>
          <w:marBottom w:val="0"/>
          <w:divBdr>
            <w:top w:val="none" w:sz="0" w:space="0" w:color="auto"/>
            <w:left w:val="none" w:sz="0" w:space="0" w:color="auto"/>
            <w:bottom w:val="none" w:sz="0" w:space="0" w:color="auto"/>
            <w:right w:val="none" w:sz="0" w:space="0" w:color="auto"/>
          </w:divBdr>
        </w:div>
        <w:div w:id="1899895657">
          <w:marLeft w:val="640"/>
          <w:marRight w:val="0"/>
          <w:marTop w:val="0"/>
          <w:marBottom w:val="0"/>
          <w:divBdr>
            <w:top w:val="none" w:sz="0" w:space="0" w:color="auto"/>
            <w:left w:val="none" w:sz="0" w:space="0" w:color="auto"/>
            <w:bottom w:val="none" w:sz="0" w:space="0" w:color="auto"/>
            <w:right w:val="none" w:sz="0" w:space="0" w:color="auto"/>
          </w:divBdr>
        </w:div>
        <w:div w:id="574781961">
          <w:marLeft w:val="640"/>
          <w:marRight w:val="0"/>
          <w:marTop w:val="0"/>
          <w:marBottom w:val="0"/>
          <w:divBdr>
            <w:top w:val="none" w:sz="0" w:space="0" w:color="auto"/>
            <w:left w:val="none" w:sz="0" w:space="0" w:color="auto"/>
            <w:bottom w:val="none" w:sz="0" w:space="0" w:color="auto"/>
            <w:right w:val="none" w:sz="0" w:space="0" w:color="auto"/>
          </w:divBdr>
        </w:div>
        <w:div w:id="1457141607">
          <w:marLeft w:val="640"/>
          <w:marRight w:val="0"/>
          <w:marTop w:val="0"/>
          <w:marBottom w:val="0"/>
          <w:divBdr>
            <w:top w:val="none" w:sz="0" w:space="0" w:color="auto"/>
            <w:left w:val="none" w:sz="0" w:space="0" w:color="auto"/>
            <w:bottom w:val="none" w:sz="0" w:space="0" w:color="auto"/>
            <w:right w:val="none" w:sz="0" w:space="0" w:color="auto"/>
          </w:divBdr>
        </w:div>
        <w:div w:id="187912351">
          <w:marLeft w:val="640"/>
          <w:marRight w:val="0"/>
          <w:marTop w:val="0"/>
          <w:marBottom w:val="0"/>
          <w:divBdr>
            <w:top w:val="none" w:sz="0" w:space="0" w:color="auto"/>
            <w:left w:val="none" w:sz="0" w:space="0" w:color="auto"/>
            <w:bottom w:val="none" w:sz="0" w:space="0" w:color="auto"/>
            <w:right w:val="none" w:sz="0" w:space="0" w:color="auto"/>
          </w:divBdr>
        </w:div>
        <w:div w:id="70780537">
          <w:marLeft w:val="640"/>
          <w:marRight w:val="0"/>
          <w:marTop w:val="0"/>
          <w:marBottom w:val="0"/>
          <w:divBdr>
            <w:top w:val="none" w:sz="0" w:space="0" w:color="auto"/>
            <w:left w:val="none" w:sz="0" w:space="0" w:color="auto"/>
            <w:bottom w:val="none" w:sz="0" w:space="0" w:color="auto"/>
            <w:right w:val="none" w:sz="0" w:space="0" w:color="auto"/>
          </w:divBdr>
        </w:div>
        <w:div w:id="1217425498">
          <w:marLeft w:val="640"/>
          <w:marRight w:val="0"/>
          <w:marTop w:val="0"/>
          <w:marBottom w:val="0"/>
          <w:divBdr>
            <w:top w:val="none" w:sz="0" w:space="0" w:color="auto"/>
            <w:left w:val="none" w:sz="0" w:space="0" w:color="auto"/>
            <w:bottom w:val="none" w:sz="0" w:space="0" w:color="auto"/>
            <w:right w:val="none" w:sz="0" w:space="0" w:color="auto"/>
          </w:divBdr>
        </w:div>
        <w:div w:id="1326128628">
          <w:marLeft w:val="640"/>
          <w:marRight w:val="0"/>
          <w:marTop w:val="0"/>
          <w:marBottom w:val="0"/>
          <w:divBdr>
            <w:top w:val="none" w:sz="0" w:space="0" w:color="auto"/>
            <w:left w:val="none" w:sz="0" w:space="0" w:color="auto"/>
            <w:bottom w:val="none" w:sz="0" w:space="0" w:color="auto"/>
            <w:right w:val="none" w:sz="0" w:space="0" w:color="auto"/>
          </w:divBdr>
        </w:div>
        <w:div w:id="1008680502">
          <w:marLeft w:val="640"/>
          <w:marRight w:val="0"/>
          <w:marTop w:val="0"/>
          <w:marBottom w:val="0"/>
          <w:divBdr>
            <w:top w:val="none" w:sz="0" w:space="0" w:color="auto"/>
            <w:left w:val="none" w:sz="0" w:space="0" w:color="auto"/>
            <w:bottom w:val="none" w:sz="0" w:space="0" w:color="auto"/>
            <w:right w:val="none" w:sz="0" w:space="0" w:color="auto"/>
          </w:divBdr>
        </w:div>
        <w:div w:id="725372667">
          <w:marLeft w:val="640"/>
          <w:marRight w:val="0"/>
          <w:marTop w:val="0"/>
          <w:marBottom w:val="0"/>
          <w:divBdr>
            <w:top w:val="none" w:sz="0" w:space="0" w:color="auto"/>
            <w:left w:val="none" w:sz="0" w:space="0" w:color="auto"/>
            <w:bottom w:val="none" w:sz="0" w:space="0" w:color="auto"/>
            <w:right w:val="none" w:sz="0" w:space="0" w:color="auto"/>
          </w:divBdr>
        </w:div>
        <w:div w:id="332076254">
          <w:marLeft w:val="640"/>
          <w:marRight w:val="0"/>
          <w:marTop w:val="0"/>
          <w:marBottom w:val="0"/>
          <w:divBdr>
            <w:top w:val="none" w:sz="0" w:space="0" w:color="auto"/>
            <w:left w:val="none" w:sz="0" w:space="0" w:color="auto"/>
            <w:bottom w:val="none" w:sz="0" w:space="0" w:color="auto"/>
            <w:right w:val="none" w:sz="0" w:space="0" w:color="auto"/>
          </w:divBdr>
        </w:div>
        <w:div w:id="205534501">
          <w:marLeft w:val="640"/>
          <w:marRight w:val="0"/>
          <w:marTop w:val="0"/>
          <w:marBottom w:val="0"/>
          <w:divBdr>
            <w:top w:val="none" w:sz="0" w:space="0" w:color="auto"/>
            <w:left w:val="none" w:sz="0" w:space="0" w:color="auto"/>
            <w:bottom w:val="none" w:sz="0" w:space="0" w:color="auto"/>
            <w:right w:val="none" w:sz="0" w:space="0" w:color="auto"/>
          </w:divBdr>
        </w:div>
        <w:div w:id="1987315459">
          <w:marLeft w:val="640"/>
          <w:marRight w:val="0"/>
          <w:marTop w:val="0"/>
          <w:marBottom w:val="0"/>
          <w:divBdr>
            <w:top w:val="none" w:sz="0" w:space="0" w:color="auto"/>
            <w:left w:val="none" w:sz="0" w:space="0" w:color="auto"/>
            <w:bottom w:val="none" w:sz="0" w:space="0" w:color="auto"/>
            <w:right w:val="none" w:sz="0" w:space="0" w:color="auto"/>
          </w:divBdr>
        </w:div>
        <w:div w:id="2057191837">
          <w:marLeft w:val="640"/>
          <w:marRight w:val="0"/>
          <w:marTop w:val="0"/>
          <w:marBottom w:val="0"/>
          <w:divBdr>
            <w:top w:val="none" w:sz="0" w:space="0" w:color="auto"/>
            <w:left w:val="none" w:sz="0" w:space="0" w:color="auto"/>
            <w:bottom w:val="none" w:sz="0" w:space="0" w:color="auto"/>
            <w:right w:val="none" w:sz="0" w:space="0" w:color="auto"/>
          </w:divBdr>
        </w:div>
        <w:div w:id="754787913">
          <w:marLeft w:val="640"/>
          <w:marRight w:val="0"/>
          <w:marTop w:val="0"/>
          <w:marBottom w:val="0"/>
          <w:divBdr>
            <w:top w:val="none" w:sz="0" w:space="0" w:color="auto"/>
            <w:left w:val="none" w:sz="0" w:space="0" w:color="auto"/>
            <w:bottom w:val="none" w:sz="0" w:space="0" w:color="auto"/>
            <w:right w:val="none" w:sz="0" w:space="0" w:color="auto"/>
          </w:divBdr>
        </w:div>
        <w:div w:id="1483348035">
          <w:marLeft w:val="640"/>
          <w:marRight w:val="0"/>
          <w:marTop w:val="0"/>
          <w:marBottom w:val="0"/>
          <w:divBdr>
            <w:top w:val="none" w:sz="0" w:space="0" w:color="auto"/>
            <w:left w:val="none" w:sz="0" w:space="0" w:color="auto"/>
            <w:bottom w:val="none" w:sz="0" w:space="0" w:color="auto"/>
            <w:right w:val="none" w:sz="0" w:space="0" w:color="auto"/>
          </w:divBdr>
        </w:div>
        <w:div w:id="1049498647">
          <w:marLeft w:val="640"/>
          <w:marRight w:val="0"/>
          <w:marTop w:val="0"/>
          <w:marBottom w:val="0"/>
          <w:divBdr>
            <w:top w:val="none" w:sz="0" w:space="0" w:color="auto"/>
            <w:left w:val="none" w:sz="0" w:space="0" w:color="auto"/>
            <w:bottom w:val="none" w:sz="0" w:space="0" w:color="auto"/>
            <w:right w:val="none" w:sz="0" w:space="0" w:color="auto"/>
          </w:divBdr>
        </w:div>
        <w:div w:id="1150095530">
          <w:marLeft w:val="640"/>
          <w:marRight w:val="0"/>
          <w:marTop w:val="0"/>
          <w:marBottom w:val="0"/>
          <w:divBdr>
            <w:top w:val="none" w:sz="0" w:space="0" w:color="auto"/>
            <w:left w:val="none" w:sz="0" w:space="0" w:color="auto"/>
            <w:bottom w:val="none" w:sz="0" w:space="0" w:color="auto"/>
            <w:right w:val="none" w:sz="0" w:space="0" w:color="auto"/>
          </w:divBdr>
        </w:div>
        <w:div w:id="1148211439">
          <w:marLeft w:val="640"/>
          <w:marRight w:val="0"/>
          <w:marTop w:val="0"/>
          <w:marBottom w:val="0"/>
          <w:divBdr>
            <w:top w:val="none" w:sz="0" w:space="0" w:color="auto"/>
            <w:left w:val="none" w:sz="0" w:space="0" w:color="auto"/>
            <w:bottom w:val="none" w:sz="0" w:space="0" w:color="auto"/>
            <w:right w:val="none" w:sz="0" w:space="0" w:color="auto"/>
          </w:divBdr>
        </w:div>
        <w:div w:id="1989967414">
          <w:marLeft w:val="640"/>
          <w:marRight w:val="0"/>
          <w:marTop w:val="0"/>
          <w:marBottom w:val="0"/>
          <w:divBdr>
            <w:top w:val="none" w:sz="0" w:space="0" w:color="auto"/>
            <w:left w:val="none" w:sz="0" w:space="0" w:color="auto"/>
            <w:bottom w:val="none" w:sz="0" w:space="0" w:color="auto"/>
            <w:right w:val="none" w:sz="0" w:space="0" w:color="auto"/>
          </w:divBdr>
        </w:div>
        <w:div w:id="432284041">
          <w:marLeft w:val="640"/>
          <w:marRight w:val="0"/>
          <w:marTop w:val="0"/>
          <w:marBottom w:val="0"/>
          <w:divBdr>
            <w:top w:val="none" w:sz="0" w:space="0" w:color="auto"/>
            <w:left w:val="none" w:sz="0" w:space="0" w:color="auto"/>
            <w:bottom w:val="none" w:sz="0" w:space="0" w:color="auto"/>
            <w:right w:val="none" w:sz="0" w:space="0" w:color="auto"/>
          </w:divBdr>
        </w:div>
        <w:div w:id="168565267">
          <w:marLeft w:val="640"/>
          <w:marRight w:val="0"/>
          <w:marTop w:val="0"/>
          <w:marBottom w:val="0"/>
          <w:divBdr>
            <w:top w:val="none" w:sz="0" w:space="0" w:color="auto"/>
            <w:left w:val="none" w:sz="0" w:space="0" w:color="auto"/>
            <w:bottom w:val="none" w:sz="0" w:space="0" w:color="auto"/>
            <w:right w:val="none" w:sz="0" w:space="0" w:color="auto"/>
          </w:divBdr>
        </w:div>
        <w:div w:id="1508402825">
          <w:marLeft w:val="640"/>
          <w:marRight w:val="0"/>
          <w:marTop w:val="0"/>
          <w:marBottom w:val="0"/>
          <w:divBdr>
            <w:top w:val="none" w:sz="0" w:space="0" w:color="auto"/>
            <w:left w:val="none" w:sz="0" w:space="0" w:color="auto"/>
            <w:bottom w:val="none" w:sz="0" w:space="0" w:color="auto"/>
            <w:right w:val="none" w:sz="0" w:space="0" w:color="auto"/>
          </w:divBdr>
        </w:div>
        <w:div w:id="946962419">
          <w:marLeft w:val="640"/>
          <w:marRight w:val="0"/>
          <w:marTop w:val="0"/>
          <w:marBottom w:val="0"/>
          <w:divBdr>
            <w:top w:val="none" w:sz="0" w:space="0" w:color="auto"/>
            <w:left w:val="none" w:sz="0" w:space="0" w:color="auto"/>
            <w:bottom w:val="none" w:sz="0" w:space="0" w:color="auto"/>
            <w:right w:val="none" w:sz="0" w:space="0" w:color="auto"/>
          </w:divBdr>
        </w:div>
        <w:div w:id="984241442">
          <w:marLeft w:val="640"/>
          <w:marRight w:val="0"/>
          <w:marTop w:val="0"/>
          <w:marBottom w:val="0"/>
          <w:divBdr>
            <w:top w:val="none" w:sz="0" w:space="0" w:color="auto"/>
            <w:left w:val="none" w:sz="0" w:space="0" w:color="auto"/>
            <w:bottom w:val="none" w:sz="0" w:space="0" w:color="auto"/>
            <w:right w:val="none" w:sz="0" w:space="0" w:color="auto"/>
          </w:divBdr>
        </w:div>
        <w:div w:id="394857706">
          <w:marLeft w:val="640"/>
          <w:marRight w:val="0"/>
          <w:marTop w:val="0"/>
          <w:marBottom w:val="0"/>
          <w:divBdr>
            <w:top w:val="none" w:sz="0" w:space="0" w:color="auto"/>
            <w:left w:val="none" w:sz="0" w:space="0" w:color="auto"/>
            <w:bottom w:val="none" w:sz="0" w:space="0" w:color="auto"/>
            <w:right w:val="none" w:sz="0" w:space="0" w:color="auto"/>
          </w:divBdr>
        </w:div>
        <w:div w:id="13239461">
          <w:marLeft w:val="640"/>
          <w:marRight w:val="0"/>
          <w:marTop w:val="0"/>
          <w:marBottom w:val="0"/>
          <w:divBdr>
            <w:top w:val="none" w:sz="0" w:space="0" w:color="auto"/>
            <w:left w:val="none" w:sz="0" w:space="0" w:color="auto"/>
            <w:bottom w:val="none" w:sz="0" w:space="0" w:color="auto"/>
            <w:right w:val="none" w:sz="0" w:space="0" w:color="auto"/>
          </w:divBdr>
        </w:div>
        <w:div w:id="1183395192">
          <w:marLeft w:val="640"/>
          <w:marRight w:val="0"/>
          <w:marTop w:val="0"/>
          <w:marBottom w:val="0"/>
          <w:divBdr>
            <w:top w:val="none" w:sz="0" w:space="0" w:color="auto"/>
            <w:left w:val="none" w:sz="0" w:space="0" w:color="auto"/>
            <w:bottom w:val="none" w:sz="0" w:space="0" w:color="auto"/>
            <w:right w:val="none" w:sz="0" w:space="0" w:color="auto"/>
          </w:divBdr>
        </w:div>
        <w:div w:id="1644508290">
          <w:marLeft w:val="640"/>
          <w:marRight w:val="0"/>
          <w:marTop w:val="0"/>
          <w:marBottom w:val="0"/>
          <w:divBdr>
            <w:top w:val="none" w:sz="0" w:space="0" w:color="auto"/>
            <w:left w:val="none" w:sz="0" w:space="0" w:color="auto"/>
            <w:bottom w:val="none" w:sz="0" w:space="0" w:color="auto"/>
            <w:right w:val="none" w:sz="0" w:space="0" w:color="auto"/>
          </w:divBdr>
        </w:div>
        <w:div w:id="1823809377">
          <w:marLeft w:val="640"/>
          <w:marRight w:val="0"/>
          <w:marTop w:val="0"/>
          <w:marBottom w:val="0"/>
          <w:divBdr>
            <w:top w:val="none" w:sz="0" w:space="0" w:color="auto"/>
            <w:left w:val="none" w:sz="0" w:space="0" w:color="auto"/>
            <w:bottom w:val="none" w:sz="0" w:space="0" w:color="auto"/>
            <w:right w:val="none" w:sz="0" w:space="0" w:color="auto"/>
          </w:divBdr>
        </w:div>
        <w:div w:id="1263151339">
          <w:marLeft w:val="640"/>
          <w:marRight w:val="0"/>
          <w:marTop w:val="0"/>
          <w:marBottom w:val="0"/>
          <w:divBdr>
            <w:top w:val="none" w:sz="0" w:space="0" w:color="auto"/>
            <w:left w:val="none" w:sz="0" w:space="0" w:color="auto"/>
            <w:bottom w:val="none" w:sz="0" w:space="0" w:color="auto"/>
            <w:right w:val="none" w:sz="0" w:space="0" w:color="auto"/>
          </w:divBdr>
        </w:div>
        <w:div w:id="1535343254">
          <w:marLeft w:val="640"/>
          <w:marRight w:val="0"/>
          <w:marTop w:val="0"/>
          <w:marBottom w:val="0"/>
          <w:divBdr>
            <w:top w:val="none" w:sz="0" w:space="0" w:color="auto"/>
            <w:left w:val="none" w:sz="0" w:space="0" w:color="auto"/>
            <w:bottom w:val="none" w:sz="0" w:space="0" w:color="auto"/>
            <w:right w:val="none" w:sz="0" w:space="0" w:color="auto"/>
          </w:divBdr>
        </w:div>
        <w:div w:id="38868499">
          <w:marLeft w:val="640"/>
          <w:marRight w:val="0"/>
          <w:marTop w:val="0"/>
          <w:marBottom w:val="0"/>
          <w:divBdr>
            <w:top w:val="none" w:sz="0" w:space="0" w:color="auto"/>
            <w:left w:val="none" w:sz="0" w:space="0" w:color="auto"/>
            <w:bottom w:val="none" w:sz="0" w:space="0" w:color="auto"/>
            <w:right w:val="none" w:sz="0" w:space="0" w:color="auto"/>
          </w:divBdr>
        </w:div>
        <w:div w:id="1789273751">
          <w:marLeft w:val="640"/>
          <w:marRight w:val="0"/>
          <w:marTop w:val="0"/>
          <w:marBottom w:val="0"/>
          <w:divBdr>
            <w:top w:val="none" w:sz="0" w:space="0" w:color="auto"/>
            <w:left w:val="none" w:sz="0" w:space="0" w:color="auto"/>
            <w:bottom w:val="none" w:sz="0" w:space="0" w:color="auto"/>
            <w:right w:val="none" w:sz="0" w:space="0" w:color="auto"/>
          </w:divBdr>
        </w:div>
        <w:div w:id="220136037">
          <w:marLeft w:val="640"/>
          <w:marRight w:val="0"/>
          <w:marTop w:val="0"/>
          <w:marBottom w:val="0"/>
          <w:divBdr>
            <w:top w:val="none" w:sz="0" w:space="0" w:color="auto"/>
            <w:left w:val="none" w:sz="0" w:space="0" w:color="auto"/>
            <w:bottom w:val="none" w:sz="0" w:space="0" w:color="auto"/>
            <w:right w:val="none" w:sz="0" w:space="0" w:color="auto"/>
          </w:divBdr>
        </w:div>
        <w:div w:id="1500580781">
          <w:marLeft w:val="640"/>
          <w:marRight w:val="0"/>
          <w:marTop w:val="0"/>
          <w:marBottom w:val="0"/>
          <w:divBdr>
            <w:top w:val="none" w:sz="0" w:space="0" w:color="auto"/>
            <w:left w:val="none" w:sz="0" w:space="0" w:color="auto"/>
            <w:bottom w:val="none" w:sz="0" w:space="0" w:color="auto"/>
            <w:right w:val="none" w:sz="0" w:space="0" w:color="auto"/>
          </w:divBdr>
        </w:div>
        <w:div w:id="1879079928">
          <w:marLeft w:val="640"/>
          <w:marRight w:val="0"/>
          <w:marTop w:val="0"/>
          <w:marBottom w:val="0"/>
          <w:divBdr>
            <w:top w:val="none" w:sz="0" w:space="0" w:color="auto"/>
            <w:left w:val="none" w:sz="0" w:space="0" w:color="auto"/>
            <w:bottom w:val="none" w:sz="0" w:space="0" w:color="auto"/>
            <w:right w:val="none" w:sz="0" w:space="0" w:color="auto"/>
          </w:divBdr>
        </w:div>
        <w:div w:id="329792211">
          <w:marLeft w:val="640"/>
          <w:marRight w:val="0"/>
          <w:marTop w:val="0"/>
          <w:marBottom w:val="0"/>
          <w:divBdr>
            <w:top w:val="none" w:sz="0" w:space="0" w:color="auto"/>
            <w:left w:val="none" w:sz="0" w:space="0" w:color="auto"/>
            <w:bottom w:val="none" w:sz="0" w:space="0" w:color="auto"/>
            <w:right w:val="none" w:sz="0" w:space="0" w:color="auto"/>
          </w:divBdr>
        </w:div>
        <w:div w:id="1096681267">
          <w:marLeft w:val="640"/>
          <w:marRight w:val="0"/>
          <w:marTop w:val="0"/>
          <w:marBottom w:val="0"/>
          <w:divBdr>
            <w:top w:val="none" w:sz="0" w:space="0" w:color="auto"/>
            <w:left w:val="none" w:sz="0" w:space="0" w:color="auto"/>
            <w:bottom w:val="none" w:sz="0" w:space="0" w:color="auto"/>
            <w:right w:val="none" w:sz="0" w:space="0" w:color="auto"/>
          </w:divBdr>
        </w:div>
        <w:div w:id="869604674">
          <w:marLeft w:val="640"/>
          <w:marRight w:val="0"/>
          <w:marTop w:val="0"/>
          <w:marBottom w:val="0"/>
          <w:divBdr>
            <w:top w:val="none" w:sz="0" w:space="0" w:color="auto"/>
            <w:left w:val="none" w:sz="0" w:space="0" w:color="auto"/>
            <w:bottom w:val="none" w:sz="0" w:space="0" w:color="auto"/>
            <w:right w:val="none" w:sz="0" w:space="0" w:color="auto"/>
          </w:divBdr>
        </w:div>
        <w:div w:id="1958095740">
          <w:marLeft w:val="640"/>
          <w:marRight w:val="0"/>
          <w:marTop w:val="0"/>
          <w:marBottom w:val="0"/>
          <w:divBdr>
            <w:top w:val="none" w:sz="0" w:space="0" w:color="auto"/>
            <w:left w:val="none" w:sz="0" w:space="0" w:color="auto"/>
            <w:bottom w:val="none" w:sz="0" w:space="0" w:color="auto"/>
            <w:right w:val="none" w:sz="0" w:space="0" w:color="auto"/>
          </w:divBdr>
        </w:div>
        <w:div w:id="1205286695">
          <w:marLeft w:val="640"/>
          <w:marRight w:val="0"/>
          <w:marTop w:val="0"/>
          <w:marBottom w:val="0"/>
          <w:divBdr>
            <w:top w:val="none" w:sz="0" w:space="0" w:color="auto"/>
            <w:left w:val="none" w:sz="0" w:space="0" w:color="auto"/>
            <w:bottom w:val="none" w:sz="0" w:space="0" w:color="auto"/>
            <w:right w:val="none" w:sz="0" w:space="0" w:color="auto"/>
          </w:divBdr>
        </w:div>
        <w:div w:id="1776750432">
          <w:marLeft w:val="640"/>
          <w:marRight w:val="0"/>
          <w:marTop w:val="0"/>
          <w:marBottom w:val="0"/>
          <w:divBdr>
            <w:top w:val="none" w:sz="0" w:space="0" w:color="auto"/>
            <w:left w:val="none" w:sz="0" w:space="0" w:color="auto"/>
            <w:bottom w:val="none" w:sz="0" w:space="0" w:color="auto"/>
            <w:right w:val="none" w:sz="0" w:space="0" w:color="auto"/>
          </w:divBdr>
        </w:div>
        <w:div w:id="1807581138">
          <w:marLeft w:val="640"/>
          <w:marRight w:val="0"/>
          <w:marTop w:val="0"/>
          <w:marBottom w:val="0"/>
          <w:divBdr>
            <w:top w:val="none" w:sz="0" w:space="0" w:color="auto"/>
            <w:left w:val="none" w:sz="0" w:space="0" w:color="auto"/>
            <w:bottom w:val="none" w:sz="0" w:space="0" w:color="auto"/>
            <w:right w:val="none" w:sz="0" w:space="0" w:color="auto"/>
          </w:divBdr>
        </w:div>
        <w:div w:id="1191718559">
          <w:marLeft w:val="640"/>
          <w:marRight w:val="0"/>
          <w:marTop w:val="0"/>
          <w:marBottom w:val="0"/>
          <w:divBdr>
            <w:top w:val="none" w:sz="0" w:space="0" w:color="auto"/>
            <w:left w:val="none" w:sz="0" w:space="0" w:color="auto"/>
            <w:bottom w:val="none" w:sz="0" w:space="0" w:color="auto"/>
            <w:right w:val="none" w:sz="0" w:space="0" w:color="auto"/>
          </w:divBdr>
        </w:div>
        <w:div w:id="592200087">
          <w:marLeft w:val="640"/>
          <w:marRight w:val="0"/>
          <w:marTop w:val="0"/>
          <w:marBottom w:val="0"/>
          <w:divBdr>
            <w:top w:val="none" w:sz="0" w:space="0" w:color="auto"/>
            <w:left w:val="none" w:sz="0" w:space="0" w:color="auto"/>
            <w:bottom w:val="none" w:sz="0" w:space="0" w:color="auto"/>
            <w:right w:val="none" w:sz="0" w:space="0" w:color="auto"/>
          </w:divBdr>
        </w:div>
        <w:div w:id="1740788289">
          <w:marLeft w:val="640"/>
          <w:marRight w:val="0"/>
          <w:marTop w:val="0"/>
          <w:marBottom w:val="0"/>
          <w:divBdr>
            <w:top w:val="none" w:sz="0" w:space="0" w:color="auto"/>
            <w:left w:val="none" w:sz="0" w:space="0" w:color="auto"/>
            <w:bottom w:val="none" w:sz="0" w:space="0" w:color="auto"/>
            <w:right w:val="none" w:sz="0" w:space="0" w:color="auto"/>
          </w:divBdr>
        </w:div>
        <w:div w:id="682247781">
          <w:marLeft w:val="640"/>
          <w:marRight w:val="0"/>
          <w:marTop w:val="0"/>
          <w:marBottom w:val="0"/>
          <w:divBdr>
            <w:top w:val="none" w:sz="0" w:space="0" w:color="auto"/>
            <w:left w:val="none" w:sz="0" w:space="0" w:color="auto"/>
            <w:bottom w:val="none" w:sz="0" w:space="0" w:color="auto"/>
            <w:right w:val="none" w:sz="0" w:space="0" w:color="auto"/>
          </w:divBdr>
        </w:div>
        <w:div w:id="565334748">
          <w:marLeft w:val="640"/>
          <w:marRight w:val="0"/>
          <w:marTop w:val="0"/>
          <w:marBottom w:val="0"/>
          <w:divBdr>
            <w:top w:val="none" w:sz="0" w:space="0" w:color="auto"/>
            <w:left w:val="none" w:sz="0" w:space="0" w:color="auto"/>
            <w:bottom w:val="none" w:sz="0" w:space="0" w:color="auto"/>
            <w:right w:val="none" w:sz="0" w:space="0" w:color="auto"/>
          </w:divBdr>
        </w:div>
        <w:div w:id="1631477665">
          <w:marLeft w:val="640"/>
          <w:marRight w:val="0"/>
          <w:marTop w:val="0"/>
          <w:marBottom w:val="0"/>
          <w:divBdr>
            <w:top w:val="none" w:sz="0" w:space="0" w:color="auto"/>
            <w:left w:val="none" w:sz="0" w:space="0" w:color="auto"/>
            <w:bottom w:val="none" w:sz="0" w:space="0" w:color="auto"/>
            <w:right w:val="none" w:sz="0" w:space="0" w:color="auto"/>
          </w:divBdr>
        </w:div>
        <w:div w:id="1035082414">
          <w:marLeft w:val="640"/>
          <w:marRight w:val="0"/>
          <w:marTop w:val="0"/>
          <w:marBottom w:val="0"/>
          <w:divBdr>
            <w:top w:val="none" w:sz="0" w:space="0" w:color="auto"/>
            <w:left w:val="none" w:sz="0" w:space="0" w:color="auto"/>
            <w:bottom w:val="none" w:sz="0" w:space="0" w:color="auto"/>
            <w:right w:val="none" w:sz="0" w:space="0" w:color="auto"/>
          </w:divBdr>
        </w:div>
        <w:div w:id="486439308">
          <w:marLeft w:val="640"/>
          <w:marRight w:val="0"/>
          <w:marTop w:val="0"/>
          <w:marBottom w:val="0"/>
          <w:divBdr>
            <w:top w:val="none" w:sz="0" w:space="0" w:color="auto"/>
            <w:left w:val="none" w:sz="0" w:space="0" w:color="auto"/>
            <w:bottom w:val="none" w:sz="0" w:space="0" w:color="auto"/>
            <w:right w:val="none" w:sz="0" w:space="0" w:color="auto"/>
          </w:divBdr>
        </w:div>
        <w:div w:id="734012384">
          <w:marLeft w:val="640"/>
          <w:marRight w:val="0"/>
          <w:marTop w:val="0"/>
          <w:marBottom w:val="0"/>
          <w:divBdr>
            <w:top w:val="none" w:sz="0" w:space="0" w:color="auto"/>
            <w:left w:val="none" w:sz="0" w:space="0" w:color="auto"/>
            <w:bottom w:val="none" w:sz="0" w:space="0" w:color="auto"/>
            <w:right w:val="none" w:sz="0" w:space="0" w:color="auto"/>
          </w:divBdr>
        </w:div>
        <w:div w:id="1296254569">
          <w:marLeft w:val="640"/>
          <w:marRight w:val="0"/>
          <w:marTop w:val="0"/>
          <w:marBottom w:val="0"/>
          <w:divBdr>
            <w:top w:val="none" w:sz="0" w:space="0" w:color="auto"/>
            <w:left w:val="none" w:sz="0" w:space="0" w:color="auto"/>
            <w:bottom w:val="none" w:sz="0" w:space="0" w:color="auto"/>
            <w:right w:val="none" w:sz="0" w:space="0" w:color="auto"/>
          </w:divBdr>
        </w:div>
        <w:div w:id="990212140">
          <w:marLeft w:val="640"/>
          <w:marRight w:val="0"/>
          <w:marTop w:val="0"/>
          <w:marBottom w:val="0"/>
          <w:divBdr>
            <w:top w:val="none" w:sz="0" w:space="0" w:color="auto"/>
            <w:left w:val="none" w:sz="0" w:space="0" w:color="auto"/>
            <w:bottom w:val="none" w:sz="0" w:space="0" w:color="auto"/>
            <w:right w:val="none" w:sz="0" w:space="0" w:color="auto"/>
          </w:divBdr>
        </w:div>
        <w:div w:id="1971858012">
          <w:marLeft w:val="640"/>
          <w:marRight w:val="0"/>
          <w:marTop w:val="0"/>
          <w:marBottom w:val="0"/>
          <w:divBdr>
            <w:top w:val="none" w:sz="0" w:space="0" w:color="auto"/>
            <w:left w:val="none" w:sz="0" w:space="0" w:color="auto"/>
            <w:bottom w:val="none" w:sz="0" w:space="0" w:color="auto"/>
            <w:right w:val="none" w:sz="0" w:space="0" w:color="auto"/>
          </w:divBdr>
        </w:div>
        <w:div w:id="729351457">
          <w:marLeft w:val="640"/>
          <w:marRight w:val="0"/>
          <w:marTop w:val="0"/>
          <w:marBottom w:val="0"/>
          <w:divBdr>
            <w:top w:val="none" w:sz="0" w:space="0" w:color="auto"/>
            <w:left w:val="none" w:sz="0" w:space="0" w:color="auto"/>
            <w:bottom w:val="none" w:sz="0" w:space="0" w:color="auto"/>
            <w:right w:val="none" w:sz="0" w:space="0" w:color="auto"/>
          </w:divBdr>
        </w:div>
        <w:div w:id="1570458769">
          <w:marLeft w:val="640"/>
          <w:marRight w:val="0"/>
          <w:marTop w:val="0"/>
          <w:marBottom w:val="0"/>
          <w:divBdr>
            <w:top w:val="none" w:sz="0" w:space="0" w:color="auto"/>
            <w:left w:val="none" w:sz="0" w:space="0" w:color="auto"/>
            <w:bottom w:val="none" w:sz="0" w:space="0" w:color="auto"/>
            <w:right w:val="none" w:sz="0" w:space="0" w:color="auto"/>
          </w:divBdr>
        </w:div>
        <w:div w:id="2145728407">
          <w:marLeft w:val="640"/>
          <w:marRight w:val="0"/>
          <w:marTop w:val="0"/>
          <w:marBottom w:val="0"/>
          <w:divBdr>
            <w:top w:val="none" w:sz="0" w:space="0" w:color="auto"/>
            <w:left w:val="none" w:sz="0" w:space="0" w:color="auto"/>
            <w:bottom w:val="none" w:sz="0" w:space="0" w:color="auto"/>
            <w:right w:val="none" w:sz="0" w:space="0" w:color="auto"/>
          </w:divBdr>
        </w:div>
        <w:div w:id="671839052">
          <w:marLeft w:val="640"/>
          <w:marRight w:val="0"/>
          <w:marTop w:val="0"/>
          <w:marBottom w:val="0"/>
          <w:divBdr>
            <w:top w:val="none" w:sz="0" w:space="0" w:color="auto"/>
            <w:left w:val="none" w:sz="0" w:space="0" w:color="auto"/>
            <w:bottom w:val="none" w:sz="0" w:space="0" w:color="auto"/>
            <w:right w:val="none" w:sz="0" w:space="0" w:color="auto"/>
          </w:divBdr>
        </w:div>
        <w:div w:id="1570308948">
          <w:marLeft w:val="640"/>
          <w:marRight w:val="0"/>
          <w:marTop w:val="0"/>
          <w:marBottom w:val="0"/>
          <w:divBdr>
            <w:top w:val="none" w:sz="0" w:space="0" w:color="auto"/>
            <w:left w:val="none" w:sz="0" w:space="0" w:color="auto"/>
            <w:bottom w:val="none" w:sz="0" w:space="0" w:color="auto"/>
            <w:right w:val="none" w:sz="0" w:space="0" w:color="auto"/>
          </w:divBdr>
        </w:div>
        <w:div w:id="1042437380">
          <w:marLeft w:val="640"/>
          <w:marRight w:val="0"/>
          <w:marTop w:val="0"/>
          <w:marBottom w:val="0"/>
          <w:divBdr>
            <w:top w:val="none" w:sz="0" w:space="0" w:color="auto"/>
            <w:left w:val="none" w:sz="0" w:space="0" w:color="auto"/>
            <w:bottom w:val="none" w:sz="0" w:space="0" w:color="auto"/>
            <w:right w:val="none" w:sz="0" w:space="0" w:color="auto"/>
          </w:divBdr>
        </w:div>
        <w:div w:id="282924746">
          <w:marLeft w:val="640"/>
          <w:marRight w:val="0"/>
          <w:marTop w:val="0"/>
          <w:marBottom w:val="0"/>
          <w:divBdr>
            <w:top w:val="none" w:sz="0" w:space="0" w:color="auto"/>
            <w:left w:val="none" w:sz="0" w:space="0" w:color="auto"/>
            <w:bottom w:val="none" w:sz="0" w:space="0" w:color="auto"/>
            <w:right w:val="none" w:sz="0" w:space="0" w:color="auto"/>
          </w:divBdr>
        </w:div>
        <w:div w:id="1095247738">
          <w:marLeft w:val="640"/>
          <w:marRight w:val="0"/>
          <w:marTop w:val="0"/>
          <w:marBottom w:val="0"/>
          <w:divBdr>
            <w:top w:val="none" w:sz="0" w:space="0" w:color="auto"/>
            <w:left w:val="none" w:sz="0" w:space="0" w:color="auto"/>
            <w:bottom w:val="none" w:sz="0" w:space="0" w:color="auto"/>
            <w:right w:val="none" w:sz="0" w:space="0" w:color="auto"/>
          </w:divBdr>
        </w:div>
        <w:div w:id="2091928703">
          <w:marLeft w:val="640"/>
          <w:marRight w:val="0"/>
          <w:marTop w:val="0"/>
          <w:marBottom w:val="0"/>
          <w:divBdr>
            <w:top w:val="none" w:sz="0" w:space="0" w:color="auto"/>
            <w:left w:val="none" w:sz="0" w:space="0" w:color="auto"/>
            <w:bottom w:val="none" w:sz="0" w:space="0" w:color="auto"/>
            <w:right w:val="none" w:sz="0" w:space="0" w:color="auto"/>
          </w:divBdr>
        </w:div>
        <w:div w:id="1263689855">
          <w:marLeft w:val="640"/>
          <w:marRight w:val="0"/>
          <w:marTop w:val="0"/>
          <w:marBottom w:val="0"/>
          <w:divBdr>
            <w:top w:val="none" w:sz="0" w:space="0" w:color="auto"/>
            <w:left w:val="none" w:sz="0" w:space="0" w:color="auto"/>
            <w:bottom w:val="none" w:sz="0" w:space="0" w:color="auto"/>
            <w:right w:val="none" w:sz="0" w:space="0" w:color="auto"/>
          </w:divBdr>
        </w:div>
        <w:div w:id="16464736">
          <w:marLeft w:val="640"/>
          <w:marRight w:val="0"/>
          <w:marTop w:val="0"/>
          <w:marBottom w:val="0"/>
          <w:divBdr>
            <w:top w:val="none" w:sz="0" w:space="0" w:color="auto"/>
            <w:left w:val="none" w:sz="0" w:space="0" w:color="auto"/>
            <w:bottom w:val="none" w:sz="0" w:space="0" w:color="auto"/>
            <w:right w:val="none" w:sz="0" w:space="0" w:color="auto"/>
          </w:divBdr>
        </w:div>
        <w:div w:id="2090540557">
          <w:marLeft w:val="640"/>
          <w:marRight w:val="0"/>
          <w:marTop w:val="0"/>
          <w:marBottom w:val="0"/>
          <w:divBdr>
            <w:top w:val="none" w:sz="0" w:space="0" w:color="auto"/>
            <w:left w:val="none" w:sz="0" w:space="0" w:color="auto"/>
            <w:bottom w:val="none" w:sz="0" w:space="0" w:color="auto"/>
            <w:right w:val="none" w:sz="0" w:space="0" w:color="auto"/>
          </w:divBdr>
        </w:div>
        <w:div w:id="1480223976">
          <w:marLeft w:val="640"/>
          <w:marRight w:val="0"/>
          <w:marTop w:val="0"/>
          <w:marBottom w:val="0"/>
          <w:divBdr>
            <w:top w:val="none" w:sz="0" w:space="0" w:color="auto"/>
            <w:left w:val="none" w:sz="0" w:space="0" w:color="auto"/>
            <w:bottom w:val="none" w:sz="0" w:space="0" w:color="auto"/>
            <w:right w:val="none" w:sz="0" w:space="0" w:color="auto"/>
          </w:divBdr>
        </w:div>
        <w:div w:id="456530353">
          <w:marLeft w:val="640"/>
          <w:marRight w:val="0"/>
          <w:marTop w:val="0"/>
          <w:marBottom w:val="0"/>
          <w:divBdr>
            <w:top w:val="none" w:sz="0" w:space="0" w:color="auto"/>
            <w:left w:val="none" w:sz="0" w:space="0" w:color="auto"/>
            <w:bottom w:val="none" w:sz="0" w:space="0" w:color="auto"/>
            <w:right w:val="none" w:sz="0" w:space="0" w:color="auto"/>
          </w:divBdr>
        </w:div>
        <w:div w:id="453792264">
          <w:marLeft w:val="640"/>
          <w:marRight w:val="0"/>
          <w:marTop w:val="0"/>
          <w:marBottom w:val="0"/>
          <w:divBdr>
            <w:top w:val="none" w:sz="0" w:space="0" w:color="auto"/>
            <w:left w:val="none" w:sz="0" w:space="0" w:color="auto"/>
            <w:bottom w:val="none" w:sz="0" w:space="0" w:color="auto"/>
            <w:right w:val="none" w:sz="0" w:space="0" w:color="auto"/>
          </w:divBdr>
        </w:div>
        <w:div w:id="693073453">
          <w:marLeft w:val="640"/>
          <w:marRight w:val="0"/>
          <w:marTop w:val="0"/>
          <w:marBottom w:val="0"/>
          <w:divBdr>
            <w:top w:val="none" w:sz="0" w:space="0" w:color="auto"/>
            <w:left w:val="none" w:sz="0" w:space="0" w:color="auto"/>
            <w:bottom w:val="none" w:sz="0" w:space="0" w:color="auto"/>
            <w:right w:val="none" w:sz="0" w:space="0" w:color="auto"/>
          </w:divBdr>
        </w:div>
        <w:div w:id="1220752252">
          <w:marLeft w:val="640"/>
          <w:marRight w:val="0"/>
          <w:marTop w:val="0"/>
          <w:marBottom w:val="0"/>
          <w:divBdr>
            <w:top w:val="none" w:sz="0" w:space="0" w:color="auto"/>
            <w:left w:val="none" w:sz="0" w:space="0" w:color="auto"/>
            <w:bottom w:val="none" w:sz="0" w:space="0" w:color="auto"/>
            <w:right w:val="none" w:sz="0" w:space="0" w:color="auto"/>
          </w:divBdr>
        </w:div>
        <w:div w:id="884105142">
          <w:marLeft w:val="640"/>
          <w:marRight w:val="0"/>
          <w:marTop w:val="0"/>
          <w:marBottom w:val="0"/>
          <w:divBdr>
            <w:top w:val="none" w:sz="0" w:space="0" w:color="auto"/>
            <w:left w:val="none" w:sz="0" w:space="0" w:color="auto"/>
            <w:bottom w:val="none" w:sz="0" w:space="0" w:color="auto"/>
            <w:right w:val="none" w:sz="0" w:space="0" w:color="auto"/>
          </w:divBdr>
        </w:div>
        <w:div w:id="1928683880">
          <w:marLeft w:val="640"/>
          <w:marRight w:val="0"/>
          <w:marTop w:val="0"/>
          <w:marBottom w:val="0"/>
          <w:divBdr>
            <w:top w:val="none" w:sz="0" w:space="0" w:color="auto"/>
            <w:left w:val="none" w:sz="0" w:space="0" w:color="auto"/>
            <w:bottom w:val="none" w:sz="0" w:space="0" w:color="auto"/>
            <w:right w:val="none" w:sz="0" w:space="0" w:color="auto"/>
          </w:divBdr>
        </w:div>
        <w:div w:id="138621464">
          <w:marLeft w:val="640"/>
          <w:marRight w:val="0"/>
          <w:marTop w:val="0"/>
          <w:marBottom w:val="0"/>
          <w:divBdr>
            <w:top w:val="none" w:sz="0" w:space="0" w:color="auto"/>
            <w:left w:val="none" w:sz="0" w:space="0" w:color="auto"/>
            <w:bottom w:val="none" w:sz="0" w:space="0" w:color="auto"/>
            <w:right w:val="none" w:sz="0" w:space="0" w:color="auto"/>
          </w:divBdr>
        </w:div>
        <w:div w:id="1494177222">
          <w:marLeft w:val="640"/>
          <w:marRight w:val="0"/>
          <w:marTop w:val="0"/>
          <w:marBottom w:val="0"/>
          <w:divBdr>
            <w:top w:val="none" w:sz="0" w:space="0" w:color="auto"/>
            <w:left w:val="none" w:sz="0" w:space="0" w:color="auto"/>
            <w:bottom w:val="none" w:sz="0" w:space="0" w:color="auto"/>
            <w:right w:val="none" w:sz="0" w:space="0" w:color="auto"/>
          </w:divBdr>
        </w:div>
        <w:div w:id="793796383">
          <w:marLeft w:val="640"/>
          <w:marRight w:val="0"/>
          <w:marTop w:val="0"/>
          <w:marBottom w:val="0"/>
          <w:divBdr>
            <w:top w:val="none" w:sz="0" w:space="0" w:color="auto"/>
            <w:left w:val="none" w:sz="0" w:space="0" w:color="auto"/>
            <w:bottom w:val="none" w:sz="0" w:space="0" w:color="auto"/>
            <w:right w:val="none" w:sz="0" w:space="0" w:color="auto"/>
          </w:divBdr>
        </w:div>
        <w:div w:id="1180655708">
          <w:marLeft w:val="640"/>
          <w:marRight w:val="0"/>
          <w:marTop w:val="0"/>
          <w:marBottom w:val="0"/>
          <w:divBdr>
            <w:top w:val="none" w:sz="0" w:space="0" w:color="auto"/>
            <w:left w:val="none" w:sz="0" w:space="0" w:color="auto"/>
            <w:bottom w:val="none" w:sz="0" w:space="0" w:color="auto"/>
            <w:right w:val="none" w:sz="0" w:space="0" w:color="auto"/>
          </w:divBdr>
        </w:div>
        <w:div w:id="1279333307">
          <w:marLeft w:val="640"/>
          <w:marRight w:val="0"/>
          <w:marTop w:val="0"/>
          <w:marBottom w:val="0"/>
          <w:divBdr>
            <w:top w:val="none" w:sz="0" w:space="0" w:color="auto"/>
            <w:left w:val="none" w:sz="0" w:space="0" w:color="auto"/>
            <w:bottom w:val="none" w:sz="0" w:space="0" w:color="auto"/>
            <w:right w:val="none" w:sz="0" w:space="0" w:color="auto"/>
          </w:divBdr>
        </w:div>
        <w:div w:id="154879121">
          <w:marLeft w:val="640"/>
          <w:marRight w:val="0"/>
          <w:marTop w:val="0"/>
          <w:marBottom w:val="0"/>
          <w:divBdr>
            <w:top w:val="none" w:sz="0" w:space="0" w:color="auto"/>
            <w:left w:val="none" w:sz="0" w:space="0" w:color="auto"/>
            <w:bottom w:val="none" w:sz="0" w:space="0" w:color="auto"/>
            <w:right w:val="none" w:sz="0" w:space="0" w:color="auto"/>
          </w:divBdr>
        </w:div>
        <w:div w:id="280185394">
          <w:marLeft w:val="640"/>
          <w:marRight w:val="0"/>
          <w:marTop w:val="0"/>
          <w:marBottom w:val="0"/>
          <w:divBdr>
            <w:top w:val="none" w:sz="0" w:space="0" w:color="auto"/>
            <w:left w:val="none" w:sz="0" w:space="0" w:color="auto"/>
            <w:bottom w:val="none" w:sz="0" w:space="0" w:color="auto"/>
            <w:right w:val="none" w:sz="0" w:space="0" w:color="auto"/>
          </w:divBdr>
        </w:div>
        <w:div w:id="1852256626">
          <w:marLeft w:val="640"/>
          <w:marRight w:val="0"/>
          <w:marTop w:val="0"/>
          <w:marBottom w:val="0"/>
          <w:divBdr>
            <w:top w:val="none" w:sz="0" w:space="0" w:color="auto"/>
            <w:left w:val="none" w:sz="0" w:space="0" w:color="auto"/>
            <w:bottom w:val="none" w:sz="0" w:space="0" w:color="auto"/>
            <w:right w:val="none" w:sz="0" w:space="0" w:color="auto"/>
          </w:divBdr>
        </w:div>
        <w:div w:id="2055999927">
          <w:marLeft w:val="640"/>
          <w:marRight w:val="0"/>
          <w:marTop w:val="0"/>
          <w:marBottom w:val="0"/>
          <w:divBdr>
            <w:top w:val="none" w:sz="0" w:space="0" w:color="auto"/>
            <w:left w:val="none" w:sz="0" w:space="0" w:color="auto"/>
            <w:bottom w:val="none" w:sz="0" w:space="0" w:color="auto"/>
            <w:right w:val="none" w:sz="0" w:space="0" w:color="auto"/>
          </w:divBdr>
        </w:div>
        <w:div w:id="913852856">
          <w:marLeft w:val="640"/>
          <w:marRight w:val="0"/>
          <w:marTop w:val="0"/>
          <w:marBottom w:val="0"/>
          <w:divBdr>
            <w:top w:val="none" w:sz="0" w:space="0" w:color="auto"/>
            <w:left w:val="none" w:sz="0" w:space="0" w:color="auto"/>
            <w:bottom w:val="none" w:sz="0" w:space="0" w:color="auto"/>
            <w:right w:val="none" w:sz="0" w:space="0" w:color="auto"/>
          </w:divBdr>
        </w:div>
        <w:div w:id="899558105">
          <w:marLeft w:val="640"/>
          <w:marRight w:val="0"/>
          <w:marTop w:val="0"/>
          <w:marBottom w:val="0"/>
          <w:divBdr>
            <w:top w:val="none" w:sz="0" w:space="0" w:color="auto"/>
            <w:left w:val="none" w:sz="0" w:space="0" w:color="auto"/>
            <w:bottom w:val="none" w:sz="0" w:space="0" w:color="auto"/>
            <w:right w:val="none" w:sz="0" w:space="0" w:color="auto"/>
          </w:divBdr>
        </w:div>
        <w:div w:id="1218399014">
          <w:marLeft w:val="640"/>
          <w:marRight w:val="0"/>
          <w:marTop w:val="0"/>
          <w:marBottom w:val="0"/>
          <w:divBdr>
            <w:top w:val="none" w:sz="0" w:space="0" w:color="auto"/>
            <w:left w:val="none" w:sz="0" w:space="0" w:color="auto"/>
            <w:bottom w:val="none" w:sz="0" w:space="0" w:color="auto"/>
            <w:right w:val="none" w:sz="0" w:space="0" w:color="auto"/>
          </w:divBdr>
        </w:div>
        <w:div w:id="372583507">
          <w:marLeft w:val="640"/>
          <w:marRight w:val="0"/>
          <w:marTop w:val="0"/>
          <w:marBottom w:val="0"/>
          <w:divBdr>
            <w:top w:val="none" w:sz="0" w:space="0" w:color="auto"/>
            <w:left w:val="none" w:sz="0" w:space="0" w:color="auto"/>
            <w:bottom w:val="none" w:sz="0" w:space="0" w:color="auto"/>
            <w:right w:val="none" w:sz="0" w:space="0" w:color="auto"/>
          </w:divBdr>
        </w:div>
        <w:div w:id="85270693">
          <w:marLeft w:val="640"/>
          <w:marRight w:val="0"/>
          <w:marTop w:val="0"/>
          <w:marBottom w:val="0"/>
          <w:divBdr>
            <w:top w:val="none" w:sz="0" w:space="0" w:color="auto"/>
            <w:left w:val="none" w:sz="0" w:space="0" w:color="auto"/>
            <w:bottom w:val="none" w:sz="0" w:space="0" w:color="auto"/>
            <w:right w:val="none" w:sz="0" w:space="0" w:color="auto"/>
          </w:divBdr>
        </w:div>
        <w:div w:id="1740783775">
          <w:marLeft w:val="640"/>
          <w:marRight w:val="0"/>
          <w:marTop w:val="0"/>
          <w:marBottom w:val="0"/>
          <w:divBdr>
            <w:top w:val="none" w:sz="0" w:space="0" w:color="auto"/>
            <w:left w:val="none" w:sz="0" w:space="0" w:color="auto"/>
            <w:bottom w:val="none" w:sz="0" w:space="0" w:color="auto"/>
            <w:right w:val="none" w:sz="0" w:space="0" w:color="auto"/>
          </w:divBdr>
        </w:div>
        <w:div w:id="612395631">
          <w:marLeft w:val="640"/>
          <w:marRight w:val="0"/>
          <w:marTop w:val="0"/>
          <w:marBottom w:val="0"/>
          <w:divBdr>
            <w:top w:val="none" w:sz="0" w:space="0" w:color="auto"/>
            <w:left w:val="none" w:sz="0" w:space="0" w:color="auto"/>
            <w:bottom w:val="none" w:sz="0" w:space="0" w:color="auto"/>
            <w:right w:val="none" w:sz="0" w:space="0" w:color="auto"/>
          </w:divBdr>
        </w:div>
        <w:div w:id="1488546201">
          <w:marLeft w:val="640"/>
          <w:marRight w:val="0"/>
          <w:marTop w:val="0"/>
          <w:marBottom w:val="0"/>
          <w:divBdr>
            <w:top w:val="none" w:sz="0" w:space="0" w:color="auto"/>
            <w:left w:val="none" w:sz="0" w:space="0" w:color="auto"/>
            <w:bottom w:val="none" w:sz="0" w:space="0" w:color="auto"/>
            <w:right w:val="none" w:sz="0" w:space="0" w:color="auto"/>
          </w:divBdr>
        </w:div>
        <w:div w:id="803696596">
          <w:marLeft w:val="640"/>
          <w:marRight w:val="0"/>
          <w:marTop w:val="0"/>
          <w:marBottom w:val="0"/>
          <w:divBdr>
            <w:top w:val="none" w:sz="0" w:space="0" w:color="auto"/>
            <w:left w:val="none" w:sz="0" w:space="0" w:color="auto"/>
            <w:bottom w:val="none" w:sz="0" w:space="0" w:color="auto"/>
            <w:right w:val="none" w:sz="0" w:space="0" w:color="auto"/>
          </w:divBdr>
        </w:div>
        <w:div w:id="1304771614">
          <w:marLeft w:val="640"/>
          <w:marRight w:val="0"/>
          <w:marTop w:val="0"/>
          <w:marBottom w:val="0"/>
          <w:divBdr>
            <w:top w:val="none" w:sz="0" w:space="0" w:color="auto"/>
            <w:left w:val="none" w:sz="0" w:space="0" w:color="auto"/>
            <w:bottom w:val="none" w:sz="0" w:space="0" w:color="auto"/>
            <w:right w:val="none" w:sz="0" w:space="0" w:color="auto"/>
          </w:divBdr>
        </w:div>
        <w:div w:id="1972249523">
          <w:marLeft w:val="640"/>
          <w:marRight w:val="0"/>
          <w:marTop w:val="0"/>
          <w:marBottom w:val="0"/>
          <w:divBdr>
            <w:top w:val="none" w:sz="0" w:space="0" w:color="auto"/>
            <w:left w:val="none" w:sz="0" w:space="0" w:color="auto"/>
            <w:bottom w:val="none" w:sz="0" w:space="0" w:color="auto"/>
            <w:right w:val="none" w:sz="0" w:space="0" w:color="auto"/>
          </w:divBdr>
        </w:div>
        <w:div w:id="463937354">
          <w:marLeft w:val="640"/>
          <w:marRight w:val="0"/>
          <w:marTop w:val="0"/>
          <w:marBottom w:val="0"/>
          <w:divBdr>
            <w:top w:val="none" w:sz="0" w:space="0" w:color="auto"/>
            <w:left w:val="none" w:sz="0" w:space="0" w:color="auto"/>
            <w:bottom w:val="none" w:sz="0" w:space="0" w:color="auto"/>
            <w:right w:val="none" w:sz="0" w:space="0" w:color="auto"/>
          </w:divBdr>
        </w:div>
        <w:div w:id="1539853084">
          <w:marLeft w:val="640"/>
          <w:marRight w:val="0"/>
          <w:marTop w:val="0"/>
          <w:marBottom w:val="0"/>
          <w:divBdr>
            <w:top w:val="none" w:sz="0" w:space="0" w:color="auto"/>
            <w:left w:val="none" w:sz="0" w:space="0" w:color="auto"/>
            <w:bottom w:val="none" w:sz="0" w:space="0" w:color="auto"/>
            <w:right w:val="none" w:sz="0" w:space="0" w:color="auto"/>
          </w:divBdr>
        </w:div>
        <w:div w:id="352418386">
          <w:marLeft w:val="640"/>
          <w:marRight w:val="0"/>
          <w:marTop w:val="0"/>
          <w:marBottom w:val="0"/>
          <w:divBdr>
            <w:top w:val="none" w:sz="0" w:space="0" w:color="auto"/>
            <w:left w:val="none" w:sz="0" w:space="0" w:color="auto"/>
            <w:bottom w:val="none" w:sz="0" w:space="0" w:color="auto"/>
            <w:right w:val="none" w:sz="0" w:space="0" w:color="auto"/>
          </w:divBdr>
        </w:div>
        <w:div w:id="919944510">
          <w:marLeft w:val="640"/>
          <w:marRight w:val="0"/>
          <w:marTop w:val="0"/>
          <w:marBottom w:val="0"/>
          <w:divBdr>
            <w:top w:val="none" w:sz="0" w:space="0" w:color="auto"/>
            <w:left w:val="none" w:sz="0" w:space="0" w:color="auto"/>
            <w:bottom w:val="none" w:sz="0" w:space="0" w:color="auto"/>
            <w:right w:val="none" w:sz="0" w:space="0" w:color="auto"/>
          </w:divBdr>
        </w:div>
        <w:div w:id="372461738">
          <w:marLeft w:val="640"/>
          <w:marRight w:val="0"/>
          <w:marTop w:val="0"/>
          <w:marBottom w:val="0"/>
          <w:divBdr>
            <w:top w:val="none" w:sz="0" w:space="0" w:color="auto"/>
            <w:left w:val="none" w:sz="0" w:space="0" w:color="auto"/>
            <w:bottom w:val="none" w:sz="0" w:space="0" w:color="auto"/>
            <w:right w:val="none" w:sz="0" w:space="0" w:color="auto"/>
          </w:divBdr>
        </w:div>
        <w:div w:id="608705697">
          <w:marLeft w:val="640"/>
          <w:marRight w:val="0"/>
          <w:marTop w:val="0"/>
          <w:marBottom w:val="0"/>
          <w:divBdr>
            <w:top w:val="none" w:sz="0" w:space="0" w:color="auto"/>
            <w:left w:val="none" w:sz="0" w:space="0" w:color="auto"/>
            <w:bottom w:val="none" w:sz="0" w:space="0" w:color="auto"/>
            <w:right w:val="none" w:sz="0" w:space="0" w:color="auto"/>
          </w:divBdr>
        </w:div>
        <w:div w:id="1835874933">
          <w:marLeft w:val="640"/>
          <w:marRight w:val="0"/>
          <w:marTop w:val="0"/>
          <w:marBottom w:val="0"/>
          <w:divBdr>
            <w:top w:val="none" w:sz="0" w:space="0" w:color="auto"/>
            <w:left w:val="none" w:sz="0" w:space="0" w:color="auto"/>
            <w:bottom w:val="none" w:sz="0" w:space="0" w:color="auto"/>
            <w:right w:val="none" w:sz="0" w:space="0" w:color="auto"/>
          </w:divBdr>
        </w:div>
        <w:div w:id="1038121215">
          <w:marLeft w:val="640"/>
          <w:marRight w:val="0"/>
          <w:marTop w:val="0"/>
          <w:marBottom w:val="0"/>
          <w:divBdr>
            <w:top w:val="none" w:sz="0" w:space="0" w:color="auto"/>
            <w:left w:val="none" w:sz="0" w:space="0" w:color="auto"/>
            <w:bottom w:val="none" w:sz="0" w:space="0" w:color="auto"/>
            <w:right w:val="none" w:sz="0" w:space="0" w:color="auto"/>
          </w:divBdr>
        </w:div>
        <w:div w:id="1864785002">
          <w:marLeft w:val="640"/>
          <w:marRight w:val="0"/>
          <w:marTop w:val="0"/>
          <w:marBottom w:val="0"/>
          <w:divBdr>
            <w:top w:val="none" w:sz="0" w:space="0" w:color="auto"/>
            <w:left w:val="none" w:sz="0" w:space="0" w:color="auto"/>
            <w:bottom w:val="none" w:sz="0" w:space="0" w:color="auto"/>
            <w:right w:val="none" w:sz="0" w:space="0" w:color="auto"/>
          </w:divBdr>
        </w:div>
        <w:div w:id="1897810470">
          <w:marLeft w:val="640"/>
          <w:marRight w:val="0"/>
          <w:marTop w:val="0"/>
          <w:marBottom w:val="0"/>
          <w:divBdr>
            <w:top w:val="none" w:sz="0" w:space="0" w:color="auto"/>
            <w:left w:val="none" w:sz="0" w:space="0" w:color="auto"/>
            <w:bottom w:val="none" w:sz="0" w:space="0" w:color="auto"/>
            <w:right w:val="none" w:sz="0" w:space="0" w:color="auto"/>
          </w:divBdr>
        </w:div>
        <w:div w:id="1093892134">
          <w:marLeft w:val="640"/>
          <w:marRight w:val="0"/>
          <w:marTop w:val="0"/>
          <w:marBottom w:val="0"/>
          <w:divBdr>
            <w:top w:val="none" w:sz="0" w:space="0" w:color="auto"/>
            <w:left w:val="none" w:sz="0" w:space="0" w:color="auto"/>
            <w:bottom w:val="none" w:sz="0" w:space="0" w:color="auto"/>
            <w:right w:val="none" w:sz="0" w:space="0" w:color="auto"/>
          </w:divBdr>
        </w:div>
        <w:div w:id="1755392419">
          <w:marLeft w:val="640"/>
          <w:marRight w:val="0"/>
          <w:marTop w:val="0"/>
          <w:marBottom w:val="0"/>
          <w:divBdr>
            <w:top w:val="none" w:sz="0" w:space="0" w:color="auto"/>
            <w:left w:val="none" w:sz="0" w:space="0" w:color="auto"/>
            <w:bottom w:val="none" w:sz="0" w:space="0" w:color="auto"/>
            <w:right w:val="none" w:sz="0" w:space="0" w:color="auto"/>
          </w:divBdr>
        </w:div>
        <w:div w:id="1406879822">
          <w:marLeft w:val="640"/>
          <w:marRight w:val="0"/>
          <w:marTop w:val="0"/>
          <w:marBottom w:val="0"/>
          <w:divBdr>
            <w:top w:val="none" w:sz="0" w:space="0" w:color="auto"/>
            <w:left w:val="none" w:sz="0" w:space="0" w:color="auto"/>
            <w:bottom w:val="none" w:sz="0" w:space="0" w:color="auto"/>
            <w:right w:val="none" w:sz="0" w:space="0" w:color="auto"/>
          </w:divBdr>
        </w:div>
        <w:div w:id="1753430864">
          <w:marLeft w:val="640"/>
          <w:marRight w:val="0"/>
          <w:marTop w:val="0"/>
          <w:marBottom w:val="0"/>
          <w:divBdr>
            <w:top w:val="none" w:sz="0" w:space="0" w:color="auto"/>
            <w:left w:val="none" w:sz="0" w:space="0" w:color="auto"/>
            <w:bottom w:val="none" w:sz="0" w:space="0" w:color="auto"/>
            <w:right w:val="none" w:sz="0" w:space="0" w:color="auto"/>
          </w:divBdr>
        </w:div>
        <w:div w:id="86581522">
          <w:marLeft w:val="640"/>
          <w:marRight w:val="0"/>
          <w:marTop w:val="0"/>
          <w:marBottom w:val="0"/>
          <w:divBdr>
            <w:top w:val="none" w:sz="0" w:space="0" w:color="auto"/>
            <w:left w:val="none" w:sz="0" w:space="0" w:color="auto"/>
            <w:bottom w:val="none" w:sz="0" w:space="0" w:color="auto"/>
            <w:right w:val="none" w:sz="0" w:space="0" w:color="auto"/>
          </w:divBdr>
        </w:div>
        <w:div w:id="775247043">
          <w:marLeft w:val="640"/>
          <w:marRight w:val="0"/>
          <w:marTop w:val="0"/>
          <w:marBottom w:val="0"/>
          <w:divBdr>
            <w:top w:val="none" w:sz="0" w:space="0" w:color="auto"/>
            <w:left w:val="none" w:sz="0" w:space="0" w:color="auto"/>
            <w:bottom w:val="none" w:sz="0" w:space="0" w:color="auto"/>
            <w:right w:val="none" w:sz="0" w:space="0" w:color="auto"/>
          </w:divBdr>
        </w:div>
        <w:div w:id="1467703378">
          <w:marLeft w:val="640"/>
          <w:marRight w:val="0"/>
          <w:marTop w:val="0"/>
          <w:marBottom w:val="0"/>
          <w:divBdr>
            <w:top w:val="none" w:sz="0" w:space="0" w:color="auto"/>
            <w:left w:val="none" w:sz="0" w:space="0" w:color="auto"/>
            <w:bottom w:val="none" w:sz="0" w:space="0" w:color="auto"/>
            <w:right w:val="none" w:sz="0" w:space="0" w:color="auto"/>
          </w:divBdr>
        </w:div>
        <w:div w:id="1178426344">
          <w:marLeft w:val="640"/>
          <w:marRight w:val="0"/>
          <w:marTop w:val="0"/>
          <w:marBottom w:val="0"/>
          <w:divBdr>
            <w:top w:val="none" w:sz="0" w:space="0" w:color="auto"/>
            <w:left w:val="none" w:sz="0" w:space="0" w:color="auto"/>
            <w:bottom w:val="none" w:sz="0" w:space="0" w:color="auto"/>
            <w:right w:val="none" w:sz="0" w:space="0" w:color="auto"/>
          </w:divBdr>
        </w:div>
        <w:div w:id="1999456960">
          <w:marLeft w:val="640"/>
          <w:marRight w:val="0"/>
          <w:marTop w:val="0"/>
          <w:marBottom w:val="0"/>
          <w:divBdr>
            <w:top w:val="none" w:sz="0" w:space="0" w:color="auto"/>
            <w:left w:val="none" w:sz="0" w:space="0" w:color="auto"/>
            <w:bottom w:val="none" w:sz="0" w:space="0" w:color="auto"/>
            <w:right w:val="none" w:sz="0" w:space="0" w:color="auto"/>
          </w:divBdr>
        </w:div>
        <w:div w:id="1049377489">
          <w:marLeft w:val="640"/>
          <w:marRight w:val="0"/>
          <w:marTop w:val="0"/>
          <w:marBottom w:val="0"/>
          <w:divBdr>
            <w:top w:val="none" w:sz="0" w:space="0" w:color="auto"/>
            <w:left w:val="none" w:sz="0" w:space="0" w:color="auto"/>
            <w:bottom w:val="none" w:sz="0" w:space="0" w:color="auto"/>
            <w:right w:val="none" w:sz="0" w:space="0" w:color="auto"/>
          </w:divBdr>
        </w:div>
        <w:div w:id="2021661014">
          <w:marLeft w:val="640"/>
          <w:marRight w:val="0"/>
          <w:marTop w:val="0"/>
          <w:marBottom w:val="0"/>
          <w:divBdr>
            <w:top w:val="none" w:sz="0" w:space="0" w:color="auto"/>
            <w:left w:val="none" w:sz="0" w:space="0" w:color="auto"/>
            <w:bottom w:val="none" w:sz="0" w:space="0" w:color="auto"/>
            <w:right w:val="none" w:sz="0" w:space="0" w:color="auto"/>
          </w:divBdr>
        </w:div>
        <w:div w:id="36205318">
          <w:marLeft w:val="640"/>
          <w:marRight w:val="0"/>
          <w:marTop w:val="0"/>
          <w:marBottom w:val="0"/>
          <w:divBdr>
            <w:top w:val="none" w:sz="0" w:space="0" w:color="auto"/>
            <w:left w:val="none" w:sz="0" w:space="0" w:color="auto"/>
            <w:bottom w:val="none" w:sz="0" w:space="0" w:color="auto"/>
            <w:right w:val="none" w:sz="0" w:space="0" w:color="auto"/>
          </w:divBdr>
        </w:div>
        <w:div w:id="1623458909">
          <w:marLeft w:val="640"/>
          <w:marRight w:val="0"/>
          <w:marTop w:val="0"/>
          <w:marBottom w:val="0"/>
          <w:divBdr>
            <w:top w:val="none" w:sz="0" w:space="0" w:color="auto"/>
            <w:left w:val="none" w:sz="0" w:space="0" w:color="auto"/>
            <w:bottom w:val="none" w:sz="0" w:space="0" w:color="auto"/>
            <w:right w:val="none" w:sz="0" w:space="0" w:color="auto"/>
          </w:divBdr>
        </w:div>
        <w:div w:id="1536892079">
          <w:marLeft w:val="640"/>
          <w:marRight w:val="0"/>
          <w:marTop w:val="0"/>
          <w:marBottom w:val="0"/>
          <w:divBdr>
            <w:top w:val="none" w:sz="0" w:space="0" w:color="auto"/>
            <w:left w:val="none" w:sz="0" w:space="0" w:color="auto"/>
            <w:bottom w:val="none" w:sz="0" w:space="0" w:color="auto"/>
            <w:right w:val="none" w:sz="0" w:space="0" w:color="auto"/>
          </w:divBdr>
        </w:div>
        <w:div w:id="2129278877">
          <w:marLeft w:val="640"/>
          <w:marRight w:val="0"/>
          <w:marTop w:val="0"/>
          <w:marBottom w:val="0"/>
          <w:divBdr>
            <w:top w:val="none" w:sz="0" w:space="0" w:color="auto"/>
            <w:left w:val="none" w:sz="0" w:space="0" w:color="auto"/>
            <w:bottom w:val="none" w:sz="0" w:space="0" w:color="auto"/>
            <w:right w:val="none" w:sz="0" w:space="0" w:color="auto"/>
          </w:divBdr>
        </w:div>
        <w:div w:id="709649652">
          <w:marLeft w:val="640"/>
          <w:marRight w:val="0"/>
          <w:marTop w:val="0"/>
          <w:marBottom w:val="0"/>
          <w:divBdr>
            <w:top w:val="none" w:sz="0" w:space="0" w:color="auto"/>
            <w:left w:val="none" w:sz="0" w:space="0" w:color="auto"/>
            <w:bottom w:val="none" w:sz="0" w:space="0" w:color="auto"/>
            <w:right w:val="none" w:sz="0" w:space="0" w:color="auto"/>
          </w:divBdr>
        </w:div>
        <w:div w:id="100297675">
          <w:marLeft w:val="640"/>
          <w:marRight w:val="0"/>
          <w:marTop w:val="0"/>
          <w:marBottom w:val="0"/>
          <w:divBdr>
            <w:top w:val="none" w:sz="0" w:space="0" w:color="auto"/>
            <w:left w:val="none" w:sz="0" w:space="0" w:color="auto"/>
            <w:bottom w:val="none" w:sz="0" w:space="0" w:color="auto"/>
            <w:right w:val="none" w:sz="0" w:space="0" w:color="auto"/>
          </w:divBdr>
        </w:div>
        <w:div w:id="1923373886">
          <w:marLeft w:val="640"/>
          <w:marRight w:val="0"/>
          <w:marTop w:val="0"/>
          <w:marBottom w:val="0"/>
          <w:divBdr>
            <w:top w:val="none" w:sz="0" w:space="0" w:color="auto"/>
            <w:left w:val="none" w:sz="0" w:space="0" w:color="auto"/>
            <w:bottom w:val="none" w:sz="0" w:space="0" w:color="auto"/>
            <w:right w:val="none" w:sz="0" w:space="0" w:color="auto"/>
          </w:divBdr>
        </w:div>
        <w:div w:id="158084376">
          <w:marLeft w:val="640"/>
          <w:marRight w:val="0"/>
          <w:marTop w:val="0"/>
          <w:marBottom w:val="0"/>
          <w:divBdr>
            <w:top w:val="none" w:sz="0" w:space="0" w:color="auto"/>
            <w:left w:val="none" w:sz="0" w:space="0" w:color="auto"/>
            <w:bottom w:val="none" w:sz="0" w:space="0" w:color="auto"/>
            <w:right w:val="none" w:sz="0" w:space="0" w:color="auto"/>
          </w:divBdr>
        </w:div>
        <w:div w:id="2126582307">
          <w:marLeft w:val="640"/>
          <w:marRight w:val="0"/>
          <w:marTop w:val="0"/>
          <w:marBottom w:val="0"/>
          <w:divBdr>
            <w:top w:val="none" w:sz="0" w:space="0" w:color="auto"/>
            <w:left w:val="none" w:sz="0" w:space="0" w:color="auto"/>
            <w:bottom w:val="none" w:sz="0" w:space="0" w:color="auto"/>
            <w:right w:val="none" w:sz="0" w:space="0" w:color="auto"/>
          </w:divBdr>
        </w:div>
        <w:div w:id="1758012202">
          <w:marLeft w:val="640"/>
          <w:marRight w:val="0"/>
          <w:marTop w:val="0"/>
          <w:marBottom w:val="0"/>
          <w:divBdr>
            <w:top w:val="none" w:sz="0" w:space="0" w:color="auto"/>
            <w:left w:val="none" w:sz="0" w:space="0" w:color="auto"/>
            <w:bottom w:val="none" w:sz="0" w:space="0" w:color="auto"/>
            <w:right w:val="none" w:sz="0" w:space="0" w:color="auto"/>
          </w:divBdr>
        </w:div>
        <w:div w:id="311522896">
          <w:marLeft w:val="640"/>
          <w:marRight w:val="0"/>
          <w:marTop w:val="0"/>
          <w:marBottom w:val="0"/>
          <w:divBdr>
            <w:top w:val="none" w:sz="0" w:space="0" w:color="auto"/>
            <w:left w:val="none" w:sz="0" w:space="0" w:color="auto"/>
            <w:bottom w:val="none" w:sz="0" w:space="0" w:color="auto"/>
            <w:right w:val="none" w:sz="0" w:space="0" w:color="auto"/>
          </w:divBdr>
        </w:div>
        <w:div w:id="48960604">
          <w:marLeft w:val="640"/>
          <w:marRight w:val="0"/>
          <w:marTop w:val="0"/>
          <w:marBottom w:val="0"/>
          <w:divBdr>
            <w:top w:val="none" w:sz="0" w:space="0" w:color="auto"/>
            <w:left w:val="none" w:sz="0" w:space="0" w:color="auto"/>
            <w:bottom w:val="none" w:sz="0" w:space="0" w:color="auto"/>
            <w:right w:val="none" w:sz="0" w:space="0" w:color="auto"/>
          </w:divBdr>
        </w:div>
        <w:div w:id="320817141">
          <w:marLeft w:val="640"/>
          <w:marRight w:val="0"/>
          <w:marTop w:val="0"/>
          <w:marBottom w:val="0"/>
          <w:divBdr>
            <w:top w:val="none" w:sz="0" w:space="0" w:color="auto"/>
            <w:left w:val="none" w:sz="0" w:space="0" w:color="auto"/>
            <w:bottom w:val="none" w:sz="0" w:space="0" w:color="auto"/>
            <w:right w:val="none" w:sz="0" w:space="0" w:color="auto"/>
          </w:divBdr>
        </w:div>
        <w:div w:id="261844173">
          <w:marLeft w:val="640"/>
          <w:marRight w:val="0"/>
          <w:marTop w:val="0"/>
          <w:marBottom w:val="0"/>
          <w:divBdr>
            <w:top w:val="none" w:sz="0" w:space="0" w:color="auto"/>
            <w:left w:val="none" w:sz="0" w:space="0" w:color="auto"/>
            <w:bottom w:val="none" w:sz="0" w:space="0" w:color="auto"/>
            <w:right w:val="none" w:sz="0" w:space="0" w:color="auto"/>
          </w:divBdr>
        </w:div>
        <w:div w:id="630593339">
          <w:marLeft w:val="640"/>
          <w:marRight w:val="0"/>
          <w:marTop w:val="0"/>
          <w:marBottom w:val="0"/>
          <w:divBdr>
            <w:top w:val="none" w:sz="0" w:space="0" w:color="auto"/>
            <w:left w:val="none" w:sz="0" w:space="0" w:color="auto"/>
            <w:bottom w:val="none" w:sz="0" w:space="0" w:color="auto"/>
            <w:right w:val="none" w:sz="0" w:space="0" w:color="auto"/>
          </w:divBdr>
        </w:div>
        <w:div w:id="779224431">
          <w:marLeft w:val="640"/>
          <w:marRight w:val="0"/>
          <w:marTop w:val="0"/>
          <w:marBottom w:val="0"/>
          <w:divBdr>
            <w:top w:val="none" w:sz="0" w:space="0" w:color="auto"/>
            <w:left w:val="none" w:sz="0" w:space="0" w:color="auto"/>
            <w:bottom w:val="none" w:sz="0" w:space="0" w:color="auto"/>
            <w:right w:val="none" w:sz="0" w:space="0" w:color="auto"/>
          </w:divBdr>
        </w:div>
        <w:div w:id="146820996">
          <w:marLeft w:val="640"/>
          <w:marRight w:val="0"/>
          <w:marTop w:val="0"/>
          <w:marBottom w:val="0"/>
          <w:divBdr>
            <w:top w:val="none" w:sz="0" w:space="0" w:color="auto"/>
            <w:left w:val="none" w:sz="0" w:space="0" w:color="auto"/>
            <w:bottom w:val="none" w:sz="0" w:space="0" w:color="auto"/>
            <w:right w:val="none" w:sz="0" w:space="0" w:color="auto"/>
          </w:divBdr>
        </w:div>
        <w:div w:id="606620153">
          <w:marLeft w:val="640"/>
          <w:marRight w:val="0"/>
          <w:marTop w:val="0"/>
          <w:marBottom w:val="0"/>
          <w:divBdr>
            <w:top w:val="none" w:sz="0" w:space="0" w:color="auto"/>
            <w:left w:val="none" w:sz="0" w:space="0" w:color="auto"/>
            <w:bottom w:val="none" w:sz="0" w:space="0" w:color="auto"/>
            <w:right w:val="none" w:sz="0" w:space="0" w:color="auto"/>
          </w:divBdr>
        </w:div>
        <w:div w:id="16472159">
          <w:marLeft w:val="640"/>
          <w:marRight w:val="0"/>
          <w:marTop w:val="0"/>
          <w:marBottom w:val="0"/>
          <w:divBdr>
            <w:top w:val="none" w:sz="0" w:space="0" w:color="auto"/>
            <w:left w:val="none" w:sz="0" w:space="0" w:color="auto"/>
            <w:bottom w:val="none" w:sz="0" w:space="0" w:color="auto"/>
            <w:right w:val="none" w:sz="0" w:space="0" w:color="auto"/>
          </w:divBdr>
        </w:div>
        <w:div w:id="1186603530">
          <w:marLeft w:val="640"/>
          <w:marRight w:val="0"/>
          <w:marTop w:val="0"/>
          <w:marBottom w:val="0"/>
          <w:divBdr>
            <w:top w:val="none" w:sz="0" w:space="0" w:color="auto"/>
            <w:left w:val="none" w:sz="0" w:space="0" w:color="auto"/>
            <w:bottom w:val="none" w:sz="0" w:space="0" w:color="auto"/>
            <w:right w:val="none" w:sz="0" w:space="0" w:color="auto"/>
          </w:divBdr>
        </w:div>
        <w:div w:id="2054578645">
          <w:marLeft w:val="640"/>
          <w:marRight w:val="0"/>
          <w:marTop w:val="0"/>
          <w:marBottom w:val="0"/>
          <w:divBdr>
            <w:top w:val="none" w:sz="0" w:space="0" w:color="auto"/>
            <w:left w:val="none" w:sz="0" w:space="0" w:color="auto"/>
            <w:bottom w:val="none" w:sz="0" w:space="0" w:color="auto"/>
            <w:right w:val="none" w:sz="0" w:space="0" w:color="auto"/>
          </w:divBdr>
        </w:div>
        <w:div w:id="1594778249">
          <w:marLeft w:val="640"/>
          <w:marRight w:val="0"/>
          <w:marTop w:val="0"/>
          <w:marBottom w:val="0"/>
          <w:divBdr>
            <w:top w:val="none" w:sz="0" w:space="0" w:color="auto"/>
            <w:left w:val="none" w:sz="0" w:space="0" w:color="auto"/>
            <w:bottom w:val="none" w:sz="0" w:space="0" w:color="auto"/>
            <w:right w:val="none" w:sz="0" w:space="0" w:color="auto"/>
          </w:divBdr>
        </w:div>
        <w:div w:id="969824194">
          <w:marLeft w:val="640"/>
          <w:marRight w:val="0"/>
          <w:marTop w:val="0"/>
          <w:marBottom w:val="0"/>
          <w:divBdr>
            <w:top w:val="none" w:sz="0" w:space="0" w:color="auto"/>
            <w:left w:val="none" w:sz="0" w:space="0" w:color="auto"/>
            <w:bottom w:val="none" w:sz="0" w:space="0" w:color="auto"/>
            <w:right w:val="none" w:sz="0" w:space="0" w:color="auto"/>
          </w:divBdr>
        </w:div>
        <w:div w:id="1533616544">
          <w:marLeft w:val="640"/>
          <w:marRight w:val="0"/>
          <w:marTop w:val="0"/>
          <w:marBottom w:val="0"/>
          <w:divBdr>
            <w:top w:val="none" w:sz="0" w:space="0" w:color="auto"/>
            <w:left w:val="none" w:sz="0" w:space="0" w:color="auto"/>
            <w:bottom w:val="none" w:sz="0" w:space="0" w:color="auto"/>
            <w:right w:val="none" w:sz="0" w:space="0" w:color="auto"/>
          </w:divBdr>
        </w:div>
        <w:div w:id="2116249241">
          <w:marLeft w:val="640"/>
          <w:marRight w:val="0"/>
          <w:marTop w:val="0"/>
          <w:marBottom w:val="0"/>
          <w:divBdr>
            <w:top w:val="none" w:sz="0" w:space="0" w:color="auto"/>
            <w:left w:val="none" w:sz="0" w:space="0" w:color="auto"/>
            <w:bottom w:val="none" w:sz="0" w:space="0" w:color="auto"/>
            <w:right w:val="none" w:sz="0" w:space="0" w:color="auto"/>
          </w:divBdr>
        </w:div>
        <w:div w:id="722096274">
          <w:marLeft w:val="640"/>
          <w:marRight w:val="0"/>
          <w:marTop w:val="0"/>
          <w:marBottom w:val="0"/>
          <w:divBdr>
            <w:top w:val="none" w:sz="0" w:space="0" w:color="auto"/>
            <w:left w:val="none" w:sz="0" w:space="0" w:color="auto"/>
            <w:bottom w:val="none" w:sz="0" w:space="0" w:color="auto"/>
            <w:right w:val="none" w:sz="0" w:space="0" w:color="auto"/>
          </w:divBdr>
        </w:div>
        <w:div w:id="514072579">
          <w:marLeft w:val="640"/>
          <w:marRight w:val="0"/>
          <w:marTop w:val="0"/>
          <w:marBottom w:val="0"/>
          <w:divBdr>
            <w:top w:val="none" w:sz="0" w:space="0" w:color="auto"/>
            <w:left w:val="none" w:sz="0" w:space="0" w:color="auto"/>
            <w:bottom w:val="none" w:sz="0" w:space="0" w:color="auto"/>
            <w:right w:val="none" w:sz="0" w:space="0" w:color="auto"/>
          </w:divBdr>
        </w:div>
        <w:div w:id="516041646">
          <w:marLeft w:val="640"/>
          <w:marRight w:val="0"/>
          <w:marTop w:val="0"/>
          <w:marBottom w:val="0"/>
          <w:divBdr>
            <w:top w:val="none" w:sz="0" w:space="0" w:color="auto"/>
            <w:left w:val="none" w:sz="0" w:space="0" w:color="auto"/>
            <w:bottom w:val="none" w:sz="0" w:space="0" w:color="auto"/>
            <w:right w:val="none" w:sz="0" w:space="0" w:color="auto"/>
          </w:divBdr>
        </w:div>
        <w:div w:id="971716732">
          <w:marLeft w:val="640"/>
          <w:marRight w:val="0"/>
          <w:marTop w:val="0"/>
          <w:marBottom w:val="0"/>
          <w:divBdr>
            <w:top w:val="none" w:sz="0" w:space="0" w:color="auto"/>
            <w:left w:val="none" w:sz="0" w:space="0" w:color="auto"/>
            <w:bottom w:val="none" w:sz="0" w:space="0" w:color="auto"/>
            <w:right w:val="none" w:sz="0" w:space="0" w:color="auto"/>
          </w:divBdr>
        </w:div>
        <w:div w:id="318777411">
          <w:marLeft w:val="640"/>
          <w:marRight w:val="0"/>
          <w:marTop w:val="0"/>
          <w:marBottom w:val="0"/>
          <w:divBdr>
            <w:top w:val="none" w:sz="0" w:space="0" w:color="auto"/>
            <w:left w:val="none" w:sz="0" w:space="0" w:color="auto"/>
            <w:bottom w:val="none" w:sz="0" w:space="0" w:color="auto"/>
            <w:right w:val="none" w:sz="0" w:space="0" w:color="auto"/>
          </w:divBdr>
        </w:div>
        <w:div w:id="852109685">
          <w:marLeft w:val="640"/>
          <w:marRight w:val="0"/>
          <w:marTop w:val="0"/>
          <w:marBottom w:val="0"/>
          <w:divBdr>
            <w:top w:val="none" w:sz="0" w:space="0" w:color="auto"/>
            <w:left w:val="none" w:sz="0" w:space="0" w:color="auto"/>
            <w:bottom w:val="none" w:sz="0" w:space="0" w:color="auto"/>
            <w:right w:val="none" w:sz="0" w:space="0" w:color="auto"/>
          </w:divBdr>
        </w:div>
        <w:div w:id="234628739">
          <w:marLeft w:val="640"/>
          <w:marRight w:val="0"/>
          <w:marTop w:val="0"/>
          <w:marBottom w:val="0"/>
          <w:divBdr>
            <w:top w:val="none" w:sz="0" w:space="0" w:color="auto"/>
            <w:left w:val="none" w:sz="0" w:space="0" w:color="auto"/>
            <w:bottom w:val="none" w:sz="0" w:space="0" w:color="auto"/>
            <w:right w:val="none" w:sz="0" w:space="0" w:color="auto"/>
          </w:divBdr>
        </w:div>
        <w:div w:id="55207038">
          <w:marLeft w:val="640"/>
          <w:marRight w:val="0"/>
          <w:marTop w:val="0"/>
          <w:marBottom w:val="0"/>
          <w:divBdr>
            <w:top w:val="none" w:sz="0" w:space="0" w:color="auto"/>
            <w:left w:val="none" w:sz="0" w:space="0" w:color="auto"/>
            <w:bottom w:val="none" w:sz="0" w:space="0" w:color="auto"/>
            <w:right w:val="none" w:sz="0" w:space="0" w:color="auto"/>
          </w:divBdr>
        </w:div>
        <w:div w:id="1643076493">
          <w:marLeft w:val="640"/>
          <w:marRight w:val="0"/>
          <w:marTop w:val="0"/>
          <w:marBottom w:val="0"/>
          <w:divBdr>
            <w:top w:val="none" w:sz="0" w:space="0" w:color="auto"/>
            <w:left w:val="none" w:sz="0" w:space="0" w:color="auto"/>
            <w:bottom w:val="none" w:sz="0" w:space="0" w:color="auto"/>
            <w:right w:val="none" w:sz="0" w:space="0" w:color="auto"/>
          </w:divBdr>
        </w:div>
        <w:div w:id="1303579196">
          <w:marLeft w:val="640"/>
          <w:marRight w:val="0"/>
          <w:marTop w:val="0"/>
          <w:marBottom w:val="0"/>
          <w:divBdr>
            <w:top w:val="none" w:sz="0" w:space="0" w:color="auto"/>
            <w:left w:val="none" w:sz="0" w:space="0" w:color="auto"/>
            <w:bottom w:val="none" w:sz="0" w:space="0" w:color="auto"/>
            <w:right w:val="none" w:sz="0" w:space="0" w:color="auto"/>
          </w:divBdr>
        </w:div>
        <w:div w:id="706104298">
          <w:marLeft w:val="640"/>
          <w:marRight w:val="0"/>
          <w:marTop w:val="0"/>
          <w:marBottom w:val="0"/>
          <w:divBdr>
            <w:top w:val="none" w:sz="0" w:space="0" w:color="auto"/>
            <w:left w:val="none" w:sz="0" w:space="0" w:color="auto"/>
            <w:bottom w:val="none" w:sz="0" w:space="0" w:color="auto"/>
            <w:right w:val="none" w:sz="0" w:space="0" w:color="auto"/>
          </w:divBdr>
        </w:div>
        <w:div w:id="2063090859">
          <w:marLeft w:val="640"/>
          <w:marRight w:val="0"/>
          <w:marTop w:val="0"/>
          <w:marBottom w:val="0"/>
          <w:divBdr>
            <w:top w:val="none" w:sz="0" w:space="0" w:color="auto"/>
            <w:left w:val="none" w:sz="0" w:space="0" w:color="auto"/>
            <w:bottom w:val="none" w:sz="0" w:space="0" w:color="auto"/>
            <w:right w:val="none" w:sz="0" w:space="0" w:color="auto"/>
          </w:divBdr>
        </w:div>
        <w:div w:id="14230147">
          <w:marLeft w:val="640"/>
          <w:marRight w:val="0"/>
          <w:marTop w:val="0"/>
          <w:marBottom w:val="0"/>
          <w:divBdr>
            <w:top w:val="none" w:sz="0" w:space="0" w:color="auto"/>
            <w:left w:val="none" w:sz="0" w:space="0" w:color="auto"/>
            <w:bottom w:val="none" w:sz="0" w:space="0" w:color="auto"/>
            <w:right w:val="none" w:sz="0" w:space="0" w:color="auto"/>
          </w:divBdr>
        </w:div>
        <w:div w:id="293484594">
          <w:marLeft w:val="640"/>
          <w:marRight w:val="0"/>
          <w:marTop w:val="0"/>
          <w:marBottom w:val="0"/>
          <w:divBdr>
            <w:top w:val="none" w:sz="0" w:space="0" w:color="auto"/>
            <w:left w:val="none" w:sz="0" w:space="0" w:color="auto"/>
            <w:bottom w:val="none" w:sz="0" w:space="0" w:color="auto"/>
            <w:right w:val="none" w:sz="0" w:space="0" w:color="auto"/>
          </w:divBdr>
        </w:div>
        <w:div w:id="1978533340">
          <w:marLeft w:val="640"/>
          <w:marRight w:val="0"/>
          <w:marTop w:val="0"/>
          <w:marBottom w:val="0"/>
          <w:divBdr>
            <w:top w:val="none" w:sz="0" w:space="0" w:color="auto"/>
            <w:left w:val="none" w:sz="0" w:space="0" w:color="auto"/>
            <w:bottom w:val="none" w:sz="0" w:space="0" w:color="auto"/>
            <w:right w:val="none" w:sz="0" w:space="0" w:color="auto"/>
          </w:divBdr>
        </w:div>
        <w:div w:id="1387098262">
          <w:marLeft w:val="640"/>
          <w:marRight w:val="0"/>
          <w:marTop w:val="0"/>
          <w:marBottom w:val="0"/>
          <w:divBdr>
            <w:top w:val="none" w:sz="0" w:space="0" w:color="auto"/>
            <w:left w:val="none" w:sz="0" w:space="0" w:color="auto"/>
            <w:bottom w:val="none" w:sz="0" w:space="0" w:color="auto"/>
            <w:right w:val="none" w:sz="0" w:space="0" w:color="auto"/>
          </w:divBdr>
        </w:div>
        <w:div w:id="1127774670">
          <w:marLeft w:val="640"/>
          <w:marRight w:val="0"/>
          <w:marTop w:val="0"/>
          <w:marBottom w:val="0"/>
          <w:divBdr>
            <w:top w:val="none" w:sz="0" w:space="0" w:color="auto"/>
            <w:left w:val="none" w:sz="0" w:space="0" w:color="auto"/>
            <w:bottom w:val="none" w:sz="0" w:space="0" w:color="auto"/>
            <w:right w:val="none" w:sz="0" w:space="0" w:color="auto"/>
          </w:divBdr>
        </w:div>
        <w:div w:id="187332174">
          <w:marLeft w:val="640"/>
          <w:marRight w:val="0"/>
          <w:marTop w:val="0"/>
          <w:marBottom w:val="0"/>
          <w:divBdr>
            <w:top w:val="none" w:sz="0" w:space="0" w:color="auto"/>
            <w:left w:val="none" w:sz="0" w:space="0" w:color="auto"/>
            <w:bottom w:val="none" w:sz="0" w:space="0" w:color="auto"/>
            <w:right w:val="none" w:sz="0" w:space="0" w:color="auto"/>
          </w:divBdr>
        </w:div>
        <w:div w:id="850729483">
          <w:marLeft w:val="640"/>
          <w:marRight w:val="0"/>
          <w:marTop w:val="0"/>
          <w:marBottom w:val="0"/>
          <w:divBdr>
            <w:top w:val="none" w:sz="0" w:space="0" w:color="auto"/>
            <w:left w:val="none" w:sz="0" w:space="0" w:color="auto"/>
            <w:bottom w:val="none" w:sz="0" w:space="0" w:color="auto"/>
            <w:right w:val="none" w:sz="0" w:space="0" w:color="auto"/>
          </w:divBdr>
        </w:div>
        <w:div w:id="610824741">
          <w:marLeft w:val="640"/>
          <w:marRight w:val="0"/>
          <w:marTop w:val="0"/>
          <w:marBottom w:val="0"/>
          <w:divBdr>
            <w:top w:val="none" w:sz="0" w:space="0" w:color="auto"/>
            <w:left w:val="none" w:sz="0" w:space="0" w:color="auto"/>
            <w:bottom w:val="none" w:sz="0" w:space="0" w:color="auto"/>
            <w:right w:val="none" w:sz="0" w:space="0" w:color="auto"/>
          </w:divBdr>
        </w:div>
        <w:div w:id="746194934">
          <w:marLeft w:val="640"/>
          <w:marRight w:val="0"/>
          <w:marTop w:val="0"/>
          <w:marBottom w:val="0"/>
          <w:divBdr>
            <w:top w:val="none" w:sz="0" w:space="0" w:color="auto"/>
            <w:left w:val="none" w:sz="0" w:space="0" w:color="auto"/>
            <w:bottom w:val="none" w:sz="0" w:space="0" w:color="auto"/>
            <w:right w:val="none" w:sz="0" w:space="0" w:color="auto"/>
          </w:divBdr>
        </w:div>
        <w:div w:id="1967467020">
          <w:marLeft w:val="640"/>
          <w:marRight w:val="0"/>
          <w:marTop w:val="0"/>
          <w:marBottom w:val="0"/>
          <w:divBdr>
            <w:top w:val="none" w:sz="0" w:space="0" w:color="auto"/>
            <w:left w:val="none" w:sz="0" w:space="0" w:color="auto"/>
            <w:bottom w:val="none" w:sz="0" w:space="0" w:color="auto"/>
            <w:right w:val="none" w:sz="0" w:space="0" w:color="auto"/>
          </w:divBdr>
        </w:div>
        <w:div w:id="901674533">
          <w:marLeft w:val="640"/>
          <w:marRight w:val="0"/>
          <w:marTop w:val="0"/>
          <w:marBottom w:val="0"/>
          <w:divBdr>
            <w:top w:val="none" w:sz="0" w:space="0" w:color="auto"/>
            <w:left w:val="none" w:sz="0" w:space="0" w:color="auto"/>
            <w:bottom w:val="none" w:sz="0" w:space="0" w:color="auto"/>
            <w:right w:val="none" w:sz="0" w:space="0" w:color="auto"/>
          </w:divBdr>
        </w:div>
        <w:div w:id="337775330">
          <w:marLeft w:val="640"/>
          <w:marRight w:val="0"/>
          <w:marTop w:val="0"/>
          <w:marBottom w:val="0"/>
          <w:divBdr>
            <w:top w:val="none" w:sz="0" w:space="0" w:color="auto"/>
            <w:left w:val="none" w:sz="0" w:space="0" w:color="auto"/>
            <w:bottom w:val="none" w:sz="0" w:space="0" w:color="auto"/>
            <w:right w:val="none" w:sz="0" w:space="0" w:color="auto"/>
          </w:divBdr>
        </w:div>
        <w:div w:id="359939598">
          <w:marLeft w:val="640"/>
          <w:marRight w:val="0"/>
          <w:marTop w:val="0"/>
          <w:marBottom w:val="0"/>
          <w:divBdr>
            <w:top w:val="none" w:sz="0" w:space="0" w:color="auto"/>
            <w:left w:val="none" w:sz="0" w:space="0" w:color="auto"/>
            <w:bottom w:val="none" w:sz="0" w:space="0" w:color="auto"/>
            <w:right w:val="none" w:sz="0" w:space="0" w:color="auto"/>
          </w:divBdr>
        </w:div>
        <w:div w:id="673843769">
          <w:marLeft w:val="640"/>
          <w:marRight w:val="0"/>
          <w:marTop w:val="0"/>
          <w:marBottom w:val="0"/>
          <w:divBdr>
            <w:top w:val="none" w:sz="0" w:space="0" w:color="auto"/>
            <w:left w:val="none" w:sz="0" w:space="0" w:color="auto"/>
            <w:bottom w:val="none" w:sz="0" w:space="0" w:color="auto"/>
            <w:right w:val="none" w:sz="0" w:space="0" w:color="auto"/>
          </w:divBdr>
        </w:div>
        <w:div w:id="905602085">
          <w:marLeft w:val="640"/>
          <w:marRight w:val="0"/>
          <w:marTop w:val="0"/>
          <w:marBottom w:val="0"/>
          <w:divBdr>
            <w:top w:val="none" w:sz="0" w:space="0" w:color="auto"/>
            <w:left w:val="none" w:sz="0" w:space="0" w:color="auto"/>
            <w:bottom w:val="none" w:sz="0" w:space="0" w:color="auto"/>
            <w:right w:val="none" w:sz="0" w:space="0" w:color="auto"/>
          </w:divBdr>
        </w:div>
        <w:div w:id="30768528">
          <w:marLeft w:val="640"/>
          <w:marRight w:val="0"/>
          <w:marTop w:val="0"/>
          <w:marBottom w:val="0"/>
          <w:divBdr>
            <w:top w:val="none" w:sz="0" w:space="0" w:color="auto"/>
            <w:left w:val="none" w:sz="0" w:space="0" w:color="auto"/>
            <w:bottom w:val="none" w:sz="0" w:space="0" w:color="auto"/>
            <w:right w:val="none" w:sz="0" w:space="0" w:color="auto"/>
          </w:divBdr>
        </w:div>
        <w:div w:id="837889538">
          <w:marLeft w:val="640"/>
          <w:marRight w:val="0"/>
          <w:marTop w:val="0"/>
          <w:marBottom w:val="0"/>
          <w:divBdr>
            <w:top w:val="none" w:sz="0" w:space="0" w:color="auto"/>
            <w:left w:val="none" w:sz="0" w:space="0" w:color="auto"/>
            <w:bottom w:val="none" w:sz="0" w:space="0" w:color="auto"/>
            <w:right w:val="none" w:sz="0" w:space="0" w:color="auto"/>
          </w:divBdr>
        </w:div>
        <w:div w:id="623653087">
          <w:marLeft w:val="640"/>
          <w:marRight w:val="0"/>
          <w:marTop w:val="0"/>
          <w:marBottom w:val="0"/>
          <w:divBdr>
            <w:top w:val="none" w:sz="0" w:space="0" w:color="auto"/>
            <w:left w:val="none" w:sz="0" w:space="0" w:color="auto"/>
            <w:bottom w:val="none" w:sz="0" w:space="0" w:color="auto"/>
            <w:right w:val="none" w:sz="0" w:space="0" w:color="auto"/>
          </w:divBdr>
        </w:div>
        <w:div w:id="2045861925">
          <w:marLeft w:val="640"/>
          <w:marRight w:val="0"/>
          <w:marTop w:val="0"/>
          <w:marBottom w:val="0"/>
          <w:divBdr>
            <w:top w:val="none" w:sz="0" w:space="0" w:color="auto"/>
            <w:left w:val="none" w:sz="0" w:space="0" w:color="auto"/>
            <w:bottom w:val="none" w:sz="0" w:space="0" w:color="auto"/>
            <w:right w:val="none" w:sz="0" w:space="0" w:color="auto"/>
          </w:divBdr>
        </w:div>
        <w:div w:id="463230127">
          <w:marLeft w:val="640"/>
          <w:marRight w:val="0"/>
          <w:marTop w:val="0"/>
          <w:marBottom w:val="0"/>
          <w:divBdr>
            <w:top w:val="none" w:sz="0" w:space="0" w:color="auto"/>
            <w:left w:val="none" w:sz="0" w:space="0" w:color="auto"/>
            <w:bottom w:val="none" w:sz="0" w:space="0" w:color="auto"/>
            <w:right w:val="none" w:sz="0" w:space="0" w:color="auto"/>
          </w:divBdr>
        </w:div>
        <w:div w:id="1605264969">
          <w:marLeft w:val="640"/>
          <w:marRight w:val="0"/>
          <w:marTop w:val="0"/>
          <w:marBottom w:val="0"/>
          <w:divBdr>
            <w:top w:val="none" w:sz="0" w:space="0" w:color="auto"/>
            <w:left w:val="none" w:sz="0" w:space="0" w:color="auto"/>
            <w:bottom w:val="none" w:sz="0" w:space="0" w:color="auto"/>
            <w:right w:val="none" w:sz="0" w:space="0" w:color="auto"/>
          </w:divBdr>
        </w:div>
        <w:div w:id="802043444">
          <w:marLeft w:val="640"/>
          <w:marRight w:val="0"/>
          <w:marTop w:val="0"/>
          <w:marBottom w:val="0"/>
          <w:divBdr>
            <w:top w:val="none" w:sz="0" w:space="0" w:color="auto"/>
            <w:left w:val="none" w:sz="0" w:space="0" w:color="auto"/>
            <w:bottom w:val="none" w:sz="0" w:space="0" w:color="auto"/>
            <w:right w:val="none" w:sz="0" w:space="0" w:color="auto"/>
          </w:divBdr>
        </w:div>
        <w:div w:id="1981032605">
          <w:marLeft w:val="640"/>
          <w:marRight w:val="0"/>
          <w:marTop w:val="0"/>
          <w:marBottom w:val="0"/>
          <w:divBdr>
            <w:top w:val="none" w:sz="0" w:space="0" w:color="auto"/>
            <w:left w:val="none" w:sz="0" w:space="0" w:color="auto"/>
            <w:bottom w:val="none" w:sz="0" w:space="0" w:color="auto"/>
            <w:right w:val="none" w:sz="0" w:space="0" w:color="auto"/>
          </w:divBdr>
        </w:div>
        <w:div w:id="704333060">
          <w:marLeft w:val="640"/>
          <w:marRight w:val="0"/>
          <w:marTop w:val="0"/>
          <w:marBottom w:val="0"/>
          <w:divBdr>
            <w:top w:val="none" w:sz="0" w:space="0" w:color="auto"/>
            <w:left w:val="none" w:sz="0" w:space="0" w:color="auto"/>
            <w:bottom w:val="none" w:sz="0" w:space="0" w:color="auto"/>
            <w:right w:val="none" w:sz="0" w:space="0" w:color="auto"/>
          </w:divBdr>
        </w:div>
        <w:div w:id="1117723617">
          <w:marLeft w:val="640"/>
          <w:marRight w:val="0"/>
          <w:marTop w:val="0"/>
          <w:marBottom w:val="0"/>
          <w:divBdr>
            <w:top w:val="none" w:sz="0" w:space="0" w:color="auto"/>
            <w:left w:val="none" w:sz="0" w:space="0" w:color="auto"/>
            <w:bottom w:val="none" w:sz="0" w:space="0" w:color="auto"/>
            <w:right w:val="none" w:sz="0" w:space="0" w:color="auto"/>
          </w:divBdr>
        </w:div>
        <w:div w:id="148523024">
          <w:marLeft w:val="640"/>
          <w:marRight w:val="0"/>
          <w:marTop w:val="0"/>
          <w:marBottom w:val="0"/>
          <w:divBdr>
            <w:top w:val="none" w:sz="0" w:space="0" w:color="auto"/>
            <w:left w:val="none" w:sz="0" w:space="0" w:color="auto"/>
            <w:bottom w:val="none" w:sz="0" w:space="0" w:color="auto"/>
            <w:right w:val="none" w:sz="0" w:space="0" w:color="auto"/>
          </w:divBdr>
        </w:div>
        <w:div w:id="817766914">
          <w:marLeft w:val="640"/>
          <w:marRight w:val="0"/>
          <w:marTop w:val="0"/>
          <w:marBottom w:val="0"/>
          <w:divBdr>
            <w:top w:val="none" w:sz="0" w:space="0" w:color="auto"/>
            <w:left w:val="none" w:sz="0" w:space="0" w:color="auto"/>
            <w:bottom w:val="none" w:sz="0" w:space="0" w:color="auto"/>
            <w:right w:val="none" w:sz="0" w:space="0" w:color="auto"/>
          </w:divBdr>
        </w:div>
        <w:div w:id="899905669">
          <w:marLeft w:val="640"/>
          <w:marRight w:val="0"/>
          <w:marTop w:val="0"/>
          <w:marBottom w:val="0"/>
          <w:divBdr>
            <w:top w:val="none" w:sz="0" w:space="0" w:color="auto"/>
            <w:left w:val="none" w:sz="0" w:space="0" w:color="auto"/>
            <w:bottom w:val="none" w:sz="0" w:space="0" w:color="auto"/>
            <w:right w:val="none" w:sz="0" w:space="0" w:color="auto"/>
          </w:divBdr>
        </w:div>
        <w:div w:id="804543019">
          <w:marLeft w:val="640"/>
          <w:marRight w:val="0"/>
          <w:marTop w:val="0"/>
          <w:marBottom w:val="0"/>
          <w:divBdr>
            <w:top w:val="none" w:sz="0" w:space="0" w:color="auto"/>
            <w:left w:val="none" w:sz="0" w:space="0" w:color="auto"/>
            <w:bottom w:val="none" w:sz="0" w:space="0" w:color="auto"/>
            <w:right w:val="none" w:sz="0" w:space="0" w:color="auto"/>
          </w:divBdr>
        </w:div>
        <w:div w:id="897283558">
          <w:marLeft w:val="640"/>
          <w:marRight w:val="0"/>
          <w:marTop w:val="0"/>
          <w:marBottom w:val="0"/>
          <w:divBdr>
            <w:top w:val="none" w:sz="0" w:space="0" w:color="auto"/>
            <w:left w:val="none" w:sz="0" w:space="0" w:color="auto"/>
            <w:bottom w:val="none" w:sz="0" w:space="0" w:color="auto"/>
            <w:right w:val="none" w:sz="0" w:space="0" w:color="auto"/>
          </w:divBdr>
        </w:div>
        <w:div w:id="530261201">
          <w:marLeft w:val="640"/>
          <w:marRight w:val="0"/>
          <w:marTop w:val="0"/>
          <w:marBottom w:val="0"/>
          <w:divBdr>
            <w:top w:val="none" w:sz="0" w:space="0" w:color="auto"/>
            <w:left w:val="none" w:sz="0" w:space="0" w:color="auto"/>
            <w:bottom w:val="none" w:sz="0" w:space="0" w:color="auto"/>
            <w:right w:val="none" w:sz="0" w:space="0" w:color="auto"/>
          </w:divBdr>
        </w:div>
        <w:div w:id="2112583406">
          <w:marLeft w:val="640"/>
          <w:marRight w:val="0"/>
          <w:marTop w:val="0"/>
          <w:marBottom w:val="0"/>
          <w:divBdr>
            <w:top w:val="none" w:sz="0" w:space="0" w:color="auto"/>
            <w:left w:val="none" w:sz="0" w:space="0" w:color="auto"/>
            <w:bottom w:val="none" w:sz="0" w:space="0" w:color="auto"/>
            <w:right w:val="none" w:sz="0" w:space="0" w:color="auto"/>
          </w:divBdr>
        </w:div>
        <w:div w:id="605382864">
          <w:marLeft w:val="640"/>
          <w:marRight w:val="0"/>
          <w:marTop w:val="0"/>
          <w:marBottom w:val="0"/>
          <w:divBdr>
            <w:top w:val="none" w:sz="0" w:space="0" w:color="auto"/>
            <w:left w:val="none" w:sz="0" w:space="0" w:color="auto"/>
            <w:bottom w:val="none" w:sz="0" w:space="0" w:color="auto"/>
            <w:right w:val="none" w:sz="0" w:space="0" w:color="auto"/>
          </w:divBdr>
        </w:div>
        <w:div w:id="220752757">
          <w:marLeft w:val="640"/>
          <w:marRight w:val="0"/>
          <w:marTop w:val="0"/>
          <w:marBottom w:val="0"/>
          <w:divBdr>
            <w:top w:val="none" w:sz="0" w:space="0" w:color="auto"/>
            <w:left w:val="none" w:sz="0" w:space="0" w:color="auto"/>
            <w:bottom w:val="none" w:sz="0" w:space="0" w:color="auto"/>
            <w:right w:val="none" w:sz="0" w:space="0" w:color="auto"/>
          </w:divBdr>
        </w:div>
        <w:div w:id="470754875">
          <w:marLeft w:val="640"/>
          <w:marRight w:val="0"/>
          <w:marTop w:val="0"/>
          <w:marBottom w:val="0"/>
          <w:divBdr>
            <w:top w:val="none" w:sz="0" w:space="0" w:color="auto"/>
            <w:left w:val="none" w:sz="0" w:space="0" w:color="auto"/>
            <w:bottom w:val="none" w:sz="0" w:space="0" w:color="auto"/>
            <w:right w:val="none" w:sz="0" w:space="0" w:color="auto"/>
          </w:divBdr>
        </w:div>
        <w:div w:id="1266841126">
          <w:marLeft w:val="640"/>
          <w:marRight w:val="0"/>
          <w:marTop w:val="0"/>
          <w:marBottom w:val="0"/>
          <w:divBdr>
            <w:top w:val="none" w:sz="0" w:space="0" w:color="auto"/>
            <w:left w:val="none" w:sz="0" w:space="0" w:color="auto"/>
            <w:bottom w:val="none" w:sz="0" w:space="0" w:color="auto"/>
            <w:right w:val="none" w:sz="0" w:space="0" w:color="auto"/>
          </w:divBdr>
        </w:div>
        <w:div w:id="719093665">
          <w:marLeft w:val="640"/>
          <w:marRight w:val="0"/>
          <w:marTop w:val="0"/>
          <w:marBottom w:val="0"/>
          <w:divBdr>
            <w:top w:val="none" w:sz="0" w:space="0" w:color="auto"/>
            <w:left w:val="none" w:sz="0" w:space="0" w:color="auto"/>
            <w:bottom w:val="none" w:sz="0" w:space="0" w:color="auto"/>
            <w:right w:val="none" w:sz="0" w:space="0" w:color="auto"/>
          </w:divBdr>
        </w:div>
        <w:div w:id="1806585001">
          <w:marLeft w:val="640"/>
          <w:marRight w:val="0"/>
          <w:marTop w:val="0"/>
          <w:marBottom w:val="0"/>
          <w:divBdr>
            <w:top w:val="none" w:sz="0" w:space="0" w:color="auto"/>
            <w:left w:val="none" w:sz="0" w:space="0" w:color="auto"/>
            <w:bottom w:val="none" w:sz="0" w:space="0" w:color="auto"/>
            <w:right w:val="none" w:sz="0" w:space="0" w:color="auto"/>
          </w:divBdr>
        </w:div>
        <w:div w:id="2089646964">
          <w:marLeft w:val="640"/>
          <w:marRight w:val="0"/>
          <w:marTop w:val="0"/>
          <w:marBottom w:val="0"/>
          <w:divBdr>
            <w:top w:val="none" w:sz="0" w:space="0" w:color="auto"/>
            <w:left w:val="none" w:sz="0" w:space="0" w:color="auto"/>
            <w:bottom w:val="none" w:sz="0" w:space="0" w:color="auto"/>
            <w:right w:val="none" w:sz="0" w:space="0" w:color="auto"/>
          </w:divBdr>
        </w:div>
        <w:div w:id="854415926">
          <w:marLeft w:val="640"/>
          <w:marRight w:val="0"/>
          <w:marTop w:val="0"/>
          <w:marBottom w:val="0"/>
          <w:divBdr>
            <w:top w:val="none" w:sz="0" w:space="0" w:color="auto"/>
            <w:left w:val="none" w:sz="0" w:space="0" w:color="auto"/>
            <w:bottom w:val="none" w:sz="0" w:space="0" w:color="auto"/>
            <w:right w:val="none" w:sz="0" w:space="0" w:color="auto"/>
          </w:divBdr>
        </w:div>
        <w:div w:id="1836608471">
          <w:marLeft w:val="640"/>
          <w:marRight w:val="0"/>
          <w:marTop w:val="0"/>
          <w:marBottom w:val="0"/>
          <w:divBdr>
            <w:top w:val="none" w:sz="0" w:space="0" w:color="auto"/>
            <w:left w:val="none" w:sz="0" w:space="0" w:color="auto"/>
            <w:bottom w:val="none" w:sz="0" w:space="0" w:color="auto"/>
            <w:right w:val="none" w:sz="0" w:space="0" w:color="auto"/>
          </w:divBdr>
        </w:div>
        <w:div w:id="1074544732">
          <w:marLeft w:val="640"/>
          <w:marRight w:val="0"/>
          <w:marTop w:val="0"/>
          <w:marBottom w:val="0"/>
          <w:divBdr>
            <w:top w:val="none" w:sz="0" w:space="0" w:color="auto"/>
            <w:left w:val="none" w:sz="0" w:space="0" w:color="auto"/>
            <w:bottom w:val="none" w:sz="0" w:space="0" w:color="auto"/>
            <w:right w:val="none" w:sz="0" w:space="0" w:color="auto"/>
          </w:divBdr>
        </w:div>
        <w:div w:id="355350656">
          <w:marLeft w:val="640"/>
          <w:marRight w:val="0"/>
          <w:marTop w:val="0"/>
          <w:marBottom w:val="0"/>
          <w:divBdr>
            <w:top w:val="none" w:sz="0" w:space="0" w:color="auto"/>
            <w:left w:val="none" w:sz="0" w:space="0" w:color="auto"/>
            <w:bottom w:val="none" w:sz="0" w:space="0" w:color="auto"/>
            <w:right w:val="none" w:sz="0" w:space="0" w:color="auto"/>
          </w:divBdr>
        </w:div>
        <w:div w:id="364403025">
          <w:marLeft w:val="640"/>
          <w:marRight w:val="0"/>
          <w:marTop w:val="0"/>
          <w:marBottom w:val="0"/>
          <w:divBdr>
            <w:top w:val="none" w:sz="0" w:space="0" w:color="auto"/>
            <w:left w:val="none" w:sz="0" w:space="0" w:color="auto"/>
            <w:bottom w:val="none" w:sz="0" w:space="0" w:color="auto"/>
            <w:right w:val="none" w:sz="0" w:space="0" w:color="auto"/>
          </w:divBdr>
        </w:div>
        <w:div w:id="203716714">
          <w:marLeft w:val="640"/>
          <w:marRight w:val="0"/>
          <w:marTop w:val="0"/>
          <w:marBottom w:val="0"/>
          <w:divBdr>
            <w:top w:val="none" w:sz="0" w:space="0" w:color="auto"/>
            <w:left w:val="none" w:sz="0" w:space="0" w:color="auto"/>
            <w:bottom w:val="none" w:sz="0" w:space="0" w:color="auto"/>
            <w:right w:val="none" w:sz="0" w:space="0" w:color="auto"/>
          </w:divBdr>
        </w:div>
        <w:div w:id="448208365">
          <w:marLeft w:val="640"/>
          <w:marRight w:val="0"/>
          <w:marTop w:val="0"/>
          <w:marBottom w:val="0"/>
          <w:divBdr>
            <w:top w:val="none" w:sz="0" w:space="0" w:color="auto"/>
            <w:left w:val="none" w:sz="0" w:space="0" w:color="auto"/>
            <w:bottom w:val="none" w:sz="0" w:space="0" w:color="auto"/>
            <w:right w:val="none" w:sz="0" w:space="0" w:color="auto"/>
          </w:divBdr>
        </w:div>
        <w:div w:id="536626028">
          <w:marLeft w:val="640"/>
          <w:marRight w:val="0"/>
          <w:marTop w:val="0"/>
          <w:marBottom w:val="0"/>
          <w:divBdr>
            <w:top w:val="none" w:sz="0" w:space="0" w:color="auto"/>
            <w:left w:val="none" w:sz="0" w:space="0" w:color="auto"/>
            <w:bottom w:val="none" w:sz="0" w:space="0" w:color="auto"/>
            <w:right w:val="none" w:sz="0" w:space="0" w:color="auto"/>
          </w:divBdr>
        </w:div>
        <w:div w:id="588198816">
          <w:marLeft w:val="640"/>
          <w:marRight w:val="0"/>
          <w:marTop w:val="0"/>
          <w:marBottom w:val="0"/>
          <w:divBdr>
            <w:top w:val="none" w:sz="0" w:space="0" w:color="auto"/>
            <w:left w:val="none" w:sz="0" w:space="0" w:color="auto"/>
            <w:bottom w:val="none" w:sz="0" w:space="0" w:color="auto"/>
            <w:right w:val="none" w:sz="0" w:space="0" w:color="auto"/>
          </w:divBdr>
        </w:div>
        <w:div w:id="376592313">
          <w:marLeft w:val="640"/>
          <w:marRight w:val="0"/>
          <w:marTop w:val="0"/>
          <w:marBottom w:val="0"/>
          <w:divBdr>
            <w:top w:val="none" w:sz="0" w:space="0" w:color="auto"/>
            <w:left w:val="none" w:sz="0" w:space="0" w:color="auto"/>
            <w:bottom w:val="none" w:sz="0" w:space="0" w:color="auto"/>
            <w:right w:val="none" w:sz="0" w:space="0" w:color="auto"/>
          </w:divBdr>
        </w:div>
        <w:div w:id="1813013737">
          <w:marLeft w:val="640"/>
          <w:marRight w:val="0"/>
          <w:marTop w:val="0"/>
          <w:marBottom w:val="0"/>
          <w:divBdr>
            <w:top w:val="none" w:sz="0" w:space="0" w:color="auto"/>
            <w:left w:val="none" w:sz="0" w:space="0" w:color="auto"/>
            <w:bottom w:val="none" w:sz="0" w:space="0" w:color="auto"/>
            <w:right w:val="none" w:sz="0" w:space="0" w:color="auto"/>
          </w:divBdr>
        </w:div>
        <w:div w:id="1858889385">
          <w:marLeft w:val="640"/>
          <w:marRight w:val="0"/>
          <w:marTop w:val="0"/>
          <w:marBottom w:val="0"/>
          <w:divBdr>
            <w:top w:val="none" w:sz="0" w:space="0" w:color="auto"/>
            <w:left w:val="none" w:sz="0" w:space="0" w:color="auto"/>
            <w:bottom w:val="none" w:sz="0" w:space="0" w:color="auto"/>
            <w:right w:val="none" w:sz="0" w:space="0" w:color="auto"/>
          </w:divBdr>
        </w:div>
        <w:div w:id="100801015">
          <w:marLeft w:val="640"/>
          <w:marRight w:val="0"/>
          <w:marTop w:val="0"/>
          <w:marBottom w:val="0"/>
          <w:divBdr>
            <w:top w:val="none" w:sz="0" w:space="0" w:color="auto"/>
            <w:left w:val="none" w:sz="0" w:space="0" w:color="auto"/>
            <w:bottom w:val="none" w:sz="0" w:space="0" w:color="auto"/>
            <w:right w:val="none" w:sz="0" w:space="0" w:color="auto"/>
          </w:divBdr>
        </w:div>
        <w:div w:id="989671364">
          <w:marLeft w:val="640"/>
          <w:marRight w:val="0"/>
          <w:marTop w:val="0"/>
          <w:marBottom w:val="0"/>
          <w:divBdr>
            <w:top w:val="none" w:sz="0" w:space="0" w:color="auto"/>
            <w:left w:val="none" w:sz="0" w:space="0" w:color="auto"/>
            <w:bottom w:val="none" w:sz="0" w:space="0" w:color="auto"/>
            <w:right w:val="none" w:sz="0" w:space="0" w:color="auto"/>
          </w:divBdr>
        </w:div>
        <w:div w:id="84345762">
          <w:marLeft w:val="640"/>
          <w:marRight w:val="0"/>
          <w:marTop w:val="0"/>
          <w:marBottom w:val="0"/>
          <w:divBdr>
            <w:top w:val="none" w:sz="0" w:space="0" w:color="auto"/>
            <w:left w:val="none" w:sz="0" w:space="0" w:color="auto"/>
            <w:bottom w:val="none" w:sz="0" w:space="0" w:color="auto"/>
            <w:right w:val="none" w:sz="0" w:space="0" w:color="auto"/>
          </w:divBdr>
        </w:div>
        <w:div w:id="1746754417">
          <w:marLeft w:val="640"/>
          <w:marRight w:val="0"/>
          <w:marTop w:val="0"/>
          <w:marBottom w:val="0"/>
          <w:divBdr>
            <w:top w:val="none" w:sz="0" w:space="0" w:color="auto"/>
            <w:left w:val="none" w:sz="0" w:space="0" w:color="auto"/>
            <w:bottom w:val="none" w:sz="0" w:space="0" w:color="auto"/>
            <w:right w:val="none" w:sz="0" w:space="0" w:color="auto"/>
          </w:divBdr>
        </w:div>
        <w:div w:id="265115244">
          <w:marLeft w:val="640"/>
          <w:marRight w:val="0"/>
          <w:marTop w:val="0"/>
          <w:marBottom w:val="0"/>
          <w:divBdr>
            <w:top w:val="none" w:sz="0" w:space="0" w:color="auto"/>
            <w:left w:val="none" w:sz="0" w:space="0" w:color="auto"/>
            <w:bottom w:val="none" w:sz="0" w:space="0" w:color="auto"/>
            <w:right w:val="none" w:sz="0" w:space="0" w:color="auto"/>
          </w:divBdr>
        </w:div>
        <w:div w:id="455874703">
          <w:marLeft w:val="640"/>
          <w:marRight w:val="0"/>
          <w:marTop w:val="0"/>
          <w:marBottom w:val="0"/>
          <w:divBdr>
            <w:top w:val="none" w:sz="0" w:space="0" w:color="auto"/>
            <w:left w:val="none" w:sz="0" w:space="0" w:color="auto"/>
            <w:bottom w:val="none" w:sz="0" w:space="0" w:color="auto"/>
            <w:right w:val="none" w:sz="0" w:space="0" w:color="auto"/>
          </w:divBdr>
        </w:div>
        <w:div w:id="1194877476">
          <w:marLeft w:val="640"/>
          <w:marRight w:val="0"/>
          <w:marTop w:val="0"/>
          <w:marBottom w:val="0"/>
          <w:divBdr>
            <w:top w:val="none" w:sz="0" w:space="0" w:color="auto"/>
            <w:left w:val="none" w:sz="0" w:space="0" w:color="auto"/>
            <w:bottom w:val="none" w:sz="0" w:space="0" w:color="auto"/>
            <w:right w:val="none" w:sz="0" w:space="0" w:color="auto"/>
          </w:divBdr>
        </w:div>
        <w:div w:id="605623067">
          <w:marLeft w:val="640"/>
          <w:marRight w:val="0"/>
          <w:marTop w:val="0"/>
          <w:marBottom w:val="0"/>
          <w:divBdr>
            <w:top w:val="none" w:sz="0" w:space="0" w:color="auto"/>
            <w:left w:val="none" w:sz="0" w:space="0" w:color="auto"/>
            <w:bottom w:val="none" w:sz="0" w:space="0" w:color="auto"/>
            <w:right w:val="none" w:sz="0" w:space="0" w:color="auto"/>
          </w:divBdr>
        </w:div>
        <w:div w:id="2032031458">
          <w:marLeft w:val="640"/>
          <w:marRight w:val="0"/>
          <w:marTop w:val="0"/>
          <w:marBottom w:val="0"/>
          <w:divBdr>
            <w:top w:val="none" w:sz="0" w:space="0" w:color="auto"/>
            <w:left w:val="none" w:sz="0" w:space="0" w:color="auto"/>
            <w:bottom w:val="none" w:sz="0" w:space="0" w:color="auto"/>
            <w:right w:val="none" w:sz="0" w:space="0" w:color="auto"/>
          </w:divBdr>
        </w:div>
        <w:div w:id="1190146827">
          <w:marLeft w:val="640"/>
          <w:marRight w:val="0"/>
          <w:marTop w:val="0"/>
          <w:marBottom w:val="0"/>
          <w:divBdr>
            <w:top w:val="none" w:sz="0" w:space="0" w:color="auto"/>
            <w:left w:val="none" w:sz="0" w:space="0" w:color="auto"/>
            <w:bottom w:val="none" w:sz="0" w:space="0" w:color="auto"/>
            <w:right w:val="none" w:sz="0" w:space="0" w:color="auto"/>
          </w:divBdr>
        </w:div>
        <w:div w:id="1260217506">
          <w:marLeft w:val="640"/>
          <w:marRight w:val="0"/>
          <w:marTop w:val="0"/>
          <w:marBottom w:val="0"/>
          <w:divBdr>
            <w:top w:val="none" w:sz="0" w:space="0" w:color="auto"/>
            <w:left w:val="none" w:sz="0" w:space="0" w:color="auto"/>
            <w:bottom w:val="none" w:sz="0" w:space="0" w:color="auto"/>
            <w:right w:val="none" w:sz="0" w:space="0" w:color="auto"/>
          </w:divBdr>
        </w:div>
        <w:div w:id="1357922733">
          <w:marLeft w:val="640"/>
          <w:marRight w:val="0"/>
          <w:marTop w:val="0"/>
          <w:marBottom w:val="0"/>
          <w:divBdr>
            <w:top w:val="none" w:sz="0" w:space="0" w:color="auto"/>
            <w:left w:val="none" w:sz="0" w:space="0" w:color="auto"/>
            <w:bottom w:val="none" w:sz="0" w:space="0" w:color="auto"/>
            <w:right w:val="none" w:sz="0" w:space="0" w:color="auto"/>
          </w:divBdr>
        </w:div>
        <w:div w:id="351886180">
          <w:marLeft w:val="640"/>
          <w:marRight w:val="0"/>
          <w:marTop w:val="0"/>
          <w:marBottom w:val="0"/>
          <w:divBdr>
            <w:top w:val="none" w:sz="0" w:space="0" w:color="auto"/>
            <w:left w:val="none" w:sz="0" w:space="0" w:color="auto"/>
            <w:bottom w:val="none" w:sz="0" w:space="0" w:color="auto"/>
            <w:right w:val="none" w:sz="0" w:space="0" w:color="auto"/>
          </w:divBdr>
        </w:div>
        <w:div w:id="818571988">
          <w:marLeft w:val="640"/>
          <w:marRight w:val="0"/>
          <w:marTop w:val="0"/>
          <w:marBottom w:val="0"/>
          <w:divBdr>
            <w:top w:val="none" w:sz="0" w:space="0" w:color="auto"/>
            <w:left w:val="none" w:sz="0" w:space="0" w:color="auto"/>
            <w:bottom w:val="none" w:sz="0" w:space="0" w:color="auto"/>
            <w:right w:val="none" w:sz="0" w:space="0" w:color="auto"/>
          </w:divBdr>
        </w:div>
        <w:div w:id="1740396062">
          <w:marLeft w:val="640"/>
          <w:marRight w:val="0"/>
          <w:marTop w:val="0"/>
          <w:marBottom w:val="0"/>
          <w:divBdr>
            <w:top w:val="none" w:sz="0" w:space="0" w:color="auto"/>
            <w:left w:val="none" w:sz="0" w:space="0" w:color="auto"/>
            <w:bottom w:val="none" w:sz="0" w:space="0" w:color="auto"/>
            <w:right w:val="none" w:sz="0" w:space="0" w:color="auto"/>
          </w:divBdr>
        </w:div>
        <w:div w:id="1369136528">
          <w:marLeft w:val="640"/>
          <w:marRight w:val="0"/>
          <w:marTop w:val="0"/>
          <w:marBottom w:val="0"/>
          <w:divBdr>
            <w:top w:val="none" w:sz="0" w:space="0" w:color="auto"/>
            <w:left w:val="none" w:sz="0" w:space="0" w:color="auto"/>
            <w:bottom w:val="none" w:sz="0" w:space="0" w:color="auto"/>
            <w:right w:val="none" w:sz="0" w:space="0" w:color="auto"/>
          </w:divBdr>
        </w:div>
        <w:div w:id="1877966483">
          <w:marLeft w:val="640"/>
          <w:marRight w:val="0"/>
          <w:marTop w:val="0"/>
          <w:marBottom w:val="0"/>
          <w:divBdr>
            <w:top w:val="none" w:sz="0" w:space="0" w:color="auto"/>
            <w:left w:val="none" w:sz="0" w:space="0" w:color="auto"/>
            <w:bottom w:val="none" w:sz="0" w:space="0" w:color="auto"/>
            <w:right w:val="none" w:sz="0" w:space="0" w:color="auto"/>
          </w:divBdr>
        </w:div>
        <w:div w:id="2119131380">
          <w:marLeft w:val="640"/>
          <w:marRight w:val="0"/>
          <w:marTop w:val="0"/>
          <w:marBottom w:val="0"/>
          <w:divBdr>
            <w:top w:val="none" w:sz="0" w:space="0" w:color="auto"/>
            <w:left w:val="none" w:sz="0" w:space="0" w:color="auto"/>
            <w:bottom w:val="none" w:sz="0" w:space="0" w:color="auto"/>
            <w:right w:val="none" w:sz="0" w:space="0" w:color="auto"/>
          </w:divBdr>
        </w:div>
        <w:div w:id="560099689">
          <w:marLeft w:val="640"/>
          <w:marRight w:val="0"/>
          <w:marTop w:val="0"/>
          <w:marBottom w:val="0"/>
          <w:divBdr>
            <w:top w:val="none" w:sz="0" w:space="0" w:color="auto"/>
            <w:left w:val="none" w:sz="0" w:space="0" w:color="auto"/>
            <w:bottom w:val="none" w:sz="0" w:space="0" w:color="auto"/>
            <w:right w:val="none" w:sz="0" w:space="0" w:color="auto"/>
          </w:divBdr>
        </w:div>
        <w:div w:id="1701661092">
          <w:marLeft w:val="640"/>
          <w:marRight w:val="0"/>
          <w:marTop w:val="0"/>
          <w:marBottom w:val="0"/>
          <w:divBdr>
            <w:top w:val="none" w:sz="0" w:space="0" w:color="auto"/>
            <w:left w:val="none" w:sz="0" w:space="0" w:color="auto"/>
            <w:bottom w:val="none" w:sz="0" w:space="0" w:color="auto"/>
            <w:right w:val="none" w:sz="0" w:space="0" w:color="auto"/>
          </w:divBdr>
        </w:div>
        <w:div w:id="625083380">
          <w:marLeft w:val="640"/>
          <w:marRight w:val="0"/>
          <w:marTop w:val="0"/>
          <w:marBottom w:val="0"/>
          <w:divBdr>
            <w:top w:val="none" w:sz="0" w:space="0" w:color="auto"/>
            <w:left w:val="none" w:sz="0" w:space="0" w:color="auto"/>
            <w:bottom w:val="none" w:sz="0" w:space="0" w:color="auto"/>
            <w:right w:val="none" w:sz="0" w:space="0" w:color="auto"/>
          </w:divBdr>
        </w:div>
        <w:div w:id="654407723">
          <w:marLeft w:val="640"/>
          <w:marRight w:val="0"/>
          <w:marTop w:val="0"/>
          <w:marBottom w:val="0"/>
          <w:divBdr>
            <w:top w:val="none" w:sz="0" w:space="0" w:color="auto"/>
            <w:left w:val="none" w:sz="0" w:space="0" w:color="auto"/>
            <w:bottom w:val="none" w:sz="0" w:space="0" w:color="auto"/>
            <w:right w:val="none" w:sz="0" w:space="0" w:color="auto"/>
          </w:divBdr>
        </w:div>
        <w:div w:id="817189667">
          <w:marLeft w:val="640"/>
          <w:marRight w:val="0"/>
          <w:marTop w:val="0"/>
          <w:marBottom w:val="0"/>
          <w:divBdr>
            <w:top w:val="none" w:sz="0" w:space="0" w:color="auto"/>
            <w:left w:val="none" w:sz="0" w:space="0" w:color="auto"/>
            <w:bottom w:val="none" w:sz="0" w:space="0" w:color="auto"/>
            <w:right w:val="none" w:sz="0" w:space="0" w:color="auto"/>
          </w:divBdr>
        </w:div>
        <w:div w:id="97990318">
          <w:marLeft w:val="640"/>
          <w:marRight w:val="0"/>
          <w:marTop w:val="0"/>
          <w:marBottom w:val="0"/>
          <w:divBdr>
            <w:top w:val="none" w:sz="0" w:space="0" w:color="auto"/>
            <w:left w:val="none" w:sz="0" w:space="0" w:color="auto"/>
            <w:bottom w:val="none" w:sz="0" w:space="0" w:color="auto"/>
            <w:right w:val="none" w:sz="0" w:space="0" w:color="auto"/>
          </w:divBdr>
        </w:div>
        <w:div w:id="1495993432">
          <w:marLeft w:val="640"/>
          <w:marRight w:val="0"/>
          <w:marTop w:val="0"/>
          <w:marBottom w:val="0"/>
          <w:divBdr>
            <w:top w:val="none" w:sz="0" w:space="0" w:color="auto"/>
            <w:left w:val="none" w:sz="0" w:space="0" w:color="auto"/>
            <w:bottom w:val="none" w:sz="0" w:space="0" w:color="auto"/>
            <w:right w:val="none" w:sz="0" w:space="0" w:color="auto"/>
          </w:divBdr>
        </w:div>
        <w:div w:id="255328808">
          <w:marLeft w:val="640"/>
          <w:marRight w:val="0"/>
          <w:marTop w:val="0"/>
          <w:marBottom w:val="0"/>
          <w:divBdr>
            <w:top w:val="none" w:sz="0" w:space="0" w:color="auto"/>
            <w:left w:val="none" w:sz="0" w:space="0" w:color="auto"/>
            <w:bottom w:val="none" w:sz="0" w:space="0" w:color="auto"/>
            <w:right w:val="none" w:sz="0" w:space="0" w:color="auto"/>
          </w:divBdr>
        </w:div>
        <w:div w:id="1092167969">
          <w:marLeft w:val="640"/>
          <w:marRight w:val="0"/>
          <w:marTop w:val="0"/>
          <w:marBottom w:val="0"/>
          <w:divBdr>
            <w:top w:val="none" w:sz="0" w:space="0" w:color="auto"/>
            <w:left w:val="none" w:sz="0" w:space="0" w:color="auto"/>
            <w:bottom w:val="none" w:sz="0" w:space="0" w:color="auto"/>
            <w:right w:val="none" w:sz="0" w:space="0" w:color="auto"/>
          </w:divBdr>
        </w:div>
        <w:div w:id="1686903708">
          <w:marLeft w:val="640"/>
          <w:marRight w:val="0"/>
          <w:marTop w:val="0"/>
          <w:marBottom w:val="0"/>
          <w:divBdr>
            <w:top w:val="none" w:sz="0" w:space="0" w:color="auto"/>
            <w:left w:val="none" w:sz="0" w:space="0" w:color="auto"/>
            <w:bottom w:val="none" w:sz="0" w:space="0" w:color="auto"/>
            <w:right w:val="none" w:sz="0" w:space="0" w:color="auto"/>
          </w:divBdr>
        </w:div>
      </w:divsChild>
    </w:div>
    <w:div w:id="1392390927">
      <w:bodyDiv w:val="1"/>
      <w:marLeft w:val="0"/>
      <w:marRight w:val="0"/>
      <w:marTop w:val="0"/>
      <w:marBottom w:val="0"/>
      <w:divBdr>
        <w:top w:val="none" w:sz="0" w:space="0" w:color="auto"/>
        <w:left w:val="none" w:sz="0" w:space="0" w:color="auto"/>
        <w:bottom w:val="none" w:sz="0" w:space="0" w:color="auto"/>
        <w:right w:val="none" w:sz="0" w:space="0" w:color="auto"/>
      </w:divBdr>
    </w:div>
    <w:div w:id="1394962356">
      <w:bodyDiv w:val="1"/>
      <w:marLeft w:val="0"/>
      <w:marRight w:val="0"/>
      <w:marTop w:val="0"/>
      <w:marBottom w:val="0"/>
      <w:divBdr>
        <w:top w:val="none" w:sz="0" w:space="0" w:color="auto"/>
        <w:left w:val="none" w:sz="0" w:space="0" w:color="auto"/>
        <w:bottom w:val="none" w:sz="0" w:space="0" w:color="auto"/>
        <w:right w:val="none" w:sz="0" w:space="0" w:color="auto"/>
      </w:divBdr>
    </w:div>
    <w:div w:id="1396657357">
      <w:bodyDiv w:val="1"/>
      <w:marLeft w:val="0"/>
      <w:marRight w:val="0"/>
      <w:marTop w:val="0"/>
      <w:marBottom w:val="0"/>
      <w:divBdr>
        <w:top w:val="none" w:sz="0" w:space="0" w:color="auto"/>
        <w:left w:val="none" w:sz="0" w:space="0" w:color="auto"/>
        <w:bottom w:val="none" w:sz="0" w:space="0" w:color="auto"/>
        <w:right w:val="none" w:sz="0" w:space="0" w:color="auto"/>
      </w:divBdr>
    </w:div>
    <w:div w:id="1396660325">
      <w:bodyDiv w:val="1"/>
      <w:marLeft w:val="0"/>
      <w:marRight w:val="0"/>
      <w:marTop w:val="0"/>
      <w:marBottom w:val="0"/>
      <w:divBdr>
        <w:top w:val="none" w:sz="0" w:space="0" w:color="auto"/>
        <w:left w:val="none" w:sz="0" w:space="0" w:color="auto"/>
        <w:bottom w:val="none" w:sz="0" w:space="0" w:color="auto"/>
        <w:right w:val="none" w:sz="0" w:space="0" w:color="auto"/>
      </w:divBdr>
    </w:div>
    <w:div w:id="1399281104">
      <w:bodyDiv w:val="1"/>
      <w:marLeft w:val="0"/>
      <w:marRight w:val="0"/>
      <w:marTop w:val="0"/>
      <w:marBottom w:val="0"/>
      <w:divBdr>
        <w:top w:val="none" w:sz="0" w:space="0" w:color="auto"/>
        <w:left w:val="none" w:sz="0" w:space="0" w:color="auto"/>
        <w:bottom w:val="none" w:sz="0" w:space="0" w:color="auto"/>
        <w:right w:val="none" w:sz="0" w:space="0" w:color="auto"/>
      </w:divBdr>
    </w:div>
    <w:div w:id="1402798991">
      <w:bodyDiv w:val="1"/>
      <w:marLeft w:val="0"/>
      <w:marRight w:val="0"/>
      <w:marTop w:val="0"/>
      <w:marBottom w:val="0"/>
      <w:divBdr>
        <w:top w:val="none" w:sz="0" w:space="0" w:color="auto"/>
        <w:left w:val="none" w:sz="0" w:space="0" w:color="auto"/>
        <w:bottom w:val="none" w:sz="0" w:space="0" w:color="auto"/>
        <w:right w:val="none" w:sz="0" w:space="0" w:color="auto"/>
      </w:divBdr>
    </w:div>
    <w:div w:id="1404528582">
      <w:bodyDiv w:val="1"/>
      <w:marLeft w:val="0"/>
      <w:marRight w:val="0"/>
      <w:marTop w:val="0"/>
      <w:marBottom w:val="0"/>
      <w:divBdr>
        <w:top w:val="none" w:sz="0" w:space="0" w:color="auto"/>
        <w:left w:val="none" w:sz="0" w:space="0" w:color="auto"/>
        <w:bottom w:val="none" w:sz="0" w:space="0" w:color="auto"/>
        <w:right w:val="none" w:sz="0" w:space="0" w:color="auto"/>
      </w:divBdr>
    </w:div>
    <w:div w:id="1406495929">
      <w:bodyDiv w:val="1"/>
      <w:marLeft w:val="0"/>
      <w:marRight w:val="0"/>
      <w:marTop w:val="0"/>
      <w:marBottom w:val="0"/>
      <w:divBdr>
        <w:top w:val="none" w:sz="0" w:space="0" w:color="auto"/>
        <w:left w:val="none" w:sz="0" w:space="0" w:color="auto"/>
        <w:bottom w:val="none" w:sz="0" w:space="0" w:color="auto"/>
        <w:right w:val="none" w:sz="0" w:space="0" w:color="auto"/>
      </w:divBdr>
    </w:div>
    <w:div w:id="1407603565">
      <w:bodyDiv w:val="1"/>
      <w:marLeft w:val="0"/>
      <w:marRight w:val="0"/>
      <w:marTop w:val="0"/>
      <w:marBottom w:val="0"/>
      <w:divBdr>
        <w:top w:val="none" w:sz="0" w:space="0" w:color="auto"/>
        <w:left w:val="none" w:sz="0" w:space="0" w:color="auto"/>
        <w:bottom w:val="none" w:sz="0" w:space="0" w:color="auto"/>
        <w:right w:val="none" w:sz="0" w:space="0" w:color="auto"/>
      </w:divBdr>
    </w:div>
    <w:div w:id="1408111239">
      <w:bodyDiv w:val="1"/>
      <w:marLeft w:val="0"/>
      <w:marRight w:val="0"/>
      <w:marTop w:val="0"/>
      <w:marBottom w:val="0"/>
      <w:divBdr>
        <w:top w:val="none" w:sz="0" w:space="0" w:color="auto"/>
        <w:left w:val="none" w:sz="0" w:space="0" w:color="auto"/>
        <w:bottom w:val="none" w:sz="0" w:space="0" w:color="auto"/>
        <w:right w:val="none" w:sz="0" w:space="0" w:color="auto"/>
      </w:divBdr>
    </w:div>
    <w:div w:id="1409419448">
      <w:bodyDiv w:val="1"/>
      <w:marLeft w:val="0"/>
      <w:marRight w:val="0"/>
      <w:marTop w:val="0"/>
      <w:marBottom w:val="0"/>
      <w:divBdr>
        <w:top w:val="none" w:sz="0" w:space="0" w:color="auto"/>
        <w:left w:val="none" w:sz="0" w:space="0" w:color="auto"/>
        <w:bottom w:val="none" w:sz="0" w:space="0" w:color="auto"/>
        <w:right w:val="none" w:sz="0" w:space="0" w:color="auto"/>
      </w:divBdr>
    </w:div>
    <w:div w:id="1410349758">
      <w:bodyDiv w:val="1"/>
      <w:marLeft w:val="0"/>
      <w:marRight w:val="0"/>
      <w:marTop w:val="0"/>
      <w:marBottom w:val="0"/>
      <w:divBdr>
        <w:top w:val="none" w:sz="0" w:space="0" w:color="auto"/>
        <w:left w:val="none" w:sz="0" w:space="0" w:color="auto"/>
        <w:bottom w:val="none" w:sz="0" w:space="0" w:color="auto"/>
        <w:right w:val="none" w:sz="0" w:space="0" w:color="auto"/>
      </w:divBdr>
    </w:div>
    <w:div w:id="1411463502">
      <w:bodyDiv w:val="1"/>
      <w:marLeft w:val="0"/>
      <w:marRight w:val="0"/>
      <w:marTop w:val="0"/>
      <w:marBottom w:val="0"/>
      <w:divBdr>
        <w:top w:val="none" w:sz="0" w:space="0" w:color="auto"/>
        <w:left w:val="none" w:sz="0" w:space="0" w:color="auto"/>
        <w:bottom w:val="none" w:sz="0" w:space="0" w:color="auto"/>
        <w:right w:val="none" w:sz="0" w:space="0" w:color="auto"/>
      </w:divBdr>
    </w:div>
    <w:div w:id="1417705708">
      <w:bodyDiv w:val="1"/>
      <w:marLeft w:val="0"/>
      <w:marRight w:val="0"/>
      <w:marTop w:val="0"/>
      <w:marBottom w:val="0"/>
      <w:divBdr>
        <w:top w:val="none" w:sz="0" w:space="0" w:color="auto"/>
        <w:left w:val="none" w:sz="0" w:space="0" w:color="auto"/>
        <w:bottom w:val="none" w:sz="0" w:space="0" w:color="auto"/>
        <w:right w:val="none" w:sz="0" w:space="0" w:color="auto"/>
      </w:divBdr>
    </w:div>
    <w:div w:id="1417750620">
      <w:bodyDiv w:val="1"/>
      <w:marLeft w:val="0"/>
      <w:marRight w:val="0"/>
      <w:marTop w:val="0"/>
      <w:marBottom w:val="0"/>
      <w:divBdr>
        <w:top w:val="none" w:sz="0" w:space="0" w:color="auto"/>
        <w:left w:val="none" w:sz="0" w:space="0" w:color="auto"/>
        <w:bottom w:val="none" w:sz="0" w:space="0" w:color="auto"/>
        <w:right w:val="none" w:sz="0" w:space="0" w:color="auto"/>
      </w:divBdr>
    </w:div>
    <w:div w:id="1418092642">
      <w:bodyDiv w:val="1"/>
      <w:marLeft w:val="0"/>
      <w:marRight w:val="0"/>
      <w:marTop w:val="0"/>
      <w:marBottom w:val="0"/>
      <w:divBdr>
        <w:top w:val="none" w:sz="0" w:space="0" w:color="auto"/>
        <w:left w:val="none" w:sz="0" w:space="0" w:color="auto"/>
        <w:bottom w:val="none" w:sz="0" w:space="0" w:color="auto"/>
        <w:right w:val="none" w:sz="0" w:space="0" w:color="auto"/>
      </w:divBdr>
      <w:divsChild>
        <w:div w:id="1923952084">
          <w:marLeft w:val="640"/>
          <w:marRight w:val="0"/>
          <w:marTop w:val="0"/>
          <w:marBottom w:val="0"/>
          <w:divBdr>
            <w:top w:val="none" w:sz="0" w:space="0" w:color="auto"/>
            <w:left w:val="none" w:sz="0" w:space="0" w:color="auto"/>
            <w:bottom w:val="none" w:sz="0" w:space="0" w:color="auto"/>
            <w:right w:val="none" w:sz="0" w:space="0" w:color="auto"/>
          </w:divBdr>
        </w:div>
        <w:div w:id="1111701141">
          <w:marLeft w:val="640"/>
          <w:marRight w:val="0"/>
          <w:marTop w:val="0"/>
          <w:marBottom w:val="0"/>
          <w:divBdr>
            <w:top w:val="none" w:sz="0" w:space="0" w:color="auto"/>
            <w:left w:val="none" w:sz="0" w:space="0" w:color="auto"/>
            <w:bottom w:val="none" w:sz="0" w:space="0" w:color="auto"/>
            <w:right w:val="none" w:sz="0" w:space="0" w:color="auto"/>
          </w:divBdr>
        </w:div>
        <w:div w:id="270356952">
          <w:marLeft w:val="640"/>
          <w:marRight w:val="0"/>
          <w:marTop w:val="0"/>
          <w:marBottom w:val="0"/>
          <w:divBdr>
            <w:top w:val="none" w:sz="0" w:space="0" w:color="auto"/>
            <w:left w:val="none" w:sz="0" w:space="0" w:color="auto"/>
            <w:bottom w:val="none" w:sz="0" w:space="0" w:color="auto"/>
            <w:right w:val="none" w:sz="0" w:space="0" w:color="auto"/>
          </w:divBdr>
        </w:div>
        <w:div w:id="1719208103">
          <w:marLeft w:val="640"/>
          <w:marRight w:val="0"/>
          <w:marTop w:val="0"/>
          <w:marBottom w:val="0"/>
          <w:divBdr>
            <w:top w:val="none" w:sz="0" w:space="0" w:color="auto"/>
            <w:left w:val="none" w:sz="0" w:space="0" w:color="auto"/>
            <w:bottom w:val="none" w:sz="0" w:space="0" w:color="auto"/>
            <w:right w:val="none" w:sz="0" w:space="0" w:color="auto"/>
          </w:divBdr>
        </w:div>
        <w:div w:id="2021808053">
          <w:marLeft w:val="640"/>
          <w:marRight w:val="0"/>
          <w:marTop w:val="0"/>
          <w:marBottom w:val="0"/>
          <w:divBdr>
            <w:top w:val="none" w:sz="0" w:space="0" w:color="auto"/>
            <w:left w:val="none" w:sz="0" w:space="0" w:color="auto"/>
            <w:bottom w:val="none" w:sz="0" w:space="0" w:color="auto"/>
            <w:right w:val="none" w:sz="0" w:space="0" w:color="auto"/>
          </w:divBdr>
        </w:div>
        <w:div w:id="1590239338">
          <w:marLeft w:val="640"/>
          <w:marRight w:val="0"/>
          <w:marTop w:val="0"/>
          <w:marBottom w:val="0"/>
          <w:divBdr>
            <w:top w:val="none" w:sz="0" w:space="0" w:color="auto"/>
            <w:left w:val="none" w:sz="0" w:space="0" w:color="auto"/>
            <w:bottom w:val="none" w:sz="0" w:space="0" w:color="auto"/>
            <w:right w:val="none" w:sz="0" w:space="0" w:color="auto"/>
          </w:divBdr>
        </w:div>
        <w:div w:id="595481965">
          <w:marLeft w:val="640"/>
          <w:marRight w:val="0"/>
          <w:marTop w:val="0"/>
          <w:marBottom w:val="0"/>
          <w:divBdr>
            <w:top w:val="none" w:sz="0" w:space="0" w:color="auto"/>
            <w:left w:val="none" w:sz="0" w:space="0" w:color="auto"/>
            <w:bottom w:val="none" w:sz="0" w:space="0" w:color="auto"/>
            <w:right w:val="none" w:sz="0" w:space="0" w:color="auto"/>
          </w:divBdr>
        </w:div>
        <w:div w:id="1732849718">
          <w:marLeft w:val="640"/>
          <w:marRight w:val="0"/>
          <w:marTop w:val="0"/>
          <w:marBottom w:val="0"/>
          <w:divBdr>
            <w:top w:val="none" w:sz="0" w:space="0" w:color="auto"/>
            <w:left w:val="none" w:sz="0" w:space="0" w:color="auto"/>
            <w:bottom w:val="none" w:sz="0" w:space="0" w:color="auto"/>
            <w:right w:val="none" w:sz="0" w:space="0" w:color="auto"/>
          </w:divBdr>
        </w:div>
        <w:div w:id="408816711">
          <w:marLeft w:val="640"/>
          <w:marRight w:val="0"/>
          <w:marTop w:val="0"/>
          <w:marBottom w:val="0"/>
          <w:divBdr>
            <w:top w:val="none" w:sz="0" w:space="0" w:color="auto"/>
            <w:left w:val="none" w:sz="0" w:space="0" w:color="auto"/>
            <w:bottom w:val="none" w:sz="0" w:space="0" w:color="auto"/>
            <w:right w:val="none" w:sz="0" w:space="0" w:color="auto"/>
          </w:divBdr>
        </w:div>
        <w:div w:id="2105034606">
          <w:marLeft w:val="640"/>
          <w:marRight w:val="0"/>
          <w:marTop w:val="0"/>
          <w:marBottom w:val="0"/>
          <w:divBdr>
            <w:top w:val="none" w:sz="0" w:space="0" w:color="auto"/>
            <w:left w:val="none" w:sz="0" w:space="0" w:color="auto"/>
            <w:bottom w:val="none" w:sz="0" w:space="0" w:color="auto"/>
            <w:right w:val="none" w:sz="0" w:space="0" w:color="auto"/>
          </w:divBdr>
        </w:div>
        <w:div w:id="1881090401">
          <w:marLeft w:val="640"/>
          <w:marRight w:val="0"/>
          <w:marTop w:val="0"/>
          <w:marBottom w:val="0"/>
          <w:divBdr>
            <w:top w:val="none" w:sz="0" w:space="0" w:color="auto"/>
            <w:left w:val="none" w:sz="0" w:space="0" w:color="auto"/>
            <w:bottom w:val="none" w:sz="0" w:space="0" w:color="auto"/>
            <w:right w:val="none" w:sz="0" w:space="0" w:color="auto"/>
          </w:divBdr>
        </w:div>
        <w:div w:id="2142575444">
          <w:marLeft w:val="640"/>
          <w:marRight w:val="0"/>
          <w:marTop w:val="0"/>
          <w:marBottom w:val="0"/>
          <w:divBdr>
            <w:top w:val="none" w:sz="0" w:space="0" w:color="auto"/>
            <w:left w:val="none" w:sz="0" w:space="0" w:color="auto"/>
            <w:bottom w:val="none" w:sz="0" w:space="0" w:color="auto"/>
            <w:right w:val="none" w:sz="0" w:space="0" w:color="auto"/>
          </w:divBdr>
        </w:div>
        <w:div w:id="145518049">
          <w:marLeft w:val="640"/>
          <w:marRight w:val="0"/>
          <w:marTop w:val="0"/>
          <w:marBottom w:val="0"/>
          <w:divBdr>
            <w:top w:val="none" w:sz="0" w:space="0" w:color="auto"/>
            <w:left w:val="none" w:sz="0" w:space="0" w:color="auto"/>
            <w:bottom w:val="none" w:sz="0" w:space="0" w:color="auto"/>
            <w:right w:val="none" w:sz="0" w:space="0" w:color="auto"/>
          </w:divBdr>
        </w:div>
        <w:div w:id="6759271">
          <w:marLeft w:val="640"/>
          <w:marRight w:val="0"/>
          <w:marTop w:val="0"/>
          <w:marBottom w:val="0"/>
          <w:divBdr>
            <w:top w:val="none" w:sz="0" w:space="0" w:color="auto"/>
            <w:left w:val="none" w:sz="0" w:space="0" w:color="auto"/>
            <w:bottom w:val="none" w:sz="0" w:space="0" w:color="auto"/>
            <w:right w:val="none" w:sz="0" w:space="0" w:color="auto"/>
          </w:divBdr>
        </w:div>
        <w:div w:id="1203909645">
          <w:marLeft w:val="640"/>
          <w:marRight w:val="0"/>
          <w:marTop w:val="0"/>
          <w:marBottom w:val="0"/>
          <w:divBdr>
            <w:top w:val="none" w:sz="0" w:space="0" w:color="auto"/>
            <w:left w:val="none" w:sz="0" w:space="0" w:color="auto"/>
            <w:bottom w:val="none" w:sz="0" w:space="0" w:color="auto"/>
            <w:right w:val="none" w:sz="0" w:space="0" w:color="auto"/>
          </w:divBdr>
        </w:div>
        <w:div w:id="1917477831">
          <w:marLeft w:val="640"/>
          <w:marRight w:val="0"/>
          <w:marTop w:val="0"/>
          <w:marBottom w:val="0"/>
          <w:divBdr>
            <w:top w:val="none" w:sz="0" w:space="0" w:color="auto"/>
            <w:left w:val="none" w:sz="0" w:space="0" w:color="auto"/>
            <w:bottom w:val="none" w:sz="0" w:space="0" w:color="auto"/>
            <w:right w:val="none" w:sz="0" w:space="0" w:color="auto"/>
          </w:divBdr>
        </w:div>
        <w:div w:id="1795519894">
          <w:marLeft w:val="640"/>
          <w:marRight w:val="0"/>
          <w:marTop w:val="0"/>
          <w:marBottom w:val="0"/>
          <w:divBdr>
            <w:top w:val="none" w:sz="0" w:space="0" w:color="auto"/>
            <w:left w:val="none" w:sz="0" w:space="0" w:color="auto"/>
            <w:bottom w:val="none" w:sz="0" w:space="0" w:color="auto"/>
            <w:right w:val="none" w:sz="0" w:space="0" w:color="auto"/>
          </w:divBdr>
        </w:div>
        <w:div w:id="667828106">
          <w:marLeft w:val="640"/>
          <w:marRight w:val="0"/>
          <w:marTop w:val="0"/>
          <w:marBottom w:val="0"/>
          <w:divBdr>
            <w:top w:val="none" w:sz="0" w:space="0" w:color="auto"/>
            <w:left w:val="none" w:sz="0" w:space="0" w:color="auto"/>
            <w:bottom w:val="none" w:sz="0" w:space="0" w:color="auto"/>
            <w:right w:val="none" w:sz="0" w:space="0" w:color="auto"/>
          </w:divBdr>
        </w:div>
        <w:div w:id="896167372">
          <w:marLeft w:val="640"/>
          <w:marRight w:val="0"/>
          <w:marTop w:val="0"/>
          <w:marBottom w:val="0"/>
          <w:divBdr>
            <w:top w:val="none" w:sz="0" w:space="0" w:color="auto"/>
            <w:left w:val="none" w:sz="0" w:space="0" w:color="auto"/>
            <w:bottom w:val="none" w:sz="0" w:space="0" w:color="auto"/>
            <w:right w:val="none" w:sz="0" w:space="0" w:color="auto"/>
          </w:divBdr>
        </w:div>
        <w:div w:id="1232158514">
          <w:marLeft w:val="640"/>
          <w:marRight w:val="0"/>
          <w:marTop w:val="0"/>
          <w:marBottom w:val="0"/>
          <w:divBdr>
            <w:top w:val="none" w:sz="0" w:space="0" w:color="auto"/>
            <w:left w:val="none" w:sz="0" w:space="0" w:color="auto"/>
            <w:bottom w:val="none" w:sz="0" w:space="0" w:color="auto"/>
            <w:right w:val="none" w:sz="0" w:space="0" w:color="auto"/>
          </w:divBdr>
        </w:div>
        <w:div w:id="250547715">
          <w:marLeft w:val="640"/>
          <w:marRight w:val="0"/>
          <w:marTop w:val="0"/>
          <w:marBottom w:val="0"/>
          <w:divBdr>
            <w:top w:val="none" w:sz="0" w:space="0" w:color="auto"/>
            <w:left w:val="none" w:sz="0" w:space="0" w:color="auto"/>
            <w:bottom w:val="none" w:sz="0" w:space="0" w:color="auto"/>
            <w:right w:val="none" w:sz="0" w:space="0" w:color="auto"/>
          </w:divBdr>
        </w:div>
        <w:div w:id="427586089">
          <w:marLeft w:val="640"/>
          <w:marRight w:val="0"/>
          <w:marTop w:val="0"/>
          <w:marBottom w:val="0"/>
          <w:divBdr>
            <w:top w:val="none" w:sz="0" w:space="0" w:color="auto"/>
            <w:left w:val="none" w:sz="0" w:space="0" w:color="auto"/>
            <w:bottom w:val="none" w:sz="0" w:space="0" w:color="auto"/>
            <w:right w:val="none" w:sz="0" w:space="0" w:color="auto"/>
          </w:divBdr>
        </w:div>
        <w:div w:id="1009796840">
          <w:marLeft w:val="640"/>
          <w:marRight w:val="0"/>
          <w:marTop w:val="0"/>
          <w:marBottom w:val="0"/>
          <w:divBdr>
            <w:top w:val="none" w:sz="0" w:space="0" w:color="auto"/>
            <w:left w:val="none" w:sz="0" w:space="0" w:color="auto"/>
            <w:bottom w:val="none" w:sz="0" w:space="0" w:color="auto"/>
            <w:right w:val="none" w:sz="0" w:space="0" w:color="auto"/>
          </w:divBdr>
        </w:div>
        <w:div w:id="1459492462">
          <w:marLeft w:val="640"/>
          <w:marRight w:val="0"/>
          <w:marTop w:val="0"/>
          <w:marBottom w:val="0"/>
          <w:divBdr>
            <w:top w:val="none" w:sz="0" w:space="0" w:color="auto"/>
            <w:left w:val="none" w:sz="0" w:space="0" w:color="auto"/>
            <w:bottom w:val="none" w:sz="0" w:space="0" w:color="auto"/>
            <w:right w:val="none" w:sz="0" w:space="0" w:color="auto"/>
          </w:divBdr>
        </w:div>
        <w:div w:id="238057876">
          <w:marLeft w:val="640"/>
          <w:marRight w:val="0"/>
          <w:marTop w:val="0"/>
          <w:marBottom w:val="0"/>
          <w:divBdr>
            <w:top w:val="none" w:sz="0" w:space="0" w:color="auto"/>
            <w:left w:val="none" w:sz="0" w:space="0" w:color="auto"/>
            <w:bottom w:val="none" w:sz="0" w:space="0" w:color="auto"/>
            <w:right w:val="none" w:sz="0" w:space="0" w:color="auto"/>
          </w:divBdr>
        </w:div>
        <w:div w:id="1206216998">
          <w:marLeft w:val="640"/>
          <w:marRight w:val="0"/>
          <w:marTop w:val="0"/>
          <w:marBottom w:val="0"/>
          <w:divBdr>
            <w:top w:val="none" w:sz="0" w:space="0" w:color="auto"/>
            <w:left w:val="none" w:sz="0" w:space="0" w:color="auto"/>
            <w:bottom w:val="none" w:sz="0" w:space="0" w:color="auto"/>
            <w:right w:val="none" w:sz="0" w:space="0" w:color="auto"/>
          </w:divBdr>
        </w:div>
        <w:div w:id="36320743">
          <w:marLeft w:val="640"/>
          <w:marRight w:val="0"/>
          <w:marTop w:val="0"/>
          <w:marBottom w:val="0"/>
          <w:divBdr>
            <w:top w:val="none" w:sz="0" w:space="0" w:color="auto"/>
            <w:left w:val="none" w:sz="0" w:space="0" w:color="auto"/>
            <w:bottom w:val="none" w:sz="0" w:space="0" w:color="auto"/>
            <w:right w:val="none" w:sz="0" w:space="0" w:color="auto"/>
          </w:divBdr>
        </w:div>
        <w:div w:id="50619540">
          <w:marLeft w:val="640"/>
          <w:marRight w:val="0"/>
          <w:marTop w:val="0"/>
          <w:marBottom w:val="0"/>
          <w:divBdr>
            <w:top w:val="none" w:sz="0" w:space="0" w:color="auto"/>
            <w:left w:val="none" w:sz="0" w:space="0" w:color="auto"/>
            <w:bottom w:val="none" w:sz="0" w:space="0" w:color="auto"/>
            <w:right w:val="none" w:sz="0" w:space="0" w:color="auto"/>
          </w:divBdr>
        </w:div>
        <w:div w:id="833835882">
          <w:marLeft w:val="640"/>
          <w:marRight w:val="0"/>
          <w:marTop w:val="0"/>
          <w:marBottom w:val="0"/>
          <w:divBdr>
            <w:top w:val="none" w:sz="0" w:space="0" w:color="auto"/>
            <w:left w:val="none" w:sz="0" w:space="0" w:color="auto"/>
            <w:bottom w:val="none" w:sz="0" w:space="0" w:color="auto"/>
            <w:right w:val="none" w:sz="0" w:space="0" w:color="auto"/>
          </w:divBdr>
        </w:div>
        <w:div w:id="411855067">
          <w:marLeft w:val="640"/>
          <w:marRight w:val="0"/>
          <w:marTop w:val="0"/>
          <w:marBottom w:val="0"/>
          <w:divBdr>
            <w:top w:val="none" w:sz="0" w:space="0" w:color="auto"/>
            <w:left w:val="none" w:sz="0" w:space="0" w:color="auto"/>
            <w:bottom w:val="none" w:sz="0" w:space="0" w:color="auto"/>
            <w:right w:val="none" w:sz="0" w:space="0" w:color="auto"/>
          </w:divBdr>
        </w:div>
        <w:div w:id="857622491">
          <w:marLeft w:val="640"/>
          <w:marRight w:val="0"/>
          <w:marTop w:val="0"/>
          <w:marBottom w:val="0"/>
          <w:divBdr>
            <w:top w:val="none" w:sz="0" w:space="0" w:color="auto"/>
            <w:left w:val="none" w:sz="0" w:space="0" w:color="auto"/>
            <w:bottom w:val="none" w:sz="0" w:space="0" w:color="auto"/>
            <w:right w:val="none" w:sz="0" w:space="0" w:color="auto"/>
          </w:divBdr>
        </w:div>
        <w:div w:id="976490061">
          <w:marLeft w:val="640"/>
          <w:marRight w:val="0"/>
          <w:marTop w:val="0"/>
          <w:marBottom w:val="0"/>
          <w:divBdr>
            <w:top w:val="none" w:sz="0" w:space="0" w:color="auto"/>
            <w:left w:val="none" w:sz="0" w:space="0" w:color="auto"/>
            <w:bottom w:val="none" w:sz="0" w:space="0" w:color="auto"/>
            <w:right w:val="none" w:sz="0" w:space="0" w:color="auto"/>
          </w:divBdr>
        </w:div>
        <w:div w:id="456729254">
          <w:marLeft w:val="640"/>
          <w:marRight w:val="0"/>
          <w:marTop w:val="0"/>
          <w:marBottom w:val="0"/>
          <w:divBdr>
            <w:top w:val="none" w:sz="0" w:space="0" w:color="auto"/>
            <w:left w:val="none" w:sz="0" w:space="0" w:color="auto"/>
            <w:bottom w:val="none" w:sz="0" w:space="0" w:color="auto"/>
            <w:right w:val="none" w:sz="0" w:space="0" w:color="auto"/>
          </w:divBdr>
        </w:div>
        <w:div w:id="1593515760">
          <w:marLeft w:val="640"/>
          <w:marRight w:val="0"/>
          <w:marTop w:val="0"/>
          <w:marBottom w:val="0"/>
          <w:divBdr>
            <w:top w:val="none" w:sz="0" w:space="0" w:color="auto"/>
            <w:left w:val="none" w:sz="0" w:space="0" w:color="auto"/>
            <w:bottom w:val="none" w:sz="0" w:space="0" w:color="auto"/>
            <w:right w:val="none" w:sz="0" w:space="0" w:color="auto"/>
          </w:divBdr>
        </w:div>
        <w:div w:id="2000693156">
          <w:marLeft w:val="640"/>
          <w:marRight w:val="0"/>
          <w:marTop w:val="0"/>
          <w:marBottom w:val="0"/>
          <w:divBdr>
            <w:top w:val="none" w:sz="0" w:space="0" w:color="auto"/>
            <w:left w:val="none" w:sz="0" w:space="0" w:color="auto"/>
            <w:bottom w:val="none" w:sz="0" w:space="0" w:color="auto"/>
            <w:right w:val="none" w:sz="0" w:space="0" w:color="auto"/>
          </w:divBdr>
        </w:div>
        <w:div w:id="1207639251">
          <w:marLeft w:val="640"/>
          <w:marRight w:val="0"/>
          <w:marTop w:val="0"/>
          <w:marBottom w:val="0"/>
          <w:divBdr>
            <w:top w:val="none" w:sz="0" w:space="0" w:color="auto"/>
            <w:left w:val="none" w:sz="0" w:space="0" w:color="auto"/>
            <w:bottom w:val="none" w:sz="0" w:space="0" w:color="auto"/>
            <w:right w:val="none" w:sz="0" w:space="0" w:color="auto"/>
          </w:divBdr>
        </w:div>
        <w:div w:id="1711614761">
          <w:marLeft w:val="640"/>
          <w:marRight w:val="0"/>
          <w:marTop w:val="0"/>
          <w:marBottom w:val="0"/>
          <w:divBdr>
            <w:top w:val="none" w:sz="0" w:space="0" w:color="auto"/>
            <w:left w:val="none" w:sz="0" w:space="0" w:color="auto"/>
            <w:bottom w:val="none" w:sz="0" w:space="0" w:color="auto"/>
            <w:right w:val="none" w:sz="0" w:space="0" w:color="auto"/>
          </w:divBdr>
        </w:div>
        <w:div w:id="1640919076">
          <w:marLeft w:val="640"/>
          <w:marRight w:val="0"/>
          <w:marTop w:val="0"/>
          <w:marBottom w:val="0"/>
          <w:divBdr>
            <w:top w:val="none" w:sz="0" w:space="0" w:color="auto"/>
            <w:left w:val="none" w:sz="0" w:space="0" w:color="auto"/>
            <w:bottom w:val="none" w:sz="0" w:space="0" w:color="auto"/>
            <w:right w:val="none" w:sz="0" w:space="0" w:color="auto"/>
          </w:divBdr>
        </w:div>
        <w:div w:id="1198933457">
          <w:marLeft w:val="640"/>
          <w:marRight w:val="0"/>
          <w:marTop w:val="0"/>
          <w:marBottom w:val="0"/>
          <w:divBdr>
            <w:top w:val="none" w:sz="0" w:space="0" w:color="auto"/>
            <w:left w:val="none" w:sz="0" w:space="0" w:color="auto"/>
            <w:bottom w:val="none" w:sz="0" w:space="0" w:color="auto"/>
            <w:right w:val="none" w:sz="0" w:space="0" w:color="auto"/>
          </w:divBdr>
        </w:div>
        <w:div w:id="1980376863">
          <w:marLeft w:val="640"/>
          <w:marRight w:val="0"/>
          <w:marTop w:val="0"/>
          <w:marBottom w:val="0"/>
          <w:divBdr>
            <w:top w:val="none" w:sz="0" w:space="0" w:color="auto"/>
            <w:left w:val="none" w:sz="0" w:space="0" w:color="auto"/>
            <w:bottom w:val="none" w:sz="0" w:space="0" w:color="auto"/>
            <w:right w:val="none" w:sz="0" w:space="0" w:color="auto"/>
          </w:divBdr>
        </w:div>
        <w:div w:id="1556509105">
          <w:marLeft w:val="640"/>
          <w:marRight w:val="0"/>
          <w:marTop w:val="0"/>
          <w:marBottom w:val="0"/>
          <w:divBdr>
            <w:top w:val="none" w:sz="0" w:space="0" w:color="auto"/>
            <w:left w:val="none" w:sz="0" w:space="0" w:color="auto"/>
            <w:bottom w:val="none" w:sz="0" w:space="0" w:color="auto"/>
            <w:right w:val="none" w:sz="0" w:space="0" w:color="auto"/>
          </w:divBdr>
        </w:div>
        <w:div w:id="1064642241">
          <w:marLeft w:val="640"/>
          <w:marRight w:val="0"/>
          <w:marTop w:val="0"/>
          <w:marBottom w:val="0"/>
          <w:divBdr>
            <w:top w:val="none" w:sz="0" w:space="0" w:color="auto"/>
            <w:left w:val="none" w:sz="0" w:space="0" w:color="auto"/>
            <w:bottom w:val="none" w:sz="0" w:space="0" w:color="auto"/>
            <w:right w:val="none" w:sz="0" w:space="0" w:color="auto"/>
          </w:divBdr>
        </w:div>
        <w:div w:id="1609584314">
          <w:marLeft w:val="640"/>
          <w:marRight w:val="0"/>
          <w:marTop w:val="0"/>
          <w:marBottom w:val="0"/>
          <w:divBdr>
            <w:top w:val="none" w:sz="0" w:space="0" w:color="auto"/>
            <w:left w:val="none" w:sz="0" w:space="0" w:color="auto"/>
            <w:bottom w:val="none" w:sz="0" w:space="0" w:color="auto"/>
            <w:right w:val="none" w:sz="0" w:space="0" w:color="auto"/>
          </w:divBdr>
        </w:div>
        <w:div w:id="1420952469">
          <w:marLeft w:val="640"/>
          <w:marRight w:val="0"/>
          <w:marTop w:val="0"/>
          <w:marBottom w:val="0"/>
          <w:divBdr>
            <w:top w:val="none" w:sz="0" w:space="0" w:color="auto"/>
            <w:left w:val="none" w:sz="0" w:space="0" w:color="auto"/>
            <w:bottom w:val="none" w:sz="0" w:space="0" w:color="auto"/>
            <w:right w:val="none" w:sz="0" w:space="0" w:color="auto"/>
          </w:divBdr>
        </w:div>
        <w:div w:id="110904059">
          <w:marLeft w:val="640"/>
          <w:marRight w:val="0"/>
          <w:marTop w:val="0"/>
          <w:marBottom w:val="0"/>
          <w:divBdr>
            <w:top w:val="none" w:sz="0" w:space="0" w:color="auto"/>
            <w:left w:val="none" w:sz="0" w:space="0" w:color="auto"/>
            <w:bottom w:val="none" w:sz="0" w:space="0" w:color="auto"/>
            <w:right w:val="none" w:sz="0" w:space="0" w:color="auto"/>
          </w:divBdr>
        </w:div>
        <w:div w:id="1159350835">
          <w:marLeft w:val="640"/>
          <w:marRight w:val="0"/>
          <w:marTop w:val="0"/>
          <w:marBottom w:val="0"/>
          <w:divBdr>
            <w:top w:val="none" w:sz="0" w:space="0" w:color="auto"/>
            <w:left w:val="none" w:sz="0" w:space="0" w:color="auto"/>
            <w:bottom w:val="none" w:sz="0" w:space="0" w:color="auto"/>
            <w:right w:val="none" w:sz="0" w:space="0" w:color="auto"/>
          </w:divBdr>
        </w:div>
        <w:div w:id="646589921">
          <w:marLeft w:val="640"/>
          <w:marRight w:val="0"/>
          <w:marTop w:val="0"/>
          <w:marBottom w:val="0"/>
          <w:divBdr>
            <w:top w:val="none" w:sz="0" w:space="0" w:color="auto"/>
            <w:left w:val="none" w:sz="0" w:space="0" w:color="auto"/>
            <w:bottom w:val="none" w:sz="0" w:space="0" w:color="auto"/>
            <w:right w:val="none" w:sz="0" w:space="0" w:color="auto"/>
          </w:divBdr>
        </w:div>
        <w:div w:id="704216338">
          <w:marLeft w:val="640"/>
          <w:marRight w:val="0"/>
          <w:marTop w:val="0"/>
          <w:marBottom w:val="0"/>
          <w:divBdr>
            <w:top w:val="none" w:sz="0" w:space="0" w:color="auto"/>
            <w:left w:val="none" w:sz="0" w:space="0" w:color="auto"/>
            <w:bottom w:val="none" w:sz="0" w:space="0" w:color="auto"/>
            <w:right w:val="none" w:sz="0" w:space="0" w:color="auto"/>
          </w:divBdr>
        </w:div>
        <w:div w:id="1122266157">
          <w:marLeft w:val="640"/>
          <w:marRight w:val="0"/>
          <w:marTop w:val="0"/>
          <w:marBottom w:val="0"/>
          <w:divBdr>
            <w:top w:val="none" w:sz="0" w:space="0" w:color="auto"/>
            <w:left w:val="none" w:sz="0" w:space="0" w:color="auto"/>
            <w:bottom w:val="none" w:sz="0" w:space="0" w:color="auto"/>
            <w:right w:val="none" w:sz="0" w:space="0" w:color="auto"/>
          </w:divBdr>
        </w:div>
        <w:div w:id="574979057">
          <w:marLeft w:val="640"/>
          <w:marRight w:val="0"/>
          <w:marTop w:val="0"/>
          <w:marBottom w:val="0"/>
          <w:divBdr>
            <w:top w:val="none" w:sz="0" w:space="0" w:color="auto"/>
            <w:left w:val="none" w:sz="0" w:space="0" w:color="auto"/>
            <w:bottom w:val="none" w:sz="0" w:space="0" w:color="auto"/>
            <w:right w:val="none" w:sz="0" w:space="0" w:color="auto"/>
          </w:divBdr>
        </w:div>
        <w:div w:id="190605561">
          <w:marLeft w:val="640"/>
          <w:marRight w:val="0"/>
          <w:marTop w:val="0"/>
          <w:marBottom w:val="0"/>
          <w:divBdr>
            <w:top w:val="none" w:sz="0" w:space="0" w:color="auto"/>
            <w:left w:val="none" w:sz="0" w:space="0" w:color="auto"/>
            <w:bottom w:val="none" w:sz="0" w:space="0" w:color="auto"/>
            <w:right w:val="none" w:sz="0" w:space="0" w:color="auto"/>
          </w:divBdr>
        </w:div>
        <w:div w:id="1333799102">
          <w:marLeft w:val="640"/>
          <w:marRight w:val="0"/>
          <w:marTop w:val="0"/>
          <w:marBottom w:val="0"/>
          <w:divBdr>
            <w:top w:val="none" w:sz="0" w:space="0" w:color="auto"/>
            <w:left w:val="none" w:sz="0" w:space="0" w:color="auto"/>
            <w:bottom w:val="none" w:sz="0" w:space="0" w:color="auto"/>
            <w:right w:val="none" w:sz="0" w:space="0" w:color="auto"/>
          </w:divBdr>
        </w:div>
        <w:div w:id="321201082">
          <w:marLeft w:val="640"/>
          <w:marRight w:val="0"/>
          <w:marTop w:val="0"/>
          <w:marBottom w:val="0"/>
          <w:divBdr>
            <w:top w:val="none" w:sz="0" w:space="0" w:color="auto"/>
            <w:left w:val="none" w:sz="0" w:space="0" w:color="auto"/>
            <w:bottom w:val="none" w:sz="0" w:space="0" w:color="auto"/>
            <w:right w:val="none" w:sz="0" w:space="0" w:color="auto"/>
          </w:divBdr>
        </w:div>
        <w:div w:id="583338641">
          <w:marLeft w:val="640"/>
          <w:marRight w:val="0"/>
          <w:marTop w:val="0"/>
          <w:marBottom w:val="0"/>
          <w:divBdr>
            <w:top w:val="none" w:sz="0" w:space="0" w:color="auto"/>
            <w:left w:val="none" w:sz="0" w:space="0" w:color="auto"/>
            <w:bottom w:val="none" w:sz="0" w:space="0" w:color="auto"/>
            <w:right w:val="none" w:sz="0" w:space="0" w:color="auto"/>
          </w:divBdr>
        </w:div>
        <w:div w:id="1528905464">
          <w:marLeft w:val="640"/>
          <w:marRight w:val="0"/>
          <w:marTop w:val="0"/>
          <w:marBottom w:val="0"/>
          <w:divBdr>
            <w:top w:val="none" w:sz="0" w:space="0" w:color="auto"/>
            <w:left w:val="none" w:sz="0" w:space="0" w:color="auto"/>
            <w:bottom w:val="none" w:sz="0" w:space="0" w:color="auto"/>
            <w:right w:val="none" w:sz="0" w:space="0" w:color="auto"/>
          </w:divBdr>
        </w:div>
        <w:div w:id="1214387373">
          <w:marLeft w:val="640"/>
          <w:marRight w:val="0"/>
          <w:marTop w:val="0"/>
          <w:marBottom w:val="0"/>
          <w:divBdr>
            <w:top w:val="none" w:sz="0" w:space="0" w:color="auto"/>
            <w:left w:val="none" w:sz="0" w:space="0" w:color="auto"/>
            <w:bottom w:val="none" w:sz="0" w:space="0" w:color="auto"/>
            <w:right w:val="none" w:sz="0" w:space="0" w:color="auto"/>
          </w:divBdr>
        </w:div>
        <w:div w:id="1264221154">
          <w:marLeft w:val="640"/>
          <w:marRight w:val="0"/>
          <w:marTop w:val="0"/>
          <w:marBottom w:val="0"/>
          <w:divBdr>
            <w:top w:val="none" w:sz="0" w:space="0" w:color="auto"/>
            <w:left w:val="none" w:sz="0" w:space="0" w:color="auto"/>
            <w:bottom w:val="none" w:sz="0" w:space="0" w:color="auto"/>
            <w:right w:val="none" w:sz="0" w:space="0" w:color="auto"/>
          </w:divBdr>
        </w:div>
        <w:div w:id="1289050392">
          <w:marLeft w:val="640"/>
          <w:marRight w:val="0"/>
          <w:marTop w:val="0"/>
          <w:marBottom w:val="0"/>
          <w:divBdr>
            <w:top w:val="none" w:sz="0" w:space="0" w:color="auto"/>
            <w:left w:val="none" w:sz="0" w:space="0" w:color="auto"/>
            <w:bottom w:val="none" w:sz="0" w:space="0" w:color="auto"/>
            <w:right w:val="none" w:sz="0" w:space="0" w:color="auto"/>
          </w:divBdr>
        </w:div>
        <w:div w:id="264924927">
          <w:marLeft w:val="640"/>
          <w:marRight w:val="0"/>
          <w:marTop w:val="0"/>
          <w:marBottom w:val="0"/>
          <w:divBdr>
            <w:top w:val="none" w:sz="0" w:space="0" w:color="auto"/>
            <w:left w:val="none" w:sz="0" w:space="0" w:color="auto"/>
            <w:bottom w:val="none" w:sz="0" w:space="0" w:color="auto"/>
            <w:right w:val="none" w:sz="0" w:space="0" w:color="auto"/>
          </w:divBdr>
        </w:div>
        <w:div w:id="1449931161">
          <w:marLeft w:val="640"/>
          <w:marRight w:val="0"/>
          <w:marTop w:val="0"/>
          <w:marBottom w:val="0"/>
          <w:divBdr>
            <w:top w:val="none" w:sz="0" w:space="0" w:color="auto"/>
            <w:left w:val="none" w:sz="0" w:space="0" w:color="auto"/>
            <w:bottom w:val="none" w:sz="0" w:space="0" w:color="auto"/>
            <w:right w:val="none" w:sz="0" w:space="0" w:color="auto"/>
          </w:divBdr>
        </w:div>
        <w:div w:id="1227381235">
          <w:marLeft w:val="640"/>
          <w:marRight w:val="0"/>
          <w:marTop w:val="0"/>
          <w:marBottom w:val="0"/>
          <w:divBdr>
            <w:top w:val="none" w:sz="0" w:space="0" w:color="auto"/>
            <w:left w:val="none" w:sz="0" w:space="0" w:color="auto"/>
            <w:bottom w:val="none" w:sz="0" w:space="0" w:color="auto"/>
            <w:right w:val="none" w:sz="0" w:space="0" w:color="auto"/>
          </w:divBdr>
        </w:div>
        <w:div w:id="1448430162">
          <w:marLeft w:val="640"/>
          <w:marRight w:val="0"/>
          <w:marTop w:val="0"/>
          <w:marBottom w:val="0"/>
          <w:divBdr>
            <w:top w:val="none" w:sz="0" w:space="0" w:color="auto"/>
            <w:left w:val="none" w:sz="0" w:space="0" w:color="auto"/>
            <w:bottom w:val="none" w:sz="0" w:space="0" w:color="auto"/>
            <w:right w:val="none" w:sz="0" w:space="0" w:color="auto"/>
          </w:divBdr>
        </w:div>
        <w:div w:id="1075202130">
          <w:marLeft w:val="640"/>
          <w:marRight w:val="0"/>
          <w:marTop w:val="0"/>
          <w:marBottom w:val="0"/>
          <w:divBdr>
            <w:top w:val="none" w:sz="0" w:space="0" w:color="auto"/>
            <w:left w:val="none" w:sz="0" w:space="0" w:color="auto"/>
            <w:bottom w:val="none" w:sz="0" w:space="0" w:color="auto"/>
            <w:right w:val="none" w:sz="0" w:space="0" w:color="auto"/>
          </w:divBdr>
        </w:div>
        <w:div w:id="206798705">
          <w:marLeft w:val="640"/>
          <w:marRight w:val="0"/>
          <w:marTop w:val="0"/>
          <w:marBottom w:val="0"/>
          <w:divBdr>
            <w:top w:val="none" w:sz="0" w:space="0" w:color="auto"/>
            <w:left w:val="none" w:sz="0" w:space="0" w:color="auto"/>
            <w:bottom w:val="none" w:sz="0" w:space="0" w:color="auto"/>
            <w:right w:val="none" w:sz="0" w:space="0" w:color="auto"/>
          </w:divBdr>
        </w:div>
        <w:div w:id="1225603896">
          <w:marLeft w:val="640"/>
          <w:marRight w:val="0"/>
          <w:marTop w:val="0"/>
          <w:marBottom w:val="0"/>
          <w:divBdr>
            <w:top w:val="none" w:sz="0" w:space="0" w:color="auto"/>
            <w:left w:val="none" w:sz="0" w:space="0" w:color="auto"/>
            <w:bottom w:val="none" w:sz="0" w:space="0" w:color="auto"/>
            <w:right w:val="none" w:sz="0" w:space="0" w:color="auto"/>
          </w:divBdr>
        </w:div>
        <w:div w:id="2123769224">
          <w:marLeft w:val="640"/>
          <w:marRight w:val="0"/>
          <w:marTop w:val="0"/>
          <w:marBottom w:val="0"/>
          <w:divBdr>
            <w:top w:val="none" w:sz="0" w:space="0" w:color="auto"/>
            <w:left w:val="none" w:sz="0" w:space="0" w:color="auto"/>
            <w:bottom w:val="none" w:sz="0" w:space="0" w:color="auto"/>
            <w:right w:val="none" w:sz="0" w:space="0" w:color="auto"/>
          </w:divBdr>
        </w:div>
        <w:div w:id="1616592815">
          <w:marLeft w:val="640"/>
          <w:marRight w:val="0"/>
          <w:marTop w:val="0"/>
          <w:marBottom w:val="0"/>
          <w:divBdr>
            <w:top w:val="none" w:sz="0" w:space="0" w:color="auto"/>
            <w:left w:val="none" w:sz="0" w:space="0" w:color="auto"/>
            <w:bottom w:val="none" w:sz="0" w:space="0" w:color="auto"/>
            <w:right w:val="none" w:sz="0" w:space="0" w:color="auto"/>
          </w:divBdr>
        </w:div>
        <w:div w:id="1152406582">
          <w:marLeft w:val="640"/>
          <w:marRight w:val="0"/>
          <w:marTop w:val="0"/>
          <w:marBottom w:val="0"/>
          <w:divBdr>
            <w:top w:val="none" w:sz="0" w:space="0" w:color="auto"/>
            <w:left w:val="none" w:sz="0" w:space="0" w:color="auto"/>
            <w:bottom w:val="none" w:sz="0" w:space="0" w:color="auto"/>
            <w:right w:val="none" w:sz="0" w:space="0" w:color="auto"/>
          </w:divBdr>
        </w:div>
        <w:div w:id="1052192452">
          <w:marLeft w:val="640"/>
          <w:marRight w:val="0"/>
          <w:marTop w:val="0"/>
          <w:marBottom w:val="0"/>
          <w:divBdr>
            <w:top w:val="none" w:sz="0" w:space="0" w:color="auto"/>
            <w:left w:val="none" w:sz="0" w:space="0" w:color="auto"/>
            <w:bottom w:val="none" w:sz="0" w:space="0" w:color="auto"/>
            <w:right w:val="none" w:sz="0" w:space="0" w:color="auto"/>
          </w:divBdr>
        </w:div>
        <w:div w:id="1013723155">
          <w:marLeft w:val="640"/>
          <w:marRight w:val="0"/>
          <w:marTop w:val="0"/>
          <w:marBottom w:val="0"/>
          <w:divBdr>
            <w:top w:val="none" w:sz="0" w:space="0" w:color="auto"/>
            <w:left w:val="none" w:sz="0" w:space="0" w:color="auto"/>
            <w:bottom w:val="none" w:sz="0" w:space="0" w:color="auto"/>
            <w:right w:val="none" w:sz="0" w:space="0" w:color="auto"/>
          </w:divBdr>
        </w:div>
        <w:div w:id="1340431706">
          <w:marLeft w:val="640"/>
          <w:marRight w:val="0"/>
          <w:marTop w:val="0"/>
          <w:marBottom w:val="0"/>
          <w:divBdr>
            <w:top w:val="none" w:sz="0" w:space="0" w:color="auto"/>
            <w:left w:val="none" w:sz="0" w:space="0" w:color="auto"/>
            <w:bottom w:val="none" w:sz="0" w:space="0" w:color="auto"/>
            <w:right w:val="none" w:sz="0" w:space="0" w:color="auto"/>
          </w:divBdr>
        </w:div>
        <w:div w:id="1658145130">
          <w:marLeft w:val="640"/>
          <w:marRight w:val="0"/>
          <w:marTop w:val="0"/>
          <w:marBottom w:val="0"/>
          <w:divBdr>
            <w:top w:val="none" w:sz="0" w:space="0" w:color="auto"/>
            <w:left w:val="none" w:sz="0" w:space="0" w:color="auto"/>
            <w:bottom w:val="none" w:sz="0" w:space="0" w:color="auto"/>
            <w:right w:val="none" w:sz="0" w:space="0" w:color="auto"/>
          </w:divBdr>
        </w:div>
        <w:div w:id="99187433">
          <w:marLeft w:val="640"/>
          <w:marRight w:val="0"/>
          <w:marTop w:val="0"/>
          <w:marBottom w:val="0"/>
          <w:divBdr>
            <w:top w:val="none" w:sz="0" w:space="0" w:color="auto"/>
            <w:left w:val="none" w:sz="0" w:space="0" w:color="auto"/>
            <w:bottom w:val="none" w:sz="0" w:space="0" w:color="auto"/>
            <w:right w:val="none" w:sz="0" w:space="0" w:color="auto"/>
          </w:divBdr>
        </w:div>
        <w:div w:id="2005014629">
          <w:marLeft w:val="640"/>
          <w:marRight w:val="0"/>
          <w:marTop w:val="0"/>
          <w:marBottom w:val="0"/>
          <w:divBdr>
            <w:top w:val="none" w:sz="0" w:space="0" w:color="auto"/>
            <w:left w:val="none" w:sz="0" w:space="0" w:color="auto"/>
            <w:bottom w:val="none" w:sz="0" w:space="0" w:color="auto"/>
            <w:right w:val="none" w:sz="0" w:space="0" w:color="auto"/>
          </w:divBdr>
        </w:div>
        <w:div w:id="1594165900">
          <w:marLeft w:val="640"/>
          <w:marRight w:val="0"/>
          <w:marTop w:val="0"/>
          <w:marBottom w:val="0"/>
          <w:divBdr>
            <w:top w:val="none" w:sz="0" w:space="0" w:color="auto"/>
            <w:left w:val="none" w:sz="0" w:space="0" w:color="auto"/>
            <w:bottom w:val="none" w:sz="0" w:space="0" w:color="auto"/>
            <w:right w:val="none" w:sz="0" w:space="0" w:color="auto"/>
          </w:divBdr>
        </w:div>
        <w:div w:id="434374438">
          <w:marLeft w:val="640"/>
          <w:marRight w:val="0"/>
          <w:marTop w:val="0"/>
          <w:marBottom w:val="0"/>
          <w:divBdr>
            <w:top w:val="none" w:sz="0" w:space="0" w:color="auto"/>
            <w:left w:val="none" w:sz="0" w:space="0" w:color="auto"/>
            <w:bottom w:val="none" w:sz="0" w:space="0" w:color="auto"/>
            <w:right w:val="none" w:sz="0" w:space="0" w:color="auto"/>
          </w:divBdr>
        </w:div>
        <w:div w:id="923806753">
          <w:marLeft w:val="640"/>
          <w:marRight w:val="0"/>
          <w:marTop w:val="0"/>
          <w:marBottom w:val="0"/>
          <w:divBdr>
            <w:top w:val="none" w:sz="0" w:space="0" w:color="auto"/>
            <w:left w:val="none" w:sz="0" w:space="0" w:color="auto"/>
            <w:bottom w:val="none" w:sz="0" w:space="0" w:color="auto"/>
            <w:right w:val="none" w:sz="0" w:space="0" w:color="auto"/>
          </w:divBdr>
        </w:div>
        <w:div w:id="262344728">
          <w:marLeft w:val="640"/>
          <w:marRight w:val="0"/>
          <w:marTop w:val="0"/>
          <w:marBottom w:val="0"/>
          <w:divBdr>
            <w:top w:val="none" w:sz="0" w:space="0" w:color="auto"/>
            <w:left w:val="none" w:sz="0" w:space="0" w:color="auto"/>
            <w:bottom w:val="none" w:sz="0" w:space="0" w:color="auto"/>
            <w:right w:val="none" w:sz="0" w:space="0" w:color="auto"/>
          </w:divBdr>
        </w:div>
        <w:div w:id="1708527799">
          <w:marLeft w:val="640"/>
          <w:marRight w:val="0"/>
          <w:marTop w:val="0"/>
          <w:marBottom w:val="0"/>
          <w:divBdr>
            <w:top w:val="none" w:sz="0" w:space="0" w:color="auto"/>
            <w:left w:val="none" w:sz="0" w:space="0" w:color="auto"/>
            <w:bottom w:val="none" w:sz="0" w:space="0" w:color="auto"/>
            <w:right w:val="none" w:sz="0" w:space="0" w:color="auto"/>
          </w:divBdr>
        </w:div>
        <w:div w:id="1548224716">
          <w:marLeft w:val="640"/>
          <w:marRight w:val="0"/>
          <w:marTop w:val="0"/>
          <w:marBottom w:val="0"/>
          <w:divBdr>
            <w:top w:val="none" w:sz="0" w:space="0" w:color="auto"/>
            <w:left w:val="none" w:sz="0" w:space="0" w:color="auto"/>
            <w:bottom w:val="none" w:sz="0" w:space="0" w:color="auto"/>
            <w:right w:val="none" w:sz="0" w:space="0" w:color="auto"/>
          </w:divBdr>
        </w:div>
        <w:div w:id="66388207">
          <w:marLeft w:val="640"/>
          <w:marRight w:val="0"/>
          <w:marTop w:val="0"/>
          <w:marBottom w:val="0"/>
          <w:divBdr>
            <w:top w:val="none" w:sz="0" w:space="0" w:color="auto"/>
            <w:left w:val="none" w:sz="0" w:space="0" w:color="auto"/>
            <w:bottom w:val="none" w:sz="0" w:space="0" w:color="auto"/>
            <w:right w:val="none" w:sz="0" w:space="0" w:color="auto"/>
          </w:divBdr>
        </w:div>
        <w:div w:id="1695155867">
          <w:marLeft w:val="640"/>
          <w:marRight w:val="0"/>
          <w:marTop w:val="0"/>
          <w:marBottom w:val="0"/>
          <w:divBdr>
            <w:top w:val="none" w:sz="0" w:space="0" w:color="auto"/>
            <w:left w:val="none" w:sz="0" w:space="0" w:color="auto"/>
            <w:bottom w:val="none" w:sz="0" w:space="0" w:color="auto"/>
            <w:right w:val="none" w:sz="0" w:space="0" w:color="auto"/>
          </w:divBdr>
        </w:div>
        <w:div w:id="1691374568">
          <w:marLeft w:val="640"/>
          <w:marRight w:val="0"/>
          <w:marTop w:val="0"/>
          <w:marBottom w:val="0"/>
          <w:divBdr>
            <w:top w:val="none" w:sz="0" w:space="0" w:color="auto"/>
            <w:left w:val="none" w:sz="0" w:space="0" w:color="auto"/>
            <w:bottom w:val="none" w:sz="0" w:space="0" w:color="auto"/>
            <w:right w:val="none" w:sz="0" w:space="0" w:color="auto"/>
          </w:divBdr>
        </w:div>
        <w:div w:id="2056465609">
          <w:marLeft w:val="640"/>
          <w:marRight w:val="0"/>
          <w:marTop w:val="0"/>
          <w:marBottom w:val="0"/>
          <w:divBdr>
            <w:top w:val="none" w:sz="0" w:space="0" w:color="auto"/>
            <w:left w:val="none" w:sz="0" w:space="0" w:color="auto"/>
            <w:bottom w:val="none" w:sz="0" w:space="0" w:color="auto"/>
            <w:right w:val="none" w:sz="0" w:space="0" w:color="auto"/>
          </w:divBdr>
        </w:div>
        <w:div w:id="552742488">
          <w:marLeft w:val="640"/>
          <w:marRight w:val="0"/>
          <w:marTop w:val="0"/>
          <w:marBottom w:val="0"/>
          <w:divBdr>
            <w:top w:val="none" w:sz="0" w:space="0" w:color="auto"/>
            <w:left w:val="none" w:sz="0" w:space="0" w:color="auto"/>
            <w:bottom w:val="none" w:sz="0" w:space="0" w:color="auto"/>
            <w:right w:val="none" w:sz="0" w:space="0" w:color="auto"/>
          </w:divBdr>
        </w:div>
        <w:div w:id="1787386523">
          <w:marLeft w:val="640"/>
          <w:marRight w:val="0"/>
          <w:marTop w:val="0"/>
          <w:marBottom w:val="0"/>
          <w:divBdr>
            <w:top w:val="none" w:sz="0" w:space="0" w:color="auto"/>
            <w:left w:val="none" w:sz="0" w:space="0" w:color="auto"/>
            <w:bottom w:val="none" w:sz="0" w:space="0" w:color="auto"/>
            <w:right w:val="none" w:sz="0" w:space="0" w:color="auto"/>
          </w:divBdr>
        </w:div>
        <w:div w:id="459419892">
          <w:marLeft w:val="640"/>
          <w:marRight w:val="0"/>
          <w:marTop w:val="0"/>
          <w:marBottom w:val="0"/>
          <w:divBdr>
            <w:top w:val="none" w:sz="0" w:space="0" w:color="auto"/>
            <w:left w:val="none" w:sz="0" w:space="0" w:color="auto"/>
            <w:bottom w:val="none" w:sz="0" w:space="0" w:color="auto"/>
            <w:right w:val="none" w:sz="0" w:space="0" w:color="auto"/>
          </w:divBdr>
        </w:div>
        <w:div w:id="697858341">
          <w:marLeft w:val="640"/>
          <w:marRight w:val="0"/>
          <w:marTop w:val="0"/>
          <w:marBottom w:val="0"/>
          <w:divBdr>
            <w:top w:val="none" w:sz="0" w:space="0" w:color="auto"/>
            <w:left w:val="none" w:sz="0" w:space="0" w:color="auto"/>
            <w:bottom w:val="none" w:sz="0" w:space="0" w:color="auto"/>
            <w:right w:val="none" w:sz="0" w:space="0" w:color="auto"/>
          </w:divBdr>
        </w:div>
        <w:div w:id="816187697">
          <w:marLeft w:val="640"/>
          <w:marRight w:val="0"/>
          <w:marTop w:val="0"/>
          <w:marBottom w:val="0"/>
          <w:divBdr>
            <w:top w:val="none" w:sz="0" w:space="0" w:color="auto"/>
            <w:left w:val="none" w:sz="0" w:space="0" w:color="auto"/>
            <w:bottom w:val="none" w:sz="0" w:space="0" w:color="auto"/>
            <w:right w:val="none" w:sz="0" w:space="0" w:color="auto"/>
          </w:divBdr>
        </w:div>
        <w:div w:id="956446219">
          <w:marLeft w:val="640"/>
          <w:marRight w:val="0"/>
          <w:marTop w:val="0"/>
          <w:marBottom w:val="0"/>
          <w:divBdr>
            <w:top w:val="none" w:sz="0" w:space="0" w:color="auto"/>
            <w:left w:val="none" w:sz="0" w:space="0" w:color="auto"/>
            <w:bottom w:val="none" w:sz="0" w:space="0" w:color="auto"/>
            <w:right w:val="none" w:sz="0" w:space="0" w:color="auto"/>
          </w:divBdr>
        </w:div>
        <w:div w:id="1244872900">
          <w:marLeft w:val="640"/>
          <w:marRight w:val="0"/>
          <w:marTop w:val="0"/>
          <w:marBottom w:val="0"/>
          <w:divBdr>
            <w:top w:val="none" w:sz="0" w:space="0" w:color="auto"/>
            <w:left w:val="none" w:sz="0" w:space="0" w:color="auto"/>
            <w:bottom w:val="none" w:sz="0" w:space="0" w:color="auto"/>
            <w:right w:val="none" w:sz="0" w:space="0" w:color="auto"/>
          </w:divBdr>
        </w:div>
        <w:div w:id="1280840996">
          <w:marLeft w:val="640"/>
          <w:marRight w:val="0"/>
          <w:marTop w:val="0"/>
          <w:marBottom w:val="0"/>
          <w:divBdr>
            <w:top w:val="none" w:sz="0" w:space="0" w:color="auto"/>
            <w:left w:val="none" w:sz="0" w:space="0" w:color="auto"/>
            <w:bottom w:val="none" w:sz="0" w:space="0" w:color="auto"/>
            <w:right w:val="none" w:sz="0" w:space="0" w:color="auto"/>
          </w:divBdr>
        </w:div>
        <w:div w:id="445465754">
          <w:marLeft w:val="640"/>
          <w:marRight w:val="0"/>
          <w:marTop w:val="0"/>
          <w:marBottom w:val="0"/>
          <w:divBdr>
            <w:top w:val="none" w:sz="0" w:space="0" w:color="auto"/>
            <w:left w:val="none" w:sz="0" w:space="0" w:color="auto"/>
            <w:bottom w:val="none" w:sz="0" w:space="0" w:color="auto"/>
            <w:right w:val="none" w:sz="0" w:space="0" w:color="auto"/>
          </w:divBdr>
        </w:div>
        <w:div w:id="1859929098">
          <w:marLeft w:val="640"/>
          <w:marRight w:val="0"/>
          <w:marTop w:val="0"/>
          <w:marBottom w:val="0"/>
          <w:divBdr>
            <w:top w:val="none" w:sz="0" w:space="0" w:color="auto"/>
            <w:left w:val="none" w:sz="0" w:space="0" w:color="auto"/>
            <w:bottom w:val="none" w:sz="0" w:space="0" w:color="auto"/>
            <w:right w:val="none" w:sz="0" w:space="0" w:color="auto"/>
          </w:divBdr>
        </w:div>
        <w:div w:id="1308896205">
          <w:marLeft w:val="640"/>
          <w:marRight w:val="0"/>
          <w:marTop w:val="0"/>
          <w:marBottom w:val="0"/>
          <w:divBdr>
            <w:top w:val="none" w:sz="0" w:space="0" w:color="auto"/>
            <w:left w:val="none" w:sz="0" w:space="0" w:color="auto"/>
            <w:bottom w:val="none" w:sz="0" w:space="0" w:color="auto"/>
            <w:right w:val="none" w:sz="0" w:space="0" w:color="auto"/>
          </w:divBdr>
        </w:div>
        <w:div w:id="1766850800">
          <w:marLeft w:val="640"/>
          <w:marRight w:val="0"/>
          <w:marTop w:val="0"/>
          <w:marBottom w:val="0"/>
          <w:divBdr>
            <w:top w:val="none" w:sz="0" w:space="0" w:color="auto"/>
            <w:left w:val="none" w:sz="0" w:space="0" w:color="auto"/>
            <w:bottom w:val="none" w:sz="0" w:space="0" w:color="auto"/>
            <w:right w:val="none" w:sz="0" w:space="0" w:color="auto"/>
          </w:divBdr>
        </w:div>
        <w:div w:id="118304071">
          <w:marLeft w:val="640"/>
          <w:marRight w:val="0"/>
          <w:marTop w:val="0"/>
          <w:marBottom w:val="0"/>
          <w:divBdr>
            <w:top w:val="none" w:sz="0" w:space="0" w:color="auto"/>
            <w:left w:val="none" w:sz="0" w:space="0" w:color="auto"/>
            <w:bottom w:val="none" w:sz="0" w:space="0" w:color="auto"/>
            <w:right w:val="none" w:sz="0" w:space="0" w:color="auto"/>
          </w:divBdr>
        </w:div>
        <w:div w:id="362021424">
          <w:marLeft w:val="640"/>
          <w:marRight w:val="0"/>
          <w:marTop w:val="0"/>
          <w:marBottom w:val="0"/>
          <w:divBdr>
            <w:top w:val="none" w:sz="0" w:space="0" w:color="auto"/>
            <w:left w:val="none" w:sz="0" w:space="0" w:color="auto"/>
            <w:bottom w:val="none" w:sz="0" w:space="0" w:color="auto"/>
            <w:right w:val="none" w:sz="0" w:space="0" w:color="auto"/>
          </w:divBdr>
        </w:div>
        <w:div w:id="2035032095">
          <w:marLeft w:val="640"/>
          <w:marRight w:val="0"/>
          <w:marTop w:val="0"/>
          <w:marBottom w:val="0"/>
          <w:divBdr>
            <w:top w:val="none" w:sz="0" w:space="0" w:color="auto"/>
            <w:left w:val="none" w:sz="0" w:space="0" w:color="auto"/>
            <w:bottom w:val="none" w:sz="0" w:space="0" w:color="auto"/>
            <w:right w:val="none" w:sz="0" w:space="0" w:color="auto"/>
          </w:divBdr>
        </w:div>
        <w:div w:id="1365667619">
          <w:marLeft w:val="640"/>
          <w:marRight w:val="0"/>
          <w:marTop w:val="0"/>
          <w:marBottom w:val="0"/>
          <w:divBdr>
            <w:top w:val="none" w:sz="0" w:space="0" w:color="auto"/>
            <w:left w:val="none" w:sz="0" w:space="0" w:color="auto"/>
            <w:bottom w:val="none" w:sz="0" w:space="0" w:color="auto"/>
            <w:right w:val="none" w:sz="0" w:space="0" w:color="auto"/>
          </w:divBdr>
        </w:div>
        <w:div w:id="1144739244">
          <w:marLeft w:val="640"/>
          <w:marRight w:val="0"/>
          <w:marTop w:val="0"/>
          <w:marBottom w:val="0"/>
          <w:divBdr>
            <w:top w:val="none" w:sz="0" w:space="0" w:color="auto"/>
            <w:left w:val="none" w:sz="0" w:space="0" w:color="auto"/>
            <w:bottom w:val="none" w:sz="0" w:space="0" w:color="auto"/>
            <w:right w:val="none" w:sz="0" w:space="0" w:color="auto"/>
          </w:divBdr>
        </w:div>
        <w:div w:id="914360664">
          <w:marLeft w:val="640"/>
          <w:marRight w:val="0"/>
          <w:marTop w:val="0"/>
          <w:marBottom w:val="0"/>
          <w:divBdr>
            <w:top w:val="none" w:sz="0" w:space="0" w:color="auto"/>
            <w:left w:val="none" w:sz="0" w:space="0" w:color="auto"/>
            <w:bottom w:val="none" w:sz="0" w:space="0" w:color="auto"/>
            <w:right w:val="none" w:sz="0" w:space="0" w:color="auto"/>
          </w:divBdr>
        </w:div>
        <w:div w:id="1939369613">
          <w:marLeft w:val="640"/>
          <w:marRight w:val="0"/>
          <w:marTop w:val="0"/>
          <w:marBottom w:val="0"/>
          <w:divBdr>
            <w:top w:val="none" w:sz="0" w:space="0" w:color="auto"/>
            <w:left w:val="none" w:sz="0" w:space="0" w:color="auto"/>
            <w:bottom w:val="none" w:sz="0" w:space="0" w:color="auto"/>
            <w:right w:val="none" w:sz="0" w:space="0" w:color="auto"/>
          </w:divBdr>
        </w:div>
        <w:div w:id="1286622599">
          <w:marLeft w:val="640"/>
          <w:marRight w:val="0"/>
          <w:marTop w:val="0"/>
          <w:marBottom w:val="0"/>
          <w:divBdr>
            <w:top w:val="none" w:sz="0" w:space="0" w:color="auto"/>
            <w:left w:val="none" w:sz="0" w:space="0" w:color="auto"/>
            <w:bottom w:val="none" w:sz="0" w:space="0" w:color="auto"/>
            <w:right w:val="none" w:sz="0" w:space="0" w:color="auto"/>
          </w:divBdr>
        </w:div>
        <w:div w:id="1152600018">
          <w:marLeft w:val="640"/>
          <w:marRight w:val="0"/>
          <w:marTop w:val="0"/>
          <w:marBottom w:val="0"/>
          <w:divBdr>
            <w:top w:val="none" w:sz="0" w:space="0" w:color="auto"/>
            <w:left w:val="none" w:sz="0" w:space="0" w:color="auto"/>
            <w:bottom w:val="none" w:sz="0" w:space="0" w:color="auto"/>
            <w:right w:val="none" w:sz="0" w:space="0" w:color="auto"/>
          </w:divBdr>
        </w:div>
        <w:div w:id="1366062516">
          <w:marLeft w:val="640"/>
          <w:marRight w:val="0"/>
          <w:marTop w:val="0"/>
          <w:marBottom w:val="0"/>
          <w:divBdr>
            <w:top w:val="none" w:sz="0" w:space="0" w:color="auto"/>
            <w:left w:val="none" w:sz="0" w:space="0" w:color="auto"/>
            <w:bottom w:val="none" w:sz="0" w:space="0" w:color="auto"/>
            <w:right w:val="none" w:sz="0" w:space="0" w:color="auto"/>
          </w:divBdr>
        </w:div>
        <w:div w:id="550271525">
          <w:marLeft w:val="640"/>
          <w:marRight w:val="0"/>
          <w:marTop w:val="0"/>
          <w:marBottom w:val="0"/>
          <w:divBdr>
            <w:top w:val="none" w:sz="0" w:space="0" w:color="auto"/>
            <w:left w:val="none" w:sz="0" w:space="0" w:color="auto"/>
            <w:bottom w:val="none" w:sz="0" w:space="0" w:color="auto"/>
            <w:right w:val="none" w:sz="0" w:space="0" w:color="auto"/>
          </w:divBdr>
        </w:div>
        <w:div w:id="192963388">
          <w:marLeft w:val="640"/>
          <w:marRight w:val="0"/>
          <w:marTop w:val="0"/>
          <w:marBottom w:val="0"/>
          <w:divBdr>
            <w:top w:val="none" w:sz="0" w:space="0" w:color="auto"/>
            <w:left w:val="none" w:sz="0" w:space="0" w:color="auto"/>
            <w:bottom w:val="none" w:sz="0" w:space="0" w:color="auto"/>
            <w:right w:val="none" w:sz="0" w:space="0" w:color="auto"/>
          </w:divBdr>
        </w:div>
        <w:div w:id="165945897">
          <w:marLeft w:val="640"/>
          <w:marRight w:val="0"/>
          <w:marTop w:val="0"/>
          <w:marBottom w:val="0"/>
          <w:divBdr>
            <w:top w:val="none" w:sz="0" w:space="0" w:color="auto"/>
            <w:left w:val="none" w:sz="0" w:space="0" w:color="auto"/>
            <w:bottom w:val="none" w:sz="0" w:space="0" w:color="auto"/>
            <w:right w:val="none" w:sz="0" w:space="0" w:color="auto"/>
          </w:divBdr>
        </w:div>
        <w:div w:id="6254045">
          <w:marLeft w:val="640"/>
          <w:marRight w:val="0"/>
          <w:marTop w:val="0"/>
          <w:marBottom w:val="0"/>
          <w:divBdr>
            <w:top w:val="none" w:sz="0" w:space="0" w:color="auto"/>
            <w:left w:val="none" w:sz="0" w:space="0" w:color="auto"/>
            <w:bottom w:val="none" w:sz="0" w:space="0" w:color="auto"/>
            <w:right w:val="none" w:sz="0" w:space="0" w:color="auto"/>
          </w:divBdr>
        </w:div>
        <w:div w:id="1430157177">
          <w:marLeft w:val="640"/>
          <w:marRight w:val="0"/>
          <w:marTop w:val="0"/>
          <w:marBottom w:val="0"/>
          <w:divBdr>
            <w:top w:val="none" w:sz="0" w:space="0" w:color="auto"/>
            <w:left w:val="none" w:sz="0" w:space="0" w:color="auto"/>
            <w:bottom w:val="none" w:sz="0" w:space="0" w:color="auto"/>
            <w:right w:val="none" w:sz="0" w:space="0" w:color="auto"/>
          </w:divBdr>
        </w:div>
        <w:div w:id="157776011">
          <w:marLeft w:val="640"/>
          <w:marRight w:val="0"/>
          <w:marTop w:val="0"/>
          <w:marBottom w:val="0"/>
          <w:divBdr>
            <w:top w:val="none" w:sz="0" w:space="0" w:color="auto"/>
            <w:left w:val="none" w:sz="0" w:space="0" w:color="auto"/>
            <w:bottom w:val="none" w:sz="0" w:space="0" w:color="auto"/>
            <w:right w:val="none" w:sz="0" w:space="0" w:color="auto"/>
          </w:divBdr>
        </w:div>
        <w:div w:id="630357312">
          <w:marLeft w:val="640"/>
          <w:marRight w:val="0"/>
          <w:marTop w:val="0"/>
          <w:marBottom w:val="0"/>
          <w:divBdr>
            <w:top w:val="none" w:sz="0" w:space="0" w:color="auto"/>
            <w:left w:val="none" w:sz="0" w:space="0" w:color="auto"/>
            <w:bottom w:val="none" w:sz="0" w:space="0" w:color="auto"/>
            <w:right w:val="none" w:sz="0" w:space="0" w:color="auto"/>
          </w:divBdr>
        </w:div>
        <w:div w:id="787087432">
          <w:marLeft w:val="640"/>
          <w:marRight w:val="0"/>
          <w:marTop w:val="0"/>
          <w:marBottom w:val="0"/>
          <w:divBdr>
            <w:top w:val="none" w:sz="0" w:space="0" w:color="auto"/>
            <w:left w:val="none" w:sz="0" w:space="0" w:color="auto"/>
            <w:bottom w:val="none" w:sz="0" w:space="0" w:color="auto"/>
            <w:right w:val="none" w:sz="0" w:space="0" w:color="auto"/>
          </w:divBdr>
        </w:div>
        <w:div w:id="1154953005">
          <w:marLeft w:val="640"/>
          <w:marRight w:val="0"/>
          <w:marTop w:val="0"/>
          <w:marBottom w:val="0"/>
          <w:divBdr>
            <w:top w:val="none" w:sz="0" w:space="0" w:color="auto"/>
            <w:left w:val="none" w:sz="0" w:space="0" w:color="auto"/>
            <w:bottom w:val="none" w:sz="0" w:space="0" w:color="auto"/>
            <w:right w:val="none" w:sz="0" w:space="0" w:color="auto"/>
          </w:divBdr>
        </w:div>
        <w:div w:id="1840775648">
          <w:marLeft w:val="640"/>
          <w:marRight w:val="0"/>
          <w:marTop w:val="0"/>
          <w:marBottom w:val="0"/>
          <w:divBdr>
            <w:top w:val="none" w:sz="0" w:space="0" w:color="auto"/>
            <w:left w:val="none" w:sz="0" w:space="0" w:color="auto"/>
            <w:bottom w:val="none" w:sz="0" w:space="0" w:color="auto"/>
            <w:right w:val="none" w:sz="0" w:space="0" w:color="auto"/>
          </w:divBdr>
        </w:div>
        <w:div w:id="124586749">
          <w:marLeft w:val="640"/>
          <w:marRight w:val="0"/>
          <w:marTop w:val="0"/>
          <w:marBottom w:val="0"/>
          <w:divBdr>
            <w:top w:val="none" w:sz="0" w:space="0" w:color="auto"/>
            <w:left w:val="none" w:sz="0" w:space="0" w:color="auto"/>
            <w:bottom w:val="none" w:sz="0" w:space="0" w:color="auto"/>
            <w:right w:val="none" w:sz="0" w:space="0" w:color="auto"/>
          </w:divBdr>
        </w:div>
        <w:div w:id="417024550">
          <w:marLeft w:val="640"/>
          <w:marRight w:val="0"/>
          <w:marTop w:val="0"/>
          <w:marBottom w:val="0"/>
          <w:divBdr>
            <w:top w:val="none" w:sz="0" w:space="0" w:color="auto"/>
            <w:left w:val="none" w:sz="0" w:space="0" w:color="auto"/>
            <w:bottom w:val="none" w:sz="0" w:space="0" w:color="auto"/>
            <w:right w:val="none" w:sz="0" w:space="0" w:color="auto"/>
          </w:divBdr>
        </w:div>
        <w:div w:id="1113402146">
          <w:marLeft w:val="640"/>
          <w:marRight w:val="0"/>
          <w:marTop w:val="0"/>
          <w:marBottom w:val="0"/>
          <w:divBdr>
            <w:top w:val="none" w:sz="0" w:space="0" w:color="auto"/>
            <w:left w:val="none" w:sz="0" w:space="0" w:color="auto"/>
            <w:bottom w:val="none" w:sz="0" w:space="0" w:color="auto"/>
            <w:right w:val="none" w:sz="0" w:space="0" w:color="auto"/>
          </w:divBdr>
        </w:div>
        <w:div w:id="1073116342">
          <w:marLeft w:val="640"/>
          <w:marRight w:val="0"/>
          <w:marTop w:val="0"/>
          <w:marBottom w:val="0"/>
          <w:divBdr>
            <w:top w:val="none" w:sz="0" w:space="0" w:color="auto"/>
            <w:left w:val="none" w:sz="0" w:space="0" w:color="auto"/>
            <w:bottom w:val="none" w:sz="0" w:space="0" w:color="auto"/>
            <w:right w:val="none" w:sz="0" w:space="0" w:color="auto"/>
          </w:divBdr>
        </w:div>
        <w:div w:id="665090788">
          <w:marLeft w:val="640"/>
          <w:marRight w:val="0"/>
          <w:marTop w:val="0"/>
          <w:marBottom w:val="0"/>
          <w:divBdr>
            <w:top w:val="none" w:sz="0" w:space="0" w:color="auto"/>
            <w:left w:val="none" w:sz="0" w:space="0" w:color="auto"/>
            <w:bottom w:val="none" w:sz="0" w:space="0" w:color="auto"/>
            <w:right w:val="none" w:sz="0" w:space="0" w:color="auto"/>
          </w:divBdr>
        </w:div>
        <w:div w:id="1017081591">
          <w:marLeft w:val="640"/>
          <w:marRight w:val="0"/>
          <w:marTop w:val="0"/>
          <w:marBottom w:val="0"/>
          <w:divBdr>
            <w:top w:val="none" w:sz="0" w:space="0" w:color="auto"/>
            <w:left w:val="none" w:sz="0" w:space="0" w:color="auto"/>
            <w:bottom w:val="none" w:sz="0" w:space="0" w:color="auto"/>
            <w:right w:val="none" w:sz="0" w:space="0" w:color="auto"/>
          </w:divBdr>
        </w:div>
        <w:div w:id="625046572">
          <w:marLeft w:val="640"/>
          <w:marRight w:val="0"/>
          <w:marTop w:val="0"/>
          <w:marBottom w:val="0"/>
          <w:divBdr>
            <w:top w:val="none" w:sz="0" w:space="0" w:color="auto"/>
            <w:left w:val="none" w:sz="0" w:space="0" w:color="auto"/>
            <w:bottom w:val="none" w:sz="0" w:space="0" w:color="auto"/>
            <w:right w:val="none" w:sz="0" w:space="0" w:color="auto"/>
          </w:divBdr>
        </w:div>
        <w:div w:id="1977371494">
          <w:marLeft w:val="640"/>
          <w:marRight w:val="0"/>
          <w:marTop w:val="0"/>
          <w:marBottom w:val="0"/>
          <w:divBdr>
            <w:top w:val="none" w:sz="0" w:space="0" w:color="auto"/>
            <w:left w:val="none" w:sz="0" w:space="0" w:color="auto"/>
            <w:bottom w:val="none" w:sz="0" w:space="0" w:color="auto"/>
            <w:right w:val="none" w:sz="0" w:space="0" w:color="auto"/>
          </w:divBdr>
        </w:div>
        <w:div w:id="856502649">
          <w:marLeft w:val="640"/>
          <w:marRight w:val="0"/>
          <w:marTop w:val="0"/>
          <w:marBottom w:val="0"/>
          <w:divBdr>
            <w:top w:val="none" w:sz="0" w:space="0" w:color="auto"/>
            <w:left w:val="none" w:sz="0" w:space="0" w:color="auto"/>
            <w:bottom w:val="none" w:sz="0" w:space="0" w:color="auto"/>
            <w:right w:val="none" w:sz="0" w:space="0" w:color="auto"/>
          </w:divBdr>
        </w:div>
        <w:div w:id="366637932">
          <w:marLeft w:val="640"/>
          <w:marRight w:val="0"/>
          <w:marTop w:val="0"/>
          <w:marBottom w:val="0"/>
          <w:divBdr>
            <w:top w:val="none" w:sz="0" w:space="0" w:color="auto"/>
            <w:left w:val="none" w:sz="0" w:space="0" w:color="auto"/>
            <w:bottom w:val="none" w:sz="0" w:space="0" w:color="auto"/>
            <w:right w:val="none" w:sz="0" w:space="0" w:color="auto"/>
          </w:divBdr>
        </w:div>
        <w:div w:id="352609424">
          <w:marLeft w:val="640"/>
          <w:marRight w:val="0"/>
          <w:marTop w:val="0"/>
          <w:marBottom w:val="0"/>
          <w:divBdr>
            <w:top w:val="none" w:sz="0" w:space="0" w:color="auto"/>
            <w:left w:val="none" w:sz="0" w:space="0" w:color="auto"/>
            <w:bottom w:val="none" w:sz="0" w:space="0" w:color="auto"/>
            <w:right w:val="none" w:sz="0" w:space="0" w:color="auto"/>
          </w:divBdr>
        </w:div>
        <w:div w:id="449083802">
          <w:marLeft w:val="640"/>
          <w:marRight w:val="0"/>
          <w:marTop w:val="0"/>
          <w:marBottom w:val="0"/>
          <w:divBdr>
            <w:top w:val="none" w:sz="0" w:space="0" w:color="auto"/>
            <w:left w:val="none" w:sz="0" w:space="0" w:color="auto"/>
            <w:bottom w:val="none" w:sz="0" w:space="0" w:color="auto"/>
            <w:right w:val="none" w:sz="0" w:space="0" w:color="auto"/>
          </w:divBdr>
        </w:div>
        <w:div w:id="1053965571">
          <w:marLeft w:val="640"/>
          <w:marRight w:val="0"/>
          <w:marTop w:val="0"/>
          <w:marBottom w:val="0"/>
          <w:divBdr>
            <w:top w:val="none" w:sz="0" w:space="0" w:color="auto"/>
            <w:left w:val="none" w:sz="0" w:space="0" w:color="auto"/>
            <w:bottom w:val="none" w:sz="0" w:space="0" w:color="auto"/>
            <w:right w:val="none" w:sz="0" w:space="0" w:color="auto"/>
          </w:divBdr>
        </w:div>
        <w:div w:id="1229535029">
          <w:marLeft w:val="640"/>
          <w:marRight w:val="0"/>
          <w:marTop w:val="0"/>
          <w:marBottom w:val="0"/>
          <w:divBdr>
            <w:top w:val="none" w:sz="0" w:space="0" w:color="auto"/>
            <w:left w:val="none" w:sz="0" w:space="0" w:color="auto"/>
            <w:bottom w:val="none" w:sz="0" w:space="0" w:color="auto"/>
            <w:right w:val="none" w:sz="0" w:space="0" w:color="auto"/>
          </w:divBdr>
        </w:div>
        <w:div w:id="284242730">
          <w:marLeft w:val="640"/>
          <w:marRight w:val="0"/>
          <w:marTop w:val="0"/>
          <w:marBottom w:val="0"/>
          <w:divBdr>
            <w:top w:val="none" w:sz="0" w:space="0" w:color="auto"/>
            <w:left w:val="none" w:sz="0" w:space="0" w:color="auto"/>
            <w:bottom w:val="none" w:sz="0" w:space="0" w:color="auto"/>
            <w:right w:val="none" w:sz="0" w:space="0" w:color="auto"/>
          </w:divBdr>
        </w:div>
        <w:div w:id="1861164812">
          <w:marLeft w:val="640"/>
          <w:marRight w:val="0"/>
          <w:marTop w:val="0"/>
          <w:marBottom w:val="0"/>
          <w:divBdr>
            <w:top w:val="none" w:sz="0" w:space="0" w:color="auto"/>
            <w:left w:val="none" w:sz="0" w:space="0" w:color="auto"/>
            <w:bottom w:val="none" w:sz="0" w:space="0" w:color="auto"/>
            <w:right w:val="none" w:sz="0" w:space="0" w:color="auto"/>
          </w:divBdr>
        </w:div>
        <w:div w:id="693266817">
          <w:marLeft w:val="640"/>
          <w:marRight w:val="0"/>
          <w:marTop w:val="0"/>
          <w:marBottom w:val="0"/>
          <w:divBdr>
            <w:top w:val="none" w:sz="0" w:space="0" w:color="auto"/>
            <w:left w:val="none" w:sz="0" w:space="0" w:color="auto"/>
            <w:bottom w:val="none" w:sz="0" w:space="0" w:color="auto"/>
            <w:right w:val="none" w:sz="0" w:space="0" w:color="auto"/>
          </w:divBdr>
        </w:div>
        <w:div w:id="666791417">
          <w:marLeft w:val="640"/>
          <w:marRight w:val="0"/>
          <w:marTop w:val="0"/>
          <w:marBottom w:val="0"/>
          <w:divBdr>
            <w:top w:val="none" w:sz="0" w:space="0" w:color="auto"/>
            <w:left w:val="none" w:sz="0" w:space="0" w:color="auto"/>
            <w:bottom w:val="none" w:sz="0" w:space="0" w:color="auto"/>
            <w:right w:val="none" w:sz="0" w:space="0" w:color="auto"/>
          </w:divBdr>
        </w:div>
        <w:div w:id="529539378">
          <w:marLeft w:val="640"/>
          <w:marRight w:val="0"/>
          <w:marTop w:val="0"/>
          <w:marBottom w:val="0"/>
          <w:divBdr>
            <w:top w:val="none" w:sz="0" w:space="0" w:color="auto"/>
            <w:left w:val="none" w:sz="0" w:space="0" w:color="auto"/>
            <w:bottom w:val="none" w:sz="0" w:space="0" w:color="auto"/>
            <w:right w:val="none" w:sz="0" w:space="0" w:color="auto"/>
          </w:divBdr>
        </w:div>
        <w:div w:id="59058639">
          <w:marLeft w:val="640"/>
          <w:marRight w:val="0"/>
          <w:marTop w:val="0"/>
          <w:marBottom w:val="0"/>
          <w:divBdr>
            <w:top w:val="none" w:sz="0" w:space="0" w:color="auto"/>
            <w:left w:val="none" w:sz="0" w:space="0" w:color="auto"/>
            <w:bottom w:val="none" w:sz="0" w:space="0" w:color="auto"/>
            <w:right w:val="none" w:sz="0" w:space="0" w:color="auto"/>
          </w:divBdr>
        </w:div>
        <w:div w:id="201721487">
          <w:marLeft w:val="640"/>
          <w:marRight w:val="0"/>
          <w:marTop w:val="0"/>
          <w:marBottom w:val="0"/>
          <w:divBdr>
            <w:top w:val="none" w:sz="0" w:space="0" w:color="auto"/>
            <w:left w:val="none" w:sz="0" w:space="0" w:color="auto"/>
            <w:bottom w:val="none" w:sz="0" w:space="0" w:color="auto"/>
            <w:right w:val="none" w:sz="0" w:space="0" w:color="auto"/>
          </w:divBdr>
        </w:div>
        <w:div w:id="924415204">
          <w:marLeft w:val="640"/>
          <w:marRight w:val="0"/>
          <w:marTop w:val="0"/>
          <w:marBottom w:val="0"/>
          <w:divBdr>
            <w:top w:val="none" w:sz="0" w:space="0" w:color="auto"/>
            <w:left w:val="none" w:sz="0" w:space="0" w:color="auto"/>
            <w:bottom w:val="none" w:sz="0" w:space="0" w:color="auto"/>
            <w:right w:val="none" w:sz="0" w:space="0" w:color="auto"/>
          </w:divBdr>
        </w:div>
        <w:div w:id="213931963">
          <w:marLeft w:val="640"/>
          <w:marRight w:val="0"/>
          <w:marTop w:val="0"/>
          <w:marBottom w:val="0"/>
          <w:divBdr>
            <w:top w:val="none" w:sz="0" w:space="0" w:color="auto"/>
            <w:left w:val="none" w:sz="0" w:space="0" w:color="auto"/>
            <w:bottom w:val="none" w:sz="0" w:space="0" w:color="auto"/>
            <w:right w:val="none" w:sz="0" w:space="0" w:color="auto"/>
          </w:divBdr>
        </w:div>
        <w:div w:id="1049261315">
          <w:marLeft w:val="640"/>
          <w:marRight w:val="0"/>
          <w:marTop w:val="0"/>
          <w:marBottom w:val="0"/>
          <w:divBdr>
            <w:top w:val="none" w:sz="0" w:space="0" w:color="auto"/>
            <w:left w:val="none" w:sz="0" w:space="0" w:color="auto"/>
            <w:bottom w:val="none" w:sz="0" w:space="0" w:color="auto"/>
            <w:right w:val="none" w:sz="0" w:space="0" w:color="auto"/>
          </w:divBdr>
        </w:div>
        <w:div w:id="405229174">
          <w:marLeft w:val="640"/>
          <w:marRight w:val="0"/>
          <w:marTop w:val="0"/>
          <w:marBottom w:val="0"/>
          <w:divBdr>
            <w:top w:val="none" w:sz="0" w:space="0" w:color="auto"/>
            <w:left w:val="none" w:sz="0" w:space="0" w:color="auto"/>
            <w:bottom w:val="none" w:sz="0" w:space="0" w:color="auto"/>
            <w:right w:val="none" w:sz="0" w:space="0" w:color="auto"/>
          </w:divBdr>
        </w:div>
        <w:div w:id="555508318">
          <w:marLeft w:val="640"/>
          <w:marRight w:val="0"/>
          <w:marTop w:val="0"/>
          <w:marBottom w:val="0"/>
          <w:divBdr>
            <w:top w:val="none" w:sz="0" w:space="0" w:color="auto"/>
            <w:left w:val="none" w:sz="0" w:space="0" w:color="auto"/>
            <w:bottom w:val="none" w:sz="0" w:space="0" w:color="auto"/>
            <w:right w:val="none" w:sz="0" w:space="0" w:color="auto"/>
          </w:divBdr>
        </w:div>
        <w:div w:id="1726836691">
          <w:marLeft w:val="640"/>
          <w:marRight w:val="0"/>
          <w:marTop w:val="0"/>
          <w:marBottom w:val="0"/>
          <w:divBdr>
            <w:top w:val="none" w:sz="0" w:space="0" w:color="auto"/>
            <w:left w:val="none" w:sz="0" w:space="0" w:color="auto"/>
            <w:bottom w:val="none" w:sz="0" w:space="0" w:color="auto"/>
            <w:right w:val="none" w:sz="0" w:space="0" w:color="auto"/>
          </w:divBdr>
        </w:div>
        <w:div w:id="775097416">
          <w:marLeft w:val="640"/>
          <w:marRight w:val="0"/>
          <w:marTop w:val="0"/>
          <w:marBottom w:val="0"/>
          <w:divBdr>
            <w:top w:val="none" w:sz="0" w:space="0" w:color="auto"/>
            <w:left w:val="none" w:sz="0" w:space="0" w:color="auto"/>
            <w:bottom w:val="none" w:sz="0" w:space="0" w:color="auto"/>
            <w:right w:val="none" w:sz="0" w:space="0" w:color="auto"/>
          </w:divBdr>
        </w:div>
        <w:div w:id="648166482">
          <w:marLeft w:val="640"/>
          <w:marRight w:val="0"/>
          <w:marTop w:val="0"/>
          <w:marBottom w:val="0"/>
          <w:divBdr>
            <w:top w:val="none" w:sz="0" w:space="0" w:color="auto"/>
            <w:left w:val="none" w:sz="0" w:space="0" w:color="auto"/>
            <w:bottom w:val="none" w:sz="0" w:space="0" w:color="auto"/>
            <w:right w:val="none" w:sz="0" w:space="0" w:color="auto"/>
          </w:divBdr>
        </w:div>
        <w:div w:id="578253655">
          <w:marLeft w:val="640"/>
          <w:marRight w:val="0"/>
          <w:marTop w:val="0"/>
          <w:marBottom w:val="0"/>
          <w:divBdr>
            <w:top w:val="none" w:sz="0" w:space="0" w:color="auto"/>
            <w:left w:val="none" w:sz="0" w:space="0" w:color="auto"/>
            <w:bottom w:val="none" w:sz="0" w:space="0" w:color="auto"/>
            <w:right w:val="none" w:sz="0" w:space="0" w:color="auto"/>
          </w:divBdr>
        </w:div>
        <w:div w:id="175658737">
          <w:marLeft w:val="640"/>
          <w:marRight w:val="0"/>
          <w:marTop w:val="0"/>
          <w:marBottom w:val="0"/>
          <w:divBdr>
            <w:top w:val="none" w:sz="0" w:space="0" w:color="auto"/>
            <w:left w:val="none" w:sz="0" w:space="0" w:color="auto"/>
            <w:bottom w:val="none" w:sz="0" w:space="0" w:color="auto"/>
            <w:right w:val="none" w:sz="0" w:space="0" w:color="auto"/>
          </w:divBdr>
        </w:div>
        <w:div w:id="1812360681">
          <w:marLeft w:val="640"/>
          <w:marRight w:val="0"/>
          <w:marTop w:val="0"/>
          <w:marBottom w:val="0"/>
          <w:divBdr>
            <w:top w:val="none" w:sz="0" w:space="0" w:color="auto"/>
            <w:left w:val="none" w:sz="0" w:space="0" w:color="auto"/>
            <w:bottom w:val="none" w:sz="0" w:space="0" w:color="auto"/>
            <w:right w:val="none" w:sz="0" w:space="0" w:color="auto"/>
          </w:divBdr>
        </w:div>
        <w:div w:id="542641894">
          <w:marLeft w:val="640"/>
          <w:marRight w:val="0"/>
          <w:marTop w:val="0"/>
          <w:marBottom w:val="0"/>
          <w:divBdr>
            <w:top w:val="none" w:sz="0" w:space="0" w:color="auto"/>
            <w:left w:val="none" w:sz="0" w:space="0" w:color="auto"/>
            <w:bottom w:val="none" w:sz="0" w:space="0" w:color="auto"/>
            <w:right w:val="none" w:sz="0" w:space="0" w:color="auto"/>
          </w:divBdr>
        </w:div>
        <w:div w:id="603339549">
          <w:marLeft w:val="640"/>
          <w:marRight w:val="0"/>
          <w:marTop w:val="0"/>
          <w:marBottom w:val="0"/>
          <w:divBdr>
            <w:top w:val="none" w:sz="0" w:space="0" w:color="auto"/>
            <w:left w:val="none" w:sz="0" w:space="0" w:color="auto"/>
            <w:bottom w:val="none" w:sz="0" w:space="0" w:color="auto"/>
            <w:right w:val="none" w:sz="0" w:space="0" w:color="auto"/>
          </w:divBdr>
        </w:div>
        <w:div w:id="1441681120">
          <w:marLeft w:val="640"/>
          <w:marRight w:val="0"/>
          <w:marTop w:val="0"/>
          <w:marBottom w:val="0"/>
          <w:divBdr>
            <w:top w:val="none" w:sz="0" w:space="0" w:color="auto"/>
            <w:left w:val="none" w:sz="0" w:space="0" w:color="auto"/>
            <w:bottom w:val="none" w:sz="0" w:space="0" w:color="auto"/>
            <w:right w:val="none" w:sz="0" w:space="0" w:color="auto"/>
          </w:divBdr>
        </w:div>
        <w:div w:id="135075918">
          <w:marLeft w:val="640"/>
          <w:marRight w:val="0"/>
          <w:marTop w:val="0"/>
          <w:marBottom w:val="0"/>
          <w:divBdr>
            <w:top w:val="none" w:sz="0" w:space="0" w:color="auto"/>
            <w:left w:val="none" w:sz="0" w:space="0" w:color="auto"/>
            <w:bottom w:val="none" w:sz="0" w:space="0" w:color="auto"/>
            <w:right w:val="none" w:sz="0" w:space="0" w:color="auto"/>
          </w:divBdr>
        </w:div>
        <w:div w:id="1883133400">
          <w:marLeft w:val="640"/>
          <w:marRight w:val="0"/>
          <w:marTop w:val="0"/>
          <w:marBottom w:val="0"/>
          <w:divBdr>
            <w:top w:val="none" w:sz="0" w:space="0" w:color="auto"/>
            <w:left w:val="none" w:sz="0" w:space="0" w:color="auto"/>
            <w:bottom w:val="none" w:sz="0" w:space="0" w:color="auto"/>
            <w:right w:val="none" w:sz="0" w:space="0" w:color="auto"/>
          </w:divBdr>
        </w:div>
        <w:div w:id="1807746137">
          <w:marLeft w:val="640"/>
          <w:marRight w:val="0"/>
          <w:marTop w:val="0"/>
          <w:marBottom w:val="0"/>
          <w:divBdr>
            <w:top w:val="none" w:sz="0" w:space="0" w:color="auto"/>
            <w:left w:val="none" w:sz="0" w:space="0" w:color="auto"/>
            <w:bottom w:val="none" w:sz="0" w:space="0" w:color="auto"/>
            <w:right w:val="none" w:sz="0" w:space="0" w:color="auto"/>
          </w:divBdr>
        </w:div>
        <w:div w:id="1323504046">
          <w:marLeft w:val="640"/>
          <w:marRight w:val="0"/>
          <w:marTop w:val="0"/>
          <w:marBottom w:val="0"/>
          <w:divBdr>
            <w:top w:val="none" w:sz="0" w:space="0" w:color="auto"/>
            <w:left w:val="none" w:sz="0" w:space="0" w:color="auto"/>
            <w:bottom w:val="none" w:sz="0" w:space="0" w:color="auto"/>
            <w:right w:val="none" w:sz="0" w:space="0" w:color="auto"/>
          </w:divBdr>
        </w:div>
        <w:div w:id="1114594047">
          <w:marLeft w:val="640"/>
          <w:marRight w:val="0"/>
          <w:marTop w:val="0"/>
          <w:marBottom w:val="0"/>
          <w:divBdr>
            <w:top w:val="none" w:sz="0" w:space="0" w:color="auto"/>
            <w:left w:val="none" w:sz="0" w:space="0" w:color="auto"/>
            <w:bottom w:val="none" w:sz="0" w:space="0" w:color="auto"/>
            <w:right w:val="none" w:sz="0" w:space="0" w:color="auto"/>
          </w:divBdr>
        </w:div>
        <w:div w:id="181862716">
          <w:marLeft w:val="640"/>
          <w:marRight w:val="0"/>
          <w:marTop w:val="0"/>
          <w:marBottom w:val="0"/>
          <w:divBdr>
            <w:top w:val="none" w:sz="0" w:space="0" w:color="auto"/>
            <w:left w:val="none" w:sz="0" w:space="0" w:color="auto"/>
            <w:bottom w:val="none" w:sz="0" w:space="0" w:color="auto"/>
            <w:right w:val="none" w:sz="0" w:space="0" w:color="auto"/>
          </w:divBdr>
        </w:div>
        <w:div w:id="1508670580">
          <w:marLeft w:val="640"/>
          <w:marRight w:val="0"/>
          <w:marTop w:val="0"/>
          <w:marBottom w:val="0"/>
          <w:divBdr>
            <w:top w:val="none" w:sz="0" w:space="0" w:color="auto"/>
            <w:left w:val="none" w:sz="0" w:space="0" w:color="auto"/>
            <w:bottom w:val="none" w:sz="0" w:space="0" w:color="auto"/>
            <w:right w:val="none" w:sz="0" w:space="0" w:color="auto"/>
          </w:divBdr>
        </w:div>
        <w:div w:id="735780623">
          <w:marLeft w:val="640"/>
          <w:marRight w:val="0"/>
          <w:marTop w:val="0"/>
          <w:marBottom w:val="0"/>
          <w:divBdr>
            <w:top w:val="none" w:sz="0" w:space="0" w:color="auto"/>
            <w:left w:val="none" w:sz="0" w:space="0" w:color="auto"/>
            <w:bottom w:val="none" w:sz="0" w:space="0" w:color="auto"/>
            <w:right w:val="none" w:sz="0" w:space="0" w:color="auto"/>
          </w:divBdr>
        </w:div>
        <w:div w:id="578829507">
          <w:marLeft w:val="640"/>
          <w:marRight w:val="0"/>
          <w:marTop w:val="0"/>
          <w:marBottom w:val="0"/>
          <w:divBdr>
            <w:top w:val="none" w:sz="0" w:space="0" w:color="auto"/>
            <w:left w:val="none" w:sz="0" w:space="0" w:color="auto"/>
            <w:bottom w:val="none" w:sz="0" w:space="0" w:color="auto"/>
            <w:right w:val="none" w:sz="0" w:space="0" w:color="auto"/>
          </w:divBdr>
        </w:div>
        <w:div w:id="425350732">
          <w:marLeft w:val="640"/>
          <w:marRight w:val="0"/>
          <w:marTop w:val="0"/>
          <w:marBottom w:val="0"/>
          <w:divBdr>
            <w:top w:val="none" w:sz="0" w:space="0" w:color="auto"/>
            <w:left w:val="none" w:sz="0" w:space="0" w:color="auto"/>
            <w:bottom w:val="none" w:sz="0" w:space="0" w:color="auto"/>
            <w:right w:val="none" w:sz="0" w:space="0" w:color="auto"/>
          </w:divBdr>
        </w:div>
        <w:div w:id="1297370889">
          <w:marLeft w:val="640"/>
          <w:marRight w:val="0"/>
          <w:marTop w:val="0"/>
          <w:marBottom w:val="0"/>
          <w:divBdr>
            <w:top w:val="none" w:sz="0" w:space="0" w:color="auto"/>
            <w:left w:val="none" w:sz="0" w:space="0" w:color="auto"/>
            <w:bottom w:val="none" w:sz="0" w:space="0" w:color="auto"/>
            <w:right w:val="none" w:sz="0" w:space="0" w:color="auto"/>
          </w:divBdr>
        </w:div>
        <w:div w:id="836724245">
          <w:marLeft w:val="640"/>
          <w:marRight w:val="0"/>
          <w:marTop w:val="0"/>
          <w:marBottom w:val="0"/>
          <w:divBdr>
            <w:top w:val="none" w:sz="0" w:space="0" w:color="auto"/>
            <w:left w:val="none" w:sz="0" w:space="0" w:color="auto"/>
            <w:bottom w:val="none" w:sz="0" w:space="0" w:color="auto"/>
            <w:right w:val="none" w:sz="0" w:space="0" w:color="auto"/>
          </w:divBdr>
        </w:div>
        <w:div w:id="1782531975">
          <w:marLeft w:val="640"/>
          <w:marRight w:val="0"/>
          <w:marTop w:val="0"/>
          <w:marBottom w:val="0"/>
          <w:divBdr>
            <w:top w:val="none" w:sz="0" w:space="0" w:color="auto"/>
            <w:left w:val="none" w:sz="0" w:space="0" w:color="auto"/>
            <w:bottom w:val="none" w:sz="0" w:space="0" w:color="auto"/>
            <w:right w:val="none" w:sz="0" w:space="0" w:color="auto"/>
          </w:divBdr>
        </w:div>
        <w:div w:id="746920075">
          <w:marLeft w:val="640"/>
          <w:marRight w:val="0"/>
          <w:marTop w:val="0"/>
          <w:marBottom w:val="0"/>
          <w:divBdr>
            <w:top w:val="none" w:sz="0" w:space="0" w:color="auto"/>
            <w:left w:val="none" w:sz="0" w:space="0" w:color="auto"/>
            <w:bottom w:val="none" w:sz="0" w:space="0" w:color="auto"/>
            <w:right w:val="none" w:sz="0" w:space="0" w:color="auto"/>
          </w:divBdr>
        </w:div>
        <w:div w:id="398869746">
          <w:marLeft w:val="640"/>
          <w:marRight w:val="0"/>
          <w:marTop w:val="0"/>
          <w:marBottom w:val="0"/>
          <w:divBdr>
            <w:top w:val="none" w:sz="0" w:space="0" w:color="auto"/>
            <w:left w:val="none" w:sz="0" w:space="0" w:color="auto"/>
            <w:bottom w:val="none" w:sz="0" w:space="0" w:color="auto"/>
            <w:right w:val="none" w:sz="0" w:space="0" w:color="auto"/>
          </w:divBdr>
        </w:div>
        <w:div w:id="146871079">
          <w:marLeft w:val="640"/>
          <w:marRight w:val="0"/>
          <w:marTop w:val="0"/>
          <w:marBottom w:val="0"/>
          <w:divBdr>
            <w:top w:val="none" w:sz="0" w:space="0" w:color="auto"/>
            <w:left w:val="none" w:sz="0" w:space="0" w:color="auto"/>
            <w:bottom w:val="none" w:sz="0" w:space="0" w:color="auto"/>
            <w:right w:val="none" w:sz="0" w:space="0" w:color="auto"/>
          </w:divBdr>
        </w:div>
        <w:div w:id="1269385027">
          <w:marLeft w:val="640"/>
          <w:marRight w:val="0"/>
          <w:marTop w:val="0"/>
          <w:marBottom w:val="0"/>
          <w:divBdr>
            <w:top w:val="none" w:sz="0" w:space="0" w:color="auto"/>
            <w:left w:val="none" w:sz="0" w:space="0" w:color="auto"/>
            <w:bottom w:val="none" w:sz="0" w:space="0" w:color="auto"/>
            <w:right w:val="none" w:sz="0" w:space="0" w:color="auto"/>
          </w:divBdr>
        </w:div>
        <w:div w:id="1796023888">
          <w:marLeft w:val="640"/>
          <w:marRight w:val="0"/>
          <w:marTop w:val="0"/>
          <w:marBottom w:val="0"/>
          <w:divBdr>
            <w:top w:val="none" w:sz="0" w:space="0" w:color="auto"/>
            <w:left w:val="none" w:sz="0" w:space="0" w:color="auto"/>
            <w:bottom w:val="none" w:sz="0" w:space="0" w:color="auto"/>
            <w:right w:val="none" w:sz="0" w:space="0" w:color="auto"/>
          </w:divBdr>
        </w:div>
        <w:div w:id="1606769837">
          <w:marLeft w:val="640"/>
          <w:marRight w:val="0"/>
          <w:marTop w:val="0"/>
          <w:marBottom w:val="0"/>
          <w:divBdr>
            <w:top w:val="none" w:sz="0" w:space="0" w:color="auto"/>
            <w:left w:val="none" w:sz="0" w:space="0" w:color="auto"/>
            <w:bottom w:val="none" w:sz="0" w:space="0" w:color="auto"/>
            <w:right w:val="none" w:sz="0" w:space="0" w:color="auto"/>
          </w:divBdr>
        </w:div>
        <w:div w:id="1984386826">
          <w:marLeft w:val="640"/>
          <w:marRight w:val="0"/>
          <w:marTop w:val="0"/>
          <w:marBottom w:val="0"/>
          <w:divBdr>
            <w:top w:val="none" w:sz="0" w:space="0" w:color="auto"/>
            <w:left w:val="none" w:sz="0" w:space="0" w:color="auto"/>
            <w:bottom w:val="none" w:sz="0" w:space="0" w:color="auto"/>
            <w:right w:val="none" w:sz="0" w:space="0" w:color="auto"/>
          </w:divBdr>
        </w:div>
        <w:div w:id="1295406076">
          <w:marLeft w:val="640"/>
          <w:marRight w:val="0"/>
          <w:marTop w:val="0"/>
          <w:marBottom w:val="0"/>
          <w:divBdr>
            <w:top w:val="none" w:sz="0" w:space="0" w:color="auto"/>
            <w:left w:val="none" w:sz="0" w:space="0" w:color="auto"/>
            <w:bottom w:val="none" w:sz="0" w:space="0" w:color="auto"/>
            <w:right w:val="none" w:sz="0" w:space="0" w:color="auto"/>
          </w:divBdr>
        </w:div>
        <w:div w:id="498811671">
          <w:marLeft w:val="640"/>
          <w:marRight w:val="0"/>
          <w:marTop w:val="0"/>
          <w:marBottom w:val="0"/>
          <w:divBdr>
            <w:top w:val="none" w:sz="0" w:space="0" w:color="auto"/>
            <w:left w:val="none" w:sz="0" w:space="0" w:color="auto"/>
            <w:bottom w:val="none" w:sz="0" w:space="0" w:color="auto"/>
            <w:right w:val="none" w:sz="0" w:space="0" w:color="auto"/>
          </w:divBdr>
        </w:div>
        <w:div w:id="1384793551">
          <w:marLeft w:val="640"/>
          <w:marRight w:val="0"/>
          <w:marTop w:val="0"/>
          <w:marBottom w:val="0"/>
          <w:divBdr>
            <w:top w:val="none" w:sz="0" w:space="0" w:color="auto"/>
            <w:left w:val="none" w:sz="0" w:space="0" w:color="auto"/>
            <w:bottom w:val="none" w:sz="0" w:space="0" w:color="auto"/>
            <w:right w:val="none" w:sz="0" w:space="0" w:color="auto"/>
          </w:divBdr>
        </w:div>
        <w:div w:id="850535057">
          <w:marLeft w:val="640"/>
          <w:marRight w:val="0"/>
          <w:marTop w:val="0"/>
          <w:marBottom w:val="0"/>
          <w:divBdr>
            <w:top w:val="none" w:sz="0" w:space="0" w:color="auto"/>
            <w:left w:val="none" w:sz="0" w:space="0" w:color="auto"/>
            <w:bottom w:val="none" w:sz="0" w:space="0" w:color="auto"/>
            <w:right w:val="none" w:sz="0" w:space="0" w:color="auto"/>
          </w:divBdr>
        </w:div>
        <w:div w:id="509025482">
          <w:marLeft w:val="640"/>
          <w:marRight w:val="0"/>
          <w:marTop w:val="0"/>
          <w:marBottom w:val="0"/>
          <w:divBdr>
            <w:top w:val="none" w:sz="0" w:space="0" w:color="auto"/>
            <w:left w:val="none" w:sz="0" w:space="0" w:color="auto"/>
            <w:bottom w:val="none" w:sz="0" w:space="0" w:color="auto"/>
            <w:right w:val="none" w:sz="0" w:space="0" w:color="auto"/>
          </w:divBdr>
        </w:div>
        <w:div w:id="17003034">
          <w:marLeft w:val="640"/>
          <w:marRight w:val="0"/>
          <w:marTop w:val="0"/>
          <w:marBottom w:val="0"/>
          <w:divBdr>
            <w:top w:val="none" w:sz="0" w:space="0" w:color="auto"/>
            <w:left w:val="none" w:sz="0" w:space="0" w:color="auto"/>
            <w:bottom w:val="none" w:sz="0" w:space="0" w:color="auto"/>
            <w:right w:val="none" w:sz="0" w:space="0" w:color="auto"/>
          </w:divBdr>
        </w:div>
        <w:div w:id="2018339039">
          <w:marLeft w:val="640"/>
          <w:marRight w:val="0"/>
          <w:marTop w:val="0"/>
          <w:marBottom w:val="0"/>
          <w:divBdr>
            <w:top w:val="none" w:sz="0" w:space="0" w:color="auto"/>
            <w:left w:val="none" w:sz="0" w:space="0" w:color="auto"/>
            <w:bottom w:val="none" w:sz="0" w:space="0" w:color="auto"/>
            <w:right w:val="none" w:sz="0" w:space="0" w:color="auto"/>
          </w:divBdr>
        </w:div>
        <w:div w:id="1321234860">
          <w:marLeft w:val="640"/>
          <w:marRight w:val="0"/>
          <w:marTop w:val="0"/>
          <w:marBottom w:val="0"/>
          <w:divBdr>
            <w:top w:val="none" w:sz="0" w:space="0" w:color="auto"/>
            <w:left w:val="none" w:sz="0" w:space="0" w:color="auto"/>
            <w:bottom w:val="none" w:sz="0" w:space="0" w:color="auto"/>
            <w:right w:val="none" w:sz="0" w:space="0" w:color="auto"/>
          </w:divBdr>
        </w:div>
        <w:div w:id="1815178473">
          <w:marLeft w:val="640"/>
          <w:marRight w:val="0"/>
          <w:marTop w:val="0"/>
          <w:marBottom w:val="0"/>
          <w:divBdr>
            <w:top w:val="none" w:sz="0" w:space="0" w:color="auto"/>
            <w:left w:val="none" w:sz="0" w:space="0" w:color="auto"/>
            <w:bottom w:val="none" w:sz="0" w:space="0" w:color="auto"/>
            <w:right w:val="none" w:sz="0" w:space="0" w:color="auto"/>
          </w:divBdr>
        </w:div>
        <w:div w:id="1049571391">
          <w:marLeft w:val="640"/>
          <w:marRight w:val="0"/>
          <w:marTop w:val="0"/>
          <w:marBottom w:val="0"/>
          <w:divBdr>
            <w:top w:val="none" w:sz="0" w:space="0" w:color="auto"/>
            <w:left w:val="none" w:sz="0" w:space="0" w:color="auto"/>
            <w:bottom w:val="none" w:sz="0" w:space="0" w:color="auto"/>
            <w:right w:val="none" w:sz="0" w:space="0" w:color="auto"/>
          </w:divBdr>
        </w:div>
        <w:div w:id="1816486587">
          <w:marLeft w:val="640"/>
          <w:marRight w:val="0"/>
          <w:marTop w:val="0"/>
          <w:marBottom w:val="0"/>
          <w:divBdr>
            <w:top w:val="none" w:sz="0" w:space="0" w:color="auto"/>
            <w:left w:val="none" w:sz="0" w:space="0" w:color="auto"/>
            <w:bottom w:val="none" w:sz="0" w:space="0" w:color="auto"/>
            <w:right w:val="none" w:sz="0" w:space="0" w:color="auto"/>
          </w:divBdr>
        </w:div>
        <w:div w:id="885263551">
          <w:marLeft w:val="640"/>
          <w:marRight w:val="0"/>
          <w:marTop w:val="0"/>
          <w:marBottom w:val="0"/>
          <w:divBdr>
            <w:top w:val="none" w:sz="0" w:space="0" w:color="auto"/>
            <w:left w:val="none" w:sz="0" w:space="0" w:color="auto"/>
            <w:bottom w:val="none" w:sz="0" w:space="0" w:color="auto"/>
            <w:right w:val="none" w:sz="0" w:space="0" w:color="auto"/>
          </w:divBdr>
        </w:div>
        <w:div w:id="90513492">
          <w:marLeft w:val="640"/>
          <w:marRight w:val="0"/>
          <w:marTop w:val="0"/>
          <w:marBottom w:val="0"/>
          <w:divBdr>
            <w:top w:val="none" w:sz="0" w:space="0" w:color="auto"/>
            <w:left w:val="none" w:sz="0" w:space="0" w:color="auto"/>
            <w:bottom w:val="none" w:sz="0" w:space="0" w:color="auto"/>
            <w:right w:val="none" w:sz="0" w:space="0" w:color="auto"/>
          </w:divBdr>
        </w:div>
        <w:div w:id="943225787">
          <w:marLeft w:val="640"/>
          <w:marRight w:val="0"/>
          <w:marTop w:val="0"/>
          <w:marBottom w:val="0"/>
          <w:divBdr>
            <w:top w:val="none" w:sz="0" w:space="0" w:color="auto"/>
            <w:left w:val="none" w:sz="0" w:space="0" w:color="auto"/>
            <w:bottom w:val="none" w:sz="0" w:space="0" w:color="auto"/>
            <w:right w:val="none" w:sz="0" w:space="0" w:color="auto"/>
          </w:divBdr>
        </w:div>
        <w:div w:id="1799838043">
          <w:marLeft w:val="640"/>
          <w:marRight w:val="0"/>
          <w:marTop w:val="0"/>
          <w:marBottom w:val="0"/>
          <w:divBdr>
            <w:top w:val="none" w:sz="0" w:space="0" w:color="auto"/>
            <w:left w:val="none" w:sz="0" w:space="0" w:color="auto"/>
            <w:bottom w:val="none" w:sz="0" w:space="0" w:color="auto"/>
            <w:right w:val="none" w:sz="0" w:space="0" w:color="auto"/>
          </w:divBdr>
        </w:div>
        <w:div w:id="260375916">
          <w:marLeft w:val="640"/>
          <w:marRight w:val="0"/>
          <w:marTop w:val="0"/>
          <w:marBottom w:val="0"/>
          <w:divBdr>
            <w:top w:val="none" w:sz="0" w:space="0" w:color="auto"/>
            <w:left w:val="none" w:sz="0" w:space="0" w:color="auto"/>
            <w:bottom w:val="none" w:sz="0" w:space="0" w:color="auto"/>
            <w:right w:val="none" w:sz="0" w:space="0" w:color="auto"/>
          </w:divBdr>
        </w:div>
        <w:div w:id="390277406">
          <w:marLeft w:val="640"/>
          <w:marRight w:val="0"/>
          <w:marTop w:val="0"/>
          <w:marBottom w:val="0"/>
          <w:divBdr>
            <w:top w:val="none" w:sz="0" w:space="0" w:color="auto"/>
            <w:left w:val="none" w:sz="0" w:space="0" w:color="auto"/>
            <w:bottom w:val="none" w:sz="0" w:space="0" w:color="auto"/>
            <w:right w:val="none" w:sz="0" w:space="0" w:color="auto"/>
          </w:divBdr>
        </w:div>
        <w:div w:id="2004776204">
          <w:marLeft w:val="640"/>
          <w:marRight w:val="0"/>
          <w:marTop w:val="0"/>
          <w:marBottom w:val="0"/>
          <w:divBdr>
            <w:top w:val="none" w:sz="0" w:space="0" w:color="auto"/>
            <w:left w:val="none" w:sz="0" w:space="0" w:color="auto"/>
            <w:bottom w:val="none" w:sz="0" w:space="0" w:color="auto"/>
            <w:right w:val="none" w:sz="0" w:space="0" w:color="auto"/>
          </w:divBdr>
        </w:div>
        <w:div w:id="108398029">
          <w:marLeft w:val="640"/>
          <w:marRight w:val="0"/>
          <w:marTop w:val="0"/>
          <w:marBottom w:val="0"/>
          <w:divBdr>
            <w:top w:val="none" w:sz="0" w:space="0" w:color="auto"/>
            <w:left w:val="none" w:sz="0" w:space="0" w:color="auto"/>
            <w:bottom w:val="none" w:sz="0" w:space="0" w:color="auto"/>
            <w:right w:val="none" w:sz="0" w:space="0" w:color="auto"/>
          </w:divBdr>
        </w:div>
        <w:div w:id="230891043">
          <w:marLeft w:val="640"/>
          <w:marRight w:val="0"/>
          <w:marTop w:val="0"/>
          <w:marBottom w:val="0"/>
          <w:divBdr>
            <w:top w:val="none" w:sz="0" w:space="0" w:color="auto"/>
            <w:left w:val="none" w:sz="0" w:space="0" w:color="auto"/>
            <w:bottom w:val="none" w:sz="0" w:space="0" w:color="auto"/>
            <w:right w:val="none" w:sz="0" w:space="0" w:color="auto"/>
          </w:divBdr>
        </w:div>
        <w:div w:id="964627700">
          <w:marLeft w:val="640"/>
          <w:marRight w:val="0"/>
          <w:marTop w:val="0"/>
          <w:marBottom w:val="0"/>
          <w:divBdr>
            <w:top w:val="none" w:sz="0" w:space="0" w:color="auto"/>
            <w:left w:val="none" w:sz="0" w:space="0" w:color="auto"/>
            <w:bottom w:val="none" w:sz="0" w:space="0" w:color="auto"/>
            <w:right w:val="none" w:sz="0" w:space="0" w:color="auto"/>
          </w:divBdr>
        </w:div>
        <w:div w:id="23753603">
          <w:marLeft w:val="640"/>
          <w:marRight w:val="0"/>
          <w:marTop w:val="0"/>
          <w:marBottom w:val="0"/>
          <w:divBdr>
            <w:top w:val="none" w:sz="0" w:space="0" w:color="auto"/>
            <w:left w:val="none" w:sz="0" w:space="0" w:color="auto"/>
            <w:bottom w:val="none" w:sz="0" w:space="0" w:color="auto"/>
            <w:right w:val="none" w:sz="0" w:space="0" w:color="auto"/>
          </w:divBdr>
        </w:div>
        <w:div w:id="247468504">
          <w:marLeft w:val="640"/>
          <w:marRight w:val="0"/>
          <w:marTop w:val="0"/>
          <w:marBottom w:val="0"/>
          <w:divBdr>
            <w:top w:val="none" w:sz="0" w:space="0" w:color="auto"/>
            <w:left w:val="none" w:sz="0" w:space="0" w:color="auto"/>
            <w:bottom w:val="none" w:sz="0" w:space="0" w:color="auto"/>
            <w:right w:val="none" w:sz="0" w:space="0" w:color="auto"/>
          </w:divBdr>
        </w:div>
        <w:div w:id="379524007">
          <w:marLeft w:val="640"/>
          <w:marRight w:val="0"/>
          <w:marTop w:val="0"/>
          <w:marBottom w:val="0"/>
          <w:divBdr>
            <w:top w:val="none" w:sz="0" w:space="0" w:color="auto"/>
            <w:left w:val="none" w:sz="0" w:space="0" w:color="auto"/>
            <w:bottom w:val="none" w:sz="0" w:space="0" w:color="auto"/>
            <w:right w:val="none" w:sz="0" w:space="0" w:color="auto"/>
          </w:divBdr>
        </w:div>
        <w:div w:id="172916587">
          <w:marLeft w:val="640"/>
          <w:marRight w:val="0"/>
          <w:marTop w:val="0"/>
          <w:marBottom w:val="0"/>
          <w:divBdr>
            <w:top w:val="none" w:sz="0" w:space="0" w:color="auto"/>
            <w:left w:val="none" w:sz="0" w:space="0" w:color="auto"/>
            <w:bottom w:val="none" w:sz="0" w:space="0" w:color="auto"/>
            <w:right w:val="none" w:sz="0" w:space="0" w:color="auto"/>
          </w:divBdr>
        </w:div>
        <w:div w:id="1300844648">
          <w:marLeft w:val="640"/>
          <w:marRight w:val="0"/>
          <w:marTop w:val="0"/>
          <w:marBottom w:val="0"/>
          <w:divBdr>
            <w:top w:val="none" w:sz="0" w:space="0" w:color="auto"/>
            <w:left w:val="none" w:sz="0" w:space="0" w:color="auto"/>
            <w:bottom w:val="none" w:sz="0" w:space="0" w:color="auto"/>
            <w:right w:val="none" w:sz="0" w:space="0" w:color="auto"/>
          </w:divBdr>
        </w:div>
        <w:div w:id="1095325765">
          <w:marLeft w:val="640"/>
          <w:marRight w:val="0"/>
          <w:marTop w:val="0"/>
          <w:marBottom w:val="0"/>
          <w:divBdr>
            <w:top w:val="none" w:sz="0" w:space="0" w:color="auto"/>
            <w:left w:val="none" w:sz="0" w:space="0" w:color="auto"/>
            <w:bottom w:val="none" w:sz="0" w:space="0" w:color="auto"/>
            <w:right w:val="none" w:sz="0" w:space="0" w:color="auto"/>
          </w:divBdr>
        </w:div>
        <w:div w:id="1700741143">
          <w:marLeft w:val="640"/>
          <w:marRight w:val="0"/>
          <w:marTop w:val="0"/>
          <w:marBottom w:val="0"/>
          <w:divBdr>
            <w:top w:val="none" w:sz="0" w:space="0" w:color="auto"/>
            <w:left w:val="none" w:sz="0" w:space="0" w:color="auto"/>
            <w:bottom w:val="none" w:sz="0" w:space="0" w:color="auto"/>
            <w:right w:val="none" w:sz="0" w:space="0" w:color="auto"/>
          </w:divBdr>
        </w:div>
        <w:div w:id="1024477568">
          <w:marLeft w:val="640"/>
          <w:marRight w:val="0"/>
          <w:marTop w:val="0"/>
          <w:marBottom w:val="0"/>
          <w:divBdr>
            <w:top w:val="none" w:sz="0" w:space="0" w:color="auto"/>
            <w:left w:val="none" w:sz="0" w:space="0" w:color="auto"/>
            <w:bottom w:val="none" w:sz="0" w:space="0" w:color="auto"/>
            <w:right w:val="none" w:sz="0" w:space="0" w:color="auto"/>
          </w:divBdr>
        </w:div>
        <w:div w:id="1239903584">
          <w:marLeft w:val="640"/>
          <w:marRight w:val="0"/>
          <w:marTop w:val="0"/>
          <w:marBottom w:val="0"/>
          <w:divBdr>
            <w:top w:val="none" w:sz="0" w:space="0" w:color="auto"/>
            <w:left w:val="none" w:sz="0" w:space="0" w:color="auto"/>
            <w:bottom w:val="none" w:sz="0" w:space="0" w:color="auto"/>
            <w:right w:val="none" w:sz="0" w:space="0" w:color="auto"/>
          </w:divBdr>
        </w:div>
        <w:div w:id="570888769">
          <w:marLeft w:val="640"/>
          <w:marRight w:val="0"/>
          <w:marTop w:val="0"/>
          <w:marBottom w:val="0"/>
          <w:divBdr>
            <w:top w:val="none" w:sz="0" w:space="0" w:color="auto"/>
            <w:left w:val="none" w:sz="0" w:space="0" w:color="auto"/>
            <w:bottom w:val="none" w:sz="0" w:space="0" w:color="auto"/>
            <w:right w:val="none" w:sz="0" w:space="0" w:color="auto"/>
          </w:divBdr>
        </w:div>
        <w:div w:id="1147015071">
          <w:marLeft w:val="640"/>
          <w:marRight w:val="0"/>
          <w:marTop w:val="0"/>
          <w:marBottom w:val="0"/>
          <w:divBdr>
            <w:top w:val="none" w:sz="0" w:space="0" w:color="auto"/>
            <w:left w:val="none" w:sz="0" w:space="0" w:color="auto"/>
            <w:bottom w:val="none" w:sz="0" w:space="0" w:color="auto"/>
            <w:right w:val="none" w:sz="0" w:space="0" w:color="auto"/>
          </w:divBdr>
        </w:div>
        <w:div w:id="1415084928">
          <w:marLeft w:val="640"/>
          <w:marRight w:val="0"/>
          <w:marTop w:val="0"/>
          <w:marBottom w:val="0"/>
          <w:divBdr>
            <w:top w:val="none" w:sz="0" w:space="0" w:color="auto"/>
            <w:left w:val="none" w:sz="0" w:space="0" w:color="auto"/>
            <w:bottom w:val="none" w:sz="0" w:space="0" w:color="auto"/>
            <w:right w:val="none" w:sz="0" w:space="0" w:color="auto"/>
          </w:divBdr>
        </w:div>
        <w:div w:id="337388297">
          <w:marLeft w:val="640"/>
          <w:marRight w:val="0"/>
          <w:marTop w:val="0"/>
          <w:marBottom w:val="0"/>
          <w:divBdr>
            <w:top w:val="none" w:sz="0" w:space="0" w:color="auto"/>
            <w:left w:val="none" w:sz="0" w:space="0" w:color="auto"/>
            <w:bottom w:val="none" w:sz="0" w:space="0" w:color="auto"/>
            <w:right w:val="none" w:sz="0" w:space="0" w:color="auto"/>
          </w:divBdr>
        </w:div>
        <w:div w:id="430854496">
          <w:marLeft w:val="640"/>
          <w:marRight w:val="0"/>
          <w:marTop w:val="0"/>
          <w:marBottom w:val="0"/>
          <w:divBdr>
            <w:top w:val="none" w:sz="0" w:space="0" w:color="auto"/>
            <w:left w:val="none" w:sz="0" w:space="0" w:color="auto"/>
            <w:bottom w:val="none" w:sz="0" w:space="0" w:color="auto"/>
            <w:right w:val="none" w:sz="0" w:space="0" w:color="auto"/>
          </w:divBdr>
        </w:div>
        <w:div w:id="1599367390">
          <w:marLeft w:val="640"/>
          <w:marRight w:val="0"/>
          <w:marTop w:val="0"/>
          <w:marBottom w:val="0"/>
          <w:divBdr>
            <w:top w:val="none" w:sz="0" w:space="0" w:color="auto"/>
            <w:left w:val="none" w:sz="0" w:space="0" w:color="auto"/>
            <w:bottom w:val="none" w:sz="0" w:space="0" w:color="auto"/>
            <w:right w:val="none" w:sz="0" w:space="0" w:color="auto"/>
          </w:divBdr>
        </w:div>
        <w:div w:id="1061713474">
          <w:marLeft w:val="640"/>
          <w:marRight w:val="0"/>
          <w:marTop w:val="0"/>
          <w:marBottom w:val="0"/>
          <w:divBdr>
            <w:top w:val="none" w:sz="0" w:space="0" w:color="auto"/>
            <w:left w:val="none" w:sz="0" w:space="0" w:color="auto"/>
            <w:bottom w:val="none" w:sz="0" w:space="0" w:color="auto"/>
            <w:right w:val="none" w:sz="0" w:space="0" w:color="auto"/>
          </w:divBdr>
        </w:div>
        <w:div w:id="1774546216">
          <w:marLeft w:val="640"/>
          <w:marRight w:val="0"/>
          <w:marTop w:val="0"/>
          <w:marBottom w:val="0"/>
          <w:divBdr>
            <w:top w:val="none" w:sz="0" w:space="0" w:color="auto"/>
            <w:left w:val="none" w:sz="0" w:space="0" w:color="auto"/>
            <w:bottom w:val="none" w:sz="0" w:space="0" w:color="auto"/>
            <w:right w:val="none" w:sz="0" w:space="0" w:color="auto"/>
          </w:divBdr>
        </w:div>
        <w:div w:id="856500872">
          <w:marLeft w:val="640"/>
          <w:marRight w:val="0"/>
          <w:marTop w:val="0"/>
          <w:marBottom w:val="0"/>
          <w:divBdr>
            <w:top w:val="none" w:sz="0" w:space="0" w:color="auto"/>
            <w:left w:val="none" w:sz="0" w:space="0" w:color="auto"/>
            <w:bottom w:val="none" w:sz="0" w:space="0" w:color="auto"/>
            <w:right w:val="none" w:sz="0" w:space="0" w:color="auto"/>
          </w:divBdr>
        </w:div>
        <w:div w:id="816259737">
          <w:marLeft w:val="640"/>
          <w:marRight w:val="0"/>
          <w:marTop w:val="0"/>
          <w:marBottom w:val="0"/>
          <w:divBdr>
            <w:top w:val="none" w:sz="0" w:space="0" w:color="auto"/>
            <w:left w:val="none" w:sz="0" w:space="0" w:color="auto"/>
            <w:bottom w:val="none" w:sz="0" w:space="0" w:color="auto"/>
            <w:right w:val="none" w:sz="0" w:space="0" w:color="auto"/>
          </w:divBdr>
        </w:div>
        <w:div w:id="1748647362">
          <w:marLeft w:val="640"/>
          <w:marRight w:val="0"/>
          <w:marTop w:val="0"/>
          <w:marBottom w:val="0"/>
          <w:divBdr>
            <w:top w:val="none" w:sz="0" w:space="0" w:color="auto"/>
            <w:left w:val="none" w:sz="0" w:space="0" w:color="auto"/>
            <w:bottom w:val="none" w:sz="0" w:space="0" w:color="auto"/>
            <w:right w:val="none" w:sz="0" w:space="0" w:color="auto"/>
          </w:divBdr>
        </w:div>
        <w:div w:id="1123034021">
          <w:marLeft w:val="640"/>
          <w:marRight w:val="0"/>
          <w:marTop w:val="0"/>
          <w:marBottom w:val="0"/>
          <w:divBdr>
            <w:top w:val="none" w:sz="0" w:space="0" w:color="auto"/>
            <w:left w:val="none" w:sz="0" w:space="0" w:color="auto"/>
            <w:bottom w:val="none" w:sz="0" w:space="0" w:color="auto"/>
            <w:right w:val="none" w:sz="0" w:space="0" w:color="auto"/>
          </w:divBdr>
        </w:div>
        <w:div w:id="2059892700">
          <w:marLeft w:val="640"/>
          <w:marRight w:val="0"/>
          <w:marTop w:val="0"/>
          <w:marBottom w:val="0"/>
          <w:divBdr>
            <w:top w:val="none" w:sz="0" w:space="0" w:color="auto"/>
            <w:left w:val="none" w:sz="0" w:space="0" w:color="auto"/>
            <w:bottom w:val="none" w:sz="0" w:space="0" w:color="auto"/>
            <w:right w:val="none" w:sz="0" w:space="0" w:color="auto"/>
          </w:divBdr>
        </w:div>
        <w:div w:id="1569728214">
          <w:marLeft w:val="640"/>
          <w:marRight w:val="0"/>
          <w:marTop w:val="0"/>
          <w:marBottom w:val="0"/>
          <w:divBdr>
            <w:top w:val="none" w:sz="0" w:space="0" w:color="auto"/>
            <w:left w:val="none" w:sz="0" w:space="0" w:color="auto"/>
            <w:bottom w:val="none" w:sz="0" w:space="0" w:color="auto"/>
            <w:right w:val="none" w:sz="0" w:space="0" w:color="auto"/>
          </w:divBdr>
        </w:div>
        <w:div w:id="1786578363">
          <w:marLeft w:val="640"/>
          <w:marRight w:val="0"/>
          <w:marTop w:val="0"/>
          <w:marBottom w:val="0"/>
          <w:divBdr>
            <w:top w:val="none" w:sz="0" w:space="0" w:color="auto"/>
            <w:left w:val="none" w:sz="0" w:space="0" w:color="auto"/>
            <w:bottom w:val="none" w:sz="0" w:space="0" w:color="auto"/>
            <w:right w:val="none" w:sz="0" w:space="0" w:color="auto"/>
          </w:divBdr>
        </w:div>
        <w:div w:id="1594128139">
          <w:marLeft w:val="640"/>
          <w:marRight w:val="0"/>
          <w:marTop w:val="0"/>
          <w:marBottom w:val="0"/>
          <w:divBdr>
            <w:top w:val="none" w:sz="0" w:space="0" w:color="auto"/>
            <w:left w:val="none" w:sz="0" w:space="0" w:color="auto"/>
            <w:bottom w:val="none" w:sz="0" w:space="0" w:color="auto"/>
            <w:right w:val="none" w:sz="0" w:space="0" w:color="auto"/>
          </w:divBdr>
        </w:div>
        <w:div w:id="295575486">
          <w:marLeft w:val="640"/>
          <w:marRight w:val="0"/>
          <w:marTop w:val="0"/>
          <w:marBottom w:val="0"/>
          <w:divBdr>
            <w:top w:val="none" w:sz="0" w:space="0" w:color="auto"/>
            <w:left w:val="none" w:sz="0" w:space="0" w:color="auto"/>
            <w:bottom w:val="none" w:sz="0" w:space="0" w:color="auto"/>
            <w:right w:val="none" w:sz="0" w:space="0" w:color="auto"/>
          </w:divBdr>
        </w:div>
        <w:div w:id="1389692965">
          <w:marLeft w:val="640"/>
          <w:marRight w:val="0"/>
          <w:marTop w:val="0"/>
          <w:marBottom w:val="0"/>
          <w:divBdr>
            <w:top w:val="none" w:sz="0" w:space="0" w:color="auto"/>
            <w:left w:val="none" w:sz="0" w:space="0" w:color="auto"/>
            <w:bottom w:val="none" w:sz="0" w:space="0" w:color="auto"/>
            <w:right w:val="none" w:sz="0" w:space="0" w:color="auto"/>
          </w:divBdr>
        </w:div>
        <w:div w:id="1851404727">
          <w:marLeft w:val="640"/>
          <w:marRight w:val="0"/>
          <w:marTop w:val="0"/>
          <w:marBottom w:val="0"/>
          <w:divBdr>
            <w:top w:val="none" w:sz="0" w:space="0" w:color="auto"/>
            <w:left w:val="none" w:sz="0" w:space="0" w:color="auto"/>
            <w:bottom w:val="none" w:sz="0" w:space="0" w:color="auto"/>
            <w:right w:val="none" w:sz="0" w:space="0" w:color="auto"/>
          </w:divBdr>
        </w:div>
        <w:div w:id="1327442098">
          <w:marLeft w:val="640"/>
          <w:marRight w:val="0"/>
          <w:marTop w:val="0"/>
          <w:marBottom w:val="0"/>
          <w:divBdr>
            <w:top w:val="none" w:sz="0" w:space="0" w:color="auto"/>
            <w:left w:val="none" w:sz="0" w:space="0" w:color="auto"/>
            <w:bottom w:val="none" w:sz="0" w:space="0" w:color="auto"/>
            <w:right w:val="none" w:sz="0" w:space="0" w:color="auto"/>
          </w:divBdr>
        </w:div>
        <w:div w:id="1153720139">
          <w:marLeft w:val="640"/>
          <w:marRight w:val="0"/>
          <w:marTop w:val="0"/>
          <w:marBottom w:val="0"/>
          <w:divBdr>
            <w:top w:val="none" w:sz="0" w:space="0" w:color="auto"/>
            <w:left w:val="none" w:sz="0" w:space="0" w:color="auto"/>
            <w:bottom w:val="none" w:sz="0" w:space="0" w:color="auto"/>
            <w:right w:val="none" w:sz="0" w:space="0" w:color="auto"/>
          </w:divBdr>
        </w:div>
        <w:div w:id="1609778939">
          <w:marLeft w:val="640"/>
          <w:marRight w:val="0"/>
          <w:marTop w:val="0"/>
          <w:marBottom w:val="0"/>
          <w:divBdr>
            <w:top w:val="none" w:sz="0" w:space="0" w:color="auto"/>
            <w:left w:val="none" w:sz="0" w:space="0" w:color="auto"/>
            <w:bottom w:val="none" w:sz="0" w:space="0" w:color="auto"/>
            <w:right w:val="none" w:sz="0" w:space="0" w:color="auto"/>
          </w:divBdr>
        </w:div>
        <w:div w:id="405693224">
          <w:marLeft w:val="640"/>
          <w:marRight w:val="0"/>
          <w:marTop w:val="0"/>
          <w:marBottom w:val="0"/>
          <w:divBdr>
            <w:top w:val="none" w:sz="0" w:space="0" w:color="auto"/>
            <w:left w:val="none" w:sz="0" w:space="0" w:color="auto"/>
            <w:bottom w:val="none" w:sz="0" w:space="0" w:color="auto"/>
            <w:right w:val="none" w:sz="0" w:space="0" w:color="auto"/>
          </w:divBdr>
        </w:div>
        <w:div w:id="305010323">
          <w:marLeft w:val="640"/>
          <w:marRight w:val="0"/>
          <w:marTop w:val="0"/>
          <w:marBottom w:val="0"/>
          <w:divBdr>
            <w:top w:val="none" w:sz="0" w:space="0" w:color="auto"/>
            <w:left w:val="none" w:sz="0" w:space="0" w:color="auto"/>
            <w:bottom w:val="none" w:sz="0" w:space="0" w:color="auto"/>
            <w:right w:val="none" w:sz="0" w:space="0" w:color="auto"/>
          </w:divBdr>
        </w:div>
        <w:div w:id="611594143">
          <w:marLeft w:val="640"/>
          <w:marRight w:val="0"/>
          <w:marTop w:val="0"/>
          <w:marBottom w:val="0"/>
          <w:divBdr>
            <w:top w:val="none" w:sz="0" w:space="0" w:color="auto"/>
            <w:left w:val="none" w:sz="0" w:space="0" w:color="auto"/>
            <w:bottom w:val="none" w:sz="0" w:space="0" w:color="auto"/>
            <w:right w:val="none" w:sz="0" w:space="0" w:color="auto"/>
          </w:divBdr>
        </w:div>
        <w:div w:id="1904097425">
          <w:marLeft w:val="640"/>
          <w:marRight w:val="0"/>
          <w:marTop w:val="0"/>
          <w:marBottom w:val="0"/>
          <w:divBdr>
            <w:top w:val="none" w:sz="0" w:space="0" w:color="auto"/>
            <w:left w:val="none" w:sz="0" w:space="0" w:color="auto"/>
            <w:bottom w:val="none" w:sz="0" w:space="0" w:color="auto"/>
            <w:right w:val="none" w:sz="0" w:space="0" w:color="auto"/>
          </w:divBdr>
        </w:div>
        <w:div w:id="907616870">
          <w:marLeft w:val="640"/>
          <w:marRight w:val="0"/>
          <w:marTop w:val="0"/>
          <w:marBottom w:val="0"/>
          <w:divBdr>
            <w:top w:val="none" w:sz="0" w:space="0" w:color="auto"/>
            <w:left w:val="none" w:sz="0" w:space="0" w:color="auto"/>
            <w:bottom w:val="none" w:sz="0" w:space="0" w:color="auto"/>
            <w:right w:val="none" w:sz="0" w:space="0" w:color="auto"/>
          </w:divBdr>
        </w:div>
        <w:div w:id="979729228">
          <w:marLeft w:val="640"/>
          <w:marRight w:val="0"/>
          <w:marTop w:val="0"/>
          <w:marBottom w:val="0"/>
          <w:divBdr>
            <w:top w:val="none" w:sz="0" w:space="0" w:color="auto"/>
            <w:left w:val="none" w:sz="0" w:space="0" w:color="auto"/>
            <w:bottom w:val="none" w:sz="0" w:space="0" w:color="auto"/>
            <w:right w:val="none" w:sz="0" w:space="0" w:color="auto"/>
          </w:divBdr>
        </w:div>
        <w:div w:id="829638917">
          <w:marLeft w:val="640"/>
          <w:marRight w:val="0"/>
          <w:marTop w:val="0"/>
          <w:marBottom w:val="0"/>
          <w:divBdr>
            <w:top w:val="none" w:sz="0" w:space="0" w:color="auto"/>
            <w:left w:val="none" w:sz="0" w:space="0" w:color="auto"/>
            <w:bottom w:val="none" w:sz="0" w:space="0" w:color="auto"/>
            <w:right w:val="none" w:sz="0" w:space="0" w:color="auto"/>
          </w:divBdr>
        </w:div>
        <w:div w:id="1752771660">
          <w:marLeft w:val="640"/>
          <w:marRight w:val="0"/>
          <w:marTop w:val="0"/>
          <w:marBottom w:val="0"/>
          <w:divBdr>
            <w:top w:val="none" w:sz="0" w:space="0" w:color="auto"/>
            <w:left w:val="none" w:sz="0" w:space="0" w:color="auto"/>
            <w:bottom w:val="none" w:sz="0" w:space="0" w:color="auto"/>
            <w:right w:val="none" w:sz="0" w:space="0" w:color="auto"/>
          </w:divBdr>
        </w:div>
        <w:div w:id="2123836689">
          <w:marLeft w:val="640"/>
          <w:marRight w:val="0"/>
          <w:marTop w:val="0"/>
          <w:marBottom w:val="0"/>
          <w:divBdr>
            <w:top w:val="none" w:sz="0" w:space="0" w:color="auto"/>
            <w:left w:val="none" w:sz="0" w:space="0" w:color="auto"/>
            <w:bottom w:val="none" w:sz="0" w:space="0" w:color="auto"/>
            <w:right w:val="none" w:sz="0" w:space="0" w:color="auto"/>
          </w:divBdr>
        </w:div>
        <w:div w:id="1954820577">
          <w:marLeft w:val="640"/>
          <w:marRight w:val="0"/>
          <w:marTop w:val="0"/>
          <w:marBottom w:val="0"/>
          <w:divBdr>
            <w:top w:val="none" w:sz="0" w:space="0" w:color="auto"/>
            <w:left w:val="none" w:sz="0" w:space="0" w:color="auto"/>
            <w:bottom w:val="none" w:sz="0" w:space="0" w:color="auto"/>
            <w:right w:val="none" w:sz="0" w:space="0" w:color="auto"/>
          </w:divBdr>
        </w:div>
        <w:div w:id="673528693">
          <w:marLeft w:val="640"/>
          <w:marRight w:val="0"/>
          <w:marTop w:val="0"/>
          <w:marBottom w:val="0"/>
          <w:divBdr>
            <w:top w:val="none" w:sz="0" w:space="0" w:color="auto"/>
            <w:left w:val="none" w:sz="0" w:space="0" w:color="auto"/>
            <w:bottom w:val="none" w:sz="0" w:space="0" w:color="auto"/>
            <w:right w:val="none" w:sz="0" w:space="0" w:color="auto"/>
          </w:divBdr>
        </w:div>
        <w:div w:id="70321601">
          <w:marLeft w:val="640"/>
          <w:marRight w:val="0"/>
          <w:marTop w:val="0"/>
          <w:marBottom w:val="0"/>
          <w:divBdr>
            <w:top w:val="none" w:sz="0" w:space="0" w:color="auto"/>
            <w:left w:val="none" w:sz="0" w:space="0" w:color="auto"/>
            <w:bottom w:val="none" w:sz="0" w:space="0" w:color="auto"/>
            <w:right w:val="none" w:sz="0" w:space="0" w:color="auto"/>
          </w:divBdr>
        </w:div>
        <w:div w:id="1451629632">
          <w:marLeft w:val="640"/>
          <w:marRight w:val="0"/>
          <w:marTop w:val="0"/>
          <w:marBottom w:val="0"/>
          <w:divBdr>
            <w:top w:val="none" w:sz="0" w:space="0" w:color="auto"/>
            <w:left w:val="none" w:sz="0" w:space="0" w:color="auto"/>
            <w:bottom w:val="none" w:sz="0" w:space="0" w:color="auto"/>
            <w:right w:val="none" w:sz="0" w:space="0" w:color="auto"/>
          </w:divBdr>
        </w:div>
        <w:div w:id="1220364471">
          <w:marLeft w:val="640"/>
          <w:marRight w:val="0"/>
          <w:marTop w:val="0"/>
          <w:marBottom w:val="0"/>
          <w:divBdr>
            <w:top w:val="none" w:sz="0" w:space="0" w:color="auto"/>
            <w:left w:val="none" w:sz="0" w:space="0" w:color="auto"/>
            <w:bottom w:val="none" w:sz="0" w:space="0" w:color="auto"/>
            <w:right w:val="none" w:sz="0" w:space="0" w:color="auto"/>
          </w:divBdr>
        </w:div>
        <w:div w:id="1159267804">
          <w:marLeft w:val="640"/>
          <w:marRight w:val="0"/>
          <w:marTop w:val="0"/>
          <w:marBottom w:val="0"/>
          <w:divBdr>
            <w:top w:val="none" w:sz="0" w:space="0" w:color="auto"/>
            <w:left w:val="none" w:sz="0" w:space="0" w:color="auto"/>
            <w:bottom w:val="none" w:sz="0" w:space="0" w:color="auto"/>
            <w:right w:val="none" w:sz="0" w:space="0" w:color="auto"/>
          </w:divBdr>
        </w:div>
        <w:div w:id="1477913663">
          <w:marLeft w:val="640"/>
          <w:marRight w:val="0"/>
          <w:marTop w:val="0"/>
          <w:marBottom w:val="0"/>
          <w:divBdr>
            <w:top w:val="none" w:sz="0" w:space="0" w:color="auto"/>
            <w:left w:val="none" w:sz="0" w:space="0" w:color="auto"/>
            <w:bottom w:val="none" w:sz="0" w:space="0" w:color="auto"/>
            <w:right w:val="none" w:sz="0" w:space="0" w:color="auto"/>
          </w:divBdr>
        </w:div>
        <w:div w:id="2018772904">
          <w:marLeft w:val="640"/>
          <w:marRight w:val="0"/>
          <w:marTop w:val="0"/>
          <w:marBottom w:val="0"/>
          <w:divBdr>
            <w:top w:val="none" w:sz="0" w:space="0" w:color="auto"/>
            <w:left w:val="none" w:sz="0" w:space="0" w:color="auto"/>
            <w:bottom w:val="none" w:sz="0" w:space="0" w:color="auto"/>
            <w:right w:val="none" w:sz="0" w:space="0" w:color="auto"/>
          </w:divBdr>
        </w:div>
        <w:div w:id="1327392925">
          <w:marLeft w:val="640"/>
          <w:marRight w:val="0"/>
          <w:marTop w:val="0"/>
          <w:marBottom w:val="0"/>
          <w:divBdr>
            <w:top w:val="none" w:sz="0" w:space="0" w:color="auto"/>
            <w:left w:val="none" w:sz="0" w:space="0" w:color="auto"/>
            <w:bottom w:val="none" w:sz="0" w:space="0" w:color="auto"/>
            <w:right w:val="none" w:sz="0" w:space="0" w:color="auto"/>
          </w:divBdr>
        </w:div>
        <w:div w:id="117190812">
          <w:marLeft w:val="640"/>
          <w:marRight w:val="0"/>
          <w:marTop w:val="0"/>
          <w:marBottom w:val="0"/>
          <w:divBdr>
            <w:top w:val="none" w:sz="0" w:space="0" w:color="auto"/>
            <w:left w:val="none" w:sz="0" w:space="0" w:color="auto"/>
            <w:bottom w:val="none" w:sz="0" w:space="0" w:color="auto"/>
            <w:right w:val="none" w:sz="0" w:space="0" w:color="auto"/>
          </w:divBdr>
        </w:div>
        <w:div w:id="2019185897">
          <w:marLeft w:val="640"/>
          <w:marRight w:val="0"/>
          <w:marTop w:val="0"/>
          <w:marBottom w:val="0"/>
          <w:divBdr>
            <w:top w:val="none" w:sz="0" w:space="0" w:color="auto"/>
            <w:left w:val="none" w:sz="0" w:space="0" w:color="auto"/>
            <w:bottom w:val="none" w:sz="0" w:space="0" w:color="auto"/>
            <w:right w:val="none" w:sz="0" w:space="0" w:color="auto"/>
          </w:divBdr>
        </w:div>
        <w:div w:id="32656872">
          <w:marLeft w:val="640"/>
          <w:marRight w:val="0"/>
          <w:marTop w:val="0"/>
          <w:marBottom w:val="0"/>
          <w:divBdr>
            <w:top w:val="none" w:sz="0" w:space="0" w:color="auto"/>
            <w:left w:val="none" w:sz="0" w:space="0" w:color="auto"/>
            <w:bottom w:val="none" w:sz="0" w:space="0" w:color="auto"/>
            <w:right w:val="none" w:sz="0" w:space="0" w:color="auto"/>
          </w:divBdr>
        </w:div>
        <w:div w:id="1276250115">
          <w:marLeft w:val="640"/>
          <w:marRight w:val="0"/>
          <w:marTop w:val="0"/>
          <w:marBottom w:val="0"/>
          <w:divBdr>
            <w:top w:val="none" w:sz="0" w:space="0" w:color="auto"/>
            <w:left w:val="none" w:sz="0" w:space="0" w:color="auto"/>
            <w:bottom w:val="none" w:sz="0" w:space="0" w:color="auto"/>
            <w:right w:val="none" w:sz="0" w:space="0" w:color="auto"/>
          </w:divBdr>
        </w:div>
        <w:div w:id="1649550182">
          <w:marLeft w:val="640"/>
          <w:marRight w:val="0"/>
          <w:marTop w:val="0"/>
          <w:marBottom w:val="0"/>
          <w:divBdr>
            <w:top w:val="none" w:sz="0" w:space="0" w:color="auto"/>
            <w:left w:val="none" w:sz="0" w:space="0" w:color="auto"/>
            <w:bottom w:val="none" w:sz="0" w:space="0" w:color="auto"/>
            <w:right w:val="none" w:sz="0" w:space="0" w:color="auto"/>
          </w:divBdr>
        </w:div>
        <w:div w:id="321738891">
          <w:marLeft w:val="640"/>
          <w:marRight w:val="0"/>
          <w:marTop w:val="0"/>
          <w:marBottom w:val="0"/>
          <w:divBdr>
            <w:top w:val="none" w:sz="0" w:space="0" w:color="auto"/>
            <w:left w:val="none" w:sz="0" w:space="0" w:color="auto"/>
            <w:bottom w:val="none" w:sz="0" w:space="0" w:color="auto"/>
            <w:right w:val="none" w:sz="0" w:space="0" w:color="auto"/>
          </w:divBdr>
        </w:div>
        <w:div w:id="1847935106">
          <w:marLeft w:val="640"/>
          <w:marRight w:val="0"/>
          <w:marTop w:val="0"/>
          <w:marBottom w:val="0"/>
          <w:divBdr>
            <w:top w:val="none" w:sz="0" w:space="0" w:color="auto"/>
            <w:left w:val="none" w:sz="0" w:space="0" w:color="auto"/>
            <w:bottom w:val="none" w:sz="0" w:space="0" w:color="auto"/>
            <w:right w:val="none" w:sz="0" w:space="0" w:color="auto"/>
          </w:divBdr>
        </w:div>
        <w:div w:id="1712220056">
          <w:marLeft w:val="640"/>
          <w:marRight w:val="0"/>
          <w:marTop w:val="0"/>
          <w:marBottom w:val="0"/>
          <w:divBdr>
            <w:top w:val="none" w:sz="0" w:space="0" w:color="auto"/>
            <w:left w:val="none" w:sz="0" w:space="0" w:color="auto"/>
            <w:bottom w:val="none" w:sz="0" w:space="0" w:color="auto"/>
            <w:right w:val="none" w:sz="0" w:space="0" w:color="auto"/>
          </w:divBdr>
        </w:div>
        <w:div w:id="1220749034">
          <w:marLeft w:val="640"/>
          <w:marRight w:val="0"/>
          <w:marTop w:val="0"/>
          <w:marBottom w:val="0"/>
          <w:divBdr>
            <w:top w:val="none" w:sz="0" w:space="0" w:color="auto"/>
            <w:left w:val="none" w:sz="0" w:space="0" w:color="auto"/>
            <w:bottom w:val="none" w:sz="0" w:space="0" w:color="auto"/>
            <w:right w:val="none" w:sz="0" w:space="0" w:color="auto"/>
          </w:divBdr>
        </w:div>
        <w:div w:id="1710448088">
          <w:marLeft w:val="640"/>
          <w:marRight w:val="0"/>
          <w:marTop w:val="0"/>
          <w:marBottom w:val="0"/>
          <w:divBdr>
            <w:top w:val="none" w:sz="0" w:space="0" w:color="auto"/>
            <w:left w:val="none" w:sz="0" w:space="0" w:color="auto"/>
            <w:bottom w:val="none" w:sz="0" w:space="0" w:color="auto"/>
            <w:right w:val="none" w:sz="0" w:space="0" w:color="auto"/>
          </w:divBdr>
        </w:div>
        <w:div w:id="1121725392">
          <w:marLeft w:val="640"/>
          <w:marRight w:val="0"/>
          <w:marTop w:val="0"/>
          <w:marBottom w:val="0"/>
          <w:divBdr>
            <w:top w:val="none" w:sz="0" w:space="0" w:color="auto"/>
            <w:left w:val="none" w:sz="0" w:space="0" w:color="auto"/>
            <w:bottom w:val="none" w:sz="0" w:space="0" w:color="auto"/>
            <w:right w:val="none" w:sz="0" w:space="0" w:color="auto"/>
          </w:divBdr>
        </w:div>
        <w:div w:id="1424061402">
          <w:marLeft w:val="640"/>
          <w:marRight w:val="0"/>
          <w:marTop w:val="0"/>
          <w:marBottom w:val="0"/>
          <w:divBdr>
            <w:top w:val="none" w:sz="0" w:space="0" w:color="auto"/>
            <w:left w:val="none" w:sz="0" w:space="0" w:color="auto"/>
            <w:bottom w:val="none" w:sz="0" w:space="0" w:color="auto"/>
            <w:right w:val="none" w:sz="0" w:space="0" w:color="auto"/>
          </w:divBdr>
        </w:div>
        <w:div w:id="685059766">
          <w:marLeft w:val="640"/>
          <w:marRight w:val="0"/>
          <w:marTop w:val="0"/>
          <w:marBottom w:val="0"/>
          <w:divBdr>
            <w:top w:val="none" w:sz="0" w:space="0" w:color="auto"/>
            <w:left w:val="none" w:sz="0" w:space="0" w:color="auto"/>
            <w:bottom w:val="none" w:sz="0" w:space="0" w:color="auto"/>
            <w:right w:val="none" w:sz="0" w:space="0" w:color="auto"/>
          </w:divBdr>
        </w:div>
        <w:div w:id="505680680">
          <w:marLeft w:val="640"/>
          <w:marRight w:val="0"/>
          <w:marTop w:val="0"/>
          <w:marBottom w:val="0"/>
          <w:divBdr>
            <w:top w:val="none" w:sz="0" w:space="0" w:color="auto"/>
            <w:left w:val="none" w:sz="0" w:space="0" w:color="auto"/>
            <w:bottom w:val="none" w:sz="0" w:space="0" w:color="auto"/>
            <w:right w:val="none" w:sz="0" w:space="0" w:color="auto"/>
          </w:divBdr>
        </w:div>
        <w:div w:id="2035187553">
          <w:marLeft w:val="640"/>
          <w:marRight w:val="0"/>
          <w:marTop w:val="0"/>
          <w:marBottom w:val="0"/>
          <w:divBdr>
            <w:top w:val="none" w:sz="0" w:space="0" w:color="auto"/>
            <w:left w:val="none" w:sz="0" w:space="0" w:color="auto"/>
            <w:bottom w:val="none" w:sz="0" w:space="0" w:color="auto"/>
            <w:right w:val="none" w:sz="0" w:space="0" w:color="auto"/>
          </w:divBdr>
        </w:div>
        <w:div w:id="1313827367">
          <w:marLeft w:val="640"/>
          <w:marRight w:val="0"/>
          <w:marTop w:val="0"/>
          <w:marBottom w:val="0"/>
          <w:divBdr>
            <w:top w:val="none" w:sz="0" w:space="0" w:color="auto"/>
            <w:left w:val="none" w:sz="0" w:space="0" w:color="auto"/>
            <w:bottom w:val="none" w:sz="0" w:space="0" w:color="auto"/>
            <w:right w:val="none" w:sz="0" w:space="0" w:color="auto"/>
          </w:divBdr>
        </w:div>
        <w:div w:id="1935481091">
          <w:marLeft w:val="640"/>
          <w:marRight w:val="0"/>
          <w:marTop w:val="0"/>
          <w:marBottom w:val="0"/>
          <w:divBdr>
            <w:top w:val="none" w:sz="0" w:space="0" w:color="auto"/>
            <w:left w:val="none" w:sz="0" w:space="0" w:color="auto"/>
            <w:bottom w:val="none" w:sz="0" w:space="0" w:color="auto"/>
            <w:right w:val="none" w:sz="0" w:space="0" w:color="auto"/>
          </w:divBdr>
        </w:div>
        <w:div w:id="514468093">
          <w:marLeft w:val="640"/>
          <w:marRight w:val="0"/>
          <w:marTop w:val="0"/>
          <w:marBottom w:val="0"/>
          <w:divBdr>
            <w:top w:val="none" w:sz="0" w:space="0" w:color="auto"/>
            <w:left w:val="none" w:sz="0" w:space="0" w:color="auto"/>
            <w:bottom w:val="none" w:sz="0" w:space="0" w:color="auto"/>
            <w:right w:val="none" w:sz="0" w:space="0" w:color="auto"/>
          </w:divBdr>
        </w:div>
        <w:div w:id="73204967">
          <w:marLeft w:val="640"/>
          <w:marRight w:val="0"/>
          <w:marTop w:val="0"/>
          <w:marBottom w:val="0"/>
          <w:divBdr>
            <w:top w:val="none" w:sz="0" w:space="0" w:color="auto"/>
            <w:left w:val="none" w:sz="0" w:space="0" w:color="auto"/>
            <w:bottom w:val="none" w:sz="0" w:space="0" w:color="auto"/>
            <w:right w:val="none" w:sz="0" w:space="0" w:color="auto"/>
          </w:divBdr>
        </w:div>
        <w:div w:id="275412455">
          <w:marLeft w:val="640"/>
          <w:marRight w:val="0"/>
          <w:marTop w:val="0"/>
          <w:marBottom w:val="0"/>
          <w:divBdr>
            <w:top w:val="none" w:sz="0" w:space="0" w:color="auto"/>
            <w:left w:val="none" w:sz="0" w:space="0" w:color="auto"/>
            <w:bottom w:val="none" w:sz="0" w:space="0" w:color="auto"/>
            <w:right w:val="none" w:sz="0" w:space="0" w:color="auto"/>
          </w:divBdr>
        </w:div>
        <w:div w:id="1341617412">
          <w:marLeft w:val="640"/>
          <w:marRight w:val="0"/>
          <w:marTop w:val="0"/>
          <w:marBottom w:val="0"/>
          <w:divBdr>
            <w:top w:val="none" w:sz="0" w:space="0" w:color="auto"/>
            <w:left w:val="none" w:sz="0" w:space="0" w:color="auto"/>
            <w:bottom w:val="none" w:sz="0" w:space="0" w:color="auto"/>
            <w:right w:val="none" w:sz="0" w:space="0" w:color="auto"/>
          </w:divBdr>
        </w:div>
        <w:div w:id="1186097649">
          <w:marLeft w:val="640"/>
          <w:marRight w:val="0"/>
          <w:marTop w:val="0"/>
          <w:marBottom w:val="0"/>
          <w:divBdr>
            <w:top w:val="none" w:sz="0" w:space="0" w:color="auto"/>
            <w:left w:val="none" w:sz="0" w:space="0" w:color="auto"/>
            <w:bottom w:val="none" w:sz="0" w:space="0" w:color="auto"/>
            <w:right w:val="none" w:sz="0" w:space="0" w:color="auto"/>
          </w:divBdr>
        </w:div>
        <w:div w:id="2074423851">
          <w:marLeft w:val="640"/>
          <w:marRight w:val="0"/>
          <w:marTop w:val="0"/>
          <w:marBottom w:val="0"/>
          <w:divBdr>
            <w:top w:val="none" w:sz="0" w:space="0" w:color="auto"/>
            <w:left w:val="none" w:sz="0" w:space="0" w:color="auto"/>
            <w:bottom w:val="none" w:sz="0" w:space="0" w:color="auto"/>
            <w:right w:val="none" w:sz="0" w:space="0" w:color="auto"/>
          </w:divBdr>
        </w:div>
        <w:div w:id="936789825">
          <w:marLeft w:val="640"/>
          <w:marRight w:val="0"/>
          <w:marTop w:val="0"/>
          <w:marBottom w:val="0"/>
          <w:divBdr>
            <w:top w:val="none" w:sz="0" w:space="0" w:color="auto"/>
            <w:left w:val="none" w:sz="0" w:space="0" w:color="auto"/>
            <w:bottom w:val="none" w:sz="0" w:space="0" w:color="auto"/>
            <w:right w:val="none" w:sz="0" w:space="0" w:color="auto"/>
          </w:divBdr>
        </w:div>
        <w:div w:id="341471060">
          <w:marLeft w:val="640"/>
          <w:marRight w:val="0"/>
          <w:marTop w:val="0"/>
          <w:marBottom w:val="0"/>
          <w:divBdr>
            <w:top w:val="none" w:sz="0" w:space="0" w:color="auto"/>
            <w:left w:val="none" w:sz="0" w:space="0" w:color="auto"/>
            <w:bottom w:val="none" w:sz="0" w:space="0" w:color="auto"/>
            <w:right w:val="none" w:sz="0" w:space="0" w:color="auto"/>
          </w:divBdr>
        </w:div>
        <w:div w:id="162546574">
          <w:marLeft w:val="640"/>
          <w:marRight w:val="0"/>
          <w:marTop w:val="0"/>
          <w:marBottom w:val="0"/>
          <w:divBdr>
            <w:top w:val="none" w:sz="0" w:space="0" w:color="auto"/>
            <w:left w:val="none" w:sz="0" w:space="0" w:color="auto"/>
            <w:bottom w:val="none" w:sz="0" w:space="0" w:color="auto"/>
            <w:right w:val="none" w:sz="0" w:space="0" w:color="auto"/>
          </w:divBdr>
        </w:div>
        <w:div w:id="917323598">
          <w:marLeft w:val="640"/>
          <w:marRight w:val="0"/>
          <w:marTop w:val="0"/>
          <w:marBottom w:val="0"/>
          <w:divBdr>
            <w:top w:val="none" w:sz="0" w:space="0" w:color="auto"/>
            <w:left w:val="none" w:sz="0" w:space="0" w:color="auto"/>
            <w:bottom w:val="none" w:sz="0" w:space="0" w:color="auto"/>
            <w:right w:val="none" w:sz="0" w:space="0" w:color="auto"/>
          </w:divBdr>
        </w:div>
        <w:div w:id="874272482">
          <w:marLeft w:val="640"/>
          <w:marRight w:val="0"/>
          <w:marTop w:val="0"/>
          <w:marBottom w:val="0"/>
          <w:divBdr>
            <w:top w:val="none" w:sz="0" w:space="0" w:color="auto"/>
            <w:left w:val="none" w:sz="0" w:space="0" w:color="auto"/>
            <w:bottom w:val="none" w:sz="0" w:space="0" w:color="auto"/>
            <w:right w:val="none" w:sz="0" w:space="0" w:color="auto"/>
          </w:divBdr>
        </w:div>
        <w:div w:id="1221551341">
          <w:marLeft w:val="640"/>
          <w:marRight w:val="0"/>
          <w:marTop w:val="0"/>
          <w:marBottom w:val="0"/>
          <w:divBdr>
            <w:top w:val="none" w:sz="0" w:space="0" w:color="auto"/>
            <w:left w:val="none" w:sz="0" w:space="0" w:color="auto"/>
            <w:bottom w:val="none" w:sz="0" w:space="0" w:color="auto"/>
            <w:right w:val="none" w:sz="0" w:space="0" w:color="auto"/>
          </w:divBdr>
        </w:div>
        <w:div w:id="234096196">
          <w:marLeft w:val="640"/>
          <w:marRight w:val="0"/>
          <w:marTop w:val="0"/>
          <w:marBottom w:val="0"/>
          <w:divBdr>
            <w:top w:val="none" w:sz="0" w:space="0" w:color="auto"/>
            <w:left w:val="none" w:sz="0" w:space="0" w:color="auto"/>
            <w:bottom w:val="none" w:sz="0" w:space="0" w:color="auto"/>
            <w:right w:val="none" w:sz="0" w:space="0" w:color="auto"/>
          </w:divBdr>
        </w:div>
        <w:div w:id="2008825038">
          <w:marLeft w:val="640"/>
          <w:marRight w:val="0"/>
          <w:marTop w:val="0"/>
          <w:marBottom w:val="0"/>
          <w:divBdr>
            <w:top w:val="none" w:sz="0" w:space="0" w:color="auto"/>
            <w:left w:val="none" w:sz="0" w:space="0" w:color="auto"/>
            <w:bottom w:val="none" w:sz="0" w:space="0" w:color="auto"/>
            <w:right w:val="none" w:sz="0" w:space="0" w:color="auto"/>
          </w:divBdr>
        </w:div>
        <w:div w:id="977763234">
          <w:marLeft w:val="640"/>
          <w:marRight w:val="0"/>
          <w:marTop w:val="0"/>
          <w:marBottom w:val="0"/>
          <w:divBdr>
            <w:top w:val="none" w:sz="0" w:space="0" w:color="auto"/>
            <w:left w:val="none" w:sz="0" w:space="0" w:color="auto"/>
            <w:bottom w:val="none" w:sz="0" w:space="0" w:color="auto"/>
            <w:right w:val="none" w:sz="0" w:space="0" w:color="auto"/>
          </w:divBdr>
        </w:div>
        <w:div w:id="506099215">
          <w:marLeft w:val="640"/>
          <w:marRight w:val="0"/>
          <w:marTop w:val="0"/>
          <w:marBottom w:val="0"/>
          <w:divBdr>
            <w:top w:val="none" w:sz="0" w:space="0" w:color="auto"/>
            <w:left w:val="none" w:sz="0" w:space="0" w:color="auto"/>
            <w:bottom w:val="none" w:sz="0" w:space="0" w:color="auto"/>
            <w:right w:val="none" w:sz="0" w:space="0" w:color="auto"/>
          </w:divBdr>
        </w:div>
      </w:divsChild>
    </w:div>
    <w:div w:id="1418207350">
      <w:bodyDiv w:val="1"/>
      <w:marLeft w:val="0"/>
      <w:marRight w:val="0"/>
      <w:marTop w:val="0"/>
      <w:marBottom w:val="0"/>
      <w:divBdr>
        <w:top w:val="none" w:sz="0" w:space="0" w:color="auto"/>
        <w:left w:val="none" w:sz="0" w:space="0" w:color="auto"/>
        <w:bottom w:val="none" w:sz="0" w:space="0" w:color="auto"/>
        <w:right w:val="none" w:sz="0" w:space="0" w:color="auto"/>
      </w:divBdr>
    </w:div>
    <w:div w:id="1418481885">
      <w:bodyDiv w:val="1"/>
      <w:marLeft w:val="0"/>
      <w:marRight w:val="0"/>
      <w:marTop w:val="0"/>
      <w:marBottom w:val="0"/>
      <w:divBdr>
        <w:top w:val="none" w:sz="0" w:space="0" w:color="auto"/>
        <w:left w:val="none" w:sz="0" w:space="0" w:color="auto"/>
        <w:bottom w:val="none" w:sz="0" w:space="0" w:color="auto"/>
        <w:right w:val="none" w:sz="0" w:space="0" w:color="auto"/>
      </w:divBdr>
    </w:div>
    <w:div w:id="1419401149">
      <w:bodyDiv w:val="1"/>
      <w:marLeft w:val="0"/>
      <w:marRight w:val="0"/>
      <w:marTop w:val="0"/>
      <w:marBottom w:val="0"/>
      <w:divBdr>
        <w:top w:val="none" w:sz="0" w:space="0" w:color="auto"/>
        <w:left w:val="none" w:sz="0" w:space="0" w:color="auto"/>
        <w:bottom w:val="none" w:sz="0" w:space="0" w:color="auto"/>
        <w:right w:val="none" w:sz="0" w:space="0" w:color="auto"/>
      </w:divBdr>
    </w:div>
    <w:div w:id="1419908747">
      <w:bodyDiv w:val="1"/>
      <w:marLeft w:val="0"/>
      <w:marRight w:val="0"/>
      <w:marTop w:val="0"/>
      <w:marBottom w:val="0"/>
      <w:divBdr>
        <w:top w:val="none" w:sz="0" w:space="0" w:color="auto"/>
        <w:left w:val="none" w:sz="0" w:space="0" w:color="auto"/>
        <w:bottom w:val="none" w:sz="0" w:space="0" w:color="auto"/>
        <w:right w:val="none" w:sz="0" w:space="0" w:color="auto"/>
      </w:divBdr>
    </w:div>
    <w:div w:id="1419985119">
      <w:bodyDiv w:val="1"/>
      <w:marLeft w:val="0"/>
      <w:marRight w:val="0"/>
      <w:marTop w:val="0"/>
      <w:marBottom w:val="0"/>
      <w:divBdr>
        <w:top w:val="none" w:sz="0" w:space="0" w:color="auto"/>
        <w:left w:val="none" w:sz="0" w:space="0" w:color="auto"/>
        <w:bottom w:val="none" w:sz="0" w:space="0" w:color="auto"/>
        <w:right w:val="none" w:sz="0" w:space="0" w:color="auto"/>
      </w:divBdr>
    </w:div>
    <w:div w:id="1420908299">
      <w:bodyDiv w:val="1"/>
      <w:marLeft w:val="0"/>
      <w:marRight w:val="0"/>
      <w:marTop w:val="0"/>
      <w:marBottom w:val="0"/>
      <w:divBdr>
        <w:top w:val="none" w:sz="0" w:space="0" w:color="auto"/>
        <w:left w:val="none" w:sz="0" w:space="0" w:color="auto"/>
        <w:bottom w:val="none" w:sz="0" w:space="0" w:color="auto"/>
        <w:right w:val="none" w:sz="0" w:space="0" w:color="auto"/>
      </w:divBdr>
    </w:div>
    <w:div w:id="1421290094">
      <w:bodyDiv w:val="1"/>
      <w:marLeft w:val="0"/>
      <w:marRight w:val="0"/>
      <w:marTop w:val="0"/>
      <w:marBottom w:val="0"/>
      <w:divBdr>
        <w:top w:val="none" w:sz="0" w:space="0" w:color="auto"/>
        <w:left w:val="none" w:sz="0" w:space="0" w:color="auto"/>
        <w:bottom w:val="none" w:sz="0" w:space="0" w:color="auto"/>
        <w:right w:val="none" w:sz="0" w:space="0" w:color="auto"/>
      </w:divBdr>
    </w:div>
    <w:div w:id="1422607918">
      <w:bodyDiv w:val="1"/>
      <w:marLeft w:val="0"/>
      <w:marRight w:val="0"/>
      <w:marTop w:val="0"/>
      <w:marBottom w:val="0"/>
      <w:divBdr>
        <w:top w:val="none" w:sz="0" w:space="0" w:color="auto"/>
        <w:left w:val="none" w:sz="0" w:space="0" w:color="auto"/>
        <w:bottom w:val="none" w:sz="0" w:space="0" w:color="auto"/>
        <w:right w:val="none" w:sz="0" w:space="0" w:color="auto"/>
      </w:divBdr>
    </w:div>
    <w:div w:id="1424034417">
      <w:bodyDiv w:val="1"/>
      <w:marLeft w:val="0"/>
      <w:marRight w:val="0"/>
      <w:marTop w:val="0"/>
      <w:marBottom w:val="0"/>
      <w:divBdr>
        <w:top w:val="none" w:sz="0" w:space="0" w:color="auto"/>
        <w:left w:val="none" w:sz="0" w:space="0" w:color="auto"/>
        <w:bottom w:val="none" w:sz="0" w:space="0" w:color="auto"/>
        <w:right w:val="none" w:sz="0" w:space="0" w:color="auto"/>
      </w:divBdr>
    </w:div>
    <w:div w:id="1424372364">
      <w:bodyDiv w:val="1"/>
      <w:marLeft w:val="0"/>
      <w:marRight w:val="0"/>
      <w:marTop w:val="0"/>
      <w:marBottom w:val="0"/>
      <w:divBdr>
        <w:top w:val="none" w:sz="0" w:space="0" w:color="auto"/>
        <w:left w:val="none" w:sz="0" w:space="0" w:color="auto"/>
        <w:bottom w:val="none" w:sz="0" w:space="0" w:color="auto"/>
        <w:right w:val="none" w:sz="0" w:space="0" w:color="auto"/>
      </w:divBdr>
    </w:div>
    <w:div w:id="1428428568">
      <w:bodyDiv w:val="1"/>
      <w:marLeft w:val="0"/>
      <w:marRight w:val="0"/>
      <w:marTop w:val="0"/>
      <w:marBottom w:val="0"/>
      <w:divBdr>
        <w:top w:val="none" w:sz="0" w:space="0" w:color="auto"/>
        <w:left w:val="none" w:sz="0" w:space="0" w:color="auto"/>
        <w:bottom w:val="none" w:sz="0" w:space="0" w:color="auto"/>
        <w:right w:val="none" w:sz="0" w:space="0" w:color="auto"/>
      </w:divBdr>
    </w:div>
    <w:div w:id="1429233050">
      <w:bodyDiv w:val="1"/>
      <w:marLeft w:val="0"/>
      <w:marRight w:val="0"/>
      <w:marTop w:val="0"/>
      <w:marBottom w:val="0"/>
      <w:divBdr>
        <w:top w:val="none" w:sz="0" w:space="0" w:color="auto"/>
        <w:left w:val="none" w:sz="0" w:space="0" w:color="auto"/>
        <w:bottom w:val="none" w:sz="0" w:space="0" w:color="auto"/>
        <w:right w:val="none" w:sz="0" w:space="0" w:color="auto"/>
      </w:divBdr>
    </w:div>
    <w:div w:id="1430349190">
      <w:bodyDiv w:val="1"/>
      <w:marLeft w:val="0"/>
      <w:marRight w:val="0"/>
      <w:marTop w:val="0"/>
      <w:marBottom w:val="0"/>
      <w:divBdr>
        <w:top w:val="none" w:sz="0" w:space="0" w:color="auto"/>
        <w:left w:val="none" w:sz="0" w:space="0" w:color="auto"/>
        <w:bottom w:val="none" w:sz="0" w:space="0" w:color="auto"/>
        <w:right w:val="none" w:sz="0" w:space="0" w:color="auto"/>
      </w:divBdr>
    </w:div>
    <w:div w:id="1430350073">
      <w:bodyDiv w:val="1"/>
      <w:marLeft w:val="0"/>
      <w:marRight w:val="0"/>
      <w:marTop w:val="0"/>
      <w:marBottom w:val="0"/>
      <w:divBdr>
        <w:top w:val="none" w:sz="0" w:space="0" w:color="auto"/>
        <w:left w:val="none" w:sz="0" w:space="0" w:color="auto"/>
        <w:bottom w:val="none" w:sz="0" w:space="0" w:color="auto"/>
        <w:right w:val="none" w:sz="0" w:space="0" w:color="auto"/>
      </w:divBdr>
      <w:divsChild>
        <w:div w:id="1556235304">
          <w:marLeft w:val="640"/>
          <w:marRight w:val="0"/>
          <w:marTop w:val="0"/>
          <w:marBottom w:val="0"/>
          <w:divBdr>
            <w:top w:val="none" w:sz="0" w:space="0" w:color="auto"/>
            <w:left w:val="none" w:sz="0" w:space="0" w:color="auto"/>
            <w:bottom w:val="none" w:sz="0" w:space="0" w:color="auto"/>
            <w:right w:val="none" w:sz="0" w:space="0" w:color="auto"/>
          </w:divBdr>
          <w:divsChild>
            <w:div w:id="1071999829">
              <w:marLeft w:val="0"/>
              <w:marRight w:val="0"/>
              <w:marTop w:val="0"/>
              <w:marBottom w:val="0"/>
              <w:divBdr>
                <w:top w:val="none" w:sz="0" w:space="0" w:color="auto"/>
                <w:left w:val="none" w:sz="0" w:space="0" w:color="auto"/>
                <w:bottom w:val="none" w:sz="0" w:space="0" w:color="auto"/>
                <w:right w:val="none" w:sz="0" w:space="0" w:color="auto"/>
              </w:divBdr>
              <w:divsChild>
                <w:div w:id="417285843">
                  <w:marLeft w:val="640"/>
                  <w:marRight w:val="0"/>
                  <w:marTop w:val="0"/>
                  <w:marBottom w:val="0"/>
                  <w:divBdr>
                    <w:top w:val="none" w:sz="0" w:space="0" w:color="auto"/>
                    <w:left w:val="none" w:sz="0" w:space="0" w:color="auto"/>
                    <w:bottom w:val="none" w:sz="0" w:space="0" w:color="auto"/>
                    <w:right w:val="none" w:sz="0" w:space="0" w:color="auto"/>
                  </w:divBdr>
                </w:div>
                <w:div w:id="524441723">
                  <w:marLeft w:val="640"/>
                  <w:marRight w:val="0"/>
                  <w:marTop w:val="0"/>
                  <w:marBottom w:val="0"/>
                  <w:divBdr>
                    <w:top w:val="none" w:sz="0" w:space="0" w:color="auto"/>
                    <w:left w:val="none" w:sz="0" w:space="0" w:color="auto"/>
                    <w:bottom w:val="none" w:sz="0" w:space="0" w:color="auto"/>
                    <w:right w:val="none" w:sz="0" w:space="0" w:color="auto"/>
                  </w:divBdr>
                </w:div>
                <w:div w:id="2066833564">
                  <w:marLeft w:val="640"/>
                  <w:marRight w:val="0"/>
                  <w:marTop w:val="0"/>
                  <w:marBottom w:val="0"/>
                  <w:divBdr>
                    <w:top w:val="none" w:sz="0" w:space="0" w:color="auto"/>
                    <w:left w:val="none" w:sz="0" w:space="0" w:color="auto"/>
                    <w:bottom w:val="none" w:sz="0" w:space="0" w:color="auto"/>
                    <w:right w:val="none" w:sz="0" w:space="0" w:color="auto"/>
                  </w:divBdr>
                </w:div>
                <w:div w:id="1671710917">
                  <w:marLeft w:val="640"/>
                  <w:marRight w:val="0"/>
                  <w:marTop w:val="0"/>
                  <w:marBottom w:val="0"/>
                  <w:divBdr>
                    <w:top w:val="none" w:sz="0" w:space="0" w:color="auto"/>
                    <w:left w:val="none" w:sz="0" w:space="0" w:color="auto"/>
                    <w:bottom w:val="none" w:sz="0" w:space="0" w:color="auto"/>
                    <w:right w:val="none" w:sz="0" w:space="0" w:color="auto"/>
                  </w:divBdr>
                </w:div>
                <w:div w:id="1501002746">
                  <w:marLeft w:val="640"/>
                  <w:marRight w:val="0"/>
                  <w:marTop w:val="0"/>
                  <w:marBottom w:val="0"/>
                  <w:divBdr>
                    <w:top w:val="none" w:sz="0" w:space="0" w:color="auto"/>
                    <w:left w:val="none" w:sz="0" w:space="0" w:color="auto"/>
                    <w:bottom w:val="none" w:sz="0" w:space="0" w:color="auto"/>
                    <w:right w:val="none" w:sz="0" w:space="0" w:color="auto"/>
                  </w:divBdr>
                </w:div>
                <w:div w:id="1528641813">
                  <w:marLeft w:val="640"/>
                  <w:marRight w:val="0"/>
                  <w:marTop w:val="0"/>
                  <w:marBottom w:val="0"/>
                  <w:divBdr>
                    <w:top w:val="none" w:sz="0" w:space="0" w:color="auto"/>
                    <w:left w:val="none" w:sz="0" w:space="0" w:color="auto"/>
                    <w:bottom w:val="none" w:sz="0" w:space="0" w:color="auto"/>
                    <w:right w:val="none" w:sz="0" w:space="0" w:color="auto"/>
                  </w:divBdr>
                </w:div>
                <w:div w:id="100225132">
                  <w:marLeft w:val="640"/>
                  <w:marRight w:val="0"/>
                  <w:marTop w:val="0"/>
                  <w:marBottom w:val="0"/>
                  <w:divBdr>
                    <w:top w:val="none" w:sz="0" w:space="0" w:color="auto"/>
                    <w:left w:val="none" w:sz="0" w:space="0" w:color="auto"/>
                    <w:bottom w:val="none" w:sz="0" w:space="0" w:color="auto"/>
                    <w:right w:val="none" w:sz="0" w:space="0" w:color="auto"/>
                  </w:divBdr>
                </w:div>
                <w:div w:id="1653362987">
                  <w:marLeft w:val="640"/>
                  <w:marRight w:val="0"/>
                  <w:marTop w:val="0"/>
                  <w:marBottom w:val="0"/>
                  <w:divBdr>
                    <w:top w:val="none" w:sz="0" w:space="0" w:color="auto"/>
                    <w:left w:val="none" w:sz="0" w:space="0" w:color="auto"/>
                    <w:bottom w:val="none" w:sz="0" w:space="0" w:color="auto"/>
                    <w:right w:val="none" w:sz="0" w:space="0" w:color="auto"/>
                  </w:divBdr>
                </w:div>
                <w:div w:id="2048672869">
                  <w:marLeft w:val="640"/>
                  <w:marRight w:val="0"/>
                  <w:marTop w:val="0"/>
                  <w:marBottom w:val="0"/>
                  <w:divBdr>
                    <w:top w:val="none" w:sz="0" w:space="0" w:color="auto"/>
                    <w:left w:val="none" w:sz="0" w:space="0" w:color="auto"/>
                    <w:bottom w:val="none" w:sz="0" w:space="0" w:color="auto"/>
                    <w:right w:val="none" w:sz="0" w:space="0" w:color="auto"/>
                  </w:divBdr>
                </w:div>
                <w:div w:id="1749888733">
                  <w:marLeft w:val="640"/>
                  <w:marRight w:val="0"/>
                  <w:marTop w:val="0"/>
                  <w:marBottom w:val="0"/>
                  <w:divBdr>
                    <w:top w:val="none" w:sz="0" w:space="0" w:color="auto"/>
                    <w:left w:val="none" w:sz="0" w:space="0" w:color="auto"/>
                    <w:bottom w:val="none" w:sz="0" w:space="0" w:color="auto"/>
                    <w:right w:val="none" w:sz="0" w:space="0" w:color="auto"/>
                  </w:divBdr>
                </w:div>
                <w:div w:id="1952392743">
                  <w:marLeft w:val="640"/>
                  <w:marRight w:val="0"/>
                  <w:marTop w:val="0"/>
                  <w:marBottom w:val="0"/>
                  <w:divBdr>
                    <w:top w:val="none" w:sz="0" w:space="0" w:color="auto"/>
                    <w:left w:val="none" w:sz="0" w:space="0" w:color="auto"/>
                    <w:bottom w:val="none" w:sz="0" w:space="0" w:color="auto"/>
                    <w:right w:val="none" w:sz="0" w:space="0" w:color="auto"/>
                  </w:divBdr>
                </w:div>
                <w:div w:id="700790323">
                  <w:marLeft w:val="640"/>
                  <w:marRight w:val="0"/>
                  <w:marTop w:val="0"/>
                  <w:marBottom w:val="0"/>
                  <w:divBdr>
                    <w:top w:val="none" w:sz="0" w:space="0" w:color="auto"/>
                    <w:left w:val="none" w:sz="0" w:space="0" w:color="auto"/>
                    <w:bottom w:val="none" w:sz="0" w:space="0" w:color="auto"/>
                    <w:right w:val="none" w:sz="0" w:space="0" w:color="auto"/>
                  </w:divBdr>
                </w:div>
                <w:div w:id="1297755663">
                  <w:marLeft w:val="640"/>
                  <w:marRight w:val="0"/>
                  <w:marTop w:val="0"/>
                  <w:marBottom w:val="0"/>
                  <w:divBdr>
                    <w:top w:val="none" w:sz="0" w:space="0" w:color="auto"/>
                    <w:left w:val="none" w:sz="0" w:space="0" w:color="auto"/>
                    <w:bottom w:val="none" w:sz="0" w:space="0" w:color="auto"/>
                    <w:right w:val="none" w:sz="0" w:space="0" w:color="auto"/>
                  </w:divBdr>
                </w:div>
                <w:div w:id="166556687">
                  <w:marLeft w:val="640"/>
                  <w:marRight w:val="0"/>
                  <w:marTop w:val="0"/>
                  <w:marBottom w:val="0"/>
                  <w:divBdr>
                    <w:top w:val="none" w:sz="0" w:space="0" w:color="auto"/>
                    <w:left w:val="none" w:sz="0" w:space="0" w:color="auto"/>
                    <w:bottom w:val="none" w:sz="0" w:space="0" w:color="auto"/>
                    <w:right w:val="none" w:sz="0" w:space="0" w:color="auto"/>
                  </w:divBdr>
                </w:div>
                <w:div w:id="133910524">
                  <w:marLeft w:val="640"/>
                  <w:marRight w:val="0"/>
                  <w:marTop w:val="0"/>
                  <w:marBottom w:val="0"/>
                  <w:divBdr>
                    <w:top w:val="none" w:sz="0" w:space="0" w:color="auto"/>
                    <w:left w:val="none" w:sz="0" w:space="0" w:color="auto"/>
                    <w:bottom w:val="none" w:sz="0" w:space="0" w:color="auto"/>
                    <w:right w:val="none" w:sz="0" w:space="0" w:color="auto"/>
                  </w:divBdr>
                </w:div>
                <w:div w:id="487526777">
                  <w:marLeft w:val="640"/>
                  <w:marRight w:val="0"/>
                  <w:marTop w:val="0"/>
                  <w:marBottom w:val="0"/>
                  <w:divBdr>
                    <w:top w:val="none" w:sz="0" w:space="0" w:color="auto"/>
                    <w:left w:val="none" w:sz="0" w:space="0" w:color="auto"/>
                    <w:bottom w:val="none" w:sz="0" w:space="0" w:color="auto"/>
                    <w:right w:val="none" w:sz="0" w:space="0" w:color="auto"/>
                  </w:divBdr>
                </w:div>
                <w:div w:id="1681466692">
                  <w:marLeft w:val="640"/>
                  <w:marRight w:val="0"/>
                  <w:marTop w:val="0"/>
                  <w:marBottom w:val="0"/>
                  <w:divBdr>
                    <w:top w:val="none" w:sz="0" w:space="0" w:color="auto"/>
                    <w:left w:val="none" w:sz="0" w:space="0" w:color="auto"/>
                    <w:bottom w:val="none" w:sz="0" w:space="0" w:color="auto"/>
                    <w:right w:val="none" w:sz="0" w:space="0" w:color="auto"/>
                  </w:divBdr>
                </w:div>
                <w:div w:id="1006054152">
                  <w:marLeft w:val="640"/>
                  <w:marRight w:val="0"/>
                  <w:marTop w:val="0"/>
                  <w:marBottom w:val="0"/>
                  <w:divBdr>
                    <w:top w:val="none" w:sz="0" w:space="0" w:color="auto"/>
                    <w:left w:val="none" w:sz="0" w:space="0" w:color="auto"/>
                    <w:bottom w:val="none" w:sz="0" w:space="0" w:color="auto"/>
                    <w:right w:val="none" w:sz="0" w:space="0" w:color="auto"/>
                  </w:divBdr>
                </w:div>
                <w:div w:id="1713966551">
                  <w:marLeft w:val="640"/>
                  <w:marRight w:val="0"/>
                  <w:marTop w:val="0"/>
                  <w:marBottom w:val="0"/>
                  <w:divBdr>
                    <w:top w:val="none" w:sz="0" w:space="0" w:color="auto"/>
                    <w:left w:val="none" w:sz="0" w:space="0" w:color="auto"/>
                    <w:bottom w:val="none" w:sz="0" w:space="0" w:color="auto"/>
                    <w:right w:val="none" w:sz="0" w:space="0" w:color="auto"/>
                  </w:divBdr>
                </w:div>
                <w:div w:id="2090737536">
                  <w:marLeft w:val="640"/>
                  <w:marRight w:val="0"/>
                  <w:marTop w:val="0"/>
                  <w:marBottom w:val="0"/>
                  <w:divBdr>
                    <w:top w:val="none" w:sz="0" w:space="0" w:color="auto"/>
                    <w:left w:val="none" w:sz="0" w:space="0" w:color="auto"/>
                    <w:bottom w:val="none" w:sz="0" w:space="0" w:color="auto"/>
                    <w:right w:val="none" w:sz="0" w:space="0" w:color="auto"/>
                  </w:divBdr>
                </w:div>
                <w:div w:id="2113890683">
                  <w:marLeft w:val="640"/>
                  <w:marRight w:val="0"/>
                  <w:marTop w:val="0"/>
                  <w:marBottom w:val="0"/>
                  <w:divBdr>
                    <w:top w:val="none" w:sz="0" w:space="0" w:color="auto"/>
                    <w:left w:val="none" w:sz="0" w:space="0" w:color="auto"/>
                    <w:bottom w:val="none" w:sz="0" w:space="0" w:color="auto"/>
                    <w:right w:val="none" w:sz="0" w:space="0" w:color="auto"/>
                  </w:divBdr>
                </w:div>
                <w:div w:id="1148395635">
                  <w:marLeft w:val="640"/>
                  <w:marRight w:val="0"/>
                  <w:marTop w:val="0"/>
                  <w:marBottom w:val="0"/>
                  <w:divBdr>
                    <w:top w:val="none" w:sz="0" w:space="0" w:color="auto"/>
                    <w:left w:val="none" w:sz="0" w:space="0" w:color="auto"/>
                    <w:bottom w:val="none" w:sz="0" w:space="0" w:color="auto"/>
                    <w:right w:val="none" w:sz="0" w:space="0" w:color="auto"/>
                  </w:divBdr>
                </w:div>
                <w:div w:id="1563758359">
                  <w:marLeft w:val="640"/>
                  <w:marRight w:val="0"/>
                  <w:marTop w:val="0"/>
                  <w:marBottom w:val="0"/>
                  <w:divBdr>
                    <w:top w:val="none" w:sz="0" w:space="0" w:color="auto"/>
                    <w:left w:val="none" w:sz="0" w:space="0" w:color="auto"/>
                    <w:bottom w:val="none" w:sz="0" w:space="0" w:color="auto"/>
                    <w:right w:val="none" w:sz="0" w:space="0" w:color="auto"/>
                  </w:divBdr>
                </w:div>
                <w:div w:id="49503009">
                  <w:marLeft w:val="640"/>
                  <w:marRight w:val="0"/>
                  <w:marTop w:val="0"/>
                  <w:marBottom w:val="0"/>
                  <w:divBdr>
                    <w:top w:val="none" w:sz="0" w:space="0" w:color="auto"/>
                    <w:left w:val="none" w:sz="0" w:space="0" w:color="auto"/>
                    <w:bottom w:val="none" w:sz="0" w:space="0" w:color="auto"/>
                    <w:right w:val="none" w:sz="0" w:space="0" w:color="auto"/>
                  </w:divBdr>
                </w:div>
                <w:div w:id="302544347">
                  <w:marLeft w:val="640"/>
                  <w:marRight w:val="0"/>
                  <w:marTop w:val="0"/>
                  <w:marBottom w:val="0"/>
                  <w:divBdr>
                    <w:top w:val="none" w:sz="0" w:space="0" w:color="auto"/>
                    <w:left w:val="none" w:sz="0" w:space="0" w:color="auto"/>
                    <w:bottom w:val="none" w:sz="0" w:space="0" w:color="auto"/>
                    <w:right w:val="none" w:sz="0" w:space="0" w:color="auto"/>
                  </w:divBdr>
                </w:div>
                <w:div w:id="1908108705">
                  <w:marLeft w:val="640"/>
                  <w:marRight w:val="0"/>
                  <w:marTop w:val="0"/>
                  <w:marBottom w:val="0"/>
                  <w:divBdr>
                    <w:top w:val="none" w:sz="0" w:space="0" w:color="auto"/>
                    <w:left w:val="none" w:sz="0" w:space="0" w:color="auto"/>
                    <w:bottom w:val="none" w:sz="0" w:space="0" w:color="auto"/>
                    <w:right w:val="none" w:sz="0" w:space="0" w:color="auto"/>
                  </w:divBdr>
                </w:div>
                <w:div w:id="1707833554">
                  <w:marLeft w:val="640"/>
                  <w:marRight w:val="0"/>
                  <w:marTop w:val="0"/>
                  <w:marBottom w:val="0"/>
                  <w:divBdr>
                    <w:top w:val="none" w:sz="0" w:space="0" w:color="auto"/>
                    <w:left w:val="none" w:sz="0" w:space="0" w:color="auto"/>
                    <w:bottom w:val="none" w:sz="0" w:space="0" w:color="auto"/>
                    <w:right w:val="none" w:sz="0" w:space="0" w:color="auto"/>
                  </w:divBdr>
                </w:div>
                <w:div w:id="705452409">
                  <w:marLeft w:val="640"/>
                  <w:marRight w:val="0"/>
                  <w:marTop w:val="0"/>
                  <w:marBottom w:val="0"/>
                  <w:divBdr>
                    <w:top w:val="none" w:sz="0" w:space="0" w:color="auto"/>
                    <w:left w:val="none" w:sz="0" w:space="0" w:color="auto"/>
                    <w:bottom w:val="none" w:sz="0" w:space="0" w:color="auto"/>
                    <w:right w:val="none" w:sz="0" w:space="0" w:color="auto"/>
                  </w:divBdr>
                </w:div>
                <w:div w:id="225259590">
                  <w:marLeft w:val="640"/>
                  <w:marRight w:val="0"/>
                  <w:marTop w:val="0"/>
                  <w:marBottom w:val="0"/>
                  <w:divBdr>
                    <w:top w:val="none" w:sz="0" w:space="0" w:color="auto"/>
                    <w:left w:val="none" w:sz="0" w:space="0" w:color="auto"/>
                    <w:bottom w:val="none" w:sz="0" w:space="0" w:color="auto"/>
                    <w:right w:val="none" w:sz="0" w:space="0" w:color="auto"/>
                  </w:divBdr>
                </w:div>
                <w:div w:id="1988708612">
                  <w:marLeft w:val="640"/>
                  <w:marRight w:val="0"/>
                  <w:marTop w:val="0"/>
                  <w:marBottom w:val="0"/>
                  <w:divBdr>
                    <w:top w:val="none" w:sz="0" w:space="0" w:color="auto"/>
                    <w:left w:val="none" w:sz="0" w:space="0" w:color="auto"/>
                    <w:bottom w:val="none" w:sz="0" w:space="0" w:color="auto"/>
                    <w:right w:val="none" w:sz="0" w:space="0" w:color="auto"/>
                  </w:divBdr>
                </w:div>
                <w:div w:id="940382441">
                  <w:marLeft w:val="640"/>
                  <w:marRight w:val="0"/>
                  <w:marTop w:val="0"/>
                  <w:marBottom w:val="0"/>
                  <w:divBdr>
                    <w:top w:val="none" w:sz="0" w:space="0" w:color="auto"/>
                    <w:left w:val="none" w:sz="0" w:space="0" w:color="auto"/>
                    <w:bottom w:val="none" w:sz="0" w:space="0" w:color="auto"/>
                    <w:right w:val="none" w:sz="0" w:space="0" w:color="auto"/>
                  </w:divBdr>
                </w:div>
                <w:div w:id="637681982">
                  <w:marLeft w:val="640"/>
                  <w:marRight w:val="0"/>
                  <w:marTop w:val="0"/>
                  <w:marBottom w:val="0"/>
                  <w:divBdr>
                    <w:top w:val="none" w:sz="0" w:space="0" w:color="auto"/>
                    <w:left w:val="none" w:sz="0" w:space="0" w:color="auto"/>
                    <w:bottom w:val="none" w:sz="0" w:space="0" w:color="auto"/>
                    <w:right w:val="none" w:sz="0" w:space="0" w:color="auto"/>
                  </w:divBdr>
                </w:div>
                <w:div w:id="225071503">
                  <w:marLeft w:val="640"/>
                  <w:marRight w:val="0"/>
                  <w:marTop w:val="0"/>
                  <w:marBottom w:val="0"/>
                  <w:divBdr>
                    <w:top w:val="none" w:sz="0" w:space="0" w:color="auto"/>
                    <w:left w:val="none" w:sz="0" w:space="0" w:color="auto"/>
                    <w:bottom w:val="none" w:sz="0" w:space="0" w:color="auto"/>
                    <w:right w:val="none" w:sz="0" w:space="0" w:color="auto"/>
                  </w:divBdr>
                </w:div>
                <w:div w:id="277624">
                  <w:marLeft w:val="640"/>
                  <w:marRight w:val="0"/>
                  <w:marTop w:val="0"/>
                  <w:marBottom w:val="0"/>
                  <w:divBdr>
                    <w:top w:val="none" w:sz="0" w:space="0" w:color="auto"/>
                    <w:left w:val="none" w:sz="0" w:space="0" w:color="auto"/>
                    <w:bottom w:val="none" w:sz="0" w:space="0" w:color="auto"/>
                    <w:right w:val="none" w:sz="0" w:space="0" w:color="auto"/>
                  </w:divBdr>
                </w:div>
                <w:div w:id="1688749569">
                  <w:marLeft w:val="640"/>
                  <w:marRight w:val="0"/>
                  <w:marTop w:val="0"/>
                  <w:marBottom w:val="0"/>
                  <w:divBdr>
                    <w:top w:val="none" w:sz="0" w:space="0" w:color="auto"/>
                    <w:left w:val="none" w:sz="0" w:space="0" w:color="auto"/>
                    <w:bottom w:val="none" w:sz="0" w:space="0" w:color="auto"/>
                    <w:right w:val="none" w:sz="0" w:space="0" w:color="auto"/>
                  </w:divBdr>
                </w:div>
                <w:div w:id="726804211">
                  <w:marLeft w:val="640"/>
                  <w:marRight w:val="0"/>
                  <w:marTop w:val="0"/>
                  <w:marBottom w:val="0"/>
                  <w:divBdr>
                    <w:top w:val="none" w:sz="0" w:space="0" w:color="auto"/>
                    <w:left w:val="none" w:sz="0" w:space="0" w:color="auto"/>
                    <w:bottom w:val="none" w:sz="0" w:space="0" w:color="auto"/>
                    <w:right w:val="none" w:sz="0" w:space="0" w:color="auto"/>
                  </w:divBdr>
                </w:div>
                <w:div w:id="1398825694">
                  <w:marLeft w:val="640"/>
                  <w:marRight w:val="0"/>
                  <w:marTop w:val="0"/>
                  <w:marBottom w:val="0"/>
                  <w:divBdr>
                    <w:top w:val="none" w:sz="0" w:space="0" w:color="auto"/>
                    <w:left w:val="none" w:sz="0" w:space="0" w:color="auto"/>
                    <w:bottom w:val="none" w:sz="0" w:space="0" w:color="auto"/>
                    <w:right w:val="none" w:sz="0" w:space="0" w:color="auto"/>
                  </w:divBdr>
                </w:div>
                <w:div w:id="2034724430">
                  <w:marLeft w:val="640"/>
                  <w:marRight w:val="0"/>
                  <w:marTop w:val="0"/>
                  <w:marBottom w:val="0"/>
                  <w:divBdr>
                    <w:top w:val="none" w:sz="0" w:space="0" w:color="auto"/>
                    <w:left w:val="none" w:sz="0" w:space="0" w:color="auto"/>
                    <w:bottom w:val="none" w:sz="0" w:space="0" w:color="auto"/>
                    <w:right w:val="none" w:sz="0" w:space="0" w:color="auto"/>
                  </w:divBdr>
                </w:div>
                <w:div w:id="1106732451">
                  <w:marLeft w:val="640"/>
                  <w:marRight w:val="0"/>
                  <w:marTop w:val="0"/>
                  <w:marBottom w:val="0"/>
                  <w:divBdr>
                    <w:top w:val="none" w:sz="0" w:space="0" w:color="auto"/>
                    <w:left w:val="none" w:sz="0" w:space="0" w:color="auto"/>
                    <w:bottom w:val="none" w:sz="0" w:space="0" w:color="auto"/>
                    <w:right w:val="none" w:sz="0" w:space="0" w:color="auto"/>
                  </w:divBdr>
                </w:div>
                <w:div w:id="1303541392">
                  <w:marLeft w:val="640"/>
                  <w:marRight w:val="0"/>
                  <w:marTop w:val="0"/>
                  <w:marBottom w:val="0"/>
                  <w:divBdr>
                    <w:top w:val="none" w:sz="0" w:space="0" w:color="auto"/>
                    <w:left w:val="none" w:sz="0" w:space="0" w:color="auto"/>
                    <w:bottom w:val="none" w:sz="0" w:space="0" w:color="auto"/>
                    <w:right w:val="none" w:sz="0" w:space="0" w:color="auto"/>
                  </w:divBdr>
                </w:div>
                <w:div w:id="616529166">
                  <w:marLeft w:val="640"/>
                  <w:marRight w:val="0"/>
                  <w:marTop w:val="0"/>
                  <w:marBottom w:val="0"/>
                  <w:divBdr>
                    <w:top w:val="none" w:sz="0" w:space="0" w:color="auto"/>
                    <w:left w:val="none" w:sz="0" w:space="0" w:color="auto"/>
                    <w:bottom w:val="none" w:sz="0" w:space="0" w:color="auto"/>
                    <w:right w:val="none" w:sz="0" w:space="0" w:color="auto"/>
                  </w:divBdr>
                </w:div>
                <w:div w:id="1024942696">
                  <w:marLeft w:val="640"/>
                  <w:marRight w:val="0"/>
                  <w:marTop w:val="0"/>
                  <w:marBottom w:val="0"/>
                  <w:divBdr>
                    <w:top w:val="none" w:sz="0" w:space="0" w:color="auto"/>
                    <w:left w:val="none" w:sz="0" w:space="0" w:color="auto"/>
                    <w:bottom w:val="none" w:sz="0" w:space="0" w:color="auto"/>
                    <w:right w:val="none" w:sz="0" w:space="0" w:color="auto"/>
                  </w:divBdr>
                </w:div>
                <w:div w:id="1652562602">
                  <w:marLeft w:val="640"/>
                  <w:marRight w:val="0"/>
                  <w:marTop w:val="0"/>
                  <w:marBottom w:val="0"/>
                  <w:divBdr>
                    <w:top w:val="none" w:sz="0" w:space="0" w:color="auto"/>
                    <w:left w:val="none" w:sz="0" w:space="0" w:color="auto"/>
                    <w:bottom w:val="none" w:sz="0" w:space="0" w:color="auto"/>
                    <w:right w:val="none" w:sz="0" w:space="0" w:color="auto"/>
                  </w:divBdr>
                </w:div>
                <w:div w:id="1909420027">
                  <w:marLeft w:val="640"/>
                  <w:marRight w:val="0"/>
                  <w:marTop w:val="0"/>
                  <w:marBottom w:val="0"/>
                  <w:divBdr>
                    <w:top w:val="none" w:sz="0" w:space="0" w:color="auto"/>
                    <w:left w:val="none" w:sz="0" w:space="0" w:color="auto"/>
                    <w:bottom w:val="none" w:sz="0" w:space="0" w:color="auto"/>
                    <w:right w:val="none" w:sz="0" w:space="0" w:color="auto"/>
                  </w:divBdr>
                </w:div>
                <w:div w:id="469324972">
                  <w:marLeft w:val="640"/>
                  <w:marRight w:val="0"/>
                  <w:marTop w:val="0"/>
                  <w:marBottom w:val="0"/>
                  <w:divBdr>
                    <w:top w:val="none" w:sz="0" w:space="0" w:color="auto"/>
                    <w:left w:val="none" w:sz="0" w:space="0" w:color="auto"/>
                    <w:bottom w:val="none" w:sz="0" w:space="0" w:color="auto"/>
                    <w:right w:val="none" w:sz="0" w:space="0" w:color="auto"/>
                  </w:divBdr>
                </w:div>
                <w:div w:id="1733111643">
                  <w:marLeft w:val="640"/>
                  <w:marRight w:val="0"/>
                  <w:marTop w:val="0"/>
                  <w:marBottom w:val="0"/>
                  <w:divBdr>
                    <w:top w:val="none" w:sz="0" w:space="0" w:color="auto"/>
                    <w:left w:val="none" w:sz="0" w:space="0" w:color="auto"/>
                    <w:bottom w:val="none" w:sz="0" w:space="0" w:color="auto"/>
                    <w:right w:val="none" w:sz="0" w:space="0" w:color="auto"/>
                  </w:divBdr>
                </w:div>
                <w:div w:id="1153789910">
                  <w:marLeft w:val="640"/>
                  <w:marRight w:val="0"/>
                  <w:marTop w:val="0"/>
                  <w:marBottom w:val="0"/>
                  <w:divBdr>
                    <w:top w:val="none" w:sz="0" w:space="0" w:color="auto"/>
                    <w:left w:val="none" w:sz="0" w:space="0" w:color="auto"/>
                    <w:bottom w:val="none" w:sz="0" w:space="0" w:color="auto"/>
                    <w:right w:val="none" w:sz="0" w:space="0" w:color="auto"/>
                  </w:divBdr>
                </w:div>
                <w:div w:id="113981235">
                  <w:marLeft w:val="640"/>
                  <w:marRight w:val="0"/>
                  <w:marTop w:val="0"/>
                  <w:marBottom w:val="0"/>
                  <w:divBdr>
                    <w:top w:val="none" w:sz="0" w:space="0" w:color="auto"/>
                    <w:left w:val="none" w:sz="0" w:space="0" w:color="auto"/>
                    <w:bottom w:val="none" w:sz="0" w:space="0" w:color="auto"/>
                    <w:right w:val="none" w:sz="0" w:space="0" w:color="auto"/>
                  </w:divBdr>
                </w:div>
                <w:div w:id="755440846">
                  <w:marLeft w:val="640"/>
                  <w:marRight w:val="0"/>
                  <w:marTop w:val="0"/>
                  <w:marBottom w:val="0"/>
                  <w:divBdr>
                    <w:top w:val="none" w:sz="0" w:space="0" w:color="auto"/>
                    <w:left w:val="none" w:sz="0" w:space="0" w:color="auto"/>
                    <w:bottom w:val="none" w:sz="0" w:space="0" w:color="auto"/>
                    <w:right w:val="none" w:sz="0" w:space="0" w:color="auto"/>
                  </w:divBdr>
                </w:div>
                <w:div w:id="279410848">
                  <w:marLeft w:val="640"/>
                  <w:marRight w:val="0"/>
                  <w:marTop w:val="0"/>
                  <w:marBottom w:val="0"/>
                  <w:divBdr>
                    <w:top w:val="none" w:sz="0" w:space="0" w:color="auto"/>
                    <w:left w:val="none" w:sz="0" w:space="0" w:color="auto"/>
                    <w:bottom w:val="none" w:sz="0" w:space="0" w:color="auto"/>
                    <w:right w:val="none" w:sz="0" w:space="0" w:color="auto"/>
                  </w:divBdr>
                </w:div>
                <w:div w:id="878668472">
                  <w:marLeft w:val="640"/>
                  <w:marRight w:val="0"/>
                  <w:marTop w:val="0"/>
                  <w:marBottom w:val="0"/>
                  <w:divBdr>
                    <w:top w:val="none" w:sz="0" w:space="0" w:color="auto"/>
                    <w:left w:val="none" w:sz="0" w:space="0" w:color="auto"/>
                    <w:bottom w:val="none" w:sz="0" w:space="0" w:color="auto"/>
                    <w:right w:val="none" w:sz="0" w:space="0" w:color="auto"/>
                  </w:divBdr>
                </w:div>
                <w:div w:id="1018118184">
                  <w:marLeft w:val="640"/>
                  <w:marRight w:val="0"/>
                  <w:marTop w:val="0"/>
                  <w:marBottom w:val="0"/>
                  <w:divBdr>
                    <w:top w:val="none" w:sz="0" w:space="0" w:color="auto"/>
                    <w:left w:val="none" w:sz="0" w:space="0" w:color="auto"/>
                    <w:bottom w:val="none" w:sz="0" w:space="0" w:color="auto"/>
                    <w:right w:val="none" w:sz="0" w:space="0" w:color="auto"/>
                  </w:divBdr>
                </w:div>
                <w:div w:id="1445346323">
                  <w:marLeft w:val="640"/>
                  <w:marRight w:val="0"/>
                  <w:marTop w:val="0"/>
                  <w:marBottom w:val="0"/>
                  <w:divBdr>
                    <w:top w:val="none" w:sz="0" w:space="0" w:color="auto"/>
                    <w:left w:val="none" w:sz="0" w:space="0" w:color="auto"/>
                    <w:bottom w:val="none" w:sz="0" w:space="0" w:color="auto"/>
                    <w:right w:val="none" w:sz="0" w:space="0" w:color="auto"/>
                  </w:divBdr>
                </w:div>
                <w:div w:id="1023627815">
                  <w:marLeft w:val="640"/>
                  <w:marRight w:val="0"/>
                  <w:marTop w:val="0"/>
                  <w:marBottom w:val="0"/>
                  <w:divBdr>
                    <w:top w:val="none" w:sz="0" w:space="0" w:color="auto"/>
                    <w:left w:val="none" w:sz="0" w:space="0" w:color="auto"/>
                    <w:bottom w:val="none" w:sz="0" w:space="0" w:color="auto"/>
                    <w:right w:val="none" w:sz="0" w:space="0" w:color="auto"/>
                  </w:divBdr>
                </w:div>
                <w:div w:id="1153837956">
                  <w:marLeft w:val="640"/>
                  <w:marRight w:val="0"/>
                  <w:marTop w:val="0"/>
                  <w:marBottom w:val="0"/>
                  <w:divBdr>
                    <w:top w:val="none" w:sz="0" w:space="0" w:color="auto"/>
                    <w:left w:val="none" w:sz="0" w:space="0" w:color="auto"/>
                    <w:bottom w:val="none" w:sz="0" w:space="0" w:color="auto"/>
                    <w:right w:val="none" w:sz="0" w:space="0" w:color="auto"/>
                  </w:divBdr>
                </w:div>
                <w:div w:id="181168892">
                  <w:marLeft w:val="640"/>
                  <w:marRight w:val="0"/>
                  <w:marTop w:val="0"/>
                  <w:marBottom w:val="0"/>
                  <w:divBdr>
                    <w:top w:val="none" w:sz="0" w:space="0" w:color="auto"/>
                    <w:left w:val="none" w:sz="0" w:space="0" w:color="auto"/>
                    <w:bottom w:val="none" w:sz="0" w:space="0" w:color="auto"/>
                    <w:right w:val="none" w:sz="0" w:space="0" w:color="auto"/>
                  </w:divBdr>
                </w:div>
                <w:div w:id="2116441779">
                  <w:marLeft w:val="640"/>
                  <w:marRight w:val="0"/>
                  <w:marTop w:val="0"/>
                  <w:marBottom w:val="0"/>
                  <w:divBdr>
                    <w:top w:val="none" w:sz="0" w:space="0" w:color="auto"/>
                    <w:left w:val="none" w:sz="0" w:space="0" w:color="auto"/>
                    <w:bottom w:val="none" w:sz="0" w:space="0" w:color="auto"/>
                    <w:right w:val="none" w:sz="0" w:space="0" w:color="auto"/>
                  </w:divBdr>
                </w:div>
                <w:div w:id="598560362">
                  <w:marLeft w:val="640"/>
                  <w:marRight w:val="0"/>
                  <w:marTop w:val="0"/>
                  <w:marBottom w:val="0"/>
                  <w:divBdr>
                    <w:top w:val="none" w:sz="0" w:space="0" w:color="auto"/>
                    <w:left w:val="none" w:sz="0" w:space="0" w:color="auto"/>
                    <w:bottom w:val="none" w:sz="0" w:space="0" w:color="auto"/>
                    <w:right w:val="none" w:sz="0" w:space="0" w:color="auto"/>
                  </w:divBdr>
                </w:div>
                <w:div w:id="1743335605">
                  <w:marLeft w:val="640"/>
                  <w:marRight w:val="0"/>
                  <w:marTop w:val="0"/>
                  <w:marBottom w:val="0"/>
                  <w:divBdr>
                    <w:top w:val="none" w:sz="0" w:space="0" w:color="auto"/>
                    <w:left w:val="none" w:sz="0" w:space="0" w:color="auto"/>
                    <w:bottom w:val="none" w:sz="0" w:space="0" w:color="auto"/>
                    <w:right w:val="none" w:sz="0" w:space="0" w:color="auto"/>
                  </w:divBdr>
                </w:div>
                <w:div w:id="748579741">
                  <w:marLeft w:val="640"/>
                  <w:marRight w:val="0"/>
                  <w:marTop w:val="0"/>
                  <w:marBottom w:val="0"/>
                  <w:divBdr>
                    <w:top w:val="none" w:sz="0" w:space="0" w:color="auto"/>
                    <w:left w:val="none" w:sz="0" w:space="0" w:color="auto"/>
                    <w:bottom w:val="none" w:sz="0" w:space="0" w:color="auto"/>
                    <w:right w:val="none" w:sz="0" w:space="0" w:color="auto"/>
                  </w:divBdr>
                </w:div>
                <w:div w:id="332882690">
                  <w:marLeft w:val="640"/>
                  <w:marRight w:val="0"/>
                  <w:marTop w:val="0"/>
                  <w:marBottom w:val="0"/>
                  <w:divBdr>
                    <w:top w:val="none" w:sz="0" w:space="0" w:color="auto"/>
                    <w:left w:val="none" w:sz="0" w:space="0" w:color="auto"/>
                    <w:bottom w:val="none" w:sz="0" w:space="0" w:color="auto"/>
                    <w:right w:val="none" w:sz="0" w:space="0" w:color="auto"/>
                  </w:divBdr>
                </w:div>
                <w:div w:id="1925794450">
                  <w:marLeft w:val="640"/>
                  <w:marRight w:val="0"/>
                  <w:marTop w:val="0"/>
                  <w:marBottom w:val="0"/>
                  <w:divBdr>
                    <w:top w:val="none" w:sz="0" w:space="0" w:color="auto"/>
                    <w:left w:val="none" w:sz="0" w:space="0" w:color="auto"/>
                    <w:bottom w:val="none" w:sz="0" w:space="0" w:color="auto"/>
                    <w:right w:val="none" w:sz="0" w:space="0" w:color="auto"/>
                  </w:divBdr>
                </w:div>
                <w:div w:id="1390421186">
                  <w:marLeft w:val="640"/>
                  <w:marRight w:val="0"/>
                  <w:marTop w:val="0"/>
                  <w:marBottom w:val="0"/>
                  <w:divBdr>
                    <w:top w:val="none" w:sz="0" w:space="0" w:color="auto"/>
                    <w:left w:val="none" w:sz="0" w:space="0" w:color="auto"/>
                    <w:bottom w:val="none" w:sz="0" w:space="0" w:color="auto"/>
                    <w:right w:val="none" w:sz="0" w:space="0" w:color="auto"/>
                  </w:divBdr>
                </w:div>
                <w:div w:id="1009799172">
                  <w:marLeft w:val="640"/>
                  <w:marRight w:val="0"/>
                  <w:marTop w:val="0"/>
                  <w:marBottom w:val="0"/>
                  <w:divBdr>
                    <w:top w:val="none" w:sz="0" w:space="0" w:color="auto"/>
                    <w:left w:val="none" w:sz="0" w:space="0" w:color="auto"/>
                    <w:bottom w:val="none" w:sz="0" w:space="0" w:color="auto"/>
                    <w:right w:val="none" w:sz="0" w:space="0" w:color="auto"/>
                  </w:divBdr>
                </w:div>
                <w:div w:id="1342471165">
                  <w:marLeft w:val="640"/>
                  <w:marRight w:val="0"/>
                  <w:marTop w:val="0"/>
                  <w:marBottom w:val="0"/>
                  <w:divBdr>
                    <w:top w:val="none" w:sz="0" w:space="0" w:color="auto"/>
                    <w:left w:val="none" w:sz="0" w:space="0" w:color="auto"/>
                    <w:bottom w:val="none" w:sz="0" w:space="0" w:color="auto"/>
                    <w:right w:val="none" w:sz="0" w:space="0" w:color="auto"/>
                  </w:divBdr>
                </w:div>
                <w:div w:id="941491621">
                  <w:marLeft w:val="640"/>
                  <w:marRight w:val="0"/>
                  <w:marTop w:val="0"/>
                  <w:marBottom w:val="0"/>
                  <w:divBdr>
                    <w:top w:val="none" w:sz="0" w:space="0" w:color="auto"/>
                    <w:left w:val="none" w:sz="0" w:space="0" w:color="auto"/>
                    <w:bottom w:val="none" w:sz="0" w:space="0" w:color="auto"/>
                    <w:right w:val="none" w:sz="0" w:space="0" w:color="auto"/>
                  </w:divBdr>
                </w:div>
                <w:div w:id="327250629">
                  <w:marLeft w:val="640"/>
                  <w:marRight w:val="0"/>
                  <w:marTop w:val="0"/>
                  <w:marBottom w:val="0"/>
                  <w:divBdr>
                    <w:top w:val="none" w:sz="0" w:space="0" w:color="auto"/>
                    <w:left w:val="none" w:sz="0" w:space="0" w:color="auto"/>
                    <w:bottom w:val="none" w:sz="0" w:space="0" w:color="auto"/>
                    <w:right w:val="none" w:sz="0" w:space="0" w:color="auto"/>
                  </w:divBdr>
                </w:div>
                <w:div w:id="738284047">
                  <w:marLeft w:val="640"/>
                  <w:marRight w:val="0"/>
                  <w:marTop w:val="0"/>
                  <w:marBottom w:val="0"/>
                  <w:divBdr>
                    <w:top w:val="none" w:sz="0" w:space="0" w:color="auto"/>
                    <w:left w:val="none" w:sz="0" w:space="0" w:color="auto"/>
                    <w:bottom w:val="none" w:sz="0" w:space="0" w:color="auto"/>
                    <w:right w:val="none" w:sz="0" w:space="0" w:color="auto"/>
                  </w:divBdr>
                </w:div>
                <w:div w:id="437071287">
                  <w:marLeft w:val="640"/>
                  <w:marRight w:val="0"/>
                  <w:marTop w:val="0"/>
                  <w:marBottom w:val="0"/>
                  <w:divBdr>
                    <w:top w:val="none" w:sz="0" w:space="0" w:color="auto"/>
                    <w:left w:val="none" w:sz="0" w:space="0" w:color="auto"/>
                    <w:bottom w:val="none" w:sz="0" w:space="0" w:color="auto"/>
                    <w:right w:val="none" w:sz="0" w:space="0" w:color="auto"/>
                  </w:divBdr>
                </w:div>
                <w:div w:id="1753550256">
                  <w:marLeft w:val="640"/>
                  <w:marRight w:val="0"/>
                  <w:marTop w:val="0"/>
                  <w:marBottom w:val="0"/>
                  <w:divBdr>
                    <w:top w:val="none" w:sz="0" w:space="0" w:color="auto"/>
                    <w:left w:val="none" w:sz="0" w:space="0" w:color="auto"/>
                    <w:bottom w:val="none" w:sz="0" w:space="0" w:color="auto"/>
                    <w:right w:val="none" w:sz="0" w:space="0" w:color="auto"/>
                  </w:divBdr>
                </w:div>
                <w:div w:id="623541283">
                  <w:marLeft w:val="640"/>
                  <w:marRight w:val="0"/>
                  <w:marTop w:val="0"/>
                  <w:marBottom w:val="0"/>
                  <w:divBdr>
                    <w:top w:val="none" w:sz="0" w:space="0" w:color="auto"/>
                    <w:left w:val="none" w:sz="0" w:space="0" w:color="auto"/>
                    <w:bottom w:val="none" w:sz="0" w:space="0" w:color="auto"/>
                    <w:right w:val="none" w:sz="0" w:space="0" w:color="auto"/>
                  </w:divBdr>
                </w:div>
                <w:div w:id="1857310361">
                  <w:marLeft w:val="640"/>
                  <w:marRight w:val="0"/>
                  <w:marTop w:val="0"/>
                  <w:marBottom w:val="0"/>
                  <w:divBdr>
                    <w:top w:val="none" w:sz="0" w:space="0" w:color="auto"/>
                    <w:left w:val="none" w:sz="0" w:space="0" w:color="auto"/>
                    <w:bottom w:val="none" w:sz="0" w:space="0" w:color="auto"/>
                    <w:right w:val="none" w:sz="0" w:space="0" w:color="auto"/>
                  </w:divBdr>
                </w:div>
                <w:div w:id="1809122855">
                  <w:marLeft w:val="640"/>
                  <w:marRight w:val="0"/>
                  <w:marTop w:val="0"/>
                  <w:marBottom w:val="0"/>
                  <w:divBdr>
                    <w:top w:val="none" w:sz="0" w:space="0" w:color="auto"/>
                    <w:left w:val="none" w:sz="0" w:space="0" w:color="auto"/>
                    <w:bottom w:val="none" w:sz="0" w:space="0" w:color="auto"/>
                    <w:right w:val="none" w:sz="0" w:space="0" w:color="auto"/>
                  </w:divBdr>
                </w:div>
                <w:div w:id="237137214">
                  <w:marLeft w:val="640"/>
                  <w:marRight w:val="0"/>
                  <w:marTop w:val="0"/>
                  <w:marBottom w:val="0"/>
                  <w:divBdr>
                    <w:top w:val="none" w:sz="0" w:space="0" w:color="auto"/>
                    <w:left w:val="none" w:sz="0" w:space="0" w:color="auto"/>
                    <w:bottom w:val="none" w:sz="0" w:space="0" w:color="auto"/>
                    <w:right w:val="none" w:sz="0" w:space="0" w:color="auto"/>
                  </w:divBdr>
                </w:div>
                <w:div w:id="113451769">
                  <w:marLeft w:val="640"/>
                  <w:marRight w:val="0"/>
                  <w:marTop w:val="0"/>
                  <w:marBottom w:val="0"/>
                  <w:divBdr>
                    <w:top w:val="none" w:sz="0" w:space="0" w:color="auto"/>
                    <w:left w:val="none" w:sz="0" w:space="0" w:color="auto"/>
                    <w:bottom w:val="none" w:sz="0" w:space="0" w:color="auto"/>
                    <w:right w:val="none" w:sz="0" w:space="0" w:color="auto"/>
                  </w:divBdr>
                </w:div>
                <w:div w:id="1287467843">
                  <w:marLeft w:val="640"/>
                  <w:marRight w:val="0"/>
                  <w:marTop w:val="0"/>
                  <w:marBottom w:val="0"/>
                  <w:divBdr>
                    <w:top w:val="none" w:sz="0" w:space="0" w:color="auto"/>
                    <w:left w:val="none" w:sz="0" w:space="0" w:color="auto"/>
                    <w:bottom w:val="none" w:sz="0" w:space="0" w:color="auto"/>
                    <w:right w:val="none" w:sz="0" w:space="0" w:color="auto"/>
                  </w:divBdr>
                </w:div>
                <w:div w:id="616791233">
                  <w:marLeft w:val="640"/>
                  <w:marRight w:val="0"/>
                  <w:marTop w:val="0"/>
                  <w:marBottom w:val="0"/>
                  <w:divBdr>
                    <w:top w:val="none" w:sz="0" w:space="0" w:color="auto"/>
                    <w:left w:val="none" w:sz="0" w:space="0" w:color="auto"/>
                    <w:bottom w:val="none" w:sz="0" w:space="0" w:color="auto"/>
                    <w:right w:val="none" w:sz="0" w:space="0" w:color="auto"/>
                  </w:divBdr>
                </w:div>
                <w:div w:id="429663520">
                  <w:marLeft w:val="640"/>
                  <w:marRight w:val="0"/>
                  <w:marTop w:val="0"/>
                  <w:marBottom w:val="0"/>
                  <w:divBdr>
                    <w:top w:val="none" w:sz="0" w:space="0" w:color="auto"/>
                    <w:left w:val="none" w:sz="0" w:space="0" w:color="auto"/>
                    <w:bottom w:val="none" w:sz="0" w:space="0" w:color="auto"/>
                    <w:right w:val="none" w:sz="0" w:space="0" w:color="auto"/>
                  </w:divBdr>
                </w:div>
                <w:div w:id="1585258558">
                  <w:marLeft w:val="640"/>
                  <w:marRight w:val="0"/>
                  <w:marTop w:val="0"/>
                  <w:marBottom w:val="0"/>
                  <w:divBdr>
                    <w:top w:val="none" w:sz="0" w:space="0" w:color="auto"/>
                    <w:left w:val="none" w:sz="0" w:space="0" w:color="auto"/>
                    <w:bottom w:val="none" w:sz="0" w:space="0" w:color="auto"/>
                    <w:right w:val="none" w:sz="0" w:space="0" w:color="auto"/>
                  </w:divBdr>
                </w:div>
                <w:div w:id="88475292">
                  <w:marLeft w:val="640"/>
                  <w:marRight w:val="0"/>
                  <w:marTop w:val="0"/>
                  <w:marBottom w:val="0"/>
                  <w:divBdr>
                    <w:top w:val="none" w:sz="0" w:space="0" w:color="auto"/>
                    <w:left w:val="none" w:sz="0" w:space="0" w:color="auto"/>
                    <w:bottom w:val="none" w:sz="0" w:space="0" w:color="auto"/>
                    <w:right w:val="none" w:sz="0" w:space="0" w:color="auto"/>
                  </w:divBdr>
                </w:div>
                <w:div w:id="107314484">
                  <w:marLeft w:val="640"/>
                  <w:marRight w:val="0"/>
                  <w:marTop w:val="0"/>
                  <w:marBottom w:val="0"/>
                  <w:divBdr>
                    <w:top w:val="none" w:sz="0" w:space="0" w:color="auto"/>
                    <w:left w:val="none" w:sz="0" w:space="0" w:color="auto"/>
                    <w:bottom w:val="none" w:sz="0" w:space="0" w:color="auto"/>
                    <w:right w:val="none" w:sz="0" w:space="0" w:color="auto"/>
                  </w:divBdr>
                </w:div>
                <w:div w:id="1552114744">
                  <w:marLeft w:val="640"/>
                  <w:marRight w:val="0"/>
                  <w:marTop w:val="0"/>
                  <w:marBottom w:val="0"/>
                  <w:divBdr>
                    <w:top w:val="none" w:sz="0" w:space="0" w:color="auto"/>
                    <w:left w:val="none" w:sz="0" w:space="0" w:color="auto"/>
                    <w:bottom w:val="none" w:sz="0" w:space="0" w:color="auto"/>
                    <w:right w:val="none" w:sz="0" w:space="0" w:color="auto"/>
                  </w:divBdr>
                </w:div>
                <w:div w:id="1527594708">
                  <w:marLeft w:val="640"/>
                  <w:marRight w:val="0"/>
                  <w:marTop w:val="0"/>
                  <w:marBottom w:val="0"/>
                  <w:divBdr>
                    <w:top w:val="none" w:sz="0" w:space="0" w:color="auto"/>
                    <w:left w:val="none" w:sz="0" w:space="0" w:color="auto"/>
                    <w:bottom w:val="none" w:sz="0" w:space="0" w:color="auto"/>
                    <w:right w:val="none" w:sz="0" w:space="0" w:color="auto"/>
                  </w:divBdr>
                </w:div>
                <w:div w:id="1876382728">
                  <w:marLeft w:val="640"/>
                  <w:marRight w:val="0"/>
                  <w:marTop w:val="0"/>
                  <w:marBottom w:val="0"/>
                  <w:divBdr>
                    <w:top w:val="none" w:sz="0" w:space="0" w:color="auto"/>
                    <w:left w:val="none" w:sz="0" w:space="0" w:color="auto"/>
                    <w:bottom w:val="none" w:sz="0" w:space="0" w:color="auto"/>
                    <w:right w:val="none" w:sz="0" w:space="0" w:color="auto"/>
                  </w:divBdr>
                </w:div>
                <w:div w:id="1364407234">
                  <w:marLeft w:val="640"/>
                  <w:marRight w:val="0"/>
                  <w:marTop w:val="0"/>
                  <w:marBottom w:val="0"/>
                  <w:divBdr>
                    <w:top w:val="none" w:sz="0" w:space="0" w:color="auto"/>
                    <w:left w:val="none" w:sz="0" w:space="0" w:color="auto"/>
                    <w:bottom w:val="none" w:sz="0" w:space="0" w:color="auto"/>
                    <w:right w:val="none" w:sz="0" w:space="0" w:color="auto"/>
                  </w:divBdr>
                </w:div>
                <w:div w:id="909969612">
                  <w:marLeft w:val="640"/>
                  <w:marRight w:val="0"/>
                  <w:marTop w:val="0"/>
                  <w:marBottom w:val="0"/>
                  <w:divBdr>
                    <w:top w:val="none" w:sz="0" w:space="0" w:color="auto"/>
                    <w:left w:val="none" w:sz="0" w:space="0" w:color="auto"/>
                    <w:bottom w:val="none" w:sz="0" w:space="0" w:color="auto"/>
                    <w:right w:val="none" w:sz="0" w:space="0" w:color="auto"/>
                  </w:divBdr>
                </w:div>
                <w:div w:id="300891741">
                  <w:marLeft w:val="640"/>
                  <w:marRight w:val="0"/>
                  <w:marTop w:val="0"/>
                  <w:marBottom w:val="0"/>
                  <w:divBdr>
                    <w:top w:val="none" w:sz="0" w:space="0" w:color="auto"/>
                    <w:left w:val="none" w:sz="0" w:space="0" w:color="auto"/>
                    <w:bottom w:val="none" w:sz="0" w:space="0" w:color="auto"/>
                    <w:right w:val="none" w:sz="0" w:space="0" w:color="auto"/>
                  </w:divBdr>
                </w:div>
                <w:div w:id="23988547">
                  <w:marLeft w:val="640"/>
                  <w:marRight w:val="0"/>
                  <w:marTop w:val="0"/>
                  <w:marBottom w:val="0"/>
                  <w:divBdr>
                    <w:top w:val="none" w:sz="0" w:space="0" w:color="auto"/>
                    <w:left w:val="none" w:sz="0" w:space="0" w:color="auto"/>
                    <w:bottom w:val="none" w:sz="0" w:space="0" w:color="auto"/>
                    <w:right w:val="none" w:sz="0" w:space="0" w:color="auto"/>
                  </w:divBdr>
                </w:div>
                <w:div w:id="1612662791">
                  <w:marLeft w:val="640"/>
                  <w:marRight w:val="0"/>
                  <w:marTop w:val="0"/>
                  <w:marBottom w:val="0"/>
                  <w:divBdr>
                    <w:top w:val="none" w:sz="0" w:space="0" w:color="auto"/>
                    <w:left w:val="none" w:sz="0" w:space="0" w:color="auto"/>
                    <w:bottom w:val="none" w:sz="0" w:space="0" w:color="auto"/>
                    <w:right w:val="none" w:sz="0" w:space="0" w:color="auto"/>
                  </w:divBdr>
                </w:div>
                <w:div w:id="1343507023">
                  <w:marLeft w:val="640"/>
                  <w:marRight w:val="0"/>
                  <w:marTop w:val="0"/>
                  <w:marBottom w:val="0"/>
                  <w:divBdr>
                    <w:top w:val="none" w:sz="0" w:space="0" w:color="auto"/>
                    <w:left w:val="none" w:sz="0" w:space="0" w:color="auto"/>
                    <w:bottom w:val="none" w:sz="0" w:space="0" w:color="auto"/>
                    <w:right w:val="none" w:sz="0" w:space="0" w:color="auto"/>
                  </w:divBdr>
                </w:div>
                <w:div w:id="1421246154">
                  <w:marLeft w:val="640"/>
                  <w:marRight w:val="0"/>
                  <w:marTop w:val="0"/>
                  <w:marBottom w:val="0"/>
                  <w:divBdr>
                    <w:top w:val="none" w:sz="0" w:space="0" w:color="auto"/>
                    <w:left w:val="none" w:sz="0" w:space="0" w:color="auto"/>
                    <w:bottom w:val="none" w:sz="0" w:space="0" w:color="auto"/>
                    <w:right w:val="none" w:sz="0" w:space="0" w:color="auto"/>
                  </w:divBdr>
                </w:div>
                <w:div w:id="960302997">
                  <w:marLeft w:val="640"/>
                  <w:marRight w:val="0"/>
                  <w:marTop w:val="0"/>
                  <w:marBottom w:val="0"/>
                  <w:divBdr>
                    <w:top w:val="none" w:sz="0" w:space="0" w:color="auto"/>
                    <w:left w:val="none" w:sz="0" w:space="0" w:color="auto"/>
                    <w:bottom w:val="none" w:sz="0" w:space="0" w:color="auto"/>
                    <w:right w:val="none" w:sz="0" w:space="0" w:color="auto"/>
                  </w:divBdr>
                </w:div>
                <w:div w:id="1528061535">
                  <w:marLeft w:val="640"/>
                  <w:marRight w:val="0"/>
                  <w:marTop w:val="0"/>
                  <w:marBottom w:val="0"/>
                  <w:divBdr>
                    <w:top w:val="none" w:sz="0" w:space="0" w:color="auto"/>
                    <w:left w:val="none" w:sz="0" w:space="0" w:color="auto"/>
                    <w:bottom w:val="none" w:sz="0" w:space="0" w:color="auto"/>
                    <w:right w:val="none" w:sz="0" w:space="0" w:color="auto"/>
                  </w:divBdr>
                </w:div>
                <w:div w:id="94450716">
                  <w:marLeft w:val="640"/>
                  <w:marRight w:val="0"/>
                  <w:marTop w:val="0"/>
                  <w:marBottom w:val="0"/>
                  <w:divBdr>
                    <w:top w:val="none" w:sz="0" w:space="0" w:color="auto"/>
                    <w:left w:val="none" w:sz="0" w:space="0" w:color="auto"/>
                    <w:bottom w:val="none" w:sz="0" w:space="0" w:color="auto"/>
                    <w:right w:val="none" w:sz="0" w:space="0" w:color="auto"/>
                  </w:divBdr>
                </w:div>
                <w:div w:id="521557016">
                  <w:marLeft w:val="640"/>
                  <w:marRight w:val="0"/>
                  <w:marTop w:val="0"/>
                  <w:marBottom w:val="0"/>
                  <w:divBdr>
                    <w:top w:val="none" w:sz="0" w:space="0" w:color="auto"/>
                    <w:left w:val="none" w:sz="0" w:space="0" w:color="auto"/>
                    <w:bottom w:val="none" w:sz="0" w:space="0" w:color="auto"/>
                    <w:right w:val="none" w:sz="0" w:space="0" w:color="auto"/>
                  </w:divBdr>
                </w:div>
                <w:div w:id="1027173529">
                  <w:marLeft w:val="640"/>
                  <w:marRight w:val="0"/>
                  <w:marTop w:val="0"/>
                  <w:marBottom w:val="0"/>
                  <w:divBdr>
                    <w:top w:val="none" w:sz="0" w:space="0" w:color="auto"/>
                    <w:left w:val="none" w:sz="0" w:space="0" w:color="auto"/>
                    <w:bottom w:val="none" w:sz="0" w:space="0" w:color="auto"/>
                    <w:right w:val="none" w:sz="0" w:space="0" w:color="auto"/>
                  </w:divBdr>
                </w:div>
                <w:div w:id="1251738309">
                  <w:marLeft w:val="640"/>
                  <w:marRight w:val="0"/>
                  <w:marTop w:val="0"/>
                  <w:marBottom w:val="0"/>
                  <w:divBdr>
                    <w:top w:val="none" w:sz="0" w:space="0" w:color="auto"/>
                    <w:left w:val="none" w:sz="0" w:space="0" w:color="auto"/>
                    <w:bottom w:val="none" w:sz="0" w:space="0" w:color="auto"/>
                    <w:right w:val="none" w:sz="0" w:space="0" w:color="auto"/>
                  </w:divBdr>
                </w:div>
                <w:div w:id="1069042124">
                  <w:marLeft w:val="640"/>
                  <w:marRight w:val="0"/>
                  <w:marTop w:val="0"/>
                  <w:marBottom w:val="0"/>
                  <w:divBdr>
                    <w:top w:val="none" w:sz="0" w:space="0" w:color="auto"/>
                    <w:left w:val="none" w:sz="0" w:space="0" w:color="auto"/>
                    <w:bottom w:val="none" w:sz="0" w:space="0" w:color="auto"/>
                    <w:right w:val="none" w:sz="0" w:space="0" w:color="auto"/>
                  </w:divBdr>
                </w:div>
                <w:div w:id="765273254">
                  <w:marLeft w:val="640"/>
                  <w:marRight w:val="0"/>
                  <w:marTop w:val="0"/>
                  <w:marBottom w:val="0"/>
                  <w:divBdr>
                    <w:top w:val="none" w:sz="0" w:space="0" w:color="auto"/>
                    <w:left w:val="none" w:sz="0" w:space="0" w:color="auto"/>
                    <w:bottom w:val="none" w:sz="0" w:space="0" w:color="auto"/>
                    <w:right w:val="none" w:sz="0" w:space="0" w:color="auto"/>
                  </w:divBdr>
                </w:div>
                <w:div w:id="129834676">
                  <w:marLeft w:val="640"/>
                  <w:marRight w:val="0"/>
                  <w:marTop w:val="0"/>
                  <w:marBottom w:val="0"/>
                  <w:divBdr>
                    <w:top w:val="none" w:sz="0" w:space="0" w:color="auto"/>
                    <w:left w:val="none" w:sz="0" w:space="0" w:color="auto"/>
                    <w:bottom w:val="none" w:sz="0" w:space="0" w:color="auto"/>
                    <w:right w:val="none" w:sz="0" w:space="0" w:color="auto"/>
                  </w:divBdr>
                </w:div>
                <w:div w:id="1632321296">
                  <w:marLeft w:val="640"/>
                  <w:marRight w:val="0"/>
                  <w:marTop w:val="0"/>
                  <w:marBottom w:val="0"/>
                  <w:divBdr>
                    <w:top w:val="none" w:sz="0" w:space="0" w:color="auto"/>
                    <w:left w:val="none" w:sz="0" w:space="0" w:color="auto"/>
                    <w:bottom w:val="none" w:sz="0" w:space="0" w:color="auto"/>
                    <w:right w:val="none" w:sz="0" w:space="0" w:color="auto"/>
                  </w:divBdr>
                </w:div>
                <w:div w:id="1798716040">
                  <w:marLeft w:val="640"/>
                  <w:marRight w:val="0"/>
                  <w:marTop w:val="0"/>
                  <w:marBottom w:val="0"/>
                  <w:divBdr>
                    <w:top w:val="none" w:sz="0" w:space="0" w:color="auto"/>
                    <w:left w:val="none" w:sz="0" w:space="0" w:color="auto"/>
                    <w:bottom w:val="none" w:sz="0" w:space="0" w:color="auto"/>
                    <w:right w:val="none" w:sz="0" w:space="0" w:color="auto"/>
                  </w:divBdr>
                </w:div>
                <w:div w:id="517432289">
                  <w:marLeft w:val="640"/>
                  <w:marRight w:val="0"/>
                  <w:marTop w:val="0"/>
                  <w:marBottom w:val="0"/>
                  <w:divBdr>
                    <w:top w:val="none" w:sz="0" w:space="0" w:color="auto"/>
                    <w:left w:val="none" w:sz="0" w:space="0" w:color="auto"/>
                    <w:bottom w:val="none" w:sz="0" w:space="0" w:color="auto"/>
                    <w:right w:val="none" w:sz="0" w:space="0" w:color="auto"/>
                  </w:divBdr>
                </w:div>
                <w:div w:id="1151947441">
                  <w:marLeft w:val="640"/>
                  <w:marRight w:val="0"/>
                  <w:marTop w:val="0"/>
                  <w:marBottom w:val="0"/>
                  <w:divBdr>
                    <w:top w:val="none" w:sz="0" w:space="0" w:color="auto"/>
                    <w:left w:val="none" w:sz="0" w:space="0" w:color="auto"/>
                    <w:bottom w:val="none" w:sz="0" w:space="0" w:color="auto"/>
                    <w:right w:val="none" w:sz="0" w:space="0" w:color="auto"/>
                  </w:divBdr>
                </w:div>
                <w:div w:id="2073889323">
                  <w:marLeft w:val="640"/>
                  <w:marRight w:val="0"/>
                  <w:marTop w:val="0"/>
                  <w:marBottom w:val="0"/>
                  <w:divBdr>
                    <w:top w:val="none" w:sz="0" w:space="0" w:color="auto"/>
                    <w:left w:val="none" w:sz="0" w:space="0" w:color="auto"/>
                    <w:bottom w:val="none" w:sz="0" w:space="0" w:color="auto"/>
                    <w:right w:val="none" w:sz="0" w:space="0" w:color="auto"/>
                  </w:divBdr>
                </w:div>
                <w:div w:id="285048658">
                  <w:marLeft w:val="640"/>
                  <w:marRight w:val="0"/>
                  <w:marTop w:val="0"/>
                  <w:marBottom w:val="0"/>
                  <w:divBdr>
                    <w:top w:val="none" w:sz="0" w:space="0" w:color="auto"/>
                    <w:left w:val="none" w:sz="0" w:space="0" w:color="auto"/>
                    <w:bottom w:val="none" w:sz="0" w:space="0" w:color="auto"/>
                    <w:right w:val="none" w:sz="0" w:space="0" w:color="auto"/>
                  </w:divBdr>
                </w:div>
                <w:div w:id="482547465">
                  <w:marLeft w:val="640"/>
                  <w:marRight w:val="0"/>
                  <w:marTop w:val="0"/>
                  <w:marBottom w:val="0"/>
                  <w:divBdr>
                    <w:top w:val="none" w:sz="0" w:space="0" w:color="auto"/>
                    <w:left w:val="none" w:sz="0" w:space="0" w:color="auto"/>
                    <w:bottom w:val="none" w:sz="0" w:space="0" w:color="auto"/>
                    <w:right w:val="none" w:sz="0" w:space="0" w:color="auto"/>
                  </w:divBdr>
                </w:div>
                <w:div w:id="1260530957">
                  <w:marLeft w:val="640"/>
                  <w:marRight w:val="0"/>
                  <w:marTop w:val="0"/>
                  <w:marBottom w:val="0"/>
                  <w:divBdr>
                    <w:top w:val="none" w:sz="0" w:space="0" w:color="auto"/>
                    <w:left w:val="none" w:sz="0" w:space="0" w:color="auto"/>
                    <w:bottom w:val="none" w:sz="0" w:space="0" w:color="auto"/>
                    <w:right w:val="none" w:sz="0" w:space="0" w:color="auto"/>
                  </w:divBdr>
                </w:div>
                <w:div w:id="1798987189">
                  <w:marLeft w:val="640"/>
                  <w:marRight w:val="0"/>
                  <w:marTop w:val="0"/>
                  <w:marBottom w:val="0"/>
                  <w:divBdr>
                    <w:top w:val="none" w:sz="0" w:space="0" w:color="auto"/>
                    <w:left w:val="none" w:sz="0" w:space="0" w:color="auto"/>
                    <w:bottom w:val="none" w:sz="0" w:space="0" w:color="auto"/>
                    <w:right w:val="none" w:sz="0" w:space="0" w:color="auto"/>
                  </w:divBdr>
                </w:div>
                <w:div w:id="274479762">
                  <w:marLeft w:val="640"/>
                  <w:marRight w:val="0"/>
                  <w:marTop w:val="0"/>
                  <w:marBottom w:val="0"/>
                  <w:divBdr>
                    <w:top w:val="none" w:sz="0" w:space="0" w:color="auto"/>
                    <w:left w:val="none" w:sz="0" w:space="0" w:color="auto"/>
                    <w:bottom w:val="none" w:sz="0" w:space="0" w:color="auto"/>
                    <w:right w:val="none" w:sz="0" w:space="0" w:color="auto"/>
                  </w:divBdr>
                </w:div>
                <w:div w:id="390543455">
                  <w:marLeft w:val="640"/>
                  <w:marRight w:val="0"/>
                  <w:marTop w:val="0"/>
                  <w:marBottom w:val="0"/>
                  <w:divBdr>
                    <w:top w:val="none" w:sz="0" w:space="0" w:color="auto"/>
                    <w:left w:val="none" w:sz="0" w:space="0" w:color="auto"/>
                    <w:bottom w:val="none" w:sz="0" w:space="0" w:color="auto"/>
                    <w:right w:val="none" w:sz="0" w:space="0" w:color="auto"/>
                  </w:divBdr>
                </w:div>
                <w:div w:id="603851958">
                  <w:marLeft w:val="640"/>
                  <w:marRight w:val="0"/>
                  <w:marTop w:val="0"/>
                  <w:marBottom w:val="0"/>
                  <w:divBdr>
                    <w:top w:val="none" w:sz="0" w:space="0" w:color="auto"/>
                    <w:left w:val="none" w:sz="0" w:space="0" w:color="auto"/>
                    <w:bottom w:val="none" w:sz="0" w:space="0" w:color="auto"/>
                    <w:right w:val="none" w:sz="0" w:space="0" w:color="auto"/>
                  </w:divBdr>
                </w:div>
                <w:div w:id="932274829">
                  <w:marLeft w:val="640"/>
                  <w:marRight w:val="0"/>
                  <w:marTop w:val="0"/>
                  <w:marBottom w:val="0"/>
                  <w:divBdr>
                    <w:top w:val="none" w:sz="0" w:space="0" w:color="auto"/>
                    <w:left w:val="none" w:sz="0" w:space="0" w:color="auto"/>
                    <w:bottom w:val="none" w:sz="0" w:space="0" w:color="auto"/>
                    <w:right w:val="none" w:sz="0" w:space="0" w:color="auto"/>
                  </w:divBdr>
                </w:div>
                <w:div w:id="1697195209">
                  <w:marLeft w:val="640"/>
                  <w:marRight w:val="0"/>
                  <w:marTop w:val="0"/>
                  <w:marBottom w:val="0"/>
                  <w:divBdr>
                    <w:top w:val="none" w:sz="0" w:space="0" w:color="auto"/>
                    <w:left w:val="none" w:sz="0" w:space="0" w:color="auto"/>
                    <w:bottom w:val="none" w:sz="0" w:space="0" w:color="auto"/>
                    <w:right w:val="none" w:sz="0" w:space="0" w:color="auto"/>
                  </w:divBdr>
                </w:div>
                <w:div w:id="1156845124">
                  <w:marLeft w:val="640"/>
                  <w:marRight w:val="0"/>
                  <w:marTop w:val="0"/>
                  <w:marBottom w:val="0"/>
                  <w:divBdr>
                    <w:top w:val="none" w:sz="0" w:space="0" w:color="auto"/>
                    <w:left w:val="none" w:sz="0" w:space="0" w:color="auto"/>
                    <w:bottom w:val="none" w:sz="0" w:space="0" w:color="auto"/>
                    <w:right w:val="none" w:sz="0" w:space="0" w:color="auto"/>
                  </w:divBdr>
                </w:div>
                <w:div w:id="1633901699">
                  <w:marLeft w:val="640"/>
                  <w:marRight w:val="0"/>
                  <w:marTop w:val="0"/>
                  <w:marBottom w:val="0"/>
                  <w:divBdr>
                    <w:top w:val="none" w:sz="0" w:space="0" w:color="auto"/>
                    <w:left w:val="none" w:sz="0" w:space="0" w:color="auto"/>
                    <w:bottom w:val="none" w:sz="0" w:space="0" w:color="auto"/>
                    <w:right w:val="none" w:sz="0" w:space="0" w:color="auto"/>
                  </w:divBdr>
                </w:div>
                <w:div w:id="1012949014">
                  <w:marLeft w:val="640"/>
                  <w:marRight w:val="0"/>
                  <w:marTop w:val="0"/>
                  <w:marBottom w:val="0"/>
                  <w:divBdr>
                    <w:top w:val="none" w:sz="0" w:space="0" w:color="auto"/>
                    <w:left w:val="none" w:sz="0" w:space="0" w:color="auto"/>
                    <w:bottom w:val="none" w:sz="0" w:space="0" w:color="auto"/>
                    <w:right w:val="none" w:sz="0" w:space="0" w:color="auto"/>
                  </w:divBdr>
                </w:div>
                <w:div w:id="1441223532">
                  <w:marLeft w:val="640"/>
                  <w:marRight w:val="0"/>
                  <w:marTop w:val="0"/>
                  <w:marBottom w:val="0"/>
                  <w:divBdr>
                    <w:top w:val="none" w:sz="0" w:space="0" w:color="auto"/>
                    <w:left w:val="none" w:sz="0" w:space="0" w:color="auto"/>
                    <w:bottom w:val="none" w:sz="0" w:space="0" w:color="auto"/>
                    <w:right w:val="none" w:sz="0" w:space="0" w:color="auto"/>
                  </w:divBdr>
                </w:div>
                <w:div w:id="133987796">
                  <w:marLeft w:val="640"/>
                  <w:marRight w:val="0"/>
                  <w:marTop w:val="0"/>
                  <w:marBottom w:val="0"/>
                  <w:divBdr>
                    <w:top w:val="none" w:sz="0" w:space="0" w:color="auto"/>
                    <w:left w:val="none" w:sz="0" w:space="0" w:color="auto"/>
                    <w:bottom w:val="none" w:sz="0" w:space="0" w:color="auto"/>
                    <w:right w:val="none" w:sz="0" w:space="0" w:color="auto"/>
                  </w:divBdr>
                </w:div>
                <w:div w:id="1833182509">
                  <w:marLeft w:val="640"/>
                  <w:marRight w:val="0"/>
                  <w:marTop w:val="0"/>
                  <w:marBottom w:val="0"/>
                  <w:divBdr>
                    <w:top w:val="none" w:sz="0" w:space="0" w:color="auto"/>
                    <w:left w:val="none" w:sz="0" w:space="0" w:color="auto"/>
                    <w:bottom w:val="none" w:sz="0" w:space="0" w:color="auto"/>
                    <w:right w:val="none" w:sz="0" w:space="0" w:color="auto"/>
                  </w:divBdr>
                </w:div>
                <w:div w:id="1033312184">
                  <w:marLeft w:val="640"/>
                  <w:marRight w:val="0"/>
                  <w:marTop w:val="0"/>
                  <w:marBottom w:val="0"/>
                  <w:divBdr>
                    <w:top w:val="none" w:sz="0" w:space="0" w:color="auto"/>
                    <w:left w:val="none" w:sz="0" w:space="0" w:color="auto"/>
                    <w:bottom w:val="none" w:sz="0" w:space="0" w:color="auto"/>
                    <w:right w:val="none" w:sz="0" w:space="0" w:color="auto"/>
                  </w:divBdr>
                </w:div>
                <w:div w:id="2049144019">
                  <w:marLeft w:val="640"/>
                  <w:marRight w:val="0"/>
                  <w:marTop w:val="0"/>
                  <w:marBottom w:val="0"/>
                  <w:divBdr>
                    <w:top w:val="none" w:sz="0" w:space="0" w:color="auto"/>
                    <w:left w:val="none" w:sz="0" w:space="0" w:color="auto"/>
                    <w:bottom w:val="none" w:sz="0" w:space="0" w:color="auto"/>
                    <w:right w:val="none" w:sz="0" w:space="0" w:color="auto"/>
                  </w:divBdr>
                </w:div>
                <w:div w:id="1981420107">
                  <w:marLeft w:val="640"/>
                  <w:marRight w:val="0"/>
                  <w:marTop w:val="0"/>
                  <w:marBottom w:val="0"/>
                  <w:divBdr>
                    <w:top w:val="none" w:sz="0" w:space="0" w:color="auto"/>
                    <w:left w:val="none" w:sz="0" w:space="0" w:color="auto"/>
                    <w:bottom w:val="none" w:sz="0" w:space="0" w:color="auto"/>
                    <w:right w:val="none" w:sz="0" w:space="0" w:color="auto"/>
                  </w:divBdr>
                </w:div>
                <w:div w:id="1466386483">
                  <w:marLeft w:val="640"/>
                  <w:marRight w:val="0"/>
                  <w:marTop w:val="0"/>
                  <w:marBottom w:val="0"/>
                  <w:divBdr>
                    <w:top w:val="none" w:sz="0" w:space="0" w:color="auto"/>
                    <w:left w:val="none" w:sz="0" w:space="0" w:color="auto"/>
                    <w:bottom w:val="none" w:sz="0" w:space="0" w:color="auto"/>
                    <w:right w:val="none" w:sz="0" w:space="0" w:color="auto"/>
                  </w:divBdr>
                </w:div>
                <w:div w:id="1641962694">
                  <w:marLeft w:val="640"/>
                  <w:marRight w:val="0"/>
                  <w:marTop w:val="0"/>
                  <w:marBottom w:val="0"/>
                  <w:divBdr>
                    <w:top w:val="none" w:sz="0" w:space="0" w:color="auto"/>
                    <w:left w:val="none" w:sz="0" w:space="0" w:color="auto"/>
                    <w:bottom w:val="none" w:sz="0" w:space="0" w:color="auto"/>
                    <w:right w:val="none" w:sz="0" w:space="0" w:color="auto"/>
                  </w:divBdr>
                </w:div>
                <w:div w:id="781457685">
                  <w:marLeft w:val="640"/>
                  <w:marRight w:val="0"/>
                  <w:marTop w:val="0"/>
                  <w:marBottom w:val="0"/>
                  <w:divBdr>
                    <w:top w:val="none" w:sz="0" w:space="0" w:color="auto"/>
                    <w:left w:val="none" w:sz="0" w:space="0" w:color="auto"/>
                    <w:bottom w:val="none" w:sz="0" w:space="0" w:color="auto"/>
                    <w:right w:val="none" w:sz="0" w:space="0" w:color="auto"/>
                  </w:divBdr>
                </w:div>
                <w:div w:id="1519731879">
                  <w:marLeft w:val="640"/>
                  <w:marRight w:val="0"/>
                  <w:marTop w:val="0"/>
                  <w:marBottom w:val="0"/>
                  <w:divBdr>
                    <w:top w:val="none" w:sz="0" w:space="0" w:color="auto"/>
                    <w:left w:val="none" w:sz="0" w:space="0" w:color="auto"/>
                    <w:bottom w:val="none" w:sz="0" w:space="0" w:color="auto"/>
                    <w:right w:val="none" w:sz="0" w:space="0" w:color="auto"/>
                  </w:divBdr>
                </w:div>
                <w:div w:id="1529952909">
                  <w:marLeft w:val="640"/>
                  <w:marRight w:val="0"/>
                  <w:marTop w:val="0"/>
                  <w:marBottom w:val="0"/>
                  <w:divBdr>
                    <w:top w:val="none" w:sz="0" w:space="0" w:color="auto"/>
                    <w:left w:val="none" w:sz="0" w:space="0" w:color="auto"/>
                    <w:bottom w:val="none" w:sz="0" w:space="0" w:color="auto"/>
                    <w:right w:val="none" w:sz="0" w:space="0" w:color="auto"/>
                  </w:divBdr>
                </w:div>
                <w:div w:id="1276139260">
                  <w:marLeft w:val="640"/>
                  <w:marRight w:val="0"/>
                  <w:marTop w:val="0"/>
                  <w:marBottom w:val="0"/>
                  <w:divBdr>
                    <w:top w:val="none" w:sz="0" w:space="0" w:color="auto"/>
                    <w:left w:val="none" w:sz="0" w:space="0" w:color="auto"/>
                    <w:bottom w:val="none" w:sz="0" w:space="0" w:color="auto"/>
                    <w:right w:val="none" w:sz="0" w:space="0" w:color="auto"/>
                  </w:divBdr>
                </w:div>
                <w:div w:id="905336490">
                  <w:marLeft w:val="640"/>
                  <w:marRight w:val="0"/>
                  <w:marTop w:val="0"/>
                  <w:marBottom w:val="0"/>
                  <w:divBdr>
                    <w:top w:val="none" w:sz="0" w:space="0" w:color="auto"/>
                    <w:left w:val="none" w:sz="0" w:space="0" w:color="auto"/>
                    <w:bottom w:val="none" w:sz="0" w:space="0" w:color="auto"/>
                    <w:right w:val="none" w:sz="0" w:space="0" w:color="auto"/>
                  </w:divBdr>
                </w:div>
                <w:div w:id="1330986849">
                  <w:marLeft w:val="640"/>
                  <w:marRight w:val="0"/>
                  <w:marTop w:val="0"/>
                  <w:marBottom w:val="0"/>
                  <w:divBdr>
                    <w:top w:val="none" w:sz="0" w:space="0" w:color="auto"/>
                    <w:left w:val="none" w:sz="0" w:space="0" w:color="auto"/>
                    <w:bottom w:val="none" w:sz="0" w:space="0" w:color="auto"/>
                    <w:right w:val="none" w:sz="0" w:space="0" w:color="auto"/>
                  </w:divBdr>
                </w:div>
                <w:div w:id="2037384625">
                  <w:marLeft w:val="640"/>
                  <w:marRight w:val="0"/>
                  <w:marTop w:val="0"/>
                  <w:marBottom w:val="0"/>
                  <w:divBdr>
                    <w:top w:val="none" w:sz="0" w:space="0" w:color="auto"/>
                    <w:left w:val="none" w:sz="0" w:space="0" w:color="auto"/>
                    <w:bottom w:val="none" w:sz="0" w:space="0" w:color="auto"/>
                    <w:right w:val="none" w:sz="0" w:space="0" w:color="auto"/>
                  </w:divBdr>
                </w:div>
                <w:div w:id="1898976367">
                  <w:marLeft w:val="640"/>
                  <w:marRight w:val="0"/>
                  <w:marTop w:val="0"/>
                  <w:marBottom w:val="0"/>
                  <w:divBdr>
                    <w:top w:val="none" w:sz="0" w:space="0" w:color="auto"/>
                    <w:left w:val="none" w:sz="0" w:space="0" w:color="auto"/>
                    <w:bottom w:val="none" w:sz="0" w:space="0" w:color="auto"/>
                    <w:right w:val="none" w:sz="0" w:space="0" w:color="auto"/>
                  </w:divBdr>
                </w:div>
                <w:div w:id="2046564532">
                  <w:marLeft w:val="640"/>
                  <w:marRight w:val="0"/>
                  <w:marTop w:val="0"/>
                  <w:marBottom w:val="0"/>
                  <w:divBdr>
                    <w:top w:val="none" w:sz="0" w:space="0" w:color="auto"/>
                    <w:left w:val="none" w:sz="0" w:space="0" w:color="auto"/>
                    <w:bottom w:val="none" w:sz="0" w:space="0" w:color="auto"/>
                    <w:right w:val="none" w:sz="0" w:space="0" w:color="auto"/>
                  </w:divBdr>
                </w:div>
                <w:div w:id="1338314078">
                  <w:marLeft w:val="640"/>
                  <w:marRight w:val="0"/>
                  <w:marTop w:val="0"/>
                  <w:marBottom w:val="0"/>
                  <w:divBdr>
                    <w:top w:val="none" w:sz="0" w:space="0" w:color="auto"/>
                    <w:left w:val="none" w:sz="0" w:space="0" w:color="auto"/>
                    <w:bottom w:val="none" w:sz="0" w:space="0" w:color="auto"/>
                    <w:right w:val="none" w:sz="0" w:space="0" w:color="auto"/>
                  </w:divBdr>
                </w:div>
                <w:div w:id="1760179337">
                  <w:marLeft w:val="640"/>
                  <w:marRight w:val="0"/>
                  <w:marTop w:val="0"/>
                  <w:marBottom w:val="0"/>
                  <w:divBdr>
                    <w:top w:val="none" w:sz="0" w:space="0" w:color="auto"/>
                    <w:left w:val="none" w:sz="0" w:space="0" w:color="auto"/>
                    <w:bottom w:val="none" w:sz="0" w:space="0" w:color="auto"/>
                    <w:right w:val="none" w:sz="0" w:space="0" w:color="auto"/>
                  </w:divBdr>
                </w:div>
                <w:div w:id="2142456767">
                  <w:marLeft w:val="640"/>
                  <w:marRight w:val="0"/>
                  <w:marTop w:val="0"/>
                  <w:marBottom w:val="0"/>
                  <w:divBdr>
                    <w:top w:val="none" w:sz="0" w:space="0" w:color="auto"/>
                    <w:left w:val="none" w:sz="0" w:space="0" w:color="auto"/>
                    <w:bottom w:val="none" w:sz="0" w:space="0" w:color="auto"/>
                    <w:right w:val="none" w:sz="0" w:space="0" w:color="auto"/>
                  </w:divBdr>
                </w:div>
                <w:div w:id="187721462">
                  <w:marLeft w:val="640"/>
                  <w:marRight w:val="0"/>
                  <w:marTop w:val="0"/>
                  <w:marBottom w:val="0"/>
                  <w:divBdr>
                    <w:top w:val="none" w:sz="0" w:space="0" w:color="auto"/>
                    <w:left w:val="none" w:sz="0" w:space="0" w:color="auto"/>
                    <w:bottom w:val="none" w:sz="0" w:space="0" w:color="auto"/>
                    <w:right w:val="none" w:sz="0" w:space="0" w:color="auto"/>
                  </w:divBdr>
                </w:div>
                <w:div w:id="78143053">
                  <w:marLeft w:val="640"/>
                  <w:marRight w:val="0"/>
                  <w:marTop w:val="0"/>
                  <w:marBottom w:val="0"/>
                  <w:divBdr>
                    <w:top w:val="none" w:sz="0" w:space="0" w:color="auto"/>
                    <w:left w:val="none" w:sz="0" w:space="0" w:color="auto"/>
                    <w:bottom w:val="none" w:sz="0" w:space="0" w:color="auto"/>
                    <w:right w:val="none" w:sz="0" w:space="0" w:color="auto"/>
                  </w:divBdr>
                </w:div>
                <w:div w:id="1095980655">
                  <w:marLeft w:val="640"/>
                  <w:marRight w:val="0"/>
                  <w:marTop w:val="0"/>
                  <w:marBottom w:val="0"/>
                  <w:divBdr>
                    <w:top w:val="none" w:sz="0" w:space="0" w:color="auto"/>
                    <w:left w:val="none" w:sz="0" w:space="0" w:color="auto"/>
                    <w:bottom w:val="none" w:sz="0" w:space="0" w:color="auto"/>
                    <w:right w:val="none" w:sz="0" w:space="0" w:color="auto"/>
                  </w:divBdr>
                </w:div>
                <w:div w:id="37751294">
                  <w:marLeft w:val="640"/>
                  <w:marRight w:val="0"/>
                  <w:marTop w:val="0"/>
                  <w:marBottom w:val="0"/>
                  <w:divBdr>
                    <w:top w:val="none" w:sz="0" w:space="0" w:color="auto"/>
                    <w:left w:val="none" w:sz="0" w:space="0" w:color="auto"/>
                    <w:bottom w:val="none" w:sz="0" w:space="0" w:color="auto"/>
                    <w:right w:val="none" w:sz="0" w:space="0" w:color="auto"/>
                  </w:divBdr>
                </w:div>
                <w:div w:id="1418090522">
                  <w:marLeft w:val="640"/>
                  <w:marRight w:val="0"/>
                  <w:marTop w:val="0"/>
                  <w:marBottom w:val="0"/>
                  <w:divBdr>
                    <w:top w:val="none" w:sz="0" w:space="0" w:color="auto"/>
                    <w:left w:val="none" w:sz="0" w:space="0" w:color="auto"/>
                    <w:bottom w:val="none" w:sz="0" w:space="0" w:color="auto"/>
                    <w:right w:val="none" w:sz="0" w:space="0" w:color="auto"/>
                  </w:divBdr>
                </w:div>
                <w:div w:id="179780214">
                  <w:marLeft w:val="640"/>
                  <w:marRight w:val="0"/>
                  <w:marTop w:val="0"/>
                  <w:marBottom w:val="0"/>
                  <w:divBdr>
                    <w:top w:val="none" w:sz="0" w:space="0" w:color="auto"/>
                    <w:left w:val="none" w:sz="0" w:space="0" w:color="auto"/>
                    <w:bottom w:val="none" w:sz="0" w:space="0" w:color="auto"/>
                    <w:right w:val="none" w:sz="0" w:space="0" w:color="auto"/>
                  </w:divBdr>
                </w:div>
                <w:div w:id="1338800844">
                  <w:marLeft w:val="640"/>
                  <w:marRight w:val="0"/>
                  <w:marTop w:val="0"/>
                  <w:marBottom w:val="0"/>
                  <w:divBdr>
                    <w:top w:val="none" w:sz="0" w:space="0" w:color="auto"/>
                    <w:left w:val="none" w:sz="0" w:space="0" w:color="auto"/>
                    <w:bottom w:val="none" w:sz="0" w:space="0" w:color="auto"/>
                    <w:right w:val="none" w:sz="0" w:space="0" w:color="auto"/>
                  </w:divBdr>
                </w:div>
                <w:div w:id="502622971">
                  <w:marLeft w:val="640"/>
                  <w:marRight w:val="0"/>
                  <w:marTop w:val="0"/>
                  <w:marBottom w:val="0"/>
                  <w:divBdr>
                    <w:top w:val="none" w:sz="0" w:space="0" w:color="auto"/>
                    <w:left w:val="none" w:sz="0" w:space="0" w:color="auto"/>
                    <w:bottom w:val="none" w:sz="0" w:space="0" w:color="auto"/>
                    <w:right w:val="none" w:sz="0" w:space="0" w:color="auto"/>
                  </w:divBdr>
                </w:div>
                <w:div w:id="1314336127">
                  <w:marLeft w:val="640"/>
                  <w:marRight w:val="0"/>
                  <w:marTop w:val="0"/>
                  <w:marBottom w:val="0"/>
                  <w:divBdr>
                    <w:top w:val="none" w:sz="0" w:space="0" w:color="auto"/>
                    <w:left w:val="none" w:sz="0" w:space="0" w:color="auto"/>
                    <w:bottom w:val="none" w:sz="0" w:space="0" w:color="auto"/>
                    <w:right w:val="none" w:sz="0" w:space="0" w:color="auto"/>
                  </w:divBdr>
                </w:div>
                <w:div w:id="1924679245">
                  <w:marLeft w:val="640"/>
                  <w:marRight w:val="0"/>
                  <w:marTop w:val="0"/>
                  <w:marBottom w:val="0"/>
                  <w:divBdr>
                    <w:top w:val="none" w:sz="0" w:space="0" w:color="auto"/>
                    <w:left w:val="none" w:sz="0" w:space="0" w:color="auto"/>
                    <w:bottom w:val="none" w:sz="0" w:space="0" w:color="auto"/>
                    <w:right w:val="none" w:sz="0" w:space="0" w:color="auto"/>
                  </w:divBdr>
                </w:div>
                <w:div w:id="295108621">
                  <w:marLeft w:val="640"/>
                  <w:marRight w:val="0"/>
                  <w:marTop w:val="0"/>
                  <w:marBottom w:val="0"/>
                  <w:divBdr>
                    <w:top w:val="none" w:sz="0" w:space="0" w:color="auto"/>
                    <w:left w:val="none" w:sz="0" w:space="0" w:color="auto"/>
                    <w:bottom w:val="none" w:sz="0" w:space="0" w:color="auto"/>
                    <w:right w:val="none" w:sz="0" w:space="0" w:color="auto"/>
                  </w:divBdr>
                </w:div>
                <w:div w:id="1903517722">
                  <w:marLeft w:val="640"/>
                  <w:marRight w:val="0"/>
                  <w:marTop w:val="0"/>
                  <w:marBottom w:val="0"/>
                  <w:divBdr>
                    <w:top w:val="none" w:sz="0" w:space="0" w:color="auto"/>
                    <w:left w:val="none" w:sz="0" w:space="0" w:color="auto"/>
                    <w:bottom w:val="none" w:sz="0" w:space="0" w:color="auto"/>
                    <w:right w:val="none" w:sz="0" w:space="0" w:color="auto"/>
                  </w:divBdr>
                </w:div>
                <w:div w:id="1756435419">
                  <w:marLeft w:val="640"/>
                  <w:marRight w:val="0"/>
                  <w:marTop w:val="0"/>
                  <w:marBottom w:val="0"/>
                  <w:divBdr>
                    <w:top w:val="none" w:sz="0" w:space="0" w:color="auto"/>
                    <w:left w:val="none" w:sz="0" w:space="0" w:color="auto"/>
                    <w:bottom w:val="none" w:sz="0" w:space="0" w:color="auto"/>
                    <w:right w:val="none" w:sz="0" w:space="0" w:color="auto"/>
                  </w:divBdr>
                </w:div>
                <w:div w:id="960259484">
                  <w:marLeft w:val="640"/>
                  <w:marRight w:val="0"/>
                  <w:marTop w:val="0"/>
                  <w:marBottom w:val="0"/>
                  <w:divBdr>
                    <w:top w:val="none" w:sz="0" w:space="0" w:color="auto"/>
                    <w:left w:val="none" w:sz="0" w:space="0" w:color="auto"/>
                    <w:bottom w:val="none" w:sz="0" w:space="0" w:color="auto"/>
                    <w:right w:val="none" w:sz="0" w:space="0" w:color="auto"/>
                  </w:divBdr>
                </w:div>
                <w:div w:id="727262786">
                  <w:marLeft w:val="640"/>
                  <w:marRight w:val="0"/>
                  <w:marTop w:val="0"/>
                  <w:marBottom w:val="0"/>
                  <w:divBdr>
                    <w:top w:val="none" w:sz="0" w:space="0" w:color="auto"/>
                    <w:left w:val="none" w:sz="0" w:space="0" w:color="auto"/>
                    <w:bottom w:val="none" w:sz="0" w:space="0" w:color="auto"/>
                    <w:right w:val="none" w:sz="0" w:space="0" w:color="auto"/>
                  </w:divBdr>
                </w:div>
                <w:div w:id="924845102">
                  <w:marLeft w:val="640"/>
                  <w:marRight w:val="0"/>
                  <w:marTop w:val="0"/>
                  <w:marBottom w:val="0"/>
                  <w:divBdr>
                    <w:top w:val="none" w:sz="0" w:space="0" w:color="auto"/>
                    <w:left w:val="none" w:sz="0" w:space="0" w:color="auto"/>
                    <w:bottom w:val="none" w:sz="0" w:space="0" w:color="auto"/>
                    <w:right w:val="none" w:sz="0" w:space="0" w:color="auto"/>
                  </w:divBdr>
                </w:div>
                <w:div w:id="1759517493">
                  <w:marLeft w:val="640"/>
                  <w:marRight w:val="0"/>
                  <w:marTop w:val="0"/>
                  <w:marBottom w:val="0"/>
                  <w:divBdr>
                    <w:top w:val="none" w:sz="0" w:space="0" w:color="auto"/>
                    <w:left w:val="none" w:sz="0" w:space="0" w:color="auto"/>
                    <w:bottom w:val="none" w:sz="0" w:space="0" w:color="auto"/>
                    <w:right w:val="none" w:sz="0" w:space="0" w:color="auto"/>
                  </w:divBdr>
                </w:div>
                <w:div w:id="1510562463">
                  <w:marLeft w:val="640"/>
                  <w:marRight w:val="0"/>
                  <w:marTop w:val="0"/>
                  <w:marBottom w:val="0"/>
                  <w:divBdr>
                    <w:top w:val="none" w:sz="0" w:space="0" w:color="auto"/>
                    <w:left w:val="none" w:sz="0" w:space="0" w:color="auto"/>
                    <w:bottom w:val="none" w:sz="0" w:space="0" w:color="auto"/>
                    <w:right w:val="none" w:sz="0" w:space="0" w:color="auto"/>
                  </w:divBdr>
                </w:div>
                <w:div w:id="362754548">
                  <w:marLeft w:val="640"/>
                  <w:marRight w:val="0"/>
                  <w:marTop w:val="0"/>
                  <w:marBottom w:val="0"/>
                  <w:divBdr>
                    <w:top w:val="none" w:sz="0" w:space="0" w:color="auto"/>
                    <w:left w:val="none" w:sz="0" w:space="0" w:color="auto"/>
                    <w:bottom w:val="none" w:sz="0" w:space="0" w:color="auto"/>
                    <w:right w:val="none" w:sz="0" w:space="0" w:color="auto"/>
                  </w:divBdr>
                </w:div>
                <w:div w:id="72631020">
                  <w:marLeft w:val="640"/>
                  <w:marRight w:val="0"/>
                  <w:marTop w:val="0"/>
                  <w:marBottom w:val="0"/>
                  <w:divBdr>
                    <w:top w:val="none" w:sz="0" w:space="0" w:color="auto"/>
                    <w:left w:val="none" w:sz="0" w:space="0" w:color="auto"/>
                    <w:bottom w:val="none" w:sz="0" w:space="0" w:color="auto"/>
                    <w:right w:val="none" w:sz="0" w:space="0" w:color="auto"/>
                  </w:divBdr>
                </w:div>
                <w:div w:id="1637488728">
                  <w:marLeft w:val="640"/>
                  <w:marRight w:val="0"/>
                  <w:marTop w:val="0"/>
                  <w:marBottom w:val="0"/>
                  <w:divBdr>
                    <w:top w:val="none" w:sz="0" w:space="0" w:color="auto"/>
                    <w:left w:val="none" w:sz="0" w:space="0" w:color="auto"/>
                    <w:bottom w:val="none" w:sz="0" w:space="0" w:color="auto"/>
                    <w:right w:val="none" w:sz="0" w:space="0" w:color="auto"/>
                  </w:divBdr>
                </w:div>
                <w:div w:id="64187541">
                  <w:marLeft w:val="640"/>
                  <w:marRight w:val="0"/>
                  <w:marTop w:val="0"/>
                  <w:marBottom w:val="0"/>
                  <w:divBdr>
                    <w:top w:val="none" w:sz="0" w:space="0" w:color="auto"/>
                    <w:left w:val="none" w:sz="0" w:space="0" w:color="auto"/>
                    <w:bottom w:val="none" w:sz="0" w:space="0" w:color="auto"/>
                    <w:right w:val="none" w:sz="0" w:space="0" w:color="auto"/>
                  </w:divBdr>
                </w:div>
                <w:div w:id="919752569">
                  <w:marLeft w:val="640"/>
                  <w:marRight w:val="0"/>
                  <w:marTop w:val="0"/>
                  <w:marBottom w:val="0"/>
                  <w:divBdr>
                    <w:top w:val="none" w:sz="0" w:space="0" w:color="auto"/>
                    <w:left w:val="none" w:sz="0" w:space="0" w:color="auto"/>
                    <w:bottom w:val="none" w:sz="0" w:space="0" w:color="auto"/>
                    <w:right w:val="none" w:sz="0" w:space="0" w:color="auto"/>
                  </w:divBdr>
                </w:div>
                <w:div w:id="1905792060">
                  <w:marLeft w:val="640"/>
                  <w:marRight w:val="0"/>
                  <w:marTop w:val="0"/>
                  <w:marBottom w:val="0"/>
                  <w:divBdr>
                    <w:top w:val="none" w:sz="0" w:space="0" w:color="auto"/>
                    <w:left w:val="none" w:sz="0" w:space="0" w:color="auto"/>
                    <w:bottom w:val="none" w:sz="0" w:space="0" w:color="auto"/>
                    <w:right w:val="none" w:sz="0" w:space="0" w:color="auto"/>
                  </w:divBdr>
                </w:div>
                <w:div w:id="1281449333">
                  <w:marLeft w:val="640"/>
                  <w:marRight w:val="0"/>
                  <w:marTop w:val="0"/>
                  <w:marBottom w:val="0"/>
                  <w:divBdr>
                    <w:top w:val="none" w:sz="0" w:space="0" w:color="auto"/>
                    <w:left w:val="none" w:sz="0" w:space="0" w:color="auto"/>
                    <w:bottom w:val="none" w:sz="0" w:space="0" w:color="auto"/>
                    <w:right w:val="none" w:sz="0" w:space="0" w:color="auto"/>
                  </w:divBdr>
                </w:div>
                <w:div w:id="1883514000">
                  <w:marLeft w:val="640"/>
                  <w:marRight w:val="0"/>
                  <w:marTop w:val="0"/>
                  <w:marBottom w:val="0"/>
                  <w:divBdr>
                    <w:top w:val="none" w:sz="0" w:space="0" w:color="auto"/>
                    <w:left w:val="none" w:sz="0" w:space="0" w:color="auto"/>
                    <w:bottom w:val="none" w:sz="0" w:space="0" w:color="auto"/>
                    <w:right w:val="none" w:sz="0" w:space="0" w:color="auto"/>
                  </w:divBdr>
                </w:div>
                <w:div w:id="1021587660">
                  <w:marLeft w:val="640"/>
                  <w:marRight w:val="0"/>
                  <w:marTop w:val="0"/>
                  <w:marBottom w:val="0"/>
                  <w:divBdr>
                    <w:top w:val="none" w:sz="0" w:space="0" w:color="auto"/>
                    <w:left w:val="none" w:sz="0" w:space="0" w:color="auto"/>
                    <w:bottom w:val="none" w:sz="0" w:space="0" w:color="auto"/>
                    <w:right w:val="none" w:sz="0" w:space="0" w:color="auto"/>
                  </w:divBdr>
                </w:div>
                <w:div w:id="293608774">
                  <w:marLeft w:val="640"/>
                  <w:marRight w:val="0"/>
                  <w:marTop w:val="0"/>
                  <w:marBottom w:val="0"/>
                  <w:divBdr>
                    <w:top w:val="none" w:sz="0" w:space="0" w:color="auto"/>
                    <w:left w:val="none" w:sz="0" w:space="0" w:color="auto"/>
                    <w:bottom w:val="none" w:sz="0" w:space="0" w:color="auto"/>
                    <w:right w:val="none" w:sz="0" w:space="0" w:color="auto"/>
                  </w:divBdr>
                </w:div>
                <w:div w:id="701134889">
                  <w:marLeft w:val="640"/>
                  <w:marRight w:val="0"/>
                  <w:marTop w:val="0"/>
                  <w:marBottom w:val="0"/>
                  <w:divBdr>
                    <w:top w:val="none" w:sz="0" w:space="0" w:color="auto"/>
                    <w:left w:val="none" w:sz="0" w:space="0" w:color="auto"/>
                    <w:bottom w:val="none" w:sz="0" w:space="0" w:color="auto"/>
                    <w:right w:val="none" w:sz="0" w:space="0" w:color="auto"/>
                  </w:divBdr>
                </w:div>
                <w:div w:id="1564636918">
                  <w:marLeft w:val="640"/>
                  <w:marRight w:val="0"/>
                  <w:marTop w:val="0"/>
                  <w:marBottom w:val="0"/>
                  <w:divBdr>
                    <w:top w:val="none" w:sz="0" w:space="0" w:color="auto"/>
                    <w:left w:val="none" w:sz="0" w:space="0" w:color="auto"/>
                    <w:bottom w:val="none" w:sz="0" w:space="0" w:color="auto"/>
                    <w:right w:val="none" w:sz="0" w:space="0" w:color="auto"/>
                  </w:divBdr>
                </w:div>
                <w:div w:id="2027634015">
                  <w:marLeft w:val="640"/>
                  <w:marRight w:val="0"/>
                  <w:marTop w:val="0"/>
                  <w:marBottom w:val="0"/>
                  <w:divBdr>
                    <w:top w:val="none" w:sz="0" w:space="0" w:color="auto"/>
                    <w:left w:val="none" w:sz="0" w:space="0" w:color="auto"/>
                    <w:bottom w:val="none" w:sz="0" w:space="0" w:color="auto"/>
                    <w:right w:val="none" w:sz="0" w:space="0" w:color="auto"/>
                  </w:divBdr>
                </w:div>
                <w:div w:id="1873372502">
                  <w:marLeft w:val="640"/>
                  <w:marRight w:val="0"/>
                  <w:marTop w:val="0"/>
                  <w:marBottom w:val="0"/>
                  <w:divBdr>
                    <w:top w:val="none" w:sz="0" w:space="0" w:color="auto"/>
                    <w:left w:val="none" w:sz="0" w:space="0" w:color="auto"/>
                    <w:bottom w:val="none" w:sz="0" w:space="0" w:color="auto"/>
                    <w:right w:val="none" w:sz="0" w:space="0" w:color="auto"/>
                  </w:divBdr>
                </w:div>
                <w:div w:id="716122583">
                  <w:marLeft w:val="640"/>
                  <w:marRight w:val="0"/>
                  <w:marTop w:val="0"/>
                  <w:marBottom w:val="0"/>
                  <w:divBdr>
                    <w:top w:val="none" w:sz="0" w:space="0" w:color="auto"/>
                    <w:left w:val="none" w:sz="0" w:space="0" w:color="auto"/>
                    <w:bottom w:val="none" w:sz="0" w:space="0" w:color="auto"/>
                    <w:right w:val="none" w:sz="0" w:space="0" w:color="auto"/>
                  </w:divBdr>
                </w:div>
                <w:div w:id="570701640">
                  <w:marLeft w:val="640"/>
                  <w:marRight w:val="0"/>
                  <w:marTop w:val="0"/>
                  <w:marBottom w:val="0"/>
                  <w:divBdr>
                    <w:top w:val="none" w:sz="0" w:space="0" w:color="auto"/>
                    <w:left w:val="none" w:sz="0" w:space="0" w:color="auto"/>
                    <w:bottom w:val="none" w:sz="0" w:space="0" w:color="auto"/>
                    <w:right w:val="none" w:sz="0" w:space="0" w:color="auto"/>
                  </w:divBdr>
                </w:div>
                <w:div w:id="1272784851">
                  <w:marLeft w:val="640"/>
                  <w:marRight w:val="0"/>
                  <w:marTop w:val="0"/>
                  <w:marBottom w:val="0"/>
                  <w:divBdr>
                    <w:top w:val="none" w:sz="0" w:space="0" w:color="auto"/>
                    <w:left w:val="none" w:sz="0" w:space="0" w:color="auto"/>
                    <w:bottom w:val="none" w:sz="0" w:space="0" w:color="auto"/>
                    <w:right w:val="none" w:sz="0" w:space="0" w:color="auto"/>
                  </w:divBdr>
                </w:div>
                <w:div w:id="1663729444">
                  <w:marLeft w:val="640"/>
                  <w:marRight w:val="0"/>
                  <w:marTop w:val="0"/>
                  <w:marBottom w:val="0"/>
                  <w:divBdr>
                    <w:top w:val="none" w:sz="0" w:space="0" w:color="auto"/>
                    <w:left w:val="none" w:sz="0" w:space="0" w:color="auto"/>
                    <w:bottom w:val="none" w:sz="0" w:space="0" w:color="auto"/>
                    <w:right w:val="none" w:sz="0" w:space="0" w:color="auto"/>
                  </w:divBdr>
                </w:div>
                <w:div w:id="835729734">
                  <w:marLeft w:val="640"/>
                  <w:marRight w:val="0"/>
                  <w:marTop w:val="0"/>
                  <w:marBottom w:val="0"/>
                  <w:divBdr>
                    <w:top w:val="none" w:sz="0" w:space="0" w:color="auto"/>
                    <w:left w:val="none" w:sz="0" w:space="0" w:color="auto"/>
                    <w:bottom w:val="none" w:sz="0" w:space="0" w:color="auto"/>
                    <w:right w:val="none" w:sz="0" w:space="0" w:color="auto"/>
                  </w:divBdr>
                </w:div>
                <w:div w:id="1237086513">
                  <w:marLeft w:val="640"/>
                  <w:marRight w:val="0"/>
                  <w:marTop w:val="0"/>
                  <w:marBottom w:val="0"/>
                  <w:divBdr>
                    <w:top w:val="none" w:sz="0" w:space="0" w:color="auto"/>
                    <w:left w:val="none" w:sz="0" w:space="0" w:color="auto"/>
                    <w:bottom w:val="none" w:sz="0" w:space="0" w:color="auto"/>
                    <w:right w:val="none" w:sz="0" w:space="0" w:color="auto"/>
                  </w:divBdr>
                </w:div>
                <w:div w:id="196820068">
                  <w:marLeft w:val="640"/>
                  <w:marRight w:val="0"/>
                  <w:marTop w:val="0"/>
                  <w:marBottom w:val="0"/>
                  <w:divBdr>
                    <w:top w:val="none" w:sz="0" w:space="0" w:color="auto"/>
                    <w:left w:val="none" w:sz="0" w:space="0" w:color="auto"/>
                    <w:bottom w:val="none" w:sz="0" w:space="0" w:color="auto"/>
                    <w:right w:val="none" w:sz="0" w:space="0" w:color="auto"/>
                  </w:divBdr>
                </w:div>
                <w:div w:id="1962031123">
                  <w:marLeft w:val="640"/>
                  <w:marRight w:val="0"/>
                  <w:marTop w:val="0"/>
                  <w:marBottom w:val="0"/>
                  <w:divBdr>
                    <w:top w:val="none" w:sz="0" w:space="0" w:color="auto"/>
                    <w:left w:val="none" w:sz="0" w:space="0" w:color="auto"/>
                    <w:bottom w:val="none" w:sz="0" w:space="0" w:color="auto"/>
                    <w:right w:val="none" w:sz="0" w:space="0" w:color="auto"/>
                  </w:divBdr>
                </w:div>
                <w:div w:id="1304844511">
                  <w:marLeft w:val="640"/>
                  <w:marRight w:val="0"/>
                  <w:marTop w:val="0"/>
                  <w:marBottom w:val="0"/>
                  <w:divBdr>
                    <w:top w:val="none" w:sz="0" w:space="0" w:color="auto"/>
                    <w:left w:val="none" w:sz="0" w:space="0" w:color="auto"/>
                    <w:bottom w:val="none" w:sz="0" w:space="0" w:color="auto"/>
                    <w:right w:val="none" w:sz="0" w:space="0" w:color="auto"/>
                  </w:divBdr>
                </w:div>
                <w:div w:id="243687623">
                  <w:marLeft w:val="640"/>
                  <w:marRight w:val="0"/>
                  <w:marTop w:val="0"/>
                  <w:marBottom w:val="0"/>
                  <w:divBdr>
                    <w:top w:val="none" w:sz="0" w:space="0" w:color="auto"/>
                    <w:left w:val="none" w:sz="0" w:space="0" w:color="auto"/>
                    <w:bottom w:val="none" w:sz="0" w:space="0" w:color="auto"/>
                    <w:right w:val="none" w:sz="0" w:space="0" w:color="auto"/>
                  </w:divBdr>
                </w:div>
                <w:div w:id="1330868803">
                  <w:marLeft w:val="640"/>
                  <w:marRight w:val="0"/>
                  <w:marTop w:val="0"/>
                  <w:marBottom w:val="0"/>
                  <w:divBdr>
                    <w:top w:val="none" w:sz="0" w:space="0" w:color="auto"/>
                    <w:left w:val="none" w:sz="0" w:space="0" w:color="auto"/>
                    <w:bottom w:val="none" w:sz="0" w:space="0" w:color="auto"/>
                    <w:right w:val="none" w:sz="0" w:space="0" w:color="auto"/>
                  </w:divBdr>
                </w:div>
                <w:div w:id="220291791">
                  <w:marLeft w:val="640"/>
                  <w:marRight w:val="0"/>
                  <w:marTop w:val="0"/>
                  <w:marBottom w:val="0"/>
                  <w:divBdr>
                    <w:top w:val="none" w:sz="0" w:space="0" w:color="auto"/>
                    <w:left w:val="none" w:sz="0" w:space="0" w:color="auto"/>
                    <w:bottom w:val="none" w:sz="0" w:space="0" w:color="auto"/>
                    <w:right w:val="none" w:sz="0" w:space="0" w:color="auto"/>
                  </w:divBdr>
                </w:div>
                <w:div w:id="1086657777">
                  <w:marLeft w:val="640"/>
                  <w:marRight w:val="0"/>
                  <w:marTop w:val="0"/>
                  <w:marBottom w:val="0"/>
                  <w:divBdr>
                    <w:top w:val="none" w:sz="0" w:space="0" w:color="auto"/>
                    <w:left w:val="none" w:sz="0" w:space="0" w:color="auto"/>
                    <w:bottom w:val="none" w:sz="0" w:space="0" w:color="auto"/>
                    <w:right w:val="none" w:sz="0" w:space="0" w:color="auto"/>
                  </w:divBdr>
                </w:div>
                <w:div w:id="1574044737">
                  <w:marLeft w:val="640"/>
                  <w:marRight w:val="0"/>
                  <w:marTop w:val="0"/>
                  <w:marBottom w:val="0"/>
                  <w:divBdr>
                    <w:top w:val="none" w:sz="0" w:space="0" w:color="auto"/>
                    <w:left w:val="none" w:sz="0" w:space="0" w:color="auto"/>
                    <w:bottom w:val="none" w:sz="0" w:space="0" w:color="auto"/>
                    <w:right w:val="none" w:sz="0" w:space="0" w:color="auto"/>
                  </w:divBdr>
                </w:div>
                <w:div w:id="665323642">
                  <w:marLeft w:val="640"/>
                  <w:marRight w:val="0"/>
                  <w:marTop w:val="0"/>
                  <w:marBottom w:val="0"/>
                  <w:divBdr>
                    <w:top w:val="none" w:sz="0" w:space="0" w:color="auto"/>
                    <w:left w:val="none" w:sz="0" w:space="0" w:color="auto"/>
                    <w:bottom w:val="none" w:sz="0" w:space="0" w:color="auto"/>
                    <w:right w:val="none" w:sz="0" w:space="0" w:color="auto"/>
                  </w:divBdr>
                </w:div>
                <w:div w:id="1171139326">
                  <w:marLeft w:val="640"/>
                  <w:marRight w:val="0"/>
                  <w:marTop w:val="0"/>
                  <w:marBottom w:val="0"/>
                  <w:divBdr>
                    <w:top w:val="none" w:sz="0" w:space="0" w:color="auto"/>
                    <w:left w:val="none" w:sz="0" w:space="0" w:color="auto"/>
                    <w:bottom w:val="none" w:sz="0" w:space="0" w:color="auto"/>
                    <w:right w:val="none" w:sz="0" w:space="0" w:color="auto"/>
                  </w:divBdr>
                </w:div>
                <w:div w:id="1568150585">
                  <w:marLeft w:val="640"/>
                  <w:marRight w:val="0"/>
                  <w:marTop w:val="0"/>
                  <w:marBottom w:val="0"/>
                  <w:divBdr>
                    <w:top w:val="none" w:sz="0" w:space="0" w:color="auto"/>
                    <w:left w:val="none" w:sz="0" w:space="0" w:color="auto"/>
                    <w:bottom w:val="none" w:sz="0" w:space="0" w:color="auto"/>
                    <w:right w:val="none" w:sz="0" w:space="0" w:color="auto"/>
                  </w:divBdr>
                </w:div>
                <w:div w:id="1573077879">
                  <w:marLeft w:val="640"/>
                  <w:marRight w:val="0"/>
                  <w:marTop w:val="0"/>
                  <w:marBottom w:val="0"/>
                  <w:divBdr>
                    <w:top w:val="none" w:sz="0" w:space="0" w:color="auto"/>
                    <w:left w:val="none" w:sz="0" w:space="0" w:color="auto"/>
                    <w:bottom w:val="none" w:sz="0" w:space="0" w:color="auto"/>
                    <w:right w:val="none" w:sz="0" w:space="0" w:color="auto"/>
                  </w:divBdr>
                </w:div>
                <w:div w:id="1056858752">
                  <w:marLeft w:val="640"/>
                  <w:marRight w:val="0"/>
                  <w:marTop w:val="0"/>
                  <w:marBottom w:val="0"/>
                  <w:divBdr>
                    <w:top w:val="none" w:sz="0" w:space="0" w:color="auto"/>
                    <w:left w:val="none" w:sz="0" w:space="0" w:color="auto"/>
                    <w:bottom w:val="none" w:sz="0" w:space="0" w:color="auto"/>
                    <w:right w:val="none" w:sz="0" w:space="0" w:color="auto"/>
                  </w:divBdr>
                </w:div>
                <w:div w:id="1726444377">
                  <w:marLeft w:val="640"/>
                  <w:marRight w:val="0"/>
                  <w:marTop w:val="0"/>
                  <w:marBottom w:val="0"/>
                  <w:divBdr>
                    <w:top w:val="none" w:sz="0" w:space="0" w:color="auto"/>
                    <w:left w:val="none" w:sz="0" w:space="0" w:color="auto"/>
                    <w:bottom w:val="none" w:sz="0" w:space="0" w:color="auto"/>
                    <w:right w:val="none" w:sz="0" w:space="0" w:color="auto"/>
                  </w:divBdr>
                </w:div>
                <w:div w:id="1323780882">
                  <w:marLeft w:val="640"/>
                  <w:marRight w:val="0"/>
                  <w:marTop w:val="0"/>
                  <w:marBottom w:val="0"/>
                  <w:divBdr>
                    <w:top w:val="none" w:sz="0" w:space="0" w:color="auto"/>
                    <w:left w:val="none" w:sz="0" w:space="0" w:color="auto"/>
                    <w:bottom w:val="none" w:sz="0" w:space="0" w:color="auto"/>
                    <w:right w:val="none" w:sz="0" w:space="0" w:color="auto"/>
                  </w:divBdr>
                </w:div>
                <w:div w:id="321545820">
                  <w:marLeft w:val="640"/>
                  <w:marRight w:val="0"/>
                  <w:marTop w:val="0"/>
                  <w:marBottom w:val="0"/>
                  <w:divBdr>
                    <w:top w:val="none" w:sz="0" w:space="0" w:color="auto"/>
                    <w:left w:val="none" w:sz="0" w:space="0" w:color="auto"/>
                    <w:bottom w:val="none" w:sz="0" w:space="0" w:color="auto"/>
                    <w:right w:val="none" w:sz="0" w:space="0" w:color="auto"/>
                  </w:divBdr>
                </w:div>
                <w:div w:id="262539988">
                  <w:marLeft w:val="640"/>
                  <w:marRight w:val="0"/>
                  <w:marTop w:val="0"/>
                  <w:marBottom w:val="0"/>
                  <w:divBdr>
                    <w:top w:val="none" w:sz="0" w:space="0" w:color="auto"/>
                    <w:left w:val="none" w:sz="0" w:space="0" w:color="auto"/>
                    <w:bottom w:val="none" w:sz="0" w:space="0" w:color="auto"/>
                    <w:right w:val="none" w:sz="0" w:space="0" w:color="auto"/>
                  </w:divBdr>
                </w:div>
                <w:div w:id="2019844103">
                  <w:marLeft w:val="640"/>
                  <w:marRight w:val="0"/>
                  <w:marTop w:val="0"/>
                  <w:marBottom w:val="0"/>
                  <w:divBdr>
                    <w:top w:val="none" w:sz="0" w:space="0" w:color="auto"/>
                    <w:left w:val="none" w:sz="0" w:space="0" w:color="auto"/>
                    <w:bottom w:val="none" w:sz="0" w:space="0" w:color="auto"/>
                    <w:right w:val="none" w:sz="0" w:space="0" w:color="auto"/>
                  </w:divBdr>
                </w:div>
                <w:div w:id="345904469">
                  <w:marLeft w:val="640"/>
                  <w:marRight w:val="0"/>
                  <w:marTop w:val="0"/>
                  <w:marBottom w:val="0"/>
                  <w:divBdr>
                    <w:top w:val="none" w:sz="0" w:space="0" w:color="auto"/>
                    <w:left w:val="none" w:sz="0" w:space="0" w:color="auto"/>
                    <w:bottom w:val="none" w:sz="0" w:space="0" w:color="auto"/>
                    <w:right w:val="none" w:sz="0" w:space="0" w:color="auto"/>
                  </w:divBdr>
                </w:div>
                <w:div w:id="2025475934">
                  <w:marLeft w:val="640"/>
                  <w:marRight w:val="0"/>
                  <w:marTop w:val="0"/>
                  <w:marBottom w:val="0"/>
                  <w:divBdr>
                    <w:top w:val="none" w:sz="0" w:space="0" w:color="auto"/>
                    <w:left w:val="none" w:sz="0" w:space="0" w:color="auto"/>
                    <w:bottom w:val="none" w:sz="0" w:space="0" w:color="auto"/>
                    <w:right w:val="none" w:sz="0" w:space="0" w:color="auto"/>
                  </w:divBdr>
                </w:div>
                <w:div w:id="1443956880">
                  <w:marLeft w:val="640"/>
                  <w:marRight w:val="0"/>
                  <w:marTop w:val="0"/>
                  <w:marBottom w:val="0"/>
                  <w:divBdr>
                    <w:top w:val="none" w:sz="0" w:space="0" w:color="auto"/>
                    <w:left w:val="none" w:sz="0" w:space="0" w:color="auto"/>
                    <w:bottom w:val="none" w:sz="0" w:space="0" w:color="auto"/>
                    <w:right w:val="none" w:sz="0" w:space="0" w:color="auto"/>
                  </w:divBdr>
                </w:div>
                <w:div w:id="2007903917">
                  <w:marLeft w:val="640"/>
                  <w:marRight w:val="0"/>
                  <w:marTop w:val="0"/>
                  <w:marBottom w:val="0"/>
                  <w:divBdr>
                    <w:top w:val="none" w:sz="0" w:space="0" w:color="auto"/>
                    <w:left w:val="none" w:sz="0" w:space="0" w:color="auto"/>
                    <w:bottom w:val="none" w:sz="0" w:space="0" w:color="auto"/>
                    <w:right w:val="none" w:sz="0" w:space="0" w:color="auto"/>
                  </w:divBdr>
                </w:div>
                <w:div w:id="1223713455">
                  <w:marLeft w:val="640"/>
                  <w:marRight w:val="0"/>
                  <w:marTop w:val="0"/>
                  <w:marBottom w:val="0"/>
                  <w:divBdr>
                    <w:top w:val="none" w:sz="0" w:space="0" w:color="auto"/>
                    <w:left w:val="none" w:sz="0" w:space="0" w:color="auto"/>
                    <w:bottom w:val="none" w:sz="0" w:space="0" w:color="auto"/>
                    <w:right w:val="none" w:sz="0" w:space="0" w:color="auto"/>
                  </w:divBdr>
                </w:div>
                <w:div w:id="1939866813">
                  <w:marLeft w:val="640"/>
                  <w:marRight w:val="0"/>
                  <w:marTop w:val="0"/>
                  <w:marBottom w:val="0"/>
                  <w:divBdr>
                    <w:top w:val="none" w:sz="0" w:space="0" w:color="auto"/>
                    <w:left w:val="none" w:sz="0" w:space="0" w:color="auto"/>
                    <w:bottom w:val="none" w:sz="0" w:space="0" w:color="auto"/>
                    <w:right w:val="none" w:sz="0" w:space="0" w:color="auto"/>
                  </w:divBdr>
                </w:div>
                <w:div w:id="1165559917">
                  <w:marLeft w:val="640"/>
                  <w:marRight w:val="0"/>
                  <w:marTop w:val="0"/>
                  <w:marBottom w:val="0"/>
                  <w:divBdr>
                    <w:top w:val="none" w:sz="0" w:space="0" w:color="auto"/>
                    <w:left w:val="none" w:sz="0" w:space="0" w:color="auto"/>
                    <w:bottom w:val="none" w:sz="0" w:space="0" w:color="auto"/>
                    <w:right w:val="none" w:sz="0" w:space="0" w:color="auto"/>
                  </w:divBdr>
                </w:div>
                <w:div w:id="1297220537">
                  <w:marLeft w:val="640"/>
                  <w:marRight w:val="0"/>
                  <w:marTop w:val="0"/>
                  <w:marBottom w:val="0"/>
                  <w:divBdr>
                    <w:top w:val="none" w:sz="0" w:space="0" w:color="auto"/>
                    <w:left w:val="none" w:sz="0" w:space="0" w:color="auto"/>
                    <w:bottom w:val="none" w:sz="0" w:space="0" w:color="auto"/>
                    <w:right w:val="none" w:sz="0" w:space="0" w:color="auto"/>
                  </w:divBdr>
                </w:div>
                <w:div w:id="1506557546">
                  <w:marLeft w:val="640"/>
                  <w:marRight w:val="0"/>
                  <w:marTop w:val="0"/>
                  <w:marBottom w:val="0"/>
                  <w:divBdr>
                    <w:top w:val="none" w:sz="0" w:space="0" w:color="auto"/>
                    <w:left w:val="none" w:sz="0" w:space="0" w:color="auto"/>
                    <w:bottom w:val="none" w:sz="0" w:space="0" w:color="auto"/>
                    <w:right w:val="none" w:sz="0" w:space="0" w:color="auto"/>
                  </w:divBdr>
                </w:div>
                <w:div w:id="124739288">
                  <w:marLeft w:val="640"/>
                  <w:marRight w:val="0"/>
                  <w:marTop w:val="0"/>
                  <w:marBottom w:val="0"/>
                  <w:divBdr>
                    <w:top w:val="none" w:sz="0" w:space="0" w:color="auto"/>
                    <w:left w:val="none" w:sz="0" w:space="0" w:color="auto"/>
                    <w:bottom w:val="none" w:sz="0" w:space="0" w:color="auto"/>
                    <w:right w:val="none" w:sz="0" w:space="0" w:color="auto"/>
                  </w:divBdr>
                </w:div>
                <w:div w:id="634721614">
                  <w:marLeft w:val="640"/>
                  <w:marRight w:val="0"/>
                  <w:marTop w:val="0"/>
                  <w:marBottom w:val="0"/>
                  <w:divBdr>
                    <w:top w:val="none" w:sz="0" w:space="0" w:color="auto"/>
                    <w:left w:val="none" w:sz="0" w:space="0" w:color="auto"/>
                    <w:bottom w:val="none" w:sz="0" w:space="0" w:color="auto"/>
                    <w:right w:val="none" w:sz="0" w:space="0" w:color="auto"/>
                  </w:divBdr>
                </w:div>
                <w:div w:id="1535459832">
                  <w:marLeft w:val="640"/>
                  <w:marRight w:val="0"/>
                  <w:marTop w:val="0"/>
                  <w:marBottom w:val="0"/>
                  <w:divBdr>
                    <w:top w:val="none" w:sz="0" w:space="0" w:color="auto"/>
                    <w:left w:val="none" w:sz="0" w:space="0" w:color="auto"/>
                    <w:bottom w:val="none" w:sz="0" w:space="0" w:color="auto"/>
                    <w:right w:val="none" w:sz="0" w:space="0" w:color="auto"/>
                  </w:divBdr>
                </w:div>
                <w:div w:id="1542934760">
                  <w:marLeft w:val="640"/>
                  <w:marRight w:val="0"/>
                  <w:marTop w:val="0"/>
                  <w:marBottom w:val="0"/>
                  <w:divBdr>
                    <w:top w:val="none" w:sz="0" w:space="0" w:color="auto"/>
                    <w:left w:val="none" w:sz="0" w:space="0" w:color="auto"/>
                    <w:bottom w:val="none" w:sz="0" w:space="0" w:color="auto"/>
                    <w:right w:val="none" w:sz="0" w:space="0" w:color="auto"/>
                  </w:divBdr>
                </w:div>
                <w:div w:id="78908748">
                  <w:marLeft w:val="640"/>
                  <w:marRight w:val="0"/>
                  <w:marTop w:val="0"/>
                  <w:marBottom w:val="0"/>
                  <w:divBdr>
                    <w:top w:val="none" w:sz="0" w:space="0" w:color="auto"/>
                    <w:left w:val="none" w:sz="0" w:space="0" w:color="auto"/>
                    <w:bottom w:val="none" w:sz="0" w:space="0" w:color="auto"/>
                    <w:right w:val="none" w:sz="0" w:space="0" w:color="auto"/>
                  </w:divBdr>
                </w:div>
                <w:div w:id="434447446">
                  <w:marLeft w:val="640"/>
                  <w:marRight w:val="0"/>
                  <w:marTop w:val="0"/>
                  <w:marBottom w:val="0"/>
                  <w:divBdr>
                    <w:top w:val="none" w:sz="0" w:space="0" w:color="auto"/>
                    <w:left w:val="none" w:sz="0" w:space="0" w:color="auto"/>
                    <w:bottom w:val="none" w:sz="0" w:space="0" w:color="auto"/>
                    <w:right w:val="none" w:sz="0" w:space="0" w:color="auto"/>
                  </w:divBdr>
                </w:div>
                <w:div w:id="61291217">
                  <w:marLeft w:val="640"/>
                  <w:marRight w:val="0"/>
                  <w:marTop w:val="0"/>
                  <w:marBottom w:val="0"/>
                  <w:divBdr>
                    <w:top w:val="none" w:sz="0" w:space="0" w:color="auto"/>
                    <w:left w:val="none" w:sz="0" w:space="0" w:color="auto"/>
                    <w:bottom w:val="none" w:sz="0" w:space="0" w:color="auto"/>
                    <w:right w:val="none" w:sz="0" w:space="0" w:color="auto"/>
                  </w:divBdr>
                </w:div>
                <w:div w:id="2000881103">
                  <w:marLeft w:val="640"/>
                  <w:marRight w:val="0"/>
                  <w:marTop w:val="0"/>
                  <w:marBottom w:val="0"/>
                  <w:divBdr>
                    <w:top w:val="none" w:sz="0" w:space="0" w:color="auto"/>
                    <w:left w:val="none" w:sz="0" w:space="0" w:color="auto"/>
                    <w:bottom w:val="none" w:sz="0" w:space="0" w:color="auto"/>
                    <w:right w:val="none" w:sz="0" w:space="0" w:color="auto"/>
                  </w:divBdr>
                </w:div>
                <w:div w:id="1752044001">
                  <w:marLeft w:val="640"/>
                  <w:marRight w:val="0"/>
                  <w:marTop w:val="0"/>
                  <w:marBottom w:val="0"/>
                  <w:divBdr>
                    <w:top w:val="none" w:sz="0" w:space="0" w:color="auto"/>
                    <w:left w:val="none" w:sz="0" w:space="0" w:color="auto"/>
                    <w:bottom w:val="none" w:sz="0" w:space="0" w:color="auto"/>
                    <w:right w:val="none" w:sz="0" w:space="0" w:color="auto"/>
                  </w:divBdr>
                </w:div>
                <w:div w:id="74788663">
                  <w:marLeft w:val="640"/>
                  <w:marRight w:val="0"/>
                  <w:marTop w:val="0"/>
                  <w:marBottom w:val="0"/>
                  <w:divBdr>
                    <w:top w:val="none" w:sz="0" w:space="0" w:color="auto"/>
                    <w:left w:val="none" w:sz="0" w:space="0" w:color="auto"/>
                    <w:bottom w:val="none" w:sz="0" w:space="0" w:color="auto"/>
                    <w:right w:val="none" w:sz="0" w:space="0" w:color="auto"/>
                  </w:divBdr>
                </w:div>
                <w:div w:id="1962958448">
                  <w:marLeft w:val="640"/>
                  <w:marRight w:val="0"/>
                  <w:marTop w:val="0"/>
                  <w:marBottom w:val="0"/>
                  <w:divBdr>
                    <w:top w:val="none" w:sz="0" w:space="0" w:color="auto"/>
                    <w:left w:val="none" w:sz="0" w:space="0" w:color="auto"/>
                    <w:bottom w:val="none" w:sz="0" w:space="0" w:color="auto"/>
                    <w:right w:val="none" w:sz="0" w:space="0" w:color="auto"/>
                  </w:divBdr>
                </w:div>
                <w:div w:id="2144034643">
                  <w:marLeft w:val="640"/>
                  <w:marRight w:val="0"/>
                  <w:marTop w:val="0"/>
                  <w:marBottom w:val="0"/>
                  <w:divBdr>
                    <w:top w:val="none" w:sz="0" w:space="0" w:color="auto"/>
                    <w:left w:val="none" w:sz="0" w:space="0" w:color="auto"/>
                    <w:bottom w:val="none" w:sz="0" w:space="0" w:color="auto"/>
                    <w:right w:val="none" w:sz="0" w:space="0" w:color="auto"/>
                  </w:divBdr>
                </w:div>
                <w:div w:id="295374023">
                  <w:marLeft w:val="640"/>
                  <w:marRight w:val="0"/>
                  <w:marTop w:val="0"/>
                  <w:marBottom w:val="0"/>
                  <w:divBdr>
                    <w:top w:val="none" w:sz="0" w:space="0" w:color="auto"/>
                    <w:left w:val="none" w:sz="0" w:space="0" w:color="auto"/>
                    <w:bottom w:val="none" w:sz="0" w:space="0" w:color="auto"/>
                    <w:right w:val="none" w:sz="0" w:space="0" w:color="auto"/>
                  </w:divBdr>
                </w:div>
                <w:div w:id="1103190000">
                  <w:marLeft w:val="640"/>
                  <w:marRight w:val="0"/>
                  <w:marTop w:val="0"/>
                  <w:marBottom w:val="0"/>
                  <w:divBdr>
                    <w:top w:val="none" w:sz="0" w:space="0" w:color="auto"/>
                    <w:left w:val="none" w:sz="0" w:space="0" w:color="auto"/>
                    <w:bottom w:val="none" w:sz="0" w:space="0" w:color="auto"/>
                    <w:right w:val="none" w:sz="0" w:space="0" w:color="auto"/>
                  </w:divBdr>
                </w:div>
                <w:div w:id="1172338790">
                  <w:marLeft w:val="640"/>
                  <w:marRight w:val="0"/>
                  <w:marTop w:val="0"/>
                  <w:marBottom w:val="0"/>
                  <w:divBdr>
                    <w:top w:val="none" w:sz="0" w:space="0" w:color="auto"/>
                    <w:left w:val="none" w:sz="0" w:space="0" w:color="auto"/>
                    <w:bottom w:val="none" w:sz="0" w:space="0" w:color="auto"/>
                    <w:right w:val="none" w:sz="0" w:space="0" w:color="auto"/>
                  </w:divBdr>
                </w:div>
                <w:div w:id="325398973">
                  <w:marLeft w:val="640"/>
                  <w:marRight w:val="0"/>
                  <w:marTop w:val="0"/>
                  <w:marBottom w:val="0"/>
                  <w:divBdr>
                    <w:top w:val="none" w:sz="0" w:space="0" w:color="auto"/>
                    <w:left w:val="none" w:sz="0" w:space="0" w:color="auto"/>
                    <w:bottom w:val="none" w:sz="0" w:space="0" w:color="auto"/>
                    <w:right w:val="none" w:sz="0" w:space="0" w:color="auto"/>
                  </w:divBdr>
                </w:div>
                <w:div w:id="916984457">
                  <w:marLeft w:val="640"/>
                  <w:marRight w:val="0"/>
                  <w:marTop w:val="0"/>
                  <w:marBottom w:val="0"/>
                  <w:divBdr>
                    <w:top w:val="none" w:sz="0" w:space="0" w:color="auto"/>
                    <w:left w:val="none" w:sz="0" w:space="0" w:color="auto"/>
                    <w:bottom w:val="none" w:sz="0" w:space="0" w:color="auto"/>
                    <w:right w:val="none" w:sz="0" w:space="0" w:color="auto"/>
                  </w:divBdr>
                </w:div>
                <w:div w:id="475881014">
                  <w:marLeft w:val="640"/>
                  <w:marRight w:val="0"/>
                  <w:marTop w:val="0"/>
                  <w:marBottom w:val="0"/>
                  <w:divBdr>
                    <w:top w:val="none" w:sz="0" w:space="0" w:color="auto"/>
                    <w:left w:val="none" w:sz="0" w:space="0" w:color="auto"/>
                    <w:bottom w:val="none" w:sz="0" w:space="0" w:color="auto"/>
                    <w:right w:val="none" w:sz="0" w:space="0" w:color="auto"/>
                  </w:divBdr>
                </w:div>
                <w:div w:id="1863745512">
                  <w:marLeft w:val="640"/>
                  <w:marRight w:val="0"/>
                  <w:marTop w:val="0"/>
                  <w:marBottom w:val="0"/>
                  <w:divBdr>
                    <w:top w:val="none" w:sz="0" w:space="0" w:color="auto"/>
                    <w:left w:val="none" w:sz="0" w:space="0" w:color="auto"/>
                    <w:bottom w:val="none" w:sz="0" w:space="0" w:color="auto"/>
                    <w:right w:val="none" w:sz="0" w:space="0" w:color="auto"/>
                  </w:divBdr>
                </w:div>
                <w:div w:id="590968802">
                  <w:marLeft w:val="640"/>
                  <w:marRight w:val="0"/>
                  <w:marTop w:val="0"/>
                  <w:marBottom w:val="0"/>
                  <w:divBdr>
                    <w:top w:val="none" w:sz="0" w:space="0" w:color="auto"/>
                    <w:left w:val="none" w:sz="0" w:space="0" w:color="auto"/>
                    <w:bottom w:val="none" w:sz="0" w:space="0" w:color="auto"/>
                    <w:right w:val="none" w:sz="0" w:space="0" w:color="auto"/>
                  </w:divBdr>
                </w:div>
                <w:div w:id="882793872">
                  <w:marLeft w:val="640"/>
                  <w:marRight w:val="0"/>
                  <w:marTop w:val="0"/>
                  <w:marBottom w:val="0"/>
                  <w:divBdr>
                    <w:top w:val="none" w:sz="0" w:space="0" w:color="auto"/>
                    <w:left w:val="none" w:sz="0" w:space="0" w:color="auto"/>
                    <w:bottom w:val="none" w:sz="0" w:space="0" w:color="auto"/>
                    <w:right w:val="none" w:sz="0" w:space="0" w:color="auto"/>
                  </w:divBdr>
                </w:div>
                <w:div w:id="280697424">
                  <w:marLeft w:val="640"/>
                  <w:marRight w:val="0"/>
                  <w:marTop w:val="0"/>
                  <w:marBottom w:val="0"/>
                  <w:divBdr>
                    <w:top w:val="none" w:sz="0" w:space="0" w:color="auto"/>
                    <w:left w:val="none" w:sz="0" w:space="0" w:color="auto"/>
                    <w:bottom w:val="none" w:sz="0" w:space="0" w:color="auto"/>
                    <w:right w:val="none" w:sz="0" w:space="0" w:color="auto"/>
                  </w:divBdr>
                </w:div>
                <w:div w:id="246694515">
                  <w:marLeft w:val="640"/>
                  <w:marRight w:val="0"/>
                  <w:marTop w:val="0"/>
                  <w:marBottom w:val="0"/>
                  <w:divBdr>
                    <w:top w:val="none" w:sz="0" w:space="0" w:color="auto"/>
                    <w:left w:val="none" w:sz="0" w:space="0" w:color="auto"/>
                    <w:bottom w:val="none" w:sz="0" w:space="0" w:color="auto"/>
                    <w:right w:val="none" w:sz="0" w:space="0" w:color="auto"/>
                  </w:divBdr>
                </w:div>
                <w:div w:id="1589803676">
                  <w:marLeft w:val="640"/>
                  <w:marRight w:val="0"/>
                  <w:marTop w:val="0"/>
                  <w:marBottom w:val="0"/>
                  <w:divBdr>
                    <w:top w:val="none" w:sz="0" w:space="0" w:color="auto"/>
                    <w:left w:val="none" w:sz="0" w:space="0" w:color="auto"/>
                    <w:bottom w:val="none" w:sz="0" w:space="0" w:color="auto"/>
                    <w:right w:val="none" w:sz="0" w:space="0" w:color="auto"/>
                  </w:divBdr>
                </w:div>
                <w:div w:id="1677272764">
                  <w:marLeft w:val="640"/>
                  <w:marRight w:val="0"/>
                  <w:marTop w:val="0"/>
                  <w:marBottom w:val="0"/>
                  <w:divBdr>
                    <w:top w:val="none" w:sz="0" w:space="0" w:color="auto"/>
                    <w:left w:val="none" w:sz="0" w:space="0" w:color="auto"/>
                    <w:bottom w:val="none" w:sz="0" w:space="0" w:color="auto"/>
                    <w:right w:val="none" w:sz="0" w:space="0" w:color="auto"/>
                  </w:divBdr>
                </w:div>
                <w:div w:id="132257469">
                  <w:marLeft w:val="640"/>
                  <w:marRight w:val="0"/>
                  <w:marTop w:val="0"/>
                  <w:marBottom w:val="0"/>
                  <w:divBdr>
                    <w:top w:val="none" w:sz="0" w:space="0" w:color="auto"/>
                    <w:left w:val="none" w:sz="0" w:space="0" w:color="auto"/>
                    <w:bottom w:val="none" w:sz="0" w:space="0" w:color="auto"/>
                    <w:right w:val="none" w:sz="0" w:space="0" w:color="auto"/>
                  </w:divBdr>
                </w:div>
                <w:div w:id="1425766809">
                  <w:marLeft w:val="640"/>
                  <w:marRight w:val="0"/>
                  <w:marTop w:val="0"/>
                  <w:marBottom w:val="0"/>
                  <w:divBdr>
                    <w:top w:val="none" w:sz="0" w:space="0" w:color="auto"/>
                    <w:left w:val="none" w:sz="0" w:space="0" w:color="auto"/>
                    <w:bottom w:val="none" w:sz="0" w:space="0" w:color="auto"/>
                    <w:right w:val="none" w:sz="0" w:space="0" w:color="auto"/>
                  </w:divBdr>
                </w:div>
                <w:div w:id="149369358">
                  <w:marLeft w:val="640"/>
                  <w:marRight w:val="0"/>
                  <w:marTop w:val="0"/>
                  <w:marBottom w:val="0"/>
                  <w:divBdr>
                    <w:top w:val="none" w:sz="0" w:space="0" w:color="auto"/>
                    <w:left w:val="none" w:sz="0" w:space="0" w:color="auto"/>
                    <w:bottom w:val="none" w:sz="0" w:space="0" w:color="auto"/>
                    <w:right w:val="none" w:sz="0" w:space="0" w:color="auto"/>
                  </w:divBdr>
                </w:div>
                <w:div w:id="1562062687">
                  <w:marLeft w:val="640"/>
                  <w:marRight w:val="0"/>
                  <w:marTop w:val="0"/>
                  <w:marBottom w:val="0"/>
                  <w:divBdr>
                    <w:top w:val="none" w:sz="0" w:space="0" w:color="auto"/>
                    <w:left w:val="none" w:sz="0" w:space="0" w:color="auto"/>
                    <w:bottom w:val="none" w:sz="0" w:space="0" w:color="auto"/>
                    <w:right w:val="none" w:sz="0" w:space="0" w:color="auto"/>
                  </w:divBdr>
                </w:div>
                <w:div w:id="1493764681">
                  <w:marLeft w:val="640"/>
                  <w:marRight w:val="0"/>
                  <w:marTop w:val="0"/>
                  <w:marBottom w:val="0"/>
                  <w:divBdr>
                    <w:top w:val="none" w:sz="0" w:space="0" w:color="auto"/>
                    <w:left w:val="none" w:sz="0" w:space="0" w:color="auto"/>
                    <w:bottom w:val="none" w:sz="0" w:space="0" w:color="auto"/>
                    <w:right w:val="none" w:sz="0" w:space="0" w:color="auto"/>
                  </w:divBdr>
                </w:div>
                <w:div w:id="189294872">
                  <w:marLeft w:val="640"/>
                  <w:marRight w:val="0"/>
                  <w:marTop w:val="0"/>
                  <w:marBottom w:val="0"/>
                  <w:divBdr>
                    <w:top w:val="none" w:sz="0" w:space="0" w:color="auto"/>
                    <w:left w:val="none" w:sz="0" w:space="0" w:color="auto"/>
                    <w:bottom w:val="none" w:sz="0" w:space="0" w:color="auto"/>
                    <w:right w:val="none" w:sz="0" w:space="0" w:color="auto"/>
                  </w:divBdr>
                </w:div>
                <w:div w:id="2007172748">
                  <w:marLeft w:val="640"/>
                  <w:marRight w:val="0"/>
                  <w:marTop w:val="0"/>
                  <w:marBottom w:val="0"/>
                  <w:divBdr>
                    <w:top w:val="none" w:sz="0" w:space="0" w:color="auto"/>
                    <w:left w:val="none" w:sz="0" w:space="0" w:color="auto"/>
                    <w:bottom w:val="none" w:sz="0" w:space="0" w:color="auto"/>
                    <w:right w:val="none" w:sz="0" w:space="0" w:color="auto"/>
                  </w:divBdr>
                </w:div>
                <w:div w:id="589628810">
                  <w:marLeft w:val="640"/>
                  <w:marRight w:val="0"/>
                  <w:marTop w:val="0"/>
                  <w:marBottom w:val="0"/>
                  <w:divBdr>
                    <w:top w:val="none" w:sz="0" w:space="0" w:color="auto"/>
                    <w:left w:val="none" w:sz="0" w:space="0" w:color="auto"/>
                    <w:bottom w:val="none" w:sz="0" w:space="0" w:color="auto"/>
                    <w:right w:val="none" w:sz="0" w:space="0" w:color="auto"/>
                  </w:divBdr>
                </w:div>
                <w:div w:id="91704188">
                  <w:marLeft w:val="640"/>
                  <w:marRight w:val="0"/>
                  <w:marTop w:val="0"/>
                  <w:marBottom w:val="0"/>
                  <w:divBdr>
                    <w:top w:val="none" w:sz="0" w:space="0" w:color="auto"/>
                    <w:left w:val="none" w:sz="0" w:space="0" w:color="auto"/>
                    <w:bottom w:val="none" w:sz="0" w:space="0" w:color="auto"/>
                    <w:right w:val="none" w:sz="0" w:space="0" w:color="auto"/>
                  </w:divBdr>
                </w:div>
                <w:div w:id="91557561">
                  <w:marLeft w:val="640"/>
                  <w:marRight w:val="0"/>
                  <w:marTop w:val="0"/>
                  <w:marBottom w:val="0"/>
                  <w:divBdr>
                    <w:top w:val="none" w:sz="0" w:space="0" w:color="auto"/>
                    <w:left w:val="none" w:sz="0" w:space="0" w:color="auto"/>
                    <w:bottom w:val="none" w:sz="0" w:space="0" w:color="auto"/>
                    <w:right w:val="none" w:sz="0" w:space="0" w:color="auto"/>
                  </w:divBdr>
                </w:div>
                <w:div w:id="1356886925">
                  <w:marLeft w:val="640"/>
                  <w:marRight w:val="0"/>
                  <w:marTop w:val="0"/>
                  <w:marBottom w:val="0"/>
                  <w:divBdr>
                    <w:top w:val="none" w:sz="0" w:space="0" w:color="auto"/>
                    <w:left w:val="none" w:sz="0" w:space="0" w:color="auto"/>
                    <w:bottom w:val="none" w:sz="0" w:space="0" w:color="auto"/>
                    <w:right w:val="none" w:sz="0" w:space="0" w:color="auto"/>
                  </w:divBdr>
                </w:div>
                <w:div w:id="634258763">
                  <w:marLeft w:val="640"/>
                  <w:marRight w:val="0"/>
                  <w:marTop w:val="0"/>
                  <w:marBottom w:val="0"/>
                  <w:divBdr>
                    <w:top w:val="none" w:sz="0" w:space="0" w:color="auto"/>
                    <w:left w:val="none" w:sz="0" w:space="0" w:color="auto"/>
                    <w:bottom w:val="none" w:sz="0" w:space="0" w:color="auto"/>
                    <w:right w:val="none" w:sz="0" w:space="0" w:color="auto"/>
                  </w:divBdr>
                </w:div>
                <w:div w:id="452484767">
                  <w:marLeft w:val="640"/>
                  <w:marRight w:val="0"/>
                  <w:marTop w:val="0"/>
                  <w:marBottom w:val="0"/>
                  <w:divBdr>
                    <w:top w:val="none" w:sz="0" w:space="0" w:color="auto"/>
                    <w:left w:val="none" w:sz="0" w:space="0" w:color="auto"/>
                    <w:bottom w:val="none" w:sz="0" w:space="0" w:color="auto"/>
                    <w:right w:val="none" w:sz="0" w:space="0" w:color="auto"/>
                  </w:divBdr>
                </w:div>
                <w:div w:id="292911858">
                  <w:marLeft w:val="640"/>
                  <w:marRight w:val="0"/>
                  <w:marTop w:val="0"/>
                  <w:marBottom w:val="0"/>
                  <w:divBdr>
                    <w:top w:val="none" w:sz="0" w:space="0" w:color="auto"/>
                    <w:left w:val="none" w:sz="0" w:space="0" w:color="auto"/>
                    <w:bottom w:val="none" w:sz="0" w:space="0" w:color="auto"/>
                    <w:right w:val="none" w:sz="0" w:space="0" w:color="auto"/>
                  </w:divBdr>
                </w:div>
                <w:div w:id="957027008">
                  <w:marLeft w:val="640"/>
                  <w:marRight w:val="0"/>
                  <w:marTop w:val="0"/>
                  <w:marBottom w:val="0"/>
                  <w:divBdr>
                    <w:top w:val="none" w:sz="0" w:space="0" w:color="auto"/>
                    <w:left w:val="none" w:sz="0" w:space="0" w:color="auto"/>
                    <w:bottom w:val="none" w:sz="0" w:space="0" w:color="auto"/>
                    <w:right w:val="none" w:sz="0" w:space="0" w:color="auto"/>
                  </w:divBdr>
                </w:div>
                <w:div w:id="1527135900">
                  <w:marLeft w:val="640"/>
                  <w:marRight w:val="0"/>
                  <w:marTop w:val="0"/>
                  <w:marBottom w:val="0"/>
                  <w:divBdr>
                    <w:top w:val="none" w:sz="0" w:space="0" w:color="auto"/>
                    <w:left w:val="none" w:sz="0" w:space="0" w:color="auto"/>
                    <w:bottom w:val="none" w:sz="0" w:space="0" w:color="auto"/>
                    <w:right w:val="none" w:sz="0" w:space="0" w:color="auto"/>
                  </w:divBdr>
                </w:div>
                <w:div w:id="2141798396">
                  <w:marLeft w:val="640"/>
                  <w:marRight w:val="0"/>
                  <w:marTop w:val="0"/>
                  <w:marBottom w:val="0"/>
                  <w:divBdr>
                    <w:top w:val="none" w:sz="0" w:space="0" w:color="auto"/>
                    <w:left w:val="none" w:sz="0" w:space="0" w:color="auto"/>
                    <w:bottom w:val="none" w:sz="0" w:space="0" w:color="auto"/>
                    <w:right w:val="none" w:sz="0" w:space="0" w:color="auto"/>
                  </w:divBdr>
                </w:div>
                <w:div w:id="920061888">
                  <w:marLeft w:val="640"/>
                  <w:marRight w:val="0"/>
                  <w:marTop w:val="0"/>
                  <w:marBottom w:val="0"/>
                  <w:divBdr>
                    <w:top w:val="none" w:sz="0" w:space="0" w:color="auto"/>
                    <w:left w:val="none" w:sz="0" w:space="0" w:color="auto"/>
                    <w:bottom w:val="none" w:sz="0" w:space="0" w:color="auto"/>
                    <w:right w:val="none" w:sz="0" w:space="0" w:color="auto"/>
                  </w:divBdr>
                </w:div>
                <w:div w:id="1478691324">
                  <w:marLeft w:val="640"/>
                  <w:marRight w:val="0"/>
                  <w:marTop w:val="0"/>
                  <w:marBottom w:val="0"/>
                  <w:divBdr>
                    <w:top w:val="none" w:sz="0" w:space="0" w:color="auto"/>
                    <w:left w:val="none" w:sz="0" w:space="0" w:color="auto"/>
                    <w:bottom w:val="none" w:sz="0" w:space="0" w:color="auto"/>
                    <w:right w:val="none" w:sz="0" w:space="0" w:color="auto"/>
                  </w:divBdr>
                </w:div>
                <w:div w:id="593323824">
                  <w:marLeft w:val="640"/>
                  <w:marRight w:val="0"/>
                  <w:marTop w:val="0"/>
                  <w:marBottom w:val="0"/>
                  <w:divBdr>
                    <w:top w:val="none" w:sz="0" w:space="0" w:color="auto"/>
                    <w:left w:val="none" w:sz="0" w:space="0" w:color="auto"/>
                    <w:bottom w:val="none" w:sz="0" w:space="0" w:color="auto"/>
                    <w:right w:val="none" w:sz="0" w:space="0" w:color="auto"/>
                  </w:divBdr>
                </w:div>
                <w:div w:id="1247575296">
                  <w:marLeft w:val="640"/>
                  <w:marRight w:val="0"/>
                  <w:marTop w:val="0"/>
                  <w:marBottom w:val="0"/>
                  <w:divBdr>
                    <w:top w:val="none" w:sz="0" w:space="0" w:color="auto"/>
                    <w:left w:val="none" w:sz="0" w:space="0" w:color="auto"/>
                    <w:bottom w:val="none" w:sz="0" w:space="0" w:color="auto"/>
                    <w:right w:val="none" w:sz="0" w:space="0" w:color="auto"/>
                  </w:divBdr>
                </w:div>
                <w:div w:id="470947308">
                  <w:marLeft w:val="640"/>
                  <w:marRight w:val="0"/>
                  <w:marTop w:val="0"/>
                  <w:marBottom w:val="0"/>
                  <w:divBdr>
                    <w:top w:val="none" w:sz="0" w:space="0" w:color="auto"/>
                    <w:left w:val="none" w:sz="0" w:space="0" w:color="auto"/>
                    <w:bottom w:val="none" w:sz="0" w:space="0" w:color="auto"/>
                    <w:right w:val="none" w:sz="0" w:space="0" w:color="auto"/>
                  </w:divBdr>
                </w:div>
                <w:div w:id="235209723">
                  <w:marLeft w:val="640"/>
                  <w:marRight w:val="0"/>
                  <w:marTop w:val="0"/>
                  <w:marBottom w:val="0"/>
                  <w:divBdr>
                    <w:top w:val="none" w:sz="0" w:space="0" w:color="auto"/>
                    <w:left w:val="none" w:sz="0" w:space="0" w:color="auto"/>
                    <w:bottom w:val="none" w:sz="0" w:space="0" w:color="auto"/>
                    <w:right w:val="none" w:sz="0" w:space="0" w:color="auto"/>
                  </w:divBdr>
                </w:div>
                <w:div w:id="734622333">
                  <w:marLeft w:val="640"/>
                  <w:marRight w:val="0"/>
                  <w:marTop w:val="0"/>
                  <w:marBottom w:val="0"/>
                  <w:divBdr>
                    <w:top w:val="none" w:sz="0" w:space="0" w:color="auto"/>
                    <w:left w:val="none" w:sz="0" w:space="0" w:color="auto"/>
                    <w:bottom w:val="none" w:sz="0" w:space="0" w:color="auto"/>
                    <w:right w:val="none" w:sz="0" w:space="0" w:color="auto"/>
                  </w:divBdr>
                </w:div>
                <w:div w:id="1243485183">
                  <w:marLeft w:val="640"/>
                  <w:marRight w:val="0"/>
                  <w:marTop w:val="0"/>
                  <w:marBottom w:val="0"/>
                  <w:divBdr>
                    <w:top w:val="none" w:sz="0" w:space="0" w:color="auto"/>
                    <w:left w:val="none" w:sz="0" w:space="0" w:color="auto"/>
                    <w:bottom w:val="none" w:sz="0" w:space="0" w:color="auto"/>
                    <w:right w:val="none" w:sz="0" w:space="0" w:color="auto"/>
                  </w:divBdr>
                </w:div>
                <w:div w:id="948514876">
                  <w:marLeft w:val="640"/>
                  <w:marRight w:val="0"/>
                  <w:marTop w:val="0"/>
                  <w:marBottom w:val="0"/>
                  <w:divBdr>
                    <w:top w:val="none" w:sz="0" w:space="0" w:color="auto"/>
                    <w:left w:val="none" w:sz="0" w:space="0" w:color="auto"/>
                    <w:bottom w:val="none" w:sz="0" w:space="0" w:color="auto"/>
                    <w:right w:val="none" w:sz="0" w:space="0" w:color="auto"/>
                  </w:divBdr>
                </w:div>
                <w:div w:id="244000262">
                  <w:marLeft w:val="640"/>
                  <w:marRight w:val="0"/>
                  <w:marTop w:val="0"/>
                  <w:marBottom w:val="0"/>
                  <w:divBdr>
                    <w:top w:val="none" w:sz="0" w:space="0" w:color="auto"/>
                    <w:left w:val="none" w:sz="0" w:space="0" w:color="auto"/>
                    <w:bottom w:val="none" w:sz="0" w:space="0" w:color="auto"/>
                    <w:right w:val="none" w:sz="0" w:space="0" w:color="auto"/>
                  </w:divBdr>
                </w:div>
                <w:div w:id="1345669166">
                  <w:marLeft w:val="640"/>
                  <w:marRight w:val="0"/>
                  <w:marTop w:val="0"/>
                  <w:marBottom w:val="0"/>
                  <w:divBdr>
                    <w:top w:val="none" w:sz="0" w:space="0" w:color="auto"/>
                    <w:left w:val="none" w:sz="0" w:space="0" w:color="auto"/>
                    <w:bottom w:val="none" w:sz="0" w:space="0" w:color="auto"/>
                    <w:right w:val="none" w:sz="0" w:space="0" w:color="auto"/>
                  </w:divBdr>
                </w:div>
                <w:div w:id="837620611">
                  <w:marLeft w:val="640"/>
                  <w:marRight w:val="0"/>
                  <w:marTop w:val="0"/>
                  <w:marBottom w:val="0"/>
                  <w:divBdr>
                    <w:top w:val="none" w:sz="0" w:space="0" w:color="auto"/>
                    <w:left w:val="none" w:sz="0" w:space="0" w:color="auto"/>
                    <w:bottom w:val="none" w:sz="0" w:space="0" w:color="auto"/>
                    <w:right w:val="none" w:sz="0" w:space="0" w:color="auto"/>
                  </w:divBdr>
                </w:div>
                <w:div w:id="390152131">
                  <w:marLeft w:val="640"/>
                  <w:marRight w:val="0"/>
                  <w:marTop w:val="0"/>
                  <w:marBottom w:val="0"/>
                  <w:divBdr>
                    <w:top w:val="none" w:sz="0" w:space="0" w:color="auto"/>
                    <w:left w:val="none" w:sz="0" w:space="0" w:color="auto"/>
                    <w:bottom w:val="none" w:sz="0" w:space="0" w:color="auto"/>
                    <w:right w:val="none" w:sz="0" w:space="0" w:color="auto"/>
                  </w:divBdr>
                </w:div>
                <w:div w:id="808060560">
                  <w:marLeft w:val="640"/>
                  <w:marRight w:val="0"/>
                  <w:marTop w:val="0"/>
                  <w:marBottom w:val="0"/>
                  <w:divBdr>
                    <w:top w:val="none" w:sz="0" w:space="0" w:color="auto"/>
                    <w:left w:val="none" w:sz="0" w:space="0" w:color="auto"/>
                    <w:bottom w:val="none" w:sz="0" w:space="0" w:color="auto"/>
                    <w:right w:val="none" w:sz="0" w:space="0" w:color="auto"/>
                  </w:divBdr>
                </w:div>
                <w:div w:id="1553999026">
                  <w:marLeft w:val="640"/>
                  <w:marRight w:val="0"/>
                  <w:marTop w:val="0"/>
                  <w:marBottom w:val="0"/>
                  <w:divBdr>
                    <w:top w:val="none" w:sz="0" w:space="0" w:color="auto"/>
                    <w:left w:val="none" w:sz="0" w:space="0" w:color="auto"/>
                    <w:bottom w:val="none" w:sz="0" w:space="0" w:color="auto"/>
                    <w:right w:val="none" w:sz="0" w:space="0" w:color="auto"/>
                  </w:divBdr>
                </w:div>
                <w:div w:id="1122269588">
                  <w:marLeft w:val="640"/>
                  <w:marRight w:val="0"/>
                  <w:marTop w:val="0"/>
                  <w:marBottom w:val="0"/>
                  <w:divBdr>
                    <w:top w:val="none" w:sz="0" w:space="0" w:color="auto"/>
                    <w:left w:val="none" w:sz="0" w:space="0" w:color="auto"/>
                    <w:bottom w:val="none" w:sz="0" w:space="0" w:color="auto"/>
                    <w:right w:val="none" w:sz="0" w:space="0" w:color="auto"/>
                  </w:divBdr>
                </w:div>
                <w:div w:id="1418165545">
                  <w:marLeft w:val="640"/>
                  <w:marRight w:val="0"/>
                  <w:marTop w:val="0"/>
                  <w:marBottom w:val="0"/>
                  <w:divBdr>
                    <w:top w:val="none" w:sz="0" w:space="0" w:color="auto"/>
                    <w:left w:val="none" w:sz="0" w:space="0" w:color="auto"/>
                    <w:bottom w:val="none" w:sz="0" w:space="0" w:color="auto"/>
                    <w:right w:val="none" w:sz="0" w:space="0" w:color="auto"/>
                  </w:divBdr>
                </w:div>
                <w:div w:id="1152864942">
                  <w:marLeft w:val="640"/>
                  <w:marRight w:val="0"/>
                  <w:marTop w:val="0"/>
                  <w:marBottom w:val="0"/>
                  <w:divBdr>
                    <w:top w:val="none" w:sz="0" w:space="0" w:color="auto"/>
                    <w:left w:val="none" w:sz="0" w:space="0" w:color="auto"/>
                    <w:bottom w:val="none" w:sz="0" w:space="0" w:color="auto"/>
                    <w:right w:val="none" w:sz="0" w:space="0" w:color="auto"/>
                  </w:divBdr>
                </w:div>
                <w:div w:id="253899591">
                  <w:marLeft w:val="640"/>
                  <w:marRight w:val="0"/>
                  <w:marTop w:val="0"/>
                  <w:marBottom w:val="0"/>
                  <w:divBdr>
                    <w:top w:val="none" w:sz="0" w:space="0" w:color="auto"/>
                    <w:left w:val="none" w:sz="0" w:space="0" w:color="auto"/>
                    <w:bottom w:val="none" w:sz="0" w:space="0" w:color="auto"/>
                    <w:right w:val="none" w:sz="0" w:space="0" w:color="auto"/>
                  </w:divBdr>
                </w:div>
                <w:div w:id="1143497470">
                  <w:marLeft w:val="640"/>
                  <w:marRight w:val="0"/>
                  <w:marTop w:val="0"/>
                  <w:marBottom w:val="0"/>
                  <w:divBdr>
                    <w:top w:val="none" w:sz="0" w:space="0" w:color="auto"/>
                    <w:left w:val="none" w:sz="0" w:space="0" w:color="auto"/>
                    <w:bottom w:val="none" w:sz="0" w:space="0" w:color="auto"/>
                    <w:right w:val="none" w:sz="0" w:space="0" w:color="auto"/>
                  </w:divBdr>
                </w:div>
                <w:div w:id="1584290768">
                  <w:marLeft w:val="640"/>
                  <w:marRight w:val="0"/>
                  <w:marTop w:val="0"/>
                  <w:marBottom w:val="0"/>
                  <w:divBdr>
                    <w:top w:val="none" w:sz="0" w:space="0" w:color="auto"/>
                    <w:left w:val="none" w:sz="0" w:space="0" w:color="auto"/>
                    <w:bottom w:val="none" w:sz="0" w:space="0" w:color="auto"/>
                    <w:right w:val="none" w:sz="0" w:space="0" w:color="auto"/>
                  </w:divBdr>
                </w:div>
                <w:div w:id="1680935261">
                  <w:marLeft w:val="640"/>
                  <w:marRight w:val="0"/>
                  <w:marTop w:val="0"/>
                  <w:marBottom w:val="0"/>
                  <w:divBdr>
                    <w:top w:val="none" w:sz="0" w:space="0" w:color="auto"/>
                    <w:left w:val="none" w:sz="0" w:space="0" w:color="auto"/>
                    <w:bottom w:val="none" w:sz="0" w:space="0" w:color="auto"/>
                    <w:right w:val="none" w:sz="0" w:space="0" w:color="auto"/>
                  </w:divBdr>
                </w:div>
                <w:div w:id="747963684">
                  <w:marLeft w:val="640"/>
                  <w:marRight w:val="0"/>
                  <w:marTop w:val="0"/>
                  <w:marBottom w:val="0"/>
                  <w:divBdr>
                    <w:top w:val="none" w:sz="0" w:space="0" w:color="auto"/>
                    <w:left w:val="none" w:sz="0" w:space="0" w:color="auto"/>
                    <w:bottom w:val="none" w:sz="0" w:space="0" w:color="auto"/>
                    <w:right w:val="none" w:sz="0" w:space="0" w:color="auto"/>
                  </w:divBdr>
                </w:div>
                <w:div w:id="831871880">
                  <w:marLeft w:val="640"/>
                  <w:marRight w:val="0"/>
                  <w:marTop w:val="0"/>
                  <w:marBottom w:val="0"/>
                  <w:divBdr>
                    <w:top w:val="none" w:sz="0" w:space="0" w:color="auto"/>
                    <w:left w:val="none" w:sz="0" w:space="0" w:color="auto"/>
                    <w:bottom w:val="none" w:sz="0" w:space="0" w:color="auto"/>
                    <w:right w:val="none" w:sz="0" w:space="0" w:color="auto"/>
                  </w:divBdr>
                </w:div>
                <w:div w:id="9112809">
                  <w:marLeft w:val="640"/>
                  <w:marRight w:val="0"/>
                  <w:marTop w:val="0"/>
                  <w:marBottom w:val="0"/>
                  <w:divBdr>
                    <w:top w:val="none" w:sz="0" w:space="0" w:color="auto"/>
                    <w:left w:val="none" w:sz="0" w:space="0" w:color="auto"/>
                    <w:bottom w:val="none" w:sz="0" w:space="0" w:color="auto"/>
                    <w:right w:val="none" w:sz="0" w:space="0" w:color="auto"/>
                  </w:divBdr>
                </w:div>
                <w:div w:id="1541043369">
                  <w:marLeft w:val="640"/>
                  <w:marRight w:val="0"/>
                  <w:marTop w:val="0"/>
                  <w:marBottom w:val="0"/>
                  <w:divBdr>
                    <w:top w:val="none" w:sz="0" w:space="0" w:color="auto"/>
                    <w:left w:val="none" w:sz="0" w:space="0" w:color="auto"/>
                    <w:bottom w:val="none" w:sz="0" w:space="0" w:color="auto"/>
                    <w:right w:val="none" w:sz="0" w:space="0" w:color="auto"/>
                  </w:divBdr>
                </w:div>
                <w:div w:id="443547745">
                  <w:marLeft w:val="640"/>
                  <w:marRight w:val="0"/>
                  <w:marTop w:val="0"/>
                  <w:marBottom w:val="0"/>
                  <w:divBdr>
                    <w:top w:val="none" w:sz="0" w:space="0" w:color="auto"/>
                    <w:left w:val="none" w:sz="0" w:space="0" w:color="auto"/>
                    <w:bottom w:val="none" w:sz="0" w:space="0" w:color="auto"/>
                    <w:right w:val="none" w:sz="0" w:space="0" w:color="auto"/>
                  </w:divBdr>
                </w:div>
                <w:div w:id="244342107">
                  <w:marLeft w:val="640"/>
                  <w:marRight w:val="0"/>
                  <w:marTop w:val="0"/>
                  <w:marBottom w:val="0"/>
                  <w:divBdr>
                    <w:top w:val="none" w:sz="0" w:space="0" w:color="auto"/>
                    <w:left w:val="none" w:sz="0" w:space="0" w:color="auto"/>
                    <w:bottom w:val="none" w:sz="0" w:space="0" w:color="auto"/>
                    <w:right w:val="none" w:sz="0" w:space="0" w:color="auto"/>
                  </w:divBdr>
                </w:div>
                <w:div w:id="212228977">
                  <w:marLeft w:val="640"/>
                  <w:marRight w:val="0"/>
                  <w:marTop w:val="0"/>
                  <w:marBottom w:val="0"/>
                  <w:divBdr>
                    <w:top w:val="none" w:sz="0" w:space="0" w:color="auto"/>
                    <w:left w:val="none" w:sz="0" w:space="0" w:color="auto"/>
                    <w:bottom w:val="none" w:sz="0" w:space="0" w:color="auto"/>
                    <w:right w:val="none" w:sz="0" w:space="0" w:color="auto"/>
                  </w:divBdr>
                </w:div>
                <w:div w:id="822695236">
                  <w:marLeft w:val="640"/>
                  <w:marRight w:val="0"/>
                  <w:marTop w:val="0"/>
                  <w:marBottom w:val="0"/>
                  <w:divBdr>
                    <w:top w:val="none" w:sz="0" w:space="0" w:color="auto"/>
                    <w:left w:val="none" w:sz="0" w:space="0" w:color="auto"/>
                    <w:bottom w:val="none" w:sz="0" w:space="0" w:color="auto"/>
                    <w:right w:val="none" w:sz="0" w:space="0" w:color="auto"/>
                  </w:divBdr>
                </w:div>
                <w:div w:id="777988526">
                  <w:marLeft w:val="640"/>
                  <w:marRight w:val="0"/>
                  <w:marTop w:val="0"/>
                  <w:marBottom w:val="0"/>
                  <w:divBdr>
                    <w:top w:val="none" w:sz="0" w:space="0" w:color="auto"/>
                    <w:left w:val="none" w:sz="0" w:space="0" w:color="auto"/>
                    <w:bottom w:val="none" w:sz="0" w:space="0" w:color="auto"/>
                    <w:right w:val="none" w:sz="0" w:space="0" w:color="auto"/>
                  </w:divBdr>
                </w:div>
                <w:div w:id="346177846">
                  <w:marLeft w:val="640"/>
                  <w:marRight w:val="0"/>
                  <w:marTop w:val="0"/>
                  <w:marBottom w:val="0"/>
                  <w:divBdr>
                    <w:top w:val="none" w:sz="0" w:space="0" w:color="auto"/>
                    <w:left w:val="none" w:sz="0" w:space="0" w:color="auto"/>
                    <w:bottom w:val="none" w:sz="0" w:space="0" w:color="auto"/>
                    <w:right w:val="none" w:sz="0" w:space="0" w:color="auto"/>
                  </w:divBdr>
                </w:div>
                <w:div w:id="1053382070">
                  <w:marLeft w:val="640"/>
                  <w:marRight w:val="0"/>
                  <w:marTop w:val="0"/>
                  <w:marBottom w:val="0"/>
                  <w:divBdr>
                    <w:top w:val="none" w:sz="0" w:space="0" w:color="auto"/>
                    <w:left w:val="none" w:sz="0" w:space="0" w:color="auto"/>
                    <w:bottom w:val="none" w:sz="0" w:space="0" w:color="auto"/>
                    <w:right w:val="none" w:sz="0" w:space="0" w:color="auto"/>
                  </w:divBdr>
                </w:div>
                <w:div w:id="1200818555">
                  <w:marLeft w:val="640"/>
                  <w:marRight w:val="0"/>
                  <w:marTop w:val="0"/>
                  <w:marBottom w:val="0"/>
                  <w:divBdr>
                    <w:top w:val="none" w:sz="0" w:space="0" w:color="auto"/>
                    <w:left w:val="none" w:sz="0" w:space="0" w:color="auto"/>
                    <w:bottom w:val="none" w:sz="0" w:space="0" w:color="auto"/>
                    <w:right w:val="none" w:sz="0" w:space="0" w:color="auto"/>
                  </w:divBdr>
                </w:div>
                <w:div w:id="725228983">
                  <w:marLeft w:val="640"/>
                  <w:marRight w:val="0"/>
                  <w:marTop w:val="0"/>
                  <w:marBottom w:val="0"/>
                  <w:divBdr>
                    <w:top w:val="none" w:sz="0" w:space="0" w:color="auto"/>
                    <w:left w:val="none" w:sz="0" w:space="0" w:color="auto"/>
                    <w:bottom w:val="none" w:sz="0" w:space="0" w:color="auto"/>
                    <w:right w:val="none" w:sz="0" w:space="0" w:color="auto"/>
                  </w:divBdr>
                </w:div>
                <w:div w:id="202716050">
                  <w:marLeft w:val="640"/>
                  <w:marRight w:val="0"/>
                  <w:marTop w:val="0"/>
                  <w:marBottom w:val="0"/>
                  <w:divBdr>
                    <w:top w:val="none" w:sz="0" w:space="0" w:color="auto"/>
                    <w:left w:val="none" w:sz="0" w:space="0" w:color="auto"/>
                    <w:bottom w:val="none" w:sz="0" w:space="0" w:color="auto"/>
                    <w:right w:val="none" w:sz="0" w:space="0" w:color="auto"/>
                  </w:divBdr>
                </w:div>
                <w:div w:id="1872112877">
                  <w:marLeft w:val="640"/>
                  <w:marRight w:val="0"/>
                  <w:marTop w:val="0"/>
                  <w:marBottom w:val="0"/>
                  <w:divBdr>
                    <w:top w:val="none" w:sz="0" w:space="0" w:color="auto"/>
                    <w:left w:val="none" w:sz="0" w:space="0" w:color="auto"/>
                    <w:bottom w:val="none" w:sz="0" w:space="0" w:color="auto"/>
                    <w:right w:val="none" w:sz="0" w:space="0" w:color="auto"/>
                  </w:divBdr>
                </w:div>
                <w:div w:id="571887732">
                  <w:marLeft w:val="640"/>
                  <w:marRight w:val="0"/>
                  <w:marTop w:val="0"/>
                  <w:marBottom w:val="0"/>
                  <w:divBdr>
                    <w:top w:val="none" w:sz="0" w:space="0" w:color="auto"/>
                    <w:left w:val="none" w:sz="0" w:space="0" w:color="auto"/>
                    <w:bottom w:val="none" w:sz="0" w:space="0" w:color="auto"/>
                    <w:right w:val="none" w:sz="0" w:space="0" w:color="auto"/>
                  </w:divBdr>
                </w:div>
                <w:div w:id="254675369">
                  <w:marLeft w:val="640"/>
                  <w:marRight w:val="0"/>
                  <w:marTop w:val="0"/>
                  <w:marBottom w:val="0"/>
                  <w:divBdr>
                    <w:top w:val="none" w:sz="0" w:space="0" w:color="auto"/>
                    <w:left w:val="none" w:sz="0" w:space="0" w:color="auto"/>
                    <w:bottom w:val="none" w:sz="0" w:space="0" w:color="auto"/>
                    <w:right w:val="none" w:sz="0" w:space="0" w:color="auto"/>
                  </w:divBdr>
                </w:div>
                <w:div w:id="413285579">
                  <w:marLeft w:val="640"/>
                  <w:marRight w:val="0"/>
                  <w:marTop w:val="0"/>
                  <w:marBottom w:val="0"/>
                  <w:divBdr>
                    <w:top w:val="none" w:sz="0" w:space="0" w:color="auto"/>
                    <w:left w:val="none" w:sz="0" w:space="0" w:color="auto"/>
                    <w:bottom w:val="none" w:sz="0" w:space="0" w:color="auto"/>
                    <w:right w:val="none" w:sz="0" w:space="0" w:color="auto"/>
                  </w:divBdr>
                </w:div>
                <w:div w:id="1565989546">
                  <w:marLeft w:val="640"/>
                  <w:marRight w:val="0"/>
                  <w:marTop w:val="0"/>
                  <w:marBottom w:val="0"/>
                  <w:divBdr>
                    <w:top w:val="none" w:sz="0" w:space="0" w:color="auto"/>
                    <w:left w:val="none" w:sz="0" w:space="0" w:color="auto"/>
                    <w:bottom w:val="none" w:sz="0" w:space="0" w:color="auto"/>
                    <w:right w:val="none" w:sz="0" w:space="0" w:color="auto"/>
                  </w:divBdr>
                </w:div>
                <w:div w:id="34814158">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435898369">
          <w:marLeft w:val="640"/>
          <w:marRight w:val="0"/>
          <w:marTop w:val="0"/>
          <w:marBottom w:val="0"/>
          <w:divBdr>
            <w:top w:val="none" w:sz="0" w:space="0" w:color="auto"/>
            <w:left w:val="none" w:sz="0" w:space="0" w:color="auto"/>
            <w:bottom w:val="none" w:sz="0" w:space="0" w:color="auto"/>
            <w:right w:val="none" w:sz="0" w:space="0" w:color="auto"/>
          </w:divBdr>
        </w:div>
        <w:div w:id="1064379129">
          <w:marLeft w:val="640"/>
          <w:marRight w:val="0"/>
          <w:marTop w:val="0"/>
          <w:marBottom w:val="0"/>
          <w:divBdr>
            <w:top w:val="none" w:sz="0" w:space="0" w:color="auto"/>
            <w:left w:val="none" w:sz="0" w:space="0" w:color="auto"/>
            <w:bottom w:val="none" w:sz="0" w:space="0" w:color="auto"/>
            <w:right w:val="none" w:sz="0" w:space="0" w:color="auto"/>
          </w:divBdr>
        </w:div>
        <w:div w:id="1159541201">
          <w:marLeft w:val="640"/>
          <w:marRight w:val="0"/>
          <w:marTop w:val="0"/>
          <w:marBottom w:val="0"/>
          <w:divBdr>
            <w:top w:val="none" w:sz="0" w:space="0" w:color="auto"/>
            <w:left w:val="none" w:sz="0" w:space="0" w:color="auto"/>
            <w:bottom w:val="none" w:sz="0" w:space="0" w:color="auto"/>
            <w:right w:val="none" w:sz="0" w:space="0" w:color="auto"/>
          </w:divBdr>
        </w:div>
        <w:div w:id="1151797464">
          <w:marLeft w:val="640"/>
          <w:marRight w:val="0"/>
          <w:marTop w:val="0"/>
          <w:marBottom w:val="0"/>
          <w:divBdr>
            <w:top w:val="none" w:sz="0" w:space="0" w:color="auto"/>
            <w:left w:val="none" w:sz="0" w:space="0" w:color="auto"/>
            <w:bottom w:val="none" w:sz="0" w:space="0" w:color="auto"/>
            <w:right w:val="none" w:sz="0" w:space="0" w:color="auto"/>
          </w:divBdr>
        </w:div>
        <w:div w:id="1180779140">
          <w:marLeft w:val="640"/>
          <w:marRight w:val="0"/>
          <w:marTop w:val="0"/>
          <w:marBottom w:val="0"/>
          <w:divBdr>
            <w:top w:val="none" w:sz="0" w:space="0" w:color="auto"/>
            <w:left w:val="none" w:sz="0" w:space="0" w:color="auto"/>
            <w:bottom w:val="none" w:sz="0" w:space="0" w:color="auto"/>
            <w:right w:val="none" w:sz="0" w:space="0" w:color="auto"/>
          </w:divBdr>
        </w:div>
        <w:div w:id="1260141904">
          <w:marLeft w:val="640"/>
          <w:marRight w:val="0"/>
          <w:marTop w:val="0"/>
          <w:marBottom w:val="0"/>
          <w:divBdr>
            <w:top w:val="none" w:sz="0" w:space="0" w:color="auto"/>
            <w:left w:val="none" w:sz="0" w:space="0" w:color="auto"/>
            <w:bottom w:val="none" w:sz="0" w:space="0" w:color="auto"/>
            <w:right w:val="none" w:sz="0" w:space="0" w:color="auto"/>
          </w:divBdr>
        </w:div>
        <w:div w:id="972563554">
          <w:marLeft w:val="640"/>
          <w:marRight w:val="0"/>
          <w:marTop w:val="0"/>
          <w:marBottom w:val="0"/>
          <w:divBdr>
            <w:top w:val="none" w:sz="0" w:space="0" w:color="auto"/>
            <w:left w:val="none" w:sz="0" w:space="0" w:color="auto"/>
            <w:bottom w:val="none" w:sz="0" w:space="0" w:color="auto"/>
            <w:right w:val="none" w:sz="0" w:space="0" w:color="auto"/>
          </w:divBdr>
        </w:div>
        <w:div w:id="1544826435">
          <w:marLeft w:val="640"/>
          <w:marRight w:val="0"/>
          <w:marTop w:val="0"/>
          <w:marBottom w:val="0"/>
          <w:divBdr>
            <w:top w:val="none" w:sz="0" w:space="0" w:color="auto"/>
            <w:left w:val="none" w:sz="0" w:space="0" w:color="auto"/>
            <w:bottom w:val="none" w:sz="0" w:space="0" w:color="auto"/>
            <w:right w:val="none" w:sz="0" w:space="0" w:color="auto"/>
          </w:divBdr>
        </w:div>
        <w:div w:id="1128859093">
          <w:marLeft w:val="640"/>
          <w:marRight w:val="0"/>
          <w:marTop w:val="0"/>
          <w:marBottom w:val="0"/>
          <w:divBdr>
            <w:top w:val="none" w:sz="0" w:space="0" w:color="auto"/>
            <w:left w:val="none" w:sz="0" w:space="0" w:color="auto"/>
            <w:bottom w:val="none" w:sz="0" w:space="0" w:color="auto"/>
            <w:right w:val="none" w:sz="0" w:space="0" w:color="auto"/>
          </w:divBdr>
        </w:div>
        <w:div w:id="1478719729">
          <w:marLeft w:val="640"/>
          <w:marRight w:val="0"/>
          <w:marTop w:val="0"/>
          <w:marBottom w:val="0"/>
          <w:divBdr>
            <w:top w:val="none" w:sz="0" w:space="0" w:color="auto"/>
            <w:left w:val="none" w:sz="0" w:space="0" w:color="auto"/>
            <w:bottom w:val="none" w:sz="0" w:space="0" w:color="auto"/>
            <w:right w:val="none" w:sz="0" w:space="0" w:color="auto"/>
          </w:divBdr>
        </w:div>
        <w:div w:id="1397360718">
          <w:marLeft w:val="640"/>
          <w:marRight w:val="0"/>
          <w:marTop w:val="0"/>
          <w:marBottom w:val="0"/>
          <w:divBdr>
            <w:top w:val="none" w:sz="0" w:space="0" w:color="auto"/>
            <w:left w:val="none" w:sz="0" w:space="0" w:color="auto"/>
            <w:bottom w:val="none" w:sz="0" w:space="0" w:color="auto"/>
            <w:right w:val="none" w:sz="0" w:space="0" w:color="auto"/>
          </w:divBdr>
        </w:div>
        <w:div w:id="457845064">
          <w:marLeft w:val="640"/>
          <w:marRight w:val="0"/>
          <w:marTop w:val="0"/>
          <w:marBottom w:val="0"/>
          <w:divBdr>
            <w:top w:val="none" w:sz="0" w:space="0" w:color="auto"/>
            <w:left w:val="none" w:sz="0" w:space="0" w:color="auto"/>
            <w:bottom w:val="none" w:sz="0" w:space="0" w:color="auto"/>
            <w:right w:val="none" w:sz="0" w:space="0" w:color="auto"/>
          </w:divBdr>
        </w:div>
        <w:div w:id="979650271">
          <w:marLeft w:val="640"/>
          <w:marRight w:val="0"/>
          <w:marTop w:val="0"/>
          <w:marBottom w:val="0"/>
          <w:divBdr>
            <w:top w:val="none" w:sz="0" w:space="0" w:color="auto"/>
            <w:left w:val="none" w:sz="0" w:space="0" w:color="auto"/>
            <w:bottom w:val="none" w:sz="0" w:space="0" w:color="auto"/>
            <w:right w:val="none" w:sz="0" w:space="0" w:color="auto"/>
          </w:divBdr>
        </w:div>
        <w:div w:id="1764446676">
          <w:marLeft w:val="640"/>
          <w:marRight w:val="0"/>
          <w:marTop w:val="0"/>
          <w:marBottom w:val="0"/>
          <w:divBdr>
            <w:top w:val="none" w:sz="0" w:space="0" w:color="auto"/>
            <w:left w:val="none" w:sz="0" w:space="0" w:color="auto"/>
            <w:bottom w:val="none" w:sz="0" w:space="0" w:color="auto"/>
            <w:right w:val="none" w:sz="0" w:space="0" w:color="auto"/>
          </w:divBdr>
        </w:div>
        <w:div w:id="1673945686">
          <w:marLeft w:val="640"/>
          <w:marRight w:val="0"/>
          <w:marTop w:val="0"/>
          <w:marBottom w:val="0"/>
          <w:divBdr>
            <w:top w:val="none" w:sz="0" w:space="0" w:color="auto"/>
            <w:left w:val="none" w:sz="0" w:space="0" w:color="auto"/>
            <w:bottom w:val="none" w:sz="0" w:space="0" w:color="auto"/>
            <w:right w:val="none" w:sz="0" w:space="0" w:color="auto"/>
          </w:divBdr>
        </w:div>
        <w:div w:id="498546703">
          <w:marLeft w:val="640"/>
          <w:marRight w:val="0"/>
          <w:marTop w:val="0"/>
          <w:marBottom w:val="0"/>
          <w:divBdr>
            <w:top w:val="none" w:sz="0" w:space="0" w:color="auto"/>
            <w:left w:val="none" w:sz="0" w:space="0" w:color="auto"/>
            <w:bottom w:val="none" w:sz="0" w:space="0" w:color="auto"/>
            <w:right w:val="none" w:sz="0" w:space="0" w:color="auto"/>
          </w:divBdr>
        </w:div>
        <w:div w:id="1026101430">
          <w:marLeft w:val="640"/>
          <w:marRight w:val="0"/>
          <w:marTop w:val="0"/>
          <w:marBottom w:val="0"/>
          <w:divBdr>
            <w:top w:val="none" w:sz="0" w:space="0" w:color="auto"/>
            <w:left w:val="none" w:sz="0" w:space="0" w:color="auto"/>
            <w:bottom w:val="none" w:sz="0" w:space="0" w:color="auto"/>
            <w:right w:val="none" w:sz="0" w:space="0" w:color="auto"/>
          </w:divBdr>
        </w:div>
        <w:div w:id="475804579">
          <w:marLeft w:val="640"/>
          <w:marRight w:val="0"/>
          <w:marTop w:val="0"/>
          <w:marBottom w:val="0"/>
          <w:divBdr>
            <w:top w:val="none" w:sz="0" w:space="0" w:color="auto"/>
            <w:left w:val="none" w:sz="0" w:space="0" w:color="auto"/>
            <w:bottom w:val="none" w:sz="0" w:space="0" w:color="auto"/>
            <w:right w:val="none" w:sz="0" w:space="0" w:color="auto"/>
          </w:divBdr>
        </w:div>
        <w:div w:id="277226014">
          <w:marLeft w:val="640"/>
          <w:marRight w:val="0"/>
          <w:marTop w:val="0"/>
          <w:marBottom w:val="0"/>
          <w:divBdr>
            <w:top w:val="none" w:sz="0" w:space="0" w:color="auto"/>
            <w:left w:val="none" w:sz="0" w:space="0" w:color="auto"/>
            <w:bottom w:val="none" w:sz="0" w:space="0" w:color="auto"/>
            <w:right w:val="none" w:sz="0" w:space="0" w:color="auto"/>
          </w:divBdr>
        </w:div>
        <w:div w:id="1733045403">
          <w:marLeft w:val="640"/>
          <w:marRight w:val="0"/>
          <w:marTop w:val="0"/>
          <w:marBottom w:val="0"/>
          <w:divBdr>
            <w:top w:val="none" w:sz="0" w:space="0" w:color="auto"/>
            <w:left w:val="none" w:sz="0" w:space="0" w:color="auto"/>
            <w:bottom w:val="none" w:sz="0" w:space="0" w:color="auto"/>
            <w:right w:val="none" w:sz="0" w:space="0" w:color="auto"/>
          </w:divBdr>
        </w:div>
        <w:div w:id="1509563219">
          <w:marLeft w:val="640"/>
          <w:marRight w:val="0"/>
          <w:marTop w:val="0"/>
          <w:marBottom w:val="0"/>
          <w:divBdr>
            <w:top w:val="none" w:sz="0" w:space="0" w:color="auto"/>
            <w:left w:val="none" w:sz="0" w:space="0" w:color="auto"/>
            <w:bottom w:val="none" w:sz="0" w:space="0" w:color="auto"/>
            <w:right w:val="none" w:sz="0" w:space="0" w:color="auto"/>
          </w:divBdr>
        </w:div>
        <w:div w:id="1244560233">
          <w:marLeft w:val="640"/>
          <w:marRight w:val="0"/>
          <w:marTop w:val="0"/>
          <w:marBottom w:val="0"/>
          <w:divBdr>
            <w:top w:val="none" w:sz="0" w:space="0" w:color="auto"/>
            <w:left w:val="none" w:sz="0" w:space="0" w:color="auto"/>
            <w:bottom w:val="none" w:sz="0" w:space="0" w:color="auto"/>
            <w:right w:val="none" w:sz="0" w:space="0" w:color="auto"/>
          </w:divBdr>
        </w:div>
        <w:div w:id="179047970">
          <w:marLeft w:val="640"/>
          <w:marRight w:val="0"/>
          <w:marTop w:val="0"/>
          <w:marBottom w:val="0"/>
          <w:divBdr>
            <w:top w:val="none" w:sz="0" w:space="0" w:color="auto"/>
            <w:left w:val="none" w:sz="0" w:space="0" w:color="auto"/>
            <w:bottom w:val="none" w:sz="0" w:space="0" w:color="auto"/>
            <w:right w:val="none" w:sz="0" w:space="0" w:color="auto"/>
          </w:divBdr>
        </w:div>
        <w:div w:id="922840798">
          <w:marLeft w:val="640"/>
          <w:marRight w:val="0"/>
          <w:marTop w:val="0"/>
          <w:marBottom w:val="0"/>
          <w:divBdr>
            <w:top w:val="none" w:sz="0" w:space="0" w:color="auto"/>
            <w:left w:val="none" w:sz="0" w:space="0" w:color="auto"/>
            <w:bottom w:val="none" w:sz="0" w:space="0" w:color="auto"/>
            <w:right w:val="none" w:sz="0" w:space="0" w:color="auto"/>
          </w:divBdr>
        </w:div>
        <w:div w:id="1377196565">
          <w:marLeft w:val="640"/>
          <w:marRight w:val="0"/>
          <w:marTop w:val="0"/>
          <w:marBottom w:val="0"/>
          <w:divBdr>
            <w:top w:val="none" w:sz="0" w:space="0" w:color="auto"/>
            <w:left w:val="none" w:sz="0" w:space="0" w:color="auto"/>
            <w:bottom w:val="none" w:sz="0" w:space="0" w:color="auto"/>
            <w:right w:val="none" w:sz="0" w:space="0" w:color="auto"/>
          </w:divBdr>
        </w:div>
        <w:div w:id="2044397395">
          <w:marLeft w:val="640"/>
          <w:marRight w:val="0"/>
          <w:marTop w:val="0"/>
          <w:marBottom w:val="0"/>
          <w:divBdr>
            <w:top w:val="none" w:sz="0" w:space="0" w:color="auto"/>
            <w:left w:val="none" w:sz="0" w:space="0" w:color="auto"/>
            <w:bottom w:val="none" w:sz="0" w:space="0" w:color="auto"/>
            <w:right w:val="none" w:sz="0" w:space="0" w:color="auto"/>
          </w:divBdr>
        </w:div>
        <w:div w:id="300162052">
          <w:marLeft w:val="640"/>
          <w:marRight w:val="0"/>
          <w:marTop w:val="0"/>
          <w:marBottom w:val="0"/>
          <w:divBdr>
            <w:top w:val="none" w:sz="0" w:space="0" w:color="auto"/>
            <w:left w:val="none" w:sz="0" w:space="0" w:color="auto"/>
            <w:bottom w:val="none" w:sz="0" w:space="0" w:color="auto"/>
            <w:right w:val="none" w:sz="0" w:space="0" w:color="auto"/>
          </w:divBdr>
        </w:div>
        <w:div w:id="1304309414">
          <w:marLeft w:val="640"/>
          <w:marRight w:val="0"/>
          <w:marTop w:val="0"/>
          <w:marBottom w:val="0"/>
          <w:divBdr>
            <w:top w:val="none" w:sz="0" w:space="0" w:color="auto"/>
            <w:left w:val="none" w:sz="0" w:space="0" w:color="auto"/>
            <w:bottom w:val="none" w:sz="0" w:space="0" w:color="auto"/>
            <w:right w:val="none" w:sz="0" w:space="0" w:color="auto"/>
          </w:divBdr>
        </w:div>
        <w:div w:id="865218930">
          <w:marLeft w:val="640"/>
          <w:marRight w:val="0"/>
          <w:marTop w:val="0"/>
          <w:marBottom w:val="0"/>
          <w:divBdr>
            <w:top w:val="none" w:sz="0" w:space="0" w:color="auto"/>
            <w:left w:val="none" w:sz="0" w:space="0" w:color="auto"/>
            <w:bottom w:val="none" w:sz="0" w:space="0" w:color="auto"/>
            <w:right w:val="none" w:sz="0" w:space="0" w:color="auto"/>
          </w:divBdr>
        </w:div>
        <w:div w:id="1871914111">
          <w:marLeft w:val="640"/>
          <w:marRight w:val="0"/>
          <w:marTop w:val="0"/>
          <w:marBottom w:val="0"/>
          <w:divBdr>
            <w:top w:val="none" w:sz="0" w:space="0" w:color="auto"/>
            <w:left w:val="none" w:sz="0" w:space="0" w:color="auto"/>
            <w:bottom w:val="none" w:sz="0" w:space="0" w:color="auto"/>
            <w:right w:val="none" w:sz="0" w:space="0" w:color="auto"/>
          </w:divBdr>
        </w:div>
        <w:div w:id="691422698">
          <w:marLeft w:val="640"/>
          <w:marRight w:val="0"/>
          <w:marTop w:val="0"/>
          <w:marBottom w:val="0"/>
          <w:divBdr>
            <w:top w:val="none" w:sz="0" w:space="0" w:color="auto"/>
            <w:left w:val="none" w:sz="0" w:space="0" w:color="auto"/>
            <w:bottom w:val="none" w:sz="0" w:space="0" w:color="auto"/>
            <w:right w:val="none" w:sz="0" w:space="0" w:color="auto"/>
          </w:divBdr>
        </w:div>
        <w:div w:id="1116677823">
          <w:marLeft w:val="640"/>
          <w:marRight w:val="0"/>
          <w:marTop w:val="0"/>
          <w:marBottom w:val="0"/>
          <w:divBdr>
            <w:top w:val="none" w:sz="0" w:space="0" w:color="auto"/>
            <w:left w:val="none" w:sz="0" w:space="0" w:color="auto"/>
            <w:bottom w:val="none" w:sz="0" w:space="0" w:color="auto"/>
            <w:right w:val="none" w:sz="0" w:space="0" w:color="auto"/>
          </w:divBdr>
        </w:div>
        <w:div w:id="2001495747">
          <w:marLeft w:val="640"/>
          <w:marRight w:val="0"/>
          <w:marTop w:val="0"/>
          <w:marBottom w:val="0"/>
          <w:divBdr>
            <w:top w:val="none" w:sz="0" w:space="0" w:color="auto"/>
            <w:left w:val="none" w:sz="0" w:space="0" w:color="auto"/>
            <w:bottom w:val="none" w:sz="0" w:space="0" w:color="auto"/>
            <w:right w:val="none" w:sz="0" w:space="0" w:color="auto"/>
          </w:divBdr>
        </w:div>
        <w:div w:id="2125684297">
          <w:marLeft w:val="640"/>
          <w:marRight w:val="0"/>
          <w:marTop w:val="0"/>
          <w:marBottom w:val="0"/>
          <w:divBdr>
            <w:top w:val="none" w:sz="0" w:space="0" w:color="auto"/>
            <w:left w:val="none" w:sz="0" w:space="0" w:color="auto"/>
            <w:bottom w:val="none" w:sz="0" w:space="0" w:color="auto"/>
            <w:right w:val="none" w:sz="0" w:space="0" w:color="auto"/>
          </w:divBdr>
        </w:div>
        <w:div w:id="1152406862">
          <w:marLeft w:val="640"/>
          <w:marRight w:val="0"/>
          <w:marTop w:val="0"/>
          <w:marBottom w:val="0"/>
          <w:divBdr>
            <w:top w:val="none" w:sz="0" w:space="0" w:color="auto"/>
            <w:left w:val="none" w:sz="0" w:space="0" w:color="auto"/>
            <w:bottom w:val="none" w:sz="0" w:space="0" w:color="auto"/>
            <w:right w:val="none" w:sz="0" w:space="0" w:color="auto"/>
          </w:divBdr>
        </w:div>
        <w:div w:id="981423219">
          <w:marLeft w:val="640"/>
          <w:marRight w:val="0"/>
          <w:marTop w:val="0"/>
          <w:marBottom w:val="0"/>
          <w:divBdr>
            <w:top w:val="none" w:sz="0" w:space="0" w:color="auto"/>
            <w:left w:val="none" w:sz="0" w:space="0" w:color="auto"/>
            <w:bottom w:val="none" w:sz="0" w:space="0" w:color="auto"/>
            <w:right w:val="none" w:sz="0" w:space="0" w:color="auto"/>
          </w:divBdr>
        </w:div>
        <w:div w:id="1627616294">
          <w:marLeft w:val="640"/>
          <w:marRight w:val="0"/>
          <w:marTop w:val="0"/>
          <w:marBottom w:val="0"/>
          <w:divBdr>
            <w:top w:val="none" w:sz="0" w:space="0" w:color="auto"/>
            <w:left w:val="none" w:sz="0" w:space="0" w:color="auto"/>
            <w:bottom w:val="none" w:sz="0" w:space="0" w:color="auto"/>
            <w:right w:val="none" w:sz="0" w:space="0" w:color="auto"/>
          </w:divBdr>
        </w:div>
        <w:div w:id="78797870">
          <w:marLeft w:val="640"/>
          <w:marRight w:val="0"/>
          <w:marTop w:val="0"/>
          <w:marBottom w:val="0"/>
          <w:divBdr>
            <w:top w:val="none" w:sz="0" w:space="0" w:color="auto"/>
            <w:left w:val="none" w:sz="0" w:space="0" w:color="auto"/>
            <w:bottom w:val="none" w:sz="0" w:space="0" w:color="auto"/>
            <w:right w:val="none" w:sz="0" w:space="0" w:color="auto"/>
          </w:divBdr>
        </w:div>
        <w:div w:id="28797298">
          <w:marLeft w:val="640"/>
          <w:marRight w:val="0"/>
          <w:marTop w:val="0"/>
          <w:marBottom w:val="0"/>
          <w:divBdr>
            <w:top w:val="none" w:sz="0" w:space="0" w:color="auto"/>
            <w:left w:val="none" w:sz="0" w:space="0" w:color="auto"/>
            <w:bottom w:val="none" w:sz="0" w:space="0" w:color="auto"/>
            <w:right w:val="none" w:sz="0" w:space="0" w:color="auto"/>
          </w:divBdr>
        </w:div>
        <w:div w:id="1545212754">
          <w:marLeft w:val="640"/>
          <w:marRight w:val="0"/>
          <w:marTop w:val="0"/>
          <w:marBottom w:val="0"/>
          <w:divBdr>
            <w:top w:val="none" w:sz="0" w:space="0" w:color="auto"/>
            <w:left w:val="none" w:sz="0" w:space="0" w:color="auto"/>
            <w:bottom w:val="none" w:sz="0" w:space="0" w:color="auto"/>
            <w:right w:val="none" w:sz="0" w:space="0" w:color="auto"/>
          </w:divBdr>
        </w:div>
        <w:div w:id="1346324219">
          <w:marLeft w:val="640"/>
          <w:marRight w:val="0"/>
          <w:marTop w:val="0"/>
          <w:marBottom w:val="0"/>
          <w:divBdr>
            <w:top w:val="none" w:sz="0" w:space="0" w:color="auto"/>
            <w:left w:val="none" w:sz="0" w:space="0" w:color="auto"/>
            <w:bottom w:val="none" w:sz="0" w:space="0" w:color="auto"/>
            <w:right w:val="none" w:sz="0" w:space="0" w:color="auto"/>
          </w:divBdr>
        </w:div>
        <w:div w:id="804659409">
          <w:marLeft w:val="640"/>
          <w:marRight w:val="0"/>
          <w:marTop w:val="0"/>
          <w:marBottom w:val="0"/>
          <w:divBdr>
            <w:top w:val="none" w:sz="0" w:space="0" w:color="auto"/>
            <w:left w:val="none" w:sz="0" w:space="0" w:color="auto"/>
            <w:bottom w:val="none" w:sz="0" w:space="0" w:color="auto"/>
            <w:right w:val="none" w:sz="0" w:space="0" w:color="auto"/>
          </w:divBdr>
        </w:div>
        <w:div w:id="328287227">
          <w:marLeft w:val="640"/>
          <w:marRight w:val="0"/>
          <w:marTop w:val="0"/>
          <w:marBottom w:val="0"/>
          <w:divBdr>
            <w:top w:val="none" w:sz="0" w:space="0" w:color="auto"/>
            <w:left w:val="none" w:sz="0" w:space="0" w:color="auto"/>
            <w:bottom w:val="none" w:sz="0" w:space="0" w:color="auto"/>
            <w:right w:val="none" w:sz="0" w:space="0" w:color="auto"/>
          </w:divBdr>
        </w:div>
        <w:div w:id="2102069528">
          <w:marLeft w:val="640"/>
          <w:marRight w:val="0"/>
          <w:marTop w:val="0"/>
          <w:marBottom w:val="0"/>
          <w:divBdr>
            <w:top w:val="none" w:sz="0" w:space="0" w:color="auto"/>
            <w:left w:val="none" w:sz="0" w:space="0" w:color="auto"/>
            <w:bottom w:val="none" w:sz="0" w:space="0" w:color="auto"/>
            <w:right w:val="none" w:sz="0" w:space="0" w:color="auto"/>
          </w:divBdr>
        </w:div>
        <w:div w:id="1787498890">
          <w:marLeft w:val="640"/>
          <w:marRight w:val="0"/>
          <w:marTop w:val="0"/>
          <w:marBottom w:val="0"/>
          <w:divBdr>
            <w:top w:val="none" w:sz="0" w:space="0" w:color="auto"/>
            <w:left w:val="none" w:sz="0" w:space="0" w:color="auto"/>
            <w:bottom w:val="none" w:sz="0" w:space="0" w:color="auto"/>
            <w:right w:val="none" w:sz="0" w:space="0" w:color="auto"/>
          </w:divBdr>
        </w:div>
        <w:div w:id="1820879152">
          <w:marLeft w:val="640"/>
          <w:marRight w:val="0"/>
          <w:marTop w:val="0"/>
          <w:marBottom w:val="0"/>
          <w:divBdr>
            <w:top w:val="none" w:sz="0" w:space="0" w:color="auto"/>
            <w:left w:val="none" w:sz="0" w:space="0" w:color="auto"/>
            <w:bottom w:val="none" w:sz="0" w:space="0" w:color="auto"/>
            <w:right w:val="none" w:sz="0" w:space="0" w:color="auto"/>
          </w:divBdr>
        </w:div>
        <w:div w:id="145783812">
          <w:marLeft w:val="640"/>
          <w:marRight w:val="0"/>
          <w:marTop w:val="0"/>
          <w:marBottom w:val="0"/>
          <w:divBdr>
            <w:top w:val="none" w:sz="0" w:space="0" w:color="auto"/>
            <w:left w:val="none" w:sz="0" w:space="0" w:color="auto"/>
            <w:bottom w:val="none" w:sz="0" w:space="0" w:color="auto"/>
            <w:right w:val="none" w:sz="0" w:space="0" w:color="auto"/>
          </w:divBdr>
        </w:div>
        <w:div w:id="1597401993">
          <w:marLeft w:val="640"/>
          <w:marRight w:val="0"/>
          <w:marTop w:val="0"/>
          <w:marBottom w:val="0"/>
          <w:divBdr>
            <w:top w:val="none" w:sz="0" w:space="0" w:color="auto"/>
            <w:left w:val="none" w:sz="0" w:space="0" w:color="auto"/>
            <w:bottom w:val="none" w:sz="0" w:space="0" w:color="auto"/>
            <w:right w:val="none" w:sz="0" w:space="0" w:color="auto"/>
          </w:divBdr>
        </w:div>
        <w:div w:id="2107459473">
          <w:marLeft w:val="640"/>
          <w:marRight w:val="0"/>
          <w:marTop w:val="0"/>
          <w:marBottom w:val="0"/>
          <w:divBdr>
            <w:top w:val="none" w:sz="0" w:space="0" w:color="auto"/>
            <w:left w:val="none" w:sz="0" w:space="0" w:color="auto"/>
            <w:bottom w:val="none" w:sz="0" w:space="0" w:color="auto"/>
            <w:right w:val="none" w:sz="0" w:space="0" w:color="auto"/>
          </w:divBdr>
        </w:div>
        <w:div w:id="332684899">
          <w:marLeft w:val="640"/>
          <w:marRight w:val="0"/>
          <w:marTop w:val="0"/>
          <w:marBottom w:val="0"/>
          <w:divBdr>
            <w:top w:val="none" w:sz="0" w:space="0" w:color="auto"/>
            <w:left w:val="none" w:sz="0" w:space="0" w:color="auto"/>
            <w:bottom w:val="none" w:sz="0" w:space="0" w:color="auto"/>
            <w:right w:val="none" w:sz="0" w:space="0" w:color="auto"/>
          </w:divBdr>
        </w:div>
        <w:div w:id="579295109">
          <w:marLeft w:val="640"/>
          <w:marRight w:val="0"/>
          <w:marTop w:val="0"/>
          <w:marBottom w:val="0"/>
          <w:divBdr>
            <w:top w:val="none" w:sz="0" w:space="0" w:color="auto"/>
            <w:left w:val="none" w:sz="0" w:space="0" w:color="auto"/>
            <w:bottom w:val="none" w:sz="0" w:space="0" w:color="auto"/>
            <w:right w:val="none" w:sz="0" w:space="0" w:color="auto"/>
          </w:divBdr>
        </w:div>
        <w:div w:id="983895532">
          <w:marLeft w:val="640"/>
          <w:marRight w:val="0"/>
          <w:marTop w:val="0"/>
          <w:marBottom w:val="0"/>
          <w:divBdr>
            <w:top w:val="none" w:sz="0" w:space="0" w:color="auto"/>
            <w:left w:val="none" w:sz="0" w:space="0" w:color="auto"/>
            <w:bottom w:val="none" w:sz="0" w:space="0" w:color="auto"/>
            <w:right w:val="none" w:sz="0" w:space="0" w:color="auto"/>
          </w:divBdr>
        </w:div>
        <w:div w:id="519975053">
          <w:marLeft w:val="640"/>
          <w:marRight w:val="0"/>
          <w:marTop w:val="0"/>
          <w:marBottom w:val="0"/>
          <w:divBdr>
            <w:top w:val="none" w:sz="0" w:space="0" w:color="auto"/>
            <w:left w:val="none" w:sz="0" w:space="0" w:color="auto"/>
            <w:bottom w:val="none" w:sz="0" w:space="0" w:color="auto"/>
            <w:right w:val="none" w:sz="0" w:space="0" w:color="auto"/>
          </w:divBdr>
        </w:div>
        <w:div w:id="563491741">
          <w:marLeft w:val="640"/>
          <w:marRight w:val="0"/>
          <w:marTop w:val="0"/>
          <w:marBottom w:val="0"/>
          <w:divBdr>
            <w:top w:val="none" w:sz="0" w:space="0" w:color="auto"/>
            <w:left w:val="none" w:sz="0" w:space="0" w:color="auto"/>
            <w:bottom w:val="none" w:sz="0" w:space="0" w:color="auto"/>
            <w:right w:val="none" w:sz="0" w:space="0" w:color="auto"/>
          </w:divBdr>
        </w:div>
        <w:div w:id="655956549">
          <w:marLeft w:val="640"/>
          <w:marRight w:val="0"/>
          <w:marTop w:val="0"/>
          <w:marBottom w:val="0"/>
          <w:divBdr>
            <w:top w:val="none" w:sz="0" w:space="0" w:color="auto"/>
            <w:left w:val="none" w:sz="0" w:space="0" w:color="auto"/>
            <w:bottom w:val="none" w:sz="0" w:space="0" w:color="auto"/>
            <w:right w:val="none" w:sz="0" w:space="0" w:color="auto"/>
          </w:divBdr>
        </w:div>
        <w:div w:id="1321541719">
          <w:marLeft w:val="640"/>
          <w:marRight w:val="0"/>
          <w:marTop w:val="0"/>
          <w:marBottom w:val="0"/>
          <w:divBdr>
            <w:top w:val="none" w:sz="0" w:space="0" w:color="auto"/>
            <w:left w:val="none" w:sz="0" w:space="0" w:color="auto"/>
            <w:bottom w:val="none" w:sz="0" w:space="0" w:color="auto"/>
            <w:right w:val="none" w:sz="0" w:space="0" w:color="auto"/>
          </w:divBdr>
        </w:div>
        <w:div w:id="701443853">
          <w:marLeft w:val="640"/>
          <w:marRight w:val="0"/>
          <w:marTop w:val="0"/>
          <w:marBottom w:val="0"/>
          <w:divBdr>
            <w:top w:val="none" w:sz="0" w:space="0" w:color="auto"/>
            <w:left w:val="none" w:sz="0" w:space="0" w:color="auto"/>
            <w:bottom w:val="none" w:sz="0" w:space="0" w:color="auto"/>
            <w:right w:val="none" w:sz="0" w:space="0" w:color="auto"/>
          </w:divBdr>
        </w:div>
        <w:div w:id="709453775">
          <w:marLeft w:val="640"/>
          <w:marRight w:val="0"/>
          <w:marTop w:val="0"/>
          <w:marBottom w:val="0"/>
          <w:divBdr>
            <w:top w:val="none" w:sz="0" w:space="0" w:color="auto"/>
            <w:left w:val="none" w:sz="0" w:space="0" w:color="auto"/>
            <w:bottom w:val="none" w:sz="0" w:space="0" w:color="auto"/>
            <w:right w:val="none" w:sz="0" w:space="0" w:color="auto"/>
          </w:divBdr>
        </w:div>
        <w:div w:id="274799236">
          <w:marLeft w:val="640"/>
          <w:marRight w:val="0"/>
          <w:marTop w:val="0"/>
          <w:marBottom w:val="0"/>
          <w:divBdr>
            <w:top w:val="none" w:sz="0" w:space="0" w:color="auto"/>
            <w:left w:val="none" w:sz="0" w:space="0" w:color="auto"/>
            <w:bottom w:val="none" w:sz="0" w:space="0" w:color="auto"/>
            <w:right w:val="none" w:sz="0" w:space="0" w:color="auto"/>
          </w:divBdr>
        </w:div>
        <w:div w:id="1368946582">
          <w:marLeft w:val="640"/>
          <w:marRight w:val="0"/>
          <w:marTop w:val="0"/>
          <w:marBottom w:val="0"/>
          <w:divBdr>
            <w:top w:val="none" w:sz="0" w:space="0" w:color="auto"/>
            <w:left w:val="none" w:sz="0" w:space="0" w:color="auto"/>
            <w:bottom w:val="none" w:sz="0" w:space="0" w:color="auto"/>
            <w:right w:val="none" w:sz="0" w:space="0" w:color="auto"/>
          </w:divBdr>
        </w:div>
        <w:div w:id="1732804325">
          <w:marLeft w:val="640"/>
          <w:marRight w:val="0"/>
          <w:marTop w:val="0"/>
          <w:marBottom w:val="0"/>
          <w:divBdr>
            <w:top w:val="none" w:sz="0" w:space="0" w:color="auto"/>
            <w:left w:val="none" w:sz="0" w:space="0" w:color="auto"/>
            <w:bottom w:val="none" w:sz="0" w:space="0" w:color="auto"/>
            <w:right w:val="none" w:sz="0" w:space="0" w:color="auto"/>
          </w:divBdr>
        </w:div>
        <w:div w:id="999818472">
          <w:marLeft w:val="640"/>
          <w:marRight w:val="0"/>
          <w:marTop w:val="0"/>
          <w:marBottom w:val="0"/>
          <w:divBdr>
            <w:top w:val="none" w:sz="0" w:space="0" w:color="auto"/>
            <w:left w:val="none" w:sz="0" w:space="0" w:color="auto"/>
            <w:bottom w:val="none" w:sz="0" w:space="0" w:color="auto"/>
            <w:right w:val="none" w:sz="0" w:space="0" w:color="auto"/>
          </w:divBdr>
        </w:div>
        <w:div w:id="839394607">
          <w:marLeft w:val="640"/>
          <w:marRight w:val="0"/>
          <w:marTop w:val="0"/>
          <w:marBottom w:val="0"/>
          <w:divBdr>
            <w:top w:val="none" w:sz="0" w:space="0" w:color="auto"/>
            <w:left w:val="none" w:sz="0" w:space="0" w:color="auto"/>
            <w:bottom w:val="none" w:sz="0" w:space="0" w:color="auto"/>
            <w:right w:val="none" w:sz="0" w:space="0" w:color="auto"/>
          </w:divBdr>
        </w:div>
        <w:div w:id="2093358777">
          <w:marLeft w:val="640"/>
          <w:marRight w:val="0"/>
          <w:marTop w:val="0"/>
          <w:marBottom w:val="0"/>
          <w:divBdr>
            <w:top w:val="none" w:sz="0" w:space="0" w:color="auto"/>
            <w:left w:val="none" w:sz="0" w:space="0" w:color="auto"/>
            <w:bottom w:val="none" w:sz="0" w:space="0" w:color="auto"/>
            <w:right w:val="none" w:sz="0" w:space="0" w:color="auto"/>
          </w:divBdr>
        </w:div>
        <w:div w:id="1070421445">
          <w:marLeft w:val="640"/>
          <w:marRight w:val="0"/>
          <w:marTop w:val="0"/>
          <w:marBottom w:val="0"/>
          <w:divBdr>
            <w:top w:val="none" w:sz="0" w:space="0" w:color="auto"/>
            <w:left w:val="none" w:sz="0" w:space="0" w:color="auto"/>
            <w:bottom w:val="none" w:sz="0" w:space="0" w:color="auto"/>
            <w:right w:val="none" w:sz="0" w:space="0" w:color="auto"/>
          </w:divBdr>
        </w:div>
        <w:div w:id="39794348">
          <w:marLeft w:val="640"/>
          <w:marRight w:val="0"/>
          <w:marTop w:val="0"/>
          <w:marBottom w:val="0"/>
          <w:divBdr>
            <w:top w:val="none" w:sz="0" w:space="0" w:color="auto"/>
            <w:left w:val="none" w:sz="0" w:space="0" w:color="auto"/>
            <w:bottom w:val="none" w:sz="0" w:space="0" w:color="auto"/>
            <w:right w:val="none" w:sz="0" w:space="0" w:color="auto"/>
          </w:divBdr>
        </w:div>
        <w:div w:id="1866870565">
          <w:marLeft w:val="640"/>
          <w:marRight w:val="0"/>
          <w:marTop w:val="0"/>
          <w:marBottom w:val="0"/>
          <w:divBdr>
            <w:top w:val="none" w:sz="0" w:space="0" w:color="auto"/>
            <w:left w:val="none" w:sz="0" w:space="0" w:color="auto"/>
            <w:bottom w:val="none" w:sz="0" w:space="0" w:color="auto"/>
            <w:right w:val="none" w:sz="0" w:space="0" w:color="auto"/>
          </w:divBdr>
        </w:div>
        <w:div w:id="627973649">
          <w:marLeft w:val="640"/>
          <w:marRight w:val="0"/>
          <w:marTop w:val="0"/>
          <w:marBottom w:val="0"/>
          <w:divBdr>
            <w:top w:val="none" w:sz="0" w:space="0" w:color="auto"/>
            <w:left w:val="none" w:sz="0" w:space="0" w:color="auto"/>
            <w:bottom w:val="none" w:sz="0" w:space="0" w:color="auto"/>
            <w:right w:val="none" w:sz="0" w:space="0" w:color="auto"/>
          </w:divBdr>
        </w:div>
        <w:div w:id="2100710192">
          <w:marLeft w:val="640"/>
          <w:marRight w:val="0"/>
          <w:marTop w:val="0"/>
          <w:marBottom w:val="0"/>
          <w:divBdr>
            <w:top w:val="none" w:sz="0" w:space="0" w:color="auto"/>
            <w:left w:val="none" w:sz="0" w:space="0" w:color="auto"/>
            <w:bottom w:val="none" w:sz="0" w:space="0" w:color="auto"/>
            <w:right w:val="none" w:sz="0" w:space="0" w:color="auto"/>
          </w:divBdr>
        </w:div>
        <w:div w:id="228613600">
          <w:marLeft w:val="640"/>
          <w:marRight w:val="0"/>
          <w:marTop w:val="0"/>
          <w:marBottom w:val="0"/>
          <w:divBdr>
            <w:top w:val="none" w:sz="0" w:space="0" w:color="auto"/>
            <w:left w:val="none" w:sz="0" w:space="0" w:color="auto"/>
            <w:bottom w:val="none" w:sz="0" w:space="0" w:color="auto"/>
            <w:right w:val="none" w:sz="0" w:space="0" w:color="auto"/>
          </w:divBdr>
        </w:div>
        <w:div w:id="7370153">
          <w:marLeft w:val="640"/>
          <w:marRight w:val="0"/>
          <w:marTop w:val="0"/>
          <w:marBottom w:val="0"/>
          <w:divBdr>
            <w:top w:val="none" w:sz="0" w:space="0" w:color="auto"/>
            <w:left w:val="none" w:sz="0" w:space="0" w:color="auto"/>
            <w:bottom w:val="none" w:sz="0" w:space="0" w:color="auto"/>
            <w:right w:val="none" w:sz="0" w:space="0" w:color="auto"/>
          </w:divBdr>
        </w:div>
        <w:div w:id="28384526">
          <w:marLeft w:val="640"/>
          <w:marRight w:val="0"/>
          <w:marTop w:val="0"/>
          <w:marBottom w:val="0"/>
          <w:divBdr>
            <w:top w:val="none" w:sz="0" w:space="0" w:color="auto"/>
            <w:left w:val="none" w:sz="0" w:space="0" w:color="auto"/>
            <w:bottom w:val="none" w:sz="0" w:space="0" w:color="auto"/>
            <w:right w:val="none" w:sz="0" w:space="0" w:color="auto"/>
          </w:divBdr>
        </w:div>
        <w:div w:id="1123964487">
          <w:marLeft w:val="640"/>
          <w:marRight w:val="0"/>
          <w:marTop w:val="0"/>
          <w:marBottom w:val="0"/>
          <w:divBdr>
            <w:top w:val="none" w:sz="0" w:space="0" w:color="auto"/>
            <w:left w:val="none" w:sz="0" w:space="0" w:color="auto"/>
            <w:bottom w:val="none" w:sz="0" w:space="0" w:color="auto"/>
            <w:right w:val="none" w:sz="0" w:space="0" w:color="auto"/>
          </w:divBdr>
        </w:div>
        <w:div w:id="16741211">
          <w:marLeft w:val="640"/>
          <w:marRight w:val="0"/>
          <w:marTop w:val="0"/>
          <w:marBottom w:val="0"/>
          <w:divBdr>
            <w:top w:val="none" w:sz="0" w:space="0" w:color="auto"/>
            <w:left w:val="none" w:sz="0" w:space="0" w:color="auto"/>
            <w:bottom w:val="none" w:sz="0" w:space="0" w:color="auto"/>
            <w:right w:val="none" w:sz="0" w:space="0" w:color="auto"/>
          </w:divBdr>
        </w:div>
        <w:div w:id="159778161">
          <w:marLeft w:val="640"/>
          <w:marRight w:val="0"/>
          <w:marTop w:val="0"/>
          <w:marBottom w:val="0"/>
          <w:divBdr>
            <w:top w:val="none" w:sz="0" w:space="0" w:color="auto"/>
            <w:left w:val="none" w:sz="0" w:space="0" w:color="auto"/>
            <w:bottom w:val="none" w:sz="0" w:space="0" w:color="auto"/>
            <w:right w:val="none" w:sz="0" w:space="0" w:color="auto"/>
          </w:divBdr>
        </w:div>
        <w:div w:id="1548762538">
          <w:marLeft w:val="640"/>
          <w:marRight w:val="0"/>
          <w:marTop w:val="0"/>
          <w:marBottom w:val="0"/>
          <w:divBdr>
            <w:top w:val="none" w:sz="0" w:space="0" w:color="auto"/>
            <w:left w:val="none" w:sz="0" w:space="0" w:color="auto"/>
            <w:bottom w:val="none" w:sz="0" w:space="0" w:color="auto"/>
            <w:right w:val="none" w:sz="0" w:space="0" w:color="auto"/>
          </w:divBdr>
        </w:div>
        <w:div w:id="1255749891">
          <w:marLeft w:val="640"/>
          <w:marRight w:val="0"/>
          <w:marTop w:val="0"/>
          <w:marBottom w:val="0"/>
          <w:divBdr>
            <w:top w:val="none" w:sz="0" w:space="0" w:color="auto"/>
            <w:left w:val="none" w:sz="0" w:space="0" w:color="auto"/>
            <w:bottom w:val="none" w:sz="0" w:space="0" w:color="auto"/>
            <w:right w:val="none" w:sz="0" w:space="0" w:color="auto"/>
          </w:divBdr>
        </w:div>
        <w:div w:id="1052538656">
          <w:marLeft w:val="640"/>
          <w:marRight w:val="0"/>
          <w:marTop w:val="0"/>
          <w:marBottom w:val="0"/>
          <w:divBdr>
            <w:top w:val="none" w:sz="0" w:space="0" w:color="auto"/>
            <w:left w:val="none" w:sz="0" w:space="0" w:color="auto"/>
            <w:bottom w:val="none" w:sz="0" w:space="0" w:color="auto"/>
            <w:right w:val="none" w:sz="0" w:space="0" w:color="auto"/>
          </w:divBdr>
        </w:div>
        <w:div w:id="906651090">
          <w:marLeft w:val="640"/>
          <w:marRight w:val="0"/>
          <w:marTop w:val="0"/>
          <w:marBottom w:val="0"/>
          <w:divBdr>
            <w:top w:val="none" w:sz="0" w:space="0" w:color="auto"/>
            <w:left w:val="none" w:sz="0" w:space="0" w:color="auto"/>
            <w:bottom w:val="none" w:sz="0" w:space="0" w:color="auto"/>
            <w:right w:val="none" w:sz="0" w:space="0" w:color="auto"/>
          </w:divBdr>
        </w:div>
        <w:div w:id="1528833065">
          <w:marLeft w:val="640"/>
          <w:marRight w:val="0"/>
          <w:marTop w:val="0"/>
          <w:marBottom w:val="0"/>
          <w:divBdr>
            <w:top w:val="none" w:sz="0" w:space="0" w:color="auto"/>
            <w:left w:val="none" w:sz="0" w:space="0" w:color="auto"/>
            <w:bottom w:val="none" w:sz="0" w:space="0" w:color="auto"/>
            <w:right w:val="none" w:sz="0" w:space="0" w:color="auto"/>
          </w:divBdr>
        </w:div>
        <w:div w:id="1354182912">
          <w:marLeft w:val="640"/>
          <w:marRight w:val="0"/>
          <w:marTop w:val="0"/>
          <w:marBottom w:val="0"/>
          <w:divBdr>
            <w:top w:val="none" w:sz="0" w:space="0" w:color="auto"/>
            <w:left w:val="none" w:sz="0" w:space="0" w:color="auto"/>
            <w:bottom w:val="none" w:sz="0" w:space="0" w:color="auto"/>
            <w:right w:val="none" w:sz="0" w:space="0" w:color="auto"/>
          </w:divBdr>
        </w:div>
        <w:div w:id="1578400926">
          <w:marLeft w:val="640"/>
          <w:marRight w:val="0"/>
          <w:marTop w:val="0"/>
          <w:marBottom w:val="0"/>
          <w:divBdr>
            <w:top w:val="none" w:sz="0" w:space="0" w:color="auto"/>
            <w:left w:val="none" w:sz="0" w:space="0" w:color="auto"/>
            <w:bottom w:val="none" w:sz="0" w:space="0" w:color="auto"/>
            <w:right w:val="none" w:sz="0" w:space="0" w:color="auto"/>
          </w:divBdr>
        </w:div>
        <w:div w:id="1410927550">
          <w:marLeft w:val="640"/>
          <w:marRight w:val="0"/>
          <w:marTop w:val="0"/>
          <w:marBottom w:val="0"/>
          <w:divBdr>
            <w:top w:val="none" w:sz="0" w:space="0" w:color="auto"/>
            <w:left w:val="none" w:sz="0" w:space="0" w:color="auto"/>
            <w:bottom w:val="none" w:sz="0" w:space="0" w:color="auto"/>
            <w:right w:val="none" w:sz="0" w:space="0" w:color="auto"/>
          </w:divBdr>
        </w:div>
        <w:div w:id="2001156309">
          <w:marLeft w:val="640"/>
          <w:marRight w:val="0"/>
          <w:marTop w:val="0"/>
          <w:marBottom w:val="0"/>
          <w:divBdr>
            <w:top w:val="none" w:sz="0" w:space="0" w:color="auto"/>
            <w:left w:val="none" w:sz="0" w:space="0" w:color="auto"/>
            <w:bottom w:val="none" w:sz="0" w:space="0" w:color="auto"/>
            <w:right w:val="none" w:sz="0" w:space="0" w:color="auto"/>
          </w:divBdr>
        </w:div>
        <w:div w:id="1639990698">
          <w:marLeft w:val="640"/>
          <w:marRight w:val="0"/>
          <w:marTop w:val="0"/>
          <w:marBottom w:val="0"/>
          <w:divBdr>
            <w:top w:val="none" w:sz="0" w:space="0" w:color="auto"/>
            <w:left w:val="none" w:sz="0" w:space="0" w:color="auto"/>
            <w:bottom w:val="none" w:sz="0" w:space="0" w:color="auto"/>
            <w:right w:val="none" w:sz="0" w:space="0" w:color="auto"/>
          </w:divBdr>
        </w:div>
        <w:div w:id="938879154">
          <w:marLeft w:val="640"/>
          <w:marRight w:val="0"/>
          <w:marTop w:val="0"/>
          <w:marBottom w:val="0"/>
          <w:divBdr>
            <w:top w:val="none" w:sz="0" w:space="0" w:color="auto"/>
            <w:left w:val="none" w:sz="0" w:space="0" w:color="auto"/>
            <w:bottom w:val="none" w:sz="0" w:space="0" w:color="auto"/>
            <w:right w:val="none" w:sz="0" w:space="0" w:color="auto"/>
          </w:divBdr>
        </w:div>
        <w:div w:id="1347438882">
          <w:marLeft w:val="640"/>
          <w:marRight w:val="0"/>
          <w:marTop w:val="0"/>
          <w:marBottom w:val="0"/>
          <w:divBdr>
            <w:top w:val="none" w:sz="0" w:space="0" w:color="auto"/>
            <w:left w:val="none" w:sz="0" w:space="0" w:color="auto"/>
            <w:bottom w:val="none" w:sz="0" w:space="0" w:color="auto"/>
            <w:right w:val="none" w:sz="0" w:space="0" w:color="auto"/>
          </w:divBdr>
        </w:div>
        <w:div w:id="1139302847">
          <w:marLeft w:val="640"/>
          <w:marRight w:val="0"/>
          <w:marTop w:val="0"/>
          <w:marBottom w:val="0"/>
          <w:divBdr>
            <w:top w:val="none" w:sz="0" w:space="0" w:color="auto"/>
            <w:left w:val="none" w:sz="0" w:space="0" w:color="auto"/>
            <w:bottom w:val="none" w:sz="0" w:space="0" w:color="auto"/>
            <w:right w:val="none" w:sz="0" w:space="0" w:color="auto"/>
          </w:divBdr>
        </w:div>
        <w:div w:id="244651973">
          <w:marLeft w:val="640"/>
          <w:marRight w:val="0"/>
          <w:marTop w:val="0"/>
          <w:marBottom w:val="0"/>
          <w:divBdr>
            <w:top w:val="none" w:sz="0" w:space="0" w:color="auto"/>
            <w:left w:val="none" w:sz="0" w:space="0" w:color="auto"/>
            <w:bottom w:val="none" w:sz="0" w:space="0" w:color="auto"/>
            <w:right w:val="none" w:sz="0" w:space="0" w:color="auto"/>
          </w:divBdr>
        </w:div>
        <w:div w:id="2076656003">
          <w:marLeft w:val="640"/>
          <w:marRight w:val="0"/>
          <w:marTop w:val="0"/>
          <w:marBottom w:val="0"/>
          <w:divBdr>
            <w:top w:val="none" w:sz="0" w:space="0" w:color="auto"/>
            <w:left w:val="none" w:sz="0" w:space="0" w:color="auto"/>
            <w:bottom w:val="none" w:sz="0" w:space="0" w:color="auto"/>
            <w:right w:val="none" w:sz="0" w:space="0" w:color="auto"/>
          </w:divBdr>
        </w:div>
        <w:div w:id="1294604056">
          <w:marLeft w:val="640"/>
          <w:marRight w:val="0"/>
          <w:marTop w:val="0"/>
          <w:marBottom w:val="0"/>
          <w:divBdr>
            <w:top w:val="none" w:sz="0" w:space="0" w:color="auto"/>
            <w:left w:val="none" w:sz="0" w:space="0" w:color="auto"/>
            <w:bottom w:val="none" w:sz="0" w:space="0" w:color="auto"/>
            <w:right w:val="none" w:sz="0" w:space="0" w:color="auto"/>
          </w:divBdr>
        </w:div>
        <w:div w:id="204100164">
          <w:marLeft w:val="640"/>
          <w:marRight w:val="0"/>
          <w:marTop w:val="0"/>
          <w:marBottom w:val="0"/>
          <w:divBdr>
            <w:top w:val="none" w:sz="0" w:space="0" w:color="auto"/>
            <w:left w:val="none" w:sz="0" w:space="0" w:color="auto"/>
            <w:bottom w:val="none" w:sz="0" w:space="0" w:color="auto"/>
            <w:right w:val="none" w:sz="0" w:space="0" w:color="auto"/>
          </w:divBdr>
        </w:div>
        <w:div w:id="290209471">
          <w:marLeft w:val="640"/>
          <w:marRight w:val="0"/>
          <w:marTop w:val="0"/>
          <w:marBottom w:val="0"/>
          <w:divBdr>
            <w:top w:val="none" w:sz="0" w:space="0" w:color="auto"/>
            <w:left w:val="none" w:sz="0" w:space="0" w:color="auto"/>
            <w:bottom w:val="none" w:sz="0" w:space="0" w:color="auto"/>
            <w:right w:val="none" w:sz="0" w:space="0" w:color="auto"/>
          </w:divBdr>
        </w:div>
        <w:div w:id="833186067">
          <w:marLeft w:val="640"/>
          <w:marRight w:val="0"/>
          <w:marTop w:val="0"/>
          <w:marBottom w:val="0"/>
          <w:divBdr>
            <w:top w:val="none" w:sz="0" w:space="0" w:color="auto"/>
            <w:left w:val="none" w:sz="0" w:space="0" w:color="auto"/>
            <w:bottom w:val="none" w:sz="0" w:space="0" w:color="auto"/>
            <w:right w:val="none" w:sz="0" w:space="0" w:color="auto"/>
          </w:divBdr>
        </w:div>
        <w:div w:id="579678543">
          <w:marLeft w:val="640"/>
          <w:marRight w:val="0"/>
          <w:marTop w:val="0"/>
          <w:marBottom w:val="0"/>
          <w:divBdr>
            <w:top w:val="none" w:sz="0" w:space="0" w:color="auto"/>
            <w:left w:val="none" w:sz="0" w:space="0" w:color="auto"/>
            <w:bottom w:val="none" w:sz="0" w:space="0" w:color="auto"/>
            <w:right w:val="none" w:sz="0" w:space="0" w:color="auto"/>
          </w:divBdr>
        </w:div>
        <w:div w:id="812067629">
          <w:marLeft w:val="640"/>
          <w:marRight w:val="0"/>
          <w:marTop w:val="0"/>
          <w:marBottom w:val="0"/>
          <w:divBdr>
            <w:top w:val="none" w:sz="0" w:space="0" w:color="auto"/>
            <w:left w:val="none" w:sz="0" w:space="0" w:color="auto"/>
            <w:bottom w:val="none" w:sz="0" w:space="0" w:color="auto"/>
            <w:right w:val="none" w:sz="0" w:space="0" w:color="auto"/>
          </w:divBdr>
        </w:div>
        <w:div w:id="1860503508">
          <w:marLeft w:val="640"/>
          <w:marRight w:val="0"/>
          <w:marTop w:val="0"/>
          <w:marBottom w:val="0"/>
          <w:divBdr>
            <w:top w:val="none" w:sz="0" w:space="0" w:color="auto"/>
            <w:left w:val="none" w:sz="0" w:space="0" w:color="auto"/>
            <w:bottom w:val="none" w:sz="0" w:space="0" w:color="auto"/>
            <w:right w:val="none" w:sz="0" w:space="0" w:color="auto"/>
          </w:divBdr>
        </w:div>
        <w:div w:id="1647204241">
          <w:marLeft w:val="640"/>
          <w:marRight w:val="0"/>
          <w:marTop w:val="0"/>
          <w:marBottom w:val="0"/>
          <w:divBdr>
            <w:top w:val="none" w:sz="0" w:space="0" w:color="auto"/>
            <w:left w:val="none" w:sz="0" w:space="0" w:color="auto"/>
            <w:bottom w:val="none" w:sz="0" w:space="0" w:color="auto"/>
            <w:right w:val="none" w:sz="0" w:space="0" w:color="auto"/>
          </w:divBdr>
        </w:div>
        <w:div w:id="47193209">
          <w:marLeft w:val="640"/>
          <w:marRight w:val="0"/>
          <w:marTop w:val="0"/>
          <w:marBottom w:val="0"/>
          <w:divBdr>
            <w:top w:val="none" w:sz="0" w:space="0" w:color="auto"/>
            <w:left w:val="none" w:sz="0" w:space="0" w:color="auto"/>
            <w:bottom w:val="none" w:sz="0" w:space="0" w:color="auto"/>
            <w:right w:val="none" w:sz="0" w:space="0" w:color="auto"/>
          </w:divBdr>
        </w:div>
        <w:div w:id="1601528999">
          <w:marLeft w:val="640"/>
          <w:marRight w:val="0"/>
          <w:marTop w:val="0"/>
          <w:marBottom w:val="0"/>
          <w:divBdr>
            <w:top w:val="none" w:sz="0" w:space="0" w:color="auto"/>
            <w:left w:val="none" w:sz="0" w:space="0" w:color="auto"/>
            <w:bottom w:val="none" w:sz="0" w:space="0" w:color="auto"/>
            <w:right w:val="none" w:sz="0" w:space="0" w:color="auto"/>
          </w:divBdr>
        </w:div>
        <w:div w:id="128325128">
          <w:marLeft w:val="640"/>
          <w:marRight w:val="0"/>
          <w:marTop w:val="0"/>
          <w:marBottom w:val="0"/>
          <w:divBdr>
            <w:top w:val="none" w:sz="0" w:space="0" w:color="auto"/>
            <w:left w:val="none" w:sz="0" w:space="0" w:color="auto"/>
            <w:bottom w:val="none" w:sz="0" w:space="0" w:color="auto"/>
            <w:right w:val="none" w:sz="0" w:space="0" w:color="auto"/>
          </w:divBdr>
        </w:div>
        <w:div w:id="1251231694">
          <w:marLeft w:val="640"/>
          <w:marRight w:val="0"/>
          <w:marTop w:val="0"/>
          <w:marBottom w:val="0"/>
          <w:divBdr>
            <w:top w:val="none" w:sz="0" w:space="0" w:color="auto"/>
            <w:left w:val="none" w:sz="0" w:space="0" w:color="auto"/>
            <w:bottom w:val="none" w:sz="0" w:space="0" w:color="auto"/>
            <w:right w:val="none" w:sz="0" w:space="0" w:color="auto"/>
          </w:divBdr>
        </w:div>
        <w:div w:id="969090494">
          <w:marLeft w:val="640"/>
          <w:marRight w:val="0"/>
          <w:marTop w:val="0"/>
          <w:marBottom w:val="0"/>
          <w:divBdr>
            <w:top w:val="none" w:sz="0" w:space="0" w:color="auto"/>
            <w:left w:val="none" w:sz="0" w:space="0" w:color="auto"/>
            <w:bottom w:val="none" w:sz="0" w:space="0" w:color="auto"/>
            <w:right w:val="none" w:sz="0" w:space="0" w:color="auto"/>
          </w:divBdr>
        </w:div>
        <w:div w:id="2119566864">
          <w:marLeft w:val="640"/>
          <w:marRight w:val="0"/>
          <w:marTop w:val="0"/>
          <w:marBottom w:val="0"/>
          <w:divBdr>
            <w:top w:val="none" w:sz="0" w:space="0" w:color="auto"/>
            <w:left w:val="none" w:sz="0" w:space="0" w:color="auto"/>
            <w:bottom w:val="none" w:sz="0" w:space="0" w:color="auto"/>
            <w:right w:val="none" w:sz="0" w:space="0" w:color="auto"/>
          </w:divBdr>
        </w:div>
        <w:div w:id="542207780">
          <w:marLeft w:val="640"/>
          <w:marRight w:val="0"/>
          <w:marTop w:val="0"/>
          <w:marBottom w:val="0"/>
          <w:divBdr>
            <w:top w:val="none" w:sz="0" w:space="0" w:color="auto"/>
            <w:left w:val="none" w:sz="0" w:space="0" w:color="auto"/>
            <w:bottom w:val="none" w:sz="0" w:space="0" w:color="auto"/>
            <w:right w:val="none" w:sz="0" w:space="0" w:color="auto"/>
          </w:divBdr>
        </w:div>
        <w:div w:id="1857766169">
          <w:marLeft w:val="640"/>
          <w:marRight w:val="0"/>
          <w:marTop w:val="0"/>
          <w:marBottom w:val="0"/>
          <w:divBdr>
            <w:top w:val="none" w:sz="0" w:space="0" w:color="auto"/>
            <w:left w:val="none" w:sz="0" w:space="0" w:color="auto"/>
            <w:bottom w:val="none" w:sz="0" w:space="0" w:color="auto"/>
            <w:right w:val="none" w:sz="0" w:space="0" w:color="auto"/>
          </w:divBdr>
        </w:div>
        <w:div w:id="660546713">
          <w:marLeft w:val="640"/>
          <w:marRight w:val="0"/>
          <w:marTop w:val="0"/>
          <w:marBottom w:val="0"/>
          <w:divBdr>
            <w:top w:val="none" w:sz="0" w:space="0" w:color="auto"/>
            <w:left w:val="none" w:sz="0" w:space="0" w:color="auto"/>
            <w:bottom w:val="none" w:sz="0" w:space="0" w:color="auto"/>
            <w:right w:val="none" w:sz="0" w:space="0" w:color="auto"/>
          </w:divBdr>
        </w:div>
        <w:div w:id="58139887">
          <w:marLeft w:val="640"/>
          <w:marRight w:val="0"/>
          <w:marTop w:val="0"/>
          <w:marBottom w:val="0"/>
          <w:divBdr>
            <w:top w:val="none" w:sz="0" w:space="0" w:color="auto"/>
            <w:left w:val="none" w:sz="0" w:space="0" w:color="auto"/>
            <w:bottom w:val="none" w:sz="0" w:space="0" w:color="auto"/>
            <w:right w:val="none" w:sz="0" w:space="0" w:color="auto"/>
          </w:divBdr>
        </w:div>
        <w:div w:id="1898590572">
          <w:marLeft w:val="640"/>
          <w:marRight w:val="0"/>
          <w:marTop w:val="0"/>
          <w:marBottom w:val="0"/>
          <w:divBdr>
            <w:top w:val="none" w:sz="0" w:space="0" w:color="auto"/>
            <w:left w:val="none" w:sz="0" w:space="0" w:color="auto"/>
            <w:bottom w:val="none" w:sz="0" w:space="0" w:color="auto"/>
            <w:right w:val="none" w:sz="0" w:space="0" w:color="auto"/>
          </w:divBdr>
        </w:div>
        <w:div w:id="15278157">
          <w:marLeft w:val="640"/>
          <w:marRight w:val="0"/>
          <w:marTop w:val="0"/>
          <w:marBottom w:val="0"/>
          <w:divBdr>
            <w:top w:val="none" w:sz="0" w:space="0" w:color="auto"/>
            <w:left w:val="none" w:sz="0" w:space="0" w:color="auto"/>
            <w:bottom w:val="none" w:sz="0" w:space="0" w:color="auto"/>
            <w:right w:val="none" w:sz="0" w:space="0" w:color="auto"/>
          </w:divBdr>
        </w:div>
        <w:div w:id="1104611381">
          <w:marLeft w:val="640"/>
          <w:marRight w:val="0"/>
          <w:marTop w:val="0"/>
          <w:marBottom w:val="0"/>
          <w:divBdr>
            <w:top w:val="none" w:sz="0" w:space="0" w:color="auto"/>
            <w:left w:val="none" w:sz="0" w:space="0" w:color="auto"/>
            <w:bottom w:val="none" w:sz="0" w:space="0" w:color="auto"/>
            <w:right w:val="none" w:sz="0" w:space="0" w:color="auto"/>
          </w:divBdr>
        </w:div>
        <w:div w:id="1958872171">
          <w:marLeft w:val="640"/>
          <w:marRight w:val="0"/>
          <w:marTop w:val="0"/>
          <w:marBottom w:val="0"/>
          <w:divBdr>
            <w:top w:val="none" w:sz="0" w:space="0" w:color="auto"/>
            <w:left w:val="none" w:sz="0" w:space="0" w:color="auto"/>
            <w:bottom w:val="none" w:sz="0" w:space="0" w:color="auto"/>
            <w:right w:val="none" w:sz="0" w:space="0" w:color="auto"/>
          </w:divBdr>
        </w:div>
        <w:div w:id="2055041567">
          <w:marLeft w:val="640"/>
          <w:marRight w:val="0"/>
          <w:marTop w:val="0"/>
          <w:marBottom w:val="0"/>
          <w:divBdr>
            <w:top w:val="none" w:sz="0" w:space="0" w:color="auto"/>
            <w:left w:val="none" w:sz="0" w:space="0" w:color="auto"/>
            <w:bottom w:val="none" w:sz="0" w:space="0" w:color="auto"/>
            <w:right w:val="none" w:sz="0" w:space="0" w:color="auto"/>
          </w:divBdr>
        </w:div>
        <w:div w:id="982393156">
          <w:marLeft w:val="640"/>
          <w:marRight w:val="0"/>
          <w:marTop w:val="0"/>
          <w:marBottom w:val="0"/>
          <w:divBdr>
            <w:top w:val="none" w:sz="0" w:space="0" w:color="auto"/>
            <w:left w:val="none" w:sz="0" w:space="0" w:color="auto"/>
            <w:bottom w:val="none" w:sz="0" w:space="0" w:color="auto"/>
            <w:right w:val="none" w:sz="0" w:space="0" w:color="auto"/>
          </w:divBdr>
        </w:div>
        <w:div w:id="845248861">
          <w:marLeft w:val="640"/>
          <w:marRight w:val="0"/>
          <w:marTop w:val="0"/>
          <w:marBottom w:val="0"/>
          <w:divBdr>
            <w:top w:val="none" w:sz="0" w:space="0" w:color="auto"/>
            <w:left w:val="none" w:sz="0" w:space="0" w:color="auto"/>
            <w:bottom w:val="none" w:sz="0" w:space="0" w:color="auto"/>
            <w:right w:val="none" w:sz="0" w:space="0" w:color="auto"/>
          </w:divBdr>
        </w:div>
        <w:div w:id="512763357">
          <w:marLeft w:val="640"/>
          <w:marRight w:val="0"/>
          <w:marTop w:val="0"/>
          <w:marBottom w:val="0"/>
          <w:divBdr>
            <w:top w:val="none" w:sz="0" w:space="0" w:color="auto"/>
            <w:left w:val="none" w:sz="0" w:space="0" w:color="auto"/>
            <w:bottom w:val="none" w:sz="0" w:space="0" w:color="auto"/>
            <w:right w:val="none" w:sz="0" w:space="0" w:color="auto"/>
          </w:divBdr>
        </w:div>
        <w:div w:id="431240013">
          <w:marLeft w:val="640"/>
          <w:marRight w:val="0"/>
          <w:marTop w:val="0"/>
          <w:marBottom w:val="0"/>
          <w:divBdr>
            <w:top w:val="none" w:sz="0" w:space="0" w:color="auto"/>
            <w:left w:val="none" w:sz="0" w:space="0" w:color="auto"/>
            <w:bottom w:val="none" w:sz="0" w:space="0" w:color="auto"/>
            <w:right w:val="none" w:sz="0" w:space="0" w:color="auto"/>
          </w:divBdr>
        </w:div>
        <w:div w:id="469791741">
          <w:marLeft w:val="640"/>
          <w:marRight w:val="0"/>
          <w:marTop w:val="0"/>
          <w:marBottom w:val="0"/>
          <w:divBdr>
            <w:top w:val="none" w:sz="0" w:space="0" w:color="auto"/>
            <w:left w:val="none" w:sz="0" w:space="0" w:color="auto"/>
            <w:bottom w:val="none" w:sz="0" w:space="0" w:color="auto"/>
            <w:right w:val="none" w:sz="0" w:space="0" w:color="auto"/>
          </w:divBdr>
        </w:div>
        <w:div w:id="1595431262">
          <w:marLeft w:val="640"/>
          <w:marRight w:val="0"/>
          <w:marTop w:val="0"/>
          <w:marBottom w:val="0"/>
          <w:divBdr>
            <w:top w:val="none" w:sz="0" w:space="0" w:color="auto"/>
            <w:left w:val="none" w:sz="0" w:space="0" w:color="auto"/>
            <w:bottom w:val="none" w:sz="0" w:space="0" w:color="auto"/>
            <w:right w:val="none" w:sz="0" w:space="0" w:color="auto"/>
          </w:divBdr>
        </w:div>
        <w:div w:id="2094932250">
          <w:marLeft w:val="640"/>
          <w:marRight w:val="0"/>
          <w:marTop w:val="0"/>
          <w:marBottom w:val="0"/>
          <w:divBdr>
            <w:top w:val="none" w:sz="0" w:space="0" w:color="auto"/>
            <w:left w:val="none" w:sz="0" w:space="0" w:color="auto"/>
            <w:bottom w:val="none" w:sz="0" w:space="0" w:color="auto"/>
            <w:right w:val="none" w:sz="0" w:space="0" w:color="auto"/>
          </w:divBdr>
        </w:div>
        <w:div w:id="1936860870">
          <w:marLeft w:val="640"/>
          <w:marRight w:val="0"/>
          <w:marTop w:val="0"/>
          <w:marBottom w:val="0"/>
          <w:divBdr>
            <w:top w:val="none" w:sz="0" w:space="0" w:color="auto"/>
            <w:left w:val="none" w:sz="0" w:space="0" w:color="auto"/>
            <w:bottom w:val="none" w:sz="0" w:space="0" w:color="auto"/>
            <w:right w:val="none" w:sz="0" w:space="0" w:color="auto"/>
          </w:divBdr>
        </w:div>
        <w:div w:id="493767009">
          <w:marLeft w:val="640"/>
          <w:marRight w:val="0"/>
          <w:marTop w:val="0"/>
          <w:marBottom w:val="0"/>
          <w:divBdr>
            <w:top w:val="none" w:sz="0" w:space="0" w:color="auto"/>
            <w:left w:val="none" w:sz="0" w:space="0" w:color="auto"/>
            <w:bottom w:val="none" w:sz="0" w:space="0" w:color="auto"/>
            <w:right w:val="none" w:sz="0" w:space="0" w:color="auto"/>
          </w:divBdr>
        </w:div>
        <w:div w:id="643700072">
          <w:marLeft w:val="640"/>
          <w:marRight w:val="0"/>
          <w:marTop w:val="0"/>
          <w:marBottom w:val="0"/>
          <w:divBdr>
            <w:top w:val="none" w:sz="0" w:space="0" w:color="auto"/>
            <w:left w:val="none" w:sz="0" w:space="0" w:color="auto"/>
            <w:bottom w:val="none" w:sz="0" w:space="0" w:color="auto"/>
            <w:right w:val="none" w:sz="0" w:space="0" w:color="auto"/>
          </w:divBdr>
        </w:div>
        <w:div w:id="1313831944">
          <w:marLeft w:val="640"/>
          <w:marRight w:val="0"/>
          <w:marTop w:val="0"/>
          <w:marBottom w:val="0"/>
          <w:divBdr>
            <w:top w:val="none" w:sz="0" w:space="0" w:color="auto"/>
            <w:left w:val="none" w:sz="0" w:space="0" w:color="auto"/>
            <w:bottom w:val="none" w:sz="0" w:space="0" w:color="auto"/>
            <w:right w:val="none" w:sz="0" w:space="0" w:color="auto"/>
          </w:divBdr>
        </w:div>
        <w:div w:id="1578978454">
          <w:marLeft w:val="640"/>
          <w:marRight w:val="0"/>
          <w:marTop w:val="0"/>
          <w:marBottom w:val="0"/>
          <w:divBdr>
            <w:top w:val="none" w:sz="0" w:space="0" w:color="auto"/>
            <w:left w:val="none" w:sz="0" w:space="0" w:color="auto"/>
            <w:bottom w:val="none" w:sz="0" w:space="0" w:color="auto"/>
            <w:right w:val="none" w:sz="0" w:space="0" w:color="auto"/>
          </w:divBdr>
        </w:div>
        <w:div w:id="579949530">
          <w:marLeft w:val="640"/>
          <w:marRight w:val="0"/>
          <w:marTop w:val="0"/>
          <w:marBottom w:val="0"/>
          <w:divBdr>
            <w:top w:val="none" w:sz="0" w:space="0" w:color="auto"/>
            <w:left w:val="none" w:sz="0" w:space="0" w:color="auto"/>
            <w:bottom w:val="none" w:sz="0" w:space="0" w:color="auto"/>
            <w:right w:val="none" w:sz="0" w:space="0" w:color="auto"/>
          </w:divBdr>
        </w:div>
        <w:div w:id="2044280018">
          <w:marLeft w:val="640"/>
          <w:marRight w:val="0"/>
          <w:marTop w:val="0"/>
          <w:marBottom w:val="0"/>
          <w:divBdr>
            <w:top w:val="none" w:sz="0" w:space="0" w:color="auto"/>
            <w:left w:val="none" w:sz="0" w:space="0" w:color="auto"/>
            <w:bottom w:val="none" w:sz="0" w:space="0" w:color="auto"/>
            <w:right w:val="none" w:sz="0" w:space="0" w:color="auto"/>
          </w:divBdr>
        </w:div>
        <w:div w:id="1844123344">
          <w:marLeft w:val="640"/>
          <w:marRight w:val="0"/>
          <w:marTop w:val="0"/>
          <w:marBottom w:val="0"/>
          <w:divBdr>
            <w:top w:val="none" w:sz="0" w:space="0" w:color="auto"/>
            <w:left w:val="none" w:sz="0" w:space="0" w:color="auto"/>
            <w:bottom w:val="none" w:sz="0" w:space="0" w:color="auto"/>
            <w:right w:val="none" w:sz="0" w:space="0" w:color="auto"/>
          </w:divBdr>
        </w:div>
        <w:div w:id="826900220">
          <w:marLeft w:val="640"/>
          <w:marRight w:val="0"/>
          <w:marTop w:val="0"/>
          <w:marBottom w:val="0"/>
          <w:divBdr>
            <w:top w:val="none" w:sz="0" w:space="0" w:color="auto"/>
            <w:left w:val="none" w:sz="0" w:space="0" w:color="auto"/>
            <w:bottom w:val="none" w:sz="0" w:space="0" w:color="auto"/>
            <w:right w:val="none" w:sz="0" w:space="0" w:color="auto"/>
          </w:divBdr>
        </w:div>
        <w:div w:id="684402238">
          <w:marLeft w:val="640"/>
          <w:marRight w:val="0"/>
          <w:marTop w:val="0"/>
          <w:marBottom w:val="0"/>
          <w:divBdr>
            <w:top w:val="none" w:sz="0" w:space="0" w:color="auto"/>
            <w:left w:val="none" w:sz="0" w:space="0" w:color="auto"/>
            <w:bottom w:val="none" w:sz="0" w:space="0" w:color="auto"/>
            <w:right w:val="none" w:sz="0" w:space="0" w:color="auto"/>
          </w:divBdr>
        </w:div>
        <w:div w:id="600995421">
          <w:marLeft w:val="640"/>
          <w:marRight w:val="0"/>
          <w:marTop w:val="0"/>
          <w:marBottom w:val="0"/>
          <w:divBdr>
            <w:top w:val="none" w:sz="0" w:space="0" w:color="auto"/>
            <w:left w:val="none" w:sz="0" w:space="0" w:color="auto"/>
            <w:bottom w:val="none" w:sz="0" w:space="0" w:color="auto"/>
            <w:right w:val="none" w:sz="0" w:space="0" w:color="auto"/>
          </w:divBdr>
        </w:div>
        <w:div w:id="2045985350">
          <w:marLeft w:val="640"/>
          <w:marRight w:val="0"/>
          <w:marTop w:val="0"/>
          <w:marBottom w:val="0"/>
          <w:divBdr>
            <w:top w:val="none" w:sz="0" w:space="0" w:color="auto"/>
            <w:left w:val="none" w:sz="0" w:space="0" w:color="auto"/>
            <w:bottom w:val="none" w:sz="0" w:space="0" w:color="auto"/>
            <w:right w:val="none" w:sz="0" w:space="0" w:color="auto"/>
          </w:divBdr>
        </w:div>
        <w:div w:id="577791133">
          <w:marLeft w:val="640"/>
          <w:marRight w:val="0"/>
          <w:marTop w:val="0"/>
          <w:marBottom w:val="0"/>
          <w:divBdr>
            <w:top w:val="none" w:sz="0" w:space="0" w:color="auto"/>
            <w:left w:val="none" w:sz="0" w:space="0" w:color="auto"/>
            <w:bottom w:val="none" w:sz="0" w:space="0" w:color="auto"/>
            <w:right w:val="none" w:sz="0" w:space="0" w:color="auto"/>
          </w:divBdr>
        </w:div>
        <w:div w:id="2092390883">
          <w:marLeft w:val="640"/>
          <w:marRight w:val="0"/>
          <w:marTop w:val="0"/>
          <w:marBottom w:val="0"/>
          <w:divBdr>
            <w:top w:val="none" w:sz="0" w:space="0" w:color="auto"/>
            <w:left w:val="none" w:sz="0" w:space="0" w:color="auto"/>
            <w:bottom w:val="none" w:sz="0" w:space="0" w:color="auto"/>
            <w:right w:val="none" w:sz="0" w:space="0" w:color="auto"/>
          </w:divBdr>
        </w:div>
        <w:div w:id="2072774861">
          <w:marLeft w:val="640"/>
          <w:marRight w:val="0"/>
          <w:marTop w:val="0"/>
          <w:marBottom w:val="0"/>
          <w:divBdr>
            <w:top w:val="none" w:sz="0" w:space="0" w:color="auto"/>
            <w:left w:val="none" w:sz="0" w:space="0" w:color="auto"/>
            <w:bottom w:val="none" w:sz="0" w:space="0" w:color="auto"/>
            <w:right w:val="none" w:sz="0" w:space="0" w:color="auto"/>
          </w:divBdr>
        </w:div>
        <w:div w:id="526800214">
          <w:marLeft w:val="640"/>
          <w:marRight w:val="0"/>
          <w:marTop w:val="0"/>
          <w:marBottom w:val="0"/>
          <w:divBdr>
            <w:top w:val="none" w:sz="0" w:space="0" w:color="auto"/>
            <w:left w:val="none" w:sz="0" w:space="0" w:color="auto"/>
            <w:bottom w:val="none" w:sz="0" w:space="0" w:color="auto"/>
            <w:right w:val="none" w:sz="0" w:space="0" w:color="auto"/>
          </w:divBdr>
        </w:div>
        <w:div w:id="1405109574">
          <w:marLeft w:val="640"/>
          <w:marRight w:val="0"/>
          <w:marTop w:val="0"/>
          <w:marBottom w:val="0"/>
          <w:divBdr>
            <w:top w:val="none" w:sz="0" w:space="0" w:color="auto"/>
            <w:left w:val="none" w:sz="0" w:space="0" w:color="auto"/>
            <w:bottom w:val="none" w:sz="0" w:space="0" w:color="auto"/>
            <w:right w:val="none" w:sz="0" w:space="0" w:color="auto"/>
          </w:divBdr>
        </w:div>
        <w:div w:id="640118093">
          <w:marLeft w:val="640"/>
          <w:marRight w:val="0"/>
          <w:marTop w:val="0"/>
          <w:marBottom w:val="0"/>
          <w:divBdr>
            <w:top w:val="none" w:sz="0" w:space="0" w:color="auto"/>
            <w:left w:val="none" w:sz="0" w:space="0" w:color="auto"/>
            <w:bottom w:val="none" w:sz="0" w:space="0" w:color="auto"/>
            <w:right w:val="none" w:sz="0" w:space="0" w:color="auto"/>
          </w:divBdr>
        </w:div>
        <w:div w:id="1476600175">
          <w:marLeft w:val="640"/>
          <w:marRight w:val="0"/>
          <w:marTop w:val="0"/>
          <w:marBottom w:val="0"/>
          <w:divBdr>
            <w:top w:val="none" w:sz="0" w:space="0" w:color="auto"/>
            <w:left w:val="none" w:sz="0" w:space="0" w:color="auto"/>
            <w:bottom w:val="none" w:sz="0" w:space="0" w:color="auto"/>
            <w:right w:val="none" w:sz="0" w:space="0" w:color="auto"/>
          </w:divBdr>
        </w:div>
        <w:div w:id="714501224">
          <w:marLeft w:val="640"/>
          <w:marRight w:val="0"/>
          <w:marTop w:val="0"/>
          <w:marBottom w:val="0"/>
          <w:divBdr>
            <w:top w:val="none" w:sz="0" w:space="0" w:color="auto"/>
            <w:left w:val="none" w:sz="0" w:space="0" w:color="auto"/>
            <w:bottom w:val="none" w:sz="0" w:space="0" w:color="auto"/>
            <w:right w:val="none" w:sz="0" w:space="0" w:color="auto"/>
          </w:divBdr>
        </w:div>
        <w:div w:id="14504720">
          <w:marLeft w:val="640"/>
          <w:marRight w:val="0"/>
          <w:marTop w:val="0"/>
          <w:marBottom w:val="0"/>
          <w:divBdr>
            <w:top w:val="none" w:sz="0" w:space="0" w:color="auto"/>
            <w:left w:val="none" w:sz="0" w:space="0" w:color="auto"/>
            <w:bottom w:val="none" w:sz="0" w:space="0" w:color="auto"/>
            <w:right w:val="none" w:sz="0" w:space="0" w:color="auto"/>
          </w:divBdr>
        </w:div>
        <w:div w:id="460925276">
          <w:marLeft w:val="640"/>
          <w:marRight w:val="0"/>
          <w:marTop w:val="0"/>
          <w:marBottom w:val="0"/>
          <w:divBdr>
            <w:top w:val="none" w:sz="0" w:space="0" w:color="auto"/>
            <w:left w:val="none" w:sz="0" w:space="0" w:color="auto"/>
            <w:bottom w:val="none" w:sz="0" w:space="0" w:color="auto"/>
            <w:right w:val="none" w:sz="0" w:space="0" w:color="auto"/>
          </w:divBdr>
        </w:div>
        <w:div w:id="1116296021">
          <w:marLeft w:val="640"/>
          <w:marRight w:val="0"/>
          <w:marTop w:val="0"/>
          <w:marBottom w:val="0"/>
          <w:divBdr>
            <w:top w:val="none" w:sz="0" w:space="0" w:color="auto"/>
            <w:left w:val="none" w:sz="0" w:space="0" w:color="auto"/>
            <w:bottom w:val="none" w:sz="0" w:space="0" w:color="auto"/>
            <w:right w:val="none" w:sz="0" w:space="0" w:color="auto"/>
          </w:divBdr>
        </w:div>
        <w:div w:id="160968860">
          <w:marLeft w:val="640"/>
          <w:marRight w:val="0"/>
          <w:marTop w:val="0"/>
          <w:marBottom w:val="0"/>
          <w:divBdr>
            <w:top w:val="none" w:sz="0" w:space="0" w:color="auto"/>
            <w:left w:val="none" w:sz="0" w:space="0" w:color="auto"/>
            <w:bottom w:val="none" w:sz="0" w:space="0" w:color="auto"/>
            <w:right w:val="none" w:sz="0" w:space="0" w:color="auto"/>
          </w:divBdr>
        </w:div>
        <w:div w:id="1630551435">
          <w:marLeft w:val="640"/>
          <w:marRight w:val="0"/>
          <w:marTop w:val="0"/>
          <w:marBottom w:val="0"/>
          <w:divBdr>
            <w:top w:val="none" w:sz="0" w:space="0" w:color="auto"/>
            <w:left w:val="none" w:sz="0" w:space="0" w:color="auto"/>
            <w:bottom w:val="none" w:sz="0" w:space="0" w:color="auto"/>
            <w:right w:val="none" w:sz="0" w:space="0" w:color="auto"/>
          </w:divBdr>
        </w:div>
        <w:div w:id="109518431">
          <w:marLeft w:val="640"/>
          <w:marRight w:val="0"/>
          <w:marTop w:val="0"/>
          <w:marBottom w:val="0"/>
          <w:divBdr>
            <w:top w:val="none" w:sz="0" w:space="0" w:color="auto"/>
            <w:left w:val="none" w:sz="0" w:space="0" w:color="auto"/>
            <w:bottom w:val="none" w:sz="0" w:space="0" w:color="auto"/>
            <w:right w:val="none" w:sz="0" w:space="0" w:color="auto"/>
          </w:divBdr>
        </w:div>
        <w:div w:id="676999148">
          <w:marLeft w:val="640"/>
          <w:marRight w:val="0"/>
          <w:marTop w:val="0"/>
          <w:marBottom w:val="0"/>
          <w:divBdr>
            <w:top w:val="none" w:sz="0" w:space="0" w:color="auto"/>
            <w:left w:val="none" w:sz="0" w:space="0" w:color="auto"/>
            <w:bottom w:val="none" w:sz="0" w:space="0" w:color="auto"/>
            <w:right w:val="none" w:sz="0" w:space="0" w:color="auto"/>
          </w:divBdr>
        </w:div>
        <w:div w:id="62342414">
          <w:marLeft w:val="640"/>
          <w:marRight w:val="0"/>
          <w:marTop w:val="0"/>
          <w:marBottom w:val="0"/>
          <w:divBdr>
            <w:top w:val="none" w:sz="0" w:space="0" w:color="auto"/>
            <w:left w:val="none" w:sz="0" w:space="0" w:color="auto"/>
            <w:bottom w:val="none" w:sz="0" w:space="0" w:color="auto"/>
            <w:right w:val="none" w:sz="0" w:space="0" w:color="auto"/>
          </w:divBdr>
        </w:div>
        <w:div w:id="1343899959">
          <w:marLeft w:val="640"/>
          <w:marRight w:val="0"/>
          <w:marTop w:val="0"/>
          <w:marBottom w:val="0"/>
          <w:divBdr>
            <w:top w:val="none" w:sz="0" w:space="0" w:color="auto"/>
            <w:left w:val="none" w:sz="0" w:space="0" w:color="auto"/>
            <w:bottom w:val="none" w:sz="0" w:space="0" w:color="auto"/>
            <w:right w:val="none" w:sz="0" w:space="0" w:color="auto"/>
          </w:divBdr>
        </w:div>
        <w:div w:id="1862085578">
          <w:marLeft w:val="640"/>
          <w:marRight w:val="0"/>
          <w:marTop w:val="0"/>
          <w:marBottom w:val="0"/>
          <w:divBdr>
            <w:top w:val="none" w:sz="0" w:space="0" w:color="auto"/>
            <w:left w:val="none" w:sz="0" w:space="0" w:color="auto"/>
            <w:bottom w:val="none" w:sz="0" w:space="0" w:color="auto"/>
            <w:right w:val="none" w:sz="0" w:space="0" w:color="auto"/>
          </w:divBdr>
        </w:div>
        <w:div w:id="2054500325">
          <w:marLeft w:val="640"/>
          <w:marRight w:val="0"/>
          <w:marTop w:val="0"/>
          <w:marBottom w:val="0"/>
          <w:divBdr>
            <w:top w:val="none" w:sz="0" w:space="0" w:color="auto"/>
            <w:left w:val="none" w:sz="0" w:space="0" w:color="auto"/>
            <w:bottom w:val="none" w:sz="0" w:space="0" w:color="auto"/>
            <w:right w:val="none" w:sz="0" w:space="0" w:color="auto"/>
          </w:divBdr>
        </w:div>
        <w:div w:id="1752578348">
          <w:marLeft w:val="640"/>
          <w:marRight w:val="0"/>
          <w:marTop w:val="0"/>
          <w:marBottom w:val="0"/>
          <w:divBdr>
            <w:top w:val="none" w:sz="0" w:space="0" w:color="auto"/>
            <w:left w:val="none" w:sz="0" w:space="0" w:color="auto"/>
            <w:bottom w:val="none" w:sz="0" w:space="0" w:color="auto"/>
            <w:right w:val="none" w:sz="0" w:space="0" w:color="auto"/>
          </w:divBdr>
        </w:div>
        <w:div w:id="1649818982">
          <w:marLeft w:val="640"/>
          <w:marRight w:val="0"/>
          <w:marTop w:val="0"/>
          <w:marBottom w:val="0"/>
          <w:divBdr>
            <w:top w:val="none" w:sz="0" w:space="0" w:color="auto"/>
            <w:left w:val="none" w:sz="0" w:space="0" w:color="auto"/>
            <w:bottom w:val="none" w:sz="0" w:space="0" w:color="auto"/>
            <w:right w:val="none" w:sz="0" w:space="0" w:color="auto"/>
          </w:divBdr>
        </w:div>
        <w:div w:id="168763097">
          <w:marLeft w:val="640"/>
          <w:marRight w:val="0"/>
          <w:marTop w:val="0"/>
          <w:marBottom w:val="0"/>
          <w:divBdr>
            <w:top w:val="none" w:sz="0" w:space="0" w:color="auto"/>
            <w:left w:val="none" w:sz="0" w:space="0" w:color="auto"/>
            <w:bottom w:val="none" w:sz="0" w:space="0" w:color="auto"/>
            <w:right w:val="none" w:sz="0" w:space="0" w:color="auto"/>
          </w:divBdr>
        </w:div>
        <w:div w:id="2145655788">
          <w:marLeft w:val="640"/>
          <w:marRight w:val="0"/>
          <w:marTop w:val="0"/>
          <w:marBottom w:val="0"/>
          <w:divBdr>
            <w:top w:val="none" w:sz="0" w:space="0" w:color="auto"/>
            <w:left w:val="none" w:sz="0" w:space="0" w:color="auto"/>
            <w:bottom w:val="none" w:sz="0" w:space="0" w:color="auto"/>
            <w:right w:val="none" w:sz="0" w:space="0" w:color="auto"/>
          </w:divBdr>
        </w:div>
        <w:div w:id="717322163">
          <w:marLeft w:val="640"/>
          <w:marRight w:val="0"/>
          <w:marTop w:val="0"/>
          <w:marBottom w:val="0"/>
          <w:divBdr>
            <w:top w:val="none" w:sz="0" w:space="0" w:color="auto"/>
            <w:left w:val="none" w:sz="0" w:space="0" w:color="auto"/>
            <w:bottom w:val="none" w:sz="0" w:space="0" w:color="auto"/>
            <w:right w:val="none" w:sz="0" w:space="0" w:color="auto"/>
          </w:divBdr>
        </w:div>
        <w:div w:id="764039762">
          <w:marLeft w:val="640"/>
          <w:marRight w:val="0"/>
          <w:marTop w:val="0"/>
          <w:marBottom w:val="0"/>
          <w:divBdr>
            <w:top w:val="none" w:sz="0" w:space="0" w:color="auto"/>
            <w:left w:val="none" w:sz="0" w:space="0" w:color="auto"/>
            <w:bottom w:val="none" w:sz="0" w:space="0" w:color="auto"/>
            <w:right w:val="none" w:sz="0" w:space="0" w:color="auto"/>
          </w:divBdr>
        </w:div>
        <w:div w:id="857087304">
          <w:marLeft w:val="640"/>
          <w:marRight w:val="0"/>
          <w:marTop w:val="0"/>
          <w:marBottom w:val="0"/>
          <w:divBdr>
            <w:top w:val="none" w:sz="0" w:space="0" w:color="auto"/>
            <w:left w:val="none" w:sz="0" w:space="0" w:color="auto"/>
            <w:bottom w:val="none" w:sz="0" w:space="0" w:color="auto"/>
            <w:right w:val="none" w:sz="0" w:space="0" w:color="auto"/>
          </w:divBdr>
        </w:div>
        <w:div w:id="1981231188">
          <w:marLeft w:val="640"/>
          <w:marRight w:val="0"/>
          <w:marTop w:val="0"/>
          <w:marBottom w:val="0"/>
          <w:divBdr>
            <w:top w:val="none" w:sz="0" w:space="0" w:color="auto"/>
            <w:left w:val="none" w:sz="0" w:space="0" w:color="auto"/>
            <w:bottom w:val="none" w:sz="0" w:space="0" w:color="auto"/>
            <w:right w:val="none" w:sz="0" w:space="0" w:color="auto"/>
          </w:divBdr>
        </w:div>
        <w:div w:id="613635034">
          <w:marLeft w:val="640"/>
          <w:marRight w:val="0"/>
          <w:marTop w:val="0"/>
          <w:marBottom w:val="0"/>
          <w:divBdr>
            <w:top w:val="none" w:sz="0" w:space="0" w:color="auto"/>
            <w:left w:val="none" w:sz="0" w:space="0" w:color="auto"/>
            <w:bottom w:val="none" w:sz="0" w:space="0" w:color="auto"/>
            <w:right w:val="none" w:sz="0" w:space="0" w:color="auto"/>
          </w:divBdr>
        </w:div>
        <w:div w:id="22443981">
          <w:marLeft w:val="640"/>
          <w:marRight w:val="0"/>
          <w:marTop w:val="0"/>
          <w:marBottom w:val="0"/>
          <w:divBdr>
            <w:top w:val="none" w:sz="0" w:space="0" w:color="auto"/>
            <w:left w:val="none" w:sz="0" w:space="0" w:color="auto"/>
            <w:bottom w:val="none" w:sz="0" w:space="0" w:color="auto"/>
            <w:right w:val="none" w:sz="0" w:space="0" w:color="auto"/>
          </w:divBdr>
        </w:div>
        <w:div w:id="588779795">
          <w:marLeft w:val="640"/>
          <w:marRight w:val="0"/>
          <w:marTop w:val="0"/>
          <w:marBottom w:val="0"/>
          <w:divBdr>
            <w:top w:val="none" w:sz="0" w:space="0" w:color="auto"/>
            <w:left w:val="none" w:sz="0" w:space="0" w:color="auto"/>
            <w:bottom w:val="none" w:sz="0" w:space="0" w:color="auto"/>
            <w:right w:val="none" w:sz="0" w:space="0" w:color="auto"/>
          </w:divBdr>
        </w:div>
        <w:div w:id="291323819">
          <w:marLeft w:val="640"/>
          <w:marRight w:val="0"/>
          <w:marTop w:val="0"/>
          <w:marBottom w:val="0"/>
          <w:divBdr>
            <w:top w:val="none" w:sz="0" w:space="0" w:color="auto"/>
            <w:left w:val="none" w:sz="0" w:space="0" w:color="auto"/>
            <w:bottom w:val="none" w:sz="0" w:space="0" w:color="auto"/>
            <w:right w:val="none" w:sz="0" w:space="0" w:color="auto"/>
          </w:divBdr>
        </w:div>
        <w:div w:id="720329390">
          <w:marLeft w:val="640"/>
          <w:marRight w:val="0"/>
          <w:marTop w:val="0"/>
          <w:marBottom w:val="0"/>
          <w:divBdr>
            <w:top w:val="none" w:sz="0" w:space="0" w:color="auto"/>
            <w:left w:val="none" w:sz="0" w:space="0" w:color="auto"/>
            <w:bottom w:val="none" w:sz="0" w:space="0" w:color="auto"/>
            <w:right w:val="none" w:sz="0" w:space="0" w:color="auto"/>
          </w:divBdr>
        </w:div>
        <w:div w:id="1708488827">
          <w:marLeft w:val="640"/>
          <w:marRight w:val="0"/>
          <w:marTop w:val="0"/>
          <w:marBottom w:val="0"/>
          <w:divBdr>
            <w:top w:val="none" w:sz="0" w:space="0" w:color="auto"/>
            <w:left w:val="none" w:sz="0" w:space="0" w:color="auto"/>
            <w:bottom w:val="none" w:sz="0" w:space="0" w:color="auto"/>
            <w:right w:val="none" w:sz="0" w:space="0" w:color="auto"/>
          </w:divBdr>
        </w:div>
        <w:div w:id="914629785">
          <w:marLeft w:val="640"/>
          <w:marRight w:val="0"/>
          <w:marTop w:val="0"/>
          <w:marBottom w:val="0"/>
          <w:divBdr>
            <w:top w:val="none" w:sz="0" w:space="0" w:color="auto"/>
            <w:left w:val="none" w:sz="0" w:space="0" w:color="auto"/>
            <w:bottom w:val="none" w:sz="0" w:space="0" w:color="auto"/>
            <w:right w:val="none" w:sz="0" w:space="0" w:color="auto"/>
          </w:divBdr>
        </w:div>
        <w:div w:id="217405001">
          <w:marLeft w:val="640"/>
          <w:marRight w:val="0"/>
          <w:marTop w:val="0"/>
          <w:marBottom w:val="0"/>
          <w:divBdr>
            <w:top w:val="none" w:sz="0" w:space="0" w:color="auto"/>
            <w:left w:val="none" w:sz="0" w:space="0" w:color="auto"/>
            <w:bottom w:val="none" w:sz="0" w:space="0" w:color="auto"/>
            <w:right w:val="none" w:sz="0" w:space="0" w:color="auto"/>
          </w:divBdr>
        </w:div>
        <w:div w:id="1135870592">
          <w:marLeft w:val="640"/>
          <w:marRight w:val="0"/>
          <w:marTop w:val="0"/>
          <w:marBottom w:val="0"/>
          <w:divBdr>
            <w:top w:val="none" w:sz="0" w:space="0" w:color="auto"/>
            <w:left w:val="none" w:sz="0" w:space="0" w:color="auto"/>
            <w:bottom w:val="none" w:sz="0" w:space="0" w:color="auto"/>
            <w:right w:val="none" w:sz="0" w:space="0" w:color="auto"/>
          </w:divBdr>
        </w:div>
        <w:div w:id="1817917367">
          <w:marLeft w:val="640"/>
          <w:marRight w:val="0"/>
          <w:marTop w:val="0"/>
          <w:marBottom w:val="0"/>
          <w:divBdr>
            <w:top w:val="none" w:sz="0" w:space="0" w:color="auto"/>
            <w:left w:val="none" w:sz="0" w:space="0" w:color="auto"/>
            <w:bottom w:val="none" w:sz="0" w:space="0" w:color="auto"/>
            <w:right w:val="none" w:sz="0" w:space="0" w:color="auto"/>
          </w:divBdr>
        </w:div>
        <w:div w:id="2142530929">
          <w:marLeft w:val="640"/>
          <w:marRight w:val="0"/>
          <w:marTop w:val="0"/>
          <w:marBottom w:val="0"/>
          <w:divBdr>
            <w:top w:val="none" w:sz="0" w:space="0" w:color="auto"/>
            <w:left w:val="none" w:sz="0" w:space="0" w:color="auto"/>
            <w:bottom w:val="none" w:sz="0" w:space="0" w:color="auto"/>
            <w:right w:val="none" w:sz="0" w:space="0" w:color="auto"/>
          </w:divBdr>
        </w:div>
        <w:div w:id="784468989">
          <w:marLeft w:val="640"/>
          <w:marRight w:val="0"/>
          <w:marTop w:val="0"/>
          <w:marBottom w:val="0"/>
          <w:divBdr>
            <w:top w:val="none" w:sz="0" w:space="0" w:color="auto"/>
            <w:left w:val="none" w:sz="0" w:space="0" w:color="auto"/>
            <w:bottom w:val="none" w:sz="0" w:space="0" w:color="auto"/>
            <w:right w:val="none" w:sz="0" w:space="0" w:color="auto"/>
          </w:divBdr>
        </w:div>
        <w:div w:id="1842427369">
          <w:marLeft w:val="640"/>
          <w:marRight w:val="0"/>
          <w:marTop w:val="0"/>
          <w:marBottom w:val="0"/>
          <w:divBdr>
            <w:top w:val="none" w:sz="0" w:space="0" w:color="auto"/>
            <w:left w:val="none" w:sz="0" w:space="0" w:color="auto"/>
            <w:bottom w:val="none" w:sz="0" w:space="0" w:color="auto"/>
            <w:right w:val="none" w:sz="0" w:space="0" w:color="auto"/>
          </w:divBdr>
        </w:div>
        <w:div w:id="1346127217">
          <w:marLeft w:val="640"/>
          <w:marRight w:val="0"/>
          <w:marTop w:val="0"/>
          <w:marBottom w:val="0"/>
          <w:divBdr>
            <w:top w:val="none" w:sz="0" w:space="0" w:color="auto"/>
            <w:left w:val="none" w:sz="0" w:space="0" w:color="auto"/>
            <w:bottom w:val="none" w:sz="0" w:space="0" w:color="auto"/>
            <w:right w:val="none" w:sz="0" w:space="0" w:color="auto"/>
          </w:divBdr>
        </w:div>
        <w:div w:id="580717071">
          <w:marLeft w:val="640"/>
          <w:marRight w:val="0"/>
          <w:marTop w:val="0"/>
          <w:marBottom w:val="0"/>
          <w:divBdr>
            <w:top w:val="none" w:sz="0" w:space="0" w:color="auto"/>
            <w:left w:val="none" w:sz="0" w:space="0" w:color="auto"/>
            <w:bottom w:val="none" w:sz="0" w:space="0" w:color="auto"/>
            <w:right w:val="none" w:sz="0" w:space="0" w:color="auto"/>
          </w:divBdr>
        </w:div>
        <w:div w:id="1699575912">
          <w:marLeft w:val="640"/>
          <w:marRight w:val="0"/>
          <w:marTop w:val="0"/>
          <w:marBottom w:val="0"/>
          <w:divBdr>
            <w:top w:val="none" w:sz="0" w:space="0" w:color="auto"/>
            <w:left w:val="none" w:sz="0" w:space="0" w:color="auto"/>
            <w:bottom w:val="none" w:sz="0" w:space="0" w:color="auto"/>
            <w:right w:val="none" w:sz="0" w:space="0" w:color="auto"/>
          </w:divBdr>
        </w:div>
        <w:div w:id="1223253644">
          <w:marLeft w:val="640"/>
          <w:marRight w:val="0"/>
          <w:marTop w:val="0"/>
          <w:marBottom w:val="0"/>
          <w:divBdr>
            <w:top w:val="none" w:sz="0" w:space="0" w:color="auto"/>
            <w:left w:val="none" w:sz="0" w:space="0" w:color="auto"/>
            <w:bottom w:val="none" w:sz="0" w:space="0" w:color="auto"/>
            <w:right w:val="none" w:sz="0" w:space="0" w:color="auto"/>
          </w:divBdr>
        </w:div>
        <w:div w:id="937758068">
          <w:marLeft w:val="640"/>
          <w:marRight w:val="0"/>
          <w:marTop w:val="0"/>
          <w:marBottom w:val="0"/>
          <w:divBdr>
            <w:top w:val="none" w:sz="0" w:space="0" w:color="auto"/>
            <w:left w:val="none" w:sz="0" w:space="0" w:color="auto"/>
            <w:bottom w:val="none" w:sz="0" w:space="0" w:color="auto"/>
            <w:right w:val="none" w:sz="0" w:space="0" w:color="auto"/>
          </w:divBdr>
        </w:div>
        <w:div w:id="485702991">
          <w:marLeft w:val="640"/>
          <w:marRight w:val="0"/>
          <w:marTop w:val="0"/>
          <w:marBottom w:val="0"/>
          <w:divBdr>
            <w:top w:val="none" w:sz="0" w:space="0" w:color="auto"/>
            <w:left w:val="none" w:sz="0" w:space="0" w:color="auto"/>
            <w:bottom w:val="none" w:sz="0" w:space="0" w:color="auto"/>
            <w:right w:val="none" w:sz="0" w:space="0" w:color="auto"/>
          </w:divBdr>
        </w:div>
        <w:div w:id="661541356">
          <w:marLeft w:val="640"/>
          <w:marRight w:val="0"/>
          <w:marTop w:val="0"/>
          <w:marBottom w:val="0"/>
          <w:divBdr>
            <w:top w:val="none" w:sz="0" w:space="0" w:color="auto"/>
            <w:left w:val="none" w:sz="0" w:space="0" w:color="auto"/>
            <w:bottom w:val="none" w:sz="0" w:space="0" w:color="auto"/>
            <w:right w:val="none" w:sz="0" w:space="0" w:color="auto"/>
          </w:divBdr>
        </w:div>
        <w:div w:id="1669793300">
          <w:marLeft w:val="640"/>
          <w:marRight w:val="0"/>
          <w:marTop w:val="0"/>
          <w:marBottom w:val="0"/>
          <w:divBdr>
            <w:top w:val="none" w:sz="0" w:space="0" w:color="auto"/>
            <w:left w:val="none" w:sz="0" w:space="0" w:color="auto"/>
            <w:bottom w:val="none" w:sz="0" w:space="0" w:color="auto"/>
            <w:right w:val="none" w:sz="0" w:space="0" w:color="auto"/>
          </w:divBdr>
        </w:div>
        <w:div w:id="601497873">
          <w:marLeft w:val="640"/>
          <w:marRight w:val="0"/>
          <w:marTop w:val="0"/>
          <w:marBottom w:val="0"/>
          <w:divBdr>
            <w:top w:val="none" w:sz="0" w:space="0" w:color="auto"/>
            <w:left w:val="none" w:sz="0" w:space="0" w:color="auto"/>
            <w:bottom w:val="none" w:sz="0" w:space="0" w:color="auto"/>
            <w:right w:val="none" w:sz="0" w:space="0" w:color="auto"/>
          </w:divBdr>
        </w:div>
        <w:div w:id="152530307">
          <w:marLeft w:val="640"/>
          <w:marRight w:val="0"/>
          <w:marTop w:val="0"/>
          <w:marBottom w:val="0"/>
          <w:divBdr>
            <w:top w:val="none" w:sz="0" w:space="0" w:color="auto"/>
            <w:left w:val="none" w:sz="0" w:space="0" w:color="auto"/>
            <w:bottom w:val="none" w:sz="0" w:space="0" w:color="auto"/>
            <w:right w:val="none" w:sz="0" w:space="0" w:color="auto"/>
          </w:divBdr>
        </w:div>
        <w:div w:id="1924414650">
          <w:marLeft w:val="640"/>
          <w:marRight w:val="0"/>
          <w:marTop w:val="0"/>
          <w:marBottom w:val="0"/>
          <w:divBdr>
            <w:top w:val="none" w:sz="0" w:space="0" w:color="auto"/>
            <w:left w:val="none" w:sz="0" w:space="0" w:color="auto"/>
            <w:bottom w:val="none" w:sz="0" w:space="0" w:color="auto"/>
            <w:right w:val="none" w:sz="0" w:space="0" w:color="auto"/>
          </w:divBdr>
        </w:div>
        <w:div w:id="1204753428">
          <w:marLeft w:val="640"/>
          <w:marRight w:val="0"/>
          <w:marTop w:val="0"/>
          <w:marBottom w:val="0"/>
          <w:divBdr>
            <w:top w:val="none" w:sz="0" w:space="0" w:color="auto"/>
            <w:left w:val="none" w:sz="0" w:space="0" w:color="auto"/>
            <w:bottom w:val="none" w:sz="0" w:space="0" w:color="auto"/>
            <w:right w:val="none" w:sz="0" w:space="0" w:color="auto"/>
          </w:divBdr>
        </w:div>
        <w:div w:id="1629581495">
          <w:marLeft w:val="640"/>
          <w:marRight w:val="0"/>
          <w:marTop w:val="0"/>
          <w:marBottom w:val="0"/>
          <w:divBdr>
            <w:top w:val="none" w:sz="0" w:space="0" w:color="auto"/>
            <w:left w:val="none" w:sz="0" w:space="0" w:color="auto"/>
            <w:bottom w:val="none" w:sz="0" w:space="0" w:color="auto"/>
            <w:right w:val="none" w:sz="0" w:space="0" w:color="auto"/>
          </w:divBdr>
        </w:div>
        <w:div w:id="871265680">
          <w:marLeft w:val="640"/>
          <w:marRight w:val="0"/>
          <w:marTop w:val="0"/>
          <w:marBottom w:val="0"/>
          <w:divBdr>
            <w:top w:val="none" w:sz="0" w:space="0" w:color="auto"/>
            <w:left w:val="none" w:sz="0" w:space="0" w:color="auto"/>
            <w:bottom w:val="none" w:sz="0" w:space="0" w:color="auto"/>
            <w:right w:val="none" w:sz="0" w:space="0" w:color="auto"/>
          </w:divBdr>
        </w:div>
        <w:div w:id="1219319698">
          <w:marLeft w:val="640"/>
          <w:marRight w:val="0"/>
          <w:marTop w:val="0"/>
          <w:marBottom w:val="0"/>
          <w:divBdr>
            <w:top w:val="none" w:sz="0" w:space="0" w:color="auto"/>
            <w:left w:val="none" w:sz="0" w:space="0" w:color="auto"/>
            <w:bottom w:val="none" w:sz="0" w:space="0" w:color="auto"/>
            <w:right w:val="none" w:sz="0" w:space="0" w:color="auto"/>
          </w:divBdr>
        </w:div>
        <w:div w:id="296490041">
          <w:marLeft w:val="640"/>
          <w:marRight w:val="0"/>
          <w:marTop w:val="0"/>
          <w:marBottom w:val="0"/>
          <w:divBdr>
            <w:top w:val="none" w:sz="0" w:space="0" w:color="auto"/>
            <w:left w:val="none" w:sz="0" w:space="0" w:color="auto"/>
            <w:bottom w:val="none" w:sz="0" w:space="0" w:color="auto"/>
            <w:right w:val="none" w:sz="0" w:space="0" w:color="auto"/>
          </w:divBdr>
        </w:div>
        <w:div w:id="1412309467">
          <w:marLeft w:val="640"/>
          <w:marRight w:val="0"/>
          <w:marTop w:val="0"/>
          <w:marBottom w:val="0"/>
          <w:divBdr>
            <w:top w:val="none" w:sz="0" w:space="0" w:color="auto"/>
            <w:left w:val="none" w:sz="0" w:space="0" w:color="auto"/>
            <w:bottom w:val="none" w:sz="0" w:space="0" w:color="auto"/>
            <w:right w:val="none" w:sz="0" w:space="0" w:color="auto"/>
          </w:divBdr>
        </w:div>
        <w:div w:id="1470633720">
          <w:marLeft w:val="640"/>
          <w:marRight w:val="0"/>
          <w:marTop w:val="0"/>
          <w:marBottom w:val="0"/>
          <w:divBdr>
            <w:top w:val="none" w:sz="0" w:space="0" w:color="auto"/>
            <w:left w:val="none" w:sz="0" w:space="0" w:color="auto"/>
            <w:bottom w:val="none" w:sz="0" w:space="0" w:color="auto"/>
            <w:right w:val="none" w:sz="0" w:space="0" w:color="auto"/>
          </w:divBdr>
        </w:div>
        <w:div w:id="854880351">
          <w:marLeft w:val="640"/>
          <w:marRight w:val="0"/>
          <w:marTop w:val="0"/>
          <w:marBottom w:val="0"/>
          <w:divBdr>
            <w:top w:val="none" w:sz="0" w:space="0" w:color="auto"/>
            <w:left w:val="none" w:sz="0" w:space="0" w:color="auto"/>
            <w:bottom w:val="none" w:sz="0" w:space="0" w:color="auto"/>
            <w:right w:val="none" w:sz="0" w:space="0" w:color="auto"/>
          </w:divBdr>
        </w:div>
        <w:div w:id="151411040">
          <w:marLeft w:val="640"/>
          <w:marRight w:val="0"/>
          <w:marTop w:val="0"/>
          <w:marBottom w:val="0"/>
          <w:divBdr>
            <w:top w:val="none" w:sz="0" w:space="0" w:color="auto"/>
            <w:left w:val="none" w:sz="0" w:space="0" w:color="auto"/>
            <w:bottom w:val="none" w:sz="0" w:space="0" w:color="auto"/>
            <w:right w:val="none" w:sz="0" w:space="0" w:color="auto"/>
          </w:divBdr>
        </w:div>
        <w:div w:id="1619600704">
          <w:marLeft w:val="640"/>
          <w:marRight w:val="0"/>
          <w:marTop w:val="0"/>
          <w:marBottom w:val="0"/>
          <w:divBdr>
            <w:top w:val="none" w:sz="0" w:space="0" w:color="auto"/>
            <w:left w:val="none" w:sz="0" w:space="0" w:color="auto"/>
            <w:bottom w:val="none" w:sz="0" w:space="0" w:color="auto"/>
            <w:right w:val="none" w:sz="0" w:space="0" w:color="auto"/>
          </w:divBdr>
        </w:div>
        <w:div w:id="155386331">
          <w:marLeft w:val="640"/>
          <w:marRight w:val="0"/>
          <w:marTop w:val="0"/>
          <w:marBottom w:val="0"/>
          <w:divBdr>
            <w:top w:val="none" w:sz="0" w:space="0" w:color="auto"/>
            <w:left w:val="none" w:sz="0" w:space="0" w:color="auto"/>
            <w:bottom w:val="none" w:sz="0" w:space="0" w:color="auto"/>
            <w:right w:val="none" w:sz="0" w:space="0" w:color="auto"/>
          </w:divBdr>
        </w:div>
        <w:div w:id="859706736">
          <w:marLeft w:val="640"/>
          <w:marRight w:val="0"/>
          <w:marTop w:val="0"/>
          <w:marBottom w:val="0"/>
          <w:divBdr>
            <w:top w:val="none" w:sz="0" w:space="0" w:color="auto"/>
            <w:left w:val="none" w:sz="0" w:space="0" w:color="auto"/>
            <w:bottom w:val="none" w:sz="0" w:space="0" w:color="auto"/>
            <w:right w:val="none" w:sz="0" w:space="0" w:color="auto"/>
          </w:divBdr>
        </w:div>
        <w:div w:id="46416837">
          <w:marLeft w:val="640"/>
          <w:marRight w:val="0"/>
          <w:marTop w:val="0"/>
          <w:marBottom w:val="0"/>
          <w:divBdr>
            <w:top w:val="none" w:sz="0" w:space="0" w:color="auto"/>
            <w:left w:val="none" w:sz="0" w:space="0" w:color="auto"/>
            <w:bottom w:val="none" w:sz="0" w:space="0" w:color="auto"/>
            <w:right w:val="none" w:sz="0" w:space="0" w:color="auto"/>
          </w:divBdr>
        </w:div>
        <w:div w:id="2034106719">
          <w:marLeft w:val="640"/>
          <w:marRight w:val="0"/>
          <w:marTop w:val="0"/>
          <w:marBottom w:val="0"/>
          <w:divBdr>
            <w:top w:val="none" w:sz="0" w:space="0" w:color="auto"/>
            <w:left w:val="none" w:sz="0" w:space="0" w:color="auto"/>
            <w:bottom w:val="none" w:sz="0" w:space="0" w:color="auto"/>
            <w:right w:val="none" w:sz="0" w:space="0" w:color="auto"/>
          </w:divBdr>
        </w:div>
        <w:div w:id="362636897">
          <w:marLeft w:val="640"/>
          <w:marRight w:val="0"/>
          <w:marTop w:val="0"/>
          <w:marBottom w:val="0"/>
          <w:divBdr>
            <w:top w:val="none" w:sz="0" w:space="0" w:color="auto"/>
            <w:left w:val="none" w:sz="0" w:space="0" w:color="auto"/>
            <w:bottom w:val="none" w:sz="0" w:space="0" w:color="auto"/>
            <w:right w:val="none" w:sz="0" w:space="0" w:color="auto"/>
          </w:divBdr>
        </w:div>
        <w:div w:id="898977177">
          <w:marLeft w:val="640"/>
          <w:marRight w:val="0"/>
          <w:marTop w:val="0"/>
          <w:marBottom w:val="0"/>
          <w:divBdr>
            <w:top w:val="none" w:sz="0" w:space="0" w:color="auto"/>
            <w:left w:val="none" w:sz="0" w:space="0" w:color="auto"/>
            <w:bottom w:val="none" w:sz="0" w:space="0" w:color="auto"/>
            <w:right w:val="none" w:sz="0" w:space="0" w:color="auto"/>
          </w:divBdr>
        </w:div>
        <w:div w:id="244844779">
          <w:marLeft w:val="640"/>
          <w:marRight w:val="0"/>
          <w:marTop w:val="0"/>
          <w:marBottom w:val="0"/>
          <w:divBdr>
            <w:top w:val="none" w:sz="0" w:space="0" w:color="auto"/>
            <w:left w:val="none" w:sz="0" w:space="0" w:color="auto"/>
            <w:bottom w:val="none" w:sz="0" w:space="0" w:color="auto"/>
            <w:right w:val="none" w:sz="0" w:space="0" w:color="auto"/>
          </w:divBdr>
        </w:div>
        <w:div w:id="987440634">
          <w:marLeft w:val="640"/>
          <w:marRight w:val="0"/>
          <w:marTop w:val="0"/>
          <w:marBottom w:val="0"/>
          <w:divBdr>
            <w:top w:val="none" w:sz="0" w:space="0" w:color="auto"/>
            <w:left w:val="none" w:sz="0" w:space="0" w:color="auto"/>
            <w:bottom w:val="none" w:sz="0" w:space="0" w:color="auto"/>
            <w:right w:val="none" w:sz="0" w:space="0" w:color="auto"/>
          </w:divBdr>
        </w:div>
        <w:div w:id="52196205">
          <w:marLeft w:val="640"/>
          <w:marRight w:val="0"/>
          <w:marTop w:val="0"/>
          <w:marBottom w:val="0"/>
          <w:divBdr>
            <w:top w:val="none" w:sz="0" w:space="0" w:color="auto"/>
            <w:left w:val="none" w:sz="0" w:space="0" w:color="auto"/>
            <w:bottom w:val="none" w:sz="0" w:space="0" w:color="auto"/>
            <w:right w:val="none" w:sz="0" w:space="0" w:color="auto"/>
          </w:divBdr>
        </w:div>
        <w:div w:id="1025713651">
          <w:marLeft w:val="640"/>
          <w:marRight w:val="0"/>
          <w:marTop w:val="0"/>
          <w:marBottom w:val="0"/>
          <w:divBdr>
            <w:top w:val="none" w:sz="0" w:space="0" w:color="auto"/>
            <w:left w:val="none" w:sz="0" w:space="0" w:color="auto"/>
            <w:bottom w:val="none" w:sz="0" w:space="0" w:color="auto"/>
            <w:right w:val="none" w:sz="0" w:space="0" w:color="auto"/>
          </w:divBdr>
        </w:div>
        <w:div w:id="1564561341">
          <w:marLeft w:val="640"/>
          <w:marRight w:val="0"/>
          <w:marTop w:val="0"/>
          <w:marBottom w:val="0"/>
          <w:divBdr>
            <w:top w:val="none" w:sz="0" w:space="0" w:color="auto"/>
            <w:left w:val="none" w:sz="0" w:space="0" w:color="auto"/>
            <w:bottom w:val="none" w:sz="0" w:space="0" w:color="auto"/>
            <w:right w:val="none" w:sz="0" w:space="0" w:color="auto"/>
          </w:divBdr>
        </w:div>
        <w:div w:id="438648965">
          <w:marLeft w:val="640"/>
          <w:marRight w:val="0"/>
          <w:marTop w:val="0"/>
          <w:marBottom w:val="0"/>
          <w:divBdr>
            <w:top w:val="none" w:sz="0" w:space="0" w:color="auto"/>
            <w:left w:val="none" w:sz="0" w:space="0" w:color="auto"/>
            <w:bottom w:val="none" w:sz="0" w:space="0" w:color="auto"/>
            <w:right w:val="none" w:sz="0" w:space="0" w:color="auto"/>
          </w:divBdr>
        </w:div>
        <w:div w:id="1285621060">
          <w:marLeft w:val="640"/>
          <w:marRight w:val="0"/>
          <w:marTop w:val="0"/>
          <w:marBottom w:val="0"/>
          <w:divBdr>
            <w:top w:val="none" w:sz="0" w:space="0" w:color="auto"/>
            <w:left w:val="none" w:sz="0" w:space="0" w:color="auto"/>
            <w:bottom w:val="none" w:sz="0" w:space="0" w:color="auto"/>
            <w:right w:val="none" w:sz="0" w:space="0" w:color="auto"/>
          </w:divBdr>
        </w:div>
        <w:div w:id="465975482">
          <w:marLeft w:val="640"/>
          <w:marRight w:val="0"/>
          <w:marTop w:val="0"/>
          <w:marBottom w:val="0"/>
          <w:divBdr>
            <w:top w:val="none" w:sz="0" w:space="0" w:color="auto"/>
            <w:left w:val="none" w:sz="0" w:space="0" w:color="auto"/>
            <w:bottom w:val="none" w:sz="0" w:space="0" w:color="auto"/>
            <w:right w:val="none" w:sz="0" w:space="0" w:color="auto"/>
          </w:divBdr>
        </w:div>
        <w:div w:id="1160538622">
          <w:marLeft w:val="640"/>
          <w:marRight w:val="0"/>
          <w:marTop w:val="0"/>
          <w:marBottom w:val="0"/>
          <w:divBdr>
            <w:top w:val="none" w:sz="0" w:space="0" w:color="auto"/>
            <w:left w:val="none" w:sz="0" w:space="0" w:color="auto"/>
            <w:bottom w:val="none" w:sz="0" w:space="0" w:color="auto"/>
            <w:right w:val="none" w:sz="0" w:space="0" w:color="auto"/>
          </w:divBdr>
        </w:div>
        <w:div w:id="1754277966">
          <w:marLeft w:val="640"/>
          <w:marRight w:val="0"/>
          <w:marTop w:val="0"/>
          <w:marBottom w:val="0"/>
          <w:divBdr>
            <w:top w:val="none" w:sz="0" w:space="0" w:color="auto"/>
            <w:left w:val="none" w:sz="0" w:space="0" w:color="auto"/>
            <w:bottom w:val="none" w:sz="0" w:space="0" w:color="auto"/>
            <w:right w:val="none" w:sz="0" w:space="0" w:color="auto"/>
          </w:divBdr>
        </w:div>
        <w:div w:id="1067604051">
          <w:marLeft w:val="640"/>
          <w:marRight w:val="0"/>
          <w:marTop w:val="0"/>
          <w:marBottom w:val="0"/>
          <w:divBdr>
            <w:top w:val="none" w:sz="0" w:space="0" w:color="auto"/>
            <w:left w:val="none" w:sz="0" w:space="0" w:color="auto"/>
            <w:bottom w:val="none" w:sz="0" w:space="0" w:color="auto"/>
            <w:right w:val="none" w:sz="0" w:space="0" w:color="auto"/>
          </w:divBdr>
        </w:div>
        <w:div w:id="2022507021">
          <w:marLeft w:val="640"/>
          <w:marRight w:val="0"/>
          <w:marTop w:val="0"/>
          <w:marBottom w:val="0"/>
          <w:divBdr>
            <w:top w:val="none" w:sz="0" w:space="0" w:color="auto"/>
            <w:left w:val="none" w:sz="0" w:space="0" w:color="auto"/>
            <w:bottom w:val="none" w:sz="0" w:space="0" w:color="auto"/>
            <w:right w:val="none" w:sz="0" w:space="0" w:color="auto"/>
          </w:divBdr>
        </w:div>
        <w:div w:id="1022392221">
          <w:marLeft w:val="640"/>
          <w:marRight w:val="0"/>
          <w:marTop w:val="0"/>
          <w:marBottom w:val="0"/>
          <w:divBdr>
            <w:top w:val="none" w:sz="0" w:space="0" w:color="auto"/>
            <w:left w:val="none" w:sz="0" w:space="0" w:color="auto"/>
            <w:bottom w:val="none" w:sz="0" w:space="0" w:color="auto"/>
            <w:right w:val="none" w:sz="0" w:space="0" w:color="auto"/>
          </w:divBdr>
        </w:div>
        <w:div w:id="1807626381">
          <w:marLeft w:val="640"/>
          <w:marRight w:val="0"/>
          <w:marTop w:val="0"/>
          <w:marBottom w:val="0"/>
          <w:divBdr>
            <w:top w:val="none" w:sz="0" w:space="0" w:color="auto"/>
            <w:left w:val="none" w:sz="0" w:space="0" w:color="auto"/>
            <w:bottom w:val="none" w:sz="0" w:space="0" w:color="auto"/>
            <w:right w:val="none" w:sz="0" w:space="0" w:color="auto"/>
          </w:divBdr>
        </w:div>
        <w:div w:id="927810215">
          <w:marLeft w:val="640"/>
          <w:marRight w:val="0"/>
          <w:marTop w:val="0"/>
          <w:marBottom w:val="0"/>
          <w:divBdr>
            <w:top w:val="none" w:sz="0" w:space="0" w:color="auto"/>
            <w:left w:val="none" w:sz="0" w:space="0" w:color="auto"/>
            <w:bottom w:val="none" w:sz="0" w:space="0" w:color="auto"/>
            <w:right w:val="none" w:sz="0" w:space="0" w:color="auto"/>
          </w:divBdr>
        </w:div>
        <w:div w:id="188379822">
          <w:marLeft w:val="640"/>
          <w:marRight w:val="0"/>
          <w:marTop w:val="0"/>
          <w:marBottom w:val="0"/>
          <w:divBdr>
            <w:top w:val="none" w:sz="0" w:space="0" w:color="auto"/>
            <w:left w:val="none" w:sz="0" w:space="0" w:color="auto"/>
            <w:bottom w:val="none" w:sz="0" w:space="0" w:color="auto"/>
            <w:right w:val="none" w:sz="0" w:space="0" w:color="auto"/>
          </w:divBdr>
        </w:div>
        <w:div w:id="880241134">
          <w:marLeft w:val="640"/>
          <w:marRight w:val="0"/>
          <w:marTop w:val="0"/>
          <w:marBottom w:val="0"/>
          <w:divBdr>
            <w:top w:val="none" w:sz="0" w:space="0" w:color="auto"/>
            <w:left w:val="none" w:sz="0" w:space="0" w:color="auto"/>
            <w:bottom w:val="none" w:sz="0" w:space="0" w:color="auto"/>
            <w:right w:val="none" w:sz="0" w:space="0" w:color="auto"/>
          </w:divBdr>
        </w:div>
        <w:div w:id="2078432389">
          <w:marLeft w:val="640"/>
          <w:marRight w:val="0"/>
          <w:marTop w:val="0"/>
          <w:marBottom w:val="0"/>
          <w:divBdr>
            <w:top w:val="none" w:sz="0" w:space="0" w:color="auto"/>
            <w:left w:val="none" w:sz="0" w:space="0" w:color="auto"/>
            <w:bottom w:val="none" w:sz="0" w:space="0" w:color="auto"/>
            <w:right w:val="none" w:sz="0" w:space="0" w:color="auto"/>
          </w:divBdr>
        </w:div>
        <w:div w:id="66542757">
          <w:marLeft w:val="640"/>
          <w:marRight w:val="0"/>
          <w:marTop w:val="0"/>
          <w:marBottom w:val="0"/>
          <w:divBdr>
            <w:top w:val="none" w:sz="0" w:space="0" w:color="auto"/>
            <w:left w:val="none" w:sz="0" w:space="0" w:color="auto"/>
            <w:bottom w:val="none" w:sz="0" w:space="0" w:color="auto"/>
            <w:right w:val="none" w:sz="0" w:space="0" w:color="auto"/>
          </w:divBdr>
        </w:div>
        <w:div w:id="1135298921">
          <w:marLeft w:val="640"/>
          <w:marRight w:val="0"/>
          <w:marTop w:val="0"/>
          <w:marBottom w:val="0"/>
          <w:divBdr>
            <w:top w:val="none" w:sz="0" w:space="0" w:color="auto"/>
            <w:left w:val="none" w:sz="0" w:space="0" w:color="auto"/>
            <w:bottom w:val="none" w:sz="0" w:space="0" w:color="auto"/>
            <w:right w:val="none" w:sz="0" w:space="0" w:color="auto"/>
          </w:divBdr>
        </w:div>
        <w:div w:id="1431467440">
          <w:marLeft w:val="640"/>
          <w:marRight w:val="0"/>
          <w:marTop w:val="0"/>
          <w:marBottom w:val="0"/>
          <w:divBdr>
            <w:top w:val="none" w:sz="0" w:space="0" w:color="auto"/>
            <w:left w:val="none" w:sz="0" w:space="0" w:color="auto"/>
            <w:bottom w:val="none" w:sz="0" w:space="0" w:color="auto"/>
            <w:right w:val="none" w:sz="0" w:space="0" w:color="auto"/>
          </w:divBdr>
        </w:div>
        <w:div w:id="2055615749">
          <w:marLeft w:val="640"/>
          <w:marRight w:val="0"/>
          <w:marTop w:val="0"/>
          <w:marBottom w:val="0"/>
          <w:divBdr>
            <w:top w:val="none" w:sz="0" w:space="0" w:color="auto"/>
            <w:left w:val="none" w:sz="0" w:space="0" w:color="auto"/>
            <w:bottom w:val="none" w:sz="0" w:space="0" w:color="auto"/>
            <w:right w:val="none" w:sz="0" w:space="0" w:color="auto"/>
          </w:divBdr>
        </w:div>
        <w:div w:id="502168732">
          <w:marLeft w:val="640"/>
          <w:marRight w:val="0"/>
          <w:marTop w:val="0"/>
          <w:marBottom w:val="0"/>
          <w:divBdr>
            <w:top w:val="none" w:sz="0" w:space="0" w:color="auto"/>
            <w:left w:val="none" w:sz="0" w:space="0" w:color="auto"/>
            <w:bottom w:val="none" w:sz="0" w:space="0" w:color="auto"/>
            <w:right w:val="none" w:sz="0" w:space="0" w:color="auto"/>
          </w:divBdr>
        </w:div>
        <w:div w:id="588586861">
          <w:marLeft w:val="640"/>
          <w:marRight w:val="0"/>
          <w:marTop w:val="0"/>
          <w:marBottom w:val="0"/>
          <w:divBdr>
            <w:top w:val="none" w:sz="0" w:space="0" w:color="auto"/>
            <w:left w:val="none" w:sz="0" w:space="0" w:color="auto"/>
            <w:bottom w:val="none" w:sz="0" w:space="0" w:color="auto"/>
            <w:right w:val="none" w:sz="0" w:space="0" w:color="auto"/>
          </w:divBdr>
        </w:div>
        <w:div w:id="997613471">
          <w:marLeft w:val="640"/>
          <w:marRight w:val="0"/>
          <w:marTop w:val="0"/>
          <w:marBottom w:val="0"/>
          <w:divBdr>
            <w:top w:val="none" w:sz="0" w:space="0" w:color="auto"/>
            <w:left w:val="none" w:sz="0" w:space="0" w:color="auto"/>
            <w:bottom w:val="none" w:sz="0" w:space="0" w:color="auto"/>
            <w:right w:val="none" w:sz="0" w:space="0" w:color="auto"/>
          </w:divBdr>
        </w:div>
        <w:div w:id="2074115606">
          <w:marLeft w:val="640"/>
          <w:marRight w:val="0"/>
          <w:marTop w:val="0"/>
          <w:marBottom w:val="0"/>
          <w:divBdr>
            <w:top w:val="none" w:sz="0" w:space="0" w:color="auto"/>
            <w:left w:val="none" w:sz="0" w:space="0" w:color="auto"/>
            <w:bottom w:val="none" w:sz="0" w:space="0" w:color="auto"/>
            <w:right w:val="none" w:sz="0" w:space="0" w:color="auto"/>
          </w:divBdr>
        </w:div>
        <w:div w:id="1033773285">
          <w:marLeft w:val="640"/>
          <w:marRight w:val="0"/>
          <w:marTop w:val="0"/>
          <w:marBottom w:val="0"/>
          <w:divBdr>
            <w:top w:val="none" w:sz="0" w:space="0" w:color="auto"/>
            <w:left w:val="none" w:sz="0" w:space="0" w:color="auto"/>
            <w:bottom w:val="none" w:sz="0" w:space="0" w:color="auto"/>
            <w:right w:val="none" w:sz="0" w:space="0" w:color="auto"/>
          </w:divBdr>
        </w:div>
        <w:div w:id="96290563">
          <w:marLeft w:val="640"/>
          <w:marRight w:val="0"/>
          <w:marTop w:val="0"/>
          <w:marBottom w:val="0"/>
          <w:divBdr>
            <w:top w:val="none" w:sz="0" w:space="0" w:color="auto"/>
            <w:left w:val="none" w:sz="0" w:space="0" w:color="auto"/>
            <w:bottom w:val="none" w:sz="0" w:space="0" w:color="auto"/>
            <w:right w:val="none" w:sz="0" w:space="0" w:color="auto"/>
          </w:divBdr>
        </w:div>
        <w:div w:id="1428962397">
          <w:marLeft w:val="640"/>
          <w:marRight w:val="0"/>
          <w:marTop w:val="0"/>
          <w:marBottom w:val="0"/>
          <w:divBdr>
            <w:top w:val="none" w:sz="0" w:space="0" w:color="auto"/>
            <w:left w:val="none" w:sz="0" w:space="0" w:color="auto"/>
            <w:bottom w:val="none" w:sz="0" w:space="0" w:color="auto"/>
            <w:right w:val="none" w:sz="0" w:space="0" w:color="auto"/>
          </w:divBdr>
        </w:div>
        <w:div w:id="1479149967">
          <w:marLeft w:val="640"/>
          <w:marRight w:val="0"/>
          <w:marTop w:val="0"/>
          <w:marBottom w:val="0"/>
          <w:divBdr>
            <w:top w:val="none" w:sz="0" w:space="0" w:color="auto"/>
            <w:left w:val="none" w:sz="0" w:space="0" w:color="auto"/>
            <w:bottom w:val="none" w:sz="0" w:space="0" w:color="auto"/>
            <w:right w:val="none" w:sz="0" w:space="0" w:color="auto"/>
          </w:divBdr>
        </w:div>
        <w:div w:id="796072560">
          <w:marLeft w:val="640"/>
          <w:marRight w:val="0"/>
          <w:marTop w:val="0"/>
          <w:marBottom w:val="0"/>
          <w:divBdr>
            <w:top w:val="none" w:sz="0" w:space="0" w:color="auto"/>
            <w:left w:val="none" w:sz="0" w:space="0" w:color="auto"/>
            <w:bottom w:val="none" w:sz="0" w:space="0" w:color="auto"/>
            <w:right w:val="none" w:sz="0" w:space="0" w:color="auto"/>
          </w:divBdr>
        </w:div>
        <w:div w:id="1155417844">
          <w:marLeft w:val="640"/>
          <w:marRight w:val="0"/>
          <w:marTop w:val="0"/>
          <w:marBottom w:val="0"/>
          <w:divBdr>
            <w:top w:val="none" w:sz="0" w:space="0" w:color="auto"/>
            <w:left w:val="none" w:sz="0" w:space="0" w:color="auto"/>
            <w:bottom w:val="none" w:sz="0" w:space="0" w:color="auto"/>
            <w:right w:val="none" w:sz="0" w:space="0" w:color="auto"/>
          </w:divBdr>
        </w:div>
        <w:div w:id="273825389">
          <w:marLeft w:val="640"/>
          <w:marRight w:val="0"/>
          <w:marTop w:val="0"/>
          <w:marBottom w:val="0"/>
          <w:divBdr>
            <w:top w:val="none" w:sz="0" w:space="0" w:color="auto"/>
            <w:left w:val="none" w:sz="0" w:space="0" w:color="auto"/>
            <w:bottom w:val="none" w:sz="0" w:space="0" w:color="auto"/>
            <w:right w:val="none" w:sz="0" w:space="0" w:color="auto"/>
          </w:divBdr>
        </w:div>
        <w:div w:id="145098803">
          <w:marLeft w:val="640"/>
          <w:marRight w:val="0"/>
          <w:marTop w:val="0"/>
          <w:marBottom w:val="0"/>
          <w:divBdr>
            <w:top w:val="none" w:sz="0" w:space="0" w:color="auto"/>
            <w:left w:val="none" w:sz="0" w:space="0" w:color="auto"/>
            <w:bottom w:val="none" w:sz="0" w:space="0" w:color="auto"/>
            <w:right w:val="none" w:sz="0" w:space="0" w:color="auto"/>
          </w:divBdr>
        </w:div>
        <w:div w:id="627856165">
          <w:marLeft w:val="640"/>
          <w:marRight w:val="0"/>
          <w:marTop w:val="0"/>
          <w:marBottom w:val="0"/>
          <w:divBdr>
            <w:top w:val="none" w:sz="0" w:space="0" w:color="auto"/>
            <w:left w:val="none" w:sz="0" w:space="0" w:color="auto"/>
            <w:bottom w:val="none" w:sz="0" w:space="0" w:color="auto"/>
            <w:right w:val="none" w:sz="0" w:space="0" w:color="auto"/>
          </w:divBdr>
        </w:div>
        <w:div w:id="1566404953">
          <w:marLeft w:val="640"/>
          <w:marRight w:val="0"/>
          <w:marTop w:val="0"/>
          <w:marBottom w:val="0"/>
          <w:divBdr>
            <w:top w:val="none" w:sz="0" w:space="0" w:color="auto"/>
            <w:left w:val="none" w:sz="0" w:space="0" w:color="auto"/>
            <w:bottom w:val="none" w:sz="0" w:space="0" w:color="auto"/>
            <w:right w:val="none" w:sz="0" w:space="0" w:color="auto"/>
          </w:divBdr>
        </w:div>
        <w:div w:id="256720060">
          <w:marLeft w:val="640"/>
          <w:marRight w:val="0"/>
          <w:marTop w:val="0"/>
          <w:marBottom w:val="0"/>
          <w:divBdr>
            <w:top w:val="none" w:sz="0" w:space="0" w:color="auto"/>
            <w:left w:val="none" w:sz="0" w:space="0" w:color="auto"/>
            <w:bottom w:val="none" w:sz="0" w:space="0" w:color="auto"/>
            <w:right w:val="none" w:sz="0" w:space="0" w:color="auto"/>
          </w:divBdr>
        </w:div>
        <w:div w:id="518352047">
          <w:marLeft w:val="640"/>
          <w:marRight w:val="0"/>
          <w:marTop w:val="0"/>
          <w:marBottom w:val="0"/>
          <w:divBdr>
            <w:top w:val="none" w:sz="0" w:space="0" w:color="auto"/>
            <w:left w:val="none" w:sz="0" w:space="0" w:color="auto"/>
            <w:bottom w:val="none" w:sz="0" w:space="0" w:color="auto"/>
            <w:right w:val="none" w:sz="0" w:space="0" w:color="auto"/>
          </w:divBdr>
        </w:div>
        <w:div w:id="604578872">
          <w:marLeft w:val="640"/>
          <w:marRight w:val="0"/>
          <w:marTop w:val="0"/>
          <w:marBottom w:val="0"/>
          <w:divBdr>
            <w:top w:val="none" w:sz="0" w:space="0" w:color="auto"/>
            <w:left w:val="none" w:sz="0" w:space="0" w:color="auto"/>
            <w:bottom w:val="none" w:sz="0" w:space="0" w:color="auto"/>
            <w:right w:val="none" w:sz="0" w:space="0" w:color="auto"/>
          </w:divBdr>
        </w:div>
        <w:div w:id="172190826">
          <w:marLeft w:val="640"/>
          <w:marRight w:val="0"/>
          <w:marTop w:val="0"/>
          <w:marBottom w:val="0"/>
          <w:divBdr>
            <w:top w:val="none" w:sz="0" w:space="0" w:color="auto"/>
            <w:left w:val="none" w:sz="0" w:space="0" w:color="auto"/>
            <w:bottom w:val="none" w:sz="0" w:space="0" w:color="auto"/>
            <w:right w:val="none" w:sz="0" w:space="0" w:color="auto"/>
          </w:divBdr>
        </w:div>
        <w:div w:id="932972707">
          <w:marLeft w:val="640"/>
          <w:marRight w:val="0"/>
          <w:marTop w:val="0"/>
          <w:marBottom w:val="0"/>
          <w:divBdr>
            <w:top w:val="none" w:sz="0" w:space="0" w:color="auto"/>
            <w:left w:val="none" w:sz="0" w:space="0" w:color="auto"/>
            <w:bottom w:val="none" w:sz="0" w:space="0" w:color="auto"/>
            <w:right w:val="none" w:sz="0" w:space="0" w:color="auto"/>
          </w:divBdr>
        </w:div>
        <w:div w:id="1531802365">
          <w:marLeft w:val="640"/>
          <w:marRight w:val="0"/>
          <w:marTop w:val="0"/>
          <w:marBottom w:val="0"/>
          <w:divBdr>
            <w:top w:val="none" w:sz="0" w:space="0" w:color="auto"/>
            <w:left w:val="none" w:sz="0" w:space="0" w:color="auto"/>
            <w:bottom w:val="none" w:sz="0" w:space="0" w:color="auto"/>
            <w:right w:val="none" w:sz="0" w:space="0" w:color="auto"/>
          </w:divBdr>
        </w:div>
        <w:div w:id="2068717651">
          <w:marLeft w:val="640"/>
          <w:marRight w:val="0"/>
          <w:marTop w:val="0"/>
          <w:marBottom w:val="0"/>
          <w:divBdr>
            <w:top w:val="none" w:sz="0" w:space="0" w:color="auto"/>
            <w:left w:val="none" w:sz="0" w:space="0" w:color="auto"/>
            <w:bottom w:val="none" w:sz="0" w:space="0" w:color="auto"/>
            <w:right w:val="none" w:sz="0" w:space="0" w:color="auto"/>
          </w:divBdr>
        </w:div>
        <w:div w:id="490483773">
          <w:marLeft w:val="640"/>
          <w:marRight w:val="0"/>
          <w:marTop w:val="0"/>
          <w:marBottom w:val="0"/>
          <w:divBdr>
            <w:top w:val="none" w:sz="0" w:space="0" w:color="auto"/>
            <w:left w:val="none" w:sz="0" w:space="0" w:color="auto"/>
            <w:bottom w:val="none" w:sz="0" w:space="0" w:color="auto"/>
            <w:right w:val="none" w:sz="0" w:space="0" w:color="auto"/>
          </w:divBdr>
        </w:div>
        <w:div w:id="550503943">
          <w:marLeft w:val="640"/>
          <w:marRight w:val="0"/>
          <w:marTop w:val="0"/>
          <w:marBottom w:val="0"/>
          <w:divBdr>
            <w:top w:val="none" w:sz="0" w:space="0" w:color="auto"/>
            <w:left w:val="none" w:sz="0" w:space="0" w:color="auto"/>
            <w:bottom w:val="none" w:sz="0" w:space="0" w:color="auto"/>
            <w:right w:val="none" w:sz="0" w:space="0" w:color="auto"/>
          </w:divBdr>
        </w:div>
        <w:div w:id="1093819060">
          <w:marLeft w:val="640"/>
          <w:marRight w:val="0"/>
          <w:marTop w:val="0"/>
          <w:marBottom w:val="0"/>
          <w:divBdr>
            <w:top w:val="none" w:sz="0" w:space="0" w:color="auto"/>
            <w:left w:val="none" w:sz="0" w:space="0" w:color="auto"/>
            <w:bottom w:val="none" w:sz="0" w:space="0" w:color="auto"/>
            <w:right w:val="none" w:sz="0" w:space="0" w:color="auto"/>
          </w:divBdr>
        </w:div>
        <w:div w:id="1258178375">
          <w:marLeft w:val="640"/>
          <w:marRight w:val="0"/>
          <w:marTop w:val="0"/>
          <w:marBottom w:val="0"/>
          <w:divBdr>
            <w:top w:val="none" w:sz="0" w:space="0" w:color="auto"/>
            <w:left w:val="none" w:sz="0" w:space="0" w:color="auto"/>
            <w:bottom w:val="none" w:sz="0" w:space="0" w:color="auto"/>
            <w:right w:val="none" w:sz="0" w:space="0" w:color="auto"/>
          </w:divBdr>
        </w:div>
        <w:div w:id="146476944">
          <w:marLeft w:val="640"/>
          <w:marRight w:val="0"/>
          <w:marTop w:val="0"/>
          <w:marBottom w:val="0"/>
          <w:divBdr>
            <w:top w:val="none" w:sz="0" w:space="0" w:color="auto"/>
            <w:left w:val="none" w:sz="0" w:space="0" w:color="auto"/>
            <w:bottom w:val="none" w:sz="0" w:space="0" w:color="auto"/>
            <w:right w:val="none" w:sz="0" w:space="0" w:color="auto"/>
          </w:divBdr>
        </w:div>
        <w:div w:id="399908907">
          <w:marLeft w:val="640"/>
          <w:marRight w:val="0"/>
          <w:marTop w:val="0"/>
          <w:marBottom w:val="0"/>
          <w:divBdr>
            <w:top w:val="none" w:sz="0" w:space="0" w:color="auto"/>
            <w:left w:val="none" w:sz="0" w:space="0" w:color="auto"/>
            <w:bottom w:val="none" w:sz="0" w:space="0" w:color="auto"/>
            <w:right w:val="none" w:sz="0" w:space="0" w:color="auto"/>
          </w:divBdr>
        </w:div>
        <w:div w:id="314185131">
          <w:marLeft w:val="640"/>
          <w:marRight w:val="0"/>
          <w:marTop w:val="0"/>
          <w:marBottom w:val="0"/>
          <w:divBdr>
            <w:top w:val="none" w:sz="0" w:space="0" w:color="auto"/>
            <w:left w:val="none" w:sz="0" w:space="0" w:color="auto"/>
            <w:bottom w:val="none" w:sz="0" w:space="0" w:color="auto"/>
            <w:right w:val="none" w:sz="0" w:space="0" w:color="auto"/>
          </w:divBdr>
        </w:div>
        <w:div w:id="1486358166">
          <w:marLeft w:val="640"/>
          <w:marRight w:val="0"/>
          <w:marTop w:val="0"/>
          <w:marBottom w:val="0"/>
          <w:divBdr>
            <w:top w:val="none" w:sz="0" w:space="0" w:color="auto"/>
            <w:left w:val="none" w:sz="0" w:space="0" w:color="auto"/>
            <w:bottom w:val="none" w:sz="0" w:space="0" w:color="auto"/>
            <w:right w:val="none" w:sz="0" w:space="0" w:color="auto"/>
          </w:divBdr>
        </w:div>
        <w:div w:id="734664697">
          <w:marLeft w:val="640"/>
          <w:marRight w:val="0"/>
          <w:marTop w:val="0"/>
          <w:marBottom w:val="0"/>
          <w:divBdr>
            <w:top w:val="none" w:sz="0" w:space="0" w:color="auto"/>
            <w:left w:val="none" w:sz="0" w:space="0" w:color="auto"/>
            <w:bottom w:val="none" w:sz="0" w:space="0" w:color="auto"/>
            <w:right w:val="none" w:sz="0" w:space="0" w:color="auto"/>
          </w:divBdr>
        </w:div>
        <w:div w:id="1045376412">
          <w:marLeft w:val="640"/>
          <w:marRight w:val="0"/>
          <w:marTop w:val="0"/>
          <w:marBottom w:val="0"/>
          <w:divBdr>
            <w:top w:val="none" w:sz="0" w:space="0" w:color="auto"/>
            <w:left w:val="none" w:sz="0" w:space="0" w:color="auto"/>
            <w:bottom w:val="none" w:sz="0" w:space="0" w:color="auto"/>
            <w:right w:val="none" w:sz="0" w:space="0" w:color="auto"/>
          </w:divBdr>
        </w:div>
        <w:div w:id="1616904702">
          <w:marLeft w:val="640"/>
          <w:marRight w:val="0"/>
          <w:marTop w:val="0"/>
          <w:marBottom w:val="0"/>
          <w:divBdr>
            <w:top w:val="none" w:sz="0" w:space="0" w:color="auto"/>
            <w:left w:val="none" w:sz="0" w:space="0" w:color="auto"/>
            <w:bottom w:val="none" w:sz="0" w:space="0" w:color="auto"/>
            <w:right w:val="none" w:sz="0" w:space="0" w:color="auto"/>
          </w:divBdr>
        </w:div>
        <w:div w:id="1866360981">
          <w:marLeft w:val="640"/>
          <w:marRight w:val="0"/>
          <w:marTop w:val="0"/>
          <w:marBottom w:val="0"/>
          <w:divBdr>
            <w:top w:val="none" w:sz="0" w:space="0" w:color="auto"/>
            <w:left w:val="none" w:sz="0" w:space="0" w:color="auto"/>
            <w:bottom w:val="none" w:sz="0" w:space="0" w:color="auto"/>
            <w:right w:val="none" w:sz="0" w:space="0" w:color="auto"/>
          </w:divBdr>
        </w:div>
        <w:div w:id="809174355">
          <w:marLeft w:val="640"/>
          <w:marRight w:val="0"/>
          <w:marTop w:val="0"/>
          <w:marBottom w:val="0"/>
          <w:divBdr>
            <w:top w:val="none" w:sz="0" w:space="0" w:color="auto"/>
            <w:left w:val="none" w:sz="0" w:space="0" w:color="auto"/>
            <w:bottom w:val="none" w:sz="0" w:space="0" w:color="auto"/>
            <w:right w:val="none" w:sz="0" w:space="0" w:color="auto"/>
          </w:divBdr>
        </w:div>
        <w:div w:id="1283726685">
          <w:marLeft w:val="640"/>
          <w:marRight w:val="0"/>
          <w:marTop w:val="0"/>
          <w:marBottom w:val="0"/>
          <w:divBdr>
            <w:top w:val="none" w:sz="0" w:space="0" w:color="auto"/>
            <w:left w:val="none" w:sz="0" w:space="0" w:color="auto"/>
            <w:bottom w:val="none" w:sz="0" w:space="0" w:color="auto"/>
            <w:right w:val="none" w:sz="0" w:space="0" w:color="auto"/>
          </w:divBdr>
        </w:div>
        <w:div w:id="71659470">
          <w:marLeft w:val="640"/>
          <w:marRight w:val="0"/>
          <w:marTop w:val="0"/>
          <w:marBottom w:val="0"/>
          <w:divBdr>
            <w:top w:val="none" w:sz="0" w:space="0" w:color="auto"/>
            <w:left w:val="none" w:sz="0" w:space="0" w:color="auto"/>
            <w:bottom w:val="none" w:sz="0" w:space="0" w:color="auto"/>
            <w:right w:val="none" w:sz="0" w:space="0" w:color="auto"/>
          </w:divBdr>
        </w:div>
        <w:div w:id="1784374350">
          <w:marLeft w:val="640"/>
          <w:marRight w:val="0"/>
          <w:marTop w:val="0"/>
          <w:marBottom w:val="0"/>
          <w:divBdr>
            <w:top w:val="none" w:sz="0" w:space="0" w:color="auto"/>
            <w:left w:val="none" w:sz="0" w:space="0" w:color="auto"/>
            <w:bottom w:val="none" w:sz="0" w:space="0" w:color="auto"/>
            <w:right w:val="none" w:sz="0" w:space="0" w:color="auto"/>
          </w:divBdr>
        </w:div>
        <w:div w:id="736362699">
          <w:marLeft w:val="640"/>
          <w:marRight w:val="0"/>
          <w:marTop w:val="0"/>
          <w:marBottom w:val="0"/>
          <w:divBdr>
            <w:top w:val="none" w:sz="0" w:space="0" w:color="auto"/>
            <w:left w:val="none" w:sz="0" w:space="0" w:color="auto"/>
            <w:bottom w:val="none" w:sz="0" w:space="0" w:color="auto"/>
            <w:right w:val="none" w:sz="0" w:space="0" w:color="auto"/>
          </w:divBdr>
        </w:div>
        <w:div w:id="2146269729">
          <w:marLeft w:val="640"/>
          <w:marRight w:val="0"/>
          <w:marTop w:val="0"/>
          <w:marBottom w:val="0"/>
          <w:divBdr>
            <w:top w:val="none" w:sz="0" w:space="0" w:color="auto"/>
            <w:left w:val="none" w:sz="0" w:space="0" w:color="auto"/>
            <w:bottom w:val="none" w:sz="0" w:space="0" w:color="auto"/>
            <w:right w:val="none" w:sz="0" w:space="0" w:color="auto"/>
          </w:divBdr>
        </w:div>
        <w:div w:id="1752118578">
          <w:marLeft w:val="640"/>
          <w:marRight w:val="0"/>
          <w:marTop w:val="0"/>
          <w:marBottom w:val="0"/>
          <w:divBdr>
            <w:top w:val="none" w:sz="0" w:space="0" w:color="auto"/>
            <w:left w:val="none" w:sz="0" w:space="0" w:color="auto"/>
            <w:bottom w:val="none" w:sz="0" w:space="0" w:color="auto"/>
            <w:right w:val="none" w:sz="0" w:space="0" w:color="auto"/>
          </w:divBdr>
        </w:div>
        <w:div w:id="1476797065">
          <w:marLeft w:val="640"/>
          <w:marRight w:val="0"/>
          <w:marTop w:val="0"/>
          <w:marBottom w:val="0"/>
          <w:divBdr>
            <w:top w:val="none" w:sz="0" w:space="0" w:color="auto"/>
            <w:left w:val="none" w:sz="0" w:space="0" w:color="auto"/>
            <w:bottom w:val="none" w:sz="0" w:space="0" w:color="auto"/>
            <w:right w:val="none" w:sz="0" w:space="0" w:color="auto"/>
          </w:divBdr>
        </w:div>
        <w:div w:id="1877156670">
          <w:marLeft w:val="640"/>
          <w:marRight w:val="0"/>
          <w:marTop w:val="0"/>
          <w:marBottom w:val="0"/>
          <w:divBdr>
            <w:top w:val="none" w:sz="0" w:space="0" w:color="auto"/>
            <w:left w:val="none" w:sz="0" w:space="0" w:color="auto"/>
            <w:bottom w:val="none" w:sz="0" w:space="0" w:color="auto"/>
            <w:right w:val="none" w:sz="0" w:space="0" w:color="auto"/>
          </w:divBdr>
        </w:div>
        <w:div w:id="200172303">
          <w:marLeft w:val="640"/>
          <w:marRight w:val="0"/>
          <w:marTop w:val="0"/>
          <w:marBottom w:val="0"/>
          <w:divBdr>
            <w:top w:val="none" w:sz="0" w:space="0" w:color="auto"/>
            <w:left w:val="none" w:sz="0" w:space="0" w:color="auto"/>
            <w:bottom w:val="none" w:sz="0" w:space="0" w:color="auto"/>
            <w:right w:val="none" w:sz="0" w:space="0" w:color="auto"/>
          </w:divBdr>
        </w:div>
        <w:div w:id="1820657681">
          <w:marLeft w:val="640"/>
          <w:marRight w:val="0"/>
          <w:marTop w:val="0"/>
          <w:marBottom w:val="0"/>
          <w:divBdr>
            <w:top w:val="none" w:sz="0" w:space="0" w:color="auto"/>
            <w:left w:val="none" w:sz="0" w:space="0" w:color="auto"/>
            <w:bottom w:val="none" w:sz="0" w:space="0" w:color="auto"/>
            <w:right w:val="none" w:sz="0" w:space="0" w:color="auto"/>
          </w:divBdr>
        </w:div>
        <w:div w:id="31805847">
          <w:marLeft w:val="640"/>
          <w:marRight w:val="0"/>
          <w:marTop w:val="0"/>
          <w:marBottom w:val="0"/>
          <w:divBdr>
            <w:top w:val="none" w:sz="0" w:space="0" w:color="auto"/>
            <w:left w:val="none" w:sz="0" w:space="0" w:color="auto"/>
            <w:bottom w:val="none" w:sz="0" w:space="0" w:color="auto"/>
            <w:right w:val="none" w:sz="0" w:space="0" w:color="auto"/>
          </w:divBdr>
        </w:div>
        <w:div w:id="1046181574">
          <w:marLeft w:val="640"/>
          <w:marRight w:val="0"/>
          <w:marTop w:val="0"/>
          <w:marBottom w:val="0"/>
          <w:divBdr>
            <w:top w:val="none" w:sz="0" w:space="0" w:color="auto"/>
            <w:left w:val="none" w:sz="0" w:space="0" w:color="auto"/>
            <w:bottom w:val="none" w:sz="0" w:space="0" w:color="auto"/>
            <w:right w:val="none" w:sz="0" w:space="0" w:color="auto"/>
          </w:divBdr>
        </w:div>
        <w:div w:id="770392212">
          <w:marLeft w:val="640"/>
          <w:marRight w:val="0"/>
          <w:marTop w:val="0"/>
          <w:marBottom w:val="0"/>
          <w:divBdr>
            <w:top w:val="none" w:sz="0" w:space="0" w:color="auto"/>
            <w:left w:val="none" w:sz="0" w:space="0" w:color="auto"/>
            <w:bottom w:val="none" w:sz="0" w:space="0" w:color="auto"/>
            <w:right w:val="none" w:sz="0" w:space="0" w:color="auto"/>
          </w:divBdr>
        </w:div>
        <w:div w:id="2108303596">
          <w:marLeft w:val="640"/>
          <w:marRight w:val="0"/>
          <w:marTop w:val="0"/>
          <w:marBottom w:val="0"/>
          <w:divBdr>
            <w:top w:val="none" w:sz="0" w:space="0" w:color="auto"/>
            <w:left w:val="none" w:sz="0" w:space="0" w:color="auto"/>
            <w:bottom w:val="none" w:sz="0" w:space="0" w:color="auto"/>
            <w:right w:val="none" w:sz="0" w:space="0" w:color="auto"/>
          </w:divBdr>
        </w:div>
        <w:div w:id="22677754">
          <w:marLeft w:val="640"/>
          <w:marRight w:val="0"/>
          <w:marTop w:val="0"/>
          <w:marBottom w:val="0"/>
          <w:divBdr>
            <w:top w:val="none" w:sz="0" w:space="0" w:color="auto"/>
            <w:left w:val="none" w:sz="0" w:space="0" w:color="auto"/>
            <w:bottom w:val="none" w:sz="0" w:space="0" w:color="auto"/>
            <w:right w:val="none" w:sz="0" w:space="0" w:color="auto"/>
          </w:divBdr>
        </w:div>
        <w:div w:id="1840846754">
          <w:marLeft w:val="640"/>
          <w:marRight w:val="0"/>
          <w:marTop w:val="0"/>
          <w:marBottom w:val="0"/>
          <w:divBdr>
            <w:top w:val="none" w:sz="0" w:space="0" w:color="auto"/>
            <w:left w:val="none" w:sz="0" w:space="0" w:color="auto"/>
            <w:bottom w:val="none" w:sz="0" w:space="0" w:color="auto"/>
            <w:right w:val="none" w:sz="0" w:space="0" w:color="auto"/>
          </w:divBdr>
        </w:div>
        <w:div w:id="762261320">
          <w:marLeft w:val="640"/>
          <w:marRight w:val="0"/>
          <w:marTop w:val="0"/>
          <w:marBottom w:val="0"/>
          <w:divBdr>
            <w:top w:val="none" w:sz="0" w:space="0" w:color="auto"/>
            <w:left w:val="none" w:sz="0" w:space="0" w:color="auto"/>
            <w:bottom w:val="none" w:sz="0" w:space="0" w:color="auto"/>
            <w:right w:val="none" w:sz="0" w:space="0" w:color="auto"/>
          </w:divBdr>
        </w:div>
        <w:div w:id="1813207467">
          <w:marLeft w:val="640"/>
          <w:marRight w:val="0"/>
          <w:marTop w:val="0"/>
          <w:marBottom w:val="0"/>
          <w:divBdr>
            <w:top w:val="none" w:sz="0" w:space="0" w:color="auto"/>
            <w:left w:val="none" w:sz="0" w:space="0" w:color="auto"/>
            <w:bottom w:val="none" w:sz="0" w:space="0" w:color="auto"/>
            <w:right w:val="none" w:sz="0" w:space="0" w:color="auto"/>
          </w:divBdr>
        </w:div>
        <w:div w:id="707266633">
          <w:marLeft w:val="640"/>
          <w:marRight w:val="0"/>
          <w:marTop w:val="0"/>
          <w:marBottom w:val="0"/>
          <w:divBdr>
            <w:top w:val="none" w:sz="0" w:space="0" w:color="auto"/>
            <w:left w:val="none" w:sz="0" w:space="0" w:color="auto"/>
            <w:bottom w:val="none" w:sz="0" w:space="0" w:color="auto"/>
            <w:right w:val="none" w:sz="0" w:space="0" w:color="auto"/>
          </w:divBdr>
        </w:div>
        <w:div w:id="1797799584">
          <w:marLeft w:val="640"/>
          <w:marRight w:val="0"/>
          <w:marTop w:val="0"/>
          <w:marBottom w:val="0"/>
          <w:divBdr>
            <w:top w:val="none" w:sz="0" w:space="0" w:color="auto"/>
            <w:left w:val="none" w:sz="0" w:space="0" w:color="auto"/>
            <w:bottom w:val="none" w:sz="0" w:space="0" w:color="auto"/>
            <w:right w:val="none" w:sz="0" w:space="0" w:color="auto"/>
          </w:divBdr>
        </w:div>
        <w:div w:id="137693242">
          <w:marLeft w:val="640"/>
          <w:marRight w:val="0"/>
          <w:marTop w:val="0"/>
          <w:marBottom w:val="0"/>
          <w:divBdr>
            <w:top w:val="none" w:sz="0" w:space="0" w:color="auto"/>
            <w:left w:val="none" w:sz="0" w:space="0" w:color="auto"/>
            <w:bottom w:val="none" w:sz="0" w:space="0" w:color="auto"/>
            <w:right w:val="none" w:sz="0" w:space="0" w:color="auto"/>
          </w:divBdr>
        </w:div>
        <w:div w:id="327297174">
          <w:marLeft w:val="640"/>
          <w:marRight w:val="0"/>
          <w:marTop w:val="0"/>
          <w:marBottom w:val="0"/>
          <w:divBdr>
            <w:top w:val="none" w:sz="0" w:space="0" w:color="auto"/>
            <w:left w:val="none" w:sz="0" w:space="0" w:color="auto"/>
            <w:bottom w:val="none" w:sz="0" w:space="0" w:color="auto"/>
            <w:right w:val="none" w:sz="0" w:space="0" w:color="auto"/>
          </w:divBdr>
        </w:div>
        <w:div w:id="334303759">
          <w:marLeft w:val="640"/>
          <w:marRight w:val="0"/>
          <w:marTop w:val="0"/>
          <w:marBottom w:val="0"/>
          <w:divBdr>
            <w:top w:val="none" w:sz="0" w:space="0" w:color="auto"/>
            <w:left w:val="none" w:sz="0" w:space="0" w:color="auto"/>
            <w:bottom w:val="none" w:sz="0" w:space="0" w:color="auto"/>
            <w:right w:val="none" w:sz="0" w:space="0" w:color="auto"/>
          </w:divBdr>
        </w:div>
        <w:div w:id="1671563159">
          <w:marLeft w:val="640"/>
          <w:marRight w:val="0"/>
          <w:marTop w:val="0"/>
          <w:marBottom w:val="0"/>
          <w:divBdr>
            <w:top w:val="none" w:sz="0" w:space="0" w:color="auto"/>
            <w:left w:val="none" w:sz="0" w:space="0" w:color="auto"/>
            <w:bottom w:val="none" w:sz="0" w:space="0" w:color="auto"/>
            <w:right w:val="none" w:sz="0" w:space="0" w:color="auto"/>
          </w:divBdr>
        </w:div>
        <w:div w:id="1146632404">
          <w:marLeft w:val="640"/>
          <w:marRight w:val="0"/>
          <w:marTop w:val="0"/>
          <w:marBottom w:val="0"/>
          <w:divBdr>
            <w:top w:val="none" w:sz="0" w:space="0" w:color="auto"/>
            <w:left w:val="none" w:sz="0" w:space="0" w:color="auto"/>
            <w:bottom w:val="none" w:sz="0" w:space="0" w:color="auto"/>
            <w:right w:val="none" w:sz="0" w:space="0" w:color="auto"/>
          </w:divBdr>
        </w:div>
        <w:div w:id="1111122915">
          <w:marLeft w:val="640"/>
          <w:marRight w:val="0"/>
          <w:marTop w:val="0"/>
          <w:marBottom w:val="0"/>
          <w:divBdr>
            <w:top w:val="none" w:sz="0" w:space="0" w:color="auto"/>
            <w:left w:val="none" w:sz="0" w:space="0" w:color="auto"/>
            <w:bottom w:val="none" w:sz="0" w:space="0" w:color="auto"/>
            <w:right w:val="none" w:sz="0" w:space="0" w:color="auto"/>
          </w:divBdr>
        </w:div>
        <w:div w:id="834566938">
          <w:marLeft w:val="640"/>
          <w:marRight w:val="0"/>
          <w:marTop w:val="0"/>
          <w:marBottom w:val="0"/>
          <w:divBdr>
            <w:top w:val="none" w:sz="0" w:space="0" w:color="auto"/>
            <w:left w:val="none" w:sz="0" w:space="0" w:color="auto"/>
            <w:bottom w:val="none" w:sz="0" w:space="0" w:color="auto"/>
            <w:right w:val="none" w:sz="0" w:space="0" w:color="auto"/>
          </w:divBdr>
        </w:div>
        <w:div w:id="1282344112">
          <w:marLeft w:val="640"/>
          <w:marRight w:val="0"/>
          <w:marTop w:val="0"/>
          <w:marBottom w:val="0"/>
          <w:divBdr>
            <w:top w:val="none" w:sz="0" w:space="0" w:color="auto"/>
            <w:left w:val="none" w:sz="0" w:space="0" w:color="auto"/>
            <w:bottom w:val="none" w:sz="0" w:space="0" w:color="auto"/>
            <w:right w:val="none" w:sz="0" w:space="0" w:color="auto"/>
          </w:divBdr>
        </w:div>
        <w:div w:id="1695494360">
          <w:marLeft w:val="640"/>
          <w:marRight w:val="0"/>
          <w:marTop w:val="0"/>
          <w:marBottom w:val="0"/>
          <w:divBdr>
            <w:top w:val="none" w:sz="0" w:space="0" w:color="auto"/>
            <w:left w:val="none" w:sz="0" w:space="0" w:color="auto"/>
            <w:bottom w:val="none" w:sz="0" w:space="0" w:color="auto"/>
            <w:right w:val="none" w:sz="0" w:space="0" w:color="auto"/>
          </w:divBdr>
        </w:div>
        <w:div w:id="1633748547">
          <w:marLeft w:val="640"/>
          <w:marRight w:val="0"/>
          <w:marTop w:val="0"/>
          <w:marBottom w:val="0"/>
          <w:divBdr>
            <w:top w:val="none" w:sz="0" w:space="0" w:color="auto"/>
            <w:left w:val="none" w:sz="0" w:space="0" w:color="auto"/>
            <w:bottom w:val="none" w:sz="0" w:space="0" w:color="auto"/>
            <w:right w:val="none" w:sz="0" w:space="0" w:color="auto"/>
          </w:divBdr>
        </w:div>
      </w:divsChild>
    </w:div>
    <w:div w:id="1430739838">
      <w:bodyDiv w:val="1"/>
      <w:marLeft w:val="0"/>
      <w:marRight w:val="0"/>
      <w:marTop w:val="0"/>
      <w:marBottom w:val="0"/>
      <w:divBdr>
        <w:top w:val="none" w:sz="0" w:space="0" w:color="auto"/>
        <w:left w:val="none" w:sz="0" w:space="0" w:color="auto"/>
        <w:bottom w:val="none" w:sz="0" w:space="0" w:color="auto"/>
        <w:right w:val="none" w:sz="0" w:space="0" w:color="auto"/>
      </w:divBdr>
    </w:div>
    <w:div w:id="1431853355">
      <w:bodyDiv w:val="1"/>
      <w:marLeft w:val="0"/>
      <w:marRight w:val="0"/>
      <w:marTop w:val="0"/>
      <w:marBottom w:val="0"/>
      <w:divBdr>
        <w:top w:val="none" w:sz="0" w:space="0" w:color="auto"/>
        <w:left w:val="none" w:sz="0" w:space="0" w:color="auto"/>
        <w:bottom w:val="none" w:sz="0" w:space="0" w:color="auto"/>
        <w:right w:val="none" w:sz="0" w:space="0" w:color="auto"/>
      </w:divBdr>
    </w:div>
    <w:div w:id="1432355400">
      <w:bodyDiv w:val="1"/>
      <w:marLeft w:val="0"/>
      <w:marRight w:val="0"/>
      <w:marTop w:val="0"/>
      <w:marBottom w:val="0"/>
      <w:divBdr>
        <w:top w:val="none" w:sz="0" w:space="0" w:color="auto"/>
        <w:left w:val="none" w:sz="0" w:space="0" w:color="auto"/>
        <w:bottom w:val="none" w:sz="0" w:space="0" w:color="auto"/>
        <w:right w:val="none" w:sz="0" w:space="0" w:color="auto"/>
      </w:divBdr>
    </w:div>
    <w:div w:id="1433432356">
      <w:bodyDiv w:val="1"/>
      <w:marLeft w:val="0"/>
      <w:marRight w:val="0"/>
      <w:marTop w:val="0"/>
      <w:marBottom w:val="0"/>
      <w:divBdr>
        <w:top w:val="none" w:sz="0" w:space="0" w:color="auto"/>
        <w:left w:val="none" w:sz="0" w:space="0" w:color="auto"/>
        <w:bottom w:val="none" w:sz="0" w:space="0" w:color="auto"/>
        <w:right w:val="none" w:sz="0" w:space="0" w:color="auto"/>
      </w:divBdr>
    </w:div>
    <w:div w:id="1433627820">
      <w:bodyDiv w:val="1"/>
      <w:marLeft w:val="0"/>
      <w:marRight w:val="0"/>
      <w:marTop w:val="0"/>
      <w:marBottom w:val="0"/>
      <w:divBdr>
        <w:top w:val="none" w:sz="0" w:space="0" w:color="auto"/>
        <w:left w:val="none" w:sz="0" w:space="0" w:color="auto"/>
        <w:bottom w:val="none" w:sz="0" w:space="0" w:color="auto"/>
        <w:right w:val="none" w:sz="0" w:space="0" w:color="auto"/>
      </w:divBdr>
    </w:div>
    <w:div w:id="1435398841">
      <w:bodyDiv w:val="1"/>
      <w:marLeft w:val="0"/>
      <w:marRight w:val="0"/>
      <w:marTop w:val="0"/>
      <w:marBottom w:val="0"/>
      <w:divBdr>
        <w:top w:val="none" w:sz="0" w:space="0" w:color="auto"/>
        <w:left w:val="none" w:sz="0" w:space="0" w:color="auto"/>
        <w:bottom w:val="none" w:sz="0" w:space="0" w:color="auto"/>
        <w:right w:val="none" w:sz="0" w:space="0" w:color="auto"/>
      </w:divBdr>
    </w:div>
    <w:div w:id="1436442902">
      <w:bodyDiv w:val="1"/>
      <w:marLeft w:val="0"/>
      <w:marRight w:val="0"/>
      <w:marTop w:val="0"/>
      <w:marBottom w:val="0"/>
      <w:divBdr>
        <w:top w:val="none" w:sz="0" w:space="0" w:color="auto"/>
        <w:left w:val="none" w:sz="0" w:space="0" w:color="auto"/>
        <w:bottom w:val="none" w:sz="0" w:space="0" w:color="auto"/>
        <w:right w:val="none" w:sz="0" w:space="0" w:color="auto"/>
      </w:divBdr>
    </w:div>
    <w:div w:id="1436484362">
      <w:bodyDiv w:val="1"/>
      <w:marLeft w:val="0"/>
      <w:marRight w:val="0"/>
      <w:marTop w:val="0"/>
      <w:marBottom w:val="0"/>
      <w:divBdr>
        <w:top w:val="none" w:sz="0" w:space="0" w:color="auto"/>
        <w:left w:val="none" w:sz="0" w:space="0" w:color="auto"/>
        <w:bottom w:val="none" w:sz="0" w:space="0" w:color="auto"/>
        <w:right w:val="none" w:sz="0" w:space="0" w:color="auto"/>
      </w:divBdr>
    </w:div>
    <w:div w:id="1436562520">
      <w:bodyDiv w:val="1"/>
      <w:marLeft w:val="0"/>
      <w:marRight w:val="0"/>
      <w:marTop w:val="0"/>
      <w:marBottom w:val="0"/>
      <w:divBdr>
        <w:top w:val="none" w:sz="0" w:space="0" w:color="auto"/>
        <w:left w:val="none" w:sz="0" w:space="0" w:color="auto"/>
        <w:bottom w:val="none" w:sz="0" w:space="0" w:color="auto"/>
        <w:right w:val="none" w:sz="0" w:space="0" w:color="auto"/>
      </w:divBdr>
    </w:div>
    <w:div w:id="1437555731">
      <w:bodyDiv w:val="1"/>
      <w:marLeft w:val="0"/>
      <w:marRight w:val="0"/>
      <w:marTop w:val="0"/>
      <w:marBottom w:val="0"/>
      <w:divBdr>
        <w:top w:val="none" w:sz="0" w:space="0" w:color="auto"/>
        <w:left w:val="none" w:sz="0" w:space="0" w:color="auto"/>
        <w:bottom w:val="none" w:sz="0" w:space="0" w:color="auto"/>
        <w:right w:val="none" w:sz="0" w:space="0" w:color="auto"/>
      </w:divBdr>
    </w:div>
    <w:div w:id="1437603380">
      <w:bodyDiv w:val="1"/>
      <w:marLeft w:val="0"/>
      <w:marRight w:val="0"/>
      <w:marTop w:val="0"/>
      <w:marBottom w:val="0"/>
      <w:divBdr>
        <w:top w:val="none" w:sz="0" w:space="0" w:color="auto"/>
        <w:left w:val="none" w:sz="0" w:space="0" w:color="auto"/>
        <w:bottom w:val="none" w:sz="0" w:space="0" w:color="auto"/>
        <w:right w:val="none" w:sz="0" w:space="0" w:color="auto"/>
      </w:divBdr>
    </w:div>
    <w:div w:id="1438909497">
      <w:bodyDiv w:val="1"/>
      <w:marLeft w:val="0"/>
      <w:marRight w:val="0"/>
      <w:marTop w:val="0"/>
      <w:marBottom w:val="0"/>
      <w:divBdr>
        <w:top w:val="none" w:sz="0" w:space="0" w:color="auto"/>
        <w:left w:val="none" w:sz="0" w:space="0" w:color="auto"/>
        <w:bottom w:val="none" w:sz="0" w:space="0" w:color="auto"/>
        <w:right w:val="none" w:sz="0" w:space="0" w:color="auto"/>
      </w:divBdr>
    </w:div>
    <w:div w:id="1441870948">
      <w:bodyDiv w:val="1"/>
      <w:marLeft w:val="0"/>
      <w:marRight w:val="0"/>
      <w:marTop w:val="0"/>
      <w:marBottom w:val="0"/>
      <w:divBdr>
        <w:top w:val="none" w:sz="0" w:space="0" w:color="auto"/>
        <w:left w:val="none" w:sz="0" w:space="0" w:color="auto"/>
        <w:bottom w:val="none" w:sz="0" w:space="0" w:color="auto"/>
        <w:right w:val="none" w:sz="0" w:space="0" w:color="auto"/>
      </w:divBdr>
    </w:div>
    <w:div w:id="1441992003">
      <w:bodyDiv w:val="1"/>
      <w:marLeft w:val="0"/>
      <w:marRight w:val="0"/>
      <w:marTop w:val="0"/>
      <w:marBottom w:val="0"/>
      <w:divBdr>
        <w:top w:val="none" w:sz="0" w:space="0" w:color="auto"/>
        <w:left w:val="none" w:sz="0" w:space="0" w:color="auto"/>
        <w:bottom w:val="none" w:sz="0" w:space="0" w:color="auto"/>
        <w:right w:val="none" w:sz="0" w:space="0" w:color="auto"/>
      </w:divBdr>
    </w:div>
    <w:div w:id="1445491118">
      <w:bodyDiv w:val="1"/>
      <w:marLeft w:val="0"/>
      <w:marRight w:val="0"/>
      <w:marTop w:val="0"/>
      <w:marBottom w:val="0"/>
      <w:divBdr>
        <w:top w:val="none" w:sz="0" w:space="0" w:color="auto"/>
        <w:left w:val="none" w:sz="0" w:space="0" w:color="auto"/>
        <w:bottom w:val="none" w:sz="0" w:space="0" w:color="auto"/>
        <w:right w:val="none" w:sz="0" w:space="0" w:color="auto"/>
      </w:divBdr>
    </w:div>
    <w:div w:id="1445735268">
      <w:bodyDiv w:val="1"/>
      <w:marLeft w:val="0"/>
      <w:marRight w:val="0"/>
      <w:marTop w:val="0"/>
      <w:marBottom w:val="0"/>
      <w:divBdr>
        <w:top w:val="none" w:sz="0" w:space="0" w:color="auto"/>
        <w:left w:val="none" w:sz="0" w:space="0" w:color="auto"/>
        <w:bottom w:val="none" w:sz="0" w:space="0" w:color="auto"/>
        <w:right w:val="none" w:sz="0" w:space="0" w:color="auto"/>
      </w:divBdr>
    </w:div>
    <w:div w:id="1446728948">
      <w:bodyDiv w:val="1"/>
      <w:marLeft w:val="0"/>
      <w:marRight w:val="0"/>
      <w:marTop w:val="0"/>
      <w:marBottom w:val="0"/>
      <w:divBdr>
        <w:top w:val="none" w:sz="0" w:space="0" w:color="auto"/>
        <w:left w:val="none" w:sz="0" w:space="0" w:color="auto"/>
        <w:bottom w:val="none" w:sz="0" w:space="0" w:color="auto"/>
        <w:right w:val="none" w:sz="0" w:space="0" w:color="auto"/>
      </w:divBdr>
    </w:div>
    <w:div w:id="1449354427">
      <w:bodyDiv w:val="1"/>
      <w:marLeft w:val="0"/>
      <w:marRight w:val="0"/>
      <w:marTop w:val="0"/>
      <w:marBottom w:val="0"/>
      <w:divBdr>
        <w:top w:val="none" w:sz="0" w:space="0" w:color="auto"/>
        <w:left w:val="none" w:sz="0" w:space="0" w:color="auto"/>
        <w:bottom w:val="none" w:sz="0" w:space="0" w:color="auto"/>
        <w:right w:val="none" w:sz="0" w:space="0" w:color="auto"/>
      </w:divBdr>
    </w:div>
    <w:div w:id="1449662683">
      <w:bodyDiv w:val="1"/>
      <w:marLeft w:val="0"/>
      <w:marRight w:val="0"/>
      <w:marTop w:val="0"/>
      <w:marBottom w:val="0"/>
      <w:divBdr>
        <w:top w:val="none" w:sz="0" w:space="0" w:color="auto"/>
        <w:left w:val="none" w:sz="0" w:space="0" w:color="auto"/>
        <w:bottom w:val="none" w:sz="0" w:space="0" w:color="auto"/>
        <w:right w:val="none" w:sz="0" w:space="0" w:color="auto"/>
      </w:divBdr>
    </w:div>
    <w:div w:id="1451708909">
      <w:bodyDiv w:val="1"/>
      <w:marLeft w:val="0"/>
      <w:marRight w:val="0"/>
      <w:marTop w:val="0"/>
      <w:marBottom w:val="0"/>
      <w:divBdr>
        <w:top w:val="none" w:sz="0" w:space="0" w:color="auto"/>
        <w:left w:val="none" w:sz="0" w:space="0" w:color="auto"/>
        <w:bottom w:val="none" w:sz="0" w:space="0" w:color="auto"/>
        <w:right w:val="none" w:sz="0" w:space="0" w:color="auto"/>
      </w:divBdr>
    </w:div>
    <w:div w:id="1452162204">
      <w:bodyDiv w:val="1"/>
      <w:marLeft w:val="0"/>
      <w:marRight w:val="0"/>
      <w:marTop w:val="0"/>
      <w:marBottom w:val="0"/>
      <w:divBdr>
        <w:top w:val="none" w:sz="0" w:space="0" w:color="auto"/>
        <w:left w:val="none" w:sz="0" w:space="0" w:color="auto"/>
        <w:bottom w:val="none" w:sz="0" w:space="0" w:color="auto"/>
        <w:right w:val="none" w:sz="0" w:space="0" w:color="auto"/>
      </w:divBdr>
    </w:div>
    <w:div w:id="1453204017">
      <w:bodyDiv w:val="1"/>
      <w:marLeft w:val="0"/>
      <w:marRight w:val="0"/>
      <w:marTop w:val="0"/>
      <w:marBottom w:val="0"/>
      <w:divBdr>
        <w:top w:val="none" w:sz="0" w:space="0" w:color="auto"/>
        <w:left w:val="none" w:sz="0" w:space="0" w:color="auto"/>
        <w:bottom w:val="none" w:sz="0" w:space="0" w:color="auto"/>
        <w:right w:val="none" w:sz="0" w:space="0" w:color="auto"/>
      </w:divBdr>
    </w:div>
    <w:div w:id="1454052710">
      <w:bodyDiv w:val="1"/>
      <w:marLeft w:val="0"/>
      <w:marRight w:val="0"/>
      <w:marTop w:val="0"/>
      <w:marBottom w:val="0"/>
      <w:divBdr>
        <w:top w:val="none" w:sz="0" w:space="0" w:color="auto"/>
        <w:left w:val="none" w:sz="0" w:space="0" w:color="auto"/>
        <w:bottom w:val="none" w:sz="0" w:space="0" w:color="auto"/>
        <w:right w:val="none" w:sz="0" w:space="0" w:color="auto"/>
      </w:divBdr>
    </w:div>
    <w:div w:id="1454179337">
      <w:bodyDiv w:val="1"/>
      <w:marLeft w:val="0"/>
      <w:marRight w:val="0"/>
      <w:marTop w:val="0"/>
      <w:marBottom w:val="0"/>
      <w:divBdr>
        <w:top w:val="none" w:sz="0" w:space="0" w:color="auto"/>
        <w:left w:val="none" w:sz="0" w:space="0" w:color="auto"/>
        <w:bottom w:val="none" w:sz="0" w:space="0" w:color="auto"/>
        <w:right w:val="none" w:sz="0" w:space="0" w:color="auto"/>
      </w:divBdr>
    </w:div>
    <w:div w:id="1456942554">
      <w:bodyDiv w:val="1"/>
      <w:marLeft w:val="0"/>
      <w:marRight w:val="0"/>
      <w:marTop w:val="0"/>
      <w:marBottom w:val="0"/>
      <w:divBdr>
        <w:top w:val="none" w:sz="0" w:space="0" w:color="auto"/>
        <w:left w:val="none" w:sz="0" w:space="0" w:color="auto"/>
        <w:bottom w:val="none" w:sz="0" w:space="0" w:color="auto"/>
        <w:right w:val="none" w:sz="0" w:space="0" w:color="auto"/>
      </w:divBdr>
    </w:div>
    <w:div w:id="1457066119">
      <w:bodyDiv w:val="1"/>
      <w:marLeft w:val="0"/>
      <w:marRight w:val="0"/>
      <w:marTop w:val="0"/>
      <w:marBottom w:val="0"/>
      <w:divBdr>
        <w:top w:val="none" w:sz="0" w:space="0" w:color="auto"/>
        <w:left w:val="none" w:sz="0" w:space="0" w:color="auto"/>
        <w:bottom w:val="none" w:sz="0" w:space="0" w:color="auto"/>
        <w:right w:val="none" w:sz="0" w:space="0" w:color="auto"/>
      </w:divBdr>
      <w:divsChild>
        <w:div w:id="1925257993">
          <w:marLeft w:val="640"/>
          <w:marRight w:val="0"/>
          <w:marTop w:val="0"/>
          <w:marBottom w:val="0"/>
          <w:divBdr>
            <w:top w:val="none" w:sz="0" w:space="0" w:color="auto"/>
            <w:left w:val="none" w:sz="0" w:space="0" w:color="auto"/>
            <w:bottom w:val="none" w:sz="0" w:space="0" w:color="auto"/>
            <w:right w:val="none" w:sz="0" w:space="0" w:color="auto"/>
          </w:divBdr>
        </w:div>
        <w:div w:id="660238315">
          <w:marLeft w:val="640"/>
          <w:marRight w:val="0"/>
          <w:marTop w:val="0"/>
          <w:marBottom w:val="0"/>
          <w:divBdr>
            <w:top w:val="none" w:sz="0" w:space="0" w:color="auto"/>
            <w:left w:val="none" w:sz="0" w:space="0" w:color="auto"/>
            <w:bottom w:val="none" w:sz="0" w:space="0" w:color="auto"/>
            <w:right w:val="none" w:sz="0" w:space="0" w:color="auto"/>
          </w:divBdr>
        </w:div>
        <w:div w:id="921911708">
          <w:marLeft w:val="640"/>
          <w:marRight w:val="0"/>
          <w:marTop w:val="0"/>
          <w:marBottom w:val="0"/>
          <w:divBdr>
            <w:top w:val="none" w:sz="0" w:space="0" w:color="auto"/>
            <w:left w:val="none" w:sz="0" w:space="0" w:color="auto"/>
            <w:bottom w:val="none" w:sz="0" w:space="0" w:color="auto"/>
            <w:right w:val="none" w:sz="0" w:space="0" w:color="auto"/>
          </w:divBdr>
        </w:div>
        <w:div w:id="549801337">
          <w:marLeft w:val="640"/>
          <w:marRight w:val="0"/>
          <w:marTop w:val="0"/>
          <w:marBottom w:val="0"/>
          <w:divBdr>
            <w:top w:val="none" w:sz="0" w:space="0" w:color="auto"/>
            <w:left w:val="none" w:sz="0" w:space="0" w:color="auto"/>
            <w:bottom w:val="none" w:sz="0" w:space="0" w:color="auto"/>
            <w:right w:val="none" w:sz="0" w:space="0" w:color="auto"/>
          </w:divBdr>
        </w:div>
        <w:div w:id="976300108">
          <w:marLeft w:val="640"/>
          <w:marRight w:val="0"/>
          <w:marTop w:val="0"/>
          <w:marBottom w:val="0"/>
          <w:divBdr>
            <w:top w:val="none" w:sz="0" w:space="0" w:color="auto"/>
            <w:left w:val="none" w:sz="0" w:space="0" w:color="auto"/>
            <w:bottom w:val="none" w:sz="0" w:space="0" w:color="auto"/>
            <w:right w:val="none" w:sz="0" w:space="0" w:color="auto"/>
          </w:divBdr>
        </w:div>
        <w:div w:id="16588620">
          <w:marLeft w:val="640"/>
          <w:marRight w:val="0"/>
          <w:marTop w:val="0"/>
          <w:marBottom w:val="0"/>
          <w:divBdr>
            <w:top w:val="none" w:sz="0" w:space="0" w:color="auto"/>
            <w:left w:val="none" w:sz="0" w:space="0" w:color="auto"/>
            <w:bottom w:val="none" w:sz="0" w:space="0" w:color="auto"/>
            <w:right w:val="none" w:sz="0" w:space="0" w:color="auto"/>
          </w:divBdr>
        </w:div>
        <w:div w:id="907377261">
          <w:marLeft w:val="640"/>
          <w:marRight w:val="0"/>
          <w:marTop w:val="0"/>
          <w:marBottom w:val="0"/>
          <w:divBdr>
            <w:top w:val="none" w:sz="0" w:space="0" w:color="auto"/>
            <w:left w:val="none" w:sz="0" w:space="0" w:color="auto"/>
            <w:bottom w:val="none" w:sz="0" w:space="0" w:color="auto"/>
            <w:right w:val="none" w:sz="0" w:space="0" w:color="auto"/>
          </w:divBdr>
        </w:div>
        <w:div w:id="1204752291">
          <w:marLeft w:val="640"/>
          <w:marRight w:val="0"/>
          <w:marTop w:val="0"/>
          <w:marBottom w:val="0"/>
          <w:divBdr>
            <w:top w:val="none" w:sz="0" w:space="0" w:color="auto"/>
            <w:left w:val="none" w:sz="0" w:space="0" w:color="auto"/>
            <w:bottom w:val="none" w:sz="0" w:space="0" w:color="auto"/>
            <w:right w:val="none" w:sz="0" w:space="0" w:color="auto"/>
          </w:divBdr>
        </w:div>
        <w:div w:id="2107580206">
          <w:marLeft w:val="640"/>
          <w:marRight w:val="0"/>
          <w:marTop w:val="0"/>
          <w:marBottom w:val="0"/>
          <w:divBdr>
            <w:top w:val="none" w:sz="0" w:space="0" w:color="auto"/>
            <w:left w:val="none" w:sz="0" w:space="0" w:color="auto"/>
            <w:bottom w:val="none" w:sz="0" w:space="0" w:color="auto"/>
            <w:right w:val="none" w:sz="0" w:space="0" w:color="auto"/>
          </w:divBdr>
        </w:div>
        <w:div w:id="638610042">
          <w:marLeft w:val="640"/>
          <w:marRight w:val="0"/>
          <w:marTop w:val="0"/>
          <w:marBottom w:val="0"/>
          <w:divBdr>
            <w:top w:val="none" w:sz="0" w:space="0" w:color="auto"/>
            <w:left w:val="none" w:sz="0" w:space="0" w:color="auto"/>
            <w:bottom w:val="none" w:sz="0" w:space="0" w:color="auto"/>
            <w:right w:val="none" w:sz="0" w:space="0" w:color="auto"/>
          </w:divBdr>
        </w:div>
        <w:div w:id="2027634708">
          <w:marLeft w:val="640"/>
          <w:marRight w:val="0"/>
          <w:marTop w:val="0"/>
          <w:marBottom w:val="0"/>
          <w:divBdr>
            <w:top w:val="none" w:sz="0" w:space="0" w:color="auto"/>
            <w:left w:val="none" w:sz="0" w:space="0" w:color="auto"/>
            <w:bottom w:val="none" w:sz="0" w:space="0" w:color="auto"/>
            <w:right w:val="none" w:sz="0" w:space="0" w:color="auto"/>
          </w:divBdr>
        </w:div>
        <w:div w:id="1304581761">
          <w:marLeft w:val="640"/>
          <w:marRight w:val="0"/>
          <w:marTop w:val="0"/>
          <w:marBottom w:val="0"/>
          <w:divBdr>
            <w:top w:val="none" w:sz="0" w:space="0" w:color="auto"/>
            <w:left w:val="none" w:sz="0" w:space="0" w:color="auto"/>
            <w:bottom w:val="none" w:sz="0" w:space="0" w:color="auto"/>
            <w:right w:val="none" w:sz="0" w:space="0" w:color="auto"/>
          </w:divBdr>
        </w:div>
        <w:div w:id="789130797">
          <w:marLeft w:val="640"/>
          <w:marRight w:val="0"/>
          <w:marTop w:val="0"/>
          <w:marBottom w:val="0"/>
          <w:divBdr>
            <w:top w:val="none" w:sz="0" w:space="0" w:color="auto"/>
            <w:left w:val="none" w:sz="0" w:space="0" w:color="auto"/>
            <w:bottom w:val="none" w:sz="0" w:space="0" w:color="auto"/>
            <w:right w:val="none" w:sz="0" w:space="0" w:color="auto"/>
          </w:divBdr>
        </w:div>
        <w:div w:id="100073611">
          <w:marLeft w:val="640"/>
          <w:marRight w:val="0"/>
          <w:marTop w:val="0"/>
          <w:marBottom w:val="0"/>
          <w:divBdr>
            <w:top w:val="none" w:sz="0" w:space="0" w:color="auto"/>
            <w:left w:val="none" w:sz="0" w:space="0" w:color="auto"/>
            <w:bottom w:val="none" w:sz="0" w:space="0" w:color="auto"/>
            <w:right w:val="none" w:sz="0" w:space="0" w:color="auto"/>
          </w:divBdr>
        </w:div>
        <w:div w:id="1316303450">
          <w:marLeft w:val="640"/>
          <w:marRight w:val="0"/>
          <w:marTop w:val="0"/>
          <w:marBottom w:val="0"/>
          <w:divBdr>
            <w:top w:val="none" w:sz="0" w:space="0" w:color="auto"/>
            <w:left w:val="none" w:sz="0" w:space="0" w:color="auto"/>
            <w:bottom w:val="none" w:sz="0" w:space="0" w:color="auto"/>
            <w:right w:val="none" w:sz="0" w:space="0" w:color="auto"/>
          </w:divBdr>
        </w:div>
        <w:div w:id="918901732">
          <w:marLeft w:val="640"/>
          <w:marRight w:val="0"/>
          <w:marTop w:val="0"/>
          <w:marBottom w:val="0"/>
          <w:divBdr>
            <w:top w:val="none" w:sz="0" w:space="0" w:color="auto"/>
            <w:left w:val="none" w:sz="0" w:space="0" w:color="auto"/>
            <w:bottom w:val="none" w:sz="0" w:space="0" w:color="auto"/>
            <w:right w:val="none" w:sz="0" w:space="0" w:color="auto"/>
          </w:divBdr>
        </w:div>
        <w:div w:id="1876576155">
          <w:marLeft w:val="640"/>
          <w:marRight w:val="0"/>
          <w:marTop w:val="0"/>
          <w:marBottom w:val="0"/>
          <w:divBdr>
            <w:top w:val="none" w:sz="0" w:space="0" w:color="auto"/>
            <w:left w:val="none" w:sz="0" w:space="0" w:color="auto"/>
            <w:bottom w:val="none" w:sz="0" w:space="0" w:color="auto"/>
            <w:right w:val="none" w:sz="0" w:space="0" w:color="auto"/>
          </w:divBdr>
        </w:div>
        <w:div w:id="652099396">
          <w:marLeft w:val="640"/>
          <w:marRight w:val="0"/>
          <w:marTop w:val="0"/>
          <w:marBottom w:val="0"/>
          <w:divBdr>
            <w:top w:val="none" w:sz="0" w:space="0" w:color="auto"/>
            <w:left w:val="none" w:sz="0" w:space="0" w:color="auto"/>
            <w:bottom w:val="none" w:sz="0" w:space="0" w:color="auto"/>
            <w:right w:val="none" w:sz="0" w:space="0" w:color="auto"/>
          </w:divBdr>
        </w:div>
        <w:div w:id="825783723">
          <w:marLeft w:val="640"/>
          <w:marRight w:val="0"/>
          <w:marTop w:val="0"/>
          <w:marBottom w:val="0"/>
          <w:divBdr>
            <w:top w:val="none" w:sz="0" w:space="0" w:color="auto"/>
            <w:left w:val="none" w:sz="0" w:space="0" w:color="auto"/>
            <w:bottom w:val="none" w:sz="0" w:space="0" w:color="auto"/>
            <w:right w:val="none" w:sz="0" w:space="0" w:color="auto"/>
          </w:divBdr>
        </w:div>
        <w:div w:id="1107887521">
          <w:marLeft w:val="640"/>
          <w:marRight w:val="0"/>
          <w:marTop w:val="0"/>
          <w:marBottom w:val="0"/>
          <w:divBdr>
            <w:top w:val="none" w:sz="0" w:space="0" w:color="auto"/>
            <w:left w:val="none" w:sz="0" w:space="0" w:color="auto"/>
            <w:bottom w:val="none" w:sz="0" w:space="0" w:color="auto"/>
            <w:right w:val="none" w:sz="0" w:space="0" w:color="auto"/>
          </w:divBdr>
        </w:div>
        <w:div w:id="1775780203">
          <w:marLeft w:val="640"/>
          <w:marRight w:val="0"/>
          <w:marTop w:val="0"/>
          <w:marBottom w:val="0"/>
          <w:divBdr>
            <w:top w:val="none" w:sz="0" w:space="0" w:color="auto"/>
            <w:left w:val="none" w:sz="0" w:space="0" w:color="auto"/>
            <w:bottom w:val="none" w:sz="0" w:space="0" w:color="auto"/>
            <w:right w:val="none" w:sz="0" w:space="0" w:color="auto"/>
          </w:divBdr>
        </w:div>
        <w:div w:id="901403047">
          <w:marLeft w:val="640"/>
          <w:marRight w:val="0"/>
          <w:marTop w:val="0"/>
          <w:marBottom w:val="0"/>
          <w:divBdr>
            <w:top w:val="none" w:sz="0" w:space="0" w:color="auto"/>
            <w:left w:val="none" w:sz="0" w:space="0" w:color="auto"/>
            <w:bottom w:val="none" w:sz="0" w:space="0" w:color="auto"/>
            <w:right w:val="none" w:sz="0" w:space="0" w:color="auto"/>
          </w:divBdr>
        </w:div>
        <w:div w:id="536042115">
          <w:marLeft w:val="640"/>
          <w:marRight w:val="0"/>
          <w:marTop w:val="0"/>
          <w:marBottom w:val="0"/>
          <w:divBdr>
            <w:top w:val="none" w:sz="0" w:space="0" w:color="auto"/>
            <w:left w:val="none" w:sz="0" w:space="0" w:color="auto"/>
            <w:bottom w:val="none" w:sz="0" w:space="0" w:color="auto"/>
            <w:right w:val="none" w:sz="0" w:space="0" w:color="auto"/>
          </w:divBdr>
        </w:div>
        <w:div w:id="2052073139">
          <w:marLeft w:val="640"/>
          <w:marRight w:val="0"/>
          <w:marTop w:val="0"/>
          <w:marBottom w:val="0"/>
          <w:divBdr>
            <w:top w:val="none" w:sz="0" w:space="0" w:color="auto"/>
            <w:left w:val="none" w:sz="0" w:space="0" w:color="auto"/>
            <w:bottom w:val="none" w:sz="0" w:space="0" w:color="auto"/>
            <w:right w:val="none" w:sz="0" w:space="0" w:color="auto"/>
          </w:divBdr>
        </w:div>
        <w:div w:id="1161116327">
          <w:marLeft w:val="640"/>
          <w:marRight w:val="0"/>
          <w:marTop w:val="0"/>
          <w:marBottom w:val="0"/>
          <w:divBdr>
            <w:top w:val="none" w:sz="0" w:space="0" w:color="auto"/>
            <w:left w:val="none" w:sz="0" w:space="0" w:color="auto"/>
            <w:bottom w:val="none" w:sz="0" w:space="0" w:color="auto"/>
            <w:right w:val="none" w:sz="0" w:space="0" w:color="auto"/>
          </w:divBdr>
        </w:div>
        <w:div w:id="797769751">
          <w:marLeft w:val="640"/>
          <w:marRight w:val="0"/>
          <w:marTop w:val="0"/>
          <w:marBottom w:val="0"/>
          <w:divBdr>
            <w:top w:val="none" w:sz="0" w:space="0" w:color="auto"/>
            <w:left w:val="none" w:sz="0" w:space="0" w:color="auto"/>
            <w:bottom w:val="none" w:sz="0" w:space="0" w:color="auto"/>
            <w:right w:val="none" w:sz="0" w:space="0" w:color="auto"/>
          </w:divBdr>
        </w:div>
        <w:div w:id="1763332093">
          <w:marLeft w:val="640"/>
          <w:marRight w:val="0"/>
          <w:marTop w:val="0"/>
          <w:marBottom w:val="0"/>
          <w:divBdr>
            <w:top w:val="none" w:sz="0" w:space="0" w:color="auto"/>
            <w:left w:val="none" w:sz="0" w:space="0" w:color="auto"/>
            <w:bottom w:val="none" w:sz="0" w:space="0" w:color="auto"/>
            <w:right w:val="none" w:sz="0" w:space="0" w:color="auto"/>
          </w:divBdr>
        </w:div>
        <w:div w:id="843323663">
          <w:marLeft w:val="640"/>
          <w:marRight w:val="0"/>
          <w:marTop w:val="0"/>
          <w:marBottom w:val="0"/>
          <w:divBdr>
            <w:top w:val="none" w:sz="0" w:space="0" w:color="auto"/>
            <w:left w:val="none" w:sz="0" w:space="0" w:color="auto"/>
            <w:bottom w:val="none" w:sz="0" w:space="0" w:color="auto"/>
            <w:right w:val="none" w:sz="0" w:space="0" w:color="auto"/>
          </w:divBdr>
        </w:div>
        <w:div w:id="1404520726">
          <w:marLeft w:val="640"/>
          <w:marRight w:val="0"/>
          <w:marTop w:val="0"/>
          <w:marBottom w:val="0"/>
          <w:divBdr>
            <w:top w:val="none" w:sz="0" w:space="0" w:color="auto"/>
            <w:left w:val="none" w:sz="0" w:space="0" w:color="auto"/>
            <w:bottom w:val="none" w:sz="0" w:space="0" w:color="auto"/>
            <w:right w:val="none" w:sz="0" w:space="0" w:color="auto"/>
          </w:divBdr>
        </w:div>
        <w:div w:id="1762949879">
          <w:marLeft w:val="640"/>
          <w:marRight w:val="0"/>
          <w:marTop w:val="0"/>
          <w:marBottom w:val="0"/>
          <w:divBdr>
            <w:top w:val="none" w:sz="0" w:space="0" w:color="auto"/>
            <w:left w:val="none" w:sz="0" w:space="0" w:color="auto"/>
            <w:bottom w:val="none" w:sz="0" w:space="0" w:color="auto"/>
            <w:right w:val="none" w:sz="0" w:space="0" w:color="auto"/>
          </w:divBdr>
        </w:div>
        <w:div w:id="2027051139">
          <w:marLeft w:val="640"/>
          <w:marRight w:val="0"/>
          <w:marTop w:val="0"/>
          <w:marBottom w:val="0"/>
          <w:divBdr>
            <w:top w:val="none" w:sz="0" w:space="0" w:color="auto"/>
            <w:left w:val="none" w:sz="0" w:space="0" w:color="auto"/>
            <w:bottom w:val="none" w:sz="0" w:space="0" w:color="auto"/>
            <w:right w:val="none" w:sz="0" w:space="0" w:color="auto"/>
          </w:divBdr>
        </w:div>
        <w:div w:id="1193612005">
          <w:marLeft w:val="640"/>
          <w:marRight w:val="0"/>
          <w:marTop w:val="0"/>
          <w:marBottom w:val="0"/>
          <w:divBdr>
            <w:top w:val="none" w:sz="0" w:space="0" w:color="auto"/>
            <w:left w:val="none" w:sz="0" w:space="0" w:color="auto"/>
            <w:bottom w:val="none" w:sz="0" w:space="0" w:color="auto"/>
            <w:right w:val="none" w:sz="0" w:space="0" w:color="auto"/>
          </w:divBdr>
        </w:div>
        <w:div w:id="2028941120">
          <w:marLeft w:val="640"/>
          <w:marRight w:val="0"/>
          <w:marTop w:val="0"/>
          <w:marBottom w:val="0"/>
          <w:divBdr>
            <w:top w:val="none" w:sz="0" w:space="0" w:color="auto"/>
            <w:left w:val="none" w:sz="0" w:space="0" w:color="auto"/>
            <w:bottom w:val="none" w:sz="0" w:space="0" w:color="auto"/>
            <w:right w:val="none" w:sz="0" w:space="0" w:color="auto"/>
          </w:divBdr>
        </w:div>
        <w:div w:id="1291744502">
          <w:marLeft w:val="640"/>
          <w:marRight w:val="0"/>
          <w:marTop w:val="0"/>
          <w:marBottom w:val="0"/>
          <w:divBdr>
            <w:top w:val="none" w:sz="0" w:space="0" w:color="auto"/>
            <w:left w:val="none" w:sz="0" w:space="0" w:color="auto"/>
            <w:bottom w:val="none" w:sz="0" w:space="0" w:color="auto"/>
            <w:right w:val="none" w:sz="0" w:space="0" w:color="auto"/>
          </w:divBdr>
        </w:div>
        <w:div w:id="846675569">
          <w:marLeft w:val="640"/>
          <w:marRight w:val="0"/>
          <w:marTop w:val="0"/>
          <w:marBottom w:val="0"/>
          <w:divBdr>
            <w:top w:val="none" w:sz="0" w:space="0" w:color="auto"/>
            <w:left w:val="none" w:sz="0" w:space="0" w:color="auto"/>
            <w:bottom w:val="none" w:sz="0" w:space="0" w:color="auto"/>
            <w:right w:val="none" w:sz="0" w:space="0" w:color="auto"/>
          </w:divBdr>
        </w:div>
        <w:div w:id="89158909">
          <w:marLeft w:val="640"/>
          <w:marRight w:val="0"/>
          <w:marTop w:val="0"/>
          <w:marBottom w:val="0"/>
          <w:divBdr>
            <w:top w:val="none" w:sz="0" w:space="0" w:color="auto"/>
            <w:left w:val="none" w:sz="0" w:space="0" w:color="auto"/>
            <w:bottom w:val="none" w:sz="0" w:space="0" w:color="auto"/>
            <w:right w:val="none" w:sz="0" w:space="0" w:color="auto"/>
          </w:divBdr>
        </w:div>
        <w:div w:id="1107193135">
          <w:marLeft w:val="640"/>
          <w:marRight w:val="0"/>
          <w:marTop w:val="0"/>
          <w:marBottom w:val="0"/>
          <w:divBdr>
            <w:top w:val="none" w:sz="0" w:space="0" w:color="auto"/>
            <w:left w:val="none" w:sz="0" w:space="0" w:color="auto"/>
            <w:bottom w:val="none" w:sz="0" w:space="0" w:color="auto"/>
            <w:right w:val="none" w:sz="0" w:space="0" w:color="auto"/>
          </w:divBdr>
        </w:div>
        <w:div w:id="996037039">
          <w:marLeft w:val="640"/>
          <w:marRight w:val="0"/>
          <w:marTop w:val="0"/>
          <w:marBottom w:val="0"/>
          <w:divBdr>
            <w:top w:val="none" w:sz="0" w:space="0" w:color="auto"/>
            <w:left w:val="none" w:sz="0" w:space="0" w:color="auto"/>
            <w:bottom w:val="none" w:sz="0" w:space="0" w:color="auto"/>
            <w:right w:val="none" w:sz="0" w:space="0" w:color="auto"/>
          </w:divBdr>
        </w:div>
        <w:div w:id="1370959184">
          <w:marLeft w:val="640"/>
          <w:marRight w:val="0"/>
          <w:marTop w:val="0"/>
          <w:marBottom w:val="0"/>
          <w:divBdr>
            <w:top w:val="none" w:sz="0" w:space="0" w:color="auto"/>
            <w:left w:val="none" w:sz="0" w:space="0" w:color="auto"/>
            <w:bottom w:val="none" w:sz="0" w:space="0" w:color="auto"/>
            <w:right w:val="none" w:sz="0" w:space="0" w:color="auto"/>
          </w:divBdr>
        </w:div>
        <w:div w:id="1774471789">
          <w:marLeft w:val="640"/>
          <w:marRight w:val="0"/>
          <w:marTop w:val="0"/>
          <w:marBottom w:val="0"/>
          <w:divBdr>
            <w:top w:val="none" w:sz="0" w:space="0" w:color="auto"/>
            <w:left w:val="none" w:sz="0" w:space="0" w:color="auto"/>
            <w:bottom w:val="none" w:sz="0" w:space="0" w:color="auto"/>
            <w:right w:val="none" w:sz="0" w:space="0" w:color="auto"/>
          </w:divBdr>
        </w:div>
        <w:div w:id="1478382048">
          <w:marLeft w:val="640"/>
          <w:marRight w:val="0"/>
          <w:marTop w:val="0"/>
          <w:marBottom w:val="0"/>
          <w:divBdr>
            <w:top w:val="none" w:sz="0" w:space="0" w:color="auto"/>
            <w:left w:val="none" w:sz="0" w:space="0" w:color="auto"/>
            <w:bottom w:val="none" w:sz="0" w:space="0" w:color="auto"/>
            <w:right w:val="none" w:sz="0" w:space="0" w:color="auto"/>
          </w:divBdr>
        </w:div>
        <w:div w:id="406224385">
          <w:marLeft w:val="640"/>
          <w:marRight w:val="0"/>
          <w:marTop w:val="0"/>
          <w:marBottom w:val="0"/>
          <w:divBdr>
            <w:top w:val="none" w:sz="0" w:space="0" w:color="auto"/>
            <w:left w:val="none" w:sz="0" w:space="0" w:color="auto"/>
            <w:bottom w:val="none" w:sz="0" w:space="0" w:color="auto"/>
            <w:right w:val="none" w:sz="0" w:space="0" w:color="auto"/>
          </w:divBdr>
        </w:div>
        <w:div w:id="705104718">
          <w:marLeft w:val="640"/>
          <w:marRight w:val="0"/>
          <w:marTop w:val="0"/>
          <w:marBottom w:val="0"/>
          <w:divBdr>
            <w:top w:val="none" w:sz="0" w:space="0" w:color="auto"/>
            <w:left w:val="none" w:sz="0" w:space="0" w:color="auto"/>
            <w:bottom w:val="none" w:sz="0" w:space="0" w:color="auto"/>
            <w:right w:val="none" w:sz="0" w:space="0" w:color="auto"/>
          </w:divBdr>
        </w:div>
        <w:div w:id="718552231">
          <w:marLeft w:val="640"/>
          <w:marRight w:val="0"/>
          <w:marTop w:val="0"/>
          <w:marBottom w:val="0"/>
          <w:divBdr>
            <w:top w:val="none" w:sz="0" w:space="0" w:color="auto"/>
            <w:left w:val="none" w:sz="0" w:space="0" w:color="auto"/>
            <w:bottom w:val="none" w:sz="0" w:space="0" w:color="auto"/>
            <w:right w:val="none" w:sz="0" w:space="0" w:color="auto"/>
          </w:divBdr>
        </w:div>
        <w:div w:id="2071033674">
          <w:marLeft w:val="640"/>
          <w:marRight w:val="0"/>
          <w:marTop w:val="0"/>
          <w:marBottom w:val="0"/>
          <w:divBdr>
            <w:top w:val="none" w:sz="0" w:space="0" w:color="auto"/>
            <w:left w:val="none" w:sz="0" w:space="0" w:color="auto"/>
            <w:bottom w:val="none" w:sz="0" w:space="0" w:color="auto"/>
            <w:right w:val="none" w:sz="0" w:space="0" w:color="auto"/>
          </w:divBdr>
        </w:div>
        <w:div w:id="174618356">
          <w:marLeft w:val="640"/>
          <w:marRight w:val="0"/>
          <w:marTop w:val="0"/>
          <w:marBottom w:val="0"/>
          <w:divBdr>
            <w:top w:val="none" w:sz="0" w:space="0" w:color="auto"/>
            <w:left w:val="none" w:sz="0" w:space="0" w:color="auto"/>
            <w:bottom w:val="none" w:sz="0" w:space="0" w:color="auto"/>
            <w:right w:val="none" w:sz="0" w:space="0" w:color="auto"/>
          </w:divBdr>
        </w:div>
        <w:div w:id="390033291">
          <w:marLeft w:val="640"/>
          <w:marRight w:val="0"/>
          <w:marTop w:val="0"/>
          <w:marBottom w:val="0"/>
          <w:divBdr>
            <w:top w:val="none" w:sz="0" w:space="0" w:color="auto"/>
            <w:left w:val="none" w:sz="0" w:space="0" w:color="auto"/>
            <w:bottom w:val="none" w:sz="0" w:space="0" w:color="auto"/>
            <w:right w:val="none" w:sz="0" w:space="0" w:color="auto"/>
          </w:divBdr>
        </w:div>
        <w:div w:id="1211380721">
          <w:marLeft w:val="640"/>
          <w:marRight w:val="0"/>
          <w:marTop w:val="0"/>
          <w:marBottom w:val="0"/>
          <w:divBdr>
            <w:top w:val="none" w:sz="0" w:space="0" w:color="auto"/>
            <w:left w:val="none" w:sz="0" w:space="0" w:color="auto"/>
            <w:bottom w:val="none" w:sz="0" w:space="0" w:color="auto"/>
            <w:right w:val="none" w:sz="0" w:space="0" w:color="auto"/>
          </w:divBdr>
        </w:div>
        <w:div w:id="1252083980">
          <w:marLeft w:val="640"/>
          <w:marRight w:val="0"/>
          <w:marTop w:val="0"/>
          <w:marBottom w:val="0"/>
          <w:divBdr>
            <w:top w:val="none" w:sz="0" w:space="0" w:color="auto"/>
            <w:left w:val="none" w:sz="0" w:space="0" w:color="auto"/>
            <w:bottom w:val="none" w:sz="0" w:space="0" w:color="auto"/>
            <w:right w:val="none" w:sz="0" w:space="0" w:color="auto"/>
          </w:divBdr>
        </w:div>
        <w:div w:id="2009015327">
          <w:marLeft w:val="640"/>
          <w:marRight w:val="0"/>
          <w:marTop w:val="0"/>
          <w:marBottom w:val="0"/>
          <w:divBdr>
            <w:top w:val="none" w:sz="0" w:space="0" w:color="auto"/>
            <w:left w:val="none" w:sz="0" w:space="0" w:color="auto"/>
            <w:bottom w:val="none" w:sz="0" w:space="0" w:color="auto"/>
            <w:right w:val="none" w:sz="0" w:space="0" w:color="auto"/>
          </w:divBdr>
        </w:div>
        <w:div w:id="1124348590">
          <w:marLeft w:val="640"/>
          <w:marRight w:val="0"/>
          <w:marTop w:val="0"/>
          <w:marBottom w:val="0"/>
          <w:divBdr>
            <w:top w:val="none" w:sz="0" w:space="0" w:color="auto"/>
            <w:left w:val="none" w:sz="0" w:space="0" w:color="auto"/>
            <w:bottom w:val="none" w:sz="0" w:space="0" w:color="auto"/>
            <w:right w:val="none" w:sz="0" w:space="0" w:color="auto"/>
          </w:divBdr>
        </w:div>
        <w:div w:id="1517773022">
          <w:marLeft w:val="640"/>
          <w:marRight w:val="0"/>
          <w:marTop w:val="0"/>
          <w:marBottom w:val="0"/>
          <w:divBdr>
            <w:top w:val="none" w:sz="0" w:space="0" w:color="auto"/>
            <w:left w:val="none" w:sz="0" w:space="0" w:color="auto"/>
            <w:bottom w:val="none" w:sz="0" w:space="0" w:color="auto"/>
            <w:right w:val="none" w:sz="0" w:space="0" w:color="auto"/>
          </w:divBdr>
        </w:div>
        <w:div w:id="1445542544">
          <w:marLeft w:val="640"/>
          <w:marRight w:val="0"/>
          <w:marTop w:val="0"/>
          <w:marBottom w:val="0"/>
          <w:divBdr>
            <w:top w:val="none" w:sz="0" w:space="0" w:color="auto"/>
            <w:left w:val="none" w:sz="0" w:space="0" w:color="auto"/>
            <w:bottom w:val="none" w:sz="0" w:space="0" w:color="auto"/>
            <w:right w:val="none" w:sz="0" w:space="0" w:color="auto"/>
          </w:divBdr>
        </w:div>
        <w:div w:id="1362054615">
          <w:marLeft w:val="640"/>
          <w:marRight w:val="0"/>
          <w:marTop w:val="0"/>
          <w:marBottom w:val="0"/>
          <w:divBdr>
            <w:top w:val="none" w:sz="0" w:space="0" w:color="auto"/>
            <w:left w:val="none" w:sz="0" w:space="0" w:color="auto"/>
            <w:bottom w:val="none" w:sz="0" w:space="0" w:color="auto"/>
            <w:right w:val="none" w:sz="0" w:space="0" w:color="auto"/>
          </w:divBdr>
        </w:div>
        <w:div w:id="1560936983">
          <w:marLeft w:val="640"/>
          <w:marRight w:val="0"/>
          <w:marTop w:val="0"/>
          <w:marBottom w:val="0"/>
          <w:divBdr>
            <w:top w:val="none" w:sz="0" w:space="0" w:color="auto"/>
            <w:left w:val="none" w:sz="0" w:space="0" w:color="auto"/>
            <w:bottom w:val="none" w:sz="0" w:space="0" w:color="auto"/>
            <w:right w:val="none" w:sz="0" w:space="0" w:color="auto"/>
          </w:divBdr>
        </w:div>
        <w:div w:id="1193566779">
          <w:marLeft w:val="640"/>
          <w:marRight w:val="0"/>
          <w:marTop w:val="0"/>
          <w:marBottom w:val="0"/>
          <w:divBdr>
            <w:top w:val="none" w:sz="0" w:space="0" w:color="auto"/>
            <w:left w:val="none" w:sz="0" w:space="0" w:color="auto"/>
            <w:bottom w:val="none" w:sz="0" w:space="0" w:color="auto"/>
            <w:right w:val="none" w:sz="0" w:space="0" w:color="auto"/>
          </w:divBdr>
        </w:div>
        <w:div w:id="332492613">
          <w:marLeft w:val="640"/>
          <w:marRight w:val="0"/>
          <w:marTop w:val="0"/>
          <w:marBottom w:val="0"/>
          <w:divBdr>
            <w:top w:val="none" w:sz="0" w:space="0" w:color="auto"/>
            <w:left w:val="none" w:sz="0" w:space="0" w:color="auto"/>
            <w:bottom w:val="none" w:sz="0" w:space="0" w:color="auto"/>
            <w:right w:val="none" w:sz="0" w:space="0" w:color="auto"/>
          </w:divBdr>
        </w:div>
        <w:div w:id="1363362756">
          <w:marLeft w:val="640"/>
          <w:marRight w:val="0"/>
          <w:marTop w:val="0"/>
          <w:marBottom w:val="0"/>
          <w:divBdr>
            <w:top w:val="none" w:sz="0" w:space="0" w:color="auto"/>
            <w:left w:val="none" w:sz="0" w:space="0" w:color="auto"/>
            <w:bottom w:val="none" w:sz="0" w:space="0" w:color="auto"/>
            <w:right w:val="none" w:sz="0" w:space="0" w:color="auto"/>
          </w:divBdr>
        </w:div>
        <w:div w:id="1136026611">
          <w:marLeft w:val="640"/>
          <w:marRight w:val="0"/>
          <w:marTop w:val="0"/>
          <w:marBottom w:val="0"/>
          <w:divBdr>
            <w:top w:val="none" w:sz="0" w:space="0" w:color="auto"/>
            <w:left w:val="none" w:sz="0" w:space="0" w:color="auto"/>
            <w:bottom w:val="none" w:sz="0" w:space="0" w:color="auto"/>
            <w:right w:val="none" w:sz="0" w:space="0" w:color="auto"/>
          </w:divBdr>
        </w:div>
        <w:div w:id="1953200224">
          <w:marLeft w:val="640"/>
          <w:marRight w:val="0"/>
          <w:marTop w:val="0"/>
          <w:marBottom w:val="0"/>
          <w:divBdr>
            <w:top w:val="none" w:sz="0" w:space="0" w:color="auto"/>
            <w:left w:val="none" w:sz="0" w:space="0" w:color="auto"/>
            <w:bottom w:val="none" w:sz="0" w:space="0" w:color="auto"/>
            <w:right w:val="none" w:sz="0" w:space="0" w:color="auto"/>
          </w:divBdr>
        </w:div>
        <w:div w:id="656418929">
          <w:marLeft w:val="640"/>
          <w:marRight w:val="0"/>
          <w:marTop w:val="0"/>
          <w:marBottom w:val="0"/>
          <w:divBdr>
            <w:top w:val="none" w:sz="0" w:space="0" w:color="auto"/>
            <w:left w:val="none" w:sz="0" w:space="0" w:color="auto"/>
            <w:bottom w:val="none" w:sz="0" w:space="0" w:color="auto"/>
            <w:right w:val="none" w:sz="0" w:space="0" w:color="auto"/>
          </w:divBdr>
        </w:div>
        <w:div w:id="2244531">
          <w:marLeft w:val="640"/>
          <w:marRight w:val="0"/>
          <w:marTop w:val="0"/>
          <w:marBottom w:val="0"/>
          <w:divBdr>
            <w:top w:val="none" w:sz="0" w:space="0" w:color="auto"/>
            <w:left w:val="none" w:sz="0" w:space="0" w:color="auto"/>
            <w:bottom w:val="none" w:sz="0" w:space="0" w:color="auto"/>
            <w:right w:val="none" w:sz="0" w:space="0" w:color="auto"/>
          </w:divBdr>
        </w:div>
        <w:div w:id="1529490923">
          <w:marLeft w:val="640"/>
          <w:marRight w:val="0"/>
          <w:marTop w:val="0"/>
          <w:marBottom w:val="0"/>
          <w:divBdr>
            <w:top w:val="none" w:sz="0" w:space="0" w:color="auto"/>
            <w:left w:val="none" w:sz="0" w:space="0" w:color="auto"/>
            <w:bottom w:val="none" w:sz="0" w:space="0" w:color="auto"/>
            <w:right w:val="none" w:sz="0" w:space="0" w:color="auto"/>
          </w:divBdr>
        </w:div>
        <w:div w:id="713850712">
          <w:marLeft w:val="640"/>
          <w:marRight w:val="0"/>
          <w:marTop w:val="0"/>
          <w:marBottom w:val="0"/>
          <w:divBdr>
            <w:top w:val="none" w:sz="0" w:space="0" w:color="auto"/>
            <w:left w:val="none" w:sz="0" w:space="0" w:color="auto"/>
            <w:bottom w:val="none" w:sz="0" w:space="0" w:color="auto"/>
            <w:right w:val="none" w:sz="0" w:space="0" w:color="auto"/>
          </w:divBdr>
        </w:div>
        <w:div w:id="75833589">
          <w:marLeft w:val="640"/>
          <w:marRight w:val="0"/>
          <w:marTop w:val="0"/>
          <w:marBottom w:val="0"/>
          <w:divBdr>
            <w:top w:val="none" w:sz="0" w:space="0" w:color="auto"/>
            <w:left w:val="none" w:sz="0" w:space="0" w:color="auto"/>
            <w:bottom w:val="none" w:sz="0" w:space="0" w:color="auto"/>
            <w:right w:val="none" w:sz="0" w:space="0" w:color="auto"/>
          </w:divBdr>
        </w:div>
        <w:div w:id="2012297427">
          <w:marLeft w:val="640"/>
          <w:marRight w:val="0"/>
          <w:marTop w:val="0"/>
          <w:marBottom w:val="0"/>
          <w:divBdr>
            <w:top w:val="none" w:sz="0" w:space="0" w:color="auto"/>
            <w:left w:val="none" w:sz="0" w:space="0" w:color="auto"/>
            <w:bottom w:val="none" w:sz="0" w:space="0" w:color="auto"/>
            <w:right w:val="none" w:sz="0" w:space="0" w:color="auto"/>
          </w:divBdr>
        </w:div>
        <w:div w:id="328219013">
          <w:marLeft w:val="640"/>
          <w:marRight w:val="0"/>
          <w:marTop w:val="0"/>
          <w:marBottom w:val="0"/>
          <w:divBdr>
            <w:top w:val="none" w:sz="0" w:space="0" w:color="auto"/>
            <w:left w:val="none" w:sz="0" w:space="0" w:color="auto"/>
            <w:bottom w:val="none" w:sz="0" w:space="0" w:color="auto"/>
            <w:right w:val="none" w:sz="0" w:space="0" w:color="auto"/>
          </w:divBdr>
        </w:div>
        <w:div w:id="858009301">
          <w:marLeft w:val="640"/>
          <w:marRight w:val="0"/>
          <w:marTop w:val="0"/>
          <w:marBottom w:val="0"/>
          <w:divBdr>
            <w:top w:val="none" w:sz="0" w:space="0" w:color="auto"/>
            <w:left w:val="none" w:sz="0" w:space="0" w:color="auto"/>
            <w:bottom w:val="none" w:sz="0" w:space="0" w:color="auto"/>
            <w:right w:val="none" w:sz="0" w:space="0" w:color="auto"/>
          </w:divBdr>
        </w:div>
        <w:div w:id="1230766596">
          <w:marLeft w:val="640"/>
          <w:marRight w:val="0"/>
          <w:marTop w:val="0"/>
          <w:marBottom w:val="0"/>
          <w:divBdr>
            <w:top w:val="none" w:sz="0" w:space="0" w:color="auto"/>
            <w:left w:val="none" w:sz="0" w:space="0" w:color="auto"/>
            <w:bottom w:val="none" w:sz="0" w:space="0" w:color="auto"/>
            <w:right w:val="none" w:sz="0" w:space="0" w:color="auto"/>
          </w:divBdr>
        </w:div>
        <w:div w:id="1348212631">
          <w:marLeft w:val="640"/>
          <w:marRight w:val="0"/>
          <w:marTop w:val="0"/>
          <w:marBottom w:val="0"/>
          <w:divBdr>
            <w:top w:val="none" w:sz="0" w:space="0" w:color="auto"/>
            <w:left w:val="none" w:sz="0" w:space="0" w:color="auto"/>
            <w:bottom w:val="none" w:sz="0" w:space="0" w:color="auto"/>
            <w:right w:val="none" w:sz="0" w:space="0" w:color="auto"/>
          </w:divBdr>
        </w:div>
        <w:div w:id="409237543">
          <w:marLeft w:val="640"/>
          <w:marRight w:val="0"/>
          <w:marTop w:val="0"/>
          <w:marBottom w:val="0"/>
          <w:divBdr>
            <w:top w:val="none" w:sz="0" w:space="0" w:color="auto"/>
            <w:left w:val="none" w:sz="0" w:space="0" w:color="auto"/>
            <w:bottom w:val="none" w:sz="0" w:space="0" w:color="auto"/>
            <w:right w:val="none" w:sz="0" w:space="0" w:color="auto"/>
          </w:divBdr>
        </w:div>
        <w:div w:id="687095956">
          <w:marLeft w:val="640"/>
          <w:marRight w:val="0"/>
          <w:marTop w:val="0"/>
          <w:marBottom w:val="0"/>
          <w:divBdr>
            <w:top w:val="none" w:sz="0" w:space="0" w:color="auto"/>
            <w:left w:val="none" w:sz="0" w:space="0" w:color="auto"/>
            <w:bottom w:val="none" w:sz="0" w:space="0" w:color="auto"/>
            <w:right w:val="none" w:sz="0" w:space="0" w:color="auto"/>
          </w:divBdr>
        </w:div>
        <w:div w:id="393966558">
          <w:marLeft w:val="640"/>
          <w:marRight w:val="0"/>
          <w:marTop w:val="0"/>
          <w:marBottom w:val="0"/>
          <w:divBdr>
            <w:top w:val="none" w:sz="0" w:space="0" w:color="auto"/>
            <w:left w:val="none" w:sz="0" w:space="0" w:color="auto"/>
            <w:bottom w:val="none" w:sz="0" w:space="0" w:color="auto"/>
            <w:right w:val="none" w:sz="0" w:space="0" w:color="auto"/>
          </w:divBdr>
        </w:div>
        <w:div w:id="1080758771">
          <w:marLeft w:val="640"/>
          <w:marRight w:val="0"/>
          <w:marTop w:val="0"/>
          <w:marBottom w:val="0"/>
          <w:divBdr>
            <w:top w:val="none" w:sz="0" w:space="0" w:color="auto"/>
            <w:left w:val="none" w:sz="0" w:space="0" w:color="auto"/>
            <w:bottom w:val="none" w:sz="0" w:space="0" w:color="auto"/>
            <w:right w:val="none" w:sz="0" w:space="0" w:color="auto"/>
          </w:divBdr>
        </w:div>
        <w:div w:id="499320945">
          <w:marLeft w:val="640"/>
          <w:marRight w:val="0"/>
          <w:marTop w:val="0"/>
          <w:marBottom w:val="0"/>
          <w:divBdr>
            <w:top w:val="none" w:sz="0" w:space="0" w:color="auto"/>
            <w:left w:val="none" w:sz="0" w:space="0" w:color="auto"/>
            <w:bottom w:val="none" w:sz="0" w:space="0" w:color="auto"/>
            <w:right w:val="none" w:sz="0" w:space="0" w:color="auto"/>
          </w:divBdr>
        </w:div>
        <w:div w:id="1685084305">
          <w:marLeft w:val="640"/>
          <w:marRight w:val="0"/>
          <w:marTop w:val="0"/>
          <w:marBottom w:val="0"/>
          <w:divBdr>
            <w:top w:val="none" w:sz="0" w:space="0" w:color="auto"/>
            <w:left w:val="none" w:sz="0" w:space="0" w:color="auto"/>
            <w:bottom w:val="none" w:sz="0" w:space="0" w:color="auto"/>
            <w:right w:val="none" w:sz="0" w:space="0" w:color="auto"/>
          </w:divBdr>
        </w:div>
        <w:div w:id="1331367638">
          <w:marLeft w:val="640"/>
          <w:marRight w:val="0"/>
          <w:marTop w:val="0"/>
          <w:marBottom w:val="0"/>
          <w:divBdr>
            <w:top w:val="none" w:sz="0" w:space="0" w:color="auto"/>
            <w:left w:val="none" w:sz="0" w:space="0" w:color="auto"/>
            <w:bottom w:val="none" w:sz="0" w:space="0" w:color="auto"/>
            <w:right w:val="none" w:sz="0" w:space="0" w:color="auto"/>
          </w:divBdr>
        </w:div>
        <w:div w:id="902058806">
          <w:marLeft w:val="640"/>
          <w:marRight w:val="0"/>
          <w:marTop w:val="0"/>
          <w:marBottom w:val="0"/>
          <w:divBdr>
            <w:top w:val="none" w:sz="0" w:space="0" w:color="auto"/>
            <w:left w:val="none" w:sz="0" w:space="0" w:color="auto"/>
            <w:bottom w:val="none" w:sz="0" w:space="0" w:color="auto"/>
            <w:right w:val="none" w:sz="0" w:space="0" w:color="auto"/>
          </w:divBdr>
        </w:div>
        <w:div w:id="1893300173">
          <w:marLeft w:val="640"/>
          <w:marRight w:val="0"/>
          <w:marTop w:val="0"/>
          <w:marBottom w:val="0"/>
          <w:divBdr>
            <w:top w:val="none" w:sz="0" w:space="0" w:color="auto"/>
            <w:left w:val="none" w:sz="0" w:space="0" w:color="auto"/>
            <w:bottom w:val="none" w:sz="0" w:space="0" w:color="auto"/>
            <w:right w:val="none" w:sz="0" w:space="0" w:color="auto"/>
          </w:divBdr>
        </w:div>
        <w:div w:id="491873357">
          <w:marLeft w:val="640"/>
          <w:marRight w:val="0"/>
          <w:marTop w:val="0"/>
          <w:marBottom w:val="0"/>
          <w:divBdr>
            <w:top w:val="none" w:sz="0" w:space="0" w:color="auto"/>
            <w:left w:val="none" w:sz="0" w:space="0" w:color="auto"/>
            <w:bottom w:val="none" w:sz="0" w:space="0" w:color="auto"/>
            <w:right w:val="none" w:sz="0" w:space="0" w:color="auto"/>
          </w:divBdr>
        </w:div>
        <w:div w:id="25839407">
          <w:marLeft w:val="640"/>
          <w:marRight w:val="0"/>
          <w:marTop w:val="0"/>
          <w:marBottom w:val="0"/>
          <w:divBdr>
            <w:top w:val="none" w:sz="0" w:space="0" w:color="auto"/>
            <w:left w:val="none" w:sz="0" w:space="0" w:color="auto"/>
            <w:bottom w:val="none" w:sz="0" w:space="0" w:color="auto"/>
            <w:right w:val="none" w:sz="0" w:space="0" w:color="auto"/>
          </w:divBdr>
        </w:div>
        <w:div w:id="1790660790">
          <w:marLeft w:val="640"/>
          <w:marRight w:val="0"/>
          <w:marTop w:val="0"/>
          <w:marBottom w:val="0"/>
          <w:divBdr>
            <w:top w:val="none" w:sz="0" w:space="0" w:color="auto"/>
            <w:left w:val="none" w:sz="0" w:space="0" w:color="auto"/>
            <w:bottom w:val="none" w:sz="0" w:space="0" w:color="auto"/>
            <w:right w:val="none" w:sz="0" w:space="0" w:color="auto"/>
          </w:divBdr>
        </w:div>
        <w:div w:id="2014189068">
          <w:marLeft w:val="640"/>
          <w:marRight w:val="0"/>
          <w:marTop w:val="0"/>
          <w:marBottom w:val="0"/>
          <w:divBdr>
            <w:top w:val="none" w:sz="0" w:space="0" w:color="auto"/>
            <w:left w:val="none" w:sz="0" w:space="0" w:color="auto"/>
            <w:bottom w:val="none" w:sz="0" w:space="0" w:color="auto"/>
            <w:right w:val="none" w:sz="0" w:space="0" w:color="auto"/>
          </w:divBdr>
        </w:div>
        <w:div w:id="1448937087">
          <w:marLeft w:val="640"/>
          <w:marRight w:val="0"/>
          <w:marTop w:val="0"/>
          <w:marBottom w:val="0"/>
          <w:divBdr>
            <w:top w:val="none" w:sz="0" w:space="0" w:color="auto"/>
            <w:left w:val="none" w:sz="0" w:space="0" w:color="auto"/>
            <w:bottom w:val="none" w:sz="0" w:space="0" w:color="auto"/>
            <w:right w:val="none" w:sz="0" w:space="0" w:color="auto"/>
          </w:divBdr>
        </w:div>
        <w:div w:id="958410306">
          <w:marLeft w:val="640"/>
          <w:marRight w:val="0"/>
          <w:marTop w:val="0"/>
          <w:marBottom w:val="0"/>
          <w:divBdr>
            <w:top w:val="none" w:sz="0" w:space="0" w:color="auto"/>
            <w:left w:val="none" w:sz="0" w:space="0" w:color="auto"/>
            <w:bottom w:val="none" w:sz="0" w:space="0" w:color="auto"/>
            <w:right w:val="none" w:sz="0" w:space="0" w:color="auto"/>
          </w:divBdr>
        </w:div>
        <w:div w:id="669528422">
          <w:marLeft w:val="640"/>
          <w:marRight w:val="0"/>
          <w:marTop w:val="0"/>
          <w:marBottom w:val="0"/>
          <w:divBdr>
            <w:top w:val="none" w:sz="0" w:space="0" w:color="auto"/>
            <w:left w:val="none" w:sz="0" w:space="0" w:color="auto"/>
            <w:bottom w:val="none" w:sz="0" w:space="0" w:color="auto"/>
            <w:right w:val="none" w:sz="0" w:space="0" w:color="auto"/>
          </w:divBdr>
        </w:div>
        <w:div w:id="806748522">
          <w:marLeft w:val="640"/>
          <w:marRight w:val="0"/>
          <w:marTop w:val="0"/>
          <w:marBottom w:val="0"/>
          <w:divBdr>
            <w:top w:val="none" w:sz="0" w:space="0" w:color="auto"/>
            <w:left w:val="none" w:sz="0" w:space="0" w:color="auto"/>
            <w:bottom w:val="none" w:sz="0" w:space="0" w:color="auto"/>
            <w:right w:val="none" w:sz="0" w:space="0" w:color="auto"/>
          </w:divBdr>
        </w:div>
        <w:div w:id="1159803986">
          <w:marLeft w:val="640"/>
          <w:marRight w:val="0"/>
          <w:marTop w:val="0"/>
          <w:marBottom w:val="0"/>
          <w:divBdr>
            <w:top w:val="none" w:sz="0" w:space="0" w:color="auto"/>
            <w:left w:val="none" w:sz="0" w:space="0" w:color="auto"/>
            <w:bottom w:val="none" w:sz="0" w:space="0" w:color="auto"/>
            <w:right w:val="none" w:sz="0" w:space="0" w:color="auto"/>
          </w:divBdr>
        </w:div>
        <w:div w:id="849223854">
          <w:marLeft w:val="640"/>
          <w:marRight w:val="0"/>
          <w:marTop w:val="0"/>
          <w:marBottom w:val="0"/>
          <w:divBdr>
            <w:top w:val="none" w:sz="0" w:space="0" w:color="auto"/>
            <w:left w:val="none" w:sz="0" w:space="0" w:color="auto"/>
            <w:bottom w:val="none" w:sz="0" w:space="0" w:color="auto"/>
            <w:right w:val="none" w:sz="0" w:space="0" w:color="auto"/>
          </w:divBdr>
        </w:div>
        <w:div w:id="891624148">
          <w:marLeft w:val="640"/>
          <w:marRight w:val="0"/>
          <w:marTop w:val="0"/>
          <w:marBottom w:val="0"/>
          <w:divBdr>
            <w:top w:val="none" w:sz="0" w:space="0" w:color="auto"/>
            <w:left w:val="none" w:sz="0" w:space="0" w:color="auto"/>
            <w:bottom w:val="none" w:sz="0" w:space="0" w:color="auto"/>
            <w:right w:val="none" w:sz="0" w:space="0" w:color="auto"/>
          </w:divBdr>
        </w:div>
        <w:div w:id="1266158221">
          <w:marLeft w:val="640"/>
          <w:marRight w:val="0"/>
          <w:marTop w:val="0"/>
          <w:marBottom w:val="0"/>
          <w:divBdr>
            <w:top w:val="none" w:sz="0" w:space="0" w:color="auto"/>
            <w:left w:val="none" w:sz="0" w:space="0" w:color="auto"/>
            <w:bottom w:val="none" w:sz="0" w:space="0" w:color="auto"/>
            <w:right w:val="none" w:sz="0" w:space="0" w:color="auto"/>
          </w:divBdr>
        </w:div>
        <w:div w:id="1300838407">
          <w:marLeft w:val="640"/>
          <w:marRight w:val="0"/>
          <w:marTop w:val="0"/>
          <w:marBottom w:val="0"/>
          <w:divBdr>
            <w:top w:val="none" w:sz="0" w:space="0" w:color="auto"/>
            <w:left w:val="none" w:sz="0" w:space="0" w:color="auto"/>
            <w:bottom w:val="none" w:sz="0" w:space="0" w:color="auto"/>
            <w:right w:val="none" w:sz="0" w:space="0" w:color="auto"/>
          </w:divBdr>
        </w:div>
        <w:div w:id="63115713">
          <w:marLeft w:val="640"/>
          <w:marRight w:val="0"/>
          <w:marTop w:val="0"/>
          <w:marBottom w:val="0"/>
          <w:divBdr>
            <w:top w:val="none" w:sz="0" w:space="0" w:color="auto"/>
            <w:left w:val="none" w:sz="0" w:space="0" w:color="auto"/>
            <w:bottom w:val="none" w:sz="0" w:space="0" w:color="auto"/>
            <w:right w:val="none" w:sz="0" w:space="0" w:color="auto"/>
          </w:divBdr>
        </w:div>
        <w:div w:id="780147208">
          <w:marLeft w:val="640"/>
          <w:marRight w:val="0"/>
          <w:marTop w:val="0"/>
          <w:marBottom w:val="0"/>
          <w:divBdr>
            <w:top w:val="none" w:sz="0" w:space="0" w:color="auto"/>
            <w:left w:val="none" w:sz="0" w:space="0" w:color="auto"/>
            <w:bottom w:val="none" w:sz="0" w:space="0" w:color="auto"/>
            <w:right w:val="none" w:sz="0" w:space="0" w:color="auto"/>
          </w:divBdr>
        </w:div>
        <w:div w:id="744642747">
          <w:marLeft w:val="640"/>
          <w:marRight w:val="0"/>
          <w:marTop w:val="0"/>
          <w:marBottom w:val="0"/>
          <w:divBdr>
            <w:top w:val="none" w:sz="0" w:space="0" w:color="auto"/>
            <w:left w:val="none" w:sz="0" w:space="0" w:color="auto"/>
            <w:bottom w:val="none" w:sz="0" w:space="0" w:color="auto"/>
            <w:right w:val="none" w:sz="0" w:space="0" w:color="auto"/>
          </w:divBdr>
        </w:div>
        <w:div w:id="346450823">
          <w:marLeft w:val="640"/>
          <w:marRight w:val="0"/>
          <w:marTop w:val="0"/>
          <w:marBottom w:val="0"/>
          <w:divBdr>
            <w:top w:val="none" w:sz="0" w:space="0" w:color="auto"/>
            <w:left w:val="none" w:sz="0" w:space="0" w:color="auto"/>
            <w:bottom w:val="none" w:sz="0" w:space="0" w:color="auto"/>
            <w:right w:val="none" w:sz="0" w:space="0" w:color="auto"/>
          </w:divBdr>
        </w:div>
        <w:div w:id="1119379280">
          <w:marLeft w:val="640"/>
          <w:marRight w:val="0"/>
          <w:marTop w:val="0"/>
          <w:marBottom w:val="0"/>
          <w:divBdr>
            <w:top w:val="none" w:sz="0" w:space="0" w:color="auto"/>
            <w:left w:val="none" w:sz="0" w:space="0" w:color="auto"/>
            <w:bottom w:val="none" w:sz="0" w:space="0" w:color="auto"/>
            <w:right w:val="none" w:sz="0" w:space="0" w:color="auto"/>
          </w:divBdr>
        </w:div>
        <w:div w:id="759564418">
          <w:marLeft w:val="640"/>
          <w:marRight w:val="0"/>
          <w:marTop w:val="0"/>
          <w:marBottom w:val="0"/>
          <w:divBdr>
            <w:top w:val="none" w:sz="0" w:space="0" w:color="auto"/>
            <w:left w:val="none" w:sz="0" w:space="0" w:color="auto"/>
            <w:bottom w:val="none" w:sz="0" w:space="0" w:color="auto"/>
            <w:right w:val="none" w:sz="0" w:space="0" w:color="auto"/>
          </w:divBdr>
        </w:div>
        <w:div w:id="1828738685">
          <w:marLeft w:val="640"/>
          <w:marRight w:val="0"/>
          <w:marTop w:val="0"/>
          <w:marBottom w:val="0"/>
          <w:divBdr>
            <w:top w:val="none" w:sz="0" w:space="0" w:color="auto"/>
            <w:left w:val="none" w:sz="0" w:space="0" w:color="auto"/>
            <w:bottom w:val="none" w:sz="0" w:space="0" w:color="auto"/>
            <w:right w:val="none" w:sz="0" w:space="0" w:color="auto"/>
          </w:divBdr>
        </w:div>
        <w:div w:id="353456212">
          <w:marLeft w:val="640"/>
          <w:marRight w:val="0"/>
          <w:marTop w:val="0"/>
          <w:marBottom w:val="0"/>
          <w:divBdr>
            <w:top w:val="none" w:sz="0" w:space="0" w:color="auto"/>
            <w:left w:val="none" w:sz="0" w:space="0" w:color="auto"/>
            <w:bottom w:val="none" w:sz="0" w:space="0" w:color="auto"/>
            <w:right w:val="none" w:sz="0" w:space="0" w:color="auto"/>
          </w:divBdr>
        </w:div>
        <w:div w:id="1241015016">
          <w:marLeft w:val="640"/>
          <w:marRight w:val="0"/>
          <w:marTop w:val="0"/>
          <w:marBottom w:val="0"/>
          <w:divBdr>
            <w:top w:val="none" w:sz="0" w:space="0" w:color="auto"/>
            <w:left w:val="none" w:sz="0" w:space="0" w:color="auto"/>
            <w:bottom w:val="none" w:sz="0" w:space="0" w:color="auto"/>
            <w:right w:val="none" w:sz="0" w:space="0" w:color="auto"/>
          </w:divBdr>
        </w:div>
        <w:div w:id="2121098162">
          <w:marLeft w:val="640"/>
          <w:marRight w:val="0"/>
          <w:marTop w:val="0"/>
          <w:marBottom w:val="0"/>
          <w:divBdr>
            <w:top w:val="none" w:sz="0" w:space="0" w:color="auto"/>
            <w:left w:val="none" w:sz="0" w:space="0" w:color="auto"/>
            <w:bottom w:val="none" w:sz="0" w:space="0" w:color="auto"/>
            <w:right w:val="none" w:sz="0" w:space="0" w:color="auto"/>
          </w:divBdr>
        </w:div>
        <w:div w:id="980234938">
          <w:marLeft w:val="640"/>
          <w:marRight w:val="0"/>
          <w:marTop w:val="0"/>
          <w:marBottom w:val="0"/>
          <w:divBdr>
            <w:top w:val="none" w:sz="0" w:space="0" w:color="auto"/>
            <w:left w:val="none" w:sz="0" w:space="0" w:color="auto"/>
            <w:bottom w:val="none" w:sz="0" w:space="0" w:color="auto"/>
            <w:right w:val="none" w:sz="0" w:space="0" w:color="auto"/>
          </w:divBdr>
        </w:div>
        <w:div w:id="673997429">
          <w:marLeft w:val="640"/>
          <w:marRight w:val="0"/>
          <w:marTop w:val="0"/>
          <w:marBottom w:val="0"/>
          <w:divBdr>
            <w:top w:val="none" w:sz="0" w:space="0" w:color="auto"/>
            <w:left w:val="none" w:sz="0" w:space="0" w:color="auto"/>
            <w:bottom w:val="none" w:sz="0" w:space="0" w:color="auto"/>
            <w:right w:val="none" w:sz="0" w:space="0" w:color="auto"/>
          </w:divBdr>
        </w:div>
        <w:div w:id="1135299196">
          <w:marLeft w:val="640"/>
          <w:marRight w:val="0"/>
          <w:marTop w:val="0"/>
          <w:marBottom w:val="0"/>
          <w:divBdr>
            <w:top w:val="none" w:sz="0" w:space="0" w:color="auto"/>
            <w:left w:val="none" w:sz="0" w:space="0" w:color="auto"/>
            <w:bottom w:val="none" w:sz="0" w:space="0" w:color="auto"/>
            <w:right w:val="none" w:sz="0" w:space="0" w:color="auto"/>
          </w:divBdr>
        </w:div>
        <w:div w:id="237132632">
          <w:marLeft w:val="640"/>
          <w:marRight w:val="0"/>
          <w:marTop w:val="0"/>
          <w:marBottom w:val="0"/>
          <w:divBdr>
            <w:top w:val="none" w:sz="0" w:space="0" w:color="auto"/>
            <w:left w:val="none" w:sz="0" w:space="0" w:color="auto"/>
            <w:bottom w:val="none" w:sz="0" w:space="0" w:color="auto"/>
            <w:right w:val="none" w:sz="0" w:space="0" w:color="auto"/>
          </w:divBdr>
        </w:div>
        <w:div w:id="1793942409">
          <w:marLeft w:val="640"/>
          <w:marRight w:val="0"/>
          <w:marTop w:val="0"/>
          <w:marBottom w:val="0"/>
          <w:divBdr>
            <w:top w:val="none" w:sz="0" w:space="0" w:color="auto"/>
            <w:left w:val="none" w:sz="0" w:space="0" w:color="auto"/>
            <w:bottom w:val="none" w:sz="0" w:space="0" w:color="auto"/>
            <w:right w:val="none" w:sz="0" w:space="0" w:color="auto"/>
          </w:divBdr>
        </w:div>
        <w:div w:id="445002164">
          <w:marLeft w:val="640"/>
          <w:marRight w:val="0"/>
          <w:marTop w:val="0"/>
          <w:marBottom w:val="0"/>
          <w:divBdr>
            <w:top w:val="none" w:sz="0" w:space="0" w:color="auto"/>
            <w:left w:val="none" w:sz="0" w:space="0" w:color="auto"/>
            <w:bottom w:val="none" w:sz="0" w:space="0" w:color="auto"/>
            <w:right w:val="none" w:sz="0" w:space="0" w:color="auto"/>
          </w:divBdr>
        </w:div>
        <w:div w:id="1773162695">
          <w:marLeft w:val="640"/>
          <w:marRight w:val="0"/>
          <w:marTop w:val="0"/>
          <w:marBottom w:val="0"/>
          <w:divBdr>
            <w:top w:val="none" w:sz="0" w:space="0" w:color="auto"/>
            <w:left w:val="none" w:sz="0" w:space="0" w:color="auto"/>
            <w:bottom w:val="none" w:sz="0" w:space="0" w:color="auto"/>
            <w:right w:val="none" w:sz="0" w:space="0" w:color="auto"/>
          </w:divBdr>
        </w:div>
        <w:div w:id="336226720">
          <w:marLeft w:val="640"/>
          <w:marRight w:val="0"/>
          <w:marTop w:val="0"/>
          <w:marBottom w:val="0"/>
          <w:divBdr>
            <w:top w:val="none" w:sz="0" w:space="0" w:color="auto"/>
            <w:left w:val="none" w:sz="0" w:space="0" w:color="auto"/>
            <w:bottom w:val="none" w:sz="0" w:space="0" w:color="auto"/>
            <w:right w:val="none" w:sz="0" w:space="0" w:color="auto"/>
          </w:divBdr>
        </w:div>
        <w:div w:id="1354263638">
          <w:marLeft w:val="640"/>
          <w:marRight w:val="0"/>
          <w:marTop w:val="0"/>
          <w:marBottom w:val="0"/>
          <w:divBdr>
            <w:top w:val="none" w:sz="0" w:space="0" w:color="auto"/>
            <w:left w:val="none" w:sz="0" w:space="0" w:color="auto"/>
            <w:bottom w:val="none" w:sz="0" w:space="0" w:color="auto"/>
            <w:right w:val="none" w:sz="0" w:space="0" w:color="auto"/>
          </w:divBdr>
        </w:div>
        <w:div w:id="1012996100">
          <w:marLeft w:val="640"/>
          <w:marRight w:val="0"/>
          <w:marTop w:val="0"/>
          <w:marBottom w:val="0"/>
          <w:divBdr>
            <w:top w:val="none" w:sz="0" w:space="0" w:color="auto"/>
            <w:left w:val="none" w:sz="0" w:space="0" w:color="auto"/>
            <w:bottom w:val="none" w:sz="0" w:space="0" w:color="auto"/>
            <w:right w:val="none" w:sz="0" w:space="0" w:color="auto"/>
          </w:divBdr>
        </w:div>
        <w:div w:id="1913198473">
          <w:marLeft w:val="640"/>
          <w:marRight w:val="0"/>
          <w:marTop w:val="0"/>
          <w:marBottom w:val="0"/>
          <w:divBdr>
            <w:top w:val="none" w:sz="0" w:space="0" w:color="auto"/>
            <w:left w:val="none" w:sz="0" w:space="0" w:color="auto"/>
            <w:bottom w:val="none" w:sz="0" w:space="0" w:color="auto"/>
            <w:right w:val="none" w:sz="0" w:space="0" w:color="auto"/>
          </w:divBdr>
        </w:div>
        <w:div w:id="62728423">
          <w:marLeft w:val="640"/>
          <w:marRight w:val="0"/>
          <w:marTop w:val="0"/>
          <w:marBottom w:val="0"/>
          <w:divBdr>
            <w:top w:val="none" w:sz="0" w:space="0" w:color="auto"/>
            <w:left w:val="none" w:sz="0" w:space="0" w:color="auto"/>
            <w:bottom w:val="none" w:sz="0" w:space="0" w:color="auto"/>
            <w:right w:val="none" w:sz="0" w:space="0" w:color="auto"/>
          </w:divBdr>
        </w:div>
        <w:div w:id="994529347">
          <w:marLeft w:val="640"/>
          <w:marRight w:val="0"/>
          <w:marTop w:val="0"/>
          <w:marBottom w:val="0"/>
          <w:divBdr>
            <w:top w:val="none" w:sz="0" w:space="0" w:color="auto"/>
            <w:left w:val="none" w:sz="0" w:space="0" w:color="auto"/>
            <w:bottom w:val="none" w:sz="0" w:space="0" w:color="auto"/>
            <w:right w:val="none" w:sz="0" w:space="0" w:color="auto"/>
          </w:divBdr>
        </w:div>
        <w:div w:id="1114179374">
          <w:marLeft w:val="640"/>
          <w:marRight w:val="0"/>
          <w:marTop w:val="0"/>
          <w:marBottom w:val="0"/>
          <w:divBdr>
            <w:top w:val="none" w:sz="0" w:space="0" w:color="auto"/>
            <w:left w:val="none" w:sz="0" w:space="0" w:color="auto"/>
            <w:bottom w:val="none" w:sz="0" w:space="0" w:color="auto"/>
            <w:right w:val="none" w:sz="0" w:space="0" w:color="auto"/>
          </w:divBdr>
        </w:div>
        <w:div w:id="2129547061">
          <w:marLeft w:val="640"/>
          <w:marRight w:val="0"/>
          <w:marTop w:val="0"/>
          <w:marBottom w:val="0"/>
          <w:divBdr>
            <w:top w:val="none" w:sz="0" w:space="0" w:color="auto"/>
            <w:left w:val="none" w:sz="0" w:space="0" w:color="auto"/>
            <w:bottom w:val="none" w:sz="0" w:space="0" w:color="auto"/>
            <w:right w:val="none" w:sz="0" w:space="0" w:color="auto"/>
          </w:divBdr>
        </w:div>
        <w:div w:id="1452699160">
          <w:marLeft w:val="640"/>
          <w:marRight w:val="0"/>
          <w:marTop w:val="0"/>
          <w:marBottom w:val="0"/>
          <w:divBdr>
            <w:top w:val="none" w:sz="0" w:space="0" w:color="auto"/>
            <w:left w:val="none" w:sz="0" w:space="0" w:color="auto"/>
            <w:bottom w:val="none" w:sz="0" w:space="0" w:color="auto"/>
            <w:right w:val="none" w:sz="0" w:space="0" w:color="auto"/>
          </w:divBdr>
        </w:div>
        <w:div w:id="691884326">
          <w:marLeft w:val="640"/>
          <w:marRight w:val="0"/>
          <w:marTop w:val="0"/>
          <w:marBottom w:val="0"/>
          <w:divBdr>
            <w:top w:val="none" w:sz="0" w:space="0" w:color="auto"/>
            <w:left w:val="none" w:sz="0" w:space="0" w:color="auto"/>
            <w:bottom w:val="none" w:sz="0" w:space="0" w:color="auto"/>
            <w:right w:val="none" w:sz="0" w:space="0" w:color="auto"/>
          </w:divBdr>
        </w:div>
        <w:div w:id="1341741241">
          <w:marLeft w:val="640"/>
          <w:marRight w:val="0"/>
          <w:marTop w:val="0"/>
          <w:marBottom w:val="0"/>
          <w:divBdr>
            <w:top w:val="none" w:sz="0" w:space="0" w:color="auto"/>
            <w:left w:val="none" w:sz="0" w:space="0" w:color="auto"/>
            <w:bottom w:val="none" w:sz="0" w:space="0" w:color="auto"/>
            <w:right w:val="none" w:sz="0" w:space="0" w:color="auto"/>
          </w:divBdr>
        </w:div>
        <w:div w:id="1139881254">
          <w:marLeft w:val="640"/>
          <w:marRight w:val="0"/>
          <w:marTop w:val="0"/>
          <w:marBottom w:val="0"/>
          <w:divBdr>
            <w:top w:val="none" w:sz="0" w:space="0" w:color="auto"/>
            <w:left w:val="none" w:sz="0" w:space="0" w:color="auto"/>
            <w:bottom w:val="none" w:sz="0" w:space="0" w:color="auto"/>
            <w:right w:val="none" w:sz="0" w:space="0" w:color="auto"/>
          </w:divBdr>
        </w:div>
        <w:div w:id="34694674">
          <w:marLeft w:val="640"/>
          <w:marRight w:val="0"/>
          <w:marTop w:val="0"/>
          <w:marBottom w:val="0"/>
          <w:divBdr>
            <w:top w:val="none" w:sz="0" w:space="0" w:color="auto"/>
            <w:left w:val="none" w:sz="0" w:space="0" w:color="auto"/>
            <w:bottom w:val="none" w:sz="0" w:space="0" w:color="auto"/>
            <w:right w:val="none" w:sz="0" w:space="0" w:color="auto"/>
          </w:divBdr>
        </w:div>
        <w:div w:id="1744981819">
          <w:marLeft w:val="640"/>
          <w:marRight w:val="0"/>
          <w:marTop w:val="0"/>
          <w:marBottom w:val="0"/>
          <w:divBdr>
            <w:top w:val="none" w:sz="0" w:space="0" w:color="auto"/>
            <w:left w:val="none" w:sz="0" w:space="0" w:color="auto"/>
            <w:bottom w:val="none" w:sz="0" w:space="0" w:color="auto"/>
            <w:right w:val="none" w:sz="0" w:space="0" w:color="auto"/>
          </w:divBdr>
        </w:div>
        <w:div w:id="611858148">
          <w:marLeft w:val="640"/>
          <w:marRight w:val="0"/>
          <w:marTop w:val="0"/>
          <w:marBottom w:val="0"/>
          <w:divBdr>
            <w:top w:val="none" w:sz="0" w:space="0" w:color="auto"/>
            <w:left w:val="none" w:sz="0" w:space="0" w:color="auto"/>
            <w:bottom w:val="none" w:sz="0" w:space="0" w:color="auto"/>
            <w:right w:val="none" w:sz="0" w:space="0" w:color="auto"/>
          </w:divBdr>
        </w:div>
        <w:div w:id="1882011396">
          <w:marLeft w:val="640"/>
          <w:marRight w:val="0"/>
          <w:marTop w:val="0"/>
          <w:marBottom w:val="0"/>
          <w:divBdr>
            <w:top w:val="none" w:sz="0" w:space="0" w:color="auto"/>
            <w:left w:val="none" w:sz="0" w:space="0" w:color="auto"/>
            <w:bottom w:val="none" w:sz="0" w:space="0" w:color="auto"/>
            <w:right w:val="none" w:sz="0" w:space="0" w:color="auto"/>
          </w:divBdr>
        </w:div>
        <w:div w:id="1039740407">
          <w:marLeft w:val="640"/>
          <w:marRight w:val="0"/>
          <w:marTop w:val="0"/>
          <w:marBottom w:val="0"/>
          <w:divBdr>
            <w:top w:val="none" w:sz="0" w:space="0" w:color="auto"/>
            <w:left w:val="none" w:sz="0" w:space="0" w:color="auto"/>
            <w:bottom w:val="none" w:sz="0" w:space="0" w:color="auto"/>
            <w:right w:val="none" w:sz="0" w:space="0" w:color="auto"/>
          </w:divBdr>
        </w:div>
        <w:div w:id="1611158559">
          <w:marLeft w:val="640"/>
          <w:marRight w:val="0"/>
          <w:marTop w:val="0"/>
          <w:marBottom w:val="0"/>
          <w:divBdr>
            <w:top w:val="none" w:sz="0" w:space="0" w:color="auto"/>
            <w:left w:val="none" w:sz="0" w:space="0" w:color="auto"/>
            <w:bottom w:val="none" w:sz="0" w:space="0" w:color="auto"/>
            <w:right w:val="none" w:sz="0" w:space="0" w:color="auto"/>
          </w:divBdr>
        </w:div>
        <w:div w:id="951320832">
          <w:marLeft w:val="640"/>
          <w:marRight w:val="0"/>
          <w:marTop w:val="0"/>
          <w:marBottom w:val="0"/>
          <w:divBdr>
            <w:top w:val="none" w:sz="0" w:space="0" w:color="auto"/>
            <w:left w:val="none" w:sz="0" w:space="0" w:color="auto"/>
            <w:bottom w:val="none" w:sz="0" w:space="0" w:color="auto"/>
            <w:right w:val="none" w:sz="0" w:space="0" w:color="auto"/>
          </w:divBdr>
        </w:div>
        <w:div w:id="1914967029">
          <w:marLeft w:val="640"/>
          <w:marRight w:val="0"/>
          <w:marTop w:val="0"/>
          <w:marBottom w:val="0"/>
          <w:divBdr>
            <w:top w:val="none" w:sz="0" w:space="0" w:color="auto"/>
            <w:left w:val="none" w:sz="0" w:space="0" w:color="auto"/>
            <w:bottom w:val="none" w:sz="0" w:space="0" w:color="auto"/>
            <w:right w:val="none" w:sz="0" w:space="0" w:color="auto"/>
          </w:divBdr>
        </w:div>
        <w:div w:id="578753490">
          <w:marLeft w:val="640"/>
          <w:marRight w:val="0"/>
          <w:marTop w:val="0"/>
          <w:marBottom w:val="0"/>
          <w:divBdr>
            <w:top w:val="none" w:sz="0" w:space="0" w:color="auto"/>
            <w:left w:val="none" w:sz="0" w:space="0" w:color="auto"/>
            <w:bottom w:val="none" w:sz="0" w:space="0" w:color="auto"/>
            <w:right w:val="none" w:sz="0" w:space="0" w:color="auto"/>
          </w:divBdr>
        </w:div>
        <w:div w:id="2031567059">
          <w:marLeft w:val="640"/>
          <w:marRight w:val="0"/>
          <w:marTop w:val="0"/>
          <w:marBottom w:val="0"/>
          <w:divBdr>
            <w:top w:val="none" w:sz="0" w:space="0" w:color="auto"/>
            <w:left w:val="none" w:sz="0" w:space="0" w:color="auto"/>
            <w:bottom w:val="none" w:sz="0" w:space="0" w:color="auto"/>
            <w:right w:val="none" w:sz="0" w:space="0" w:color="auto"/>
          </w:divBdr>
        </w:div>
        <w:div w:id="1799226922">
          <w:marLeft w:val="640"/>
          <w:marRight w:val="0"/>
          <w:marTop w:val="0"/>
          <w:marBottom w:val="0"/>
          <w:divBdr>
            <w:top w:val="none" w:sz="0" w:space="0" w:color="auto"/>
            <w:left w:val="none" w:sz="0" w:space="0" w:color="auto"/>
            <w:bottom w:val="none" w:sz="0" w:space="0" w:color="auto"/>
            <w:right w:val="none" w:sz="0" w:space="0" w:color="auto"/>
          </w:divBdr>
        </w:div>
        <w:div w:id="2035495099">
          <w:marLeft w:val="640"/>
          <w:marRight w:val="0"/>
          <w:marTop w:val="0"/>
          <w:marBottom w:val="0"/>
          <w:divBdr>
            <w:top w:val="none" w:sz="0" w:space="0" w:color="auto"/>
            <w:left w:val="none" w:sz="0" w:space="0" w:color="auto"/>
            <w:bottom w:val="none" w:sz="0" w:space="0" w:color="auto"/>
            <w:right w:val="none" w:sz="0" w:space="0" w:color="auto"/>
          </w:divBdr>
        </w:div>
        <w:div w:id="352653236">
          <w:marLeft w:val="640"/>
          <w:marRight w:val="0"/>
          <w:marTop w:val="0"/>
          <w:marBottom w:val="0"/>
          <w:divBdr>
            <w:top w:val="none" w:sz="0" w:space="0" w:color="auto"/>
            <w:left w:val="none" w:sz="0" w:space="0" w:color="auto"/>
            <w:bottom w:val="none" w:sz="0" w:space="0" w:color="auto"/>
            <w:right w:val="none" w:sz="0" w:space="0" w:color="auto"/>
          </w:divBdr>
        </w:div>
        <w:div w:id="2122525275">
          <w:marLeft w:val="640"/>
          <w:marRight w:val="0"/>
          <w:marTop w:val="0"/>
          <w:marBottom w:val="0"/>
          <w:divBdr>
            <w:top w:val="none" w:sz="0" w:space="0" w:color="auto"/>
            <w:left w:val="none" w:sz="0" w:space="0" w:color="auto"/>
            <w:bottom w:val="none" w:sz="0" w:space="0" w:color="auto"/>
            <w:right w:val="none" w:sz="0" w:space="0" w:color="auto"/>
          </w:divBdr>
        </w:div>
        <w:div w:id="131408522">
          <w:marLeft w:val="640"/>
          <w:marRight w:val="0"/>
          <w:marTop w:val="0"/>
          <w:marBottom w:val="0"/>
          <w:divBdr>
            <w:top w:val="none" w:sz="0" w:space="0" w:color="auto"/>
            <w:left w:val="none" w:sz="0" w:space="0" w:color="auto"/>
            <w:bottom w:val="none" w:sz="0" w:space="0" w:color="auto"/>
            <w:right w:val="none" w:sz="0" w:space="0" w:color="auto"/>
          </w:divBdr>
        </w:div>
        <w:div w:id="622658291">
          <w:marLeft w:val="640"/>
          <w:marRight w:val="0"/>
          <w:marTop w:val="0"/>
          <w:marBottom w:val="0"/>
          <w:divBdr>
            <w:top w:val="none" w:sz="0" w:space="0" w:color="auto"/>
            <w:left w:val="none" w:sz="0" w:space="0" w:color="auto"/>
            <w:bottom w:val="none" w:sz="0" w:space="0" w:color="auto"/>
            <w:right w:val="none" w:sz="0" w:space="0" w:color="auto"/>
          </w:divBdr>
        </w:div>
        <w:div w:id="969239481">
          <w:marLeft w:val="640"/>
          <w:marRight w:val="0"/>
          <w:marTop w:val="0"/>
          <w:marBottom w:val="0"/>
          <w:divBdr>
            <w:top w:val="none" w:sz="0" w:space="0" w:color="auto"/>
            <w:left w:val="none" w:sz="0" w:space="0" w:color="auto"/>
            <w:bottom w:val="none" w:sz="0" w:space="0" w:color="auto"/>
            <w:right w:val="none" w:sz="0" w:space="0" w:color="auto"/>
          </w:divBdr>
        </w:div>
        <w:div w:id="1316639758">
          <w:marLeft w:val="640"/>
          <w:marRight w:val="0"/>
          <w:marTop w:val="0"/>
          <w:marBottom w:val="0"/>
          <w:divBdr>
            <w:top w:val="none" w:sz="0" w:space="0" w:color="auto"/>
            <w:left w:val="none" w:sz="0" w:space="0" w:color="auto"/>
            <w:bottom w:val="none" w:sz="0" w:space="0" w:color="auto"/>
            <w:right w:val="none" w:sz="0" w:space="0" w:color="auto"/>
          </w:divBdr>
        </w:div>
        <w:div w:id="975256519">
          <w:marLeft w:val="640"/>
          <w:marRight w:val="0"/>
          <w:marTop w:val="0"/>
          <w:marBottom w:val="0"/>
          <w:divBdr>
            <w:top w:val="none" w:sz="0" w:space="0" w:color="auto"/>
            <w:left w:val="none" w:sz="0" w:space="0" w:color="auto"/>
            <w:bottom w:val="none" w:sz="0" w:space="0" w:color="auto"/>
            <w:right w:val="none" w:sz="0" w:space="0" w:color="auto"/>
          </w:divBdr>
        </w:div>
        <w:div w:id="1669749794">
          <w:marLeft w:val="640"/>
          <w:marRight w:val="0"/>
          <w:marTop w:val="0"/>
          <w:marBottom w:val="0"/>
          <w:divBdr>
            <w:top w:val="none" w:sz="0" w:space="0" w:color="auto"/>
            <w:left w:val="none" w:sz="0" w:space="0" w:color="auto"/>
            <w:bottom w:val="none" w:sz="0" w:space="0" w:color="auto"/>
            <w:right w:val="none" w:sz="0" w:space="0" w:color="auto"/>
          </w:divBdr>
        </w:div>
        <w:div w:id="981008735">
          <w:marLeft w:val="640"/>
          <w:marRight w:val="0"/>
          <w:marTop w:val="0"/>
          <w:marBottom w:val="0"/>
          <w:divBdr>
            <w:top w:val="none" w:sz="0" w:space="0" w:color="auto"/>
            <w:left w:val="none" w:sz="0" w:space="0" w:color="auto"/>
            <w:bottom w:val="none" w:sz="0" w:space="0" w:color="auto"/>
            <w:right w:val="none" w:sz="0" w:space="0" w:color="auto"/>
          </w:divBdr>
        </w:div>
        <w:div w:id="768886970">
          <w:marLeft w:val="640"/>
          <w:marRight w:val="0"/>
          <w:marTop w:val="0"/>
          <w:marBottom w:val="0"/>
          <w:divBdr>
            <w:top w:val="none" w:sz="0" w:space="0" w:color="auto"/>
            <w:left w:val="none" w:sz="0" w:space="0" w:color="auto"/>
            <w:bottom w:val="none" w:sz="0" w:space="0" w:color="auto"/>
            <w:right w:val="none" w:sz="0" w:space="0" w:color="auto"/>
          </w:divBdr>
        </w:div>
        <w:div w:id="515968125">
          <w:marLeft w:val="640"/>
          <w:marRight w:val="0"/>
          <w:marTop w:val="0"/>
          <w:marBottom w:val="0"/>
          <w:divBdr>
            <w:top w:val="none" w:sz="0" w:space="0" w:color="auto"/>
            <w:left w:val="none" w:sz="0" w:space="0" w:color="auto"/>
            <w:bottom w:val="none" w:sz="0" w:space="0" w:color="auto"/>
            <w:right w:val="none" w:sz="0" w:space="0" w:color="auto"/>
          </w:divBdr>
        </w:div>
        <w:div w:id="445199311">
          <w:marLeft w:val="640"/>
          <w:marRight w:val="0"/>
          <w:marTop w:val="0"/>
          <w:marBottom w:val="0"/>
          <w:divBdr>
            <w:top w:val="none" w:sz="0" w:space="0" w:color="auto"/>
            <w:left w:val="none" w:sz="0" w:space="0" w:color="auto"/>
            <w:bottom w:val="none" w:sz="0" w:space="0" w:color="auto"/>
            <w:right w:val="none" w:sz="0" w:space="0" w:color="auto"/>
          </w:divBdr>
        </w:div>
        <w:div w:id="619846174">
          <w:marLeft w:val="640"/>
          <w:marRight w:val="0"/>
          <w:marTop w:val="0"/>
          <w:marBottom w:val="0"/>
          <w:divBdr>
            <w:top w:val="none" w:sz="0" w:space="0" w:color="auto"/>
            <w:left w:val="none" w:sz="0" w:space="0" w:color="auto"/>
            <w:bottom w:val="none" w:sz="0" w:space="0" w:color="auto"/>
            <w:right w:val="none" w:sz="0" w:space="0" w:color="auto"/>
          </w:divBdr>
        </w:div>
        <w:div w:id="160970817">
          <w:marLeft w:val="640"/>
          <w:marRight w:val="0"/>
          <w:marTop w:val="0"/>
          <w:marBottom w:val="0"/>
          <w:divBdr>
            <w:top w:val="none" w:sz="0" w:space="0" w:color="auto"/>
            <w:left w:val="none" w:sz="0" w:space="0" w:color="auto"/>
            <w:bottom w:val="none" w:sz="0" w:space="0" w:color="auto"/>
            <w:right w:val="none" w:sz="0" w:space="0" w:color="auto"/>
          </w:divBdr>
        </w:div>
        <w:div w:id="896164082">
          <w:marLeft w:val="640"/>
          <w:marRight w:val="0"/>
          <w:marTop w:val="0"/>
          <w:marBottom w:val="0"/>
          <w:divBdr>
            <w:top w:val="none" w:sz="0" w:space="0" w:color="auto"/>
            <w:left w:val="none" w:sz="0" w:space="0" w:color="auto"/>
            <w:bottom w:val="none" w:sz="0" w:space="0" w:color="auto"/>
            <w:right w:val="none" w:sz="0" w:space="0" w:color="auto"/>
          </w:divBdr>
        </w:div>
        <w:div w:id="1381661641">
          <w:marLeft w:val="640"/>
          <w:marRight w:val="0"/>
          <w:marTop w:val="0"/>
          <w:marBottom w:val="0"/>
          <w:divBdr>
            <w:top w:val="none" w:sz="0" w:space="0" w:color="auto"/>
            <w:left w:val="none" w:sz="0" w:space="0" w:color="auto"/>
            <w:bottom w:val="none" w:sz="0" w:space="0" w:color="auto"/>
            <w:right w:val="none" w:sz="0" w:space="0" w:color="auto"/>
          </w:divBdr>
        </w:div>
        <w:div w:id="1972900071">
          <w:marLeft w:val="640"/>
          <w:marRight w:val="0"/>
          <w:marTop w:val="0"/>
          <w:marBottom w:val="0"/>
          <w:divBdr>
            <w:top w:val="none" w:sz="0" w:space="0" w:color="auto"/>
            <w:left w:val="none" w:sz="0" w:space="0" w:color="auto"/>
            <w:bottom w:val="none" w:sz="0" w:space="0" w:color="auto"/>
            <w:right w:val="none" w:sz="0" w:space="0" w:color="auto"/>
          </w:divBdr>
        </w:div>
        <w:div w:id="1931943">
          <w:marLeft w:val="640"/>
          <w:marRight w:val="0"/>
          <w:marTop w:val="0"/>
          <w:marBottom w:val="0"/>
          <w:divBdr>
            <w:top w:val="none" w:sz="0" w:space="0" w:color="auto"/>
            <w:left w:val="none" w:sz="0" w:space="0" w:color="auto"/>
            <w:bottom w:val="none" w:sz="0" w:space="0" w:color="auto"/>
            <w:right w:val="none" w:sz="0" w:space="0" w:color="auto"/>
          </w:divBdr>
        </w:div>
        <w:div w:id="357858991">
          <w:marLeft w:val="640"/>
          <w:marRight w:val="0"/>
          <w:marTop w:val="0"/>
          <w:marBottom w:val="0"/>
          <w:divBdr>
            <w:top w:val="none" w:sz="0" w:space="0" w:color="auto"/>
            <w:left w:val="none" w:sz="0" w:space="0" w:color="auto"/>
            <w:bottom w:val="none" w:sz="0" w:space="0" w:color="auto"/>
            <w:right w:val="none" w:sz="0" w:space="0" w:color="auto"/>
          </w:divBdr>
        </w:div>
        <w:div w:id="910505378">
          <w:marLeft w:val="640"/>
          <w:marRight w:val="0"/>
          <w:marTop w:val="0"/>
          <w:marBottom w:val="0"/>
          <w:divBdr>
            <w:top w:val="none" w:sz="0" w:space="0" w:color="auto"/>
            <w:left w:val="none" w:sz="0" w:space="0" w:color="auto"/>
            <w:bottom w:val="none" w:sz="0" w:space="0" w:color="auto"/>
            <w:right w:val="none" w:sz="0" w:space="0" w:color="auto"/>
          </w:divBdr>
        </w:div>
        <w:div w:id="380784001">
          <w:marLeft w:val="640"/>
          <w:marRight w:val="0"/>
          <w:marTop w:val="0"/>
          <w:marBottom w:val="0"/>
          <w:divBdr>
            <w:top w:val="none" w:sz="0" w:space="0" w:color="auto"/>
            <w:left w:val="none" w:sz="0" w:space="0" w:color="auto"/>
            <w:bottom w:val="none" w:sz="0" w:space="0" w:color="auto"/>
            <w:right w:val="none" w:sz="0" w:space="0" w:color="auto"/>
          </w:divBdr>
        </w:div>
        <w:div w:id="1839148749">
          <w:marLeft w:val="640"/>
          <w:marRight w:val="0"/>
          <w:marTop w:val="0"/>
          <w:marBottom w:val="0"/>
          <w:divBdr>
            <w:top w:val="none" w:sz="0" w:space="0" w:color="auto"/>
            <w:left w:val="none" w:sz="0" w:space="0" w:color="auto"/>
            <w:bottom w:val="none" w:sz="0" w:space="0" w:color="auto"/>
            <w:right w:val="none" w:sz="0" w:space="0" w:color="auto"/>
          </w:divBdr>
        </w:div>
        <w:div w:id="101461202">
          <w:marLeft w:val="640"/>
          <w:marRight w:val="0"/>
          <w:marTop w:val="0"/>
          <w:marBottom w:val="0"/>
          <w:divBdr>
            <w:top w:val="none" w:sz="0" w:space="0" w:color="auto"/>
            <w:left w:val="none" w:sz="0" w:space="0" w:color="auto"/>
            <w:bottom w:val="none" w:sz="0" w:space="0" w:color="auto"/>
            <w:right w:val="none" w:sz="0" w:space="0" w:color="auto"/>
          </w:divBdr>
        </w:div>
        <w:div w:id="383139426">
          <w:marLeft w:val="640"/>
          <w:marRight w:val="0"/>
          <w:marTop w:val="0"/>
          <w:marBottom w:val="0"/>
          <w:divBdr>
            <w:top w:val="none" w:sz="0" w:space="0" w:color="auto"/>
            <w:left w:val="none" w:sz="0" w:space="0" w:color="auto"/>
            <w:bottom w:val="none" w:sz="0" w:space="0" w:color="auto"/>
            <w:right w:val="none" w:sz="0" w:space="0" w:color="auto"/>
          </w:divBdr>
        </w:div>
        <w:div w:id="1222133460">
          <w:marLeft w:val="640"/>
          <w:marRight w:val="0"/>
          <w:marTop w:val="0"/>
          <w:marBottom w:val="0"/>
          <w:divBdr>
            <w:top w:val="none" w:sz="0" w:space="0" w:color="auto"/>
            <w:left w:val="none" w:sz="0" w:space="0" w:color="auto"/>
            <w:bottom w:val="none" w:sz="0" w:space="0" w:color="auto"/>
            <w:right w:val="none" w:sz="0" w:space="0" w:color="auto"/>
          </w:divBdr>
        </w:div>
        <w:div w:id="1437748160">
          <w:marLeft w:val="640"/>
          <w:marRight w:val="0"/>
          <w:marTop w:val="0"/>
          <w:marBottom w:val="0"/>
          <w:divBdr>
            <w:top w:val="none" w:sz="0" w:space="0" w:color="auto"/>
            <w:left w:val="none" w:sz="0" w:space="0" w:color="auto"/>
            <w:bottom w:val="none" w:sz="0" w:space="0" w:color="auto"/>
            <w:right w:val="none" w:sz="0" w:space="0" w:color="auto"/>
          </w:divBdr>
        </w:div>
        <w:div w:id="480582399">
          <w:marLeft w:val="640"/>
          <w:marRight w:val="0"/>
          <w:marTop w:val="0"/>
          <w:marBottom w:val="0"/>
          <w:divBdr>
            <w:top w:val="none" w:sz="0" w:space="0" w:color="auto"/>
            <w:left w:val="none" w:sz="0" w:space="0" w:color="auto"/>
            <w:bottom w:val="none" w:sz="0" w:space="0" w:color="auto"/>
            <w:right w:val="none" w:sz="0" w:space="0" w:color="auto"/>
          </w:divBdr>
        </w:div>
        <w:div w:id="844201545">
          <w:marLeft w:val="640"/>
          <w:marRight w:val="0"/>
          <w:marTop w:val="0"/>
          <w:marBottom w:val="0"/>
          <w:divBdr>
            <w:top w:val="none" w:sz="0" w:space="0" w:color="auto"/>
            <w:left w:val="none" w:sz="0" w:space="0" w:color="auto"/>
            <w:bottom w:val="none" w:sz="0" w:space="0" w:color="auto"/>
            <w:right w:val="none" w:sz="0" w:space="0" w:color="auto"/>
          </w:divBdr>
        </w:div>
        <w:div w:id="1614827392">
          <w:marLeft w:val="640"/>
          <w:marRight w:val="0"/>
          <w:marTop w:val="0"/>
          <w:marBottom w:val="0"/>
          <w:divBdr>
            <w:top w:val="none" w:sz="0" w:space="0" w:color="auto"/>
            <w:left w:val="none" w:sz="0" w:space="0" w:color="auto"/>
            <w:bottom w:val="none" w:sz="0" w:space="0" w:color="auto"/>
            <w:right w:val="none" w:sz="0" w:space="0" w:color="auto"/>
          </w:divBdr>
        </w:div>
        <w:div w:id="308486121">
          <w:marLeft w:val="640"/>
          <w:marRight w:val="0"/>
          <w:marTop w:val="0"/>
          <w:marBottom w:val="0"/>
          <w:divBdr>
            <w:top w:val="none" w:sz="0" w:space="0" w:color="auto"/>
            <w:left w:val="none" w:sz="0" w:space="0" w:color="auto"/>
            <w:bottom w:val="none" w:sz="0" w:space="0" w:color="auto"/>
            <w:right w:val="none" w:sz="0" w:space="0" w:color="auto"/>
          </w:divBdr>
        </w:div>
        <w:div w:id="1067804600">
          <w:marLeft w:val="640"/>
          <w:marRight w:val="0"/>
          <w:marTop w:val="0"/>
          <w:marBottom w:val="0"/>
          <w:divBdr>
            <w:top w:val="none" w:sz="0" w:space="0" w:color="auto"/>
            <w:left w:val="none" w:sz="0" w:space="0" w:color="auto"/>
            <w:bottom w:val="none" w:sz="0" w:space="0" w:color="auto"/>
            <w:right w:val="none" w:sz="0" w:space="0" w:color="auto"/>
          </w:divBdr>
        </w:div>
        <w:div w:id="721247620">
          <w:marLeft w:val="640"/>
          <w:marRight w:val="0"/>
          <w:marTop w:val="0"/>
          <w:marBottom w:val="0"/>
          <w:divBdr>
            <w:top w:val="none" w:sz="0" w:space="0" w:color="auto"/>
            <w:left w:val="none" w:sz="0" w:space="0" w:color="auto"/>
            <w:bottom w:val="none" w:sz="0" w:space="0" w:color="auto"/>
            <w:right w:val="none" w:sz="0" w:space="0" w:color="auto"/>
          </w:divBdr>
        </w:div>
        <w:div w:id="1003894963">
          <w:marLeft w:val="640"/>
          <w:marRight w:val="0"/>
          <w:marTop w:val="0"/>
          <w:marBottom w:val="0"/>
          <w:divBdr>
            <w:top w:val="none" w:sz="0" w:space="0" w:color="auto"/>
            <w:left w:val="none" w:sz="0" w:space="0" w:color="auto"/>
            <w:bottom w:val="none" w:sz="0" w:space="0" w:color="auto"/>
            <w:right w:val="none" w:sz="0" w:space="0" w:color="auto"/>
          </w:divBdr>
        </w:div>
        <w:div w:id="1322586203">
          <w:marLeft w:val="640"/>
          <w:marRight w:val="0"/>
          <w:marTop w:val="0"/>
          <w:marBottom w:val="0"/>
          <w:divBdr>
            <w:top w:val="none" w:sz="0" w:space="0" w:color="auto"/>
            <w:left w:val="none" w:sz="0" w:space="0" w:color="auto"/>
            <w:bottom w:val="none" w:sz="0" w:space="0" w:color="auto"/>
            <w:right w:val="none" w:sz="0" w:space="0" w:color="auto"/>
          </w:divBdr>
        </w:div>
        <w:div w:id="2027781618">
          <w:marLeft w:val="640"/>
          <w:marRight w:val="0"/>
          <w:marTop w:val="0"/>
          <w:marBottom w:val="0"/>
          <w:divBdr>
            <w:top w:val="none" w:sz="0" w:space="0" w:color="auto"/>
            <w:left w:val="none" w:sz="0" w:space="0" w:color="auto"/>
            <w:bottom w:val="none" w:sz="0" w:space="0" w:color="auto"/>
            <w:right w:val="none" w:sz="0" w:space="0" w:color="auto"/>
          </w:divBdr>
        </w:div>
        <w:div w:id="1316303193">
          <w:marLeft w:val="640"/>
          <w:marRight w:val="0"/>
          <w:marTop w:val="0"/>
          <w:marBottom w:val="0"/>
          <w:divBdr>
            <w:top w:val="none" w:sz="0" w:space="0" w:color="auto"/>
            <w:left w:val="none" w:sz="0" w:space="0" w:color="auto"/>
            <w:bottom w:val="none" w:sz="0" w:space="0" w:color="auto"/>
            <w:right w:val="none" w:sz="0" w:space="0" w:color="auto"/>
          </w:divBdr>
        </w:div>
        <w:div w:id="1045761250">
          <w:marLeft w:val="640"/>
          <w:marRight w:val="0"/>
          <w:marTop w:val="0"/>
          <w:marBottom w:val="0"/>
          <w:divBdr>
            <w:top w:val="none" w:sz="0" w:space="0" w:color="auto"/>
            <w:left w:val="none" w:sz="0" w:space="0" w:color="auto"/>
            <w:bottom w:val="none" w:sz="0" w:space="0" w:color="auto"/>
            <w:right w:val="none" w:sz="0" w:space="0" w:color="auto"/>
          </w:divBdr>
        </w:div>
        <w:div w:id="1147623298">
          <w:marLeft w:val="640"/>
          <w:marRight w:val="0"/>
          <w:marTop w:val="0"/>
          <w:marBottom w:val="0"/>
          <w:divBdr>
            <w:top w:val="none" w:sz="0" w:space="0" w:color="auto"/>
            <w:left w:val="none" w:sz="0" w:space="0" w:color="auto"/>
            <w:bottom w:val="none" w:sz="0" w:space="0" w:color="auto"/>
            <w:right w:val="none" w:sz="0" w:space="0" w:color="auto"/>
          </w:divBdr>
        </w:div>
        <w:div w:id="781221010">
          <w:marLeft w:val="640"/>
          <w:marRight w:val="0"/>
          <w:marTop w:val="0"/>
          <w:marBottom w:val="0"/>
          <w:divBdr>
            <w:top w:val="none" w:sz="0" w:space="0" w:color="auto"/>
            <w:left w:val="none" w:sz="0" w:space="0" w:color="auto"/>
            <w:bottom w:val="none" w:sz="0" w:space="0" w:color="auto"/>
            <w:right w:val="none" w:sz="0" w:space="0" w:color="auto"/>
          </w:divBdr>
        </w:div>
        <w:div w:id="303387964">
          <w:marLeft w:val="640"/>
          <w:marRight w:val="0"/>
          <w:marTop w:val="0"/>
          <w:marBottom w:val="0"/>
          <w:divBdr>
            <w:top w:val="none" w:sz="0" w:space="0" w:color="auto"/>
            <w:left w:val="none" w:sz="0" w:space="0" w:color="auto"/>
            <w:bottom w:val="none" w:sz="0" w:space="0" w:color="auto"/>
            <w:right w:val="none" w:sz="0" w:space="0" w:color="auto"/>
          </w:divBdr>
        </w:div>
        <w:div w:id="1990817609">
          <w:marLeft w:val="640"/>
          <w:marRight w:val="0"/>
          <w:marTop w:val="0"/>
          <w:marBottom w:val="0"/>
          <w:divBdr>
            <w:top w:val="none" w:sz="0" w:space="0" w:color="auto"/>
            <w:left w:val="none" w:sz="0" w:space="0" w:color="auto"/>
            <w:bottom w:val="none" w:sz="0" w:space="0" w:color="auto"/>
            <w:right w:val="none" w:sz="0" w:space="0" w:color="auto"/>
          </w:divBdr>
        </w:div>
        <w:div w:id="1648971967">
          <w:marLeft w:val="640"/>
          <w:marRight w:val="0"/>
          <w:marTop w:val="0"/>
          <w:marBottom w:val="0"/>
          <w:divBdr>
            <w:top w:val="none" w:sz="0" w:space="0" w:color="auto"/>
            <w:left w:val="none" w:sz="0" w:space="0" w:color="auto"/>
            <w:bottom w:val="none" w:sz="0" w:space="0" w:color="auto"/>
            <w:right w:val="none" w:sz="0" w:space="0" w:color="auto"/>
          </w:divBdr>
        </w:div>
        <w:div w:id="1238439674">
          <w:marLeft w:val="640"/>
          <w:marRight w:val="0"/>
          <w:marTop w:val="0"/>
          <w:marBottom w:val="0"/>
          <w:divBdr>
            <w:top w:val="none" w:sz="0" w:space="0" w:color="auto"/>
            <w:left w:val="none" w:sz="0" w:space="0" w:color="auto"/>
            <w:bottom w:val="none" w:sz="0" w:space="0" w:color="auto"/>
            <w:right w:val="none" w:sz="0" w:space="0" w:color="auto"/>
          </w:divBdr>
        </w:div>
        <w:div w:id="109520597">
          <w:marLeft w:val="640"/>
          <w:marRight w:val="0"/>
          <w:marTop w:val="0"/>
          <w:marBottom w:val="0"/>
          <w:divBdr>
            <w:top w:val="none" w:sz="0" w:space="0" w:color="auto"/>
            <w:left w:val="none" w:sz="0" w:space="0" w:color="auto"/>
            <w:bottom w:val="none" w:sz="0" w:space="0" w:color="auto"/>
            <w:right w:val="none" w:sz="0" w:space="0" w:color="auto"/>
          </w:divBdr>
        </w:div>
        <w:div w:id="1259290667">
          <w:marLeft w:val="640"/>
          <w:marRight w:val="0"/>
          <w:marTop w:val="0"/>
          <w:marBottom w:val="0"/>
          <w:divBdr>
            <w:top w:val="none" w:sz="0" w:space="0" w:color="auto"/>
            <w:left w:val="none" w:sz="0" w:space="0" w:color="auto"/>
            <w:bottom w:val="none" w:sz="0" w:space="0" w:color="auto"/>
            <w:right w:val="none" w:sz="0" w:space="0" w:color="auto"/>
          </w:divBdr>
        </w:div>
        <w:div w:id="1550726135">
          <w:marLeft w:val="640"/>
          <w:marRight w:val="0"/>
          <w:marTop w:val="0"/>
          <w:marBottom w:val="0"/>
          <w:divBdr>
            <w:top w:val="none" w:sz="0" w:space="0" w:color="auto"/>
            <w:left w:val="none" w:sz="0" w:space="0" w:color="auto"/>
            <w:bottom w:val="none" w:sz="0" w:space="0" w:color="auto"/>
            <w:right w:val="none" w:sz="0" w:space="0" w:color="auto"/>
          </w:divBdr>
        </w:div>
        <w:div w:id="872184503">
          <w:marLeft w:val="640"/>
          <w:marRight w:val="0"/>
          <w:marTop w:val="0"/>
          <w:marBottom w:val="0"/>
          <w:divBdr>
            <w:top w:val="none" w:sz="0" w:space="0" w:color="auto"/>
            <w:left w:val="none" w:sz="0" w:space="0" w:color="auto"/>
            <w:bottom w:val="none" w:sz="0" w:space="0" w:color="auto"/>
            <w:right w:val="none" w:sz="0" w:space="0" w:color="auto"/>
          </w:divBdr>
        </w:div>
        <w:div w:id="1707245169">
          <w:marLeft w:val="640"/>
          <w:marRight w:val="0"/>
          <w:marTop w:val="0"/>
          <w:marBottom w:val="0"/>
          <w:divBdr>
            <w:top w:val="none" w:sz="0" w:space="0" w:color="auto"/>
            <w:left w:val="none" w:sz="0" w:space="0" w:color="auto"/>
            <w:bottom w:val="none" w:sz="0" w:space="0" w:color="auto"/>
            <w:right w:val="none" w:sz="0" w:space="0" w:color="auto"/>
          </w:divBdr>
        </w:div>
        <w:div w:id="1946962257">
          <w:marLeft w:val="640"/>
          <w:marRight w:val="0"/>
          <w:marTop w:val="0"/>
          <w:marBottom w:val="0"/>
          <w:divBdr>
            <w:top w:val="none" w:sz="0" w:space="0" w:color="auto"/>
            <w:left w:val="none" w:sz="0" w:space="0" w:color="auto"/>
            <w:bottom w:val="none" w:sz="0" w:space="0" w:color="auto"/>
            <w:right w:val="none" w:sz="0" w:space="0" w:color="auto"/>
          </w:divBdr>
        </w:div>
        <w:div w:id="1031878633">
          <w:marLeft w:val="640"/>
          <w:marRight w:val="0"/>
          <w:marTop w:val="0"/>
          <w:marBottom w:val="0"/>
          <w:divBdr>
            <w:top w:val="none" w:sz="0" w:space="0" w:color="auto"/>
            <w:left w:val="none" w:sz="0" w:space="0" w:color="auto"/>
            <w:bottom w:val="none" w:sz="0" w:space="0" w:color="auto"/>
            <w:right w:val="none" w:sz="0" w:space="0" w:color="auto"/>
          </w:divBdr>
        </w:div>
        <w:div w:id="182256124">
          <w:marLeft w:val="640"/>
          <w:marRight w:val="0"/>
          <w:marTop w:val="0"/>
          <w:marBottom w:val="0"/>
          <w:divBdr>
            <w:top w:val="none" w:sz="0" w:space="0" w:color="auto"/>
            <w:left w:val="none" w:sz="0" w:space="0" w:color="auto"/>
            <w:bottom w:val="none" w:sz="0" w:space="0" w:color="auto"/>
            <w:right w:val="none" w:sz="0" w:space="0" w:color="auto"/>
          </w:divBdr>
        </w:div>
        <w:div w:id="908617460">
          <w:marLeft w:val="640"/>
          <w:marRight w:val="0"/>
          <w:marTop w:val="0"/>
          <w:marBottom w:val="0"/>
          <w:divBdr>
            <w:top w:val="none" w:sz="0" w:space="0" w:color="auto"/>
            <w:left w:val="none" w:sz="0" w:space="0" w:color="auto"/>
            <w:bottom w:val="none" w:sz="0" w:space="0" w:color="auto"/>
            <w:right w:val="none" w:sz="0" w:space="0" w:color="auto"/>
          </w:divBdr>
        </w:div>
        <w:div w:id="1156458152">
          <w:marLeft w:val="640"/>
          <w:marRight w:val="0"/>
          <w:marTop w:val="0"/>
          <w:marBottom w:val="0"/>
          <w:divBdr>
            <w:top w:val="none" w:sz="0" w:space="0" w:color="auto"/>
            <w:left w:val="none" w:sz="0" w:space="0" w:color="auto"/>
            <w:bottom w:val="none" w:sz="0" w:space="0" w:color="auto"/>
            <w:right w:val="none" w:sz="0" w:space="0" w:color="auto"/>
          </w:divBdr>
        </w:div>
        <w:div w:id="221333024">
          <w:marLeft w:val="640"/>
          <w:marRight w:val="0"/>
          <w:marTop w:val="0"/>
          <w:marBottom w:val="0"/>
          <w:divBdr>
            <w:top w:val="none" w:sz="0" w:space="0" w:color="auto"/>
            <w:left w:val="none" w:sz="0" w:space="0" w:color="auto"/>
            <w:bottom w:val="none" w:sz="0" w:space="0" w:color="auto"/>
            <w:right w:val="none" w:sz="0" w:space="0" w:color="auto"/>
          </w:divBdr>
        </w:div>
        <w:div w:id="1691568835">
          <w:marLeft w:val="640"/>
          <w:marRight w:val="0"/>
          <w:marTop w:val="0"/>
          <w:marBottom w:val="0"/>
          <w:divBdr>
            <w:top w:val="none" w:sz="0" w:space="0" w:color="auto"/>
            <w:left w:val="none" w:sz="0" w:space="0" w:color="auto"/>
            <w:bottom w:val="none" w:sz="0" w:space="0" w:color="auto"/>
            <w:right w:val="none" w:sz="0" w:space="0" w:color="auto"/>
          </w:divBdr>
        </w:div>
        <w:div w:id="888765061">
          <w:marLeft w:val="640"/>
          <w:marRight w:val="0"/>
          <w:marTop w:val="0"/>
          <w:marBottom w:val="0"/>
          <w:divBdr>
            <w:top w:val="none" w:sz="0" w:space="0" w:color="auto"/>
            <w:left w:val="none" w:sz="0" w:space="0" w:color="auto"/>
            <w:bottom w:val="none" w:sz="0" w:space="0" w:color="auto"/>
            <w:right w:val="none" w:sz="0" w:space="0" w:color="auto"/>
          </w:divBdr>
        </w:div>
        <w:div w:id="1797718259">
          <w:marLeft w:val="640"/>
          <w:marRight w:val="0"/>
          <w:marTop w:val="0"/>
          <w:marBottom w:val="0"/>
          <w:divBdr>
            <w:top w:val="none" w:sz="0" w:space="0" w:color="auto"/>
            <w:left w:val="none" w:sz="0" w:space="0" w:color="auto"/>
            <w:bottom w:val="none" w:sz="0" w:space="0" w:color="auto"/>
            <w:right w:val="none" w:sz="0" w:space="0" w:color="auto"/>
          </w:divBdr>
        </w:div>
        <w:div w:id="2004116611">
          <w:marLeft w:val="640"/>
          <w:marRight w:val="0"/>
          <w:marTop w:val="0"/>
          <w:marBottom w:val="0"/>
          <w:divBdr>
            <w:top w:val="none" w:sz="0" w:space="0" w:color="auto"/>
            <w:left w:val="none" w:sz="0" w:space="0" w:color="auto"/>
            <w:bottom w:val="none" w:sz="0" w:space="0" w:color="auto"/>
            <w:right w:val="none" w:sz="0" w:space="0" w:color="auto"/>
          </w:divBdr>
        </w:div>
        <w:div w:id="185338014">
          <w:marLeft w:val="640"/>
          <w:marRight w:val="0"/>
          <w:marTop w:val="0"/>
          <w:marBottom w:val="0"/>
          <w:divBdr>
            <w:top w:val="none" w:sz="0" w:space="0" w:color="auto"/>
            <w:left w:val="none" w:sz="0" w:space="0" w:color="auto"/>
            <w:bottom w:val="none" w:sz="0" w:space="0" w:color="auto"/>
            <w:right w:val="none" w:sz="0" w:space="0" w:color="auto"/>
          </w:divBdr>
        </w:div>
        <w:div w:id="619192828">
          <w:marLeft w:val="640"/>
          <w:marRight w:val="0"/>
          <w:marTop w:val="0"/>
          <w:marBottom w:val="0"/>
          <w:divBdr>
            <w:top w:val="none" w:sz="0" w:space="0" w:color="auto"/>
            <w:left w:val="none" w:sz="0" w:space="0" w:color="auto"/>
            <w:bottom w:val="none" w:sz="0" w:space="0" w:color="auto"/>
            <w:right w:val="none" w:sz="0" w:space="0" w:color="auto"/>
          </w:divBdr>
        </w:div>
        <w:div w:id="1266499992">
          <w:marLeft w:val="640"/>
          <w:marRight w:val="0"/>
          <w:marTop w:val="0"/>
          <w:marBottom w:val="0"/>
          <w:divBdr>
            <w:top w:val="none" w:sz="0" w:space="0" w:color="auto"/>
            <w:left w:val="none" w:sz="0" w:space="0" w:color="auto"/>
            <w:bottom w:val="none" w:sz="0" w:space="0" w:color="auto"/>
            <w:right w:val="none" w:sz="0" w:space="0" w:color="auto"/>
          </w:divBdr>
        </w:div>
        <w:div w:id="72700973">
          <w:marLeft w:val="640"/>
          <w:marRight w:val="0"/>
          <w:marTop w:val="0"/>
          <w:marBottom w:val="0"/>
          <w:divBdr>
            <w:top w:val="none" w:sz="0" w:space="0" w:color="auto"/>
            <w:left w:val="none" w:sz="0" w:space="0" w:color="auto"/>
            <w:bottom w:val="none" w:sz="0" w:space="0" w:color="auto"/>
            <w:right w:val="none" w:sz="0" w:space="0" w:color="auto"/>
          </w:divBdr>
        </w:div>
        <w:div w:id="1954248086">
          <w:marLeft w:val="640"/>
          <w:marRight w:val="0"/>
          <w:marTop w:val="0"/>
          <w:marBottom w:val="0"/>
          <w:divBdr>
            <w:top w:val="none" w:sz="0" w:space="0" w:color="auto"/>
            <w:left w:val="none" w:sz="0" w:space="0" w:color="auto"/>
            <w:bottom w:val="none" w:sz="0" w:space="0" w:color="auto"/>
            <w:right w:val="none" w:sz="0" w:space="0" w:color="auto"/>
          </w:divBdr>
        </w:div>
        <w:div w:id="683165606">
          <w:marLeft w:val="640"/>
          <w:marRight w:val="0"/>
          <w:marTop w:val="0"/>
          <w:marBottom w:val="0"/>
          <w:divBdr>
            <w:top w:val="none" w:sz="0" w:space="0" w:color="auto"/>
            <w:left w:val="none" w:sz="0" w:space="0" w:color="auto"/>
            <w:bottom w:val="none" w:sz="0" w:space="0" w:color="auto"/>
            <w:right w:val="none" w:sz="0" w:space="0" w:color="auto"/>
          </w:divBdr>
        </w:div>
        <w:div w:id="1346446060">
          <w:marLeft w:val="640"/>
          <w:marRight w:val="0"/>
          <w:marTop w:val="0"/>
          <w:marBottom w:val="0"/>
          <w:divBdr>
            <w:top w:val="none" w:sz="0" w:space="0" w:color="auto"/>
            <w:left w:val="none" w:sz="0" w:space="0" w:color="auto"/>
            <w:bottom w:val="none" w:sz="0" w:space="0" w:color="auto"/>
            <w:right w:val="none" w:sz="0" w:space="0" w:color="auto"/>
          </w:divBdr>
        </w:div>
        <w:div w:id="1353261935">
          <w:marLeft w:val="640"/>
          <w:marRight w:val="0"/>
          <w:marTop w:val="0"/>
          <w:marBottom w:val="0"/>
          <w:divBdr>
            <w:top w:val="none" w:sz="0" w:space="0" w:color="auto"/>
            <w:left w:val="none" w:sz="0" w:space="0" w:color="auto"/>
            <w:bottom w:val="none" w:sz="0" w:space="0" w:color="auto"/>
            <w:right w:val="none" w:sz="0" w:space="0" w:color="auto"/>
          </w:divBdr>
        </w:div>
        <w:div w:id="2123064268">
          <w:marLeft w:val="640"/>
          <w:marRight w:val="0"/>
          <w:marTop w:val="0"/>
          <w:marBottom w:val="0"/>
          <w:divBdr>
            <w:top w:val="none" w:sz="0" w:space="0" w:color="auto"/>
            <w:left w:val="none" w:sz="0" w:space="0" w:color="auto"/>
            <w:bottom w:val="none" w:sz="0" w:space="0" w:color="auto"/>
            <w:right w:val="none" w:sz="0" w:space="0" w:color="auto"/>
          </w:divBdr>
        </w:div>
        <w:div w:id="536695341">
          <w:marLeft w:val="640"/>
          <w:marRight w:val="0"/>
          <w:marTop w:val="0"/>
          <w:marBottom w:val="0"/>
          <w:divBdr>
            <w:top w:val="none" w:sz="0" w:space="0" w:color="auto"/>
            <w:left w:val="none" w:sz="0" w:space="0" w:color="auto"/>
            <w:bottom w:val="none" w:sz="0" w:space="0" w:color="auto"/>
            <w:right w:val="none" w:sz="0" w:space="0" w:color="auto"/>
          </w:divBdr>
        </w:div>
        <w:div w:id="765230342">
          <w:marLeft w:val="640"/>
          <w:marRight w:val="0"/>
          <w:marTop w:val="0"/>
          <w:marBottom w:val="0"/>
          <w:divBdr>
            <w:top w:val="none" w:sz="0" w:space="0" w:color="auto"/>
            <w:left w:val="none" w:sz="0" w:space="0" w:color="auto"/>
            <w:bottom w:val="none" w:sz="0" w:space="0" w:color="auto"/>
            <w:right w:val="none" w:sz="0" w:space="0" w:color="auto"/>
          </w:divBdr>
        </w:div>
        <w:div w:id="2134788541">
          <w:marLeft w:val="640"/>
          <w:marRight w:val="0"/>
          <w:marTop w:val="0"/>
          <w:marBottom w:val="0"/>
          <w:divBdr>
            <w:top w:val="none" w:sz="0" w:space="0" w:color="auto"/>
            <w:left w:val="none" w:sz="0" w:space="0" w:color="auto"/>
            <w:bottom w:val="none" w:sz="0" w:space="0" w:color="auto"/>
            <w:right w:val="none" w:sz="0" w:space="0" w:color="auto"/>
          </w:divBdr>
        </w:div>
        <w:div w:id="1797411251">
          <w:marLeft w:val="640"/>
          <w:marRight w:val="0"/>
          <w:marTop w:val="0"/>
          <w:marBottom w:val="0"/>
          <w:divBdr>
            <w:top w:val="none" w:sz="0" w:space="0" w:color="auto"/>
            <w:left w:val="none" w:sz="0" w:space="0" w:color="auto"/>
            <w:bottom w:val="none" w:sz="0" w:space="0" w:color="auto"/>
            <w:right w:val="none" w:sz="0" w:space="0" w:color="auto"/>
          </w:divBdr>
        </w:div>
        <w:div w:id="1814985881">
          <w:marLeft w:val="640"/>
          <w:marRight w:val="0"/>
          <w:marTop w:val="0"/>
          <w:marBottom w:val="0"/>
          <w:divBdr>
            <w:top w:val="none" w:sz="0" w:space="0" w:color="auto"/>
            <w:left w:val="none" w:sz="0" w:space="0" w:color="auto"/>
            <w:bottom w:val="none" w:sz="0" w:space="0" w:color="auto"/>
            <w:right w:val="none" w:sz="0" w:space="0" w:color="auto"/>
          </w:divBdr>
        </w:div>
        <w:div w:id="531725843">
          <w:marLeft w:val="640"/>
          <w:marRight w:val="0"/>
          <w:marTop w:val="0"/>
          <w:marBottom w:val="0"/>
          <w:divBdr>
            <w:top w:val="none" w:sz="0" w:space="0" w:color="auto"/>
            <w:left w:val="none" w:sz="0" w:space="0" w:color="auto"/>
            <w:bottom w:val="none" w:sz="0" w:space="0" w:color="auto"/>
            <w:right w:val="none" w:sz="0" w:space="0" w:color="auto"/>
          </w:divBdr>
        </w:div>
        <w:div w:id="1399010892">
          <w:marLeft w:val="640"/>
          <w:marRight w:val="0"/>
          <w:marTop w:val="0"/>
          <w:marBottom w:val="0"/>
          <w:divBdr>
            <w:top w:val="none" w:sz="0" w:space="0" w:color="auto"/>
            <w:left w:val="none" w:sz="0" w:space="0" w:color="auto"/>
            <w:bottom w:val="none" w:sz="0" w:space="0" w:color="auto"/>
            <w:right w:val="none" w:sz="0" w:space="0" w:color="auto"/>
          </w:divBdr>
        </w:div>
        <w:div w:id="429736936">
          <w:marLeft w:val="640"/>
          <w:marRight w:val="0"/>
          <w:marTop w:val="0"/>
          <w:marBottom w:val="0"/>
          <w:divBdr>
            <w:top w:val="none" w:sz="0" w:space="0" w:color="auto"/>
            <w:left w:val="none" w:sz="0" w:space="0" w:color="auto"/>
            <w:bottom w:val="none" w:sz="0" w:space="0" w:color="auto"/>
            <w:right w:val="none" w:sz="0" w:space="0" w:color="auto"/>
          </w:divBdr>
        </w:div>
        <w:div w:id="1192961853">
          <w:marLeft w:val="640"/>
          <w:marRight w:val="0"/>
          <w:marTop w:val="0"/>
          <w:marBottom w:val="0"/>
          <w:divBdr>
            <w:top w:val="none" w:sz="0" w:space="0" w:color="auto"/>
            <w:left w:val="none" w:sz="0" w:space="0" w:color="auto"/>
            <w:bottom w:val="none" w:sz="0" w:space="0" w:color="auto"/>
            <w:right w:val="none" w:sz="0" w:space="0" w:color="auto"/>
          </w:divBdr>
        </w:div>
        <w:div w:id="1564606567">
          <w:marLeft w:val="640"/>
          <w:marRight w:val="0"/>
          <w:marTop w:val="0"/>
          <w:marBottom w:val="0"/>
          <w:divBdr>
            <w:top w:val="none" w:sz="0" w:space="0" w:color="auto"/>
            <w:left w:val="none" w:sz="0" w:space="0" w:color="auto"/>
            <w:bottom w:val="none" w:sz="0" w:space="0" w:color="auto"/>
            <w:right w:val="none" w:sz="0" w:space="0" w:color="auto"/>
          </w:divBdr>
        </w:div>
        <w:div w:id="1745180310">
          <w:marLeft w:val="640"/>
          <w:marRight w:val="0"/>
          <w:marTop w:val="0"/>
          <w:marBottom w:val="0"/>
          <w:divBdr>
            <w:top w:val="none" w:sz="0" w:space="0" w:color="auto"/>
            <w:left w:val="none" w:sz="0" w:space="0" w:color="auto"/>
            <w:bottom w:val="none" w:sz="0" w:space="0" w:color="auto"/>
            <w:right w:val="none" w:sz="0" w:space="0" w:color="auto"/>
          </w:divBdr>
        </w:div>
        <w:div w:id="1539052694">
          <w:marLeft w:val="640"/>
          <w:marRight w:val="0"/>
          <w:marTop w:val="0"/>
          <w:marBottom w:val="0"/>
          <w:divBdr>
            <w:top w:val="none" w:sz="0" w:space="0" w:color="auto"/>
            <w:left w:val="none" w:sz="0" w:space="0" w:color="auto"/>
            <w:bottom w:val="none" w:sz="0" w:space="0" w:color="auto"/>
            <w:right w:val="none" w:sz="0" w:space="0" w:color="auto"/>
          </w:divBdr>
        </w:div>
        <w:div w:id="1196893516">
          <w:marLeft w:val="640"/>
          <w:marRight w:val="0"/>
          <w:marTop w:val="0"/>
          <w:marBottom w:val="0"/>
          <w:divBdr>
            <w:top w:val="none" w:sz="0" w:space="0" w:color="auto"/>
            <w:left w:val="none" w:sz="0" w:space="0" w:color="auto"/>
            <w:bottom w:val="none" w:sz="0" w:space="0" w:color="auto"/>
            <w:right w:val="none" w:sz="0" w:space="0" w:color="auto"/>
          </w:divBdr>
        </w:div>
        <w:div w:id="2010139050">
          <w:marLeft w:val="640"/>
          <w:marRight w:val="0"/>
          <w:marTop w:val="0"/>
          <w:marBottom w:val="0"/>
          <w:divBdr>
            <w:top w:val="none" w:sz="0" w:space="0" w:color="auto"/>
            <w:left w:val="none" w:sz="0" w:space="0" w:color="auto"/>
            <w:bottom w:val="none" w:sz="0" w:space="0" w:color="auto"/>
            <w:right w:val="none" w:sz="0" w:space="0" w:color="auto"/>
          </w:divBdr>
        </w:div>
        <w:div w:id="332609943">
          <w:marLeft w:val="640"/>
          <w:marRight w:val="0"/>
          <w:marTop w:val="0"/>
          <w:marBottom w:val="0"/>
          <w:divBdr>
            <w:top w:val="none" w:sz="0" w:space="0" w:color="auto"/>
            <w:left w:val="none" w:sz="0" w:space="0" w:color="auto"/>
            <w:bottom w:val="none" w:sz="0" w:space="0" w:color="auto"/>
            <w:right w:val="none" w:sz="0" w:space="0" w:color="auto"/>
          </w:divBdr>
        </w:div>
        <w:div w:id="1873611256">
          <w:marLeft w:val="640"/>
          <w:marRight w:val="0"/>
          <w:marTop w:val="0"/>
          <w:marBottom w:val="0"/>
          <w:divBdr>
            <w:top w:val="none" w:sz="0" w:space="0" w:color="auto"/>
            <w:left w:val="none" w:sz="0" w:space="0" w:color="auto"/>
            <w:bottom w:val="none" w:sz="0" w:space="0" w:color="auto"/>
            <w:right w:val="none" w:sz="0" w:space="0" w:color="auto"/>
          </w:divBdr>
        </w:div>
        <w:div w:id="1792284650">
          <w:marLeft w:val="640"/>
          <w:marRight w:val="0"/>
          <w:marTop w:val="0"/>
          <w:marBottom w:val="0"/>
          <w:divBdr>
            <w:top w:val="none" w:sz="0" w:space="0" w:color="auto"/>
            <w:left w:val="none" w:sz="0" w:space="0" w:color="auto"/>
            <w:bottom w:val="none" w:sz="0" w:space="0" w:color="auto"/>
            <w:right w:val="none" w:sz="0" w:space="0" w:color="auto"/>
          </w:divBdr>
        </w:div>
        <w:div w:id="114955996">
          <w:marLeft w:val="640"/>
          <w:marRight w:val="0"/>
          <w:marTop w:val="0"/>
          <w:marBottom w:val="0"/>
          <w:divBdr>
            <w:top w:val="none" w:sz="0" w:space="0" w:color="auto"/>
            <w:left w:val="none" w:sz="0" w:space="0" w:color="auto"/>
            <w:bottom w:val="none" w:sz="0" w:space="0" w:color="auto"/>
            <w:right w:val="none" w:sz="0" w:space="0" w:color="auto"/>
          </w:divBdr>
        </w:div>
        <w:div w:id="2131891943">
          <w:marLeft w:val="640"/>
          <w:marRight w:val="0"/>
          <w:marTop w:val="0"/>
          <w:marBottom w:val="0"/>
          <w:divBdr>
            <w:top w:val="none" w:sz="0" w:space="0" w:color="auto"/>
            <w:left w:val="none" w:sz="0" w:space="0" w:color="auto"/>
            <w:bottom w:val="none" w:sz="0" w:space="0" w:color="auto"/>
            <w:right w:val="none" w:sz="0" w:space="0" w:color="auto"/>
          </w:divBdr>
        </w:div>
        <w:div w:id="842203685">
          <w:marLeft w:val="640"/>
          <w:marRight w:val="0"/>
          <w:marTop w:val="0"/>
          <w:marBottom w:val="0"/>
          <w:divBdr>
            <w:top w:val="none" w:sz="0" w:space="0" w:color="auto"/>
            <w:left w:val="none" w:sz="0" w:space="0" w:color="auto"/>
            <w:bottom w:val="none" w:sz="0" w:space="0" w:color="auto"/>
            <w:right w:val="none" w:sz="0" w:space="0" w:color="auto"/>
          </w:divBdr>
        </w:div>
        <w:div w:id="1263565279">
          <w:marLeft w:val="640"/>
          <w:marRight w:val="0"/>
          <w:marTop w:val="0"/>
          <w:marBottom w:val="0"/>
          <w:divBdr>
            <w:top w:val="none" w:sz="0" w:space="0" w:color="auto"/>
            <w:left w:val="none" w:sz="0" w:space="0" w:color="auto"/>
            <w:bottom w:val="none" w:sz="0" w:space="0" w:color="auto"/>
            <w:right w:val="none" w:sz="0" w:space="0" w:color="auto"/>
          </w:divBdr>
        </w:div>
        <w:div w:id="332684400">
          <w:marLeft w:val="640"/>
          <w:marRight w:val="0"/>
          <w:marTop w:val="0"/>
          <w:marBottom w:val="0"/>
          <w:divBdr>
            <w:top w:val="none" w:sz="0" w:space="0" w:color="auto"/>
            <w:left w:val="none" w:sz="0" w:space="0" w:color="auto"/>
            <w:bottom w:val="none" w:sz="0" w:space="0" w:color="auto"/>
            <w:right w:val="none" w:sz="0" w:space="0" w:color="auto"/>
          </w:divBdr>
        </w:div>
        <w:div w:id="1638028318">
          <w:marLeft w:val="640"/>
          <w:marRight w:val="0"/>
          <w:marTop w:val="0"/>
          <w:marBottom w:val="0"/>
          <w:divBdr>
            <w:top w:val="none" w:sz="0" w:space="0" w:color="auto"/>
            <w:left w:val="none" w:sz="0" w:space="0" w:color="auto"/>
            <w:bottom w:val="none" w:sz="0" w:space="0" w:color="auto"/>
            <w:right w:val="none" w:sz="0" w:space="0" w:color="auto"/>
          </w:divBdr>
        </w:div>
        <w:div w:id="862281268">
          <w:marLeft w:val="640"/>
          <w:marRight w:val="0"/>
          <w:marTop w:val="0"/>
          <w:marBottom w:val="0"/>
          <w:divBdr>
            <w:top w:val="none" w:sz="0" w:space="0" w:color="auto"/>
            <w:left w:val="none" w:sz="0" w:space="0" w:color="auto"/>
            <w:bottom w:val="none" w:sz="0" w:space="0" w:color="auto"/>
            <w:right w:val="none" w:sz="0" w:space="0" w:color="auto"/>
          </w:divBdr>
        </w:div>
        <w:div w:id="604533968">
          <w:marLeft w:val="640"/>
          <w:marRight w:val="0"/>
          <w:marTop w:val="0"/>
          <w:marBottom w:val="0"/>
          <w:divBdr>
            <w:top w:val="none" w:sz="0" w:space="0" w:color="auto"/>
            <w:left w:val="none" w:sz="0" w:space="0" w:color="auto"/>
            <w:bottom w:val="none" w:sz="0" w:space="0" w:color="auto"/>
            <w:right w:val="none" w:sz="0" w:space="0" w:color="auto"/>
          </w:divBdr>
        </w:div>
        <w:div w:id="1902136150">
          <w:marLeft w:val="640"/>
          <w:marRight w:val="0"/>
          <w:marTop w:val="0"/>
          <w:marBottom w:val="0"/>
          <w:divBdr>
            <w:top w:val="none" w:sz="0" w:space="0" w:color="auto"/>
            <w:left w:val="none" w:sz="0" w:space="0" w:color="auto"/>
            <w:bottom w:val="none" w:sz="0" w:space="0" w:color="auto"/>
            <w:right w:val="none" w:sz="0" w:space="0" w:color="auto"/>
          </w:divBdr>
        </w:div>
        <w:div w:id="1280575258">
          <w:marLeft w:val="640"/>
          <w:marRight w:val="0"/>
          <w:marTop w:val="0"/>
          <w:marBottom w:val="0"/>
          <w:divBdr>
            <w:top w:val="none" w:sz="0" w:space="0" w:color="auto"/>
            <w:left w:val="none" w:sz="0" w:space="0" w:color="auto"/>
            <w:bottom w:val="none" w:sz="0" w:space="0" w:color="auto"/>
            <w:right w:val="none" w:sz="0" w:space="0" w:color="auto"/>
          </w:divBdr>
        </w:div>
        <w:div w:id="2126849271">
          <w:marLeft w:val="640"/>
          <w:marRight w:val="0"/>
          <w:marTop w:val="0"/>
          <w:marBottom w:val="0"/>
          <w:divBdr>
            <w:top w:val="none" w:sz="0" w:space="0" w:color="auto"/>
            <w:left w:val="none" w:sz="0" w:space="0" w:color="auto"/>
            <w:bottom w:val="none" w:sz="0" w:space="0" w:color="auto"/>
            <w:right w:val="none" w:sz="0" w:space="0" w:color="auto"/>
          </w:divBdr>
        </w:div>
        <w:div w:id="755783873">
          <w:marLeft w:val="640"/>
          <w:marRight w:val="0"/>
          <w:marTop w:val="0"/>
          <w:marBottom w:val="0"/>
          <w:divBdr>
            <w:top w:val="none" w:sz="0" w:space="0" w:color="auto"/>
            <w:left w:val="none" w:sz="0" w:space="0" w:color="auto"/>
            <w:bottom w:val="none" w:sz="0" w:space="0" w:color="auto"/>
            <w:right w:val="none" w:sz="0" w:space="0" w:color="auto"/>
          </w:divBdr>
        </w:div>
        <w:div w:id="1990984039">
          <w:marLeft w:val="640"/>
          <w:marRight w:val="0"/>
          <w:marTop w:val="0"/>
          <w:marBottom w:val="0"/>
          <w:divBdr>
            <w:top w:val="none" w:sz="0" w:space="0" w:color="auto"/>
            <w:left w:val="none" w:sz="0" w:space="0" w:color="auto"/>
            <w:bottom w:val="none" w:sz="0" w:space="0" w:color="auto"/>
            <w:right w:val="none" w:sz="0" w:space="0" w:color="auto"/>
          </w:divBdr>
        </w:div>
        <w:div w:id="1229611420">
          <w:marLeft w:val="640"/>
          <w:marRight w:val="0"/>
          <w:marTop w:val="0"/>
          <w:marBottom w:val="0"/>
          <w:divBdr>
            <w:top w:val="none" w:sz="0" w:space="0" w:color="auto"/>
            <w:left w:val="none" w:sz="0" w:space="0" w:color="auto"/>
            <w:bottom w:val="none" w:sz="0" w:space="0" w:color="auto"/>
            <w:right w:val="none" w:sz="0" w:space="0" w:color="auto"/>
          </w:divBdr>
        </w:div>
        <w:div w:id="1423069601">
          <w:marLeft w:val="640"/>
          <w:marRight w:val="0"/>
          <w:marTop w:val="0"/>
          <w:marBottom w:val="0"/>
          <w:divBdr>
            <w:top w:val="none" w:sz="0" w:space="0" w:color="auto"/>
            <w:left w:val="none" w:sz="0" w:space="0" w:color="auto"/>
            <w:bottom w:val="none" w:sz="0" w:space="0" w:color="auto"/>
            <w:right w:val="none" w:sz="0" w:space="0" w:color="auto"/>
          </w:divBdr>
        </w:div>
        <w:div w:id="1021859642">
          <w:marLeft w:val="640"/>
          <w:marRight w:val="0"/>
          <w:marTop w:val="0"/>
          <w:marBottom w:val="0"/>
          <w:divBdr>
            <w:top w:val="none" w:sz="0" w:space="0" w:color="auto"/>
            <w:left w:val="none" w:sz="0" w:space="0" w:color="auto"/>
            <w:bottom w:val="none" w:sz="0" w:space="0" w:color="auto"/>
            <w:right w:val="none" w:sz="0" w:space="0" w:color="auto"/>
          </w:divBdr>
        </w:div>
        <w:div w:id="15935857">
          <w:marLeft w:val="640"/>
          <w:marRight w:val="0"/>
          <w:marTop w:val="0"/>
          <w:marBottom w:val="0"/>
          <w:divBdr>
            <w:top w:val="none" w:sz="0" w:space="0" w:color="auto"/>
            <w:left w:val="none" w:sz="0" w:space="0" w:color="auto"/>
            <w:bottom w:val="none" w:sz="0" w:space="0" w:color="auto"/>
            <w:right w:val="none" w:sz="0" w:space="0" w:color="auto"/>
          </w:divBdr>
        </w:div>
        <w:div w:id="1755857651">
          <w:marLeft w:val="640"/>
          <w:marRight w:val="0"/>
          <w:marTop w:val="0"/>
          <w:marBottom w:val="0"/>
          <w:divBdr>
            <w:top w:val="none" w:sz="0" w:space="0" w:color="auto"/>
            <w:left w:val="none" w:sz="0" w:space="0" w:color="auto"/>
            <w:bottom w:val="none" w:sz="0" w:space="0" w:color="auto"/>
            <w:right w:val="none" w:sz="0" w:space="0" w:color="auto"/>
          </w:divBdr>
        </w:div>
        <w:div w:id="76562751">
          <w:marLeft w:val="640"/>
          <w:marRight w:val="0"/>
          <w:marTop w:val="0"/>
          <w:marBottom w:val="0"/>
          <w:divBdr>
            <w:top w:val="none" w:sz="0" w:space="0" w:color="auto"/>
            <w:left w:val="none" w:sz="0" w:space="0" w:color="auto"/>
            <w:bottom w:val="none" w:sz="0" w:space="0" w:color="auto"/>
            <w:right w:val="none" w:sz="0" w:space="0" w:color="auto"/>
          </w:divBdr>
        </w:div>
        <w:div w:id="403455106">
          <w:marLeft w:val="640"/>
          <w:marRight w:val="0"/>
          <w:marTop w:val="0"/>
          <w:marBottom w:val="0"/>
          <w:divBdr>
            <w:top w:val="none" w:sz="0" w:space="0" w:color="auto"/>
            <w:left w:val="none" w:sz="0" w:space="0" w:color="auto"/>
            <w:bottom w:val="none" w:sz="0" w:space="0" w:color="auto"/>
            <w:right w:val="none" w:sz="0" w:space="0" w:color="auto"/>
          </w:divBdr>
        </w:div>
        <w:div w:id="1894921690">
          <w:marLeft w:val="640"/>
          <w:marRight w:val="0"/>
          <w:marTop w:val="0"/>
          <w:marBottom w:val="0"/>
          <w:divBdr>
            <w:top w:val="none" w:sz="0" w:space="0" w:color="auto"/>
            <w:left w:val="none" w:sz="0" w:space="0" w:color="auto"/>
            <w:bottom w:val="none" w:sz="0" w:space="0" w:color="auto"/>
            <w:right w:val="none" w:sz="0" w:space="0" w:color="auto"/>
          </w:divBdr>
        </w:div>
        <w:div w:id="363480664">
          <w:marLeft w:val="640"/>
          <w:marRight w:val="0"/>
          <w:marTop w:val="0"/>
          <w:marBottom w:val="0"/>
          <w:divBdr>
            <w:top w:val="none" w:sz="0" w:space="0" w:color="auto"/>
            <w:left w:val="none" w:sz="0" w:space="0" w:color="auto"/>
            <w:bottom w:val="none" w:sz="0" w:space="0" w:color="auto"/>
            <w:right w:val="none" w:sz="0" w:space="0" w:color="auto"/>
          </w:divBdr>
        </w:div>
        <w:div w:id="1259145161">
          <w:marLeft w:val="640"/>
          <w:marRight w:val="0"/>
          <w:marTop w:val="0"/>
          <w:marBottom w:val="0"/>
          <w:divBdr>
            <w:top w:val="none" w:sz="0" w:space="0" w:color="auto"/>
            <w:left w:val="none" w:sz="0" w:space="0" w:color="auto"/>
            <w:bottom w:val="none" w:sz="0" w:space="0" w:color="auto"/>
            <w:right w:val="none" w:sz="0" w:space="0" w:color="auto"/>
          </w:divBdr>
        </w:div>
        <w:div w:id="1006594146">
          <w:marLeft w:val="640"/>
          <w:marRight w:val="0"/>
          <w:marTop w:val="0"/>
          <w:marBottom w:val="0"/>
          <w:divBdr>
            <w:top w:val="none" w:sz="0" w:space="0" w:color="auto"/>
            <w:left w:val="none" w:sz="0" w:space="0" w:color="auto"/>
            <w:bottom w:val="none" w:sz="0" w:space="0" w:color="auto"/>
            <w:right w:val="none" w:sz="0" w:space="0" w:color="auto"/>
          </w:divBdr>
        </w:div>
        <w:div w:id="354187833">
          <w:marLeft w:val="640"/>
          <w:marRight w:val="0"/>
          <w:marTop w:val="0"/>
          <w:marBottom w:val="0"/>
          <w:divBdr>
            <w:top w:val="none" w:sz="0" w:space="0" w:color="auto"/>
            <w:left w:val="none" w:sz="0" w:space="0" w:color="auto"/>
            <w:bottom w:val="none" w:sz="0" w:space="0" w:color="auto"/>
            <w:right w:val="none" w:sz="0" w:space="0" w:color="auto"/>
          </w:divBdr>
        </w:div>
        <w:div w:id="454953745">
          <w:marLeft w:val="640"/>
          <w:marRight w:val="0"/>
          <w:marTop w:val="0"/>
          <w:marBottom w:val="0"/>
          <w:divBdr>
            <w:top w:val="none" w:sz="0" w:space="0" w:color="auto"/>
            <w:left w:val="none" w:sz="0" w:space="0" w:color="auto"/>
            <w:bottom w:val="none" w:sz="0" w:space="0" w:color="auto"/>
            <w:right w:val="none" w:sz="0" w:space="0" w:color="auto"/>
          </w:divBdr>
        </w:div>
        <w:div w:id="395864693">
          <w:marLeft w:val="640"/>
          <w:marRight w:val="0"/>
          <w:marTop w:val="0"/>
          <w:marBottom w:val="0"/>
          <w:divBdr>
            <w:top w:val="none" w:sz="0" w:space="0" w:color="auto"/>
            <w:left w:val="none" w:sz="0" w:space="0" w:color="auto"/>
            <w:bottom w:val="none" w:sz="0" w:space="0" w:color="auto"/>
            <w:right w:val="none" w:sz="0" w:space="0" w:color="auto"/>
          </w:divBdr>
        </w:div>
        <w:div w:id="973216637">
          <w:marLeft w:val="640"/>
          <w:marRight w:val="0"/>
          <w:marTop w:val="0"/>
          <w:marBottom w:val="0"/>
          <w:divBdr>
            <w:top w:val="none" w:sz="0" w:space="0" w:color="auto"/>
            <w:left w:val="none" w:sz="0" w:space="0" w:color="auto"/>
            <w:bottom w:val="none" w:sz="0" w:space="0" w:color="auto"/>
            <w:right w:val="none" w:sz="0" w:space="0" w:color="auto"/>
          </w:divBdr>
        </w:div>
        <w:div w:id="570386621">
          <w:marLeft w:val="640"/>
          <w:marRight w:val="0"/>
          <w:marTop w:val="0"/>
          <w:marBottom w:val="0"/>
          <w:divBdr>
            <w:top w:val="none" w:sz="0" w:space="0" w:color="auto"/>
            <w:left w:val="none" w:sz="0" w:space="0" w:color="auto"/>
            <w:bottom w:val="none" w:sz="0" w:space="0" w:color="auto"/>
            <w:right w:val="none" w:sz="0" w:space="0" w:color="auto"/>
          </w:divBdr>
        </w:div>
        <w:div w:id="1077173922">
          <w:marLeft w:val="640"/>
          <w:marRight w:val="0"/>
          <w:marTop w:val="0"/>
          <w:marBottom w:val="0"/>
          <w:divBdr>
            <w:top w:val="none" w:sz="0" w:space="0" w:color="auto"/>
            <w:left w:val="none" w:sz="0" w:space="0" w:color="auto"/>
            <w:bottom w:val="none" w:sz="0" w:space="0" w:color="auto"/>
            <w:right w:val="none" w:sz="0" w:space="0" w:color="auto"/>
          </w:divBdr>
        </w:div>
        <w:div w:id="559753303">
          <w:marLeft w:val="640"/>
          <w:marRight w:val="0"/>
          <w:marTop w:val="0"/>
          <w:marBottom w:val="0"/>
          <w:divBdr>
            <w:top w:val="none" w:sz="0" w:space="0" w:color="auto"/>
            <w:left w:val="none" w:sz="0" w:space="0" w:color="auto"/>
            <w:bottom w:val="none" w:sz="0" w:space="0" w:color="auto"/>
            <w:right w:val="none" w:sz="0" w:space="0" w:color="auto"/>
          </w:divBdr>
        </w:div>
        <w:div w:id="419721077">
          <w:marLeft w:val="640"/>
          <w:marRight w:val="0"/>
          <w:marTop w:val="0"/>
          <w:marBottom w:val="0"/>
          <w:divBdr>
            <w:top w:val="none" w:sz="0" w:space="0" w:color="auto"/>
            <w:left w:val="none" w:sz="0" w:space="0" w:color="auto"/>
            <w:bottom w:val="none" w:sz="0" w:space="0" w:color="auto"/>
            <w:right w:val="none" w:sz="0" w:space="0" w:color="auto"/>
          </w:divBdr>
        </w:div>
        <w:div w:id="56977532">
          <w:marLeft w:val="640"/>
          <w:marRight w:val="0"/>
          <w:marTop w:val="0"/>
          <w:marBottom w:val="0"/>
          <w:divBdr>
            <w:top w:val="none" w:sz="0" w:space="0" w:color="auto"/>
            <w:left w:val="none" w:sz="0" w:space="0" w:color="auto"/>
            <w:bottom w:val="none" w:sz="0" w:space="0" w:color="auto"/>
            <w:right w:val="none" w:sz="0" w:space="0" w:color="auto"/>
          </w:divBdr>
        </w:div>
        <w:div w:id="30234298">
          <w:marLeft w:val="640"/>
          <w:marRight w:val="0"/>
          <w:marTop w:val="0"/>
          <w:marBottom w:val="0"/>
          <w:divBdr>
            <w:top w:val="none" w:sz="0" w:space="0" w:color="auto"/>
            <w:left w:val="none" w:sz="0" w:space="0" w:color="auto"/>
            <w:bottom w:val="none" w:sz="0" w:space="0" w:color="auto"/>
            <w:right w:val="none" w:sz="0" w:space="0" w:color="auto"/>
          </w:divBdr>
        </w:div>
        <w:div w:id="1044329350">
          <w:marLeft w:val="640"/>
          <w:marRight w:val="0"/>
          <w:marTop w:val="0"/>
          <w:marBottom w:val="0"/>
          <w:divBdr>
            <w:top w:val="none" w:sz="0" w:space="0" w:color="auto"/>
            <w:left w:val="none" w:sz="0" w:space="0" w:color="auto"/>
            <w:bottom w:val="none" w:sz="0" w:space="0" w:color="auto"/>
            <w:right w:val="none" w:sz="0" w:space="0" w:color="auto"/>
          </w:divBdr>
        </w:div>
        <w:div w:id="1004019257">
          <w:marLeft w:val="640"/>
          <w:marRight w:val="0"/>
          <w:marTop w:val="0"/>
          <w:marBottom w:val="0"/>
          <w:divBdr>
            <w:top w:val="none" w:sz="0" w:space="0" w:color="auto"/>
            <w:left w:val="none" w:sz="0" w:space="0" w:color="auto"/>
            <w:bottom w:val="none" w:sz="0" w:space="0" w:color="auto"/>
            <w:right w:val="none" w:sz="0" w:space="0" w:color="auto"/>
          </w:divBdr>
        </w:div>
        <w:div w:id="273750516">
          <w:marLeft w:val="640"/>
          <w:marRight w:val="0"/>
          <w:marTop w:val="0"/>
          <w:marBottom w:val="0"/>
          <w:divBdr>
            <w:top w:val="none" w:sz="0" w:space="0" w:color="auto"/>
            <w:left w:val="none" w:sz="0" w:space="0" w:color="auto"/>
            <w:bottom w:val="none" w:sz="0" w:space="0" w:color="auto"/>
            <w:right w:val="none" w:sz="0" w:space="0" w:color="auto"/>
          </w:divBdr>
        </w:div>
        <w:div w:id="995256120">
          <w:marLeft w:val="640"/>
          <w:marRight w:val="0"/>
          <w:marTop w:val="0"/>
          <w:marBottom w:val="0"/>
          <w:divBdr>
            <w:top w:val="none" w:sz="0" w:space="0" w:color="auto"/>
            <w:left w:val="none" w:sz="0" w:space="0" w:color="auto"/>
            <w:bottom w:val="none" w:sz="0" w:space="0" w:color="auto"/>
            <w:right w:val="none" w:sz="0" w:space="0" w:color="auto"/>
          </w:divBdr>
        </w:div>
        <w:div w:id="110242892">
          <w:marLeft w:val="640"/>
          <w:marRight w:val="0"/>
          <w:marTop w:val="0"/>
          <w:marBottom w:val="0"/>
          <w:divBdr>
            <w:top w:val="none" w:sz="0" w:space="0" w:color="auto"/>
            <w:left w:val="none" w:sz="0" w:space="0" w:color="auto"/>
            <w:bottom w:val="none" w:sz="0" w:space="0" w:color="auto"/>
            <w:right w:val="none" w:sz="0" w:space="0" w:color="auto"/>
          </w:divBdr>
        </w:div>
        <w:div w:id="1677732678">
          <w:marLeft w:val="640"/>
          <w:marRight w:val="0"/>
          <w:marTop w:val="0"/>
          <w:marBottom w:val="0"/>
          <w:divBdr>
            <w:top w:val="none" w:sz="0" w:space="0" w:color="auto"/>
            <w:left w:val="none" w:sz="0" w:space="0" w:color="auto"/>
            <w:bottom w:val="none" w:sz="0" w:space="0" w:color="auto"/>
            <w:right w:val="none" w:sz="0" w:space="0" w:color="auto"/>
          </w:divBdr>
        </w:div>
        <w:div w:id="707023404">
          <w:marLeft w:val="640"/>
          <w:marRight w:val="0"/>
          <w:marTop w:val="0"/>
          <w:marBottom w:val="0"/>
          <w:divBdr>
            <w:top w:val="none" w:sz="0" w:space="0" w:color="auto"/>
            <w:left w:val="none" w:sz="0" w:space="0" w:color="auto"/>
            <w:bottom w:val="none" w:sz="0" w:space="0" w:color="auto"/>
            <w:right w:val="none" w:sz="0" w:space="0" w:color="auto"/>
          </w:divBdr>
        </w:div>
        <w:div w:id="56513365">
          <w:marLeft w:val="640"/>
          <w:marRight w:val="0"/>
          <w:marTop w:val="0"/>
          <w:marBottom w:val="0"/>
          <w:divBdr>
            <w:top w:val="none" w:sz="0" w:space="0" w:color="auto"/>
            <w:left w:val="none" w:sz="0" w:space="0" w:color="auto"/>
            <w:bottom w:val="none" w:sz="0" w:space="0" w:color="auto"/>
            <w:right w:val="none" w:sz="0" w:space="0" w:color="auto"/>
          </w:divBdr>
        </w:div>
        <w:div w:id="2144619121">
          <w:marLeft w:val="640"/>
          <w:marRight w:val="0"/>
          <w:marTop w:val="0"/>
          <w:marBottom w:val="0"/>
          <w:divBdr>
            <w:top w:val="none" w:sz="0" w:space="0" w:color="auto"/>
            <w:left w:val="none" w:sz="0" w:space="0" w:color="auto"/>
            <w:bottom w:val="none" w:sz="0" w:space="0" w:color="auto"/>
            <w:right w:val="none" w:sz="0" w:space="0" w:color="auto"/>
          </w:divBdr>
        </w:div>
        <w:div w:id="1763840355">
          <w:marLeft w:val="640"/>
          <w:marRight w:val="0"/>
          <w:marTop w:val="0"/>
          <w:marBottom w:val="0"/>
          <w:divBdr>
            <w:top w:val="none" w:sz="0" w:space="0" w:color="auto"/>
            <w:left w:val="none" w:sz="0" w:space="0" w:color="auto"/>
            <w:bottom w:val="none" w:sz="0" w:space="0" w:color="auto"/>
            <w:right w:val="none" w:sz="0" w:space="0" w:color="auto"/>
          </w:divBdr>
        </w:div>
        <w:div w:id="378437005">
          <w:marLeft w:val="640"/>
          <w:marRight w:val="0"/>
          <w:marTop w:val="0"/>
          <w:marBottom w:val="0"/>
          <w:divBdr>
            <w:top w:val="none" w:sz="0" w:space="0" w:color="auto"/>
            <w:left w:val="none" w:sz="0" w:space="0" w:color="auto"/>
            <w:bottom w:val="none" w:sz="0" w:space="0" w:color="auto"/>
            <w:right w:val="none" w:sz="0" w:space="0" w:color="auto"/>
          </w:divBdr>
        </w:div>
        <w:div w:id="1084183264">
          <w:marLeft w:val="640"/>
          <w:marRight w:val="0"/>
          <w:marTop w:val="0"/>
          <w:marBottom w:val="0"/>
          <w:divBdr>
            <w:top w:val="none" w:sz="0" w:space="0" w:color="auto"/>
            <w:left w:val="none" w:sz="0" w:space="0" w:color="auto"/>
            <w:bottom w:val="none" w:sz="0" w:space="0" w:color="auto"/>
            <w:right w:val="none" w:sz="0" w:space="0" w:color="auto"/>
          </w:divBdr>
        </w:div>
        <w:div w:id="1856459798">
          <w:marLeft w:val="640"/>
          <w:marRight w:val="0"/>
          <w:marTop w:val="0"/>
          <w:marBottom w:val="0"/>
          <w:divBdr>
            <w:top w:val="none" w:sz="0" w:space="0" w:color="auto"/>
            <w:left w:val="none" w:sz="0" w:space="0" w:color="auto"/>
            <w:bottom w:val="none" w:sz="0" w:space="0" w:color="auto"/>
            <w:right w:val="none" w:sz="0" w:space="0" w:color="auto"/>
          </w:divBdr>
        </w:div>
        <w:div w:id="1958368298">
          <w:marLeft w:val="640"/>
          <w:marRight w:val="0"/>
          <w:marTop w:val="0"/>
          <w:marBottom w:val="0"/>
          <w:divBdr>
            <w:top w:val="none" w:sz="0" w:space="0" w:color="auto"/>
            <w:left w:val="none" w:sz="0" w:space="0" w:color="auto"/>
            <w:bottom w:val="none" w:sz="0" w:space="0" w:color="auto"/>
            <w:right w:val="none" w:sz="0" w:space="0" w:color="auto"/>
          </w:divBdr>
        </w:div>
        <w:div w:id="1597900296">
          <w:marLeft w:val="640"/>
          <w:marRight w:val="0"/>
          <w:marTop w:val="0"/>
          <w:marBottom w:val="0"/>
          <w:divBdr>
            <w:top w:val="none" w:sz="0" w:space="0" w:color="auto"/>
            <w:left w:val="none" w:sz="0" w:space="0" w:color="auto"/>
            <w:bottom w:val="none" w:sz="0" w:space="0" w:color="auto"/>
            <w:right w:val="none" w:sz="0" w:space="0" w:color="auto"/>
          </w:divBdr>
        </w:div>
        <w:div w:id="2100368265">
          <w:marLeft w:val="640"/>
          <w:marRight w:val="0"/>
          <w:marTop w:val="0"/>
          <w:marBottom w:val="0"/>
          <w:divBdr>
            <w:top w:val="none" w:sz="0" w:space="0" w:color="auto"/>
            <w:left w:val="none" w:sz="0" w:space="0" w:color="auto"/>
            <w:bottom w:val="none" w:sz="0" w:space="0" w:color="auto"/>
            <w:right w:val="none" w:sz="0" w:space="0" w:color="auto"/>
          </w:divBdr>
        </w:div>
        <w:div w:id="1953786248">
          <w:marLeft w:val="640"/>
          <w:marRight w:val="0"/>
          <w:marTop w:val="0"/>
          <w:marBottom w:val="0"/>
          <w:divBdr>
            <w:top w:val="none" w:sz="0" w:space="0" w:color="auto"/>
            <w:left w:val="none" w:sz="0" w:space="0" w:color="auto"/>
            <w:bottom w:val="none" w:sz="0" w:space="0" w:color="auto"/>
            <w:right w:val="none" w:sz="0" w:space="0" w:color="auto"/>
          </w:divBdr>
        </w:div>
        <w:div w:id="595138582">
          <w:marLeft w:val="640"/>
          <w:marRight w:val="0"/>
          <w:marTop w:val="0"/>
          <w:marBottom w:val="0"/>
          <w:divBdr>
            <w:top w:val="none" w:sz="0" w:space="0" w:color="auto"/>
            <w:left w:val="none" w:sz="0" w:space="0" w:color="auto"/>
            <w:bottom w:val="none" w:sz="0" w:space="0" w:color="auto"/>
            <w:right w:val="none" w:sz="0" w:space="0" w:color="auto"/>
          </w:divBdr>
        </w:div>
        <w:div w:id="119308139">
          <w:marLeft w:val="640"/>
          <w:marRight w:val="0"/>
          <w:marTop w:val="0"/>
          <w:marBottom w:val="0"/>
          <w:divBdr>
            <w:top w:val="none" w:sz="0" w:space="0" w:color="auto"/>
            <w:left w:val="none" w:sz="0" w:space="0" w:color="auto"/>
            <w:bottom w:val="none" w:sz="0" w:space="0" w:color="auto"/>
            <w:right w:val="none" w:sz="0" w:space="0" w:color="auto"/>
          </w:divBdr>
        </w:div>
        <w:div w:id="1687094280">
          <w:marLeft w:val="640"/>
          <w:marRight w:val="0"/>
          <w:marTop w:val="0"/>
          <w:marBottom w:val="0"/>
          <w:divBdr>
            <w:top w:val="none" w:sz="0" w:space="0" w:color="auto"/>
            <w:left w:val="none" w:sz="0" w:space="0" w:color="auto"/>
            <w:bottom w:val="none" w:sz="0" w:space="0" w:color="auto"/>
            <w:right w:val="none" w:sz="0" w:space="0" w:color="auto"/>
          </w:divBdr>
        </w:div>
        <w:div w:id="611476217">
          <w:marLeft w:val="640"/>
          <w:marRight w:val="0"/>
          <w:marTop w:val="0"/>
          <w:marBottom w:val="0"/>
          <w:divBdr>
            <w:top w:val="none" w:sz="0" w:space="0" w:color="auto"/>
            <w:left w:val="none" w:sz="0" w:space="0" w:color="auto"/>
            <w:bottom w:val="none" w:sz="0" w:space="0" w:color="auto"/>
            <w:right w:val="none" w:sz="0" w:space="0" w:color="auto"/>
          </w:divBdr>
        </w:div>
        <w:div w:id="581378857">
          <w:marLeft w:val="640"/>
          <w:marRight w:val="0"/>
          <w:marTop w:val="0"/>
          <w:marBottom w:val="0"/>
          <w:divBdr>
            <w:top w:val="none" w:sz="0" w:space="0" w:color="auto"/>
            <w:left w:val="none" w:sz="0" w:space="0" w:color="auto"/>
            <w:bottom w:val="none" w:sz="0" w:space="0" w:color="auto"/>
            <w:right w:val="none" w:sz="0" w:space="0" w:color="auto"/>
          </w:divBdr>
        </w:div>
        <w:div w:id="1713846915">
          <w:marLeft w:val="640"/>
          <w:marRight w:val="0"/>
          <w:marTop w:val="0"/>
          <w:marBottom w:val="0"/>
          <w:divBdr>
            <w:top w:val="none" w:sz="0" w:space="0" w:color="auto"/>
            <w:left w:val="none" w:sz="0" w:space="0" w:color="auto"/>
            <w:bottom w:val="none" w:sz="0" w:space="0" w:color="auto"/>
            <w:right w:val="none" w:sz="0" w:space="0" w:color="auto"/>
          </w:divBdr>
        </w:div>
      </w:divsChild>
    </w:div>
    <w:div w:id="1458766663">
      <w:bodyDiv w:val="1"/>
      <w:marLeft w:val="0"/>
      <w:marRight w:val="0"/>
      <w:marTop w:val="0"/>
      <w:marBottom w:val="0"/>
      <w:divBdr>
        <w:top w:val="none" w:sz="0" w:space="0" w:color="auto"/>
        <w:left w:val="none" w:sz="0" w:space="0" w:color="auto"/>
        <w:bottom w:val="none" w:sz="0" w:space="0" w:color="auto"/>
        <w:right w:val="none" w:sz="0" w:space="0" w:color="auto"/>
      </w:divBdr>
    </w:div>
    <w:div w:id="1458990075">
      <w:bodyDiv w:val="1"/>
      <w:marLeft w:val="0"/>
      <w:marRight w:val="0"/>
      <w:marTop w:val="0"/>
      <w:marBottom w:val="0"/>
      <w:divBdr>
        <w:top w:val="none" w:sz="0" w:space="0" w:color="auto"/>
        <w:left w:val="none" w:sz="0" w:space="0" w:color="auto"/>
        <w:bottom w:val="none" w:sz="0" w:space="0" w:color="auto"/>
        <w:right w:val="none" w:sz="0" w:space="0" w:color="auto"/>
      </w:divBdr>
    </w:div>
    <w:div w:id="1462964953">
      <w:bodyDiv w:val="1"/>
      <w:marLeft w:val="0"/>
      <w:marRight w:val="0"/>
      <w:marTop w:val="0"/>
      <w:marBottom w:val="0"/>
      <w:divBdr>
        <w:top w:val="none" w:sz="0" w:space="0" w:color="auto"/>
        <w:left w:val="none" w:sz="0" w:space="0" w:color="auto"/>
        <w:bottom w:val="none" w:sz="0" w:space="0" w:color="auto"/>
        <w:right w:val="none" w:sz="0" w:space="0" w:color="auto"/>
      </w:divBdr>
    </w:div>
    <w:div w:id="1463038550">
      <w:bodyDiv w:val="1"/>
      <w:marLeft w:val="0"/>
      <w:marRight w:val="0"/>
      <w:marTop w:val="0"/>
      <w:marBottom w:val="0"/>
      <w:divBdr>
        <w:top w:val="none" w:sz="0" w:space="0" w:color="auto"/>
        <w:left w:val="none" w:sz="0" w:space="0" w:color="auto"/>
        <w:bottom w:val="none" w:sz="0" w:space="0" w:color="auto"/>
        <w:right w:val="none" w:sz="0" w:space="0" w:color="auto"/>
      </w:divBdr>
    </w:div>
    <w:div w:id="1464738779">
      <w:bodyDiv w:val="1"/>
      <w:marLeft w:val="0"/>
      <w:marRight w:val="0"/>
      <w:marTop w:val="0"/>
      <w:marBottom w:val="0"/>
      <w:divBdr>
        <w:top w:val="none" w:sz="0" w:space="0" w:color="auto"/>
        <w:left w:val="none" w:sz="0" w:space="0" w:color="auto"/>
        <w:bottom w:val="none" w:sz="0" w:space="0" w:color="auto"/>
        <w:right w:val="none" w:sz="0" w:space="0" w:color="auto"/>
      </w:divBdr>
      <w:divsChild>
        <w:div w:id="1094209624">
          <w:marLeft w:val="640"/>
          <w:marRight w:val="0"/>
          <w:marTop w:val="0"/>
          <w:marBottom w:val="0"/>
          <w:divBdr>
            <w:top w:val="none" w:sz="0" w:space="0" w:color="auto"/>
            <w:left w:val="none" w:sz="0" w:space="0" w:color="auto"/>
            <w:bottom w:val="none" w:sz="0" w:space="0" w:color="auto"/>
            <w:right w:val="none" w:sz="0" w:space="0" w:color="auto"/>
          </w:divBdr>
        </w:div>
        <w:div w:id="1395590371">
          <w:marLeft w:val="640"/>
          <w:marRight w:val="0"/>
          <w:marTop w:val="0"/>
          <w:marBottom w:val="0"/>
          <w:divBdr>
            <w:top w:val="none" w:sz="0" w:space="0" w:color="auto"/>
            <w:left w:val="none" w:sz="0" w:space="0" w:color="auto"/>
            <w:bottom w:val="none" w:sz="0" w:space="0" w:color="auto"/>
            <w:right w:val="none" w:sz="0" w:space="0" w:color="auto"/>
          </w:divBdr>
        </w:div>
        <w:div w:id="54361351">
          <w:marLeft w:val="640"/>
          <w:marRight w:val="0"/>
          <w:marTop w:val="0"/>
          <w:marBottom w:val="0"/>
          <w:divBdr>
            <w:top w:val="none" w:sz="0" w:space="0" w:color="auto"/>
            <w:left w:val="none" w:sz="0" w:space="0" w:color="auto"/>
            <w:bottom w:val="none" w:sz="0" w:space="0" w:color="auto"/>
            <w:right w:val="none" w:sz="0" w:space="0" w:color="auto"/>
          </w:divBdr>
        </w:div>
        <w:div w:id="898708194">
          <w:marLeft w:val="640"/>
          <w:marRight w:val="0"/>
          <w:marTop w:val="0"/>
          <w:marBottom w:val="0"/>
          <w:divBdr>
            <w:top w:val="none" w:sz="0" w:space="0" w:color="auto"/>
            <w:left w:val="none" w:sz="0" w:space="0" w:color="auto"/>
            <w:bottom w:val="none" w:sz="0" w:space="0" w:color="auto"/>
            <w:right w:val="none" w:sz="0" w:space="0" w:color="auto"/>
          </w:divBdr>
        </w:div>
        <w:div w:id="278030306">
          <w:marLeft w:val="640"/>
          <w:marRight w:val="0"/>
          <w:marTop w:val="0"/>
          <w:marBottom w:val="0"/>
          <w:divBdr>
            <w:top w:val="none" w:sz="0" w:space="0" w:color="auto"/>
            <w:left w:val="none" w:sz="0" w:space="0" w:color="auto"/>
            <w:bottom w:val="none" w:sz="0" w:space="0" w:color="auto"/>
            <w:right w:val="none" w:sz="0" w:space="0" w:color="auto"/>
          </w:divBdr>
        </w:div>
        <w:div w:id="45765264">
          <w:marLeft w:val="640"/>
          <w:marRight w:val="0"/>
          <w:marTop w:val="0"/>
          <w:marBottom w:val="0"/>
          <w:divBdr>
            <w:top w:val="none" w:sz="0" w:space="0" w:color="auto"/>
            <w:left w:val="none" w:sz="0" w:space="0" w:color="auto"/>
            <w:bottom w:val="none" w:sz="0" w:space="0" w:color="auto"/>
            <w:right w:val="none" w:sz="0" w:space="0" w:color="auto"/>
          </w:divBdr>
        </w:div>
        <w:div w:id="226768624">
          <w:marLeft w:val="640"/>
          <w:marRight w:val="0"/>
          <w:marTop w:val="0"/>
          <w:marBottom w:val="0"/>
          <w:divBdr>
            <w:top w:val="none" w:sz="0" w:space="0" w:color="auto"/>
            <w:left w:val="none" w:sz="0" w:space="0" w:color="auto"/>
            <w:bottom w:val="none" w:sz="0" w:space="0" w:color="auto"/>
            <w:right w:val="none" w:sz="0" w:space="0" w:color="auto"/>
          </w:divBdr>
        </w:div>
        <w:div w:id="459305199">
          <w:marLeft w:val="640"/>
          <w:marRight w:val="0"/>
          <w:marTop w:val="0"/>
          <w:marBottom w:val="0"/>
          <w:divBdr>
            <w:top w:val="none" w:sz="0" w:space="0" w:color="auto"/>
            <w:left w:val="none" w:sz="0" w:space="0" w:color="auto"/>
            <w:bottom w:val="none" w:sz="0" w:space="0" w:color="auto"/>
            <w:right w:val="none" w:sz="0" w:space="0" w:color="auto"/>
          </w:divBdr>
        </w:div>
        <w:div w:id="972057129">
          <w:marLeft w:val="640"/>
          <w:marRight w:val="0"/>
          <w:marTop w:val="0"/>
          <w:marBottom w:val="0"/>
          <w:divBdr>
            <w:top w:val="none" w:sz="0" w:space="0" w:color="auto"/>
            <w:left w:val="none" w:sz="0" w:space="0" w:color="auto"/>
            <w:bottom w:val="none" w:sz="0" w:space="0" w:color="auto"/>
            <w:right w:val="none" w:sz="0" w:space="0" w:color="auto"/>
          </w:divBdr>
        </w:div>
        <w:div w:id="1609583004">
          <w:marLeft w:val="640"/>
          <w:marRight w:val="0"/>
          <w:marTop w:val="0"/>
          <w:marBottom w:val="0"/>
          <w:divBdr>
            <w:top w:val="none" w:sz="0" w:space="0" w:color="auto"/>
            <w:left w:val="none" w:sz="0" w:space="0" w:color="auto"/>
            <w:bottom w:val="none" w:sz="0" w:space="0" w:color="auto"/>
            <w:right w:val="none" w:sz="0" w:space="0" w:color="auto"/>
          </w:divBdr>
        </w:div>
        <w:div w:id="134177063">
          <w:marLeft w:val="640"/>
          <w:marRight w:val="0"/>
          <w:marTop w:val="0"/>
          <w:marBottom w:val="0"/>
          <w:divBdr>
            <w:top w:val="none" w:sz="0" w:space="0" w:color="auto"/>
            <w:left w:val="none" w:sz="0" w:space="0" w:color="auto"/>
            <w:bottom w:val="none" w:sz="0" w:space="0" w:color="auto"/>
            <w:right w:val="none" w:sz="0" w:space="0" w:color="auto"/>
          </w:divBdr>
        </w:div>
        <w:div w:id="1120223144">
          <w:marLeft w:val="640"/>
          <w:marRight w:val="0"/>
          <w:marTop w:val="0"/>
          <w:marBottom w:val="0"/>
          <w:divBdr>
            <w:top w:val="none" w:sz="0" w:space="0" w:color="auto"/>
            <w:left w:val="none" w:sz="0" w:space="0" w:color="auto"/>
            <w:bottom w:val="none" w:sz="0" w:space="0" w:color="auto"/>
            <w:right w:val="none" w:sz="0" w:space="0" w:color="auto"/>
          </w:divBdr>
        </w:div>
        <w:div w:id="606738555">
          <w:marLeft w:val="640"/>
          <w:marRight w:val="0"/>
          <w:marTop w:val="0"/>
          <w:marBottom w:val="0"/>
          <w:divBdr>
            <w:top w:val="none" w:sz="0" w:space="0" w:color="auto"/>
            <w:left w:val="none" w:sz="0" w:space="0" w:color="auto"/>
            <w:bottom w:val="none" w:sz="0" w:space="0" w:color="auto"/>
            <w:right w:val="none" w:sz="0" w:space="0" w:color="auto"/>
          </w:divBdr>
        </w:div>
        <w:div w:id="696197069">
          <w:marLeft w:val="640"/>
          <w:marRight w:val="0"/>
          <w:marTop w:val="0"/>
          <w:marBottom w:val="0"/>
          <w:divBdr>
            <w:top w:val="none" w:sz="0" w:space="0" w:color="auto"/>
            <w:left w:val="none" w:sz="0" w:space="0" w:color="auto"/>
            <w:bottom w:val="none" w:sz="0" w:space="0" w:color="auto"/>
            <w:right w:val="none" w:sz="0" w:space="0" w:color="auto"/>
          </w:divBdr>
        </w:div>
        <w:div w:id="40978659">
          <w:marLeft w:val="640"/>
          <w:marRight w:val="0"/>
          <w:marTop w:val="0"/>
          <w:marBottom w:val="0"/>
          <w:divBdr>
            <w:top w:val="none" w:sz="0" w:space="0" w:color="auto"/>
            <w:left w:val="none" w:sz="0" w:space="0" w:color="auto"/>
            <w:bottom w:val="none" w:sz="0" w:space="0" w:color="auto"/>
            <w:right w:val="none" w:sz="0" w:space="0" w:color="auto"/>
          </w:divBdr>
        </w:div>
        <w:div w:id="951744114">
          <w:marLeft w:val="640"/>
          <w:marRight w:val="0"/>
          <w:marTop w:val="0"/>
          <w:marBottom w:val="0"/>
          <w:divBdr>
            <w:top w:val="none" w:sz="0" w:space="0" w:color="auto"/>
            <w:left w:val="none" w:sz="0" w:space="0" w:color="auto"/>
            <w:bottom w:val="none" w:sz="0" w:space="0" w:color="auto"/>
            <w:right w:val="none" w:sz="0" w:space="0" w:color="auto"/>
          </w:divBdr>
        </w:div>
        <w:div w:id="457795171">
          <w:marLeft w:val="640"/>
          <w:marRight w:val="0"/>
          <w:marTop w:val="0"/>
          <w:marBottom w:val="0"/>
          <w:divBdr>
            <w:top w:val="none" w:sz="0" w:space="0" w:color="auto"/>
            <w:left w:val="none" w:sz="0" w:space="0" w:color="auto"/>
            <w:bottom w:val="none" w:sz="0" w:space="0" w:color="auto"/>
            <w:right w:val="none" w:sz="0" w:space="0" w:color="auto"/>
          </w:divBdr>
        </w:div>
        <w:div w:id="2043942573">
          <w:marLeft w:val="640"/>
          <w:marRight w:val="0"/>
          <w:marTop w:val="0"/>
          <w:marBottom w:val="0"/>
          <w:divBdr>
            <w:top w:val="none" w:sz="0" w:space="0" w:color="auto"/>
            <w:left w:val="none" w:sz="0" w:space="0" w:color="auto"/>
            <w:bottom w:val="none" w:sz="0" w:space="0" w:color="auto"/>
            <w:right w:val="none" w:sz="0" w:space="0" w:color="auto"/>
          </w:divBdr>
        </w:div>
        <w:div w:id="1865289448">
          <w:marLeft w:val="640"/>
          <w:marRight w:val="0"/>
          <w:marTop w:val="0"/>
          <w:marBottom w:val="0"/>
          <w:divBdr>
            <w:top w:val="none" w:sz="0" w:space="0" w:color="auto"/>
            <w:left w:val="none" w:sz="0" w:space="0" w:color="auto"/>
            <w:bottom w:val="none" w:sz="0" w:space="0" w:color="auto"/>
            <w:right w:val="none" w:sz="0" w:space="0" w:color="auto"/>
          </w:divBdr>
        </w:div>
        <w:div w:id="1676106499">
          <w:marLeft w:val="640"/>
          <w:marRight w:val="0"/>
          <w:marTop w:val="0"/>
          <w:marBottom w:val="0"/>
          <w:divBdr>
            <w:top w:val="none" w:sz="0" w:space="0" w:color="auto"/>
            <w:left w:val="none" w:sz="0" w:space="0" w:color="auto"/>
            <w:bottom w:val="none" w:sz="0" w:space="0" w:color="auto"/>
            <w:right w:val="none" w:sz="0" w:space="0" w:color="auto"/>
          </w:divBdr>
        </w:div>
        <w:div w:id="532302890">
          <w:marLeft w:val="640"/>
          <w:marRight w:val="0"/>
          <w:marTop w:val="0"/>
          <w:marBottom w:val="0"/>
          <w:divBdr>
            <w:top w:val="none" w:sz="0" w:space="0" w:color="auto"/>
            <w:left w:val="none" w:sz="0" w:space="0" w:color="auto"/>
            <w:bottom w:val="none" w:sz="0" w:space="0" w:color="auto"/>
            <w:right w:val="none" w:sz="0" w:space="0" w:color="auto"/>
          </w:divBdr>
        </w:div>
        <w:div w:id="102850283">
          <w:marLeft w:val="640"/>
          <w:marRight w:val="0"/>
          <w:marTop w:val="0"/>
          <w:marBottom w:val="0"/>
          <w:divBdr>
            <w:top w:val="none" w:sz="0" w:space="0" w:color="auto"/>
            <w:left w:val="none" w:sz="0" w:space="0" w:color="auto"/>
            <w:bottom w:val="none" w:sz="0" w:space="0" w:color="auto"/>
            <w:right w:val="none" w:sz="0" w:space="0" w:color="auto"/>
          </w:divBdr>
        </w:div>
        <w:div w:id="178665042">
          <w:marLeft w:val="640"/>
          <w:marRight w:val="0"/>
          <w:marTop w:val="0"/>
          <w:marBottom w:val="0"/>
          <w:divBdr>
            <w:top w:val="none" w:sz="0" w:space="0" w:color="auto"/>
            <w:left w:val="none" w:sz="0" w:space="0" w:color="auto"/>
            <w:bottom w:val="none" w:sz="0" w:space="0" w:color="auto"/>
            <w:right w:val="none" w:sz="0" w:space="0" w:color="auto"/>
          </w:divBdr>
        </w:div>
        <w:div w:id="205677511">
          <w:marLeft w:val="640"/>
          <w:marRight w:val="0"/>
          <w:marTop w:val="0"/>
          <w:marBottom w:val="0"/>
          <w:divBdr>
            <w:top w:val="none" w:sz="0" w:space="0" w:color="auto"/>
            <w:left w:val="none" w:sz="0" w:space="0" w:color="auto"/>
            <w:bottom w:val="none" w:sz="0" w:space="0" w:color="auto"/>
            <w:right w:val="none" w:sz="0" w:space="0" w:color="auto"/>
          </w:divBdr>
        </w:div>
        <w:div w:id="1583371495">
          <w:marLeft w:val="640"/>
          <w:marRight w:val="0"/>
          <w:marTop w:val="0"/>
          <w:marBottom w:val="0"/>
          <w:divBdr>
            <w:top w:val="none" w:sz="0" w:space="0" w:color="auto"/>
            <w:left w:val="none" w:sz="0" w:space="0" w:color="auto"/>
            <w:bottom w:val="none" w:sz="0" w:space="0" w:color="auto"/>
            <w:right w:val="none" w:sz="0" w:space="0" w:color="auto"/>
          </w:divBdr>
        </w:div>
        <w:div w:id="1331903534">
          <w:marLeft w:val="640"/>
          <w:marRight w:val="0"/>
          <w:marTop w:val="0"/>
          <w:marBottom w:val="0"/>
          <w:divBdr>
            <w:top w:val="none" w:sz="0" w:space="0" w:color="auto"/>
            <w:left w:val="none" w:sz="0" w:space="0" w:color="auto"/>
            <w:bottom w:val="none" w:sz="0" w:space="0" w:color="auto"/>
            <w:right w:val="none" w:sz="0" w:space="0" w:color="auto"/>
          </w:divBdr>
        </w:div>
        <w:div w:id="1243873526">
          <w:marLeft w:val="640"/>
          <w:marRight w:val="0"/>
          <w:marTop w:val="0"/>
          <w:marBottom w:val="0"/>
          <w:divBdr>
            <w:top w:val="none" w:sz="0" w:space="0" w:color="auto"/>
            <w:left w:val="none" w:sz="0" w:space="0" w:color="auto"/>
            <w:bottom w:val="none" w:sz="0" w:space="0" w:color="auto"/>
            <w:right w:val="none" w:sz="0" w:space="0" w:color="auto"/>
          </w:divBdr>
        </w:div>
        <w:div w:id="1868179631">
          <w:marLeft w:val="640"/>
          <w:marRight w:val="0"/>
          <w:marTop w:val="0"/>
          <w:marBottom w:val="0"/>
          <w:divBdr>
            <w:top w:val="none" w:sz="0" w:space="0" w:color="auto"/>
            <w:left w:val="none" w:sz="0" w:space="0" w:color="auto"/>
            <w:bottom w:val="none" w:sz="0" w:space="0" w:color="auto"/>
            <w:right w:val="none" w:sz="0" w:space="0" w:color="auto"/>
          </w:divBdr>
        </w:div>
        <w:div w:id="1464734243">
          <w:marLeft w:val="640"/>
          <w:marRight w:val="0"/>
          <w:marTop w:val="0"/>
          <w:marBottom w:val="0"/>
          <w:divBdr>
            <w:top w:val="none" w:sz="0" w:space="0" w:color="auto"/>
            <w:left w:val="none" w:sz="0" w:space="0" w:color="auto"/>
            <w:bottom w:val="none" w:sz="0" w:space="0" w:color="auto"/>
            <w:right w:val="none" w:sz="0" w:space="0" w:color="auto"/>
          </w:divBdr>
        </w:div>
        <w:div w:id="1641618738">
          <w:marLeft w:val="640"/>
          <w:marRight w:val="0"/>
          <w:marTop w:val="0"/>
          <w:marBottom w:val="0"/>
          <w:divBdr>
            <w:top w:val="none" w:sz="0" w:space="0" w:color="auto"/>
            <w:left w:val="none" w:sz="0" w:space="0" w:color="auto"/>
            <w:bottom w:val="none" w:sz="0" w:space="0" w:color="auto"/>
            <w:right w:val="none" w:sz="0" w:space="0" w:color="auto"/>
          </w:divBdr>
        </w:div>
        <w:div w:id="209194164">
          <w:marLeft w:val="640"/>
          <w:marRight w:val="0"/>
          <w:marTop w:val="0"/>
          <w:marBottom w:val="0"/>
          <w:divBdr>
            <w:top w:val="none" w:sz="0" w:space="0" w:color="auto"/>
            <w:left w:val="none" w:sz="0" w:space="0" w:color="auto"/>
            <w:bottom w:val="none" w:sz="0" w:space="0" w:color="auto"/>
            <w:right w:val="none" w:sz="0" w:space="0" w:color="auto"/>
          </w:divBdr>
        </w:div>
        <w:div w:id="1922711641">
          <w:marLeft w:val="640"/>
          <w:marRight w:val="0"/>
          <w:marTop w:val="0"/>
          <w:marBottom w:val="0"/>
          <w:divBdr>
            <w:top w:val="none" w:sz="0" w:space="0" w:color="auto"/>
            <w:left w:val="none" w:sz="0" w:space="0" w:color="auto"/>
            <w:bottom w:val="none" w:sz="0" w:space="0" w:color="auto"/>
            <w:right w:val="none" w:sz="0" w:space="0" w:color="auto"/>
          </w:divBdr>
        </w:div>
        <w:div w:id="903760704">
          <w:marLeft w:val="640"/>
          <w:marRight w:val="0"/>
          <w:marTop w:val="0"/>
          <w:marBottom w:val="0"/>
          <w:divBdr>
            <w:top w:val="none" w:sz="0" w:space="0" w:color="auto"/>
            <w:left w:val="none" w:sz="0" w:space="0" w:color="auto"/>
            <w:bottom w:val="none" w:sz="0" w:space="0" w:color="auto"/>
            <w:right w:val="none" w:sz="0" w:space="0" w:color="auto"/>
          </w:divBdr>
        </w:div>
        <w:div w:id="1743747354">
          <w:marLeft w:val="640"/>
          <w:marRight w:val="0"/>
          <w:marTop w:val="0"/>
          <w:marBottom w:val="0"/>
          <w:divBdr>
            <w:top w:val="none" w:sz="0" w:space="0" w:color="auto"/>
            <w:left w:val="none" w:sz="0" w:space="0" w:color="auto"/>
            <w:bottom w:val="none" w:sz="0" w:space="0" w:color="auto"/>
            <w:right w:val="none" w:sz="0" w:space="0" w:color="auto"/>
          </w:divBdr>
        </w:div>
        <w:div w:id="2138335201">
          <w:marLeft w:val="640"/>
          <w:marRight w:val="0"/>
          <w:marTop w:val="0"/>
          <w:marBottom w:val="0"/>
          <w:divBdr>
            <w:top w:val="none" w:sz="0" w:space="0" w:color="auto"/>
            <w:left w:val="none" w:sz="0" w:space="0" w:color="auto"/>
            <w:bottom w:val="none" w:sz="0" w:space="0" w:color="auto"/>
            <w:right w:val="none" w:sz="0" w:space="0" w:color="auto"/>
          </w:divBdr>
        </w:div>
        <w:div w:id="924534327">
          <w:marLeft w:val="640"/>
          <w:marRight w:val="0"/>
          <w:marTop w:val="0"/>
          <w:marBottom w:val="0"/>
          <w:divBdr>
            <w:top w:val="none" w:sz="0" w:space="0" w:color="auto"/>
            <w:left w:val="none" w:sz="0" w:space="0" w:color="auto"/>
            <w:bottom w:val="none" w:sz="0" w:space="0" w:color="auto"/>
            <w:right w:val="none" w:sz="0" w:space="0" w:color="auto"/>
          </w:divBdr>
        </w:div>
        <w:div w:id="1291550629">
          <w:marLeft w:val="640"/>
          <w:marRight w:val="0"/>
          <w:marTop w:val="0"/>
          <w:marBottom w:val="0"/>
          <w:divBdr>
            <w:top w:val="none" w:sz="0" w:space="0" w:color="auto"/>
            <w:left w:val="none" w:sz="0" w:space="0" w:color="auto"/>
            <w:bottom w:val="none" w:sz="0" w:space="0" w:color="auto"/>
            <w:right w:val="none" w:sz="0" w:space="0" w:color="auto"/>
          </w:divBdr>
        </w:div>
        <w:div w:id="328292846">
          <w:marLeft w:val="640"/>
          <w:marRight w:val="0"/>
          <w:marTop w:val="0"/>
          <w:marBottom w:val="0"/>
          <w:divBdr>
            <w:top w:val="none" w:sz="0" w:space="0" w:color="auto"/>
            <w:left w:val="none" w:sz="0" w:space="0" w:color="auto"/>
            <w:bottom w:val="none" w:sz="0" w:space="0" w:color="auto"/>
            <w:right w:val="none" w:sz="0" w:space="0" w:color="auto"/>
          </w:divBdr>
        </w:div>
        <w:div w:id="443698098">
          <w:marLeft w:val="640"/>
          <w:marRight w:val="0"/>
          <w:marTop w:val="0"/>
          <w:marBottom w:val="0"/>
          <w:divBdr>
            <w:top w:val="none" w:sz="0" w:space="0" w:color="auto"/>
            <w:left w:val="none" w:sz="0" w:space="0" w:color="auto"/>
            <w:bottom w:val="none" w:sz="0" w:space="0" w:color="auto"/>
            <w:right w:val="none" w:sz="0" w:space="0" w:color="auto"/>
          </w:divBdr>
        </w:div>
        <w:div w:id="2082949710">
          <w:marLeft w:val="640"/>
          <w:marRight w:val="0"/>
          <w:marTop w:val="0"/>
          <w:marBottom w:val="0"/>
          <w:divBdr>
            <w:top w:val="none" w:sz="0" w:space="0" w:color="auto"/>
            <w:left w:val="none" w:sz="0" w:space="0" w:color="auto"/>
            <w:bottom w:val="none" w:sz="0" w:space="0" w:color="auto"/>
            <w:right w:val="none" w:sz="0" w:space="0" w:color="auto"/>
          </w:divBdr>
        </w:div>
        <w:div w:id="569074793">
          <w:marLeft w:val="640"/>
          <w:marRight w:val="0"/>
          <w:marTop w:val="0"/>
          <w:marBottom w:val="0"/>
          <w:divBdr>
            <w:top w:val="none" w:sz="0" w:space="0" w:color="auto"/>
            <w:left w:val="none" w:sz="0" w:space="0" w:color="auto"/>
            <w:bottom w:val="none" w:sz="0" w:space="0" w:color="auto"/>
            <w:right w:val="none" w:sz="0" w:space="0" w:color="auto"/>
          </w:divBdr>
        </w:div>
        <w:div w:id="847450678">
          <w:marLeft w:val="640"/>
          <w:marRight w:val="0"/>
          <w:marTop w:val="0"/>
          <w:marBottom w:val="0"/>
          <w:divBdr>
            <w:top w:val="none" w:sz="0" w:space="0" w:color="auto"/>
            <w:left w:val="none" w:sz="0" w:space="0" w:color="auto"/>
            <w:bottom w:val="none" w:sz="0" w:space="0" w:color="auto"/>
            <w:right w:val="none" w:sz="0" w:space="0" w:color="auto"/>
          </w:divBdr>
        </w:div>
        <w:div w:id="769009778">
          <w:marLeft w:val="640"/>
          <w:marRight w:val="0"/>
          <w:marTop w:val="0"/>
          <w:marBottom w:val="0"/>
          <w:divBdr>
            <w:top w:val="none" w:sz="0" w:space="0" w:color="auto"/>
            <w:left w:val="none" w:sz="0" w:space="0" w:color="auto"/>
            <w:bottom w:val="none" w:sz="0" w:space="0" w:color="auto"/>
            <w:right w:val="none" w:sz="0" w:space="0" w:color="auto"/>
          </w:divBdr>
        </w:div>
        <w:div w:id="1048994370">
          <w:marLeft w:val="640"/>
          <w:marRight w:val="0"/>
          <w:marTop w:val="0"/>
          <w:marBottom w:val="0"/>
          <w:divBdr>
            <w:top w:val="none" w:sz="0" w:space="0" w:color="auto"/>
            <w:left w:val="none" w:sz="0" w:space="0" w:color="auto"/>
            <w:bottom w:val="none" w:sz="0" w:space="0" w:color="auto"/>
            <w:right w:val="none" w:sz="0" w:space="0" w:color="auto"/>
          </w:divBdr>
        </w:div>
        <w:div w:id="317392956">
          <w:marLeft w:val="640"/>
          <w:marRight w:val="0"/>
          <w:marTop w:val="0"/>
          <w:marBottom w:val="0"/>
          <w:divBdr>
            <w:top w:val="none" w:sz="0" w:space="0" w:color="auto"/>
            <w:left w:val="none" w:sz="0" w:space="0" w:color="auto"/>
            <w:bottom w:val="none" w:sz="0" w:space="0" w:color="auto"/>
            <w:right w:val="none" w:sz="0" w:space="0" w:color="auto"/>
          </w:divBdr>
        </w:div>
        <w:div w:id="1581478634">
          <w:marLeft w:val="640"/>
          <w:marRight w:val="0"/>
          <w:marTop w:val="0"/>
          <w:marBottom w:val="0"/>
          <w:divBdr>
            <w:top w:val="none" w:sz="0" w:space="0" w:color="auto"/>
            <w:left w:val="none" w:sz="0" w:space="0" w:color="auto"/>
            <w:bottom w:val="none" w:sz="0" w:space="0" w:color="auto"/>
            <w:right w:val="none" w:sz="0" w:space="0" w:color="auto"/>
          </w:divBdr>
        </w:div>
        <w:div w:id="722212515">
          <w:marLeft w:val="640"/>
          <w:marRight w:val="0"/>
          <w:marTop w:val="0"/>
          <w:marBottom w:val="0"/>
          <w:divBdr>
            <w:top w:val="none" w:sz="0" w:space="0" w:color="auto"/>
            <w:left w:val="none" w:sz="0" w:space="0" w:color="auto"/>
            <w:bottom w:val="none" w:sz="0" w:space="0" w:color="auto"/>
            <w:right w:val="none" w:sz="0" w:space="0" w:color="auto"/>
          </w:divBdr>
        </w:div>
        <w:div w:id="2001734833">
          <w:marLeft w:val="640"/>
          <w:marRight w:val="0"/>
          <w:marTop w:val="0"/>
          <w:marBottom w:val="0"/>
          <w:divBdr>
            <w:top w:val="none" w:sz="0" w:space="0" w:color="auto"/>
            <w:left w:val="none" w:sz="0" w:space="0" w:color="auto"/>
            <w:bottom w:val="none" w:sz="0" w:space="0" w:color="auto"/>
            <w:right w:val="none" w:sz="0" w:space="0" w:color="auto"/>
          </w:divBdr>
        </w:div>
        <w:div w:id="1946886871">
          <w:marLeft w:val="640"/>
          <w:marRight w:val="0"/>
          <w:marTop w:val="0"/>
          <w:marBottom w:val="0"/>
          <w:divBdr>
            <w:top w:val="none" w:sz="0" w:space="0" w:color="auto"/>
            <w:left w:val="none" w:sz="0" w:space="0" w:color="auto"/>
            <w:bottom w:val="none" w:sz="0" w:space="0" w:color="auto"/>
            <w:right w:val="none" w:sz="0" w:space="0" w:color="auto"/>
          </w:divBdr>
        </w:div>
        <w:div w:id="840969531">
          <w:marLeft w:val="640"/>
          <w:marRight w:val="0"/>
          <w:marTop w:val="0"/>
          <w:marBottom w:val="0"/>
          <w:divBdr>
            <w:top w:val="none" w:sz="0" w:space="0" w:color="auto"/>
            <w:left w:val="none" w:sz="0" w:space="0" w:color="auto"/>
            <w:bottom w:val="none" w:sz="0" w:space="0" w:color="auto"/>
            <w:right w:val="none" w:sz="0" w:space="0" w:color="auto"/>
          </w:divBdr>
        </w:div>
        <w:div w:id="1177622651">
          <w:marLeft w:val="640"/>
          <w:marRight w:val="0"/>
          <w:marTop w:val="0"/>
          <w:marBottom w:val="0"/>
          <w:divBdr>
            <w:top w:val="none" w:sz="0" w:space="0" w:color="auto"/>
            <w:left w:val="none" w:sz="0" w:space="0" w:color="auto"/>
            <w:bottom w:val="none" w:sz="0" w:space="0" w:color="auto"/>
            <w:right w:val="none" w:sz="0" w:space="0" w:color="auto"/>
          </w:divBdr>
        </w:div>
        <w:div w:id="834954805">
          <w:marLeft w:val="640"/>
          <w:marRight w:val="0"/>
          <w:marTop w:val="0"/>
          <w:marBottom w:val="0"/>
          <w:divBdr>
            <w:top w:val="none" w:sz="0" w:space="0" w:color="auto"/>
            <w:left w:val="none" w:sz="0" w:space="0" w:color="auto"/>
            <w:bottom w:val="none" w:sz="0" w:space="0" w:color="auto"/>
            <w:right w:val="none" w:sz="0" w:space="0" w:color="auto"/>
          </w:divBdr>
        </w:div>
        <w:div w:id="820389491">
          <w:marLeft w:val="640"/>
          <w:marRight w:val="0"/>
          <w:marTop w:val="0"/>
          <w:marBottom w:val="0"/>
          <w:divBdr>
            <w:top w:val="none" w:sz="0" w:space="0" w:color="auto"/>
            <w:left w:val="none" w:sz="0" w:space="0" w:color="auto"/>
            <w:bottom w:val="none" w:sz="0" w:space="0" w:color="auto"/>
            <w:right w:val="none" w:sz="0" w:space="0" w:color="auto"/>
          </w:divBdr>
        </w:div>
        <w:div w:id="677924764">
          <w:marLeft w:val="640"/>
          <w:marRight w:val="0"/>
          <w:marTop w:val="0"/>
          <w:marBottom w:val="0"/>
          <w:divBdr>
            <w:top w:val="none" w:sz="0" w:space="0" w:color="auto"/>
            <w:left w:val="none" w:sz="0" w:space="0" w:color="auto"/>
            <w:bottom w:val="none" w:sz="0" w:space="0" w:color="auto"/>
            <w:right w:val="none" w:sz="0" w:space="0" w:color="auto"/>
          </w:divBdr>
        </w:div>
        <w:div w:id="1154758929">
          <w:marLeft w:val="640"/>
          <w:marRight w:val="0"/>
          <w:marTop w:val="0"/>
          <w:marBottom w:val="0"/>
          <w:divBdr>
            <w:top w:val="none" w:sz="0" w:space="0" w:color="auto"/>
            <w:left w:val="none" w:sz="0" w:space="0" w:color="auto"/>
            <w:bottom w:val="none" w:sz="0" w:space="0" w:color="auto"/>
            <w:right w:val="none" w:sz="0" w:space="0" w:color="auto"/>
          </w:divBdr>
        </w:div>
        <w:div w:id="1734347229">
          <w:marLeft w:val="640"/>
          <w:marRight w:val="0"/>
          <w:marTop w:val="0"/>
          <w:marBottom w:val="0"/>
          <w:divBdr>
            <w:top w:val="none" w:sz="0" w:space="0" w:color="auto"/>
            <w:left w:val="none" w:sz="0" w:space="0" w:color="auto"/>
            <w:bottom w:val="none" w:sz="0" w:space="0" w:color="auto"/>
            <w:right w:val="none" w:sz="0" w:space="0" w:color="auto"/>
          </w:divBdr>
        </w:div>
        <w:div w:id="1888032402">
          <w:marLeft w:val="640"/>
          <w:marRight w:val="0"/>
          <w:marTop w:val="0"/>
          <w:marBottom w:val="0"/>
          <w:divBdr>
            <w:top w:val="none" w:sz="0" w:space="0" w:color="auto"/>
            <w:left w:val="none" w:sz="0" w:space="0" w:color="auto"/>
            <w:bottom w:val="none" w:sz="0" w:space="0" w:color="auto"/>
            <w:right w:val="none" w:sz="0" w:space="0" w:color="auto"/>
          </w:divBdr>
        </w:div>
        <w:div w:id="1891378980">
          <w:marLeft w:val="640"/>
          <w:marRight w:val="0"/>
          <w:marTop w:val="0"/>
          <w:marBottom w:val="0"/>
          <w:divBdr>
            <w:top w:val="none" w:sz="0" w:space="0" w:color="auto"/>
            <w:left w:val="none" w:sz="0" w:space="0" w:color="auto"/>
            <w:bottom w:val="none" w:sz="0" w:space="0" w:color="auto"/>
            <w:right w:val="none" w:sz="0" w:space="0" w:color="auto"/>
          </w:divBdr>
        </w:div>
        <w:div w:id="865993079">
          <w:marLeft w:val="640"/>
          <w:marRight w:val="0"/>
          <w:marTop w:val="0"/>
          <w:marBottom w:val="0"/>
          <w:divBdr>
            <w:top w:val="none" w:sz="0" w:space="0" w:color="auto"/>
            <w:left w:val="none" w:sz="0" w:space="0" w:color="auto"/>
            <w:bottom w:val="none" w:sz="0" w:space="0" w:color="auto"/>
            <w:right w:val="none" w:sz="0" w:space="0" w:color="auto"/>
          </w:divBdr>
        </w:div>
        <w:div w:id="829835911">
          <w:marLeft w:val="640"/>
          <w:marRight w:val="0"/>
          <w:marTop w:val="0"/>
          <w:marBottom w:val="0"/>
          <w:divBdr>
            <w:top w:val="none" w:sz="0" w:space="0" w:color="auto"/>
            <w:left w:val="none" w:sz="0" w:space="0" w:color="auto"/>
            <w:bottom w:val="none" w:sz="0" w:space="0" w:color="auto"/>
            <w:right w:val="none" w:sz="0" w:space="0" w:color="auto"/>
          </w:divBdr>
        </w:div>
        <w:div w:id="992291434">
          <w:marLeft w:val="640"/>
          <w:marRight w:val="0"/>
          <w:marTop w:val="0"/>
          <w:marBottom w:val="0"/>
          <w:divBdr>
            <w:top w:val="none" w:sz="0" w:space="0" w:color="auto"/>
            <w:left w:val="none" w:sz="0" w:space="0" w:color="auto"/>
            <w:bottom w:val="none" w:sz="0" w:space="0" w:color="auto"/>
            <w:right w:val="none" w:sz="0" w:space="0" w:color="auto"/>
          </w:divBdr>
        </w:div>
        <w:div w:id="1054624847">
          <w:marLeft w:val="640"/>
          <w:marRight w:val="0"/>
          <w:marTop w:val="0"/>
          <w:marBottom w:val="0"/>
          <w:divBdr>
            <w:top w:val="none" w:sz="0" w:space="0" w:color="auto"/>
            <w:left w:val="none" w:sz="0" w:space="0" w:color="auto"/>
            <w:bottom w:val="none" w:sz="0" w:space="0" w:color="auto"/>
            <w:right w:val="none" w:sz="0" w:space="0" w:color="auto"/>
          </w:divBdr>
        </w:div>
        <w:div w:id="556549740">
          <w:marLeft w:val="640"/>
          <w:marRight w:val="0"/>
          <w:marTop w:val="0"/>
          <w:marBottom w:val="0"/>
          <w:divBdr>
            <w:top w:val="none" w:sz="0" w:space="0" w:color="auto"/>
            <w:left w:val="none" w:sz="0" w:space="0" w:color="auto"/>
            <w:bottom w:val="none" w:sz="0" w:space="0" w:color="auto"/>
            <w:right w:val="none" w:sz="0" w:space="0" w:color="auto"/>
          </w:divBdr>
        </w:div>
        <w:div w:id="916592688">
          <w:marLeft w:val="640"/>
          <w:marRight w:val="0"/>
          <w:marTop w:val="0"/>
          <w:marBottom w:val="0"/>
          <w:divBdr>
            <w:top w:val="none" w:sz="0" w:space="0" w:color="auto"/>
            <w:left w:val="none" w:sz="0" w:space="0" w:color="auto"/>
            <w:bottom w:val="none" w:sz="0" w:space="0" w:color="auto"/>
            <w:right w:val="none" w:sz="0" w:space="0" w:color="auto"/>
          </w:divBdr>
        </w:div>
        <w:div w:id="1814909331">
          <w:marLeft w:val="640"/>
          <w:marRight w:val="0"/>
          <w:marTop w:val="0"/>
          <w:marBottom w:val="0"/>
          <w:divBdr>
            <w:top w:val="none" w:sz="0" w:space="0" w:color="auto"/>
            <w:left w:val="none" w:sz="0" w:space="0" w:color="auto"/>
            <w:bottom w:val="none" w:sz="0" w:space="0" w:color="auto"/>
            <w:right w:val="none" w:sz="0" w:space="0" w:color="auto"/>
          </w:divBdr>
        </w:div>
        <w:div w:id="259457333">
          <w:marLeft w:val="640"/>
          <w:marRight w:val="0"/>
          <w:marTop w:val="0"/>
          <w:marBottom w:val="0"/>
          <w:divBdr>
            <w:top w:val="none" w:sz="0" w:space="0" w:color="auto"/>
            <w:left w:val="none" w:sz="0" w:space="0" w:color="auto"/>
            <w:bottom w:val="none" w:sz="0" w:space="0" w:color="auto"/>
            <w:right w:val="none" w:sz="0" w:space="0" w:color="auto"/>
          </w:divBdr>
        </w:div>
        <w:div w:id="1180120963">
          <w:marLeft w:val="640"/>
          <w:marRight w:val="0"/>
          <w:marTop w:val="0"/>
          <w:marBottom w:val="0"/>
          <w:divBdr>
            <w:top w:val="none" w:sz="0" w:space="0" w:color="auto"/>
            <w:left w:val="none" w:sz="0" w:space="0" w:color="auto"/>
            <w:bottom w:val="none" w:sz="0" w:space="0" w:color="auto"/>
            <w:right w:val="none" w:sz="0" w:space="0" w:color="auto"/>
          </w:divBdr>
        </w:div>
        <w:div w:id="990599877">
          <w:marLeft w:val="640"/>
          <w:marRight w:val="0"/>
          <w:marTop w:val="0"/>
          <w:marBottom w:val="0"/>
          <w:divBdr>
            <w:top w:val="none" w:sz="0" w:space="0" w:color="auto"/>
            <w:left w:val="none" w:sz="0" w:space="0" w:color="auto"/>
            <w:bottom w:val="none" w:sz="0" w:space="0" w:color="auto"/>
            <w:right w:val="none" w:sz="0" w:space="0" w:color="auto"/>
          </w:divBdr>
        </w:div>
        <w:div w:id="1208301506">
          <w:marLeft w:val="640"/>
          <w:marRight w:val="0"/>
          <w:marTop w:val="0"/>
          <w:marBottom w:val="0"/>
          <w:divBdr>
            <w:top w:val="none" w:sz="0" w:space="0" w:color="auto"/>
            <w:left w:val="none" w:sz="0" w:space="0" w:color="auto"/>
            <w:bottom w:val="none" w:sz="0" w:space="0" w:color="auto"/>
            <w:right w:val="none" w:sz="0" w:space="0" w:color="auto"/>
          </w:divBdr>
        </w:div>
        <w:div w:id="669334101">
          <w:marLeft w:val="640"/>
          <w:marRight w:val="0"/>
          <w:marTop w:val="0"/>
          <w:marBottom w:val="0"/>
          <w:divBdr>
            <w:top w:val="none" w:sz="0" w:space="0" w:color="auto"/>
            <w:left w:val="none" w:sz="0" w:space="0" w:color="auto"/>
            <w:bottom w:val="none" w:sz="0" w:space="0" w:color="auto"/>
            <w:right w:val="none" w:sz="0" w:space="0" w:color="auto"/>
          </w:divBdr>
        </w:div>
        <w:div w:id="1468544791">
          <w:marLeft w:val="640"/>
          <w:marRight w:val="0"/>
          <w:marTop w:val="0"/>
          <w:marBottom w:val="0"/>
          <w:divBdr>
            <w:top w:val="none" w:sz="0" w:space="0" w:color="auto"/>
            <w:left w:val="none" w:sz="0" w:space="0" w:color="auto"/>
            <w:bottom w:val="none" w:sz="0" w:space="0" w:color="auto"/>
            <w:right w:val="none" w:sz="0" w:space="0" w:color="auto"/>
          </w:divBdr>
        </w:div>
        <w:div w:id="303586587">
          <w:marLeft w:val="640"/>
          <w:marRight w:val="0"/>
          <w:marTop w:val="0"/>
          <w:marBottom w:val="0"/>
          <w:divBdr>
            <w:top w:val="none" w:sz="0" w:space="0" w:color="auto"/>
            <w:left w:val="none" w:sz="0" w:space="0" w:color="auto"/>
            <w:bottom w:val="none" w:sz="0" w:space="0" w:color="auto"/>
            <w:right w:val="none" w:sz="0" w:space="0" w:color="auto"/>
          </w:divBdr>
        </w:div>
        <w:div w:id="1947224784">
          <w:marLeft w:val="640"/>
          <w:marRight w:val="0"/>
          <w:marTop w:val="0"/>
          <w:marBottom w:val="0"/>
          <w:divBdr>
            <w:top w:val="none" w:sz="0" w:space="0" w:color="auto"/>
            <w:left w:val="none" w:sz="0" w:space="0" w:color="auto"/>
            <w:bottom w:val="none" w:sz="0" w:space="0" w:color="auto"/>
            <w:right w:val="none" w:sz="0" w:space="0" w:color="auto"/>
          </w:divBdr>
        </w:div>
        <w:div w:id="590939511">
          <w:marLeft w:val="640"/>
          <w:marRight w:val="0"/>
          <w:marTop w:val="0"/>
          <w:marBottom w:val="0"/>
          <w:divBdr>
            <w:top w:val="none" w:sz="0" w:space="0" w:color="auto"/>
            <w:left w:val="none" w:sz="0" w:space="0" w:color="auto"/>
            <w:bottom w:val="none" w:sz="0" w:space="0" w:color="auto"/>
            <w:right w:val="none" w:sz="0" w:space="0" w:color="auto"/>
          </w:divBdr>
        </w:div>
        <w:div w:id="712340882">
          <w:marLeft w:val="640"/>
          <w:marRight w:val="0"/>
          <w:marTop w:val="0"/>
          <w:marBottom w:val="0"/>
          <w:divBdr>
            <w:top w:val="none" w:sz="0" w:space="0" w:color="auto"/>
            <w:left w:val="none" w:sz="0" w:space="0" w:color="auto"/>
            <w:bottom w:val="none" w:sz="0" w:space="0" w:color="auto"/>
            <w:right w:val="none" w:sz="0" w:space="0" w:color="auto"/>
          </w:divBdr>
        </w:div>
        <w:div w:id="197623649">
          <w:marLeft w:val="640"/>
          <w:marRight w:val="0"/>
          <w:marTop w:val="0"/>
          <w:marBottom w:val="0"/>
          <w:divBdr>
            <w:top w:val="none" w:sz="0" w:space="0" w:color="auto"/>
            <w:left w:val="none" w:sz="0" w:space="0" w:color="auto"/>
            <w:bottom w:val="none" w:sz="0" w:space="0" w:color="auto"/>
            <w:right w:val="none" w:sz="0" w:space="0" w:color="auto"/>
          </w:divBdr>
        </w:div>
        <w:div w:id="1366100239">
          <w:marLeft w:val="640"/>
          <w:marRight w:val="0"/>
          <w:marTop w:val="0"/>
          <w:marBottom w:val="0"/>
          <w:divBdr>
            <w:top w:val="none" w:sz="0" w:space="0" w:color="auto"/>
            <w:left w:val="none" w:sz="0" w:space="0" w:color="auto"/>
            <w:bottom w:val="none" w:sz="0" w:space="0" w:color="auto"/>
            <w:right w:val="none" w:sz="0" w:space="0" w:color="auto"/>
          </w:divBdr>
        </w:div>
        <w:div w:id="2081905506">
          <w:marLeft w:val="640"/>
          <w:marRight w:val="0"/>
          <w:marTop w:val="0"/>
          <w:marBottom w:val="0"/>
          <w:divBdr>
            <w:top w:val="none" w:sz="0" w:space="0" w:color="auto"/>
            <w:left w:val="none" w:sz="0" w:space="0" w:color="auto"/>
            <w:bottom w:val="none" w:sz="0" w:space="0" w:color="auto"/>
            <w:right w:val="none" w:sz="0" w:space="0" w:color="auto"/>
          </w:divBdr>
        </w:div>
        <w:div w:id="1450735849">
          <w:marLeft w:val="640"/>
          <w:marRight w:val="0"/>
          <w:marTop w:val="0"/>
          <w:marBottom w:val="0"/>
          <w:divBdr>
            <w:top w:val="none" w:sz="0" w:space="0" w:color="auto"/>
            <w:left w:val="none" w:sz="0" w:space="0" w:color="auto"/>
            <w:bottom w:val="none" w:sz="0" w:space="0" w:color="auto"/>
            <w:right w:val="none" w:sz="0" w:space="0" w:color="auto"/>
          </w:divBdr>
        </w:div>
        <w:div w:id="766777517">
          <w:marLeft w:val="640"/>
          <w:marRight w:val="0"/>
          <w:marTop w:val="0"/>
          <w:marBottom w:val="0"/>
          <w:divBdr>
            <w:top w:val="none" w:sz="0" w:space="0" w:color="auto"/>
            <w:left w:val="none" w:sz="0" w:space="0" w:color="auto"/>
            <w:bottom w:val="none" w:sz="0" w:space="0" w:color="auto"/>
            <w:right w:val="none" w:sz="0" w:space="0" w:color="auto"/>
          </w:divBdr>
        </w:div>
        <w:div w:id="1097216065">
          <w:marLeft w:val="640"/>
          <w:marRight w:val="0"/>
          <w:marTop w:val="0"/>
          <w:marBottom w:val="0"/>
          <w:divBdr>
            <w:top w:val="none" w:sz="0" w:space="0" w:color="auto"/>
            <w:left w:val="none" w:sz="0" w:space="0" w:color="auto"/>
            <w:bottom w:val="none" w:sz="0" w:space="0" w:color="auto"/>
            <w:right w:val="none" w:sz="0" w:space="0" w:color="auto"/>
          </w:divBdr>
        </w:div>
        <w:div w:id="1434279598">
          <w:marLeft w:val="640"/>
          <w:marRight w:val="0"/>
          <w:marTop w:val="0"/>
          <w:marBottom w:val="0"/>
          <w:divBdr>
            <w:top w:val="none" w:sz="0" w:space="0" w:color="auto"/>
            <w:left w:val="none" w:sz="0" w:space="0" w:color="auto"/>
            <w:bottom w:val="none" w:sz="0" w:space="0" w:color="auto"/>
            <w:right w:val="none" w:sz="0" w:space="0" w:color="auto"/>
          </w:divBdr>
        </w:div>
        <w:div w:id="1272518748">
          <w:marLeft w:val="640"/>
          <w:marRight w:val="0"/>
          <w:marTop w:val="0"/>
          <w:marBottom w:val="0"/>
          <w:divBdr>
            <w:top w:val="none" w:sz="0" w:space="0" w:color="auto"/>
            <w:left w:val="none" w:sz="0" w:space="0" w:color="auto"/>
            <w:bottom w:val="none" w:sz="0" w:space="0" w:color="auto"/>
            <w:right w:val="none" w:sz="0" w:space="0" w:color="auto"/>
          </w:divBdr>
        </w:div>
        <w:div w:id="442845468">
          <w:marLeft w:val="640"/>
          <w:marRight w:val="0"/>
          <w:marTop w:val="0"/>
          <w:marBottom w:val="0"/>
          <w:divBdr>
            <w:top w:val="none" w:sz="0" w:space="0" w:color="auto"/>
            <w:left w:val="none" w:sz="0" w:space="0" w:color="auto"/>
            <w:bottom w:val="none" w:sz="0" w:space="0" w:color="auto"/>
            <w:right w:val="none" w:sz="0" w:space="0" w:color="auto"/>
          </w:divBdr>
        </w:div>
        <w:div w:id="1106653556">
          <w:marLeft w:val="640"/>
          <w:marRight w:val="0"/>
          <w:marTop w:val="0"/>
          <w:marBottom w:val="0"/>
          <w:divBdr>
            <w:top w:val="none" w:sz="0" w:space="0" w:color="auto"/>
            <w:left w:val="none" w:sz="0" w:space="0" w:color="auto"/>
            <w:bottom w:val="none" w:sz="0" w:space="0" w:color="auto"/>
            <w:right w:val="none" w:sz="0" w:space="0" w:color="auto"/>
          </w:divBdr>
        </w:div>
        <w:div w:id="1434519056">
          <w:marLeft w:val="640"/>
          <w:marRight w:val="0"/>
          <w:marTop w:val="0"/>
          <w:marBottom w:val="0"/>
          <w:divBdr>
            <w:top w:val="none" w:sz="0" w:space="0" w:color="auto"/>
            <w:left w:val="none" w:sz="0" w:space="0" w:color="auto"/>
            <w:bottom w:val="none" w:sz="0" w:space="0" w:color="auto"/>
            <w:right w:val="none" w:sz="0" w:space="0" w:color="auto"/>
          </w:divBdr>
        </w:div>
        <w:div w:id="216209473">
          <w:marLeft w:val="640"/>
          <w:marRight w:val="0"/>
          <w:marTop w:val="0"/>
          <w:marBottom w:val="0"/>
          <w:divBdr>
            <w:top w:val="none" w:sz="0" w:space="0" w:color="auto"/>
            <w:left w:val="none" w:sz="0" w:space="0" w:color="auto"/>
            <w:bottom w:val="none" w:sz="0" w:space="0" w:color="auto"/>
            <w:right w:val="none" w:sz="0" w:space="0" w:color="auto"/>
          </w:divBdr>
        </w:div>
        <w:div w:id="377510123">
          <w:marLeft w:val="640"/>
          <w:marRight w:val="0"/>
          <w:marTop w:val="0"/>
          <w:marBottom w:val="0"/>
          <w:divBdr>
            <w:top w:val="none" w:sz="0" w:space="0" w:color="auto"/>
            <w:left w:val="none" w:sz="0" w:space="0" w:color="auto"/>
            <w:bottom w:val="none" w:sz="0" w:space="0" w:color="auto"/>
            <w:right w:val="none" w:sz="0" w:space="0" w:color="auto"/>
          </w:divBdr>
        </w:div>
        <w:div w:id="1293319059">
          <w:marLeft w:val="640"/>
          <w:marRight w:val="0"/>
          <w:marTop w:val="0"/>
          <w:marBottom w:val="0"/>
          <w:divBdr>
            <w:top w:val="none" w:sz="0" w:space="0" w:color="auto"/>
            <w:left w:val="none" w:sz="0" w:space="0" w:color="auto"/>
            <w:bottom w:val="none" w:sz="0" w:space="0" w:color="auto"/>
            <w:right w:val="none" w:sz="0" w:space="0" w:color="auto"/>
          </w:divBdr>
        </w:div>
        <w:div w:id="1926643434">
          <w:marLeft w:val="640"/>
          <w:marRight w:val="0"/>
          <w:marTop w:val="0"/>
          <w:marBottom w:val="0"/>
          <w:divBdr>
            <w:top w:val="none" w:sz="0" w:space="0" w:color="auto"/>
            <w:left w:val="none" w:sz="0" w:space="0" w:color="auto"/>
            <w:bottom w:val="none" w:sz="0" w:space="0" w:color="auto"/>
            <w:right w:val="none" w:sz="0" w:space="0" w:color="auto"/>
          </w:divBdr>
        </w:div>
        <w:div w:id="728381428">
          <w:marLeft w:val="640"/>
          <w:marRight w:val="0"/>
          <w:marTop w:val="0"/>
          <w:marBottom w:val="0"/>
          <w:divBdr>
            <w:top w:val="none" w:sz="0" w:space="0" w:color="auto"/>
            <w:left w:val="none" w:sz="0" w:space="0" w:color="auto"/>
            <w:bottom w:val="none" w:sz="0" w:space="0" w:color="auto"/>
            <w:right w:val="none" w:sz="0" w:space="0" w:color="auto"/>
          </w:divBdr>
        </w:div>
        <w:div w:id="841093109">
          <w:marLeft w:val="640"/>
          <w:marRight w:val="0"/>
          <w:marTop w:val="0"/>
          <w:marBottom w:val="0"/>
          <w:divBdr>
            <w:top w:val="none" w:sz="0" w:space="0" w:color="auto"/>
            <w:left w:val="none" w:sz="0" w:space="0" w:color="auto"/>
            <w:bottom w:val="none" w:sz="0" w:space="0" w:color="auto"/>
            <w:right w:val="none" w:sz="0" w:space="0" w:color="auto"/>
          </w:divBdr>
        </w:div>
        <w:div w:id="932084463">
          <w:marLeft w:val="640"/>
          <w:marRight w:val="0"/>
          <w:marTop w:val="0"/>
          <w:marBottom w:val="0"/>
          <w:divBdr>
            <w:top w:val="none" w:sz="0" w:space="0" w:color="auto"/>
            <w:left w:val="none" w:sz="0" w:space="0" w:color="auto"/>
            <w:bottom w:val="none" w:sz="0" w:space="0" w:color="auto"/>
            <w:right w:val="none" w:sz="0" w:space="0" w:color="auto"/>
          </w:divBdr>
        </w:div>
        <w:div w:id="1575122247">
          <w:marLeft w:val="640"/>
          <w:marRight w:val="0"/>
          <w:marTop w:val="0"/>
          <w:marBottom w:val="0"/>
          <w:divBdr>
            <w:top w:val="none" w:sz="0" w:space="0" w:color="auto"/>
            <w:left w:val="none" w:sz="0" w:space="0" w:color="auto"/>
            <w:bottom w:val="none" w:sz="0" w:space="0" w:color="auto"/>
            <w:right w:val="none" w:sz="0" w:space="0" w:color="auto"/>
          </w:divBdr>
        </w:div>
        <w:div w:id="1558470920">
          <w:marLeft w:val="640"/>
          <w:marRight w:val="0"/>
          <w:marTop w:val="0"/>
          <w:marBottom w:val="0"/>
          <w:divBdr>
            <w:top w:val="none" w:sz="0" w:space="0" w:color="auto"/>
            <w:left w:val="none" w:sz="0" w:space="0" w:color="auto"/>
            <w:bottom w:val="none" w:sz="0" w:space="0" w:color="auto"/>
            <w:right w:val="none" w:sz="0" w:space="0" w:color="auto"/>
          </w:divBdr>
        </w:div>
        <w:div w:id="418872544">
          <w:marLeft w:val="640"/>
          <w:marRight w:val="0"/>
          <w:marTop w:val="0"/>
          <w:marBottom w:val="0"/>
          <w:divBdr>
            <w:top w:val="none" w:sz="0" w:space="0" w:color="auto"/>
            <w:left w:val="none" w:sz="0" w:space="0" w:color="auto"/>
            <w:bottom w:val="none" w:sz="0" w:space="0" w:color="auto"/>
            <w:right w:val="none" w:sz="0" w:space="0" w:color="auto"/>
          </w:divBdr>
        </w:div>
        <w:div w:id="1335837909">
          <w:marLeft w:val="640"/>
          <w:marRight w:val="0"/>
          <w:marTop w:val="0"/>
          <w:marBottom w:val="0"/>
          <w:divBdr>
            <w:top w:val="none" w:sz="0" w:space="0" w:color="auto"/>
            <w:left w:val="none" w:sz="0" w:space="0" w:color="auto"/>
            <w:bottom w:val="none" w:sz="0" w:space="0" w:color="auto"/>
            <w:right w:val="none" w:sz="0" w:space="0" w:color="auto"/>
          </w:divBdr>
        </w:div>
        <w:div w:id="949436397">
          <w:marLeft w:val="640"/>
          <w:marRight w:val="0"/>
          <w:marTop w:val="0"/>
          <w:marBottom w:val="0"/>
          <w:divBdr>
            <w:top w:val="none" w:sz="0" w:space="0" w:color="auto"/>
            <w:left w:val="none" w:sz="0" w:space="0" w:color="auto"/>
            <w:bottom w:val="none" w:sz="0" w:space="0" w:color="auto"/>
            <w:right w:val="none" w:sz="0" w:space="0" w:color="auto"/>
          </w:divBdr>
        </w:div>
        <w:div w:id="165485580">
          <w:marLeft w:val="640"/>
          <w:marRight w:val="0"/>
          <w:marTop w:val="0"/>
          <w:marBottom w:val="0"/>
          <w:divBdr>
            <w:top w:val="none" w:sz="0" w:space="0" w:color="auto"/>
            <w:left w:val="none" w:sz="0" w:space="0" w:color="auto"/>
            <w:bottom w:val="none" w:sz="0" w:space="0" w:color="auto"/>
            <w:right w:val="none" w:sz="0" w:space="0" w:color="auto"/>
          </w:divBdr>
        </w:div>
        <w:div w:id="203639220">
          <w:marLeft w:val="640"/>
          <w:marRight w:val="0"/>
          <w:marTop w:val="0"/>
          <w:marBottom w:val="0"/>
          <w:divBdr>
            <w:top w:val="none" w:sz="0" w:space="0" w:color="auto"/>
            <w:left w:val="none" w:sz="0" w:space="0" w:color="auto"/>
            <w:bottom w:val="none" w:sz="0" w:space="0" w:color="auto"/>
            <w:right w:val="none" w:sz="0" w:space="0" w:color="auto"/>
          </w:divBdr>
        </w:div>
        <w:div w:id="197789102">
          <w:marLeft w:val="640"/>
          <w:marRight w:val="0"/>
          <w:marTop w:val="0"/>
          <w:marBottom w:val="0"/>
          <w:divBdr>
            <w:top w:val="none" w:sz="0" w:space="0" w:color="auto"/>
            <w:left w:val="none" w:sz="0" w:space="0" w:color="auto"/>
            <w:bottom w:val="none" w:sz="0" w:space="0" w:color="auto"/>
            <w:right w:val="none" w:sz="0" w:space="0" w:color="auto"/>
          </w:divBdr>
        </w:div>
        <w:div w:id="1569263291">
          <w:marLeft w:val="640"/>
          <w:marRight w:val="0"/>
          <w:marTop w:val="0"/>
          <w:marBottom w:val="0"/>
          <w:divBdr>
            <w:top w:val="none" w:sz="0" w:space="0" w:color="auto"/>
            <w:left w:val="none" w:sz="0" w:space="0" w:color="auto"/>
            <w:bottom w:val="none" w:sz="0" w:space="0" w:color="auto"/>
            <w:right w:val="none" w:sz="0" w:space="0" w:color="auto"/>
          </w:divBdr>
        </w:div>
        <w:div w:id="865026494">
          <w:marLeft w:val="640"/>
          <w:marRight w:val="0"/>
          <w:marTop w:val="0"/>
          <w:marBottom w:val="0"/>
          <w:divBdr>
            <w:top w:val="none" w:sz="0" w:space="0" w:color="auto"/>
            <w:left w:val="none" w:sz="0" w:space="0" w:color="auto"/>
            <w:bottom w:val="none" w:sz="0" w:space="0" w:color="auto"/>
            <w:right w:val="none" w:sz="0" w:space="0" w:color="auto"/>
          </w:divBdr>
        </w:div>
        <w:div w:id="1111441430">
          <w:marLeft w:val="640"/>
          <w:marRight w:val="0"/>
          <w:marTop w:val="0"/>
          <w:marBottom w:val="0"/>
          <w:divBdr>
            <w:top w:val="none" w:sz="0" w:space="0" w:color="auto"/>
            <w:left w:val="none" w:sz="0" w:space="0" w:color="auto"/>
            <w:bottom w:val="none" w:sz="0" w:space="0" w:color="auto"/>
            <w:right w:val="none" w:sz="0" w:space="0" w:color="auto"/>
          </w:divBdr>
        </w:div>
        <w:div w:id="427426854">
          <w:marLeft w:val="640"/>
          <w:marRight w:val="0"/>
          <w:marTop w:val="0"/>
          <w:marBottom w:val="0"/>
          <w:divBdr>
            <w:top w:val="none" w:sz="0" w:space="0" w:color="auto"/>
            <w:left w:val="none" w:sz="0" w:space="0" w:color="auto"/>
            <w:bottom w:val="none" w:sz="0" w:space="0" w:color="auto"/>
            <w:right w:val="none" w:sz="0" w:space="0" w:color="auto"/>
          </w:divBdr>
        </w:div>
        <w:div w:id="663167671">
          <w:marLeft w:val="640"/>
          <w:marRight w:val="0"/>
          <w:marTop w:val="0"/>
          <w:marBottom w:val="0"/>
          <w:divBdr>
            <w:top w:val="none" w:sz="0" w:space="0" w:color="auto"/>
            <w:left w:val="none" w:sz="0" w:space="0" w:color="auto"/>
            <w:bottom w:val="none" w:sz="0" w:space="0" w:color="auto"/>
            <w:right w:val="none" w:sz="0" w:space="0" w:color="auto"/>
          </w:divBdr>
        </w:div>
        <w:div w:id="1686981909">
          <w:marLeft w:val="640"/>
          <w:marRight w:val="0"/>
          <w:marTop w:val="0"/>
          <w:marBottom w:val="0"/>
          <w:divBdr>
            <w:top w:val="none" w:sz="0" w:space="0" w:color="auto"/>
            <w:left w:val="none" w:sz="0" w:space="0" w:color="auto"/>
            <w:bottom w:val="none" w:sz="0" w:space="0" w:color="auto"/>
            <w:right w:val="none" w:sz="0" w:space="0" w:color="auto"/>
          </w:divBdr>
        </w:div>
        <w:div w:id="1004750316">
          <w:marLeft w:val="640"/>
          <w:marRight w:val="0"/>
          <w:marTop w:val="0"/>
          <w:marBottom w:val="0"/>
          <w:divBdr>
            <w:top w:val="none" w:sz="0" w:space="0" w:color="auto"/>
            <w:left w:val="none" w:sz="0" w:space="0" w:color="auto"/>
            <w:bottom w:val="none" w:sz="0" w:space="0" w:color="auto"/>
            <w:right w:val="none" w:sz="0" w:space="0" w:color="auto"/>
          </w:divBdr>
        </w:div>
        <w:div w:id="201326714">
          <w:marLeft w:val="640"/>
          <w:marRight w:val="0"/>
          <w:marTop w:val="0"/>
          <w:marBottom w:val="0"/>
          <w:divBdr>
            <w:top w:val="none" w:sz="0" w:space="0" w:color="auto"/>
            <w:left w:val="none" w:sz="0" w:space="0" w:color="auto"/>
            <w:bottom w:val="none" w:sz="0" w:space="0" w:color="auto"/>
            <w:right w:val="none" w:sz="0" w:space="0" w:color="auto"/>
          </w:divBdr>
        </w:div>
        <w:div w:id="1296789298">
          <w:marLeft w:val="640"/>
          <w:marRight w:val="0"/>
          <w:marTop w:val="0"/>
          <w:marBottom w:val="0"/>
          <w:divBdr>
            <w:top w:val="none" w:sz="0" w:space="0" w:color="auto"/>
            <w:left w:val="none" w:sz="0" w:space="0" w:color="auto"/>
            <w:bottom w:val="none" w:sz="0" w:space="0" w:color="auto"/>
            <w:right w:val="none" w:sz="0" w:space="0" w:color="auto"/>
          </w:divBdr>
        </w:div>
        <w:div w:id="1955939233">
          <w:marLeft w:val="640"/>
          <w:marRight w:val="0"/>
          <w:marTop w:val="0"/>
          <w:marBottom w:val="0"/>
          <w:divBdr>
            <w:top w:val="none" w:sz="0" w:space="0" w:color="auto"/>
            <w:left w:val="none" w:sz="0" w:space="0" w:color="auto"/>
            <w:bottom w:val="none" w:sz="0" w:space="0" w:color="auto"/>
            <w:right w:val="none" w:sz="0" w:space="0" w:color="auto"/>
          </w:divBdr>
        </w:div>
        <w:div w:id="54549932">
          <w:marLeft w:val="640"/>
          <w:marRight w:val="0"/>
          <w:marTop w:val="0"/>
          <w:marBottom w:val="0"/>
          <w:divBdr>
            <w:top w:val="none" w:sz="0" w:space="0" w:color="auto"/>
            <w:left w:val="none" w:sz="0" w:space="0" w:color="auto"/>
            <w:bottom w:val="none" w:sz="0" w:space="0" w:color="auto"/>
            <w:right w:val="none" w:sz="0" w:space="0" w:color="auto"/>
          </w:divBdr>
        </w:div>
        <w:div w:id="1030254546">
          <w:marLeft w:val="640"/>
          <w:marRight w:val="0"/>
          <w:marTop w:val="0"/>
          <w:marBottom w:val="0"/>
          <w:divBdr>
            <w:top w:val="none" w:sz="0" w:space="0" w:color="auto"/>
            <w:left w:val="none" w:sz="0" w:space="0" w:color="auto"/>
            <w:bottom w:val="none" w:sz="0" w:space="0" w:color="auto"/>
            <w:right w:val="none" w:sz="0" w:space="0" w:color="auto"/>
          </w:divBdr>
        </w:div>
        <w:div w:id="1993678261">
          <w:marLeft w:val="640"/>
          <w:marRight w:val="0"/>
          <w:marTop w:val="0"/>
          <w:marBottom w:val="0"/>
          <w:divBdr>
            <w:top w:val="none" w:sz="0" w:space="0" w:color="auto"/>
            <w:left w:val="none" w:sz="0" w:space="0" w:color="auto"/>
            <w:bottom w:val="none" w:sz="0" w:space="0" w:color="auto"/>
            <w:right w:val="none" w:sz="0" w:space="0" w:color="auto"/>
          </w:divBdr>
        </w:div>
        <w:div w:id="982271251">
          <w:marLeft w:val="640"/>
          <w:marRight w:val="0"/>
          <w:marTop w:val="0"/>
          <w:marBottom w:val="0"/>
          <w:divBdr>
            <w:top w:val="none" w:sz="0" w:space="0" w:color="auto"/>
            <w:left w:val="none" w:sz="0" w:space="0" w:color="auto"/>
            <w:bottom w:val="none" w:sz="0" w:space="0" w:color="auto"/>
            <w:right w:val="none" w:sz="0" w:space="0" w:color="auto"/>
          </w:divBdr>
        </w:div>
        <w:div w:id="346715539">
          <w:marLeft w:val="640"/>
          <w:marRight w:val="0"/>
          <w:marTop w:val="0"/>
          <w:marBottom w:val="0"/>
          <w:divBdr>
            <w:top w:val="none" w:sz="0" w:space="0" w:color="auto"/>
            <w:left w:val="none" w:sz="0" w:space="0" w:color="auto"/>
            <w:bottom w:val="none" w:sz="0" w:space="0" w:color="auto"/>
            <w:right w:val="none" w:sz="0" w:space="0" w:color="auto"/>
          </w:divBdr>
        </w:div>
        <w:div w:id="990869347">
          <w:marLeft w:val="640"/>
          <w:marRight w:val="0"/>
          <w:marTop w:val="0"/>
          <w:marBottom w:val="0"/>
          <w:divBdr>
            <w:top w:val="none" w:sz="0" w:space="0" w:color="auto"/>
            <w:left w:val="none" w:sz="0" w:space="0" w:color="auto"/>
            <w:bottom w:val="none" w:sz="0" w:space="0" w:color="auto"/>
            <w:right w:val="none" w:sz="0" w:space="0" w:color="auto"/>
          </w:divBdr>
        </w:div>
        <w:div w:id="969439169">
          <w:marLeft w:val="640"/>
          <w:marRight w:val="0"/>
          <w:marTop w:val="0"/>
          <w:marBottom w:val="0"/>
          <w:divBdr>
            <w:top w:val="none" w:sz="0" w:space="0" w:color="auto"/>
            <w:left w:val="none" w:sz="0" w:space="0" w:color="auto"/>
            <w:bottom w:val="none" w:sz="0" w:space="0" w:color="auto"/>
            <w:right w:val="none" w:sz="0" w:space="0" w:color="auto"/>
          </w:divBdr>
        </w:div>
        <w:div w:id="1247885898">
          <w:marLeft w:val="640"/>
          <w:marRight w:val="0"/>
          <w:marTop w:val="0"/>
          <w:marBottom w:val="0"/>
          <w:divBdr>
            <w:top w:val="none" w:sz="0" w:space="0" w:color="auto"/>
            <w:left w:val="none" w:sz="0" w:space="0" w:color="auto"/>
            <w:bottom w:val="none" w:sz="0" w:space="0" w:color="auto"/>
            <w:right w:val="none" w:sz="0" w:space="0" w:color="auto"/>
          </w:divBdr>
        </w:div>
        <w:div w:id="1223835165">
          <w:marLeft w:val="640"/>
          <w:marRight w:val="0"/>
          <w:marTop w:val="0"/>
          <w:marBottom w:val="0"/>
          <w:divBdr>
            <w:top w:val="none" w:sz="0" w:space="0" w:color="auto"/>
            <w:left w:val="none" w:sz="0" w:space="0" w:color="auto"/>
            <w:bottom w:val="none" w:sz="0" w:space="0" w:color="auto"/>
            <w:right w:val="none" w:sz="0" w:space="0" w:color="auto"/>
          </w:divBdr>
        </w:div>
        <w:div w:id="1914123446">
          <w:marLeft w:val="640"/>
          <w:marRight w:val="0"/>
          <w:marTop w:val="0"/>
          <w:marBottom w:val="0"/>
          <w:divBdr>
            <w:top w:val="none" w:sz="0" w:space="0" w:color="auto"/>
            <w:left w:val="none" w:sz="0" w:space="0" w:color="auto"/>
            <w:bottom w:val="none" w:sz="0" w:space="0" w:color="auto"/>
            <w:right w:val="none" w:sz="0" w:space="0" w:color="auto"/>
          </w:divBdr>
        </w:div>
        <w:div w:id="1105538871">
          <w:marLeft w:val="640"/>
          <w:marRight w:val="0"/>
          <w:marTop w:val="0"/>
          <w:marBottom w:val="0"/>
          <w:divBdr>
            <w:top w:val="none" w:sz="0" w:space="0" w:color="auto"/>
            <w:left w:val="none" w:sz="0" w:space="0" w:color="auto"/>
            <w:bottom w:val="none" w:sz="0" w:space="0" w:color="auto"/>
            <w:right w:val="none" w:sz="0" w:space="0" w:color="auto"/>
          </w:divBdr>
        </w:div>
        <w:div w:id="1676305501">
          <w:marLeft w:val="640"/>
          <w:marRight w:val="0"/>
          <w:marTop w:val="0"/>
          <w:marBottom w:val="0"/>
          <w:divBdr>
            <w:top w:val="none" w:sz="0" w:space="0" w:color="auto"/>
            <w:left w:val="none" w:sz="0" w:space="0" w:color="auto"/>
            <w:bottom w:val="none" w:sz="0" w:space="0" w:color="auto"/>
            <w:right w:val="none" w:sz="0" w:space="0" w:color="auto"/>
          </w:divBdr>
        </w:div>
        <w:div w:id="1940482473">
          <w:marLeft w:val="640"/>
          <w:marRight w:val="0"/>
          <w:marTop w:val="0"/>
          <w:marBottom w:val="0"/>
          <w:divBdr>
            <w:top w:val="none" w:sz="0" w:space="0" w:color="auto"/>
            <w:left w:val="none" w:sz="0" w:space="0" w:color="auto"/>
            <w:bottom w:val="none" w:sz="0" w:space="0" w:color="auto"/>
            <w:right w:val="none" w:sz="0" w:space="0" w:color="auto"/>
          </w:divBdr>
        </w:div>
        <w:div w:id="315038067">
          <w:marLeft w:val="640"/>
          <w:marRight w:val="0"/>
          <w:marTop w:val="0"/>
          <w:marBottom w:val="0"/>
          <w:divBdr>
            <w:top w:val="none" w:sz="0" w:space="0" w:color="auto"/>
            <w:left w:val="none" w:sz="0" w:space="0" w:color="auto"/>
            <w:bottom w:val="none" w:sz="0" w:space="0" w:color="auto"/>
            <w:right w:val="none" w:sz="0" w:space="0" w:color="auto"/>
          </w:divBdr>
        </w:div>
        <w:div w:id="1631133238">
          <w:marLeft w:val="640"/>
          <w:marRight w:val="0"/>
          <w:marTop w:val="0"/>
          <w:marBottom w:val="0"/>
          <w:divBdr>
            <w:top w:val="none" w:sz="0" w:space="0" w:color="auto"/>
            <w:left w:val="none" w:sz="0" w:space="0" w:color="auto"/>
            <w:bottom w:val="none" w:sz="0" w:space="0" w:color="auto"/>
            <w:right w:val="none" w:sz="0" w:space="0" w:color="auto"/>
          </w:divBdr>
        </w:div>
        <w:div w:id="2088527504">
          <w:marLeft w:val="640"/>
          <w:marRight w:val="0"/>
          <w:marTop w:val="0"/>
          <w:marBottom w:val="0"/>
          <w:divBdr>
            <w:top w:val="none" w:sz="0" w:space="0" w:color="auto"/>
            <w:left w:val="none" w:sz="0" w:space="0" w:color="auto"/>
            <w:bottom w:val="none" w:sz="0" w:space="0" w:color="auto"/>
            <w:right w:val="none" w:sz="0" w:space="0" w:color="auto"/>
          </w:divBdr>
        </w:div>
        <w:div w:id="1517579747">
          <w:marLeft w:val="640"/>
          <w:marRight w:val="0"/>
          <w:marTop w:val="0"/>
          <w:marBottom w:val="0"/>
          <w:divBdr>
            <w:top w:val="none" w:sz="0" w:space="0" w:color="auto"/>
            <w:left w:val="none" w:sz="0" w:space="0" w:color="auto"/>
            <w:bottom w:val="none" w:sz="0" w:space="0" w:color="auto"/>
            <w:right w:val="none" w:sz="0" w:space="0" w:color="auto"/>
          </w:divBdr>
        </w:div>
        <w:div w:id="1466195325">
          <w:marLeft w:val="640"/>
          <w:marRight w:val="0"/>
          <w:marTop w:val="0"/>
          <w:marBottom w:val="0"/>
          <w:divBdr>
            <w:top w:val="none" w:sz="0" w:space="0" w:color="auto"/>
            <w:left w:val="none" w:sz="0" w:space="0" w:color="auto"/>
            <w:bottom w:val="none" w:sz="0" w:space="0" w:color="auto"/>
            <w:right w:val="none" w:sz="0" w:space="0" w:color="auto"/>
          </w:divBdr>
        </w:div>
        <w:div w:id="950360302">
          <w:marLeft w:val="640"/>
          <w:marRight w:val="0"/>
          <w:marTop w:val="0"/>
          <w:marBottom w:val="0"/>
          <w:divBdr>
            <w:top w:val="none" w:sz="0" w:space="0" w:color="auto"/>
            <w:left w:val="none" w:sz="0" w:space="0" w:color="auto"/>
            <w:bottom w:val="none" w:sz="0" w:space="0" w:color="auto"/>
            <w:right w:val="none" w:sz="0" w:space="0" w:color="auto"/>
          </w:divBdr>
        </w:div>
        <w:div w:id="1366101122">
          <w:marLeft w:val="640"/>
          <w:marRight w:val="0"/>
          <w:marTop w:val="0"/>
          <w:marBottom w:val="0"/>
          <w:divBdr>
            <w:top w:val="none" w:sz="0" w:space="0" w:color="auto"/>
            <w:left w:val="none" w:sz="0" w:space="0" w:color="auto"/>
            <w:bottom w:val="none" w:sz="0" w:space="0" w:color="auto"/>
            <w:right w:val="none" w:sz="0" w:space="0" w:color="auto"/>
          </w:divBdr>
        </w:div>
        <w:div w:id="1598951091">
          <w:marLeft w:val="640"/>
          <w:marRight w:val="0"/>
          <w:marTop w:val="0"/>
          <w:marBottom w:val="0"/>
          <w:divBdr>
            <w:top w:val="none" w:sz="0" w:space="0" w:color="auto"/>
            <w:left w:val="none" w:sz="0" w:space="0" w:color="auto"/>
            <w:bottom w:val="none" w:sz="0" w:space="0" w:color="auto"/>
            <w:right w:val="none" w:sz="0" w:space="0" w:color="auto"/>
          </w:divBdr>
        </w:div>
        <w:div w:id="2057312044">
          <w:marLeft w:val="640"/>
          <w:marRight w:val="0"/>
          <w:marTop w:val="0"/>
          <w:marBottom w:val="0"/>
          <w:divBdr>
            <w:top w:val="none" w:sz="0" w:space="0" w:color="auto"/>
            <w:left w:val="none" w:sz="0" w:space="0" w:color="auto"/>
            <w:bottom w:val="none" w:sz="0" w:space="0" w:color="auto"/>
            <w:right w:val="none" w:sz="0" w:space="0" w:color="auto"/>
          </w:divBdr>
        </w:div>
        <w:div w:id="227158950">
          <w:marLeft w:val="640"/>
          <w:marRight w:val="0"/>
          <w:marTop w:val="0"/>
          <w:marBottom w:val="0"/>
          <w:divBdr>
            <w:top w:val="none" w:sz="0" w:space="0" w:color="auto"/>
            <w:left w:val="none" w:sz="0" w:space="0" w:color="auto"/>
            <w:bottom w:val="none" w:sz="0" w:space="0" w:color="auto"/>
            <w:right w:val="none" w:sz="0" w:space="0" w:color="auto"/>
          </w:divBdr>
        </w:div>
        <w:div w:id="570042855">
          <w:marLeft w:val="640"/>
          <w:marRight w:val="0"/>
          <w:marTop w:val="0"/>
          <w:marBottom w:val="0"/>
          <w:divBdr>
            <w:top w:val="none" w:sz="0" w:space="0" w:color="auto"/>
            <w:left w:val="none" w:sz="0" w:space="0" w:color="auto"/>
            <w:bottom w:val="none" w:sz="0" w:space="0" w:color="auto"/>
            <w:right w:val="none" w:sz="0" w:space="0" w:color="auto"/>
          </w:divBdr>
        </w:div>
        <w:div w:id="489828605">
          <w:marLeft w:val="640"/>
          <w:marRight w:val="0"/>
          <w:marTop w:val="0"/>
          <w:marBottom w:val="0"/>
          <w:divBdr>
            <w:top w:val="none" w:sz="0" w:space="0" w:color="auto"/>
            <w:left w:val="none" w:sz="0" w:space="0" w:color="auto"/>
            <w:bottom w:val="none" w:sz="0" w:space="0" w:color="auto"/>
            <w:right w:val="none" w:sz="0" w:space="0" w:color="auto"/>
          </w:divBdr>
        </w:div>
        <w:div w:id="1605263483">
          <w:marLeft w:val="640"/>
          <w:marRight w:val="0"/>
          <w:marTop w:val="0"/>
          <w:marBottom w:val="0"/>
          <w:divBdr>
            <w:top w:val="none" w:sz="0" w:space="0" w:color="auto"/>
            <w:left w:val="none" w:sz="0" w:space="0" w:color="auto"/>
            <w:bottom w:val="none" w:sz="0" w:space="0" w:color="auto"/>
            <w:right w:val="none" w:sz="0" w:space="0" w:color="auto"/>
          </w:divBdr>
        </w:div>
        <w:div w:id="1909611395">
          <w:marLeft w:val="640"/>
          <w:marRight w:val="0"/>
          <w:marTop w:val="0"/>
          <w:marBottom w:val="0"/>
          <w:divBdr>
            <w:top w:val="none" w:sz="0" w:space="0" w:color="auto"/>
            <w:left w:val="none" w:sz="0" w:space="0" w:color="auto"/>
            <w:bottom w:val="none" w:sz="0" w:space="0" w:color="auto"/>
            <w:right w:val="none" w:sz="0" w:space="0" w:color="auto"/>
          </w:divBdr>
        </w:div>
        <w:div w:id="1520198875">
          <w:marLeft w:val="640"/>
          <w:marRight w:val="0"/>
          <w:marTop w:val="0"/>
          <w:marBottom w:val="0"/>
          <w:divBdr>
            <w:top w:val="none" w:sz="0" w:space="0" w:color="auto"/>
            <w:left w:val="none" w:sz="0" w:space="0" w:color="auto"/>
            <w:bottom w:val="none" w:sz="0" w:space="0" w:color="auto"/>
            <w:right w:val="none" w:sz="0" w:space="0" w:color="auto"/>
          </w:divBdr>
        </w:div>
        <w:div w:id="1160080060">
          <w:marLeft w:val="640"/>
          <w:marRight w:val="0"/>
          <w:marTop w:val="0"/>
          <w:marBottom w:val="0"/>
          <w:divBdr>
            <w:top w:val="none" w:sz="0" w:space="0" w:color="auto"/>
            <w:left w:val="none" w:sz="0" w:space="0" w:color="auto"/>
            <w:bottom w:val="none" w:sz="0" w:space="0" w:color="auto"/>
            <w:right w:val="none" w:sz="0" w:space="0" w:color="auto"/>
          </w:divBdr>
        </w:div>
        <w:div w:id="1344357970">
          <w:marLeft w:val="640"/>
          <w:marRight w:val="0"/>
          <w:marTop w:val="0"/>
          <w:marBottom w:val="0"/>
          <w:divBdr>
            <w:top w:val="none" w:sz="0" w:space="0" w:color="auto"/>
            <w:left w:val="none" w:sz="0" w:space="0" w:color="auto"/>
            <w:bottom w:val="none" w:sz="0" w:space="0" w:color="auto"/>
            <w:right w:val="none" w:sz="0" w:space="0" w:color="auto"/>
          </w:divBdr>
        </w:div>
        <w:div w:id="1343245337">
          <w:marLeft w:val="640"/>
          <w:marRight w:val="0"/>
          <w:marTop w:val="0"/>
          <w:marBottom w:val="0"/>
          <w:divBdr>
            <w:top w:val="none" w:sz="0" w:space="0" w:color="auto"/>
            <w:left w:val="none" w:sz="0" w:space="0" w:color="auto"/>
            <w:bottom w:val="none" w:sz="0" w:space="0" w:color="auto"/>
            <w:right w:val="none" w:sz="0" w:space="0" w:color="auto"/>
          </w:divBdr>
        </w:div>
        <w:div w:id="79302343">
          <w:marLeft w:val="640"/>
          <w:marRight w:val="0"/>
          <w:marTop w:val="0"/>
          <w:marBottom w:val="0"/>
          <w:divBdr>
            <w:top w:val="none" w:sz="0" w:space="0" w:color="auto"/>
            <w:left w:val="none" w:sz="0" w:space="0" w:color="auto"/>
            <w:bottom w:val="none" w:sz="0" w:space="0" w:color="auto"/>
            <w:right w:val="none" w:sz="0" w:space="0" w:color="auto"/>
          </w:divBdr>
        </w:div>
        <w:div w:id="2105489067">
          <w:marLeft w:val="640"/>
          <w:marRight w:val="0"/>
          <w:marTop w:val="0"/>
          <w:marBottom w:val="0"/>
          <w:divBdr>
            <w:top w:val="none" w:sz="0" w:space="0" w:color="auto"/>
            <w:left w:val="none" w:sz="0" w:space="0" w:color="auto"/>
            <w:bottom w:val="none" w:sz="0" w:space="0" w:color="auto"/>
            <w:right w:val="none" w:sz="0" w:space="0" w:color="auto"/>
          </w:divBdr>
        </w:div>
        <w:div w:id="1667590071">
          <w:marLeft w:val="640"/>
          <w:marRight w:val="0"/>
          <w:marTop w:val="0"/>
          <w:marBottom w:val="0"/>
          <w:divBdr>
            <w:top w:val="none" w:sz="0" w:space="0" w:color="auto"/>
            <w:left w:val="none" w:sz="0" w:space="0" w:color="auto"/>
            <w:bottom w:val="none" w:sz="0" w:space="0" w:color="auto"/>
            <w:right w:val="none" w:sz="0" w:space="0" w:color="auto"/>
          </w:divBdr>
        </w:div>
        <w:div w:id="1850560848">
          <w:marLeft w:val="640"/>
          <w:marRight w:val="0"/>
          <w:marTop w:val="0"/>
          <w:marBottom w:val="0"/>
          <w:divBdr>
            <w:top w:val="none" w:sz="0" w:space="0" w:color="auto"/>
            <w:left w:val="none" w:sz="0" w:space="0" w:color="auto"/>
            <w:bottom w:val="none" w:sz="0" w:space="0" w:color="auto"/>
            <w:right w:val="none" w:sz="0" w:space="0" w:color="auto"/>
          </w:divBdr>
        </w:div>
        <w:div w:id="2022968744">
          <w:marLeft w:val="640"/>
          <w:marRight w:val="0"/>
          <w:marTop w:val="0"/>
          <w:marBottom w:val="0"/>
          <w:divBdr>
            <w:top w:val="none" w:sz="0" w:space="0" w:color="auto"/>
            <w:left w:val="none" w:sz="0" w:space="0" w:color="auto"/>
            <w:bottom w:val="none" w:sz="0" w:space="0" w:color="auto"/>
            <w:right w:val="none" w:sz="0" w:space="0" w:color="auto"/>
          </w:divBdr>
        </w:div>
        <w:div w:id="1724408765">
          <w:marLeft w:val="640"/>
          <w:marRight w:val="0"/>
          <w:marTop w:val="0"/>
          <w:marBottom w:val="0"/>
          <w:divBdr>
            <w:top w:val="none" w:sz="0" w:space="0" w:color="auto"/>
            <w:left w:val="none" w:sz="0" w:space="0" w:color="auto"/>
            <w:bottom w:val="none" w:sz="0" w:space="0" w:color="auto"/>
            <w:right w:val="none" w:sz="0" w:space="0" w:color="auto"/>
          </w:divBdr>
        </w:div>
        <w:div w:id="1862427403">
          <w:marLeft w:val="640"/>
          <w:marRight w:val="0"/>
          <w:marTop w:val="0"/>
          <w:marBottom w:val="0"/>
          <w:divBdr>
            <w:top w:val="none" w:sz="0" w:space="0" w:color="auto"/>
            <w:left w:val="none" w:sz="0" w:space="0" w:color="auto"/>
            <w:bottom w:val="none" w:sz="0" w:space="0" w:color="auto"/>
            <w:right w:val="none" w:sz="0" w:space="0" w:color="auto"/>
          </w:divBdr>
        </w:div>
        <w:div w:id="1151099904">
          <w:marLeft w:val="640"/>
          <w:marRight w:val="0"/>
          <w:marTop w:val="0"/>
          <w:marBottom w:val="0"/>
          <w:divBdr>
            <w:top w:val="none" w:sz="0" w:space="0" w:color="auto"/>
            <w:left w:val="none" w:sz="0" w:space="0" w:color="auto"/>
            <w:bottom w:val="none" w:sz="0" w:space="0" w:color="auto"/>
            <w:right w:val="none" w:sz="0" w:space="0" w:color="auto"/>
          </w:divBdr>
        </w:div>
        <w:div w:id="11612818">
          <w:marLeft w:val="640"/>
          <w:marRight w:val="0"/>
          <w:marTop w:val="0"/>
          <w:marBottom w:val="0"/>
          <w:divBdr>
            <w:top w:val="none" w:sz="0" w:space="0" w:color="auto"/>
            <w:left w:val="none" w:sz="0" w:space="0" w:color="auto"/>
            <w:bottom w:val="none" w:sz="0" w:space="0" w:color="auto"/>
            <w:right w:val="none" w:sz="0" w:space="0" w:color="auto"/>
          </w:divBdr>
        </w:div>
        <w:div w:id="634721941">
          <w:marLeft w:val="640"/>
          <w:marRight w:val="0"/>
          <w:marTop w:val="0"/>
          <w:marBottom w:val="0"/>
          <w:divBdr>
            <w:top w:val="none" w:sz="0" w:space="0" w:color="auto"/>
            <w:left w:val="none" w:sz="0" w:space="0" w:color="auto"/>
            <w:bottom w:val="none" w:sz="0" w:space="0" w:color="auto"/>
            <w:right w:val="none" w:sz="0" w:space="0" w:color="auto"/>
          </w:divBdr>
        </w:div>
        <w:div w:id="1620599067">
          <w:marLeft w:val="640"/>
          <w:marRight w:val="0"/>
          <w:marTop w:val="0"/>
          <w:marBottom w:val="0"/>
          <w:divBdr>
            <w:top w:val="none" w:sz="0" w:space="0" w:color="auto"/>
            <w:left w:val="none" w:sz="0" w:space="0" w:color="auto"/>
            <w:bottom w:val="none" w:sz="0" w:space="0" w:color="auto"/>
            <w:right w:val="none" w:sz="0" w:space="0" w:color="auto"/>
          </w:divBdr>
        </w:div>
        <w:div w:id="2122525852">
          <w:marLeft w:val="640"/>
          <w:marRight w:val="0"/>
          <w:marTop w:val="0"/>
          <w:marBottom w:val="0"/>
          <w:divBdr>
            <w:top w:val="none" w:sz="0" w:space="0" w:color="auto"/>
            <w:left w:val="none" w:sz="0" w:space="0" w:color="auto"/>
            <w:bottom w:val="none" w:sz="0" w:space="0" w:color="auto"/>
            <w:right w:val="none" w:sz="0" w:space="0" w:color="auto"/>
          </w:divBdr>
        </w:div>
        <w:div w:id="1611930184">
          <w:marLeft w:val="640"/>
          <w:marRight w:val="0"/>
          <w:marTop w:val="0"/>
          <w:marBottom w:val="0"/>
          <w:divBdr>
            <w:top w:val="none" w:sz="0" w:space="0" w:color="auto"/>
            <w:left w:val="none" w:sz="0" w:space="0" w:color="auto"/>
            <w:bottom w:val="none" w:sz="0" w:space="0" w:color="auto"/>
            <w:right w:val="none" w:sz="0" w:space="0" w:color="auto"/>
          </w:divBdr>
        </w:div>
        <w:div w:id="1060445997">
          <w:marLeft w:val="640"/>
          <w:marRight w:val="0"/>
          <w:marTop w:val="0"/>
          <w:marBottom w:val="0"/>
          <w:divBdr>
            <w:top w:val="none" w:sz="0" w:space="0" w:color="auto"/>
            <w:left w:val="none" w:sz="0" w:space="0" w:color="auto"/>
            <w:bottom w:val="none" w:sz="0" w:space="0" w:color="auto"/>
            <w:right w:val="none" w:sz="0" w:space="0" w:color="auto"/>
          </w:divBdr>
        </w:div>
        <w:div w:id="138155727">
          <w:marLeft w:val="640"/>
          <w:marRight w:val="0"/>
          <w:marTop w:val="0"/>
          <w:marBottom w:val="0"/>
          <w:divBdr>
            <w:top w:val="none" w:sz="0" w:space="0" w:color="auto"/>
            <w:left w:val="none" w:sz="0" w:space="0" w:color="auto"/>
            <w:bottom w:val="none" w:sz="0" w:space="0" w:color="auto"/>
            <w:right w:val="none" w:sz="0" w:space="0" w:color="auto"/>
          </w:divBdr>
        </w:div>
        <w:div w:id="161705631">
          <w:marLeft w:val="640"/>
          <w:marRight w:val="0"/>
          <w:marTop w:val="0"/>
          <w:marBottom w:val="0"/>
          <w:divBdr>
            <w:top w:val="none" w:sz="0" w:space="0" w:color="auto"/>
            <w:left w:val="none" w:sz="0" w:space="0" w:color="auto"/>
            <w:bottom w:val="none" w:sz="0" w:space="0" w:color="auto"/>
            <w:right w:val="none" w:sz="0" w:space="0" w:color="auto"/>
          </w:divBdr>
        </w:div>
        <w:div w:id="1813212864">
          <w:marLeft w:val="640"/>
          <w:marRight w:val="0"/>
          <w:marTop w:val="0"/>
          <w:marBottom w:val="0"/>
          <w:divBdr>
            <w:top w:val="none" w:sz="0" w:space="0" w:color="auto"/>
            <w:left w:val="none" w:sz="0" w:space="0" w:color="auto"/>
            <w:bottom w:val="none" w:sz="0" w:space="0" w:color="auto"/>
            <w:right w:val="none" w:sz="0" w:space="0" w:color="auto"/>
          </w:divBdr>
        </w:div>
        <w:div w:id="1400011392">
          <w:marLeft w:val="640"/>
          <w:marRight w:val="0"/>
          <w:marTop w:val="0"/>
          <w:marBottom w:val="0"/>
          <w:divBdr>
            <w:top w:val="none" w:sz="0" w:space="0" w:color="auto"/>
            <w:left w:val="none" w:sz="0" w:space="0" w:color="auto"/>
            <w:bottom w:val="none" w:sz="0" w:space="0" w:color="auto"/>
            <w:right w:val="none" w:sz="0" w:space="0" w:color="auto"/>
          </w:divBdr>
        </w:div>
        <w:div w:id="730464950">
          <w:marLeft w:val="640"/>
          <w:marRight w:val="0"/>
          <w:marTop w:val="0"/>
          <w:marBottom w:val="0"/>
          <w:divBdr>
            <w:top w:val="none" w:sz="0" w:space="0" w:color="auto"/>
            <w:left w:val="none" w:sz="0" w:space="0" w:color="auto"/>
            <w:bottom w:val="none" w:sz="0" w:space="0" w:color="auto"/>
            <w:right w:val="none" w:sz="0" w:space="0" w:color="auto"/>
          </w:divBdr>
        </w:div>
        <w:div w:id="324210244">
          <w:marLeft w:val="640"/>
          <w:marRight w:val="0"/>
          <w:marTop w:val="0"/>
          <w:marBottom w:val="0"/>
          <w:divBdr>
            <w:top w:val="none" w:sz="0" w:space="0" w:color="auto"/>
            <w:left w:val="none" w:sz="0" w:space="0" w:color="auto"/>
            <w:bottom w:val="none" w:sz="0" w:space="0" w:color="auto"/>
            <w:right w:val="none" w:sz="0" w:space="0" w:color="auto"/>
          </w:divBdr>
        </w:div>
        <w:div w:id="1494491367">
          <w:marLeft w:val="640"/>
          <w:marRight w:val="0"/>
          <w:marTop w:val="0"/>
          <w:marBottom w:val="0"/>
          <w:divBdr>
            <w:top w:val="none" w:sz="0" w:space="0" w:color="auto"/>
            <w:left w:val="none" w:sz="0" w:space="0" w:color="auto"/>
            <w:bottom w:val="none" w:sz="0" w:space="0" w:color="auto"/>
            <w:right w:val="none" w:sz="0" w:space="0" w:color="auto"/>
          </w:divBdr>
        </w:div>
        <w:div w:id="1375227805">
          <w:marLeft w:val="640"/>
          <w:marRight w:val="0"/>
          <w:marTop w:val="0"/>
          <w:marBottom w:val="0"/>
          <w:divBdr>
            <w:top w:val="none" w:sz="0" w:space="0" w:color="auto"/>
            <w:left w:val="none" w:sz="0" w:space="0" w:color="auto"/>
            <w:bottom w:val="none" w:sz="0" w:space="0" w:color="auto"/>
            <w:right w:val="none" w:sz="0" w:space="0" w:color="auto"/>
          </w:divBdr>
        </w:div>
        <w:div w:id="1440757110">
          <w:marLeft w:val="640"/>
          <w:marRight w:val="0"/>
          <w:marTop w:val="0"/>
          <w:marBottom w:val="0"/>
          <w:divBdr>
            <w:top w:val="none" w:sz="0" w:space="0" w:color="auto"/>
            <w:left w:val="none" w:sz="0" w:space="0" w:color="auto"/>
            <w:bottom w:val="none" w:sz="0" w:space="0" w:color="auto"/>
            <w:right w:val="none" w:sz="0" w:space="0" w:color="auto"/>
          </w:divBdr>
        </w:div>
        <w:div w:id="2112164488">
          <w:marLeft w:val="640"/>
          <w:marRight w:val="0"/>
          <w:marTop w:val="0"/>
          <w:marBottom w:val="0"/>
          <w:divBdr>
            <w:top w:val="none" w:sz="0" w:space="0" w:color="auto"/>
            <w:left w:val="none" w:sz="0" w:space="0" w:color="auto"/>
            <w:bottom w:val="none" w:sz="0" w:space="0" w:color="auto"/>
            <w:right w:val="none" w:sz="0" w:space="0" w:color="auto"/>
          </w:divBdr>
        </w:div>
        <w:div w:id="1981495529">
          <w:marLeft w:val="640"/>
          <w:marRight w:val="0"/>
          <w:marTop w:val="0"/>
          <w:marBottom w:val="0"/>
          <w:divBdr>
            <w:top w:val="none" w:sz="0" w:space="0" w:color="auto"/>
            <w:left w:val="none" w:sz="0" w:space="0" w:color="auto"/>
            <w:bottom w:val="none" w:sz="0" w:space="0" w:color="auto"/>
            <w:right w:val="none" w:sz="0" w:space="0" w:color="auto"/>
          </w:divBdr>
        </w:div>
        <w:div w:id="1756894896">
          <w:marLeft w:val="640"/>
          <w:marRight w:val="0"/>
          <w:marTop w:val="0"/>
          <w:marBottom w:val="0"/>
          <w:divBdr>
            <w:top w:val="none" w:sz="0" w:space="0" w:color="auto"/>
            <w:left w:val="none" w:sz="0" w:space="0" w:color="auto"/>
            <w:bottom w:val="none" w:sz="0" w:space="0" w:color="auto"/>
            <w:right w:val="none" w:sz="0" w:space="0" w:color="auto"/>
          </w:divBdr>
        </w:div>
        <w:div w:id="1951738521">
          <w:marLeft w:val="640"/>
          <w:marRight w:val="0"/>
          <w:marTop w:val="0"/>
          <w:marBottom w:val="0"/>
          <w:divBdr>
            <w:top w:val="none" w:sz="0" w:space="0" w:color="auto"/>
            <w:left w:val="none" w:sz="0" w:space="0" w:color="auto"/>
            <w:bottom w:val="none" w:sz="0" w:space="0" w:color="auto"/>
            <w:right w:val="none" w:sz="0" w:space="0" w:color="auto"/>
          </w:divBdr>
        </w:div>
        <w:div w:id="1348404443">
          <w:marLeft w:val="640"/>
          <w:marRight w:val="0"/>
          <w:marTop w:val="0"/>
          <w:marBottom w:val="0"/>
          <w:divBdr>
            <w:top w:val="none" w:sz="0" w:space="0" w:color="auto"/>
            <w:left w:val="none" w:sz="0" w:space="0" w:color="auto"/>
            <w:bottom w:val="none" w:sz="0" w:space="0" w:color="auto"/>
            <w:right w:val="none" w:sz="0" w:space="0" w:color="auto"/>
          </w:divBdr>
        </w:div>
        <w:div w:id="1497112805">
          <w:marLeft w:val="640"/>
          <w:marRight w:val="0"/>
          <w:marTop w:val="0"/>
          <w:marBottom w:val="0"/>
          <w:divBdr>
            <w:top w:val="none" w:sz="0" w:space="0" w:color="auto"/>
            <w:left w:val="none" w:sz="0" w:space="0" w:color="auto"/>
            <w:bottom w:val="none" w:sz="0" w:space="0" w:color="auto"/>
            <w:right w:val="none" w:sz="0" w:space="0" w:color="auto"/>
          </w:divBdr>
        </w:div>
        <w:div w:id="41558526">
          <w:marLeft w:val="640"/>
          <w:marRight w:val="0"/>
          <w:marTop w:val="0"/>
          <w:marBottom w:val="0"/>
          <w:divBdr>
            <w:top w:val="none" w:sz="0" w:space="0" w:color="auto"/>
            <w:left w:val="none" w:sz="0" w:space="0" w:color="auto"/>
            <w:bottom w:val="none" w:sz="0" w:space="0" w:color="auto"/>
            <w:right w:val="none" w:sz="0" w:space="0" w:color="auto"/>
          </w:divBdr>
        </w:div>
        <w:div w:id="607783208">
          <w:marLeft w:val="640"/>
          <w:marRight w:val="0"/>
          <w:marTop w:val="0"/>
          <w:marBottom w:val="0"/>
          <w:divBdr>
            <w:top w:val="none" w:sz="0" w:space="0" w:color="auto"/>
            <w:left w:val="none" w:sz="0" w:space="0" w:color="auto"/>
            <w:bottom w:val="none" w:sz="0" w:space="0" w:color="auto"/>
            <w:right w:val="none" w:sz="0" w:space="0" w:color="auto"/>
          </w:divBdr>
        </w:div>
        <w:div w:id="1378045351">
          <w:marLeft w:val="640"/>
          <w:marRight w:val="0"/>
          <w:marTop w:val="0"/>
          <w:marBottom w:val="0"/>
          <w:divBdr>
            <w:top w:val="none" w:sz="0" w:space="0" w:color="auto"/>
            <w:left w:val="none" w:sz="0" w:space="0" w:color="auto"/>
            <w:bottom w:val="none" w:sz="0" w:space="0" w:color="auto"/>
            <w:right w:val="none" w:sz="0" w:space="0" w:color="auto"/>
          </w:divBdr>
        </w:div>
        <w:div w:id="367485660">
          <w:marLeft w:val="640"/>
          <w:marRight w:val="0"/>
          <w:marTop w:val="0"/>
          <w:marBottom w:val="0"/>
          <w:divBdr>
            <w:top w:val="none" w:sz="0" w:space="0" w:color="auto"/>
            <w:left w:val="none" w:sz="0" w:space="0" w:color="auto"/>
            <w:bottom w:val="none" w:sz="0" w:space="0" w:color="auto"/>
            <w:right w:val="none" w:sz="0" w:space="0" w:color="auto"/>
          </w:divBdr>
        </w:div>
        <w:div w:id="909000122">
          <w:marLeft w:val="640"/>
          <w:marRight w:val="0"/>
          <w:marTop w:val="0"/>
          <w:marBottom w:val="0"/>
          <w:divBdr>
            <w:top w:val="none" w:sz="0" w:space="0" w:color="auto"/>
            <w:left w:val="none" w:sz="0" w:space="0" w:color="auto"/>
            <w:bottom w:val="none" w:sz="0" w:space="0" w:color="auto"/>
            <w:right w:val="none" w:sz="0" w:space="0" w:color="auto"/>
          </w:divBdr>
        </w:div>
        <w:div w:id="358773428">
          <w:marLeft w:val="640"/>
          <w:marRight w:val="0"/>
          <w:marTop w:val="0"/>
          <w:marBottom w:val="0"/>
          <w:divBdr>
            <w:top w:val="none" w:sz="0" w:space="0" w:color="auto"/>
            <w:left w:val="none" w:sz="0" w:space="0" w:color="auto"/>
            <w:bottom w:val="none" w:sz="0" w:space="0" w:color="auto"/>
            <w:right w:val="none" w:sz="0" w:space="0" w:color="auto"/>
          </w:divBdr>
        </w:div>
        <w:div w:id="2072077531">
          <w:marLeft w:val="640"/>
          <w:marRight w:val="0"/>
          <w:marTop w:val="0"/>
          <w:marBottom w:val="0"/>
          <w:divBdr>
            <w:top w:val="none" w:sz="0" w:space="0" w:color="auto"/>
            <w:left w:val="none" w:sz="0" w:space="0" w:color="auto"/>
            <w:bottom w:val="none" w:sz="0" w:space="0" w:color="auto"/>
            <w:right w:val="none" w:sz="0" w:space="0" w:color="auto"/>
          </w:divBdr>
        </w:div>
        <w:div w:id="1431580353">
          <w:marLeft w:val="640"/>
          <w:marRight w:val="0"/>
          <w:marTop w:val="0"/>
          <w:marBottom w:val="0"/>
          <w:divBdr>
            <w:top w:val="none" w:sz="0" w:space="0" w:color="auto"/>
            <w:left w:val="none" w:sz="0" w:space="0" w:color="auto"/>
            <w:bottom w:val="none" w:sz="0" w:space="0" w:color="auto"/>
            <w:right w:val="none" w:sz="0" w:space="0" w:color="auto"/>
          </w:divBdr>
        </w:div>
        <w:div w:id="1132670296">
          <w:marLeft w:val="640"/>
          <w:marRight w:val="0"/>
          <w:marTop w:val="0"/>
          <w:marBottom w:val="0"/>
          <w:divBdr>
            <w:top w:val="none" w:sz="0" w:space="0" w:color="auto"/>
            <w:left w:val="none" w:sz="0" w:space="0" w:color="auto"/>
            <w:bottom w:val="none" w:sz="0" w:space="0" w:color="auto"/>
            <w:right w:val="none" w:sz="0" w:space="0" w:color="auto"/>
          </w:divBdr>
        </w:div>
        <w:div w:id="581180374">
          <w:marLeft w:val="640"/>
          <w:marRight w:val="0"/>
          <w:marTop w:val="0"/>
          <w:marBottom w:val="0"/>
          <w:divBdr>
            <w:top w:val="none" w:sz="0" w:space="0" w:color="auto"/>
            <w:left w:val="none" w:sz="0" w:space="0" w:color="auto"/>
            <w:bottom w:val="none" w:sz="0" w:space="0" w:color="auto"/>
            <w:right w:val="none" w:sz="0" w:space="0" w:color="auto"/>
          </w:divBdr>
        </w:div>
        <w:div w:id="2092967273">
          <w:marLeft w:val="640"/>
          <w:marRight w:val="0"/>
          <w:marTop w:val="0"/>
          <w:marBottom w:val="0"/>
          <w:divBdr>
            <w:top w:val="none" w:sz="0" w:space="0" w:color="auto"/>
            <w:left w:val="none" w:sz="0" w:space="0" w:color="auto"/>
            <w:bottom w:val="none" w:sz="0" w:space="0" w:color="auto"/>
            <w:right w:val="none" w:sz="0" w:space="0" w:color="auto"/>
          </w:divBdr>
        </w:div>
        <w:div w:id="1177188594">
          <w:marLeft w:val="640"/>
          <w:marRight w:val="0"/>
          <w:marTop w:val="0"/>
          <w:marBottom w:val="0"/>
          <w:divBdr>
            <w:top w:val="none" w:sz="0" w:space="0" w:color="auto"/>
            <w:left w:val="none" w:sz="0" w:space="0" w:color="auto"/>
            <w:bottom w:val="none" w:sz="0" w:space="0" w:color="auto"/>
            <w:right w:val="none" w:sz="0" w:space="0" w:color="auto"/>
          </w:divBdr>
        </w:div>
        <w:div w:id="1984312861">
          <w:marLeft w:val="640"/>
          <w:marRight w:val="0"/>
          <w:marTop w:val="0"/>
          <w:marBottom w:val="0"/>
          <w:divBdr>
            <w:top w:val="none" w:sz="0" w:space="0" w:color="auto"/>
            <w:left w:val="none" w:sz="0" w:space="0" w:color="auto"/>
            <w:bottom w:val="none" w:sz="0" w:space="0" w:color="auto"/>
            <w:right w:val="none" w:sz="0" w:space="0" w:color="auto"/>
          </w:divBdr>
        </w:div>
        <w:div w:id="2121608465">
          <w:marLeft w:val="640"/>
          <w:marRight w:val="0"/>
          <w:marTop w:val="0"/>
          <w:marBottom w:val="0"/>
          <w:divBdr>
            <w:top w:val="none" w:sz="0" w:space="0" w:color="auto"/>
            <w:left w:val="none" w:sz="0" w:space="0" w:color="auto"/>
            <w:bottom w:val="none" w:sz="0" w:space="0" w:color="auto"/>
            <w:right w:val="none" w:sz="0" w:space="0" w:color="auto"/>
          </w:divBdr>
        </w:div>
        <w:div w:id="19622988">
          <w:marLeft w:val="640"/>
          <w:marRight w:val="0"/>
          <w:marTop w:val="0"/>
          <w:marBottom w:val="0"/>
          <w:divBdr>
            <w:top w:val="none" w:sz="0" w:space="0" w:color="auto"/>
            <w:left w:val="none" w:sz="0" w:space="0" w:color="auto"/>
            <w:bottom w:val="none" w:sz="0" w:space="0" w:color="auto"/>
            <w:right w:val="none" w:sz="0" w:space="0" w:color="auto"/>
          </w:divBdr>
        </w:div>
        <w:div w:id="1325090313">
          <w:marLeft w:val="640"/>
          <w:marRight w:val="0"/>
          <w:marTop w:val="0"/>
          <w:marBottom w:val="0"/>
          <w:divBdr>
            <w:top w:val="none" w:sz="0" w:space="0" w:color="auto"/>
            <w:left w:val="none" w:sz="0" w:space="0" w:color="auto"/>
            <w:bottom w:val="none" w:sz="0" w:space="0" w:color="auto"/>
            <w:right w:val="none" w:sz="0" w:space="0" w:color="auto"/>
          </w:divBdr>
        </w:div>
        <w:div w:id="1823307241">
          <w:marLeft w:val="640"/>
          <w:marRight w:val="0"/>
          <w:marTop w:val="0"/>
          <w:marBottom w:val="0"/>
          <w:divBdr>
            <w:top w:val="none" w:sz="0" w:space="0" w:color="auto"/>
            <w:left w:val="none" w:sz="0" w:space="0" w:color="auto"/>
            <w:bottom w:val="none" w:sz="0" w:space="0" w:color="auto"/>
            <w:right w:val="none" w:sz="0" w:space="0" w:color="auto"/>
          </w:divBdr>
        </w:div>
        <w:div w:id="353117971">
          <w:marLeft w:val="640"/>
          <w:marRight w:val="0"/>
          <w:marTop w:val="0"/>
          <w:marBottom w:val="0"/>
          <w:divBdr>
            <w:top w:val="none" w:sz="0" w:space="0" w:color="auto"/>
            <w:left w:val="none" w:sz="0" w:space="0" w:color="auto"/>
            <w:bottom w:val="none" w:sz="0" w:space="0" w:color="auto"/>
            <w:right w:val="none" w:sz="0" w:space="0" w:color="auto"/>
          </w:divBdr>
        </w:div>
        <w:div w:id="633026596">
          <w:marLeft w:val="640"/>
          <w:marRight w:val="0"/>
          <w:marTop w:val="0"/>
          <w:marBottom w:val="0"/>
          <w:divBdr>
            <w:top w:val="none" w:sz="0" w:space="0" w:color="auto"/>
            <w:left w:val="none" w:sz="0" w:space="0" w:color="auto"/>
            <w:bottom w:val="none" w:sz="0" w:space="0" w:color="auto"/>
            <w:right w:val="none" w:sz="0" w:space="0" w:color="auto"/>
          </w:divBdr>
        </w:div>
        <w:div w:id="1265726886">
          <w:marLeft w:val="640"/>
          <w:marRight w:val="0"/>
          <w:marTop w:val="0"/>
          <w:marBottom w:val="0"/>
          <w:divBdr>
            <w:top w:val="none" w:sz="0" w:space="0" w:color="auto"/>
            <w:left w:val="none" w:sz="0" w:space="0" w:color="auto"/>
            <w:bottom w:val="none" w:sz="0" w:space="0" w:color="auto"/>
            <w:right w:val="none" w:sz="0" w:space="0" w:color="auto"/>
          </w:divBdr>
        </w:div>
        <w:div w:id="432088902">
          <w:marLeft w:val="640"/>
          <w:marRight w:val="0"/>
          <w:marTop w:val="0"/>
          <w:marBottom w:val="0"/>
          <w:divBdr>
            <w:top w:val="none" w:sz="0" w:space="0" w:color="auto"/>
            <w:left w:val="none" w:sz="0" w:space="0" w:color="auto"/>
            <w:bottom w:val="none" w:sz="0" w:space="0" w:color="auto"/>
            <w:right w:val="none" w:sz="0" w:space="0" w:color="auto"/>
          </w:divBdr>
        </w:div>
        <w:div w:id="1226910242">
          <w:marLeft w:val="640"/>
          <w:marRight w:val="0"/>
          <w:marTop w:val="0"/>
          <w:marBottom w:val="0"/>
          <w:divBdr>
            <w:top w:val="none" w:sz="0" w:space="0" w:color="auto"/>
            <w:left w:val="none" w:sz="0" w:space="0" w:color="auto"/>
            <w:bottom w:val="none" w:sz="0" w:space="0" w:color="auto"/>
            <w:right w:val="none" w:sz="0" w:space="0" w:color="auto"/>
          </w:divBdr>
        </w:div>
        <w:div w:id="1560750826">
          <w:marLeft w:val="640"/>
          <w:marRight w:val="0"/>
          <w:marTop w:val="0"/>
          <w:marBottom w:val="0"/>
          <w:divBdr>
            <w:top w:val="none" w:sz="0" w:space="0" w:color="auto"/>
            <w:left w:val="none" w:sz="0" w:space="0" w:color="auto"/>
            <w:bottom w:val="none" w:sz="0" w:space="0" w:color="auto"/>
            <w:right w:val="none" w:sz="0" w:space="0" w:color="auto"/>
          </w:divBdr>
        </w:div>
        <w:div w:id="1572806578">
          <w:marLeft w:val="640"/>
          <w:marRight w:val="0"/>
          <w:marTop w:val="0"/>
          <w:marBottom w:val="0"/>
          <w:divBdr>
            <w:top w:val="none" w:sz="0" w:space="0" w:color="auto"/>
            <w:left w:val="none" w:sz="0" w:space="0" w:color="auto"/>
            <w:bottom w:val="none" w:sz="0" w:space="0" w:color="auto"/>
            <w:right w:val="none" w:sz="0" w:space="0" w:color="auto"/>
          </w:divBdr>
        </w:div>
        <w:div w:id="323242712">
          <w:marLeft w:val="640"/>
          <w:marRight w:val="0"/>
          <w:marTop w:val="0"/>
          <w:marBottom w:val="0"/>
          <w:divBdr>
            <w:top w:val="none" w:sz="0" w:space="0" w:color="auto"/>
            <w:left w:val="none" w:sz="0" w:space="0" w:color="auto"/>
            <w:bottom w:val="none" w:sz="0" w:space="0" w:color="auto"/>
            <w:right w:val="none" w:sz="0" w:space="0" w:color="auto"/>
          </w:divBdr>
        </w:div>
        <w:div w:id="1664311044">
          <w:marLeft w:val="640"/>
          <w:marRight w:val="0"/>
          <w:marTop w:val="0"/>
          <w:marBottom w:val="0"/>
          <w:divBdr>
            <w:top w:val="none" w:sz="0" w:space="0" w:color="auto"/>
            <w:left w:val="none" w:sz="0" w:space="0" w:color="auto"/>
            <w:bottom w:val="none" w:sz="0" w:space="0" w:color="auto"/>
            <w:right w:val="none" w:sz="0" w:space="0" w:color="auto"/>
          </w:divBdr>
        </w:div>
        <w:div w:id="1003120896">
          <w:marLeft w:val="640"/>
          <w:marRight w:val="0"/>
          <w:marTop w:val="0"/>
          <w:marBottom w:val="0"/>
          <w:divBdr>
            <w:top w:val="none" w:sz="0" w:space="0" w:color="auto"/>
            <w:left w:val="none" w:sz="0" w:space="0" w:color="auto"/>
            <w:bottom w:val="none" w:sz="0" w:space="0" w:color="auto"/>
            <w:right w:val="none" w:sz="0" w:space="0" w:color="auto"/>
          </w:divBdr>
        </w:div>
        <w:div w:id="1345354025">
          <w:marLeft w:val="640"/>
          <w:marRight w:val="0"/>
          <w:marTop w:val="0"/>
          <w:marBottom w:val="0"/>
          <w:divBdr>
            <w:top w:val="none" w:sz="0" w:space="0" w:color="auto"/>
            <w:left w:val="none" w:sz="0" w:space="0" w:color="auto"/>
            <w:bottom w:val="none" w:sz="0" w:space="0" w:color="auto"/>
            <w:right w:val="none" w:sz="0" w:space="0" w:color="auto"/>
          </w:divBdr>
        </w:div>
        <w:div w:id="1120689706">
          <w:marLeft w:val="640"/>
          <w:marRight w:val="0"/>
          <w:marTop w:val="0"/>
          <w:marBottom w:val="0"/>
          <w:divBdr>
            <w:top w:val="none" w:sz="0" w:space="0" w:color="auto"/>
            <w:left w:val="none" w:sz="0" w:space="0" w:color="auto"/>
            <w:bottom w:val="none" w:sz="0" w:space="0" w:color="auto"/>
            <w:right w:val="none" w:sz="0" w:space="0" w:color="auto"/>
          </w:divBdr>
        </w:div>
        <w:div w:id="614365782">
          <w:marLeft w:val="640"/>
          <w:marRight w:val="0"/>
          <w:marTop w:val="0"/>
          <w:marBottom w:val="0"/>
          <w:divBdr>
            <w:top w:val="none" w:sz="0" w:space="0" w:color="auto"/>
            <w:left w:val="none" w:sz="0" w:space="0" w:color="auto"/>
            <w:bottom w:val="none" w:sz="0" w:space="0" w:color="auto"/>
            <w:right w:val="none" w:sz="0" w:space="0" w:color="auto"/>
          </w:divBdr>
        </w:div>
        <w:div w:id="1362777382">
          <w:marLeft w:val="640"/>
          <w:marRight w:val="0"/>
          <w:marTop w:val="0"/>
          <w:marBottom w:val="0"/>
          <w:divBdr>
            <w:top w:val="none" w:sz="0" w:space="0" w:color="auto"/>
            <w:left w:val="none" w:sz="0" w:space="0" w:color="auto"/>
            <w:bottom w:val="none" w:sz="0" w:space="0" w:color="auto"/>
            <w:right w:val="none" w:sz="0" w:space="0" w:color="auto"/>
          </w:divBdr>
        </w:div>
        <w:div w:id="907033282">
          <w:marLeft w:val="640"/>
          <w:marRight w:val="0"/>
          <w:marTop w:val="0"/>
          <w:marBottom w:val="0"/>
          <w:divBdr>
            <w:top w:val="none" w:sz="0" w:space="0" w:color="auto"/>
            <w:left w:val="none" w:sz="0" w:space="0" w:color="auto"/>
            <w:bottom w:val="none" w:sz="0" w:space="0" w:color="auto"/>
            <w:right w:val="none" w:sz="0" w:space="0" w:color="auto"/>
          </w:divBdr>
        </w:div>
        <w:div w:id="1173033752">
          <w:marLeft w:val="640"/>
          <w:marRight w:val="0"/>
          <w:marTop w:val="0"/>
          <w:marBottom w:val="0"/>
          <w:divBdr>
            <w:top w:val="none" w:sz="0" w:space="0" w:color="auto"/>
            <w:left w:val="none" w:sz="0" w:space="0" w:color="auto"/>
            <w:bottom w:val="none" w:sz="0" w:space="0" w:color="auto"/>
            <w:right w:val="none" w:sz="0" w:space="0" w:color="auto"/>
          </w:divBdr>
        </w:div>
        <w:div w:id="201208622">
          <w:marLeft w:val="640"/>
          <w:marRight w:val="0"/>
          <w:marTop w:val="0"/>
          <w:marBottom w:val="0"/>
          <w:divBdr>
            <w:top w:val="none" w:sz="0" w:space="0" w:color="auto"/>
            <w:left w:val="none" w:sz="0" w:space="0" w:color="auto"/>
            <w:bottom w:val="none" w:sz="0" w:space="0" w:color="auto"/>
            <w:right w:val="none" w:sz="0" w:space="0" w:color="auto"/>
          </w:divBdr>
        </w:div>
        <w:div w:id="293415858">
          <w:marLeft w:val="640"/>
          <w:marRight w:val="0"/>
          <w:marTop w:val="0"/>
          <w:marBottom w:val="0"/>
          <w:divBdr>
            <w:top w:val="none" w:sz="0" w:space="0" w:color="auto"/>
            <w:left w:val="none" w:sz="0" w:space="0" w:color="auto"/>
            <w:bottom w:val="none" w:sz="0" w:space="0" w:color="auto"/>
            <w:right w:val="none" w:sz="0" w:space="0" w:color="auto"/>
          </w:divBdr>
        </w:div>
        <w:div w:id="1462305700">
          <w:marLeft w:val="640"/>
          <w:marRight w:val="0"/>
          <w:marTop w:val="0"/>
          <w:marBottom w:val="0"/>
          <w:divBdr>
            <w:top w:val="none" w:sz="0" w:space="0" w:color="auto"/>
            <w:left w:val="none" w:sz="0" w:space="0" w:color="auto"/>
            <w:bottom w:val="none" w:sz="0" w:space="0" w:color="auto"/>
            <w:right w:val="none" w:sz="0" w:space="0" w:color="auto"/>
          </w:divBdr>
        </w:div>
        <w:div w:id="1052535363">
          <w:marLeft w:val="640"/>
          <w:marRight w:val="0"/>
          <w:marTop w:val="0"/>
          <w:marBottom w:val="0"/>
          <w:divBdr>
            <w:top w:val="none" w:sz="0" w:space="0" w:color="auto"/>
            <w:left w:val="none" w:sz="0" w:space="0" w:color="auto"/>
            <w:bottom w:val="none" w:sz="0" w:space="0" w:color="auto"/>
            <w:right w:val="none" w:sz="0" w:space="0" w:color="auto"/>
          </w:divBdr>
        </w:div>
        <w:div w:id="1026829868">
          <w:marLeft w:val="640"/>
          <w:marRight w:val="0"/>
          <w:marTop w:val="0"/>
          <w:marBottom w:val="0"/>
          <w:divBdr>
            <w:top w:val="none" w:sz="0" w:space="0" w:color="auto"/>
            <w:left w:val="none" w:sz="0" w:space="0" w:color="auto"/>
            <w:bottom w:val="none" w:sz="0" w:space="0" w:color="auto"/>
            <w:right w:val="none" w:sz="0" w:space="0" w:color="auto"/>
          </w:divBdr>
        </w:div>
        <w:div w:id="1681661095">
          <w:marLeft w:val="640"/>
          <w:marRight w:val="0"/>
          <w:marTop w:val="0"/>
          <w:marBottom w:val="0"/>
          <w:divBdr>
            <w:top w:val="none" w:sz="0" w:space="0" w:color="auto"/>
            <w:left w:val="none" w:sz="0" w:space="0" w:color="auto"/>
            <w:bottom w:val="none" w:sz="0" w:space="0" w:color="auto"/>
            <w:right w:val="none" w:sz="0" w:space="0" w:color="auto"/>
          </w:divBdr>
        </w:div>
        <w:div w:id="1358775382">
          <w:marLeft w:val="640"/>
          <w:marRight w:val="0"/>
          <w:marTop w:val="0"/>
          <w:marBottom w:val="0"/>
          <w:divBdr>
            <w:top w:val="none" w:sz="0" w:space="0" w:color="auto"/>
            <w:left w:val="none" w:sz="0" w:space="0" w:color="auto"/>
            <w:bottom w:val="none" w:sz="0" w:space="0" w:color="auto"/>
            <w:right w:val="none" w:sz="0" w:space="0" w:color="auto"/>
          </w:divBdr>
        </w:div>
        <w:div w:id="810486583">
          <w:marLeft w:val="640"/>
          <w:marRight w:val="0"/>
          <w:marTop w:val="0"/>
          <w:marBottom w:val="0"/>
          <w:divBdr>
            <w:top w:val="none" w:sz="0" w:space="0" w:color="auto"/>
            <w:left w:val="none" w:sz="0" w:space="0" w:color="auto"/>
            <w:bottom w:val="none" w:sz="0" w:space="0" w:color="auto"/>
            <w:right w:val="none" w:sz="0" w:space="0" w:color="auto"/>
          </w:divBdr>
        </w:div>
        <w:div w:id="1108741513">
          <w:marLeft w:val="640"/>
          <w:marRight w:val="0"/>
          <w:marTop w:val="0"/>
          <w:marBottom w:val="0"/>
          <w:divBdr>
            <w:top w:val="none" w:sz="0" w:space="0" w:color="auto"/>
            <w:left w:val="none" w:sz="0" w:space="0" w:color="auto"/>
            <w:bottom w:val="none" w:sz="0" w:space="0" w:color="auto"/>
            <w:right w:val="none" w:sz="0" w:space="0" w:color="auto"/>
          </w:divBdr>
        </w:div>
        <w:div w:id="1461805334">
          <w:marLeft w:val="640"/>
          <w:marRight w:val="0"/>
          <w:marTop w:val="0"/>
          <w:marBottom w:val="0"/>
          <w:divBdr>
            <w:top w:val="none" w:sz="0" w:space="0" w:color="auto"/>
            <w:left w:val="none" w:sz="0" w:space="0" w:color="auto"/>
            <w:bottom w:val="none" w:sz="0" w:space="0" w:color="auto"/>
            <w:right w:val="none" w:sz="0" w:space="0" w:color="auto"/>
          </w:divBdr>
        </w:div>
        <w:div w:id="824515896">
          <w:marLeft w:val="640"/>
          <w:marRight w:val="0"/>
          <w:marTop w:val="0"/>
          <w:marBottom w:val="0"/>
          <w:divBdr>
            <w:top w:val="none" w:sz="0" w:space="0" w:color="auto"/>
            <w:left w:val="none" w:sz="0" w:space="0" w:color="auto"/>
            <w:bottom w:val="none" w:sz="0" w:space="0" w:color="auto"/>
            <w:right w:val="none" w:sz="0" w:space="0" w:color="auto"/>
          </w:divBdr>
        </w:div>
        <w:div w:id="58604093">
          <w:marLeft w:val="640"/>
          <w:marRight w:val="0"/>
          <w:marTop w:val="0"/>
          <w:marBottom w:val="0"/>
          <w:divBdr>
            <w:top w:val="none" w:sz="0" w:space="0" w:color="auto"/>
            <w:left w:val="none" w:sz="0" w:space="0" w:color="auto"/>
            <w:bottom w:val="none" w:sz="0" w:space="0" w:color="auto"/>
            <w:right w:val="none" w:sz="0" w:space="0" w:color="auto"/>
          </w:divBdr>
        </w:div>
        <w:div w:id="1287588662">
          <w:marLeft w:val="640"/>
          <w:marRight w:val="0"/>
          <w:marTop w:val="0"/>
          <w:marBottom w:val="0"/>
          <w:divBdr>
            <w:top w:val="none" w:sz="0" w:space="0" w:color="auto"/>
            <w:left w:val="none" w:sz="0" w:space="0" w:color="auto"/>
            <w:bottom w:val="none" w:sz="0" w:space="0" w:color="auto"/>
            <w:right w:val="none" w:sz="0" w:space="0" w:color="auto"/>
          </w:divBdr>
        </w:div>
        <w:div w:id="624892096">
          <w:marLeft w:val="640"/>
          <w:marRight w:val="0"/>
          <w:marTop w:val="0"/>
          <w:marBottom w:val="0"/>
          <w:divBdr>
            <w:top w:val="none" w:sz="0" w:space="0" w:color="auto"/>
            <w:left w:val="none" w:sz="0" w:space="0" w:color="auto"/>
            <w:bottom w:val="none" w:sz="0" w:space="0" w:color="auto"/>
            <w:right w:val="none" w:sz="0" w:space="0" w:color="auto"/>
          </w:divBdr>
        </w:div>
        <w:div w:id="31073664">
          <w:marLeft w:val="640"/>
          <w:marRight w:val="0"/>
          <w:marTop w:val="0"/>
          <w:marBottom w:val="0"/>
          <w:divBdr>
            <w:top w:val="none" w:sz="0" w:space="0" w:color="auto"/>
            <w:left w:val="none" w:sz="0" w:space="0" w:color="auto"/>
            <w:bottom w:val="none" w:sz="0" w:space="0" w:color="auto"/>
            <w:right w:val="none" w:sz="0" w:space="0" w:color="auto"/>
          </w:divBdr>
        </w:div>
        <w:div w:id="891504914">
          <w:marLeft w:val="640"/>
          <w:marRight w:val="0"/>
          <w:marTop w:val="0"/>
          <w:marBottom w:val="0"/>
          <w:divBdr>
            <w:top w:val="none" w:sz="0" w:space="0" w:color="auto"/>
            <w:left w:val="none" w:sz="0" w:space="0" w:color="auto"/>
            <w:bottom w:val="none" w:sz="0" w:space="0" w:color="auto"/>
            <w:right w:val="none" w:sz="0" w:space="0" w:color="auto"/>
          </w:divBdr>
        </w:div>
        <w:div w:id="1207984237">
          <w:marLeft w:val="640"/>
          <w:marRight w:val="0"/>
          <w:marTop w:val="0"/>
          <w:marBottom w:val="0"/>
          <w:divBdr>
            <w:top w:val="none" w:sz="0" w:space="0" w:color="auto"/>
            <w:left w:val="none" w:sz="0" w:space="0" w:color="auto"/>
            <w:bottom w:val="none" w:sz="0" w:space="0" w:color="auto"/>
            <w:right w:val="none" w:sz="0" w:space="0" w:color="auto"/>
          </w:divBdr>
        </w:div>
        <w:div w:id="1491095522">
          <w:marLeft w:val="640"/>
          <w:marRight w:val="0"/>
          <w:marTop w:val="0"/>
          <w:marBottom w:val="0"/>
          <w:divBdr>
            <w:top w:val="none" w:sz="0" w:space="0" w:color="auto"/>
            <w:left w:val="none" w:sz="0" w:space="0" w:color="auto"/>
            <w:bottom w:val="none" w:sz="0" w:space="0" w:color="auto"/>
            <w:right w:val="none" w:sz="0" w:space="0" w:color="auto"/>
          </w:divBdr>
        </w:div>
        <w:div w:id="876890533">
          <w:marLeft w:val="640"/>
          <w:marRight w:val="0"/>
          <w:marTop w:val="0"/>
          <w:marBottom w:val="0"/>
          <w:divBdr>
            <w:top w:val="none" w:sz="0" w:space="0" w:color="auto"/>
            <w:left w:val="none" w:sz="0" w:space="0" w:color="auto"/>
            <w:bottom w:val="none" w:sz="0" w:space="0" w:color="auto"/>
            <w:right w:val="none" w:sz="0" w:space="0" w:color="auto"/>
          </w:divBdr>
        </w:div>
        <w:div w:id="1384789686">
          <w:marLeft w:val="640"/>
          <w:marRight w:val="0"/>
          <w:marTop w:val="0"/>
          <w:marBottom w:val="0"/>
          <w:divBdr>
            <w:top w:val="none" w:sz="0" w:space="0" w:color="auto"/>
            <w:left w:val="none" w:sz="0" w:space="0" w:color="auto"/>
            <w:bottom w:val="none" w:sz="0" w:space="0" w:color="auto"/>
            <w:right w:val="none" w:sz="0" w:space="0" w:color="auto"/>
          </w:divBdr>
        </w:div>
        <w:div w:id="123432255">
          <w:marLeft w:val="640"/>
          <w:marRight w:val="0"/>
          <w:marTop w:val="0"/>
          <w:marBottom w:val="0"/>
          <w:divBdr>
            <w:top w:val="none" w:sz="0" w:space="0" w:color="auto"/>
            <w:left w:val="none" w:sz="0" w:space="0" w:color="auto"/>
            <w:bottom w:val="none" w:sz="0" w:space="0" w:color="auto"/>
            <w:right w:val="none" w:sz="0" w:space="0" w:color="auto"/>
          </w:divBdr>
        </w:div>
        <w:div w:id="652413194">
          <w:marLeft w:val="640"/>
          <w:marRight w:val="0"/>
          <w:marTop w:val="0"/>
          <w:marBottom w:val="0"/>
          <w:divBdr>
            <w:top w:val="none" w:sz="0" w:space="0" w:color="auto"/>
            <w:left w:val="none" w:sz="0" w:space="0" w:color="auto"/>
            <w:bottom w:val="none" w:sz="0" w:space="0" w:color="auto"/>
            <w:right w:val="none" w:sz="0" w:space="0" w:color="auto"/>
          </w:divBdr>
        </w:div>
        <w:div w:id="1349942725">
          <w:marLeft w:val="640"/>
          <w:marRight w:val="0"/>
          <w:marTop w:val="0"/>
          <w:marBottom w:val="0"/>
          <w:divBdr>
            <w:top w:val="none" w:sz="0" w:space="0" w:color="auto"/>
            <w:left w:val="none" w:sz="0" w:space="0" w:color="auto"/>
            <w:bottom w:val="none" w:sz="0" w:space="0" w:color="auto"/>
            <w:right w:val="none" w:sz="0" w:space="0" w:color="auto"/>
          </w:divBdr>
        </w:div>
        <w:div w:id="694576588">
          <w:marLeft w:val="640"/>
          <w:marRight w:val="0"/>
          <w:marTop w:val="0"/>
          <w:marBottom w:val="0"/>
          <w:divBdr>
            <w:top w:val="none" w:sz="0" w:space="0" w:color="auto"/>
            <w:left w:val="none" w:sz="0" w:space="0" w:color="auto"/>
            <w:bottom w:val="none" w:sz="0" w:space="0" w:color="auto"/>
            <w:right w:val="none" w:sz="0" w:space="0" w:color="auto"/>
          </w:divBdr>
        </w:div>
        <w:div w:id="1579099831">
          <w:marLeft w:val="640"/>
          <w:marRight w:val="0"/>
          <w:marTop w:val="0"/>
          <w:marBottom w:val="0"/>
          <w:divBdr>
            <w:top w:val="none" w:sz="0" w:space="0" w:color="auto"/>
            <w:left w:val="none" w:sz="0" w:space="0" w:color="auto"/>
            <w:bottom w:val="none" w:sz="0" w:space="0" w:color="auto"/>
            <w:right w:val="none" w:sz="0" w:space="0" w:color="auto"/>
          </w:divBdr>
        </w:div>
        <w:div w:id="1499463976">
          <w:marLeft w:val="640"/>
          <w:marRight w:val="0"/>
          <w:marTop w:val="0"/>
          <w:marBottom w:val="0"/>
          <w:divBdr>
            <w:top w:val="none" w:sz="0" w:space="0" w:color="auto"/>
            <w:left w:val="none" w:sz="0" w:space="0" w:color="auto"/>
            <w:bottom w:val="none" w:sz="0" w:space="0" w:color="auto"/>
            <w:right w:val="none" w:sz="0" w:space="0" w:color="auto"/>
          </w:divBdr>
        </w:div>
        <w:div w:id="1364285186">
          <w:marLeft w:val="640"/>
          <w:marRight w:val="0"/>
          <w:marTop w:val="0"/>
          <w:marBottom w:val="0"/>
          <w:divBdr>
            <w:top w:val="none" w:sz="0" w:space="0" w:color="auto"/>
            <w:left w:val="none" w:sz="0" w:space="0" w:color="auto"/>
            <w:bottom w:val="none" w:sz="0" w:space="0" w:color="auto"/>
            <w:right w:val="none" w:sz="0" w:space="0" w:color="auto"/>
          </w:divBdr>
        </w:div>
        <w:div w:id="223371792">
          <w:marLeft w:val="640"/>
          <w:marRight w:val="0"/>
          <w:marTop w:val="0"/>
          <w:marBottom w:val="0"/>
          <w:divBdr>
            <w:top w:val="none" w:sz="0" w:space="0" w:color="auto"/>
            <w:left w:val="none" w:sz="0" w:space="0" w:color="auto"/>
            <w:bottom w:val="none" w:sz="0" w:space="0" w:color="auto"/>
            <w:right w:val="none" w:sz="0" w:space="0" w:color="auto"/>
          </w:divBdr>
        </w:div>
        <w:div w:id="509216473">
          <w:marLeft w:val="640"/>
          <w:marRight w:val="0"/>
          <w:marTop w:val="0"/>
          <w:marBottom w:val="0"/>
          <w:divBdr>
            <w:top w:val="none" w:sz="0" w:space="0" w:color="auto"/>
            <w:left w:val="none" w:sz="0" w:space="0" w:color="auto"/>
            <w:bottom w:val="none" w:sz="0" w:space="0" w:color="auto"/>
            <w:right w:val="none" w:sz="0" w:space="0" w:color="auto"/>
          </w:divBdr>
        </w:div>
        <w:div w:id="1235581685">
          <w:marLeft w:val="640"/>
          <w:marRight w:val="0"/>
          <w:marTop w:val="0"/>
          <w:marBottom w:val="0"/>
          <w:divBdr>
            <w:top w:val="none" w:sz="0" w:space="0" w:color="auto"/>
            <w:left w:val="none" w:sz="0" w:space="0" w:color="auto"/>
            <w:bottom w:val="none" w:sz="0" w:space="0" w:color="auto"/>
            <w:right w:val="none" w:sz="0" w:space="0" w:color="auto"/>
          </w:divBdr>
        </w:div>
        <w:div w:id="981084010">
          <w:marLeft w:val="640"/>
          <w:marRight w:val="0"/>
          <w:marTop w:val="0"/>
          <w:marBottom w:val="0"/>
          <w:divBdr>
            <w:top w:val="none" w:sz="0" w:space="0" w:color="auto"/>
            <w:left w:val="none" w:sz="0" w:space="0" w:color="auto"/>
            <w:bottom w:val="none" w:sz="0" w:space="0" w:color="auto"/>
            <w:right w:val="none" w:sz="0" w:space="0" w:color="auto"/>
          </w:divBdr>
        </w:div>
        <w:div w:id="454327357">
          <w:marLeft w:val="640"/>
          <w:marRight w:val="0"/>
          <w:marTop w:val="0"/>
          <w:marBottom w:val="0"/>
          <w:divBdr>
            <w:top w:val="none" w:sz="0" w:space="0" w:color="auto"/>
            <w:left w:val="none" w:sz="0" w:space="0" w:color="auto"/>
            <w:bottom w:val="none" w:sz="0" w:space="0" w:color="auto"/>
            <w:right w:val="none" w:sz="0" w:space="0" w:color="auto"/>
          </w:divBdr>
        </w:div>
        <w:div w:id="1774279879">
          <w:marLeft w:val="640"/>
          <w:marRight w:val="0"/>
          <w:marTop w:val="0"/>
          <w:marBottom w:val="0"/>
          <w:divBdr>
            <w:top w:val="none" w:sz="0" w:space="0" w:color="auto"/>
            <w:left w:val="none" w:sz="0" w:space="0" w:color="auto"/>
            <w:bottom w:val="none" w:sz="0" w:space="0" w:color="auto"/>
            <w:right w:val="none" w:sz="0" w:space="0" w:color="auto"/>
          </w:divBdr>
        </w:div>
        <w:div w:id="1655454728">
          <w:marLeft w:val="640"/>
          <w:marRight w:val="0"/>
          <w:marTop w:val="0"/>
          <w:marBottom w:val="0"/>
          <w:divBdr>
            <w:top w:val="none" w:sz="0" w:space="0" w:color="auto"/>
            <w:left w:val="none" w:sz="0" w:space="0" w:color="auto"/>
            <w:bottom w:val="none" w:sz="0" w:space="0" w:color="auto"/>
            <w:right w:val="none" w:sz="0" w:space="0" w:color="auto"/>
          </w:divBdr>
        </w:div>
        <w:div w:id="538009929">
          <w:marLeft w:val="640"/>
          <w:marRight w:val="0"/>
          <w:marTop w:val="0"/>
          <w:marBottom w:val="0"/>
          <w:divBdr>
            <w:top w:val="none" w:sz="0" w:space="0" w:color="auto"/>
            <w:left w:val="none" w:sz="0" w:space="0" w:color="auto"/>
            <w:bottom w:val="none" w:sz="0" w:space="0" w:color="auto"/>
            <w:right w:val="none" w:sz="0" w:space="0" w:color="auto"/>
          </w:divBdr>
        </w:div>
        <w:div w:id="1126655661">
          <w:marLeft w:val="640"/>
          <w:marRight w:val="0"/>
          <w:marTop w:val="0"/>
          <w:marBottom w:val="0"/>
          <w:divBdr>
            <w:top w:val="none" w:sz="0" w:space="0" w:color="auto"/>
            <w:left w:val="none" w:sz="0" w:space="0" w:color="auto"/>
            <w:bottom w:val="none" w:sz="0" w:space="0" w:color="auto"/>
            <w:right w:val="none" w:sz="0" w:space="0" w:color="auto"/>
          </w:divBdr>
        </w:div>
        <w:div w:id="311448013">
          <w:marLeft w:val="640"/>
          <w:marRight w:val="0"/>
          <w:marTop w:val="0"/>
          <w:marBottom w:val="0"/>
          <w:divBdr>
            <w:top w:val="none" w:sz="0" w:space="0" w:color="auto"/>
            <w:left w:val="none" w:sz="0" w:space="0" w:color="auto"/>
            <w:bottom w:val="none" w:sz="0" w:space="0" w:color="auto"/>
            <w:right w:val="none" w:sz="0" w:space="0" w:color="auto"/>
          </w:divBdr>
        </w:div>
        <w:div w:id="1010713585">
          <w:marLeft w:val="640"/>
          <w:marRight w:val="0"/>
          <w:marTop w:val="0"/>
          <w:marBottom w:val="0"/>
          <w:divBdr>
            <w:top w:val="none" w:sz="0" w:space="0" w:color="auto"/>
            <w:left w:val="none" w:sz="0" w:space="0" w:color="auto"/>
            <w:bottom w:val="none" w:sz="0" w:space="0" w:color="auto"/>
            <w:right w:val="none" w:sz="0" w:space="0" w:color="auto"/>
          </w:divBdr>
        </w:div>
        <w:div w:id="5837988">
          <w:marLeft w:val="640"/>
          <w:marRight w:val="0"/>
          <w:marTop w:val="0"/>
          <w:marBottom w:val="0"/>
          <w:divBdr>
            <w:top w:val="none" w:sz="0" w:space="0" w:color="auto"/>
            <w:left w:val="none" w:sz="0" w:space="0" w:color="auto"/>
            <w:bottom w:val="none" w:sz="0" w:space="0" w:color="auto"/>
            <w:right w:val="none" w:sz="0" w:space="0" w:color="auto"/>
          </w:divBdr>
        </w:div>
        <w:div w:id="1867324328">
          <w:marLeft w:val="640"/>
          <w:marRight w:val="0"/>
          <w:marTop w:val="0"/>
          <w:marBottom w:val="0"/>
          <w:divBdr>
            <w:top w:val="none" w:sz="0" w:space="0" w:color="auto"/>
            <w:left w:val="none" w:sz="0" w:space="0" w:color="auto"/>
            <w:bottom w:val="none" w:sz="0" w:space="0" w:color="auto"/>
            <w:right w:val="none" w:sz="0" w:space="0" w:color="auto"/>
          </w:divBdr>
        </w:div>
        <w:div w:id="2044863731">
          <w:marLeft w:val="640"/>
          <w:marRight w:val="0"/>
          <w:marTop w:val="0"/>
          <w:marBottom w:val="0"/>
          <w:divBdr>
            <w:top w:val="none" w:sz="0" w:space="0" w:color="auto"/>
            <w:left w:val="none" w:sz="0" w:space="0" w:color="auto"/>
            <w:bottom w:val="none" w:sz="0" w:space="0" w:color="auto"/>
            <w:right w:val="none" w:sz="0" w:space="0" w:color="auto"/>
          </w:divBdr>
        </w:div>
        <w:div w:id="561643858">
          <w:marLeft w:val="640"/>
          <w:marRight w:val="0"/>
          <w:marTop w:val="0"/>
          <w:marBottom w:val="0"/>
          <w:divBdr>
            <w:top w:val="none" w:sz="0" w:space="0" w:color="auto"/>
            <w:left w:val="none" w:sz="0" w:space="0" w:color="auto"/>
            <w:bottom w:val="none" w:sz="0" w:space="0" w:color="auto"/>
            <w:right w:val="none" w:sz="0" w:space="0" w:color="auto"/>
          </w:divBdr>
        </w:div>
        <w:div w:id="914243670">
          <w:marLeft w:val="640"/>
          <w:marRight w:val="0"/>
          <w:marTop w:val="0"/>
          <w:marBottom w:val="0"/>
          <w:divBdr>
            <w:top w:val="none" w:sz="0" w:space="0" w:color="auto"/>
            <w:left w:val="none" w:sz="0" w:space="0" w:color="auto"/>
            <w:bottom w:val="none" w:sz="0" w:space="0" w:color="auto"/>
            <w:right w:val="none" w:sz="0" w:space="0" w:color="auto"/>
          </w:divBdr>
        </w:div>
        <w:div w:id="846599125">
          <w:marLeft w:val="640"/>
          <w:marRight w:val="0"/>
          <w:marTop w:val="0"/>
          <w:marBottom w:val="0"/>
          <w:divBdr>
            <w:top w:val="none" w:sz="0" w:space="0" w:color="auto"/>
            <w:left w:val="none" w:sz="0" w:space="0" w:color="auto"/>
            <w:bottom w:val="none" w:sz="0" w:space="0" w:color="auto"/>
            <w:right w:val="none" w:sz="0" w:space="0" w:color="auto"/>
          </w:divBdr>
        </w:div>
        <w:div w:id="1573200048">
          <w:marLeft w:val="640"/>
          <w:marRight w:val="0"/>
          <w:marTop w:val="0"/>
          <w:marBottom w:val="0"/>
          <w:divBdr>
            <w:top w:val="none" w:sz="0" w:space="0" w:color="auto"/>
            <w:left w:val="none" w:sz="0" w:space="0" w:color="auto"/>
            <w:bottom w:val="none" w:sz="0" w:space="0" w:color="auto"/>
            <w:right w:val="none" w:sz="0" w:space="0" w:color="auto"/>
          </w:divBdr>
        </w:div>
        <w:div w:id="308285027">
          <w:marLeft w:val="640"/>
          <w:marRight w:val="0"/>
          <w:marTop w:val="0"/>
          <w:marBottom w:val="0"/>
          <w:divBdr>
            <w:top w:val="none" w:sz="0" w:space="0" w:color="auto"/>
            <w:left w:val="none" w:sz="0" w:space="0" w:color="auto"/>
            <w:bottom w:val="none" w:sz="0" w:space="0" w:color="auto"/>
            <w:right w:val="none" w:sz="0" w:space="0" w:color="auto"/>
          </w:divBdr>
        </w:div>
        <w:div w:id="128522152">
          <w:marLeft w:val="640"/>
          <w:marRight w:val="0"/>
          <w:marTop w:val="0"/>
          <w:marBottom w:val="0"/>
          <w:divBdr>
            <w:top w:val="none" w:sz="0" w:space="0" w:color="auto"/>
            <w:left w:val="none" w:sz="0" w:space="0" w:color="auto"/>
            <w:bottom w:val="none" w:sz="0" w:space="0" w:color="auto"/>
            <w:right w:val="none" w:sz="0" w:space="0" w:color="auto"/>
          </w:divBdr>
        </w:div>
        <w:div w:id="646125691">
          <w:marLeft w:val="640"/>
          <w:marRight w:val="0"/>
          <w:marTop w:val="0"/>
          <w:marBottom w:val="0"/>
          <w:divBdr>
            <w:top w:val="none" w:sz="0" w:space="0" w:color="auto"/>
            <w:left w:val="none" w:sz="0" w:space="0" w:color="auto"/>
            <w:bottom w:val="none" w:sz="0" w:space="0" w:color="auto"/>
            <w:right w:val="none" w:sz="0" w:space="0" w:color="auto"/>
          </w:divBdr>
        </w:div>
        <w:div w:id="1065030550">
          <w:marLeft w:val="640"/>
          <w:marRight w:val="0"/>
          <w:marTop w:val="0"/>
          <w:marBottom w:val="0"/>
          <w:divBdr>
            <w:top w:val="none" w:sz="0" w:space="0" w:color="auto"/>
            <w:left w:val="none" w:sz="0" w:space="0" w:color="auto"/>
            <w:bottom w:val="none" w:sz="0" w:space="0" w:color="auto"/>
            <w:right w:val="none" w:sz="0" w:space="0" w:color="auto"/>
          </w:divBdr>
        </w:div>
        <w:div w:id="2018147323">
          <w:marLeft w:val="640"/>
          <w:marRight w:val="0"/>
          <w:marTop w:val="0"/>
          <w:marBottom w:val="0"/>
          <w:divBdr>
            <w:top w:val="none" w:sz="0" w:space="0" w:color="auto"/>
            <w:left w:val="none" w:sz="0" w:space="0" w:color="auto"/>
            <w:bottom w:val="none" w:sz="0" w:space="0" w:color="auto"/>
            <w:right w:val="none" w:sz="0" w:space="0" w:color="auto"/>
          </w:divBdr>
        </w:div>
        <w:div w:id="128328017">
          <w:marLeft w:val="640"/>
          <w:marRight w:val="0"/>
          <w:marTop w:val="0"/>
          <w:marBottom w:val="0"/>
          <w:divBdr>
            <w:top w:val="none" w:sz="0" w:space="0" w:color="auto"/>
            <w:left w:val="none" w:sz="0" w:space="0" w:color="auto"/>
            <w:bottom w:val="none" w:sz="0" w:space="0" w:color="auto"/>
            <w:right w:val="none" w:sz="0" w:space="0" w:color="auto"/>
          </w:divBdr>
        </w:div>
        <w:div w:id="734663315">
          <w:marLeft w:val="640"/>
          <w:marRight w:val="0"/>
          <w:marTop w:val="0"/>
          <w:marBottom w:val="0"/>
          <w:divBdr>
            <w:top w:val="none" w:sz="0" w:space="0" w:color="auto"/>
            <w:left w:val="none" w:sz="0" w:space="0" w:color="auto"/>
            <w:bottom w:val="none" w:sz="0" w:space="0" w:color="auto"/>
            <w:right w:val="none" w:sz="0" w:space="0" w:color="auto"/>
          </w:divBdr>
        </w:div>
        <w:div w:id="728964448">
          <w:marLeft w:val="640"/>
          <w:marRight w:val="0"/>
          <w:marTop w:val="0"/>
          <w:marBottom w:val="0"/>
          <w:divBdr>
            <w:top w:val="none" w:sz="0" w:space="0" w:color="auto"/>
            <w:left w:val="none" w:sz="0" w:space="0" w:color="auto"/>
            <w:bottom w:val="none" w:sz="0" w:space="0" w:color="auto"/>
            <w:right w:val="none" w:sz="0" w:space="0" w:color="auto"/>
          </w:divBdr>
        </w:div>
        <w:div w:id="2128115981">
          <w:marLeft w:val="640"/>
          <w:marRight w:val="0"/>
          <w:marTop w:val="0"/>
          <w:marBottom w:val="0"/>
          <w:divBdr>
            <w:top w:val="none" w:sz="0" w:space="0" w:color="auto"/>
            <w:left w:val="none" w:sz="0" w:space="0" w:color="auto"/>
            <w:bottom w:val="none" w:sz="0" w:space="0" w:color="auto"/>
            <w:right w:val="none" w:sz="0" w:space="0" w:color="auto"/>
          </w:divBdr>
        </w:div>
        <w:div w:id="196940570">
          <w:marLeft w:val="640"/>
          <w:marRight w:val="0"/>
          <w:marTop w:val="0"/>
          <w:marBottom w:val="0"/>
          <w:divBdr>
            <w:top w:val="none" w:sz="0" w:space="0" w:color="auto"/>
            <w:left w:val="none" w:sz="0" w:space="0" w:color="auto"/>
            <w:bottom w:val="none" w:sz="0" w:space="0" w:color="auto"/>
            <w:right w:val="none" w:sz="0" w:space="0" w:color="auto"/>
          </w:divBdr>
        </w:div>
        <w:div w:id="1399589767">
          <w:marLeft w:val="640"/>
          <w:marRight w:val="0"/>
          <w:marTop w:val="0"/>
          <w:marBottom w:val="0"/>
          <w:divBdr>
            <w:top w:val="none" w:sz="0" w:space="0" w:color="auto"/>
            <w:left w:val="none" w:sz="0" w:space="0" w:color="auto"/>
            <w:bottom w:val="none" w:sz="0" w:space="0" w:color="auto"/>
            <w:right w:val="none" w:sz="0" w:space="0" w:color="auto"/>
          </w:divBdr>
        </w:div>
        <w:div w:id="910965219">
          <w:marLeft w:val="640"/>
          <w:marRight w:val="0"/>
          <w:marTop w:val="0"/>
          <w:marBottom w:val="0"/>
          <w:divBdr>
            <w:top w:val="none" w:sz="0" w:space="0" w:color="auto"/>
            <w:left w:val="none" w:sz="0" w:space="0" w:color="auto"/>
            <w:bottom w:val="none" w:sz="0" w:space="0" w:color="auto"/>
            <w:right w:val="none" w:sz="0" w:space="0" w:color="auto"/>
          </w:divBdr>
        </w:div>
        <w:div w:id="1205559124">
          <w:marLeft w:val="640"/>
          <w:marRight w:val="0"/>
          <w:marTop w:val="0"/>
          <w:marBottom w:val="0"/>
          <w:divBdr>
            <w:top w:val="none" w:sz="0" w:space="0" w:color="auto"/>
            <w:left w:val="none" w:sz="0" w:space="0" w:color="auto"/>
            <w:bottom w:val="none" w:sz="0" w:space="0" w:color="auto"/>
            <w:right w:val="none" w:sz="0" w:space="0" w:color="auto"/>
          </w:divBdr>
        </w:div>
        <w:div w:id="979501148">
          <w:marLeft w:val="640"/>
          <w:marRight w:val="0"/>
          <w:marTop w:val="0"/>
          <w:marBottom w:val="0"/>
          <w:divBdr>
            <w:top w:val="none" w:sz="0" w:space="0" w:color="auto"/>
            <w:left w:val="none" w:sz="0" w:space="0" w:color="auto"/>
            <w:bottom w:val="none" w:sz="0" w:space="0" w:color="auto"/>
            <w:right w:val="none" w:sz="0" w:space="0" w:color="auto"/>
          </w:divBdr>
        </w:div>
        <w:div w:id="1122114423">
          <w:marLeft w:val="640"/>
          <w:marRight w:val="0"/>
          <w:marTop w:val="0"/>
          <w:marBottom w:val="0"/>
          <w:divBdr>
            <w:top w:val="none" w:sz="0" w:space="0" w:color="auto"/>
            <w:left w:val="none" w:sz="0" w:space="0" w:color="auto"/>
            <w:bottom w:val="none" w:sz="0" w:space="0" w:color="auto"/>
            <w:right w:val="none" w:sz="0" w:space="0" w:color="auto"/>
          </w:divBdr>
        </w:div>
        <w:div w:id="744961611">
          <w:marLeft w:val="640"/>
          <w:marRight w:val="0"/>
          <w:marTop w:val="0"/>
          <w:marBottom w:val="0"/>
          <w:divBdr>
            <w:top w:val="none" w:sz="0" w:space="0" w:color="auto"/>
            <w:left w:val="none" w:sz="0" w:space="0" w:color="auto"/>
            <w:bottom w:val="none" w:sz="0" w:space="0" w:color="auto"/>
            <w:right w:val="none" w:sz="0" w:space="0" w:color="auto"/>
          </w:divBdr>
        </w:div>
        <w:div w:id="1869831190">
          <w:marLeft w:val="640"/>
          <w:marRight w:val="0"/>
          <w:marTop w:val="0"/>
          <w:marBottom w:val="0"/>
          <w:divBdr>
            <w:top w:val="none" w:sz="0" w:space="0" w:color="auto"/>
            <w:left w:val="none" w:sz="0" w:space="0" w:color="auto"/>
            <w:bottom w:val="none" w:sz="0" w:space="0" w:color="auto"/>
            <w:right w:val="none" w:sz="0" w:space="0" w:color="auto"/>
          </w:divBdr>
        </w:div>
        <w:div w:id="1648388598">
          <w:marLeft w:val="640"/>
          <w:marRight w:val="0"/>
          <w:marTop w:val="0"/>
          <w:marBottom w:val="0"/>
          <w:divBdr>
            <w:top w:val="none" w:sz="0" w:space="0" w:color="auto"/>
            <w:left w:val="none" w:sz="0" w:space="0" w:color="auto"/>
            <w:bottom w:val="none" w:sz="0" w:space="0" w:color="auto"/>
            <w:right w:val="none" w:sz="0" w:space="0" w:color="auto"/>
          </w:divBdr>
        </w:div>
        <w:div w:id="479810310">
          <w:marLeft w:val="640"/>
          <w:marRight w:val="0"/>
          <w:marTop w:val="0"/>
          <w:marBottom w:val="0"/>
          <w:divBdr>
            <w:top w:val="none" w:sz="0" w:space="0" w:color="auto"/>
            <w:left w:val="none" w:sz="0" w:space="0" w:color="auto"/>
            <w:bottom w:val="none" w:sz="0" w:space="0" w:color="auto"/>
            <w:right w:val="none" w:sz="0" w:space="0" w:color="auto"/>
          </w:divBdr>
        </w:div>
        <w:div w:id="967470753">
          <w:marLeft w:val="640"/>
          <w:marRight w:val="0"/>
          <w:marTop w:val="0"/>
          <w:marBottom w:val="0"/>
          <w:divBdr>
            <w:top w:val="none" w:sz="0" w:space="0" w:color="auto"/>
            <w:left w:val="none" w:sz="0" w:space="0" w:color="auto"/>
            <w:bottom w:val="none" w:sz="0" w:space="0" w:color="auto"/>
            <w:right w:val="none" w:sz="0" w:space="0" w:color="auto"/>
          </w:divBdr>
        </w:div>
        <w:div w:id="1049378619">
          <w:marLeft w:val="640"/>
          <w:marRight w:val="0"/>
          <w:marTop w:val="0"/>
          <w:marBottom w:val="0"/>
          <w:divBdr>
            <w:top w:val="none" w:sz="0" w:space="0" w:color="auto"/>
            <w:left w:val="none" w:sz="0" w:space="0" w:color="auto"/>
            <w:bottom w:val="none" w:sz="0" w:space="0" w:color="auto"/>
            <w:right w:val="none" w:sz="0" w:space="0" w:color="auto"/>
          </w:divBdr>
        </w:div>
        <w:div w:id="1247306566">
          <w:marLeft w:val="640"/>
          <w:marRight w:val="0"/>
          <w:marTop w:val="0"/>
          <w:marBottom w:val="0"/>
          <w:divBdr>
            <w:top w:val="none" w:sz="0" w:space="0" w:color="auto"/>
            <w:left w:val="none" w:sz="0" w:space="0" w:color="auto"/>
            <w:bottom w:val="none" w:sz="0" w:space="0" w:color="auto"/>
            <w:right w:val="none" w:sz="0" w:space="0" w:color="auto"/>
          </w:divBdr>
        </w:div>
        <w:div w:id="314799495">
          <w:marLeft w:val="640"/>
          <w:marRight w:val="0"/>
          <w:marTop w:val="0"/>
          <w:marBottom w:val="0"/>
          <w:divBdr>
            <w:top w:val="none" w:sz="0" w:space="0" w:color="auto"/>
            <w:left w:val="none" w:sz="0" w:space="0" w:color="auto"/>
            <w:bottom w:val="none" w:sz="0" w:space="0" w:color="auto"/>
            <w:right w:val="none" w:sz="0" w:space="0" w:color="auto"/>
          </w:divBdr>
        </w:div>
        <w:div w:id="2000649562">
          <w:marLeft w:val="640"/>
          <w:marRight w:val="0"/>
          <w:marTop w:val="0"/>
          <w:marBottom w:val="0"/>
          <w:divBdr>
            <w:top w:val="none" w:sz="0" w:space="0" w:color="auto"/>
            <w:left w:val="none" w:sz="0" w:space="0" w:color="auto"/>
            <w:bottom w:val="none" w:sz="0" w:space="0" w:color="auto"/>
            <w:right w:val="none" w:sz="0" w:space="0" w:color="auto"/>
          </w:divBdr>
        </w:div>
        <w:div w:id="252056849">
          <w:marLeft w:val="640"/>
          <w:marRight w:val="0"/>
          <w:marTop w:val="0"/>
          <w:marBottom w:val="0"/>
          <w:divBdr>
            <w:top w:val="none" w:sz="0" w:space="0" w:color="auto"/>
            <w:left w:val="none" w:sz="0" w:space="0" w:color="auto"/>
            <w:bottom w:val="none" w:sz="0" w:space="0" w:color="auto"/>
            <w:right w:val="none" w:sz="0" w:space="0" w:color="auto"/>
          </w:divBdr>
        </w:div>
        <w:div w:id="1290890967">
          <w:marLeft w:val="640"/>
          <w:marRight w:val="0"/>
          <w:marTop w:val="0"/>
          <w:marBottom w:val="0"/>
          <w:divBdr>
            <w:top w:val="none" w:sz="0" w:space="0" w:color="auto"/>
            <w:left w:val="none" w:sz="0" w:space="0" w:color="auto"/>
            <w:bottom w:val="none" w:sz="0" w:space="0" w:color="auto"/>
            <w:right w:val="none" w:sz="0" w:space="0" w:color="auto"/>
          </w:divBdr>
        </w:div>
        <w:div w:id="1729917424">
          <w:marLeft w:val="640"/>
          <w:marRight w:val="0"/>
          <w:marTop w:val="0"/>
          <w:marBottom w:val="0"/>
          <w:divBdr>
            <w:top w:val="none" w:sz="0" w:space="0" w:color="auto"/>
            <w:left w:val="none" w:sz="0" w:space="0" w:color="auto"/>
            <w:bottom w:val="none" w:sz="0" w:space="0" w:color="auto"/>
            <w:right w:val="none" w:sz="0" w:space="0" w:color="auto"/>
          </w:divBdr>
        </w:div>
        <w:div w:id="819539011">
          <w:marLeft w:val="640"/>
          <w:marRight w:val="0"/>
          <w:marTop w:val="0"/>
          <w:marBottom w:val="0"/>
          <w:divBdr>
            <w:top w:val="none" w:sz="0" w:space="0" w:color="auto"/>
            <w:left w:val="none" w:sz="0" w:space="0" w:color="auto"/>
            <w:bottom w:val="none" w:sz="0" w:space="0" w:color="auto"/>
            <w:right w:val="none" w:sz="0" w:space="0" w:color="auto"/>
          </w:divBdr>
        </w:div>
        <w:div w:id="350883698">
          <w:marLeft w:val="640"/>
          <w:marRight w:val="0"/>
          <w:marTop w:val="0"/>
          <w:marBottom w:val="0"/>
          <w:divBdr>
            <w:top w:val="none" w:sz="0" w:space="0" w:color="auto"/>
            <w:left w:val="none" w:sz="0" w:space="0" w:color="auto"/>
            <w:bottom w:val="none" w:sz="0" w:space="0" w:color="auto"/>
            <w:right w:val="none" w:sz="0" w:space="0" w:color="auto"/>
          </w:divBdr>
        </w:div>
        <w:div w:id="372849215">
          <w:marLeft w:val="640"/>
          <w:marRight w:val="0"/>
          <w:marTop w:val="0"/>
          <w:marBottom w:val="0"/>
          <w:divBdr>
            <w:top w:val="none" w:sz="0" w:space="0" w:color="auto"/>
            <w:left w:val="none" w:sz="0" w:space="0" w:color="auto"/>
            <w:bottom w:val="none" w:sz="0" w:space="0" w:color="auto"/>
            <w:right w:val="none" w:sz="0" w:space="0" w:color="auto"/>
          </w:divBdr>
        </w:div>
        <w:div w:id="566763385">
          <w:marLeft w:val="640"/>
          <w:marRight w:val="0"/>
          <w:marTop w:val="0"/>
          <w:marBottom w:val="0"/>
          <w:divBdr>
            <w:top w:val="none" w:sz="0" w:space="0" w:color="auto"/>
            <w:left w:val="none" w:sz="0" w:space="0" w:color="auto"/>
            <w:bottom w:val="none" w:sz="0" w:space="0" w:color="auto"/>
            <w:right w:val="none" w:sz="0" w:space="0" w:color="auto"/>
          </w:divBdr>
        </w:div>
        <w:div w:id="1950771140">
          <w:marLeft w:val="640"/>
          <w:marRight w:val="0"/>
          <w:marTop w:val="0"/>
          <w:marBottom w:val="0"/>
          <w:divBdr>
            <w:top w:val="none" w:sz="0" w:space="0" w:color="auto"/>
            <w:left w:val="none" w:sz="0" w:space="0" w:color="auto"/>
            <w:bottom w:val="none" w:sz="0" w:space="0" w:color="auto"/>
            <w:right w:val="none" w:sz="0" w:space="0" w:color="auto"/>
          </w:divBdr>
        </w:div>
        <w:div w:id="1975671131">
          <w:marLeft w:val="640"/>
          <w:marRight w:val="0"/>
          <w:marTop w:val="0"/>
          <w:marBottom w:val="0"/>
          <w:divBdr>
            <w:top w:val="none" w:sz="0" w:space="0" w:color="auto"/>
            <w:left w:val="none" w:sz="0" w:space="0" w:color="auto"/>
            <w:bottom w:val="none" w:sz="0" w:space="0" w:color="auto"/>
            <w:right w:val="none" w:sz="0" w:space="0" w:color="auto"/>
          </w:divBdr>
        </w:div>
        <w:div w:id="227805317">
          <w:marLeft w:val="640"/>
          <w:marRight w:val="0"/>
          <w:marTop w:val="0"/>
          <w:marBottom w:val="0"/>
          <w:divBdr>
            <w:top w:val="none" w:sz="0" w:space="0" w:color="auto"/>
            <w:left w:val="none" w:sz="0" w:space="0" w:color="auto"/>
            <w:bottom w:val="none" w:sz="0" w:space="0" w:color="auto"/>
            <w:right w:val="none" w:sz="0" w:space="0" w:color="auto"/>
          </w:divBdr>
        </w:div>
      </w:divsChild>
    </w:div>
    <w:div w:id="1465930298">
      <w:bodyDiv w:val="1"/>
      <w:marLeft w:val="0"/>
      <w:marRight w:val="0"/>
      <w:marTop w:val="0"/>
      <w:marBottom w:val="0"/>
      <w:divBdr>
        <w:top w:val="none" w:sz="0" w:space="0" w:color="auto"/>
        <w:left w:val="none" w:sz="0" w:space="0" w:color="auto"/>
        <w:bottom w:val="none" w:sz="0" w:space="0" w:color="auto"/>
        <w:right w:val="none" w:sz="0" w:space="0" w:color="auto"/>
      </w:divBdr>
    </w:div>
    <w:div w:id="1467628910">
      <w:bodyDiv w:val="1"/>
      <w:marLeft w:val="0"/>
      <w:marRight w:val="0"/>
      <w:marTop w:val="0"/>
      <w:marBottom w:val="0"/>
      <w:divBdr>
        <w:top w:val="none" w:sz="0" w:space="0" w:color="auto"/>
        <w:left w:val="none" w:sz="0" w:space="0" w:color="auto"/>
        <w:bottom w:val="none" w:sz="0" w:space="0" w:color="auto"/>
        <w:right w:val="none" w:sz="0" w:space="0" w:color="auto"/>
      </w:divBdr>
    </w:div>
    <w:div w:id="1468547118">
      <w:bodyDiv w:val="1"/>
      <w:marLeft w:val="0"/>
      <w:marRight w:val="0"/>
      <w:marTop w:val="0"/>
      <w:marBottom w:val="0"/>
      <w:divBdr>
        <w:top w:val="none" w:sz="0" w:space="0" w:color="auto"/>
        <w:left w:val="none" w:sz="0" w:space="0" w:color="auto"/>
        <w:bottom w:val="none" w:sz="0" w:space="0" w:color="auto"/>
        <w:right w:val="none" w:sz="0" w:space="0" w:color="auto"/>
      </w:divBdr>
    </w:div>
    <w:div w:id="1477071475">
      <w:bodyDiv w:val="1"/>
      <w:marLeft w:val="0"/>
      <w:marRight w:val="0"/>
      <w:marTop w:val="0"/>
      <w:marBottom w:val="0"/>
      <w:divBdr>
        <w:top w:val="none" w:sz="0" w:space="0" w:color="auto"/>
        <w:left w:val="none" w:sz="0" w:space="0" w:color="auto"/>
        <w:bottom w:val="none" w:sz="0" w:space="0" w:color="auto"/>
        <w:right w:val="none" w:sz="0" w:space="0" w:color="auto"/>
      </w:divBdr>
    </w:div>
    <w:div w:id="1479302295">
      <w:bodyDiv w:val="1"/>
      <w:marLeft w:val="0"/>
      <w:marRight w:val="0"/>
      <w:marTop w:val="0"/>
      <w:marBottom w:val="0"/>
      <w:divBdr>
        <w:top w:val="none" w:sz="0" w:space="0" w:color="auto"/>
        <w:left w:val="none" w:sz="0" w:space="0" w:color="auto"/>
        <w:bottom w:val="none" w:sz="0" w:space="0" w:color="auto"/>
        <w:right w:val="none" w:sz="0" w:space="0" w:color="auto"/>
      </w:divBdr>
    </w:div>
    <w:div w:id="1479376884">
      <w:bodyDiv w:val="1"/>
      <w:marLeft w:val="0"/>
      <w:marRight w:val="0"/>
      <w:marTop w:val="0"/>
      <w:marBottom w:val="0"/>
      <w:divBdr>
        <w:top w:val="none" w:sz="0" w:space="0" w:color="auto"/>
        <w:left w:val="none" w:sz="0" w:space="0" w:color="auto"/>
        <w:bottom w:val="none" w:sz="0" w:space="0" w:color="auto"/>
        <w:right w:val="none" w:sz="0" w:space="0" w:color="auto"/>
      </w:divBdr>
    </w:div>
    <w:div w:id="1479489743">
      <w:bodyDiv w:val="1"/>
      <w:marLeft w:val="0"/>
      <w:marRight w:val="0"/>
      <w:marTop w:val="0"/>
      <w:marBottom w:val="0"/>
      <w:divBdr>
        <w:top w:val="none" w:sz="0" w:space="0" w:color="auto"/>
        <w:left w:val="none" w:sz="0" w:space="0" w:color="auto"/>
        <w:bottom w:val="none" w:sz="0" w:space="0" w:color="auto"/>
        <w:right w:val="none" w:sz="0" w:space="0" w:color="auto"/>
      </w:divBdr>
    </w:div>
    <w:div w:id="1479685414">
      <w:bodyDiv w:val="1"/>
      <w:marLeft w:val="0"/>
      <w:marRight w:val="0"/>
      <w:marTop w:val="0"/>
      <w:marBottom w:val="0"/>
      <w:divBdr>
        <w:top w:val="none" w:sz="0" w:space="0" w:color="auto"/>
        <w:left w:val="none" w:sz="0" w:space="0" w:color="auto"/>
        <w:bottom w:val="none" w:sz="0" w:space="0" w:color="auto"/>
        <w:right w:val="none" w:sz="0" w:space="0" w:color="auto"/>
      </w:divBdr>
    </w:div>
    <w:div w:id="1482623259">
      <w:bodyDiv w:val="1"/>
      <w:marLeft w:val="0"/>
      <w:marRight w:val="0"/>
      <w:marTop w:val="0"/>
      <w:marBottom w:val="0"/>
      <w:divBdr>
        <w:top w:val="none" w:sz="0" w:space="0" w:color="auto"/>
        <w:left w:val="none" w:sz="0" w:space="0" w:color="auto"/>
        <w:bottom w:val="none" w:sz="0" w:space="0" w:color="auto"/>
        <w:right w:val="none" w:sz="0" w:space="0" w:color="auto"/>
      </w:divBdr>
    </w:div>
    <w:div w:id="1487358455">
      <w:bodyDiv w:val="1"/>
      <w:marLeft w:val="0"/>
      <w:marRight w:val="0"/>
      <w:marTop w:val="0"/>
      <w:marBottom w:val="0"/>
      <w:divBdr>
        <w:top w:val="none" w:sz="0" w:space="0" w:color="auto"/>
        <w:left w:val="none" w:sz="0" w:space="0" w:color="auto"/>
        <w:bottom w:val="none" w:sz="0" w:space="0" w:color="auto"/>
        <w:right w:val="none" w:sz="0" w:space="0" w:color="auto"/>
      </w:divBdr>
    </w:div>
    <w:div w:id="1490244183">
      <w:bodyDiv w:val="1"/>
      <w:marLeft w:val="0"/>
      <w:marRight w:val="0"/>
      <w:marTop w:val="0"/>
      <w:marBottom w:val="0"/>
      <w:divBdr>
        <w:top w:val="none" w:sz="0" w:space="0" w:color="auto"/>
        <w:left w:val="none" w:sz="0" w:space="0" w:color="auto"/>
        <w:bottom w:val="none" w:sz="0" w:space="0" w:color="auto"/>
        <w:right w:val="none" w:sz="0" w:space="0" w:color="auto"/>
      </w:divBdr>
    </w:div>
    <w:div w:id="1491092221">
      <w:bodyDiv w:val="1"/>
      <w:marLeft w:val="0"/>
      <w:marRight w:val="0"/>
      <w:marTop w:val="0"/>
      <w:marBottom w:val="0"/>
      <w:divBdr>
        <w:top w:val="none" w:sz="0" w:space="0" w:color="auto"/>
        <w:left w:val="none" w:sz="0" w:space="0" w:color="auto"/>
        <w:bottom w:val="none" w:sz="0" w:space="0" w:color="auto"/>
        <w:right w:val="none" w:sz="0" w:space="0" w:color="auto"/>
      </w:divBdr>
    </w:div>
    <w:div w:id="1491947267">
      <w:bodyDiv w:val="1"/>
      <w:marLeft w:val="0"/>
      <w:marRight w:val="0"/>
      <w:marTop w:val="0"/>
      <w:marBottom w:val="0"/>
      <w:divBdr>
        <w:top w:val="none" w:sz="0" w:space="0" w:color="auto"/>
        <w:left w:val="none" w:sz="0" w:space="0" w:color="auto"/>
        <w:bottom w:val="none" w:sz="0" w:space="0" w:color="auto"/>
        <w:right w:val="none" w:sz="0" w:space="0" w:color="auto"/>
      </w:divBdr>
    </w:div>
    <w:div w:id="1494099608">
      <w:bodyDiv w:val="1"/>
      <w:marLeft w:val="0"/>
      <w:marRight w:val="0"/>
      <w:marTop w:val="0"/>
      <w:marBottom w:val="0"/>
      <w:divBdr>
        <w:top w:val="none" w:sz="0" w:space="0" w:color="auto"/>
        <w:left w:val="none" w:sz="0" w:space="0" w:color="auto"/>
        <w:bottom w:val="none" w:sz="0" w:space="0" w:color="auto"/>
        <w:right w:val="none" w:sz="0" w:space="0" w:color="auto"/>
      </w:divBdr>
    </w:div>
    <w:div w:id="1494443277">
      <w:bodyDiv w:val="1"/>
      <w:marLeft w:val="0"/>
      <w:marRight w:val="0"/>
      <w:marTop w:val="0"/>
      <w:marBottom w:val="0"/>
      <w:divBdr>
        <w:top w:val="none" w:sz="0" w:space="0" w:color="auto"/>
        <w:left w:val="none" w:sz="0" w:space="0" w:color="auto"/>
        <w:bottom w:val="none" w:sz="0" w:space="0" w:color="auto"/>
        <w:right w:val="none" w:sz="0" w:space="0" w:color="auto"/>
      </w:divBdr>
    </w:div>
    <w:div w:id="1496145833">
      <w:bodyDiv w:val="1"/>
      <w:marLeft w:val="0"/>
      <w:marRight w:val="0"/>
      <w:marTop w:val="0"/>
      <w:marBottom w:val="0"/>
      <w:divBdr>
        <w:top w:val="none" w:sz="0" w:space="0" w:color="auto"/>
        <w:left w:val="none" w:sz="0" w:space="0" w:color="auto"/>
        <w:bottom w:val="none" w:sz="0" w:space="0" w:color="auto"/>
        <w:right w:val="none" w:sz="0" w:space="0" w:color="auto"/>
      </w:divBdr>
    </w:div>
    <w:div w:id="1498420819">
      <w:bodyDiv w:val="1"/>
      <w:marLeft w:val="0"/>
      <w:marRight w:val="0"/>
      <w:marTop w:val="0"/>
      <w:marBottom w:val="0"/>
      <w:divBdr>
        <w:top w:val="none" w:sz="0" w:space="0" w:color="auto"/>
        <w:left w:val="none" w:sz="0" w:space="0" w:color="auto"/>
        <w:bottom w:val="none" w:sz="0" w:space="0" w:color="auto"/>
        <w:right w:val="none" w:sz="0" w:space="0" w:color="auto"/>
      </w:divBdr>
    </w:div>
    <w:div w:id="1499227554">
      <w:bodyDiv w:val="1"/>
      <w:marLeft w:val="0"/>
      <w:marRight w:val="0"/>
      <w:marTop w:val="0"/>
      <w:marBottom w:val="0"/>
      <w:divBdr>
        <w:top w:val="none" w:sz="0" w:space="0" w:color="auto"/>
        <w:left w:val="none" w:sz="0" w:space="0" w:color="auto"/>
        <w:bottom w:val="none" w:sz="0" w:space="0" w:color="auto"/>
        <w:right w:val="none" w:sz="0" w:space="0" w:color="auto"/>
      </w:divBdr>
    </w:div>
    <w:div w:id="1499343003">
      <w:bodyDiv w:val="1"/>
      <w:marLeft w:val="0"/>
      <w:marRight w:val="0"/>
      <w:marTop w:val="0"/>
      <w:marBottom w:val="0"/>
      <w:divBdr>
        <w:top w:val="none" w:sz="0" w:space="0" w:color="auto"/>
        <w:left w:val="none" w:sz="0" w:space="0" w:color="auto"/>
        <w:bottom w:val="none" w:sz="0" w:space="0" w:color="auto"/>
        <w:right w:val="none" w:sz="0" w:space="0" w:color="auto"/>
      </w:divBdr>
    </w:div>
    <w:div w:id="1500541826">
      <w:bodyDiv w:val="1"/>
      <w:marLeft w:val="0"/>
      <w:marRight w:val="0"/>
      <w:marTop w:val="0"/>
      <w:marBottom w:val="0"/>
      <w:divBdr>
        <w:top w:val="none" w:sz="0" w:space="0" w:color="auto"/>
        <w:left w:val="none" w:sz="0" w:space="0" w:color="auto"/>
        <w:bottom w:val="none" w:sz="0" w:space="0" w:color="auto"/>
        <w:right w:val="none" w:sz="0" w:space="0" w:color="auto"/>
      </w:divBdr>
    </w:div>
    <w:div w:id="1502356245">
      <w:bodyDiv w:val="1"/>
      <w:marLeft w:val="0"/>
      <w:marRight w:val="0"/>
      <w:marTop w:val="0"/>
      <w:marBottom w:val="0"/>
      <w:divBdr>
        <w:top w:val="none" w:sz="0" w:space="0" w:color="auto"/>
        <w:left w:val="none" w:sz="0" w:space="0" w:color="auto"/>
        <w:bottom w:val="none" w:sz="0" w:space="0" w:color="auto"/>
        <w:right w:val="none" w:sz="0" w:space="0" w:color="auto"/>
      </w:divBdr>
    </w:div>
    <w:div w:id="1502501305">
      <w:bodyDiv w:val="1"/>
      <w:marLeft w:val="0"/>
      <w:marRight w:val="0"/>
      <w:marTop w:val="0"/>
      <w:marBottom w:val="0"/>
      <w:divBdr>
        <w:top w:val="none" w:sz="0" w:space="0" w:color="auto"/>
        <w:left w:val="none" w:sz="0" w:space="0" w:color="auto"/>
        <w:bottom w:val="none" w:sz="0" w:space="0" w:color="auto"/>
        <w:right w:val="none" w:sz="0" w:space="0" w:color="auto"/>
      </w:divBdr>
    </w:div>
    <w:div w:id="1502816085">
      <w:bodyDiv w:val="1"/>
      <w:marLeft w:val="0"/>
      <w:marRight w:val="0"/>
      <w:marTop w:val="0"/>
      <w:marBottom w:val="0"/>
      <w:divBdr>
        <w:top w:val="none" w:sz="0" w:space="0" w:color="auto"/>
        <w:left w:val="none" w:sz="0" w:space="0" w:color="auto"/>
        <w:bottom w:val="none" w:sz="0" w:space="0" w:color="auto"/>
        <w:right w:val="none" w:sz="0" w:space="0" w:color="auto"/>
      </w:divBdr>
    </w:div>
    <w:div w:id="1505239815">
      <w:bodyDiv w:val="1"/>
      <w:marLeft w:val="0"/>
      <w:marRight w:val="0"/>
      <w:marTop w:val="0"/>
      <w:marBottom w:val="0"/>
      <w:divBdr>
        <w:top w:val="none" w:sz="0" w:space="0" w:color="auto"/>
        <w:left w:val="none" w:sz="0" w:space="0" w:color="auto"/>
        <w:bottom w:val="none" w:sz="0" w:space="0" w:color="auto"/>
        <w:right w:val="none" w:sz="0" w:space="0" w:color="auto"/>
      </w:divBdr>
    </w:div>
    <w:div w:id="1509754509">
      <w:bodyDiv w:val="1"/>
      <w:marLeft w:val="0"/>
      <w:marRight w:val="0"/>
      <w:marTop w:val="0"/>
      <w:marBottom w:val="0"/>
      <w:divBdr>
        <w:top w:val="none" w:sz="0" w:space="0" w:color="auto"/>
        <w:left w:val="none" w:sz="0" w:space="0" w:color="auto"/>
        <w:bottom w:val="none" w:sz="0" w:space="0" w:color="auto"/>
        <w:right w:val="none" w:sz="0" w:space="0" w:color="auto"/>
      </w:divBdr>
    </w:div>
    <w:div w:id="1510099404">
      <w:bodyDiv w:val="1"/>
      <w:marLeft w:val="0"/>
      <w:marRight w:val="0"/>
      <w:marTop w:val="0"/>
      <w:marBottom w:val="0"/>
      <w:divBdr>
        <w:top w:val="none" w:sz="0" w:space="0" w:color="auto"/>
        <w:left w:val="none" w:sz="0" w:space="0" w:color="auto"/>
        <w:bottom w:val="none" w:sz="0" w:space="0" w:color="auto"/>
        <w:right w:val="none" w:sz="0" w:space="0" w:color="auto"/>
      </w:divBdr>
    </w:div>
    <w:div w:id="1511064508">
      <w:bodyDiv w:val="1"/>
      <w:marLeft w:val="0"/>
      <w:marRight w:val="0"/>
      <w:marTop w:val="0"/>
      <w:marBottom w:val="0"/>
      <w:divBdr>
        <w:top w:val="none" w:sz="0" w:space="0" w:color="auto"/>
        <w:left w:val="none" w:sz="0" w:space="0" w:color="auto"/>
        <w:bottom w:val="none" w:sz="0" w:space="0" w:color="auto"/>
        <w:right w:val="none" w:sz="0" w:space="0" w:color="auto"/>
      </w:divBdr>
    </w:div>
    <w:div w:id="1512258598">
      <w:bodyDiv w:val="1"/>
      <w:marLeft w:val="0"/>
      <w:marRight w:val="0"/>
      <w:marTop w:val="0"/>
      <w:marBottom w:val="0"/>
      <w:divBdr>
        <w:top w:val="none" w:sz="0" w:space="0" w:color="auto"/>
        <w:left w:val="none" w:sz="0" w:space="0" w:color="auto"/>
        <w:bottom w:val="none" w:sz="0" w:space="0" w:color="auto"/>
        <w:right w:val="none" w:sz="0" w:space="0" w:color="auto"/>
      </w:divBdr>
    </w:div>
    <w:div w:id="1514489039">
      <w:bodyDiv w:val="1"/>
      <w:marLeft w:val="0"/>
      <w:marRight w:val="0"/>
      <w:marTop w:val="0"/>
      <w:marBottom w:val="0"/>
      <w:divBdr>
        <w:top w:val="none" w:sz="0" w:space="0" w:color="auto"/>
        <w:left w:val="none" w:sz="0" w:space="0" w:color="auto"/>
        <w:bottom w:val="none" w:sz="0" w:space="0" w:color="auto"/>
        <w:right w:val="none" w:sz="0" w:space="0" w:color="auto"/>
      </w:divBdr>
    </w:div>
    <w:div w:id="1515420443">
      <w:bodyDiv w:val="1"/>
      <w:marLeft w:val="0"/>
      <w:marRight w:val="0"/>
      <w:marTop w:val="0"/>
      <w:marBottom w:val="0"/>
      <w:divBdr>
        <w:top w:val="none" w:sz="0" w:space="0" w:color="auto"/>
        <w:left w:val="none" w:sz="0" w:space="0" w:color="auto"/>
        <w:bottom w:val="none" w:sz="0" w:space="0" w:color="auto"/>
        <w:right w:val="none" w:sz="0" w:space="0" w:color="auto"/>
      </w:divBdr>
      <w:divsChild>
        <w:div w:id="1345008865">
          <w:marLeft w:val="640"/>
          <w:marRight w:val="0"/>
          <w:marTop w:val="0"/>
          <w:marBottom w:val="0"/>
          <w:divBdr>
            <w:top w:val="none" w:sz="0" w:space="0" w:color="auto"/>
            <w:left w:val="none" w:sz="0" w:space="0" w:color="auto"/>
            <w:bottom w:val="none" w:sz="0" w:space="0" w:color="auto"/>
            <w:right w:val="none" w:sz="0" w:space="0" w:color="auto"/>
          </w:divBdr>
        </w:div>
        <w:div w:id="976683442">
          <w:marLeft w:val="640"/>
          <w:marRight w:val="0"/>
          <w:marTop w:val="0"/>
          <w:marBottom w:val="0"/>
          <w:divBdr>
            <w:top w:val="none" w:sz="0" w:space="0" w:color="auto"/>
            <w:left w:val="none" w:sz="0" w:space="0" w:color="auto"/>
            <w:bottom w:val="none" w:sz="0" w:space="0" w:color="auto"/>
            <w:right w:val="none" w:sz="0" w:space="0" w:color="auto"/>
          </w:divBdr>
        </w:div>
        <w:div w:id="65960146">
          <w:marLeft w:val="640"/>
          <w:marRight w:val="0"/>
          <w:marTop w:val="0"/>
          <w:marBottom w:val="0"/>
          <w:divBdr>
            <w:top w:val="none" w:sz="0" w:space="0" w:color="auto"/>
            <w:left w:val="none" w:sz="0" w:space="0" w:color="auto"/>
            <w:bottom w:val="none" w:sz="0" w:space="0" w:color="auto"/>
            <w:right w:val="none" w:sz="0" w:space="0" w:color="auto"/>
          </w:divBdr>
        </w:div>
        <w:div w:id="1124734726">
          <w:marLeft w:val="640"/>
          <w:marRight w:val="0"/>
          <w:marTop w:val="0"/>
          <w:marBottom w:val="0"/>
          <w:divBdr>
            <w:top w:val="none" w:sz="0" w:space="0" w:color="auto"/>
            <w:left w:val="none" w:sz="0" w:space="0" w:color="auto"/>
            <w:bottom w:val="none" w:sz="0" w:space="0" w:color="auto"/>
            <w:right w:val="none" w:sz="0" w:space="0" w:color="auto"/>
          </w:divBdr>
        </w:div>
        <w:div w:id="1119683418">
          <w:marLeft w:val="640"/>
          <w:marRight w:val="0"/>
          <w:marTop w:val="0"/>
          <w:marBottom w:val="0"/>
          <w:divBdr>
            <w:top w:val="none" w:sz="0" w:space="0" w:color="auto"/>
            <w:left w:val="none" w:sz="0" w:space="0" w:color="auto"/>
            <w:bottom w:val="none" w:sz="0" w:space="0" w:color="auto"/>
            <w:right w:val="none" w:sz="0" w:space="0" w:color="auto"/>
          </w:divBdr>
        </w:div>
        <w:div w:id="520242378">
          <w:marLeft w:val="640"/>
          <w:marRight w:val="0"/>
          <w:marTop w:val="0"/>
          <w:marBottom w:val="0"/>
          <w:divBdr>
            <w:top w:val="none" w:sz="0" w:space="0" w:color="auto"/>
            <w:left w:val="none" w:sz="0" w:space="0" w:color="auto"/>
            <w:bottom w:val="none" w:sz="0" w:space="0" w:color="auto"/>
            <w:right w:val="none" w:sz="0" w:space="0" w:color="auto"/>
          </w:divBdr>
        </w:div>
        <w:div w:id="87191501">
          <w:marLeft w:val="640"/>
          <w:marRight w:val="0"/>
          <w:marTop w:val="0"/>
          <w:marBottom w:val="0"/>
          <w:divBdr>
            <w:top w:val="none" w:sz="0" w:space="0" w:color="auto"/>
            <w:left w:val="none" w:sz="0" w:space="0" w:color="auto"/>
            <w:bottom w:val="none" w:sz="0" w:space="0" w:color="auto"/>
            <w:right w:val="none" w:sz="0" w:space="0" w:color="auto"/>
          </w:divBdr>
        </w:div>
        <w:div w:id="867836430">
          <w:marLeft w:val="640"/>
          <w:marRight w:val="0"/>
          <w:marTop w:val="0"/>
          <w:marBottom w:val="0"/>
          <w:divBdr>
            <w:top w:val="none" w:sz="0" w:space="0" w:color="auto"/>
            <w:left w:val="none" w:sz="0" w:space="0" w:color="auto"/>
            <w:bottom w:val="none" w:sz="0" w:space="0" w:color="auto"/>
            <w:right w:val="none" w:sz="0" w:space="0" w:color="auto"/>
          </w:divBdr>
        </w:div>
        <w:div w:id="182518036">
          <w:marLeft w:val="640"/>
          <w:marRight w:val="0"/>
          <w:marTop w:val="0"/>
          <w:marBottom w:val="0"/>
          <w:divBdr>
            <w:top w:val="none" w:sz="0" w:space="0" w:color="auto"/>
            <w:left w:val="none" w:sz="0" w:space="0" w:color="auto"/>
            <w:bottom w:val="none" w:sz="0" w:space="0" w:color="auto"/>
            <w:right w:val="none" w:sz="0" w:space="0" w:color="auto"/>
          </w:divBdr>
        </w:div>
        <w:div w:id="1786194503">
          <w:marLeft w:val="640"/>
          <w:marRight w:val="0"/>
          <w:marTop w:val="0"/>
          <w:marBottom w:val="0"/>
          <w:divBdr>
            <w:top w:val="none" w:sz="0" w:space="0" w:color="auto"/>
            <w:left w:val="none" w:sz="0" w:space="0" w:color="auto"/>
            <w:bottom w:val="none" w:sz="0" w:space="0" w:color="auto"/>
            <w:right w:val="none" w:sz="0" w:space="0" w:color="auto"/>
          </w:divBdr>
        </w:div>
        <w:div w:id="1835414121">
          <w:marLeft w:val="640"/>
          <w:marRight w:val="0"/>
          <w:marTop w:val="0"/>
          <w:marBottom w:val="0"/>
          <w:divBdr>
            <w:top w:val="none" w:sz="0" w:space="0" w:color="auto"/>
            <w:left w:val="none" w:sz="0" w:space="0" w:color="auto"/>
            <w:bottom w:val="none" w:sz="0" w:space="0" w:color="auto"/>
            <w:right w:val="none" w:sz="0" w:space="0" w:color="auto"/>
          </w:divBdr>
        </w:div>
        <w:div w:id="1986854954">
          <w:marLeft w:val="640"/>
          <w:marRight w:val="0"/>
          <w:marTop w:val="0"/>
          <w:marBottom w:val="0"/>
          <w:divBdr>
            <w:top w:val="none" w:sz="0" w:space="0" w:color="auto"/>
            <w:left w:val="none" w:sz="0" w:space="0" w:color="auto"/>
            <w:bottom w:val="none" w:sz="0" w:space="0" w:color="auto"/>
            <w:right w:val="none" w:sz="0" w:space="0" w:color="auto"/>
          </w:divBdr>
        </w:div>
        <w:div w:id="1686906707">
          <w:marLeft w:val="640"/>
          <w:marRight w:val="0"/>
          <w:marTop w:val="0"/>
          <w:marBottom w:val="0"/>
          <w:divBdr>
            <w:top w:val="none" w:sz="0" w:space="0" w:color="auto"/>
            <w:left w:val="none" w:sz="0" w:space="0" w:color="auto"/>
            <w:bottom w:val="none" w:sz="0" w:space="0" w:color="auto"/>
            <w:right w:val="none" w:sz="0" w:space="0" w:color="auto"/>
          </w:divBdr>
        </w:div>
        <w:div w:id="763694090">
          <w:marLeft w:val="640"/>
          <w:marRight w:val="0"/>
          <w:marTop w:val="0"/>
          <w:marBottom w:val="0"/>
          <w:divBdr>
            <w:top w:val="none" w:sz="0" w:space="0" w:color="auto"/>
            <w:left w:val="none" w:sz="0" w:space="0" w:color="auto"/>
            <w:bottom w:val="none" w:sz="0" w:space="0" w:color="auto"/>
            <w:right w:val="none" w:sz="0" w:space="0" w:color="auto"/>
          </w:divBdr>
        </w:div>
        <w:div w:id="1911042251">
          <w:marLeft w:val="640"/>
          <w:marRight w:val="0"/>
          <w:marTop w:val="0"/>
          <w:marBottom w:val="0"/>
          <w:divBdr>
            <w:top w:val="none" w:sz="0" w:space="0" w:color="auto"/>
            <w:left w:val="none" w:sz="0" w:space="0" w:color="auto"/>
            <w:bottom w:val="none" w:sz="0" w:space="0" w:color="auto"/>
            <w:right w:val="none" w:sz="0" w:space="0" w:color="auto"/>
          </w:divBdr>
        </w:div>
        <w:div w:id="1623000277">
          <w:marLeft w:val="640"/>
          <w:marRight w:val="0"/>
          <w:marTop w:val="0"/>
          <w:marBottom w:val="0"/>
          <w:divBdr>
            <w:top w:val="none" w:sz="0" w:space="0" w:color="auto"/>
            <w:left w:val="none" w:sz="0" w:space="0" w:color="auto"/>
            <w:bottom w:val="none" w:sz="0" w:space="0" w:color="auto"/>
            <w:right w:val="none" w:sz="0" w:space="0" w:color="auto"/>
          </w:divBdr>
        </w:div>
        <w:div w:id="1621839869">
          <w:marLeft w:val="640"/>
          <w:marRight w:val="0"/>
          <w:marTop w:val="0"/>
          <w:marBottom w:val="0"/>
          <w:divBdr>
            <w:top w:val="none" w:sz="0" w:space="0" w:color="auto"/>
            <w:left w:val="none" w:sz="0" w:space="0" w:color="auto"/>
            <w:bottom w:val="none" w:sz="0" w:space="0" w:color="auto"/>
            <w:right w:val="none" w:sz="0" w:space="0" w:color="auto"/>
          </w:divBdr>
        </w:div>
        <w:div w:id="1212837842">
          <w:marLeft w:val="640"/>
          <w:marRight w:val="0"/>
          <w:marTop w:val="0"/>
          <w:marBottom w:val="0"/>
          <w:divBdr>
            <w:top w:val="none" w:sz="0" w:space="0" w:color="auto"/>
            <w:left w:val="none" w:sz="0" w:space="0" w:color="auto"/>
            <w:bottom w:val="none" w:sz="0" w:space="0" w:color="auto"/>
            <w:right w:val="none" w:sz="0" w:space="0" w:color="auto"/>
          </w:divBdr>
        </w:div>
        <w:div w:id="1696155208">
          <w:marLeft w:val="640"/>
          <w:marRight w:val="0"/>
          <w:marTop w:val="0"/>
          <w:marBottom w:val="0"/>
          <w:divBdr>
            <w:top w:val="none" w:sz="0" w:space="0" w:color="auto"/>
            <w:left w:val="none" w:sz="0" w:space="0" w:color="auto"/>
            <w:bottom w:val="none" w:sz="0" w:space="0" w:color="auto"/>
            <w:right w:val="none" w:sz="0" w:space="0" w:color="auto"/>
          </w:divBdr>
        </w:div>
        <w:div w:id="1118328979">
          <w:marLeft w:val="640"/>
          <w:marRight w:val="0"/>
          <w:marTop w:val="0"/>
          <w:marBottom w:val="0"/>
          <w:divBdr>
            <w:top w:val="none" w:sz="0" w:space="0" w:color="auto"/>
            <w:left w:val="none" w:sz="0" w:space="0" w:color="auto"/>
            <w:bottom w:val="none" w:sz="0" w:space="0" w:color="auto"/>
            <w:right w:val="none" w:sz="0" w:space="0" w:color="auto"/>
          </w:divBdr>
        </w:div>
        <w:div w:id="777212415">
          <w:marLeft w:val="640"/>
          <w:marRight w:val="0"/>
          <w:marTop w:val="0"/>
          <w:marBottom w:val="0"/>
          <w:divBdr>
            <w:top w:val="none" w:sz="0" w:space="0" w:color="auto"/>
            <w:left w:val="none" w:sz="0" w:space="0" w:color="auto"/>
            <w:bottom w:val="none" w:sz="0" w:space="0" w:color="auto"/>
            <w:right w:val="none" w:sz="0" w:space="0" w:color="auto"/>
          </w:divBdr>
        </w:div>
        <w:div w:id="1273199090">
          <w:marLeft w:val="640"/>
          <w:marRight w:val="0"/>
          <w:marTop w:val="0"/>
          <w:marBottom w:val="0"/>
          <w:divBdr>
            <w:top w:val="none" w:sz="0" w:space="0" w:color="auto"/>
            <w:left w:val="none" w:sz="0" w:space="0" w:color="auto"/>
            <w:bottom w:val="none" w:sz="0" w:space="0" w:color="auto"/>
            <w:right w:val="none" w:sz="0" w:space="0" w:color="auto"/>
          </w:divBdr>
        </w:div>
        <w:div w:id="1804807191">
          <w:marLeft w:val="640"/>
          <w:marRight w:val="0"/>
          <w:marTop w:val="0"/>
          <w:marBottom w:val="0"/>
          <w:divBdr>
            <w:top w:val="none" w:sz="0" w:space="0" w:color="auto"/>
            <w:left w:val="none" w:sz="0" w:space="0" w:color="auto"/>
            <w:bottom w:val="none" w:sz="0" w:space="0" w:color="auto"/>
            <w:right w:val="none" w:sz="0" w:space="0" w:color="auto"/>
          </w:divBdr>
        </w:div>
        <w:div w:id="96369089">
          <w:marLeft w:val="640"/>
          <w:marRight w:val="0"/>
          <w:marTop w:val="0"/>
          <w:marBottom w:val="0"/>
          <w:divBdr>
            <w:top w:val="none" w:sz="0" w:space="0" w:color="auto"/>
            <w:left w:val="none" w:sz="0" w:space="0" w:color="auto"/>
            <w:bottom w:val="none" w:sz="0" w:space="0" w:color="auto"/>
            <w:right w:val="none" w:sz="0" w:space="0" w:color="auto"/>
          </w:divBdr>
        </w:div>
        <w:div w:id="42556940">
          <w:marLeft w:val="640"/>
          <w:marRight w:val="0"/>
          <w:marTop w:val="0"/>
          <w:marBottom w:val="0"/>
          <w:divBdr>
            <w:top w:val="none" w:sz="0" w:space="0" w:color="auto"/>
            <w:left w:val="none" w:sz="0" w:space="0" w:color="auto"/>
            <w:bottom w:val="none" w:sz="0" w:space="0" w:color="auto"/>
            <w:right w:val="none" w:sz="0" w:space="0" w:color="auto"/>
          </w:divBdr>
        </w:div>
        <w:div w:id="681593416">
          <w:marLeft w:val="640"/>
          <w:marRight w:val="0"/>
          <w:marTop w:val="0"/>
          <w:marBottom w:val="0"/>
          <w:divBdr>
            <w:top w:val="none" w:sz="0" w:space="0" w:color="auto"/>
            <w:left w:val="none" w:sz="0" w:space="0" w:color="auto"/>
            <w:bottom w:val="none" w:sz="0" w:space="0" w:color="auto"/>
            <w:right w:val="none" w:sz="0" w:space="0" w:color="auto"/>
          </w:divBdr>
        </w:div>
        <w:div w:id="1219777423">
          <w:marLeft w:val="640"/>
          <w:marRight w:val="0"/>
          <w:marTop w:val="0"/>
          <w:marBottom w:val="0"/>
          <w:divBdr>
            <w:top w:val="none" w:sz="0" w:space="0" w:color="auto"/>
            <w:left w:val="none" w:sz="0" w:space="0" w:color="auto"/>
            <w:bottom w:val="none" w:sz="0" w:space="0" w:color="auto"/>
            <w:right w:val="none" w:sz="0" w:space="0" w:color="auto"/>
          </w:divBdr>
        </w:div>
        <w:div w:id="655106992">
          <w:marLeft w:val="640"/>
          <w:marRight w:val="0"/>
          <w:marTop w:val="0"/>
          <w:marBottom w:val="0"/>
          <w:divBdr>
            <w:top w:val="none" w:sz="0" w:space="0" w:color="auto"/>
            <w:left w:val="none" w:sz="0" w:space="0" w:color="auto"/>
            <w:bottom w:val="none" w:sz="0" w:space="0" w:color="auto"/>
            <w:right w:val="none" w:sz="0" w:space="0" w:color="auto"/>
          </w:divBdr>
        </w:div>
        <w:div w:id="720784565">
          <w:marLeft w:val="640"/>
          <w:marRight w:val="0"/>
          <w:marTop w:val="0"/>
          <w:marBottom w:val="0"/>
          <w:divBdr>
            <w:top w:val="none" w:sz="0" w:space="0" w:color="auto"/>
            <w:left w:val="none" w:sz="0" w:space="0" w:color="auto"/>
            <w:bottom w:val="none" w:sz="0" w:space="0" w:color="auto"/>
            <w:right w:val="none" w:sz="0" w:space="0" w:color="auto"/>
          </w:divBdr>
        </w:div>
        <w:div w:id="1202481234">
          <w:marLeft w:val="640"/>
          <w:marRight w:val="0"/>
          <w:marTop w:val="0"/>
          <w:marBottom w:val="0"/>
          <w:divBdr>
            <w:top w:val="none" w:sz="0" w:space="0" w:color="auto"/>
            <w:left w:val="none" w:sz="0" w:space="0" w:color="auto"/>
            <w:bottom w:val="none" w:sz="0" w:space="0" w:color="auto"/>
            <w:right w:val="none" w:sz="0" w:space="0" w:color="auto"/>
          </w:divBdr>
        </w:div>
        <w:div w:id="706562266">
          <w:marLeft w:val="640"/>
          <w:marRight w:val="0"/>
          <w:marTop w:val="0"/>
          <w:marBottom w:val="0"/>
          <w:divBdr>
            <w:top w:val="none" w:sz="0" w:space="0" w:color="auto"/>
            <w:left w:val="none" w:sz="0" w:space="0" w:color="auto"/>
            <w:bottom w:val="none" w:sz="0" w:space="0" w:color="auto"/>
            <w:right w:val="none" w:sz="0" w:space="0" w:color="auto"/>
          </w:divBdr>
        </w:div>
        <w:div w:id="1682779111">
          <w:marLeft w:val="640"/>
          <w:marRight w:val="0"/>
          <w:marTop w:val="0"/>
          <w:marBottom w:val="0"/>
          <w:divBdr>
            <w:top w:val="none" w:sz="0" w:space="0" w:color="auto"/>
            <w:left w:val="none" w:sz="0" w:space="0" w:color="auto"/>
            <w:bottom w:val="none" w:sz="0" w:space="0" w:color="auto"/>
            <w:right w:val="none" w:sz="0" w:space="0" w:color="auto"/>
          </w:divBdr>
        </w:div>
        <w:div w:id="1287850226">
          <w:marLeft w:val="640"/>
          <w:marRight w:val="0"/>
          <w:marTop w:val="0"/>
          <w:marBottom w:val="0"/>
          <w:divBdr>
            <w:top w:val="none" w:sz="0" w:space="0" w:color="auto"/>
            <w:left w:val="none" w:sz="0" w:space="0" w:color="auto"/>
            <w:bottom w:val="none" w:sz="0" w:space="0" w:color="auto"/>
            <w:right w:val="none" w:sz="0" w:space="0" w:color="auto"/>
          </w:divBdr>
        </w:div>
        <w:div w:id="621811565">
          <w:marLeft w:val="640"/>
          <w:marRight w:val="0"/>
          <w:marTop w:val="0"/>
          <w:marBottom w:val="0"/>
          <w:divBdr>
            <w:top w:val="none" w:sz="0" w:space="0" w:color="auto"/>
            <w:left w:val="none" w:sz="0" w:space="0" w:color="auto"/>
            <w:bottom w:val="none" w:sz="0" w:space="0" w:color="auto"/>
            <w:right w:val="none" w:sz="0" w:space="0" w:color="auto"/>
          </w:divBdr>
        </w:div>
        <w:div w:id="842011089">
          <w:marLeft w:val="640"/>
          <w:marRight w:val="0"/>
          <w:marTop w:val="0"/>
          <w:marBottom w:val="0"/>
          <w:divBdr>
            <w:top w:val="none" w:sz="0" w:space="0" w:color="auto"/>
            <w:left w:val="none" w:sz="0" w:space="0" w:color="auto"/>
            <w:bottom w:val="none" w:sz="0" w:space="0" w:color="auto"/>
            <w:right w:val="none" w:sz="0" w:space="0" w:color="auto"/>
          </w:divBdr>
        </w:div>
        <w:div w:id="223957111">
          <w:marLeft w:val="640"/>
          <w:marRight w:val="0"/>
          <w:marTop w:val="0"/>
          <w:marBottom w:val="0"/>
          <w:divBdr>
            <w:top w:val="none" w:sz="0" w:space="0" w:color="auto"/>
            <w:left w:val="none" w:sz="0" w:space="0" w:color="auto"/>
            <w:bottom w:val="none" w:sz="0" w:space="0" w:color="auto"/>
            <w:right w:val="none" w:sz="0" w:space="0" w:color="auto"/>
          </w:divBdr>
        </w:div>
        <w:div w:id="32001298">
          <w:marLeft w:val="640"/>
          <w:marRight w:val="0"/>
          <w:marTop w:val="0"/>
          <w:marBottom w:val="0"/>
          <w:divBdr>
            <w:top w:val="none" w:sz="0" w:space="0" w:color="auto"/>
            <w:left w:val="none" w:sz="0" w:space="0" w:color="auto"/>
            <w:bottom w:val="none" w:sz="0" w:space="0" w:color="auto"/>
            <w:right w:val="none" w:sz="0" w:space="0" w:color="auto"/>
          </w:divBdr>
        </w:div>
        <w:div w:id="1567643080">
          <w:marLeft w:val="640"/>
          <w:marRight w:val="0"/>
          <w:marTop w:val="0"/>
          <w:marBottom w:val="0"/>
          <w:divBdr>
            <w:top w:val="none" w:sz="0" w:space="0" w:color="auto"/>
            <w:left w:val="none" w:sz="0" w:space="0" w:color="auto"/>
            <w:bottom w:val="none" w:sz="0" w:space="0" w:color="auto"/>
            <w:right w:val="none" w:sz="0" w:space="0" w:color="auto"/>
          </w:divBdr>
        </w:div>
        <w:div w:id="1964114172">
          <w:marLeft w:val="640"/>
          <w:marRight w:val="0"/>
          <w:marTop w:val="0"/>
          <w:marBottom w:val="0"/>
          <w:divBdr>
            <w:top w:val="none" w:sz="0" w:space="0" w:color="auto"/>
            <w:left w:val="none" w:sz="0" w:space="0" w:color="auto"/>
            <w:bottom w:val="none" w:sz="0" w:space="0" w:color="auto"/>
            <w:right w:val="none" w:sz="0" w:space="0" w:color="auto"/>
          </w:divBdr>
        </w:div>
        <w:div w:id="1074165713">
          <w:marLeft w:val="640"/>
          <w:marRight w:val="0"/>
          <w:marTop w:val="0"/>
          <w:marBottom w:val="0"/>
          <w:divBdr>
            <w:top w:val="none" w:sz="0" w:space="0" w:color="auto"/>
            <w:left w:val="none" w:sz="0" w:space="0" w:color="auto"/>
            <w:bottom w:val="none" w:sz="0" w:space="0" w:color="auto"/>
            <w:right w:val="none" w:sz="0" w:space="0" w:color="auto"/>
          </w:divBdr>
        </w:div>
        <w:div w:id="1006790277">
          <w:marLeft w:val="640"/>
          <w:marRight w:val="0"/>
          <w:marTop w:val="0"/>
          <w:marBottom w:val="0"/>
          <w:divBdr>
            <w:top w:val="none" w:sz="0" w:space="0" w:color="auto"/>
            <w:left w:val="none" w:sz="0" w:space="0" w:color="auto"/>
            <w:bottom w:val="none" w:sz="0" w:space="0" w:color="auto"/>
            <w:right w:val="none" w:sz="0" w:space="0" w:color="auto"/>
          </w:divBdr>
        </w:div>
        <w:div w:id="425225534">
          <w:marLeft w:val="640"/>
          <w:marRight w:val="0"/>
          <w:marTop w:val="0"/>
          <w:marBottom w:val="0"/>
          <w:divBdr>
            <w:top w:val="none" w:sz="0" w:space="0" w:color="auto"/>
            <w:left w:val="none" w:sz="0" w:space="0" w:color="auto"/>
            <w:bottom w:val="none" w:sz="0" w:space="0" w:color="auto"/>
            <w:right w:val="none" w:sz="0" w:space="0" w:color="auto"/>
          </w:divBdr>
        </w:div>
        <w:div w:id="484012671">
          <w:marLeft w:val="640"/>
          <w:marRight w:val="0"/>
          <w:marTop w:val="0"/>
          <w:marBottom w:val="0"/>
          <w:divBdr>
            <w:top w:val="none" w:sz="0" w:space="0" w:color="auto"/>
            <w:left w:val="none" w:sz="0" w:space="0" w:color="auto"/>
            <w:bottom w:val="none" w:sz="0" w:space="0" w:color="auto"/>
            <w:right w:val="none" w:sz="0" w:space="0" w:color="auto"/>
          </w:divBdr>
        </w:div>
        <w:div w:id="405881841">
          <w:marLeft w:val="640"/>
          <w:marRight w:val="0"/>
          <w:marTop w:val="0"/>
          <w:marBottom w:val="0"/>
          <w:divBdr>
            <w:top w:val="none" w:sz="0" w:space="0" w:color="auto"/>
            <w:left w:val="none" w:sz="0" w:space="0" w:color="auto"/>
            <w:bottom w:val="none" w:sz="0" w:space="0" w:color="auto"/>
            <w:right w:val="none" w:sz="0" w:space="0" w:color="auto"/>
          </w:divBdr>
        </w:div>
        <w:div w:id="249395377">
          <w:marLeft w:val="640"/>
          <w:marRight w:val="0"/>
          <w:marTop w:val="0"/>
          <w:marBottom w:val="0"/>
          <w:divBdr>
            <w:top w:val="none" w:sz="0" w:space="0" w:color="auto"/>
            <w:left w:val="none" w:sz="0" w:space="0" w:color="auto"/>
            <w:bottom w:val="none" w:sz="0" w:space="0" w:color="auto"/>
            <w:right w:val="none" w:sz="0" w:space="0" w:color="auto"/>
          </w:divBdr>
        </w:div>
        <w:div w:id="1020350408">
          <w:marLeft w:val="640"/>
          <w:marRight w:val="0"/>
          <w:marTop w:val="0"/>
          <w:marBottom w:val="0"/>
          <w:divBdr>
            <w:top w:val="none" w:sz="0" w:space="0" w:color="auto"/>
            <w:left w:val="none" w:sz="0" w:space="0" w:color="auto"/>
            <w:bottom w:val="none" w:sz="0" w:space="0" w:color="auto"/>
            <w:right w:val="none" w:sz="0" w:space="0" w:color="auto"/>
          </w:divBdr>
        </w:div>
        <w:div w:id="1510562650">
          <w:marLeft w:val="640"/>
          <w:marRight w:val="0"/>
          <w:marTop w:val="0"/>
          <w:marBottom w:val="0"/>
          <w:divBdr>
            <w:top w:val="none" w:sz="0" w:space="0" w:color="auto"/>
            <w:left w:val="none" w:sz="0" w:space="0" w:color="auto"/>
            <w:bottom w:val="none" w:sz="0" w:space="0" w:color="auto"/>
            <w:right w:val="none" w:sz="0" w:space="0" w:color="auto"/>
          </w:divBdr>
        </w:div>
        <w:div w:id="1053581306">
          <w:marLeft w:val="640"/>
          <w:marRight w:val="0"/>
          <w:marTop w:val="0"/>
          <w:marBottom w:val="0"/>
          <w:divBdr>
            <w:top w:val="none" w:sz="0" w:space="0" w:color="auto"/>
            <w:left w:val="none" w:sz="0" w:space="0" w:color="auto"/>
            <w:bottom w:val="none" w:sz="0" w:space="0" w:color="auto"/>
            <w:right w:val="none" w:sz="0" w:space="0" w:color="auto"/>
          </w:divBdr>
        </w:div>
        <w:div w:id="361979833">
          <w:marLeft w:val="640"/>
          <w:marRight w:val="0"/>
          <w:marTop w:val="0"/>
          <w:marBottom w:val="0"/>
          <w:divBdr>
            <w:top w:val="none" w:sz="0" w:space="0" w:color="auto"/>
            <w:left w:val="none" w:sz="0" w:space="0" w:color="auto"/>
            <w:bottom w:val="none" w:sz="0" w:space="0" w:color="auto"/>
            <w:right w:val="none" w:sz="0" w:space="0" w:color="auto"/>
          </w:divBdr>
        </w:div>
        <w:div w:id="1326742387">
          <w:marLeft w:val="640"/>
          <w:marRight w:val="0"/>
          <w:marTop w:val="0"/>
          <w:marBottom w:val="0"/>
          <w:divBdr>
            <w:top w:val="none" w:sz="0" w:space="0" w:color="auto"/>
            <w:left w:val="none" w:sz="0" w:space="0" w:color="auto"/>
            <w:bottom w:val="none" w:sz="0" w:space="0" w:color="auto"/>
            <w:right w:val="none" w:sz="0" w:space="0" w:color="auto"/>
          </w:divBdr>
        </w:div>
        <w:div w:id="513805842">
          <w:marLeft w:val="640"/>
          <w:marRight w:val="0"/>
          <w:marTop w:val="0"/>
          <w:marBottom w:val="0"/>
          <w:divBdr>
            <w:top w:val="none" w:sz="0" w:space="0" w:color="auto"/>
            <w:left w:val="none" w:sz="0" w:space="0" w:color="auto"/>
            <w:bottom w:val="none" w:sz="0" w:space="0" w:color="auto"/>
            <w:right w:val="none" w:sz="0" w:space="0" w:color="auto"/>
          </w:divBdr>
        </w:div>
        <w:div w:id="1522889728">
          <w:marLeft w:val="640"/>
          <w:marRight w:val="0"/>
          <w:marTop w:val="0"/>
          <w:marBottom w:val="0"/>
          <w:divBdr>
            <w:top w:val="none" w:sz="0" w:space="0" w:color="auto"/>
            <w:left w:val="none" w:sz="0" w:space="0" w:color="auto"/>
            <w:bottom w:val="none" w:sz="0" w:space="0" w:color="auto"/>
            <w:right w:val="none" w:sz="0" w:space="0" w:color="auto"/>
          </w:divBdr>
        </w:div>
        <w:div w:id="1400984518">
          <w:marLeft w:val="640"/>
          <w:marRight w:val="0"/>
          <w:marTop w:val="0"/>
          <w:marBottom w:val="0"/>
          <w:divBdr>
            <w:top w:val="none" w:sz="0" w:space="0" w:color="auto"/>
            <w:left w:val="none" w:sz="0" w:space="0" w:color="auto"/>
            <w:bottom w:val="none" w:sz="0" w:space="0" w:color="auto"/>
            <w:right w:val="none" w:sz="0" w:space="0" w:color="auto"/>
          </w:divBdr>
        </w:div>
        <w:div w:id="2127120134">
          <w:marLeft w:val="640"/>
          <w:marRight w:val="0"/>
          <w:marTop w:val="0"/>
          <w:marBottom w:val="0"/>
          <w:divBdr>
            <w:top w:val="none" w:sz="0" w:space="0" w:color="auto"/>
            <w:left w:val="none" w:sz="0" w:space="0" w:color="auto"/>
            <w:bottom w:val="none" w:sz="0" w:space="0" w:color="auto"/>
            <w:right w:val="none" w:sz="0" w:space="0" w:color="auto"/>
          </w:divBdr>
        </w:div>
        <w:div w:id="1159074589">
          <w:marLeft w:val="640"/>
          <w:marRight w:val="0"/>
          <w:marTop w:val="0"/>
          <w:marBottom w:val="0"/>
          <w:divBdr>
            <w:top w:val="none" w:sz="0" w:space="0" w:color="auto"/>
            <w:left w:val="none" w:sz="0" w:space="0" w:color="auto"/>
            <w:bottom w:val="none" w:sz="0" w:space="0" w:color="auto"/>
            <w:right w:val="none" w:sz="0" w:space="0" w:color="auto"/>
          </w:divBdr>
        </w:div>
        <w:div w:id="1191800349">
          <w:marLeft w:val="640"/>
          <w:marRight w:val="0"/>
          <w:marTop w:val="0"/>
          <w:marBottom w:val="0"/>
          <w:divBdr>
            <w:top w:val="none" w:sz="0" w:space="0" w:color="auto"/>
            <w:left w:val="none" w:sz="0" w:space="0" w:color="auto"/>
            <w:bottom w:val="none" w:sz="0" w:space="0" w:color="auto"/>
            <w:right w:val="none" w:sz="0" w:space="0" w:color="auto"/>
          </w:divBdr>
        </w:div>
        <w:div w:id="1844856048">
          <w:marLeft w:val="640"/>
          <w:marRight w:val="0"/>
          <w:marTop w:val="0"/>
          <w:marBottom w:val="0"/>
          <w:divBdr>
            <w:top w:val="none" w:sz="0" w:space="0" w:color="auto"/>
            <w:left w:val="none" w:sz="0" w:space="0" w:color="auto"/>
            <w:bottom w:val="none" w:sz="0" w:space="0" w:color="auto"/>
            <w:right w:val="none" w:sz="0" w:space="0" w:color="auto"/>
          </w:divBdr>
        </w:div>
        <w:div w:id="1133671158">
          <w:marLeft w:val="640"/>
          <w:marRight w:val="0"/>
          <w:marTop w:val="0"/>
          <w:marBottom w:val="0"/>
          <w:divBdr>
            <w:top w:val="none" w:sz="0" w:space="0" w:color="auto"/>
            <w:left w:val="none" w:sz="0" w:space="0" w:color="auto"/>
            <w:bottom w:val="none" w:sz="0" w:space="0" w:color="auto"/>
            <w:right w:val="none" w:sz="0" w:space="0" w:color="auto"/>
          </w:divBdr>
        </w:div>
        <w:div w:id="8065773">
          <w:marLeft w:val="640"/>
          <w:marRight w:val="0"/>
          <w:marTop w:val="0"/>
          <w:marBottom w:val="0"/>
          <w:divBdr>
            <w:top w:val="none" w:sz="0" w:space="0" w:color="auto"/>
            <w:left w:val="none" w:sz="0" w:space="0" w:color="auto"/>
            <w:bottom w:val="none" w:sz="0" w:space="0" w:color="auto"/>
            <w:right w:val="none" w:sz="0" w:space="0" w:color="auto"/>
          </w:divBdr>
        </w:div>
        <w:div w:id="329792277">
          <w:marLeft w:val="640"/>
          <w:marRight w:val="0"/>
          <w:marTop w:val="0"/>
          <w:marBottom w:val="0"/>
          <w:divBdr>
            <w:top w:val="none" w:sz="0" w:space="0" w:color="auto"/>
            <w:left w:val="none" w:sz="0" w:space="0" w:color="auto"/>
            <w:bottom w:val="none" w:sz="0" w:space="0" w:color="auto"/>
            <w:right w:val="none" w:sz="0" w:space="0" w:color="auto"/>
          </w:divBdr>
        </w:div>
        <w:div w:id="908734336">
          <w:marLeft w:val="640"/>
          <w:marRight w:val="0"/>
          <w:marTop w:val="0"/>
          <w:marBottom w:val="0"/>
          <w:divBdr>
            <w:top w:val="none" w:sz="0" w:space="0" w:color="auto"/>
            <w:left w:val="none" w:sz="0" w:space="0" w:color="auto"/>
            <w:bottom w:val="none" w:sz="0" w:space="0" w:color="auto"/>
            <w:right w:val="none" w:sz="0" w:space="0" w:color="auto"/>
          </w:divBdr>
        </w:div>
        <w:div w:id="1523591173">
          <w:marLeft w:val="640"/>
          <w:marRight w:val="0"/>
          <w:marTop w:val="0"/>
          <w:marBottom w:val="0"/>
          <w:divBdr>
            <w:top w:val="none" w:sz="0" w:space="0" w:color="auto"/>
            <w:left w:val="none" w:sz="0" w:space="0" w:color="auto"/>
            <w:bottom w:val="none" w:sz="0" w:space="0" w:color="auto"/>
            <w:right w:val="none" w:sz="0" w:space="0" w:color="auto"/>
          </w:divBdr>
        </w:div>
        <w:div w:id="1367756823">
          <w:marLeft w:val="640"/>
          <w:marRight w:val="0"/>
          <w:marTop w:val="0"/>
          <w:marBottom w:val="0"/>
          <w:divBdr>
            <w:top w:val="none" w:sz="0" w:space="0" w:color="auto"/>
            <w:left w:val="none" w:sz="0" w:space="0" w:color="auto"/>
            <w:bottom w:val="none" w:sz="0" w:space="0" w:color="auto"/>
            <w:right w:val="none" w:sz="0" w:space="0" w:color="auto"/>
          </w:divBdr>
        </w:div>
        <w:div w:id="796680532">
          <w:marLeft w:val="640"/>
          <w:marRight w:val="0"/>
          <w:marTop w:val="0"/>
          <w:marBottom w:val="0"/>
          <w:divBdr>
            <w:top w:val="none" w:sz="0" w:space="0" w:color="auto"/>
            <w:left w:val="none" w:sz="0" w:space="0" w:color="auto"/>
            <w:bottom w:val="none" w:sz="0" w:space="0" w:color="auto"/>
            <w:right w:val="none" w:sz="0" w:space="0" w:color="auto"/>
          </w:divBdr>
        </w:div>
        <w:div w:id="1756128266">
          <w:marLeft w:val="640"/>
          <w:marRight w:val="0"/>
          <w:marTop w:val="0"/>
          <w:marBottom w:val="0"/>
          <w:divBdr>
            <w:top w:val="none" w:sz="0" w:space="0" w:color="auto"/>
            <w:left w:val="none" w:sz="0" w:space="0" w:color="auto"/>
            <w:bottom w:val="none" w:sz="0" w:space="0" w:color="auto"/>
            <w:right w:val="none" w:sz="0" w:space="0" w:color="auto"/>
          </w:divBdr>
        </w:div>
        <w:div w:id="197015414">
          <w:marLeft w:val="640"/>
          <w:marRight w:val="0"/>
          <w:marTop w:val="0"/>
          <w:marBottom w:val="0"/>
          <w:divBdr>
            <w:top w:val="none" w:sz="0" w:space="0" w:color="auto"/>
            <w:left w:val="none" w:sz="0" w:space="0" w:color="auto"/>
            <w:bottom w:val="none" w:sz="0" w:space="0" w:color="auto"/>
            <w:right w:val="none" w:sz="0" w:space="0" w:color="auto"/>
          </w:divBdr>
        </w:div>
        <w:div w:id="1347097015">
          <w:marLeft w:val="640"/>
          <w:marRight w:val="0"/>
          <w:marTop w:val="0"/>
          <w:marBottom w:val="0"/>
          <w:divBdr>
            <w:top w:val="none" w:sz="0" w:space="0" w:color="auto"/>
            <w:left w:val="none" w:sz="0" w:space="0" w:color="auto"/>
            <w:bottom w:val="none" w:sz="0" w:space="0" w:color="auto"/>
            <w:right w:val="none" w:sz="0" w:space="0" w:color="auto"/>
          </w:divBdr>
        </w:div>
        <w:div w:id="495918398">
          <w:marLeft w:val="640"/>
          <w:marRight w:val="0"/>
          <w:marTop w:val="0"/>
          <w:marBottom w:val="0"/>
          <w:divBdr>
            <w:top w:val="none" w:sz="0" w:space="0" w:color="auto"/>
            <w:left w:val="none" w:sz="0" w:space="0" w:color="auto"/>
            <w:bottom w:val="none" w:sz="0" w:space="0" w:color="auto"/>
            <w:right w:val="none" w:sz="0" w:space="0" w:color="auto"/>
          </w:divBdr>
        </w:div>
        <w:div w:id="1974477433">
          <w:marLeft w:val="640"/>
          <w:marRight w:val="0"/>
          <w:marTop w:val="0"/>
          <w:marBottom w:val="0"/>
          <w:divBdr>
            <w:top w:val="none" w:sz="0" w:space="0" w:color="auto"/>
            <w:left w:val="none" w:sz="0" w:space="0" w:color="auto"/>
            <w:bottom w:val="none" w:sz="0" w:space="0" w:color="auto"/>
            <w:right w:val="none" w:sz="0" w:space="0" w:color="auto"/>
          </w:divBdr>
        </w:div>
        <w:div w:id="446434605">
          <w:marLeft w:val="640"/>
          <w:marRight w:val="0"/>
          <w:marTop w:val="0"/>
          <w:marBottom w:val="0"/>
          <w:divBdr>
            <w:top w:val="none" w:sz="0" w:space="0" w:color="auto"/>
            <w:left w:val="none" w:sz="0" w:space="0" w:color="auto"/>
            <w:bottom w:val="none" w:sz="0" w:space="0" w:color="auto"/>
            <w:right w:val="none" w:sz="0" w:space="0" w:color="auto"/>
          </w:divBdr>
        </w:div>
        <w:div w:id="199323935">
          <w:marLeft w:val="640"/>
          <w:marRight w:val="0"/>
          <w:marTop w:val="0"/>
          <w:marBottom w:val="0"/>
          <w:divBdr>
            <w:top w:val="none" w:sz="0" w:space="0" w:color="auto"/>
            <w:left w:val="none" w:sz="0" w:space="0" w:color="auto"/>
            <w:bottom w:val="none" w:sz="0" w:space="0" w:color="auto"/>
            <w:right w:val="none" w:sz="0" w:space="0" w:color="auto"/>
          </w:divBdr>
        </w:div>
        <w:div w:id="1708488634">
          <w:marLeft w:val="640"/>
          <w:marRight w:val="0"/>
          <w:marTop w:val="0"/>
          <w:marBottom w:val="0"/>
          <w:divBdr>
            <w:top w:val="none" w:sz="0" w:space="0" w:color="auto"/>
            <w:left w:val="none" w:sz="0" w:space="0" w:color="auto"/>
            <w:bottom w:val="none" w:sz="0" w:space="0" w:color="auto"/>
            <w:right w:val="none" w:sz="0" w:space="0" w:color="auto"/>
          </w:divBdr>
        </w:div>
        <w:div w:id="994718503">
          <w:marLeft w:val="640"/>
          <w:marRight w:val="0"/>
          <w:marTop w:val="0"/>
          <w:marBottom w:val="0"/>
          <w:divBdr>
            <w:top w:val="none" w:sz="0" w:space="0" w:color="auto"/>
            <w:left w:val="none" w:sz="0" w:space="0" w:color="auto"/>
            <w:bottom w:val="none" w:sz="0" w:space="0" w:color="auto"/>
            <w:right w:val="none" w:sz="0" w:space="0" w:color="auto"/>
          </w:divBdr>
        </w:div>
        <w:div w:id="2050177711">
          <w:marLeft w:val="640"/>
          <w:marRight w:val="0"/>
          <w:marTop w:val="0"/>
          <w:marBottom w:val="0"/>
          <w:divBdr>
            <w:top w:val="none" w:sz="0" w:space="0" w:color="auto"/>
            <w:left w:val="none" w:sz="0" w:space="0" w:color="auto"/>
            <w:bottom w:val="none" w:sz="0" w:space="0" w:color="auto"/>
            <w:right w:val="none" w:sz="0" w:space="0" w:color="auto"/>
          </w:divBdr>
        </w:div>
        <w:div w:id="1411850067">
          <w:marLeft w:val="640"/>
          <w:marRight w:val="0"/>
          <w:marTop w:val="0"/>
          <w:marBottom w:val="0"/>
          <w:divBdr>
            <w:top w:val="none" w:sz="0" w:space="0" w:color="auto"/>
            <w:left w:val="none" w:sz="0" w:space="0" w:color="auto"/>
            <w:bottom w:val="none" w:sz="0" w:space="0" w:color="auto"/>
            <w:right w:val="none" w:sz="0" w:space="0" w:color="auto"/>
          </w:divBdr>
        </w:div>
        <w:div w:id="1177109316">
          <w:marLeft w:val="640"/>
          <w:marRight w:val="0"/>
          <w:marTop w:val="0"/>
          <w:marBottom w:val="0"/>
          <w:divBdr>
            <w:top w:val="none" w:sz="0" w:space="0" w:color="auto"/>
            <w:left w:val="none" w:sz="0" w:space="0" w:color="auto"/>
            <w:bottom w:val="none" w:sz="0" w:space="0" w:color="auto"/>
            <w:right w:val="none" w:sz="0" w:space="0" w:color="auto"/>
          </w:divBdr>
        </w:div>
        <w:div w:id="568921588">
          <w:marLeft w:val="640"/>
          <w:marRight w:val="0"/>
          <w:marTop w:val="0"/>
          <w:marBottom w:val="0"/>
          <w:divBdr>
            <w:top w:val="none" w:sz="0" w:space="0" w:color="auto"/>
            <w:left w:val="none" w:sz="0" w:space="0" w:color="auto"/>
            <w:bottom w:val="none" w:sz="0" w:space="0" w:color="auto"/>
            <w:right w:val="none" w:sz="0" w:space="0" w:color="auto"/>
          </w:divBdr>
        </w:div>
        <w:div w:id="1156065875">
          <w:marLeft w:val="640"/>
          <w:marRight w:val="0"/>
          <w:marTop w:val="0"/>
          <w:marBottom w:val="0"/>
          <w:divBdr>
            <w:top w:val="none" w:sz="0" w:space="0" w:color="auto"/>
            <w:left w:val="none" w:sz="0" w:space="0" w:color="auto"/>
            <w:bottom w:val="none" w:sz="0" w:space="0" w:color="auto"/>
            <w:right w:val="none" w:sz="0" w:space="0" w:color="auto"/>
          </w:divBdr>
        </w:div>
        <w:div w:id="1296716357">
          <w:marLeft w:val="640"/>
          <w:marRight w:val="0"/>
          <w:marTop w:val="0"/>
          <w:marBottom w:val="0"/>
          <w:divBdr>
            <w:top w:val="none" w:sz="0" w:space="0" w:color="auto"/>
            <w:left w:val="none" w:sz="0" w:space="0" w:color="auto"/>
            <w:bottom w:val="none" w:sz="0" w:space="0" w:color="auto"/>
            <w:right w:val="none" w:sz="0" w:space="0" w:color="auto"/>
          </w:divBdr>
        </w:div>
        <w:div w:id="1408306036">
          <w:marLeft w:val="640"/>
          <w:marRight w:val="0"/>
          <w:marTop w:val="0"/>
          <w:marBottom w:val="0"/>
          <w:divBdr>
            <w:top w:val="none" w:sz="0" w:space="0" w:color="auto"/>
            <w:left w:val="none" w:sz="0" w:space="0" w:color="auto"/>
            <w:bottom w:val="none" w:sz="0" w:space="0" w:color="auto"/>
            <w:right w:val="none" w:sz="0" w:space="0" w:color="auto"/>
          </w:divBdr>
        </w:div>
        <w:div w:id="1629580746">
          <w:marLeft w:val="640"/>
          <w:marRight w:val="0"/>
          <w:marTop w:val="0"/>
          <w:marBottom w:val="0"/>
          <w:divBdr>
            <w:top w:val="none" w:sz="0" w:space="0" w:color="auto"/>
            <w:left w:val="none" w:sz="0" w:space="0" w:color="auto"/>
            <w:bottom w:val="none" w:sz="0" w:space="0" w:color="auto"/>
            <w:right w:val="none" w:sz="0" w:space="0" w:color="auto"/>
          </w:divBdr>
        </w:div>
        <w:div w:id="2005084204">
          <w:marLeft w:val="640"/>
          <w:marRight w:val="0"/>
          <w:marTop w:val="0"/>
          <w:marBottom w:val="0"/>
          <w:divBdr>
            <w:top w:val="none" w:sz="0" w:space="0" w:color="auto"/>
            <w:left w:val="none" w:sz="0" w:space="0" w:color="auto"/>
            <w:bottom w:val="none" w:sz="0" w:space="0" w:color="auto"/>
            <w:right w:val="none" w:sz="0" w:space="0" w:color="auto"/>
          </w:divBdr>
        </w:div>
        <w:div w:id="745496549">
          <w:marLeft w:val="640"/>
          <w:marRight w:val="0"/>
          <w:marTop w:val="0"/>
          <w:marBottom w:val="0"/>
          <w:divBdr>
            <w:top w:val="none" w:sz="0" w:space="0" w:color="auto"/>
            <w:left w:val="none" w:sz="0" w:space="0" w:color="auto"/>
            <w:bottom w:val="none" w:sz="0" w:space="0" w:color="auto"/>
            <w:right w:val="none" w:sz="0" w:space="0" w:color="auto"/>
          </w:divBdr>
        </w:div>
        <w:div w:id="137377637">
          <w:marLeft w:val="640"/>
          <w:marRight w:val="0"/>
          <w:marTop w:val="0"/>
          <w:marBottom w:val="0"/>
          <w:divBdr>
            <w:top w:val="none" w:sz="0" w:space="0" w:color="auto"/>
            <w:left w:val="none" w:sz="0" w:space="0" w:color="auto"/>
            <w:bottom w:val="none" w:sz="0" w:space="0" w:color="auto"/>
            <w:right w:val="none" w:sz="0" w:space="0" w:color="auto"/>
          </w:divBdr>
        </w:div>
        <w:div w:id="968704383">
          <w:marLeft w:val="640"/>
          <w:marRight w:val="0"/>
          <w:marTop w:val="0"/>
          <w:marBottom w:val="0"/>
          <w:divBdr>
            <w:top w:val="none" w:sz="0" w:space="0" w:color="auto"/>
            <w:left w:val="none" w:sz="0" w:space="0" w:color="auto"/>
            <w:bottom w:val="none" w:sz="0" w:space="0" w:color="auto"/>
            <w:right w:val="none" w:sz="0" w:space="0" w:color="auto"/>
          </w:divBdr>
        </w:div>
        <w:div w:id="818809577">
          <w:marLeft w:val="640"/>
          <w:marRight w:val="0"/>
          <w:marTop w:val="0"/>
          <w:marBottom w:val="0"/>
          <w:divBdr>
            <w:top w:val="none" w:sz="0" w:space="0" w:color="auto"/>
            <w:left w:val="none" w:sz="0" w:space="0" w:color="auto"/>
            <w:bottom w:val="none" w:sz="0" w:space="0" w:color="auto"/>
            <w:right w:val="none" w:sz="0" w:space="0" w:color="auto"/>
          </w:divBdr>
        </w:div>
        <w:div w:id="245506104">
          <w:marLeft w:val="640"/>
          <w:marRight w:val="0"/>
          <w:marTop w:val="0"/>
          <w:marBottom w:val="0"/>
          <w:divBdr>
            <w:top w:val="none" w:sz="0" w:space="0" w:color="auto"/>
            <w:left w:val="none" w:sz="0" w:space="0" w:color="auto"/>
            <w:bottom w:val="none" w:sz="0" w:space="0" w:color="auto"/>
            <w:right w:val="none" w:sz="0" w:space="0" w:color="auto"/>
          </w:divBdr>
        </w:div>
        <w:div w:id="388307186">
          <w:marLeft w:val="640"/>
          <w:marRight w:val="0"/>
          <w:marTop w:val="0"/>
          <w:marBottom w:val="0"/>
          <w:divBdr>
            <w:top w:val="none" w:sz="0" w:space="0" w:color="auto"/>
            <w:left w:val="none" w:sz="0" w:space="0" w:color="auto"/>
            <w:bottom w:val="none" w:sz="0" w:space="0" w:color="auto"/>
            <w:right w:val="none" w:sz="0" w:space="0" w:color="auto"/>
          </w:divBdr>
        </w:div>
        <w:div w:id="134183632">
          <w:marLeft w:val="640"/>
          <w:marRight w:val="0"/>
          <w:marTop w:val="0"/>
          <w:marBottom w:val="0"/>
          <w:divBdr>
            <w:top w:val="none" w:sz="0" w:space="0" w:color="auto"/>
            <w:left w:val="none" w:sz="0" w:space="0" w:color="auto"/>
            <w:bottom w:val="none" w:sz="0" w:space="0" w:color="auto"/>
            <w:right w:val="none" w:sz="0" w:space="0" w:color="auto"/>
          </w:divBdr>
        </w:div>
        <w:div w:id="909459112">
          <w:marLeft w:val="640"/>
          <w:marRight w:val="0"/>
          <w:marTop w:val="0"/>
          <w:marBottom w:val="0"/>
          <w:divBdr>
            <w:top w:val="none" w:sz="0" w:space="0" w:color="auto"/>
            <w:left w:val="none" w:sz="0" w:space="0" w:color="auto"/>
            <w:bottom w:val="none" w:sz="0" w:space="0" w:color="auto"/>
            <w:right w:val="none" w:sz="0" w:space="0" w:color="auto"/>
          </w:divBdr>
        </w:div>
        <w:div w:id="1185752640">
          <w:marLeft w:val="640"/>
          <w:marRight w:val="0"/>
          <w:marTop w:val="0"/>
          <w:marBottom w:val="0"/>
          <w:divBdr>
            <w:top w:val="none" w:sz="0" w:space="0" w:color="auto"/>
            <w:left w:val="none" w:sz="0" w:space="0" w:color="auto"/>
            <w:bottom w:val="none" w:sz="0" w:space="0" w:color="auto"/>
            <w:right w:val="none" w:sz="0" w:space="0" w:color="auto"/>
          </w:divBdr>
        </w:div>
        <w:div w:id="1701778145">
          <w:marLeft w:val="640"/>
          <w:marRight w:val="0"/>
          <w:marTop w:val="0"/>
          <w:marBottom w:val="0"/>
          <w:divBdr>
            <w:top w:val="none" w:sz="0" w:space="0" w:color="auto"/>
            <w:left w:val="none" w:sz="0" w:space="0" w:color="auto"/>
            <w:bottom w:val="none" w:sz="0" w:space="0" w:color="auto"/>
            <w:right w:val="none" w:sz="0" w:space="0" w:color="auto"/>
          </w:divBdr>
        </w:div>
        <w:div w:id="1229344744">
          <w:marLeft w:val="640"/>
          <w:marRight w:val="0"/>
          <w:marTop w:val="0"/>
          <w:marBottom w:val="0"/>
          <w:divBdr>
            <w:top w:val="none" w:sz="0" w:space="0" w:color="auto"/>
            <w:left w:val="none" w:sz="0" w:space="0" w:color="auto"/>
            <w:bottom w:val="none" w:sz="0" w:space="0" w:color="auto"/>
            <w:right w:val="none" w:sz="0" w:space="0" w:color="auto"/>
          </w:divBdr>
        </w:div>
        <w:div w:id="495337927">
          <w:marLeft w:val="640"/>
          <w:marRight w:val="0"/>
          <w:marTop w:val="0"/>
          <w:marBottom w:val="0"/>
          <w:divBdr>
            <w:top w:val="none" w:sz="0" w:space="0" w:color="auto"/>
            <w:left w:val="none" w:sz="0" w:space="0" w:color="auto"/>
            <w:bottom w:val="none" w:sz="0" w:space="0" w:color="auto"/>
            <w:right w:val="none" w:sz="0" w:space="0" w:color="auto"/>
          </w:divBdr>
        </w:div>
        <w:div w:id="79758129">
          <w:marLeft w:val="640"/>
          <w:marRight w:val="0"/>
          <w:marTop w:val="0"/>
          <w:marBottom w:val="0"/>
          <w:divBdr>
            <w:top w:val="none" w:sz="0" w:space="0" w:color="auto"/>
            <w:left w:val="none" w:sz="0" w:space="0" w:color="auto"/>
            <w:bottom w:val="none" w:sz="0" w:space="0" w:color="auto"/>
            <w:right w:val="none" w:sz="0" w:space="0" w:color="auto"/>
          </w:divBdr>
        </w:div>
        <w:div w:id="2007702768">
          <w:marLeft w:val="640"/>
          <w:marRight w:val="0"/>
          <w:marTop w:val="0"/>
          <w:marBottom w:val="0"/>
          <w:divBdr>
            <w:top w:val="none" w:sz="0" w:space="0" w:color="auto"/>
            <w:left w:val="none" w:sz="0" w:space="0" w:color="auto"/>
            <w:bottom w:val="none" w:sz="0" w:space="0" w:color="auto"/>
            <w:right w:val="none" w:sz="0" w:space="0" w:color="auto"/>
          </w:divBdr>
        </w:div>
        <w:div w:id="723679768">
          <w:marLeft w:val="640"/>
          <w:marRight w:val="0"/>
          <w:marTop w:val="0"/>
          <w:marBottom w:val="0"/>
          <w:divBdr>
            <w:top w:val="none" w:sz="0" w:space="0" w:color="auto"/>
            <w:left w:val="none" w:sz="0" w:space="0" w:color="auto"/>
            <w:bottom w:val="none" w:sz="0" w:space="0" w:color="auto"/>
            <w:right w:val="none" w:sz="0" w:space="0" w:color="auto"/>
          </w:divBdr>
        </w:div>
        <w:div w:id="206336485">
          <w:marLeft w:val="640"/>
          <w:marRight w:val="0"/>
          <w:marTop w:val="0"/>
          <w:marBottom w:val="0"/>
          <w:divBdr>
            <w:top w:val="none" w:sz="0" w:space="0" w:color="auto"/>
            <w:left w:val="none" w:sz="0" w:space="0" w:color="auto"/>
            <w:bottom w:val="none" w:sz="0" w:space="0" w:color="auto"/>
            <w:right w:val="none" w:sz="0" w:space="0" w:color="auto"/>
          </w:divBdr>
        </w:div>
        <w:div w:id="323976692">
          <w:marLeft w:val="640"/>
          <w:marRight w:val="0"/>
          <w:marTop w:val="0"/>
          <w:marBottom w:val="0"/>
          <w:divBdr>
            <w:top w:val="none" w:sz="0" w:space="0" w:color="auto"/>
            <w:left w:val="none" w:sz="0" w:space="0" w:color="auto"/>
            <w:bottom w:val="none" w:sz="0" w:space="0" w:color="auto"/>
            <w:right w:val="none" w:sz="0" w:space="0" w:color="auto"/>
          </w:divBdr>
        </w:div>
        <w:div w:id="828054563">
          <w:marLeft w:val="640"/>
          <w:marRight w:val="0"/>
          <w:marTop w:val="0"/>
          <w:marBottom w:val="0"/>
          <w:divBdr>
            <w:top w:val="none" w:sz="0" w:space="0" w:color="auto"/>
            <w:left w:val="none" w:sz="0" w:space="0" w:color="auto"/>
            <w:bottom w:val="none" w:sz="0" w:space="0" w:color="auto"/>
            <w:right w:val="none" w:sz="0" w:space="0" w:color="auto"/>
          </w:divBdr>
        </w:div>
        <w:div w:id="1998804055">
          <w:marLeft w:val="640"/>
          <w:marRight w:val="0"/>
          <w:marTop w:val="0"/>
          <w:marBottom w:val="0"/>
          <w:divBdr>
            <w:top w:val="none" w:sz="0" w:space="0" w:color="auto"/>
            <w:left w:val="none" w:sz="0" w:space="0" w:color="auto"/>
            <w:bottom w:val="none" w:sz="0" w:space="0" w:color="auto"/>
            <w:right w:val="none" w:sz="0" w:space="0" w:color="auto"/>
          </w:divBdr>
        </w:div>
        <w:div w:id="830170569">
          <w:marLeft w:val="640"/>
          <w:marRight w:val="0"/>
          <w:marTop w:val="0"/>
          <w:marBottom w:val="0"/>
          <w:divBdr>
            <w:top w:val="none" w:sz="0" w:space="0" w:color="auto"/>
            <w:left w:val="none" w:sz="0" w:space="0" w:color="auto"/>
            <w:bottom w:val="none" w:sz="0" w:space="0" w:color="auto"/>
            <w:right w:val="none" w:sz="0" w:space="0" w:color="auto"/>
          </w:divBdr>
        </w:div>
        <w:div w:id="1900743081">
          <w:marLeft w:val="640"/>
          <w:marRight w:val="0"/>
          <w:marTop w:val="0"/>
          <w:marBottom w:val="0"/>
          <w:divBdr>
            <w:top w:val="none" w:sz="0" w:space="0" w:color="auto"/>
            <w:left w:val="none" w:sz="0" w:space="0" w:color="auto"/>
            <w:bottom w:val="none" w:sz="0" w:space="0" w:color="auto"/>
            <w:right w:val="none" w:sz="0" w:space="0" w:color="auto"/>
          </w:divBdr>
        </w:div>
        <w:div w:id="519664344">
          <w:marLeft w:val="640"/>
          <w:marRight w:val="0"/>
          <w:marTop w:val="0"/>
          <w:marBottom w:val="0"/>
          <w:divBdr>
            <w:top w:val="none" w:sz="0" w:space="0" w:color="auto"/>
            <w:left w:val="none" w:sz="0" w:space="0" w:color="auto"/>
            <w:bottom w:val="none" w:sz="0" w:space="0" w:color="auto"/>
            <w:right w:val="none" w:sz="0" w:space="0" w:color="auto"/>
          </w:divBdr>
        </w:div>
        <w:div w:id="2026470831">
          <w:marLeft w:val="640"/>
          <w:marRight w:val="0"/>
          <w:marTop w:val="0"/>
          <w:marBottom w:val="0"/>
          <w:divBdr>
            <w:top w:val="none" w:sz="0" w:space="0" w:color="auto"/>
            <w:left w:val="none" w:sz="0" w:space="0" w:color="auto"/>
            <w:bottom w:val="none" w:sz="0" w:space="0" w:color="auto"/>
            <w:right w:val="none" w:sz="0" w:space="0" w:color="auto"/>
          </w:divBdr>
        </w:div>
        <w:div w:id="1408654740">
          <w:marLeft w:val="640"/>
          <w:marRight w:val="0"/>
          <w:marTop w:val="0"/>
          <w:marBottom w:val="0"/>
          <w:divBdr>
            <w:top w:val="none" w:sz="0" w:space="0" w:color="auto"/>
            <w:left w:val="none" w:sz="0" w:space="0" w:color="auto"/>
            <w:bottom w:val="none" w:sz="0" w:space="0" w:color="auto"/>
            <w:right w:val="none" w:sz="0" w:space="0" w:color="auto"/>
          </w:divBdr>
        </w:div>
        <w:div w:id="186455334">
          <w:marLeft w:val="640"/>
          <w:marRight w:val="0"/>
          <w:marTop w:val="0"/>
          <w:marBottom w:val="0"/>
          <w:divBdr>
            <w:top w:val="none" w:sz="0" w:space="0" w:color="auto"/>
            <w:left w:val="none" w:sz="0" w:space="0" w:color="auto"/>
            <w:bottom w:val="none" w:sz="0" w:space="0" w:color="auto"/>
            <w:right w:val="none" w:sz="0" w:space="0" w:color="auto"/>
          </w:divBdr>
        </w:div>
        <w:div w:id="1354528426">
          <w:marLeft w:val="640"/>
          <w:marRight w:val="0"/>
          <w:marTop w:val="0"/>
          <w:marBottom w:val="0"/>
          <w:divBdr>
            <w:top w:val="none" w:sz="0" w:space="0" w:color="auto"/>
            <w:left w:val="none" w:sz="0" w:space="0" w:color="auto"/>
            <w:bottom w:val="none" w:sz="0" w:space="0" w:color="auto"/>
            <w:right w:val="none" w:sz="0" w:space="0" w:color="auto"/>
          </w:divBdr>
        </w:div>
        <w:div w:id="180242572">
          <w:marLeft w:val="640"/>
          <w:marRight w:val="0"/>
          <w:marTop w:val="0"/>
          <w:marBottom w:val="0"/>
          <w:divBdr>
            <w:top w:val="none" w:sz="0" w:space="0" w:color="auto"/>
            <w:left w:val="none" w:sz="0" w:space="0" w:color="auto"/>
            <w:bottom w:val="none" w:sz="0" w:space="0" w:color="auto"/>
            <w:right w:val="none" w:sz="0" w:space="0" w:color="auto"/>
          </w:divBdr>
        </w:div>
        <w:div w:id="1349722666">
          <w:marLeft w:val="640"/>
          <w:marRight w:val="0"/>
          <w:marTop w:val="0"/>
          <w:marBottom w:val="0"/>
          <w:divBdr>
            <w:top w:val="none" w:sz="0" w:space="0" w:color="auto"/>
            <w:left w:val="none" w:sz="0" w:space="0" w:color="auto"/>
            <w:bottom w:val="none" w:sz="0" w:space="0" w:color="auto"/>
            <w:right w:val="none" w:sz="0" w:space="0" w:color="auto"/>
          </w:divBdr>
        </w:div>
        <w:div w:id="1075391858">
          <w:marLeft w:val="640"/>
          <w:marRight w:val="0"/>
          <w:marTop w:val="0"/>
          <w:marBottom w:val="0"/>
          <w:divBdr>
            <w:top w:val="none" w:sz="0" w:space="0" w:color="auto"/>
            <w:left w:val="none" w:sz="0" w:space="0" w:color="auto"/>
            <w:bottom w:val="none" w:sz="0" w:space="0" w:color="auto"/>
            <w:right w:val="none" w:sz="0" w:space="0" w:color="auto"/>
          </w:divBdr>
        </w:div>
        <w:div w:id="366486410">
          <w:marLeft w:val="640"/>
          <w:marRight w:val="0"/>
          <w:marTop w:val="0"/>
          <w:marBottom w:val="0"/>
          <w:divBdr>
            <w:top w:val="none" w:sz="0" w:space="0" w:color="auto"/>
            <w:left w:val="none" w:sz="0" w:space="0" w:color="auto"/>
            <w:bottom w:val="none" w:sz="0" w:space="0" w:color="auto"/>
            <w:right w:val="none" w:sz="0" w:space="0" w:color="auto"/>
          </w:divBdr>
        </w:div>
        <w:div w:id="1927181665">
          <w:marLeft w:val="640"/>
          <w:marRight w:val="0"/>
          <w:marTop w:val="0"/>
          <w:marBottom w:val="0"/>
          <w:divBdr>
            <w:top w:val="none" w:sz="0" w:space="0" w:color="auto"/>
            <w:left w:val="none" w:sz="0" w:space="0" w:color="auto"/>
            <w:bottom w:val="none" w:sz="0" w:space="0" w:color="auto"/>
            <w:right w:val="none" w:sz="0" w:space="0" w:color="auto"/>
          </w:divBdr>
        </w:div>
        <w:div w:id="909192834">
          <w:marLeft w:val="640"/>
          <w:marRight w:val="0"/>
          <w:marTop w:val="0"/>
          <w:marBottom w:val="0"/>
          <w:divBdr>
            <w:top w:val="none" w:sz="0" w:space="0" w:color="auto"/>
            <w:left w:val="none" w:sz="0" w:space="0" w:color="auto"/>
            <w:bottom w:val="none" w:sz="0" w:space="0" w:color="auto"/>
            <w:right w:val="none" w:sz="0" w:space="0" w:color="auto"/>
          </w:divBdr>
        </w:div>
        <w:div w:id="891770526">
          <w:marLeft w:val="640"/>
          <w:marRight w:val="0"/>
          <w:marTop w:val="0"/>
          <w:marBottom w:val="0"/>
          <w:divBdr>
            <w:top w:val="none" w:sz="0" w:space="0" w:color="auto"/>
            <w:left w:val="none" w:sz="0" w:space="0" w:color="auto"/>
            <w:bottom w:val="none" w:sz="0" w:space="0" w:color="auto"/>
            <w:right w:val="none" w:sz="0" w:space="0" w:color="auto"/>
          </w:divBdr>
        </w:div>
        <w:div w:id="483081245">
          <w:marLeft w:val="640"/>
          <w:marRight w:val="0"/>
          <w:marTop w:val="0"/>
          <w:marBottom w:val="0"/>
          <w:divBdr>
            <w:top w:val="none" w:sz="0" w:space="0" w:color="auto"/>
            <w:left w:val="none" w:sz="0" w:space="0" w:color="auto"/>
            <w:bottom w:val="none" w:sz="0" w:space="0" w:color="auto"/>
            <w:right w:val="none" w:sz="0" w:space="0" w:color="auto"/>
          </w:divBdr>
        </w:div>
        <w:div w:id="986665484">
          <w:marLeft w:val="640"/>
          <w:marRight w:val="0"/>
          <w:marTop w:val="0"/>
          <w:marBottom w:val="0"/>
          <w:divBdr>
            <w:top w:val="none" w:sz="0" w:space="0" w:color="auto"/>
            <w:left w:val="none" w:sz="0" w:space="0" w:color="auto"/>
            <w:bottom w:val="none" w:sz="0" w:space="0" w:color="auto"/>
            <w:right w:val="none" w:sz="0" w:space="0" w:color="auto"/>
          </w:divBdr>
        </w:div>
        <w:div w:id="957372678">
          <w:marLeft w:val="640"/>
          <w:marRight w:val="0"/>
          <w:marTop w:val="0"/>
          <w:marBottom w:val="0"/>
          <w:divBdr>
            <w:top w:val="none" w:sz="0" w:space="0" w:color="auto"/>
            <w:left w:val="none" w:sz="0" w:space="0" w:color="auto"/>
            <w:bottom w:val="none" w:sz="0" w:space="0" w:color="auto"/>
            <w:right w:val="none" w:sz="0" w:space="0" w:color="auto"/>
          </w:divBdr>
        </w:div>
        <w:div w:id="1884949253">
          <w:marLeft w:val="640"/>
          <w:marRight w:val="0"/>
          <w:marTop w:val="0"/>
          <w:marBottom w:val="0"/>
          <w:divBdr>
            <w:top w:val="none" w:sz="0" w:space="0" w:color="auto"/>
            <w:left w:val="none" w:sz="0" w:space="0" w:color="auto"/>
            <w:bottom w:val="none" w:sz="0" w:space="0" w:color="auto"/>
            <w:right w:val="none" w:sz="0" w:space="0" w:color="auto"/>
          </w:divBdr>
        </w:div>
        <w:div w:id="1173377039">
          <w:marLeft w:val="640"/>
          <w:marRight w:val="0"/>
          <w:marTop w:val="0"/>
          <w:marBottom w:val="0"/>
          <w:divBdr>
            <w:top w:val="none" w:sz="0" w:space="0" w:color="auto"/>
            <w:left w:val="none" w:sz="0" w:space="0" w:color="auto"/>
            <w:bottom w:val="none" w:sz="0" w:space="0" w:color="auto"/>
            <w:right w:val="none" w:sz="0" w:space="0" w:color="auto"/>
          </w:divBdr>
        </w:div>
        <w:div w:id="1705909749">
          <w:marLeft w:val="640"/>
          <w:marRight w:val="0"/>
          <w:marTop w:val="0"/>
          <w:marBottom w:val="0"/>
          <w:divBdr>
            <w:top w:val="none" w:sz="0" w:space="0" w:color="auto"/>
            <w:left w:val="none" w:sz="0" w:space="0" w:color="auto"/>
            <w:bottom w:val="none" w:sz="0" w:space="0" w:color="auto"/>
            <w:right w:val="none" w:sz="0" w:space="0" w:color="auto"/>
          </w:divBdr>
        </w:div>
        <w:div w:id="1315455876">
          <w:marLeft w:val="640"/>
          <w:marRight w:val="0"/>
          <w:marTop w:val="0"/>
          <w:marBottom w:val="0"/>
          <w:divBdr>
            <w:top w:val="none" w:sz="0" w:space="0" w:color="auto"/>
            <w:left w:val="none" w:sz="0" w:space="0" w:color="auto"/>
            <w:bottom w:val="none" w:sz="0" w:space="0" w:color="auto"/>
            <w:right w:val="none" w:sz="0" w:space="0" w:color="auto"/>
          </w:divBdr>
        </w:div>
        <w:div w:id="1234045982">
          <w:marLeft w:val="640"/>
          <w:marRight w:val="0"/>
          <w:marTop w:val="0"/>
          <w:marBottom w:val="0"/>
          <w:divBdr>
            <w:top w:val="none" w:sz="0" w:space="0" w:color="auto"/>
            <w:left w:val="none" w:sz="0" w:space="0" w:color="auto"/>
            <w:bottom w:val="none" w:sz="0" w:space="0" w:color="auto"/>
            <w:right w:val="none" w:sz="0" w:space="0" w:color="auto"/>
          </w:divBdr>
        </w:div>
        <w:div w:id="1518227829">
          <w:marLeft w:val="640"/>
          <w:marRight w:val="0"/>
          <w:marTop w:val="0"/>
          <w:marBottom w:val="0"/>
          <w:divBdr>
            <w:top w:val="none" w:sz="0" w:space="0" w:color="auto"/>
            <w:left w:val="none" w:sz="0" w:space="0" w:color="auto"/>
            <w:bottom w:val="none" w:sz="0" w:space="0" w:color="auto"/>
            <w:right w:val="none" w:sz="0" w:space="0" w:color="auto"/>
          </w:divBdr>
        </w:div>
        <w:div w:id="487399529">
          <w:marLeft w:val="640"/>
          <w:marRight w:val="0"/>
          <w:marTop w:val="0"/>
          <w:marBottom w:val="0"/>
          <w:divBdr>
            <w:top w:val="none" w:sz="0" w:space="0" w:color="auto"/>
            <w:left w:val="none" w:sz="0" w:space="0" w:color="auto"/>
            <w:bottom w:val="none" w:sz="0" w:space="0" w:color="auto"/>
            <w:right w:val="none" w:sz="0" w:space="0" w:color="auto"/>
          </w:divBdr>
        </w:div>
        <w:div w:id="1819690689">
          <w:marLeft w:val="640"/>
          <w:marRight w:val="0"/>
          <w:marTop w:val="0"/>
          <w:marBottom w:val="0"/>
          <w:divBdr>
            <w:top w:val="none" w:sz="0" w:space="0" w:color="auto"/>
            <w:left w:val="none" w:sz="0" w:space="0" w:color="auto"/>
            <w:bottom w:val="none" w:sz="0" w:space="0" w:color="auto"/>
            <w:right w:val="none" w:sz="0" w:space="0" w:color="auto"/>
          </w:divBdr>
        </w:div>
        <w:div w:id="127742066">
          <w:marLeft w:val="640"/>
          <w:marRight w:val="0"/>
          <w:marTop w:val="0"/>
          <w:marBottom w:val="0"/>
          <w:divBdr>
            <w:top w:val="none" w:sz="0" w:space="0" w:color="auto"/>
            <w:left w:val="none" w:sz="0" w:space="0" w:color="auto"/>
            <w:bottom w:val="none" w:sz="0" w:space="0" w:color="auto"/>
            <w:right w:val="none" w:sz="0" w:space="0" w:color="auto"/>
          </w:divBdr>
        </w:div>
        <w:div w:id="599879038">
          <w:marLeft w:val="640"/>
          <w:marRight w:val="0"/>
          <w:marTop w:val="0"/>
          <w:marBottom w:val="0"/>
          <w:divBdr>
            <w:top w:val="none" w:sz="0" w:space="0" w:color="auto"/>
            <w:left w:val="none" w:sz="0" w:space="0" w:color="auto"/>
            <w:bottom w:val="none" w:sz="0" w:space="0" w:color="auto"/>
            <w:right w:val="none" w:sz="0" w:space="0" w:color="auto"/>
          </w:divBdr>
        </w:div>
        <w:div w:id="652831020">
          <w:marLeft w:val="640"/>
          <w:marRight w:val="0"/>
          <w:marTop w:val="0"/>
          <w:marBottom w:val="0"/>
          <w:divBdr>
            <w:top w:val="none" w:sz="0" w:space="0" w:color="auto"/>
            <w:left w:val="none" w:sz="0" w:space="0" w:color="auto"/>
            <w:bottom w:val="none" w:sz="0" w:space="0" w:color="auto"/>
            <w:right w:val="none" w:sz="0" w:space="0" w:color="auto"/>
          </w:divBdr>
        </w:div>
        <w:div w:id="1569224955">
          <w:marLeft w:val="640"/>
          <w:marRight w:val="0"/>
          <w:marTop w:val="0"/>
          <w:marBottom w:val="0"/>
          <w:divBdr>
            <w:top w:val="none" w:sz="0" w:space="0" w:color="auto"/>
            <w:left w:val="none" w:sz="0" w:space="0" w:color="auto"/>
            <w:bottom w:val="none" w:sz="0" w:space="0" w:color="auto"/>
            <w:right w:val="none" w:sz="0" w:space="0" w:color="auto"/>
          </w:divBdr>
        </w:div>
        <w:div w:id="1953781036">
          <w:marLeft w:val="640"/>
          <w:marRight w:val="0"/>
          <w:marTop w:val="0"/>
          <w:marBottom w:val="0"/>
          <w:divBdr>
            <w:top w:val="none" w:sz="0" w:space="0" w:color="auto"/>
            <w:left w:val="none" w:sz="0" w:space="0" w:color="auto"/>
            <w:bottom w:val="none" w:sz="0" w:space="0" w:color="auto"/>
            <w:right w:val="none" w:sz="0" w:space="0" w:color="auto"/>
          </w:divBdr>
        </w:div>
        <w:div w:id="156382313">
          <w:marLeft w:val="640"/>
          <w:marRight w:val="0"/>
          <w:marTop w:val="0"/>
          <w:marBottom w:val="0"/>
          <w:divBdr>
            <w:top w:val="none" w:sz="0" w:space="0" w:color="auto"/>
            <w:left w:val="none" w:sz="0" w:space="0" w:color="auto"/>
            <w:bottom w:val="none" w:sz="0" w:space="0" w:color="auto"/>
            <w:right w:val="none" w:sz="0" w:space="0" w:color="auto"/>
          </w:divBdr>
        </w:div>
        <w:div w:id="1020398171">
          <w:marLeft w:val="640"/>
          <w:marRight w:val="0"/>
          <w:marTop w:val="0"/>
          <w:marBottom w:val="0"/>
          <w:divBdr>
            <w:top w:val="none" w:sz="0" w:space="0" w:color="auto"/>
            <w:left w:val="none" w:sz="0" w:space="0" w:color="auto"/>
            <w:bottom w:val="none" w:sz="0" w:space="0" w:color="auto"/>
            <w:right w:val="none" w:sz="0" w:space="0" w:color="auto"/>
          </w:divBdr>
        </w:div>
        <w:div w:id="1556771303">
          <w:marLeft w:val="640"/>
          <w:marRight w:val="0"/>
          <w:marTop w:val="0"/>
          <w:marBottom w:val="0"/>
          <w:divBdr>
            <w:top w:val="none" w:sz="0" w:space="0" w:color="auto"/>
            <w:left w:val="none" w:sz="0" w:space="0" w:color="auto"/>
            <w:bottom w:val="none" w:sz="0" w:space="0" w:color="auto"/>
            <w:right w:val="none" w:sz="0" w:space="0" w:color="auto"/>
          </w:divBdr>
        </w:div>
        <w:div w:id="1188719591">
          <w:marLeft w:val="640"/>
          <w:marRight w:val="0"/>
          <w:marTop w:val="0"/>
          <w:marBottom w:val="0"/>
          <w:divBdr>
            <w:top w:val="none" w:sz="0" w:space="0" w:color="auto"/>
            <w:left w:val="none" w:sz="0" w:space="0" w:color="auto"/>
            <w:bottom w:val="none" w:sz="0" w:space="0" w:color="auto"/>
            <w:right w:val="none" w:sz="0" w:space="0" w:color="auto"/>
          </w:divBdr>
        </w:div>
        <w:div w:id="906762670">
          <w:marLeft w:val="640"/>
          <w:marRight w:val="0"/>
          <w:marTop w:val="0"/>
          <w:marBottom w:val="0"/>
          <w:divBdr>
            <w:top w:val="none" w:sz="0" w:space="0" w:color="auto"/>
            <w:left w:val="none" w:sz="0" w:space="0" w:color="auto"/>
            <w:bottom w:val="none" w:sz="0" w:space="0" w:color="auto"/>
            <w:right w:val="none" w:sz="0" w:space="0" w:color="auto"/>
          </w:divBdr>
        </w:div>
        <w:div w:id="750077850">
          <w:marLeft w:val="640"/>
          <w:marRight w:val="0"/>
          <w:marTop w:val="0"/>
          <w:marBottom w:val="0"/>
          <w:divBdr>
            <w:top w:val="none" w:sz="0" w:space="0" w:color="auto"/>
            <w:left w:val="none" w:sz="0" w:space="0" w:color="auto"/>
            <w:bottom w:val="none" w:sz="0" w:space="0" w:color="auto"/>
            <w:right w:val="none" w:sz="0" w:space="0" w:color="auto"/>
          </w:divBdr>
        </w:div>
        <w:div w:id="143208051">
          <w:marLeft w:val="640"/>
          <w:marRight w:val="0"/>
          <w:marTop w:val="0"/>
          <w:marBottom w:val="0"/>
          <w:divBdr>
            <w:top w:val="none" w:sz="0" w:space="0" w:color="auto"/>
            <w:left w:val="none" w:sz="0" w:space="0" w:color="auto"/>
            <w:bottom w:val="none" w:sz="0" w:space="0" w:color="auto"/>
            <w:right w:val="none" w:sz="0" w:space="0" w:color="auto"/>
          </w:divBdr>
        </w:div>
        <w:div w:id="363410032">
          <w:marLeft w:val="640"/>
          <w:marRight w:val="0"/>
          <w:marTop w:val="0"/>
          <w:marBottom w:val="0"/>
          <w:divBdr>
            <w:top w:val="none" w:sz="0" w:space="0" w:color="auto"/>
            <w:left w:val="none" w:sz="0" w:space="0" w:color="auto"/>
            <w:bottom w:val="none" w:sz="0" w:space="0" w:color="auto"/>
            <w:right w:val="none" w:sz="0" w:space="0" w:color="auto"/>
          </w:divBdr>
        </w:div>
        <w:div w:id="29771738">
          <w:marLeft w:val="640"/>
          <w:marRight w:val="0"/>
          <w:marTop w:val="0"/>
          <w:marBottom w:val="0"/>
          <w:divBdr>
            <w:top w:val="none" w:sz="0" w:space="0" w:color="auto"/>
            <w:left w:val="none" w:sz="0" w:space="0" w:color="auto"/>
            <w:bottom w:val="none" w:sz="0" w:space="0" w:color="auto"/>
            <w:right w:val="none" w:sz="0" w:space="0" w:color="auto"/>
          </w:divBdr>
        </w:div>
        <w:div w:id="30422655">
          <w:marLeft w:val="640"/>
          <w:marRight w:val="0"/>
          <w:marTop w:val="0"/>
          <w:marBottom w:val="0"/>
          <w:divBdr>
            <w:top w:val="none" w:sz="0" w:space="0" w:color="auto"/>
            <w:left w:val="none" w:sz="0" w:space="0" w:color="auto"/>
            <w:bottom w:val="none" w:sz="0" w:space="0" w:color="auto"/>
            <w:right w:val="none" w:sz="0" w:space="0" w:color="auto"/>
          </w:divBdr>
        </w:div>
        <w:div w:id="1020083018">
          <w:marLeft w:val="640"/>
          <w:marRight w:val="0"/>
          <w:marTop w:val="0"/>
          <w:marBottom w:val="0"/>
          <w:divBdr>
            <w:top w:val="none" w:sz="0" w:space="0" w:color="auto"/>
            <w:left w:val="none" w:sz="0" w:space="0" w:color="auto"/>
            <w:bottom w:val="none" w:sz="0" w:space="0" w:color="auto"/>
            <w:right w:val="none" w:sz="0" w:space="0" w:color="auto"/>
          </w:divBdr>
        </w:div>
        <w:div w:id="711031780">
          <w:marLeft w:val="640"/>
          <w:marRight w:val="0"/>
          <w:marTop w:val="0"/>
          <w:marBottom w:val="0"/>
          <w:divBdr>
            <w:top w:val="none" w:sz="0" w:space="0" w:color="auto"/>
            <w:left w:val="none" w:sz="0" w:space="0" w:color="auto"/>
            <w:bottom w:val="none" w:sz="0" w:space="0" w:color="auto"/>
            <w:right w:val="none" w:sz="0" w:space="0" w:color="auto"/>
          </w:divBdr>
        </w:div>
        <w:div w:id="173345031">
          <w:marLeft w:val="640"/>
          <w:marRight w:val="0"/>
          <w:marTop w:val="0"/>
          <w:marBottom w:val="0"/>
          <w:divBdr>
            <w:top w:val="none" w:sz="0" w:space="0" w:color="auto"/>
            <w:left w:val="none" w:sz="0" w:space="0" w:color="auto"/>
            <w:bottom w:val="none" w:sz="0" w:space="0" w:color="auto"/>
            <w:right w:val="none" w:sz="0" w:space="0" w:color="auto"/>
          </w:divBdr>
        </w:div>
        <w:div w:id="1752963015">
          <w:marLeft w:val="640"/>
          <w:marRight w:val="0"/>
          <w:marTop w:val="0"/>
          <w:marBottom w:val="0"/>
          <w:divBdr>
            <w:top w:val="none" w:sz="0" w:space="0" w:color="auto"/>
            <w:left w:val="none" w:sz="0" w:space="0" w:color="auto"/>
            <w:bottom w:val="none" w:sz="0" w:space="0" w:color="auto"/>
            <w:right w:val="none" w:sz="0" w:space="0" w:color="auto"/>
          </w:divBdr>
        </w:div>
        <w:div w:id="930284475">
          <w:marLeft w:val="640"/>
          <w:marRight w:val="0"/>
          <w:marTop w:val="0"/>
          <w:marBottom w:val="0"/>
          <w:divBdr>
            <w:top w:val="none" w:sz="0" w:space="0" w:color="auto"/>
            <w:left w:val="none" w:sz="0" w:space="0" w:color="auto"/>
            <w:bottom w:val="none" w:sz="0" w:space="0" w:color="auto"/>
            <w:right w:val="none" w:sz="0" w:space="0" w:color="auto"/>
          </w:divBdr>
        </w:div>
        <w:div w:id="728460456">
          <w:marLeft w:val="640"/>
          <w:marRight w:val="0"/>
          <w:marTop w:val="0"/>
          <w:marBottom w:val="0"/>
          <w:divBdr>
            <w:top w:val="none" w:sz="0" w:space="0" w:color="auto"/>
            <w:left w:val="none" w:sz="0" w:space="0" w:color="auto"/>
            <w:bottom w:val="none" w:sz="0" w:space="0" w:color="auto"/>
            <w:right w:val="none" w:sz="0" w:space="0" w:color="auto"/>
          </w:divBdr>
        </w:div>
        <w:div w:id="317614301">
          <w:marLeft w:val="640"/>
          <w:marRight w:val="0"/>
          <w:marTop w:val="0"/>
          <w:marBottom w:val="0"/>
          <w:divBdr>
            <w:top w:val="none" w:sz="0" w:space="0" w:color="auto"/>
            <w:left w:val="none" w:sz="0" w:space="0" w:color="auto"/>
            <w:bottom w:val="none" w:sz="0" w:space="0" w:color="auto"/>
            <w:right w:val="none" w:sz="0" w:space="0" w:color="auto"/>
          </w:divBdr>
        </w:div>
        <w:div w:id="2066291776">
          <w:marLeft w:val="640"/>
          <w:marRight w:val="0"/>
          <w:marTop w:val="0"/>
          <w:marBottom w:val="0"/>
          <w:divBdr>
            <w:top w:val="none" w:sz="0" w:space="0" w:color="auto"/>
            <w:left w:val="none" w:sz="0" w:space="0" w:color="auto"/>
            <w:bottom w:val="none" w:sz="0" w:space="0" w:color="auto"/>
            <w:right w:val="none" w:sz="0" w:space="0" w:color="auto"/>
          </w:divBdr>
        </w:div>
        <w:div w:id="1580868338">
          <w:marLeft w:val="640"/>
          <w:marRight w:val="0"/>
          <w:marTop w:val="0"/>
          <w:marBottom w:val="0"/>
          <w:divBdr>
            <w:top w:val="none" w:sz="0" w:space="0" w:color="auto"/>
            <w:left w:val="none" w:sz="0" w:space="0" w:color="auto"/>
            <w:bottom w:val="none" w:sz="0" w:space="0" w:color="auto"/>
            <w:right w:val="none" w:sz="0" w:space="0" w:color="auto"/>
          </w:divBdr>
        </w:div>
        <w:div w:id="608246491">
          <w:marLeft w:val="640"/>
          <w:marRight w:val="0"/>
          <w:marTop w:val="0"/>
          <w:marBottom w:val="0"/>
          <w:divBdr>
            <w:top w:val="none" w:sz="0" w:space="0" w:color="auto"/>
            <w:left w:val="none" w:sz="0" w:space="0" w:color="auto"/>
            <w:bottom w:val="none" w:sz="0" w:space="0" w:color="auto"/>
            <w:right w:val="none" w:sz="0" w:space="0" w:color="auto"/>
          </w:divBdr>
        </w:div>
        <w:div w:id="1434008305">
          <w:marLeft w:val="640"/>
          <w:marRight w:val="0"/>
          <w:marTop w:val="0"/>
          <w:marBottom w:val="0"/>
          <w:divBdr>
            <w:top w:val="none" w:sz="0" w:space="0" w:color="auto"/>
            <w:left w:val="none" w:sz="0" w:space="0" w:color="auto"/>
            <w:bottom w:val="none" w:sz="0" w:space="0" w:color="auto"/>
            <w:right w:val="none" w:sz="0" w:space="0" w:color="auto"/>
          </w:divBdr>
        </w:div>
        <w:div w:id="1357196410">
          <w:marLeft w:val="640"/>
          <w:marRight w:val="0"/>
          <w:marTop w:val="0"/>
          <w:marBottom w:val="0"/>
          <w:divBdr>
            <w:top w:val="none" w:sz="0" w:space="0" w:color="auto"/>
            <w:left w:val="none" w:sz="0" w:space="0" w:color="auto"/>
            <w:bottom w:val="none" w:sz="0" w:space="0" w:color="auto"/>
            <w:right w:val="none" w:sz="0" w:space="0" w:color="auto"/>
          </w:divBdr>
        </w:div>
        <w:div w:id="1190952025">
          <w:marLeft w:val="640"/>
          <w:marRight w:val="0"/>
          <w:marTop w:val="0"/>
          <w:marBottom w:val="0"/>
          <w:divBdr>
            <w:top w:val="none" w:sz="0" w:space="0" w:color="auto"/>
            <w:left w:val="none" w:sz="0" w:space="0" w:color="auto"/>
            <w:bottom w:val="none" w:sz="0" w:space="0" w:color="auto"/>
            <w:right w:val="none" w:sz="0" w:space="0" w:color="auto"/>
          </w:divBdr>
        </w:div>
        <w:div w:id="22561924">
          <w:marLeft w:val="640"/>
          <w:marRight w:val="0"/>
          <w:marTop w:val="0"/>
          <w:marBottom w:val="0"/>
          <w:divBdr>
            <w:top w:val="none" w:sz="0" w:space="0" w:color="auto"/>
            <w:left w:val="none" w:sz="0" w:space="0" w:color="auto"/>
            <w:bottom w:val="none" w:sz="0" w:space="0" w:color="auto"/>
            <w:right w:val="none" w:sz="0" w:space="0" w:color="auto"/>
          </w:divBdr>
        </w:div>
        <w:div w:id="496502112">
          <w:marLeft w:val="640"/>
          <w:marRight w:val="0"/>
          <w:marTop w:val="0"/>
          <w:marBottom w:val="0"/>
          <w:divBdr>
            <w:top w:val="none" w:sz="0" w:space="0" w:color="auto"/>
            <w:left w:val="none" w:sz="0" w:space="0" w:color="auto"/>
            <w:bottom w:val="none" w:sz="0" w:space="0" w:color="auto"/>
            <w:right w:val="none" w:sz="0" w:space="0" w:color="auto"/>
          </w:divBdr>
        </w:div>
        <w:div w:id="1230191826">
          <w:marLeft w:val="640"/>
          <w:marRight w:val="0"/>
          <w:marTop w:val="0"/>
          <w:marBottom w:val="0"/>
          <w:divBdr>
            <w:top w:val="none" w:sz="0" w:space="0" w:color="auto"/>
            <w:left w:val="none" w:sz="0" w:space="0" w:color="auto"/>
            <w:bottom w:val="none" w:sz="0" w:space="0" w:color="auto"/>
            <w:right w:val="none" w:sz="0" w:space="0" w:color="auto"/>
          </w:divBdr>
        </w:div>
        <w:div w:id="1556237014">
          <w:marLeft w:val="640"/>
          <w:marRight w:val="0"/>
          <w:marTop w:val="0"/>
          <w:marBottom w:val="0"/>
          <w:divBdr>
            <w:top w:val="none" w:sz="0" w:space="0" w:color="auto"/>
            <w:left w:val="none" w:sz="0" w:space="0" w:color="auto"/>
            <w:bottom w:val="none" w:sz="0" w:space="0" w:color="auto"/>
            <w:right w:val="none" w:sz="0" w:space="0" w:color="auto"/>
          </w:divBdr>
        </w:div>
        <w:div w:id="426655738">
          <w:marLeft w:val="640"/>
          <w:marRight w:val="0"/>
          <w:marTop w:val="0"/>
          <w:marBottom w:val="0"/>
          <w:divBdr>
            <w:top w:val="none" w:sz="0" w:space="0" w:color="auto"/>
            <w:left w:val="none" w:sz="0" w:space="0" w:color="auto"/>
            <w:bottom w:val="none" w:sz="0" w:space="0" w:color="auto"/>
            <w:right w:val="none" w:sz="0" w:space="0" w:color="auto"/>
          </w:divBdr>
        </w:div>
        <w:div w:id="1690060679">
          <w:marLeft w:val="640"/>
          <w:marRight w:val="0"/>
          <w:marTop w:val="0"/>
          <w:marBottom w:val="0"/>
          <w:divBdr>
            <w:top w:val="none" w:sz="0" w:space="0" w:color="auto"/>
            <w:left w:val="none" w:sz="0" w:space="0" w:color="auto"/>
            <w:bottom w:val="none" w:sz="0" w:space="0" w:color="auto"/>
            <w:right w:val="none" w:sz="0" w:space="0" w:color="auto"/>
          </w:divBdr>
        </w:div>
        <w:div w:id="691565160">
          <w:marLeft w:val="640"/>
          <w:marRight w:val="0"/>
          <w:marTop w:val="0"/>
          <w:marBottom w:val="0"/>
          <w:divBdr>
            <w:top w:val="none" w:sz="0" w:space="0" w:color="auto"/>
            <w:left w:val="none" w:sz="0" w:space="0" w:color="auto"/>
            <w:bottom w:val="none" w:sz="0" w:space="0" w:color="auto"/>
            <w:right w:val="none" w:sz="0" w:space="0" w:color="auto"/>
          </w:divBdr>
        </w:div>
        <w:div w:id="554513291">
          <w:marLeft w:val="640"/>
          <w:marRight w:val="0"/>
          <w:marTop w:val="0"/>
          <w:marBottom w:val="0"/>
          <w:divBdr>
            <w:top w:val="none" w:sz="0" w:space="0" w:color="auto"/>
            <w:left w:val="none" w:sz="0" w:space="0" w:color="auto"/>
            <w:bottom w:val="none" w:sz="0" w:space="0" w:color="auto"/>
            <w:right w:val="none" w:sz="0" w:space="0" w:color="auto"/>
          </w:divBdr>
        </w:div>
        <w:div w:id="1985163893">
          <w:marLeft w:val="640"/>
          <w:marRight w:val="0"/>
          <w:marTop w:val="0"/>
          <w:marBottom w:val="0"/>
          <w:divBdr>
            <w:top w:val="none" w:sz="0" w:space="0" w:color="auto"/>
            <w:left w:val="none" w:sz="0" w:space="0" w:color="auto"/>
            <w:bottom w:val="none" w:sz="0" w:space="0" w:color="auto"/>
            <w:right w:val="none" w:sz="0" w:space="0" w:color="auto"/>
          </w:divBdr>
        </w:div>
        <w:div w:id="1187787083">
          <w:marLeft w:val="640"/>
          <w:marRight w:val="0"/>
          <w:marTop w:val="0"/>
          <w:marBottom w:val="0"/>
          <w:divBdr>
            <w:top w:val="none" w:sz="0" w:space="0" w:color="auto"/>
            <w:left w:val="none" w:sz="0" w:space="0" w:color="auto"/>
            <w:bottom w:val="none" w:sz="0" w:space="0" w:color="auto"/>
            <w:right w:val="none" w:sz="0" w:space="0" w:color="auto"/>
          </w:divBdr>
        </w:div>
        <w:div w:id="843860915">
          <w:marLeft w:val="640"/>
          <w:marRight w:val="0"/>
          <w:marTop w:val="0"/>
          <w:marBottom w:val="0"/>
          <w:divBdr>
            <w:top w:val="none" w:sz="0" w:space="0" w:color="auto"/>
            <w:left w:val="none" w:sz="0" w:space="0" w:color="auto"/>
            <w:bottom w:val="none" w:sz="0" w:space="0" w:color="auto"/>
            <w:right w:val="none" w:sz="0" w:space="0" w:color="auto"/>
          </w:divBdr>
        </w:div>
        <w:div w:id="1029139821">
          <w:marLeft w:val="640"/>
          <w:marRight w:val="0"/>
          <w:marTop w:val="0"/>
          <w:marBottom w:val="0"/>
          <w:divBdr>
            <w:top w:val="none" w:sz="0" w:space="0" w:color="auto"/>
            <w:left w:val="none" w:sz="0" w:space="0" w:color="auto"/>
            <w:bottom w:val="none" w:sz="0" w:space="0" w:color="auto"/>
            <w:right w:val="none" w:sz="0" w:space="0" w:color="auto"/>
          </w:divBdr>
        </w:div>
        <w:div w:id="235867653">
          <w:marLeft w:val="640"/>
          <w:marRight w:val="0"/>
          <w:marTop w:val="0"/>
          <w:marBottom w:val="0"/>
          <w:divBdr>
            <w:top w:val="none" w:sz="0" w:space="0" w:color="auto"/>
            <w:left w:val="none" w:sz="0" w:space="0" w:color="auto"/>
            <w:bottom w:val="none" w:sz="0" w:space="0" w:color="auto"/>
            <w:right w:val="none" w:sz="0" w:space="0" w:color="auto"/>
          </w:divBdr>
        </w:div>
        <w:div w:id="1659534215">
          <w:marLeft w:val="640"/>
          <w:marRight w:val="0"/>
          <w:marTop w:val="0"/>
          <w:marBottom w:val="0"/>
          <w:divBdr>
            <w:top w:val="none" w:sz="0" w:space="0" w:color="auto"/>
            <w:left w:val="none" w:sz="0" w:space="0" w:color="auto"/>
            <w:bottom w:val="none" w:sz="0" w:space="0" w:color="auto"/>
            <w:right w:val="none" w:sz="0" w:space="0" w:color="auto"/>
          </w:divBdr>
        </w:div>
        <w:div w:id="463543001">
          <w:marLeft w:val="640"/>
          <w:marRight w:val="0"/>
          <w:marTop w:val="0"/>
          <w:marBottom w:val="0"/>
          <w:divBdr>
            <w:top w:val="none" w:sz="0" w:space="0" w:color="auto"/>
            <w:left w:val="none" w:sz="0" w:space="0" w:color="auto"/>
            <w:bottom w:val="none" w:sz="0" w:space="0" w:color="auto"/>
            <w:right w:val="none" w:sz="0" w:space="0" w:color="auto"/>
          </w:divBdr>
        </w:div>
        <w:div w:id="2117405338">
          <w:marLeft w:val="640"/>
          <w:marRight w:val="0"/>
          <w:marTop w:val="0"/>
          <w:marBottom w:val="0"/>
          <w:divBdr>
            <w:top w:val="none" w:sz="0" w:space="0" w:color="auto"/>
            <w:left w:val="none" w:sz="0" w:space="0" w:color="auto"/>
            <w:bottom w:val="none" w:sz="0" w:space="0" w:color="auto"/>
            <w:right w:val="none" w:sz="0" w:space="0" w:color="auto"/>
          </w:divBdr>
        </w:div>
        <w:div w:id="1065031472">
          <w:marLeft w:val="640"/>
          <w:marRight w:val="0"/>
          <w:marTop w:val="0"/>
          <w:marBottom w:val="0"/>
          <w:divBdr>
            <w:top w:val="none" w:sz="0" w:space="0" w:color="auto"/>
            <w:left w:val="none" w:sz="0" w:space="0" w:color="auto"/>
            <w:bottom w:val="none" w:sz="0" w:space="0" w:color="auto"/>
            <w:right w:val="none" w:sz="0" w:space="0" w:color="auto"/>
          </w:divBdr>
        </w:div>
        <w:div w:id="222255639">
          <w:marLeft w:val="640"/>
          <w:marRight w:val="0"/>
          <w:marTop w:val="0"/>
          <w:marBottom w:val="0"/>
          <w:divBdr>
            <w:top w:val="none" w:sz="0" w:space="0" w:color="auto"/>
            <w:left w:val="none" w:sz="0" w:space="0" w:color="auto"/>
            <w:bottom w:val="none" w:sz="0" w:space="0" w:color="auto"/>
            <w:right w:val="none" w:sz="0" w:space="0" w:color="auto"/>
          </w:divBdr>
        </w:div>
        <w:div w:id="997926103">
          <w:marLeft w:val="640"/>
          <w:marRight w:val="0"/>
          <w:marTop w:val="0"/>
          <w:marBottom w:val="0"/>
          <w:divBdr>
            <w:top w:val="none" w:sz="0" w:space="0" w:color="auto"/>
            <w:left w:val="none" w:sz="0" w:space="0" w:color="auto"/>
            <w:bottom w:val="none" w:sz="0" w:space="0" w:color="auto"/>
            <w:right w:val="none" w:sz="0" w:space="0" w:color="auto"/>
          </w:divBdr>
        </w:div>
        <w:div w:id="1733045630">
          <w:marLeft w:val="640"/>
          <w:marRight w:val="0"/>
          <w:marTop w:val="0"/>
          <w:marBottom w:val="0"/>
          <w:divBdr>
            <w:top w:val="none" w:sz="0" w:space="0" w:color="auto"/>
            <w:left w:val="none" w:sz="0" w:space="0" w:color="auto"/>
            <w:bottom w:val="none" w:sz="0" w:space="0" w:color="auto"/>
            <w:right w:val="none" w:sz="0" w:space="0" w:color="auto"/>
          </w:divBdr>
        </w:div>
        <w:div w:id="1391729268">
          <w:marLeft w:val="640"/>
          <w:marRight w:val="0"/>
          <w:marTop w:val="0"/>
          <w:marBottom w:val="0"/>
          <w:divBdr>
            <w:top w:val="none" w:sz="0" w:space="0" w:color="auto"/>
            <w:left w:val="none" w:sz="0" w:space="0" w:color="auto"/>
            <w:bottom w:val="none" w:sz="0" w:space="0" w:color="auto"/>
            <w:right w:val="none" w:sz="0" w:space="0" w:color="auto"/>
          </w:divBdr>
        </w:div>
        <w:div w:id="1746685286">
          <w:marLeft w:val="640"/>
          <w:marRight w:val="0"/>
          <w:marTop w:val="0"/>
          <w:marBottom w:val="0"/>
          <w:divBdr>
            <w:top w:val="none" w:sz="0" w:space="0" w:color="auto"/>
            <w:left w:val="none" w:sz="0" w:space="0" w:color="auto"/>
            <w:bottom w:val="none" w:sz="0" w:space="0" w:color="auto"/>
            <w:right w:val="none" w:sz="0" w:space="0" w:color="auto"/>
          </w:divBdr>
        </w:div>
        <w:div w:id="1764718453">
          <w:marLeft w:val="640"/>
          <w:marRight w:val="0"/>
          <w:marTop w:val="0"/>
          <w:marBottom w:val="0"/>
          <w:divBdr>
            <w:top w:val="none" w:sz="0" w:space="0" w:color="auto"/>
            <w:left w:val="none" w:sz="0" w:space="0" w:color="auto"/>
            <w:bottom w:val="none" w:sz="0" w:space="0" w:color="auto"/>
            <w:right w:val="none" w:sz="0" w:space="0" w:color="auto"/>
          </w:divBdr>
        </w:div>
        <w:div w:id="1966502622">
          <w:marLeft w:val="640"/>
          <w:marRight w:val="0"/>
          <w:marTop w:val="0"/>
          <w:marBottom w:val="0"/>
          <w:divBdr>
            <w:top w:val="none" w:sz="0" w:space="0" w:color="auto"/>
            <w:left w:val="none" w:sz="0" w:space="0" w:color="auto"/>
            <w:bottom w:val="none" w:sz="0" w:space="0" w:color="auto"/>
            <w:right w:val="none" w:sz="0" w:space="0" w:color="auto"/>
          </w:divBdr>
        </w:div>
        <w:div w:id="1556233008">
          <w:marLeft w:val="640"/>
          <w:marRight w:val="0"/>
          <w:marTop w:val="0"/>
          <w:marBottom w:val="0"/>
          <w:divBdr>
            <w:top w:val="none" w:sz="0" w:space="0" w:color="auto"/>
            <w:left w:val="none" w:sz="0" w:space="0" w:color="auto"/>
            <w:bottom w:val="none" w:sz="0" w:space="0" w:color="auto"/>
            <w:right w:val="none" w:sz="0" w:space="0" w:color="auto"/>
          </w:divBdr>
        </w:div>
        <w:div w:id="655452772">
          <w:marLeft w:val="640"/>
          <w:marRight w:val="0"/>
          <w:marTop w:val="0"/>
          <w:marBottom w:val="0"/>
          <w:divBdr>
            <w:top w:val="none" w:sz="0" w:space="0" w:color="auto"/>
            <w:left w:val="none" w:sz="0" w:space="0" w:color="auto"/>
            <w:bottom w:val="none" w:sz="0" w:space="0" w:color="auto"/>
            <w:right w:val="none" w:sz="0" w:space="0" w:color="auto"/>
          </w:divBdr>
        </w:div>
        <w:div w:id="846753717">
          <w:marLeft w:val="640"/>
          <w:marRight w:val="0"/>
          <w:marTop w:val="0"/>
          <w:marBottom w:val="0"/>
          <w:divBdr>
            <w:top w:val="none" w:sz="0" w:space="0" w:color="auto"/>
            <w:left w:val="none" w:sz="0" w:space="0" w:color="auto"/>
            <w:bottom w:val="none" w:sz="0" w:space="0" w:color="auto"/>
            <w:right w:val="none" w:sz="0" w:space="0" w:color="auto"/>
          </w:divBdr>
        </w:div>
        <w:div w:id="748041590">
          <w:marLeft w:val="640"/>
          <w:marRight w:val="0"/>
          <w:marTop w:val="0"/>
          <w:marBottom w:val="0"/>
          <w:divBdr>
            <w:top w:val="none" w:sz="0" w:space="0" w:color="auto"/>
            <w:left w:val="none" w:sz="0" w:space="0" w:color="auto"/>
            <w:bottom w:val="none" w:sz="0" w:space="0" w:color="auto"/>
            <w:right w:val="none" w:sz="0" w:space="0" w:color="auto"/>
          </w:divBdr>
        </w:div>
        <w:div w:id="362945041">
          <w:marLeft w:val="640"/>
          <w:marRight w:val="0"/>
          <w:marTop w:val="0"/>
          <w:marBottom w:val="0"/>
          <w:divBdr>
            <w:top w:val="none" w:sz="0" w:space="0" w:color="auto"/>
            <w:left w:val="none" w:sz="0" w:space="0" w:color="auto"/>
            <w:bottom w:val="none" w:sz="0" w:space="0" w:color="auto"/>
            <w:right w:val="none" w:sz="0" w:space="0" w:color="auto"/>
          </w:divBdr>
        </w:div>
        <w:div w:id="288437708">
          <w:marLeft w:val="640"/>
          <w:marRight w:val="0"/>
          <w:marTop w:val="0"/>
          <w:marBottom w:val="0"/>
          <w:divBdr>
            <w:top w:val="none" w:sz="0" w:space="0" w:color="auto"/>
            <w:left w:val="none" w:sz="0" w:space="0" w:color="auto"/>
            <w:bottom w:val="none" w:sz="0" w:space="0" w:color="auto"/>
            <w:right w:val="none" w:sz="0" w:space="0" w:color="auto"/>
          </w:divBdr>
        </w:div>
        <w:div w:id="2088072619">
          <w:marLeft w:val="640"/>
          <w:marRight w:val="0"/>
          <w:marTop w:val="0"/>
          <w:marBottom w:val="0"/>
          <w:divBdr>
            <w:top w:val="none" w:sz="0" w:space="0" w:color="auto"/>
            <w:left w:val="none" w:sz="0" w:space="0" w:color="auto"/>
            <w:bottom w:val="none" w:sz="0" w:space="0" w:color="auto"/>
            <w:right w:val="none" w:sz="0" w:space="0" w:color="auto"/>
          </w:divBdr>
        </w:div>
        <w:div w:id="1292979906">
          <w:marLeft w:val="640"/>
          <w:marRight w:val="0"/>
          <w:marTop w:val="0"/>
          <w:marBottom w:val="0"/>
          <w:divBdr>
            <w:top w:val="none" w:sz="0" w:space="0" w:color="auto"/>
            <w:left w:val="none" w:sz="0" w:space="0" w:color="auto"/>
            <w:bottom w:val="none" w:sz="0" w:space="0" w:color="auto"/>
            <w:right w:val="none" w:sz="0" w:space="0" w:color="auto"/>
          </w:divBdr>
        </w:div>
        <w:div w:id="277949995">
          <w:marLeft w:val="640"/>
          <w:marRight w:val="0"/>
          <w:marTop w:val="0"/>
          <w:marBottom w:val="0"/>
          <w:divBdr>
            <w:top w:val="none" w:sz="0" w:space="0" w:color="auto"/>
            <w:left w:val="none" w:sz="0" w:space="0" w:color="auto"/>
            <w:bottom w:val="none" w:sz="0" w:space="0" w:color="auto"/>
            <w:right w:val="none" w:sz="0" w:space="0" w:color="auto"/>
          </w:divBdr>
        </w:div>
        <w:div w:id="948437562">
          <w:marLeft w:val="640"/>
          <w:marRight w:val="0"/>
          <w:marTop w:val="0"/>
          <w:marBottom w:val="0"/>
          <w:divBdr>
            <w:top w:val="none" w:sz="0" w:space="0" w:color="auto"/>
            <w:left w:val="none" w:sz="0" w:space="0" w:color="auto"/>
            <w:bottom w:val="none" w:sz="0" w:space="0" w:color="auto"/>
            <w:right w:val="none" w:sz="0" w:space="0" w:color="auto"/>
          </w:divBdr>
        </w:div>
        <w:div w:id="14230584">
          <w:marLeft w:val="640"/>
          <w:marRight w:val="0"/>
          <w:marTop w:val="0"/>
          <w:marBottom w:val="0"/>
          <w:divBdr>
            <w:top w:val="none" w:sz="0" w:space="0" w:color="auto"/>
            <w:left w:val="none" w:sz="0" w:space="0" w:color="auto"/>
            <w:bottom w:val="none" w:sz="0" w:space="0" w:color="auto"/>
            <w:right w:val="none" w:sz="0" w:space="0" w:color="auto"/>
          </w:divBdr>
        </w:div>
        <w:div w:id="252322444">
          <w:marLeft w:val="640"/>
          <w:marRight w:val="0"/>
          <w:marTop w:val="0"/>
          <w:marBottom w:val="0"/>
          <w:divBdr>
            <w:top w:val="none" w:sz="0" w:space="0" w:color="auto"/>
            <w:left w:val="none" w:sz="0" w:space="0" w:color="auto"/>
            <w:bottom w:val="none" w:sz="0" w:space="0" w:color="auto"/>
            <w:right w:val="none" w:sz="0" w:space="0" w:color="auto"/>
          </w:divBdr>
        </w:div>
        <w:div w:id="1674337020">
          <w:marLeft w:val="640"/>
          <w:marRight w:val="0"/>
          <w:marTop w:val="0"/>
          <w:marBottom w:val="0"/>
          <w:divBdr>
            <w:top w:val="none" w:sz="0" w:space="0" w:color="auto"/>
            <w:left w:val="none" w:sz="0" w:space="0" w:color="auto"/>
            <w:bottom w:val="none" w:sz="0" w:space="0" w:color="auto"/>
            <w:right w:val="none" w:sz="0" w:space="0" w:color="auto"/>
          </w:divBdr>
        </w:div>
        <w:div w:id="693657276">
          <w:marLeft w:val="640"/>
          <w:marRight w:val="0"/>
          <w:marTop w:val="0"/>
          <w:marBottom w:val="0"/>
          <w:divBdr>
            <w:top w:val="none" w:sz="0" w:space="0" w:color="auto"/>
            <w:left w:val="none" w:sz="0" w:space="0" w:color="auto"/>
            <w:bottom w:val="none" w:sz="0" w:space="0" w:color="auto"/>
            <w:right w:val="none" w:sz="0" w:space="0" w:color="auto"/>
          </w:divBdr>
        </w:div>
        <w:div w:id="1966959010">
          <w:marLeft w:val="640"/>
          <w:marRight w:val="0"/>
          <w:marTop w:val="0"/>
          <w:marBottom w:val="0"/>
          <w:divBdr>
            <w:top w:val="none" w:sz="0" w:space="0" w:color="auto"/>
            <w:left w:val="none" w:sz="0" w:space="0" w:color="auto"/>
            <w:bottom w:val="none" w:sz="0" w:space="0" w:color="auto"/>
            <w:right w:val="none" w:sz="0" w:space="0" w:color="auto"/>
          </w:divBdr>
        </w:div>
        <w:div w:id="28142188">
          <w:marLeft w:val="640"/>
          <w:marRight w:val="0"/>
          <w:marTop w:val="0"/>
          <w:marBottom w:val="0"/>
          <w:divBdr>
            <w:top w:val="none" w:sz="0" w:space="0" w:color="auto"/>
            <w:left w:val="none" w:sz="0" w:space="0" w:color="auto"/>
            <w:bottom w:val="none" w:sz="0" w:space="0" w:color="auto"/>
            <w:right w:val="none" w:sz="0" w:space="0" w:color="auto"/>
          </w:divBdr>
        </w:div>
        <w:div w:id="1277326171">
          <w:marLeft w:val="640"/>
          <w:marRight w:val="0"/>
          <w:marTop w:val="0"/>
          <w:marBottom w:val="0"/>
          <w:divBdr>
            <w:top w:val="none" w:sz="0" w:space="0" w:color="auto"/>
            <w:left w:val="none" w:sz="0" w:space="0" w:color="auto"/>
            <w:bottom w:val="none" w:sz="0" w:space="0" w:color="auto"/>
            <w:right w:val="none" w:sz="0" w:space="0" w:color="auto"/>
          </w:divBdr>
        </w:div>
        <w:div w:id="342443497">
          <w:marLeft w:val="640"/>
          <w:marRight w:val="0"/>
          <w:marTop w:val="0"/>
          <w:marBottom w:val="0"/>
          <w:divBdr>
            <w:top w:val="none" w:sz="0" w:space="0" w:color="auto"/>
            <w:left w:val="none" w:sz="0" w:space="0" w:color="auto"/>
            <w:bottom w:val="none" w:sz="0" w:space="0" w:color="auto"/>
            <w:right w:val="none" w:sz="0" w:space="0" w:color="auto"/>
          </w:divBdr>
        </w:div>
        <w:div w:id="279344781">
          <w:marLeft w:val="640"/>
          <w:marRight w:val="0"/>
          <w:marTop w:val="0"/>
          <w:marBottom w:val="0"/>
          <w:divBdr>
            <w:top w:val="none" w:sz="0" w:space="0" w:color="auto"/>
            <w:left w:val="none" w:sz="0" w:space="0" w:color="auto"/>
            <w:bottom w:val="none" w:sz="0" w:space="0" w:color="auto"/>
            <w:right w:val="none" w:sz="0" w:space="0" w:color="auto"/>
          </w:divBdr>
        </w:div>
        <w:div w:id="527765435">
          <w:marLeft w:val="640"/>
          <w:marRight w:val="0"/>
          <w:marTop w:val="0"/>
          <w:marBottom w:val="0"/>
          <w:divBdr>
            <w:top w:val="none" w:sz="0" w:space="0" w:color="auto"/>
            <w:left w:val="none" w:sz="0" w:space="0" w:color="auto"/>
            <w:bottom w:val="none" w:sz="0" w:space="0" w:color="auto"/>
            <w:right w:val="none" w:sz="0" w:space="0" w:color="auto"/>
          </w:divBdr>
        </w:div>
        <w:div w:id="167645381">
          <w:marLeft w:val="640"/>
          <w:marRight w:val="0"/>
          <w:marTop w:val="0"/>
          <w:marBottom w:val="0"/>
          <w:divBdr>
            <w:top w:val="none" w:sz="0" w:space="0" w:color="auto"/>
            <w:left w:val="none" w:sz="0" w:space="0" w:color="auto"/>
            <w:bottom w:val="none" w:sz="0" w:space="0" w:color="auto"/>
            <w:right w:val="none" w:sz="0" w:space="0" w:color="auto"/>
          </w:divBdr>
        </w:div>
        <w:div w:id="1486623591">
          <w:marLeft w:val="640"/>
          <w:marRight w:val="0"/>
          <w:marTop w:val="0"/>
          <w:marBottom w:val="0"/>
          <w:divBdr>
            <w:top w:val="none" w:sz="0" w:space="0" w:color="auto"/>
            <w:left w:val="none" w:sz="0" w:space="0" w:color="auto"/>
            <w:bottom w:val="none" w:sz="0" w:space="0" w:color="auto"/>
            <w:right w:val="none" w:sz="0" w:space="0" w:color="auto"/>
          </w:divBdr>
        </w:div>
        <w:div w:id="1922761239">
          <w:marLeft w:val="640"/>
          <w:marRight w:val="0"/>
          <w:marTop w:val="0"/>
          <w:marBottom w:val="0"/>
          <w:divBdr>
            <w:top w:val="none" w:sz="0" w:space="0" w:color="auto"/>
            <w:left w:val="none" w:sz="0" w:space="0" w:color="auto"/>
            <w:bottom w:val="none" w:sz="0" w:space="0" w:color="auto"/>
            <w:right w:val="none" w:sz="0" w:space="0" w:color="auto"/>
          </w:divBdr>
        </w:div>
        <w:div w:id="1179275090">
          <w:marLeft w:val="640"/>
          <w:marRight w:val="0"/>
          <w:marTop w:val="0"/>
          <w:marBottom w:val="0"/>
          <w:divBdr>
            <w:top w:val="none" w:sz="0" w:space="0" w:color="auto"/>
            <w:left w:val="none" w:sz="0" w:space="0" w:color="auto"/>
            <w:bottom w:val="none" w:sz="0" w:space="0" w:color="auto"/>
            <w:right w:val="none" w:sz="0" w:space="0" w:color="auto"/>
          </w:divBdr>
        </w:div>
        <w:div w:id="635184745">
          <w:marLeft w:val="640"/>
          <w:marRight w:val="0"/>
          <w:marTop w:val="0"/>
          <w:marBottom w:val="0"/>
          <w:divBdr>
            <w:top w:val="none" w:sz="0" w:space="0" w:color="auto"/>
            <w:left w:val="none" w:sz="0" w:space="0" w:color="auto"/>
            <w:bottom w:val="none" w:sz="0" w:space="0" w:color="auto"/>
            <w:right w:val="none" w:sz="0" w:space="0" w:color="auto"/>
          </w:divBdr>
        </w:div>
        <w:div w:id="682782612">
          <w:marLeft w:val="640"/>
          <w:marRight w:val="0"/>
          <w:marTop w:val="0"/>
          <w:marBottom w:val="0"/>
          <w:divBdr>
            <w:top w:val="none" w:sz="0" w:space="0" w:color="auto"/>
            <w:left w:val="none" w:sz="0" w:space="0" w:color="auto"/>
            <w:bottom w:val="none" w:sz="0" w:space="0" w:color="auto"/>
            <w:right w:val="none" w:sz="0" w:space="0" w:color="auto"/>
          </w:divBdr>
        </w:div>
        <w:div w:id="506872161">
          <w:marLeft w:val="640"/>
          <w:marRight w:val="0"/>
          <w:marTop w:val="0"/>
          <w:marBottom w:val="0"/>
          <w:divBdr>
            <w:top w:val="none" w:sz="0" w:space="0" w:color="auto"/>
            <w:left w:val="none" w:sz="0" w:space="0" w:color="auto"/>
            <w:bottom w:val="none" w:sz="0" w:space="0" w:color="auto"/>
            <w:right w:val="none" w:sz="0" w:space="0" w:color="auto"/>
          </w:divBdr>
        </w:div>
        <w:div w:id="1012797646">
          <w:marLeft w:val="640"/>
          <w:marRight w:val="0"/>
          <w:marTop w:val="0"/>
          <w:marBottom w:val="0"/>
          <w:divBdr>
            <w:top w:val="none" w:sz="0" w:space="0" w:color="auto"/>
            <w:left w:val="none" w:sz="0" w:space="0" w:color="auto"/>
            <w:bottom w:val="none" w:sz="0" w:space="0" w:color="auto"/>
            <w:right w:val="none" w:sz="0" w:space="0" w:color="auto"/>
          </w:divBdr>
        </w:div>
        <w:div w:id="1310287346">
          <w:marLeft w:val="640"/>
          <w:marRight w:val="0"/>
          <w:marTop w:val="0"/>
          <w:marBottom w:val="0"/>
          <w:divBdr>
            <w:top w:val="none" w:sz="0" w:space="0" w:color="auto"/>
            <w:left w:val="none" w:sz="0" w:space="0" w:color="auto"/>
            <w:bottom w:val="none" w:sz="0" w:space="0" w:color="auto"/>
            <w:right w:val="none" w:sz="0" w:space="0" w:color="auto"/>
          </w:divBdr>
        </w:div>
        <w:div w:id="231701429">
          <w:marLeft w:val="640"/>
          <w:marRight w:val="0"/>
          <w:marTop w:val="0"/>
          <w:marBottom w:val="0"/>
          <w:divBdr>
            <w:top w:val="none" w:sz="0" w:space="0" w:color="auto"/>
            <w:left w:val="none" w:sz="0" w:space="0" w:color="auto"/>
            <w:bottom w:val="none" w:sz="0" w:space="0" w:color="auto"/>
            <w:right w:val="none" w:sz="0" w:space="0" w:color="auto"/>
          </w:divBdr>
        </w:div>
        <w:div w:id="230653104">
          <w:marLeft w:val="640"/>
          <w:marRight w:val="0"/>
          <w:marTop w:val="0"/>
          <w:marBottom w:val="0"/>
          <w:divBdr>
            <w:top w:val="none" w:sz="0" w:space="0" w:color="auto"/>
            <w:left w:val="none" w:sz="0" w:space="0" w:color="auto"/>
            <w:bottom w:val="none" w:sz="0" w:space="0" w:color="auto"/>
            <w:right w:val="none" w:sz="0" w:space="0" w:color="auto"/>
          </w:divBdr>
        </w:div>
        <w:div w:id="238751098">
          <w:marLeft w:val="640"/>
          <w:marRight w:val="0"/>
          <w:marTop w:val="0"/>
          <w:marBottom w:val="0"/>
          <w:divBdr>
            <w:top w:val="none" w:sz="0" w:space="0" w:color="auto"/>
            <w:left w:val="none" w:sz="0" w:space="0" w:color="auto"/>
            <w:bottom w:val="none" w:sz="0" w:space="0" w:color="auto"/>
            <w:right w:val="none" w:sz="0" w:space="0" w:color="auto"/>
          </w:divBdr>
        </w:div>
        <w:div w:id="487936924">
          <w:marLeft w:val="640"/>
          <w:marRight w:val="0"/>
          <w:marTop w:val="0"/>
          <w:marBottom w:val="0"/>
          <w:divBdr>
            <w:top w:val="none" w:sz="0" w:space="0" w:color="auto"/>
            <w:left w:val="none" w:sz="0" w:space="0" w:color="auto"/>
            <w:bottom w:val="none" w:sz="0" w:space="0" w:color="auto"/>
            <w:right w:val="none" w:sz="0" w:space="0" w:color="auto"/>
          </w:divBdr>
        </w:div>
        <w:div w:id="685448977">
          <w:marLeft w:val="640"/>
          <w:marRight w:val="0"/>
          <w:marTop w:val="0"/>
          <w:marBottom w:val="0"/>
          <w:divBdr>
            <w:top w:val="none" w:sz="0" w:space="0" w:color="auto"/>
            <w:left w:val="none" w:sz="0" w:space="0" w:color="auto"/>
            <w:bottom w:val="none" w:sz="0" w:space="0" w:color="auto"/>
            <w:right w:val="none" w:sz="0" w:space="0" w:color="auto"/>
          </w:divBdr>
        </w:div>
        <w:div w:id="1630936257">
          <w:marLeft w:val="640"/>
          <w:marRight w:val="0"/>
          <w:marTop w:val="0"/>
          <w:marBottom w:val="0"/>
          <w:divBdr>
            <w:top w:val="none" w:sz="0" w:space="0" w:color="auto"/>
            <w:left w:val="none" w:sz="0" w:space="0" w:color="auto"/>
            <w:bottom w:val="none" w:sz="0" w:space="0" w:color="auto"/>
            <w:right w:val="none" w:sz="0" w:space="0" w:color="auto"/>
          </w:divBdr>
        </w:div>
        <w:div w:id="733897564">
          <w:marLeft w:val="640"/>
          <w:marRight w:val="0"/>
          <w:marTop w:val="0"/>
          <w:marBottom w:val="0"/>
          <w:divBdr>
            <w:top w:val="none" w:sz="0" w:space="0" w:color="auto"/>
            <w:left w:val="none" w:sz="0" w:space="0" w:color="auto"/>
            <w:bottom w:val="none" w:sz="0" w:space="0" w:color="auto"/>
            <w:right w:val="none" w:sz="0" w:space="0" w:color="auto"/>
          </w:divBdr>
        </w:div>
        <w:div w:id="1667518638">
          <w:marLeft w:val="640"/>
          <w:marRight w:val="0"/>
          <w:marTop w:val="0"/>
          <w:marBottom w:val="0"/>
          <w:divBdr>
            <w:top w:val="none" w:sz="0" w:space="0" w:color="auto"/>
            <w:left w:val="none" w:sz="0" w:space="0" w:color="auto"/>
            <w:bottom w:val="none" w:sz="0" w:space="0" w:color="auto"/>
            <w:right w:val="none" w:sz="0" w:space="0" w:color="auto"/>
          </w:divBdr>
        </w:div>
        <w:div w:id="1149057780">
          <w:marLeft w:val="640"/>
          <w:marRight w:val="0"/>
          <w:marTop w:val="0"/>
          <w:marBottom w:val="0"/>
          <w:divBdr>
            <w:top w:val="none" w:sz="0" w:space="0" w:color="auto"/>
            <w:left w:val="none" w:sz="0" w:space="0" w:color="auto"/>
            <w:bottom w:val="none" w:sz="0" w:space="0" w:color="auto"/>
            <w:right w:val="none" w:sz="0" w:space="0" w:color="auto"/>
          </w:divBdr>
        </w:div>
        <w:div w:id="1079790165">
          <w:marLeft w:val="640"/>
          <w:marRight w:val="0"/>
          <w:marTop w:val="0"/>
          <w:marBottom w:val="0"/>
          <w:divBdr>
            <w:top w:val="none" w:sz="0" w:space="0" w:color="auto"/>
            <w:left w:val="none" w:sz="0" w:space="0" w:color="auto"/>
            <w:bottom w:val="none" w:sz="0" w:space="0" w:color="auto"/>
            <w:right w:val="none" w:sz="0" w:space="0" w:color="auto"/>
          </w:divBdr>
        </w:div>
        <w:div w:id="765805521">
          <w:marLeft w:val="640"/>
          <w:marRight w:val="0"/>
          <w:marTop w:val="0"/>
          <w:marBottom w:val="0"/>
          <w:divBdr>
            <w:top w:val="none" w:sz="0" w:space="0" w:color="auto"/>
            <w:left w:val="none" w:sz="0" w:space="0" w:color="auto"/>
            <w:bottom w:val="none" w:sz="0" w:space="0" w:color="auto"/>
            <w:right w:val="none" w:sz="0" w:space="0" w:color="auto"/>
          </w:divBdr>
        </w:div>
        <w:div w:id="1308516063">
          <w:marLeft w:val="640"/>
          <w:marRight w:val="0"/>
          <w:marTop w:val="0"/>
          <w:marBottom w:val="0"/>
          <w:divBdr>
            <w:top w:val="none" w:sz="0" w:space="0" w:color="auto"/>
            <w:left w:val="none" w:sz="0" w:space="0" w:color="auto"/>
            <w:bottom w:val="none" w:sz="0" w:space="0" w:color="auto"/>
            <w:right w:val="none" w:sz="0" w:space="0" w:color="auto"/>
          </w:divBdr>
        </w:div>
        <w:div w:id="1158620626">
          <w:marLeft w:val="640"/>
          <w:marRight w:val="0"/>
          <w:marTop w:val="0"/>
          <w:marBottom w:val="0"/>
          <w:divBdr>
            <w:top w:val="none" w:sz="0" w:space="0" w:color="auto"/>
            <w:left w:val="none" w:sz="0" w:space="0" w:color="auto"/>
            <w:bottom w:val="none" w:sz="0" w:space="0" w:color="auto"/>
            <w:right w:val="none" w:sz="0" w:space="0" w:color="auto"/>
          </w:divBdr>
        </w:div>
        <w:div w:id="214388242">
          <w:marLeft w:val="640"/>
          <w:marRight w:val="0"/>
          <w:marTop w:val="0"/>
          <w:marBottom w:val="0"/>
          <w:divBdr>
            <w:top w:val="none" w:sz="0" w:space="0" w:color="auto"/>
            <w:left w:val="none" w:sz="0" w:space="0" w:color="auto"/>
            <w:bottom w:val="none" w:sz="0" w:space="0" w:color="auto"/>
            <w:right w:val="none" w:sz="0" w:space="0" w:color="auto"/>
          </w:divBdr>
        </w:div>
        <w:div w:id="516819711">
          <w:marLeft w:val="640"/>
          <w:marRight w:val="0"/>
          <w:marTop w:val="0"/>
          <w:marBottom w:val="0"/>
          <w:divBdr>
            <w:top w:val="none" w:sz="0" w:space="0" w:color="auto"/>
            <w:left w:val="none" w:sz="0" w:space="0" w:color="auto"/>
            <w:bottom w:val="none" w:sz="0" w:space="0" w:color="auto"/>
            <w:right w:val="none" w:sz="0" w:space="0" w:color="auto"/>
          </w:divBdr>
        </w:div>
        <w:div w:id="1549993555">
          <w:marLeft w:val="640"/>
          <w:marRight w:val="0"/>
          <w:marTop w:val="0"/>
          <w:marBottom w:val="0"/>
          <w:divBdr>
            <w:top w:val="none" w:sz="0" w:space="0" w:color="auto"/>
            <w:left w:val="none" w:sz="0" w:space="0" w:color="auto"/>
            <w:bottom w:val="none" w:sz="0" w:space="0" w:color="auto"/>
            <w:right w:val="none" w:sz="0" w:space="0" w:color="auto"/>
          </w:divBdr>
        </w:div>
        <w:div w:id="600257715">
          <w:marLeft w:val="640"/>
          <w:marRight w:val="0"/>
          <w:marTop w:val="0"/>
          <w:marBottom w:val="0"/>
          <w:divBdr>
            <w:top w:val="none" w:sz="0" w:space="0" w:color="auto"/>
            <w:left w:val="none" w:sz="0" w:space="0" w:color="auto"/>
            <w:bottom w:val="none" w:sz="0" w:space="0" w:color="auto"/>
            <w:right w:val="none" w:sz="0" w:space="0" w:color="auto"/>
          </w:divBdr>
        </w:div>
        <w:div w:id="1271666788">
          <w:marLeft w:val="640"/>
          <w:marRight w:val="0"/>
          <w:marTop w:val="0"/>
          <w:marBottom w:val="0"/>
          <w:divBdr>
            <w:top w:val="none" w:sz="0" w:space="0" w:color="auto"/>
            <w:left w:val="none" w:sz="0" w:space="0" w:color="auto"/>
            <w:bottom w:val="none" w:sz="0" w:space="0" w:color="auto"/>
            <w:right w:val="none" w:sz="0" w:space="0" w:color="auto"/>
          </w:divBdr>
        </w:div>
        <w:div w:id="1105491714">
          <w:marLeft w:val="640"/>
          <w:marRight w:val="0"/>
          <w:marTop w:val="0"/>
          <w:marBottom w:val="0"/>
          <w:divBdr>
            <w:top w:val="none" w:sz="0" w:space="0" w:color="auto"/>
            <w:left w:val="none" w:sz="0" w:space="0" w:color="auto"/>
            <w:bottom w:val="none" w:sz="0" w:space="0" w:color="auto"/>
            <w:right w:val="none" w:sz="0" w:space="0" w:color="auto"/>
          </w:divBdr>
        </w:div>
        <w:div w:id="547424222">
          <w:marLeft w:val="640"/>
          <w:marRight w:val="0"/>
          <w:marTop w:val="0"/>
          <w:marBottom w:val="0"/>
          <w:divBdr>
            <w:top w:val="none" w:sz="0" w:space="0" w:color="auto"/>
            <w:left w:val="none" w:sz="0" w:space="0" w:color="auto"/>
            <w:bottom w:val="none" w:sz="0" w:space="0" w:color="auto"/>
            <w:right w:val="none" w:sz="0" w:space="0" w:color="auto"/>
          </w:divBdr>
        </w:div>
        <w:div w:id="1816793661">
          <w:marLeft w:val="640"/>
          <w:marRight w:val="0"/>
          <w:marTop w:val="0"/>
          <w:marBottom w:val="0"/>
          <w:divBdr>
            <w:top w:val="none" w:sz="0" w:space="0" w:color="auto"/>
            <w:left w:val="none" w:sz="0" w:space="0" w:color="auto"/>
            <w:bottom w:val="none" w:sz="0" w:space="0" w:color="auto"/>
            <w:right w:val="none" w:sz="0" w:space="0" w:color="auto"/>
          </w:divBdr>
        </w:div>
        <w:div w:id="1308315118">
          <w:marLeft w:val="640"/>
          <w:marRight w:val="0"/>
          <w:marTop w:val="0"/>
          <w:marBottom w:val="0"/>
          <w:divBdr>
            <w:top w:val="none" w:sz="0" w:space="0" w:color="auto"/>
            <w:left w:val="none" w:sz="0" w:space="0" w:color="auto"/>
            <w:bottom w:val="none" w:sz="0" w:space="0" w:color="auto"/>
            <w:right w:val="none" w:sz="0" w:space="0" w:color="auto"/>
          </w:divBdr>
        </w:div>
        <w:div w:id="1133405134">
          <w:marLeft w:val="640"/>
          <w:marRight w:val="0"/>
          <w:marTop w:val="0"/>
          <w:marBottom w:val="0"/>
          <w:divBdr>
            <w:top w:val="none" w:sz="0" w:space="0" w:color="auto"/>
            <w:left w:val="none" w:sz="0" w:space="0" w:color="auto"/>
            <w:bottom w:val="none" w:sz="0" w:space="0" w:color="auto"/>
            <w:right w:val="none" w:sz="0" w:space="0" w:color="auto"/>
          </w:divBdr>
        </w:div>
        <w:div w:id="39745519">
          <w:marLeft w:val="640"/>
          <w:marRight w:val="0"/>
          <w:marTop w:val="0"/>
          <w:marBottom w:val="0"/>
          <w:divBdr>
            <w:top w:val="none" w:sz="0" w:space="0" w:color="auto"/>
            <w:left w:val="none" w:sz="0" w:space="0" w:color="auto"/>
            <w:bottom w:val="none" w:sz="0" w:space="0" w:color="auto"/>
            <w:right w:val="none" w:sz="0" w:space="0" w:color="auto"/>
          </w:divBdr>
        </w:div>
        <w:div w:id="627079895">
          <w:marLeft w:val="640"/>
          <w:marRight w:val="0"/>
          <w:marTop w:val="0"/>
          <w:marBottom w:val="0"/>
          <w:divBdr>
            <w:top w:val="none" w:sz="0" w:space="0" w:color="auto"/>
            <w:left w:val="none" w:sz="0" w:space="0" w:color="auto"/>
            <w:bottom w:val="none" w:sz="0" w:space="0" w:color="auto"/>
            <w:right w:val="none" w:sz="0" w:space="0" w:color="auto"/>
          </w:divBdr>
        </w:div>
        <w:div w:id="912205703">
          <w:marLeft w:val="640"/>
          <w:marRight w:val="0"/>
          <w:marTop w:val="0"/>
          <w:marBottom w:val="0"/>
          <w:divBdr>
            <w:top w:val="none" w:sz="0" w:space="0" w:color="auto"/>
            <w:left w:val="none" w:sz="0" w:space="0" w:color="auto"/>
            <w:bottom w:val="none" w:sz="0" w:space="0" w:color="auto"/>
            <w:right w:val="none" w:sz="0" w:space="0" w:color="auto"/>
          </w:divBdr>
        </w:div>
        <w:div w:id="197622960">
          <w:marLeft w:val="640"/>
          <w:marRight w:val="0"/>
          <w:marTop w:val="0"/>
          <w:marBottom w:val="0"/>
          <w:divBdr>
            <w:top w:val="none" w:sz="0" w:space="0" w:color="auto"/>
            <w:left w:val="none" w:sz="0" w:space="0" w:color="auto"/>
            <w:bottom w:val="none" w:sz="0" w:space="0" w:color="auto"/>
            <w:right w:val="none" w:sz="0" w:space="0" w:color="auto"/>
          </w:divBdr>
        </w:div>
        <w:div w:id="378091468">
          <w:marLeft w:val="640"/>
          <w:marRight w:val="0"/>
          <w:marTop w:val="0"/>
          <w:marBottom w:val="0"/>
          <w:divBdr>
            <w:top w:val="none" w:sz="0" w:space="0" w:color="auto"/>
            <w:left w:val="none" w:sz="0" w:space="0" w:color="auto"/>
            <w:bottom w:val="none" w:sz="0" w:space="0" w:color="auto"/>
            <w:right w:val="none" w:sz="0" w:space="0" w:color="auto"/>
          </w:divBdr>
        </w:div>
        <w:div w:id="669134966">
          <w:marLeft w:val="640"/>
          <w:marRight w:val="0"/>
          <w:marTop w:val="0"/>
          <w:marBottom w:val="0"/>
          <w:divBdr>
            <w:top w:val="none" w:sz="0" w:space="0" w:color="auto"/>
            <w:left w:val="none" w:sz="0" w:space="0" w:color="auto"/>
            <w:bottom w:val="none" w:sz="0" w:space="0" w:color="auto"/>
            <w:right w:val="none" w:sz="0" w:space="0" w:color="auto"/>
          </w:divBdr>
        </w:div>
        <w:div w:id="1119496348">
          <w:marLeft w:val="640"/>
          <w:marRight w:val="0"/>
          <w:marTop w:val="0"/>
          <w:marBottom w:val="0"/>
          <w:divBdr>
            <w:top w:val="none" w:sz="0" w:space="0" w:color="auto"/>
            <w:left w:val="none" w:sz="0" w:space="0" w:color="auto"/>
            <w:bottom w:val="none" w:sz="0" w:space="0" w:color="auto"/>
            <w:right w:val="none" w:sz="0" w:space="0" w:color="auto"/>
          </w:divBdr>
        </w:div>
        <w:div w:id="1907034009">
          <w:marLeft w:val="640"/>
          <w:marRight w:val="0"/>
          <w:marTop w:val="0"/>
          <w:marBottom w:val="0"/>
          <w:divBdr>
            <w:top w:val="none" w:sz="0" w:space="0" w:color="auto"/>
            <w:left w:val="none" w:sz="0" w:space="0" w:color="auto"/>
            <w:bottom w:val="none" w:sz="0" w:space="0" w:color="auto"/>
            <w:right w:val="none" w:sz="0" w:space="0" w:color="auto"/>
          </w:divBdr>
        </w:div>
        <w:div w:id="2112972974">
          <w:marLeft w:val="640"/>
          <w:marRight w:val="0"/>
          <w:marTop w:val="0"/>
          <w:marBottom w:val="0"/>
          <w:divBdr>
            <w:top w:val="none" w:sz="0" w:space="0" w:color="auto"/>
            <w:left w:val="none" w:sz="0" w:space="0" w:color="auto"/>
            <w:bottom w:val="none" w:sz="0" w:space="0" w:color="auto"/>
            <w:right w:val="none" w:sz="0" w:space="0" w:color="auto"/>
          </w:divBdr>
        </w:div>
        <w:div w:id="233665401">
          <w:marLeft w:val="640"/>
          <w:marRight w:val="0"/>
          <w:marTop w:val="0"/>
          <w:marBottom w:val="0"/>
          <w:divBdr>
            <w:top w:val="none" w:sz="0" w:space="0" w:color="auto"/>
            <w:left w:val="none" w:sz="0" w:space="0" w:color="auto"/>
            <w:bottom w:val="none" w:sz="0" w:space="0" w:color="auto"/>
            <w:right w:val="none" w:sz="0" w:space="0" w:color="auto"/>
          </w:divBdr>
        </w:div>
        <w:div w:id="584537096">
          <w:marLeft w:val="640"/>
          <w:marRight w:val="0"/>
          <w:marTop w:val="0"/>
          <w:marBottom w:val="0"/>
          <w:divBdr>
            <w:top w:val="none" w:sz="0" w:space="0" w:color="auto"/>
            <w:left w:val="none" w:sz="0" w:space="0" w:color="auto"/>
            <w:bottom w:val="none" w:sz="0" w:space="0" w:color="auto"/>
            <w:right w:val="none" w:sz="0" w:space="0" w:color="auto"/>
          </w:divBdr>
        </w:div>
        <w:div w:id="1267545744">
          <w:marLeft w:val="640"/>
          <w:marRight w:val="0"/>
          <w:marTop w:val="0"/>
          <w:marBottom w:val="0"/>
          <w:divBdr>
            <w:top w:val="none" w:sz="0" w:space="0" w:color="auto"/>
            <w:left w:val="none" w:sz="0" w:space="0" w:color="auto"/>
            <w:bottom w:val="none" w:sz="0" w:space="0" w:color="auto"/>
            <w:right w:val="none" w:sz="0" w:space="0" w:color="auto"/>
          </w:divBdr>
        </w:div>
        <w:div w:id="1267498166">
          <w:marLeft w:val="640"/>
          <w:marRight w:val="0"/>
          <w:marTop w:val="0"/>
          <w:marBottom w:val="0"/>
          <w:divBdr>
            <w:top w:val="none" w:sz="0" w:space="0" w:color="auto"/>
            <w:left w:val="none" w:sz="0" w:space="0" w:color="auto"/>
            <w:bottom w:val="none" w:sz="0" w:space="0" w:color="auto"/>
            <w:right w:val="none" w:sz="0" w:space="0" w:color="auto"/>
          </w:divBdr>
        </w:div>
        <w:div w:id="28341671">
          <w:marLeft w:val="640"/>
          <w:marRight w:val="0"/>
          <w:marTop w:val="0"/>
          <w:marBottom w:val="0"/>
          <w:divBdr>
            <w:top w:val="none" w:sz="0" w:space="0" w:color="auto"/>
            <w:left w:val="none" w:sz="0" w:space="0" w:color="auto"/>
            <w:bottom w:val="none" w:sz="0" w:space="0" w:color="auto"/>
            <w:right w:val="none" w:sz="0" w:space="0" w:color="auto"/>
          </w:divBdr>
        </w:div>
        <w:div w:id="904141738">
          <w:marLeft w:val="640"/>
          <w:marRight w:val="0"/>
          <w:marTop w:val="0"/>
          <w:marBottom w:val="0"/>
          <w:divBdr>
            <w:top w:val="none" w:sz="0" w:space="0" w:color="auto"/>
            <w:left w:val="none" w:sz="0" w:space="0" w:color="auto"/>
            <w:bottom w:val="none" w:sz="0" w:space="0" w:color="auto"/>
            <w:right w:val="none" w:sz="0" w:space="0" w:color="auto"/>
          </w:divBdr>
        </w:div>
        <w:div w:id="1808205117">
          <w:marLeft w:val="640"/>
          <w:marRight w:val="0"/>
          <w:marTop w:val="0"/>
          <w:marBottom w:val="0"/>
          <w:divBdr>
            <w:top w:val="none" w:sz="0" w:space="0" w:color="auto"/>
            <w:left w:val="none" w:sz="0" w:space="0" w:color="auto"/>
            <w:bottom w:val="none" w:sz="0" w:space="0" w:color="auto"/>
            <w:right w:val="none" w:sz="0" w:space="0" w:color="auto"/>
          </w:divBdr>
        </w:div>
        <w:div w:id="206111026">
          <w:marLeft w:val="640"/>
          <w:marRight w:val="0"/>
          <w:marTop w:val="0"/>
          <w:marBottom w:val="0"/>
          <w:divBdr>
            <w:top w:val="none" w:sz="0" w:space="0" w:color="auto"/>
            <w:left w:val="none" w:sz="0" w:space="0" w:color="auto"/>
            <w:bottom w:val="none" w:sz="0" w:space="0" w:color="auto"/>
            <w:right w:val="none" w:sz="0" w:space="0" w:color="auto"/>
          </w:divBdr>
        </w:div>
        <w:div w:id="1716419800">
          <w:marLeft w:val="640"/>
          <w:marRight w:val="0"/>
          <w:marTop w:val="0"/>
          <w:marBottom w:val="0"/>
          <w:divBdr>
            <w:top w:val="none" w:sz="0" w:space="0" w:color="auto"/>
            <w:left w:val="none" w:sz="0" w:space="0" w:color="auto"/>
            <w:bottom w:val="none" w:sz="0" w:space="0" w:color="auto"/>
            <w:right w:val="none" w:sz="0" w:space="0" w:color="auto"/>
          </w:divBdr>
        </w:div>
        <w:div w:id="251277664">
          <w:marLeft w:val="640"/>
          <w:marRight w:val="0"/>
          <w:marTop w:val="0"/>
          <w:marBottom w:val="0"/>
          <w:divBdr>
            <w:top w:val="none" w:sz="0" w:space="0" w:color="auto"/>
            <w:left w:val="none" w:sz="0" w:space="0" w:color="auto"/>
            <w:bottom w:val="none" w:sz="0" w:space="0" w:color="auto"/>
            <w:right w:val="none" w:sz="0" w:space="0" w:color="auto"/>
          </w:divBdr>
        </w:div>
        <w:div w:id="887380510">
          <w:marLeft w:val="640"/>
          <w:marRight w:val="0"/>
          <w:marTop w:val="0"/>
          <w:marBottom w:val="0"/>
          <w:divBdr>
            <w:top w:val="none" w:sz="0" w:space="0" w:color="auto"/>
            <w:left w:val="none" w:sz="0" w:space="0" w:color="auto"/>
            <w:bottom w:val="none" w:sz="0" w:space="0" w:color="auto"/>
            <w:right w:val="none" w:sz="0" w:space="0" w:color="auto"/>
          </w:divBdr>
        </w:div>
        <w:div w:id="1536193004">
          <w:marLeft w:val="640"/>
          <w:marRight w:val="0"/>
          <w:marTop w:val="0"/>
          <w:marBottom w:val="0"/>
          <w:divBdr>
            <w:top w:val="none" w:sz="0" w:space="0" w:color="auto"/>
            <w:left w:val="none" w:sz="0" w:space="0" w:color="auto"/>
            <w:bottom w:val="none" w:sz="0" w:space="0" w:color="auto"/>
            <w:right w:val="none" w:sz="0" w:space="0" w:color="auto"/>
          </w:divBdr>
        </w:div>
        <w:div w:id="653610598">
          <w:marLeft w:val="640"/>
          <w:marRight w:val="0"/>
          <w:marTop w:val="0"/>
          <w:marBottom w:val="0"/>
          <w:divBdr>
            <w:top w:val="none" w:sz="0" w:space="0" w:color="auto"/>
            <w:left w:val="none" w:sz="0" w:space="0" w:color="auto"/>
            <w:bottom w:val="none" w:sz="0" w:space="0" w:color="auto"/>
            <w:right w:val="none" w:sz="0" w:space="0" w:color="auto"/>
          </w:divBdr>
        </w:div>
        <w:div w:id="1297301316">
          <w:marLeft w:val="640"/>
          <w:marRight w:val="0"/>
          <w:marTop w:val="0"/>
          <w:marBottom w:val="0"/>
          <w:divBdr>
            <w:top w:val="none" w:sz="0" w:space="0" w:color="auto"/>
            <w:left w:val="none" w:sz="0" w:space="0" w:color="auto"/>
            <w:bottom w:val="none" w:sz="0" w:space="0" w:color="auto"/>
            <w:right w:val="none" w:sz="0" w:space="0" w:color="auto"/>
          </w:divBdr>
        </w:div>
        <w:div w:id="580797293">
          <w:marLeft w:val="640"/>
          <w:marRight w:val="0"/>
          <w:marTop w:val="0"/>
          <w:marBottom w:val="0"/>
          <w:divBdr>
            <w:top w:val="none" w:sz="0" w:space="0" w:color="auto"/>
            <w:left w:val="none" w:sz="0" w:space="0" w:color="auto"/>
            <w:bottom w:val="none" w:sz="0" w:space="0" w:color="auto"/>
            <w:right w:val="none" w:sz="0" w:space="0" w:color="auto"/>
          </w:divBdr>
        </w:div>
        <w:div w:id="1312517496">
          <w:marLeft w:val="640"/>
          <w:marRight w:val="0"/>
          <w:marTop w:val="0"/>
          <w:marBottom w:val="0"/>
          <w:divBdr>
            <w:top w:val="none" w:sz="0" w:space="0" w:color="auto"/>
            <w:left w:val="none" w:sz="0" w:space="0" w:color="auto"/>
            <w:bottom w:val="none" w:sz="0" w:space="0" w:color="auto"/>
            <w:right w:val="none" w:sz="0" w:space="0" w:color="auto"/>
          </w:divBdr>
        </w:div>
        <w:div w:id="1295983593">
          <w:marLeft w:val="640"/>
          <w:marRight w:val="0"/>
          <w:marTop w:val="0"/>
          <w:marBottom w:val="0"/>
          <w:divBdr>
            <w:top w:val="none" w:sz="0" w:space="0" w:color="auto"/>
            <w:left w:val="none" w:sz="0" w:space="0" w:color="auto"/>
            <w:bottom w:val="none" w:sz="0" w:space="0" w:color="auto"/>
            <w:right w:val="none" w:sz="0" w:space="0" w:color="auto"/>
          </w:divBdr>
        </w:div>
        <w:div w:id="697705226">
          <w:marLeft w:val="640"/>
          <w:marRight w:val="0"/>
          <w:marTop w:val="0"/>
          <w:marBottom w:val="0"/>
          <w:divBdr>
            <w:top w:val="none" w:sz="0" w:space="0" w:color="auto"/>
            <w:left w:val="none" w:sz="0" w:space="0" w:color="auto"/>
            <w:bottom w:val="none" w:sz="0" w:space="0" w:color="auto"/>
            <w:right w:val="none" w:sz="0" w:space="0" w:color="auto"/>
          </w:divBdr>
        </w:div>
        <w:div w:id="1360738827">
          <w:marLeft w:val="640"/>
          <w:marRight w:val="0"/>
          <w:marTop w:val="0"/>
          <w:marBottom w:val="0"/>
          <w:divBdr>
            <w:top w:val="none" w:sz="0" w:space="0" w:color="auto"/>
            <w:left w:val="none" w:sz="0" w:space="0" w:color="auto"/>
            <w:bottom w:val="none" w:sz="0" w:space="0" w:color="auto"/>
            <w:right w:val="none" w:sz="0" w:space="0" w:color="auto"/>
          </w:divBdr>
        </w:div>
        <w:div w:id="1211305423">
          <w:marLeft w:val="640"/>
          <w:marRight w:val="0"/>
          <w:marTop w:val="0"/>
          <w:marBottom w:val="0"/>
          <w:divBdr>
            <w:top w:val="none" w:sz="0" w:space="0" w:color="auto"/>
            <w:left w:val="none" w:sz="0" w:space="0" w:color="auto"/>
            <w:bottom w:val="none" w:sz="0" w:space="0" w:color="auto"/>
            <w:right w:val="none" w:sz="0" w:space="0" w:color="auto"/>
          </w:divBdr>
        </w:div>
        <w:div w:id="1566066760">
          <w:marLeft w:val="640"/>
          <w:marRight w:val="0"/>
          <w:marTop w:val="0"/>
          <w:marBottom w:val="0"/>
          <w:divBdr>
            <w:top w:val="none" w:sz="0" w:space="0" w:color="auto"/>
            <w:left w:val="none" w:sz="0" w:space="0" w:color="auto"/>
            <w:bottom w:val="none" w:sz="0" w:space="0" w:color="auto"/>
            <w:right w:val="none" w:sz="0" w:space="0" w:color="auto"/>
          </w:divBdr>
        </w:div>
        <w:div w:id="410396892">
          <w:marLeft w:val="640"/>
          <w:marRight w:val="0"/>
          <w:marTop w:val="0"/>
          <w:marBottom w:val="0"/>
          <w:divBdr>
            <w:top w:val="none" w:sz="0" w:space="0" w:color="auto"/>
            <w:left w:val="none" w:sz="0" w:space="0" w:color="auto"/>
            <w:bottom w:val="none" w:sz="0" w:space="0" w:color="auto"/>
            <w:right w:val="none" w:sz="0" w:space="0" w:color="auto"/>
          </w:divBdr>
        </w:div>
        <w:div w:id="383875832">
          <w:marLeft w:val="640"/>
          <w:marRight w:val="0"/>
          <w:marTop w:val="0"/>
          <w:marBottom w:val="0"/>
          <w:divBdr>
            <w:top w:val="none" w:sz="0" w:space="0" w:color="auto"/>
            <w:left w:val="none" w:sz="0" w:space="0" w:color="auto"/>
            <w:bottom w:val="none" w:sz="0" w:space="0" w:color="auto"/>
            <w:right w:val="none" w:sz="0" w:space="0" w:color="auto"/>
          </w:divBdr>
        </w:div>
        <w:div w:id="988828278">
          <w:marLeft w:val="640"/>
          <w:marRight w:val="0"/>
          <w:marTop w:val="0"/>
          <w:marBottom w:val="0"/>
          <w:divBdr>
            <w:top w:val="none" w:sz="0" w:space="0" w:color="auto"/>
            <w:left w:val="none" w:sz="0" w:space="0" w:color="auto"/>
            <w:bottom w:val="none" w:sz="0" w:space="0" w:color="auto"/>
            <w:right w:val="none" w:sz="0" w:space="0" w:color="auto"/>
          </w:divBdr>
        </w:div>
        <w:div w:id="568266215">
          <w:marLeft w:val="640"/>
          <w:marRight w:val="0"/>
          <w:marTop w:val="0"/>
          <w:marBottom w:val="0"/>
          <w:divBdr>
            <w:top w:val="none" w:sz="0" w:space="0" w:color="auto"/>
            <w:left w:val="none" w:sz="0" w:space="0" w:color="auto"/>
            <w:bottom w:val="none" w:sz="0" w:space="0" w:color="auto"/>
            <w:right w:val="none" w:sz="0" w:space="0" w:color="auto"/>
          </w:divBdr>
        </w:div>
        <w:div w:id="1586962225">
          <w:marLeft w:val="640"/>
          <w:marRight w:val="0"/>
          <w:marTop w:val="0"/>
          <w:marBottom w:val="0"/>
          <w:divBdr>
            <w:top w:val="none" w:sz="0" w:space="0" w:color="auto"/>
            <w:left w:val="none" w:sz="0" w:space="0" w:color="auto"/>
            <w:bottom w:val="none" w:sz="0" w:space="0" w:color="auto"/>
            <w:right w:val="none" w:sz="0" w:space="0" w:color="auto"/>
          </w:divBdr>
        </w:div>
        <w:div w:id="834807524">
          <w:marLeft w:val="640"/>
          <w:marRight w:val="0"/>
          <w:marTop w:val="0"/>
          <w:marBottom w:val="0"/>
          <w:divBdr>
            <w:top w:val="none" w:sz="0" w:space="0" w:color="auto"/>
            <w:left w:val="none" w:sz="0" w:space="0" w:color="auto"/>
            <w:bottom w:val="none" w:sz="0" w:space="0" w:color="auto"/>
            <w:right w:val="none" w:sz="0" w:space="0" w:color="auto"/>
          </w:divBdr>
        </w:div>
        <w:div w:id="66461872">
          <w:marLeft w:val="640"/>
          <w:marRight w:val="0"/>
          <w:marTop w:val="0"/>
          <w:marBottom w:val="0"/>
          <w:divBdr>
            <w:top w:val="none" w:sz="0" w:space="0" w:color="auto"/>
            <w:left w:val="none" w:sz="0" w:space="0" w:color="auto"/>
            <w:bottom w:val="none" w:sz="0" w:space="0" w:color="auto"/>
            <w:right w:val="none" w:sz="0" w:space="0" w:color="auto"/>
          </w:divBdr>
        </w:div>
        <w:div w:id="544025894">
          <w:marLeft w:val="640"/>
          <w:marRight w:val="0"/>
          <w:marTop w:val="0"/>
          <w:marBottom w:val="0"/>
          <w:divBdr>
            <w:top w:val="none" w:sz="0" w:space="0" w:color="auto"/>
            <w:left w:val="none" w:sz="0" w:space="0" w:color="auto"/>
            <w:bottom w:val="none" w:sz="0" w:space="0" w:color="auto"/>
            <w:right w:val="none" w:sz="0" w:space="0" w:color="auto"/>
          </w:divBdr>
        </w:div>
        <w:div w:id="229775174">
          <w:marLeft w:val="640"/>
          <w:marRight w:val="0"/>
          <w:marTop w:val="0"/>
          <w:marBottom w:val="0"/>
          <w:divBdr>
            <w:top w:val="none" w:sz="0" w:space="0" w:color="auto"/>
            <w:left w:val="none" w:sz="0" w:space="0" w:color="auto"/>
            <w:bottom w:val="none" w:sz="0" w:space="0" w:color="auto"/>
            <w:right w:val="none" w:sz="0" w:space="0" w:color="auto"/>
          </w:divBdr>
        </w:div>
        <w:div w:id="1457329448">
          <w:marLeft w:val="640"/>
          <w:marRight w:val="0"/>
          <w:marTop w:val="0"/>
          <w:marBottom w:val="0"/>
          <w:divBdr>
            <w:top w:val="none" w:sz="0" w:space="0" w:color="auto"/>
            <w:left w:val="none" w:sz="0" w:space="0" w:color="auto"/>
            <w:bottom w:val="none" w:sz="0" w:space="0" w:color="auto"/>
            <w:right w:val="none" w:sz="0" w:space="0" w:color="auto"/>
          </w:divBdr>
        </w:div>
        <w:div w:id="1007244643">
          <w:marLeft w:val="640"/>
          <w:marRight w:val="0"/>
          <w:marTop w:val="0"/>
          <w:marBottom w:val="0"/>
          <w:divBdr>
            <w:top w:val="none" w:sz="0" w:space="0" w:color="auto"/>
            <w:left w:val="none" w:sz="0" w:space="0" w:color="auto"/>
            <w:bottom w:val="none" w:sz="0" w:space="0" w:color="auto"/>
            <w:right w:val="none" w:sz="0" w:space="0" w:color="auto"/>
          </w:divBdr>
        </w:div>
        <w:div w:id="1678269404">
          <w:marLeft w:val="640"/>
          <w:marRight w:val="0"/>
          <w:marTop w:val="0"/>
          <w:marBottom w:val="0"/>
          <w:divBdr>
            <w:top w:val="none" w:sz="0" w:space="0" w:color="auto"/>
            <w:left w:val="none" w:sz="0" w:space="0" w:color="auto"/>
            <w:bottom w:val="none" w:sz="0" w:space="0" w:color="auto"/>
            <w:right w:val="none" w:sz="0" w:space="0" w:color="auto"/>
          </w:divBdr>
        </w:div>
        <w:div w:id="790251273">
          <w:marLeft w:val="640"/>
          <w:marRight w:val="0"/>
          <w:marTop w:val="0"/>
          <w:marBottom w:val="0"/>
          <w:divBdr>
            <w:top w:val="none" w:sz="0" w:space="0" w:color="auto"/>
            <w:left w:val="none" w:sz="0" w:space="0" w:color="auto"/>
            <w:bottom w:val="none" w:sz="0" w:space="0" w:color="auto"/>
            <w:right w:val="none" w:sz="0" w:space="0" w:color="auto"/>
          </w:divBdr>
        </w:div>
        <w:div w:id="804159425">
          <w:marLeft w:val="640"/>
          <w:marRight w:val="0"/>
          <w:marTop w:val="0"/>
          <w:marBottom w:val="0"/>
          <w:divBdr>
            <w:top w:val="none" w:sz="0" w:space="0" w:color="auto"/>
            <w:left w:val="none" w:sz="0" w:space="0" w:color="auto"/>
            <w:bottom w:val="none" w:sz="0" w:space="0" w:color="auto"/>
            <w:right w:val="none" w:sz="0" w:space="0" w:color="auto"/>
          </w:divBdr>
        </w:div>
        <w:div w:id="960841503">
          <w:marLeft w:val="640"/>
          <w:marRight w:val="0"/>
          <w:marTop w:val="0"/>
          <w:marBottom w:val="0"/>
          <w:divBdr>
            <w:top w:val="none" w:sz="0" w:space="0" w:color="auto"/>
            <w:left w:val="none" w:sz="0" w:space="0" w:color="auto"/>
            <w:bottom w:val="none" w:sz="0" w:space="0" w:color="auto"/>
            <w:right w:val="none" w:sz="0" w:space="0" w:color="auto"/>
          </w:divBdr>
        </w:div>
        <w:div w:id="2095349560">
          <w:marLeft w:val="640"/>
          <w:marRight w:val="0"/>
          <w:marTop w:val="0"/>
          <w:marBottom w:val="0"/>
          <w:divBdr>
            <w:top w:val="none" w:sz="0" w:space="0" w:color="auto"/>
            <w:left w:val="none" w:sz="0" w:space="0" w:color="auto"/>
            <w:bottom w:val="none" w:sz="0" w:space="0" w:color="auto"/>
            <w:right w:val="none" w:sz="0" w:space="0" w:color="auto"/>
          </w:divBdr>
        </w:div>
        <w:div w:id="945576227">
          <w:marLeft w:val="640"/>
          <w:marRight w:val="0"/>
          <w:marTop w:val="0"/>
          <w:marBottom w:val="0"/>
          <w:divBdr>
            <w:top w:val="none" w:sz="0" w:space="0" w:color="auto"/>
            <w:left w:val="none" w:sz="0" w:space="0" w:color="auto"/>
            <w:bottom w:val="none" w:sz="0" w:space="0" w:color="auto"/>
            <w:right w:val="none" w:sz="0" w:space="0" w:color="auto"/>
          </w:divBdr>
        </w:div>
        <w:div w:id="978874304">
          <w:marLeft w:val="640"/>
          <w:marRight w:val="0"/>
          <w:marTop w:val="0"/>
          <w:marBottom w:val="0"/>
          <w:divBdr>
            <w:top w:val="none" w:sz="0" w:space="0" w:color="auto"/>
            <w:left w:val="none" w:sz="0" w:space="0" w:color="auto"/>
            <w:bottom w:val="none" w:sz="0" w:space="0" w:color="auto"/>
            <w:right w:val="none" w:sz="0" w:space="0" w:color="auto"/>
          </w:divBdr>
        </w:div>
        <w:div w:id="1058868851">
          <w:marLeft w:val="640"/>
          <w:marRight w:val="0"/>
          <w:marTop w:val="0"/>
          <w:marBottom w:val="0"/>
          <w:divBdr>
            <w:top w:val="none" w:sz="0" w:space="0" w:color="auto"/>
            <w:left w:val="none" w:sz="0" w:space="0" w:color="auto"/>
            <w:bottom w:val="none" w:sz="0" w:space="0" w:color="auto"/>
            <w:right w:val="none" w:sz="0" w:space="0" w:color="auto"/>
          </w:divBdr>
        </w:div>
        <w:div w:id="1660158718">
          <w:marLeft w:val="640"/>
          <w:marRight w:val="0"/>
          <w:marTop w:val="0"/>
          <w:marBottom w:val="0"/>
          <w:divBdr>
            <w:top w:val="none" w:sz="0" w:space="0" w:color="auto"/>
            <w:left w:val="none" w:sz="0" w:space="0" w:color="auto"/>
            <w:bottom w:val="none" w:sz="0" w:space="0" w:color="auto"/>
            <w:right w:val="none" w:sz="0" w:space="0" w:color="auto"/>
          </w:divBdr>
        </w:div>
        <w:div w:id="1568615492">
          <w:marLeft w:val="640"/>
          <w:marRight w:val="0"/>
          <w:marTop w:val="0"/>
          <w:marBottom w:val="0"/>
          <w:divBdr>
            <w:top w:val="none" w:sz="0" w:space="0" w:color="auto"/>
            <w:left w:val="none" w:sz="0" w:space="0" w:color="auto"/>
            <w:bottom w:val="none" w:sz="0" w:space="0" w:color="auto"/>
            <w:right w:val="none" w:sz="0" w:space="0" w:color="auto"/>
          </w:divBdr>
        </w:div>
        <w:div w:id="1203517389">
          <w:marLeft w:val="640"/>
          <w:marRight w:val="0"/>
          <w:marTop w:val="0"/>
          <w:marBottom w:val="0"/>
          <w:divBdr>
            <w:top w:val="none" w:sz="0" w:space="0" w:color="auto"/>
            <w:left w:val="none" w:sz="0" w:space="0" w:color="auto"/>
            <w:bottom w:val="none" w:sz="0" w:space="0" w:color="auto"/>
            <w:right w:val="none" w:sz="0" w:space="0" w:color="auto"/>
          </w:divBdr>
        </w:div>
      </w:divsChild>
    </w:div>
    <w:div w:id="1516383003">
      <w:bodyDiv w:val="1"/>
      <w:marLeft w:val="0"/>
      <w:marRight w:val="0"/>
      <w:marTop w:val="0"/>
      <w:marBottom w:val="0"/>
      <w:divBdr>
        <w:top w:val="none" w:sz="0" w:space="0" w:color="auto"/>
        <w:left w:val="none" w:sz="0" w:space="0" w:color="auto"/>
        <w:bottom w:val="none" w:sz="0" w:space="0" w:color="auto"/>
        <w:right w:val="none" w:sz="0" w:space="0" w:color="auto"/>
      </w:divBdr>
    </w:div>
    <w:div w:id="1518157141">
      <w:bodyDiv w:val="1"/>
      <w:marLeft w:val="0"/>
      <w:marRight w:val="0"/>
      <w:marTop w:val="0"/>
      <w:marBottom w:val="0"/>
      <w:divBdr>
        <w:top w:val="none" w:sz="0" w:space="0" w:color="auto"/>
        <w:left w:val="none" w:sz="0" w:space="0" w:color="auto"/>
        <w:bottom w:val="none" w:sz="0" w:space="0" w:color="auto"/>
        <w:right w:val="none" w:sz="0" w:space="0" w:color="auto"/>
      </w:divBdr>
    </w:div>
    <w:div w:id="1523056643">
      <w:bodyDiv w:val="1"/>
      <w:marLeft w:val="0"/>
      <w:marRight w:val="0"/>
      <w:marTop w:val="0"/>
      <w:marBottom w:val="0"/>
      <w:divBdr>
        <w:top w:val="none" w:sz="0" w:space="0" w:color="auto"/>
        <w:left w:val="none" w:sz="0" w:space="0" w:color="auto"/>
        <w:bottom w:val="none" w:sz="0" w:space="0" w:color="auto"/>
        <w:right w:val="none" w:sz="0" w:space="0" w:color="auto"/>
      </w:divBdr>
    </w:div>
    <w:div w:id="1524125330">
      <w:bodyDiv w:val="1"/>
      <w:marLeft w:val="0"/>
      <w:marRight w:val="0"/>
      <w:marTop w:val="0"/>
      <w:marBottom w:val="0"/>
      <w:divBdr>
        <w:top w:val="none" w:sz="0" w:space="0" w:color="auto"/>
        <w:left w:val="none" w:sz="0" w:space="0" w:color="auto"/>
        <w:bottom w:val="none" w:sz="0" w:space="0" w:color="auto"/>
        <w:right w:val="none" w:sz="0" w:space="0" w:color="auto"/>
      </w:divBdr>
    </w:div>
    <w:div w:id="1524321917">
      <w:bodyDiv w:val="1"/>
      <w:marLeft w:val="0"/>
      <w:marRight w:val="0"/>
      <w:marTop w:val="0"/>
      <w:marBottom w:val="0"/>
      <w:divBdr>
        <w:top w:val="none" w:sz="0" w:space="0" w:color="auto"/>
        <w:left w:val="none" w:sz="0" w:space="0" w:color="auto"/>
        <w:bottom w:val="none" w:sz="0" w:space="0" w:color="auto"/>
        <w:right w:val="none" w:sz="0" w:space="0" w:color="auto"/>
      </w:divBdr>
    </w:div>
    <w:div w:id="1524786923">
      <w:bodyDiv w:val="1"/>
      <w:marLeft w:val="0"/>
      <w:marRight w:val="0"/>
      <w:marTop w:val="0"/>
      <w:marBottom w:val="0"/>
      <w:divBdr>
        <w:top w:val="none" w:sz="0" w:space="0" w:color="auto"/>
        <w:left w:val="none" w:sz="0" w:space="0" w:color="auto"/>
        <w:bottom w:val="none" w:sz="0" w:space="0" w:color="auto"/>
        <w:right w:val="none" w:sz="0" w:space="0" w:color="auto"/>
      </w:divBdr>
    </w:div>
    <w:div w:id="1525904189">
      <w:bodyDiv w:val="1"/>
      <w:marLeft w:val="0"/>
      <w:marRight w:val="0"/>
      <w:marTop w:val="0"/>
      <w:marBottom w:val="0"/>
      <w:divBdr>
        <w:top w:val="none" w:sz="0" w:space="0" w:color="auto"/>
        <w:left w:val="none" w:sz="0" w:space="0" w:color="auto"/>
        <w:bottom w:val="none" w:sz="0" w:space="0" w:color="auto"/>
        <w:right w:val="none" w:sz="0" w:space="0" w:color="auto"/>
      </w:divBdr>
    </w:div>
    <w:div w:id="1526551816">
      <w:bodyDiv w:val="1"/>
      <w:marLeft w:val="0"/>
      <w:marRight w:val="0"/>
      <w:marTop w:val="0"/>
      <w:marBottom w:val="0"/>
      <w:divBdr>
        <w:top w:val="none" w:sz="0" w:space="0" w:color="auto"/>
        <w:left w:val="none" w:sz="0" w:space="0" w:color="auto"/>
        <w:bottom w:val="none" w:sz="0" w:space="0" w:color="auto"/>
        <w:right w:val="none" w:sz="0" w:space="0" w:color="auto"/>
      </w:divBdr>
    </w:div>
    <w:div w:id="1527909148">
      <w:bodyDiv w:val="1"/>
      <w:marLeft w:val="0"/>
      <w:marRight w:val="0"/>
      <w:marTop w:val="0"/>
      <w:marBottom w:val="0"/>
      <w:divBdr>
        <w:top w:val="none" w:sz="0" w:space="0" w:color="auto"/>
        <w:left w:val="none" w:sz="0" w:space="0" w:color="auto"/>
        <w:bottom w:val="none" w:sz="0" w:space="0" w:color="auto"/>
        <w:right w:val="none" w:sz="0" w:space="0" w:color="auto"/>
      </w:divBdr>
    </w:div>
    <w:div w:id="1531339935">
      <w:bodyDiv w:val="1"/>
      <w:marLeft w:val="0"/>
      <w:marRight w:val="0"/>
      <w:marTop w:val="0"/>
      <w:marBottom w:val="0"/>
      <w:divBdr>
        <w:top w:val="none" w:sz="0" w:space="0" w:color="auto"/>
        <w:left w:val="none" w:sz="0" w:space="0" w:color="auto"/>
        <w:bottom w:val="none" w:sz="0" w:space="0" w:color="auto"/>
        <w:right w:val="none" w:sz="0" w:space="0" w:color="auto"/>
      </w:divBdr>
    </w:div>
    <w:div w:id="1532766968">
      <w:bodyDiv w:val="1"/>
      <w:marLeft w:val="0"/>
      <w:marRight w:val="0"/>
      <w:marTop w:val="0"/>
      <w:marBottom w:val="0"/>
      <w:divBdr>
        <w:top w:val="none" w:sz="0" w:space="0" w:color="auto"/>
        <w:left w:val="none" w:sz="0" w:space="0" w:color="auto"/>
        <w:bottom w:val="none" w:sz="0" w:space="0" w:color="auto"/>
        <w:right w:val="none" w:sz="0" w:space="0" w:color="auto"/>
      </w:divBdr>
    </w:div>
    <w:div w:id="1535579437">
      <w:bodyDiv w:val="1"/>
      <w:marLeft w:val="0"/>
      <w:marRight w:val="0"/>
      <w:marTop w:val="0"/>
      <w:marBottom w:val="0"/>
      <w:divBdr>
        <w:top w:val="none" w:sz="0" w:space="0" w:color="auto"/>
        <w:left w:val="none" w:sz="0" w:space="0" w:color="auto"/>
        <w:bottom w:val="none" w:sz="0" w:space="0" w:color="auto"/>
        <w:right w:val="none" w:sz="0" w:space="0" w:color="auto"/>
      </w:divBdr>
    </w:div>
    <w:div w:id="1539778899">
      <w:bodyDiv w:val="1"/>
      <w:marLeft w:val="0"/>
      <w:marRight w:val="0"/>
      <w:marTop w:val="0"/>
      <w:marBottom w:val="0"/>
      <w:divBdr>
        <w:top w:val="none" w:sz="0" w:space="0" w:color="auto"/>
        <w:left w:val="none" w:sz="0" w:space="0" w:color="auto"/>
        <w:bottom w:val="none" w:sz="0" w:space="0" w:color="auto"/>
        <w:right w:val="none" w:sz="0" w:space="0" w:color="auto"/>
      </w:divBdr>
    </w:div>
    <w:div w:id="1540632703">
      <w:bodyDiv w:val="1"/>
      <w:marLeft w:val="0"/>
      <w:marRight w:val="0"/>
      <w:marTop w:val="0"/>
      <w:marBottom w:val="0"/>
      <w:divBdr>
        <w:top w:val="none" w:sz="0" w:space="0" w:color="auto"/>
        <w:left w:val="none" w:sz="0" w:space="0" w:color="auto"/>
        <w:bottom w:val="none" w:sz="0" w:space="0" w:color="auto"/>
        <w:right w:val="none" w:sz="0" w:space="0" w:color="auto"/>
      </w:divBdr>
    </w:div>
    <w:div w:id="1542353021">
      <w:bodyDiv w:val="1"/>
      <w:marLeft w:val="0"/>
      <w:marRight w:val="0"/>
      <w:marTop w:val="0"/>
      <w:marBottom w:val="0"/>
      <w:divBdr>
        <w:top w:val="none" w:sz="0" w:space="0" w:color="auto"/>
        <w:left w:val="none" w:sz="0" w:space="0" w:color="auto"/>
        <w:bottom w:val="none" w:sz="0" w:space="0" w:color="auto"/>
        <w:right w:val="none" w:sz="0" w:space="0" w:color="auto"/>
      </w:divBdr>
    </w:div>
    <w:div w:id="1543832751">
      <w:bodyDiv w:val="1"/>
      <w:marLeft w:val="0"/>
      <w:marRight w:val="0"/>
      <w:marTop w:val="0"/>
      <w:marBottom w:val="0"/>
      <w:divBdr>
        <w:top w:val="none" w:sz="0" w:space="0" w:color="auto"/>
        <w:left w:val="none" w:sz="0" w:space="0" w:color="auto"/>
        <w:bottom w:val="none" w:sz="0" w:space="0" w:color="auto"/>
        <w:right w:val="none" w:sz="0" w:space="0" w:color="auto"/>
      </w:divBdr>
    </w:div>
    <w:div w:id="1545405571">
      <w:bodyDiv w:val="1"/>
      <w:marLeft w:val="0"/>
      <w:marRight w:val="0"/>
      <w:marTop w:val="0"/>
      <w:marBottom w:val="0"/>
      <w:divBdr>
        <w:top w:val="none" w:sz="0" w:space="0" w:color="auto"/>
        <w:left w:val="none" w:sz="0" w:space="0" w:color="auto"/>
        <w:bottom w:val="none" w:sz="0" w:space="0" w:color="auto"/>
        <w:right w:val="none" w:sz="0" w:space="0" w:color="auto"/>
      </w:divBdr>
    </w:div>
    <w:div w:id="1546066462">
      <w:bodyDiv w:val="1"/>
      <w:marLeft w:val="0"/>
      <w:marRight w:val="0"/>
      <w:marTop w:val="0"/>
      <w:marBottom w:val="0"/>
      <w:divBdr>
        <w:top w:val="none" w:sz="0" w:space="0" w:color="auto"/>
        <w:left w:val="none" w:sz="0" w:space="0" w:color="auto"/>
        <w:bottom w:val="none" w:sz="0" w:space="0" w:color="auto"/>
        <w:right w:val="none" w:sz="0" w:space="0" w:color="auto"/>
      </w:divBdr>
    </w:div>
    <w:div w:id="1551696187">
      <w:bodyDiv w:val="1"/>
      <w:marLeft w:val="0"/>
      <w:marRight w:val="0"/>
      <w:marTop w:val="0"/>
      <w:marBottom w:val="0"/>
      <w:divBdr>
        <w:top w:val="none" w:sz="0" w:space="0" w:color="auto"/>
        <w:left w:val="none" w:sz="0" w:space="0" w:color="auto"/>
        <w:bottom w:val="none" w:sz="0" w:space="0" w:color="auto"/>
        <w:right w:val="none" w:sz="0" w:space="0" w:color="auto"/>
      </w:divBdr>
      <w:divsChild>
        <w:div w:id="319891841">
          <w:marLeft w:val="640"/>
          <w:marRight w:val="0"/>
          <w:marTop w:val="0"/>
          <w:marBottom w:val="0"/>
          <w:divBdr>
            <w:top w:val="none" w:sz="0" w:space="0" w:color="auto"/>
            <w:left w:val="none" w:sz="0" w:space="0" w:color="auto"/>
            <w:bottom w:val="none" w:sz="0" w:space="0" w:color="auto"/>
            <w:right w:val="none" w:sz="0" w:space="0" w:color="auto"/>
          </w:divBdr>
        </w:div>
        <w:div w:id="1407528064">
          <w:marLeft w:val="640"/>
          <w:marRight w:val="0"/>
          <w:marTop w:val="0"/>
          <w:marBottom w:val="0"/>
          <w:divBdr>
            <w:top w:val="none" w:sz="0" w:space="0" w:color="auto"/>
            <w:left w:val="none" w:sz="0" w:space="0" w:color="auto"/>
            <w:bottom w:val="none" w:sz="0" w:space="0" w:color="auto"/>
            <w:right w:val="none" w:sz="0" w:space="0" w:color="auto"/>
          </w:divBdr>
        </w:div>
        <w:div w:id="981040398">
          <w:marLeft w:val="640"/>
          <w:marRight w:val="0"/>
          <w:marTop w:val="0"/>
          <w:marBottom w:val="0"/>
          <w:divBdr>
            <w:top w:val="none" w:sz="0" w:space="0" w:color="auto"/>
            <w:left w:val="none" w:sz="0" w:space="0" w:color="auto"/>
            <w:bottom w:val="none" w:sz="0" w:space="0" w:color="auto"/>
            <w:right w:val="none" w:sz="0" w:space="0" w:color="auto"/>
          </w:divBdr>
        </w:div>
        <w:div w:id="1109084370">
          <w:marLeft w:val="640"/>
          <w:marRight w:val="0"/>
          <w:marTop w:val="0"/>
          <w:marBottom w:val="0"/>
          <w:divBdr>
            <w:top w:val="none" w:sz="0" w:space="0" w:color="auto"/>
            <w:left w:val="none" w:sz="0" w:space="0" w:color="auto"/>
            <w:bottom w:val="none" w:sz="0" w:space="0" w:color="auto"/>
            <w:right w:val="none" w:sz="0" w:space="0" w:color="auto"/>
          </w:divBdr>
        </w:div>
        <w:div w:id="1153566760">
          <w:marLeft w:val="640"/>
          <w:marRight w:val="0"/>
          <w:marTop w:val="0"/>
          <w:marBottom w:val="0"/>
          <w:divBdr>
            <w:top w:val="none" w:sz="0" w:space="0" w:color="auto"/>
            <w:left w:val="none" w:sz="0" w:space="0" w:color="auto"/>
            <w:bottom w:val="none" w:sz="0" w:space="0" w:color="auto"/>
            <w:right w:val="none" w:sz="0" w:space="0" w:color="auto"/>
          </w:divBdr>
        </w:div>
        <w:div w:id="2093627301">
          <w:marLeft w:val="640"/>
          <w:marRight w:val="0"/>
          <w:marTop w:val="0"/>
          <w:marBottom w:val="0"/>
          <w:divBdr>
            <w:top w:val="none" w:sz="0" w:space="0" w:color="auto"/>
            <w:left w:val="none" w:sz="0" w:space="0" w:color="auto"/>
            <w:bottom w:val="none" w:sz="0" w:space="0" w:color="auto"/>
            <w:right w:val="none" w:sz="0" w:space="0" w:color="auto"/>
          </w:divBdr>
        </w:div>
        <w:div w:id="1438718375">
          <w:marLeft w:val="640"/>
          <w:marRight w:val="0"/>
          <w:marTop w:val="0"/>
          <w:marBottom w:val="0"/>
          <w:divBdr>
            <w:top w:val="none" w:sz="0" w:space="0" w:color="auto"/>
            <w:left w:val="none" w:sz="0" w:space="0" w:color="auto"/>
            <w:bottom w:val="none" w:sz="0" w:space="0" w:color="auto"/>
            <w:right w:val="none" w:sz="0" w:space="0" w:color="auto"/>
          </w:divBdr>
        </w:div>
        <w:div w:id="463233202">
          <w:marLeft w:val="640"/>
          <w:marRight w:val="0"/>
          <w:marTop w:val="0"/>
          <w:marBottom w:val="0"/>
          <w:divBdr>
            <w:top w:val="none" w:sz="0" w:space="0" w:color="auto"/>
            <w:left w:val="none" w:sz="0" w:space="0" w:color="auto"/>
            <w:bottom w:val="none" w:sz="0" w:space="0" w:color="auto"/>
            <w:right w:val="none" w:sz="0" w:space="0" w:color="auto"/>
          </w:divBdr>
        </w:div>
        <w:div w:id="1008485194">
          <w:marLeft w:val="640"/>
          <w:marRight w:val="0"/>
          <w:marTop w:val="0"/>
          <w:marBottom w:val="0"/>
          <w:divBdr>
            <w:top w:val="none" w:sz="0" w:space="0" w:color="auto"/>
            <w:left w:val="none" w:sz="0" w:space="0" w:color="auto"/>
            <w:bottom w:val="none" w:sz="0" w:space="0" w:color="auto"/>
            <w:right w:val="none" w:sz="0" w:space="0" w:color="auto"/>
          </w:divBdr>
        </w:div>
        <w:div w:id="2006929679">
          <w:marLeft w:val="640"/>
          <w:marRight w:val="0"/>
          <w:marTop w:val="0"/>
          <w:marBottom w:val="0"/>
          <w:divBdr>
            <w:top w:val="none" w:sz="0" w:space="0" w:color="auto"/>
            <w:left w:val="none" w:sz="0" w:space="0" w:color="auto"/>
            <w:bottom w:val="none" w:sz="0" w:space="0" w:color="auto"/>
            <w:right w:val="none" w:sz="0" w:space="0" w:color="auto"/>
          </w:divBdr>
        </w:div>
        <w:div w:id="1494492152">
          <w:marLeft w:val="640"/>
          <w:marRight w:val="0"/>
          <w:marTop w:val="0"/>
          <w:marBottom w:val="0"/>
          <w:divBdr>
            <w:top w:val="none" w:sz="0" w:space="0" w:color="auto"/>
            <w:left w:val="none" w:sz="0" w:space="0" w:color="auto"/>
            <w:bottom w:val="none" w:sz="0" w:space="0" w:color="auto"/>
            <w:right w:val="none" w:sz="0" w:space="0" w:color="auto"/>
          </w:divBdr>
        </w:div>
        <w:div w:id="1931545538">
          <w:marLeft w:val="640"/>
          <w:marRight w:val="0"/>
          <w:marTop w:val="0"/>
          <w:marBottom w:val="0"/>
          <w:divBdr>
            <w:top w:val="none" w:sz="0" w:space="0" w:color="auto"/>
            <w:left w:val="none" w:sz="0" w:space="0" w:color="auto"/>
            <w:bottom w:val="none" w:sz="0" w:space="0" w:color="auto"/>
            <w:right w:val="none" w:sz="0" w:space="0" w:color="auto"/>
          </w:divBdr>
        </w:div>
        <w:div w:id="716900416">
          <w:marLeft w:val="640"/>
          <w:marRight w:val="0"/>
          <w:marTop w:val="0"/>
          <w:marBottom w:val="0"/>
          <w:divBdr>
            <w:top w:val="none" w:sz="0" w:space="0" w:color="auto"/>
            <w:left w:val="none" w:sz="0" w:space="0" w:color="auto"/>
            <w:bottom w:val="none" w:sz="0" w:space="0" w:color="auto"/>
            <w:right w:val="none" w:sz="0" w:space="0" w:color="auto"/>
          </w:divBdr>
        </w:div>
        <w:div w:id="373116295">
          <w:marLeft w:val="640"/>
          <w:marRight w:val="0"/>
          <w:marTop w:val="0"/>
          <w:marBottom w:val="0"/>
          <w:divBdr>
            <w:top w:val="none" w:sz="0" w:space="0" w:color="auto"/>
            <w:left w:val="none" w:sz="0" w:space="0" w:color="auto"/>
            <w:bottom w:val="none" w:sz="0" w:space="0" w:color="auto"/>
            <w:right w:val="none" w:sz="0" w:space="0" w:color="auto"/>
          </w:divBdr>
        </w:div>
        <w:div w:id="1110663991">
          <w:marLeft w:val="640"/>
          <w:marRight w:val="0"/>
          <w:marTop w:val="0"/>
          <w:marBottom w:val="0"/>
          <w:divBdr>
            <w:top w:val="none" w:sz="0" w:space="0" w:color="auto"/>
            <w:left w:val="none" w:sz="0" w:space="0" w:color="auto"/>
            <w:bottom w:val="none" w:sz="0" w:space="0" w:color="auto"/>
            <w:right w:val="none" w:sz="0" w:space="0" w:color="auto"/>
          </w:divBdr>
        </w:div>
        <w:div w:id="1825388585">
          <w:marLeft w:val="640"/>
          <w:marRight w:val="0"/>
          <w:marTop w:val="0"/>
          <w:marBottom w:val="0"/>
          <w:divBdr>
            <w:top w:val="none" w:sz="0" w:space="0" w:color="auto"/>
            <w:left w:val="none" w:sz="0" w:space="0" w:color="auto"/>
            <w:bottom w:val="none" w:sz="0" w:space="0" w:color="auto"/>
            <w:right w:val="none" w:sz="0" w:space="0" w:color="auto"/>
          </w:divBdr>
        </w:div>
        <w:div w:id="452600681">
          <w:marLeft w:val="640"/>
          <w:marRight w:val="0"/>
          <w:marTop w:val="0"/>
          <w:marBottom w:val="0"/>
          <w:divBdr>
            <w:top w:val="none" w:sz="0" w:space="0" w:color="auto"/>
            <w:left w:val="none" w:sz="0" w:space="0" w:color="auto"/>
            <w:bottom w:val="none" w:sz="0" w:space="0" w:color="auto"/>
            <w:right w:val="none" w:sz="0" w:space="0" w:color="auto"/>
          </w:divBdr>
        </w:div>
        <w:div w:id="123280733">
          <w:marLeft w:val="640"/>
          <w:marRight w:val="0"/>
          <w:marTop w:val="0"/>
          <w:marBottom w:val="0"/>
          <w:divBdr>
            <w:top w:val="none" w:sz="0" w:space="0" w:color="auto"/>
            <w:left w:val="none" w:sz="0" w:space="0" w:color="auto"/>
            <w:bottom w:val="none" w:sz="0" w:space="0" w:color="auto"/>
            <w:right w:val="none" w:sz="0" w:space="0" w:color="auto"/>
          </w:divBdr>
        </w:div>
        <w:div w:id="42483115">
          <w:marLeft w:val="640"/>
          <w:marRight w:val="0"/>
          <w:marTop w:val="0"/>
          <w:marBottom w:val="0"/>
          <w:divBdr>
            <w:top w:val="none" w:sz="0" w:space="0" w:color="auto"/>
            <w:left w:val="none" w:sz="0" w:space="0" w:color="auto"/>
            <w:bottom w:val="none" w:sz="0" w:space="0" w:color="auto"/>
            <w:right w:val="none" w:sz="0" w:space="0" w:color="auto"/>
          </w:divBdr>
        </w:div>
        <w:div w:id="1646860516">
          <w:marLeft w:val="640"/>
          <w:marRight w:val="0"/>
          <w:marTop w:val="0"/>
          <w:marBottom w:val="0"/>
          <w:divBdr>
            <w:top w:val="none" w:sz="0" w:space="0" w:color="auto"/>
            <w:left w:val="none" w:sz="0" w:space="0" w:color="auto"/>
            <w:bottom w:val="none" w:sz="0" w:space="0" w:color="auto"/>
            <w:right w:val="none" w:sz="0" w:space="0" w:color="auto"/>
          </w:divBdr>
        </w:div>
        <w:div w:id="2117211470">
          <w:marLeft w:val="640"/>
          <w:marRight w:val="0"/>
          <w:marTop w:val="0"/>
          <w:marBottom w:val="0"/>
          <w:divBdr>
            <w:top w:val="none" w:sz="0" w:space="0" w:color="auto"/>
            <w:left w:val="none" w:sz="0" w:space="0" w:color="auto"/>
            <w:bottom w:val="none" w:sz="0" w:space="0" w:color="auto"/>
            <w:right w:val="none" w:sz="0" w:space="0" w:color="auto"/>
          </w:divBdr>
        </w:div>
        <w:div w:id="1495797760">
          <w:marLeft w:val="640"/>
          <w:marRight w:val="0"/>
          <w:marTop w:val="0"/>
          <w:marBottom w:val="0"/>
          <w:divBdr>
            <w:top w:val="none" w:sz="0" w:space="0" w:color="auto"/>
            <w:left w:val="none" w:sz="0" w:space="0" w:color="auto"/>
            <w:bottom w:val="none" w:sz="0" w:space="0" w:color="auto"/>
            <w:right w:val="none" w:sz="0" w:space="0" w:color="auto"/>
          </w:divBdr>
        </w:div>
        <w:div w:id="1753697424">
          <w:marLeft w:val="640"/>
          <w:marRight w:val="0"/>
          <w:marTop w:val="0"/>
          <w:marBottom w:val="0"/>
          <w:divBdr>
            <w:top w:val="none" w:sz="0" w:space="0" w:color="auto"/>
            <w:left w:val="none" w:sz="0" w:space="0" w:color="auto"/>
            <w:bottom w:val="none" w:sz="0" w:space="0" w:color="auto"/>
            <w:right w:val="none" w:sz="0" w:space="0" w:color="auto"/>
          </w:divBdr>
        </w:div>
        <w:div w:id="1274095712">
          <w:marLeft w:val="640"/>
          <w:marRight w:val="0"/>
          <w:marTop w:val="0"/>
          <w:marBottom w:val="0"/>
          <w:divBdr>
            <w:top w:val="none" w:sz="0" w:space="0" w:color="auto"/>
            <w:left w:val="none" w:sz="0" w:space="0" w:color="auto"/>
            <w:bottom w:val="none" w:sz="0" w:space="0" w:color="auto"/>
            <w:right w:val="none" w:sz="0" w:space="0" w:color="auto"/>
          </w:divBdr>
        </w:div>
        <w:div w:id="241793485">
          <w:marLeft w:val="640"/>
          <w:marRight w:val="0"/>
          <w:marTop w:val="0"/>
          <w:marBottom w:val="0"/>
          <w:divBdr>
            <w:top w:val="none" w:sz="0" w:space="0" w:color="auto"/>
            <w:left w:val="none" w:sz="0" w:space="0" w:color="auto"/>
            <w:bottom w:val="none" w:sz="0" w:space="0" w:color="auto"/>
            <w:right w:val="none" w:sz="0" w:space="0" w:color="auto"/>
          </w:divBdr>
        </w:div>
        <w:div w:id="1335034097">
          <w:marLeft w:val="640"/>
          <w:marRight w:val="0"/>
          <w:marTop w:val="0"/>
          <w:marBottom w:val="0"/>
          <w:divBdr>
            <w:top w:val="none" w:sz="0" w:space="0" w:color="auto"/>
            <w:left w:val="none" w:sz="0" w:space="0" w:color="auto"/>
            <w:bottom w:val="none" w:sz="0" w:space="0" w:color="auto"/>
            <w:right w:val="none" w:sz="0" w:space="0" w:color="auto"/>
          </w:divBdr>
        </w:div>
        <w:div w:id="939920968">
          <w:marLeft w:val="640"/>
          <w:marRight w:val="0"/>
          <w:marTop w:val="0"/>
          <w:marBottom w:val="0"/>
          <w:divBdr>
            <w:top w:val="none" w:sz="0" w:space="0" w:color="auto"/>
            <w:left w:val="none" w:sz="0" w:space="0" w:color="auto"/>
            <w:bottom w:val="none" w:sz="0" w:space="0" w:color="auto"/>
            <w:right w:val="none" w:sz="0" w:space="0" w:color="auto"/>
          </w:divBdr>
        </w:div>
        <w:div w:id="1776367821">
          <w:marLeft w:val="640"/>
          <w:marRight w:val="0"/>
          <w:marTop w:val="0"/>
          <w:marBottom w:val="0"/>
          <w:divBdr>
            <w:top w:val="none" w:sz="0" w:space="0" w:color="auto"/>
            <w:left w:val="none" w:sz="0" w:space="0" w:color="auto"/>
            <w:bottom w:val="none" w:sz="0" w:space="0" w:color="auto"/>
            <w:right w:val="none" w:sz="0" w:space="0" w:color="auto"/>
          </w:divBdr>
        </w:div>
        <w:div w:id="539168086">
          <w:marLeft w:val="640"/>
          <w:marRight w:val="0"/>
          <w:marTop w:val="0"/>
          <w:marBottom w:val="0"/>
          <w:divBdr>
            <w:top w:val="none" w:sz="0" w:space="0" w:color="auto"/>
            <w:left w:val="none" w:sz="0" w:space="0" w:color="auto"/>
            <w:bottom w:val="none" w:sz="0" w:space="0" w:color="auto"/>
            <w:right w:val="none" w:sz="0" w:space="0" w:color="auto"/>
          </w:divBdr>
        </w:div>
        <w:div w:id="450632020">
          <w:marLeft w:val="640"/>
          <w:marRight w:val="0"/>
          <w:marTop w:val="0"/>
          <w:marBottom w:val="0"/>
          <w:divBdr>
            <w:top w:val="none" w:sz="0" w:space="0" w:color="auto"/>
            <w:left w:val="none" w:sz="0" w:space="0" w:color="auto"/>
            <w:bottom w:val="none" w:sz="0" w:space="0" w:color="auto"/>
            <w:right w:val="none" w:sz="0" w:space="0" w:color="auto"/>
          </w:divBdr>
        </w:div>
        <w:div w:id="680006876">
          <w:marLeft w:val="640"/>
          <w:marRight w:val="0"/>
          <w:marTop w:val="0"/>
          <w:marBottom w:val="0"/>
          <w:divBdr>
            <w:top w:val="none" w:sz="0" w:space="0" w:color="auto"/>
            <w:left w:val="none" w:sz="0" w:space="0" w:color="auto"/>
            <w:bottom w:val="none" w:sz="0" w:space="0" w:color="auto"/>
            <w:right w:val="none" w:sz="0" w:space="0" w:color="auto"/>
          </w:divBdr>
        </w:div>
        <w:div w:id="1332292534">
          <w:marLeft w:val="640"/>
          <w:marRight w:val="0"/>
          <w:marTop w:val="0"/>
          <w:marBottom w:val="0"/>
          <w:divBdr>
            <w:top w:val="none" w:sz="0" w:space="0" w:color="auto"/>
            <w:left w:val="none" w:sz="0" w:space="0" w:color="auto"/>
            <w:bottom w:val="none" w:sz="0" w:space="0" w:color="auto"/>
            <w:right w:val="none" w:sz="0" w:space="0" w:color="auto"/>
          </w:divBdr>
        </w:div>
        <w:div w:id="87699243">
          <w:marLeft w:val="640"/>
          <w:marRight w:val="0"/>
          <w:marTop w:val="0"/>
          <w:marBottom w:val="0"/>
          <w:divBdr>
            <w:top w:val="none" w:sz="0" w:space="0" w:color="auto"/>
            <w:left w:val="none" w:sz="0" w:space="0" w:color="auto"/>
            <w:bottom w:val="none" w:sz="0" w:space="0" w:color="auto"/>
            <w:right w:val="none" w:sz="0" w:space="0" w:color="auto"/>
          </w:divBdr>
        </w:div>
        <w:div w:id="458646455">
          <w:marLeft w:val="640"/>
          <w:marRight w:val="0"/>
          <w:marTop w:val="0"/>
          <w:marBottom w:val="0"/>
          <w:divBdr>
            <w:top w:val="none" w:sz="0" w:space="0" w:color="auto"/>
            <w:left w:val="none" w:sz="0" w:space="0" w:color="auto"/>
            <w:bottom w:val="none" w:sz="0" w:space="0" w:color="auto"/>
            <w:right w:val="none" w:sz="0" w:space="0" w:color="auto"/>
          </w:divBdr>
        </w:div>
        <w:div w:id="270666838">
          <w:marLeft w:val="640"/>
          <w:marRight w:val="0"/>
          <w:marTop w:val="0"/>
          <w:marBottom w:val="0"/>
          <w:divBdr>
            <w:top w:val="none" w:sz="0" w:space="0" w:color="auto"/>
            <w:left w:val="none" w:sz="0" w:space="0" w:color="auto"/>
            <w:bottom w:val="none" w:sz="0" w:space="0" w:color="auto"/>
            <w:right w:val="none" w:sz="0" w:space="0" w:color="auto"/>
          </w:divBdr>
        </w:div>
        <w:div w:id="1274171172">
          <w:marLeft w:val="640"/>
          <w:marRight w:val="0"/>
          <w:marTop w:val="0"/>
          <w:marBottom w:val="0"/>
          <w:divBdr>
            <w:top w:val="none" w:sz="0" w:space="0" w:color="auto"/>
            <w:left w:val="none" w:sz="0" w:space="0" w:color="auto"/>
            <w:bottom w:val="none" w:sz="0" w:space="0" w:color="auto"/>
            <w:right w:val="none" w:sz="0" w:space="0" w:color="auto"/>
          </w:divBdr>
        </w:div>
        <w:div w:id="1167406096">
          <w:marLeft w:val="640"/>
          <w:marRight w:val="0"/>
          <w:marTop w:val="0"/>
          <w:marBottom w:val="0"/>
          <w:divBdr>
            <w:top w:val="none" w:sz="0" w:space="0" w:color="auto"/>
            <w:left w:val="none" w:sz="0" w:space="0" w:color="auto"/>
            <w:bottom w:val="none" w:sz="0" w:space="0" w:color="auto"/>
            <w:right w:val="none" w:sz="0" w:space="0" w:color="auto"/>
          </w:divBdr>
        </w:div>
        <w:div w:id="1645038594">
          <w:marLeft w:val="640"/>
          <w:marRight w:val="0"/>
          <w:marTop w:val="0"/>
          <w:marBottom w:val="0"/>
          <w:divBdr>
            <w:top w:val="none" w:sz="0" w:space="0" w:color="auto"/>
            <w:left w:val="none" w:sz="0" w:space="0" w:color="auto"/>
            <w:bottom w:val="none" w:sz="0" w:space="0" w:color="auto"/>
            <w:right w:val="none" w:sz="0" w:space="0" w:color="auto"/>
          </w:divBdr>
        </w:div>
        <w:div w:id="2017267162">
          <w:marLeft w:val="640"/>
          <w:marRight w:val="0"/>
          <w:marTop w:val="0"/>
          <w:marBottom w:val="0"/>
          <w:divBdr>
            <w:top w:val="none" w:sz="0" w:space="0" w:color="auto"/>
            <w:left w:val="none" w:sz="0" w:space="0" w:color="auto"/>
            <w:bottom w:val="none" w:sz="0" w:space="0" w:color="auto"/>
            <w:right w:val="none" w:sz="0" w:space="0" w:color="auto"/>
          </w:divBdr>
        </w:div>
        <w:div w:id="1809592522">
          <w:marLeft w:val="640"/>
          <w:marRight w:val="0"/>
          <w:marTop w:val="0"/>
          <w:marBottom w:val="0"/>
          <w:divBdr>
            <w:top w:val="none" w:sz="0" w:space="0" w:color="auto"/>
            <w:left w:val="none" w:sz="0" w:space="0" w:color="auto"/>
            <w:bottom w:val="none" w:sz="0" w:space="0" w:color="auto"/>
            <w:right w:val="none" w:sz="0" w:space="0" w:color="auto"/>
          </w:divBdr>
        </w:div>
        <w:div w:id="964237807">
          <w:marLeft w:val="640"/>
          <w:marRight w:val="0"/>
          <w:marTop w:val="0"/>
          <w:marBottom w:val="0"/>
          <w:divBdr>
            <w:top w:val="none" w:sz="0" w:space="0" w:color="auto"/>
            <w:left w:val="none" w:sz="0" w:space="0" w:color="auto"/>
            <w:bottom w:val="none" w:sz="0" w:space="0" w:color="auto"/>
            <w:right w:val="none" w:sz="0" w:space="0" w:color="auto"/>
          </w:divBdr>
        </w:div>
        <w:div w:id="1658264280">
          <w:marLeft w:val="640"/>
          <w:marRight w:val="0"/>
          <w:marTop w:val="0"/>
          <w:marBottom w:val="0"/>
          <w:divBdr>
            <w:top w:val="none" w:sz="0" w:space="0" w:color="auto"/>
            <w:left w:val="none" w:sz="0" w:space="0" w:color="auto"/>
            <w:bottom w:val="none" w:sz="0" w:space="0" w:color="auto"/>
            <w:right w:val="none" w:sz="0" w:space="0" w:color="auto"/>
          </w:divBdr>
        </w:div>
        <w:div w:id="1472602290">
          <w:marLeft w:val="640"/>
          <w:marRight w:val="0"/>
          <w:marTop w:val="0"/>
          <w:marBottom w:val="0"/>
          <w:divBdr>
            <w:top w:val="none" w:sz="0" w:space="0" w:color="auto"/>
            <w:left w:val="none" w:sz="0" w:space="0" w:color="auto"/>
            <w:bottom w:val="none" w:sz="0" w:space="0" w:color="auto"/>
            <w:right w:val="none" w:sz="0" w:space="0" w:color="auto"/>
          </w:divBdr>
        </w:div>
        <w:div w:id="1867137047">
          <w:marLeft w:val="640"/>
          <w:marRight w:val="0"/>
          <w:marTop w:val="0"/>
          <w:marBottom w:val="0"/>
          <w:divBdr>
            <w:top w:val="none" w:sz="0" w:space="0" w:color="auto"/>
            <w:left w:val="none" w:sz="0" w:space="0" w:color="auto"/>
            <w:bottom w:val="none" w:sz="0" w:space="0" w:color="auto"/>
            <w:right w:val="none" w:sz="0" w:space="0" w:color="auto"/>
          </w:divBdr>
        </w:div>
        <w:div w:id="1618099428">
          <w:marLeft w:val="640"/>
          <w:marRight w:val="0"/>
          <w:marTop w:val="0"/>
          <w:marBottom w:val="0"/>
          <w:divBdr>
            <w:top w:val="none" w:sz="0" w:space="0" w:color="auto"/>
            <w:left w:val="none" w:sz="0" w:space="0" w:color="auto"/>
            <w:bottom w:val="none" w:sz="0" w:space="0" w:color="auto"/>
            <w:right w:val="none" w:sz="0" w:space="0" w:color="auto"/>
          </w:divBdr>
        </w:div>
        <w:div w:id="372653084">
          <w:marLeft w:val="640"/>
          <w:marRight w:val="0"/>
          <w:marTop w:val="0"/>
          <w:marBottom w:val="0"/>
          <w:divBdr>
            <w:top w:val="none" w:sz="0" w:space="0" w:color="auto"/>
            <w:left w:val="none" w:sz="0" w:space="0" w:color="auto"/>
            <w:bottom w:val="none" w:sz="0" w:space="0" w:color="auto"/>
            <w:right w:val="none" w:sz="0" w:space="0" w:color="auto"/>
          </w:divBdr>
        </w:div>
        <w:div w:id="242498248">
          <w:marLeft w:val="640"/>
          <w:marRight w:val="0"/>
          <w:marTop w:val="0"/>
          <w:marBottom w:val="0"/>
          <w:divBdr>
            <w:top w:val="none" w:sz="0" w:space="0" w:color="auto"/>
            <w:left w:val="none" w:sz="0" w:space="0" w:color="auto"/>
            <w:bottom w:val="none" w:sz="0" w:space="0" w:color="auto"/>
            <w:right w:val="none" w:sz="0" w:space="0" w:color="auto"/>
          </w:divBdr>
        </w:div>
        <w:div w:id="568734699">
          <w:marLeft w:val="640"/>
          <w:marRight w:val="0"/>
          <w:marTop w:val="0"/>
          <w:marBottom w:val="0"/>
          <w:divBdr>
            <w:top w:val="none" w:sz="0" w:space="0" w:color="auto"/>
            <w:left w:val="none" w:sz="0" w:space="0" w:color="auto"/>
            <w:bottom w:val="none" w:sz="0" w:space="0" w:color="auto"/>
            <w:right w:val="none" w:sz="0" w:space="0" w:color="auto"/>
          </w:divBdr>
        </w:div>
        <w:div w:id="1548182693">
          <w:marLeft w:val="640"/>
          <w:marRight w:val="0"/>
          <w:marTop w:val="0"/>
          <w:marBottom w:val="0"/>
          <w:divBdr>
            <w:top w:val="none" w:sz="0" w:space="0" w:color="auto"/>
            <w:left w:val="none" w:sz="0" w:space="0" w:color="auto"/>
            <w:bottom w:val="none" w:sz="0" w:space="0" w:color="auto"/>
            <w:right w:val="none" w:sz="0" w:space="0" w:color="auto"/>
          </w:divBdr>
        </w:div>
        <w:div w:id="887035444">
          <w:marLeft w:val="640"/>
          <w:marRight w:val="0"/>
          <w:marTop w:val="0"/>
          <w:marBottom w:val="0"/>
          <w:divBdr>
            <w:top w:val="none" w:sz="0" w:space="0" w:color="auto"/>
            <w:left w:val="none" w:sz="0" w:space="0" w:color="auto"/>
            <w:bottom w:val="none" w:sz="0" w:space="0" w:color="auto"/>
            <w:right w:val="none" w:sz="0" w:space="0" w:color="auto"/>
          </w:divBdr>
        </w:div>
        <w:div w:id="1435513450">
          <w:marLeft w:val="640"/>
          <w:marRight w:val="0"/>
          <w:marTop w:val="0"/>
          <w:marBottom w:val="0"/>
          <w:divBdr>
            <w:top w:val="none" w:sz="0" w:space="0" w:color="auto"/>
            <w:left w:val="none" w:sz="0" w:space="0" w:color="auto"/>
            <w:bottom w:val="none" w:sz="0" w:space="0" w:color="auto"/>
            <w:right w:val="none" w:sz="0" w:space="0" w:color="auto"/>
          </w:divBdr>
        </w:div>
        <w:div w:id="644093653">
          <w:marLeft w:val="640"/>
          <w:marRight w:val="0"/>
          <w:marTop w:val="0"/>
          <w:marBottom w:val="0"/>
          <w:divBdr>
            <w:top w:val="none" w:sz="0" w:space="0" w:color="auto"/>
            <w:left w:val="none" w:sz="0" w:space="0" w:color="auto"/>
            <w:bottom w:val="none" w:sz="0" w:space="0" w:color="auto"/>
            <w:right w:val="none" w:sz="0" w:space="0" w:color="auto"/>
          </w:divBdr>
        </w:div>
        <w:div w:id="2035425848">
          <w:marLeft w:val="640"/>
          <w:marRight w:val="0"/>
          <w:marTop w:val="0"/>
          <w:marBottom w:val="0"/>
          <w:divBdr>
            <w:top w:val="none" w:sz="0" w:space="0" w:color="auto"/>
            <w:left w:val="none" w:sz="0" w:space="0" w:color="auto"/>
            <w:bottom w:val="none" w:sz="0" w:space="0" w:color="auto"/>
            <w:right w:val="none" w:sz="0" w:space="0" w:color="auto"/>
          </w:divBdr>
        </w:div>
        <w:div w:id="1555848792">
          <w:marLeft w:val="640"/>
          <w:marRight w:val="0"/>
          <w:marTop w:val="0"/>
          <w:marBottom w:val="0"/>
          <w:divBdr>
            <w:top w:val="none" w:sz="0" w:space="0" w:color="auto"/>
            <w:left w:val="none" w:sz="0" w:space="0" w:color="auto"/>
            <w:bottom w:val="none" w:sz="0" w:space="0" w:color="auto"/>
            <w:right w:val="none" w:sz="0" w:space="0" w:color="auto"/>
          </w:divBdr>
        </w:div>
        <w:div w:id="39793948">
          <w:marLeft w:val="640"/>
          <w:marRight w:val="0"/>
          <w:marTop w:val="0"/>
          <w:marBottom w:val="0"/>
          <w:divBdr>
            <w:top w:val="none" w:sz="0" w:space="0" w:color="auto"/>
            <w:left w:val="none" w:sz="0" w:space="0" w:color="auto"/>
            <w:bottom w:val="none" w:sz="0" w:space="0" w:color="auto"/>
            <w:right w:val="none" w:sz="0" w:space="0" w:color="auto"/>
          </w:divBdr>
        </w:div>
        <w:div w:id="491137843">
          <w:marLeft w:val="640"/>
          <w:marRight w:val="0"/>
          <w:marTop w:val="0"/>
          <w:marBottom w:val="0"/>
          <w:divBdr>
            <w:top w:val="none" w:sz="0" w:space="0" w:color="auto"/>
            <w:left w:val="none" w:sz="0" w:space="0" w:color="auto"/>
            <w:bottom w:val="none" w:sz="0" w:space="0" w:color="auto"/>
            <w:right w:val="none" w:sz="0" w:space="0" w:color="auto"/>
          </w:divBdr>
        </w:div>
        <w:div w:id="1590238354">
          <w:marLeft w:val="640"/>
          <w:marRight w:val="0"/>
          <w:marTop w:val="0"/>
          <w:marBottom w:val="0"/>
          <w:divBdr>
            <w:top w:val="none" w:sz="0" w:space="0" w:color="auto"/>
            <w:left w:val="none" w:sz="0" w:space="0" w:color="auto"/>
            <w:bottom w:val="none" w:sz="0" w:space="0" w:color="auto"/>
            <w:right w:val="none" w:sz="0" w:space="0" w:color="auto"/>
          </w:divBdr>
        </w:div>
        <w:div w:id="214511124">
          <w:marLeft w:val="640"/>
          <w:marRight w:val="0"/>
          <w:marTop w:val="0"/>
          <w:marBottom w:val="0"/>
          <w:divBdr>
            <w:top w:val="none" w:sz="0" w:space="0" w:color="auto"/>
            <w:left w:val="none" w:sz="0" w:space="0" w:color="auto"/>
            <w:bottom w:val="none" w:sz="0" w:space="0" w:color="auto"/>
            <w:right w:val="none" w:sz="0" w:space="0" w:color="auto"/>
          </w:divBdr>
        </w:div>
        <w:div w:id="1260597474">
          <w:marLeft w:val="640"/>
          <w:marRight w:val="0"/>
          <w:marTop w:val="0"/>
          <w:marBottom w:val="0"/>
          <w:divBdr>
            <w:top w:val="none" w:sz="0" w:space="0" w:color="auto"/>
            <w:left w:val="none" w:sz="0" w:space="0" w:color="auto"/>
            <w:bottom w:val="none" w:sz="0" w:space="0" w:color="auto"/>
            <w:right w:val="none" w:sz="0" w:space="0" w:color="auto"/>
          </w:divBdr>
        </w:div>
        <w:div w:id="1489058517">
          <w:marLeft w:val="640"/>
          <w:marRight w:val="0"/>
          <w:marTop w:val="0"/>
          <w:marBottom w:val="0"/>
          <w:divBdr>
            <w:top w:val="none" w:sz="0" w:space="0" w:color="auto"/>
            <w:left w:val="none" w:sz="0" w:space="0" w:color="auto"/>
            <w:bottom w:val="none" w:sz="0" w:space="0" w:color="auto"/>
            <w:right w:val="none" w:sz="0" w:space="0" w:color="auto"/>
          </w:divBdr>
        </w:div>
        <w:div w:id="269360512">
          <w:marLeft w:val="640"/>
          <w:marRight w:val="0"/>
          <w:marTop w:val="0"/>
          <w:marBottom w:val="0"/>
          <w:divBdr>
            <w:top w:val="none" w:sz="0" w:space="0" w:color="auto"/>
            <w:left w:val="none" w:sz="0" w:space="0" w:color="auto"/>
            <w:bottom w:val="none" w:sz="0" w:space="0" w:color="auto"/>
            <w:right w:val="none" w:sz="0" w:space="0" w:color="auto"/>
          </w:divBdr>
        </w:div>
        <w:div w:id="1308166203">
          <w:marLeft w:val="640"/>
          <w:marRight w:val="0"/>
          <w:marTop w:val="0"/>
          <w:marBottom w:val="0"/>
          <w:divBdr>
            <w:top w:val="none" w:sz="0" w:space="0" w:color="auto"/>
            <w:left w:val="none" w:sz="0" w:space="0" w:color="auto"/>
            <w:bottom w:val="none" w:sz="0" w:space="0" w:color="auto"/>
            <w:right w:val="none" w:sz="0" w:space="0" w:color="auto"/>
          </w:divBdr>
        </w:div>
        <w:div w:id="1194461878">
          <w:marLeft w:val="640"/>
          <w:marRight w:val="0"/>
          <w:marTop w:val="0"/>
          <w:marBottom w:val="0"/>
          <w:divBdr>
            <w:top w:val="none" w:sz="0" w:space="0" w:color="auto"/>
            <w:left w:val="none" w:sz="0" w:space="0" w:color="auto"/>
            <w:bottom w:val="none" w:sz="0" w:space="0" w:color="auto"/>
            <w:right w:val="none" w:sz="0" w:space="0" w:color="auto"/>
          </w:divBdr>
        </w:div>
        <w:div w:id="1699089799">
          <w:marLeft w:val="640"/>
          <w:marRight w:val="0"/>
          <w:marTop w:val="0"/>
          <w:marBottom w:val="0"/>
          <w:divBdr>
            <w:top w:val="none" w:sz="0" w:space="0" w:color="auto"/>
            <w:left w:val="none" w:sz="0" w:space="0" w:color="auto"/>
            <w:bottom w:val="none" w:sz="0" w:space="0" w:color="auto"/>
            <w:right w:val="none" w:sz="0" w:space="0" w:color="auto"/>
          </w:divBdr>
        </w:div>
        <w:div w:id="72091196">
          <w:marLeft w:val="640"/>
          <w:marRight w:val="0"/>
          <w:marTop w:val="0"/>
          <w:marBottom w:val="0"/>
          <w:divBdr>
            <w:top w:val="none" w:sz="0" w:space="0" w:color="auto"/>
            <w:left w:val="none" w:sz="0" w:space="0" w:color="auto"/>
            <w:bottom w:val="none" w:sz="0" w:space="0" w:color="auto"/>
            <w:right w:val="none" w:sz="0" w:space="0" w:color="auto"/>
          </w:divBdr>
        </w:div>
        <w:div w:id="711271279">
          <w:marLeft w:val="640"/>
          <w:marRight w:val="0"/>
          <w:marTop w:val="0"/>
          <w:marBottom w:val="0"/>
          <w:divBdr>
            <w:top w:val="none" w:sz="0" w:space="0" w:color="auto"/>
            <w:left w:val="none" w:sz="0" w:space="0" w:color="auto"/>
            <w:bottom w:val="none" w:sz="0" w:space="0" w:color="auto"/>
            <w:right w:val="none" w:sz="0" w:space="0" w:color="auto"/>
          </w:divBdr>
        </w:div>
        <w:div w:id="1812092522">
          <w:marLeft w:val="640"/>
          <w:marRight w:val="0"/>
          <w:marTop w:val="0"/>
          <w:marBottom w:val="0"/>
          <w:divBdr>
            <w:top w:val="none" w:sz="0" w:space="0" w:color="auto"/>
            <w:left w:val="none" w:sz="0" w:space="0" w:color="auto"/>
            <w:bottom w:val="none" w:sz="0" w:space="0" w:color="auto"/>
            <w:right w:val="none" w:sz="0" w:space="0" w:color="auto"/>
          </w:divBdr>
        </w:div>
        <w:div w:id="865102821">
          <w:marLeft w:val="640"/>
          <w:marRight w:val="0"/>
          <w:marTop w:val="0"/>
          <w:marBottom w:val="0"/>
          <w:divBdr>
            <w:top w:val="none" w:sz="0" w:space="0" w:color="auto"/>
            <w:left w:val="none" w:sz="0" w:space="0" w:color="auto"/>
            <w:bottom w:val="none" w:sz="0" w:space="0" w:color="auto"/>
            <w:right w:val="none" w:sz="0" w:space="0" w:color="auto"/>
          </w:divBdr>
        </w:div>
        <w:div w:id="1466200505">
          <w:marLeft w:val="640"/>
          <w:marRight w:val="0"/>
          <w:marTop w:val="0"/>
          <w:marBottom w:val="0"/>
          <w:divBdr>
            <w:top w:val="none" w:sz="0" w:space="0" w:color="auto"/>
            <w:left w:val="none" w:sz="0" w:space="0" w:color="auto"/>
            <w:bottom w:val="none" w:sz="0" w:space="0" w:color="auto"/>
            <w:right w:val="none" w:sz="0" w:space="0" w:color="auto"/>
          </w:divBdr>
        </w:div>
        <w:div w:id="2061466953">
          <w:marLeft w:val="640"/>
          <w:marRight w:val="0"/>
          <w:marTop w:val="0"/>
          <w:marBottom w:val="0"/>
          <w:divBdr>
            <w:top w:val="none" w:sz="0" w:space="0" w:color="auto"/>
            <w:left w:val="none" w:sz="0" w:space="0" w:color="auto"/>
            <w:bottom w:val="none" w:sz="0" w:space="0" w:color="auto"/>
            <w:right w:val="none" w:sz="0" w:space="0" w:color="auto"/>
          </w:divBdr>
        </w:div>
        <w:div w:id="105470084">
          <w:marLeft w:val="640"/>
          <w:marRight w:val="0"/>
          <w:marTop w:val="0"/>
          <w:marBottom w:val="0"/>
          <w:divBdr>
            <w:top w:val="none" w:sz="0" w:space="0" w:color="auto"/>
            <w:left w:val="none" w:sz="0" w:space="0" w:color="auto"/>
            <w:bottom w:val="none" w:sz="0" w:space="0" w:color="auto"/>
            <w:right w:val="none" w:sz="0" w:space="0" w:color="auto"/>
          </w:divBdr>
        </w:div>
        <w:div w:id="1740446237">
          <w:marLeft w:val="640"/>
          <w:marRight w:val="0"/>
          <w:marTop w:val="0"/>
          <w:marBottom w:val="0"/>
          <w:divBdr>
            <w:top w:val="none" w:sz="0" w:space="0" w:color="auto"/>
            <w:left w:val="none" w:sz="0" w:space="0" w:color="auto"/>
            <w:bottom w:val="none" w:sz="0" w:space="0" w:color="auto"/>
            <w:right w:val="none" w:sz="0" w:space="0" w:color="auto"/>
          </w:divBdr>
        </w:div>
        <w:div w:id="1415123975">
          <w:marLeft w:val="640"/>
          <w:marRight w:val="0"/>
          <w:marTop w:val="0"/>
          <w:marBottom w:val="0"/>
          <w:divBdr>
            <w:top w:val="none" w:sz="0" w:space="0" w:color="auto"/>
            <w:left w:val="none" w:sz="0" w:space="0" w:color="auto"/>
            <w:bottom w:val="none" w:sz="0" w:space="0" w:color="auto"/>
            <w:right w:val="none" w:sz="0" w:space="0" w:color="auto"/>
          </w:divBdr>
        </w:div>
        <w:div w:id="1436048626">
          <w:marLeft w:val="640"/>
          <w:marRight w:val="0"/>
          <w:marTop w:val="0"/>
          <w:marBottom w:val="0"/>
          <w:divBdr>
            <w:top w:val="none" w:sz="0" w:space="0" w:color="auto"/>
            <w:left w:val="none" w:sz="0" w:space="0" w:color="auto"/>
            <w:bottom w:val="none" w:sz="0" w:space="0" w:color="auto"/>
            <w:right w:val="none" w:sz="0" w:space="0" w:color="auto"/>
          </w:divBdr>
        </w:div>
        <w:div w:id="1507553439">
          <w:marLeft w:val="640"/>
          <w:marRight w:val="0"/>
          <w:marTop w:val="0"/>
          <w:marBottom w:val="0"/>
          <w:divBdr>
            <w:top w:val="none" w:sz="0" w:space="0" w:color="auto"/>
            <w:left w:val="none" w:sz="0" w:space="0" w:color="auto"/>
            <w:bottom w:val="none" w:sz="0" w:space="0" w:color="auto"/>
            <w:right w:val="none" w:sz="0" w:space="0" w:color="auto"/>
          </w:divBdr>
        </w:div>
        <w:div w:id="1082333477">
          <w:marLeft w:val="640"/>
          <w:marRight w:val="0"/>
          <w:marTop w:val="0"/>
          <w:marBottom w:val="0"/>
          <w:divBdr>
            <w:top w:val="none" w:sz="0" w:space="0" w:color="auto"/>
            <w:left w:val="none" w:sz="0" w:space="0" w:color="auto"/>
            <w:bottom w:val="none" w:sz="0" w:space="0" w:color="auto"/>
            <w:right w:val="none" w:sz="0" w:space="0" w:color="auto"/>
          </w:divBdr>
        </w:div>
        <w:div w:id="865828380">
          <w:marLeft w:val="640"/>
          <w:marRight w:val="0"/>
          <w:marTop w:val="0"/>
          <w:marBottom w:val="0"/>
          <w:divBdr>
            <w:top w:val="none" w:sz="0" w:space="0" w:color="auto"/>
            <w:left w:val="none" w:sz="0" w:space="0" w:color="auto"/>
            <w:bottom w:val="none" w:sz="0" w:space="0" w:color="auto"/>
            <w:right w:val="none" w:sz="0" w:space="0" w:color="auto"/>
          </w:divBdr>
        </w:div>
        <w:div w:id="325086915">
          <w:marLeft w:val="640"/>
          <w:marRight w:val="0"/>
          <w:marTop w:val="0"/>
          <w:marBottom w:val="0"/>
          <w:divBdr>
            <w:top w:val="none" w:sz="0" w:space="0" w:color="auto"/>
            <w:left w:val="none" w:sz="0" w:space="0" w:color="auto"/>
            <w:bottom w:val="none" w:sz="0" w:space="0" w:color="auto"/>
            <w:right w:val="none" w:sz="0" w:space="0" w:color="auto"/>
          </w:divBdr>
        </w:div>
        <w:div w:id="1710375326">
          <w:marLeft w:val="640"/>
          <w:marRight w:val="0"/>
          <w:marTop w:val="0"/>
          <w:marBottom w:val="0"/>
          <w:divBdr>
            <w:top w:val="none" w:sz="0" w:space="0" w:color="auto"/>
            <w:left w:val="none" w:sz="0" w:space="0" w:color="auto"/>
            <w:bottom w:val="none" w:sz="0" w:space="0" w:color="auto"/>
            <w:right w:val="none" w:sz="0" w:space="0" w:color="auto"/>
          </w:divBdr>
        </w:div>
        <w:div w:id="1641613552">
          <w:marLeft w:val="640"/>
          <w:marRight w:val="0"/>
          <w:marTop w:val="0"/>
          <w:marBottom w:val="0"/>
          <w:divBdr>
            <w:top w:val="none" w:sz="0" w:space="0" w:color="auto"/>
            <w:left w:val="none" w:sz="0" w:space="0" w:color="auto"/>
            <w:bottom w:val="none" w:sz="0" w:space="0" w:color="auto"/>
            <w:right w:val="none" w:sz="0" w:space="0" w:color="auto"/>
          </w:divBdr>
        </w:div>
        <w:div w:id="1486706554">
          <w:marLeft w:val="640"/>
          <w:marRight w:val="0"/>
          <w:marTop w:val="0"/>
          <w:marBottom w:val="0"/>
          <w:divBdr>
            <w:top w:val="none" w:sz="0" w:space="0" w:color="auto"/>
            <w:left w:val="none" w:sz="0" w:space="0" w:color="auto"/>
            <w:bottom w:val="none" w:sz="0" w:space="0" w:color="auto"/>
            <w:right w:val="none" w:sz="0" w:space="0" w:color="auto"/>
          </w:divBdr>
        </w:div>
        <w:div w:id="32852545">
          <w:marLeft w:val="640"/>
          <w:marRight w:val="0"/>
          <w:marTop w:val="0"/>
          <w:marBottom w:val="0"/>
          <w:divBdr>
            <w:top w:val="none" w:sz="0" w:space="0" w:color="auto"/>
            <w:left w:val="none" w:sz="0" w:space="0" w:color="auto"/>
            <w:bottom w:val="none" w:sz="0" w:space="0" w:color="auto"/>
            <w:right w:val="none" w:sz="0" w:space="0" w:color="auto"/>
          </w:divBdr>
        </w:div>
        <w:div w:id="1338387493">
          <w:marLeft w:val="640"/>
          <w:marRight w:val="0"/>
          <w:marTop w:val="0"/>
          <w:marBottom w:val="0"/>
          <w:divBdr>
            <w:top w:val="none" w:sz="0" w:space="0" w:color="auto"/>
            <w:left w:val="none" w:sz="0" w:space="0" w:color="auto"/>
            <w:bottom w:val="none" w:sz="0" w:space="0" w:color="auto"/>
            <w:right w:val="none" w:sz="0" w:space="0" w:color="auto"/>
          </w:divBdr>
        </w:div>
        <w:div w:id="284041440">
          <w:marLeft w:val="640"/>
          <w:marRight w:val="0"/>
          <w:marTop w:val="0"/>
          <w:marBottom w:val="0"/>
          <w:divBdr>
            <w:top w:val="none" w:sz="0" w:space="0" w:color="auto"/>
            <w:left w:val="none" w:sz="0" w:space="0" w:color="auto"/>
            <w:bottom w:val="none" w:sz="0" w:space="0" w:color="auto"/>
            <w:right w:val="none" w:sz="0" w:space="0" w:color="auto"/>
          </w:divBdr>
        </w:div>
        <w:div w:id="913197666">
          <w:marLeft w:val="640"/>
          <w:marRight w:val="0"/>
          <w:marTop w:val="0"/>
          <w:marBottom w:val="0"/>
          <w:divBdr>
            <w:top w:val="none" w:sz="0" w:space="0" w:color="auto"/>
            <w:left w:val="none" w:sz="0" w:space="0" w:color="auto"/>
            <w:bottom w:val="none" w:sz="0" w:space="0" w:color="auto"/>
            <w:right w:val="none" w:sz="0" w:space="0" w:color="auto"/>
          </w:divBdr>
        </w:div>
        <w:div w:id="576016363">
          <w:marLeft w:val="640"/>
          <w:marRight w:val="0"/>
          <w:marTop w:val="0"/>
          <w:marBottom w:val="0"/>
          <w:divBdr>
            <w:top w:val="none" w:sz="0" w:space="0" w:color="auto"/>
            <w:left w:val="none" w:sz="0" w:space="0" w:color="auto"/>
            <w:bottom w:val="none" w:sz="0" w:space="0" w:color="auto"/>
            <w:right w:val="none" w:sz="0" w:space="0" w:color="auto"/>
          </w:divBdr>
        </w:div>
        <w:div w:id="151023076">
          <w:marLeft w:val="640"/>
          <w:marRight w:val="0"/>
          <w:marTop w:val="0"/>
          <w:marBottom w:val="0"/>
          <w:divBdr>
            <w:top w:val="none" w:sz="0" w:space="0" w:color="auto"/>
            <w:left w:val="none" w:sz="0" w:space="0" w:color="auto"/>
            <w:bottom w:val="none" w:sz="0" w:space="0" w:color="auto"/>
            <w:right w:val="none" w:sz="0" w:space="0" w:color="auto"/>
          </w:divBdr>
        </w:div>
        <w:div w:id="1899633344">
          <w:marLeft w:val="640"/>
          <w:marRight w:val="0"/>
          <w:marTop w:val="0"/>
          <w:marBottom w:val="0"/>
          <w:divBdr>
            <w:top w:val="none" w:sz="0" w:space="0" w:color="auto"/>
            <w:left w:val="none" w:sz="0" w:space="0" w:color="auto"/>
            <w:bottom w:val="none" w:sz="0" w:space="0" w:color="auto"/>
            <w:right w:val="none" w:sz="0" w:space="0" w:color="auto"/>
          </w:divBdr>
        </w:div>
        <w:div w:id="1331521254">
          <w:marLeft w:val="640"/>
          <w:marRight w:val="0"/>
          <w:marTop w:val="0"/>
          <w:marBottom w:val="0"/>
          <w:divBdr>
            <w:top w:val="none" w:sz="0" w:space="0" w:color="auto"/>
            <w:left w:val="none" w:sz="0" w:space="0" w:color="auto"/>
            <w:bottom w:val="none" w:sz="0" w:space="0" w:color="auto"/>
            <w:right w:val="none" w:sz="0" w:space="0" w:color="auto"/>
          </w:divBdr>
        </w:div>
        <w:div w:id="477040698">
          <w:marLeft w:val="640"/>
          <w:marRight w:val="0"/>
          <w:marTop w:val="0"/>
          <w:marBottom w:val="0"/>
          <w:divBdr>
            <w:top w:val="none" w:sz="0" w:space="0" w:color="auto"/>
            <w:left w:val="none" w:sz="0" w:space="0" w:color="auto"/>
            <w:bottom w:val="none" w:sz="0" w:space="0" w:color="auto"/>
            <w:right w:val="none" w:sz="0" w:space="0" w:color="auto"/>
          </w:divBdr>
        </w:div>
        <w:div w:id="2122339687">
          <w:marLeft w:val="640"/>
          <w:marRight w:val="0"/>
          <w:marTop w:val="0"/>
          <w:marBottom w:val="0"/>
          <w:divBdr>
            <w:top w:val="none" w:sz="0" w:space="0" w:color="auto"/>
            <w:left w:val="none" w:sz="0" w:space="0" w:color="auto"/>
            <w:bottom w:val="none" w:sz="0" w:space="0" w:color="auto"/>
            <w:right w:val="none" w:sz="0" w:space="0" w:color="auto"/>
          </w:divBdr>
        </w:div>
        <w:div w:id="2087870949">
          <w:marLeft w:val="640"/>
          <w:marRight w:val="0"/>
          <w:marTop w:val="0"/>
          <w:marBottom w:val="0"/>
          <w:divBdr>
            <w:top w:val="none" w:sz="0" w:space="0" w:color="auto"/>
            <w:left w:val="none" w:sz="0" w:space="0" w:color="auto"/>
            <w:bottom w:val="none" w:sz="0" w:space="0" w:color="auto"/>
            <w:right w:val="none" w:sz="0" w:space="0" w:color="auto"/>
          </w:divBdr>
        </w:div>
        <w:div w:id="854881518">
          <w:marLeft w:val="640"/>
          <w:marRight w:val="0"/>
          <w:marTop w:val="0"/>
          <w:marBottom w:val="0"/>
          <w:divBdr>
            <w:top w:val="none" w:sz="0" w:space="0" w:color="auto"/>
            <w:left w:val="none" w:sz="0" w:space="0" w:color="auto"/>
            <w:bottom w:val="none" w:sz="0" w:space="0" w:color="auto"/>
            <w:right w:val="none" w:sz="0" w:space="0" w:color="auto"/>
          </w:divBdr>
        </w:div>
        <w:div w:id="2016615510">
          <w:marLeft w:val="640"/>
          <w:marRight w:val="0"/>
          <w:marTop w:val="0"/>
          <w:marBottom w:val="0"/>
          <w:divBdr>
            <w:top w:val="none" w:sz="0" w:space="0" w:color="auto"/>
            <w:left w:val="none" w:sz="0" w:space="0" w:color="auto"/>
            <w:bottom w:val="none" w:sz="0" w:space="0" w:color="auto"/>
            <w:right w:val="none" w:sz="0" w:space="0" w:color="auto"/>
          </w:divBdr>
        </w:div>
        <w:div w:id="405345065">
          <w:marLeft w:val="640"/>
          <w:marRight w:val="0"/>
          <w:marTop w:val="0"/>
          <w:marBottom w:val="0"/>
          <w:divBdr>
            <w:top w:val="none" w:sz="0" w:space="0" w:color="auto"/>
            <w:left w:val="none" w:sz="0" w:space="0" w:color="auto"/>
            <w:bottom w:val="none" w:sz="0" w:space="0" w:color="auto"/>
            <w:right w:val="none" w:sz="0" w:space="0" w:color="auto"/>
          </w:divBdr>
        </w:div>
        <w:div w:id="144201591">
          <w:marLeft w:val="640"/>
          <w:marRight w:val="0"/>
          <w:marTop w:val="0"/>
          <w:marBottom w:val="0"/>
          <w:divBdr>
            <w:top w:val="none" w:sz="0" w:space="0" w:color="auto"/>
            <w:left w:val="none" w:sz="0" w:space="0" w:color="auto"/>
            <w:bottom w:val="none" w:sz="0" w:space="0" w:color="auto"/>
            <w:right w:val="none" w:sz="0" w:space="0" w:color="auto"/>
          </w:divBdr>
        </w:div>
        <w:div w:id="512838988">
          <w:marLeft w:val="640"/>
          <w:marRight w:val="0"/>
          <w:marTop w:val="0"/>
          <w:marBottom w:val="0"/>
          <w:divBdr>
            <w:top w:val="none" w:sz="0" w:space="0" w:color="auto"/>
            <w:left w:val="none" w:sz="0" w:space="0" w:color="auto"/>
            <w:bottom w:val="none" w:sz="0" w:space="0" w:color="auto"/>
            <w:right w:val="none" w:sz="0" w:space="0" w:color="auto"/>
          </w:divBdr>
        </w:div>
        <w:div w:id="1900359425">
          <w:marLeft w:val="640"/>
          <w:marRight w:val="0"/>
          <w:marTop w:val="0"/>
          <w:marBottom w:val="0"/>
          <w:divBdr>
            <w:top w:val="none" w:sz="0" w:space="0" w:color="auto"/>
            <w:left w:val="none" w:sz="0" w:space="0" w:color="auto"/>
            <w:bottom w:val="none" w:sz="0" w:space="0" w:color="auto"/>
            <w:right w:val="none" w:sz="0" w:space="0" w:color="auto"/>
          </w:divBdr>
        </w:div>
        <w:div w:id="1536382336">
          <w:marLeft w:val="640"/>
          <w:marRight w:val="0"/>
          <w:marTop w:val="0"/>
          <w:marBottom w:val="0"/>
          <w:divBdr>
            <w:top w:val="none" w:sz="0" w:space="0" w:color="auto"/>
            <w:left w:val="none" w:sz="0" w:space="0" w:color="auto"/>
            <w:bottom w:val="none" w:sz="0" w:space="0" w:color="auto"/>
            <w:right w:val="none" w:sz="0" w:space="0" w:color="auto"/>
          </w:divBdr>
        </w:div>
        <w:div w:id="547645808">
          <w:marLeft w:val="640"/>
          <w:marRight w:val="0"/>
          <w:marTop w:val="0"/>
          <w:marBottom w:val="0"/>
          <w:divBdr>
            <w:top w:val="none" w:sz="0" w:space="0" w:color="auto"/>
            <w:left w:val="none" w:sz="0" w:space="0" w:color="auto"/>
            <w:bottom w:val="none" w:sz="0" w:space="0" w:color="auto"/>
            <w:right w:val="none" w:sz="0" w:space="0" w:color="auto"/>
          </w:divBdr>
        </w:div>
        <w:div w:id="472723425">
          <w:marLeft w:val="640"/>
          <w:marRight w:val="0"/>
          <w:marTop w:val="0"/>
          <w:marBottom w:val="0"/>
          <w:divBdr>
            <w:top w:val="none" w:sz="0" w:space="0" w:color="auto"/>
            <w:left w:val="none" w:sz="0" w:space="0" w:color="auto"/>
            <w:bottom w:val="none" w:sz="0" w:space="0" w:color="auto"/>
            <w:right w:val="none" w:sz="0" w:space="0" w:color="auto"/>
          </w:divBdr>
        </w:div>
        <w:div w:id="1803503243">
          <w:marLeft w:val="640"/>
          <w:marRight w:val="0"/>
          <w:marTop w:val="0"/>
          <w:marBottom w:val="0"/>
          <w:divBdr>
            <w:top w:val="none" w:sz="0" w:space="0" w:color="auto"/>
            <w:left w:val="none" w:sz="0" w:space="0" w:color="auto"/>
            <w:bottom w:val="none" w:sz="0" w:space="0" w:color="auto"/>
            <w:right w:val="none" w:sz="0" w:space="0" w:color="auto"/>
          </w:divBdr>
        </w:div>
        <w:div w:id="1317345236">
          <w:marLeft w:val="640"/>
          <w:marRight w:val="0"/>
          <w:marTop w:val="0"/>
          <w:marBottom w:val="0"/>
          <w:divBdr>
            <w:top w:val="none" w:sz="0" w:space="0" w:color="auto"/>
            <w:left w:val="none" w:sz="0" w:space="0" w:color="auto"/>
            <w:bottom w:val="none" w:sz="0" w:space="0" w:color="auto"/>
            <w:right w:val="none" w:sz="0" w:space="0" w:color="auto"/>
          </w:divBdr>
        </w:div>
        <w:div w:id="654146903">
          <w:marLeft w:val="640"/>
          <w:marRight w:val="0"/>
          <w:marTop w:val="0"/>
          <w:marBottom w:val="0"/>
          <w:divBdr>
            <w:top w:val="none" w:sz="0" w:space="0" w:color="auto"/>
            <w:left w:val="none" w:sz="0" w:space="0" w:color="auto"/>
            <w:bottom w:val="none" w:sz="0" w:space="0" w:color="auto"/>
            <w:right w:val="none" w:sz="0" w:space="0" w:color="auto"/>
          </w:divBdr>
        </w:div>
        <w:div w:id="597257420">
          <w:marLeft w:val="640"/>
          <w:marRight w:val="0"/>
          <w:marTop w:val="0"/>
          <w:marBottom w:val="0"/>
          <w:divBdr>
            <w:top w:val="none" w:sz="0" w:space="0" w:color="auto"/>
            <w:left w:val="none" w:sz="0" w:space="0" w:color="auto"/>
            <w:bottom w:val="none" w:sz="0" w:space="0" w:color="auto"/>
            <w:right w:val="none" w:sz="0" w:space="0" w:color="auto"/>
          </w:divBdr>
        </w:div>
        <w:div w:id="45036861">
          <w:marLeft w:val="640"/>
          <w:marRight w:val="0"/>
          <w:marTop w:val="0"/>
          <w:marBottom w:val="0"/>
          <w:divBdr>
            <w:top w:val="none" w:sz="0" w:space="0" w:color="auto"/>
            <w:left w:val="none" w:sz="0" w:space="0" w:color="auto"/>
            <w:bottom w:val="none" w:sz="0" w:space="0" w:color="auto"/>
            <w:right w:val="none" w:sz="0" w:space="0" w:color="auto"/>
          </w:divBdr>
        </w:div>
        <w:div w:id="227347030">
          <w:marLeft w:val="640"/>
          <w:marRight w:val="0"/>
          <w:marTop w:val="0"/>
          <w:marBottom w:val="0"/>
          <w:divBdr>
            <w:top w:val="none" w:sz="0" w:space="0" w:color="auto"/>
            <w:left w:val="none" w:sz="0" w:space="0" w:color="auto"/>
            <w:bottom w:val="none" w:sz="0" w:space="0" w:color="auto"/>
            <w:right w:val="none" w:sz="0" w:space="0" w:color="auto"/>
          </w:divBdr>
        </w:div>
        <w:div w:id="2113940578">
          <w:marLeft w:val="640"/>
          <w:marRight w:val="0"/>
          <w:marTop w:val="0"/>
          <w:marBottom w:val="0"/>
          <w:divBdr>
            <w:top w:val="none" w:sz="0" w:space="0" w:color="auto"/>
            <w:left w:val="none" w:sz="0" w:space="0" w:color="auto"/>
            <w:bottom w:val="none" w:sz="0" w:space="0" w:color="auto"/>
            <w:right w:val="none" w:sz="0" w:space="0" w:color="auto"/>
          </w:divBdr>
        </w:div>
        <w:div w:id="1337465561">
          <w:marLeft w:val="640"/>
          <w:marRight w:val="0"/>
          <w:marTop w:val="0"/>
          <w:marBottom w:val="0"/>
          <w:divBdr>
            <w:top w:val="none" w:sz="0" w:space="0" w:color="auto"/>
            <w:left w:val="none" w:sz="0" w:space="0" w:color="auto"/>
            <w:bottom w:val="none" w:sz="0" w:space="0" w:color="auto"/>
            <w:right w:val="none" w:sz="0" w:space="0" w:color="auto"/>
          </w:divBdr>
        </w:div>
        <w:div w:id="280959653">
          <w:marLeft w:val="640"/>
          <w:marRight w:val="0"/>
          <w:marTop w:val="0"/>
          <w:marBottom w:val="0"/>
          <w:divBdr>
            <w:top w:val="none" w:sz="0" w:space="0" w:color="auto"/>
            <w:left w:val="none" w:sz="0" w:space="0" w:color="auto"/>
            <w:bottom w:val="none" w:sz="0" w:space="0" w:color="auto"/>
            <w:right w:val="none" w:sz="0" w:space="0" w:color="auto"/>
          </w:divBdr>
        </w:div>
        <w:div w:id="1125583643">
          <w:marLeft w:val="640"/>
          <w:marRight w:val="0"/>
          <w:marTop w:val="0"/>
          <w:marBottom w:val="0"/>
          <w:divBdr>
            <w:top w:val="none" w:sz="0" w:space="0" w:color="auto"/>
            <w:left w:val="none" w:sz="0" w:space="0" w:color="auto"/>
            <w:bottom w:val="none" w:sz="0" w:space="0" w:color="auto"/>
            <w:right w:val="none" w:sz="0" w:space="0" w:color="auto"/>
          </w:divBdr>
        </w:div>
        <w:div w:id="404187331">
          <w:marLeft w:val="640"/>
          <w:marRight w:val="0"/>
          <w:marTop w:val="0"/>
          <w:marBottom w:val="0"/>
          <w:divBdr>
            <w:top w:val="none" w:sz="0" w:space="0" w:color="auto"/>
            <w:left w:val="none" w:sz="0" w:space="0" w:color="auto"/>
            <w:bottom w:val="none" w:sz="0" w:space="0" w:color="auto"/>
            <w:right w:val="none" w:sz="0" w:space="0" w:color="auto"/>
          </w:divBdr>
        </w:div>
        <w:div w:id="728962222">
          <w:marLeft w:val="640"/>
          <w:marRight w:val="0"/>
          <w:marTop w:val="0"/>
          <w:marBottom w:val="0"/>
          <w:divBdr>
            <w:top w:val="none" w:sz="0" w:space="0" w:color="auto"/>
            <w:left w:val="none" w:sz="0" w:space="0" w:color="auto"/>
            <w:bottom w:val="none" w:sz="0" w:space="0" w:color="auto"/>
            <w:right w:val="none" w:sz="0" w:space="0" w:color="auto"/>
          </w:divBdr>
        </w:div>
        <w:div w:id="1650206324">
          <w:marLeft w:val="640"/>
          <w:marRight w:val="0"/>
          <w:marTop w:val="0"/>
          <w:marBottom w:val="0"/>
          <w:divBdr>
            <w:top w:val="none" w:sz="0" w:space="0" w:color="auto"/>
            <w:left w:val="none" w:sz="0" w:space="0" w:color="auto"/>
            <w:bottom w:val="none" w:sz="0" w:space="0" w:color="auto"/>
            <w:right w:val="none" w:sz="0" w:space="0" w:color="auto"/>
          </w:divBdr>
        </w:div>
        <w:div w:id="1320039663">
          <w:marLeft w:val="640"/>
          <w:marRight w:val="0"/>
          <w:marTop w:val="0"/>
          <w:marBottom w:val="0"/>
          <w:divBdr>
            <w:top w:val="none" w:sz="0" w:space="0" w:color="auto"/>
            <w:left w:val="none" w:sz="0" w:space="0" w:color="auto"/>
            <w:bottom w:val="none" w:sz="0" w:space="0" w:color="auto"/>
            <w:right w:val="none" w:sz="0" w:space="0" w:color="auto"/>
          </w:divBdr>
        </w:div>
        <w:div w:id="1088647961">
          <w:marLeft w:val="640"/>
          <w:marRight w:val="0"/>
          <w:marTop w:val="0"/>
          <w:marBottom w:val="0"/>
          <w:divBdr>
            <w:top w:val="none" w:sz="0" w:space="0" w:color="auto"/>
            <w:left w:val="none" w:sz="0" w:space="0" w:color="auto"/>
            <w:bottom w:val="none" w:sz="0" w:space="0" w:color="auto"/>
            <w:right w:val="none" w:sz="0" w:space="0" w:color="auto"/>
          </w:divBdr>
        </w:div>
        <w:div w:id="958608607">
          <w:marLeft w:val="640"/>
          <w:marRight w:val="0"/>
          <w:marTop w:val="0"/>
          <w:marBottom w:val="0"/>
          <w:divBdr>
            <w:top w:val="none" w:sz="0" w:space="0" w:color="auto"/>
            <w:left w:val="none" w:sz="0" w:space="0" w:color="auto"/>
            <w:bottom w:val="none" w:sz="0" w:space="0" w:color="auto"/>
            <w:right w:val="none" w:sz="0" w:space="0" w:color="auto"/>
          </w:divBdr>
        </w:div>
        <w:div w:id="1558979306">
          <w:marLeft w:val="640"/>
          <w:marRight w:val="0"/>
          <w:marTop w:val="0"/>
          <w:marBottom w:val="0"/>
          <w:divBdr>
            <w:top w:val="none" w:sz="0" w:space="0" w:color="auto"/>
            <w:left w:val="none" w:sz="0" w:space="0" w:color="auto"/>
            <w:bottom w:val="none" w:sz="0" w:space="0" w:color="auto"/>
            <w:right w:val="none" w:sz="0" w:space="0" w:color="auto"/>
          </w:divBdr>
        </w:div>
        <w:div w:id="224490358">
          <w:marLeft w:val="640"/>
          <w:marRight w:val="0"/>
          <w:marTop w:val="0"/>
          <w:marBottom w:val="0"/>
          <w:divBdr>
            <w:top w:val="none" w:sz="0" w:space="0" w:color="auto"/>
            <w:left w:val="none" w:sz="0" w:space="0" w:color="auto"/>
            <w:bottom w:val="none" w:sz="0" w:space="0" w:color="auto"/>
            <w:right w:val="none" w:sz="0" w:space="0" w:color="auto"/>
          </w:divBdr>
        </w:div>
        <w:div w:id="267783729">
          <w:marLeft w:val="640"/>
          <w:marRight w:val="0"/>
          <w:marTop w:val="0"/>
          <w:marBottom w:val="0"/>
          <w:divBdr>
            <w:top w:val="none" w:sz="0" w:space="0" w:color="auto"/>
            <w:left w:val="none" w:sz="0" w:space="0" w:color="auto"/>
            <w:bottom w:val="none" w:sz="0" w:space="0" w:color="auto"/>
            <w:right w:val="none" w:sz="0" w:space="0" w:color="auto"/>
          </w:divBdr>
        </w:div>
        <w:div w:id="2001763580">
          <w:marLeft w:val="640"/>
          <w:marRight w:val="0"/>
          <w:marTop w:val="0"/>
          <w:marBottom w:val="0"/>
          <w:divBdr>
            <w:top w:val="none" w:sz="0" w:space="0" w:color="auto"/>
            <w:left w:val="none" w:sz="0" w:space="0" w:color="auto"/>
            <w:bottom w:val="none" w:sz="0" w:space="0" w:color="auto"/>
            <w:right w:val="none" w:sz="0" w:space="0" w:color="auto"/>
          </w:divBdr>
        </w:div>
        <w:div w:id="9651750">
          <w:marLeft w:val="640"/>
          <w:marRight w:val="0"/>
          <w:marTop w:val="0"/>
          <w:marBottom w:val="0"/>
          <w:divBdr>
            <w:top w:val="none" w:sz="0" w:space="0" w:color="auto"/>
            <w:left w:val="none" w:sz="0" w:space="0" w:color="auto"/>
            <w:bottom w:val="none" w:sz="0" w:space="0" w:color="auto"/>
            <w:right w:val="none" w:sz="0" w:space="0" w:color="auto"/>
          </w:divBdr>
        </w:div>
        <w:div w:id="1185289956">
          <w:marLeft w:val="640"/>
          <w:marRight w:val="0"/>
          <w:marTop w:val="0"/>
          <w:marBottom w:val="0"/>
          <w:divBdr>
            <w:top w:val="none" w:sz="0" w:space="0" w:color="auto"/>
            <w:left w:val="none" w:sz="0" w:space="0" w:color="auto"/>
            <w:bottom w:val="none" w:sz="0" w:space="0" w:color="auto"/>
            <w:right w:val="none" w:sz="0" w:space="0" w:color="auto"/>
          </w:divBdr>
        </w:div>
        <w:div w:id="948393774">
          <w:marLeft w:val="640"/>
          <w:marRight w:val="0"/>
          <w:marTop w:val="0"/>
          <w:marBottom w:val="0"/>
          <w:divBdr>
            <w:top w:val="none" w:sz="0" w:space="0" w:color="auto"/>
            <w:left w:val="none" w:sz="0" w:space="0" w:color="auto"/>
            <w:bottom w:val="none" w:sz="0" w:space="0" w:color="auto"/>
            <w:right w:val="none" w:sz="0" w:space="0" w:color="auto"/>
          </w:divBdr>
        </w:div>
        <w:div w:id="775029453">
          <w:marLeft w:val="640"/>
          <w:marRight w:val="0"/>
          <w:marTop w:val="0"/>
          <w:marBottom w:val="0"/>
          <w:divBdr>
            <w:top w:val="none" w:sz="0" w:space="0" w:color="auto"/>
            <w:left w:val="none" w:sz="0" w:space="0" w:color="auto"/>
            <w:bottom w:val="none" w:sz="0" w:space="0" w:color="auto"/>
            <w:right w:val="none" w:sz="0" w:space="0" w:color="auto"/>
          </w:divBdr>
        </w:div>
        <w:div w:id="1869299152">
          <w:marLeft w:val="640"/>
          <w:marRight w:val="0"/>
          <w:marTop w:val="0"/>
          <w:marBottom w:val="0"/>
          <w:divBdr>
            <w:top w:val="none" w:sz="0" w:space="0" w:color="auto"/>
            <w:left w:val="none" w:sz="0" w:space="0" w:color="auto"/>
            <w:bottom w:val="none" w:sz="0" w:space="0" w:color="auto"/>
            <w:right w:val="none" w:sz="0" w:space="0" w:color="auto"/>
          </w:divBdr>
        </w:div>
        <w:div w:id="1981493722">
          <w:marLeft w:val="640"/>
          <w:marRight w:val="0"/>
          <w:marTop w:val="0"/>
          <w:marBottom w:val="0"/>
          <w:divBdr>
            <w:top w:val="none" w:sz="0" w:space="0" w:color="auto"/>
            <w:left w:val="none" w:sz="0" w:space="0" w:color="auto"/>
            <w:bottom w:val="none" w:sz="0" w:space="0" w:color="auto"/>
            <w:right w:val="none" w:sz="0" w:space="0" w:color="auto"/>
          </w:divBdr>
        </w:div>
        <w:div w:id="151990292">
          <w:marLeft w:val="640"/>
          <w:marRight w:val="0"/>
          <w:marTop w:val="0"/>
          <w:marBottom w:val="0"/>
          <w:divBdr>
            <w:top w:val="none" w:sz="0" w:space="0" w:color="auto"/>
            <w:left w:val="none" w:sz="0" w:space="0" w:color="auto"/>
            <w:bottom w:val="none" w:sz="0" w:space="0" w:color="auto"/>
            <w:right w:val="none" w:sz="0" w:space="0" w:color="auto"/>
          </w:divBdr>
        </w:div>
        <w:div w:id="20471111">
          <w:marLeft w:val="640"/>
          <w:marRight w:val="0"/>
          <w:marTop w:val="0"/>
          <w:marBottom w:val="0"/>
          <w:divBdr>
            <w:top w:val="none" w:sz="0" w:space="0" w:color="auto"/>
            <w:left w:val="none" w:sz="0" w:space="0" w:color="auto"/>
            <w:bottom w:val="none" w:sz="0" w:space="0" w:color="auto"/>
            <w:right w:val="none" w:sz="0" w:space="0" w:color="auto"/>
          </w:divBdr>
        </w:div>
        <w:div w:id="560360243">
          <w:marLeft w:val="640"/>
          <w:marRight w:val="0"/>
          <w:marTop w:val="0"/>
          <w:marBottom w:val="0"/>
          <w:divBdr>
            <w:top w:val="none" w:sz="0" w:space="0" w:color="auto"/>
            <w:left w:val="none" w:sz="0" w:space="0" w:color="auto"/>
            <w:bottom w:val="none" w:sz="0" w:space="0" w:color="auto"/>
            <w:right w:val="none" w:sz="0" w:space="0" w:color="auto"/>
          </w:divBdr>
        </w:div>
        <w:div w:id="990597388">
          <w:marLeft w:val="640"/>
          <w:marRight w:val="0"/>
          <w:marTop w:val="0"/>
          <w:marBottom w:val="0"/>
          <w:divBdr>
            <w:top w:val="none" w:sz="0" w:space="0" w:color="auto"/>
            <w:left w:val="none" w:sz="0" w:space="0" w:color="auto"/>
            <w:bottom w:val="none" w:sz="0" w:space="0" w:color="auto"/>
            <w:right w:val="none" w:sz="0" w:space="0" w:color="auto"/>
          </w:divBdr>
        </w:div>
        <w:div w:id="1368413990">
          <w:marLeft w:val="640"/>
          <w:marRight w:val="0"/>
          <w:marTop w:val="0"/>
          <w:marBottom w:val="0"/>
          <w:divBdr>
            <w:top w:val="none" w:sz="0" w:space="0" w:color="auto"/>
            <w:left w:val="none" w:sz="0" w:space="0" w:color="auto"/>
            <w:bottom w:val="none" w:sz="0" w:space="0" w:color="auto"/>
            <w:right w:val="none" w:sz="0" w:space="0" w:color="auto"/>
          </w:divBdr>
        </w:div>
        <w:div w:id="1641764077">
          <w:marLeft w:val="640"/>
          <w:marRight w:val="0"/>
          <w:marTop w:val="0"/>
          <w:marBottom w:val="0"/>
          <w:divBdr>
            <w:top w:val="none" w:sz="0" w:space="0" w:color="auto"/>
            <w:left w:val="none" w:sz="0" w:space="0" w:color="auto"/>
            <w:bottom w:val="none" w:sz="0" w:space="0" w:color="auto"/>
            <w:right w:val="none" w:sz="0" w:space="0" w:color="auto"/>
          </w:divBdr>
        </w:div>
        <w:div w:id="697631888">
          <w:marLeft w:val="640"/>
          <w:marRight w:val="0"/>
          <w:marTop w:val="0"/>
          <w:marBottom w:val="0"/>
          <w:divBdr>
            <w:top w:val="none" w:sz="0" w:space="0" w:color="auto"/>
            <w:left w:val="none" w:sz="0" w:space="0" w:color="auto"/>
            <w:bottom w:val="none" w:sz="0" w:space="0" w:color="auto"/>
            <w:right w:val="none" w:sz="0" w:space="0" w:color="auto"/>
          </w:divBdr>
        </w:div>
        <w:div w:id="494689667">
          <w:marLeft w:val="640"/>
          <w:marRight w:val="0"/>
          <w:marTop w:val="0"/>
          <w:marBottom w:val="0"/>
          <w:divBdr>
            <w:top w:val="none" w:sz="0" w:space="0" w:color="auto"/>
            <w:left w:val="none" w:sz="0" w:space="0" w:color="auto"/>
            <w:bottom w:val="none" w:sz="0" w:space="0" w:color="auto"/>
            <w:right w:val="none" w:sz="0" w:space="0" w:color="auto"/>
          </w:divBdr>
        </w:div>
        <w:div w:id="398677991">
          <w:marLeft w:val="640"/>
          <w:marRight w:val="0"/>
          <w:marTop w:val="0"/>
          <w:marBottom w:val="0"/>
          <w:divBdr>
            <w:top w:val="none" w:sz="0" w:space="0" w:color="auto"/>
            <w:left w:val="none" w:sz="0" w:space="0" w:color="auto"/>
            <w:bottom w:val="none" w:sz="0" w:space="0" w:color="auto"/>
            <w:right w:val="none" w:sz="0" w:space="0" w:color="auto"/>
          </w:divBdr>
        </w:div>
        <w:div w:id="1730763734">
          <w:marLeft w:val="640"/>
          <w:marRight w:val="0"/>
          <w:marTop w:val="0"/>
          <w:marBottom w:val="0"/>
          <w:divBdr>
            <w:top w:val="none" w:sz="0" w:space="0" w:color="auto"/>
            <w:left w:val="none" w:sz="0" w:space="0" w:color="auto"/>
            <w:bottom w:val="none" w:sz="0" w:space="0" w:color="auto"/>
            <w:right w:val="none" w:sz="0" w:space="0" w:color="auto"/>
          </w:divBdr>
        </w:div>
        <w:div w:id="985932630">
          <w:marLeft w:val="640"/>
          <w:marRight w:val="0"/>
          <w:marTop w:val="0"/>
          <w:marBottom w:val="0"/>
          <w:divBdr>
            <w:top w:val="none" w:sz="0" w:space="0" w:color="auto"/>
            <w:left w:val="none" w:sz="0" w:space="0" w:color="auto"/>
            <w:bottom w:val="none" w:sz="0" w:space="0" w:color="auto"/>
            <w:right w:val="none" w:sz="0" w:space="0" w:color="auto"/>
          </w:divBdr>
        </w:div>
        <w:div w:id="659963830">
          <w:marLeft w:val="640"/>
          <w:marRight w:val="0"/>
          <w:marTop w:val="0"/>
          <w:marBottom w:val="0"/>
          <w:divBdr>
            <w:top w:val="none" w:sz="0" w:space="0" w:color="auto"/>
            <w:left w:val="none" w:sz="0" w:space="0" w:color="auto"/>
            <w:bottom w:val="none" w:sz="0" w:space="0" w:color="auto"/>
            <w:right w:val="none" w:sz="0" w:space="0" w:color="auto"/>
          </w:divBdr>
        </w:div>
        <w:div w:id="1439986720">
          <w:marLeft w:val="640"/>
          <w:marRight w:val="0"/>
          <w:marTop w:val="0"/>
          <w:marBottom w:val="0"/>
          <w:divBdr>
            <w:top w:val="none" w:sz="0" w:space="0" w:color="auto"/>
            <w:left w:val="none" w:sz="0" w:space="0" w:color="auto"/>
            <w:bottom w:val="none" w:sz="0" w:space="0" w:color="auto"/>
            <w:right w:val="none" w:sz="0" w:space="0" w:color="auto"/>
          </w:divBdr>
        </w:div>
        <w:div w:id="639769103">
          <w:marLeft w:val="640"/>
          <w:marRight w:val="0"/>
          <w:marTop w:val="0"/>
          <w:marBottom w:val="0"/>
          <w:divBdr>
            <w:top w:val="none" w:sz="0" w:space="0" w:color="auto"/>
            <w:left w:val="none" w:sz="0" w:space="0" w:color="auto"/>
            <w:bottom w:val="none" w:sz="0" w:space="0" w:color="auto"/>
            <w:right w:val="none" w:sz="0" w:space="0" w:color="auto"/>
          </w:divBdr>
        </w:div>
        <w:div w:id="1191721620">
          <w:marLeft w:val="640"/>
          <w:marRight w:val="0"/>
          <w:marTop w:val="0"/>
          <w:marBottom w:val="0"/>
          <w:divBdr>
            <w:top w:val="none" w:sz="0" w:space="0" w:color="auto"/>
            <w:left w:val="none" w:sz="0" w:space="0" w:color="auto"/>
            <w:bottom w:val="none" w:sz="0" w:space="0" w:color="auto"/>
            <w:right w:val="none" w:sz="0" w:space="0" w:color="auto"/>
          </w:divBdr>
        </w:div>
        <w:div w:id="1278216760">
          <w:marLeft w:val="640"/>
          <w:marRight w:val="0"/>
          <w:marTop w:val="0"/>
          <w:marBottom w:val="0"/>
          <w:divBdr>
            <w:top w:val="none" w:sz="0" w:space="0" w:color="auto"/>
            <w:left w:val="none" w:sz="0" w:space="0" w:color="auto"/>
            <w:bottom w:val="none" w:sz="0" w:space="0" w:color="auto"/>
            <w:right w:val="none" w:sz="0" w:space="0" w:color="auto"/>
          </w:divBdr>
        </w:div>
        <w:div w:id="446199982">
          <w:marLeft w:val="640"/>
          <w:marRight w:val="0"/>
          <w:marTop w:val="0"/>
          <w:marBottom w:val="0"/>
          <w:divBdr>
            <w:top w:val="none" w:sz="0" w:space="0" w:color="auto"/>
            <w:left w:val="none" w:sz="0" w:space="0" w:color="auto"/>
            <w:bottom w:val="none" w:sz="0" w:space="0" w:color="auto"/>
            <w:right w:val="none" w:sz="0" w:space="0" w:color="auto"/>
          </w:divBdr>
        </w:div>
        <w:div w:id="1537546659">
          <w:marLeft w:val="640"/>
          <w:marRight w:val="0"/>
          <w:marTop w:val="0"/>
          <w:marBottom w:val="0"/>
          <w:divBdr>
            <w:top w:val="none" w:sz="0" w:space="0" w:color="auto"/>
            <w:left w:val="none" w:sz="0" w:space="0" w:color="auto"/>
            <w:bottom w:val="none" w:sz="0" w:space="0" w:color="auto"/>
            <w:right w:val="none" w:sz="0" w:space="0" w:color="auto"/>
          </w:divBdr>
        </w:div>
        <w:div w:id="153767612">
          <w:marLeft w:val="640"/>
          <w:marRight w:val="0"/>
          <w:marTop w:val="0"/>
          <w:marBottom w:val="0"/>
          <w:divBdr>
            <w:top w:val="none" w:sz="0" w:space="0" w:color="auto"/>
            <w:left w:val="none" w:sz="0" w:space="0" w:color="auto"/>
            <w:bottom w:val="none" w:sz="0" w:space="0" w:color="auto"/>
            <w:right w:val="none" w:sz="0" w:space="0" w:color="auto"/>
          </w:divBdr>
        </w:div>
        <w:div w:id="566958912">
          <w:marLeft w:val="640"/>
          <w:marRight w:val="0"/>
          <w:marTop w:val="0"/>
          <w:marBottom w:val="0"/>
          <w:divBdr>
            <w:top w:val="none" w:sz="0" w:space="0" w:color="auto"/>
            <w:left w:val="none" w:sz="0" w:space="0" w:color="auto"/>
            <w:bottom w:val="none" w:sz="0" w:space="0" w:color="auto"/>
            <w:right w:val="none" w:sz="0" w:space="0" w:color="auto"/>
          </w:divBdr>
        </w:div>
        <w:div w:id="1686665220">
          <w:marLeft w:val="640"/>
          <w:marRight w:val="0"/>
          <w:marTop w:val="0"/>
          <w:marBottom w:val="0"/>
          <w:divBdr>
            <w:top w:val="none" w:sz="0" w:space="0" w:color="auto"/>
            <w:left w:val="none" w:sz="0" w:space="0" w:color="auto"/>
            <w:bottom w:val="none" w:sz="0" w:space="0" w:color="auto"/>
            <w:right w:val="none" w:sz="0" w:space="0" w:color="auto"/>
          </w:divBdr>
        </w:div>
        <w:div w:id="1549611052">
          <w:marLeft w:val="640"/>
          <w:marRight w:val="0"/>
          <w:marTop w:val="0"/>
          <w:marBottom w:val="0"/>
          <w:divBdr>
            <w:top w:val="none" w:sz="0" w:space="0" w:color="auto"/>
            <w:left w:val="none" w:sz="0" w:space="0" w:color="auto"/>
            <w:bottom w:val="none" w:sz="0" w:space="0" w:color="auto"/>
            <w:right w:val="none" w:sz="0" w:space="0" w:color="auto"/>
          </w:divBdr>
        </w:div>
        <w:div w:id="502361848">
          <w:marLeft w:val="640"/>
          <w:marRight w:val="0"/>
          <w:marTop w:val="0"/>
          <w:marBottom w:val="0"/>
          <w:divBdr>
            <w:top w:val="none" w:sz="0" w:space="0" w:color="auto"/>
            <w:left w:val="none" w:sz="0" w:space="0" w:color="auto"/>
            <w:bottom w:val="none" w:sz="0" w:space="0" w:color="auto"/>
            <w:right w:val="none" w:sz="0" w:space="0" w:color="auto"/>
          </w:divBdr>
        </w:div>
        <w:div w:id="1246189906">
          <w:marLeft w:val="640"/>
          <w:marRight w:val="0"/>
          <w:marTop w:val="0"/>
          <w:marBottom w:val="0"/>
          <w:divBdr>
            <w:top w:val="none" w:sz="0" w:space="0" w:color="auto"/>
            <w:left w:val="none" w:sz="0" w:space="0" w:color="auto"/>
            <w:bottom w:val="none" w:sz="0" w:space="0" w:color="auto"/>
            <w:right w:val="none" w:sz="0" w:space="0" w:color="auto"/>
          </w:divBdr>
        </w:div>
        <w:div w:id="1254170447">
          <w:marLeft w:val="640"/>
          <w:marRight w:val="0"/>
          <w:marTop w:val="0"/>
          <w:marBottom w:val="0"/>
          <w:divBdr>
            <w:top w:val="none" w:sz="0" w:space="0" w:color="auto"/>
            <w:left w:val="none" w:sz="0" w:space="0" w:color="auto"/>
            <w:bottom w:val="none" w:sz="0" w:space="0" w:color="auto"/>
            <w:right w:val="none" w:sz="0" w:space="0" w:color="auto"/>
          </w:divBdr>
        </w:div>
        <w:div w:id="1040784836">
          <w:marLeft w:val="640"/>
          <w:marRight w:val="0"/>
          <w:marTop w:val="0"/>
          <w:marBottom w:val="0"/>
          <w:divBdr>
            <w:top w:val="none" w:sz="0" w:space="0" w:color="auto"/>
            <w:left w:val="none" w:sz="0" w:space="0" w:color="auto"/>
            <w:bottom w:val="none" w:sz="0" w:space="0" w:color="auto"/>
            <w:right w:val="none" w:sz="0" w:space="0" w:color="auto"/>
          </w:divBdr>
        </w:div>
        <w:div w:id="2010473904">
          <w:marLeft w:val="640"/>
          <w:marRight w:val="0"/>
          <w:marTop w:val="0"/>
          <w:marBottom w:val="0"/>
          <w:divBdr>
            <w:top w:val="none" w:sz="0" w:space="0" w:color="auto"/>
            <w:left w:val="none" w:sz="0" w:space="0" w:color="auto"/>
            <w:bottom w:val="none" w:sz="0" w:space="0" w:color="auto"/>
            <w:right w:val="none" w:sz="0" w:space="0" w:color="auto"/>
          </w:divBdr>
        </w:div>
        <w:div w:id="684484537">
          <w:marLeft w:val="640"/>
          <w:marRight w:val="0"/>
          <w:marTop w:val="0"/>
          <w:marBottom w:val="0"/>
          <w:divBdr>
            <w:top w:val="none" w:sz="0" w:space="0" w:color="auto"/>
            <w:left w:val="none" w:sz="0" w:space="0" w:color="auto"/>
            <w:bottom w:val="none" w:sz="0" w:space="0" w:color="auto"/>
            <w:right w:val="none" w:sz="0" w:space="0" w:color="auto"/>
          </w:divBdr>
        </w:div>
        <w:div w:id="1206797037">
          <w:marLeft w:val="640"/>
          <w:marRight w:val="0"/>
          <w:marTop w:val="0"/>
          <w:marBottom w:val="0"/>
          <w:divBdr>
            <w:top w:val="none" w:sz="0" w:space="0" w:color="auto"/>
            <w:left w:val="none" w:sz="0" w:space="0" w:color="auto"/>
            <w:bottom w:val="none" w:sz="0" w:space="0" w:color="auto"/>
            <w:right w:val="none" w:sz="0" w:space="0" w:color="auto"/>
          </w:divBdr>
        </w:div>
        <w:div w:id="508835484">
          <w:marLeft w:val="640"/>
          <w:marRight w:val="0"/>
          <w:marTop w:val="0"/>
          <w:marBottom w:val="0"/>
          <w:divBdr>
            <w:top w:val="none" w:sz="0" w:space="0" w:color="auto"/>
            <w:left w:val="none" w:sz="0" w:space="0" w:color="auto"/>
            <w:bottom w:val="none" w:sz="0" w:space="0" w:color="auto"/>
            <w:right w:val="none" w:sz="0" w:space="0" w:color="auto"/>
          </w:divBdr>
        </w:div>
        <w:div w:id="300574375">
          <w:marLeft w:val="640"/>
          <w:marRight w:val="0"/>
          <w:marTop w:val="0"/>
          <w:marBottom w:val="0"/>
          <w:divBdr>
            <w:top w:val="none" w:sz="0" w:space="0" w:color="auto"/>
            <w:left w:val="none" w:sz="0" w:space="0" w:color="auto"/>
            <w:bottom w:val="none" w:sz="0" w:space="0" w:color="auto"/>
            <w:right w:val="none" w:sz="0" w:space="0" w:color="auto"/>
          </w:divBdr>
        </w:div>
        <w:div w:id="971641733">
          <w:marLeft w:val="640"/>
          <w:marRight w:val="0"/>
          <w:marTop w:val="0"/>
          <w:marBottom w:val="0"/>
          <w:divBdr>
            <w:top w:val="none" w:sz="0" w:space="0" w:color="auto"/>
            <w:left w:val="none" w:sz="0" w:space="0" w:color="auto"/>
            <w:bottom w:val="none" w:sz="0" w:space="0" w:color="auto"/>
            <w:right w:val="none" w:sz="0" w:space="0" w:color="auto"/>
          </w:divBdr>
        </w:div>
        <w:div w:id="1399205121">
          <w:marLeft w:val="640"/>
          <w:marRight w:val="0"/>
          <w:marTop w:val="0"/>
          <w:marBottom w:val="0"/>
          <w:divBdr>
            <w:top w:val="none" w:sz="0" w:space="0" w:color="auto"/>
            <w:left w:val="none" w:sz="0" w:space="0" w:color="auto"/>
            <w:bottom w:val="none" w:sz="0" w:space="0" w:color="auto"/>
            <w:right w:val="none" w:sz="0" w:space="0" w:color="auto"/>
          </w:divBdr>
        </w:div>
        <w:div w:id="165824881">
          <w:marLeft w:val="640"/>
          <w:marRight w:val="0"/>
          <w:marTop w:val="0"/>
          <w:marBottom w:val="0"/>
          <w:divBdr>
            <w:top w:val="none" w:sz="0" w:space="0" w:color="auto"/>
            <w:left w:val="none" w:sz="0" w:space="0" w:color="auto"/>
            <w:bottom w:val="none" w:sz="0" w:space="0" w:color="auto"/>
            <w:right w:val="none" w:sz="0" w:space="0" w:color="auto"/>
          </w:divBdr>
        </w:div>
        <w:div w:id="103503859">
          <w:marLeft w:val="640"/>
          <w:marRight w:val="0"/>
          <w:marTop w:val="0"/>
          <w:marBottom w:val="0"/>
          <w:divBdr>
            <w:top w:val="none" w:sz="0" w:space="0" w:color="auto"/>
            <w:left w:val="none" w:sz="0" w:space="0" w:color="auto"/>
            <w:bottom w:val="none" w:sz="0" w:space="0" w:color="auto"/>
            <w:right w:val="none" w:sz="0" w:space="0" w:color="auto"/>
          </w:divBdr>
        </w:div>
        <w:div w:id="958681933">
          <w:marLeft w:val="640"/>
          <w:marRight w:val="0"/>
          <w:marTop w:val="0"/>
          <w:marBottom w:val="0"/>
          <w:divBdr>
            <w:top w:val="none" w:sz="0" w:space="0" w:color="auto"/>
            <w:left w:val="none" w:sz="0" w:space="0" w:color="auto"/>
            <w:bottom w:val="none" w:sz="0" w:space="0" w:color="auto"/>
            <w:right w:val="none" w:sz="0" w:space="0" w:color="auto"/>
          </w:divBdr>
        </w:div>
        <w:div w:id="1586306652">
          <w:marLeft w:val="640"/>
          <w:marRight w:val="0"/>
          <w:marTop w:val="0"/>
          <w:marBottom w:val="0"/>
          <w:divBdr>
            <w:top w:val="none" w:sz="0" w:space="0" w:color="auto"/>
            <w:left w:val="none" w:sz="0" w:space="0" w:color="auto"/>
            <w:bottom w:val="none" w:sz="0" w:space="0" w:color="auto"/>
            <w:right w:val="none" w:sz="0" w:space="0" w:color="auto"/>
          </w:divBdr>
        </w:div>
        <w:div w:id="1258253177">
          <w:marLeft w:val="640"/>
          <w:marRight w:val="0"/>
          <w:marTop w:val="0"/>
          <w:marBottom w:val="0"/>
          <w:divBdr>
            <w:top w:val="none" w:sz="0" w:space="0" w:color="auto"/>
            <w:left w:val="none" w:sz="0" w:space="0" w:color="auto"/>
            <w:bottom w:val="none" w:sz="0" w:space="0" w:color="auto"/>
            <w:right w:val="none" w:sz="0" w:space="0" w:color="auto"/>
          </w:divBdr>
        </w:div>
        <w:div w:id="514729140">
          <w:marLeft w:val="640"/>
          <w:marRight w:val="0"/>
          <w:marTop w:val="0"/>
          <w:marBottom w:val="0"/>
          <w:divBdr>
            <w:top w:val="none" w:sz="0" w:space="0" w:color="auto"/>
            <w:left w:val="none" w:sz="0" w:space="0" w:color="auto"/>
            <w:bottom w:val="none" w:sz="0" w:space="0" w:color="auto"/>
            <w:right w:val="none" w:sz="0" w:space="0" w:color="auto"/>
          </w:divBdr>
        </w:div>
        <w:div w:id="223298177">
          <w:marLeft w:val="640"/>
          <w:marRight w:val="0"/>
          <w:marTop w:val="0"/>
          <w:marBottom w:val="0"/>
          <w:divBdr>
            <w:top w:val="none" w:sz="0" w:space="0" w:color="auto"/>
            <w:left w:val="none" w:sz="0" w:space="0" w:color="auto"/>
            <w:bottom w:val="none" w:sz="0" w:space="0" w:color="auto"/>
            <w:right w:val="none" w:sz="0" w:space="0" w:color="auto"/>
          </w:divBdr>
        </w:div>
        <w:div w:id="2055304517">
          <w:marLeft w:val="640"/>
          <w:marRight w:val="0"/>
          <w:marTop w:val="0"/>
          <w:marBottom w:val="0"/>
          <w:divBdr>
            <w:top w:val="none" w:sz="0" w:space="0" w:color="auto"/>
            <w:left w:val="none" w:sz="0" w:space="0" w:color="auto"/>
            <w:bottom w:val="none" w:sz="0" w:space="0" w:color="auto"/>
            <w:right w:val="none" w:sz="0" w:space="0" w:color="auto"/>
          </w:divBdr>
        </w:div>
        <w:div w:id="347099125">
          <w:marLeft w:val="640"/>
          <w:marRight w:val="0"/>
          <w:marTop w:val="0"/>
          <w:marBottom w:val="0"/>
          <w:divBdr>
            <w:top w:val="none" w:sz="0" w:space="0" w:color="auto"/>
            <w:left w:val="none" w:sz="0" w:space="0" w:color="auto"/>
            <w:bottom w:val="none" w:sz="0" w:space="0" w:color="auto"/>
            <w:right w:val="none" w:sz="0" w:space="0" w:color="auto"/>
          </w:divBdr>
        </w:div>
        <w:div w:id="178740267">
          <w:marLeft w:val="640"/>
          <w:marRight w:val="0"/>
          <w:marTop w:val="0"/>
          <w:marBottom w:val="0"/>
          <w:divBdr>
            <w:top w:val="none" w:sz="0" w:space="0" w:color="auto"/>
            <w:left w:val="none" w:sz="0" w:space="0" w:color="auto"/>
            <w:bottom w:val="none" w:sz="0" w:space="0" w:color="auto"/>
            <w:right w:val="none" w:sz="0" w:space="0" w:color="auto"/>
          </w:divBdr>
        </w:div>
        <w:div w:id="1887140855">
          <w:marLeft w:val="640"/>
          <w:marRight w:val="0"/>
          <w:marTop w:val="0"/>
          <w:marBottom w:val="0"/>
          <w:divBdr>
            <w:top w:val="none" w:sz="0" w:space="0" w:color="auto"/>
            <w:left w:val="none" w:sz="0" w:space="0" w:color="auto"/>
            <w:bottom w:val="none" w:sz="0" w:space="0" w:color="auto"/>
            <w:right w:val="none" w:sz="0" w:space="0" w:color="auto"/>
          </w:divBdr>
        </w:div>
        <w:div w:id="1575356221">
          <w:marLeft w:val="640"/>
          <w:marRight w:val="0"/>
          <w:marTop w:val="0"/>
          <w:marBottom w:val="0"/>
          <w:divBdr>
            <w:top w:val="none" w:sz="0" w:space="0" w:color="auto"/>
            <w:left w:val="none" w:sz="0" w:space="0" w:color="auto"/>
            <w:bottom w:val="none" w:sz="0" w:space="0" w:color="auto"/>
            <w:right w:val="none" w:sz="0" w:space="0" w:color="auto"/>
          </w:divBdr>
        </w:div>
        <w:div w:id="725957821">
          <w:marLeft w:val="640"/>
          <w:marRight w:val="0"/>
          <w:marTop w:val="0"/>
          <w:marBottom w:val="0"/>
          <w:divBdr>
            <w:top w:val="none" w:sz="0" w:space="0" w:color="auto"/>
            <w:left w:val="none" w:sz="0" w:space="0" w:color="auto"/>
            <w:bottom w:val="none" w:sz="0" w:space="0" w:color="auto"/>
            <w:right w:val="none" w:sz="0" w:space="0" w:color="auto"/>
          </w:divBdr>
        </w:div>
        <w:div w:id="1215463223">
          <w:marLeft w:val="640"/>
          <w:marRight w:val="0"/>
          <w:marTop w:val="0"/>
          <w:marBottom w:val="0"/>
          <w:divBdr>
            <w:top w:val="none" w:sz="0" w:space="0" w:color="auto"/>
            <w:left w:val="none" w:sz="0" w:space="0" w:color="auto"/>
            <w:bottom w:val="none" w:sz="0" w:space="0" w:color="auto"/>
            <w:right w:val="none" w:sz="0" w:space="0" w:color="auto"/>
          </w:divBdr>
        </w:div>
        <w:div w:id="120149017">
          <w:marLeft w:val="640"/>
          <w:marRight w:val="0"/>
          <w:marTop w:val="0"/>
          <w:marBottom w:val="0"/>
          <w:divBdr>
            <w:top w:val="none" w:sz="0" w:space="0" w:color="auto"/>
            <w:left w:val="none" w:sz="0" w:space="0" w:color="auto"/>
            <w:bottom w:val="none" w:sz="0" w:space="0" w:color="auto"/>
            <w:right w:val="none" w:sz="0" w:space="0" w:color="auto"/>
          </w:divBdr>
        </w:div>
        <w:div w:id="1879122777">
          <w:marLeft w:val="640"/>
          <w:marRight w:val="0"/>
          <w:marTop w:val="0"/>
          <w:marBottom w:val="0"/>
          <w:divBdr>
            <w:top w:val="none" w:sz="0" w:space="0" w:color="auto"/>
            <w:left w:val="none" w:sz="0" w:space="0" w:color="auto"/>
            <w:bottom w:val="none" w:sz="0" w:space="0" w:color="auto"/>
            <w:right w:val="none" w:sz="0" w:space="0" w:color="auto"/>
          </w:divBdr>
        </w:div>
        <w:div w:id="717893663">
          <w:marLeft w:val="640"/>
          <w:marRight w:val="0"/>
          <w:marTop w:val="0"/>
          <w:marBottom w:val="0"/>
          <w:divBdr>
            <w:top w:val="none" w:sz="0" w:space="0" w:color="auto"/>
            <w:left w:val="none" w:sz="0" w:space="0" w:color="auto"/>
            <w:bottom w:val="none" w:sz="0" w:space="0" w:color="auto"/>
            <w:right w:val="none" w:sz="0" w:space="0" w:color="auto"/>
          </w:divBdr>
        </w:div>
        <w:div w:id="510608915">
          <w:marLeft w:val="640"/>
          <w:marRight w:val="0"/>
          <w:marTop w:val="0"/>
          <w:marBottom w:val="0"/>
          <w:divBdr>
            <w:top w:val="none" w:sz="0" w:space="0" w:color="auto"/>
            <w:left w:val="none" w:sz="0" w:space="0" w:color="auto"/>
            <w:bottom w:val="none" w:sz="0" w:space="0" w:color="auto"/>
            <w:right w:val="none" w:sz="0" w:space="0" w:color="auto"/>
          </w:divBdr>
        </w:div>
        <w:div w:id="1921518561">
          <w:marLeft w:val="640"/>
          <w:marRight w:val="0"/>
          <w:marTop w:val="0"/>
          <w:marBottom w:val="0"/>
          <w:divBdr>
            <w:top w:val="none" w:sz="0" w:space="0" w:color="auto"/>
            <w:left w:val="none" w:sz="0" w:space="0" w:color="auto"/>
            <w:bottom w:val="none" w:sz="0" w:space="0" w:color="auto"/>
            <w:right w:val="none" w:sz="0" w:space="0" w:color="auto"/>
          </w:divBdr>
        </w:div>
        <w:div w:id="1407610288">
          <w:marLeft w:val="640"/>
          <w:marRight w:val="0"/>
          <w:marTop w:val="0"/>
          <w:marBottom w:val="0"/>
          <w:divBdr>
            <w:top w:val="none" w:sz="0" w:space="0" w:color="auto"/>
            <w:left w:val="none" w:sz="0" w:space="0" w:color="auto"/>
            <w:bottom w:val="none" w:sz="0" w:space="0" w:color="auto"/>
            <w:right w:val="none" w:sz="0" w:space="0" w:color="auto"/>
          </w:divBdr>
        </w:div>
        <w:div w:id="484711853">
          <w:marLeft w:val="640"/>
          <w:marRight w:val="0"/>
          <w:marTop w:val="0"/>
          <w:marBottom w:val="0"/>
          <w:divBdr>
            <w:top w:val="none" w:sz="0" w:space="0" w:color="auto"/>
            <w:left w:val="none" w:sz="0" w:space="0" w:color="auto"/>
            <w:bottom w:val="none" w:sz="0" w:space="0" w:color="auto"/>
            <w:right w:val="none" w:sz="0" w:space="0" w:color="auto"/>
          </w:divBdr>
        </w:div>
        <w:div w:id="186599786">
          <w:marLeft w:val="640"/>
          <w:marRight w:val="0"/>
          <w:marTop w:val="0"/>
          <w:marBottom w:val="0"/>
          <w:divBdr>
            <w:top w:val="none" w:sz="0" w:space="0" w:color="auto"/>
            <w:left w:val="none" w:sz="0" w:space="0" w:color="auto"/>
            <w:bottom w:val="none" w:sz="0" w:space="0" w:color="auto"/>
            <w:right w:val="none" w:sz="0" w:space="0" w:color="auto"/>
          </w:divBdr>
        </w:div>
        <w:div w:id="2049065356">
          <w:marLeft w:val="640"/>
          <w:marRight w:val="0"/>
          <w:marTop w:val="0"/>
          <w:marBottom w:val="0"/>
          <w:divBdr>
            <w:top w:val="none" w:sz="0" w:space="0" w:color="auto"/>
            <w:left w:val="none" w:sz="0" w:space="0" w:color="auto"/>
            <w:bottom w:val="none" w:sz="0" w:space="0" w:color="auto"/>
            <w:right w:val="none" w:sz="0" w:space="0" w:color="auto"/>
          </w:divBdr>
        </w:div>
        <w:div w:id="1178276874">
          <w:marLeft w:val="640"/>
          <w:marRight w:val="0"/>
          <w:marTop w:val="0"/>
          <w:marBottom w:val="0"/>
          <w:divBdr>
            <w:top w:val="none" w:sz="0" w:space="0" w:color="auto"/>
            <w:left w:val="none" w:sz="0" w:space="0" w:color="auto"/>
            <w:bottom w:val="none" w:sz="0" w:space="0" w:color="auto"/>
            <w:right w:val="none" w:sz="0" w:space="0" w:color="auto"/>
          </w:divBdr>
        </w:div>
        <w:div w:id="1440833980">
          <w:marLeft w:val="640"/>
          <w:marRight w:val="0"/>
          <w:marTop w:val="0"/>
          <w:marBottom w:val="0"/>
          <w:divBdr>
            <w:top w:val="none" w:sz="0" w:space="0" w:color="auto"/>
            <w:left w:val="none" w:sz="0" w:space="0" w:color="auto"/>
            <w:bottom w:val="none" w:sz="0" w:space="0" w:color="auto"/>
            <w:right w:val="none" w:sz="0" w:space="0" w:color="auto"/>
          </w:divBdr>
        </w:div>
        <w:div w:id="33846690">
          <w:marLeft w:val="640"/>
          <w:marRight w:val="0"/>
          <w:marTop w:val="0"/>
          <w:marBottom w:val="0"/>
          <w:divBdr>
            <w:top w:val="none" w:sz="0" w:space="0" w:color="auto"/>
            <w:left w:val="none" w:sz="0" w:space="0" w:color="auto"/>
            <w:bottom w:val="none" w:sz="0" w:space="0" w:color="auto"/>
            <w:right w:val="none" w:sz="0" w:space="0" w:color="auto"/>
          </w:divBdr>
        </w:div>
        <w:div w:id="1956132412">
          <w:marLeft w:val="640"/>
          <w:marRight w:val="0"/>
          <w:marTop w:val="0"/>
          <w:marBottom w:val="0"/>
          <w:divBdr>
            <w:top w:val="none" w:sz="0" w:space="0" w:color="auto"/>
            <w:left w:val="none" w:sz="0" w:space="0" w:color="auto"/>
            <w:bottom w:val="none" w:sz="0" w:space="0" w:color="auto"/>
            <w:right w:val="none" w:sz="0" w:space="0" w:color="auto"/>
          </w:divBdr>
        </w:div>
        <w:div w:id="927885015">
          <w:marLeft w:val="640"/>
          <w:marRight w:val="0"/>
          <w:marTop w:val="0"/>
          <w:marBottom w:val="0"/>
          <w:divBdr>
            <w:top w:val="none" w:sz="0" w:space="0" w:color="auto"/>
            <w:left w:val="none" w:sz="0" w:space="0" w:color="auto"/>
            <w:bottom w:val="none" w:sz="0" w:space="0" w:color="auto"/>
            <w:right w:val="none" w:sz="0" w:space="0" w:color="auto"/>
          </w:divBdr>
        </w:div>
        <w:div w:id="1926837492">
          <w:marLeft w:val="640"/>
          <w:marRight w:val="0"/>
          <w:marTop w:val="0"/>
          <w:marBottom w:val="0"/>
          <w:divBdr>
            <w:top w:val="none" w:sz="0" w:space="0" w:color="auto"/>
            <w:left w:val="none" w:sz="0" w:space="0" w:color="auto"/>
            <w:bottom w:val="none" w:sz="0" w:space="0" w:color="auto"/>
            <w:right w:val="none" w:sz="0" w:space="0" w:color="auto"/>
          </w:divBdr>
        </w:div>
        <w:div w:id="33114550">
          <w:marLeft w:val="640"/>
          <w:marRight w:val="0"/>
          <w:marTop w:val="0"/>
          <w:marBottom w:val="0"/>
          <w:divBdr>
            <w:top w:val="none" w:sz="0" w:space="0" w:color="auto"/>
            <w:left w:val="none" w:sz="0" w:space="0" w:color="auto"/>
            <w:bottom w:val="none" w:sz="0" w:space="0" w:color="auto"/>
            <w:right w:val="none" w:sz="0" w:space="0" w:color="auto"/>
          </w:divBdr>
        </w:div>
        <w:div w:id="1555895649">
          <w:marLeft w:val="640"/>
          <w:marRight w:val="0"/>
          <w:marTop w:val="0"/>
          <w:marBottom w:val="0"/>
          <w:divBdr>
            <w:top w:val="none" w:sz="0" w:space="0" w:color="auto"/>
            <w:left w:val="none" w:sz="0" w:space="0" w:color="auto"/>
            <w:bottom w:val="none" w:sz="0" w:space="0" w:color="auto"/>
            <w:right w:val="none" w:sz="0" w:space="0" w:color="auto"/>
          </w:divBdr>
        </w:div>
        <w:div w:id="1047218759">
          <w:marLeft w:val="640"/>
          <w:marRight w:val="0"/>
          <w:marTop w:val="0"/>
          <w:marBottom w:val="0"/>
          <w:divBdr>
            <w:top w:val="none" w:sz="0" w:space="0" w:color="auto"/>
            <w:left w:val="none" w:sz="0" w:space="0" w:color="auto"/>
            <w:bottom w:val="none" w:sz="0" w:space="0" w:color="auto"/>
            <w:right w:val="none" w:sz="0" w:space="0" w:color="auto"/>
          </w:divBdr>
        </w:div>
        <w:div w:id="749158583">
          <w:marLeft w:val="640"/>
          <w:marRight w:val="0"/>
          <w:marTop w:val="0"/>
          <w:marBottom w:val="0"/>
          <w:divBdr>
            <w:top w:val="none" w:sz="0" w:space="0" w:color="auto"/>
            <w:left w:val="none" w:sz="0" w:space="0" w:color="auto"/>
            <w:bottom w:val="none" w:sz="0" w:space="0" w:color="auto"/>
            <w:right w:val="none" w:sz="0" w:space="0" w:color="auto"/>
          </w:divBdr>
        </w:div>
        <w:div w:id="1347751742">
          <w:marLeft w:val="640"/>
          <w:marRight w:val="0"/>
          <w:marTop w:val="0"/>
          <w:marBottom w:val="0"/>
          <w:divBdr>
            <w:top w:val="none" w:sz="0" w:space="0" w:color="auto"/>
            <w:left w:val="none" w:sz="0" w:space="0" w:color="auto"/>
            <w:bottom w:val="none" w:sz="0" w:space="0" w:color="auto"/>
            <w:right w:val="none" w:sz="0" w:space="0" w:color="auto"/>
          </w:divBdr>
        </w:div>
        <w:div w:id="1358389299">
          <w:marLeft w:val="640"/>
          <w:marRight w:val="0"/>
          <w:marTop w:val="0"/>
          <w:marBottom w:val="0"/>
          <w:divBdr>
            <w:top w:val="none" w:sz="0" w:space="0" w:color="auto"/>
            <w:left w:val="none" w:sz="0" w:space="0" w:color="auto"/>
            <w:bottom w:val="none" w:sz="0" w:space="0" w:color="auto"/>
            <w:right w:val="none" w:sz="0" w:space="0" w:color="auto"/>
          </w:divBdr>
        </w:div>
        <w:div w:id="531960456">
          <w:marLeft w:val="640"/>
          <w:marRight w:val="0"/>
          <w:marTop w:val="0"/>
          <w:marBottom w:val="0"/>
          <w:divBdr>
            <w:top w:val="none" w:sz="0" w:space="0" w:color="auto"/>
            <w:left w:val="none" w:sz="0" w:space="0" w:color="auto"/>
            <w:bottom w:val="none" w:sz="0" w:space="0" w:color="auto"/>
            <w:right w:val="none" w:sz="0" w:space="0" w:color="auto"/>
          </w:divBdr>
        </w:div>
        <w:div w:id="10189702">
          <w:marLeft w:val="640"/>
          <w:marRight w:val="0"/>
          <w:marTop w:val="0"/>
          <w:marBottom w:val="0"/>
          <w:divBdr>
            <w:top w:val="none" w:sz="0" w:space="0" w:color="auto"/>
            <w:left w:val="none" w:sz="0" w:space="0" w:color="auto"/>
            <w:bottom w:val="none" w:sz="0" w:space="0" w:color="auto"/>
            <w:right w:val="none" w:sz="0" w:space="0" w:color="auto"/>
          </w:divBdr>
        </w:div>
        <w:div w:id="1789929269">
          <w:marLeft w:val="640"/>
          <w:marRight w:val="0"/>
          <w:marTop w:val="0"/>
          <w:marBottom w:val="0"/>
          <w:divBdr>
            <w:top w:val="none" w:sz="0" w:space="0" w:color="auto"/>
            <w:left w:val="none" w:sz="0" w:space="0" w:color="auto"/>
            <w:bottom w:val="none" w:sz="0" w:space="0" w:color="auto"/>
            <w:right w:val="none" w:sz="0" w:space="0" w:color="auto"/>
          </w:divBdr>
        </w:div>
        <w:div w:id="999776045">
          <w:marLeft w:val="640"/>
          <w:marRight w:val="0"/>
          <w:marTop w:val="0"/>
          <w:marBottom w:val="0"/>
          <w:divBdr>
            <w:top w:val="none" w:sz="0" w:space="0" w:color="auto"/>
            <w:left w:val="none" w:sz="0" w:space="0" w:color="auto"/>
            <w:bottom w:val="none" w:sz="0" w:space="0" w:color="auto"/>
            <w:right w:val="none" w:sz="0" w:space="0" w:color="auto"/>
          </w:divBdr>
        </w:div>
        <w:div w:id="1530413835">
          <w:marLeft w:val="640"/>
          <w:marRight w:val="0"/>
          <w:marTop w:val="0"/>
          <w:marBottom w:val="0"/>
          <w:divBdr>
            <w:top w:val="none" w:sz="0" w:space="0" w:color="auto"/>
            <w:left w:val="none" w:sz="0" w:space="0" w:color="auto"/>
            <w:bottom w:val="none" w:sz="0" w:space="0" w:color="auto"/>
            <w:right w:val="none" w:sz="0" w:space="0" w:color="auto"/>
          </w:divBdr>
        </w:div>
        <w:div w:id="641351901">
          <w:marLeft w:val="640"/>
          <w:marRight w:val="0"/>
          <w:marTop w:val="0"/>
          <w:marBottom w:val="0"/>
          <w:divBdr>
            <w:top w:val="none" w:sz="0" w:space="0" w:color="auto"/>
            <w:left w:val="none" w:sz="0" w:space="0" w:color="auto"/>
            <w:bottom w:val="none" w:sz="0" w:space="0" w:color="auto"/>
            <w:right w:val="none" w:sz="0" w:space="0" w:color="auto"/>
          </w:divBdr>
        </w:div>
        <w:div w:id="2120448195">
          <w:marLeft w:val="640"/>
          <w:marRight w:val="0"/>
          <w:marTop w:val="0"/>
          <w:marBottom w:val="0"/>
          <w:divBdr>
            <w:top w:val="none" w:sz="0" w:space="0" w:color="auto"/>
            <w:left w:val="none" w:sz="0" w:space="0" w:color="auto"/>
            <w:bottom w:val="none" w:sz="0" w:space="0" w:color="auto"/>
            <w:right w:val="none" w:sz="0" w:space="0" w:color="auto"/>
          </w:divBdr>
        </w:div>
        <w:div w:id="2014645244">
          <w:marLeft w:val="640"/>
          <w:marRight w:val="0"/>
          <w:marTop w:val="0"/>
          <w:marBottom w:val="0"/>
          <w:divBdr>
            <w:top w:val="none" w:sz="0" w:space="0" w:color="auto"/>
            <w:left w:val="none" w:sz="0" w:space="0" w:color="auto"/>
            <w:bottom w:val="none" w:sz="0" w:space="0" w:color="auto"/>
            <w:right w:val="none" w:sz="0" w:space="0" w:color="auto"/>
          </w:divBdr>
        </w:div>
        <w:div w:id="1231498785">
          <w:marLeft w:val="640"/>
          <w:marRight w:val="0"/>
          <w:marTop w:val="0"/>
          <w:marBottom w:val="0"/>
          <w:divBdr>
            <w:top w:val="none" w:sz="0" w:space="0" w:color="auto"/>
            <w:left w:val="none" w:sz="0" w:space="0" w:color="auto"/>
            <w:bottom w:val="none" w:sz="0" w:space="0" w:color="auto"/>
            <w:right w:val="none" w:sz="0" w:space="0" w:color="auto"/>
          </w:divBdr>
        </w:div>
        <w:div w:id="886138293">
          <w:marLeft w:val="640"/>
          <w:marRight w:val="0"/>
          <w:marTop w:val="0"/>
          <w:marBottom w:val="0"/>
          <w:divBdr>
            <w:top w:val="none" w:sz="0" w:space="0" w:color="auto"/>
            <w:left w:val="none" w:sz="0" w:space="0" w:color="auto"/>
            <w:bottom w:val="none" w:sz="0" w:space="0" w:color="auto"/>
            <w:right w:val="none" w:sz="0" w:space="0" w:color="auto"/>
          </w:divBdr>
        </w:div>
        <w:div w:id="162553382">
          <w:marLeft w:val="640"/>
          <w:marRight w:val="0"/>
          <w:marTop w:val="0"/>
          <w:marBottom w:val="0"/>
          <w:divBdr>
            <w:top w:val="none" w:sz="0" w:space="0" w:color="auto"/>
            <w:left w:val="none" w:sz="0" w:space="0" w:color="auto"/>
            <w:bottom w:val="none" w:sz="0" w:space="0" w:color="auto"/>
            <w:right w:val="none" w:sz="0" w:space="0" w:color="auto"/>
          </w:divBdr>
        </w:div>
        <w:div w:id="1857232433">
          <w:marLeft w:val="640"/>
          <w:marRight w:val="0"/>
          <w:marTop w:val="0"/>
          <w:marBottom w:val="0"/>
          <w:divBdr>
            <w:top w:val="none" w:sz="0" w:space="0" w:color="auto"/>
            <w:left w:val="none" w:sz="0" w:space="0" w:color="auto"/>
            <w:bottom w:val="none" w:sz="0" w:space="0" w:color="auto"/>
            <w:right w:val="none" w:sz="0" w:space="0" w:color="auto"/>
          </w:divBdr>
        </w:div>
        <w:div w:id="1302273027">
          <w:marLeft w:val="640"/>
          <w:marRight w:val="0"/>
          <w:marTop w:val="0"/>
          <w:marBottom w:val="0"/>
          <w:divBdr>
            <w:top w:val="none" w:sz="0" w:space="0" w:color="auto"/>
            <w:left w:val="none" w:sz="0" w:space="0" w:color="auto"/>
            <w:bottom w:val="none" w:sz="0" w:space="0" w:color="auto"/>
            <w:right w:val="none" w:sz="0" w:space="0" w:color="auto"/>
          </w:divBdr>
        </w:div>
        <w:div w:id="654260125">
          <w:marLeft w:val="640"/>
          <w:marRight w:val="0"/>
          <w:marTop w:val="0"/>
          <w:marBottom w:val="0"/>
          <w:divBdr>
            <w:top w:val="none" w:sz="0" w:space="0" w:color="auto"/>
            <w:left w:val="none" w:sz="0" w:space="0" w:color="auto"/>
            <w:bottom w:val="none" w:sz="0" w:space="0" w:color="auto"/>
            <w:right w:val="none" w:sz="0" w:space="0" w:color="auto"/>
          </w:divBdr>
        </w:div>
        <w:div w:id="738595849">
          <w:marLeft w:val="640"/>
          <w:marRight w:val="0"/>
          <w:marTop w:val="0"/>
          <w:marBottom w:val="0"/>
          <w:divBdr>
            <w:top w:val="none" w:sz="0" w:space="0" w:color="auto"/>
            <w:left w:val="none" w:sz="0" w:space="0" w:color="auto"/>
            <w:bottom w:val="none" w:sz="0" w:space="0" w:color="auto"/>
            <w:right w:val="none" w:sz="0" w:space="0" w:color="auto"/>
          </w:divBdr>
        </w:div>
        <w:div w:id="868177869">
          <w:marLeft w:val="640"/>
          <w:marRight w:val="0"/>
          <w:marTop w:val="0"/>
          <w:marBottom w:val="0"/>
          <w:divBdr>
            <w:top w:val="none" w:sz="0" w:space="0" w:color="auto"/>
            <w:left w:val="none" w:sz="0" w:space="0" w:color="auto"/>
            <w:bottom w:val="none" w:sz="0" w:space="0" w:color="auto"/>
            <w:right w:val="none" w:sz="0" w:space="0" w:color="auto"/>
          </w:divBdr>
        </w:div>
        <w:div w:id="1852448876">
          <w:marLeft w:val="640"/>
          <w:marRight w:val="0"/>
          <w:marTop w:val="0"/>
          <w:marBottom w:val="0"/>
          <w:divBdr>
            <w:top w:val="none" w:sz="0" w:space="0" w:color="auto"/>
            <w:left w:val="none" w:sz="0" w:space="0" w:color="auto"/>
            <w:bottom w:val="none" w:sz="0" w:space="0" w:color="auto"/>
            <w:right w:val="none" w:sz="0" w:space="0" w:color="auto"/>
          </w:divBdr>
        </w:div>
        <w:div w:id="1733116549">
          <w:marLeft w:val="640"/>
          <w:marRight w:val="0"/>
          <w:marTop w:val="0"/>
          <w:marBottom w:val="0"/>
          <w:divBdr>
            <w:top w:val="none" w:sz="0" w:space="0" w:color="auto"/>
            <w:left w:val="none" w:sz="0" w:space="0" w:color="auto"/>
            <w:bottom w:val="none" w:sz="0" w:space="0" w:color="auto"/>
            <w:right w:val="none" w:sz="0" w:space="0" w:color="auto"/>
          </w:divBdr>
        </w:div>
        <w:div w:id="379136602">
          <w:marLeft w:val="640"/>
          <w:marRight w:val="0"/>
          <w:marTop w:val="0"/>
          <w:marBottom w:val="0"/>
          <w:divBdr>
            <w:top w:val="none" w:sz="0" w:space="0" w:color="auto"/>
            <w:left w:val="none" w:sz="0" w:space="0" w:color="auto"/>
            <w:bottom w:val="none" w:sz="0" w:space="0" w:color="auto"/>
            <w:right w:val="none" w:sz="0" w:space="0" w:color="auto"/>
          </w:divBdr>
        </w:div>
        <w:div w:id="1622036096">
          <w:marLeft w:val="640"/>
          <w:marRight w:val="0"/>
          <w:marTop w:val="0"/>
          <w:marBottom w:val="0"/>
          <w:divBdr>
            <w:top w:val="none" w:sz="0" w:space="0" w:color="auto"/>
            <w:left w:val="none" w:sz="0" w:space="0" w:color="auto"/>
            <w:bottom w:val="none" w:sz="0" w:space="0" w:color="auto"/>
            <w:right w:val="none" w:sz="0" w:space="0" w:color="auto"/>
          </w:divBdr>
        </w:div>
        <w:div w:id="581454969">
          <w:marLeft w:val="640"/>
          <w:marRight w:val="0"/>
          <w:marTop w:val="0"/>
          <w:marBottom w:val="0"/>
          <w:divBdr>
            <w:top w:val="none" w:sz="0" w:space="0" w:color="auto"/>
            <w:left w:val="none" w:sz="0" w:space="0" w:color="auto"/>
            <w:bottom w:val="none" w:sz="0" w:space="0" w:color="auto"/>
            <w:right w:val="none" w:sz="0" w:space="0" w:color="auto"/>
          </w:divBdr>
        </w:div>
        <w:div w:id="1679499452">
          <w:marLeft w:val="640"/>
          <w:marRight w:val="0"/>
          <w:marTop w:val="0"/>
          <w:marBottom w:val="0"/>
          <w:divBdr>
            <w:top w:val="none" w:sz="0" w:space="0" w:color="auto"/>
            <w:left w:val="none" w:sz="0" w:space="0" w:color="auto"/>
            <w:bottom w:val="none" w:sz="0" w:space="0" w:color="auto"/>
            <w:right w:val="none" w:sz="0" w:space="0" w:color="auto"/>
          </w:divBdr>
        </w:div>
        <w:div w:id="1641232712">
          <w:marLeft w:val="640"/>
          <w:marRight w:val="0"/>
          <w:marTop w:val="0"/>
          <w:marBottom w:val="0"/>
          <w:divBdr>
            <w:top w:val="none" w:sz="0" w:space="0" w:color="auto"/>
            <w:left w:val="none" w:sz="0" w:space="0" w:color="auto"/>
            <w:bottom w:val="none" w:sz="0" w:space="0" w:color="auto"/>
            <w:right w:val="none" w:sz="0" w:space="0" w:color="auto"/>
          </w:divBdr>
        </w:div>
        <w:div w:id="713043383">
          <w:marLeft w:val="640"/>
          <w:marRight w:val="0"/>
          <w:marTop w:val="0"/>
          <w:marBottom w:val="0"/>
          <w:divBdr>
            <w:top w:val="none" w:sz="0" w:space="0" w:color="auto"/>
            <w:left w:val="none" w:sz="0" w:space="0" w:color="auto"/>
            <w:bottom w:val="none" w:sz="0" w:space="0" w:color="auto"/>
            <w:right w:val="none" w:sz="0" w:space="0" w:color="auto"/>
          </w:divBdr>
        </w:div>
        <w:div w:id="1586911511">
          <w:marLeft w:val="640"/>
          <w:marRight w:val="0"/>
          <w:marTop w:val="0"/>
          <w:marBottom w:val="0"/>
          <w:divBdr>
            <w:top w:val="none" w:sz="0" w:space="0" w:color="auto"/>
            <w:left w:val="none" w:sz="0" w:space="0" w:color="auto"/>
            <w:bottom w:val="none" w:sz="0" w:space="0" w:color="auto"/>
            <w:right w:val="none" w:sz="0" w:space="0" w:color="auto"/>
          </w:divBdr>
        </w:div>
        <w:div w:id="2023627850">
          <w:marLeft w:val="640"/>
          <w:marRight w:val="0"/>
          <w:marTop w:val="0"/>
          <w:marBottom w:val="0"/>
          <w:divBdr>
            <w:top w:val="none" w:sz="0" w:space="0" w:color="auto"/>
            <w:left w:val="none" w:sz="0" w:space="0" w:color="auto"/>
            <w:bottom w:val="none" w:sz="0" w:space="0" w:color="auto"/>
            <w:right w:val="none" w:sz="0" w:space="0" w:color="auto"/>
          </w:divBdr>
        </w:div>
        <w:div w:id="1197042599">
          <w:marLeft w:val="640"/>
          <w:marRight w:val="0"/>
          <w:marTop w:val="0"/>
          <w:marBottom w:val="0"/>
          <w:divBdr>
            <w:top w:val="none" w:sz="0" w:space="0" w:color="auto"/>
            <w:left w:val="none" w:sz="0" w:space="0" w:color="auto"/>
            <w:bottom w:val="none" w:sz="0" w:space="0" w:color="auto"/>
            <w:right w:val="none" w:sz="0" w:space="0" w:color="auto"/>
          </w:divBdr>
        </w:div>
        <w:div w:id="135030762">
          <w:marLeft w:val="640"/>
          <w:marRight w:val="0"/>
          <w:marTop w:val="0"/>
          <w:marBottom w:val="0"/>
          <w:divBdr>
            <w:top w:val="none" w:sz="0" w:space="0" w:color="auto"/>
            <w:left w:val="none" w:sz="0" w:space="0" w:color="auto"/>
            <w:bottom w:val="none" w:sz="0" w:space="0" w:color="auto"/>
            <w:right w:val="none" w:sz="0" w:space="0" w:color="auto"/>
          </w:divBdr>
        </w:div>
        <w:div w:id="575676334">
          <w:marLeft w:val="640"/>
          <w:marRight w:val="0"/>
          <w:marTop w:val="0"/>
          <w:marBottom w:val="0"/>
          <w:divBdr>
            <w:top w:val="none" w:sz="0" w:space="0" w:color="auto"/>
            <w:left w:val="none" w:sz="0" w:space="0" w:color="auto"/>
            <w:bottom w:val="none" w:sz="0" w:space="0" w:color="auto"/>
            <w:right w:val="none" w:sz="0" w:space="0" w:color="auto"/>
          </w:divBdr>
        </w:div>
        <w:div w:id="1800607260">
          <w:marLeft w:val="640"/>
          <w:marRight w:val="0"/>
          <w:marTop w:val="0"/>
          <w:marBottom w:val="0"/>
          <w:divBdr>
            <w:top w:val="none" w:sz="0" w:space="0" w:color="auto"/>
            <w:left w:val="none" w:sz="0" w:space="0" w:color="auto"/>
            <w:bottom w:val="none" w:sz="0" w:space="0" w:color="auto"/>
            <w:right w:val="none" w:sz="0" w:space="0" w:color="auto"/>
          </w:divBdr>
        </w:div>
        <w:div w:id="1117480185">
          <w:marLeft w:val="640"/>
          <w:marRight w:val="0"/>
          <w:marTop w:val="0"/>
          <w:marBottom w:val="0"/>
          <w:divBdr>
            <w:top w:val="none" w:sz="0" w:space="0" w:color="auto"/>
            <w:left w:val="none" w:sz="0" w:space="0" w:color="auto"/>
            <w:bottom w:val="none" w:sz="0" w:space="0" w:color="auto"/>
            <w:right w:val="none" w:sz="0" w:space="0" w:color="auto"/>
          </w:divBdr>
        </w:div>
        <w:div w:id="1346127784">
          <w:marLeft w:val="640"/>
          <w:marRight w:val="0"/>
          <w:marTop w:val="0"/>
          <w:marBottom w:val="0"/>
          <w:divBdr>
            <w:top w:val="none" w:sz="0" w:space="0" w:color="auto"/>
            <w:left w:val="none" w:sz="0" w:space="0" w:color="auto"/>
            <w:bottom w:val="none" w:sz="0" w:space="0" w:color="auto"/>
            <w:right w:val="none" w:sz="0" w:space="0" w:color="auto"/>
          </w:divBdr>
        </w:div>
        <w:div w:id="651443801">
          <w:marLeft w:val="640"/>
          <w:marRight w:val="0"/>
          <w:marTop w:val="0"/>
          <w:marBottom w:val="0"/>
          <w:divBdr>
            <w:top w:val="none" w:sz="0" w:space="0" w:color="auto"/>
            <w:left w:val="none" w:sz="0" w:space="0" w:color="auto"/>
            <w:bottom w:val="none" w:sz="0" w:space="0" w:color="auto"/>
            <w:right w:val="none" w:sz="0" w:space="0" w:color="auto"/>
          </w:divBdr>
        </w:div>
        <w:div w:id="1825275120">
          <w:marLeft w:val="640"/>
          <w:marRight w:val="0"/>
          <w:marTop w:val="0"/>
          <w:marBottom w:val="0"/>
          <w:divBdr>
            <w:top w:val="none" w:sz="0" w:space="0" w:color="auto"/>
            <w:left w:val="none" w:sz="0" w:space="0" w:color="auto"/>
            <w:bottom w:val="none" w:sz="0" w:space="0" w:color="auto"/>
            <w:right w:val="none" w:sz="0" w:space="0" w:color="auto"/>
          </w:divBdr>
        </w:div>
        <w:div w:id="938680730">
          <w:marLeft w:val="640"/>
          <w:marRight w:val="0"/>
          <w:marTop w:val="0"/>
          <w:marBottom w:val="0"/>
          <w:divBdr>
            <w:top w:val="none" w:sz="0" w:space="0" w:color="auto"/>
            <w:left w:val="none" w:sz="0" w:space="0" w:color="auto"/>
            <w:bottom w:val="none" w:sz="0" w:space="0" w:color="auto"/>
            <w:right w:val="none" w:sz="0" w:space="0" w:color="auto"/>
          </w:divBdr>
        </w:div>
        <w:div w:id="490369500">
          <w:marLeft w:val="640"/>
          <w:marRight w:val="0"/>
          <w:marTop w:val="0"/>
          <w:marBottom w:val="0"/>
          <w:divBdr>
            <w:top w:val="none" w:sz="0" w:space="0" w:color="auto"/>
            <w:left w:val="none" w:sz="0" w:space="0" w:color="auto"/>
            <w:bottom w:val="none" w:sz="0" w:space="0" w:color="auto"/>
            <w:right w:val="none" w:sz="0" w:space="0" w:color="auto"/>
          </w:divBdr>
        </w:div>
        <w:div w:id="815147691">
          <w:marLeft w:val="640"/>
          <w:marRight w:val="0"/>
          <w:marTop w:val="0"/>
          <w:marBottom w:val="0"/>
          <w:divBdr>
            <w:top w:val="none" w:sz="0" w:space="0" w:color="auto"/>
            <w:left w:val="none" w:sz="0" w:space="0" w:color="auto"/>
            <w:bottom w:val="none" w:sz="0" w:space="0" w:color="auto"/>
            <w:right w:val="none" w:sz="0" w:space="0" w:color="auto"/>
          </w:divBdr>
        </w:div>
        <w:div w:id="55204678">
          <w:marLeft w:val="640"/>
          <w:marRight w:val="0"/>
          <w:marTop w:val="0"/>
          <w:marBottom w:val="0"/>
          <w:divBdr>
            <w:top w:val="none" w:sz="0" w:space="0" w:color="auto"/>
            <w:left w:val="none" w:sz="0" w:space="0" w:color="auto"/>
            <w:bottom w:val="none" w:sz="0" w:space="0" w:color="auto"/>
            <w:right w:val="none" w:sz="0" w:space="0" w:color="auto"/>
          </w:divBdr>
        </w:div>
        <w:div w:id="986741981">
          <w:marLeft w:val="640"/>
          <w:marRight w:val="0"/>
          <w:marTop w:val="0"/>
          <w:marBottom w:val="0"/>
          <w:divBdr>
            <w:top w:val="none" w:sz="0" w:space="0" w:color="auto"/>
            <w:left w:val="none" w:sz="0" w:space="0" w:color="auto"/>
            <w:bottom w:val="none" w:sz="0" w:space="0" w:color="auto"/>
            <w:right w:val="none" w:sz="0" w:space="0" w:color="auto"/>
          </w:divBdr>
        </w:div>
        <w:div w:id="1482388795">
          <w:marLeft w:val="640"/>
          <w:marRight w:val="0"/>
          <w:marTop w:val="0"/>
          <w:marBottom w:val="0"/>
          <w:divBdr>
            <w:top w:val="none" w:sz="0" w:space="0" w:color="auto"/>
            <w:left w:val="none" w:sz="0" w:space="0" w:color="auto"/>
            <w:bottom w:val="none" w:sz="0" w:space="0" w:color="auto"/>
            <w:right w:val="none" w:sz="0" w:space="0" w:color="auto"/>
          </w:divBdr>
        </w:div>
        <w:div w:id="2035306482">
          <w:marLeft w:val="640"/>
          <w:marRight w:val="0"/>
          <w:marTop w:val="0"/>
          <w:marBottom w:val="0"/>
          <w:divBdr>
            <w:top w:val="none" w:sz="0" w:space="0" w:color="auto"/>
            <w:left w:val="none" w:sz="0" w:space="0" w:color="auto"/>
            <w:bottom w:val="none" w:sz="0" w:space="0" w:color="auto"/>
            <w:right w:val="none" w:sz="0" w:space="0" w:color="auto"/>
          </w:divBdr>
        </w:div>
        <w:div w:id="170144232">
          <w:marLeft w:val="640"/>
          <w:marRight w:val="0"/>
          <w:marTop w:val="0"/>
          <w:marBottom w:val="0"/>
          <w:divBdr>
            <w:top w:val="none" w:sz="0" w:space="0" w:color="auto"/>
            <w:left w:val="none" w:sz="0" w:space="0" w:color="auto"/>
            <w:bottom w:val="none" w:sz="0" w:space="0" w:color="auto"/>
            <w:right w:val="none" w:sz="0" w:space="0" w:color="auto"/>
          </w:divBdr>
        </w:div>
        <w:div w:id="789859517">
          <w:marLeft w:val="640"/>
          <w:marRight w:val="0"/>
          <w:marTop w:val="0"/>
          <w:marBottom w:val="0"/>
          <w:divBdr>
            <w:top w:val="none" w:sz="0" w:space="0" w:color="auto"/>
            <w:left w:val="none" w:sz="0" w:space="0" w:color="auto"/>
            <w:bottom w:val="none" w:sz="0" w:space="0" w:color="auto"/>
            <w:right w:val="none" w:sz="0" w:space="0" w:color="auto"/>
          </w:divBdr>
        </w:div>
        <w:div w:id="532545766">
          <w:marLeft w:val="640"/>
          <w:marRight w:val="0"/>
          <w:marTop w:val="0"/>
          <w:marBottom w:val="0"/>
          <w:divBdr>
            <w:top w:val="none" w:sz="0" w:space="0" w:color="auto"/>
            <w:left w:val="none" w:sz="0" w:space="0" w:color="auto"/>
            <w:bottom w:val="none" w:sz="0" w:space="0" w:color="auto"/>
            <w:right w:val="none" w:sz="0" w:space="0" w:color="auto"/>
          </w:divBdr>
        </w:div>
        <w:div w:id="66072475">
          <w:marLeft w:val="640"/>
          <w:marRight w:val="0"/>
          <w:marTop w:val="0"/>
          <w:marBottom w:val="0"/>
          <w:divBdr>
            <w:top w:val="none" w:sz="0" w:space="0" w:color="auto"/>
            <w:left w:val="none" w:sz="0" w:space="0" w:color="auto"/>
            <w:bottom w:val="none" w:sz="0" w:space="0" w:color="auto"/>
            <w:right w:val="none" w:sz="0" w:space="0" w:color="auto"/>
          </w:divBdr>
        </w:div>
        <w:div w:id="1550536970">
          <w:marLeft w:val="640"/>
          <w:marRight w:val="0"/>
          <w:marTop w:val="0"/>
          <w:marBottom w:val="0"/>
          <w:divBdr>
            <w:top w:val="none" w:sz="0" w:space="0" w:color="auto"/>
            <w:left w:val="none" w:sz="0" w:space="0" w:color="auto"/>
            <w:bottom w:val="none" w:sz="0" w:space="0" w:color="auto"/>
            <w:right w:val="none" w:sz="0" w:space="0" w:color="auto"/>
          </w:divBdr>
        </w:div>
        <w:div w:id="247078819">
          <w:marLeft w:val="640"/>
          <w:marRight w:val="0"/>
          <w:marTop w:val="0"/>
          <w:marBottom w:val="0"/>
          <w:divBdr>
            <w:top w:val="none" w:sz="0" w:space="0" w:color="auto"/>
            <w:left w:val="none" w:sz="0" w:space="0" w:color="auto"/>
            <w:bottom w:val="none" w:sz="0" w:space="0" w:color="auto"/>
            <w:right w:val="none" w:sz="0" w:space="0" w:color="auto"/>
          </w:divBdr>
        </w:div>
        <w:div w:id="1161506795">
          <w:marLeft w:val="640"/>
          <w:marRight w:val="0"/>
          <w:marTop w:val="0"/>
          <w:marBottom w:val="0"/>
          <w:divBdr>
            <w:top w:val="none" w:sz="0" w:space="0" w:color="auto"/>
            <w:left w:val="none" w:sz="0" w:space="0" w:color="auto"/>
            <w:bottom w:val="none" w:sz="0" w:space="0" w:color="auto"/>
            <w:right w:val="none" w:sz="0" w:space="0" w:color="auto"/>
          </w:divBdr>
        </w:div>
        <w:div w:id="1638145763">
          <w:marLeft w:val="640"/>
          <w:marRight w:val="0"/>
          <w:marTop w:val="0"/>
          <w:marBottom w:val="0"/>
          <w:divBdr>
            <w:top w:val="none" w:sz="0" w:space="0" w:color="auto"/>
            <w:left w:val="none" w:sz="0" w:space="0" w:color="auto"/>
            <w:bottom w:val="none" w:sz="0" w:space="0" w:color="auto"/>
            <w:right w:val="none" w:sz="0" w:space="0" w:color="auto"/>
          </w:divBdr>
        </w:div>
        <w:div w:id="1882938962">
          <w:marLeft w:val="640"/>
          <w:marRight w:val="0"/>
          <w:marTop w:val="0"/>
          <w:marBottom w:val="0"/>
          <w:divBdr>
            <w:top w:val="none" w:sz="0" w:space="0" w:color="auto"/>
            <w:left w:val="none" w:sz="0" w:space="0" w:color="auto"/>
            <w:bottom w:val="none" w:sz="0" w:space="0" w:color="auto"/>
            <w:right w:val="none" w:sz="0" w:space="0" w:color="auto"/>
          </w:divBdr>
        </w:div>
        <w:div w:id="178131906">
          <w:marLeft w:val="640"/>
          <w:marRight w:val="0"/>
          <w:marTop w:val="0"/>
          <w:marBottom w:val="0"/>
          <w:divBdr>
            <w:top w:val="none" w:sz="0" w:space="0" w:color="auto"/>
            <w:left w:val="none" w:sz="0" w:space="0" w:color="auto"/>
            <w:bottom w:val="none" w:sz="0" w:space="0" w:color="auto"/>
            <w:right w:val="none" w:sz="0" w:space="0" w:color="auto"/>
          </w:divBdr>
        </w:div>
        <w:div w:id="271058857">
          <w:marLeft w:val="640"/>
          <w:marRight w:val="0"/>
          <w:marTop w:val="0"/>
          <w:marBottom w:val="0"/>
          <w:divBdr>
            <w:top w:val="none" w:sz="0" w:space="0" w:color="auto"/>
            <w:left w:val="none" w:sz="0" w:space="0" w:color="auto"/>
            <w:bottom w:val="none" w:sz="0" w:space="0" w:color="auto"/>
            <w:right w:val="none" w:sz="0" w:space="0" w:color="auto"/>
          </w:divBdr>
        </w:div>
        <w:div w:id="1489440097">
          <w:marLeft w:val="640"/>
          <w:marRight w:val="0"/>
          <w:marTop w:val="0"/>
          <w:marBottom w:val="0"/>
          <w:divBdr>
            <w:top w:val="none" w:sz="0" w:space="0" w:color="auto"/>
            <w:left w:val="none" w:sz="0" w:space="0" w:color="auto"/>
            <w:bottom w:val="none" w:sz="0" w:space="0" w:color="auto"/>
            <w:right w:val="none" w:sz="0" w:space="0" w:color="auto"/>
          </w:divBdr>
        </w:div>
        <w:div w:id="1282230009">
          <w:marLeft w:val="640"/>
          <w:marRight w:val="0"/>
          <w:marTop w:val="0"/>
          <w:marBottom w:val="0"/>
          <w:divBdr>
            <w:top w:val="none" w:sz="0" w:space="0" w:color="auto"/>
            <w:left w:val="none" w:sz="0" w:space="0" w:color="auto"/>
            <w:bottom w:val="none" w:sz="0" w:space="0" w:color="auto"/>
            <w:right w:val="none" w:sz="0" w:space="0" w:color="auto"/>
          </w:divBdr>
        </w:div>
        <w:div w:id="1572811237">
          <w:marLeft w:val="640"/>
          <w:marRight w:val="0"/>
          <w:marTop w:val="0"/>
          <w:marBottom w:val="0"/>
          <w:divBdr>
            <w:top w:val="none" w:sz="0" w:space="0" w:color="auto"/>
            <w:left w:val="none" w:sz="0" w:space="0" w:color="auto"/>
            <w:bottom w:val="none" w:sz="0" w:space="0" w:color="auto"/>
            <w:right w:val="none" w:sz="0" w:space="0" w:color="auto"/>
          </w:divBdr>
        </w:div>
        <w:div w:id="682241765">
          <w:marLeft w:val="640"/>
          <w:marRight w:val="0"/>
          <w:marTop w:val="0"/>
          <w:marBottom w:val="0"/>
          <w:divBdr>
            <w:top w:val="none" w:sz="0" w:space="0" w:color="auto"/>
            <w:left w:val="none" w:sz="0" w:space="0" w:color="auto"/>
            <w:bottom w:val="none" w:sz="0" w:space="0" w:color="auto"/>
            <w:right w:val="none" w:sz="0" w:space="0" w:color="auto"/>
          </w:divBdr>
        </w:div>
        <w:div w:id="203369137">
          <w:marLeft w:val="640"/>
          <w:marRight w:val="0"/>
          <w:marTop w:val="0"/>
          <w:marBottom w:val="0"/>
          <w:divBdr>
            <w:top w:val="none" w:sz="0" w:space="0" w:color="auto"/>
            <w:left w:val="none" w:sz="0" w:space="0" w:color="auto"/>
            <w:bottom w:val="none" w:sz="0" w:space="0" w:color="auto"/>
            <w:right w:val="none" w:sz="0" w:space="0" w:color="auto"/>
          </w:divBdr>
        </w:div>
        <w:div w:id="1362703832">
          <w:marLeft w:val="640"/>
          <w:marRight w:val="0"/>
          <w:marTop w:val="0"/>
          <w:marBottom w:val="0"/>
          <w:divBdr>
            <w:top w:val="none" w:sz="0" w:space="0" w:color="auto"/>
            <w:left w:val="none" w:sz="0" w:space="0" w:color="auto"/>
            <w:bottom w:val="none" w:sz="0" w:space="0" w:color="auto"/>
            <w:right w:val="none" w:sz="0" w:space="0" w:color="auto"/>
          </w:divBdr>
        </w:div>
        <w:div w:id="1225407061">
          <w:marLeft w:val="640"/>
          <w:marRight w:val="0"/>
          <w:marTop w:val="0"/>
          <w:marBottom w:val="0"/>
          <w:divBdr>
            <w:top w:val="none" w:sz="0" w:space="0" w:color="auto"/>
            <w:left w:val="none" w:sz="0" w:space="0" w:color="auto"/>
            <w:bottom w:val="none" w:sz="0" w:space="0" w:color="auto"/>
            <w:right w:val="none" w:sz="0" w:space="0" w:color="auto"/>
          </w:divBdr>
        </w:div>
        <w:div w:id="1545093415">
          <w:marLeft w:val="640"/>
          <w:marRight w:val="0"/>
          <w:marTop w:val="0"/>
          <w:marBottom w:val="0"/>
          <w:divBdr>
            <w:top w:val="none" w:sz="0" w:space="0" w:color="auto"/>
            <w:left w:val="none" w:sz="0" w:space="0" w:color="auto"/>
            <w:bottom w:val="none" w:sz="0" w:space="0" w:color="auto"/>
            <w:right w:val="none" w:sz="0" w:space="0" w:color="auto"/>
          </w:divBdr>
        </w:div>
        <w:div w:id="327707747">
          <w:marLeft w:val="640"/>
          <w:marRight w:val="0"/>
          <w:marTop w:val="0"/>
          <w:marBottom w:val="0"/>
          <w:divBdr>
            <w:top w:val="none" w:sz="0" w:space="0" w:color="auto"/>
            <w:left w:val="none" w:sz="0" w:space="0" w:color="auto"/>
            <w:bottom w:val="none" w:sz="0" w:space="0" w:color="auto"/>
            <w:right w:val="none" w:sz="0" w:space="0" w:color="auto"/>
          </w:divBdr>
        </w:div>
        <w:div w:id="1280994168">
          <w:marLeft w:val="640"/>
          <w:marRight w:val="0"/>
          <w:marTop w:val="0"/>
          <w:marBottom w:val="0"/>
          <w:divBdr>
            <w:top w:val="none" w:sz="0" w:space="0" w:color="auto"/>
            <w:left w:val="none" w:sz="0" w:space="0" w:color="auto"/>
            <w:bottom w:val="none" w:sz="0" w:space="0" w:color="auto"/>
            <w:right w:val="none" w:sz="0" w:space="0" w:color="auto"/>
          </w:divBdr>
        </w:div>
        <w:div w:id="2084180329">
          <w:marLeft w:val="640"/>
          <w:marRight w:val="0"/>
          <w:marTop w:val="0"/>
          <w:marBottom w:val="0"/>
          <w:divBdr>
            <w:top w:val="none" w:sz="0" w:space="0" w:color="auto"/>
            <w:left w:val="none" w:sz="0" w:space="0" w:color="auto"/>
            <w:bottom w:val="none" w:sz="0" w:space="0" w:color="auto"/>
            <w:right w:val="none" w:sz="0" w:space="0" w:color="auto"/>
          </w:divBdr>
        </w:div>
        <w:div w:id="2126997865">
          <w:marLeft w:val="640"/>
          <w:marRight w:val="0"/>
          <w:marTop w:val="0"/>
          <w:marBottom w:val="0"/>
          <w:divBdr>
            <w:top w:val="none" w:sz="0" w:space="0" w:color="auto"/>
            <w:left w:val="none" w:sz="0" w:space="0" w:color="auto"/>
            <w:bottom w:val="none" w:sz="0" w:space="0" w:color="auto"/>
            <w:right w:val="none" w:sz="0" w:space="0" w:color="auto"/>
          </w:divBdr>
        </w:div>
        <w:div w:id="345333481">
          <w:marLeft w:val="640"/>
          <w:marRight w:val="0"/>
          <w:marTop w:val="0"/>
          <w:marBottom w:val="0"/>
          <w:divBdr>
            <w:top w:val="none" w:sz="0" w:space="0" w:color="auto"/>
            <w:left w:val="none" w:sz="0" w:space="0" w:color="auto"/>
            <w:bottom w:val="none" w:sz="0" w:space="0" w:color="auto"/>
            <w:right w:val="none" w:sz="0" w:space="0" w:color="auto"/>
          </w:divBdr>
        </w:div>
        <w:div w:id="898176212">
          <w:marLeft w:val="640"/>
          <w:marRight w:val="0"/>
          <w:marTop w:val="0"/>
          <w:marBottom w:val="0"/>
          <w:divBdr>
            <w:top w:val="none" w:sz="0" w:space="0" w:color="auto"/>
            <w:left w:val="none" w:sz="0" w:space="0" w:color="auto"/>
            <w:bottom w:val="none" w:sz="0" w:space="0" w:color="auto"/>
            <w:right w:val="none" w:sz="0" w:space="0" w:color="auto"/>
          </w:divBdr>
        </w:div>
        <w:div w:id="203372604">
          <w:marLeft w:val="640"/>
          <w:marRight w:val="0"/>
          <w:marTop w:val="0"/>
          <w:marBottom w:val="0"/>
          <w:divBdr>
            <w:top w:val="none" w:sz="0" w:space="0" w:color="auto"/>
            <w:left w:val="none" w:sz="0" w:space="0" w:color="auto"/>
            <w:bottom w:val="none" w:sz="0" w:space="0" w:color="auto"/>
            <w:right w:val="none" w:sz="0" w:space="0" w:color="auto"/>
          </w:divBdr>
        </w:div>
        <w:div w:id="2027049047">
          <w:marLeft w:val="640"/>
          <w:marRight w:val="0"/>
          <w:marTop w:val="0"/>
          <w:marBottom w:val="0"/>
          <w:divBdr>
            <w:top w:val="none" w:sz="0" w:space="0" w:color="auto"/>
            <w:left w:val="none" w:sz="0" w:space="0" w:color="auto"/>
            <w:bottom w:val="none" w:sz="0" w:space="0" w:color="auto"/>
            <w:right w:val="none" w:sz="0" w:space="0" w:color="auto"/>
          </w:divBdr>
        </w:div>
        <w:div w:id="1167672256">
          <w:marLeft w:val="640"/>
          <w:marRight w:val="0"/>
          <w:marTop w:val="0"/>
          <w:marBottom w:val="0"/>
          <w:divBdr>
            <w:top w:val="none" w:sz="0" w:space="0" w:color="auto"/>
            <w:left w:val="none" w:sz="0" w:space="0" w:color="auto"/>
            <w:bottom w:val="none" w:sz="0" w:space="0" w:color="auto"/>
            <w:right w:val="none" w:sz="0" w:space="0" w:color="auto"/>
          </w:divBdr>
        </w:div>
        <w:div w:id="985210090">
          <w:marLeft w:val="640"/>
          <w:marRight w:val="0"/>
          <w:marTop w:val="0"/>
          <w:marBottom w:val="0"/>
          <w:divBdr>
            <w:top w:val="none" w:sz="0" w:space="0" w:color="auto"/>
            <w:left w:val="none" w:sz="0" w:space="0" w:color="auto"/>
            <w:bottom w:val="none" w:sz="0" w:space="0" w:color="auto"/>
            <w:right w:val="none" w:sz="0" w:space="0" w:color="auto"/>
          </w:divBdr>
        </w:div>
        <w:div w:id="1386832589">
          <w:marLeft w:val="640"/>
          <w:marRight w:val="0"/>
          <w:marTop w:val="0"/>
          <w:marBottom w:val="0"/>
          <w:divBdr>
            <w:top w:val="none" w:sz="0" w:space="0" w:color="auto"/>
            <w:left w:val="none" w:sz="0" w:space="0" w:color="auto"/>
            <w:bottom w:val="none" w:sz="0" w:space="0" w:color="auto"/>
            <w:right w:val="none" w:sz="0" w:space="0" w:color="auto"/>
          </w:divBdr>
        </w:div>
        <w:div w:id="32853942">
          <w:marLeft w:val="640"/>
          <w:marRight w:val="0"/>
          <w:marTop w:val="0"/>
          <w:marBottom w:val="0"/>
          <w:divBdr>
            <w:top w:val="none" w:sz="0" w:space="0" w:color="auto"/>
            <w:left w:val="none" w:sz="0" w:space="0" w:color="auto"/>
            <w:bottom w:val="none" w:sz="0" w:space="0" w:color="auto"/>
            <w:right w:val="none" w:sz="0" w:space="0" w:color="auto"/>
          </w:divBdr>
        </w:div>
        <w:div w:id="153109796">
          <w:marLeft w:val="640"/>
          <w:marRight w:val="0"/>
          <w:marTop w:val="0"/>
          <w:marBottom w:val="0"/>
          <w:divBdr>
            <w:top w:val="none" w:sz="0" w:space="0" w:color="auto"/>
            <w:left w:val="none" w:sz="0" w:space="0" w:color="auto"/>
            <w:bottom w:val="none" w:sz="0" w:space="0" w:color="auto"/>
            <w:right w:val="none" w:sz="0" w:space="0" w:color="auto"/>
          </w:divBdr>
        </w:div>
        <w:div w:id="252512301">
          <w:marLeft w:val="640"/>
          <w:marRight w:val="0"/>
          <w:marTop w:val="0"/>
          <w:marBottom w:val="0"/>
          <w:divBdr>
            <w:top w:val="none" w:sz="0" w:space="0" w:color="auto"/>
            <w:left w:val="none" w:sz="0" w:space="0" w:color="auto"/>
            <w:bottom w:val="none" w:sz="0" w:space="0" w:color="auto"/>
            <w:right w:val="none" w:sz="0" w:space="0" w:color="auto"/>
          </w:divBdr>
        </w:div>
        <w:div w:id="700980167">
          <w:marLeft w:val="640"/>
          <w:marRight w:val="0"/>
          <w:marTop w:val="0"/>
          <w:marBottom w:val="0"/>
          <w:divBdr>
            <w:top w:val="none" w:sz="0" w:space="0" w:color="auto"/>
            <w:left w:val="none" w:sz="0" w:space="0" w:color="auto"/>
            <w:bottom w:val="none" w:sz="0" w:space="0" w:color="auto"/>
            <w:right w:val="none" w:sz="0" w:space="0" w:color="auto"/>
          </w:divBdr>
        </w:div>
        <w:div w:id="1030186613">
          <w:marLeft w:val="640"/>
          <w:marRight w:val="0"/>
          <w:marTop w:val="0"/>
          <w:marBottom w:val="0"/>
          <w:divBdr>
            <w:top w:val="none" w:sz="0" w:space="0" w:color="auto"/>
            <w:left w:val="none" w:sz="0" w:space="0" w:color="auto"/>
            <w:bottom w:val="none" w:sz="0" w:space="0" w:color="auto"/>
            <w:right w:val="none" w:sz="0" w:space="0" w:color="auto"/>
          </w:divBdr>
        </w:div>
        <w:div w:id="798646288">
          <w:marLeft w:val="640"/>
          <w:marRight w:val="0"/>
          <w:marTop w:val="0"/>
          <w:marBottom w:val="0"/>
          <w:divBdr>
            <w:top w:val="none" w:sz="0" w:space="0" w:color="auto"/>
            <w:left w:val="none" w:sz="0" w:space="0" w:color="auto"/>
            <w:bottom w:val="none" w:sz="0" w:space="0" w:color="auto"/>
            <w:right w:val="none" w:sz="0" w:space="0" w:color="auto"/>
          </w:divBdr>
        </w:div>
        <w:div w:id="1871409461">
          <w:marLeft w:val="640"/>
          <w:marRight w:val="0"/>
          <w:marTop w:val="0"/>
          <w:marBottom w:val="0"/>
          <w:divBdr>
            <w:top w:val="none" w:sz="0" w:space="0" w:color="auto"/>
            <w:left w:val="none" w:sz="0" w:space="0" w:color="auto"/>
            <w:bottom w:val="none" w:sz="0" w:space="0" w:color="auto"/>
            <w:right w:val="none" w:sz="0" w:space="0" w:color="auto"/>
          </w:divBdr>
        </w:div>
        <w:div w:id="487745298">
          <w:marLeft w:val="640"/>
          <w:marRight w:val="0"/>
          <w:marTop w:val="0"/>
          <w:marBottom w:val="0"/>
          <w:divBdr>
            <w:top w:val="none" w:sz="0" w:space="0" w:color="auto"/>
            <w:left w:val="none" w:sz="0" w:space="0" w:color="auto"/>
            <w:bottom w:val="none" w:sz="0" w:space="0" w:color="auto"/>
            <w:right w:val="none" w:sz="0" w:space="0" w:color="auto"/>
          </w:divBdr>
        </w:div>
        <w:div w:id="1279021517">
          <w:marLeft w:val="640"/>
          <w:marRight w:val="0"/>
          <w:marTop w:val="0"/>
          <w:marBottom w:val="0"/>
          <w:divBdr>
            <w:top w:val="none" w:sz="0" w:space="0" w:color="auto"/>
            <w:left w:val="none" w:sz="0" w:space="0" w:color="auto"/>
            <w:bottom w:val="none" w:sz="0" w:space="0" w:color="auto"/>
            <w:right w:val="none" w:sz="0" w:space="0" w:color="auto"/>
          </w:divBdr>
        </w:div>
        <w:div w:id="1021207378">
          <w:marLeft w:val="640"/>
          <w:marRight w:val="0"/>
          <w:marTop w:val="0"/>
          <w:marBottom w:val="0"/>
          <w:divBdr>
            <w:top w:val="none" w:sz="0" w:space="0" w:color="auto"/>
            <w:left w:val="none" w:sz="0" w:space="0" w:color="auto"/>
            <w:bottom w:val="none" w:sz="0" w:space="0" w:color="auto"/>
            <w:right w:val="none" w:sz="0" w:space="0" w:color="auto"/>
          </w:divBdr>
        </w:div>
      </w:divsChild>
    </w:div>
    <w:div w:id="1556309556">
      <w:bodyDiv w:val="1"/>
      <w:marLeft w:val="0"/>
      <w:marRight w:val="0"/>
      <w:marTop w:val="0"/>
      <w:marBottom w:val="0"/>
      <w:divBdr>
        <w:top w:val="none" w:sz="0" w:space="0" w:color="auto"/>
        <w:left w:val="none" w:sz="0" w:space="0" w:color="auto"/>
        <w:bottom w:val="none" w:sz="0" w:space="0" w:color="auto"/>
        <w:right w:val="none" w:sz="0" w:space="0" w:color="auto"/>
      </w:divBdr>
    </w:div>
    <w:div w:id="1556816579">
      <w:bodyDiv w:val="1"/>
      <w:marLeft w:val="0"/>
      <w:marRight w:val="0"/>
      <w:marTop w:val="0"/>
      <w:marBottom w:val="0"/>
      <w:divBdr>
        <w:top w:val="none" w:sz="0" w:space="0" w:color="auto"/>
        <w:left w:val="none" w:sz="0" w:space="0" w:color="auto"/>
        <w:bottom w:val="none" w:sz="0" w:space="0" w:color="auto"/>
        <w:right w:val="none" w:sz="0" w:space="0" w:color="auto"/>
      </w:divBdr>
    </w:div>
    <w:div w:id="1559130153">
      <w:bodyDiv w:val="1"/>
      <w:marLeft w:val="0"/>
      <w:marRight w:val="0"/>
      <w:marTop w:val="0"/>
      <w:marBottom w:val="0"/>
      <w:divBdr>
        <w:top w:val="none" w:sz="0" w:space="0" w:color="auto"/>
        <w:left w:val="none" w:sz="0" w:space="0" w:color="auto"/>
        <w:bottom w:val="none" w:sz="0" w:space="0" w:color="auto"/>
        <w:right w:val="none" w:sz="0" w:space="0" w:color="auto"/>
      </w:divBdr>
    </w:div>
    <w:div w:id="1559786298">
      <w:bodyDiv w:val="1"/>
      <w:marLeft w:val="0"/>
      <w:marRight w:val="0"/>
      <w:marTop w:val="0"/>
      <w:marBottom w:val="0"/>
      <w:divBdr>
        <w:top w:val="none" w:sz="0" w:space="0" w:color="auto"/>
        <w:left w:val="none" w:sz="0" w:space="0" w:color="auto"/>
        <w:bottom w:val="none" w:sz="0" w:space="0" w:color="auto"/>
        <w:right w:val="none" w:sz="0" w:space="0" w:color="auto"/>
      </w:divBdr>
    </w:div>
    <w:div w:id="1563441799">
      <w:bodyDiv w:val="1"/>
      <w:marLeft w:val="0"/>
      <w:marRight w:val="0"/>
      <w:marTop w:val="0"/>
      <w:marBottom w:val="0"/>
      <w:divBdr>
        <w:top w:val="none" w:sz="0" w:space="0" w:color="auto"/>
        <w:left w:val="none" w:sz="0" w:space="0" w:color="auto"/>
        <w:bottom w:val="none" w:sz="0" w:space="0" w:color="auto"/>
        <w:right w:val="none" w:sz="0" w:space="0" w:color="auto"/>
      </w:divBdr>
    </w:div>
    <w:div w:id="1563638098">
      <w:bodyDiv w:val="1"/>
      <w:marLeft w:val="0"/>
      <w:marRight w:val="0"/>
      <w:marTop w:val="0"/>
      <w:marBottom w:val="0"/>
      <w:divBdr>
        <w:top w:val="none" w:sz="0" w:space="0" w:color="auto"/>
        <w:left w:val="none" w:sz="0" w:space="0" w:color="auto"/>
        <w:bottom w:val="none" w:sz="0" w:space="0" w:color="auto"/>
        <w:right w:val="none" w:sz="0" w:space="0" w:color="auto"/>
      </w:divBdr>
    </w:div>
    <w:div w:id="1564095920">
      <w:bodyDiv w:val="1"/>
      <w:marLeft w:val="0"/>
      <w:marRight w:val="0"/>
      <w:marTop w:val="0"/>
      <w:marBottom w:val="0"/>
      <w:divBdr>
        <w:top w:val="none" w:sz="0" w:space="0" w:color="auto"/>
        <w:left w:val="none" w:sz="0" w:space="0" w:color="auto"/>
        <w:bottom w:val="none" w:sz="0" w:space="0" w:color="auto"/>
        <w:right w:val="none" w:sz="0" w:space="0" w:color="auto"/>
      </w:divBdr>
    </w:div>
    <w:div w:id="1565292769">
      <w:bodyDiv w:val="1"/>
      <w:marLeft w:val="0"/>
      <w:marRight w:val="0"/>
      <w:marTop w:val="0"/>
      <w:marBottom w:val="0"/>
      <w:divBdr>
        <w:top w:val="none" w:sz="0" w:space="0" w:color="auto"/>
        <w:left w:val="none" w:sz="0" w:space="0" w:color="auto"/>
        <w:bottom w:val="none" w:sz="0" w:space="0" w:color="auto"/>
        <w:right w:val="none" w:sz="0" w:space="0" w:color="auto"/>
      </w:divBdr>
      <w:divsChild>
        <w:div w:id="1925911625">
          <w:marLeft w:val="640"/>
          <w:marRight w:val="0"/>
          <w:marTop w:val="0"/>
          <w:marBottom w:val="0"/>
          <w:divBdr>
            <w:top w:val="none" w:sz="0" w:space="0" w:color="auto"/>
            <w:left w:val="none" w:sz="0" w:space="0" w:color="auto"/>
            <w:bottom w:val="none" w:sz="0" w:space="0" w:color="auto"/>
            <w:right w:val="none" w:sz="0" w:space="0" w:color="auto"/>
          </w:divBdr>
        </w:div>
        <w:div w:id="1004942503">
          <w:marLeft w:val="640"/>
          <w:marRight w:val="0"/>
          <w:marTop w:val="0"/>
          <w:marBottom w:val="0"/>
          <w:divBdr>
            <w:top w:val="none" w:sz="0" w:space="0" w:color="auto"/>
            <w:left w:val="none" w:sz="0" w:space="0" w:color="auto"/>
            <w:bottom w:val="none" w:sz="0" w:space="0" w:color="auto"/>
            <w:right w:val="none" w:sz="0" w:space="0" w:color="auto"/>
          </w:divBdr>
        </w:div>
        <w:div w:id="1875724724">
          <w:marLeft w:val="640"/>
          <w:marRight w:val="0"/>
          <w:marTop w:val="0"/>
          <w:marBottom w:val="0"/>
          <w:divBdr>
            <w:top w:val="none" w:sz="0" w:space="0" w:color="auto"/>
            <w:left w:val="none" w:sz="0" w:space="0" w:color="auto"/>
            <w:bottom w:val="none" w:sz="0" w:space="0" w:color="auto"/>
            <w:right w:val="none" w:sz="0" w:space="0" w:color="auto"/>
          </w:divBdr>
        </w:div>
        <w:div w:id="645477563">
          <w:marLeft w:val="640"/>
          <w:marRight w:val="0"/>
          <w:marTop w:val="0"/>
          <w:marBottom w:val="0"/>
          <w:divBdr>
            <w:top w:val="none" w:sz="0" w:space="0" w:color="auto"/>
            <w:left w:val="none" w:sz="0" w:space="0" w:color="auto"/>
            <w:bottom w:val="none" w:sz="0" w:space="0" w:color="auto"/>
            <w:right w:val="none" w:sz="0" w:space="0" w:color="auto"/>
          </w:divBdr>
        </w:div>
        <w:div w:id="286549875">
          <w:marLeft w:val="640"/>
          <w:marRight w:val="0"/>
          <w:marTop w:val="0"/>
          <w:marBottom w:val="0"/>
          <w:divBdr>
            <w:top w:val="none" w:sz="0" w:space="0" w:color="auto"/>
            <w:left w:val="none" w:sz="0" w:space="0" w:color="auto"/>
            <w:bottom w:val="none" w:sz="0" w:space="0" w:color="auto"/>
            <w:right w:val="none" w:sz="0" w:space="0" w:color="auto"/>
          </w:divBdr>
        </w:div>
        <w:div w:id="1577784409">
          <w:marLeft w:val="640"/>
          <w:marRight w:val="0"/>
          <w:marTop w:val="0"/>
          <w:marBottom w:val="0"/>
          <w:divBdr>
            <w:top w:val="none" w:sz="0" w:space="0" w:color="auto"/>
            <w:left w:val="none" w:sz="0" w:space="0" w:color="auto"/>
            <w:bottom w:val="none" w:sz="0" w:space="0" w:color="auto"/>
            <w:right w:val="none" w:sz="0" w:space="0" w:color="auto"/>
          </w:divBdr>
        </w:div>
        <w:div w:id="709375331">
          <w:marLeft w:val="640"/>
          <w:marRight w:val="0"/>
          <w:marTop w:val="0"/>
          <w:marBottom w:val="0"/>
          <w:divBdr>
            <w:top w:val="none" w:sz="0" w:space="0" w:color="auto"/>
            <w:left w:val="none" w:sz="0" w:space="0" w:color="auto"/>
            <w:bottom w:val="none" w:sz="0" w:space="0" w:color="auto"/>
            <w:right w:val="none" w:sz="0" w:space="0" w:color="auto"/>
          </w:divBdr>
        </w:div>
        <w:div w:id="841430260">
          <w:marLeft w:val="640"/>
          <w:marRight w:val="0"/>
          <w:marTop w:val="0"/>
          <w:marBottom w:val="0"/>
          <w:divBdr>
            <w:top w:val="none" w:sz="0" w:space="0" w:color="auto"/>
            <w:left w:val="none" w:sz="0" w:space="0" w:color="auto"/>
            <w:bottom w:val="none" w:sz="0" w:space="0" w:color="auto"/>
            <w:right w:val="none" w:sz="0" w:space="0" w:color="auto"/>
          </w:divBdr>
        </w:div>
        <w:div w:id="28529539">
          <w:marLeft w:val="640"/>
          <w:marRight w:val="0"/>
          <w:marTop w:val="0"/>
          <w:marBottom w:val="0"/>
          <w:divBdr>
            <w:top w:val="none" w:sz="0" w:space="0" w:color="auto"/>
            <w:left w:val="none" w:sz="0" w:space="0" w:color="auto"/>
            <w:bottom w:val="none" w:sz="0" w:space="0" w:color="auto"/>
            <w:right w:val="none" w:sz="0" w:space="0" w:color="auto"/>
          </w:divBdr>
        </w:div>
        <w:div w:id="1670788467">
          <w:marLeft w:val="640"/>
          <w:marRight w:val="0"/>
          <w:marTop w:val="0"/>
          <w:marBottom w:val="0"/>
          <w:divBdr>
            <w:top w:val="none" w:sz="0" w:space="0" w:color="auto"/>
            <w:left w:val="none" w:sz="0" w:space="0" w:color="auto"/>
            <w:bottom w:val="none" w:sz="0" w:space="0" w:color="auto"/>
            <w:right w:val="none" w:sz="0" w:space="0" w:color="auto"/>
          </w:divBdr>
        </w:div>
        <w:div w:id="416705601">
          <w:marLeft w:val="640"/>
          <w:marRight w:val="0"/>
          <w:marTop w:val="0"/>
          <w:marBottom w:val="0"/>
          <w:divBdr>
            <w:top w:val="none" w:sz="0" w:space="0" w:color="auto"/>
            <w:left w:val="none" w:sz="0" w:space="0" w:color="auto"/>
            <w:bottom w:val="none" w:sz="0" w:space="0" w:color="auto"/>
            <w:right w:val="none" w:sz="0" w:space="0" w:color="auto"/>
          </w:divBdr>
        </w:div>
        <w:div w:id="890724787">
          <w:marLeft w:val="640"/>
          <w:marRight w:val="0"/>
          <w:marTop w:val="0"/>
          <w:marBottom w:val="0"/>
          <w:divBdr>
            <w:top w:val="none" w:sz="0" w:space="0" w:color="auto"/>
            <w:left w:val="none" w:sz="0" w:space="0" w:color="auto"/>
            <w:bottom w:val="none" w:sz="0" w:space="0" w:color="auto"/>
            <w:right w:val="none" w:sz="0" w:space="0" w:color="auto"/>
          </w:divBdr>
        </w:div>
        <w:div w:id="647632105">
          <w:marLeft w:val="640"/>
          <w:marRight w:val="0"/>
          <w:marTop w:val="0"/>
          <w:marBottom w:val="0"/>
          <w:divBdr>
            <w:top w:val="none" w:sz="0" w:space="0" w:color="auto"/>
            <w:left w:val="none" w:sz="0" w:space="0" w:color="auto"/>
            <w:bottom w:val="none" w:sz="0" w:space="0" w:color="auto"/>
            <w:right w:val="none" w:sz="0" w:space="0" w:color="auto"/>
          </w:divBdr>
        </w:div>
        <w:div w:id="1012801653">
          <w:marLeft w:val="640"/>
          <w:marRight w:val="0"/>
          <w:marTop w:val="0"/>
          <w:marBottom w:val="0"/>
          <w:divBdr>
            <w:top w:val="none" w:sz="0" w:space="0" w:color="auto"/>
            <w:left w:val="none" w:sz="0" w:space="0" w:color="auto"/>
            <w:bottom w:val="none" w:sz="0" w:space="0" w:color="auto"/>
            <w:right w:val="none" w:sz="0" w:space="0" w:color="auto"/>
          </w:divBdr>
        </w:div>
        <w:div w:id="1131822839">
          <w:marLeft w:val="640"/>
          <w:marRight w:val="0"/>
          <w:marTop w:val="0"/>
          <w:marBottom w:val="0"/>
          <w:divBdr>
            <w:top w:val="none" w:sz="0" w:space="0" w:color="auto"/>
            <w:left w:val="none" w:sz="0" w:space="0" w:color="auto"/>
            <w:bottom w:val="none" w:sz="0" w:space="0" w:color="auto"/>
            <w:right w:val="none" w:sz="0" w:space="0" w:color="auto"/>
          </w:divBdr>
        </w:div>
        <w:div w:id="816528712">
          <w:marLeft w:val="640"/>
          <w:marRight w:val="0"/>
          <w:marTop w:val="0"/>
          <w:marBottom w:val="0"/>
          <w:divBdr>
            <w:top w:val="none" w:sz="0" w:space="0" w:color="auto"/>
            <w:left w:val="none" w:sz="0" w:space="0" w:color="auto"/>
            <w:bottom w:val="none" w:sz="0" w:space="0" w:color="auto"/>
            <w:right w:val="none" w:sz="0" w:space="0" w:color="auto"/>
          </w:divBdr>
        </w:div>
        <w:div w:id="218634311">
          <w:marLeft w:val="640"/>
          <w:marRight w:val="0"/>
          <w:marTop w:val="0"/>
          <w:marBottom w:val="0"/>
          <w:divBdr>
            <w:top w:val="none" w:sz="0" w:space="0" w:color="auto"/>
            <w:left w:val="none" w:sz="0" w:space="0" w:color="auto"/>
            <w:bottom w:val="none" w:sz="0" w:space="0" w:color="auto"/>
            <w:right w:val="none" w:sz="0" w:space="0" w:color="auto"/>
          </w:divBdr>
        </w:div>
        <w:div w:id="1661234276">
          <w:marLeft w:val="640"/>
          <w:marRight w:val="0"/>
          <w:marTop w:val="0"/>
          <w:marBottom w:val="0"/>
          <w:divBdr>
            <w:top w:val="none" w:sz="0" w:space="0" w:color="auto"/>
            <w:left w:val="none" w:sz="0" w:space="0" w:color="auto"/>
            <w:bottom w:val="none" w:sz="0" w:space="0" w:color="auto"/>
            <w:right w:val="none" w:sz="0" w:space="0" w:color="auto"/>
          </w:divBdr>
        </w:div>
        <w:div w:id="1862628672">
          <w:marLeft w:val="640"/>
          <w:marRight w:val="0"/>
          <w:marTop w:val="0"/>
          <w:marBottom w:val="0"/>
          <w:divBdr>
            <w:top w:val="none" w:sz="0" w:space="0" w:color="auto"/>
            <w:left w:val="none" w:sz="0" w:space="0" w:color="auto"/>
            <w:bottom w:val="none" w:sz="0" w:space="0" w:color="auto"/>
            <w:right w:val="none" w:sz="0" w:space="0" w:color="auto"/>
          </w:divBdr>
        </w:div>
        <w:div w:id="1429539340">
          <w:marLeft w:val="640"/>
          <w:marRight w:val="0"/>
          <w:marTop w:val="0"/>
          <w:marBottom w:val="0"/>
          <w:divBdr>
            <w:top w:val="none" w:sz="0" w:space="0" w:color="auto"/>
            <w:left w:val="none" w:sz="0" w:space="0" w:color="auto"/>
            <w:bottom w:val="none" w:sz="0" w:space="0" w:color="auto"/>
            <w:right w:val="none" w:sz="0" w:space="0" w:color="auto"/>
          </w:divBdr>
        </w:div>
        <w:div w:id="2099791684">
          <w:marLeft w:val="640"/>
          <w:marRight w:val="0"/>
          <w:marTop w:val="0"/>
          <w:marBottom w:val="0"/>
          <w:divBdr>
            <w:top w:val="none" w:sz="0" w:space="0" w:color="auto"/>
            <w:left w:val="none" w:sz="0" w:space="0" w:color="auto"/>
            <w:bottom w:val="none" w:sz="0" w:space="0" w:color="auto"/>
            <w:right w:val="none" w:sz="0" w:space="0" w:color="auto"/>
          </w:divBdr>
        </w:div>
        <w:div w:id="442919472">
          <w:marLeft w:val="640"/>
          <w:marRight w:val="0"/>
          <w:marTop w:val="0"/>
          <w:marBottom w:val="0"/>
          <w:divBdr>
            <w:top w:val="none" w:sz="0" w:space="0" w:color="auto"/>
            <w:left w:val="none" w:sz="0" w:space="0" w:color="auto"/>
            <w:bottom w:val="none" w:sz="0" w:space="0" w:color="auto"/>
            <w:right w:val="none" w:sz="0" w:space="0" w:color="auto"/>
          </w:divBdr>
        </w:div>
        <w:div w:id="1384794964">
          <w:marLeft w:val="640"/>
          <w:marRight w:val="0"/>
          <w:marTop w:val="0"/>
          <w:marBottom w:val="0"/>
          <w:divBdr>
            <w:top w:val="none" w:sz="0" w:space="0" w:color="auto"/>
            <w:left w:val="none" w:sz="0" w:space="0" w:color="auto"/>
            <w:bottom w:val="none" w:sz="0" w:space="0" w:color="auto"/>
            <w:right w:val="none" w:sz="0" w:space="0" w:color="auto"/>
          </w:divBdr>
        </w:div>
        <w:div w:id="1714577343">
          <w:marLeft w:val="640"/>
          <w:marRight w:val="0"/>
          <w:marTop w:val="0"/>
          <w:marBottom w:val="0"/>
          <w:divBdr>
            <w:top w:val="none" w:sz="0" w:space="0" w:color="auto"/>
            <w:left w:val="none" w:sz="0" w:space="0" w:color="auto"/>
            <w:bottom w:val="none" w:sz="0" w:space="0" w:color="auto"/>
            <w:right w:val="none" w:sz="0" w:space="0" w:color="auto"/>
          </w:divBdr>
        </w:div>
        <w:div w:id="925846992">
          <w:marLeft w:val="640"/>
          <w:marRight w:val="0"/>
          <w:marTop w:val="0"/>
          <w:marBottom w:val="0"/>
          <w:divBdr>
            <w:top w:val="none" w:sz="0" w:space="0" w:color="auto"/>
            <w:left w:val="none" w:sz="0" w:space="0" w:color="auto"/>
            <w:bottom w:val="none" w:sz="0" w:space="0" w:color="auto"/>
            <w:right w:val="none" w:sz="0" w:space="0" w:color="auto"/>
          </w:divBdr>
        </w:div>
        <w:div w:id="1016271964">
          <w:marLeft w:val="640"/>
          <w:marRight w:val="0"/>
          <w:marTop w:val="0"/>
          <w:marBottom w:val="0"/>
          <w:divBdr>
            <w:top w:val="none" w:sz="0" w:space="0" w:color="auto"/>
            <w:left w:val="none" w:sz="0" w:space="0" w:color="auto"/>
            <w:bottom w:val="none" w:sz="0" w:space="0" w:color="auto"/>
            <w:right w:val="none" w:sz="0" w:space="0" w:color="auto"/>
          </w:divBdr>
        </w:div>
        <w:div w:id="345523677">
          <w:marLeft w:val="640"/>
          <w:marRight w:val="0"/>
          <w:marTop w:val="0"/>
          <w:marBottom w:val="0"/>
          <w:divBdr>
            <w:top w:val="none" w:sz="0" w:space="0" w:color="auto"/>
            <w:left w:val="none" w:sz="0" w:space="0" w:color="auto"/>
            <w:bottom w:val="none" w:sz="0" w:space="0" w:color="auto"/>
            <w:right w:val="none" w:sz="0" w:space="0" w:color="auto"/>
          </w:divBdr>
        </w:div>
        <w:div w:id="1428310574">
          <w:marLeft w:val="640"/>
          <w:marRight w:val="0"/>
          <w:marTop w:val="0"/>
          <w:marBottom w:val="0"/>
          <w:divBdr>
            <w:top w:val="none" w:sz="0" w:space="0" w:color="auto"/>
            <w:left w:val="none" w:sz="0" w:space="0" w:color="auto"/>
            <w:bottom w:val="none" w:sz="0" w:space="0" w:color="auto"/>
            <w:right w:val="none" w:sz="0" w:space="0" w:color="auto"/>
          </w:divBdr>
        </w:div>
        <w:div w:id="1506477260">
          <w:marLeft w:val="640"/>
          <w:marRight w:val="0"/>
          <w:marTop w:val="0"/>
          <w:marBottom w:val="0"/>
          <w:divBdr>
            <w:top w:val="none" w:sz="0" w:space="0" w:color="auto"/>
            <w:left w:val="none" w:sz="0" w:space="0" w:color="auto"/>
            <w:bottom w:val="none" w:sz="0" w:space="0" w:color="auto"/>
            <w:right w:val="none" w:sz="0" w:space="0" w:color="auto"/>
          </w:divBdr>
        </w:div>
        <w:div w:id="426773861">
          <w:marLeft w:val="640"/>
          <w:marRight w:val="0"/>
          <w:marTop w:val="0"/>
          <w:marBottom w:val="0"/>
          <w:divBdr>
            <w:top w:val="none" w:sz="0" w:space="0" w:color="auto"/>
            <w:left w:val="none" w:sz="0" w:space="0" w:color="auto"/>
            <w:bottom w:val="none" w:sz="0" w:space="0" w:color="auto"/>
            <w:right w:val="none" w:sz="0" w:space="0" w:color="auto"/>
          </w:divBdr>
        </w:div>
        <w:div w:id="1815949518">
          <w:marLeft w:val="640"/>
          <w:marRight w:val="0"/>
          <w:marTop w:val="0"/>
          <w:marBottom w:val="0"/>
          <w:divBdr>
            <w:top w:val="none" w:sz="0" w:space="0" w:color="auto"/>
            <w:left w:val="none" w:sz="0" w:space="0" w:color="auto"/>
            <w:bottom w:val="none" w:sz="0" w:space="0" w:color="auto"/>
            <w:right w:val="none" w:sz="0" w:space="0" w:color="auto"/>
          </w:divBdr>
        </w:div>
        <w:div w:id="1714037828">
          <w:marLeft w:val="640"/>
          <w:marRight w:val="0"/>
          <w:marTop w:val="0"/>
          <w:marBottom w:val="0"/>
          <w:divBdr>
            <w:top w:val="none" w:sz="0" w:space="0" w:color="auto"/>
            <w:left w:val="none" w:sz="0" w:space="0" w:color="auto"/>
            <w:bottom w:val="none" w:sz="0" w:space="0" w:color="auto"/>
            <w:right w:val="none" w:sz="0" w:space="0" w:color="auto"/>
          </w:divBdr>
        </w:div>
        <w:div w:id="1174496069">
          <w:marLeft w:val="640"/>
          <w:marRight w:val="0"/>
          <w:marTop w:val="0"/>
          <w:marBottom w:val="0"/>
          <w:divBdr>
            <w:top w:val="none" w:sz="0" w:space="0" w:color="auto"/>
            <w:left w:val="none" w:sz="0" w:space="0" w:color="auto"/>
            <w:bottom w:val="none" w:sz="0" w:space="0" w:color="auto"/>
            <w:right w:val="none" w:sz="0" w:space="0" w:color="auto"/>
          </w:divBdr>
        </w:div>
        <w:div w:id="1629041745">
          <w:marLeft w:val="640"/>
          <w:marRight w:val="0"/>
          <w:marTop w:val="0"/>
          <w:marBottom w:val="0"/>
          <w:divBdr>
            <w:top w:val="none" w:sz="0" w:space="0" w:color="auto"/>
            <w:left w:val="none" w:sz="0" w:space="0" w:color="auto"/>
            <w:bottom w:val="none" w:sz="0" w:space="0" w:color="auto"/>
            <w:right w:val="none" w:sz="0" w:space="0" w:color="auto"/>
          </w:divBdr>
        </w:div>
        <w:div w:id="751043639">
          <w:marLeft w:val="640"/>
          <w:marRight w:val="0"/>
          <w:marTop w:val="0"/>
          <w:marBottom w:val="0"/>
          <w:divBdr>
            <w:top w:val="none" w:sz="0" w:space="0" w:color="auto"/>
            <w:left w:val="none" w:sz="0" w:space="0" w:color="auto"/>
            <w:bottom w:val="none" w:sz="0" w:space="0" w:color="auto"/>
            <w:right w:val="none" w:sz="0" w:space="0" w:color="auto"/>
          </w:divBdr>
        </w:div>
        <w:div w:id="1268580730">
          <w:marLeft w:val="640"/>
          <w:marRight w:val="0"/>
          <w:marTop w:val="0"/>
          <w:marBottom w:val="0"/>
          <w:divBdr>
            <w:top w:val="none" w:sz="0" w:space="0" w:color="auto"/>
            <w:left w:val="none" w:sz="0" w:space="0" w:color="auto"/>
            <w:bottom w:val="none" w:sz="0" w:space="0" w:color="auto"/>
            <w:right w:val="none" w:sz="0" w:space="0" w:color="auto"/>
          </w:divBdr>
        </w:div>
        <w:div w:id="881672088">
          <w:marLeft w:val="640"/>
          <w:marRight w:val="0"/>
          <w:marTop w:val="0"/>
          <w:marBottom w:val="0"/>
          <w:divBdr>
            <w:top w:val="none" w:sz="0" w:space="0" w:color="auto"/>
            <w:left w:val="none" w:sz="0" w:space="0" w:color="auto"/>
            <w:bottom w:val="none" w:sz="0" w:space="0" w:color="auto"/>
            <w:right w:val="none" w:sz="0" w:space="0" w:color="auto"/>
          </w:divBdr>
        </w:div>
        <w:div w:id="1043409796">
          <w:marLeft w:val="640"/>
          <w:marRight w:val="0"/>
          <w:marTop w:val="0"/>
          <w:marBottom w:val="0"/>
          <w:divBdr>
            <w:top w:val="none" w:sz="0" w:space="0" w:color="auto"/>
            <w:left w:val="none" w:sz="0" w:space="0" w:color="auto"/>
            <w:bottom w:val="none" w:sz="0" w:space="0" w:color="auto"/>
            <w:right w:val="none" w:sz="0" w:space="0" w:color="auto"/>
          </w:divBdr>
        </w:div>
        <w:div w:id="1955556755">
          <w:marLeft w:val="640"/>
          <w:marRight w:val="0"/>
          <w:marTop w:val="0"/>
          <w:marBottom w:val="0"/>
          <w:divBdr>
            <w:top w:val="none" w:sz="0" w:space="0" w:color="auto"/>
            <w:left w:val="none" w:sz="0" w:space="0" w:color="auto"/>
            <w:bottom w:val="none" w:sz="0" w:space="0" w:color="auto"/>
            <w:right w:val="none" w:sz="0" w:space="0" w:color="auto"/>
          </w:divBdr>
        </w:div>
        <w:div w:id="1212035921">
          <w:marLeft w:val="640"/>
          <w:marRight w:val="0"/>
          <w:marTop w:val="0"/>
          <w:marBottom w:val="0"/>
          <w:divBdr>
            <w:top w:val="none" w:sz="0" w:space="0" w:color="auto"/>
            <w:left w:val="none" w:sz="0" w:space="0" w:color="auto"/>
            <w:bottom w:val="none" w:sz="0" w:space="0" w:color="auto"/>
            <w:right w:val="none" w:sz="0" w:space="0" w:color="auto"/>
          </w:divBdr>
        </w:div>
        <w:div w:id="847985662">
          <w:marLeft w:val="640"/>
          <w:marRight w:val="0"/>
          <w:marTop w:val="0"/>
          <w:marBottom w:val="0"/>
          <w:divBdr>
            <w:top w:val="none" w:sz="0" w:space="0" w:color="auto"/>
            <w:left w:val="none" w:sz="0" w:space="0" w:color="auto"/>
            <w:bottom w:val="none" w:sz="0" w:space="0" w:color="auto"/>
            <w:right w:val="none" w:sz="0" w:space="0" w:color="auto"/>
          </w:divBdr>
        </w:div>
        <w:div w:id="176190737">
          <w:marLeft w:val="640"/>
          <w:marRight w:val="0"/>
          <w:marTop w:val="0"/>
          <w:marBottom w:val="0"/>
          <w:divBdr>
            <w:top w:val="none" w:sz="0" w:space="0" w:color="auto"/>
            <w:left w:val="none" w:sz="0" w:space="0" w:color="auto"/>
            <w:bottom w:val="none" w:sz="0" w:space="0" w:color="auto"/>
            <w:right w:val="none" w:sz="0" w:space="0" w:color="auto"/>
          </w:divBdr>
        </w:div>
        <w:div w:id="1039621936">
          <w:marLeft w:val="640"/>
          <w:marRight w:val="0"/>
          <w:marTop w:val="0"/>
          <w:marBottom w:val="0"/>
          <w:divBdr>
            <w:top w:val="none" w:sz="0" w:space="0" w:color="auto"/>
            <w:left w:val="none" w:sz="0" w:space="0" w:color="auto"/>
            <w:bottom w:val="none" w:sz="0" w:space="0" w:color="auto"/>
            <w:right w:val="none" w:sz="0" w:space="0" w:color="auto"/>
          </w:divBdr>
        </w:div>
        <w:div w:id="1669096070">
          <w:marLeft w:val="640"/>
          <w:marRight w:val="0"/>
          <w:marTop w:val="0"/>
          <w:marBottom w:val="0"/>
          <w:divBdr>
            <w:top w:val="none" w:sz="0" w:space="0" w:color="auto"/>
            <w:left w:val="none" w:sz="0" w:space="0" w:color="auto"/>
            <w:bottom w:val="none" w:sz="0" w:space="0" w:color="auto"/>
            <w:right w:val="none" w:sz="0" w:space="0" w:color="auto"/>
          </w:divBdr>
        </w:div>
        <w:div w:id="1361935985">
          <w:marLeft w:val="640"/>
          <w:marRight w:val="0"/>
          <w:marTop w:val="0"/>
          <w:marBottom w:val="0"/>
          <w:divBdr>
            <w:top w:val="none" w:sz="0" w:space="0" w:color="auto"/>
            <w:left w:val="none" w:sz="0" w:space="0" w:color="auto"/>
            <w:bottom w:val="none" w:sz="0" w:space="0" w:color="auto"/>
            <w:right w:val="none" w:sz="0" w:space="0" w:color="auto"/>
          </w:divBdr>
        </w:div>
        <w:div w:id="1806772058">
          <w:marLeft w:val="640"/>
          <w:marRight w:val="0"/>
          <w:marTop w:val="0"/>
          <w:marBottom w:val="0"/>
          <w:divBdr>
            <w:top w:val="none" w:sz="0" w:space="0" w:color="auto"/>
            <w:left w:val="none" w:sz="0" w:space="0" w:color="auto"/>
            <w:bottom w:val="none" w:sz="0" w:space="0" w:color="auto"/>
            <w:right w:val="none" w:sz="0" w:space="0" w:color="auto"/>
          </w:divBdr>
        </w:div>
        <w:div w:id="1299259798">
          <w:marLeft w:val="640"/>
          <w:marRight w:val="0"/>
          <w:marTop w:val="0"/>
          <w:marBottom w:val="0"/>
          <w:divBdr>
            <w:top w:val="none" w:sz="0" w:space="0" w:color="auto"/>
            <w:left w:val="none" w:sz="0" w:space="0" w:color="auto"/>
            <w:bottom w:val="none" w:sz="0" w:space="0" w:color="auto"/>
            <w:right w:val="none" w:sz="0" w:space="0" w:color="auto"/>
          </w:divBdr>
        </w:div>
        <w:div w:id="289291745">
          <w:marLeft w:val="640"/>
          <w:marRight w:val="0"/>
          <w:marTop w:val="0"/>
          <w:marBottom w:val="0"/>
          <w:divBdr>
            <w:top w:val="none" w:sz="0" w:space="0" w:color="auto"/>
            <w:left w:val="none" w:sz="0" w:space="0" w:color="auto"/>
            <w:bottom w:val="none" w:sz="0" w:space="0" w:color="auto"/>
            <w:right w:val="none" w:sz="0" w:space="0" w:color="auto"/>
          </w:divBdr>
        </w:div>
        <w:div w:id="1865054575">
          <w:marLeft w:val="640"/>
          <w:marRight w:val="0"/>
          <w:marTop w:val="0"/>
          <w:marBottom w:val="0"/>
          <w:divBdr>
            <w:top w:val="none" w:sz="0" w:space="0" w:color="auto"/>
            <w:left w:val="none" w:sz="0" w:space="0" w:color="auto"/>
            <w:bottom w:val="none" w:sz="0" w:space="0" w:color="auto"/>
            <w:right w:val="none" w:sz="0" w:space="0" w:color="auto"/>
          </w:divBdr>
        </w:div>
        <w:div w:id="938220558">
          <w:marLeft w:val="640"/>
          <w:marRight w:val="0"/>
          <w:marTop w:val="0"/>
          <w:marBottom w:val="0"/>
          <w:divBdr>
            <w:top w:val="none" w:sz="0" w:space="0" w:color="auto"/>
            <w:left w:val="none" w:sz="0" w:space="0" w:color="auto"/>
            <w:bottom w:val="none" w:sz="0" w:space="0" w:color="auto"/>
            <w:right w:val="none" w:sz="0" w:space="0" w:color="auto"/>
          </w:divBdr>
        </w:div>
        <w:div w:id="1219054466">
          <w:marLeft w:val="640"/>
          <w:marRight w:val="0"/>
          <w:marTop w:val="0"/>
          <w:marBottom w:val="0"/>
          <w:divBdr>
            <w:top w:val="none" w:sz="0" w:space="0" w:color="auto"/>
            <w:left w:val="none" w:sz="0" w:space="0" w:color="auto"/>
            <w:bottom w:val="none" w:sz="0" w:space="0" w:color="auto"/>
            <w:right w:val="none" w:sz="0" w:space="0" w:color="auto"/>
          </w:divBdr>
        </w:div>
        <w:div w:id="1483695938">
          <w:marLeft w:val="640"/>
          <w:marRight w:val="0"/>
          <w:marTop w:val="0"/>
          <w:marBottom w:val="0"/>
          <w:divBdr>
            <w:top w:val="none" w:sz="0" w:space="0" w:color="auto"/>
            <w:left w:val="none" w:sz="0" w:space="0" w:color="auto"/>
            <w:bottom w:val="none" w:sz="0" w:space="0" w:color="auto"/>
            <w:right w:val="none" w:sz="0" w:space="0" w:color="auto"/>
          </w:divBdr>
        </w:div>
        <w:div w:id="1868516750">
          <w:marLeft w:val="640"/>
          <w:marRight w:val="0"/>
          <w:marTop w:val="0"/>
          <w:marBottom w:val="0"/>
          <w:divBdr>
            <w:top w:val="none" w:sz="0" w:space="0" w:color="auto"/>
            <w:left w:val="none" w:sz="0" w:space="0" w:color="auto"/>
            <w:bottom w:val="none" w:sz="0" w:space="0" w:color="auto"/>
            <w:right w:val="none" w:sz="0" w:space="0" w:color="auto"/>
          </w:divBdr>
        </w:div>
        <w:div w:id="1538621253">
          <w:marLeft w:val="640"/>
          <w:marRight w:val="0"/>
          <w:marTop w:val="0"/>
          <w:marBottom w:val="0"/>
          <w:divBdr>
            <w:top w:val="none" w:sz="0" w:space="0" w:color="auto"/>
            <w:left w:val="none" w:sz="0" w:space="0" w:color="auto"/>
            <w:bottom w:val="none" w:sz="0" w:space="0" w:color="auto"/>
            <w:right w:val="none" w:sz="0" w:space="0" w:color="auto"/>
          </w:divBdr>
        </w:div>
        <w:div w:id="926691535">
          <w:marLeft w:val="640"/>
          <w:marRight w:val="0"/>
          <w:marTop w:val="0"/>
          <w:marBottom w:val="0"/>
          <w:divBdr>
            <w:top w:val="none" w:sz="0" w:space="0" w:color="auto"/>
            <w:left w:val="none" w:sz="0" w:space="0" w:color="auto"/>
            <w:bottom w:val="none" w:sz="0" w:space="0" w:color="auto"/>
            <w:right w:val="none" w:sz="0" w:space="0" w:color="auto"/>
          </w:divBdr>
        </w:div>
        <w:div w:id="251469913">
          <w:marLeft w:val="640"/>
          <w:marRight w:val="0"/>
          <w:marTop w:val="0"/>
          <w:marBottom w:val="0"/>
          <w:divBdr>
            <w:top w:val="none" w:sz="0" w:space="0" w:color="auto"/>
            <w:left w:val="none" w:sz="0" w:space="0" w:color="auto"/>
            <w:bottom w:val="none" w:sz="0" w:space="0" w:color="auto"/>
            <w:right w:val="none" w:sz="0" w:space="0" w:color="auto"/>
          </w:divBdr>
        </w:div>
        <w:div w:id="2112192290">
          <w:marLeft w:val="640"/>
          <w:marRight w:val="0"/>
          <w:marTop w:val="0"/>
          <w:marBottom w:val="0"/>
          <w:divBdr>
            <w:top w:val="none" w:sz="0" w:space="0" w:color="auto"/>
            <w:left w:val="none" w:sz="0" w:space="0" w:color="auto"/>
            <w:bottom w:val="none" w:sz="0" w:space="0" w:color="auto"/>
            <w:right w:val="none" w:sz="0" w:space="0" w:color="auto"/>
          </w:divBdr>
        </w:div>
        <w:div w:id="1509907336">
          <w:marLeft w:val="640"/>
          <w:marRight w:val="0"/>
          <w:marTop w:val="0"/>
          <w:marBottom w:val="0"/>
          <w:divBdr>
            <w:top w:val="none" w:sz="0" w:space="0" w:color="auto"/>
            <w:left w:val="none" w:sz="0" w:space="0" w:color="auto"/>
            <w:bottom w:val="none" w:sz="0" w:space="0" w:color="auto"/>
            <w:right w:val="none" w:sz="0" w:space="0" w:color="auto"/>
          </w:divBdr>
        </w:div>
        <w:div w:id="398133080">
          <w:marLeft w:val="640"/>
          <w:marRight w:val="0"/>
          <w:marTop w:val="0"/>
          <w:marBottom w:val="0"/>
          <w:divBdr>
            <w:top w:val="none" w:sz="0" w:space="0" w:color="auto"/>
            <w:left w:val="none" w:sz="0" w:space="0" w:color="auto"/>
            <w:bottom w:val="none" w:sz="0" w:space="0" w:color="auto"/>
            <w:right w:val="none" w:sz="0" w:space="0" w:color="auto"/>
          </w:divBdr>
        </w:div>
        <w:div w:id="895822420">
          <w:marLeft w:val="640"/>
          <w:marRight w:val="0"/>
          <w:marTop w:val="0"/>
          <w:marBottom w:val="0"/>
          <w:divBdr>
            <w:top w:val="none" w:sz="0" w:space="0" w:color="auto"/>
            <w:left w:val="none" w:sz="0" w:space="0" w:color="auto"/>
            <w:bottom w:val="none" w:sz="0" w:space="0" w:color="auto"/>
            <w:right w:val="none" w:sz="0" w:space="0" w:color="auto"/>
          </w:divBdr>
        </w:div>
        <w:div w:id="1964388478">
          <w:marLeft w:val="640"/>
          <w:marRight w:val="0"/>
          <w:marTop w:val="0"/>
          <w:marBottom w:val="0"/>
          <w:divBdr>
            <w:top w:val="none" w:sz="0" w:space="0" w:color="auto"/>
            <w:left w:val="none" w:sz="0" w:space="0" w:color="auto"/>
            <w:bottom w:val="none" w:sz="0" w:space="0" w:color="auto"/>
            <w:right w:val="none" w:sz="0" w:space="0" w:color="auto"/>
          </w:divBdr>
        </w:div>
        <w:div w:id="1546523922">
          <w:marLeft w:val="640"/>
          <w:marRight w:val="0"/>
          <w:marTop w:val="0"/>
          <w:marBottom w:val="0"/>
          <w:divBdr>
            <w:top w:val="none" w:sz="0" w:space="0" w:color="auto"/>
            <w:left w:val="none" w:sz="0" w:space="0" w:color="auto"/>
            <w:bottom w:val="none" w:sz="0" w:space="0" w:color="auto"/>
            <w:right w:val="none" w:sz="0" w:space="0" w:color="auto"/>
          </w:divBdr>
        </w:div>
        <w:div w:id="1514565860">
          <w:marLeft w:val="640"/>
          <w:marRight w:val="0"/>
          <w:marTop w:val="0"/>
          <w:marBottom w:val="0"/>
          <w:divBdr>
            <w:top w:val="none" w:sz="0" w:space="0" w:color="auto"/>
            <w:left w:val="none" w:sz="0" w:space="0" w:color="auto"/>
            <w:bottom w:val="none" w:sz="0" w:space="0" w:color="auto"/>
            <w:right w:val="none" w:sz="0" w:space="0" w:color="auto"/>
          </w:divBdr>
        </w:div>
        <w:div w:id="336268166">
          <w:marLeft w:val="640"/>
          <w:marRight w:val="0"/>
          <w:marTop w:val="0"/>
          <w:marBottom w:val="0"/>
          <w:divBdr>
            <w:top w:val="none" w:sz="0" w:space="0" w:color="auto"/>
            <w:left w:val="none" w:sz="0" w:space="0" w:color="auto"/>
            <w:bottom w:val="none" w:sz="0" w:space="0" w:color="auto"/>
            <w:right w:val="none" w:sz="0" w:space="0" w:color="auto"/>
          </w:divBdr>
        </w:div>
        <w:div w:id="742727414">
          <w:marLeft w:val="640"/>
          <w:marRight w:val="0"/>
          <w:marTop w:val="0"/>
          <w:marBottom w:val="0"/>
          <w:divBdr>
            <w:top w:val="none" w:sz="0" w:space="0" w:color="auto"/>
            <w:left w:val="none" w:sz="0" w:space="0" w:color="auto"/>
            <w:bottom w:val="none" w:sz="0" w:space="0" w:color="auto"/>
            <w:right w:val="none" w:sz="0" w:space="0" w:color="auto"/>
          </w:divBdr>
        </w:div>
        <w:div w:id="1369991306">
          <w:marLeft w:val="640"/>
          <w:marRight w:val="0"/>
          <w:marTop w:val="0"/>
          <w:marBottom w:val="0"/>
          <w:divBdr>
            <w:top w:val="none" w:sz="0" w:space="0" w:color="auto"/>
            <w:left w:val="none" w:sz="0" w:space="0" w:color="auto"/>
            <w:bottom w:val="none" w:sz="0" w:space="0" w:color="auto"/>
            <w:right w:val="none" w:sz="0" w:space="0" w:color="auto"/>
          </w:divBdr>
        </w:div>
        <w:div w:id="770585336">
          <w:marLeft w:val="640"/>
          <w:marRight w:val="0"/>
          <w:marTop w:val="0"/>
          <w:marBottom w:val="0"/>
          <w:divBdr>
            <w:top w:val="none" w:sz="0" w:space="0" w:color="auto"/>
            <w:left w:val="none" w:sz="0" w:space="0" w:color="auto"/>
            <w:bottom w:val="none" w:sz="0" w:space="0" w:color="auto"/>
            <w:right w:val="none" w:sz="0" w:space="0" w:color="auto"/>
          </w:divBdr>
        </w:div>
        <w:div w:id="1522278263">
          <w:marLeft w:val="640"/>
          <w:marRight w:val="0"/>
          <w:marTop w:val="0"/>
          <w:marBottom w:val="0"/>
          <w:divBdr>
            <w:top w:val="none" w:sz="0" w:space="0" w:color="auto"/>
            <w:left w:val="none" w:sz="0" w:space="0" w:color="auto"/>
            <w:bottom w:val="none" w:sz="0" w:space="0" w:color="auto"/>
            <w:right w:val="none" w:sz="0" w:space="0" w:color="auto"/>
          </w:divBdr>
        </w:div>
        <w:div w:id="441073598">
          <w:marLeft w:val="640"/>
          <w:marRight w:val="0"/>
          <w:marTop w:val="0"/>
          <w:marBottom w:val="0"/>
          <w:divBdr>
            <w:top w:val="none" w:sz="0" w:space="0" w:color="auto"/>
            <w:left w:val="none" w:sz="0" w:space="0" w:color="auto"/>
            <w:bottom w:val="none" w:sz="0" w:space="0" w:color="auto"/>
            <w:right w:val="none" w:sz="0" w:space="0" w:color="auto"/>
          </w:divBdr>
        </w:div>
        <w:div w:id="2097313425">
          <w:marLeft w:val="640"/>
          <w:marRight w:val="0"/>
          <w:marTop w:val="0"/>
          <w:marBottom w:val="0"/>
          <w:divBdr>
            <w:top w:val="none" w:sz="0" w:space="0" w:color="auto"/>
            <w:left w:val="none" w:sz="0" w:space="0" w:color="auto"/>
            <w:bottom w:val="none" w:sz="0" w:space="0" w:color="auto"/>
            <w:right w:val="none" w:sz="0" w:space="0" w:color="auto"/>
          </w:divBdr>
        </w:div>
        <w:div w:id="1350983165">
          <w:marLeft w:val="640"/>
          <w:marRight w:val="0"/>
          <w:marTop w:val="0"/>
          <w:marBottom w:val="0"/>
          <w:divBdr>
            <w:top w:val="none" w:sz="0" w:space="0" w:color="auto"/>
            <w:left w:val="none" w:sz="0" w:space="0" w:color="auto"/>
            <w:bottom w:val="none" w:sz="0" w:space="0" w:color="auto"/>
            <w:right w:val="none" w:sz="0" w:space="0" w:color="auto"/>
          </w:divBdr>
        </w:div>
        <w:div w:id="1606765068">
          <w:marLeft w:val="640"/>
          <w:marRight w:val="0"/>
          <w:marTop w:val="0"/>
          <w:marBottom w:val="0"/>
          <w:divBdr>
            <w:top w:val="none" w:sz="0" w:space="0" w:color="auto"/>
            <w:left w:val="none" w:sz="0" w:space="0" w:color="auto"/>
            <w:bottom w:val="none" w:sz="0" w:space="0" w:color="auto"/>
            <w:right w:val="none" w:sz="0" w:space="0" w:color="auto"/>
          </w:divBdr>
        </w:div>
        <w:div w:id="1518733345">
          <w:marLeft w:val="640"/>
          <w:marRight w:val="0"/>
          <w:marTop w:val="0"/>
          <w:marBottom w:val="0"/>
          <w:divBdr>
            <w:top w:val="none" w:sz="0" w:space="0" w:color="auto"/>
            <w:left w:val="none" w:sz="0" w:space="0" w:color="auto"/>
            <w:bottom w:val="none" w:sz="0" w:space="0" w:color="auto"/>
            <w:right w:val="none" w:sz="0" w:space="0" w:color="auto"/>
          </w:divBdr>
        </w:div>
        <w:div w:id="1593394228">
          <w:marLeft w:val="640"/>
          <w:marRight w:val="0"/>
          <w:marTop w:val="0"/>
          <w:marBottom w:val="0"/>
          <w:divBdr>
            <w:top w:val="none" w:sz="0" w:space="0" w:color="auto"/>
            <w:left w:val="none" w:sz="0" w:space="0" w:color="auto"/>
            <w:bottom w:val="none" w:sz="0" w:space="0" w:color="auto"/>
            <w:right w:val="none" w:sz="0" w:space="0" w:color="auto"/>
          </w:divBdr>
        </w:div>
        <w:div w:id="663362520">
          <w:marLeft w:val="640"/>
          <w:marRight w:val="0"/>
          <w:marTop w:val="0"/>
          <w:marBottom w:val="0"/>
          <w:divBdr>
            <w:top w:val="none" w:sz="0" w:space="0" w:color="auto"/>
            <w:left w:val="none" w:sz="0" w:space="0" w:color="auto"/>
            <w:bottom w:val="none" w:sz="0" w:space="0" w:color="auto"/>
            <w:right w:val="none" w:sz="0" w:space="0" w:color="auto"/>
          </w:divBdr>
        </w:div>
        <w:div w:id="742946901">
          <w:marLeft w:val="640"/>
          <w:marRight w:val="0"/>
          <w:marTop w:val="0"/>
          <w:marBottom w:val="0"/>
          <w:divBdr>
            <w:top w:val="none" w:sz="0" w:space="0" w:color="auto"/>
            <w:left w:val="none" w:sz="0" w:space="0" w:color="auto"/>
            <w:bottom w:val="none" w:sz="0" w:space="0" w:color="auto"/>
            <w:right w:val="none" w:sz="0" w:space="0" w:color="auto"/>
          </w:divBdr>
        </w:div>
        <w:div w:id="1985691607">
          <w:marLeft w:val="640"/>
          <w:marRight w:val="0"/>
          <w:marTop w:val="0"/>
          <w:marBottom w:val="0"/>
          <w:divBdr>
            <w:top w:val="none" w:sz="0" w:space="0" w:color="auto"/>
            <w:left w:val="none" w:sz="0" w:space="0" w:color="auto"/>
            <w:bottom w:val="none" w:sz="0" w:space="0" w:color="auto"/>
            <w:right w:val="none" w:sz="0" w:space="0" w:color="auto"/>
          </w:divBdr>
        </w:div>
        <w:div w:id="824012061">
          <w:marLeft w:val="640"/>
          <w:marRight w:val="0"/>
          <w:marTop w:val="0"/>
          <w:marBottom w:val="0"/>
          <w:divBdr>
            <w:top w:val="none" w:sz="0" w:space="0" w:color="auto"/>
            <w:left w:val="none" w:sz="0" w:space="0" w:color="auto"/>
            <w:bottom w:val="none" w:sz="0" w:space="0" w:color="auto"/>
            <w:right w:val="none" w:sz="0" w:space="0" w:color="auto"/>
          </w:divBdr>
        </w:div>
        <w:div w:id="448934381">
          <w:marLeft w:val="640"/>
          <w:marRight w:val="0"/>
          <w:marTop w:val="0"/>
          <w:marBottom w:val="0"/>
          <w:divBdr>
            <w:top w:val="none" w:sz="0" w:space="0" w:color="auto"/>
            <w:left w:val="none" w:sz="0" w:space="0" w:color="auto"/>
            <w:bottom w:val="none" w:sz="0" w:space="0" w:color="auto"/>
            <w:right w:val="none" w:sz="0" w:space="0" w:color="auto"/>
          </w:divBdr>
        </w:div>
        <w:div w:id="1894391212">
          <w:marLeft w:val="640"/>
          <w:marRight w:val="0"/>
          <w:marTop w:val="0"/>
          <w:marBottom w:val="0"/>
          <w:divBdr>
            <w:top w:val="none" w:sz="0" w:space="0" w:color="auto"/>
            <w:left w:val="none" w:sz="0" w:space="0" w:color="auto"/>
            <w:bottom w:val="none" w:sz="0" w:space="0" w:color="auto"/>
            <w:right w:val="none" w:sz="0" w:space="0" w:color="auto"/>
          </w:divBdr>
        </w:div>
        <w:div w:id="1350789389">
          <w:marLeft w:val="640"/>
          <w:marRight w:val="0"/>
          <w:marTop w:val="0"/>
          <w:marBottom w:val="0"/>
          <w:divBdr>
            <w:top w:val="none" w:sz="0" w:space="0" w:color="auto"/>
            <w:left w:val="none" w:sz="0" w:space="0" w:color="auto"/>
            <w:bottom w:val="none" w:sz="0" w:space="0" w:color="auto"/>
            <w:right w:val="none" w:sz="0" w:space="0" w:color="auto"/>
          </w:divBdr>
        </w:div>
        <w:div w:id="797382628">
          <w:marLeft w:val="640"/>
          <w:marRight w:val="0"/>
          <w:marTop w:val="0"/>
          <w:marBottom w:val="0"/>
          <w:divBdr>
            <w:top w:val="none" w:sz="0" w:space="0" w:color="auto"/>
            <w:left w:val="none" w:sz="0" w:space="0" w:color="auto"/>
            <w:bottom w:val="none" w:sz="0" w:space="0" w:color="auto"/>
            <w:right w:val="none" w:sz="0" w:space="0" w:color="auto"/>
          </w:divBdr>
        </w:div>
        <w:div w:id="268197383">
          <w:marLeft w:val="640"/>
          <w:marRight w:val="0"/>
          <w:marTop w:val="0"/>
          <w:marBottom w:val="0"/>
          <w:divBdr>
            <w:top w:val="none" w:sz="0" w:space="0" w:color="auto"/>
            <w:left w:val="none" w:sz="0" w:space="0" w:color="auto"/>
            <w:bottom w:val="none" w:sz="0" w:space="0" w:color="auto"/>
            <w:right w:val="none" w:sz="0" w:space="0" w:color="auto"/>
          </w:divBdr>
        </w:div>
        <w:div w:id="1612853652">
          <w:marLeft w:val="640"/>
          <w:marRight w:val="0"/>
          <w:marTop w:val="0"/>
          <w:marBottom w:val="0"/>
          <w:divBdr>
            <w:top w:val="none" w:sz="0" w:space="0" w:color="auto"/>
            <w:left w:val="none" w:sz="0" w:space="0" w:color="auto"/>
            <w:bottom w:val="none" w:sz="0" w:space="0" w:color="auto"/>
            <w:right w:val="none" w:sz="0" w:space="0" w:color="auto"/>
          </w:divBdr>
        </w:div>
        <w:div w:id="321928884">
          <w:marLeft w:val="640"/>
          <w:marRight w:val="0"/>
          <w:marTop w:val="0"/>
          <w:marBottom w:val="0"/>
          <w:divBdr>
            <w:top w:val="none" w:sz="0" w:space="0" w:color="auto"/>
            <w:left w:val="none" w:sz="0" w:space="0" w:color="auto"/>
            <w:bottom w:val="none" w:sz="0" w:space="0" w:color="auto"/>
            <w:right w:val="none" w:sz="0" w:space="0" w:color="auto"/>
          </w:divBdr>
        </w:div>
        <w:div w:id="252589864">
          <w:marLeft w:val="640"/>
          <w:marRight w:val="0"/>
          <w:marTop w:val="0"/>
          <w:marBottom w:val="0"/>
          <w:divBdr>
            <w:top w:val="none" w:sz="0" w:space="0" w:color="auto"/>
            <w:left w:val="none" w:sz="0" w:space="0" w:color="auto"/>
            <w:bottom w:val="none" w:sz="0" w:space="0" w:color="auto"/>
            <w:right w:val="none" w:sz="0" w:space="0" w:color="auto"/>
          </w:divBdr>
        </w:div>
        <w:div w:id="292833719">
          <w:marLeft w:val="640"/>
          <w:marRight w:val="0"/>
          <w:marTop w:val="0"/>
          <w:marBottom w:val="0"/>
          <w:divBdr>
            <w:top w:val="none" w:sz="0" w:space="0" w:color="auto"/>
            <w:left w:val="none" w:sz="0" w:space="0" w:color="auto"/>
            <w:bottom w:val="none" w:sz="0" w:space="0" w:color="auto"/>
            <w:right w:val="none" w:sz="0" w:space="0" w:color="auto"/>
          </w:divBdr>
        </w:div>
        <w:div w:id="349796912">
          <w:marLeft w:val="640"/>
          <w:marRight w:val="0"/>
          <w:marTop w:val="0"/>
          <w:marBottom w:val="0"/>
          <w:divBdr>
            <w:top w:val="none" w:sz="0" w:space="0" w:color="auto"/>
            <w:left w:val="none" w:sz="0" w:space="0" w:color="auto"/>
            <w:bottom w:val="none" w:sz="0" w:space="0" w:color="auto"/>
            <w:right w:val="none" w:sz="0" w:space="0" w:color="auto"/>
          </w:divBdr>
        </w:div>
        <w:div w:id="650060452">
          <w:marLeft w:val="640"/>
          <w:marRight w:val="0"/>
          <w:marTop w:val="0"/>
          <w:marBottom w:val="0"/>
          <w:divBdr>
            <w:top w:val="none" w:sz="0" w:space="0" w:color="auto"/>
            <w:left w:val="none" w:sz="0" w:space="0" w:color="auto"/>
            <w:bottom w:val="none" w:sz="0" w:space="0" w:color="auto"/>
            <w:right w:val="none" w:sz="0" w:space="0" w:color="auto"/>
          </w:divBdr>
        </w:div>
        <w:div w:id="2086341344">
          <w:marLeft w:val="640"/>
          <w:marRight w:val="0"/>
          <w:marTop w:val="0"/>
          <w:marBottom w:val="0"/>
          <w:divBdr>
            <w:top w:val="none" w:sz="0" w:space="0" w:color="auto"/>
            <w:left w:val="none" w:sz="0" w:space="0" w:color="auto"/>
            <w:bottom w:val="none" w:sz="0" w:space="0" w:color="auto"/>
            <w:right w:val="none" w:sz="0" w:space="0" w:color="auto"/>
          </w:divBdr>
        </w:div>
        <w:div w:id="1252200915">
          <w:marLeft w:val="640"/>
          <w:marRight w:val="0"/>
          <w:marTop w:val="0"/>
          <w:marBottom w:val="0"/>
          <w:divBdr>
            <w:top w:val="none" w:sz="0" w:space="0" w:color="auto"/>
            <w:left w:val="none" w:sz="0" w:space="0" w:color="auto"/>
            <w:bottom w:val="none" w:sz="0" w:space="0" w:color="auto"/>
            <w:right w:val="none" w:sz="0" w:space="0" w:color="auto"/>
          </w:divBdr>
        </w:div>
        <w:div w:id="1593392848">
          <w:marLeft w:val="640"/>
          <w:marRight w:val="0"/>
          <w:marTop w:val="0"/>
          <w:marBottom w:val="0"/>
          <w:divBdr>
            <w:top w:val="none" w:sz="0" w:space="0" w:color="auto"/>
            <w:left w:val="none" w:sz="0" w:space="0" w:color="auto"/>
            <w:bottom w:val="none" w:sz="0" w:space="0" w:color="auto"/>
            <w:right w:val="none" w:sz="0" w:space="0" w:color="auto"/>
          </w:divBdr>
        </w:div>
        <w:div w:id="1169056752">
          <w:marLeft w:val="640"/>
          <w:marRight w:val="0"/>
          <w:marTop w:val="0"/>
          <w:marBottom w:val="0"/>
          <w:divBdr>
            <w:top w:val="none" w:sz="0" w:space="0" w:color="auto"/>
            <w:left w:val="none" w:sz="0" w:space="0" w:color="auto"/>
            <w:bottom w:val="none" w:sz="0" w:space="0" w:color="auto"/>
            <w:right w:val="none" w:sz="0" w:space="0" w:color="auto"/>
          </w:divBdr>
        </w:div>
        <w:div w:id="61369660">
          <w:marLeft w:val="640"/>
          <w:marRight w:val="0"/>
          <w:marTop w:val="0"/>
          <w:marBottom w:val="0"/>
          <w:divBdr>
            <w:top w:val="none" w:sz="0" w:space="0" w:color="auto"/>
            <w:left w:val="none" w:sz="0" w:space="0" w:color="auto"/>
            <w:bottom w:val="none" w:sz="0" w:space="0" w:color="auto"/>
            <w:right w:val="none" w:sz="0" w:space="0" w:color="auto"/>
          </w:divBdr>
        </w:div>
        <w:div w:id="1108742165">
          <w:marLeft w:val="640"/>
          <w:marRight w:val="0"/>
          <w:marTop w:val="0"/>
          <w:marBottom w:val="0"/>
          <w:divBdr>
            <w:top w:val="none" w:sz="0" w:space="0" w:color="auto"/>
            <w:left w:val="none" w:sz="0" w:space="0" w:color="auto"/>
            <w:bottom w:val="none" w:sz="0" w:space="0" w:color="auto"/>
            <w:right w:val="none" w:sz="0" w:space="0" w:color="auto"/>
          </w:divBdr>
        </w:div>
        <w:div w:id="1966696071">
          <w:marLeft w:val="640"/>
          <w:marRight w:val="0"/>
          <w:marTop w:val="0"/>
          <w:marBottom w:val="0"/>
          <w:divBdr>
            <w:top w:val="none" w:sz="0" w:space="0" w:color="auto"/>
            <w:left w:val="none" w:sz="0" w:space="0" w:color="auto"/>
            <w:bottom w:val="none" w:sz="0" w:space="0" w:color="auto"/>
            <w:right w:val="none" w:sz="0" w:space="0" w:color="auto"/>
          </w:divBdr>
        </w:div>
        <w:div w:id="2091003044">
          <w:marLeft w:val="640"/>
          <w:marRight w:val="0"/>
          <w:marTop w:val="0"/>
          <w:marBottom w:val="0"/>
          <w:divBdr>
            <w:top w:val="none" w:sz="0" w:space="0" w:color="auto"/>
            <w:left w:val="none" w:sz="0" w:space="0" w:color="auto"/>
            <w:bottom w:val="none" w:sz="0" w:space="0" w:color="auto"/>
            <w:right w:val="none" w:sz="0" w:space="0" w:color="auto"/>
          </w:divBdr>
        </w:div>
        <w:div w:id="449855947">
          <w:marLeft w:val="640"/>
          <w:marRight w:val="0"/>
          <w:marTop w:val="0"/>
          <w:marBottom w:val="0"/>
          <w:divBdr>
            <w:top w:val="none" w:sz="0" w:space="0" w:color="auto"/>
            <w:left w:val="none" w:sz="0" w:space="0" w:color="auto"/>
            <w:bottom w:val="none" w:sz="0" w:space="0" w:color="auto"/>
            <w:right w:val="none" w:sz="0" w:space="0" w:color="auto"/>
          </w:divBdr>
        </w:div>
        <w:div w:id="442844590">
          <w:marLeft w:val="640"/>
          <w:marRight w:val="0"/>
          <w:marTop w:val="0"/>
          <w:marBottom w:val="0"/>
          <w:divBdr>
            <w:top w:val="none" w:sz="0" w:space="0" w:color="auto"/>
            <w:left w:val="none" w:sz="0" w:space="0" w:color="auto"/>
            <w:bottom w:val="none" w:sz="0" w:space="0" w:color="auto"/>
            <w:right w:val="none" w:sz="0" w:space="0" w:color="auto"/>
          </w:divBdr>
        </w:div>
        <w:div w:id="962616243">
          <w:marLeft w:val="640"/>
          <w:marRight w:val="0"/>
          <w:marTop w:val="0"/>
          <w:marBottom w:val="0"/>
          <w:divBdr>
            <w:top w:val="none" w:sz="0" w:space="0" w:color="auto"/>
            <w:left w:val="none" w:sz="0" w:space="0" w:color="auto"/>
            <w:bottom w:val="none" w:sz="0" w:space="0" w:color="auto"/>
            <w:right w:val="none" w:sz="0" w:space="0" w:color="auto"/>
          </w:divBdr>
        </w:div>
        <w:div w:id="178391847">
          <w:marLeft w:val="640"/>
          <w:marRight w:val="0"/>
          <w:marTop w:val="0"/>
          <w:marBottom w:val="0"/>
          <w:divBdr>
            <w:top w:val="none" w:sz="0" w:space="0" w:color="auto"/>
            <w:left w:val="none" w:sz="0" w:space="0" w:color="auto"/>
            <w:bottom w:val="none" w:sz="0" w:space="0" w:color="auto"/>
            <w:right w:val="none" w:sz="0" w:space="0" w:color="auto"/>
          </w:divBdr>
        </w:div>
        <w:div w:id="1486971201">
          <w:marLeft w:val="640"/>
          <w:marRight w:val="0"/>
          <w:marTop w:val="0"/>
          <w:marBottom w:val="0"/>
          <w:divBdr>
            <w:top w:val="none" w:sz="0" w:space="0" w:color="auto"/>
            <w:left w:val="none" w:sz="0" w:space="0" w:color="auto"/>
            <w:bottom w:val="none" w:sz="0" w:space="0" w:color="auto"/>
            <w:right w:val="none" w:sz="0" w:space="0" w:color="auto"/>
          </w:divBdr>
        </w:div>
        <w:div w:id="718286223">
          <w:marLeft w:val="640"/>
          <w:marRight w:val="0"/>
          <w:marTop w:val="0"/>
          <w:marBottom w:val="0"/>
          <w:divBdr>
            <w:top w:val="none" w:sz="0" w:space="0" w:color="auto"/>
            <w:left w:val="none" w:sz="0" w:space="0" w:color="auto"/>
            <w:bottom w:val="none" w:sz="0" w:space="0" w:color="auto"/>
            <w:right w:val="none" w:sz="0" w:space="0" w:color="auto"/>
          </w:divBdr>
        </w:div>
        <w:div w:id="1748380266">
          <w:marLeft w:val="640"/>
          <w:marRight w:val="0"/>
          <w:marTop w:val="0"/>
          <w:marBottom w:val="0"/>
          <w:divBdr>
            <w:top w:val="none" w:sz="0" w:space="0" w:color="auto"/>
            <w:left w:val="none" w:sz="0" w:space="0" w:color="auto"/>
            <w:bottom w:val="none" w:sz="0" w:space="0" w:color="auto"/>
            <w:right w:val="none" w:sz="0" w:space="0" w:color="auto"/>
          </w:divBdr>
        </w:div>
        <w:div w:id="829634619">
          <w:marLeft w:val="640"/>
          <w:marRight w:val="0"/>
          <w:marTop w:val="0"/>
          <w:marBottom w:val="0"/>
          <w:divBdr>
            <w:top w:val="none" w:sz="0" w:space="0" w:color="auto"/>
            <w:left w:val="none" w:sz="0" w:space="0" w:color="auto"/>
            <w:bottom w:val="none" w:sz="0" w:space="0" w:color="auto"/>
            <w:right w:val="none" w:sz="0" w:space="0" w:color="auto"/>
          </w:divBdr>
        </w:div>
        <w:div w:id="1404063751">
          <w:marLeft w:val="640"/>
          <w:marRight w:val="0"/>
          <w:marTop w:val="0"/>
          <w:marBottom w:val="0"/>
          <w:divBdr>
            <w:top w:val="none" w:sz="0" w:space="0" w:color="auto"/>
            <w:left w:val="none" w:sz="0" w:space="0" w:color="auto"/>
            <w:bottom w:val="none" w:sz="0" w:space="0" w:color="auto"/>
            <w:right w:val="none" w:sz="0" w:space="0" w:color="auto"/>
          </w:divBdr>
        </w:div>
        <w:div w:id="994836602">
          <w:marLeft w:val="640"/>
          <w:marRight w:val="0"/>
          <w:marTop w:val="0"/>
          <w:marBottom w:val="0"/>
          <w:divBdr>
            <w:top w:val="none" w:sz="0" w:space="0" w:color="auto"/>
            <w:left w:val="none" w:sz="0" w:space="0" w:color="auto"/>
            <w:bottom w:val="none" w:sz="0" w:space="0" w:color="auto"/>
            <w:right w:val="none" w:sz="0" w:space="0" w:color="auto"/>
          </w:divBdr>
        </w:div>
        <w:div w:id="1199125275">
          <w:marLeft w:val="640"/>
          <w:marRight w:val="0"/>
          <w:marTop w:val="0"/>
          <w:marBottom w:val="0"/>
          <w:divBdr>
            <w:top w:val="none" w:sz="0" w:space="0" w:color="auto"/>
            <w:left w:val="none" w:sz="0" w:space="0" w:color="auto"/>
            <w:bottom w:val="none" w:sz="0" w:space="0" w:color="auto"/>
            <w:right w:val="none" w:sz="0" w:space="0" w:color="auto"/>
          </w:divBdr>
        </w:div>
        <w:div w:id="918976310">
          <w:marLeft w:val="640"/>
          <w:marRight w:val="0"/>
          <w:marTop w:val="0"/>
          <w:marBottom w:val="0"/>
          <w:divBdr>
            <w:top w:val="none" w:sz="0" w:space="0" w:color="auto"/>
            <w:left w:val="none" w:sz="0" w:space="0" w:color="auto"/>
            <w:bottom w:val="none" w:sz="0" w:space="0" w:color="auto"/>
            <w:right w:val="none" w:sz="0" w:space="0" w:color="auto"/>
          </w:divBdr>
        </w:div>
        <w:div w:id="1966230588">
          <w:marLeft w:val="640"/>
          <w:marRight w:val="0"/>
          <w:marTop w:val="0"/>
          <w:marBottom w:val="0"/>
          <w:divBdr>
            <w:top w:val="none" w:sz="0" w:space="0" w:color="auto"/>
            <w:left w:val="none" w:sz="0" w:space="0" w:color="auto"/>
            <w:bottom w:val="none" w:sz="0" w:space="0" w:color="auto"/>
            <w:right w:val="none" w:sz="0" w:space="0" w:color="auto"/>
          </w:divBdr>
        </w:div>
        <w:div w:id="1043942211">
          <w:marLeft w:val="640"/>
          <w:marRight w:val="0"/>
          <w:marTop w:val="0"/>
          <w:marBottom w:val="0"/>
          <w:divBdr>
            <w:top w:val="none" w:sz="0" w:space="0" w:color="auto"/>
            <w:left w:val="none" w:sz="0" w:space="0" w:color="auto"/>
            <w:bottom w:val="none" w:sz="0" w:space="0" w:color="auto"/>
            <w:right w:val="none" w:sz="0" w:space="0" w:color="auto"/>
          </w:divBdr>
        </w:div>
        <w:div w:id="1881623486">
          <w:marLeft w:val="640"/>
          <w:marRight w:val="0"/>
          <w:marTop w:val="0"/>
          <w:marBottom w:val="0"/>
          <w:divBdr>
            <w:top w:val="none" w:sz="0" w:space="0" w:color="auto"/>
            <w:left w:val="none" w:sz="0" w:space="0" w:color="auto"/>
            <w:bottom w:val="none" w:sz="0" w:space="0" w:color="auto"/>
            <w:right w:val="none" w:sz="0" w:space="0" w:color="auto"/>
          </w:divBdr>
        </w:div>
        <w:div w:id="1437361379">
          <w:marLeft w:val="640"/>
          <w:marRight w:val="0"/>
          <w:marTop w:val="0"/>
          <w:marBottom w:val="0"/>
          <w:divBdr>
            <w:top w:val="none" w:sz="0" w:space="0" w:color="auto"/>
            <w:left w:val="none" w:sz="0" w:space="0" w:color="auto"/>
            <w:bottom w:val="none" w:sz="0" w:space="0" w:color="auto"/>
            <w:right w:val="none" w:sz="0" w:space="0" w:color="auto"/>
          </w:divBdr>
        </w:div>
        <w:div w:id="2118478834">
          <w:marLeft w:val="640"/>
          <w:marRight w:val="0"/>
          <w:marTop w:val="0"/>
          <w:marBottom w:val="0"/>
          <w:divBdr>
            <w:top w:val="none" w:sz="0" w:space="0" w:color="auto"/>
            <w:left w:val="none" w:sz="0" w:space="0" w:color="auto"/>
            <w:bottom w:val="none" w:sz="0" w:space="0" w:color="auto"/>
            <w:right w:val="none" w:sz="0" w:space="0" w:color="auto"/>
          </w:divBdr>
        </w:div>
        <w:div w:id="1275090861">
          <w:marLeft w:val="640"/>
          <w:marRight w:val="0"/>
          <w:marTop w:val="0"/>
          <w:marBottom w:val="0"/>
          <w:divBdr>
            <w:top w:val="none" w:sz="0" w:space="0" w:color="auto"/>
            <w:left w:val="none" w:sz="0" w:space="0" w:color="auto"/>
            <w:bottom w:val="none" w:sz="0" w:space="0" w:color="auto"/>
            <w:right w:val="none" w:sz="0" w:space="0" w:color="auto"/>
          </w:divBdr>
        </w:div>
        <w:div w:id="678238542">
          <w:marLeft w:val="640"/>
          <w:marRight w:val="0"/>
          <w:marTop w:val="0"/>
          <w:marBottom w:val="0"/>
          <w:divBdr>
            <w:top w:val="none" w:sz="0" w:space="0" w:color="auto"/>
            <w:left w:val="none" w:sz="0" w:space="0" w:color="auto"/>
            <w:bottom w:val="none" w:sz="0" w:space="0" w:color="auto"/>
            <w:right w:val="none" w:sz="0" w:space="0" w:color="auto"/>
          </w:divBdr>
        </w:div>
        <w:div w:id="1285844561">
          <w:marLeft w:val="640"/>
          <w:marRight w:val="0"/>
          <w:marTop w:val="0"/>
          <w:marBottom w:val="0"/>
          <w:divBdr>
            <w:top w:val="none" w:sz="0" w:space="0" w:color="auto"/>
            <w:left w:val="none" w:sz="0" w:space="0" w:color="auto"/>
            <w:bottom w:val="none" w:sz="0" w:space="0" w:color="auto"/>
            <w:right w:val="none" w:sz="0" w:space="0" w:color="auto"/>
          </w:divBdr>
        </w:div>
        <w:div w:id="1066104295">
          <w:marLeft w:val="640"/>
          <w:marRight w:val="0"/>
          <w:marTop w:val="0"/>
          <w:marBottom w:val="0"/>
          <w:divBdr>
            <w:top w:val="none" w:sz="0" w:space="0" w:color="auto"/>
            <w:left w:val="none" w:sz="0" w:space="0" w:color="auto"/>
            <w:bottom w:val="none" w:sz="0" w:space="0" w:color="auto"/>
            <w:right w:val="none" w:sz="0" w:space="0" w:color="auto"/>
          </w:divBdr>
        </w:div>
        <w:div w:id="1231886712">
          <w:marLeft w:val="640"/>
          <w:marRight w:val="0"/>
          <w:marTop w:val="0"/>
          <w:marBottom w:val="0"/>
          <w:divBdr>
            <w:top w:val="none" w:sz="0" w:space="0" w:color="auto"/>
            <w:left w:val="none" w:sz="0" w:space="0" w:color="auto"/>
            <w:bottom w:val="none" w:sz="0" w:space="0" w:color="auto"/>
            <w:right w:val="none" w:sz="0" w:space="0" w:color="auto"/>
          </w:divBdr>
        </w:div>
        <w:div w:id="644316605">
          <w:marLeft w:val="640"/>
          <w:marRight w:val="0"/>
          <w:marTop w:val="0"/>
          <w:marBottom w:val="0"/>
          <w:divBdr>
            <w:top w:val="none" w:sz="0" w:space="0" w:color="auto"/>
            <w:left w:val="none" w:sz="0" w:space="0" w:color="auto"/>
            <w:bottom w:val="none" w:sz="0" w:space="0" w:color="auto"/>
            <w:right w:val="none" w:sz="0" w:space="0" w:color="auto"/>
          </w:divBdr>
        </w:div>
        <w:div w:id="1677883129">
          <w:marLeft w:val="640"/>
          <w:marRight w:val="0"/>
          <w:marTop w:val="0"/>
          <w:marBottom w:val="0"/>
          <w:divBdr>
            <w:top w:val="none" w:sz="0" w:space="0" w:color="auto"/>
            <w:left w:val="none" w:sz="0" w:space="0" w:color="auto"/>
            <w:bottom w:val="none" w:sz="0" w:space="0" w:color="auto"/>
            <w:right w:val="none" w:sz="0" w:space="0" w:color="auto"/>
          </w:divBdr>
        </w:div>
        <w:div w:id="1578512803">
          <w:marLeft w:val="640"/>
          <w:marRight w:val="0"/>
          <w:marTop w:val="0"/>
          <w:marBottom w:val="0"/>
          <w:divBdr>
            <w:top w:val="none" w:sz="0" w:space="0" w:color="auto"/>
            <w:left w:val="none" w:sz="0" w:space="0" w:color="auto"/>
            <w:bottom w:val="none" w:sz="0" w:space="0" w:color="auto"/>
            <w:right w:val="none" w:sz="0" w:space="0" w:color="auto"/>
          </w:divBdr>
        </w:div>
        <w:div w:id="1461874971">
          <w:marLeft w:val="640"/>
          <w:marRight w:val="0"/>
          <w:marTop w:val="0"/>
          <w:marBottom w:val="0"/>
          <w:divBdr>
            <w:top w:val="none" w:sz="0" w:space="0" w:color="auto"/>
            <w:left w:val="none" w:sz="0" w:space="0" w:color="auto"/>
            <w:bottom w:val="none" w:sz="0" w:space="0" w:color="auto"/>
            <w:right w:val="none" w:sz="0" w:space="0" w:color="auto"/>
          </w:divBdr>
        </w:div>
        <w:div w:id="967050402">
          <w:marLeft w:val="640"/>
          <w:marRight w:val="0"/>
          <w:marTop w:val="0"/>
          <w:marBottom w:val="0"/>
          <w:divBdr>
            <w:top w:val="none" w:sz="0" w:space="0" w:color="auto"/>
            <w:left w:val="none" w:sz="0" w:space="0" w:color="auto"/>
            <w:bottom w:val="none" w:sz="0" w:space="0" w:color="auto"/>
            <w:right w:val="none" w:sz="0" w:space="0" w:color="auto"/>
          </w:divBdr>
        </w:div>
        <w:div w:id="1138651096">
          <w:marLeft w:val="640"/>
          <w:marRight w:val="0"/>
          <w:marTop w:val="0"/>
          <w:marBottom w:val="0"/>
          <w:divBdr>
            <w:top w:val="none" w:sz="0" w:space="0" w:color="auto"/>
            <w:left w:val="none" w:sz="0" w:space="0" w:color="auto"/>
            <w:bottom w:val="none" w:sz="0" w:space="0" w:color="auto"/>
            <w:right w:val="none" w:sz="0" w:space="0" w:color="auto"/>
          </w:divBdr>
        </w:div>
        <w:div w:id="1661621594">
          <w:marLeft w:val="640"/>
          <w:marRight w:val="0"/>
          <w:marTop w:val="0"/>
          <w:marBottom w:val="0"/>
          <w:divBdr>
            <w:top w:val="none" w:sz="0" w:space="0" w:color="auto"/>
            <w:left w:val="none" w:sz="0" w:space="0" w:color="auto"/>
            <w:bottom w:val="none" w:sz="0" w:space="0" w:color="auto"/>
            <w:right w:val="none" w:sz="0" w:space="0" w:color="auto"/>
          </w:divBdr>
        </w:div>
        <w:div w:id="251819370">
          <w:marLeft w:val="640"/>
          <w:marRight w:val="0"/>
          <w:marTop w:val="0"/>
          <w:marBottom w:val="0"/>
          <w:divBdr>
            <w:top w:val="none" w:sz="0" w:space="0" w:color="auto"/>
            <w:left w:val="none" w:sz="0" w:space="0" w:color="auto"/>
            <w:bottom w:val="none" w:sz="0" w:space="0" w:color="auto"/>
            <w:right w:val="none" w:sz="0" w:space="0" w:color="auto"/>
          </w:divBdr>
        </w:div>
        <w:div w:id="35156789">
          <w:marLeft w:val="640"/>
          <w:marRight w:val="0"/>
          <w:marTop w:val="0"/>
          <w:marBottom w:val="0"/>
          <w:divBdr>
            <w:top w:val="none" w:sz="0" w:space="0" w:color="auto"/>
            <w:left w:val="none" w:sz="0" w:space="0" w:color="auto"/>
            <w:bottom w:val="none" w:sz="0" w:space="0" w:color="auto"/>
            <w:right w:val="none" w:sz="0" w:space="0" w:color="auto"/>
          </w:divBdr>
        </w:div>
        <w:div w:id="1537506562">
          <w:marLeft w:val="640"/>
          <w:marRight w:val="0"/>
          <w:marTop w:val="0"/>
          <w:marBottom w:val="0"/>
          <w:divBdr>
            <w:top w:val="none" w:sz="0" w:space="0" w:color="auto"/>
            <w:left w:val="none" w:sz="0" w:space="0" w:color="auto"/>
            <w:bottom w:val="none" w:sz="0" w:space="0" w:color="auto"/>
            <w:right w:val="none" w:sz="0" w:space="0" w:color="auto"/>
          </w:divBdr>
        </w:div>
        <w:div w:id="1485510423">
          <w:marLeft w:val="640"/>
          <w:marRight w:val="0"/>
          <w:marTop w:val="0"/>
          <w:marBottom w:val="0"/>
          <w:divBdr>
            <w:top w:val="none" w:sz="0" w:space="0" w:color="auto"/>
            <w:left w:val="none" w:sz="0" w:space="0" w:color="auto"/>
            <w:bottom w:val="none" w:sz="0" w:space="0" w:color="auto"/>
            <w:right w:val="none" w:sz="0" w:space="0" w:color="auto"/>
          </w:divBdr>
        </w:div>
        <w:div w:id="1796753557">
          <w:marLeft w:val="640"/>
          <w:marRight w:val="0"/>
          <w:marTop w:val="0"/>
          <w:marBottom w:val="0"/>
          <w:divBdr>
            <w:top w:val="none" w:sz="0" w:space="0" w:color="auto"/>
            <w:left w:val="none" w:sz="0" w:space="0" w:color="auto"/>
            <w:bottom w:val="none" w:sz="0" w:space="0" w:color="auto"/>
            <w:right w:val="none" w:sz="0" w:space="0" w:color="auto"/>
          </w:divBdr>
        </w:div>
        <w:div w:id="602568044">
          <w:marLeft w:val="640"/>
          <w:marRight w:val="0"/>
          <w:marTop w:val="0"/>
          <w:marBottom w:val="0"/>
          <w:divBdr>
            <w:top w:val="none" w:sz="0" w:space="0" w:color="auto"/>
            <w:left w:val="none" w:sz="0" w:space="0" w:color="auto"/>
            <w:bottom w:val="none" w:sz="0" w:space="0" w:color="auto"/>
            <w:right w:val="none" w:sz="0" w:space="0" w:color="auto"/>
          </w:divBdr>
        </w:div>
        <w:div w:id="1450930475">
          <w:marLeft w:val="640"/>
          <w:marRight w:val="0"/>
          <w:marTop w:val="0"/>
          <w:marBottom w:val="0"/>
          <w:divBdr>
            <w:top w:val="none" w:sz="0" w:space="0" w:color="auto"/>
            <w:left w:val="none" w:sz="0" w:space="0" w:color="auto"/>
            <w:bottom w:val="none" w:sz="0" w:space="0" w:color="auto"/>
            <w:right w:val="none" w:sz="0" w:space="0" w:color="auto"/>
          </w:divBdr>
        </w:div>
        <w:div w:id="460610445">
          <w:marLeft w:val="640"/>
          <w:marRight w:val="0"/>
          <w:marTop w:val="0"/>
          <w:marBottom w:val="0"/>
          <w:divBdr>
            <w:top w:val="none" w:sz="0" w:space="0" w:color="auto"/>
            <w:left w:val="none" w:sz="0" w:space="0" w:color="auto"/>
            <w:bottom w:val="none" w:sz="0" w:space="0" w:color="auto"/>
            <w:right w:val="none" w:sz="0" w:space="0" w:color="auto"/>
          </w:divBdr>
        </w:div>
        <w:div w:id="1258710782">
          <w:marLeft w:val="640"/>
          <w:marRight w:val="0"/>
          <w:marTop w:val="0"/>
          <w:marBottom w:val="0"/>
          <w:divBdr>
            <w:top w:val="none" w:sz="0" w:space="0" w:color="auto"/>
            <w:left w:val="none" w:sz="0" w:space="0" w:color="auto"/>
            <w:bottom w:val="none" w:sz="0" w:space="0" w:color="auto"/>
            <w:right w:val="none" w:sz="0" w:space="0" w:color="auto"/>
          </w:divBdr>
        </w:div>
        <w:div w:id="934442963">
          <w:marLeft w:val="640"/>
          <w:marRight w:val="0"/>
          <w:marTop w:val="0"/>
          <w:marBottom w:val="0"/>
          <w:divBdr>
            <w:top w:val="none" w:sz="0" w:space="0" w:color="auto"/>
            <w:left w:val="none" w:sz="0" w:space="0" w:color="auto"/>
            <w:bottom w:val="none" w:sz="0" w:space="0" w:color="auto"/>
            <w:right w:val="none" w:sz="0" w:space="0" w:color="auto"/>
          </w:divBdr>
        </w:div>
        <w:div w:id="28267524">
          <w:marLeft w:val="640"/>
          <w:marRight w:val="0"/>
          <w:marTop w:val="0"/>
          <w:marBottom w:val="0"/>
          <w:divBdr>
            <w:top w:val="none" w:sz="0" w:space="0" w:color="auto"/>
            <w:left w:val="none" w:sz="0" w:space="0" w:color="auto"/>
            <w:bottom w:val="none" w:sz="0" w:space="0" w:color="auto"/>
            <w:right w:val="none" w:sz="0" w:space="0" w:color="auto"/>
          </w:divBdr>
        </w:div>
        <w:div w:id="760562252">
          <w:marLeft w:val="640"/>
          <w:marRight w:val="0"/>
          <w:marTop w:val="0"/>
          <w:marBottom w:val="0"/>
          <w:divBdr>
            <w:top w:val="none" w:sz="0" w:space="0" w:color="auto"/>
            <w:left w:val="none" w:sz="0" w:space="0" w:color="auto"/>
            <w:bottom w:val="none" w:sz="0" w:space="0" w:color="auto"/>
            <w:right w:val="none" w:sz="0" w:space="0" w:color="auto"/>
          </w:divBdr>
        </w:div>
        <w:div w:id="1955403234">
          <w:marLeft w:val="640"/>
          <w:marRight w:val="0"/>
          <w:marTop w:val="0"/>
          <w:marBottom w:val="0"/>
          <w:divBdr>
            <w:top w:val="none" w:sz="0" w:space="0" w:color="auto"/>
            <w:left w:val="none" w:sz="0" w:space="0" w:color="auto"/>
            <w:bottom w:val="none" w:sz="0" w:space="0" w:color="auto"/>
            <w:right w:val="none" w:sz="0" w:space="0" w:color="auto"/>
          </w:divBdr>
        </w:div>
        <w:div w:id="83571013">
          <w:marLeft w:val="640"/>
          <w:marRight w:val="0"/>
          <w:marTop w:val="0"/>
          <w:marBottom w:val="0"/>
          <w:divBdr>
            <w:top w:val="none" w:sz="0" w:space="0" w:color="auto"/>
            <w:left w:val="none" w:sz="0" w:space="0" w:color="auto"/>
            <w:bottom w:val="none" w:sz="0" w:space="0" w:color="auto"/>
            <w:right w:val="none" w:sz="0" w:space="0" w:color="auto"/>
          </w:divBdr>
        </w:div>
        <w:div w:id="1239707426">
          <w:marLeft w:val="640"/>
          <w:marRight w:val="0"/>
          <w:marTop w:val="0"/>
          <w:marBottom w:val="0"/>
          <w:divBdr>
            <w:top w:val="none" w:sz="0" w:space="0" w:color="auto"/>
            <w:left w:val="none" w:sz="0" w:space="0" w:color="auto"/>
            <w:bottom w:val="none" w:sz="0" w:space="0" w:color="auto"/>
            <w:right w:val="none" w:sz="0" w:space="0" w:color="auto"/>
          </w:divBdr>
        </w:div>
        <w:div w:id="388454564">
          <w:marLeft w:val="640"/>
          <w:marRight w:val="0"/>
          <w:marTop w:val="0"/>
          <w:marBottom w:val="0"/>
          <w:divBdr>
            <w:top w:val="none" w:sz="0" w:space="0" w:color="auto"/>
            <w:left w:val="none" w:sz="0" w:space="0" w:color="auto"/>
            <w:bottom w:val="none" w:sz="0" w:space="0" w:color="auto"/>
            <w:right w:val="none" w:sz="0" w:space="0" w:color="auto"/>
          </w:divBdr>
        </w:div>
        <w:div w:id="1018965190">
          <w:marLeft w:val="640"/>
          <w:marRight w:val="0"/>
          <w:marTop w:val="0"/>
          <w:marBottom w:val="0"/>
          <w:divBdr>
            <w:top w:val="none" w:sz="0" w:space="0" w:color="auto"/>
            <w:left w:val="none" w:sz="0" w:space="0" w:color="auto"/>
            <w:bottom w:val="none" w:sz="0" w:space="0" w:color="auto"/>
            <w:right w:val="none" w:sz="0" w:space="0" w:color="auto"/>
          </w:divBdr>
        </w:div>
        <w:div w:id="921917709">
          <w:marLeft w:val="640"/>
          <w:marRight w:val="0"/>
          <w:marTop w:val="0"/>
          <w:marBottom w:val="0"/>
          <w:divBdr>
            <w:top w:val="none" w:sz="0" w:space="0" w:color="auto"/>
            <w:left w:val="none" w:sz="0" w:space="0" w:color="auto"/>
            <w:bottom w:val="none" w:sz="0" w:space="0" w:color="auto"/>
            <w:right w:val="none" w:sz="0" w:space="0" w:color="auto"/>
          </w:divBdr>
        </w:div>
        <w:div w:id="2066637954">
          <w:marLeft w:val="640"/>
          <w:marRight w:val="0"/>
          <w:marTop w:val="0"/>
          <w:marBottom w:val="0"/>
          <w:divBdr>
            <w:top w:val="none" w:sz="0" w:space="0" w:color="auto"/>
            <w:left w:val="none" w:sz="0" w:space="0" w:color="auto"/>
            <w:bottom w:val="none" w:sz="0" w:space="0" w:color="auto"/>
            <w:right w:val="none" w:sz="0" w:space="0" w:color="auto"/>
          </w:divBdr>
        </w:div>
        <w:div w:id="1976715534">
          <w:marLeft w:val="640"/>
          <w:marRight w:val="0"/>
          <w:marTop w:val="0"/>
          <w:marBottom w:val="0"/>
          <w:divBdr>
            <w:top w:val="none" w:sz="0" w:space="0" w:color="auto"/>
            <w:left w:val="none" w:sz="0" w:space="0" w:color="auto"/>
            <w:bottom w:val="none" w:sz="0" w:space="0" w:color="auto"/>
            <w:right w:val="none" w:sz="0" w:space="0" w:color="auto"/>
          </w:divBdr>
        </w:div>
        <w:div w:id="749430480">
          <w:marLeft w:val="640"/>
          <w:marRight w:val="0"/>
          <w:marTop w:val="0"/>
          <w:marBottom w:val="0"/>
          <w:divBdr>
            <w:top w:val="none" w:sz="0" w:space="0" w:color="auto"/>
            <w:left w:val="none" w:sz="0" w:space="0" w:color="auto"/>
            <w:bottom w:val="none" w:sz="0" w:space="0" w:color="auto"/>
            <w:right w:val="none" w:sz="0" w:space="0" w:color="auto"/>
          </w:divBdr>
        </w:div>
        <w:div w:id="1642535049">
          <w:marLeft w:val="640"/>
          <w:marRight w:val="0"/>
          <w:marTop w:val="0"/>
          <w:marBottom w:val="0"/>
          <w:divBdr>
            <w:top w:val="none" w:sz="0" w:space="0" w:color="auto"/>
            <w:left w:val="none" w:sz="0" w:space="0" w:color="auto"/>
            <w:bottom w:val="none" w:sz="0" w:space="0" w:color="auto"/>
            <w:right w:val="none" w:sz="0" w:space="0" w:color="auto"/>
          </w:divBdr>
        </w:div>
        <w:div w:id="1183666998">
          <w:marLeft w:val="640"/>
          <w:marRight w:val="0"/>
          <w:marTop w:val="0"/>
          <w:marBottom w:val="0"/>
          <w:divBdr>
            <w:top w:val="none" w:sz="0" w:space="0" w:color="auto"/>
            <w:left w:val="none" w:sz="0" w:space="0" w:color="auto"/>
            <w:bottom w:val="none" w:sz="0" w:space="0" w:color="auto"/>
            <w:right w:val="none" w:sz="0" w:space="0" w:color="auto"/>
          </w:divBdr>
        </w:div>
        <w:div w:id="1479104896">
          <w:marLeft w:val="640"/>
          <w:marRight w:val="0"/>
          <w:marTop w:val="0"/>
          <w:marBottom w:val="0"/>
          <w:divBdr>
            <w:top w:val="none" w:sz="0" w:space="0" w:color="auto"/>
            <w:left w:val="none" w:sz="0" w:space="0" w:color="auto"/>
            <w:bottom w:val="none" w:sz="0" w:space="0" w:color="auto"/>
            <w:right w:val="none" w:sz="0" w:space="0" w:color="auto"/>
          </w:divBdr>
        </w:div>
        <w:div w:id="568806036">
          <w:marLeft w:val="640"/>
          <w:marRight w:val="0"/>
          <w:marTop w:val="0"/>
          <w:marBottom w:val="0"/>
          <w:divBdr>
            <w:top w:val="none" w:sz="0" w:space="0" w:color="auto"/>
            <w:left w:val="none" w:sz="0" w:space="0" w:color="auto"/>
            <w:bottom w:val="none" w:sz="0" w:space="0" w:color="auto"/>
            <w:right w:val="none" w:sz="0" w:space="0" w:color="auto"/>
          </w:divBdr>
        </w:div>
        <w:div w:id="899558399">
          <w:marLeft w:val="640"/>
          <w:marRight w:val="0"/>
          <w:marTop w:val="0"/>
          <w:marBottom w:val="0"/>
          <w:divBdr>
            <w:top w:val="none" w:sz="0" w:space="0" w:color="auto"/>
            <w:left w:val="none" w:sz="0" w:space="0" w:color="auto"/>
            <w:bottom w:val="none" w:sz="0" w:space="0" w:color="auto"/>
            <w:right w:val="none" w:sz="0" w:space="0" w:color="auto"/>
          </w:divBdr>
        </w:div>
        <w:div w:id="1846506280">
          <w:marLeft w:val="640"/>
          <w:marRight w:val="0"/>
          <w:marTop w:val="0"/>
          <w:marBottom w:val="0"/>
          <w:divBdr>
            <w:top w:val="none" w:sz="0" w:space="0" w:color="auto"/>
            <w:left w:val="none" w:sz="0" w:space="0" w:color="auto"/>
            <w:bottom w:val="none" w:sz="0" w:space="0" w:color="auto"/>
            <w:right w:val="none" w:sz="0" w:space="0" w:color="auto"/>
          </w:divBdr>
        </w:div>
        <w:div w:id="2037652471">
          <w:marLeft w:val="640"/>
          <w:marRight w:val="0"/>
          <w:marTop w:val="0"/>
          <w:marBottom w:val="0"/>
          <w:divBdr>
            <w:top w:val="none" w:sz="0" w:space="0" w:color="auto"/>
            <w:left w:val="none" w:sz="0" w:space="0" w:color="auto"/>
            <w:bottom w:val="none" w:sz="0" w:space="0" w:color="auto"/>
            <w:right w:val="none" w:sz="0" w:space="0" w:color="auto"/>
          </w:divBdr>
        </w:div>
        <w:div w:id="1726948638">
          <w:marLeft w:val="640"/>
          <w:marRight w:val="0"/>
          <w:marTop w:val="0"/>
          <w:marBottom w:val="0"/>
          <w:divBdr>
            <w:top w:val="none" w:sz="0" w:space="0" w:color="auto"/>
            <w:left w:val="none" w:sz="0" w:space="0" w:color="auto"/>
            <w:bottom w:val="none" w:sz="0" w:space="0" w:color="auto"/>
            <w:right w:val="none" w:sz="0" w:space="0" w:color="auto"/>
          </w:divBdr>
        </w:div>
        <w:div w:id="78909968">
          <w:marLeft w:val="640"/>
          <w:marRight w:val="0"/>
          <w:marTop w:val="0"/>
          <w:marBottom w:val="0"/>
          <w:divBdr>
            <w:top w:val="none" w:sz="0" w:space="0" w:color="auto"/>
            <w:left w:val="none" w:sz="0" w:space="0" w:color="auto"/>
            <w:bottom w:val="none" w:sz="0" w:space="0" w:color="auto"/>
            <w:right w:val="none" w:sz="0" w:space="0" w:color="auto"/>
          </w:divBdr>
        </w:div>
        <w:div w:id="1876966365">
          <w:marLeft w:val="640"/>
          <w:marRight w:val="0"/>
          <w:marTop w:val="0"/>
          <w:marBottom w:val="0"/>
          <w:divBdr>
            <w:top w:val="none" w:sz="0" w:space="0" w:color="auto"/>
            <w:left w:val="none" w:sz="0" w:space="0" w:color="auto"/>
            <w:bottom w:val="none" w:sz="0" w:space="0" w:color="auto"/>
            <w:right w:val="none" w:sz="0" w:space="0" w:color="auto"/>
          </w:divBdr>
        </w:div>
        <w:div w:id="545027623">
          <w:marLeft w:val="640"/>
          <w:marRight w:val="0"/>
          <w:marTop w:val="0"/>
          <w:marBottom w:val="0"/>
          <w:divBdr>
            <w:top w:val="none" w:sz="0" w:space="0" w:color="auto"/>
            <w:left w:val="none" w:sz="0" w:space="0" w:color="auto"/>
            <w:bottom w:val="none" w:sz="0" w:space="0" w:color="auto"/>
            <w:right w:val="none" w:sz="0" w:space="0" w:color="auto"/>
          </w:divBdr>
        </w:div>
        <w:div w:id="1781753521">
          <w:marLeft w:val="640"/>
          <w:marRight w:val="0"/>
          <w:marTop w:val="0"/>
          <w:marBottom w:val="0"/>
          <w:divBdr>
            <w:top w:val="none" w:sz="0" w:space="0" w:color="auto"/>
            <w:left w:val="none" w:sz="0" w:space="0" w:color="auto"/>
            <w:bottom w:val="none" w:sz="0" w:space="0" w:color="auto"/>
            <w:right w:val="none" w:sz="0" w:space="0" w:color="auto"/>
          </w:divBdr>
        </w:div>
        <w:div w:id="1086148659">
          <w:marLeft w:val="640"/>
          <w:marRight w:val="0"/>
          <w:marTop w:val="0"/>
          <w:marBottom w:val="0"/>
          <w:divBdr>
            <w:top w:val="none" w:sz="0" w:space="0" w:color="auto"/>
            <w:left w:val="none" w:sz="0" w:space="0" w:color="auto"/>
            <w:bottom w:val="none" w:sz="0" w:space="0" w:color="auto"/>
            <w:right w:val="none" w:sz="0" w:space="0" w:color="auto"/>
          </w:divBdr>
        </w:div>
        <w:div w:id="1355037204">
          <w:marLeft w:val="640"/>
          <w:marRight w:val="0"/>
          <w:marTop w:val="0"/>
          <w:marBottom w:val="0"/>
          <w:divBdr>
            <w:top w:val="none" w:sz="0" w:space="0" w:color="auto"/>
            <w:left w:val="none" w:sz="0" w:space="0" w:color="auto"/>
            <w:bottom w:val="none" w:sz="0" w:space="0" w:color="auto"/>
            <w:right w:val="none" w:sz="0" w:space="0" w:color="auto"/>
          </w:divBdr>
        </w:div>
        <w:div w:id="668601399">
          <w:marLeft w:val="640"/>
          <w:marRight w:val="0"/>
          <w:marTop w:val="0"/>
          <w:marBottom w:val="0"/>
          <w:divBdr>
            <w:top w:val="none" w:sz="0" w:space="0" w:color="auto"/>
            <w:left w:val="none" w:sz="0" w:space="0" w:color="auto"/>
            <w:bottom w:val="none" w:sz="0" w:space="0" w:color="auto"/>
            <w:right w:val="none" w:sz="0" w:space="0" w:color="auto"/>
          </w:divBdr>
        </w:div>
        <w:div w:id="945773886">
          <w:marLeft w:val="640"/>
          <w:marRight w:val="0"/>
          <w:marTop w:val="0"/>
          <w:marBottom w:val="0"/>
          <w:divBdr>
            <w:top w:val="none" w:sz="0" w:space="0" w:color="auto"/>
            <w:left w:val="none" w:sz="0" w:space="0" w:color="auto"/>
            <w:bottom w:val="none" w:sz="0" w:space="0" w:color="auto"/>
            <w:right w:val="none" w:sz="0" w:space="0" w:color="auto"/>
          </w:divBdr>
        </w:div>
        <w:div w:id="1075276682">
          <w:marLeft w:val="640"/>
          <w:marRight w:val="0"/>
          <w:marTop w:val="0"/>
          <w:marBottom w:val="0"/>
          <w:divBdr>
            <w:top w:val="none" w:sz="0" w:space="0" w:color="auto"/>
            <w:left w:val="none" w:sz="0" w:space="0" w:color="auto"/>
            <w:bottom w:val="none" w:sz="0" w:space="0" w:color="auto"/>
            <w:right w:val="none" w:sz="0" w:space="0" w:color="auto"/>
          </w:divBdr>
        </w:div>
        <w:div w:id="847334546">
          <w:marLeft w:val="640"/>
          <w:marRight w:val="0"/>
          <w:marTop w:val="0"/>
          <w:marBottom w:val="0"/>
          <w:divBdr>
            <w:top w:val="none" w:sz="0" w:space="0" w:color="auto"/>
            <w:left w:val="none" w:sz="0" w:space="0" w:color="auto"/>
            <w:bottom w:val="none" w:sz="0" w:space="0" w:color="auto"/>
            <w:right w:val="none" w:sz="0" w:space="0" w:color="auto"/>
          </w:divBdr>
        </w:div>
        <w:div w:id="648486831">
          <w:marLeft w:val="640"/>
          <w:marRight w:val="0"/>
          <w:marTop w:val="0"/>
          <w:marBottom w:val="0"/>
          <w:divBdr>
            <w:top w:val="none" w:sz="0" w:space="0" w:color="auto"/>
            <w:left w:val="none" w:sz="0" w:space="0" w:color="auto"/>
            <w:bottom w:val="none" w:sz="0" w:space="0" w:color="auto"/>
            <w:right w:val="none" w:sz="0" w:space="0" w:color="auto"/>
          </w:divBdr>
        </w:div>
        <w:div w:id="119228734">
          <w:marLeft w:val="640"/>
          <w:marRight w:val="0"/>
          <w:marTop w:val="0"/>
          <w:marBottom w:val="0"/>
          <w:divBdr>
            <w:top w:val="none" w:sz="0" w:space="0" w:color="auto"/>
            <w:left w:val="none" w:sz="0" w:space="0" w:color="auto"/>
            <w:bottom w:val="none" w:sz="0" w:space="0" w:color="auto"/>
            <w:right w:val="none" w:sz="0" w:space="0" w:color="auto"/>
          </w:divBdr>
        </w:div>
        <w:div w:id="1897424786">
          <w:marLeft w:val="640"/>
          <w:marRight w:val="0"/>
          <w:marTop w:val="0"/>
          <w:marBottom w:val="0"/>
          <w:divBdr>
            <w:top w:val="none" w:sz="0" w:space="0" w:color="auto"/>
            <w:left w:val="none" w:sz="0" w:space="0" w:color="auto"/>
            <w:bottom w:val="none" w:sz="0" w:space="0" w:color="auto"/>
            <w:right w:val="none" w:sz="0" w:space="0" w:color="auto"/>
          </w:divBdr>
        </w:div>
        <w:div w:id="1926449913">
          <w:marLeft w:val="640"/>
          <w:marRight w:val="0"/>
          <w:marTop w:val="0"/>
          <w:marBottom w:val="0"/>
          <w:divBdr>
            <w:top w:val="none" w:sz="0" w:space="0" w:color="auto"/>
            <w:left w:val="none" w:sz="0" w:space="0" w:color="auto"/>
            <w:bottom w:val="none" w:sz="0" w:space="0" w:color="auto"/>
            <w:right w:val="none" w:sz="0" w:space="0" w:color="auto"/>
          </w:divBdr>
        </w:div>
        <w:div w:id="1111243691">
          <w:marLeft w:val="640"/>
          <w:marRight w:val="0"/>
          <w:marTop w:val="0"/>
          <w:marBottom w:val="0"/>
          <w:divBdr>
            <w:top w:val="none" w:sz="0" w:space="0" w:color="auto"/>
            <w:left w:val="none" w:sz="0" w:space="0" w:color="auto"/>
            <w:bottom w:val="none" w:sz="0" w:space="0" w:color="auto"/>
            <w:right w:val="none" w:sz="0" w:space="0" w:color="auto"/>
          </w:divBdr>
        </w:div>
        <w:div w:id="384958842">
          <w:marLeft w:val="640"/>
          <w:marRight w:val="0"/>
          <w:marTop w:val="0"/>
          <w:marBottom w:val="0"/>
          <w:divBdr>
            <w:top w:val="none" w:sz="0" w:space="0" w:color="auto"/>
            <w:left w:val="none" w:sz="0" w:space="0" w:color="auto"/>
            <w:bottom w:val="none" w:sz="0" w:space="0" w:color="auto"/>
            <w:right w:val="none" w:sz="0" w:space="0" w:color="auto"/>
          </w:divBdr>
        </w:div>
        <w:div w:id="802626066">
          <w:marLeft w:val="640"/>
          <w:marRight w:val="0"/>
          <w:marTop w:val="0"/>
          <w:marBottom w:val="0"/>
          <w:divBdr>
            <w:top w:val="none" w:sz="0" w:space="0" w:color="auto"/>
            <w:left w:val="none" w:sz="0" w:space="0" w:color="auto"/>
            <w:bottom w:val="none" w:sz="0" w:space="0" w:color="auto"/>
            <w:right w:val="none" w:sz="0" w:space="0" w:color="auto"/>
          </w:divBdr>
        </w:div>
        <w:div w:id="866917372">
          <w:marLeft w:val="640"/>
          <w:marRight w:val="0"/>
          <w:marTop w:val="0"/>
          <w:marBottom w:val="0"/>
          <w:divBdr>
            <w:top w:val="none" w:sz="0" w:space="0" w:color="auto"/>
            <w:left w:val="none" w:sz="0" w:space="0" w:color="auto"/>
            <w:bottom w:val="none" w:sz="0" w:space="0" w:color="auto"/>
            <w:right w:val="none" w:sz="0" w:space="0" w:color="auto"/>
          </w:divBdr>
        </w:div>
        <w:div w:id="361058974">
          <w:marLeft w:val="640"/>
          <w:marRight w:val="0"/>
          <w:marTop w:val="0"/>
          <w:marBottom w:val="0"/>
          <w:divBdr>
            <w:top w:val="none" w:sz="0" w:space="0" w:color="auto"/>
            <w:left w:val="none" w:sz="0" w:space="0" w:color="auto"/>
            <w:bottom w:val="none" w:sz="0" w:space="0" w:color="auto"/>
            <w:right w:val="none" w:sz="0" w:space="0" w:color="auto"/>
          </w:divBdr>
        </w:div>
        <w:div w:id="405803856">
          <w:marLeft w:val="640"/>
          <w:marRight w:val="0"/>
          <w:marTop w:val="0"/>
          <w:marBottom w:val="0"/>
          <w:divBdr>
            <w:top w:val="none" w:sz="0" w:space="0" w:color="auto"/>
            <w:left w:val="none" w:sz="0" w:space="0" w:color="auto"/>
            <w:bottom w:val="none" w:sz="0" w:space="0" w:color="auto"/>
            <w:right w:val="none" w:sz="0" w:space="0" w:color="auto"/>
          </w:divBdr>
        </w:div>
        <w:div w:id="2146315651">
          <w:marLeft w:val="640"/>
          <w:marRight w:val="0"/>
          <w:marTop w:val="0"/>
          <w:marBottom w:val="0"/>
          <w:divBdr>
            <w:top w:val="none" w:sz="0" w:space="0" w:color="auto"/>
            <w:left w:val="none" w:sz="0" w:space="0" w:color="auto"/>
            <w:bottom w:val="none" w:sz="0" w:space="0" w:color="auto"/>
            <w:right w:val="none" w:sz="0" w:space="0" w:color="auto"/>
          </w:divBdr>
        </w:div>
        <w:div w:id="540358429">
          <w:marLeft w:val="640"/>
          <w:marRight w:val="0"/>
          <w:marTop w:val="0"/>
          <w:marBottom w:val="0"/>
          <w:divBdr>
            <w:top w:val="none" w:sz="0" w:space="0" w:color="auto"/>
            <w:left w:val="none" w:sz="0" w:space="0" w:color="auto"/>
            <w:bottom w:val="none" w:sz="0" w:space="0" w:color="auto"/>
            <w:right w:val="none" w:sz="0" w:space="0" w:color="auto"/>
          </w:divBdr>
        </w:div>
        <w:div w:id="2054235146">
          <w:marLeft w:val="640"/>
          <w:marRight w:val="0"/>
          <w:marTop w:val="0"/>
          <w:marBottom w:val="0"/>
          <w:divBdr>
            <w:top w:val="none" w:sz="0" w:space="0" w:color="auto"/>
            <w:left w:val="none" w:sz="0" w:space="0" w:color="auto"/>
            <w:bottom w:val="none" w:sz="0" w:space="0" w:color="auto"/>
            <w:right w:val="none" w:sz="0" w:space="0" w:color="auto"/>
          </w:divBdr>
        </w:div>
        <w:div w:id="609818995">
          <w:marLeft w:val="640"/>
          <w:marRight w:val="0"/>
          <w:marTop w:val="0"/>
          <w:marBottom w:val="0"/>
          <w:divBdr>
            <w:top w:val="none" w:sz="0" w:space="0" w:color="auto"/>
            <w:left w:val="none" w:sz="0" w:space="0" w:color="auto"/>
            <w:bottom w:val="none" w:sz="0" w:space="0" w:color="auto"/>
            <w:right w:val="none" w:sz="0" w:space="0" w:color="auto"/>
          </w:divBdr>
        </w:div>
        <w:div w:id="1933657270">
          <w:marLeft w:val="640"/>
          <w:marRight w:val="0"/>
          <w:marTop w:val="0"/>
          <w:marBottom w:val="0"/>
          <w:divBdr>
            <w:top w:val="none" w:sz="0" w:space="0" w:color="auto"/>
            <w:left w:val="none" w:sz="0" w:space="0" w:color="auto"/>
            <w:bottom w:val="none" w:sz="0" w:space="0" w:color="auto"/>
            <w:right w:val="none" w:sz="0" w:space="0" w:color="auto"/>
          </w:divBdr>
        </w:div>
        <w:div w:id="405960713">
          <w:marLeft w:val="640"/>
          <w:marRight w:val="0"/>
          <w:marTop w:val="0"/>
          <w:marBottom w:val="0"/>
          <w:divBdr>
            <w:top w:val="none" w:sz="0" w:space="0" w:color="auto"/>
            <w:left w:val="none" w:sz="0" w:space="0" w:color="auto"/>
            <w:bottom w:val="none" w:sz="0" w:space="0" w:color="auto"/>
            <w:right w:val="none" w:sz="0" w:space="0" w:color="auto"/>
          </w:divBdr>
        </w:div>
        <w:div w:id="348221014">
          <w:marLeft w:val="640"/>
          <w:marRight w:val="0"/>
          <w:marTop w:val="0"/>
          <w:marBottom w:val="0"/>
          <w:divBdr>
            <w:top w:val="none" w:sz="0" w:space="0" w:color="auto"/>
            <w:left w:val="none" w:sz="0" w:space="0" w:color="auto"/>
            <w:bottom w:val="none" w:sz="0" w:space="0" w:color="auto"/>
            <w:right w:val="none" w:sz="0" w:space="0" w:color="auto"/>
          </w:divBdr>
        </w:div>
        <w:div w:id="33235971">
          <w:marLeft w:val="640"/>
          <w:marRight w:val="0"/>
          <w:marTop w:val="0"/>
          <w:marBottom w:val="0"/>
          <w:divBdr>
            <w:top w:val="none" w:sz="0" w:space="0" w:color="auto"/>
            <w:left w:val="none" w:sz="0" w:space="0" w:color="auto"/>
            <w:bottom w:val="none" w:sz="0" w:space="0" w:color="auto"/>
            <w:right w:val="none" w:sz="0" w:space="0" w:color="auto"/>
          </w:divBdr>
        </w:div>
        <w:div w:id="531260084">
          <w:marLeft w:val="640"/>
          <w:marRight w:val="0"/>
          <w:marTop w:val="0"/>
          <w:marBottom w:val="0"/>
          <w:divBdr>
            <w:top w:val="none" w:sz="0" w:space="0" w:color="auto"/>
            <w:left w:val="none" w:sz="0" w:space="0" w:color="auto"/>
            <w:bottom w:val="none" w:sz="0" w:space="0" w:color="auto"/>
            <w:right w:val="none" w:sz="0" w:space="0" w:color="auto"/>
          </w:divBdr>
        </w:div>
        <w:div w:id="855463076">
          <w:marLeft w:val="640"/>
          <w:marRight w:val="0"/>
          <w:marTop w:val="0"/>
          <w:marBottom w:val="0"/>
          <w:divBdr>
            <w:top w:val="none" w:sz="0" w:space="0" w:color="auto"/>
            <w:left w:val="none" w:sz="0" w:space="0" w:color="auto"/>
            <w:bottom w:val="none" w:sz="0" w:space="0" w:color="auto"/>
            <w:right w:val="none" w:sz="0" w:space="0" w:color="auto"/>
          </w:divBdr>
        </w:div>
        <w:div w:id="1080447204">
          <w:marLeft w:val="640"/>
          <w:marRight w:val="0"/>
          <w:marTop w:val="0"/>
          <w:marBottom w:val="0"/>
          <w:divBdr>
            <w:top w:val="none" w:sz="0" w:space="0" w:color="auto"/>
            <w:left w:val="none" w:sz="0" w:space="0" w:color="auto"/>
            <w:bottom w:val="none" w:sz="0" w:space="0" w:color="auto"/>
            <w:right w:val="none" w:sz="0" w:space="0" w:color="auto"/>
          </w:divBdr>
        </w:div>
        <w:div w:id="1256985138">
          <w:marLeft w:val="640"/>
          <w:marRight w:val="0"/>
          <w:marTop w:val="0"/>
          <w:marBottom w:val="0"/>
          <w:divBdr>
            <w:top w:val="none" w:sz="0" w:space="0" w:color="auto"/>
            <w:left w:val="none" w:sz="0" w:space="0" w:color="auto"/>
            <w:bottom w:val="none" w:sz="0" w:space="0" w:color="auto"/>
            <w:right w:val="none" w:sz="0" w:space="0" w:color="auto"/>
          </w:divBdr>
        </w:div>
        <w:div w:id="292715497">
          <w:marLeft w:val="640"/>
          <w:marRight w:val="0"/>
          <w:marTop w:val="0"/>
          <w:marBottom w:val="0"/>
          <w:divBdr>
            <w:top w:val="none" w:sz="0" w:space="0" w:color="auto"/>
            <w:left w:val="none" w:sz="0" w:space="0" w:color="auto"/>
            <w:bottom w:val="none" w:sz="0" w:space="0" w:color="auto"/>
            <w:right w:val="none" w:sz="0" w:space="0" w:color="auto"/>
          </w:divBdr>
        </w:div>
        <w:div w:id="1235310856">
          <w:marLeft w:val="640"/>
          <w:marRight w:val="0"/>
          <w:marTop w:val="0"/>
          <w:marBottom w:val="0"/>
          <w:divBdr>
            <w:top w:val="none" w:sz="0" w:space="0" w:color="auto"/>
            <w:left w:val="none" w:sz="0" w:space="0" w:color="auto"/>
            <w:bottom w:val="none" w:sz="0" w:space="0" w:color="auto"/>
            <w:right w:val="none" w:sz="0" w:space="0" w:color="auto"/>
          </w:divBdr>
        </w:div>
        <w:div w:id="845364893">
          <w:marLeft w:val="640"/>
          <w:marRight w:val="0"/>
          <w:marTop w:val="0"/>
          <w:marBottom w:val="0"/>
          <w:divBdr>
            <w:top w:val="none" w:sz="0" w:space="0" w:color="auto"/>
            <w:left w:val="none" w:sz="0" w:space="0" w:color="auto"/>
            <w:bottom w:val="none" w:sz="0" w:space="0" w:color="auto"/>
            <w:right w:val="none" w:sz="0" w:space="0" w:color="auto"/>
          </w:divBdr>
        </w:div>
        <w:div w:id="643462870">
          <w:marLeft w:val="640"/>
          <w:marRight w:val="0"/>
          <w:marTop w:val="0"/>
          <w:marBottom w:val="0"/>
          <w:divBdr>
            <w:top w:val="none" w:sz="0" w:space="0" w:color="auto"/>
            <w:left w:val="none" w:sz="0" w:space="0" w:color="auto"/>
            <w:bottom w:val="none" w:sz="0" w:space="0" w:color="auto"/>
            <w:right w:val="none" w:sz="0" w:space="0" w:color="auto"/>
          </w:divBdr>
        </w:div>
        <w:div w:id="541986433">
          <w:marLeft w:val="640"/>
          <w:marRight w:val="0"/>
          <w:marTop w:val="0"/>
          <w:marBottom w:val="0"/>
          <w:divBdr>
            <w:top w:val="none" w:sz="0" w:space="0" w:color="auto"/>
            <w:left w:val="none" w:sz="0" w:space="0" w:color="auto"/>
            <w:bottom w:val="none" w:sz="0" w:space="0" w:color="auto"/>
            <w:right w:val="none" w:sz="0" w:space="0" w:color="auto"/>
          </w:divBdr>
        </w:div>
        <w:div w:id="165023263">
          <w:marLeft w:val="640"/>
          <w:marRight w:val="0"/>
          <w:marTop w:val="0"/>
          <w:marBottom w:val="0"/>
          <w:divBdr>
            <w:top w:val="none" w:sz="0" w:space="0" w:color="auto"/>
            <w:left w:val="none" w:sz="0" w:space="0" w:color="auto"/>
            <w:bottom w:val="none" w:sz="0" w:space="0" w:color="auto"/>
            <w:right w:val="none" w:sz="0" w:space="0" w:color="auto"/>
          </w:divBdr>
        </w:div>
        <w:div w:id="1489249649">
          <w:marLeft w:val="640"/>
          <w:marRight w:val="0"/>
          <w:marTop w:val="0"/>
          <w:marBottom w:val="0"/>
          <w:divBdr>
            <w:top w:val="none" w:sz="0" w:space="0" w:color="auto"/>
            <w:left w:val="none" w:sz="0" w:space="0" w:color="auto"/>
            <w:bottom w:val="none" w:sz="0" w:space="0" w:color="auto"/>
            <w:right w:val="none" w:sz="0" w:space="0" w:color="auto"/>
          </w:divBdr>
        </w:div>
        <w:div w:id="1910724128">
          <w:marLeft w:val="640"/>
          <w:marRight w:val="0"/>
          <w:marTop w:val="0"/>
          <w:marBottom w:val="0"/>
          <w:divBdr>
            <w:top w:val="none" w:sz="0" w:space="0" w:color="auto"/>
            <w:left w:val="none" w:sz="0" w:space="0" w:color="auto"/>
            <w:bottom w:val="none" w:sz="0" w:space="0" w:color="auto"/>
            <w:right w:val="none" w:sz="0" w:space="0" w:color="auto"/>
          </w:divBdr>
        </w:div>
        <w:div w:id="929849552">
          <w:marLeft w:val="640"/>
          <w:marRight w:val="0"/>
          <w:marTop w:val="0"/>
          <w:marBottom w:val="0"/>
          <w:divBdr>
            <w:top w:val="none" w:sz="0" w:space="0" w:color="auto"/>
            <w:left w:val="none" w:sz="0" w:space="0" w:color="auto"/>
            <w:bottom w:val="none" w:sz="0" w:space="0" w:color="auto"/>
            <w:right w:val="none" w:sz="0" w:space="0" w:color="auto"/>
          </w:divBdr>
        </w:div>
        <w:div w:id="694694782">
          <w:marLeft w:val="640"/>
          <w:marRight w:val="0"/>
          <w:marTop w:val="0"/>
          <w:marBottom w:val="0"/>
          <w:divBdr>
            <w:top w:val="none" w:sz="0" w:space="0" w:color="auto"/>
            <w:left w:val="none" w:sz="0" w:space="0" w:color="auto"/>
            <w:bottom w:val="none" w:sz="0" w:space="0" w:color="auto"/>
            <w:right w:val="none" w:sz="0" w:space="0" w:color="auto"/>
          </w:divBdr>
        </w:div>
        <w:div w:id="2013221185">
          <w:marLeft w:val="640"/>
          <w:marRight w:val="0"/>
          <w:marTop w:val="0"/>
          <w:marBottom w:val="0"/>
          <w:divBdr>
            <w:top w:val="none" w:sz="0" w:space="0" w:color="auto"/>
            <w:left w:val="none" w:sz="0" w:space="0" w:color="auto"/>
            <w:bottom w:val="none" w:sz="0" w:space="0" w:color="auto"/>
            <w:right w:val="none" w:sz="0" w:space="0" w:color="auto"/>
          </w:divBdr>
        </w:div>
        <w:div w:id="1227837169">
          <w:marLeft w:val="640"/>
          <w:marRight w:val="0"/>
          <w:marTop w:val="0"/>
          <w:marBottom w:val="0"/>
          <w:divBdr>
            <w:top w:val="none" w:sz="0" w:space="0" w:color="auto"/>
            <w:left w:val="none" w:sz="0" w:space="0" w:color="auto"/>
            <w:bottom w:val="none" w:sz="0" w:space="0" w:color="auto"/>
            <w:right w:val="none" w:sz="0" w:space="0" w:color="auto"/>
          </w:divBdr>
        </w:div>
        <w:div w:id="167526931">
          <w:marLeft w:val="640"/>
          <w:marRight w:val="0"/>
          <w:marTop w:val="0"/>
          <w:marBottom w:val="0"/>
          <w:divBdr>
            <w:top w:val="none" w:sz="0" w:space="0" w:color="auto"/>
            <w:left w:val="none" w:sz="0" w:space="0" w:color="auto"/>
            <w:bottom w:val="none" w:sz="0" w:space="0" w:color="auto"/>
            <w:right w:val="none" w:sz="0" w:space="0" w:color="auto"/>
          </w:divBdr>
        </w:div>
        <w:div w:id="1920675816">
          <w:marLeft w:val="640"/>
          <w:marRight w:val="0"/>
          <w:marTop w:val="0"/>
          <w:marBottom w:val="0"/>
          <w:divBdr>
            <w:top w:val="none" w:sz="0" w:space="0" w:color="auto"/>
            <w:left w:val="none" w:sz="0" w:space="0" w:color="auto"/>
            <w:bottom w:val="none" w:sz="0" w:space="0" w:color="auto"/>
            <w:right w:val="none" w:sz="0" w:space="0" w:color="auto"/>
          </w:divBdr>
        </w:div>
        <w:div w:id="1903370020">
          <w:marLeft w:val="640"/>
          <w:marRight w:val="0"/>
          <w:marTop w:val="0"/>
          <w:marBottom w:val="0"/>
          <w:divBdr>
            <w:top w:val="none" w:sz="0" w:space="0" w:color="auto"/>
            <w:left w:val="none" w:sz="0" w:space="0" w:color="auto"/>
            <w:bottom w:val="none" w:sz="0" w:space="0" w:color="auto"/>
            <w:right w:val="none" w:sz="0" w:space="0" w:color="auto"/>
          </w:divBdr>
        </w:div>
        <w:div w:id="1138643266">
          <w:marLeft w:val="640"/>
          <w:marRight w:val="0"/>
          <w:marTop w:val="0"/>
          <w:marBottom w:val="0"/>
          <w:divBdr>
            <w:top w:val="none" w:sz="0" w:space="0" w:color="auto"/>
            <w:left w:val="none" w:sz="0" w:space="0" w:color="auto"/>
            <w:bottom w:val="none" w:sz="0" w:space="0" w:color="auto"/>
            <w:right w:val="none" w:sz="0" w:space="0" w:color="auto"/>
          </w:divBdr>
        </w:div>
        <w:div w:id="1622418092">
          <w:marLeft w:val="640"/>
          <w:marRight w:val="0"/>
          <w:marTop w:val="0"/>
          <w:marBottom w:val="0"/>
          <w:divBdr>
            <w:top w:val="none" w:sz="0" w:space="0" w:color="auto"/>
            <w:left w:val="none" w:sz="0" w:space="0" w:color="auto"/>
            <w:bottom w:val="none" w:sz="0" w:space="0" w:color="auto"/>
            <w:right w:val="none" w:sz="0" w:space="0" w:color="auto"/>
          </w:divBdr>
        </w:div>
        <w:div w:id="640581478">
          <w:marLeft w:val="640"/>
          <w:marRight w:val="0"/>
          <w:marTop w:val="0"/>
          <w:marBottom w:val="0"/>
          <w:divBdr>
            <w:top w:val="none" w:sz="0" w:space="0" w:color="auto"/>
            <w:left w:val="none" w:sz="0" w:space="0" w:color="auto"/>
            <w:bottom w:val="none" w:sz="0" w:space="0" w:color="auto"/>
            <w:right w:val="none" w:sz="0" w:space="0" w:color="auto"/>
          </w:divBdr>
        </w:div>
        <w:div w:id="374081893">
          <w:marLeft w:val="640"/>
          <w:marRight w:val="0"/>
          <w:marTop w:val="0"/>
          <w:marBottom w:val="0"/>
          <w:divBdr>
            <w:top w:val="none" w:sz="0" w:space="0" w:color="auto"/>
            <w:left w:val="none" w:sz="0" w:space="0" w:color="auto"/>
            <w:bottom w:val="none" w:sz="0" w:space="0" w:color="auto"/>
            <w:right w:val="none" w:sz="0" w:space="0" w:color="auto"/>
          </w:divBdr>
        </w:div>
        <w:div w:id="1803765827">
          <w:marLeft w:val="640"/>
          <w:marRight w:val="0"/>
          <w:marTop w:val="0"/>
          <w:marBottom w:val="0"/>
          <w:divBdr>
            <w:top w:val="none" w:sz="0" w:space="0" w:color="auto"/>
            <w:left w:val="none" w:sz="0" w:space="0" w:color="auto"/>
            <w:bottom w:val="none" w:sz="0" w:space="0" w:color="auto"/>
            <w:right w:val="none" w:sz="0" w:space="0" w:color="auto"/>
          </w:divBdr>
        </w:div>
        <w:div w:id="1281952436">
          <w:marLeft w:val="640"/>
          <w:marRight w:val="0"/>
          <w:marTop w:val="0"/>
          <w:marBottom w:val="0"/>
          <w:divBdr>
            <w:top w:val="none" w:sz="0" w:space="0" w:color="auto"/>
            <w:left w:val="none" w:sz="0" w:space="0" w:color="auto"/>
            <w:bottom w:val="none" w:sz="0" w:space="0" w:color="auto"/>
            <w:right w:val="none" w:sz="0" w:space="0" w:color="auto"/>
          </w:divBdr>
        </w:div>
        <w:div w:id="450056136">
          <w:marLeft w:val="640"/>
          <w:marRight w:val="0"/>
          <w:marTop w:val="0"/>
          <w:marBottom w:val="0"/>
          <w:divBdr>
            <w:top w:val="none" w:sz="0" w:space="0" w:color="auto"/>
            <w:left w:val="none" w:sz="0" w:space="0" w:color="auto"/>
            <w:bottom w:val="none" w:sz="0" w:space="0" w:color="auto"/>
            <w:right w:val="none" w:sz="0" w:space="0" w:color="auto"/>
          </w:divBdr>
        </w:div>
        <w:div w:id="1203325785">
          <w:marLeft w:val="640"/>
          <w:marRight w:val="0"/>
          <w:marTop w:val="0"/>
          <w:marBottom w:val="0"/>
          <w:divBdr>
            <w:top w:val="none" w:sz="0" w:space="0" w:color="auto"/>
            <w:left w:val="none" w:sz="0" w:space="0" w:color="auto"/>
            <w:bottom w:val="none" w:sz="0" w:space="0" w:color="auto"/>
            <w:right w:val="none" w:sz="0" w:space="0" w:color="auto"/>
          </w:divBdr>
        </w:div>
        <w:div w:id="728310375">
          <w:marLeft w:val="640"/>
          <w:marRight w:val="0"/>
          <w:marTop w:val="0"/>
          <w:marBottom w:val="0"/>
          <w:divBdr>
            <w:top w:val="none" w:sz="0" w:space="0" w:color="auto"/>
            <w:left w:val="none" w:sz="0" w:space="0" w:color="auto"/>
            <w:bottom w:val="none" w:sz="0" w:space="0" w:color="auto"/>
            <w:right w:val="none" w:sz="0" w:space="0" w:color="auto"/>
          </w:divBdr>
        </w:div>
        <w:div w:id="1406227249">
          <w:marLeft w:val="640"/>
          <w:marRight w:val="0"/>
          <w:marTop w:val="0"/>
          <w:marBottom w:val="0"/>
          <w:divBdr>
            <w:top w:val="none" w:sz="0" w:space="0" w:color="auto"/>
            <w:left w:val="none" w:sz="0" w:space="0" w:color="auto"/>
            <w:bottom w:val="none" w:sz="0" w:space="0" w:color="auto"/>
            <w:right w:val="none" w:sz="0" w:space="0" w:color="auto"/>
          </w:divBdr>
        </w:div>
        <w:div w:id="553929164">
          <w:marLeft w:val="640"/>
          <w:marRight w:val="0"/>
          <w:marTop w:val="0"/>
          <w:marBottom w:val="0"/>
          <w:divBdr>
            <w:top w:val="none" w:sz="0" w:space="0" w:color="auto"/>
            <w:left w:val="none" w:sz="0" w:space="0" w:color="auto"/>
            <w:bottom w:val="none" w:sz="0" w:space="0" w:color="auto"/>
            <w:right w:val="none" w:sz="0" w:space="0" w:color="auto"/>
          </w:divBdr>
        </w:div>
        <w:div w:id="1031032095">
          <w:marLeft w:val="640"/>
          <w:marRight w:val="0"/>
          <w:marTop w:val="0"/>
          <w:marBottom w:val="0"/>
          <w:divBdr>
            <w:top w:val="none" w:sz="0" w:space="0" w:color="auto"/>
            <w:left w:val="none" w:sz="0" w:space="0" w:color="auto"/>
            <w:bottom w:val="none" w:sz="0" w:space="0" w:color="auto"/>
            <w:right w:val="none" w:sz="0" w:space="0" w:color="auto"/>
          </w:divBdr>
        </w:div>
        <w:div w:id="967277384">
          <w:marLeft w:val="640"/>
          <w:marRight w:val="0"/>
          <w:marTop w:val="0"/>
          <w:marBottom w:val="0"/>
          <w:divBdr>
            <w:top w:val="none" w:sz="0" w:space="0" w:color="auto"/>
            <w:left w:val="none" w:sz="0" w:space="0" w:color="auto"/>
            <w:bottom w:val="none" w:sz="0" w:space="0" w:color="auto"/>
            <w:right w:val="none" w:sz="0" w:space="0" w:color="auto"/>
          </w:divBdr>
        </w:div>
        <w:div w:id="697003993">
          <w:marLeft w:val="640"/>
          <w:marRight w:val="0"/>
          <w:marTop w:val="0"/>
          <w:marBottom w:val="0"/>
          <w:divBdr>
            <w:top w:val="none" w:sz="0" w:space="0" w:color="auto"/>
            <w:left w:val="none" w:sz="0" w:space="0" w:color="auto"/>
            <w:bottom w:val="none" w:sz="0" w:space="0" w:color="auto"/>
            <w:right w:val="none" w:sz="0" w:space="0" w:color="auto"/>
          </w:divBdr>
        </w:div>
        <w:div w:id="100689573">
          <w:marLeft w:val="640"/>
          <w:marRight w:val="0"/>
          <w:marTop w:val="0"/>
          <w:marBottom w:val="0"/>
          <w:divBdr>
            <w:top w:val="none" w:sz="0" w:space="0" w:color="auto"/>
            <w:left w:val="none" w:sz="0" w:space="0" w:color="auto"/>
            <w:bottom w:val="none" w:sz="0" w:space="0" w:color="auto"/>
            <w:right w:val="none" w:sz="0" w:space="0" w:color="auto"/>
          </w:divBdr>
        </w:div>
        <w:div w:id="1587377392">
          <w:marLeft w:val="640"/>
          <w:marRight w:val="0"/>
          <w:marTop w:val="0"/>
          <w:marBottom w:val="0"/>
          <w:divBdr>
            <w:top w:val="none" w:sz="0" w:space="0" w:color="auto"/>
            <w:left w:val="none" w:sz="0" w:space="0" w:color="auto"/>
            <w:bottom w:val="none" w:sz="0" w:space="0" w:color="auto"/>
            <w:right w:val="none" w:sz="0" w:space="0" w:color="auto"/>
          </w:divBdr>
        </w:div>
        <w:div w:id="1270774295">
          <w:marLeft w:val="640"/>
          <w:marRight w:val="0"/>
          <w:marTop w:val="0"/>
          <w:marBottom w:val="0"/>
          <w:divBdr>
            <w:top w:val="none" w:sz="0" w:space="0" w:color="auto"/>
            <w:left w:val="none" w:sz="0" w:space="0" w:color="auto"/>
            <w:bottom w:val="none" w:sz="0" w:space="0" w:color="auto"/>
            <w:right w:val="none" w:sz="0" w:space="0" w:color="auto"/>
          </w:divBdr>
        </w:div>
        <w:div w:id="1683163989">
          <w:marLeft w:val="640"/>
          <w:marRight w:val="0"/>
          <w:marTop w:val="0"/>
          <w:marBottom w:val="0"/>
          <w:divBdr>
            <w:top w:val="none" w:sz="0" w:space="0" w:color="auto"/>
            <w:left w:val="none" w:sz="0" w:space="0" w:color="auto"/>
            <w:bottom w:val="none" w:sz="0" w:space="0" w:color="auto"/>
            <w:right w:val="none" w:sz="0" w:space="0" w:color="auto"/>
          </w:divBdr>
        </w:div>
        <w:div w:id="959649379">
          <w:marLeft w:val="640"/>
          <w:marRight w:val="0"/>
          <w:marTop w:val="0"/>
          <w:marBottom w:val="0"/>
          <w:divBdr>
            <w:top w:val="none" w:sz="0" w:space="0" w:color="auto"/>
            <w:left w:val="none" w:sz="0" w:space="0" w:color="auto"/>
            <w:bottom w:val="none" w:sz="0" w:space="0" w:color="auto"/>
            <w:right w:val="none" w:sz="0" w:space="0" w:color="auto"/>
          </w:divBdr>
        </w:div>
        <w:div w:id="1712614507">
          <w:marLeft w:val="640"/>
          <w:marRight w:val="0"/>
          <w:marTop w:val="0"/>
          <w:marBottom w:val="0"/>
          <w:divBdr>
            <w:top w:val="none" w:sz="0" w:space="0" w:color="auto"/>
            <w:left w:val="none" w:sz="0" w:space="0" w:color="auto"/>
            <w:bottom w:val="none" w:sz="0" w:space="0" w:color="auto"/>
            <w:right w:val="none" w:sz="0" w:space="0" w:color="auto"/>
          </w:divBdr>
        </w:div>
        <w:div w:id="1931741721">
          <w:marLeft w:val="640"/>
          <w:marRight w:val="0"/>
          <w:marTop w:val="0"/>
          <w:marBottom w:val="0"/>
          <w:divBdr>
            <w:top w:val="none" w:sz="0" w:space="0" w:color="auto"/>
            <w:left w:val="none" w:sz="0" w:space="0" w:color="auto"/>
            <w:bottom w:val="none" w:sz="0" w:space="0" w:color="auto"/>
            <w:right w:val="none" w:sz="0" w:space="0" w:color="auto"/>
          </w:divBdr>
        </w:div>
        <w:div w:id="1650472687">
          <w:marLeft w:val="640"/>
          <w:marRight w:val="0"/>
          <w:marTop w:val="0"/>
          <w:marBottom w:val="0"/>
          <w:divBdr>
            <w:top w:val="none" w:sz="0" w:space="0" w:color="auto"/>
            <w:left w:val="none" w:sz="0" w:space="0" w:color="auto"/>
            <w:bottom w:val="none" w:sz="0" w:space="0" w:color="auto"/>
            <w:right w:val="none" w:sz="0" w:space="0" w:color="auto"/>
          </w:divBdr>
        </w:div>
        <w:div w:id="1946883516">
          <w:marLeft w:val="640"/>
          <w:marRight w:val="0"/>
          <w:marTop w:val="0"/>
          <w:marBottom w:val="0"/>
          <w:divBdr>
            <w:top w:val="none" w:sz="0" w:space="0" w:color="auto"/>
            <w:left w:val="none" w:sz="0" w:space="0" w:color="auto"/>
            <w:bottom w:val="none" w:sz="0" w:space="0" w:color="auto"/>
            <w:right w:val="none" w:sz="0" w:space="0" w:color="auto"/>
          </w:divBdr>
        </w:div>
        <w:div w:id="1596286649">
          <w:marLeft w:val="640"/>
          <w:marRight w:val="0"/>
          <w:marTop w:val="0"/>
          <w:marBottom w:val="0"/>
          <w:divBdr>
            <w:top w:val="none" w:sz="0" w:space="0" w:color="auto"/>
            <w:left w:val="none" w:sz="0" w:space="0" w:color="auto"/>
            <w:bottom w:val="none" w:sz="0" w:space="0" w:color="auto"/>
            <w:right w:val="none" w:sz="0" w:space="0" w:color="auto"/>
          </w:divBdr>
        </w:div>
        <w:div w:id="1521699411">
          <w:marLeft w:val="640"/>
          <w:marRight w:val="0"/>
          <w:marTop w:val="0"/>
          <w:marBottom w:val="0"/>
          <w:divBdr>
            <w:top w:val="none" w:sz="0" w:space="0" w:color="auto"/>
            <w:left w:val="none" w:sz="0" w:space="0" w:color="auto"/>
            <w:bottom w:val="none" w:sz="0" w:space="0" w:color="auto"/>
            <w:right w:val="none" w:sz="0" w:space="0" w:color="auto"/>
          </w:divBdr>
        </w:div>
        <w:div w:id="1679652817">
          <w:marLeft w:val="640"/>
          <w:marRight w:val="0"/>
          <w:marTop w:val="0"/>
          <w:marBottom w:val="0"/>
          <w:divBdr>
            <w:top w:val="none" w:sz="0" w:space="0" w:color="auto"/>
            <w:left w:val="none" w:sz="0" w:space="0" w:color="auto"/>
            <w:bottom w:val="none" w:sz="0" w:space="0" w:color="auto"/>
            <w:right w:val="none" w:sz="0" w:space="0" w:color="auto"/>
          </w:divBdr>
        </w:div>
        <w:div w:id="1207373217">
          <w:marLeft w:val="640"/>
          <w:marRight w:val="0"/>
          <w:marTop w:val="0"/>
          <w:marBottom w:val="0"/>
          <w:divBdr>
            <w:top w:val="none" w:sz="0" w:space="0" w:color="auto"/>
            <w:left w:val="none" w:sz="0" w:space="0" w:color="auto"/>
            <w:bottom w:val="none" w:sz="0" w:space="0" w:color="auto"/>
            <w:right w:val="none" w:sz="0" w:space="0" w:color="auto"/>
          </w:divBdr>
        </w:div>
        <w:div w:id="1681466728">
          <w:marLeft w:val="640"/>
          <w:marRight w:val="0"/>
          <w:marTop w:val="0"/>
          <w:marBottom w:val="0"/>
          <w:divBdr>
            <w:top w:val="none" w:sz="0" w:space="0" w:color="auto"/>
            <w:left w:val="none" w:sz="0" w:space="0" w:color="auto"/>
            <w:bottom w:val="none" w:sz="0" w:space="0" w:color="auto"/>
            <w:right w:val="none" w:sz="0" w:space="0" w:color="auto"/>
          </w:divBdr>
        </w:div>
        <w:div w:id="571811670">
          <w:marLeft w:val="640"/>
          <w:marRight w:val="0"/>
          <w:marTop w:val="0"/>
          <w:marBottom w:val="0"/>
          <w:divBdr>
            <w:top w:val="none" w:sz="0" w:space="0" w:color="auto"/>
            <w:left w:val="none" w:sz="0" w:space="0" w:color="auto"/>
            <w:bottom w:val="none" w:sz="0" w:space="0" w:color="auto"/>
            <w:right w:val="none" w:sz="0" w:space="0" w:color="auto"/>
          </w:divBdr>
        </w:div>
        <w:div w:id="824512921">
          <w:marLeft w:val="640"/>
          <w:marRight w:val="0"/>
          <w:marTop w:val="0"/>
          <w:marBottom w:val="0"/>
          <w:divBdr>
            <w:top w:val="none" w:sz="0" w:space="0" w:color="auto"/>
            <w:left w:val="none" w:sz="0" w:space="0" w:color="auto"/>
            <w:bottom w:val="none" w:sz="0" w:space="0" w:color="auto"/>
            <w:right w:val="none" w:sz="0" w:space="0" w:color="auto"/>
          </w:divBdr>
        </w:div>
        <w:div w:id="502628047">
          <w:marLeft w:val="640"/>
          <w:marRight w:val="0"/>
          <w:marTop w:val="0"/>
          <w:marBottom w:val="0"/>
          <w:divBdr>
            <w:top w:val="none" w:sz="0" w:space="0" w:color="auto"/>
            <w:left w:val="none" w:sz="0" w:space="0" w:color="auto"/>
            <w:bottom w:val="none" w:sz="0" w:space="0" w:color="auto"/>
            <w:right w:val="none" w:sz="0" w:space="0" w:color="auto"/>
          </w:divBdr>
        </w:div>
        <w:div w:id="1964381324">
          <w:marLeft w:val="640"/>
          <w:marRight w:val="0"/>
          <w:marTop w:val="0"/>
          <w:marBottom w:val="0"/>
          <w:divBdr>
            <w:top w:val="none" w:sz="0" w:space="0" w:color="auto"/>
            <w:left w:val="none" w:sz="0" w:space="0" w:color="auto"/>
            <w:bottom w:val="none" w:sz="0" w:space="0" w:color="auto"/>
            <w:right w:val="none" w:sz="0" w:space="0" w:color="auto"/>
          </w:divBdr>
        </w:div>
        <w:div w:id="1608387622">
          <w:marLeft w:val="640"/>
          <w:marRight w:val="0"/>
          <w:marTop w:val="0"/>
          <w:marBottom w:val="0"/>
          <w:divBdr>
            <w:top w:val="none" w:sz="0" w:space="0" w:color="auto"/>
            <w:left w:val="none" w:sz="0" w:space="0" w:color="auto"/>
            <w:bottom w:val="none" w:sz="0" w:space="0" w:color="auto"/>
            <w:right w:val="none" w:sz="0" w:space="0" w:color="auto"/>
          </w:divBdr>
        </w:div>
        <w:div w:id="109594385">
          <w:marLeft w:val="640"/>
          <w:marRight w:val="0"/>
          <w:marTop w:val="0"/>
          <w:marBottom w:val="0"/>
          <w:divBdr>
            <w:top w:val="none" w:sz="0" w:space="0" w:color="auto"/>
            <w:left w:val="none" w:sz="0" w:space="0" w:color="auto"/>
            <w:bottom w:val="none" w:sz="0" w:space="0" w:color="auto"/>
            <w:right w:val="none" w:sz="0" w:space="0" w:color="auto"/>
          </w:divBdr>
        </w:div>
        <w:div w:id="1849755473">
          <w:marLeft w:val="640"/>
          <w:marRight w:val="0"/>
          <w:marTop w:val="0"/>
          <w:marBottom w:val="0"/>
          <w:divBdr>
            <w:top w:val="none" w:sz="0" w:space="0" w:color="auto"/>
            <w:left w:val="none" w:sz="0" w:space="0" w:color="auto"/>
            <w:bottom w:val="none" w:sz="0" w:space="0" w:color="auto"/>
            <w:right w:val="none" w:sz="0" w:space="0" w:color="auto"/>
          </w:divBdr>
        </w:div>
        <w:div w:id="847408343">
          <w:marLeft w:val="640"/>
          <w:marRight w:val="0"/>
          <w:marTop w:val="0"/>
          <w:marBottom w:val="0"/>
          <w:divBdr>
            <w:top w:val="none" w:sz="0" w:space="0" w:color="auto"/>
            <w:left w:val="none" w:sz="0" w:space="0" w:color="auto"/>
            <w:bottom w:val="none" w:sz="0" w:space="0" w:color="auto"/>
            <w:right w:val="none" w:sz="0" w:space="0" w:color="auto"/>
          </w:divBdr>
        </w:div>
        <w:div w:id="228809283">
          <w:marLeft w:val="640"/>
          <w:marRight w:val="0"/>
          <w:marTop w:val="0"/>
          <w:marBottom w:val="0"/>
          <w:divBdr>
            <w:top w:val="none" w:sz="0" w:space="0" w:color="auto"/>
            <w:left w:val="none" w:sz="0" w:space="0" w:color="auto"/>
            <w:bottom w:val="none" w:sz="0" w:space="0" w:color="auto"/>
            <w:right w:val="none" w:sz="0" w:space="0" w:color="auto"/>
          </w:divBdr>
        </w:div>
        <w:div w:id="1563102626">
          <w:marLeft w:val="640"/>
          <w:marRight w:val="0"/>
          <w:marTop w:val="0"/>
          <w:marBottom w:val="0"/>
          <w:divBdr>
            <w:top w:val="none" w:sz="0" w:space="0" w:color="auto"/>
            <w:left w:val="none" w:sz="0" w:space="0" w:color="auto"/>
            <w:bottom w:val="none" w:sz="0" w:space="0" w:color="auto"/>
            <w:right w:val="none" w:sz="0" w:space="0" w:color="auto"/>
          </w:divBdr>
        </w:div>
        <w:div w:id="273101955">
          <w:marLeft w:val="640"/>
          <w:marRight w:val="0"/>
          <w:marTop w:val="0"/>
          <w:marBottom w:val="0"/>
          <w:divBdr>
            <w:top w:val="none" w:sz="0" w:space="0" w:color="auto"/>
            <w:left w:val="none" w:sz="0" w:space="0" w:color="auto"/>
            <w:bottom w:val="none" w:sz="0" w:space="0" w:color="auto"/>
            <w:right w:val="none" w:sz="0" w:space="0" w:color="auto"/>
          </w:divBdr>
        </w:div>
        <w:div w:id="386995764">
          <w:marLeft w:val="640"/>
          <w:marRight w:val="0"/>
          <w:marTop w:val="0"/>
          <w:marBottom w:val="0"/>
          <w:divBdr>
            <w:top w:val="none" w:sz="0" w:space="0" w:color="auto"/>
            <w:left w:val="none" w:sz="0" w:space="0" w:color="auto"/>
            <w:bottom w:val="none" w:sz="0" w:space="0" w:color="auto"/>
            <w:right w:val="none" w:sz="0" w:space="0" w:color="auto"/>
          </w:divBdr>
        </w:div>
        <w:div w:id="1679036304">
          <w:marLeft w:val="640"/>
          <w:marRight w:val="0"/>
          <w:marTop w:val="0"/>
          <w:marBottom w:val="0"/>
          <w:divBdr>
            <w:top w:val="none" w:sz="0" w:space="0" w:color="auto"/>
            <w:left w:val="none" w:sz="0" w:space="0" w:color="auto"/>
            <w:bottom w:val="none" w:sz="0" w:space="0" w:color="auto"/>
            <w:right w:val="none" w:sz="0" w:space="0" w:color="auto"/>
          </w:divBdr>
        </w:div>
        <w:div w:id="146824865">
          <w:marLeft w:val="640"/>
          <w:marRight w:val="0"/>
          <w:marTop w:val="0"/>
          <w:marBottom w:val="0"/>
          <w:divBdr>
            <w:top w:val="none" w:sz="0" w:space="0" w:color="auto"/>
            <w:left w:val="none" w:sz="0" w:space="0" w:color="auto"/>
            <w:bottom w:val="none" w:sz="0" w:space="0" w:color="auto"/>
            <w:right w:val="none" w:sz="0" w:space="0" w:color="auto"/>
          </w:divBdr>
        </w:div>
        <w:div w:id="1866138676">
          <w:marLeft w:val="640"/>
          <w:marRight w:val="0"/>
          <w:marTop w:val="0"/>
          <w:marBottom w:val="0"/>
          <w:divBdr>
            <w:top w:val="none" w:sz="0" w:space="0" w:color="auto"/>
            <w:left w:val="none" w:sz="0" w:space="0" w:color="auto"/>
            <w:bottom w:val="none" w:sz="0" w:space="0" w:color="auto"/>
            <w:right w:val="none" w:sz="0" w:space="0" w:color="auto"/>
          </w:divBdr>
        </w:div>
        <w:div w:id="1060061730">
          <w:marLeft w:val="640"/>
          <w:marRight w:val="0"/>
          <w:marTop w:val="0"/>
          <w:marBottom w:val="0"/>
          <w:divBdr>
            <w:top w:val="none" w:sz="0" w:space="0" w:color="auto"/>
            <w:left w:val="none" w:sz="0" w:space="0" w:color="auto"/>
            <w:bottom w:val="none" w:sz="0" w:space="0" w:color="auto"/>
            <w:right w:val="none" w:sz="0" w:space="0" w:color="auto"/>
          </w:divBdr>
        </w:div>
        <w:div w:id="675426064">
          <w:marLeft w:val="640"/>
          <w:marRight w:val="0"/>
          <w:marTop w:val="0"/>
          <w:marBottom w:val="0"/>
          <w:divBdr>
            <w:top w:val="none" w:sz="0" w:space="0" w:color="auto"/>
            <w:left w:val="none" w:sz="0" w:space="0" w:color="auto"/>
            <w:bottom w:val="none" w:sz="0" w:space="0" w:color="auto"/>
            <w:right w:val="none" w:sz="0" w:space="0" w:color="auto"/>
          </w:divBdr>
        </w:div>
        <w:div w:id="2125080117">
          <w:marLeft w:val="640"/>
          <w:marRight w:val="0"/>
          <w:marTop w:val="0"/>
          <w:marBottom w:val="0"/>
          <w:divBdr>
            <w:top w:val="none" w:sz="0" w:space="0" w:color="auto"/>
            <w:left w:val="none" w:sz="0" w:space="0" w:color="auto"/>
            <w:bottom w:val="none" w:sz="0" w:space="0" w:color="auto"/>
            <w:right w:val="none" w:sz="0" w:space="0" w:color="auto"/>
          </w:divBdr>
        </w:div>
        <w:div w:id="1159273535">
          <w:marLeft w:val="640"/>
          <w:marRight w:val="0"/>
          <w:marTop w:val="0"/>
          <w:marBottom w:val="0"/>
          <w:divBdr>
            <w:top w:val="none" w:sz="0" w:space="0" w:color="auto"/>
            <w:left w:val="none" w:sz="0" w:space="0" w:color="auto"/>
            <w:bottom w:val="none" w:sz="0" w:space="0" w:color="auto"/>
            <w:right w:val="none" w:sz="0" w:space="0" w:color="auto"/>
          </w:divBdr>
        </w:div>
        <w:div w:id="830215090">
          <w:marLeft w:val="640"/>
          <w:marRight w:val="0"/>
          <w:marTop w:val="0"/>
          <w:marBottom w:val="0"/>
          <w:divBdr>
            <w:top w:val="none" w:sz="0" w:space="0" w:color="auto"/>
            <w:left w:val="none" w:sz="0" w:space="0" w:color="auto"/>
            <w:bottom w:val="none" w:sz="0" w:space="0" w:color="auto"/>
            <w:right w:val="none" w:sz="0" w:space="0" w:color="auto"/>
          </w:divBdr>
        </w:div>
        <w:div w:id="584533421">
          <w:marLeft w:val="640"/>
          <w:marRight w:val="0"/>
          <w:marTop w:val="0"/>
          <w:marBottom w:val="0"/>
          <w:divBdr>
            <w:top w:val="none" w:sz="0" w:space="0" w:color="auto"/>
            <w:left w:val="none" w:sz="0" w:space="0" w:color="auto"/>
            <w:bottom w:val="none" w:sz="0" w:space="0" w:color="auto"/>
            <w:right w:val="none" w:sz="0" w:space="0" w:color="auto"/>
          </w:divBdr>
        </w:div>
        <w:div w:id="440535092">
          <w:marLeft w:val="640"/>
          <w:marRight w:val="0"/>
          <w:marTop w:val="0"/>
          <w:marBottom w:val="0"/>
          <w:divBdr>
            <w:top w:val="none" w:sz="0" w:space="0" w:color="auto"/>
            <w:left w:val="none" w:sz="0" w:space="0" w:color="auto"/>
            <w:bottom w:val="none" w:sz="0" w:space="0" w:color="auto"/>
            <w:right w:val="none" w:sz="0" w:space="0" w:color="auto"/>
          </w:divBdr>
        </w:div>
        <w:div w:id="775978670">
          <w:marLeft w:val="640"/>
          <w:marRight w:val="0"/>
          <w:marTop w:val="0"/>
          <w:marBottom w:val="0"/>
          <w:divBdr>
            <w:top w:val="none" w:sz="0" w:space="0" w:color="auto"/>
            <w:left w:val="none" w:sz="0" w:space="0" w:color="auto"/>
            <w:bottom w:val="none" w:sz="0" w:space="0" w:color="auto"/>
            <w:right w:val="none" w:sz="0" w:space="0" w:color="auto"/>
          </w:divBdr>
        </w:div>
        <w:div w:id="193008622">
          <w:marLeft w:val="640"/>
          <w:marRight w:val="0"/>
          <w:marTop w:val="0"/>
          <w:marBottom w:val="0"/>
          <w:divBdr>
            <w:top w:val="none" w:sz="0" w:space="0" w:color="auto"/>
            <w:left w:val="none" w:sz="0" w:space="0" w:color="auto"/>
            <w:bottom w:val="none" w:sz="0" w:space="0" w:color="auto"/>
            <w:right w:val="none" w:sz="0" w:space="0" w:color="auto"/>
          </w:divBdr>
        </w:div>
        <w:div w:id="763234098">
          <w:marLeft w:val="640"/>
          <w:marRight w:val="0"/>
          <w:marTop w:val="0"/>
          <w:marBottom w:val="0"/>
          <w:divBdr>
            <w:top w:val="none" w:sz="0" w:space="0" w:color="auto"/>
            <w:left w:val="none" w:sz="0" w:space="0" w:color="auto"/>
            <w:bottom w:val="none" w:sz="0" w:space="0" w:color="auto"/>
            <w:right w:val="none" w:sz="0" w:space="0" w:color="auto"/>
          </w:divBdr>
        </w:div>
        <w:div w:id="634484810">
          <w:marLeft w:val="640"/>
          <w:marRight w:val="0"/>
          <w:marTop w:val="0"/>
          <w:marBottom w:val="0"/>
          <w:divBdr>
            <w:top w:val="none" w:sz="0" w:space="0" w:color="auto"/>
            <w:left w:val="none" w:sz="0" w:space="0" w:color="auto"/>
            <w:bottom w:val="none" w:sz="0" w:space="0" w:color="auto"/>
            <w:right w:val="none" w:sz="0" w:space="0" w:color="auto"/>
          </w:divBdr>
        </w:div>
        <w:div w:id="1495147444">
          <w:marLeft w:val="640"/>
          <w:marRight w:val="0"/>
          <w:marTop w:val="0"/>
          <w:marBottom w:val="0"/>
          <w:divBdr>
            <w:top w:val="none" w:sz="0" w:space="0" w:color="auto"/>
            <w:left w:val="none" w:sz="0" w:space="0" w:color="auto"/>
            <w:bottom w:val="none" w:sz="0" w:space="0" w:color="auto"/>
            <w:right w:val="none" w:sz="0" w:space="0" w:color="auto"/>
          </w:divBdr>
        </w:div>
        <w:div w:id="1053698725">
          <w:marLeft w:val="640"/>
          <w:marRight w:val="0"/>
          <w:marTop w:val="0"/>
          <w:marBottom w:val="0"/>
          <w:divBdr>
            <w:top w:val="none" w:sz="0" w:space="0" w:color="auto"/>
            <w:left w:val="none" w:sz="0" w:space="0" w:color="auto"/>
            <w:bottom w:val="none" w:sz="0" w:space="0" w:color="auto"/>
            <w:right w:val="none" w:sz="0" w:space="0" w:color="auto"/>
          </w:divBdr>
        </w:div>
        <w:div w:id="5443712">
          <w:marLeft w:val="640"/>
          <w:marRight w:val="0"/>
          <w:marTop w:val="0"/>
          <w:marBottom w:val="0"/>
          <w:divBdr>
            <w:top w:val="none" w:sz="0" w:space="0" w:color="auto"/>
            <w:left w:val="none" w:sz="0" w:space="0" w:color="auto"/>
            <w:bottom w:val="none" w:sz="0" w:space="0" w:color="auto"/>
            <w:right w:val="none" w:sz="0" w:space="0" w:color="auto"/>
          </w:divBdr>
        </w:div>
        <w:div w:id="2061515168">
          <w:marLeft w:val="640"/>
          <w:marRight w:val="0"/>
          <w:marTop w:val="0"/>
          <w:marBottom w:val="0"/>
          <w:divBdr>
            <w:top w:val="none" w:sz="0" w:space="0" w:color="auto"/>
            <w:left w:val="none" w:sz="0" w:space="0" w:color="auto"/>
            <w:bottom w:val="none" w:sz="0" w:space="0" w:color="auto"/>
            <w:right w:val="none" w:sz="0" w:space="0" w:color="auto"/>
          </w:divBdr>
        </w:div>
        <w:div w:id="1161895838">
          <w:marLeft w:val="640"/>
          <w:marRight w:val="0"/>
          <w:marTop w:val="0"/>
          <w:marBottom w:val="0"/>
          <w:divBdr>
            <w:top w:val="none" w:sz="0" w:space="0" w:color="auto"/>
            <w:left w:val="none" w:sz="0" w:space="0" w:color="auto"/>
            <w:bottom w:val="none" w:sz="0" w:space="0" w:color="auto"/>
            <w:right w:val="none" w:sz="0" w:space="0" w:color="auto"/>
          </w:divBdr>
        </w:div>
        <w:div w:id="314069827">
          <w:marLeft w:val="640"/>
          <w:marRight w:val="0"/>
          <w:marTop w:val="0"/>
          <w:marBottom w:val="0"/>
          <w:divBdr>
            <w:top w:val="none" w:sz="0" w:space="0" w:color="auto"/>
            <w:left w:val="none" w:sz="0" w:space="0" w:color="auto"/>
            <w:bottom w:val="none" w:sz="0" w:space="0" w:color="auto"/>
            <w:right w:val="none" w:sz="0" w:space="0" w:color="auto"/>
          </w:divBdr>
        </w:div>
        <w:div w:id="1477380047">
          <w:marLeft w:val="640"/>
          <w:marRight w:val="0"/>
          <w:marTop w:val="0"/>
          <w:marBottom w:val="0"/>
          <w:divBdr>
            <w:top w:val="none" w:sz="0" w:space="0" w:color="auto"/>
            <w:left w:val="none" w:sz="0" w:space="0" w:color="auto"/>
            <w:bottom w:val="none" w:sz="0" w:space="0" w:color="auto"/>
            <w:right w:val="none" w:sz="0" w:space="0" w:color="auto"/>
          </w:divBdr>
        </w:div>
        <w:div w:id="350105759">
          <w:marLeft w:val="640"/>
          <w:marRight w:val="0"/>
          <w:marTop w:val="0"/>
          <w:marBottom w:val="0"/>
          <w:divBdr>
            <w:top w:val="none" w:sz="0" w:space="0" w:color="auto"/>
            <w:left w:val="none" w:sz="0" w:space="0" w:color="auto"/>
            <w:bottom w:val="none" w:sz="0" w:space="0" w:color="auto"/>
            <w:right w:val="none" w:sz="0" w:space="0" w:color="auto"/>
          </w:divBdr>
        </w:div>
        <w:div w:id="1259022270">
          <w:marLeft w:val="640"/>
          <w:marRight w:val="0"/>
          <w:marTop w:val="0"/>
          <w:marBottom w:val="0"/>
          <w:divBdr>
            <w:top w:val="none" w:sz="0" w:space="0" w:color="auto"/>
            <w:left w:val="none" w:sz="0" w:space="0" w:color="auto"/>
            <w:bottom w:val="none" w:sz="0" w:space="0" w:color="auto"/>
            <w:right w:val="none" w:sz="0" w:space="0" w:color="auto"/>
          </w:divBdr>
        </w:div>
        <w:div w:id="632951918">
          <w:marLeft w:val="640"/>
          <w:marRight w:val="0"/>
          <w:marTop w:val="0"/>
          <w:marBottom w:val="0"/>
          <w:divBdr>
            <w:top w:val="none" w:sz="0" w:space="0" w:color="auto"/>
            <w:left w:val="none" w:sz="0" w:space="0" w:color="auto"/>
            <w:bottom w:val="none" w:sz="0" w:space="0" w:color="auto"/>
            <w:right w:val="none" w:sz="0" w:space="0" w:color="auto"/>
          </w:divBdr>
        </w:div>
        <w:div w:id="1372728714">
          <w:marLeft w:val="640"/>
          <w:marRight w:val="0"/>
          <w:marTop w:val="0"/>
          <w:marBottom w:val="0"/>
          <w:divBdr>
            <w:top w:val="none" w:sz="0" w:space="0" w:color="auto"/>
            <w:left w:val="none" w:sz="0" w:space="0" w:color="auto"/>
            <w:bottom w:val="none" w:sz="0" w:space="0" w:color="auto"/>
            <w:right w:val="none" w:sz="0" w:space="0" w:color="auto"/>
          </w:divBdr>
        </w:div>
        <w:div w:id="313753464">
          <w:marLeft w:val="640"/>
          <w:marRight w:val="0"/>
          <w:marTop w:val="0"/>
          <w:marBottom w:val="0"/>
          <w:divBdr>
            <w:top w:val="none" w:sz="0" w:space="0" w:color="auto"/>
            <w:left w:val="none" w:sz="0" w:space="0" w:color="auto"/>
            <w:bottom w:val="none" w:sz="0" w:space="0" w:color="auto"/>
            <w:right w:val="none" w:sz="0" w:space="0" w:color="auto"/>
          </w:divBdr>
        </w:div>
        <w:div w:id="1369795385">
          <w:marLeft w:val="640"/>
          <w:marRight w:val="0"/>
          <w:marTop w:val="0"/>
          <w:marBottom w:val="0"/>
          <w:divBdr>
            <w:top w:val="none" w:sz="0" w:space="0" w:color="auto"/>
            <w:left w:val="none" w:sz="0" w:space="0" w:color="auto"/>
            <w:bottom w:val="none" w:sz="0" w:space="0" w:color="auto"/>
            <w:right w:val="none" w:sz="0" w:space="0" w:color="auto"/>
          </w:divBdr>
        </w:div>
        <w:div w:id="397019147">
          <w:marLeft w:val="640"/>
          <w:marRight w:val="0"/>
          <w:marTop w:val="0"/>
          <w:marBottom w:val="0"/>
          <w:divBdr>
            <w:top w:val="none" w:sz="0" w:space="0" w:color="auto"/>
            <w:left w:val="none" w:sz="0" w:space="0" w:color="auto"/>
            <w:bottom w:val="none" w:sz="0" w:space="0" w:color="auto"/>
            <w:right w:val="none" w:sz="0" w:space="0" w:color="auto"/>
          </w:divBdr>
        </w:div>
        <w:div w:id="96756541">
          <w:marLeft w:val="640"/>
          <w:marRight w:val="0"/>
          <w:marTop w:val="0"/>
          <w:marBottom w:val="0"/>
          <w:divBdr>
            <w:top w:val="none" w:sz="0" w:space="0" w:color="auto"/>
            <w:left w:val="none" w:sz="0" w:space="0" w:color="auto"/>
            <w:bottom w:val="none" w:sz="0" w:space="0" w:color="auto"/>
            <w:right w:val="none" w:sz="0" w:space="0" w:color="auto"/>
          </w:divBdr>
        </w:div>
        <w:div w:id="812017610">
          <w:marLeft w:val="640"/>
          <w:marRight w:val="0"/>
          <w:marTop w:val="0"/>
          <w:marBottom w:val="0"/>
          <w:divBdr>
            <w:top w:val="none" w:sz="0" w:space="0" w:color="auto"/>
            <w:left w:val="none" w:sz="0" w:space="0" w:color="auto"/>
            <w:bottom w:val="none" w:sz="0" w:space="0" w:color="auto"/>
            <w:right w:val="none" w:sz="0" w:space="0" w:color="auto"/>
          </w:divBdr>
        </w:div>
        <w:div w:id="1190417446">
          <w:marLeft w:val="640"/>
          <w:marRight w:val="0"/>
          <w:marTop w:val="0"/>
          <w:marBottom w:val="0"/>
          <w:divBdr>
            <w:top w:val="none" w:sz="0" w:space="0" w:color="auto"/>
            <w:left w:val="none" w:sz="0" w:space="0" w:color="auto"/>
            <w:bottom w:val="none" w:sz="0" w:space="0" w:color="auto"/>
            <w:right w:val="none" w:sz="0" w:space="0" w:color="auto"/>
          </w:divBdr>
        </w:div>
      </w:divsChild>
    </w:div>
    <w:div w:id="1566139335">
      <w:bodyDiv w:val="1"/>
      <w:marLeft w:val="0"/>
      <w:marRight w:val="0"/>
      <w:marTop w:val="0"/>
      <w:marBottom w:val="0"/>
      <w:divBdr>
        <w:top w:val="none" w:sz="0" w:space="0" w:color="auto"/>
        <w:left w:val="none" w:sz="0" w:space="0" w:color="auto"/>
        <w:bottom w:val="none" w:sz="0" w:space="0" w:color="auto"/>
        <w:right w:val="none" w:sz="0" w:space="0" w:color="auto"/>
      </w:divBdr>
    </w:div>
    <w:div w:id="1568374226">
      <w:bodyDiv w:val="1"/>
      <w:marLeft w:val="0"/>
      <w:marRight w:val="0"/>
      <w:marTop w:val="0"/>
      <w:marBottom w:val="0"/>
      <w:divBdr>
        <w:top w:val="none" w:sz="0" w:space="0" w:color="auto"/>
        <w:left w:val="none" w:sz="0" w:space="0" w:color="auto"/>
        <w:bottom w:val="none" w:sz="0" w:space="0" w:color="auto"/>
        <w:right w:val="none" w:sz="0" w:space="0" w:color="auto"/>
      </w:divBdr>
    </w:div>
    <w:div w:id="1570112514">
      <w:bodyDiv w:val="1"/>
      <w:marLeft w:val="0"/>
      <w:marRight w:val="0"/>
      <w:marTop w:val="0"/>
      <w:marBottom w:val="0"/>
      <w:divBdr>
        <w:top w:val="none" w:sz="0" w:space="0" w:color="auto"/>
        <w:left w:val="none" w:sz="0" w:space="0" w:color="auto"/>
        <w:bottom w:val="none" w:sz="0" w:space="0" w:color="auto"/>
        <w:right w:val="none" w:sz="0" w:space="0" w:color="auto"/>
      </w:divBdr>
    </w:div>
    <w:div w:id="1570849520">
      <w:bodyDiv w:val="1"/>
      <w:marLeft w:val="0"/>
      <w:marRight w:val="0"/>
      <w:marTop w:val="0"/>
      <w:marBottom w:val="0"/>
      <w:divBdr>
        <w:top w:val="none" w:sz="0" w:space="0" w:color="auto"/>
        <w:left w:val="none" w:sz="0" w:space="0" w:color="auto"/>
        <w:bottom w:val="none" w:sz="0" w:space="0" w:color="auto"/>
        <w:right w:val="none" w:sz="0" w:space="0" w:color="auto"/>
      </w:divBdr>
    </w:div>
    <w:div w:id="1571185043">
      <w:bodyDiv w:val="1"/>
      <w:marLeft w:val="0"/>
      <w:marRight w:val="0"/>
      <w:marTop w:val="0"/>
      <w:marBottom w:val="0"/>
      <w:divBdr>
        <w:top w:val="none" w:sz="0" w:space="0" w:color="auto"/>
        <w:left w:val="none" w:sz="0" w:space="0" w:color="auto"/>
        <w:bottom w:val="none" w:sz="0" w:space="0" w:color="auto"/>
        <w:right w:val="none" w:sz="0" w:space="0" w:color="auto"/>
      </w:divBdr>
    </w:div>
    <w:div w:id="1572495416">
      <w:bodyDiv w:val="1"/>
      <w:marLeft w:val="0"/>
      <w:marRight w:val="0"/>
      <w:marTop w:val="0"/>
      <w:marBottom w:val="0"/>
      <w:divBdr>
        <w:top w:val="none" w:sz="0" w:space="0" w:color="auto"/>
        <w:left w:val="none" w:sz="0" w:space="0" w:color="auto"/>
        <w:bottom w:val="none" w:sz="0" w:space="0" w:color="auto"/>
        <w:right w:val="none" w:sz="0" w:space="0" w:color="auto"/>
      </w:divBdr>
    </w:div>
    <w:div w:id="1572890236">
      <w:bodyDiv w:val="1"/>
      <w:marLeft w:val="0"/>
      <w:marRight w:val="0"/>
      <w:marTop w:val="0"/>
      <w:marBottom w:val="0"/>
      <w:divBdr>
        <w:top w:val="none" w:sz="0" w:space="0" w:color="auto"/>
        <w:left w:val="none" w:sz="0" w:space="0" w:color="auto"/>
        <w:bottom w:val="none" w:sz="0" w:space="0" w:color="auto"/>
        <w:right w:val="none" w:sz="0" w:space="0" w:color="auto"/>
      </w:divBdr>
    </w:div>
    <w:div w:id="1574465512">
      <w:bodyDiv w:val="1"/>
      <w:marLeft w:val="0"/>
      <w:marRight w:val="0"/>
      <w:marTop w:val="0"/>
      <w:marBottom w:val="0"/>
      <w:divBdr>
        <w:top w:val="none" w:sz="0" w:space="0" w:color="auto"/>
        <w:left w:val="none" w:sz="0" w:space="0" w:color="auto"/>
        <w:bottom w:val="none" w:sz="0" w:space="0" w:color="auto"/>
        <w:right w:val="none" w:sz="0" w:space="0" w:color="auto"/>
      </w:divBdr>
    </w:div>
    <w:div w:id="1575124757">
      <w:bodyDiv w:val="1"/>
      <w:marLeft w:val="0"/>
      <w:marRight w:val="0"/>
      <w:marTop w:val="0"/>
      <w:marBottom w:val="0"/>
      <w:divBdr>
        <w:top w:val="none" w:sz="0" w:space="0" w:color="auto"/>
        <w:left w:val="none" w:sz="0" w:space="0" w:color="auto"/>
        <w:bottom w:val="none" w:sz="0" w:space="0" w:color="auto"/>
        <w:right w:val="none" w:sz="0" w:space="0" w:color="auto"/>
      </w:divBdr>
    </w:div>
    <w:div w:id="1578705851">
      <w:bodyDiv w:val="1"/>
      <w:marLeft w:val="0"/>
      <w:marRight w:val="0"/>
      <w:marTop w:val="0"/>
      <w:marBottom w:val="0"/>
      <w:divBdr>
        <w:top w:val="none" w:sz="0" w:space="0" w:color="auto"/>
        <w:left w:val="none" w:sz="0" w:space="0" w:color="auto"/>
        <w:bottom w:val="none" w:sz="0" w:space="0" w:color="auto"/>
        <w:right w:val="none" w:sz="0" w:space="0" w:color="auto"/>
      </w:divBdr>
    </w:div>
    <w:div w:id="1579048944">
      <w:bodyDiv w:val="1"/>
      <w:marLeft w:val="0"/>
      <w:marRight w:val="0"/>
      <w:marTop w:val="0"/>
      <w:marBottom w:val="0"/>
      <w:divBdr>
        <w:top w:val="none" w:sz="0" w:space="0" w:color="auto"/>
        <w:left w:val="none" w:sz="0" w:space="0" w:color="auto"/>
        <w:bottom w:val="none" w:sz="0" w:space="0" w:color="auto"/>
        <w:right w:val="none" w:sz="0" w:space="0" w:color="auto"/>
      </w:divBdr>
    </w:div>
    <w:div w:id="1580211064">
      <w:bodyDiv w:val="1"/>
      <w:marLeft w:val="0"/>
      <w:marRight w:val="0"/>
      <w:marTop w:val="0"/>
      <w:marBottom w:val="0"/>
      <w:divBdr>
        <w:top w:val="none" w:sz="0" w:space="0" w:color="auto"/>
        <w:left w:val="none" w:sz="0" w:space="0" w:color="auto"/>
        <w:bottom w:val="none" w:sz="0" w:space="0" w:color="auto"/>
        <w:right w:val="none" w:sz="0" w:space="0" w:color="auto"/>
      </w:divBdr>
    </w:div>
    <w:div w:id="1582524216">
      <w:bodyDiv w:val="1"/>
      <w:marLeft w:val="0"/>
      <w:marRight w:val="0"/>
      <w:marTop w:val="0"/>
      <w:marBottom w:val="0"/>
      <w:divBdr>
        <w:top w:val="none" w:sz="0" w:space="0" w:color="auto"/>
        <w:left w:val="none" w:sz="0" w:space="0" w:color="auto"/>
        <w:bottom w:val="none" w:sz="0" w:space="0" w:color="auto"/>
        <w:right w:val="none" w:sz="0" w:space="0" w:color="auto"/>
      </w:divBdr>
    </w:div>
    <w:div w:id="1582905459">
      <w:bodyDiv w:val="1"/>
      <w:marLeft w:val="0"/>
      <w:marRight w:val="0"/>
      <w:marTop w:val="0"/>
      <w:marBottom w:val="0"/>
      <w:divBdr>
        <w:top w:val="none" w:sz="0" w:space="0" w:color="auto"/>
        <w:left w:val="none" w:sz="0" w:space="0" w:color="auto"/>
        <w:bottom w:val="none" w:sz="0" w:space="0" w:color="auto"/>
        <w:right w:val="none" w:sz="0" w:space="0" w:color="auto"/>
      </w:divBdr>
    </w:div>
    <w:div w:id="1584561957">
      <w:bodyDiv w:val="1"/>
      <w:marLeft w:val="0"/>
      <w:marRight w:val="0"/>
      <w:marTop w:val="0"/>
      <w:marBottom w:val="0"/>
      <w:divBdr>
        <w:top w:val="none" w:sz="0" w:space="0" w:color="auto"/>
        <w:left w:val="none" w:sz="0" w:space="0" w:color="auto"/>
        <w:bottom w:val="none" w:sz="0" w:space="0" w:color="auto"/>
        <w:right w:val="none" w:sz="0" w:space="0" w:color="auto"/>
      </w:divBdr>
      <w:divsChild>
        <w:div w:id="1124039466">
          <w:marLeft w:val="640"/>
          <w:marRight w:val="0"/>
          <w:marTop w:val="0"/>
          <w:marBottom w:val="0"/>
          <w:divBdr>
            <w:top w:val="none" w:sz="0" w:space="0" w:color="auto"/>
            <w:left w:val="none" w:sz="0" w:space="0" w:color="auto"/>
            <w:bottom w:val="none" w:sz="0" w:space="0" w:color="auto"/>
            <w:right w:val="none" w:sz="0" w:space="0" w:color="auto"/>
          </w:divBdr>
        </w:div>
        <w:div w:id="882323838">
          <w:marLeft w:val="640"/>
          <w:marRight w:val="0"/>
          <w:marTop w:val="0"/>
          <w:marBottom w:val="0"/>
          <w:divBdr>
            <w:top w:val="none" w:sz="0" w:space="0" w:color="auto"/>
            <w:left w:val="none" w:sz="0" w:space="0" w:color="auto"/>
            <w:bottom w:val="none" w:sz="0" w:space="0" w:color="auto"/>
            <w:right w:val="none" w:sz="0" w:space="0" w:color="auto"/>
          </w:divBdr>
        </w:div>
        <w:div w:id="1030496985">
          <w:marLeft w:val="640"/>
          <w:marRight w:val="0"/>
          <w:marTop w:val="0"/>
          <w:marBottom w:val="0"/>
          <w:divBdr>
            <w:top w:val="none" w:sz="0" w:space="0" w:color="auto"/>
            <w:left w:val="none" w:sz="0" w:space="0" w:color="auto"/>
            <w:bottom w:val="none" w:sz="0" w:space="0" w:color="auto"/>
            <w:right w:val="none" w:sz="0" w:space="0" w:color="auto"/>
          </w:divBdr>
        </w:div>
        <w:div w:id="1808669967">
          <w:marLeft w:val="640"/>
          <w:marRight w:val="0"/>
          <w:marTop w:val="0"/>
          <w:marBottom w:val="0"/>
          <w:divBdr>
            <w:top w:val="none" w:sz="0" w:space="0" w:color="auto"/>
            <w:left w:val="none" w:sz="0" w:space="0" w:color="auto"/>
            <w:bottom w:val="none" w:sz="0" w:space="0" w:color="auto"/>
            <w:right w:val="none" w:sz="0" w:space="0" w:color="auto"/>
          </w:divBdr>
        </w:div>
        <w:div w:id="1609972917">
          <w:marLeft w:val="640"/>
          <w:marRight w:val="0"/>
          <w:marTop w:val="0"/>
          <w:marBottom w:val="0"/>
          <w:divBdr>
            <w:top w:val="none" w:sz="0" w:space="0" w:color="auto"/>
            <w:left w:val="none" w:sz="0" w:space="0" w:color="auto"/>
            <w:bottom w:val="none" w:sz="0" w:space="0" w:color="auto"/>
            <w:right w:val="none" w:sz="0" w:space="0" w:color="auto"/>
          </w:divBdr>
        </w:div>
        <w:div w:id="67311694">
          <w:marLeft w:val="640"/>
          <w:marRight w:val="0"/>
          <w:marTop w:val="0"/>
          <w:marBottom w:val="0"/>
          <w:divBdr>
            <w:top w:val="none" w:sz="0" w:space="0" w:color="auto"/>
            <w:left w:val="none" w:sz="0" w:space="0" w:color="auto"/>
            <w:bottom w:val="none" w:sz="0" w:space="0" w:color="auto"/>
            <w:right w:val="none" w:sz="0" w:space="0" w:color="auto"/>
          </w:divBdr>
        </w:div>
        <w:div w:id="26177654">
          <w:marLeft w:val="640"/>
          <w:marRight w:val="0"/>
          <w:marTop w:val="0"/>
          <w:marBottom w:val="0"/>
          <w:divBdr>
            <w:top w:val="none" w:sz="0" w:space="0" w:color="auto"/>
            <w:left w:val="none" w:sz="0" w:space="0" w:color="auto"/>
            <w:bottom w:val="none" w:sz="0" w:space="0" w:color="auto"/>
            <w:right w:val="none" w:sz="0" w:space="0" w:color="auto"/>
          </w:divBdr>
        </w:div>
        <w:div w:id="1986231379">
          <w:marLeft w:val="640"/>
          <w:marRight w:val="0"/>
          <w:marTop w:val="0"/>
          <w:marBottom w:val="0"/>
          <w:divBdr>
            <w:top w:val="none" w:sz="0" w:space="0" w:color="auto"/>
            <w:left w:val="none" w:sz="0" w:space="0" w:color="auto"/>
            <w:bottom w:val="none" w:sz="0" w:space="0" w:color="auto"/>
            <w:right w:val="none" w:sz="0" w:space="0" w:color="auto"/>
          </w:divBdr>
        </w:div>
        <w:div w:id="820117922">
          <w:marLeft w:val="640"/>
          <w:marRight w:val="0"/>
          <w:marTop w:val="0"/>
          <w:marBottom w:val="0"/>
          <w:divBdr>
            <w:top w:val="none" w:sz="0" w:space="0" w:color="auto"/>
            <w:left w:val="none" w:sz="0" w:space="0" w:color="auto"/>
            <w:bottom w:val="none" w:sz="0" w:space="0" w:color="auto"/>
            <w:right w:val="none" w:sz="0" w:space="0" w:color="auto"/>
          </w:divBdr>
        </w:div>
        <w:div w:id="616762711">
          <w:marLeft w:val="640"/>
          <w:marRight w:val="0"/>
          <w:marTop w:val="0"/>
          <w:marBottom w:val="0"/>
          <w:divBdr>
            <w:top w:val="none" w:sz="0" w:space="0" w:color="auto"/>
            <w:left w:val="none" w:sz="0" w:space="0" w:color="auto"/>
            <w:bottom w:val="none" w:sz="0" w:space="0" w:color="auto"/>
            <w:right w:val="none" w:sz="0" w:space="0" w:color="auto"/>
          </w:divBdr>
        </w:div>
        <w:div w:id="1515654628">
          <w:marLeft w:val="640"/>
          <w:marRight w:val="0"/>
          <w:marTop w:val="0"/>
          <w:marBottom w:val="0"/>
          <w:divBdr>
            <w:top w:val="none" w:sz="0" w:space="0" w:color="auto"/>
            <w:left w:val="none" w:sz="0" w:space="0" w:color="auto"/>
            <w:bottom w:val="none" w:sz="0" w:space="0" w:color="auto"/>
            <w:right w:val="none" w:sz="0" w:space="0" w:color="auto"/>
          </w:divBdr>
        </w:div>
        <w:div w:id="1604412721">
          <w:marLeft w:val="640"/>
          <w:marRight w:val="0"/>
          <w:marTop w:val="0"/>
          <w:marBottom w:val="0"/>
          <w:divBdr>
            <w:top w:val="none" w:sz="0" w:space="0" w:color="auto"/>
            <w:left w:val="none" w:sz="0" w:space="0" w:color="auto"/>
            <w:bottom w:val="none" w:sz="0" w:space="0" w:color="auto"/>
            <w:right w:val="none" w:sz="0" w:space="0" w:color="auto"/>
          </w:divBdr>
        </w:div>
        <w:div w:id="737482843">
          <w:marLeft w:val="640"/>
          <w:marRight w:val="0"/>
          <w:marTop w:val="0"/>
          <w:marBottom w:val="0"/>
          <w:divBdr>
            <w:top w:val="none" w:sz="0" w:space="0" w:color="auto"/>
            <w:left w:val="none" w:sz="0" w:space="0" w:color="auto"/>
            <w:bottom w:val="none" w:sz="0" w:space="0" w:color="auto"/>
            <w:right w:val="none" w:sz="0" w:space="0" w:color="auto"/>
          </w:divBdr>
        </w:div>
        <w:div w:id="1678655291">
          <w:marLeft w:val="640"/>
          <w:marRight w:val="0"/>
          <w:marTop w:val="0"/>
          <w:marBottom w:val="0"/>
          <w:divBdr>
            <w:top w:val="none" w:sz="0" w:space="0" w:color="auto"/>
            <w:left w:val="none" w:sz="0" w:space="0" w:color="auto"/>
            <w:bottom w:val="none" w:sz="0" w:space="0" w:color="auto"/>
            <w:right w:val="none" w:sz="0" w:space="0" w:color="auto"/>
          </w:divBdr>
        </w:div>
        <w:div w:id="1150709098">
          <w:marLeft w:val="640"/>
          <w:marRight w:val="0"/>
          <w:marTop w:val="0"/>
          <w:marBottom w:val="0"/>
          <w:divBdr>
            <w:top w:val="none" w:sz="0" w:space="0" w:color="auto"/>
            <w:left w:val="none" w:sz="0" w:space="0" w:color="auto"/>
            <w:bottom w:val="none" w:sz="0" w:space="0" w:color="auto"/>
            <w:right w:val="none" w:sz="0" w:space="0" w:color="auto"/>
          </w:divBdr>
        </w:div>
        <w:div w:id="558444911">
          <w:marLeft w:val="640"/>
          <w:marRight w:val="0"/>
          <w:marTop w:val="0"/>
          <w:marBottom w:val="0"/>
          <w:divBdr>
            <w:top w:val="none" w:sz="0" w:space="0" w:color="auto"/>
            <w:left w:val="none" w:sz="0" w:space="0" w:color="auto"/>
            <w:bottom w:val="none" w:sz="0" w:space="0" w:color="auto"/>
            <w:right w:val="none" w:sz="0" w:space="0" w:color="auto"/>
          </w:divBdr>
        </w:div>
        <w:div w:id="2042391377">
          <w:marLeft w:val="640"/>
          <w:marRight w:val="0"/>
          <w:marTop w:val="0"/>
          <w:marBottom w:val="0"/>
          <w:divBdr>
            <w:top w:val="none" w:sz="0" w:space="0" w:color="auto"/>
            <w:left w:val="none" w:sz="0" w:space="0" w:color="auto"/>
            <w:bottom w:val="none" w:sz="0" w:space="0" w:color="auto"/>
            <w:right w:val="none" w:sz="0" w:space="0" w:color="auto"/>
          </w:divBdr>
        </w:div>
        <w:div w:id="729231489">
          <w:marLeft w:val="640"/>
          <w:marRight w:val="0"/>
          <w:marTop w:val="0"/>
          <w:marBottom w:val="0"/>
          <w:divBdr>
            <w:top w:val="none" w:sz="0" w:space="0" w:color="auto"/>
            <w:left w:val="none" w:sz="0" w:space="0" w:color="auto"/>
            <w:bottom w:val="none" w:sz="0" w:space="0" w:color="auto"/>
            <w:right w:val="none" w:sz="0" w:space="0" w:color="auto"/>
          </w:divBdr>
        </w:div>
        <w:div w:id="1660111592">
          <w:marLeft w:val="640"/>
          <w:marRight w:val="0"/>
          <w:marTop w:val="0"/>
          <w:marBottom w:val="0"/>
          <w:divBdr>
            <w:top w:val="none" w:sz="0" w:space="0" w:color="auto"/>
            <w:left w:val="none" w:sz="0" w:space="0" w:color="auto"/>
            <w:bottom w:val="none" w:sz="0" w:space="0" w:color="auto"/>
            <w:right w:val="none" w:sz="0" w:space="0" w:color="auto"/>
          </w:divBdr>
        </w:div>
        <w:div w:id="1372068447">
          <w:marLeft w:val="640"/>
          <w:marRight w:val="0"/>
          <w:marTop w:val="0"/>
          <w:marBottom w:val="0"/>
          <w:divBdr>
            <w:top w:val="none" w:sz="0" w:space="0" w:color="auto"/>
            <w:left w:val="none" w:sz="0" w:space="0" w:color="auto"/>
            <w:bottom w:val="none" w:sz="0" w:space="0" w:color="auto"/>
            <w:right w:val="none" w:sz="0" w:space="0" w:color="auto"/>
          </w:divBdr>
        </w:div>
        <w:div w:id="1180698479">
          <w:marLeft w:val="640"/>
          <w:marRight w:val="0"/>
          <w:marTop w:val="0"/>
          <w:marBottom w:val="0"/>
          <w:divBdr>
            <w:top w:val="none" w:sz="0" w:space="0" w:color="auto"/>
            <w:left w:val="none" w:sz="0" w:space="0" w:color="auto"/>
            <w:bottom w:val="none" w:sz="0" w:space="0" w:color="auto"/>
            <w:right w:val="none" w:sz="0" w:space="0" w:color="auto"/>
          </w:divBdr>
        </w:div>
        <w:div w:id="675233307">
          <w:marLeft w:val="640"/>
          <w:marRight w:val="0"/>
          <w:marTop w:val="0"/>
          <w:marBottom w:val="0"/>
          <w:divBdr>
            <w:top w:val="none" w:sz="0" w:space="0" w:color="auto"/>
            <w:left w:val="none" w:sz="0" w:space="0" w:color="auto"/>
            <w:bottom w:val="none" w:sz="0" w:space="0" w:color="auto"/>
            <w:right w:val="none" w:sz="0" w:space="0" w:color="auto"/>
          </w:divBdr>
        </w:div>
        <w:div w:id="850527273">
          <w:marLeft w:val="640"/>
          <w:marRight w:val="0"/>
          <w:marTop w:val="0"/>
          <w:marBottom w:val="0"/>
          <w:divBdr>
            <w:top w:val="none" w:sz="0" w:space="0" w:color="auto"/>
            <w:left w:val="none" w:sz="0" w:space="0" w:color="auto"/>
            <w:bottom w:val="none" w:sz="0" w:space="0" w:color="auto"/>
            <w:right w:val="none" w:sz="0" w:space="0" w:color="auto"/>
          </w:divBdr>
        </w:div>
        <w:div w:id="885019948">
          <w:marLeft w:val="640"/>
          <w:marRight w:val="0"/>
          <w:marTop w:val="0"/>
          <w:marBottom w:val="0"/>
          <w:divBdr>
            <w:top w:val="none" w:sz="0" w:space="0" w:color="auto"/>
            <w:left w:val="none" w:sz="0" w:space="0" w:color="auto"/>
            <w:bottom w:val="none" w:sz="0" w:space="0" w:color="auto"/>
            <w:right w:val="none" w:sz="0" w:space="0" w:color="auto"/>
          </w:divBdr>
        </w:div>
        <w:div w:id="301545357">
          <w:marLeft w:val="640"/>
          <w:marRight w:val="0"/>
          <w:marTop w:val="0"/>
          <w:marBottom w:val="0"/>
          <w:divBdr>
            <w:top w:val="none" w:sz="0" w:space="0" w:color="auto"/>
            <w:left w:val="none" w:sz="0" w:space="0" w:color="auto"/>
            <w:bottom w:val="none" w:sz="0" w:space="0" w:color="auto"/>
            <w:right w:val="none" w:sz="0" w:space="0" w:color="auto"/>
          </w:divBdr>
        </w:div>
        <w:div w:id="873733101">
          <w:marLeft w:val="640"/>
          <w:marRight w:val="0"/>
          <w:marTop w:val="0"/>
          <w:marBottom w:val="0"/>
          <w:divBdr>
            <w:top w:val="none" w:sz="0" w:space="0" w:color="auto"/>
            <w:left w:val="none" w:sz="0" w:space="0" w:color="auto"/>
            <w:bottom w:val="none" w:sz="0" w:space="0" w:color="auto"/>
            <w:right w:val="none" w:sz="0" w:space="0" w:color="auto"/>
          </w:divBdr>
        </w:div>
        <w:div w:id="1378120575">
          <w:marLeft w:val="640"/>
          <w:marRight w:val="0"/>
          <w:marTop w:val="0"/>
          <w:marBottom w:val="0"/>
          <w:divBdr>
            <w:top w:val="none" w:sz="0" w:space="0" w:color="auto"/>
            <w:left w:val="none" w:sz="0" w:space="0" w:color="auto"/>
            <w:bottom w:val="none" w:sz="0" w:space="0" w:color="auto"/>
            <w:right w:val="none" w:sz="0" w:space="0" w:color="auto"/>
          </w:divBdr>
        </w:div>
        <w:div w:id="1789931226">
          <w:marLeft w:val="640"/>
          <w:marRight w:val="0"/>
          <w:marTop w:val="0"/>
          <w:marBottom w:val="0"/>
          <w:divBdr>
            <w:top w:val="none" w:sz="0" w:space="0" w:color="auto"/>
            <w:left w:val="none" w:sz="0" w:space="0" w:color="auto"/>
            <w:bottom w:val="none" w:sz="0" w:space="0" w:color="auto"/>
            <w:right w:val="none" w:sz="0" w:space="0" w:color="auto"/>
          </w:divBdr>
        </w:div>
        <w:div w:id="2127966900">
          <w:marLeft w:val="640"/>
          <w:marRight w:val="0"/>
          <w:marTop w:val="0"/>
          <w:marBottom w:val="0"/>
          <w:divBdr>
            <w:top w:val="none" w:sz="0" w:space="0" w:color="auto"/>
            <w:left w:val="none" w:sz="0" w:space="0" w:color="auto"/>
            <w:bottom w:val="none" w:sz="0" w:space="0" w:color="auto"/>
            <w:right w:val="none" w:sz="0" w:space="0" w:color="auto"/>
          </w:divBdr>
        </w:div>
        <w:div w:id="743602817">
          <w:marLeft w:val="640"/>
          <w:marRight w:val="0"/>
          <w:marTop w:val="0"/>
          <w:marBottom w:val="0"/>
          <w:divBdr>
            <w:top w:val="none" w:sz="0" w:space="0" w:color="auto"/>
            <w:left w:val="none" w:sz="0" w:space="0" w:color="auto"/>
            <w:bottom w:val="none" w:sz="0" w:space="0" w:color="auto"/>
            <w:right w:val="none" w:sz="0" w:space="0" w:color="auto"/>
          </w:divBdr>
        </w:div>
        <w:div w:id="1170485910">
          <w:marLeft w:val="640"/>
          <w:marRight w:val="0"/>
          <w:marTop w:val="0"/>
          <w:marBottom w:val="0"/>
          <w:divBdr>
            <w:top w:val="none" w:sz="0" w:space="0" w:color="auto"/>
            <w:left w:val="none" w:sz="0" w:space="0" w:color="auto"/>
            <w:bottom w:val="none" w:sz="0" w:space="0" w:color="auto"/>
            <w:right w:val="none" w:sz="0" w:space="0" w:color="auto"/>
          </w:divBdr>
        </w:div>
        <w:div w:id="752161299">
          <w:marLeft w:val="640"/>
          <w:marRight w:val="0"/>
          <w:marTop w:val="0"/>
          <w:marBottom w:val="0"/>
          <w:divBdr>
            <w:top w:val="none" w:sz="0" w:space="0" w:color="auto"/>
            <w:left w:val="none" w:sz="0" w:space="0" w:color="auto"/>
            <w:bottom w:val="none" w:sz="0" w:space="0" w:color="auto"/>
            <w:right w:val="none" w:sz="0" w:space="0" w:color="auto"/>
          </w:divBdr>
        </w:div>
        <w:div w:id="2146238959">
          <w:marLeft w:val="640"/>
          <w:marRight w:val="0"/>
          <w:marTop w:val="0"/>
          <w:marBottom w:val="0"/>
          <w:divBdr>
            <w:top w:val="none" w:sz="0" w:space="0" w:color="auto"/>
            <w:left w:val="none" w:sz="0" w:space="0" w:color="auto"/>
            <w:bottom w:val="none" w:sz="0" w:space="0" w:color="auto"/>
            <w:right w:val="none" w:sz="0" w:space="0" w:color="auto"/>
          </w:divBdr>
        </w:div>
        <w:div w:id="894705965">
          <w:marLeft w:val="640"/>
          <w:marRight w:val="0"/>
          <w:marTop w:val="0"/>
          <w:marBottom w:val="0"/>
          <w:divBdr>
            <w:top w:val="none" w:sz="0" w:space="0" w:color="auto"/>
            <w:left w:val="none" w:sz="0" w:space="0" w:color="auto"/>
            <w:bottom w:val="none" w:sz="0" w:space="0" w:color="auto"/>
            <w:right w:val="none" w:sz="0" w:space="0" w:color="auto"/>
          </w:divBdr>
        </w:div>
        <w:div w:id="1061096798">
          <w:marLeft w:val="640"/>
          <w:marRight w:val="0"/>
          <w:marTop w:val="0"/>
          <w:marBottom w:val="0"/>
          <w:divBdr>
            <w:top w:val="none" w:sz="0" w:space="0" w:color="auto"/>
            <w:left w:val="none" w:sz="0" w:space="0" w:color="auto"/>
            <w:bottom w:val="none" w:sz="0" w:space="0" w:color="auto"/>
            <w:right w:val="none" w:sz="0" w:space="0" w:color="auto"/>
          </w:divBdr>
        </w:div>
        <w:div w:id="1519811036">
          <w:marLeft w:val="640"/>
          <w:marRight w:val="0"/>
          <w:marTop w:val="0"/>
          <w:marBottom w:val="0"/>
          <w:divBdr>
            <w:top w:val="none" w:sz="0" w:space="0" w:color="auto"/>
            <w:left w:val="none" w:sz="0" w:space="0" w:color="auto"/>
            <w:bottom w:val="none" w:sz="0" w:space="0" w:color="auto"/>
            <w:right w:val="none" w:sz="0" w:space="0" w:color="auto"/>
          </w:divBdr>
        </w:div>
        <w:div w:id="312223204">
          <w:marLeft w:val="640"/>
          <w:marRight w:val="0"/>
          <w:marTop w:val="0"/>
          <w:marBottom w:val="0"/>
          <w:divBdr>
            <w:top w:val="none" w:sz="0" w:space="0" w:color="auto"/>
            <w:left w:val="none" w:sz="0" w:space="0" w:color="auto"/>
            <w:bottom w:val="none" w:sz="0" w:space="0" w:color="auto"/>
            <w:right w:val="none" w:sz="0" w:space="0" w:color="auto"/>
          </w:divBdr>
        </w:div>
        <w:div w:id="1020663414">
          <w:marLeft w:val="640"/>
          <w:marRight w:val="0"/>
          <w:marTop w:val="0"/>
          <w:marBottom w:val="0"/>
          <w:divBdr>
            <w:top w:val="none" w:sz="0" w:space="0" w:color="auto"/>
            <w:left w:val="none" w:sz="0" w:space="0" w:color="auto"/>
            <w:bottom w:val="none" w:sz="0" w:space="0" w:color="auto"/>
            <w:right w:val="none" w:sz="0" w:space="0" w:color="auto"/>
          </w:divBdr>
        </w:div>
        <w:div w:id="1052267572">
          <w:marLeft w:val="640"/>
          <w:marRight w:val="0"/>
          <w:marTop w:val="0"/>
          <w:marBottom w:val="0"/>
          <w:divBdr>
            <w:top w:val="none" w:sz="0" w:space="0" w:color="auto"/>
            <w:left w:val="none" w:sz="0" w:space="0" w:color="auto"/>
            <w:bottom w:val="none" w:sz="0" w:space="0" w:color="auto"/>
            <w:right w:val="none" w:sz="0" w:space="0" w:color="auto"/>
          </w:divBdr>
        </w:div>
        <w:div w:id="1940327905">
          <w:marLeft w:val="640"/>
          <w:marRight w:val="0"/>
          <w:marTop w:val="0"/>
          <w:marBottom w:val="0"/>
          <w:divBdr>
            <w:top w:val="none" w:sz="0" w:space="0" w:color="auto"/>
            <w:left w:val="none" w:sz="0" w:space="0" w:color="auto"/>
            <w:bottom w:val="none" w:sz="0" w:space="0" w:color="auto"/>
            <w:right w:val="none" w:sz="0" w:space="0" w:color="auto"/>
          </w:divBdr>
        </w:div>
        <w:div w:id="1857159665">
          <w:marLeft w:val="640"/>
          <w:marRight w:val="0"/>
          <w:marTop w:val="0"/>
          <w:marBottom w:val="0"/>
          <w:divBdr>
            <w:top w:val="none" w:sz="0" w:space="0" w:color="auto"/>
            <w:left w:val="none" w:sz="0" w:space="0" w:color="auto"/>
            <w:bottom w:val="none" w:sz="0" w:space="0" w:color="auto"/>
            <w:right w:val="none" w:sz="0" w:space="0" w:color="auto"/>
          </w:divBdr>
        </w:div>
        <w:div w:id="44764262">
          <w:marLeft w:val="640"/>
          <w:marRight w:val="0"/>
          <w:marTop w:val="0"/>
          <w:marBottom w:val="0"/>
          <w:divBdr>
            <w:top w:val="none" w:sz="0" w:space="0" w:color="auto"/>
            <w:left w:val="none" w:sz="0" w:space="0" w:color="auto"/>
            <w:bottom w:val="none" w:sz="0" w:space="0" w:color="auto"/>
            <w:right w:val="none" w:sz="0" w:space="0" w:color="auto"/>
          </w:divBdr>
        </w:div>
        <w:div w:id="1054354007">
          <w:marLeft w:val="640"/>
          <w:marRight w:val="0"/>
          <w:marTop w:val="0"/>
          <w:marBottom w:val="0"/>
          <w:divBdr>
            <w:top w:val="none" w:sz="0" w:space="0" w:color="auto"/>
            <w:left w:val="none" w:sz="0" w:space="0" w:color="auto"/>
            <w:bottom w:val="none" w:sz="0" w:space="0" w:color="auto"/>
            <w:right w:val="none" w:sz="0" w:space="0" w:color="auto"/>
          </w:divBdr>
        </w:div>
        <w:div w:id="1643845877">
          <w:marLeft w:val="640"/>
          <w:marRight w:val="0"/>
          <w:marTop w:val="0"/>
          <w:marBottom w:val="0"/>
          <w:divBdr>
            <w:top w:val="none" w:sz="0" w:space="0" w:color="auto"/>
            <w:left w:val="none" w:sz="0" w:space="0" w:color="auto"/>
            <w:bottom w:val="none" w:sz="0" w:space="0" w:color="auto"/>
            <w:right w:val="none" w:sz="0" w:space="0" w:color="auto"/>
          </w:divBdr>
        </w:div>
        <w:div w:id="2008554529">
          <w:marLeft w:val="640"/>
          <w:marRight w:val="0"/>
          <w:marTop w:val="0"/>
          <w:marBottom w:val="0"/>
          <w:divBdr>
            <w:top w:val="none" w:sz="0" w:space="0" w:color="auto"/>
            <w:left w:val="none" w:sz="0" w:space="0" w:color="auto"/>
            <w:bottom w:val="none" w:sz="0" w:space="0" w:color="auto"/>
            <w:right w:val="none" w:sz="0" w:space="0" w:color="auto"/>
          </w:divBdr>
        </w:div>
        <w:div w:id="557858504">
          <w:marLeft w:val="640"/>
          <w:marRight w:val="0"/>
          <w:marTop w:val="0"/>
          <w:marBottom w:val="0"/>
          <w:divBdr>
            <w:top w:val="none" w:sz="0" w:space="0" w:color="auto"/>
            <w:left w:val="none" w:sz="0" w:space="0" w:color="auto"/>
            <w:bottom w:val="none" w:sz="0" w:space="0" w:color="auto"/>
            <w:right w:val="none" w:sz="0" w:space="0" w:color="auto"/>
          </w:divBdr>
        </w:div>
        <w:div w:id="577906249">
          <w:marLeft w:val="640"/>
          <w:marRight w:val="0"/>
          <w:marTop w:val="0"/>
          <w:marBottom w:val="0"/>
          <w:divBdr>
            <w:top w:val="none" w:sz="0" w:space="0" w:color="auto"/>
            <w:left w:val="none" w:sz="0" w:space="0" w:color="auto"/>
            <w:bottom w:val="none" w:sz="0" w:space="0" w:color="auto"/>
            <w:right w:val="none" w:sz="0" w:space="0" w:color="auto"/>
          </w:divBdr>
        </w:div>
        <w:div w:id="1541091137">
          <w:marLeft w:val="640"/>
          <w:marRight w:val="0"/>
          <w:marTop w:val="0"/>
          <w:marBottom w:val="0"/>
          <w:divBdr>
            <w:top w:val="none" w:sz="0" w:space="0" w:color="auto"/>
            <w:left w:val="none" w:sz="0" w:space="0" w:color="auto"/>
            <w:bottom w:val="none" w:sz="0" w:space="0" w:color="auto"/>
            <w:right w:val="none" w:sz="0" w:space="0" w:color="auto"/>
          </w:divBdr>
        </w:div>
        <w:div w:id="1859077312">
          <w:marLeft w:val="640"/>
          <w:marRight w:val="0"/>
          <w:marTop w:val="0"/>
          <w:marBottom w:val="0"/>
          <w:divBdr>
            <w:top w:val="none" w:sz="0" w:space="0" w:color="auto"/>
            <w:left w:val="none" w:sz="0" w:space="0" w:color="auto"/>
            <w:bottom w:val="none" w:sz="0" w:space="0" w:color="auto"/>
            <w:right w:val="none" w:sz="0" w:space="0" w:color="auto"/>
          </w:divBdr>
        </w:div>
        <w:div w:id="570697536">
          <w:marLeft w:val="640"/>
          <w:marRight w:val="0"/>
          <w:marTop w:val="0"/>
          <w:marBottom w:val="0"/>
          <w:divBdr>
            <w:top w:val="none" w:sz="0" w:space="0" w:color="auto"/>
            <w:left w:val="none" w:sz="0" w:space="0" w:color="auto"/>
            <w:bottom w:val="none" w:sz="0" w:space="0" w:color="auto"/>
            <w:right w:val="none" w:sz="0" w:space="0" w:color="auto"/>
          </w:divBdr>
        </w:div>
        <w:div w:id="1216118330">
          <w:marLeft w:val="640"/>
          <w:marRight w:val="0"/>
          <w:marTop w:val="0"/>
          <w:marBottom w:val="0"/>
          <w:divBdr>
            <w:top w:val="none" w:sz="0" w:space="0" w:color="auto"/>
            <w:left w:val="none" w:sz="0" w:space="0" w:color="auto"/>
            <w:bottom w:val="none" w:sz="0" w:space="0" w:color="auto"/>
            <w:right w:val="none" w:sz="0" w:space="0" w:color="auto"/>
          </w:divBdr>
        </w:div>
        <w:div w:id="610626961">
          <w:marLeft w:val="640"/>
          <w:marRight w:val="0"/>
          <w:marTop w:val="0"/>
          <w:marBottom w:val="0"/>
          <w:divBdr>
            <w:top w:val="none" w:sz="0" w:space="0" w:color="auto"/>
            <w:left w:val="none" w:sz="0" w:space="0" w:color="auto"/>
            <w:bottom w:val="none" w:sz="0" w:space="0" w:color="auto"/>
            <w:right w:val="none" w:sz="0" w:space="0" w:color="auto"/>
          </w:divBdr>
        </w:div>
        <w:div w:id="131868241">
          <w:marLeft w:val="640"/>
          <w:marRight w:val="0"/>
          <w:marTop w:val="0"/>
          <w:marBottom w:val="0"/>
          <w:divBdr>
            <w:top w:val="none" w:sz="0" w:space="0" w:color="auto"/>
            <w:left w:val="none" w:sz="0" w:space="0" w:color="auto"/>
            <w:bottom w:val="none" w:sz="0" w:space="0" w:color="auto"/>
            <w:right w:val="none" w:sz="0" w:space="0" w:color="auto"/>
          </w:divBdr>
        </w:div>
        <w:div w:id="86509070">
          <w:marLeft w:val="640"/>
          <w:marRight w:val="0"/>
          <w:marTop w:val="0"/>
          <w:marBottom w:val="0"/>
          <w:divBdr>
            <w:top w:val="none" w:sz="0" w:space="0" w:color="auto"/>
            <w:left w:val="none" w:sz="0" w:space="0" w:color="auto"/>
            <w:bottom w:val="none" w:sz="0" w:space="0" w:color="auto"/>
            <w:right w:val="none" w:sz="0" w:space="0" w:color="auto"/>
          </w:divBdr>
        </w:div>
        <w:div w:id="1657412936">
          <w:marLeft w:val="640"/>
          <w:marRight w:val="0"/>
          <w:marTop w:val="0"/>
          <w:marBottom w:val="0"/>
          <w:divBdr>
            <w:top w:val="none" w:sz="0" w:space="0" w:color="auto"/>
            <w:left w:val="none" w:sz="0" w:space="0" w:color="auto"/>
            <w:bottom w:val="none" w:sz="0" w:space="0" w:color="auto"/>
            <w:right w:val="none" w:sz="0" w:space="0" w:color="auto"/>
          </w:divBdr>
        </w:div>
        <w:div w:id="1642230300">
          <w:marLeft w:val="640"/>
          <w:marRight w:val="0"/>
          <w:marTop w:val="0"/>
          <w:marBottom w:val="0"/>
          <w:divBdr>
            <w:top w:val="none" w:sz="0" w:space="0" w:color="auto"/>
            <w:left w:val="none" w:sz="0" w:space="0" w:color="auto"/>
            <w:bottom w:val="none" w:sz="0" w:space="0" w:color="auto"/>
            <w:right w:val="none" w:sz="0" w:space="0" w:color="auto"/>
          </w:divBdr>
        </w:div>
        <w:div w:id="962228674">
          <w:marLeft w:val="640"/>
          <w:marRight w:val="0"/>
          <w:marTop w:val="0"/>
          <w:marBottom w:val="0"/>
          <w:divBdr>
            <w:top w:val="none" w:sz="0" w:space="0" w:color="auto"/>
            <w:left w:val="none" w:sz="0" w:space="0" w:color="auto"/>
            <w:bottom w:val="none" w:sz="0" w:space="0" w:color="auto"/>
            <w:right w:val="none" w:sz="0" w:space="0" w:color="auto"/>
          </w:divBdr>
        </w:div>
        <w:div w:id="1403526200">
          <w:marLeft w:val="640"/>
          <w:marRight w:val="0"/>
          <w:marTop w:val="0"/>
          <w:marBottom w:val="0"/>
          <w:divBdr>
            <w:top w:val="none" w:sz="0" w:space="0" w:color="auto"/>
            <w:left w:val="none" w:sz="0" w:space="0" w:color="auto"/>
            <w:bottom w:val="none" w:sz="0" w:space="0" w:color="auto"/>
            <w:right w:val="none" w:sz="0" w:space="0" w:color="auto"/>
          </w:divBdr>
        </w:div>
        <w:div w:id="328948563">
          <w:marLeft w:val="640"/>
          <w:marRight w:val="0"/>
          <w:marTop w:val="0"/>
          <w:marBottom w:val="0"/>
          <w:divBdr>
            <w:top w:val="none" w:sz="0" w:space="0" w:color="auto"/>
            <w:left w:val="none" w:sz="0" w:space="0" w:color="auto"/>
            <w:bottom w:val="none" w:sz="0" w:space="0" w:color="auto"/>
            <w:right w:val="none" w:sz="0" w:space="0" w:color="auto"/>
          </w:divBdr>
        </w:div>
        <w:div w:id="540098084">
          <w:marLeft w:val="640"/>
          <w:marRight w:val="0"/>
          <w:marTop w:val="0"/>
          <w:marBottom w:val="0"/>
          <w:divBdr>
            <w:top w:val="none" w:sz="0" w:space="0" w:color="auto"/>
            <w:left w:val="none" w:sz="0" w:space="0" w:color="auto"/>
            <w:bottom w:val="none" w:sz="0" w:space="0" w:color="auto"/>
            <w:right w:val="none" w:sz="0" w:space="0" w:color="auto"/>
          </w:divBdr>
        </w:div>
        <w:div w:id="160391258">
          <w:marLeft w:val="640"/>
          <w:marRight w:val="0"/>
          <w:marTop w:val="0"/>
          <w:marBottom w:val="0"/>
          <w:divBdr>
            <w:top w:val="none" w:sz="0" w:space="0" w:color="auto"/>
            <w:left w:val="none" w:sz="0" w:space="0" w:color="auto"/>
            <w:bottom w:val="none" w:sz="0" w:space="0" w:color="auto"/>
            <w:right w:val="none" w:sz="0" w:space="0" w:color="auto"/>
          </w:divBdr>
        </w:div>
        <w:div w:id="175771816">
          <w:marLeft w:val="640"/>
          <w:marRight w:val="0"/>
          <w:marTop w:val="0"/>
          <w:marBottom w:val="0"/>
          <w:divBdr>
            <w:top w:val="none" w:sz="0" w:space="0" w:color="auto"/>
            <w:left w:val="none" w:sz="0" w:space="0" w:color="auto"/>
            <w:bottom w:val="none" w:sz="0" w:space="0" w:color="auto"/>
            <w:right w:val="none" w:sz="0" w:space="0" w:color="auto"/>
          </w:divBdr>
        </w:div>
        <w:div w:id="296300205">
          <w:marLeft w:val="640"/>
          <w:marRight w:val="0"/>
          <w:marTop w:val="0"/>
          <w:marBottom w:val="0"/>
          <w:divBdr>
            <w:top w:val="none" w:sz="0" w:space="0" w:color="auto"/>
            <w:left w:val="none" w:sz="0" w:space="0" w:color="auto"/>
            <w:bottom w:val="none" w:sz="0" w:space="0" w:color="auto"/>
            <w:right w:val="none" w:sz="0" w:space="0" w:color="auto"/>
          </w:divBdr>
        </w:div>
        <w:div w:id="979850215">
          <w:marLeft w:val="640"/>
          <w:marRight w:val="0"/>
          <w:marTop w:val="0"/>
          <w:marBottom w:val="0"/>
          <w:divBdr>
            <w:top w:val="none" w:sz="0" w:space="0" w:color="auto"/>
            <w:left w:val="none" w:sz="0" w:space="0" w:color="auto"/>
            <w:bottom w:val="none" w:sz="0" w:space="0" w:color="auto"/>
            <w:right w:val="none" w:sz="0" w:space="0" w:color="auto"/>
          </w:divBdr>
        </w:div>
        <w:div w:id="1777167619">
          <w:marLeft w:val="640"/>
          <w:marRight w:val="0"/>
          <w:marTop w:val="0"/>
          <w:marBottom w:val="0"/>
          <w:divBdr>
            <w:top w:val="none" w:sz="0" w:space="0" w:color="auto"/>
            <w:left w:val="none" w:sz="0" w:space="0" w:color="auto"/>
            <w:bottom w:val="none" w:sz="0" w:space="0" w:color="auto"/>
            <w:right w:val="none" w:sz="0" w:space="0" w:color="auto"/>
          </w:divBdr>
        </w:div>
        <w:div w:id="873731843">
          <w:marLeft w:val="640"/>
          <w:marRight w:val="0"/>
          <w:marTop w:val="0"/>
          <w:marBottom w:val="0"/>
          <w:divBdr>
            <w:top w:val="none" w:sz="0" w:space="0" w:color="auto"/>
            <w:left w:val="none" w:sz="0" w:space="0" w:color="auto"/>
            <w:bottom w:val="none" w:sz="0" w:space="0" w:color="auto"/>
            <w:right w:val="none" w:sz="0" w:space="0" w:color="auto"/>
          </w:divBdr>
        </w:div>
        <w:div w:id="1686901562">
          <w:marLeft w:val="640"/>
          <w:marRight w:val="0"/>
          <w:marTop w:val="0"/>
          <w:marBottom w:val="0"/>
          <w:divBdr>
            <w:top w:val="none" w:sz="0" w:space="0" w:color="auto"/>
            <w:left w:val="none" w:sz="0" w:space="0" w:color="auto"/>
            <w:bottom w:val="none" w:sz="0" w:space="0" w:color="auto"/>
            <w:right w:val="none" w:sz="0" w:space="0" w:color="auto"/>
          </w:divBdr>
        </w:div>
        <w:div w:id="953830987">
          <w:marLeft w:val="640"/>
          <w:marRight w:val="0"/>
          <w:marTop w:val="0"/>
          <w:marBottom w:val="0"/>
          <w:divBdr>
            <w:top w:val="none" w:sz="0" w:space="0" w:color="auto"/>
            <w:left w:val="none" w:sz="0" w:space="0" w:color="auto"/>
            <w:bottom w:val="none" w:sz="0" w:space="0" w:color="auto"/>
            <w:right w:val="none" w:sz="0" w:space="0" w:color="auto"/>
          </w:divBdr>
        </w:div>
        <w:div w:id="642273088">
          <w:marLeft w:val="640"/>
          <w:marRight w:val="0"/>
          <w:marTop w:val="0"/>
          <w:marBottom w:val="0"/>
          <w:divBdr>
            <w:top w:val="none" w:sz="0" w:space="0" w:color="auto"/>
            <w:left w:val="none" w:sz="0" w:space="0" w:color="auto"/>
            <w:bottom w:val="none" w:sz="0" w:space="0" w:color="auto"/>
            <w:right w:val="none" w:sz="0" w:space="0" w:color="auto"/>
          </w:divBdr>
        </w:div>
        <w:div w:id="1840120656">
          <w:marLeft w:val="640"/>
          <w:marRight w:val="0"/>
          <w:marTop w:val="0"/>
          <w:marBottom w:val="0"/>
          <w:divBdr>
            <w:top w:val="none" w:sz="0" w:space="0" w:color="auto"/>
            <w:left w:val="none" w:sz="0" w:space="0" w:color="auto"/>
            <w:bottom w:val="none" w:sz="0" w:space="0" w:color="auto"/>
            <w:right w:val="none" w:sz="0" w:space="0" w:color="auto"/>
          </w:divBdr>
        </w:div>
        <w:div w:id="485513543">
          <w:marLeft w:val="640"/>
          <w:marRight w:val="0"/>
          <w:marTop w:val="0"/>
          <w:marBottom w:val="0"/>
          <w:divBdr>
            <w:top w:val="none" w:sz="0" w:space="0" w:color="auto"/>
            <w:left w:val="none" w:sz="0" w:space="0" w:color="auto"/>
            <w:bottom w:val="none" w:sz="0" w:space="0" w:color="auto"/>
            <w:right w:val="none" w:sz="0" w:space="0" w:color="auto"/>
          </w:divBdr>
        </w:div>
        <w:div w:id="302391577">
          <w:marLeft w:val="640"/>
          <w:marRight w:val="0"/>
          <w:marTop w:val="0"/>
          <w:marBottom w:val="0"/>
          <w:divBdr>
            <w:top w:val="none" w:sz="0" w:space="0" w:color="auto"/>
            <w:left w:val="none" w:sz="0" w:space="0" w:color="auto"/>
            <w:bottom w:val="none" w:sz="0" w:space="0" w:color="auto"/>
            <w:right w:val="none" w:sz="0" w:space="0" w:color="auto"/>
          </w:divBdr>
        </w:div>
        <w:div w:id="1344623971">
          <w:marLeft w:val="640"/>
          <w:marRight w:val="0"/>
          <w:marTop w:val="0"/>
          <w:marBottom w:val="0"/>
          <w:divBdr>
            <w:top w:val="none" w:sz="0" w:space="0" w:color="auto"/>
            <w:left w:val="none" w:sz="0" w:space="0" w:color="auto"/>
            <w:bottom w:val="none" w:sz="0" w:space="0" w:color="auto"/>
            <w:right w:val="none" w:sz="0" w:space="0" w:color="auto"/>
          </w:divBdr>
        </w:div>
        <w:div w:id="1796484263">
          <w:marLeft w:val="640"/>
          <w:marRight w:val="0"/>
          <w:marTop w:val="0"/>
          <w:marBottom w:val="0"/>
          <w:divBdr>
            <w:top w:val="none" w:sz="0" w:space="0" w:color="auto"/>
            <w:left w:val="none" w:sz="0" w:space="0" w:color="auto"/>
            <w:bottom w:val="none" w:sz="0" w:space="0" w:color="auto"/>
            <w:right w:val="none" w:sz="0" w:space="0" w:color="auto"/>
          </w:divBdr>
        </w:div>
        <w:div w:id="300576922">
          <w:marLeft w:val="640"/>
          <w:marRight w:val="0"/>
          <w:marTop w:val="0"/>
          <w:marBottom w:val="0"/>
          <w:divBdr>
            <w:top w:val="none" w:sz="0" w:space="0" w:color="auto"/>
            <w:left w:val="none" w:sz="0" w:space="0" w:color="auto"/>
            <w:bottom w:val="none" w:sz="0" w:space="0" w:color="auto"/>
            <w:right w:val="none" w:sz="0" w:space="0" w:color="auto"/>
          </w:divBdr>
        </w:div>
        <w:div w:id="1922837008">
          <w:marLeft w:val="640"/>
          <w:marRight w:val="0"/>
          <w:marTop w:val="0"/>
          <w:marBottom w:val="0"/>
          <w:divBdr>
            <w:top w:val="none" w:sz="0" w:space="0" w:color="auto"/>
            <w:left w:val="none" w:sz="0" w:space="0" w:color="auto"/>
            <w:bottom w:val="none" w:sz="0" w:space="0" w:color="auto"/>
            <w:right w:val="none" w:sz="0" w:space="0" w:color="auto"/>
          </w:divBdr>
        </w:div>
        <w:div w:id="1164206191">
          <w:marLeft w:val="640"/>
          <w:marRight w:val="0"/>
          <w:marTop w:val="0"/>
          <w:marBottom w:val="0"/>
          <w:divBdr>
            <w:top w:val="none" w:sz="0" w:space="0" w:color="auto"/>
            <w:left w:val="none" w:sz="0" w:space="0" w:color="auto"/>
            <w:bottom w:val="none" w:sz="0" w:space="0" w:color="auto"/>
            <w:right w:val="none" w:sz="0" w:space="0" w:color="auto"/>
          </w:divBdr>
        </w:div>
        <w:div w:id="571278423">
          <w:marLeft w:val="640"/>
          <w:marRight w:val="0"/>
          <w:marTop w:val="0"/>
          <w:marBottom w:val="0"/>
          <w:divBdr>
            <w:top w:val="none" w:sz="0" w:space="0" w:color="auto"/>
            <w:left w:val="none" w:sz="0" w:space="0" w:color="auto"/>
            <w:bottom w:val="none" w:sz="0" w:space="0" w:color="auto"/>
            <w:right w:val="none" w:sz="0" w:space="0" w:color="auto"/>
          </w:divBdr>
        </w:div>
        <w:div w:id="292178827">
          <w:marLeft w:val="640"/>
          <w:marRight w:val="0"/>
          <w:marTop w:val="0"/>
          <w:marBottom w:val="0"/>
          <w:divBdr>
            <w:top w:val="none" w:sz="0" w:space="0" w:color="auto"/>
            <w:left w:val="none" w:sz="0" w:space="0" w:color="auto"/>
            <w:bottom w:val="none" w:sz="0" w:space="0" w:color="auto"/>
            <w:right w:val="none" w:sz="0" w:space="0" w:color="auto"/>
          </w:divBdr>
        </w:div>
        <w:div w:id="1021735739">
          <w:marLeft w:val="640"/>
          <w:marRight w:val="0"/>
          <w:marTop w:val="0"/>
          <w:marBottom w:val="0"/>
          <w:divBdr>
            <w:top w:val="none" w:sz="0" w:space="0" w:color="auto"/>
            <w:left w:val="none" w:sz="0" w:space="0" w:color="auto"/>
            <w:bottom w:val="none" w:sz="0" w:space="0" w:color="auto"/>
            <w:right w:val="none" w:sz="0" w:space="0" w:color="auto"/>
          </w:divBdr>
        </w:div>
        <w:div w:id="1207721119">
          <w:marLeft w:val="640"/>
          <w:marRight w:val="0"/>
          <w:marTop w:val="0"/>
          <w:marBottom w:val="0"/>
          <w:divBdr>
            <w:top w:val="none" w:sz="0" w:space="0" w:color="auto"/>
            <w:left w:val="none" w:sz="0" w:space="0" w:color="auto"/>
            <w:bottom w:val="none" w:sz="0" w:space="0" w:color="auto"/>
            <w:right w:val="none" w:sz="0" w:space="0" w:color="auto"/>
          </w:divBdr>
        </w:div>
        <w:div w:id="1634796801">
          <w:marLeft w:val="640"/>
          <w:marRight w:val="0"/>
          <w:marTop w:val="0"/>
          <w:marBottom w:val="0"/>
          <w:divBdr>
            <w:top w:val="none" w:sz="0" w:space="0" w:color="auto"/>
            <w:left w:val="none" w:sz="0" w:space="0" w:color="auto"/>
            <w:bottom w:val="none" w:sz="0" w:space="0" w:color="auto"/>
            <w:right w:val="none" w:sz="0" w:space="0" w:color="auto"/>
          </w:divBdr>
        </w:div>
        <w:div w:id="108666103">
          <w:marLeft w:val="640"/>
          <w:marRight w:val="0"/>
          <w:marTop w:val="0"/>
          <w:marBottom w:val="0"/>
          <w:divBdr>
            <w:top w:val="none" w:sz="0" w:space="0" w:color="auto"/>
            <w:left w:val="none" w:sz="0" w:space="0" w:color="auto"/>
            <w:bottom w:val="none" w:sz="0" w:space="0" w:color="auto"/>
            <w:right w:val="none" w:sz="0" w:space="0" w:color="auto"/>
          </w:divBdr>
        </w:div>
        <w:div w:id="841431223">
          <w:marLeft w:val="640"/>
          <w:marRight w:val="0"/>
          <w:marTop w:val="0"/>
          <w:marBottom w:val="0"/>
          <w:divBdr>
            <w:top w:val="none" w:sz="0" w:space="0" w:color="auto"/>
            <w:left w:val="none" w:sz="0" w:space="0" w:color="auto"/>
            <w:bottom w:val="none" w:sz="0" w:space="0" w:color="auto"/>
            <w:right w:val="none" w:sz="0" w:space="0" w:color="auto"/>
          </w:divBdr>
        </w:div>
        <w:div w:id="1700011732">
          <w:marLeft w:val="640"/>
          <w:marRight w:val="0"/>
          <w:marTop w:val="0"/>
          <w:marBottom w:val="0"/>
          <w:divBdr>
            <w:top w:val="none" w:sz="0" w:space="0" w:color="auto"/>
            <w:left w:val="none" w:sz="0" w:space="0" w:color="auto"/>
            <w:bottom w:val="none" w:sz="0" w:space="0" w:color="auto"/>
            <w:right w:val="none" w:sz="0" w:space="0" w:color="auto"/>
          </w:divBdr>
        </w:div>
        <w:div w:id="950010319">
          <w:marLeft w:val="640"/>
          <w:marRight w:val="0"/>
          <w:marTop w:val="0"/>
          <w:marBottom w:val="0"/>
          <w:divBdr>
            <w:top w:val="none" w:sz="0" w:space="0" w:color="auto"/>
            <w:left w:val="none" w:sz="0" w:space="0" w:color="auto"/>
            <w:bottom w:val="none" w:sz="0" w:space="0" w:color="auto"/>
            <w:right w:val="none" w:sz="0" w:space="0" w:color="auto"/>
          </w:divBdr>
        </w:div>
        <w:div w:id="1914314873">
          <w:marLeft w:val="640"/>
          <w:marRight w:val="0"/>
          <w:marTop w:val="0"/>
          <w:marBottom w:val="0"/>
          <w:divBdr>
            <w:top w:val="none" w:sz="0" w:space="0" w:color="auto"/>
            <w:left w:val="none" w:sz="0" w:space="0" w:color="auto"/>
            <w:bottom w:val="none" w:sz="0" w:space="0" w:color="auto"/>
            <w:right w:val="none" w:sz="0" w:space="0" w:color="auto"/>
          </w:divBdr>
        </w:div>
        <w:div w:id="1431700850">
          <w:marLeft w:val="640"/>
          <w:marRight w:val="0"/>
          <w:marTop w:val="0"/>
          <w:marBottom w:val="0"/>
          <w:divBdr>
            <w:top w:val="none" w:sz="0" w:space="0" w:color="auto"/>
            <w:left w:val="none" w:sz="0" w:space="0" w:color="auto"/>
            <w:bottom w:val="none" w:sz="0" w:space="0" w:color="auto"/>
            <w:right w:val="none" w:sz="0" w:space="0" w:color="auto"/>
          </w:divBdr>
        </w:div>
        <w:div w:id="2011836118">
          <w:marLeft w:val="640"/>
          <w:marRight w:val="0"/>
          <w:marTop w:val="0"/>
          <w:marBottom w:val="0"/>
          <w:divBdr>
            <w:top w:val="none" w:sz="0" w:space="0" w:color="auto"/>
            <w:left w:val="none" w:sz="0" w:space="0" w:color="auto"/>
            <w:bottom w:val="none" w:sz="0" w:space="0" w:color="auto"/>
            <w:right w:val="none" w:sz="0" w:space="0" w:color="auto"/>
          </w:divBdr>
        </w:div>
        <w:div w:id="1781028054">
          <w:marLeft w:val="640"/>
          <w:marRight w:val="0"/>
          <w:marTop w:val="0"/>
          <w:marBottom w:val="0"/>
          <w:divBdr>
            <w:top w:val="none" w:sz="0" w:space="0" w:color="auto"/>
            <w:left w:val="none" w:sz="0" w:space="0" w:color="auto"/>
            <w:bottom w:val="none" w:sz="0" w:space="0" w:color="auto"/>
            <w:right w:val="none" w:sz="0" w:space="0" w:color="auto"/>
          </w:divBdr>
        </w:div>
        <w:div w:id="841624978">
          <w:marLeft w:val="640"/>
          <w:marRight w:val="0"/>
          <w:marTop w:val="0"/>
          <w:marBottom w:val="0"/>
          <w:divBdr>
            <w:top w:val="none" w:sz="0" w:space="0" w:color="auto"/>
            <w:left w:val="none" w:sz="0" w:space="0" w:color="auto"/>
            <w:bottom w:val="none" w:sz="0" w:space="0" w:color="auto"/>
            <w:right w:val="none" w:sz="0" w:space="0" w:color="auto"/>
          </w:divBdr>
        </w:div>
        <w:div w:id="1248618300">
          <w:marLeft w:val="640"/>
          <w:marRight w:val="0"/>
          <w:marTop w:val="0"/>
          <w:marBottom w:val="0"/>
          <w:divBdr>
            <w:top w:val="none" w:sz="0" w:space="0" w:color="auto"/>
            <w:left w:val="none" w:sz="0" w:space="0" w:color="auto"/>
            <w:bottom w:val="none" w:sz="0" w:space="0" w:color="auto"/>
            <w:right w:val="none" w:sz="0" w:space="0" w:color="auto"/>
          </w:divBdr>
        </w:div>
        <w:div w:id="485324259">
          <w:marLeft w:val="640"/>
          <w:marRight w:val="0"/>
          <w:marTop w:val="0"/>
          <w:marBottom w:val="0"/>
          <w:divBdr>
            <w:top w:val="none" w:sz="0" w:space="0" w:color="auto"/>
            <w:left w:val="none" w:sz="0" w:space="0" w:color="auto"/>
            <w:bottom w:val="none" w:sz="0" w:space="0" w:color="auto"/>
            <w:right w:val="none" w:sz="0" w:space="0" w:color="auto"/>
          </w:divBdr>
        </w:div>
        <w:div w:id="899483271">
          <w:marLeft w:val="640"/>
          <w:marRight w:val="0"/>
          <w:marTop w:val="0"/>
          <w:marBottom w:val="0"/>
          <w:divBdr>
            <w:top w:val="none" w:sz="0" w:space="0" w:color="auto"/>
            <w:left w:val="none" w:sz="0" w:space="0" w:color="auto"/>
            <w:bottom w:val="none" w:sz="0" w:space="0" w:color="auto"/>
            <w:right w:val="none" w:sz="0" w:space="0" w:color="auto"/>
          </w:divBdr>
        </w:div>
        <w:div w:id="1841507493">
          <w:marLeft w:val="640"/>
          <w:marRight w:val="0"/>
          <w:marTop w:val="0"/>
          <w:marBottom w:val="0"/>
          <w:divBdr>
            <w:top w:val="none" w:sz="0" w:space="0" w:color="auto"/>
            <w:left w:val="none" w:sz="0" w:space="0" w:color="auto"/>
            <w:bottom w:val="none" w:sz="0" w:space="0" w:color="auto"/>
            <w:right w:val="none" w:sz="0" w:space="0" w:color="auto"/>
          </w:divBdr>
        </w:div>
        <w:div w:id="1284583122">
          <w:marLeft w:val="640"/>
          <w:marRight w:val="0"/>
          <w:marTop w:val="0"/>
          <w:marBottom w:val="0"/>
          <w:divBdr>
            <w:top w:val="none" w:sz="0" w:space="0" w:color="auto"/>
            <w:left w:val="none" w:sz="0" w:space="0" w:color="auto"/>
            <w:bottom w:val="none" w:sz="0" w:space="0" w:color="auto"/>
            <w:right w:val="none" w:sz="0" w:space="0" w:color="auto"/>
          </w:divBdr>
        </w:div>
        <w:div w:id="1016073828">
          <w:marLeft w:val="640"/>
          <w:marRight w:val="0"/>
          <w:marTop w:val="0"/>
          <w:marBottom w:val="0"/>
          <w:divBdr>
            <w:top w:val="none" w:sz="0" w:space="0" w:color="auto"/>
            <w:left w:val="none" w:sz="0" w:space="0" w:color="auto"/>
            <w:bottom w:val="none" w:sz="0" w:space="0" w:color="auto"/>
            <w:right w:val="none" w:sz="0" w:space="0" w:color="auto"/>
          </w:divBdr>
        </w:div>
        <w:div w:id="431513997">
          <w:marLeft w:val="640"/>
          <w:marRight w:val="0"/>
          <w:marTop w:val="0"/>
          <w:marBottom w:val="0"/>
          <w:divBdr>
            <w:top w:val="none" w:sz="0" w:space="0" w:color="auto"/>
            <w:left w:val="none" w:sz="0" w:space="0" w:color="auto"/>
            <w:bottom w:val="none" w:sz="0" w:space="0" w:color="auto"/>
            <w:right w:val="none" w:sz="0" w:space="0" w:color="auto"/>
          </w:divBdr>
        </w:div>
        <w:div w:id="1981841129">
          <w:marLeft w:val="640"/>
          <w:marRight w:val="0"/>
          <w:marTop w:val="0"/>
          <w:marBottom w:val="0"/>
          <w:divBdr>
            <w:top w:val="none" w:sz="0" w:space="0" w:color="auto"/>
            <w:left w:val="none" w:sz="0" w:space="0" w:color="auto"/>
            <w:bottom w:val="none" w:sz="0" w:space="0" w:color="auto"/>
            <w:right w:val="none" w:sz="0" w:space="0" w:color="auto"/>
          </w:divBdr>
        </w:div>
        <w:div w:id="1685015148">
          <w:marLeft w:val="640"/>
          <w:marRight w:val="0"/>
          <w:marTop w:val="0"/>
          <w:marBottom w:val="0"/>
          <w:divBdr>
            <w:top w:val="none" w:sz="0" w:space="0" w:color="auto"/>
            <w:left w:val="none" w:sz="0" w:space="0" w:color="auto"/>
            <w:bottom w:val="none" w:sz="0" w:space="0" w:color="auto"/>
            <w:right w:val="none" w:sz="0" w:space="0" w:color="auto"/>
          </w:divBdr>
        </w:div>
        <w:div w:id="947739069">
          <w:marLeft w:val="640"/>
          <w:marRight w:val="0"/>
          <w:marTop w:val="0"/>
          <w:marBottom w:val="0"/>
          <w:divBdr>
            <w:top w:val="none" w:sz="0" w:space="0" w:color="auto"/>
            <w:left w:val="none" w:sz="0" w:space="0" w:color="auto"/>
            <w:bottom w:val="none" w:sz="0" w:space="0" w:color="auto"/>
            <w:right w:val="none" w:sz="0" w:space="0" w:color="auto"/>
          </w:divBdr>
        </w:div>
        <w:div w:id="978534704">
          <w:marLeft w:val="640"/>
          <w:marRight w:val="0"/>
          <w:marTop w:val="0"/>
          <w:marBottom w:val="0"/>
          <w:divBdr>
            <w:top w:val="none" w:sz="0" w:space="0" w:color="auto"/>
            <w:left w:val="none" w:sz="0" w:space="0" w:color="auto"/>
            <w:bottom w:val="none" w:sz="0" w:space="0" w:color="auto"/>
            <w:right w:val="none" w:sz="0" w:space="0" w:color="auto"/>
          </w:divBdr>
        </w:div>
        <w:div w:id="1500003872">
          <w:marLeft w:val="640"/>
          <w:marRight w:val="0"/>
          <w:marTop w:val="0"/>
          <w:marBottom w:val="0"/>
          <w:divBdr>
            <w:top w:val="none" w:sz="0" w:space="0" w:color="auto"/>
            <w:left w:val="none" w:sz="0" w:space="0" w:color="auto"/>
            <w:bottom w:val="none" w:sz="0" w:space="0" w:color="auto"/>
            <w:right w:val="none" w:sz="0" w:space="0" w:color="auto"/>
          </w:divBdr>
        </w:div>
        <w:div w:id="1583762126">
          <w:marLeft w:val="640"/>
          <w:marRight w:val="0"/>
          <w:marTop w:val="0"/>
          <w:marBottom w:val="0"/>
          <w:divBdr>
            <w:top w:val="none" w:sz="0" w:space="0" w:color="auto"/>
            <w:left w:val="none" w:sz="0" w:space="0" w:color="auto"/>
            <w:bottom w:val="none" w:sz="0" w:space="0" w:color="auto"/>
            <w:right w:val="none" w:sz="0" w:space="0" w:color="auto"/>
          </w:divBdr>
        </w:div>
        <w:div w:id="1277639610">
          <w:marLeft w:val="640"/>
          <w:marRight w:val="0"/>
          <w:marTop w:val="0"/>
          <w:marBottom w:val="0"/>
          <w:divBdr>
            <w:top w:val="none" w:sz="0" w:space="0" w:color="auto"/>
            <w:left w:val="none" w:sz="0" w:space="0" w:color="auto"/>
            <w:bottom w:val="none" w:sz="0" w:space="0" w:color="auto"/>
            <w:right w:val="none" w:sz="0" w:space="0" w:color="auto"/>
          </w:divBdr>
        </w:div>
        <w:div w:id="1800613652">
          <w:marLeft w:val="640"/>
          <w:marRight w:val="0"/>
          <w:marTop w:val="0"/>
          <w:marBottom w:val="0"/>
          <w:divBdr>
            <w:top w:val="none" w:sz="0" w:space="0" w:color="auto"/>
            <w:left w:val="none" w:sz="0" w:space="0" w:color="auto"/>
            <w:bottom w:val="none" w:sz="0" w:space="0" w:color="auto"/>
            <w:right w:val="none" w:sz="0" w:space="0" w:color="auto"/>
          </w:divBdr>
        </w:div>
        <w:div w:id="667026241">
          <w:marLeft w:val="640"/>
          <w:marRight w:val="0"/>
          <w:marTop w:val="0"/>
          <w:marBottom w:val="0"/>
          <w:divBdr>
            <w:top w:val="none" w:sz="0" w:space="0" w:color="auto"/>
            <w:left w:val="none" w:sz="0" w:space="0" w:color="auto"/>
            <w:bottom w:val="none" w:sz="0" w:space="0" w:color="auto"/>
            <w:right w:val="none" w:sz="0" w:space="0" w:color="auto"/>
          </w:divBdr>
        </w:div>
        <w:div w:id="1411270108">
          <w:marLeft w:val="640"/>
          <w:marRight w:val="0"/>
          <w:marTop w:val="0"/>
          <w:marBottom w:val="0"/>
          <w:divBdr>
            <w:top w:val="none" w:sz="0" w:space="0" w:color="auto"/>
            <w:left w:val="none" w:sz="0" w:space="0" w:color="auto"/>
            <w:bottom w:val="none" w:sz="0" w:space="0" w:color="auto"/>
            <w:right w:val="none" w:sz="0" w:space="0" w:color="auto"/>
          </w:divBdr>
        </w:div>
        <w:div w:id="465971031">
          <w:marLeft w:val="640"/>
          <w:marRight w:val="0"/>
          <w:marTop w:val="0"/>
          <w:marBottom w:val="0"/>
          <w:divBdr>
            <w:top w:val="none" w:sz="0" w:space="0" w:color="auto"/>
            <w:left w:val="none" w:sz="0" w:space="0" w:color="auto"/>
            <w:bottom w:val="none" w:sz="0" w:space="0" w:color="auto"/>
            <w:right w:val="none" w:sz="0" w:space="0" w:color="auto"/>
          </w:divBdr>
        </w:div>
        <w:div w:id="899443505">
          <w:marLeft w:val="640"/>
          <w:marRight w:val="0"/>
          <w:marTop w:val="0"/>
          <w:marBottom w:val="0"/>
          <w:divBdr>
            <w:top w:val="none" w:sz="0" w:space="0" w:color="auto"/>
            <w:left w:val="none" w:sz="0" w:space="0" w:color="auto"/>
            <w:bottom w:val="none" w:sz="0" w:space="0" w:color="auto"/>
            <w:right w:val="none" w:sz="0" w:space="0" w:color="auto"/>
          </w:divBdr>
        </w:div>
        <w:div w:id="1909877020">
          <w:marLeft w:val="640"/>
          <w:marRight w:val="0"/>
          <w:marTop w:val="0"/>
          <w:marBottom w:val="0"/>
          <w:divBdr>
            <w:top w:val="none" w:sz="0" w:space="0" w:color="auto"/>
            <w:left w:val="none" w:sz="0" w:space="0" w:color="auto"/>
            <w:bottom w:val="none" w:sz="0" w:space="0" w:color="auto"/>
            <w:right w:val="none" w:sz="0" w:space="0" w:color="auto"/>
          </w:divBdr>
        </w:div>
        <w:div w:id="2019232287">
          <w:marLeft w:val="640"/>
          <w:marRight w:val="0"/>
          <w:marTop w:val="0"/>
          <w:marBottom w:val="0"/>
          <w:divBdr>
            <w:top w:val="none" w:sz="0" w:space="0" w:color="auto"/>
            <w:left w:val="none" w:sz="0" w:space="0" w:color="auto"/>
            <w:bottom w:val="none" w:sz="0" w:space="0" w:color="auto"/>
            <w:right w:val="none" w:sz="0" w:space="0" w:color="auto"/>
          </w:divBdr>
        </w:div>
        <w:div w:id="1623728373">
          <w:marLeft w:val="640"/>
          <w:marRight w:val="0"/>
          <w:marTop w:val="0"/>
          <w:marBottom w:val="0"/>
          <w:divBdr>
            <w:top w:val="none" w:sz="0" w:space="0" w:color="auto"/>
            <w:left w:val="none" w:sz="0" w:space="0" w:color="auto"/>
            <w:bottom w:val="none" w:sz="0" w:space="0" w:color="auto"/>
            <w:right w:val="none" w:sz="0" w:space="0" w:color="auto"/>
          </w:divBdr>
        </w:div>
        <w:div w:id="2021076837">
          <w:marLeft w:val="640"/>
          <w:marRight w:val="0"/>
          <w:marTop w:val="0"/>
          <w:marBottom w:val="0"/>
          <w:divBdr>
            <w:top w:val="none" w:sz="0" w:space="0" w:color="auto"/>
            <w:left w:val="none" w:sz="0" w:space="0" w:color="auto"/>
            <w:bottom w:val="none" w:sz="0" w:space="0" w:color="auto"/>
            <w:right w:val="none" w:sz="0" w:space="0" w:color="auto"/>
          </w:divBdr>
        </w:div>
        <w:div w:id="1512139798">
          <w:marLeft w:val="640"/>
          <w:marRight w:val="0"/>
          <w:marTop w:val="0"/>
          <w:marBottom w:val="0"/>
          <w:divBdr>
            <w:top w:val="none" w:sz="0" w:space="0" w:color="auto"/>
            <w:left w:val="none" w:sz="0" w:space="0" w:color="auto"/>
            <w:bottom w:val="none" w:sz="0" w:space="0" w:color="auto"/>
            <w:right w:val="none" w:sz="0" w:space="0" w:color="auto"/>
          </w:divBdr>
        </w:div>
        <w:div w:id="922179132">
          <w:marLeft w:val="640"/>
          <w:marRight w:val="0"/>
          <w:marTop w:val="0"/>
          <w:marBottom w:val="0"/>
          <w:divBdr>
            <w:top w:val="none" w:sz="0" w:space="0" w:color="auto"/>
            <w:left w:val="none" w:sz="0" w:space="0" w:color="auto"/>
            <w:bottom w:val="none" w:sz="0" w:space="0" w:color="auto"/>
            <w:right w:val="none" w:sz="0" w:space="0" w:color="auto"/>
          </w:divBdr>
        </w:div>
        <w:div w:id="1548300893">
          <w:marLeft w:val="640"/>
          <w:marRight w:val="0"/>
          <w:marTop w:val="0"/>
          <w:marBottom w:val="0"/>
          <w:divBdr>
            <w:top w:val="none" w:sz="0" w:space="0" w:color="auto"/>
            <w:left w:val="none" w:sz="0" w:space="0" w:color="auto"/>
            <w:bottom w:val="none" w:sz="0" w:space="0" w:color="auto"/>
            <w:right w:val="none" w:sz="0" w:space="0" w:color="auto"/>
          </w:divBdr>
        </w:div>
        <w:div w:id="730227926">
          <w:marLeft w:val="640"/>
          <w:marRight w:val="0"/>
          <w:marTop w:val="0"/>
          <w:marBottom w:val="0"/>
          <w:divBdr>
            <w:top w:val="none" w:sz="0" w:space="0" w:color="auto"/>
            <w:left w:val="none" w:sz="0" w:space="0" w:color="auto"/>
            <w:bottom w:val="none" w:sz="0" w:space="0" w:color="auto"/>
            <w:right w:val="none" w:sz="0" w:space="0" w:color="auto"/>
          </w:divBdr>
        </w:div>
        <w:div w:id="345445778">
          <w:marLeft w:val="640"/>
          <w:marRight w:val="0"/>
          <w:marTop w:val="0"/>
          <w:marBottom w:val="0"/>
          <w:divBdr>
            <w:top w:val="none" w:sz="0" w:space="0" w:color="auto"/>
            <w:left w:val="none" w:sz="0" w:space="0" w:color="auto"/>
            <w:bottom w:val="none" w:sz="0" w:space="0" w:color="auto"/>
            <w:right w:val="none" w:sz="0" w:space="0" w:color="auto"/>
          </w:divBdr>
        </w:div>
        <w:div w:id="2100639140">
          <w:marLeft w:val="640"/>
          <w:marRight w:val="0"/>
          <w:marTop w:val="0"/>
          <w:marBottom w:val="0"/>
          <w:divBdr>
            <w:top w:val="none" w:sz="0" w:space="0" w:color="auto"/>
            <w:left w:val="none" w:sz="0" w:space="0" w:color="auto"/>
            <w:bottom w:val="none" w:sz="0" w:space="0" w:color="auto"/>
            <w:right w:val="none" w:sz="0" w:space="0" w:color="auto"/>
          </w:divBdr>
        </w:div>
        <w:div w:id="1819418820">
          <w:marLeft w:val="640"/>
          <w:marRight w:val="0"/>
          <w:marTop w:val="0"/>
          <w:marBottom w:val="0"/>
          <w:divBdr>
            <w:top w:val="none" w:sz="0" w:space="0" w:color="auto"/>
            <w:left w:val="none" w:sz="0" w:space="0" w:color="auto"/>
            <w:bottom w:val="none" w:sz="0" w:space="0" w:color="auto"/>
            <w:right w:val="none" w:sz="0" w:space="0" w:color="auto"/>
          </w:divBdr>
        </w:div>
        <w:div w:id="566574142">
          <w:marLeft w:val="640"/>
          <w:marRight w:val="0"/>
          <w:marTop w:val="0"/>
          <w:marBottom w:val="0"/>
          <w:divBdr>
            <w:top w:val="none" w:sz="0" w:space="0" w:color="auto"/>
            <w:left w:val="none" w:sz="0" w:space="0" w:color="auto"/>
            <w:bottom w:val="none" w:sz="0" w:space="0" w:color="auto"/>
            <w:right w:val="none" w:sz="0" w:space="0" w:color="auto"/>
          </w:divBdr>
        </w:div>
        <w:div w:id="1101991131">
          <w:marLeft w:val="640"/>
          <w:marRight w:val="0"/>
          <w:marTop w:val="0"/>
          <w:marBottom w:val="0"/>
          <w:divBdr>
            <w:top w:val="none" w:sz="0" w:space="0" w:color="auto"/>
            <w:left w:val="none" w:sz="0" w:space="0" w:color="auto"/>
            <w:bottom w:val="none" w:sz="0" w:space="0" w:color="auto"/>
            <w:right w:val="none" w:sz="0" w:space="0" w:color="auto"/>
          </w:divBdr>
        </w:div>
        <w:div w:id="660307711">
          <w:marLeft w:val="640"/>
          <w:marRight w:val="0"/>
          <w:marTop w:val="0"/>
          <w:marBottom w:val="0"/>
          <w:divBdr>
            <w:top w:val="none" w:sz="0" w:space="0" w:color="auto"/>
            <w:left w:val="none" w:sz="0" w:space="0" w:color="auto"/>
            <w:bottom w:val="none" w:sz="0" w:space="0" w:color="auto"/>
            <w:right w:val="none" w:sz="0" w:space="0" w:color="auto"/>
          </w:divBdr>
        </w:div>
        <w:div w:id="736054890">
          <w:marLeft w:val="640"/>
          <w:marRight w:val="0"/>
          <w:marTop w:val="0"/>
          <w:marBottom w:val="0"/>
          <w:divBdr>
            <w:top w:val="none" w:sz="0" w:space="0" w:color="auto"/>
            <w:left w:val="none" w:sz="0" w:space="0" w:color="auto"/>
            <w:bottom w:val="none" w:sz="0" w:space="0" w:color="auto"/>
            <w:right w:val="none" w:sz="0" w:space="0" w:color="auto"/>
          </w:divBdr>
        </w:div>
        <w:div w:id="1263418902">
          <w:marLeft w:val="640"/>
          <w:marRight w:val="0"/>
          <w:marTop w:val="0"/>
          <w:marBottom w:val="0"/>
          <w:divBdr>
            <w:top w:val="none" w:sz="0" w:space="0" w:color="auto"/>
            <w:left w:val="none" w:sz="0" w:space="0" w:color="auto"/>
            <w:bottom w:val="none" w:sz="0" w:space="0" w:color="auto"/>
            <w:right w:val="none" w:sz="0" w:space="0" w:color="auto"/>
          </w:divBdr>
        </w:div>
        <w:div w:id="1629893645">
          <w:marLeft w:val="640"/>
          <w:marRight w:val="0"/>
          <w:marTop w:val="0"/>
          <w:marBottom w:val="0"/>
          <w:divBdr>
            <w:top w:val="none" w:sz="0" w:space="0" w:color="auto"/>
            <w:left w:val="none" w:sz="0" w:space="0" w:color="auto"/>
            <w:bottom w:val="none" w:sz="0" w:space="0" w:color="auto"/>
            <w:right w:val="none" w:sz="0" w:space="0" w:color="auto"/>
          </w:divBdr>
        </w:div>
        <w:div w:id="1583878561">
          <w:marLeft w:val="640"/>
          <w:marRight w:val="0"/>
          <w:marTop w:val="0"/>
          <w:marBottom w:val="0"/>
          <w:divBdr>
            <w:top w:val="none" w:sz="0" w:space="0" w:color="auto"/>
            <w:left w:val="none" w:sz="0" w:space="0" w:color="auto"/>
            <w:bottom w:val="none" w:sz="0" w:space="0" w:color="auto"/>
            <w:right w:val="none" w:sz="0" w:space="0" w:color="auto"/>
          </w:divBdr>
        </w:div>
        <w:div w:id="1320961855">
          <w:marLeft w:val="640"/>
          <w:marRight w:val="0"/>
          <w:marTop w:val="0"/>
          <w:marBottom w:val="0"/>
          <w:divBdr>
            <w:top w:val="none" w:sz="0" w:space="0" w:color="auto"/>
            <w:left w:val="none" w:sz="0" w:space="0" w:color="auto"/>
            <w:bottom w:val="none" w:sz="0" w:space="0" w:color="auto"/>
            <w:right w:val="none" w:sz="0" w:space="0" w:color="auto"/>
          </w:divBdr>
        </w:div>
        <w:div w:id="1637367851">
          <w:marLeft w:val="640"/>
          <w:marRight w:val="0"/>
          <w:marTop w:val="0"/>
          <w:marBottom w:val="0"/>
          <w:divBdr>
            <w:top w:val="none" w:sz="0" w:space="0" w:color="auto"/>
            <w:left w:val="none" w:sz="0" w:space="0" w:color="auto"/>
            <w:bottom w:val="none" w:sz="0" w:space="0" w:color="auto"/>
            <w:right w:val="none" w:sz="0" w:space="0" w:color="auto"/>
          </w:divBdr>
        </w:div>
        <w:div w:id="1281492246">
          <w:marLeft w:val="640"/>
          <w:marRight w:val="0"/>
          <w:marTop w:val="0"/>
          <w:marBottom w:val="0"/>
          <w:divBdr>
            <w:top w:val="none" w:sz="0" w:space="0" w:color="auto"/>
            <w:left w:val="none" w:sz="0" w:space="0" w:color="auto"/>
            <w:bottom w:val="none" w:sz="0" w:space="0" w:color="auto"/>
            <w:right w:val="none" w:sz="0" w:space="0" w:color="auto"/>
          </w:divBdr>
        </w:div>
        <w:div w:id="356152521">
          <w:marLeft w:val="640"/>
          <w:marRight w:val="0"/>
          <w:marTop w:val="0"/>
          <w:marBottom w:val="0"/>
          <w:divBdr>
            <w:top w:val="none" w:sz="0" w:space="0" w:color="auto"/>
            <w:left w:val="none" w:sz="0" w:space="0" w:color="auto"/>
            <w:bottom w:val="none" w:sz="0" w:space="0" w:color="auto"/>
            <w:right w:val="none" w:sz="0" w:space="0" w:color="auto"/>
          </w:divBdr>
        </w:div>
        <w:div w:id="1539125031">
          <w:marLeft w:val="640"/>
          <w:marRight w:val="0"/>
          <w:marTop w:val="0"/>
          <w:marBottom w:val="0"/>
          <w:divBdr>
            <w:top w:val="none" w:sz="0" w:space="0" w:color="auto"/>
            <w:left w:val="none" w:sz="0" w:space="0" w:color="auto"/>
            <w:bottom w:val="none" w:sz="0" w:space="0" w:color="auto"/>
            <w:right w:val="none" w:sz="0" w:space="0" w:color="auto"/>
          </w:divBdr>
        </w:div>
        <w:div w:id="1858079787">
          <w:marLeft w:val="640"/>
          <w:marRight w:val="0"/>
          <w:marTop w:val="0"/>
          <w:marBottom w:val="0"/>
          <w:divBdr>
            <w:top w:val="none" w:sz="0" w:space="0" w:color="auto"/>
            <w:left w:val="none" w:sz="0" w:space="0" w:color="auto"/>
            <w:bottom w:val="none" w:sz="0" w:space="0" w:color="auto"/>
            <w:right w:val="none" w:sz="0" w:space="0" w:color="auto"/>
          </w:divBdr>
        </w:div>
        <w:div w:id="1187671715">
          <w:marLeft w:val="640"/>
          <w:marRight w:val="0"/>
          <w:marTop w:val="0"/>
          <w:marBottom w:val="0"/>
          <w:divBdr>
            <w:top w:val="none" w:sz="0" w:space="0" w:color="auto"/>
            <w:left w:val="none" w:sz="0" w:space="0" w:color="auto"/>
            <w:bottom w:val="none" w:sz="0" w:space="0" w:color="auto"/>
            <w:right w:val="none" w:sz="0" w:space="0" w:color="auto"/>
          </w:divBdr>
        </w:div>
        <w:div w:id="97915541">
          <w:marLeft w:val="640"/>
          <w:marRight w:val="0"/>
          <w:marTop w:val="0"/>
          <w:marBottom w:val="0"/>
          <w:divBdr>
            <w:top w:val="none" w:sz="0" w:space="0" w:color="auto"/>
            <w:left w:val="none" w:sz="0" w:space="0" w:color="auto"/>
            <w:bottom w:val="none" w:sz="0" w:space="0" w:color="auto"/>
            <w:right w:val="none" w:sz="0" w:space="0" w:color="auto"/>
          </w:divBdr>
        </w:div>
        <w:div w:id="1517500599">
          <w:marLeft w:val="640"/>
          <w:marRight w:val="0"/>
          <w:marTop w:val="0"/>
          <w:marBottom w:val="0"/>
          <w:divBdr>
            <w:top w:val="none" w:sz="0" w:space="0" w:color="auto"/>
            <w:left w:val="none" w:sz="0" w:space="0" w:color="auto"/>
            <w:bottom w:val="none" w:sz="0" w:space="0" w:color="auto"/>
            <w:right w:val="none" w:sz="0" w:space="0" w:color="auto"/>
          </w:divBdr>
        </w:div>
        <w:div w:id="1273591135">
          <w:marLeft w:val="640"/>
          <w:marRight w:val="0"/>
          <w:marTop w:val="0"/>
          <w:marBottom w:val="0"/>
          <w:divBdr>
            <w:top w:val="none" w:sz="0" w:space="0" w:color="auto"/>
            <w:left w:val="none" w:sz="0" w:space="0" w:color="auto"/>
            <w:bottom w:val="none" w:sz="0" w:space="0" w:color="auto"/>
            <w:right w:val="none" w:sz="0" w:space="0" w:color="auto"/>
          </w:divBdr>
        </w:div>
        <w:div w:id="1789741559">
          <w:marLeft w:val="640"/>
          <w:marRight w:val="0"/>
          <w:marTop w:val="0"/>
          <w:marBottom w:val="0"/>
          <w:divBdr>
            <w:top w:val="none" w:sz="0" w:space="0" w:color="auto"/>
            <w:left w:val="none" w:sz="0" w:space="0" w:color="auto"/>
            <w:bottom w:val="none" w:sz="0" w:space="0" w:color="auto"/>
            <w:right w:val="none" w:sz="0" w:space="0" w:color="auto"/>
          </w:divBdr>
        </w:div>
        <w:div w:id="867836437">
          <w:marLeft w:val="640"/>
          <w:marRight w:val="0"/>
          <w:marTop w:val="0"/>
          <w:marBottom w:val="0"/>
          <w:divBdr>
            <w:top w:val="none" w:sz="0" w:space="0" w:color="auto"/>
            <w:left w:val="none" w:sz="0" w:space="0" w:color="auto"/>
            <w:bottom w:val="none" w:sz="0" w:space="0" w:color="auto"/>
            <w:right w:val="none" w:sz="0" w:space="0" w:color="auto"/>
          </w:divBdr>
        </w:div>
        <w:div w:id="617836458">
          <w:marLeft w:val="640"/>
          <w:marRight w:val="0"/>
          <w:marTop w:val="0"/>
          <w:marBottom w:val="0"/>
          <w:divBdr>
            <w:top w:val="none" w:sz="0" w:space="0" w:color="auto"/>
            <w:left w:val="none" w:sz="0" w:space="0" w:color="auto"/>
            <w:bottom w:val="none" w:sz="0" w:space="0" w:color="auto"/>
            <w:right w:val="none" w:sz="0" w:space="0" w:color="auto"/>
          </w:divBdr>
        </w:div>
        <w:div w:id="1773817483">
          <w:marLeft w:val="640"/>
          <w:marRight w:val="0"/>
          <w:marTop w:val="0"/>
          <w:marBottom w:val="0"/>
          <w:divBdr>
            <w:top w:val="none" w:sz="0" w:space="0" w:color="auto"/>
            <w:left w:val="none" w:sz="0" w:space="0" w:color="auto"/>
            <w:bottom w:val="none" w:sz="0" w:space="0" w:color="auto"/>
            <w:right w:val="none" w:sz="0" w:space="0" w:color="auto"/>
          </w:divBdr>
        </w:div>
        <w:div w:id="1272124054">
          <w:marLeft w:val="640"/>
          <w:marRight w:val="0"/>
          <w:marTop w:val="0"/>
          <w:marBottom w:val="0"/>
          <w:divBdr>
            <w:top w:val="none" w:sz="0" w:space="0" w:color="auto"/>
            <w:left w:val="none" w:sz="0" w:space="0" w:color="auto"/>
            <w:bottom w:val="none" w:sz="0" w:space="0" w:color="auto"/>
            <w:right w:val="none" w:sz="0" w:space="0" w:color="auto"/>
          </w:divBdr>
        </w:div>
        <w:div w:id="142359742">
          <w:marLeft w:val="640"/>
          <w:marRight w:val="0"/>
          <w:marTop w:val="0"/>
          <w:marBottom w:val="0"/>
          <w:divBdr>
            <w:top w:val="none" w:sz="0" w:space="0" w:color="auto"/>
            <w:left w:val="none" w:sz="0" w:space="0" w:color="auto"/>
            <w:bottom w:val="none" w:sz="0" w:space="0" w:color="auto"/>
            <w:right w:val="none" w:sz="0" w:space="0" w:color="auto"/>
          </w:divBdr>
        </w:div>
        <w:div w:id="1540773948">
          <w:marLeft w:val="640"/>
          <w:marRight w:val="0"/>
          <w:marTop w:val="0"/>
          <w:marBottom w:val="0"/>
          <w:divBdr>
            <w:top w:val="none" w:sz="0" w:space="0" w:color="auto"/>
            <w:left w:val="none" w:sz="0" w:space="0" w:color="auto"/>
            <w:bottom w:val="none" w:sz="0" w:space="0" w:color="auto"/>
            <w:right w:val="none" w:sz="0" w:space="0" w:color="auto"/>
          </w:divBdr>
        </w:div>
        <w:div w:id="387651901">
          <w:marLeft w:val="640"/>
          <w:marRight w:val="0"/>
          <w:marTop w:val="0"/>
          <w:marBottom w:val="0"/>
          <w:divBdr>
            <w:top w:val="none" w:sz="0" w:space="0" w:color="auto"/>
            <w:left w:val="none" w:sz="0" w:space="0" w:color="auto"/>
            <w:bottom w:val="none" w:sz="0" w:space="0" w:color="auto"/>
            <w:right w:val="none" w:sz="0" w:space="0" w:color="auto"/>
          </w:divBdr>
        </w:div>
        <w:div w:id="1021274201">
          <w:marLeft w:val="640"/>
          <w:marRight w:val="0"/>
          <w:marTop w:val="0"/>
          <w:marBottom w:val="0"/>
          <w:divBdr>
            <w:top w:val="none" w:sz="0" w:space="0" w:color="auto"/>
            <w:left w:val="none" w:sz="0" w:space="0" w:color="auto"/>
            <w:bottom w:val="none" w:sz="0" w:space="0" w:color="auto"/>
            <w:right w:val="none" w:sz="0" w:space="0" w:color="auto"/>
          </w:divBdr>
        </w:div>
        <w:div w:id="999508350">
          <w:marLeft w:val="640"/>
          <w:marRight w:val="0"/>
          <w:marTop w:val="0"/>
          <w:marBottom w:val="0"/>
          <w:divBdr>
            <w:top w:val="none" w:sz="0" w:space="0" w:color="auto"/>
            <w:left w:val="none" w:sz="0" w:space="0" w:color="auto"/>
            <w:bottom w:val="none" w:sz="0" w:space="0" w:color="auto"/>
            <w:right w:val="none" w:sz="0" w:space="0" w:color="auto"/>
          </w:divBdr>
        </w:div>
        <w:div w:id="148522973">
          <w:marLeft w:val="640"/>
          <w:marRight w:val="0"/>
          <w:marTop w:val="0"/>
          <w:marBottom w:val="0"/>
          <w:divBdr>
            <w:top w:val="none" w:sz="0" w:space="0" w:color="auto"/>
            <w:left w:val="none" w:sz="0" w:space="0" w:color="auto"/>
            <w:bottom w:val="none" w:sz="0" w:space="0" w:color="auto"/>
            <w:right w:val="none" w:sz="0" w:space="0" w:color="auto"/>
          </w:divBdr>
        </w:div>
        <w:div w:id="407194677">
          <w:marLeft w:val="640"/>
          <w:marRight w:val="0"/>
          <w:marTop w:val="0"/>
          <w:marBottom w:val="0"/>
          <w:divBdr>
            <w:top w:val="none" w:sz="0" w:space="0" w:color="auto"/>
            <w:left w:val="none" w:sz="0" w:space="0" w:color="auto"/>
            <w:bottom w:val="none" w:sz="0" w:space="0" w:color="auto"/>
            <w:right w:val="none" w:sz="0" w:space="0" w:color="auto"/>
          </w:divBdr>
        </w:div>
        <w:div w:id="804927566">
          <w:marLeft w:val="640"/>
          <w:marRight w:val="0"/>
          <w:marTop w:val="0"/>
          <w:marBottom w:val="0"/>
          <w:divBdr>
            <w:top w:val="none" w:sz="0" w:space="0" w:color="auto"/>
            <w:left w:val="none" w:sz="0" w:space="0" w:color="auto"/>
            <w:bottom w:val="none" w:sz="0" w:space="0" w:color="auto"/>
            <w:right w:val="none" w:sz="0" w:space="0" w:color="auto"/>
          </w:divBdr>
        </w:div>
        <w:div w:id="277564998">
          <w:marLeft w:val="640"/>
          <w:marRight w:val="0"/>
          <w:marTop w:val="0"/>
          <w:marBottom w:val="0"/>
          <w:divBdr>
            <w:top w:val="none" w:sz="0" w:space="0" w:color="auto"/>
            <w:left w:val="none" w:sz="0" w:space="0" w:color="auto"/>
            <w:bottom w:val="none" w:sz="0" w:space="0" w:color="auto"/>
            <w:right w:val="none" w:sz="0" w:space="0" w:color="auto"/>
          </w:divBdr>
        </w:div>
        <w:div w:id="45028956">
          <w:marLeft w:val="640"/>
          <w:marRight w:val="0"/>
          <w:marTop w:val="0"/>
          <w:marBottom w:val="0"/>
          <w:divBdr>
            <w:top w:val="none" w:sz="0" w:space="0" w:color="auto"/>
            <w:left w:val="none" w:sz="0" w:space="0" w:color="auto"/>
            <w:bottom w:val="none" w:sz="0" w:space="0" w:color="auto"/>
            <w:right w:val="none" w:sz="0" w:space="0" w:color="auto"/>
          </w:divBdr>
        </w:div>
        <w:div w:id="1357388977">
          <w:marLeft w:val="640"/>
          <w:marRight w:val="0"/>
          <w:marTop w:val="0"/>
          <w:marBottom w:val="0"/>
          <w:divBdr>
            <w:top w:val="none" w:sz="0" w:space="0" w:color="auto"/>
            <w:left w:val="none" w:sz="0" w:space="0" w:color="auto"/>
            <w:bottom w:val="none" w:sz="0" w:space="0" w:color="auto"/>
            <w:right w:val="none" w:sz="0" w:space="0" w:color="auto"/>
          </w:divBdr>
        </w:div>
        <w:div w:id="871652804">
          <w:marLeft w:val="640"/>
          <w:marRight w:val="0"/>
          <w:marTop w:val="0"/>
          <w:marBottom w:val="0"/>
          <w:divBdr>
            <w:top w:val="none" w:sz="0" w:space="0" w:color="auto"/>
            <w:left w:val="none" w:sz="0" w:space="0" w:color="auto"/>
            <w:bottom w:val="none" w:sz="0" w:space="0" w:color="auto"/>
            <w:right w:val="none" w:sz="0" w:space="0" w:color="auto"/>
          </w:divBdr>
        </w:div>
        <w:div w:id="1029525193">
          <w:marLeft w:val="640"/>
          <w:marRight w:val="0"/>
          <w:marTop w:val="0"/>
          <w:marBottom w:val="0"/>
          <w:divBdr>
            <w:top w:val="none" w:sz="0" w:space="0" w:color="auto"/>
            <w:left w:val="none" w:sz="0" w:space="0" w:color="auto"/>
            <w:bottom w:val="none" w:sz="0" w:space="0" w:color="auto"/>
            <w:right w:val="none" w:sz="0" w:space="0" w:color="auto"/>
          </w:divBdr>
        </w:div>
        <w:div w:id="77409676">
          <w:marLeft w:val="640"/>
          <w:marRight w:val="0"/>
          <w:marTop w:val="0"/>
          <w:marBottom w:val="0"/>
          <w:divBdr>
            <w:top w:val="none" w:sz="0" w:space="0" w:color="auto"/>
            <w:left w:val="none" w:sz="0" w:space="0" w:color="auto"/>
            <w:bottom w:val="none" w:sz="0" w:space="0" w:color="auto"/>
            <w:right w:val="none" w:sz="0" w:space="0" w:color="auto"/>
          </w:divBdr>
        </w:div>
        <w:div w:id="1958222521">
          <w:marLeft w:val="640"/>
          <w:marRight w:val="0"/>
          <w:marTop w:val="0"/>
          <w:marBottom w:val="0"/>
          <w:divBdr>
            <w:top w:val="none" w:sz="0" w:space="0" w:color="auto"/>
            <w:left w:val="none" w:sz="0" w:space="0" w:color="auto"/>
            <w:bottom w:val="none" w:sz="0" w:space="0" w:color="auto"/>
            <w:right w:val="none" w:sz="0" w:space="0" w:color="auto"/>
          </w:divBdr>
        </w:div>
        <w:div w:id="1037897424">
          <w:marLeft w:val="640"/>
          <w:marRight w:val="0"/>
          <w:marTop w:val="0"/>
          <w:marBottom w:val="0"/>
          <w:divBdr>
            <w:top w:val="none" w:sz="0" w:space="0" w:color="auto"/>
            <w:left w:val="none" w:sz="0" w:space="0" w:color="auto"/>
            <w:bottom w:val="none" w:sz="0" w:space="0" w:color="auto"/>
            <w:right w:val="none" w:sz="0" w:space="0" w:color="auto"/>
          </w:divBdr>
        </w:div>
        <w:div w:id="1087726927">
          <w:marLeft w:val="640"/>
          <w:marRight w:val="0"/>
          <w:marTop w:val="0"/>
          <w:marBottom w:val="0"/>
          <w:divBdr>
            <w:top w:val="none" w:sz="0" w:space="0" w:color="auto"/>
            <w:left w:val="none" w:sz="0" w:space="0" w:color="auto"/>
            <w:bottom w:val="none" w:sz="0" w:space="0" w:color="auto"/>
            <w:right w:val="none" w:sz="0" w:space="0" w:color="auto"/>
          </w:divBdr>
        </w:div>
        <w:div w:id="1067073511">
          <w:marLeft w:val="640"/>
          <w:marRight w:val="0"/>
          <w:marTop w:val="0"/>
          <w:marBottom w:val="0"/>
          <w:divBdr>
            <w:top w:val="none" w:sz="0" w:space="0" w:color="auto"/>
            <w:left w:val="none" w:sz="0" w:space="0" w:color="auto"/>
            <w:bottom w:val="none" w:sz="0" w:space="0" w:color="auto"/>
            <w:right w:val="none" w:sz="0" w:space="0" w:color="auto"/>
          </w:divBdr>
        </w:div>
        <w:div w:id="691955482">
          <w:marLeft w:val="640"/>
          <w:marRight w:val="0"/>
          <w:marTop w:val="0"/>
          <w:marBottom w:val="0"/>
          <w:divBdr>
            <w:top w:val="none" w:sz="0" w:space="0" w:color="auto"/>
            <w:left w:val="none" w:sz="0" w:space="0" w:color="auto"/>
            <w:bottom w:val="none" w:sz="0" w:space="0" w:color="auto"/>
            <w:right w:val="none" w:sz="0" w:space="0" w:color="auto"/>
          </w:divBdr>
        </w:div>
        <w:div w:id="1898205643">
          <w:marLeft w:val="640"/>
          <w:marRight w:val="0"/>
          <w:marTop w:val="0"/>
          <w:marBottom w:val="0"/>
          <w:divBdr>
            <w:top w:val="none" w:sz="0" w:space="0" w:color="auto"/>
            <w:left w:val="none" w:sz="0" w:space="0" w:color="auto"/>
            <w:bottom w:val="none" w:sz="0" w:space="0" w:color="auto"/>
            <w:right w:val="none" w:sz="0" w:space="0" w:color="auto"/>
          </w:divBdr>
        </w:div>
        <w:div w:id="1917203165">
          <w:marLeft w:val="640"/>
          <w:marRight w:val="0"/>
          <w:marTop w:val="0"/>
          <w:marBottom w:val="0"/>
          <w:divBdr>
            <w:top w:val="none" w:sz="0" w:space="0" w:color="auto"/>
            <w:left w:val="none" w:sz="0" w:space="0" w:color="auto"/>
            <w:bottom w:val="none" w:sz="0" w:space="0" w:color="auto"/>
            <w:right w:val="none" w:sz="0" w:space="0" w:color="auto"/>
          </w:divBdr>
        </w:div>
        <w:div w:id="1392576236">
          <w:marLeft w:val="640"/>
          <w:marRight w:val="0"/>
          <w:marTop w:val="0"/>
          <w:marBottom w:val="0"/>
          <w:divBdr>
            <w:top w:val="none" w:sz="0" w:space="0" w:color="auto"/>
            <w:left w:val="none" w:sz="0" w:space="0" w:color="auto"/>
            <w:bottom w:val="none" w:sz="0" w:space="0" w:color="auto"/>
            <w:right w:val="none" w:sz="0" w:space="0" w:color="auto"/>
          </w:divBdr>
        </w:div>
        <w:div w:id="88738670">
          <w:marLeft w:val="640"/>
          <w:marRight w:val="0"/>
          <w:marTop w:val="0"/>
          <w:marBottom w:val="0"/>
          <w:divBdr>
            <w:top w:val="none" w:sz="0" w:space="0" w:color="auto"/>
            <w:left w:val="none" w:sz="0" w:space="0" w:color="auto"/>
            <w:bottom w:val="none" w:sz="0" w:space="0" w:color="auto"/>
            <w:right w:val="none" w:sz="0" w:space="0" w:color="auto"/>
          </w:divBdr>
        </w:div>
        <w:div w:id="298804656">
          <w:marLeft w:val="640"/>
          <w:marRight w:val="0"/>
          <w:marTop w:val="0"/>
          <w:marBottom w:val="0"/>
          <w:divBdr>
            <w:top w:val="none" w:sz="0" w:space="0" w:color="auto"/>
            <w:left w:val="none" w:sz="0" w:space="0" w:color="auto"/>
            <w:bottom w:val="none" w:sz="0" w:space="0" w:color="auto"/>
            <w:right w:val="none" w:sz="0" w:space="0" w:color="auto"/>
          </w:divBdr>
        </w:div>
        <w:div w:id="1178351114">
          <w:marLeft w:val="640"/>
          <w:marRight w:val="0"/>
          <w:marTop w:val="0"/>
          <w:marBottom w:val="0"/>
          <w:divBdr>
            <w:top w:val="none" w:sz="0" w:space="0" w:color="auto"/>
            <w:left w:val="none" w:sz="0" w:space="0" w:color="auto"/>
            <w:bottom w:val="none" w:sz="0" w:space="0" w:color="auto"/>
            <w:right w:val="none" w:sz="0" w:space="0" w:color="auto"/>
          </w:divBdr>
        </w:div>
        <w:div w:id="1129319495">
          <w:marLeft w:val="640"/>
          <w:marRight w:val="0"/>
          <w:marTop w:val="0"/>
          <w:marBottom w:val="0"/>
          <w:divBdr>
            <w:top w:val="none" w:sz="0" w:space="0" w:color="auto"/>
            <w:left w:val="none" w:sz="0" w:space="0" w:color="auto"/>
            <w:bottom w:val="none" w:sz="0" w:space="0" w:color="auto"/>
            <w:right w:val="none" w:sz="0" w:space="0" w:color="auto"/>
          </w:divBdr>
        </w:div>
        <w:div w:id="43335223">
          <w:marLeft w:val="640"/>
          <w:marRight w:val="0"/>
          <w:marTop w:val="0"/>
          <w:marBottom w:val="0"/>
          <w:divBdr>
            <w:top w:val="none" w:sz="0" w:space="0" w:color="auto"/>
            <w:left w:val="none" w:sz="0" w:space="0" w:color="auto"/>
            <w:bottom w:val="none" w:sz="0" w:space="0" w:color="auto"/>
            <w:right w:val="none" w:sz="0" w:space="0" w:color="auto"/>
          </w:divBdr>
        </w:div>
        <w:div w:id="1641568292">
          <w:marLeft w:val="640"/>
          <w:marRight w:val="0"/>
          <w:marTop w:val="0"/>
          <w:marBottom w:val="0"/>
          <w:divBdr>
            <w:top w:val="none" w:sz="0" w:space="0" w:color="auto"/>
            <w:left w:val="none" w:sz="0" w:space="0" w:color="auto"/>
            <w:bottom w:val="none" w:sz="0" w:space="0" w:color="auto"/>
            <w:right w:val="none" w:sz="0" w:space="0" w:color="auto"/>
          </w:divBdr>
        </w:div>
        <w:div w:id="172647279">
          <w:marLeft w:val="640"/>
          <w:marRight w:val="0"/>
          <w:marTop w:val="0"/>
          <w:marBottom w:val="0"/>
          <w:divBdr>
            <w:top w:val="none" w:sz="0" w:space="0" w:color="auto"/>
            <w:left w:val="none" w:sz="0" w:space="0" w:color="auto"/>
            <w:bottom w:val="none" w:sz="0" w:space="0" w:color="auto"/>
            <w:right w:val="none" w:sz="0" w:space="0" w:color="auto"/>
          </w:divBdr>
        </w:div>
        <w:div w:id="1289430487">
          <w:marLeft w:val="640"/>
          <w:marRight w:val="0"/>
          <w:marTop w:val="0"/>
          <w:marBottom w:val="0"/>
          <w:divBdr>
            <w:top w:val="none" w:sz="0" w:space="0" w:color="auto"/>
            <w:left w:val="none" w:sz="0" w:space="0" w:color="auto"/>
            <w:bottom w:val="none" w:sz="0" w:space="0" w:color="auto"/>
            <w:right w:val="none" w:sz="0" w:space="0" w:color="auto"/>
          </w:divBdr>
        </w:div>
        <w:div w:id="1214275938">
          <w:marLeft w:val="640"/>
          <w:marRight w:val="0"/>
          <w:marTop w:val="0"/>
          <w:marBottom w:val="0"/>
          <w:divBdr>
            <w:top w:val="none" w:sz="0" w:space="0" w:color="auto"/>
            <w:left w:val="none" w:sz="0" w:space="0" w:color="auto"/>
            <w:bottom w:val="none" w:sz="0" w:space="0" w:color="auto"/>
            <w:right w:val="none" w:sz="0" w:space="0" w:color="auto"/>
          </w:divBdr>
        </w:div>
        <w:div w:id="281496041">
          <w:marLeft w:val="640"/>
          <w:marRight w:val="0"/>
          <w:marTop w:val="0"/>
          <w:marBottom w:val="0"/>
          <w:divBdr>
            <w:top w:val="none" w:sz="0" w:space="0" w:color="auto"/>
            <w:left w:val="none" w:sz="0" w:space="0" w:color="auto"/>
            <w:bottom w:val="none" w:sz="0" w:space="0" w:color="auto"/>
            <w:right w:val="none" w:sz="0" w:space="0" w:color="auto"/>
          </w:divBdr>
        </w:div>
        <w:div w:id="338627839">
          <w:marLeft w:val="640"/>
          <w:marRight w:val="0"/>
          <w:marTop w:val="0"/>
          <w:marBottom w:val="0"/>
          <w:divBdr>
            <w:top w:val="none" w:sz="0" w:space="0" w:color="auto"/>
            <w:left w:val="none" w:sz="0" w:space="0" w:color="auto"/>
            <w:bottom w:val="none" w:sz="0" w:space="0" w:color="auto"/>
            <w:right w:val="none" w:sz="0" w:space="0" w:color="auto"/>
          </w:divBdr>
        </w:div>
        <w:div w:id="429545814">
          <w:marLeft w:val="640"/>
          <w:marRight w:val="0"/>
          <w:marTop w:val="0"/>
          <w:marBottom w:val="0"/>
          <w:divBdr>
            <w:top w:val="none" w:sz="0" w:space="0" w:color="auto"/>
            <w:left w:val="none" w:sz="0" w:space="0" w:color="auto"/>
            <w:bottom w:val="none" w:sz="0" w:space="0" w:color="auto"/>
            <w:right w:val="none" w:sz="0" w:space="0" w:color="auto"/>
          </w:divBdr>
        </w:div>
        <w:div w:id="1619801436">
          <w:marLeft w:val="640"/>
          <w:marRight w:val="0"/>
          <w:marTop w:val="0"/>
          <w:marBottom w:val="0"/>
          <w:divBdr>
            <w:top w:val="none" w:sz="0" w:space="0" w:color="auto"/>
            <w:left w:val="none" w:sz="0" w:space="0" w:color="auto"/>
            <w:bottom w:val="none" w:sz="0" w:space="0" w:color="auto"/>
            <w:right w:val="none" w:sz="0" w:space="0" w:color="auto"/>
          </w:divBdr>
        </w:div>
        <w:div w:id="519977492">
          <w:marLeft w:val="640"/>
          <w:marRight w:val="0"/>
          <w:marTop w:val="0"/>
          <w:marBottom w:val="0"/>
          <w:divBdr>
            <w:top w:val="none" w:sz="0" w:space="0" w:color="auto"/>
            <w:left w:val="none" w:sz="0" w:space="0" w:color="auto"/>
            <w:bottom w:val="none" w:sz="0" w:space="0" w:color="auto"/>
            <w:right w:val="none" w:sz="0" w:space="0" w:color="auto"/>
          </w:divBdr>
        </w:div>
        <w:div w:id="956180748">
          <w:marLeft w:val="640"/>
          <w:marRight w:val="0"/>
          <w:marTop w:val="0"/>
          <w:marBottom w:val="0"/>
          <w:divBdr>
            <w:top w:val="none" w:sz="0" w:space="0" w:color="auto"/>
            <w:left w:val="none" w:sz="0" w:space="0" w:color="auto"/>
            <w:bottom w:val="none" w:sz="0" w:space="0" w:color="auto"/>
            <w:right w:val="none" w:sz="0" w:space="0" w:color="auto"/>
          </w:divBdr>
        </w:div>
        <w:div w:id="1240672386">
          <w:marLeft w:val="640"/>
          <w:marRight w:val="0"/>
          <w:marTop w:val="0"/>
          <w:marBottom w:val="0"/>
          <w:divBdr>
            <w:top w:val="none" w:sz="0" w:space="0" w:color="auto"/>
            <w:left w:val="none" w:sz="0" w:space="0" w:color="auto"/>
            <w:bottom w:val="none" w:sz="0" w:space="0" w:color="auto"/>
            <w:right w:val="none" w:sz="0" w:space="0" w:color="auto"/>
          </w:divBdr>
        </w:div>
        <w:div w:id="673383297">
          <w:marLeft w:val="640"/>
          <w:marRight w:val="0"/>
          <w:marTop w:val="0"/>
          <w:marBottom w:val="0"/>
          <w:divBdr>
            <w:top w:val="none" w:sz="0" w:space="0" w:color="auto"/>
            <w:left w:val="none" w:sz="0" w:space="0" w:color="auto"/>
            <w:bottom w:val="none" w:sz="0" w:space="0" w:color="auto"/>
            <w:right w:val="none" w:sz="0" w:space="0" w:color="auto"/>
          </w:divBdr>
        </w:div>
        <w:div w:id="1657105703">
          <w:marLeft w:val="640"/>
          <w:marRight w:val="0"/>
          <w:marTop w:val="0"/>
          <w:marBottom w:val="0"/>
          <w:divBdr>
            <w:top w:val="none" w:sz="0" w:space="0" w:color="auto"/>
            <w:left w:val="none" w:sz="0" w:space="0" w:color="auto"/>
            <w:bottom w:val="none" w:sz="0" w:space="0" w:color="auto"/>
            <w:right w:val="none" w:sz="0" w:space="0" w:color="auto"/>
          </w:divBdr>
        </w:div>
        <w:div w:id="268660983">
          <w:marLeft w:val="640"/>
          <w:marRight w:val="0"/>
          <w:marTop w:val="0"/>
          <w:marBottom w:val="0"/>
          <w:divBdr>
            <w:top w:val="none" w:sz="0" w:space="0" w:color="auto"/>
            <w:left w:val="none" w:sz="0" w:space="0" w:color="auto"/>
            <w:bottom w:val="none" w:sz="0" w:space="0" w:color="auto"/>
            <w:right w:val="none" w:sz="0" w:space="0" w:color="auto"/>
          </w:divBdr>
        </w:div>
        <w:div w:id="1771847867">
          <w:marLeft w:val="640"/>
          <w:marRight w:val="0"/>
          <w:marTop w:val="0"/>
          <w:marBottom w:val="0"/>
          <w:divBdr>
            <w:top w:val="none" w:sz="0" w:space="0" w:color="auto"/>
            <w:left w:val="none" w:sz="0" w:space="0" w:color="auto"/>
            <w:bottom w:val="none" w:sz="0" w:space="0" w:color="auto"/>
            <w:right w:val="none" w:sz="0" w:space="0" w:color="auto"/>
          </w:divBdr>
        </w:div>
        <w:div w:id="1409958095">
          <w:marLeft w:val="640"/>
          <w:marRight w:val="0"/>
          <w:marTop w:val="0"/>
          <w:marBottom w:val="0"/>
          <w:divBdr>
            <w:top w:val="none" w:sz="0" w:space="0" w:color="auto"/>
            <w:left w:val="none" w:sz="0" w:space="0" w:color="auto"/>
            <w:bottom w:val="none" w:sz="0" w:space="0" w:color="auto"/>
            <w:right w:val="none" w:sz="0" w:space="0" w:color="auto"/>
          </w:divBdr>
        </w:div>
        <w:div w:id="1711954644">
          <w:marLeft w:val="640"/>
          <w:marRight w:val="0"/>
          <w:marTop w:val="0"/>
          <w:marBottom w:val="0"/>
          <w:divBdr>
            <w:top w:val="none" w:sz="0" w:space="0" w:color="auto"/>
            <w:left w:val="none" w:sz="0" w:space="0" w:color="auto"/>
            <w:bottom w:val="none" w:sz="0" w:space="0" w:color="auto"/>
            <w:right w:val="none" w:sz="0" w:space="0" w:color="auto"/>
          </w:divBdr>
        </w:div>
        <w:div w:id="500507112">
          <w:marLeft w:val="640"/>
          <w:marRight w:val="0"/>
          <w:marTop w:val="0"/>
          <w:marBottom w:val="0"/>
          <w:divBdr>
            <w:top w:val="none" w:sz="0" w:space="0" w:color="auto"/>
            <w:left w:val="none" w:sz="0" w:space="0" w:color="auto"/>
            <w:bottom w:val="none" w:sz="0" w:space="0" w:color="auto"/>
            <w:right w:val="none" w:sz="0" w:space="0" w:color="auto"/>
          </w:divBdr>
        </w:div>
        <w:div w:id="1361586536">
          <w:marLeft w:val="640"/>
          <w:marRight w:val="0"/>
          <w:marTop w:val="0"/>
          <w:marBottom w:val="0"/>
          <w:divBdr>
            <w:top w:val="none" w:sz="0" w:space="0" w:color="auto"/>
            <w:left w:val="none" w:sz="0" w:space="0" w:color="auto"/>
            <w:bottom w:val="none" w:sz="0" w:space="0" w:color="auto"/>
            <w:right w:val="none" w:sz="0" w:space="0" w:color="auto"/>
          </w:divBdr>
        </w:div>
        <w:div w:id="40447365">
          <w:marLeft w:val="640"/>
          <w:marRight w:val="0"/>
          <w:marTop w:val="0"/>
          <w:marBottom w:val="0"/>
          <w:divBdr>
            <w:top w:val="none" w:sz="0" w:space="0" w:color="auto"/>
            <w:left w:val="none" w:sz="0" w:space="0" w:color="auto"/>
            <w:bottom w:val="none" w:sz="0" w:space="0" w:color="auto"/>
            <w:right w:val="none" w:sz="0" w:space="0" w:color="auto"/>
          </w:divBdr>
        </w:div>
        <w:div w:id="1722483159">
          <w:marLeft w:val="640"/>
          <w:marRight w:val="0"/>
          <w:marTop w:val="0"/>
          <w:marBottom w:val="0"/>
          <w:divBdr>
            <w:top w:val="none" w:sz="0" w:space="0" w:color="auto"/>
            <w:left w:val="none" w:sz="0" w:space="0" w:color="auto"/>
            <w:bottom w:val="none" w:sz="0" w:space="0" w:color="auto"/>
            <w:right w:val="none" w:sz="0" w:space="0" w:color="auto"/>
          </w:divBdr>
        </w:div>
        <w:div w:id="619607416">
          <w:marLeft w:val="640"/>
          <w:marRight w:val="0"/>
          <w:marTop w:val="0"/>
          <w:marBottom w:val="0"/>
          <w:divBdr>
            <w:top w:val="none" w:sz="0" w:space="0" w:color="auto"/>
            <w:left w:val="none" w:sz="0" w:space="0" w:color="auto"/>
            <w:bottom w:val="none" w:sz="0" w:space="0" w:color="auto"/>
            <w:right w:val="none" w:sz="0" w:space="0" w:color="auto"/>
          </w:divBdr>
        </w:div>
        <w:div w:id="792794264">
          <w:marLeft w:val="640"/>
          <w:marRight w:val="0"/>
          <w:marTop w:val="0"/>
          <w:marBottom w:val="0"/>
          <w:divBdr>
            <w:top w:val="none" w:sz="0" w:space="0" w:color="auto"/>
            <w:left w:val="none" w:sz="0" w:space="0" w:color="auto"/>
            <w:bottom w:val="none" w:sz="0" w:space="0" w:color="auto"/>
            <w:right w:val="none" w:sz="0" w:space="0" w:color="auto"/>
          </w:divBdr>
        </w:div>
        <w:div w:id="630015701">
          <w:marLeft w:val="640"/>
          <w:marRight w:val="0"/>
          <w:marTop w:val="0"/>
          <w:marBottom w:val="0"/>
          <w:divBdr>
            <w:top w:val="none" w:sz="0" w:space="0" w:color="auto"/>
            <w:left w:val="none" w:sz="0" w:space="0" w:color="auto"/>
            <w:bottom w:val="none" w:sz="0" w:space="0" w:color="auto"/>
            <w:right w:val="none" w:sz="0" w:space="0" w:color="auto"/>
          </w:divBdr>
        </w:div>
        <w:div w:id="1741639199">
          <w:marLeft w:val="640"/>
          <w:marRight w:val="0"/>
          <w:marTop w:val="0"/>
          <w:marBottom w:val="0"/>
          <w:divBdr>
            <w:top w:val="none" w:sz="0" w:space="0" w:color="auto"/>
            <w:left w:val="none" w:sz="0" w:space="0" w:color="auto"/>
            <w:bottom w:val="none" w:sz="0" w:space="0" w:color="auto"/>
            <w:right w:val="none" w:sz="0" w:space="0" w:color="auto"/>
          </w:divBdr>
        </w:div>
        <w:div w:id="162087315">
          <w:marLeft w:val="640"/>
          <w:marRight w:val="0"/>
          <w:marTop w:val="0"/>
          <w:marBottom w:val="0"/>
          <w:divBdr>
            <w:top w:val="none" w:sz="0" w:space="0" w:color="auto"/>
            <w:left w:val="none" w:sz="0" w:space="0" w:color="auto"/>
            <w:bottom w:val="none" w:sz="0" w:space="0" w:color="auto"/>
            <w:right w:val="none" w:sz="0" w:space="0" w:color="auto"/>
          </w:divBdr>
        </w:div>
        <w:div w:id="807818466">
          <w:marLeft w:val="640"/>
          <w:marRight w:val="0"/>
          <w:marTop w:val="0"/>
          <w:marBottom w:val="0"/>
          <w:divBdr>
            <w:top w:val="none" w:sz="0" w:space="0" w:color="auto"/>
            <w:left w:val="none" w:sz="0" w:space="0" w:color="auto"/>
            <w:bottom w:val="none" w:sz="0" w:space="0" w:color="auto"/>
            <w:right w:val="none" w:sz="0" w:space="0" w:color="auto"/>
          </w:divBdr>
        </w:div>
        <w:div w:id="2007318645">
          <w:marLeft w:val="640"/>
          <w:marRight w:val="0"/>
          <w:marTop w:val="0"/>
          <w:marBottom w:val="0"/>
          <w:divBdr>
            <w:top w:val="none" w:sz="0" w:space="0" w:color="auto"/>
            <w:left w:val="none" w:sz="0" w:space="0" w:color="auto"/>
            <w:bottom w:val="none" w:sz="0" w:space="0" w:color="auto"/>
            <w:right w:val="none" w:sz="0" w:space="0" w:color="auto"/>
          </w:divBdr>
        </w:div>
        <w:div w:id="1484083900">
          <w:marLeft w:val="640"/>
          <w:marRight w:val="0"/>
          <w:marTop w:val="0"/>
          <w:marBottom w:val="0"/>
          <w:divBdr>
            <w:top w:val="none" w:sz="0" w:space="0" w:color="auto"/>
            <w:left w:val="none" w:sz="0" w:space="0" w:color="auto"/>
            <w:bottom w:val="none" w:sz="0" w:space="0" w:color="auto"/>
            <w:right w:val="none" w:sz="0" w:space="0" w:color="auto"/>
          </w:divBdr>
        </w:div>
        <w:div w:id="247925446">
          <w:marLeft w:val="640"/>
          <w:marRight w:val="0"/>
          <w:marTop w:val="0"/>
          <w:marBottom w:val="0"/>
          <w:divBdr>
            <w:top w:val="none" w:sz="0" w:space="0" w:color="auto"/>
            <w:left w:val="none" w:sz="0" w:space="0" w:color="auto"/>
            <w:bottom w:val="none" w:sz="0" w:space="0" w:color="auto"/>
            <w:right w:val="none" w:sz="0" w:space="0" w:color="auto"/>
          </w:divBdr>
        </w:div>
        <w:div w:id="1750616478">
          <w:marLeft w:val="640"/>
          <w:marRight w:val="0"/>
          <w:marTop w:val="0"/>
          <w:marBottom w:val="0"/>
          <w:divBdr>
            <w:top w:val="none" w:sz="0" w:space="0" w:color="auto"/>
            <w:left w:val="none" w:sz="0" w:space="0" w:color="auto"/>
            <w:bottom w:val="none" w:sz="0" w:space="0" w:color="auto"/>
            <w:right w:val="none" w:sz="0" w:space="0" w:color="auto"/>
          </w:divBdr>
        </w:div>
        <w:div w:id="1456175065">
          <w:marLeft w:val="640"/>
          <w:marRight w:val="0"/>
          <w:marTop w:val="0"/>
          <w:marBottom w:val="0"/>
          <w:divBdr>
            <w:top w:val="none" w:sz="0" w:space="0" w:color="auto"/>
            <w:left w:val="none" w:sz="0" w:space="0" w:color="auto"/>
            <w:bottom w:val="none" w:sz="0" w:space="0" w:color="auto"/>
            <w:right w:val="none" w:sz="0" w:space="0" w:color="auto"/>
          </w:divBdr>
        </w:div>
        <w:div w:id="1676108238">
          <w:marLeft w:val="640"/>
          <w:marRight w:val="0"/>
          <w:marTop w:val="0"/>
          <w:marBottom w:val="0"/>
          <w:divBdr>
            <w:top w:val="none" w:sz="0" w:space="0" w:color="auto"/>
            <w:left w:val="none" w:sz="0" w:space="0" w:color="auto"/>
            <w:bottom w:val="none" w:sz="0" w:space="0" w:color="auto"/>
            <w:right w:val="none" w:sz="0" w:space="0" w:color="auto"/>
          </w:divBdr>
        </w:div>
        <w:div w:id="1112474316">
          <w:marLeft w:val="640"/>
          <w:marRight w:val="0"/>
          <w:marTop w:val="0"/>
          <w:marBottom w:val="0"/>
          <w:divBdr>
            <w:top w:val="none" w:sz="0" w:space="0" w:color="auto"/>
            <w:left w:val="none" w:sz="0" w:space="0" w:color="auto"/>
            <w:bottom w:val="none" w:sz="0" w:space="0" w:color="auto"/>
            <w:right w:val="none" w:sz="0" w:space="0" w:color="auto"/>
          </w:divBdr>
        </w:div>
        <w:div w:id="1177695782">
          <w:marLeft w:val="640"/>
          <w:marRight w:val="0"/>
          <w:marTop w:val="0"/>
          <w:marBottom w:val="0"/>
          <w:divBdr>
            <w:top w:val="none" w:sz="0" w:space="0" w:color="auto"/>
            <w:left w:val="none" w:sz="0" w:space="0" w:color="auto"/>
            <w:bottom w:val="none" w:sz="0" w:space="0" w:color="auto"/>
            <w:right w:val="none" w:sz="0" w:space="0" w:color="auto"/>
          </w:divBdr>
        </w:div>
        <w:div w:id="1986202726">
          <w:marLeft w:val="640"/>
          <w:marRight w:val="0"/>
          <w:marTop w:val="0"/>
          <w:marBottom w:val="0"/>
          <w:divBdr>
            <w:top w:val="none" w:sz="0" w:space="0" w:color="auto"/>
            <w:left w:val="none" w:sz="0" w:space="0" w:color="auto"/>
            <w:bottom w:val="none" w:sz="0" w:space="0" w:color="auto"/>
            <w:right w:val="none" w:sz="0" w:space="0" w:color="auto"/>
          </w:divBdr>
        </w:div>
        <w:div w:id="569077336">
          <w:marLeft w:val="640"/>
          <w:marRight w:val="0"/>
          <w:marTop w:val="0"/>
          <w:marBottom w:val="0"/>
          <w:divBdr>
            <w:top w:val="none" w:sz="0" w:space="0" w:color="auto"/>
            <w:left w:val="none" w:sz="0" w:space="0" w:color="auto"/>
            <w:bottom w:val="none" w:sz="0" w:space="0" w:color="auto"/>
            <w:right w:val="none" w:sz="0" w:space="0" w:color="auto"/>
          </w:divBdr>
        </w:div>
        <w:div w:id="1549950484">
          <w:marLeft w:val="640"/>
          <w:marRight w:val="0"/>
          <w:marTop w:val="0"/>
          <w:marBottom w:val="0"/>
          <w:divBdr>
            <w:top w:val="none" w:sz="0" w:space="0" w:color="auto"/>
            <w:left w:val="none" w:sz="0" w:space="0" w:color="auto"/>
            <w:bottom w:val="none" w:sz="0" w:space="0" w:color="auto"/>
            <w:right w:val="none" w:sz="0" w:space="0" w:color="auto"/>
          </w:divBdr>
        </w:div>
        <w:div w:id="1073939473">
          <w:marLeft w:val="640"/>
          <w:marRight w:val="0"/>
          <w:marTop w:val="0"/>
          <w:marBottom w:val="0"/>
          <w:divBdr>
            <w:top w:val="none" w:sz="0" w:space="0" w:color="auto"/>
            <w:left w:val="none" w:sz="0" w:space="0" w:color="auto"/>
            <w:bottom w:val="none" w:sz="0" w:space="0" w:color="auto"/>
            <w:right w:val="none" w:sz="0" w:space="0" w:color="auto"/>
          </w:divBdr>
        </w:div>
        <w:div w:id="256836304">
          <w:marLeft w:val="640"/>
          <w:marRight w:val="0"/>
          <w:marTop w:val="0"/>
          <w:marBottom w:val="0"/>
          <w:divBdr>
            <w:top w:val="none" w:sz="0" w:space="0" w:color="auto"/>
            <w:left w:val="none" w:sz="0" w:space="0" w:color="auto"/>
            <w:bottom w:val="none" w:sz="0" w:space="0" w:color="auto"/>
            <w:right w:val="none" w:sz="0" w:space="0" w:color="auto"/>
          </w:divBdr>
        </w:div>
        <w:div w:id="2091461523">
          <w:marLeft w:val="640"/>
          <w:marRight w:val="0"/>
          <w:marTop w:val="0"/>
          <w:marBottom w:val="0"/>
          <w:divBdr>
            <w:top w:val="none" w:sz="0" w:space="0" w:color="auto"/>
            <w:left w:val="none" w:sz="0" w:space="0" w:color="auto"/>
            <w:bottom w:val="none" w:sz="0" w:space="0" w:color="auto"/>
            <w:right w:val="none" w:sz="0" w:space="0" w:color="auto"/>
          </w:divBdr>
        </w:div>
        <w:div w:id="766510053">
          <w:marLeft w:val="640"/>
          <w:marRight w:val="0"/>
          <w:marTop w:val="0"/>
          <w:marBottom w:val="0"/>
          <w:divBdr>
            <w:top w:val="none" w:sz="0" w:space="0" w:color="auto"/>
            <w:left w:val="none" w:sz="0" w:space="0" w:color="auto"/>
            <w:bottom w:val="none" w:sz="0" w:space="0" w:color="auto"/>
            <w:right w:val="none" w:sz="0" w:space="0" w:color="auto"/>
          </w:divBdr>
        </w:div>
        <w:div w:id="2036929062">
          <w:marLeft w:val="640"/>
          <w:marRight w:val="0"/>
          <w:marTop w:val="0"/>
          <w:marBottom w:val="0"/>
          <w:divBdr>
            <w:top w:val="none" w:sz="0" w:space="0" w:color="auto"/>
            <w:left w:val="none" w:sz="0" w:space="0" w:color="auto"/>
            <w:bottom w:val="none" w:sz="0" w:space="0" w:color="auto"/>
            <w:right w:val="none" w:sz="0" w:space="0" w:color="auto"/>
          </w:divBdr>
        </w:div>
        <w:div w:id="1004013656">
          <w:marLeft w:val="640"/>
          <w:marRight w:val="0"/>
          <w:marTop w:val="0"/>
          <w:marBottom w:val="0"/>
          <w:divBdr>
            <w:top w:val="none" w:sz="0" w:space="0" w:color="auto"/>
            <w:left w:val="none" w:sz="0" w:space="0" w:color="auto"/>
            <w:bottom w:val="none" w:sz="0" w:space="0" w:color="auto"/>
            <w:right w:val="none" w:sz="0" w:space="0" w:color="auto"/>
          </w:divBdr>
        </w:div>
        <w:div w:id="494760835">
          <w:marLeft w:val="640"/>
          <w:marRight w:val="0"/>
          <w:marTop w:val="0"/>
          <w:marBottom w:val="0"/>
          <w:divBdr>
            <w:top w:val="none" w:sz="0" w:space="0" w:color="auto"/>
            <w:left w:val="none" w:sz="0" w:space="0" w:color="auto"/>
            <w:bottom w:val="none" w:sz="0" w:space="0" w:color="auto"/>
            <w:right w:val="none" w:sz="0" w:space="0" w:color="auto"/>
          </w:divBdr>
        </w:div>
        <w:div w:id="155650952">
          <w:marLeft w:val="640"/>
          <w:marRight w:val="0"/>
          <w:marTop w:val="0"/>
          <w:marBottom w:val="0"/>
          <w:divBdr>
            <w:top w:val="none" w:sz="0" w:space="0" w:color="auto"/>
            <w:left w:val="none" w:sz="0" w:space="0" w:color="auto"/>
            <w:bottom w:val="none" w:sz="0" w:space="0" w:color="auto"/>
            <w:right w:val="none" w:sz="0" w:space="0" w:color="auto"/>
          </w:divBdr>
        </w:div>
        <w:div w:id="1528103413">
          <w:marLeft w:val="640"/>
          <w:marRight w:val="0"/>
          <w:marTop w:val="0"/>
          <w:marBottom w:val="0"/>
          <w:divBdr>
            <w:top w:val="none" w:sz="0" w:space="0" w:color="auto"/>
            <w:left w:val="none" w:sz="0" w:space="0" w:color="auto"/>
            <w:bottom w:val="none" w:sz="0" w:space="0" w:color="auto"/>
            <w:right w:val="none" w:sz="0" w:space="0" w:color="auto"/>
          </w:divBdr>
        </w:div>
        <w:div w:id="162015802">
          <w:marLeft w:val="640"/>
          <w:marRight w:val="0"/>
          <w:marTop w:val="0"/>
          <w:marBottom w:val="0"/>
          <w:divBdr>
            <w:top w:val="none" w:sz="0" w:space="0" w:color="auto"/>
            <w:left w:val="none" w:sz="0" w:space="0" w:color="auto"/>
            <w:bottom w:val="none" w:sz="0" w:space="0" w:color="auto"/>
            <w:right w:val="none" w:sz="0" w:space="0" w:color="auto"/>
          </w:divBdr>
        </w:div>
        <w:div w:id="1969779108">
          <w:marLeft w:val="640"/>
          <w:marRight w:val="0"/>
          <w:marTop w:val="0"/>
          <w:marBottom w:val="0"/>
          <w:divBdr>
            <w:top w:val="none" w:sz="0" w:space="0" w:color="auto"/>
            <w:left w:val="none" w:sz="0" w:space="0" w:color="auto"/>
            <w:bottom w:val="none" w:sz="0" w:space="0" w:color="auto"/>
            <w:right w:val="none" w:sz="0" w:space="0" w:color="auto"/>
          </w:divBdr>
        </w:div>
        <w:div w:id="1325429086">
          <w:marLeft w:val="640"/>
          <w:marRight w:val="0"/>
          <w:marTop w:val="0"/>
          <w:marBottom w:val="0"/>
          <w:divBdr>
            <w:top w:val="none" w:sz="0" w:space="0" w:color="auto"/>
            <w:left w:val="none" w:sz="0" w:space="0" w:color="auto"/>
            <w:bottom w:val="none" w:sz="0" w:space="0" w:color="auto"/>
            <w:right w:val="none" w:sz="0" w:space="0" w:color="auto"/>
          </w:divBdr>
        </w:div>
        <w:div w:id="1566986984">
          <w:marLeft w:val="640"/>
          <w:marRight w:val="0"/>
          <w:marTop w:val="0"/>
          <w:marBottom w:val="0"/>
          <w:divBdr>
            <w:top w:val="none" w:sz="0" w:space="0" w:color="auto"/>
            <w:left w:val="none" w:sz="0" w:space="0" w:color="auto"/>
            <w:bottom w:val="none" w:sz="0" w:space="0" w:color="auto"/>
            <w:right w:val="none" w:sz="0" w:space="0" w:color="auto"/>
          </w:divBdr>
        </w:div>
        <w:div w:id="1023633378">
          <w:marLeft w:val="640"/>
          <w:marRight w:val="0"/>
          <w:marTop w:val="0"/>
          <w:marBottom w:val="0"/>
          <w:divBdr>
            <w:top w:val="none" w:sz="0" w:space="0" w:color="auto"/>
            <w:left w:val="none" w:sz="0" w:space="0" w:color="auto"/>
            <w:bottom w:val="none" w:sz="0" w:space="0" w:color="auto"/>
            <w:right w:val="none" w:sz="0" w:space="0" w:color="auto"/>
          </w:divBdr>
        </w:div>
        <w:div w:id="1989436113">
          <w:marLeft w:val="640"/>
          <w:marRight w:val="0"/>
          <w:marTop w:val="0"/>
          <w:marBottom w:val="0"/>
          <w:divBdr>
            <w:top w:val="none" w:sz="0" w:space="0" w:color="auto"/>
            <w:left w:val="none" w:sz="0" w:space="0" w:color="auto"/>
            <w:bottom w:val="none" w:sz="0" w:space="0" w:color="auto"/>
            <w:right w:val="none" w:sz="0" w:space="0" w:color="auto"/>
          </w:divBdr>
        </w:div>
        <w:div w:id="611591253">
          <w:marLeft w:val="640"/>
          <w:marRight w:val="0"/>
          <w:marTop w:val="0"/>
          <w:marBottom w:val="0"/>
          <w:divBdr>
            <w:top w:val="none" w:sz="0" w:space="0" w:color="auto"/>
            <w:left w:val="none" w:sz="0" w:space="0" w:color="auto"/>
            <w:bottom w:val="none" w:sz="0" w:space="0" w:color="auto"/>
            <w:right w:val="none" w:sz="0" w:space="0" w:color="auto"/>
          </w:divBdr>
        </w:div>
        <w:div w:id="1418863376">
          <w:marLeft w:val="640"/>
          <w:marRight w:val="0"/>
          <w:marTop w:val="0"/>
          <w:marBottom w:val="0"/>
          <w:divBdr>
            <w:top w:val="none" w:sz="0" w:space="0" w:color="auto"/>
            <w:left w:val="none" w:sz="0" w:space="0" w:color="auto"/>
            <w:bottom w:val="none" w:sz="0" w:space="0" w:color="auto"/>
            <w:right w:val="none" w:sz="0" w:space="0" w:color="auto"/>
          </w:divBdr>
        </w:div>
        <w:div w:id="1092581764">
          <w:marLeft w:val="640"/>
          <w:marRight w:val="0"/>
          <w:marTop w:val="0"/>
          <w:marBottom w:val="0"/>
          <w:divBdr>
            <w:top w:val="none" w:sz="0" w:space="0" w:color="auto"/>
            <w:left w:val="none" w:sz="0" w:space="0" w:color="auto"/>
            <w:bottom w:val="none" w:sz="0" w:space="0" w:color="auto"/>
            <w:right w:val="none" w:sz="0" w:space="0" w:color="auto"/>
          </w:divBdr>
        </w:div>
        <w:div w:id="1627664550">
          <w:marLeft w:val="640"/>
          <w:marRight w:val="0"/>
          <w:marTop w:val="0"/>
          <w:marBottom w:val="0"/>
          <w:divBdr>
            <w:top w:val="none" w:sz="0" w:space="0" w:color="auto"/>
            <w:left w:val="none" w:sz="0" w:space="0" w:color="auto"/>
            <w:bottom w:val="none" w:sz="0" w:space="0" w:color="auto"/>
            <w:right w:val="none" w:sz="0" w:space="0" w:color="auto"/>
          </w:divBdr>
        </w:div>
        <w:div w:id="1898277052">
          <w:marLeft w:val="640"/>
          <w:marRight w:val="0"/>
          <w:marTop w:val="0"/>
          <w:marBottom w:val="0"/>
          <w:divBdr>
            <w:top w:val="none" w:sz="0" w:space="0" w:color="auto"/>
            <w:left w:val="none" w:sz="0" w:space="0" w:color="auto"/>
            <w:bottom w:val="none" w:sz="0" w:space="0" w:color="auto"/>
            <w:right w:val="none" w:sz="0" w:space="0" w:color="auto"/>
          </w:divBdr>
        </w:div>
        <w:div w:id="686981048">
          <w:marLeft w:val="640"/>
          <w:marRight w:val="0"/>
          <w:marTop w:val="0"/>
          <w:marBottom w:val="0"/>
          <w:divBdr>
            <w:top w:val="none" w:sz="0" w:space="0" w:color="auto"/>
            <w:left w:val="none" w:sz="0" w:space="0" w:color="auto"/>
            <w:bottom w:val="none" w:sz="0" w:space="0" w:color="auto"/>
            <w:right w:val="none" w:sz="0" w:space="0" w:color="auto"/>
          </w:divBdr>
        </w:div>
        <w:div w:id="1390499571">
          <w:marLeft w:val="640"/>
          <w:marRight w:val="0"/>
          <w:marTop w:val="0"/>
          <w:marBottom w:val="0"/>
          <w:divBdr>
            <w:top w:val="none" w:sz="0" w:space="0" w:color="auto"/>
            <w:left w:val="none" w:sz="0" w:space="0" w:color="auto"/>
            <w:bottom w:val="none" w:sz="0" w:space="0" w:color="auto"/>
            <w:right w:val="none" w:sz="0" w:space="0" w:color="auto"/>
          </w:divBdr>
        </w:div>
        <w:div w:id="1091506000">
          <w:marLeft w:val="640"/>
          <w:marRight w:val="0"/>
          <w:marTop w:val="0"/>
          <w:marBottom w:val="0"/>
          <w:divBdr>
            <w:top w:val="none" w:sz="0" w:space="0" w:color="auto"/>
            <w:left w:val="none" w:sz="0" w:space="0" w:color="auto"/>
            <w:bottom w:val="none" w:sz="0" w:space="0" w:color="auto"/>
            <w:right w:val="none" w:sz="0" w:space="0" w:color="auto"/>
          </w:divBdr>
        </w:div>
        <w:div w:id="1831825582">
          <w:marLeft w:val="640"/>
          <w:marRight w:val="0"/>
          <w:marTop w:val="0"/>
          <w:marBottom w:val="0"/>
          <w:divBdr>
            <w:top w:val="none" w:sz="0" w:space="0" w:color="auto"/>
            <w:left w:val="none" w:sz="0" w:space="0" w:color="auto"/>
            <w:bottom w:val="none" w:sz="0" w:space="0" w:color="auto"/>
            <w:right w:val="none" w:sz="0" w:space="0" w:color="auto"/>
          </w:divBdr>
        </w:div>
        <w:div w:id="1957519554">
          <w:marLeft w:val="640"/>
          <w:marRight w:val="0"/>
          <w:marTop w:val="0"/>
          <w:marBottom w:val="0"/>
          <w:divBdr>
            <w:top w:val="none" w:sz="0" w:space="0" w:color="auto"/>
            <w:left w:val="none" w:sz="0" w:space="0" w:color="auto"/>
            <w:bottom w:val="none" w:sz="0" w:space="0" w:color="auto"/>
            <w:right w:val="none" w:sz="0" w:space="0" w:color="auto"/>
          </w:divBdr>
        </w:div>
        <w:div w:id="692730676">
          <w:marLeft w:val="640"/>
          <w:marRight w:val="0"/>
          <w:marTop w:val="0"/>
          <w:marBottom w:val="0"/>
          <w:divBdr>
            <w:top w:val="none" w:sz="0" w:space="0" w:color="auto"/>
            <w:left w:val="none" w:sz="0" w:space="0" w:color="auto"/>
            <w:bottom w:val="none" w:sz="0" w:space="0" w:color="auto"/>
            <w:right w:val="none" w:sz="0" w:space="0" w:color="auto"/>
          </w:divBdr>
        </w:div>
        <w:div w:id="1156266472">
          <w:marLeft w:val="640"/>
          <w:marRight w:val="0"/>
          <w:marTop w:val="0"/>
          <w:marBottom w:val="0"/>
          <w:divBdr>
            <w:top w:val="none" w:sz="0" w:space="0" w:color="auto"/>
            <w:left w:val="none" w:sz="0" w:space="0" w:color="auto"/>
            <w:bottom w:val="none" w:sz="0" w:space="0" w:color="auto"/>
            <w:right w:val="none" w:sz="0" w:space="0" w:color="auto"/>
          </w:divBdr>
        </w:div>
        <w:div w:id="553009343">
          <w:marLeft w:val="640"/>
          <w:marRight w:val="0"/>
          <w:marTop w:val="0"/>
          <w:marBottom w:val="0"/>
          <w:divBdr>
            <w:top w:val="none" w:sz="0" w:space="0" w:color="auto"/>
            <w:left w:val="none" w:sz="0" w:space="0" w:color="auto"/>
            <w:bottom w:val="none" w:sz="0" w:space="0" w:color="auto"/>
            <w:right w:val="none" w:sz="0" w:space="0" w:color="auto"/>
          </w:divBdr>
        </w:div>
        <w:div w:id="167713535">
          <w:marLeft w:val="640"/>
          <w:marRight w:val="0"/>
          <w:marTop w:val="0"/>
          <w:marBottom w:val="0"/>
          <w:divBdr>
            <w:top w:val="none" w:sz="0" w:space="0" w:color="auto"/>
            <w:left w:val="none" w:sz="0" w:space="0" w:color="auto"/>
            <w:bottom w:val="none" w:sz="0" w:space="0" w:color="auto"/>
            <w:right w:val="none" w:sz="0" w:space="0" w:color="auto"/>
          </w:divBdr>
        </w:div>
        <w:div w:id="672033403">
          <w:marLeft w:val="640"/>
          <w:marRight w:val="0"/>
          <w:marTop w:val="0"/>
          <w:marBottom w:val="0"/>
          <w:divBdr>
            <w:top w:val="none" w:sz="0" w:space="0" w:color="auto"/>
            <w:left w:val="none" w:sz="0" w:space="0" w:color="auto"/>
            <w:bottom w:val="none" w:sz="0" w:space="0" w:color="auto"/>
            <w:right w:val="none" w:sz="0" w:space="0" w:color="auto"/>
          </w:divBdr>
        </w:div>
        <w:div w:id="498498616">
          <w:marLeft w:val="640"/>
          <w:marRight w:val="0"/>
          <w:marTop w:val="0"/>
          <w:marBottom w:val="0"/>
          <w:divBdr>
            <w:top w:val="none" w:sz="0" w:space="0" w:color="auto"/>
            <w:left w:val="none" w:sz="0" w:space="0" w:color="auto"/>
            <w:bottom w:val="none" w:sz="0" w:space="0" w:color="auto"/>
            <w:right w:val="none" w:sz="0" w:space="0" w:color="auto"/>
          </w:divBdr>
        </w:div>
        <w:div w:id="686834645">
          <w:marLeft w:val="640"/>
          <w:marRight w:val="0"/>
          <w:marTop w:val="0"/>
          <w:marBottom w:val="0"/>
          <w:divBdr>
            <w:top w:val="none" w:sz="0" w:space="0" w:color="auto"/>
            <w:left w:val="none" w:sz="0" w:space="0" w:color="auto"/>
            <w:bottom w:val="none" w:sz="0" w:space="0" w:color="auto"/>
            <w:right w:val="none" w:sz="0" w:space="0" w:color="auto"/>
          </w:divBdr>
        </w:div>
        <w:div w:id="1431849933">
          <w:marLeft w:val="640"/>
          <w:marRight w:val="0"/>
          <w:marTop w:val="0"/>
          <w:marBottom w:val="0"/>
          <w:divBdr>
            <w:top w:val="none" w:sz="0" w:space="0" w:color="auto"/>
            <w:left w:val="none" w:sz="0" w:space="0" w:color="auto"/>
            <w:bottom w:val="none" w:sz="0" w:space="0" w:color="auto"/>
            <w:right w:val="none" w:sz="0" w:space="0" w:color="auto"/>
          </w:divBdr>
        </w:div>
        <w:div w:id="226065270">
          <w:marLeft w:val="640"/>
          <w:marRight w:val="0"/>
          <w:marTop w:val="0"/>
          <w:marBottom w:val="0"/>
          <w:divBdr>
            <w:top w:val="none" w:sz="0" w:space="0" w:color="auto"/>
            <w:left w:val="none" w:sz="0" w:space="0" w:color="auto"/>
            <w:bottom w:val="none" w:sz="0" w:space="0" w:color="auto"/>
            <w:right w:val="none" w:sz="0" w:space="0" w:color="auto"/>
          </w:divBdr>
        </w:div>
        <w:div w:id="334500472">
          <w:marLeft w:val="640"/>
          <w:marRight w:val="0"/>
          <w:marTop w:val="0"/>
          <w:marBottom w:val="0"/>
          <w:divBdr>
            <w:top w:val="none" w:sz="0" w:space="0" w:color="auto"/>
            <w:left w:val="none" w:sz="0" w:space="0" w:color="auto"/>
            <w:bottom w:val="none" w:sz="0" w:space="0" w:color="auto"/>
            <w:right w:val="none" w:sz="0" w:space="0" w:color="auto"/>
          </w:divBdr>
        </w:div>
        <w:div w:id="639769294">
          <w:marLeft w:val="640"/>
          <w:marRight w:val="0"/>
          <w:marTop w:val="0"/>
          <w:marBottom w:val="0"/>
          <w:divBdr>
            <w:top w:val="none" w:sz="0" w:space="0" w:color="auto"/>
            <w:left w:val="none" w:sz="0" w:space="0" w:color="auto"/>
            <w:bottom w:val="none" w:sz="0" w:space="0" w:color="auto"/>
            <w:right w:val="none" w:sz="0" w:space="0" w:color="auto"/>
          </w:divBdr>
        </w:div>
        <w:div w:id="1534270882">
          <w:marLeft w:val="640"/>
          <w:marRight w:val="0"/>
          <w:marTop w:val="0"/>
          <w:marBottom w:val="0"/>
          <w:divBdr>
            <w:top w:val="none" w:sz="0" w:space="0" w:color="auto"/>
            <w:left w:val="none" w:sz="0" w:space="0" w:color="auto"/>
            <w:bottom w:val="none" w:sz="0" w:space="0" w:color="auto"/>
            <w:right w:val="none" w:sz="0" w:space="0" w:color="auto"/>
          </w:divBdr>
        </w:div>
        <w:div w:id="1771270600">
          <w:marLeft w:val="640"/>
          <w:marRight w:val="0"/>
          <w:marTop w:val="0"/>
          <w:marBottom w:val="0"/>
          <w:divBdr>
            <w:top w:val="none" w:sz="0" w:space="0" w:color="auto"/>
            <w:left w:val="none" w:sz="0" w:space="0" w:color="auto"/>
            <w:bottom w:val="none" w:sz="0" w:space="0" w:color="auto"/>
            <w:right w:val="none" w:sz="0" w:space="0" w:color="auto"/>
          </w:divBdr>
        </w:div>
        <w:div w:id="659314423">
          <w:marLeft w:val="640"/>
          <w:marRight w:val="0"/>
          <w:marTop w:val="0"/>
          <w:marBottom w:val="0"/>
          <w:divBdr>
            <w:top w:val="none" w:sz="0" w:space="0" w:color="auto"/>
            <w:left w:val="none" w:sz="0" w:space="0" w:color="auto"/>
            <w:bottom w:val="none" w:sz="0" w:space="0" w:color="auto"/>
            <w:right w:val="none" w:sz="0" w:space="0" w:color="auto"/>
          </w:divBdr>
        </w:div>
        <w:div w:id="1682320641">
          <w:marLeft w:val="640"/>
          <w:marRight w:val="0"/>
          <w:marTop w:val="0"/>
          <w:marBottom w:val="0"/>
          <w:divBdr>
            <w:top w:val="none" w:sz="0" w:space="0" w:color="auto"/>
            <w:left w:val="none" w:sz="0" w:space="0" w:color="auto"/>
            <w:bottom w:val="none" w:sz="0" w:space="0" w:color="auto"/>
            <w:right w:val="none" w:sz="0" w:space="0" w:color="auto"/>
          </w:divBdr>
        </w:div>
        <w:div w:id="41491309">
          <w:marLeft w:val="640"/>
          <w:marRight w:val="0"/>
          <w:marTop w:val="0"/>
          <w:marBottom w:val="0"/>
          <w:divBdr>
            <w:top w:val="none" w:sz="0" w:space="0" w:color="auto"/>
            <w:left w:val="none" w:sz="0" w:space="0" w:color="auto"/>
            <w:bottom w:val="none" w:sz="0" w:space="0" w:color="auto"/>
            <w:right w:val="none" w:sz="0" w:space="0" w:color="auto"/>
          </w:divBdr>
        </w:div>
        <w:div w:id="729770764">
          <w:marLeft w:val="640"/>
          <w:marRight w:val="0"/>
          <w:marTop w:val="0"/>
          <w:marBottom w:val="0"/>
          <w:divBdr>
            <w:top w:val="none" w:sz="0" w:space="0" w:color="auto"/>
            <w:left w:val="none" w:sz="0" w:space="0" w:color="auto"/>
            <w:bottom w:val="none" w:sz="0" w:space="0" w:color="auto"/>
            <w:right w:val="none" w:sz="0" w:space="0" w:color="auto"/>
          </w:divBdr>
        </w:div>
        <w:div w:id="1116412295">
          <w:marLeft w:val="640"/>
          <w:marRight w:val="0"/>
          <w:marTop w:val="0"/>
          <w:marBottom w:val="0"/>
          <w:divBdr>
            <w:top w:val="none" w:sz="0" w:space="0" w:color="auto"/>
            <w:left w:val="none" w:sz="0" w:space="0" w:color="auto"/>
            <w:bottom w:val="none" w:sz="0" w:space="0" w:color="auto"/>
            <w:right w:val="none" w:sz="0" w:space="0" w:color="auto"/>
          </w:divBdr>
        </w:div>
        <w:div w:id="1597126885">
          <w:marLeft w:val="640"/>
          <w:marRight w:val="0"/>
          <w:marTop w:val="0"/>
          <w:marBottom w:val="0"/>
          <w:divBdr>
            <w:top w:val="none" w:sz="0" w:space="0" w:color="auto"/>
            <w:left w:val="none" w:sz="0" w:space="0" w:color="auto"/>
            <w:bottom w:val="none" w:sz="0" w:space="0" w:color="auto"/>
            <w:right w:val="none" w:sz="0" w:space="0" w:color="auto"/>
          </w:divBdr>
        </w:div>
        <w:div w:id="1356737194">
          <w:marLeft w:val="640"/>
          <w:marRight w:val="0"/>
          <w:marTop w:val="0"/>
          <w:marBottom w:val="0"/>
          <w:divBdr>
            <w:top w:val="none" w:sz="0" w:space="0" w:color="auto"/>
            <w:left w:val="none" w:sz="0" w:space="0" w:color="auto"/>
            <w:bottom w:val="none" w:sz="0" w:space="0" w:color="auto"/>
            <w:right w:val="none" w:sz="0" w:space="0" w:color="auto"/>
          </w:divBdr>
        </w:div>
        <w:div w:id="1403678664">
          <w:marLeft w:val="640"/>
          <w:marRight w:val="0"/>
          <w:marTop w:val="0"/>
          <w:marBottom w:val="0"/>
          <w:divBdr>
            <w:top w:val="none" w:sz="0" w:space="0" w:color="auto"/>
            <w:left w:val="none" w:sz="0" w:space="0" w:color="auto"/>
            <w:bottom w:val="none" w:sz="0" w:space="0" w:color="auto"/>
            <w:right w:val="none" w:sz="0" w:space="0" w:color="auto"/>
          </w:divBdr>
        </w:div>
        <w:div w:id="107117399">
          <w:marLeft w:val="640"/>
          <w:marRight w:val="0"/>
          <w:marTop w:val="0"/>
          <w:marBottom w:val="0"/>
          <w:divBdr>
            <w:top w:val="none" w:sz="0" w:space="0" w:color="auto"/>
            <w:left w:val="none" w:sz="0" w:space="0" w:color="auto"/>
            <w:bottom w:val="none" w:sz="0" w:space="0" w:color="auto"/>
            <w:right w:val="none" w:sz="0" w:space="0" w:color="auto"/>
          </w:divBdr>
        </w:div>
        <w:div w:id="1577789120">
          <w:marLeft w:val="640"/>
          <w:marRight w:val="0"/>
          <w:marTop w:val="0"/>
          <w:marBottom w:val="0"/>
          <w:divBdr>
            <w:top w:val="none" w:sz="0" w:space="0" w:color="auto"/>
            <w:left w:val="none" w:sz="0" w:space="0" w:color="auto"/>
            <w:bottom w:val="none" w:sz="0" w:space="0" w:color="auto"/>
            <w:right w:val="none" w:sz="0" w:space="0" w:color="auto"/>
          </w:divBdr>
        </w:div>
        <w:div w:id="753549724">
          <w:marLeft w:val="640"/>
          <w:marRight w:val="0"/>
          <w:marTop w:val="0"/>
          <w:marBottom w:val="0"/>
          <w:divBdr>
            <w:top w:val="none" w:sz="0" w:space="0" w:color="auto"/>
            <w:left w:val="none" w:sz="0" w:space="0" w:color="auto"/>
            <w:bottom w:val="none" w:sz="0" w:space="0" w:color="auto"/>
            <w:right w:val="none" w:sz="0" w:space="0" w:color="auto"/>
          </w:divBdr>
        </w:div>
        <w:div w:id="571815367">
          <w:marLeft w:val="640"/>
          <w:marRight w:val="0"/>
          <w:marTop w:val="0"/>
          <w:marBottom w:val="0"/>
          <w:divBdr>
            <w:top w:val="none" w:sz="0" w:space="0" w:color="auto"/>
            <w:left w:val="none" w:sz="0" w:space="0" w:color="auto"/>
            <w:bottom w:val="none" w:sz="0" w:space="0" w:color="auto"/>
            <w:right w:val="none" w:sz="0" w:space="0" w:color="auto"/>
          </w:divBdr>
        </w:div>
        <w:div w:id="638459686">
          <w:marLeft w:val="640"/>
          <w:marRight w:val="0"/>
          <w:marTop w:val="0"/>
          <w:marBottom w:val="0"/>
          <w:divBdr>
            <w:top w:val="none" w:sz="0" w:space="0" w:color="auto"/>
            <w:left w:val="none" w:sz="0" w:space="0" w:color="auto"/>
            <w:bottom w:val="none" w:sz="0" w:space="0" w:color="auto"/>
            <w:right w:val="none" w:sz="0" w:space="0" w:color="auto"/>
          </w:divBdr>
        </w:div>
        <w:div w:id="2088260423">
          <w:marLeft w:val="640"/>
          <w:marRight w:val="0"/>
          <w:marTop w:val="0"/>
          <w:marBottom w:val="0"/>
          <w:divBdr>
            <w:top w:val="none" w:sz="0" w:space="0" w:color="auto"/>
            <w:left w:val="none" w:sz="0" w:space="0" w:color="auto"/>
            <w:bottom w:val="none" w:sz="0" w:space="0" w:color="auto"/>
            <w:right w:val="none" w:sz="0" w:space="0" w:color="auto"/>
          </w:divBdr>
        </w:div>
        <w:div w:id="1653606264">
          <w:marLeft w:val="640"/>
          <w:marRight w:val="0"/>
          <w:marTop w:val="0"/>
          <w:marBottom w:val="0"/>
          <w:divBdr>
            <w:top w:val="none" w:sz="0" w:space="0" w:color="auto"/>
            <w:left w:val="none" w:sz="0" w:space="0" w:color="auto"/>
            <w:bottom w:val="none" w:sz="0" w:space="0" w:color="auto"/>
            <w:right w:val="none" w:sz="0" w:space="0" w:color="auto"/>
          </w:divBdr>
        </w:div>
        <w:div w:id="342316915">
          <w:marLeft w:val="640"/>
          <w:marRight w:val="0"/>
          <w:marTop w:val="0"/>
          <w:marBottom w:val="0"/>
          <w:divBdr>
            <w:top w:val="none" w:sz="0" w:space="0" w:color="auto"/>
            <w:left w:val="none" w:sz="0" w:space="0" w:color="auto"/>
            <w:bottom w:val="none" w:sz="0" w:space="0" w:color="auto"/>
            <w:right w:val="none" w:sz="0" w:space="0" w:color="auto"/>
          </w:divBdr>
        </w:div>
        <w:div w:id="1963001538">
          <w:marLeft w:val="640"/>
          <w:marRight w:val="0"/>
          <w:marTop w:val="0"/>
          <w:marBottom w:val="0"/>
          <w:divBdr>
            <w:top w:val="none" w:sz="0" w:space="0" w:color="auto"/>
            <w:left w:val="none" w:sz="0" w:space="0" w:color="auto"/>
            <w:bottom w:val="none" w:sz="0" w:space="0" w:color="auto"/>
            <w:right w:val="none" w:sz="0" w:space="0" w:color="auto"/>
          </w:divBdr>
        </w:div>
        <w:div w:id="1409304532">
          <w:marLeft w:val="640"/>
          <w:marRight w:val="0"/>
          <w:marTop w:val="0"/>
          <w:marBottom w:val="0"/>
          <w:divBdr>
            <w:top w:val="none" w:sz="0" w:space="0" w:color="auto"/>
            <w:left w:val="none" w:sz="0" w:space="0" w:color="auto"/>
            <w:bottom w:val="none" w:sz="0" w:space="0" w:color="auto"/>
            <w:right w:val="none" w:sz="0" w:space="0" w:color="auto"/>
          </w:divBdr>
        </w:div>
        <w:div w:id="575287565">
          <w:marLeft w:val="640"/>
          <w:marRight w:val="0"/>
          <w:marTop w:val="0"/>
          <w:marBottom w:val="0"/>
          <w:divBdr>
            <w:top w:val="none" w:sz="0" w:space="0" w:color="auto"/>
            <w:left w:val="none" w:sz="0" w:space="0" w:color="auto"/>
            <w:bottom w:val="none" w:sz="0" w:space="0" w:color="auto"/>
            <w:right w:val="none" w:sz="0" w:space="0" w:color="auto"/>
          </w:divBdr>
        </w:div>
        <w:div w:id="1525678227">
          <w:marLeft w:val="640"/>
          <w:marRight w:val="0"/>
          <w:marTop w:val="0"/>
          <w:marBottom w:val="0"/>
          <w:divBdr>
            <w:top w:val="none" w:sz="0" w:space="0" w:color="auto"/>
            <w:left w:val="none" w:sz="0" w:space="0" w:color="auto"/>
            <w:bottom w:val="none" w:sz="0" w:space="0" w:color="auto"/>
            <w:right w:val="none" w:sz="0" w:space="0" w:color="auto"/>
          </w:divBdr>
        </w:div>
        <w:div w:id="517819503">
          <w:marLeft w:val="640"/>
          <w:marRight w:val="0"/>
          <w:marTop w:val="0"/>
          <w:marBottom w:val="0"/>
          <w:divBdr>
            <w:top w:val="none" w:sz="0" w:space="0" w:color="auto"/>
            <w:left w:val="none" w:sz="0" w:space="0" w:color="auto"/>
            <w:bottom w:val="none" w:sz="0" w:space="0" w:color="auto"/>
            <w:right w:val="none" w:sz="0" w:space="0" w:color="auto"/>
          </w:divBdr>
        </w:div>
        <w:div w:id="1514607221">
          <w:marLeft w:val="640"/>
          <w:marRight w:val="0"/>
          <w:marTop w:val="0"/>
          <w:marBottom w:val="0"/>
          <w:divBdr>
            <w:top w:val="none" w:sz="0" w:space="0" w:color="auto"/>
            <w:left w:val="none" w:sz="0" w:space="0" w:color="auto"/>
            <w:bottom w:val="none" w:sz="0" w:space="0" w:color="auto"/>
            <w:right w:val="none" w:sz="0" w:space="0" w:color="auto"/>
          </w:divBdr>
        </w:div>
        <w:div w:id="576523565">
          <w:marLeft w:val="640"/>
          <w:marRight w:val="0"/>
          <w:marTop w:val="0"/>
          <w:marBottom w:val="0"/>
          <w:divBdr>
            <w:top w:val="none" w:sz="0" w:space="0" w:color="auto"/>
            <w:left w:val="none" w:sz="0" w:space="0" w:color="auto"/>
            <w:bottom w:val="none" w:sz="0" w:space="0" w:color="auto"/>
            <w:right w:val="none" w:sz="0" w:space="0" w:color="auto"/>
          </w:divBdr>
        </w:div>
        <w:div w:id="324407087">
          <w:marLeft w:val="640"/>
          <w:marRight w:val="0"/>
          <w:marTop w:val="0"/>
          <w:marBottom w:val="0"/>
          <w:divBdr>
            <w:top w:val="none" w:sz="0" w:space="0" w:color="auto"/>
            <w:left w:val="none" w:sz="0" w:space="0" w:color="auto"/>
            <w:bottom w:val="none" w:sz="0" w:space="0" w:color="auto"/>
            <w:right w:val="none" w:sz="0" w:space="0" w:color="auto"/>
          </w:divBdr>
        </w:div>
        <w:div w:id="92866751">
          <w:marLeft w:val="640"/>
          <w:marRight w:val="0"/>
          <w:marTop w:val="0"/>
          <w:marBottom w:val="0"/>
          <w:divBdr>
            <w:top w:val="none" w:sz="0" w:space="0" w:color="auto"/>
            <w:left w:val="none" w:sz="0" w:space="0" w:color="auto"/>
            <w:bottom w:val="none" w:sz="0" w:space="0" w:color="auto"/>
            <w:right w:val="none" w:sz="0" w:space="0" w:color="auto"/>
          </w:divBdr>
        </w:div>
        <w:div w:id="119567352">
          <w:marLeft w:val="640"/>
          <w:marRight w:val="0"/>
          <w:marTop w:val="0"/>
          <w:marBottom w:val="0"/>
          <w:divBdr>
            <w:top w:val="none" w:sz="0" w:space="0" w:color="auto"/>
            <w:left w:val="none" w:sz="0" w:space="0" w:color="auto"/>
            <w:bottom w:val="none" w:sz="0" w:space="0" w:color="auto"/>
            <w:right w:val="none" w:sz="0" w:space="0" w:color="auto"/>
          </w:divBdr>
        </w:div>
        <w:div w:id="312486448">
          <w:marLeft w:val="640"/>
          <w:marRight w:val="0"/>
          <w:marTop w:val="0"/>
          <w:marBottom w:val="0"/>
          <w:divBdr>
            <w:top w:val="none" w:sz="0" w:space="0" w:color="auto"/>
            <w:left w:val="none" w:sz="0" w:space="0" w:color="auto"/>
            <w:bottom w:val="none" w:sz="0" w:space="0" w:color="auto"/>
            <w:right w:val="none" w:sz="0" w:space="0" w:color="auto"/>
          </w:divBdr>
        </w:div>
        <w:div w:id="205415283">
          <w:marLeft w:val="640"/>
          <w:marRight w:val="0"/>
          <w:marTop w:val="0"/>
          <w:marBottom w:val="0"/>
          <w:divBdr>
            <w:top w:val="none" w:sz="0" w:space="0" w:color="auto"/>
            <w:left w:val="none" w:sz="0" w:space="0" w:color="auto"/>
            <w:bottom w:val="none" w:sz="0" w:space="0" w:color="auto"/>
            <w:right w:val="none" w:sz="0" w:space="0" w:color="auto"/>
          </w:divBdr>
        </w:div>
        <w:div w:id="1248466587">
          <w:marLeft w:val="640"/>
          <w:marRight w:val="0"/>
          <w:marTop w:val="0"/>
          <w:marBottom w:val="0"/>
          <w:divBdr>
            <w:top w:val="none" w:sz="0" w:space="0" w:color="auto"/>
            <w:left w:val="none" w:sz="0" w:space="0" w:color="auto"/>
            <w:bottom w:val="none" w:sz="0" w:space="0" w:color="auto"/>
            <w:right w:val="none" w:sz="0" w:space="0" w:color="auto"/>
          </w:divBdr>
        </w:div>
        <w:div w:id="1257641093">
          <w:marLeft w:val="640"/>
          <w:marRight w:val="0"/>
          <w:marTop w:val="0"/>
          <w:marBottom w:val="0"/>
          <w:divBdr>
            <w:top w:val="none" w:sz="0" w:space="0" w:color="auto"/>
            <w:left w:val="none" w:sz="0" w:space="0" w:color="auto"/>
            <w:bottom w:val="none" w:sz="0" w:space="0" w:color="auto"/>
            <w:right w:val="none" w:sz="0" w:space="0" w:color="auto"/>
          </w:divBdr>
        </w:div>
        <w:div w:id="1145967900">
          <w:marLeft w:val="640"/>
          <w:marRight w:val="0"/>
          <w:marTop w:val="0"/>
          <w:marBottom w:val="0"/>
          <w:divBdr>
            <w:top w:val="none" w:sz="0" w:space="0" w:color="auto"/>
            <w:left w:val="none" w:sz="0" w:space="0" w:color="auto"/>
            <w:bottom w:val="none" w:sz="0" w:space="0" w:color="auto"/>
            <w:right w:val="none" w:sz="0" w:space="0" w:color="auto"/>
          </w:divBdr>
        </w:div>
        <w:div w:id="1572303095">
          <w:marLeft w:val="640"/>
          <w:marRight w:val="0"/>
          <w:marTop w:val="0"/>
          <w:marBottom w:val="0"/>
          <w:divBdr>
            <w:top w:val="none" w:sz="0" w:space="0" w:color="auto"/>
            <w:left w:val="none" w:sz="0" w:space="0" w:color="auto"/>
            <w:bottom w:val="none" w:sz="0" w:space="0" w:color="auto"/>
            <w:right w:val="none" w:sz="0" w:space="0" w:color="auto"/>
          </w:divBdr>
        </w:div>
        <w:div w:id="1698041943">
          <w:marLeft w:val="640"/>
          <w:marRight w:val="0"/>
          <w:marTop w:val="0"/>
          <w:marBottom w:val="0"/>
          <w:divBdr>
            <w:top w:val="none" w:sz="0" w:space="0" w:color="auto"/>
            <w:left w:val="none" w:sz="0" w:space="0" w:color="auto"/>
            <w:bottom w:val="none" w:sz="0" w:space="0" w:color="auto"/>
            <w:right w:val="none" w:sz="0" w:space="0" w:color="auto"/>
          </w:divBdr>
        </w:div>
        <w:div w:id="1998024593">
          <w:marLeft w:val="640"/>
          <w:marRight w:val="0"/>
          <w:marTop w:val="0"/>
          <w:marBottom w:val="0"/>
          <w:divBdr>
            <w:top w:val="none" w:sz="0" w:space="0" w:color="auto"/>
            <w:left w:val="none" w:sz="0" w:space="0" w:color="auto"/>
            <w:bottom w:val="none" w:sz="0" w:space="0" w:color="auto"/>
            <w:right w:val="none" w:sz="0" w:space="0" w:color="auto"/>
          </w:divBdr>
        </w:div>
        <w:div w:id="799689772">
          <w:marLeft w:val="640"/>
          <w:marRight w:val="0"/>
          <w:marTop w:val="0"/>
          <w:marBottom w:val="0"/>
          <w:divBdr>
            <w:top w:val="none" w:sz="0" w:space="0" w:color="auto"/>
            <w:left w:val="none" w:sz="0" w:space="0" w:color="auto"/>
            <w:bottom w:val="none" w:sz="0" w:space="0" w:color="auto"/>
            <w:right w:val="none" w:sz="0" w:space="0" w:color="auto"/>
          </w:divBdr>
        </w:div>
        <w:div w:id="1235510803">
          <w:marLeft w:val="640"/>
          <w:marRight w:val="0"/>
          <w:marTop w:val="0"/>
          <w:marBottom w:val="0"/>
          <w:divBdr>
            <w:top w:val="none" w:sz="0" w:space="0" w:color="auto"/>
            <w:left w:val="none" w:sz="0" w:space="0" w:color="auto"/>
            <w:bottom w:val="none" w:sz="0" w:space="0" w:color="auto"/>
            <w:right w:val="none" w:sz="0" w:space="0" w:color="auto"/>
          </w:divBdr>
        </w:div>
        <w:div w:id="237256404">
          <w:marLeft w:val="640"/>
          <w:marRight w:val="0"/>
          <w:marTop w:val="0"/>
          <w:marBottom w:val="0"/>
          <w:divBdr>
            <w:top w:val="none" w:sz="0" w:space="0" w:color="auto"/>
            <w:left w:val="none" w:sz="0" w:space="0" w:color="auto"/>
            <w:bottom w:val="none" w:sz="0" w:space="0" w:color="auto"/>
            <w:right w:val="none" w:sz="0" w:space="0" w:color="auto"/>
          </w:divBdr>
        </w:div>
      </w:divsChild>
    </w:div>
    <w:div w:id="1584871295">
      <w:bodyDiv w:val="1"/>
      <w:marLeft w:val="0"/>
      <w:marRight w:val="0"/>
      <w:marTop w:val="0"/>
      <w:marBottom w:val="0"/>
      <w:divBdr>
        <w:top w:val="none" w:sz="0" w:space="0" w:color="auto"/>
        <w:left w:val="none" w:sz="0" w:space="0" w:color="auto"/>
        <w:bottom w:val="none" w:sz="0" w:space="0" w:color="auto"/>
        <w:right w:val="none" w:sz="0" w:space="0" w:color="auto"/>
      </w:divBdr>
    </w:div>
    <w:div w:id="1585332879">
      <w:bodyDiv w:val="1"/>
      <w:marLeft w:val="0"/>
      <w:marRight w:val="0"/>
      <w:marTop w:val="0"/>
      <w:marBottom w:val="0"/>
      <w:divBdr>
        <w:top w:val="none" w:sz="0" w:space="0" w:color="auto"/>
        <w:left w:val="none" w:sz="0" w:space="0" w:color="auto"/>
        <w:bottom w:val="none" w:sz="0" w:space="0" w:color="auto"/>
        <w:right w:val="none" w:sz="0" w:space="0" w:color="auto"/>
      </w:divBdr>
    </w:div>
    <w:div w:id="1585341057">
      <w:bodyDiv w:val="1"/>
      <w:marLeft w:val="0"/>
      <w:marRight w:val="0"/>
      <w:marTop w:val="0"/>
      <w:marBottom w:val="0"/>
      <w:divBdr>
        <w:top w:val="none" w:sz="0" w:space="0" w:color="auto"/>
        <w:left w:val="none" w:sz="0" w:space="0" w:color="auto"/>
        <w:bottom w:val="none" w:sz="0" w:space="0" w:color="auto"/>
        <w:right w:val="none" w:sz="0" w:space="0" w:color="auto"/>
      </w:divBdr>
    </w:div>
    <w:div w:id="1587300924">
      <w:bodyDiv w:val="1"/>
      <w:marLeft w:val="0"/>
      <w:marRight w:val="0"/>
      <w:marTop w:val="0"/>
      <w:marBottom w:val="0"/>
      <w:divBdr>
        <w:top w:val="none" w:sz="0" w:space="0" w:color="auto"/>
        <w:left w:val="none" w:sz="0" w:space="0" w:color="auto"/>
        <w:bottom w:val="none" w:sz="0" w:space="0" w:color="auto"/>
        <w:right w:val="none" w:sz="0" w:space="0" w:color="auto"/>
      </w:divBdr>
    </w:div>
    <w:div w:id="1587838719">
      <w:bodyDiv w:val="1"/>
      <w:marLeft w:val="0"/>
      <w:marRight w:val="0"/>
      <w:marTop w:val="0"/>
      <w:marBottom w:val="0"/>
      <w:divBdr>
        <w:top w:val="none" w:sz="0" w:space="0" w:color="auto"/>
        <w:left w:val="none" w:sz="0" w:space="0" w:color="auto"/>
        <w:bottom w:val="none" w:sz="0" w:space="0" w:color="auto"/>
        <w:right w:val="none" w:sz="0" w:space="0" w:color="auto"/>
      </w:divBdr>
    </w:div>
    <w:div w:id="1593707854">
      <w:bodyDiv w:val="1"/>
      <w:marLeft w:val="0"/>
      <w:marRight w:val="0"/>
      <w:marTop w:val="0"/>
      <w:marBottom w:val="0"/>
      <w:divBdr>
        <w:top w:val="none" w:sz="0" w:space="0" w:color="auto"/>
        <w:left w:val="none" w:sz="0" w:space="0" w:color="auto"/>
        <w:bottom w:val="none" w:sz="0" w:space="0" w:color="auto"/>
        <w:right w:val="none" w:sz="0" w:space="0" w:color="auto"/>
      </w:divBdr>
    </w:div>
    <w:div w:id="1594430943">
      <w:bodyDiv w:val="1"/>
      <w:marLeft w:val="0"/>
      <w:marRight w:val="0"/>
      <w:marTop w:val="0"/>
      <w:marBottom w:val="0"/>
      <w:divBdr>
        <w:top w:val="none" w:sz="0" w:space="0" w:color="auto"/>
        <w:left w:val="none" w:sz="0" w:space="0" w:color="auto"/>
        <w:bottom w:val="none" w:sz="0" w:space="0" w:color="auto"/>
        <w:right w:val="none" w:sz="0" w:space="0" w:color="auto"/>
      </w:divBdr>
    </w:div>
    <w:div w:id="1598054992">
      <w:bodyDiv w:val="1"/>
      <w:marLeft w:val="0"/>
      <w:marRight w:val="0"/>
      <w:marTop w:val="0"/>
      <w:marBottom w:val="0"/>
      <w:divBdr>
        <w:top w:val="none" w:sz="0" w:space="0" w:color="auto"/>
        <w:left w:val="none" w:sz="0" w:space="0" w:color="auto"/>
        <w:bottom w:val="none" w:sz="0" w:space="0" w:color="auto"/>
        <w:right w:val="none" w:sz="0" w:space="0" w:color="auto"/>
      </w:divBdr>
    </w:div>
    <w:div w:id="1599557429">
      <w:bodyDiv w:val="1"/>
      <w:marLeft w:val="0"/>
      <w:marRight w:val="0"/>
      <w:marTop w:val="0"/>
      <w:marBottom w:val="0"/>
      <w:divBdr>
        <w:top w:val="none" w:sz="0" w:space="0" w:color="auto"/>
        <w:left w:val="none" w:sz="0" w:space="0" w:color="auto"/>
        <w:bottom w:val="none" w:sz="0" w:space="0" w:color="auto"/>
        <w:right w:val="none" w:sz="0" w:space="0" w:color="auto"/>
      </w:divBdr>
    </w:div>
    <w:div w:id="1599750854">
      <w:bodyDiv w:val="1"/>
      <w:marLeft w:val="0"/>
      <w:marRight w:val="0"/>
      <w:marTop w:val="0"/>
      <w:marBottom w:val="0"/>
      <w:divBdr>
        <w:top w:val="none" w:sz="0" w:space="0" w:color="auto"/>
        <w:left w:val="none" w:sz="0" w:space="0" w:color="auto"/>
        <w:bottom w:val="none" w:sz="0" w:space="0" w:color="auto"/>
        <w:right w:val="none" w:sz="0" w:space="0" w:color="auto"/>
      </w:divBdr>
    </w:div>
    <w:div w:id="1600990838">
      <w:bodyDiv w:val="1"/>
      <w:marLeft w:val="0"/>
      <w:marRight w:val="0"/>
      <w:marTop w:val="0"/>
      <w:marBottom w:val="0"/>
      <w:divBdr>
        <w:top w:val="none" w:sz="0" w:space="0" w:color="auto"/>
        <w:left w:val="none" w:sz="0" w:space="0" w:color="auto"/>
        <w:bottom w:val="none" w:sz="0" w:space="0" w:color="auto"/>
        <w:right w:val="none" w:sz="0" w:space="0" w:color="auto"/>
      </w:divBdr>
    </w:div>
    <w:div w:id="1603221659">
      <w:bodyDiv w:val="1"/>
      <w:marLeft w:val="0"/>
      <w:marRight w:val="0"/>
      <w:marTop w:val="0"/>
      <w:marBottom w:val="0"/>
      <w:divBdr>
        <w:top w:val="none" w:sz="0" w:space="0" w:color="auto"/>
        <w:left w:val="none" w:sz="0" w:space="0" w:color="auto"/>
        <w:bottom w:val="none" w:sz="0" w:space="0" w:color="auto"/>
        <w:right w:val="none" w:sz="0" w:space="0" w:color="auto"/>
      </w:divBdr>
    </w:div>
    <w:div w:id="1603490448">
      <w:bodyDiv w:val="1"/>
      <w:marLeft w:val="0"/>
      <w:marRight w:val="0"/>
      <w:marTop w:val="0"/>
      <w:marBottom w:val="0"/>
      <w:divBdr>
        <w:top w:val="none" w:sz="0" w:space="0" w:color="auto"/>
        <w:left w:val="none" w:sz="0" w:space="0" w:color="auto"/>
        <w:bottom w:val="none" w:sz="0" w:space="0" w:color="auto"/>
        <w:right w:val="none" w:sz="0" w:space="0" w:color="auto"/>
      </w:divBdr>
    </w:div>
    <w:div w:id="1604802156">
      <w:bodyDiv w:val="1"/>
      <w:marLeft w:val="0"/>
      <w:marRight w:val="0"/>
      <w:marTop w:val="0"/>
      <w:marBottom w:val="0"/>
      <w:divBdr>
        <w:top w:val="none" w:sz="0" w:space="0" w:color="auto"/>
        <w:left w:val="none" w:sz="0" w:space="0" w:color="auto"/>
        <w:bottom w:val="none" w:sz="0" w:space="0" w:color="auto"/>
        <w:right w:val="none" w:sz="0" w:space="0" w:color="auto"/>
      </w:divBdr>
    </w:div>
    <w:div w:id="1605769413">
      <w:bodyDiv w:val="1"/>
      <w:marLeft w:val="0"/>
      <w:marRight w:val="0"/>
      <w:marTop w:val="0"/>
      <w:marBottom w:val="0"/>
      <w:divBdr>
        <w:top w:val="none" w:sz="0" w:space="0" w:color="auto"/>
        <w:left w:val="none" w:sz="0" w:space="0" w:color="auto"/>
        <w:bottom w:val="none" w:sz="0" w:space="0" w:color="auto"/>
        <w:right w:val="none" w:sz="0" w:space="0" w:color="auto"/>
      </w:divBdr>
    </w:div>
    <w:div w:id="1606498492">
      <w:bodyDiv w:val="1"/>
      <w:marLeft w:val="0"/>
      <w:marRight w:val="0"/>
      <w:marTop w:val="0"/>
      <w:marBottom w:val="0"/>
      <w:divBdr>
        <w:top w:val="none" w:sz="0" w:space="0" w:color="auto"/>
        <w:left w:val="none" w:sz="0" w:space="0" w:color="auto"/>
        <w:bottom w:val="none" w:sz="0" w:space="0" w:color="auto"/>
        <w:right w:val="none" w:sz="0" w:space="0" w:color="auto"/>
      </w:divBdr>
    </w:div>
    <w:div w:id="1606621287">
      <w:bodyDiv w:val="1"/>
      <w:marLeft w:val="0"/>
      <w:marRight w:val="0"/>
      <w:marTop w:val="0"/>
      <w:marBottom w:val="0"/>
      <w:divBdr>
        <w:top w:val="none" w:sz="0" w:space="0" w:color="auto"/>
        <w:left w:val="none" w:sz="0" w:space="0" w:color="auto"/>
        <w:bottom w:val="none" w:sz="0" w:space="0" w:color="auto"/>
        <w:right w:val="none" w:sz="0" w:space="0" w:color="auto"/>
      </w:divBdr>
    </w:div>
    <w:div w:id="1615019972">
      <w:bodyDiv w:val="1"/>
      <w:marLeft w:val="0"/>
      <w:marRight w:val="0"/>
      <w:marTop w:val="0"/>
      <w:marBottom w:val="0"/>
      <w:divBdr>
        <w:top w:val="none" w:sz="0" w:space="0" w:color="auto"/>
        <w:left w:val="none" w:sz="0" w:space="0" w:color="auto"/>
        <w:bottom w:val="none" w:sz="0" w:space="0" w:color="auto"/>
        <w:right w:val="none" w:sz="0" w:space="0" w:color="auto"/>
      </w:divBdr>
    </w:div>
    <w:div w:id="1615408207">
      <w:bodyDiv w:val="1"/>
      <w:marLeft w:val="0"/>
      <w:marRight w:val="0"/>
      <w:marTop w:val="0"/>
      <w:marBottom w:val="0"/>
      <w:divBdr>
        <w:top w:val="none" w:sz="0" w:space="0" w:color="auto"/>
        <w:left w:val="none" w:sz="0" w:space="0" w:color="auto"/>
        <w:bottom w:val="none" w:sz="0" w:space="0" w:color="auto"/>
        <w:right w:val="none" w:sz="0" w:space="0" w:color="auto"/>
      </w:divBdr>
    </w:div>
    <w:div w:id="1616251522">
      <w:bodyDiv w:val="1"/>
      <w:marLeft w:val="0"/>
      <w:marRight w:val="0"/>
      <w:marTop w:val="0"/>
      <w:marBottom w:val="0"/>
      <w:divBdr>
        <w:top w:val="none" w:sz="0" w:space="0" w:color="auto"/>
        <w:left w:val="none" w:sz="0" w:space="0" w:color="auto"/>
        <w:bottom w:val="none" w:sz="0" w:space="0" w:color="auto"/>
        <w:right w:val="none" w:sz="0" w:space="0" w:color="auto"/>
      </w:divBdr>
    </w:div>
    <w:div w:id="1617903880">
      <w:bodyDiv w:val="1"/>
      <w:marLeft w:val="0"/>
      <w:marRight w:val="0"/>
      <w:marTop w:val="0"/>
      <w:marBottom w:val="0"/>
      <w:divBdr>
        <w:top w:val="none" w:sz="0" w:space="0" w:color="auto"/>
        <w:left w:val="none" w:sz="0" w:space="0" w:color="auto"/>
        <w:bottom w:val="none" w:sz="0" w:space="0" w:color="auto"/>
        <w:right w:val="none" w:sz="0" w:space="0" w:color="auto"/>
      </w:divBdr>
    </w:div>
    <w:div w:id="1618441327">
      <w:bodyDiv w:val="1"/>
      <w:marLeft w:val="0"/>
      <w:marRight w:val="0"/>
      <w:marTop w:val="0"/>
      <w:marBottom w:val="0"/>
      <w:divBdr>
        <w:top w:val="none" w:sz="0" w:space="0" w:color="auto"/>
        <w:left w:val="none" w:sz="0" w:space="0" w:color="auto"/>
        <w:bottom w:val="none" w:sz="0" w:space="0" w:color="auto"/>
        <w:right w:val="none" w:sz="0" w:space="0" w:color="auto"/>
      </w:divBdr>
    </w:div>
    <w:div w:id="1619413450">
      <w:bodyDiv w:val="1"/>
      <w:marLeft w:val="0"/>
      <w:marRight w:val="0"/>
      <w:marTop w:val="0"/>
      <w:marBottom w:val="0"/>
      <w:divBdr>
        <w:top w:val="none" w:sz="0" w:space="0" w:color="auto"/>
        <w:left w:val="none" w:sz="0" w:space="0" w:color="auto"/>
        <w:bottom w:val="none" w:sz="0" w:space="0" w:color="auto"/>
        <w:right w:val="none" w:sz="0" w:space="0" w:color="auto"/>
      </w:divBdr>
    </w:div>
    <w:div w:id="1620801103">
      <w:bodyDiv w:val="1"/>
      <w:marLeft w:val="0"/>
      <w:marRight w:val="0"/>
      <w:marTop w:val="0"/>
      <w:marBottom w:val="0"/>
      <w:divBdr>
        <w:top w:val="none" w:sz="0" w:space="0" w:color="auto"/>
        <w:left w:val="none" w:sz="0" w:space="0" w:color="auto"/>
        <w:bottom w:val="none" w:sz="0" w:space="0" w:color="auto"/>
        <w:right w:val="none" w:sz="0" w:space="0" w:color="auto"/>
      </w:divBdr>
    </w:div>
    <w:div w:id="1622807514">
      <w:bodyDiv w:val="1"/>
      <w:marLeft w:val="0"/>
      <w:marRight w:val="0"/>
      <w:marTop w:val="0"/>
      <w:marBottom w:val="0"/>
      <w:divBdr>
        <w:top w:val="none" w:sz="0" w:space="0" w:color="auto"/>
        <w:left w:val="none" w:sz="0" w:space="0" w:color="auto"/>
        <w:bottom w:val="none" w:sz="0" w:space="0" w:color="auto"/>
        <w:right w:val="none" w:sz="0" w:space="0" w:color="auto"/>
      </w:divBdr>
    </w:div>
    <w:div w:id="1623073294">
      <w:bodyDiv w:val="1"/>
      <w:marLeft w:val="0"/>
      <w:marRight w:val="0"/>
      <w:marTop w:val="0"/>
      <w:marBottom w:val="0"/>
      <w:divBdr>
        <w:top w:val="none" w:sz="0" w:space="0" w:color="auto"/>
        <w:left w:val="none" w:sz="0" w:space="0" w:color="auto"/>
        <w:bottom w:val="none" w:sz="0" w:space="0" w:color="auto"/>
        <w:right w:val="none" w:sz="0" w:space="0" w:color="auto"/>
      </w:divBdr>
    </w:div>
    <w:div w:id="1626958230">
      <w:bodyDiv w:val="1"/>
      <w:marLeft w:val="0"/>
      <w:marRight w:val="0"/>
      <w:marTop w:val="0"/>
      <w:marBottom w:val="0"/>
      <w:divBdr>
        <w:top w:val="none" w:sz="0" w:space="0" w:color="auto"/>
        <w:left w:val="none" w:sz="0" w:space="0" w:color="auto"/>
        <w:bottom w:val="none" w:sz="0" w:space="0" w:color="auto"/>
        <w:right w:val="none" w:sz="0" w:space="0" w:color="auto"/>
      </w:divBdr>
    </w:div>
    <w:div w:id="1628197623">
      <w:bodyDiv w:val="1"/>
      <w:marLeft w:val="0"/>
      <w:marRight w:val="0"/>
      <w:marTop w:val="0"/>
      <w:marBottom w:val="0"/>
      <w:divBdr>
        <w:top w:val="none" w:sz="0" w:space="0" w:color="auto"/>
        <w:left w:val="none" w:sz="0" w:space="0" w:color="auto"/>
        <w:bottom w:val="none" w:sz="0" w:space="0" w:color="auto"/>
        <w:right w:val="none" w:sz="0" w:space="0" w:color="auto"/>
      </w:divBdr>
    </w:div>
    <w:div w:id="1628243877">
      <w:bodyDiv w:val="1"/>
      <w:marLeft w:val="0"/>
      <w:marRight w:val="0"/>
      <w:marTop w:val="0"/>
      <w:marBottom w:val="0"/>
      <w:divBdr>
        <w:top w:val="none" w:sz="0" w:space="0" w:color="auto"/>
        <w:left w:val="none" w:sz="0" w:space="0" w:color="auto"/>
        <w:bottom w:val="none" w:sz="0" w:space="0" w:color="auto"/>
        <w:right w:val="none" w:sz="0" w:space="0" w:color="auto"/>
      </w:divBdr>
    </w:div>
    <w:div w:id="1628587361">
      <w:bodyDiv w:val="1"/>
      <w:marLeft w:val="0"/>
      <w:marRight w:val="0"/>
      <w:marTop w:val="0"/>
      <w:marBottom w:val="0"/>
      <w:divBdr>
        <w:top w:val="none" w:sz="0" w:space="0" w:color="auto"/>
        <w:left w:val="none" w:sz="0" w:space="0" w:color="auto"/>
        <w:bottom w:val="none" w:sz="0" w:space="0" w:color="auto"/>
        <w:right w:val="none" w:sz="0" w:space="0" w:color="auto"/>
      </w:divBdr>
    </w:div>
    <w:div w:id="1633099614">
      <w:bodyDiv w:val="1"/>
      <w:marLeft w:val="0"/>
      <w:marRight w:val="0"/>
      <w:marTop w:val="0"/>
      <w:marBottom w:val="0"/>
      <w:divBdr>
        <w:top w:val="none" w:sz="0" w:space="0" w:color="auto"/>
        <w:left w:val="none" w:sz="0" w:space="0" w:color="auto"/>
        <w:bottom w:val="none" w:sz="0" w:space="0" w:color="auto"/>
        <w:right w:val="none" w:sz="0" w:space="0" w:color="auto"/>
      </w:divBdr>
    </w:div>
    <w:div w:id="1636912218">
      <w:bodyDiv w:val="1"/>
      <w:marLeft w:val="0"/>
      <w:marRight w:val="0"/>
      <w:marTop w:val="0"/>
      <w:marBottom w:val="0"/>
      <w:divBdr>
        <w:top w:val="none" w:sz="0" w:space="0" w:color="auto"/>
        <w:left w:val="none" w:sz="0" w:space="0" w:color="auto"/>
        <w:bottom w:val="none" w:sz="0" w:space="0" w:color="auto"/>
        <w:right w:val="none" w:sz="0" w:space="0" w:color="auto"/>
      </w:divBdr>
    </w:div>
    <w:div w:id="1637102259">
      <w:bodyDiv w:val="1"/>
      <w:marLeft w:val="0"/>
      <w:marRight w:val="0"/>
      <w:marTop w:val="0"/>
      <w:marBottom w:val="0"/>
      <w:divBdr>
        <w:top w:val="none" w:sz="0" w:space="0" w:color="auto"/>
        <w:left w:val="none" w:sz="0" w:space="0" w:color="auto"/>
        <w:bottom w:val="none" w:sz="0" w:space="0" w:color="auto"/>
        <w:right w:val="none" w:sz="0" w:space="0" w:color="auto"/>
      </w:divBdr>
    </w:div>
    <w:div w:id="1639915316">
      <w:bodyDiv w:val="1"/>
      <w:marLeft w:val="0"/>
      <w:marRight w:val="0"/>
      <w:marTop w:val="0"/>
      <w:marBottom w:val="0"/>
      <w:divBdr>
        <w:top w:val="none" w:sz="0" w:space="0" w:color="auto"/>
        <w:left w:val="none" w:sz="0" w:space="0" w:color="auto"/>
        <w:bottom w:val="none" w:sz="0" w:space="0" w:color="auto"/>
        <w:right w:val="none" w:sz="0" w:space="0" w:color="auto"/>
      </w:divBdr>
    </w:div>
    <w:div w:id="1640961727">
      <w:bodyDiv w:val="1"/>
      <w:marLeft w:val="0"/>
      <w:marRight w:val="0"/>
      <w:marTop w:val="0"/>
      <w:marBottom w:val="0"/>
      <w:divBdr>
        <w:top w:val="none" w:sz="0" w:space="0" w:color="auto"/>
        <w:left w:val="none" w:sz="0" w:space="0" w:color="auto"/>
        <w:bottom w:val="none" w:sz="0" w:space="0" w:color="auto"/>
        <w:right w:val="none" w:sz="0" w:space="0" w:color="auto"/>
      </w:divBdr>
    </w:div>
    <w:div w:id="1642418363">
      <w:bodyDiv w:val="1"/>
      <w:marLeft w:val="0"/>
      <w:marRight w:val="0"/>
      <w:marTop w:val="0"/>
      <w:marBottom w:val="0"/>
      <w:divBdr>
        <w:top w:val="none" w:sz="0" w:space="0" w:color="auto"/>
        <w:left w:val="none" w:sz="0" w:space="0" w:color="auto"/>
        <w:bottom w:val="none" w:sz="0" w:space="0" w:color="auto"/>
        <w:right w:val="none" w:sz="0" w:space="0" w:color="auto"/>
      </w:divBdr>
    </w:div>
    <w:div w:id="1645239744">
      <w:bodyDiv w:val="1"/>
      <w:marLeft w:val="0"/>
      <w:marRight w:val="0"/>
      <w:marTop w:val="0"/>
      <w:marBottom w:val="0"/>
      <w:divBdr>
        <w:top w:val="none" w:sz="0" w:space="0" w:color="auto"/>
        <w:left w:val="none" w:sz="0" w:space="0" w:color="auto"/>
        <w:bottom w:val="none" w:sz="0" w:space="0" w:color="auto"/>
        <w:right w:val="none" w:sz="0" w:space="0" w:color="auto"/>
      </w:divBdr>
    </w:div>
    <w:div w:id="1646087234">
      <w:bodyDiv w:val="1"/>
      <w:marLeft w:val="0"/>
      <w:marRight w:val="0"/>
      <w:marTop w:val="0"/>
      <w:marBottom w:val="0"/>
      <w:divBdr>
        <w:top w:val="none" w:sz="0" w:space="0" w:color="auto"/>
        <w:left w:val="none" w:sz="0" w:space="0" w:color="auto"/>
        <w:bottom w:val="none" w:sz="0" w:space="0" w:color="auto"/>
        <w:right w:val="none" w:sz="0" w:space="0" w:color="auto"/>
      </w:divBdr>
    </w:div>
    <w:div w:id="1648126986">
      <w:bodyDiv w:val="1"/>
      <w:marLeft w:val="0"/>
      <w:marRight w:val="0"/>
      <w:marTop w:val="0"/>
      <w:marBottom w:val="0"/>
      <w:divBdr>
        <w:top w:val="none" w:sz="0" w:space="0" w:color="auto"/>
        <w:left w:val="none" w:sz="0" w:space="0" w:color="auto"/>
        <w:bottom w:val="none" w:sz="0" w:space="0" w:color="auto"/>
        <w:right w:val="none" w:sz="0" w:space="0" w:color="auto"/>
      </w:divBdr>
    </w:div>
    <w:div w:id="1650206058">
      <w:bodyDiv w:val="1"/>
      <w:marLeft w:val="0"/>
      <w:marRight w:val="0"/>
      <w:marTop w:val="0"/>
      <w:marBottom w:val="0"/>
      <w:divBdr>
        <w:top w:val="none" w:sz="0" w:space="0" w:color="auto"/>
        <w:left w:val="none" w:sz="0" w:space="0" w:color="auto"/>
        <w:bottom w:val="none" w:sz="0" w:space="0" w:color="auto"/>
        <w:right w:val="none" w:sz="0" w:space="0" w:color="auto"/>
      </w:divBdr>
    </w:div>
    <w:div w:id="1650942031">
      <w:bodyDiv w:val="1"/>
      <w:marLeft w:val="0"/>
      <w:marRight w:val="0"/>
      <w:marTop w:val="0"/>
      <w:marBottom w:val="0"/>
      <w:divBdr>
        <w:top w:val="none" w:sz="0" w:space="0" w:color="auto"/>
        <w:left w:val="none" w:sz="0" w:space="0" w:color="auto"/>
        <w:bottom w:val="none" w:sz="0" w:space="0" w:color="auto"/>
        <w:right w:val="none" w:sz="0" w:space="0" w:color="auto"/>
      </w:divBdr>
    </w:div>
    <w:div w:id="1652097055">
      <w:bodyDiv w:val="1"/>
      <w:marLeft w:val="0"/>
      <w:marRight w:val="0"/>
      <w:marTop w:val="0"/>
      <w:marBottom w:val="0"/>
      <w:divBdr>
        <w:top w:val="none" w:sz="0" w:space="0" w:color="auto"/>
        <w:left w:val="none" w:sz="0" w:space="0" w:color="auto"/>
        <w:bottom w:val="none" w:sz="0" w:space="0" w:color="auto"/>
        <w:right w:val="none" w:sz="0" w:space="0" w:color="auto"/>
      </w:divBdr>
    </w:div>
    <w:div w:id="1658725194">
      <w:bodyDiv w:val="1"/>
      <w:marLeft w:val="0"/>
      <w:marRight w:val="0"/>
      <w:marTop w:val="0"/>
      <w:marBottom w:val="0"/>
      <w:divBdr>
        <w:top w:val="none" w:sz="0" w:space="0" w:color="auto"/>
        <w:left w:val="none" w:sz="0" w:space="0" w:color="auto"/>
        <w:bottom w:val="none" w:sz="0" w:space="0" w:color="auto"/>
        <w:right w:val="none" w:sz="0" w:space="0" w:color="auto"/>
      </w:divBdr>
    </w:div>
    <w:div w:id="1659796936">
      <w:bodyDiv w:val="1"/>
      <w:marLeft w:val="0"/>
      <w:marRight w:val="0"/>
      <w:marTop w:val="0"/>
      <w:marBottom w:val="0"/>
      <w:divBdr>
        <w:top w:val="none" w:sz="0" w:space="0" w:color="auto"/>
        <w:left w:val="none" w:sz="0" w:space="0" w:color="auto"/>
        <w:bottom w:val="none" w:sz="0" w:space="0" w:color="auto"/>
        <w:right w:val="none" w:sz="0" w:space="0" w:color="auto"/>
      </w:divBdr>
    </w:div>
    <w:div w:id="1664234712">
      <w:bodyDiv w:val="1"/>
      <w:marLeft w:val="0"/>
      <w:marRight w:val="0"/>
      <w:marTop w:val="0"/>
      <w:marBottom w:val="0"/>
      <w:divBdr>
        <w:top w:val="none" w:sz="0" w:space="0" w:color="auto"/>
        <w:left w:val="none" w:sz="0" w:space="0" w:color="auto"/>
        <w:bottom w:val="none" w:sz="0" w:space="0" w:color="auto"/>
        <w:right w:val="none" w:sz="0" w:space="0" w:color="auto"/>
      </w:divBdr>
    </w:div>
    <w:div w:id="1668289774">
      <w:bodyDiv w:val="1"/>
      <w:marLeft w:val="0"/>
      <w:marRight w:val="0"/>
      <w:marTop w:val="0"/>
      <w:marBottom w:val="0"/>
      <w:divBdr>
        <w:top w:val="none" w:sz="0" w:space="0" w:color="auto"/>
        <w:left w:val="none" w:sz="0" w:space="0" w:color="auto"/>
        <w:bottom w:val="none" w:sz="0" w:space="0" w:color="auto"/>
        <w:right w:val="none" w:sz="0" w:space="0" w:color="auto"/>
      </w:divBdr>
      <w:divsChild>
        <w:div w:id="1183590766">
          <w:marLeft w:val="640"/>
          <w:marRight w:val="0"/>
          <w:marTop w:val="0"/>
          <w:marBottom w:val="0"/>
          <w:divBdr>
            <w:top w:val="none" w:sz="0" w:space="0" w:color="auto"/>
            <w:left w:val="none" w:sz="0" w:space="0" w:color="auto"/>
            <w:bottom w:val="none" w:sz="0" w:space="0" w:color="auto"/>
            <w:right w:val="none" w:sz="0" w:space="0" w:color="auto"/>
          </w:divBdr>
        </w:div>
        <w:div w:id="1907257518">
          <w:marLeft w:val="640"/>
          <w:marRight w:val="0"/>
          <w:marTop w:val="0"/>
          <w:marBottom w:val="0"/>
          <w:divBdr>
            <w:top w:val="none" w:sz="0" w:space="0" w:color="auto"/>
            <w:left w:val="none" w:sz="0" w:space="0" w:color="auto"/>
            <w:bottom w:val="none" w:sz="0" w:space="0" w:color="auto"/>
            <w:right w:val="none" w:sz="0" w:space="0" w:color="auto"/>
          </w:divBdr>
        </w:div>
        <w:div w:id="1962422354">
          <w:marLeft w:val="640"/>
          <w:marRight w:val="0"/>
          <w:marTop w:val="0"/>
          <w:marBottom w:val="0"/>
          <w:divBdr>
            <w:top w:val="none" w:sz="0" w:space="0" w:color="auto"/>
            <w:left w:val="none" w:sz="0" w:space="0" w:color="auto"/>
            <w:bottom w:val="none" w:sz="0" w:space="0" w:color="auto"/>
            <w:right w:val="none" w:sz="0" w:space="0" w:color="auto"/>
          </w:divBdr>
        </w:div>
        <w:div w:id="1391230906">
          <w:marLeft w:val="640"/>
          <w:marRight w:val="0"/>
          <w:marTop w:val="0"/>
          <w:marBottom w:val="0"/>
          <w:divBdr>
            <w:top w:val="none" w:sz="0" w:space="0" w:color="auto"/>
            <w:left w:val="none" w:sz="0" w:space="0" w:color="auto"/>
            <w:bottom w:val="none" w:sz="0" w:space="0" w:color="auto"/>
            <w:right w:val="none" w:sz="0" w:space="0" w:color="auto"/>
          </w:divBdr>
        </w:div>
        <w:div w:id="551500965">
          <w:marLeft w:val="640"/>
          <w:marRight w:val="0"/>
          <w:marTop w:val="0"/>
          <w:marBottom w:val="0"/>
          <w:divBdr>
            <w:top w:val="none" w:sz="0" w:space="0" w:color="auto"/>
            <w:left w:val="none" w:sz="0" w:space="0" w:color="auto"/>
            <w:bottom w:val="none" w:sz="0" w:space="0" w:color="auto"/>
            <w:right w:val="none" w:sz="0" w:space="0" w:color="auto"/>
          </w:divBdr>
        </w:div>
        <w:div w:id="597981536">
          <w:marLeft w:val="640"/>
          <w:marRight w:val="0"/>
          <w:marTop w:val="0"/>
          <w:marBottom w:val="0"/>
          <w:divBdr>
            <w:top w:val="none" w:sz="0" w:space="0" w:color="auto"/>
            <w:left w:val="none" w:sz="0" w:space="0" w:color="auto"/>
            <w:bottom w:val="none" w:sz="0" w:space="0" w:color="auto"/>
            <w:right w:val="none" w:sz="0" w:space="0" w:color="auto"/>
          </w:divBdr>
        </w:div>
        <w:div w:id="2008317712">
          <w:marLeft w:val="640"/>
          <w:marRight w:val="0"/>
          <w:marTop w:val="0"/>
          <w:marBottom w:val="0"/>
          <w:divBdr>
            <w:top w:val="none" w:sz="0" w:space="0" w:color="auto"/>
            <w:left w:val="none" w:sz="0" w:space="0" w:color="auto"/>
            <w:bottom w:val="none" w:sz="0" w:space="0" w:color="auto"/>
            <w:right w:val="none" w:sz="0" w:space="0" w:color="auto"/>
          </w:divBdr>
        </w:div>
        <w:div w:id="1214999781">
          <w:marLeft w:val="640"/>
          <w:marRight w:val="0"/>
          <w:marTop w:val="0"/>
          <w:marBottom w:val="0"/>
          <w:divBdr>
            <w:top w:val="none" w:sz="0" w:space="0" w:color="auto"/>
            <w:left w:val="none" w:sz="0" w:space="0" w:color="auto"/>
            <w:bottom w:val="none" w:sz="0" w:space="0" w:color="auto"/>
            <w:right w:val="none" w:sz="0" w:space="0" w:color="auto"/>
          </w:divBdr>
        </w:div>
        <w:div w:id="846016233">
          <w:marLeft w:val="640"/>
          <w:marRight w:val="0"/>
          <w:marTop w:val="0"/>
          <w:marBottom w:val="0"/>
          <w:divBdr>
            <w:top w:val="none" w:sz="0" w:space="0" w:color="auto"/>
            <w:left w:val="none" w:sz="0" w:space="0" w:color="auto"/>
            <w:bottom w:val="none" w:sz="0" w:space="0" w:color="auto"/>
            <w:right w:val="none" w:sz="0" w:space="0" w:color="auto"/>
          </w:divBdr>
        </w:div>
        <w:div w:id="1102602769">
          <w:marLeft w:val="640"/>
          <w:marRight w:val="0"/>
          <w:marTop w:val="0"/>
          <w:marBottom w:val="0"/>
          <w:divBdr>
            <w:top w:val="none" w:sz="0" w:space="0" w:color="auto"/>
            <w:left w:val="none" w:sz="0" w:space="0" w:color="auto"/>
            <w:bottom w:val="none" w:sz="0" w:space="0" w:color="auto"/>
            <w:right w:val="none" w:sz="0" w:space="0" w:color="auto"/>
          </w:divBdr>
        </w:div>
        <w:div w:id="1551501865">
          <w:marLeft w:val="640"/>
          <w:marRight w:val="0"/>
          <w:marTop w:val="0"/>
          <w:marBottom w:val="0"/>
          <w:divBdr>
            <w:top w:val="none" w:sz="0" w:space="0" w:color="auto"/>
            <w:left w:val="none" w:sz="0" w:space="0" w:color="auto"/>
            <w:bottom w:val="none" w:sz="0" w:space="0" w:color="auto"/>
            <w:right w:val="none" w:sz="0" w:space="0" w:color="auto"/>
          </w:divBdr>
        </w:div>
        <w:div w:id="1514224082">
          <w:marLeft w:val="640"/>
          <w:marRight w:val="0"/>
          <w:marTop w:val="0"/>
          <w:marBottom w:val="0"/>
          <w:divBdr>
            <w:top w:val="none" w:sz="0" w:space="0" w:color="auto"/>
            <w:left w:val="none" w:sz="0" w:space="0" w:color="auto"/>
            <w:bottom w:val="none" w:sz="0" w:space="0" w:color="auto"/>
            <w:right w:val="none" w:sz="0" w:space="0" w:color="auto"/>
          </w:divBdr>
        </w:div>
        <w:div w:id="1278609198">
          <w:marLeft w:val="640"/>
          <w:marRight w:val="0"/>
          <w:marTop w:val="0"/>
          <w:marBottom w:val="0"/>
          <w:divBdr>
            <w:top w:val="none" w:sz="0" w:space="0" w:color="auto"/>
            <w:left w:val="none" w:sz="0" w:space="0" w:color="auto"/>
            <w:bottom w:val="none" w:sz="0" w:space="0" w:color="auto"/>
            <w:right w:val="none" w:sz="0" w:space="0" w:color="auto"/>
          </w:divBdr>
        </w:div>
        <w:div w:id="1995913073">
          <w:marLeft w:val="640"/>
          <w:marRight w:val="0"/>
          <w:marTop w:val="0"/>
          <w:marBottom w:val="0"/>
          <w:divBdr>
            <w:top w:val="none" w:sz="0" w:space="0" w:color="auto"/>
            <w:left w:val="none" w:sz="0" w:space="0" w:color="auto"/>
            <w:bottom w:val="none" w:sz="0" w:space="0" w:color="auto"/>
            <w:right w:val="none" w:sz="0" w:space="0" w:color="auto"/>
          </w:divBdr>
        </w:div>
        <w:div w:id="48917848">
          <w:marLeft w:val="640"/>
          <w:marRight w:val="0"/>
          <w:marTop w:val="0"/>
          <w:marBottom w:val="0"/>
          <w:divBdr>
            <w:top w:val="none" w:sz="0" w:space="0" w:color="auto"/>
            <w:left w:val="none" w:sz="0" w:space="0" w:color="auto"/>
            <w:bottom w:val="none" w:sz="0" w:space="0" w:color="auto"/>
            <w:right w:val="none" w:sz="0" w:space="0" w:color="auto"/>
          </w:divBdr>
        </w:div>
        <w:div w:id="1737510410">
          <w:marLeft w:val="640"/>
          <w:marRight w:val="0"/>
          <w:marTop w:val="0"/>
          <w:marBottom w:val="0"/>
          <w:divBdr>
            <w:top w:val="none" w:sz="0" w:space="0" w:color="auto"/>
            <w:left w:val="none" w:sz="0" w:space="0" w:color="auto"/>
            <w:bottom w:val="none" w:sz="0" w:space="0" w:color="auto"/>
            <w:right w:val="none" w:sz="0" w:space="0" w:color="auto"/>
          </w:divBdr>
        </w:div>
        <w:div w:id="1826126907">
          <w:marLeft w:val="640"/>
          <w:marRight w:val="0"/>
          <w:marTop w:val="0"/>
          <w:marBottom w:val="0"/>
          <w:divBdr>
            <w:top w:val="none" w:sz="0" w:space="0" w:color="auto"/>
            <w:left w:val="none" w:sz="0" w:space="0" w:color="auto"/>
            <w:bottom w:val="none" w:sz="0" w:space="0" w:color="auto"/>
            <w:right w:val="none" w:sz="0" w:space="0" w:color="auto"/>
          </w:divBdr>
        </w:div>
        <w:div w:id="592249339">
          <w:marLeft w:val="640"/>
          <w:marRight w:val="0"/>
          <w:marTop w:val="0"/>
          <w:marBottom w:val="0"/>
          <w:divBdr>
            <w:top w:val="none" w:sz="0" w:space="0" w:color="auto"/>
            <w:left w:val="none" w:sz="0" w:space="0" w:color="auto"/>
            <w:bottom w:val="none" w:sz="0" w:space="0" w:color="auto"/>
            <w:right w:val="none" w:sz="0" w:space="0" w:color="auto"/>
          </w:divBdr>
        </w:div>
        <w:div w:id="291635908">
          <w:marLeft w:val="640"/>
          <w:marRight w:val="0"/>
          <w:marTop w:val="0"/>
          <w:marBottom w:val="0"/>
          <w:divBdr>
            <w:top w:val="none" w:sz="0" w:space="0" w:color="auto"/>
            <w:left w:val="none" w:sz="0" w:space="0" w:color="auto"/>
            <w:bottom w:val="none" w:sz="0" w:space="0" w:color="auto"/>
            <w:right w:val="none" w:sz="0" w:space="0" w:color="auto"/>
          </w:divBdr>
        </w:div>
        <w:div w:id="599487577">
          <w:marLeft w:val="640"/>
          <w:marRight w:val="0"/>
          <w:marTop w:val="0"/>
          <w:marBottom w:val="0"/>
          <w:divBdr>
            <w:top w:val="none" w:sz="0" w:space="0" w:color="auto"/>
            <w:left w:val="none" w:sz="0" w:space="0" w:color="auto"/>
            <w:bottom w:val="none" w:sz="0" w:space="0" w:color="auto"/>
            <w:right w:val="none" w:sz="0" w:space="0" w:color="auto"/>
          </w:divBdr>
        </w:div>
        <w:div w:id="549876970">
          <w:marLeft w:val="640"/>
          <w:marRight w:val="0"/>
          <w:marTop w:val="0"/>
          <w:marBottom w:val="0"/>
          <w:divBdr>
            <w:top w:val="none" w:sz="0" w:space="0" w:color="auto"/>
            <w:left w:val="none" w:sz="0" w:space="0" w:color="auto"/>
            <w:bottom w:val="none" w:sz="0" w:space="0" w:color="auto"/>
            <w:right w:val="none" w:sz="0" w:space="0" w:color="auto"/>
          </w:divBdr>
        </w:div>
        <w:div w:id="1573925104">
          <w:marLeft w:val="640"/>
          <w:marRight w:val="0"/>
          <w:marTop w:val="0"/>
          <w:marBottom w:val="0"/>
          <w:divBdr>
            <w:top w:val="none" w:sz="0" w:space="0" w:color="auto"/>
            <w:left w:val="none" w:sz="0" w:space="0" w:color="auto"/>
            <w:bottom w:val="none" w:sz="0" w:space="0" w:color="auto"/>
            <w:right w:val="none" w:sz="0" w:space="0" w:color="auto"/>
          </w:divBdr>
        </w:div>
        <w:div w:id="43793079">
          <w:marLeft w:val="640"/>
          <w:marRight w:val="0"/>
          <w:marTop w:val="0"/>
          <w:marBottom w:val="0"/>
          <w:divBdr>
            <w:top w:val="none" w:sz="0" w:space="0" w:color="auto"/>
            <w:left w:val="none" w:sz="0" w:space="0" w:color="auto"/>
            <w:bottom w:val="none" w:sz="0" w:space="0" w:color="auto"/>
            <w:right w:val="none" w:sz="0" w:space="0" w:color="auto"/>
          </w:divBdr>
        </w:div>
        <w:div w:id="456486184">
          <w:marLeft w:val="640"/>
          <w:marRight w:val="0"/>
          <w:marTop w:val="0"/>
          <w:marBottom w:val="0"/>
          <w:divBdr>
            <w:top w:val="none" w:sz="0" w:space="0" w:color="auto"/>
            <w:left w:val="none" w:sz="0" w:space="0" w:color="auto"/>
            <w:bottom w:val="none" w:sz="0" w:space="0" w:color="auto"/>
            <w:right w:val="none" w:sz="0" w:space="0" w:color="auto"/>
          </w:divBdr>
        </w:div>
        <w:div w:id="1377898839">
          <w:marLeft w:val="640"/>
          <w:marRight w:val="0"/>
          <w:marTop w:val="0"/>
          <w:marBottom w:val="0"/>
          <w:divBdr>
            <w:top w:val="none" w:sz="0" w:space="0" w:color="auto"/>
            <w:left w:val="none" w:sz="0" w:space="0" w:color="auto"/>
            <w:bottom w:val="none" w:sz="0" w:space="0" w:color="auto"/>
            <w:right w:val="none" w:sz="0" w:space="0" w:color="auto"/>
          </w:divBdr>
        </w:div>
        <w:div w:id="1435587031">
          <w:marLeft w:val="640"/>
          <w:marRight w:val="0"/>
          <w:marTop w:val="0"/>
          <w:marBottom w:val="0"/>
          <w:divBdr>
            <w:top w:val="none" w:sz="0" w:space="0" w:color="auto"/>
            <w:left w:val="none" w:sz="0" w:space="0" w:color="auto"/>
            <w:bottom w:val="none" w:sz="0" w:space="0" w:color="auto"/>
            <w:right w:val="none" w:sz="0" w:space="0" w:color="auto"/>
          </w:divBdr>
        </w:div>
        <w:div w:id="1106386546">
          <w:marLeft w:val="640"/>
          <w:marRight w:val="0"/>
          <w:marTop w:val="0"/>
          <w:marBottom w:val="0"/>
          <w:divBdr>
            <w:top w:val="none" w:sz="0" w:space="0" w:color="auto"/>
            <w:left w:val="none" w:sz="0" w:space="0" w:color="auto"/>
            <w:bottom w:val="none" w:sz="0" w:space="0" w:color="auto"/>
            <w:right w:val="none" w:sz="0" w:space="0" w:color="auto"/>
          </w:divBdr>
        </w:div>
        <w:div w:id="171385712">
          <w:marLeft w:val="640"/>
          <w:marRight w:val="0"/>
          <w:marTop w:val="0"/>
          <w:marBottom w:val="0"/>
          <w:divBdr>
            <w:top w:val="none" w:sz="0" w:space="0" w:color="auto"/>
            <w:left w:val="none" w:sz="0" w:space="0" w:color="auto"/>
            <w:bottom w:val="none" w:sz="0" w:space="0" w:color="auto"/>
            <w:right w:val="none" w:sz="0" w:space="0" w:color="auto"/>
          </w:divBdr>
        </w:div>
        <w:div w:id="56831269">
          <w:marLeft w:val="640"/>
          <w:marRight w:val="0"/>
          <w:marTop w:val="0"/>
          <w:marBottom w:val="0"/>
          <w:divBdr>
            <w:top w:val="none" w:sz="0" w:space="0" w:color="auto"/>
            <w:left w:val="none" w:sz="0" w:space="0" w:color="auto"/>
            <w:bottom w:val="none" w:sz="0" w:space="0" w:color="auto"/>
            <w:right w:val="none" w:sz="0" w:space="0" w:color="auto"/>
          </w:divBdr>
        </w:div>
        <w:div w:id="1860508852">
          <w:marLeft w:val="640"/>
          <w:marRight w:val="0"/>
          <w:marTop w:val="0"/>
          <w:marBottom w:val="0"/>
          <w:divBdr>
            <w:top w:val="none" w:sz="0" w:space="0" w:color="auto"/>
            <w:left w:val="none" w:sz="0" w:space="0" w:color="auto"/>
            <w:bottom w:val="none" w:sz="0" w:space="0" w:color="auto"/>
            <w:right w:val="none" w:sz="0" w:space="0" w:color="auto"/>
          </w:divBdr>
        </w:div>
        <w:div w:id="1153058942">
          <w:marLeft w:val="640"/>
          <w:marRight w:val="0"/>
          <w:marTop w:val="0"/>
          <w:marBottom w:val="0"/>
          <w:divBdr>
            <w:top w:val="none" w:sz="0" w:space="0" w:color="auto"/>
            <w:left w:val="none" w:sz="0" w:space="0" w:color="auto"/>
            <w:bottom w:val="none" w:sz="0" w:space="0" w:color="auto"/>
            <w:right w:val="none" w:sz="0" w:space="0" w:color="auto"/>
          </w:divBdr>
        </w:div>
        <w:div w:id="638418661">
          <w:marLeft w:val="640"/>
          <w:marRight w:val="0"/>
          <w:marTop w:val="0"/>
          <w:marBottom w:val="0"/>
          <w:divBdr>
            <w:top w:val="none" w:sz="0" w:space="0" w:color="auto"/>
            <w:left w:val="none" w:sz="0" w:space="0" w:color="auto"/>
            <w:bottom w:val="none" w:sz="0" w:space="0" w:color="auto"/>
            <w:right w:val="none" w:sz="0" w:space="0" w:color="auto"/>
          </w:divBdr>
        </w:div>
        <w:div w:id="1370687268">
          <w:marLeft w:val="640"/>
          <w:marRight w:val="0"/>
          <w:marTop w:val="0"/>
          <w:marBottom w:val="0"/>
          <w:divBdr>
            <w:top w:val="none" w:sz="0" w:space="0" w:color="auto"/>
            <w:left w:val="none" w:sz="0" w:space="0" w:color="auto"/>
            <w:bottom w:val="none" w:sz="0" w:space="0" w:color="auto"/>
            <w:right w:val="none" w:sz="0" w:space="0" w:color="auto"/>
          </w:divBdr>
        </w:div>
        <w:div w:id="2134908660">
          <w:marLeft w:val="640"/>
          <w:marRight w:val="0"/>
          <w:marTop w:val="0"/>
          <w:marBottom w:val="0"/>
          <w:divBdr>
            <w:top w:val="none" w:sz="0" w:space="0" w:color="auto"/>
            <w:left w:val="none" w:sz="0" w:space="0" w:color="auto"/>
            <w:bottom w:val="none" w:sz="0" w:space="0" w:color="auto"/>
            <w:right w:val="none" w:sz="0" w:space="0" w:color="auto"/>
          </w:divBdr>
        </w:div>
        <w:div w:id="88277289">
          <w:marLeft w:val="640"/>
          <w:marRight w:val="0"/>
          <w:marTop w:val="0"/>
          <w:marBottom w:val="0"/>
          <w:divBdr>
            <w:top w:val="none" w:sz="0" w:space="0" w:color="auto"/>
            <w:left w:val="none" w:sz="0" w:space="0" w:color="auto"/>
            <w:bottom w:val="none" w:sz="0" w:space="0" w:color="auto"/>
            <w:right w:val="none" w:sz="0" w:space="0" w:color="auto"/>
          </w:divBdr>
        </w:div>
        <w:div w:id="160898866">
          <w:marLeft w:val="640"/>
          <w:marRight w:val="0"/>
          <w:marTop w:val="0"/>
          <w:marBottom w:val="0"/>
          <w:divBdr>
            <w:top w:val="none" w:sz="0" w:space="0" w:color="auto"/>
            <w:left w:val="none" w:sz="0" w:space="0" w:color="auto"/>
            <w:bottom w:val="none" w:sz="0" w:space="0" w:color="auto"/>
            <w:right w:val="none" w:sz="0" w:space="0" w:color="auto"/>
          </w:divBdr>
        </w:div>
        <w:div w:id="1261983864">
          <w:marLeft w:val="640"/>
          <w:marRight w:val="0"/>
          <w:marTop w:val="0"/>
          <w:marBottom w:val="0"/>
          <w:divBdr>
            <w:top w:val="none" w:sz="0" w:space="0" w:color="auto"/>
            <w:left w:val="none" w:sz="0" w:space="0" w:color="auto"/>
            <w:bottom w:val="none" w:sz="0" w:space="0" w:color="auto"/>
            <w:right w:val="none" w:sz="0" w:space="0" w:color="auto"/>
          </w:divBdr>
        </w:div>
        <w:div w:id="443810401">
          <w:marLeft w:val="640"/>
          <w:marRight w:val="0"/>
          <w:marTop w:val="0"/>
          <w:marBottom w:val="0"/>
          <w:divBdr>
            <w:top w:val="none" w:sz="0" w:space="0" w:color="auto"/>
            <w:left w:val="none" w:sz="0" w:space="0" w:color="auto"/>
            <w:bottom w:val="none" w:sz="0" w:space="0" w:color="auto"/>
            <w:right w:val="none" w:sz="0" w:space="0" w:color="auto"/>
          </w:divBdr>
        </w:div>
        <w:div w:id="1543714950">
          <w:marLeft w:val="640"/>
          <w:marRight w:val="0"/>
          <w:marTop w:val="0"/>
          <w:marBottom w:val="0"/>
          <w:divBdr>
            <w:top w:val="none" w:sz="0" w:space="0" w:color="auto"/>
            <w:left w:val="none" w:sz="0" w:space="0" w:color="auto"/>
            <w:bottom w:val="none" w:sz="0" w:space="0" w:color="auto"/>
            <w:right w:val="none" w:sz="0" w:space="0" w:color="auto"/>
          </w:divBdr>
        </w:div>
        <w:div w:id="2075354110">
          <w:marLeft w:val="640"/>
          <w:marRight w:val="0"/>
          <w:marTop w:val="0"/>
          <w:marBottom w:val="0"/>
          <w:divBdr>
            <w:top w:val="none" w:sz="0" w:space="0" w:color="auto"/>
            <w:left w:val="none" w:sz="0" w:space="0" w:color="auto"/>
            <w:bottom w:val="none" w:sz="0" w:space="0" w:color="auto"/>
            <w:right w:val="none" w:sz="0" w:space="0" w:color="auto"/>
          </w:divBdr>
        </w:div>
        <w:div w:id="889877931">
          <w:marLeft w:val="640"/>
          <w:marRight w:val="0"/>
          <w:marTop w:val="0"/>
          <w:marBottom w:val="0"/>
          <w:divBdr>
            <w:top w:val="none" w:sz="0" w:space="0" w:color="auto"/>
            <w:left w:val="none" w:sz="0" w:space="0" w:color="auto"/>
            <w:bottom w:val="none" w:sz="0" w:space="0" w:color="auto"/>
            <w:right w:val="none" w:sz="0" w:space="0" w:color="auto"/>
          </w:divBdr>
        </w:div>
        <w:div w:id="1460105461">
          <w:marLeft w:val="640"/>
          <w:marRight w:val="0"/>
          <w:marTop w:val="0"/>
          <w:marBottom w:val="0"/>
          <w:divBdr>
            <w:top w:val="none" w:sz="0" w:space="0" w:color="auto"/>
            <w:left w:val="none" w:sz="0" w:space="0" w:color="auto"/>
            <w:bottom w:val="none" w:sz="0" w:space="0" w:color="auto"/>
            <w:right w:val="none" w:sz="0" w:space="0" w:color="auto"/>
          </w:divBdr>
        </w:div>
        <w:div w:id="394472726">
          <w:marLeft w:val="640"/>
          <w:marRight w:val="0"/>
          <w:marTop w:val="0"/>
          <w:marBottom w:val="0"/>
          <w:divBdr>
            <w:top w:val="none" w:sz="0" w:space="0" w:color="auto"/>
            <w:left w:val="none" w:sz="0" w:space="0" w:color="auto"/>
            <w:bottom w:val="none" w:sz="0" w:space="0" w:color="auto"/>
            <w:right w:val="none" w:sz="0" w:space="0" w:color="auto"/>
          </w:divBdr>
        </w:div>
        <w:div w:id="1158574626">
          <w:marLeft w:val="640"/>
          <w:marRight w:val="0"/>
          <w:marTop w:val="0"/>
          <w:marBottom w:val="0"/>
          <w:divBdr>
            <w:top w:val="none" w:sz="0" w:space="0" w:color="auto"/>
            <w:left w:val="none" w:sz="0" w:space="0" w:color="auto"/>
            <w:bottom w:val="none" w:sz="0" w:space="0" w:color="auto"/>
            <w:right w:val="none" w:sz="0" w:space="0" w:color="auto"/>
          </w:divBdr>
        </w:div>
        <w:div w:id="661543878">
          <w:marLeft w:val="640"/>
          <w:marRight w:val="0"/>
          <w:marTop w:val="0"/>
          <w:marBottom w:val="0"/>
          <w:divBdr>
            <w:top w:val="none" w:sz="0" w:space="0" w:color="auto"/>
            <w:left w:val="none" w:sz="0" w:space="0" w:color="auto"/>
            <w:bottom w:val="none" w:sz="0" w:space="0" w:color="auto"/>
            <w:right w:val="none" w:sz="0" w:space="0" w:color="auto"/>
          </w:divBdr>
        </w:div>
        <w:div w:id="1892187139">
          <w:marLeft w:val="640"/>
          <w:marRight w:val="0"/>
          <w:marTop w:val="0"/>
          <w:marBottom w:val="0"/>
          <w:divBdr>
            <w:top w:val="none" w:sz="0" w:space="0" w:color="auto"/>
            <w:left w:val="none" w:sz="0" w:space="0" w:color="auto"/>
            <w:bottom w:val="none" w:sz="0" w:space="0" w:color="auto"/>
            <w:right w:val="none" w:sz="0" w:space="0" w:color="auto"/>
          </w:divBdr>
        </w:div>
        <w:div w:id="857351174">
          <w:marLeft w:val="640"/>
          <w:marRight w:val="0"/>
          <w:marTop w:val="0"/>
          <w:marBottom w:val="0"/>
          <w:divBdr>
            <w:top w:val="none" w:sz="0" w:space="0" w:color="auto"/>
            <w:left w:val="none" w:sz="0" w:space="0" w:color="auto"/>
            <w:bottom w:val="none" w:sz="0" w:space="0" w:color="auto"/>
            <w:right w:val="none" w:sz="0" w:space="0" w:color="auto"/>
          </w:divBdr>
        </w:div>
        <w:div w:id="14888024">
          <w:marLeft w:val="640"/>
          <w:marRight w:val="0"/>
          <w:marTop w:val="0"/>
          <w:marBottom w:val="0"/>
          <w:divBdr>
            <w:top w:val="none" w:sz="0" w:space="0" w:color="auto"/>
            <w:left w:val="none" w:sz="0" w:space="0" w:color="auto"/>
            <w:bottom w:val="none" w:sz="0" w:space="0" w:color="auto"/>
            <w:right w:val="none" w:sz="0" w:space="0" w:color="auto"/>
          </w:divBdr>
        </w:div>
        <w:div w:id="801731335">
          <w:marLeft w:val="640"/>
          <w:marRight w:val="0"/>
          <w:marTop w:val="0"/>
          <w:marBottom w:val="0"/>
          <w:divBdr>
            <w:top w:val="none" w:sz="0" w:space="0" w:color="auto"/>
            <w:left w:val="none" w:sz="0" w:space="0" w:color="auto"/>
            <w:bottom w:val="none" w:sz="0" w:space="0" w:color="auto"/>
            <w:right w:val="none" w:sz="0" w:space="0" w:color="auto"/>
          </w:divBdr>
        </w:div>
        <w:div w:id="2045398507">
          <w:marLeft w:val="640"/>
          <w:marRight w:val="0"/>
          <w:marTop w:val="0"/>
          <w:marBottom w:val="0"/>
          <w:divBdr>
            <w:top w:val="none" w:sz="0" w:space="0" w:color="auto"/>
            <w:left w:val="none" w:sz="0" w:space="0" w:color="auto"/>
            <w:bottom w:val="none" w:sz="0" w:space="0" w:color="auto"/>
            <w:right w:val="none" w:sz="0" w:space="0" w:color="auto"/>
          </w:divBdr>
        </w:div>
        <w:div w:id="1650017530">
          <w:marLeft w:val="640"/>
          <w:marRight w:val="0"/>
          <w:marTop w:val="0"/>
          <w:marBottom w:val="0"/>
          <w:divBdr>
            <w:top w:val="none" w:sz="0" w:space="0" w:color="auto"/>
            <w:left w:val="none" w:sz="0" w:space="0" w:color="auto"/>
            <w:bottom w:val="none" w:sz="0" w:space="0" w:color="auto"/>
            <w:right w:val="none" w:sz="0" w:space="0" w:color="auto"/>
          </w:divBdr>
        </w:div>
        <w:div w:id="1111168457">
          <w:marLeft w:val="640"/>
          <w:marRight w:val="0"/>
          <w:marTop w:val="0"/>
          <w:marBottom w:val="0"/>
          <w:divBdr>
            <w:top w:val="none" w:sz="0" w:space="0" w:color="auto"/>
            <w:left w:val="none" w:sz="0" w:space="0" w:color="auto"/>
            <w:bottom w:val="none" w:sz="0" w:space="0" w:color="auto"/>
            <w:right w:val="none" w:sz="0" w:space="0" w:color="auto"/>
          </w:divBdr>
        </w:div>
        <w:div w:id="1452164789">
          <w:marLeft w:val="640"/>
          <w:marRight w:val="0"/>
          <w:marTop w:val="0"/>
          <w:marBottom w:val="0"/>
          <w:divBdr>
            <w:top w:val="none" w:sz="0" w:space="0" w:color="auto"/>
            <w:left w:val="none" w:sz="0" w:space="0" w:color="auto"/>
            <w:bottom w:val="none" w:sz="0" w:space="0" w:color="auto"/>
            <w:right w:val="none" w:sz="0" w:space="0" w:color="auto"/>
          </w:divBdr>
        </w:div>
        <w:div w:id="942347386">
          <w:marLeft w:val="640"/>
          <w:marRight w:val="0"/>
          <w:marTop w:val="0"/>
          <w:marBottom w:val="0"/>
          <w:divBdr>
            <w:top w:val="none" w:sz="0" w:space="0" w:color="auto"/>
            <w:left w:val="none" w:sz="0" w:space="0" w:color="auto"/>
            <w:bottom w:val="none" w:sz="0" w:space="0" w:color="auto"/>
            <w:right w:val="none" w:sz="0" w:space="0" w:color="auto"/>
          </w:divBdr>
        </w:div>
        <w:div w:id="739333359">
          <w:marLeft w:val="640"/>
          <w:marRight w:val="0"/>
          <w:marTop w:val="0"/>
          <w:marBottom w:val="0"/>
          <w:divBdr>
            <w:top w:val="none" w:sz="0" w:space="0" w:color="auto"/>
            <w:left w:val="none" w:sz="0" w:space="0" w:color="auto"/>
            <w:bottom w:val="none" w:sz="0" w:space="0" w:color="auto"/>
            <w:right w:val="none" w:sz="0" w:space="0" w:color="auto"/>
          </w:divBdr>
        </w:div>
        <w:div w:id="38407493">
          <w:marLeft w:val="640"/>
          <w:marRight w:val="0"/>
          <w:marTop w:val="0"/>
          <w:marBottom w:val="0"/>
          <w:divBdr>
            <w:top w:val="none" w:sz="0" w:space="0" w:color="auto"/>
            <w:left w:val="none" w:sz="0" w:space="0" w:color="auto"/>
            <w:bottom w:val="none" w:sz="0" w:space="0" w:color="auto"/>
            <w:right w:val="none" w:sz="0" w:space="0" w:color="auto"/>
          </w:divBdr>
        </w:div>
        <w:div w:id="254361711">
          <w:marLeft w:val="640"/>
          <w:marRight w:val="0"/>
          <w:marTop w:val="0"/>
          <w:marBottom w:val="0"/>
          <w:divBdr>
            <w:top w:val="none" w:sz="0" w:space="0" w:color="auto"/>
            <w:left w:val="none" w:sz="0" w:space="0" w:color="auto"/>
            <w:bottom w:val="none" w:sz="0" w:space="0" w:color="auto"/>
            <w:right w:val="none" w:sz="0" w:space="0" w:color="auto"/>
          </w:divBdr>
        </w:div>
        <w:div w:id="145361800">
          <w:marLeft w:val="640"/>
          <w:marRight w:val="0"/>
          <w:marTop w:val="0"/>
          <w:marBottom w:val="0"/>
          <w:divBdr>
            <w:top w:val="none" w:sz="0" w:space="0" w:color="auto"/>
            <w:left w:val="none" w:sz="0" w:space="0" w:color="auto"/>
            <w:bottom w:val="none" w:sz="0" w:space="0" w:color="auto"/>
            <w:right w:val="none" w:sz="0" w:space="0" w:color="auto"/>
          </w:divBdr>
        </w:div>
        <w:div w:id="1998264279">
          <w:marLeft w:val="640"/>
          <w:marRight w:val="0"/>
          <w:marTop w:val="0"/>
          <w:marBottom w:val="0"/>
          <w:divBdr>
            <w:top w:val="none" w:sz="0" w:space="0" w:color="auto"/>
            <w:left w:val="none" w:sz="0" w:space="0" w:color="auto"/>
            <w:bottom w:val="none" w:sz="0" w:space="0" w:color="auto"/>
            <w:right w:val="none" w:sz="0" w:space="0" w:color="auto"/>
          </w:divBdr>
        </w:div>
        <w:div w:id="737674016">
          <w:marLeft w:val="640"/>
          <w:marRight w:val="0"/>
          <w:marTop w:val="0"/>
          <w:marBottom w:val="0"/>
          <w:divBdr>
            <w:top w:val="none" w:sz="0" w:space="0" w:color="auto"/>
            <w:left w:val="none" w:sz="0" w:space="0" w:color="auto"/>
            <w:bottom w:val="none" w:sz="0" w:space="0" w:color="auto"/>
            <w:right w:val="none" w:sz="0" w:space="0" w:color="auto"/>
          </w:divBdr>
        </w:div>
        <w:div w:id="1642805837">
          <w:marLeft w:val="640"/>
          <w:marRight w:val="0"/>
          <w:marTop w:val="0"/>
          <w:marBottom w:val="0"/>
          <w:divBdr>
            <w:top w:val="none" w:sz="0" w:space="0" w:color="auto"/>
            <w:left w:val="none" w:sz="0" w:space="0" w:color="auto"/>
            <w:bottom w:val="none" w:sz="0" w:space="0" w:color="auto"/>
            <w:right w:val="none" w:sz="0" w:space="0" w:color="auto"/>
          </w:divBdr>
        </w:div>
        <w:div w:id="830752271">
          <w:marLeft w:val="640"/>
          <w:marRight w:val="0"/>
          <w:marTop w:val="0"/>
          <w:marBottom w:val="0"/>
          <w:divBdr>
            <w:top w:val="none" w:sz="0" w:space="0" w:color="auto"/>
            <w:left w:val="none" w:sz="0" w:space="0" w:color="auto"/>
            <w:bottom w:val="none" w:sz="0" w:space="0" w:color="auto"/>
            <w:right w:val="none" w:sz="0" w:space="0" w:color="auto"/>
          </w:divBdr>
        </w:div>
        <w:div w:id="1151360755">
          <w:marLeft w:val="640"/>
          <w:marRight w:val="0"/>
          <w:marTop w:val="0"/>
          <w:marBottom w:val="0"/>
          <w:divBdr>
            <w:top w:val="none" w:sz="0" w:space="0" w:color="auto"/>
            <w:left w:val="none" w:sz="0" w:space="0" w:color="auto"/>
            <w:bottom w:val="none" w:sz="0" w:space="0" w:color="auto"/>
            <w:right w:val="none" w:sz="0" w:space="0" w:color="auto"/>
          </w:divBdr>
        </w:div>
        <w:div w:id="852767590">
          <w:marLeft w:val="640"/>
          <w:marRight w:val="0"/>
          <w:marTop w:val="0"/>
          <w:marBottom w:val="0"/>
          <w:divBdr>
            <w:top w:val="none" w:sz="0" w:space="0" w:color="auto"/>
            <w:left w:val="none" w:sz="0" w:space="0" w:color="auto"/>
            <w:bottom w:val="none" w:sz="0" w:space="0" w:color="auto"/>
            <w:right w:val="none" w:sz="0" w:space="0" w:color="auto"/>
          </w:divBdr>
        </w:div>
        <w:div w:id="1775858046">
          <w:marLeft w:val="640"/>
          <w:marRight w:val="0"/>
          <w:marTop w:val="0"/>
          <w:marBottom w:val="0"/>
          <w:divBdr>
            <w:top w:val="none" w:sz="0" w:space="0" w:color="auto"/>
            <w:left w:val="none" w:sz="0" w:space="0" w:color="auto"/>
            <w:bottom w:val="none" w:sz="0" w:space="0" w:color="auto"/>
            <w:right w:val="none" w:sz="0" w:space="0" w:color="auto"/>
          </w:divBdr>
        </w:div>
        <w:div w:id="326591302">
          <w:marLeft w:val="640"/>
          <w:marRight w:val="0"/>
          <w:marTop w:val="0"/>
          <w:marBottom w:val="0"/>
          <w:divBdr>
            <w:top w:val="none" w:sz="0" w:space="0" w:color="auto"/>
            <w:left w:val="none" w:sz="0" w:space="0" w:color="auto"/>
            <w:bottom w:val="none" w:sz="0" w:space="0" w:color="auto"/>
            <w:right w:val="none" w:sz="0" w:space="0" w:color="auto"/>
          </w:divBdr>
        </w:div>
        <w:div w:id="222716179">
          <w:marLeft w:val="640"/>
          <w:marRight w:val="0"/>
          <w:marTop w:val="0"/>
          <w:marBottom w:val="0"/>
          <w:divBdr>
            <w:top w:val="none" w:sz="0" w:space="0" w:color="auto"/>
            <w:left w:val="none" w:sz="0" w:space="0" w:color="auto"/>
            <w:bottom w:val="none" w:sz="0" w:space="0" w:color="auto"/>
            <w:right w:val="none" w:sz="0" w:space="0" w:color="auto"/>
          </w:divBdr>
        </w:div>
        <w:div w:id="965164315">
          <w:marLeft w:val="640"/>
          <w:marRight w:val="0"/>
          <w:marTop w:val="0"/>
          <w:marBottom w:val="0"/>
          <w:divBdr>
            <w:top w:val="none" w:sz="0" w:space="0" w:color="auto"/>
            <w:left w:val="none" w:sz="0" w:space="0" w:color="auto"/>
            <w:bottom w:val="none" w:sz="0" w:space="0" w:color="auto"/>
            <w:right w:val="none" w:sz="0" w:space="0" w:color="auto"/>
          </w:divBdr>
        </w:div>
        <w:div w:id="1132600639">
          <w:marLeft w:val="640"/>
          <w:marRight w:val="0"/>
          <w:marTop w:val="0"/>
          <w:marBottom w:val="0"/>
          <w:divBdr>
            <w:top w:val="none" w:sz="0" w:space="0" w:color="auto"/>
            <w:left w:val="none" w:sz="0" w:space="0" w:color="auto"/>
            <w:bottom w:val="none" w:sz="0" w:space="0" w:color="auto"/>
            <w:right w:val="none" w:sz="0" w:space="0" w:color="auto"/>
          </w:divBdr>
        </w:div>
        <w:div w:id="143356498">
          <w:marLeft w:val="640"/>
          <w:marRight w:val="0"/>
          <w:marTop w:val="0"/>
          <w:marBottom w:val="0"/>
          <w:divBdr>
            <w:top w:val="none" w:sz="0" w:space="0" w:color="auto"/>
            <w:left w:val="none" w:sz="0" w:space="0" w:color="auto"/>
            <w:bottom w:val="none" w:sz="0" w:space="0" w:color="auto"/>
            <w:right w:val="none" w:sz="0" w:space="0" w:color="auto"/>
          </w:divBdr>
        </w:div>
        <w:div w:id="1558473664">
          <w:marLeft w:val="640"/>
          <w:marRight w:val="0"/>
          <w:marTop w:val="0"/>
          <w:marBottom w:val="0"/>
          <w:divBdr>
            <w:top w:val="none" w:sz="0" w:space="0" w:color="auto"/>
            <w:left w:val="none" w:sz="0" w:space="0" w:color="auto"/>
            <w:bottom w:val="none" w:sz="0" w:space="0" w:color="auto"/>
            <w:right w:val="none" w:sz="0" w:space="0" w:color="auto"/>
          </w:divBdr>
        </w:div>
        <w:div w:id="1539925298">
          <w:marLeft w:val="640"/>
          <w:marRight w:val="0"/>
          <w:marTop w:val="0"/>
          <w:marBottom w:val="0"/>
          <w:divBdr>
            <w:top w:val="none" w:sz="0" w:space="0" w:color="auto"/>
            <w:left w:val="none" w:sz="0" w:space="0" w:color="auto"/>
            <w:bottom w:val="none" w:sz="0" w:space="0" w:color="auto"/>
            <w:right w:val="none" w:sz="0" w:space="0" w:color="auto"/>
          </w:divBdr>
        </w:div>
        <w:div w:id="1208180288">
          <w:marLeft w:val="640"/>
          <w:marRight w:val="0"/>
          <w:marTop w:val="0"/>
          <w:marBottom w:val="0"/>
          <w:divBdr>
            <w:top w:val="none" w:sz="0" w:space="0" w:color="auto"/>
            <w:left w:val="none" w:sz="0" w:space="0" w:color="auto"/>
            <w:bottom w:val="none" w:sz="0" w:space="0" w:color="auto"/>
            <w:right w:val="none" w:sz="0" w:space="0" w:color="auto"/>
          </w:divBdr>
        </w:div>
        <w:div w:id="1735354401">
          <w:marLeft w:val="640"/>
          <w:marRight w:val="0"/>
          <w:marTop w:val="0"/>
          <w:marBottom w:val="0"/>
          <w:divBdr>
            <w:top w:val="none" w:sz="0" w:space="0" w:color="auto"/>
            <w:left w:val="none" w:sz="0" w:space="0" w:color="auto"/>
            <w:bottom w:val="none" w:sz="0" w:space="0" w:color="auto"/>
            <w:right w:val="none" w:sz="0" w:space="0" w:color="auto"/>
          </w:divBdr>
        </w:div>
        <w:div w:id="1499810370">
          <w:marLeft w:val="640"/>
          <w:marRight w:val="0"/>
          <w:marTop w:val="0"/>
          <w:marBottom w:val="0"/>
          <w:divBdr>
            <w:top w:val="none" w:sz="0" w:space="0" w:color="auto"/>
            <w:left w:val="none" w:sz="0" w:space="0" w:color="auto"/>
            <w:bottom w:val="none" w:sz="0" w:space="0" w:color="auto"/>
            <w:right w:val="none" w:sz="0" w:space="0" w:color="auto"/>
          </w:divBdr>
        </w:div>
        <w:div w:id="1792163493">
          <w:marLeft w:val="640"/>
          <w:marRight w:val="0"/>
          <w:marTop w:val="0"/>
          <w:marBottom w:val="0"/>
          <w:divBdr>
            <w:top w:val="none" w:sz="0" w:space="0" w:color="auto"/>
            <w:left w:val="none" w:sz="0" w:space="0" w:color="auto"/>
            <w:bottom w:val="none" w:sz="0" w:space="0" w:color="auto"/>
            <w:right w:val="none" w:sz="0" w:space="0" w:color="auto"/>
          </w:divBdr>
        </w:div>
        <w:div w:id="1564680617">
          <w:marLeft w:val="640"/>
          <w:marRight w:val="0"/>
          <w:marTop w:val="0"/>
          <w:marBottom w:val="0"/>
          <w:divBdr>
            <w:top w:val="none" w:sz="0" w:space="0" w:color="auto"/>
            <w:left w:val="none" w:sz="0" w:space="0" w:color="auto"/>
            <w:bottom w:val="none" w:sz="0" w:space="0" w:color="auto"/>
            <w:right w:val="none" w:sz="0" w:space="0" w:color="auto"/>
          </w:divBdr>
        </w:div>
        <w:div w:id="1482697704">
          <w:marLeft w:val="640"/>
          <w:marRight w:val="0"/>
          <w:marTop w:val="0"/>
          <w:marBottom w:val="0"/>
          <w:divBdr>
            <w:top w:val="none" w:sz="0" w:space="0" w:color="auto"/>
            <w:left w:val="none" w:sz="0" w:space="0" w:color="auto"/>
            <w:bottom w:val="none" w:sz="0" w:space="0" w:color="auto"/>
            <w:right w:val="none" w:sz="0" w:space="0" w:color="auto"/>
          </w:divBdr>
        </w:div>
        <w:div w:id="128599975">
          <w:marLeft w:val="640"/>
          <w:marRight w:val="0"/>
          <w:marTop w:val="0"/>
          <w:marBottom w:val="0"/>
          <w:divBdr>
            <w:top w:val="none" w:sz="0" w:space="0" w:color="auto"/>
            <w:left w:val="none" w:sz="0" w:space="0" w:color="auto"/>
            <w:bottom w:val="none" w:sz="0" w:space="0" w:color="auto"/>
            <w:right w:val="none" w:sz="0" w:space="0" w:color="auto"/>
          </w:divBdr>
        </w:div>
        <w:div w:id="1770814772">
          <w:marLeft w:val="640"/>
          <w:marRight w:val="0"/>
          <w:marTop w:val="0"/>
          <w:marBottom w:val="0"/>
          <w:divBdr>
            <w:top w:val="none" w:sz="0" w:space="0" w:color="auto"/>
            <w:left w:val="none" w:sz="0" w:space="0" w:color="auto"/>
            <w:bottom w:val="none" w:sz="0" w:space="0" w:color="auto"/>
            <w:right w:val="none" w:sz="0" w:space="0" w:color="auto"/>
          </w:divBdr>
        </w:div>
        <w:div w:id="1574387875">
          <w:marLeft w:val="640"/>
          <w:marRight w:val="0"/>
          <w:marTop w:val="0"/>
          <w:marBottom w:val="0"/>
          <w:divBdr>
            <w:top w:val="none" w:sz="0" w:space="0" w:color="auto"/>
            <w:left w:val="none" w:sz="0" w:space="0" w:color="auto"/>
            <w:bottom w:val="none" w:sz="0" w:space="0" w:color="auto"/>
            <w:right w:val="none" w:sz="0" w:space="0" w:color="auto"/>
          </w:divBdr>
        </w:div>
        <w:div w:id="1228955032">
          <w:marLeft w:val="640"/>
          <w:marRight w:val="0"/>
          <w:marTop w:val="0"/>
          <w:marBottom w:val="0"/>
          <w:divBdr>
            <w:top w:val="none" w:sz="0" w:space="0" w:color="auto"/>
            <w:left w:val="none" w:sz="0" w:space="0" w:color="auto"/>
            <w:bottom w:val="none" w:sz="0" w:space="0" w:color="auto"/>
            <w:right w:val="none" w:sz="0" w:space="0" w:color="auto"/>
          </w:divBdr>
        </w:div>
        <w:div w:id="767236465">
          <w:marLeft w:val="640"/>
          <w:marRight w:val="0"/>
          <w:marTop w:val="0"/>
          <w:marBottom w:val="0"/>
          <w:divBdr>
            <w:top w:val="none" w:sz="0" w:space="0" w:color="auto"/>
            <w:left w:val="none" w:sz="0" w:space="0" w:color="auto"/>
            <w:bottom w:val="none" w:sz="0" w:space="0" w:color="auto"/>
            <w:right w:val="none" w:sz="0" w:space="0" w:color="auto"/>
          </w:divBdr>
        </w:div>
        <w:div w:id="325864464">
          <w:marLeft w:val="640"/>
          <w:marRight w:val="0"/>
          <w:marTop w:val="0"/>
          <w:marBottom w:val="0"/>
          <w:divBdr>
            <w:top w:val="none" w:sz="0" w:space="0" w:color="auto"/>
            <w:left w:val="none" w:sz="0" w:space="0" w:color="auto"/>
            <w:bottom w:val="none" w:sz="0" w:space="0" w:color="auto"/>
            <w:right w:val="none" w:sz="0" w:space="0" w:color="auto"/>
          </w:divBdr>
        </w:div>
        <w:div w:id="329219908">
          <w:marLeft w:val="640"/>
          <w:marRight w:val="0"/>
          <w:marTop w:val="0"/>
          <w:marBottom w:val="0"/>
          <w:divBdr>
            <w:top w:val="none" w:sz="0" w:space="0" w:color="auto"/>
            <w:left w:val="none" w:sz="0" w:space="0" w:color="auto"/>
            <w:bottom w:val="none" w:sz="0" w:space="0" w:color="auto"/>
            <w:right w:val="none" w:sz="0" w:space="0" w:color="auto"/>
          </w:divBdr>
        </w:div>
        <w:div w:id="243340827">
          <w:marLeft w:val="640"/>
          <w:marRight w:val="0"/>
          <w:marTop w:val="0"/>
          <w:marBottom w:val="0"/>
          <w:divBdr>
            <w:top w:val="none" w:sz="0" w:space="0" w:color="auto"/>
            <w:left w:val="none" w:sz="0" w:space="0" w:color="auto"/>
            <w:bottom w:val="none" w:sz="0" w:space="0" w:color="auto"/>
            <w:right w:val="none" w:sz="0" w:space="0" w:color="auto"/>
          </w:divBdr>
        </w:div>
        <w:div w:id="695622459">
          <w:marLeft w:val="640"/>
          <w:marRight w:val="0"/>
          <w:marTop w:val="0"/>
          <w:marBottom w:val="0"/>
          <w:divBdr>
            <w:top w:val="none" w:sz="0" w:space="0" w:color="auto"/>
            <w:left w:val="none" w:sz="0" w:space="0" w:color="auto"/>
            <w:bottom w:val="none" w:sz="0" w:space="0" w:color="auto"/>
            <w:right w:val="none" w:sz="0" w:space="0" w:color="auto"/>
          </w:divBdr>
        </w:div>
        <w:div w:id="38867154">
          <w:marLeft w:val="640"/>
          <w:marRight w:val="0"/>
          <w:marTop w:val="0"/>
          <w:marBottom w:val="0"/>
          <w:divBdr>
            <w:top w:val="none" w:sz="0" w:space="0" w:color="auto"/>
            <w:left w:val="none" w:sz="0" w:space="0" w:color="auto"/>
            <w:bottom w:val="none" w:sz="0" w:space="0" w:color="auto"/>
            <w:right w:val="none" w:sz="0" w:space="0" w:color="auto"/>
          </w:divBdr>
        </w:div>
        <w:div w:id="1187597882">
          <w:marLeft w:val="640"/>
          <w:marRight w:val="0"/>
          <w:marTop w:val="0"/>
          <w:marBottom w:val="0"/>
          <w:divBdr>
            <w:top w:val="none" w:sz="0" w:space="0" w:color="auto"/>
            <w:left w:val="none" w:sz="0" w:space="0" w:color="auto"/>
            <w:bottom w:val="none" w:sz="0" w:space="0" w:color="auto"/>
            <w:right w:val="none" w:sz="0" w:space="0" w:color="auto"/>
          </w:divBdr>
        </w:div>
        <w:div w:id="660502575">
          <w:marLeft w:val="640"/>
          <w:marRight w:val="0"/>
          <w:marTop w:val="0"/>
          <w:marBottom w:val="0"/>
          <w:divBdr>
            <w:top w:val="none" w:sz="0" w:space="0" w:color="auto"/>
            <w:left w:val="none" w:sz="0" w:space="0" w:color="auto"/>
            <w:bottom w:val="none" w:sz="0" w:space="0" w:color="auto"/>
            <w:right w:val="none" w:sz="0" w:space="0" w:color="auto"/>
          </w:divBdr>
        </w:div>
        <w:div w:id="1262445211">
          <w:marLeft w:val="640"/>
          <w:marRight w:val="0"/>
          <w:marTop w:val="0"/>
          <w:marBottom w:val="0"/>
          <w:divBdr>
            <w:top w:val="none" w:sz="0" w:space="0" w:color="auto"/>
            <w:left w:val="none" w:sz="0" w:space="0" w:color="auto"/>
            <w:bottom w:val="none" w:sz="0" w:space="0" w:color="auto"/>
            <w:right w:val="none" w:sz="0" w:space="0" w:color="auto"/>
          </w:divBdr>
        </w:div>
        <w:div w:id="158429440">
          <w:marLeft w:val="640"/>
          <w:marRight w:val="0"/>
          <w:marTop w:val="0"/>
          <w:marBottom w:val="0"/>
          <w:divBdr>
            <w:top w:val="none" w:sz="0" w:space="0" w:color="auto"/>
            <w:left w:val="none" w:sz="0" w:space="0" w:color="auto"/>
            <w:bottom w:val="none" w:sz="0" w:space="0" w:color="auto"/>
            <w:right w:val="none" w:sz="0" w:space="0" w:color="auto"/>
          </w:divBdr>
        </w:div>
        <w:div w:id="988553446">
          <w:marLeft w:val="640"/>
          <w:marRight w:val="0"/>
          <w:marTop w:val="0"/>
          <w:marBottom w:val="0"/>
          <w:divBdr>
            <w:top w:val="none" w:sz="0" w:space="0" w:color="auto"/>
            <w:left w:val="none" w:sz="0" w:space="0" w:color="auto"/>
            <w:bottom w:val="none" w:sz="0" w:space="0" w:color="auto"/>
            <w:right w:val="none" w:sz="0" w:space="0" w:color="auto"/>
          </w:divBdr>
        </w:div>
        <w:div w:id="823358380">
          <w:marLeft w:val="640"/>
          <w:marRight w:val="0"/>
          <w:marTop w:val="0"/>
          <w:marBottom w:val="0"/>
          <w:divBdr>
            <w:top w:val="none" w:sz="0" w:space="0" w:color="auto"/>
            <w:left w:val="none" w:sz="0" w:space="0" w:color="auto"/>
            <w:bottom w:val="none" w:sz="0" w:space="0" w:color="auto"/>
            <w:right w:val="none" w:sz="0" w:space="0" w:color="auto"/>
          </w:divBdr>
        </w:div>
        <w:div w:id="709762825">
          <w:marLeft w:val="640"/>
          <w:marRight w:val="0"/>
          <w:marTop w:val="0"/>
          <w:marBottom w:val="0"/>
          <w:divBdr>
            <w:top w:val="none" w:sz="0" w:space="0" w:color="auto"/>
            <w:left w:val="none" w:sz="0" w:space="0" w:color="auto"/>
            <w:bottom w:val="none" w:sz="0" w:space="0" w:color="auto"/>
            <w:right w:val="none" w:sz="0" w:space="0" w:color="auto"/>
          </w:divBdr>
        </w:div>
        <w:div w:id="810946575">
          <w:marLeft w:val="640"/>
          <w:marRight w:val="0"/>
          <w:marTop w:val="0"/>
          <w:marBottom w:val="0"/>
          <w:divBdr>
            <w:top w:val="none" w:sz="0" w:space="0" w:color="auto"/>
            <w:left w:val="none" w:sz="0" w:space="0" w:color="auto"/>
            <w:bottom w:val="none" w:sz="0" w:space="0" w:color="auto"/>
            <w:right w:val="none" w:sz="0" w:space="0" w:color="auto"/>
          </w:divBdr>
        </w:div>
        <w:div w:id="583228469">
          <w:marLeft w:val="640"/>
          <w:marRight w:val="0"/>
          <w:marTop w:val="0"/>
          <w:marBottom w:val="0"/>
          <w:divBdr>
            <w:top w:val="none" w:sz="0" w:space="0" w:color="auto"/>
            <w:left w:val="none" w:sz="0" w:space="0" w:color="auto"/>
            <w:bottom w:val="none" w:sz="0" w:space="0" w:color="auto"/>
            <w:right w:val="none" w:sz="0" w:space="0" w:color="auto"/>
          </w:divBdr>
        </w:div>
        <w:div w:id="2083141591">
          <w:marLeft w:val="640"/>
          <w:marRight w:val="0"/>
          <w:marTop w:val="0"/>
          <w:marBottom w:val="0"/>
          <w:divBdr>
            <w:top w:val="none" w:sz="0" w:space="0" w:color="auto"/>
            <w:left w:val="none" w:sz="0" w:space="0" w:color="auto"/>
            <w:bottom w:val="none" w:sz="0" w:space="0" w:color="auto"/>
            <w:right w:val="none" w:sz="0" w:space="0" w:color="auto"/>
          </w:divBdr>
        </w:div>
        <w:div w:id="1521091471">
          <w:marLeft w:val="640"/>
          <w:marRight w:val="0"/>
          <w:marTop w:val="0"/>
          <w:marBottom w:val="0"/>
          <w:divBdr>
            <w:top w:val="none" w:sz="0" w:space="0" w:color="auto"/>
            <w:left w:val="none" w:sz="0" w:space="0" w:color="auto"/>
            <w:bottom w:val="none" w:sz="0" w:space="0" w:color="auto"/>
            <w:right w:val="none" w:sz="0" w:space="0" w:color="auto"/>
          </w:divBdr>
        </w:div>
        <w:div w:id="532184376">
          <w:marLeft w:val="640"/>
          <w:marRight w:val="0"/>
          <w:marTop w:val="0"/>
          <w:marBottom w:val="0"/>
          <w:divBdr>
            <w:top w:val="none" w:sz="0" w:space="0" w:color="auto"/>
            <w:left w:val="none" w:sz="0" w:space="0" w:color="auto"/>
            <w:bottom w:val="none" w:sz="0" w:space="0" w:color="auto"/>
            <w:right w:val="none" w:sz="0" w:space="0" w:color="auto"/>
          </w:divBdr>
        </w:div>
        <w:div w:id="138115276">
          <w:marLeft w:val="640"/>
          <w:marRight w:val="0"/>
          <w:marTop w:val="0"/>
          <w:marBottom w:val="0"/>
          <w:divBdr>
            <w:top w:val="none" w:sz="0" w:space="0" w:color="auto"/>
            <w:left w:val="none" w:sz="0" w:space="0" w:color="auto"/>
            <w:bottom w:val="none" w:sz="0" w:space="0" w:color="auto"/>
            <w:right w:val="none" w:sz="0" w:space="0" w:color="auto"/>
          </w:divBdr>
        </w:div>
        <w:div w:id="1570537411">
          <w:marLeft w:val="640"/>
          <w:marRight w:val="0"/>
          <w:marTop w:val="0"/>
          <w:marBottom w:val="0"/>
          <w:divBdr>
            <w:top w:val="none" w:sz="0" w:space="0" w:color="auto"/>
            <w:left w:val="none" w:sz="0" w:space="0" w:color="auto"/>
            <w:bottom w:val="none" w:sz="0" w:space="0" w:color="auto"/>
            <w:right w:val="none" w:sz="0" w:space="0" w:color="auto"/>
          </w:divBdr>
        </w:div>
        <w:div w:id="57560788">
          <w:marLeft w:val="640"/>
          <w:marRight w:val="0"/>
          <w:marTop w:val="0"/>
          <w:marBottom w:val="0"/>
          <w:divBdr>
            <w:top w:val="none" w:sz="0" w:space="0" w:color="auto"/>
            <w:left w:val="none" w:sz="0" w:space="0" w:color="auto"/>
            <w:bottom w:val="none" w:sz="0" w:space="0" w:color="auto"/>
            <w:right w:val="none" w:sz="0" w:space="0" w:color="auto"/>
          </w:divBdr>
        </w:div>
        <w:div w:id="789322422">
          <w:marLeft w:val="640"/>
          <w:marRight w:val="0"/>
          <w:marTop w:val="0"/>
          <w:marBottom w:val="0"/>
          <w:divBdr>
            <w:top w:val="none" w:sz="0" w:space="0" w:color="auto"/>
            <w:left w:val="none" w:sz="0" w:space="0" w:color="auto"/>
            <w:bottom w:val="none" w:sz="0" w:space="0" w:color="auto"/>
            <w:right w:val="none" w:sz="0" w:space="0" w:color="auto"/>
          </w:divBdr>
        </w:div>
        <w:div w:id="1008023718">
          <w:marLeft w:val="640"/>
          <w:marRight w:val="0"/>
          <w:marTop w:val="0"/>
          <w:marBottom w:val="0"/>
          <w:divBdr>
            <w:top w:val="none" w:sz="0" w:space="0" w:color="auto"/>
            <w:left w:val="none" w:sz="0" w:space="0" w:color="auto"/>
            <w:bottom w:val="none" w:sz="0" w:space="0" w:color="auto"/>
            <w:right w:val="none" w:sz="0" w:space="0" w:color="auto"/>
          </w:divBdr>
        </w:div>
        <w:div w:id="1168057188">
          <w:marLeft w:val="640"/>
          <w:marRight w:val="0"/>
          <w:marTop w:val="0"/>
          <w:marBottom w:val="0"/>
          <w:divBdr>
            <w:top w:val="none" w:sz="0" w:space="0" w:color="auto"/>
            <w:left w:val="none" w:sz="0" w:space="0" w:color="auto"/>
            <w:bottom w:val="none" w:sz="0" w:space="0" w:color="auto"/>
            <w:right w:val="none" w:sz="0" w:space="0" w:color="auto"/>
          </w:divBdr>
        </w:div>
        <w:div w:id="1145509725">
          <w:marLeft w:val="640"/>
          <w:marRight w:val="0"/>
          <w:marTop w:val="0"/>
          <w:marBottom w:val="0"/>
          <w:divBdr>
            <w:top w:val="none" w:sz="0" w:space="0" w:color="auto"/>
            <w:left w:val="none" w:sz="0" w:space="0" w:color="auto"/>
            <w:bottom w:val="none" w:sz="0" w:space="0" w:color="auto"/>
            <w:right w:val="none" w:sz="0" w:space="0" w:color="auto"/>
          </w:divBdr>
        </w:div>
        <w:div w:id="1237865463">
          <w:marLeft w:val="640"/>
          <w:marRight w:val="0"/>
          <w:marTop w:val="0"/>
          <w:marBottom w:val="0"/>
          <w:divBdr>
            <w:top w:val="none" w:sz="0" w:space="0" w:color="auto"/>
            <w:left w:val="none" w:sz="0" w:space="0" w:color="auto"/>
            <w:bottom w:val="none" w:sz="0" w:space="0" w:color="auto"/>
            <w:right w:val="none" w:sz="0" w:space="0" w:color="auto"/>
          </w:divBdr>
        </w:div>
        <w:div w:id="958486632">
          <w:marLeft w:val="640"/>
          <w:marRight w:val="0"/>
          <w:marTop w:val="0"/>
          <w:marBottom w:val="0"/>
          <w:divBdr>
            <w:top w:val="none" w:sz="0" w:space="0" w:color="auto"/>
            <w:left w:val="none" w:sz="0" w:space="0" w:color="auto"/>
            <w:bottom w:val="none" w:sz="0" w:space="0" w:color="auto"/>
            <w:right w:val="none" w:sz="0" w:space="0" w:color="auto"/>
          </w:divBdr>
        </w:div>
        <w:div w:id="994146055">
          <w:marLeft w:val="640"/>
          <w:marRight w:val="0"/>
          <w:marTop w:val="0"/>
          <w:marBottom w:val="0"/>
          <w:divBdr>
            <w:top w:val="none" w:sz="0" w:space="0" w:color="auto"/>
            <w:left w:val="none" w:sz="0" w:space="0" w:color="auto"/>
            <w:bottom w:val="none" w:sz="0" w:space="0" w:color="auto"/>
            <w:right w:val="none" w:sz="0" w:space="0" w:color="auto"/>
          </w:divBdr>
        </w:div>
        <w:div w:id="29845440">
          <w:marLeft w:val="640"/>
          <w:marRight w:val="0"/>
          <w:marTop w:val="0"/>
          <w:marBottom w:val="0"/>
          <w:divBdr>
            <w:top w:val="none" w:sz="0" w:space="0" w:color="auto"/>
            <w:left w:val="none" w:sz="0" w:space="0" w:color="auto"/>
            <w:bottom w:val="none" w:sz="0" w:space="0" w:color="auto"/>
            <w:right w:val="none" w:sz="0" w:space="0" w:color="auto"/>
          </w:divBdr>
        </w:div>
        <w:div w:id="1621915267">
          <w:marLeft w:val="640"/>
          <w:marRight w:val="0"/>
          <w:marTop w:val="0"/>
          <w:marBottom w:val="0"/>
          <w:divBdr>
            <w:top w:val="none" w:sz="0" w:space="0" w:color="auto"/>
            <w:left w:val="none" w:sz="0" w:space="0" w:color="auto"/>
            <w:bottom w:val="none" w:sz="0" w:space="0" w:color="auto"/>
            <w:right w:val="none" w:sz="0" w:space="0" w:color="auto"/>
          </w:divBdr>
        </w:div>
        <w:div w:id="415564727">
          <w:marLeft w:val="640"/>
          <w:marRight w:val="0"/>
          <w:marTop w:val="0"/>
          <w:marBottom w:val="0"/>
          <w:divBdr>
            <w:top w:val="none" w:sz="0" w:space="0" w:color="auto"/>
            <w:left w:val="none" w:sz="0" w:space="0" w:color="auto"/>
            <w:bottom w:val="none" w:sz="0" w:space="0" w:color="auto"/>
            <w:right w:val="none" w:sz="0" w:space="0" w:color="auto"/>
          </w:divBdr>
        </w:div>
        <w:div w:id="464546303">
          <w:marLeft w:val="640"/>
          <w:marRight w:val="0"/>
          <w:marTop w:val="0"/>
          <w:marBottom w:val="0"/>
          <w:divBdr>
            <w:top w:val="none" w:sz="0" w:space="0" w:color="auto"/>
            <w:left w:val="none" w:sz="0" w:space="0" w:color="auto"/>
            <w:bottom w:val="none" w:sz="0" w:space="0" w:color="auto"/>
            <w:right w:val="none" w:sz="0" w:space="0" w:color="auto"/>
          </w:divBdr>
        </w:div>
        <w:div w:id="51202859">
          <w:marLeft w:val="640"/>
          <w:marRight w:val="0"/>
          <w:marTop w:val="0"/>
          <w:marBottom w:val="0"/>
          <w:divBdr>
            <w:top w:val="none" w:sz="0" w:space="0" w:color="auto"/>
            <w:left w:val="none" w:sz="0" w:space="0" w:color="auto"/>
            <w:bottom w:val="none" w:sz="0" w:space="0" w:color="auto"/>
            <w:right w:val="none" w:sz="0" w:space="0" w:color="auto"/>
          </w:divBdr>
        </w:div>
        <w:div w:id="1581794177">
          <w:marLeft w:val="640"/>
          <w:marRight w:val="0"/>
          <w:marTop w:val="0"/>
          <w:marBottom w:val="0"/>
          <w:divBdr>
            <w:top w:val="none" w:sz="0" w:space="0" w:color="auto"/>
            <w:left w:val="none" w:sz="0" w:space="0" w:color="auto"/>
            <w:bottom w:val="none" w:sz="0" w:space="0" w:color="auto"/>
            <w:right w:val="none" w:sz="0" w:space="0" w:color="auto"/>
          </w:divBdr>
        </w:div>
        <w:div w:id="966547632">
          <w:marLeft w:val="640"/>
          <w:marRight w:val="0"/>
          <w:marTop w:val="0"/>
          <w:marBottom w:val="0"/>
          <w:divBdr>
            <w:top w:val="none" w:sz="0" w:space="0" w:color="auto"/>
            <w:left w:val="none" w:sz="0" w:space="0" w:color="auto"/>
            <w:bottom w:val="none" w:sz="0" w:space="0" w:color="auto"/>
            <w:right w:val="none" w:sz="0" w:space="0" w:color="auto"/>
          </w:divBdr>
        </w:div>
        <w:div w:id="138768893">
          <w:marLeft w:val="640"/>
          <w:marRight w:val="0"/>
          <w:marTop w:val="0"/>
          <w:marBottom w:val="0"/>
          <w:divBdr>
            <w:top w:val="none" w:sz="0" w:space="0" w:color="auto"/>
            <w:left w:val="none" w:sz="0" w:space="0" w:color="auto"/>
            <w:bottom w:val="none" w:sz="0" w:space="0" w:color="auto"/>
            <w:right w:val="none" w:sz="0" w:space="0" w:color="auto"/>
          </w:divBdr>
        </w:div>
        <w:div w:id="344090213">
          <w:marLeft w:val="640"/>
          <w:marRight w:val="0"/>
          <w:marTop w:val="0"/>
          <w:marBottom w:val="0"/>
          <w:divBdr>
            <w:top w:val="none" w:sz="0" w:space="0" w:color="auto"/>
            <w:left w:val="none" w:sz="0" w:space="0" w:color="auto"/>
            <w:bottom w:val="none" w:sz="0" w:space="0" w:color="auto"/>
            <w:right w:val="none" w:sz="0" w:space="0" w:color="auto"/>
          </w:divBdr>
        </w:div>
        <w:div w:id="1411658256">
          <w:marLeft w:val="640"/>
          <w:marRight w:val="0"/>
          <w:marTop w:val="0"/>
          <w:marBottom w:val="0"/>
          <w:divBdr>
            <w:top w:val="none" w:sz="0" w:space="0" w:color="auto"/>
            <w:left w:val="none" w:sz="0" w:space="0" w:color="auto"/>
            <w:bottom w:val="none" w:sz="0" w:space="0" w:color="auto"/>
            <w:right w:val="none" w:sz="0" w:space="0" w:color="auto"/>
          </w:divBdr>
        </w:div>
        <w:div w:id="900138288">
          <w:marLeft w:val="640"/>
          <w:marRight w:val="0"/>
          <w:marTop w:val="0"/>
          <w:marBottom w:val="0"/>
          <w:divBdr>
            <w:top w:val="none" w:sz="0" w:space="0" w:color="auto"/>
            <w:left w:val="none" w:sz="0" w:space="0" w:color="auto"/>
            <w:bottom w:val="none" w:sz="0" w:space="0" w:color="auto"/>
            <w:right w:val="none" w:sz="0" w:space="0" w:color="auto"/>
          </w:divBdr>
        </w:div>
        <w:div w:id="4402891">
          <w:marLeft w:val="640"/>
          <w:marRight w:val="0"/>
          <w:marTop w:val="0"/>
          <w:marBottom w:val="0"/>
          <w:divBdr>
            <w:top w:val="none" w:sz="0" w:space="0" w:color="auto"/>
            <w:left w:val="none" w:sz="0" w:space="0" w:color="auto"/>
            <w:bottom w:val="none" w:sz="0" w:space="0" w:color="auto"/>
            <w:right w:val="none" w:sz="0" w:space="0" w:color="auto"/>
          </w:divBdr>
        </w:div>
        <w:div w:id="1156263375">
          <w:marLeft w:val="640"/>
          <w:marRight w:val="0"/>
          <w:marTop w:val="0"/>
          <w:marBottom w:val="0"/>
          <w:divBdr>
            <w:top w:val="none" w:sz="0" w:space="0" w:color="auto"/>
            <w:left w:val="none" w:sz="0" w:space="0" w:color="auto"/>
            <w:bottom w:val="none" w:sz="0" w:space="0" w:color="auto"/>
            <w:right w:val="none" w:sz="0" w:space="0" w:color="auto"/>
          </w:divBdr>
        </w:div>
        <w:div w:id="1665936120">
          <w:marLeft w:val="640"/>
          <w:marRight w:val="0"/>
          <w:marTop w:val="0"/>
          <w:marBottom w:val="0"/>
          <w:divBdr>
            <w:top w:val="none" w:sz="0" w:space="0" w:color="auto"/>
            <w:left w:val="none" w:sz="0" w:space="0" w:color="auto"/>
            <w:bottom w:val="none" w:sz="0" w:space="0" w:color="auto"/>
            <w:right w:val="none" w:sz="0" w:space="0" w:color="auto"/>
          </w:divBdr>
        </w:div>
        <w:div w:id="76831815">
          <w:marLeft w:val="640"/>
          <w:marRight w:val="0"/>
          <w:marTop w:val="0"/>
          <w:marBottom w:val="0"/>
          <w:divBdr>
            <w:top w:val="none" w:sz="0" w:space="0" w:color="auto"/>
            <w:left w:val="none" w:sz="0" w:space="0" w:color="auto"/>
            <w:bottom w:val="none" w:sz="0" w:space="0" w:color="auto"/>
            <w:right w:val="none" w:sz="0" w:space="0" w:color="auto"/>
          </w:divBdr>
        </w:div>
        <w:div w:id="1073548836">
          <w:marLeft w:val="640"/>
          <w:marRight w:val="0"/>
          <w:marTop w:val="0"/>
          <w:marBottom w:val="0"/>
          <w:divBdr>
            <w:top w:val="none" w:sz="0" w:space="0" w:color="auto"/>
            <w:left w:val="none" w:sz="0" w:space="0" w:color="auto"/>
            <w:bottom w:val="none" w:sz="0" w:space="0" w:color="auto"/>
            <w:right w:val="none" w:sz="0" w:space="0" w:color="auto"/>
          </w:divBdr>
        </w:div>
        <w:div w:id="2008705407">
          <w:marLeft w:val="640"/>
          <w:marRight w:val="0"/>
          <w:marTop w:val="0"/>
          <w:marBottom w:val="0"/>
          <w:divBdr>
            <w:top w:val="none" w:sz="0" w:space="0" w:color="auto"/>
            <w:left w:val="none" w:sz="0" w:space="0" w:color="auto"/>
            <w:bottom w:val="none" w:sz="0" w:space="0" w:color="auto"/>
            <w:right w:val="none" w:sz="0" w:space="0" w:color="auto"/>
          </w:divBdr>
        </w:div>
        <w:div w:id="1581406930">
          <w:marLeft w:val="640"/>
          <w:marRight w:val="0"/>
          <w:marTop w:val="0"/>
          <w:marBottom w:val="0"/>
          <w:divBdr>
            <w:top w:val="none" w:sz="0" w:space="0" w:color="auto"/>
            <w:left w:val="none" w:sz="0" w:space="0" w:color="auto"/>
            <w:bottom w:val="none" w:sz="0" w:space="0" w:color="auto"/>
            <w:right w:val="none" w:sz="0" w:space="0" w:color="auto"/>
          </w:divBdr>
        </w:div>
        <w:div w:id="1046879899">
          <w:marLeft w:val="640"/>
          <w:marRight w:val="0"/>
          <w:marTop w:val="0"/>
          <w:marBottom w:val="0"/>
          <w:divBdr>
            <w:top w:val="none" w:sz="0" w:space="0" w:color="auto"/>
            <w:left w:val="none" w:sz="0" w:space="0" w:color="auto"/>
            <w:bottom w:val="none" w:sz="0" w:space="0" w:color="auto"/>
            <w:right w:val="none" w:sz="0" w:space="0" w:color="auto"/>
          </w:divBdr>
        </w:div>
        <w:div w:id="734935035">
          <w:marLeft w:val="640"/>
          <w:marRight w:val="0"/>
          <w:marTop w:val="0"/>
          <w:marBottom w:val="0"/>
          <w:divBdr>
            <w:top w:val="none" w:sz="0" w:space="0" w:color="auto"/>
            <w:left w:val="none" w:sz="0" w:space="0" w:color="auto"/>
            <w:bottom w:val="none" w:sz="0" w:space="0" w:color="auto"/>
            <w:right w:val="none" w:sz="0" w:space="0" w:color="auto"/>
          </w:divBdr>
        </w:div>
        <w:div w:id="941454748">
          <w:marLeft w:val="640"/>
          <w:marRight w:val="0"/>
          <w:marTop w:val="0"/>
          <w:marBottom w:val="0"/>
          <w:divBdr>
            <w:top w:val="none" w:sz="0" w:space="0" w:color="auto"/>
            <w:left w:val="none" w:sz="0" w:space="0" w:color="auto"/>
            <w:bottom w:val="none" w:sz="0" w:space="0" w:color="auto"/>
            <w:right w:val="none" w:sz="0" w:space="0" w:color="auto"/>
          </w:divBdr>
        </w:div>
        <w:div w:id="398092643">
          <w:marLeft w:val="640"/>
          <w:marRight w:val="0"/>
          <w:marTop w:val="0"/>
          <w:marBottom w:val="0"/>
          <w:divBdr>
            <w:top w:val="none" w:sz="0" w:space="0" w:color="auto"/>
            <w:left w:val="none" w:sz="0" w:space="0" w:color="auto"/>
            <w:bottom w:val="none" w:sz="0" w:space="0" w:color="auto"/>
            <w:right w:val="none" w:sz="0" w:space="0" w:color="auto"/>
          </w:divBdr>
        </w:div>
        <w:div w:id="638531100">
          <w:marLeft w:val="640"/>
          <w:marRight w:val="0"/>
          <w:marTop w:val="0"/>
          <w:marBottom w:val="0"/>
          <w:divBdr>
            <w:top w:val="none" w:sz="0" w:space="0" w:color="auto"/>
            <w:left w:val="none" w:sz="0" w:space="0" w:color="auto"/>
            <w:bottom w:val="none" w:sz="0" w:space="0" w:color="auto"/>
            <w:right w:val="none" w:sz="0" w:space="0" w:color="auto"/>
          </w:divBdr>
        </w:div>
        <w:div w:id="1774933104">
          <w:marLeft w:val="640"/>
          <w:marRight w:val="0"/>
          <w:marTop w:val="0"/>
          <w:marBottom w:val="0"/>
          <w:divBdr>
            <w:top w:val="none" w:sz="0" w:space="0" w:color="auto"/>
            <w:left w:val="none" w:sz="0" w:space="0" w:color="auto"/>
            <w:bottom w:val="none" w:sz="0" w:space="0" w:color="auto"/>
            <w:right w:val="none" w:sz="0" w:space="0" w:color="auto"/>
          </w:divBdr>
        </w:div>
        <w:div w:id="1659111716">
          <w:marLeft w:val="640"/>
          <w:marRight w:val="0"/>
          <w:marTop w:val="0"/>
          <w:marBottom w:val="0"/>
          <w:divBdr>
            <w:top w:val="none" w:sz="0" w:space="0" w:color="auto"/>
            <w:left w:val="none" w:sz="0" w:space="0" w:color="auto"/>
            <w:bottom w:val="none" w:sz="0" w:space="0" w:color="auto"/>
            <w:right w:val="none" w:sz="0" w:space="0" w:color="auto"/>
          </w:divBdr>
        </w:div>
        <w:div w:id="1057826895">
          <w:marLeft w:val="640"/>
          <w:marRight w:val="0"/>
          <w:marTop w:val="0"/>
          <w:marBottom w:val="0"/>
          <w:divBdr>
            <w:top w:val="none" w:sz="0" w:space="0" w:color="auto"/>
            <w:left w:val="none" w:sz="0" w:space="0" w:color="auto"/>
            <w:bottom w:val="none" w:sz="0" w:space="0" w:color="auto"/>
            <w:right w:val="none" w:sz="0" w:space="0" w:color="auto"/>
          </w:divBdr>
        </w:div>
        <w:div w:id="1809593747">
          <w:marLeft w:val="640"/>
          <w:marRight w:val="0"/>
          <w:marTop w:val="0"/>
          <w:marBottom w:val="0"/>
          <w:divBdr>
            <w:top w:val="none" w:sz="0" w:space="0" w:color="auto"/>
            <w:left w:val="none" w:sz="0" w:space="0" w:color="auto"/>
            <w:bottom w:val="none" w:sz="0" w:space="0" w:color="auto"/>
            <w:right w:val="none" w:sz="0" w:space="0" w:color="auto"/>
          </w:divBdr>
        </w:div>
        <w:div w:id="1562792486">
          <w:marLeft w:val="640"/>
          <w:marRight w:val="0"/>
          <w:marTop w:val="0"/>
          <w:marBottom w:val="0"/>
          <w:divBdr>
            <w:top w:val="none" w:sz="0" w:space="0" w:color="auto"/>
            <w:left w:val="none" w:sz="0" w:space="0" w:color="auto"/>
            <w:bottom w:val="none" w:sz="0" w:space="0" w:color="auto"/>
            <w:right w:val="none" w:sz="0" w:space="0" w:color="auto"/>
          </w:divBdr>
        </w:div>
        <w:div w:id="323363440">
          <w:marLeft w:val="640"/>
          <w:marRight w:val="0"/>
          <w:marTop w:val="0"/>
          <w:marBottom w:val="0"/>
          <w:divBdr>
            <w:top w:val="none" w:sz="0" w:space="0" w:color="auto"/>
            <w:left w:val="none" w:sz="0" w:space="0" w:color="auto"/>
            <w:bottom w:val="none" w:sz="0" w:space="0" w:color="auto"/>
            <w:right w:val="none" w:sz="0" w:space="0" w:color="auto"/>
          </w:divBdr>
        </w:div>
        <w:div w:id="892810360">
          <w:marLeft w:val="640"/>
          <w:marRight w:val="0"/>
          <w:marTop w:val="0"/>
          <w:marBottom w:val="0"/>
          <w:divBdr>
            <w:top w:val="none" w:sz="0" w:space="0" w:color="auto"/>
            <w:left w:val="none" w:sz="0" w:space="0" w:color="auto"/>
            <w:bottom w:val="none" w:sz="0" w:space="0" w:color="auto"/>
            <w:right w:val="none" w:sz="0" w:space="0" w:color="auto"/>
          </w:divBdr>
        </w:div>
        <w:div w:id="100078573">
          <w:marLeft w:val="640"/>
          <w:marRight w:val="0"/>
          <w:marTop w:val="0"/>
          <w:marBottom w:val="0"/>
          <w:divBdr>
            <w:top w:val="none" w:sz="0" w:space="0" w:color="auto"/>
            <w:left w:val="none" w:sz="0" w:space="0" w:color="auto"/>
            <w:bottom w:val="none" w:sz="0" w:space="0" w:color="auto"/>
            <w:right w:val="none" w:sz="0" w:space="0" w:color="auto"/>
          </w:divBdr>
        </w:div>
        <w:div w:id="1962422556">
          <w:marLeft w:val="640"/>
          <w:marRight w:val="0"/>
          <w:marTop w:val="0"/>
          <w:marBottom w:val="0"/>
          <w:divBdr>
            <w:top w:val="none" w:sz="0" w:space="0" w:color="auto"/>
            <w:left w:val="none" w:sz="0" w:space="0" w:color="auto"/>
            <w:bottom w:val="none" w:sz="0" w:space="0" w:color="auto"/>
            <w:right w:val="none" w:sz="0" w:space="0" w:color="auto"/>
          </w:divBdr>
        </w:div>
        <w:div w:id="151988487">
          <w:marLeft w:val="640"/>
          <w:marRight w:val="0"/>
          <w:marTop w:val="0"/>
          <w:marBottom w:val="0"/>
          <w:divBdr>
            <w:top w:val="none" w:sz="0" w:space="0" w:color="auto"/>
            <w:left w:val="none" w:sz="0" w:space="0" w:color="auto"/>
            <w:bottom w:val="none" w:sz="0" w:space="0" w:color="auto"/>
            <w:right w:val="none" w:sz="0" w:space="0" w:color="auto"/>
          </w:divBdr>
        </w:div>
        <w:div w:id="344937418">
          <w:marLeft w:val="640"/>
          <w:marRight w:val="0"/>
          <w:marTop w:val="0"/>
          <w:marBottom w:val="0"/>
          <w:divBdr>
            <w:top w:val="none" w:sz="0" w:space="0" w:color="auto"/>
            <w:left w:val="none" w:sz="0" w:space="0" w:color="auto"/>
            <w:bottom w:val="none" w:sz="0" w:space="0" w:color="auto"/>
            <w:right w:val="none" w:sz="0" w:space="0" w:color="auto"/>
          </w:divBdr>
        </w:div>
        <w:div w:id="2113164131">
          <w:marLeft w:val="640"/>
          <w:marRight w:val="0"/>
          <w:marTop w:val="0"/>
          <w:marBottom w:val="0"/>
          <w:divBdr>
            <w:top w:val="none" w:sz="0" w:space="0" w:color="auto"/>
            <w:left w:val="none" w:sz="0" w:space="0" w:color="auto"/>
            <w:bottom w:val="none" w:sz="0" w:space="0" w:color="auto"/>
            <w:right w:val="none" w:sz="0" w:space="0" w:color="auto"/>
          </w:divBdr>
        </w:div>
        <w:div w:id="584848466">
          <w:marLeft w:val="640"/>
          <w:marRight w:val="0"/>
          <w:marTop w:val="0"/>
          <w:marBottom w:val="0"/>
          <w:divBdr>
            <w:top w:val="none" w:sz="0" w:space="0" w:color="auto"/>
            <w:left w:val="none" w:sz="0" w:space="0" w:color="auto"/>
            <w:bottom w:val="none" w:sz="0" w:space="0" w:color="auto"/>
            <w:right w:val="none" w:sz="0" w:space="0" w:color="auto"/>
          </w:divBdr>
        </w:div>
        <w:div w:id="350297572">
          <w:marLeft w:val="640"/>
          <w:marRight w:val="0"/>
          <w:marTop w:val="0"/>
          <w:marBottom w:val="0"/>
          <w:divBdr>
            <w:top w:val="none" w:sz="0" w:space="0" w:color="auto"/>
            <w:left w:val="none" w:sz="0" w:space="0" w:color="auto"/>
            <w:bottom w:val="none" w:sz="0" w:space="0" w:color="auto"/>
            <w:right w:val="none" w:sz="0" w:space="0" w:color="auto"/>
          </w:divBdr>
        </w:div>
        <w:div w:id="1245726610">
          <w:marLeft w:val="640"/>
          <w:marRight w:val="0"/>
          <w:marTop w:val="0"/>
          <w:marBottom w:val="0"/>
          <w:divBdr>
            <w:top w:val="none" w:sz="0" w:space="0" w:color="auto"/>
            <w:left w:val="none" w:sz="0" w:space="0" w:color="auto"/>
            <w:bottom w:val="none" w:sz="0" w:space="0" w:color="auto"/>
            <w:right w:val="none" w:sz="0" w:space="0" w:color="auto"/>
          </w:divBdr>
        </w:div>
        <w:div w:id="1263876060">
          <w:marLeft w:val="640"/>
          <w:marRight w:val="0"/>
          <w:marTop w:val="0"/>
          <w:marBottom w:val="0"/>
          <w:divBdr>
            <w:top w:val="none" w:sz="0" w:space="0" w:color="auto"/>
            <w:left w:val="none" w:sz="0" w:space="0" w:color="auto"/>
            <w:bottom w:val="none" w:sz="0" w:space="0" w:color="auto"/>
            <w:right w:val="none" w:sz="0" w:space="0" w:color="auto"/>
          </w:divBdr>
        </w:div>
        <w:div w:id="202521138">
          <w:marLeft w:val="640"/>
          <w:marRight w:val="0"/>
          <w:marTop w:val="0"/>
          <w:marBottom w:val="0"/>
          <w:divBdr>
            <w:top w:val="none" w:sz="0" w:space="0" w:color="auto"/>
            <w:left w:val="none" w:sz="0" w:space="0" w:color="auto"/>
            <w:bottom w:val="none" w:sz="0" w:space="0" w:color="auto"/>
            <w:right w:val="none" w:sz="0" w:space="0" w:color="auto"/>
          </w:divBdr>
        </w:div>
        <w:div w:id="998776124">
          <w:marLeft w:val="640"/>
          <w:marRight w:val="0"/>
          <w:marTop w:val="0"/>
          <w:marBottom w:val="0"/>
          <w:divBdr>
            <w:top w:val="none" w:sz="0" w:space="0" w:color="auto"/>
            <w:left w:val="none" w:sz="0" w:space="0" w:color="auto"/>
            <w:bottom w:val="none" w:sz="0" w:space="0" w:color="auto"/>
            <w:right w:val="none" w:sz="0" w:space="0" w:color="auto"/>
          </w:divBdr>
        </w:div>
        <w:div w:id="336806276">
          <w:marLeft w:val="640"/>
          <w:marRight w:val="0"/>
          <w:marTop w:val="0"/>
          <w:marBottom w:val="0"/>
          <w:divBdr>
            <w:top w:val="none" w:sz="0" w:space="0" w:color="auto"/>
            <w:left w:val="none" w:sz="0" w:space="0" w:color="auto"/>
            <w:bottom w:val="none" w:sz="0" w:space="0" w:color="auto"/>
            <w:right w:val="none" w:sz="0" w:space="0" w:color="auto"/>
          </w:divBdr>
        </w:div>
        <w:div w:id="1852836681">
          <w:marLeft w:val="640"/>
          <w:marRight w:val="0"/>
          <w:marTop w:val="0"/>
          <w:marBottom w:val="0"/>
          <w:divBdr>
            <w:top w:val="none" w:sz="0" w:space="0" w:color="auto"/>
            <w:left w:val="none" w:sz="0" w:space="0" w:color="auto"/>
            <w:bottom w:val="none" w:sz="0" w:space="0" w:color="auto"/>
            <w:right w:val="none" w:sz="0" w:space="0" w:color="auto"/>
          </w:divBdr>
        </w:div>
        <w:div w:id="1960984876">
          <w:marLeft w:val="640"/>
          <w:marRight w:val="0"/>
          <w:marTop w:val="0"/>
          <w:marBottom w:val="0"/>
          <w:divBdr>
            <w:top w:val="none" w:sz="0" w:space="0" w:color="auto"/>
            <w:left w:val="none" w:sz="0" w:space="0" w:color="auto"/>
            <w:bottom w:val="none" w:sz="0" w:space="0" w:color="auto"/>
            <w:right w:val="none" w:sz="0" w:space="0" w:color="auto"/>
          </w:divBdr>
        </w:div>
        <w:div w:id="1161433044">
          <w:marLeft w:val="640"/>
          <w:marRight w:val="0"/>
          <w:marTop w:val="0"/>
          <w:marBottom w:val="0"/>
          <w:divBdr>
            <w:top w:val="none" w:sz="0" w:space="0" w:color="auto"/>
            <w:left w:val="none" w:sz="0" w:space="0" w:color="auto"/>
            <w:bottom w:val="none" w:sz="0" w:space="0" w:color="auto"/>
            <w:right w:val="none" w:sz="0" w:space="0" w:color="auto"/>
          </w:divBdr>
        </w:div>
        <w:div w:id="1175149633">
          <w:marLeft w:val="640"/>
          <w:marRight w:val="0"/>
          <w:marTop w:val="0"/>
          <w:marBottom w:val="0"/>
          <w:divBdr>
            <w:top w:val="none" w:sz="0" w:space="0" w:color="auto"/>
            <w:left w:val="none" w:sz="0" w:space="0" w:color="auto"/>
            <w:bottom w:val="none" w:sz="0" w:space="0" w:color="auto"/>
            <w:right w:val="none" w:sz="0" w:space="0" w:color="auto"/>
          </w:divBdr>
        </w:div>
        <w:div w:id="1343315654">
          <w:marLeft w:val="640"/>
          <w:marRight w:val="0"/>
          <w:marTop w:val="0"/>
          <w:marBottom w:val="0"/>
          <w:divBdr>
            <w:top w:val="none" w:sz="0" w:space="0" w:color="auto"/>
            <w:left w:val="none" w:sz="0" w:space="0" w:color="auto"/>
            <w:bottom w:val="none" w:sz="0" w:space="0" w:color="auto"/>
            <w:right w:val="none" w:sz="0" w:space="0" w:color="auto"/>
          </w:divBdr>
        </w:div>
        <w:div w:id="101338578">
          <w:marLeft w:val="640"/>
          <w:marRight w:val="0"/>
          <w:marTop w:val="0"/>
          <w:marBottom w:val="0"/>
          <w:divBdr>
            <w:top w:val="none" w:sz="0" w:space="0" w:color="auto"/>
            <w:left w:val="none" w:sz="0" w:space="0" w:color="auto"/>
            <w:bottom w:val="none" w:sz="0" w:space="0" w:color="auto"/>
            <w:right w:val="none" w:sz="0" w:space="0" w:color="auto"/>
          </w:divBdr>
        </w:div>
        <w:div w:id="124545391">
          <w:marLeft w:val="640"/>
          <w:marRight w:val="0"/>
          <w:marTop w:val="0"/>
          <w:marBottom w:val="0"/>
          <w:divBdr>
            <w:top w:val="none" w:sz="0" w:space="0" w:color="auto"/>
            <w:left w:val="none" w:sz="0" w:space="0" w:color="auto"/>
            <w:bottom w:val="none" w:sz="0" w:space="0" w:color="auto"/>
            <w:right w:val="none" w:sz="0" w:space="0" w:color="auto"/>
          </w:divBdr>
        </w:div>
        <w:div w:id="1801267485">
          <w:marLeft w:val="640"/>
          <w:marRight w:val="0"/>
          <w:marTop w:val="0"/>
          <w:marBottom w:val="0"/>
          <w:divBdr>
            <w:top w:val="none" w:sz="0" w:space="0" w:color="auto"/>
            <w:left w:val="none" w:sz="0" w:space="0" w:color="auto"/>
            <w:bottom w:val="none" w:sz="0" w:space="0" w:color="auto"/>
            <w:right w:val="none" w:sz="0" w:space="0" w:color="auto"/>
          </w:divBdr>
        </w:div>
        <w:div w:id="1164931806">
          <w:marLeft w:val="640"/>
          <w:marRight w:val="0"/>
          <w:marTop w:val="0"/>
          <w:marBottom w:val="0"/>
          <w:divBdr>
            <w:top w:val="none" w:sz="0" w:space="0" w:color="auto"/>
            <w:left w:val="none" w:sz="0" w:space="0" w:color="auto"/>
            <w:bottom w:val="none" w:sz="0" w:space="0" w:color="auto"/>
            <w:right w:val="none" w:sz="0" w:space="0" w:color="auto"/>
          </w:divBdr>
        </w:div>
        <w:div w:id="1574969069">
          <w:marLeft w:val="640"/>
          <w:marRight w:val="0"/>
          <w:marTop w:val="0"/>
          <w:marBottom w:val="0"/>
          <w:divBdr>
            <w:top w:val="none" w:sz="0" w:space="0" w:color="auto"/>
            <w:left w:val="none" w:sz="0" w:space="0" w:color="auto"/>
            <w:bottom w:val="none" w:sz="0" w:space="0" w:color="auto"/>
            <w:right w:val="none" w:sz="0" w:space="0" w:color="auto"/>
          </w:divBdr>
        </w:div>
        <w:div w:id="2060202780">
          <w:marLeft w:val="640"/>
          <w:marRight w:val="0"/>
          <w:marTop w:val="0"/>
          <w:marBottom w:val="0"/>
          <w:divBdr>
            <w:top w:val="none" w:sz="0" w:space="0" w:color="auto"/>
            <w:left w:val="none" w:sz="0" w:space="0" w:color="auto"/>
            <w:bottom w:val="none" w:sz="0" w:space="0" w:color="auto"/>
            <w:right w:val="none" w:sz="0" w:space="0" w:color="auto"/>
          </w:divBdr>
        </w:div>
        <w:div w:id="1437560968">
          <w:marLeft w:val="640"/>
          <w:marRight w:val="0"/>
          <w:marTop w:val="0"/>
          <w:marBottom w:val="0"/>
          <w:divBdr>
            <w:top w:val="none" w:sz="0" w:space="0" w:color="auto"/>
            <w:left w:val="none" w:sz="0" w:space="0" w:color="auto"/>
            <w:bottom w:val="none" w:sz="0" w:space="0" w:color="auto"/>
            <w:right w:val="none" w:sz="0" w:space="0" w:color="auto"/>
          </w:divBdr>
        </w:div>
        <w:div w:id="707489424">
          <w:marLeft w:val="640"/>
          <w:marRight w:val="0"/>
          <w:marTop w:val="0"/>
          <w:marBottom w:val="0"/>
          <w:divBdr>
            <w:top w:val="none" w:sz="0" w:space="0" w:color="auto"/>
            <w:left w:val="none" w:sz="0" w:space="0" w:color="auto"/>
            <w:bottom w:val="none" w:sz="0" w:space="0" w:color="auto"/>
            <w:right w:val="none" w:sz="0" w:space="0" w:color="auto"/>
          </w:divBdr>
        </w:div>
        <w:div w:id="1181312463">
          <w:marLeft w:val="640"/>
          <w:marRight w:val="0"/>
          <w:marTop w:val="0"/>
          <w:marBottom w:val="0"/>
          <w:divBdr>
            <w:top w:val="none" w:sz="0" w:space="0" w:color="auto"/>
            <w:left w:val="none" w:sz="0" w:space="0" w:color="auto"/>
            <w:bottom w:val="none" w:sz="0" w:space="0" w:color="auto"/>
            <w:right w:val="none" w:sz="0" w:space="0" w:color="auto"/>
          </w:divBdr>
        </w:div>
        <w:div w:id="1749309079">
          <w:marLeft w:val="640"/>
          <w:marRight w:val="0"/>
          <w:marTop w:val="0"/>
          <w:marBottom w:val="0"/>
          <w:divBdr>
            <w:top w:val="none" w:sz="0" w:space="0" w:color="auto"/>
            <w:left w:val="none" w:sz="0" w:space="0" w:color="auto"/>
            <w:bottom w:val="none" w:sz="0" w:space="0" w:color="auto"/>
            <w:right w:val="none" w:sz="0" w:space="0" w:color="auto"/>
          </w:divBdr>
        </w:div>
        <w:div w:id="4870262">
          <w:marLeft w:val="640"/>
          <w:marRight w:val="0"/>
          <w:marTop w:val="0"/>
          <w:marBottom w:val="0"/>
          <w:divBdr>
            <w:top w:val="none" w:sz="0" w:space="0" w:color="auto"/>
            <w:left w:val="none" w:sz="0" w:space="0" w:color="auto"/>
            <w:bottom w:val="none" w:sz="0" w:space="0" w:color="auto"/>
            <w:right w:val="none" w:sz="0" w:space="0" w:color="auto"/>
          </w:divBdr>
        </w:div>
        <w:div w:id="1404332792">
          <w:marLeft w:val="640"/>
          <w:marRight w:val="0"/>
          <w:marTop w:val="0"/>
          <w:marBottom w:val="0"/>
          <w:divBdr>
            <w:top w:val="none" w:sz="0" w:space="0" w:color="auto"/>
            <w:left w:val="none" w:sz="0" w:space="0" w:color="auto"/>
            <w:bottom w:val="none" w:sz="0" w:space="0" w:color="auto"/>
            <w:right w:val="none" w:sz="0" w:space="0" w:color="auto"/>
          </w:divBdr>
        </w:div>
        <w:div w:id="1331518677">
          <w:marLeft w:val="640"/>
          <w:marRight w:val="0"/>
          <w:marTop w:val="0"/>
          <w:marBottom w:val="0"/>
          <w:divBdr>
            <w:top w:val="none" w:sz="0" w:space="0" w:color="auto"/>
            <w:left w:val="none" w:sz="0" w:space="0" w:color="auto"/>
            <w:bottom w:val="none" w:sz="0" w:space="0" w:color="auto"/>
            <w:right w:val="none" w:sz="0" w:space="0" w:color="auto"/>
          </w:divBdr>
        </w:div>
        <w:div w:id="1983610195">
          <w:marLeft w:val="640"/>
          <w:marRight w:val="0"/>
          <w:marTop w:val="0"/>
          <w:marBottom w:val="0"/>
          <w:divBdr>
            <w:top w:val="none" w:sz="0" w:space="0" w:color="auto"/>
            <w:left w:val="none" w:sz="0" w:space="0" w:color="auto"/>
            <w:bottom w:val="none" w:sz="0" w:space="0" w:color="auto"/>
            <w:right w:val="none" w:sz="0" w:space="0" w:color="auto"/>
          </w:divBdr>
        </w:div>
        <w:div w:id="12538214">
          <w:marLeft w:val="640"/>
          <w:marRight w:val="0"/>
          <w:marTop w:val="0"/>
          <w:marBottom w:val="0"/>
          <w:divBdr>
            <w:top w:val="none" w:sz="0" w:space="0" w:color="auto"/>
            <w:left w:val="none" w:sz="0" w:space="0" w:color="auto"/>
            <w:bottom w:val="none" w:sz="0" w:space="0" w:color="auto"/>
            <w:right w:val="none" w:sz="0" w:space="0" w:color="auto"/>
          </w:divBdr>
        </w:div>
        <w:div w:id="1463112926">
          <w:marLeft w:val="640"/>
          <w:marRight w:val="0"/>
          <w:marTop w:val="0"/>
          <w:marBottom w:val="0"/>
          <w:divBdr>
            <w:top w:val="none" w:sz="0" w:space="0" w:color="auto"/>
            <w:left w:val="none" w:sz="0" w:space="0" w:color="auto"/>
            <w:bottom w:val="none" w:sz="0" w:space="0" w:color="auto"/>
            <w:right w:val="none" w:sz="0" w:space="0" w:color="auto"/>
          </w:divBdr>
        </w:div>
        <w:div w:id="1980263267">
          <w:marLeft w:val="640"/>
          <w:marRight w:val="0"/>
          <w:marTop w:val="0"/>
          <w:marBottom w:val="0"/>
          <w:divBdr>
            <w:top w:val="none" w:sz="0" w:space="0" w:color="auto"/>
            <w:left w:val="none" w:sz="0" w:space="0" w:color="auto"/>
            <w:bottom w:val="none" w:sz="0" w:space="0" w:color="auto"/>
            <w:right w:val="none" w:sz="0" w:space="0" w:color="auto"/>
          </w:divBdr>
        </w:div>
        <w:div w:id="1769081470">
          <w:marLeft w:val="640"/>
          <w:marRight w:val="0"/>
          <w:marTop w:val="0"/>
          <w:marBottom w:val="0"/>
          <w:divBdr>
            <w:top w:val="none" w:sz="0" w:space="0" w:color="auto"/>
            <w:left w:val="none" w:sz="0" w:space="0" w:color="auto"/>
            <w:bottom w:val="none" w:sz="0" w:space="0" w:color="auto"/>
            <w:right w:val="none" w:sz="0" w:space="0" w:color="auto"/>
          </w:divBdr>
        </w:div>
        <w:div w:id="194074698">
          <w:marLeft w:val="640"/>
          <w:marRight w:val="0"/>
          <w:marTop w:val="0"/>
          <w:marBottom w:val="0"/>
          <w:divBdr>
            <w:top w:val="none" w:sz="0" w:space="0" w:color="auto"/>
            <w:left w:val="none" w:sz="0" w:space="0" w:color="auto"/>
            <w:bottom w:val="none" w:sz="0" w:space="0" w:color="auto"/>
            <w:right w:val="none" w:sz="0" w:space="0" w:color="auto"/>
          </w:divBdr>
        </w:div>
        <w:div w:id="854419910">
          <w:marLeft w:val="640"/>
          <w:marRight w:val="0"/>
          <w:marTop w:val="0"/>
          <w:marBottom w:val="0"/>
          <w:divBdr>
            <w:top w:val="none" w:sz="0" w:space="0" w:color="auto"/>
            <w:left w:val="none" w:sz="0" w:space="0" w:color="auto"/>
            <w:bottom w:val="none" w:sz="0" w:space="0" w:color="auto"/>
            <w:right w:val="none" w:sz="0" w:space="0" w:color="auto"/>
          </w:divBdr>
        </w:div>
        <w:div w:id="1991010932">
          <w:marLeft w:val="640"/>
          <w:marRight w:val="0"/>
          <w:marTop w:val="0"/>
          <w:marBottom w:val="0"/>
          <w:divBdr>
            <w:top w:val="none" w:sz="0" w:space="0" w:color="auto"/>
            <w:left w:val="none" w:sz="0" w:space="0" w:color="auto"/>
            <w:bottom w:val="none" w:sz="0" w:space="0" w:color="auto"/>
            <w:right w:val="none" w:sz="0" w:space="0" w:color="auto"/>
          </w:divBdr>
        </w:div>
        <w:div w:id="474033344">
          <w:marLeft w:val="640"/>
          <w:marRight w:val="0"/>
          <w:marTop w:val="0"/>
          <w:marBottom w:val="0"/>
          <w:divBdr>
            <w:top w:val="none" w:sz="0" w:space="0" w:color="auto"/>
            <w:left w:val="none" w:sz="0" w:space="0" w:color="auto"/>
            <w:bottom w:val="none" w:sz="0" w:space="0" w:color="auto"/>
            <w:right w:val="none" w:sz="0" w:space="0" w:color="auto"/>
          </w:divBdr>
        </w:div>
        <w:div w:id="1656108782">
          <w:marLeft w:val="640"/>
          <w:marRight w:val="0"/>
          <w:marTop w:val="0"/>
          <w:marBottom w:val="0"/>
          <w:divBdr>
            <w:top w:val="none" w:sz="0" w:space="0" w:color="auto"/>
            <w:left w:val="none" w:sz="0" w:space="0" w:color="auto"/>
            <w:bottom w:val="none" w:sz="0" w:space="0" w:color="auto"/>
            <w:right w:val="none" w:sz="0" w:space="0" w:color="auto"/>
          </w:divBdr>
        </w:div>
        <w:div w:id="1665091063">
          <w:marLeft w:val="640"/>
          <w:marRight w:val="0"/>
          <w:marTop w:val="0"/>
          <w:marBottom w:val="0"/>
          <w:divBdr>
            <w:top w:val="none" w:sz="0" w:space="0" w:color="auto"/>
            <w:left w:val="none" w:sz="0" w:space="0" w:color="auto"/>
            <w:bottom w:val="none" w:sz="0" w:space="0" w:color="auto"/>
            <w:right w:val="none" w:sz="0" w:space="0" w:color="auto"/>
          </w:divBdr>
        </w:div>
        <w:div w:id="939947651">
          <w:marLeft w:val="640"/>
          <w:marRight w:val="0"/>
          <w:marTop w:val="0"/>
          <w:marBottom w:val="0"/>
          <w:divBdr>
            <w:top w:val="none" w:sz="0" w:space="0" w:color="auto"/>
            <w:left w:val="none" w:sz="0" w:space="0" w:color="auto"/>
            <w:bottom w:val="none" w:sz="0" w:space="0" w:color="auto"/>
            <w:right w:val="none" w:sz="0" w:space="0" w:color="auto"/>
          </w:divBdr>
        </w:div>
        <w:div w:id="733545197">
          <w:marLeft w:val="640"/>
          <w:marRight w:val="0"/>
          <w:marTop w:val="0"/>
          <w:marBottom w:val="0"/>
          <w:divBdr>
            <w:top w:val="none" w:sz="0" w:space="0" w:color="auto"/>
            <w:left w:val="none" w:sz="0" w:space="0" w:color="auto"/>
            <w:bottom w:val="none" w:sz="0" w:space="0" w:color="auto"/>
            <w:right w:val="none" w:sz="0" w:space="0" w:color="auto"/>
          </w:divBdr>
        </w:div>
        <w:div w:id="1418865241">
          <w:marLeft w:val="640"/>
          <w:marRight w:val="0"/>
          <w:marTop w:val="0"/>
          <w:marBottom w:val="0"/>
          <w:divBdr>
            <w:top w:val="none" w:sz="0" w:space="0" w:color="auto"/>
            <w:left w:val="none" w:sz="0" w:space="0" w:color="auto"/>
            <w:bottom w:val="none" w:sz="0" w:space="0" w:color="auto"/>
            <w:right w:val="none" w:sz="0" w:space="0" w:color="auto"/>
          </w:divBdr>
        </w:div>
        <w:div w:id="510146211">
          <w:marLeft w:val="640"/>
          <w:marRight w:val="0"/>
          <w:marTop w:val="0"/>
          <w:marBottom w:val="0"/>
          <w:divBdr>
            <w:top w:val="none" w:sz="0" w:space="0" w:color="auto"/>
            <w:left w:val="none" w:sz="0" w:space="0" w:color="auto"/>
            <w:bottom w:val="none" w:sz="0" w:space="0" w:color="auto"/>
            <w:right w:val="none" w:sz="0" w:space="0" w:color="auto"/>
          </w:divBdr>
        </w:div>
        <w:div w:id="659231276">
          <w:marLeft w:val="640"/>
          <w:marRight w:val="0"/>
          <w:marTop w:val="0"/>
          <w:marBottom w:val="0"/>
          <w:divBdr>
            <w:top w:val="none" w:sz="0" w:space="0" w:color="auto"/>
            <w:left w:val="none" w:sz="0" w:space="0" w:color="auto"/>
            <w:bottom w:val="none" w:sz="0" w:space="0" w:color="auto"/>
            <w:right w:val="none" w:sz="0" w:space="0" w:color="auto"/>
          </w:divBdr>
        </w:div>
        <w:div w:id="1028407310">
          <w:marLeft w:val="640"/>
          <w:marRight w:val="0"/>
          <w:marTop w:val="0"/>
          <w:marBottom w:val="0"/>
          <w:divBdr>
            <w:top w:val="none" w:sz="0" w:space="0" w:color="auto"/>
            <w:left w:val="none" w:sz="0" w:space="0" w:color="auto"/>
            <w:bottom w:val="none" w:sz="0" w:space="0" w:color="auto"/>
            <w:right w:val="none" w:sz="0" w:space="0" w:color="auto"/>
          </w:divBdr>
        </w:div>
        <w:div w:id="1706245539">
          <w:marLeft w:val="640"/>
          <w:marRight w:val="0"/>
          <w:marTop w:val="0"/>
          <w:marBottom w:val="0"/>
          <w:divBdr>
            <w:top w:val="none" w:sz="0" w:space="0" w:color="auto"/>
            <w:left w:val="none" w:sz="0" w:space="0" w:color="auto"/>
            <w:bottom w:val="none" w:sz="0" w:space="0" w:color="auto"/>
            <w:right w:val="none" w:sz="0" w:space="0" w:color="auto"/>
          </w:divBdr>
        </w:div>
        <w:div w:id="837236181">
          <w:marLeft w:val="640"/>
          <w:marRight w:val="0"/>
          <w:marTop w:val="0"/>
          <w:marBottom w:val="0"/>
          <w:divBdr>
            <w:top w:val="none" w:sz="0" w:space="0" w:color="auto"/>
            <w:left w:val="none" w:sz="0" w:space="0" w:color="auto"/>
            <w:bottom w:val="none" w:sz="0" w:space="0" w:color="auto"/>
            <w:right w:val="none" w:sz="0" w:space="0" w:color="auto"/>
          </w:divBdr>
        </w:div>
        <w:div w:id="1437869167">
          <w:marLeft w:val="640"/>
          <w:marRight w:val="0"/>
          <w:marTop w:val="0"/>
          <w:marBottom w:val="0"/>
          <w:divBdr>
            <w:top w:val="none" w:sz="0" w:space="0" w:color="auto"/>
            <w:left w:val="none" w:sz="0" w:space="0" w:color="auto"/>
            <w:bottom w:val="none" w:sz="0" w:space="0" w:color="auto"/>
            <w:right w:val="none" w:sz="0" w:space="0" w:color="auto"/>
          </w:divBdr>
        </w:div>
        <w:div w:id="1179734857">
          <w:marLeft w:val="640"/>
          <w:marRight w:val="0"/>
          <w:marTop w:val="0"/>
          <w:marBottom w:val="0"/>
          <w:divBdr>
            <w:top w:val="none" w:sz="0" w:space="0" w:color="auto"/>
            <w:left w:val="none" w:sz="0" w:space="0" w:color="auto"/>
            <w:bottom w:val="none" w:sz="0" w:space="0" w:color="auto"/>
            <w:right w:val="none" w:sz="0" w:space="0" w:color="auto"/>
          </w:divBdr>
        </w:div>
        <w:div w:id="790241815">
          <w:marLeft w:val="640"/>
          <w:marRight w:val="0"/>
          <w:marTop w:val="0"/>
          <w:marBottom w:val="0"/>
          <w:divBdr>
            <w:top w:val="none" w:sz="0" w:space="0" w:color="auto"/>
            <w:left w:val="none" w:sz="0" w:space="0" w:color="auto"/>
            <w:bottom w:val="none" w:sz="0" w:space="0" w:color="auto"/>
            <w:right w:val="none" w:sz="0" w:space="0" w:color="auto"/>
          </w:divBdr>
        </w:div>
        <w:div w:id="1825003140">
          <w:marLeft w:val="640"/>
          <w:marRight w:val="0"/>
          <w:marTop w:val="0"/>
          <w:marBottom w:val="0"/>
          <w:divBdr>
            <w:top w:val="none" w:sz="0" w:space="0" w:color="auto"/>
            <w:left w:val="none" w:sz="0" w:space="0" w:color="auto"/>
            <w:bottom w:val="none" w:sz="0" w:space="0" w:color="auto"/>
            <w:right w:val="none" w:sz="0" w:space="0" w:color="auto"/>
          </w:divBdr>
        </w:div>
        <w:div w:id="931399389">
          <w:marLeft w:val="640"/>
          <w:marRight w:val="0"/>
          <w:marTop w:val="0"/>
          <w:marBottom w:val="0"/>
          <w:divBdr>
            <w:top w:val="none" w:sz="0" w:space="0" w:color="auto"/>
            <w:left w:val="none" w:sz="0" w:space="0" w:color="auto"/>
            <w:bottom w:val="none" w:sz="0" w:space="0" w:color="auto"/>
            <w:right w:val="none" w:sz="0" w:space="0" w:color="auto"/>
          </w:divBdr>
        </w:div>
        <w:div w:id="1645817873">
          <w:marLeft w:val="640"/>
          <w:marRight w:val="0"/>
          <w:marTop w:val="0"/>
          <w:marBottom w:val="0"/>
          <w:divBdr>
            <w:top w:val="none" w:sz="0" w:space="0" w:color="auto"/>
            <w:left w:val="none" w:sz="0" w:space="0" w:color="auto"/>
            <w:bottom w:val="none" w:sz="0" w:space="0" w:color="auto"/>
            <w:right w:val="none" w:sz="0" w:space="0" w:color="auto"/>
          </w:divBdr>
        </w:div>
        <w:div w:id="535195289">
          <w:marLeft w:val="640"/>
          <w:marRight w:val="0"/>
          <w:marTop w:val="0"/>
          <w:marBottom w:val="0"/>
          <w:divBdr>
            <w:top w:val="none" w:sz="0" w:space="0" w:color="auto"/>
            <w:left w:val="none" w:sz="0" w:space="0" w:color="auto"/>
            <w:bottom w:val="none" w:sz="0" w:space="0" w:color="auto"/>
            <w:right w:val="none" w:sz="0" w:space="0" w:color="auto"/>
          </w:divBdr>
        </w:div>
        <w:div w:id="156500879">
          <w:marLeft w:val="640"/>
          <w:marRight w:val="0"/>
          <w:marTop w:val="0"/>
          <w:marBottom w:val="0"/>
          <w:divBdr>
            <w:top w:val="none" w:sz="0" w:space="0" w:color="auto"/>
            <w:left w:val="none" w:sz="0" w:space="0" w:color="auto"/>
            <w:bottom w:val="none" w:sz="0" w:space="0" w:color="auto"/>
            <w:right w:val="none" w:sz="0" w:space="0" w:color="auto"/>
          </w:divBdr>
        </w:div>
        <w:div w:id="217324838">
          <w:marLeft w:val="640"/>
          <w:marRight w:val="0"/>
          <w:marTop w:val="0"/>
          <w:marBottom w:val="0"/>
          <w:divBdr>
            <w:top w:val="none" w:sz="0" w:space="0" w:color="auto"/>
            <w:left w:val="none" w:sz="0" w:space="0" w:color="auto"/>
            <w:bottom w:val="none" w:sz="0" w:space="0" w:color="auto"/>
            <w:right w:val="none" w:sz="0" w:space="0" w:color="auto"/>
          </w:divBdr>
        </w:div>
        <w:div w:id="1424688860">
          <w:marLeft w:val="640"/>
          <w:marRight w:val="0"/>
          <w:marTop w:val="0"/>
          <w:marBottom w:val="0"/>
          <w:divBdr>
            <w:top w:val="none" w:sz="0" w:space="0" w:color="auto"/>
            <w:left w:val="none" w:sz="0" w:space="0" w:color="auto"/>
            <w:bottom w:val="none" w:sz="0" w:space="0" w:color="auto"/>
            <w:right w:val="none" w:sz="0" w:space="0" w:color="auto"/>
          </w:divBdr>
        </w:div>
        <w:div w:id="959724629">
          <w:marLeft w:val="640"/>
          <w:marRight w:val="0"/>
          <w:marTop w:val="0"/>
          <w:marBottom w:val="0"/>
          <w:divBdr>
            <w:top w:val="none" w:sz="0" w:space="0" w:color="auto"/>
            <w:left w:val="none" w:sz="0" w:space="0" w:color="auto"/>
            <w:bottom w:val="none" w:sz="0" w:space="0" w:color="auto"/>
            <w:right w:val="none" w:sz="0" w:space="0" w:color="auto"/>
          </w:divBdr>
        </w:div>
        <w:div w:id="596523305">
          <w:marLeft w:val="640"/>
          <w:marRight w:val="0"/>
          <w:marTop w:val="0"/>
          <w:marBottom w:val="0"/>
          <w:divBdr>
            <w:top w:val="none" w:sz="0" w:space="0" w:color="auto"/>
            <w:left w:val="none" w:sz="0" w:space="0" w:color="auto"/>
            <w:bottom w:val="none" w:sz="0" w:space="0" w:color="auto"/>
            <w:right w:val="none" w:sz="0" w:space="0" w:color="auto"/>
          </w:divBdr>
        </w:div>
        <w:div w:id="1649941349">
          <w:marLeft w:val="640"/>
          <w:marRight w:val="0"/>
          <w:marTop w:val="0"/>
          <w:marBottom w:val="0"/>
          <w:divBdr>
            <w:top w:val="none" w:sz="0" w:space="0" w:color="auto"/>
            <w:left w:val="none" w:sz="0" w:space="0" w:color="auto"/>
            <w:bottom w:val="none" w:sz="0" w:space="0" w:color="auto"/>
            <w:right w:val="none" w:sz="0" w:space="0" w:color="auto"/>
          </w:divBdr>
        </w:div>
        <w:div w:id="40791221">
          <w:marLeft w:val="640"/>
          <w:marRight w:val="0"/>
          <w:marTop w:val="0"/>
          <w:marBottom w:val="0"/>
          <w:divBdr>
            <w:top w:val="none" w:sz="0" w:space="0" w:color="auto"/>
            <w:left w:val="none" w:sz="0" w:space="0" w:color="auto"/>
            <w:bottom w:val="none" w:sz="0" w:space="0" w:color="auto"/>
            <w:right w:val="none" w:sz="0" w:space="0" w:color="auto"/>
          </w:divBdr>
        </w:div>
        <w:div w:id="2070031729">
          <w:marLeft w:val="640"/>
          <w:marRight w:val="0"/>
          <w:marTop w:val="0"/>
          <w:marBottom w:val="0"/>
          <w:divBdr>
            <w:top w:val="none" w:sz="0" w:space="0" w:color="auto"/>
            <w:left w:val="none" w:sz="0" w:space="0" w:color="auto"/>
            <w:bottom w:val="none" w:sz="0" w:space="0" w:color="auto"/>
            <w:right w:val="none" w:sz="0" w:space="0" w:color="auto"/>
          </w:divBdr>
        </w:div>
        <w:div w:id="1264607431">
          <w:marLeft w:val="640"/>
          <w:marRight w:val="0"/>
          <w:marTop w:val="0"/>
          <w:marBottom w:val="0"/>
          <w:divBdr>
            <w:top w:val="none" w:sz="0" w:space="0" w:color="auto"/>
            <w:left w:val="none" w:sz="0" w:space="0" w:color="auto"/>
            <w:bottom w:val="none" w:sz="0" w:space="0" w:color="auto"/>
            <w:right w:val="none" w:sz="0" w:space="0" w:color="auto"/>
          </w:divBdr>
        </w:div>
        <w:div w:id="1745100088">
          <w:marLeft w:val="640"/>
          <w:marRight w:val="0"/>
          <w:marTop w:val="0"/>
          <w:marBottom w:val="0"/>
          <w:divBdr>
            <w:top w:val="none" w:sz="0" w:space="0" w:color="auto"/>
            <w:left w:val="none" w:sz="0" w:space="0" w:color="auto"/>
            <w:bottom w:val="none" w:sz="0" w:space="0" w:color="auto"/>
            <w:right w:val="none" w:sz="0" w:space="0" w:color="auto"/>
          </w:divBdr>
        </w:div>
        <w:div w:id="8913275">
          <w:marLeft w:val="640"/>
          <w:marRight w:val="0"/>
          <w:marTop w:val="0"/>
          <w:marBottom w:val="0"/>
          <w:divBdr>
            <w:top w:val="none" w:sz="0" w:space="0" w:color="auto"/>
            <w:left w:val="none" w:sz="0" w:space="0" w:color="auto"/>
            <w:bottom w:val="none" w:sz="0" w:space="0" w:color="auto"/>
            <w:right w:val="none" w:sz="0" w:space="0" w:color="auto"/>
          </w:divBdr>
        </w:div>
        <w:div w:id="1283000952">
          <w:marLeft w:val="640"/>
          <w:marRight w:val="0"/>
          <w:marTop w:val="0"/>
          <w:marBottom w:val="0"/>
          <w:divBdr>
            <w:top w:val="none" w:sz="0" w:space="0" w:color="auto"/>
            <w:left w:val="none" w:sz="0" w:space="0" w:color="auto"/>
            <w:bottom w:val="none" w:sz="0" w:space="0" w:color="auto"/>
            <w:right w:val="none" w:sz="0" w:space="0" w:color="auto"/>
          </w:divBdr>
        </w:div>
        <w:div w:id="660085232">
          <w:marLeft w:val="640"/>
          <w:marRight w:val="0"/>
          <w:marTop w:val="0"/>
          <w:marBottom w:val="0"/>
          <w:divBdr>
            <w:top w:val="none" w:sz="0" w:space="0" w:color="auto"/>
            <w:left w:val="none" w:sz="0" w:space="0" w:color="auto"/>
            <w:bottom w:val="none" w:sz="0" w:space="0" w:color="auto"/>
            <w:right w:val="none" w:sz="0" w:space="0" w:color="auto"/>
          </w:divBdr>
        </w:div>
        <w:div w:id="211188858">
          <w:marLeft w:val="640"/>
          <w:marRight w:val="0"/>
          <w:marTop w:val="0"/>
          <w:marBottom w:val="0"/>
          <w:divBdr>
            <w:top w:val="none" w:sz="0" w:space="0" w:color="auto"/>
            <w:left w:val="none" w:sz="0" w:space="0" w:color="auto"/>
            <w:bottom w:val="none" w:sz="0" w:space="0" w:color="auto"/>
            <w:right w:val="none" w:sz="0" w:space="0" w:color="auto"/>
          </w:divBdr>
        </w:div>
        <w:div w:id="2004887671">
          <w:marLeft w:val="640"/>
          <w:marRight w:val="0"/>
          <w:marTop w:val="0"/>
          <w:marBottom w:val="0"/>
          <w:divBdr>
            <w:top w:val="none" w:sz="0" w:space="0" w:color="auto"/>
            <w:left w:val="none" w:sz="0" w:space="0" w:color="auto"/>
            <w:bottom w:val="none" w:sz="0" w:space="0" w:color="auto"/>
            <w:right w:val="none" w:sz="0" w:space="0" w:color="auto"/>
          </w:divBdr>
        </w:div>
        <w:div w:id="1744984022">
          <w:marLeft w:val="640"/>
          <w:marRight w:val="0"/>
          <w:marTop w:val="0"/>
          <w:marBottom w:val="0"/>
          <w:divBdr>
            <w:top w:val="none" w:sz="0" w:space="0" w:color="auto"/>
            <w:left w:val="none" w:sz="0" w:space="0" w:color="auto"/>
            <w:bottom w:val="none" w:sz="0" w:space="0" w:color="auto"/>
            <w:right w:val="none" w:sz="0" w:space="0" w:color="auto"/>
          </w:divBdr>
        </w:div>
        <w:div w:id="1402026778">
          <w:marLeft w:val="640"/>
          <w:marRight w:val="0"/>
          <w:marTop w:val="0"/>
          <w:marBottom w:val="0"/>
          <w:divBdr>
            <w:top w:val="none" w:sz="0" w:space="0" w:color="auto"/>
            <w:left w:val="none" w:sz="0" w:space="0" w:color="auto"/>
            <w:bottom w:val="none" w:sz="0" w:space="0" w:color="auto"/>
            <w:right w:val="none" w:sz="0" w:space="0" w:color="auto"/>
          </w:divBdr>
        </w:div>
        <w:div w:id="2132241795">
          <w:marLeft w:val="640"/>
          <w:marRight w:val="0"/>
          <w:marTop w:val="0"/>
          <w:marBottom w:val="0"/>
          <w:divBdr>
            <w:top w:val="none" w:sz="0" w:space="0" w:color="auto"/>
            <w:left w:val="none" w:sz="0" w:space="0" w:color="auto"/>
            <w:bottom w:val="none" w:sz="0" w:space="0" w:color="auto"/>
            <w:right w:val="none" w:sz="0" w:space="0" w:color="auto"/>
          </w:divBdr>
        </w:div>
        <w:div w:id="1559248415">
          <w:marLeft w:val="640"/>
          <w:marRight w:val="0"/>
          <w:marTop w:val="0"/>
          <w:marBottom w:val="0"/>
          <w:divBdr>
            <w:top w:val="none" w:sz="0" w:space="0" w:color="auto"/>
            <w:left w:val="none" w:sz="0" w:space="0" w:color="auto"/>
            <w:bottom w:val="none" w:sz="0" w:space="0" w:color="auto"/>
            <w:right w:val="none" w:sz="0" w:space="0" w:color="auto"/>
          </w:divBdr>
        </w:div>
        <w:div w:id="909194185">
          <w:marLeft w:val="640"/>
          <w:marRight w:val="0"/>
          <w:marTop w:val="0"/>
          <w:marBottom w:val="0"/>
          <w:divBdr>
            <w:top w:val="none" w:sz="0" w:space="0" w:color="auto"/>
            <w:left w:val="none" w:sz="0" w:space="0" w:color="auto"/>
            <w:bottom w:val="none" w:sz="0" w:space="0" w:color="auto"/>
            <w:right w:val="none" w:sz="0" w:space="0" w:color="auto"/>
          </w:divBdr>
        </w:div>
        <w:div w:id="1316177689">
          <w:marLeft w:val="640"/>
          <w:marRight w:val="0"/>
          <w:marTop w:val="0"/>
          <w:marBottom w:val="0"/>
          <w:divBdr>
            <w:top w:val="none" w:sz="0" w:space="0" w:color="auto"/>
            <w:left w:val="none" w:sz="0" w:space="0" w:color="auto"/>
            <w:bottom w:val="none" w:sz="0" w:space="0" w:color="auto"/>
            <w:right w:val="none" w:sz="0" w:space="0" w:color="auto"/>
          </w:divBdr>
        </w:div>
        <w:div w:id="476264295">
          <w:marLeft w:val="640"/>
          <w:marRight w:val="0"/>
          <w:marTop w:val="0"/>
          <w:marBottom w:val="0"/>
          <w:divBdr>
            <w:top w:val="none" w:sz="0" w:space="0" w:color="auto"/>
            <w:left w:val="none" w:sz="0" w:space="0" w:color="auto"/>
            <w:bottom w:val="none" w:sz="0" w:space="0" w:color="auto"/>
            <w:right w:val="none" w:sz="0" w:space="0" w:color="auto"/>
          </w:divBdr>
        </w:div>
        <w:div w:id="1952349403">
          <w:marLeft w:val="640"/>
          <w:marRight w:val="0"/>
          <w:marTop w:val="0"/>
          <w:marBottom w:val="0"/>
          <w:divBdr>
            <w:top w:val="none" w:sz="0" w:space="0" w:color="auto"/>
            <w:left w:val="none" w:sz="0" w:space="0" w:color="auto"/>
            <w:bottom w:val="none" w:sz="0" w:space="0" w:color="auto"/>
            <w:right w:val="none" w:sz="0" w:space="0" w:color="auto"/>
          </w:divBdr>
        </w:div>
        <w:div w:id="269318834">
          <w:marLeft w:val="640"/>
          <w:marRight w:val="0"/>
          <w:marTop w:val="0"/>
          <w:marBottom w:val="0"/>
          <w:divBdr>
            <w:top w:val="none" w:sz="0" w:space="0" w:color="auto"/>
            <w:left w:val="none" w:sz="0" w:space="0" w:color="auto"/>
            <w:bottom w:val="none" w:sz="0" w:space="0" w:color="auto"/>
            <w:right w:val="none" w:sz="0" w:space="0" w:color="auto"/>
          </w:divBdr>
        </w:div>
        <w:div w:id="826554067">
          <w:marLeft w:val="640"/>
          <w:marRight w:val="0"/>
          <w:marTop w:val="0"/>
          <w:marBottom w:val="0"/>
          <w:divBdr>
            <w:top w:val="none" w:sz="0" w:space="0" w:color="auto"/>
            <w:left w:val="none" w:sz="0" w:space="0" w:color="auto"/>
            <w:bottom w:val="none" w:sz="0" w:space="0" w:color="auto"/>
            <w:right w:val="none" w:sz="0" w:space="0" w:color="auto"/>
          </w:divBdr>
        </w:div>
        <w:div w:id="1702898600">
          <w:marLeft w:val="640"/>
          <w:marRight w:val="0"/>
          <w:marTop w:val="0"/>
          <w:marBottom w:val="0"/>
          <w:divBdr>
            <w:top w:val="none" w:sz="0" w:space="0" w:color="auto"/>
            <w:left w:val="none" w:sz="0" w:space="0" w:color="auto"/>
            <w:bottom w:val="none" w:sz="0" w:space="0" w:color="auto"/>
            <w:right w:val="none" w:sz="0" w:space="0" w:color="auto"/>
          </w:divBdr>
        </w:div>
        <w:div w:id="1609119402">
          <w:marLeft w:val="640"/>
          <w:marRight w:val="0"/>
          <w:marTop w:val="0"/>
          <w:marBottom w:val="0"/>
          <w:divBdr>
            <w:top w:val="none" w:sz="0" w:space="0" w:color="auto"/>
            <w:left w:val="none" w:sz="0" w:space="0" w:color="auto"/>
            <w:bottom w:val="none" w:sz="0" w:space="0" w:color="auto"/>
            <w:right w:val="none" w:sz="0" w:space="0" w:color="auto"/>
          </w:divBdr>
        </w:div>
        <w:div w:id="754013630">
          <w:marLeft w:val="640"/>
          <w:marRight w:val="0"/>
          <w:marTop w:val="0"/>
          <w:marBottom w:val="0"/>
          <w:divBdr>
            <w:top w:val="none" w:sz="0" w:space="0" w:color="auto"/>
            <w:left w:val="none" w:sz="0" w:space="0" w:color="auto"/>
            <w:bottom w:val="none" w:sz="0" w:space="0" w:color="auto"/>
            <w:right w:val="none" w:sz="0" w:space="0" w:color="auto"/>
          </w:divBdr>
        </w:div>
        <w:div w:id="1765834649">
          <w:marLeft w:val="640"/>
          <w:marRight w:val="0"/>
          <w:marTop w:val="0"/>
          <w:marBottom w:val="0"/>
          <w:divBdr>
            <w:top w:val="none" w:sz="0" w:space="0" w:color="auto"/>
            <w:left w:val="none" w:sz="0" w:space="0" w:color="auto"/>
            <w:bottom w:val="none" w:sz="0" w:space="0" w:color="auto"/>
            <w:right w:val="none" w:sz="0" w:space="0" w:color="auto"/>
          </w:divBdr>
        </w:div>
        <w:div w:id="901061167">
          <w:marLeft w:val="640"/>
          <w:marRight w:val="0"/>
          <w:marTop w:val="0"/>
          <w:marBottom w:val="0"/>
          <w:divBdr>
            <w:top w:val="none" w:sz="0" w:space="0" w:color="auto"/>
            <w:left w:val="none" w:sz="0" w:space="0" w:color="auto"/>
            <w:bottom w:val="none" w:sz="0" w:space="0" w:color="auto"/>
            <w:right w:val="none" w:sz="0" w:space="0" w:color="auto"/>
          </w:divBdr>
        </w:div>
        <w:div w:id="102118909">
          <w:marLeft w:val="640"/>
          <w:marRight w:val="0"/>
          <w:marTop w:val="0"/>
          <w:marBottom w:val="0"/>
          <w:divBdr>
            <w:top w:val="none" w:sz="0" w:space="0" w:color="auto"/>
            <w:left w:val="none" w:sz="0" w:space="0" w:color="auto"/>
            <w:bottom w:val="none" w:sz="0" w:space="0" w:color="auto"/>
            <w:right w:val="none" w:sz="0" w:space="0" w:color="auto"/>
          </w:divBdr>
        </w:div>
        <w:div w:id="1110663030">
          <w:marLeft w:val="640"/>
          <w:marRight w:val="0"/>
          <w:marTop w:val="0"/>
          <w:marBottom w:val="0"/>
          <w:divBdr>
            <w:top w:val="none" w:sz="0" w:space="0" w:color="auto"/>
            <w:left w:val="none" w:sz="0" w:space="0" w:color="auto"/>
            <w:bottom w:val="none" w:sz="0" w:space="0" w:color="auto"/>
            <w:right w:val="none" w:sz="0" w:space="0" w:color="auto"/>
          </w:divBdr>
        </w:div>
        <w:div w:id="1237012071">
          <w:marLeft w:val="640"/>
          <w:marRight w:val="0"/>
          <w:marTop w:val="0"/>
          <w:marBottom w:val="0"/>
          <w:divBdr>
            <w:top w:val="none" w:sz="0" w:space="0" w:color="auto"/>
            <w:left w:val="none" w:sz="0" w:space="0" w:color="auto"/>
            <w:bottom w:val="none" w:sz="0" w:space="0" w:color="auto"/>
            <w:right w:val="none" w:sz="0" w:space="0" w:color="auto"/>
          </w:divBdr>
        </w:div>
        <w:div w:id="1510094771">
          <w:marLeft w:val="640"/>
          <w:marRight w:val="0"/>
          <w:marTop w:val="0"/>
          <w:marBottom w:val="0"/>
          <w:divBdr>
            <w:top w:val="none" w:sz="0" w:space="0" w:color="auto"/>
            <w:left w:val="none" w:sz="0" w:space="0" w:color="auto"/>
            <w:bottom w:val="none" w:sz="0" w:space="0" w:color="auto"/>
            <w:right w:val="none" w:sz="0" w:space="0" w:color="auto"/>
          </w:divBdr>
        </w:div>
        <w:div w:id="1401171657">
          <w:marLeft w:val="640"/>
          <w:marRight w:val="0"/>
          <w:marTop w:val="0"/>
          <w:marBottom w:val="0"/>
          <w:divBdr>
            <w:top w:val="none" w:sz="0" w:space="0" w:color="auto"/>
            <w:left w:val="none" w:sz="0" w:space="0" w:color="auto"/>
            <w:bottom w:val="none" w:sz="0" w:space="0" w:color="auto"/>
            <w:right w:val="none" w:sz="0" w:space="0" w:color="auto"/>
          </w:divBdr>
        </w:div>
        <w:div w:id="1608081677">
          <w:marLeft w:val="640"/>
          <w:marRight w:val="0"/>
          <w:marTop w:val="0"/>
          <w:marBottom w:val="0"/>
          <w:divBdr>
            <w:top w:val="none" w:sz="0" w:space="0" w:color="auto"/>
            <w:left w:val="none" w:sz="0" w:space="0" w:color="auto"/>
            <w:bottom w:val="none" w:sz="0" w:space="0" w:color="auto"/>
            <w:right w:val="none" w:sz="0" w:space="0" w:color="auto"/>
          </w:divBdr>
        </w:div>
        <w:div w:id="1736734812">
          <w:marLeft w:val="640"/>
          <w:marRight w:val="0"/>
          <w:marTop w:val="0"/>
          <w:marBottom w:val="0"/>
          <w:divBdr>
            <w:top w:val="none" w:sz="0" w:space="0" w:color="auto"/>
            <w:left w:val="none" w:sz="0" w:space="0" w:color="auto"/>
            <w:bottom w:val="none" w:sz="0" w:space="0" w:color="auto"/>
            <w:right w:val="none" w:sz="0" w:space="0" w:color="auto"/>
          </w:divBdr>
        </w:div>
        <w:div w:id="236016742">
          <w:marLeft w:val="640"/>
          <w:marRight w:val="0"/>
          <w:marTop w:val="0"/>
          <w:marBottom w:val="0"/>
          <w:divBdr>
            <w:top w:val="none" w:sz="0" w:space="0" w:color="auto"/>
            <w:left w:val="none" w:sz="0" w:space="0" w:color="auto"/>
            <w:bottom w:val="none" w:sz="0" w:space="0" w:color="auto"/>
            <w:right w:val="none" w:sz="0" w:space="0" w:color="auto"/>
          </w:divBdr>
        </w:div>
        <w:div w:id="1786731246">
          <w:marLeft w:val="640"/>
          <w:marRight w:val="0"/>
          <w:marTop w:val="0"/>
          <w:marBottom w:val="0"/>
          <w:divBdr>
            <w:top w:val="none" w:sz="0" w:space="0" w:color="auto"/>
            <w:left w:val="none" w:sz="0" w:space="0" w:color="auto"/>
            <w:bottom w:val="none" w:sz="0" w:space="0" w:color="auto"/>
            <w:right w:val="none" w:sz="0" w:space="0" w:color="auto"/>
          </w:divBdr>
        </w:div>
        <w:div w:id="2011984176">
          <w:marLeft w:val="640"/>
          <w:marRight w:val="0"/>
          <w:marTop w:val="0"/>
          <w:marBottom w:val="0"/>
          <w:divBdr>
            <w:top w:val="none" w:sz="0" w:space="0" w:color="auto"/>
            <w:left w:val="none" w:sz="0" w:space="0" w:color="auto"/>
            <w:bottom w:val="none" w:sz="0" w:space="0" w:color="auto"/>
            <w:right w:val="none" w:sz="0" w:space="0" w:color="auto"/>
          </w:divBdr>
        </w:div>
        <w:div w:id="1820347399">
          <w:marLeft w:val="640"/>
          <w:marRight w:val="0"/>
          <w:marTop w:val="0"/>
          <w:marBottom w:val="0"/>
          <w:divBdr>
            <w:top w:val="none" w:sz="0" w:space="0" w:color="auto"/>
            <w:left w:val="none" w:sz="0" w:space="0" w:color="auto"/>
            <w:bottom w:val="none" w:sz="0" w:space="0" w:color="auto"/>
            <w:right w:val="none" w:sz="0" w:space="0" w:color="auto"/>
          </w:divBdr>
        </w:div>
        <w:div w:id="1470633232">
          <w:marLeft w:val="640"/>
          <w:marRight w:val="0"/>
          <w:marTop w:val="0"/>
          <w:marBottom w:val="0"/>
          <w:divBdr>
            <w:top w:val="none" w:sz="0" w:space="0" w:color="auto"/>
            <w:left w:val="none" w:sz="0" w:space="0" w:color="auto"/>
            <w:bottom w:val="none" w:sz="0" w:space="0" w:color="auto"/>
            <w:right w:val="none" w:sz="0" w:space="0" w:color="auto"/>
          </w:divBdr>
        </w:div>
        <w:div w:id="666127730">
          <w:marLeft w:val="640"/>
          <w:marRight w:val="0"/>
          <w:marTop w:val="0"/>
          <w:marBottom w:val="0"/>
          <w:divBdr>
            <w:top w:val="none" w:sz="0" w:space="0" w:color="auto"/>
            <w:left w:val="none" w:sz="0" w:space="0" w:color="auto"/>
            <w:bottom w:val="none" w:sz="0" w:space="0" w:color="auto"/>
            <w:right w:val="none" w:sz="0" w:space="0" w:color="auto"/>
          </w:divBdr>
        </w:div>
        <w:div w:id="611865023">
          <w:marLeft w:val="640"/>
          <w:marRight w:val="0"/>
          <w:marTop w:val="0"/>
          <w:marBottom w:val="0"/>
          <w:divBdr>
            <w:top w:val="none" w:sz="0" w:space="0" w:color="auto"/>
            <w:left w:val="none" w:sz="0" w:space="0" w:color="auto"/>
            <w:bottom w:val="none" w:sz="0" w:space="0" w:color="auto"/>
            <w:right w:val="none" w:sz="0" w:space="0" w:color="auto"/>
          </w:divBdr>
        </w:div>
        <w:div w:id="920069182">
          <w:marLeft w:val="640"/>
          <w:marRight w:val="0"/>
          <w:marTop w:val="0"/>
          <w:marBottom w:val="0"/>
          <w:divBdr>
            <w:top w:val="none" w:sz="0" w:space="0" w:color="auto"/>
            <w:left w:val="none" w:sz="0" w:space="0" w:color="auto"/>
            <w:bottom w:val="none" w:sz="0" w:space="0" w:color="auto"/>
            <w:right w:val="none" w:sz="0" w:space="0" w:color="auto"/>
          </w:divBdr>
        </w:div>
        <w:div w:id="1695304701">
          <w:marLeft w:val="640"/>
          <w:marRight w:val="0"/>
          <w:marTop w:val="0"/>
          <w:marBottom w:val="0"/>
          <w:divBdr>
            <w:top w:val="none" w:sz="0" w:space="0" w:color="auto"/>
            <w:left w:val="none" w:sz="0" w:space="0" w:color="auto"/>
            <w:bottom w:val="none" w:sz="0" w:space="0" w:color="auto"/>
            <w:right w:val="none" w:sz="0" w:space="0" w:color="auto"/>
          </w:divBdr>
        </w:div>
        <w:div w:id="1074353608">
          <w:marLeft w:val="640"/>
          <w:marRight w:val="0"/>
          <w:marTop w:val="0"/>
          <w:marBottom w:val="0"/>
          <w:divBdr>
            <w:top w:val="none" w:sz="0" w:space="0" w:color="auto"/>
            <w:left w:val="none" w:sz="0" w:space="0" w:color="auto"/>
            <w:bottom w:val="none" w:sz="0" w:space="0" w:color="auto"/>
            <w:right w:val="none" w:sz="0" w:space="0" w:color="auto"/>
          </w:divBdr>
        </w:div>
        <w:div w:id="1946844586">
          <w:marLeft w:val="640"/>
          <w:marRight w:val="0"/>
          <w:marTop w:val="0"/>
          <w:marBottom w:val="0"/>
          <w:divBdr>
            <w:top w:val="none" w:sz="0" w:space="0" w:color="auto"/>
            <w:left w:val="none" w:sz="0" w:space="0" w:color="auto"/>
            <w:bottom w:val="none" w:sz="0" w:space="0" w:color="auto"/>
            <w:right w:val="none" w:sz="0" w:space="0" w:color="auto"/>
          </w:divBdr>
        </w:div>
        <w:div w:id="558202687">
          <w:marLeft w:val="640"/>
          <w:marRight w:val="0"/>
          <w:marTop w:val="0"/>
          <w:marBottom w:val="0"/>
          <w:divBdr>
            <w:top w:val="none" w:sz="0" w:space="0" w:color="auto"/>
            <w:left w:val="none" w:sz="0" w:space="0" w:color="auto"/>
            <w:bottom w:val="none" w:sz="0" w:space="0" w:color="auto"/>
            <w:right w:val="none" w:sz="0" w:space="0" w:color="auto"/>
          </w:divBdr>
        </w:div>
        <w:div w:id="1303543263">
          <w:marLeft w:val="640"/>
          <w:marRight w:val="0"/>
          <w:marTop w:val="0"/>
          <w:marBottom w:val="0"/>
          <w:divBdr>
            <w:top w:val="none" w:sz="0" w:space="0" w:color="auto"/>
            <w:left w:val="none" w:sz="0" w:space="0" w:color="auto"/>
            <w:bottom w:val="none" w:sz="0" w:space="0" w:color="auto"/>
            <w:right w:val="none" w:sz="0" w:space="0" w:color="auto"/>
          </w:divBdr>
        </w:div>
        <w:div w:id="1863199445">
          <w:marLeft w:val="640"/>
          <w:marRight w:val="0"/>
          <w:marTop w:val="0"/>
          <w:marBottom w:val="0"/>
          <w:divBdr>
            <w:top w:val="none" w:sz="0" w:space="0" w:color="auto"/>
            <w:left w:val="none" w:sz="0" w:space="0" w:color="auto"/>
            <w:bottom w:val="none" w:sz="0" w:space="0" w:color="auto"/>
            <w:right w:val="none" w:sz="0" w:space="0" w:color="auto"/>
          </w:divBdr>
        </w:div>
        <w:div w:id="947739628">
          <w:marLeft w:val="640"/>
          <w:marRight w:val="0"/>
          <w:marTop w:val="0"/>
          <w:marBottom w:val="0"/>
          <w:divBdr>
            <w:top w:val="none" w:sz="0" w:space="0" w:color="auto"/>
            <w:left w:val="none" w:sz="0" w:space="0" w:color="auto"/>
            <w:bottom w:val="none" w:sz="0" w:space="0" w:color="auto"/>
            <w:right w:val="none" w:sz="0" w:space="0" w:color="auto"/>
          </w:divBdr>
        </w:div>
        <w:div w:id="36903527">
          <w:marLeft w:val="640"/>
          <w:marRight w:val="0"/>
          <w:marTop w:val="0"/>
          <w:marBottom w:val="0"/>
          <w:divBdr>
            <w:top w:val="none" w:sz="0" w:space="0" w:color="auto"/>
            <w:left w:val="none" w:sz="0" w:space="0" w:color="auto"/>
            <w:bottom w:val="none" w:sz="0" w:space="0" w:color="auto"/>
            <w:right w:val="none" w:sz="0" w:space="0" w:color="auto"/>
          </w:divBdr>
        </w:div>
        <w:div w:id="1804619763">
          <w:marLeft w:val="640"/>
          <w:marRight w:val="0"/>
          <w:marTop w:val="0"/>
          <w:marBottom w:val="0"/>
          <w:divBdr>
            <w:top w:val="none" w:sz="0" w:space="0" w:color="auto"/>
            <w:left w:val="none" w:sz="0" w:space="0" w:color="auto"/>
            <w:bottom w:val="none" w:sz="0" w:space="0" w:color="auto"/>
            <w:right w:val="none" w:sz="0" w:space="0" w:color="auto"/>
          </w:divBdr>
        </w:div>
        <w:div w:id="854729131">
          <w:marLeft w:val="640"/>
          <w:marRight w:val="0"/>
          <w:marTop w:val="0"/>
          <w:marBottom w:val="0"/>
          <w:divBdr>
            <w:top w:val="none" w:sz="0" w:space="0" w:color="auto"/>
            <w:left w:val="none" w:sz="0" w:space="0" w:color="auto"/>
            <w:bottom w:val="none" w:sz="0" w:space="0" w:color="auto"/>
            <w:right w:val="none" w:sz="0" w:space="0" w:color="auto"/>
          </w:divBdr>
        </w:div>
        <w:div w:id="731998275">
          <w:marLeft w:val="640"/>
          <w:marRight w:val="0"/>
          <w:marTop w:val="0"/>
          <w:marBottom w:val="0"/>
          <w:divBdr>
            <w:top w:val="none" w:sz="0" w:space="0" w:color="auto"/>
            <w:left w:val="none" w:sz="0" w:space="0" w:color="auto"/>
            <w:bottom w:val="none" w:sz="0" w:space="0" w:color="auto"/>
            <w:right w:val="none" w:sz="0" w:space="0" w:color="auto"/>
          </w:divBdr>
        </w:div>
        <w:div w:id="116678673">
          <w:marLeft w:val="640"/>
          <w:marRight w:val="0"/>
          <w:marTop w:val="0"/>
          <w:marBottom w:val="0"/>
          <w:divBdr>
            <w:top w:val="none" w:sz="0" w:space="0" w:color="auto"/>
            <w:left w:val="none" w:sz="0" w:space="0" w:color="auto"/>
            <w:bottom w:val="none" w:sz="0" w:space="0" w:color="auto"/>
            <w:right w:val="none" w:sz="0" w:space="0" w:color="auto"/>
          </w:divBdr>
        </w:div>
        <w:div w:id="547686640">
          <w:marLeft w:val="640"/>
          <w:marRight w:val="0"/>
          <w:marTop w:val="0"/>
          <w:marBottom w:val="0"/>
          <w:divBdr>
            <w:top w:val="none" w:sz="0" w:space="0" w:color="auto"/>
            <w:left w:val="none" w:sz="0" w:space="0" w:color="auto"/>
            <w:bottom w:val="none" w:sz="0" w:space="0" w:color="auto"/>
            <w:right w:val="none" w:sz="0" w:space="0" w:color="auto"/>
          </w:divBdr>
        </w:div>
        <w:div w:id="1834560604">
          <w:marLeft w:val="640"/>
          <w:marRight w:val="0"/>
          <w:marTop w:val="0"/>
          <w:marBottom w:val="0"/>
          <w:divBdr>
            <w:top w:val="none" w:sz="0" w:space="0" w:color="auto"/>
            <w:left w:val="none" w:sz="0" w:space="0" w:color="auto"/>
            <w:bottom w:val="none" w:sz="0" w:space="0" w:color="auto"/>
            <w:right w:val="none" w:sz="0" w:space="0" w:color="auto"/>
          </w:divBdr>
        </w:div>
        <w:div w:id="1373188323">
          <w:marLeft w:val="640"/>
          <w:marRight w:val="0"/>
          <w:marTop w:val="0"/>
          <w:marBottom w:val="0"/>
          <w:divBdr>
            <w:top w:val="none" w:sz="0" w:space="0" w:color="auto"/>
            <w:left w:val="none" w:sz="0" w:space="0" w:color="auto"/>
            <w:bottom w:val="none" w:sz="0" w:space="0" w:color="auto"/>
            <w:right w:val="none" w:sz="0" w:space="0" w:color="auto"/>
          </w:divBdr>
        </w:div>
        <w:div w:id="15430856">
          <w:marLeft w:val="640"/>
          <w:marRight w:val="0"/>
          <w:marTop w:val="0"/>
          <w:marBottom w:val="0"/>
          <w:divBdr>
            <w:top w:val="none" w:sz="0" w:space="0" w:color="auto"/>
            <w:left w:val="none" w:sz="0" w:space="0" w:color="auto"/>
            <w:bottom w:val="none" w:sz="0" w:space="0" w:color="auto"/>
            <w:right w:val="none" w:sz="0" w:space="0" w:color="auto"/>
          </w:divBdr>
        </w:div>
        <w:div w:id="1167209422">
          <w:marLeft w:val="640"/>
          <w:marRight w:val="0"/>
          <w:marTop w:val="0"/>
          <w:marBottom w:val="0"/>
          <w:divBdr>
            <w:top w:val="none" w:sz="0" w:space="0" w:color="auto"/>
            <w:left w:val="none" w:sz="0" w:space="0" w:color="auto"/>
            <w:bottom w:val="none" w:sz="0" w:space="0" w:color="auto"/>
            <w:right w:val="none" w:sz="0" w:space="0" w:color="auto"/>
          </w:divBdr>
        </w:div>
        <w:div w:id="245891264">
          <w:marLeft w:val="640"/>
          <w:marRight w:val="0"/>
          <w:marTop w:val="0"/>
          <w:marBottom w:val="0"/>
          <w:divBdr>
            <w:top w:val="none" w:sz="0" w:space="0" w:color="auto"/>
            <w:left w:val="none" w:sz="0" w:space="0" w:color="auto"/>
            <w:bottom w:val="none" w:sz="0" w:space="0" w:color="auto"/>
            <w:right w:val="none" w:sz="0" w:space="0" w:color="auto"/>
          </w:divBdr>
        </w:div>
        <w:div w:id="1491865062">
          <w:marLeft w:val="640"/>
          <w:marRight w:val="0"/>
          <w:marTop w:val="0"/>
          <w:marBottom w:val="0"/>
          <w:divBdr>
            <w:top w:val="none" w:sz="0" w:space="0" w:color="auto"/>
            <w:left w:val="none" w:sz="0" w:space="0" w:color="auto"/>
            <w:bottom w:val="none" w:sz="0" w:space="0" w:color="auto"/>
            <w:right w:val="none" w:sz="0" w:space="0" w:color="auto"/>
          </w:divBdr>
        </w:div>
        <w:div w:id="792598738">
          <w:marLeft w:val="640"/>
          <w:marRight w:val="0"/>
          <w:marTop w:val="0"/>
          <w:marBottom w:val="0"/>
          <w:divBdr>
            <w:top w:val="none" w:sz="0" w:space="0" w:color="auto"/>
            <w:left w:val="none" w:sz="0" w:space="0" w:color="auto"/>
            <w:bottom w:val="none" w:sz="0" w:space="0" w:color="auto"/>
            <w:right w:val="none" w:sz="0" w:space="0" w:color="auto"/>
          </w:divBdr>
        </w:div>
        <w:div w:id="1176530146">
          <w:marLeft w:val="640"/>
          <w:marRight w:val="0"/>
          <w:marTop w:val="0"/>
          <w:marBottom w:val="0"/>
          <w:divBdr>
            <w:top w:val="none" w:sz="0" w:space="0" w:color="auto"/>
            <w:left w:val="none" w:sz="0" w:space="0" w:color="auto"/>
            <w:bottom w:val="none" w:sz="0" w:space="0" w:color="auto"/>
            <w:right w:val="none" w:sz="0" w:space="0" w:color="auto"/>
          </w:divBdr>
        </w:div>
        <w:div w:id="1359890200">
          <w:marLeft w:val="640"/>
          <w:marRight w:val="0"/>
          <w:marTop w:val="0"/>
          <w:marBottom w:val="0"/>
          <w:divBdr>
            <w:top w:val="none" w:sz="0" w:space="0" w:color="auto"/>
            <w:left w:val="none" w:sz="0" w:space="0" w:color="auto"/>
            <w:bottom w:val="none" w:sz="0" w:space="0" w:color="auto"/>
            <w:right w:val="none" w:sz="0" w:space="0" w:color="auto"/>
          </w:divBdr>
        </w:div>
        <w:div w:id="2043705492">
          <w:marLeft w:val="640"/>
          <w:marRight w:val="0"/>
          <w:marTop w:val="0"/>
          <w:marBottom w:val="0"/>
          <w:divBdr>
            <w:top w:val="none" w:sz="0" w:space="0" w:color="auto"/>
            <w:left w:val="none" w:sz="0" w:space="0" w:color="auto"/>
            <w:bottom w:val="none" w:sz="0" w:space="0" w:color="auto"/>
            <w:right w:val="none" w:sz="0" w:space="0" w:color="auto"/>
          </w:divBdr>
        </w:div>
        <w:div w:id="1645575940">
          <w:marLeft w:val="640"/>
          <w:marRight w:val="0"/>
          <w:marTop w:val="0"/>
          <w:marBottom w:val="0"/>
          <w:divBdr>
            <w:top w:val="none" w:sz="0" w:space="0" w:color="auto"/>
            <w:left w:val="none" w:sz="0" w:space="0" w:color="auto"/>
            <w:bottom w:val="none" w:sz="0" w:space="0" w:color="auto"/>
            <w:right w:val="none" w:sz="0" w:space="0" w:color="auto"/>
          </w:divBdr>
        </w:div>
        <w:div w:id="1632706666">
          <w:marLeft w:val="640"/>
          <w:marRight w:val="0"/>
          <w:marTop w:val="0"/>
          <w:marBottom w:val="0"/>
          <w:divBdr>
            <w:top w:val="none" w:sz="0" w:space="0" w:color="auto"/>
            <w:left w:val="none" w:sz="0" w:space="0" w:color="auto"/>
            <w:bottom w:val="none" w:sz="0" w:space="0" w:color="auto"/>
            <w:right w:val="none" w:sz="0" w:space="0" w:color="auto"/>
          </w:divBdr>
        </w:div>
        <w:div w:id="416362763">
          <w:marLeft w:val="640"/>
          <w:marRight w:val="0"/>
          <w:marTop w:val="0"/>
          <w:marBottom w:val="0"/>
          <w:divBdr>
            <w:top w:val="none" w:sz="0" w:space="0" w:color="auto"/>
            <w:left w:val="none" w:sz="0" w:space="0" w:color="auto"/>
            <w:bottom w:val="none" w:sz="0" w:space="0" w:color="auto"/>
            <w:right w:val="none" w:sz="0" w:space="0" w:color="auto"/>
          </w:divBdr>
        </w:div>
        <w:div w:id="2095659359">
          <w:marLeft w:val="640"/>
          <w:marRight w:val="0"/>
          <w:marTop w:val="0"/>
          <w:marBottom w:val="0"/>
          <w:divBdr>
            <w:top w:val="none" w:sz="0" w:space="0" w:color="auto"/>
            <w:left w:val="none" w:sz="0" w:space="0" w:color="auto"/>
            <w:bottom w:val="none" w:sz="0" w:space="0" w:color="auto"/>
            <w:right w:val="none" w:sz="0" w:space="0" w:color="auto"/>
          </w:divBdr>
        </w:div>
        <w:div w:id="2129273766">
          <w:marLeft w:val="640"/>
          <w:marRight w:val="0"/>
          <w:marTop w:val="0"/>
          <w:marBottom w:val="0"/>
          <w:divBdr>
            <w:top w:val="none" w:sz="0" w:space="0" w:color="auto"/>
            <w:left w:val="none" w:sz="0" w:space="0" w:color="auto"/>
            <w:bottom w:val="none" w:sz="0" w:space="0" w:color="auto"/>
            <w:right w:val="none" w:sz="0" w:space="0" w:color="auto"/>
          </w:divBdr>
        </w:div>
        <w:div w:id="529075979">
          <w:marLeft w:val="640"/>
          <w:marRight w:val="0"/>
          <w:marTop w:val="0"/>
          <w:marBottom w:val="0"/>
          <w:divBdr>
            <w:top w:val="none" w:sz="0" w:space="0" w:color="auto"/>
            <w:left w:val="none" w:sz="0" w:space="0" w:color="auto"/>
            <w:bottom w:val="none" w:sz="0" w:space="0" w:color="auto"/>
            <w:right w:val="none" w:sz="0" w:space="0" w:color="auto"/>
          </w:divBdr>
        </w:div>
        <w:div w:id="618143857">
          <w:marLeft w:val="640"/>
          <w:marRight w:val="0"/>
          <w:marTop w:val="0"/>
          <w:marBottom w:val="0"/>
          <w:divBdr>
            <w:top w:val="none" w:sz="0" w:space="0" w:color="auto"/>
            <w:left w:val="none" w:sz="0" w:space="0" w:color="auto"/>
            <w:bottom w:val="none" w:sz="0" w:space="0" w:color="auto"/>
            <w:right w:val="none" w:sz="0" w:space="0" w:color="auto"/>
          </w:divBdr>
        </w:div>
        <w:div w:id="761224064">
          <w:marLeft w:val="640"/>
          <w:marRight w:val="0"/>
          <w:marTop w:val="0"/>
          <w:marBottom w:val="0"/>
          <w:divBdr>
            <w:top w:val="none" w:sz="0" w:space="0" w:color="auto"/>
            <w:left w:val="none" w:sz="0" w:space="0" w:color="auto"/>
            <w:bottom w:val="none" w:sz="0" w:space="0" w:color="auto"/>
            <w:right w:val="none" w:sz="0" w:space="0" w:color="auto"/>
          </w:divBdr>
        </w:div>
        <w:div w:id="1822118497">
          <w:marLeft w:val="640"/>
          <w:marRight w:val="0"/>
          <w:marTop w:val="0"/>
          <w:marBottom w:val="0"/>
          <w:divBdr>
            <w:top w:val="none" w:sz="0" w:space="0" w:color="auto"/>
            <w:left w:val="none" w:sz="0" w:space="0" w:color="auto"/>
            <w:bottom w:val="none" w:sz="0" w:space="0" w:color="auto"/>
            <w:right w:val="none" w:sz="0" w:space="0" w:color="auto"/>
          </w:divBdr>
        </w:div>
        <w:div w:id="1642878585">
          <w:marLeft w:val="640"/>
          <w:marRight w:val="0"/>
          <w:marTop w:val="0"/>
          <w:marBottom w:val="0"/>
          <w:divBdr>
            <w:top w:val="none" w:sz="0" w:space="0" w:color="auto"/>
            <w:left w:val="none" w:sz="0" w:space="0" w:color="auto"/>
            <w:bottom w:val="none" w:sz="0" w:space="0" w:color="auto"/>
            <w:right w:val="none" w:sz="0" w:space="0" w:color="auto"/>
          </w:divBdr>
        </w:div>
        <w:div w:id="330260976">
          <w:marLeft w:val="640"/>
          <w:marRight w:val="0"/>
          <w:marTop w:val="0"/>
          <w:marBottom w:val="0"/>
          <w:divBdr>
            <w:top w:val="none" w:sz="0" w:space="0" w:color="auto"/>
            <w:left w:val="none" w:sz="0" w:space="0" w:color="auto"/>
            <w:bottom w:val="none" w:sz="0" w:space="0" w:color="auto"/>
            <w:right w:val="none" w:sz="0" w:space="0" w:color="auto"/>
          </w:divBdr>
        </w:div>
      </w:divsChild>
    </w:div>
    <w:div w:id="1669214282">
      <w:bodyDiv w:val="1"/>
      <w:marLeft w:val="0"/>
      <w:marRight w:val="0"/>
      <w:marTop w:val="0"/>
      <w:marBottom w:val="0"/>
      <w:divBdr>
        <w:top w:val="none" w:sz="0" w:space="0" w:color="auto"/>
        <w:left w:val="none" w:sz="0" w:space="0" w:color="auto"/>
        <w:bottom w:val="none" w:sz="0" w:space="0" w:color="auto"/>
        <w:right w:val="none" w:sz="0" w:space="0" w:color="auto"/>
      </w:divBdr>
    </w:div>
    <w:div w:id="1669869653">
      <w:bodyDiv w:val="1"/>
      <w:marLeft w:val="0"/>
      <w:marRight w:val="0"/>
      <w:marTop w:val="0"/>
      <w:marBottom w:val="0"/>
      <w:divBdr>
        <w:top w:val="none" w:sz="0" w:space="0" w:color="auto"/>
        <w:left w:val="none" w:sz="0" w:space="0" w:color="auto"/>
        <w:bottom w:val="none" w:sz="0" w:space="0" w:color="auto"/>
        <w:right w:val="none" w:sz="0" w:space="0" w:color="auto"/>
      </w:divBdr>
    </w:div>
    <w:div w:id="1671106534">
      <w:bodyDiv w:val="1"/>
      <w:marLeft w:val="0"/>
      <w:marRight w:val="0"/>
      <w:marTop w:val="0"/>
      <w:marBottom w:val="0"/>
      <w:divBdr>
        <w:top w:val="none" w:sz="0" w:space="0" w:color="auto"/>
        <w:left w:val="none" w:sz="0" w:space="0" w:color="auto"/>
        <w:bottom w:val="none" w:sz="0" w:space="0" w:color="auto"/>
        <w:right w:val="none" w:sz="0" w:space="0" w:color="auto"/>
      </w:divBdr>
    </w:div>
    <w:div w:id="1671904627">
      <w:bodyDiv w:val="1"/>
      <w:marLeft w:val="0"/>
      <w:marRight w:val="0"/>
      <w:marTop w:val="0"/>
      <w:marBottom w:val="0"/>
      <w:divBdr>
        <w:top w:val="none" w:sz="0" w:space="0" w:color="auto"/>
        <w:left w:val="none" w:sz="0" w:space="0" w:color="auto"/>
        <w:bottom w:val="none" w:sz="0" w:space="0" w:color="auto"/>
        <w:right w:val="none" w:sz="0" w:space="0" w:color="auto"/>
      </w:divBdr>
    </w:div>
    <w:div w:id="1672022087">
      <w:bodyDiv w:val="1"/>
      <w:marLeft w:val="0"/>
      <w:marRight w:val="0"/>
      <w:marTop w:val="0"/>
      <w:marBottom w:val="0"/>
      <w:divBdr>
        <w:top w:val="none" w:sz="0" w:space="0" w:color="auto"/>
        <w:left w:val="none" w:sz="0" w:space="0" w:color="auto"/>
        <w:bottom w:val="none" w:sz="0" w:space="0" w:color="auto"/>
        <w:right w:val="none" w:sz="0" w:space="0" w:color="auto"/>
      </w:divBdr>
    </w:div>
    <w:div w:id="1676348018">
      <w:bodyDiv w:val="1"/>
      <w:marLeft w:val="0"/>
      <w:marRight w:val="0"/>
      <w:marTop w:val="0"/>
      <w:marBottom w:val="0"/>
      <w:divBdr>
        <w:top w:val="none" w:sz="0" w:space="0" w:color="auto"/>
        <w:left w:val="none" w:sz="0" w:space="0" w:color="auto"/>
        <w:bottom w:val="none" w:sz="0" w:space="0" w:color="auto"/>
        <w:right w:val="none" w:sz="0" w:space="0" w:color="auto"/>
      </w:divBdr>
    </w:div>
    <w:div w:id="1678581581">
      <w:bodyDiv w:val="1"/>
      <w:marLeft w:val="0"/>
      <w:marRight w:val="0"/>
      <w:marTop w:val="0"/>
      <w:marBottom w:val="0"/>
      <w:divBdr>
        <w:top w:val="none" w:sz="0" w:space="0" w:color="auto"/>
        <w:left w:val="none" w:sz="0" w:space="0" w:color="auto"/>
        <w:bottom w:val="none" w:sz="0" w:space="0" w:color="auto"/>
        <w:right w:val="none" w:sz="0" w:space="0" w:color="auto"/>
      </w:divBdr>
    </w:div>
    <w:div w:id="1678724971">
      <w:bodyDiv w:val="1"/>
      <w:marLeft w:val="0"/>
      <w:marRight w:val="0"/>
      <w:marTop w:val="0"/>
      <w:marBottom w:val="0"/>
      <w:divBdr>
        <w:top w:val="none" w:sz="0" w:space="0" w:color="auto"/>
        <w:left w:val="none" w:sz="0" w:space="0" w:color="auto"/>
        <w:bottom w:val="none" w:sz="0" w:space="0" w:color="auto"/>
        <w:right w:val="none" w:sz="0" w:space="0" w:color="auto"/>
      </w:divBdr>
    </w:div>
    <w:div w:id="1683240531">
      <w:bodyDiv w:val="1"/>
      <w:marLeft w:val="0"/>
      <w:marRight w:val="0"/>
      <w:marTop w:val="0"/>
      <w:marBottom w:val="0"/>
      <w:divBdr>
        <w:top w:val="none" w:sz="0" w:space="0" w:color="auto"/>
        <w:left w:val="none" w:sz="0" w:space="0" w:color="auto"/>
        <w:bottom w:val="none" w:sz="0" w:space="0" w:color="auto"/>
        <w:right w:val="none" w:sz="0" w:space="0" w:color="auto"/>
      </w:divBdr>
    </w:div>
    <w:div w:id="1683435582">
      <w:bodyDiv w:val="1"/>
      <w:marLeft w:val="0"/>
      <w:marRight w:val="0"/>
      <w:marTop w:val="0"/>
      <w:marBottom w:val="0"/>
      <w:divBdr>
        <w:top w:val="none" w:sz="0" w:space="0" w:color="auto"/>
        <w:left w:val="none" w:sz="0" w:space="0" w:color="auto"/>
        <w:bottom w:val="none" w:sz="0" w:space="0" w:color="auto"/>
        <w:right w:val="none" w:sz="0" w:space="0" w:color="auto"/>
      </w:divBdr>
    </w:div>
    <w:div w:id="1689790841">
      <w:bodyDiv w:val="1"/>
      <w:marLeft w:val="0"/>
      <w:marRight w:val="0"/>
      <w:marTop w:val="0"/>
      <w:marBottom w:val="0"/>
      <w:divBdr>
        <w:top w:val="none" w:sz="0" w:space="0" w:color="auto"/>
        <w:left w:val="none" w:sz="0" w:space="0" w:color="auto"/>
        <w:bottom w:val="none" w:sz="0" w:space="0" w:color="auto"/>
        <w:right w:val="none" w:sz="0" w:space="0" w:color="auto"/>
      </w:divBdr>
    </w:div>
    <w:div w:id="1690595125">
      <w:bodyDiv w:val="1"/>
      <w:marLeft w:val="0"/>
      <w:marRight w:val="0"/>
      <w:marTop w:val="0"/>
      <w:marBottom w:val="0"/>
      <w:divBdr>
        <w:top w:val="none" w:sz="0" w:space="0" w:color="auto"/>
        <w:left w:val="none" w:sz="0" w:space="0" w:color="auto"/>
        <w:bottom w:val="none" w:sz="0" w:space="0" w:color="auto"/>
        <w:right w:val="none" w:sz="0" w:space="0" w:color="auto"/>
      </w:divBdr>
    </w:div>
    <w:div w:id="1691293054">
      <w:bodyDiv w:val="1"/>
      <w:marLeft w:val="0"/>
      <w:marRight w:val="0"/>
      <w:marTop w:val="0"/>
      <w:marBottom w:val="0"/>
      <w:divBdr>
        <w:top w:val="none" w:sz="0" w:space="0" w:color="auto"/>
        <w:left w:val="none" w:sz="0" w:space="0" w:color="auto"/>
        <w:bottom w:val="none" w:sz="0" w:space="0" w:color="auto"/>
        <w:right w:val="none" w:sz="0" w:space="0" w:color="auto"/>
      </w:divBdr>
    </w:div>
    <w:div w:id="1691636994">
      <w:bodyDiv w:val="1"/>
      <w:marLeft w:val="0"/>
      <w:marRight w:val="0"/>
      <w:marTop w:val="0"/>
      <w:marBottom w:val="0"/>
      <w:divBdr>
        <w:top w:val="none" w:sz="0" w:space="0" w:color="auto"/>
        <w:left w:val="none" w:sz="0" w:space="0" w:color="auto"/>
        <w:bottom w:val="none" w:sz="0" w:space="0" w:color="auto"/>
        <w:right w:val="none" w:sz="0" w:space="0" w:color="auto"/>
      </w:divBdr>
    </w:div>
    <w:div w:id="1693646851">
      <w:bodyDiv w:val="1"/>
      <w:marLeft w:val="0"/>
      <w:marRight w:val="0"/>
      <w:marTop w:val="0"/>
      <w:marBottom w:val="0"/>
      <w:divBdr>
        <w:top w:val="none" w:sz="0" w:space="0" w:color="auto"/>
        <w:left w:val="none" w:sz="0" w:space="0" w:color="auto"/>
        <w:bottom w:val="none" w:sz="0" w:space="0" w:color="auto"/>
        <w:right w:val="none" w:sz="0" w:space="0" w:color="auto"/>
      </w:divBdr>
    </w:div>
    <w:div w:id="1695882635">
      <w:bodyDiv w:val="1"/>
      <w:marLeft w:val="0"/>
      <w:marRight w:val="0"/>
      <w:marTop w:val="0"/>
      <w:marBottom w:val="0"/>
      <w:divBdr>
        <w:top w:val="none" w:sz="0" w:space="0" w:color="auto"/>
        <w:left w:val="none" w:sz="0" w:space="0" w:color="auto"/>
        <w:bottom w:val="none" w:sz="0" w:space="0" w:color="auto"/>
        <w:right w:val="none" w:sz="0" w:space="0" w:color="auto"/>
      </w:divBdr>
    </w:div>
    <w:div w:id="1697386932">
      <w:bodyDiv w:val="1"/>
      <w:marLeft w:val="0"/>
      <w:marRight w:val="0"/>
      <w:marTop w:val="0"/>
      <w:marBottom w:val="0"/>
      <w:divBdr>
        <w:top w:val="none" w:sz="0" w:space="0" w:color="auto"/>
        <w:left w:val="none" w:sz="0" w:space="0" w:color="auto"/>
        <w:bottom w:val="none" w:sz="0" w:space="0" w:color="auto"/>
        <w:right w:val="none" w:sz="0" w:space="0" w:color="auto"/>
      </w:divBdr>
    </w:div>
    <w:div w:id="1698508753">
      <w:bodyDiv w:val="1"/>
      <w:marLeft w:val="0"/>
      <w:marRight w:val="0"/>
      <w:marTop w:val="0"/>
      <w:marBottom w:val="0"/>
      <w:divBdr>
        <w:top w:val="none" w:sz="0" w:space="0" w:color="auto"/>
        <w:left w:val="none" w:sz="0" w:space="0" w:color="auto"/>
        <w:bottom w:val="none" w:sz="0" w:space="0" w:color="auto"/>
        <w:right w:val="none" w:sz="0" w:space="0" w:color="auto"/>
      </w:divBdr>
    </w:div>
    <w:div w:id="1704135885">
      <w:bodyDiv w:val="1"/>
      <w:marLeft w:val="0"/>
      <w:marRight w:val="0"/>
      <w:marTop w:val="0"/>
      <w:marBottom w:val="0"/>
      <w:divBdr>
        <w:top w:val="none" w:sz="0" w:space="0" w:color="auto"/>
        <w:left w:val="none" w:sz="0" w:space="0" w:color="auto"/>
        <w:bottom w:val="none" w:sz="0" w:space="0" w:color="auto"/>
        <w:right w:val="none" w:sz="0" w:space="0" w:color="auto"/>
      </w:divBdr>
      <w:divsChild>
        <w:div w:id="942497915">
          <w:marLeft w:val="480"/>
          <w:marRight w:val="0"/>
          <w:marTop w:val="0"/>
          <w:marBottom w:val="0"/>
          <w:divBdr>
            <w:top w:val="none" w:sz="0" w:space="0" w:color="auto"/>
            <w:left w:val="none" w:sz="0" w:space="0" w:color="auto"/>
            <w:bottom w:val="none" w:sz="0" w:space="0" w:color="auto"/>
            <w:right w:val="none" w:sz="0" w:space="0" w:color="auto"/>
          </w:divBdr>
        </w:div>
        <w:div w:id="1878735334">
          <w:marLeft w:val="480"/>
          <w:marRight w:val="0"/>
          <w:marTop w:val="0"/>
          <w:marBottom w:val="0"/>
          <w:divBdr>
            <w:top w:val="none" w:sz="0" w:space="0" w:color="auto"/>
            <w:left w:val="none" w:sz="0" w:space="0" w:color="auto"/>
            <w:bottom w:val="none" w:sz="0" w:space="0" w:color="auto"/>
            <w:right w:val="none" w:sz="0" w:space="0" w:color="auto"/>
          </w:divBdr>
        </w:div>
        <w:div w:id="893659018">
          <w:marLeft w:val="480"/>
          <w:marRight w:val="0"/>
          <w:marTop w:val="0"/>
          <w:marBottom w:val="0"/>
          <w:divBdr>
            <w:top w:val="none" w:sz="0" w:space="0" w:color="auto"/>
            <w:left w:val="none" w:sz="0" w:space="0" w:color="auto"/>
            <w:bottom w:val="none" w:sz="0" w:space="0" w:color="auto"/>
            <w:right w:val="none" w:sz="0" w:space="0" w:color="auto"/>
          </w:divBdr>
        </w:div>
        <w:div w:id="1598949625">
          <w:marLeft w:val="480"/>
          <w:marRight w:val="0"/>
          <w:marTop w:val="0"/>
          <w:marBottom w:val="0"/>
          <w:divBdr>
            <w:top w:val="none" w:sz="0" w:space="0" w:color="auto"/>
            <w:left w:val="none" w:sz="0" w:space="0" w:color="auto"/>
            <w:bottom w:val="none" w:sz="0" w:space="0" w:color="auto"/>
            <w:right w:val="none" w:sz="0" w:space="0" w:color="auto"/>
          </w:divBdr>
        </w:div>
        <w:div w:id="1189946176">
          <w:marLeft w:val="480"/>
          <w:marRight w:val="0"/>
          <w:marTop w:val="0"/>
          <w:marBottom w:val="0"/>
          <w:divBdr>
            <w:top w:val="none" w:sz="0" w:space="0" w:color="auto"/>
            <w:left w:val="none" w:sz="0" w:space="0" w:color="auto"/>
            <w:bottom w:val="none" w:sz="0" w:space="0" w:color="auto"/>
            <w:right w:val="none" w:sz="0" w:space="0" w:color="auto"/>
          </w:divBdr>
        </w:div>
        <w:div w:id="1798376010">
          <w:marLeft w:val="480"/>
          <w:marRight w:val="0"/>
          <w:marTop w:val="0"/>
          <w:marBottom w:val="0"/>
          <w:divBdr>
            <w:top w:val="none" w:sz="0" w:space="0" w:color="auto"/>
            <w:left w:val="none" w:sz="0" w:space="0" w:color="auto"/>
            <w:bottom w:val="none" w:sz="0" w:space="0" w:color="auto"/>
            <w:right w:val="none" w:sz="0" w:space="0" w:color="auto"/>
          </w:divBdr>
        </w:div>
        <w:div w:id="1049065895">
          <w:marLeft w:val="480"/>
          <w:marRight w:val="0"/>
          <w:marTop w:val="0"/>
          <w:marBottom w:val="0"/>
          <w:divBdr>
            <w:top w:val="none" w:sz="0" w:space="0" w:color="auto"/>
            <w:left w:val="none" w:sz="0" w:space="0" w:color="auto"/>
            <w:bottom w:val="none" w:sz="0" w:space="0" w:color="auto"/>
            <w:right w:val="none" w:sz="0" w:space="0" w:color="auto"/>
          </w:divBdr>
        </w:div>
        <w:div w:id="533885447">
          <w:marLeft w:val="480"/>
          <w:marRight w:val="0"/>
          <w:marTop w:val="0"/>
          <w:marBottom w:val="0"/>
          <w:divBdr>
            <w:top w:val="none" w:sz="0" w:space="0" w:color="auto"/>
            <w:left w:val="none" w:sz="0" w:space="0" w:color="auto"/>
            <w:bottom w:val="none" w:sz="0" w:space="0" w:color="auto"/>
            <w:right w:val="none" w:sz="0" w:space="0" w:color="auto"/>
          </w:divBdr>
        </w:div>
        <w:div w:id="326323741">
          <w:marLeft w:val="480"/>
          <w:marRight w:val="0"/>
          <w:marTop w:val="0"/>
          <w:marBottom w:val="0"/>
          <w:divBdr>
            <w:top w:val="none" w:sz="0" w:space="0" w:color="auto"/>
            <w:left w:val="none" w:sz="0" w:space="0" w:color="auto"/>
            <w:bottom w:val="none" w:sz="0" w:space="0" w:color="auto"/>
            <w:right w:val="none" w:sz="0" w:space="0" w:color="auto"/>
          </w:divBdr>
        </w:div>
        <w:div w:id="1496720353">
          <w:marLeft w:val="480"/>
          <w:marRight w:val="0"/>
          <w:marTop w:val="0"/>
          <w:marBottom w:val="0"/>
          <w:divBdr>
            <w:top w:val="none" w:sz="0" w:space="0" w:color="auto"/>
            <w:left w:val="none" w:sz="0" w:space="0" w:color="auto"/>
            <w:bottom w:val="none" w:sz="0" w:space="0" w:color="auto"/>
            <w:right w:val="none" w:sz="0" w:space="0" w:color="auto"/>
          </w:divBdr>
        </w:div>
        <w:div w:id="1981766669">
          <w:marLeft w:val="480"/>
          <w:marRight w:val="0"/>
          <w:marTop w:val="0"/>
          <w:marBottom w:val="0"/>
          <w:divBdr>
            <w:top w:val="none" w:sz="0" w:space="0" w:color="auto"/>
            <w:left w:val="none" w:sz="0" w:space="0" w:color="auto"/>
            <w:bottom w:val="none" w:sz="0" w:space="0" w:color="auto"/>
            <w:right w:val="none" w:sz="0" w:space="0" w:color="auto"/>
          </w:divBdr>
        </w:div>
        <w:div w:id="2105177652">
          <w:marLeft w:val="480"/>
          <w:marRight w:val="0"/>
          <w:marTop w:val="0"/>
          <w:marBottom w:val="0"/>
          <w:divBdr>
            <w:top w:val="none" w:sz="0" w:space="0" w:color="auto"/>
            <w:left w:val="none" w:sz="0" w:space="0" w:color="auto"/>
            <w:bottom w:val="none" w:sz="0" w:space="0" w:color="auto"/>
            <w:right w:val="none" w:sz="0" w:space="0" w:color="auto"/>
          </w:divBdr>
        </w:div>
        <w:div w:id="1131632417">
          <w:marLeft w:val="480"/>
          <w:marRight w:val="0"/>
          <w:marTop w:val="0"/>
          <w:marBottom w:val="0"/>
          <w:divBdr>
            <w:top w:val="none" w:sz="0" w:space="0" w:color="auto"/>
            <w:left w:val="none" w:sz="0" w:space="0" w:color="auto"/>
            <w:bottom w:val="none" w:sz="0" w:space="0" w:color="auto"/>
            <w:right w:val="none" w:sz="0" w:space="0" w:color="auto"/>
          </w:divBdr>
        </w:div>
        <w:div w:id="820001239">
          <w:marLeft w:val="480"/>
          <w:marRight w:val="0"/>
          <w:marTop w:val="0"/>
          <w:marBottom w:val="0"/>
          <w:divBdr>
            <w:top w:val="none" w:sz="0" w:space="0" w:color="auto"/>
            <w:left w:val="none" w:sz="0" w:space="0" w:color="auto"/>
            <w:bottom w:val="none" w:sz="0" w:space="0" w:color="auto"/>
            <w:right w:val="none" w:sz="0" w:space="0" w:color="auto"/>
          </w:divBdr>
        </w:div>
        <w:div w:id="273948251">
          <w:marLeft w:val="480"/>
          <w:marRight w:val="0"/>
          <w:marTop w:val="0"/>
          <w:marBottom w:val="0"/>
          <w:divBdr>
            <w:top w:val="none" w:sz="0" w:space="0" w:color="auto"/>
            <w:left w:val="none" w:sz="0" w:space="0" w:color="auto"/>
            <w:bottom w:val="none" w:sz="0" w:space="0" w:color="auto"/>
            <w:right w:val="none" w:sz="0" w:space="0" w:color="auto"/>
          </w:divBdr>
        </w:div>
        <w:div w:id="226385384">
          <w:marLeft w:val="480"/>
          <w:marRight w:val="0"/>
          <w:marTop w:val="0"/>
          <w:marBottom w:val="0"/>
          <w:divBdr>
            <w:top w:val="none" w:sz="0" w:space="0" w:color="auto"/>
            <w:left w:val="none" w:sz="0" w:space="0" w:color="auto"/>
            <w:bottom w:val="none" w:sz="0" w:space="0" w:color="auto"/>
            <w:right w:val="none" w:sz="0" w:space="0" w:color="auto"/>
          </w:divBdr>
        </w:div>
        <w:div w:id="642780436">
          <w:marLeft w:val="480"/>
          <w:marRight w:val="0"/>
          <w:marTop w:val="0"/>
          <w:marBottom w:val="0"/>
          <w:divBdr>
            <w:top w:val="none" w:sz="0" w:space="0" w:color="auto"/>
            <w:left w:val="none" w:sz="0" w:space="0" w:color="auto"/>
            <w:bottom w:val="none" w:sz="0" w:space="0" w:color="auto"/>
            <w:right w:val="none" w:sz="0" w:space="0" w:color="auto"/>
          </w:divBdr>
        </w:div>
        <w:div w:id="1123886852">
          <w:marLeft w:val="480"/>
          <w:marRight w:val="0"/>
          <w:marTop w:val="0"/>
          <w:marBottom w:val="0"/>
          <w:divBdr>
            <w:top w:val="none" w:sz="0" w:space="0" w:color="auto"/>
            <w:left w:val="none" w:sz="0" w:space="0" w:color="auto"/>
            <w:bottom w:val="none" w:sz="0" w:space="0" w:color="auto"/>
            <w:right w:val="none" w:sz="0" w:space="0" w:color="auto"/>
          </w:divBdr>
        </w:div>
        <w:div w:id="1342393426">
          <w:marLeft w:val="480"/>
          <w:marRight w:val="0"/>
          <w:marTop w:val="0"/>
          <w:marBottom w:val="0"/>
          <w:divBdr>
            <w:top w:val="none" w:sz="0" w:space="0" w:color="auto"/>
            <w:left w:val="none" w:sz="0" w:space="0" w:color="auto"/>
            <w:bottom w:val="none" w:sz="0" w:space="0" w:color="auto"/>
            <w:right w:val="none" w:sz="0" w:space="0" w:color="auto"/>
          </w:divBdr>
        </w:div>
        <w:div w:id="1973364109">
          <w:marLeft w:val="480"/>
          <w:marRight w:val="0"/>
          <w:marTop w:val="0"/>
          <w:marBottom w:val="0"/>
          <w:divBdr>
            <w:top w:val="none" w:sz="0" w:space="0" w:color="auto"/>
            <w:left w:val="none" w:sz="0" w:space="0" w:color="auto"/>
            <w:bottom w:val="none" w:sz="0" w:space="0" w:color="auto"/>
            <w:right w:val="none" w:sz="0" w:space="0" w:color="auto"/>
          </w:divBdr>
        </w:div>
        <w:div w:id="681474283">
          <w:marLeft w:val="480"/>
          <w:marRight w:val="0"/>
          <w:marTop w:val="0"/>
          <w:marBottom w:val="0"/>
          <w:divBdr>
            <w:top w:val="none" w:sz="0" w:space="0" w:color="auto"/>
            <w:left w:val="none" w:sz="0" w:space="0" w:color="auto"/>
            <w:bottom w:val="none" w:sz="0" w:space="0" w:color="auto"/>
            <w:right w:val="none" w:sz="0" w:space="0" w:color="auto"/>
          </w:divBdr>
        </w:div>
        <w:div w:id="2061202874">
          <w:marLeft w:val="480"/>
          <w:marRight w:val="0"/>
          <w:marTop w:val="0"/>
          <w:marBottom w:val="0"/>
          <w:divBdr>
            <w:top w:val="none" w:sz="0" w:space="0" w:color="auto"/>
            <w:left w:val="none" w:sz="0" w:space="0" w:color="auto"/>
            <w:bottom w:val="none" w:sz="0" w:space="0" w:color="auto"/>
            <w:right w:val="none" w:sz="0" w:space="0" w:color="auto"/>
          </w:divBdr>
        </w:div>
        <w:div w:id="487093826">
          <w:marLeft w:val="480"/>
          <w:marRight w:val="0"/>
          <w:marTop w:val="0"/>
          <w:marBottom w:val="0"/>
          <w:divBdr>
            <w:top w:val="none" w:sz="0" w:space="0" w:color="auto"/>
            <w:left w:val="none" w:sz="0" w:space="0" w:color="auto"/>
            <w:bottom w:val="none" w:sz="0" w:space="0" w:color="auto"/>
            <w:right w:val="none" w:sz="0" w:space="0" w:color="auto"/>
          </w:divBdr>
        </w:div>
        <w:div w:id="2054230370">
          <w:marLeft w:val="480"/>
          <w:marRight w:val="0"/>
          <w:marTop w:val="0"/>
          <w:marBottom w:val="0"/>
          <w:divBdr>
            <w:top w:val="none" w:sz="0" w:space="0" w:color="auto"/>
            <w:left w:val="none" w:sz="0" w:space="0" w:color="auto"/>
            <w:bottom w:val="none" w:sz="0" w:space="0" w:color="auto"/>
            <w:right w:val="none" w:sz="0" w:space="0" w:color="auto"/>
          </w:divBdr>
        </w:div>
        <w:div w:id="1747729799">
          <w:marLeft w:val="480"/>
          <w:marRight w:val="0"/>
          <w:marTop w:val="0"/>
          <w:marBottom w:val="0"/>
          <w:divBdr>
            <w:top w:val="none" w:sz="0" w:space="0" w:color="auto"/>
            <w:left w:val="none" w:sz="0" w:space="0" w:color="auto"/>
            <w:bottom w:val="none" w:sz="0" w:space="0" w:color="auto"/>
            <w:right w:val="none" w:sz="0" w:space="0" w:color="auto"/>
          </w:divBdr>
        </w:div>
        <w:div w:id="139733521">
          <w:marLeft w:val="480"/>
          <w:marRight w:val="0"/>
          <w:marTop w:val="0"/>
          <w:marBottom w:val="0"/>
          <w:divBdr>
            <w:top w:val="none" w:sz="0" w:space="0" w:color="auto"/>
            <w:left w:val="none" w:sz="0" w:space="0" w:color="auto"/>
            <w:bottom w:val="none" w:sz="0" w:space="0" w:color="auto"/>
            <w:right w:val="none" w:sz="0" w:space="0" w:color="auto"/>
          </w:divBdr>
        </w:div>
        <w:div w:id="1680155944">
          <w:marLeft w:val="480"/>
          <w:marRight w:val="0"/>
          <w:marTop w:val="0"/>
          <w:marBottom w:val="0"/>
          <w:divBdr>
            <w:top w:val="none" w:sz="0" w:space="0" w:color="auto"/>
            <w:left w:val="none" w:sz="0" w:space="0" w:color="auto"/>
            <w:bottom w:val="none" w:sz="0" w:space="0" w:color="auto"/>
            <w:right w:val="none" w:sz="0" w:space="0" w:color="auto"/>
          </w:divBdr>
        </w:div>
        <w:div w:id="314798835">
          <w:marLeft w:val="480"/>
          <w:marRight w:val="0"/>
          <w:marTop w:val="0"/>
          <w:marBottom w:val="0"/>
          <w:divBdr>
            <w:top w:val="none" w:sz="0" w:space="0" w:color="auto"/>
            <w:left w:val="none" w:sz="0" w:space="0" w:color="auto"/>
            <w:bottom w:val="none" w:sz="0" w:space="0" w:color="auto"/>
            <w:right w:val="none" w:sz="0" w:space="0" w:color="auto"/>
          </w:divBdr>
        </w:div>
        <w:div w:id="1984314586">
          <w:marLeft w:val="480"/>
          <w:marRight w:val="0"/>
          <w:marTop w:val="0"/>
          <w:marBottom w:val="0"/>
          <w:divBdr>
            <w:top w:val="none" w:sz="0" w:space="0" w:color="auto"/>
            <w:left w:val="none" w:sz="0" w:space="0" w:color="auto"/>
            <w:bottom w:val="none" w:sz="0" w:space="0" w:color="auto"/>
            <w:right w:val="none" w:sz="0" w:space="0" w:color="auto"/>
          </w:divBdr>
        </w:div>
        <w:div w:id="388113650">
          <w:marLeft w:val="480"/>
          <w:marRight w:val="0"/>
          <w:marTop w:val="0"/>
          <w:marBottom w:val="0"/>
          <w:divBdr>
            <w:top w:val="none" w:sz="0" w:space="0" w:color="auto"/>
            <w:left w:val="none" w:sz="0" w:space="0" w:color="auto"/>
            <w:bottom w:val="none" w:sz="0" w:space="0" w:color="auto"/>
            <w:right w:val="none" w:sz="0" w:space="0" w:color="auto"/>
          </w:divBdr>
        </w:div>
        <w:div w:id="1850559016">
          <w:marLeft w:val="480"/>
          <w:marRight w:val="0"/>
          <w:marTop w:val="0"/>
          <w:marBottom w:val="0"/>
          <w:divBdr>
            <w:top w:val="none" w:sz="0" w:space="0" w:color="auto"/>
            <w:left w:val="none" w:sz="0" w:space="0" w:color="auto"/>
            <w:bottom w:val="none" w:sz="0" w:space="0" w:color="auto"/>
            <w:right w:val="none" w:sz="0" w:space="0" w:color="auto"/>
          </w:divBdr>
        </w:div>
        <w:div w:id="1803499021">
          <w:marLeft w:val="480"/>
          <w:marRight w:val="0"/>
          <w:marTop w:val="0"/>
          <w:marBottom w:val="0"/>
          <w:divBdr>
            <w:top w:val="none" w:sz="0" w:space="0" w:color="auto"/>
            <w:left w:val="none" w:sz="0" w:space="0" w:color="auto"/>
            <w:bottom w:val="none" w:sz="0" w:space="0" w:color="auto"/>
            <w:right w:val="none" w:sz="0" w:space="0" w:color="auto"/>
          </w:divBdr>
        </w:div>
        <w:div w:id="688213053">
          <w:marLeft w:val="480"/>
          <w:marRight w:val="0"/>
          <w:marTop w:val="0"/>
          <w:marBottom w:val="0"/>
          <w:divBdr>
            <w:top w:val="none" w:sz="0" w:space="0" w:color="auto"/>
            <w:left w:val="none" w:sz="0" w:space="0" w:color="auto"/>
            <w:bottom w:val="none" w:sz="0" w:space="0" w:color="auto"/>
            <w:right w:val="none" w:sz="0" w:space="0" w:color="auto"/>
          </w:divBdr>
        </w:div>
        <w:div w:id="1776703540">
          <w:marLeft w:val="480"/>
          <w:marRight w:val="0"/>
          <w:marTop w:val="0"/>
          <w:marBottom w:val="0"/>
          <w:divBdr>
            <w:top w:val="none" w:sz="0" w:space="0" w:color="auto"/>
            <w:left w:val="none" w:sz="0" w:space="0" w:color="auto"/>
            <w:bottom w:val="none" w:sz="0" w:space="0" w:color="auto"/>
            <w:right w:val="none" w:sz="0" w:space="0" w:color="auto"/>
          </w:divBdr>
        </w:div>
        <w:div w:id="1996765565">
          <w:marLeft w:val="480"/>
          <w:marRight w:val="0"/>
          <w:marTop w:val="0"/>
          <w:marBottom w:val="0"/>
          <w:divBdr>
            <w:top w:val="none" w:sz="0" w:space="0" w:color="auto"/>
            <w:left w:val="none" w:sz="0" w:space="0" w:color="auto"/>
            <w:bottom w:val="none" w:sz="0" w:space="0" w:color="auto"/>
            <w:right w:val="none" w:sz="0" w:space="0" w:color="auto"/>
          </w:divBdr>
        </w:div>
        <w:div w:id="269704709">
          <w:marLeft w:val="480"/>
          <w:marRight w:val="0"/>
          <w:marTop w:val="0"/>
          <w:marBottom w:val="0"/>
          <w:divBdr>
            <w:top w:val="none" w:sz="0" w:space="0" w:color="auto"/>
            <w:left w:val="none" w:sz="0" w:space="0" w:color="auto"/>
            <w:bottom w:val="none" w:sz="0" w:space="0" w:color="auto"/>
            <w:right w:val="none" w:sz="0" w:space="0" w:color="auto"/>
          </w:divBdr>
        </w:div>
        <w:div w:id="361857005">
          <w:marLeft w:val="480"/>
          <w:marRight w:val="0"/>
          <w:marTop w:val="0"/>
          <w:marBottom w:val="0"/>
          <w:divBdr>
            <w:top w:val="none" w:sz="0" w:space="0" w:color="auto"/>
            <w:left w:val="none" w:sz="0" w:space="0" w:color="auto"/>
            <w:bottom w:val="none" w:sz="0" w:space="0" w:color="auto"/>
            <w:right w:val="none" w:sz="0" w:space="0" w:color="auto"/>
          </w:divBdr>
        </w:div>
        <w:div w:id="1367023648">
          <w:marLeft w:val="480"/>
          <w:marRight w:val="0"/>
          <w:marTop w:val="0"/>
          <w:marBottom w:val="0"/>
          <w:divBdr>
            <w:top w:val="none" w:sz="0" w:space="0" w:color="auto"/>
            <w:left w:val="none" w:sz="0" w:space="0" w:color="auto"/>
            <w:bottom w:val="none" w:sz="0" w:space="0" w:color="auto"/>
            <w:right w:val="none" w:sz="0" w:space="0" w:color="auto"/>
          </w:divBdr>
        </w:div>
        <w:div w:id="253101000">
          <w:marLeft w:val="480"/>
          <w:marRight w:val="0"/>
          <w:marTop w:val="0"/>
          <w:marBottom w:val="0"/>
          <w:divBdr>
            <w:top w:val="none" w:sz="0" w:space="0" w:color="auto"/>
            <w:left w:val="none" w:sz="0" w:space="0" w:color="auto"/>
            <w:bottom w:val="none" w:sz="0" w:space="0" w:color="auto"/>
            <w:right w:val="none" w:sz="0" w:space="0" w:color="auto"/>
          </w:divBdr>
        </w:div>
        <w:div w:id="582688737">
          <w:marLeft w:val="480"/>
          <w:marRight w:val="0"/>
          <w:marTop w:val="0"/>
          <w:marBottom w:val="0"/>
          <w:divBdr>
            <w:top w:val="none" w:sz="0" w:space="0" w:color="auto"/>
            <w:left w:val="none" w:sz="0" w:space="0" w:color="auto"/>
            <w:bottom w:val="none" w:sz="0" w:space="0" w:color="auto"/>
            <w:right w:val="none" w:sz="0" w:space="0" w:color="auto"/>
          </w:divBdr>
        </w:div>
        <w:div w:id="2069187355">
          <w:marLeft w:val="480"/>
          <w:marRight w:val="0"/>
          <w:marTop w:val="0"/>
          <w:marBottom w:val="0"/>
          <w:divBdr>
            <w:top w:val="none" w:sz="0" w:space="0" w:color="auto"/>
            <w:left w:val="none" w:sz="0" w:space="0" w:color="auto"/>
            <w:bottom w:val="none" w:sz="0" w:space="0" w:color="auto"/>
            <w:right w:val="none" w:sz="0" w:space="0" w:color="auto"/>
          </w:divBdr>
        </w:div>
        <w:div w:id="1925676327">
          <w:marLeft w:val="480"/>
          <w:marRight w:val="0"/>
          <w:marTop w:val="0"/>
          <w:marBottom w:val="0"/>
          <w:divBdr>
            <w:top w:val="none" w:sz="0" w:space="0" w:color="auto"/>
            <w:left w:val="none" w:sz="0" w:space="0" w:color="auto"/>
            <w:bottom w:val="none" w:sz="0" w:space="0" w:color="auto"/>
            <w:right w:val="none" w:sz="0" w:space="0" w:color="auto"/>
          </w:divBdr>
        </w:div>
        <w:div w:id="1737163669">
          <w:marLeft w:val="480"/>
          <w:marRight w:val="0"/>
          <w:marTop w:val="0"/>
          <w:marBottom w:val="0"/>
          <w:divBdr>
            <w:top w:val="none" w:sz="0" w:space="0" w:color="auto"/>
            <w:left w:val="none" w:sz="0" w:space="0" w:color="auto"/>
            <w:bottom w:val="none" w:sz="0" w:space="0" w:color="auto"/>
            <w:right w:val="none" w:sz="0" w:space="0" w:color="auto"/>
          </w:divBdr>
        </w:div>
        <w:div w:id="1676181383">
          <w:marLeft w:val="480"/>
          <w:marRight w:val="0"/>
          <w:marTop w:val="0"/>
          <w:marBottom w:val="0"/>
          <w:divBdr>
            <w:top w:val="none" w:sz="0" w:space="0" w:color="auto"/>
            <w:left w:val="none" w:sz="0" w:space="0" w:color="auto"/>
            <w:bottom w:val="none" w:sz="0" w:space="0" w:color="auto"/>
            <w:right w:val="none" w:sz="0" w:space="0" w:color="auto"/>
          </w:divBdr>
        </w:div>
        <w:div w:id="377969526">
          <w:marLeft w:val="480"/>
          <w:marRight w:val="0"/>
          <w:marTop w:val="0"/>
          <w:marBottom w:val="0"/>
          <w:divBdr>
            <w:top w:val="none" w:sz="0" w:space="0" w:color="auto"/>
            <w:left w:val="none" w:sz="0" w:space="0" w:color="auto"/>
            <w:bottom w:val="none" w:sz="0" w:space="0" w:color="auto"/>
            <w:right w:val="none" w:sz="0" w:space="0" w:color="auto"/>
          </w:divBdr>
        </w:div>
        <w:div w:id="1351294156">
          <w:marLeft w:val="480"/>
          <w:marRight w:val="0"/>
          <w:marTop w:val="0"/>
          <w:marBottom w:val="0"/>
          <w:divBdr>
            <w:top w:val="none" w:sz="0" w:space="0" w:color="auto"/>
            <w:left w:val="none" w:sz="0" w:space="0" w:color="auto"/>
            <w:bottom w:val="none" w:sz="0" w:space="0" w:color="auto"/>
            <w:right w:val="none" w:sz="0" w:space="0" w:color="auto"/>
          </w:divBdr>
        </w:div>
        <w:div w:id="1145661392">
          <w:marLeft w:val="480"/>
          <w:marRight w:val="0"/>
          <w:marTop w:val="0"/>
          <w:marBottom w:val="0"/>
          <w:divBdr>
            <w:top w:val="none" w:sz="0" w:space="0" w:color="auto"/>
            <w:left w:val="none" w:sz="0" w:space="0" w:color="auto"/>
            <w:bottom w:val="none" w:sz="0" w:space="0" w:color="auto"/>
            <w:right w:val="none" w:sz="0" w:space="0" w:color="auto"/>
          </w:divBdr>
        </w:div>
        <w:div w:id="765617316">
          <w:marLeft w:val="480"/>
          <w:marRight w:val="0"/>
          <w:marTop w:val="0"/>
          <w:marBottom w:val="0"/>
          <w:divBdr>
            <w:top w:val="none" w:sz="0" w:space="0" w:color="auto"/>
            <w:left w:val="none" w:sz="0" w:space="0" w:color="auto"/>
            <w:bottom w:val="none" w:sz="0" w:space="0" w:color="auto"/>
            <w:right w:val="none" w:sz="0" w:space="0" w:color="auto"/>
          </w:divBdr>
        </w:div>
        <w:div w:id="461921783">
          <w:marLeft w:val="480"/>
          <w:marRight w:val="0"/>
          <w:marTop w:val="0"/>
          <w:marBottom w:val="0"/>
          <w:divBdr>
            <w:top w:val="none" w:sz="0" w:space="0" w:color="auto"/>
            <w:left w:val="none" w:sz="0" w:space="0" w:color="auto"/>
            <w:bottom w:val="none" w:sz="0" w:space="0" w:color="auto"/>
            <w:right w:val="none" w:sz="0" w:space="0" w:color="auto"/>
          </w:divBdr>
        </w:div>
        <w:div w:id="2021077591">
          <w:marLeft w:val="480"/>
          <w:marRight w:val="0"/>
          <w:marTop w:val="0"/>
          <w:marBottom w:val="0"/>
          <w:divBdr>
            <w:top w:val="none" w:sz="0" w:space="0" w:color="auto"/>
            <w:left w:val="none" w:sz="0" w:space="0" w:color="auto"/>
            <w:bottom w:val="none" w:sz="0" w:space="0" w:color="auto"/>
            <w:right w:val="none" w:sz="0" w:space="0" w:color="auto"/>
          </w:divBdr>
        </w:div>
        <w:div w:id="1074819065">
          <w:marLeft w:val="480"/>
          <w:marRight w:val="0"/>
          <w:marTop w:val="0"/>
          <w:marBottom w:val="0"/>
          <w:divBdr>
            <w:top w:val="none" w:sz="0" w:space="0" w:color="auto"/>
            <w:left w:val="none" w:sz="0" w:space="0" w:color="auto"/>
            <w:bottom w:val="none" w:sz="0" w:space="0" w:color="auto"/>
            <w:right w:val="none" w:sz="0" w:space="0" w:color="auto"/>
          </w:divBdr>
        </w:div>
        <w:div w:id="1088500853">
          <w:marLeft w:val="480"/>
          <w:marRight w:val="0"/>
          <w:marTop w:val="0"/>
          <w:marBottom w:val="0"/>
          <w:divBdr>
            <w:top w:val="none" w:sz="0" w:space="0" w:color="auto"/>
            <w:left w:val="none" w:sz="0" w:space="0" w:color="auto"/>
            <w:bottom w:val="none" w:sz="0" w:space="0" w:color="auto"/>
            <w:right w:val="none" w:sz="0" w:space="0" w:color="auto"/>
          </w:divBdr>
        </w:div>
        <w:div w:id="1900439821">
          <w:marLeft w:val="480"/>
          <w:marRight w:val="0"/>
          <w:marTop w:val="0"/>
          <w:marBottom w:val="0"/>
          <w:divBdr>
            <w:top w:val="none" w:sz="0" w:space="0" w:color="auto"/>
            <w:left w:val="none" w:sz="0" w:space="0" w:color="auto"/>
            <w:bottom w:val="none" w:sz="0" w:space="0" w:color="auto"/>
            <w:right w:val="none" w:sz="0" w:space="0" w:color="auto"/>
          </w:divBdr>
        </w:div>
        <w:div w:id="1350568406">
          <w:marLeft w:val="480"/>
          <w:marRight w:val="0"/>
          <w:marTop w:val="0"/>
          <w:marBottom w:val="0"/>
          <w:divBdr>
            <w:top w:val="none" w:sz="0" w:space="0" w:color="auto"/>
            <w:left w:val="none" w:sz="0" w:space="0" w:color="auto"/>
            <w:bottom w:val="none" w:sz="0" w:space="0" w:color="auto"/>
            <w:right w:val="none" w:sz="0" w:space="0" w:color="auto"/>
          </w:divBdr>
        </w:div>
        <w:div w:id="1501192394">
          <w:marLeft w:val="480"/>
          <w:marRight w:val="0"/>
          <w:marTop w:val="0"/>
          <w:marBottom w:val="0"/>
          <w:divBdr>
            <w:top w:val="none" w:sz="0" w:space="0" w:color="auto"/>
            <w:left w:val="none" w:sz="0" w:space="0" w:color="auto"/>
            <w:bottom w:val="none" w:sz="0" w:space="0" w:color="auto"/>
            <w:right w:val="none" w:sz="0" w:space="0" w:color="auto"/>
          </w:divBdr>
        </w:div>
        <w:div w:id="1476945086">
          <w:marLeft w:val="480"/>
          <w:marRight w:val="0"/>
          <w:marTop w:val="0"/>
          <w:marBottom w:val="0"/>
          <w:divBdr>
            <w:top w:val="none" w:sz="0" w:space="0" w:color="auto"/>
            <w:left w:val="none" w:sz="0" w:space="0" w:color="auto"/>
            <w:bottom w:val="none" w:sz="0" w:space="0" w:color="auto"/>
            <w:right w:val="none" w:sz="0" w:space="0" w:color="auto"/>
          </w:divBdr>
        </w:div>
        <w:div w:id="74864264">
          <w:marLeft w:val="480"/>
          <w:marRight w:val="0"/>
          <w:marTop w:val="0"/>
          <w:marBottom w:val="0"/>
          <w:divBdr>
            <w:top w:val="none" w:sz="0" w:space="0" w:color="auto"/>
            <w:left w:val="none" w:sz="0" w:space="0" w:color="auto"/>
            <w:bottom w:val="none" w:sz="0" w:space="0" w:color="auto"/>
            <w:right w:val="none" w:sz="0" w:space="0" w:color="auto"/>
          </w:divBdr>
        </w:div>
        <w:div w:id="786050230">
          <w:marLeft w:val="480"/>
          <w:marRight w:val="0"/>
          <w:marTop w:val="0"/>
          <w:marBottom w:val="0"/>
          <w:divBdr>
            <w:top w:val="none" w:sz="0" w:space="0" w:color="auto"/>
            <w:left w:val="none" w:sz="0" w:space="0" w:color="auto"/>
            <w:bottom w:val="none" w:sz="0" w:space="0" w:color="auto"/>
            <w:right w:val="none" w:sz="0" w:space="0" w:color="auto"/>
          </w:divBdr>
        </w:div>
        <w:div w:id="1636717582">
          <w:marLeft w:val="480"/>
          <w:marRight w:val="0"/>
          <w:marTop w:val="0"/>
          <w:marBottom w:val="0"/>
          <w:divBdr>
            <w:top w:val="none" w:sz="0" w:space="0" w:color="auto"/>
            <w:left w:val="none" w:sz="0" w:space="0" w:color="auto"/>
            <w:bottom w:val="none" w:sz="0" w:space="0" w:color="auto"/>
            <w:right w:val="none" w:sz="0" w:space="0" w:color="auto"/>
          </w:divBdr>
        </w:div>
        <w:div w:id="1238975475">
          <w:marLeft w:val="480"/>
          <w:marRight w:val="0"/>
          <w:marTop w:val="0"/>
          <w:marBottom w:val="0"/>
          <w:divBdr>
            <w:top w:val="none" w:sz="0" w:space="0" w:color="auto"/>
            <w:left w:val="none" w:sz="0" w:space="0" w:color="auto"/>
            <w:bottom w:val="none" w:sz="0" w:space="0" w:color="auto"/>
            <w:right w:val="none" w:sz="0" w:space="0" w:color="auto"/>
          </w:divBdr>
        </w:div>
        <w:div w:id="1421829208">
          <w:marLeft w:val="480"/>
          <w:marRight w:val="0"/>
          <w:marTop w:val="0"/>
          <w:marBottom w:val="0"/>
          <w:divBdr>
            <w:top w:val="none" w:sz="0" w:space="0" w:color="auto"/>
            <w:left w:val="none" w:sz="0" w:space="0" w:color="auto"/>
            <w:bottom w:val="none" w:sz="0" w:space="0" w:color="auto"/>
            <w:right w:val="none" w:sz="0" w:space="0" w:color="auto"/>
          </w:divBdr>
        </w:div>
        <w:div w:id="561796628">
          <w:marLeft w:val="480"/>
          <w:marRight w:val="0"/>
          <w:marTop w:val="0"/>
          <w:marBottom w:val="0"/>
          <w:divBdr>
            <w:top w:val="none" w:sz="0" w:space="0" w:color="auto"/>
            <w:left w:val="none" w:sz="0" w:space="0" w:color="auto"/>
            <w:bottom w:val="none" w:sz="0" w:space="0" w:color="auto"/>
            <w:right w:val="none" w:sz="0" w:space="0" w:color="auto"/>
          </w:divBdr>
        </w:div>
        <w:div w:id="1749418292">
          <w:marLeft w:val="480"/>
          <w:marRight w:val="0"/>
          <w:marTop w:val="0"/>
          <w:marBottom w:val="0"/>
          <w:divBdr>
            <w:top w:val="none" w:sz="0" w:space="0" w:color="auto"/>
            <w:left w:val="none" w:sz="0" w:space="0" w:color="auto"/>
            <w:bottom w:val="none" w:sz="0" w:space="0" w:color="auto"/>
            <w:right w:val="none" w:sz="0" w:space="0" w:color="auto"/>
          </w:divBdr>
        </w:div>
        <w:div w:id="1090738101">
          <w:marLeft w:val="480"/>
          <w:marRight w:val="0"/>
          <w:marTop w:val="0"/>
          <w:marBottom w:val="0"/>
          <w:divBdr>
            <w:top w:val="none" w:sz="0" w:space="0" w:color="auto"/>
            <w:left w:val="none" w:sz="0" w:space="0" w:color="auto"/>
            <w:bottom w:val="none" w:sz="0" w:space="0" w:color="auto"/>
            <w:right w:val="none" w:sz="0" w:space="0" w:color="auto"/>
          </w:divBdr>
        </w:div>
        <w:div w:id="1760911035">
          <w:marLeft w:val="480"/>
          <w:marRight w:val="0"/>
          <w:marTop w:val="0"/>
          <w:marBottom w:val="0"/>
          <w:divBdr>
            <w:top w:val="none" w:sz="0" w:space="0" w:color="auto"/>
            <w:left w:val="none" w:sz="0" w:space="0" w:color="auto"/>
            <w:bottom w:val="none" w:sz="0" w:space="0" w:color="auto"/>
            <w:right w:val="none" w:sz="0" w:space="0" w:color="auto"/>
          </w:divBdr>
        </w:div>
        <w:div w:id="1089889515">
          <w:marLeft w:val="480"/>
          <w:marRight w:val="0"/>
          <w:marTop w:val="0"/>
          <w:marBottom w:val="0"/>
          <w:divBdr>
            <w:top w:val="none" w:sz="0" w:space="0" w:color="auto"/>
            <w:left w:val="none" w:sz="0" w:space="0" w:color="auto"/>
            <w:bottom w:val="none" w:sz="0" w:space="0" w:color="auto"/>
            <w:right w:val="none" w:sz="0" w:space="0" w:color="auto"/>
          </w:divBdr>
        </w:div>
        <w:div w:id="1108306631">
          <w:marLeft w:val="480"/>
          <w:marRight w:val="0"/>
          <w:marTop w:val="0"/>
          <w:marBottom w:val="0"/>
          <w:divBdr>
            <w:top w:val="none" w:sz="0" w:space="0" w:color="auto"/>
            <w:left w:val="none" w:sz="0" w:space="0" w:color="auto"/>
            <w:bottom w:val="none" w:sz="0" w:space="0" w:color="auto"/>
            <w:right w:val="none" w:sz="0" w:space="0" w:color="auto"/>
          </w:divBdr>
        </w:div>
        <w:div w:id="86509699">
          <w:marLeft w:val="480"/>
          <w:marRight w:val="0"/>
          <w:marTop w:val="0"/>
          <w:marBottom w:val="0"/>
          <w:divBdr>
            <w:top w:val="none" w:sz="0" w:space="0" w:color="auto"/>
            <w:left w:val="none" w:sz="0" w:space="0" w:color="auto"/>
            <w:bottom w:val="none" w:sz="0" w:space="0" w:color="auto"/>
            <w:right w:val="none" w:sz="0" w:space="0" w:color="auto"/>
          </w:divBdr>
        </w:div>
        <w:div w:id="250479204">
          <w:marLeft w:val="480"/>
          <w:marRight w:val="0"/>
          <w:marTop w:val="0"/>
          <w:marBottom w:val="0"/>
          <w:divBdr>
            <w:top w:val="none" w:sz="0" w:space="0" w:color="auto"/>
            <w:left w:val="none" w:sz="0" w:space="0" w:color="auto"/>
            <w:bottom w:val="none" w:sz="0" w:space="0" w:color="auto"/>
            <w:right w:val="none" w:sz="0" w:space="0" w:color="auto"/>
          </w:divBdr>
        </w:div>
        <w:div w:id="1088966693">
          <w:marLeft w:val="480"/>
          <w:marRight w:val="0"/>
          <w:marTop w:val="0"/>
          <w:marBottom w:val="0"/>
          <w:divBdr>
            <w:top w:val="none" w:sz="0" w:space="0" w:color="auto"/>
            <w:left w:val="none" w:sz="0" w:space="0" w:color="auto"/>
            <w:bottom w:val="none" w:sz="0" w:space="0" w:color="auto"/>
            <w:right w:val="none" w:sz="0" w:space="0" w:color="auto"/>
          </w:divBdr>
        </w:div>
        <w:div w:id="1116288188">
          <w:marLeft w:val="480"/>
          <w:marRight w:val="0"/>
          <w:marTop w:val="0"/>
          <w:marBottom w:val="0"/>
          <w:divBdr>
            <w:top w:val="none" w:sz="0" w:space="0" w:color="auto"/>
            <w:left w:val="none" w:sz="0" w:space="0" w:color="auto"/>
            <w:bottom w:val="none" w:sz="0" w:space="0" w:color="auto"/>
            <w:right w:val="none" w:sz="0" w:space="0" w:color="auto"/>
          </w:divBdr>
        </w:div>
        <w:div w:id="755201362">
          <w:marLeft w:val="480"/>
          <w:marRight w:val="0"/>
          <w:marTop w:val="0"/>
          <w:marBottom w:val="0"/>
          <w:divBdr>
            <w:top w:val="none" w:sz="0" w:space="0" w:color="auto"/>
            <w:left w:val="none" w:sz="0" w:space="0" w:color="auto"/>
            <w:bottom w:val="none" w:sz="0" w:space="0" w:color="auto"/>
            <w:right w:val="none" w:sz="0" w:space="0" w:color="auto"/>
          </w:divBdr>
        </w:div>
        <w:div w:id="1837838334">
          <w:marLeft w:val="480"/>
          <w:marRight w:val="0"/>
          <w:marTop w:val="0"/>
          <w:marBottom w:val="0"/>
          <w:divBdr>
            <w:top w:val="none" w:sz="0" w:space="0" w:color="auto"/>
            <w:left w:val="none" w:sz="0" w:space="0" w:color="auto"/>
            <w:bottom w:val="none" w:sz="0" w:space="0" w:color="auto"/>
            <w:right w:val="none" w:sz="0" w:space="0" w:color="auto"/>
          </w:divBdr>
        </w:div>
        <w:div w:id="676008035">
          <w:marLeft w:val="480"/>
          <w:marRight w:val="0"/>
          <w:marTop w:val="0"/>
          <w:marBottom w:val="0"/>
          <w:divBdr>
            <w:top w:val="none" w:sz="0" w:space="0" w:color="auto"/>
            <w:left w:val="none" w:sz="0" w:space="0" w:color="auto"/>
            <w:bottom w:val="none" w:sz="0" w:space="0" w:color="auto"/>
            <w:right w:val="none" w:sz="0" w:space="0" w:color="auto"/>
          </w:divBdr>
        </w:div>
        <w:div w:id="648559193">
          <w:marLeft w:val="480"/>
          <w:marRight w:val="0"/>
          <w:marTop w:val="0"/>
          <w:marBottom w:val="0"/>
          <w:divBdr>
            <w:top w:val="none" w:sz="0" w:space="0" w:color="auto"/>
            <w:left w:val="none" w:sz="0" w:space="0" w:color="auto"/>
            <w:bottom w:val="none" w:sz="0" w:space="0" w:color="auto"/>
            <w:right w:val="none" w:sz="0" w:space="0" w:color="auto"/>
          </w:divBdr>
        </w:div>
        <w:div w:id="55276335">
          <w:marLeft w:val="480"/>
          <w:marRight w:val="0"/>
          <w:marTop w:val="0"/>
          <w:marBottom w:val="0"/>
          <w:divBdr>
            <w:top w:val="none" w:sz="0" w:space="0" w:color="auto"/>
            <w:left w:val="none" w:sz="0" w:space="0" w:color="auto"/>
            <w:bottom w:val="none" w:sz="0" w:space="0" w:color="auto"/>
            <w:right w:val="none" w:sz="0" w:space="0" w:color="auto"/>
          </w:divBdr>
        </w:div>
        <w:div w:id="253369717">
          <w:marLeft w:val="480"/>
          <w:marRight w:val="0"/>
          <w:marTop w:val="0"/>
          <w:marBottom w:val="0"/>
          <w:divBdr>
            <w:top w:val="none" w:sz="0" w:space="0" w:color="auto"/>
            <w:left w:val="none" w:sz="0" w:space="0" w:color="auto"/>
            <w:bottom w:val="none" w:sz="0" w:space="0" w:color="auto"/>
            <w:right w:val="none" w:sz="0" w:space="0" w:color="auto"/>
          </w:divBdr>
        </w:div>
        <w:div w:id="494995506">
          <w:marLeft w:val="480"/>
          <w:marRight w:val="0"/>
          <w:marTop w:val="0"/>
          <w:marBottom w:val="0"/>
          <w:divBdr>
            <w:top w:val="none" w:sz="0" w:space="0" w:color="auto"/>
            <w:left w:val="none" w:sz="0" w:space="0" w:color="auto"/>
            <w:bottom w:val="none" w:sz="0" w:space="0" w:color="auto"/>
            <w:right w:val="none" w:sz="0" w:space="0" w:color="auto"/>
          </w:divBdr>
        </w:div>
        <w:div w:id="1884831546">
          <w:marLeft w:val="480"/>
          <w:marRight w:val="0"/>
          <w:marTop w:val="0"/>
          <w:marBottom w:val="0"/>
          <w:divBdr>
            <w:top w:val="none" w:sz="0" w:space="0" w:color="auto"/>
            <w:left w:val="none" w:sz="0" w:space="0" w:color="auto"/>
            <w:bottom w:val="none" w:sz="0" w:space="0" w:color="auto"/>
            <w:right w:val="none" w:sz="0" w:space="0" w:color="auto"/>
          </w:divBdr>
        </w:div>
        <w:div w:id="946887667">
          <w:marLeft w:val="480"/>
          <w:marRight w:val="0"/>
          <w:marTop w:val="0"/>
          <w:marBottom w:val="0"/>
          <w:divBdr>
            <w:top w:val="none" w:sz="0" w:space="0" w:color="auto"/>
            <w:left w:val="none" w:sz="0" w:space="0" w:color="auto"/>
            <w:bottom w:val="none" w:sz="0" w:space="0" w:color="auto"/>
            <w:right w:val="none" w:sz="0" w:space="0" w:color="auto"/>
          </w:divBdr>
        </w:div>
        <w:div w:id="608005792">
          <w:marLeft w:val="480"/>
          <w:marRight w:val="0"/>
          <w:marTop w:val="0"/>
          <w:marBottom w:val="0"/>
          <w:divBdr>
            <w:top w:val="none" w:sz="0" w:space="0" w:color="auto"/>
            <w:left w:val="none" w:sz="0" w:space="0" w:color="auto"/>
            <w:bottom w:val="none" w:sz="0" w:space="0" w:color="auto"/>
            <w:right w:val="none" w:sz="0" w:space="0" w:color="auto"/>
          </w:divBdr>
        </w:div>
        <w:div w:id="123474180">
          <w:marLeft w:val="480"/>
          <w:marRight w:val="0"/>
          <w:marTop w:val="0"/>
          <w:marBottom w:val="0"/>
          <w:divBdr>
            <w:top w:val="none" w:sz="0" w:space="0" w:color="auto"/>
            <w:left w:val="none" w:sz="0" w:space="0" w:color="auto"/>
            <w:bottom w:val="none" w:sz="0" w:space="0" w:color="auto"/>
            <w:right w:val="none" w:sz="0" w:space="0" w:color="auto"/>
          </w:divBdr>
        </w:div>
        <w:div w:id="1411536825">
          <w:marLeft w:val="480"/>
          <w:marRight w:val="0"/>
          <w:marTop w:val="0"/>
          <w:marBottom w:val="0"/>
          <w:divBdr>
            <w:top w:val="none" w:sz="0" w:space="0" w:color="auto"/>
            <w:left w:val="none" w:sz="0" w:space="0" w:color="auto"/>
            <w:bottom w:val="none" w:sz="0" w:space="0" w:color="auto"/>
            <w:right w:val="none" w:sz="0" w:space="0" w:color="auto"/>
          </w:divBdr>
        </w:div>
        <w:div w:id="115368130">
          <w:marLeft w:val="480"/>
          <w:marRight w:val="0"/>
          <w:marTop w:val="0"/>
          <w:marBottom w:val="0"/>
          <w:divBdr>
            <w:top w:val="none" w:sz="0" w:space="0" w:color="auto"/>
            <w:left w:val="none" w:sz="0" w:space="0" w:color="auto"/>
            <w:bottom w:val="none" w:sz="0" w:space="0" w:color="auto"/>
            <w:right w:val="none" w:sz="0" w:space="0" w:color="auto"/>
          </w:divBdr>
        </w:div>
        <w:div w:id="281812689">
          <w:marLeft w:val="480"/>
          <w:marRight w:val="0"/>
          <w:marTop w:val="0"/>
          <w:marBottom w:val="0"/>
          <w:divBdr>
            <w:top w:val="none" w:sz="0" w:space="0" w:color="auto"/>
            <w:left w:val="none" w:sz="0" w:space="0" w:color="auto"/>
            <w:bottom w:val="none" w:sz="0" w:space="0" w:color="auto"/>
            <w:right w:val="none" w:sz="0" w:space="0" w:color="auto"/>
          </w:divBdr>
        </w:div>
        <w:div w:id="951665659">
          <w:marLeft w:val="480"/>
          <w:marRight w:val="0"/>
          <w:marTop w:val="0"/>
          <w:marBottom w:val="0"/>
          <w:divBdr>
            <w:top w:val="none" w:sz="0" w:space="0" w:color="auto"/>
            <w:left w:val="none" w:sz="0" w:space="0" w:color="auto"/>
            <w:bottom w:val="none" w:sz="0" w:space="0" w:color="auto"/>
            <w:right w:val="none" w:sz="0" w:space="0" w:color="auto"/>
          </w:divBdr>
        </w:div>
        <w:div w:id="2136017929">
          <w:marLeft w:val="480"/>
          <w:marRight w:val="0"/>
          <w:marTop w:val="0"/>
          <w:marBottom w:val="0"/>
          <w:divBdr>
            <w:top w:val="none" w:sz="0" w:space="0" w:color="auto"/>
            <w:left w:val="none" w:sz="0" w:space="0" w:color="auto"/>
            <w:bottom w:val="none" w:sz="0" w:space="0" w:color="auto"/>
            <w:right w:val="none" w:sz="0" w:space="0" w:color="auto"/>
          </w:divBdr>
        </w:div>
        <w:div w:id="1028337985">
          <w:marLeft w:val="480"/>
          <w:marRight w:val="0"/>
          <w:marTop w:val="0"/>
          <w:marBottom w:val="0"/>
          <w:divBdr>
            <w:top w:val="none" w:sz="0" w:space="0" w:color="auto"/>
            <w:left w:val="none" w:sz="0" w:space="0" w:color="auto"/>
            <w:bottom w:val="none" w:sz="0" w:space="0" w:color="auto"/>
            <w:right w:val="none" w:sz="0" w:space="0" w:color="auto"/>
          </w:divBdr>
        </w:div>
        <w:div w:id="489293158">
          <w:marLeft w:val="480"/>
          <w:marRight w:val="0"/>
          <w:marTop w:val="0"/>
          <w:marBottom w:val="0"/>
          <w:divBdr>
            <w:top w:val="none" w:sz="0" w:space="0" w:color="auto"/>
            <w:left w:val="none" w:sz="0" w:space="0" w:color="auto"/>
            <w:bottom w:val="none" w:sz="0" w:space="0" w:color="auto"/>
            <w:right w:val="none" w:sz="0" w:space="0" w:color="auto"/>
          </w:divBdr>
        </w:div>
        <w:div w:id="334192362">
          <w:marLeft w:val="480"/>
          <w:marRight w:val="0"/>
          <w:marTop w:val="0"/>
          <w:marBottom w:val="0"/>
          <w:divBdr>
            <w:top w:val="none" w:sz="0" w:space="0" w:color="auto"/>
            <w:left w:val="none" w:sz="0" w:space="0" w:color="auto"/>
            <w:bottom w:val="none" w:sz="0" w:space="0" w:color="auto"/>
            <w:right w:val="none" w:sz="0" w:space="0" w:color="auto"/>
          </w:divBdr>
        </w:div>
        <w:div w:id="1687049581">
          <w:marLeft w:val="480"/>
          <w:marRight w:val="0"/>
          <w:marTop w:val="0"/>
          <w:marBottom w:val="0"/>
          <w:divBdr>
            <w:top w:val="none" w:sz="0" w:space="0" w:color="auto"/>
            <w:left w:val="none" w:sz="0" w:space="0" w:color="auto"/>
            <w:bottom w:val="none" w:sz="0" w:space="0" w:color="auto"/>
            <w:right w:val="none" w:sz="0" w:space="0" w:color="auto"/>
          </w:divBdr>
        </w:div>
        <w:div w:id="1298878969">
          <w:marLeft w:val="480"/>
          <w:marRight w:val="0"/>
          <w:marTop w:val="0"/>
          <w:marBottom w:val="0"/>
          <w:divBdr>
            <w:top w:val="none" w:sz="0" w:space="0" w:color="auto"/>
            <w:left w:val="none" w:sz="0" w:space="0" w:color="auto"/>
            <w:bottom w:val="none" w:sz="0" w:space="0" w:color="auto"/>
            <w:right w:val="none" w:sz="0" w:space="0" w:color="auto"/>
          </w:divBdr>
        </w:div>
        <w:div w:id="1793093234">
          <w:marLeft w:val="480"/>
          <w:marRight w:val="0"/>
          <w:marTop w:val="0"/>
          <w:marBottom w:val="0"/>
          <w:divBdr>
            <w:top w:val="none" w:sz="0" w:space="0" w:color="auto"/>
            <w:left w:val="none" w:sz="0" w:space="0" w:color="auto"/>
            <w:bottom w:val="none" w:sz="0" w:space="0" w:color="auto"/>
            <w:right w:val="none" w:sz="0" w:space="0" w:color="auto"/>
          </w:divBdr>
        </w:div>
        <w:div w:id="1193959053">
          <w:marLeft w:val="480"/>
          <w:marRight w:val="0"/>
          <w:marTop w:val="0"/>
          <w:marBottom w:val="0"/>
          <w:divBdr>
            <w:top w:val="none" w:sz="0" w:space="0" w:color="auto"/>
            <w:left w:val="none" w:sz="0" w:space="0" w:color="auto"/>
            <w:bottom w:val="none" w:sz="0" w:space="0" w:color="auto"/>
            <w:right w:val="none" w:sz="0" w:space="0" w:color="auto"/>
          </w:divBdr>
        </w:div>
        <w:div w:id="1501239667">
          <w:marLeft w:val="480"/>
          <w:marRight w:val="0"/>
          <w:marTop w:val="0"/>
          <w:marBottom w:val="0"/>
          <w:divBdr>
            <w:top w:val="none" w:sz="0" w:space="0" w:color="auto"/>
            <w:left w:val="none" w:sz="0" w:space="0" w:color="auto"/>
            <w:bottom w:val="none" w:sz="0" w:space="0" w:color="auto"/>
            <w:right w:val="none" w:sz="0" w:space="0" w:color="auto"/>
          </w:divBdr>
        </w:div>
        <w:div w:id="1687827209">
          <w:marLeft w:val="480"/>
          <w:marRight w:val="0"/>
          <w:marTop w:val="0"/>
          <w:marBottom w:val="0"/>
          <w:divBdr>
            <w:top w:val="none" w:sz="0" w:space="0" w:color="auto"/>
            <w:left w:val="none" w:sz="0" w:space="0" w:color="auto"/>
            <w:bottom w:val="none" w:sz="0" w:space="0" w:color="auto"/>
            <w:right w:val="none" w:sz="0" w:space="0" w:color="auto"/>
          </w:divBdr>
        </w:div>
        <w:div w:id="2016102825">
          <w:marLeft w:val="480"/>
          <w:marRight w:val="0"/>
          <w:marTop w:val="0"/>
          <w:marBottom w:val="0"/>
          <w:divBdr>
            <w:top w:val="none" w:sz="0" w:space="0" w:color="auto"/>
            <w:left w:val="none" w:sz="0" w:space="0" w:color="auto"/>
            <w:bottom w:val="none" w:sz="0" w:space="0" w:color="auto"/>
            <w:right w:val="none" w:sz="0" w:space="0" w:color="auto"/>
          </w:divBdr>
        </w:div>
        <w:div w:id="1905872650">
          <w:marLeft w:val="480"/>
          <w:marRight w:val="0"/>
          <w:marTop w:val="0"/>
          <w:marBottom w:val="0"/>
          <w:divBdr>
            <w:top w:val="none" w:sz="0" w:space="0" w:color="auto"/>
            <w:left w:val="none" w:sz="0" w:space="0" w:color="auto"/>
            <w:bottom w:val="none" w:sz="0" w:space="0" w:color="auto"/>
            <w:right w:val="none" w:sz="0" w:space="0" w:color="auto"/>
          </w:divBdr>
        </w:div>
        <w:div w:id="1416440973">
          <w:marLeft w:val="480"/>
          <w:marRight w:val="0"/>
          <w:marTop w:val="0"/>
          <w:marBottom w:val="0"/>
          <w:divBdr>
            <w:top w:val="none" w:sz="0" w:space="0" w:color="auto"/>
            <w:left w:val="none" w:sz="0" w:space="0" w:color="auto"/>
            <w:bottom w:val="none" w:sz="0" w:space="0" w:color="auto"/>
            <w:right w:val="none" w:sz="0" w:space="0" w:color="auto"/>
          </w:divBdr>
        </w:div>
        <w:div w:id="641543439">
          <w:marLeft w:val="480"/>
          <w:marRight w:val="0"/>
          <w:marTop w:val="0"/>
          <w:marBottom w:val="0"/>
          <w:divBdr>
            <w:top w:val="none" w:sz="0" w:space="0" w:color="auto"/>
            <w:left w:val="none" w:sz="0" w:space="0" w:color="auto"/>
            <w:bottom w:val="none" w:sz="0" w:space="0" w:color="auto"/>
            <w:right w:val="none" w:sz="0" w:space="0" w:color="auto"/>
          </w:divBdr>
        </w:div>
        <w:div w:id="1089499799">
          <w:marLeft w:val="480"/>
          <w:marRight w:val="0"/>
          <w:marTop w:val="0"/>
          <w:marBottom w:val="0"/>
          <w:divBdr>
            <w:top w:val="none" w:sz="0" w:space="0" w:color="auto"/>
            <w:left w:val="none" w:sz="0" w:space="0" w:color="auto"/>
            <w:bottom w:val="none" w:sz="0" w:space="0" w:color="auto"/>
            <w:right w:val="none" w:sz="0" w:space="0" w:color="auto"/>
          </w:divBdr>
        </w:div>
        <w:div w:id="1107894115">
          <w:marLeft w:val="480"/>
          <w:marRight w:val="0"/>
          <w:marTop w:val="0"/>
          <w:marBottom w:val="0"/>
          <w:divBdr>
            <w:top w:val="none" w:sz="0" w:space="0" w:color="auto"/>
            <w:left w:val="none" w:sz="0" w:space="0" w:color="auto"/>
            <w:bottom w:val="none" w:sz="0" w:space="0" w:color="auto"/>
            <w:right w:val="none" w:sz="0" w:space="0" w:color="auto"/>
          </w:divBdr>
        </w:div>
        <w:div w:id="398601042">
          <w:marLeft w:val="480"/>
          <w:marRight w:val="0"/>
          <w:marTop w:val="0"/>
          <w:marBottom w:val="0"/>
          <w:divBdr>
            <w:top w:val="none" w:sz="0" w:space="0" w:color="auto"/>
            <w:left w:val="none" w:sz="0" w:space="0" w:color="auto"/>
            <w:bottom w:val="none" w:sz="0" w:space="0" w:color="auto"/>
            <w:right w:val="none" w:sz="0" w:space="0" w:color="auto"/>
          </w:divBdr>
        </w:div>
        <w:div w:id="2065522335">
          <w:marLeft w:val="480"/>
          <w:marRight w:val="0"/>
          <w:marTop w:val="0"/>
          <w:marBottom w:val="0"/>
          <w:divBdr>
            <w:top w:val="none" w:sz="0" w:space="0" w:color="auto"/>
            <w:left w:val="none" w:sz="0" w:space="0" w:color="auto"/>
            <w:bottom w:val="none" w:sz="0" w:space="0" w:color="auto"/>
            <w:right w:val="none" w:sz="0" w:space="0" w:color="auto"/>
          </w:divBdr>
        </w:div>
        <w:div w:id="613249082">
          <w:marLeft w:val="480"/>
          <w:marRight w:val="0"/>
          <w:marTop w:val="0"/>
          <w:marBottom w:val="0"/>
          <w:divBdr>
            <w:top w:val="none" w:sz="0" w:space="0" w:color="auto"/>
            <w:left w:val="none" w:sz="0" w:space="0" w:color="auto"/>
            <w:bottom w:val="none" w:sz="0" w:space="0" w:color="auto"/>
            <w:right w:val="none" w:sz="0" w:space="0" w:color="auto"/>
          </w:divBdr>
        </w:div>
        <w:div w:id="186018989">
          <w:marLeft w:val="480"/>
          <w:marRight w:val="0"/>
          <w:marTop w:val="0"/>
          <w:marBottom w:val="0"/>
          <w:divBdr>
            <w:top w:val="none" w:sz="0" w:space="0" w:color="auto"/>
            <w:left w:val="none" w:sz="0" w:space="0" w:color="auto"/>
            <w:bottom w:val="none" w:sz="0" w:space="0" w:color="auto"/>
            <w:right w:val="none" w:sz="0" w:space="0" w:color="auto"/>
          </w:divBdr>
        </w:div>
        <w:div w:id="1156266322">
          <w:marLeft w:val="480"/>
          <w:marRight w:val="0"/>
          <w:marTop w:val="0"/>
          <w:marBottom w:val="0"/>
          <w:divBdr>
            <w:top w:val="none" w:sz="0" w:space="0" w:color="auto"/>
            <w:left w:val="none" w:sz="0" w:space="0" w:color="auto"/>
            <w:bottom w:val="none" w:sz="0" w:space="0" w:color="auto"/>
            <w:right w:val="none" w:sz="0" w:space="0" w:color="auto"/>
          </w:divBdr>
        </w:div>
        <w:div w:id="410127657">
          <w:marLeft w:val="480"/>
          <w:marRight w:val="0"/>
          <w:marTop w:val="0"/>
          <w:marBottom w:val="0"/>
          <w:divBdr>
            <w:top w:val="none" w:sz="0" w:space="0" w:color="auto"/>
            <w:left w:val="none" w:sz="0" w:space="0" w:color="auto"/>
            <w:bottom w:val="none" w:sz="0" w:space="0" w:color="auto"/>
            <w:right w:val="none" w:sz="0" w:space="0" w:color="auto"/>
          </w:divBdr>
        </w:div>
        <w:div w:id="1879245270">
          <w:marLeft w:val="480"/>
          <w:marRight w:val="0"/>
          <w:marTop w:val="0"/>
          <w:marBottom w:val="0"/>
          <w:divBdr>
            <w:top w:val="none" w:sz="0" w:space="0" w:color="auto"/>
            <w:left w:val="none" w:sz="0" w:space="0" w:color="auto"/>
            <w:bottom w:val="none" w:sz="0" w:space="0" w:color="auto"/>
            <w:right w:val="none" w:sz="0" w:space="0" w:color="auto"/>
          </w:divBdr>
        </w:div>
        <w:div w:id="1857042260">
          <w:marLeft w:val="480"/>
          <w:marRight w:val="0"/>
          <w:marTop w:val="0"/>
          <w:marBottom w:val="0"/>
          <w:divBdr>
            <w:top w:val="none" w:sz="0" w:space="0" w:color="auto"/>
            <w:left w:val="none" w:sz="0" w:space="0" w:color="auto"/>
            <w:bottom w:val="none" w:sz="0" w:space="0" w:color="auto"/>
            <w:right w:val="none" w:sz="0" w:space="0" w:color="auto"/>
          </w:divBdr>
        </w:div>
        <w:div w:id="831144098">
          <w:marLeft w:val="480"/>
          <w:marRight w:val="0"/>
          <w:marTop w:val="0"/>
          <w:marBottom w:val="0"/>
          <w:divBdr>
            <w:top w:val="none" w:sz="0" w:space="0" w:color="auto"/>
            <w:left w:val="none" w:sz="0" w:space="0" w:color="auto"/>
            <w:bottom w:val="none" w:sz="0" w:space="0" w:color="auto"/>
            <w:right w:val="none" w:sz="0" w:space="0" w:color="auto"/>
          </w:divBdr>
        </w:div>
        <w:div w:id="414978786">
          <w:marLeft w:val="480"/>
          <w:marRight w:val="0"/>
          <w:marTop w:val="0"/>
          <w:marBottom w:val="0"/>
          <w:divBdr>
            <w:top w:val="none" w:sz="0" w:space="0" w:color="auto"/>
            <w:left w:val="none" w:sz="0" w:space="0" w:color="auto"/>
            <w:bottom w:val="none" w:sz="0" w:space="0" w:color="auto"/>
            <w:right w:val="none" w:sz="0" w:space="0" w:color="auto"/>
          </w:divBdr>
        </w:div>
        <w:div w:id="1971857791">
          <w:marLeft w:val="480"/>
          <w:marRight w:val="0"/>
          <w:marTop w:val="0"/>
          <w:marBottom w:val="0"/>
          <w:divBdr>
            <w:top w:val="none" w:sz="0" w:space="0" w:color="auto"/>
            <w:left w:val="none" w:sz="0" w:space="0" w:color="auto"/>
            <w:bottom w:val="none" w:sz="0" w:space="0" w:color="auto"/>
            <w:right w:val="none" w:sz="0" w:space="0" w:color="auto"/>
          </w:divBdr>
        </w:div>
        <w:div w:id="90511370">
          <w:marLeft w:val="480"/>
          <w:marRight w:val="0"/>
          <w:marTop w:val="0"/>
          <w:marBottom w:val="0"/>
          <w:divBdr>
            <w:top w:val="none" w:sz="0" w:space="0" w:color="auto"/>
            <w:left w:val="none" w:sz="0" w:space="0" w:color="auto"/>
            <w:bottom w:val="none" w:sz="0" w:space="0" w:color="auto"/>
            <w:right w:val="none" w:sz="0" w:space="0" w:color="auto"/>
          </w:divBdr>
        </w:div>
        <w:div w:id="1246380993">
          <w:marLeft w:val="480"/>
          <w:marRight w:val="0"/>
          <w:marTop w:val="0"/>
          <w:marBottom w:val="0"/>
          <w:divBdr>
            <w:top w:val="none" w:sz="0" w:space="0" w:color="auto"/>
            <w:left w:val="none" w:sz="0" w:space="0" w:color="auto"/>
            <w:bottom w:val="none" w:sz="0" w:space="0" w:color="auto"/>
            <w:right w:val="none" w:sz="0" w:space="0" w:color="auto"/>
          </w:divBdr>
        </w:div>
        <w:div w:id="1499537990">
          <w:marLeft w:val="480"/>
          <w:marRight w:val="0"/>
          <w:marTop w:val="0"/>
          <w:marBottom w:val="0"/>
          <w:divBdr>
            <w:top w:val="none" w:sz="0" w:space="0" w:color="auto"/>
            <w:left w:val="none" w:sz="0" w:space="0" w:color="auto"/>
            <w:bottom w:val="none" w:sz="0" w:space="0" w:color="auto"/>
            <w:right w:val="none" w:sz="0" w:space="0" w:color="auto"/>
          </w:divBdr>
        </w:div>
        <w:div w:id="1993413595">
          <w:marLeft w:val="480"/>
          <w:marRight w:val="0"/>
          <w:marTop w:val="0"/>
          <w:marBottom w:val="0"/>
          <w:divBdr>
            <w:top w:val="none" w:sz="0" w:space="0" w:color="auto"/>
            <w:left w:val="none" w:sz="0" w:space="0" w:color="auto"/>
            <w:bottom w:val="none" w:sz="0" w:space="0" w:color="auto"/>
            <w:right w:val="none" w:sz="0" w:space="0" w:color="auto"/>
          </w:divBdr>
        </w:div>
        <w:div w:id="906719050">
          <w:marLeft w:val="480"/>
          <w:marRight w:val="0"/>
          <w:marTop w:val="0"/>
          <w:marBottom w:val="0"/>
          <w:divBdr>
            <w:top w:val="none" w:sz="0" w:space="0" w:color="auto"/>
            <w:left w:val="none" w:sz="0" w:space="0" w:color="auto"/>
            <w:bottom w:val="none" w:sz="0" w:space="0" w:color="auto"/>
            <w:right w:val="none" w:sz="0" w:space="0" w:color="auto"/>
          </w:divBdr>
        </w:div>
        <w:div w:id="366368992">
          <w:marLeft w:val="480"/>
          <w:marRight w:val="0"/>
          <w:marTop w:val="0"/>
          <w:marBottom w:val="0"/>
          <w:divBdr>
            <w:top w:val="none" w:sz="0" w:space="0" w:color="auto"/>
            <w:left w:val="none" w:sz="0" w:space="0" w:color="auto"/>
            <w:bottom w:val="none" w:sz="0" w:space="0" w:color="auto"/>
            <w:right w:val="none" w:sz="0" w:space="0" w:color="auto"/>
          </w:divBdr>
        </w:div>
        <w:div w:id="600067529">
          <w:marLeft w:val="480"/>
          <w:marRight w:val="0"/>
          <w:marTop w:val="0"/>
          <w:marBottom w:val="0"/>
          <w:divBdr>
            <w:top w:val="none" w:sz="0" w:space="0" w:color="auto"/>
            <w:left w:val="none" w:sz="0" w:space="0" w:color="auto"/>
            <w:bottom w:val="none" w:sz="0" w:space="0" w:color="auto"/>
            <w:right w:val="none" w:sz="0" w:space="0" w:color="auto"/>
          </w:divBdr>
        </w:div>
        <w:div w:id="1112551210">
          <w:marLeft w:val="480"/>
          <w:marRight w:val="0"/>
          <w:marTop w:val="0"/>
          <w:marBottom w:val="0"/>
          <w:divBdr>
            <w:top w:val="none" w:sz="0" w:space="0" w:color="auto"/>
            <w:left w:val="none" w:sz="0" w:space="0" w:color="auto"/>
            <w:bottom w:val="none" w:sz="0" w:space="0" w:color="auto"/>
            <w:right w:val="none" w:sz="0" w:space="0" w:color="auto"/>
          </w:divBdr>
        </w:div>
        <w:div w:id="1775902286">
          <w:marLeft w:val="480"/>
          <w:marRight w:val="0"/>
          <w:marTop w:val="0"/>
          <w:marBottom w:val="0"/>
          <w:divBdr>
            <w:top w:val="none" w:sz="0" w:space="0" w:color="auto"/>
            <w:left w:val="none" w:sz="0" w:space="0" w:color="auto"/>
            <w:bottom w:val="none" w:sz="0" w:space="0" w:color="auto"/>
            <w:right w:val="none" w:sz="0" w:space="0" w:color="auto"/>
          </w:divBdr>
        </w:div>
        <w:div w:id="799037052">
          <w:marLeft w:val="480"/>
          <w:marRight w:val="0"/>
          <w:marTop w:val="0"/>
          <w:marBottom w:val="0"/>
          <w:divBdr>
            <w:top w:val="none" w:sz="0" w:space="0" w:color="auto"/>
            <w:left w:val="none" w:sz="0" w:space="0" w:color="auto"/>
            <w:bottom w:val="none" w:sz="0" w:space="0" w:color="auto"/>
            <w:right w:val="none" w:sz="0" w:space="0" w:color="auto"/>
          </w:divBdr>
        </w:div>
        <w:div w:id="71781716">
          <w:marLeft w:val="480"/>
          <w:marRight w:val="0"/>
          <w:marTop w:val="0"/>
          <w:marBottom w:val="0"/>
          <w:divBdr>
            <w:top w:val="none" w:sz="0" w:space="0" w:color="auto"/>
            <w:left w:val="none" w:sz="0" w:space="0" w:color="auto"/>
            <w:bottom w:val="none" w:sz="0" w:space="0" w:color="auto"/>
            <w:right w:val="none" w:sz="0" w:space="0" w:color="auto"/>
          </w:divBdr>
        </w:div>
        <w:div w:id="1096943565">
          <w:marLeft w:val="480"/>
          <w:marRight w:val="0"/>
          <w:marTop w:val="0"/>
          <w:marBottom w:val="0"/>
          <w:divBdr>
            <w:top w:val="none" w:sz="0" w:space="0" w:color="auto"/>
            <w:left w:val="none" w:sz="0" w:space="0" w:color="auto"/>
            <w:bottom w:val="none" w:sz="0" w:space="0" w:color="auto"/>
            <w:right w:val="none" w:sz="0" w:space="0" w:color="auto"/>
          </w:divBdr>
        </w:div>
        <w:div w:id="1426730853">
          <w:marLeft w:val="480"/>
          <w:marRight w:val="0"/>
          <w:marTop w:val="0"/>
          <w:marBottom w:val="0"/>
          <w:divBdr>
            <w:top w:val="none" w:sz="0" w:space="0" w:color="auto"/>
            <w:left w:val="none" w:sz="0" w:space="0" w:color="auto"/>
            <w:bottom w:val="none" w:sz="0" w:space="0" w:color="auto"/>
            <w:right w:val="none" w:sz="0" w:space="0" w:color="auto"/>
          </w:divBdr>
        </w:div>
        <w:div w:id="1276059802">
          <w:marLeft w:val="480"/>
          <w:marRight w:val="0"/>
          <w:marTop w:val="0"/>
          <w:marBottom w:val="0"/>
          <w:divBdr>
            <w:top w:val="none" w:sz="0" w:space="0" w:color="auto"/>
            <w:left w:val="none" w:sz="0" w:space="0" w:color="auto"/>
            <w:bottom w:val="none" w:sz="0" w:space="0" w:color="auto"/>
            <w:right w:val="none" w:sz="0" w:space="0" w:color="auto"/>
          </w:divBdr>
        </w:div>
        <w:div w:id="1204365304">
          <w:marLeft w:val="480"/>
          <w:marRight w:val="0"/>
          <w:marTop w:val="0"/>
          <w:marBottom w:val="0"/>
          <w:divBdr>
            <w:top w:val="none" w:sz="0" w:space="0" w:color="auto"/>
            <w:left w:val="none" w:sz="0" w:space="0" w:color="auto"/>
            <w:bottom w:val="none" w:sz="0" w:space="0" w:color="auto"/>
            <w:right w:val="none" w:sz="0" w:space="0" w:color="auto"/>
          </w:divBdr>
        </w:div>
        <w:div w:id="1627278987">
          <w:marLeft w:val="480"/>
          <w:marRight w:val="0"/>
          <w:marTop w:val="0"/>
          <w:marBottom w:val="0"/>
          <w:divBdr>
            <w:top w:val="none" w:sz="0" w:space="0" w:color="auto"/>
            <w:left w:val="none" w:sz="0" w:space="0" w:color="auto"/>
            <w:bottom w:val="none" w:sz="0" w:space="0" w:color="auto"/>
            <w:right w:val="none" w:sz="0" w:space="0" w:color="auto"/>
          </w:divBdr>
        </w:div>
        <w:div w:id="1069887864">
          <w:marLeft w:val="480"/>
          <w:marRight w:val="0"/>
          <w:marTop w:val="0"/>
          <w:marBottom w:val="0"/>
          <w:divBdr>
            <w:top w:val="none" w:sz="0" w:space="0" w:color="auto"/>
            <w:left w:val="none" w:sz="0" w:space="0" w:color="auto"/>
            <w:bottom w:val="none" w:sz="0" w:space="0" w:color="auto"/>
            <w:right w:val="none" w:sz="0" w:space="0" w:color="auto"/>
          </w:divBdr>
        </w:div>
        <w:div w:id="1782414832">
          <w:marLeft w:val="480"/>
          <w:marRight w:val="0"/>
          <w:marTop w:val="0"/>
          <w:marBottom w:val="0"/>
          <w:divBdr>
            <w:top w:val="none" w:sz="0" w:space="0" w:color="auto"/>
            <w:left w:val="none" w:sz="0" w:space="0" w:color="auto"/>
            <w:bottom w:val="none" w:sz="0" w:space="0" w:color="auto"/>
            <w:right w:val="none" w:sz="0" w:space="0" w:color="auto"/>
          </w:divBdr>
        </w:div>
        <w:div w:id="2084057493">
          <w:marLeft w:val="480"/>
          <w:marRight w:val="0"/>
          <w:marTop w:val="0"/>
          <w:marBottom w:val="0"/>
          <w:divBdr>
            <w:top w:val="none" w:sz="0" w:space="0" w:color="auto"/>
            <w:left w:val="none" w:sz="0" w:space="0" w:color="auto"/>
            <w:bottom w:val="none" w:sz="0" w:space="0" w:color="auto"/>
            <w:right w:val="none" w:sz="0" w:space="0" w:color="auto"/>
          </w:divBdr>
        </w:div>
        <w:div w:id="1038580999">
          <w:marLeft w:val="480"/>
          <w:marRight w:val="0"/>
          <w:marTop w:val="0"/>
          <w:marBottom w:val="0"/>
          <w:divBdr>
            <w:top w:val="none" w:sz="0" w:space="0" w:color="auto"/>
            <w:left w:val="none" w:sz="0" w:space="0" w:color="auto"/>
            <w:bottom w:val="none" w:sz="0" w:space="0" w:color="auto"/>
            <w:right w:val="none" w:sz="0" w:space="0" w:color="auto"/>
          </w:divBdr>
        </w:div>
        <w:div w:id="427389781">
          <w:marLeft w:val="480"/>
          <w:marRight w:val="0"/>
          <w:marTop w:val="0"/>
          <w:marBottom w:val="0"/>
          <w:divBdr>
            <w:top w:val="none" w:sz="0" w:space="0" w:color="auto"/>
            <w:left w:val="none" w:sz="0" w:space="0" w:color="auto"/>
            <w:bottom w:val="none" w:sz="0" w:space="0" w:color="auto"/>
            <w:right w:val="none" w:sz="0" w:space="0" w:color="auto"/>
          </w:divBdr>
        </w:div>
        <w:div w:id="954217366">
          <w:marLeft w:val="480"/>
          <w:marRight w:val="0"/>
          <w:marTop w:val="0"/>
          <w:marBottom w:val="0"/>
          <w:divBdr>
            <w:top w:val="none" w:sz="0" w:space="0" w:color="auto"/>
            <w:left w:val="none" w:sz="0" w:space="0" w:color="auto"/>
            <w:bottom w:val="none" w:sz="0" w:space="0" w:color="auto"/>
            <w:right w:val="none" w:sz="0" w:space="0" w:color="auto"/>
          </w:divBdr>
        </w:div>
        <w:div w:id="675233754">
          <w:marLeft w:val="480"/>
          <w:marRight w:val="0"/>
          <w:marTop w:val="0"/>
          <w:marBottom w:val="0"/>
          <w:divBdr>
            <w:top w:val="none" w:sz="0" w:space="0" w:color="auto"/>
            <w:left w:val="none" w:sz="0" w:space="0" w:color="auto"/>
            <w:bottom w:val="none" w:sz="0" w:space="0" w:color="auto"/>
            <w:right w:val="none" w:sz="0" w:space="0" w:color="auto"/>
          </w:divBdr>
        </w:div>
        <w:div w:id="807934313">
          <w:marLeft w:val="480"/>
          <w:marRight w:val="0"/>
          <w:marTop w:val="0"/>
          <w:marBottom w:val="0"/>
          <w:divBdr>
            <w:top w:val="none" w:sz="0" w:space="0" w:color="auto"/>
            <w:left w:val="none" w:sz="0" w:space="0" w:color="auto"/>
            <w:bottom w:val="none" w:sz="0" w:space="0" w:color="auto"/>
            <w:right w:val="none" w:sz="0" w:space="0" w:color="auto"/>
          </w:divBdr>
        </w:div>
        <w:div w:id="1808741592">
          <w:marLeft w:val="480"/>
          <w:marRight w:val="0"/>
          <w:marTop w:val="0"/>
          <w:marBottom w:val="0"/>
          <w:divBdr>
            <w:top w:val="none" w:sz="0" w:space="0" w:color="auto"/>
            <w:left w:val="none" w:sz="0" w:space="0" w:color="auto"/>
            <w:bottom w:val="none" w:sz="0" w:space="0" w:color="auto"/>
            <w:right w:val="none" w:sz="0" w:space="0" w:color="auto"/>
          </w:divBdr>
        </w:div>
        <w:div w:id="1697803080">
          <w:marLeft w:val="480"/>
          <w:marRight w:val="0"/>
          <w:marTop w:val="0"/>
          <w:marBottom w:val="0"/>
          <w:divBdr>
            <w:top w:val="none" w:sz="0" w:space="0" w:color="auto"/>
            <w:left w:val="none" w:sz="0" w:space="0" w:color="auto"/>
            <w:bottom w:val="none" w:sz="0" w:space="0" w:color="auto"/>
            <w:right w:val="none" w:sz="0" w:space="0" w:color="auto"/>
          </w:divBdr>
        </w:div>
        <w:div w:id="1333754328">
          <w:marLeft w:val="480"/>
          <w:marRight w:val="0"/>
          <w:marTop w:val="0"/>
          <w:marBottom w:val="0"/>
          <w:divBdr>
            <w:top w:val="none" w:sz="0" w:space="0" w:color="auto"/>
            <w:left w:val="none" w:sz="0" w:space="0" w:color="auto"/>
            <w:bottom w:val="none" w:sz="0" w:space="0" w:color="auto"/>
            <w:right w:val="none" w:sz="0" w:space="0" w:color="auto"/>
          </w:divBdr>
        </w:div>
        <w:div w:id="2100321905">
          <w:marLeft w:val="480"/>
          <w:marRight w:val="0"/>
          <w:marTop w:val="0"/>
          <w:marBottom w:val="0"/>
          <w:divBdr>
            <w:top w:val="none" w:sz="0" w:space="0" w:color="auto"/>
            <w:left w:val="none" w:sz="0" w:space="0" w:color="auto"/>
            <w:bottom w:val="none" w:sz="0" w:space="0" w:color="auto"/>
            <w:right w:val="none" w:sz="0" w:space="0" w:color="auto"/>
          </w:divBdr>
        </w:div>
        <w:div w:id="989409013">
          <w:marLeft w:val="480"/>
          <w:marRight w:val="0"/>
          <w:marTop w:val="0"/>
          <w:marBottom w:val="0"/>
          <w:divBdr>
            <w:top w:val="none" w:sz="0" w:space="0" w:color="auto"/>
            <w:left w:val="none" w:sz="0" w:space="0" w:color="auto"/>
            <w:bottom w:val="none" w:sz="0" w:space="0" w:color="auto"/>
            <w:right w:val="none" w:sz="0" w:space="0" w:color="auto"/>
          </w:divBdr>
        </w:div>
        <w:div w:id="98532336">
          <w:marLeft w:val="480"/>
          <w:marRight w:val="0"/>
          <w:marTop w:val="0"/>
          <w:marBottom w:val="0"/>
          <w:divBdr>
            <w:top w:val="none" w:sz="0" w:space="0" w:color="auto"/>
            <w:left w:val="none" w:sz="0" w:space="0" w:color="auto"/>
            <w:bottom w:val="none" w:sz="0" w:space="0" w:color="auto"/>
            <w:right w:val="none" w:sz="0" w:space="0" w:color="auto"/>
          </w:divBdr>
        </w:div>
        <w:div w:id="1438872805">
          <w:marLeft w:val="480"/>
          <w:marRight w:val="0"/>
          <w:marTop w:val="0"/>
          <w:marBottom w:val="0"/>
          <w:divBdr>
            <w:top w:val="none" w:sz="0" w:space="0" w:color="auto"/>
            <w:left w:val="none" w:sz="0" w:space="0" w:color="auto"/>
            <w:bottom w:val="none" w:sz="0" w:space="0" w:color="auto"/>
            <w:right w:val="none" w:sz="0" w:space="0" w:color="auto"/>
          </w:divBdr>
        </w:div>
        <w:div w:id="822159739">
          <w:marLeft w:val="480"/>
          <w:marRight w:val="0"/>
          <w:marTop w:val="0"/>
          <w:marBottom w:val="0"/>
          <w:divBdr>
            <w:top w:val="none" w:sz="0" w:space="0" w:color="auto"/>
            <w:left w:val="none" w:sz="0" w:space="0" w:color="auto"/>
            <w:bottom w:val="none" w:sz="0" w:space="0" w:color="auto"/>
            <w:right w:val="none" w:sz="0" w:space="0" w:color="auto"/>
          </w:divBdr>
        </w:div>
        <w:div w:id="1920826075">
          <w:marLeft w:val="480"/>
          <w:marRight w:val="0"/>
          <w:marTop w:val="0"/>
          <w:marBottom w:val="0"/>
          <w:divBdr>
            <w:top w:val="none" w:sz="0" w:space="0" w:color="auto"/>
            <w:left w:val="none" w:sz="0" w:space="0" w:color="auto"/>
            <w:bottom w:val="none" w:sz="0" w:space="0" w:color="auto"/>
            <w:right w:val="none" w:sz="0" w:space="0" w:color="auto"/>
          </w:divBdr>
        </w:div>
        <w:div w:id="1326516474">
          <w:marLeft w:val="480"/>
          <w:marRight w:val="0"/>
          <w:marTop w:val="0"/>
          <w:marBottom w:val="0"/>
          <w:divBdr>
            <w:top w:val="none" w:sz="0" w:space="0" w:color="auto"/>
            <w:left w:val="none" w:sz="0" w:space="0" w:color="auto"/>
            <w:bottom w:val="none" w:sz="0" w:space="0" w:color="auto"/>
            <w:right w:val="none" w:sz="0" w:space="0" w:color="auto"/>
          </w:divBdr>
        </w:div>
        <w:div w:id="1813912021">
          <w:marLeft w:val="480"/>
          <w:marRight w:val="0"/>
          <w:marTop w:val="0"/>
          <w:marBottom w:val="0"/>
          <w:divBdr>
            <w:top w:val="none" w:sz="0" w:space="0" w:color="auto"/>
            <w:left w:val="none" w:sz="0" w:space="0" w:color="auto"/>
            <w:bottom w:val="none" w:sz="0" w:space="0" w:color="auto"/>
            <w:right w:val="none" w:sz="0" w:space="0" w:color="auto"/>
          </w:divBdr>
        </w:div>
        <w:div w:id="243495720">
          <w:marLeft w:val="480"/>
          <w:marRight w:val="0"/>
          <w:marTop w:val="0"/>
          <w:marBottom w:val="0"/>
          <w:divBdr>
            <w:top w:val="none" w:sz="0" w:space="0" w:color="auto"/>
            <w:left w:val="none" w:sz="0" w:space="0" w:color="auto"/>
            <w:bottom w:val="none" w:sz="0" w:space="0" w:color="auto"/>
            <w:right w:val="none" w:sz="0" w:space="0" w:color="auto"/>
          </w:divBdr>
        </w:div>
        <w:div w:id="1952666818">
          <w:marLeft w:val="480"/>
          <w:marRight w:val="0"/>
          <w:marTop w:val="0"/>
          <w:marBottom w:val="0"/>
          <w:divBdr>
            <w:top w:val="none" w:sz="0" w:space="0" w:color="auto"/>
            <w:left w:val="none" w:sz="0" w:space="0" w:color="auto"/>
            <w:bottom w:val="none" w:sz="0" w:space="0" w:color="auto"/>
            <w:right w:val="none" w:sz="0" w:space="0" w:color="auto"/>
          </w:divBdr>
        </w:div>
        <w:div w:id="958997518">
          <w:marLeft w:val="480"/>
          <w:marRight w:val="0"/>
          <w:marTop w:val="0"/>
          <w:marBottom w:val="0"/>
          <w:divBdr>
            <w:top w:val="none" w:sz="0" w:space="0" w:color="auto"/>
            <w:left w:val="none" w:sz="0" w:space="0" w:color="auto"/>
            <w:bottom w:val="none" w:sz="0" w:space="0" w:color="auto"/>
            <w:right w:val="none" w:sz="0" w:space="0" w:color="auto"/>
          </w:divBdr>
        </w:div>
        <w:div w:id="1305811804">
          <w:marLeft w:val="480"/>
          <w:marRight w:val="0"/>
          <w:marTop w:val="0"/>
          <w:marBottom w:val="0"/>
          <w:divBdr>
            <w:top w:val="none" w:sz="0" w:space="0" w:color="auto"/>
            <w:left w:val="none" w:sz="0" w:space="0" w:color="auto"/>
            <w:bottom w:val="none" w:sz="0" w:space="0" w:color="auto"/>
            <w:right w:val="none" w:sz="0" w:space="0" w:color="auto"/>
          </w:divBdr>
        </w:div>
        <w:div w:id="770317542">
          <w:marLeft w:val="480"/>
          <w:marRight w:val="0"/>
          <w:marTop w:val="0"/>
          <w:marBottom w:val="0"/>
          <w:divBdr>
            <w:top w:val="none" w:sz="0" w:space="0" w:color="auto"/>
            <w:left w:val="none" w:sz="0" w:space="0" w:color="auto"/>
            <w:bottom w:val="none" w:sz="0" w:space="0" w:color="auto"/>
            <w:right w:val="none" w:sz="0" w:space="0" w:color="auto"/>
          </w:divBdr>
        </w:div>
        <w:div w:id="652441916">
          <w:marLeft w:val="480"/>
          <w:marRight w:val="0"/>
          <w:marTop w:val="0"/>
          <w:marBottom w:val="0"/>
          <w:divBdr>
            <w:top w:val="none" w:sz="0" w:space="0" w:color="auto"/>
            <w:left w:val="none" w:sz="0" w:space="0" w:color="auto"/>
            <w:bottom w:val="none" w:sz="0" w:space="0" w:color="auto"/>
            <w:right w:val="none" w:sz="0" w:space="0" w:color="auto"/>
          </w:divBdr>
        </w:div>
        <w:div w:id="765855497">
          <w:marLeft w:val="480"/>
          <w:marRight w:val="0"/>
          <w:marTop w:val="0"/>
          <w:marBottom w:val="0"/>
          <w:divBdr>
            <w:top w:val="none" w:sz="0" w:space="0" w:color="auto"/>
            <w:left w:val="none" w:sz="0" w:space="0" w:color="auto"/>
            <w:bottom w:val="none" w:sz="0" w:space="0" w:color="auto"/>
            <w:right w:val="none" w:sz="0" w:space="0" w:color="auto"/>
          </w:divBdr>
        </w:div>
        <w:div w:id="1656688958">
          <w:marLeft w:val="480"/>
          <w:marRight w:val="0"/>
          <w:marTop w:val="0"/>
          <w:marBottom w:val="0"/>
          <w:divBdr>
            <w:top w:val="none" w:sz="0" w:space="0" w:color="auto"/>
            <w:left w:val="none" w:sz="0" w:space="0" w:color="auto"/>
            <w:bottom w:val="none" w:sz="0" w:space="0" w:color="auto"/>
            <w:right w:val="none" w:sz="0" w:space="0" w:color="auto"/>
          </w:divBdr>
        </w:div>
        <w:div w:id="252396669">
          <w:marLeft w:val="480"/>
          <w:marRight w:val="0"/>
          <w:marTop w:val="0"/>
          <w:marBottom w:val="0"/>
          <w:divBdr>
            <w:top w:val="none" w:sz="0" w:space="0" w:color="auto"/>
            <w:left w:val="none" w:sz="0" w:space="0" w:color="auto"/>
            <w:bottom w:val="none" w:sz="0" w:space="0" w:color="auto"/>
            <w:right w:val="none" w:sz="0" w:space="0" w:color="auto"/>
          </w:divBdr>
        </w:div>
        <w:div w:id="367220955">
          <w:marLeft w:val="480"/>
          <w:marRight w:val="0"/>
          <w:marTop w:val="0"/>
          <w:marBottom w:val="0"/>
          <w:divBdr>
            <w:top w:val="none" w:sz="0" w:space="0" w:color="auto"/>
            <w:left w:val="none" w:sz="0" w:space="0" w:color="auto"/>
            <w:bottom w:val="none" w:sz="0" w:space="0" w:color="auto"/>
            <w:right w:val="none" w:sz="0" w:space="0" w:color="auto"/>
          </w:divBdr>
        </w:div>
        <w:div w:id="1595551976">
          <w:marLeft w:val="480"/>
          <w:marRight w:val="0"/>
          <w:marTop w:val="0"/>
          <w:marBottom w:val="0"/>
          <w:divBdr>
            <w:top w:val="none" w:sz="0" w:space="0" w:color="auto"/>
            <w:left w:val="none" w:sz="0" w:space="0" w:color="auto"/>
            <w:bottom w:val="none" w:sz="0" w:space="0" w:color="auto"/>
            <w:right w:val="none" w:sz="0" w:space="0" w:color="auto"/>
          </w:divBdr>
        </w:div>
        <w:div w:id="1233272557">
          <w:marLeft w:val="480"/>
          <w:marRight w:val="0"/>
          <w:marTop w:val="0"/>
          <w:marBottom w:val="0"/>
          <w:divBdr>
            <w:top w:val="none" w:sz="0" w:space="0" w:color="auto"/>
            <w:left w:val="none" w:sz="0" w:space="0" w:color="auto"/>
            <w:bottom w:val="none" w:sz="0" w:space="0" w:color="auto"/>
            <w:right w:val="none" w:sz="0" w:space="0" w:color="auto"/>
          </w:divBdr>
        </w:div>
        <w:div w:id="522210851">
          <w:marLeft w:val="480"/>
          <w:marRight w:val="0"/>
          <w:marTop w:val="0"/>
          <w:marBottom w:val="0"/>
          <w:divBdr>
            <w:top w:val="none" w:sz="0" w:space="0" w:color="auto"/>
            <w:left w:val="none" w:sz="0" w:space="0" w:color="auto"/>
            <w:bottom w:val="none" w:sz="0" w:space="0" w:color="auto"/>
            <w:right w:val="none" w:sz="0" w:space="0" w:color="auto"/>
          </w:divBdr>
        </w:div>
        <w:div w:id="1176000553">
          <w:marLeft w:val="480"/>
          <w:marRight w:val="0"/>
          <w:marTop w:val="0"/>
          <w:marBottom w:val="0"/>
          <w:divBdr>
            <w:top w:val="none" w:sz="0" w:space="0" w:color="auto"/>
            <w:left w:val="none" w:sz="0" w:space="0" w:color="auto"/>
            <w:bottom w:val="none" w:sz="0" w:space="0" w:color="auto"/>
            <w:right w:val="none" w:sz="0" w:space="0" w:color="auto"/>
          </w:divBdr>
        </w:div>
        <w:div w:id="1100418914">
          <w:marLeft w:val="480"/>
          <w:marRight w:val="0"/>
          <w:marTop w:val="0"/>
          <w:marBottom w:val="0"/>
          <w:divBdr>
            <w:top w:val="none" w:sz="0" w:space="0" w:color="auto"/>
            <w:left w:val="none" w:sz="0" w:space="0" w:color="auto"/>
            <w:bottom w:val="none" w:sz="0" w:space="0" w:color="auto"/>
            <w:right w:val="none" w:sz="0" w:space="0" w:color="auto"/>
          </w:divBdr>
        </w:div>
        <w:div w:id="586769777">
          <w:marLeft w:val="480"/>
          <w:marRight w:val="0"/>
          <w:marTop w:val="0"/>
          <w:marBottom w:val="0"/>
          <w:divBdr>
            <w:top w:val="none" w:sz="0" w:space="0" w:color="auto"/>
            <w:left w:val="none" w:sz="0" w:space="0" w:color="auto"/>
            <w:bottom w:val="none" w:sz="0" w:space="0" w:color="auto"/>
            <w:right w:val="none" w:sz="0" w:space="0" w:color="auto"/>
          </w:divBdr>
        </w:div>
        <w:div w:id="1055351461">
          <w:marLeft w:val="480"/>
          <w:marRight w:val="0"/>
          <w:marTop w:val="0"/>
          <w:marBottom w:val="0"/>
          <w:divBdr>
            <w:top w:val="none" w:sz="0" w:space="0" w:color="auto"/>
            <w:left w:val="none" w:sz="0" w:space="0" w:color="auto"/>
            <w:bottom w:val="none" w:sz="0" w:space="0" w:color="auto"/>
            <w:right w:val="none" w:sz="0" w:space="0" w:color="auto"/>
          </w:divBdr>
        </w:div>
        <w:div w:id="190388608">
          <w:marLeft w:val="480"/>
          <w:marRight w:val="0"/>
          <w:marTop w:val="0"/>
          <w:marBottom w:val="0"/>
          <w:divBdr>
            <w:top w:val="none" w:sz="0" w:space="0" w:color="auto"/>
            <w:left w:val="none" w:sz="0" w:space="0" w:color="auto"/>
            <w:bottom w:val="none" w:sz="0" w:space="0" w:color="auto"/>
            <w:right w:val="none" w:sz="0" w:space="0" w:color="auto"/>
          </w:divBdr>
        </w:div>
        <w:div w:id="1353266323">
          <w:marLeft w:val="480"/>
          <w:marRight w:val="0"/>
          <w:marTop w:val="0"/>
          <w:marBottom w:val="0"/>
          <w:divBdr>
            <w:top w:val="none" w:sz="0" w:space="0" w:color="auto"/>
            <w:left w:val="none" w:sz="0" w:space="0" w:color="auto"/>
            <w:bottom w:val="none" w:sz="0" w:space="0" w:color="auto"/>
            <w:right w:val="none" w:sz="0" w:space="0" w:color="auto"/>
          </w:divBdr>
        </w:div>
        <w:div w:id="1896578156">
          <w:marLeft w:val="480"/>
          <w:marRight w:val="0"/>
          <w:marTop w:val="0"/>
          <w:marBottom w:val="0"/>
          <w:divBdr>
            <w:top w:val="none" w:sz="0" w:space="0" w:color="auto"/>
            <w:left w:val="none" w:sz="0" w:space="0" w:color="auto"/>
            <w:bottom w:val="none" w:sz="0" w:space="0" w:color="auto"/>
            <w:right w:val="none" w:sz="0" w:space="0" w:color="auto"/>
          </w:divBdr>
        </w:div>
        <w:div w:id="1500192150">
          <w:marLeft w:val="480"/>
          <w:marRight w:val="0"/>
          <w:marTop w:val="0"/>
          <w:marBottom w:val="0"/>
          <w:divBdr>
            <w:top w:val="none" w:sz="0" w:space="0" w:color="auto"/>
            <w:left w:val="none" w:sz="0" w:space="0" w:color="auto"/>
            <w:bottom w:val="none" w:sz="0" w:space="0" w:color="auto"/>
            <w:right w:val="none" w:sz="0" w:space="0" w:color="auto"/>
          </w:divBdr>
        </w:div>
        <w:div w:id="329255932">
          <w:marLeft w:val="480"/>
          <w:marRight w:val="0"/>
          <w:marTop w:val="0"/>
          <w:marBottom w:val="0"/>
          <w:divBdr>
            <w:top w:val="none" w:sz="0" w:space="0" w:color="auto"/>
            <w:left w:val="none" w:sz="0" w:space="0" w:color="auto"/>
            <w:bottom w:val="none" w:sz="0" w:space="0" w:color="auto"/>
            <w:right w:val="none" w:sz="0" w:space="0" w:color="auto"/>
          </w:divBdr>
        </w:div>
        <w:div w:id="1044869550">
          <w:marLeft w:val="480"/>
          <w:marRight w:val="0"/>
          <w:marTop w:val="0"/>
          <w:marBottom w:val="0"/>
          <w:divBdr>
            <w:top w:val="none" w:sz="0" w:space="0" w:color="auto"/>
            <w:left w:val="none" w:sz="0" w:space="0" w:color="auto"/>
            <w:bottom w:val="none" w:sz="0" w:space="0" w:color="auto"/>
            <w:right w:val="none" w:sz="0" w:space="0" w:color="auto"/>
          </w:divBdr>
        </w:div>
        <w:div w:id="1316715884">
          <w:marLeft w:val="480"/>
          <w:marRight w:val="0"/>
          <w:marTop w:val="0"/>
          <w:marBottom w:val="0"/>
          <w:divBdr>
            <w:top w:val="none" w:sz="0" w:space="0" w:color="auto"/>
            <w:left w:val="none" w:sz="0" w:space="0" w:color="auto"/>
            <w:bottom w:val="none" w:sz="0" w:space="0" w:color="auto"/>
            <w:right w:val="none" w:sz="0" w:space="0" w:color="auto"/>
          </w:divBdr>
        </w:div>
        <w:div w:id="864170479">
          <w:marLeft w:val="480"/>
          <w:marRight w:val="0"/>
          <w:marTop w:val="0"/>
          <w:marBottom w:val="0"/>
          <w:divBdr>
            <w:top w:val="none" w:sz="0" w:space="0" w:color="auto"/>
            <w:left w:val="none" w:sz="0" w:space="0" w:color="auto"/>
            <w:bottom w:val="none" w:sz="0" w:space="0" w:color="auto"/>
            <w:right w:val="none" w:sz="0" w:space="0" w:color="auto"/>
          </w:divBdr>
        </w:div>
        <w:div w:id="585725011">
          <w:marLeft w:val="480"/>
          <w:marRight w:val="0"/>
          <w:marTop w:val="0"/>
          <w:marBottom w:val="0"/>
          <w:divBdr>
            <w:top w:val="none" w:sz="0" w:space="0" w:color="auto"/>
            <w:left w:val="none" w:sz="0" w:space="0" w:color="auto"/>
            <w:bottom w:val="none" w:sz="0" w:space="0" w:color="auto"/>
            <w:right w:val="none" w:sz="0" w:space="0" w:color="auto"/>
          </w:divBdr>
        </w:div>
        <w:div w:id="1166020461">
          <w:marLeft w:val="480"/>
          <w:marRight w:val="0"/>
          <w:marTop w:val="0"/>
          <w:marBottom w:val="0"/>
          <w:divBdr>
            <w:top w:val="none" w:sz="0" w:space="0" w:color="auto"/>
            <w:left w:val="none" w:sz="0" w:space="0" w:color="auto"/>
            <w:bottom w:val="none" w:sz="0" w:space="0" w:color="auto"/>
            <w:right w:val="none" w:sz="0" w:space="0" w:color="auto"/>
          </w:divBdr>
        </w:div>
        <w:div w:id="1432235108">
          <w:marLeft w:val="480"/>
          <w:marRight w:val="0"/>
          <w:marTop w:val="0"/>
          <w:marBottom w:val="0"/>
          <w:divBdr>
            <w:top w:val="none" w:sz="0" w:space="0" w:color="auto"/>
            <w:left w:val="none" w:sz="0" w:space="0" w:color="auto"/>
            <w:bottom w:val="none" w:sz="0" w:space="0" w:color="auto"/>
            <w:right w:val="none" w:sz="0" w:space="0" w:color="auto"/>
          </w:divBdr>
        </w:div>
        <w:div w:id="195388366">
          <w:marLeft w:val="480"/>
          <w:marRight w:val="0"/>
          <w:marTop w:val="0"/>
          <w:marBottom w:val="0"/>
          <w:divBdr>
            <w:top w:val="none" w:sz="0" w:space="0" w:color="auto"/>
            <w:left w:val="none" w:sz="0" w:space="0" w:color="auto"/>
            <w:bottom w:val="none" w:sz="0" w:space="0" w:color="auto"/>
            <w:right w:val="none" w:sz="0" w:space="0" w:color="auto"/>
          </w:divBdr>
        </w:div>
        <w:div w:id="2052919528">
          <w:marLeft w:val="480"/>
          <w:marRight w:val="0"/>
          <w:marTop w:val="0"/>
          <w:marBottom w:val="0"/>
          <w:divBdr>
            <w:top w:val="none" w:sz="0" w:space="0" w:color="auto"/>
            <w:left w:val="none" w:sz="0" w:space="0" w:color="auto"/>
            <w:bottom w:val="none" w:sz="0" w:space="0" w:color="auto"/>
            <w:right w:val="none" w:sz="0" w:space="0" w:color="auto"/>
          </w:divBdr>
        </w:div>
        <w:div w:id="556355451">
          <w:marLeft w:val="480"/>
          <w:marRight w:val="0"/>
          <w:marTop w:val="0"/>
          <w:marBottom w:val="0"/>
          <w:divBdr>
            <w:top w:val="none" w:sz="0" w:space="0" w:color="auto"/>
            <w:left w:val="none" w:sz="0" w:space="0" w:color="auto"/>
            <w:bottom w:val="none" w:sz="0" w:space="0" w:color="auto"/>
            <w:right w:val="none" w:sz="0" w:space="0" w:color="auto"/>
          </w:divBdr>
        </w:div>
        <w:div w:id="980305291">
          <w:marLeft w:val="480"/>
          <w:marRight w:val="0"/>
          <w:marTop w:val="0"/>
          <w:marBottom w:val="0"/>
          <w:divBdr>
            <w:top w:val="none" w:sz="0" w:space="0" w:color="auto"/>
            <w:left w:val="none" w:sz="0" w:space="0" w:color="auto"/>
            <w:bottom w:val="none" w:sz="0" w:space="0" w:color="auto"/>
            <w:right w:val="none" w:sz="0" w:space="0" w:color="auto"/>
          </w:divBdr>
        </w:div>
        <w:div w:id="1941984173">
          <w:marLeft w:val="480"/>
          <w:marRight w:val="0"/>
          <w:marTop w:val="0"/>
          <w:marBottom w:val="0"/>
          <w:divBdr>
            <w:top w:val="none" w:sz="0" w:space="0" w:color="auto"/>
            <w:left w:val="none" w:sz="0" w:space="0" w:color="auto"/>
            <w:bottom w:val="none" w:sz="0" w:space="0" w:color="auto"/>
            <w:right w:val="none" w:sz="0" w:space="0" w:color="auto"/>
          </w:divBdr>
        </w:div>
        <w:div w:id="625625819">
          <w:marLeft w:val="480"/>
          <w:marRight w:val="0"/>
          <w:marTop w:val="0"/>
          <w:marBottom w:val="0"/>
          <w:divBdr>
            <w:top w:val="none" w:sz="0" w:space="0" w:color="auto"/>
            <w:left w:val="none" w:sz="0" w:space="0" w:color="auto"/>
            <w:bottom w:val="none" w:sz="0" w:space="0" w:color="auto"/>
            <w:right w:val="none" w:sz="0" w:space="0" w:color="auto"/>
          </w:divBdr>
        </w:div>
        <w:div w:id="1489445641">
          <w:marLeft w:val="480"/>
          <w:marRight w:val="0"/>
          <w:marTop w:val="0"/>
          <w:marBottom w:val="0"/>
          <w:divBdr>
            <w:top w:val="none" w:sz="0" w:space="0" w:color="auto"/>
            <w:left w:val="none" w:sz="0" w:space="0" w:color="auto"/>
            <w:bottom w:val="none" w:sz="0" w:space="0" w:color="auto"/>
            <w:right w:val="none" w:sz="0" w:space="0" w:color="auto"/>
          </w:divBdr>
        </w:div>
        <w:div w:id="290139193">
          <w:marLeft w:val="480"/>
          <w:marRight w:val="0"/>
          <w:marTop w:val="0"/>
          <w:marBottom w:val="0"/>
          <w:divBdr>
            <w:top w:val="none" w:sz="0" w:space="0" w:color="auto"/>
            <w:left w:val="none" w:sz="0" w:space="0" w:color="auto"/>
            <w:bottom w:val="none" w:sz="0" w:space="0" w:color="auto"/>
            <w:right w:val="none" w:sz="0" w:space="0" w:color="auto"/>
          </w:divBdr>
        </w:div>
        <w:div w:id="674721927">
          <w:marLeft w:val="480"/>
          <w:marRight w:val="0"/>
          <w:marTop w:val="0"/>
          <w:marBottom w:val="0"/>
          <w:divBdr>
            <w:top w:val="none" w:sz="0" w:space="0" w:color="auto"/>
            <w:left w:val="none" w:sz="0" w:space="0" w:color="auto"/>
            <w:bottom w:val="none" w:sz="0" w:space="0" w:color="auto"/>
            <w:right w:val="none" w:sz="0" w:space="0" w:color="auto"/>
          </w:divBdr>
        </w:div>
        <w:div w:id="485365109">
          <w:marLeft w:val="480"/>
          <w:marRight w:val="0"/>
          <w:marTop w:val="0"/>
          <w:marBottom w:val="0"/>
          <w:divBdr>
            <w:top w:val="none" w:sz="0" w:space="0" w:color="auto"/>
            <w:left w:val="none" w:sz="0" w:space="0" w:color="auto"/>
            <w:bottom w:val="none" w:sz="0" w:space="0" w:color="auto"/>
            <w:right w:val="none" w:sz="0" w:space="0" w:color="auto"/>
          </w:divBdr>
        </w:div>
        <w:div w:id="717246332">
          <w:marLeft w:val="480"/>
          <w:marRight w:val="0"/>
          <w:marTop w:val="0"/>
          <w:marBottom w:val="0"/>
          <w:divBdr>
            <w:top w:val="none" w:sz="0" w:space="0" w:color="auto"/>
            <w:left w:val="none" w:sz="0" w:space="0" w:color="auto"/>
            <w:bottom w:val="none" w:sz="0" w:space="0" w:color="auto"/>
            <w:right w:val="none" w:sz="0" w:space="0" w:color="auto"/>
          </w:divBdr>
        </w:div>
        <w:div w:id="1760714284">
          <w:marLeft w:val="480"/>
          <w:marRight w:val="0"/>
          <w:marTop w:val="0"/>
          <w:marBottom w:val="0"/>
          <w:divBdr>
            <w:top w:val="none" w:sz="0" w:space="0" w:color="auto"/>
            <w:left w:val="none" w:sz="0" w:space="0" w:color="auto"/>
            <w:bottom w:val="none" w:sz="0" w:space="0" w:color="auto"/>
            <w:right w:val="none" w:sz="0" w:space="0" w:color="auto"/>
          </w:divBdr>
        </w:div>
        <w:div w:id="1937131482">
          <w:marLeft w:val="480"/>
          <w:marRight w:val="0"/>
          <w:marTop w:val="0"/>
          <w:marBottom w:val="0"/>
          <w:divBdr>
            <w:top w:val="none" w:sz="0" w:space="0" w:color="auto"/>
            <w:left w:val="none" w:sz="0" w:space="0" w:color="auto"/>
            <w:bottom w:val="none" w:sz="0" w:space="0" w:color="auto"/>
            <w:right w:val="none" w:sz="0" w:space="0" w:color="auto"/>
          </w:divBdr>
        </w:div>
        <w:div w:id="230192207">
          <w:marLeft w:val="480"/>
          <w:marRight w:val="0"/>
          <w:marTop w:val="0"/>
          <w:marBottom w:val="0"/>
          <w:divBdr>
            <w:top w:val="none" w:sz="0" w:space="0" w:color="auto"/>
            <w:left w:val="none" w:sz="0" w:space="0" w:color="auto"/>
            <w:bottom w:val="none" w:sz="0" w:space="0" w:color="auto"/>
            <w:right w:val="none" w:sz="0" w:space="0" w:color="auto"/>
          </w:divBdr>
        </w:div>
        <w:div w:id="579288405">
          <w:marLeft w:val="480"/>
          <w:marRight w:val="0"/>
          <w:marTop w:val="0"/>
          <w:marBottom w:val="0"/>
          <w:divBdr>
            <w:top w:val="none" w:sz="0" w:space="0" w:color="auto"/>
            <w:left w:val="none" w:sz="0" w:space="0" w:color="auto"/>
            <w:bottom w:val="none" w:sz="0" w:space="0" w:color="auto"/>
            <w:right w:val="none" w:sz="0" w:space="0" w:color="auto"/>
          </w:divBdr>
        </w:div>
        <w:div w:id="2025862531">
          <w:marLeft w:val="480"/>
          <w:marRight w:val="0"/>
          <w:marTop w:val="0"/>
          <w:marBottom w:val="0"/>
          <w:divBdr>
            <w:top w:val="none" w:sz="0" w:space="0" w:color="auto"/>
            <w:left w:val="none" w:sz="0" w:space="0" w:color="auto"/>
            <w:bottom w:val="none" w:sz="0" w:space="0" w:color="auto"/>
            <w:right w:val="none" w:sz="0" w:space="0" w:color="auto"/>
          </w:divBdr>
        </w:div>
        <w:div w:id="1940944735">
          <w:marLeft w:val="480"/>
          <w:marRight w:val="0"/>
          <w:marTop w:val="0"/>
          <w:marBottom w:val="0"/>
          <w:divBdr>
            <w:top w:val="none" w:sz="0" w:space="0" w:color="auto"/>
            <w:left w:val="none" w:sz="0" w:space="0" w:color="auto"/>
            <w:bottom w:val="none" w:sz="0" w:space="0" w:color="auto"/>
            <w:right w:val="none" w:sz="0" w:space="0" w:color="auto"/>
          </w:divBdr>
        </w:div>
        <w:div w:id="502666620">
          <w:marLeft w:val="480"/>
          <w:marRight w:val="0"/>
          <w:marTop w:val="0"/>
          <w:marBottom w:val="0"/>
          <w:divBdr>
            <w:top w:val="none" w:sz="0" w:space="0" w:color="auto"/>
            <w:left w:val="none" w:sz="0" w:space="0" w:color="auto"/>
            <w:bottom w:val="none" w:sz="0" w:space="0" w:color="auto"/>
            <w:right w:val="none" w:sz="0" w:space="0" w:color="auto"/>
          </w:divBdr>
        </w:div>
        <w:div w:id="881791433">
          <w:marLeft w:val="480"/>
          <w:marRight w:val="0"/>
          <w:marTop w:val="0"/>
          <w:marBottom w:val="0"/>
          <w:divBdr>
            <w:top w:val="none" w:sz="0" w:space="0" w:color="auto"/>
            <w:left w:val="none" w:sz="0" w:space="0" w:color="auto"/>
            <w:bottom w:val="none" w:sz="0" w:space="0" w:color="auto"/>
            <w:right w:val="none" w:sz="0" w:space="0" w:color="auto"/>
          </w:divBdr>
        </w:div>
        <w:div w:id="1217358843">
          <w:marLeft w:val="480"/>
          <w:marRight w:val="0"/>
          <w:marTop w:val="0"/>
          <w:marBottom w:val="0"/>
          <w:divBdr>
            <w:top w:val="none" w:sz="0" w:space="0" w:color="auto"/>
            <w:left w:val="none" w:sz="0" w:space="0" w:color="auto"/>
            <w:bottom w:val="none" w:sz="0" w:space="0" w:color="auto"/>
            <w:right w:val="none" w:sz="0" w:space="0" w:color="auto"/>
          </w:divBdr>
        </w:div>
        <w:div w:id="765421207">
          <w:marLeft w:val="480"/>
          <w:marRight w:val="0"/>
          <w:marTop w:val="0"/>
          <w:marBottom w:val="0"/>
          <w:divBdr>
            <w:top w:val="none" w:sz="0" w:space="0" w:color="auto"/>
            <w:left w:val="none" w:sz="0" w:space="0" w:color="auto"/>
            <w:bottom w:val="none" w:sz="0" w:space="0" w:color="auto"/>
            <w:right w:val="none" w:sz="0" w:space="0" w:color="auto"/>
          </w:divBdr>
        </w:div>
        <w:div w:id="1352292771">
          <w:marLeft w:val="480"/>
          <w:marRight w:val="0"/>
          <w:marTop w:val="0"/>
          <w:marBottom w:val="0"/>
          <w:divBdr>
            <w:top w:val="none" w:sz="0" w:space="0" w:color="auto"/>
            <w:left w:val="none" w:sz="0" w:space="0" w:color="auto"/>
            <w:bottom w:val="none" w:sz="0" w:space="0" w:color="auto"/>
            <w:right w:val="none" w:sz="0" w:space="0" w:color="auto"/>
          </w:divBdr>
        </w:div>
        <w:div w:id="1682660499">
          <w:marLeft w:val="480"/>
          <w:marRight w:val="0"/>
          <w:marTop w:val="0"/>
          <w:marBottom w:val="0"/>
          <w:divBdr>
            <w:top w:val="none" w:sz="0" w:space="0" w:color="auto"/>
            <w:left w:val="none" w:sz="0" w:space="0" w:color="auto"/>
            <w:bottom w:val="none" w:sz="0" w:space="0" w:color="auto"/>
            <w:right w:val="none" w:sz="0" w:space="0" w:color="auto"/>
          </w:divBdr>
        </w:div>
        <w:div w:id="403528954">
          <w:marLeft w:val="480"/>
          <w:marRight w:val="0"/>
          <w:marTop w:val="0"/>
          <w:marBottom w:val="0"/>
          <w:divBdr>
            <w:top w:val="none" w:sz="0" w:space="0" w:color="auto"/>
            <w:left w:val="none" w:sz="0" w:space="0" w:color="auto"/>
            <w:bottom w:val="none" w:sz="0" w:space="0" w:color="auto"/>
            <w:right w:val="none" w:sz="0" w:space="0" w:color="auto"/>
          </w:divBdr>
        </w:div>
        <w:div w:id="236786182">
          <w:marLeft w:val="480"/>
          <w:marRight w:val="0"/>
          <w:marTop w:val="0"/>
          <w:marBottom w:val="0"/>
          <w:divBdr>
            <w:top w:val="none" w:sz="0" w:space="0" w:color="auto"/>
            <w:left w:val="none" w:sz="0" w:space="0" w:color="auto"/>
            <w:bottom w:val="none" w:sz="0" w:space="0" w:color="auto"/>
            <w:right w:val="none" w:sz="0" w:space="0" w:color="auto"/>
          </w:divBdr>
        </w:div>
        <w:div w:id="136797980">
          <w:marLeft w:val="480"/>
          <w:marRight w:val="0"/>
          <w:marTop w:val="0"/>
          <w:marBottom w:val="0"/>
          <w:divBdr>
            <w:top w:val="none" w:sz="0" w:space="0" w:color="auto"/>
            <w:left w:val="none" w:sz="0" w:space="0" w:color="auto"/>
            <w:bottom w:val="none" w:sz="0" w:space="0" w:color="auto"/>
            <w:right w:val="none" w:sz="0" w:space="0" w:color="auto"/>
          </w:divBdr>
        </w:div>
        <w:div w:id="1762295594">
          <w:marLeft w:val="480"/>
          <w:marRight w:val="0"/>
          <w:marTop w:val="0"/>
          <w:marBottom w:val="0"/>
          <w:divBdr>
            <w:top w:val="none" w:sz="0" w:space="0" w:color="auto"/>
            <w:left w:val="none" w:sz="0" w:space="0" w:color="auto"/>
            <w:bottom w:val="none" w:sz="0" w:space="0" w:color="auto"/>
            <w:right w:val="none" w:sz="0" w:space="0" w:color="auto"/>
          </w:divBdr>
        </w:div>
        <w:div w:id="402993561">
          <w:marLeft w:val="480"/>
          <w:marRight w:val="0"/>
          <w:marTop w:val="0"/>
          <w:marBottom w:val="0"/>
          <w:divBdr>
            <w:top w:val="none" w:sz="0" w:space="0" w:color="auto"/>
            <w:left w:val="none" w:sz="0" w:space="0" w:color="auto"/>
            <w:bottom w:val="none" w:sz="0" w:space="0" w:color="auto"/>
            <w:right w:val="none" w:sz="0" w:space="0" w:color="auto"/>
          </w:divBdr>
        </w:div>
        <w:div w:id="1280604357">
          <w:marLeft w:val="480"/>
          <w:marRight w:val="0"/>
          <w:marTop w:val="0"/>
          <w:marBottom w:val="0"/>
          <w:divBdr>
            <w:top w:val="none" w:sz="0" w:space="0" w:color="auto"/>
            <w:left w:val="none" w:sz="0" w:space="0" w:color="auto"/>
            <w:bottom w:val="none" w:sz="0" w:space="0" w:color="auto"/>
            <w:right w:val="none" w:sz="0" w:space="0" w:color="auto"/>
          </w:divBdr>
        </w:div>
        <w:div w:id="1023825558">
          <w:marLeft w:val="480"/>
          <w:marRight w:val="0"/>
          <w:marTop w:val="0"/>
          <w:marBottom w:val="0"/>
          <w:divBdr>
            <w:top w:val="none" w:sz="0" w:space="0" w:color="auto"/>
            <w:left w:val="none" w:sz="0" w:space="0" w:color="auto"/>
            <w:bottom w:val="none" w:sz="0" w:space="0" w:color="auto"/>
            <w:right w:val="none" w:sz="0" w:space="0" w:color="auto"/>
          </w:divBdr>
        </w:div>
        <w:div w:id="1768110741">
          <w:marLeft w:val="480"/>
          <w:marRight w:val="0"/>
          <w:marTop w:val="0"/>
          <w:marBottom w:val="0"/>
          <w:divBdr>
            <w:top w:val="none" w:sz="0" w:space="0" w:color="auto"/>
            <w:left w:val="none" w:sz="0" w:space="0" w:color="auto"/>
            <w:bottom w:val="none" w:sz="0" w:space="0" w:color="auto"/>
            <w:right w:val="none" w:sz="0" w:space="0" w:color="auto"/>
          </w:divBdr>
        </w:div>
        <w:div w:id="2055811826">
          <w:marLeft w:val="480"/>
          <w:marRight w:val="0"/>
          <w:marTop w:val="0"/>
          <w:marBottom w:val="0"/>
          <w:divBdr>
            <w:top w:val="none" w:sz="0" w:space="0" w:color="auto"/>
            <w:left w:val="none" w:sz="0" w:space="0" w:color="auto"/>
            <w:bottom w:val="none" w:sz="0" w:space="0" w:color="auto"/>
            <w:right w:val="none" w:sz="0" w:space="0" w:color="auto"/>
          </w:divBdr>
        </w:div>
        <w:div w:id="221719704">
          <w:marLeft w:val="480"/>
          <w:marRight w:val="0"/>
          <w:marTop w:val="0"/>
          <w:marBottom w:val="0"/>
          <w:divBdr>
            <w:top w:val="none" w:sz="0" w:space="0" w:color="auto"/>
            <w:left w:val="none" w:sz="0" w:space="0" w:color="auto"/>
            <w:bottom w:val="none" w:sz="0" w:space="0" w:color="auto"/>
            <w:right w:val="none" w:sz="0" w:space="0" w:color="auto"/>
          </w:divBdr>
        </w:div>
        <w:div w:id="1282227574">
          <w:marLeft w:val="480"/>
          <w:marRight w:val="0"/>
          <w:marTop w:val="0"/>
          <w:marBottom w:val="0"/>
          <w:divBdr>
            <w:top w:val="none" w:sz="0" w:space="0" w:color="auto"/>
            <w:left w:val="none" w:sz="0" w:space="0" w:color="auto"/>
            <w:bottom w:val="none" w:sz="0" w:space="0" w:color="auto"/>
            <w:right w:val="none" w:sz="0" w:space="0" w:color="auto"/>
          </w:divBdr>
        </w:div>
        <w:div w:id="1614819485">
          <w:marLeft w:val="480"/>
          <w:marRight w:val="0"/>
          <w:marTop w:val="0"/>
          <w:marBottom w:val="0"/>
          <w:divBdr>
            <w:top w:val="none" w:sz="0" w:space="0" w:color="auto"/>
            <w:left w:val="none" w:sz="0" w:space="0" w:color="auto"/>
            <w:bottom w:val="none" w:sz="0" w:space="0" w:color="auto"/>
            <w:right w:val="none" w:sz="0" w:space="0" w:color="auto"/>
          </w:divBdr>
        </w:div>
        <w:div w:id="484050579">
          <w:marLeft w:val="480"/>
          <w:marRight w:val="0"/>
          <w:marTop w:val="0"/>
          <w:marBottom w:val="0"/>
          <w:divBdr>
            <w:top w:val="none" w:sz="0" w:space="0" w:color="auto"/>
            <w:left w:val="none" w:sz="0" w:space="0" w:color="auto"/>
            <w:bottom w:val="none" w:sz="0" w:space="0" w:color="auto"/>
            <w:right w:val="none" w:sz="0" w:space="0" w:color="auto"/>
          </w:divBdr>
        </w:div>
        <w:div w:id="773941139">
          <w:marLeft w:val="480"/>
          <w:marRight w:val="0"/>
          <w:marTop w:val="0"/>
          <w:marBottom w:val="0"/>
          <w:divBdr>
            <w:top w:val="none" w:sz="0" w:space="0" w:color="auto"/>
            <w:left w:val="none" w:sz="0" w:space="0" w:color="auto"/>
            <w:bottom w:val="none" w:sz="0" w:space="0" w:color="auto"/>
            <w:right w:val="none" w:sz="0" w:space="0" w:color="auto"/>
          </w:divBdr>
        </w:div>
        <w:div w:id="412315074">
          <w:marLeft w:val="480"/>
          <w:marRight w:val="0"/>
          <w:marTop w:val="0"/>
          <w:marBottom w:val="0"/>
          <w:divBdr>
            <w:top w:val="none" w:sz="0" w:space="0" w:color="auto"/>
            <w:left w:val="none" w:sz="0" w:space="0" w:color="auto"/>
            <w:bottom w:val="none" w:sz="0" w:space="0" w:color="auto"/>
            <w:right w:val="none" w:sz="0" w:space="0" w:color="auto"/>
          </w:divBdr>
        </w:div>
        <w:div w:id="1560091515">
          <w:marLeft w:val="480"/>
          <w:marRight w:val="0"/>
          <w:marTop w:val="0"/>
          <w:marBottom w:val="0"/>
          <w:divBdr>
            <w:top w:val="none" w:sz="0" w:space="0" w:color="auto"/>
            <w:left w:val="none" w:sz="0" w:space="0" w:color="auto"/>
            <w:bottom w:val="none" w:sz="0" w:space="0" w:color="auto"/>
            <w:right w:val="none" w:sz="0" w:space="0" w:color="auto"/>
          </w:divBdr>
        </w:div>
        <w:div w:id="1313094073">
          <w:marLeft w:val="480"/>
          <w:marRight w:val="0"/>
          <w:marTop w:val="0"/>
          <w:marBottom w:val="0"/>
          <w:divBdr>
            <w:top w:val="none" w:sz="0" w:space="0" w:color="auto"/>
            <w:left w:val="none" w:sz="0" w:space="0" w:color="auto"/>
            <w:bottom w:val="none" w:sz="0" w:space="0" w:color="auto"/>
            <w:right w:val="none" w:sz="0" w:space="0" w:color="auto"/>
          </w:divBdr>
        </w:div>
        <w:div w:id="43919119">
          <w:marLeft w:val="480"/>
          <w:marRight w:val="0"/>
          <w:marTop w:val="0"/>
          <w:marBottom w:val="0"/>
          <w:divBdr>
            <w:top w:val="none" w:sz="0" w:space="0" w:color="auto"/>
            <w:left w:val="none" w:sz="0" w:space="0" w:color="auto"/>
            <w:bottom w:val="none" w:sz="0" w:space="0" w:color="auto"/>
            <w:right w:val="none" w:sz="0" w:space="0" w:color="auto"/>
          </w:divBdr>
        </w:div>
        <w:div w:id="1939026431">
          <w:marLeft w:val="480"/>
          <w:marRight w:val="0"/>
          <w:marTop w:val="0"/>
          <w:marBottom w:val="0"/>
          <w:divBdr>
            <w:top w:val="none" w:sz="0" w:space="0" w:color="auto"/>
            <w:left w:val="none" w:sz="0" w:space="0" w:color="auto"/>
            <w:bottom w:val="none" w:sz="0" w:space="0" w:color="auto"/>
            <w:right w:val="none" w:sz="0" w:space="0" w:color="auto"/>
          </w:divBdr>
        </w:div>
        <w:div w:id="615525401">
          <w:marLeft w:val="480"/>
          <w:marRight w:val="0"/>
          <w:marTop w:val="0"/>
          <w:marBottom w:val="0"/>
          <w:divBdr>
            <w:top w:val="none" w:sz="0" w:space="0" w:color="auto"/>
            <w:left w:val="none" w:sz="0" w:space="0" w:color="auto"/>
            <w:bottom w:val="none" w:sz="0" w:space="0" w:color="auto"/>
            <w:right w:val="none" w:sz="0" w:space="0" w:color="auto"/>
          </w:divBdr>
        </w:div>
        <w:div w:id="1557274314">
          <w:marLeft w:val="480"/>
          <w:marRight w:val="0"/>
          <w:marTop w:val="0"/>
          <w:marBottom w:val="0"/>
          <w:divBdr>
            <w:top w:val="none" w:sz="0" w:space="0" w:color="auto"/>
            <w:left w:val="none" w:sz="0" w:space="0" w:color="auto"/>
            <w:bottom w:val="none" w:sz="0" w:space="0" w:color="auto"/>
            <w:right w:val="none" w:sz="0" w:space="0" w:color="auto"/>
          </w:divBdr>
        </w:div>
        <w:div w:id="1209951586">
          <w:marLeft w:val="480"/>
          <w:marRight w:val="0"/>
          <w:marTop w:val="0"/>
          <w:marBottom w:val="0"/>
          <w:divBdr>
            <w:top w:val="none" w:sz="0" w:space="0" w:color="auto"/>
            <w:left w:val="none" w:sz="0" w:space="0" w:color="auto"/>
            <w:bottom w:val="none" w:sz="0" w:space="0" w:color="auto"/>
            <w:right w:val="none" w:sz="0" w:space="0" w:color="auto"/>
          </w:divBdr>
        </w:div>
        <w:div w:id="322658340">
          <w:marLeft w:val="480"/>
          <w:marRight w:val="0"/>
          <w:marTop w:val="0"/>
          <w:marBottom w:val="0"/>
          <w:divBdr>
            <w:top w:val="none" w:sz="0" w:space="0" w:color="auto"/>
            <w:left w:val="none" w:sz="0" w:space="0" w:color="auto"/>
            <w:bottom w:val="none" w:sz="0" w:space="0" w:color="auto"/>
            <w:right w:val="none" w:sz="0" w:space="0" w:color="auto"/>
          </w:divBdr>
        </w:div>
        <w:div w:id="1905949078">
          <w:marLeft w:val="480"/>
          <w:marRight w:val="0"/>
          <w:marTop w:val="0"/>
          <w:marBottom w:val="0"/>
          <w:divBdr>
            <w:top w:val="none" w:sz="0" w:space="0" w:color="auto"/>
            <w:left w:val="none" w:sz="0" w:space="0" w:color="auto"/>
            <w:bottom w:val="none" w:sz="0" w:space="0" w:color="auto"/>
            <w:right w:val="none" w:sz="0" w:space="0" w:color="auto"/>
          </w:divBdr>
        </w:div>
        <w:div w:id="475995442">
          <w:marLeft w:val="480"/>
          <w:marRight w:val="0"/>
          <w:marTop w:val="0"/>
          <w:marBottom w:val="0"/>
          <w:divBdr>
            <w:top w:val="none" w:sz="0" w:space="0" w:color="auto"/>
            <w:left w:val="none" w:sz="0" w:space="0" w:color="auto"/>
            <w:bottom w:val="none" w:sz="0" w:space="0" w:color="auto"/>
            <w:right w:val="none" w:sz="0" w:space="0" w:color="auto"/>
          </w:divBdr>
        </w:div>
        <w:div w:id="263418598">
          <w:marLeft w:val="480"/>
          <w:marRight w:val="0"/>
          <w:marTop w:val="0"/>
          <w:marBottom w:val="0"/>
          <w:divBdr>
            <w:top w:val="none" w:sz="0" w:space="0" w:color="auto"/>
            <w:left w:val="none" w:sz="0" w:space="0" w:color="auto"/>
            <w:bottom w:val="none" w:sz="0" w:space="0" w:color="auto"/>
            <w:right w:val="none" w:sz="0" w:space="0" w:color="auto"/>
          </w:divBdr>
        </w:div>
        <w:div w:id="363865431">
          <w:marLeft w:val="480"/>
          <w:marRight w:val="0"/>
          <w:marTop w:val="0"/>
          <w:marBottom w:val="0"/>
          <w:divBdr>
            <w:top w:val="none" w:sz="0" w:space="0" w:color="auto"/>
            <w:left w:val="none" w:sz="0" w:space="0" w:color="auto"/>
            <w:bottom w:val="none" w:sz="0" w:space="0" w:color="auto"/>
            <w:right w:val="none" w:sz="0" w:space="0" w:color="auto"/>
          </w:divBdr>
        </w:div>
        <w:div w:id="331949919">
          <w:marLeft w:val="480"/>
          <w:marRight w:val="0"/>
          <w:marTop w:val="0"/>
          <w:marBottom w:val="0"/>
          <w:divBdr>
            <w:top w:val="none" w:sz="0" w:space="0" w:color="auto"/>
            <w:left w:val="none" w:sz="0" w:space="0" w:color="auto"/>
            <w:bottom w:val="none" w:sz="0" w:space="0" w:color="auto"/>
            <w:right w:val="none" w:sz="0" w:space="0" w:color="auto"/>
          </w:divBdr>
        </w:div>
        <w:div w:id="175655662">
          <w:marLeft w:val="480"/>
          <w:marRight w:val="0"/>
          <w:marTop w:val="0"/>
          <w:marBottom w:val="0"/>
          <w:divBdr>
            <w:top w:val="none" w:sz="0" w:space="0" w:color="auto"/>
            <w:left w:val="none" w:sz="0" w:space="0" w:color="auto"/>
            <w:bottom w:val="none" w:sz="0" w:space="0" w:color="auto"/>
            <w:right w:val="none" w:sz="0" w:space="0" w:color="auto"/>
          </w:divBdr>
        </w:div>
        <w:div w:id="824201784">
          <w:marLeft w:val="480"/>
          <w:marRight w:val="0"/>
          <w:marTop w:val="0"/>
          <w:marBottom w:val="0"/>
          <w:divBdr>
            <w:top w:val="none" w:sz="0" w:space="0" w:color="auto"/>
            <w:left w:val="none" w:sz="0" w:space="0" w:color="auto"/>
            <w:bottom w:val="none" w:sz="0" w:space="0" w:color="auto"/>
            <w:right w:val="none" w:sz="0" w:space="0" w:color="auto"/>
          </w:divBdr>
        </w:div>
        <w:div w:id="1353073687">
          <w:marLeft w:val="480"/>
          <w:marRight w:val="0"/>
          <w:marTop w:val="0"/>
          <w:marBottom w:val="0"/>
          <w:divBdr>
            <w:top w:val="none" w:sz="0" w:space="0" w:color="auto"/>
            <w:left w:val="none" w:sz="0" w:space="0" w:color="auto"/>
            <w:bottom w:val="none" w:sz="0" w:space="0" w:color="auto"/>
            <w:right w:val="none" w:sz="0" w:space="0" w:color="auto"/>
          </w:divBdr>
        </w:div>
        <w:div w:id="1265921598">
          <w:marLeft w:val="480"/>
          <w:marRight w:val="0"/>
          <w:marTop w:val="0"/>
          <w:marBottom w:val="0"/>
          <w:divBdr>
            <w:top w:val="none" w:sz="0" w:space="0" w:color="auto"/>
            <w:left w:val="none" w:sz="0" w:space="0" w:color="auto"/>
            <w:bottom w:val="none" w:sz="0" w:space="0" w:color="auto"/>
            <w:right w:val="none" w:sz="0" w:space="0" w:color="auto"/>
          </w:divBdr>
        </w:div>
        <w:div w:id="1681812286">
          <w:marLeft w:val="480"/>
          <w:marRight w:val="0"/>
          <w:marTop w:val="0"/>
          <w:marBottom w:val="0"/>
          <w:divBdr>
            <w:top w:val="none" w:sz="0" w:space="0" w:color="auto"/>
            <w:left w:val="none" w:sz="0" w:space="0" w:color="auto"/>
            <w:bottom w:val="none" w:sz="0" w:space="0" w:color="auto"/>
            <w:right w:val="none" w:sz="0" w:space="0" w:color="auto"/>
          </w:divBdr>
        </w:div>
        <w:div w:id="1323969770">
          <w:marLeft w:val="480"/>
          <w:marRight w:val="0"/>
          <w:marTop w:val="0"/>
          <w:marBottom w:val="0"/>
          <w:divBdr>
            <w:top w:val="none" w:sz="0" w:space="0" w:color="auto"/>
            <w:left w:val="none" w:sz="0" w:space="0" w:color="auto"/>
            <w:bottom w:val="none" w:sz="0" w:space="0" w:color="auto"/>
            <w:right w:val="none" w:sz="0" w:space="0" w:color="auto"/>
          </w:divBdr>
        </w:div>
        <w:div w:id="415133408">
          <w:marLeft w:val="480"/>
          <w:marRight w:val="0"/>
          <w:marTop w:val="0"/>
          <w:marBottom w:val="0"/>
          <w:divBdr>
            <w:top w:val="none" w:sz="0" w:space="0" w:color="auto"/>
            <w:left w:val="none" w:sz="0" w:space="0" w:color="auto"/>
            <w:bottom w:val="none" w:sz="0" w:space="0" w:color="auto"/>
            <w:right w:val="none" w:sz="0" w:space="0" w:color="auto"/>
          </w:divBdr>
        </w:div>
        <w:div w:id="1092236325">
          <w:marLeft w:val="480"/>
          <w:marRight w:val="0"/>
          <w:marTop w:val="0"/>
          <w:marBottom w:val="0"/>
          <w:divBdr>
            <w:top w:val="none" w:sz="0" w:space="0" w:color="auto"/>
            <w:left w:val="none" w:sz="0" w:space="0" w:color="auto"/>
            <w:bottom w:val="none" w:sz="0" w:space="0" w:color="auto"/>
            <w:right w:val="none" w:sz="0" w:space="0" w:color="auto"/>
          </w:divBdr>
        </w:div>
        <w:div w:id="322514752">
          <w:marLeft w:val="480"/>
          <w:marRight w:val="0"/>
          <w:marTop w:val="0"/>
          <w:marBottom w:val="0"/>
          <w:divBdr>
            <w:top w:val="none" w:sz="0" w:space="0" w:color="auto"/>
            <w:left w:val="none" w:sz="0" w:space="0" w:color="auto"/>
            <w:bottom w:val="none" w:sz="0" w:space="0" w:color="auto"/>
            <w:right w:val="none" w:sz="0" w:space="0" w:color="auto"/>
          </w:divBdr>
        </w:div>
        <w:div w:id="1218316888">
          <w:marLeft w:val="480"/>
          <w:marRight w:val="0"/>
          <w:marTop w:val="0"/>
          <w:marBottom w:val="0"/>
          <w:divBdr>
            <w:top w:val="none" w:sz="0" w:space="0" w:color="auto"/>
            <w:left w:val="none" w:sz="0" w:space="0" w:color="auto"/>
            <w:bottom w:val="none" w:sz="0" w:space="0" w:color="auto"/>
            <w:right w:val="none" w:sz="0" w:space="0" w:color="auto"/>
          </w:divBdr>
        </w:div>
        <w:div w:id="1476875933">
          <w:marLeft w:val="480"/>
          <w:marRight w:val="0"/>
          <w:marTop w:val="0"/>
          <w:marBottom w:val="0"/>
          <w:divBdr>
            <w:top w:val="none" w:sz="0" w:space="0" w:color="auto"/>
            <w:left w:val="none" w:sz="0" w:space="0" w:color="auto"/>
            <w:bottom w:val="none" w:sz="0" w:space="0" w:color="auto"/>
            <w:right w:val="none" w:sz="0" w:space="0" w:color="auto"/>
          </w:divBdr>
        </w:div>
        <w:div w:id="1458379701">
          <w:marLeft w:val="480"/>
          <w:marRight w:val="0"/>
          <w:marTop w:val="0"/>
          <w:marBottom w:val="0"/>
          <w:divBdr>
            <w:top w:val="none" w:sz="0" w:space="0" w:color="auto"/>
            <w:left w:val="none" w:sz="0" w:space="0" w:color="auto"/>
            <w:bottom w:val="none" w:sz="0" w:space="0" w:color="auto"/>
            <w:right w:val="none" w:sz="0" w:space="0" w:color="auto"/>
          </w:divBdr>
        </w:div>
        <w:div w:id="249659043">
          <w:marLeft w:val="480"/>
          <w:marRight w:val="0"/>
          <w:marTop w:val="0"/>
          <w:marBottom w:val="0"/>
          <w:divBdr>
            <w:top w:val="none" w:sz="0" w:space="0" w:color="auto"/>
            <w:left w:val="none" w:sz="0" w:space="0" w:color="auto"/>
            <w:bottom w:val="none" w:sz="0" w:space="0" w:color="auto"/>
            <w:right w:val="none" w:sz="0" w:space="0" w:color="auto"/>
          </w:divBdr>
        </w:div>
        <w:div w:id="1433360838">
          <w:marLeft w:val="480"/>
          <w:marRight w:val="0"/>
          <w:marTop w:val="0"/>
          <w:marBottom w:val="0"/>
          <w:divBdr>
            <w:top w:val="none" w:sz="0" w:space="0" w:color="auto"/>
            <w:left w:val="none" w:sz="0" w:space="0" w:color="auto"/>
            <w:bottom w:val="none" w:sz="0" w:space="0" w:color="auto"/>
            <w:right w:val="none" w:sz="0" w:space="0" w:color="auto"/>
          </w:divBdr>
        </w:div>
        <w:div w:id="542863015">
          <w:marLeft w:val="480"/>
          <w:marRight w:val="0"/>
          <w:marTop w:val="0"/>
          <w:marBottom w:val="0"/>
          <w:divBdr>
            <w:top w:val="none" w:sz="0" w:space="0" w:color="auto"/>
            <w:left w:val="none" w:sz="0" w:space="0" w:color="auto"/>
            <w:bottom w:val="none" w:sz="0" w:space="0" w:color="auto"/>
            <w:right w:val="none" w:sz="0" w:space="0" w:color="auto"/>
          </w:divBdr>
        </w:div>
        <w:div w:id="319964947">
          <w:marLeft w:val="480"/>
          <w:marRight w:val="0"/>
          <w:marTop w:val="0"/>
          <w:marBottom w:val="0"/>
          <w:divBdr>
            <w:top w:val="none" w:sz="0" w:space="0" w:color="auto"/>
            <w:left w:val="none" w:sz="0" w:space="0" w:color="auto"/>
            <w:bottom w:val="none" w:sz="0" w:space="0" w:color="auto"/>
            <w:right w:val="none" w:sz="0" w:space="0" w:color="auto"/>
          </w:divBdr>
        </w:div>
        <w:div w:id="792750128">
          <w:marLeft w:val="480"/>
          <w:marRight w:val="0"/>
          <w:marTop w:val="0"/>
          <w:marBottom w:val="0"/>
          <w:divBdr>
            <w:top w:val="none" w:sz="0" w:space="0" w:color="auto"/>
            <w:left w:val="none" w:sz="0" w:space="0" w:color="auto"/>
            <w:bottom w:val="none" w:sz="0" w:space="0" w:color="auto"/>
            <w:right w:val="none" w:sz="0" w:space="0" w:color="auto"/>
          </w:divBdr>
        </w:div>
        <w:div w:id="452755167">
          <w:marLeft w:val="480"/>
          <w:marRight w:val="0"/>
          <w:marTop w:val="0"/>
          <w:marBottom w:val="0"/>
          <w:divBdr>
            <w:top w:val="none" w:sz="0" w:space="0" w:color="auto"/>
            <w:left w:val="none" w:sz="0" w:space="0" w:color="auto"/>
            <w:bottom w:val="none" w:sz="0" w:space="0" w:color="auto"/>
            <w:right w:val="none" w:sz="0" w:space="0" w:color="auto"/>
          </w:divBdr>
        </w:div>
        <w:div w:id="1646618122">
          <w:marLeft w:val="480"/>
          <w:marRight w:val="0"/>
          <w:marTop w:val="0"/>
          <w:marBottom w:val="0"/>
          <w:divBdr>
            <w:top w:val="none" w:sz="0" w:space="0" w:color="auto"/>
            <w:left w:val="none" w:sz="0" w:space="0" w:color="auto"/>
            <w:bottom w:val="none" w:sz="0" w:space="0" w:color="auto"/>
            <w:right w:val="none" w:sz="0" w:space="0" w:color="auto"/>
          </w:divBdr>
        </w:div>
        <w:div w:id="681080753">
          <w:marLeft w:val="480"/>
          <w:marRight w:val="0"/>
          <w:marTop w:val="0"/>
          <w:marBottom w:val="0"/>
          <w:divBdr>
            <w:top w:val="none" w:sz="0" w:space="0" w:color="auto"/>
            <w:left w:val="none" w:sz="0" w:space="0" w:color="auto"/>
            <w:bottom w:val="none" w:sz="0" w:space="0" w:color="auto"/>
            <w:right w:val="none" w:sz="0" w:space="0" w:color="auto"/>
          </w:divBdr>
        </w:div>
        <w:div w:id="1762947083">
          <w:marLeft w:val="480"/>
          <w:marRight w:val="0"/>
          <w:marTop w:val="0"/>
          <w:marBottom w:val="0"/>
          <w:divBdr>
            <w:top w:val="none" w:sz="0" w:space="0" w:color="auto"/>
            <w:left w:val="none" w:sz="0" w:space="0" w:color="auto"/>
            <w:bottom w:val="none" w:sz="0" w:space="0" w:color="auto"/>
            <w:right w:val="none" w:sz="0" w:space="0" w:color="auto"/>
          </w:divBdr>
        </w:div>
        <w:div w:id="72775981">
          <w:marLeft w:val="480"/>
          <w:marRight w:val="0"/>
          <w:marTop w:val="0"/>
          <w:marBottom w:val="0"/>
          <w:divBdr>
            <w:top w:val="none" w:sz="0" w:space="0" w:color="auto"/>
            <w:left w:val="none" w:sz="0" w:space="0" w:color="auto"/>
            <w:bottom w:val="none" w:sz="0" w:space="0" w:color="auto"/>
            <w:right w:val="none" w:sz="0" w:space="0" w:color="auto"/>
          </w:divBdr>
        </w:div>
        <w:div w:id="1613785650">
          <w:marLeft w:val="480"/>
          <w:marRight w:val="0"/>
          <w:marTop w:val="0"/>
          <w:marBottom w:val="0"/>
          <w:divBdr>
            <w:top w:val="none" w:sz="0" w:space="0" w:color="auto"/>
            <w:left w:val="none" w:sz="0" w:space="0" w:color="auto"/>
            <w:bottom w:val="none" w:sz="0" w:space="0" w:color="auto"/>
            <w:right w:val="none" w:sz="0" w:space="0" w:color="auto"/>
          </w:divBdr>
        </w:div>
        <w:div w:id="636421735">
          <w:marLeft w:val="480"/>
          <w:marRight w:val="0"/>
          <w:marTop w:val="0"/>
          <w:marBottom w:val="0"/>
          <w:divBdr>
            <w:top w:val="none" w:sz="0" w:space="0" w:color="auto"/>
            <w:left w:val="none" w:sz="0" w:space="0" w:color="auto"/>
            <w:bottom w:val="none" w:sz="0" w:space="0" w:color="auto"/>
            <w:right w:val="none" w:sz="0" w:space="0" w:color="auto"/>
          </w:divBdr>
        </w:div>
        <w:div w:id="778992967">
          <w:marLeft w:val="480"/>
          <w:marRight w:val="0"/>
          <w:marTop w:val="0"/>
          <w:marBottom w:val="0"/>
          <w:divBdr>
            <w:top w:val="none" w:sz="0" w:space="0" w:color="auto"/>
            <w:left w:val="none" w:sz="0" w:space="0" w:color="auto"/>
            <w:bottom w:val="none" w:sz="0" w:space="0" w:color="auto"/>
            <w:right w:val="none" w:sz="0" w:space="0" w:color="auto"/>
          </w:divBdr>
        </w:div>
        <w:div w:id="748428824">
          <w:marLeft w:val="480"/>
          <w:marRight w:val="0"/>
          <w:marTop w:val="0"/>
          <w:marBottom w:val="0"/>
          <w:divBdr>
            <w:top w:val="none" w:sz="0" w:space="0" w:color="auto"/>
            <w:left w:val="none" w:sz="0" w:space="0" w:color="auto"/>
            <w:bottom w:val="none" w:sz="0" w:space="0" w:color="auto"/>
            <w:right w:val="none" w:sz="0" w:space="0" w:color="auto"/>
          </w:divBdr>
        </w:div>
        <w:div w:id="302202593">
          <w:marLeft w:val="480"/>
          <w:marRight w:val="0"/>
          <w:marTop w:val="0"/>
          <w:marBottom w:val="0"/>
          <w:divBdr>
            <w:top w:val="none" w:sz="0" w:space="0" w:color="auto"/>
            <w:left w:val="none" w:sz="0" w:space="0" w:color="auto"/>
            <w:bottom w:val="none" w:sz="0" w:space="0" w:color="auto"/>
            <w:right w:val="none" w:sz="0" w:space="0" w:color="auto"/>
          </w:divBdr>
        </w:div>
        <w:div w:id="1374815373">
          <w:marLeft w:val="480"/>
          <w:marRight w:val="0"/>
          <w:marTop w:val="0"/>
          <w:marBottom w:val="0"/>
          <w:divBdr>
            <w:top w:val="none" w:sz="0" w:space="0" w:color="auto"/>
            <w:left w:val="none" w:sz="0" w:space="0" w:color="auto"/>
            <w:bottom w:val="none" w:sz="0" w:space="0" w:color="auto"/>
            <w:right w:val="none" w:sz="0" w:space="0" w:color="auto"/>
          </w:divBdr>
        </w:div>
        <w:div w:id="736365784">
          <w:marLeft w:val="480"/>
          <w:marRight w:val="0"/>
          <w:marTop w:val="0"/>
          <w:marBottom w:val="0"/>
          <w:divBdr>
            <w:top w:val="none" w:sz="0" w:space="0" w:color="auto"/>
            <w:left w:val="none" w:sz="0" w:space="0" w:color="auto"/>
            <w:bottom w:val="none" w:sz="0" w:space="0" w:color="auto"/>
            <w:right w:val="none" w:sz="0" w:space="0" w:color="auto"/>
          </w:divBdr>
        </w:div>
        <w:div w:id="1438981177">
          <w:marLeft w:val="480"/>
          <w:marRight w:val="0"/>
          <w:marTop w:val="0"/>
          <w:marBottom w:val="0"/>
          <w:divBdr>
            <w:top w:val="none" w:sz="0" w:space="0" w:color="auto"/>
            <w:left w:val="none" w:sz="0" w:space="0" w:color="auto"/>
            <w:bottom w:val="none" w:sz="0" w:space="0" w:color="auto"/>
            <w:right w:val="none" w:sz="0" w:space="0" w:color="auto"/>
          </w:divBdr>
        </w:div>
        <w:div w:id="938677318">
          <w:marLeft w:val="480"/>
          <w:marRight w:val="0"/>
          <w:marTop w:val="0"/>
          <w:marBottom w:val="0"/>
          <w:divBdr>
            <w:top w:val="none" w:sz="0" w:space="0" w:color="auto"/>
            <w:left w:val="none" w:sz="0" w:space="0" w:color="auto"/>
            <w:bottom w:val="none" w:sz="0" w:space="0" w:color="auto"/>
            <w:right w:val="none" w:sz="0" w:space="0" w:color="auto"/>
          </w:divBdr>
        </w:div>
        <w:div w:id="1224366304">
          <w:marLeft w:val="480"/>
          <w:marRight w:val="0"/>
          <w:marTop w:val="0"/>
          <w:marBottom w:val="0"/>
          <w:divBdr>
            <w:top w:val="none" w:sz="0" w:space="0" w:color="auto"/>
            <w:left w:val="none" w:sz="0" w:space="0" w:color="auto"/>
            <w:bottom w:val="none" w:sz="0" w:space="0" w:color="auto"/>
            <w:right w:val="none" w:sz="0" w:space="0" w:color="auto"/>
          </w:divBdr>
        </w:div>
        <w:div w:id="603147273">
          <w:marLeft w:val="480"/>
          <w:marRight w:val="0"/>
          <w:marTop w:val="0"/>
          <w:marBottom w:val="0"/>
          <w:divBdr>
            <w:top w:val="none" w:sz="0" w:space="0" w:color="auto"/>
            <w:left w:val="none" w:sz="0" w:space="0" w:color="auto"/>
            <w:bottom w:val="none" w:sz="0" w:space="0" w:color="auto"/>
            <w:right w:val="none" w:sz="0" w:space="0" w:color="auto"/>
          </w:divBdr>
        </w:div>
        <w:div w:id="339820912">
          <w:marLeft w:val="480"/>
          <w:marRight w:val="0"/>
          <w:marTop w:val="0"/>
          <w:marBottom w:val="0"/>
          <w:divBdr>
            <w:top w:val="none" w:sz="0" w:space="0" w:color="auto"/>
            <w:left w:val="none" w:sz="0" w:space="0" w:color="auto"/>
            <w:bottom w:val="none" w:sz="0" w:space="0" w:color="auto"/>
            <w:right w:val="none" w:sz="0" w:space="0" w:color="auto"/>
          </w:divBdr>
        </w:div>
        <w:div w:id="177231655">
          <w:marLeft w:val="480"/>
          <w:marRight w:val="0"/>
          <w:marTop w:val="0"/>
          <w:marBottom w:val="0"/>
          <w:divBdr>
            <w:top w:val="none" w:sz="0" w:space="0" w:color="auto"/>
            <w:left w:val="none" w:sz="0" w:space="0" w:color="auto"/>
            <w:bottom w:val="none" w:sz="0" w:space="0" w:color="auto"/>
            <w:right w:val="none" w:sz="0" w:space="0" w:color="auto"/>
          </w:divBdr>
        </w:div>
        <w:div w:id="624120640">
          <w:marLeft w:val="480"/>
          <w:marRight w:val="0"/>
          <w:marTop w:val="0"/>
          <w:marBottom w:val="0"/>
          <w:divBdr>
            <w:top w:val="none" w:sz="0" w:space="0" w:color="auto"/>
            <w:left w:val="none" w:sz="0" w:space="0" w:color="auto"/>
            <w:bottom w:val="none" w:sz="0" w:space="0" w:color="auto"/>
            <w:right w:val="none" w:sz="0" w:space="0" w:color="auto"/>
          </w:divBdr>
        </w:div>
        <w:div w:id="1432236803">
          <w:marLeft w:val="480"/>
          <w:marRight w:val="0"/>
          <w:marTop w:val="0"/>
          <w:marBottom w:val="0"/>
          <w:divBdr>
            <w:top w:val="none" w:sz="0" w:space="0" w:color="auto"/>
            <w:left w:val="none" w:sz="0" w:space="0" w:color="auto"/>
            <w:bottom w:val="none" w:sz="0" w:space="0" w:color="auto"/>
            <w:right w:val="none" w:sz="0" w:space="0" w:color="auto"/>
          </w:divBdr>
        </w:div>
        <w:div w:id="251009323">
          <w:marLeft w:val="480"/>
          <w:marRight w:val="0"/>
          <w:marTop w:val="0"/>
          <w:marBottom w:val="0"/>
          <w:divBdr>
            <w:top w:val="none" w:sz="0" w:space="0" w:color="auto"/>
            <w:left w:val="none" w:sz="0" w:space="0" w:color="auto"/>
            <w:bottom w:val="none" w:sz="0" w:space="0" w:color="auto"/>
            <w:right w:val="none" w:sz="0" w:space="0" w:color="auto"/>
          </w:divBdr>
        </w:div>
        <w:div w:id="583420954">
          <w:marLeft w:val="480"/>
          <w:marRight w:val="0"/>
          <w:marTop w:val="0"/>
          <w:marBottom w:val="0"/>
          <w:divBdr>
            <w:top w:val="none" w:sz="0" w:space="0" w:color="auto"/>
            <w:left w:val="none" w:sz="0" w:space="0" w:color="auto"/>
            <w:bottom w:val="none" w:sz="0" w:space="0" w:color="auto"/>
            <w:right w:val="none" w:sz="0" w:space="0" w:color="auto"/>
          </w:divBdr>
        </w:div>
        <w:div w:id="521282351">
          <w:marLeft w:val="480"/>
          <w:marRight w:val="0"/>
          <w:marTop w:val="0"/>
          <w:marBottom w:val="0"/>
          <w:divBdr>
            <w:top w:val="none" w:sz="0" w:space="0" w:color="auto"/>
            <w:left w:val="none" w:sz="0" w:space="0" w:color="auto"/>
            <w:bottom w:val="none" w:sz="0" w:space="0" w:color="auto"/>
            <w:right w:val="none" w:sz="0" w:space="0" w:color="auto"/>
          </w:divBdr>
        </w:div>
      </w:divsChild>
    </w:div>
    <w:div w:id="1704281420">
      <w:bodyDiv w:val="1"/>
      <w:marLeft w:val="0"/>
      <w:marRight w:val="0"/>
      <w:marTop w:val="0"/>
      <w:marBottom w:val="0"/>
      <w:divBdr>
        <w:top w:val="none" w:sz="0" w:space="0" w:color="auto"/>
        <w:left w:val="none" w:sz="0" w:space="0" w:color="auto"/>
        <w:bottom w:val="none" w:sz="0" w:space="0" w:color="auto"/>
        <w:right w:val="none" w:sz="0" w:space="0" w:color="auto"/>
      </w:divBdr>
    </w:div>
    <w:div w:id="1707414443">
      <w:bodyDiv w:val="1"/>
      <w:marLeft w:val="0"/>
      <w:marRight w:val="0"/>
      <w:marTop w:val="0"/>
      <w:marBottom w:val="0"/>
      <w:divBdr>
        <w:top w:val="none" w:sz="0" w:space="0" w:color="auto"/>
        <w:left w:val="none" w:sz="0" w:space="0" w:color="auto"/>
        <w:bottom w:val="none" w:sz="0" w:space="0" w:color="auto"/>
        <w:right w:val="none" w:sz="0" w:space="0" w:color="auto"/>
      </w:divBdr>
    </w:div>
    <w:div w:id="1708948449">
      <w:bodyDiv w:val="1"/>
      <w:marLeft w:val="0"/>
      <w:marRight w:val="0"/>
      <w:marTop w:val="0"/>
      <w:marBottom w:val="0"/>
      <w:divBdr>
        <w:top w:val="none" w:sz="0" w:space="0" w:color="auto"/>
        <w:left w:val="none" w:sz="0" w:space="0" w:color="auto"/>
        <w:bottom w:val="none" w:sz="0" w:space="0" w:color="auto"/>
        <w:right w:val="none" w:sz="0" w:space="0" w:color="auto"/>
      </w:divBdr>
    </w:div>
    <w:div w:id="1712873932">
      <w:bodyDiv w:val="1"/>
      <w:marLeft w:val="0"/>
      <w:marRight w:val="0"/>
      <w:marTop w:val="0"/>
      <w:marBottom w:val="0"/>
      <w:divBdr>
        <w:top w:val="none" w:sz="0" w:space="0" w:color="auto"/>
        <w:left w:val="none" w:sz="0" w:space="0" w:color="auto"/>
        <w:bottom w:val="none" w:sz="0" w:space="0" w:color="auto"/>
        <w:right w:val="none" w:sz="0" w:space="0" w:color="auto"/>
      </w:divBdr>
    </w:div>
    <w:div w:id="1715234668">
      <w:bodyDiv w:val="1"/>
      <w:marLeft w:val="0"/>
      <w:marRight w:val="0"/>
      <w:marTop w:val="0"/>
      <w:marBottom w:val="0"/>
      <w:divBdr>
        <w:top w:val="none" w:sz="0" w:space="0" w:color="auto"/>
        <w:left w:val="none" w:sz="0" w:space="0" w:color="auto"/>
        <w:bottom w:val="none" w:sz="0" w:space="0" w:color="auto"/>
        <w:right w:val="none" w:sz="0" w:space="0" w:color="auto"/>
      </w:divBdr>
    </w:div>
    <w:div w:id="1715305517">
      <w:bodyDiv w:val="1"/>
      <w:marLeft w:val="0"/>
      <w:marRight w:val="0"/>
      <w:marTop w:val="0"/>
      <w:marBottom w:val="0"/>
      <w:divBdr>
        <w:top w:val="none" w:sz="0" w:space="0" w:color="auto"/>
        <w:left w:val="none" w:sz="0" w:space="0" w:color="auto"/>
        <w:bottom w:val="none" w:sz="0" w:space="0" w:color="auto"/>
        <w:right w:val="none" w:sz="0" w:space="0" w:color="auto"/>
      </w:divBdr>
    </w:div>
    <w:div w:id="1719012536">
      <w:bodyDiv w:val="1"/>
      <w:marLeft w:val="0"/>
      <w:marRight w:val="0"/>
      <w:marTop w:val="0"/>
      <w:marBottom w:val="0"/>
      <w:divBdr>
        <w:top w:val="none" w:sz="0" w:space="0" w:color="auto"/>
        <w:left w:val="none" w:sz="0" w:space="0" w:color="auto"/>
        <w:bottom w:val="none" w:sz="0" w:space="0" w:color="auto"/>
        <w:right w:val="none" w:sz="0" w:space="0" w:color="auto"/>
      </w:divBdr>
    </w:div>
    <w:div w:id="1719359125">
      <w:bodyDiv w:val="1"/>
      <w:marLeft w:val="0"/>
      <w:marRight w:val="0"/>
      <w:marTop w:val="0"/>
      <w:marBottom w:val="0"/>
      <w:divBdr>
        <w:top w:val="none" w:sz="0" w:space="0" w:color="auto"/>
        <w:left w:val="none" w:sz="0" w:space="0" w:color="auto"/>
        <w:bottom w:val="none" w:sz="0" w:space="0" w:color="auto"/>
        <w:right w:val="none" w:sz="0" w:space="0" w:color="auto"/>
      </w:divBdr>
    </w:div>
    <w:div w:id="1719862597">
      <w:bodyDiv w:val="1"/>
      <w:marLeft w:val="0"/>
      <w:marRight w:val="0"/>
      <w:marTop w:val="0"/>
      <w:marBottom w:val="0"/>
      <w:divBdr>
        <w:top w:val="none" w:sz="0" w:space="0" w:color="auto"/>
        <w:left w:val="none" w:sz="0" w:space="0" w:color="auto"/>
        <w:bottom w:val="none" w:sz="0" w:space="0" w:color="auto"/>
        <w:right w:val="none" w:sz="0" w:space="0" w:color="auto"/>
      </w:divBdr>
    </w:div>
    <w:div w:id="1720009984">
      <w:bodyDiv w:val="1"/>
      <w:marLeft w:val="0"/>
      <w:marRight w:val="0"/>
      <w:marTop w:val="0"/>
      <w:marBottom w:val="0"/>
      <w:divBdr>
        <w:top w:val="none" w:sz="0" w:space="0" w:color="auto"/>
        <w:left w:val="none" w:sz="0" w:space="0" w:color="auto"/>
        <w:bottom w:val="none" w:sz="0" w:space="0" w:color="auto"/>
        <w:right w:val="none" w:sz="0" w:space="0" w:color="auto"/>
      </w:divBdr>
    </w:div>
    <w:div w:id="1720857256">
      <w:bodyDiv w:val="1"/>
      <w:marLeft w:val="0"/>
      <w:marRight w:val="0"/>
      <w:marTop w:val="0"/>
      <w:marBottom w:val="0"/>
      <w:divBdr>
        <w:top w:val="none" w:sz="0" w:space="0" w:color="auto"/>
        <w:left w:val="none" w:sz="0" w:space="0" w:color="auto"/>
        <w:bottom w:val="none" w:sz="0" w:space="0" w:color="auto"/>
        <w:right w:val="none" w:sz="0" w:space="0" w:color="auto"/>
      </w:divBdr>
    </w:div>
    <w:div w:id="1721786013">
      <w:bodyDiv w:val="1"/>
      <w:marLeft w:val="0"/>
      <w:marRight w:val="0"/>
      <w:marTop w:val="0"/>
      <w:marBottom w:val="0"/>
      <w:divBdr>
        <w:top w:val="none" w:sz="0" w:space="0" w:color="auto"/>
        <w:left w:val="none" w:sz="0" w:space="0" w:color="auto"/>
        <w:bottom w:val="none" w:sz="0" w:space="0" w:color="auto"/>
        <w:right w:val="none" w:sz="0" w:space="0" w:color="auto"/>
      </w:divBdr>
    </w:div>
    <w:div w:id="1721856106">
      <w:bodyDiv w:val="1"/>
      <w:marLeft w:val="0"/>
      <w:marRight w:val="0"/>
      <w:marTop w:val="0"/>
      <w:marBottom w:val="0"/>
      <w:divBdr>
        <w:top w:val="none" w:sz="0" w:space="0" w:color="auto"/>
        <w:left w:val="none" w:sz="0" w:space="0" w:color="auto"/>
        <w:bottom w:val="none" w:sz="0" w:space="0" w:color="auto"/>
        <w:right w:val="none" w:sz="0" w:space="0" w:color="auto"/>
      </w:divBdr>
      <w:divsChild>
        <w:div w:id="1941791675">
          <w:marLeft w:val="640"/>
          <w:marRight w:val="0"/>
          <w:marTop w:val="0"/>
          <w:marBottom w:val="0"/>
          <w:divBdr>
            <w:top w:val="none" w:sz="0" w:space="0" w:color="auto"/>
            <w:left w:val="none" w:sz="0" w:space="0" w:color="auto"/>
            <w:bottom w:val="none" w:sz="0" w:space="0" w:color="auto"/>
            <w:right w:val="none" w:sz="0" w:space="0" w:color="auto"/>
          </w:divBdr>
        </w:div>
        <w:div w:id="673653927">
          <w:marLeft w:val="640"/>
          <w:marRight w:val="0"/>
          <w:marTop w:val="0"/>
          <w:marBottom w:val="0"/>
          <w:divBdr>
            <w:top w:val="none" w:sz="0" w:space="0" w:color="auto"/>
            <w:left w:val="none" w:sz="0" w:space="0" w:color="auto"/>
            <w:bottom w:val="none" w:sz="0" w:space="0" w:color="auto"/>
            <w:right w:val="none" w:sz="0" w:space="0" w:color="auto"/>
          </w:divBdr>
        </w:div>
        <w:div w:id="485561193">
          <w:marLeft w:val="640"/>
          <w:marRight w:val="0"/>
          <w:marTop w:val="0"/>
          <w:marBottom w:val="0"/>
          <w:divBdr>
            <w:top w:val="none" w:sz="0" w:space="0" w:color="auto"/>
            <w:left w:val="none" w:sz="0" w:space="0" w:color="auto"/>
            <w:bottom w:val="none" w:sz="0" w:space="0" w:color="auto"/>
            <w:right w:val="none" w:sz="0" w:space="0" w:color="auto"/>
          </w:divBdr>
        </w:div>
        <w:div w:id="879442632">
          <w:marLeft w:val="640"/>
          <w:marRight w:val="0"/>
          <w:marTop w:val="0"/>
          <w:marBottom w:val="0"/>
          <w:divBdr>
            <w:top w:val="none" w:sz="0" w:space="0" w:color="auto"/>
            <w:left w:val="none" w:sz="0" w:space="0" w:color="auto"/>
            <w:bottom w:val="none" w:sz="0" w:space="0" w:color="auto"/>
            <w:right w:val="none" w:sz="0" w:space="0" w:color="auto"/>
          </w:divBdr>
        </w:div>
        <w:div w:id="305013499">
          <w:marLeft w:val="640"/>
          <w:marRight w:val="0"/>
          <w:marTop w:val="0"/>
          <w:marBottom w:val="0"/>
          <w:divBdr>
            <w:top w:val="none" w:sz="0" w:space="0" w:color="auto"/>
            <w:left w:val="none" w:sz="0" w:space="0" w:color="auto"/>
            <w:bottom w:val="none" w:sz="0" w:space="0" w:color="auto"/>
            <w:right w:val="none" w:sz="0" w:space="0" w:color="auto"/>
          </w:divBdr>
        </w:div>
        <w:div w:id="2117946527">
          <w:marLeft w:val="640"/>
          <w:marRight w:val="0"/>
          <w:marTop w:val="0"/>
          <w:marBottom w:val="0"/>
          <w:divBdr>
            <w:top w:val="none" w:sz="0" w:space="0" w:color="auto"/>
            <w:left w:val="none" w:sz="0" w:space="0" w:color="auto"/>
            <w:bottom w:val="none" w:sz="0" w:space="0" w:color="auto"/>
            <w:right w:val="none" w:sz="0" w:space="0" w:color="auto"/>
          </w:divBdr>
        </w:div>
        <w:div w:id="355230089">
          <w:marLeft w:val="640"/>
          <w:marRight w:val="0"/>
          <w:marTop w:val="0"/>
          <w:marBottom w:val="0"/>
          <w:divBdr>
            <w:top w:val="none" w:sz="0" w:space="0" w:color="auto"/>
            <w:left w:val="none" w:sz="0" w:space="0" w:color="auto"/>
            <w:bottom w:val="none" w:sz="0" w:space="0" w:color="auto"/>
            <w:right w:val="none" w:sz="0" w:space="0" w:color="auto"/>
          </w:divBdr>
        </w:div>
        <w:div w:id="2036072886">
          <w:marLeft w:val="640"/>
          <w:marRight w:val="0"/>
          <w:marTop w:val="0"/>
          <w:marBottom w:val="0"/>
          <w:divBdr>
            <w:top w:val="none" w:sz="0" w:space="0" w:color="auto"/>
            <w:left w:val="none" w:sz="0" w:space="0" w:color="auto"/>
            <w:bottom w:val="none" w:sz="0" w:space="0" w:color="auto"/>
            <w:right w:val="none" w:sz="0" w:space="0" w:color="auto"/>
          </w:divBdr>
        </w:div>
        <w:div w:id="1039889696">
          <w:marLeft w:val="640"/>
          <w:marRight w:val="0"/>
          <w:marTop w:val="0"/>
          <w:marBottom w:val="0"/>
          <w:divBdr>
            <w:top w:val="none" w:sz="0" w:space="0" w:color="auto"/>
            <w:left w:val="none" w:sz="0" w:space="0" w:color="auto"/>
            <w:bottom w:val="none" w:sz="0" w:space="0" w:color="auto"/>
            <w:right w:val="none" w:sz="0" w:space="0" w:color="auto"/>
          </w:divBdr>
        </w:div>
        <w:div w:id="1781677955">
          <w:marLeft w:val="640"/>
          <w:marRight w:val="0"/>
          <w:marTop w:val="0"/>
          <w:marBottom w:val="0"/>
          <w:divBdr>
            <w:top w:val="none" w:sz="0" w:space="0" w:color="auto"/>
            <w:left w:val="none" w:sz="0" w:space="0" w:color="auto"/>
            <w:bottom w:val="none" w:sz="0" w:space="0" w:color="auto"/>
            <w:right w:val="none" w:sz="0" w:space="0" w:color="auto"/>
          </w:divBdr>
        </w:div>
        <w:div w:id="265619415">
          <w:marLeft w:val="640"/>
          <w:marRight w:val="0"/>
          <w:marTop w:val="0"/>
          <w:marBottom w:val="0"/>
          <w:divBdr>
            <w:top w:val="none" w:sz="0" w:space="0" w:color="auto"/>
            <w:left w:val="none" w:sz="0" w:space="0" w:color="auto"/>
            <w:bottom w:val="none" w:sz="0" w:space="0" w:color="auto"/>
            <w:right w:val="none" w:sz="0" w:space="0" w:color="auto"/>
          </w:divBdr>
        </w:div>
        <w:div w:id="1381855119">
          <w:marLeft w:val="640"/>
          <w:marRight w:val="0"/>
          <w:marTop w:val="0"/>
          <w:marBottom w:val="0"/>
          <w:divBdr>
            <w:top w:val="none" w:sz="0" w:space="0" w:color="auto"/>
            <w:left w:val="none" w:sz="0" w:space="0" w:color="auto"/>
            <w:bottom w:val="none" w:sz="0" w:space="0" w:color="auto"/>
            <w:right w:val="none" w:sz="0" w:space="0" w:color="auto"/>
          </w:divBdr>
        </w:div>
        <w:div w:id="1907302176">
          <w:marLeft w:val="640"/>
          <w:marRight w:val="0"/>
          <w:marTop w:val="0"/>
          <w:marBottom w:val="0"/>
          <w:divBdr>
            <w:top w:val="none" w:sz="0" w:space="0" w:color="auto"/>
            <w:left w:val="none" w:sz="0" w:space="0" w:color="auto"/>
            <w:bottom w:val="none" w:sz="0" w:space="0" w:color="auto"/>
            <w:right w:val="none" w:sz="0" w:space="0" w:color="auto"/>
          </w:divBdr>
        </w:div>
        <w:div w:id="680857061">
          <w:marLeft w:val="640"/>
          <w:marRight w:val="0"/>
          <w:marTop w:val="0"/>
          <w:marBottom w:val="0"/>
          <w:divBdr>
            <w:top w:val="none" w:sz="0" w:space="0" w:color="auto"/>
            <w:left w:val="none" w:sz="0" w:space="0" w:color="auto"/>
            <w:bottom w:val="none" w:sz="0" w:space="0" w:color="auto"/>
            <w:right w:val="none" w:sz="0" w:space="0" w:color="auto"/>
          </w:divBdr>
        </w:div>
        <w:div w:id="219168797">
          <w:marLeft w:val="640"/>
          <w:marRight w:val="0"/>
          <w:marTop w:val="0"/>
          <w:marBottom w:val="0"/>
          <w:divBdr>
            <w:top w:val="none" w:sz="0" w:space="0" w:color="auto"/>
            <w:left w:val="none" w:sz="0" w:space="0" w:color="auto"/>
            <w:bottom w:val="none" w:sz="0" w:space="0" w:color="auto"/>
            <w:right w:val="none" w:sz="0" w:space="0" w:color="auto"/>
          </w:divBdr>
        </w:div>
        <w:div w:id="1182474196">
          <w:marLeft w:val="640"/>
          <w:marRight w:val="0"/>
          <w:marTop w:val="0"/>
          <w:marBottom w:val="0"/>
          <w:divBdr>
            <w:top w:val="none" w:sz="0" w:space="0" w:color="auto"/>
            <w:left w:val="none" w:sz="0" w:space="0" w:color="auto"/>
            <w:bottom w:val="none" w:sz="0" w:space="0" w:color="auto"/>
            <w:right w:val="none" w:sz="0" w:space="0" w:color="auto"/>
          </w:divBdr>
        </w:div>
        <w:div w:id="697504789">
          <w:marLeft w:val="640"/>
          <w:marRight w:val="0"/>
          <w:marTop w:val="0"/>
          <w:marBottom w:val="0"/>
          <w:divBdr>
            <w:top w:val="none" w:sz="0" w:space="0" w:color="auto"/>
            <w:left w:val="none" w:sz="0" w:space="0" w:color="auto"/>
            <w:bottom w:val="none" w:sz="0" w:space="0" w:color="auto"/>
            <w:right w:val="none" w:sz="0" w:space="0" w:color="auto"/>
          </w:divBdr>
        </w:div>
        <w:div w:id="1766801418">
          <w:marLeft w:val="640"/>
          <w:marRight w:val="0"/>
          <w:marTop w:val="0"/>
          <w:marBottom w:val="0"/>
          <w:divBdr>
            <w:top w:val="none" w:sz="0" w:space="0" w:color="auto"/>
            <w:left w:val="none" w:sz="0" w:space="0" w:color="auto"/>
            <w:bottom w:val="none" w:sz="0" w:space="0" w:color="auto"/>
            <w:right w:val="none" w:sz="0" w:space="0" w:color="auto"/>
          </w:divBdr>
        </w:div>
        <w:div w:id="1717240687">
          <w:marLeft w:val="640"/>
          <w:marRight w:val="0"/>
          <w:marTop w:val="0"/>
          <w:marBottom w:val="0"/>
          <w:divBdr>
            <w:top w:val="none" w:sz="0" w:space="0" w:color="auto"/>
            <w:left w:val="none" w:sz="0" w:space="0" w:color="auto"/>
            <w:bottom w:val="none" w:sz="0" w:space="0" w:color="auto"/>
            <w:right w:val="none" w:sz="0" w:space="0" w:color="auto"/>
          </w:divBdr>
        </w:div>
        <w:div w:id="836264972">
          <w:marLeft w:val="640"/>
          <w:marRight w:val="0"/>
          <w:marTop w:val="0"/>
          <w:marBottom w:val="0"/>
          <w:divBdr>
            <w:top w:val="none" w:sz="0" w:space="0" w:color="auto"/>
            <w:left w:val="none" w:sz="0" w:space="0" w:color="auto"/>
            <w:bottom w:val="none" w:sz="0" w:space="0" w:color="auto"/>
            <w:right w:val="none" w:sz="0" w:space="0" w:color="auto"/>
          </w:divBdr>
        </w:div>
        <w:div w:id="1050112928">
          <w:marLeft w:val="640"/>
          <w:marRight w:val="0"/>
          <w:marTop w:val="0"/>
          <w:marBottom w:val="0"/>
          <w:divBdr>
            <w:top w:val="none" w:sz="0" w:space="0" w:color="auto"/>
            <w:left w:val="none" w:sz="0" w:space="0" w:color="auto"/>
            <w:bottom w:val="none" w:sz="0" w:space="0" w:color="auto"/>
            <w:right w:val="none" w:sz="0" w:space="0" w:color="auto"/>
          </w:divBdr>
        </w:div>
        <w:div w:id="1653097926">
          <w:marLeft w:val="640"/>
          <w:marRight w:val="0"/>
          <w:marTop w:val="0"/>
          <w:marBottom w:val="0"/>
          <w:divBdr>
            <w:top w:val="none" w:sz="0" w:space="0" w:color="auto"/>
            <w:left w:val="none" w:sz="0" w:space="0" w:color="auto"/>
            <w:bottom w:val="none" w:sz="0" w:space="0" w:color="auto"/>
            <w:right w:val="none" w:sz="0" w:space="0" w:color="auto"/>
          </w:divBdr>
        </w:div>
        <w:div w:id="1340887531">
          <w:marLeft w:val="640"/>
          <w:marRight w:val="0"/>
          <w:marTop w:val="0"/>
          <w:marBottom w:val="0"/>
          <w:divBdr>
            <w:top w:val="none" w:sz="0" w:space="0" w:color="auto"/>
            <w:left w:val="none" w:sz="0" w:space="0" w:color="auto"/>
            <w:bottom w:val="none" w:sz="0" w:space="0" w:color="auto"/>
            <w:right w:val="none" w:sz="0" w:space="0" w:color="auto"/>
          </w:divBdr>
        </w:div>
        <w:div w:id="1225289797">
          <w:marLeft w:val="640"/>
          <w:marRight w:val="0"/>
          <w:marTop w:val="0"/>
          <w:marBottom w:val="0"/>
          <w:divBdr>
            <w:top w:val="none" w:sz="0" w:space="0" w:color="auto"/>
            <w:left w:val="none" w:sz="0" w:space="0" w:color="auto"/>
            <w:bottom w:val="none" w:sz="0" w:space="0" w:color="auto"/>
            <w:right w:val="none" w:sz="0" w:space="0" w:color="auto"/>
          </w:divBdr>
        </w:div>
        <w:div w:id="1036080779">
          <w:marLeft w:val="640"/>
          <w:marRight w:val="0"/>
          <w:marTop w:val="0"/>
          <w:marBottom w:val="0"/>
          <w:divBdr>
            <w:top w:val="none" w:sz="0" w:space="0" w:color="auto"/>
            <w:left w:val="none" w:sz="0" w:space="0" w:color="auto"/>
            <w:bottom w:val="none" w:sz="0" w:space="0" w:color="auto"/>
            <w:right w:val="none" w:sz="0" w:space="0" w:color="auto"/>
          </w:divBdr>
        </w:div>
        <w:div w:id="1146968322">
          <w:marLeft w:val="640"/>
          <w:marRight w:val="0"/>
          <w:marTop w:val="0"/>
          <w:marBottom w:val="0"/>
          <w:divBdr>
            <w:top w:val="none" w:sz="0" w:space="0" w:color="auto"/>
            <w:left w:val="none" w:sz="0" w:space="0" w:color="auto"/>
            <w:bottom w:val="none" w:sz="0" w:space="0" w:color="auto"/>
            <w:right w:val="none" w:sz="0" w:space="0" w:color="auto"/>
          </w:divBdr>
        </w:div>
        <w:div w:id="1355381685">
          <w:marLeft w:val="640"/>
          <w:marRight w:val="0"/>
          <w:marTop w:val="0"/>
          <w:marBottom w:val="0"/>
          <w:divBdr>
            <w:top w:val="none" w:sz="0" w:space="0" w:color="auto"/>
            <w:left w:val="none" w:sz="0" w:space="0" w:color="auto"/>
            <w:bottom w:val="none" w:sz="0" w:space="0" w:color="auto"/>
            <w:right w:val="none" w:sz="0" w:space="0" w:color="auto"/>
          </w:divBdr>
        </w:div>
        <w:div w:id="1908032118">
          <w:marLeft w:val="640"/>
          <w:marRight w:val="0"/>
          <w:marTop w:val="0"/>
          <w:marBottom w:val="0"/>
          <w:divBdr>
            <w:top w:val="none" w:sz="0" w:space="0" w:color="auto"/>
            <w:left w:val="none" w:sz="0" w:space="0" w:color="auto"/>
            <w:bottom w:val="none" w:sz="0" w:space="0" w:color="auto"/>
            <w:right w:val="none" w:sz="0" w:space="0" w:color="auto"/>
          </w:divBdr>
        </w:div>
        <w:div w:id="993147787">
          <w:marLeft w:val="640"/>
          <w:marRight w:val="0"/>
          <w:marTop w:val="0"/>
          <w:marBottom w:val="0"/>
          <w:divBdr>
            <w:top w:val="none" w:sz="0" w:space="0" w:color="auto"/>
            <w:left w:val="none" w:sz="0" w:space="0" w:color="auto"/>
            <w:bottom w:val="none" w:sz="0" w:space="0" w:color="auto"/>
            <w:right w:val="none" w:sz="0" w:space="0" w:color="auto"/>
          </w:divBdr>
        </w:div>
        <w:div w:id="1554732771">
          <w:marLeft w:val="640"/>
          <w:marRight w:val="0"/>
          <w:marTop w:val="0"/>
          <w:marBottom w:val="0"/>
          <w:divBdr>
            <w:top w:val="none" w:sz="0" w:space="0" w:color="auto"/>
            <w:left w:val="none" w:sz="0" w:space="0" w:color="auto"/>
            <w:bottom w:val="none" w:sz="0" w:space="0" w:color="auto"/>
            <w:right w:val="none" w:sz="0" w:space="0" w:color="auto"/>
          </w:divBdr>
        </w:div>
        <w:div w:id="1517310685">
          <w:marLeft w:val="640"/>
          <w:marRight w:val="0"/>
          <w:marTop w:val="0"/>
          <w:marBottom w:val="0"/>
          <w:divBdr>
            <w:top w:val="none" w:sz="0" w:space="0" w:color="auto"/>
            <w:left w:val="none" w:sz="0" w:space="0" w:color="auto"/>
            <w:bottom w:val="none" w:sz="0" w:space="0" w:color="auto"/>
            <w:right w:val="none" w:sz="0" w:space="0" w:color="auto"/>
          </w:divBdr>
        </w:div>
        <w:div w:id="21908736">
          <w:marLeft w:val="640"/>
          <w:marRight w:val="0"/>
          <w:marTop w:val="0"/>
          <w:marBottom w:val="0"/>
          <w:divBdr>
            <w:top w:val="none" w:sz="0" w:space="0" w:color="auto"/>
            <w:left w:val="none" w:sz="0" w:space="0" w:color="auto"/>
            <w:bottom w:val="none" w:sz="0" w:space="0" w:color="auto"/>
            <w:right w:val="none" w:sz="0" w:space="0" w:color="auto"/>
          </w:divBdr>
        </w:div>
        <w:div w:id="486438711">
          <w:marLeft w:val="640"/>
          <w:marRight w:val="0"/>
          <w:marTop w:val="0"/>
          <w:marBottom w:val="0"/>
          <w:divBdr>
            <w:top w:val="none" w:sz="0" w:space="0" w:color="auto"/>
            <w:left w:val="none" w:sz="0" w:space="0" w:color="auto"/>
            <w:bottom w:val="none" w:sz="0" w:space="0" w:color="auto"/>
            <w:right w:val="none" w:sz="0" w:space="0" w:color="auto"/>
          </w:divBdr>
        </w:div>
        <w:div w:id="927811172">
          <w:marLeft w:val="640"/>
          <w:marRight w:val="0"/>
          <w:marTop w:val="0"/>
          <w:marBottom w:val="0"/>
          <w:divBdr>
            <w:top w:val="none" w:sz="0" w:space="0" w:color="auto"/>
            <w:left w:val="none" w:sz="0" w:space="0" w:color="auto"/>
            <w:bottom w:val="none" w:sz="0" w:space="0" w:color="auto"/>
            <w:right w:val="none" w:sz="0" w:space="0" w:color="auto"/>
          </w:divBdr>
        </w:div>
        <w:div w:id="412357858">
          <w:marLeft w:val="640"/>
          <w:marRight w:val="0"/>
          <w:marTop w:val="0"/>
          <w:marBottom w:val="0"/>
          <w:divBdr>
            <w:top w:val="none" w:sz="0" w:space="0" w:color="auto"/>
            <w:left w:val="none" w:sz="0" w:space="0" w:color="auto"/>
            <w:bottom w:val="none" w:sz="0" w:space="0" w:color="auto"/>
            <w:right w:val="none" w:sz="0" w:space="0" w:color="auto"/>
          </w:divBdr>
        </w:div>
        <w:div w:id="747968531">
          <w:marLeft w:val="640"/>
          <w:marRight w:val="0"/>
          <w:marTop w:val="0"/>
          <w:marBottom w:val="0"/>
          <w:divBdr>
            <w:top w:val="none" w:sz="0" w:space="0" w:color="auto"/>
            <w:left w:val="none" w:sz="0" w:space="0" w:color="auto"/>
            <w:bottom w:val="none" w:sz="0" w:space="0" w:color="auto"/>
            <w:right w:val="none" w:sz="0" w:space="0" w:color="auto"/>
          </w:divBdr>
        </w:div>
        <w:div w:id="827593219">
          <w:marLeft w:val="640"/>
          <w:marRight w:val="0"/>
          <w:marTop w:val="0"/>
          <w:marBottom w:val="0"/>
          <w:divBdr>
            <w:top w:val="none" w:sz="0" w:space="0" w:color="auto"/>
            <w:left w:val="none" w:sz="0" w:space="0" w:color="auto"/>
            <w:bottom w:val="none" w:sz="0" w:space="0" w:color="auto"/>
            <w:right w:val="none" w:sz="0" w:space="0" w:color="auto"/>
          </w:divBdr>
        </w:div>
        <w:div w:id="14695413">
          <w:marLeft w:val="640"/>
          <w:marRight w:val="0"/>
          <w:marTop w:val="0"/>
          <w:marBottom w:val="0"/>
          <w:divBdr>
            <w:top w:val="none" w:sz="0" w:space="0" w:color="auto"/>
            <w:left w:val="none" w:sz="0" w:space="0" w:color="auto"/>
            <w:bottom w:val="none" w:sz="0" w:space="0" w:color="auto"/>
            <w:right w:val="none" w:sz="0" w:space="0" w:color="auto"/>
          </w:divBdr>
        </w:div>
        <w:div w:id="1295523602">
          <w:marLeft w:val="640"/>
          <w:marRight w:val="0"/>
          <w:marTop w:val="0"/>
          <w:marBottom w:val="0"/>
          <w:divBdr>
            <w:top w:val="none" w:sz="0" w:space="0" w:color="auto"/>
            <w:left w:val="none" w:sz="0" w:space="0" w:color="auto"/>
            <w:bottom w:val="none" w:sz="0" w:space="0" w:color="auto"/>
            <w:right w:val="none" w:sz="0" w:space="0" w:color="auto"/>
          </w:divBdr>
        </w:div>
        <w:div w:id="1970865678">
          <w:marLeft w:val="640"/>
          <w:marRight w:val="0"/>
          <w:marTop w:val="0"/>
          <w:marBottom w:val="0"/>
          <w:divBdr>
            <w:top w:val="none" w:sz="0" w:space="0" w:color="auto"/>
            <w:left w:val="none" w:sz="0" w:space="0" w:color="auto"/>
            <w:bottom w:val="none" w:sz="0" w:space="0" w:color="auto"/>
            <w:right w:val="none" w:sz="0" w:space="0" w:color="auto"/>
          </w:divBdr>
        </w:div>
        <w:div w:id="1312368373">
          <w:marLeft w:val="640"/>
          <w:marRight w:val="0"/>
          <w:marTop w:val="0"/>
          <w:marBottom w:val="0"/>
          <w:divBdr>
            <w:top w:val="none" w:sz="0" w:space="0" w:color="auto"/>
            <w:left w:val="none" w:sz="0" w:space="0" w:color="auto"/>
            <w:bottom w:val="none" w:sz="0" w:space="0" w:color="auto"/>
            <w:right w:val="none" w:sz="0" w:space="0" w:color="auto"/>
          </w:divBdr>
        </w:div>
        <w:div w:id="404841522">
          <w:marLeft w:val="640"/>
          <w:marRight w:val="0"/>
          <w:marTop w:val="0"/>
          <w:marBottom w:val="0"/>
          <w:divBdr>
            <w:top w:val="none" w:sz="0" w:space="0" w:color="auto"/>
            <w:left w:val="none" w:sz="0" w:space="0" w:color="auto"/>
            <w:bottom w:val="none" w:sz="0" w:space="0" w:color="auto"/>
            <w:right w:val="none" w:sz="0" w:space="0" w:color="auto"/>
          </w:divBdr>
        </w:div>
        <w:div w:id="1835876575">
          <w:marLeft w:val="640"/>
          <w:marRight w:val="0"/>
          <w:marTop w:val="0"/>
          <w:marBottom w:val="0"/>
          <w:divBdr>
            <w:top w:val="none" w:sz="0" w:space="0" w:color="auto"/>
            <w:left w:val="none" w:sz="0" w:space="0" w:color="auto"/>
            <w:bottom w:val="none" w:sz="0" w:space="0" w:color="auto"/>
            <w:right w:val="none" w:sz="0" w:space="0" w:color="auto"/>
          </w:divBdr>
        </w:div>
        <w:div w:id="1448625864">
          <w:marLeft w:val="640"/>
          <w:marRight w:val="0"/>
          <w:marTop w:val="0"/>
          <w:marBottom w:val="0"/>
          <w:divBdr>
            <w:top w:val="none" w:sz="0" w:space="0" w:color="auto"/>
            <w:left w:val="none" w:sz="0" w:space="0" w:color="auto"/>
            <w:bottom w:val="none" w:sz="0" w:space="0" w:color="auto"/>
            <w:right w:val="none" w:sz="0" w:space="0" w:color="auto"/>
          </w:divBdr>
        </w:div>
        <w:div w:id="2102487445">
          <w:marLeft w:val="640"/>
          <w:marRight w:val="0"/>
          <w:marTop w:val="0"/>
          <w:marBottom w:val="0"/>
          <w:divBdr>
            <w:top w:val="none" w:sz="0" w:space="0" w:color="auto"/>
            <w:left w:val="none" w:sz="0" w:space="0" w:color="auto"/>
            <w:bottom w:val="none" w:sz="0" w:space="0" w:color="auto"/>
            <w:right w:val="none" w:sz="0" w:space="0" w:color="auto"/>
          </w:divBdr>
        </w:div>
        <w:div w:id="600727924">
          <w:marLeft w:val="640"/>
          <w:marRight w:val="0"/>
          <w:marTop w:val="0"/>
          <w:marBottom w:val="0"/>
          <w:divBdr>
            <w:top w:val="none" w:sz="0" w:space="0" w:color="auto"/>
            <w:left w:val="none" w:sz="0" w:space="0" w:color="auto"/>
            <w:bottom w:val="none" w:sz="0" w:space="0" w:color="auto"/>
            <w:right w:val="none" w:sz="0" w:space="0" w:color="auto"/>
          </w:divBdr>
        </w:div>
        <w:div w:id="941911161">
          <w:marLeft w:val="640"/>
          <w:marRight w:val="0"/>
          <w:marTop w:val="0"/>
          <w:marBottom w:val="0"/>
          <w:divBdr>
            <w:top w:val="none" w:sz="0" w:space="0" w:color="auto"/>
            <w:left w:val="none" w:sz="0" w:space="0" w:color="auto"/>
            <w:bottom w:val="none" w:sz="0" w:space="0" w:color="auto"/>
            <w:right w:val="none" w:sz="0" w:space="0" w:color="auto"/>
          </w:divBdr>
        </w:div>
        <w:div w:id="2091344161">
          <w:marLeft w:val="640"/>
          <w:marRight w:val="0"/>
          <w:marTop w:val="0"/>
          <w:marBottom w:val="0"/>
          <w:divBdr>
            <w:top w:val="none" w:sz="0" w:space="0" w:color="auto"/>
            <w:left w:val="none" w:sz="0" w:space="0" w:color="auto"/>
            <w:bottom w:val="none" w:sz="0" w:space="0" w:color="auto"/>
            <w:right w:val="none" w:sz="0" w:space="0" w:color="auto"/>
          </w:divBdr>
        </w:div>
        <w:div w:id="1207721620">
          <w:marLeft w:val="640"/>
          <w:marRight w:val="0"/>
          <w:marTop w:val="0"/>
          <w:marBottom w:val="0"/>
          <w:divBdr>
            <w:top w:val="none" w:sz="0" w:space="0" w:color="auto"/>
            <w:left w:val="none" w:sz="0" w:space="0" w:color="auto"/>
            <w:bottom w:val="none" w:sz="0" w:space="0" w:color="auto"/>
            <w:right w:val="none" w:sz="0" w:space="0" w:color="auto"/>
          </w:divBdr>
        </w:div>
        <w:div w:id="1925260886">
          <w:marLeft w:val="640"/>
          <w:marRight w:val="0"/>
          <w:marTop w:val="0"/>
          <w:marBottom w:val="0"/>
          <w:divBdr>
            <w:top w:val="none" w:sz="0" w:space="0" w:color="auto"/>
            <w:left w:val="none" w:sz="0" w:space="0" w:color="auto"/>
            <w:bottom w:val="none" w:sz="0" w:space="0" w:color="auto"/>
            <w:right w:val="none" w:sz="0" w:space="0" w:color="auto"/>
          </w:divBdr>
        </w:div>
        <w:div w:id="1387609207">
          <w:marLeft w:val="640"/>
          <w:marRight w:val="0"/>
          <w:marTop w:val="0"/>
          <w:marBottom w:val="0"/>
          <w:divBdr>
            <w:top w:val="none" w:sz="0" w:space="0" w:color="auto"/>
            <w:left w:val="none" w:sz="0" w:space="0" w:color="auto"/>
            <w:bottom w:val="none" w:sz="0" w:space="0" w:color="auto"/>
            <w:right w:val="none" w:sz="0" w:space="0" w:color="auto"/>
          </w:divBdr>
        </w:div>
        <w:div w:id="705255163">
          <w:marLeft w:val="640"/>
          <w:marRight w:val="0"/>
          <w:marTop w:val="0"/>
          <w:marBottom w:val="0"/>
          <w:divBdr>
            <w:top w:val="none" w:sz="0" w:space="0" w:color="auto"/>
            <w:left w:val="none" w:sz="0" w:space="0" w:color="auto"/>
            <w:bottom w:val="none" w:sz="0" w:space="0" w:color="auto"/>
            <w:right w:val="none" w:sz="0" w:space="0" w:color="auto"/>
          </w:divBdr>
        </w:div>
        <w:div w:id="169221647">
          <w:marLeft w:val="640"/>
          <w:marRight w:val="0"/>
          <w:marTop w:val="0"/>
          <w:marBottom w:val="0"/>
          <w:divBdr>
            <w:top w:val="none" w:sz="0" w:space="0" w:color="auto"/>
            <w:left w:val="none" w:sz="0" w:space="0" w:color="auto"/>
            <w:bottom w:val="none" w:sz="0" w:space="0" w:color="auto"/>
            <w:right w:val="none" w:sz="0" w:space="0" w:color="auto"/>
          </w:divBdr>
        </w:div>
        <w:div w:id="1184515972">
          <w:marLeft w:val="640"/>
          <w:marRight w:val="0"/>
          <w:marTop w:val="0"/>
          <w:marBottom w:val="0"/>
          <w:divBdr>
            <w:top w:val="none" w:sz="0" w:space="0" w:color="auto"/>
            <w:left w:val="none" w:sz="0" w:space="0" w:color="auto"/>
            <w:bottom w:val="none" w:sz="0" w:space="0" w:color="auto"/>
            <w:right w:val="none" w:sz="0" w:space="0" w:color="auto"/>
          </w:divBdr>
        </w:div>
        <w:div w:id="1058282111">
          <w:marLeft w:val="640"/>
          <w:marRight w:val="0"/>
          <w:marTop w:val="0"/>
          <w:marBottom w:val="0"/>
          <w:divBdr>
            <w:top w:val="none" w:sz="0" w:space="0" w:color="auto"/>
            <w:left w:val="none" w:sz="0" w:space="0" w:color="auto"/>
            <w:bottom w:val="none" w:sz="0" w:space="0" w:color="auto"/>
            <w:right w:val="none" w:sz="0" w:space="0" w:color="auto"/>
          </w:divBdr>
        </w:div>
        <w:div w:id="17317015">
          <w:marLeft w:val="640"/>
          <w:marRight w:val="0"/>
          <w:marTop w:val="0"/>
          <w:marBottom w:val="0"/>
          <w:divBdr>
            <w:top w:val="none" w:sz="0" w:space="0" w:color="auto"/>
            <w:left w:val="none" w:sz="0" w:space="0" w:color="auto"/>
            <w:bottom w:val="none" w:sz="0" w:space="0" w:color="auto"/>
            <w:right w:val="none" w:sz="0" w:space="0" w:color="auto"/>
          </w:divBdr>
        </w:div>
        <w:div w:id="264776885">
          <w:marLeft w:val="640"/>
          <w:marRight w:val="0"/>
          <w:marTop w:val="0"/>
          <w:marBottom w:val="0"/>
          <w:divBdr>
            <w:top w:val="none" w:sz="0" w:space="0" w:color="auto"/>
            <w:left w:val="none" w:sz="0" w:space="0" w:color="auto"/>
            <w:bottom w:val="none" w:sz="0" w:space="0" w:color="auto"/>
            <w:right w:val="none" w:sz="0" w:space="0" w:color="auto"/>
          </w:divBdr>
        </w:div>
        <w:div w:id="1139151245">
          <w:marLeft w:val="640"/>
          <w:marRight w:val="0"/>
          <w:marTop w:val="0"/>
          <w:marBottom w:val="0"/>
          <w:divBdr>
            <w:top w:val="none" w:sz="0" w:space="0" w:color="auto"/>
            <w:left w:val="none" w:sz="0" w:space="0" w:color="auto"/>
            <w:bottom w:val="none" w:sz="0" w:space="0" w:color="auto"/>
            <w:right w:val="none" w:sz="0" w:space="0" w:color="auto"/>
          </w:divBdr>
        </w:div>
        <w:div w:id="1382898621">
          <w:marLeft w:val="640"/>
          <w:marRight w:val="0"/>
          <w:marTop w:val="0"/>
          <w:marBottom w:val="0"/>
          <w:divBdr>
            <w:top w:val="none" w:sz="0" w:space="0" w:color="auto"/>
            <w:left w:val="none" w:sz="0" w:space="0" w:color="auto"/>
            <w:bottom w:val="none" w:sz="0" w:space="0" w:color="auto"/>
            <w:right w:val="none" w:sz="0" w:space="0" w:color="auto"/>
          </w:divBdr>
        </w:div>
        <w:div w:id="167326905">
          <w:marLeft w:val="640"/>
          <w:marRight w:val="0"/>
          <w:marTop w:val="0"/>
          <w:marBottom w:val="0"/>
          <w:divBdr>
            <w:top w:val="none" w:sz="0" w:space="0" w:color="auto"/>
            <w:left w:val="none" w:sz="0" w:space="0" w:color="auto"/>
            <w:bottom w:val="none" w:sz="0" w:space="0" w:color="auto"/>
            <w:right w:val="none" w:sz="0" w:space="0" w:color="auto"/>
          </w:divBdr>
        </w:div>
        <w:div w:id="1133065116">
          <w:marLeft w:val="640"/>
          <w:marRight w:val="0"/>
          <w:marTop w:val="0"/>
          <w:marBottom w:val="0"/>
          <w:divBdr>
            <w:top w:val="none" w:sz="0" w:space="0" w:color="auto"/>
            <w:left w:val="none" w:sz="0" w:space="0" w:color="auto"/>
            <w:bottom w:val="none" w:sz="0" w:space="0" w:color="auto"/>
            <w:right w:val="none" w:sz="0" w:space="0" w:color="auto"/>
          </w:divBdr>
        </w:div>
        <w:div w:id="1832334198">
          <w:marLeft w:val="640"/>
          <w:marRight w:val="0"/>
          <w:marTop w:val="0"/>
          <w:marBottom w:val="0"/>
          <w:divBdr>
            <w:top w:val="none" w:sz="0" w:space="0" w:color="auto"/>
            <w:left w:val="none" w:sz="0" w:space="0" w:color="auto"/>
            <w:bottom w:val="none" w:sz="0" w:space="0" w:color="auto"/>
            <w:right w:val="none" w:sz="0" w:space="0" w:color="auto"/>
          </w:divBdr>
        </w:div>
        <w:div w:id="1437557938">
          <w:marLeft w:val="640"/>
          <w:marRight w:val="0"/>
          <w:marTop w:val="0"/>
          <w:marBottom w:val="0"/>
          <w:divBdr>
            <w:top w:val="none" w:sz="0" w:space="0" w:color="auto"/>
            <w:left w:val="none" w:sz="0" w:space="0" w:color="auto"/>
            <w:bottom w:val="none" w:sz="0" w:space="0" w:color="auto"/>
            <w:right w:val="none" w:sz="0" w:space="0" w:color="auto"/>
          </w:divBdr>
        </w:div>
        <w:div w:id="806552506">
          <w:marLeft w:val="640"/>
          <w:marRight w:val="0"/>
          <w:marTop w:val="0"/>
          <w:marBottom w:val="0"/>
          <w:divBdr>
            <w:top w:val="none" w:sz="0" w:space="0" w:color="auto"/>
            <w:left w:val="none" w:sz="0" w:space="0" w:color="auto"/>
            <w:bottom w:val="none" w:sz="0" w:space="0" w:color="auto"/>
            <w:right w:val="none" w:sz="0" w:space="0" w:color="auto"/>
          </w:divBdr>
        </w:div>
        <w:div w:id="164175735">
          <w:marLeft w:val="640"/>
          <w:marRight w:val="0"/>
          <w:marTop w:val="0"/>
          <w:marBottom w:val="0"/>
          <w:divBdr>
            <w:top w:val="none" w:sz="0" w:space="0" w:color="auto"/>
            <w:left w:val="none" w:sz="0" w:space="0" w:color="auto"/>
            <w:bottom w:val="none" w:sz="0" w:space="0" w:color="auto"/>
            <w:right w:val="none" w:sz="0" w:space="0" w:color="auto"/>
          </w:divBdr>
        </w:div>
        <w:div w:id="700714674">
          <w:marLeft w:val="640"/>
          <w:marRight w:val="0"/>
          <w:marTop w:val="0"/>
          <w:marBottom w:val="0"/>
          <w:divBdr>
            <w:top w:val="none" w:sz="0" w:space="0" w:color="auto"/>
            <w:left w:val="none" w:sz="0" w:space="0" w:color="auto"/>
            <w:bottom w:val="none" w:sz="0" w:space="0" w:color="auto"/>
            <w:right w:val="none" w:sz="0" w:space="0" w:color="auto"/>
          </w:divBdr>
        </w:div>
        <w:div w:id="1574195245">
          <w:marLeft w:val="640"/>
          <w:marRight w:val="0"/>
          <w:marTop w:val="0"/>
          <w:marBottom w:val="0"/>
          <w:divBdr>
            <w:top w:val="none" w:sz="0" w:space="0" w:color="auto"/>
            <w:left w:val="none" w:sz="0" w:space="0" w:color="auto"/>
            <w:bottom w:val="none" w:sz="0" w:space="0" w:color="auto"/>
            <w:right w:val="none" w:sz="0" w:space="0" w:color="auto"/>
          </w:divBdr>
        </w:div>
        <w:div w:id="2121797985">
          <w:marLeft w:val="640"/>
          <w:marRight w:val="0"/>
          <w:marTop w:val="0"/>
          <w:marBottom w:val="0"/>
          <w:divBdr>
            <w:top w:val="none" w:sz="0" w:space="0" w:color="auto"/>
            <w:left w:val="none" w:sz="0" w:space="0" w:color="auto"/>
            <w:bottom w:val="none" w:sz="0" w:space="0" w:color="auto"/>
            <w:right w:val="none" w:sz="0" w:space="0" w:color="auto"/>
          </w:divBdr>
        </w:div>
        <w:div w:id="1184593036">
          <w:marLeft w:val="640"/>
          <w:marRight w:val="0"/>
          <w:marTop w:val="0"/>
          <w:marBottom w:val="0"/>
          <w:divBdr>
            <w:top w:val="none" w:sz="0" w:space="0" w:color="auto"/>
            <w:left w:val="none" w:sz="0" w:space="0" w:color="auto"/>
            <w:bottom w:val="none" w:sz="0" w:space="0" w:color="auto"/>
            <w:right w:val="none" w:sz="0" w:space="0" w:color="auto"/>
          </w:divBdr>
        </w:div>
        <w:div w:id="969700792">
          <w:marLeft w:val="640"/>
          <w:marRight w:val="0"/>
          <w:marTop w:val="0"/>
          <w:marBottom w:val="0"/>
          <w:divBdr>
            <w:top w:val="none" w:sz="0" w:space="0" w:color="auto"/>
            <w:left w:val="none" w:sz="0" w:space="0" w:color="auto"/>
            <w:bottom w:val="none" w:sz="0" w:space="0" w:color="auto"/>
            <w:right w:val="none" w:sz="0" w:space="0" w:color="auto"/>
          </w:divBdr>
        </w:div>
        <w:div w:id="1132361084">
          <w:marLeft w:val="640"/>
          <w:marRight w:val="0"/>
          <w:marTop w:val="0"/>
          <w:marBottom w:val="0"/>
          <w:divBdr>
            <w:top w:val="none" w:sz="0" w:space="0" w:color="auto"/>
            <w:left w:val="none" w:sz="0" w:space="0" w:color="auto"/>
            <w:bottom w:val="none" w:sz="0" w:space="0" w:color="auto"/>
            <w:right w:val="none" w:sz="0" w:space="0" w:color="auto"/>
          </w:divBdr>
        </w:div>
        <w:div w:id="1338581020">
          <w:marLeft w:val="640"/>
          <w:marRight w:val="0"/>
          <w:marTop w:val="0"/>
          <w:marBottom w:val="0"/>
          <w:divBdr>
            <w:top w:val="none" w:sz="0" w:space="0" w:color="auto"/>
            <w:left w:val="none" w:sz="0" w:space="0" w:color="auto"/>
            <w:bottom w:val="none" w:sz="0" w:space="0" w:color="auto"/>
            <w:right w:val="none" w:sz="0" w:space="0" w:color="auto"/>
          </w:divBdr>
        </w:div>
        <w:div w:id="1525437508">
          <w:marLeft w:val="640"/>
          <w:marRight w:val="0"/>
          <w:marTop w:val="0"/>
          <w:marBottom w:val="0"/>
          <w:divBdr>
            <w:top w:val="none" w:sz="0" w:space="0" w:color="auto"/>
            <w:left w:val="none" w:sz="0" w:space="0" w:color="auto"/>
            <w:bottom w:val="none" w:sz="0" w:space="0" w:color="auto"/>
            <w:right w:val="none" w:sz="0" w:space="0" w:color="auto"/>
          </w:divBdr>
        </w:div>
        <w:div w:id="1440759069">
          <w:marLeft w:val="640"/>
          <w:marRight w:val="0"/>
          <w:marTop w:val="0"/>
          <w:marBottom w:val="0"/>
          <w:divBdr>
            <w:top w:val="none" w:sz="0" w:space="0" w:color="auto"/>
            <w:left w:val="none" w:sz="0" w:space="0" w:color="auto"/>
            <w:bottom w:val="none" w:sz="0" w:space="0" w:color="auto"/>
            <w:right w:val="none" w:sz="0" w:space="0" w:color="auto"/>
          </w:divBdr>
        </w:div>
        <w:div w:id="291516752">
          <w:marLeft w:val="640"/>
          <w:marRight w:val="0"/>
          <w:marTop w:val="0"/>
          <w:marBottom w:val="0"/>
          <w:divBdr>
            <w:top w:val="none" w:sz="0" w:space="0" w:color="auto"/>
            <w:left w:val="none" w:sz="0" w:space="0" w:color="auto"/>
            <w:bottom w:val="none" w:sz="0" w:space="0" w:color="auto"/>
            <w:right w:val="none" w:sz="0" w:space="0" w:color="auto"/>
          </w:divBdr>
        </w:div>
        <w:div w:id="1411346295">
          <w:marLeft w:val="640"/>
          <w:marRight w:val="0"/>
          <w:marTop w:val="0"/>
          <w:marBottom w:val="0"/>
          <w:divBdr>
            <w:top w:val="none" w:sz="0" w:space="0" w:color="auto"/>
            <w:left w:val="none" w:sz="0" w:space="0" w:color="auto"/>
            <w:bottom w:val="none" w:sz="0" w:space="0" w:color="auto"/>
            <w:right w:val="none" w:sz="0" w:space="0" w:color="auto"/>
          </w:divBdr>
        </w:div>
        <w:div w:id="1209875261">
          <w:marLeft w:val="640"/>
          <w:marRight w:val="0"/>
          <w:marTop w:val="0"/>
          <w:marBottom w:val="0"/>
          <w:divBdr>
            <w:top w:val="none" w:sz="0" w:space="0" w:color="auto"/>
            <w:left w:val="none" w:sz="0" w:space="0" w:color="auto"/>
            <w:bottom w:val="none" w:sz="0" w:space="0" w:color="auto"/>
            <w:right w:val="none" w:sz="0" w:space="0" w:color="auto"/>
          </w:divBdr>
        </w:div>
        <w:div w:id="941382650">
          <w:marLeft w:val="640"/>
          <w:marRight w:val="0"/>
          <w:marTop w:val="0"/>
          <w:marBottom w:val="0"/>
          <w:divBdr>
            <w:top w:val="none" w:sz="0" w:space="0" w:color="auto"/>
            <w:left w:val="none" w:sz="0" w:space="0" w:color="auto"/>
            <w:bottom w:val="none" w:sz="0" w:space="0" w:color="auto"/>
            <w:right w:val="none" w:sz="0" w:space="0" w:color="auto"/>
          </w:divBdr>
        </w:div>
        <w:div w:id="617299381">
          <w:marLeft w:val="640"/>
          <w:marRight w:val="0"/>
          <w:marTop w:val="0"/>
          <w:marBottom w:val="0"/>
          <w:divBdr>
            <w:top w:val="none" w:sz="0" w:space="0" w:color="auto"/>
            <w:left w:val="none" w:sz="0" w:space="0" w:color="auto"/>
            <w:bottom w:val="none" w:sz="0" w:space="0" w:color="auto"/>
            <w:right w:val="none" w:sz="0" w:space="0" w:color="auto"/>
          </w:divBdr>
        </w:div>
        <w:div w:id="1364205802">
          <w:marLeft w:val="640"/>
          <w:marRight w:val="0"/>
          <w:marTop w:val="0"/>
          <w:marBottom w:val="0"/>
          <w:divBdr>
            <w:top w:val="none" w:sz="0" w:space="0" w:color="auto"/>
            <w:left w:val="none" w:sz="0" w:space="0" w:color="auto"/>
            <w:bottom w:val="none" w:sz="0" w:space="0" w:color="auto"/>
            <w:right w:val="none" w:sz="0" w:space="0" w:color="auto"/>
          </w:divBdr>
        </w:div>
        <w:div w:id="857043206">
          <w:marLeft w:val="640"/>
          <w:marRight w:val="0"/>
          <w:marTop w:val="0"/>
          <w:marBottom w:val="0"/>
          <w:divBdr>
            <w:top w:val="none" w:sz="0" w:space="0" w:color="auto"/>
            <w:left w:val="none" w:sz="0" w:space="0" w:color="auto"/>
            <w:bottom w:val="none" w:sz="0" w:space="0" w:color="auto"/>
            <w:right w:val="none" w:sz="0" w:space="0" w:color="auto"/>
          </w:divBdr>
        </w:div>
        <w:div w:id="651756489">
          <w:marLeft w:val="640"/>
          <w:marRight w:val="0"/>
          <w:marTop w:val="0"/>
          <w:marBottom w:val="0"/>
          <w:divBdr>
            <w:top w:val="none" w:sz="0" w:space="0" w:color="auto"/>
            <w:left w:val="none" w:sz="0" w:space="0" w:color="auto"/>
            <w:bottom w:val="none" w:sz="0" w:space="0" w:color="auto"/>
            <w:right w:val="none" w:sz="0" w:space="0" w:color="auto"/>
          </w:divBdr>
        </w:div>
        <w:div w:id="736248705">
          <w:marLeft w:val="640"/>
          <w:marRight w:val="0"/>
          <w:marTop w:val="0"/>
          <w:marBottom w:val="0"/>
          <w:divBdr>
            <w:top w:val="none" w:sz="0" w:space="0" w:color="auto"/>
            <w:left w:val="none" w:sz="0" w:space="0" w:color="auto"/>
            <w:bottom w:val="none" w:sz="0" w:space="0" w:color="auto"/>
            <w:right w:val="none" w:sz="0" w:space="0" w:color="auto"/>
          </w:divBdr>
        </w:div>
        <w:div w:id="1358851508">
          <w:marLeft w:val="640"/>
          <w:marRight w:val="0"/>
          <w:marTop w:val="0"/>
          <w:marBottom w:val="0"/>
          <w:divBdr>
            <w:top w:val="none" w:sz="0" w:space="0" w:color="auto"/>
            <w:left w:val="none" w:sz="0" w:space="0" w:color="auto"/>
            <w:bottom w:val="none" w:sz="0" w:space="0" w:color="auto"/>
            <w:right w:val="none" w:sz="0" w:space="0" w:color="auto"/>
          </w:divBdr>
        </w:div>
        <w:div w:id="861018461">
          <w:marLeft w:val="640"/>
          <w:marRight w:val="0"/>
          <w:marTop w:val="0"/>
          <w:marBottom w:val="0"/>
          <w:divBdr>
            <w:top w:val="none" w:sz="0" w:space="0" w:color="auto"/>
            <w:left w:val="none" w:sz="0" w:space="0" w:color="auto"/>
            <w:bottom w:val="none" w:sz="0" w:space="0" w:color="auto"/>
            <w:right w:val="none" w:sz="0" w:space="0" w:color="auto"/>
          </w:divBdr>
        </w:div>
        <w:div w:id="255679691">
          <w:marLeft w:val="640"/>
          <w:marRight w:val="0"/>
          <w:marTop w:val="0"/>
          <w:marBottom w:val="0"/>
          <w:divBdr>
            <w:top w:val="none" w:sz="0" w:space="0" w:color="auto"/>
            <w:left w:val="none" w:sz="0" w:space="0" w:color="auto"/>
            <w:bottom w:val="none" w:sz="0" w:space="0" w:color="auto"/>
            <w:right w:val="none" w:sz="0" w:space="0" w:color="auto"/>
          </w:divBdr>
        </w:div>
        <w:div w:id="149254832">
          <w:marLeft w:val="640"/>
          <w:marRight w:val="0"/>
          <w:marTop w:val="0"/>
          <w:marBottom w:val="0"/>
          <w:divBdr>
            <w:top w:val="none" w:sz="0" w:space="0" w:color="auto"/>
            <w:left w:val="none" w:sz="0" w:space="0" w:color="auto"/>
            <w:bottom w:val="none" w:sz="0" w:space="0" w:color="auto"/>
            <w:right w:val="none" w:sz="0" w:space="0" w:color="auto"/>
          </w:divBdr>
        </w:div>
        <w:div w:id="1798907964">
          <w:marLeft w:val="640"/>
          <w:marRight w:val="0"/>
          <w:marTop w:val="0"/>
          <w:marBottom w:val="0"/>
          <w:divBdr>
            <w:top w:val="none" w:sz="0" w:space="0" w:color="auto"/>
            <w:left w:val="none" w:sz="0" w:space="0" w:color="auto"/>
            <w:bottom w:val="none" w:sz="0" w:space="0" w:color="auto"/>
            <w:right w:val="none" w:sz="0" w:space="0" w:color="auto"/>
          </w:divBdr>
        </w:div>
        <w:div w:id="521359856">
          <w:marLeft w:val="640"/>
          <w:marRight w:val="0"/>
          <w:marTop w:val="0"/>
          <w:marBottom w:val="0"/>
          <w:divBdr>
            <w:top w:val="none" w:sz="0" w:space="0" w:color="auto"/>
            <w:left w:val="none" w:sz="0" w:space="0" w:color="auto"/>
            <w:bottom w:val="none" w:sz="0" w:space="0" w:color="auto"/>
            <w:right w:val="none" w:sz="0" w:space="0" w:color="auto"/>
          </w:divBdr>
        </w:div>
        <w:div w:id="2135126296">
          <w:marLeft w:val="640"/>
          <w:marRight w:val="0"/>
          <w:marTop w:val="0"/>
          <w:marBottom w:val="0"/>
          <w:divBdr>
            <w:top w:val="none" w:sz="0" w:space="0" w:color="auto"/>
            <w:left w:val="none" w:sz="0" w:space="0" w:color="auto"/>
            <w:bottom w:val="none" w:sz="0" w:space="0" w:color="auto"/>
            <w:right w:val="none" w:sz="0" w:space="0" w:color="auto"/>
          </w:divBdr>
        </w:div>
        <w:div w:id="1199659552">
          <w:marLeft w:val="640"/>
          <w:marRight w:val="0"/>
          <w:marTop w:val="0"/>
          <w:marBottom w:val="0"/>
          <w:divBdr>
            <w:top w:val="none" w:sz="0" w:space="0" w:color="auto"/>
            <w:left w:val="none" w:sz="0" w:space="0" w:color="auto"/>
            <w:bottom w:val="none" w:sz="0" w:space="0" w:color="auto"/>
            <w:right w:val="none" w:sz="0" w:space="0" w:color="auto"/>
          </w:divBdr>
        </w:div>
        <w:div w:id="473837142">
          <w:marLeft w:val="640"/>
          <w:marRight w:val="0"/>
          <w:marTop w:val="0"/>
          <w:marBottom w:val="0"/>
          <w:divBdr>
            <w:top w:val="none" w:sz="0" w:space="0" w:color="auto"/>
            <w:left w:val="none" w:sz="0" w:space="0" w:color="auto"/>
            <w:bottom w:val="none" w:sz="0" w:space="0" w:color="auto"/>
            <w:right w:val="none" w:sz="0" w:space="0" w:color="auto"/>
          </w:divBdr>
        </w:div>
        <w:div w:id="948196526">
          <w:marLeft w:val="640"/>
          <w:marRight w:val="0"/>
          <w:marTop w:val="0"/>
          <w:marBottom w:val="0"/>
          <w:divBdr>
            <w:top w:val="none" w:sz="0" w:space="0" w:color="auto"/>
            <w:left w:val="none" w:sz="0" w:space="0" w:color="auto"/>
            <w:bottom w:val="none" w:sz="0" w:space="0" w:color="auto"/>
            <w:right w:val="none" w:sz="0" w:space="0" w:color="auto"/>
          </w:divBdr>
        </w:div>
        <w:div w:id="863638584">
          <w:marLeft w:val="640"/>
          <w:marRight w:val="0"/>
          <w:marTop w:val="0"/>
          <w:marBottom w:val="0"/>
          <w:divBdr>
            <w:top w:val="none" w:sz="0" w:space="0" w:color="auto"/>
            <w:left w:val="none" w:sz="0" w:space="0" w:color="auto"/>
            <w:bottom w:val="none" w:sz="0" w:space="0" w:color="auto"/>
            <w:right w:val="none" w:sz="0" w:space="0" w:color="auto"/>
          </w:divBdr>
        </w:div>
        <w:div w:id="1176073312">
          <w:marLeft w:val="640"/>
          <w:marRight w:val="0"/>
          <w:marTop w:val="0"/>
          <w:marBottom w:val="0"/>
          <w:divBdr>
            <w:top w:val="none" w:sz="0" w:space="0" w:color="auto"/>
            <w:left w:val="none" w:sz="0" w:space="0" w:color="auto"/>
            <w:bottom w:val="none" w:sz="0" w:space="0" w:color="auto"/>
            <w:right w:val="none" w:sz="0" w:space="0" w:color="auto"/>
          </w:divBdr>
        </w:div>
        <w:div w:id="639072816">
          <w:marLeft w:val="640"/>
          <w:marRight w:val="0"/>
          <w:marTop w:val="0"/>
          <w:marBottom w:val="0"/>
          <w:divBdr>
            <w:top w:val="none" w:sz="0" w:space="0" w:color="auto"/>
            <w:left w:val="none" w:sz="0" w:space="0" w:color="auto"/>
            <w:bottom w:val="none" w:sz="0" w:space="0" w:color="auto"/>
            <w:right w:val="none" w:sz="0" w:space="0" w:color="auto"/>
          </w:divBdr>
        </w:div>
        <w:div w:id="1118060878">
          <w:marLeft w:val="640"/>
          <w:marRight w:val="0"/>
          <w:marTop w:val="0"/>
          <w:marBottom w:val="0"/>
          <w:divBdr>
            <w:top w:val="none" w:sz="0" w:space="0" w:color="auto"/>
            <w:left w:val="none" w:sz="0" w:space="0" w:color="auto"/>
            <w:bottom w:val="none" w:sz="0" w:space="0" w:color="auto"/>
            <w:right w:val="none" w:sz="0" w:space="0" w:color="auto"/>
          </w:divBdr>
        </w:div>
        <w:div w:id="1456292625">
          <w:marLeft w:val="640"/>
          <w:marRight w:val="0"/>
          <w:marTop w:val="0"/>
          <w:marBottom w:val="0"/>
          <w:divBdr>
            <w:top w:val="none" w:sz="0" w:space="0" w:color="auto"/>
            <w:left w:val="none" w:sz="0" w:space="0" w:color="auto"/>
            <w:bottom w:val="none" w:sz="0" w:space="0" w:color="auto"/>
            <w:right w:val="none" w:sz="0" w:space="0" w:color="auto"/>
          </w:divBdr>
        </w:div>
        <w:div w:id="253248938">
          <w:marLeft w:val="640"/>
          <w:marRight w:val="0"/>
          <w:marTop w:val="0"/>
          <w:marBottom w:val="0"/>
          <w:divBdr>
            <w:top w:val="none" w:sz="0" w:space="0" w:color="auto"/>
            <w:left w:val="none" w:sz="0" w:space="0" w:color="auto"/>
            <w:bottom w:val="none" w:sz="0" w:space="0" w:color="auto"/>
            <w:right w:val="none" w:sz="0" w:space="0" w:color="auto"/>
          </w:divBdr>
        </w:div>
        <w:div w:id="473524885">
          <w:marLeft w:val="640"/>
          <w:marRight w:val="0"/>
          <w:marTop w:val="0"/>
          <w:marBottom w:val="0"/>
          <w:divBdr>
            <w:top w:val="none" w:sz="0" w:space="0" w:color="auto"/>
            <w:left w:val="none" w:sz="0" w:space="0" w:color="auto"/>
            <w:bottom w:val="none" w:sz="0" w:space="0" w:color="auto"/>
            <w:right w:val="none" w:sz="0" w:space="0" w:color="auto"/>
          </w:divBdr>
        </w:div>
        <w:div w:id="2036155562">
          <w:marLeft w:val="640"/>
          <w:marRight w:val="0"/>
          <w:marTop w:val="0"/>
          <w:marBottom w:val="0"/>
          <w:divBdr>
            <w:top w:val="none" w:sz="0" w:space="0" w:color="auto"/>
            <w:left w:val="none" w:sz="0" w:space="0" w:color="auto"/>
            <w:bottom w:val="none" w:sz="0" w:space="0" w:color="auto"/>
            <w:right w:val="none" w:sz="0" w:space="0" w:color="auto"/>
          </w:divBdr>
        </w:div>
        <w:div w:id="1498880402">
          <w:marLeft w:val="640"/>
          <w:marRight w:val="0"/>
          <w:marTop w:val="0"/>
          <w:marBottom w:val="0"/>
          <w:divBdr>
            <w:top w:val="none" w:sz="0" w:space="0" w:color="auto"/>
            <w:left w:val="none" w:sz="0" w:space="0" w:color="auto"/>
            <w:bottom w:val="none" w:sz="0" w:space="0" w:color="auto"/>
            <w:right w:val="none" w:sz="0" w:space="0" w:color="auto"/>
          </w:divBdr>
        </w:div>
        <w:div w:id="1961034201">
          <w:marLeft w:val="640"/>
          <w:marRight w:val="0"/>
          <w:marTop w:val="0"/>
          <w:marBottom w:val="0"/>
          <w:divBdr>
            <w:top w:val="none" w:sz="0" w:space="0" w:color="auto"/>
            <w:left w:val="none" w:sz="0" w:space="0" w:color="auto"/>
            <w:bottom w:val="none" w:sz="0" w:space="0" w:color="auto"/>
            <w:right w:val="none" w:sz="0" w:space="0" w:color="auto"/>
          </w:divBdr>
        </w:div>
        <w:div w:id="1930845412">
          <w:marLeft w:val="640"/>
          <w:marRight w:val="0"/>
          <w:marTop w:val="0"/>
          <w:marBottom w:val="0"/>
          <w:divBdr>
            <w:top w:val="none" w:sz="0" w:space="0" w:color="auto"/>
            <w:left w:val="none" w:sz="0" w:space="0" w:color="auto"/>
            <w:bottom w:val="none" w:sz="0" w:space="0" w:color="auto"/>
            <w:right w:val="none" w:sz="0" w:space="0" w:color="auto"/>
          </w:divBdr>
        </w:div>
        <w:div w:id="1030762760">
          <w:marLeft w:val="640"/>
          <w:marRight w:val="0"/>
          <w:marTop w:val="0"/>
          <w:marBottom w:val="0"/>
          <w:divBdr>
            <w:top w:val="none" w:sz="0" w:space="0" w:color="auto"/>
            <w:left w:val="none" w:sz="0" w:space="0" w:color="auto"/>
            <w:bottom w:val="none" w:sz="0" w:space="0" w:color="auto"/>
            <w:right w:val="none" w:sz="0" w:space="0" w:color="auto"/>
          </w:divBdr>
        </w:div>
        <w:div w:id="458643154">
          <w:marLeft w:val="640"/>
          <w:marRight w:val="0"/>
          <w:marTop w:val="0"/>
          <w:marBottom w:val="0"/>
          <w:divBdr>
            <w:top w:val="none" w:sz="0" w:space="0" w:color="auto"/>
            <w:left w:val="none" w:sz="0" w:space="0" w:color="auto"/>
            <w:bottom w:val="none" w:sz="0" w:space="0" w:color="auto"/>
            <w:right w:val="none" w:sz="0" w:space="0" w:color="auto"/>
          </w:divBdr>
        </w:div>
        <w:div w:id="1211917592">
          <w:marLeft w:val="640"/>
          <w:marRight w:val="0"/>
          <w:marTop w:val="0"/>
          <w:marBottom w:val="0"/>
          <w:divBdr>
            <w:top w:val="none" w:sz="0" w:space="0" w:color="auto"/>
            <w:left w:val="none" w:sz="0" w:space="0" w:color="auto"/>
            <w:bottom w:val="none" w:sz="0" w:space="0" w:color="auto"/>
            <w:right w:val="none" w:sz="0" w:space="0" w:color="auto"/>
          </w:divBdr>
        </w:div>
        <w:div w:id="1708066848">
          <w:marLeft w:val="640"/>
          <w:marRight w:val="0"/>
          <w:marTop w:val="0"/>
          <w:marBottom w:val="0"/>
          <w:divBdr>
            <w:top w:val="none" w:sz="0" w:space="0" w:color="auto"/>
            <w:left w:val="none" w:sz="0" w:space="0" w:color="auto"/>
            <w:bottom w:val="none" w:sz="0" w:space="0" w:color="auto"/>
            <w:right w:val="none" w:sz="0" w:space="0" w:color="auto"/>
          </w:divBdr>
        </w:div>
        <w:div w:id="1017000426">
          <w:marLeft w:val="640"/>
          <w:marRight w:val="0"/>
          <w:marTop w:val="0"/>
          <w:marBottom w:val="0"/>
          <w:divBdr>
            <w:top w:val="none" w:sz="0" w:space="0" w:color="auto"/>
            <w:left w:val="none" w:sz="0" w:space="0" w:color="auto"/>
            <w:bottom w:val="none" w:sz="0" w:space="0" w:color="auto"/>
            <w:right w:val="none" w:sz="0" w:space="0" w:color="auto"/>
          </w:divBdr>
        </w:div>
        <w:div w:id="1910965346">
          <w:marLeft w:val="640"/>
          <w:marRight w:val="0"/>
          <w:marTop w:val="0"/>
          <w:marBottom w:val="0"/>
          <w:divBdr>
            <w:top w:val="none" w:sz="0" w:space="0" w:color="auto"/>
            <w:left w:val="none" w:sz="0" w:space="0" w:color="auto"/>
            <w:bottom w:val="none" w:sz="0" w:space="0" w:color="auto"/>
            <w:right w:val="none" w:sz="0" w:space="0" w:color="auto"/>
          </w:divBdr>
        </w:div>
        <w:div w:id="940601133">
          <w:marLeft w:val="640"/>
          <w:marRight w:val="0"/>
          <w:marTop w:val="0"/>
          <w:marBottom w:val="0"/>
          <w:divBdr>
            <w:top w:val="none" w:sz="0" w:space="0" w:color="auto"/>
            <w:left w:val="none" w:sz="0" w:space="0" w:color="auto"/>
            <w:bottom w:val="none" w:sz="0" w:space="0" w:color="auto"/>
            <w:right w:val="none" w:sz="0" w:space="0" w:color="auto"/>
          </w:divBdr>
        </w:div>
        <w:div w:id="1300264664">
          <w:marLeft w:val="640"/>
          <w:marRight w:val="0"/>
          <w:marTop w:val="0"/>
          <w:marBottom w:val="0"/>
          <w:divBdr>
            <w:top w:val="none" w:sz="0" w:space="0" w:color="auto"/>
            <w:left w:val="none" w:sz="0" w:space="0" w:color="auto"/>
            <w:bottom w:val="none" w:sz="0" w:space="0" w:color="auto"/>
            <w:right w:val="none" w:sz="0" w:space="0" w:color="auto"/>
          </w:divBdr>
        </w:div>
        <w:div w:id="1742487621">
          <w:marLeft w:val="640"/>
          <w:marRight w:val="0"/>
          <w:marTop w:val="0"/>
          <w:marBottom w:val="0"/>
          <w:divBdr>
            <w:top w:val="none" w:sz="0" w:space="0" w:color="auto"/>
            <w:left w:val="none" w:sz="0" w:space="0" w:color="auto"/>
            <w:bottom w:val="none" w:sz="0" w:space="0" w:color="auto"/>
            <w:right w:val="none" w:sz="0" w:space="0" w:color="auto"/>
          </w:divBdr>
        </w:div>
        <w:div w:id="948051345">
          <w:marLeft w:val="640"/>
          <w:marRight w:val="0"/>
          <w:marTop w:val="0"/>
          <w:marBottom w:val="0"/>
          <w:divBdr>
            <w:top w:val="none" w:sz="0" w:space="0" w:color="auto"/>
            <w:left w:val="none" w:sz="0" w:space="0" w:color="auto"/>
            <w:bottom w:val="none" w:sz="0" w:space="0" w:color="auto"/>
            <w:right w:val="none" w:sz="0" w:space="0" w:color="auto"/>
          </w:divBdr>
        </w:div>
        <w:div w:id="1513256958">
          <w:marLeft w:val="640"/>
          <w:marRight w:val="0"/>
          <w:marTop w:val="0"/>
          <w:marBottom w:val="0"/>
          <w:divBdr>
            <w:top w:val="none" w:sz="0" w:space="0" w:color="auto"/>
            <w:left w:val="none" w:sz="0" w:space="0" w:color="auto"/>
            <w:bottom w:val="none" w:sz="0" w:space="0" w:color="auto"/>
            <w:right w:val="none" w:sz="0" w:space="0" w:color="auto"/>
          </w:divBdr>
        </w:div>
        <w:div w:id="2120681448">
          <w:marLeft w:val="640"/>
          <w:marRight w:val="0"/>
          <w:marTop w:val="0"/>
          <w:marBottom w:val="0"/>
          <w:divBdr>
            <w:top w:val="none" w:sz="0" w:space="0" w:color="auto"/>
            <w:left w:val="none" w:sz="0" w:space="0" w:color="auto"/>
            <w:bottom w:val="none" w:sz="0" w:space="0" w:color="auto"/>
            <w:right w:val="none" w:sz="0" w:space="0" w:color="auto"/>
          </w:divBdr>
        </w:div>
        <w:div w:id="1596745601">
          <w:marLeft w:val="640"/>
          <w:marRight w:val="0"/>
          <w:marTop w:val="0"/>
          <w:marBottom w:val="0"/>
          <w:divBdr>
            <w:top w:val="none" w:sz="0" w:space="0" w:color="auto"/>
            <w:left w:val="none" w:sz="0" w:space="0" w:color="auto"/>
            <w:bottom w:val="none" w:sz="0" w:space="0" w:color="auto"/>
            <w:right w:val="none" w:sz="0" w:space="0" w:color="auto"/>
          </w:divBdr>
        </w:div>
        <w:div w:id="1882936155">
          <w:marLeft w:val="640"/>
          <w:marRight w:val="0"/>
          <w:marTop w:val="0"/>
          <w:marBottom w:val="0"/>
          <w:divBdr>
            <w:top w:val="none" w:sz="0" w:space="0" w:color="auto"/>
            <w:left w:val="none" w:sz="0" w:space="0" w:color="auto"/>
            <w:bottom w:val="none" w:sz="0" w:space="0" w:color="auto"/>
            <w:right w:val="none" w:sz="0" w:space="0" w:color="auto"/>
          </w:divBdr>
        </w:div>
        <w:div w:id="1958636577">
          <w:marLeft w:val="640"/>
          <w:marRight w:val="0"/>
          <w:marTop w:val="0"/>
          <w:marBottom w:val="0"/>
          <w:divBdr>
            <w:top w:val="none" w:sz="0" w:space="0" w:color="auto"/>
            <w:left w:val="none" w:sz="0" w:space="0" w:color="auto"/>
            <w:bottom w:val="none" w:sz="0" w:space="0" w:color="auto"/>
            <w:right w:val="none" w:sz="0" w:space="0" w:color="auto"/>
          </w:divBdr>
        </w:div>
        <w:div w:id="1442609859">
          <w:marLeft w:val="640"/>
          <w:marRight w:val="0"/>
          <w:marTop w:val="0"/>
          <w:marBottom w:val="0"/>
          <w:divBdr>
            <w:top w:val="none" w:sz="0" w:space="0" w:color="auto"/>
            <w:left w:val="none" w:sz="0" w:space="0" w:color="auto"/>
            <w:bottom w:val="none" w:sz="0" w:space="0" w:color="auto"/>
            <w:right w:val="none" w:sz="0" w:space="0" w:color="auto"/>
          </w:divBdr>
        </w:div>
        <w:div w:id="637497361">
          <w:marLeft w:val="640"/>
          <w:marRight w:val="0"/>
          <w:marTop w:val="0"/>
          <w:marBottom w:val="0"/>
          <w:divBdr>
            <w:top w:val="none" w:sz="0" w:space="0" w:color="auto"/>
            <w:left w:val="none" w:sz="0" w:space="0" w:color="auto"/>
            <w:bottom w:val="none" w:sz="0" w:space="0" w:color="auto"/>
            <w:right w:val="none" w:sz="0" w:space="0" w:color="auto"/>
          </w:divBdr>
        </w:div>
        <w:div w:id="1524442941">
          <w:marLeft w:val="640"/>
          <w:marRight w:val="0"/>
          <w:marTop w:val="0"/>
          <w:marBottom w:val="0"/>
          <w:divBdr>
            <w:top w:val="none" w:sz="0" w:space="0" w:color="auto"/>
            <w:left w:val="none" w:sz="0" w:space="0" w:color="auto"/>
            <w:bottom w:val="none" w:sz="0" w:space="0" w:color="auto"/>
            <w:right w:val="none" w:sz="0" w:space="0" w:color="auto"/>
          </w:divBdr>
        </w:div>
        <w:div w:id="1551309156">
          <w:marLeft w:val="640"/>
          <w:marRight w:val="0"/>
          <w:marTop w:val="0"/>
          <w:marBottom w:val="0"/>
          <w:divBdr>
            <w:top w:val="none" w:sz="0" w:space="0" w:color="auto"/>
            <w:left w:val="none" w:sz="0" w:space="0" w:color="auto"/>
            <w:bottom w:val="none" w:sz="0" w:space="0" w:color="auto"/>
            <w:right w:val="none" w:sz="0" w:space="0" w:color="auto"/>
          </w:divBdr>
        </w:div>
        <w:div w:id="593977344">
          <w:marLeft w:val="640"/>
          <w:marRight w:val="0"/>
          <w:marTop w:val="0"/>
          <w:marBottom w:val="0"/>
          <w:divBdr>
            <w:top w:val="none" w:sz="0" w:space="0" w:color="auto"/>
            <w:left w:val="none" w:sz="0" w:space="0" w:color="auto"/>
            <w:bottom w:val="none" w:sz="0" w:space="0" w:color="auto"/>
            <w:right w:val="none" w:sz="0" w:space="0" w:color="auto"/>
          </w:divBdr>
        </w:div>
        <w:div w:id="207494817">
          <w:marLeft w:val="640"/>
          <w:marRight w:val="0"/>
          <w:marTop w:val="0"/>
          <w:marBottom w:val="0"/>
          <w:divBdr>
            <w:top w:val="none" w:sz="0" w:space="0" w:color="auto"/>
            <w:left w:val="none" w:sz="0" w:space="0" w:color="auto"/>
            <w:bottom w:val="none" w:sz="0" w:space="0" w:color="auto"/>
            <w:right w:val="none" w:sz="0" w:space="0" w:color="auto"/>
          </w:divBdr>
        </w:div>
        <w:div w:id="637611260">
          <w:marLeft w:val="640"/>
          <w:marRight w:val="0"/>
          <w:marTop w:val="0"/>
          <w:marBottom w:val="0"/>
          <w:divBdr>
            <w:top w:val="none" w:sz="0" w:space="0" w:color="auto"/>
            <w:left w:val="none" w:sz="0" w:space="0" w:color="auto"/>
            <w:bottom w:val="none" w:sz="0" w:space="0" w:color="auto"/>
            <w:right w:val="none" w:sz="0" w:space="0" w:color="auto"/>
          </w:divBdr>
        </w:div>
        <w:div w:id="1420062684">
          <w:marLeft w:val="640"/>
          <w:marRight w:val="0"/>
          <w:marTop w:val="0"/>
          <w:marBottom w:val="0"/>
          <w:divBdr>
            <w:top w:val="none" w:sz="0" w:space="0" w:color="auto"/>
            <w:left w:val="none" w:sz="0" w:space="0" w:color="auto"/>
            <w:bottom w:val="none" w:sz="0" w:space="0" w:color="auto"/>
            <w:right w:val="none" w:sz="0" w:space="0" w:color="auto"/>
          </w:divBdr>
        </w:div>
        <w:div w:id="1791782704">
          <w:marLeft w:val="640"/>
          <w:marRight w:val="0"/>
          <w:marTop w:val="0"/>
          <w:marBottom w:val="0"/>
          <w:divBdr>
            <w:top w:val="none" w:sz="0" w:space="0" w:color="auto"/>
            <w:left w:val="none" w:sz="0" w:space="0" w:color="auto"/>
            <w:bottom w:val="none" w:sz="0" w:space="0" w:color="auto"/>
            <w:right w:val="none" w:sz="0" w:space="0" w:color="auto"/>
          </w:divBdr>
        </w:div>
        <w:div w:id="530190696">
          <w:marLeft w:val="640"/>
          <w:marRight w:val="0"/>
          <w:marTop w:val="0"/>
          <w:marBottom w:val="0"/>
          <w:divBdr>
            <w:top w:val="none" w:sz="0" w:space="0" w:color="auto"/>
            <w:left w:val="none" w:sz="0" w:space="0" w:color="auto"/>
            <w:bottom w:val="none" w:sz="0" w:space="0" w:color="auto"/>
            <w:right w:val="none" w:sz="0" w:space="0" w:color="auto"/>
          </w:divBdr>
        </w:div>
        <w:div w:id="1346445830">
          <w:marLeft w:val="640"/>
          <w:marRight w:val="0"/>
          <w:marTop w:val="0"/>
          <w:marBottom w:val="0"/>
          <w:divBdr>
            <w:top w:val="none" w:sz="0" w:space="0" w:color="auto"/>
            <w:left w:val="none" w:sz="0" w:space="0" w:color="auto"/>
            <w:bottom w:val="none" w:sz="0" w:space="0" w:color="auto"/>
            <w:right w:val="none" w:sz="0" w:space="0" w:color="auto"/>
          </w:divBdr>
        </w:div>
        <w:div w:id="1670137198">
          <w:marLeft w:val="640"/>
          <w:marRight w:val="0"/>
          <w:marTop w:val="0"/>
          <w:marBottom w:val="0"/>
          <w:divBdr>
            <w:top w:val="none" w:sz="0" w:space="0" w:color="auto"/>
            <w:left w:val="none" w:sz="0" w:space="0" w:color="auto"/>
            <w:bottom w:val="none" w:sz="0" w:space="0" w:color="auto"/>
            <w:right w:val="none" w:sz="0" w:space="0" w:color="auto"/>
          </w:divBdr>
        </w:div>
        <w:div w:id="543180145">
          <w:marLeft w:val="640"/>
          <w:marRight w:val="0"/>
          <w:marTop w:val="0"/>
          <w:marBottom w:val="0"/>
          <w:divBdr>
            <w:top w:val="none" w:sz="0" w:space="0" w:color="auto"/>
            <w:left w:val="none" w:sz="0" w:space="0" w:color="auto"/>
            <w:bottom w:val="none" w:sz="0" w:space="0" w:color="auto"/>
            <w:right w:val="none" w:sz="0" w:space="0" w:color="auto"/>
          </w:divBdr>
        </w:div>
        <w:div w:id="635381111">
          <w:marLeft w:val="640"/>
          <w:marRight w:val="0"/>
          <w:marTop w:val="0"/>
          <w:marBottom w:val="0"/>
          <w:divBdr>
            <w:top w:val="none" w:sz="0" w:space="0" w:color="auto"/>
            <w:left w:val="none" w:sz="0" w:space="0" w:color="auto"/>
            <w:bottom w:val="none" w:sz="0" w:space="0" w:color="auto"/>
            <w:right w:val="none" w:sz="0" w:space="0" w:color="auto"/>
          </w:divBdr>
        </w:div>
        <w:div w:id="1523393649">
          <w:marLeft w:val="640"/>
          <w:marRight w:val="0"/>
          <w:marTop w:val="0"/>
          <w:marBottom w:val="0"/>
          <w:divBdr>
            <w:top w:val="none" w:sz="0" w:space="0" w:color="auto"/>
            <w:left w:val="none" w:sz="0" w:space="0" w:color="auto"/>
            <w:bottom w:val="none" w:sz="0" w:space="0" w:color="auto"/>
            <w:right w:val="none" w:sz="0" w:space="0" w:color="auto"/>
          </w:divBdr>
        </w:div>
        <w:div w:id="680739572">
          <w:marLeft w:val="640"/>
          <w:marRight w:val="0"/>
          <w:marTop w:val="0"/>
          <w:marBottom w:val="0"/>
          <w:divBdr>
            <w:top w:val="none" w:sz="0" w:space="0" w:color="auto"/>
            <w:left w:val="none" w:sz="0" w:space="0" w:color="auto"/>
            <w:bottom w:val="none" w:sz="0" w:space="0" w:color="auto"/>
            <w:right w:val="none" w:sz="0" w:space="0" w:color="auto"/>
          </w:divBdr>
        </w:div>
        <w:div w:id="949046584">
          <w:marLeft w:val="640"/>
          <w:marRight w:val="0"/>
          <w:marTop w:val="0"/>
          <w:marBottom w:val="0"/>
          <w:divBdr>
            <w:top w:val="none" w:sz="0" w:space="0" w:color="auto"/>
            <w:left w:val="none" w:sz="0" w:space="0" w:color="auto"/>
            <w:bottom w:val="none" w:sz="0" w:space="0" w:color="auto"/>
            <w:right w:val="none" w:sz="0" w:space="0" w:color="auto"/>
          </w:divBdr>
        </w:div>
        <w:div w:id="72970967">
          <w:marLeft w:val="640"/>
          <w:marRight w:val="0"/>
          <w:marTop w:val="0"/>
          <w:marBottom w:val="0"/>
          <w:divBdr>
            <w:top w:val="none" w:sz="0" w:space="0" w:color="auto"/>
            <w:left w:val="none" w:sz="0" w:space="0" w:color="auto"/>
            <w:bottom w:val="none" w:sz="0" w:space="0" w:color="auto"/>
            <w:right w:val="none" w:sz="0" w:space="0" w:color="auto"/>
          </w:divBdr>
        </w:div>
        <w:div w:id="1242715418">
          <w:marLeft w:val="640"/>
          <w:marRight w:val="0"/>
          <w:marTop w:val="0"/>
          <w:marBottom w:val="0"/>
          <w:divBdr>
            <w:top w:val="none" w:sz="0" w:space="0" w:color="auto"/>
            <w:left w:val="none" w:sz="0" w:space="0" w:color="auto"/>
            <w:bottom w:val="none" w:sz="0" w:space="0" w:color="auto"/>
            <w:right w:val="none" w:sz="0" w:space="0" w:color="auto"/>
          </w:divBdr>
        </w:div>
        <w:div w:id="1899632963">
          <w:marLeft w:val="640"/>
          <w:marRight w:val="0"/>
          <w:marTop w:val="0"/>
          <w:marBottom w:val="0"/>
          <w:divBdr>
            <w:top w:val="none" w:sz="0" w:space="0" w:color="auto"/>
            <w:left w:val="none" w:sz="0" w:space="0" w:color="auto"/>
            <w:bottom w:val="none" w:sz="0" w:space="0" w:color="auto"/>
            <w:right w:val="none" w:sz="0" w:space="0" w:color="auto"/>
          </w:divBdr>
        </w:div>
        <w:div w:id="509216909">
          <w:marLeft w:val="640"/>
          <w:marRight w:val="0"/>
          <w:marTop w:val="0"/>
          <w:marBottom w:val="0"/>
          <w:divBdr>
            <w:top w:val="none" w:sz="0" w:space="0" w:color="auto"/>
            <w:left w:val="none" w:sz="0" w:space="0" w:color="auto"/>
            <w:bottom w:val="none" w:sz="0" w:space="0" w:color="auto"/>
            <w:right w:val="none" w:sz="0" w:space="0" w:color="auto"/>
          </w:divBdr>
        </w:div>
        <w:div w:id="10839988">
          <w:marLeft w:val="640"/>
          <w:marRight w:val="0"/>
          <w:marTop w:val="0"/>
          <w:marBottom w:val="0"/>
          <w:divBdr>
            <w:top w:val="none" w:sz="0" w:space="0" w:color="auto"/>
            <w:left w:val="none" w:sz="0" w:space="0" w:color="auto"/>
            <w:bottom w:val="none" w:sz="0" w:space="0" w:color="auto"/>
            <w:right w:val="none" w:sz="0" w:space="0" w:color="auto"/>
          </w:divBdr>
        </w:div>
        <w:div w:id="38475220">
          <w:marLeft w:val="640"/>
          <w:marRight w:val="0"/>
          <w:marTop w:val="0"/>
          <w:marBottom w:val="0"/>
          <w:divBdr>
            <w:top w:val="none" w:sz="0" w:space="0" w:color="auto"/>
            <w:left w:val="none" w:sz="0" w:space="0" w:color="auto"/>
            <w:bottom w:val="none" w:sz="0" w:space="0" w:color="auto"/>
            <w:right w:val="none" w:sz="0" w:space="0" w:color="auto"/>
          </w:divBdr>
        </w:div>
        <w:div w:id="2018728721">
          <w:marLeft w:val="640"/>
          <w:marRight w:val="0"/>
          <w:marTop w:val="0"/>
          <w:marBottom w:val="0"/>
          <w:divBdr>
            <w:top w:val="none" w:sz="0" w:space="0" w:color="auto"/>
            <w:left w:val="none" w:sz="0" w:space="0" w:color="auto"/>
            <w:bottom w:val="none" w:sz="0" w:space="0" w:color="auto"/>
            <w:right w:val="none" w:sz="0" w:space="0" w:color="auto"/>
          </w:divBdr>
        </w:div>
        <w:div w:id="1129780763">
          <w:marLeft w:val="640"/>
          <w:marRight w:val="0"/>
          <w:marTop w:val="0"/>
          <w:marBottom w:val="0"/>
          <w:divBdr>
            <w:top w:val="none" w:sz="0" w:space="0" w:color="auto"/>
            <w:left w:val="none" w:sz="0" w:space="0" w:color="auto"/>
            <w:bottom w:val="none" w:sz="0" w:space="0" w:color="auto"/>
            <w:right w:val="none" w:sz="0" w:space="0" w:color="auto"/>
          </w:divBdr>
        </w:div>
        <w:div w:id="140005877">
          <w:marLeft w:val="640"/>
          <w:marRight w:val="0"/>
          <w:marTop w:val="0"/>
          <w:marBottom w:val="0"/>
          <w:divBdr>
            <w:top w:val="none" w:sz="0" w:space="0" w:color="auto"/>
            <w:left w:val="none" w:sz="0" w:space="0" w:color="auto"/>
            <w:bottom w:val="none" w:sz="0" w:space="0" w:color="auto"/>
            <w:right w:val="none" w:sz="0" w:space="0" w:color="auto"/>
          </w:divBdr>
        </w:div>
        <w:div w:id="888490882">
          <w:marLeft w:val="640"/>
          <w:marRight w:val="0"/>
          <w:marTop w:val="0"/>
          <w:marBottom w:val="0"/>
          <w:divBdr>
            <w:top w:val="none" w:sz="0" w:space="0" w:color="auto"/>
            <w:left w:val="none" w:sz="0" w:space="0" w:color="auto"/>
            <w:bottom w:val="none" w:sz="0" w:space="0" w:color="auto"/>
            <w:right w:val="none" w:sz="0" w:space="0" w:color="auto"/>
          </w:divBdr>
        </w:div>
        <w:div w:id="1331325669">
          <w:marLeft w:val="640"/>
          <w:marRight w:val="0"/>
          <w:marTop w:val="0"/>
          <w:marBottom w:val="0"/>
          <w:divBdr>
            <w:top w:val="none" w:sz="0" w:space="0" w:color="auto"/>
            <w:left w:val="none" w:sz="0" w:space="0" w:color="auto"/>
            <w:bottom w:val="none" w:sz="0" w:space="0" w:color="auto"/>
            <w:right w:val="none" w:sz="0" w:space="0" w:color="auto"/>
          </w:divBdr>
        </w:div>
        <w:div w:id="185600370">
          <w:marLeft w:val="640"/>
          <w:marRight w:val="0"/>
          <w:marTop w:val="0"/>
          <w:marBottom w:val="0"/>
          <w:divBdr>
            <w:top w:val="none" w:sz="0" w:space="0" w:color="auto"/>
            <w:left w:val="none" w:sz="0" w:space="0" w:color="auto"/>
            <w:bottom w:val="none" w:sz="0" w:space="0" w:color="auto"/>
            <w:right w:val="none" w:sz="0" w:space="0" w:color="auto"/>
          </w:divBdr>
        </w:div>
        <w:div w:id="1834643085">
          <w:marLeft w:val="640"/>
          <w:marRight w:val="0"/>
          <w:marTop w:val="0"/>
          <w:marBottom w:val="0"/>
          <w:divBdr>
            <w:top w:val="none" w:sz="0" w:space="0" w:color="auto"/>
            <w:left w:val="none" w:sz="0" w:space="0" w:color="auto"/>
            <w:bottom w:val="none" w:sz="0" w:space="0" w:color="auto"/>
            <w:right w:val="none" w:sz="0" w:space="0" w:color="auto"/>
          </w:divBdr>
        </w:div>
        <w:div w:id="1390104943">
          <w:marLeft w:val="640"/>
          <w:marRight w:val="0"/>
          <w:marTop w:val="0"/>
          <w:marBottom w:val="0"/>
          <w:divBdr>
            <w:top w:val="none" w:sz="0" w:space="0" w:color="auto"/>
            <w:left w:val="none" w:sz="0" w:space="0" w:color="auto"/>
            <w:bottom w:val="none" w:sz="0" w:space="0" w:color="auto"/>
            <w:right w:val="none" w:sz="0" w:space="0" w:color="auto"/>
          </w:divBdr>
        </w:div>
        <w:div w:id="1115908884">
          <w:marLeft w:val="640"/>
          <w:marRight w:val="0"/>
          <w:marTop w:val="0"/>
          <w:marBottom w:val="0"/>
          <w:divBdr>
            <w:top w:val="none" w:sz="0" w:space="0" w:color="auto"/>
            <w:left w:val="none" w:sz="0" w:space="0" w:color="auto"/>
            <w:bottom w:val="none" w:sz="0" w:space="0" w:color="auto"/>
            <w:right w:val="none" w:sz="0" w:space="0" w:color="auto"/>
          </w:divBdr>
        </w:div>
        <w:div w:id="18896607">
          <w:marLeft w:val="640"/>
          <w:marRight w:val="0"/>
          <w:marTop w:val="0"/>
          <w:marBottom w:val="0"/>
          <w:divBdr>
            <w:top w:val="none" w:sz="0" w:space="0" w:color="auto"/>
            <w:left w:val="none" w:sz="0" w:space="0" w:color="auto"/>
            <w:bottom w:val="none" w:sz="0" w:space="0" w:color="auto"/>
            <w:right w:val="none" w:sz="0" w:space="0" w:color="auto"/>
          </w:divBdr>
        </w:div>
        <w:div w:id="1212770451">
          <w:marLeft w:val="640"/>
          <w:marRight w:val="0"/>
          <w:marTop w:val="0"/>
          <w:marBottom w:val="0"/>
          <w:divBdr>
            <w:top w:val="none" w:sz="0" w:space="0" w:color="auto"/>
            <w:left w:val="none" w:sz="0" w:space="0" w:color="auto"/>
            <w:bottom w:val="none" w:sz="0" w:space="0" w:color="auto"/>
            <w:right w:val="none" w:sz="0" w:space="0" w:color="auto"/>
          </w:divBdr>
        </w:div>
        <w:div w:id="22679225">
          <w:marLeft w:val="640"/>
          <w:marRight w:val="0"/>
          <w:marTop w:val="0"/>
          <w:marBottom w:val="0"/>
          <w:divBdr>
            <w:top w:val="none" w:sz="0" w:space="0" w:color="auto"/>
            <w:left w:val="none" w:sz="0" w:space="0" w:color="auto"/>
            <w:bottom w:val="none" w:sz="0" w:space="0" w:color="auto"/>
            <w:right w:val="none" w:sz="0" w:space="0" w:color="auto"/>
          </w:divBdr>
        </w:div>
        <w:div w:id="1724451882">
          <w:marLeft w:val="640"/>
          <w:marRight w:val="0"/>
          <w:marTop w:val="0"/>
          <w:marBottom w:val="0"/>
          <w:divBdr>
            <w:top w:val="none" w:sz="0" w:space="0" w:color="auto"/>
            <w:left w:val="none" w:sz="0" w:space="0" w:color="auto"/>
            <w:bottom w:val="none" w:sz="0" w:space="0" w:color="auto"/>
            <w:right w:val="none" w:sz="0" w:space="0" w:color="auto"/>
          </w:divBdr>
        </w:div>
        <w:div w:id="1115056642">
          <w:marLeft w:val="640"/>
          <w:marRight w:val="0"/>
          <w:marTop w:val="0"/>
          <w:marBottom w:val="0"/>
          <w:divBdr>
            <w:top w:val="none" w:sz="0" w:space="0" w:color="auto"/>
            <w:left w:val="none" w:sz="0" w:space="0" w:color="auto"/>
            <w:bottom w:val="none" w:sz="0" w:space="0" w:color="auto"/>
            <w:right w:val="none" w:sz="0" w:space="0" w:color="auto"/>
          </w:divBdr>
        </w:div>
        <w:div w:id="1749108496">
          <w:marLeft w:val="640"/>
          <w:marRight w:val="0"/>
          <w:marTop w:val="0"/>
          <w:marBottom w:val="0"/>
          <w:divBdr>
            <w:top w:val="none" w:sz="0" w:space="0" w:color="auto"/>
            <w:left w:val="none" w:sz="0" w:space="0" w:color="auto"/>
            <w:bottom w:val="none" w:sz="0" w:space="0" w:color="auto"/>
            <w:right w:val="none" w:sz="0" w:space="0" w:color="auto"/>
          </w:divBdr>
        </w:div>
        <w:div w:id="1368291529">
          <w:marLeft w:val="640"/>
          <w:marRight w:val="0"/>
          <w:marTop w:val="0"/>
          <w:marBottom w:val="0"/>
          <w:divBdr>
            <w:top w:val="none" w:sz="0" w:space="0" w:color="auto"/>
            <w:left w:val="none" w:sz="0" w:space="0" w:color="auto"/>
            <w:bottom w:val="none" w:sz="0" w:space="0" w:color="auto"/>
            <w:right w:val="none" w:sz="0" w:space="0" w:color="auto"/>
          </w:divBdr>
        </w:div>
        <w:div w:id="1931159318">
          <w:marLeft w:val="640"/>
          <w:marRight w:val="0"/>
          <w:marTop w:val="0"/>
          <w:marBottom w:val="0"/>
          <w:divBdr>
            <w:top w:val="none" w:sz="0" w:space="0" w:color="auto"/>
            <w:left w:val="none" w:sz="0" w:space="0" w:color="auto"/>
            <w:bottom w:val="none" w:sz="0" w:space="0" w:color="auto"/>
            <w:right w:val="none" w:sz="0" w:space="0" w:color="auto"/>
          </w:divBdr>
        </w:div>
        <w:div w:id="252127900">
          <w:marLeft w:val="640"/>
          <w:marRight w:val="0"/>
          <w:marTop w:val="0"/>
          <w:marBottom w:val="0"/>
          <w:divBdr>
            <w:top w:val="none" w:sz="0" w:space="0" w:color="auto"/>
            <w:left w:val="none" w:sz="0" w:space="0" w:color="auto"/>
            <w:bottom w:val="none" w:sz="0" w:space="0" w:color="auto"/>
            <w:right w:val="none" w:sz="0" w:space="0" w:color="auto"/>
          </w:divBdr>
        </w:div>
        <w:div w:id="624119231">
          <w:marLeft w:val="640"/>
          <w:marRight w:val="0"/>
          <w:marTop w:val="0"/>
          <w:marBottom w:val="0"/>
          <w:divBdr>
            <w:top w:val="none" w:sz="0" w:space="0" w:color="auto"/>
            <w:left w:val="none" w:sz="0" w:space="0" w:color="auto"/>
            <w:bottom w:val="none" w:sz="0" w:space="0" w:color="auto"/>
            <w:right w:val="none" w:sz="0" w:space="0" w:color="auto"/>
          </w:divBdr>
        </w:div>
        <w:div w:id="765854712">
          <w:marLeft w:val="640"/>
          <w:marRight w:val="0"/>
          <w:marTop w:val="0"/>
          <w:marBottom w:val="0"/>
          <w:divBdr>
            <w:top w:val="none" w:sz="0" w:space="0" w:color="auto"/>
            <w:left w:val="none" w:sz="0" w:space="0" w:color="auto"/>
            <w:bottom w:val="none" w:sz="0" w:space="0" w:color="auto"/>
            <w:right w:val="none" w:sz="0" w:space="0" w:color="auto"/>
          </w:divBdr>
        </w:div>
        <w:div w:id="1478835118">
          <w:marLeft w:val="640"/>
          <w:marRight w:val="0"/>
          <w:marTop w:val="0"/>
          <w:marBottom w:val="0"/>
          <w:divBdr>
            <w:top w:val="none" w:sz="0" w:space="0" w:color="auto"/>
            <w:left w:val="none" w:sz="0" w:space="0" w:color="auto"/>
            <w:bottom w:val="none" w:sz="0" w:space="0" w:color="auto"/>
            <w:right w:val="none" w:sz="0" w:space="0" w:color="auto"/>
          </w:divBdr>
        </w:div>
        <w:div w:id="470906349">
          <w:marLeft w:val="640"/>
          <w:marRight w:val="0"/>
          <w:marTop w:val="0"/>
          <w:marBottom w:val="0"/>
          <w:divBdr>
            <w:top w:val="none" w:sz="0" w:space="0" w:color="auto"/>
            <w:left w:val="none" w:sz="0" w:space="0" w:color="auto"/>
            <w:bottom w:val="none" w:sz="0" w:space="0" w:color="auto"/>
            <w:right w:val="none" w:sz="0" w:space="0" w:color="auto"/>
          </w:divBdr>
        </w:div>
        <w:div w:id="672072628">
          <w:marLeft w:val="640"/>
          <w:marRight w:val="0"/>
          <w:marTop w:val="0"/>
          <w:marBottom w:val="0"/>
          <w:divBdr>
            <w:top w:val="none" w:sz="0" w:space="0" w:color="auto"/>
            <w:left w:val="none" w:sz="0" w:space="0" w:color="auto"/>
            <w:bottom w:val="none" w:sz="0" w:space="0" w:color="auto"/>
            <w:right w:val="none" w:sz="0" w:space="0" w:color="auto"/>
          </w:divBdr>
        </w:div>
        <w:div w:id="554313191">
          <w:marLeft w:val="640"/>
          <w:marRight w:val="0"/>
          <w:marTop w:val="0"/>
          <w:marBottom w:val="0"/>
          <w:divBdr>
            <w:top w:val="none" w:sz="0" w:space="0" w:color="auto"/>
            <w:left w:val="none" w:sz="0" w:space="0" w:color="auto"/>
            <w:bottom w:val="none" w:sz="0" w:space="0" w:color="auto"/>
            <w:right w:val="none" w:sz="0" w:space="0" w:color="auto"/>
          </w:divBdr>
        </w:div>
        <w:div w:id="815875588">
          <w:marLeft w:val="640"/>
          <w:marRight w:val="0"/>
          <w:marTop w:val="0"/>
          <w:marBottom w:val="0"/>
          <w:divBdr>
            <w:top w:val="none" w:sz="0" w:space="0" w:color="auto"/>
            <w:left w:val="none" w:sz="0" w:space="0" w:color="auto"/>
            <w:bottom w:val="none" w:sz="0" w:space="0" w:color="auto"/>
            <w:right w:val="none" w:sz="0" w:space="0" w:color="auto"/>
          </w:divBdr>
        </w:div>
        <w:div w:id="723412525">
          <w:marLeft w:val="640"/>
          <w:marRight w:val="0"/>
          <w:marTop w:val="0"/>
          <w:marBottom w:val="0"/>
          <w:divBdr>
            <w:top w:val="none" w:sz="0" w:space="0" w:color="auto"/>
            <w:left w:val="none" w:sz="0" w:space="0" w:color="auto"/>
            <w:bottom w:val="none" w:sz="0" w:space="0" w:color="auto"/>
            <w:right w:val="none" w:sz="0" w:space="0" w:color="auto"/>
          </w:divBdr>
        </w:div>
        <w:div w:id="1820535514">
          <w:marLeft w:val="640"/>
          <w:marRight w:val="0"/>
          <w:marTop w:val="0"/>
          <w:marBottom w:val="0"/>
          <w:divBdr>
            <w:top w:val="none" w:sz="0" w:space="0" w:color="auto"/>
            <w:left w:val="none" w:sz="0" w:space="0" w:color="auto"/>
            <w:bottom w:val="none" w:sz="0" w:space="0" w:color="auto"/>
            <w:right w:val="none" w:sz="0" w:space="0" w:color="auto"/>
          </w:divBdr>
        </w:div>
        <w:div w:id="235479961">
          <w:marLeft w:val="640"/>
          <w:marRight w:val="0"/>
          <w:marTop w:val="0"/>
          <w:marBottom w:val="0"/>
          <w:divBdr>
            <w:top w:val="none" w:sz="0" w:space="0" w:color="auto"/>
            <w:left w:val="none" w:sz="0" w:space="0" w:color="auto"/>
            <w:bottom w:val="none" w:sz="0" w:space="0" w:color="auto"/>
            <w:right w:val="none" w:sz="0" w:space="0" w:color="auto"/>
          </w:divBdr>
        </w:div>
        <w:div w:id="617420953">
          <w:marLeft w:val="640"/>
          <w:marRight w:val="0"/>
          <w:marTop w:val="0"/>
          <w:marBottom w:val="0"/>
          <w:divBdr>
            <w:top w:val="none" w:sz="0" w:space="0" w:color="auto"/>
            <w:left w:val="none" w:sz="0" w:space="0" w:color="auto"/>
            <w:bottom w:val="none" w:sz="0" w:space="0" w:color="auto"/>
            <w:right w:val="none" w:sz="0" w:space="0" w:color="auto"/>
          </w:divBdr>
        </w:div>
        <w:div w:id="934283182">
          <w:marLeft w:val="640"/>
          <w:marRight w:val="0"/>
          <w:marTop w:val="0"/>
          <w:marBottom w:val="0"/>
          <w:divBdr>
            <w:top w:val="none" w:sz="0" w:space="0" w:color="auto"/>
            <w:left w:val="none" w:sz="0" w:space="0" w:color="auto"/>
            <w:bottom w:val="none" w:sz="0" w:space="0" w:color="auto"/>
            <w:right w:val="none" w:sz="0" w:space="0" w:color="auto"/>
          </w:divBdr>
        </w:div>
        <w:div w:id="700789199">
          <w:marLeft w:val="640"/>
          <w:marRight w:val="0"/>
          <w:marTop w:val="0"/>
          <w:marBottom w:val="0"/>
          <w:divBdr>
            <w:top w:val="none" w:sz="0" w:space="0" w:color="auto"/>
            <w:left w:val="none" w:sz="0" w:space="0" w:color="auto"/>
            <w:bottom w:val="none" w:sz="0" w:space="0" w:color="auto"/>
            <w:right w:val="none" w:sz="0" w:space="0" w:color="auto"/>
          </w:divBdr>
        </w:div>
        <w:div w:id="1782722196">
          <w:marLeft w:val="640"/>
          <w:marRight w:val="0"/>
          <w:marTop w:val="0"/>
          <w:marBottom w:val="0"/>
          <w:divBdr>
            <w:top w:val="none" w:sz="0" w:space="0" w:color="auto"/>
            <w:left w:val="none" w:sz="0" w:space="0" w:color="auto"/>
            <w:bottom w:val="none" w:sz="0" w:space="0" w:color="auto"/>
            <w:right w:val="none" w:sz="0" w:space="0" w:color="auto"/>
          </w:divBdr>
        </w:div>
        <w:div w:id="1758165710">
          <w:marLeft w:val="640"/>
          <w:marRight w:val="0"/>
          <w:marTop w:val="0"/>
          <w:marBottom w:val="0"/>
          <w:divBdr>
            <w:top w:val="none" w:sz="0" w:space="0" w:color="auto"/>
            <w:left w:val="none" w:sz="0" w:space="0" w:color="auto"/>
            <w:bottom w:val="none" w:sz="0" w:space="0" w:color="auto"/>
            <w:right w:val="none" w:sz="0" w:space="0" w:color="auto"/>
          </w:divBdr>
        </w:div>
        <w:div w:id="1462650754">
          <w:marLeft w:val="640"/>
          <w:marRight w:val="0"/>
          <w:marTop w:val="0"/>
          <w:marBottom w:val="0"/>
          <w:divBdr>
            <w:top w:val="none" w:sz="0" w:space="0" w:color="auto"/>
            <w:left w:val="none" w:sz="0" w:space="0" w:color="auto"/>
            <w:bottom w:val="none" w:sz="0" w:space="0" w:color="auto"/>
            <w:right w:val="none" w:sz="0" w:space="0" w:color="auto"/>
          </w:divBdr>
        </w:div>
        <w:div w:id="1630430875">
          <w:marLeft w:val="640"/>
          <w:marRight w:val="0"/>
          <w:marTop w:val="0"/>
          <w:marBottom w:val="0"/>
          <w:divBdr>
            <w:top w:val="none" w:sz="0" w:space="0" w:color="auto"/>
            <w:left w:val="none" w:sz="0" w:space="0" w:color="auto"/>
            <w:bottom w:val="none" w:sz="0" w:space="0" w:color="auto"/>
            <w:right w:val="none" w:sz="0" w:space="0" w:color="auto"/>
          </w:divBdr>
        </w:div>
        <w:div w:id="1831100055">
          <w:marLeft w:val="640"/>
          <w:marRight w:val="0"/>
          <w:marTop w:val="0"/>
          <w:marBottom w:val="0"/>
          <w:divBdr>
            <w:top w:val="none" w:sz="0" w:space="0" w:color="auto"/>
            <w:left w:val="none" w:sz="0" w:space="0" w:color="auto"/>
            <w:bottom w:val="none" w:sz="0" w:space="0" w:color="auto"/>
            <w:right w:val="none" w:sz="0" w:space="0" w:color="auto"/>
          </w:divBdr>
        </w:div>
        <w:div w:id="2106152816">
          <w:marLeft w:val="640"/>
          <w:marRight w:val="0"/>
          <w:marTop w:val="0"/>
          <w:marBottom w:val="0"/>
          <w:divBdr>
            <w:top w:val="none" w:sz="0" w:space="0" w:color="auto"/>
            <w:left w:val="none" w:sz="0" w:space="0" w:color="auto"/>
            <w:bottom w:val="none" w:sz="0" w:space="0" w:color="auto"/>
            <w:right w:val="none" w:sz="0" w:space="0" w:color="auto"/>
          </w:divBdr>
        </w:div>
        <w:div w:id="2123643902">
          <w:marLeft w:val="640"/>
          <w:marRight w:val="0"/>
          <w:marTop w:val="0"/>
          <w:marBottom w:val="0"/>
          <w:divBdr>
            <w:top w:val="none" w:sz="0" w:space="0" w:color="auto"/>
            <w:left w:val="none" w:sz="0" w:space="0" w:color="auto"/>
            <w:bottom w:val="none" w:sz="0" w:space="0" w:color="auto"/>
            <w:right w:val="none" w:sz="0" w:space="0" w:color="auto"/>
          </w:divBdr>
        </w:div>
        <w:div w:id="342634390">
          <w:marLeft w:val="640"/>
          <w:marRight w:val="0"/>
          <w:marTop w:val="0"/>
          <w:marBottom w:val="0"/>
          <w:divBdr>
            <w:top w:val="none" w:sz="0" w:space="0" w:color="auto"/>
            <w:left w:val="none" w:sz="0" w:space="0" w:color="auto"/>
            <w:bottom w:val="none" w:sz="0" w:space="0" w:color="auto"/>
            <w:right w:val="none" w:sz="0" w:space="0" w:color="auto"/>
          </w:divBdr>
        </w:div>
        <w:div w:id="740371996">
          <w:marLeft w:val="640"/>
          <w:marRight w:val="0"/>
          <w:marTop w:val="0"/>
          <w:marBottom w:val="0"/>
          <w:divBdr>
            <w:top w:val="none" w:sz="0" w:space="0" w:color="auto"/>
            <w:left w:val="none" w:sz="0" w:space="0" w:color="auto"/>
            <w:bottom w:val="none" w:sz="0" w:space="0" w:color="auto"/>
            <w:right w:val="none" w:sz="0" w:space="0" w:color="auto"/>
          </w:divBdr>
        </w:div>
        <w:div w:id="202912264">
          <w:marLeft w:val="640"/>
          <w:marRight w:val="0"/>
          <w:marTop w:val="0"/>
          <w:marBottom w:val="0"/>
          <w:divBdr>
            <w:top w:val="none" w:sz="0" w:space="0" w:color="auto"/>
            <w:left w:val="none" w:sz="0" w:space="0" w:color="auto"/>
            <w:bottom w:val="none" w:sz="0" w:space="0" w:color="auto"/>
            <w:right w:val="none" w:sz="0" w:space="0" w:color="auto"/>
          </w:divBdr>
        </w:div>
        <w:div w:id="1906988106">
          <w:marLeft w:val="640"/>
          <w:marRight w:val="0"/>
          <w:marTop w:val="0"/>
          <w:marBottom w:val="0"/>
          <w:divBdr>
            <w:top w:val="none" w:sz="0" w:space="0" w:color="auto"/>
            <w:left w:val="none" w:sz="0" w:space="0" w:color="auto"/>
            <w:bottom w:val="none" w:sz="0" w:space="0" w:color="auto"/>
            <w:right w:val="none" w:sz="0" w:space="0" w:color="auto"/>
          </w:divBdr>
        </w:div>
        <w:div w:id="1014307822">
          <w:marLeft w:val="640"/>
          <w:marRight w:val="0"/>
          <w:marTop w:val="0"/>
          <w:marBottom w:val="0"/>
          <w:divBdr>
            <w:top w:val="none" w:sz="0" w:space="0" w:color="auto"/>
            <w:left w:val="none" w:sz="0" w:space="0" w:color="auto"/>
            <w:bottom w:val="none" w:sz="0" w:space="0" w:color="auto"/>
            <w:right w:val="none" w:sz="0" w:space="0" w:color="auto"/>
          </w:divBdr>
        </w:div>
        <w:div w:id="475532600">
          <w:marLeft w:val="640"/>
          <w:marRight w:val="0"/>
          <w:marTop w:val="0"/>
          <w:marBottom w:val="0"/>
          <w:divBdr>
            <w:top w:val="none" w:sz="0" w:space="0" w:color="auto"/>
            <w:left w:val="none" w:sz="0" w:space="0" w:color="auto"/>
            <w:bottom w:val="none" w:sz="0" w:space="0" w:color="auto"/>
            <w:right w:val="none" w:sz="0" w:space="0" w:color="auto"/>
          </w:divBdr>
        </w:div>
        <w:div w:id="781070239">
          <w:marLeft w:val="640"/>
          <w:marRight w:val="0"/>
          <w:marTop w:val="0"/>
          <w:marBottom w:val="0"/>
          <w:divBdr>
            <w:top w:val="none" w:sz="0" w:space="0" w:color="auto"/>
            <w:left w:val="none" w:sz="0" w:space="0" w:color="auto"/>
            <w:bottom w:val="none" w:sz="0" w:space="0" w:color="auto"/>
            <w:right w:val="none" w:sz="0" w:space="0" w:color="auto"/>
          </w:divBdr>
        </w:div>
        <w:div w:id="2088377914">
          <w:marLeft w:val="640"/>
          <w:marRight w:val="0"/>
          <w:marTop w:val="0"/>
          <w:marBottom w:val="0"/>
          <w:divBdr>
            <w:top w:val="none" w:sz="0" w:space="0" w:color="auto"/>
            <w:left w:val="none" w:sz="0" w:space="0" w:color="auto"/>
            <w:bottom w:val="none" w:sz="0" w:space="0" w:color="auto"/>
            <w:right w:val="none" w:sz="0" w:space="0" w:color="auto"/>
          </w:divBdr>
        </w:div>
        <w:div w:id="496194966">
          <w:marLeft w:val="640"/>
          <w:marRight w:val="0"/>
          <w:marTop w:val="0"/>
          <w:marBottom w:val="0"/>
          <w:divBdr>
            <w:top w:val="none" w:sz="0" w:space="0" w:color="auto"/>
            <w:left w:val="none" w:sz="0" w:space="0" w:color="auto"/>
            <w:bottom w:val="none" w:sz="0" w:space="0" w:color="auto"/>
            <w:right w:val="none" w:sz="0" w:space="0" w:color="auto"/>
          </w:divBdr>
        </w:div>
        <w:div w:id="132605284">
          <w:marLeft w:val="640"/>
          <w:marRight w:val="0"/>
          <w:marTop w:val="0"/>
          <w:marBottom w:val="0"/>
          <w:divBdr>
            <w:top w:val="none" w:sz="0" w:space="0" w:color="auto"/>
            <w:left w:val="none" w:sz="0" w:space="0" w:color="auto"/>
            <w:bottom w:val="none" w:sz="0" w:space="0" w:color="auto"/>
            <w:right w:val="none" w:sz="0" w:space="0" w:color="auto"/>
          </w:divBdr>
        </w:div>
        <w:div w:id="1559170915">
          <w:marLeft w:val="640"/>
          <w:marRight w:val="0"/>
          <w:marTop w:val="0"/>
          <w:marBottom w:val="0"/>
          <w:divBdr>
            <w:top w:val="none" w:sz="0" w:space="0" w:color="auto"/>
            <w:left w:val="none" w:sz="0" w:space="0" w:color="auto"/>
            <w:bottom w:val="none" w:sz="0" w:space="0" w:color="auto"/>
            <w:right w:val="none" w:sz="0" w:space="0" w:color="auto"/>
          </w:divBdr>
        </w:div>
        <w:div w:id="1309827374">
          <w:marLeft w:val="640"/>
          <w:marRight w:val="0"/>
          <w:marTop w:val="0"/>
          <w:marBottom w:val="0"/>
          <w:divBdr>
            <w:top w:val="none" w:sz="0" w:space="0" w:color="auto"/>
            <w:left w:val="none" w:sz="0" w:space="0" w:color="auto"/>
            <w:bottom w:val="none" w:sz="0" w:space="0" w:color="auto"/>
            <w:right w:val="none" w:sz="0" w:space="0" w:color="auto"/>
          </w:divBdr>
        </w:div>
        <w:div w:id="1491409924">
          <w:marLeft w:val="640"/>
          <w:marRight w:val="0"/>
          <w:marTop w:val="0"/>
          <w:marBottom w:val="0"/>
          <w:divBdr>
            <w:top w:val="none" w:sz="0" w:space="0" w:color="auto"/>
            <w:left w:val="none" w:sz="0" w:space="0" w:color="auto"/>
            <w:bottom w:val="none" w:sz="0" w:space="0" w:color="auto"/>
            <w:right w:val="none" w:sz="0" w:space="0" w:color="auto"/>
          </w:divBdr>
        </w:div>
        <w:div w:id="1287814627">
          <w:marLeft w:val="640"/>
          <w:marRight w:val="0"/>
          <w:marTop w:val="0"/>
          <w:marBottom w:val="0"/>
          <w:divBdr>
            <w:top w:val="none" w:sz="0" w:space="0" w:color="auto"/>
            <w:left w:val="none" w:sz="0" w:space="0" w:color="auto"/>
            <w:bottom w:val="none" w:sz="0" w:space="0" w:color="auto"/>
            <w:right w:val="none" w:sz="0" w:space="0" w:color="auto"/>
          </w:divBdr>
        </w:div>
        <w:div w:id="730662955">
          <w:marLeft w:val="640"/>
          <w:marRight w:val="0"/>
          <w:marTop w:val="0"/>
          <w:marBottom w:val="0"/>
          <w:divBdr>
            <w:top w:val="none" w:sz="0" w:space="0" w:color="auto"/>
            <w:left w:val="none" w:sz="0" w:space="0" w:color="auto"/>
            <w:bottom w:val="none" w:sz="0" w:space="0" w:color="auto"/>
            <w:right w:val="none" w:sz="0" w:space="0" w:color="auto"/>
          </w:divBdr>
        </w:div>
        <w:div w:id="1726564393">
          <w:marLeft w:val="640"/>
          <w:marRight w:val="0"/>
          <w:marTop w:val="0"/>
          <w:marBottom w:val="0"/>
          <w:divBdr>
            <w:top w:val="none" w:sz="0" w:space="0" w:color="auto"/>
            <w:left w:val="none" w:sz="0" w:space="0" w:color="auto"/>
            <w:bottom w:val="none" w:sz="0" w:space="0" w:color="auto"/>
            <w:right w:val="none" w:sz="0" w:space="0" w:color="auto"/>
          </w:divBdr>
        </w:div>
        <w:div w:id="2103527668">
          <w:marLeft w:val="640"/>
          <w:marRight w:val="0"/>
          <w:marTop w:val="0"/>
          <w:marBottom w:val="0"/>
          <w:divBdr>
            <w:top w:val="none" w:sz="0" w:space="0" w:color="auto"/>
            <w:left w:val="none" w:sz="0" w:space="0" w:color="auto"/>
            <w:bottom w:val="none" w:sz="0" w:space="0" w:color="auto"/>
            <w:right w:val="none" w:sz="0" w:space="0" w:color="auto"/>
          </w:divBdr>
        </w:div>
        <w:div w:id="1254313805">
          <w:marLeft w:val="640"/>
          <w:marRight w:val="0"/>
          <w:marTop w:val="0"/>
          <w:marBottom w:val="0"/>
          <w:divBdr>
            <w:top w:val="none" w:sz="0" w:space="0" w:color="auto"/>
            <w:left w:val="none" w:sz="0" w:space="0" w:color="auto"/>
            <w:bottom w:val="none" w:sz="0" w:space="0" w:color="auto"/>
            <w:right w:val="none" w:sz="0" w:space="0" w:color="auto"/>
          </w:divBdr>
        </w:div>
        <w:div w:id="1537816067">
          <w:marLeft w:val="640"/>
          <w:marRight w:val="0"/>
          <w:marTop w:val="0"/>
          <w:marBottom w:val="0"/>
          <w:divBdr>
            <w:top w:val="none" w:sz="0" w:space="0" w:color="auto"/>
            <w:left w:val="none" w:sz="0" w:space="0" w:color="auto"/>
            <w:bottom w:val="none" w:sz="0" w:space="0" w:color="auto"/>
            <w:right w:val="none" w:sz="0" w:space="0" w:color="auto"/>
          </w:divBdr>
        </w:div>
        <w:div w:id="686640458">
          <w:marLeft w:val="640"/>
          <w:marRight w:val="0"/>
          <w:marTop w:val="0"/>
          <w:marBottom w:val="0"/>
          <w:divBdr>
            <w:top w:val="none" w:sz="0" w:space="0" w:color="auto"/>
            <w:left w:val="none" w:sz="0" w:space="0" w:color="auto"/>
            <w:bottom w:val="none" w:sz="0" w:space="0" w:color="auto"/>
            <w:right w:val="none" w:sz="0" w:space="0" w:color="auto"/>
          </w:divBdr>
        </w:div>
        <w:div w:id="650207479">
          <w:marLeft w:val="640"/>
          <w:marRight w:val="0"/>
          <w:marTop w:val="0"/>
          <w:marBottom w:val="0"/>
          <w:divBdr>
            <w:top w:val="none" w:sz="0" w:space="0" w:color="auto"/>
            <w:left w:val="none" w:sz="0" w:space="0" w:color="auto"/>
            <w:bottom w:val="none" w:sz="0" w:space="0" w:color="auto"/>
            <w:right w:val="none" w:sz="0" w:space="0" w:color="auto"/>
          </w:divBdr>
        </w:div>
        <w:div w:id="74061828">
          <w:marLeft w:val="640"/>
          <w:marRight w:val="0"/>
          <w:marTop w:val="0"/>
          <w:marBottom w:val="0"/>
          <w:divBdr>
            <w:top w:val="none" w:sz="0" w:space="0" w:color="auto"/>
            <w:left w:val="none" w:sz="0" w:space="0" w:color="auto"/>
            <w:bottom w:val="none" w:sz="0" w:space="0" w:color="auto"/>
            <w:right w:val="none" w:sz="0" w:space="0" w:color="auto"/>
          </w:divBdr>
        </w:div>
        <w:div w:id="1818650078">
          <w:marLeft w:val="640"/>
          <w:marRight w:val="0"/>
          <w:marTop w:val="0"/>
          <w:marBottom w:val="0"/>
          <w:divBdr>
            <w:top w:val="none" w:sz="0" w:space="0" w:color="auto"/>
            <w:left w:val="none" w:sz="0" w:space="0" w:color="auto"/>
            <w:bottom w:val="none" w:sz="0" w:space="0" w:color="auto"/>
            <w:right w:val="none" w:sz="0" w:space="0" w:color="auto"/>
          </w:divBdr>
        </w:div>
        <w:div w:id="168256996">
          <w:marLeft w:val="640"/>
          <w:marRight w:val="0"/>
          <w:marTop w:val="0"/>
          <w:marBottom w:val="0"/>
          <w:divBdr>
            <w:top w:val="none" w:sz="0" w:space="0" w:color="auto"/>
            <w:left w:val="none" w:sz="0" w:space="0" w:color="auto"/>
            <w:bottom w:val="none" w:sz="0" w:space="0" w:color="auto"/>
            <w:right w:val="none" w:sz="0" w:space="0" w:color="auto"/>
          </w:divBdr>
        </w:div>
        <w:div w:id="1891333037">
          <w:marLeft w:val="640"/>
          <w:marRight w:val="0"/>
          <w:marTop w:val="0"/>
          <w:marBottom w:val="0"/>
          <w:divBdr>
            <w:top w:val="none" w:sz="0" w:space="0" w:color="auto"/>
            <w:left w:val="none" w:sz="0" w:space="0" w:color="auto"/>
            <w:bottom w:val="none" w:sz="0" w:space="0" w:color="auto"/>
            <w:right w:val="none" w:sz="0" w:space="0" w:color="auto"/>
          </w:divBdr>
        </w:div>
        <w:div w:id="1335719750">
          <w:marLeft w:val="640"/>
          <w:marRight w:val="0"/>
          <w:marTop w:val="0"/>
          <w:marBottom w:val="0"/>
          <w:divBdr>
            <w:top w:val="none" w:sz="0" w:space="0" w:color="auto"/>
            <w:left w:val="none" w:sz="0" w:space="0" w:color="auto"/>
            <w:bottom w:val="none" w:sz="0" w:space="0" w:color="auto"/>
            <w:right w:val="none" w:sz="0" w:space="0" w:color="auto"/>
          </w:divBdr>
        </w:div>
        <w:div w:id="1540774777">
          <w:marLeft w:val="640"/>
          <w:marRight w:val="0"/>
          <w:marTop w:val="0"/>
          <w:marBottom w:val="0"/>
          <w:divBdr>
            <w:top w:val="none" w:sz="0" w:space="0" w:color="auto"/>
            <w:left w:val="none" w:sz="0" w:space="0" w:color="auto"/>
            <w:bottom w:val="none" w:sz="0" w:space="0" w:color="auto"/>
            <w:right w:val="none" w:sz="0" w:space="0" w:color="auto"/>
          </w:divBdr>
        </w:div>
        <w:div w:id="1538467505">
          <w:marLeft w:val="640"/>
          <w:marRight w:val="0"/>
          <w:marTop w:val="0"/>
          <w:marBottom w:val="0"/>
          <w:divBdr>
            <w:top w:val="none" w:sz="0" w:space="0" w:color="auto"/>
            <w:left w:val="none" w:sz="0" w:space="0" w:color="auto"/>
            <w:bottom w:val="none" w:sz="0" w:space="0" w:color="auto"/>
            <w:right w:val="none" w:sz="0" w:space="0" w:color="auto"/>
          </w:divBdr>
        </w:div>
        <w:div w:id="1895461443">
          <w:marLeft w:val="640"/>
          <w:marRight w:val="0"/>
          <w:marTop w:val="0"/>
          <w:marBottom w:val="0"/>
          <w:divBdr>
            <w:top w:val="none" w:sz="0" w:space="0" w:color="auto"/>
            <w:left w:val="none" w:sz="0" w:space="0" w:color="auto"/>
            <w:bottom w:val="none" w:sz="0" w:space="0" w:color="auto"/>
            <w:right w:val="none" w:sz="0" w:space="0" w:color="auto"/>
          </w:divBdr>
        </w:div>
        <w:div w:id="770859644">
          <w:marLeft w:val="640"/>
          <w:marRight w:val="0"/>
          <w:marTop w:val="0"/>
          <w:marBottom w:val="0"/>
          <w:divBdr>
            <w:top w:val="none" w:sz="0" w:space="0" w:color="auto"/>
            <w:left w:val="none" w:sz="0" w:space="0" w:color="auto"/>
            <w:bottom w:val="none" w:sz="0" w:space="0" w:color="auto"/>
            <w:right w:val="none" w:sz="0" w:space="0" w:color="auto"/>
          </w:divBdr>
        </w:div>
        <w:div w:id="1220509145">
          <w:marLeft w:val="640"/>
          <w:marRight w:val="0"/>
          <w:marTop w:val="0"/>
          <w:marBottom w:val="0"/>
          <w:divBdr>
            <w:top w:val="none" w:sz="0" w:space="0" w:color="auto"/>
            <w:left w:val="none" w:sz="0" w:space="0" w:color="auto"/>
            <w:bottom w:val="none" w:sz="0" w:space="0" w:color="auto"/>
            <w:right w:val="none" w:sz="0" w:space="0" w:color="auto"/>
          </w:divBdr>
        </w:div>
        <w:div w:id="598871051">
          <w:marLeft w:val="640"/>
          <w:marRight w:val="0"/>
          <w:marTop w:val="0"/>
          <w:marBottom w:val="0"/>
          <w:divBdr>
            <w:top w:val="none" w:sz="0" w:space="0" w:color="auto"/>
            <w:left w:val="none" w:sz="0" w:space="0" w:color="auto"/>
            <w:bottom w:val="none" w:sz="0" w:space="0" w:color="auto"/>
            <w:right w:val="none" w:sz="0" w:space="0" w:color="auto"/>
          </w:divBdr>
        </w:div>
        <w:div w:id="266163945">
          <w:marLeft w:val="640"/>
          <w:marRight w:val="0"/>
          <w:marTop w:val="0"/>
          <w:marBottom w:val="0"/>
          <w:divBdr>
            <w:top w:val="none" w:sz="0" w:space="0" w:color="auto"/>
            <w:left w:val="none" w:sz="0" w:space="0" w:color="auto"/>
            <w:bottom w:val="none" w:sz="0" w:space="0" w:color="auto"/>
            <w:right w:val="none" w:sz="0" w:space="0" w:color="auto"/>
          </w:divBdr>
        </w:div>
        <w:div w:id="1493906418">
          <w:marLeft w:val="640"/>
          <w:marRight w:val="0"/>
          <w:marTop w:val="0"/>
          <w:marBottom w:val="0"/>
          <w:divBdr>
            <w:top w:val="none" w:sz="0" w:space="0" w:color="auto"/>
            <w:left w:val="none" w:sz="0" w:space="0" w:color="auto"/>
            <w:bottom w:val="none" w:sz="0" w:space="0" w:color="auto"/>
            <w:right w:val="none" w:sz="0" w:space="0" w:color="auto"/>
          </w:divBdr>
        </w:div>
        <w:div w:id="1761023279">
          <w:marLeft w:val="640"/>
          <w:marRight w:val="0"/>
          <w:marTop w:val="0"/>
          <w:marBottom w:val="0"/>
          <w:divBdr>
            <w:top w:val="none" w:sz="0" w:space="0" w:color="auto"/>
            <w:left w:val="none" w:sz="0" w:space="0" w:color="auto"/>
            <w:bottom w:val="none" w:sz="0" w:space="0" w:color="auto"/>
            <w:right w:val="none" w:sz="0" w:space="0" w:color="auto"/>
          </w:divBdr>
        </w:div>
        <w:div w:id="1248491317">
          <w:marLeft w:val="640"/>
          <w:marRight w:val="0"/>
          <w:marTop w:val="0"/>
          <w:marBottom w:val="0"/>
          <w:divBdr>
            <w:top w:val="none" w:sz="0" w:space="0" w:color="auto"/>
            <w:left w:val="none" w:sz="0" w:space="0" w:color="auto"/>
            <w:bottom w:val="none" w:sz="0" w:space="0" w:color="auto"/>
            <w:right w:val="none" w:sz="0" w:space="0" w:color="auto"/>
          </w:divBdr>
        </w:div>
        <w:div w:id="1283655369">
          <w:marLeft w:val="640"/>
          <w:marRight w:val="0"/>
          <w:marTop w:val="0"/>
          <w:marBottom w:val="0"/>
          <w:divBdr>
            <w:top w:val="none" w:sz="0" w:space="0" w:color="auto"/>
            <w:left w:val="none" w:sz="0" w:space="0" w:color="auto"/>
            <w:bottom w:val="none" w:sz="0" w:space="0" w:color="auto"/>
            <w:right w:val="none" w:sz="0" w:space="0" w:color="auto"/>
          </w:divBdr>
        </w:div>
        <w:div w:id="1366711106">
          <w:marLeft w:val="640"/>
          <w:marRight w:val="0"/>
          <w:marTop w:val="0"/>
          <w:marBottom w:val="0"/>
          <w:divBdr>
            <w:top w:val="none" w:sz="0" w:space="0" w:color="auto"/>
            <w:left w:val="none" w:sz="0" w:space="0" w:color="auto"/>
            <w:bottom w:val="none" w:sz="0" w:space="0" w:color="auto"/>
            <w:right w:val="none" w:sz="0" w:space="0" w:color="auto"/>
          </w:divBdr>
        </w:div>
        <w:div w:id="340741766">
          <w:marLeft w:val="640"/>
          <w:marRight w:val="0"/>
          <w:marTop w:val="0"/>
          <w:marBottom w:val="0"/>
          <w:divBdr>
            <w:top w:val="none" w:sz="0" w:space="0" w:color="auto"/>
            <w:left w:val="none" w:sz="0" w:space="0" w:color="auto"/>
            <w:bottom w:val="none" w:sz="0" w:space="0" w:color="auto"/>
            <w:right w:val="none" w:sz="0" w:space="0" w:color="auto"/>
          </w:divBdr>
        </w:div>
        <w:div w:id="78675516">
          <w:marLeft w:val="640"/>
          <w:marRight w:val="0"/>
          <w:marTop w:val="0"/>
          <w:marBottom w:val="0"/>
          <w:divBdr>
            <w:top w:val="none" w:sz="0" w:space="0" w:color="auto"/>
            <w:left w:val="none" w:sz="0" w:space="0" w:color="auto"/>
            <w:bottom w:val="none" w:sz="0" w:space="0" w:color="auto"/>
            <w:right w:val="none" w:sz="0" w:space="0" w:color="auto"/>
          </w:divBdr>
        </w:div>
        <w:div w:id="1843929987">
          <w:marLeft w:val="640"/>
          <w:marRight w:val="0"/>
          <w:marTop w:val="0"/>
          <w:marBottom w:val="0"/>
          <w:divBdr>
            <w:top w:val="none" w:sz="0" w:space="0" w:color="auto"/>
            <w:left w:val="none" w:sz="0" w:space="0" w:color="auto"/>
            <w:bottom w:val="none" w:sz="0" w:space="0" w:color="auto"/>
            <w:right w:val="none" w:sz="0" w:space="0" w:color="auto"/>
          </w:divBdr>
        </w:div>
        <w:div w:id="1511021953">
          <w:marLeft w:val="640"/>
          <w:marRight w:val="0"/>
          <w:marTop w:val="0"/>
          <w:marBottom w:val="0"/>
          <w:divBdr>
            <w:top w:val="none" w:sz="0" w:space="0" w:color="auto"/>
            <w:left w:val="none" w:sz="0" w:space="0" w:color="auto"/>
            <w:bottom w:val="none" w:sz="0" w:space="0" w:color="auto"/>
            <w:right w:val="none" w:sz="0" w:space="0" w:color="auto"/>
          </w:divBdr>
        </w:div>
        <w:div w:id="1284119169">
          <w:marLeft w:val="640"/>
          <w:marRight w:val="0"/>
          <w:marTop w:val="0"/>
          <w:marBottom w:val="0"/>
          <w:divBdr>
            <w:top w:val="none" w:sz="0" w:space="0" w:color="auto"/>
            <w:left w:val="none" w:sz="0" w:space="0" w:color="auto"/>
            <w:bottom w:val="none" w:sz="0" w:space="0" w:color="auto"/>
            <w:right w:val="none" w:sz="0" w:space="0" w:color="auto"/>
          </w:divBdr>
        </w:div>
        <w:div w:id="1361779813">
          <w:marLeft w:val="640"/>
          <w:marRight w:val="0"/>
          <w:marTop w:val="0"/>
          <w:marBottom w:val="0"/>
          <w:divBdr>
            <w:top w:val="none" w:sz="0" w:space="0" w:color="auto"/>
            <w:left w:val="none" w:sz="0" w:space="0" w:color="auto"/>
            <w:bottom w:val="none" w:sz="0" w:space="0" w:color="auto"/>
            <w:right w:val="none" w:sz="0" w:space="0" w:color="auto"/>
          </w:divBdr>
        </w:div>
        <w:div w:id="1704867058">
          <w:marLeft w:val="640"/>
          <w:marRight w:val="0"/>
          <w:marTop w:val="0"/>
          <w:marBottom w:val="0"/>
          <w:divBdr>
            <w:top w:val="none" w:sz="0" w:space="0" w:color="auto"/>
            <w:left w:val="none" w:sz="0" w:space="0" w:color="auto"/>
            <w:bottom w:val="none" w:sz="0" w:space="0" w:color="auto"/>
            <w:right w:val="none" w:sz="0" w:space="0" w:color="auto"/>
          </w:divBdr>
        </w:div>
        <w:div w:id="1018658571">
          <w:marLeft w:val="640"/>
          <w:marRight w:val="0"/>
          <w:marTop w:val="0"/>
          <w:marBottom w:val="0"/>
          <w:divBdr>
            <w:top w:val="none" w:sz="0" w:space="0" w:color="auto"/>
            <w:left w:val="none" w:sz="0" w:space="0" w:color="auto"/>
            <w:bottom w:val="none" w:sz="0" w:space="0" w:color="auto"/>
            <w:right w:val="none" w:sz="0" w:space="0" w:color="auto"/>
          </w:divBdr>
        </w:div>
        <w:div w:id="1837912908">
          <w:marLeft w:val="640"/>
          <w:marRight w:val="0"/>
          <w:marTop w:val="0"/>
          <w:marBottom w:val="0"/>
          <w:divBdr>
            <w:top w:val="none" w:sz="0" w:space="0" w:color="auto"/>
            <w:left w:val="none" w:sz="0" w:space="0" w:color="auto"/>
            <w:bottom w:val="none" w:sz="0" w:space="0" w:color="auto"/>
            <w:right w:val="none" w:sz="0" w:space="0" w:color="auto"/>
          </w:divBdr>
        </w:div>
        <w:div w:id="699670819">
          <w:marLeft w:val="640"/>
          <w:marRight w:val="0"/>
          <w:marTop w:val="0"/>
          <w:marBottom w:val="0"/>
          <w:divBdr>
            <w:top w:val="none" w:sz="0" w:space="0" w:color="auto"/>
            <w:left w:val="none" w:sz="0" w:space="0" w:color="auto"/>
            <w:bottom w:val="none" w:sz="0" w:space="0" w:color="auto"/>
            <w:right w:val="none" w:sz="0" w:space="0" w:color="auto"/>
          </w:divBdr>
        </w:div>
        <w:div w:id="1566182396">
          <w:marLeft w:val="640"/>
          <w:marRight w:val="0"/>
          <w:marTop w:val="0"/>
          <w:marBottom w:val="0"/>
          <w:divBdr>
            <w:top w:val="none" w:sz="0" w:space="0" w:color="auto"/>
            <w:left w:val="none" w:sz="0" w:space="0" w:color="auto"/>
            <w:bottom w:val="none" w:sz="0" w:space="0" w:color="auto"/>
            <w:right w:val="none" w:sz="0" w:space="0" w:color="auto"/>
          </w:divBdr>
        </w:div>
        <w:div w:id="1016467160">
          <w:marLeft w:val="640"/>
          <w:marRight w:val="0"/>
          <w:marTop w:val="0"/>
          <w:marBottom w:val="0"/>
          <w:divBdr>
            <w:top w:val="none" w:sz="0" w:space="0" w:color="auto"/>
            <w:left w:val="none" w:sz="0" w:space="0" w:color="auto"/>
            <w:bottom w:val="none" w:sz="0" w:space="0" w:color="auto"/>
            <w:right w:val="none" w:sz="0" w:space="0" w:color="auto"/>
          </w:divBdr>
        </w:div>
        <w:div w:id="1900168412">
          <w:marLeft w:val="640"/>
          <w:marRight w:val="0"/>
          <w:marTop w:val="0"/>
          <w:marBottom w:val="0"/>
          <w:divBdr>
            <w:top w:val="none" w:sz="0" w:space="0" w:color="auto"/>
            <w:left w:val="none" w:sz="0" w:space="0" w:color="auto"/>
            <w:bottom w:val="none" w:sz="0" w:space="0" w:color="auto"/>
            <w:right w:val="none" w:sz="0" w:space="0" w:color="auto"/>
          </w:divBdr>
        </w:div>
        <w:div w:id="1410540493">
          <w:marLeft w:val="640"/>
          <w:marRight w:val="0"/>
          <w:marTop w:val="0"/>
          <w:marBottom w:val="0"/>
          <w:divBdr>
            <w:top w:val="none" w:sz="0" w:space="0" w:color="auto"/>
            <w:left w:val="none" w:sz="0" w:space="0" w:color="auto"/>
            <w:bottom w:val="none" w:sz="0" w:space="0" w:color="auto"/>
            <w:right w:val="none" w:sz="0" w:space="0" w:color="auto"/>
          </w:divBdr>
        </w:div>
        <w:div w:id="274286650">
          <w:marLeft w:val="640"/>
          <w:marRight w:val="0"/>
          <w:marTop w:val="0"/>
          <w:marBottom w:val="0"/>
          <w:divBdr>
            <w:top w:val="none" w:sz="0" w:space="0" w:color="auto"/>
            <w:left w:val="none" w:sz="0" w:space="0" w:color="auto"/>
            <w:bottom w:val="none" w:sz="0" w:space="0" w:color="auto"/>
            <w:right w:val="none" w:sz="0" w:space="0" w:color="auto"/>
          </w:divBdr>
        </w:div>
        <w:div w:id="2009865483">
          <w:marLeft w:val="640"/>
          <w:marRight w:val="0"/>
          <w:marTop w:val="0"/>
          <w:marBottom w:val="0"/>
          <w:divBdr>
            <w:top w:val="none" w:sz="0" w:space="0" w:color="auto"/>
            <w:left w:val="none" w:sz="0" w:space="0" w:color="auto"/>
            <w:bottom w:val="none" w:sz="0" w:space="0" w:color="auto"/>
            <w:right w:val="none" w:sz="0" w:space="0" w:color="auto"/>
          </w:divBdr>
        </w:div>
        <w:div w:id="1288590046">
          <w:marLeft w:val="640"/>
          <w:marRight w:val="0"/>
          <w:marTop w:val="0"/>
          <w:marBottom w:val="0"/>
          <w:divBdr>
            <w:top w:val="none" w:sz="0" w:space="0" w:color="auto"/>
            <w:left w:val="none" w:sz="0" w:space="0" w:color="auto"/>
            <w:bottom w:val="none" w:sz="0" w:space="0" w:color="auto"/>
            <w:right w:val="none" w:sz="0" w:space="0" w:color="auto"/>
          </w:divBdr>
        </w:div>
        <w:div w:id="581567381">
          <w:marLeft w:val="640"/>
          <w:marRight w:val="0"/>
          <w:marTop w:val="0"/>
          <w:marBottom w:val="0"/>
          <w:divBdr>
            <w:top w:val="none" w:sz="0" w:space="0" w:color="auto"/>
            <w:left w:val="none" w:sz="0" w:space="0" w:color="auto"/>
            <w:bottom w:val="none" w:sz="0" w:space="0" w:color="auto"/>
            <w:right w:val="none" w:sz="0" w:space="0" w:color="auto"/>
          </w:divBdr>
        </w:div>
        <w:div w:id="1894465496">
          <w:marLeft w:val="640"/>
          <w:marRight w:val="0"/>
          <w:marTop w:val="0"/>
          <w:marBottom w:val="0"/>
          <w:divBdr>
            <w:top w:val="none" w:sz="0" w:space="0" w:color="auto"/>
            <w:left w:val="none" w:sz="0" w:space="0" w:color="auto"/>
            <w:bottom w:val="none" w:sz="0" w:space="0" w:color="auto"/>
            <w:right w:val="none" w:sz="0" w:space="0" w:color="auto"/>
          </w:divBdr>
        </w:div>
        <w:div w:id="1836602149">
          <w:marLeft w:val="640"/>
          <w:marRight w:val="0"/>
          <w:marTop w:val="0"/>
          <w:marBottom w:val="0"/>
          <w:divBdr>
            <w:top w:val="none" w:sz="0" w:space="0" w:color="auto"/>
            <w:left w:val="none" w:sz="0" w:space="0" w:color="auto"/>
            <w:bottom w:val="none" w:sz="0" w:space="0" w:color="auto"/>
            <w:right w:val="none" w:sz="0" w:space="0" w:color="auto"/>
          </w:divBdr>
        </w:div>
        <w:div w:id="1571650964">
          <w:marLeft w:val="640"/>
          <w:marRight w:val="0"/>
          <w:marTop w:val="0"/>
          <w:marBottom w:val="0"/>
          <w:divBdr>
            <w:top w:val="none" w:sz="0" w:space="0" w:color="auto"/>
            <w:left w:val="none" w:sz="0" w:space="0" w:color="auto"/>
            <w:bottom w:val="none" w:sz="0" w:space="0" w:color="auto"/>
            <w:right w:val="none" w:sz="0" w:space="0" w:color="auto"/>
          </w:divBdr>
        </w:div>
        <w:div w:id="1353218871">
          <w:marLeft w:val="640"/>
          <w:marRight w:val="0"/>
          <w:marTop w:val="0"/>
          <w:marBottom w:val="0"/>
          <w:divBdr>
            <w:top w:val="none" w:sz="0" w:space="0" w:color="auto"/>
            <w:left w:val="none" w:sz="0" w:space="0" w:color="auto"/>
            <w:bottom w:val="none" w:sz="0" w:space="0" w:color="auto"/>
            <w:right w:val="none" w:sz="0" w:space="0" w:color="auto"/>
          </w:divBdr>
        </w:div>
        <w:div w:id="166596928">
          <w:marLeft w:val="640"/>
          <w:marRight w:val="0"/>
          <w:marTop w:val="0"/>
          <w:marBottom w:val="0"/>
          <w:divBdr>
            <w:top w:val="none" w:sz="0" w:space="0" w:color="auto"/>
            <w:left w:val="none" w:sz="0" w:space="0" w:color="auto"/>
            <w:bottom w:val="none" w:sz="0" w:space="0" w:color="auto"/>
            <w:right w:val="none" w:sz="0" w:space="0" w:color="auto"/>
          </w:divBdr>
        </w:div>
        <w:div w:id="1181167060">
          <w:marLeft w:val="640"/>
          <w:marRight w:val="0"/>
          <w:marTop w:val="0"/>
          <w:marBottom w:val="0"/>
          <w:divBdr>
            <w:top w:val="none" w:sz="0" w:space="0" w:color="auto"/>
            <w:left w:val="none" w:sz="0" w:space="0" w:color="auto"/>
            <w:bottom w:val="none" w:sz="0" w:space="0" w:color="auto"/>
            <w:right w:val="none" w:sz="0" w:space="0" w:color="auto"/>
          </w:divBdr>
        </w:div>
        <w:div w:id="1170633381">
          <w:marLeft w:val="640"/>
          <w:marRight w:val="0"/>
          <w:marTop w:val="0"/>
          <w:marBottom w:val="0"/>
          <w:divBdr>
            <w:top w:val="none" w:sz="0" w:space="0" w:color="auto"/>
            <w:left w:val="none" w:sz="0" w:space="0" w:color="auto"/>
            <w:bottom w:val="none" w:sz="0" w:space="0" w:color="auto"/>
            <w:right w:val="none" w:sz="0" w:space="0" w:color="auto"/>
          </w:divBdr>
        </w:div>
        <w:div w:id="1137531537">
          <w:marLeft w:val="640"/>
          <w:marRight w:val="0"/>
          <w:marTop w:val="0"/>
          <w:marBottom w:val="0"/>
          <w:divBdr>
            <w:top w:val="none" w:sz="0" w:space="0" w:color="auto"/>
            <w:left w:val="none" w:sz="0" w:space="0" w:color="auto"/>
            <w:bottom w:val="none" w:sz="0" w:space="0" w:color="auto"/>
            <w:right w:val="none" w:sz="0" w:space="0" w:color="auto"/>
          </w:divBdr>
        </w:div>
        <w:div w:id="50277051">
          <w:marLeft w:val="640"/>
          <w:marRight w:val="0"/>
          <w:marTop w:val="0"/>
          <w:marBottom w:val="0"/>
          <w:divBdr>
            <w:top w:val="none" w:sz="0" w:space="0" w:color="auto"/>
            <w:left w:val="none" w:sz="0" w:space="0" w:color="auto"/>
            <w:bottom w:val="none" w:sz="0" w:space="0" w:color="auto"/>
            <w:right w:val="none" w:sz="0" w:space="0" w:color="auto"/>
          </w:divBdr>
        </w:div>
        <w:div w:id="1674524547">
          <w:marLeft w:val="640"/>
          <w:marRight w:val="0"/>
          <w:marTop w:val="0"/>
          <w:marBottom w:val="0"/>
          <w:divBdr>
            <w:top w:val="none" w:sz="0" w:space="0" w:color="auto"/>
            <w:left w:val="none" w:sz="0" w:space="0" w:color="auto"/>
            <w:bottom w:val="none" w:sz="0" w:space="0" w:color="auto"/>
            <w:right w:val="none" w:sz="0" w:space="0" w:color="auto"/>
          </w:divBdr>
        </w:div>
        <w:div w:id="573899116">
          <w:marLeft w:val="640"/>
          <w:marRight w:val="0"/>
          <w:marTop w:val="0"/>
          <w:marBottom w:val="0"/>
          <w:divBdr>
            <w:top w:val="none" w:sz="0" w:space="0" w:color="auto"/>
            <w:left w:val="none" w:sz="0" w:space="0" w:color="auto"/>
            <w:bottom w:val="none" w:sz="0" w:space="0" w:color="auto"/>
            <w:right w:val="none" w:sz="0" w:space="0" w:color="auto"/>
          </w:divBdr>
        </w:div>
        <w:div w:id="130834495">
          <w:marLeft w:val="640"/>
          <w:marRight w:val="0"/>
          <w:marTop w:val="0"/>
          <w:marBottom w:val="0"/>
          <w:divBdr>
            <w:top w:val="none" w:sz="0" w:space="0" w:color="auto"/>
            <w:left w:val="none" w:sz="0" w:space="0" w:color="auto"/>
            <w:bottom w:val="none" w:sz="0" w:space="0" w:color="auto"/>
            <w:right w:val="none" w:sz="0" w:space="0" w:color="auto"/>
          </w:divBdr>
        </w:div>
        <w:div w:id="1847935898">
          <w:marLeft w:val="640"/>
          <w:marRight w:val="0"/>
          <w:marTop w:val="0"/>
          <w:marBottom w:val="0"/>
          <w:divBdr>
            <w:top w:val="none" w:sz="0" w:space="0" w:color="auto"/>
            <w:left w:val="none" w:sz="0" w:space="0" w:color="auto"/>
            <w:bottom w:val="none" w:sz="0" w:space="0" w:color="auto"/>
            <w:right w:val="none" w:sz="0" w:space="0" w:color="auto"/>
          </w:divBdr>
        </w:div>
        <w:div w:id="2073382838">
          <w:marLeft w:val="640"/>
          <w:marRight w:val="0"/>
          <w:marTop w:val="0"/>
          <w:marBottom w:val="0"/>
          <w:divBdr>
            <w:top w:val="none" w:sz="0" w:space="0" w:color="auto"/>
            <w:left w:val="none" w:sz="0" w:space="0" w:color="auto"/>
            <w:bottom w:val="none" w:sz="0" w:space="0" w:color="auto"/>
            <w:right w:val="none" w:sz="0" w:space="0" w:color="auto"/>
          </w:divBdr>
        </w:div>
        <w:div w:id="266236370">
          <w:marLeft w:val="640"/>
          <w:marRight w:val="0"/>
          <w:marTop w:val="0"/>
          <w:marBottom w:val="0"/>
          <w:divBdr>
            <w:top w:val="none" w:sz="0" w:space="0" w:color="auto"/>
            <w:left w:val="none" w:sz="0" w:space="0" w:color="auto"/>
            <w:bottom w:val="none" w:sz="0" w:space="0" w:color="auto"/>
            <w:right w:val="none" w:sz="0" w:space="0" w:color="auto"/>
          </w:divBdr>
        </w:div>
        <w:div w:id="564145173">
          <w:marLeft w:val="640"/>
          <w:marRight w:val="0"/>
          <w:marTop w:val="0"/>
          <w:marBottom w:val="0"/>
          <w:divBdr>
            <w:top w:val="none" w:sz="0" w:space="0" w:color="auto"/>
            <w:left w:val="none" w:sz="0" w:space="0" w:color="auto"/>
            <w:bottom w:val="none" w:sz="0" w:space="0" w:color="auto"/>
            <w:right w:val="none" w:sz="0" w:space="0" w:color="auto"/>
          </w:divBdr>
        </w:div>
        <w:div w:id="918367109">
          <w:marLeft w:val="640"/>
          <w:marRight w:val="0"/>
          <w:marTop w:val="0"/>
          <w:marBottom w:val="0"/>
          <w:divBdr>
            <w:top w:val="none" w:sz="0" w:space="0" w:color="auto"/>
            <w:left w:val="none" w:sz="0" w:space="0" w:color="auto"/>
            <w:bottom w:val="none" w:sz="0" w:space="0" w:color="auto"/>
            <w:right w:val="none" w:sz="0" w:space="0" w:color="auto"/>
          </w:divBdr>
        </w:div>
        <w:div w:id="545722470">
          <w:marLeft w:val="640"/>
          <w:marRight w:val="0"/>
          <w:marTop w:val="0"/>
          <w:marBottom w:val="0"/>
          <w:divBdr>
            <w:top w:val="none" w:sz="0" w:space="0" w:color="auto"/>
            <w:left w:val="none" w:sz="0" w:space="0" w:color="auto"/>
            <w:bottom w:val="none" w:sz="0" w:space="0" w:color="auto"/>
            <w:right w:val="none" w:sz="0" w:space="0" w:color="auto"/>
          </w:divBdr>
        </w:div>
        <w:div w:id="634140481">
          <w:marLeft w:val="640"/>
          <w:marRight w:val="0"/>
          <w:marTop w:val="0"/>
          <w:marBottom w:val="0"/>
          <w:divBdr>
            <w:top w:val="none" w:sz="0" w:space="0" w:color="auto"/>
            <w:left w:val="none" w:sz="0" w:space="0" w:color="auto"/>
            <w:bottom w:val="none" w:sz="0" w:space="0" w:color="auto"/>
            <w:right w:val="none" w:sz="0" w:space="0" w:color="auto"/>
          </w:divBdr>
        </w:div>
        <w:div w:id="1197505931">
          <w:marLeft w:val="640"/>
          <w:marRight w:val="0"/>
          <w:marTop w:val="0"/>
          <w:marBottom w:val="0"/>
          <w:divBdr>
            <w:top w:val="none" w:sz="0" w:space="0" w:color="auto"/>
            <w:left w:val="none" w:sz="0" w:space="0" w:color="auto"/>
            <w:bottom w:val="none" w:sz="0" w:space="0" w:color="auto"/>
            <w:right w:val="none" w:sz="0" w:space="0" w:color="auto"/>
          </w:divBdr>
        </w:div>
        <w:div w:id="2033651873">
          <w:marLeft w:val="640"/>
          <w:marRight w:val="0"/>
          <w:marTop w:val="0"/>
          <w:marBottom w:val="0"/>
          <w:divBdr>
            <w:top w:val="none" w:sz="0" w:space="0" w:color="auto"/>
            <w:left w:val="none" w:sz="0" w:space="0" w:color="auto"/>
            <w:bottom w:val="none" w:sz="0" w:space="0" w:color="auto"/>
            <w:right w:val="none" w:sz="0" w:space="0" w:color="auto"/>
          </w:divBdr>
        </w:div>
        <w:div w:id="2014604197">
          <w:marLeft w:val="640"/>
          <w:marRight w:val="0"/>
          <w:marTop w:val="0"/>
          <w:marBottom w:val="0"/>
          <w:divBdr>
            <w:top w:val="none" w:sz="0" w:space="0" w:color="auto"/>
            <w:left w:val="none" w:sz="0" w:space="0" w:color="auto"/>
            <w:bottom w:val="none" w:sz="0" w:space="0" w:color="auto"/>
            <w:right w:val="none" w:sz="0" w:space="0" w:color="auto"/>
          </w:divBdr>
        </w:div>
        <w:div w:id="835146379">
          <w:marLeft w:val="640"/>
          <w:marRight w:val="0"/>
          <w:marTop w:val="0"/>
          <w:marBottom w:val="0"/>
          <w:divBdr>
            <w:top w:val="none" w:sz="0" w:space="0" w:color="auto"/>
            <w:left w:val="none" w:sz="0" w:space="0" w:color="auto"/>
            <w:bottom w:val="none" w:sz="0" w:space="0" w:color="auto"/>
            <w:right w:val="none" w:sz="0" w:space="0" w:color="auto"/>
          </w:divBdr>
        </w:div>
        <w:div w:id="749080672">
          <w:marLeft w:val="640"/>
          <w:marRight w:val="0"/>
          <w:marTop w:val="0"/>
          <w:marBottom w:val="0"/>
          <w:divBdr>
            <w:top w:val="none" w:sz="0" w:space="0" w:color="auto"/>
            <w:left w:val="none" w:sz="0" w:space="0" w:color="auto"/>
            <w:bottom w:val="none" w:sz="0" w:space="0" w:color="auto"/>
            <w:right w:val="none" w:sz="0" w:space="0" w:color="auto"/>
          </w:divBdr>
        </w:div>
        <w:div w:id="888296867">
          <w:marLeft w:val="640"/>
          <w:marRight w:val="0"/>
          <w:marTop w:val="0"/>
          <w:marBottom w:val="0"/>
          <w:divBdr>
            <w:top w:val="none" w:sz="0" w:space="0" w:color="auto"/>
            <w:left w:val="none" w:sz="0" w:space="0" w:color="auto"/>
            <w:bottom w:val="none" w:sz="0" w:space="0" w:color="auto"/>
            <w:right w:val="none" w:sz="0" w:space="0" w:color="auto"/>
          </w:divBdr>
        </w:div>
        <w:div w:id="1693873319">
          <w:marLeft w:val="640"/>
          <w:marRight w:val="0"/>
          <w:marTop w:val="0"/>
          <w:marBottom w:val="0"/>
          <w:divBdr>
            <w:top w:val="none" w:sz="0" w:space="0" w:color="auto"/>
            <w:left w:val="none" w:sz="0" w:space="0" w:color="auto"/>
            <w:bottom w:val="none" w:sz="0" w:space="0" w:color="auto"/>
            <w:right w:val="none" w:sz="0" w:space="0" w:color="auto"/>
          </w:divBdr>
        </w:div>
        <w:div w:id="1153256966">
          <w:marLeft w:val="640"/>
          <w:marRight w:val="0"/>
          <w:marTop w:val="0"/>
          <w:marBottom w:val="0"/>
          <w:divBdr>
            <w:top w:val="none" w:sz="0" w:space="0" w:color="auto"/>
            <w:left w:val="none" w:sz="0" w:space="0" w:color="auto"/>
            <w:bottom w:val="none" w:sz="0" w:space="0" w:color="auto"/>
            <w:right w:val="none" w:sz="0" w:space="0" w:color="auto"/>
          </w:divBdr>
        </w:div>
        <w:div w:id="1282615501">
          <w:marLeft w:val="640"/>
          <w:marRight w:val="0"/>
          <w:marTop w:val="0"/>
          <w:marBottom w:val="0"/>
          <w:divBdr>
            <w:top w:val="none" w:sz="0" w:space="0" w:color="auto"/>
            <w:left w:val="none" w:sz="0" w:space="0" w:color="auto"/>
            <w:bottom w:val="none" w:sz="0" w:space="0" w:color="auto"/>
            <w:right w:val="none" w:sz="0" w:space="0" w:color="auto"/>
          </w:divBdr>
        </w:div>
        <w:div w:id="1250192719">
          <w:marLeft w:val="640"/>
          <w:marRight w:val="0"/>
          <w:marTop w:val="0"/>
          <w:marBottom w:val="0"/>
          <w:divBdr>
            <w:top w:val="none" w:sz="0" w:space="0" w:color="auto"/>
            <w:left w:val="none" w:sz="0" w:space="0" w:color="auto"/>
            <w:bottom w:val="none" w:sz="0" w:space="0" w:color="auto"/>
            <w:right w:val="none" w:sz="0" w:space="0" w:color="auto"/>
          </w:divBdr>
        </w:div>
        <w:div w:id="282082753">
          <w:marLeft w:val="640"/>
          <w:marRight w:val="0"/>
          <w:marTop w:val="0"/>
          <w:marBottom w:val="0"/>
          <w:divBdr>
            <w:top w:val="none" w:sz="0" w:space="0" w:color="auto"/>
            <w:left w:val="none" w:sz="0" w:space="0" w:color="auto"/>
            <w:bottom w:val="none" w:sz="0" w:space="0" w:color="auto"/>
            <w:right w:val="none" w:sz="0" w:space="0" w:color="auto"/>
          </w:divBdr>
        </w:div>
        <w:div w:id="957832889">
          <w:marLeft w:val="640"/>
          <w:marRight w:val="0"/>
          <w:marTop w:val="0"/>
          <w:marBottom w:val="0"/>
          <w:divBdr>
            <w:top w:val="none" w:sz="0" w:space="0" w:color="auto"/>
            <w:left w:val="none" w:sz="0" w:space="0" w:color="auto"/>
            <w:bottom w:val="none" w:sz="0" w:space="0" w:color="auto"/>
            <w:right w:val="none" w:sz="0" w:space="0" w:color="auto"/>
          </w:divBdr>
        </w:div>
        <w:div w:id="2092656375">
          <w:marLeft w:val="640"/>
          <w:marRight w:val="0"/>
          <w:marTop w:val="0"/>
          <w:marBottom w:val="0"/>
          <w:divBdr>
            <w:top w:val="none" w:sz="0" w:space="0" w:color="auto"/>
            <w:left w:val="none" w:sz="0" w:space="0" w:color="auto"/>
            <w:bottom w:val="none" w:sz="0" w:space="0" w:color="auto"/>
            <w:right w:val="none" w:sz="0" w:space="0" w:color="auto"/>
          </w:divBdr>
        </w:div>
        <w:div w:id="638220962">
          <w:marLeft w:val="640"/>
          <w:marRight w:val="0"/>
          <w:marTop w:val="0"/>
          <w:marBottom w:val="0"/>
          <w:divBdr>
            <w:top w:val="none" w:sz="0" w:space="0" w:color="auto"/>
            <w:left w:val="none" w:sz="0" w:space="0" w:color="auto"/>
            <w:bottom w:val="none" w:sz="0" w:space="0" w:color="auto"/>
            <w:right w:val="none" w:sz="0" w:space="0" w:color="auto"/>
          </w:divBdr>
        </w:div>
        <w:div w:id="1432698050">
          <w:marLeft w:val="640"/>
          <w:marRight w:val="0"/>
          <w:marTop w:val="0"/>
          <w:marBottom w:val="0"/>
          <w:divBdr>
            <w:top w:val="none" w:sz="0" w:space="0" w:color="auto"/>
            <w:left w:val="none" w:sz="0" w:space="0" w:color="auto"/>
            <w:bottom w:val="none" w:sz="0" w:space="0" w:color="auto"/>
            <w:right w:val="none" w:sz="0" w:space="0" w:color="auto"/>
          </w:divBdr>
        </w:div>
        <w:div w:id="103041740">
          <w:marLeft w:val="640"/>
          <w:marRight w:val="0"/>
          <w:marTop w:val="0"/>
          <w:marBottom w:val="0"/>
          <w:divBdr>
            <w:top w:val="none" w:sz="0" w:space="0" w:color="auto"/>
            <w:left w:val="none" w:sz="0" w:space="0" w:color="auto"/>
            <w:bottom w:val="none" w:sz="0" w:space="0" w:color="auto"/>
            <w:right w:val="none" w:sz="0" w:space="0" w:color="auto"/>
          </w:divBdr>
        </w:div>
        <w:div w:id="228078189">
          <w:marLeft w:val="640"/>
          <w:marRight w:val="0"/>
          <w:marTop w:val="0"/>
          <w:marBottom w:val="0"/>
          <w:divBdr>
            <w:top w:val="none" w:sz="0" w:space="0" w:color="auto"/>
            <w:left w:val="none" w:sz="0" w:space="0" w:color="auto"/>
            <w:bottom w:val="none" w:sz="0" w:space="0" w:color="auto"/>
            <w:right w:val="none" w:sz="0" w:space="0" w:color="auto"/>
          </w:divBdr>
        </w:div>
        <w:div w:id="653072317">
          <w:marLeft w:val="640"/>
          <w:marRight w:val="0"/>
          <w:marTop w:val="0"/>
          <w:marBottom w:val="0"/>
          <w:divBdr>
            <w:top w:val="none" w:sz="0" w:space="0" w:color="auto"/>
            <w:left w:val="none" w:sz="0" w:space="0" w:color="auto"/>
            <w:bottom w:val="none" w:sz="0" w:space="0" w:color="auto"/>
            <w:right w:val="none" w:sz="0" w:space="0" w:color="auto"/>
          </w:divBdr>
        </w:div>
        <w:div w:id="749082599">
          <w:marLeft w:val="640"/>
          <w:marRight w:val="0"/>
          <w:marTop w:val="0"/>
          <w:marBottom w:val="0"/>
          <w:divBdr>
            <w:top w:val="none" w:sz="0" w:space="0" w:color="auto"/>
            <w:left w:val="none" w:sz="0" w:space="0" w:color="auto"/>
            <w:bottom w:val="none" w:sz="0" w:space="0" w:color="auto"/>
            <w:right w:val="none" w:sz="0" w:space="0" w:color="auto"/>
          </w:divBdr>
        </w:div>
        <w:div w:id="221714611">
          <w:marLeft w:val="640"/>
          <w:marRight w:val="0"/>
          <w:marTop w:val="0"/>
          <w:marBottom w:val="0"/>
          <w:divBdr>
            <w:top w:val="none" w:sz="0" w:space="0" w:color="auto"/>
            <w:left w:val="none" w:sz="0" w:space="0" w:color="auto"/>
            <w:bottom w:val="none" w:sz="0" w:space="0" w:color="auto"/>
            <w:right w:val="none" w:sz="0" w:space="0" w:color="auto"/>
          </w:divBdr>
        </w:div>
        <w:div w:id="274481304">
          <w:marLeft w:val="640"/>
          <w:marRight w:val="0"/>
          <w:marTop w:val="0"/>
          <w:marBottom w:val="0"/>
          <w:divBdr>
            <w:top w:val="none" w:sz="0" w:space="0" w:color="auto"/>
            <w:left w:val="none" w:sz="0" w:space="0" w:color="auto"/>
            <w:bottom w:val="none" w:sz="0" w:space="0" w:color="auto"/>
            <w:right w:val="none" w:sz="0" w:space="0" w:color="auto"/>
          </w:divBdr>
        </w:div>
        <w:div w:id="720641038">
          <w:marLeft w:val="640"/>
          <w:marRight w:val="0"/>
          <w:marTop w:val="0"/>
          <w:marBottom w:val="0"/>
          <w:divBdr>
            <w:top w:val="none" w:sz="0" w:space="0" w:color="auto"/>
            <w:left w:val="none" w:sz="0" w:space="0" w:color="auto"/>
            <w:bottom w:val="none" w:sz="0" w:space="0" w:color="auto"/>
            <w:right w:val="none" w:sz="0" w:space="0" w:color="auto"/>
          </w:divBdr>
        </w:div>
        <w:div w:id="1622107281">
          <w:marLeft w:val="640"/>
          <w:marRight w:val="0"/>
          <w:marTop w:val="0"/>
          <w:marBottom w:val="0"/>
          <w:divBdr>
            <w:top w:val="none" w:sz="0" w:space="0" w:color="auto"/>
            <w:left w:val="none" w:sz="0" w:space="0" w:color="auto"/>
            <w:bottom w:val="none" w:sz="0" w:space="0" w:color="auto"/>
            <w:right w:val="none" w:sz="0" w:space="0" w:color="auto"/>
          </w:divBdr>
        </w:div>
        <w:div w:id="662469292">
          <w:marLeft w:val="640"/>
          <w:marRight w:val="0"/>
          <w:marTop w:val="0"/>
          <w:marBottom w:val="0"/>
          <w:divBdr>
            <w:top w:val="none" w:sz="0" w:space="0" w:color="auto"/>
            <w:left w:val="none" w:sz="0" w:space="0" w:color="auto"/>
            <w:bottom w:val="none" w:sz="0" w:space="0" w:color="auto"/>
            <w:right w:val="none" w:sz="0" w:space="0" w:color="auto"/>
          </w:divBdr>
        </w:div>
        <w:div w:id="1372072010">
          <w:marLeft w:val="640"/>
          <w:marRight w:val="0"/>
          <w:marTop w:val="0"/>
          <w:marBottom w:val="0"/>
          <w:divBdr>
            <w:top w:val="none" w:sz="0" w:space="0" w:color="auto"/>
            <w:left w:val="none" w:sz="0" w:space="0" w:color="auto"/>
            <w:bottom w:val="none" w:sz="0" w:space="0" w:color="auto"/>
            <w:right w:val="none" w:sz="0" w:space="0" w:color="auto"/>
          </w:divBdr>
        </w:div>
        <w:div w:id="1020745626">
          <w:marLeft w:val="640"/>
          <w:marRight w:val="0"/>
          <w:marTop w:val="0"/>
          <w:marBottom w:val="0"/>
          <w:divBdr>
            <w:top w:val="none" w:sz="0" w:space="0" w:color="auto"/>
            <w:left w:val="none" w:sz="0" w:space="0" w:color="auto"/>
            <w:bottom w:val="none" w:sz="0" w:space="0" w:color="auto"/>
            <w:right w:val="none" w:sz="0" w:space="0" w:color="auto"/>
          </w:divBdr>
        </w:div>
        <w:div w:id="1278638603">
          <w:marLeft w:val="640"/>
          <w:marRight w:val="0"/>
          <w:marTop w:val="0"/>
          <w:marBottom w:val="0"/>
          <w:divBdr>
            <w:top w:val="none" w:sz="0" w:space="0" w:color="auto"/>
            <w:left w:val="none" w:sz="0" w:space="0" w:color="auto"/>
            <w:bottom w:val="none" w:sz="0" w:space="0" w:color="auto"/>
            <w:right w:val="none" w:sz="0" w:space="0" w:color="auto"/>
          </w:divBdr>
        </w:div>
        <w:div w:id="896816563">
          <w:marLeft w:val="640"/>
          <w:marRight w:val="0"/>
          <w:marTop w:val="0"/>
          <w:marBottom w:val="0"/>
          <w:divBdr>
            <w:top w:val="none" w:sz="0" w:space="0" w:color="auto"/>
            <w:left w:val="none" w:sz="0" w:space="0" w:color="auto"/>
            <w:bottom w:val="none" w:sz="0" w:space="0" w:color="auto"/>
            <w:right w:val="none" w:sz="0" w:space="0" w:color="auto"/>
          </w:divBdr>
        </w:div>
      </w:divsChild>
    </w:div>
    <w:div w:id="1724014293">
      <w:bodyDiv w:val="1"/>
      <w:marLeft w:val="0"/>
      <w:marRight w:val="0"/>
      <w:marTop w:val="0"/>
      <w:marBottom w:val="0"/>
      <w:divBdr>
        <w:top w:val="none" w:sz="0" w:space="0" w:color="auto"/>
        <w:left w:val="none" w:sz="0" w:space="0" w:color="auto"/>
        <w:bottom w:val="none" w:sz="0" w:space="0" w:color="auto"/>
        <w:right w:val="none" w:sz="0" w:space="0" w:color="auto"/>
      </w:divBdr>
    </w:div>
    <w:div w:id="1725519711">
      <w:bodyDiv w:val="1"/>
      <w:marLeft w:val="0"/>
      <w:marRight w:val="0"/>
      <w:marTop w:val="0"/>
      <w:marBottom w:val="0"/>
      <w:divBdr>
        <w:top w:val="none" w:sz="0" w:space="0" w:color="auto"/>
        <w:left w:val="none" w:sz="0" w:space="0" w:color="auto"/>
        <w:bottom w:val="none" w:sz="0" w:space="0" w:color="auto"/>
        <w:right w:val="none" w:sz="0" w:space="0" w:color="auto"/>
      </w:divBdr>
    </w:div>
    <w:div w:id="1726560965">
      <w:bodyDiv w:val="1"/>
      <w:marLeft w:val="0"/>
      <w:marRight w:val="0"/>
      <w:marTop w:val="0"/>
      <w:marBottom w:val="0"/>
      <w:divBdr>
        <w:top w:val="none" w:sz="0" w:space="0" w:color="auto"/>
        <w:left w:val="none" w:sz="0" w:space="0" w:color="auto"/>
        <w:bottom w:val="none" w:sz="0" w:space="0" w:color="auto"/>
        <w:right w:val="none" w:sz="0" w:space="0" w:color="auto"/>
      </w:divBdr>
    </w:div>
    <w:div w:id="1727298829">
      <w:bodyDiv w:val="1"/>
      <w:marLeft w:val="0"/>
      <w:marRight w:val="0"/>
      <w:marTop w:val="0"/>
      <w:marBottom w:val="0"/>
      <w:divBdr>
        <w:top w:val="none" w:sz="0" w:space="0" w:color="auto"/>
        <w:left w:val="none" w:sz="0" w:space="0" w:color="auto"/>
        <w:bottom w:val="none" w:sz="0" w:space="0" w:color="auto"/>
        <w:right w:val="none" w:sz="0" w:space="0" w:color="auto"/>
      </w:divBdr>
    </w:div>
    <w:div w:id="1728070538">
      <w:bodyDiv w:val="1"/>
      <w:marLeft w:val="0"/>
      <w:marRight w:val="0"/>
      <w:marTop w:val="0"/>
      <w:marBottom w:val="0"/>
      <w:divBdr>
        <w:top w:val="none" w:sz="0" w:space="0" w:color="auto"/>
        <w:left w:val="none" w:sz="0" w:space="0" w:color="auto"/>
        <w:bottom w:val="none" w:sz="0" w:space="0" w:color="auto"/>
        <w:right w:val="none" w:sz="0" w:space="0" w:color="auto"/>
      </w:divBdr>
      <w:divsChild>
        <w:div w:id="1833595797">
          <w:marLeft w:val="640"/>
          <w:marRight w:val="0"/>
          <w:marTop w:val="0"/>
          <w:marBottom w:val="0"/>
          <w:divBdr>
            <w:top w:val="none" w:sz="0" w:space="0" w:color="auto"/>
            <w:left w:val="none" w:sz="0" w:space="0" w:color="auto"/>
            <w:bottom w:val="none" w:sz="0" w:space="0" w:color="auto"/>
            <w:right w:val="none" w:sz="0" w:space="0" w:color="auto"/>
          </w:divBdr>
        </w:div>
        <w:div w:id="969479472">
          <w:marLeft w:val="640"/>
          <w:marRight w:val="0"/>
          <w:marTop w:val="0"/>
          <w:marBottom w:val="0"/>
          <w:divBdr>
            <w:top w:val="none" w:sz="0" w:space="0" w:color="auto"/>
            <w:left w:val="none" w:sz="0" w:space="0" w:color="auto"/>
            <w:bottom w:val="none" w:sz="0" w:space="0" w:color="auto"/>
            <w:right w:val="none" w:sz="0" w:space="0" w:color="auto"/>
          </w:divBdr>
        </w:div>
        <w:div w:id="1550189731">
          <w:marLeft w:val="640"/>
          <w:marRight w:val="0"/>
          <w:marTop w:val="0"/>
          <w:marBottom w:val="0"/>
          <w:divBdr>
            <w:top w:val="none" w:sz="0" w:space="0" w:color="auto"/>
            <w:left w:val="none" w:sz="0" w:space="0" w:color="auto"/>
            <w:bottom w:val="none" w:sz="0" w:space="0" w:color="auto"/>
            <w:right w:val="none" w:sz="0" w:space="0" w:color="auto"/>
          </w:divBdr>
        </w:div>
        <w:div w:id="1669020651">
          <w:marLeft w:val="640"/>
          <w:marRight w:val="0"/>
          <w:marTop w:val="0"/>
          <w:marBottom w:val="0"/>
          <w:divBdr>
            <w:top w:val="none" w:sz="0" w:space="0" w:color="auto"/>
            <w:left w:val="none" w:sz="0" w:space="0" w:color="auto"/>
            <w:bottom w:val="none" w:sz="0" w:space="0" w:color="auto"/>
            <w:right w:val="none" w:sz="0" w:space="0" w:color="auto"/>
          </w:divBdr>
        </w:div>
        <w:div w:id="1107502620">
          <w:marLeft w:val="640"/>
          <w:marRight w:val="0"/>
          <w:marTop w:val="0"/>
          <w:marBottom w:val="0"/>
          <w:divBdr>
            <w:top w:val="none" w:sz="0" w:space="0" w:color="auto"/>
            <w:left w:val="none" w:sz="0" w:space="0" w:color="auto"/>
            <w:bottom w:val="none" w:sz="0" w:space="0" w:color="auto"/>
            <w:right w:val="none" w:sz="0" w:space="0" w:color="auto"/>
          </w:divBdr>
        </w:div>
        <w:div w:id="465926474">
          <w:marLeft w:val="640"/>
          <w:marRight w:val="0"/>
          <w:marTop w:val="0"/>
          <w:marBottom w:val="0"/>
          <w:divBdr>
            <w:top w:val="none" w:sz="0" w:space="0" w:color="auto"/>
            <w:left w:val="none" w:sz="0" w:space="0" w:color="auto"/>
            <w:bottom w:val="none" w:sz="0" w:space="0" w:color="auto"/>
            <w:right w:val="none" w:sz="0" w:space="0" w:color="auto"/>
          </w:divBdr>
        </w:div>
        <w:div w:id="1080060463">
          <w:marLeft w:val="640"/>
          <w:marRight w:val="0"/>
          <w:marTop w:val="0"/>
          <w:marBottom w:val="0"/>
          <w:divBdr>
            <w:top w:val="none" w:sz="0" w:space="0" w:color="auto"/>
            <w:left w:val="none" w:sz="0" w:space="0" w:color="auto"/>
            <w:bottom w:val="none" w:sz="0" w:space="0" w:color="auto"/>
            <w:right w:val="none" w:sz="0" w:space="0" w:color="auto"/>
          </w:divBdr>
        </w:div>
        <w:div w:id="730542669">
          <w:marLeft w:val="640"/>
          <w:marRight w:val="0"/>
          <w:marTop w:val="0"/>
          <w:marBottom w:val="0"/>
          <w:divBdr>
            <w:top w:val="none" w:sz="0" w:space="0" w:color="auto"/>
            <w:left w:val="none" w:sz="0" w:space="0" w:color="auto"/>
            <w:bottom w:val="none" w:sz="0" w:space="0" w:color="auto"/>
            <w:right w:val="none" w:sz="0" w:space="0" w:color="auto"/>
          </w:divBdr>
        </w:div>
        <w:div w:id="1572429101">
          <w:marLeft w:val="640"/>
          <w:marRight w:val="0"/>
          <w:marTop w:val="0"/>
          <w:marBottom w:val="0"/>
          <w:divBdr>
            <w:top w:val="none" w:sz="0" w:space="0" w:color="auto"/>
            <w:left w:val="none" w:sz="0" w:space="0" w:color="auto"/>
            <w:bottom w:val="none" w:sz="0" w:space="0" w:color="auto"/>
            <w:right w:val="none" w:sz="0" w:space="0" w:color="auto"/>
          </w:divBdr>
        </w:div>
        <w:div w:id="700479606">
          <w:marLeft w:val="640"/>
          <w:marRight w:val="0"/>
          <w:marTop w:val="0"/>
          <w:marBottom w:val="0"/>
          <w:divBdr>
            <w:top w:val="none" w:sz="0" w:space="0" w:color="auto"/>
            <w:left w:val="none" w:sz="0" w:space="0" w:color="auto"/>
            <w:bottom w:val="none" w:sz="0" w:space="0" w:color="auto"/>
            <w:right w:val="none" w:sz="0" w:space="0" w:color="auto"/>
          </w:divBdr>
        </w:div>
        <w:div w:id="1729914393">
          <w:marLeft w:val="640"/>
          <w:marRight w:val="0"/>
          <w:marTop w:val="0"/>
          <w:marBottom w:val="0"/>
          <w:divBdr>
            <w:top w:val="none" w:sz="0" w:space="0" w:color="auto"/>
            <w:left w:val="none" w:sz="0" w:space="0" w:color="auto"/>
            <w:bottom w:val="none" w:sz="0" w:space="0" w:color="auto"/>
            <w:right w:val="none" w:sz="0" w:space="0" w:color="auto"/>
          </w:divBdr>
        </w:div>
        <w:div w:id="2117749965">
          <w:marLeft w:val="640"/>
          <w:marRight w:val="0"/>
          <w:marTop w:val="0"/>
          <w:marBottom w:val="0"/>
          <w:divBdr>
            <w:top w:val="none" w:sz="0" w:space="0" w:color="auto"/>
            <w:left w:val="none" w:sz="0" w:space="0" w:color="auto"/>
            <w:bottom w:val="none" w:sz="0" w:space="0" w:color="auto"/>
            <w:right w:val="none" w:sz="0" w:space="0" w:color="auto"/>
          </w:divBdr>
        </w:div>
        <w:div w:id="2107966475">
          <w:marLeft w:val="640"/>
          <w:marRight w:val="0"/>
          <w:marTop w:val="0"/>
          <w:marBottom w:val="0"/>
          <w:divBdr>
            <w:top w:val="none" w:sz="0" w:space="0" w:color="auto"/>
            <w:left w:val="none" w:sz="0" w:space="0" w:color="auto"/>
            <w:bottom w:val="none" w:sz="0" w:space="0" w:color="auto"/>
            <w:right w:val="none" w:sz="0" w:space="0" w:color="auto"/>
          </w:divBdr>
        </w:div>
        <w:div w:id="399714555">
          <w:marLeft w:val="640"/>
          <w:marRight w:val="0"/>
          <w:marTop w:val="0"/>
          <w:marBottom w:val="0"/>
          <w:divBdr>
            <w:top w:val="none" w:sz="0" w:space="0" w:color="auto"/>
            <w:left w:val="none" w:sz="0" w:space="0" w:color="auto"/>
            <w:bottom w:val="none" w:sz="0" w:space="0" w:color="auto"/>
            <w:right w:val="none" w:sz="0" w:space="0" w:color="auto"/>
          </w:divBdr>
        </w:div>
        <w:div w:id="994990531">
          <w:marLeft w:val="640"/>
          <w:marRight w:val="0"/>
          <w:marTop w:val="0"/>
          <w:marBottom w:val="0"/>
          <w:divBdr>
            <w:top w:val="none" w:sz="0" w:space="0" w:color="auto"/>
            <w:left w:val="none" w:sz="0" w:space="0" w:color="auto"/>
            <w:bottom w:val="none" w:sz="0" w:space="0" w:color="auto"/>
            <w:right w:val="none" w:sz="0" w:space="0" w:color="auto"/>
          </w:divBdr>
        </w:div>
        <w:div w:id="787310891">
          <w:marLeft w:val="640"/>
          <w:marRight w:val="0"/>
          <w:marTop w:val="0"/>
          <w:marBottom w:val="0"/>
          <w:divBdr>
            <w:top w:val="none" w:sz="0" w:space="0" w:color="auto"/>
            <w:left w:val="none" w:sz="0" w:space="0" w:color="auto"/>
            <w:bottom w:val="none" w:sz="0" w:space="0" w:color="auto"/>
            <w:right w:val="none" w:sz="0" w:space="0" w:color="auto"/>
          </w:divBdr>
        </w:div>
        <w:div w:id="1186867938">
          <w:marLeft w:val="640"/>
          <w:marRight w:val="0"/>
          <w:marTop w:val="0"/>
          <w:marBottom w:val="0"/>
          <w:divBdr>
            <w:top w:val="none" w:sz="0" w:space="0" w:color="auto"/>
            <w:left w:val="none" w:sz="0" w:space="0" w:color="auto"/>
            <w:bottom w:val="none" w:sz="0" w:space="0" w:color="auto"/>
            <w:right w:val="none" w:sz="0" w:space="0" w:color="auto"/>
          </w:divBdr>
        </w:div>
        <w:div w:id="997613391">
          <w:marLeft w:val="640"/>
          <w:marRight w:val="0"/>
          <w:marTop w:val="0"/>
          <w:marBottom w:val="0"/>
          <w:divBdr>
            <w:top w:val="none" w:sz="0" w:space="0" w:color="auto"/>
            <w:left w:val="none" w:sz="0" w:space="0" w:color="auto"/>
            <w:bottom w:val="none" w:sz="0" w:space="0" w:color="auto"/>
            <w:right w:val="none" w:sz="0" w:space="0" w:color="auto"/>
          </w:divBdr>
        </w:div>
        <w:div w:id="153642932">
          <w:marLeft w:val="640"/>
          <w:marRight w:val="0"/>
          <w:marTop w:val="0"/>
          <w:marBottom w:val="0"/>
          <w:divBdr>
            <w:top w:val="none" w:sz="0" w:space="0" w:color="auto"/>
            <w:left w:val="none" w:sz="0" w:space="0" w:color="auto"/>
            <w:bottom w:val="none" w:sz="0" w:space="0" w:color="auto"/>
            <w:right w:val="none" w:sz="0" w:space="0" w:color="auto"/>
          </w:divBdr>
        </w:div>
        <w:div w:id="217783073">
          <w:marLeft w:val="640"/>
          <w:marRight w:val="0"/>
          <w:marTop w:val="0"/>
          <w:marBottom w:val="0"/>
          <w:divBdr>
            <w:top w:val="none" w:sz="0" w:space="0" w:color="auto"/>
            <w:left w:val="none" w:sz="0" w:space="0" w:color="auto"/>
            <w:bottom w:val="none" w:sz="0" w:space="0" w:color="auto"/>
            <w:right w:val="none" w:sz="0" w:space="0" w:color="auto"/>
          </w:divBdr>
        </w:div>
        <w:div w:id="1224219575">
          <w:marLeft w:val="640"/>
          <w:marRight w:val="0"/>
          <w:marTop w:val="0"/>
          <w:marBottom w:val="0"/>
          <w:divBdr>
            <w:top w:val="none" w:sz="0" w:space="0" w:color="auto"/>
            <w:left w:val="none" w:sz="0" w:space="0" w:color="auto"/>
            <w:bottom w:val="none" w:sz="0" w:space="0" w:color="auto"/>
            <w:right w:val="none" w:sz="0" w:space="0" w:color="auto"/>
          </w:divBdr>
        </w:div>
        <w:div w:id="1501116896">
          <w:marLeft w:val="640"/>
          <w:marRight w:val="0"/>
          <w:marTop w:val="0"/>
          <w:marBottom w:val="0"/>
          <w:divBdr>
            <w:top w:val="none" w:sz="0" w:space="0" w:color="auto"/>
            <w:left w:val="none" w:sz="0" w:space="0" w:color="auto"/>
            <w:bottom w:val="none" w:sz="0" w:space="0" w:color="auto"/>
            <w:right w:val="none" w:sz="0" w:space="0" w:color="auto"/>
          </w:divBdr>
        </w:div>
        <w:div w:id="1727607368">
          <w:marLeft w:val="640"/>
          <w:marRight w:val="0"/>
          <w:marTop w:val="0"/>
          <w:marBottom w:val="0"/>
          <w:divBdr>
            <w:top w:val="none" w:sz="0" w:space="0" w:color="auto"/>
            <w:left w:val="none" w:sz="0" w:space="0" w:color="auto"/>
            <w:bottom w:val="none" w:sz="0" w:space="0" w:color="auto"/>
            <w:right w:val="none" w:sz="0" w:space="0" w:color="auto"/>
          </w:divBdr>
        </w:div>
        <w:div w:id="187719857">
          <w:marLeft w:val="640"/>
          <w:marRight w:val="0"/>
          <w:marTop w:val="0"/>
          <w:marBottom w:val="0"/>
          <w:divBdr>
            <w:top w:val="none" w:sz="0" w:space="0" w:color="auto"/>
            <w:left w:val="none" w:sz="0" w:space="0" w:color="auto"/>
            <w:bottom w:val="none" w:sz="0" w:space="0" w:color="auto"/>
            <w:right w:val="none" w:sz="0" w:space="0" w:color="auto"/>
          </w:divBdr>
        </w:div>
        <w:div w:id="156579551">
          <w:marLeft w:val="640"/>
          <w:marRight w:val="0"/>
          <w:marTop w:val="0"/>
          <w:marBottom w:val="0"/>
          <w:divBdr>
            <w:top w:val="none" w:sz="0" w:space="0" w:color="auto"/>
            <w:left w:val="none" w:sz="0" w:space="0" w:color="auto"/>
            <w:bottom w:val="none" w:sz="0" w:space="0" w:color="auto"/>
            <w:right w:val="none" w:sz="0" w:space="0" w:color="auto"/>
          </w:divBdr>
        </w:div>
        <w:div w:id="275068301">
          <w:marLeft w:val="640"/>
          <w:marRight w:val="0"/>
          <w:marTop w:val="0"/>
          <w:marBottom w:val="0"/>
          <w:divBdr>
            <w:top w:val="none" w:sz="0" w:space="0" w:color="auto"/>
            <w:left w:val="none" w:sz="0" w:space="0" w:color="auto"/>
            <w:bottom w:val="none" w:sz="0" w:space="0" w:color="auto"/>
            <w:right w:val="none" w:sz="0" w:space="0" w:color="auto"/>
          </w:divBdr>
        </w:div>
        <w:div w:id="88277088">
          <w:marLeft w:val="640"/>
          <w:marRight w:val="0"/>
          <w:marTop w:val="0"/>
          <w:marBottom w:val="0"/>
          <w:divBdr>
            <w:top w:val="none" w:sz="0" w:space="0" w:color="auto"/>
            <w:left w:val="none" w:sz="0" w:space="0" w:color="auto"/>
            <w:bottom w:val="none" w:sz="0" w:space="0" w:color="auto"/>
            <w:right w:val="none" w:sz="0" w:space="0" w:color="auto"/>
          </w:divBdr>
        </w:div>
        <w:div w:id="1632057977">
          <w:marLeft w:val="640"/>
          <w:marRight w:val="0"/>
          <w:marTop w:val="0"/>
          <w:marBottom w:val="0"/>
          <w:divBdr>
            <w:top w:val="none" w:sz="0" w:space="0" w:color="auto"/>
            <w:left w:val="none" w:sz="0" w:space="0" w:color="auto"/>
            <w:bottom w:val="none" w:sz="0" w:space="0" w:color="auto"/>
            <w:right w:val="none" w:sz="0" w:space="0" w:color="auto"/>
          </w:divBdr>
        </w:div>
        <w:div w:id="1161240034">
          <w:marLeft w:val="640"/>
          <w:marRight w:val="0"/>
          <w:marTop w:val="0"/>
          <w:marBottom w:val="0"/>
          <w:divBdr>
            <w:top w:val="none" w:sz="0" w:space="0" w:color="auto"/>
            <w:left w:val="none" w:sz="0" w:space="0" w:color="auto"/>
            <w:bottom w:val="none" w:sz="0" w:space="0" w:color="auto"/>
            <w:right w:val="none" w:sz="0" w:space="0" w:color="auto"/>
          </w:divBdr>
        </w:div>
        <w:div w:id="1926302069">
          <w:marLeft w:val="640"/>
          <w:marRight w:val="0"/>
          <w:marTop w:val="0"/>
          <w:marBottom w:val="0"/>
          <w:divBdr>
            <w:top w:val="none" w:sz="0" w:space="0" w:color="auto"/>
            <w:left w:val="none" w:sz="0" w:space="0" w:color="auto"/>
            <w:bottom w:val="none" w:sz="0" w:space="0" w:color="auto"/>
            <w:right w:val="none" w:sz="0" w:space="0" w:color="auto"/>
          </w:divBdr>
        </w:div>
        <w:div w:id="1496259933">
          <w:marLeft w:val="640"/>
          <w:marRight w:val="0"/>
          <w:marTop w:val="0"/>
          <w:marBottom w:val="0"/>
          <w:divBdr>
            <w:top w:val="none" w:sz="0" w:space="0" w:color="auto"/>
            <w:left w:val="none" w:sz="0" w:space="0" w:color="auto"/>
            <w:bottom w:val="none" w:sz="0" w:space="0" w:color="auto"/>
            <w:right w:val="none" w:sz="0" w:space="0" w:color="auto"/>
          </w:divBdr>
        </w:div>
        <w:div w:id="2070956995">
          <w:marLeft w:val="640"/>
          <w:marRight w:val="0"/>
          <w:marTop w:val="0"/>
          <w:marBottom w:val="0"/>
          <w:divBdr>
            <w:top w:val="none" w:sz="0" w:space="0" w:color="auto"/>
            <w:left w:val="none" w:sz="0" w:space="0" w:color="auto"/>
            <w:bottom w:val="none" w:sz="0" w:space="0" w:color="auto"/>
            <w:right w:val="none" w:sz="0" w:space="0" w:color="auto"/>
          </w:divBdr>
        </w:div>
        <w:div w:id="229464463">
          <w:marLeft w:val="640"/>
          <w:marRight w:val="0"/>
          <w:marTop w:val="0"/>
          <w:marBottom w:val="0"/>
          <w:divBdr>
            <w:top w:val="none" w:sz="0" w:space="0" w:color="auto"/>
            <w:left w:val="none" w:sz="0" w:space="0" w:color="auto"/>
            <w:bottom w:val="none" w:sz="0" w:space="0" w:color="auto"/>
            <w:right w:val="none" w:sz="0" w:space="0" w:color="auto"/>
          </w:divBdr>
        </w:div>
        <w:div w:id="1388533957">
          <w:marLeft w:val="640"/>
          <w:marRight w:val="0"/>
          <w:marTop w:val="0"/>
          <w:marBottom w:val="0"/>
          <w:divBdr>
            <w:top w:val="none" w:sz="0" w:space="0" w:color="auto"/>
            <w:left w:val="none" w:sz="0" w:space="0" w:color="auto"/>
            <w:bottom w:val="none" w:sz="0" w:space="0" w:color="auto"/>
            <w:right w:val="none" w:sz="0" w:space="0" w:color="auto"/>
          </w:divBdr>
        </w:div>
        <w:div w:id="671949777">
          <w:marLeft w:val="640"/>
          <w:marRight w:val="0"/>
          <w:marTop w:val="0"/>
          <w:marBottom w:val="0"/>
          <w:divBdr>
            <w:top w:val="none" w:sz="0" w:space="0" w:color="auto"/>
            <w:left w:val="none" w:sz="0" w:space="0" w:color="auto"/>
            <w:bottom w:val="none" w:sz="0" w:space="0" w:color="auto"/>
            <w:right w:val="none" w:sz="0" w:space="0" w:color="auto"/>
          </w:divBdr>
        </w:div>
        <w:div w:id="650908773">
          <w:marLeft w:val="640"/>
          <w:marRight w:val="0"/>
          <w:marTop w:val="0"/>
          <w:marBottom w:val="0"/>
          <w:divBdr>
            <w:top w:val="none" w:sz="0" w:space="0" w:color="auto"/>
            <w:left w:val="none" w:sz="0" w:space="0" w:color="auto"/>
            <w:bottom w:val="none" w:sz="0" w:space="0" w:color="auto"/>
            <w:right w:val="none" w:sz="0" w:space="0" w:color="auto"/>
          </w:divBdr>
        </w:div>
        <w:div w:id="1892840947">
          <w:marLeft w:val="640"/>
          <w:marRight w:val="0"/>
          <w:marTop w:val="0"/>
          <w:marBottom w:val="0"/>
          <w:divBdr>
            <w:top w:val="none" w:sz="0" w:space="0" w:color="auto"/>
            <w:left w:val="none" w:sz="0" w:space="0" w:color="auto"/>
            <w:bottom w:val="none" w:sz="0" w:space="0" w:color="auto"/>
            <w:right w:val="none" w:sz="0" w:space="0" w:color="auto"/>
          </w:divBdr>
        </w:div>
        <w:div w:id="329870879">
          <w:marLeft w:val="640"/>
          <w:marRight w:val="0"/>
          <w:marTop w:val="0"/>
          <w:marBottom w:val="0"/>
          <w:divBdr>
            <w:top w:val="none" w:sz="0" w:space="0" w:color="auto"/>
            <w:left w:val="none" w:sz="0" w:space="0" w:color="auto"/>
            <w:bottom w:val="none" w:sz="0" w:space="0" w:color="auto"/>
            <w:right w:val="none" w:sz="0" w:space="0" w:color="auto"/>
          </w:divBdr>
        </w:div>
        <w:div w:id="1027606754">
          <w:marLeft w:val="640"/>
          <w:marRight w:val="0"/>
          <w:marTop w:val="0"/>
          <w:marBottom w:val="0"/>
          <w:divBdr>
            <w:top w:val="none" w:sz="0" w:space="0" w:color="auto"/>
            <w:left w:val="none" w:sz="0" w:space="0" w:color="auto"/>
            <w:bottom w:val="none" w:sz="0" w:space="0" w:color="auto"/>
            <w:right w:val="none" w:sz="0" w:space="0" w:color="auto"/>
          </w:divBdr>
        </w:div>
        <w:div w:id="1514101765">
          <w:marLeft w:val="640"/>
          <w:marRight w:val="0"/>
          <w:marTop w:val="0"/>
          <w:marBottom w:val="0"/>
          <w:divBdr>
            <w:top w:val="none" w:sz="0" w:space="0" w:color="auto"/>
            <w:left w:val="none" w:sz="0" w:space="0" w:color="auto"/>
            <w:bottom w:val="none" w:sz="0" w:space="0" w:color="auto"/>
            <w:right w:val="none" w:sz="0" w:space="0" w:color="auto"/>
          </w:divBdr>
        </w:div>
        <w:div w:id="1152987463">
          <w:marLeft w:val="640"/>
          <w:marRight w:val="0"/>
          <w:marTop w:val="0"/>
          <w:marBottom w:val="0"/>
          <w:divBdr>
            <w:top w:val="none" w:sz="0" w:space="0" w:color="auto"/>
            <w:left w:val="none" w:sz="0" w:space="0" w:color="auto"/>
            <w:bottom w:val="none" w:sz="0" w:space="0" w:color="auto"/>
            <w:right w:val="none" w:sz="0" w:space="0" w:color="auto"/>
          </w:divBdr>
        </w:div>
        <w:div w:id="336272078">
          <w:marLeft w:val="640"/>
          <w:marRight w:val="0"/>
          <w:marTop w:val="0"/>
          <w:marBottom w:val="0"/>
          <w:divBdr>
            <w:top w:val="none" w:sz="0" w:space="0" w:color="auto"/>
            <w:left w:val="none" w:sz="0" w:space="0" w:color="auto"/>
            <w:bottom w:val="none" w:sz="0" w:space="0" w:color="auto"/>
            <w:right w:val="none" w:sz="0" w:space="0" w:color="auto"/>
          </w:divBdr>
        </w:div>
        <w:div w:id="1420524816">
          <w:marLeft w:val="640"/>
          <w:marRight w:val="0"/>
          <w:marTop w:val="0"/>
          <w:marBottom w:val="0"/>
          <w:divBdr>
            <w:top w:val="none" w:sz="0" w:space="0" w:color="auto"/>
            <w:left w:val="none" w:sz="0" w:space="0" w:color="auto"/>
            <w:bottom w:val="none" w:sz="0" w:space="0" w:color="auto"/>
            <w:right w:val="none" w:sz="0" w:space="0" w:color="auto"/>
          </w:divBdr>
        </w:div>
        <w:div w:id="2110348902">
          <w:marLeft w:val="640"/>
          <w:marRight w:val="0"/>
          <w:marTop w:val="0"/>
          <w:marBottom w:val="0"/>
          <w:divBdr>
            <w:top w:val="none" w:sz="0" w:space="0" w:color="auto"/>
            <w:left w:val="none" w:sz="0" w:space="0" w:color="auto"/>
            <w:bottom w:val="none" w:sz="0" w:space="0" w:color="auto"/>
            <w:right w:val="none" w:sz="0" w:space="0" w:color="auto"/>
          </w:divBdr>
        </w:div>
        <w:div w:id="486895901">
          <w:marLeft w:val="640"/>
          <w:marRight w:val="0"/>
          <w:marTop w:val="0"/>
          <w:marBottom w:val="0"/>
          <w:divBdr>
            <w:top w:val="none" w:sz="0" w:space="0" w:color="auto"/>
            <w:left w:val="none" w:sz="0" w:space="0" w:color="auto"/>
            <w:bottom w:val="none" w:sz="0" w:space="0" w:color="auto"/>
            <w:right w:val="none" w:sz="0" w:space="0" w:color="auto"/>
          </w:divBdr>
        </w:div>
        <w:div w:id="169178200">
          <w:marLeft w:val="640"/>
          <w:marRight w:val="0"/>
          <w:marTop w:val="0"/>
          <w:marBottom w:val="0"/>
          <w:divBdr>
            <w:top w:val="none" w:sz="0" w:space="0" w:color="auto"/>
            <w:left w:val="none" w:sz="0" w:space="0" w:color="auto"/>
            <w:bottom w:val="none" w:sz="0" w:space="0" w:color="auto"/>
            <w:right w:val="none" w:sz="0" w:space="0" w:color="auto"/>
          </w:divBdr>
        </w:div>
        <w:div w:id="1974403146">
          <w:marLeft w:val="640"/>
          <w:marRight w:val="0"/>
          <w:marTop w:val="0"/>
          <w:marBottom w:val="0"/>
          <w:divBdr>
            <w:top w:val="none" w:sz="0" w:space="0" w:color="auto"/>
            <w:left w:val="none" w:sz="0" w:space="0" w:color="auto"/>
            <w:bottom w:val="none" w:sz="0" w:space="0" w:color="auto"/>
            <w:right w:val="none" w:sz="0" w:space="0" w:color="auto"/>
          </w:divBdr>
        </w:div>
        <w:div w:id="529104282">
          <w:marLeft w:val="640"/>
          <w:marRight w:val="0"/>
          <w:marTop w:val="0"/>
          <w:marBottom w:val="0"/>
          <w:divBdr>
            <w:top w:val="none" w:sz="0" w:space="0" w:color="auto"/>
            <w:left w:val="none" w:sz="0" w:space="0" w:color="auto"/>
            <w:bottom w:val="none" w:sz="0" w:space="0" w:color="auto"/>
            <w:right w:val="none" w:sz="0" w:space="0" w:color="auto"/>
          </w:divBdr>
        </w:div>
        <w:div w:id="1033768425">
          <w:marLeft w:val="640"/>
          <w:marRight w:val="0"/>
          <w:marTop w:val="0"/>
          <w:marBottom w:val="0"/>
          <w:divBdr>
            <w:top w:val="none" w:sz="0" w:space="0" w:color="auto"/>
            <w:left w:val="none" w:sz="0" w:space="0" w:color="auto"/>
            <w:bottom w:val="none" w:sz="0" w:space="0" w:color="auto"/>
            <w:right w:val="none" w:sz="0" w:space="0" w:color="auto"/>
          </w:divBdr>
        </w:div>
        <w:div w:id="1065838598">
          <w:marLeft w:val="640"/>
          <w:marRight w:val="0"/>
          <w:marTop w:val="0"/>
          <w:marBottom w:val="0"/>
          <w:divBdr>
            <w:top w:val="none" w:sz="0" w:space="0" w:color="auto"/>
            <w:left w:val="none" w:sz="0" w:space="0" w:color="auto"/>
            <w:bottom w:val="none" w:sz="0" w:space="0" w:color="auto"/>
            <w:right w:val="none" w:sz="0" w:space="0" w:color="auto"/>
          </w:divBdr>
        </w:div>
        <w:div w:id="1704401935">
          <w:marLeft w:val="640"/>
          <w:marRight w:val="0"/>
          <w:marTop w:val="0"/>
          <w:marBottom w:val="0"/>
          <w:divBdr>
            <w:top w:val="none" w:sz="0" w:space="0" w:color="auto"/>
            <w:left w:val="none" w:sz="0" w:space="0" w:color="auto"/>
            <w:bottom w:val="none" w:sz="0" w:space="0" w:color="auto"/>
            <w:right w:val="none" w:sz="0" w:space="0" w:color="auto"/>
          </w:divBdr>
        </w:div>
        <w:div w:id="1864241267">
          <w:marLeft w:val="640"/>
          <w:marRight w:val="0"/>
          <w:marTop w:val="0"/>
          <w:marBottom w:val="0"/>
          <w:divBdr>
            <w:top w:val="none" w:sz="0" w:space="0" w:color="auto"/>
            <w:left w:val="none" w:sz="0" w:space="0" w:color="auto"/>
            <w:bottom w:val="none" w:sz="0" w:space="0" w:color="auto"/>
            <w:right w:val="none" w:sz="0" w:space="0" w:color="auto"/>
          </w:divBdr>
        </w:div>
        <w:div w:id="135728734">
          <w:marLeft w:val="640"/>
          <w:marRight w:val="0"/>
          <w:marTop w:val="0"/>
          <w:marBottom w:val="0"/>
          <w:divBdr>
            <w:top w:val="none" w:sz="0" w:space="0" w:color="auto"/>
            <w:left w:val="none" w:sz="0" w:space="0" w:color="auto"/>
            <w:bottom w:val="none" w:sz="0" w:space="0" w:color="auto"/>
            <w:right w:val="none" w:sz="0" w:space="0" w:color="auto"/>
          </w:divBdr>
        </w:div>
        <w:div w:id="774255357">
          <w:marLeft w:val="640"/>
          <w:marRight w:val="0"/>
          <w:marTop w:val="0"/>
          <w:marBottom w:val="0"/>
          <w:divBdr>
            <w:top w:val="none" w:sz="0" w:space="0" w:color="auto"/>
            <w:left w:val="none" w:sz="0" w:space="0" w:color="auto"/>
            <w:bottom w:val="none" w:sz="0" w:space="0" w:color="auto"/>
            <w:right w:val="none" w:sz="0" w:space="0" w:color="auto"/>
          </w:divBdr>
        </w:div>
        <w:div w:id="791217012">
          <w:marLeft w:val="640"/>
          <w:marRight w:val="0"/>
          <w:marTop w:val="0"/>
          <w:marBottom w:val="0"/>
          <w:divBdr>
            <w:top w:val="none" w:sz="0" w:space="0" w:color="auto"/>
            <w:left w:val="none" w:sz="0" w:space="0" w:color="auto"/>
            <w:bottom w:val="none" w:sz="0" w:space="0" w:color="auto"/>
            <w:right w:val="none" w:sz="0" w:space="0" w:color="auto"/>
          </w:divBdr>
        </w:div>
        <w:div w:id="277415351">
          <w:marLeft w:val="640"/>
          <w:marRight w:val="0"/>
          <w:marTop w:val="0"/>
          <w:marBottom w:val="0"/>
          <w:divBdr>
            <w:top w:val="none" w:sz="0" w:space="0" w:color="auto"/>
            <w:left w:val="none" w:sz="0" w:space="0" w:color="auto"/>
            <w:bottom w:val="none" w:sz="0" w:space="0" w:color="auto"/>
            <w:right w:val="none" w:sz="0" w:space="0" w:color="auto"/>
          </w:divBdr>
        </w:div>
        <w:div w:id="1192105853">
          <w:marLeft w:val="640"/>
          <w:marRight w:val="0"/>
          <w:marTop w:val="0"/>
          <w:marBottom w:val="0"/>
          <w:divBdr>
            <w:top w:val="none" w:sz="0" w:space="0" w:color="auto"/>
            <w:left w:val="none" w:sz="0" w:space="0" w:color="auto"/>
            <w:bottom w:val="none" w:sz="0" w:space="0" w:color="auto"/>
            <w:right w:val="none" w:sz="0" w:space="0" w:color="auto"/>
          </w:divBdr>
        </w:div>
        <w:div w:id="585461266">
          <w:marLeft w:val="640"/>
          <w:marRight w:val="0"/>
          <w:marTop w:val="0"/>
          <w:marBottom w:val="0"/>
          <w:divBdr>
            <w:top w:val="none" w:sz="0" w:space="0" w:color="auto"/>
            <w:left w:val="none" w:sz="0" w:space="0" w:color="auto"/>
            <w:bottom w:val="none" w:sz="0" w:space="0" w:color="auto"/>
            <w:right w:val="none" w:sz="0" w:space="0" w:color="auto"/>
          </w:divBdr>
        </w:div>
        <w:div w:id="1653560996">
          <w:marLeft w:val="640"/>
          <w:marRight w:val="0"/>
          <w:marTop w:val="0"/>
          <w:marBottom w:val="0"/>
          <w:divBdr>
            <w:top w:val="none" w:sz="0" w:space="0" w:color="auto"/>
            <w:left w:val="none" w:sz="0" w:space="0" w:color="auto"/>
            <w:bottom w:val="none" w:sz="0" w:space="0" w:color="auto"/>
            <w:right w:val="none" w:sz="0" w:space="0" w:color="auto"/>
          </w:divBdr>
        </w:div>
        <w:div w:id="1886066781">
          <w:marLeft w:val="640"/>
          <w:marRight w:val="0"/>
          <w:marTop w:val="0"/>
          <w:marBottom w:val="0"/>
          <w:divBdr>
            <w:top w:val="none" w:sz="0" w:space="0" w:color="auto"/>
            <w:left w:val="none" w:sz="0" w:space="0" w:color="auto"/>
            <w:bottom w:val="none" w:sz="0" w:space="0" w:color="auto"/>
            <w:right w:val="none" w:sz="0" w:space="0" w:color="auto"/>
          </w:divBdr>
        </w:div>
        <w:div w:id="1084691325">
          <w:marLeft w:val="640"/>
          <w:marRight w:val="0"/>
          <w:marTop w:val="0"/>
          <w:marBottom w:val="0"/>
          <w:divBdr>
            <w:top w:val="none" w:sz="0" w:space="0" w:color="auto"/>
            <w:left w:val="none" w:sz="0" w:space="0" w:color="auto"/>
            <w:bottom w:val="none" w:sz="0" w:space="0" w:color="auto"/>
            <w:right w:val="none" w:sz="0" w:space="0" w:color="auto"/>
          </w:divBdr>
        </w:div>
        <w:div w:id="680469766">
          <w:marLeft w:val="640"/>
          <w:marRight w:val="0"/>
          <w:marTop w:val="0"/>
          <w:marBottom w:val="0"/>
          <w:divBdr>
            <w:top w:val="none" w:sz="0" w:space="0" w:color="auto"/>
            <w:left w:val="none" w:sz="0" w:space="0" w:color="auto"/>
            <w:bottom w:val="none" w:sz="0" w:space="0" w:color="auto"/>
            <w:right w:val="none" w:sz="0" w:space="0" w:color="auto"/>
          </w:divBdr>
        </w:div>
        <w:div w:id="1602957553">
          <w:marLeft w:val="640"/>
          <w:marRight w:val="0"/>
          <w:marTop w:val="0"/>
          <w:marBottom w:val="0"/>
          <w:divBdr>
            <w:top w:val="none" w:sz="0" w:space="0" w:color="auto"/>
            <w:left w:val="none" w:sz="0" w:space="0" w:color="auto"/>
            <w:bottom w:val="none" w:sz="0" w:space="0" w:color="auto"/>
            <w:right w:val="none" w:sz="0" w:space="0" w:color="auto"/>
          </w:divBdr>
        </w:div>
        <w:div w:id="499203169">
          <w:marLeft w:val="640"/>
          <w:marRight w:val="0"/>
          <w:marTop w:val="0"/>
          <w:marBottom w:val="0"/>
          <w:divBdr>
            <w:top w:val="none" w:sz="0" w:space="0" w:color="auto"/>
            <w:left w:val="none" w:sz="0" w:space="0" w:color="auto"/>
            <w:bottom w:val="none" w:sz="0" w:space="0" w:color="auto"/>
            <w:right w:val="none" w:sz="0" w:space="0" w:color="auto"/>
          </w:divBdr>
        </w:div>
        <w:div w:id="2020622833">
          <w:marLeft w:val="640"/>
          <w:marRight w:val="0"/>
          <w:marTop w:val="0"/>
          <w:marBottom w:val="0"/>
          <w:divBdr>
            <w:top w:val="none" w:sz="0" w:space="0" w:color="auto"/>
            <w:left w:val="none" w:sz="0" w:space="0" w:color="auto"/>
            <w:bottom w:val="none" w:sz="0" w:space="0" w:color="auto"/>
            <w:right w:val="none" w:sz="0" w:space="0" w:color="auto"/>
          </w:divBdr>
        </w:div>
        <w:div w:id="1615094331">
          <w:marLeft w:val="640"/>
          <w:marRight w:val="0"/>
          <w:marTop w:val="0"/>
          <w:marBottom w:val="0"/>
          <w:divBdr>
            <w:top w:val="none" w:sz="0" w:space="0" w:color="auto"/>
            <w:left w:val="none" w:sz="0" w:space="0" w:color="auto"/>
            <w:bottom w:val="none" w:sz="0" w:space="0" w:color="auto"/>
            <w:right w:val="none" w:sz="0" w:space="0" w:color="auto"/>
          </w:divBdr>
        </w:div>
        <w:div w:id="334764354">
          <w:marLeft w:val="640"/>
          <w:marRight w:val="0"/>
          <w:marTop w:val="0"/>
          <w:marBottom w:val="0"/>
          <w:divBdr>
            <w:top w:val="none" w:sz="0" w:space="0" w:color="auto"/>
            <w:left w:val="none" w:sz="0" w:space="0" w:color="auto"/>
            <w:bottom w:val="none" w:sz="0" w:space="0" w:color="auto"/>
            <w:right w:val="none" w:sz="0" w:space="0" w:color="auto"/>
          </w:divBdr>
        </w:div>
        <w:div w:id="313069933">
          <w:marLeft w:val="640"/>
          <w:marRight w:val="0"/>
          <w:marTop w:val="0"/>
          <w:marBottom w:val="0"/>
          <w:divBdr>
            <w:top w:val="none" w:sz="0" w:space="0" w:color="auto"/>
            <w:left w:val="none" w:sz="0" w:space="0" w:color="auto"/>
            <w:bottom w:val="none" w:sz="0" w:space="0" w:color="auto"/>
            <w:right w:val="none" w:sz="0" w:space="0" w:color="auto"/>
          </w:divBdr>
        </w:div>
        <w:div w:id="553587248">
          <w:marLeft w:val="640"/>
          <w:marRight w:val="0"/>
          <w:marTop w:val="0"/>
          <w:marBottom w:val="0"/>
          <w:divBdr>
            <w:top w:val="none" w:sz="0" w:space="0" w:color="auto"/>
            <w:left w:val="none" w:sz="0" w:space="0" w:color="auto"/>
            <w:bottom w:val="none" w:sz="0" w:space="0" w:color="auto"/>
            <w:right w:val="none" w:sz="0" w:space="0" w:color="auto"/>
          </w:divBdr>
        </w:div>
        <w:div w:id="950816401">
          <w:marLeft w:val="640"/>
          <w:marRight w:val="0"/>
          <w:marTop w:val="0"/>
          <w:marBottom w:val="0"/>
          <w:divBdr>
            <w:top w:val="none" w:sz="0" w:space="0" w:color="auto"/>
            <w:left w:val="none" w:sz="0" w:space="0" w:color="auto"/>
            <w:bottom w:val="none" w:sz="0" w:space="0" w:color="auto"/>
            <w:right w:val="none" w:sz="0" w:space="0" w:color="auto"/>
          </w:divBdr>
        </w:div>
        <w:div w:id="855120738">
          <w:marLeft w:val="640"/>
          <w:marRight w:val="0"/>
          <w:marTop w:val="0"/>
          <w:marBottom w:val="0"/>
          <w:divBdr>
            <w:top w:val="none" w:sz="0" w:space="0" w:color="auto"/>
            <w:left w:val="none" w:sz="0" w:space="0" w:color="auto"/>
            <w:bottom w:val="none" w:sz="0" w:space="0" w:color="auto"/>
            <w:right w:val="none" w:sz="0" w:space="0" w:color="auto"/>
          </w:divBdr>
        </w:div>
        <w:div w:id="29646235">
          <w:marLeft w:val="640"/>
          <w:marRight w:val="0"/>
          <w:marTop w:val="0"/>
          <w:marBottom w:val="0"/>
          <w:divBdr>
            <w:top w:val="none" w:sz="0" w:space="0" w:color="auto"/>
            <w:left w:val="none" w:sz="0" w:space="0" w:color="auto"/>
            <w:bottom w:val="none" w:sz="0" w:space="0" w:color="auto"/>
            <w:right w:val="none" w:sz="0" w:space="0" w:color="auto"/>
          </w:divBdr>
        </w:div>
        <w:div w:id="694963428">
          <w:marLeft w:val="640"/>
          <w:marRight w:val="0"/>
          <w:marTop w:val="0"/>
          <w:marBottom w:val="0"/>
          <w:divBdr>
            <w:top w:val="none" w:sz="0" w:space="0" w:color="auto"/>
            <w:left w:val="none" w:sz="0" w:space="0" w:color="auto"/>
            <w:bottom w:val="none" w:sz="0" w:space="0" w:color="auto"/>
            <w:right w:val="none" w:sz="0" w:space="0" w:color="auto"/>
          </w:divBdr>
        </w:div>
        <w:div w:id="1385987723">
          <w:marLeft w:val="640"/>
          <w:marRight w:val="0"/>
          <w:marTop w:val="0"/>
          <w:marBottom w:val="0"/>
          <w:divBdr>
            <w:top w:val="none" w:sz="0" w:space="0" w:color="auto"/>
            <w:left w:val="none" w:sz="0" w:space="0" w:color="auto"/>
            <w:bottom w:val="none" w:sz="0" w:space="0" w:color="auto"/>
            <w:right w:val="none" w:sz="0" w:space="0" w:color="auto"/>
          </w:divBdr>
        </w:div>
        <w:div w:id="960846738">
          <w:marLeft w:val="640"/>
          <w:marRight w:val="0"/>
          <w:marTop w:val="0"/>
          <w:marBottom w:val="0"/>
          <w:divBdr>
            <w:top w:val="none" w:sz="0" w:space="0" w:color="auto"/>
            <w:left w:val="none" w:sz="0" w:space="0" w:color="auto"/>
            <w:bottom w:val="none" w:sz="0" w:space="0" w:color="auto"/>
            <w:right w:val="none" w:sz="0" w:space="0" w:color="auto"/>
          </w:divBdr>
        </w:div>
        <w:div w:id="349796197">
          <w:marLeft w:val="640"/>
          <w:marRight w:val="0"/>
          <w:marTop w:val="0"/>
          <w:marBottom w:val="0"/>
          <w:divBdr>
            <w:top w:val="none" w:sz="0" w:space="0" w:color="auto"/>
            <w:left w:val="none" w:sz="0" w:space="0" w:color="auto"/>
            <w:bottom w:val="none" w:sz="0" w:space="0" w:color="auto"/>
            <w:right w:val="none" w:sz="0" w:space="0" w:color="auto"/>
          </w:divBdr>
        </w:div>
        <w:div w:id="408309020">
          <w:marLeft w:val="640"/>
          <w:marRight w:val="0"/>
          <w:marTop w:val="0"/>
          <w:marBottom w:val="0"/>
          <w:divBdr>
            <w:top w:val="none" w:sz="0" w:space="0" w:color="auto"/>
            <w:left w:val="none" w:sz="0" w:space="0" w:color="auto"/>
            <w:bottom w:val="none" w:sz="0" w:space="0" w:color="auto"/>
            <w:right w:val="none" w:sz="0" w:space="0" w:color="auto"/>
          </w:divBdr>
        </w:div>
        <w:div w:id="1249658656">
          <w:marLeft w:val="640"/>
          <w:marRight w:val="0"/>
          <w:marTop w:val="0"/>
          <w:marBottom w:val="0"/>
          <w:divBdr>
            <w:top w:val="none" w:sz="0" w:space="0" w:color="auto"/>
            <w:left w:val="none" w:sz="0" w:space="0" w:color="auto"/>
            <w:bottom w:val="none" w:sz="0" w:space="0" w:color="auto"/>
            <w:right w:val="none" w:sz="0" w:space="0" w:color="auto"/>
          </w:divBdr>
        </w:div>
        <w:div w:id="1020816097">
          <w:marLeft w:val="640"/>
          <w:marRight w:val="0"/>
          <w:marTop w:val="0"/>
          <w:marBottom w:val="0"/>
          <w:divBdr>
            <w:top w:val="none" w:sz="0" w:space="0" w:color="auto"/>
            <w:left w:val="none" w:sz="0" w:space="0" w:color="auto"/>
            <w:bottom w:val="none" w:sz="0" w:space="0" w:color="auto"/>
            <w:right w:val="none" w:sz="0" w:space="0" w:color="auto"/>
          </w:divBdr>
        </w:div>
        <w:div w:id="1542472368">
          <w:marLeft w:val="640"/>
          <w:marRight w:val="0"/>
          <w:marTop w:val="0"/>
          <w:marBottom w:val="0"/>
          <w:divBdr>
            <w:top w:val="none" w:sz="0" w:space="0" w:color="auto"/>
            <w:left w:val="none" w:sz="0" w:space="0" w:color="auto"/>
            <w:bottom w:val="none" w:sz="0" w:space="0" w:color="auto"/>
            <w:right w:val="none" w:sz="0" w:space="0" w:color="auto"/>
          </w:divBdr>
        </w:div>
        <w:div w:id="2067021950">
          <w:marLeft w:val="640"/>
          <w:marRight w:val="0"/>
          <w:marTop w:val="0"/>
          <w:marBottom w:val="0"/>
          <w:divBdr>
            <w:top w:val="none" w:sz="0" w:space="0" w:color="auto"/>
            <w:left w:val="none" w:sz="0" w:space="0" w:color="auto"/>
            <w:bottom w:val="none" w:sz="0" w:space="0" w:color="auto"/>
            <w:right w:val="none" w:sz="0" w:space="0" w:color="auto"/>
          </w:divBdr>
        </w:div>
        <w:div w:id="840201036">
          <w:marLeft w:val="640"/>
          <w:marRight w:val="0"/>
          <w:marTop w:val="0"/>
          <w:marBottom w:val="0"/>
          <w:divBdr>
            <w:top w:val="none" w:sz="0" w:space="0" w:color="auto"/>
            <w:left w:val="none" w:sz="0" w:space="0" w:color="auto"/>
            <w:bottom w:val="none" w:sz="0" w:space="0" w:color="auto"/>
            <w:right w:val="none" w:sz="0" w:space="0" w:color="auto"/>
          </w:divBdr>
        </w:div>
        <w:div w:id="1466125082">
          <w:marLeft w:val="640"/>
          <w:marRight w:val="0"/>
          <w:marTop w:val="0"/>
          <w:marBottom w:val="0"/>
          <w:divBdr>
            <w:top w:val="none" w:sz="0" w:space="0" w:color="auto"/>
            <w:left w:val="none" w:sz="0" w:space="0" w:color="auto"/>
            <w:bottom w:val="none" w:sz="0" w:space="0" w:color="auto"/>
            <w:right w:val="none" w:sz="0" w:space="0" w:color="auto"/>
          </w:divBdr>
        </w:div>
        <w:div w:id="877401148">
          <w:marLeft w:val="640"/>
          <w:marRight w:val="0"/>
          <w:marTop w:val="0"/>
          <w:marBottom w:val="0"/>
          <w:divBdr>
            <w:top w:val="none" w:sz="0" w:space="0" w:color="auto"/>
            <w:left w:val="none" w:sz="0" w:space="0" w:color="auto"/>
            <w:bottom w:val="none" w:sz="0" w:space="0" w:color="auto"/>
            <w:right w:val="none" w:sz="0" w:space="0" w:color="auto"/>
          </w:divBdr>
        </w:div>
        <w:div w:id="1194803204">
          <w:marLeft w:val="640"/>
          <w:marRight w:val="0"/>
          <w:marTop w:val="0"/>
          <w:marBottom w:val="0"/>
          <w:divBdr>
            <w:top w:val="none" w:sz="0" w:space="0" w:color="auto"/>
            <w:left w:val="none" w:sz="0" w:space="0" w:color="auto"/>
            <w:bottom w:val="none" w:sz="0" w:space="0" w:color="auto"/>
            <w:right w:val="none" w:sz="0" w:space="0" w:color="auto"/>
          </w:divBdr>
        </w:div>
        <w:div w:id="2141726646">
          <w:marLeft w:val="640"/>
          <w:marRight w:val="0"/>
          <w:marTop w:val="0"/>
          <w:marBottom w:val="0"/>
          <w:divBdr>
            <w:top w:val="none" w:sz="0" w:space="0" w:color="auto"/>
            <w:left w:val="none" w:sz="0" w:space="0" w:color="auto"/>
            <w:bottom w:val="none" w:sz="0" w:space="0" w:color="auto"/>
            <w:right w:val="none" w:sz="0" w:space="0" w:color="auto"/>
          </w:divBdr>
        </w:div>
        <w:div w:id="393040559">
          <w:marLeft w:val="640"/>
          <w:marRight w:val="0"/>
          <w:marTop w:val="0"/>
          <w:marBottom w:val="0"/>
          <w:divBdr>
            <w:top w:val="none" w:sz="0" w:space="0" w:color="auto"/>
            <w:left w:val="none" w:sz="0" w:space="0" w:color="auto"/>
            <w:bottom w:val="none" w:sz="0" w:space="0" w:color="auto"/>
            <w:right w:val="none" w:sz="0" w:space="0" w:color="auto"/>
          </w:divBdr>
        </w:div>
        <w:div w:id="338628143">
          <w:marLeft w:val="640"/>
          <w:marRight w:val="0"/>
          <w:marTop w:val="0"/>
          <w:marBottom w:val="0"/>
          <w:divBdr>
            <w:top w:val="none" w:sz="0" w:space="0" w:color="auto"/>
            <w:left w:val="none" w:sz="0" w:space="0" w:color="auto"/>
            <w:bottom w:val="none" w:sz="0" w:space="0" w:color="auto"/>
            <w:right w:val="none" w:sz="0" w:space="0" w:color="auto"/>
          </w:divBdr>
        </w:div>
        <w:div w:id="1057628645">
          <w:marLeft w:val="640"/>
          <w:marRight w:val="0"/>
          <w:marTop w:val="0"/>
          <w:marBottom w:val="0"/>
          <w:divBdr>
            <w:top w:val="none" w:sz="0" w:space="0" w:color="auto"/>
            <w:left w:val="none" w:sz="0" w:space="0" w:color="auto"/>
            <w:bottom w:val="none" w:sz="0" w:space="0" w:color="auto"/>
            <w:right w:val="none" w:sz="0" w:space="0" w:color="auto"/>
          </w:divBdr>
        </w:div>
        <w:div w:id="1534729661">
          <w:marLeft w:val="640"/>
          <w:marRight w:val="0"/>
          <w:marTop w:val="0"/>
          <w:marBottom w:val="0"/>
          <w:divBdr>
            <w:top w:val="none" w:sz="0" w:space="0" w:color="auto"/>
            <w:left w:val="none" w:sz="0" w:space="0" w:color="auto"/>
            <w:bottom w:val="none" w:sz="0" w:space="0" w:color="auto"/>
            <w:right w:val="none" w:sz="0" w:space="0" w:color="auto"/>
          </w:divBdr>
        </w:div>
        <w:div w:id="2036148926">
          <w:marLeft w:val="640"/>
          <w:marRight w:val="0"/>
          <w:marTop w:val="0"/>
          <w:marBottom w:val="0"/>
          <w:divBdr>
            <w:top w:val="none" w:sz="0" w:space="0" w:color="auto"/>
            <w:left w:val="none" w:sz="0" w:space="0" w:color="auto"/>
            <w:bottom w:val="none" w:sz="0" w:space="0" w:color="auto"/>
            <w:right w:val="none" w:sz="0" w:space="0" w:color="auto"/>
          </w:divBdr>
        </w:div>
        <w:div w:id="1110508018">
          <w:marLeft w:val="640"/>
          <w:marRight w:val="0"/>
          <w:marTop w:val="0"/>
          <w:marBottom w:val="0"/>
          <w:divBdr>
            <w:top w:val="none" w:sz="0" w:space="0" w:color="auto"/>
            <w:left w:val="none" w:sz="0" w:space="0" w:color="auto"/>
            <w:bottom w:val="none" w:sz="0" w:space="0" w:color="auto"/>
            <w:right w:val="none" w:sz="0" w:space="0" w:color="auto"/>
          </w:divBdr>
        </w:div>
        <w:div w:id="671378652">
          <w:marLeft w:val="640"/>
          <w:marRight w:val="0"/>
          <w:marTop w:val="0"/>
          <w:marBottom w:val="0"/>
          <w:divBdr>
            <w:top w:val="none" w:sz="0" w:space="0" w:color="auto"/>
            <w:left w:val="none" w:sz="0" w:space="0" w:color="auto"/>
            <w:bottom w:val="none" w:sz="0" w:space="0" w:color="auto"/>
            <w:right w:val="none" w:sz="0" w:space="0" w:color="auto"/>
          </w:divBdr>
        </w:div>
        <w:div w:id="1547177311">
          <w:marLeft w:val="640"/>
          <w:marRight w:val="0"/>
          <w:marTop w:val="0"/>
          <w:marBottom w:val="0"/>
          <w:divBdr>
            <w:top w:val="none" w:sz="0" w:space="0" w:color="auto"/>
            <w:left w:val="none" w:sz="0" w:space="0" w:color="auto"/>
            <w:bottom w:val="none" w:sz="0" w:space="0" w:color="auto"/>
            <w:right w:val="none" w:sz="0" w:space="0" w:color="auto"/>
          </w:divBdr>
        </w:div>
        <w:div w:id="187570076">
          <w:marLeft w:val="640"/>
          <w:marRight w:val="0"/>
          <w:marTop w:val="0"/>
          <w:marBottom w:val="0"/>
          <w:divBdr>
            <w:top w:val="none" w:sz="0" w:space="0" w:color="auto"/>
            <w:left w:val="none" w:sz="0" w:space="0" w:color="auto"/>
            <w:bottom w:val="none" w:sz="0" w:space="0" w:color="auto"/>
            <w:right w:val="none" w:sz="0" w:space="0" w:color="auto"/>
          </w:divBdr>
        </w:div>
        <w:div w:id="1481649232">
          <w:marLeft w:val="640"/>
          <w:marRight w:val="0"/>
          <w:marTop w:val="0"/>
          <w:marBottom w:val="0"/>
          <w:divBdr>
            <w:top w:val="none" w:sz="0" w:space="0" w:color="auto"/>
            <w:left w:val="none" w:sz="0" w:space="0" w:color="auto"/>
            <w:bottom w:val="none" w:sz="0" w:space="0" w:color="auto"/>
            <w:right w:val="none" w:sz="0" w:space="0" w:color="auto"/>
          </w:divBdr>
        </w:div>
        <w:div w:id="169561295">
          <w:marLeft w:val="640"/>
          <w:marRight w:val="0"/>
          <w:marTop w:val="0"/>
          <w:marBottom w:val="0"/>
          <w:divBdr>
            <w:top w:val="none" w:sz="0" w:space="0" w:color="auto"/>
            <w:left w:val="none" w:sz="0" w:space="0" w:color="auto"/>
            <w:bottom w:val="none" w:sz="0" w:space="0" w:color="auto"/>
            <w:right w:val="none" w:sz="0" w:space="0" w:color="auto"/>
          </w:divBdr>
        </w:div>
        <w:div w:id="1049500072">
          <w:marLeft w:val="640"/>
          <w:marRight w:val="0"/>
          <w:marTop w:val="0"/>
          <w:marBottom w:val="0"/>
          <w:divBdr>
            <w:top w:val="none" w:sz="0" w:space="0" w:color="auto"/>
            <w:left w:val="none" w:sz="0" w:space="0" w:color="auto"/>
            <w:bottom w:val="none" w:sz="0" w:space="0" w:color="auto"/>
            <w:right w:val="none" w:sz="0" w:space="0" w:color="auto"/>
          </w:divBdr>
        </w:div>
        <w:div w:id="1204564945">
          <w:marLeft w:val="640"/>
          <w:marRight w:val="0"/>
          <w:marTop w:val="0"/>
          <w:marBottom w:val="0"/>
          <w:divBdr>
            <w:top w:val="none" w:sz="0" w:space="0" w:color="auto"/>
            <w:left w:val="none" w:sz="0" w:space="0" w:color="auto"/>
            <w:bottom w:val="none" w:sz="0" w:space="0" w:color="auto"/>
            <w:right w:val="none" w:sz="0" w:space="0" w:color="auto"/>
          </w:divBdr>
        </w:div>
        <w:div w:id="1947229391">
          <w:marLeft w:val="640"/>
          <w:marRight w:val="0"/>
          <w:marTop w:val="0"/>
          <w:marBottom w:val="0"/>
          <w:divBdr>
            <w:top w:val="none" w:sz="0" w:space="0" w:color="auto"/>
            <w:left w:val="none" w:sz="0" w:space="0" w:color="auto"/>
            <w:bottom w:val="none" w:sz="0" w:space="0" w:color="auto"/>
            <w:right w:val="none" w:sz="0" w:space="0" w:color="auto"/>
          </w:divBdr>
        </w:div>
        <w:div w:id="204802872">
          <w:marLeft w:val="640"/>
          <w:marRight w:val="0"/>
          <w:marTop w:val="0"/>
          <w:marBottom w:val="0"/>
          <w:divBdr>
            <w:top w:val="none" w:sz="0" w:space="0" w:color="auto"/>
            <w:left w:val="none" w:sz="0" w:space="0" w:color="auto"/>
            <w:bottom w:val="none" w:sz="0" w:space="0" w:color="auto"/>
            <w:right w:val="none" w:sz="0" w:space="0" w:color="auto"/>
          </w:divBdr>
        </w:div>
        <w:div w:id="1816724785">
          <w:marLeft w:val="640"/>
          <w:marRight w:val="0"/>
          <w:marTop w:val="0"/>
          <w:marBottom w:val="0"/>
          <w:divBdr>
            <w:top w:val="none" w:sz="0" w:space="0" w:color="auto"/>
            <w:left w:val="none" w:sz="0" w:space="0" w:color="auto"/>
            <w:bottom w:val="none" w:sz="0" w:space="0" w:color="auto"/>
            <w:right w:val="none" w:sz="0" w:space="0" w:color="auto"/>
          </w:divBdr>
        </w:div>
        <w:div w:id="1012686944">
          <w:marLeft w:val="640"/>
          <w:marRight w:val="0"/>
          <w:marTop w:val="0"/>
          <w:marBottom w:val="0"/>
          <w:divBdr>
            <w:top w:val="none" w:sz="0" w:space="0" w:color="auto"/>
            <w:left w:val="none" w:sz="0" w:space="0" w:color="auto"/>
            <w:bottom w:val="none" w:sz="0" w:space="0" w:color="auto"/>
            <w:right w:val="none" w:sz="0" w:space="0" w:color="auto"/>
          </w:divBdr>
        </w:div>
        <w:div w:id="1522165300">
          <w:marLeft w:val="640"/>
          <w:marRight w:val="0"/>
          <w:marTop w:val="0"/>
          <w:marBottom w:val="0"/>
          <w:divBdr>
            <w:top w:val="none" w:sz="0" w:space="0" w:color="auto"/>
            <w:left w:val="none" w:sz="0" w:space="0" w:color="auto"/>
            <w:bottom w:val="none" w:sz="0" w:space="0" w:color="auto"/>
            <w:right w:val="none" w:sz="0" w:space="0" w:color="auto"/>
          </w:divBdr>
        </w:div>
        <w:div w:id="30884356">
          <w:marLeft w:val="640"/>
          <w:marRight w:val="0"/>
          <w:marTop w:val="0"/>
          <w:marBottom w:val="0"/>
          <w:divBdr>
            <w:top w:val="none" w:sz="0" w:space="0" w:color="auto"/>
            <w:left w:val="none" w:sz="0" w:space="0" w:color="auto"/>
            <w:bottom w:val="none" w:sz="0" w:space="0" w:color="auto"/>
            <w:right w:val="none" w:sz="0" w:space="0" w:color="auto"/>
          </w:divBdr>
        </w:div>
        <w:div w:id="920453622">
          <w:marLeft w:val="640"/>
          <w:marRight w:val="0"/>
          <w:marTop w:val="0"/>
          <w:marBottom w:val="0"/>
          <w:divBdr>
            <w:top w:val="none" w:sz="0" w:space="0" w:color="auto"/>
            <w:left w:val="none" w:sz="0" w:space="0" w:color="auto"/>
            <w:bottom w:val="none" w:sz="0" w:space="0" w:color="auto"/>
            <w:right w:val="none" w:sz="0" w:space="0" w:color="auto"/>
          </w:divBdr>
        </w:div>
        <w:div w:id="1050153383">
          <w:marLeft w:val="640"/>
          <w:marRight w:val="0"/>
          <w:marTop w:val="0"/>
          <w:marBottom w:val="0"/>
          <w:divBdr>
            <w:top w:val="none" w:sz="0" w:space="0" w:color="auto"/>
            <w:left w:val="none" w:sz="0" w:space="0" w:color="auto"/>
            <w:bottom w:val="none" w:sz="0" w:space="0" w:color="auto"/>
            <w:right w:val="none" w:sz="0" w:space="0" w:color="auto"/>
          </w:divBdr>
        </w:div>
        <w:div w:id="1234852330">
          <w:marLeft w:val="640"/>
          <w:marRight w:val="0"/>
          <w:marTop w:val="0"/>
          <w:marBottom w:val="0"/>
          <w:divBdr>
            <w:top w:val="none" w:sz="0" w:space="0" w:color="auto"/>
            <w:left w:val="none" w:sz="0" w:space="0" w:color="auto"/>
            <w:bottom w:val="none" w:sz="0" w:space="0" w:color="auto"/>
            <w:right w:val="none" w:sz="0" w:space="0" w:color="auto"/>
          </w:divBdr>
        </w:div>
        <w:div w:id="314263059">
          <w:marLeft w:val="640"/>
          <w:marRight w:val="0"/>
          <w:marTop w:val="0"/>
          <w:marBottom w:val="0"/>
          <w:divBdr>
            <w:top w:val="none" w:sz="0" w:space="0" w:color="auto"/>
            <w:left w:val="none" w:sz="0" w:space="0" w:color="auto"/>
            <w:bottom w:val="none" w:sz="0" w:space="0" w:color="auto"/>
            <w:right w:val="none" w:sz="0" w:space="0" w:color="auto"/>
          </w:divBdr>
        </w:div>
        <w:div w:id="1798600341">
          <w:marLeft w:val="640"/>
          <w:marRight w:val="0"/>
          <w:marTop w:val="0"/>
          <w:marBottom w:val="0"/>
          <w:divBdr>
            <w:top w:val="none" w:sz="0" w:space="0" w:color="auto"/>
            <w:left w:val="none" w:sz="0" w:space="0" w:color="auto"/>
            <w:bottom w:val="none" w:sz="0" w:space="0" w:color="auto"/>
            <w:right w:val="none" w:sz="0" w:space="0" w:color="auto"/>
          </w:divBdr>
        </w:div>
        <w:div w:id="1438059337">
          <w:marLeft w:val="640"/>
          <w:marRight w:val="0"/>
          <w:marTop w:val="0"/>
          <w:marBottom w:val="0"/>
          <w:divBdr>
            <w:top w:val="none" w:sz="0" w:space="0" w:color="auto"/>
            <w:left w:val="none" w:sz="0" w:space="0" w:color="auto"/>
            <w:bottom w:val="none" w:sz="0" w:space="0" w:color="auto"/>
            <w:right w:val="none" w:sz="0" w:space="0" w:color="auto"/>
          </w:divBdr>
        </w:div>
        <w:div w:id="1841970097">
          <w:marLeft w:val="640"/>
          <w:marRight w:val="0"/>
          <w:marTop w:val="0"/>
          <w:marBottom w:val="0"/>
          <w:divBdr>
            <w:top w:val="none" w:sz="0" w:space="0" w:color="auto"/>
            <w:left w:val="none" w:sz="0" w:space="0" w:color="auto"/>
            <w:bottom w:val="none" w:sz="0" w:space="0" w:color="auto"/>
            <w:right w:val="none" w:sz="0" w:space="0" w:color="auto"/>
          </w:divBdr>
        </w:div>
        <w:div w:id="525556709">
          <w:marLeft w:val="640"/>
          <w:marRight w:val="0"/>
          <w:marTop w:val="0"/>
          <w:marBottom w:val="0"/>
          <w:divBdr>
            <w:top w:val="none" w:sz="0" w:space="0" w:color="auto"/>
            <w:left w:val="none" w:sz="0" w:space="0" w:color="auto"/>
            <w:bottom w:val="none" w:sz="0" w:space="0" w:color="auto"/>
            <w:right w:val="none" w:sz="0" w:space="0" w:color="auto"/>
          </w:divBdr>
        </w:div>
        <w:div w:id="246311580">
          <w:marLeft w:val="640"/>
          <w:marRight w:val="0"/>
          <w:marTop w:val="0"/>
          <w:marBottom w:val="0"/>
          <w:divBdr>
            <w:top w:val="none" w:sz="0" w:space="0" w:color="auto"/>
            <w:left w:val="none" w:sz="0" w:space="0" w:color="auto"/>
            <w:bottom w:val="none" w:sz="0" w:space="0" w:color="auto"/>
            <w:right w:val="none" w:sz="0" w:space="0" w:color="auto"/>
          </w:divBdr>
        </w:div>
        <w:div w:id="177278301">
          <w:marLeft w:val="640"/>
          <w:marRight w:val="0"/>
          <w:marTop w:val="0"/>
          <w:marBottom w:val="0"/>
          <w:divBdr>
            <w:top w:val="none" w:sz="0" w:space="0" w:color="auto"/>
            <w:left w:val="none" w:sz="0" w:space="0" w:color="auto"/>
            <w:bottom w:val="none" w:sz="0" w:space="0" w:color="auto"/>
            <w:right w:val="none" w:sz="0" w:space="0" w:color="auto"/>
          </w:divBdr>
        </w:div>
        <w:div w:id="698434112">
          <w:marLeft w:val="640"/>
          <w:marRight w:val="0"/>
          <w:marTop w:val="0"/>
          <w:marBottom w:val="0"/>
          <w:divBdr>
            <w:top w:val="none" w:sz="0" w:space="0" w:color="auto"/>
            <w:left w:val="none" w:sz="0" w:space="0" w:color="auto"/>
            <w:bottom w:val="none" w:sz="0" w:space="0" w:color="auto"/>
            <w:right w:val="none" w:sz="0" w:space="0" w:color="auto"/>
          </w:divBdr>
        </w:div>
        <w:div w:id="935479908">
          <w:marLeft w:val="640"/>
          <w:marRight w:val="0"/>
          <w:marTop w:val="0"/>
          <w:marBottom w:val="0"/>
          <w:divBdr>
            <w:top w:val="none" w:sz="0" w:space="0" w:color="auto"/>
            <w:left w:val="none" w:sz="0" w:space="0" w:color="auto"/>
            <w:bottom w:val="none" w:sz="0" w:space="0" w:color="auto"/>
            <w:right w:val="none" w:sz="0" w:space="0" w:color="auto"/>
          </w:divBdr>
        </w:div>
        <w:div w:id="2033148371">
          <w:marLeft w:val="640"/>
          <w:marRight w:val="0"/>
          <w:marTop w:val="0"/>
          <w:marBottom w:val="0"/>
          <w:divBdr>
            <w:top w:val="none" w:sz="0" w:space="0" w:color="auto"/>
            <w:left w:val="none" w:sz="0" w:space="0" w:color="auto"/>
            <w:bottom w:val="none" w:sz="0" w:space="0" w:color="auto"/>
            <w:right w:val="none" w:sz="0" w:space="0" w:color="auto"/>
          </w:divBdr>
        </w:div>
        <w:div w:id="314988577">
          <w:marLeft w:val="640"/>
          <w:marRight w:val="0"/>
          <w:marTop w:val="0"/>
          <w:marBottom w:val="0"/>
          <w:divBdr>
            <w:top w:val="none" w:sz="0" w:space="0" w:color="auto"/>
            <w:left w:val="none" w:sz="0" w:space="0" w:color="auto"/>
            <w:bottom w:val="none" w:sz="0" w:space="0" w:color="auto"/>
            <w:right w:val="none" w:sz="0" w:space="0" w:color="auto"/>
          </w:divBdr>
        </w:div>
        <w:div w:id="2096126198">
          <w:marLeft w:val="640"/>
          <w:marRight w:val="0"/>
          <w:marTop w:val="0"/>
          <w:marBottom w:val="0"/>
          <w:divBdr>
            <w:top w:val="none" w:sz="0" w:space="0" w:color="auto"/>
            <w:left w:val="none" w:sz="0" w:space="0" w:color="auto"/>
            <w:bottom w:val="none" w:sz="0" w:space="0" w:color="auto"/>
            <w:right w:val="none" w:sz="0" w:space="0" w:color="auto"/>
          </w:divBdr>
        </w:div>
        <w:div w:id="1844279764">
          <w:marLeft w:val="640"/>
          <w:marRight w:val="0"/>
          <w:marTop w:val="0"/>
          <w:marBottom w:val="0"/>
          <w:divBdr>
            <w:top w:val="none" w:sz="0" w:space="0" w:color="auto"/>
            <w:left w:val="none" w:sz="0" w:space="0" w:color="auto"/>
            <w:bottom w:val="none" w:sz="0" w:space="0" w:color="auto"/>
            <w:right w:val="none" w:sz="0" w:space="0" w:color="auto"/>
          </w:divBdr>
        </w:div>
        <w:div w:id="1969512759">
          <w:marLeft w:val="640"/>
          <w:marRight w:val="0"/>
          <w:marTop w:val="0"/>
          <w:marBottom w:val="0"/>
          <w:divBdr>
            <w:top w:val="none" w:sz="0" w:space="0" w:color="auto"/>
            <w:left w:val="none" w:sz="0" w:space="0" w:color="auto"/>
            <w:bottom w:val="none" w:sz="0" w:space="0" w:color="auto"/>
            <w:right w:val="none" w:sz="0" w:space="0" w:color="auto"/>
          </w:divBdr>
        </w:div>
        <w:div w:id="514416788">
          <w:marLeft w:val="640"/>
          <w:marRight w:val="0"/>
          <w:marTop w:val="0"/>
          <w:marBottom w:val="0"/>
          <w:divBdr>
            <w:top w:val="none" w:sz="0" w:space="0" w:color="auto"/>
            <w:left w:val="none" w:sz="0" w:space="0" w:color="auto"/>
            <w:bottom w:val="none" w:sz="0" w:space="0" w:color="auto"/>
            <w:right w:val="none" w:sz="0" w:space="0" w:color="auto"/>
          </w:divBdr>
        </w:div>
        <w:div w:id="583957711">
          <w:marLeft w:val="640"/>
          <w:marRight w:val="0"/>
          <w:marTop w:val="0"/>
          <w:marBottom w:val="0"/>
          <w:divBdr>
            <w:top w:val="none" w:sz="0" w:space="0" w:color="auto"/>
            <w:left w:val="none" w:sz="0" w:space="0" w:color="auto"/>
            <w:bottom w:val="none" w:sz="0" w:space="0" w:color="auto"/>
            <w:right w:val="none" w:sz="0" w:space="0" w:color="auto"/>
          </w:divBdr>
        </w:div>
        <w:div w:id="953757020">
          <w:marLeft w:val="640"/>
          <w:marRight w:val="0"/>
          <w:marTop w:val="0"/>
          <w:marBottom w:val="0"/>
          <w:divBdr>
            <w:top w:val="none" w:sz="0" w:space="0" w:color="auto"/>
            <w:left w:val="none" w:sz="0" w:space="0" w:color="auto"/>
            <w:bottom w:val="none" w:sz="0" w:space="0" w:color="auto"/>
            <w:right w:val="none" w:sz="0" w:space="0" w:color="auto"/>
          </w:divBdr>
        </w:div>
        <w:div w:id="949160960">
          <w:marLeft w:val="640"/>
          <w:marRight w:val="0"/>
          <w:marTop w:val="0"/>
          <w:marBottom w:val="0"/>
          <w:divBdr>
            <w:top w:val="none" w:sz="0" w:space="0" w:color="auto"/>
            <w:left w:val="none" w:sz="0" w:space="0" w:color="auto"/>
            <w:bottom w:val="none" w:sz="0" w:space="0" w:color="auto"/>
            <w:right w:val="none" w:sz="0" w:space="0" w:color="auto"/>
          </w:divBdr>
        </w:div>
        <w:div w:id="1576814346">
          <w:marLeft w:val="640"/>
          <w:marRight w:val="0"/>
          <w:marTop w:val="0"/>
          <w:marBottom w:val="0"/>
          <w:divBdr>
            <w:top w:val="none" w:sz="0" w:space="0" w:color="auto"/>
            <w:left w:val="none" w:sz="0" w:space="0" w:color="auto"/>
            <w:bottom w:val="none" w:sz="0" w:space="0" w:color="auto"/>
            <w:right w:val="none" w:sz="0" w:space="0" w:color="auto"/>
          </w:divBdr>
        </w:div>
        <w:div w:id="1567689375">
          <w:marLeft w:val="640"/>
          <w:marRight w:val="0"/>
          <w:marTop w:val="0"/>
          <w:marBottom w:val="0"/>
          <w:divBdr>
            <w:top w:val="none" w:sz="0" w:space="0" w:color="auto"/>
            <w:left w:val="none" w:sz="0" w:space="0" w:color="auto"/>
            <w:bottom w:val="none" w:sz="0" w:space="0" w:color="auto"/>
            <w:right w:val="none" w:sz="0" w:space="0" w:color="auto"/>
          </w:divBdr>
        </w:div>
        <w:div w:id="18316682">
          <w:marLeft w:val="640"/>
          <w:marRight w:val="0"/>
          <w:marTop w:val="0"/>
          <w:marBottom w:val="0"/>
          <w:divBdr>
            <w:top w:val="none" w:sz="0" w:space="0" w:color="auto"/>
            <w:left w:val="none" w:sz="0" w:space="0" w:color="auto"/>
            <w:bottom w:val="none" w:sz="0" w:space="0" w:color="auto"/>
            <w:right w:val="none" w:sz="0" w:space="0" w:color="auto"/>
          </w:divBdr>
        </w:div>
        <w:div w:id="1008095108">
          <w:marLeft w:val="640"/>
          <w:marRight w:val="0"/>
          <w:marTop w:val="0"/>
          <w:marBottom w:val="0"/>
          <w:divBdr>
            <w:top w:val="none" w:sz="0" w:space="0" w:color="auto"/>
            <w:left w:val="none" w:sz="0" w:space="0" w:color="auto"/>
            <w:bottom w:val="none" w:sz="0" w:space="0" w:color="auto"/>
            <w:right w:val="none" w:sz="0" w:space="0" w:color="auto"/>
          </w:divBdr>
        </w:div>
        <w:div w:id="435948719">
          <w:marLeft w:val="640"/>
          <w:marRight w:val="0"/>
          <w:marTop w:val="0"/>
          <w:marBottom w:val="0"/>
          <w:divBdr>
            <w:top w:val="none" w:sz="0" w:space="0" w:color="auto"/>
            <w:left w:val="none" w:sz="0" w:space="0" w:color="auto"/>
            <w:bottom w:val="none" w:sz="0" w:space="0" w:color="auto"/>
            <w:right w:val="none" w:sz="0" w:space="0" w:color="auto"/>
          </w:divBdr>
        </w:div>
        <w:div w:id="378238209">
          <w:marLeft w:val="640"/>
          <w:marRight w:val="0"/>
          <w:marTop w:val="0"/>
          <w:marBottom w:val="0"/>
          <w:divBdr>
            <w:top w:val="none" w:sz="0" w:space="0" w:color="auto"/>
            <w:left w:val="none" w:sz="0" w:space="0" w:color="auto"/>
            <w:bottom w:val="none" w:sz="0" w:space="0" w:color="auto"/>
            <w:right w:val="none" w:sz="0" w:space="0" w:color="auto"/>
          </w:divBdr>
        </w:div>
        <w:div w:id="1193419730">
          <w:marLeft w:val="640"/>
          <w:marRight w:val="0"/>
          <w:marTop w:val="0"/>
          <w:marBottom w:val="0"/>
          <w:divBdr>
            <w:top w:val="none" w:sz="0" w:space="0" w:color="auto"/>
            <w:left w:val="none" w:sz="0" w:space="0" w:color="auto"/>
            <w:bottom w:val="none" w:sz="0" w:space="0" w:color="auto"/>
            <w:right w:val="none" w:sz="0" w:space="0" w:color="auto"/>
          </w:divBdr>
        </w:div>
        <w:div w:id="1281034404">
          <w:marLeft w:val="640"/>
          <w:marRight w:val="0"/>
          <w:marTop w:val="0"/>
          <w:marBottom w:val="0"/>
          <w:divBdr>
            <w:top w:val="none" w:sz="0" w:space="0" w:color="auto"/>
            <w:left w:val="none" w:sz="0" w:space="0" w:color="auto"/>
            <w:bottom w:val="none" w:sz="0" w:space="0" w:color="auto"/>
            <w:right w:val="none" w:sz="0" w:space="0" w:color="auto"/>
          </w:divBdr>
        </w:div>
        <w:div w:id="77748829">
          <w:marLeft w:val="640"/>
          <w:marRight w:val="0"/>
          <w:marTop w:val="0"/>
          <w:marBottom w:val="0"/>
          <w:divBdr>
            <w:top w:val="none" w:sz="0" w:space="0" w:color="auto"/>
            <w:left w:val="none" w:sz="0" w:space="0" w:color="auto"/>
            <w:bottom w:val="none" w:sz="0" w:space="0" w:color="auto"/>
            <w:right w:val="none" w:sz="0" w:space="0" w:color="auto"/>
          </w:divBdr>
        </w:div>
        <w:div w:id="1308631335">
          <w:marLeft w:val="640"/>
          <w:marRight w:val="0"/>
          <w:marTop w:val="0"/>
          <w:marBottom w:val="0"/>
          <w:divBdr>
            <w:top w:val="none" w:sz="0" w:space="0" w:color="auto"/>
            <w:left w:val="none" w:sz="0" w:space="0" w:color="auto"/>
            <w:bottom w:val="none" w:sz="0" w:space="0" w:color="auto"/>
            <w:right w:val="none" w:sz="0" w:space="0" w:color="auto"/>
          </w:divBdr>
        </w:div>
        <w:div w:id="1593247552">
          <w:marLeft w:val="640"/>
          <w:marRight w:val="0"/>
          <w:marTop w:val="0"/>
          <w:marBottom w:val="0"/>
          <w:divBdr>
            <w:top w:val="none" w:sz="0" w:space="0" w:color="auto"/>
            <w:left w:val="none" w:sz="0" w:space="0" w:color="auto"/>
            <w:bottom w:val="none" w:sz="0" w:space="0" w:color="auto"/>
            <w:right w:val="none" w:sz="0" w:space="0" w:color="auto"/>
          </w:divBdr>
        </w:div>
        <w:div w:id="525675323">
          <w:marLeft w:val="640"/>
          <w:marRight w:val="0"/>
          <w:marTop w:val="0"/>
          <w:marBottom w:val="0"/>
          <w:divBdr>
            <w:top w:val="none" w:sz="0" w:space="0" w:color="auto"/>
            <w:left w:val="none" w:sz="0" w:space="0" w:color="auto"/>
            <w:bottom w:val="none" w:sz="0" w:space="0" w:color="auto"/>
            <w:right w:val="none" w:sz="0" w:space="0" w:color="auto"/>
          </w:divBdr>
        </w:div>
        <w:div w:id="2016348128">
          <w:marLeft w:val="640"/>
          <w:marRight w:val="0"/>
          <w:marTop w:val="0"/>
          <w:marBottom w:val="0"/>
          <w:divBdr>
            <w:top w:val="none" w:sz="0" w:space="0" w:color="auto"/>
            <w:left w:val="none" w:sz="0" w:space="0" w:color="auto"/>
            <w:bottom w:val="none" w:sz="0" w:space="0" w:color="auto"/>
            <w:right w:val="none" w:sz="0" w:space="0" w:color="auto"/>
          </w:divBdr>
        </w:div>
        <w:div w:id="892227833">
          <w:marLeft w:val="640"/>
          <w:marRight w:val="0"/>
          <w:marTop w:val="0"/>
          <w:marBottom w:val="0"/>
          <w:divBdr>
            <w:top w:val="none" w:sz="0" w:space="0" w:color="auto"/>
            <w:left w:val="none" w:sz="0" w:space="0" w:color="auto"/>
            <w:bottom w:val="none" w:sz="0" w:space="0" w:color="auto"/>
            <w:right w:val="none" w:sz="0" w:space="0" w:color="auto"/>
          </w:divBdr>
        </w:div>
        <w:div w:id="137502562">
          <w:marLeft w:val="640"/>
          <w:marRight w:val="0"/>
          <w:marTop w:val="0"/>
          <w:marBottom w:val="0"/>
          <w:divBdr>
            <w:top w:val="none" w:sz="0" w:space="0" w:color="auto"/>
            <w:left w:val="none" w:sz="0" w:space="0" w:color="auto"/>
            <w:bottom w:val="none" w:sz="0" w:space="0" w:color="auto"/>
            <w:right w:val="none" w:sz="0" w:space="0" w:color="auto"/>
          </w:divBdr>
        </w:div>
        <w:div w:id="211574363">
          <w:marLeft w:val="640"/>
          <w:marRight w:val="0"/>
          <w:marTop w:val="0"/>
          <w:marBottom w:val="0"/>
          <w:divBdr>
            <w:top w:val="none" w:sz="0" w:space="0" w:color="auto"/>
            <w:left w:val="none" w:sz="0" w:space="0" w:color="auto"/>
            <w:bottom w:val="none" w:sz="0" w:space="0" w:color="auto"/>
            <w:right w:val="none" w:sz="0" w:space="0" w:color="auto"/>
          </w:divBdr>
        </w:div>
        <w:div w:id="2101102970">
          <w:marLeft w:val="640"/>
          <w:marRight w:val="0"/>
          <w:marTop w:val="0"/>
          <w:marBottom w:val="0"/>
          <w:divBdr>
            <w:top w:val="none" w:sz="0" w:space="0" w:color="auto"/>
            <w:left w:val="none" w:sz="0" w:space="0" w:color="auto"/>
            <w:bottom w:val="none" w:sz="0" w:space="0" w:color="auto"/>
            <w:right w:val="none" w:sz="0" w:space="0" w:color="auto"/>
          </w:divBdr>
        </w:div>
        <w:div w:id="1775704216">
          <w:marLeft w:val="640"/>
          <w:marRight w:val="0"/>
          <w:marTop w:val="0"/>
          <w:marBottom w:val="0"/>
          <w:divBdr>
            <w:top w:val="none" w:sz="0" w:space="0" w:color="auto"/>
            <w:left w:val="none" w:sz="0" w:space="0" w:color="auto"/>
            <w:bottom w:val="none" w:sz="0" w:space="0" w:color="auto"/>
            <w:right w:val="none" w:sz="0" w:space="0" w:color="auto"/>
          </w:divBdr>
        </w:div>
        <w:div w:id="556084633">
          <w:marLeft w:val="640"/>
          <w:marRight w:val="0"/>
          <w:marTop w:val="0"/>
          <w:marBottom w:val="0"/>
          <w:divBdr>
            <w:top w:val="none" w:sz="0" w:space="0" w:color="auto"/>
            <w:left w:val="none" w:sz="0" w:space="0" w:color="auto"/>
            <w:bottom w:val="none" w:sz="0" w:space="0" w:color="auto"/>
            <w:right w:val="none" w:sz="0" w:space="0" w:color="auto"/>
          </w:divBdr>
        </w:div>
        <w:div w:id="1738629809">
          <w:marLeft w:val="640"/>
          <w:marRight w:val="0"/>
          <w:marTop w:val="0"/>
          <w:marBottom w:val="0"/>
          <w:divBdr>
            <w:top w:val="none" w:sz="0" w:space="0" w:color="auto"/>
            <w:left w:val="none" w:sz="0" w:space="0" w:color="auto"/>
            <w:bottom w:val="none" w:sz="0" w:space="0" w:color="auto"/>
            <w:right w:val="none" w:sz="0" w:space="0" w:color="auto"/>
          </w:divBdr>
        </w:div>
        <w:div w:id="998119208">
          <w:marLeft w:val="640"/>
          <w:marRight w:val="0"/>
          <w:marTop w:val="0"/>
          <w:marBottom w:val="0"/>
          <w:divBdr>
            <w:top w:val="none" w:sz="0" w:space="0" w:color="auto"/>
            <w:left w:val="none" w:sz="0" w:space="0" w:color="auto"/>
            <w:bottom w:val="none" w:sz="0" w:space="0" w:color="auto"/>
            <w:right w:val="none" w:sz="0" w:space="0" w:color="auto"/>
          </w:divBdr>
        </w:div>
        <w:div w:id="1812673274">
          <w:marLeft w:val="640"/>
          <w:marRight w:val="0"/>
          <w:marTop w:val="0"/>
          <w:marBottom w:val="0"/>
          <w:divBdr>
            <w:top w:val="none" w:sz="0" w:space="0" w:color="auto"/>
            <w:left w:val="none" w:sz="0" w:space="0" w:color="auto"/>
            <w:bottom w:val="none" w:sz="0" w:space="0" w:color="auto"/>
            <w:right w:val="none" w:sz="0" w:space="0" w:color="auto"/>
          </w:divBdr>
        </w:div>
        <w:div w:id="1141071896">
          <w:marLeft w:val="640"/>
          <w:marRight w:val="0"/>
          <w:marTop w:val="0"/>
          <w:marBottom w:val="0"/>
          <w:divBdr>
            <w:top w:val="none" w:sz="0" w:space="0" w:color="auto"/>
            <w:left w:val="none" w:sz="0" w:space="0" w:color="auto"/>
            <w:bottom w:val="none" w:sz="0" w:space="0" w:color="auto"/>
            <w:right w:val="none" w:sz="0" w:space="0" w:color="auto"/>
          </w:divBdr>
        </w:div>
        <w:div w:id="197201037">
          <w:marLeft w:val="640"/>
          <w:marRight w:val="0"/>
          <w:marTop w:val="0"/>
          <w:marBottom w:val="0"/>
          <w:divBdr>
            <w:top w:val="none" w:sz="0" w:space="0" w:color="auto"/>
            <w:left w:val="none" w:sz="0" w:space="0" w:color="auto"/>
            <w:bottom w:val="none" w:sz="0" w:space="0" w:color="auto"/>
            <w:right w:val="none" w:sz="0" w:space="0" w:color="auto"/>
          </w:divBdr>
        </w:div>
        <w:div w:id="2115710116">
          <w:marLeft w:val="640"/>
          <w:marRight w:val="0"/>
          <w:marTop w:val="0"/>
          <w:marBottom w:val="0"/>
          <w:divBdr>
            <w:top w:val="none" w:sz="0" w:space="0" w:color="auto"/>
            <w:left w:val="none" w:sz="0" w:space="0" w:color="auto"/>
            <w:bottom w:val="none" w:sz="0" w:space="0" w:color="auto"/>
            <w:right w:val="none" w:sz="0" w:space="0" w:color="auto"/>
          </w:divBdr>
        </w:div>
        <w:div w:id="834804673">
          <w:marLeft w:val="640"/>
          <w:marRight w:val="0"/>
          <w:marTop w:val="0"/>
          <w:marBottom w:val="0"/>
          <w:divBdr>
            <w:top w:val="none" w:sz="0" w:space="0" w:color="auto"/>
            <w:left w:val="none" w:sz="0" w:space="0" w:color="auto"/>
            <w:bottom w:val="none" w:sz="0" w:space="0" w:color="auto"/>
            <w:right w:val="none" w:sz="0" w:space="0" w:color="auto"/>
          </w:divBdr>
        </w:div>
        <w:div w:id="1237397954">
          <w:marLeft w:val="640"/>
          <w:marRight w:val="0"/>
          <w:marTop w:val="0"/>
          <w:marBottom w:val="0"/>
          <w:divBdr>
            <w:top w:val="none" w:sz="0" w:space="0" w:color="auto"/>
            <w:left w:val="none" w:sz="0" w:space="0" w:color="auto"/>
            <w:bottom w:val="none" w:sz="0" w:space="0" w:color="auto"/>
            <w:right w:val="none" w:sz="0" w:space="0" w:color="auto"/>
          </w:divBdr>
        </w:div>
        <w:div w:id="1835948579">
          <w:marLeft w:val="640"/>
          <w:marRight w:val="0"/>
          <w:marTop w:val="0"/>
          <w:marBottom w:val="0"/>
          <w:divBdr>
            <w:top w:val="none" w:sz="0" w:space="0" w:color="auto"/>
            <w:left w:val="none" w:sz="0" w:space="0" w:color="auto"/>
            <w:bottom w:val="none" w:sz="0" w:space="0" w:color="auto"/>
            <w:right w:val="none" w:sz="0" w:space="0" w:color="auto"/>
          </w:divBdr>
        </w:div>
        <w:div w:id="184514826">
          <w:marLeft w:val="640"/>
          <w:marRight w:val="0"/>
          <w:marTop w:val="0"/>
          <w:marBottom w:val="0"/>
          <w:divBdr>
            <w:top w:val="none" w:sz="0" w:space="0" w:color="auto"/>
            <w:left w:val="none" w:sz="0" w:space="0" w:color="auto"/>
            <w:bottom w:val="none" w:sz="0" w:space="0" w:color="auto"/>
            <w:right w:val="none" w:sz="0" w:space="0" w:color="auto"/>
          </w:divBdr>
        </w:div>
        <w:div w:id="837884919">
          <w:marLeft w:val="640"/>
          <w:marRight w:val="0"/>
          <w:marTop w:val="0"/>
          <w:marBottom w:val="0"/>
          <w:divBdr>
            <w:top w:val="none" w:sz="0" w:space="0" w:color="auto"/>
            <w:left w:val="none" w:sz="0" w:space="0" w:color="auto"/>
            <w:bottom w:val="none" w:sz="0" w:space="0" w:color="auto"/>
            <w:right w:val="none" w:sz="0" w:space="0" w:color="auto"/>
          </w:divBdr>
        </w:div>
        <w:div w:id="1763333491">
          <w:marLeft w:val="640"/>
          <w:marRight w:val="0"/>
          <w:marTop w:val="0"/>
          <w:marBottom w:val="0"/>
          <w:divBdr>
            <w:top w:val="none" w:sz="0" w:space="0" w:color="auto"/>
            <w:left w:val="none" w:sz="0" w:space="0" w:color="auto"/>
            <w:bottom w:val="none" w:sz="0" w:space="0" w:color="auto"/>
            <w:right w:val="none" w:sz="0" w:space="0" w:color="auto"/>
          </w:divBdr>
        </w:div>
        <w:div w:id="1305232659">
          <w:marLeft w:val="640"/>
          <w:marRight w:val="0"/>
          <w:marTop w:val="0"/>
          <w:marBottom w:val="0"/>
          <w:divBdr>
            <w:top w:val="none" w:sz="0" w:space="0" w:color="auto"/>
            <w:left w:val="none" w:sz="0" w:space="0" w:color="auto"/>
            <w:bottom w:val="none" w:sz="0" w:space="0" w:color="auto"/>
            <w:right w:val="none" w:sz="0" w:space="0" w:color="auto"/>
          </w:divBdr>
        </w:div>
        <w:div w:id="307903966">
          <w:marLeft w:val="640"/>
          <w:marRight w:val="0"/>
          <w:marTop w:val="0"/>
          <w:marBottom w:val="0"/>
          <w:divBdr>
            <w:top w:val="none" w:sz="0" w:space="0" w:color="auto"/>
            <w:left w:val="none" w:sz="0" w:space="0" w:color="auto"/>
            <w:bottom w:val="none" w:sz="0" w:space="0" w:color="auto"/>
            <w:right w:val="none" w:sz="0" w:space="0" w:color="auto"/>
          </w:divBdr>
        </w:div>
        <w:div w:id="183717996">
          <w:marLeft w:val="640"/>
          <w:marRight w:val="0"/>
          <w:marTop w:val="0"/>
          <w:marBottom w:val="0"/>
          <w:divBdr>
            <w:top w:val="none" w:sz="0" w:space="0" w:color="auto"/>
            <w:left w:val="none" w:sz="0" w:space="0" w:color="auto"/>
            <w:bottom w:val="none" w:sz="0" w:space="0" w:color="auto"/>
            <w:right w:val="none" w:sz="0" w:space="0" w:color="auto"/>
          </w:divBdr>
        </w:div>
        <w:div w:id="1653487346">
          <w:marLeft w:val="640"/>
          <w:marRight w:val="0"/>
          <w:marTop w:val="0"/>
          <w:marBottom w:val="0"/>
          <w:divBdr>
            <w:top w:val="none" w:sz="0" w:space="0" w:color="auto"/>
            <w:left w:val="none" w:sz="0" w:space="0" w:color="auto"/>
            <w:bottom w:val="none" w:sz="0" w:space="0" w:color="auto"/>
            <w:right w:val="none" w:sz="0" w:space="0" w:color="auto"/>
          </w:divBdr>
        </w:div>
        <w:div w:id="1731267165">
          <w:marLeft w:val="640"/>
          <w:marRight w:val="0"/>
          <w:marTop w:val="0"/>
          <w:marBottom w:val="0"/>
          <w:divBdr>
            <w:top w:val="none" w:sz="0" w:space="0" w:color="auto"/>
            <w:left w:val="none" w:sz="0" w:space="0" w:color="auto"/>
            <w:bottom w:val="none" w:sz="0" w:space="0" w:color="auto"/>
            <w:right w:val="none" w:sz="0" w:space="0" w:color="auto"/>
          </w:divBdr>
        </w:div>
        <w:div w:id="387388300">
          <w:marLeft w:val="640"/>
          <w:marRight w:val="0"/>
          <w:marTop w:val="0"/>
          <w:marBottom w:val="0"/>
          <w:divBdr>
            <w:top w:val="none" w:sz="0" w:space="0" w:color="auto"/>
            <w:left w:val="none" w:sz="0" w:space="0" w:color="auto"/>
            <w:bottom w:val="none" w:sz="0" w:space="0" w:color="auto"/>
            <w:right w:val="none" w:sz="0" w:space="0" w:color="auto"/>
          </w:divBdr>
        </w:div>
        <w:div w:id="1556891101">
          <w:marLeft w:val="640"/>
          <w:marRight w:val="0"/>
          <w:marTop w:val="0"/>
          <w:marBottom w:val="0"/>
          <w:divBdr>
            <w:top w:val="none" w:sz="0" w:space="0" w:color="auto"/>
            <w:left w:val="none" w:sz="0" w:space="0" w:color="auto"/>
            <w:bottom w:val="none" w:sz="0" w:space="0" w:color="auto"/>
            <w:right w:val="none" w:sz="0" w:space="0" w:color="auto"/>
          </w:divBdr>
        </w:div>
        <w:div w:id="1011682311">
          <w:marLeft w:val="640"/>
          <w:marRight w:val="0"/>
          <w:marTop w:val="0"/>
          <w:marBottom w:val="0"/>
          <w:divBdr>
            <w:top w:val="none" w:sz="0" w:space="0" w:color="auto"/>
            <w:left w:val="none" w:sz="0" w:space="0" w:color="auto"/>
            <w:bottom w:val="none" w:sz="0" w:space="0" w:color="auto"/>
            <w:right w:val="none" w:sz="0" w:space="0" w:color="auto"/>
          </w:divBdr>
        </w:div>
        <w:div w:id="1740595527">
          <w:marLeft w:val="640"/>
          <w:marRight w:val="0"/>
          <w:marTop w:val="0"/>
          <w:marBottom w:val="0"/>
          <w:divBdr>
            <w:top w:val="none" w:sz="0" w:space="0" w:color="auto"/>
            <w:left w:val="none" w:sz="0" w:space="0" w:color="auto"/>
            <w:bottom w:val="none" w:sz="0" w:space="0" w:color="auto"/>
            <w:right w:val="none" w:sz="0" w:space="0" w:color="auto"/>
          </w:divBdr>
        </w:div>
        <w:div w:id="359009390">
          <w:marLeft w:val="640"/>
          <w:marRight w:val="0"/>
          <w:marTop w:val="0"/>
          <w:marBottom w:val="0"/>
          <w:divBdr>
            <w:top w:val="none" w:sz="0" w:space="0" w:color="auto"/>
            <w:left w:val="none" w:sz="0" w:space="0" w:color="auto"/>
            <w:bottom w:val="none" w:sz="0" w:space="0" w:color="auto"/>
            <w:right w:val="none" w:sz="0" w:space="0" w:color="auto"/>
          </w:divBdr>
        </w:div>
        <w:div w:id="1734573653">
          <w:marLeft w:val="640"/>
          <w:marRight w:val="0"/>
          <w:marTop w:val="0"/>
          <w:marBottom w:val="0"/>
          <w:divBdr>
            <w:top w:val="none" w:sz="0" w:space="0" w:color="auto"/>
            <w:left w:val="none" w:sz="0" w:space="0" w:color="auto"/>
            <w:bottom w:val="none" w:sz="0" w:space="0" w:color="auto"/>
            <w:right w:val="none" w:sz="0" w:space="0" w:color="auto"/>
          </w:divBdr>
        </w:div>
        <w:div w:id="666832334">
          <w:marLeft w:val="640"/>
          <w:marRight w:val="0"/>
          <w:marTop w:val="0"/>
          <w:marBottom w:val="0"/>
          <w:divBdr>
            <w:top w:val="none" w:sz="0" w:space="0" w:color="auto"/>
            <w:left w:val="none" w:sz="0" w:space="0" w:color="auto"/>
            <w:bottom w:val="none" w:sz="0" w:space="0" w:color="auto"/>
            <w:right w:val="none" w:sz="0" w:space="0" w:color="auto"/>
          </w:divBdr>
        </w:div>
        <w:div w:id="689917989">
          <w:marLeft w:val="640"/>
          <w:marRight w:val="0"/>
          <w:marTop w:val="0"/>
          <w:marBottom w:val="0"/>
          <w:divBdr>
            <w:top w:val="none" w:sz="0" w:space="0" w:color="auto"/>
            <w:left w:val="none" w:sz="0" w:space="0" w:color="auto"/>
            <w:bottom w:val="none" w:sz="0" w:space="0" w:color="auto"/>
            <w:right w:val="none" w:sz="0" w:space="0" w:color="auto"/>
          </w:divBdr>
        </w:div>
        <w:div w:id="784927183">
          <w:marLeft w:val="640"/>
          <w:marRight w:val="0"/>
          <w:marTop w:val="0"/>
          <w:marBottom w:val="0"/>
          <w:divBdr>
            <w:top w:val="none" w:sz="0" w:space="0" w:color="auto"/>
            <w:left w:val="none" w:sz="0" w:space="0" w:color="auto"/>
            <w:bottom w:val="none" w:sz="0" w:space="0" w:color="auto"/>
            <w:right w:val="none" w:sz="0" w:space="0" w:color="auto"/>
          </w:divBdr>
        </w:div>
        <w:div w:id="1517578578">
          <w:marLeft w:val="640"/>
          <w:marRight w:val="0"/>
          <w:marTop w:val="0"/>
          <w:marBottom w:val="0"/>
          <w:divBdr>
            <w:top w:val="none" w:sz="0" w:space="0" w:color="auto"/>
            <w:left w:val="none" w:sz="0" w:space="0" w:color="auto"/>
            <w:bottom w:val="none" w:sz="0" w:space="0" w:color="auto"/>
            <w:right w:val="none" w:sz="0" w:space="0" w:color="auto"/>
          </w:divBdr>
        </w:div>
        <w:div w:id="341200867">
          <w:marLeft w:val="640"/>
          <w:marRight w:val="0"/>
          <w:marTop w:val="0"/>
          <w:marBottom w:val="0"/>
          <w:divBdr>
            <w:top w:val="none" w:sz="0" w:space="0" w:color="auto"/>
            <w:left w:val="none" w:sz="0" w:space="0" w:color="auto"/>
            <w:bottom w:val="none" w:sz="0" w:space="0" w:color="auto"/>
            <w:right w:val="none" w:sz="0" w:space="0" w:color="auto"/>
          </w:divBdr>
        </w:div>
        <w:div w:id="1144202543">
          <w:marLeft w:val="640"/>
          <w:marRight w:val="0"/>
          <w:marTop w:val="0"/>
          <w:marBottom w:val="0"/>
          <w:divBdr>
            <w:top w:val="none" w:sz="0" w:space="0" w:color="auto"/>
            <w:left w:val="none" w:sz="0" w:space="0" w:color="auto"/>
            <w:bottom w:val="none" w:sz="0" w:space="0" w:color="auto"/>
            <w:right w:val="none" w:sz="0" w:space="0" w:color="auto"/>
          </w:divBdr>
        </w:div>
        <w:div w:id="567424368">
          <w:marLeft w:val="640"/>
          <w:marRight w:val="0"/>
          <w:marTop w:val="0"/>
          <w:marBottom w:val="0"/>
          <w:divBdr>
            <w:top w:val="none" w:sz="0" w:space="0" w:color="auto"/>
            <w:left w:val="none" w:sz="0" w:space="0" w:color="auto"/>
            <w:bottom w:val="none" w:sz="0" w:space="0" w:color="auto"/>
            <w:right w:val="none" w:sz="0" w:space="0" w:color="auto"/>
          </w:divBdr>
        </w:div>
        <w:div w:id="644432474">
          <w:marLeft w:val="640"/>
          <w:marRight w:val="0"/>
          <w:marTop w:val="0"/>
          <w:marBottom w:val="0"/>
          <w:divBdr>
            <w:top w:val="none" w:sz="0" w:space="0" w:color="auto"/>
            <w:left w:val="none" w:sz="0" w:space="0" w:color="auto"/>
            <w:bottom w:val="none" w:sz="0" w:space="0" w:color="auto"/>
            <w:right w:val="none" w:sz="0" w:space="0" w:color="auto"/>
          </w:divBdr>
        </w:div>
        <w:div w:id="426468996">
          <w:marLeft w:val="640"/>
          <w:marRight w:val="0"/>
          <w:marTop w:val="0"/>
          <w:marBottom w:val="0"/>
          <w:divBdr>
            <w:top w:val="none" w:sz="0" w:space="0" w:color="auto"/>
            <w:left w:val="none" w:sz="0" w:space="0" w:color="auto"/>
            <w:bottom w:val="none" w:sz="0" w:space="0" w:color="auto"/>
            <w:right w:val="none" w:sz="0" w:space="0" w:color="auto"/>
          </w:divBdr>
        </w:div>
        <w:div w:id="1948461582">
          <w:marLeft w:val="640"/>
          <w:marRight w:val="0"/>
          <w:marTop w:val="0"/>
          <w:marBottom w:val="0"/>
          <w:divBdr>
            <w:top w:val="none" w:sz="0" w:space="0" w:color="auto"/>
            <w:left w:val="none" w:sz="0" w:space="0" w:color="auto"/>
            <w:bottom w:val="none" w:sz="0" w:space="0" w:color="auto"/>
            <w:right w:val="none" w:sz="0" w:space="0" w:color="auto"/>
          </w:divBdr>
        </w:div>
        <w:div w:id="1658266297">
          <w:marLeft w:val="640"/>
          <w:marRight w:val="0"/>
          <w:marTop w:val="0"/>
          <w:marBottom w:val="0"/>
          <w:divBdr>
            <w:top w:val="none" w:sz="0" w:space="0" w:color="auto"/>
            <w:left w:val="none" w:sz="0" w:space="0" w:color="auto"/>
            <w:bottom w:val="none" w:sz="0" w:space="0" w:color="auto"/>
            <w:right w:val="none" w:sz="0" w:space="0" w:color="auto"/>
          </w:divBdr>
        </w:div>
        <w:div w:id="370495981">
          <w:marLeft w:val="640"/>
          <w:marRight w:val="0"/>
          <w:marTop w:val="0"/>
          <w:marBottom w:val="0"/>
          <w:divBdr>
            <w:top w:val="none" w:sz="0" w:space="0" w:color="auto"/>
            <w:left w:val="none" w:sz="0" w:space="0" w:color="auto"/>
            <w:bottom w:val="none" w:sz="0" w:space="0" w:color="auto"/>
            <w:right w:val="none" w:sz="0" w:space="0" w:color="auto"/>
          </w:divBdr>
        </w:div>
        <w:div w:id="481778281">
          <w:marLeft w:val="640"/>
          <w:marRight w:val="0"/>
          <w:marTop w:val="0"/>
          <w:marBottom w:val="0"/>
          <w:divBdr>
            <w:top w:val="none" w:sz="0" w:space="0" w:color="auto"/>
            <w:left w:val="none" w:sz="0" w:space="0" w:color="auto"/>
            <w:bottom w:val="none" w:sz="0" w:space="0" w:color="auto"/>
            <w:right w:val="none" w:sz="0" w:space="0" w:color="auto"/>
          </w:divBdr>
        </w:div>
        <w:div w:id="262107111">
          <w:marLeft w:val="640"/>
          <w:marRight w:val="0"/>
          <w:marTop w:val="0"/>
          <w:marBottom w:val="0"/>
          <w:divBdr>
            <w:top w:val="none" w:sz="0" w:space="0" w:color="auto"/>
            <w:left w:val="none" w:sz="0" w:space="0" w:color="auto"/>
            <w:bottom w:val="none" w:sz="0" w:space="0" w:color="auto"/>
            <w:right w:val="none" w:sz="0" w:space="0" w:color="auto"/>
          </w:divBdr>
        </w:div>
        <w:div w:id="662002546">
          <w:marLeft w:val="640"/>
          <w:marRight w:val="0"/>
          <w:marTop w:val="0"/>
          <w:marBottom w:val="0"/>
          <w:divBdr>
            <w:top w:val="none" w:sz="0" w:space="0" w:color="auto"/>
            <w:left w:val="none" w:sz="0" w:space="0" w:color="auto"/>
            <w:bottom w:val="none" w:sz="0" w:space="0" w:color="auto"/>
            <w:right w:val="none" w:sz="0" w:space="0" w:color="auto"/>
          </w:divBdr>
        </w:div>
        <w:div w:id="1035233752">
          <w:marLeft w:val="640"/>
          <w:marRight w:val="0"/>
          <w:marTop w:val="0"/>
          <w:marBottom w:val="0"/>
          <w:divBdr>
            <w:top w:val="none" w:sz="0" w:space="0" w:color="auto"/>
            <w:left w:val="none" w:sz="0" w:space="0" w:color="auto"/>
            <w:bottom w:val="none" w:sz="0" w:space="0" w:color="auto"/>
            <w:right w:val="none" w:sz="0" w:space="0" w:color="auto"/>
          </w:divBdr>
        </w:div>
        <w:div w:id="456721164">
          <w:marLeft w:val="640"/>
          <w:marRight w:val="0"/>
          <w:marTop w:val="0"/>
          <w:marBottom w:val="0"/>
          <w:divBdr>
            <w:top w:val="none" w:sz="0" w:space="0" w:color="auto"/>
            <w:left w:val="none" w:sz="0" w:space="0" w:color="auto"/>
            <w:bottom w:val="none" w:sz="0" w:space="0" w:color="auto"/>
            <w:right w:val="none" w:sz="0" w:space="0" w:color="auto"/>
          </w:divBdr>
        </w:div>
        <w:div w:id="1692871784">
          <w:marLeft w:val="640"/>
          <w:marRight w:val="0"/>
          <w:marTop w:val="0"/>
          <w:marBottom w:val="0"/>
          <w:divBdr>
            <w:top w:val="none" w:sz="0" w:space="0" w:color="auto"/>
            <w:left w:val="none" w:sz="0" w:space="0" w:color="auto"/>
            <w:bottom w:val="none" w:sz="0" w:space="0" w:color="auto"/>
            <w:right w:val="none" w:sz="0" w:space="0" w:color="auto"/>
          </w:divBdr>
        </w:div>
        <w:div w:id="959917587">
          <w:marLeft w:val="640"/>
          <w:marRight w:val="0"/>
          <w:marTop w:val="0"/>
          <w:marBottom w:val="0"/>
          <w:divBdr>
            <w:top w:val="none" w:sz="0" w:space="0" w:color="auto"/>
            <w:left w:val="none" w:sz="0" w:space="0" w:color="auto"/>
            <w:bottom w:val="none" w:sz="0" w:space="0" w:color="auto"/>
            <w:right w:val="none" w:sz="0" w:space="0" w:color="auto"/>
          </w:divBdr>
        </w:div>
        <w:div w:id="392430829">
          <w:marLeft w:val="640"/>
          <w:marRight w:val="0"/>
          <w:marTop w:val="0"/>
          <w:marBottom w:val="0"/>
          <w:divBdr>
            <w:top w:val="none" w:sz="0" w:space="0" w:color="auto"/>
            <w:left w:val="none" w:sz="0" w:space="0" w:color="auto"/>
            <w:bottom w:val="none" w:sz="0" w:space="0" w:color="auto"/>
            <w:right w:val="none" w:sz="0" w:space="0" w:color="auto"/>
          </w:divBdr>
        </w:div>
        <w:div w:id="1959138396">
          <w:marLeft w:val="640"/>
          <w:marRight w:val="0"/>
          <w:marTop w:val="0"/>
          <w:marBottom w:val="0"/>
          <w:divBdr>
            <w:top w:val="none" w:sz="0" w:space="0" w:color="auto"/>
            <w:left w:val="none" w:sz="0" w:space="0" w:color="auto"/>
            <w:bottom w:val="none" w:sz="0" w:space="0" w:color="auto"/>
            <w:right w:val="none" w:sz="0" w:space="0" w:color="auto"/>
          </w:divBdr>
        </w:div>
        <w:div w:id="254821764">
          <w:marLeft w:val="640"/>
          <w:marRight w:val="0"/>
          <w:marTop w:val="0"/>
          <w:marBottom w:val="0"/>
          <w:divBdr>
            <w:top w:val="none" w:sz="0" w:space="0" w:color="auto"/>
            <w:left w:val="none" w:sz="0" w:space="0" w:color="auto"/>
            <w:bottom w:val="none" w:sz="0" w:space="0" w:color="auto"/>
            <w:right w:val="none" w:sz="0" w:space="0" w:color="auto"/>
          </w:divBdr>
        </w:div>
        <w:div w:id="1759135971">
          <w:marLeft w:val="640"/>
          <w:marRight w:val="0"/>
          <w:marTop w:val="0"/>
          <w:marBottom w:val="0"/>
          <w:divBdr>
            <w:top w:val="none" w:sz="0" w:space="0" w:color="auto"/>
            <w:left w:val="none" w:sz="0" w:space="0" w:color="auto"/>
            <w:bottom w:val="none" w:sz="0" w:space="0" w:color="auto"/>
            <w:right w:val="none" w:sz="0" w:space="0" w:color="auto"/>
          </w:divBdr>
        </w:div>
        <w:div w:id="1483698732">
          <w:marLeft w:val="640"/>
          <w:marRight w:val="0"/>
          <w:marTop w:val="0"/>
          <w:marBottom w:val="0"/>
          <w:divBdr>
            <w:top w:val="none" w:sz="0" w:space="0" w:color="auto"/>
            <w:left w:val="none" w:sz="0" w:space="0" w:color="auto"/>
            <w:bottom w:val="none" w:sz="0" w:space="0" w:color="auto"/>
            <w:right w:val="none" w:sz="0" w:space="0" w:color="auto"/>
          </w:divBdr>
        </w:div>
        <w:div w:id="546189369">
          <w:marLeft w:val="640"/>
          <w:marRight w:val="0"/>
          <w:marTop w:val="0"/>
          <w:marBottom w:val="0"/>
          <w:divBdr>
            <w:top w:val="none" w:sz="0" w:space="0" w:color="auto"/>
            <w:left w:val="none" w:sz="0" w:space="0" w:color="auto"/>
            <w:bottom w:val="none" w:sz="0" w:space="0" w:color="auto"/>
            <w:right w:val="none" w:sz="0" w:space="0" w:color="auto"/>
          </w:divBdr>
        </w:div>
        <w:div w:id="165827213">
          <w:marLeft w:val="640"/>
          <w:marRight w:val="0"/>
          <w:marTop w:val="0"/>
          <w:marBottom w:val="0"/>
          <w:divBdr>
            <w:top w:val="none" w:sz="0" w:space="0" w:color="auto"/>
            <w:left w:val="none" w:sz="0" w:space="0" w:color="auto"/>
            <w:bottom w:val="none" w:sz="0" w:space="0" w:color="auto"/>
            <w:right w:val="none" w:sz="0" w:space="0" w:color="auto"/>
          </w:divBdr>
        </w:div>
        <w:div w:id="166947075">
          <w:marLeft w:val="640"/>
          <w:marRight w:val="0"/>
          <w:marTop w:val="0"/>
          <w:marBottom w:val="0"/>
          <w:divBdr>
            <w:top w:val="none" w:sz="0" w:space="0" w:color="auto"/>
            <w:left w:val="none" w:sz="0" w:space="0" w:color="auto"/>
            <w:bottom w:val="none" w:sz="0" w:space="0" w:color="auto"/>
            <w:right w:val="none" w:sz="0" w:space="0" w:color="auto"/>
          </w:divBdr>
        </w:div>
        <w:div w:id="983969092">
          <w:marLeft w:val="640"/>
          <w:marRight w:val="0"/>
          <w:marTop w:val="0"/>
          <w:marBottom w:val="0"/>
          <w:divBdr>
            <w:top w:val="none" w:sz="0" w:space="0" w:color="auto"/>
            <w:left w:val="none" w:sz="0" w:space="0" w:color="auto"/>
            <w:bottom w:val="none" w:sz="0" w:space="0" w:color="auto"/>
            <w:right w:val="none" w:sz="0" w:space="0" w:color="auto"/>
          </w:divBdr>
        </w:div>
        <w:div w:id="416633180">
          <w:marLeft w:val="640"/>
          <w:marRight w:val="0"/>
          <w:marTop w:val="0"/>
          <w:marBottom w:val="0"/>
          <w:divBdr>
            <w:top w:val="none" w:sz="0" w:space="0" w:color="auto"/>
            <w:left w:val="none" w:sz="0" w:space="0" w:color="auto"/>
            <w:bottom w:val="none" w:sz="0" w:space="0" w:color="auto"/>
            <w:right w:val="none" w:sz="0" w:space="0" w:color="auto"/>
          </w:divBdr>
        </w:div>
        <w:div w:id="1446578481">
          <w:marLeft w:val="640"/>
          <w:marRight w:val="0"/>
          <w:marTop w:val="0"/>
          <w:marBottom w:val="0"/>
          <w:divBdr>
            <w:top w:val="none" w:sz="0" w:space="0" w:color="auto"/>
            <w:left w:val="none" w:sz="0" w:space="0" w:color="auto"/>
            <w:bottom w:val="none" w:sz="0" w:space="0" w:color="auto"/>
            <w:right w:val="none" w:sz="0" w:space="0" w:color="auto"/>
          </w:divBdr>
        </w:div>
        <w:div w:id="611014045">
          <w:marLeft w:val="640"/>
          <w:marRight w:val="0"/>
          <w:marTop w:val="0"/>
          <w:marBottom w:val="0"/>
          <w:divBdr>
            <w:top w:val="none" w:sz="0" w:space="0" w:color="auto"/>
            <w:left w:val="none" w:sz="0" w:space="0" w:color="auto"/>
            <w:bottom w:val="none" w:sz="0" w:space="0" w:color="auto"/>
            <w:right w:val="none" w:sz="0" w:space="0" w:color="auto"/>
          </w:divBdr>
        </w:div>
        <w:div w:id="198973643">
          <w:marLeft w:val="640"/>
          <w:marRight w:val="0"/>
          <w:marTop w:val="0"/>
          <w:marBottom w:val="0"/>
          <w:divBdr>
            <w:top w:val="none" w:sz="0" w:space="0" w:color="auto"/>
            <w:left w:val="none" w:sz="0" w:space="0" w:color="auto"/>
            <w:bottom w:val="none" w:sz="0" w:space="0" w:color="auto"/>
            <w:right w:val="none" w:sz="0" w:space="0" w:color="auto"/>
          </w:divBdr>
        </w:div>
        <w:div w:id="793252850">
          <w:marLeft w:val="640"/>
          <w:marRight w:val="0"/>
          <w:marTop w:val="0"/>
          <w:marBottom w:val="0"/>
          <w:divBdr>
            <w:top w:val="none" w:sz="0" w:space="0" w:color="auto"/>
            <w:left w:val="none" w:sz="0" w:space="0" w:color="auto"/>
            <w:bottom w:val="none" w:sz="0" w:space="0" w:color="auto"/>
            <w:right w:val="none" w:sz="0" w:space="0" w:color="auto"/>
          </w:divBdr>
        </w:div>
        <w:div w:id="944265091">
          <w:marLeft w:val="640"/>
          <w:marRight w:val="0"/>
          <w:marTop w:val="0"/>
          <w:marBottom w:val="0"/>
          <w:divBdr>
            <w:top w:val="none" w:sz="0" w:space="0" w:color="auto"/>
            <w:left w:val="none" w:sz="0" w:space="0" w:color="auto"/>
            <w:bottom w:val="none" w:sz="0" w:space="0" w:color="auto"/>
            <w:right w:val="none" w:sz="0" w:space="0" w:color="auto"/>
          </w:divBdr>
        </w:div>
        <w:div w:id="1448429705">
          <w:marLeft w:val="640"/>
          <w:marRight w:val="0"/>
          <w:marTop w:val="0"/>
          <w:marBottom w:val="0"/>
          <w:divBdr>
            <w:top w:val="none" w:sz="0" w:space="0" w:color="auto"/>
            <w:left w:val="none" w:sz="0" w:space="0" w:color="auto"/>
            <w:bottom w:val="none" w:sz="0" w:space="0" w:color="auto"/>
            <w:right w:val="none" w:sz="0" w:space="0" w:color="auto"/>
          </w:divBdr>
        </w:div>
        <w:div w:id="1042559687">
          <w:marLeft w:val="640"/>
          <w:marRight w:val="0"/>
          <w:marTop w:val="0"/>
          <w:marBottom w:val="0"/>
          <w:divBdr>
            <w:top w:val="none" w:sz="0" w:space="0" w:color="auto"/>
            <w:left w:val="none" w:sz="0" w:space="0" w:color="auto"/>
            <w:bottom w:val="none" w:sz="0" w:space="0" w:color="auto"/>
            <w:right w:val="none" w:sz="0" w:space="0" w:color="auto"/>
          </w:divBdr>
        </w:div>
        <w:div w:id="430199379">
          <w:marLeft w:val="640"/>
          <w:marRight w:val="0"/>
          <w:marTop w:val="0"/>
          <w:marBottom w:val="0"/>
          <w:divBdr>
            <w:top w:val="none" w:sz="0" w:space="0" w:color="auto"/>
            <w:left w:val="none" w:sz="0" w:space="0" w:color="auto"/>
            <w:bottom w:val="none" w:sz="0" w:space="0" w:color="auto"/>
            <w:right w:val="none" w:sz="0" w:space="0" w:color="auto"/>
          </w:divBdr>
        </w:div>
        <w:div w:id="1230917910">
          <w:marLeft w:val="640"/>
          <w:marRight w:val="0"/>
          <w:marTop w:val="0"/>
          <w:marBottom w:val="0"/>
          <w:divBdr>
            <w:top w:val="none" w:sz="0" w:space="0" w:color="auto"/>
            <w:left w:val="none" w:sz="0" w:space="0" w:color="auto"/>
            <w:bottom w:val="none" w:sz="0" w:space="0" w:color="auto"/>
            <w:right w:val="none" w:sz="0" w:space="0" w:color="auto"/>
          </w:divBdr>
        </w:div>
        <w:div w:id="1760056162">
          <w:marLeft w:val="640"/>
          <w:marRight w:val="0"/>
          <w:marTop w:val="0"/>
          <w:marBottom w:val="0"/>
          <w:divBdr>
            <w:top w:val="none" w:sz="0" w:space="0" w:color="auto"/>
            <w:left w:val="none" w:sz="0" w:space="0" w:color="auto"/>
            <w:bottom w:val="none" w:sz="0" w:space="0" w:color="auto"/>
            <w:right w:val="none" w:sz="0" w:space="0" w:color="auto"/>
          </w:divBdr>
        </w:div>
        <w:div w:id="2045057174">
          <w:marLeft w:val="640"/>
          <w:marRight w:val="0"/>
          <w:marTop w:val="0"/>
          <w:marBottom w:val="0"/>
          <w:divBdr>
            <w:top w:val="none" w:sz="0" w:space="0" w:color="auto"/>
            <w:left w:val="none" w:sz="0" w:space="0" w:color="auto"/>
            <w:bottom w:val="none" w:sz="0" w:space="0" w:color="auto"/>
            <w:right w:val="none" w:sz="0" w:space="0" w:color="auto"/>
          </w:divBdr>
        </w:div>
        <w:div w:id="1396009774">
          <w:marLeft w:val="640"/>
          <w:marRight w:val="0"/>
          <w:marTop w:val="0"/>
          <w:marBottom w:val="0"/>
          <w:divBdr>
            <w:top w:val="none" w:sz="0" w:space="0" w:color="auto"/>
            <w:left w:val="none" w:sz="0" w:space="0" w:color="auto"/>
            <w:bottom w:val="none" w:sz="0" w:space="0" w:color="auto"/>
            <w:right w:val="none" w:sz="0" w:space="0" w:color="auto"/>
          </w:divBdr>
        </w:div>
        <w:div w:id="1529177590">
          <w:marLeft w:val="640"/>
          <w:marRight w:val="0"/>
          <w:marTop w:val="0"/>
          <w:marBottom w:val="0"/>
          <w:divBdr>
            <w:top w:val="none" w:sz="0" w:space="0" w:color="auto"/>
            <w:left w:val="none" w:sz="0" w:space="0" w:color="auto"/>
            <w:bottom w:val="none" w:sz="0" w:space="0" w:color="auto"/>
            <w:right w:val="none" w:sz="0" w:space="0" w:color="auto"/>
          </w:divBdr>
        </w:div>
        <w:div w:id="665330854">
          <w:marLeft w:val="640"/>
          <w:marRight w:val="0"/>
          <w:marTop w:val="0"/>
          <w:marBottom w:val="0"/>
          <w:divBdr>
            <w:top w:val="none" w:sz="0" w:space="0" w:color="auto"/>
            <w:left w:val="none" w:sz="0" w:space="0" w:color="auto"/>
            <w:bottom w:val="none" w:sz="0" w:space="0" w:color="auto"/>
            <w:right w:val="none" w:sz="0" w:space="0" w:color="auto"/>
          </w:divBdr>
        </w:div>
        <w:div w:id="374546928">
          <w:marLeft w:val="640"/>
          <w:marRight w:val="0"/>
          <w:marTop w:val="0"/>
          <w:marBottom w:val="0"/>
          <w:divBdr>
            <w:top w:val="none" w:sz="0" w:space="0" w:color="auto"/>
            <w:left w:val="none" w:sz="0" w:space="0" w:color="auto"/>
            <w:bottom w:val="none" w:sz="0" w:space="0" w:color="auto"/>
            <w:right w:val="none" w:sz="0" w:space="0" w:color="auto"/>
          </w:divBdr>
        </w:div>
        <w:div w:id="2048723725">
          <w:marLeft w:val="640"/>
          <w:marRight w:val="0"/>
          <w:marTop w:val="0"/>
          <w:marBottom w:val="0"/>
          <w:divBdr>
            <w:top w:val="none" w:sz="0" w:space="0" w:color="auto"/>
            <w:left w:val="none" w:sz="0" w:space="0" w:color="auto"/>
            <w:bottom w:val="none" w:sz="0" w:space="0" w:color="auto"/>
            <w:right w:val="none" w:sz="0" w:space="0" w:color="auto"/>
          </w:divBdr>
        </w:div>
        <w:div w:id="2069104594">
          <w:marLeft w:val="640"/>
          <w:marRight w:val="0"/>
          <w:marTop w:val="0"/>
          <w:marBottom w:val="0"/>
          <w:divBdr>
            <w:top w:val="none" w:sz="0" w:space="0" w:color="auto"/>
            <w:left w:val="none" w:sz="0" w:space="0" w:color="auto"/>
            <w:bottom w:val="none" w:sz="0" w:space="0" w:color="auto"/>
            <w:right w:val="none" w:sz="0" w:space="0" w:color="auto"/>
          </w:divBdr>
        </w:div>
        <w:div w:id="278535890">
          <w:marLeft w:val="640"/>
          <w:marRight w:val="0"/>
          <w:marTop w:val="0"/>
          <w:marBottom w:val="0"/>
          <w:divBdr>
            <w:top w:val="none" w:sz="0" w:space="0" w:color="auto"/>
            <w:left w:val="none" w:sz="0" w:space="0" w:color="auto"/>
            <w:bottom w:val="none" w:sz="0" w:space="0" w:color="auto"/>
            <w:right w:val="none" w:sz="0" w:space="0" w:color="auto"/>
          </w:divBdr>
        </w:div>
        <w:div w:id="1718164253">
          <w:marLeft w:val="640"/>
          <w:marRight w:val="0"/>
          <w:marTop w:val="0"/>
          <w:marBottom w:val="0"/>
          <w:divBdr>
            <w:top w:val="none" w:sz="0" w:space="0" w:color="auto"/>
            <w:left w:val="none" w:sz="0" w:space="0" w:color="auto"/>
            <w:bottom w:val="none" w:sz="0" w:space="0" w:color="auto"/>
            <w:right w:val="none" w:sz="0" w:space="0" w:color="auto"/>
          </w:divBdr>
        </w:div>
        <w:div w:id="1188134116">
          <w:marLeft w:val="640"/>
          <w:marRight w:val="0"/>
          <w:marTop w:val="0"/>
          <w:marBottom w:val="0"/>
          <w:divBdr>
            <w:top w:val="none" w:sz="0" w:space="0" w:color="auto"/>
            <w:left w:val="none" w:sz="0" w:space="0" w:color="auto"/>
            <w:bottom w:val="none" w:sz="0" w:space="0" w:color="auto"/>
            <w:right w:val="none" w:sz="0" w:space="0" w:color="auto"/>
          </w:divBdr>
        </w:div>
        <w:div w:id="1588686949">
          <w:marLeft w:val="640"/>
          <w:marRight w:val="0"/>
          <w:marTop w:val="0"/>
          <w:marBottom w:val="0"/>
          <w:divBdr>
            <w:top w:val="none" w:sz="0" w:space="0" w:color="auto"/>
            <w:left w:val="none" w:sz="0" w:space="0" w:color="auto"/>
            <w:bottom w:val="none" w:sz="0" w:space="0" w:color="auto"/>
            <w:right w:val="none" w:sz="0" w:space="0" w:color="auto"/>
          </w:divBdr>
        </w:div>
        <w:div w:id="177551561">
          <w:marLeft w:val="640"/>
          <w:marRight w:val="0"/>
          <w:marTop w:val="0"/>
          <w:marBottom w:val="0"/>
          <w:divBdr>
            <w:top w:val="none" w:sz="0" w:space="0" w:color="auto"/>
            <w:left w:val="none" w:sz="0" w:space="0" w:color="auto"/>
            <w:bottom w:val="none" w:sz="0" w:space="0" w:color="auto"/>
            <w:right w:val="none" w:sz="0" w:space="0" w:color="auto"/>
          </w:divBdr>
        </w:div>
        <w:div w:id="420611666">
          <w:marLeft w:val="640"/>
          <w:marRight w:val="0"/>
          <w:marTop w:val="0"/>
          <w:marBottom w:val="0"/>
          <w:divBdr>
            <w:top w:val="none" w:sz="0" w:space="0" w:color="auto"/>
            <w:left w:val="none" w:sz="0" w:space="0" w:color="auto"/>
            <w:bottom w:val="none" w:sz="0" w:space="0" w:color="auto"/>
            <w:right w:val="none" w:sz="0" w:space="0" w:color="auto"/>
          </w:divBdr>
        </w:div>
        <w:div w:id="1914392677">
          <w:marLeft w:val="640"/>
          <w:marRight w:val="0"/>
          <w:marTop w:val="0"/>
          <w:marBottom w:val="0"/>
          <w:divBdr>
            <w:top w:val="none" w:sz="0" w:space="0" w:color="auto"/>
            <w:left w:val="none" w:sz="0" w:space="0" w:color="auto"/>
            <w:bottom w:val="none" w:sz="0" w:space="0" w:color="auto"/>
            <w:right w:val="none" w:sz="0" w:space="0" w:color="auto"/>
          </w:divBdr>
        </w:div>
        <w:div w:id="1606769844">
          <w:marLeft w:val="640"/>
          <w:marRight w:val="0"/>
          <w:marTop w:val="0"/>
          <w:marBottom w:val="0"/>
          <w:divBdr>
            <w:top w:val="none" w:sz="0" w:space="0" w:color="auto"/>
            <w:left w:val="none" w:sz="0" w:space="0" w:color="auto"/>
            <w:bottom w:val="none" w:sz="0" w:space="0" w:color="auto"/>
            <w:right w:val="none" w:sz="0" w:space="0" w:color="auto"/>
          </w:divBdr>
        </w:div>
        <w:div w:id="56368747">
          <w:marLeft w:val="640"/>
          <w:marRight w:val="0"/>
          <w:marTop w:val="0"/>
          <w:marBottom w:val="0"/>
          <w:divBdr>
            <w:top w:val="none" w:sz="0" w:space="0" w:color="auto"/>
            <w:left w:val="none" w:sz="0" w:space="0" w:color="auto"/>
            <w:bottom w:val="none" w:sz="0" w:space="0" w:color="auto"/>
            <w:right w:val="none" w:sz="0" w:space="0" w:color="auto"/>
          </w:divBdr>
        </w:div>
        <w:div w:id="148524093">
          <w:marLeft w:val="640"/>
          <w:marRight w:val="0"/>
          <w:marTop w:val="0"/>
          <w:marBottom w:val="0"/>
          <w:divBdr>
            <w:top w:val="none" w:sz="0" w:space="0" w:color="auto"/>
            <w:left w:val="none" w:sz="0" w:space="0" w:color="auto"/>
            <w:bottom w:val="none" w:sz="0" w:space="0" w:color="auto"/>
            <w:right w:val="none" w:sz="0" w:space="0" w:color="auto"/>
          </w:divBdr>
        </w:div>
        <w:div w:id="1650019722">
          <w:marLeft w:val="640"/>
          <w:marRight w:val="0"/>
          <w:marTop w:val="0"/>
          <w:marBottom w:val="0"/>
          <w:divBdr>
            <w:top w:val="none" w:sz="0" w:space="0" w:color="auto"/>
            <w:left w:val="none" w:sz="0" w:space="0" w:color="auto"/>
            <w:bottom w:val="none" w:sz="0" w:space="0" w:color="auto"/>
            <w:right w:val="none" w:sz="0" w:space="0" w:color="auto"/>
          </w:divBdr>
        </w:div>
        <w:div w:id="1105878502">
          <w:marLeft w:val="640"/>
          <w:marRight w:val="0"/>
          <w:marTop w:val="0"/>
          <w:marBottom w:val="0"/>
          <w:divBdr>
            <w:top w:val="none" w:sz="0" w:space="0" w:color="auto"/>
            <w:left w:val="none" w:sz="0" w:space="0" w:color="auto"/>
            <w:bottom w:val="none" w:sz="0" w:space="0" w:color="auto"/>
            <w:right w:val="none" w:sz="0" w:space="0" w:color="auto"/>
          </w:divBdr>
        </w:div>
        <w:div w:id="1709911345">
          <w:marLeft w:val="640"/>
          <w:marRight w:val="0"/>
          <w:marTop w:val="0"/>
          <w:marBottom w:val="0"/>
          <w:divBdr>
            <w:top w:val="none" w:sz="0" w:space="0" w:color="auto"/>
            <w:left w:val="none" w:sz="0" w:space="0" w:color="auto"/>
            <w:bottom w:val="none" w:sz="0" w:space="0" w:color="auto"/>
            <w:right w:val="none" w:sz="0" w:space="0" w:color="auto"/>
          </w:divBdr>
        </w:div>
        <w:div w:id="858155069">
          <w:marLeft w:val="640"/>
          <w:marRight w:val="0"/>
          <w:marTop w:val="0"/>
          <w:marBottom w:val="0"/>
          <w:divBdr>
            <w:top w:val="none" w:sz="0" w:space="0" w:color="auto"/>
            <w:left w:val="none" w:sz="0" w:space="0" w:color="auto"/>
            <w:bottom w:val="none" w:sz="0" w:space="0" w:color="auto"/>
            <w:right w:val="none" w:sz="0" w:space="0" w:color="auto"/>
          </w:divBdr>
        </w:div>
        <w:div w:id="50346266">
          <w:marLeft w:val="640"/>
          <w:marRight w:val="0"/>
          <w:marTop w:val="0"/>
          <w:marBottom w:val="0"/>
          <w:divBdr>
            <w:top w:val="none" w:sz="0" w:space="0" w:color="auto"/>
            <w:left w:val="none" w:sz="0" w:space="0" w:color="auto"/>
            <w:bottom w:val="none" w:sz="0" w:space="0" w:color="auto"/>
            <w:right w:val="none" w:sz="0" w:space="0" w:color="auto"/>
          </w:divBdr>
        </w:div>
        <w:div w:id="684214111">
          <w:marLeft w:val="640"/>
          <w:marRight w:val="0"/>
          <w:marTop w:val="0"/>
          <w:marBottom w:val="0"/>
          <w:divBdr>
            <w:top w:val="none" w:sz="0" w:space="0" w:color="auto"/>
            <w:left w:val="none" w:sz="0" w:space="0" w:color="auto"/>
            <w:bottom w:val="none" w:sz="0" w:space="0" w:color="auto"/>
            <w:right w:val="none" w:sz="0" w:space="0" w:color="auto"/>
          </w:divBdr>
        </w:div>
        <w:div w:id="807012012">
          <w:marLeft w:val="640"/>
          <w:marRight w:val="0"/>
          <w:marTop w:val="0"/>
          <w:marBottom w:val="0"/>
          <w:divBdr>
            <w:top w:val="none" w:sz="0" w:space="0" w:color="auto"/>
            <w:left w:val="none" w:sz="0" w:space="0" w:color="auto"/>
            <w:bottom w:val="none" w:sz="0" w:space="0" w:color="auto"/>
            <w:right w:val="none" w:sz="0" w:space="0" w:color="auto"/>
          </w:divBdr>
        </w:div>
        <w:div w:id="61410313">
          <w:marLeft w:val="640"/>
          <w:marRight w:val="0"/>
          <w:marTop w:val="0"/>
          <w:marBottom w:val="0"/>
          <w:divBdr>
            <w:top w:val="none" w:sz="0" w:space="0" w:color="auto"/>
            <w:left w:val="none" w:sz="0" w:space="0" w:color="auto"/>
            <w:bottom w:val="none" w:sz="0" w:space="0" w:color="auto"/>
            <w:right w:val="none" w:sz="0" w:space="0" w:color="auto"/>
          </w:divBdr>
        </w:div>
        <w:div w:id="1004628285">
          <w:marLeft w:val="640"/>
          <w:marRight w:val="0"/>
          <w:marTop w:val="0"/>
          <w:marBottom w:val="0"/>
          <w:divBdr>
            <w:top w:val="none" w:sz="0" w:space="0" w:color="auto"/>
            <w:left w:val="none" w:sz="0" w:space="0" w:color="auto"/>
            <w:bottom w:val="none" w:sz="0" w:space="0" w:color="auto"/>
            <w:right w:val="none" w:sz="0" w:space="0" w:color="auto"/>
          </w:divBdr>
        </w:div>
        <w:div w:id="1582445353">
          <w:marLeft w:val="640"/>
          <w:marRight w:val="0"/>
          <w:marTop w:val="0"/>
          <w:marBottom w:val="0"/>
          <w:divBdr>
            <w:top w:val="none" w:sz="0" w:space="0" w:color="auto"/>
            <w:left w:val="none" w:sz="0" w:space="0" w:color="auto"/>
            <w:bottom w:val="none" w:sz="0" w:space="0" w:color="auto"/>
            <w:right w:val="none" w:sz="0" w:space="0" w:color="auto"/>
          </w:divBdr>
        </w:div>
        <w:div w:id="1334841951">
          <w:marLeft w:val="640"/>
          <w:marRight w:val="0"/>
          <w:marTop w:val="0"/>
          <w:marBottom w:val="0"/>
          <w:divBdr>
            <w:top w:val="none" w:sz="0" w:space="0" w:color="auto"/>
            <w:left w:val="none" w:sz="0" w:space="0" w:color="auto"/>
            <w:bottom w:val="none" w:sz="0" w:space="0" w:color="auto"/>
            <w:right w:val="none" w:sz="0" w:space="0" w:color="auto"/>
          </w:divBdr>
        </w:div>
        <w:div w:id="1174953291">
          <w:marLeft w:val="640"/>
          <w:marRight w:val="0"/>
          <w:marTop w:val="0"/>
          <w:marBottom w:val="0"/>
          <w:divBdr>
            <w:top w:val="none" w:sz="0" w:space="0" w:color="auto"/>
            <w:left w:val="none" w:sz="0" w:space="0" w:color="auto"/>
            <w:bottom w:val="none" w:sz="0" w:space="0" w:color="auto"/>
            <w:right w:val="none" w:sz="0" w:space="0" w:color="auto"/>
          </w:divBdr>
        </w:div>
        <w:div w:id="592712656">
          <w:marLeft w:val="640"/>
          <w:marRight w:val="0"/>
          <w:marTop w:val="0"/>
          <w:marBottom w:val="0"/>
          <w:divBdr>
            <w:top w:val="none" w:sz="0" w:space="0" w:color="auto"/>
            <w:left w:val="none" w:sz="0" w:space="0" w:color="auto"/>
            <w:bottom w:val="none" w:sz="0" w:space="0" w:color="auto"/>
            <w:right w:val="none" w:sz="0" w:space="0" w:color="auto"/>
          </w:divBdr>
        </w:div>
        <w:div w:id="781074924">
          <w:marLeft w:val="640"/>
          <w:marRight w:val="0"/>
          <w:marTop w:val="0"/>
          <w:marBottom w:val="0"/>
          <w:divBdr>
            <w:top w:val="none" w:sz="0" w:space="0" w:color="auto"/>
            <w:left w:val="none" w:sz="0" w:space="0" w:color="auto"/>
            <w:bottom w:val="none" w:sz="0" w:space="0" w:color="auto"/>
            <w:right w:val="none" w:sz="0" w:space="0" w:color="auto"/>
          </w:divBdr>
        </w:div>
        <w:div w:id="632904787">
          <w:marLeft w:val="640"/>
          <w:marRight w:val="0"/>
          <w:marTop w:val="0"/>
          <w:marBottom w:val="0"/>
          <w:divBdr>
            <w:top w:val="none" w:sz="0" w:space="0" w:color="auto"/>
            <w:left w:val="none" w:sz="0" w:space="0" w:color="auto"/>
            <w:bottom w:val="none" w:sz="0" w:space="0" w:color="auto"/>
            <w:right w:val="none" w:sz="0" w:space="0" w:color="auto"/>
          </w:divBdr>
        </w:div>
        <w:div w:id="1928536388">
          <w:marLeft w:val="640"/>
          <w:marRight w:val="0"/>
          <w:marTop w:val="0"/>
          <w:marBottom w:val="0"/>
          <w:divBdr>
            <w:top w:val="none" w:sz="0" w:space="0" w:color="auto"/>
            <w:left w:val="none" w:sz="0" w:space="0" w:color="auto"/>
            <w:bottom w:val="none" w:sz="0" w:space="0" w:color="auto"/>
            <w:right w:val="none" w:sz="0" w:space="0" w:color="auto"/>
          </w:divBdr>
        </w:div>
        <w:div w:id="1284926882">
          <w:marLeft w:val="640"/>
          <w:marRight w:val="0"/>
          <w:marTop w:val="0"/>
          <w:marBottom w:val="0"/>
          <w:divBdr>
            <w:top w:val="none" w:sz="0" w:space="0" w:color="auto"/>
            <w:left w:val="none" w:sz="0" w:space="0" w:color="auto"/>
            <w:bottom w:val="none" w:sz="0" w:space="0" w:color="auto"/>
            <w:right w:val="none" w:sz="0" w:space="0" w:color="auto"/>
          </w:divBdr>
        </w:div>
        <w:div w:id="209222338">
          <w:marLeft w:val="640"/>
          <w:marRight w:val="0"/>
          <w:marTop w:val="0"/>
          <w:marBottom w:val="0"/>
          <w:divBdr>
            <w:top w:val="none" w:sz="0" w:space="0" w:color="auto"/>
            <w:left w:val="none" w:sz="0" w:space="0" w:color="auto"/>
            <w:bottom w:val="none" w:sz="0" w:space="0" w:color="auto"/>
            <w:right w:val="none" w:sz="0" w:space="0" w:color="auto"/>
          </w:divBdr>
        </w:div>
        <w:div w:id="601574726">
          <w:marLeft w:val="640"/>
          <w:marRight w:val="0"/>
          <w:marTop w:val="0"/>
          <w:marBottom w:val="0"/>
          <w:divBdr>
            <w:top w:val="none" w:sz="0" w:space="0" w:color="auto"/>
            <w:left w:val="none" w:sz="0" w:space="0" w:color="auto"/>
            <w:bottom w:val="none" w:sz="0" w:space="0" w:color="auto"/>
            <w:right w:val="none" w:sz="0" w:space="0" w:color="auto"/>
          </w:divBdr>
        </w:div>
        <w:div w:id="40711957">
          <w:marLeft w:val="640"/>
          <w:marRight w:val="0"/>
          <w:marTop w:val="0"/>
          <w:marBottom w:val="0"/>
          <w:divBdr>
            <w:top w:val="none" w:sz="0" w:space="0" w:color="auto"/>
            <w:left w:val="none" w:sz="0" w:space="0" w:color="auto"/>
            <w:bottom w:val="none" w:sz="0" w:space="0" w:color="auto"/>
            <w:right w:val="none" w:sz="0" w:space="0" w:color="auto"/>
          </w:divBdr>
        </w:div>
        <w:div w:id="1107040214">
          <w:marLeft w:val="640"/>
          <w:marRight w:val="0"/>
          <w:marTop w:val="0"/>
          <w:marBottom w:val="0"/>
          <w:divBdr>
            <w:top w:val="none" w:sz="0" w:space="0" w:color="auto"/>
            <w:left w:val="none" w:sz="0" w:space="0" w:color="auto"/>
            <w:bottom w:val="none" w:sz="0" w:space="0" w:color="auto"/>
            <w:right w:val="none" w:sz="0" w:space="0" w:color="auto"/>
          </w:divBdr>
        </w:div>
        <w:div w:id="1989094344">
          <w:marLeft w:val="640"/>
          <w:marRight w:val="0"/>
          <w:marTop w:val="0"/>
          <w:marBottom w:val="0"/>
          <w:divBdr>
            <w:top w:val="none" w:sz="0" w:space="0" w:color="auto"/>
            <w:left w:val="none" w:sz="0" w:space="0" w:color="auto"/>
            <w:bottom w:val="none" w:sz="0" w:space="0" w:color="auto"/>
            <w:right w:val="none" w:sz="0" w:space="0" w:color="auto"/>
          </w:divBdr>
        </w:div>
        <w:div w:id="438646254">
          <w:marLeft w:val="640"/>
          <w:marRight w:val="0"/>
          <w:marTop w:val="0"/>
          <w:marBottom w:val="0"/>
          <w:divBdr>
            <w:top w:val="none" w:sz="0" w:space="0" w:color="auto"/>
            <w:left w:val="none" w:sz="0" w:space="0" w:color="auto"/>
            <w:bottom w:val="none" w:sz="0" w:space="0" w:color="auto"/>
            <w:right w:val="none" w:sz="0" w:space="0" w:color="auto"/>
          </w:divBdr>
        </w:div>
        <w:div w:id="10768691">
          <w:marLeft w:val="640"/>
          <w:marRight w:val="0"/>
          <w:marTop w:val="0"/>
          <w:marBottom w:val="0"/>
          <w:divBdr>
            <w:top w:val="none" w:sz="0" w:space="0" w:color="auto"/>
            <w:left w:val="none" w:sz="0" w:space="0" w:color="auto"/>
            <w:bottom w:val="none" w:sz="0" w:space="0" w:color="auto"/>
            <w:right w:val="none" w:sz="0" w:space="0" w:color="auto"/>
          </w:divBdr>
        </w:div>
        <w:div w:id="1055810219">
          <w:marLeft w:val="640"/>
          <w:marRight w:val="0"/>
          <w:marTop w:val="0"/>
          <w:marBottom w:val="0"/>
          <w:divBdr>
            <w:top w:val="none" w:sz="0" w:space="0" w:color="auto"/>
            <w:left w:val="none" w:sz="0" w:space="0" w:color="auto"/>
            <w:bottom w:val="none" w:sz="0" w:space="0" w:color="auto"/>
            <w:right w:val="none" w:sz="0" w:space="0" w:color="auto"/>
          </w:divBdr>
        </w:div>
        <w:div w:id="1357973015">
          <w:marLeft w:val="640"/>
          <w:marRight w:val="0"/>
          <w:marTop w:val="0"/>
          <w:marBottom w:val="0"/>
          <w:divBdr>
            <w:top w:val="none" w:sz="0" w:space="0" w:color="auto"/>
            <w:left w:val="none" w:sz="0" w:space="0" w:color="auto"/>
            <w:bottom w:val="none" w:sz="0" w:space="0" w:color="auto"/>
            <w:right w:val="none" w:sz="0" w:space="0" w:color="auto"/>
          </w:divBdr>
        </w:div>
        <w:div w:id="497573104">
          <w:marLeft w:val="640"/>
          <w:marRight w:val="0"/>
          <w:marTop w:val="0"/>
          <w:marBottom w:val="0"/>
          <w:divBdr>
            <w:top w:val="none" w:sz="0" w:space="0" w:color="auto"/>
            <w:left w:val="none" w:sz="0" w:space="0" w:color="auto"/>
            <w:bottom w:val="none" w:sz="0" w:space="0" w:color="auto"/>
            <w:right w:val="none" w:sz="0" w:space="0" w:color="auto"/>
          </w:divBdr>
        </w:div>
        <w:div w:id="57175449">
          <w:marLeft w:val="640"/>
          <w:marRight w:val="0"/>
          <w:marTop w:val="0"/>
          <w:marBottom w:val="0"/>
          <w:divBdr>
            <w:top w:val="none" w:sz="0" w:space="0" w:color="auto"/>
            <w:left w:val="none" w:sz="0" w:space="0" w:color="auto"/>
            <w:bottom w:val="none" w:sz="0" w:space="0" w:color="auto"/>
            <w:right w:val="none" w:sz="0" w:space="0" w:color="auto"/>
          </w:divBdr>
        </w:div>
        <w:div w:id="594477607">
          <w:marLeft w:val="640"/>
          <w:marRight w:val="0"/>
          <w:marTop w:val="0"/>
          <w:marBottom w:val="0"/>
          <w:divBdr>
            <w:top w:val="none" w:sz="0" w:space="0" w:color="auto"/>
            <w:left w:val="none" w:sz="0" w:space="0" w:color="auto"/>
            <w:bottom w:val="none" w:sz="0" w:space="0" w:color="auto"/>
            <w:right w:val="none" w:sz="0" w:space="0" w:color="auto"/>
          </w:divBdr>
        </w:div>
        <w:div w:id="555361955">
          <w:marLeft w:val="640"/>
          <w:marRight w:val="0"/>
          <w:marTop w:val="0"/>
          <w:marBottom w:val="0"/>
          <w:divBdr>
            <w:top w:val="none" w:sz="0" w:space="0" w:color="auto"/>
            <w:left w:val="none" w:sz="0" w:space="0" w:color="auto"/>
            <w:bottom w:val="none" w:sz="0" w:space="0" w:color="auto"/>
            <w:right w:val="none" w:sz="0" w:space="0" w:color="auto"/>
          </w:divBdr>
        </w:div>
        <w:div w:id="1398625378">
          <w:marLeft w:val="640"/>
          <w:marRight w:val="0"/>
          <w:marTop w:val="0"/>
          <w:marBottom w:val="0"/>
          <w:divBdr>
            <w:top w:val="none" w:sz="0" w:space="0" w:color="auto"/>
            <w:left w:val="none" w:sz="0" w:space="0" w:color="auto"/>
            <w:bottom w:val="none" w:sz="0" w:space="0" w:color="auto"/>
            <w:right w:val="none" w:sz="0" w:space="0" w:color="auto"/>
          </w:divBdr>
        </w:div>
        <w:div w:id="1302227698">
          <w:marLeft w:val="640"/>
          <w:marRight w:val="0"/>
          <w:marTop w:val="0"/>
          <w:marBottom w:val="0"/>
          <w:divBdr>
            <w:top w:val="none" w:sz="0" w:space="0" w:color="auto"/>
            <w:left w:val="none" w:sz="0" w:space="0" w:color="auto"/>
            <w:bottom w:val="none" w:sz="0" w:space="0" w:color="auto"/>
            <w:right w:val="none" w:sz="0" w:space="0" w:color="auto"/>
          </w:divBdr>
        </w:div>
        <w:div w:id="1874269948">
          <w:marLeft w:val="640"/>
          <w:marRight w:val="0"/>
          <w:marTop w:val="0"/>
          <w:marBottom w:val="0"/>
          <w:divBdr>
            <w:top w:val="none" w:sz="0" w:space="0" w:color="auto"/>
            <w:left w:val="none" w:sz="0" w:space="0" w:color="auto"/>
            <w:bottom w:val="none" w:sz="0" w:space="0" w:color="auto"/>
            <w:right w:val="none" w:sz="0" w:space="0" w:color="auto"/>
          </w:divBdr>
        </w:div>
        <w:div w:id="1254245811">
          <w:marLeft w:val="640"/>
          <w:marRight w:val="0"/>
          <w:marTop w:val="0"/>
          <w:marBottom w:val="0"/>
          <w:divBdr>
            <w:top w:val="none" w:sz="0" w:space="0" w:color="auto"/>
            <w:left w:val="none" w:sz="0" w:space="0" w:color="auto"/>
            <w:bottom w:val="none" w:sz="0" w:space="0" w:color="auto"/>
            <w:right w:val="none" w:sz="0" w:space="0" w:color="auto"/>
          </w:divBdr>
        </w:div>
        <w:div w:id="2000843533">
          <w:marLeft w:val="640"/>
          <w:marRight w:val="0"/>
          <w:marTop w:val="0"/>
          <w:marBottom w:val="0"/>
          <w:divBdr>
            <w:top w:val="none" w:sz="0" w:space="0" w:color="auto"/>
            <w:left w:val="none" w:sz="0" w:space="0" w:color="auto"/>
            <w:bottom w:val="none" w:sz="0" w:space="0" w:color="auto"/>
            <w:right w:val="none" w:sz="0" w:space="0" w:color="auto"/>
          </w:divBdr>
        </w:div>
        <w:div w:id="1576627667">
          <w:marLeft w:val="640"/>
          <w:marRight w:val="0"/>
          <w:marTop w:val="0"/>
          <w:marBottom w:val="0"/>
          <w:divBdr>
            <w:top w:val="none" w:sz="0" w:space="0" w:color="auto"/>
            <w:left w:val="none" w:sz="0" w:space="0" w:color="auto"/>
            <w:bottom w:val="none" w:sz="0" w:space="0" w:color="auto"/>
            <w:right w:val="none" w:sz="0" w:space="0" w:color="auto"/>
          </w:divBdr>
        </w:div>
        <w:div w:id="1912233774">
          <w:marLeft w:val="640"/>
          <w:marRight w:val="0"/>
          <w:marTop w:val="0"/>
          <w:marBottom w:val="0"/>
          <w:divBdr>
            <w:top w:val="none" w:sz="0" w:space="0" w:color="auto"/>
            <w:left w:val="none" w:sz="0" w:space="0" w:color="auto"/>
            <w:bottom w:val="none" w:sz="0" w:space="0" w:color="auto"/>
            <w:right w:val="none" w:sz="0" w:space="0" w:color="auto"/>
          </w:divBdr>
        </w:div>
        <w:div w:id="63459663">
          <w:marLeft w:val="640"/>
          <w:marRight w:val="0"/>
          <w:marTop w:val="0"/>
          <w:marBottom w:val="0"/>
          <w:divBdr>
            <w:top w:val="none" w:sz="0" w:space="0" w:color="auto"/>
            <w:left w:val="none" w:sz="0" w:space="0" w:color="auto"/>
            <w:bottom w:val="none" w:sz="0" w:space="0" w:color="auto"/>
            <w:right w:val="none" w:sz="0" w:space="0" w:color="auto"/>
          </w:divBdr>
        </w:div>
        <w:div w:id="1841461121">
          <w:marLeft w:val="640"/>
          <w:marRight w:val="0"/>
          <w:marTop w:val="0"/>
          <w:marBottom w:val="0"/>
          <w:divBdr>
            <w:top w:val="none" w:sz="0" w:space="0" w:color="auto"/>
            <w:left w:val="none" w:sz="0" w:space="0" w:color="auto"/>
            <w:bottom w:val="none" w:sz="0" w:space="0" w:color="auto"/>
            <w:right w:val="none" w:sz="0" w:space="0" w:color="auto"/>
          </w:divBdr>
        </w:div>
        <w:div w:id="1289700804">
          <w:marLeft w:val="640"/>
          <w:marRight w:val="0"/>
          <w:marTop w:val="0"/>
          <w:marBottom w:val="0"/>
          <w:divBdr>
            <w:top w:val="none" w:sz="0" w:space="0" w:color="auto"/>
            <w:left w:val="none" w:sz="0" w:space="0" w:color="auto"/>
            <w:bottom w:val="none" w:sz="0" w:space="0" w:color="auto"/>
            <w:right w:val="none" w:sz="0" w:space="0" w:color="auto"/>
          </w:divBdr>
        </w:div>
        <w:div w:id="465271426">
          <w:marLeft w:val="640"/>
          <w:marRight w:val="0"/>
          <w:marTop w:val="0"/>
          <w:marBottom w:val="0"/>
          <w:divBdr>
            <w:top w:val="none" w:sz="0" w:space="0" w:color="auto"/>
            <w:left w:val="none" w:sz="0" w:space="0" w:color="auto"/>
            <w:bottom w:val="none" w:sz="0" w:space="0" w:color="auto"/>
            <w:right w:val="none" w:sz="0" w:space="0" w:color="auto"/>
          </w:divBdr>
        </w:div>
        <w:div w:id="2081560713">
          <w:marLeft w:val="640"/>
          <w:marRight w:val="0"/>
          <w:marTop w:val="0"/>
          <w:marBottom w:val="0"/>
          <w:divBdr>
            <w:top w:val="none" w:sz="0" w:space="0" w:color="auto"/>
            <w:left w:val="none" w:sz="0" w:space="0" w:color="auto"/>
            <w:bottom w:val="none" w:sz="0" w:space="0" w:color="auto"/>
            <w:right w:val="none" w:sz="0" w:space="0" w:color="auto"/>
          </w:divBdr>
        </w:div>
        <w:div w:id="1226142868">
          <w:marLeft w:val="640"/>
          <w:marRight w:val="0"/>
          <w:marTop w:val="0"/>
          <w:marBottom w:val="0"/>
          <w:divBdr>
            <w:top w:val="none" w:sz="0" w:space="0" w:color="auto"/>
            <w:left w:val="none" w:sz="0" w:space="0" w:color="auto"/>
            <w:bottom w:val="none" w:sz="0" w:space="0" w:color="auto"/>
            <w:right w:val="none" w:sz="0" w:space="0" w:color="auto"/>
          </w:divBdr>
        </w:div>
        <w:div w:id="1984891318">
          <w:marLeft w:val="640"/>
          <w:marRight w:val="0"/>
          <w:marTop w:val="0"/>
          <w:marBottom w:val="0"/>
          <w:divBdr>
            <w:top w:val="none" w:sz="0" w:space="0" w:color="auto"/>
            <w:left w:val="none" w:sz="0" w:space="0" w:color="auto"/>
            <w:bottom w:val="none" w:sz="0" w:space="0" w:color="auto"/>
            <w:right w:val="none" w:sz="0" w:space="0" w:color="auto"/>
          </w:divBdr>
        </w:div>
        <w:div w:id="374500537">
          <w:marLeft w:val="640"/>
          <w:marRight w:val="0"/>
          <w:marTop w:val="0"/>
          <w:marBottom w:val="0"/>
          <w:divBdr>
            <w:top w:val="none" w:sz="0" w:space="0" w:color="auto"/>
            <w:left w:val="none" w:sz="0" w:space="0" w:color="auto"/>
            <w:bottom w:val="none" w:sz="0" w:space="0" w:color="auto"/>
            <w:right w:val="none" w:sz="0" w:space="0" w:color="auto"/>
          </w:divBdr>
        </w:div>
        <w:div w:id="453717049">
          <w:marLeft w:val="640"/>
          <w:marRight w:val="0"/>
          <w:marTop w:val="0"/>
          <w:marBottom w:val="0"/>
          <w:divBdr>
            <w:top w:val="none" w:sz="0" w:space="0" w:color="auto"/>
            <w:left w:val="none" w:sz="0" w:space="0" w:color="auto"/>
            <w:bottom w:val="none" w:sz="0" w:space="0" w:color="auto"/>
            <w:right w:val="none" w:sz="0" w:space="0" w:color="auto"/>
          </w:divBdr>
        </w:div>
        <w:div w:id="162546561">
          <w:marLeft w:val="640"/>
          <w:marRight w:val="0"/>
          <w:marTop w:val="0"/>
          <w:marBottom w:val="0"/>
          <w:divBdr>
            <w:top w:val="none" w:sz="0" w:space="0" w:color="auto"/>
            <w:left w:val="none" w:sz="0" w:space="0" w:color="auto"/>
            <w:bottom w:val="none" w:sz="0" w:space="0" w:color="auto"/>
            <w:right w:val="none" w:sz="0" w:space="0" w:color="auto"/>
          </w:divBdr>
        </w:div>
        <w:div w:id="972751435">
          <w:marLeft w:val="640"/>
          <w:marRight w:val="0"/>
          <w:marTop w:val="0"/>
          <w:marBottom w:val="0"/>
          <w:divBdr>
            <w:top w:val="none" w:sz="0" w:space="0" w:color="auto"/>
            <w:left w:val="none" w:sz="0" w:space="0" w:color="auto"/>
            <w:bottom w:val="none" w:sz="0" w:space="0" w:color="auto"/>
            <w:right w:val="none" w:sz="0" w:space="0" w:color="auto"/>
          </w:divBdr>
        </w:div>
        <w:div w:id="185292545">
          <w:marLeft w:val="640"/>
          <w:marRight w:val="0"/>
          <w:marTop w:val="0"/>
          <w:marBottom w:val="0"/>
          <w:divBdr>
            <w:top w:val="none" w:sz="0" w:space="0" w:color="auto"/>
            <w:left w:val="none" w:sz="0" w:space="0" w:color="auto"/>
            <w:bottom w:val="none" w:sz="0" w:space="0" w:color="auto"/>
            <w:right w:val="none" w:sz="0" w:space="0" w:color="auto"/>
          </w:divBdr>
        </w:div>
        <w:div w:id="1472096298">
          <w:marLeft w:val="640"/>
          <w:marRight w:val="0"/>
          <w:marTop w:val="0"/>
          <w:marBottom w:val="0"/>
          <w:divBdr>
            <w:top w:val="none" w:sz="0" w:space="0" w:color="auto"/>
            <w:left w:val="none" w:sz="0" w:space="0" w:color="auto"/>
            <w:bottom w:val="none" w:sz="0" w:space="0" w:color="auto"/>
            <w:right w:val="none" w:sz="0" w:space="0" w:color="auto"/>
          </w:divBdr>
        </w:div>
        <w:div w:id="1082722570">
          <w:marLeft w:val="640"/>
          <w:marRight w:val="0"/>
          <w:marTop w:val="0"/>
          <w:marBottom w:val="0"/>
          <w:divBdr>
            <w:top w:val="none" w:sz="0" w:space="0" w:color="auto"/>
            <w:left w:val="none" w:sz="0" w:space="0" w:color="auto"/>
            <w:bottom w:val="none" w:sz="0" w:space="0" w:color="auto"/>
            <w:right w:val="none" w:sz="0" w:space="0" w:color="auto"/>
          </w:divBdr>
        </w:div>
        <w:div w:id="1057783031">
          <w:marLeft w:val="640"/>
          <w:marRight w:val="0"/>
          <w:marTop w:val="0"/>
          <w:marBottom w:val="0"/>
          <w:divBdr>
            <w:top w:val="none" w:sz="0" w:space="0" w:color="auto"/>
            <w:left w:val="none" w:sz="0" w:space="0" w:color="auto"/>
            <w:bottom w:val="none" w:sz="0" w:space="0" w:color="auto"/>
            <w:right w:val="none" w:sz="0" w:space="0" w:color="auto"/>
          </w:divBdr>
        </w:div>
        <w:div w:id="1058284395">
          <w:marLeft w:val="640"/>
          <w:marRight w:val="0"/>
          <w:marTop w:val="0"/>
          <w:marBottom w:val="0"/>
          <w:divBdr>
            <w:top w:val="none" w:sz="0" w:space="0" w:color="auto"/>
            <w:left w:val="none" w:sz="0" w:space="0" w:color="auto"/>
            <w:bottom w:val="none" w:sz="0" w:space="0" w:color="auto"/>
            <w:right w:val="none" w:sz="0" w:space="0" w:color="auto"/>
          </w:divBdr>
        </w:div>
        <w:div w:id="1446387541">
          <w:marLeft w:val="640"/>
          <w:marRight w:val="0"/>
          <w:marTop w:val="0"/>
          <w:marBottom w:val="0"/>
          <w:divBdr>
            <w:top w:val="none" w:sz="0" w:space="0" w:color="auto"/>
            <w:left w:val="none" w:sz="0" w:space="0" w:color="auto"/>
            <w:bottom w:val="none" w:sz="0" w:space="0" w:color="auto"/>
            <w:right w:val="none" w:sz="0" w:space="0" w:color="auto"/>
          </w:divBdr>
        </w:div>
        <w:div w:id="90663056">
          <w:marLeft w:val="640"/>
          <w:marRight w:val="0"/>
          <w:marTop w:val="0"/>
          <w:marBottom w:val="0"/>
          <w:divBdr>
            <w:top w:val="none" w:sz="0" w:space="0" w:color="auto"/>
            <w:left w:val="none" w:sz="0" w:space="0" w:color="auto"/>
            <w:bottom w:val="none" w:sz="0" w:space="0" w:color="auto"/>
            <w:right w:val="none" w:sz="0" w:space="0" w:color="auto"/>
          </w:divBdr>
        </w:div>
        <w:div w:id="2072650717">
          <w:marLeft w:val="640"/>
          <w:marRight w:val="0"/>
          <w:marTop w:val="0"/>
          <w:marBottom w:val="0"/>
          <w:divBdr>
            <w:top w:val="none" w:sz="0" w:space="0" w:color="auto"/>
            <w:left w:val="none" w:sz="0" w:space="0" w:color="auto"/>
            <w:bottom w:val="none" w:sz="0" w:space="0" w:color="auto"/>
            <w:right w:val="none" w:sz="0" w:space="0" w:color="auto"/>
          </w:divBdr>
        </w:div>
        <w:div w:id="1520199598">
          <w:marLeft w:val="640"/>
          <w:marRight w:val="0"/>
          <w:marTop w:val="0"/>
          <w:marBottom w:val="0"/>
          <w:divBdr>
            <w:top w:val="none" w:sz="0" w:space="0" w:color="auto"/>
            <w:left w:val="none" w:sz="0" w:space="0" w:color="auto"/>
            <w:bottom w:val="none" w:sz="0" w:space="0" w:color="auto"/>
            <w:right w:val="none" w:sz="0" w:space="0" w:color="auto"/>
          </w:divBdr>
        </w:div>
        <w:div w:id="739913286">
          <w:marLeft w:val="640"/>
          <w:marRight w:val="0"/>
          <w:marTop w:val="0"/>
          <w:marBottom w:val="0"/>
          <w:divBdr>
            <w:top w:val="none" w:sz="0" w:space="0" w:color="auto"/>
            <w:left w:val="none" w:sz="0" w:space="0" w:color="auto"/>
            <w:bottom w:val="none" w:sz="0" w:space="0" w:color="auto"/>
            <w:right w:val="none" w:sz="0" w:space="0" w:color="auto"/>
          </w:divBdr>
        </w:div>
        <w:div w:id="1411848386">
          <w:marLeft w:val="640"/>
          <w:marRight w:val="0"/>
          <w:marTop w:val="0"/>
          <w:marBottom w:val="0"/>
          <w:divBdr>
            <w:top w:val="none" w:sz="0" w:space="0" w:color="auto"/>
            <w:left w:val="none" w:sz="0" w:space="0" w:color="auto"/>
            <w:bottom w:val="none" w:sz="0" w:space="0" w:color="auto"/>
            <w:right w:val="none" w:sz="0" w:space="0" w:color="auto"/>
          </w:divBdr>
        </w:div>
        <w:div w:id="1676759715">
          <w:marLeft w:val="640"/>
          <w:marRight w:val="0"/>
          <w:marTop w:val="0"/>
          <w:marBottom w:val="0"/>
          <w:divBdr>
            <w:top w:val="none" w:sz="0" w:space="0" w:color="auto"/>
            <w:left w:val="none" w:sz="0" w:space="0" w:color="auto"/>
            <w:bottom w:val="none" w:sz="0" w:space="0" w:color="auto"/>
            <w:right w:val="none" w:sz="0" w:space="0" w:color="auto"/>
          </w:divBdr>
        </w:div>
      </w:divsChild>
    </w:div>
    <w:div w:id="1729956376">
      <w:bodyDiv w:val="1"/>
      <w:marLeft w:val="0"/>
      <w:marRight w:val="0"/>
      <w:marTop w:val="0"/>
      <w:marBottom w:val="0"/>
      <w:divBdr>
        <w:top w:val="none" w:sz="0" w:space="0" w:color="auto"/>
        <w:left w:val="none" w:sz="0" w:space="0" w:color="auto"/>
        <w:bottom w:val="none" w:sz="0" w:space="0" w:color="auto"/>
        <w:right w:val="none" w:sz="0" w:space="0" w:color="auto"/>
      </w:divBdr>
    </w:div>
    <w:div w:id="1730418063">
      <w:bodyDiv w:val="1"/>
      <w:marLeft w:val="0"/>
      <w:marRight w:val="0"/>
      <w:marTop w:val="0"/>
      <w:marBottom w:val="0"/>
      <w:divBdr>
        <w:top w:val="none" w:sz="0" w:space="0" w:color="auto"/>
        <w:left w:val="none" w:sz="0" w:space="0" w:color="auto"/>
        <w:bottom w:val="none" w:sz="0" w:space="0" w:color="auto"/>
        <w:right w:val="none" w:sz="0" w:space="0" w:color="auto"/>
      </w:divBdr>
    </w:div>
    <w:div w:id="1734617746">
      <w:bodyDiv w:val="1"/>
      <w:marLeft w:val="0"/>
      <w:marRight w:val="0"/>
      <w:marTop w:val="0"/>
      <w:marBottom w:val="0"/>
      <w:divBdr>
        <w:top w:val="none" w:sz="0" w:space="0" w:color="auto"/>
        <w:left w:val="none" w:sz="0" w:space="0" w:color="auto"/>
        <w:bottom w:val="none" w:sz="0" w:space="0" w:color="auto"/>
        <w:right w:val="none" w:sz="0" w:space="0" w:color="auto"/>
      </w:divBdr>
    </w:div>
    <w:div w:id="1735155975">
      <w:bodyDiv w:val="1"/>
      <w:marLeft w:val="0"/>
      <w:marRight w:val="0"/>
      <w:marTop w:val="0"/>
      <w:marBottom w:val="0"/>
      <w:divBdr>
        <w:top w:val="none" w:sz="0" w:space="0" w:color="auto"/>
        <w:left w:val="none" w:sz="0" w:space="0" w:color="auto"/>
        <w:bottom w:val="none" w:sz="0" w:space="0" w:color="auto"/>
        <w:right w:val="none" w:sz="0" w:space="0" w:color="auto"/>
      </w:divBdr>
      <w:divsChild>
        <w:div w:id="500661748">
          <w:marLeft w:val="640"/>
          <w:marRight w:val="0"/>
          <w:marTop w:val="0"/>
          <w:marBottom w:val="0"/>
          <w:divBdr>
            <w:top w:val="none" w:sz="0" w:space="0" w:color="auto"/>
            <w:left w:val="none" w:sz="0" w:space="0" w:color="auto"/>
            <w:bottom w:val="none" w:sz="0" w:space="0" w:color="auto"/>
            <w:right w:val="none" w:sz="0" w:space="0" w:color="auto"/>
          </w:divBdr>
        </w:div>
        <w:div w:id="784008991">
          <w:marLeft w:val="640"/>
          <w:marRight w:val="0"/>
          <w:marTop w:val="0"/>
          <w:marBottom w:val="0"/>
          <w:divBdr>
            <w:top w:val="none" w:sz="0" w:space="0" w:color="auto"/>
            <w:left w:val="none" w:sz="0" w:space="0" w:color="auto"/>
            <w:bottom w:val="none" w:sz="0" w:space="0" w:color="auto"/>
            <w:right w:val="none" w:sz="0" w:space="0" w:color="auto"/>
          </w:divBdr>
        </w:div>
        <w:div w:id="756832096">
          <w:marLeft w:val="640"/>
          <w:marRight w:val="0"/>
          <w:marTop w:val="0"/>
          <w:marBottom w:val="0"/>
          <w:divBdr>
            <w:top w:val="none" w:sz="0" w:space="0" w:color="auto"/>
            <w:left w:val="none" w:sz="0" w:space="0" w:color="auto"/>
            <w:bottom w:val="none" w:sz="0" w:space="0" w:color="auto"/>
            <w:right w:val="none" w:sz="0" w:space="0" w:color="auto"/>
          </w:divBdr>
        </w:div>
        <w:div w:id="529028892">
          <w:marLeft w:val="640"/>
          <w:marRight w:val="0"/>
          <w:marTop w:val="0"/>
          <w:marBottom w:val="0"/>
          <w:divBdr>
            <w:top w:val="none" w:sz="0" w:space="0" w:color="auto"/>
            <w:left w:val="none" w:sz="0" w:space="0" w:color="auto"/>
            <w:bottom w:val="none" w:sz="0" w:space="0" w:color="auto"/>
            <w:right w:val="none" w:sz="0" w:space="0" w:color="auto"/>
          </w:divBdr>
        </w:div>
        <w:div w:id="1758625581">
          <w:marLeft w:val="640"/>
          <w:marRight w:val="0"/>
          <w:marTop w:val="0"/>
          <w:marBottom w:val="0"/>
          <w:divBdr>
            <w:top w:val="none" w:sz="0" w:space="0" w:color="auto"/>
            <w:left w:val="none" w:sz="0" w:space="0" w:color="auto"/>
            <w:bottom w:val="none" w:sz="0" w:space="0" w:color="auto"/>
            <w:right w:val="none" w:sz="0" w:space="0" w:color="auto"/>
          </w:divBdr>
        </w:div>
        <w:div w:id="453257244">
          <w:marLeft w:val="640"/>
          <w:marRight w:val="0"/>
          <w:marTop w:val="0"/>
          <w:marBottom w:val="0"/>
          <w:divBdr>
            <w:top w:val="none" w:sz="0" w:space="0" w:color="auto"/>
            <w:left w:val="none" w:sz="0" w:space="0" w:color="auto"/>
            <w:bottom w:val="none" w:sz="0" w:space="0" w:color="auto"/>
            <w:right w:val="none" w:sz="0" w:space="0" w:color="auto"/>
          </w:divBdr>
        </w:div>
        <w:div w:id="1584339184">
          <w:marLeft w:val="640"/>
          <w:marRight w:val="0"/>
          <w:marTop w:val="0"/>
          <w:marBottom w:val="0"/>
          <w:divBdr>
            <w:top w:val="none" w:sz="0" w:space="0" w:color="auto"/>
            <w:left w:val="none" w:sz="0" w:space="0" w:color="auto"/>
            <w:bottom w:val="none" w:sz="0" w:space="0" w:color="auto"/>
            <w:right w:val="none" w:sz="0" w:space="0" w:color="auto"/>
          </w:divBdr>
        </w:div>
        <w:div w:id="879364045">
          <w:marLeft w:val="640"/>
          <w:marRight w:val="0"/>
          <w:marTop w:val="0"/>
          <w:marBottom w:val="0"/>
          <w:divBdr>
            <w:top w:val="none" w:sz="0" w:space="0" w:color="auto"/>
            <w:left w:val="none" w:sz="0" w:space="0" w:color="auto"/>
            <w:bottom w:val="none" w:sz="0" w:space="0" w:color="auto"/>
            <w:right w:val="none" w:sz="0" w:space="0" w:color="auto"/>
          </w:divBdr>
        </w:div>
        <w:div w:id="1523473719">
          <w:marLeft w:val="640"/>
          <w:marRight w:val="0"/>
          <w:marTop w:val="0"/>
          <w:marBottom w:val="0"/>
          <w:divBdr>
            <w:top w:val="none" w:sz="0" w:space="0" w:color="auto"/>
            <w:left w:val="none" w:sz="0" w:space="0" w:color="auto"/>
            <w:bottom w:val="none" w:sz="0" w:space="0" w:color="auto"/>
            <w:right w:val="none" w:sz="0" w:space="0" w:color="auto"/>
          </w:divBdr>
        </w:div>
        <w:div w:id="677780077">
          <w:marLeft w:val="640"/>
          <w:marRight w:val="0"/>
          <w:marTop w:val="0"/>
          <w:marBottom w:val="0"/>
          <w:divBdr>
            <w:top w:val="none" w:sz="0" w:space="0" w:color="auto"/>
            <w:left w:val="none" w:sz="0" w:space="0" w:color="auto"/>
            <w:bottom w:val="none" w:sz="0" w:space="0" w:color="auto"/>
            <w:right w:val="none" w:sz="0" w:space="0" w:color="auto"/>
          </w:divBdr>
        </w:div>
        <w:div w:id="1353531623">
          <w:marLeft w:val="640"/>
          <w:marRight w:val="0"/>
          <w:marTop w:val="0"/>
          <w:marBottom w:val="0"/>
          <w:divBdr>
            <w:top w:val="none" w:sz="0" w:space="0" w:color="auto"/>
            <w:left w:val="none" w:sz="0" w:space="0" w:color="auto"/>
            <w:bottom w:val="none" w:sz="0" w:space="0" w:color="auto"/>
            <w:right w:val="none" w:sz="0" w:space="0" w:color="auto"/>
          </w:divBdr>
        </w:div>
        <w:div w:id="9112650">
          <w:marLeft w:val="640"/>
          <w:marRight w:val="0"/>
          <w:marTop w:val="0"/>
          <w:marBottom w:val="0"/>
          <w:divBdr>
            <w:top w:val="none" w:sz="0" w:space="0" w:color="auto"/>
            <w:left w:val="none" w:sz="0" w:space="0" w:color="auto"/>
            <w:bottom w:val="none" w:sz="0" w:space="0" w:color="auto"/>
            <w:right w:val="none" w:sz="0" w:space="0" w:color="auto"/>
          </w:divBdr>
        </w:div>
        <w:div w:id="2052879516">
          <w:marLeft w:val="640"/>
          <w:marRight w:val="0"/>
          <w:marTop w:val="0"/>
          <w:marBottom w:val="0"/>
          <w:divBdr>
            <w:top w:val="none" w:sz="0" w:space="0" w:color="auto"/>
            <w:left w:val="none" w:sz="0" w:space="0" w:color="auto"/>
            <w:bottom w:val="none" w:sz="0" w:space="0" w:color="auto"/>
            <w:right w:val="none" w:sz="0" w:space="0" w:color="auto"/>
          </w:divBdr>
        </w:div>
        <w:div w:id="821653091">
          <w:marLeft w:val="640"/>
          <w:marRight w:val="0"/>
          <w:marTop w:val="0"/>
          <w:marBottom w:val="0"/>
          <w:divBdr>
            <w:top w:val="none" w:sz="0" w:space="0" w:color="auto"/>
            <w:left w:val="none" w:sz="0" w:space="0" w:color="auto"/>
            <w:bottom w:val="none" w:sz="0" w:space="0" w:color="auto"/>
            <w:right w:val="none" w:sz="0" w:space="0" w:color="auto"/>
          </w:divBdr>
        </w:div>
        <w:div w:id="2061898726">
          <w:marLeft w:val="640"/>
          <w:marRight w:val="0"/>
          <w:marTop w:val="0"/>
          <w:marBottom w:val="0"/>
          <w:divBdr>
            <w:top w:val="none" w:sz="0" w:space="0" w:color="auto"/>
            <w:left w:val="none" w:sz="0" w:space="0" w:color="auto"/>
            <w:bottom w:val="none" w:sz="0" w:space="0" w:color="auto"/>
            <w:right w:val="none" w:sz="0" w:space="0" w:color="auto"/>
          </w:divBdr>
        </w:div>
        <w:div w:id="2068382700">
          <w:marLeft w:val="640"/>
          <w:marRight w:val="0"/>
          <w:marTop w:val="0"/>
          <w:marBottom w:val="0"/>
          <w:divBdr>
            <w:top w:val="none" w:sz="0" w:space="0" w:color="auto"/>
            <w:left w:val="none" w:sz="0" w:space="0" w:color="auto"/>
            <w:bottom w:val="none" w:sz="0" w:space="0" w:color="auto"/>
            <w:right w:val="none" w:sz="0" w:space="0" w:color="auto"/>
          </w:divBdr>
        </w:div>
        <w:div w:id="29768730">
          <w:marLeft w:val="640"/>
          <w:marRight w:val="0"/>
          <w:marTop w:val="0"/>
          <w:marBottom w:val="0"/>
          <w:divBdr>
            <w:top w:val="none" w:sz="0" w:space="0" w:color="auto"/>
            <w:left w:val="none" w:sz="0" w:space="0" w:color="auto"/>
            <w:bottom w:val="none" w:sz="0" w:space="0" w:color="auto"/>
            <w:right w:val="none" w:sz="0" w:space="0" w:color="auto"/>
          </w:divBdr>
        </w:div>
        <w:div w:id="1072848880">
          <w:marLeft w:val="640"/>
          <w:marRight w:val="0"/>
          <w:marTop w:val="0"/>
          <w:marBottom w:val="0"/>
          <w:divBdr>
            <w:top w:val="none" w:sz="0" w:space="0" w:color="auto"/>
            <w:left w:val="none" w:sz="0" w:space="0" w:color="auto"/>
            <w:bottom w:val="none" w:sz="0" w:space="0" w:color="auto"/>
            <w:right w:val="none" w:sz="0" w:space="0" w:color="auto"/>
          </w:divBdr>
        </w:div>
        <w:div w:id="824277138">
          <w:marLeft w:val="640"/>
          <w:marRight w:val="0"/>
          <w:marTop w:val="0"/>
          <w:marBottom w:val="0"/>
          <w:divBdr>
            <w:top w:val="none" w:sz="0" w:space="0" w:color="auto"/>
            <w:left w:val="none" w:sz="0" w:space="0" w:color="auto"/>
            <w:bottom w:val="none" w:sz="0" w:space="0" w:color="auto"/>
            <w:right w:val="none" w:sz="0" w:space="0" w:color="auto"/>
          </w:divBdr>
        </w:div>
        <w:div w:id="502860078">
          <w:marLeft w:val="640"/>
          <w:marRight w:val="0"/>
          <w:marTop w:val="0"/>
          <w:marBottom w:val="0"/>
          <w:divBdr>
            <w:top w:val="none" w:sz="0" w:space="0" w:color="auto"/>
            <w:left w:val="none" w:sz="0" w:space="0" w:color="auto"/>
            <w:bottom w:val="none" w:sz="0" w:space="0" w:color="auto"/>
            <w:right w:val="none" w:sz="0" w:space="0" w:color="auto"/>
          </w:divBdr>
        </w:div>
        <w:div w:id="696538689">
          <w:marLeft w:val="640"/>
          <w:marRight w:val="0"/>
          <w:marTop w:val="0"/>
          <w:marBottom w:val="0"/>
          <w:divBdr>
            <w:top w:val="none" w:sz="0" w:space="0" w:color="auto"/>
            <w:left w:val="none" w:sz="0" w:space="0" w:color="auto"/>
            <w:bottom w:val="none" w:sz="0" w:space="0" w:color="auto"/>
            <w:right w:val="none" w:sz="0" w:space="0" w:color="auto"/>
          </w:divBdr>
        </w:div>
        <w:div w:id="324939381">
          <w:marLeft w:val="640"/>
          <w:marRight w:val="0"/>
          <w:marTop w:val="0"/>
          <w:marBottom w:val="0"/>
          <w:divBdr>
            <w:top w:val="none" w:sz="0" w:space="0" w:color="auto"/>
            <w:left w:val="none" w:sz="0" w:space="0" w:color="auto"/>
            <w:bottom w:val="none" w:sz="0" w:space="0" w:color="auto"/>
            <w:right w:val="none" w:sz="0" w:space="0" w:color="auto"/>
          </w:divBdr>
        </w:div>
        <w:div w:id="1648169672">
          <w:marLeft w:val="640"/>
          <w:marRight w:val="0"/>
          <w:marTop w:val="0"/>
          <w:marBottom w:val="0"/>
          <w:divBdr>
            <w:top w:val="none" w:sz="0" w:space="0" w:color="auto"/>
            <w:left w:val="none" w:sz="0" w:space="0" w:color="auto"/>
            <w:bottom w:val="none" w:sz="0" w:space="0" w:color="auto"/>
            <w:right w:val="none" w:sz="0" w:space="0" w:color="auto"/>
          </w:divBdr>
        </w:div>
        <w:div w:id="344022142">
          <w:marLeft w:val="640"/>
          <w:marRight w:val="0"/>
          <w:marTop w:val="0"/>
          <w:marBottom w:val="0"/>
          <w:divBdr>
            <w:top w:val="none" w:sz="0" w:space="0" w:color="auto"/>
            <w:left w:val="none" w:sz="0" w:space="0" w:color="auto"/>
            <w:bottom w:val="none" w:sz="0" w:space="0" w:color="auto"/>
            <w:right w:val="none" w:sz="0" w:space="0" w:color="auto"/>
          </w:divBdr>
        </w:div>
        <w:div w:id="1901547">
          <w:marLeft w:val="640"/>
          <w:marRight w:val="0"/>
          <w:marTop w:val="0"/>
          <w:marBottom w:val="0"/>
          <w:divBdr>
            <w:top w:val="none" w:sz="0" w:space="0" w:color="auto"/>
            <w:left w:val="none" w:sz="0" w:space="0" w:color="auto"/>
            <w:bottom w:val="none" w:sz="0" w:space="0" w:color="auto"/>
            <w:right w:val="none" w:sz="0" w:space="0" w:color="auto"/>
          </w:divBdr>
        </w:div>
        <w:div w:id="1523472227">
          <w:marLeft w:val="640"/>
          <w:marRight w:val="0"/>
          <w:marTop w:val="0"/>
          <w:marBottom w:val="0"/>
          <w:divBdr>
            <w:top w:val="none" w:sz="0" w:space="0" w:color="auto"/>
            <w:left w:val="none" w:sz="0" w:space="0" w:color="auto"/>
            <w:bottom w:val="none" w:sz="0" w:space="0" w:color="auto"/>
            <w:right w:val="none" w:sz="0" w:space="0" w:color="auto"/>
          </w:divBdr>
        </w:div>
        <w:div w:id="369769653">
          <w:marLeft w:val="640"/>
          <w:marRight w:val="0"/>
          <w:marTop w:val="0"/>
          <w:marBottom w:val="0"/>
          <w:divBdr>
            <w:top w:val="none" w:sz="0" w:space="0" w:color="auto"/>
            <w:left w:val="none" w:sz="0" w:space="0" w:color="auto"/>
            <w:bottom w:val="none" w:sz="0" w:space="0" w:color="auto"/>
            <w:right w:val="none" w:sz="0" w:space="0" w:color="auto"/>
          </w:divBdr>
        </w:div>
        <w:div w:id="10030577">
          <w:marLeft w:val="640"/>
          <w:marRight w:val="0"/>
          <w:marTop w:val="0"/>
          <w:marBottom w:val="0"/>
          <w:divBdr>
            <w:top w:val="none" w:sz="0" w:space="0" w:color="auto"/>
            <w:left w:val="none" w:sz="0" w:space="0" w:color="auto"/>
            <w:bottom w:val="none" w:sz="0" w:space="0" w:color="auto"/>
            <w:right w:val="none" w:sz="0" w:space="0" w:color="auto"/>
          </w:divBdr>
        </w:div>
        <w:div w:id="1571649411">
          <w:marLeft w:val="640"/>
          <w:marRight w:val="0"/>
          <w:marTop w:val="0"/>
          <w:marBottom w:val="0"/>
          <w:divBdr>
            <w:top w:val="none" w:sz="0" w:space="0" w:color="auto"/>
            <w:left w:val="none" w:sz="0" w:space="0" w:color="auto"/>
            <w:bottom w:val="none" w:sz="0" w:space="0" w:color="auto"/>
            <w:right w:val="none" w:sz="0" w:space="0" w:color="auto"/>
          </w:divBdr>
        </w:div>
        <w:div w:id="163936665">
          <w:marLeft w:val="640"/>
          <w:marRight w:val="0"/>
          <w:marTop w:val="0"/>
          <w:marBottom w:val="0"/>
          <w:divBdr>
            <w:top w:val="none" w:sz="0" w:space="0" w:color="auto"/>
            <w:left w:val="none" w:sz="0" w:space="0" w:color="auto"/>
            <w:bottom w:val="none" w:sz="0" w:space="0" w:color="auto"/>
            <w:right w:val="none" w:sz="0" w:space="0" w:color="auto"/>
          </w:divBdr>
        </w:div>
        <w:div w:id="2104645877">
          <w:marLeft w:val="640"/>
          <w:marRight w:val="0"/>
          <w:marTop w:val="0"/>
          <w:marBottom w:val="0"/>
          <w:divBdr>
            <w:top w:val="none" w:sz="0" w:space="0" w:color="auto"/>
            <w:left w:val="none" w:sz="0" w:space="0" w:color="auto"/>
            <w:bottom w:val="none" w:sz="0" w:space="0" w:color="auto"/>
            <w:right w:val="none" w:sz="0" w:space="0" w:color="auto"/>
          </w:divBdr>
        </w:div>
        <w:div w:id="1068455031">
          <w:marLeft w:val="640"/>
          <w:marRight w:val="0"/>
          <w:marTop w:val="0"/>
          <w:marBottom w:val="0"/>
          <w:divBdr>
            <w:top w:val="none" w:sz="0" w:space="0" w:color="auto"/>
            <w:left w:val="none" w:sz="0" w:space="0" w:color="auto"/>
            <w:bottom w:val="none" w:sz="0" w:space="0" w:color="auto"/>
            <w:right w:val="none" w:sz="0" w:space="0" w:color="auto"/>
          </w:divBdr>
        </w:div>
        <w:div w:id="17657892">
          <w:marLeft w:val="640"/>
          <w:marRight w:val="0"/>
          <w:marTop w:val="0"/>
          <w:marBottom w:val="0"/>
          <w:divBdr>
            <w:top w:val="none" w:sz="0" w:space="0" w:color="auto"/>
            <w:left w:val="none" w:sz="0" w:space="0" w:color="auto"/>
            <w:bottom w:val="none" w:sz="0" w:space="0" w:color="auto"/>
            <w:right w:val="none" w:sz="0" w:space="0" w:color="auto"/>
          </w:divBdr>
        </w:div>
        <w:div w:id="1027952644">
          <w:marLeft w:val="640"/>
          <w:marRight w:val="0"/>
          <w:marTop w:val="0"/>
          <w:marBottom w:val="0"/>
          <w:divBdr>
            <w:top w:val="none" w:sz="0" w:space="0" w:color="auto"/>
            <w:left w:val="none" w:sz="0" w:space="0" w:color="auto"/>
            <w:bottom w:val="none" w:sz="0" w:space="0" w:color="auto"/>
            <w:right w:val="none" w:sz="0" w:space="0" w:color="auto"/>
          </w:divBdr>
        </w:div>
        <w:div w:id="1168598976">
          <w:marLeft w:val="640"/>
          <w:marRight w:val="0"/>
          <w:marTop w:val="0"/>
          <w:marBottom w:val="0"/>
          <w:divBdr>
            <w:top w:val="none" w:sz="0" w:space="0" w:color="auto"/>
            <w:left w:val="none" w:sz="0" w:space="0" w:color="auto"/>
            <w:bottom w:val="none" w:sz="0" w:space="0" w:color="auto"/>
            <w:right w:val="none" w:sz="0" w:space="0" w:color="auto"/>
          </w:divBdr>
        </w:div>
        <w:div w:id="1695960145">
          <w:marLeft w:val="640"/>
          <w:marRight w:val="0"/>
          <w:marTop w:val="0"/>
          <w:marBottom w:val="0"/>
          <w:divBdr>
            <w:top w:val="none" w:sz="0" w:space="0" w:color="auto"/>
            <w:left w:val="none" w:sz="0" w:space="0" w:color="auto"/>
            <w:bottom w:val="none" w:sz="0" w:space="0" w:color="auto"/>
            <w:right w:val="none" w:sz="0" w:space="0" w:color="auto"/>
          </w:divBdr>
        </w:div>
        <w:div w:id="1851482651">
          <w:marLeft w:val="640"/>
          <w:marRight w:val="0"/>
          <w:marTop w:val="0"/>
          <w:marBottom w:val="0"/>
          <w:divBdr>
            <w:top w:val="none" w:sz="0" w:space="0" w:color="auto"/>
            <w:left w:val="none" w:sz="0" w:space="0" w:color="auto"/>
            <w:bottom w:val="none" w:sz="0" w:space="0" w:color="auto"/>
            <w:right w:val="none" w:sz="0" w:space="0" w:color="auto"/>
          </w:divBdr>
        </w:div>
        <w:div w:id="1299412055">
          <w:marLeft w:val="640"/>
          <w:marRight w:val="0"/>
          <w:marTop w:val="0"/>
          <w:marBottom w:val="0"/>
          <w:divBdr>
            <w:top w:val="none" w:sz="0" w:space="0" w:color="auto"/>
            <w:left w:val="none" w:sz="0" w:space="0" w:color="auto"/>
            <w:bottom w:val="none" w:sz="0" w:space="0" w:color="auto"/>
            <w:right w:val="none" w:sz="0" w:space="0" w:color="auto"/>
          </w:divBdr>
        </w:div>
        <w:div w:id="1275094383">
          <w:marLeft w:val="640"/>
          <w:marRight w:val="0"/>
          <w:marTop w:val="0"/>
          <w:marBottom w:val="0"/>
          <w:divBdr>
            <w:top w:val="none" w:sz="0" w:space="0" w:color="auto"/>
            <w:left w:val="none" w:sz="0" w:space="0" w:color="auto"/>
            <w:bottom w:val="none" w:sz="0" w:space="0" w:color="auto"/>
            <w:right w:val="none" w:sz="0" w:space="0" w:color="auto"/>
          </w:divBdr>
        </w:div>
        <w:div w:id="1738673671">
          <w:marLeft w:val="640"/>
          <w:marRight w:val="0"/>
          <w:marTop w:val="0"/>
          <w:marBottom w:val="0"/>
          <w:divBdr>
            <w:top w:val="none" w:sz="0" w:space="0" w:color="auto"/>
            <w:left w:val="none" w:sz="0" w:space="0" w:color="auto"/>
            <w:bottom w:val="none" w:sz="0" w:space="0" w:color="auto"/>
            <w:right w:val="none" w:sz="0" w:space="0" w:color="auto"/>
          </w:divBdr>
        </w:div>
        <w:div w:id="792552458">
          <w:marLeft w:val="640"/>
          <w:marRight w:val="0"/>
          <w:marTop w:val="0"/>
          <w:marBottom w:val="0"/>
          <w:divBdr>
            <w:top w:val="none" w:sz="0" w:space="0" w:color="auto"/>
            <w:left w:val="none" w:sz="0" w:space="0" w:color="auto"/>
            <w:bottom w:val="none" w:sz="0" w:space="0" w:color="auto"/>
            <w:right w:val="none" w:sz="0" w:space="0" w:color="auto"/>
          </w:divBdr>
        </w:div>
        <w:div w:id="11029597">
          <w:marLeft w:val="640"/>
          <w:marRight w:val="0"/>
          <w:marTop w:val="0"/>
          <w:marBottom w:val="0"/>
          <w:divBdr>
            <w:top w:val="none" w:sz="0" w:space="0" w:color="auto"/>
            <w:left w:val="none" w:sz="0" w:space="0" w:color="auto"/>
            <w:bottom w:val="none" w:sz="0" w:space="0" w:color="auto"/>
            <w:right w:val="none" w:sz="0" w:space="0" w:color="auto"/>
          </w:divBdr>
        </w:div>
        <w:div w:id="967391617">
          <w:marLeft w:val="640"/>
          <w:marRight w:val="0"/>
          <w:marTop w:val="0"/>
          <w:marBottom w:val="0"/>
          <w:divBdr>
            <w:top w:val="none" w:sz="0" w:space="0" w:color="auto"/>
            <w:left w:val="none" w:sz="0" w:space="0" w:color="auto"/>
            <w:bottom w:val="none" w:sz="0" w:space="0" w:color="auto"/>
            <w:right w:val="none" w:sz="0" w:space="0" w:color="auto"/>
          </w:divBdr>
        </w:div>
        <w:div w:id="760102371">
          <w:marLeft w:val="640"/>
          <w:marRight w:val="0"/>
          <w:marTop w:val="0"/>
          <w:marBottom w:val="0"/>
          <w:divBdr>
            <w:top w:val="none" w:sz="0" w:space="0" w:color="auto"/>
            <w:left w:val="none" w:sz="0" w:space="0" w:color="auto"/>
            <w:bottom w:val="none" w:sz="0" w:space="0" w:color="auto"/>
            <w:right w:val="none" w:sz="0" w:space="0" w:color="auto"/>
          </w:divBdr>
        </w:div>
        <w:div w:id="1395271833">
          <w:marLeft w:val="640"/>
          <w:marRight w:val="0"/>
          <w:marTop w:val="0"/>
          <w:marBottom w:val="0"/>
          <w:divBdr>
            <w:top w:val="none" w:sz="0" w:space="0" w:color="auto"/>
            <w:left w:val="none" w:sz="0" w:space="0" w:color="auto"/>
            <w:bottom w:val="none" w:sz="0" w:space="0" w:color="auto"/>
            <w:right w:val="none" w:sz="0" w:space="0" w:color="auto"/>
          </w:divBdr>
        </w:div>
        <w:div w:id="1990091779">
          <w:marLeft w:val="640"/>
          <w:marRight w:val="0"/>
          <w:marTop w:val="0"/>
          <w:marBottom w:val="0"/>
          <w:divBdr>
            <w:top w:val="none" w:sz="0" w:space="0" w:color="auto"/>
            <w:left w:val="none" w:sz="0" w:space="0" w:color="auto"/>
            <w:bottom w:val="none" w:sz="0" w:space="0" w:color="auto"/>
            <w:right w:val="none" w:sz="0" w:space="0" w:color="auto"/>
          </w:divBdr>
        </w:div>
        <w:div w:id="2111074706">
          <w:marLeft w:val="640"/>
          <w:marRight w:val="0"/>
          <w:marTop w:val="0"/>
          <w:marBottom w:val="0"/>
          <w:divBdr>
            <w:top w:val="none" w:sz="0" w:space="0" w:color="auto"/>
            <w:left w:val="none" w:sz="0" w:space="0" w:color="auto"/>
            <w:bottom w:val="none" w:sz="0" w:space="0" w:color="auto"/>
            <w:right w:val="none" w:sz="0" w:space="0" w:color="auto"/>
          </w:divBdr>
        </w:div>
        <w:div w:id="432870476">
          <w:marLeft w:val="640"/>
          <w:marRight w:val="0"/>
          <w:marTop w:val="0"/>
          <w:marBottom w:val="0"/>
          <w:divBdr>
            <w:top w:val="none" w:sz="0" w:space="0" w:color="auto"/>
            <w:left w:val="none" w:sz="0" w:space="0" w:color="auto"/>
            <w:bottom w:val="none" w:sz="0" w:space="0" w:color="auto"/>
            <w:right w:val="none" w:sz="0" w:space="0" w:color="auto"/>
          </w:divBdr>
        </w:div>
        <w:div w:id="1012683448">
          <w:marLeft w:val="640"/>
          <w:marRight w:val="0"/>
          <w:marTop w:val="0"/>
          <w:marBottom w:val="0"/>
          <w:divBdr>
            <w:top w:val="none" w:sz="0" w:space="0" w:color="auto"/>
            <w:left w:val="none" w:sz="0" w:space="0" w:color="auto"/>
            <w:bottom w:val="none" w:sz="0" w:space="0" w:color="auto"/>
            <w:right w:val="none" w:sz="0" w:space="0" w:color="auto"/>
          </w:divBdr>
        </w:div>
        <w:div w:id="10422397">
          <w:marLeft w:val="640"/>
          <w:marRight w:val="0"/>
          <w:marTop w:val="0"/>
          <w:marBottom w:val="0"/>
          <w:divBdr>
            <w:top w:val="none" w:sz="0" w:space="0" w:color="auto"/>
            <w:left w:val="none" w:sz="0" w:space="0" w:color="auto"/>
            <w:bottom w:val="none" w:sz="0" w:space="0" w:color="auto"/>
            <w:right w:val="none" w:sz="0" w:space="0" w:color="auto"/>
          </w:divBdr>
        </w:div>
        <w:div w:id="699859647">
          <w:marLeft w:val="640"/>
          <w:marRight w:val="0"/>
          <w:marTop w:val="0"/>
          <w:marBottom w:val="0"/>
          <w:divBdr>
            <w:top w:val="none" w:sz="0" w:space="0" w:color="auto"/>
            <w:left w:val="none" w:sz="0" w:space="0" w:color="auto"/>
            <w:bottom w:val="none" w:sz="0" w:space="0" w:color="auto"/>
            <w:right w:val="none" w:sz="0" w:space="0" w:color="auto"/>
          </w:divBdr>
        </w:div>
        <w:div w:id="1338508203">
          <w:marLeft w:val="640"/>
          <w:marRight w:val="0"/>
          <w:marTop w:val="0"/>
          <w:marBottom w:val="0"/>
          <w:divBdr>
            <w:top w:val="none" w:sz="0" w:space="0" w:color="auto"/>
            <w:left w:val="none" w:sz="0" w:space="0" w:color="auto"/>
            <w:bottom w:val="none" w:sz="0" w:space="0" w:color="auto"/>
            <w:right w:val="none" w:sz="0" w:space="0" w:color="auto"/>
          </w:divBdr>
        </w:div>
        <w:div w:id="765807550">
          <w:marLeft w:val="640"/>
          <w:marRight w:val="0"/>
          <w:marTop w:val="0"/>
          <w:marBottom w:val="0"/>
          <w:divBdr>
            <w:top w:val="none" w:sz="0" w:space="0" w:color="auto"/>
            <w:left w:val="none" w:sz="0" w:space="0" w:color="auto"/>
            <w:bottom w:val="none" w:sz="0" w:space="0" w:color="auto"/>
            <w:right w:val="none" w:sz="0" w:space="0" w:color="auto"/>
          </w:divBdr>
        </w:div>
        <w:div w:id="1349680115">
          <w:marLeft w:val="640"/>
          <w:marRight w:val="0"/>
          <w:marTop w:val="0"/>
          <w:marBottom w:val="0"/>
          <w:divBdr>
            <w:top w:val="none" w:sz="0" w:space="0" w:color="auto"/>
            <w:left w:val="none" w:sz="0" w:space="0" w:color="auto"/>
            <w:bottom w:val="none" w:sz="0" w:space="0" w:color="auto"/>
            <w:right w:val="none" w:sz="0" w:space="0" w:color="auto"/>
          </w:divBdr>
        </w:div>
        <w:div w:id="978607097">
          <w:marLeft w:val="640"/>
          <w:marRight w:val="0"/>
          <w:marTop w:val="0"/>
          <w:marBottom w:val="0"/>
          <w:divBdr>
            <w:top w:val="none" w:sz="0" w:space="0" w:color="auto"/>
            <w:left w:val="none" w:sz="0" w:space="0" w:color="auto"/>
            <w:bottom w:val="none" w:sz="0" w:space="0" w:color="auto"/>
            <w:right w:val="none" w:sz="0" w:space="0" w:color="auto"/>
          </w:divBdr>
        </w:div>
        <w:div w:id="1901479191">
          <w:marLeft w:val="640"/>
          <w:marRight w:val="0"/>
          <w:marTop w:val="0"/>
          <w:marBottom w:val="0"/>
          <w:divBdr>
            <w:top w:val="none" w:sz="0" w:space="0" w:color="auto"/>
            <w:left w:val="none" w:sz="0" w:space="0" w:color="auto"/>
            <w:bottom w:val="none" w:sz="0" w:space="0" w:color="auto"/>
            <w:right w:val="none" w:sz="0" w:space="0" w:color="auto"/>
          </w:divBdr>
        </w:div>
        <w:div w:id="365059802">
          <w:marLeft w:val="640"/>
          <w:marRight w:val="0"/>
          <w:marTop w:val="0"/>
          <w:marBottom w:val="0"/>
          <w:divBdr>
            <w:top w:val="none" w:sz="0" w:space="0" w:color="auto"/>
            <w:left w:val="none" w:sz="0" w:space="0" w:color="auto"/>
            <w:bottom w:val="none" w:sz="0" w:space="0" w:color="auto"/>
            <w:right w:val="none" w:sz="0" w:space="0" w:color="auto"/>
          </w:divBdr>
        </w:div>
        <w:div w:id="1804495676">
          <w:marLeft w:val="640"/>
          <w:marRight w:val="0"/>
          <w:marTop w:val="0"/>
          <w:marBottom w:val="0"/>
          <w:divBdr>
            <w:top w:val="none" w:sz="0" w:space="0" w:color="auto"/>
            <w:left w:val="none" w:sz="0" w:space="0" w:color="auto"/>
            <w:bottom w:val="none" w:sz="0" w:space="0" w:color="auto"/>
            <w:right w:val="none" w:sz="0" w:space="0" w:color="auto"/>
          </w:divBdr>
        </w:div>
        <w:div w:id="341049943">
          <w:marLeft w:val="640"/>
          <w:marRight w:val="0"/>
          <w:marTop w:val="0"/>
          <w:marBottom w:val="0"/>
          <w:divBdr>
            <w:top w:val="none" w:sz="0" w:space="0" w:color="auto"/>
            <w:left w:val="none" w:sz="0" w:space="0" w:color="auto"/>
            <w:bottom w:val="none" w:sz="0" w:space="0" w:color="auto"/>
            <w:right w:val="none" w:sz="0" w:space="0" w:color="auto"/>
          </w:divBdr>
        </w:div>
        <w:div w:id="1463577385">
          <w:marLeft w:val="640"/>
          <w:marRight w:val="0"/>
          <w:marTop w:val="0"/>
          <w:marBottom w:val="0"/>
          <w:divBdr>
            <w:top w:val="none" w:sz="0" w:space="0" w:color="auto"/>
            <w:left w:val="none" w:sz="0" w:space="0" w:color="auto"/>
            <w:bottom w:val="none" w:sz="0" w:space="0" w:color="auto"/>
            <w:right w:val="none" w:sz="0" w:space="0" w:color="auto"/>
          </w:divBdr>
        </w:div>
        <w:div w:id="931278387">
          <w:marLeft w:val="640"/>
          <w:marRight w:val="0"/>
          <w:marTop w:val="0"/>
          <w:marBottom w:val="0"/>
          <w:divBdr>
            <w:top w:val="none" w:sz="0" w:space="0" w:color="auto"/>
            <w:left w:val="none" w:sz="0" w:space="0" w:color="auto"/>
            <w:bottom w:val="none" w:sz="0" w:space="0" w:color="auto"/>
            <w:right w:val="none" w:sz="0" w:space="0" w:color="auto"/>
          </w:divBdr>
        </w:div>
        <w:div w:id="1813869428">
          <w:marLeft w:val="640"/>
          <w:marRight w:val="0"/>
          <w:marTop w:val="0"/>
          <w:marBottom w:val="0"/>
          <w:divBdr>
            <w:top w:val="none" w:sz="0" w:space="0" w:color="auto"/>
            <w:left w:val="none" w:sz="0" w:space="0" w:color="auto"/>
            <w:bottom w:val="none" w:sz="0" w:space="0" w:color="auto"/>
            <w:right w:val="none" w:sz="0" w:space="0" w:color="auto"/>
          </w:divBdr>
        </w:div>
        <w:div w:id="1318462278">
          <w:marLeft w:val="640"/>
          <w:marRight w:val="0"/>
          <w:marTop w:val="0"/>
          <w:marBottom w:val="0"/>
          <w:divBdr>
            <w:top w:val="none" w:sz="0" w:space="0" w:color="auto"/>
            <w:left w:val="none" w:sz="0" w:space="0" w:color="auto"/>
            <w:bottom w:val="none" w:sz="0" w:space="0" w:color="auto"/>
            <w:right w:val="none" w:sz="0" w:space="0" w:color="auto"/>
          </w:divBdr>
        </w:div>
        <w:div w:id="1000304709">
          <w:marLeft w:val="640"/>
          <w:marRight w:val="0"/>
          <w:marTop w:val="0"/>
          <w:marBottom w:val="0"/>
          <w:divBdr>
            <w:top w:val="none" w:sz="0" w:space="0" w:color="auto"/>
            <w:left w:val="none" w:sz="0" w:space="0" w:color="auto"/>
            <w:bottom w:val="none" w:sz="0" w:space="0" w:color="auto"/>
            <w:right w:val="none" w:sz="0" w:space="0" w:color="auto"/>
          </w:divBdr>
        </w:div>
        <w:div w:id="648093661">
          <w:marLeft w:val="640"/>
          <w:marRight w:val="0"/>
          <w:marTop w:val="0"/>
          <w:marBottom w:val="0"/>
          <w:divBdr>
            <w:top w:val="none" w:sz="0" w:space="0" w:color="auto"/>
            <w:left w:val="none" w:sz="0" w:space="0" w:color="auto"/>
            <w:bottom w:val="none" w:sz="0" w:space="0" w:color="auto"/>
            <w:right w:val="none" w:sz="0" w:space="0" w:color="auto"/>
          </w:divBdr>
        </w:div>
        <w:div w:id="73355975">
          <w:marLeft w:val="640"/>
          <w:marRight w:val="0"/>
          <w:marTop w:val="0"/>
          <w:marBottom w:val="0"/>
          <w:divBdr>
            <w:top w:val="none" w:sz="0" w:space="0" w:color="auto"/>
            <w:left w:val="none" w:sz="0" w:space="0" w:color="auto"/>
            <w:bottom w:val="none" w:sz="0" w:space="0" w:color="auto"/>
            <w:right w:val="none" w:sz="0" w:space="0" w:color="auto"/>
          </w:divBdr>
        </w:div>
        <w:div w:id="1276525876">
          <w:marLeft w:val="640"/>
          <w:marRight w:val="0"/>
          <w:marTop w:val="0"/>
          <w:marBottom w:val="0"/>
          <w:divBdr>
            <w:top w:val="none" w:sz="0" w:space="0" w:color="auto"/>
            <w:left w:val="none" w:sz="0" w:space="0" w:color="auto"/>
            <w:bottom w:val="none" w:sz="0" w:space="0" w:color="auto"/>
            <w:right w:val="none" w:sz="0" w:space="0" w:color="auto"/>
          </w:divBdr>
        </w:div>
        <w:div w:id="466902186">
          <w:marLeft w:val="640"/>
          <w:marRight w:val="0"/>
          <w:marTop w:val="0"/>
          <w:marBottom w:val="0"/>
          <w:divBdr>
            <w:top w:val="none" w:sz="0" w:space="0" w:color="auto"/>
            <w:left w:val="none" w:sz="0" w:space="0" w:color="auto"/>
            <w:bottom w:val="none" w:sz="0" w:space="0" w:color="auto"/>
            <w:right w:val="none" w:sz="0" w:space="0" w:color="auto"/>
          </w:divBdr>
        </w:div>
        <w:div w:id="417597168">
          <w:marLeft w:val="640"/>
          <w:marRight w:val="0"/>
          <w:marTop w:val="0"/>
          <w:marBottom w:val="0"/>
          <w:divBdr>
            <w:top w:val="none" w:sz="0" w:space="0" w:color="auto"/>
            <w:left w:val="none" w:sz="0" w:space="0" w:color="auto"/>
            <w:bottom w:val="none" w:sz="0" w:space="0" w:color="auto"/>
            <w:right w:val="none" w:sz="0" w:space="0" w:color="auto"/>
          </w:divBdr>
        </w:div>
        <w:div w:id="639581318">
          <w:marLeft w:val="640"/>
          <w:marRight w:val="0"/>
          <w:marTop w:val="0"/>
          <w:marBottom w:val="0"/>
          <w:divBdr>
            <w:top w:val="none" w:sz="0" w:space="0" w:color="auto"/>
            <w:left w:val="none" w:sz="0" w:space="0" w:color="auto"/>
            <w:bottom w:val="none" w:sz="0" w:space="0" w:color="auto"/>
            <w:right w:val="none" w:sz="0" w:space="0" w:color="auto"/>
          </w:divBdr>
        </w:div>
        <w:div w:id="33581666">
          <w:marLeft w:val="640"/>
          <w:marRight w:val="0"/>
          <w:marTop w:val="0"/>
          <w:marBottom w:val="0"/>
          <w:divBdr>
            <w:top w:val="none" w:sz="0" w:space="0" w:color="auto"/>
            <w:left w:val="none" w:sz="0" w:space="0" w:color="auto"/>
            <w:bottom w:val="none" w:sz="0" w:space="0" w:color="auto"/>
            <w:right w:val="none" w:sz="0" w:space="0" w:color="auto"/>
          </w:divBdr>
        </w:div>
        <w:div w:id="1804420101">
          <w:marLeft w:val="640"/>
          <w:marRight w:val="0"/>
          <w:marTop w:val="0"/>
          <w:marBottom w:val="0"/>
          <w:divBdr>
            <w:top w:val="none" w:sz="0" w:space="0" w:color="auto"/>
            <w:left w:val="none" w:sz="0" w:space="0" w:color="auto"/>
            <w:bottom w:val="none" w:sz="0" w:space="0" w:color="auto"/>
            <w:right w:val="none" w:sz="0" w:space="0" w:color="auto"/>
          </w:divBdr>
        </w:div>
        <w:div w:id="488524008">
          <w:marLeft w:val="640"/>
          <w:marRight w:val="0"/>
          <w:marTop w:val="0"/>
          <w:marBottom w:val="0"/>
          <w:divBdr>
            <w:top w:val="none" w:sz="0" w:space="0" w:color="auto"/>
            <w:left w:val="none" w:sz="0" w:space="0" w:color="auto"/>
            <w:bottom w:val="none" w:sz="0" w:space="0" w:color="auto"/>
            <w:right w:val="none" w:sz="0" w:space="0" w:color="auto"/>
          </w:divBdr>
        </w:div>
        <w:div w:id="428163527">
          <w:marLeft w:val="640"/>
          <w:marRight w:val="0"/>
          <w:marTop w:val="0"/>
          <w:marBottom w:val="0"/>
          <w:divBdr>
            <w:top w:val="none" w:sz="0" w:space="0" w:color="auto"/>
            <w:left w:val="none" w:sz="0" w:space="0" w:color="auto"/>
            <w:bottom w:val="none" w:sz="0" w:space="0" w:color="auto"/>
            <w:right w:val="none" w:sz="0" w:space="0" w:color="auto"/>
          </w:divBdr>
        </w:div>
        <w:div w:id="2022049464">
          <w:marLeft w:val="640"/>
          <w:marRight w:val="0"/>
          <w:marTop w:val="0"/>
          <w:marBottom w:val="0"/>
          <w:divBdr>
            <w:top w:val="none" w:sz="0" w:space="0" w:color="auto"/>
            <w:left w:val="none" w:sz="0" w:space="0" w:color="auto"/>
            <w:bottom w:val="none" w:sz="0" w:space="0" w:color="auto"/>
            <w:right w:val="none" w:sz="0" w:space="0" w:color="auto"/>
          </w:divBdr>
        </w:div>
        <w:div w:id="1071661628">
          <w:marLeft w:val="640"/>
          <w:marRight w:val="0"/>
          <w:marTop w:val="0"/>
          <w:marBottom w:val="0"/>
          <w:divBdr>
            <w:top w:val="none" w:sz="0" w:space="0" w:color="auto"/>
            <w:left w:val="none" w:sz="0" w:space="0" w:color="auto"/>
            <w:bottom w:val="none" w:sz="0" w:space="0" w:color="auto"/>
            <w:right w:val="none" w:sz="0" w:space="0" w:color="auto"/>
          </w:divBdr>
        </w:div>
        <w:div w:id="246305733">
          <w:marLeft w:val="640"/>
          <w:marRight w:val="0"/>
          <w:marTop w:val="0"/>
          <w:marBottom w:val="0"/>
          <w:divBdr>
            <w:top w:val="none" w:sz="0" w:space="0" w:color="auto"/>
            <w:left w:val="none" w:sz="0" w:space="0" w:color="auto"/>
            <w:bottom w:val="none" w:sz="0" w:space="0" w:color="auto"/>
            <w:right w:val="none" w:sz="0" w:space="0" w:color="auto"/>
          </w:divBdr>
        </w:div>
        <w:div w:id="1395932537">
          <w:marLeft w:val="640"/>
          <w:marRight w:val="0"/>
          <w:marTop w:val="0"/>
          <w:marBottom w:val="0"/>
          <w:divBdr>
            <w:top w:val="none" w:sz="0" w:space="0" w:color="auto"/>
            <w:left w:val="none" w:sz="0" w:space="0" w:color="auto"/>
            <w:bottom w:val="none" w:sz="0" w:space="0" w:color="auto"/>
            <w:right w:val="none" w:sz="0" w:space="0" w:color="auto"/>
          </w:divBdr>
        </w:div>
        <w:div w:id="1471484869">
          <w:marLeft w:val="640"/>
          <w:marRight w:val="0"/>
          <w:marTop w:val="0"/>
          <w:marBottom w:val="0"/>
          <w:divBdr>
            <w:top w:val="none" w:sz="0" w:space="0" w:color="auto"/>
            <w:left w:val="none" w:sz="0" w:space="0" w:color="auto"/>
            <w:bottom w:val="none" w:sz="0" w:space="0" w:color="auto"/>
            <w:right w:val="none" w:sz="0" w:space="0" w:color="auto"/>
          </w:divBdr>
        </w:div>
        <w:div w:id="91702764">
          <w:marLeft w:val="640"/>
          <w:marRight w:val="0"/>
          <w:marTop w:val="0"/>
          <w:marBottom w:val="0"/>
          <w:divBdr>
            <w:top w:val="none" w:sz="0" w:space="0" w:color="auto"/>
            <w:left w:val="none" w:sz="0" w:space="0" w:color="auto"/>
            <w:bottom w:val="none" w:sz="0" w:space="0" w:color="auto"/>
            <w:right w:val="none" w:sz="0" w:space="0" w:color="auto"/>
          </w:divBdr>
        </w:div>
        <w:div w:id="439228622">
          <w:marLeft w:val="640"/>
          <w:marRight w:val="0"/>
          <w:marTop w:val="0"/>
          <w:marBottom w:val="0"/>
          <w:divBdr>
            <w:top w:val="none" w:sz="0" w:space="0" w:color="auto"/>
            <w:left w:val="none" w:sz="0" w:space="0" w:color="auto"/>
            <w:bottom w:val="none" w:sz="0" w:space="0" w:color="auto"/>
            <w:right w:val="none" w:sz="0" w:space="0" w:color="auto"/>
          </w:divBdr>
        </w:div>
        <w:div w:id="582102802">
          <w:marLeft w:val="640"/>
          <w:marRight w:val="0"/>
          <w:marTop w:val="0"/>
          <w:marBottom w:val="0"/>
          <w:divBdr>
            <w:top w:val="none" w:sz="0" w:space="0" w:color="auto"/>
            <w:left w:val="none" w:sz="0" w:space="0" w:color="auto"/>
            <w:bottom w:val="none" w:sz="0" w:space="0" w:color="auto"/>
            <w:right w:val="none" w:sz="0" w:space="0" w:color="auto"/>
          </w:divBdr>
        </w:div>
        <w:div w:id="1561096795">
          <w:marLeft w:val="640"/>
          <w:marRight w:val="0"/>
          <w:marTop w:val="0"/>
          <w:marBottom w:val="0"/>
          <w:divBdr>
            <w:top w:val="none" w:sz="0" w:space="0" w:color="auto"/>
            <w:left w:val="none" w:sz="0" w:space="0" w:color="auto"/>
            <w:bottom w:val="none" w:sz="0" w:space="0" w:color="auto"/>
            <w:right w:val="none" w:sz="0" w:space="0" w:color="auto"/>
          </w:divBdr>
        </w:div>
        <w:div w:id="913391293">
          <w:marLeft w:val="640"/>
          <w:marRight w:val="0"/>
          <w:marTop w:val="0"/>
          <w:marBottom w:val="0"/>
          <w:divBdr>
            <w:top w:val="none" w:sz="0" w:space="0" w:color="auto"/>
            <w:left w:val="none" w:sz="0" w:space="0" w:color="auto"/>
            <w:bottom w:val="none" w:sz="0" w:space="0" w:color="auto"/>
            <w:right w:val="none" w:sz="0" w:space="0" w:color="auto"/>
          </w:divBdr>
        </w:div>
        <w:div w:id="1888445349">
          <w:marLeft w:val="640"/>
          <w:marRight w:val="0"/>
          <w:marTop w:val="0"/>
          <w:marBottom w:val="0"/>
          <w:divBdr>
            <w:top w:val="none" w:sz="0" w:space="0" w:color="auto"/>
            <w:left w:val="none" w:sz="0" w:space="0" w:color="auto"/>
            <w:bottom w:val="none" w:sz="0" w:space="0" w:color="auto"/>
            <w:right w:val="none" w:sz="0" w:space="0" w:color="auto"/>
          </w:divBdr>
        </w:div>
        <w:div w:id="1723746108">
          <w:marLeft w:val="640"/>
          <w:marRight w:val="0"/>
          <w:marTop w:val="0"/>
          <w:marBottom w:val="0"/>
          <w:divBdr>
            <w:top w:val="none" w:sz="0" w:space="0" w:color="auto"/>
            <w:left w:val="none" w:sz="0" w:space="0" w:color="auto"/>
            <w:bottom w:val="none" w:sz="0" w:space="0" w:color="auto"/>
            <w:right w:val="none" w:sz="0" w:space="0" w:color="auto"/>
          </w:divBdr>
        </w:div>
        <w:div w:id="1723406965">
          <w:marLeft w:val="640"/>
          <w:marRight w:val="0"/>
          <w:marTop w:val="0"/>
          <w:marBottom w:val="0"/>
          <w:divBdr>
            <w:top w:val="none" w:sz="0" w:space="0" w:color="auto"/>
            <w:left w:val="none" w:sz="0" w:space="0" w:color="auto"/>
            <w:bottom w:val="none" w:sz="0" w:space="0" w:color="auto"/>
            <w:right w:val="none" w:sz="0" w:space="0" w:color="auto"/>
          </w:divBdr>
        </w:div>
        <w:div w:id="2027630624">
          <w:marLeft w:val="640"/>
          <w:marRight w:val="0"/>
          <w:marTop w:val="0"/>
          <w:marBottom w:val="0"/>
          <w:divBdr>
            <w:top w:val="none" w:sz="0" w:space="0" w:color="auto"/>
            <w:left w:val="none" w:sz="0" w:space="0" w:color="auto"/>
            <w:bottom w:val="none" w:sz="0" w:space="0" w:color="auto"/>
            <w:right w:val="none" w:sz="0" w:space="0" w:color="auto"/>
          </w:divBdr>
        </w:div>
        <w:div w:id="1320694822">
          <w:marLeft w:val="640"/>
          <w:marRight w:val="0"/>
          <w:marTop w:val="0"/>
          <w:marBottom w:val="0"/>
          <w:divBdr>
            <w:top w:val="none" w:sz="0" w:space="0" w:color="auto"/>
            <w:left w:val="none" w:sz="0" w:space="0" w:color="auto"/>
            <w:bottom w:val="none" w:sz="0" w:space="0" w:color="auto"/>
            <w:right w:val="none" w:sz="0" w:space="0" w:color="auto"/>
          </w:divBdr>
        </w:div>
        <w:div w:id="1009059341">
          <w:marLeft w:val="640"/>
          <w:marRight w:val="0"/>
          <w:marTop w:val="0"/>
          <w:marBottom w:val="0"/>
          <w:divBdr>
            <w:top w:val="none" w:sz="0" w:space="0" w:color="auto"/>
            <w:left w:val="none" w:sz="0" w:space="0" w:color="auto"/>
            <w:bottom w:val="none" w:sz="0" w:space="0" w:color="auto"/>
            <w:right w:val="none" w:sz="0" w:space="0" w:color="auto"/>
          </w:divBdr>
        </w:div>
        <w:div w:id="588662256">
          <w:marLeft w:val="640"/>
          <w:marRight w:val="0"/>
          <w:marTop w:val="0"/>
          <w:marBottom w:val="0"/>
          <w:divBdr>
            <w:top w:val="none" w:sz="0" w:space="0" w:color="auto"/>
            <w:left w:val="none" w:sz="0" w:space="0" w:color="auto"/>
            <w:bottom w:val="none" w:sz="0" w:space="0" w:color="auto"/>
            <w:right w:val="none" w:sz="0" w:space="0" w:color="auto"/>
          </w:divBdr>
        </w:div>
        <w:div w:id="339164320">
          <w:marLeft w:val="640"/>
          <w:marRight w:val="0"/>
          <w:marTop w:val="0"/>
          <w:marBottom w:val="0"/>
          <w:divBdr>
            <w:top w:val="none" w:sz="0" w:space="0" w:color="auto"/>
            <w:left w:val="none" w:sz="0" w:space="0" w:color="auto"/>
            <w:bottom w:val="none" w:sz="0" w:space="0" w:color="auto"/>
            <w:right w:val="none" w:sz="0" w:space="0" w:color="auto"/>
          </w:divBdr>
        </w:div>
        <w:div w:id="1385373213">
          <w:marLeft w:val="640"/>
          <w:marRight w:val="0"/>
          <w:marTop w:val="0"/>
          <w:marBottom w:val="0"/>
          <w:divBdr>
            <w:top w:val="none" w:sz="0" w:space="0" w:color="auto"/>
            <w:left w:val="none" w:sz="0" w:space="0" w:color="auto"/>
            <w:bottom w:val="none" w:sz="0" w:space="0" w:color="auto"/>
            <w:right w:val="none" w:sz="0" w:space="0" w:color="auto"/>
          </w:divBdr>
        </w:div>
        <w:div w:id="1598905808">
          <w:marLeft w:val="640"/>
          <w:marRight w:val="0"/>
          <w:marTop w:val="0"/>
          <w:marBottom w:val="0"/>
          <w:divBdr>
            <w:top w:val="none" w:sz="0" w:space="0" w:color="auto"/>
            <w:left w:val="none" w:sz="0" w:space="0" w:color="auto"/>
            <w:bottom w:val="none" w:sz="0" w:space="0" w:color="auto"/>
            <w:right w:val="none" w:sz="0" w:space="0" w:color="auto"/>
          </w:divBdr>
        </w:div>
        <w:div w:id="140774678">
          <w:marLeft w:val="640"/>
          <w:marRight w:val="0"/>
          <w:marTop w:val="0"/>
          <w:marBottom w:val="0"/>
          <w:divBdr>
            <w:top w:val="none" w:sz="0" w:space="0" w:color="auto"/>
            <w:left w:val="none" w:sz="0" w:space="0" w:color="auto"/>
            <w:bottom w:val="none" w:sz="0" w:space="0" w:color="auto"/>
            <w:right w:val="none" w:sz="0" w:space="0" w:color="auto"/>
          </w:divBdr>
        </w:div>
        <w:div w:id="448472219">
          <w:marLeft w:val="640"/>
          <w:marRight w:val="0"/>
          <w:marTop w:val="0"/>
          <w:marBottom w:val="0"/>
          <w:divBdr>
            <w:top w:val="none" w:sz="0" w:space="0" w:color="auto"/>
            <w:left w:val="none" w:sz="0" w:space="0" w:color="auto"/>
            <w:bottom w:val="none" w:sz="0" w:space="0" w:color="auto"/>
            <w:right w:val="none" w:sz="0" w:space="0" w:color="auto"/>
          </w:divBdr>
        </w:div>
        <w:div w:id="1396708228">
          <w:marLeft w:val="640"/>
          <w:marRight w:val="0"/>
          <w:marTop w:val="0"/>
          <w:marBottom w:val="0"/>
          <w:divBdr>
            <w:top w:val="none" w:sz="0" w:space="0" w:color="auto"/>
            <w:left w:val="none" w:sz="0" w:space="0" w:color="auto"/>
            <w:bottom w:val="none" w:sz="0" w:space="0" w:color="auto"/>
            <w:right w:val="none" w:sz="0" w:space="0" w:color="auto"/>
          </w:divBdr>
        </w:div>
        <w:div w:id="1323393720">
          <w:marLeft w:val="640"/>
          <w:marRight w:val="0"/>
          <w:marTop w:val="0"/>
          <w:marBottom w:val="0"/>
          <w:divBdr>
            <w:top w:val="none" w:sz="0" w:space="0" w:color="auto"/>
            <w:left w:val="none" w:sz="0" w:space="0" w:color="auto"/>
            <w:bottom w:val="none" w:sz="0" w:space="0" w:color="auto"/>
            <w:right w:val="none" w:sz="0" w:space="0" w:color="auto"/>
          </w:divBdr>
        </w:div>
        <w:div w:id="1665892105">
          <w:marLeft w:val="640"/>
          <w:marRight w:val="0"/>
          <w:marTop w:val="0"/>
          <w:marBottom w:val="0"/>
          <w:divBdr>
            <w:top w:val="none" w:sz="0" w:space="0" w:color="auto"/>
            <w:left w:val="none" w:sz="0" w:space="0" w:color="auto"/>
            <w:bottom w:val="none" w:sz="0" w:space="0" w:color="auto"/>
            <w:right w:val="none" w:sz="0" w:space="0" w:color="auto"/>
          </w:divBdr>
        </w:div>
        <w:div w:id="927885644">
          <w:marLeft w:val="640"/>
          <w:marRight w:val="0"/>
          <w:marTop w:val="0"/>
          <w:marBottom w:val="0"/>
          <w:divBdr>
            <w:top w:val="none" w:sz="0" w:space="0" w:color="auto"/>
            <w:left w:val="none" w:sz="0" w:space="0" w:color="auto"/>
            <w:bottom w:val="none" w:sz="0" w:space="0" w:color="auto"/>
            <w:right w:val="none" w:sz="0" w:space="0" w:color="auto"/>
          </w:divBdr>
        </w:div>
        <w:div w:id="497187527">
          <w:marLeft w:val="640"/>
          <w:marRight w:val="0"/>
          <w:marTop w:val="0"/>
          <w:marBottom w:val="0"/>
          <w:divBdr>
            <w:top w:val="none" w:sz="0" w:space="0" w:color="auto"/>
            <w:left w:val="none" w:sz="0" w:space="0" w:color="auto"/>
            <w:bottom w:val="none" w:sz="0" w:space="0" w:color="auto"/>
            <w:right w:val="none" w:sz="0" w:space="0" w:color="auto"/>
          </w:divBdr>
        </w:div>
        <w:div w:id="1374422452">
          <w:marLeft w:val="640"/>
          <w:marRight w:val="0"/>
          <w:marTop w:val="0"/>
          <w:marBottom w:val="0"/>
          <w:divBdr>
            <w:top w:val="none" w:sz="0" w:space="0" w:color="auto"/>
            <w:left w:val="none" w:sz="0" w:space="0" w:color="auto"/>
            <w:bottom w:val="none" w:sz="0" w:space="0" w:color="auto"/>
            <w:right w:val="none" w:sz="0" w:space="0" w:color="auto"/>
          </w:divBdr>
        </w:div>
        <w:div w:id="1359969805">
          <w:marLeft w:val="640"/>
          <w:marRight w:val="0"/>
          <w:marTop w:val="0"/>
          <w:marBottom w:val="0"/>
          <w:divBdr>
            <w:top w:val="none" w:sz="0" w:space="0" w:color="auto"/>
            <w:left w:val="none" w:sz="0" w:space="0" w:color="auto"/>
            <w:bottom w:val="none" w:sz="0" w:space="0" w:color="auto"/>
            <w:right w:val="none" w:sz="0" w:space="0" w:color="auto"/>
          </w:divBdr>
        </w:div>
        <w:div w:id="1422944505">
          <w:marLeft w:val="640"/>
          <w:marRight w:val="0"/>
          <w:marTop w:val="0"/>
          <w:marBottom w:val="0"/>
          <w:divBdr>
            <w:top w:val="none" w:sz="0" w:space="0" w:color="auto"/>
            <w:left w:val="none" w:sz="0" w:space="0" w:color="auto"/>
            <w:bottom w:val="none" w:sz="0" w:space="0" w:color="auto"/>
            <w:right w:val="none" w:sz="0" w:space="0" w:color="auto"/>
          </w:divBdr>
        </w:div>
        <w:div w:id="1190528303">
          <w:marLeft w:val="640"/>
          <w:marRight w:val="0"/>
          <w:marTop w:val="0"/>
          <w:marBottom w:val="0"/>
          <w:divBdr>
            <w:top w:val="none" w:sz="0" w:space="0" w:color="auto"/>
            <w:left w:val="none" w:sz="0" w:space="0" w:color="auto"/>
            <w:bottom w:val="none" w:sz="0" w:space="0" w:color="auto"/>
            <w:right w:val="none" w:sz="0" w:space="0" w:color="auto"/>
          </w:divBdr>
        </w:div>
        <w:div w:id="1932272715">
          <w:marLeft w:val="640"/>
          <w:marRight w:val="0"/>
          <w:marTop w:val="0"/>
          <w:marBottom w:val="0"/>
          <w:divBdr>
            <w:top w:val="none" w:sz="0" w:space="0" w:color="auto"/>
            <w:left w:val="none" w:sz="0" w:space="0" w:color="auto"/>
            <w:bottom w:val="none" w:sz="0" w:space="0" w:color="auto"/>
            <w:right w:val="none" w:sz="0" w:space="0" w:color="auto"/>
          </w:divBdr>
        </w:div>
        <w:div w:id="1362511508">
          <w:marLeft w:val="640"/>
          <w:marRight w:val="0"/>
          <w:marTop w:val="0"/>
          <w:marBottom w:val="0"/>
          <w:divBdr>
            <w:top w:val="none" w:sz="0" w:space="0" w:color="auto"/>
            <w:left w:val="none" w:sz="0" w:space="0" w:color="auto"/>
            <w:bottom w:val="none" w:sz="0" w:space="0" w:color="auto"/>
            <w:right w:val="none" w:sz="0" w:space="0" w:color="auto"/>
          </w:divBdr>
        </w:div>
        <w:div w:id="1185904572">
          <w:marLeft w:val="640"/>
          <w:marRight w:val="0"/>
          <w:marTop w:val="0"/>
          <w:marBottom w:val="0"/>
          <w:divBdr>
            <w:top w:val="none" w:sz="0" w:space="0" w:color="auto"/>
            <w:left w:val="none" w:sz="0" w:space="0" w:color="auto"/>
            <w:bottom w:val="none" w:sz="0" w:space="0" w:color="auto"/>
            <w:right w:val="none" w:sz="0" w:space="0" w:color="auto"/>
          </w:divBdr>
        </w:div>
        <w:div w:id="348533339">
          <w:marLeft w:val="640"/>
          <w:marRight w:val="0"/>
          <w:marTop w:val="0"/>
          <w:marBottom w:val="0"/>
          <w:divBdr>
            <w:top w:val="none" w:sz="0" w:space="0" w:color="auto"/>
            <w:left w:val="none" w:sz="0" w:space="0" w:color="auto"/>
            <w:bottom w:val="none" w:sz="0" w:space="0" w:color="auto"/>
            <w:right w:val="none" w:sz="0" w:space="0" w:color="auto"/>
          </w:divBdr>
        </w:div>
        <w:div w:id="1953631991">
          <w:marLeft w:val="640"/>
          <w:marRight w:val="0"/>
          <w:marTop w:val="0"/>
          <w:marBottom w:val="0"/>
          <w:divBdr>
            <w:top w:val="none" w:sz="0" w:space="0" w:color="auto"/>
            <w:left w:val="none" w:sz="0" w:space="0" w:color="auto"/>
            <w:bottom w:val="none" w:sz="0" w:space="0" w:color="auto"/>
            <w:right w:val="none" w:sz="0" w:space="0" w:color="auto"/>
          </w:divBdr>
        </w:div>
        <w:div w:id="507596003">
          <w:marLeft w:val="640"/>
          <w:marRight w:val="0"/>
          <w:marTop w:val="0"/>
          <w:marBottom w:val="0"/>
          <w:divBdr>
            <w:top w:val="none" w:sz="0" w:space="0" w:color="auto"/>
            <w:left w:val="none" w:sz="0" w:space="0" w:color="auto"/>
            <w:bottom w:val="none" w:sz="0" w:space="0" w:color="auto"/>
            <w:right w:val="none" w:sz="0" w:space="0" w:color="auto"/>
          </w:divBdr>
        </w:div>
        <w:div w:id="1344698397">
          <w:marLeft w:val="640"/>
          <w:marRight w:val="0"/>
          <w:marTop w:val="0"/>
          <w:marBottom w:val="0"/>
          <w:divBdr>
            <w:top w:val="none" w:sz="0" w:space="0" w:color="auto"/>
            <w:left w:val="none" w:sz="0" w:space="0" w:color="auto"/>
            <w:bottom w:val="none" w:sz="0" w:space="0" w:color="auto"/>
            <w:right w:val="none" w:sz="0" w:space="0" w:color="auto"/>
          </w:divBdr>
        </w:div>
        <w:div w:id="309748873">
          <w:marLeft w:val="640"/>
          <w:marRight w:val="0"/>
          <w:marTop w:val="0"/>
          <w:marBottom w:val="0"/>
          <w:divBdr>
            <w:top w:val="none" w:sz="0" w:space="0" w:color="auto"/>
            <w:left w:val="none" w:sz="0" w:space="0" w:color="auto"/>
            <w:bottom w:val="none" w:sz="0" w:space="0" w:color="auto"/>
            <w:right w:val="none" w:sz="0" w:space="0" w:color="auto"/>
          </w:divBdr>
        </w:div>
        <w:div w:id="80103538">
          <w:marLeft w:val="640"/>
          <w:marRight w:val="0"/>
          <w:marTop w:val="0"/>
          <w:marBottom w:val="0"/>
          <w:divBdr>
            <w:top w:val="none" w:sz="0" w:space="0" w:color="auto"/>
            <w:left w:val="none" w:sz="0" w:space="0" w:color="auto"/>
            <w:bottom w:val="none" w:sz="0" w:space="0" w:color="auto"/>
            <w:right w:val="none" w:sz="0" w:space="0" w:color="auto"/>
          </w:divBdr>
        </w:div>
        <w:div w:id="1565722998">
          <w:marLeft w:val="640"/>
          <w:marRight w:val="0"/>
          <w:marTop w:val="0"/>
          <w:marBottom w:val="0"/>
          <w:divBdr>
            <w:top w:val="none" w:sz="0" w:space="0" w:color="auto"/>
            <w:left w:val="none" w:sz="0" w:space="0" w:color="auto"/>
            <w:bottom w:val="none" w:sz="0" w:space="0" w:color="auto"/>
            <w:right w:val="none" w:sz="0" w:space="0" w:color="auto"/>
          </w:divBdr>
        </w:div>
        <w:div w:id="1885210680">
          <w:marLeft w:val="640"/>
          <w:marRight w:val="0"/>
          <w:marTop w:val="0"/>
          <w:marBottom w:val="0"/>
          <w:divBdr>
            <w:top w:val="none" w:sz="0" w:space="0" w:color="auto"/>
            <w:left w:val="none" w:sz="0" w:space="0" w:color="auto"/>
            <w:bottom w:val="none" w:sz="0" w:space="0" w:color="auto"/>
            <w:right w:val="none" w:sz="0" w:space="0" w:color="auto"/>
          </w:divBdr>
        </w:div>
        <w:div w:id="1568416506">
          <w:marLeft w:val="640"/>
          <w:marRight w:val="0"/>
          <w:marTop w:val="0"/>
          <w:marBottom w:val="0"/>
          <w:divBdr>
            <w:top w:val="none" w:sz="0" w:space="0" w:color="auto"/>
            <w:left w:val="none" w:sz="0" w:space="0" w:color="auto"/>
            <w:bottom w:val="none" w:sz="0" w:space="0" w:color="auto"/>
            <w:right w:val="none" w:sz="0" w:space="0" w:color="auto"/>
          </w:divBdr>
        </w:div>
        <w:div w:id="1860463141">
          <w:marLeft w:val="640"/>
          <w:marRight w:val="0"/>
          <w:marTop w:val="0"/>
          <w:marBottom w:val="0"/>
          <w:divBdr>
            <w:top w:val="none" w:sz="0" w:space="0" w:color="auto"/>
            <w:left w:val="none" w:sz="0" w:space="0" w:color="auto"/>
            <w:bottom w:val="none" w:sz="0" w:space="0" w:color="auto"/>
            <w:right w:val="none" w:sz="0" w:space="0" w:color="auto"/>
          </w:divBdr>
        </w:div>
        <w:div w:id="1057047189">
          <w:marLeft w:val="640"/>
          <w:marRight w:val="0"/>
          <w:marTop w:val="0"/>
          <w:marBottom w:val="0"/>
          <w:divBdr>
            <w:top w:val="none" w:sz="0" w:space="0" w:color="auto"/>
            <w:left w:val="none" w:sz="0" w:space="0" w:color="auto"/>
            <w:bottom w:val="none" w:sz="0" w:space="0" w:color="auto"/>
            <w:right w:val="none" w:sz="0" w:space="0" w:color="auto"/>
          </w:divBdr>
        </w:div>
        <w:div w:id="1986279864">
          <w:marLeft w:val="640"/>
          <w:marRight w:val="0"/>
          <w:marTop w:val="0"/>
          <w:marBottom w:val="0"/>
          <w:divBdr>
            <w:top w:val="none" w:sz="0" w:space="0" w:color="auto"/>
            <w:left w:val="none" w:sz="0" w:space="0" w:color="auto"/>
            <w:bottom w:val="none" w:sz="0" w:space="0" w:color="auto"/>
            <w:right w:val="none" w:sz="0" w:space="0" w:color="auto"/>
          </w:divBdr>
        </w:div>
        <w:div w:id="1641114889">
          <w:marLeft w:val="640"/>
          <w:marRight w:val="0"/>
          <w:marTop w:val="0"/>
          <w:marBottom w:val="0"/>
          <w:divBdr>
            <w:top w:val="none" w:sz="0" w:space="0" w:color="auto"/>
            <w:left w:val="none" w:sz="0" w:space="0" w:color="auto"/>
            <w:bottom w:val="none" w:sz="0" w:space="0" w:color="auto"/>
            <w:right w:val="none" w:sz="0" w:space="0" w:color="auto"/>
          </w:divBdr>
        </w:div>
        <w:div w:id="526258565">
          <w:marLeft w:val="640"/>
          <w:marRight w:val="0"/>
          <w:marTop w:val="0"/>
          <w:marBottom w:val="0"/>
          <w:divBdr>
            <w:top w:val="none" w:sz="0" w:space="0" w:color="auto"/>
            <w:left w:val="none" w:sz="0" w:space="0" w:color="auto"/>
            <w:bottom w:val="none" w:sz="0" w:space="0" w:color="auto"/>
            <w:right w:val="none" w:sz="0" w:space="0" w:color="auto"/>
          </w:divBdr>
        </w:div>
        <w:div w:id="555361231">
          <w:marLeft w:val="640"/>
          <w:marRight w:val="0"/>
          <w:marTop w:val="0"/>
          <w:marBottom w:val="0"/>
          <w:divBdr>
            <w:top w:val="none" w:sz="0" w:space="0" w:color="auto"/>
            <w:left w:val="none" w:sz="0" w:space="0" w:color="auto"/>
            <w:bottom w:val="none" w:sz="0" w:space="0" w:color="auto"/>
            <w:right w:val="none" w:sz="0" w:space="0" w:color="auto"/>
          </w:divBdr>
        </w:div>
        <w:div w:id="1195195128">
          <w:marLeft w:val="640"/>
          <w:marRight w:val="0"/>
          <w:marTop w:val="0"/>
          <w:marBottom w:val="0"/>
          <w:divBdr>
            <w:top w:val="none" w:sz="0" w:space="0" w:color="auto"/>
            <w:left w:val="none" w:sz="0" w:space="0" w:color="auto"/>
            <w:bottom w:val="none" w:sz="0" w:space="0" w:color="auto"/>
            <w:right w:val="none" w:sz="0" w:space="0" w:color="auto"/>
          </w:divBdr>
        </w:div>
        <w:div w:id="1718775901">
          <w:marLeft w:val="640"/>
          <w:marRight w:val="0"/>
          <w:marTop w:val="0"/>
          <w:marBottom w:val="0"/>
          <w:divBdr>
            <w:top w:val="none" w:sz="0" w:space="0" w:color="auto"/>
            <w:left w:val="none" w:sz="0" w:space="0" w:color="auto"/>
            <w:bottom w:val="none" w:sz="0" w:space="0" w:color="auto"/>
            <w:right w:val="none" w:sz="0" w:space="0" w:color="auto"/>
          </w:divBdr>
        </w:div>
        <w:div w:id="1321228162">
          <w:marLeft w:val="640"/>
          <w:marRight w:val="0"/>
          <w:marTop w:val="0"/>
          <w:marBottom w:val="0"/>
          <w:divBdr>
            <w:top w:val="none" w:sz="0" w:space="0" w:color="auto"/>
            <w:left w:val="none" w:sz="0" w:space="0" w:color="auto"/>
            <w:bottom w:val="none" w:sz="0" w:space="0" w:color="auto"/>
            <w:right w:val="none" w:sz="0" w:space="0" w:color="auto"/>
          </w:divBdr>
        </w:div>
        <w:div w:id="1240365635">
          <w:marLeft w:val="640"/>
          <w:marRight w:val="0"/>
          <w:marTop w:val="0"/>
          <w:marBottom w:val="0"/>
          <w:divBdr>
            <w:top w:val="none" w:sz="0" w:space="0" w:color="auto"/>
            <w:left w:val="none" w:sz="0" w:space="0" w:color="auto"/>
            <w:bottom w:val="none" w:sz="0" w:space="0" w:color="auto"/>
            <w:right w:val="none" w:sz="0" w:space="0" w:color="auto"/>
          </w:divBdr>
        </w:div>
        <w:div w:id="391661299">
          <w:marLeft w:val="640"/>
          <w:marRight w:val="0"/>
          <w:marTop w:val="0"/>
          <w:marBottom w:val="0"/>
          <w:divBdr>
            <w:top w:val="none" w:sz="0" w:space="0" w:color="auto"/>
            <w:left w:val="none" w:sz="0" w:space="0" w:color="auto"/>
            <w:bottom w:val="none" w:sz="0" w:space="0" w:color="auto"/>
            <w:right w:val="none" w:sz="0" w:space="0" w:color="auto"/>
          </w:divBdr>
        </w:div>
        <w:div w:id="22025589">
          <w:marLeft w:val="640"/>
          <w:marRight w:val="0"/>
          <w:marTop w:val="0"/>
          <w:marBottom w:val="0"/>
          <w:divBdr>
            <w:top w:val="none" w:sz="0" w:space="0" w:color="auto"/>
            <w:left w:val="none" w:sz="0" w:space="0" w:color="auto"/>
            <w:bottom w:val="none" w:sz="0" w:space="0" w:color="auto"/>
            <w:right w:val="none" w:sz="0" w:space="0" w:color="auto"/>
          </w:divBdr>
        </w:div>
        <w:div w:id="969626377">
          <w:marLeft w:val="640"/>
          <w:marRight w:val="0"/>
          <w:marTop w:val="0"/>
          <w:marBottom w:val="0"/>
          <w:divBdr>
            <w:top w:val="none" w:sz="0" w:space="0" w:color="auto"/>
            <w:left w:val="none" w:sz="0" w:space="0" w:color="auto"/>
            <w:bottom w:val="none" w:sz="0" w:space="0" w:color="auto"/>
            <w:right w:val="none" w:sz="0" w:space="0" w:color="auto"/>
          </w:divBdr>
        </w:div>
        <w:div w:id="525556142">
          <w:marLeft w:val="640"/>
          <w:marRight w:val="0"/>
          <w:marTop w:val="0"/>
          <w:marBottom w:val="0"/>
          <w:divBdr>
            <w:top w:val="none" w:sz="0" w:space="0" w:color="auto"/>
            <w:left w:val="none" w:sz="0" w:space="0" w:color="auto"/>
            <w:bottom w:val="none" w:sz="0" w:space="0" w:color="auto"/>
            <w:right w:val="none" w:sz="0" w:space="0" w:color="auto"/>
          </w:divBdr>
        </w:div>
        <w:div w:id="425612625">
          <w:marLeft w:val="640"/>
          <w:marRight w:val="0"/>
          <w:marTop w:val="0"/>
          <w:marBottom w:val="0"/>
          <w:divBdr>
            <w:top w:val="none" w:sz="0" w:space="0" w:color="auto"/>
            <w:left w:val="none" w:sz="0" w:space="0" w:color="auto"/>
            <w:bottom w:val="none" w:sz="0" w:space="0" w:color="auto"/>
            <w:right w:val="none" w:sz="0" w:space="0" w:color="auto"/>
          </w:divBdr>
        </w:div>
        <w:div w:id="463889552">
          <w:marLeft w:val="640"/>
          <w:marRight w:val="0"/>
          <w:marTop w:val="0"/>
          <w:marBottom w:val="0"/>
          <w:divBdr>
            <w:top w:val="none" w:sz="0" w:space="0" w:color="auto"/>
            <w:left w:val="none" w:sz="0" w:space="0" w:color="auto"/>
            <w:bottom w:val="none" w:sz="0" w:space="0" w:color="auto"/>
            <w:right w:val="none" w:sz="0" w:space="0" w:color="auto"/>
          </w:divBdr>
        </w:div>
        <w:div w:id="78479304">
          <w:marLeft w:val="640"/>
          <w:marRight w:val="0"/>
          <w:marTop w:val="0"/>
          <w:marBottom w:val="0"/>
          <w:divBdr>
            <w:top w:val="none" w:sz="0" w:space="0" w:color="auto"/>
            <w:left w:val="none" w:sz="0" w:space="0" w:color="auto"/>
            <w:bottom w:val="none" w:sz="0" w:space="0" w:color="auto"/>
            <w:right w:val="none" w:sz="0" w:space="0" w:color="auto"/>
          </w:divBdr>
        </w:div>
        <w:div w:id="1161508383">
          <w:marLeft w:val="640"/>
          <w:marRight w:val="0"/>
          <w:marTop w:val="0"/>
          <w:marBottom w:val="0"/>
          <w:divBdr>
            <w:top w:val="none" w:sz="0" w:space="0" w:color="auto"/>
            <w:left w:val="none" w:sz="0" w:space="0" w:color="auto"/>
            <w:bottom w:val="none" w:sz="0" w:space="0" w:color="auto"/>
            <w:right w:val="none" w:sz="0" w:space="0" w:color="auto"/>
          </w:divBdr>
        </w:div>
        <w:div w:id="1395397884">
          <w:marLeft w:val="640"/>
          <w:marRight w:val="0"/>
          <w:marTop w:val="0"/>
          <w:marBottom w:val="0"/>
          <w:divBdr>
            <w:top w:val="none" w:sz="0" w:space="0" w:color="auto"/>
            <w:left w:val="none" w:sz="0" w:space="0" w:color="auto"/>
            <w:bottom w:val="none" w:sz="0" w:space="0" w:color="auto"/>
            <w:right w:val="none" w:sz="0" w:space="0" w:color="auto"/>
          </w:divBdr>
        </w:div>
        <w:div w:id="338699335">
          <w:marLeft w:val="640"/>
          <w:marRight w:val="0"/>
          <w:marTop w:val="0"/>
          <w:marBottom w:val="0"/>
          <w:divBdr>
            <w:top w:val="none" w:sz="0" w:space="0" w:color="auto"/>
            <w:left w:val="none" w:sz="0" w:space="0" w:color="auto"/>
            <w:bottom w:val="none" w:sz="0" w:space="0" w:color="auto"/>
            <w:right w:val="none" w:sz="0" w:space="0" w:color="auto"/>
          </w:divBdr>
        </w:div>
        <w:div w:id="1257443480">
          <w:marLeft w:val="640"/>
          <w:marRight w:val="0"/>
          <w:marTop w:val="0"/>
          <w:marBottom w:val="0"/>
          <w:divBdr>
            <w:top w:val="none" w:sz="0" w:space="0" w:color="auto"/>
            <w:left w:val="none" w:sz="0" w:space="0" w:color="auto"/>
            <w:bottom w:val="none" w:sz="0" w:space="0" w:color="auto"/>
            <w:right w:val="none" w:sz="0" w:space="0" w:color="auto"/>
          </w:divBdr>
        </w:div>
        <w:div w:id="597445131">
          <w:marLeft w:val="640"/>
          <w:marRight w:val="0"/>
          <w:marTop w:val="0"/>
          <w:marBottom w:val="0"/>
          <w:divBdr>
            <w:top w:val="none" w:sz="0" w:space="0" w:color="auto"/>
            <w:left w:val="none" w:sz="0" w:space="0" w:color="auto"/>
            <w:bottom w:val="none" w:sz="0" w:space="0" w:color="auto"/>
            <w:right w:val="none" w:sz="0" w:space="0" w:color="auto"/>
          </w:divBdr>
        </w:div>
        <w:div w:id="329988525">
          <w:marLeft w:val="640"/>
          <w:marRight w:val="0"/>
          <w:marTop w:val="0"/>
          <w:marBottom w:val="0"/>
          <w:divBdr>
            <w:top w:val="none" w:sz="0" w:space="0" w:color="auto"/>
            <w:left w:val="none" w:sz="0" w:space="0" w:color="auto"/>
            <w:bottom w:val="none" w:sz="0" w:space="0" w:color="auto"/>
            <w:right w:val="none" w:sz="0" w:space="0" w:color="auto"/>
          </w:divBdr>
        </w:div>
        <w:div w:id="972752725">
          <w:marLeft w:val="640"/>
          <w:marRight w:val="0"/>
          <w:marTop w:val="0"/>
          <w:marBottom w:val="0"/>
          <w:divBdr>
            <w:top w:val="none" w:sz="0" w:space="0" w:color="auto"/>
            <w:left w:val="none" w:sz="0" w:space="0" w:color="auto"/>
            <w:bottom w:val="none" w:sz="0" w:space="0" w:color="auto"/>
            <w:right w:val="none" w:sz="0" w:space="0" w:color="auto"/>
          </w:divBdr>
        </w:div>
        <w:div w:id="1423063251">
          <w:marLeft w:val="640"/>
          <w:marRight w:val="0"/>
          <w:marTop w:val="0"/>
          <w:marBottom w:val="0"/>
          <w:divBdr>
            <w:top w:val="none" w:sz="0" w:space="0" w:color="auto"/>
            <w:left w:val="none" w:sz="0" w:space="0" w:color="auto"/>
            <w:bottom w:val="none" w:sz="0" w:space="0" w:color="auto"/>
            <w:right w:val="none" w:sz="0" w:space="0" w:color="auto"/>
          </w:divBdr>
        </w:div>
        <w:div w:id="313998123">
          <w:marLeft w:val="640"/>
          <w:marRight w:val="0"/>
          <w:marTop w:val="0"/>
          <w:marBottom w:val="0"/>
          <w:divBdr>
            <w:top w:val="none" w:sz="0" w:space="0" w:color="auto"/>
            <w:left w:val="none" w:sz="0" w:space="0" w:color="auto"/>
            <w:bottom w:val="none" w:sz="0" w:space="0" w:color="auto"/>
            <w:right w:val="none" w:sz="0" w:space="0" w:color="auto"/>
          </w:divBdr>
        </w:div>
        <w:div w:id="2127461578">
          <w:marLeft w:val="640"/>
          <w:marRight w:val="0"/>
          <w:marTop w:val="0"/>
          <w:marBottom w:val="0"/>
          <w:divBdr>
            <w:top w:val="none" w:sz="0" w:space="0" w:color="auto"/>
            <w:left w:val="none" w:sz="0" w:space="0" w:color="auto"/>
            <w:bottom w:val="none" w:sz="0" w:space="0" w:color="auto"/>
            <w:right w:val="none" w:sz="0" w:space="0" w:color="auto"/>
          </w:divBdr>
        </w:div>
        <w:div w:id="154075456">
          <w:marLeft w:val="640"/>
          <w:marRight w:val="0"/>
          <w:marTop w:val="0"/>
          <w:marBottom w:val="0"/>
          <w:divBdr>
            <w:top w:val="none" w:sz="0" w:space="0" w:color="auto"/>
            <w:left w:val="none" w:sz="0" w:space="0" w:color="auto"/>
            <w:bottom w:val="none" w:sz="0" w:space="0" w:color="auto"/>
            <w:right w:val="none" w:sz="0" w:space="0" w:color="auto"/>
          </w:divBdr>
        </w:div>
        <w:div w:id="1787773878">
          <w:marLeft w:val="640"/>
          <w:marRight w:val="0"/>
          <w:marTop w:val="0"/>
          <w:marBottom w:val="0"/>
          <w:divBdr>
            <w:top w:val="none" w:sz="0" w:space="0" w:color="auto"/>
            <w:left w:val="none" w:sz="0" w:space="0" w:color="auto"/>
            <w:bottom w:val="none" w:sz="0" w:space="0" w:color="auto"/>
            <w:right w:val="none" w:sz="0" w:space="0" w:color="auto"/>
          </w:divBdr>
        </w:div>
        <w:div w:id="716012136">
          <w:marLeft w:val="640"/>
          <w:marRight w:val="0"/>
          <w:marTop w:val="0"/>
          <w:marBottom w:val="0"/>
          <w:divBdr>
            <w:top w:val="none" w:sz="0" w:space="0" w:color="auto"/>
            <w:left w:val="none" w:sz="0" w:space="0" w:color="auto"/>
            <w:bottom w:val="none" w:sz="0" w:space="0" w:color="auto"/>
            <w:right w:val="none" w:sz="0" w:space="0" w:color="auto"/>
          </w:divBdr>
        </w:div>
        <w:div w:id="381054925">
          <w:marLeft w:val="640"/>
          <w:marRight w:val="0"/>
          <w:marTop w:val="0"/>
          <w:marBottom w:val="0"/>
          <w:divBdr>
            <w:top w:val="none" w:sz="0" w:space="0" w:color="auto"/>
            <w:left w:val="none" w:sz="0" w:space="0" w:color="auto"/>
            <w:bottom w:val="none" w:sz="0" w:space="0" w:color="auto"/>
            <w:right w:val="none" w:sz="0" w:space="0" w:color="auto"/>
          </w:divBdr>
        </w:div>
        <w:div w:id="983897051">
          <w:marLeft w:val="640"/>
          <w:marRight w:val="0"/>
          <w:marTop w:val="0"/>
          <w:marBottom w:val="0"/>
          <w:divBdr>
            <w:top w:val="none" w:sz="0" w:space="0" w:color="auto"/>
            <w:left w:val="none" w:sz="0" w:space="0" w:color="auto"/>
            <w:bottom w:val="none" w:sz="0" w:space="0" w:color="auto"/>
            <w:right w:val="none" w:sz="0" w:space="0" w:color="auto"/>
          </w:divBdr>
        </w:div>
        <w:div w:id="995691629">
          <w:marLeft w:val="640"/>
          <w:marRight w:val="0"/>
          <w:marTop w:val="0"/>
          <w:marBottom w:val="0"/>
          <w:divBdr>
            <w:top w:val="none" w:sz="0" w:space="0" w:color="auto"/>
            <w:left w:val="none" w:sz="0" w:space="0" w:color="auto"/>
            <w:bottom w:val="none" w:sz="0" w:space="0" w:color="auto"/>
            <w:right w:val="none" w:sz="0" w:space="0" w:color="auto"/>
          </w:divBdr>
        </w:div>
        <w:div w:id="1230076358">
          <w:marLeft w:val="640"/>
          <w:marRight w:val="0"/>
          <w:marTop w:val="0"/>
          <w:marBottom w:val="0"/>
          <w:divBdr>
            <w:top w:val="none" w:sz="0" w:space="0" w:color="auto"/>
            <w:left w:val="none" w:sz="0" w:space="0" w:color="auto"/>
            <w:bottom w:val="none" w:sz="0" w:space="0" w:color="auto"/>
            <w:right w:val="none" w:sz="0" w:space="0" w:color="auto"/>
          </w:divBdr>
        </w:div>
        <w:div w:id="1211571440">
          <w:marLeft w:val="640"/>
          <w:marRight w:val="0"/>
          <w:marTop w:val="0"/>
          <w:marBottom w:val="0"/>
          <w:divBdr>
            <w:top w:val="none" w:sz="0" w:space="0" w:color="auto"/>
            <w:left w:val="none" w:sz="0" w:space="0" w:color="auto"/>
            <w:bottom w:val="none" w:sz="0" w:space="0" w:color="auto"/>
            <w:right w:val="none" w:sz="0" w:space="0" w:color="auto"/>
          </w:divBdr>
        </w:div>
        <w:div w:id="1150712844">
          <w:marLeft w:val="640"/>
          <w:marRight w:val="0"/>
          <w:marTop w:val="0"/>
          <w:marBottom w:val="0"/>
          <w:divBdr>
            <w:top w:val="none" w:sz="0" w:space="0" w:color="auto"/>
            <w:left w:val="none" w:sz="0" w:space="0" w:color="auto"/>
            <w:bottom w:val="none" w:sz="0" w:space="0" w:color="auto"/>
            <w:right w:val="none" w:sz="0" w:space="0" w:color="auto"/>
          </w:divBdr>
        </w:div>
        <w:div w:id="254242485">
          <w:marLeft w:val="640"/>
          <w:marRight w:val="0"/>
          <w:marTop w:val="0"/>
          <w:marBottom w:val="0"/>
          <w:divBdr>
            <w:top w:val="none" w:sz="0" w:space="0" w:color="auto"/>
            <w:left w:val="none" w:sz="0" w:space="0" w:color="auto"/>
            <w:bottom w:val="none" w:sz="0" w:space="0" w:color="auto"/>
            <w:right w:val="none" w:sz="0" w:space="0" w:color="auto"/>
          </w:divBdr>
        </w:div>
        <w:div w:id="874926695">
          <w:marLeft w:val="640"/>
          <w:marRight w:val="0"/>
          <w:marTop w:val="0"/>
          <w:marBottom w:val="0"/>
          <w:divBdr>
            <w:top w:val="none" w:sz="0" w:space="0" w:color="auto"/>
            <w:left w:val="none" w:sz="0" w:space="0" w:color="auto"/>
            <w:bottom w:val="none" w:sz="0" w:space="0" w:color="auto"/>
            <w:right w:val="none" w:sz="0" w:space="0" w:color="auto"/>
          </w:divBdr>
        </w:div>
        <w:div w:id="1595505488">
          <w:marLeft w:val="640"/>
          <w:marRight w:val="0"/>
          <w:marTop w:val="0"/>
          <w:marBottom w:val="0"/>
          <w:divBdr>
            <w:top w:val="none" w:sz="0" w:space="0" w:color="auto"/>
            <w:left w:val="none" w:sz="0" w:space="0" w:color="auto"/>
            <w:bottom w:val="none" w:sz="0" w:space="0" w:color="auto"/>
            <w:right w:val="none" w:sz="0" w:space="0" w:color="auto"/>
          </w:divBdr>
        </w:div>
        <w:div w:id="1802337604">
          <w:marLeft w:val="640"/>
          <w:marRight w:val="0"/>
          <w:marTop w:val="0"/>
          <w:marBottom w:val="0"/>
          <w:divBdr>
            <w:top w:val="none" w:sz="0" w:space="0" w:color="auto"/>
            <w:left w:val="none" w:sz="0" w:space="0" w:color="auto"/>
            <w:bottom w:val="none" w:sz="0" w:space="0" w:color="auto"/>
            <w:right w:val="none" w:sz="0" w:space="0" w:color="auto"/>
          </w:divBdr>
        </w:div>
        <w:div w:id="1260218774">
          <w:marLeft w:val="640"/>
          <w:marRight w:val="0"/>
          <w:marTop w:val="0"/>
          <w:marBottom w:val="0"/>
          <w:divBdr>
            <w:top w:val="none" w:sz="0" w:space="0" w:color="auto"/>
            <w:left w:val="none" w:sz="0" w:space="0" w:color="auto"/>
            <w:bottom w:val="none" w:sz="0" w:space="0" w:color="auto"/>
            <w:right w:val="none" w:sz="0" w:space="0" w:color="auto"/>
          </w:divBdr>
        </w:div>
        <w:div w:id="1008866209">
          <w:marLeft w:val="640"/>
          <w:marRight w:val="0"/>
          <w:marTop w:val="0"/>
          <w:marBottom w:val="0"/>
          <w:divBdr>
            <w:top w:val="none" w:sz="0" w:space="0" w:color="auto"/>
            <w:left w:val="none" w:sz="0" w:space="0" w:color="auto"/>
            <w:bottom w:val="none" w:sz="0" w:space="0" w:color="auto"/>
            <w:right w:val="none" w:sz="0" w:space="0" w:color="auto"/>
          </w:divBdr>
        </w:div>
        <w:div w:id="481503811">
          <w:marLeft w:val="640"/>
          <w:marRight w:val="0"/>
          <w:marTop w:val="0"/>
          <w:marBottom w:val="0"/>
          <w:divBdr>
            <w:top w:val="none" w:sz="0" w:space="0" w:color="auto"/>
            <w:left w:val="none" w:sz="0" w:space="0" w:color="auto"/>
            <w:bottom w:val="none" w:sz="0" w:space="0" w:color="auto"/>
            <w:right w:val="none" w:sz="0" w:space="0" w:color="auto"/>
          </w:divBdr>
        </w:div>
        <w:div w:id="1491824500">
          <w:marLeft w:val="640"/>
          <w:marRight w:val="0"/>
          <w:marTop w:val="0"/>
          <w:marBottom w:val="0"/>
          <w:divBdr>
            <w:top w:val="none" w:sz="0" w:space="0" w:color="auto"/>
            <w:left w:val="none" w:sz="0" w:space="0" w:color="auto"/>
            <w:bottom w:val="none" w:sz="0" w:space="0" w:color="auto"/>
            <w:right w:val="none" w:sz="0" w:space="0" w:color="auto"/>
          </w:divBdr>
        </w:div>
        <w:div w:id="1271006354">
          <w:marLeft w:val="640"/>
          <w:marRight w:val="0"/>
          <w:marTop w:val="0"/>
          <w:marBottom w:val="0"/>
          <w:divBdr>
            <w:top w:val="none" w:sz="0" w:space="0" w:color="auto"/>
            <w:left w:val="none" w:sz="0" w:space="0" w:color="auto"/>
            <w:bottom w:val="none" w:sz="0" w:space="0" w:color="auto"/>
            <w:right w:val="none" w:sz="0" w:space="0" w:color="auto"/>
          </w:divBdr>
        </w:div>
        <w:div w:id="1501386432">
          <w:marLeft w:val="640"/>
          <w:marRight w:val="0"/>
          <w:marTop w:val="0"/>
          <w:marBottom w:val="0"/>
          <w:divBdr>
            <w:top w:val="none" w:sz="0" w:space="0" w:color="auto"/>
            <w:left w:val="none" w:sz="0" w:space="0" w:color="auto"/>
            <w:bottom w:val="none" w:sz="0" w:space="0" w:color="auto"/>
            <w:right w:val="none" w:sz="0" w:space="0" w:color="auto"/>
          </w:divBdr>
        </w:div>
        <w:div w:id="451829773">
          <w:marLeft w:val="640"/>
          <w:marRight w:val="0"/>
          <w:marTop w:val="0"/>
          <w:marBottom w:val="0"/>
          <w:divBdr>
            <w:top w:val="none" w:sz="0" w:space="0" w:color="auto"/>
            <w:left w:val="none" w:sz="0" w:space="0" w:color="auto"/>
            <w:bottom w:val="none" w:sz="0" w:space="0" w:color="auto"/>
            <w:right w:val="none" w:sz="0" w:space="0" w:color="auto"/>
          </w:divBdr>
        </w:div>
        <w:div w:id="96606113">
          <w:marLeft w:val="640"/>
          <w:marRight w:val="0"/>
          <w:marTop w:val="0"/>
          <w:marBottom w:val="0"/>
          <w:divBdr>
            <w:top w:val="none" w:sz="0" w:space="0" w:color="auto"/>
            <w:left w:val="none" w:sz="0" w:space="0" w:color="auto"/>
            <w:bottom w:val="none" w:sz="0" w:space="0" w:color="auto"/>
            <w:right w:val="none" w:sz="0" w:space="0" w:color="auto"/>
          </w:divBdr>
        </w:div>
        <w:div w:id="376394553">
          <w:marLeft w:val="640"/>
          <w:marRight w:val="0"/>
          <w:marTop w:val="0"/>
          <w:marBottom w:val="0"/>
          <w:divBdr>
            <w:top w:val="none" w:sz="0" w:space="0" w:color="auto"/>
            <w:left w:val="none" w:sz="0" w:space="0" w:color="auto"/>
            <w:bottom w:val="none" w:sz="0" w:space="0" w:color="auto"/>
            <w:right w:val="none" w:sz="0" w:space="0" w:color="auto"/>
          </w:divBdr>
        </w:div>
        <w:div w:id="1298534948">
          <w:marLeft w:val="640"/>
          <w:marRight w:val="0"/>
          <w:marTop w:val="0"/>
          <w:marBottom w:val="0"/>
          <w:divBdr>
            <w:top w:val="none" w:sz="0" w:space="0" w:color="auto"/>
            <w:left w:val="none" w:sz="0" w:space="0" w:color="auto"/>
            <w:bottom w:val="none" w:sz="0" w:space="0" w:color="auto"/>
            <w:right w:val="none" w:sz="0" w:space="0" w:color="auto"/>
          </w:divBdr>
        </w:div>
        <w:div w:id="33820832">
          <w:marLeft w:val="640"/>
          <w:marRight w:val="0"/>
          <w:marTop w:val="0"/>
          <w:marBottom w:val="0"/>
          <w:divBdr>
            <w:top w:val="none" w:sz="0" w:space="0" w:color="auto"/>
            <w:left w:val="none" w:sz="0" w:space="0" w:color="auto"/>
            <w:bottom w:val="none" w:sz="0" w:space="0" w:color="auto"/>
            <w:right w:val="none" w:sz="0" w:space="0" w:color="auto"/>
          </w:divBdr>
        </w:div>
        <w:div w:id="1275937698">
          <w:marLeft w:val="640"/>
          <w:marRight w:val="0"/>
          <w:marTop w:val="0"/>
          <w:marBottom w:val="0"/>
          <w:divBdr>
            <w:top w:val="none" w:sz="0" w:space="0" w:color="auto"/>
            <w:left w:val="none" w:sz="0" w:space="0" w:color="auto"/>
            <w:bottom w:val="none" w:sz="0" w:space="0" w:color="auto"/>
            <w:right w:val="none" w:sz="0" w:space="0" w:color="auto"/>
          </w:divBdr>
        </w:div>
        <w:div w:id="1125926980">
          <w:marLeft w:val="640"/>
          <w:marRight w:val="0"/>
          <w:marTop w:val="0"/>
          <w:marBottom w:val="0"/>
          <w:divBdr>
            <w:top w:val="none" w:sz="0" w:space="0" w:color="auto"/>
            <w:left w:val="none" w:sz="0" w:space="0" w:color="auto"/>
            <w:bottom w:val="none" w:sz="0" w:space="0" w:color="auto"/>
            <w:right w:val="none" w:sz="0" w:space="0" w:color="auto"/>
          </w:divBdr>
        </w:div>
        <w:div w:id="1919751597">
          <w:marLeft w:val="640"/>
          <w:marRight w:val="0"/>
          <w:marTop w:val="0"/>
          <w:marBottom w:val="0"/>
          <w:divBdr>
            <w:top w:val="none" w:sz="0" w:space="0" w:color="auto"/>
            <w:left w:val="none" w:sz="0" w:space="0" w:color="auto"/>
            <w:bottom w:val="none" w:sz="0" w:space="0" w:color="auto"/>
            <w:right w:val="none" w:sz="0" w:space="0" w:color="auto"/>
          </w:divBdr>
        </w:div>
        <w:div w:id="393771903">
          <w:marLeft w:val="640"/>
          <w:marRight w:val="0"/>
          <w:marTop w:val="0"/>
          <w:marBottom w:val="0"/>
          <w:divBdr>
            <w:top w:val="none" w:sz="0" w:space="0" w:color="auto"/>
            <w:left w:val="none" w:sz="0" w:space="0" w:color="auto"/>
            <w:bottom w:val="none" w:sz="0" w:space="0" w:color="auto"/>
            <w:right w:val="none" w:sz="0" w:space="0" w:color="auto"/>
          </w:divBdr>
        </w:div>
        <w:div w:id="1417937106">
          <w:marLeft w:val="640"/>
          <w:marRight w:val="0"/>
          <w:marTop w:val="0"/>
          <w:marBottom w:val="0"/>
          <w:divBdr>
            <w:top w:val="none" w:sz="0" w:space="0" w:color="auto"/>
            <w:left w:val="none" w:sz="0" w:space="0" w:color="auto"/>
            <w:bottom w:val="none" w:sz="0" w:space="0" w:color="auto"/>
            <w:right w:val="none" w:sz="0" w:space="0" w:color="auto"/>
          </w:divBdr>
        </w:div>
        <w:div w:id="1833830819">
          <w:marLeft w:val="640"/>
          <w:marRight w:val="0"/>
          <w:marTop w:val="0"/>
          <w:marBottom w:val="0"/>
          <w:divBdr>
            <w:top w:val="none" w:sz="0" w:space="0" w:color="auto"/>
            <w:left w:val="none" w:sz="0" w:space="0" w:color="auto"/>
            <w:bottom w:val="none" w:sz="0" w:space="0" w:color="auto"/>
            <w:right w:val="none" w:sz="0" w:space="0" w:color="auto"/>
          </w:divBdr>
        </w:div>
        <w:div w:id="864059284">
          <w:marLeft w:val="640"/>
          <w:marRight w:val="0"/>
          <w:marTop w:val="0"/>
          <w:marBottom w:val="0"/>
          <w:divBdr>
            <w:top w:val="none" w:sz="0" w:space="0" w:color="auto"/>
            <w:left w:val="none" w:sz="0" w:space="0" w:color="auto"/>
            <w:bottom w:val="none" w:sz="0" w:space="0" w:color="auto"/>
            <w:right w:val="none" w:sz="0" w:space="0" w:color="auto"/>
          </w:divBdr>
        </w:div>
        <w:div w:id="248387040">
          <w:marLeft w:val="640"/>
          <w:marRight w:val="0"/>
          <w:marTop w:val="0"/>
          <w:marBottom w:val="0"/>
          <w:divBdr>
            <w:top w:val="none" w:sz="0" w:space="0" w:color="auto"/>
            <w:left w:val="none" w:sz="0" w:space="0" w:color="auto"/>
            <w:bottom w:val="none" w:sz="0" w:space="0" w:color="auto"/>
            <w:right w:val="none" w:sz="0" w:space="0" w:color="auto"/>
          </w:divBdr>
        </w:div>
        <w:div w:id="1365641729">
          <w:marLeft w:val="640"/>
          <w:marRight w:val="0"/>
          <w:marTop w:val="0"/>
          <w:marBottom w:val="0"/>
          <w:divBdr>
            <w:top w:val="none" w:sz="0" w:space="0" w:color="auto"/>
            <w:left w:val="none" w:sz="0" w:space="0" w:color="auto"/>
            <w:bottom w:val="none" w:sz="0" w:space="0" w:color="auto"/>
            <w:right w:val="none" w:sz="0" w:space="0" w:color="auto"/>
          </w:divBdr>
        </w:div>
        <w:div w:id="1243636152">
          <w:marLeft w:val="640"/>
          <w:marRight w:val="0"/>
          <w:marTop w:val="0"/>
          <w:marBottom w:val="0"/>
          <w:divBdr>
            <w:top w:val="none" w:sz="0" w:space="0" w:color="auto"/>
            <w:left w:val="none" w:sz="0" w:space="0" w:color="auto"/>
            <w:bottom w:val="none" w:sz="0" w:space="0" w:color="auto"/>
            <w:right w:val="none" w:sz="0" w:space="0" w:color="auto"/>
          </w:divBdr>
        </w:div>
        <w:div w:id="1764295929">
          <w:marLeft w:val="640"/>
          <w:marRight w:val="0"/>
          <w:marTop w:val="0"/>
          <w:marBottom w:val="0"/>
          <w:divBdr>
            <w:top w:val="none" w:sz="0" w:space="0" w:color="auto"/>
            <w:left w:val="none" w:sz="0" w:space="0" w:color="auto"/>
            <w:bottom w:val="none" w:sz="0" w:space="0" w:color="auto"/>
            <w:right w:val="none" w:sz="0" w:space="0" w:color="auto"/>
          </w:divBdr>
        </w:div>
        <w:div w:id="1369913093">
          <w:marLeft w:val="640"/>
          <w:marRight w:val="0"/>
          <w:marTop w:val="0"/>
          <w:marBottom w:val="0"/>
          <w:divBdr>
            <w:top w:val="none" w:sz="0" w:space="0" w:color="auto"/>
            <w:left w:val="none" w:sz="0" w:space="0" w:color="auto"/>
            <w:bottom w:val="none" w:sz="0" w:space="0" w:color="auto"/>
            <w:right w:val="none" w:sz="0" w:space="0" w:color="auto"/>
          </w:divBdr>
        </w:div>
        <w:div w:id="1299067517">
          <w:marLeft w:val="640"/>
          <w:marRight w:val="0"/>
          <w:marTop w:val="0"/>
          <w:marBottom w:val="0"/>
          <w:divBdr>
            <w:top w:val="none" w:sz="0" w:space="0" w:color="auto"/>
            <w:left w:val="none" w:sz="0" w:space="0" w:color="auto"/>
            <w:bottom w:val="none" w:sz="0" w:space="0" w:color="auto"/>
            <w:right w:val="none" w:sz="0" w:space="0" w:color="auto"/>
          </w:divBdr>
        </w:div>
        <w:div w:id="2050059162">
          <w:marLeft w:val="640"/>
          <w:marRight w:val="0"/>
          <w:marTop w:val="0"/>
          <w:marBottom w:val="0"/>
          <w:divBdr>
            <w:top w:val="none" w:sz="0" w:space="0" w:color="auto"/>
            <w:left w:val="none" w:sz="0" w:space="0" w:color="auto"/>
            <w:bottom w:val="none" w:sz="0" w:space="0" w:color="auto"/>
            <w:right w:val="none" w:sz="0" w:space="0" w:color="auto"/>
          </w:divBdr>
        </w:div>
        <w:div w:id="535311097">
          <w:marLeft w:val="640"/>
          <w:marRight w:val="0"/>
          <w:marTop w:val="0"/>
          <w:marBottom w:val="0"/>
          <w:divBdr>
            <w:top w:val="none" w:sz="0" w:space="0" w:color="auto"/>
            <w:left w:val="none" w:sz="0" w:space="0" w:color="auto"/>
            <w:bottom w:val="none" w:sz="0" w:space="0" w:color="auto"/>
            <w:right w:val="none" w:sz="0" w:space="0" w:color="auto"/>
          </w:divBdr>
        </w:div>
        <w:div w:id="474033582">
          <w:marLeft w:val="640"/>
          <w:marRight w:val="0"/>
          <w:marTop w:val="0"/>
          <w:marBottom w:val="0"/>
          <w:divBdr>
            <w:top w:val="none" w:sz="0" w:space="0" w:color="auto"/>
            <w:left w:val="none" w:sz="0" w:space="0" w:color="auto"/>
            <w:bottom w:val="none" w:sz="0" w:space="0" w:color="auto"/>
            <w:right w:val="none" w:sz="0" w:space="0" w:color="auto"/>
          </w:divBdr>
        </w:div>
        <w:div w:id="185293953">
          <w:marLeft w:val="640"/>
          <w:marRight w:val="0"/>
          <w:marTop w:val="0"/>
          <w:marBottom w:val="0"/>
          <w:divBdr>
            <w:top w:val="none" w:sz="0" w:space="0" w:color="auto"/>
            <w:left w:val="none" w:sz="0" w:space="0" w:color="auto"/>
            <w:bottom w:val="none" w:sz="0" w:space="0" w:color="auto"/>
            <w:right w:val="none" w:sz="0" w:space="0" w:color="auto"/>
          </w:divBdr>
        </w:div>
        <w:div w:id="1827815475">
          <w:marLeft w:val="640"/>
          <w:marRight w:val="0"/>
          <w:marTop w:val="0"/>
          <w:marBottom w:val="0"/>
          <w:divBdr>
            <w:top w:val="none" w:sz="0" w:space="0" w:color="auto"/>
            <w:left w:val="none" w:sz="0" w:space="0" w:color="auto"/>
            <w:bottom w:val="none" w:sz="0" w:space="0" w:color="auto"/>
            <w:right w:val="none" w:sz="0" w:space="0" w:color="auto"/>
          </w:divBdr>
        </w:div>
        <w:div w:id="136460734">
          <w:marLeft w:val="640"/>
          <w:marRight w:val="0"/>
          <w:marTop w:val="0"/>
          <w:marBottom w:val="0"/>
          <w:divBdr>
            <w:top w:val="none" w:sz="0" w:space="0" w:color="auto"/>
            <w:left w:val="none" w:sz="0" w:space="0" w:color="auto"/>
            <w:bottom w:val="none" w:sz="0" w:space="0" w:color="auto"/>
            <w:right w:val="none" w:sz="0" w:space="0" w:color="auto"/>
          </w:divBdr>
        </w:div>
        <w:div w:id="948010669">
          <w:marLeft w:val="640"/>
          <w:marRight w:val="0"/>
          <w:marTop w:val="0"/>
          <w:marBottom w:val="0"/>
          <w:divBdr>
            <w:top w:val="none" w:sz="0" w:space="0" w:color="auto"/>
            <w:left w:val="none" w:sz="0" w:space="0" w:color="auto"/>
            <w:bottom w:val="none" w:sz="0" w:space="0" w:color="auto"/>
            <w:right w:val="none" w:sz="0" w:space="0" w:color="auto"/>
          </w:divBdr>
        </w:div>
        <w:div w:id="1835335846">
          <w:marLeft w:val="640"/>
          <w:marRight w:val="0"/>
          <w:marTop w:val="0"/>
          <w:marBottom w:val="0"/>
          <w:divBdr>
            <w:top w:val="none" w:sz="0" w:space="0" w:color="auto"/>
            <w:left w:val="none" w:sz="0" w:space="0" w:color="auto"/>
            <w:bottom w:val="none" w:sz="0" w:space="0" w:color="auto"/>
            <w:right w:val="none" w:sz="0" w:space="0" w:color="auto"/>
          </w:divBdr>
        </w:div>
        <w:div w:id="1926306523">
          <w:marLeft w:val="640"/>
          <w:marRight w:val="0"/>
          <w:marTop w:val="0"/>
          <w:marBottom w:val="0"/>
          <w:divBdr>
            <w:top w:val="none" w:sz="0" w:space="0" w:color="auto"/>
            <w:left w:val="none" w:sz="0" w:space="0" w:color="auto"/>
            <w:bottom w:val="none" w:sz="0" w:space="0" w:color="auto"/>
            <w:right w:val="none" w:sz="0" w:space="0" w:color="auto"/>
          </w:divBdr>
        </w:div>
        <w:div w:id="1159148520">
          <w:marLeft w:val="640"/>
          <w:marRight w:val="0"/>
          <w:marTop w:val="0"/>
          <w:marBottom w:val="0"/>
          <w:divBdr>
            <w:top w:val="none" w:sz="0" w:space="0" w:color="auto"/>
            <w:left w:val="none" w:sz="0" w:space="0" w:color="auto"/>
            <w:bottom w:val="none" w:sz="0" w:space="0" w:color="auto"/>
            <w:right w:val="none" w:sz="0" w:space="0" w:color="auto"/>
          </w:divBdr>
        </w:div>
        <w:div w:id="1602907978">
          <w:marLeft w:val="640"/>
          <w:marRight w:val="0"/>
          <w:marTop w:val="0"/>
          <w:marBottom w:val="0"/>
          <w:divBdr>
            <w:top w:val="none" w:sz="0" w:space="0" w:color="auto"/>
            <w:left w:val="none" w:sz="0" w:space="0" w:color="auto"/>
            <w:bottom w:val="none" w:sz="0" w:space="0" w:color="auto"/>
            <w:right w:val="none" w:sz="0" w:space="0" w:color="auto"/>
          </w:divBdr>
        </w:div>
        <w:div w:id="429816742">
          <w:marLeft w:val="640"/>
          <w:marRight w:val="0"/>
          <w:marTop w:val="0"/>
          <w:marBottom w:val="0"/>
          <w:divBdr>
            <w:top w:val="none" w:sz="0" w:space="0" w:color="auto"/>
            <w:left w:val="none" w:sz="0" w:space="0" w:color="auto"/>
            <w:bottom w:val="none" w:sz="0" w:space="0" w:color="auto"/>
            <w:right w:val="none" w:sz="0" w:space="0" w:color="auto"/>
          </w:divBdr>
        </w:div>
        <w:div w:id="1263563356">
          <w:marLeft w:val="640"/>
          <w:marRight w:val="0"/>
          <w:marTop w:val="0"/>
          <w:marBottom w:val="0"/>
          <w:divBdr>
            <w:top w:val="none" w:sz="0" w:space="0" w:color="auto"/>
            <w:left w:val="none" w:sz="0" w:space="0" w:color="auto"/>
            <w:bottom w:val="none" w:sz="0" w:space="0" w:color="auto"/>
            <w:right w:val="none" w:sz="0" w:space="0" w:color="auto"/>
          </w:divBdr>
        </w:div>
        <w:div w:id="1342002140">
          <w:marLeft w:val="640"/>
          <w:marRight w:val="0"/>
          <w:marTop w:val="0"/>
          <w:marBottom w:val="0"/>
          <w:divBdr>
            <w:top w:val="none" w:sz="0" w:space="0" w:color="auto"/>
            <w:left w:val="none" w:sz="0" w:space="0" w:color="auto"/>
            <w:bottom w:val="none" w:sz="0" w:space="0" w:color="auto"/>
            <w:right w:val="none" w:sz="0" w:space="0" w:color="auto"/>
          </w:divBdr>
        </w:div>
        <w:div w:id="1163745018">
          <w:marLeft w:val="640"/>
          <w:marRight w:val="0"/>
          <w:marTop w:val="0"/>
          <w:marBottom w:val="0"/>
          <w:divBdr>
            <w:top w:val="none" w:sz="0" w:space="0" w:color="auto"/>
            <w:left w:val="none" w:sz="0" w:space="0" w:color="auto"/>
            <w:bottom w:val="none" w:sz="0" w:space="0" w:color="auto"/>
            <w:right w:val="none" w:sz="0" w:space="0" w:color="auto"/>
          </w:divBdr>
        </w:div>
        <w:div w:id="1388068360">
          <w:marLeft w:val="640"/>
          <w:marRight w:val="0"/>
          <w:marTop w:val="0"/>
          <w:marBottom w:val="0"/>
          <w:divBdr>
            <w:top w:val="none" w:sz="0" w:space="0" w:color="auto"/>
            <w:left w:val="none" w:sz="0" w:space="0" w:color="auto"/>
            <w:bottom w:val="none" w:sz="0" w:space="0" w:color="auto"/>
            <w:right w:val="none" w:sz="0" w:space="0" w:color="auto"/>
          </w:divBdr>
        </w:div>
        <w:div w:id="1616329261">
          <w:marLeft w:val="640"/>
          <w:marRight w:val="0"/>
          <w:marTop w:val="0"/>
          <w:marBottom w:val="0"/>
          <w:divBdr>
            <w:top w:val="none" w:sz="0" w:space="0" w:color="auto"/>
            <w:left w:val="none" w:sz="0" w:space="0" w:color="auto"/>
            <w:bottom w:val="none" w:sz="0" w:space="0" w:color="auto"/>
            <w:right w:val="none" w:sz="0" w:space="0" w:color="auto"/>
          </w:divBdr>
        </w:div>
        <w:div w:id="2075160015">
          <w:marLeft w:val="640"/>
          <w:marRight w:val="0"/>
          <w:marTop w:val="0"/>
          <w:marBottom w:val="0"/>
          <w:divBdr>
            <w:top w:val="none" w:sz="0" w:space="0" w:color="auto"/>
            <w:left w:val="none" w:sz="0" w:space="0" w:color="auto"/>
            <w:bottom w:val="none" w:sz="0" w:space="0" w:color="auto"/>
            <w:right w:val="none" w:sz="0" w:space="0" w:color="auto"/>
          </w:divBdr>
        </w:div>
        <w:div w:id="1305432360">
          <w:marLeft w:val="640"/>
          <w:marRight w:val="0"/>
          <w:marTop w:val="0"/>
          <w:marBottom w:val="0"/>
          <w:divBdr>
            <w:top w:val="none" w:sz="0" w:space="0" w:color="auto"/>
            <w:left w:val="none" w:sz="0" w:space="0" w:color="auto"/>
            <w:bottom w:val="none" w:sz="0" w:space="0" w:color="auto"/>
            <w:right w:val="none" w:sz="0" w:space="0" w:color="auto"/>
          </w:divBdr>
        </w:div>
        <w:div w:id="229192922">
          <w:marLeft w:val="640"/>
          <w:marRight w:val="0"/>
          <w:marTop w:val="0"/>
          <w:marBottom w:val="0"/>
          <w:divBdr>
            <w:top w:val="none" w:sz="0" w:space="0" w:color="auto"/>
            <w:left w:val="none" w:sz="0" w:space="0" w:color="auto"/>
            <w:bottom w:val="none" w:sz="0" w:space="0" w:color="auto"/>
            <w:right w:val="none" w:sz="0" w:space="0" w:color="auto"/>
          </w:divBdr>
        </w:div>
        <w:div w:id="471410694">
          <w:marLeft w:val="640"/>
          <w:marRight w:val="0"/>
          <w:marTop w:val="0"/>
          <w:marBottom w:val="0"/>
          <w:divBdr>
            <w:top w:val="none" w:sz="0" w:space="0" w:color="auto"/>
            <w:left w:val="none" w:sz="0" w:space="0" w:color="auto"/>
            <w:bottom w:val="none" w:sz="0" w:space="0" w:color="auto"/>
            <w:right w:val="none" w:sz="0" w:space="0" w:color="auto"/>
          </w:divBdr>
        </w:div>
        <w:div w:id="1992176548">
          <w:marLeft w:val="640"/>
          <w:marRight w:val="0"/>
          <w:marTop w:val="0"/>
          <w:marBottom w:val="0"/>
          <w:divBdr>
            <w:top w:val="none" w:sz="0" w:space="0" w:color="auto"/>
            <w:left w:val="none" w:sz="0" w:space="0" w:color="auto"/>
            <w:bottom w:val="none" w:sz="0" w:space="0" w:color="auto"/>
            <w:right w:val="none" w:sz="0" w:space="0" w:color="auto"/>
          </w:divBdr>
        </w:div>
        <w:div w:id="528952647">
          <w:marLeft w:val="640"/>
          <w:marRight w:val="0"/>
          <w:marTop w:val="0"/>
          <w:marBottom w:val="0"/>
          <w:divBdr>
            <w:top w:val="none" w:sz="0" w:space="0" w:color="auto"/>
            <w:left w:val="none" w:sz="0" w:space="0" w:color="auto"/>
            <w:bottom w:val="none" w:sz="0" w:space="0" w:color="auto"/>
            <w:right w:val="none" w:sz="0" w:space="0" w:color="auto"/>
          </w:divBdr>
        </w:div>
        <w:div w:id="165948753">
          <w:marLeft w:val="640"/>
          <w:marRight w:val="0"/>
          <w:marTop w:val="0"/>
          <w:marBottom w:val="0"/>
          <w:divBdr>
            <w:top w:val="none" w:sz="0" w:space="0" w:color="auto"/>
            <w:left w:val="none" w:sz="0" w:space="0" w:color="auto"/>
            <w:bottom w:val="none" w:sz="0" w:space="0" w:color="auto"/>
            <w:right w:val="none" w:sz="0" w:space="0" w:color="auto"/>
          </w:divBdr>
        </w:div>
        <w:div w:id="599021427">
          <w:marLeft w:val="640"/>
          <w:marRight w:val="0"/>
          <w:marTop w:val="0"/>
          <w:marBottom w:val="0"/>
          <w:divBdr>
            <w:top w:val="none" w:sz="0" w:space="0" w:color="auto"/>
            <w:left w:val="none" w:sz="0" w:space="0" w:color="auto"/>
            <w:bottom w:val="none" w:sz="0" w:space="0" w:color="auto"/>
            <w:right w:val="none" w:sz="0" w:space="0" w:color="auto"/>
          </w:divBdr>
        </w:div>
        <w:div w:id="56515318">
          <w:marLeft w:val="640"/>
          <w:marRight w:val="0"/>
          <w:marTop w:val="0"/>
          <w:marBottom w:val="0"/>
          <w:divBdr>
            <w:top w:val="none" w:sz="0" w:space="0" w:color="auto"/>
            <w:left w:val="none" w:sz="0" w:space="0" w:color="auto"/>
            <w:bottom w:val="none" w:sz="0" w:space="0" w:color="auto"/>
            <w:right w:val="none" w:sz="0" w:space="0" w:color="auto"/>
          </w:divBdr>
        </w:div>
        <w:div w:id="1065448164">
          <w:marLeft w:val="640"/>
          <w:marRight w:val="0"/>
          <w:marTop w:val="0"/>
          <w:marBottom w:val="0"/>
          <w:divBdr>
            <w:top w:val="none" w:sz="0" w:space="0" w:color="auto"/>
            <w:left w:val="none" w:sz="0" w:space="0" w:color="auto"/>
            <w:bottom w:val="none" w:sz="0" w:space="0" w:color="auto"/>
            <w:right w:val="none" w:sz="0" w:space="0" w:color="auto"/>
          </w:divBdr>
        </w:div>
        <w:div w:id="1125999245">
          <w:marLeft w:val="640"/>
          <w:marRight w:val="0"/>
          <w:marTop w:val="0"/>
          <w:marBottom w:val="0"/>
          <w:divBdr>
            <w:top w:val="none" w:sz="0" w:space="0" w:color="auto"/>
            <w:left w:val="none" w:sz="0" w:space="0" w:color="auto"/>
            <w:bottom w:val="none" w:sz="0" w:space="0" w:color="auto"/>
            <w:right w:val="none" w:sz="0" w:space="0" w:color="auto"/>
          </w:divBdr>
        </w:div>
        <w:div w:id="1919712212">
          <w:marLeft w:val="640"/>
          <w:marRight w:val="0"/>
          <w:marTop w:val="0"/>
          <w:marBottom w:val="0"/>
          <w:divBdr>
            <w:top w:val="none" w:sz="0" w:space="0" w:color="auto"/>
            <w:left w:val="none" w:sz="0" w:space="0" w:color="auto"/>
            <w:bottom w:val="none" w:sz="0" w:space="0" w:color="auto"/>
            <w:right w:val="none" w:sz="0" w:space="0" w:color="auto"/>
          </w:divBdr>
        </w:div>
        <w:div w:id="250773275">
          <w:marLeft w:val="640"/>
          <w:marRight w:val="0"/>
          <w:marTop w:val="0"/>
          <w:marBottom w:val="0"/>
          <w:divBdr>
            <w:top w:val="none" w:sz="0" w:space="0" w:color="auto"/>
            <w:left w:val="none" w:sz="0" w:space="0" w:color="auto"/>
            <w:bottom w:val="none" w:sz="0" w:space="0" w:color="auto"/>
            <w:right w:val="none" w:sz="0" w:space="0" w:color="auto"/>
          </w:divBdr>
        </w:div>
        <w:div w:id="1504708674">
          <w:marLeft w:val="640"/>
          <w:marRight w:val="0"/>
          <w:marTop w:val="0"/>
          <w:marBottom w:val="0"/>
          <w:divBdr>
            <w:top w:val="none" w:sz="0" w:space="0" w:color="auto"/>
            <w:left w:val="none" w:sz="0" w:space="0" w:color="auto"/>
            <w:bottom w:val="none" w:sz="0" w:space="0" w:color="auto"/>
            <w:right w:val="none" w:sz="0" w:space="0" w:color="auto"/>
          </w:divBdr>
        </w:div>
        <w:div w:id="1228610943">
          <w:marLeft w:val="640"/>
          <w:marRight w:val="0"/>
          <w:marTop w:val="0"/>
          <w:marBottom w:val="0"/>
          <w:divBdr>
            <w:top w:val="none" w:sz="0" w:space="0" w:color="auto"/>
            <w:left w:val="none" w:sz="0" w:space="0" w:color="auto"/>
            <w:bottom w:val="none" w:sz="0" w:space="0" w:color="auto"/>
            <w:right w:val="none" w:sz="0" w:space="0" w:color="auto"/>
          </w:divBdr>
        </w:div>
        <w:div w:id="368070201">
          <w:marLeft w:val="640"/>
          <w:marRight w:val="0"/>
          <w:marTop w:val="0"/>
          <w:marBottom w:val="0"/>
          <w:divBdr>
            <w:top w:val="none" w:sz="0" w:space="0" w:color="auto"/>
            <w:left w:val="none" w:sz="0" w:space="0" w:color="auto"/>
            <w:bottom w:val="none" w:sz="0" w:space="0" w:color="auto"/>
            <w:right w:val="none" w:sz="0" w:space="0" w:color="auto"/>
          </w:divBdr>
        </w:div>
        <w:div w:id="2103992651">
          <w:marLeft w:val="640"/>
          <w:marRight w:val="0"/>
          <w:marTop w:val="0"/>
          <w:marBottom w:val="0"/>
          <w:divBdr>
            <w:top w:val="none" w:sz="0" w:space="0" w:color="auto"/>
            <w:left w:val="none" w:sz="0" w:space="0" w:color="auto"/>
            <w:bottom w:val="none" w:sz="0" w:space="0" w:color="auto"/>
            <w:right w:val="none" w:sz="0" w:space="0" w:color="auto"/>
          </w:divBdr>
        </w:div>
        <w:div w:id="455635414">
          <w:marLeft w:val="640"/>
          <w:marRight w:val="0"/>
          <w:marTop w:val="0"/>
          <w:marBottom w:val="0"/>
          <w:divBdr>
            <w:top w:val="none" w:sz="0" w:space="0" w:color="auto"/>
            <w:left w:val="none" w:sz="0" w:space="0" w:color="auto"/>
            <w:bottom w:val="none" w:sz="0" w:space="0" w:color="auto"/>
            <w:right w:val="none" w:sz="0" w:space="0" w:color="auto"/>
          </w:divBdr>
        </w:div>
        <w:div w:id="939683133">
          <w:marLeft w:val="640"/>
          <w:marRight w:val="0"/>
          <w:marTop w:val="0"/>
          <w:marBottom w:val="0"/>
          <w:divBdr>
            <w:top w:val="none" w:sz="0" w:space="0" w:color="auto"/>
            <w:left w:val="none" w:sz="0" w:space="0" w:color="auto"/>
            <w:bottom w:val="none" w:sz="0" w:space="0" w:color="auto"/>
            <w:right w:val="none" w:sz="0" w:space="0" w:color="auto"/>
          </w:divBdr>
        </w:div>
        <w:div w:id="2025395009">
          <w:marLeft w:val="640"/>
          <w:marRight w:val="0"/>
          <w:marTop w:val="0"/>
          <w:marBottom w:val="0"/>
          <w:divBdr>
            <w:top w:val="none" w:sz="0" w:space="0" w:color="auto"/>
            <w:left w:val="none" w:sz="0" w:space="0" w:color="auto"/>
            <w:bottom w:val="none" w:sz="0" w:space="0" w:color="auto"/>
            <w:right w:val="none" w:sz="0" w:space="0" w:color="auto"/>
          </w:divBdr>
        </w:div>
        <w:div w:id="1084113002">
          <w:marLeft w:val="640"/>
          <w:marRight w:val="0"/>
          <w:marTop w:val="0"/>
          <w:marBottom w:val="0"/>
          <w:divBdr>
            <w:top w:val="none" w:sz="0" w:space="0" w:color="auto"/>
            <w:left w:val="none" w:sz="0" w:space="0" w:color="auto"/>
            <w:bottom w:val="none" w:sz="0" w:space="0" w:color="auto"/>
            <w:right w:val="none" w:sz="0" w:space="0" w:color="auto"/>
          </w:divBdr>
        </w:div>
        <w:div w:id="1001931445">
          <w:marLeft w:val="640"/>
          <w:marRight w:val="0"/>
          <w:marTop w:val="0"/>
          <w:marBottom w:val="0"/>
          <w:divBdr>
            <w:top w:val="none" w:sz="0" w:space="0" w:color="auto"/>
            <w:left w:val="none" w:sz="0" w:space="0" w:color="auto"/>
            <w:bottom w:val="none" w:sz="0" w:space="0" w:color="auto"/>
            <w:right w:val="none" w:sz="0" w:space="0" w:color="auto"/>
          </w:divBdr>
        </w:div>
        <w:div w:id="631985111">
          <w:marLeft w:val="640"/>
          <w:marRight w:val="0"/>
          <w:marTop w:val="0"/>
          <w:marBottom w:val="0"/>
          <w:divBdr>
            <w:top w:val="none" w:sz="0" w:space="0" w:color="auto"/>
            <w:left w:val="none" w:sz="0" w:space="0" w:color="auto"/>
            <w:bottom w:val="none" w:sz="0" w:space="0" w:color="auto"/>
            <w:right w:val="none" w:sz="0" w:space="0" w:color="auto"/>
          </w:divBdr>
        </w:div>
        <w:div w:id="262342235">
          <w:marLeft w:val="640"/>
          <w:marRight w:val="0"/>
          <w:marTop w:val="0"/>
          <w:marBottom w:val="0"/>
          <w:divBdr>
            <w:top w:val="none" w:sz="0" w:space="0" w:color="auto"/>
            <w:left w:val="none" w:sz="0" w:space="0" w:color="auto"/>
            <w:bottom w:val="none" w:sz="0" w:space="0" w:color="auto"/>
            <w:right w:val="none" w:sz="0" w:space="0" w:color="auto"/>
          </w:divBdr>
        </w:div>
        <w:div w:id="1244680581">
          <w:marLeft w:val="640"/>
          <w:marRight w:val="0"/>
          <w:marTop w:val="0"/>
          <w:marBottom w:val="0"/>
          <w:divBdr>
            <w:top w:val="none" w:sz="0" w:space="0" w:color="auto"/>
            <w:left w:val="none" w:sz="0" w:space="0" w:color="auto"/>
            <w:bottom w:val="none" w:sz="0" w:space="0" w:color="auto"/>
            <w:right w:val="none" w:sz="0" w:space="0" w:color="auto"/>
          </w:divBdr>
        </w:div>
        <w:div w:id="211695627">
          <w:marLeft w:val="640"/>
          <w:marRight w:val="0"/>
          <w:marTop w:val="0"/>
          <w:marBottom w:val="0"/>
          <w:divBdr>
            <w:top w:val="none" w:sz="0" w:space="0" w:color="auto"/>
            <w:left w:val="none" w:sz="0" w:space="0" w:color="auto"/>
            <w:bottom w:val="none" w:sz="0" w:space="0" w:color="auto"/>
            <w:right w:val="none" w:sz="0" w:space="0" w:color="auto"/>
          </w:divBdr>
        </w:div>
        <w:div w:id="556629476">
          <w:marLeft w:val="640"/>
          <w:marRight w:val="0"/>
          <w:marTop w:val="0"/>
          <w:marBottom w:val="0"/>
          <w:divBdr>
            <w:top w:val="none" w:sz="0" w:space="0" w:color="auto"/>
            <w:left w:val="none" w:sz="0" w:space="0" w:color="auto"/>
            <w:bottom w:val="none" w:sz="0" w:space="0" w:color="auto"/>
            <w:right w:val="none" w:sz="0" w:space="0" w:color="auto"/>
          </w:divBdr>
        </w:div>
        <w:div w:id="1133866060">
          <w:marLeft w:val="640"/>
          <w:marRight w:val="0"/>
          <w:marTop w:val="0"/>
          <w:marBottom w:val="0"/>
          <w:divBdr>
            <w:top w:val="none" w:sz="0" w:space="0" w:color="auto"/>
            <w:left w:val="none" w:sz="0" w:space="0" w:color="auto"/>
            <w:bottom w:val="none" w:sz="0" w:space="0" w:color="auto"/>
            <w:right w:val="none" w:sz="0" w:space="0" w:color="auto"/>
          </w:divBdr>
        </w:div>
        <w:div w:id="1224179370">
          <w:marLeft w:val="640"/>
          <w:marRight w:val="0"/>
          <w:marTop w:val="0"/>
          <w:marBottom w:val="0"/>
          <w:divBdr>
            <w:top w:val="none" w:sz="0" w:space="0" w:color="auto"/>
            <w:left w:val="none" w:sz="0" w:space="0" w:color="auto"/>
            <w:bottom w:val="none" w:sz="0" w:space="0" w:color="auto"/>
            <w:right w:val="none" w:sz="0" w:space="0" w:color="auto"/>
          </w:divBdr>
        </w:div>
        <w:div w:id="2088960632">
          <w:marLeft w:val="640"/>
          <w:marRight w:val="0"/>
          <w:marTop w:val="0"/>
          <w:marBottom w:val="0"/>
          <w:divBdr>
            <w:top w:val="none" w:sz="0" w:space="0" w:color="auto"/>
            <w:left w:val="none" w:sz="0" w:space="0" w:color="auto"/>
            <w:bottom w:val="none" w:sz="0" w:space="0" w:color="auto"/>
            <w:right w:val="none" w:sz="0" w:space="0" w:color="auto"/>
          </w:divBdr>
        </w:div>
        <w:div w:id="869731083">
          <w:marLeft w:val="640"/>
          <w:marRight w:val="0"/>
          <w:marTop w:val="0"/>
          <w:marBottom w:val="0"/>
          <w:divBdr>
            <w:top w:val="none" w:sz="0" w:space="0" w:color="auto"/>
            <w:left w:val="none" w:sz="0" w:space="0" w:color="auto"/>
            <w:bottom w:val="none" w:sz="0" w:space="0" w:color="auto"/>
            <w:right w:val="none" w:sz="0" w:space="0" w:color="auto"/>
          </w:divBdr>
        </w:div>
        <w:div w:id="690228357">
          <w:marLeft w:val="640"/>
          <w:marRight w:val="0"/>
          <w:marTop w:val="0"/>
          <w:marBottom w:val="0"/>
          <w:divBdr>
            <w:top w:val="none" w:sz="0" w:space="0" w:color="auto"/>
            <w:left w:val="none" w:sz="0" w:space="0" w:color="auto"/>
            <w:bottom w:val="none" w:sz="0" w:space="0" w:color="auto"/>
            <w:right w:val="none" w:sz="0" w:space="0" w:color="auto"/>
          </w:divBdr>
        </w:div>
        <w:div w:id="1669795984">
          <w:marLeft w:val="640"/>
          <w:marRight w:val="0"/>
          <w:marTop w:val="0"/>
          <w:marBottom w:val="0"/>
          <w:divBdr>
            <w:top w:val="none" w:sz="0" w:space="0" w:color="auto"/>
            <w:left w:val="none" w:sz="0" w:space="0" w:color="auto"/>
            <w:bottom w:val="none" w:sz="0" w:space="0" w:color="auto"/>
            <w:right w:val="none" w:sz="0" w:space="0" w:color="auto"/>
          </w:divBdr>
        </w:div>
        <w:div w:id="1587304746">
          <w:marLeft w:val="640"/>
          <w:marRight w:val="0"/>
          <w:marTop w:val="0"/>
          <w:marBottom w:val="0"/>
          <w:divBdr>
            <w:top w:val="none" w:sz="0" w:space="0" w:color="auto"/>
            <w:left w:val="none" w:sz="0" w:space="0" w:color="auto"/>
            <w:bottom w:val="none" w:sz="0" w:space="0" w:color="auto"/>
            <w:right w:val="none" w:sz="0" w:space="0" w:color="auto"/>
          </w:divBdr>
        </w:div>
        <w:div w:id="971983861">
          <w:marLeft w:val="640"/>
          <w:marRight w:val="0"/>
          <w:marTop w:val="0"/>
          <w:marBottom w:val="0"/>
          <w:divBdr>
            <w:top w:val="none" w:sz="0" w:space="0" w:color="auto"/>
            <w:left w:val="none" w:sz="0" w:space="0" w:color="auto"/>
            <w:bottom w:val="none" w:sz="0" w:space="0" w:color="auto"/>
            <w:right w:val="none" w:sz="0" w:space="0" w:color="auto"/>
          </w:divBdr>
        </w:div>
        <w:div w:id="511333175">
          <w:marLeft w:val="640"/>
          <w:marRight w:val="0"/>
          <w:marTop w:val="0"/>
          <w:marBottom w:val="0"/>
          <w:divBdr>
            <w:top w:val="none" w:sz="0" w:space="0" w:color="auto"/>
            <w:left w:val="none" w:sz="0" w:space="0" w:color="auto"/>
            <w:bottom w:val="none" w:sz="0" w:space="0" w:color="auto"/>
            <w:right w:val="none" w:sz="0" w:space="0" w:color="auto"/>
          </w:divBdr>
        </w:div>
        <w:div w:id="338460326">
          <w:marLeft w:val="640"/>
          <w:marRight w:val="0"/>
          <w:marTop w:val="0"/>
          <w:marBottom w:val="0"/>
          <w:divBdr>
            <w:top w:val="none" w:sz="0" w:space="0" w:color="auto"/>
            <w:left w:val="none" w:sz="0" w:space="0" w:color="auto"/>
            <w:bottom w:val="none" w:sz="0" w:space="0" w:color="auto"/>
            <w:right w:val="none" w:sz="0" w:space="0" w:color="auto"/>
          </w:divBdr>
        </w:div>
        <w:div w:id="1523398040">
          <w:marLeft w:val="640"/>
          <w:marRight w:val="0"/>
          <w:marTop w:val="0"/>
          <w:marBottom w:val="0"/>
          <w:divBdr>
            <w:top w:val="none" w:sz="0" w:space="0" w:color="auto"/>
            <w:left w:val="none" w:sz="0" w:space="0" w:color="auto"/>
            <w:bottom w:val="none" w:sz="0" w:space="0" w:color="auto"/>
            <w:right w:val="none" w:sz="0" w:space="0" w:color="auto"/>
          </w:divBdr>
        </w:div>
        <w:div w:id="393312786">
          <w:marLeft w:val="640"/>
          <w:marRight w:val="0"/>
          <w:marTop w:val="0"/>
          <w:marBottom w:val="0"/>
          <w:divBdr>
            <w:top w:val="none" w:sz="0" w:space="0" w:color="auto"/>
            <w:left w:val="none" w:sz="0" w:space="0" w:color="auto"/>
            <w:bottom w:val="none" w:sz="0" w:space="0" w:color="auto"/>
            <w:right w:val="none" w:sz="0" w:space="0" w:color="auto"/>
          </w:divBdr>
        </w:div>
        <w:div w:id="599678855">
          <w:marLeft w:val="640"/>
          <w:marRight w:val="0"/>
          <w:marTop w:val="0"/>
          <w:marBottom w:val="0"/>
          <w:divBdr>
            <w:top w:val="none" w:sz="0" w:space="0" w:color="auto"/>
            <w:left w:val="none" w:sz="0" w:space="0" w:color="auto"/>
            <w:bottom w:val="none" w:sz="0" w:space="0" w:color="auto"/>
            <w:right w:val="none" w:sz="0" w:space="0" w:color="auto"/>
          </w:divBdr>
        </w:div>
        <w:div w:id="1388265807">
          <w:marLeft w:val="640"/>
          <w:marRight w:val="0"/>
          <w:marTop w:val="0"/>
          <w:marBottom w:val="0"/>
          <w:divBdr>
            <w:top w:val="none" w:sz="0" w:space="0" w:color="auto"/>
            <w:left w:val="none" w:sz="0" w:space="0" w:color="auto"/>
            <w:bottom w:val="none" w:sz="0" w:space="0" w:color="auto"/>
            <w:right w:val="none" w:sz="0" w:space="0" w:color="auto"/>
          </w:divBdr>
        </w:div>
        <w:div w:id="402917810">
          <w:marLeft w:val="640"/>
          <w:marRight w:val="0"/>
          <w:marTop w:val="0"/>
          <w:marBottom w:val="0"/>
          <w:divBdr>
            <w:top w:val="none" w:sz="0" w:space="0" w:color="auto"/>
            <w:left w:val="none" w:sz="0" w:space="0" w:color="auto"/>
            <w:bottom w:val="none" w:sz="0" w:space="0" w:color="auto"/>
            <w:right w:val="none" w:sz="0" w:space="0" w:color="auto"/>
          </w:divBdr>
        </w:div>
        <w:div w:id="2112120121">
          <w:marLeft w:val="640"/>
          <w:marRight w:val="0"/>
          <w:marTop w:val="0"/>
          <w:marBottom w:val="0"/>
          <w:divBdr>
            <w:top w:val="none" w:sz="0" w:space="0" w:color="auto"/>
            <w:left w:val="none" w:sz="0" w:space="0" w:color="auto"/>
            <w:bottom w:val="none" w:sz="0" w:space="0" w:color="auto"/>
            <w:right w:val="none" w:sz="0" w:space="0" w:color="auto"/>
          </w:divBdr>
        </w:div>
        <w:div w:id="1741976391">
          <w:marLeft w:val="640"/>
          <w:marRight w:val="0"/>
          <w:marTop w:val="0"/>
          <w:marBottom w:val="0"/>
          <w:divBdr>
            <w:top w:val="none" w:sz="0" w:space="0" w:color="auto"/>
            <w:left w:val="none" w:sz="0" w:space="0" w:color="auto"/>
            <w:bottom w:val="none" w:sz="0" w:space="0" w:color="auto"/>
            <w:right w:val="none" w:sz="0" w:space="0" w:color="auto"/>
          </w:divBdr>
        </w:div>
        <w:div w:id="68580553">
          <w:marLeft w:val="640"/>
          <w:marRight w:val="0"/>
          <w:marTop w:val="0"/>
          <w:marBottom w:val="0"/>
          <w:divBdr>
            <w:top w:val="none" w:sz="0" w:space="0" w:color="auto"/>
            <w:left w:val="none" w:sz="0" w:space="0" w:color="auto"/>
            <w:bottom w:val="none" w:sz="0" w:space="0" w:color="auto"/>
            <w:right w:val="none" w:sz="0" w:space="0" w:color="auto"/>
          </w:divBdr>
        </w:div>
        <w:div w:id="1998337377">
          <w:marLeft w:val="640"/>
          <w:marRight w:val="0"/>
          <w:marTop w:val="0"/>
          <w:marBottom w:val="0"/>
          <w:divBdr>
            <w:top w:val="none" w:sz="0" w:space="0" w:color="auto"/>
            <w:left w:val="none" w:sz="0" w:space="0" w:color="auto"/>
            <w:bottom w:val="none" w:sz="0" w:space="0" w:color="auto"/>
            <w:right w:val="none" w:sz="0" w:space="0" w:color="auto"/>
          </w:divBdr>
        </w:div>
        <w:div w:id="1426999410">
          <w:marLeft w:val="640"/>
          <w:marRight w:val="0"/>
          <w:marTop w:val="0"/>
          <w:marBottom w:val="0"/>
          <w:divBdr>
            <w:top w:val="none" w:sz="0" w:space="0" w:color="auto"/>
            <w:left w:val="none" w:sz="0" w:space="0" w:color="auto"/>
            <w:bottom w:val="none" w:sz="0" w:space="0" w:color="auto"/>
            <w:right w:val="none" w:sz="0" w:space="0" w:color="auto"/>
          </w:divBdr>
        </w:div>
        <w:div w:id="1832288174">
          <w:marLeft w:val="640"/>
          <w:marRight w:val="0"/>
          <w:marTop w:val="0"/>
          <w:marBottom w:val="0"/>
          <w:divBdr>
            <w:top w:val="none" w:sz="0" w:space="0" w:color="auto"/>
            <w:left w:val="none" w:sz="0" w:space="0" w:color="auto"/>
            <w:bottom w:val="none" w:sz="0" w:space="0" w:color="auto"/>
            <w:right w:val="none" w:sz="0" w:space="0" w:color="auto"/>
          </w:divBdr>
        </w:div>
        <w:div w:id="1531719813">
          <w:marLeft w:val="640"/>
          <w:marRight w:val="0"/>
          <w:marTop w:val="0"/>
          <w:marBottom w:val="0"/>
          <w:divBdr>
            <w:top w:val="none" w:sz="0" w:space="0" w:color="auto"/>
            <w:left w:val="none" w:sz="0" w:space="0" w:color="auto"/>
            <w:bottom w:val="none" w:sz="0" w:space="0" w:color="auto"/>
            <w:right w:val="none" w:sz="0" w:space="0" w:color="auto"/>
          </w:divBdr>
        </w:div>
        <w:div w:id="1690453237">
          <w:marLeft w:val="640"/>
          <w:marRight w:val="0"/>
          <w:marTop w:val="0"/>
          <w:marBottom w:val="0"/>
          <w:divBdr>
            <w:top w:val="none" w:sz="0" w:space="0" w:color="auto"/>
            <w:left w:val="none" w:sz="0" w:space="0" w:color="auto"/>
            <w:bottom w:val="none" w:sz="0" w:space="0" w:color="auto"/>
            <w:right w:val="none" w:sz="0" w:space="0" w:color="auto"/>
          </w:divBdr>
        </w:div>
        <w:div w:id="1962951263">
          <w:marLeft w:val="640"/>
          <w:marRight w:val="0"/>
          <w:marTop w:val="0"/>
          <w:marBottom w:val="0"/>
          <w:divBdr>
            <w:top w:val="none" w:sz="0" w:space="0" w:color="auto"/>
            <w:left w:val="none" w:sz="0" w:space="0" w:color="auto"/>
            <w:bottom w:val="none" w:sz="0" w:space="0" w:color="auto"/>
            <w:right w:val="none" w:sz="0" w:space="0" w:color="auto"/>
          </w:divBdr>
        </w:div>
        <w:div w:id="1342199784">
          <w:marLeft w:val="640"/>
          <w:marRight w:val="0"/>
          <w:marTop w:val="0"/>
          <w:marBottom w:val="0"/>
          <w:divBdr>
            <w:top w:val="none" w:sz="0" w:space="0" w:color="auto"/>
            <w:left w:val="none" w:sz="0" w:space="0" w:color="auto"/>
            <w:bottom w:val="none" w:sz="0" w:space="0" w:color="auto"/>
            <w:right w:val="none" w:sz="0" w:space="0" w:color="auto"/>
          </w:divBdr>
        </w:div>
        <w:div w:id="2047755591">
          <w:marLeft w:val="640"/>
          <w:marRight w:val="0"/>
          <w:marTop w:val="0"/>
          <w:marBottom w:val="0"/>
          <w:divBdr>
            <w:top w:val="none" w:sz="0" w:space="0" w:color="auto"/>
            <w:left w:val="none" w:sz="0" w:space="0" w:color="auto"/>
            <w:bottom w:val="none" w:sz="0" w:space="0" w:color="auto"/>
            <w:right w:val="none" w:sz="0" w:space="0" w:color="auto"/>
          </w:divBdr>
        </w:div>
        <w:div w:id="1383167477">
          <w:marLeft w:val="640"/>
          <w:marRight w:val="0"/>
          <w:marTop w:val="0"/>
          <w:marBottom w:val="0"/>
          <w:divBdr>
            <w:top w:val="none" w:sz="0" w:space="0" w:color="auto"/>
            <w:left w:val="none" w:sz="0" w:space="0" w:color="auto"/>
            <w:bottom w:val="none" w:sz="0" w:space="0" w:color="auto"/>
            <w:right w:val="none" w:sz="0" w:space="0" w:color="auto"/>
          </w:divBdr>
        </w:div>
        <w:div w:id="1909994158">
          <w:marLeft w:val="640"/>
          <w:marRight w:val="0"/>
          <w:marTop w:val="0"/>
          <w:marBottom w:val="0"/>
          <w:divBdr>
            <w:top w:val="none" w:sz="0" w:space="0" w:color="auto"/>
            <w:left w:val="none" w:sz="0" w:space="0" w:color="auto"/>
            <w:bottom w:val="none" w:sz="0" w:space="0" w:color="auto"/>
            <w:right w:val="none" w:sz="0" w:space="0" w:color="auto"/>
          </w:divBdr>
        </w:div>
        <w:div w:id="1211302596">
          <w:marLeft w:val="640"/>
          <w:marRight w:val="0"/>
          <w:marTop w:val="0"/>
          <w:marBottom w:val="0"/>
          <w:divBdr>
            <w:top w:val="none" w:sz="0" w:space="0" w:color="auto"/>
            <w:left w:val="none" w:sz="0" w:space="0" w:color="auto"/>
            <w:bottom w:val="none" w:sz="0" w:space="0" w:color="auto"/>
            <w:right w:val="none" w:sz="0" w:space="0" w:color="auto"/>
          </w:divBdr>
        </w:div>
        <w:div w:id="833181035">
          <w:marLeft w:val="640"/>
          <w:marRight w:val="0"/>
          <w:marTop w:val="0"/>
          <w:marBottom w:val="0"/>
          <w:divBdr>
            <w:top w:val="none" w:sz="0" w:space="0" w:color="auto"/>
            <w:left w:val="none" w:sz="0" w:space="0" w:color="auto"/>
            <w:bottom w:val="none" w:sz="0" w:space="0" w:color="auto"/>
            <w:right w:val="none" w:sz="0" w:space="0" w:color="auto"/>
          </w:divBdr>
        </w:div>
        <w:div w:id="407726343">
          <w:marLeft w:val="640"/>
          <w:marRight w:val="0"/>
          <w:marTop w:val="0"/>
          <w:marBottom w:val="0"/>
          <w:divBdr>
            <w:top w:val="none" w:sz="0" w:space="0" w:color="auto"/>
            <w:left w:val="none" w:sz="0" w:space="0" w:color="auto"/>
            <w:bottom w:val="none" w:sz="0" w:space="0" w:color="auto"/>
            <w:right w:val="none" w:sz="0" w:space="0" w:color="auto"/>
          </w:divBdr>
        </w:div>
        <w:div w:id="1790129192">
          <w:marLeft w:val="640"/>
          <w:marRight w:val="0"/>
          <w:marTop w:val="0"/>
          <w:marBottom w:val="0"/>
          <w:divBdr>
            <w:top w:val="none" w:sz="0" w:space="0" w:color="auto"/>
            <w:left w:val="none" w:sz="0" w:space="0" w:color="auto"/>
            <w:bottom w:val="none" w:sz="0" w:space="0" w:color="auto"/>
            <w:right w:val="none" w:sz="0" w:space="0" w:color="auto"/>
          </w:divBdr>
        </w:div>
        <w:div w:id="1739474781">
          <w:marLeft w:val="640"/>
          <w:marRight w:val="0"/>
          <w:marTop w:val="0"/>
          <w:marBottom w:val="0"/>
          <w:divBdr>
            <w:top w:val="none" w:sz="0" w:space="0" w:color="auto"/>
            <w:left w:val="none" w:sz="0" w:space="0" w:color="auto"/>
            <w:bottom w:val="none" w:sz="0" w:space="0" w:color="auto"/>
            <w:right w:val="none" w:sz="0" w:space="0" w:color="auto"/>
          </w:divBdr>
        </w:div>
        <w:div w:id="1484737770">
          <w:marLeft w:val="640"/>
          <w:marRight w:val="0"/>
          <w:marTop w:val="0"/>
          <w:marBottom w:val="0"/>
          <w:divBdr>
            <w:top w:val="none" w:sz="0" w:space="0" w:color="auto"/>
            <w:left w:val="none" w:sz="0" w:space="0" w:color="auto"/>
            <w:bottom w:val="none" w:sz="0" w:space="0" w:color="auto"/>
            <w:right w:val="none" w:sz="0" w:space="0" w:color="auto"/>
          </w:divBdr>
        </w:div>
        <w:div w:id="1593588409">
          <w:marLeft w:val="640"/>
          <w:marRight w:val="0"/>
          <w:marTop w:val="0"/>
          <w:marBottom w:val="0"/>
          <w:divBdr>
            <w:top w:val="none" w:sz="0" w:space="0" w:color="auto"/>
            <w:left w:val="none" w:sz="0" w:space="0" w:color="auto"/>
            <w:bottom w:val="none" w:sz="0" w:space="0" w:color="auto"/>
            <w:right w:val="none" w:sz="0" w:space="0" w:color="auto"/>
          </w:divBdr>
        </w:div>
        <w:div w:id="1513644507">
          <w:marLeft w:val="640"/>
          <w:marRight w:val="0"/>
          <w:marTop w:val="0"/>
          <w:marBottom w:val="0"/>
          <w:divBdr>
            <w:top w:val="none" w:sz="0" w:space="0" w:color="auto"/>
            <w:left w:val="none" w:sz="0" w:space="0" w:color="auto"/>
            <w:bottom w:val="none" w:sz="0" w:space="0" w:color="auto"/>
            <w:right w:val="none" w:sz="0" w:space="0" w:color="auto"/>
          </w:divBdr>
        </w:div>
        <w:div w:id="746420781">
          <w:marLeft w:val="640"/>
          <w:marRight w:val="0"/>
          <w:marTop w:val="0"/>
          <w:marBottom w:val="0"/>
          <w:divBdr>
            <w:top w:val="none" w:sz="0" w:space="0" w:color="auto"/>
            <w:left w:val="none" w:sz="0" w:space="0" w:color="auto"/>
            <w:bottom w:val="none" w:sz="0" w:space="0" w:color="auto"/>
            <w:right w:val="none" w:sz="0" w:space="0" w:color="auto"/>
          </w:divBdr>
        </w:div>
        <w:div w:id="1141506286">
          <w:marLeft w:val="640"/>
          <w:marRight w:val="0"/>
          <w:marTop w:val="0"/>
          <w:marBottom w:val="0"/>
          <w:divBdr>
            <w:top w:val="none" w:sz="0" w:space="0" w:color="auto"/>
            <w:left w:val="none" w:sz="0" w:space="0" w:color="auto"/>
            <w:bottom w:val="none" w:sz="0" w:space="0" w:color="auto"/>
            <w:right w:val="none" w:sz="0" w:space="0" w:color="auto"/>
          </w:divBdr>
        </w:div>
        <w:div w:id="779685062">
          <w:marLeft w:val="640"/>
          <w:marRight w:val="0"/>
          <w:marTop w:val="0"/>
          <w:marBottom w:val="0"/>
          <w:divBdr>
            <w:top w:val="none" w:sz="0" w:space="0" w:color="auto"/>
            <w:left w:val="none" w:sz="0" w:space="0" w:color="auto"/>
            <w:bottom w:val="none" w:sz="0" w:space="0" w:color="auto"/>
            <w:right w:val="none" w:sz="0" w:space="0" w:color="auto"/>
          </w:divBdr>
        </w:div>
        <w:div w:id="264466781">
          <w:marLeft w:val="640"/>
          <w:marRight w:val="0"/>
          <w:marTop w:val="0"/>
          <w:marBottom w:val="0"/>
          <w:divBdr>
            <w:top w:val="none" w:sz="0" w:space="0" w:color="auto"/>
            <w:left w:val="none" w:sz="0" w:space="0" w:color="auto"/>
            <w:bottom w:val="none" w:sz="0" w:space="0" w:color="auto"/>
            <w:right w:val="none" w:sz="0" w:space="0" w:color="auto"/>
          </w:divBdr>
        </w:div>
        <w:div w:id="905989878">
          <w:marLeft w:val="640"/>
          <w:marRight w:val="0"/>
          <w:marTop w:val="0"/>
          <w:marBottom w:val="0"/>
          <w:divBdr>
            <w:top w:val="none" w:sz="0" w:space="0" w:color="auto"/>
            <w:left w:val="none" w:sz="0" w:space="0" w:color="auto"/>
            <w:bottom w:val="none" w:sz="0" w:space="0" w:color="auto"/>
            <w:right w:val="none" w:sz="0" w:space="0" w:color="auto"/>
          </w:divBdr>
        </w:div>
        <w:div w:id="1269853912">
          <w:marLeft w:val="640"/>
          <w:marRight w:val="0"/>
          <w:marTop w:val="0"/>
          <w:marBottom w:val="0"/>
          <w:divBdr>
            <w:top w:val="none" w:sz="0" w:space="0" w:color="auto"/>
            <w:left w:val="none" w:sz="0" w:space="0" w:color="auto"/>
            <w:bottom w:val="none" w:sz="0" w:space="0" w:color="auto"/>
            <w:right w:val="none" w:sz="0" w:space="0" w:color="auto"/>
          </w:divBdr>
        </w:div>
        <w:div w:id="1922791961">
          <w:marLeft w:val="640"/>
          <w:marRight w:val="0"/>
          <w:marTop w:val="0"/>
          <w:marBottom w:val="0"/>
          <w:divBdr>
            <w:top w:val="none" w:sz="0" w:space="0" w:color="auto"/>
            <w:left w:val="none" w:sz="0" w:space="0" w:color="auto"/>
            <w:bottom w:val="none" w:sz="0" w:space="0" w:color="auto"/>
            <w:right w:val="none" w:sz="0" w:space="0" w:color="auto"/>
          </w:divBdr>
        </w:div>
        <w:div w:id="1100446143">
          <w:marLeft w:val="640"/>
          <w:marRight w:val="0"/>
          <w:marTop w:val="0"/>
          <w:marBottom w:val="0"/>
          <w:divBdr>
            <w:top w:val="none" w:sz="0" w:space="0" w:color="auto"/>
            <w:left w:val="none" w:sz="0" w:space="0" w:color="auto"/>
            <w:bottom w:val="none" w:sz="0" w:space="0" w:color="auto"/>
            <w:right w:val="none" w:sz="0" w:space="0" w:color="auto"/>
          </w:divBdr>
        </w:div>
        <w:div w:id="1274242654">
          <w:marLeft w:val="640"/>
          <w:marRight w:val="0"/>
          <w:marTop w:val="0"/>
          <w:marBottom w:val="0"/>
          <w:divBdr>
            <w:top w:val="none" w:sz="0" w:space="0" w:color="auto"/>
            <w:left w:val="none" w:sz="0" w:space="0" w:color="auto"/>
            <w:bottom w:val="none" w:sz="0" w:space="0" w:color="auto"/>
            <w:right w:val="none" w:sz="0" w:space="0" w:color="auto"/>
          </w:divBdr>
        </w:div>
        <w:div w:id="1489596651">
          <w:marLeft w:val="640"/>
          <w:marRight w:val="0"/>
          <w:marTop w:val="0"/>
          <w:marBottom w:val="0"/>
          <w:divBdr>
            <w:top w:val="none" w:sz="0" w:space="0" w:color="auto"/>
            <w:left w:val="none" w:sz="0" w:space="0" w:color="auto"/>
            <w:bottom w:val="none" w:sz="0" w:space="0" w:color="auto"/>
            <w:right w:val="none" w:sz="0" w:space="0" w:color="auto"/>
          </w:divBdr>
        </w:div>
        <w:div w:id="453132069">
          <w:marLeft w:val="640"/>
          <w:marRight w:val="0"/>
          <w:marTop w:val="0"/>
          <w:marBottom w:val="0"/>
          <w:divBdr>
            <w:top w:val="none" w:sz="0" w:space="0" w:color="auto"/>
            <w:left w:val="none" w:sz="0" w:space="0" w:color="auto"/>
            <w:bottom w:val="none" w:sz="0" w:space="0" w:color="auto"/>
            <w:right w:val="none" w:sz="0" w:space="0" w:color="auto"/>
          </w:divBdr>
        </w:div>
        <w:div w:id="2111654597">
          <w:marLeft w:val="640"/>
          <w:marRight w:val="0"/>
          <w:marTop w:val="0"/>
          <w:marBottom w:val="0"/>
          <w:divBdr>
            <w:top w:val="none" w:sz="0" w:space="0" w:color="auto"/>
            <w:left w:val="none" w:sz="0" w:space="0" w:color="auto"/>
            <w:bottom w:val="none" w:sz="0" w:space="0" w:color="auto"/>
            <w:right w:val="none" w:sz="0" w:space="0" w:color="auto"/>
          </w:divBdr>
        </w:div>
        <w:div w:id="2002654740">
          <w:marLeft w:val="640"/>
          <w:marRight w:val="0"/>
          <w:marTop w:val="0"/>
          <w:marBottom w:val="0"/>
          <w:divBdr>
            <w:top w:val="none" w:sz="0" w:space="0" w:color="auto"/>
            <w:left w:val="none" w:sz="0" w:space="0" w:color="auto"/>
            <w:bottom w:val="none" w:sz="0" w:space="0" w:color="auto"/>
            <w:right w:val="none" w:sz="0" w:space="0" w:color="auto"/>
          </w:divBdr>
        </w:div>
        <w:div w:id="308362258">
          <w:marLeft w:val="640"/>
          <w:marRight w:val="0"/>
          <w:marTop w:val="0"/>
          <w:marBottom w:val="0"/>
          <w:divBdr>
            <w:top w:val="none" w:sz="0" w:space="0" w:color="auto"/>
            <w:left w:val="none" w:sz="0" w:space="0" w:color="auto"/>
            <w:bottom w:val="none" w:sz="0" w:space="0" w:color="auto"/>
            <w:right w:val="none" w:sz="0" w:space="0" w:color="auto"/>
          </w:divBdr>
        </w:div>
        <w:div w:id="111216496">
          <w:marLeft w:val="640"/>
          <w:marRight w:val="0"/>
          <w:marTop w:val="0"/>
          <w:marBottom w:val="0"/>
          <w:divBdr>
            <w:top w:val="none" w:sz="0" w:space="0" w:color="auto"/>
            <w:left w:val="none" w:sz="0" w:space="0" w:color="auto"/>
            <w:bottom w:val="none" w:sz="0" w:space="0" w:color="auto"/>
            <w:right w:val="none" w:sz="0" w:space="0" w:color="auto"/>
          </w:divBdr>
        </w:div>
        <w:div w:id="1857186963">
          <w:marLeft w:val="640"/>
          <w:marRight w:val="0"/>
          <w:marTop w:val="0"/>
          <w:marBottom w:val="0"/>
          <w:divBdr>
            <w:top w:val="none" w:sz="0" w:space="0" w:color="auto"/>
            <w:left w:val="none" w:sz="0" w:space="0" w:color="auto"/>
            <w:bottom w:val="none" w:sz="0" w:space="0" w:color="auto"/>
            <w:right w:val="none" w:sz="0" w:space="0" w:color="auto"/>
          </w:divBdr>
        </w:div>
        <w:div w:id="1578520277">
          <w:marLeft w:val="640"/>
          <w:marRight w:val="0"/>
          <w:marTop w:val="0"/>
          <w:marBottom w:val="0"/>
          <w:divBdr>
            <w:top w:val="none" w:sz="0" w:space="0" w:color="auto"/>
            <w:left w:val="none" w:sz="0" w:space="0" w:color="auto"/>
            <w:bottom w:val="none" w:sz="0" w:space="0" w:color="auto"/>
            <w:right w:val="none" w:sz="0" w:space="0" w:color="auto"/>
          </w:divBdr>
        </w:div>
        <w:div w:id="1484273662">
          <w:marLeft w:val="640"/>
          <w:marRight w:val="0"/>
          <w:marTop w:val="0"/>
          <w:marBottom w:val="0"/>
          <w:divBdr>
            <w:top w:val="none" w:sz="0" w:space="0" w:color="auto"/>
            <w:left w:val="none" w:sz="0" w:space="0" w:color="auto"/>
            <w:bottom w:val="none" w:sz="0" w:space="0" w:color="auto"/>
            <w:right w:val="none" w:sz="0" w:space="0" w:color="auto"/>
          </w:divBdr>
        </w:div>
        <w:div w:id="666639882">
          <w:marLeft w:val="640"/>
          <w:marRight w:val="0"/>
          <w:marTop w:val="0"/>
          <w:marBottom w:val="0"/>
          <w:divBdr>
            <w:top w:val="none" w:sz="0" w:space="0" w:color="auto"/>
            <w:left w:val="none" w:sz="0" w:space="0" w:color="auto"/>
            <w:bottom w:val="none" w:sz="0" w:space="0" w:color="auto"/>
            <w:right w:val="none" w:sz="0" w:space="0" w:color="auto"/>
          </w:divBdr>
        </w:div>
        <w:div w:id="1797139403">
          <w:marLeft w:val="640"/>
          <w:marRight w:val="0"/>
          <w:marTop w:val="0"/>
          <w:marBottom w:val="0"/>
          <w:divBdr>
            <w:top w:val="none" w:sz="0" w:space="0" w:color="auto"/>
            <w:left w:val="none" w:sz="0" w:space="0" w:color="auto"/>
            <w:bottom w:val="none" w:sz="0" w:space="0" w:color="auto"/>
            <w:right w:val="none" w:sz="0" w:space="0" w:color="auto"/>
          </w:divBdr>
        </w:div>
        <w:div w:id="743837186">
          <w:marLeft w:val="640"/>
          <w:marRight w:val="0"/>
          <w:marTop w:val="0"/>
          <w:marBottom w:val="0"/>
          <w:divBdr>
            <w:top w:val="none" w:sz="0" w:space="0" w:color="auto"/>
            <w:left w:val="none" w:sz="0" w:space="0" w:color="auto"/>
            <w:bottom w:val="none" w:sz="0" w:space="0" w:color="auto"/>
            <w:right w:val="none" w:sz="0" w:space="0" w:color="auto"/>
          </w:divBdr>
        </w:div>
        <w:div w:id="1891183034">
          <w:marLeft w:val="640"/>
          <w:marRight w:val="0"/>
          <w:marTop w:val="0"/>
          <w:marBottom w:val="0"/>
          <w:divBdr>
            <w:top w:val="none" w:sz="0" w:space="0" w:color="auto"/>
            <w:left w:val="none" w:sz="0" w:space="0" w:color="auto"/>
            <w:bottom w:val="none" w:sz="0" w:space="0" w:color="auto"/>
            <w:right w:val="none" w:sz="0" w:space="0" w:color="auto"/>
          </w:divBdr>
        </w:div>
      </w:divsChild>
    </w:div>
    <w:div w:id="1740404616">
      <w:bodyDiv w:val="1"/>
      <w:marLeft w:val="0"/>
      <w:marRight w:val="0"/>
      <w:marTop w:val="0"/>
      <w:marBottom w:val="0"/>
      <w:divBdr>
        <w:top w:val="none" w:sz="0" w:space="0" w:color="auto"/>
        <w:left w:val="none" w:sz="0" w:space="0" w:color="auto"/>
        <w:bottom w:val="none" w:sz="0" w:space="0" w:color="auto"/>
        <w:right w:val="none" w:sz="0" w:space="0" w:color="auto"/>
      </w:divBdr>
    </w:div>
    <w:div w:id="1741251788">
      <w:bodyDiv w:val="1"/>
      <w:marLeft w:val="0"/>
      <w:marRight w:val="0"/>
      <w:marTop w:val="0"/>
      <w:marBottom w:val="0"/>
      <w:divBdr>
        <w:top w:val="none" w:sz="0" w:space="0" w:color="auto"/>
        <w:left w:val="none" w:sz="0" w:space="0" w:color="auto"/>
        <w:bottom w:val="none" w:sz="0" w:space="0" w:color="auto"/>
        <w:right w:val="none" w:sz="0" w:space="0" w:color="auto"/>
      </w:divBdr>
    </w:div>
    <w:div w:id="1746024470">
      <w:bodyDiv w:val="1"/>
      <w:marLeft w:val="0"/>
      <w:marRight w:val="0"/>
      <w:marTop w:val="0"/>
      <w:marBottom w:val="0"/>
      <w:divBdr>
        <w:top w:val="none" w:sz="0" w:space="0" w:color="auto"/>
        <w:left w:val="none" w:sz="0" w:space="0" w:color="auto"/>
        <w:bottom w:val="none" w:sz="0" w:space="0" w:color="auto"/>
        <w:right w:val="none" w:sz="0" w:space="0" w:color="auto"/>
      </w:divBdr>
    </w:div>
    <w:div w:id="1747994028">
      <w:bodyDiv w:val="1"/>
      <w:marLeft w:val="0"/>
      <w:marRight w:val="0"/>
      <w:marTop w:val="0"/>
      <w:marBottom w:val="0"/>
      <w:divBdr>
        <w:top w:val="none" w:sz="0" w:space="0" w:color="auto"/>
        <w:left w:val="none" w:sz="0" w:space="0" w:color="auto"/>
        <w:bottom w:val="none" w:sz="0" w:space="0" w:color="auto"/>
        <w:right w:val="none" w:sz="0" w:space="0" w:color="auto"/>
      </w:divBdr>
    </w:div>
    <w:div w:id="1749688616">
      <w:bodyDiv w:val="1"/>
      <w:marLeft w:val="0"/>
      <w:marRight w:val="0"/>
      <w:marTop w:val="0"/>
      <w:marBottom w:val="0"/>
      <w:divBdr>
        <w:top w:val="none" w:sz="0" w:space="0" w:color="auto"/>
        <w:left w:val="none" w:sz="0" w:space="0" w:color="auto"/>
        <w:bottom w:val="none" w:sz="0" w:space="0" w:color="auto"/>
        <w:right w:val="none" w:sz="0" w:space="0" w:color="auto"/>
      </w:divBdr>
    </w:div>
    <w:div w:id="1749839429">
      <w:bodyDiv w:val="1"/>
      <w:marLeft w:val="0"/>
      <w:marRight w:val="0"/>
      <w:marTop w:val="0"/>
      <w:marBottom w:val="0"/>
      <w:divBdr>
        <w:top w:val="none" w:sz="0" w:space="0" w:color="auto"/>
        <w:left w:val="none" w:sz="0" w:space="0" w:color="auto"/>
        <w:bottom w:val="none" w:sz="0" w:space="0" w:color="auto"/>
        <w:right w:val="none" w:sz="0" w:space="0" w:color="auto"/>
      </w:divBdr>
    </w:div>
    <w:div w:id="1751076260">
      <w:bodyDiv w:val="1"/>
      <w:marLeft w:val="0"/>
      <w:marRight w:val="0"/>
      <w:marTop w:val="0"/>
      <w:marBottom w:val="0"/>
      <w:divBdr>
        <w:top w:val="none" w:sz="0" w:space="0" w:color="auto"/>
        <w:left w:val="none" w:sz="0" w:space="0" w:color="auto"/>
        <w:bottom w:val="none" w:sz="0" w:space="0" w:color="auto"/>
        <w:right w:val="none" w:sz="0" w:space="0" w:color="auto"/>
      </w:divBdr>
    </w:div>
    <w:div w:id="1752503397">
      <w:bodyDiv w:val="1"/>
      <w:marLeft w:val="0"/>
      <w:marRight w:val="0"/>
      <w:marTop w:val="0"/>
      <w:marBottom w:val="0"/>
      <w:divBdr>
        <w:top w:val="none" w:sz="0" w:space="0" w:color="auto"/>
        <w:left w:val="none" w:sz="0" w:space="0" w:color="auto"/>
        <w:bottom w:val="none" w:sz="0" w:space="0" w:color="auto"/>
        <w:right w:val="none" w:sz="0" w:space="0" w:color="auto"/>
      </w:divBdr>
    </w:div>
    <w:div w:id="1753237496">
      <w:bodyDiv w:val="1"/>
      <w:marLeft w:val="0"/>
      <w:marRight w:val="0"/>
      <w:marTop w:val="0"/>
      <w:marBottom w:val="0"/>
      <w:divBdr>
        <w:top w:val="none" w:sz="0" w:space="0" w:color="auto"/>
        <w:left w:val="none" w:sz="0" w:space="0" w:color="auto"/>
        <w:bottom w:val="none" w:sz="0" w:space="0" w:color="auto"/>
        <w:right w:val="none" w:sz="0" w:space="0" w:color="auto"/>
      </w:divBdr>
    </w:div>
    <w:div w:id="1755467860">
      <w:bodyDiv w:val="1"/>
      <w:marLeft w:val="0"/>
      <w:marRight w:val="0"/>
      <w:marTop w:val="0"/>
      <w:marBottom w:val="0"/>
      <w:divBdr>
        <w:top w:val="none" w:sz="0" w:space="0" w:color="auto"/>
        <w:left w:val="none" w:sz="0" w:space="0" w:color="auto"/>
        <w:bottom w:val="none" w:sz="0" w:space="0" w:color="auto"/>
        <w:right w:val="none" w:sz="0" w:space="0" w:color="auto"/>
      </w:divBdr>
    </w:div>
    <w:div w:id="1755711715">
      <w:bodyDiv w:val="1"/>
      <w:marLeft w:val="0"/>
      <w:marRight w:val="0"/>
      <w:marTop w:val="0"/>
      <w:marBottom w:val="0"/>
      <w:divBdr>
        <w:top w:val="none" w:sz="0" w:space="0" w:color="auto"/>
        <w:left w:val="none" w:sz="0" w:space="0" w:color="auto"/>
        <w:bottom w:val="none" w:sz="0" w:space="0" w:color="auto"/>
        <w:right w:val="none" w:sz="0" w:space="0" w:color="auto"/>
      </w:divBdr>
    </w:div>
    <w:div w:id="1756124468">
      <w:bodyDiv w:val="1"/>
      <w:marLeft w:val="0"/>
      <w:marRight w:val="0"/>
      <w:marTop w:val="0"/>
      <w:marBottom w:val="0"/>
      <w:divBdr>
        <w:top w:val="none" w:sz="0" w:space="0" w:color="auto"/>
        <w:left w:val="none" w:sz="0" w:space="0" w:color="auto"/>
        <w:bottom w:val="none" w:sz="0" w:space="0" w:color="auto"/>
        <w:right w:val="none" w:sz="0" w:space="0" w:color="auto"/>
      </w:divBdr>
    </w:div>
    <w:div w:id="1760367330">
      <w:bodyDiv w:val="1"/>
      <w:marLeft w:val="0"/>
      <w:marRight w:val="0"/>
      <w:marTop w:val="0"/>
      <w:marBottom w:val="0"/>
      <w:divBdr>
        <w:top w:val="none" w:sz="0" w:space="0" w:color="auto"/>
        <w:left w:val="none" w:sz="0" w:space="0" w:color="auto"/>
        <w:bottom w:val="none" w:sz="0" w:space="0" w:color="auto"/>
        <w:right w:val="none" w:sz="0" w:space="0" w:color="auto"/>
      </w:divBdr>
    </w:div>
    <w:div w:id="1761870216">
      <w:bodyDiv w:val="1"/>
      <w:marLeft w:val="0"/>
      <w:marRight w:val="0"/>
      <w:marTop w:val="0"/>
      <w:marBottom w:val="0"/>
      <w:divBdr>
        <w:top w:val="none" w:sz="0" w:space="0" w:color="auto"/>
        <w:left w:val="none" w:sz="0" w:space="0" w:color="auto"/>
        <w:bottom w:val="none" w:sz="0" w:space="0" w:color="auto"/>
        <w:right w:val="none" w:sz="0" w:space="0" w:color="auto"/>
      </w:divBdr>
    </w:div>
    <w:div w:id="1763260750">
      <w:bodyDiv w:val="1"/>
      <w:marLeft w:val="0"/>
      <w:marRight w:val="0"/>
      <w:marTop w:val="0"/>
      <w:marBottom w:val="0"/>
      <w:divBdr>
        <w:top w:val="none" w:sz="0" w:space="0" w:color="auto"/>
        <w:left w:val="none" w:sz="0" w:space="0" w:color="auto"/>
        <w:bottom w:val="none" w:sz="0" w:space="0" w:color="auto"/>
        <w:right w:val="none" w:sz="0" w:space="0" w:color="auto"/>
      </w:divBdr>
    </w:div>
    <w:div w:id="1763380304">
      <w:bodyDiv w:val="1"/>
      <w:marLeft w:val="0"/>
      <w:marRight w:val="0"/>
      <w:marTop w:val="0"/>
      <w:marBottom w:val="0"/>
      <w:divBdr>
        <w:top w:val="none" w:sz="0" w:space="0" w:color="auto"/>
        <w:left w:val="none" w:sz="0" w:space="0" w:color="auto"/>
        <w:bottom w:val="none" w:sz="0" w:space="0" w:color="auto"/>
        <w:right w:val="none" w:sz="0" w:space="0" w:color="auto"/>
      </w:divBdr>
    </w:div>
    <w:div w:id="1765761036">
      <w:bodyDiv w:val="1"/>
      <w:marLeft w:val="0"/>
      <w:marRight w:val="0"/>
      <w:marTop w:val="0"/>
      <w:marBottom w:val="0"/>
      <w:divBdr>
        <w:top w:val="none" w:sz="0" w:space="0" w:color="auto"/>
        <w:left w:val="none" w:sz="0" w:space="0" w:color="auto"/>
        <w:bottom w:val="none" w:sz="0" w:space="0" w:color="auto"/>
        <w:right w:val="none" w:sz="0" w:space="0" w:color="auto"/>
      </w:divBdr>
    </w:div>
    <w:div w:id="1766488765">
      <w:bodyDiv w:val="1"/>
      <w:marLeft w:val="0"/>
      <w:marRight w:val="0"/>
      <w:marTop w:val="0"/>
      <w:marBottom w:val="0"/>
      <w:divBdr>
        <w:top w:val="none" w:sz="0" w:space="0" w:color="auto"/>
        <w:left w:val="none" w:sz="0" w:space="0" w:color="auto"/>
        <w:bottom w:val="none" w:sz="0" w:space="0" w:color="auto"/>
        <w:right w:val="none" w:sz="0" w:space="0" w:color="auto"/>
      </w:divBdr>
    </w:div>
    <w:div w:id="1768190036">
      <w:bodyDiv w:val="1"/>
      <w:marLeft w:val="0"/>
      <w:marRight w:val="0"/>
      <w:marTop w:val="0"/>
      <w:marBottom w:val="0"/>
      <w:divBdr>
        <w:top w:val="none" w:sz="0" w:space="0" w:color="auto"/>
        <w:left w:val="none" w:sz="0" w:space="0" w:color="auto"/>
        <w:bottom w:val="none" w:sz="0" w:space="0" w:color="auto"/>
        <w:right w:val="none" w:sz="0" w:space="0" w:color="auto"/>
      </w:divBdr>
    </w:div>
    <w:div w:id="1769428965">
      <w:bodyDiv w:val="1"/>
      <w:marLeft w:val="0"/>
      <w:marRight w:val="0"/>
      <w:marTop w:val="0"/>
      <w:marBottom w:val="0"/>
      <w:divBdr>
        <w:top w:val="none" w:sz="0" w:space="0" w:color="auto"/>
        <w:left w:val="none" w:sz="0" w:space="0" w:color="auto"/>
        <w:bottom w:val="none" w:sz="0" w:space="0" w:color="auto"/>
        <w:right w:val="none" w:sz="0" w:space="0" w:color="auto"/>
      </w:divBdr>
    </w:div>
    <w:div w:id="1771588059">
      <w:bodyDiv w:val="1"/>
      <w:marLeft w:val="0"/>
      <w:marRight w:val="0"/>
      <w:marTop w:val="0"/>
      <w:marBottom w:val="0"/>
      <w:divBdr>
        <w:top w:val="none" w:sz="0" w:space="0" w:color="auto"/>
        <w:left w:val="none" w:sz="0" w:space="0" w:color="auto"/>
        <w:bottom w:val="none" w:sz="0" w:space="0" w:color="auto"/>
        <w:right w:val="none" w:sz="0" w:space="0" w:color="auto"/>
      </w:divBdr>
    </w:div>
    <w:div w:id="1773696799">
      <w:bodyDiv w:val="1"/>
      <w:marLeft w:val="0"/>
      <w:marRight w:val="0"/>
      <w:marTop w:val="0"/>
      <w:marBottom w:val="0"/>
      <w:divBdr>
        <w:top w:val="none" w:sz="0" w:space="0" w:color="auto"/>
        <w:left w:val="none" w:sz="0" w:space="0" w:color="auto"/>
        <w:bottom w:val="none" w:sz="0" w:space="0" w:color="auto"/>
        <w:right w:val="none" w:sz="0" w:space="0" w:color="auto"/>
      </w:divBdr>
    </w:div>
    <w:div w:id="1775008731">
      <w:bodyDiv w:val="1"/>
      <w:marLeft w:val="0"/>
      <w:marRight w:val="0"/>
      <w:marTop w:val="0"/>
      <w:marBottom w:val="0"/>
      <w:divBdr>
        <w:top w:val="none" w:sz="0" w:space="0" w:color="auto"/>
        <w:left w:val="none" w:sz="0" w:space="0" w:color="auto"/>
        <w:bottom w:val="none" w:sz="0" w:space="0" w:color="auto"/>
        <w:right w:val="none" w:sz="0" w:space="0" w:color="auto"/>
      </w:divBdr>
    </w:div>
    <w:div w:id="1777484708">
      <w:bodyDiv w:val="1"/>
      <w:marLeft w:val="0"/>
      <w:marRight w:val="0"/>
      <w:marTop w:val="0"/>
      <w:marBottom w:val="0"/>
      <w:divBdr>
        <w:top w:val="none" w:sz="0" w:space="0" w:color="auto"/>
        <w:left w:val="none" w:sz="0" w:space="0" w:color="auto"/>
        <w:bottom w:val="none" w:sz="0" w:space="0" w:color="auto"/>
        <w:right w:val="none" w:sz="0" w:space="0" w:color="auto"/>
      </w:divBdr>
    </w:div>
    <w:div w:id="1778259201">
      <w:bodyDiv w:val="1"/>
      <w:marLeft w:val="0"/>
      <w:marRight w:val="0"/>
      <w:marTop w:val="0"/>
      <w:marBottom w:val="0"/>
      <w:divBdr>
        <w:top w:val="none" w:sz="0" w:space="0" w:color="auto"/>
        <w:left w:val="none" w:sz="0" w:space="0" w:color="auto"/>
        <w:bottom w:val="none" w:sz="0" w:space="0" w:color="auto"/>
        <w:right w:val="none" w:sz="0" w:space="0" w:color="auto"/>
      </w:divBdr>
    </w:div>
    <w:div w:id="1782719292">
      <w:bodyDiv w:val="1"/>
      <w:marLeft w:val="0"/>
      <w:marRight w:val="0"/>
      <w:marTop w:val="0"/>
      <w:marBottom w:val="0"/>
      <w:divBdr>
        <w:top w:val="none" w:sz="0" w:space="0" w:color="auto"/>
        <w:left w:val="none" w:sz="0" w:space="0" w:color="auto"/>
        <w:bottom w:val="none" w:sz="0" w:space="0" w:color="auto"/>
        <w:right w:val="none" w:sz="0" w:space="0" w:color="auto"/>
      </w:divBdr>
    </w:div>
    <w:div w:id="1784152231">
      <w:bodyDiv w:val="1"/>
      <w:marLeft w:val="0"/>
      <w:marRight w:val="0"/>
      <w:marTop w:val="0"/>
      <w:marBottom w:val="0"/>
      <w:divBdr>
        <w:top w:val="none" w:sz="0" w:space="0" w:color="auto"/>
        <w:left w:val="none" w:sz="0" w:space="0" w:color="auto"/>
        <w:bottom w:val="none" w:sz="0" w:space="0" w:color="auto"/>
        <w:right w:val="none" w:sz="0" w:space="0" w:color="auto"/>
      </w:divBdr>
    </w:div>
    <w:div w:id="1786849615">
      <w:bodyDiv w:val="1"/>
      <w:marLeft w:val="0"/>
      <w:marRight w:val="0"/>
      <w:marTop w:val="0"/>
      <w:marBottom w:val="0"/>
      <w:divBdr>
        <w:top w:val="none" w:sz="0" w:space="0" w:color="auto"/>
        <w:left w:val="none" w:sz="0" w:space="0" w:color="auto"/>
        <w:bottom w:val="none" w:sz="0" w:space="0" w:color="auto"/>
        <w:right w:val="none" w:sz="0" w:space="0" w:color="auto"/>
      </w:divBdr>
    </w:div>
    <w:div w:id="1790276637">
      <w:bodyDiv w:val="1"/>
      <w:marLeft w:val="0"/>
      <w:marRight w:val="0"/>
      <w:marTop w:val="0"/>
      <w:marBottom w:val="0"/>
      <w:divBdr>
        <w:top w:val="none" w:sz="0" w:space="0" w:color="auto"/>
        <w:left w:val="none" w:sz="0" w:space="0" w:color="auto"/>
        <w:bottom w:val="none" w:sz="0" w:space="0" w:color="auto"/>
        <w:right w:val="none" w:sz="0" w:space="0" w:color="auto"/>
      </w:divBdr>
    </w:div>
    <w:div w:id="1791633539">
      <w:bodyDiv w:val="1"/>
      <w:marLeft w:val="0"/>
      <w:marRight w:val="0"/>
      <w:marTop w:val="0"/>
      <w:marBottom w:val="0"/>
      <w:divBdr>
        <w:top w:val="none" w:sz="0" w:space="0" w:color="auto"/>
        <w:left w:val="none" w:sz="0" w:space="0" w:color="auto"/>
        <w:bottom w:val="none" w:sz="0" w:space="0" w:color="auto"/>
        <w:right w:val="none" w:sz="0" w:space="0" w:color="auto"/>
      </w:divBdr>
    </w:div>
    <w:div w:id="1794976067">
      <w:bodyDiv w:val="1"/>
      <w:marLeft w:val="0"/>
      <w:marRight w:val="0"/>
      <w:marTop w:val="0"/>
      <w:marBottom w:val="0"/>
      <w:divBdr>
        <w:top w:val="none" w:sz="0" w:space="0" w:color="auto"/>
        <w:left w:val="none" w:sz="0" w:space="0" w:color="auto"/>
        <w:bottom w:val="none" w:sz="0" w:space="0" w:color="auto"/>
        <w:right w:val="none" w:sz="0" w:space="0" w:color="auto"/>
      </w:divBdr>
    </w:div>
    <w:div w:id="1800758299">
      <w:bodyDiv w:val="1"/>
      <w:marLeft w:val="0"/>
      <w:marRight w:val="0"/>
      <w:marTop w:val="0"/>
      <w:marBottom w:val="0"/>
      <w:divBdr>
        <w:top w:val="none" w:sz="0" w:space="0" w:color="auto"/>
        <w:left w:val="none" w:sz="0" w:space="0" w:color="auto"/>
        <w:bottom w:val="none" w:sz="0" w:space="0" w:color="auto"/>
        <w:right w:val="none" w:sz="0" w:space="0" w:color="auto"/>
      </w:divBdr>
    </w:div>
    <w:div w:id="1801877301">
      <w:bodyDiv w:val="1"/>
      <w:marLeft w:val="0"/>
      <w:marRight w:val="0"/>
      <w:marTop w:val="0"/>
      <w:marBottom w:val="0"/>
      <w:divBdr>
        <w:top w:val="none" w:sz="0" w:space="0" w:color="auto"/>
        <w:left w:val="none" w:sz="0" w:space="0" w:color="auto"/>
        <w:bottom w:val="none" w:sz="0" w:space="0" w:color="auto"/>
        <w:right w:val="none" w:sz="0" w:space="0" w:color="auto"/>
      </w:divBdr>
    </w:div>
    <w:div w:id="1803500274">
      <w:bodyDiv w:val="1"/>
      <w:marLeft w:val="0"/>
      <w:marRight w:val="0"/>
      <w:marTop w:val="0"/>
      <w:marBottom w:val="0"/>
      <w:divBdr>
        <w:top w:val="none" w:sz="0" w:space="0" w:color="auto"/>
        <w:left w:val="none" w:sz="0" w:space="0" w:color="auto"/>
        <w:bottom w:val="none" w:sz="0" w:space="0" w:color="auto"/>
        <w:right w:val="none" w:sz="0" w:space="0" w:color="auto"/>
      </w:divBdr>
    </w:div>
    <w:div w:id="1804539713">
      <w:bodyDiv w:val="1"/>
      <w:marLeft w:val="0"/>
      <w:marRight w:val="0"/>
      <w:marTop w:val="0"/>
      <w:marBottom w:val="0"/>
      <w:divBdr>
        <w:top w:val="none" w:sz="0" w:space="0" w:color="auto"/>
        <w:left w:val="none" w:sz="0" w:space="0" w:color="auto"/>
        <w:bottom w:val="none" w:sz="0" w:space="0" w:color="auto"/>
        <w:right w:val="none" w:sz="0" w:space="0" w:color="auto"/>
      </w:divBdr>
    </w:div>
    <w:div w:id="1806119178">
      <w:bodyDiv w:val="1"/>
      <w:marLeft w:val="0"/>
      <w:marRight w:val="0"/>
      <w:marTop w:val="0"/>
      <w:marBottom w:val="0"/>
      <w:divBdr>
        <w:top w:val="none" w:sz="0" w:space="0" w:color="auto"/>
        <w:left w:val="none" w:sz="0" w:space="0" w:color="auto"/>
        <w:bottom w:val="none" w:sz="0" w:space="0" w:color="auto"/>
        <w:right w:val="none" w:sz="0" w:space="0" w:color="auto"/>
      </w:divBdr>
    </w:div>
    <w:div w:id="1806893687">
      <w:bodyDiv w:val="1"/>
      <w:marLeft w:val="0"/>
      <w:marRight w:val="0"/>
      <w:marTop w:val="0"/>
      <w:marBottom w:val="0"/>
      <w:divBdr>
        <w:top w:val="none" w:sz="0" w:space="0" w:color="auto"/>
        <w:left w:val="none" w:sz="0" w:space="0" w:color="auto"/>
        <w:bottom w:val="none" w:sz="0" w:space="0" w:color="auto"/>
        <w:right w:val="none" w:sz="0" w:space="0" w:color="auto"/>
      </w:divBdr>
    </w:div>
    <w:div w:id="1808160103">
      <w:bodyDiv w:val="1"/>
      <w:marLeft w:val="0"/>
      <w:marRight w:val="0"/>
      <w:marTop w:val="0"/>
      <w:marBottom w:val="0"/>
      <w:divBdr>
        <w:top w:val="none" w:sz="0" w:space="0" w:color="auto"/>
        <w:left w:val="none" w:sz="0" w:space="0" w:color="auto"/>
        <w:bottom w:val="none" w:sz="0" w:space="0" w:color="auto"/>
        <w:right w:val="none" w:sz="0" w:space="0" w:color="auto"/>
      </w:divBdr>
    </w:div>
    <w:div w:id="1810124468">
      <w:bodyDiv w:val="1"/>
      <w:marLeft w:val="0"/>
      <w:marRight w:val="0"/>
      <w:marTop w:val="0"/>
      <w:marBottom w:val="0"/>
      <w:divBdr>
        <w:top w:val="none" w:sz="0" w:space="0" w:color="auto"/>
        <w:left w:val="none" w:sz="0" w:space="0" w:color="auto"/>
        <w:bottom w:val="none" w:sz="0" w:space="0" w:color="auto"/>
        <w:right w:val="none" w:sz="0" w:space="0" w:color="auto"/>
      </w:divBdr>
    </w:div>
    <w:div w:id="1814717149">
      <w:bodyDiv w:val="1"/>
      <w:marLeft w:val="0"/>
      <w:marRight w:val="0"/>
      <w:marTop w:val="0"/>
      <w:marBottom w:val="0"/>
      <w:divBdr>
        <w:top w:val="none" w:sz="0" w:space="0" w:color="auto"/>
        <w:left w:val="none" w:sz="0" w:space="0" w:color="auto"/>
        <w:bottom w:val="none" w:sz="0" w:space="0" w:color="auto"/>
        <w:right w:val="none" w:sz="0" w:space="0" w:color="auto"/>
      </w:divBdr>
    </w:div>
    <w:div w:id="1815100098">
      <w:bodyDiv w:val="1"/>
      <w:marLeft w:val="0"/>
      <w:marRight w:val="0"/>
      <w:marTop w:val="0"/>
      <w:marBottom w:val="0"/>
      <w:divBdr>
        <w:top w:val="none" w:sz="0" w:space="0" w:color="auto"/>
        <w:left w:val="none" w:sz="0" w:space="0" w:color="auto"/>
        <w:bottom w:val="none" w:sz="0" w:space="0" w:color="auto"/>
        <w:right w:val="none" w:sz="0" w:space="0" w:color="auto"/>
      </w:divBdr>
    </w:div>
    <w:div w:id="1815104727">
      <w:bodyDiv w:val="1"/>
      <w:marLeft w:val="0"/>
      <w:marRight w:val="0"/>
      <w:marTop w:val="0"/>
      <w:marBottom w:val="0"/>
      <w:divBdr>
        <w:top w:val="none" w:sz="0" w:space="0" w:color="auto"/>
        <w:left w:val="none" w:sz="0" w:space="0" w:color="auto"/>
        <w:bottom w:val="none" w:sz="0" w:space="0" w:color="auto"/>
        <w:right w:val="none" w:sz="0" w:space="0" w:color="auto"/>
      </w:divBdr>
    </w:div>
    <w:div w:id="1817798400">
      <w:bodyDiv w:val="1"/>
      <w:marLeft w:val="0"/>
      <w:marRight w:val="0"/>
      <w:marTop w:val="0"/>
      <w:marBottom w:val="0"/>
      <w:divBdr>
        <w:top w:val="none" w:sz="0" w:space="0" w:color="auto"/>
        <w:left w:val="none" w:sz="0" w:space="0" w:color="auto"/>
        <w:bottom w:val="none" w:sz="0" w:space="0" w:color="auto"/>
        <w:right w:val="none" w:sz="0" w:space="0" w:color="auto"/>
      </w:divBdr>
    </w:div>
    <w:div w:id="1817988227">
      <w:bodyDiv w:val="1"/>
      <w:marLeft w:val="0"/>
      <w:marRight w:val="0"/>
      <w:marTop w:val="0"/>
      <w:marBottom w:val="0"/>
      <w:divBdr>
        <w:top w:val="none" w:sz="0" w:space="0" w:color="auto"/>
        <w:left w:val="none" w:sz="0" w:space="0" w:color="auto"/>
        <w:bottom w:val="none" w:sz="0" w:space="0" w:color="auto"/>
        <w:right w:val="none" w:sz="0" w:space="0" w:color="auto"/>
      </w:divBdr>
    </w:div>
    <w:div w:id="1818060876">
      <w:bodyDiv w:val="1"/>
      <w:marLeft w:val="0"/>
      <w:marRight w:val="0"/>
      <w:marTop w:val="0"/>
      <w:marBottom w:val="0"/>
      <w:divBdr>
        <w:top w:val="none" w:sz="0" w:space="0" w:color="auto"/>
        <w:left w:val="none" w:sz="0" w:space="0" w:color="auto"/>
        <w:bottom w:val="none" w:sz="0" w:space="0" w:color="auto"/>
        <w:right w:val="none" w:sz="0" w:space="0" w:color="auto"/>
      </w:divBdr>
    </w:div>
    <w:div w:id="1821074943">
      <w:bodyDiv w:val="1"/>
      <w:marLeft w:val="0"/>
      <w:marRight w:val="0"/>
      <w:marTop w:val="0"/>
      <w:marBottom w:val="0"/>
      <w:divBdr>
        <w:top w:val="none" w:sz="0" w:space="0" w:color="auto"/>
        <w:left w:val="none" w:sz="0" w:space="0" w:color="auto"/>
        <w:bottom w:val="none" w:sz="0" w:space="0" w:color="auto"/>
        <w:right w:val="none" w:sz="0" w:space="0" w:color="auto"/>
      </w:divBdr>
    </w:div>
    <w:div w:id="1823545507">
      <w:bodyDiv w:val="1"/>
      <w:marLeft w:val="0"/>
      <w:marRight w:val="0"/>
      <w:marTop w:val="0"/>
      <w:marBottom w:val="0"/>
      <w:divBdr>
        <w:top w:val="none" w:sz="0" w:space="0" w:color="auto"/>
        <w:left w:val="none" w:sz="0" w:space="0" w:color="auto"/>
        <w:bottom w:val="none" w:sz="0" w:space="0" w:color="auto"/>
        <w:right w:val="none" w:sz="0" w:space="0" w:color="auto"/>
      </w:divBdr>
    </w:div>
    <w:div w:id="1828982748">
      <w:bodyDiv w:val="1"/>
      <w:marLeft w:val="0"/>
      <w:marRight w:val="0"/>
      <w:marTop w:val="0"/>
      <w:marBottom w:val="0"/>
      <w:divBdr>
        <w:top w:val="none" w:sz="0" w:space="0" w:color="auto"/>
        <w:left w:val="none" w:sz="0" w:space="0" w:color="auto"/>
        <w:bottom w:val="none" w:sz="0" w:space="0" w:color="auto"/>
        <w:right w:val="none" w:sz="0" w:space="0" w:color="auto"/>
      </w:divBdr>
    </w:div>
    <w:div w:id="1829512617">
      <w:bodyDiv w:val="1"/>
      <w:marLeft w:val="0"/>
      <w:marRight w:val="0"/>
      <w:marTop w:val="0"/>
      <w:marBottom w:val="0"/>
      <w:divBdr>
        <w:top w:val="none" w:sz="0" w:space="0" w:color="auto"/>
        <w:left w:val="none" w:sz="0" w:space="0" w:color="auto"/>
        <w:bottom w:val="none" w:sz="0" w:space="0" w:color="auto"/>
        <w:right w:val="none" w:sz="0" w:space="0" w:color="auto"/>
      </w:divBdr>
    </w:div>
    <w:div w:id="1830319364">
      <w:bodyDiv w:val="1"/>
      <w:marLeft w:val="0"/>
      <w:marRight w:val="0"/>
      <w:marTop w:val="0"/>
      <w:marBottom w:val="0"/>
      <w:divBdr>
        <w:top w:val="none" w:sz="0" w:space="0" w:color="auto"/>
        <w:left w:val="none" w:sz="0" w:space="0" w:color="auto"/>
        <w:bottom w:val="none" w:sz="0" w:space="0" w:color="auto"/>
        <w:right w:val="none" w:sz="0" w:space="0" w:color="auto"/>
      </w:divBdr>
    </w:div>
    <w:div w:id="1831940134">
      <w:bodyDiv w:val="1"/>
      <w:marLeft w:val="0"/>
      <w:marRight w:val="0"/>
      <w:marTop w:val="0"/>
      <w:marBottom w:val="0"/>
      <w:divBdr>
        <w:top w:val="none" w:sz="0" w:space="0" w:color="auto"/>
        <w:left w:val="none" w:sz="0" w:space="0" w:color="auto"/>
        <w:bottom w:val="none" w:sz="0" w:space="0" w:color="auto"/>
        <w:right w:val="none" w:sz="0" w:space="0" w:color="auto"/>
      </w:divBdr>
    </w:div>
    <w:div w:id="1833981358">
      <w:bodyDiv w:val="1"/>
      <w:marLeft w:val="0"/>
      <w:marRight w:val="0"/>
      <w:marTop w:val="0"/>
      <w:marBottom w:val="0"/>
      <w:divBdr>
        <w:top w:val="none" w:sz="0" w:space="0" w:color="auto"/>
        <w:left w:val="none" w:sz="0" w:space="0" w:color="auto"/>
        <w:bottom w:val="none" w:sz="0" w:space="0" w:color="auto"/>
        <w:right w:val="none" w:sz="0" w:space="0" w:color="auto"/>
      </w:divBdr>
    </w:div>
    <w:div w:id="1837838483">
      <w:bodyDiv w:val="1"/>
      <w:marLeft w:val="0"/>
      <w:marRight w:val="0"/>
      <w:marTop w:val="0"/>
      <w:marBottom w:val="0"/>
      <w:divBdr>
        <w:top w:val="none" w:sz="0" w:space="0" w:color="auto"/>
        <w:left w:val="none" w:sz="0" w:space="0" w:color="auto"/>
        <w:bottom w:val="none" w:sz="0" w:space="0" w:color="auto"/>
        <w:right w:val="none" w:sz="0" w:space="0" w:color="auto"/>
      </w:divBdr>
    </w:div>
    <w:div w:id="1838960508">
      <w:bodyDiv w:val="1"/>
      <w:marLeft w:val="0"/>
      <w:marRight w:val="0"/>
      <w:marTop w:val="0"/>
      <w:marBottom w:val="0"/>
      <w:divBdr>
        <w:top w:val="none" w:sz="0" w:space="0" w:color="auto"/>
        <w:left w:val="none" w:sz="0" w:space="0" w:color="auto"/>
        <w:bottom w:val="none" w:sz="0" w:space="0" w:color="auto"/>
        <w:right w:val="none" w:sz="0" w:space="0" w:color="auto"/>
      </w:divBdr>
    </w:div>
    <w:div w:id="1839081288">
      <w:bodyDiv w:val="1"/>
      <w:marLeft w:val="0"/>
      <w:marRight w:val="0"/>
      <w:marTop w:val="0"/>
      <w:marBottom w:val="0"/>
      <w:divBdr>
        <w:top w:val="none" w:sz="0" w:space="0" w:color="auto"/>
        <w:left w:val="none" w:sz="0" w:space="0" w:color="auto"/>
        <w:bottom w:val="none" w:sz="0" w:space="0" w:color="auto"/>
        <w:right w:val="none" w:sz="0" w:space="0" w:color="auto"/>
      </w:divBdr>
    </w:div>
    <w:div w:id="1842500318">
      <w:bodyDiv w:val="1"/>
      <w:marLeft w:val="0"/>
      <w:marRight w:val="0"/>
      <w:marTop w:val="0"/>
      <w:marBottom w:val="0"/>
      <w:divBdr>
        <w:top w:val="none" w:sz="0" w:space="0" w:color="auto"/>
        <w:left w:val="none" w:sz="0" w:space="0" w:color="auto"/>
        <w:bottom w:val="none" w:sz="0" w:space="0" w:color="auto"/>
        <w:right w:val="none" w:sz="0" w:space="0" w:color="auto"/>
      </w:divBdr>
    </w:div>
    <w:div w:id="1842575273">
      <w:bodyDiv w:val="1"/>
      <w:marLeft w:val="0"/>
      <w:marRight w:val="0"/>
      <w:marTop w:val="0"/>
      <w:marBottom w:val="0"/>
      <w:divBdr>
        <w:top w:val="none" w:sz="0" w:space="0" w:color="auto"/>
        <w:left w:val="none" w:sz="0" w:space="0" w:color="auto"/>
        <w:bottom w:val="none" w:sz="0" w:space="0" w:color="auto"/>
        <w:right w:val="none" w:sz="0" w:space="0" w:color="auto"/>
      </w:divBdr>
    </w:div>
    <w:div w:id="1844321692">
      <w:bodyDiv w:val="1"/>
      <w:marLeft w:val="0"/>
      <w:marRight w:val="0"/>
      <w:marTop w:val="0"/>
      <w:marBottom w:val="0"/>
      <w:divBdr>
        <w:top w:val="none" w:sz="0" w:space="0" w:color="auto"/>
        <w:left w:val="none" w:sz="0" w:space="0" w:color="auto"/>
        <w:bottom w:val="none" w:sz="0" w:space="0" w:color="auto"/>
        <w:right w:val="none" w:sz="0" w:space="0" w:color="auto"/>
      </w:divBdr>
    </w:div>
    <w:div w:id="1845318828">
      <w:bodyDiv w:val="1"/>
      <w:marLeft w:val="0"/>
      <w:marRight w:val="0"/>
      <w:marTop w:val="0"/>
      <w:marBottom w:val="0"/>
      <w:divBdr>
        <w:top w:val="none" w:sz="0" w:space="0" w:color="auto"/>
        <w:left w:val="none" w:sz="0" w:space="0" w:color="auto"/>
        <w:bottom w:val="none" w:sz="0" w:space="0" w:color="auto"/>
        <w:right w:val="none" w:sz="0" w:space="0" w:color="auto"/>
      </w:divBdr>
    </w:div>
    <w:div w:id="1848278676">
      <w:bodyDiv w:val="1"/>
      <w:marLeft w:val="0"/>
      <w:marRight w:val="0"/>
      <w:marTop w:val="0"/>
      <w:marBottom w:val="0"/>
      <w:divBdr>
        <w:top w:val="none" w:sz="0" w:space="0" w:color="auto"/>
        <w:left w:val="none" w:sz="0" w:space="0" w:color="auto"/>
        <w:bottom w:val="none" w:sz="0" w:space="0" w:color="auto"/>
        <w:right w:val="none" w:sz="0" w:space="0" w:color="auto"/>
      </w:divBdr>
    </w:div>
    <w:div w:id="1852909031">
      <w:bodyDiv w:val="1"/>
      <w:marLeft w:val="0"/>
      <w:marRight w:val="0"/>
      <w:marTop w:val="0"/>
      <w:marBottom w:val="0"/>
      <w:divBdr>
        <w:top w:val="none" w:sz="0" w:space="0" w:color="auto"/>
        <w:left w:val="none" w:sz="0" w:space="0" w:color="auto"/>
        <w:bottom w:val="none" w:sz="0" w:space="0" w:color="auto"/>
        <w:right w:val="none" w:sz="0" w:space="0" w:color="auto"/>
      </w:divBdr>
    </w:div>
    <w:div w:id="1853641586">
      <w:bodyDiv w:val="1"/>
      <w:marLeft w:val="0"/>
      <w:marRight w:val="0"/>
      <w:marTop w:val="0"/>
      <w:marBottom w:val="0"/>
      <w:divBdr>
        <w:top w:val="none" w:sz="0" w:space="0" w:color="auto"/>
        <w:left w:val="none" w:sz="0" w:space="0" w:color="auto"/>
        <w:bottom w:val="none" w:sz="0" w:space="0" w:color="auto"/>
        <w:right w:val="none" w:sz="0" w:space="0" w:color="auto"/>
      </w:divBdr>
    </w:div>
    <w:div w:id="1857115508">
      <w:bodyDiv w:val="1"/>
      <w:marLeft w:val="0"/>
      <w:marRight w:val="0"/>
      <w:marTop w:val="0"/>
      <w:marBottom w:val="0"/>
      <w:divBdr>
        <w:top w:val="none" w:sz="0" w:space="0" w:color="auto"/>
        <w:left w:val="none" w:sz="0" w:space="0" w:color="auto"/>
        <w:bottom w:val="none" w:sz="0" w:space="0" w:color="auto"/>
        <w:right w:val="none" w:sz="0" w:space="0" w:color="auto"/>
      </w:divBdr>
    </w:div>
    <w:div w:id="1857495913">
      <w:bodyDiv w:val="1"/>
      <w:marLeft w:val="0"/>
      <w:marRight w:val="0"/>
      <w:marTop w:val="0"/>
      <w:marBottom w:val="0"/>
      <w:divBdr>
        <w:top w:val="none" w:sz="0" w:space="0" w:color="auto"/>
        <w:left w:val="none" w:sz="0" w:space="0" w:color="auto"/>
        <w:bottom w:val="none" w:sz="0" w:space="0" w:color="auto"/>
        <w:right w:val="none" w:sz="0" w:space="0" w:color="auto"/>
      </w:divBdr>
    </w:div>
    <w:div w:id="1858302378">
      <w:bodyDiv w:val="1"/>
      <w:marLeft w:val="0"/>
      <w:marRight w:val="0"/>
      <w:marTop w:val="0"/>
      <w:marBottom w:val="0"/>
      <w:divBdr>
        <w:top w:val="none" w:sz="0" w:space="0" w:color="auto"/>
        <w:left w:val="none" w:sz="0" w:space="0" w:color="auto"/>
        <w:bottom w:val="none" w:sz="0" w:space="0" w:color="auto"/>
        <w:right w:val="none" w:sz="0" w:space="0" w:color="auto"/>
      </w:divBdr>
    </w:div>
    <w:div w:id="1858690228">
      <w:bodyDiv w:val="1"/>
      <w:marLeft w:val="0"/>
      <w:marRight w:val="0"/>
      <w:marTop w:val="0"/>
      <w:marBottom w:val="0"/>
      <w:divBdr>
        <w:top w:val="none" w:sz="0" w:space="0" w:color="auto"/>
        <w:left w:val="none" w:sz="0" w:space="0" w:color="auto"/>
        <w:bottom w:val="none" w:sz="0" w:space="0" w:color="auto"/>
        <w:right w:val="none" w:sz="0" w:space="0" w:color="auto"/>
      </w:divBdr>
    </w:div>
    <w:div w:id="1858958104">
      <w:bodyDiv w:val="1"/>
      <w:marLeft w:val="0"/>
      <w:marRight w:val="0"/>
      <w:marTop w:val="0"/>
      <w:marBottom w:val="0"/>
      <w:divBdr>
        <w:top w:val="none" w:sz="0" w:space="0" w:color="auto"/>
        <w:left w:val="none" w:sz="0" w:space="0" w:color="auto"/>
        <w:bottom w:val="none" w:sz="0" w:space="0" w:color="auto"/>
        <w:right w:val="none" w:sz="0" w:space="0" w:color="auto"/>
      </w:divBdr>
    </w:div>
    <w:div w:id="1859273735">
      <w:bodyDiv w:val="1"/>
      <w:marLeft w:val="0"/>
      <w:marRight w:val="0"/>
      <w:marTop w:val="0"/>
      <w:marBottom w:val="0"/>
      <w:divBdr>
        <w:top w:val="none" w:sz="0" w:space="0" w:color="auto"/>
        <w:left w:val="none" w:sz="0" w:space="0" w:color="auto"/>
        <w:bottom w:val="none" w:sz="0" w:space="0" w:color="auto"/>
        <w:right w:val="none" w:sz="0" w:space="0" w:color="auto"/>
      </w:divBdr>
    </w:div>
    <w:div w:id="1860385840">
      <w:bodyDiv w:val="1"/>
      <w:marLeft w:val="0"/>
      <w:marRight w:val="0"/>
      <w:marTop w:val="0"/>
      <w:marBottom w:val="0"/>
      <w:divBdr>
        <w:top w:val="none" w:sz="0" w:space="0" w:color="auto"/>
        <w:left w:val="none" w:sz="0" w:space="0" w:color="auto"/>
        <w:bottom w:val="none" w:sz="0" w:space="0" w:color="auto"/>
        <w:right w:val="none" w:sz="0" w:space="0" w:color="auto"/>
      </w:divBdr>
    </w:div>
    <w:div w:id="1862742985">
      <w:bodyDiv w:val="1"/>
      <w:marLeft w:val="0"/>
      <w:marRight w:val="0"/>
      <w:marTop w:val="0"/>
      <w:marBottom w:val="0"/>
      <w:divBdr>
        <w:top w:val="none" w:sz="0" w:space="0" w:color="auto"/>
        <w:left w:val="none" w:sz="0" w:space="0" w:color="auto"/>
        <w:bottom w:val="none" w:sz="0" w:space="0" w:color="auto"/>
        <w:right w:val="none" w:sz="0" w:space="0" w:color="auto"/>
      </w:divBdr>
    </w:div>
    <w:div w:id="1862743336">
      <w:bodyDiv w:val="1"/>
      <w:marLeft w:val="0"/>
      <w:marRight w:val="0"/>
      <w:marTop w:val="0"/>
      <w:marBottom w:val="0"/>
      <w:divBdr>
        <w:top w:val="none" w:sz="0" w:space="0" w:color="auto"/>
        <w:left w:val="none" w:sz="0" w:space="0" w:color="auto"/>
        <w:bottom w:val="none" w:sz="0" w:space="0" w:color="auto"/>
        <w:right w:val="none" w:sz="0" w:space="0" w:color="auto"/>
      </w:divBdr>
    </w:div>
    <w:div w:id="1862931924">
      <w:bodyDiv w:val="1"/>
      <w:marLeft w:val="0"/>
      <w:marRight w:val="0"/>
      <w:marTop w:val="0"/>
      <w:marBottom w:val="0"/>
      <w:divBdr>
        <w:top w:val="none" w:sz="0" w:space="0" w:color="auto"/>
        <w:left w:val="none" w:sz="0" w:space="0" w:color="auto"/>
        <w:bottom w:val="none" w:sz="0" w:space="0" w:color="auto"/>
        <w:right w:val="none" w:sz="0" w:space="0" w:color="auto"/>
      </w:divBdr>
    </w:div>
    <w:div w:id="1863934481">
      <w:bodyDiv w:val="1"/>
      <w:marLeft w:val="0"/>
      <w:marRight w:val="0"/>
      <w:marTop w:val="0"/>
      <w:marBottom w:val="0"/>
      <w:divBdr>
        <w:top w:val="none" w:sz="0" w:space="0" w:color="auto"/>
        <w:left w:val="none" w:sz="0" w:space="0" w:color="auto"/>
        <w:bottom w:val="none" w:sz="0" w:space="0" w:color="auto"/>
        <w:right w:val="none" w:sz="0" w:space="0" w:color="auto"/>
      </w:divBdr>
    </w:div>
    <w:div w:id="1865092120">
      <w:bodyDiv w:val="1"/>
      <w:marLeft w:val="0"/>
      <w:marRight w:val="0"/>
      <w:marTop w:val="0"/>
      <w:marBottom w:val="0"/>
      <w:divBdr>
        <w:top w:val="none" w:sz="0" w:space="0" w:color="auto"/>
        <w:left w:val="none" w:sz="0" w:space="0" w:color="auto"/>
        <w:bottom w:val="none" w:sz="0" w:space="0" w:color="auto"/>
        <w:right w:val="none" w:sz="0" w:space="0" w:color="auto"/>
      </w:divBdr>
    </w:div>
    <w:div w:id="1865366395">
      <w:bodyDiv w:val="1"/>
      <w:marLeft w:val="0"/>
      <w:marRight w:val="0"/>
      <w:marTop w:val="0"/>
      <w:marBottom w:val="0"/>
      <w:divBdr>
        <w:top w:val="none" w:sz="0" w:space="0" w:color="auto"/>
        <w:left w:val="none" w:sz="0" w:space="0" w:color="auto"/>
        <w:bottom w:val="none" w:sz="0" w:space="0" w:color="auto"/>
        <w:right w:val="none" w:sz="0" w:space="0" w:color="auto"/>
      </w:divBdr>
      <w:divsChild>
        <w:div w:id="464199338">
          <w:marLeft w:val="640"/>
          <w:marRight w:val="0"/>
          <w:marTop w:val="0"/>
          <w:marBottom w:val="0"/>
          <w:divBdr>
            <w:top w:val="none" w:sz="0" w:space="0" w:color="auto"/>
            <w:left w:val="none" w:sz="0" w:space="0" w:color="auto"/>
            <w:bottom w:val="none" w:sz="0" w:space="0" w:color="auto"/>
            <w:right w:val="none" w:sz="0" w:space="0" w:color="auto"/>
          </w:divBdr>
        </w:div>
        <w:div w:id="1657223404">
          <w:marLeft w:val="640"/>
          <w:marRight w:val="0"/>
          <w:marTop w:val="0"/>
          <w:marBottom w:val="0"/>
          <w:divBdr>
            <w:top w:val="none" w:sz="0" w:space="0" w:color="auto"/>
            <w:left w:val="none" w:sz="0" w:space="0" w:color="auto"/>
            <w:bottom w:val="none" w:sz="0" w:space="0" w:color="auto"/>
            <w:right w:val="none" w:sz="0" w:space="0" w:color="auto"/>
          </w:divBdr>
        </w:div>
        <w:div w:id="1527786710">
          <w:marLeft w:val="640"/>
          <w:marRight w:val="0"/>
          <w:marTop w:val="0"/>
          <w:marBottom w:val="0"/>
          <w:divBdr>
            <w:top w:val="none" w:sz="0" w:space="0" w:color="auto"/>
            <w:left w:val="none" w:sz="0" w:space="0" w:color="auto"/>
            <w:bottom w:val="none" w:sz="0" w:space="0" w:color="auto"/>
            <w:right w:val="none" w:sz="0" w:space="0" w:color="auto"/>
          </w:divBdr>
        </w:div>
        <w:div w:id="420957456">
          <w:marLeft w:val="640"/>
          <w:marRight w:val="0"/>
          <w:marTop w:val="0"/>
          <w:marBottom w:val="0"/>
          <w:divBdr>
            <w:top w:val="none" w:sz="0" w:space="0" w:color="auto"/>
            <w:left w:val="none" w:sz="0" w:space="0" w:color="auto"/>
            <w:bottom w:val="none" w:sz="0" w:space="0" w:color="auto"/>
            <w:right w:val="none" w:sz="0" w:space="0" w:color="auto"/>
          </w:divBdr>
        </w:div>
        <w:div w:id="102920795">
          <w:marLeft w:val="640"/>
          <w:marRight w:val="0"/>
          <w:marTop w:val="0"/>
          <w:marBottom w:val="0"/>
          <w:divBdr>
            <w:top w:val="none" w:sz="0" w:space="0" w:color="auto"/>
            <w:left w:val="none" w:sz="0" w:space="0" w:color="auto"/>
            <w:bottom w:val="none" w:sz="0" w:space="0" w:color="auto"/>
            <w:right w:val="none" w:sz="0" w:space="0" w:color="auto"/>
          </w:divBdr>
        </w:div>
        <w:div w:id="913472129">
          <w:marLeft w:val="640"/>
          <w:marRight w:val="0"/>
          <w:marTop w:val="0"/>
          <w:marBottom w:val="0"/>
          <w:divBdr>
            <w:top w:val="none" w:sz="0" w:space="0" w:color="auto"/>
            <w:left w:val="none" w:sz="0" w:space="0" w:color="auto"/>
            <w:bottom w:val="none" w:sz="0" w:space="0" w:color="auto"/>
            <w:right w:val="none" w:sz="0" w:space="0" w:color="auto"/>
          </w:divBdr>
        </w:div>
        <w:div w:id="1655530931">
          <w:marLeft w:val="640"/>
          <w:marRight w:val="0"/>
          <w:marTop w:val="0"/>
          <w:marBottom w:val="0"/>
          <w:divBdr>
            <w:top w:val="none" w:sz="0" w:space="0" w:color="auto"/>
            <w:left w:val="none" w:sz="0" w:space="0" w:color="auto"/>
            <w:bottom w:val="none" w:sz="0" w:space="0" w:color="auto"/>
            <w:right w:val="none" w:sz="0" w:space="0" w:color="auto"/>
          </w:divBdr>
        </w:div>
        <w:div w:id="1013846200">
          <w:marLeft w:val="640"/>
          <w:marRight w:val="0"/>
          <w:marTop w:val="0"/>
          <w:marBottom w:val="0"/>
          <w:divBdr>
            <w:top w:val="none" w:sz="0" w:space="0" w:color="auto"/>
            <w:left w:val="none" w:sz="0" w:space="0" w:color="auto"/>
            <w:bottom w:val="none" w:sz="0" w:space="0" w:color="auto"/>
            <w:right w:val="none" w:sz="0" w:space="0" w:color="auto"/>
          </w:divBdr>
        </w:div>
        <w:div w:id="2146000495">
          <w:marLeft w:val="640"/>
          <w:marRight w:val="0"/>
          <w:marTop w:val="0"/>
          <w:marBottom w:val="0"/>
          <w:divBdr>
            <w:top w:val="none" w:sz="0" w:space="0" w:color="auto"/>
            <w:left w:val="none" w:sz="0" w:space="0" w:color="auto"/>
            <w:bottom w:val="none" w:sz="0" w:space="0" w:color="auto"/>
            <w:right w:val="none" w:sz="0" w:space="0" w:color="auto"/>
          </w:divBdr>
        </w:div>
        <w:div w:id="1639190920">
          <w:marLeft w:val="640"/>
          <w:marRight w:val="0"/>
          <w:marTop w:val="0"/>
          <w:marBottom w:val="0"/>
          <w:divBdr>
            <w:top w:val="none" w:sz="0" w:space="0" w:color="auto"/>
            <w:left w:val="none" w:sz="0" w:space="0" w:color="auto"/>
            <w:bottom w:val="none" w:sz="0" w:space="0" w:color="auto"/>
            <w:right w:val="none" w:sz="0" w:space="0" w:color="auto"/>
          </w:divBdr>
        </w:div>
        <w:div w:id="345061213">
          <w:marLeft w:val="640"/>
          <w:marRight w:val="0"/>
          <w:marTop w:val="0"/>
          <w:marBottom w:val="0"/>
          <w:divBdr>
            <w:top w:val="none" w:sz="0" w:space="0" w:color="auto"/>
            <w:left w:val="none" w:sz="0" w:space="0" w:color="auto"/>
            <w:bottom w:val="none" w:sz="0" w:space="0" w:color="auto"/>
            <w:right w:val="none" w:sz="0" w:space="0" w:color="auto"/>
          </w:divBdr>
        </w:div>
        <w:div w:id="2021661083">
          <w:marLeft w:val="640"/>
          <w:marRight w:val="0"/>
          <w:marTop w:val="0"/>
          <w:marBottom w:val="0"/>
          <w:divBdr>
            <w:top w:val="none" w:sz="0" w:space="0" w:color="auto"/>
            <w:left w:val="none" w:sz="0" w:space="0" w:color="auto"/>
            <w:bottom w:val="none" w:sz="0" w:space="0" w:color="auto"/>
            <w:right w:val="none" w:sz="0" w:space="0" w:color="auto"/>
          </w:divBdr>
        </w:div>
        <w:div w:id="1873764316">
          <w:marLeft w:val="640"/>
          <w:marRight w:val="0"/>
          <w:marTop w:val="0"/>
          <w:marBottom w:val="0"/>
          <w:divBdr>
            <w:top w:val="none" w:sz="0" w:space="0" w:color="auto"/>
            <w:left w:val="none" w:sz="0" w:space="0" w:color="auto"/>
            <w:bottom w:val="none" w:sz="0" w:space="0" w:color="auto"/>
            <w:right w:val="none" w:sz="0" w:space="0" w:color="auto"/>
          </w:divBdr>
        </w:div>
        <w:div w:id="723334023">
          <w:marLeft w:val="640"/>
          <w:marRight w:val="0"/>
          <w:marTop w:val="0"/>
          <w:marBottom w:val="0"/>
          <w:divBdr>
            <w:top w:val="none" w:sz="0" w:space="0" w:color="auto"/>
            <w:left w:val="none" w:sz="0" w:space="0" w:color="auto"/>
            <w:bottom w:val="none" w:sz="0" w:space="0" w:color="auto"/>
            <w:right w:val="none" w:sz="0" w:space="0" w:color="auto"/>
          </w:divBdr>
        </w:div>
        <w:div w:id="1268466336">
          <w:marLeft w:val="640"/>
          <w:marRight w:val="0"/>
          <w:marTop w:val="0"/>
          <w:marBottom w:val="0"/>
          <w:divBdr>
            <w:top w:val="none" w:sz="0" w:space="0" w:color="auto"/>
            <w:left w:val="none" w:sz="0" w:space="0" w:color="auto"/>
            <w:bottom w:val="none" w:sz="0" w:space="0" w:color="auto"/>
            <w:right w:val="none" w:sz="0" w:space="0" w:color="auto"/>
          </w:divBdr>
        </w:div>
        <w:div w:id="294722883">
          <w:marLeft w:val="640"/>
          <w:marRight w:val="0"/>
          <w:marTop w:val="0"/>
          <w:marBottom w:val="0"/>
          <w:divBdr>
            <w:top w:val="none" w:sz="0" w:space="0" w:color="auto"/>
            <w:left w:val="none" w:sz="0" w:space="0" w:color="auto"/>
            <w:bottom w:val="none" w:sz="0" w:space="0" w:color="auto"/>
            <w:right w:val="none" w:sz="0" w:space="0" w:color="auto"/>
          </w:divBdr>
        </w:div>
        <w:div w:id="848956736">
          <w:marLeft w:val="640"/>
          <w:marRight w:val="0"/>
          <w:marTop w:val="0"/>
          <w:marBottom w:val="0"/>
          <w:divBdr>
            <w:top w:val="none" w:sz="0" w:space="0" w:color="auto"/>
            <w:left w:val="none" w:sz="0" w:space="0" w:color="auto"/>
            <w:bottom w:val="none" w:sz="0" w:space="0" w:color="auto"/>
            <w:right w:val="none" w:sz="0" w:space="0" w:color="auto"/>
          </w:divBdr>
        </w:div>
        <w:div w:id="1406955467">
          <w:marLeft w:val="640"/>
          <w:marRight w:val="0"/>
          <w:marTop w:val="0"/>
          <w:marBottom w:val="0"/>
          <w:divBdr>
            <w:top w:val="none" w:sz="0" w:space="0" w:color="auto"/>
            <w:left w:val="none" w:sz="0" w:space="0" w:color="auto"/>
            <w:bottom w:val="none" w:sz="0" w:space="0" w:color="auto"/>
            <w:right w:val="none" w:sz="0" w:space="0" w:color="auto"/>
          </w:divBdr>
        </w:div>
        <w:div w:id="1757050006">
          <w:marLeft w:val="640"/>
          <w:marRight w:val="0"/>
          <w:marTop w:val="0"/>
          <w:marBottom w:val="0"/>
          <w:divBdr>
            <w:top w:val="none" w:sz="0" w:space="0" w:color="auto"/>
            <w:left w:val="none" w:sz="0" w:space="0" w:color="auto"/>
            <w:bottom w:val="none" w:sz="0" w:space="0" w:color="auto"/>
            <w:right w:val="none" w:sz="0" w:space="0" w:color="auto"/>
          </w:divBdr>
        </w:div>
        <w:div w:id="1519470546">
          <w:marLeft w:val="640"/>
          <w:marRight w:val="0"/>
          <w:marTop w:val="0"/>
          <w:marBottom w:val="0"/>
          <w:divBdr>
            <w:top w:val="none" w:sz="0" w:space="0" w:color="auto"/>
            <w:left w:val="none" w:sz="0" w:space="0" w:color="auto"/>
            <w:bottom w:val="none" w:sz="0" w:space="0" w:color="auto"/>
            <w:right w:val="none" w:sz="0" w:space="0" w:color="auto"/>
          </w:divBdr>
        </w:div>
        <w:div w:id="1930113109">
          <w:marLeft w:val="640"/>
          <w:marRight w:val="0"/>
          <w:marTop w:val="0"/>
          <w:marBottom w:val="0"/>
          <w:divBdr>
            <w:top w:val="none" w:sz="0" w:space="0" w:color="auto"/>
            <w:left w:val="none" w:sz="0" w:space="0" w:color="auto"/>
            <w:bottom w:val="none" w:sz="0" w:space="0" w:color="auto"/>
            <w:right w:val="none" w:sz="0" w:space="0" w:color="auto"/>
          </w:divBdr>
        </w:div>
        <w:div w:id="1303390782">
          <w:marLeft w:val="640"/>
          <w:marRight w:val="0"/>
          <w:marTop w:val="0"/>
          <w:marBottom w:val="0"/>
          <w:divBdr>
            <w:top w:val="none" w:sz="0" w:space="0" w:color="auto"/>
            <w:left w:val="none" w:sz="0" w:space="0" w:color="auto"/>
            <w:bottom w:val="none" w:sz="0" w:space="0" w:color="auto"/>
            <w:right w:val="none" w:sz="0" w:space="0" w:color="auto"/>
          </w:divBdr>
        </w:div>
        <w:div w:id="538324089">
          <w:marLeft w:val="640"/>
          <w:marRight w:val="0"/>
          <w:marTop w:val="0"/>
          <w:marBottom w:val="0"/>
          <w:divBdr>
            <w:top w:val="none" w:sz="0" w:space="0" w:color="auto"/>
            <w:left w:val="none" w:sz="0" w:space="0" w:color="auto"/>
            <w:bottom w:val="none" w:sz="0" w:space="0" w:color="auto"/>
            <w:right w:val="none" w:sz="0" w:space="0" w:color="auto"/>
          </w:divBdr>
        </w:div>
        <w:div w:id="1060593995">
          <w:marLeft w:val="640"/>
          <w:marRight w:val="0"/>
          <w:marTop w:val="0"/>
          <w:marBottom w:val="0"/>
          <w:divBdr>
            <w:top w:val="none" w:sz="0" w:space="0" w:color="auto"/>
            <w:left w:val="none" w:sz="0" w:space="0" w:color="auto"/>
            <w:bottom w:val="none" w:sz="0" w:space="0" w:color="auto"/>
            <w:right w:val="none" w:sz="0" w:space="0" w:color="auto"/>
          </w:divBdr>
        </w:div>
        <w:div w:id="730427530">
          <w:marLeft w:val="640"/>
          <w:marRight w:val="0"/>
          <w:marTop w:val="0"/>
          <w:marBottom w:val="0"/>
          <w:divBdr>
            <w:top w:val="none" w:sz="0" w:space="0" w:color="auto"/>
            <w:left w:val="none" w:sz="0" w:space="0" w:color="auto"/>
            <w:bottom w:val="none" w:sz="0" w:space="0" w:color="auto"/>
            <w:right w:val="none" w:sz="0" w:space="0" w:color="auto"/>
          </w:divBdr>
        </w:div>
        <w:div w:id="155654972">
          <w:marLeft w:val="640"/>
          <w:marRight w:val="0"/>
          <w:marTop w:val="0"/>
          <w:marBottom w:val="0"/>
          <w:divBdr>
            <w:top w:val="none" w:sz="0" w:space="0" w:color="auto"/>
            <w:left w:val="none" w:sz="0" w:space="0" w:color="auto"/>
            <w:bottom w:val="none" w:sz="0" w:space="0" w:color="auto"/>
            <w:right w:val="none" w:sz="0" w:space="0" w:color="auto"/>
          </w:divBdr>
        </w:div>
        <w:div w:id="1877425037">
          <w:marLeft w:val="640"/>
          <w:marRight w:val="0"/>
          <w:marTop w:val="0"/>
          <w:marBottom w:val="0"/>
          <w:divBdr>
            <w:top w:val="none" w:sz="0" w:space="0" w:color="auto"/>
            <w:left w:val="none" w:sz="0" w:space="0" w:color="auto"/>
            <w:bottom w:val="none" w:sz="0" w:space="0" w:color="auto"/>
            <w:right w:val="none" w:sz="0" w:space="0" w:color="auto"/>
          </w:divBdr>
        </w:div>
        <w:div w:id="947852509">
          <w:marLeft w:val="640"/>
          <w:marRight w:val="0"/>
          <w:marTop w:val="0"/>
          <w:marBottom w:val="0"/>
          <w:divBdr>
            <w:top w:val="none" w:sz="0" w:space="0" w:color="auto"/>
            <w:left w:val="none" w:sz="0" w:space="0" w:color="auto"/>
            <w:bottom w:val="none" w:sz="0" w:space="0" w:color="auto"/>
            <w:right w:val="none" w:sz="0" w:space="0" w:color="auto"/>
          </w:divBdr>
        </w:div>
        <w:div w:id="1757483071">
          <w:marLeft w:val="640"/>
          <w:marRight w:val="0"/>
          <w:marTop w:val="0"/>
          <w:marBottom w:val="0"/>
          <w:divBdr>
            <w:top w:val="none" w:sz="0" w:space="0" w:color="auto"/>
            <w:left w:val="none" w:sz="0" w:space="0" w:color="auto"/>
            <w:bottom w:val="none" w:sz="0" w:space="0" w:color="auto"/>
            <w:right w:val="none" w:sz="0" w:space="0" w:color="auto"/>
          </w:divBdr>
        </w:div>
        <w:div w:id="1030226495">
          <w:marLeft w:val="640"/>
          <w:marRight w:val="0"/>
          <w:marTop w:val="0"/>
          <w:marBottom w:val="0"/>
          <w:divBdr>
            <w:top w:val="none" w:sz="0" w:space="0" w:color="auto"/>
            <w:left w:val="none" w:sz="0" w:space="0" w:color="auto"/>
            <w:bottom w:val="none" w:sz="0" w:space="0" w:color="auto"/>
            <w:right w:val="none" w:sz="0" w:space="0" w:color="auto"/>
          </w:divBdr>
        </w:div>
        <w:div w:id="641809011">
          <w:marLeft w:val="640"/>
          <w:marRight w:val="0"/>
          <w:marTop w:val="0"/>
          <w:marBottom w:val="0"/>
          <w:divBdr>
            <w:top w:val="none" w:sz="0" w:space="0" w:color="auto"/>
            <w:left w:val="none" w:sz="0" w:space="0" w:color="auto"/>
            <w:bottom w:val="none" w:sz="0" w:space="0" w:color="auto"/>
            <w:right w:val="none" w:sz="0" w:space="0" w:color="auto"/>
          </w:divBdr>
        </w:div>
        <w:div w:id="1772041576">
          <w:marLeft w:val="640"/>
          <w:marRight w:val="0"/>
          <w:marTop w:val="0"/>
          <w:marBottom w:val="0"/>
          <w:divBdr>
            <w:top w:val="none" w:sz="0" w:space="0" w:color="auto"/>
            <w:left w:val="none" w:sz="0" w:space="0" w:color="auto"/>
            <w:bottom w:val="none" w:sz="0" w:space="0" w:color="auto"/>
            <w:right w:val="none" w:sz="0" w:space="0" w:color="auto"/>
          </w:divBdr>
        </w:div>
        <w:div w:id="1812792765">
          <w:marLeft w:val="640"/>
          <w:marRight w:val="0"/>
          <w:marTop w:val="0"/>
          <w:marBottom w:val="0"/>
          <w:divBdr>
            <w:top w:val="none" w:sz="0" w:space="0" w:color="auto"/>
            <w:left w:val="none" w:sz="0" w:space="0" w:color="auto"/>
            <w:bottom w:val="none" w:sz="0" w:space="0" w:color="auto"/>
            <w:right w:val="none" w:sz="0" w:space="0" w:color="auto"/>
          </w:divBdr>
        </w:div>
        <w:div w:id="577834876">
          <w:marLeft w:val="640"/>
          <w:marRight w:val="0"/>
          <w:marTop w:val="0"/>
          <w:marBottom w:val="0"/>
          <w:divBdr>
            <w:top w:val="none" w:sz="0" w:space="0" w:color="auto"/>
            <w:left w:val="none" w:sz="0" w:space="0" w:color="auto"/>
            <w:bottom w:val="none" w:sz="0" w:space="0" w:color="auto"/>
            <w:right w:val="none" w:sz="0" w:space="0" w:color="auto"/>
          </w:divBdr>
        </w:div>
        <w:div w:id="67072417">
          <w:marLeft w:val="640"/>
          <w:marRight w:val="0"/>
          <w:marTop w:val="0"/>
          <w:marBottom w:val="0"/>
          <w:divBdr>
            <w:top w:val="none" w:sz="0" w:space="0" w:color="auto"/>
            <w:left w:val="none" w:sz="0" w:space="0" w:color="auto"/>
            <w:bottom w:val="none" w:sz="0" w:space="0" w:color="auto"/>
            <w:right w:val="none" w:sz="0" w:space="0" w:color="auto"/>
          </w:divBdr>
        </w:div>
        <w:div w:id="1754470949">
          <w:marLeft w:val="640"/>
          <w:marRight w:val="0"/>
          <w:marTop w:val="0"/>
          <w:marBottom w:val="0"/>
          <w:divBdr>
            <w:top w:val="none" w:sz="0" w:space="0" w:color="auto"/>
            <w:left w:val="none" w:sz="0" w:space="0" w:color="auto"/>
            <w:bottom w:val="none" w:sz="0" w:space="0" w:color="auto"/>
            <w:right w:val="none" w:sz="0" w:space="0" w:color="auto"/>
          </w:divBdr>
        </w:div>
        <w:div w:id="140579448">
          <w:marLeft w:val="640"/>
          <w:marRight w:val="0"/>
          <w:marTop w:val="0"/>
          <w:marBottom w:val="0"/>
          <w:divBdr>
            <w:top w:val="none" w:sz="0" w:space="0" w:color="auto"/>
            <w:left w:val="none" w:sz="0" w:space="0" w:color="auto"/>
            <w:bottom w:val="none" w:sz="0" w:space="0" w:color="auto"/>
            <w:right w:val="none" w:sz="0" w:space="0" w:color="auto"/>
          </w:divBdr>
        </w:div>
        <w:div w:id="26762105">
          <w:marLeft w:val="640"/>
          <w:marRight w:val="0"/>
          <w:marTop w:val="0"/>
          <w:marBottom w:val="0"/>
          <w:divBdr>
            <w:top w:val="none" w:sz="0" w:space="0" w:color="auto"/>
            <w:left w:val="none" w:sz="0" w:space="0" w:color="auto"/>
            <w:bottom w:val="none" w:sz="0" w:space="0" w:color="auto"/>
            <w:right w:val="none" w:sz="0" w:space="0" w:color="auto"/>
          </w:divBdr>
        </w:div>
        <w:div w:id="1375420025">
          <w:marLeft w:val="640"/>
          <w:marRight w:val="0"/>
          <w:marTop w:val="0"/>
          <w:marBottom w:val="0"/>
          <w:divBdr>
            <w:top w:val="none" w:sz="0" w:space="0" w:color="auto"/>
            <w:left w:val="none" w:sz="0" w:space="0" w:color="auto"/>
            <w:bottom w:val="none" w:sz="0" w:space="0" w:color="auto"/>
            <w:right w:val="none" w:sz="0" w:space="0" w:color="auto"/>
          </w:divBdr>
        </w:div>
        <w:div w:id="1188719180">
          <w:marLeft w:val="640"/>
          <w:marRight w:val="0"/>
          <w:marTop w:val="0"/>
          <w:marBottom w:val="0"/>
          <w:divBdr>
            <w:top w:val="none" w:sz="0" w:space="0" w:color="auto"/>
            <w:left w:val="none" w:sz="0" w:space="0" w:color="auto"/>
            <w:bottom w:val="none" w:sz="0" w:space="0" w:color="auto"/>
            <w:right w:val="none" w:sz="0" w:space="0" w:color="auto"/>
          </w:divBdr>
        </w:div>
        <w:div w:id="366101803">
          <w:marLeft w:val="640"/>
          <w:marRight w:val="0"/>
          <w:marTop w:val="0"/>
          <w:marBottom w:val="0"/>
          <w:divBdr>
            <w:top w:val="none" w:sz="0" w:space="0" w:color="auto"/>
            <w:left w:val="none" w:sz="0" w:space="0" w:color="auto"/>
            <w:bottom w:val="none" w:sz="0" w:space="0" w:color="auto"/>
            <w:right w:val="none" w:sz="0" w:space="0" w:color="auto"/>
          </w:divBdr>
        </w:div>
        <w:div w:id="265580726">
          <w:marLeft w:val="640"/>
          <w:marRight w:val="0"/>
          <w:marTop w:val="0"/>
          <w:marBottom w:val="0"/>
          <w:divBdr>
            <w:top w:val="none" w:sz="0" w:space="0" w:color="auto"/>
            <w:left w:val="none" w:sz="0" w:space="0" w:color="auto"/>
            <w:bottom w:val="none" w:sz="0" w:space="0" w:color="auto"/>
            <w:right w:val="none" w:sz="0" w:space="0" w:color="auto"/>
          </w:divBdr>
        </w:div>
        <w:div w:id="581766381">
          <w:marLeft w:val="640"/>
          <w:marRight w:val="0"/>
          <w:marTop w:val="0"/>
          <w:marBottom w:val="0"/>
          <w:divBdr>
            <w:top w:val="none" w:sz="0" w:space="0" w:color="auto"/>
            <w:left w:val="none" w:sz="0" w:space="0" w:color="auto"/>
            <w:bottom w:val="none" w:sz="0" w:space="0" w:color="auto"/>
            <w:right w:val="none" w:sz="0" w:space="0" w:color="auto"/>
          </w:divBdr>
        </w:div>
        <w:div w:id="1915628064">
          <w:marLeft w:val="640"/>
          <w:marRight w:val="0"/>
          <w:marTop w:val="0"/>
          <w:marBottom w:val="0"/>
          <w:divBdr>
            <w:top w:val="none" w:sz="0" w:space="0" w:color="auto"/>
            <w:left w:val="none" w:sz="0" w:space="0" w:color="auto"/>
            <w:bottom w:val="none" w:sz="0" w:space="0" w:color="auto"/>
            <w:right w:val="none" w:sz="0" w:space="0" w:color="auto"/>
          </w:divBdr>
        </w:div>
        <w:div w:id="506947985">
          <w:marLeft w:val="640"/>
          <w:marRight w:val="0"/>
          <w:marTop w:val="0"/>
          <w:marBottom w:val="0"/>
          <w:divBdr>
            <w:top w:val="none" w:sz="0" w:space="0" w:color="auto"/>
            <w:left w:val="none" w:sz="0" w:space="0" w:color="auto"/>
            <w:bottom w:val="none" w:sz="0" w:space="0" w:color="auto"/>
            <w:right w:val="none" w:sz="0" w:space="0" w:color="auto"/>
          </w:divBdr>
        </w:div>
        <w:div w:id="339236282">
          <w:marLeft w:val="640"/>
          <w:marRight w:val="0"/>
          <w:marTop w:val="0"/>
          <w:marBottom w:val="0"/>
          <w:divBdr>
            <w:top w:val="none" w:sz="0" w:space="0" w:color="auto"/>
            <w:left w:val="none" w:sz="0" w:space="0" w:color="auto"/>
            <w:bottom w:val="none" w:sz="0" w:space="0" w:color="auto"/>
            <w:right w:val="none" w:sz="0" w:space="0" w:color="auto"/>
          </w:divBdr>
        </w:div>
        <w:div w:id="1821992528">
          <w:marLeft w:val="640"/>
          <w:marRight w:val="0"/>
          <w:marTop w:val="0"/>
          <w:marBottom w:val="0"/>
          <w:divBdr>
            <w:top w:val="none" w:sz="0" w:space="0" w:color="auto"/>
            <w:left w:val="none" w:sz="0" w:space="0" w:color="auto"/>
            <w:bottom w:val="none" w:sz="0" w:space="0" w:color="auto"/>
            <w:right w:val="none" w:sz="0" w:space="0" w:color="auto"/>
          </w:divBdr>
        </w:div>
        <w:div w:id="750080027">
          <w:marLeft w:val="640"/>
          <w:marRight w:val="0"/>
          <w:marTop w:val="0"/>
          <w:marBottom w:val="0"/>
          <w:divBdr>
            <w:top w:val="none" w:sz="0" w:space="0" w:color="auto"/>
            <w:left w:val="none" w:sz="0" w:space="0" w:color="auto"/>
            <w:bottom w:val="none" w:sz="0" w:space="0" w:color="auto"/>
            <w:right w:val="none" w:sz="0" w:space="0" w:color="auto"/>
          </w:divBdr>
        </w:div>
        <w:div w:id="916789357">
          <w:marLeft w:val="640"/>
          <w:marRight w:val="0"/>
          <w:marTop w:val="0"/>
          <w:marBottom w:val="0"/>
          <w:divBdr>
            <w:top w:val="none" w:sz="0" w:space="0" w:color="auto"/>
            <w:left w:val="none" w:sz="0" w:space="0" w:color="auto"/>
            <w:bottom w:val="none" w:sz="0" w:space="0" w:color="auto"/>
            <w:right w:val="none" w:sz="0" w:space="0" w:color="auto"/>
          </w:divBdr>
        </w:div>
        <w:div w:id="430006738">
          <w:marLeft w:val="640"/>
          <w:marRight w:val="0"/>
          <w:marTop w:val="0"/>
          <w:marBottom w:val="0"/>
          <w:divBdr>
            <w:top w:val="none" w:sz="0" w:space="0" w:color="auto"/>
            <w:left w:val="none" w:sz="0" w:space="0" w:color="auto"/>
            <w:bottom w:val="none" w:sz="0" w:space="0" w:color="auto"/>
            <w:right w:val="none" w:sz="0" w:space="0" w:color="auto"/>
          </w:divBdr>
        </w:div>
        <w:div w:id="1210997169">
          <w:marLeft w:val="640"/>
          <w:marRight w:val="0"/>
          <w:marTop w:val="0"/>
          <w:marBottom w:val="0"/>
          <w:divBdr>
            <w:top w:val="none" w:sz="0" w:space="0" w:color="auto"/>
            <w:left w:val="none" w:sz="0" w:space="0" w:color="auto"/>
            <w:bottom w:val="none" w:sz="0" w:space="0" w:color="auto"/>
            <w:right w:val="none" w:sz="0" w:space="0" w:color="auto"/>
          </w:divBdr>
        </w:div>
        <w:div w:id="2127578025">
          <w:marLeft w:val="640"/>
          <w:marRight w:val="0"/>
          <w:marTop w:val="0"/>
          <w:marBottom w:val="0"/>
          <w:divBdr>
            <w:top w:val="none" w:sz="0" w:space="0" w:color="auto"/>
            <w:left w:val="none" w:sz="0" w:space="0" w:color="auto"/>
            <w:bottom w:val="none" w:sz="0" w:space="0" w:color="auto"/>
            <w:right w:val="none" w:sz="0" w:space="0" w:color="auto"/>
          </w:divBdr>
        </w:div>
        <w:div w:id="927232737">
          <w:marLeft w:val="640"/>
          <w:marRight w:val="0"/>
          <w:marTop w:val="0"/>
          <w:marBottom w:val="0"/>
          <w:divBdr>
            <w:top w:val="none" w:sz="0" w:space="0" w:color="auto"/>
            <w:left w:val="none" w:sz="0" w:space="0" w:color="auto"/>
            <w:bottom w:val="none" w:sz="0" w:space="0" w:color="auto"/>
            <w:right w:val="none" w:sz="0" w:space="0" w:color="auto"/>
          </w:divBdr>
        </w:div>
        <w:div w:id="1335570577">
          <w:marLeft w:val="640"/>
          <w:marRight w:val="0"/>
          <w:marTop w:val="0"/>
          <w:marBottom w:val="0"/>
          <w:divBdr>
            <w:top w:val="none" w:sz="0" w:space="0" w:color="auto"/>
            <w:left w:val="none" w:sz="0" w:space="0" w:color="auto"/>
            <w:bottom w:val="none" w:sz="0" w:space="0" w:color="auto"/>
            <w:right w:val="none" w:sz="0" w:space="0" w:color="auto"/>
          </w:divBdr>
        </w:div>
        <w:div w:id="1127816106">
          <w:marLeft w:val="640"/>
          <w:marRight w:val="0"/>
          <w:marTop w:val="0"/>
          <w:marBottom w:val="0"/>
          <w:divBdr>
            <w:top w:val="none" w:sz="0" w:space="0" w:color="auto"/>
            <w:left w:val="none" w:sz="0" w:space="0" w:color="auto"/>
            <w:bottom w:val="none" w:sz="0" w:space="0" w:color="auto"/>
            <w:right w:val="none" w:sz="0" w:space="0" w:color="auto"/>
          </w:divBdr>
        </w:div>
        <w:div w:id="1648971779">
          <w:marLeft w:val="640"/>
          <w:marRight w:val="0"/>
          <w:marTop w:val="0"/>
          <w:marBottom w:val="0"/>
          <w:divBdr>
            <w:top w:val="none" w:sz="0" w:space="0" w:color="auto"/>
            <w:left w:val="none" w:sz="0" w:space="0" w:color="auto"/>
            <w:bottom w:val="none" w:sz="0" w:space="0" w:color="auto"/>
            <w:right w:val="none" w:sz="0" w:space="0" w:color="auto"/>
          </w:divBdr>
        </w:div>
        <w:div w:id="484130371">
          <w:marLeft w:val="640"/>
          <w:marRight w:val="0"/>
          <w:marTop w:val="0"/>
          <w:marBottom w:val="0"/>
          <w:divBdr>
            <w:top w:val="none" w:sz="0" w:space="0" w:color="auto"/>
            <w:left w:val="none" w:sz="0" w:space="0" w:color="auto"/>
            <w:bottom w:val="none" w:sz="0" w:space="0" w:color="auto"/>
            <w:right w:val="none" w:sz="0" w:space="0" w:color="auto"/>
          </w:divBdr>
        </w:div>
        <w:div w:id="500387916">
          <w:marLeft w:val="640"/>
          <w:marRight w:val="0"/>
          <w:marTop w:val="0"/>
          <w:marBottom w:val="0"/>
          <w:divBdr>
            <w:top w:val="none" w:sz="0" w:space="0" w:color="auto"/>
            <w:left w:val="none" w:sz="0" w:space="0" w:color="auto"/>
            <w:bottom w:val="none" w:sz="0" w:space="0" w:color="auto"/>
            <w:right w:val="none" w:sz="0" w:space="0" w:color="auto"/>
          </w:divBdr>
        </w:div>
        <w:div w:id="251090623">
          <w:marLeft w:val="640"/>
          <w:marRight w:val="0"/>
          <w:marTop w:val="0"/>
          <w:marBottom w:val="0"/>
          <w:divBdr>
            <w:top w:val="none" w:sz="0" w:space="0" w:color="auto"/>
            <w:left w:val="none" w:sz="0" w:space="0" w:color="auto"/>
            <w:bottom w:val="none" w:sz="0" w:space="0" w:color="auto"/>
            <w:right w:val="none" w:sz="0" w:space="0" w:color="auto"/>
          </w:divBdr>
        </w:div>
        <w:div w:id="1912471601">
          <w:marLeft w:val="640"/>
          <w:marRight w:val="0"/>
          <w:marTop w:val="0"/>
          <w:marBottom w:val="0"/>
          <w:divBdr>
            <w:top w:val="none" w:sz="0" w:space="0" w:color="auto"/>
            <w:left w:val="none" w:sz="0" w:space="0" w:color="auto"/>
            <w:bottom w:val="none" w:sz="0" w:space="0" w:color="auto"/>
            <w:right w:val="none" w:sz="0" w:space="0" w:color="auto"/>
          </w:divBdr>
        </w:div>
        <w:div w:id="1538660392">
          <w:marLeft w:val="640"/>
          <w:marRight w:val="0"/>
          <w:marTop w:val="0"/>
          <w:marBottom w:val="0"/>
          <w:divBdr>
            <w:top w:val="none" w:sz="0" w:space="0" w:color="auto"/>
            <w:left w:val="none" w:sz="0" w:space="0" w:color="auto"/>
            <w:bottom w:val="none" w:sz="0" w:space="0" w:color="auto"/>
            <w:right w:val="none" w:sz="0" w:space="0" w:color="auto"/>
          </w:divBdr>
        </w:div>
        <w:div w:id="956837498">
          <w:marLeft w:val="640"/>
          <w:marRight w:val="0"/>
          <w:marTop w:val="0"/>
          <w:marBottom w:val="0"/>
          <w:divBdr>
            <w:top w:val="none" w:sz="0" w:space="0" w:color="auto"/>
            <w:left w:val="none" w:sz="0" w:space="0" w:color="auto"/>
            <w:bottom w:val="none" w:sz="0" w:space="0" w:color="auto"/>
            <w:right w:val="none" w:sz="0" w:space="0" w:color="auto"/>
          </w:divBdr>
        </w:div>
        <w:div w:id="448471272">
          <w:marLeft w:val="640"/>
          <w:marRight w:val="0"/>
          <w:marTop w:val="0"/>
          <w:marBottom w:val="0"/>
          <w:divBdr>
            <w:top w:val="none" w:sz="0" w:space="0" w:color="auto"/>
            <w:left w:val="none" w:sz="0" w:space="0" w:color="auto"/>
            <w:bottom w:val="none" w:sz="0" w:space="0" w:color="auto"/>
            <w:right w:val="none" w:sz="0" w:space="0" w:color="auto"/>
          </w:divBdr>
        </w:div>
        <w:div w:id="1872456553">
          <w:marLeft w:val="640"/>
          <w:marRight w:val="0"/>
          <w:marTop w:val="0"/>
          <w:marBottom w:val="0"/>
          <w:divBdr>
            <w:top w:val="none" w:sz="0" w:space="0" w:color="auto"/>
            <w:left w:val="none" w:sz="0" w:space="0" w:color="auto"/>
            <w:bottom w:val="none" w:sz="0" w:space="0" w:color="auto"/>
            <w:right w:val="none" w:sz="0" w:space="0" w:color="auto"/>
          </w:divBdr>
        </w:div>
        <w:div w:id="1200969425">
          <w:marLeft w:val="640"/>
          <w:marRight w:val="0"/>
          <w:marTop w:val="0"/>
          <w:marBottom w:val="0"/>
          <w:divBdr>
            <w:top w:val="none" w:sz="0" w:space="0" w:color="auto"/>
            <w:left w:val="none" w:sz="0" w:space="0" w:color="auto"/>
            <w:bottom w:val="none" w:sz="0" w:space="0" w:color="auto"/>
            <w:right w:val="none" w:sz="0" w:space="0" w:color="auto"/>
          </w:divBdr>
        </w:div>
        <w:div w:id="991056963">
          <w:marLeft w:val="640"/>
          <w:marRight w:val="0"/>
          <w:marTop w:val="0"/>
          <w:marBottom w:val="0"/>
          <w:divBdr>
            <w:top w:val="none" w:sz="0" w:space="0" w:color="auto"/>
            <w:left w:val="none" w:sz="0" w:space="0" w:color="auto"/>
            <w:bottom w:val="none" w:sz="0" w:space="0" w:color="auto"/>
            <w:right w:val="none" w:sz="0" w:space="0" w:color="auto"/>
          </w:divBdr>
        </w:div>
        <w:div w:id="740831410">
          <w:marLeft w:val="640"/>
          <w:marRight w:val="0"/>
          <w:marTop w:val="0"/>
          <w:marBottom w:val="0"/>
          <w:divBdr>
            <w:top w:val="none" w:sz="0" w:space="0" w:color="auto"/>
            <w:left w:val="none" w:sz="0" w:space="0" w:color="auto"/>
            <w:bottom w:val="none" w:sz="0" w:space="0" w:color="auto"/>
            <w:right w:val="none" w:sz="0" w:space="0" w:color="auto"/>
          </w:divBdr>
        </w:div>
        <w:div w:id="782454052">
          <w:marLeft w:val="640"/>
          <w:marRight w:val="0"/>
          <w:marTop w:val="0"/>
          <w:marBottom w:val="0"/>
          <w:divBdr>
            <w:top w:val="none" w:sz="0" w:space="0" w:color="auto"/>
            <w:left w:val="none" w:sz="0" w:space="0" w:color="auto"/>
            <w:bottom w:val="none" w:sz="0" w:space="0" w:color="auto"/>
            <w:right w:val="none" w:sz="0" w:space="0" w:color="auto"/>
          </w:divBdr>
        </w:div>
        <w:div w:id="66003212">
          <w:marLeft w:val="640"/>
          <w:marRight w:val="0"/>
          <w:marTop w:val="0"/>
          <w:marBottom w:val="0"/>
          <w:divBdr>
            <w:top w:val="none" w:sz="0" w:space="0" w:color="auto"/>
            <w:left w:val="none" w:sz="0" w:space="0" w:color="auto"/>
            <w:bottom w:val="none" w:sz="0" w:space="0" w:color="auto"/>
            <w:right w:val="none" w:sz="0" w:space="0" w:color="auto"/>
          </w:divBdr>
        </w:div>
        <w:div w:id="1702197777">
          <w:marLeft w:val="640"/>
          <w:marRight w:val="0"/>
          <w:marTop w:val="0"/>
          <w:marBottom w:val="0"/>
          <w:divBdr>
            <w:top w:val="none" w:sz="0" w:space="0" w:color="auto"/>
            <w:left w:val="none" w:sz="0" w:space="0" w:color="auto"/>
            <w:bottom w:val="none" w:sz="0" w:space="0" w:color="auto"/>
            <w:right w:val="none" w:sz="0" w:space="0" w:color="auto"/>
          </w:divBdr>
        </w:div>
        <w:div w:id="2023124266">
          <w:marLeft w:val="640"/>
          <w:marRight w:val="0"/>
          <w:marTop w:val="0"/>
          <w:marBottom w:val="0"/>
          <w:divBdr>
            <w:top w:val="none" w:sz="0" w:space="0" w:color="auto"/>
            <w:left w:val="none" w:sz="0" w:space="0" w:color="auto"/>
            <w:bottom w:val="none" w:sz="0" w:space="0" w:color="auto"/>
            <w:right w:val="none" w:sz="0" w:space="0" w:color="auto"/>
          </w:divBdr>
        </w:div>
        <w:div w:id="109860648">
          <w:marLeft w:val="640"/>
          <w:marRight w:val="0"/>
          <w:marTop w:val="0"/>
          <w:marBottom w:val="0"/>
          <w:divBdr>
            <w:top w:val="none" w:sz="0" w:space="0" w:color="auto"/>
            <w:left w:val="none" w:sz="0" w:space="0" w:color="auto"/>
            <w:bottom w:val="none" w:sz="0" w:space="0" w:color="auto"/>
            <w:right w:val="none" w:sz="0" w:space="0" w:color="auto"/>
          </w:divBdr>
        </w:div>
        <w:div w:id="1189684715">
          <w:marLeft w:val="640"/>
          <w:marRight w:val="0"/>
          <w:marTop w:val="0"/>
          <w:marBottom w:val="0"/>
          <w:divBdr>
            <w:top w:val="none" w:sz="0" w:space="0" w:color="auto"/>
            <w:left w:val="none" w:sz="0" w:space="0" w:color="auto"/>
            <w:bottom w:val="none" w:sz="0" w:space="0" w:color="auto"/>
            <w:right w:val="none" w:sz="0" w:space="0" w:color="auto"/>
          </w:divBdr>
        </w:div>
        <w:div w:id="1200751287">
          <w:marLeft w:val="640"/>
          <w:marRight w:val="0"/>
          <w:marTop w:val="0"/>
          <w:marBottom w:val="0"/>
          <w:divBdr>
            <w:top w:val="none" w:sz="0" w:space="0" w:color="auto"/>
            <w:left w:val="none" w:sz="0" w:space="0" w:color="auto"/>
            <w:bottom w:val="none" w:sz="0" w:space="0" w:color="auto"/>
            <w:right w:val="none" w:sz="0" w:space="0" w:color="auto"/>
          </w:divBdr>
        </w:div>
        <w:div w:id="969558511">
          <w:marLeft w:val="640"/>
          <w:marRight w:val="0"/>
          <w:marTop w:val="0"/>
          <w:marBottom w:val="0"/>
          <w:divBdr>
            <w:top w:val="none" w:sz="0" w:space="0" w:color="auto"/>
            <w:left w:val="none" w:sz="0" w:space="0" w:color="auto"/>
            <w:bottom w:val="none" w:sz="0" w:space="0" w:color="auto"/>
            <w:right w:val="none" w:sz="0" w:space="0" w:color="auto"/>
          </w:divBdr>
        </w:div>
        <w:div w:id="1764033048">
          <w:marLeft w:val="640"/>
          <w:marRight w:val="0"/>
          <w:marTop w:val="0"/>
          <w:marBottom w:val="0"/>
          <w:divBdr>
            <w:top w:val="none" w:sz="0" w:space="0" w:color="auto"/>
            <w:left w:val="none" w:sz="0" w:space="0" w:color="auto"/>
            <w:bottom w:val="none" w:sz="0" w:space="0" w:color="auto"/>
            <w:right w:val="none" w:sz="0" w:space="0" w:color="auto"/>
          </w:divBdr>
        </w:div>
        <w:div w:id="1777869215">
          <w:marLeft w:val="640"/>
          <w:marRight w:val="0"/>
          <w:marTop w:val="0"/>
          <w:marBottom w:val="0"/>
          <w:divBdr>
            <w:top w:val="none" w:sz="0" w:space="0" w:color="auto"/>
            <w:left w:val="none" w:sz="0" w:space="0" w:color="auto"/>
            <w:bottom w:val="none" w:sz="0" w:space="0" w:color="auto"/>
            <w:right w:val="none" w:sz="0" w:space="0" w:color="auto"/>
          </w:divBdr>
        </w:div>
        <w:div w:id="1976325675">
          <w:marLeft w:val="640"/>
          <w:marRight w:val="0"/>
          <w:marTop w:val="0"/>
          <w:marBottom w:val="0"/>
          <w:divBdr>
            <w:top w:val="none" w:sz="0" w:space="0" w:color="auto"/>
            <w:left w:val="none" w:sz="0" w:space="0" w:color="auto"/>
            <w:bottom w:val="none" w:sz="0" w:space="0" w:color="auto"/>
            <w:right w:val="none" w:sz="0" w:space="0" w:color="auto"/>
          </w:divBdr>
        </w:div>
        <w:div w:id="1441871083">
          <w:marLeft w:val="640"/>
          <w:marRight w:val="0"/>
          <w:marTop w:val="0"/>
          <w:marBottom w:val="0"/>
          <w:divBdr>
            <w:top w:val="none" w:sz="0" w:space="0" w:color="auto"/>
            <w:left w:val="none" w:sz="0" w:space="0" w:color="auto"/>
            <w:bottom w:val="none" w:sz="0" w:space="0" w:color="auto"/>
            <w:right w:val="none" w:sz="0" w:space="0" w:color="auto"/>
          </w:divBdr>
        </w:div>
        <w:div w:id="679698581">
          <w:marLeft w:val="640"/>
          <w:marRight w:val="0"/>
          <w:marTop w:val="0"/>
          <w:marBottom w:val="0"/>
          <w:divBdr>
            <w:top w:val="none" w:sz="0" w:space="0" w:color="auto"/>
            <w:left w:val="none" w:sz="0" w:space="0" w:color="auto"/>
            <w:bottom w:val="none" w:sz="0" w:space="0" w:color="auto"/>
            <w:right w:val="none" w:sz="0" w:space="0" w:color="auto"/>
          </w:divBdr>
        </w:div>
        <w:div w:id="1408846640">
          <w:marLeft w:val="640"/>
          <w:marRight w:val="0"/>
          <w:marTop w:val="0"/>
          <w:marBottom w:val="0"/>
          <w:divBdr>
            <w:top w:val="none" w:sz="0" w:space="0" w:color="auto"/>
            <w:left w:val="none" w:sz="0" w:space="0" w:color="auto"/>
            <w:bottom w:val="none" w:sz="0" w:space="0" w:color="auto"/>
            <w:right w:val="none" w:sz="0" w:space="0" w:color="auto"/>
          </w:divBdr>
        </w:div>
        <w:div w:id="525170569">
          <w:marLeft w:val="640"/>
          <w:marRight w:val="0"/>
          <w:marTop w:val="0"/>
          <w:marBottom w:val="0"/>
          <w:divBdr>
            <w:top w:val="none" w:sz="0" w:space="0" w:color="auto"/>
            <w:left w:val="none" w:sz="0" w:space="0" w:color="auto"/>
            <w:bottom w:val="none" w:sz="0" w:space="0" w:color="auto"/>
            <w:right w:val="none" w:sz="0" w:space="0" w:color="auto"/>
          </w:divBdr>
        </w:div>
        <w:div w:id="2003074784">
          <w:marLeft w:val="640"/>
          <w:marRight w:val="0"/>
          <w:marTop w:val="0"/>
          <w:marBottom w:val="0"/>
          <w:divBdr>
            <w:top w:val="none" w:sz="0" w:space="0" w:color="auto"/>
            <w:left w:val="none" w:sz="0" w:space="0" w:color="auto"/>
            <w:bottom w:val="none" w:sz="0" w:space="0" w:color="auto"/>
            <w:right w:val="none" w:sz="0" w:space="0" w:color="auto"/>
          </w:divBdr>
        </w:div>
        <w:div w:id="1917083219">
          <w:marLeft w:val="640"/>
          <w:marRight w:val="0"/>
          <w:marTop w:val="0"/>
          <w:marBottom w:val="0"/>
          <w:divBdr>
            <w:top w:val="none" w:sz="0" w:space="0" w:color="auto"/>
            <w:left w:val="none" w:sz="0" w:space="0" w:color="auto"/>
            <w:bottom w:val="none" w:sz="0" w:space="0" w:color="auto"/>
            <w:right w:val="none" w:sz="0" w:space="0" w:color="auto"/>
          </w:divBdr>
        </w:div>
        <w:div w:id="1020860433">
          <w:marLeft w:val="640"/>
          <w:marRight w:val="0"/>
          <w:marTop w:val="0"/>
          <w:marBottom w:val="0"/>
          <w:divBdr>
            <w:top w:val="none" w:sz="0" w:space="0" w:color="auto"/>
            <w:left w:val="none" w:sz="0" w:space="0" w:color="auto"/>
            <w:bottom w:val="none" w:sz="0" w:space="0" w:color="auto"/>
            <w:right w:val="none" w:sz="0" w:space="0" w:color="auto"/>
          </w:divBdr>
        </w:div>
        <w:div w:id="1715345306">
          <w:marLeft w:val="640"/>
          <w:marRight w:val="0"/>
          <w:marTop w:val="0"/>
          <w:marBottom w:val="0"/>
          <w:divBdr>
            <w:top w:val="none" w:sz="0" w:space="0" w:color="auto"/>
            <w:left w:val="none" w:sz="0" w:space="0" w:color="auto"/>
            <w:bottom w:val="none" w:sz="0" w:space="0" w:color="auto"/>
            <w:right w:val="none" w:sz="0" w:space="0" w:color="auto"/>
          </w:divBdr>
        </w:div>
        <w:div w:id="2060548875">
          <w:marLeft w:val="640"/>
          <w:marRight w:val="0"/>
          <w:marTop w:val="0"/>
          <w:marBottom w:val="0"/>
          <w:divBdr>
            <w:top w:val="none" w:sz="0" w:space="0" w:color="auto"/>
            <w:left w:val="none" w:sz="0" w:space="0" w:color="auto"/>
            <w:bottom w:val="none" w:sz="0" w:space="0" w:color="auto"/>
            <w:right w:val="none" w:sz="0" w:space="0" w:color="auto"/>
          </w:divBdr>
        </w:div>
        <w:div w:id="2123182210">
          <w:marLeft w:val="640"/>
          <w:marRight w:val="0"/>
          <w:marTop w:val="0"/>
          <w:marBottom w:val="0"/>
          <w:divBdr>
            <w:top w:val="none" w:sz="0" w:space="0" w:color="auto"/>
            <w:left w:val="none" w:sz="0" w:space="0" w:color="auto"/>
            <w:bottom w:val="none" w:sz="0" w:space="0" w:color="auto"/>
            <w:right w:val="none" w:sz="0" w:space="0" w:color="auto"/>
          </w:divBdr>
        </w:div>
        <w:div w:id="48962341">
          <w:marLeft w:val="640"/>
          <w:marRight w:val="0"/>
          <w:marTop w:val="0"/>
          <w:marBottom w:val="0"/>
          <w:divBdr>
            <w:top w:val="none" w:sz="0" w:space="0" w:color="auto"/>
            <w:left w:val="none" w:sz="0" w:space="0" w:color="auto"/>
            <w:bottom w:val="none" w:sz="0" w:space="0" w:color="auto"/>
            <w:right w:val="none" w:sz="0" w:space="0" w:color="auto"/>
          </w:divBdr>
        </w:div>
        <w:div w:id="1524858356">
          <w:marLeft w:val="640"/>
          <w:marRight w:val="0"/>
          <w:marTop w:val="0"/>
          <w:marBottom w:val="0"/>
          <w:divBdr>
            <w:top w:val="none" w:sz="0" w:space="0" w:color="auto"/>
            <w:left w:val="none" w:sz="0" w:space="0" w:color="auto"/>
            <w:bottom w:val="none" w:sz="0" w:space="0" w:color="auto"/>
            <w:right w:val="none" w:sz="0" w:space="0" w:color="auto"/>
          </w:divBdr>
        </w:div>
        <w:div w:id="480729716">
          <w:marLeft w:val="640"/>
          <w:marRight w:val="0"/>
          <w:marTop w:val="0"/>
          <w:marBottom w:val="0"/>
          <w:divBdr>
            <w:top w:val="none" w:sz="0" w:space="0" w:color="auto"/>
            <w:left w:val="none" w:sz="0" w:space="0" w:color="auto"/>
            <w:bottom w:val="none" w:sz="0" w:space="0" w:color="auto"/>
            <w:right w:val="none" w:sz="0" w:space="0" w:color="auto"/>
          </w:divBdr>
        </w:div>
        <w:div w:id="847720145">
          <w:marLeft w:val="640"/>
          <w:marRight w:val="0"/>
          <w:marTop w:val="0"/>
          <w:marBottom w:val="0"/>
          <w:divBdr>
            <w:top w:val="none" w:sz="0" w:space="0" w:color="auto"/>
            <w:left w:val="none" w:sz="0" w:space="0" w:color="auto"/>
            <w:bottom w:val="none" w:sz="0" w:space="0" w:color="auto"/>
            <w:right w:val="none" w:sz="0" w:space="0" w:color="auto"/>
          </w:divBdr>
        </w:div>
        <w:div w:id="352387958">
          <w:marLeft w:val="640"/>
          <w:marRight w:val="0"/>
          <w:marTop w:val="0"/>
          <w:marBottom w:val="0"/>
          <w:divBdr>
            <w:top w:val="none" w:sz="0" w:space="0" w:color="auto"/>
            <w:left w:val="none" w:sz="0" w:space="0" w:color="auto"/>
            <w:bottom w:val="none" w:sz="0" w:space="0" w:color="auto"/>
            <w:right w:val="none" w:sz="0" w:space="0" w:color="auto"/>
          </w:divBdr>
        </w:div>
        <w:div w:id="1552838842">
          <w:marLeft w:val="640"/>
          <w:marRight w:val="0"/>
          <w:marTop w:val="0"/>
          <w:marBottom w:val="0"/>
          <w:divBdr>
            <w:top w:val="none" w:sz="0" w:space="0" w:color="auto"/>
            <w:left w:val="none" w:sz="0" w:space="0" w:color="auto"/>
            <w:bottom w:val="none" w:sz="0" w:space="0" w:color="auto"/>
            <w:right w:val="none" w:sz="0" w:space="0" w:color="auto"/>
          </w:divBdr>
        </w:div>
        <w:div w:id="1127436277">
          <w:marLeft w:val="640"/>
          <w:marRight w:val="0"/>
          <w:marTop w:val="0"/>
          <w:marBottom w:val="0"/>
          <w:divBdr>
            <w:top w:val="none" w:sz="0" w:space="0" w:color="auto"/>
            <w:left w:val="none" w:sz="0" w:space="0" w:color="auto"/>
            <w:bottom w:val="none" w:sz="0" w:space="0" w:color="auto"/>
            <w:right w:val="none" w:sz="0" w:space="0" w:color="auto"/>
          </w:divBdr>
        </w:div>
        <w:div w:id="370417679">
          <w:marLeft w:val="640"/>
          <w:marRight w:val="0"/>
          <w:marTop w:val="0"/>
          <w:marBottom w:val="0"/>
          <w:divBdr>
            <w:top w:val="none" w:sz="0" w:space="0" w:color="auto"/>
            <w:left w:val="none" w:sz="0" w:space="0" w:color="auto"/>
            <w:bottom w:val="none" w:sz="0" w:space="0" w:color="auto"/>
            <w:right w:val="none" w:sz="0" w:space="0" w:color="auto"/>
          </w:divBdr>
        </w:div>
        <w:div w:id="1734625131">
          <w:marLeft w:val="640"/>
          <w:marRight w:val="0"/>
          <w:marTop w:val="0"/>
          <w:marBottom w:val="0"/>
          <w:divBdr>
            <w:top w:val="none" w:sz="0" w:space="0" w:color="auto"/>
            <w:left w:val="none" w:sz="0" w:space="0" w:color="auto"/>
            <w:bottom w:val="none" w:sz="0" w:space="0" w:color="auto"/>
            <w:right w:val="none" w:sz="0" w:space="0" w:color="auto"/>
          </w:divBdr>
        </w:div>
        <w:div w:id="1829248725">
          <w:marLeft w:val="640"/>
          <w:marRight w:val="0"/>
          <w:marTop w:val="0"/>
          <w:marBottom w:val="0"/>
          <w:divBdr>
            <w:top w:val="none" w:sz="0" w:space="0" w:color="auto"/>
            <w:left w:val="none" w:sz="0" w:space="0" w:color="auto"/>
            <w:bottom w:val="none" w:sz="0" w:space="0" w:color="auto"/>
            <w:right w:val="none" w:sz="0" w:space="0" w:color="auto"/>
          </w:divBdr>
        </w:div>
        <w:div w:id="1887139060">
          <w:marLeft w:val="640"/>
          <w:marRight w:val="0"/>
          <w:marTop w:val="0"/>
          <w:marBottom w:val="0"/>
          <w:divBdr>
            <w:top w:val="none" w:sz="0" w:space="0" w:color="auto"/>
            <w:left w:val="none" w:sz="0" w:space="0" w:color="auto"/>
            <w:bottom w:val="none" w:sz="0" w:space="0" w:color="auto"/>
            <w:right w:val="none" w:sz="0" w:space="0" w:color="auto"/>
          </w:divBdr>
        </w:div>
        <w:div w:id="1556694306">
          <w:marLeft w:val="640"/>
          <w:marRight w:val="0"/>
          <w:marTop w:val="0"/>
          <w:marBottom w:val="0"/>
          <w:divBdr>
            <w:top w:val="none" w:sz="0" w:space="0" w:color="auto"/>
            <w:left w:val="none" w:sz="0" w:space="0" w:color="auto"/>
            <w:bottom w:val="none" w:sz="0" w:space="0" w:color="auto"/>
            <w:right w:val="none" w:sz="0" w:space="0" w:color="auto"/>
          </w:divBdr>
        </w:div>
        <w:div w:id="941256103">
          <w:marLeft w:val="640"/>
          <w:marRight w:val="0"/>
          <w:marTop w:val="0"/>
          <w:marBottom w:val="0"/>
          <w:divBdr>
            <w:top w:val="none" w:sz="0" w:space="0" w:color="auto"/>
            <w:left w:val="none" w:sz="0" w:space="0" w:color="auto"/>
            <w:bottom w:val="none" w:sz="0" w:space="0" w:color="auto"/>
            <w:right w:val="none" w:sz="0" w:space="0" w:color="auto"/>
          </w:divBdr>
        </w:div>
        <w:div w:id="949896584">
          <w:marLeft w:val="640"/>
          <w:marRight w:val="0"/>
          <w:marTop w:val="0"/>
          <w:marBottom w:val="0"/>
          <w:divBdr>
            <w:top w:val="none" w:sz="0" w:space="0" w:color="auto"/>
            <w:left w:val="none" w:sz="0" w:space="0" w:color="auto"/>
            <w:bottom w:val="none" w:sz="0" w:space="0" w:color="auto"/>
            <w:right w:val="none" w:sz="0" w:space="0" w:color="auto"/>
          </w:divBdr>
        </w:div>
        <w:div w:id="486365408">
          <w:marLeft w:val="640"/>
          <w:marRight w:val="0"/>
          <w:marTop w:val="0"/>
          <w:marBottom w:val="0"/>
          <w:divBdr>
            <w:top w:val="none" w:sz="0" w:space="0" w:color="auto"/>
            <w:left w:val="none" w:sz="0" w:space="0" w:color="auto"/>
            <w:bottom w:val="none" w:sz="0" w:space="0" w:color="auto"/>
            <w:right w:val="none" w:sz="0" w:space="0" w:color="auto"/>
          </w:divBdr>
        </w:div>
        <w:div w:id="536964741">
          <w:marLeft w:val="640"/>
          <w:marRight w:val="0"/>
          <w:marTop w:val="0"/>
          <w:marBottom w:val="0"/>
          <w:divBdr>
            <w:top w:val="none" w:sz="0" w:space="0" w:color="auto"/>
            <w:left w:val="none" w:sz="0" w:space="0" w:color="auto"/>
            <w:bottom w:val="none" w:sz="0" w:space="0" w:color="auto"/>
            <w:right w:val="none" w:sz="0" w:space="0" w:color="auto"/>
          </w:divBdr>
        </w:div>
        <w:div w:id="134110486">
          <w:marLeft w:val="640"/>
          <w:marRight w:val="0"/>
          <w:marTop w:val="0"/>
          <w:marBottom w:val="0"/>
          <w:divBdr>
            <w:top w:val="none" w:sz="0" w:space="0" w:color="auto"/>
            <w:left w:val="none" w:sz="0" w:space="0" w:color="auto"/>
            <w:bottom w:val="none" w:sz="0" w:space="0" w:color="auto"/>
            <w:right w:val="none" w:sz="0" w:space="0" w:color="auto"/>
          </w:divBdr>
        </w:div>
        <w:div w:id="804004231">
          <w:marLeft w:val="640"/>
          <w:marRight w:val="0"/>
          <w:marTop w:val="0"/>
          <w:marBottom w:val="0"/>
          <w:divBdr>
            <w:top w:val="none" w:sz="0" w:space="0" w:color="auto"/>
            <w:left w:val="none" w:sz="0" w:space="0" w:color="auto"/>
            <w:bottom w:val="none" w:sz="0" w:space="0" w:color="auto"/>
            <w:right w:val="none" w:sz="0" w:space="0" w:color="auto"/>
          </w:divBdr>
        </w:div>
        <w:div w:id="1243176396">
          <w:marLeft w:val="640"/>
          <w:marRight w:val="0"/>
          <w:marTop w:val="0"/>
          <w:marBottom w:val="0"/>
          <w:divBdr>
            <w:top w:val="none" w:sz="0" w:space="0" w:color="auto"/>
            <w:left w:val="none" w:sz="0" w:space="0" w:color="auto"/>
            <w:bottom w:val="none" w:sz="0" w:space="0" w:color="auto"/>
            <w:right w:val="none" w:sz="0" w:space="0" w:color="auto"/>
          </w:divBdr>
        </w:div>
        <w:div w:id="118381299">
          <w:marLeft w:val="640"/>
          <w:marRight w:val="0"/>
          <w:marTop w:val="0"/>
          <w:marBottom w:val="0"/>
          <w:divBdr>
            <w:top w:val="none" w:sz="0" w:space="0" w:color="auto"/>
            <w:left w:val="none" w:sz="0" w:space="0" w:color="auto"/>
            <w:bottom w:val="none" w:sz="0" w:space="0" w:color="auto"/>
            <w:right w:val="none" w:sz="0" w:space="0" w:color="auto"/>
          </w:divBdr>
        </w:div>
        <w:div w:id="1286541287">
          <w:marLeft w:val="640"/>
          <w:marRight w:val="0"/>
          <w:marTop w:val="0"/>
          <w:marBottom w:val="0"/>
          <w:divBdr>
            <w:top w:val="none" w:sz="0" w:space="0" w:color="auto"/>
            <w:left w:val="none" w:sz="0" w:space="0" w:color="auto"/>
            <w:bottom w:val="none" w:sz="0" w:space="0" w:color="auto"/>
            <w:right w:val="none" w:sz="0" w:space="0" w:color="auto"/>
          </w:divBdr>
        </w:div>
        <w:div w:id="779027693">
          <w:marLeft w:val="640"/>
          <w:marRight w:val="0"/>
          <w:marTop w:val="0"/>
          <w:marBottom w:val="0"/>
          <w:divBdr>
            <w:top w:val="none" w:sz="0" w:space="0" w:color="auto"/>
            <w:left w:val="none" w:sz="0" w:space="0" w:color="auto"/>
            <w:bottom w:val="none" w:sz="0" w:space="0" w:color="auto"/>
            <w:right w:val="none" w:sz="0" w:space="0" w:color="auto"/>
          </w:divBdr>
        </w:div>
        <w:div w:id="2047293137">
          <w:marLeft w:val="640"/>
          <w:marRight w:val="0"/>
          <w:marTop w:val="0"/>
          <w:marBottom w:val="0"/>
          <w:divBdr>
            <w:top w:val="none" w:sz="0" w:space="0" w:color="auto"/>
            <w:left w:val="none" w:sz="0" w:space="0" w:color="auto"/>
            <w:bottom w:val="none" w:sz="0" w:space="0" w:color="auto"/>
            <w:right w:val="none" w:sz="0" w:space="0" w:color="auto"/>
          </w:divBdr>
        </w:div>
        <w:div w:id="254480132">
          <w:marLeft w:val="640"/>
          <w:marRight w:val="0"/>
          <w:marTop w:val="0"/>
          <w:marBottom w:val="0"/>
          <w:divBdr>
            <w:top w:val="none" w:sz="0" w:space="0" w:color="auto"/>
            <w:left w:val="none" w:sz="0" w:space="0" w:color="auto"/>
            <w:bottom w:val="none" w:sz="0" w:space="0" w:color="auto"/>
            <w:right w:val="none" w:sz="0" w:space="0" w:color="auto"/>
          </w:divBdr>
        </w:div>
        <w:div w:id="617414772">
          <w:marLeft w:val="640"/>
          <w:marRight w:val="0"/>
          <w:marTop w:val="0"/>
          <w:marBottom w:val="0"/>
          <w:divBdr>
            <w:top w:val="none" w:sz="0" w:space="0" w:color="auto"/>
            <w:left w:val="none" w:sz="0" w:space="0" w:color="auto"/>
            <w:bottom w:val="none" w:sz="0" w:space="0" w:color="auto"/>
            <w:right w:val="none" w:sz="0" w:space="0" w:color="auto"/>
          </w:divBdr>
        </w:div>
        <w:div w:id="1862236797">
          <w:marLeft w:val="640"/>
          <w:marRight w:val="0"/>
          <w:marTop w:val="0"/>
          <w:marBottom w:val="0"/>
          <w:divBdr>
            <w:top w:val="none" w:sz="0" w:space="0" w:color="auto"/>
            <w:left w:val="none" w:sz="0" w:space="0" w:color="auto"/>
            <w:bottom w:val="none" w:sz="0" w:space="0" w:color="auto"/>
            <w:right w:val="none" w:sz="0" w:space="0" w:color="auto"/>
          </w:divBdr>
        </w:div>
        <w:div w:id="739448904">
          <w:marLeft w:val="640"/>
          <w:marRight w:val="0"/>
          <w:marTop w:val="0"/>
          <w:marBottom w:val="0"/>
          <w:divBdr>
            <w:top w:val="none" w:sz="0" w:space="0" w:color="auto"/>
            <w:left w:val="none" w:sz="0" w:space="0" w:color="auto"/>
            <w:bottom w:val="none" w:sz="0" w:space="0" w:color="auto"/>
            <w:right w:val="none" w:sz="0" w:space="0" w:color="auto"/>
          </w:divBdr>
        </w:div>
        <w:div w:id="9376173">
          <w:marLeft w:val="640"/>
          <w:marRight w:val="0"/>
          <w:marTop w:val="0"/>
          <w:marBottom w:val="0"/>
          <w:divBdr>
            <w:top w:val="none" w:sz="0" w:space="0" w:color="auto"/>
            <w:left w:val="none" w:sz="0" w:space="0" w:color="auto"/>
            <w:bottom w:val="none" w:sz="0" w:space="0" w:color="auto"/>
            <w:right w:val="none" w:sz="0" w:space="0" w:color="auto"/>
          </w:divBdr>
        </w:div>
        <w:div w:id="756945093">
          <w:marLeft w:val="640"/>
          <w:marRight w:val="0"/>
          <w:marTop w:val="0"/>
          <w:marBottom w:val="0"/>
          <w:divBdr>
            <w:top w:val="none" w:sz="0" w:space="0" w:color="auto"/>
            <w:left w:val="none" w:sz="0" w:space="0" w:color="auto"/>
            <w:bottom w:val="none" w:sz="0" w:space="0" w:color="auto"/>
            <w:right w:val="none" w:sz="0" w:space="0" w:color="auto"/>
          </w:divBdr>
        </w:div>
        <w:div w:id="1486429619">
          <w:marLeft w:val="640"/>
          <w:marRight w:val="0"/>
          <w:marTop w:val="0"/>
          <w:marBottom w:val="0"/>
          <w:divBdr>
            <w:top w:val="none" w:sz="0" w:space="0" w:color="auto"/>
            <w:left w:val="none" w:sz="0" w:space="0" w:color="auto"/>
            <w:bottom w:val="none" w:sz="0" w:space="0" w:color="auto"/>
            <w:right w:val="none" w:sz="0" w:space="0" w:color="auto"/>
          </w:divBdr>
        </w:div>
        <w:div w:id="2086417862">
          <w:marLeft w:val="640"/>
          <w:marRight w:val="0"/>
          <w:marTop w:val="0"/>
          <w:marBottom w:val="0"/>
          <w:divBdr>
            <w:top w:val="none" w:sz="0" w:space="0" w:color="auto"/>
            <w:left w:val="none" w:sz="0" w:space="0" w:color="auto"/>
            <w:bottom w:val="none" w:sz="0" w:space="0" w:color="auto"/>
            <w:right w:val="none" w:sz="0" w:space="0" w:color="auto"/>
          </w:divBdr>
        </w:div>
        <w:div w:id="342557094">
          <w:marLeft w:val="640"/>
          <w:marRight w:val="0"/>
          <w:marTop w:val="0"/>
          <w:marBottom w:val="0"/>
          <w:divBdr>
            <w:top w:val="none" w:sz="0" w:space="0" w:color="auto"/>
            <w:left w:val="none" w:sz="0" w:space="0" w:color="auto"/>
            <w:bottom w:val="none" w:sz="0" w:space="0" w:color="auto"/>
            <w:right w:val="none" w:sz="0" w:space="0" w:color="auto"/>
          </w:divBdr>
        </w:div>
        <w:div w:id="1409186251">
          <w:marLeft w:val="640"/>
          <w:marRight w:val="0"/>
          <w:marTop w:val="0"/>
          <w:marBottom w:val="0"/>
          <w:divBdr>
            <w:top w:val="none" w:sz="0" w:space="0" w:color="auto"/>
            <w:left w:val="none" w:sz="0" w:space="0" w:color="auto"/>
            <w:bottom w:val="none" w:sz="0" w:space="0" w:color="auto"/>
            <w:right w:val="none" w:sz="0" w:space="0" w:color="auto"/>
          </w:divBdr>
        </w:div>
        <w:div w:id="266621607">
          <w:marLeft w:val="640"/>
          <w:marRight w:val="0"/>
          <w:marTop w:val="0"/>
          <w:marBottom w:val="0"/>
          <w:divBdr>
            <w:top w:val="none" w:sz="0" w:space="0" w:color="auto"/>
            <w:left w:val="none" w:sz="0" w:space="0" w:color="auto"/>
            <w:bottom w:val="none" w:sz="0" w:space="0" w:color="auto"/>
            <w:right w:val="none" w:sz="0" w:space="0" w:color="auto"/>
          </w:divBdr>
        </w:div>
        <w:div w:id="2005623473">
          <w:marLeft w:val="640"/>
          <w:marRight w:val="0"/>
          <w:marTop w:val="0"/>
          <w:marBottom w:val="0"/>
          <w:divBdr>
            <w:top w:val="none" w:sz="0" w:space="0" w:color="auto"/>
            <w:left w:val="none" w:sz="0" w:space="0" w:color="auto"/>
            <w:bottom w:val="none" w:sz="0" w:space="0" w:color="auto"/>
            <w:right w:val="none" w:sz="0" w:space="0" w:color="auto"/>
          </w:divBdr>
        </w:div>
        <w:div w:id="1397316368">
          <w:marLeft w:val="640"/>
          <w:marRight w:val="0"/>
          <w:marTop w:val="0"/>
          <w:marBottom w:val="0"/>
          <w:divBdr>
            <w:top w:val="none" w:sz="0" w:space="0" w:color="auto"/>
            <w:left w:val="none" w:sz="0" w:space="0" w:color="auto"/>
            <w:bottom w:val="none" w:sz="0" w:space="0" w:color="auto"/>
            <w:right w:val="none" w:sz="0" w:space="0" w:color="auto"/>
          </w:divBdr>
        </w:div>
        <w:div w:id="502818931">
          <w:marLeft w:val="640"/>
          <w:marRight w:val="0"/>
          <w:marTop w:val="0"/>
          <w:marBottom w:val="0"/>
          <w:divBdr>
            <w:top w:val="none" w:sz="0" w:space="0" w:color="auto"/>
            <w:left w:val="none" w:sz="0" w:space="0" w:color="auto"/>
            <w:bottom w:val="none" w:sz="0" w:space="0" w:color="auto"/>
            <w:right w:val="none" w:sz="0" w:space="0" w:color="auto"/>
          </w:divBdr>
        </w:div>
        <w:div w:id="749011320">
          <w:marLeft w:val="640"/>
          <w:marRight w:val="0"/>
          <w:marTop w:val="0"/>
          <w:marBottom w:val="0"/>
          <w:divBdr>
            <w:top w:val="none" w:sz="0" w:space="0" w:color="auto"/>
            <w:left w:val="none" w:sz="0" w:space="0" w:color="auto"/>
            <w:bottom w:val="none" w:sz="0" w:space="0" w:color="auto"/>
            <w:right w:val="none" w:sz="0" w:space="0" w:color="auto"/>
          </w:divBdr>
        </w:div>
        <w:div w:id="1834907396">
          <w:marLeft w:val="640"/>
          <w:marRight w:val="0"/>
          <w:marTop w:val="0"/>
          <w:marBottom w:val="0"/>
          <w:divBdr>
            <w:top w:val="none" w:sz="0" w:space="0" w:color="auto"/>
            <w:left w:val="none" w:sz="0" w:space="0" w:color="auto"/>
            <w:bottom w:val="none" w:sz="0" w:space="0" w:color="auto"/>
            <w:right w:val="none" w:sz="0" w:space="0" w:color="auto"/>
          </w:divBdr>
        </w:div>
        <w:div w:id="2045057453">
          <w:marLeft w:val="640"/>
          <w:marRight w:val="0"/>
          <w:marTop w:val="0"/>
          <w:marBottom w:val="0"/>
          <w:divBdr>
            <w:top w:val="none" w:sz="0" w:space="0" w:color="auto"/>
            <w:left w:val="none" w:sz="0" w:space="0" w:color="auto"/>
            <w:bottom w:val="none" w:sz="0" w:space="0" w:color="auto"/>
            <w:right w:val="none" w:sz="0" w:space="0" w:color="auto"/>
          </w:divBdr>
        </w:div>
        <w:div w:id="115872518">
          <w:marLeft w:val="640"/>
          <w:marRight w:val="0"/>
          <w:marTop w:val="0"/>
          <w:marBottom w:val="0"/>
          <w:divBdr>
            <w:top w:val="none" w:sz="0" w:space="0" w:color="auto"/>
            <w:left w:val="none" w:sz="0" w:space="0" w:color="auto"/>
            <w:bottom w:val="none" w:sz="0" w:space="0" w:color="auto"/>
            <w:right w:val="none" w:sz="0" w:space="0" w:color="auto"/>
          </w:divBdr>
        </w:div>
        <w:div w:id="1240559729">
          <w:marLeft w:val="640"/>
          <w:marRight w:val="0"/>
          <w:marTop w:val="0"/>
          <w:marBottom w:val="0"/>
          <w:divBdr>
            <w:top w:val="none" w:sz="0" w:space="0" w:color="auto"/>
            <w:left w:val="none" w:sz="0" w:space="0" w:color="auto"/>
            <w:bottom w:val="none" w:sz="0" w:space="0" w:color="auto"/>
            <w:right w:val="none" w:sz="0" w:space="0" w:color="auto"/>
          </w:divBdr>
        </w:div>
        <w:div w:id="938217682">
          <w:marLeft w:val="640"/>
          <w:marRight w:val="0"/>
          <w:marTop w:val="0"/>
          <w:marBottom w:val="0"/>
          <w:divBdr>
            <w:top w:val="none" w:sz="0" w:space="0" w:color="auto"/>
            <w:left w:val="none" w:sz="0" w:space="0" w:color="auto"/>
            <w:bottom w:val="none" w:sz="0" w:space="0" w:color="auto"/>
            <w:right w:val="none" w:sz="0" w:space="0" w:color="auto"/>
          </w:divBdr>
        </w:div>
        <w:div w:id="1288389028">
          <w:marLeft w:val="640"/>
          <w:marRight w:val="0"/>
          <w:marTop w:val="0"/>
          <w:marBottom w:val="0"/>
          <w:divBdr>
            <w:top w:val="none" w:sz="0" w:space="0" w:color="auto"/>
            <w:left w:val="none" w:sz="0" w:space="0" w:color="auto"/>
            <w:bottom w:val="none" w:sz="0" w:space="0" w:color="auto"/>
            <w:right w:val="none" w:sz="0" w:space="0" w:color="auto"/>
          </w:divBdr>
        </w:div>
        <w:div w:id="1136989356">
          <w:marLeft w:val="640"/>
          <w:marRight w:val="0"/>
          <w:marTop w:val="0"/>
          <w:marBottom w:val="0"/>
          <w:divBdr>
            <w:top w:val="none" w:sz="0" w:space="0" w:color="auto"/>
            <w:left w:val="none" w:sz="0" w:space="0" w:color="auto"/>
            <w:bottom w:val="none" w:sz="0" w:space="0" w:color="auto"/>
            <w:right w:val="none" w:sz="0" w:space="0" w:color="auto"/>
          </w:divBdr>
        </w:div>
        <w:div w:id="554586668">
          <w:marLeft w:val="640"/>
          <w:marRight w:val="0"/>
          <w:marTop w:val="0"/>
          <w:marBottom w:val="0"/>
          <w:divBdr>
            <w:top w:val="none" w:sz="0" w:space="0" w:color="auto"/>
            <w:left w:val="none" w:sz="0" w:space="0" w:color="auto"/>
            <w:bottom w:val="none" w:sz="0" w:space="0" w:color="auto"/>
            <w:right w:val="none" w:sz="0" w:space="0" w:color="auto"/>
          </w:divBdr>
        </w:div>
        <w:div w:id="251551870">
          <w:marLeft w:val="640"/>
          <w:marRight w:val="0"/>
          <w:marTop w:val="0"/>
          <w:marBottom w:val="0"/>
          <w:divBdr>
            <w:top w:val="none" w:sz="0" w:space="0" w:color="auto"/>
            <w:left w:val="none" w:sz="0" w:space="0" w:color="auto"/>
            <w:bottom w:val="none" w:sz="0" w:space="0" w:color="auto"/>
            <w:right w:val="none" w:sz="0" w:space="0" w:color="auto"/>
          </w:divBdr>
        </w:div>
        <w:div w:id="1676417304">
          <w:marLeft w:val="640"/>
          <w:marRight w:val="0"/>
          <w:marTop w:val="0"/>
          <w:marBottom w:val="0"/>
          <w:divBdr>
            <w:top w:val="none" w:sz="0" w:space="0" w:color="auto"/>
            <w:left w:val="none" w:sz="0" w:space="0" w:color="auto"/>
            <w:bottom w:val="none" w:sz="0" w:space="0" w:color="auto"/>
            <w:right w:val="none" w:sz="0" w:space="0" w:color="auto"/>
          </w:divBdr>
        </w:div>
        <w:div w:id="1057316974">
          <w:marLeft w:val="640"/>
          <w:marRight w:val="0"/>
          <w:marTop w:val="0"/>
          <w:marBottom w:val="0"/>
          <w:divBdr>
            <w:top w:val="none" w:sz="0" w:space="0" w:color="auto"/>
            <w:left w:val="none" w:sz="0" w:space="0" w:color="auto"/>
            <w:bottom w:val="none" w:sz="0" w:space="0" w:color="auto"/>
            <w:right w:val="none" w:sz="0" w:space="0" w:color="auto"/>
          </w:divBdr>
        </w:div>
        <w:div w:id="2007702436">
          <w:marLeft w:val="640"/>
          <w:marRight w:val="0"/>
          <w:marTop w:val="0"/>
          <w:marBottom w:val="0"/>
          <w:divBdr>
            <w:top w:val="none" w:sz="0" w:space="0" w:color="auto"/>
            <w:left w:val="none" w:sz="0" w:space="0" w:color="auto"/>
            <w:bottom w:val="none" w:sz="0" w:space="0" w:color="auto"/>
            <w:right w:val="none" w:sz="0" w:space="0" w:color="auto"/>
          </w:divBdr>
        </w:div>
        <w:div w:id="1840537742">
          <w:marLeft w:val="640"/>
          <w:marRight w:val="0"/>
          <w:marTop w:val="0"/>
          <w:marBottom w:val="0"/>
          <w:divBdr>
            <w:top w:val="none" w:sz="0" w:space="0" w:color="auto"/>
            <w:left w:val="none" w:sz="0" w:space="0" w:color="auto"/>
            <w:bottom w:val="none" w:sz="0" w:space="0" w:color="auto"/>
            <w:right w:val="none" w:sz="0" w:space="0" w:color="auto"/>
          </w:divBdr>
        </w:div>
        <w:div w:id="1405028981">
          <w:marLeft w:val="640"/>
          <w:marRight w:val="0"/>
          <w:marTop w:val="0"/>
          <w:marBottom w:val="0"/>
          <w:divBdr>
            <w:top w:val="none" w:sz="0" w:space="0" w:color="auto"/>
            <w:left w:val="none" w:sz="0" w:space="0" w:color="auto"/>
            <w:bottom w:val="none" w:sz="0" w:space="0" w:color="auto"/>
            <w:right w:val="none" w:sz="0" w:space="0" w:color="auto"/>
          </w:divBdr>
        </w:div>
        <w:div w:id="1107652733">
          <w:marLeft w:val="640"/>
          <w:marRight w:val="0"/>
          <w:marTop w:val="0"/>
          <w:marBottom w:val="0"/>
          <w:divBdr>
            <w:top w:val="none" w:sz="0" w:space="0" w:color="auto"/>
            <w:left w:val="none" w:sz="0" w:space="0" w:color="auto"/>
            <w:bottom w:val="none" w:sz="0" w:space="0" w:color="auto"/>
            <w:right w:val="none" w:sz="0" w:space="0" w:color="auto"/>
          </w:divBdr>
        </w:div>
        <w:div w:id="202325775">
          <w:marLeft w:val="640"/>
          <w:marRight w:val="0"/>
          <w:marTop w:val="0"/>
          <w:marBottom w:val="0"/>
          <w:divBdr>
            <w:top w:val="none" w:sz="0" w:space="0" w:color="auto"/>
            <w:left w:val="none" w:sz="0" w:space="0" w:color="auto"/>
            <w:bottom w:val="none" w:sz="0" w:space="0" w:color="auto"/>
            <w:right w:val="none" w:sz="0" w:space="0" w:color="auto"/>
          </w:divBdr>
        </w:div>
        <w:div w:id="1274246774">
          <w:marLeft w:val="640"/>
          <w:marRight w:val="0"/>
          <w:marTop w:val="0"/>
          <w:marBottom w:val="0"/>
          <w:divBdr>
            <w:top w:val="none" w:sz="0" w:space="0" w:color="auto"/>
            <w:left w:val="none" w:sz="0" w:space="0" w:color="auto"/>
            <w:bottom w:val="none" w:sz="0" w:space="0" w:color="auto"/>
            <w:right w:val="none" w:sz="0" w:space="0" w:color="auto"/>
          </w:divBdr>
        </w:div>
        <w:div w:id="1007947239">
          <w:marLeft w:val="640"/>
          <w:marRight w:val="0"/>
          <w:marTop w:val="0"/>
          <w:marBottom w:val="0"/>
          <w:divBdr>
            <w:top w:val="none" w:sz="0" w:space="0" w:color="auto"/>
            <w:left w:val="none" w:sz="0" w:space="0" w:color="auto"/>
            <w:bottom w:val="none" w:sz="0" w:space="0" w:color="auto"/>
            <w:right w:val="none" w:sz="0" w:space="0" w:color="auto"/>
          </w:divBdr>
        </w:div>
        <w:div w:id="1490556963">
          <w:marLeft w:val="640"/>
          <w:marRight w:val="0"/>
          <w:marTop w:val="0"/>
          <w:marBottom w:val="0"/>
          <w:divBdr>
            <w:top w:val="none" w:sz="0" w:space="0" w:color="auto"/>
            <w:left w:val="none" w:sz="0" w:space="0" w:color="auto"/>
            <w:bottom w:val="none" w:sz="0" w:space="0" w:color="auto"/>
            <w:right w:val="none" w:sz="0" w:space="0" w:color="auto"/>
          </w:divBdr>
        </w:div>
        <w:div w:id="42140782">
          <w:marLeft w:val="640"/>
          <w:marRight w:val="0"/>
          <w:marTop w:val="0"/>
          <w:marBottom w:val="0"/>
          <w:divBdr>
            <w:top w:val="none" w:sz="0" w:space="0" w:color="auto"/>
            <w:left w:val="none" w:sz="0" w:space="0" w:color="auto"/>
            <w:bottom w:val="none" w:sz="0" w:space="0" w:color="auto"/>
            <w:right w:val="none" w:sz="0" w:space="0" w:color="auto"/>
          </w:divBdr>
        </w:div>
        <w:div w:id="107041922">
          <w:marLeft w:val="640"/>
          <w:marRight w:val="0"/>
          <w:marTop w:val="0"/>
          <w:marBottom w:val="0"/>
          <w:divBdr>
            <w:top w:val="none" w:sz="0" w:space="0" w:color="auto"/>
            <w:left w:val="none" w:sz="0" w:space="0" w:color="auto"/>
            <w:bottom w:val="none" w:sz="0" w:space="0" w:color="auto"/>
            <w:right w:val="none" w:sz="0" w:space="0" w:color="auto"/>
          </w:divBdr>
        </w:div>
        <w:div w:id="607082875">
          <w:marLeft w:val="640"/>
          <w:marRight w:val="0"/>
          <w:marTop w:val="0"/>
          <w:marBottom w:val="0"/>
          <w:divBdr>
            <w:top w:val="none" w:sz="0" w:space="0" w:color="auto"/>
            <w:left w:val="none" w:sz="0" w:space="0" w:color="auto"/>
            <w:bottom w:val="none" w:sz="0" w:space="0" w:color="auto"/>
            <w:right w:val="none" w:sz="0" w:space="0" w:color="auto"/>
          </w:divBdr>
        </w:div>
        <w:div w:id="1689866171">
          <w:marLeft w:val="640"/>
          <w:marRight w:val="0"/>
          <w:marTop w:val="0"/>
          <w:marBottom w:val="0"/>
          <w:divBdr>
            <w:top w:val="none" w:sz="0" w:space="0" w:color="auto"/>
            <w:left w:val="none" w:sz="0" w:space="0" w:color="auto"/>
            <w:bottom w:val="none" w:sz="0" w:space="0" w:color="auto"/>
            <w:right w:val="none" w:sz="0" w:space="0" w:color="auto"/>
          </w:divBdr>
        </w:div>
        <w:div w:id="1255282088">
          <w:marLeft w:val="640"/>
          <w:marRight w:val="0"/>
          <w:marTop w:val="0"/>
          <w:marBottom w:val="0"/>
          <w:divBdr>
            <w:top w:val="none" w:sz="0" w:space="0" w:color="auto"/>
            <w:left w:val="none" w:sz="0" w:space="0" w:color="auto"/>
            <w:bottom w:val="none" w:sz="0" w:space="0" w:color="auto"/>
            <w:right w:val="none" w:sz="0" w:space="0" w:color="auto"/>
          </w:divBdr>
        </w:div>
        <w:div w:id="1742944959">
          <w:marLeft w:val="640"/>
          <w:marRight w:val="0"/>
          <w:marTop w:val="0"/>
          <w:marBottom w:val="0"/>
          <w:divBdr>
            <w:top w:val="none" w:sz="0" w:space="0" w:color="auto"/>
            <w:left w:val="none" w:sz="0" w:space="0" w:color="auto"/>
            <w:bottom w:val="none" w:sz="0" w:space="0" w:color="auto"/>
            <w:right w:val="none" w:sz="0" w:space="0" w:color="auto"/>
          </w:divBdr>
        </w:div>
        <w:div w:id="1264653572">
          <w:marLeft w:val="640"/>
          <w:marRight w:val="0"/>
          <w:marTop w:val="0"/>
          <w:marBottom w:val="0"/>
          <w:divBdr>
            <w:top w:val="none" w:sz="0" w:space="0" w:color="auto"/>
            <w:left w:val="none" w:sz="0" w:space="0" w:color="auto"/>
            <w:bottom w:val="none" w:sz="0" w:space="0" w:color="auto"/>
            <w:right w:val="none" w:sz="0" w:space="0" w:color="auto"/>
          </w:divBdr>
        </w:div>
        <w:div w:id="948857443">
          <w:marLeft w:val="640"/>
          <w:marRight w:val="0"/>
          <w:marTop w:val="0"/>
          <w:marBottom w:val="0"/>
          <w:divBdr>
            <w:top w:val="none" w:sz="0" w:space="0" w:color="auto"/>
            <w:left w:val="none" w:sz="0" w:space="0" w:color="auto"/>
            <w:bottom w:val="none" w:sz="0" w:space="0" w:color="auto"/>
            <w:right w:val="none" w:sz="0" w:space="0" w:color="auto"/>
          </w:divBdr>
        </w:div>
        <w:div w:id="226694759">
          <w:marLeft w:val="640"/>
          <w:marRight w:val="0"/>
          <w:marTop w:val="0"/>
          <w:marBottom w:val="0"/>
          <w:divBdr>
            <w:top w:val="none" w:sz="0" w:space="0" w:color="auto"/>
            <w:left w:val="none" w:sz="0" w:space="0" w:color="auto"/>
            <w:bottom w:val="none" w:sz="0" w:space="0" w:color="auto"/>
            <w:right w:val="none" w:sz="0" w:space="0" w:color="auto"/>
          </w:divBdr>
        </w:div>
        <w:div w:id="1863281212">
          <w:marLeft w:val="640"/>
          <w:marRight w:val="0"/>
          <w:marTop w:val="0"/>
          <w:marBottom w:val="0"/>
          <w:divBdr>
            <w:top w:val="none" w:sz="0" w:space="0" w:color="auto"/>
            <w:left w:val="none" w:sz="0" w:space="0" w:color="auto"/>
            <w:bottom w:val="none" w:sz="0" w:space="0" w:color="auto"/>
            <w:right w:val="none" w:sz="0" w:space="0" w:color="auto"/>
          </w:divBdr>
        </w:div>
        <w:div w:id="357047495">
          <w:marLeft w:val="640"/>
          <w:marRight w:val="0"/>
          <w:marTop w:val="0"/>
          <w:marBottom w:val="0"/>
          <w:divBdr>
            <w:top w:val="none" w:sz="0" w:space="0" w:color="auto"/>
            <w:left w:val="none" w:sz="0" w:space="0" w:color="auto"/>
            <w:bottom w:val="none" w:sz="0" w:space="0" w:color="auto"/>
            <w:right w:val="none" w:sz="0" w:space="0" w:color="auto"/>
          </w:divBdr>
        </w:div>
        <w:div w:id="515703173">
          <w:marLeft w:val="640"/>
          <w:marRight w:val="0"/>
          <w:marTop w:val="0"/>
          <w:marBottom w:val="0"/>
          <w:divBdr>
            <w:top w:val="none" w:sz="0" w:space="0" w:color="auto"/>
            <w:left w:val="none" w:sz="0" w:space="0" w:color="auto"/>
            <w:bottom w:val="none" w:sz="0" w:space="0" w:color="auto"/>
            <w:right w:val="none" w:sz="0" w:space="0" w:color="auto"/>
          </w:divBdr>
        </w:div>
        <w:div w:id="1525896261">
          <w:marLeft w:val="640"/>
          <w:marRight w:val="0"/>
          <w:marTop w:val="0"/>
          <w:marBottom w:val="0"/>
          <w:divBdr>
            <w:top w:val="none" w:sz="0" w:space="0" w:color="auto"/>
            <w:left w:val="none" w:sz="0" w:space="0" w:color="auto"/>
            <w:bottom w:val="none" w:sz="0" w:space="0" w:color="auto"/>
            <w:right w:val="none" w:sz="0" w:space="0" w:color="auto"/>
          </w:divBdr>
        </w:div>
        <w:div w:id="1914118206">
          <w:marLeft w:val="640"/>
          <w:marRight w:val="0"/>
          <w:marTop w:val="0"/>
          <w:marBottom w:val="0"/>
          <w:divBdr>
            <w:top w:val="none" w:sz="0" w:space="0" w:color="auto"/>
            <w:left w:val="none" w:sz="0" w:space="0" w:color="auto"/>
            <w:bottom w:val="none" w:sz="0" w:space="0" w:color="auto"/>
            <w:right w:val="none" w:sz="0" w:space="0" w:color="auto"/>
          </w:divBdr>
        </w:div>
        <w:div w:id="1855995545">
          <w:marLeft w:val="640"/>
          <w:marRight w:val="0"/>
          <w:marTop w:val="0"/>
          <w:marBottom w:val="0"/>
          <w:divBdr>
            <w:top w:val="none" w:sz="0" w:space="0" w:color="auto"/>
            <w:left w:val="none" w:sz="0" w:space="0" w:color="auto"/>
            <w:bottom w:val="none" w:sz="0" w:space="0" w:color="auto"/>
            <w:right w:val="none" w:sz="0" w:space="0" w:color="auto"/>
          </w:divBdr>
        </w:div>
        <w:div w:id="420414288">
          <w:marLeft w:val="640"/>
          <w:marRight w:val="0"/>
          <w:marTop w:val="0"/>
          <w:marBottom w:val="0"/>
          <w:divBdr>
            <w:top w:val="none" w:sz="0" w:space="0" w:color="auto"/>
            <w:left w:val="none" w:sz="0" w:space="0" w:color="auto"/>
            <w:bottom w:val="none" w:sz="0" w:space="0" w:color="auto"/>
            <w:right w:val="none" w:sz="0" w:space="0" w:color="auto"/>
          </w:divBdr>
        </w:div>
        <w:div w:id="494414469">
          <w:marLeft w:val="640"/>
          <w:marRight w:val="0"/>
          <w:marTop w:val="0"/>
          <w:marBottom w:val="0"/>
          <w:divBdr>
            <w:top w:val="none" w:sz="0" w:space="0" w:color="auto"/>
            <w:left w:val="none" w:sz="0" w:space="0" w:color="auto"/>
            <w:bottom w:val="none" w:sz="0" w:space="0" w:color="auto"/>
            <w:right w:val="none" w:sz="0" w:space="0" w:color="auto"/>
          </w:divBdr>
        </w:div>
        <w:div w:id="1067801555">
          <w:marLeft w:val="640"/>
          <w:marRight w:val="0"/>
          <w:marTop w:val="0"/>
          <w:marBottom w:val="0"/>
          <w:divBdr>
            <w:top w:val="none" w:sz="0" w:space="0" w:color="auto"/>
            <w:left w:val="none" w:sz="0" w:space="0" w:color="auto"/>
            <w:bottom w:val="none" w:sz="0" w:space="0" w:color="auto"/>
            <w:right w:val="none" w:sz="0" w:space="0" w:color="auto"/>
          </w:divBdr>
        </w:div>
        <w:div w:id="1437020599">
          <w:marLeft w:val="640"/>
          <w:marRight w:val="0"/>
          <w:marTop w:val="0"/>
          <w:marBottom w:val="0"/>
          <w:divBdr>
            <w:top w:val="none" w:sz="0" w:space="0" w:color="auto"/>
            <w:left w:val="none" w:sz="0" w:space="0" w:color="auto"/>
            <w:bottom w:val="none" w:sz="0" w:space="0" w:color="auto"/>
            <w:right w:val="none" w:sz="0" w:space="0" w:color="auto"/>
          </w:divBdr>
        </w:div>
        <w:div w:id="1546215059">
          <w:marLeft w:val="640"/>
          <w:marRight w:val="0"/>
          <w:marTop w:val="0"/>
          <w:marBottom w:val="0"/>
          <w:divBdr>
            <w:top w:val="none" w:sz="0" w:space="0" w:color="auto"/>
            <w:left w:val="none" w:sz="0" w:space="0" w:color="auto"/>
            <w:bottom w:val="none" w:sz="0" w:space="0" w:color="auto"/>
            <w:right w:val="none" w:sz="0" w:space="0" w:color="auto"/>
          </w:divBdr>
        </w:div>
        <w:div w:id="1595938913">
          <w:marLeft w:val="640"/>
          <w:marRight w:val="0"/>
          <w:marTop w:val="0"/>
          <w:marBottom w:val="0"/>
          <w:divBdr>
            <w:top w:val="none" w:sz="0" w:space="0" w:color="auto"/>
            <w:left w:val="none" w:sz="0" w:space="0" w:color="auto"/>
            <w:bottom w:val="none" w:sz="0" w:space="0" w:color="auto"/>
            <w:right w:val="none" w:sz="0" w:space="0" w:color="auto"/>
          </w:divBdr>
        </w:div>
        <w:div w:id="1361588558">
          <w:marLeft w:val="640"/>
          <w:marRight w:val="0"/>
          <w:marTop w:val="0"/>
          <w:marBottom w:val="0"/>
          <w:divBdr>
            <w:top w:val="none" w:sz="0" w:space="0" w:color="auto"/>
            <w:left w:val="none" w:sz="0" w:space="0" w:color="auto"/>
            <w:bottom w:val="none" w:sz="0" w:space="0" w:color="auto"/>
            <w:right w:val="none" w:sz="0" w:space="0" w:color="auto"/>
          </w:divBdr>
        </w:div>
        <w:div w:id="24597585">
          <w:marLeft w:val="640"/>
          <w:marRight w:val="0"/>
          <w:marTop w:val="0"/>
          <w:marBottom w:val="0"/>
          <w:divBdr>
            <w:top w:val="none" w:sz="0" w:space="0" w:color="auto"/>
            <w:left w:val="none" w:sz="0" w:space="0" w:color="auto"/>
            <w:bottom w:val="none" w:sz="0" w:space="0" w:color="auto"/>
            <w:right w:val="none" w:sz="0" w:space="0" w:color="auto"/>
          </w:divBdr>
        </w:div>
        <w:div w:id="994185554">
          <w:marLeft w:val="640"/>
          <w:marRight w:val="0"/>
          <w:marTop w:val="0"/>
          <w:marBottom w:val="0"/>
          <w:divBdr>
            <w:top w:val="none" w:sz="0" w:space="0" w:color="auto"/>
            <w:left w:val="none" w:sz="0" w:space="0" w:color="auto"/>
            <w:bottom w:val="none" w:sz="0" w:space="0" w:color="auto"/>
            <w:right w:val="none" w:sz="0" w:space="0" w:color="auto"/>
          </w:divBdr>
        </w:div>
        <w:div w:id="192576397">
          <w:marLeft w:val="640"/>
          <w:marRight w:val="0"/>
          <w:marTop w:val="0"/>
          <w:marBottom w:val="0"/>
          <w:divBdr>
            <w:top w:val="none" w:sz="0" w:space="0" w:color="auto"/>
            <w:left w:val="none" w:sz="0" w:space="0" w:color="auto"/>
            <w:bottom w:val="none" w:sz="0" w:space="0" w:color="auto"/>
            <w:right w:val="none" w:sz="0" w:space="0" w:color="auto"/>
          </w:divBdr>
        </w:div>
        <w:div w:id="2041927923">
          <w:marLeft w:val="640"/>
          <w:marRight w:val="0"/>
          <w:marTop w:val="0"/>
          <w:marBottom w:val="0"/>
          <w:divBdr>
            <w:top w:val="none" w:sz="0" w:space="0" w:color="auto"/>
            <w:left w:val="none" w:sz="0" w:space="0" w:color="auto"/>
            <w:bottom w:val="none" w:sz="0" w:space="0" w:color="auto"/>
            <w:right w:val="none" w:sz="0" w:space="0" w:color="auto"/>
          </w:divBdr>
        </w:div>
        <w:div w:id="89862005">
          <w:marLeft w:val="640"/>
          <w:marRight w:val="0"/>
          <w:marTop w:val="0"/>
          <w:marBottom w:val="0"/>
          <w:divBdr>
            <w:top w:val="none" w:sz="0" w:space="0" w:color="auto"/>
            <w:left w:val="none" w:sz="0" w:space="0" w:color="auto"/>
            <w:bottom w:val="none" w:sz="0" w:space="0" w:color="auto"/>
            <w:right w:val="none" w:sz="0" w:space="0" w:color="auto"/>
          </w:divBdr>
        </w:div>
        <w:div w:id="1067876198">
          <w:marLeft w:val="640"/>
          <w:marRight w:val="0"/>
          <w:marTop w:val="0"/>
          <w:marBottom w:val="0"/>
          <w:divBdr>
            <w:top w:val="none" w:sz="0" w:space="0" w:color="auto"/>
            <w:left w:val="none" w:sz="0" w:space="0" w:color="auto"/>
            <w:bottom w:val="none" w:sz="0" w:space="0" w:color="auto"/>
            <w:right w:val="none" w:sz="0" w:space="0" w:color="auto"/>
          </w:divBdr>
        </w:div>
        <w:div w:id="607734862">
          <w:marLeft w:val="640"/>
          <w:marRight w:val="0"/>
          <w:marTop w:val="0"/>
          <w:marBottom w:val="0"/>
          <w:divBdr>
            <w:top w:val="none" w:sz="0" w:space="0" w:color="auto"/>
            <w:left w:val="none" w:sz="0" w:space="0" w:color="auto"/>
            <w:bottom w:val="none" w:sz="0" w:space="0" w:color="auto"/>
            <w:right w:val="none" w:sz="0" w:space="0" w:color="auto"/>
          </w:divBdr>
        </w:div>
        <w:div w:id="1547641263">
          <w:marLeft w:val="640"/>
          <w:marRight w:val="0"/>
          <w:marTop w:val="0"/>
          <w:marBottom w:val="0"/>
          <w:divBdr>
            <w:top w:val="none" w:sz="0" w:space="0" w:color="auto"/>
            <w:left w:val="none" w:sz="0" w:space="0" w:color="auto"/>
            <w:bottom w:val="none" w:sz="0" w:space="0" w:color="auto"/>
            <w:right w:val="none" w:sz="0" w:space="0" w:color="auto"/>
          </w:divBdr>
        </w:div>
        <w:div w:id="1303997685">
          <w:marLeft w:val="640"/>
          <w:marRight w:val="0"/>
          <w:marTop w:val="0"/>
          <w:marBottom w:val="0"/>
          <w:divBdr>
            <w:top w:val="none" w:sz="0" w:space="0" w:color="auto"/>
            <w:left w:val="none" w:sz="0" w:space="0" w:color="auto"/>
            <w:bottom w:val="none" w:sz="0" w:space="0" w:color="auto"/>
            <w:right w:val="none" w:sz="0" w:space="0" w:color="auto"/>
          </w:divBdr>
        </w:div>
        <w:div w:id="770516790">
          <w:marLeft w:val="640"/>
          <w:marRight w:val="0"/>
          <w:marTop w:val="0"/>
          <w:marBottom w:val="0"/>
          <w:divBdr>
            <w:top w:val="none" w:sz="0" w:space="0" w:color="auto"/>
            <w:left w:val="none" w:sz="0" w:space="0" w:color="auto"/>
            <w:bottom w:val="none" w:sz="0" w:space="0" w:color="auto"/>
            <w:right w:val="none" w:sz="0" w:space="0" w:color="auto"/>
          </w:divBdr>
        </w:div>
        <w:div w:id="1716392024">
          <w:marLeft w:val="640"/>
          <w:marRight w:val="0"/>
          <w:marTop w:val="0"/>
          <w:marBottom w:val="0"/>
          <w:divBdr>
            <w:top w:val="none" w:sz="0" w:space="0" w:color="auto"/>
            <w:left w:val="none" w:sz="0" w:space="0" w:color="auto"/>
            <w:bottom w:val="none" w:sz="0" w:space="0" w:color="auto"/>
            <w:right w:val="none" w:sz="0" w:space="0" w:color="auto"/>
          </w:divBdr>
        </w:div>
        <w:div w:id="189228506">
          <w:marLeft w:val="640"/>
          <w:marRight w:val="0"/>
          <w:marTop w:val="0"/>
          <w:marBottom w:val="0"/>
          <w:divBdr>
            <w:top w:val="none" w:sz="0" w:space="0" w:color="auto"/>
            <w:left w:val="none" w:sz="0" w:space="0" w:color="auto"/>
            <w:bottom w:val="none" w:sz="0" w:space="0" w:color="auto"/>
            <w:right w:val="none" w:sz="0" w:space="0" w:color="auto"/>
          </w:divBdr>
        </w:div>
        <w:div w:id="1967736907">
          <w:marLeft w:val="640"/>
          <w:marRight w:val="0"/>
          <w:marTop w:val="0"/>
          <w:marBottom w:val="0"/>
          <w:divBdr>
            <w:top w:val="none" w:sz="0" w:space="0" w:color="auto"/>
            <w:left w:val="none" w:sz="0" w:space="0" w:color="auto"/>
            <w:bottom w:val="none" w:sz="0" w:space="0" w:color="auto"/>
            <w:right w:val="none" w:sz="0" w:space="0" w:color="auto"/>
          </w:divBdr>
        </w:div>
        <w:div w:id="327095308">
          <w:marLeft w:val="640"/>
          <w:marRight w:val="0"/>
          <w:marTop w:val="0"/>
          <w:marBottom w:val="0"/>
          <w:divBdr>
            <w:top w:val="none" w:sz="0" w:space="0" w:color="auto"/>
            <w:left w:val="none" w:sz="0" w:space="0" w:color="auto"/>
            <w:bottom w:val="none" w:sz="0" w:space="0" w:color="auto"/>
            <w:right w:val="none" w:sz="0" w:space="0" w:color="auto"/>
          </w:divBdr>
        </w:div>
        <w:div w:id="504520881">
          <w:marLeft w:val="640"/>
          <w:marRight w:val="0"/>
          <w:marTop w:val="0"/>
          <w:marBottom w:val="0"/>
          <w:divBdr>
            <w:top w:val="none" w:sz="0" w:space="0" w:color="auto"/>
            <w:left w:val="none" w:sz="0" w:space="0" w:color="auto"/>
            <w:bottom w:val="none" w:sz="0" w:space="0" w:color="auto"/>
            <w:right w:val="none" w:sz="0" w:space="0" w:color="auto"/>
          </w:divBdr>
        </w:div>
        <w:div w:id="252862070">
          <w:marLeft w:val="640"/>
          <w:marRight w:val="0"/>
          <w:marTop w:val="0"/>
          <w:marBottom w:val="0"/>
          <w:divBdr>
            <w:top w:val="none" w:sz="0" w:space="0" w:color="auto"/>
            <w:left w:val="none" w:sz="0" w:space="0" w:color="auto"/>
            <w:bottom w:val="none" w:sz="0" w:space="0" w:color="auto"/>
            <w:right w:val="none" w:sz="0" w:space="0" w:color="auto"/>
          </w:divBdr>
        </w:div>
        <w:div w:id="1763987347">
          <w:marLeft w:val="640"/>
          <w:marRight w:val="0"/>
          <w:marTop w:val="0"/>
          <w:marBottom w:val="0"/>
          <w:divBdr>
            <w:top w:val="none" w:sz="0" w:space="0" w:color="auto"/>
            <w:left w:val="none" w:sz="0" w:space="0" w:color="auto"/>
            <w:bottom w:val="none" w:sz="0" w:space="0" w:color="auto"/>
            <w:right w:val="none" w:sz="0" w:space="0" w:color="auto"/>
          </w:divBdr>
        </w:div>
        <w:div w:id="1629968475">
          <w:marLeft w:val="640"/>
          <w:marRight w:val="0"/>
          <w:marTop w:val="0"/>
          <w:marBottom w:val="0"/>
          <w:divBdr>
            <w:top w:val="none" w:sz="0" w:space="0" w:color="auto"/>
            <w:left w:val="none" w:sz="0" w:space="0" w:color="auto"/>
            <w:bottom w:val="none" w:sz="0" w:space="0" w:color="auto"/>
            <w:right w:val="none" w:sz="0" w:space="0" w:color="auto"/>
          </w:divBdr>
        </w:div>
        <w:div w:id="1037198386">
          <w:marLeft w:val="640"/>
          <w:marRight w:val="0"/>
          <w:marTop w:val="0"/>
          <w:marBottom w:val="0"/>
          <w:divBdr>
            <w:top w:val="none" w:sz="0" w:space="0" w:color="auto"/>
            <w:left w:val="none" w:sz="0" w:space="0" w:color="auto"/>
            <w:bottom w:val="none" w:sz="0" w:space="0" w:color="auto"/>
            <w:right w:val="none" w:sz="0" w:space="0" w:color="auto"/>
          </w:divBdr>
        </w:div>
        <w:div w:id="1964186979">
          <w:marLeft w:val="640"/>
          <w:marRight w:val="0"/>
          <w:marTop w:val="0"/>
          <w:marBottom w:val="0"/>
          <w:divBdr>
            <w:top w:val="none" w:sz="0" w:space="0" w:color="auto"/>
            <w:left w:val="none" w:sz="0" w:space="0" w:color="auto"/>
            <w:bottom w:val="none" w:sz="0" w:space="0" w:color="auto"/>
            <w:right w:val="none" w:sz="0" w:space="0" w:color="auto"/>
          </w:divBdr>
        </w:div>
        <w:div w:id="1623069845">
          <w:marLeft w:val="640"/>
          <w:marRight w:val="0"/>
          <w:marTop w:val="0"/>
          <w:marBottom w:val="0"/>
          <w:divBdr>
            <w:top w:val="none" w:sz="0" w:space="0" w:color="auto"/>
            <w:left w:val="none" w:sz="0" w:space="0" w:color="auto"/>
            <w:bottom w:val="none" w:sz="0" w:space="0" w:color="auto"/>
            <w:right w:val="none" w:sz="0" w:space="0" w:color="auto"/>
          </w:divBdr>
        </w:div>
        <w:div w:id="433940232">
          <w:marLeft w:val="640"/>
          <w:marRight w:val="0"/>
          <w:marTop w:val="0"/>
          <w:marBottom w:val="0"/>
          <w:divBdr>
            <w:top w:val="none" w:sz="0" w:space="0" w:color="auto"/>
            <w:left w:val="none" w:sz="0" w:space="0" w:color="auto"/>
            <w:bottom w:val="none" w:sz="0" w:space="0" w:color="auto"/>
            <w:right w:val="none" w:sz="0" w:space="0" w:color="auto"/>
          </w:divBdr>
        </w:div>
        <w:div w:id="1230581818">
          <w:marLeft w:val="640"/>
          <w:marRight w:val="0"/>
          <w:marTop w:val="0"/>
          <w:marBottom w:val="0"/>
          <w:divBdr>
            <w:top w:val="none" w:sz="0" w:space="0" w:color="auto"/>
            <w:left w:val="none" w:sz="0" w:space="0" w:color="auto"/>
            <w:bottom w:val="none" w:sz="0" w:space="0" w:color="auto"/>
            <w:right w:val="none" w:sz="0" w:space="0" w:color="auto"/>
          </w:divBdr>
        </w:div>
        <w:div w:id="1159268773">
          <w:marLeft w:val="640"/>
          <w:marRight w:val="0"/>
          <w:marTop w:val="0"/>
          <w:marBottom w:val="0"/>
          <w:divBdr>
            <w:top w:val="none" w:sz="0" w:space="0" w:color="auto"/>
            <w:left w:val="none" w:sz="0" w:space="0" w:color="auto"/>
            <w:bottom w:val="none" w:sz="0" w:space="0" w:color="auto"/>
            <w:right w:val="none" w:sz="0" w:space="0" w:color="auto"/>
          </w:divBdr>
        </w:div>
        <w:div w:id="2038384188">
          <w:marLeft w:val="640"/>
          <w:marRight w:val="0"/>
          <w:marTop w:val="0"/>
          <w:marBottom w:val="0"/>
          <w:divBdr>
            <w:top w:val="none" w:sz="0" w:space="0" w:color="auto"/>
            <w:left w:val="none" w:sz="0" w:space="0" w:color="auto"/>
            <w:bottom w:val="none" w:sz="0" w:space="0" w:color="auto"/>
            <w:right w:val="none" w:sz="0" w:space="0" w:color="auto"/>
          </w:divBdr>
        </w:div>
        <w:div w:id="176778420">
          <w:marLeft w:val="640"/>
          <w:marRight w:val="0"/>
          <w:marTop w:val="0"/>
          <w:marBottom w:val="0"/>
          <w:divBdr>
            <w:top w:val="none" w:sz="0" w:space="0" w:color="auto"/>
            <w:left w:val="none" w:sz="0" w:space="0" w:color="auto"/>
            <w:bottom w:val="none" w:sz="0" w:space="0" w:color="auto"/>
            <w:right w:val="none" w:sz="0" w:space="0" w:color="auto"/>
          </w:divBdr>
        </w:div>
        <w:div w:id="1335960267">
          <w:marLeft w:val="640"/>
          <w:marRight w:val="0"/>
          <w:marTop w:val="0"/>
          <w:marBottom w:val="0"/>
          <w:divBdr>
            <w:top w:val="none" w:sz="0" w:space="0" w:color="auto"/>
            <w:left w:val="none" w:sz="0" w:space="0" w:color="auto"/>
            <w:bottom w:val="none" w:sz="0" w:space="0" w:color="auto"/>
            <w:right w:val="none" w:sz="0" w:space="0" w:color="auto"/>
          </w:divBdr>
        </w:div>
        <w:div w:id="1314531669">
          <w:marLeft w:val="640"/>
          <w:marRight w:val="0"/>
          <w:marTop w:val="0"/>
          <w:marBottom w:val="0"/>
          <w:divBdr>
            <w:top w:val="none" w:sz="0" w:space="0" w:color="auto"/>
            <w:left w:val="none" w:sz="0" w:space="0" w:color="auto"/>
            <w:bottom w:val="none" w:sz="0" w:space="0" w:color="auto"/>
            <w:right w:val="none" w:sz="0" w:space="0" w:color="auto"/>
          </w:divBdr>
        </w:div>
        <w:div w:id="672759208">
          <w:marLeft w:val="640"/>
          <w:marRight w:val="0"/>
          <w:marTop w:val="0"/>
          <w:marBottom w:val="0"/>
          <w:divBdr>
            <w:top w:val="none" w:sz="0" w:space="0" w:color="auto"/>
            <w:left w:val="none" w:sz="0" w:space="0" w:color="auto"/>
            <w:bottom w:val="none" w:sz="0" w:space="0" w:color="auto"/>
            <w:right w:val="none" w:sz="0" w:space="0" w:color="auto"/>
          </w:divBdr>
        </w:div>
        <w:div w:id="973100849">
          <w:marLeft w:val="640"/>
          <w:marRight w:val="0"/>
          <w:marTop w:val="0"/>
          <w:marBottom w:val="0"/>
          <w:divBdr>
            <w:top w:val="none" w:sz="0" w:space="0" w:color="auto"/>
            <w:left w:val="none" w:sz="0" w:space="0" w:color="auto"/>
            <w:bottom w:val="none" w:sz="0" w:space="0" w:color="auto"/>
            <w:right w:val="none" w:sz="0" w:space="0" w:color="auto"/>
          </w:divBdr>
        </w:div>
        <w:div w:id="325474203">
          <w:marLeft w:val="640"/>
          <w:marRight w:val="0"/>
          <w:marTop w:val="0"/>
          <w:marBottom w:val="0"/>
          <w:divBdr>
            <w:top w:val="none" w:sz="0" w:space="0" w:color="auto"/>
            <w:left w:val="none" w:sz="0" w:space="0" w:color="auto"/>
            <w:bottom w:val="none" w:sz="0" w:space="0" w:color="auto"/>
            <w:right w:val="none" w:sz="0" w:space="0" w:color="auto"/>
          </w:divBdr>
        </w:div>
        <w:div w:id="1731926635">
          <w:marLeft w:val="640"/>
          <w:marRight w:val="0"/>
          <w:marTop w:val="0"/>
          <w:marBottom w:val="0"/>
          <w:divBdr>
            <w:top w:val="none" w:sz="0" w:space="0" w:color="auto"/>
            <w:left w:val="none" w:sz="0" w:space="0" w:color="auto"/>
            <w:bottom w:val="none" w:sz="0" w:space="0" w:color="auto"/>
            <w:right w:val="none" w:sz="0" w:space="0" w:color="auto"/>
          </w:divBdr>
        </w:div>
        <w:div w:id="301810871">
          <w:marLeft w:val="640"/>
          <w:marRight w:val="0"/>
          <w:marTop w:val="0"/>
          <w:marBottom w:val="0"/>
          <w:divBdr>
            <w:top w:val="none" w:sz="0" w:space="0" w:color="auto"/>
            <w:left w:val="none" w:sz="0" w:space="0" w:color="auto"/>
            <w:bottom w:val="none" w:sz="0" w:space="0" w:color="auto"/>
            <w:right w:val="none" w:sz="0" w:space="0" w:color="auto"/>
          </w:divBdr>
        </w:div>
        <w:div w:id="980311822">
          <w:marLeft w:val="640"/>
          <w:marRight w:val="0"/>
          <w:marTop w:val="0"/>
          <w:marBottom w:val="0"/>
          <w:divBdr>
            <w:top w:val="none" w:sz="0" w:space="0" w:color="auto"/>
            <w:left w:val="none" w:sz="0" w:space="0" w:color="auto"/>
            <w:bottom w:val="none" w:sz="0" w:space="0" w:color="auto"/>
            <w:right w:val="none" w:sz="0" w:space="0" w:color="auto"/>
          </w:divBdr>
        </w:div>
        <w:div w:id="788011822">
          <w:marLeft w:val="640"/>
          <w:marRight w:val="0"/>
          <w:marTop w:val="0"/>
          <w:marBottom w:val="0"/>
          <w:divBdr>
            <w:top w:val="none" w:sz="0" w:space="0" w:color="auto"/>
            <w:left w:val="none" w:sz="0" w:space="0" w:color="auto"/>
            <w:bottom w:val="none" w:sz="0" w:space="0" w:color="auto"/>
            <w:right w:val="none" w:sz="0" w:space="0" w:color="auto"/>
          </w:divBdr>
        </w:div>
        <w:div w:id="1226642577">
          <w:marLeft w:val="640"/>
          <w:marRight w:val="0"/>
          <w:marTop w:val="0"/>
          <w:marBottom w:val="0"/>
          <w:divBdr>
            <w:top w:val="none" w:sz="0" w:space="0" w:color="auto"/>
            <w:left w:val="none" w:sz="0" w:space="0" w:color="auto"/>
            <w:bottom w:val="none" w:sz="0" w:space="0" w:color="auto"/>
            <w:right w:val="none" w:sz="0" w:space="0" w:color="auto"/>
          </w:divBdr>
        </w:div>
        <w:div w:id="121581435">
          <w:marLeft w:val="640"/>
          <w:marRight w:val="0"/>
          <w:marTop w:val="0"/>
          <w:marBottom w:val="0"/>
          <w:divBdr>
            <w:top w:val="none" w:sz="0" w:space="0" w:color="auto"/>
            <w:left w:val="none" w:sz="0" w:space="0" w:color="auto"/>
            <w:bottom w:val="none" w:sz="0" w:space="0" w:color="auto"/>
            <w:right w:val="none" w:sz="0" w:space="0" w:color="auto"/>
          </w:divBdr>
        </w:div>
        <w:div w:id="686370739">
          <w:marLeft w:val="640"/>
          <w:marRight w:val="0"/>
          <w:marTop w:val="0"/>
          <w:marBottom w:val="0"/>
          <w:divBdr>
            <w:top w:val="none" w:sz="0" w:space="0" w:color="auto"/>
            <w:left w:val="none" w:sz="0" w:space="0" w:color="auto"/>
            <w:bottom w:val="none" w:sz="0" w:space="0" w:color="auto"/>
            <w:right w:val="none" w:sz="0" w:space="0" w:color="auto"/>
          </w:divBdr>
        </w:div>
        <w:div w:id="37751264">
          <w:marLeft w:val="640"/>
          <w:marRight w:val="0"/>
          <w:marTop w:val="0"/>
          <w:marBottom w:val="0"/>
          <w:divBdr>
            <w:top w:val="none" w:sz="0" w:space="0" w:color="auto"/>
            <w:left w:val="none" w:sz="0" w:space="0" w:color="auto"/>
            <w:bottom w:val="none" w:sz="0" w:space="0" w:color="auto"/>
            <w:right w:val="none" w:sz="0" w:space="0" w:color="auto"/>
          </w:divBdr>
        </w:div>
        <w:div w:id="1329332529">
          <w:marLeft w:val="640"/>
          <w:marRight w:val="0"/>
          <w:marTop w:val="0"/>
          <w:marBottom w:val="0"/>
          <w:divBdr>
            <w:top w:val="none" w:sz="0" w:space="0" w:color="auto"/>
            <w:left w:val="none" w:sz="0" w:space="0" w:color="auto"/>
            <w:bottom w:val="none" w:sz="0" w:space="0" w:color="auto"/>
            <w:right w:val="none" w:sz="0" w:space="0" w:color="auto"/>
          </w:divBdr>
        </w:div>
        <w:div w:id="898639073">
          <w:marLeft w:val="640"/>
          <w:marRight w:val="0"/>
          <w:marTop w:val="0"/>
          <w:marBottom w:val="0"/>
          <w:divBdr>
            <w:top w:val="none" w:sz="0" w:space="0" w:color="auto"/>
            <w:left w:val="none" w:sz="0" w:space="0" w:color="auto"/>
            <w:bottom w:val="none" w:sz="0" w:space="0" w:color="auto"/>
            <w:right w:val="none" w:sz="0" w:space="0" w:color="auto"/>
          </w:divBdr>
        </w:div>
        <w:div w:id="1691443510">
          <w:marLeft w:val="640"/>
          <w:marRight w:val="0"/>
          <w:marTop w:val="0"/>
          <w:marBottom w:val="0"/>
          <w:divBdr>
            <w:top w:val="none" w:sz="0" w:space="0" w:color="auto"/>
            <w:left w:val="none" w:sz="0" w:space="0" w:color="auto"/>
            <w:bottom w:val="none" w:sz="0" w:space="0" w:color="auto"/>
            <w:right w:val="none" w:sz="0" w:space="0" w:color="auto"/>
          </w:divBdr>
        </w:div>
        <w:div w:id="1979728510">
          <w:marLeft w:val="640"/>
          <w:marRight w:val="0"/>
          <w:marTop w:val="0"/>
          <w:marBottom w:val="0"/>
          <w:divBdr>
            <w:top w:val="none" w:sz="0" w:space="0" w:color="auto"/>
            <w:left w:val="none" w:sz="0" w:space="0" w:color="auto"/>
            <w:bottom w:val="none" w:sz="0" w:space="0" w:color="auto"/>
            <w:right w:val="none" w:sz="0" w:space="0" w:color="auto"/>
          </w:divBdr>
        </w:div>
        <w:div w:id="1733039301">
          <w:marLeft w:val="640"/>
          <w:marRight w:val="0"/>
          <w:marTop w:val="0"/>
          <w:marBottom w:val="0"/>
          <w:divBdr>
            <w:top w:val="none" w:sz="0" w:space="0" w:color="auto"/>
            <w:left w:val="none" w:sz="0" w:space="0" w:color="auto"/>
            <w:bottom w:val="none" w:sz="0" w:space="0" w:color="auto"/>
            <w:right w:val="none" w:sz="0" w:space="0" w:color="auto"/>
          </w:divBdr>
        </w:div>
        <w:div w:id="1208450363">
          <w:marLeft w:val="640"/>
          <w:marRight w:val="0"/>
          <w:marTop w:val="0"/>
          <w:marBottom w:val="0"/>
          <w:divBdr>
            <w:top w:val="none" w:sz="0" w:space="0" w:color="auto"/>
            <w:left w:val="none" w:sz="0" w:space="0" w:color="auto"/>
            <w:bottom w:val="none" w:sz="0" w:space="0" w:color="auto"/>
            <w:right w:val="none" w:sz="0" w:space="0" w:color="auto"/>
          </w:divBdr>
        </w:div>
        <w:div w:id="1933322093">
          <w:marLeft w:val="640"/>
          <w:marRight w:val="0"/>
          <w:marTop w:val="0"/>
          <w:marBottom w:val="0"/>
          <w:divBdr>
            <w:top w:val="none" w:sz="0" w:space="0" w:color="auto"/>
            <w:left w:val="none" w:sz="0" w:space="0" w:color="auto"/>
            <w:bottom w:val="none" w:sz="0" w:space="0" w:color="auto"/>
            <w:right w:val="none" w:sz="0" w:space="0" w:color="auto"/>
          </w:divBdr>
        </w:div>
        <w:div w:id="200828885">
          <w:marLeft w:val="640"/>
          <w:marRight w:val="0"/>
          <w:marTop w:val="0"/>
          <w:marBottom w:val="0"/>
          <w:divBdr>
            <w:top w:val="none" w:sz="0" w:space="0" w:color="auto"/>
            <w:left w:val="none" w:sz="0" w:space="0" w:color="auto"/>
            <w:bottom w:val="none" w:sz="0" w:space="0" w:color="auto"/>
            <w:right w:val="none" w:sz="0" w:space="0" w:color="auto"/>
          </w:divBdr>
        </w:div>
        <w:div w:id="14574474">
          <w:marLeft w:val="640"/>
          <w:marRight w:val="0"/>
          <w:marTop w:val="0"/>
          <w:marBottom w:val="0"/>
          <w:divBdr>
            <w:top w:val="none" w:sz="0" w:space="0" w:color="auto"/>
            <w:left w:val="none" w:sz="0" w:space="0" w:color="auto"/>
            <w:bottom w:val="none" w:sz="0" w:space="0" w:color="auto"/>
            <w:right w:val="none" w:sz="0" w:space="0" w:color="auto"/>
          </w:divBdr>
        </w:div>
        <w:div w:id="1274093591">
          <w:marLeft w:val="640"/>
          <w:marRight w:val="0"/>
          <w:marTop w:val="0"/>
          <w:marBottom w:val="0"/>
          <w:divBdr>
            <w:top w:val="none" w:sz="0" w:space="0" w:color="auto"/>
            <w:left w:val="none" w:sz="0" w:space="0" w:color="auto"/>
            <w:bottom w:val="none" w:sz="0" w:space="0" w:color="auto"/>
            <w:right w:val="none" w:sz="0" w:space="0" w:color="auto"/>
          </w:divBdr>
        </w:div>
        <w:div w:id="337125488">
          <w:marLeft w:val="640"/>
          <w:marRight w:val="0"/>
          <w:marTop w:val="0"/>
          <w:marBottom w:val="0"/>
          <w:divBdr>
            <w:top w:val="none" w:sz="0" w:space="0" w:color="auto"/>
            <w:left w:val="none" w:sz="0" w:space="0" w:color="auto"/>
            <w:bottom w:val="none" w:sz="0" w:space="0" w:color="auto"/>
            <w:right w:val="none" w:sz="0" w:space="0" w:color="auto"/>
          </w:divBdr>
        </w:div>
        <w:div w:id="132135644">
          <w:marLeft w:val="640"/>
          <w:marRight w:val="0"/>
          <w:marTop w:val="0"/>
          <w:marBottom w:val="0"/>
          <w:divBdr>
            <w:top w:val="none" w:sz="0" w:space="0" w:color="auto"/>
            <w:left w:val="none" w:sz="0" w:space="0" w:color="auto"/>
            <w:bottom w:val="none" w:sz="0" w:space="0" w:color="auto"/>
            <w:right w:val="none" w:sz="0" w:space="0" w:color="auto"/>
          </w:divBdr>
        </w:div>
        <w:div w:id="783961681">
          <w:marLeft w:val="640"/>
          <w:marRight w:val="0"/>
          <w:marTop w:val="0"/>
          <w:marBottom w:val="0"/>
          <w:divBdr>
            <w:top w:val="none" w:sz="0" w:space="0" w:color="auto"/>
            <w:left w:val="none" w:sz="0" w:space="0" w:color="auto"/>
            <w:bottom w:val="none" w:sz="0" w:space="0" w:color="auto"/>
            <w:right w:val="none" w:sz="0" w:space="0" w:color="auto"/>
          </w:divBdr>
        </w:div>
        <w:div w:id="241567820">
          <w:marLeft w:val="640"/>
          <w:marRight w:val="0"/>
          <w:marTop w:val="0"/>
          <w:marBottom w:val="0"/>
          <w:divBdr>
            <w:top w:val="none" w:sz="0" w:space="0" w:color="auto"/>
            <w:left w:val="none" w:sz="0" w:space="0" w:color="auto"/>
            <w:bottom w:val="none" w:sz="0" w:space="0" w:color="auto"/>
            <w:right w:val="none" w:sz="0" w:space="0" w:color="auto"/>
          </w:divBdr>
        </w:div>
        <w:div w:id="1560238774">
          <w:marLeft w:val="640"/>
          <w:marRight w:val="0"/>
          <w:marTop w:val="0"/>
          <w:marBottom w:val="0"/>
          <w:divBdr>
            <w:top w:val="none" w:sz="0" w:space="0" w:color="auto"/>
            <w:left w:val="none" w:sz="0" w:space="0" w:color="auto"/>
            <w:bottom w:val="none" w:sz="0" w:space="0" w:color="auto"/>
            <w:right w:val="none" w:sz="0" w:space="0" w:color="auto"/>
          </w:divBdr>
        </w:div>
        <w:div w:id="511071418">
          <w:marLeft w:val="640"/>
          <w:marRight w:val="0"/>
          <w:marTop w:val="0"/>
          <w:marBottom w:val="0"/>
          <w:divBdr>
            <w:top w:val="none" w:sz="0" w:space="0" w:color="auto"/>
            <w:left w:val="none" w:sz="0" w:space="0" w:color="auto"/>
            <w:bottom w:val="none" w:sz="0" w:space="0" w:color="auto"/>
            <w:right w:val="none" w:sz="0" w:space="0" w:color="auto"/>
          </w:divBdr>
        </w:div>
        <w:div w:id="1950089468">
          <w:marLeft w:val="640"/>
          <w:marRight w:val="0"/>
          <w:marTop w:val="0"/>
          <w:marBottom w:val="0"/>
          <w:divBdr>
            <w:top w:val="none" w:sz="0" w:space="0" w:color="auto"/>
            <w:left w:val="none" w:sz="0" w:space="0" w:color="auto"/>
            <w:bottom w:val="none" w:sz="0" w:space="0" w:color="auto"/>
            <w:right w:val="none" w:sz="0" w:space="0" w:color="auto"/>
          </w:divBdr>
        </w:div>
        <w:div w:id="1164854071">
          <w:marLeft w:val="640"/>
          <w:marRight w:val="0"/>
          <w:marTop w:val="0"/>
          <w:marBottom w:val="0"/>
          <w:divBdr>
            <w:top w:val="none" w:sz="0" w:space="0" w:color="auto"/>
            <w:left w:val="none" w:sz="0" w:space="0" w:color="auto"/>
            <w:bottom w:val="none" w:sz="0" w:space="0" w:color="auto"/>
            <w:right w:val="none" w:sz="0" w:space="0" w:color="auto"/>
          </w:divBdr>
        </w:div>
        <w:div w:id="790898170">
          <w:marLeft w:val="640"/>
          <w:marRight w:val="0"/>
          <w:marTop w:val="0"/>
          <w:marBottom w:val="0"/>
          <w:divBdr>
            <w:top w:val="none" w:sz="0" w:space="0" w:color="auto"/>
            <w:left w:val="none" w:sz="0" w:space="0" w:color="auto"/>
            <w:bottom w:val="none" w:sz="0" w:space="0" w:color="auto"/>
            <w:right w:val="none" w:sz="0" w:space="0" w:color="auto"/>
          </w:divBdr>
        </w:div>
        <w:div w:id="2142070649">
          <w:marLeft w:val="640"/>
          <w:marRight w:val="0"/>
          <w:marTop w:val="0"/>
          <w:marBottom w:val="0"/>
          <w:divBdr>
            <w:top w:val="none" w:sz="0" w:space="0" w:color="auto"/>
            <w:left w:val="none" w:sz="0" w:space="0" w:color="auto"/>
            <w:bottom w:val="none" w:sz="0" w:space="0" w:color="auto"/>
            <w:right w:val="none" w:sz="0" w:space="0" w:color="auto"/>
          </w:divBdr>
        </w:div>
        <w:div w:id="752778662">
          <w:marLeft w:val="640"/>
          <w:marRight w:val="0"/>
          <w:marTop w:val="0"/>
          <w:marBottom w:val="0"/>
          <w:divBdr>
            <w:top w:val="none" w:sz="0" w:space="0" w:color="auto"/>
            <w:left w:val="none" w:sz="0" w:space="0" w:color="auto"/>
            <w:bottom w:val="none" w:sz="0" w:space="0" w:color="auto"/>
            <w:right w:val="none" w:sz="0" w:space="0" w:color="auto"/>
          </w:divBdr>
        </w:div>
        <w:div w:id="145754241">
          <w:marLeft w:val="640"/>
          <w:marRight w:val="0"/>
          <w:marTop w:val="0"/>
          <w:marBottom w:val="0"/>
          <w:divBdr>
            <w:top w:val="none" w:sz="0" w:space="0" w:color="auto"/>
            <w:left w:val="none" w:sz="0" w:space="0" w:color="auto"/>
            <w:bottom w:val="none" w:sz="0" w:space="0" w:color="auto"/>
            <w:right w:val="none" w:sz="0" w:space="0" w:color="auto"/>
          </w:divBdr>
        </w:div>
        <w:div w:id="955523650">
          <w:marLeft w:val="640"/>
          <w:marRight w:val="0"/>
          <w:marTop w:val="0"/>
          <w:marBottom w:val="0"/>
          <w:divBdr>
            <w:top w:val="none" w:sz="0" w:space="0" w:color="auto"/>
            <w:left w:val="none" w:sz="0" w:space="0" w:color="auto"/>
            <w:bottom w:val="none" w:sz="0" w:space="0" w:color="auto"/>
            <w:right w:val="none" w:sz="0" w:space="0" w:color="auto"/>
          </w:divBdr>
        </w:div>
        <w:div w:id="1076318879">
          <w:marLeft w:val="640"/>
          <w:marRight w:val="0"/>
          <w:marTop w:val="0"/>
          <w:marBottom w:val="0"/>
          <w:divBdr>
            <w:top w:val="none" w:sz="0" w:space="0" w:color="auto"/>
            <w:left w:val="none" w:sz="0" w:space="0" w:color="auto"/>
            <w:bottom w:val="none" w:sz="0" w:space="0" w:color="auto"/>
            <w:right w:val="none" w:sz="0" w:space="0" w:color="auto"/>
          </w:divBdr>
        </w:div>
        <w:div w:id="929434425">
          <w:marLeft w:val="640"/>
          <w:marRight w:val="0"/>
          <w:marTop w:val="0"/>
          <w:marBottom w:val="0"/>
          <w:divBdr>
            <w:top w:val="none" w:sz="0" w:space="0" w:color="auto"/>
            <w:left w:val="none" w:sz="0" w:space="0" w:color="auto"/>
            <w:bottom w:val="none" w:sz="0" w:space="0" w:color="auto"/>
            <w:right w:val="none" w:sz="0" w:space="0" w:color="auto"/>
          </w:divBdr>
        </w:div>
        <w:div w:id="496505682">
          <w:marLeft w:val="640"/>
          <w:marRight w:val="0"/>
          <w:marTop w:val="0"/>
          <w:marBottom w:val="0"/>
          <w:divBdr>
            <w:top w:val="none" w:sz="0" w:space="0" w:color="auto"/>
            <w:left w:val="none" w:sz="0" w:space="0" w:color="auto"/>
            <w:bottom w:val="none" w:sz="0" w:space="0" w:color="auto"/>
            <w:right w:val="none" w:sz="0" w:space="0" w:color="auto"/>
          </w:divBdr>
        </w:div>
        <w:div w:id="893546478">
          <w:marLeft w:val="640"/>
          <w:marRight w:val="0"/>
          <w:marTop w:val="0"/>
          <w:marBottom w:val="0"/>
          <w:divBdr>
            <w:top w:val="none" w:sz="0" w:space="0" w:color="auto"/>
            <w:left w:val="none" w:sz="0" w:space="0" w:color="auto"/>
            <w:bottom w:val="none" w:sz="0" w:space="0" w:color="auto"/>
            <w:right w:val="none" w:sz="0" w:space="0" w:color="auto"/>
          </w:divBdr>
        </w:div>
        <w:div w:id="611716031">
          <w:marLeft w:val="640"/>
          <w:marRight w:val="0"/>
          <w:marTop w:val="0"/>
          <w:marBottom w:val="0"/>
          <w:divBdr>
            <w:top w:val="none" w:sz="0" w:space="0" w:color="auto"/>
            <w:left w:val="none" w:sz="0" w:space="0" w:color="auto"/>
            <w:bottom w:val="none" w:sz="0" w:space="0" w:color="auto"/>
            <w:right w:val="none" w:sz="0" w:space="0" w:color="auto"/>
          </w:divBdr>
        </w:div>
        <w:div w:id="549806350">
          <w:marLeft w:val="640"/>
          <w:marRight w:val="0"/>
          <w:marTop w:val="0"/>
          <w:marBottom w:val="0"/>
          <w:divBdr>
            <w:top w:val="none" w:sz="0" w:space="0" w:color="auto"/>
            <w:left w:val="none" w:sz="0" w:space="0" w:color="auto"/>
            <w:bottom w:val="none" w:sz="0" w:space="0" w:color="auto"/>
            <w:right w:val="none" w:sz="0" w:space="0" w:color="auto"/>
          </w:divBdr>
        </w:div>
        <w:div w:id="1858734190">
          <w:marLeft w:val="640"/>
          <w:marRight w:val="0"/>
          <w:marTop w:val="0"/>
          <w:marBottom w:val="0"/>
          <w:divBdr>
            <w:top w:val="none" w:sz="0" w:space="0" w:color="auto"/>
            <w:left w:val="none" w:sz="0" w:space="0" w:color="auto"/>
            <w:bottom w:val="none" w:sz="0" w:space="0" w:color="auto"/>
            <w:right w:val="none" w:sz="0" w:space="0" w:color="auto"/>
          </w:divBdr>
        </w:div>
        <w:div w:id="1848787767">
          <w:marLeft w:val="640"/>
          <w:marRight w:val="0"/>
          <w:marTop w:val="0"/>
          <w:marBottom w:val="0"/>
          <w:divBdr>
            <w:top w:val="none" w:sz="0" w:space="0" w:color="auto"/>
            <w:left w:val="none" w:sz="0" w:space="0" w:color="auto"/>
            <w:bottom w:val="none" w:sz="0" w:space="0" w:color="auto"/>
            <w:right w:val="none" w:sz="0" w:space="0" w:color="auto"/>
          </w:divBdr>
        </w:div>
        <w:div w:id="923686003">
          <w:marLeft w:val="640"/>
          <w:marRight w:val="0"/>
          <w:marTop w:val="0"/>
          <w:marBottom w:val="0"/>
          <w:divBdr>
            <w:top w:val="none" w:sz="0" w:space="0" w:color="auto"/>
            <w:left w:val="none" w:sz="0" w:space="0" w:color="auto"/>
            <w:bottom w:val="none" w:sz="0" w:space="0" w:color="auto"/>
            <w:right w:val="none" w:sz="0" w:space="0" w:color="auto"/>
          </w:divBdr>
        </w:div>
        <w:div w:id="1906377283">
          <w:marLeft w:val="640"/>
          <w:marRight w:val="0"/>
          <w:marTop w:val="0"/>
          <w:marBottom w:val="0"/>
          <w:divBdr>
            <w:top w:val="none" w:sz="0" w:space="0" w:color="auto"/>
            <w:left w:val="none" w:sz="0" w:space="0" w:color="auto"/>
            <w:bottom w:val="none" w:sz="0" w:space="0" w:color="auto"/>
            <w:right w:val="none" w:sz="0" w:space="0" w:color="auto"/>
          </w:divBdr>
        </w:div>
        <w:div w:id="1041252008">
          <w:marLeft w:val="640"/>
          <w:marRight w:val="0"/>
          <w:marTop w:val="0"/>
          <w:marBottom w:val="0"/>
          <w:divBdr>
            <w:top w:val="none" w:sz="0" w:space="0" w:color="auto"/>
            <w:left w:val="none" w:sz="0" w:space="0" w:color="auto"/>
            <w:bottom w:val="none" w:sz="0" w:space="0" w:color="auto"/>
            <w:right w:val="none" w:sz="0" w:space="0" w:color="auto"/>
          </w:divBdr>
        </w:div>
        <w:div w:id="1177884837">
          <w:marLeft w:val="640"/>
          <w:marRight w:val="0"/>
          <w:marTop w:val="0"/>
          <w:marBottom w:val="0"/>
          <w:divBdr>
            <w:top w:val="none" w:sz="0" w:space="0" w:color="auto"/>
            <w:left w:val="none" w:sz="0" w:space="0" w:color="auto"/>
            <w:bottom w:val="none" w:sz="0" w:space="0" w:color="auto"/>
            <w:right w:val="none" w:sz="0" w:space="0" w:color="auto"/>
          </w:divBdr>
        </w:div>
        <w:div w:id="43869850">
          <w:marLeft w:val="640"/>
          <w:marRight w:val="0"/>
          <w:marTop w:val="0"/>
          <w:marBottom w:val="0"/>
          <w:divBdr>
            <w:top w:val="none" w:sz="0" w:space="0" w:color="auto"/>
            <w:left w:val="none" w:sz="0" w:space="0" w:color="auto"/>
            <w:bottom w:val="none" w:sz="0" w:space="0" w:color="auto"/>
            <w:right w:val="none" w:sz="0" w:space="0" w:color="auto"/>
          </w:divBdr>
        </w:div>
        <w:div w:id="1495871597">
          <w:marLeft w:val="640"/>
          <w:marRight w:val="0"/>
          <w:marTop w:val="0"/>
          <w:marBottom w:val="0"/>
          <w:divBdr>
            <w:top w:val="none" w:sz="0" w:space="0" w:color="auto"/>
            <w:left w:val="none" w:sz="0" w:space="0" w:color="auto"/>
            <w:bottom w:val="none" w:sz="0" w:space="0" w:color="auto"/>
            <w:right w:val="none" w:sz="0" w:space="0" w:color="auto"/>
          </w:divBdr>
        </w:div>
        <w:div w:id="1245071675">
          <w:marLeft w:val="640"/>
          <w:marRight w:val="0"/>
          <w:marTop w:val="0"/>
          <w:marBottom w:val="0"/>
          <w:divBdr>
            <w:top w:val="none" w:sz="0" w:space="0" w:color="auto"/>
            <w:left w:val="none" w:sz="0" w:space="0" w:color="auto"/>
            <w:bottom w:val="none" w:sz="0" w:space="0" w:color="auto"/>
            <w:right w:val="none" w:sz="0" w:space="0" w:color="auto"/>
          </w:divBdr>
        </w:div>
        <w:div w:id="1756897884">
          <w:marLeft w:val="640"/>
          <w:marRight w:val="0"/>
          <w:marTop w:val="0"/>
          <w:marBottom w:val="0"/>
          <w:divBdr>
            <w:top w:val="none" w:sz="0" w:space="0" w:color="auto"/>
            <w:left w:val="none" w:sz="0" w:space="0" w:color="auto"/>
            <w:bottom w:val="none" w:sz="0" w:space="0" w:color="auto"/>
            <w:right w:val="none" w:sz="0" w:space="0" w:color="auto"/>
          </w:divBdr>
        </w:div>
        <w:div w:id="967400205">
          <w:marLeft w:val="640"/>
          <w:marRight w:val="0"/>
          <w:marTop w:val="0"/>
          <w:marBottom w:val="0"/>
          <w:divBdr>
            <w:top w:val="none" w:sz="0" w:space="0" w:color="auto"/>
            <w:left w:val="none" w:sz="0" w:space="0" w:color="auto"/>
            <w:bottom w:val="none" w:sz="0" w:space="0" w:color="auto"/>
            <w:right w:val="none" w:sz="0" w:space="0" w:color="auto"/>
          </w:divBdr>
        </w:div>
        <w:div w:id="667637296">
          <w:marLeft w:val="640"/>
          <w:marRight w:val="0"/>
          <w:marTop w:val="0"/>
          <w:marBottom w:val="0"/>
          <w:divBdr>
            <w:top w:val="none" w:sz="0" w:space="0" w:color="auto"/>
            <w:left w:val="none" w:sz="0" w:space="0" w:color="auto"/>
            <w:bottom w:val="none" w:sz="0" w:space="0" w:color="auto"/>
            <w:right w:val="none" w:sz="0" w:space="0" w:color="auto"/>
          </w:divBdr>
        </w:div>
        <w:div w:id="460923667">
          <w:marLeft w:val="640"/>
          <w:marRight w:val="0"/>
          <w:marTop w:val="0"/>
          <w:marBottom w:val="0"/>
          <w:divBdr>
            <w:top w:val="none" w:sz="0" w:space="0" w:color="auto"/>
            <w:left w:val="none" w:sz="0" w:space="0" w:color="auto"/>
            <w:bottom w:val="none" w:sz="0" w:space="0" w:color="auto"/>
            <w:right w:val="none" w:sz="0" w:space="0" w:color="auto"/>
          </w:divBdr>
        </w:div>
        <w:div w:id="847644070">
          <w:marLeft w:val="640"/>
          <w:marRight w:val="0"/>
          <w:marTop w:val="0"/>
          <w:marBottom w:val="0"/>
          <w:divBdr>
            <w:top w:val="none" w:sz="0" w:space="0" w:color="auto"/>
            <w:left w:val="none" w:sz="0" w:space="0" w:color="auto"/>
            <w:bottom w:val="none" w:sz="0" w:space="0" w:color="auto"/>
            <w:right w:val="none" w:sz="0" w:space="0" w:color="auto"/>
          </w:divBdr>
        </w:div>
        <w:div w:id="1060910070">
          <w:marLeft w:val="640"/>
          <w:marRight w:val="0"/>
          <w:marTop w:val="0"/>
          <w:marBottom w:val="0"/>
          <w:divBdr>
            <w:top w:val="none" w:sz="0" w:space="0" w:color="auto"/>
            <w:left w:val="none" w:sz="0" w:space="0" w:color="auto"/>
            <w:bottom w:val="none" w:sz="0" w:space="0" w:color="auto"/>
            <w:right w:val="none" w:sz="0" w:space="0" w:color="auto"/>
          </w:divBdr>
        </w:div>
        <w:div w:id="1787962513">
          <w:marLeft w:val="640"/>
          <w:marRight w:val="0"/>
          <w:marTop w:val="0"/>
          <w:marBottom w:val="0"/>
          <w:divBdr>
            <w:top w:val="none" w:sz="0" w:space="0" w:color="auto"/>
            <w:left w:val="none" w:sz="0" w:space="0" w:color="auto"/>
            <w:bottom w:val="none" w:sz="0" w:space="0" w:color="auto"/>
            <w:right w:val="none" w:sz="0" w:space="0" w:color="auto"/>
          </w:divBdr>
        </w:div>
        <w:div w:id="1785809782">
          <w:marLeft w:val="640"/>
          <w:marRight w:val="0"/>
          <w:marTop w:val="0"/>
          <w:marBottom w:val="0"/>
          <w:divBdr>
            <w:top w:val="none" w:sz="0" w:space="0" w:color="auto"/>
            <w:left w:val="none" w:sz="0" w:space="0" w:color="auto"/>
            <w:bottom w:val="none" w:sz="0" w:space="0" w:color="auto"/>
            <w:right w:val="none" w:sz="0" w:space="0" w:color="auto"/>
          </w:divBdr>
        </w:div>
        <w:div w:id="249433037">
          <w:marLeft w:val="640"/>
          <w:marRight w:val="0"/>
          <w:marTop w:val="0"/>
          <w:marBottom w:val="0"/>
          <w:divBdr>
            <w:top w:val="none" w:sz="0" w:space="0" w:color="auto"/>
            <w:left w:val="none" w:sz="0" w:space="0" w:color="auto"/>
            <w:bottom w:val="none" w:sz="0" w:space="0" w:color="auto"/>
            <w:right w:val="none" w:sz="0" w:space="0" w:color="auto"/>
          </w:divBdr>
        </w:div>
        <w:div w:id="1337919379">
          <w:marLeft w:val="640"/>
          <w:marRight w:val="0"/>
          <w:marTop w:val="0"/>
          <w:marBottom w:val="0"/>
          <w:divBdr>
            <w:top w:val="none" w:sz="0" w:space="0" w:color="auto"/>
            <w:left w:val="none" w:sz="0" w:space="0" w:color="auto"/>
            <w:bottom w:val="none" w:sz="0" w:space="0" w:color="auto"/>
            <w:right w:val="none" w:sz="0" w:space="0" w:color="auto"/>
          </w:divBdr>
        </w:div>
        <w:div w:id="356928102">
          <w:marLeft w:val="640"/>
          <w:marRight w:val="0"/>
          <w:marTop w:val="0"/>
          <w:marBottom w:val="0"/>
          <w:divBdr>
            <w:top w:val="none" w:sz="0" w:space="0" w:color="auto"/>
            <w:left w:val="none" w:sz="0" w:space="0" w:color="auto"/>
            <w:bottom w:val="none" w:sz="0" w:space="0" w:color="auto"/>
            <w:right w:val="none" w:sz="0" w:space="0" w:color="auto"/>
          </w:divBdr>
        </w:div>
        <w:div w:id="1345205780">
          <w:marLeft w:val="640"/>
          <w:marRight w:val="0"/>
          <w:marTop w:val="0"/>
          <w:marBottom w:val="0"/>
          <w:divBdr>
            <w:top w:val="none" w:sz="0" w:space="0" w:color="auto"/>
            <w:left w:val="none" w:sz="0" w:space="0" w:color="auto"/>
            <w:bottom w:val="none" w:sz="0" w:space="0" w:color="auto"/>
            <w:right w:val="none" w:sz="0" w:space="0" w:color="auto"/>
          </w:divBdr>
        </w:div>
        <w:div w:id="814219663">
          <w:marLeft w:val="640"/>
          <w:marRight w:val="0"/>
          <w:marTop w:val="0"/>
          <w:marBottom w:val="0"/>
          <w:divBdr>
            <w:top w:val="none" w:sz="0" w:space="0" w:color="auto"/>
            <w:left w:val="none" w:sz="0" w:space="0" w:color="auto"/>
            <w:bottom w:val="none" w:sz="0" w:space="0" w:color="auto"/>
            <w:right w:val="none" w:sz="0" w:space="0" w:color="auto"/>
          </w:divBdr>
        </w:div>
        <w:div w:id="1435902628">
          <w:marLeft w:val="640"/>
          <w:marRight w:val="0"/>
          <w:marTop w:val="0"/>
          <w:marBottom w:val="0"/>
          <w:divBdr>
            <w:top w:val="none" w:sz="0" w:space="0" w:color="auto"/>
            <w:left w:val="none" w:sz="0" w:space="0" w:color="auto"/>
            <w:bottom w:val="none" w:sz="0" w:space="0" w:color="auto"/>
            <w:right w:val="none" w:sz="0" w:space="0" w:color="auto"/>
          </w:divBdr>
        </w:div>
        <w:div w:id="151988525">
          <w:marLeft w:val="640"/>
          <w:marRight w:val="0"/>
          <w:marTop w:val="0"/>
          <w:marBottom w:val="0"/>
          <w:divBdr>
            <w:top w:val="none" w:sz="0" w:space="0" w:color="auto"/>
            <w:left w:val="none" w:sz="0" w:space="0" w:color="auto"/>
            <w:bottom w:val="none" w:sz="0" w:space="0" w:color="auto"/>
            <w:right w:val="none" w:sz="0" w:space="0" w:color="auto"/>
          </w:divBdr>
        </w:div>
        <w:div w:id="849300655">
          <w:marLeft w:val="640"/>
          <w:marRight w:val="0"/>
          <w:marTop w:val="0"/>
          <w:marBottom w:val="0"/>
          <w:divBdr>
            <w:top w:val="none" w:sz="0" w:space="0" w:color="auto"/>
            <w:left w:val="none" w:sz="0" w:space="0" w:color="auto"/>
            <w:bottom w:val="none" w:sz="0" w:space="0" w:color="auto"/>
            <w:right w:val="none" w:sz="0" w:space="0" w:color="auto"/>
          </w:divBdr>
        </w:div>
        <w:div w:id="2069650405">
          <w:marLeft w:val="640"/>
          <w:marRight w:val="0"/>
          <w:marTop w:val="0"/>
          <w:marBottom w:val="0"/>
          <w:divBdr>
            <w:top w:val="none" w:sz="0" w:space="0" w:color="auto"/>
            <w:left w:val="none" w:sz="0" w:space="0" w:color="auto"/>
            <w:bottom w:val="none" w:sz="0" w:space="0" w:color="auto"/>
            <w:right w:val="none" w:sz="0" w:space="0" w:color="auto"/>
          </w:divBdr>
        </w:div>
        <w:div w:id="45298823">
          <w:marLeft w:val="640"/>
          <w:marRight w:val="0"/>
          <w:marTop w:val="0"/>
          <w:marBottom w:val="0"/>
          <w:divBdr>
            <w:top w:val="none" w:sz="0" w:space="0" w:color="auto"/>
            <w:left w:val="none" w:sz="0" w:space="0" w:color="auto"/>
            <w:bottom w:val="none" w:sz="0" w:space="0" w:color="auto"/>
            <w:right w:val="none" w:sz="0" w:space="0" w:color="auto"/>
          </w:divBdr>
        </w:div>
        <w:div w:id="735084008">
          <w:marLeft w:val="640"/>
          <w:marRight w:val="0"/>
          <w:marTop w:val="0"/>
          <w:marBottom w:val="0"/>
          <w:divBdr>
            <w:top w:val="none" w:sz="0" w:space="0" w:color="auto"/>
            <w:left w:val="none" w:sz="0" w:space="0" w:color="auto"/>
            <w:bottom w:val="none" w:sz="0" w:space="0" w:color="auto"/>
            <w:right w:val="none" w:sz="0" w:space="0" w:color="auto"/>
          </w:divBdr>
        </w:div>
        <w:div w:id="1276982552">
          <w:marLeft w:val="640"/>
          <w:marRight w:val="0"/>
          <w:marTop w:val="0"/>
          <w:marBottom w:val="0"/>
          <w:divBdr>
            <w:top w:val="none" w:sz="0" w:space="0" w:color="auto"/>
            <w:left w:val="none" w:sz="0" w:space="0" w:color="auto"/>
            <w:bottom w:val="none" w:sz="0" w:space="0" w:color="auto"/>
            <w:right w:val="none" w:sz="0" w:space="0" w:color="auto"/>
          </w:divBdr>
        </w:div>
        <w:div w:id="2144031838">
          <w:marLeft w:val="640"/>
          <w:marRight w:val="0"/>
          <w:marTop w:val="0"/>
          <w:marBottom w:val="0"/>
          <w:divBdr>
            <w:top w:val="none" w:sz="0" w:space="0" w:color="auto"/>
            <w:left w:val="none" w:sz="0" w:space="0" w:color="auto"/>
            <w:bottom w:val="none" w:sz="0" w:space="0" w:color="auto"/>
            <w:right w:val="none" w:sz="0" w:space="0" w:color="auto"/>
          </w:divBdr>
        </w:div>
        <w:div w:id="1255288480">
          <w:marLeft w:val="640"/>
          <w:marRight w:val="0"/>
          <w:marTop w:val="0"/>
          <w:marBottom w:val="0"/>
          <w:divBdr>
            <w:top w:val="none" w:sz="0" w:space="0" w:color="auto"/>
            <w:left w:val="none" w:sz="0" w:space="0" w:color="auto"/>
            <w:bottom w:val="none" w:sz="0" w:space="0" w:color="auto"/>
            <w:right w:val="none" w:sz="0" w:space="0" w:color="auto"/>
          </w:divBdr>
        </w:div>
        <w:div w:id="1197812908">
          <w:marLeft w:val="640"/>
          <w:marRight w:val="0"/>
          <w:marTop w:val="0"/>
          <w:marBottom w:val="0"/>
          <w:divBdr>
            <w:top w:val="none" w:sz="0" w:space="0" w:color="auto"/>
            <w:left w:val="none" w:sz="0" w:space="0" w:color="auto"/>
            <w:bottom w:val="none" w:sz="0" w:space="0" w:color="auto"/>
            <w:right w:val="none" w:sz="0" w:space="0" w:color="auto"/>
          </w:divBdr>
        </w:div>
        <w:div w:id="1414663472">
          <w:marLeft w:val="640"/>
          <w:marRight w:val="0"/>
          <w:marTop w:val="0"/>
          <w:marBottom w:val="0"/>
          <w:divBdr>
            <w:top w:val="none" w:sz="0" w:space="0" w:color="auto"/>
            <w:left w:val="none" w:sz="0" w:space="0" w:color="auto"/>
            <w:bottom w:val="none" w:sz="0" w:space="0" w:color="auto"/>
            <w:right w:val="none" w:sz="0" w:space="0" w:color="auto"/>
          </w:divBdr>
        </w:div>
        <w:div w:id="1821538857">
          <w:marLeft w:val="640"/>
          <w:marRight w:val="0"/>
          <w:marTop w:val="0"/>
          <w:marBottom w:val="0"/>
          <w:divBdr>
            <w:top w:val="none" w:sz="0" w:space="0" w:color="auto"/>
            <w:left w:val="none" w:sz="0" w:space="0" w:color="auto"/>
            <w:bottom w:val="none" w:sz="0" w:space="0" w:color="auto"/>
            <w:right w:val="none" w:sz="0" w:space="0" w:color="auto"/>
          </w:divBdr>
        </w:div>
        <w:div w:id="471216546">
          <w:marLeft w:val="640"/>
          <w:marRight w:val="0"/>
          <w:marTop w:val="0"/>
          <w:marBottom w:val="0"/>
          <w:divBdr>
            <w:top w:val="none" w:sz="0" w:space="0" w:color="auto"/>
            <w:left w:val="none" w:sz="0" w:space="0" w:color="auto"/>
            <w:bottom w:val="none" w:sz="0" w:space="0" w:color="auto"/>
            <w:right w:val="none" w:sz="0" w:space="0" w:color="auto"/>
          </w:divBdr>
        </w:div>
        <w:div w:id="499273245">
          <w:marLeft w:val="640"/>
          <w:marRight w:val="0"/>
          <w:marTop w:val="0"/>
          <w:marBottom w:val="0"/>
          <w:divBdr>
            <w:top w:val="none" w:sz="0" w:space="0" w:color="auto"/>
            <w:left w:val="none" w:sz="0" w:space="0" w:color="auto"/>
            <w:bottom w:val="none" w:sz="0" w:space="0" w:color="auto"/>
            <w:right w:val="none" w:sz="0" w:space="0" w:color="auto"/>
          </w:divBdr>
        </w:div>
        <w:div w:id="1279680980">
          <w:marLeft w:val="640"/>
          <w:marRight w:val="0"/>
          <w:marTop w:val="0"/>
          <w:marBottom w:val="0"/>
          <w:divBdr>
            <w:top w:val="none" w:sz="0" w:space="0" w:color="auto"/>
            <w:left w:val="none" w:sz="0" w:space="0" w:color="auto"/>
            <w:bottom w:val="none" w:sz="0" w:space="0" w:color="auto"/>
            <w:right w:val="none" w:sz="0" w:space="0" w:color="auto"/>
          </w:divBdr>
        </w:div>
        <w:div w:id="463737996">
          <w:marLeft w:val="640"/>
          <w:marRight w:val="0"/>
          <w:marTop w:val="0"/>
          <w:marBottom w:val="0"/>
          <w:divBdr>
            <w:top w:val="none" w:sz="0" w:space="0" w:color="auto"/>
            <w:left w:val="none" w:sz="0" w:space="0" w:color="auto"/>
            <w:bottom w:val="none" w:sz="0" w:space="0" w:color="auto"/>
            <w:right w:val="none" w:sz="0" w:space="0" w:color="auto"/>
          </w:divBdr>
        </w:div>
        <w:div w:id="990408771">
          <w:marLeft w:val="640"/>
          <w:marRight w:val="0"/>
          <w:marTop w:val="0"/>
          <w:marBottom w:val="0"/>
          <w:divBdr>
            <w:top w:val="none" w:sz="0" w:space="0" w:color="auto"/>
            <w:left w:val="none" w:sz="0" w:space="0" w:color="auto"/>
            <w:bottom w:val="none" w:sz="0" w:space="0" w:color="auto"/>
            <w:right w:val="none" w:sz="0" w:space="0" w:color="auto"/>
          </w:divBdr>
        </w:div>
      </w:divsChild>
    </w:div>
    <w:div w:id="1865438919">
      <w:bodyDiv w:val="1"/>
      <w:marLeft w:val="0"/>
      <w:marRight w:val="0"/>
      <w:marTop w:val="0"/>
      <w:marBottom w:val="0"/>
      <w:divBdr>
        <w:top w:val="none" w:sz="0" w:space="0" w:color="auto"/>
        <w:left w:val="none" w:sz="0" w:space="0" w:color="auto"/>
        <w:bottom w:val="none" w:sz="0" w:space="0" w:color="auto"/>
        <w:right w:val="none" w:sz="0" w:space="0" w:color="auto"/>
      </w:divBdr>
    </w:div>
    <w:div w:id="1865941097">
      <w:bodyDiv w:val="1"/>
      <w:marLeft w:val="0"/>
      <w:marRight w:val="0"/>
      <w:marTop w:val="0"/>
      <w:marBottom w:val="0"/>
      <w:divBdr>
        <w:top w:val="none" w:sz="0" w:space="0" w:color="auto"/>
        <w:left w:val="none" w:sz="0" w:space="0" w:color="auto"/>
        <w:bottom w:val="none" w:sz="0" w:space="0" w:color="auto"/>
        <w:right w:val="none" w:sz="0" w:space="0" w:color="auto"/>
      </w:divBdr>
    </w:div>
    <w:div w:id="1867325945">
      <w:bodyDiv w:val="1"/>
      <w:marLeft w:val="0"/>
      <w:marRight w:val="0"/>
      <w:marTop w:val="0"/>
      <w:marBottom w:val="0"/>
      <w:divBdr>
        <w:top w:val="none" w:sz="0" w:space="0" w:color="auto"/>
        <w:left w:val="none" w:sz="0" w:space="0" w:color="auto"/>
        <w:bottom w:val="none" w:sz="0" w:space="0" w:color="auto"/>
        <w:right w:val="none" w:sz="0" w:space="0" w:color="auto"/>
      </w:divBdr>
    </w:div>
    <w:div w:id="1868130876">
      <w:bodyDiv w:val="1"/>
      <w:marLeft w:val="0"/>
      <w:marRight w:val="0"/>
      <w:marTop w:val="0"/>
      <w:marBottom w:val="0"/>
      <w:divBdr>
        <w:top w:val="none" w:sz="0" w:space="0" w:color="auto"/>
        <w:left w:val="none" w:sz="0" w:space="0" w:color="auto"/>
        <w:bottom w:val="none" w:sz="0" w:space="0" w:color="auto"/>
        <w:right w:val="none" w:sz="0" w:space="0" w:color="auto"/>
      </w:divBdr>
    </w:div>
    <w:div w:id="1869875188">
      <w:bodyDiv w:val="1"/>
      <w:marLeft w:val="0"/>
      <w:marRight w:val="0"/>
      <w:marTop w:val="0"/>
      <w:marBottom w:val="0"/>
      <w:divBdr>
        <w:top w:val="none" w:sz="0" w:space="0" w:color="auto"/>
        <w:left w:val="none" w:sz="0" w:space="0" w:color="auto"/>
        <w:bottom w:val="none" w:sz="0" w:space="0" w:color="auto"/>
        <w:right w:val="none" w:sz="0" w:space="0" w:color="auto"/>
      </w:divBdr>
    </w:div>
    <w:div w:id="1872721589">
      <w:bodyDiv w:val="1"/>
      <w:marLeft w:val="0"/>
      <w:marRight w:val="0"/>
      <w:marTop w:val="0"/>
      <w:marBottom w:val="0"/>
      <w:divBdr>
        <w:top w:val="none" w:sz="0" w:space="0" w:color="auto"/>
        <w:left w:val="none" w:sz="0" w:space="0" w:color="auto"/>
        <w:bottom w:val="none" w:sz="0" w:space="0" w:color="auto"/>
        <w:right w:val="none" w:sz="0" w:space="0" w:color="auto"/>
      </w:divBdr>
    </w:div>
    <w:div w:id="1876455133">
      <w:bodyDiv w:val="1"/>
      <w:marLeft w:val="0"/>
      <w:marRight w:val="0"/>
      <w:marTop w:val="0"/>
      <w:marBottom w:val="0"/>
      <w:divBdr>
        <w:top w:val="none" w:sz="0" w:space="0" w:color="auto"/>
        <w:left w:val="none" w:sz="0" w:space="0" w:color="auto"/>
        <w:bottom w:val="none" w:sz="0" w:space="0" w:color="auto"/>
        <w:right w:val="none" w:sz="0" w:space="0" w:color="auto"/>
      </w:divBdr>
    </w:div>
    <w:div w:id="1879396951">
      <w:bodyDiv w:val="1"/>
      <w:marLeft w:val="0"/>
      <w:marRight w:val="0"/>
      <w:marTop w:val="0"/>
      <w:marBottom w:val="0"/>
      <w:divBdr>
        <w:top w:val="none" w:sz="0" w:space="0" w:color="auto"/>
        <w:left w:val="none" w:sz="0" w:space="0" w:color="auto"/>
        <w:bottom w:val="none" w:sz="0" w:space="0" w:color="auto"/>
        <w:right w:val="none" w:sz="0" w:space="0" w:color="auto"/>
      </w:divBdr>
    </w:div>
    <w:div w:id="1881671661">
      <w:bodyDiv w:val="1"/>
      <w:marLeft w:val="0"/>
      <w:marRight w:val="0"/>
      <w:marTop w:val="0"/>
      <w:marBottom w:val="0"/>
      <w:divBdr>
        <w:top w:val="none" w:sz="0" w:space="0" w:color="auto"/>
        <w:left w:val="none" w:sz="0" w:space="0" w:color="auto"/>
        <w:bottom w:val="none" w:sz="0" w:space="0" w:color="auto"/>
        <w:right w:val="none" w:sz="0" w:space="0" w:color="auto"/>
      </w:divBdr>
    </w:div>
    <w:div w:id="1881817334">
      <w:bodyDiv w:val="1"/>
      <w:marLeft w:val="0"/>
      <w:marRight w:val="0"/>
      <w:marTop w:val="0"/>
      <w:marBottom w:val="0"/>
      <w:divBdr>
        <w:top w:val="none" w:sz="0" w:space="0" w:color="auto"/>
        <w:left w:val="none" w:sz="0" w:space="0" w:color="auto"/>
        <w:bottom w:val="none" w:sz="0" w:space="0" w:color="auto"/>
        <w:right w:val="none" w:sz="0" w:space="0" w:color="auto"/>
      </w:divBdr>
    </w:div>
    <w:div w:id="1884361585">
      <w:bodyDiv w:val="1"/>
      <w:marLeft w:val="0"/>
      <w:marRight w:val="0"/>
      <w:marTop w:val="0"/>
      <w:marBottom w:val="0"/>
      <w:divBdr>
        <w:top w:val="none" w:sz="0" w:space="0" w:color="auto"/>
        <w:left w:val="none" w:sz="0" w:space="0" w:color="auto"/>
        <w:bottom w:val="none" w:sz="0" w:space="0" w:color="auto"/>
        <w:right w:val="none" w:sz="0" w:space="0" w:color="auto"/>
      </w:divBdr>
    </w:div>
    <w:div w:id="1884904589">
      <w:bodyDiv w:val="1"/>
      <w:marLeft w:val="0"/>
      <w:marRight w:val="0"/>
      <w:marTop w:val="0"/>
      <w:marBottom w:val="0"/>
      <w:divBdr>
        <w:top w:val="none" w:sz="0" w:space="0" w:color="auto"/>
        <w:left w:val="none" w:sz="0" w:space="0" w:color="auto"/>
        <w:bottom w:val="none" w:sz="0" w:space="0" w:color="auto"/>
        <w:right w:val="none" w:sz="0" w:space="0" w:color="auto"/>
      </w:divBdr>
    </w:div>
    <w:div w:id="1885018537">
      <w:bodyDiv w:val="1"/>
      <w:marLeft w:val="0"/>
      <w:marRight w:val="0"/>
      <w:marTop w:val="0"/>
      <w:marBottom w:val="0"/>
      <w:divBdr>
        <w:top w:val="none" w:sz="0" w:space="0" w:color="auto"/>
        <w:left w:val="none" w:sz="0" w:space="0" w:color="auto"/>
        <w:bottom w:val="none" w:sz="0" w:space="0" w:color="auto"/>
        <w:right w:val="none" w:sz="0" w:space="0" w:color="auto"/>
      </w:divBdr>
    </w:div>
    <w:div w:id="1885437111">
      <w:bodyDiv w:val="1"/>
      <w:marLeft w:val="0"/>
      <w:marRight w:val="0"/>
      <w:marTop w:val="0"/>
      <w:marBottom w:val="0"/>
      <w:divBdr>
        <w:top w:val="none" w:sz="0" w:space="0" w:color="auto"/>
        <w:left w:val="none" w:sz="0" w:space="0" w:color="auto"/>
        <w:bottom w:val="none" w:sz="0" w:space="0" w:color="auto"/>
        <w:right w:val="none" w:sz="0" w:space="0" w:color="auto"/>
      </w:divBdr>
    </w:div>
    <w:div w:id="1888909785">
      <w:bodyDiv w:val="1"/>
      <w:marLeft w:val="0"/>
      <w:marRight w:val="0"/>
      <w:marTop w:val="0"/>
      <w:marBottom w:val="0"/>
      <w:divBdr>
        <w:top w:val="none" w:sz="0" w:space="0" w:color="auto"/>
        <w:left w:val="none" w:sz="0" w:space="0" w:color="auto"/>
        <w:bottom w:val="none" w:sz="0" w:space="0" w:color="auto"/>
        <w:right w:val="none" w:sz="0" w:space="0" w:color="auto"/>
      </w:divBdr>
    </w:div>
    <w:div w:id="1892376711">
      <w:bodyDiv w:val="1"/>
      <w:marLeft w:val="0"/>
      <w:marRight w:val="0"/>
      <w:marTop w:val="0"/>
      <w:marBottom w:val="0"/>
      <w:divBdr>
        <w:top w:val="none" w:sz="0" w:space="0" w:color="auto"/>
        <w:left w:val="none" w:sz="0" w:space="0" w:color="auto"/>
        <w:bottom w:val="none" w:sz="0" w:space="0" w:color="auto"/>
        <w:right w:val="none" w:sz="0" w:space="0" w:color="auto"/>
      </w:divBdr>
    </w:div>
    <w:div w:id="1893996498">
      <w:bodyDiv w:val="1"/>
      <w:marLeft w:val="0"/>
      <w:marRight w:val="0"/>
      <w:marTop w:val="0"/>
      <w:marBottom w:val="0"/>
      <w:divBdr>
        <w:top w:val="none" w:sz="0" w:space="0" w:color="auto"/>
        <w:left w:val="none" w:sz="0" w:space="0" w:color="auto"/>
        <w:bottom w:val="none" w:sz="0" w:space="0" w:color="auto"/>
        <w:right w:val="none" w:sz="0" w:space="0" w:color="auto"/>
      </w:divBdr>
    </w:div>
    <w:div w:id="1895462280">
      <w:bodyDiv w:val="1"/>
      <w:marLeft w:val="0"/>
      <w:marRight w:val="0"/>
      <w:marTop w:val="0"/>
      <w:marBottom w:val="0"/>
      <w:divBdr>
        <w:top w:val="none" w:sz="0" w:space="0" w:color="auto"/>
        <w:left w:val="none" w:sz="0" w:space="0" w:color="auto"/>
        <w:bottom w:val="none" w:sz="0" w:space="0" w:color="auto"/>
        <w:right w:val="none" w:sz="0" w:space="0" w:color="auto"/>
      </w:divBdr>
    </w:div>
    <w:div w:id="1895847487">
      <w:bodyDiv w:val="1"/>
      <w:marLeft w:val="0"/>
      <w:marRight w:val="0"/>
      <w:marTop w:val="0"/>
      <w:marBottom w:val="0"/>
      <w:divBdr>
        <w:top w:val="none" w:sz="0" w:space="0" w:color="auto"/>
        <w:left w:val="none" w:sz="0" w:space="0" w:color="auto"/>
        <w:bottom w:val="none" w:sz="0" w:space="0" w:color="auto"/>
        <w:right w:val="none" w:sz="0" w:space="0" w:color="auto"/>
      </w:divBdr>
    </w:div>
    <w:div w:id="1896430592">
      <w:bodyDiv w:val="1"/>
      <w:marLeft w:val="0"/>
      <w:marRight w:val="0"/>
      <w:marTop w:val="0"/>
      <w:marBottom w:val="0"/>
      <w:divBdr>
        <w:top w:val="none" w:sz="0" w:space="0" w:color="auto"/>
        <w:left w:val="none" w:sz="0" w:space="0" w:color="auto"/>
        <w:bottom w:val="none" w:sz="0" w:space="0" w:color="auto"/>
        <w:right w:val="none" w:sz="0" w:space="0" w:color="auto"/>
      </w:divBdr>
    </w:div>
    <w:div w:id="1897811802">
      <w:bodyDiv w:val="1"/>
      <w:marLeft w:val="0"/>
      <w:marRight w:val="0"/>
      <w:marTop w:val="0"/>
      <w:marBottom w:val="0"/>
      <w:divBdr>
        <w:top w:val="none" w:sz="0" w:space="0" w:color="auto"/>
        <w:left w:val="none" w:sz="0" w:space="0" w:color="auto"/>
        <w:bottom w:val="none" w:sz="0" w:space="0" w:color="auto"/>
        <w:right w:val="none" w:sz="0" w:space="0" w:color="auto"/>
      </w:divBdr>
    </w:div>
    <w:div w:id="1900675179">
      <w:bodyDiv w:val="1"/>
      <w:marLeft w:val="0"/>
      <w:marRight w:val="0"/>
      <w:marTop w:val="0"/>
      <w:marBottom w:val="0"/>
      <w:divBdr>
        <w:top w:val="none" w:sz="0" w:space="0" w:color="auto"/>
        <w:left w:val="none" w:sz="0" w:space="0" w:color="auto"/>
        <w:bottom w:val="none" w:sz="0" w:space="0" w:color="auto"/>
        <w:right w:val="none" w:sz="0" w:space="0" w:color="auto"/>
      </w:divBdr>
    </w:div>
    <w:div w:id="1904023576">
      <w:bodyDiv w:val="1"/>
      <w:marLeft w:val="0"/>
      <w:marRight w:val="0"/>
      <w:marTop w:val="0"/>
      <w:marBottom w:val="0"/>
      <w:divBdr>
        <w:top w:val="none" w:sz="0" w:space="0" w:color="auto"/>
        <w:left w:val="none" w:sz="0" w:space="0" w:color="auto"/>
        <w:bottom w:val="none" w:sz="0" w:space="0" w:color="auto"/>
        <w:right w:val="none" w:sz="0" w:space="0" w:color="auto"/>
      </w:divBdr>
    </w:div>
    <w:div w:id="1904370645">
      <w:bodyDiv w:val="1"/>
      <w:marLeft w:val="0"/>
      <w:marRight w:val="0"/>
      <w:marTop w:val="0"/>
      <w:marBottom w:val="0"/>
      <w:divBdr>
        <w:top w:val="none" w:sz="0" w:space="0" w:color="auto"/>
        <w:left w:val="none" w:sz="0" w:space="0" w:color="auto"/>
        <w:bottom w:val="none" w:sz="0" w:space="0" w:color="auto"/>
        <w:right w:val="none" w:sz="0" w:space="0" w:color="auto"/>
      </w:divBdr>
    </w:div>
    <w:div w:id="1906447988">
      <w:bodyDiv w:val="1"/>
      <w:marLeft w:val="0"/>
      <w:marRight w:val="0"/>
      <w:marTop w:val="0"/>
      <w:marBottom w:val="0"/>
      <w:divBdr>
        <w:top w:val="none" w:sz="0" w:space="0" w:color="auto"/>
        <w:left w:val="none" w:sz="0" w:space="0" w:color="auto"/>
        <w:bottom w:val="none" w:sz="0" w:space="0" w:color="auto"/>
        <w:right w:val="none" w:sz="0" w:space="0" w:color="auto"/>
      </w:divBdr>
    </w:div>
    <w:div w:id="1907916132">
      <w:bodyDiv w:val="1"/>
      <w:marLeft w:val="0"/>
      <w:marRight w:val="0"/>
      <w:marTop w:val="0"/>
      <w:marBottom w:val="0"/>
      <w:divBdr>
        <w:top w:val="none" w:sz="0" w:space="0" w:color="auto"/>
        <w:left w:val="none" w:sz="0" w:space="0" w:color="auto"/>
        <w:bottom w:val="none" w:sz="0" w:space="0" w:color="auto"/>
        <w:right w:val="none" w:sz="0" w:space="0" w:color="auto"/>
      </w:divBdr>
    </w:div>
    <w:div w:id="1909226953">
      <w:bodyDiv w:val="1"/>
      <w:marLeft w:val="0"/>
      <w:marRight w:val="0"/>
      <w:marTop w:val="0"/>
      <w:marBottom w:val="0"/>
      <w:divBdr>
        <w:top w:val="none" w:sz="0" w:space="0" w:color="auto"/>
        <w:left w:val="none" w:sz="0" w:space="0" w:color="auto"/>
        <w:bottom w:val="none" w:sz="0" w:space="0" w:color="auto"/>
        <w:right w:val="none" w:sz="0" w:space="0" w:color="auto"/>
      </w:divBdr>
      <w:divsChild>
        <w:div w:id="109251381">
          <w:marLeft w:val="640"/>
          <w:marRight w:val="0"/>
          <w:marTop w:val="0"/>
          <w:marBottom w:val="0"/>
          <w:divBdr>
            <w:top w:val="none" w:sz="0" w:space="0" w:color="auto"/>
            <w:left w:val="none" w:sz="0" w:space="0" w:color="auto"/>
            <w:bottom w:val="none" w:sz="0" w:space="0" w:color="auto"/>
            <w:right w:val="none" w:sz="0" w:space="0" w:color="auto"/>
          </w:divBdr>
        </w:div>
        <w:div w:id="2018263210">
          <w:marLeft w:val="640"/>
          <w:marRight w:val="0"/>
          <w:marTop w:val="0"/>
          <w:marBottom w:val="0"/>
          <w:divBdr>
            <w:top w:val="none" w:sz="0" w:space="0" w:color="auto"/>
            <w:left w:val="none" w:sz="0" w:space="0" w:color="auto"/>
            <w:bottom w:val="none" w:sz="0" w:space="0" w:color="auto"/>
            <w:right w:val="none" w:sz="0" w:space="0" w:color="auto"/>
          </w:divBdr>
        </w:div>
        <w:div w:id="1610239426">
          <w:marLeft w:val="640"/>
          <w:marRight w:val="0"/>
          <w:marTop w:val="0"/>
          <w:marBottom w:val="0"/>
          <w:divBdr>
            <w:top w:val="none" w:sz="0" w:space="0" w:color="auto"/>
            <w:left w:val="none" w:sz="0" w:space="0" w:color="auto"/>
            <w:bottom w:val="none" w:sz="0" w:space="0" w:color="auto"/>
            <w:right w:val="none" w:sz="0" w:space="0" w:color="auto"/>
          </w:divBdr>
        </w:div>
        <w:div w:id="603154879">
          <w:marLeft w:val="640"/>
          <w:marRight w:val="0"/>
          <w:marTop w:val="0"/>
          <w:marBottom w:val="0"/>
          <w:divBdr>
            <w:top w:val="none" w:sz="0" w:space="0" w:color="auto"/>
            <w:left w:val="none" w:sz="0" w:space="0" w:color="auto"/>
            <w:bottom w:val="none" w:sz="0" w:space="0" w:color="auto"/>
            <w:right w:val="none" w:sz="0" w:space="0" w:color="auto"/>
          </w:divBdr>
        </w:div>
        <w:div w:id="1585918228">
          <w:marLeft w:val="640"/>
          <w:marRight w:val="0"/>
          <w:marTop w:val="0"/>
          <w:marBottom w:val="0"/>
          <w:divBdr>
            <w:top w:val="none" w:sz="0" w:space="0" w:color="auto"/>
            <w:left w:val="none" w:sz="0" w:space="0" w:color="auto"/>
            <w:bottom w:val="none" w:sz="0" w:space="0" w:color="auto"/>
            <w:right w:val="none" w:sz="0" w:space="0" w:color="auto"/>
          </w:divBdr>
        </w:div>
        <w:div w:id="1338190158">
          <w:marLeft w:val="640"/>
          <w:marRight w:val="0"/>
          <w:marTop w:val="0"/>
          <w:marBottom w:val="0"/>
          <w:divBdr>
            <w:top w:val="none" w:sz="0" w:space="0" w:color="auto"/>
            <w:left w:val="none" w:sz="0" w:space="0" w:color="auto"/>
            <w:bottom w:val="none" w:sz="0" w:space="0" w:color="auto"/>
            <w:right w:val="none" w:sz="0" w:space="0" w:color="auto"/>
          </w:divBdr>
        </w:div>
        <w:div w:id="532692820">
          <w:marLeft w:val="640"/>
          <w:marRight w:val="0"/>
          <w:marTop w:val="0"/>
          <w:marBottom w:val="0"/>
          <w:divBdr>
            <w:top w:val="none" w:sz="0" w:space="0" w:color="auto"/>
            <w:left w:val="none" w:sz="0" w:space="0" w:color="auto"/>
            <w:bottom w:val="none" w:sz="0" w:space="0" w:color="auto"/>
            <w:right w:val="none" w:sz="0" w:space="0" w:color="auto"/>
          </w:divBdr>
        </w:div>
        <w:div w:id="273251289">
          <w:marLeft w:val="640"/>
          <w:marRight w:val="0"/>
          <w:marTop w:val="0"/>
          <w:marBottom w:val="0"/>
          <w:divBdr>
            <w:top w:val="none" w:sz="0" w:space="0" w:color="auto"/>
            <w:left w:val="none" w:sz="0" w:space="0" w:color="auto"/>
            <w:bottom w:val="none" w:sz="0" w:space="0" w:color="auto"/>
            <w:right w:val="none" w:sz="0" w:space="0" w:color="auto"/>
          </w:divBdr>
        </w:div>
        <w:div w:id="1388726067">
          <w:marLeft w:val="640"/>
          <w:marRight w:val="0"/>
          <w:marTop w:val="0"/>
          <w:marBottom w:val="0"/>
          <w:divBdr>
            <w:top w:val="none" w:sz="0" w:space="0" w:color="auto"/>
            <w:left w:val="none" w:sz="0" w:space="0" w:color="auto"/>
            <w:bottom w:val="none" w:sz="0" w:space="0" w:color="auto"/>
            <w:right w:val="none" w:sz="0" w:space="0" w:color="auto"/>
          </w:divBdr>
        </w:div>
        <w:div w:id="230576906">
          <w:marLeft w:val="640"/>
          <w:marRight w:val="0"/>
          <w:marTop w:val="0"/>
          <w:marBottom w:val="0"/>
          <w:divBdr>
            <w:top w:val="none" w:sz="0" w:space="0" w:color="auto"/>
            <w:left w:val="none" w:sz="0" w:space="0" w:color="auto"/>
            <w:bottom w:val="none" w:sz="0" w:space="0" w:color="auto"/>
            <w:right w:val="none" w:sz="0" w:space="0" w:color="auto"/>
          </w:divBdr>
        </w:div>
        <w:div w:id="1367876891">
          <w:marLeft w:val="640"/>
          <w:marRight w:val="0"/>
          <w:marTop w:val="0"/>
          <w:marBottom w:val="0"/>
          <w:divBdr>
            <w:top w:val="none" w:sz="0" w:space="0" w:color="auto"/>
            <w:left w:val="none" w:sz="0" w:space="0" w:color="auto"/>
            <w:bottom w:val="none" w:sz="0" w:space="0" w:color="auto"/>
            <w:right w:val="none" w:sz="0" w:space="0" w:color="auto"/>
          </w:divBdr>
        </w:div>
        <w:div w:id="40714948">
          <w:marLeft w:val="640"/>
          <w:marRight w:val="0"/>
          <w:marTop w:val="0"/>
          <w:marBottom w:val="0"/>
          <w:divBdr>
            <w:top w:val="none" w:sz="0" w:space="0" w:color="auto"/>
            <w:left w:val="none" w:sz="0" w:space="0" w:color="auto"/>
            <w:bottom w:val="none" w:sz="0" w:space="0" w:color="auto"/>
            <w:right w:val="none" w:sz="0" w:space="0" w:color="auto"/>
          </w:divBdr>
        </w:div>
        <w:div w:id="1750274240">
          <w:marLeft w:val="640"/>
          <w:marRight w:val="0"/>
          <w:marTop w:val="0"/>
          <w:marBottom w:val="0"/>
          <w:divBdr>
            <w:top w:val="none" w:sz="0" w:space="0" w:color="auto"/>
            <w:left w:val="none" w:sz="0" w:space="0" w:color="auto"/>
            <w:bottom w:val="none" w:sz="0" w:space="0" w:color="auto"/>
            <w:right w:val="none" w:sz="0" w:space="0" w:color="auto"/>
          </w:divBdr>
        </w:div>
        <w:div w:id="495923586">
          <w:marLeft w:val="640"/>
          <w:marRight w:val="0"/>
          <w:marTop w:val="0"/>
          <w:marBottom w:val="0"/>
          <w:divBdr>
            <w:top w:val="none" w:sz="0" w:space="0" w:color="auto"/>
            <w:left w:val="none" w:sz="0" w:space="0" w:color="auto"/>
            <w:bottom w:val="none" w:sz="0" w:space="0" w:color="auto"/>
            <w:right w:val="none" w:sz="0" w:space="0" w:color="auto"/>
          </w:divBdr>
        </w:div>
        <w:div w:id="1471362162">
          <w:marLeft w:val="640"/>
          <w:marRight w:val="0"/>
          <w:marTop w:val="0"/>
          <w:marBottom w:val="0"/>
          <w:divBdr>
            <w:top w:val="none" w:sz="0" w:space="0" w:color="auto"/>
            <w:left w:val="none" w:sz="0" w:space="0" w:color="auto"/>
            <w:bottom w:val="none" w:sz="0" w:space="0" w:color="auto"/>
            <w:right w:val="none" w:sz="0" w:space="0" w:color="auto"/>
          </w:divBdr>
        </w:div>
        <w:div w:id="29258791">
          <w:marLeft w:val="640"/>
          <w:marRight w:val="0"/>
          <w:marTop w:val="0"/>
          <w:marBottom w:val="0"/>
          <w:divBdr>
            <w:top w:val="none" w:sz="0" w:space="0" w:color="auto"/>
            <w:left w:val="none" w:sz="0" w:space="0" w:color="auto"/>
            <w:bottom w:val="none" w:sz="0" w:space="0" w:color="auto"/>
            <w:right w:val="none" w:sz="0" w:space="0" w:color="auto"/>
          </w:divBdr>
        </w:div>
        <w:div w:id="337973877">
          <w:marLeft w:val="640"/>
          <w:marRight w:val="0"/>
          <w:marTop w:val="0"/>
          <w:marBottom w:val="0"/>
          <w:divBdr>
            <w:top w:val="none" w:sz="0" w:space="0" w:color="auto"/>
            <w:left w:val="none" w:sz="0" w:space="0" w:color="auto"/>
            <w:bottom w:val="none" w:sz="0" w:space="0" w:color="auto"/>
            <w:right w:val="none" w:sz="0" w:space="0" w:color="auto"/>
          </w:divBdr>
        </w:div>
        <w:div w:id="611715238">
          <w:marLeft w:val="640"/>
          <w:marRight w:val="0"/>
          <w:marTop w:val="0"/>
          <w:marBottom w:val="0"/>
          <w:divBdr>
            <w:top w:val="none" w:sz="0" w:space="0" w:color="auto"/>
            <w:left w:val="none" w:sz="0" w:space="0" w:color="auto"/>
            <w:bottom w:val="none" w:sz="0" w:space="0" w:color="auto"/>
            <w:right w:val="none" w:sz="0" w:space="0" w:color="auto"/>
          </w:divBdr>
        </w:div>
        <w:div w:id="1140804022">
          <w:marLeft w:val="640"/>
          <w:marRight w:val="0"/>
          <w:marTop w:val="0"/>
          <w:marBottom w:val="0"/>
          <w:divBdr>
            <w:top w:val="none" w:sz="0" w:space="0" w:color="auto"/>
            <w:left w:val="none" w:sz="0" w:space="0" w:color="auto"/>
            <w:bottom w:val="none" w:sz="0" w:space="0" w:color="auto"/>
            <w:right w:val="none" w:sz="0" w:space="0" w:color="auto"/>
          </w:divBdr>
        </w:div>
        <w:div w:id="2063167940">
          <w:marLeft w:val="640"/>
          <w:marRight w:val="0"/>
          <w:marTop w:val="0"/>
          <w:marBottom w:val="0"/>
          <w:divBdr>
            <w:top w:val="none" w:sz="0" w:space="0" w:color="auto"/>
            <w:left w:val="none" w:sz="0" w:space="0" w:color="auto"/>
            <w:bottom w:val="none" w:sz="0" w:space="0" w:color="auto"/>
            <w:right w:val="none" w:sz="0" w:space="0" w:color="auto"/>
          </w:divBdr>
        </w:div>
        <w:div w:id="434249182">
          <w:marLeft w:val="640"/>
          <w:marRight w:val="0"/>
          <w:marTop w:val="0"/>
          <w:marBottom w:val="0"/>
          <w:divBdr>
            <w:top w:val="none" w:sz="0" w:space="0" w:color="auto"/>
            <w:left w:val="none" w:sz="0" w:space="0" w:color="auto"/>
            <w:bottom w:val="none" w:sz="0" w:space="0" w:color="auto"/>
            <w:right w:val="none" w:sz="0" w:space="0" w:color="auto"/>
          </w:divBdr>
        </w:div>
        <w:div w:id="1843011719">
          <w:marLeft w:val="640"/>
          <w:marRight w:val="0"/>
          <w:marTop w:val="0"/>
          <w:marBottom w:val="0"/>
          <w:divBdr>
            <w:top w:val="none" w:sz="0" w:space="0" w:color="auto"/>
            <w:left w:val="none" w:sz="0" w:space="0" w:color="auto"/>
            <w:bottom w:val="none" w:sz="0" w:space="0" w:color="auto"/>
            <w:right w:val="none" w:sz="0" w:space="0" w:color="auto"/>
          </w:divBdr>
        </w:div>
        <w:div w:id="1796556542">
          <w:marLeft w:val="640"/>
          <w:marRight w:val="0"/>
          <w:marTop w:val="0"/>
          <w:marBottom w:val="0"/>
          <w:divBdr>
            <w:top w:val="none" w:sz="0" w:space="0" w:color="auto"/>
            <w:left w:val="none" w:sz="0" w:space="0" w:color="auto"/>
            <w:bottom w:val="none" w:sz="0" w:space="0" w:color="auto"/>
            <w:right w:val="none" w:sz="0" w:space="0" w:color="auto"/>
          </w:divBdr>
        </w:div>
        <w:div w:id="215703770">
          <w:marLeft w:val="640"/>
          <w:marRight w:val="0"/>
          <w:marTop w:val="0"/>
          <w:marBottom w:val="0"/>
          <w:divBdr>
            <w:top w:val="none" w:sz="0" w:space="0" w:color="auto"/>
            <w:left w:val="none" w:sz="0" w:space="0" w:color="auto"/>
            <w:bottom w:val="none" w:sz="0" w:space="0" w:color="auto"/>
            <w:right w:val="none" w:sz="0" w:space="0" w:color="auto"/>
          </w:divBdr>
        </w:div>
        <w:div w:id="576790588">
          <w:marLeft w:val="640"/>
          <w:marRight w:val="0"/>
          <w:marTop w:val="0"/>
          <w:marBottom w:val="0"/>
          <w:divBdr>
            <w:top w:val="none" w:sz="0" w:space="0" w:color="auto"/>
            <w:left w:val="none" w:sz="0" w:space="0" w:color="auto"/>
            <w:bottom w:val="none" w:sz="0" w:space="0" w:color="auto"/>
            <w:right w:val="none" w:sz="0" w:space="0" w:color="auto"/>
          </w:divBdr>
        </w:div>
        <w:div w:id="677658413">
          <w:marLeft w:val="640"/>
          <w:marRight w:val="0"/>
          <w:marTop w:val="0"/>
          <w:marBottom w:val="0"/>
          <w:divBdr>
            <w:top w:val="none" w:sz="0" w:space="0" w:color="auto"/>
            <w:left w:val="none" w:sz="0" w:space="0" w:color="auto"/>
            <w:bottom w:val="none" w:sz="0" w:space="0" w:color="auto"/>
            <w:right w:val="none" w:sz="0" w:space="0" w:color="auto"/>
          </w:divBdr>
        </w:div>
        <w:div w:id="1206714837">
          <w:marLeft w:val="640"/>
          <w:marRight w:val="0"/>
          <w:marTop w:val="0"/>
          <w:marBottom w:val="0"/>
          <w:divBdr>
            <w:top w:val="none" w:sz="0" w:space="0" w:color="auto"/>
            <w:left w:val="none" w:sz="0" w:space="0" w:color="auto"/>
            <w:bottom w:val="none" w:sz="0" w:space="0" w:color="auto"/>
            <w:right w:val="none" w:sz="0" w:space="0" w:color="auto"/>
          </w:divBdr>
        </w:div>
        <w:div w:id="1272469688">
          <w:marLeft w:val="640"/>
          <w:marRight w:val="0"/>
          <w:marTop w:val="0"/>
          <w:marBottom w:val="0"/>
          <w:divBdr>
            <w:top w:val="none" w:sz="0" w:space="0" w:color="auto"/>
            <w:left w:val="none" w:sz="0" w:space="0" w:color="auto"/>
            <w:bottom w:val="none" w:sz="0" w:space="0" w:color="auto"/>
            <w:right w:val="none" w:sz="0" w:space="0" w:color="auto"/>
          </w:divBdr>
        </w:div>
        <w:div w:id="458107567">
          <w:marLeft w:val="640"/>
          <w:marRight w:val="0"/>
          <w:marTop w:val="0"/>
          <w:marBottom w:val="0"/>
          <w:divBdr>
            <w:top w:val="none" w:sz="0" w:space="0" w:color="auto"/>
            <w:left w:val="none" w:sz="0" w:space="0" w:color="auto"/>
            <w:bottom w:val="none" w:sz="0" w:space="0" w:color="auto"/>
            <w:right w:val="none" w:sz="0" w:space="0" w:color="auto"/>
          </w:divBdr>
        </w:div>
        <w:div w:id="11492895">
          <w:marLeft w:val="640"/>
          <w:marRight w:val="0"/>
          <w:marTop w:val="0"/>
          <w:marBottom w:val="0"/>
          <w:divBdr>
            <w:top w:val="none" w:sz="0" w:space="0" w:color="auto"/>
            <w:left w:val="none" w:sz="0" w:space="0" w:color="auto"/>
            <w:bottom w:val="none" w:sz="0" w:space="0" w:color="auto"/>
            <w:right w:val="none" w:sz="0" w:space="0" w:color="auto"/>
          </w:divBdr>
        </w:div>
        <w:div w:id="1862088572">
          <w:marLeft w:val="640"/>
          <w:marRight w:val="0"/>
          <w:marTop w:val="0"/>
          <w:marBottom w:val="0"/>
          <w:divBdr>
            <w:top w:val="none" w:sz="0" w:space="0" w:color="auto"/>
            <w:left w:val="none" w:sz="0" w:space="0" w:color="auto"/>
            <w:bottom w:val="none" w:sz="0" w:space="0" w:color="auto"/>
            <w:right w:val="none" w:sz="0" w:space="0" w:color="auto"/>
          </w:divBdr>
        </w:div>
        <w:div w:id="963735515">
          <w:marLeft w:val="640"/>
          <w:marRight w:val="0"/>
          <w:marTop w:val="0"/>
          <w:marBottom w:val="0"/>
          <w:divBdr>
            <w:top w:val="none" w:sz="0" w:space="0" w:color="auto"/>
            <w:left w:val="none" w:sz="0" w:space="0" w:color="auto"/>
            <w:bottom w:val="none" w:sz="0" w:space="0" w:color="auto"/>
            <w:right w:val="none" w:sz="0" w:space="0" w:color="auto"/>
          </w:divBdr>
        </w:div>
        <w:div w:id="1430466868">
          <w:marLeft w:val="640"/>
          <w:marRight w:val="0"/>
          <w:marTop w:val="0"/>
          <w:marBottom w:val="0"/>
          <w:divBdr>
            <w:top w:val="none" w:sz="0" w:space="0" w:color="auto"/>
            <w:left w:val="none" w:sz="0" w:space="0" w:color="auto"/>
            <w:bottom w:val="none" w:sz="0" w:space="0" w:color="auto"/>
            <w:right w:val="none" w:sz="0" w:space="0" w:color="auto"/>
          </w:divBdr>
        </w:div>
        <w:div w:id="1012293294">
          <w:marLeft w:val="640"/>
          <w:marRight w:val="0"/>
          <w:marTop w:val="0"/>
          <w:marBottom w:val="0"/>
          <w:divBdr>
            <w:top w:val="none" w:sz="0" w:space="0" w:color="auto"/>
            <w:left w:val="none" w:sz="0" w:space="0" w:color="auto"/>
            <w:bottom w:val="none" w:sz="0" w:space="0" w:color="auto"/>
            <w:right w:val="none" w:sz="0" w:space="0" w:color="auto"/>
          </w:divBdr>
        </w:div>
        <w:div w:id="1768773252">
          <w:marLeft w:val="640"/>
          <w:marRight w:val="0"/>
          <w:marTop w:val="0"/>
          <w:marBottom w:val="0"/>
          <w:divBdr>
            <w:top w:val="none" w:sz="0" w:space="0" w:color="auto"/>
            <w:left w:val="none" w:sz="0" w:space="0" w:color="auto"/>
            <w:bottom w:val="none" w:sz="0" w:space="0" w:color="auto"/>
            <w:right w:val="none" w:sz="0" w:space="0" w:color="auto"/>
          </w:divBdr>
        </w:div>
        <w:div w:id="474416536">
          <w:marLeft w:val="640"/>
          <w:marRight w:val="0"/>
          <w:marTop w:val="0"/>
          <w:marBottom w:val="0"/>
          <w:divBdr>
            <w:top w:val="none" w:sz="0" w:space="0" w:color="auto"/>
            <w:left w:val="none" w:sz="0" w:space="0" w:color="auto"/>
            <w:bottom w:val="none" w:sz="0" w:space="0" w:color="auto"/>
            <w:right w:val="none" w:sz="0" w:space="0" w:color="auto"/>
          </w:divBdr>
        </w:div>
        <w:div w:id="370230356">
          <w:marLeft w:val="640"/>
          <w:marRight w:val="0"/>
          <w:marTop w:val="0"/>
          <w:marBottom w:val="0"/>
          <w:divBdr>
            <w:top w:val="none" w:sz="0" w:space="0" w:color="auto"/>
            <w:left w:val="none" w:sz="0" w:space="0" w:color="auto"/>
            <w:bottom w:val="none" w:sz="0" w:space="0" w:color="auto"/>
            <w:right w:val="none" w:sz="0" w:space="0" w:color="auto"/>
          </w:divBdr>
        </w:div>
        <w:div w:id="1626429866">
          <w:marLeft w:val="640"/>
          <w:marRight w:val="0"/>
          <w:marTop w:val="0"/>
          <w:marBottom w:val="0"/>
          <w:divBdr>
            <w:top w:val="none" w:sz="0" w:space="0" w:color="auto"/>
            <w:left w:val="none" w:sz="0" w:space="0" w:color="auto"/>
            <w:bottom w:val="none" w:sz="0" w:space="0" w:color="auto"/>
            <w:right w:val="none" w:sz="0" w:space="0" w:color="auto"/>
          </w:divBdr>
        </w:div>
        <w:div w:id="1864630520">
          <w:marLeft w:val="640"/>
          <w:marRight w:val="0"/>
          <w:marTop w:val="0"/>
          <w:marBottom w:val="0"/>
          <w:divBdr>
            <w:top w:val="none" w:sz="0" w:space="0" w:color="auto"/>
            <w:left w:val="none" w:sz="0" w:space="0" w:color="auto"/>
            <w:bottom w:val="none" w:sz="0" w:space="0" w:color="auto"/>
            <w:right w:val="none" w:sz="0" w:space="0" w:color="auto"/>
          </w:divBdr>
        </w:div>
        <w:div w:id="639967906">
          <w:marLeft w:val="640"/>
          <w:marRight w:val="0"/>
          <w:marTop w:val="0"/>
          <w:marBottom w:val="0"/>
          <w:divBdr>
            <w:top w:val="none" w:sz="0" w:space="0" w:color="auto"/>
            <w:left w:val="none" w:sz="0" w:space="0" w:color="auto"/>
            <w:bottom w:val="none" w:sz="0" w:space="0" w:color="auto"/>
            <w:right w:val="none" w:sz="0" w:space="0" w:color="auto"/>
          </w:divBdr>
        </w:div>
        <w:div w:id="545407518">
          <w:marLeft w:val="640"/>
          <w:marRight w:val="0"/>
          <w:marTop w:val="0"/>
          <w:marBottom w:val="0"/>
          <w:divBdr>
            <w:top w:val="none" w:sz="0" w:space="0" w:color="auto"/>
            <w:left w:val="none" w:sz="0" w:space="0" w:color="auto"/>
            <w:bottom w:val="none" w:sz="0" w:space="0" w:color="auto"/>
            <w:right w:val="none" w:sz="0" w:space="0" w:color="auto"/>
          </w:divBdr>
        </w:div>
        <w:div w:id="204634945">
          <w:marLeft w:val="640"/>
          <w:marRight w:val="0"/>
          <w:marTop w:val="0"/>
          <w:marBottom w:val="0"/>
          <w:divBdr>
            <w:top w:val="none" w:sz="0" w:space="0" w:color="auto"/>
            <w:left w:val="none" w:sz="0" w:space="0" w:color="auto"/>
            <w:bottom w:val="none" w:sz="0" w:space="0" w:color="auto"/>
            <w:right w:val="none" w:sz="0" w:space="0" w:color="auto"/>
          </w:divBdr>
        </w:div>
        <w:div w:id="131485306">
          <w:marLeft w:val="640"/>
          <w:marRight w:val="0"/>
          <w:marTop w:val="0"/>
          <w:marBottom w:val="0"/>
          <w:divBdr>
            <w:top w:val="none" w:sz="0" w:space="0" w:color="auto"/>
            <w:left w:val="none" w:sz="0" w:space="0" w:color="auto"/>
            <w:bottom w:val="none" w:sz="0" w:space="0" w:color="auto"/>
            <w:right w:val="none" w:sz="0" w:space="0" w:color="auto"/>
          </w:divBdr>
        </w:div>
        <w:div w:id="1058279564">
          <w:marLeft w:val="640"/>
          <w:marRight w:val="0"/>
          <w:marTop w:val="0"/>
          <w:marBottom w:val="0"/>
          <w:divBdr>
            <w:top w:val="none" w:sz="0" w:space="0" w:color="auto"/>
            <w:left w:val="none" w:sz="0" w:space="0" w:color="auto"/>
            <w:bottom w:val="none" w:sz="0" w:space="0" w:color="auto"/>
            <w:right w:val="none" w:sz="0" w:space="0" w:color="auto"/>
          </w:divBdr>
        </w:div>
        <w:div w:id="1512522894">
          <w:marLeft w:val="640"/>
          <w:marRight w:val="0"/>
          <w:marTop w:val="0"/>
          <w:marBottom w:val="0"/>
          <w:divBdr>
            <w:top w:val="none" w:sz="0" w:space="0" w:color="auto"/>
            <w:left w:val="none" w:sz="0" w:space="0" w:color="auto"/>
            <w:bottom w:val="none" w:sz="0" w:space="0" w:color="auto"/>
            <w:right w:val="none" w:sz="0" w:space="0" w:color="auto"/>
          </w:divBdr>
        </w:div>
        <w:div w:id="266501799">
          <w:marLeft w:val="640"/>
          <w:marRight w:val="0"/>
          <w:marTop w:val="0"/>
          <w:marBottom w:val="0"/>
          <w:divBdr>
            <w:top w:val="none" w:sz="0" w:space="0" w:color="auto"/>
            <w:left w:val="none" w:sz="0" w:space="0" w:color="auto"/>
            <w:bottom w:val="none" w:sz="0" w:space="0" w:color="auto"/>
            <w:right w:val="none" w:sz="0" w:space="0" w:color="auto"/>
          </w:divBdr>
        </w:div>
        <w:div w:id="1837529633">
          <w:marLeft w:val="640"/>
          <w:marRight w:val="0"/>
          <w:marTop w:val="0"/>
          <w:marBottom w:val="0"/>
          <w:divBdr>
            <w:top w:val="none" w:sz="0" w:space="0" w:color="auto"/>
            <w:left w:val="none" w:sz="0" w:space="0" w:color="auto"/>
            <w:bottom w:val="none" w:sz="0" w:space="0" w:color="auto"/>
            <w:right w:val="none" w:sz="0" w:space="0" w:color="auto"/>
          </w:divBdr>
        </w:div>
        <w:div w:id="1875262823">
          <w:marLeft w:val="640"/>
          <w:marRight w:val="0"/>
          <w:marTop w:val="0"/>
          <w:marBottom w:val="0"/>
          <w:divBdr>
            <w:top w:val="none" w:sz="0" w:space="0" w:color="auto"/>
            <w:left w:val="none" w:sz="0" w:space="0" w:color="auto"/>
            <w:bottom w:val="none" w:sz="0" w:space="0" w:color="auto"/>
            <w:right w:val="none" w:sz="0" w:space="0" w:color="auto"/>
          </w:divBdr>
        </w:div>
        <w:div w:id="1092312503">
          <w:marLeft w:val="640"/>
          <w:marRight w:val="0"/>
          <w:marTop w:val="0"/>
          <w:marBottom w:val="0"/>
          <w:divBdr>
            <w:top w:val="none" w:sz="0" w:space="0" w:color="auto"/>
            <w:left w:val="none" w:sz="0" w:space="0" w:color="auto"/>
            <w:bottom w:val="none" w:sz="0" w:space="0" w:color="auto"/>
            <w:right w:val="none" w:sz="0" w:space="0" w:color="auto"/>
          </w:divBdr>
        </w:div>
        <w:div w:id="1672758643">
          <w:marLeft w:val="640"/>
          <w:marRight w:val="0"/>
          <w:marTop w:val="0"/>
          <w:marBottom w:val="0"/>
          <w:divBdr>
            <w:top w:val="none" w:sz="0" w:space="0" w:color="auto"/>
            <w:left w:val="none" w:sz="0" w:space="0" w:color="auto"/>
            <w:bottom w:val="none" w:sz="0" w:space="0" w:color="auto"/>
            <w:right w:val="none" w:sz="0" w:space="0" w:color="auto"/>
          </w:divBdr>
        </w:div>
        <w:div w:id="1785688776">
          <w:marLeft w:val="640"/>
          <w:marRight w:val="0"/>
          <w:marTop w:val="0"/>
          <w:marBottom w:val="0"/>
          <w:divBdr>
            <w:top w:val="none" w:sz="0" w:space="0" w:color="auto"/>
            <w:left w:val="none" w:sz="0" w:space="0" w:color="auto"/>
            <w:bottom w:val="none" w:sz="0" w:space="0" w:color="auto"/>
            <w:right w:val="none" w:sz="0" w:space="0" w:color="auto"/>
          </w:divBdr>
        </w:div>
        <w:div w:id="931184">
          <w:marLeft w:val="640"/>
          <w:marRight w:val="0"/>
          <w:marTop w:val="0"/>
          <w:marBottom w:val="0"/>
          <w:divBdr>
            <w:top w:val="none" w:sz="0" w:space="0" w:color="auto"/>
            <w:left w:val="none" w:sz="0" w:space="0" w:color="auto"/>
            <w:bottom w:val="none" w:sz="0" w:space="0" w:color="auto"/>
            <w:right w:val="none" w:sz="0" w:space="0" w:color="auto"/>
          </w:divBdr>
        </w:div>
        <w:div w:id="604389607">
          <w:marLeft w:val="640"/>
          <w:marRight w:val="0"/>
          <w:marTop w:val="0"/>
          <w:marBottom w:val="0"/>
          <w:divBdr>
            <w:top w:val="none" w:sz="0" w:space="0" w:color="auto"/>
            <w:left w:val="none" w:sz="0" w:space="0" w:color="auto"/>
            <w:bottom w:val="none" w:sz="0" w:space="0" w:color="auto"/>
            <w:right w:val="none" w:sz="0" w:space="0" w:color="auto"/>
          </w:divBdr>
        </w:div>
        <w:div w:id="160971254">
          <w:marLeft w:val="640"/>
          <w:marRight w:val="0"/>
          <w:marTop w:val="0"/>
          <w:marBottom w:val="0"/>
          <w:divBdr>
            <w:top w:val="none" w:sz="0" w:space="0" w:color="auto"/>
            <w:left w:val="none" w:sz="0" w:space="0" w:color="auto"/>
            <w:bottom w:val="none" w:sz="0" w:space="0" w:color="auto"/>
            <w:right w:val="none" w:sz="0" w:space="0" w:color="auto"/>
          </w:divBdr>
        </w:div>
        <w:div w:id="640235082">
          <w:marLeft w:val="640"/>
          <w:marRight w:val="0"/>
          <w:marTop w:val="0"/>
          <w:marBottom w:val="0"/>
          <w:divBdr>
            <w:top w:val="none" w:sz="0" w:space="0" w:color="auto"/>
            <w:left w:val="none" w:sz="0" w:space="0" w:color="auto"/>
            <w:bottom w:val="none" w:sz="0" w:space="0" w:color="auto"/>
            <w:right w:val="none" w:sz="0" w:space="0" w:color="auto"/>
          </w:divBdr>
        </w:div>
        <w:div w:id="1548292986">
          <w:marLeft w:val="640"/>
          <w:marRight w:val="0"/>
          <w:marTop w:val="0"/>
          <w:marBottom w:val="0"/>
          <w:divBdr>
            <w:top w:val="none" w:sz="0" w:space="0" w:color="auto"/>
            <w:left w:val="none" w:sz="0" w:space="0" w:color="auto"/>
            <w:bottom w:val="none" w:sz="0" w:space="0" w:color="auto"/>
            <w:right w:val="none" w:sz="0" w:space="0" w:color="auto"/>
          </w:divBdr>
        </w:div>
        <w:div w:id="1334649804">
          <w:marLeft w:val="640"/>
          <w:marRight w:val="0"/>
          <w:marTop w:val="0"/>
          <w:marBottom w:val="0"/>
          <w:divBdr>
            <w:top w:val="none" w:sz="0" w:space="0" w:color="auto"/>
            <w:left w:val="none" w:sz="0" w:space="0" w:color="auto"/>
            <w:bottom w:val="none" w:sz="0" w:space="0" w:color="auto"/>
            <w:right w:val="none" w:sz="0" w:space="0" w:color="auto"/>
          </w:divBdr>
        </w:div>
        <w:div w:id="1490487816">
          <w:marLeft w:val="640"/>
          <w:marRight w:val="0"/>
          <w:marTop w:val="0"/>
          <w:marBottom w:val="0"/>
          <w:divBdr>
            <w:top w:val="none" w:sz="0" w:space="0" w:color="auto"/>
            <w:left w:val="none" w:sz="0" w:space="0" w:color="auto"/>
            <w:bottom w:val="none" w:sz="0" w:space="0" w:color="auto"/>
            <w:right w:val="none" w:sz="0" w:space="0" w:color="auto"/>
          </w:divBdr>
        </w:div>
        <w:div w:id="1616643444">
          <w:marLeft w:val="640"/>
          <w:marRight w:val="0"/>
          <w:marTop w:val="0"/>
          <w:marBottom w:val="0"/>
          <w:divBdr>
            <w:top w:val="none" w:sz="0" w:space="0" w:color="auto"/>
            <w:left w:val="none" w:sz="0" w:space="0" w:color="auto"/>
            <w:bottom w:val="none" w:sz="0" w:space="0" w:color="auto"/>
            <w:right w:val="none" w:sz="0" w:space="0" w:color="auto"/>
          </w:divBdr>
        </w:div>
        <w:div w:id="805778897">
          <w:marLeft w:val="640"/>
          <w:marRight w:val="0"/>
          <w:marTop w:val="0"/>
          <w:marBottom w:val="0"/>
          <w:divBdr>
            <w:top w:val="none" w:sz="0" w:space="0" w:color="auto"/>
            <w:left w:val="none" w:sz="0" w:space="0" w:color="auto"/>
            <w:bottom w:val="none" w:sz="0" w:space="0" w:color="auto"/>
            <w:right w:val="none" w:sz="0" w:space="0" w:color="auto"/>
          </w:divBdr>
        </w:div>
        <w:div w:id="619454401">
          <w:marLeft w:val="640"/>
          <w:marRight w:val="0"/>
          <w:marTop w:val="0"/>
          <w:marBottom w:val="0"/>
          <w:divBdr>
            <w:top w:val="none" w:sz="0" w:space="0" w:color="auto"/>
            <w:left w:val="none" w:sz="0" w:space="0" w:color="auto"/>
            <w:bottom w:val="none" w:sz="0" w:space="0" w:color="auto"/>
            <w:right w:val="none" w:sz="0" w:space="0" w:color="auto"/>
          </w:divBdr>
        </w:div>
        <w:div w:id="1077941220">
          <w:marLeft w:val="640"/>
          <w:marRight w:val="0"/>
          <w:marTop w:val="0"/>
          <w:marBottom w:val="0"/>
          <w:divBdr>
            <w:top w:val="none" w:sz="0" w:space="0" w:color="auto"/>
            <w:left w:val="none" w:sz="0" w:space="0" w:color="auto"/>
            <w:bottom w:val="none" w:sz="0" w:space="0" w:color="auto"/>
            <w:right w:val="none" w:sz="0" w:space="0" w:color="auto"/>
          </w:divBdr>
        </w:div>
        <w:div w:id="465123429">
          <w:marLeft w:val="640"/>
          <w:marRight w:val="0"/>
          <w:marTop w:val="0"/>
          <w:marBottom w:val="0"/>
          <w:divBdr>
            <w:top w:val="none" w:sz="0" w:space="0" w:color="auto"/>
            <w:left w:val="none" w:sz="0" w:space="0" w:color="auto"/>
            <w:bottom w:val="none" w:sz="0" w:space="0" w:color="auto"/>
            <w:right w:val="none" w:sz="0" w:space="0" w:color="auto"/>
          </w:divBdr>
        </w:div>
        <w:div w:id="273632054">
          <w:marLeft w:val="640"/>
          <w:marRight w:val="0"/>
          <w:marTop w:val="0"/>
          <w:marBottom w:val="0"/>
          <w:divBdr>
            <w:top w:val="none" w:sz="0" w:space="0" w:color="auto"/>
            <w:left w:val="none" w:sz="0" w:space="0" w:color="auto"/>
            <w:bottom w:val="none" w:sz="0" w:space="0" w:color="auto"/>
            <w:right w:val="none" w:sz="0" w:space="0" w:color="auto"/>
          </w:divBdr>
        </w:div>
        <w:div w:id="30955381">
          <w:marLeft w:val="640"/>
          <w:marRight w:val="0"/>
          <w:marTop w:val="0"/>
          <w:marBottom w:val="0"/>
          <w:divBdr>
            <w:top w:val="none" w:sz="0" w:space="0" w:color="auto"/>
            <w:left w:val="none" w:sz="0" w:space="0" w:color="auto"/>
            <w:bottom w:val="none" w:sz="0" w:space="0" w:color="auto"/>
            <w:right w:val="none" w:sz="0" w:space="0" w:color="auto"/>
          </w:divBdr>
        </w:div>
        <w:div w:id="1274093259">
          <w:marLeft w:val="640"/>
          <w:marRight w:val="0"/>
          <w:marTop w:val="0"/>
          <w:marBottom w:val="0"/>
          <w:divBdr>
            <w:top w:val="none" w:sz="0" w:space="0" w:color="auto"/>
            <w:left w:val="none" w:sz="0" w:space="0" w:color="auto"/>
            <w:bottom w:val="none" w:sz="0" w:space="0" w:color="auto"/>
            <w:right w:val="none" w:sz="0" w:space="0" w:color="auto"/>
          </w:divBdr>
        </w:div>
        <w:div w:id="1714890057">
          <w:marLeft w:val="640"/>
          <w:marRight w:val="0"/>
          <w:marTop w:val="0"/>
          <w:marBottom w:val="0"/>
          <w:divBdr>
            <w:top w:val="none" w:sz="0" w:space="0" w:color="auto"/>
            <w:left w:val="none" w:sz="0" w:space="0" w:color="auto"/>
            <w:bottom w:val="none" w:sz="0" w:space="0" w:color="auto"/>
            <w:right w:val="none" w:sz="0" w:space="0" w:color="auto"/>
          </w:divBdr>
        </w:div>
        <w:div w:id="2002460881">
          <w:marLeft w:val="640"/>
          <w:marRight w:val="0"/>
          <w:marTop w:val="0"/>
          <w:marBottom w:val="0"/>
          <w:divBdr>
            <w:top w:val="none" w:sz="0" w:space="0" w:color="auto"/>
            <w:left w:val="none" w:sz="0" w:space="0" w:color="auto"/>
            <w:bottom w:val="none" w:sz="0" w:space="0" w:color="auto"/>
            <w:right w:val="none" w:sz="0" w:space="0" w:color="auto"/>
          </w:divBdr>
        </w:div>
        <w:div w:id="2062752933">
          <w:marLeft w:val="640"/>
          <w:marRight w:val="0"/>
          <w:marTop w:val="0"/>
          <w:marBottom w:val="0"/>
          <w:divBdr>
            <w:top w:val="none" w:sz="0" w:space="0" w:color="auto"/>
            <w:left w:val="none" w:sz="0" w:space="0" w:color="auto"/>
            <w:bottom w:val="none" w:sz="0" w:space="0" w:color="auto"/>
            <w:right w:val="none" w:sz="0" w:space="0" w:color="auto"/>
          </w:divBdr>
        </w:div>
        <w:div w:id="2140028876">
          <w:marLeft w:val="640"/>
          <w:marRight w:val="0"/>
          <w:marTop w:val="0"/>
          <w:marBottom w:val="0"/>
          <w:divBdr>
            <w:top w:val="none" w:sz="0" w:space="0" w:color="auto"/>
            <w:left w:val="none" w:sz="0" w:space="0" w:color="auto"/>
            <w:bottom w:val="none" w:sz="0" w:space="0" w:color="auto"/>
            <w:right w:val="none" w:sz="0" w:space="0" w:color="auto"/>
          </w:divBdr>
        </w:div>
        <w:div w:id="53899042">
          <w:marLeft w:val="640"/>
          <w:marRight w:val="0"/>
          <w:marTop w:val="0"/>
          <w:marBottom w:val="0"/>
          <w:divBdr>
            <w:top w:val="none" w:sz="0" w:space="0" w:color="auto"/>
            <w:left w:val="none" w:sz="0" w:space="0" w:color="auto"/>
            <w:bottom w:val="none" w:sz="0" w:space="0" w:color="auto"/>
            <w:right w:val="none" w:sz="0" w:space="0" w:color="auto"/>
          </w:divBdr>
        </w:div>
        <w:div w:id="494616560">
          <w:marLeft w:val="640"/>
          <w:marRight w:val="0"/>
          <w:marTop w:val="0"/>
          <w:marBottom w:val="0"/>
          <w:divBdr>
            <w:top w:val="none" w:sz="0" w:space="0" w:color="auto"/>
            <w:left w:val="none" w:sz="0" w:space="0" w:color="auto"/>
            <w:bottom w:val="none" w:sz="0" w:space="0" w:color="auto"/>
            <w:right w:val="none" w:sz="0" w:space="0" w:color="auto"/>
          </w:divBdr>
        </w:div>
        <w:div w:id="2120418073">
          <w:marLeft w:val="640"/>
          <w:marRight w:val="0"/>
          <w:marTop w:val="0"/>
          <w:marBottom w:val="0"/>
          <w:divBdr>
            <w:top w:val="none" w:sz="0" w:space="0" w:color="auto"/>
            <w:left w:val="none" w:sz="0" w:space="0" w:color="auto"/>
            <w:bottom w:val="none" w:sz="0" w:space="0" w:color="auto"/>
            <w:right w:val="none" w:sz="0" w:space="0" w:color="auto"/>
          </w:divBdr>
        </w:div>
        <w:div w:id="1598052866">
          <w:marLeft w:val="640"/>
          <w:marRight w:val="0"/>
          <w:marTop w:val="0"/>
          <w:marBottom w:val="0"/>
          <w:divBdr>
            <w:top w:val="none" w:sz="0" w:space="0" w:color="auto"/>
            <w:left w:val="none" w:sz="0" w:space="0" w:color="auto"/>
            <w:bottom w:val="none" w:sz="0" w:space="0" w:color="auto"/>
            <w:right w:val="none" w:sz="0" w:space="0" w:color="auto"/>
          </w:divBdr>
        </w:div>
        <w:div w:id="315305007">
          <w:marLeft w:val="640"/>
          <w:marRight w:val="0"/>
          <w:marTop w:val="0"/>
          <w:marBottom w:val="0"/>
          <w:divBdr>
            <w:top w:val="none" w:sz="0" w:space="0" w:color="auto"/>
            <w:left w:val="none" w:sz="0" w:space="0" w:color="auto"/>
            <w:bottom w:val="none" w:sz="0" w:space="0" w:color="auto"/>
            <w:right w:val="none" w:sz="0" w:space="0" w:color="auto"/>
          </w:divBdr>
        </w:div>
        <w:div w:id="627400492">
          <w:marLeft w:val="640"/>
          <w:marRight w:val="0"/>
          <w:marTop w:val="0"/>
          <w:marBottom w:val="0"/>
          <w:divBdr>
            <w:top w:val="none" w:sz="0" w:space="0" w:color="auto"/>
            <w:left w:val="none" w:sz="0" w:space="0" w:color="auto"/>
            <w:bottom w:val="none" w:sz="0" w:space="0" w:color="auto"/>
            <w:right w:val="none" w:sz="0" w:space="0" w:color="auto"/>
          </w:divBdr>
        </w:div>
        <w:div w:id="1003628356">
          <w:marLeft w:val="640"/>
          <w:marRight w:val="0"/>
          <w:marTop w:val="0"/>
          <w:marBottom w:val="0"/>
          <w:divBdr>
            <w:top w:val="none" w:sz="0" w:space="0" w:color="auto"/>
            <w:left w:val="none" w:sz="0" w:space="0" w:color="auto"/>
            <w:bottom w:val="none" w:sz="0" w:space="0" w:color="auto"/>
            <w:right w:val="none" w:sz="0" w:space="0" w:color="auto"/>
          </w:divBdr>
        </w:div>
        <w:div w:id="1913464670">
          <w:marLeft w:val="640"/>
          <w:marRight w:val="0"/>
          <w:marTop w:val="0"/>
          <w:marBottom w:val="0"/>
          <w:divBdr>
            <w:top w:val="none" w:sz="0" w:space="0" w:color="auto"/>
            <w:left w:val="none" w:sz="0" w:space="0" w:color="auto"/>
            <w:bottom w:val="none" w:sz="0" w:space="0" w:color="auto"/>
            <w:right w:val="none" w:sz="0" w:space="0" w:color="auto"/>
          </w:divBdr>
        </w:div>
        <w:div w:id="1189639522">
          <w:marLeft w:val="640"/>
          <w:marRight w:val="0"/>
          <w:marTop w:val="0"/>
          <w:marBottom w:val="0"/>
          <w:divBdr>
            <w:top w:val="none" w:sz="0" w:space="0" w:color="auto"/>
            <w:left w:val="none" w:sz="0" w:space="0" w:color="auto"/>
            <w:bottom w:val="none" w:sz="0" w:space="0" w:color="auto"/>
            <w:right w:val="none" w:sz="0" w:space="0" w:color="auto"/>
          </w:divBdr>
        </w:div>
        <w:div w:id="1727021569">
          <w:marLeft w:val="640"/>
          <w:marRight w:val="0"/>
          <w:marTop w:val="0"/>
          <w:marBottom w:val="0"/>
          <w:divBdr>
            <w:top w:val="none" w:sz="0" w:space="0" w:color="auto"/>
            <w:left w:val="none" w:sz="0" w:space="0" w:color="auto"/>
            <w:bottom w:val="none" w:sz="0" w:space="0" w:color="auto"/>
            <w:right w:val="none" w:sz="0" w:space="0" w:color="auto"/>
          </w:divBdr>
        </w:div>
        <w:div w:id="1168405837">
          <w:marLeft w:val="640"/>
          <w:marRight w:val="0"/>
          <w:marTop w:val="0"/>
          <w:marBottom w:val="0"/>
          <w:divBdr>
            <w:top w:val="none" w:sz="0" w:space="0" w:color="auto"/>
            <w:left w:val="none" w:sz="0" w:space="0" w:color="auto"/>
            <w:bottom w:val="none" w:sz="0" w:space="0" w:color="auto"/>
            <w:right w:val="none" w:sz="0" w:space="0" w:color="auto"/>
          </w:divBdr>
        </w:div>
        <w:div w:id="584731051">
          <w:marLeft w:val="640"/>
          <w:marRight w:val="0"/>
          <w:marTop w:val="0"/>
          <w:marBottom w:val="0"/>
          <w:divBdr>
            <w:top w:val="none" w:sz="0" w:space="0" w:color="auto"/>
            <w:left w:val="none" w:sz="0" w:space="0" w:color="auto"/>
            <w:bottom w:val="none" w:sz="0" w:space="0" w:color="auto"/>
            <w:right w:val="none" w:sz="0" w:space="0" w:color="auto"/>
          </w:divBdr>
        </w:div>
        <w:div w:id="1323049580">
          <w:marLeft w:val="640"/>
          <w:marRight w:val="0"/>
          <w:marTop w:val="0"/>
          <w:marBottom w:val="0"/>
          <w:divBdr>
            <w:top w:val="none" w:sz="0" w:space="0" w:color="auto"/>
            <w:left w:val="none" w:sz="0" w:space="0" w:color="auto"/>
            <w:bottom w:val="none" w:sz="0" w:space="0" w:color="auto"/>
            <w:right w:val="none" w:sz="0" w:space="0" w:color="auto"/>
          </w:divBdr>
        </w:div>
        <w:div w:id="551380220">
          <w:marLeft w:val="640"/>
          <w:marRight w:val="0"/>
          <w:marTop w:val="0"/>
          <w:marBottom w:val="0"/>
          <w:divBdr>
            <w:top w:val="none" w:sz="0" w:space="0" w:color="auto"/>
            <w:left w:val="none" w:sz="0" w:space="0" w:color="auto"/>
            <w:bottom w:val="none" w:sz="0" w:space="0" w:color="auto"/>
            <w:right w:val="none" w:sz="0" w:space="0" w:color="auto"/>
          </w:divBdr>
        </w:div>
        <w:div w:id="1129208254">
          <w:marLeft w:val="640"/>
          <w:marRight w:val="0"/>
          <w:marTop w:val="0"/>
          <w:marBottom w:val="0"/>
          <w:divBdr>
            <w:top w:val="none" w:sz="0" w:space="0" w:color="auto"/>
            <w:left w:val="none" w:sz="0" w:space="0" w:color="auto"/>
            <w:bottom w:val="none" w:sz="0" w:space="0" w:color="auto"/>
            <w:right w:val="none" w:sz="0" w:space="0" w:color="auto"/>
          </w:divBdr>
        </w:div>
        <w:div w:id="1869220357">
          <w:marLeft w:val="640"/>
          <w:marRight w:val="0"/>
          <w:marTop w:val="0"/>
          <w:marBottom w:val="0"/>
          <w:divBdr>
            <w:top w:val="none" w:sz="0" w:space="0" w:color="auto"/>
            <w:left w:val="none" w:sz="0" w:space="0" w:color="auto"/>
            <w:bottom w:val="none" w:sz="0" w:space="0" w:color="auto"/>
            <w:right w:val="none" w:sz="0" w:space="0" w:color="auto"/>
          </w:divBdr>
        </w:div>
        <w:div w:id="1845388931">
          <w:marLeft w:val="640"/>
          <w:marRight w:val="0"/>
          <w:marTop w:val="0"/>
          <w:marBottom w:val="0"/>
          <w:divBdr>
            <w:top w:val="none" w:sz="0" w:space="0" w:color="auto"/>
            <w:left w:val="none" w:sz="0" w:space="0" w:color="auto"/>
            <w:bottom w:val="none" w:sz="0" w:space="0" w:color="auto"/>
            <w:right w:val="none" w:sz="0" w:space="0" w:color="auto"/>
          </w:divBdr>
        </w:div>
        <w:div w:id="1358316443">
          <w:marLeft w:val="640"/>
          <w:marRight w:val="0"/>
          <w:marTop w:val="0"/>
          <w:marBottom w:val="0"/>
          <w:divBdr>
            <w:top w:val="none" w:sz="0" w:space="0" w:color="auto"/>
            <w:left w:val="none" w:sz="0" w:space="0" w:color="auto"/>
            <w:bottom w:val="none" w:sz="0" w:space="0" w:color="auto"/>
            <w:right w:val="none" w:sz="0" w:space="0" w:color="auto"/>
          </w:divBdr>
        </w:div>
        <w:div w:id="930577617">
          <w:marLeft w:val="640"/>
          <w:marRight w:val="0"/>
          <w:marTop w:val="0"/>
          <w:marBottom w:val="0"/>
          <w:divBdr>
            <w:top w:val="none" w:sz="0" w:space="0" w:color="auto"/>
            <w:left w:val="none" w:sz="0" w:space="0" w:color="auto"/>
            <w:bottom w:val="none" w:sz="0" w:space="0" w:color="auto"/>
            <w:right w:val="none" w:sz="0" w:space="0" w:color="auto"/>
          </w:divBdr>
        </w:div>
        <w:div w:id="248470808">
          <w:marLeft w:val="640"/>
          <w:marRight w:val="0"/>
          <w:marTop w:val="0"/>
          <w:marBottom w:val="0"/>
          <w:divBdr>
            <w:top w:val="none" w:sz="0" w:space="0" w:color="auto"/>
            <w:left w:val="none" w:sz="0" w:space="0" w:color="auto"/>
            <w:bottom w:val="none" w:sz="0" w:space="0" w:color="auto"/>
            <w:right w:val="none" w:sz="0" w:space="0" w:color="auto"/>
          </w:divBdr>
        </w:div>
        <w:div w:id="1950164068">
          <w:marLeft w:val="640"/>
          <w:marRight w:val="0"/>
          <w:marTop w:val="0"/>
          <w:marBottom w:val="0"/>
          <w:divBdr>
            <w:top w:val="none" w:sz="0" w:space="0" w:color="auto"/>
            <w:left w:val="none" w:sz="0" w:space="0" w:color="auto"/>
            <w:bottom w:val="none" w:sz="0" w:space="0" w:color="auto"/>
            <w:right w:val="none" w:sz="0" w:space="0" w:color="auto"/>
          </w:divBdr>
        </w:div>
        <w:div w:id="650017183">
          <w:marLeft w:val="640"/>
          <w:marRight w:val="0"/>
          <w:marTop w:val="0"/>
          <w:marBottom w:val="0"/>
          <w:divBdr>
            <w:top w:val="none" w:sz="0" w:space="0" w:color="auto"/>
            <w:left w:val="none" w:sz="0" w:space="0" w:color="auto"/>
            <w:bottom w:val="none" w:sz="0" w:space="0" w:color="auto"/>
            <w:right w:val="none" w:sz="0" w:space="0" w:color="auto"/>
          </w:divBdr>
        </w:div>
        <w:div w:id="2034839410">
          <w:marLeft w:val="640"/>
          <w:marRight w:val="0"/>
          <w:marTop w:val="0"/>
          <w:marBottom w:val="0"/>
          <w:divBdr>
            <w:top w:val="none" w:sz="0" w:space="0" w:color="auto"/>
            <w:left w:val="none" w:sz="0" w:space="0" w:color="auto"/>
            <w:bottom w:val="none" w:sz="0" w:space="0" w:color="auto"/>
            <w:right w:val="none" w:sz="0" w:space="0" w:color="auto"/>
          </w:divBdr>
        </w:div>
        <w:div w:id="943920953">
          <w:marLeft w:val="640"/>
          <w:marRight w:val="0"/>
          <w:marTop w:val="0"/>
          <w:marBottom w:val="0"/>
          <w:divBdr>
            <w:top w:val="none" w:sz="0" w:space="0" w:color="auto"/>
            <w:left w:val="none" w:sz="0" w:space="0" w:color="auto"/>
            <w:bottom w:val="none" w:sz="0" w:space="0" w:color="auto"/>
            <w:right w:val="none" w:sz="0" w:space="0" w:color="auto"/>
          </w:divBdr>
        </w:div>
        <w:div w:id="1906135571">
          <w:marLeft w:val="640"/>
          <w:marRight w:val="0"/>
          <w:marTop w:val="0"/>
          <w:marBottom w:val="0"/>
          <w:divBdr>
            <w:top w:val="none" w:sz="0" w:space="0" w:color="auto"/>
            <w:left w:val="none" w:sz="0" w:space="0" w:color="auto"/>
            <w:bottom w:val="none" w:sz="0" w:space="0" w:color="auto"/>
            <w:right w:val="none" w:sz="0" w:space="0" w:color="auto"/>
          </w:divBdr>
        </w:div>
        <w:div w:id="1343437543">
          <w:marLeft w:val="640"/>
          <w:marRight w:val="0"/>
          <w:marTop w:val="0"/>
          <w:marBottom w:val="0"/>
          <w:divBdr>
            <w:top w:val="none" w:sz="0" w:space="0" w:color="auto"/>
            <w:left w:val="none" w:sz="0" w:space="0" w:color="auto"/>
            <w:bottom w:val="none" w:sz="0" w:space="0" w:color="auto"/>
            <w:right w:val="none" w:sz="0" w:space="0" w:color="auto"/>
          </w:divBdr>
        </w:div>
        <w:div w:id="1095856726">
          <w:marLeft w:val="640"/>
          <w:marRight w:val="0"/>
          <w:marTop w:val="0"/>
          <w:marBottom w:val="0"/>
          <w:divBdr>
            <w:top w:val="none" w:sz="0" w:space="0" w:color="auto"/>
            <w:left w:val="none" w:sz="0" w:space="0" w:color="auto"/>
            <w:bottom w:val="none" w:sz="0" w:space="0" w:color="auto"/>
            <w:right w:val="none" w:sz="0" w:space="0" w:color="auto"/>
          </w:divBdr>
        </w:div>
        <w:div w:id="97025311">
          <w:marLeft w:val="640"/>
          <w:marRight w:val="0"/>
          <w:marTop w:val="0"/>
          <w:marBottom w:val="0"/>
          <w:divBdr>
            <w:top w:val="none" w:sz="0" w:space="0" w:color="auto"/>
            <w:left w:val="none" w:sz="0" w:space="0" w:color="auto"/>
            <w:bottom w:val="none" w:sz="0" w:space="0" w:color="auto"/>
            <w:right w:val="none" w:sz="0" w:space="0" w:color="auto"/>
          </w:divBdr>
        </w:div>
        <w:div w:id="1321229194">
          <w:marLeft w:val="640"/>
          <w:marRight w:val="0"/>
          <w:marTop w:val="0"/>
          <w:marBottom w:val="0"/>
          <w:divBdr>
            <w:top w:val="none" w:sz="0" w:space="0" w:color="auto"/>
            <w:left w:val="none" w:sz="0" w:space="0" w:color="auto"/>
            <w:bottom w:val="none" w:sz="0" w:space="0" w:color="auto"/>
            <w:right w:val="none" w:sz="0" w:space="0" w:color="auto"/>
          </w:divBdr>
        </w:div>
        <w:div w:id="1573661409">
          <w:marLeft w:val="640"/>
          <w:marRight w:val="0"/>
          <w:marTop w:val="0"/>
          <w:marBottom w:val="0"/>
          <w:divBdr>
            <w:top w:val="none" w:sz="0" w:space="0" w:color="auto"/>
            <w:left w:val="none" w:sz="0" w:space="0" w:color="auto"/>
            <w:bottom w:val="none" w:sz="0" w:space="0" w:color="auto"/>
            <w:right w:val="none" w:sz="0" w:space="0" w:color="auto"/>
          </w:divBdr>
        </w:div>
        <w:div w:id="98264074">
          <w:marLeft w:val="640"/>
          <w:marRight w:val="0"/>
          <w:marTop w:val="0"/>
          <w:marBottom w:val="0"/>
          <w:divBdr>
            <w:top w:val="none" w:sz="0" w:space="0" w:color="auto"/>
            <w:left w:val="none" w:sz="0" w:space="0" w:color="auto"/>
            <w:bottom w:val="none" w:sz="0" w:space="0" w:color="auto"/>
            <w:right w:val="none" w:sz="0" w:space="0" w:color="auto"/>
          </w:divBdr>
        </w:div>
        <w:div w:id="185022876">
          <w:marLeft w:val="640"/>
          <w:marRight w:val="0"/>
          <w:marTop w:val="0"/>
          <w:marBottom w:val="0"/>
          <w:divBdr>
            <w:top w:val="none" w:sz="0" w:space="0" w:color="auto"/>
            <w:left w:val="none" w:sz="0" w:space="0" w:color="auto"/>
            <w:bottom w:val="none" w:sz="0" w:space="0" w:color="auto"/>
            <w:right w:val="none" w:sz="0" w:space="0" w:color="auto"/>
          </w:divBdr>
        </w:div>
        <w:div w:id="856232668">
          <w:marLeft w:val="640"/>
          <w:marRight w:val="0"/>
          <w:marTop w:val="0"/>
          <w:marBottom w:val="0"/>
          <w:divBdr>
            <w:top w:val="none" w:sz="0" w:space="0" w:color="auto"/>
            <w:left w:val="none" w:sz="0" w:space="0" w:color="auto"/>
            <w:bottom w:val="none" w:sz="0" w:space="0" w:color="auto"/>
            <w:right w:val="none" w:sz="0" w:space="0" w:color="auto"/>
          </w:divBdr>
        </w:div>
        <w:div w:id="254168756">
          <w:marLeft w:val="640"/>
          <w:marRight w:val="0"/>
          <w:marTop w:val="0"/>
          <w:marBottom w:val="0"/>
          <w:divBdr>
            <w:top w:val="none" w:sz="0" w:space="0" w:color="auto"/>
            <w:left w:val="none" w:sz="0" w:space="0" w:color="auto"/>
            <w:bottom w:val="none" w:sz="0" w:space="0" w:color="auto"/>
            <w:right w:val="none" w:sz="0" w:space="0" w:color="auto"/>
          </w:divBdr>
        </w:div>
        <w:div w:id="1700350965">
          <w:marLeft w:val="640"/>
          <w:marRight w:val="0"/>
          <w:marTop w:val="0"/>
          <w:marBottom w:val="0"/>
          <w:divBdr>
            <w:top w:val="none" w:sz="0" w:space="0" w:color="auto"/>
            <w:left w:val="none" w:sz="0" w:space="0" w:color="auto"/>
            <w:bottom w:val="none" w:sz="0" w:space="0" w:color="auto"/>
            <w:right w:val="none" w:sz="0" w:space="0" w:color="auto"/>
          </w:divBdr>
        </w:div>
        <w:div w:id="167256985">
          <w:marLeft w:val="640"/>
          <w:marRight w:val="0"/>
          <w:marTop w:val="0"/>
          <w:marBottom w:val="0"/>
          <w:divBdr>
            <w:top w:val="none" w:sz="0" w:space="0" w:color="auto"/>
            <w:left w:val="none" w:sz="0" w:space="0" w:color="auto"/>
            <w:bottom w:val="none" w:sz="0" w:space="0" w:color="auto"/>
            <w:right w:val="none" w:sz="0" w:space="0" w:color="auto"/>
          </w:divBdr>
        </w:div>
        <w:div w:id="776799123">
          <w:marLeft w:val="640"/>
          <w:marRight w:val="0"/>
          <w:marTop w:val="0"/>
          <w:marBottom w:val="0"/>
          <w:divBdr>
            <w:top w:val="none" w:sz="0" w:space="0" w:color="auto"/>
            <w:left w:val="none" w:sz="0" w:space="0" w:color="auto"/>
            <w:bottom w:val="none" w:sz="0" w:space="0" w:color="auto"/>
            <w:right w:val="none" w:sz="0" w:space="0" w:color="auto"/>
          </w:divBdr>
        </w:div>
        <w:div w:id="902526617">
          <w:marLeft w:val="640"/>
          <w:marRight w:val="0"/>
          <w:marTop w:val="0"/>
          <w:marBottom w:val="0"/>
          <w:divBdr>
            <w:top w:val="none" w:sz="0" w:space="0" w:color="auto"/>
            <w:left w:val="none" w:sz="0" w:space="0" w:color="auto"/>
            <w:bottom w:val="none" w:sz="0" w:space="0" w:color="auto"/>
            <w:right w:val="none" w:sz="0" w:space="0" w:color="auto"/>
          </w:divBdr>
        </w:div>
        <w:div w:id="1972710212">
          <w:marLeft w:val="640"/>
          <w:marRight w:val="0"/>
          <w:marTop w:val="0"/>
          <w:marBottom w:val="0"/>
          <w:divBdr>
            <w:top w:val="none" w:sz="0" w:space="0" w:color="auto"/>
            <w:left w:val="none" w:sz="0" w:space="0" w:color="auto"/>
            <w:bottom w:val="none" w:sz="0" w:space="0" w:color="auto"/>
            <w:right w:val="none" w:sz="0" w:space="0" w:color="auto"/>
          </w:divBdr>
        </w:div>
        <w:div w:id="1755862327">
          <w:marLeft w:val="640"/>
          <w:marRight w:val="0"/>
          <w:marTop w:val="0"/>
          <w:marBottom w:val="0"/>
          <w:divBdr>
            <w:top w:val="none" w:sz="0" w:space="0" w:color="auto"/>
            <w:left w:val="none" w:sz="0" w:space="0" w:color="auto"/>
            <w:bottom w:val="none" w:sz="0" w:space="0" w:color="auto"/>
            <w:right w:val="none" w:sz="0" w:space="0" w:color="auto"/>
          </w:divBdr>
        </w:div>
        <w:div w:id="1206524782">
          <w:marLeft w:val="640"/>
          <w:marRight w:val="0"/>
          <w:marTop w:val="0"/>
          <w:marBottom w:val="0"/>
          <w:divBdr>
            <w:top w:val="none" w:sz="0" w:space="0" w:color="auto"/>
            <w:left w:val="none" w:sz="0" w:space="0" w:color="auto"/>
            <w:bottom w:val="none" w:sz="0" w:space="0" w:color="auto"/>
            <w:right w:val="none" w:sz="0" w:space="0" w:color="auto"/>
          </w:divBdr>
        </w:div>
        <w:div w:id="1414857692">
          <w:marLeft w:val="640"/>
          <w:marRight w:val="0"/>
          <w:marTop w:val="0"/>
          <w:marBottom w:val="0"/>
          <w:divBdr>
            <w:top w:val="none" w:sz="0" w:space="0" w:color="auto"/>
            <w:left w:val="none" w:sz="0" w:space="0" w:color="auto"/>
            <w:bottom w:val="none" w:sz="0" w:space="0" w:color="auto"/>
            <w:right w:val="none" w:sz="0" w:space="0" w:color="auto"/>
          </w:divBdr>
        </w:div>
        <w:div w:id="170805712">
          <w:marLeft w:val="640"/>
          <w:marRight w:val="0"/>
          <w:marTop w:val="0"/>
          <w:marBottom w:val="0"/>
          <w:divBdr>
            <w:top w:val="none" w:sz="0" w:space="0" w:color="auto"/>
            <w:left w:val="none" w:sz="0" w:space="0" w:color="auto"/>
            <w:bottom w:val="none" w:sz="0" w:space="0" w:color="auto"/>
            <w:right w:val="none" w:sz="0" w:space="0" w:color="auto"/>
          </w:divBdr>
        </w:div>
        <w:div w:id="1227912852">
          <w:marLeft w:val="640"/>
          <w:marRight w:val="0"/>
          <w:marTop w:val="0"/>
          <w:marBottom w:val="0"/>
          <w:divBdr>
            <w:top w:val="none" w:sz="0" w:space="0" w:color="auto"/>
            <w:left w:val="none" w:sz="0" w:space="0" w:color="auto"/>
            <w:bottom w:val="none" w:sz="0" w:space="0" w:color="auto"/>
            <w:right w:val="none" w:sz="0" w:space="0" w:color="auto"/>
          </w:divBdr>
        </w:div>
        <w:div w:id="1157837923">
          <w:marLeft w:val="640"/>
          <w:marRight w:val="0"/>
          <w:marTop w:val="0"/>
          <w:marBottom w:val="0"/>
          <w:divBdr>
            <w:top w:val="none" w:sz="0" w:space="0" w:color="auto"/>
            <w:left w:val="none" w:sz="0" w:space="0" w:color="auto"/>
            <w:bottom w:val="none" w:sz="0" w:space="0" w:color="auto"/>
            <w:right w:val="none" w:sz="0" w:space="0" w:color="auto"/>
          </w:divBdr>
        </w:div>
        <w:div w:id="1081026453">
          <w:marLeft w:val="640"/>
          <w:marRight w:val="0"/>
          <w:marTop w:val="0"/>
          <w:marBottom w:val="0"/>
          <w:divBdr>
            <w:top w:val="none" w:sz="0" w:space="0" w:color="auto"/>
            <w:left w:val="none" w:sz="0" w:space="0" w:color="auto"/>
            <w:bottom w:val="none" w:sz="0" w:space="0" w:color="auto"/>
            <w:right w:val="none" w:sz="0" w:space="0" w:color="auto"/>
          </w:divBdr>
        </w:div>
        <w:div w:id="348023402">
          <w:marLeft w:val="640"/>
          <w:marRight w:val="0"/>
          <w:marTop w:val="0"/>
          <w:marBottom w:val="0"/>
          <w:divBdr>
            <w:top w:val="none" w:sz="0" w:space="0" w:color="auto"/>
            <w:left w:val="none" w:sz="0" w:space="0" w:color="auto"/>
            <w:bottom w:val="none" w:sz="0" w:space="0" w:color="auto"/>
            <w:right w:val="none" w:sz="0" w:space="0" w:color="auto"/>
          </w:divBdr>
        </w:div>
        <w:div w:id="2138839255">
          <w:marLeft w:val="640"/>
          <w:marRight w:val="0"/>
          <w:marTop w:val="0"/>
          <w:marBottom w:val="0"/>
          <w:divBdr>
            <w:top w:val="none" w:sz="0" w:space="0" w:color="auto"/>
            <w:left w:val="none" w:sz="0" w:space="0" w:color="auto"/>
            <w:bottom w:val="none" w:sz="0" w:space="0" w:color="auto"/>
            <w:right w:val="none" w:sz="0" w:space="0" w:color="auto"/>
          </w:divBdr>
        </w:div>
        <w:div w:id="2105495939">
          <w:marLeft w:val="640"/>
          <w:marRight w:val="0"/>
          <w:marTop w:val="0"/>
          <w:marBottom w:val="0"/>
          <w:divBdr>
            <w:top w:val="none" w:sz="0" w:space="0" w:color="auto"/>
            <w:left w:val="none" w:sz="0" w:space="0" w:color="auto"/>
            <w:bottom w:val="none" w:sz="0" w:space="0" w:color="auto"/>
            <w:right w:val="none" w:sz="0" w:space="0" w:color="auto"/>
          </w:divBdr>
        </w:div>
        <w:div w:id="891379854">
          <w:marLeft w:val="640"/>
          <w:marRight w:val="0"/>
          <w:marTop w:val="0"/>
          <w:marBottom w:val="0"/>
          <w:divBdr>
            <w:top w:val="none" w:sz="0" w:space="0" w:color="auto"/>
            <w:left w:val="none" w:sz="0" w:space="0" w:color="auto"/>
            <w:bottom w:val="none" w:sz="0" w:space="0" w:color="auto"/>
            <w:right w:val="none" w:sz="0" w:space="0" w:color="auto"/>
          </w:divBdr>
        </w:div>
        <w:div w:id="1200050934">
          <w:marLeft w:val="640"/>
          <w:marRight w:val="0"/>
          <w:marTop w:val="0"/>
          <w:marBottom w:val="0"/>
          <w:divBdr>
            <w:top w:val="none" w:sz="0" w:space="0" w:color="auto"/>
            <w:left w:val="none" w:sz="0" w:space="0" w:color="auto"/>
            <w:bottom w:val="none" w:sz="0" w:space="0" w:color="auto"/>
            <w:right w:val="none" w:sz="0" w:space="0" w:color="auto"/>
          </w:divBdr>
        </w:div>
        <w:div w:id="903952892">
          <w:marLeft w:val="640"/>
          <w:marRight w:val="0"/>
          <w:marTop w:val="0"/>
          <w:marBottom w:val="0"/>
          <w:divBdr>
            <w:top w:val="none" w:sz="0" w:space="0" w:color="auto"/>
            <w:left w:val="none" w:sz="0" w:space="0" w:color="auto"/>
            <w:bottom w:val="none" w:sz="0" w:space="0" w:color="auto"/>
            <w:right w:val="none" w:sz="0" w:space="0" w:color="auto"/>
          </w:divBdr>
        </w:div>
        <w:div w:id="547185526">
          <w:marLeft w:val="640"/>
          <w:marRight w:val="0"/>
          <w:marTop w:val="0"/>
          <w:marBottom w:val="0"/>
          <w:divBdr>
            <w:top w:val="none" w:sz="0" w:space="0" w:color="auto"/>
            <w:left w:val="none" w:sz="0" w:space="0" w:color="auto"/>
            <w:bottom w:val="none" w:sz="0" w:space="0" w:color="auto"/>
            <w:right w:val="none" w:sz="0" w:space="0" w:color="auto"/>
          </w:divBdr>
        </w:div>
        <w:div w:id="989291681">
          <w:marLeft w:val="640"/>
          <w:marRight w:val="0"/>
          <w:marTop w:val="0"/>
          <w:marBottom w:val="0"/>
          <w:divBdr>
            <w:top w:val="none" w:sz="0" w:space="0" w:color="auto"/>
            <w:left w:val="none" w:sz="0" w:space="0" w:color="auto"/>
            <w:bottom w:val="none" w:sz="0" w:space="0" w:color="auto"/>
            <w:right w:val="none" w:sz="0" w:space="0" w:color="auto"/>
          </w:divBdr>
        </w:div>
        <w:div w:id="387530543">
          <w:marLeft w:val="640"/>
          <w:marRight w:val="0"/>
          <w:marTop w:val="0"/>
          <w:marBottom w:val="0"/>
          <w:divBdr>
            <w:top w:val="none" w:sz="0" w:space="0" w:color="auto"/>
            <w:left w:val="none" w:sz="0" w:space="0" w:color="auto"/>
            <w:bottom w:val="none" w:sz="0" w:space="0" w:color="auto"/>
            <w:right w:val="none" w:sz="0" w:space="0" w:color="auto"/>
          </w:divBdr>
        </w:div>
        <w:div w:id="2049405519">
          <w:marLeft w:val="640"/>
          <w:marRight w:val="0"/>
          <w:marTop w:val="0"/>
          <w:marBottom w:val="0"/>
          <w:divBdr>
            <w:top w:val="none" w:sz="0" w:space="0" w:color="auto"/>
            <w:left w:val="none" w:sz="0" w:space="0" w:color="auto"/>
            <w:bottom w:val="none" w:sz="0" w:space="0" w:color="auto"/>
            <w:right w:val="none" w:sz="0" w:space="0" w:color="auto"/>
          </w:divBdr>
        </w:div>
        <w:div w:id="1747920958">
          <w:marLeft w:val="640"/>
          <w:marRight w:val="0"/>
          <w:marTop w:val="0"/>
          <w:marBottom w:val="0"/>
          <w:divBdr>
            <w:top w:val="none" w:sz="0" w:space="0" w:color="auto"/>
            <w:left w:val="none" w:sz="0" w:space="0" w:color="auto"/>
            <w:bottom w:val="none" w:sz="0" w:space="0" w:color="auto"/>
            <w:right w:val="none" w:sz="0" w:space="0" w:color="auto"/>
          </w:divBdr>
        </w:div>
        <w:div w:id="1616517205">
          <w:marLeft w:val="640"/>
          <w:marRight w:val="0"/>
          <w:marTop w:val="0"/>
          <w:marBottom w:val="0"/>
          <w:divBdr>
            <w:top w:val="none" w:sz="0" w:space="0" w:color="auto"/>
            <w:left w:val="none" w:sz="0" w:space="0" w:color="auto"/>
            <w:bottom w:val="none" w:sz="0" w:space="0" w:color="auto"/>
            <w:right w:val="none" w:sz="0" w:space="0" w:color="auto"/>
          </w:divBdr>
        </w:div>
        <w:div w:id="1942297711">
          <w:marLeft w:val="640"/>
          <w:marRight w:val="0"/>
          <w:marTop w:val="0"/>
          <w:marBottom w:val="0"/>
          <w:divBdr>
            <w:top w:val="none" w:sz="0" w:space="0" w:color="auto"/>
            <w:left w:val="none" w:sz="0" w:space="0" w:color="auto"/>
            <w:bottom w:val="none" w:sz="0" w:space="0" w:color="auto"/>
            <w:right w:val="none" w:sz="0" w:space="0" w:color="auto"/>
          </w:divBdr>
        </w:div>
        <w:div w:id="1325011651">
          <w:marLeft w:val="640"/>
          <w:marRight w:val="0"/>
          <w:marTop w:val="0"/>
          <w:marBottom w:val="0"/>
          <w:divBdr>
            <w:top w:val="none" w:sz="0" w:space="0" w:color="auto"/>
            <w:left w:val="none" w:sz="0" w:space="0" w:color="auto"/>
            <w:bottom w:val="none" w:sz="0" w:space="0" w:color="auto"/>
            <w:right w:val="none" w:sz="0" w:space="0" w:color="auto"/>
          </w:divBdr>
        </w:div>
        <w:div w:id="1549143045">
          <w:marLeft w:val="640"/>
          <w:marRight w:val="0"/>
          <w:marTop w:val="0"/>
          <w:marBottom w:val="0"/>
          <w:divBdr>
            <w:top w:val="none" w:sz="0" w:space="0" w:color="auto"/>
            <w:left w:val="none" w:sz="0" w:space="0" w:color="auto"/>
            <w:bottom w:val="none" w:sz="0" w:space="0" w:color="auto"/>
            <w:right w:val="none" w:sz="0" w:space="0" w:color="auto"/>
          </w:divBdr>
        </w:div>
        <w:div w:id="786392681">
          <w:marLeft w:val="640"/>
          <w:marRight w:val="0"/>
          <w:marTop w:val="0"/>
          <w:marBottom w:val="0"/>
          <w:divBdr>
            <w:top w:val="none" w:sz="0" w:space="0" w:color="auto"/>
            <w:left w:val="none" w:sz="0" w:space="0" w:color="auto"/>
            <w:bottom w:val="none" w:sz="0" w:space="0" w:color="auto"/>
            <w:right w:val="none" w:sz="0" w:space="0" w:color="auto"/>
          </w:divBdr>
        </w:div>
        <w:div w:id="1903639901">
          <w:marLeft w:val="640"/>
          <w:marRight w:val="0"/>
          <w:marTop w:val="0"/>
          <w:marBottom w:val="0"/>
          <w:divBdr>
            <w:top w:val="none" w:sz="0" w:space="0" w:color="auto"/>
            <w:left w:val="none" w:sz="0" w:space="0" w:color="auto"/>
            <w:bottom w:val="none" w:sz="0" w:space="0" w:color="auto"/>
            <w:right w:val="none" w:sz="0" w:space="0" w:color="auto"/>
          </w:divBdr>
        </w:div>
        <w:div w:id="630525258">
          <w:marLeft w:val="640"/>
          <w:marRight w:val="0"/>
          <w:marTop w:val="0"/>
          <w:marBottom w:val="0"/>
          <w:divBdr>
            <w:top w:val="none" w:sz="0" w:space="0" w:color="auto"/>
            <w:left w:val="none" w:sz="0" w:space="0" w:color="auto"/>
            <w:bottom w:val="none" w:sz="0" w:space="0" w:color="auto"/>
            <w:right w:val="none" w:sz="0" w:space="0" w:color="auto"/>
          </w:divBdr>
        </w:div>
        <w:div w:id="1626883935">
          <w:marLeft w:val="640"/>
          <w:marRight w:val="0"/>
          <w:marTop w:val="0"/>
          <w:marBottom w:val="0"/>
          <w:divBdr>
            <w:top w:val="none" w:sz="0" w:space="0" w:color="auto"/>
            <w:left w:val="none" w:sz="0" w:space="0" w:color="auto"/>
            <w:bottom w:val="none" w:sz="0" w:space="0" w:color="auto"/>
            <w:right w:val="none" w:sz="0" w:space="0" w:color="auto"/>
          </w:divBdr>
        </w:div>
        <w:div w:id="474957792">
          <w:marLeft w:val="640"/>
          <w:marRight w:val="0"/>
          <w:marTop w:val="0"/>
          <w:marBottom w:val="0"/>
          <w:divBdr>
            <w:top w:val="none" w:sz="0" w:space="0" w:color="auto"/>
            <w:left w:val="none" w:sz="0" w:space="0" w:color="auto"/>
            <w:bottom w:val="none" w:sz="0" w:space="0" w:color="auto"/>
            <w:right w:val="none" w:sz="0" w:space="0" w:color="auto"/>
          </w:divBdr>
        </w:div>
        <w:div w:id="201137668">
          <w:marLeft w:val="640"/>
          <w:marRight w:val="0"/>
          <w:marTop w:val="0"/>
          <w:marBottom w:val="0"/>
          <w:divBdr>
            <w:top w:val="none" w:sz="0" w:space="0" w:color="auto"/>
            <w:left w:val="none" w:sz="0" w:space="0" w:color="auto"/>
            <w:bottom w:val="none" w:sz="0" w:space="0" w:color="auto"/>
            <w:right w:val="none" w:sz="0" w:space="0" w:color="auto"/>
          </w:divBdr>
        </w:div>
        <w:div w:id="477653353">
          <w:marLeft w:val="640"/>
          <w:marRight w:val="0"/>
          <w:marTop w:val="0"/>
          <w:marBottom w:val="0"/>
          <w:divBdr>
            <w:top w:val="none" w:sz="0" w:space="0" w:color="auto"/>
            <w:left w:val="none" w:sz="0" w:space="0" w:color="auto"/>
            <w:bottom w:val="none" w:sz="0" w:space="0" w:color="auto"/>
            <w:right w:val="none" w:sz="0" w:space="0" w:color="auto"/>
          </w:divBdr>
        </w:div>
        <w:div w:id="382213080">
          <w:marLeft w:val="640"/>
          <w:marRight w:val="0"/>
          <w:marTop w:val="0"/>
          <w:marBottom w:val="0"/>
          <w:divBdr>
            <w:top w:val="none" w:sz="0" w:space="0" w:color="auto"/>
            <w:left w:val="none" w:sz="0" w:space="0" w:color="auto"/>
            <w:bottom w:val="none" w:sz="0" w:space="0" w:color="auto"/>
            <w:right w:val="none" w:sz="0" w:space="0" w:color="auto"/>
          </w:divBdr>
        </w:div>
        <w:div w:id="1076786601">
          <w:marLeft w:val="640"/>
          <w:marRight w:val="0"/>
          <w:marTop w:val="0"/>
          <w:marBottom w:val="0"/>
          <w:divBdr>
            <w:top w:val="none" w:sz="0" w:space="0" w:color="auto"/>
            <w:left w:val="none" w:sz="0" w:space="0" w:color="auto"/>
            <w:bottom w:val="none" w:sz="0" w:space="0" w:color="auto"/>
            <w:right w:val="none" w:sz="0" w:space="0" w:color="auto"/>
          </w:divBdr>
        </w:div>
        <w:div w:id="164976047">
          <w:marLeft w:val="640"/>
          <w:marRight w:val="0"/>
          <w:marTop w:val="0"/>
          <w:marBottom w:val="0"/>
          <w:divBdr>
            <w:top w:val="none" w:sz="0" w:space="0" w:color="auto"/>
            <w:left w:val="none" w:sz="0" w:space="0" w:color="auto"/>
            <w:bottom w:val="none" w:sz="0" w:space="0" w:color="auto"/>
            <w:right w:val="none" w:sz="0" w:space="0" w:color="auto"/>
          </w:divBdr>
        </w:div>
        <w:div w:id="1094937765">
          <w:marLeft w:val="640"/>
          <w:marRight w:val="0"/>
          <w:marTop w:val="0"/>
          <w:marBottom w:val="0"/>
          <w:divBdr>
            <w:top w:val="none" w:sz="0" w:space="0" w:color="auto"/>
            <w:left w:val="none" w:sz="0" w:space="0" w:color="auto"/>
            <w:bottom w:val="none" w:sz="0" w:space="0" w:color="auto"/>
            <w:right w:val="none" w:sz="0" w:space="0" w:color="auto"/>
          </w:divBdr>
        </w:div>
        <w:div w:id="508251783">
          <w:marLeft w:val="640"/>
          <w:marRight w:val="0"/>
          <w:marTop w:val="0"/>
          <w:marBottom w:val="0"/>
          <w:divBdr>
            <w:top w:val="none" w:sz="0" w:space="0" w:color="auto"/>
            <w:left w:val="none" w:sz="0" w:space="0" w:color="auto"/>
            <w:bottom w:val="none" w:sz="0" w:space="0" w:color="auto"/>
            <w:right w:val="none" w:sz="0" w:space="0" w:color="auto"/>
          </w:divBdr>
        </w:div>
        <w:div w:id="735979872">
          <w:marLeft w:val="640"/>
          <w:marRight w:val="0"/>
          <w:marTop w:val="0"/>
          <w:marBottom w:val="0"/>
          <w:divBdr>
            <w:top w:val="none" w:sz="0" w:space="0" w:color="auto"/>
            <w:left w:val="none" w:sz="0" w:space="0" w:color="auto"/>
            <w:bottom w:val="none" w:sz="0" w:space="0" w:color="auto"/>
            <w:right w:val="none" w:sz="0" w:space="0" w:color="auto"/>
          </w:divBdr>
        </w:div>
        <w:div w:id="1290011313">
          <w:marLeft w:val="640"/>
          <w:marRight w:val="0"/>
          <w:marTop w:val="0"/>
          <w:marBottom w:val="0"/>
          <w:divBdr>
            <w:top w:val="none" w:sz="0" w:space="0" w:color="auto"/>
            <w:left w:val="none" w:sz="0" w:space="0" w:color="auto"/>
            <w:bottom w:val="none" w:sz="0" w:space="0" w:color="auto"/>
            <w:right w:val="none" w:sz="0" w:space="0" w:color="auto"/>
          </w:divBdr>
        </w:div>
        <w:div w:id="1436825174">
          <w:marLeft w:val="640"/>
          <w:marRight w:val="0"/>
          <w:marTop w:val="0"/>
          <w:marBottom w:val="0"/>
          <w:divBdr>
            <w:top w:val="none" w:sz="0" w:space="0" w:color="auto"/>
            <w:left w:val="none" w:sz="0" w:space="0" w:color="auto"/>
            <w:bottom w:val="none" w:sz="0" w:space="0" w:color="auto"/>
            <w:right w:val="none" w:sz="0" w:space="0" w:color="auto"/>
          </w:divBdr>
        </w:div>
        <w:div w:id="733115645">
          <w:marLeft w:val="640"/>
          <w:marRight w:val="0"/>
          <w:marTop w:val="0"/>
          <w:marBottom w:val="0"/>
          <w:divBdr>
            <w:top w:val="none" w:sz="0" w:space="0" w:color="auto"/>
            <w:left w:val="none" w:sz="0" w:space="0" w:color="auto"/>
            <w:bottom w:val="none" w:sz="0" w:space="0" w:color="auto"/>
            <w:right w:val="none" w:sz="0" w:space="0" w:color="auto"/>
          </w:divBdr>
        </w:div>
        <w:div w:id="1247768857">
          <w:marLeft w:val="640"/>
          <w:marRight w:val="0"/>
          <w:marTop w:val="0"/>
          <w:marBottom w:val="0"/>
          <w:divBdr>
            <w:top w:val="none" w:sz="0" w:space="0" w:color="auto"/>
            <w:left w:val="none" w:sz="0" w:space="0" w:color="auto"/>
            <w:bottom w:val="none" w:sz="0" w:space="0" w:color="auto"/>
            <w:right w:val="none" w:sz="0" w:space="0" w:color="auto"/>
          </w:divBdr>
        </w:div>
        <w:div w:id="1683044705">
          <w:marLeft w:val="640"/>
          <w:marRight w:val="0"/>
          <w:marTop w:val="0"/>
          <w:marBottom w:val="0"/>
          <w:divBdr>
            <w:top w:val="none" w:sz="0" w:space="0" w:color="auto"/>
            <w:left w:val="none" w:sz="0" w:space="0" w:color="auto"/>
            <w:bottom w:val="none" w:sz="0" w:space="0" w:color="auto"/>
            <w:right w:val="none" w:sz="0" w:space="0" w:color="auto"/>
          </w:divBdr>
        </w:div>
        <w:div w:id="1292176523">
          <w:marLeft w:val="640"/>
          <w:marRight w:val="0"/>
          <w:marTop w:val="0"/>
          <w:marBottom w:val="0"/>
          <w:divBdr>
            <w:top w:val="none" w:sz="0" w:space="0" w:color="auto"/>
            <w:left w:val="none" w:sz="0" w:space="0" w:color="auto"/>
            <w:bottom w:val="none" w:sz="0" w:space="0" w:color="auto"/>
            <w:right w:val="none" w:sz="0" w:space="0" w:color="auto"/>
          </w:divBdr>
        </w:div>
        <w:div w:id="970942665">
          <w:marLeft w:val="640"/>
          <w:marRight w:val="0"/>
          <w:marTop w:val="0"/>
          <w:marBottom w:val="0"/>
          <w:divBdr>
            <w:top w:val="none" w:sz="0" w:space="0" w:color="auto"/>
            <w:left w:val="none" w:sz="0" w:space="0" w:color="auto"/>
            <w:bottom w:val="none" w:sz="0" w:space="0" w:color="auto"/>
            <w:right w:val="none" w:sz="0" w:space="0" w:color="auto"/>
          </w:divBdr>
        </w:div>
        <w:div w:id="394819817">
          <w:marLeft w:val="640"/>
          <w:marRight w:val="0"/>
          <w:marTop w:val="0"/>
          <w:marBottom w:val="0"/>
          <w:divBdr>
            <w:top w:val="none" w:sz="0" w:space="0" w:color="auto"/>
            <w:left w:val="none" w:sz="0" w:space="0" w:color="auto"/>
            <w:bottom w:val="none" w:sz="0" w:space="0" w:color="auto"/>
            <w:right w:val="none" w:sz="0" w:space="0" w:color="auto"/>
          </w:divBdr>
        </w:div>
        <w:div w:id="571891067">
          <w:marLeft w:val="640"/>
          <w:marRight w:val="0"/>
          <w:marTop w:val="0"/>
          <w:marBottom w:val="0"/>
          <w:divBdr>
            <w:top w:val="none" w:sz="0" w:space="0" w:color="auto"/>
            <w:left w:val="none" w:sz="0" w:space="0" w:color="auto"/>
            <w:bottom w:val="none" w:sz="0" w:space="0" w:color="auto"/>
            <w:right w:val="none" w:sz="0" w:space="0" w:color="auto"/>
          </w:divBdr>
        </w:div>
        <w:div w:id="1831829363">
          <w:marLeft w:val="640"/>
          <w:marRight w:val="0"/>
          <w:marTop w:val="0"/>
          <w:marBottom w:val="0"/>
          <w:divBdr>
            <w:top w:val="none" w:sz="0" w:space="0" w:color="auto"/>
            <w:left w:val="none" w:sz="0" w:space="0" w:color="auto"/>
            <w:bottom w:val="none" w:sz="0" w:space="0" w:color="auto"/>
            <w:right w:val="none" w:sz="0" w:space="0" w:color="auto"/>
          </w:divBdr>
        </w:div>
        <w:div w:id="2127236363">
          <w:marLeft w:val="640"/>
          <w:marRight w:val="0"/>
          <w:marTop w:val="0"/>
          <w:marBottom w:val="0"/>
          <w:divBdr>
            <w:top w:val="none" w:sz="0" w:space="0" w:color="auto"/>
            <w:left w:val="none" w:sz="0" w:space="0" w:color="auto"/>
            <w:bottom w:val="none" w:sz="0" w:space="0" w:color="auto"/>
            <w:right w:val="none" w:sz="0" w:space="0" w:color="auto"/>
          </w:divBdr>
        </w:div>
        <w:div w:id="1875531053">
          <w:marLeft w:val="640"/>
          <w:marRight w:val="0"/>
          <w:marTop w:val="0"/>
          <w:marBottom w:val="0"/>
          <w:divBdr>
            <w:top w:val="none" w:sz="0" w:space="0" w:color="auto"/>
            <w:left w:val="none" w:sz="0" w:space="0" w:color="auto"/>
            <w:bottom w:val="none" w:sz="0" w:space="0" w:color="auto"/>
            <w:right w:val="none" w:sz="0" w:space="0" w:color="auto"/>
          </w:divBdr>
        </w:div>
        <w:div w:id="1178233932">
          <w:marLeft w:val="640"/>
          <w:marRight w:val="0"/>
          <w:marTop w:val="0"/>
          <w:marBottom w:val="0"/>
          <w:divBdr>
            <w:top w:val="none" w:sz="0" w:space="0" w:color="auto"/>
            <w:left w:val="none" w:sz="0" w:space="0" w:color="auto"/>
            <w:bottom w:val="none" w:sz="0" w:space="0" w:color="auto"/>
            <w:right w:val="none" w:sz="0" w:space="0" w:color="auto"/>
          </w:divBdr>
        </w:div>
        <w:div w:id="1332641655">
          <w:marLeft w:val="640"/>
          <w:marRight w:val="0"/>
          <w:marTop w:val="0"/>
          <w:marBottom w:val="0"/>
          <w:divBdr>
            <w:top w:val="none" w:sz="0" w:space="0" w:color="auto"/>
            <w:left w:val="none" w:sz="0" w:space="0" w:color="auto"/>
            <w:bottom w:val="none" w:sz="0" w:space="0" w:color="auto"/>
            <w:right w:val="none" w:sz="0" w:space="0" w:color="auto"/>
          </w:divBdr>
        </w:div>
        <w:div w:id="543054579">
          <w:marLeft w:val="640"/>
          <w:marRight w:val="0"/>
          <w:marTop w:val="0"/>
          <w:marBottom w:val="0"/>
          <w:divBdr>
            <w:top w:val="none" w:sz="0" w:space="0" w:color="auto"/>
            <w:left w:val="none" w:sz="0" w:space="0" w:color="auto"/>
            <w:bottom w:val="none" w:sz="0" w:space="0" w:color="auto"/>
            <w:right w:val="none" w:sz="0" w:space="0" w:color="auto"/>
          </w:divBdr>
        </w:div>
        <w:div w:id="1227378080">
          <w:marLeft w:val="640"/>
          <w:marRight w:val="0"/>
          <w:marTop w:val="0"/>
          <w:marBottom w:val="0"/>
          <w:divBdr>
            <w:top w:val="none" w:sz="0" w:space="0" w:color="auto"/>
            <w:left w:val="none" w:sz="0" w:space="0" w:color="auto"/>
            <w:bottom w:val="none" w:sz="0" w:space="0" w:color="auto"/>
            <w:right w:val="none" w:sz="0" w:space="0" w:color="auto"/>
          </w:divBdr>
        </w:div>
        <w:div w:id="352878086">
          <w:marLeft w:val="640"/>
          <w:marRight w:val="0"/>
          <w:marTop w:val="0"/>
          <w:marBottom w:val="0"/>
          <w:divBdr>
            <w:top w:val="none" w:sz="0" w:space="0" w:color="auto"/>
            <w:left w:val="none" w:sz="0" w:space="0" w:color="auto"/>
            <w:bottom w:val="none" w:sz="0" w:space="0" w:color="auto"/>
            <w:right w:val="none" w:sz="0" w:space="0" w:color="auto"/>
          </w:divBdr>
        </w:div>
        <w:div w:id="1637876368">
          <w:marLeft w:val="640"/>
          <w:marRight w:val="0"/>
          <w:marTop w:val="0"/>
          <w:marBottom w:val="0"/>
          <w:divBdr>
            <w:top w:val="none" w:sz="0" w:space="0" w:color="auto"/>
            <w:left w:val="none" w:sz="0" w:space="0" w:color="auto"/>
            <w:bottom w:val="none" w:sz="0" w:space="0" w:color="auto"/>
            <w:right w:val="none" w:sz="0" w:space="0" w:color="auto"/>
          </w:divBdr>
        </w:div>
        <w:div w:id="1453089305">
          <w:marLeft w:val="640"/>
          <w:marRight w:val="0"/>
          <w:marTop w:val="0"/>
          <w:marBottom w:val="0"/>
          <w:divBdr>
            <w:top w:val="none" w:sz="0" w:space="0" w:color="auto"/>
            <w:left w:val="none" w:sz="0" w:space="0" w:color="auto"/>
            <w:bottom w:val="none" w:sz="0" w:space="0" w:color="auto"/>
            <w:right w:val="none" w:sz="0" w:space="0" w:color="auto"/>
          </w:divBdr>
        </w:div>
        <w:div w:id="74323903">
          <w:marLeft w:val="640"/>
          <w:marRight w:val="0"/>
          <w:marTop w:val="0"/>
          <w:marBottom w:val="0"/>
          <w:divBdr>
            <w:top w:val="none" w:sz="0" w:space="0" w:color="auto"/>
            <w:left w:val="none" w:sz="0" w:space="0" w:color="auto"/>
            <w:bottom w:val="none" w:sz="0" w:space="0" w:color="auto"/>
            <w:right w:val="none" w:sz="0" w:space="0" w:color="auto"/>
          </w:divBdr>
        </w:div>
        <w:div w:id="158543937">
          <w:marLeft w:val="640"/>
          <w:marRight w:val="0"/>
          <w:marTop w:val="0"/>
          <w:marBottom w:val="0"/>
          <w:divBdr>
            <w:top w:val="none" w:sz="0" w:space="0" w:color="auto"/>
            <w:left w:val="none" w:sz="0" w:space="0" w:color="auto"/>
            <w:bottom w:val="none" w:sz="0" w:space="0" w:color="auto"/>
            <w:right w:val="none" w:sz="0" w:space="0" w:color="auto"/>
          </w:divBdr>
        </w:div>
        <w:div w:id="1234199316">
          <w:marLeft w:val="640"/>
          <w:marRight w:val="0"/>
          <w:marTop w:val="0"/>
          <w:marBottom w:val="0"/>
          <w:divBdr>
            <w:top w:val="none" w:sz="0" w:space="0" w:color="auto"/>
            <w:left w:val="none" w:sz="0" w:space="0" w:color="auto"/>
            <w:bottom w:val="none" w:sz="0" w:space="0" w:color="auto"/>
            <w:right w:val="none" w:sz="0" w:space="0" w:color="auto"/>
          </w:divBdr>
        </w:div>
        <w:div w:id="632952681">
          <w:marLeft w:val="640"/>
          <w:marRight w:val="0"/>
          <w:marTop w:val="0"/>
          <w:marBottom w:val="0"/>
          <w:divBdr>
            <w:top w:val="none" w:sz="0" w:space="0" w:color="auto"/>
            <w:left w:val="none" w:sz="0" w:space="0" w:color="auto"/>
            <w:bottom w:val="none" w:sz="0" w:space="0" w:color="auto"/>
            <w:right w:val="none" w:sz="0" w:space="0" w:color="auto"/>
          </w:divBdr>
        </w:div>
        <w:div w:id="885406923">
          <w:marLeft w:val="640"/>
          <w:marRight w:val="0"/>
          <w:marTop w:val="0"/>
          <w:marBottom w:val="0"/>
          <w:divBdr>
            <w:top w:val="none" w:sz="0" w:space="0" w:color="auto"/>
            <w:left w:val="none" w:sz="0" w:space="0" w:color="auto"/>
            <w:bottom w:val="none" w:sz="0" w:space="0" w:color="auto"/>
            <w:right w:val="none" w:sz="0" w:space="0" w:color="auto"/>
          </w:divBdr>
        </w:div>
        <w:div w:id="1488547848">
          <w:marLeft w:val="640"/>
          <w:marRight w:val="0"/>
          <w:marTop w:val="0"/>
          <w:marBottom w:val="0"/>
          <w:divBdr>
            <w:top w:val="none" w:sz="0" w:space="0" w:color="auto"/>
            <w:left w:val="none" w:sz="0" w:space="0" w:color="auto"/>
            <w:bottom w:val="none" w:sz="0" w:space="0" w:color="auto"/>
            <w:right w:val="none" w:sz="0" w:space="0" w:color="auto"/>
          </w:divBdr>
        </w:div>
        <w:div w:id="2060736262">
          <w:marLeft w:val="640"/>
          <w:marRight w:val="0"/>
          <w:marTop w:val="0"/>
          <w:marBottom w:val="0"/>
          <w:divBdr>
            <w:top w:val="none" w:sz="0" w:space="0" w:color="auto"/>
            <w:left w:val="none" w:sz="0" w:space="0" w:color="auto"/>
            <w:bottom w:val="none" w:sz="0" w:space="0" w:color="auto"/>
            <w:right w:val="none" w:sz="0" w:space="0" w:color="auto"/>
          </w:divBdr>
        </w:div>
        <w:div w:id="777794465">
          <w:marLeft w:val="640"/>
          <w:marRight w:val="0"/>
          <w:marTop w:val="0"/>
          <w:marBottom w:val="0"/>
          <w:divBdr>
            <w:top w:val="none" w:sz="0" w:space="0" w:color="auto"/>
            <w:left w:val="none" w:sz="0" w:space="0" w:color="auto"/>
            <w:bottom w:val="none" w:sz="0" w:space="0" w:color="auto"/>
            <w:right w:val="none" w:sz="0" w:space="0" w:color="auto"/>
          </w:divBdr>
        </w:div>
        <w:div w:id="1204362184">
          <w:marLeft w:val="640"/>
          <w:marRight w:val="0"/>
          <w:marTop w:val="0"/>
          <w:marBottom w:val="0"/>
          <w:divBdr>
            <w:top w:val="none" w:sz="0" w:space="0" w:color="auto"/>
            <w:left w:val="none" w:sz="0" w:space="0" w:color="auto"/>
            <w:bottom w:val="none" w:sz="0" w:space="0" w:color="auto"/>
            <w:right w:val="none" w:sz="0" w:space="0" w:color="auto"/>
          </w:divBdr>
        </w:div>
        <w:div w:id="1224412824">
          <w:marLeft w:val="640"/>
          <w:marRight w:val="0"/>
          <w:marTop w:val="0"/>
          <w:marBottom w:val="0"/>
          <w:divBdr>
            <w:top w:val="none" w:sz="0" w:space="0" w:color="auto"/>
            <w:left w:val="none" w:sz="0" w:space="0" w:color="auto"/>
            <w:bottom w:val="none" w:sz="0" w:space="0" w:color="auto"/>
            <w:right w:val="none" w:sz="0" w:space="0" w:color="auto"/>
          </w:divBdr>
        </w:div>
        <w:div w:id="1652370954">
          <w:marLeft w:val="640"/>
          <w:marRight w:val="0"/>
          <w:marTop w:val="0"/>
          <w:marBottom w:val="0"/>
          <w:divBdr>
            <w:top w:val="none" w:sz="0" w:space="0" w:color="auto"/>
            <w:left w:val="none" w:sz="0" w:space="0" w:color="auto"/>
            <w:bottom w:val="none" w:sz="0" w:space="0" w:color="auto"/>
            <w:right w:val="none" w:sz="0" w:space="0" w:color="auto"/>
          </w:divBdr>
        </w:div>
        <w:div w:id="1509521732">
          <w:marLeft w:val="640"/>
          <w:marRight w:val="0"/>
          <w:marTop w:val="0"/>
          <w:marBottom w:val="0"/>
          <w:divBdr>
            <w:top w:val="none" w:sz="0" w:space="0" w:color="auto"/>
            <w:left w:val="none" w:sz="0" w:space="0" w:color="auto"/>
            <w:bottom w:val="none" w:sz="0" w:space="0" w:color="auto"/>
            <w:right w:val="none" w:sz="0" w:space="0" w:color="auto"/>
          </w:divBdr>
        </w:div>
        <w:div w:id="1499734720">
          <w:marLeft w:val="640"/>
          <w:marRight w:val="0"/>
          <w:marTop w:val="0"/>
          <w:marBottom w:val="0"/>
          <w:divBdr>
            <w:top w:val="none" w:sz="0" w:space="0" w:color="auto"/>
            <w:left w:val="none" w:sz="0" w:space="0" w:color="auto"/>
            <w:bottom w:val="none" w:sz="0" w:space="0" w:color="auto"/>
            <w:right w:val="none" w:sz="0" w:space="0" w:color="auto"/>
          </w:divBdr>
        </w:div>
        <w:div w:id="1028020575">
          <w:marLeft w:val="640"/>
          <w:marRight w:val="0"/>
          <w:marTop w:val="0"/>
          <w:marBottom w:val="0"/>
          <w:divBdr>
            <w:top w:val="none" w:sz="0" w:space="0" w:color="auto"/>
            <w:left w:val="none" w:sz="0" w:space="0" w:color="auto"/>
            <w:bottom w:val="none" w:sz="0" w:space="0" w:color="auto"/>
            <w:right w:val="none" w:sz="0" w:space="0" w:color="auto"/>
          </w:divBdr>
        </w:div>
        <w:div w:id="656226384">
          <w:marLeft w:val="640"/>
          <w:marRight w:val="0"/>
          <w:marTop w:val="0"/>
          <w:marBottom w:val="0"/>
          <w:divBdr>
            <w:top w:val="none" w:sz="0" w:space="0" w:color="auto"/>
            <w:left w:val="none" w:sz="0" w:space="0" w:color="auto"/>
            <w:bottom w:val="none" w:sz="0" w:space="0" w:color="auto"/>
            <w:right w:val="none" w:sz="0" w:space="0" w:color="auto"/>
          </w:divBdr>
        </w:div>
        <w:div w:id="1780445539">
          <w:marLeft w:val="640"/>
          <w:marRight w:val="0"/>
          <w:marTop w:val="0"/>
          <w:marBottom w:val="0"/>
          <w:divBdr>
            <w:top w:val="none" w:sz="0" w:space="0" w:color="auto"/>
            <w:left w:val="none" w:sz="0" w:space="0" w:color="auto"/>
            <w:bottom w:val="none" w:sz="0" w:space="0" w:color="auto"/>
            <w:right w:val="none" w:sz="0" w:space="0" w:color="auto"/>
          </w:divBdr>
        </w:div>
        <w:div w:id="318576288">
          <w:marLeft w:val="640"/>
          <w:marRight w:val="0"/>
          <w:marTop w:val="0"/>
          <w:marBottom w:val="0"/>
          <w:divBdr>
            <w:top w:val="none" w:sz="0" w:space="0" w:color="auto"/>
            <w:left w:val="none" w:sz="0" w:space="0" w:color="auto"/>
            <w:bottom w:val="none" w:sz="0" w:space="0" w:color="auto"/>
            <w:right w:val="none" w:sz="0" w:space="0" w:color="auto"/>
          </w:divBdr>
        </w:div>
        <w:div w:id="15926908">
          <w:marLeft w:val="640"/>
          <w:marRight w:val="0"/>
          <w:marTop w:val="0"/>
          <w:marBottom w:val="0"/>
          <w:divBdr>
            <w:top w:val="none" w:sz="0" w:space="0" w:color="auto"/>
            <w:left w:val="none" w:sz="0" w:space="0" w:color="auto"/>
            <w:bottom w:val="none" w:sz="0" w:space="0" w:color="auto"/>
            <w:right w:val="none" w:sz="0" w:space="0" w:color="auto"/>
          </w:divBdr>
        </w:div>
        <w:div w:id="1372727165">
          <w:marLeft w:val="640"/>
          <w:marRight w:val="0"/>
          <w:marTop w:val="0"/>
          <w:marBottom w:val="0"/>
          <w:divBdr>
            <w:top w:val="none" w:sz="0" w:space="0" w:color="auto"/>
            <w:left w:val="none" w:sz="0" w:space="0" w:color="auto"/>
            <w:bottom w:val="none" w:sz="0" w:space="0" w:color="auto"/>
            <w:right w:val="none" w:sz="0" w:space="0" w:color="auto"/>
          </w:divBdr>
        </w:div>
        <w:div w:id="72625388">
          <w:marLeft w:val="640"/>
          <w:marRight w:val="0"/>
          <w:marTop w:val="0"/>
          <w:marBottom w:val="0"/>
          <w:divBdr>
            <w:top w:val="none" w:sz="0" w:space="0" w:color="auto"/>
            <w:left w:val="none" w:sz="0" w:space="0" w:color="auto"/>
            <w:bottom w:val="none" w:sz="0" w:space="0" w:color="auto"/>
            <w:right w:val="none" w:sz="0" w:space="0" w:color="auto"/>
          </w:divBdr>
        </w:div>
        <w:div w:id="1815370125">
          <w:marLeft w:val="640"/>
          <w:marRight w:val="0"/>
          <w:marTop w:val="0"/>
          <w:marBottom w:val="0"/>
          <w:divBdr>
            <w:top w:val="none" w:sz="0" w:space="0" w:color="auto"/>
            <w:left w:val="none" w:sz="0" w:space="0" w:color="auto"/>
            <w:bottom w:val="none" w:sz="0" w:space="0" w:color="auto"/>
            <w:right w:val="none" w:sz="0" w:space="0" w:color="auto"/>
          </w:divBdr>
        </w:div>
        <w:div w:id="449134429">
          <w:marLeft w:val="640"/>
          <w:marRight w:val="0"/>
          <w:marTop w:val="0"/>
          <w:marBottom w:val="0"/>
          <w:divBdr>
            <w:top w:val="none" w:sz="0" w:space="0" w:color="auto"/>
            <w:left w:val="none" w:sz="0" w:space="0" w:color="auto"/>
            <w:bottom w:val="none" w:sz="0" w:space="0" w:color="auto"/>
            <w:right w:val="none" w:sz="0" w:space="0" w:color="auto"/>
          </w:divBdr>
        </w:div>
        <w:div w:id="2135521398">
          <w:marLeft w:val="640"/>
          <w:marRight w:val="0"/>
          <w:marTop w:val="0"/>
          <w:marBottom w:val="0"/>
          <w:divBdr>
            <w:top w:val="none" w:sz="0" w:space="0" w:color="auto"/>
            <w:left w:val="none" w:sz="0" w:space="0" w:color="auto"/>
            <w:bottom w:val="none" w:sz="0" w:space="0" w:color="auto"/>
            <w:right w:val="none" w:sz="0" w:space="0" w:color="auto"/>
          </w:divBdr>
        </w:div>
        <w:div w:id="2136558955">
          <w:marLeft w:val="640"/>
          <w:marRight w:val="0"/>
          <w:marTop w:val="0"/>
          <w:marBottom w:val="0"/>
          <w:divBdr>
            <w:top w:val="none" w:sz="0" w:space="0" w:color="auto"/>
            <w:left w:val="none" w:sz="0" w:space="0" w:color="auto"/>
            <w:bottom w:val="none" w:sz="0" w:space="0" w:color="auto"/>
            <w:right w:val="none" w:sz="0" w:space="0" w:color="auto"/>
          </w:divBdr>
        </w:div>
        <w:div w:id="741566563">
          <w:marLeft w:val="640"/>
          <w:marRight w:val="0"/>
          <w:marTop w:val="0"/>
          <w:marBottom w:val="0"/>
          <w:divBdr>
            <w:top w:val="none" w:sz="0" w:space="0" w:color="auto"/>
            <w:left w:val="none" w:sz="0" w:space="0" w:color="auto"/>
            <w:bottom w:val="none" w:sz="0" w:space="0" w:color="auto"/>
            <w:right w:val="none" w:sz="0" w:space="0" w:color="auto"/>
          </w:divBdr>
        </w:div>
        <w:div w:id="1104034645">
          <w:marLeft w:val="640"/>
          <w:marRight w:val="0"/>
          <w:marTop w:val="0"/>
          <w:marBottom w:val="0"/>
          <w:divBdr>
            <w:top w:val="none" w:sz="0" w:space="0" w:color="auto"/>
            <w:left w:val="none" w:sz="0" w:space="0" w:color="auto"/>
            <w:bottom w:val="none" w:sz="0" w:space="0" w:color="auto"/>
            <w:right w:val="none" w:sz="0" w:space="0" w:color="auto"/>
          </w:divBdr>
        </w:div>
        <w:div w:id="1340350744">
          <w:marLeft w:val="640"/>
          <w:marRight w:val="0"/>
          <w:marTop w:val="0"/>
          <w:marBottom w:val="0"/>
          <w:divBdr>
            <w:top w:val="none" w:sz="0" w:space="0" w:color="auto"/>
            <w:left w:val="none" w:sz="0" w:space="0" w:color="auto"/>
            <w:bottom w:val="none" w:sz="0" w:space="0" w:color="auto"/>
            <w:right w:val="none" w:sz="0" w:space="0" w:color="auto"/>
          </w:divBdr>
        </w:div>
        <w:div w:id="734742020">
          <w:marLeft w:val="640"/>
          <w:marRight w:val="0"/>
          <w:marTop w:val="0"/>
          <w:marBottom w:val="0"/>
          <w:divBdr>
            <w:top w:val="none" w:sz="0" w:space="0" w:color="auto"/>
            <w:left w:val="none" w:sz="0" w:space="0" w:color="auto"/>
            <w:bottom w:val="none" w:sz="0" w:space="0" w:color="auto"/>
            <w:right w:val="none" w:sz="0" w:space="0" w:color="auto"/>
          </w:divBdr>
        </w:div>
        <w:div w:id="792094835">
          <w:marLeft w:val="640"/>
          <w:marRight w:val="0"/>
          <w:marTop w:val="0"/>
          <w:marBottom w:val="0"/>
          <w:divBdr>
            <w:top w:val="none" w:sz="0" w:space="0" w:color="auto"/>
            <w:left w:val="none" w:sz="0" w:space="0" w:color="auto"/>
            <w:bottom w:val="none" w:sz="0" w:space="0" w:color="auto"/>
            <w:right w:val="none" w:sz="0" w:space="0" w:color="auto"/>
          </w:divBdr>
        </w:div>
        <w:div w:id="765082183">
          <w:marLeft w:val="640"/>
          <w:marRight w:val="0"/>
          <w:marTop w:val="0"/>
          <w:marBottom w:val="0"/>
          <w:divBdr>
            <w:top w:val="none" w:sz="0" w:space="0" w:color="auto"/>
            <w:left w:val="none" w:sz="0" w:space="0" w:color="auto"/>
            <w:bottom w:val="none" w:sz="0" w:space="0" w:color="auto"/>
            <w:right w:val="none" w:sz="0" w:space="0" w:color="auto"/>
          </w:divBdr>
        </w:div>
        <w:div w:id="1604920237">
          <w:marLeft w:val="640"/>
          <w:marRight w:val="0"/>
          <w:marTop w:val="0"/>
          <w:marBottom w:val="0"/>
          <w:divBdr>
            <w:top w:val="none" w:sz="0" w:space="0" w:color="auto"/>
            <w:left w:val="none" w:sz="0" w:space="0" w:color="auto"/>
            <w:bottom w:val="none" w:sz="0" w:space="0" w:color="auto"/>
            <w:right w:val="none" w:sz="0" w:space="0" w:color="auto"/>
          </w:divBdr>
        </w:div>
        <w:div w:id="1153523126">
          <w:marLeft w:val="640"/>
          <w:marRight w:val="0"/>
          <w:marTop w:val="0"/>
          <w:marBottom w:val="0"/>
          <w:divBdr>
            <w:top w:val="none" w:sz="0" w:space="0" w:color="auto"/>
            <w:left w:val="none" w:sz="0" w:space="0" w:color="auto"/>
            <w:bottom w:val="none" w:sz="0" w:space="0" w:color="auto"/>
            <w:right w:val="none" w:sz="0" w:space="0" w:color="auto"/>
          </w:divBdr>
        </w:div>
        <w:div w:id="734203460">
          <w:marLeft w:val="640"/>
          <w:marRight w:val="0"/>
          <w:marTop w:val="0"/>
          <w:marBottom w:val="0"/>
          <w:divBdr>
            <w:top w:val="none" w:sz="0" w:space="0" w:color="auto"/>
            <w:left w:val="none" w:sz="0" w:space="0" w:color="auto"/>
            <w:bottom w:val="none" w:sz="0" w:space="0" w:color="auto"/>
            <w:right w:val="none" w:sz="0" w:space="0" w:color="auto"/>
          </w:divBdr>
        </w:div>
        <w:div w:id="1109200789">
          <w:marLeft w:val="640"/>
          <w:marRight w:val="0"/>
          <w:marTop w:val="0"/>
          <w:marBottom w:val="0"/>
          <w:divBdr>
            <w:top w:val="none" w:sz="0" w:space="0" w:color="auto"/>
            <w:left w:val="none" w:sz="0" w:space="0" w:color="auto"/>
            <w:bottom w:val="none" w:sz="0" w:space="0" w:color="auto"/>
            <w:right w:val="none" w:sz="0" w:space="0" w:color="auto"/>
          </w:divBdr>
        </w:div>
        <w:div w:id="1258094998">
          <w:marLeft w:val="640"/>
          <w:marRight w:val="0"/>
          <w:marTop w:val="0"/>
          <w:marBottom w:val="0"/>
          <w:divBdr>
            <w:top w:val="none" w:sz="0" w:space="0" w:color="auto"/>
            <w:left w:val="none" w:sz="0" w:space="0" w:color="auto"/>
            <w:bottom w:val="none" w:sz="0" w:space="0" w:color="auto"/>
            <w:right w:val="none" w:sz="0" w:space="0" w:color="auto"/>
          </w:divBdr>
        </w:div>
        <w:div w:id="1374186462">
          <w:marLeft w:val="640"/>
          <w:marRight w:val="0"/>
          <w:marTop w:val="0"/>
          <w:marBottom w:val="0"/>
          <w:divBdr>
            <w:top w:val="none" w:sz="0" w:space="0" w:color="auto"/>
            <w:left w:val="none" w:sz="0" w:space="0" w:color="auto"/>
            <w:bottom w:val="none" w:sz="0" w:space="0" w:color="auto"/>
            <w:right w:val="none" w:sz="0" w:space="0" w:color="auto"/>
          </w:divBdr>
        </w:div>
        <w:div w:id="1138692212">
          <w:marLeft w:val="640"/>
          <w:marRight w:val="0"/>
          <w:marTop w:val="0"/>
          <w:marBottom w:val="0"/>
          <w:divBdr>
            <w:top w:val="none" w:sz="0" w:space="0" w:color="auto"/>
            <w:left w:val="none" w:sz="0" w:space="0" w:color="auto"/>
            <w:bottom w:val="none" w:sz="0" w:space="0" w:color="auto"/>
            <w:right w:val="none" w:sz="0" w:space="0" w:color="auto"/>
          </w:divBdr>
        </w:div>
        <w:div w:id="1267931816">
          <w:marLeft w:val="640"/>
          <w:marRight w:val="0"/>
          <w:marTop w:val="0"/>
          <w:marBottom w:val="0"/>
          <w:divBdr>
            <w:top w:val="none" w:sz="0" w:space="0" w:color="auto"/>
            <w:left w:val="none" w:sz="0" w:space="0" w:color="auto"/>
            <w:bottom w:val="none" w:sz="0" w:space="0" w:color="auto"/>
            <w:right w:val="none" w:sz="0" w:space="0" w:color="auto"/>
          </w:divBdr>
        </w:div>
        <w:div w:id="476603743">
          <w:marLeft w:val="640"/>
          <w:marRight w:val="0"/>
          <w:marTop w:val="0"/>
          <w:marBottom w:val="0"/>
          <w:divBdr>
            <w:top w:val="none" w:sz="0" w:space="0" w:color="auto"/>
            <w:left w:val="none" w:sz="0" w:space="0" w:color="auto"/>
            <w:bottom w:val="none" w:sz="0" w:space="0" w:color="auto"/>
            <w:right w:val="none" w:sz="0" w:space="0" w:color="auto"/>
          </w:divBdr>
        </w:div>
        <w:div w:id="137302559">
          <w:marLeft w:val="640"/>
          <w:marRight w:val="0"/>
          <w:marTop w:val="0"/>
          <w:marBottom w:val="0"/>
          <w:divBdr>
            <w:top w:val="none" w:sz="0" w:space="0" w:color="auto"/>
            <w:left w:val="none" w:sz="0" w:space="0" w:color="auto"/>
            <w:bottom w:val="none" w:sz="0" w:space="0" w:color="auto"/>
            <w:right w:val="none" w:sz="0" w:space="0" w:color="auto"/>
          </w:divBdr>
        </w:div>
        <w:div w:id="1233586513">
          <w:marLeft w:val="640"/>
          <w:marRight w:val="0"/>
          <w:marTop w:val="0"/>
          <w:marBottom w:val="0"/>
          <w:divBdr>
            <w:top w:val="none" w:sz="0" w:space="0" w:color="auto"/>
            <w:left w:val="none" w:sz="0" w:space="0" w:color="auto"/>
            <w:bottom w:val="none" w:sz="0" w:space="0" w:color="auto"/>
            <w:right w:val="none" w:sz="0" w:space="0" w:color="auto"/>
          </w:divBdr>
        </w:div>
        <w:div w:id="1776748202">
          <w:marLeft w:val="640"/>
          <w:marRight w:val="0"/>
          <w:marTop w:val="0"/>
          <w:marBottom w:val="0"/>
          <w:divBdr>
            <w:top w:val="none" w:sz="0" w:space="0" w:color="auto"/>
            <w:left w:val="none" w:sz="0" w:space="0" w:color="auto"/>
            <w:bottom w:val="none" w:sz="0" w:space="0" w:color="auto"/>
            <w:right w:val="none" w:sz="0" w:space="0" w:color="auto"/>
          </w:divBdr>
        </w:div>
        <w:div w:id="797991274">
          <w:marLeft w:val="640"/>
          <w:marRight w:val="0"/>
          <w:marTop w:val="0"/>
          <w:marBottom w:val="0"/>
          <w:divBdr>
            <w:top w:val="none" w:sz="0" w:space="0" w:color="auto"/>
            <w:left w:val="none" w:sz="0" w:space="0" w:color="auto"/>
            <w:bottom w:val="none" w:sz="0" w:space="0" w:color="auto"/>
            <w:right w:val="none" w:sz="0" w:space="0" w:color="auto"/>
          </w:divBdr>
        </w:div>
        <w:div w:id="1349063925">
          <w:marLeft w:val="640"/>
          <w:marRight w:val="0"/>
          <w:marTop w:val="0"/>
          <w:marBottom w:val="0"/>
          <w:divBdr>
            <w:top w:val="none" w:sz="0" w:space="0" w:color="auto"/>
            <w:left w:val="none" w:sz="0" w:space="0" w:color="auto"/>
            <w:bottom w:val="none" w:sz="0" w:space="0" w:color="auto"/>
            <w:right w:val="none" w:sz="0" w:space="0" w:color="auto"/>
          </w:divBdr>
        </w:div>
        <w:div w:id="23292691">
          <w:marLeft w:val="640"/>
          <w:marRight w:val="0"/>
          <w:marTop w:val="0"/>
          <w:marBottom w:val="0"/>
          <w:divBdr>
            <w:top w:val="none" w:sz="0" w:space="0" w:color="auto"/>
            <w:left w:val="none" w:sz="0" w:space="0" w:color="auto"/>
            <w:bottom w:val="none" w:sz="0" w:space="0" w:color="auto"/>
            <w:right w:val="none" w:sz="0" w:space="0" w:color="auto"/>
          </w:divBdr>
        </w:div>
        <w:div w:id="1663044593">
          <w:marLeft w:val="640"/>
          <w:marRight w:val="0"/>
          <w:marTop w:val="0"/>
          <w:marBottom w:val="0"/>
          <w:divBdr>
            <w:top w:val="none" w:sz="0" w:space="0" w:color="auto"/>
            <w:left w:val="none" w:sz="0" w:space="0" w:color="auto"/>
            <w:bottom w:val="none" w:sz="0" w:space="0" w:color="auto"/>
            <w:right w:val="none" w:sz="0" w:space="0" w:color="auto"/>
          </w:divBdr>
        </w:div>
        <w:div w:id="663052389">
          <w:marLeft w:val="640"/>
          <w:marRight w:val="0"/>
          <w:marTop w:val="0"/>
          <w:marBottom w:val="0"/>
          <w:divBdr>
            <w:top w:val="none" w:sz="0" w:space="0" w:color="auto"/>
            <w:left w:val="none" w:sz="0" w:space="0" w:color="auto"/>
            <w:bottom w:val="none" w:sz="0" w:space="0" w:color="auto"/>
            <w:right w:val="none" w:sz="0" w:space="0" w:color="auto"/>
          </w:divBdr>
        </w:div>
        <w:div w:id="936404952">
          <w:marLeft w:val="640"/>
          <w:marRight w:val="0"/>
          <w:marTop w:val="0"/>
          <w:marBottom w:val="0"/>
          <w:divBdr>
            <w:top w:val="none" w:sz="0" w:space="0" w:color="auto"/>
            <w:left w:val="none" w:sz="0" w:space="0" w:color="auto"/>
            <w:bottom w:val="none" w:sz="0" w:space="0" w:color="auto"/>
            <w:right w:val="none" w:sz="0" w:space="0" w:color="auto"/>
          </w:divBdr>
        </w:div>
        <w:div w:id="1992098910">
          <w:marLeft w:val="640"/>
          <w:marRight w:val="0"/>
          <w:marTop w:val="0"/>
          <w:marBottom w:val="0"/>
          <w:divBdr>
            <w:top w:val="none" w:sz="0" w:space="0" w:color="auto"/>
            <w:left w:val="none" w:sz="0" w:space="0" w:color="auto"/>
            <w:bottom w:val="none" w:sz="0" w:space="0" w:color="auto"/>
            <w:right w:val="none" w:sz="0" w:space="0" w:color="auto"/>
          </w:divBdr>
        </w:div>
        <w:div w:id="396712858">
          <w:marLeft w:val="640"/>
          <w:marRight w:val="0"/>
          <w:marTop w:val="0"/>
          <w:marBottom w:val="0"/>
          <w:divBdr>
            <w:top w:val="none" w:sz="0" w:space="0" w:color="auto"/>
            <w:left w:val="none" w:sz="0" w:space="0" w:color="auto"/>
            <w:bottom w:val="none" w:sz="0" w:space="0" w:color="auto"/>
            <w:right w:val="none" w:sz="0" w:space="0" w:color="auto"/>
          </w:divBdr>
        </w:div>
        <w:div w:id="1107389726">
          <w:marLeft w:val="640"/>
          <w:marRight w:val="0"/>
          <w:marTop w:val="0"/>
          <w:marBottom w:val="0"/>
          <w:divBdr>
            <w:top w:val="none" w:sz="0" w:space="0" w:color="auto"/>
            <w:left w:val="none" w:sz="0" w:space="0" w:color="auto"/>
            <w:bottom w:val="none" w:sz="0" w:space="0" w:color="auto"/>
            <w:right w:val="none" w:sz="0" w:space="0" w:color="auto"/>
          </w:divBdr>
        </w:div>
        <w:div w:id="1180044039">
          <w:marLeft w:val="640"/>
          <w:marRight w:val="0"/>
          <w:marTop w:val="0"/>
          <w:marBottom w:val="0"/>
          <w:divBdr>
            <w:top w:val="none" w:sz="0" w:space="0" w:color="auto"/>
            <w:left w:val="none" w:sz="0" w:space="0" w:color="auto"/>
            <w:bottom w:val="none" w:sz="0" w:space="0" w:color="auto"/>
            <w:right w:val="none" w:sz="0" w:space="0" w:color="auto"/>
          </w:divBdr>
        </w:div>
        <w:div w:id="560989621">
          <w:marLeft w:val="640"/>
          <w:marRight w:val="0"/>
          <w:marTop w:val="0"/>
          <w:marBottom w:val="0"/>
          <w:divBdr>
            <w:top w:val="none" w:sz="0" w:space="0" w:color="auto"/>
            <w:left w:val="none" w:sz="0" w:space="0" w:color="auto"/>
            <w:bottom w:val="none" w:sz="0" w:space="0" w:color="auto"/>
            <w:right w:val="none" w:sz="0" w:space="0" w:color="auto"/>
          </w:divBdr>
        </w:div>
        <w:div w:id="1791048261">
          <w:marLeft w:val="640"/>
          <w:marRight w:val="0"/>
          <w:marTop w:val="0"/>
          <w:marBottom w:val="0"/>
          <w:divBdr>
            <w:top w:val="none" w:sz="0" w:space="0" w:color="auto"/>
            <w:left w:val="none" w:sz="0" w:space="0" w:color="auto"/>
            <w:bottom w:val="none" w:sz="0" w:space="0" w:color="auto"/>
            <w:right w:val="none" w:sz="0" w:space="0" w:color="auto"/>
          </w:divBdr>
        </w:div>
        <w:div w:id="2007320348">
          <w:marLeft w:val="640"/>
          <w:marRight w:val="0"/>
          <w:marTop w:val="0"/>
          <w:marBottom w:val="0"/>
          <w:divBdr>
            <w:top w:val="none" w:sz="0" w:space="0" w:color="auto"/>
            <w:left w:val="none" w:sz="0" w:space="0" w:color="auto"/>
            <w:bottom w:val="none" w:sz="0" w:space="0" w:color="auto"/>
            <w:right w:val="none" w:sz="0" w:space="0" w:color="auto"/>
          </w:divBdr>
        </w:div>
        <w:div w:id="156120673">
          <w:marLeft w:val="640"/>
          <w:marRight w:val="0"/>
          <w:marTop w:val="0"/>
          <w:marBottom w:val="0"/>
          <w:divBdr>
            <w:top w:val="none" w:sz="0" w:space="0" w:color="auto"/>
            <w:left w:val="none" w:sz="0" w:space="0" w:color="auto"/>
            <w:bottom w:val="none" w:sz="0" w:space="0" w:color="auto"/>
            <w:right w:val="none" w:sz="0" w:space="0" w:color="auto"/>
          </w:divBdr>
        </w:div>
        <w:div w:id="777261561">
          <w:marLeft w:val="640"/>
          <w:marRight w:val="0"/>
          <w:marTop w:val="0"/>
          <w:marBottom w:val="0"/>
          <w:divBdr>
            <w:top w:val="none" w:sz="0" w:space="0" w:color="auto"/>
            <w:left w:val="none" w:sz="0" w:space="0" w:color="auto"/>
            <w:bottom w:val="none" w:sz="0" w:space="0" w:color="auto"/>
            <w:right w:val="none" w:sz="0" w:space="0" w:color="auto"/>
          </w:divBdr>
        </w:div>
        <w:div w:id="2102337546">
          <w:marLeft w:val="640"/>
          <w:marRight w:val="0"/>
          <w:marTop w:val="0"/>
          <w:marBottom w:val="0"/>
          <w:divBdr>
            <w:top w:val="none" w:sz="0" w:space="0" w:color="auto"/>
            <w:left w:val="none" w:sz="0" w:space="0" w:color="auto"/>
            <w:bottom w:val="none" w:sz="0" w:space="0" w:color="auto"/>
            <w:right w:val="none" w:sz="0" w:space="0" w:color="auto"/>
          </w:divBdr>
        </w:div>
        <w:div w:id="1049453374">
          <w:marLeft w:val="640"/>
          <w:marRight w:val="0"/>
          <w:marTop w:val="0"/>
          <w:marBottom w:val="0"/>
          <w:divBdr>
            <w:top w:val="none" w:sz="0" w:space="0" w:color="auto"/>
            <w:left w:val="none" w:sz="0" w:space="0" w:color="auto"/>
            <w:bottom w:val="none" w:sz="0" w:space="0" w:color="auto"/>
            <w:right w:val="none" w:sz="0" w:space="0" w:color="auto"/>
          </w:divBdr>
        </w:div>
        <w:div w:id="1806773438">
          <w:marLeft w:val="640"/>
          <w:marRight w:val="0"/>
          <w:marTop w:val="0"/>
          <w:marBottom w:val="0"/>
          <w:divBdr>
            <w:top w:val="none" w:sz="0" w:space="0" w:color="auto"/>
            <w:left w:val="none" w:sz="0" w:space="0" w:color="auto"/>
            <w:bottom w:val="none" w:sz="0" w:space="0" w:color="auto"/>
            <w:right w:val="none" w:sz="0" w:space="0" w:color="auto"/>
          </w:divBdr>
        </w:div>
        <w:div w:id="117720726">
          <w:marLeft w:val="640"/>
          <w:marRight w:val="0"/>
          <w:marTop w:val="0"/>
          <w:marBottom w:val="0"/>
          <w:divBdr>
            <w:top w:val="none" w:sz="0" w:space="0" w:color="auto"/>
            <w:left w:val="none" w:sz="0" w:space="0" w:color="auto"/>
            <w:bottom w:val="none" w:sz="0" w:space="0" w:color="auto"/>
            <w:right w:val="none" w:sz="0" w:space="0" w:color="auto"/>
          </w:divBdr>
        </w:div>
        <w:div w:id="302276450">
          <w:marLeft w:val="640"/>
          <w:marRight w:val="0"/>
          <w:marTop w:val="0"/>
          <w:marBottom w:val="0"/>
          <w:divBdr>
            <w:top w:val="none" w:sz="0" w:space="0" w:color="auto"/>
            <w:left w:val="none" w:sz="0" w:space="0" w:color="auto"/>
            <w:bottom w:val="none" w:sz="0" w:space="0" w:color="auto"/>
            <w:right w:val="none" w:sz="0" w:space="0" w:color="auto"/>
          </w:divBdr>
        </w:div>
        <w:div w:id="1670205942">
          <w:marLeft w:val="640"/>
          <w:marRight w:val="0"/>
          <w:marTop w:val="0"/>
          <w:marBottom w:val="0"/>
          <w:divBdr>
            <w:top w:val="none" w:sz="0" w:space="0" w:color="auto"/>
            <w:left w:val="none" w:sz="0" w:space="0" w:color="auto"/>
            <w:bottom w:val="none" w:sz="0" w:space="0" w:color="auto"/>
            <w:right w:val="none" w:sz="0" w:space="0" w:color="auto"/>
          </w:divBdr>
        </w:div>
        <w:div w:id="1896117055">
          <w:marLeft w:val="640"/>
          <w:marRight w:val="0"/>
          <w:marTop w:val="0"/>
          <w:marBottom w:val="0"/>
          <w:divBdr>
            <w:top w:val="none" w:sz="0" w:space="0" w:color="auto"/>
            <w:left w:val="none" w:sz="0" w:space="0" w:color="auto"/>
            <w:bottom w:val="none" w:sz="0" w:space="0" w:color="auto"/>
            <w:right w:val="none" w:sz="0" w:space="0" w:color="auto"/>
          </w:divBdr>
        </w:div>
        <w:div w:id="1806385787">
          <w:marLeft w:val="640"/>
          <w:marRight w:val="0"/>
          <w:marTop w:val="0"/>
          <w:marBottom w:val="0"/>
          <w:divBdr>
            <w:top w:val="none" w:sz="0" w:space="0" w:color="auto"/>
            <w:left w:val="none" w:sz="0" w:space="0" w:color="auto"/>
            <w:bottom w:val="none" w:sz="0" w:space="0" w:color="auto"/>
            <w:right w:val="none" w:sz="0" w:space="0" w:color="auto"/>
          </w:divBdr>
        </w:div>
        <w:div w:id="77607062">
          <w:marLeft w:val="640"/>
          <w:marRight w:val="0"/>
          <w:marTop w:val="0"/>
          <w:marBottom w:val="0"/>
          <w:divBdr>
            <w:top w:val="none" w:sz="0" w:space="0" w:color="auto"/>
            <w:left w:val="none" w:sz="0" w:space="0" w:color="auto"/>
            <w:bottom w:val="none" w:sz="0" w:space="0" w:color="auto"/>
            <w:right w:val="none" w:sz="0" w:space="0" w:color="auto"/>
          </w:divBdr>
        </w:div>
        <w:div w:id="2119984074">
          <w:marLeft w:val="640"/>
          <w:marRight w:val="0"/>
          <w:marTop w:val="0"/>
          <w:marBottom w:val="0"/>
          <w:divBdr>
            <w:top w:val="none" w:sz="0" w:space="0" w:color="auto"/>
            <w:left w:val="none" w:sz="0" w:space="0" w:color="auto"/>
            <w:bottom w:val="none" w:sz="0" w:space="0" w:color="auto"/>
            <w:right w:val="none" w:sz="0" w:space="0" w:color="auto"/>
          </w:divBdr>
        </w:div>
        <w:div w:id="1717507818">
          <w:marLeft w:val="640"/>
          <w:marRight w:val="0"/>
          <w:marTop w:val="0"/>
          <w:marBottom w:val="0"/>
          <w:divBdr>
            <w:top w:val="none" w:sz="0" w:space="0" w:color="auto"/>
            <w:left w:val="none" w:sz="0" w:space="0" w:color="auto"/>
            <w:bottom w:val="none" w:sz="0" w:space="0" w:color="auto"/>
            <w:right w:val="none" w:sz="0" w:space="0" w:color="auto"/>
          </w:divBdr>
        </w:div>
        <w:div w:id="182089790">
          <w:marLeft w:val="640"/>
          <w:marRight w:val="0"/>
          <w:marTop w:val="0"/>
          <w:marBottom w:val="0"/>
          <w:divBdr>
            <w:top w:val="none" w:sz="0" w:space="0" w:color="auto"/>
            <w:left w:val="none" w:sz="0" w:space="0" w:color="auto"/>
            <w:bottom w:val="none" w:sz="0" w:space="0" w:color="auto"/>
            <w:right w:val="none" w:sz="0" w:space="0" w:color="auto"/>
          </w:divBdr>
        </w:div>
        <w:div w:id="358093091">
          <w:marLeft w:val="640"/>
          <w:marRight w:val="0"/>
          <w:marTop w:val="0"/>
          <w:marBottom w:val="0"/>
          <w:divBdr>
            <w:top w:val="none" w:sz="0" w:space="0" w:color="auto"/>
            <w:left w:val="none" w:sz="0" w:space="0" w:color="auto"/>
            <w:bottom w:val="none" w:sz="0" w:space="0" w:color="auto"/>
            <w:right w:val="none" w:sz="0" w:space="0" w:color="auto"/>
          </w:divBdr>
        </w:div>
        <w:div w:id="2107577812">
          <w:marLeft w:val="640"/>
          <w:marRight w:val="0"/>
          <w:marTop w:val="0"/>
          <w:marBottom w:val="0"/>
          <w:divBdr>
            <w:top w:val="none" w:sz="0" w:space="0" w:color="auto"/>
            <w:left w:val="none" w:sz="0" w:space="0" w:color="auto"/>
            <w:bottom w:val="none" w:sz="0" w:space="0" w:color="auto"/>
            <w:right w:val="none" w:sz="0" w:space="0" w:color="auto"/>
          </w:divBdr>
        </w:div>
        <w:div w:id="19669391">
          <w:marLeft w:val="640"/>
          <w:marRight w:val="0"/>
          <w:marTop w:val="0"/>
          <w:marBottom w:val="0"/>
          <w:divBdr>
            <w:top w:val="none" w:sz="0" w:space="0" w:color="auto"/>
            <w:left w:val="none" w:sz="0" w:space="0" w:color="auto"/>
            <w:bottom w:val="none" w:sz="0" w:space="0" w:color="auto"/>
            <w:right w:val="none" w:sz="0" w:space="0" w:color="auto"/>
          </w:divBdr>
        </w:div>
        <w:div w:id="1908687868">
          <w:marLeft w:val="640"/>
          <w:marRight w:val="0"/>
          <w:marTop w:val="0"/>
          <w:marBottom w:val="0"/>
          <w:divBdr>
            <w:top w:val="none" w:sz="0" w:space="0" w:color="auto"/>
            <w:left w:val="none" w:sz="0" w:space="0" w:color="auto"/>
            <w:bottom w:val="none" w:sz="0" w:space="0" w:color="auto"/>
            <w:right w:val="none" w:sz="0" w:space="0" w:color="auto"/>
          </w:divBdr>
        </w:div>
        <w:div w:id="629677162">
          <w:marLeft w:val="640"/>
          <w:marRight w:val="0"/>
          <w:marTop w:val="0"/>
          <w:marBottom w:val="0"/>
          <w:divBdr>
            <w:top w:val="none" w:sz="0" w:space="0" w:color="auto"/>
            <w:left w:val="none" w:sz="0" w:space="0" w:color="auto"/>
            <w:bottom w:val="none" w:sz="0" w:space="0" w:color="auto"/>
            <w:right w:val="none" w:sz="0" w:space="0" w:color="auto"/>
          </w:divBdr>
        </w:div>
        <w:div w:id="548536947">
          <w:marLeft w:val="640"/>
          <w:marRight w:val="0"/>
          <w:marTop w:val="0"/>
          <w:marBottom w:val="0"/>
          <w:divBdr>
            <w:top w:val="none" w:sz="0" w:space="0" w:color="auto"/>
            <w:left w:val="none" w:sz="0" w:space="0" w:color="auto"/>
            <w:bottom w:val="none" w:sz="0" w:space="0" w:color="auto"/>
            <w:right w:val="none" w:sz="0" w:space="0" w:color="auto"/>
          </w:divBdr>
        </w:div>
        <w:div w:id="85074099">
          <w:marLeft w:val="640"/>
          <w:marRight w:val="0"/>
          <w:marTop w:val="0"/>
          <w:marBottom w:val="0"/>
          <w:divBdr>
            <w:top w:val="none" w:sz="0" w:space="0" w:color="auto"/>
            <w:left w:val="none" w:sz="0" w:space="0" w:color="auto"/>
            <w:bottom w:val="none" w:sz="0" w:space="0" w:color="auto"/>
            <w:right w:val="none" w:sz="0" w:space="0" w:color="auto"/>
          </w:divBdr>
        </w:div>
        <w:div w:id="2070767548">
          <w:marLeft w:val="640"/>
          <w:marRight w:val="0"/>
          <w:marTop w:val="0"/>
          <w:marBottom w:val="0"/>
          <w:divBdr>
            <w:top w:val="none" w:sz="0" w:space="0" w:color="auto"/>
            <w:left w:val="none" w:sz="0" w:space="0" w:color="auto"/>
            <w:bottom w:val="none" w:sz="0" w:space="0" w:color="auto"/>
            <w:right w:val="none" w:sz="0" w:space="0" w:color="auto"/>
          </w:divBdr>
        </w:div>
        <w:div w:id="1335645131">
          <w:marLeft w:val="640"/>
          <w:marRight w:val="0"/>
          <w:marTop w:val="0"/>
          <w:marBottom w:val="0"/>
          <w:divBdr>
            <w:top w:val="none" w:sz="0" w:space="0" w:color="auto"/>
            <w:left w:val="none" w:sz="0" w:space="0" w:color="auto"/>
            <w:bottom w:val="none" w:sz="0" w:space="0" w:color="auto"/>
            <w:right w:val="none" w:sz="0" w:space="0" w:color="auto"/>
          </w:divBdr>
        </w:div>
        <w:div w:id="777411416">
          <w:marLeft w:val="640"/>
          <w:marRight w:val="0"/>
          <w:marTop w:val="0"/>
          <w:marBottom w:val="0"/>
          <w:divBdr>
            <w:top w:val="none" w:sz="0" w:space="0" w:color="auto"/>
            <w:left w:val="none" w:sz="0" w:space="0" w:color="auto"/>
            <w:bottom w:val="none" w:sz="0" w:space="0" w:color="auto"/>
            <w:right w:val="none" w:sz="0" w:space="0" w:color="auto"/>
          </w:divBdr>
        </w:div>
        <w:div w:id="1457867513">
          <w:marLeft w:val="640"/>
          <w:marRight w:val="0"/>
          <w:marTop w:val="0"/>
          <w:marBottom w:val="0"/>
          <w:divBdr>
            <w:top w:val="none" w:sz="0" w:space="0" w:color="auto"/>
            <w:left w:val="none" w:sz="0" w:space="0" w:color="auto"/>
            <w:bottom w:val="none" w:sz="0" w:space="0" w:color="auto"/>
            <w:right w:val="none" w:sz="0" w:space="0" w:color="auto"/>
          </w:divBdr>
        </w:div>
        <w:div w:id="1259486176">
          <w:marLeft w:val="640"/>
          <w:marRight w:val="0"/>
          <w:marTop w:val="0"/>
          <w:marBottom w:val="0"/>
          <w:divBdr>
            <w:top w:val="none" w:sz="0" w:space="0" w:color="auto"/>
            <w:left w:val="none" w:sz="0" w:space="0" w:color="auto"/>
            <w:bottom w:val="none" w:sz="0" w:space="0" w:color="auto"/>
            <w:right w:val="none" w:sz="0" w:space="0" w:color="auto"/>
          </w:divBdr>
        </w:div>
        <w:div w:id="625232645">
          <w:marLeft w:val="640"/>
          <w:marRight w:val="0"/>
          <w:marTop w:val="0"/>
          <w:marBottom w:val="0"/>
          <w:divBdr>
            <w:top w:val="none" w:sz="0" w:space="0" w:color="auto"/>
            <w:left w:val="none" w:sz="0" w:space="0" w:color="auto"/>
            <w:bottom w:val="none" w:sz="0" w:space="0" w:color="auto"/>
            <w:right w:val="none" w:sz="0" w:space="0" w:color="auto"/>
          </w:divBdr>
        </w:div>
        <w:div w:id="233710226">
          <w:marLeft w:val="640"/>
          <w:marRight w:val="0"/>
          <w:marTop w:val="0"/>
          <w:marBottom w:val="0"/>
          <w:divBdr>
            <w:top w:val="none" w:sz="0" w:space="0" w:color="auto"/>
            <w:left w:val="none" w:sz="0" w:space="0" w:color="auto"/>
            <w:bottom w:val="none" w:sz="0" w:space="0" w:color="auto"/>
            <w:right w:val="none" w:sz="0" w:space="0" w:color="auto"/>
          </w:divBdr>
        </w:div>
        <w:div w:id="1368526986">
          <w:marLeft w:val="640"/>
          <w:marRight w:val="0"/>
          <w:marTop w:val="0"/>
          <w:marBottom w:val="0"/>
          <w:divBdr>
            <w:top w:val="none" w:sz="0" w:space="0" w:color="auto"/>
            <w:left w:val="none" w:sz="0" w:space="0" w:color="auto"/>
            <w:bottom w:val="none" w:sz="0" w:space="0" w:color="auto"/>
            <w:right w:val="none" w:sz="0" w:space="0" w:color="auto"/>
          </w:divBdr>
        </w:div>
        <w:div w:id="303199139">
          <w:marLeft w:val="640"/>
          <w:marRight w:val="0"/>
          <w:marTop w:val="0"/>
          <w:marBottom w:val="0"/>
          <w:divBdr>
            <w:top w:val="none" w:sz="0" w:space="0" w:color="auto"/>
            <w:left w:val="none" w:sz="0" w:space="0" w:color="auto"/>
            <w:bottom w:val="none" w:sz="0" w:space="0" w:color="auto"/>
            <w:right w:val="none" w:sz="0" w:space="0" w:color="auto"/>
          </w:divBdr>
        </w:div>
        <w:div w:id="1418940607">
          <w:marLeft w:val="640"/>
          <w:marRight w:val="0"/>
          <w:marTop w:val="0"/>
          <w:marBottom w:val="0"/>
          <w:divBdr>
            <w:top w:val="none" w:sz="0" w:space="0" w:color="auto"/>
            <w:left w:val="none" w:sz="0" w:space="0" w:color="auto"/>
            <w:bottom w:val="none" w:sz="0" w:space="0" w:color="auto"/>
            <w:right w:val="none" w:sz="0" w:space="0" w:color="auto"/>
          </w:divBdr>
        </w:div>
        <w:div w:id="1623804481">
          <w:marLeft w:val="640"/>
          <w:marRight w:val="0"/>
          <w:marTop w:val="0"/>
          <w:marBottom w:val="0"/>
          <w:divBdr>
            <w:top w:val="none" w:sz="0" w:space="0" w:color="auto"/>
            <w:left w:val="none" w:sz="0" w:space="0" w:color="auto"/>
            <w:bottom w:val="none" w:sz="0" w:space="0" w:color="auto"/>
            <w:right w:val="none" w:sz="0" w:space="0" w:color="auto"/>
          </w:divBdr>
        </w:div>
        <w:div w:id="759523920">
          <w:marLeft w:val="640"/>
          <w:marRight w:val="0"/>
          <w:marTop w:val="0"/>
          <w:marBottom w:val="0"/>
          <w:divBdr>
            <w:top w:val="none" w:sz="0" w:space="0" w:color="auto"/>
            <w:left w:val="none" w:sz="0" w:space="0" w:color="auto"/>
            <w:bottom w:val="none" w:sz="0" w:space="0" w:color="auto"/>
            <w:right w:val="none" w:sz="0" w:space="0" w:color="auto"/>
          </w:divBdr>
        </w:div>
        <w:div w:id="452477369">
          <w:marLeft w:val="640"/>
          <w:marRight w:val="0"/>
          <w:marTop w:val="0"/>
          <w:marBottom w:val="0"/>
          <w:divBdr>
            <w:top w:val="none" w:sz="0" w:space="0" w:color="auto"/>
            <w:left w:val="none" w:sz="0" w:space="0" w:color="auto"/>
            <w:bottom w:val="none" w:sz="0" w:space="0" w:color="auto"/>
            <w:right w:val="none" w:sz="0" w:space="0" w:color="auto"/>
          </w:divBdr>
        </w:div>
        <w:div w:id="2073190637">
          <w:marLeft w:val="640"/>
          <w:marRight w:val="0"/>
          <w:marTop w:val="0"/>
          <w:marBottom w:val="0"/>
          <w:divBdr>
            <w:top w:val="none" w:sz="0" w:space="0" w:color="auto"/>
            <w:left w:val="none" w:sz="0" w:space="0" w:color="auto"/>
            <w:bottom w:val="none" w:sz="0" w:space="0" w:color="auto"/>
            <w:right w:val="none" w:sz="0" w:space="0" w:color="auto"/>
          </w:divBdr>
        </w:div>
        <w:div w:id="267658744">
          <w:marLeft w:val="640"/>
          <w:marRight w:val="0"/>
          <w:marTop w:val="0"/>
          <w:marBottom w:val="0"/>
          <w:divBdr>
            <w:top w:val="none" w:sz="0" w:space="0" w:color="auto"/>
            <w:left w:val="none" w:sz="0" w:space="0" w:color="auto"/>
            <w:bottom w:val="none" w:sz="0" w:space="0" w:color="auto"/>
            <w:right w:val="none" w:sz="0" w:space="0" w:color="auto"/>
          </w:divBdr>
        </w:div>
        <w:div w:id="621113708">
          <w:marLeft w:val="640"/>
          <w:marRight w:val="0"/>
          <w:marTop w:val="0"/>
          <w:marBottom w:val="0"/>
          <w:divBdr>
            <w:top w:val="none" w:sz="0" w:space="0" w:color="auto"/>
            <w:left w:val="none" w:sz="0" w:space="0" w:color="auto"/>
            <w:bottom w:val="none" w:sz="0" w:space="0" w:color="auto"/>
            <w:right w:val="none" w:sz="0" w:space="0" w:color="auto"/>
          </w:divBdr>
        </w:div>
        <w:div w:id="1423643212">
          <w:marLeft w:val="640"/>
          <w:marRight w:val="0"/>
          <w:marTop w:val="0"/>
          <w:marBottom w:val="0"/>
          <w:divBdr>
            <w:top w:val="none" w:sz="0" w:space="0" w:color="auto"/>
            <w:left w:val="none" w:sz="0" w:space="0" w:color="auto"/>
            <w:bottom w:val="none" w:sz="0" w:space="0" w:color="auto"/>
            <w:right w:val="none" w:sz="0" w:space="0" w:color="auto"/>
          </w:divBdr>
        </w:div>
        <w:div w:id="2078167063">
          <w:marLeft w:val="640"/>
          <w:marRight w:val="0"/>
          <w:marTop w:val="0"/>
          <w:marBottom w:val="0"/>
          <w:divBdr>
            <w:top w:val="none" w:sz="0" w:space="0" w:color="auto"/>
            <w:left w:val="none" w:sz="0" w:space="0" w:color="auto"/>
            <w:bottom w:val="none" w:sz="0" w:space="0" w:color="auto"/>
            <w:right w:val="none" w:sz="0" w:space="0" w:color="auto"/>
          </w:divBdr>
        </w:div>
        <w:div w:id="770396210">
          <w:marLeft w:val="640"/>
          <w:marRight w:val="0"/>
          <w:marTop w:val="0"/>
          <w:marBottom w:val="0"/>
          <w:divBdr>
            <w:top w:val="none" w:sz="0" w:space="0" w:color="auto"/>
            <w:left w:val="none" w:sz="0" w:space="0" w:color="auto"/>
            <w:bottom w:val="none" w:sz="0" w:space="0" w:color="auto"/>
            <w:right w:val="none" w:sz="0" w:space="0" w:color="auto"/>
          </w:divBdr>
        </w:div>
        <w:div w:id="643968894">
          <w:marLeft w:val="640"/>
          <w:marRight w:val="0"/>
          <w:marTop w:val="0"/>
          <w:marBottom w:val="0"/>
          <w:divBdr>
            <w:top w:val="none" w:sz="0" w:space="0" w:color="auto"/>
            <w:left w:val="none" w:sz="0" w:space="0" w:color="auto"/>
            <w:bottom w:val="none" w:sz="0" w:space="0" w:color="auto"/>
            <w:right w:val="none" w:sz="0" w:space="0" w:color="auto"/>
          </w:divBdr>
        </w:div>
        <w:div w:id="2047295374">
          <w:marLeft w:val="640"/>
          <w:marRight w:val="0"/>
          <w:marTop w:val="0"/>
          <w:marBottom w:val="0"/>
          <w:divBdr>
            <w:top w:val="none" w:sz="0" w:space="0" w:color="auto"/>
            <w:left w:val="none" w:sz="0" w:space="0" w:color="auto"/>
            <w:bottom w:val="none" w:sz="0" w:space="0" w:color="auto"/>
            <w:right w:val="none" w:sz="0" w:space="0" w:color="auto"/>
          </w:divBdr>
        </w:div>
        <w:div w:id="1019702171">
          <w:marLeft w:val="640"/>
          <w:marRight w:val="0"/>
          <w:marTop w:val="0"/>
          <w:marBottom w:val="0"/>
          <w:divBdr>
            <w:top w:val="none" w:sz="0" w:space="0" w:color="auto"/>
            <w:left w:val="none" w:sz="0" w:space="0" w:color="auto"/>
            <w:bottom w:val="none" w:sz="0" w:space="0" w:color="auto"/>
            <w:right w:val="none" w:sz="0" w:space="0" w:color="auto"/>
          </w:divBdr>
        </w:div>
        <w:div w:id="819810357">
          <w:marLeft w:val="640"/>
          <w:marRight w:val="0"/>
          <w:marTop w:val="0"/>
          <w:marBottom w:val="0"/>
          <w:divBdr>
            <w:top w:val="none" w:sz="0" w:space="0" w:color="auto"/>
            <w:left w:val="none" w:sz="0" w:space="0" w:color="auto"/>
            <w:bottom w:val="none" w:sz="0" w:space="0" w:color="auto"/>
            <w:right w:val="none" w:sz="0" w:space="0" w:color="auto"/>
          </w:divBdr>
        </w:div>
        <w:div w:id="719477477">
          <w:marLeft w:val="640"/>
          <w:marRight w:val="0"/>
          <w:marTop w:val="0"/>
          <w:marBottom w:val="0"/>
          <w:divBdr>
            <w:top w:val="none" w:sz="0" w:space="0" w:color="auto"/>
            <w:left w:val="none" w:sz="0" w:space="0" w:color="auto"/>
            <w:bottom w:val="none" w:sz="0" w:space="0" w:color="auto"/>
            <w:right w:val="none" w:sz="0" w:space="0" w:color="auto"/>
          </w:divBdr>
        </w:div>
        <w:div w:id="922569646">
          <w:marLeft w:val="640"/>
          <w:marRight w:val="0"/>
          <w:marTop w:val="0"/>
          <w:marBottom w:val="0"/>
          <w:divBdr>
            <w:top w:val="none" w:sz="0" w:space="0" w:color="auto"/>
            <w:left w:val="none" w:sz="0" w:space="0" w:color="auto"/>
            <w:bottom w:val="none" w:sz="0" w:space="0" w:color="auto"/>
            <w:right w:val="none" w:sz="0" w:space="0" w:color="auto"/>
          </w:divBdr>
        </w:div>
        <w:div w:id="1978217644">
          <w:marLeft w:val="640"/>
          <w:marRight w:val="0"/>
          <w:marTop w:val="0"/>
          <w:marBottom w:val="0"/>
          <w:divBdr>
            <w:top w:val="none" w:sz="0" w:space="0" w:color="auto"/>
            <w:left w:val="none" w:sz="0" w:space="0" w:color="auto"/>
            <w:bottom w:val="none" w:sz="0" w:space="0" w:color="auto"/>
            <w:right w:val="none" w:sz="0" w:space="0" w:color="auto"/>
          </w:divBdr>
        </w:div>
        <w:div w:id="887108318">
          <w:marLeft w:val="640"/>
          <w:marRight w:val="0"/>
          <w:marTop w:val="0"/>
          <w:marBottom w:val="0"/>
          <w:divBdr>
            <w:top w:val="none" w:sz="0" w:space="0" w:color="auto"/>
            <w:left w:val="none" w:sz="0" w:space="0" w:color="auto"/>
            <w:bottom w:val="none" w:sz="0" w:space="0" w:color="auto"/>
            <w:right w:val="none" w:sz="0" w:space="0" w:color="auto"/>
          </w:divBdr>
        </w:div>
        <w:div w:id="1945528881">
          <w:marLeft w:val="640"/>
          <w:marRight w:val="0"/>
          <w:marTop w:val="0"/>
          <w:marBottom w:val="0"/>
          <w:divBdr>
            <w:top w:val="none" w:sz="0" w:space="0" w:color="auto"/>
            <w:left w:val="none" w:sz="0" w:space="0" w:color="auto"/>
            <w:bottom w:val="none" w:sz="0" w:space="0" w:color="auto"/>
            <w:right w:val="none" w:sz="0" w:space="0" w:color="auto"/>
          </w:divBdr>
        </w:div>
        <w:div w:id="200629388">
          <w:marLeft w:val="640"/>
          <w:marRight w:val="0"/>
          <w:marTop w:val="0"/>
          <w:marBottom w:val="0"/>
          <w:divBdr>
            <w:top w:val="none" w:sz="0" w:space="0" w:color="auto"/>
            <w:left w:val="none" w:sz="0" w:space="0" w:color="auto"/>
            <w:bottom w:val="none" w:sz="0" w:space="0" w:color="auto"/>
            <w:right w:val="none" w:sz="0" w:space="0" w:color="auto"/>
          </w:divBdr>
        </w:div>
        <w:div w:id="246691159">
          <w:marLeft w:val="640"/>
          <w:marRight w:val="0"/>
          <w:marTop w:val="0"/>
          <w:marBottom w:val="0"/>
          <w:divBdr>
            <w:top w:val="none" w:sz="0" w:space="0" w:color="auto"/>
            <w:left w:val="none" w:sz="0" w:space="0" w:color="auto"/>
            <w:bottom w:val="none" w:sz="0" w:space="0" w:color="auto"/>
            <w:right w:val="none" w:sz="0" w:space="0" w:color="auto"/>
          </w:divBdr>
        </w:div>
        <w:div w:id="1536773594">
          <w:marLeft w:val="640"/>
          <w:marRight w:val="0"/>
          <w:marTop w:val="0"/>
          <w:marBottom w:val="0"/>
          <w:divBdr>
            <w:top w:val="none" w:sz="0" w:space="0" w:color="auto"/>
            <w:left w:val="none" w:sz="0" w:space="0" w:color="auto"/>
            <w:bottom w:val="none" w:sz="0" w:space="0" w:color="auto"/>
            <w:right w:val="none" w:sz="0" w:space="0" w:color="auto"/>
          </w:divBdr>
        </w:div>
        <w:div w:id="811024026">
          <w:marLeft w:val="640"/>
          <w:marRight w:val="0"/>
          <w:marTop w:val="0"/>
          <w:marBottom w:val="0"/>
          <w:divBdr>
            <w:top w:val="none" w:sz="0" w:space="0" w:color="auto"/>
            <w:left w:val="none" w:sz="0" w:space="0" w:color="auto"/>
            <w:bottom w:val="none" w:sz="0" w:space="0" w:color="auto"/>
            <w:right w:val="none" w:sz="0" w:space="0" w:color="auto"/>
          </w:divBdr>
        </w:div>
        <w:div w:id="807934856">
          <w:marLeft w:val="640"/>
          <w:marRight w:val="0"/>
          <w:marTop w:val="0"/>
          <w:marBottom w:val="0"/>
          <w:divBdr>
            <w:top w:val="none" w:sz="0" w:space="0" w:color="auto"/>
            <w:left w:val="none" w:sz="0" w:space="0" w:color="auto"/>
            <w:bottom w:val="none" w:sz="0" w:space="0" w:color="auto"/>
            <w:right w:val="none" w:sz="0" w:space="0" w:color="auto"/>
          </w:divBdr>
        </w:div>
        <w:div w:id="1145897895">
          <w:marLeft w:val="640"/>
          <w:marRight w:val="0"/>
          <w:marTop w:val="0"/>
          <w:marBottom w:val="0"/>
          <w:divBdr>
            <w:top w:val="none" w:sz="0" w:space="0" w:color="auto"/>
            <w:left w:val="none" w:sz="0" w:space="0" w:color="auto"/>
            <w:bottom w:val="none" w:sz="0" w:space="0" w:color="auto"/>
            <w:right w:val="none" w:sz="0" w:space="0" w:color="auto"/>
          </w:divBdr>
        </w:div>
        <w:div w:id="931203047">
          <w:marLeft w:val="640"/>
          <w:marRight w:val="0"/>
          <w:marTop w:val="0"/>
          <w:marBottom w:val="0"/>
          <w:divBdr>
            <w:top w:val="none" w:sz="0" w:space="0" w:color="auto"/>
            <w:left w:val="none" w:sz="0" w:space="0" w:color="auto"/>
            <w:bottom w:val="none" w:sz="0" w:space="0" w:color="auto"/>
            <w:right w:val="none" w:sz="0" w:space="0" w:color="auto"/>
          </w:divBdr>
        </w:div>
        <w:div w:id="556749013">
          <w:marLeft w:val="640"/>
          <w:marRight w:val="0"/>
          <w:marTop w:val="0"/>
          <w:marBottom w:val="0"/>
          <w:divBdr>
            <w:top w:val="none" w:sz="0" w:space="0" w:color="auto"/>
            <w:left w:val="none" w:sz="0" w:space="0" w:color="auto"/>
            <w:bottom w:val="none" w:sz="0" w:space="0" w:color="auto"/>
            <w:right w:val="none" w:sz="0" w:space="0" w:color="auto"/>
          </w:divBdr>
        </w:div>
        <w:div w:id="565992364">
          <w:marLeft w:val="640"/>
          <w:marRight w:val="0"/>
          <w:marTop w:val="0"/>
          <w:marBottom w:val="0"/>
          <w:divBdr>
            <w:top w:val="none" w:sz="0" w:space="0" w:color="auto"/>
            <w:left w:val="none" w:sz="0" w:space="0" w:color="auto"/>
            <w:bottom w:val="none" w:sz="0" w:space="0" w:color="auto"/>
            <w:right w:val="none" w:sz="0" w:space="0" w:color="auto"/>
          </w:divBdr>
        </w:div>
      </w:divsChild>
    </w:div>
    <w:div w:id="1909922529">
      <w:bodyDiv w:val="1"/>
      <w:marLeft w:val="0"/>
      <w:marRight w:val="0"/>
      <w:marTop w:val="0"/>
      <w:marBottom w:val="0"/>
      <w:divBdr>
        <w:top w:val="none" w:sz="0" w:space="0" w:color="auto"/>
        <w:left w:val="none" w:sz="0" w:space="0" w:color="auto"/>
        <w:bottom w:val="none" w:sz="0" w:space="0" w:color="auto"/>
        <w:right w:val="none" w:sz="0" w:space="0" w:color="auto"/>
      </w:divBdr>
    </w:div>
    <w:div w:id="1912501825">
      <w:bodyDiv w:val="1"/>
      <w:marLeft w:val="0"/>
      <w:marRight w:val="0"/>
      <w:marTop w:val="0"/>
      <w:marBottom w:val="0"/>
      <w:divBdr>
        <w:top w:val="none" w:sz="0" w:space="0" w:color="auto"/>
        <w:left w:val="none" w:sz="0" w:space="0" w:color="auto"/>
        <w:bottom w:val="none" w:sz="0" w:space="0" w:color="auto"/>
        <w:right w:val="none" w:sz="0" w:space="0" w:color="auto"/>
      </w:divBdr>
    </w:div>
    <w:div w:id="1917125827">
      <w:bodyDiv w:val="1"/>
      <w:marLeft w:val="0"/>
      <w:marRight w:val="0"/>
      <w:marTop w:val="0"/>
      <w:marBottom w:val="0"/>
      <w:divBdr>
        <w:top w:val="none" w:sz="0" w:space="0" w:color="auto"/>
        <w:left w:val="none" w:sz="0" w:space="0" w:color="auto"/>
        <w:bottom w:val="none" w:sz="0" w:space="0" w:color="auto"/>
        <w:right w:val="none" w:sz="0" w:space="0" w:color="auto"/>
      </w:divBdr>
    </w:div>
    <w:div w:id="1917669494">
      <w:bodyDiv w:val="1"/>
      <w:marLeft w:val="0"/>
      <w:marRight w:val="0"/>
      <w:marTop w:val="0"/>
      <w:marBottom w:val="0"/>
      <w:divBdr>
        <w:top w:val="none" w:sz="0" w:space="0" w:color="auto"/>
        <w:left w:val="none" w:sz="0" w:space="0" w:color="auto"/>
        <w:bottom w:val="none" w:sz="0" w:space="0" w:color="auto"/>
        <w:right w:val="none" w:sz="0" w:space="0" w:color="auto"/>
      </w:divBdr>
      <w:divsChild>
        <w:div w:id="470370900">
          <w:marLeft w:val="640"/>
          <w:marRight w:val="0"/>
          <w:marTop w:val="0"/>
          <w:marBottom w:val="0"/>
          <w:divBdr>
            <w:top w:val="none" w:sz="0" w:space="0" w:color="auto"/>
            <w:left w:val="none" w:sz="0" w:space="0" w:color="auto"/>
            <w:bottom w:val="none" w:sz="0" w:space="0" w:color="auto"/>
            <w:right w:val="none" w:sz="0" w:space="0" w:color="auto"/>
          </w:divBdr>
        </w:div>
        <w:div w:id="483008112">
          <w:marLeft w:val="640"/>
          <w:marRight w:val="0"/>
          <w:marTop w:val="0"/>
          <w:marBottom w:val="0"/>
          <w:divBdr>
            <w:top w:val="none" w:sz="0" w:space="0" w:color="auto"/>
            <w:left w:val="none" w:sz="0" w:space="0" w:color="auto"/>
            <w:bottom w:val="none" w:sz="0" w:space="0" w:color="auto"/>
            <w:right w:val="none" w:sz="0" w:space="0" w:color="auto"/>
          </w:divBdr>
        </w:div>
        <w:div w:id="901136372">
          <w:marLeft w:val="640"/>
          <w:marRight w:val="0"/>
          <w:marTop w:val="0"/>
          <w:marBottom w:val="0"/>
          <w:divBdr>
            <w:top w:val="none" w:sz="0" w:space="0" w:color="auto"/>
            <w:left w:val="none" w:sz="0" w:space="0" w:color="auto"/>
            <w:bottom w:val="none" w:sz="0" w:space="0" w:color="auto"/>
            <w:right w:val="none" w:sz="0" w:space="0" w:color="auto"/>
          </w:divBdr>
        </w:div>
        <w:div w:id="214850060">
          <w:marLeft w:val="640"/>
          <w:marRight w:val="0"/>
          <w:marTop w:val="0"/>
          <w:marBottom w:val="0"/>
          <w:divBdr>
            <w:top w:val="none" w:sz="0" w:space="0" w:color="auto"/>
            <w:left w:val="none" w:sz="0" w:space="0" w:color="auto"/>
            <w:bottom w:val="none" w:sz="0" w:space="0" w:color="auto"/>
            <w:right w:val="none" w:sz="0" w:space="0" w:color="auto"/>
          </w:divBdr>
        </w:div>
        <w:div w:id="639576666">
          <w:marLeft w:val="640"/>
          <w:marRight w:val="0"/>
          <w:marTop w:val="0"/>
          <w:marBottom w:val="0"/>
          <w:divBdr>
            <w:top w:val="none" w:sz="0" w:space="0" w:color="auto"/>
            <w:left w:val="none" w:sz="0" w:space="0" w:color="auto"/>
            <w:bottom w:val="none" w:sz="0" w:space="0" w:color="auto"/>
            <w:right w:val="none" w:sz="0" w:space="0" w:color="auto"/>
          </w:divBdr>
        </w:div>
        <w:div w:id="1481577538">
          <w:marLeft w:val="640"/>
          <w:marRight w:val="0"/>
          <w:marTop w:val="0"/>
          <w:marBottom w:val="0"/>
          <w:divBdr>
            <w:top w:val="none" w:sz="0" w:space="0" w:color="auto"/>
            <w:left w:val="none" w:sz="0" w:space="0" w:color="auto"/>
            <w:bottom w:val="none" w:sz="0" w:space="0" w:color="auto"/>
            <w:right w:val="none" w:sz="0" w:space="0" w:color="auto"/>
          </w:divBdr>
        </w:div>
        <w:div w:id="877821269">
          <w:marLeft w:val="640"/>
          <w:marRight w:val="0"/>
          <w:marTop w:val="0"/>
          <w:marBottom w:val="0"/>
          <w:divBdr>
            <w:top w:val="none" w:sz="0" w:space="0" w:color="auto"/>
            <w:left w:val="none" w:sz="0" w:space="0" w:color="auto"/>
            <w:bottom w:val="none" w:sz="0" w:space="0" w:color="auto"/>
            <w:right w:val="none" w:sz="0" w:space="0" w:color="auto"/>
          </w:divBdr>
        </w:div>
        <w:div w:id="1168859948">
          <w:marLeft w:val="640"/>
          <w:marRight w:val="0"/>
          <w:marTop w:val="0"/>
          <w:marBottom w:val="0"/>
          <w:divBdr>
            <w:top w:val="none" w:sz="0" w:space="0" w:color="auto"/>
            <w:left w:val="none" w:sz="0" w:space="0" w:color="auto"/>
            <w:bottom w:val="none" w:sz="0" w:space="0" w:color="auto"/>
            <w:right w:val="none" w:sz="0" w:space="0" w:color="auto"/>
          </w:divBdr>
        </w:div>
        <w:div w:id="831339931">
          <w:marLeft w:val="640"/>
          <w:marRight w:val="0"/>
          <w:marTop w:val="0"/>
          <w:marBottom w:val="0"/>
          <w:divBdr>
            <w:top w:val="none" w:sz="0" w:space="0" w:color="auto"/>
            <w:left w:val="none" w:sz="0" w:space="0" w:color="auto"/>
            <w:bottom w:val="none" w:sz="0" w:space="0" w:color="auto"/>
            <w:right w:val="none" w:sz="0" w:space="0" w:color="auto"/>
          </w:divBdr>
        </w:div>
        <w:div w:id="2003043068">
          <w:marLeft w:val="640"/>
          <w:marRight w:val="0"/>
          <w:marTop w:val="0"/>
          <w:marBottom w:val="0"/>
          <w:divBdr>
            <w:top w:val="none" w:sz="0" w:space="0" w:color="auto"/>
            <w:left w:val="none" w:sz="0" w:space="0" w:color="auto"/>
            <w:bottom w:val="none" w:sz="0" w:space="0" w:color="auto"/>
            <w:right w:val="none" w:sz="0" w:space="0" w:color="auto"/>
          </w:divBdr>
        </w:div>
        <w:div w:id="236791634">
          <w:marLeft w:val="640"/>
          <w:marRight w:val="0"/>
          <w:marTop w:val="0"/>
          <w:marBottom w:val="0"/>
          <w:divBdr>
            <w:top w:val="none" w:sz="0" w:space="0" w:color="auto"/>
            <w:left w:val="none" w:sz="0" w:space="0" w:color="auto"/>
            <w:bottom w:val="none" w:sz="0" w:space="0" w:color="auto"/>
            <w:right w:val="none" w:sz="0" w:space="0" w:color="auto"/>
          </w:divBdr>
        </w:div>
        <w:div w:id="6102510">
          <w:marLeft w:val="640"/>
          <w:marRight w:val="0"/>
          <w:marTop w:val="0"/>
          <w:marBottom w:val="0"/>
          <w:divBdr>
            <w:top w:val="none" w:sz="0" w:space="0" w:color="auto"/>
            <w:left w:val="none" w:sz="0" w:space="0" w:color="auto"/>
            <w:bottom w:val="none" w:sz="0" w:space="0" w:color="auto"/>
            <w:right w:val="none" w:sz="0" w:space="0" w:color="auto"/>
          </w:divBdr>
        </w:div>
        <w:div w:id="848905225">
          <w:marLeft w:val="640"/>
          <w:marRight w:val="0"/>
          <w:marTop w:val="0"/>
          <w:marBottom w:val="0"/>
          <w:divBdr>
            <w:top w:val="none" w:sz="0" w:space="0" w:color="auto"/>
            <w:left w:val="none" w:sz="0" w:space="0" w:color="auto"/>
            <w:bottom w:val="none" w:sz="0" w:space="0" w:color="auto"/>
            <w:right w:val="none" w:sz="0" w:space="0" w:color="auto"/>
          </w:divBdr>
        </w:div>
        <w:div w:id="498619607">
          <w:marLeft w:val="640"/>
          <w:marRight w:val="0"/>
          <w:marTop w:val="0"/>
          <w:marBottom w:val="0"/>
          <w:divBdr>
            <w:top w:val="none" w:sz="0" w:space="0" w:color="auto"/>
            <w:left w:val="none" w:sz="0" w:space="0" w:color="auto"/>
            <w:bottom w:val="none" w:sz="0" w:space="0" w:color="auto"/>
            <w:right w:val="none" w:sz="0" w:space="0" w:color="auto"/>
          </w:divBdr>
        </w:div>
        <w:div w:id="1617833786">
          <w:marLeft w:val="640"/>
          <w:marRight w:val="0"/>
          <w:marTop w:val="0"/>
          <w:marBottom w:val="0"/>
          <w:divBdr>
            <w:top w:val="none" w:sz="0" w:space="0" w:color="auto"/>
            <w:left w:val="none" w:sz="0" w:space="0" w:color="auto"/>
            <w:bottom w:val="none" w:sz="0" w:space="0" w:color="auto"/>
            <w:right w:val="none" w:sz="0" w:space="0" w:color="auto"/>
          </w:divBdr>
        </w:div>
        <w:div w:id="1560943025">
          <w:marLeft w:val="640"/>
          <w:marRight w:val="0"/>
          <w:marTop w:val="0"/>
          <w:marBottom w:val="0"/>
          <w:divBdr>
            <w:top w:val="none" w:sz="0" w:space="0" w:color="auto"/>
            <w:left w:val="none" w:sz="0" w:space="0" w:color="auto"/>
            <w:bottom w:val="none" w:sz="0" w:space="0" w:color="auto"/>
            <w:right w:val="none" w:sz="0" w:space="0" w:color="auto"/>
          </w:divBdr>
        </w:div>
        <w:div w:id="437913227">
          <w:marLeft w:val="640"/>
          <w:marRight w:val="0"/>
          <w:marTop w:val="0"/>
          <w:marBottom w:val="0"/>
          <w:divBdr>
            <w:top w:val="none" w:sz="0" w:space="0" w:color="auto"/>
            <w:left w:val="none" w:sz="0" w:space="0" w:color="auto"/>
            <w:bottom w:val="none" w:sz="0" w:space="0" w:color="auto"/>
            <w:right w:val="none" w:sz="0" w:space="0" w:color="auto"/>
          </w:divBdr>
        </w:div>
        <w:div w:id="485439439">
          <w:marLeft w:val="640"/>
          <w:marRight w:val="0"/>
          <w:marTop w:val="0"/>
          <w:marBottom w:val="0"/>
          <w:divBdr>
            <w:top w:val="none" w:sz="0" w:space="0" w:color="auto"/>
            <w:left w:val="none" w:sz="0" w:space="0" w:color="auto"/>
            <w:bottom w:val="none" w:sz="0" w:space="0" w:color="auto"/>
            <w:right w:val="none" w:sz="0" w:space="0" w:color="auto"/>
          </w:divBdr>
        </w:div>
        <w:div w:id="317152984">
          <w:marLeft w:val="640"/>
          <w:marRight w:val="0"/>
          <w:marTop w:val="0"/>
          <w:marBottom w:val="0"/>
          <w:divBdr>
            <w:top w:val="none" w:sz="0" w:space="0" w:color="auto"/>
            <w:left w:val="none" w:sz="0" w:space="0" w:color="auto"/>
            <w:bottom w:val="none" w:sz="0" w:space="0" w:color="auto"/>
            <w:right w:val="none" w:sz="0" w:space="0" w:color="auto"/>
          </w:divBdr>
        </w:div>
        <w:div w:id="648291952">
          <w:marLeft w:val="640"/>
          <w:marRight w:val="0"/>
          <w:marTop w:val="0"/>
          <w:marBottom w:val="0"/>
          <w:divBdr>
            <w:top w:val="none" w:sz="0" w:space="0" w:color="auto"/>
            <w:left w:val="none" w:sz="0" w:space="0" w:color="auto"/>
            <w:bottom w:val="none" w:sz="0" w:space="0" w:color="auto"/>
            <w:right w:val="none" w:sz="0" w:space="0" w:color="auto"/>
          </w:divBdr>
        </w:div>
        <w:div w:id="427387404">
          <w:marLeft w:val="640"/>
          <w:marRight w:val="0"/>
          <w:marTop w:val="0"/>
          <w:marBottom w:val="0"/>
          <w:divBdr>
            <w:top w:val="none" w:sz="0" w:space="0" w:color="auto"/>
            <w:left w:val="none" w:sz="0" w:space="0" w:color="auto"/>
            <w:bottom w:val="none" w:sz="0" w:space="0" w:color="auto"/>
            <w:right w:val="none" w:sz="0" w:space="0" w:color="auto"/>
          </w:divBdr>
        </w:div>
        <w:div w:id="1954554087">
          <w:marLeft w:val="640"/>
          <w:marRight w:val="0"/>
          <w:marTop w:val="0"/>
          <w:marBottom w:val="0"/>
          <w:divBdr>
            <w:top w:val="none" w:sz="0" w:space="0" w:color="auto"/>
            <w:left w:val="none" w:sz="0" w:space="0" w:color="auto"/>
            <w:bottom w:val="none" w:sz="0" w:space="0" w:color="auto"/>
            <w:right w:val="none" w:sz="0" w:space="0" w:color="auto"/>
          </w:divBdr>
        </w:div>
        <w:div w:id="1381200157">
          <w:marLeft w:val="640"/>
          <w:marRight w:val="0"/>
          <w:marTop w:val="0"/>
          <w:marBottom w:val="0"/>
          <w:divBdr>
            <w:top w:val="none" w:sz="0" w:space="0" w:color="auto"/>
            <w:left w:val="none" w:sz="0" w:space="0" w:color="auto"/>
            <w:bottom w:val="none" w:sz="0" w:space="0" w:color="auto"/>
            <w:right w:val="none" w:sz="0" w:space="0" w:color="auto"/>
          </w:divBdr>
        </w:div>
        <w:div w:id="347828792">
          <w:marLeft w:val="640"/>
          <w:marRight w:val="0"/>
          <w:marTop w:val="0"/>
          <w:marBottom w:val="0"/>
          <w:divBdr>
            <w:top w:val="none" w:sz="0" w:space="0" w:color="auto"/>
            <w:left w:val="none" w:sz="0" w:space="0" w:color="auto"/>
            <w:bottom w:val="none" w:sz="0" w:space="0" w:color="auto"/>
            <w:right w:val="none" w:sz="0" w:space="0" w:color="auto"/>
          </w:divBdr>
        </w:div>
        <w:div w:id="1806699852">
          <w:marLeft w:val="640"/>
          <w:marRight w:val="0"/>
          <w:marTop w:val="0"/>
          <w:marBottom w:val="0"/>
          <w:divBdr>
            <w:top w:val="none" w:sz="0" w:space="0" w:color="auto"/>
            <w:left w:val="none" w:sz="0" w:space="0" w:color="auto"/>
            <w:bottom w:val="none" w:sz="0" w:space="0" w:color="auto"/>
            <w:right w:val="none" w:sz="0" w:space="0" w:color="auto"/>
          </w:divBdr>
        </w:div>
        <w:div w:id="464547174">
          <w:marLeft w:val="640"/>
          <w:marRight w:val="0"/>
          <w:marTop w:val="0"/>
          <w:marBottom w:val="0"/>
          <w:divBdr>
            <w:top w:val="none" w:sz="0" w:space="0" w:color="auto"/>
            <w:left w:val="none" w:sz="0" w:space="0" w:color="auto"/>
            <w:bottom w:val="none" w:sz="0" w:space="0" w:color="auto"/>
            <w:right w:val="none" w:sz="0" w:space="0" w:color="auto"/>
          </w:divBdr>
        </w:div>
        <w:div w:id="190924712">
          <w:marLeft w:val="640"/>
          <w:marRight w:val="0"/>
          <w:marTop w:val="0"/>
          <w:marBottom w:val="0"/>
          <w:divBdr>
            <w:top w:val="none" w:sz="0" w:space="0" w:color="auto"/>
            <w:left w:val="none" w:sz="0" w:space="0" w:color="auto"/>
            <w:bottom w:val="none" w:sz="0" w:space="0" w:color="auto"/>
            <w:right w:val="none" w:sz="0" w:space="0" w:color="auto"/>
          </w:divBdr>
        </w:div>
        <w:div w:id="603342320">
          <w:marLeft w:val="640"/>
          <w:marRight w:val="0"/>
          <w:marTop w:val="0"/>
          <w:marBottom w:val="0"/>
          <w:divBdr>
            <w:top w:val="none" w:sz="0" w:space="0" w:color="auto"/>
            <w:left w:val="none" w:sz="0" w:space="0" w:color="auto"/>
            <w:bottom w:val="none" w:sz="0" w:space="0" w:color="auto"/>
            <w:right w:val="none" w:sz="0" w:space="0" w:color="auto"/>
          </w:divBdr>
        </w:div>
        <w:div w:id="558324734">
          <w:marLeft w:val="640"/>
          <w:marRight w:val="0"/>
          <w:marTop w:val="0"/>
          <w:marBottom w:val="0"/>
          <w:divBdr>
            <w:top w:val="none" w:sz="0" w:space="0" w:color="auto"/>
            <w:left w:val="none" w:sz="0" w:space="0" w:color="auto"/>
            <w:bottom w:val="none" w:sz="0" w:space="0" w:color="auto"/>
            <w:right w:val="none" w:sz="0" w:space="0" w:color="auto"/>
          </w:divBdr>
        </w:div>
        <w:div w:id="811875293">
          <w:marLeft w:val="640"/>
          <w:marRight w:val="0"/>
          <w:marTop w:val="0"/>
          <w:marBottom w:val="0"/>
          <w:divBdr>
            <w:top w:val="none" w:sz="0" w:space="0" w:color="auto"/>
            <w:left w:val="none" w:sz="0" w:space="0" w:color="auto"/>
            <w:bottom w:val="none" w:sz="0" w:space="0" w:color="auto"/>
            <w:right w:val="none" w:sz="0" w:space="0" w:color="auto"/>
          </w:divBdr>
        </w:div>
        <w:div w:id="890767994">
          <w:marLeft w:val="640"/>
          <w:marRight w:val="0"/>
          <w:marTop w:val="0"/>
          <w:marBottom w:val="0"/>
          <w:divBdr>
            <w:top w:val="none" w:sz="0" w:space="0" w:color="auto"/>
            <w:left w:val="none" w:sz="0" w:space="0" w:color="auto"/>
            <w:bottom w:val="none" w:sz="0" w:space="0" w:color="auto"/>
            <w:right w:val="none" w:sz="0" w:space="0" w:color="auto"/>
          </w:divBdr>
        </w:div>
        <w:div w:id="1697346946">
          <w:marLeft w:val="640"/>
          <w:marRight w:val="0"/>
          <w:marTop w:val="0"/>
          <w:marBottom w:val="0"/>
          <w:divBdr>
            <w:top w:val="none" w:sz="0" w:space="0" w:color="auto"/>
            <w:left w:val="none" w:sz="0" w:space="0" w:color="auto"/>
            <w:bottom w:val="none" w:sz="0" w:space="0" w:color="auto"/>
            <w:right w:val="none" w:sz="0" w:space="0" w:color="auto"/>
          </w:divBdr>
        </w:div>
        <w:div w:id="764496600">
          <w:marLeft w:val="640"/>
          <w:marRight w:val="0"/>
          <w:marTop w:val="0"/>
          <w:marBottom w:val="0"/>
          <w:divBdr>
            <w:top w:val="none" w:sz="0" w:space="0" w:color="auto"/>
            <w:left w:val="none" w:sz="0" w:space="0" w:color="auto"/>
            <w:bottom w:val="none" w:sz="0" w:space="0" w:color="auto"/>
            <w:right w:val="none" w:sz="0" w:space="0" w:color="auto"/>
          </w:divBdr>
        </w:div>
        <w:div w:id="1499494680">
          <w:marLeft w:val="640"/>
          <w:marRight w:val="0"/>
          <w:marTop w:val="0"/>
          <w:marBottom w:val="0"/>
          <w:divBdr>
            <w:top w:val="none" w:sz="0" w:space="0" w:color="auto"/>
            <w:left w:val="none" w:sz="0" w:space="0" w:color="auto"/>
            <w:bottom w:val="none" w:sz="0" w:space="0" w:color="auto"/>
            <w:right w:val="none" w:sz="0" w:space="0" w:color="auto"/>
          </w:divBdr>
        </w:div>
        <w:div w:id="743257177">
          <w:marLeft w:val="640"/>
          <w:marRight w:val="0"/>
          <w:marTop w:val="0"/>
          <w:marBottom w:val="0"/>
          <w:divBdr>
            <w:top w:val="none" w:sz="0" w:space="0" w:color="auto"/>
            <w:left w:val="none" w:sz="0" w:space="0" w:color="auto"/>
            <w:bottom w:val="none" w:sz="0" w:space="0" w:color="auto"/>
            <w:right w:val="none" w:sz="0" w:space="0" w:color="auto"/>
          </w:divBdr>
        </w:div>
        <w:div w:id="1315793461">
          <w:marLeft w:val="640"/>
          <w:marRight w:val="0"/>
          <w:marTop w:val="0"/>
          <w:marBottom w:val="0"/>
          <w:divBdr>
            <w:top w:val="none" w:sz="0" w:space="0" w:color="auto"/>
            <w:left w:val="none" w:sz="0" w:space="0" w:color="auto"/>
            <w:bottom w:val="none" w:sz="0" w:space="0" w:color="auto"/>
            <w:right w:val="none" w:sz="0" w:space="0" w:color="auto"/>
          </w:divBdr>
        </w:div>
        <w:div w:id="327294860">
          <w:marLeft w:val="640"/>
          <w:marRight w:val="0"/>
          <w:marTop w:val="0"/>
          <w:marBottom w:val="0"/>
          <w:divBdr>
            <w:top w:val="none" w:sz="0" w:space="0" w:color="auto"/>
            <w:left w:val="none" w:sz="0" w:space="0" w:color="auto"/>
            <w:bottom w:val="none" w:sz="0" w:space="0" w:color="auto"/>
            <w:right w:val="none" w:sz="0" w:space="0" w:color="auto"/>
          </w:divBdr>
        </w:div>
        <w:div w:id="1440300548">
          <w:marLeft w:val="640"/>
          <w:marRight w:val="0"/>
          <w:marTop w:val="0"/>
          <w:marBottom w:val="0"/>
          <w:divBdr>
            <w:top w:val="none" w:sz="0" w:space="0" w:color="auto"/>
            <w:left w:val="none" w:sz="0" w:space="0" w:color="auto"/>
            <w:bottom w:val="none" w:sz="0" w:space="0" w:color="auto"/>
            <w:right w:val="none" w:sz="0" w:space="0" w:color="auto"/>
          </w:divBdr>
        </w:div>
        <w:div w:id="767701271">
          <w:marLeft w:val="640"/>
          <w:marRight w:val="0"/>
          <w:marTop w:val="0"/>
          <w:marBottom w:val="0"/>
          <w:divBdr>
            <w:top w:val="none" w:sz="0" w:space="0" w:color="auto"/>
            <w:left w:val="none" w:sz="0" w:space="0" w:color="auto"/>
            <w:bottom w:val="none" w:sz="0" w:space="0" w:color="auto"/>
            <w:right w:val="none" w:sz="0" w:space="0" w:color="auto"/>
          </w:divBdr>
        </w:div>
        <w:div w:id="1513884447">
          <w:marLeft w:val="640"/>
          <w:marRight w:val="0"/>
          <w:marTop w:val="0"/>
          <w:marBottom w:val="0"/>
          <w:divBdr>
            <w:top w:val="none" w:sz="0" w:space="0" w:color="auto"/>
            <w:left w:val="none" w:sz="0" w:space="0" w:color="auto"/>
            <w:bottom w:val="none" w:sz="0" w:space="0" w:color="auto"/>
            <w:right w:val="none" w:sz="0" w:space="0" w:color="auto"/>
          </w:divBdr>
        </w:div>
        <w:div w:id="927034997">
          <w:marLeft w:val="640"/>
          <w:marRight w:val="0"/>
          <w:marTop w:val="0"/>
          <w:marBottom w:val="0"/>
          <w:divBdr>
            <w:top w:val="none" w:sz="0" w:space="0" w:color="auto"/>
            <w:left w:val="none" w:sz="0" w:space="0" w:color="auto"/>
            <w:bottom w:val="none" w:sz="0" w:space="0" w:color="auto"/>
            <w:right w:val="none" w:sz="0" w:space="0" w:color="auto"/>
          </w:divBdr>
        </w:div>
        <w:div w:id="435640794">
          <w:marLeft w:val="640"/>
          <w:marRight w:val="0"/>
          <w:marTop w:val="0"/>
          <w:marBottom w:val="0"/>
          <w:divBdr>
            <w:top w:val="none" w:sz="0" w:space="0" w:color="auto"/>
            <w:left w:val="none" w:sz="0" w:space="0" w:color="auto"/>
            <w:bottom w:val="none" w:sz="0" w:space="0" w:color="auto"/>
            <w:right w:val="none" w:sz="0" w:space="0" w:color="auto"/>
          </w:divBdr>
        </w:div>
        <w:div w:id="647636310">
          <w:marLeft w:val="640"/>
          <w:marRight w:val="0"/>
          <w:marTop w:val="0"/>
          <w:marBottom w:val="0"/>
          <w:divBdr>
            <w:top w:val="none" w:sz="0" w:space="0" w:color="auto"/>
            <w:left w:val="none" w:sz="0" w:space="0" w:color="auto"/>
            <w:bottom w:val="none" w:sz="0" w:space="0" w:color="auto"/>
            <w:right w:val="none" w:sz="0" w:space="0" w:color="auto"/>
          </w:divBdr>
        </w:div>
        <w:div w:id="1516116696">
          <w:marLeft w:val="640"/>
          <w:marRight w:val="0"/>
          <w:marTop w:val="0"/>
          <w:marBottom w:val="0"/>
          <w:divBdr>
            <w:top w:val="none" w:sz="0" w:space="0" w:color="auto"/>
            <w:left w:val="none" w:sz="0" w:space="0" w:color="auto"/>
            <w:bottom w:val="none" w:sz="0" w:space="0" w:color="auto"/>
            <w:right w:val="none" w:sz="0" w:space="0" w:color="auto"/>
          </w:divBdr>
        </w:div>
        <w:div w:id="1894733809">
          <w:marLeft w:val="640"/>
          <w:marRight w:val="0"/>
          <w:marTop w:val="0"/>
          <w:marBottom w:val="0"/>
          <w:divBdr>
            <w:top w:val="none" w:sz="0" w:space="0" w:color="auto"/>
            <w:left w:val="none" w:sz="0" w:space="0" w:color="auto"/>
            <w:bottom w:val="none" w:sz="0" w:space="0" w:color="auto"/>
            <w:right w:val="none" w:sz="0" w:space="0" w:color="auto"/>
          </w:divBdr>
        </w:div>
        <w:div w:id="1599408427">
          <w:marLeft w:val="640"/>
          <w:marRight w:val="0"/>
          <w:marTop w:val="0"/>
          <w:marBottom w:val="0"/>
          <w:divBdr>
            <w:top w:val="none" w:sz="0" w:space="0" w:color="auto"/>
            <w:left w:val="none" w:sz="0" w:space="0" w:color="auto"/>
            <w:bottom w:val="none" w:sz="0" w:space="0" w:color="auto"/>
            <w:right w:val="none" w:sz="0" w:space="0" w:color="auto"/>
          </w:divBdr>
        </w:div>
        <w:div w:id="1124805822">
          <w:marLeft w:val="640"/>
          <w:marRight w:val="0"/>
          <w:marTop w:val="0"/>
          <w:marBottom w:val="0"/>
          <w:divBdr>
            <w:top w:val="none" w:sz="0" w:space="0" w:color="auto"/>
            <w:left w:val="none" w:sz="0" w:space="0" w:color="auto"/>
            <w:bottom w:val="none" w:sz="0" w:space="0" w:color="auto"/>
            <w:right w:val="none" w:sz="0" w:space="0" w:color="auto"/>
          </w:divBdr>
        </w:div>
        <w:div w:id="2117365213">
          <w:marLeft w:val="640"/>
          <w:marRight w:val="0"/>
          <w:marTop w:val="0"/>
          <w:marBottom w:val="0"/>
          <w:divBdr>
            <w:top w:val="none" w:sz="0" w:space="0" w:color="auto"/>
            <w:left w:val="none" w:sz="0" w:space="0" w:color="auto"/>
            <w:bottom w:val="none" w:sz="0" w:space="0" w:color="auto"/>
            <w:right w:val="none" w:sz="0" w:space="0" w:color="auto"/>
          </w:divBdr>
        </w:div>
        <w:div w:id="1912544924">
          <w:marLeft w:val="640"/>
          <w:marRight w:val="0"/>
          <w:marTop w:val="0"/>
          <w:marBottom w:val="0"/>
          <w:divBdr>
            <w:top w:val="none" w:sz="0" w:space="0" w:color="auto"/>
            <w:left w:val="none" w:sz="0" w:space="0" w:color="auto"/>
            <w:bottom w:val="none" w:sz="0" w:space="0" w:color="auto"/>
            <w:right w:val="none" w:sz="0" w:space="0" w:color="auto"/>
          </w:divBdr>
        </w:div>
        <w:div w:id="1668556773">
          <w:marLeft w:val="640"/>
          <w:marRight w:val="0"/>
          <w:marTop w:val="0"/>
          <w:marBottom w:val="0"/>
          <w:divBdr>
            <w:top w:val="none" w:sz="0" w:space="0" w:color="auto"/>
            <w:left w:val="none" w:sz="0" w:space="0" w:color="auto"/>
            <w:bottom w:val="none" w:sz="0" w:space="0" w:color="auto"/>
            <w:right w:val="none" w:sz="0" w:space="0" w:color="auto"/>
          </w:divBdr>
        </w:div>
        <w:div w:id="499783241">
          <w:marLeft w:val="640"/>
          <w:marRight w:val="0"/>
          <w:marTop w:val="0"/>
          <w:marBottom w:val="0"/>
          <w:divBdr>
            <w:top w:val="none" w:sz="0" w:space="0" w:color="auto"/>
            <w:left w:val="none" w:sz="0" w:space="0" w:color="auto"/>
            <w:bottom w:val="none" w:sz="0" w:space="0" w:color="auto"/>
            <w:right w:val="none" w:sz="0" w:space="0" w:color="auto"/>
          </w:divBdr>
        </w:div>
        <w:div w:id="209998158">
          <w:marLeft w:val="640"/>
          <w:marRight w:val="0"/>
          <w:marTop w:val="0"/>
          <w:marBottom w:val="0"/>
          <w:divBdr>
            <w:top w:val="none" w:sz="0" w:space="0" w:color="auto"/>
            <w:left w:val="none" w:sz="0" w:space="0" w:color="auto"/>
            <w:bottom w:val="none" w:sz="0" w:space="0" w:color="auto"/>
            <w:right w:val="none" w:sz="0" w:space="0" w:color="auto"/>
          </w:divBdr>
        </w:div>
        <w:div w:id="1196312431">
          <w:marLeft w:val="640"/>
          <w:marRight w:val="0"/>
          <w:marTop w:val="0"/>
          <w:marBottom w:val="0"/>
          <w:divBdr>
            <w:top w:val="none" w:sz="0" w:space="0" w:color="auto"/>
            <w:left w:val="none" w:sz="0" w:space="0" w:color="auto"/>
            <w:bottom w:val="none" w:sz="0" w:space="0" w:color="auto"/>
            <w:right w:val="none" w:sz="0" w:space="0" w:color="auto"/>
          </w:divBdr>
        </w:div>
        <w:div w:id="2017726091">
          <w:marLeft w:val="640"/>
          <w:marRight w:val="0"/>
          <w:marTop w:val="0"/>
          <w:marBottom w:val="0"/>
          <w:divBdr>
            <w:top w:val="none" w:sz="0" w:space="0" w:color="auto"/>
            <w:left w:val="none" w:sz="0" w:space="0" w:color="auto"/>
            <w:bottom w:val="none" w:sz="0" w:space="0" w:color="auto"/>
            <w:right w:val="none" w:sz="0" w:space="0" w:color="auto"/>
          </w:divBdr>
        </w:div>
        <w:div w:id="1720787025">
          <w:marLeft w:val="640"/>
          <w:marRight w:val="0"/>
          <w:marTop w:val="0"/>
          <w:marBottom w:val="0"/>
          <w:divBdr>
            <w:top w:val="none" w:sz="0" w:space="0" w:color="auto"/>
            <w:left w:val="none" w:sz="0" w:space="0" w:color="auto"/>
            <w:bottom w:val="none" w:sz="0" w:space="0" w:color="auto"/>
            <w:right w:val="none" w:sz="0" w:space="0" w:color="auto"/>
          </w:divBdr>
        </w:div>
        <w:div w:id="1427842171">
          <w:marLeft w:val="640"/>
          <w:marRight w:val="0"/>
          <w:marTop w:val="0"/>
          <w:marBottom w:val="0"/>
          <w:divBdr>
            <w:top w:val="none" w:sz="0" w:space="0" w:color="auto"/>
            <w:left w:val="none" w:sz="0" w:space="0" w:color="auto"/>
            <w:bottom w:val="none" w:sz="0" w:space="0" w:color="auto"/>
            <w:right w:val="none" w:sz="0" w:space="0" w:color="auto"/>
          </w:divBdr>
        </w:div>
        <w:div w:id="330186343">
          <w:marLeft w:val="640"/>
          <w:marRight w:val="0"/>
          <w:marTop w:val="0"/>
          <w:marBottom w:val="0"/>
          <w:divBdr>
            <w:top w:val="none" w:sz="0" w:space="0" w:color="auto"/>
            <w:left w:val="none" w:sz="0" w:space="0" w:color="auto"/>
            <w:bottom w:val="none" w:sz="0" w:space="0" w:color="auto"/>
            <w:right w:val="none" w:sz="0" w:space="0" w:color="auto"/>
          </w:divBdr>
        </w:div>
        <w:div w:id="259488335">
          <w:marLeft w:val="640"/>
          <w:marRight w:val="0"/>
          <w:marTop w:val="0"/>
          <w:marBottom w:val="0"/>
          <w:divBdr>
            <w:top w:val="none" w:sz="0" w:space="0" w:color="auto"/>
            <w:left w:val="none" w:sz="0" w:space="0" w:color="auto"/>
            <w:bottom w:val="none" w:sz="0" w:space="0" w:color="auto"/>
            <w:right w:val="none" w:sz="0" w:space="0" w:color="auto"/>
          </w:divBdr>
        </w:div>
        <w:div w:id="1398938017">
          <w:marLeft w:val="640"/>
          <w:marRight w:val="0"/>
          <w:marTop w:val="0"/>
          <w:marBottom w:val="0"/>
          <w:divBdr>
            <w:top w:val="none" w:sz="0" w:space="0" w:color="auto"/>
            <w:left w:val="none" w:sz="0" w:space="0" w:color="auto"/>
            <w:bottom w:val="none" w:sz="0" w:space="0" w:color="auto"/>
            <w:right w:val="none" w:sz="0" w:space="0" w:color="auto"/>
          </w:divBdr>
        </w:div>
        <w:div w:id="953025911">
          <w:marLeft w:val="640"/>
          <w:marRight w:val="0"/>
          <w:marTop w:val="0"/>
          <w:marBottom w:val="0"/>
          <w:divBdr>
            <w:top w:val="none" w:sz="0" w:space="0" w:color="auto"/>
            <w:left w:val="none" w:sz="0" w:space="0" w:color="auto"/>
            <w:bottom w:val="none" w:sz="0" w:space="0" w:color="auto"/>
            <w:right w:val="none" w:sz="0" w:space="0" w:color="auto"/>
          </w:divBdr>
        </w:div>
        <w:div w:id="815219158">
          <w:marLeft w:val="640"/>
          <w:marRight w:val="0"/>
          <w:marTop w:val="0"/>
          <w:marBottom w:val="0"/>
          <w:divBdr>
            <w:top w:val="none" w:sz="0" w:space="0" w:color="auto"/>
            <w:left w:val="none" w:sz="0" w:space="0" w:color="auto"/>
            <w:bottom w:val="none" w:sz="0" w:space="0" w:color="auto"/>
            <w:right w:val="none" w:sz="0" w:space="0" w:color="auto"/>
          </w:divBdr>
        </w:div>
        <w:div w:id="1031540713">
          <w:marLeft w:val="640"/>
          <w:marRight w:val="0"/>
          <w:marTop w:val="0"/>
          <w:marBottom w:val="0"/>
          <w:divBdr>
            <w:top w:val="none" w:sz="0" w:space="0" w:color="auto"/>
            <w:left w:val="none" w:sz="0" w:space="0" w:color="auto"/>
            <w:bottom w:val="none" w:sz="0" w:space="0" w:color="auto"/>
            <w:right w:val="none" w:sz="0" w:space="0" w:color="auto"/>
          </w:divBdr>
        </w:div>
        <w:div w:id="1627854075">
          <w:marLeft w:val="640"/>
          <w:marRight w:val="0"/>
          <w:marTop w:val="0"/>
          <w:marBottom w:val="0"/>
          <w:divBdr>
            <w:top w:val="none" w:sz="0" w:space="0" w:color="auto"/>
            <w:left w:val="none" w:sz="0" w:space="0" w:color="auto"/>
            <w:bottom w:val="none" w:sz="0" w:space="0" w:color="auto"/>
            <w:right w:val="none" w:sz="0" w:space="0" w:color="auto"/>
          </w:divBdr>
        </w:div>
        <w:div w:id="1837525537">
          <w:marLeft w:val="640"/>
          <w:marRight w:val="0"/>
          <w:marTop w:val="0"/>
          <w:marBottom w:val="0"/>
          <w:divBdr>
            <w:top w:val="none" w:sz="0" w:space="0" w:color="auto"/>
            <w:left w:val="none" w:sz="0" w:space="0" w:color="auto"/>
            <w:bottom w:val="none" w:sz="0" w:space="0" w:color="auto"/>
            <w:right w:val="none" w:sz="0" w:space="0" w:color="auto"/>
          </w:divBdr>
        </w:div>
        <w:div w:id="466975960">
          <w:marLeft w:val="640"/>
          <w:marRight w:val="0"/>
          <w:marTop w:val="0"/>
          <w:marBottom w:val="0"/>
          <w:divBdr>
            <w:top w:val="none" w:sz="0" w:space="0" w:color="auto"/>
            <w:left w:val="none" w:sz="0" w:space="0" w:color="auto"/>
            <w:bottom w:val="none" w:sz="0" w:space="0" w:color="auto"/>
            <w:right w:val="none" w:sz="0" w:space="0" w:color="auto"/>
          </w:divBdr>
        </w:div>
        <w:div w:id="707072171">
          <w:marLeft w:val="640"/>
          <w:marRight w:val="0"/>
          <w:marTop w:val="0"/>
          <w:marBottom w:val="0"/>
          <w:divBdr>
            <w:top w:val="none" w:sz="0" w:space="0" w:color="auto"/>
            <w:left w:val="none" w:sz="0" w:space="0" w:color="auto"/>
            <w:bottom w:val="none" w:sz="0" w:space="0" w:color="auto"/>
            <w:right w:val="none" w:sz="0" w:space="0" w:color="auto"/>
          </w:divBdr>
        </w:div>
        <w:div w:id="1931699981">
          <w:marLeft w:val="640"/>
          <w:marRight w:val="0"/>
          <w:marTop w:val="0"/>
          <w:marBottom w:val="0"/>
          <w:divBdr>
            <w:top w:val="none" w:sz="0" w:space="0" w:color="auto"/>
            <w:left w:val="none" w:sz="0" w:space="0" w:color="auto"/>
            <w:bottom w:val="none" w:sz="0" w:space="0" w:color="auto"/>
            <w:right w:val="none" w:sz="0" w:space="0" w:color="auto"/>
          </w:divBdr>
        </w:div>
        <w:div w:id="2106532968">
          <w:marLeft w:val="640"/>
          <w:marRight w:val="0"/>
          <w:marTop w:val="0"/>
          <w:marBottom w:val="0"/>
          <w:divBdr>
            <w:top w:val="none" w:sz="0" w:space="0" w:color="auto"/>
            <w:left w:val="none" w:sz="0" w:space="0" w:color="auto"/>
            <w:bottom w:val="none" w:sz="0" w:space="0" w:color="auto"/>
            <w:right w:val="none" w:sz="0" w:space="0" w:color="auto"/>
          </w:divBdr>
        </w:div>
        <w:div w:id="1316178934">
          <w:marLeft w:val="640"/>
          <w:marRight w:val="0"/>
          <w:marTop w:val="0"/>
          <w:marBottom w:val="0"/>
          <w:divBdr>
            <w:top w:val="none" w:sz="0" w:space="0" w:color="auto"/>
            <w:left w:val="none" w:sz="0" w:space="0" w:color="auto"/>
            <w:bottom w:val="none" w:sz="0" w:space="0" w:color="auto"/>
            <w:right w:val="none" w:sz="0" w:space="0" w:color="auto"/>
          </w:divBdr>
        </w:div>
        <w:div w:id="808589260">
          <w:marLeft w:val="640"/>
          <w:marRight w:val="0"/>
          <w:marTop w:val="0"/>
          <w:marBottom w:val="0"/>
          <w:divBdr>
            <w:top w:val="none" w:sz="0" w:space="0" w:color="auto"/>
            <w:left w:val="none" w:sz="0" w:space="0" w:color="auto"/>
            <w:bottom w:val="none" w:sz="0" w:space="0" w:color="auto"/>
            <w:right w:val="none" w:sz="0" w:space="0" w:color="auto"/>
          </w:divBdr>
        </w:div>
        <w:div w:id="183327969">
          <w:marLeft w:val="640"/>
          <w:marRight w:val="0"/>
          <w:marTop w:val="0"/>
          <w:marBottom w:val="0"/>
          <w:divBdr>
            <w:top w:val="none" w:sz="0" w:space="0" w:color="auto"/>
            <w:left w:val="none" w:sz="0" w:space="0" w:color="auto"/>
            <w:bottom w:val="none" w:sz="0" w:space="0" w:color="auto"/>
            <w:right w:val="none" w:sz="0" w:space="0" w:color="auto"/>
          </w:divBdr>
        </w:div>
        <w:div w:id="963658850">
          <w:marLeft w:val="640"/>
          <w:marRight w:val="0"/>
          <w:marTop w:val="0"/>
          <w:marBottom w:val="0"/>
          <w:divBdr>
            <w:top w:val="none" w:sz="0" w:space="0" w:color="auto"/>
            <w:left w:val="none" w:sz="0" w:space="0" w:color="auto"/>
            <w:bottom w:val="none" w:sz="0" w:space="0" w:color="auto"/>
            <w:right w:val="none" w:sz="0" w:space="0" w:color="auto"/>
          </w:divBdr>
        </w:div>
        <w:div w:id="307369830">
          <w:marLeft w:val="640"/>
          <w:marRight w:val="0"/>
          <w:marTop w:val="0"/>
          <w:marBottom w:val="0"/>
          <w:divBdr>
            <w:top w:val="none" w:sz="0" w:space="0" w:color="auto"/>
            <w:left w:val="none" w:sz="0" w:space="0" w:color="auto"/>
            <w:bottom w:val="none" w:sz="0" w:space="0" w:color="auto"/>
            <w:right w:val="none" w:sz="0" w:space="0" w:color="auto"/>
          </w:divBdr>
        </w:div>
        <w:div w:id="673655704">
          <w:marLeft w:val="640"/>
          <w:marRight w:val="0"/>
          <w:marTop w:val="0"/>
          <w:marBottom w:val="0"/>
          <w:divBdr>
            <w:top w:val="none" w:sz="0" w:space="0" w:color="auto"/>
            <w:left w:val="none" w:sz="0" w:space="0" w:color="auto"/>
            <w:bottom w:val="none" w:sz="0" w:space="0" w:color="auto"/>
            <w:right w:val="none" w:sz="0" w:space="0" w:color="auto"/>
          </w:divBdr>
        </w:div>
        <w:div w:id="108093332">
          <w:marLeft w:val="640"/>
          <w:marRight w:val="0"/>
          <w:marTop w:val="0"/>
          <w:marBottom w:val="0"/>
          <w:divBdr>
            <w:top w:val="none" w:sz="0" w:space="0" w:color="auto"/>
            <w:left w:val="none" w:sz="0" w:space="0" w:color="auto"/>
            <w:bottom w:val="none" w:sz="0" w:space="0" w:color="auto"/>
            <w:right w:val="none" w:sz="0" w:space="0" w:color="auto"/>
          </w:divBdr>
        </w:div>
        <w:div w:id="1348488249">
          <w:marLeft w:val="640"/>
          <w:marRight w:val="0"/>
          <w:marTop w:val="0"/>
          <w:marBottom w:val="0"/>
          <w:divBdr>
            <w:top w:val="none" w:sz="0" w:space="0" w:color="auto"/>
            <w:left w:val="none" w:sz="0" w:space="0" w:color="auto"/>
            <w:bottom w:val="none" w:sz="0" w:space="0" w:color="auto"/>
            <w:right w:val="none" w:sz="0" w:space="0" w:color="auto"/>
          </w:divBdr>
        </w:div>
        <w:div w:id="989671094">
          <w:marLeft w:val="640"/>
          <w:marRight w:val="0"/>
          <w:marTop w:val="0"/>
          <w:marBottom w:val="0"/>
          <w:divBdr>
            <w:top w:val="none" w:sz="0" w:space="0" w:color="auto"/>
            <w:left w:val="none" w:sz="0" w:space="0" w:color="auto"/>
            <w:bottom w:val="none" w:sz="0" w:space="0" w:color="auto"/>
            <w:right w:val="none" w:sz="0" w:space="0" w:color="auto"/>
          </w:divBdr>
        </w:div>
        <w:div w:id="191921697">
          <w:marLeft w:val="640"/>
          <w:marRight w:val="0"/>
          <w:marTop w:val="0"/>
          <w:marBottom w:val="0"/>
          <w:divBdr>
            <w:top w:val="none" w:sz="0" w:space="0" w:color="auto"/>
            <w:left w:val="none" w:sz="0" w:space="0" w:color="auto"/>
            <w:bottom w:val="none" w:sz="0" w:space="0" w:color="auto"/>
            <w:right w:val="none" w:sz="0" w:space="0" w:color="auto"/>
          </w:divBdr>
        </w:div>
        <w:div w:id="1582636196">
          <w:marLeft w:val="640"/>
          <w:marRight w:val="0"/>
          <w:marTop w:val="0"/>
          <w:marBottom w:val="0"/>
          <w:divBdr>
            <w:top w:val="none" w:sz="0" w:space="0" w:color="auto"/>
            <w:left w:val="none" w:sz="0" w:space="0" w:color="auto"/>
            <w:bottom w:val="none" w:sz="0" w:space="0" w:color="auto"/>
            <w:right w:val="none" w:sz="0" w:space="0" w:color="auto"/>
          </w:divBdr>
        </w:div>
        <w:div w:id="1442604990">
          <w:marLeft w:val="640"/>
          <w:marRight w:val="0"/>
          <w:marTop w:val="0"/>
          <w:marBottom w:val="0"/>
          <w:divBdr>
            <w:top w:val="none" w:sz="0" w:space="0" w:color="auto"/>
            <w:left w:val="none" w:sz="0" w:space="0" w:color="auto"/>
            <w:bottom w:val="none" w:sz="0" w:space="0" w:color="auto"/>
            <w:right w:val="none" w:sz="0" w:space="0" w:color="auto"/>
          </w:divBdr>
        </w:div>
        <w:div w:id="396435040">
          <w:marLeft w:val="640"/>
          <w:marRight w:val="0"/>
          <w:marTop w:val="0"/>
          <w:marBottom w:val="0"/>
          <w:divBdr>
            <w:top w:val="none" w:sz="0" w:space="0" w:color="auto"/>
            <w:left w:val="none" w:sz="0" w:space="0" w:color="auto"/>
            <w:bottom w:val="none" w:sz="0" w:space="0" w:color="auto"/>
            <w:right w:val="none" w:sz="0" w:space="0" w:color="auto"/>
          </w:divBdr>
        </w:div>
        <w:div w:id="1694921749">
          <w:marLeft w:val="640"/>
          <w:marRight w:val="0"/>
          <w:marTop w:val="0"/>
          <w:marBottom w:val="0"/>
          <w:divBdr>
            <w:top w:val="none" w:sz="0" w:space="0" w:color="auto"/>
            <w:left w:val="none" w:sz="0" w:space="0" w:color="auto"/>
            <w:bottom w:val="none" w:sz="0" w:space="0" w:color="auto"/>
            <w:right w:val="none" w:sz="0" w:space="0" w:color="auto"/>
          </w:divBdr>
        </w:div>
        <w:div w:id="37439360">
          <w:marLeft w:val="640"/>
          <w:marRight w:val="0"/>
          <w:marTop w:val="0"/>
          <w:marBottom w:val="0"/>
          <w:divBdr>
            <w:top w:val="none" w:sz="0" w:space="0" w:color="auto"/>
            <w:left w:val="none" w:sz="0" w:space="0" w:color="auto"/>
            <w:bottom w:val="none" w:sz="0" w:space="0" w:color="auto"/>
            <w:right w:val="none" w:sz="0" w:space="0" w:color="auto"/>
          </w:divBdr>
        </w:div>
        <w:div w:id="420639469">
          <w:marLeft w:val="640"/>
          <w:marRight w:val="0"/>
          <w:marTop w:val="0"/>
          <w:marBottom w:val="0"/>
          <w:divBdr>
            <w:top w:val="none" w:sz="0" w:space="0" w:color="auto"/>
            <w:left w:val="none" w:sz="0" w:space="0" w:color="auto"/>
            <w:bottom w:val="none" w:sz="0" w:space="0" w:color="auto"/>
            <w:right w:val="none" w:sz="0" w:space="0" w:color="auto"/>
          </w:divBdr>
        </w:div>
        <w:div w:id="549999324">
          <w:marLeft w:val="640"/>
          <w:marRight w:val="0"/>
          <w:marTop w:val="0"/>
          <w:marBottom w:val="0"/>
          <w:divBdr>
            <w:top w:val="none" w:sz="0" w:space="0" w:color="auto"/>
            <w:left w:val="none" w:sz="0" w:space="0" w:color="auto"/>
            <w:bottom w:val="none" w:sz="0" w:space="0" w:color="auto"/>
            <w:right w:val="none" w:sz="0" w:space="0" w:color="auto"/>
          </w:divBdr>
        </w:div>
        <w:div w:id="1842887285">
          <w:marLeft w:val="640"/>
          <w:marRight w:val="0"/>
          <w:marTop w:val="0"/>
          <w:marBottom w:val="0"/>
          <w:divBdr>
            <w:top w:val="none" w:sz="0" w:space="0" w:color="auto"/>
            <w:left w:val="none" w:sz="0" w:space="0" w:color="auto"/>
            <w:bottom w:val="none" w:sz="0" w:space="0" w:color="auto"/>
            <w:right w:val="none" w:sz="0" w:space="0" w:color="auto"/>
          </w:divBdr>
        </w:div>
        <w:div w:id="813064422">
          <w:marLeft w:val="640"/>
          <w:marRight w:val="0"/>
          <w:marTop w:val="0"/>
          <w:marBottom w:val="0"/>
          <w:divBdr>
            <w:top w:val="none" w:sz="0" w:space="0" w:color="auto"/>
            <w:left w:val="none" w:sz="0" w:space="0" w:color="auto"/>
            <w:bottom w:val="none" w:sz="0" w:space="0" w:color="auto"/>
            <w:right w:val="none" w:sz="0" w:space="0" w:color="auto"/>
          </w:divBdr>
        </w:div>
        <w:div w:id="1798523213">
          <w:marLeft w:val="640"/>
          <w:marRight w:val="0"/>
          <w:marTop w:val="0"/>
          <w:marBottom w:val="0"/>
          <w:divBdr>
            <w:top w:val="none" w:sz="0" w:space="0" w:color="auto"/>
            <w:left w:val="none" w:sz="0" w:space="0" w:color="auto"/>
            <w:bottom w:val="none" w:sz="0" w:space="0" w:color="auto"/>
            <w:right w:val="none" w:sz="0" w:space="0" w:color="auto"/>
          </w:divBdr>
        </w:div>
        <w:div w:id="819463468">
          <w:marLeft w:val="640"/>
          <w:marRight w:val="0"/>
          <w:marTop w:val="0"/>
          <w:marBottom w:val="0"/>
          <w:divBdr>
            <w:top w:val="none" w:sz="0" w:space="0" w:color="auto"/>
            <w:left w:val="none" w:sz="0" w:space="0" w:color="auto"/>
            <w:bottom w:val="none" w:sz="0" w:space="0" w:color="auto"/>
            <w:right w:val="none" w:sz="0" w:space="0" w:color="auto"/>
          </w:divBdr>
        </w:div>
        <w:div w:id="1752391278">
          <w:marLeft w:val="640"/>
          <w:marRight w:val="0"/>
          <w:marTop w:val="0"/>
          <w:marBottom w:val="0"/>
          <w:divBdr>
            <w:top w:val="none" w:sz="0" w:space="0" w:color="auto"/>
            <w:left w:val="none" w:sz="0" w:space="0" w:color="auto"/>
            <w:bottom w:val="none" w:sz="0" w:space="0" w:color="auto"/>
            <w:right w:val="none" w:sz="0" w:space="0" w:color="auto"/>
          </w:divBdr>
        </w:div>
        <w:div w:id="1010910692">
          <w:marLeft w:val="640"/>
          <w:marRight w:val="0"/>
          <w:marTop w:val="0"/>
          <w:marBottom w:val="0"/>
          <w:divBdr>
            <w:top w:val="none" w:sz="0" w:space="0" w:color="auto"/>
            <w:left w:val="none" w:sz="0" w:space="0" w:color="auto"/>
            <w:bottom w:val="none" w:sz="0" w:space="0" w:color="auto"/>
            <w:right w:val="none" w:sz="0" w:space="0" w:color="auto"/>
          </w:divBdr>
        </w:div>
        <w:div w:id="1432506775">
          <w:marLeft w:val="640"/>
          <w:marRight w:val="0"/>
          <w:marTop w:val="0"/>
          <w:marBottom w:val="0"/>
          <w:divBdr>
            <w:top w:val="none" w:sz="0" w:space="0" w:color="auto"/>
            <w:left w:val="none" w:sz="0" w:space="0" w:color="auto"/>
            <w:bottom w:val="none" w:sz="0" w:space="0" w:color="auto"/>
            <w:right w:val="none" w:sz="0" w:space="0" w:color="auto"/>
          </w:divBdr>
        </w:div>
        <w:div w:id="501088360">
          <w:marLeft w:val="640"/>
          <w:marRight w:val="0"/>
          <w:marTop w:val="0"/>
          <w:marBottom w:val="0"/>
          <w:divBdr>
            <w:top w:val="none" w:sz="0" w:space="0" w:color="auto"/>
            <w:left w:val="none" w:sz="0" w:space="0" w:color="auto"/>
            <w:bottom w:val="none" w:sz="0" w:space="0" w:color="auto"/>
            <w:right w:val="none" w:sz="0" w:space="0" w:color="auto"/>
          </w:divBdr>
        </w:div>
        <w:div w:id="631986490">
          <w:marLeft w:val="640"/>
          <w:marRight w:val="0"/>
          <w:marTop w:val="0"/>
          <w:marBottom w:val="0"/>
          <w:divBdr>
            <w:top w:val="none" w:sz="0" w:space="0" w:color="auto"/>
            <w:left w:val="none" w:sz="0" w:space="0" w:color="auto"/>
            <w:bottom w:val="none" w:sz="0" w:space="0" w:color="auto"/>
            <w:right w:val="none" w:sz="0" w:space="0" w:color="auto"/>
          </w:divBdr>
        </w:div>
        <w:div w:id="382214210">
          <w:marLeft w:val="640"/>
          <w:marRight w:val="0"/>
          <w:marTop w:val="0"/>
          <w:marBottom w:val="0"/>
          <w:divBdr>
            <w:top w:val="none" w:sz="0" w:space="0" w:color="auto"/>
            <w:left w:val="none" w:sz="0" w:space="0" w:color="auto"/>
            <w:bottom w:val="none" w:sz="0" w:space="0" w:color="auto"/>
            <w:right w:val="none" w:sz="0" w:space="0" w:color="auto"/>
          </w:divBdr>
        </w:div>
        <w:div w:id="306784238">
          <w:marLeft w:val="640"/>
          <w:marRight w:val="0"/>
          <w:marTop w:val="0"/>
          <w:marBottom w:val="0"/>
          <w:divBdr>
            <w:top w:val="none" w:sz="0" w:space="0" w:color="auto"/>
            <w:left w:val="none" w:sz="0" w:space="0" w:color="auto"/>
            <w:bottom w:val="none" w:sz="0" w:space="0" w:color="auto"/>
            <w:right w:val="none" w:sz="0" w:space="0" w:color="auto"/>
          </w:divBdr>
        </w:div>
        <w:div w:id="1716154531">
          <w:marLeft w:val="640"/>
          <w:marRight w:val="0"/>
          <w:marTop w:val="0"/>
          <w:marBottom w:val="0"/>
          <w:divBdr>
            <w:top w:val="none" w:sz="0" w:space="0" w:color="auto"/>
            <w:left w:val="none" w:sz="0" w:space="0" w:color="auto"/>
            <w:bottom w:val="none" w:sz="0" w:space="0" w:color="auto"/>
            <w:right w:val="none" w:sz="0" w:space="0" w:color="auto"/>
          </w:divBdr>
        </w:div>
        <w:div w:id="1491797563">
          <w:marLeft w:val="640"/>
          <w:marRight w:val="0"/>
          <w:marTop w:val="0"/>
          <w:marBottom w:val="0"/>
          <w:divBdr>
            <w:top w:val="none" w:sz="0" w:space="0" w:color="auto"/>
            <w:left w:val="none" w:sz="0" w:space="0" w:color="auto"/>
            <w:bottom w:val="none" w:sz="0" w:space="0" w:color="auto"/>
            <w:right w:val="none" w:sz="0" w:space="0" w:color="auto"/>
          </w:divBdr>
        </w:div>
        <w:div w:id="273096022">
          <w:marLeft w:val="640"/>
          <w:marRight w:val="0"/>
          <w:marTop w:val="0"/>
          <w:marBottom w:val="0"/>
          <w:divBdr>
            <w:top w:val="none" w:sz="0" w:space="0" w:color="auto"/>
            <w:left w:val="none" w:sz="0" w:space="0" w:color="auto"/>
            <w:bottom w:val="none" w:sz="0" w:space="0" w:color="auto"/>
            <w:right w:val="none" w:sz="0" w:space="0" w:color="auto"/>
          </w:divBdr>
        </w:div>
        <w:div w:id="1941837446">
          <w:marLeft w:val="640"/>
          <w:marRight w:val="0"/>
          <w:marTop w:val="0"/>
          <w:marBottom w:val="0"/>
          <w:divBdr>
            <w:top w:val="none" w:sz="0" w:space="0" w:color="auto"/>
            <w:left w:val="none" w:sz="0" w:space="0" w:color="auto"/>
            <w:bottom w:val="none" w:sz="0" w:space="0" w:color="auto"/>
            <w:right w:val="none" w:sz="0" w:space="0" w:color="auto"/>
          </w:divBdr>
        </w:div>
        <w:div w:id="554701169">
          <w:marLeft w:val="640"/>
          <w:marRight w:val="0"/>
          <w:marTop w:val="0"/>
          <w:marBottom w:val="0"/>
          <w:divBdr>
            <w:top w:val="none" w:sz="0" w:space="0" w:color="auto"/>
            <w:left w:val="none" w:sz="0" w:space="0" w:color="auto"/>
            <w:bottom w:val="none" w:sz="0" w:space="0" w:color="auto"/>
            <w:right w:val="none" w:sz="0" w:space="0" w:color="auto"/>
          </w:divBdr>
        </w:div>
        <w:div w:id="850334140">
          <w:marLeft w:val="640"/>
          <w:marRight w:val="0"/>
          <w:marTop w:val="0"/>
          <w:marBottom w:val="0"/>
          <w:divBdr>
            <w:top w:val="none" w:sz="0" w:space="0" w:color="auto"/>
            <w:left w:val="none" w:sz="0" w:space="0" w:color="auto"/>
            <w:bottom w:val="none" w:sz="0" w:space="0" w:color="auto"/>
            <w:right w:val="none" w:sz="0" w:space="0" w:color="auto"/>
          </w:divBdr>
        </w:div>
        <w:div w:id="1536117057">
          <w:marLeft w:val="640"/>
          <w:marRight w:val="0"/>
          <w:marTop w:val="0"/>
          <w:marBottom w:val="0"/>
          <w:divBdr>
            <w:top w:val="none" w:sz="0" w:space="0" w:color="auto"/>
            <w:left w:val="none" w:sz="0" w:space="0" w:color="auto"/>
            <w:bottom w:val="none" w:sz="0" w:space="0" w:color="auto"/>
            <w:right w:val="none" w:sz="0" w:space="0" w:color="auto"/>
          </w:divBdr>
        </w:div>
        <w:div w:id="1451195749">
          <w:marLeft w:val="640"/>
          <w:marRight w:val="0"/>
          <w:marTop w:val="0"/>
          <w:marBottom w:val="0"/>
          <w:divBdr>
            <w:top w:val="none" w:sz="0" w:space="0" w:color="auto"/>
            <w:left w:val="none" w:sz="0" w:space="0" w:color="auto"/>
            <w:bottom w:val="none" w:sz="0" w:space="0" w:color="auto"/>
            <w:right w:val="none" w:sz="0" w:space="0" w:color="auto"/>
          </w:divBdr>
        </w:div>
        <w:div w:id="1000813226">
          <w:marLeft w:val="640"/>
          <w:marRight w:val="0"/>
          <w:marTop w:val="0"/>
          <w:marBottom w:val="0"/>
          <w:divBdr>
            <w:top w:val="none" w:sz="0" w:space="0" w:color="auto"/>
            <w:left w:val="none" w:sz="0" w:space="0" w:color="auto"/>
            <w:bottom w:val="none" w:sz="0" w:space="0" w:color="auto"/>
            <w:right w:val="none" w:sz="0" w:space="0" w:color="auto"/>
          </w:divBdr>
        </w:div>
        <w:div w:id="785389267">
          <w:marLeft w:val="640"/>
          <w:marRight w:val="0"/>
          <w:marTop w:val="0"/>
          <w:marBottom w:val="0"/>
          <w:divBdr>
            <w:top w:val="none" w:sz="0" w:space="0" w:color="auto"/>
            <w:left w:val="none" w:sz="0" w:space="0" w:color="auto"/>
            <w:bottom w:val="none" w:sz="0" w:space="0" w:color="auto"/>
            <w:right w:val="none" w:sz="0" w:space="0" w:color="auto"/>
          </w:divBdr>
        </w:div>
        <w:div w:id="457989989">
          <w:marLeft w:val="640"/>
          <w:marRight w:val="0"/>
          <w:marTop w:val="0"/>
          <w:marBottom w:val="0"/>
          <w:divBdr>
            <w:top w:val="none" w:sz="0" w:space="0" w:color="auto"/>
            <w:left w:val="none" w:sz="0" w:space="0" w:color="auto"/>
            <w:bottom w:val="none" w:sz="0" w:space="0" w:color="auto"/>
            <w:right w:val="none" w:sz="0" w:space="0" w:color="auto"/>
          </w:divBdr>
        </w:div>
        <w:div w:id="1007631305">
          <w:marLeft w:val="640"/>
          <w:marRight w:val="0"/>
          <w:marTop w:val="0"/>
          <w:marBottom w:val="0"/>
          <w:divBdr>
            <w:top w:val="none" w:sz="0" w:space="0" w:color="auto"/>
            <w:left w:val="none" w:sz="0" w:space="0" w:color="auto"/>
            <w:bottom w:val="none" w:sz="0" w:space="0" w:color="auto"/>
            <w:right w:val="none" w:sz="0" w:space="0" w:color="auto"/>
          </w:divBdr>
        </w:div>
        <w:div w:id="366376266">
          <w:marLeft w:val="640"/>
          <w:marRight w:val="0"/>
          <w:marTop w:val="0"/>
          <w:marBottom w:val="0"/>
          <w:divBdr>
            <w:top w:val="none" w:sz="0" w:space="0" w:color="auto"/>
            <w:left w:val="none" w:sz="0" w:space="0" w:color="auto"/>
            <w:bottom w:val="none" w:sz="0" w:space="0" w:color="auto"/>
            <w:right w:val="none" w:sz="0" w:space="0" w:color="auto"/>
          </w:divBdr>
        </w:div>
        <w:div w:id="1344743922">
          <w:marLeft w:val="640"/>
          <w:marRight w:val="0"/>
          <w:marTop w:val="0"/>
          <w:marBottom w:val="0"/>
          <w:divBdr>
            <w:top w:val="none" w:sz="0" w:space="0" w:color="auto"/>
            <w:left w:val="none" w:sz="0" w:space="0" w:color="auto"/>
            <w:bottom w:val="none" w:sz="0" w:space="0" w:color="auto"/>
            <w:right w:val="none" w:sz="0" w:space="0" w:color="auto"/>
          </w:divBdr>
        </w:div>
        <w:div w:id="1333609970">
          <w:marLeft w:val="640"/>
          <w:marRight w:val="0"/>
          <w:marTop w:val="0"/>
          <w:marBottom w:val="0"/>
          <w:divBdr>
            <w:top w:val="none" w:sz="0" w:space="0" w:color="auto"/>
            <w:left w:val="none" w:sz="0" w:space="0" w:color="auto"/>
            <w:bottom w:val="none" w:sz="0" w:space="0" w:color="auto"/>
            <w:right w:val="none" w:sz="0" w:space="0" w:color="auto"/>
          </w:divBdr>
        </w:div>
        <w:div w:id="1769307165">
          <w:marLeft w:val="640"/>
          <w:marRight w:val="0"/>
          <w:marTop w:val="0"/>
          <w:marBottom w:val="0"/>
          <w:divBdr>
            <w:top w:val="none" w:sz="0" w:space="0" w:color="auto"/>
            <w:left w:val="none" w:sz="0" w:space="0" w:color="auto"/>
            <w:bottom w:val="none" w:sz="0" w:space="0" w:color="auto"/>
            <w:right w:val="none" w:sz="0" w:space="0" w:color="auto"/>
          </w:divBdr>
        </w:div>
        <w:div w:id="106583282">
          <w:marLeft w:val="640"/>
          <w:marRight w:val="0"/>
          <w:marTop w:val="0"/>
          <w:marBottom w:val="0"/>
          <w:divBdr>
            <w:top w:val="none" w:sz="0" w:space="0" w:color="auto"/>
            <w:left w:val="none" w:sz="0" w:space="0" w:color="auto"/>
            <w:bottom w:val="none" w:sz="0" w:space="0" w:color="auto"/>
            <w:right w:val="none" w:sz="0" w:space="0" w:color="auto"/>
          </w:divBdr>
        </w:div>
        <w:div w:id="2066178698">
          <w:marLeft w:val="640"/>
          <w:marRight w:val="0"/>
          <w:marTop w:val="0"/>
          <w:marBottom w:val="0"/>
          <w:divBdr>
            <w:top w:val="none" w:sz="0" w:space="0" w:color="auto"/>
            <w:left w:val="none" w:sz="0" w:space="0" w:color="auto"/>
            <w:bottom w:val="none" w:sz="0" w:space="0" w:color="auto"/>
            <w:right w:val="none" w:sz="0" w:space="0" w:color="auto"/>
          </w:divBdr>
        </w:div>
        <w:div w:id="1651786644">
          <w:marLeft w:val="640"/>
          <w:marRight w:val="0"/>
          <w:marTop w:val="0"/>
          <w:marBottom w:val="0"/>
          <w:divBdr>
            <w:top w:val="none" w:sz="0" w:space="0" w:color="auto"/>
            <w:left w:val="none" w:sz="0" w:space="0" w:color="auto"/>
            <w:bottom w:val="none" w:sz="0" w:space="0" w:color="auto"/>
            <w:right w:val="none" w:sz="0" w:space="0" w:color="auto"/>
          </w:divBdr>
        </w:div>
        <w:div w:id="293755927">
          <w:marLeft w:val="640"/>
          <w:marRight w:val="0"/>
          <w:marTop w:val="0"/>
          <w:marBottom w:val="0"/>
          <w:divBdr>
            <w:top w:val="none" w:sz="0" w:space="0" w:color="auto"/>
            <w:left w:val="none" w:sz="0" w:space="0" w:color="auto"/>
            <w:bottom w:val="none" w:sz="0" w:space="0" w:color="auto"/>
            <w:right w:val="none" w:sz="0" w:space="0" w:color="auto"/>
          </w:divBdr>
        </w:div>
        <w:div w:id="1919317414">
          <w:marLeft w:val="640"/>
          <w:marRight w:val="0"/>
          <w:marTop w:val="0"/>
          <w:marBottom w:val="0"/>
          <w:divBdr>
            <w:top w:val="none" w:sz="0" w:space="0" w:color="auto"/>
            <w:left w:val="none" w:sz="0" w:space="0" w:color="auto"/>
            <w:bottom w:val="none" w:sz="0" w:space="0" w:color="auto"/>
            <w:right w:val="none" w:sz="0" w:space="0" w:color="auto"/>
          </w:divBdr>
        </w:div>
        <w:div w:id="2098748962">
          <w:marLeft w:val="640"/>
          <w:marRight w:val="0"/>
          <w:marTop w:val="0"/>
          <w:marBottom w:val="0"/>
          <w:divBdr>
            <w:top w:val="none" w:sz="0" w:space="0" w:color="auto"/>
            <w:left w:val="none" w:sz="0" w:space="0" w:color="auto"/>
            <w:bottom w:val="none" w:sz="0" w:space="0" w:color="auto"/>
            <w:right w:val="none" w:sz="0" w:space="0" w:color="auto"/>
          </w:divBdr>
        </w:div>
        <w:div w:id="1473643858">
          <w:marLeft w:val="640"/>
          <w:marRight w:val="0"/>
          <w:marTop w:val="0"/>
          <w:marBottom w:val="0"/>
          <w:divBdr>
            <w:top w:val="none" w:sz="0" w:space="0" w:color="auto"/>
            <w:left w:val="none" w:sz="0" w:space="0" w:color="auto"/>
            <w:bottom w:val="none" w:sz="0" w:space="0" w:color="auto"/>
            <w:right w:val="none" w:sz="0" w:space="0" w:color="auto"/>
          </w:divBdr>
        </w:div>
        <w:div w:id="561447053">
          <w:marLeft w:val="640"/>
          <w:marRight w:val="0"/>
          <w:marTop w:val="0"/>
          <w:marBottom w:val="0"/>
          <w:divBdr>
            <w:top w:val="none" w:sz="0" w:space="0" w:color="auto"/>
            <w:left w:val="none" w:sz="0" w:space="0" w:color="auto"/>
            <w:bottom w:val="none" w:sz="0" w:space="0" w:color="auto"/>
            <w:right w:val="none" w:sz="0" w:space="0" w:color="auto"/>
          </w:divBdr>
        </w:div>
        <w:div w:id="874461248">
          <w:marLeft w:val="640"/>
          <w:marRight w:val="0"/>
          <w:marTop w:val="0"/>
          <w:marBottom w:val="0"/>
          <w:divBdr>
            <w:top w:val="none" w:sz="0" w:space="0" w:color="auto"/>
            <w:left w:val="none" w:sz="0" w:space="0" w:color="auto"/>
            <w:bottom w:val="none" w:sz="0" w:space="0" w:color="auto"/>
            <w:right w:val="none" w:sz="0" w:space="0" w:color="auto"/>
          </w:divBdr>
        </w:div>
        <w:div w:id="87898045">
          <w:marLeft w:val="640"/>
          <w:marRight w:val="0"/>
          <w:marTop w:val="0"/>
          <w:marBottom w:val="0"/>
          <w:divBdr>
            <w:top w:val="none" w:sz="0" w:space="0" w:color="auto"/>
            <w:left w:val="none" w:sz="0" w:space="0" w:color="auto"/>
            <w:bottom w:val="none" w:sz="0" w:space="0" w:color="auto"/>
            <w:right w:val="none" w:sz="0" w:space="0" w:color="auto"/>
          </w:divBdr>
        </w:div>
        <w:div w:id="1619682064">
          <w:marLeft w:val="640"/>
          <w:marRight w:val="0"/>
          <w:marTop w:val="0"/>
          <w:marBottom w:val="0"/>
          <w:divBdr>
            <w:top w:val="none" w:sz="0" w:space="0" w:color="auto"/>
            <w:left w:val="none" w:sz="0" w:space="0" w:color="auto"/>
            <w:bottom w:val="none" w:sz="0" w:space="0" w:color="auto"/>
            <w:right w:val="none" w:sz="0" w:space="0" w:color="auto"/>
          </w:divBdr>
        </w:div>
        <w:div w:id="1876428559">
          <w:marLeft w:val="640"/>
          <w:marRight w:val="0"/>
          <w:marTop w:val="0"/>
          <w:marBottom w:val="0"/>
          <w:divBdr>
            <w:top w:val="none" w:sz="0" w:space="0" w:color="auto"/>
            <w:left w:val="none" w:sz="0" w:space="0" w:color="auto"/>
            <w:bottom w:val="none" w:sz="0" w:space="0" w:color="auto"/>
            <w:right w:val="none" w:sz="0" w:space="0" w:color="auto"/>
          </w:divBdr>
        </w:div>
        <w:div w:id="1186476845">
          <w:marLeft w:val="640"/>
          <w:marRight w:val="0"/>
          <w:marTop w:val="0"/>
          <w:marBottom w:val="0"/>
          <w:divBdr>
            <w:top w:val="none" w:sz="0" w:space="0" w:color="auto"/>
            <w:left w:val="none" w:sz="0" w:space="0" w:color="auto"/>
            <w:bottom w:val="none" w:sz="0" w:space="0" w:color="auto"/>
            <w:right w:val="none" w:sz="0" w:space="0" w:color="auto"/>
          </w:divBdr>
        </w:div>
        <w:div w:id="1558392956">
          <w:marLeft w:val="640"/>
          <w:marRight w:val="0"/>
          <w:marTop w:val="0"/>
          <w:marBottom w:val="0"/>
          <w:divBdr>
            <w:top w:val="none" w:sz="0" w:space="0" w:color="auto"/>
            <w:left w:val="none" w:sz="0" w:space="0" w:color="auto"/>
            <w:bottom w:val="none" w:sz="0" w:space="0" w:color="auto"/>
            <w:right w:val="none" w:sz="0" w:space="0" w:color="auto"/>
          </w:divBdr>
        </w:div>
        <w:div w:id="454449234">
          <w:marLeft w:val="640"/>
          <w:marRight w:val="0"/>
          <w:marTop w:val="0"/>
          <w:marBottom w:val="0"/>
          <w:divBdr>
            <w:top w:val="none" w:sz="0" w:space="0" w:color="auto"/>
            <w:left w:val="none" w:sz="0" w:space="0" w:color="auto"/>
            <w:bottom w:val="none" w:sz="0" w:space="0" w:color="auto"/>
            <w:right w:val="none" w:sz="0" w:space="0" w:color="auto"/>
          </w:divBdr>
        </w:div>
        <w:div w:id="1893886823">
          <w:marLeft w:val="640"/>
          <w:marRight w:val="0"/>
          <w:marTop w:val="0"/>
          <w:marBottom w:val="0"/>
          <w:divBdr>
            <w:top w:val="none" w:sz="0" w:space="0" w:color="auto"/>
            <w:left w:val="none" w:sz="0" w:space="0" w:color="auto"/>
            <w:bottom w:val="none" w:sz="0" w:space="0" w:color="auto"/>
            <w:right w:val="none" w:sz="0" w:space="0" w:color="auto"/>
          </w:divBdr>
        </w:div>
        <w:div w:id="1962613043">
          <w:marLeft w:val="640"/>
          <w:marRight w:val="0"/>
          <w:marTop w:val="0"/>
          <w:marBottom w:val="0"/>
          <w:divBdr>
            <w:top w:val="none" w:sz="0" w:space="0" w:color="auto"/>
            <w:left w:val="none" w:sz="0" w:space="0" w:color="auto"/>
            <w:bottom w:val="none" w:sz="0" w:space="0" w:color="auto"/>
            <w:right w:val="none" w:sz="0" w:space="0" w:color="auto"/>
          </w:divBdr>
        </w:div>
        <w:div w:id="1330212409">
          <w:marLeft w:val="640"/>
          <w:marRight w:val="0"/>
          <w:marTop w:val="0"/>
          <w:marBottom w:val="0"/>
          <w:divBdr>
            <w:top w:val="none" w:sz="0" w:space="0" w:color="auto"/>
            <w:left w:val="none" w:sz="0" w:space="0" w:color="auto"/>
            <w:bottom w:val="none" w:sz="0" w:space="0" w:color="auto"/>
            <w:right w:val="none" w:sz="0" w:space="0" w:color="auto"/>
          </w:divBdr>
        </w:div>
        <w:div w:id="911355399">
          <w:marLeft w:val="640"/>
          <w:marRight w:val="0"/>
          <w:marTop w:val="0"/>
          <w:marBottom w:val="0"/>
          <w:divBdr>
            <w:top w:val="none" w:sz="0" w:space="0" w:color="auto"/>
            <w:left w:val="none" w:sz="0" w:space="0" w:color="auto"/>
            <w:bottom w:val="none" w:sz="0" w:space="0" w:color="auto"/>
            <w:right w:val="none" w:sz="0" w:space="0" w:color="auto"/>
          </w:divBdr>
        </w:div>
        <w:div w:id="1667978324">
          <w:marLeft w:val="640"/>
          <w:marRight w:val="0"/>
          <w:marTop w:val="0"/>
          <w:marBottom w:val="0"/>
          <w:divBdr>
            <w:top w:val="none" w:sz="0" w:space="0" w:color="auto"/>
            <w:left w:val="none" w:sz="0" w:space="0" w:color="auto"/>
            <w:bottom w:val="none" w:sz="0" w:space="0" w:color="auto"/>
            <w:right w:val="none" w:sz="0" w:space="0" w:color="auto"/>
          </w:divBdr>
        </w:div>
        <w:div w:id="863981500">
          <w:marLeft w:val="640"/>
          <w:marRight w:val="0"/>
          <w:marTop w:val="0"/>
          <w:marBottom w:val="0"/>
          <w:divBdr>
            <w:top w:val="none" w:sz="0" w:space="0" w:color="auto"/>
            <w:left w:val="none" w:sz="0" w:space="0" w:color="auto"/>
            <w:bottom w:val="none" w:sz="0" w:space="0" w:color="auto"/>
            <w:right w:val="none" w:sz="0" w:space="0" w:color="auto"/>
          </w:divBdr>
        </w:div>
        <w:div w:id="1940681029">
          <w:marLeft w:val="640"/>
          <w:marRight w:val="0"/>
          <w:marTop w:val="0"/>
          <w:marBottom w:val="0"/>
          <w:divBdr>
            <w:top w:val="none" w:sz="0" w:space="0" w:color="auto"/>
            <w:left w:val="none" w:sz="0" w:space="0" w:color="auto"/>
            <w:bottom w:val="none" w:sz="0" w:space="0" w:color="auto"/>
            <w:right w:val="none" w:sz="0" w:space="0" w:color="auto"/>
          </w:divBdr>
        </w:div>
        <w:div w:id="2094935092">
          <w:marLeft w:val="640"/>
          <w:marRight w:val="0"/>
          <w:marTop w:val="0"/>
          <w:marBottom w:val="0"/>
          <w:divBdr>
            <w:top w:val="none" w:sz="0" w:space="0" w:color="auto"/>
            <w:left w:val="none" w:sz="0" w:space="0" w:color="auto"/>
            <w:bottom w:val="none" w:sz="0" w:space="0" w:color="auto"/>
            <w:right w:val="none" w:sz="0" w:space="0" w:color="auto"/>
          </w:divBdr>
        </w:div>
        <w:div w:id="1246961573">
          <w:marLeft w:val="640"/>
          <w:marRight w:val="0"/>
          <w:marTop w:val="0"/>
          <w:marBottom w:val="0"/>
          <w:divBdr>
            <w:top w:val="none" w:sz="0" w:space="0" w:color="auto"/>
            <w:left w:val="none" w:sz="0" w:space="0" w:color="auto"/>
            <w:bottom w:val="none" w:sz="0" w:space="0" w:color="auto"/>
            <w:right w:val="none" w:sz="0" w:space="0" w:color="auto"/>
          </w:divBdr>
        </w:div>
        <w:div w:id="538395717">
          <w:marLeft w:val="640"/>
          <w:marRight w:val="0"/>
          <w:marTop w:val="0"/>
          <w:marBottom w:val="0"/>
          <w:divBdr>
            <w:top w:val="none" w:sz="0" w:space="0" w:color="auto"/>
            <w:left w:val="none" w:sz="0" w:space="0" w:color="auto"/>
            <w:bottom w:val="none" w:sz="0" w:space="0" w:color="auto"/>
            <w:right w:val="none" w:sz="0" w:space="0" w:color="auto"/>
          </w:divBdr>
        </w:div>
        <w:div w:id="540360603">
          <w:marLeft w:val="640"/>
          <w:marRight w:val="0"/>
          <w:marTop w:val="0"/>
          <w:marBottom w:val="0"/>
          <w:divBdr>
            <w:top w:val="none" w:sz="0" w:space="0" w:color="auto"/>
            <w:left w:val="none" w:sz="0" w:space="0" w:color="auto"/>
            <w:bottom w:val="none" w:sz="0" w:space="0" w:color="auto"/>
            <w:right w:val="none" w:sz="0" w:space="0" w:color="auto"/>
          </w:divBdr>
        </w:div>
        <w:div w:id="1058433136">
          <w:marLeft w:val="640"/>
          <w:marRight w:val="0"/>
          <w:marTop w:val="0"/>
          <w:marBottom w:val="0"/>
          <w:divBdr>
            <w:top w:val="none" w:sz="0" w:space="0" w:color="auto"/>
            <w:left w:val="none" w:sz="0" w:space="0" w:color="auto"/>
            <w:bottom w:val="none" w:sz="0" w:space="0" w:color="auto"/>
            <w:right w:val="none" w:sz="0" w:space="0" w:color="auto"/>
          </w:divBdr>
        </w:div>
        <w:div w:id="625349975">
          <w:marLeft w:val="640"/>
          <w:marRight w:val="0"/>
          <w:marTop w:val="0"/>
          <w:marBottom w:val="0"/>
          <w:divBdr>
            <w:top w:val="none" w:sz="0" w:space="0" w:color="auto"/>
            <w:left w:val="none" w:sz="0" w:space="0" w:color="auto"/>
            <w:bottom w:val="none" w:sz="0" w:space="0" w:color="auto"/>
            <w:right w:val="none" w:sz="0" w:space="0" w:color="auto"/>
          </w:divBdr>
        </w:div>
        <w:div w:id="1233932847">
          <w:marLeft w:val="640"/>
          <w:marRight w:val="0"/>
          <w:marTop w:val="0"/>
          <w:marBottom w:val="0"/>
          <w:divBdr>
            <w:top w:val="none" w:sz="0" w:space="0" w:color="auto"/>
            <w:left w:val="none" w:sz="0" w:space="0" w:color="auto"/>
            <w:bottom w:val="none" w:sz="0" w:space="0" w:color="auto"/>
            <w:right w:val="none" w:sz="0" w:space="0" w:color="auto"/>
          </w:divBdr>
        </w:div>
        <w:div w:id="2064325800">
          <w:marLeft w:val="640"/>
          <w:marRight w:val="0"/>
          <w:marTop w:val="0"/>
          <w:marBottom w:val="0"/>
          <w:divBdr>
            <w:top w:val="none" w:sz="0" w:space="0" w:color="auto"/>
            <w:left w:val="none" w:sz="0" w:space="0" w:color="auto"/>
            <w:bottom w:val="none" w:sz="0" w:space="0" w:color="auto"/>
            <w:right w:val="none" w:sz="0" w:space="0" w:color="auto"/>
          </w:divBdr>
        </w:div>
        <w:div w:id="1592856922">
          <w:marLeft w:val="640"/>
          <w:marRight w:val="0"/>
          <w:marTop w:val="0"/>
          <w:marBottom w:val="0"/>
          <w:divBdr>
            <w:top w:val="none" w:sz="0" w:space="0" w:color="auto"/>
            <w:left w:val="none" w:sz="0" w:space="0" w:color="auto"/>
            <w:bottom w:val="none" w:sz="0" w:space="0" w:color="auto"/>
            <w:right w:val="none" w:sz="0" w:space="0" w:color="auto"/>
          </w:divBdr>
        </w:div>
        <w:div w:id="1099445831">
          <w:marLeft w:val="640"/>
          <w:marRight w:val="0"/>
          <w:marTop w:val="0"/>
          <w:marBottom w:val="0"/>
          <w:divBdr>
            <w:top w:val="none" w:sz="0" w:space="0" w:color="auto"/>
            <w:left w:val="none" w:sz="0" w:space="0" w:color="auto"/>
            <w:bottom w:val="none" w:sz="0" w:space="0" w:color="auto"/>
            <w:right w:val="none" w:sz="0" w:space="0" w:color="auto"/>
          </w:divBdr>
        </w:div>
        <w:div w:id="1596474002">
          <w:marLeft w:val="640"/>
          <w:marRight w:val="0"/>
          <w:marTop w:val="0"/>
          <w:marBottom w:val="0"/>
          <w:divBdr>
            <w:top w:val="none" w:sz="0" w:space="0" w:color="auto"/>
            <w:left w:val="none" w:sz="0" w:space="0" w:color="auto"/>
            <w:bottom w:val="none" w:sz="0" w:space="0" w:color="auto"/>
            <w:right w:val="none" w:sz="0" w:space="0" w:color="auto"/>
          </w:divBdr>
        </w:div>
        <w:div w:id="2054846454">
          <w:marLeft w:val="640"/>
          <w:marRight w:val="0"/>
          <w:marTop w:val="0"/>
          <w:marBottom w:val="0"/>
          <w:divBdr>
            <w:top w:val="none" w:sz="0" w:space="0" w:color="auto"/>
            <w:left w:val="none" w:sz="0" w:space="0" w:color="auto"/>
            <w:bottom w:val="none" w:sz="0" w:space="0" w:color="auto"/>
            <w:right w:val="none" w:sz="0" w:space="0" w:color="auto"/>
          </w:divBdr>
        </w:div>
        <w:div w:id="910385858">
          <w:marLeft w:val="640"/>
          <w:marRight w:val="0"/>
          <w:marTop w:val="0"/>
          <w:marBottom w:val="0"/>
          <w:divBdr>
            <w:top w:val="none" w:sz="0" w:space="0" w:color="auto"/>
            <w:left w:val="none" w:sz="0" w:space="0" w:color="auto"/>
            <w:bottom w:val="none" w:sz="0" w:space="0" w:color="auto"/>
            <w:right w:val="none" w:sz="0" w:space="0" w:color="auto"/>
          </w:divBdr>
        </w:div>
        <w:div w:id="1314069817">
          <w:marLeft w:val="640"/>
          <w:marRight w:val="0"/>
          <w:marTop w:val="0"/>
          <w:marBottom w:val="0"/>
          <w:divBdr>
            <w:top w:val="none" w:sz="0" w:space="0" w:color="auto"/>
            <w:left w:val="none" w:sz="0" w:space="0" w:color="auto"/>
            <w:bottom w:val="none" w:sz="0" w:space="0" w:color="auto"/>
            <w:right w:val="none" w:sz="0" w:space="0" w:color="auto"/>
          </w:divBdr>
        </w:div>
        <w:div w:id="337658712">
          <w:marLeft w:val="640"/>
          <w:marRight w:val="0"/>
          <w:marTop w:val="0"/>
          <w:marBottom w:val="0"/>
          <w:divBdr>
            <w:top w:val="none" w:sz="0" w:space="0" w:color="auto"/>
            <w:left w:val="none" w:sz="0" w:space="0" w:color="auto"/>
            <w:bottom w:val="none" w:sz="0" w:space="0" w:color="auto"/>
            <w:right w:val="none" w:sz="0" w:space="0" w:color="auto"/>
          </w:divBdr>
        </w:div>
        <w:div w:id="386731279">
          <w:marLeft w:val="640"/>
          <w:marRight w:val="0"/>
          <w:marTop w:val="0"/>
          <w:marBottom w:val="0"/>
          <w:divBdr>
            <w:top w:val="none" w:sz="0" w:space="0" w:color="auto"/>
            <w:left w:val="none" w:sz="0" w:space="0" w:color="auto"/>
            <w:bottom w:val="none" w:sz="0" w:space="0" w:color="auto"/>
            <w:right w:val="none" w:sz="0" w:space="0" w:color="auto"/>
          </w:divBdr>
        </w:div>
        <w:div w:id="134224497">
          <w:marLeft w:val="640"/>
          <w:marRight w:val="0"/>
          <w:marTop w:val="0"/>
          <w:marBottom w:val="0"/>
          <w:divBdr>
            <w:top w:val="none" w:sz="0" w:space="0" w:color="auto"/>
            <w:left w:val="none" w:sz="0" w:space="0" w:color="auto"/>
            <w:bottom w:val="none" w:sz="0" w:space="0" w:color="auto"/>
            <w:right w:val="none" w:sz="0" w:space="0" w:color="auto"/>
          </w:divBdr>
        </w:div>
        <w:div w:id="1931237282">
          <w:marLeft w:val="640"/>
          <w:marRight w:val="0"/>
          <w:marTop w:val="0"/>
          <w:marBottom w:val="0"/>
          <w:divBdr>
            <w:top w:val="none" w:sz="0" w:space="0" w:color="auto"/>
            <w:left w:val="none" w:sz="0" w:space="0" w:color="auto"/>
            <w:bottom w:val="none" w:sz="0" w:space="0" w:color="auto"/>
            <w:right w:val="none" w:sz="0" w:space="0" w:color="auto"/>
          </w:divBdr>
        </w:div>
        <w:div w:id="235172964">
          <w:marLeft w:val="640"/>
          <w:marRight w:val="0"/>
          <w:marTop w:val="0"/>
          <w:marBottom w:val="0"/>
          <w:divBdr>
            <w:top w:val="none" w:sz="0" w:space="0" w:color="auto"/>
            <w:left w:val="none" w:sz="0" w:space="0" w:color="auto"/>
            <w:bottom w:val="none" w:sz="0" w:space="0" w:color="auto"/>
            <w:right w:val="none" w:sz="0" w:space="0" w:color="auto"/>
          </w:divBdr>
        </w:div>
        <w:div w:id="1248999264">
          <w:marLeft w:val="640"/>
          <w:marRight w:val="0"/>
          <w:marTop w:val="0"/>
          <w:marBottom w:val="0"/>
          <w:divBdr>
            <w:top w:val="none" w:sz="0" w:space="0" w:color="auto"/>
            <w:left w:val="none" w:sz="0" w:space="0" w:color="auto"/>
            <w:bottom w:val="none" w:sz="0" w:space="0" w:color="auto"/>
            <w:right w:val="none" w:sz="0" w:space="0" w:color="auto"/>
          </w:divBdr>
        </w:div>
        <w:div w:id="1892692479">
          <w:marLeft w:val="640"/>
          <w:marRight w:val="0"/>
          <w:marTop w:val="0"/>
          <w:marBottom w:val="0"/>
          <w:divBdr>
            <w:top w:val="none" w:sz="0" w:space="0" w:color="auto"/>
            <w:left w:val="none" w:sz="0" w:space="0" w:color="auto"/>
            <w:bottom w:val="none" w:sz="0" w:space="0" w:color="auto"/>
            <w:right w:val="none" w:sz="0" w:space="0" w:color="auto"/>
          </w:divBdr>
        </w:div>
        <w:div w:id="488131162">
          <w:marLeft w:val="640"/>
          <w:marRight w:val="0"/>
          <w:marTop w:val="0"/>
          <w:marBottom w:val="0"/>
          <w:divBdr>
            <w:top w:val="none" w:sz="0" w:space="0" w:color="auto"/>
            <w:left w:val="none" w:sz="0" w:space="0" w:color="auto"/>
            <w:bottom w:val="none" w:sz="0" w:space="0" w:color="auto"/>
            <w:right w:val="none" w:sz="0" w:space="0" w:color="auto"/>
          </w:divBdr>
        </w:div>
        <w:div w:id="2015380163">
          <w:marLeft w:val="640"/>
          <w:marRight w:val="0"/>
          <w:marTop w:val="0"/>
          <w:marBottom w:val="0"/>
          <w:divBdr>
            <w:top w:val="none" w:sz="0" w:space="0" w:color="auto"/>
            <w:left w:val="none" w:sz="0" w:space="0" w:color="auto"/>
            <w:bottom w:val="none" w:sz="0" w:space="0" w:color="auto"/>
            <w:right w:val="none" w:sz="0" w:space="0" w:color="auto"/>
          </w:divBdr>
        </w:div>
        <w:div w:id="1524051384">
          <w:marLeft w:val="640"/>
          <w:marRight w:val="0"/>
          <w:marTop w:val="0"/>
          <w:marBottom w:val="0"/>
          <w:divBdr>
            <w:top w:val="none" w:sz="0" w:space="0" w:color="auto"/>
            <w:left w:val="none" w:sz="0" w:space="0" w:color="auto"/>
            <w:bottom w:val="none" w:sz="0" w:space="0" w:color="auto"/>
            <w:right w:val="none" w:sz="0" w:space="0" w:color="auto"/>
          </w:divBdr>
        </w:div>
        <w:div w:id="188683956">
          <w:marLeft w:val="640"/>
          <w:marRight w:val="0"/>
          <w:marTop w:val="0"/>
          <w:marBottom w:val="0"/>
          <w:divBdr>
            <w:top w:val="none" w:sz="0" w:space="0" w:color="auto"/>
            <w:left w:val="none" w:sz="0" w:space="0" w:color="auto"/>
            <w:bottom w:val="none" w:sz="0" w:space="0" w:color="auto"/>
            <w:right w:val="none" w:sz="0" w:space="0" w:color="auto"/>
          </w:divBdr>
        </w:div>
        <w:div w:id="357439725">
          <w:marLeft w:val="640"/>
          <w:marRight w:val="0"/>
          <w:marTop w:val="0"/>
          <w:marBottom w:val="0"/>
          <w:divBdr>
            <w:top w:val="none" w:sz="0" w:space="0" w:color="auto"/>
            <w:left w:val="none" w:sz="0" w:space="0" w:color="auto"/>
            <w:bottom w:val="none" w:sz="0" w:space="0" w:color="auto"/>
            <w:right w:val="none" w:sz="0" w:space="0" w:color="auto"/>
          </w:divBdr>
        </w:div>
        <w:div w:id="1432775719">
          <w:marLeft w:val="640"/>
          <w:marRight w:val="0"/>
          <w:marTop w:val="0"/>
          <w:marBottom w:val="0"/>
          <w:divBdr>
            <w:top w:val="none" w:sz="0" w:space="0" w:color="auto"/>
            <w:left w:val="none" w:sz="0" w:space="0" w:color="auto"/>
            <w:bottom w:val="none" w:sz="0" w:space="0" w:color="auto"/>
            <w:right w:val="none" w:sz="0" w:space="0" w:color="auto"/>
          </w:divBdr>
        </w:div>
        <w:div w:id="1018698184">
          <w:marLeft w:val="640"/>
          <w:marRight w:val="0"/>
          <w:marTop w:val="0"/>
          <w:marBottom w:val="0"/>
          <w:divBdr>
            <w:top w:val="none" w:sz="0" w:space="0" w:color="auto"/>
            <w:left w:val="none" w:sz="0" w:space="0" w:color="auto"/>
            <w:bottom w:val="none" w:sz="0" w:space="0" w:color="auto"/>
            <w:right w:val="none" w:sz="0" w:space="0" w:color="auto"/>
          </w:divBdr>
        </w:div>
        <w:div w:id="772240282">
          <w:marLeft w:val="640"/>
          <w:marRight w:val="0"/>
          <w:marTop w:val="0"/>
          <w:marBottom w:val="0"/>
          <w:divBdr>
            <w:top w:val="none" w:sz="0" w:space="0" w:color="auto"/>
            <w:left w:val="none" w:sz="0" w:space="0" w:color="auto"/>
            <w:bottom w:val="none" w:sz="0" w:space="0" w:color="auto"/>
            <w:right w:val="none" w:sz="0" w:space="0" w:color="auto"/>
          </w:divBdr>
        </w:div>
        <w:div w:id="1942300937">
          <w:marLeft w:val="640"/>
          <w:marRight w:val="0"/>
          <w:marTop w:val="0"/>
          <w:marBottom w:val="0"/>
          <w:divBdr>
            <w:top w:val="none" w:sz="0" w:space="0" w:color="auto"/>
            <w:left w:val="none" w:sz="0" w:space="0" w:color="auto"/>
            <w:bottom w:val="none" w:sz="0" w:space="0" w:color="auto"/>
            <w:right w:val="none" w:sz="0" w:space="0" w:color="auto"/>
          </w:divBdr>
        </w:div>
        <w:div w:id="1087926767">
          <w:marLeft w:val="640"/>
          <w:marRight w:val="0"/>
          <w:marTop w:val="0"/>
          <w:marBottom w:val="0"/>
          <w:divBdr>
            <w:top w:val="none" w:sz="0" w:space="0" w:color="auto"/>
            <w:left w:val="none" w:sz="0" w:space="0" w:color="auto"/>
            <w:bottom w:val="none" w:sz="0" w:space="0" w:color="auto"/>
            <w:right w:val="none" w:sz="0" w:space="0" w:color="auto"/>
          </w:divBdr>
        </w:div>
        <w:div w:id="306056498">
          <w:marLeft w:val="640"/>
          <w:marRight w:val="0"/>
          <w:marTop w:val="0"/>
          <w:marBottom w:val="0"/>
          <w:divBdr>
            <w:top w:val="none" w:sz="0" w:space="0" w:color="auto"/>
            <w:left w:val="none" w:sz="0" w:space="0" w:color="auto"/>
            <w:bottom w:val="none" w:sz="0" w:space="0" w:color="auto"/>
            <w:right w:val="none" w:sz="0" w:space="0" w:color="auto"/>
          </w:divBdr>
        </w:div>
        <w:div w:id="1325819259">
          <w:marLeft w:val="640"/>
          <w:marRight w:val="0"/>
          <w:marTop w:val="0"/>
          <w:marBottom w:val="0"/>
          <w:divBdr>
            <w:top w:val="none" w:sz="0" w:space="0" w:color="auto"/>
            <w:left w:val="none" w:sz="0" w:space="0" w:color="auto"/>
            <w:bottom w:val="none" w:sz="0" w:space="0" w:color="auto"/>
            <w:right w:val="none" w:sz="0" w:space="0" w:color="auto"/>
          </w:divBdr>
        </w:div>
        <w:div w:id="927617070">
          <w:marLeft w:val="640"/>
          <w:marRight w:val="0"/>
          <w:marTop w:val="0"/>
          <w:marBottom w:val="0"/>
          <w:divBdr>
            <w:top w:val="none" w:sz="0" w:space="0" w:color="auto"/>
            <w:left w:val="none" w:sz="0" w:space="0" w:color="auto"/>
            <w:bottom w:val="none" w:sz="0" w:space="0" w:color="auto"/>
            <w:right w:val="none" w:sz="0" w:space="0" w:color="auto"/>
          </w:divBdr>
        </w:div>
        <w:div w:id="573315986">
          <w:marLeft w:val="640"/>
          <w:marRight w:val="0"/>
          <w:marTop w:val="0"/>
          <w:marBottom w:val="0"/>
          <w:divBdr>
            <w:top w:val="none" w:sz="0" w:space="0" w:color="auto"/>
            <w:left w:val="none" w:sz="0" w:space="0" w:color="auto"/>
            <w:bottom w:val="none" w:sz="0" w:space="0" w:color="auto"/>
            <w:right w:val="none" w:sz="0" w:space="0" w:color="auto"/>
          </w:divBdr>
        </w:div>
        <w:div w:id="756556095">
          <w:marLeft w:val="640"/>
          <w:marRight w:val="0"/>
          <w:marTop w:val="0"/>
          <w:marBottom w:val="0"/>
          <w:divBdr>
            <w:top w:val="none" w:sz="0" w:space="0" w:color="auto"/>
            <w:left w:val="none" w:sz="0" w:space="0" w:color="auto"/>
            <w:bottom w:val="none" w:sz="0" w:space="0" w:color="auto"/>
            <w:right w:val="none" w:sz="0" w:space="0" w:color="auto"/>
          </w:divBdr>
        </w:div>
        <w:div w:id="300960354">
          <w:marLeft w:val="640"/>
          <w:marRight w:val="0"/>
          <w:marTop w:val="0"/>
          <w:marBottom w:val="0"/>
          <w:divBdr>
            <w:top w:val="none" w:sz="0" w:space="0" w:color="auto"/>
            <w:left w:val="none" w:sz="0" w:space="0" w:color="auto"/>
            <w:bottom w:val="none" w:sz="0" w:space="0" w:color="auto"/>
            <w:right w:val="none" w:sz="0" w:space="0" w:color="auto"/>
          </w:divBdr>
        </w:div>
        <w:div w:id="616067103">
          <w:marLeft w:val="640"/>
          <w:marRight w:val="0"/>
          <w:marTop w:val="0"/>
          <w:marBottom w:val="0"/>
          <w:divBdr>
            <w:top w:val="none" w:sz="0" w:space="0" w:color="auto"/>
            <w:left w:val="none" w:sz="0" w:space="0" w:color="auto"/>
            <w:bottom w:val="none" w:sz="0" w:space="0" w:color="auto"/>
            <w:right w:val="none" w:sz="0" w:space="0" w:color="auto"/>
          </w:divBdr>
        </w:div>
        <w:div w:id="1983728128">
          <w:marLeft w:val="640"/>
          <w:marRight w:val="0"/>
          <w:marTop w:val="0"/>
          <w:marBottom w:val="0"/>
          <w:divBdr>
            <w:top w:val="none" w:sz="0" w:space="0" w:color="auto"/>
            <w:left w:val="none" w:sz="0" w:space="0" w:color="auto"/>
            <w:bottom w:val="none" w:sz="0" w:space="0" w:color="auto"/>
            <w:right w:val="none" w:sz="0" w:space="0" w:color="auto"/>
          </w:divBdr>
        </w:div>
        <w:div w:id="39281405">
          <w:marLeft w:val="640"/>
          <w:marRight w:val="0"/>
          <w:marTop w:val="0"/>
          <w:marBottom w:val="0"/>
          <w:divBdr>
            <w:top w:val="none" w:sz="0" w:space="0" w:color="auto"/>
            <w:left w:val="none" w:sz="0" w:space="0" w:color="auto"/>
            <w:bottom w:val="none" w:sz="0" w:space="0" w:color="auto"/>
            <w:right w:val="none" w:sz="0" w:space="0" w:color="auto"/>
          </w:divBdr>
        </w:div>
        <w:div w:id="468133020">
          <w:marLeft w:val="640"/>
          <w:marRight w:val="0"/>
          <w:marTop w:val="0"/>
          <w:marBottom w:val="0"/>
          <w:divBdr>
            <w:top w:val="none" w:sz="0" w:space="0" w:color="auto"/>
            <w:left w:val="none" w:sz="0" w:space="0" w:color="auto"/>
            <w:bottom w:val="none" w:sz="0" w:space="0" w:color="auto"/>
            <w:right w:val="none" w:sz="0" w:space="0" w:color="auto"/>
          </w:divBdr>
        </w:div>
        <w:div w:id="340013745">
          <w:marLeft w:val="640"/>
          <w:marRight w:val="0"/>
          <w:marTop w:val="0"/>
          <w:marBottom w:val="0"/>
          <w:divBdr>
            <w:top w:val="none" w:sz="0" w:space="0" w:color="auto"/>
            <w:left w:val="none" w:sz="0" w:space="0" w:color="auto"/>
            <w:bottom w:val="none" w:sz="0" w:space="0" w:color="auto"/>
            <w:right w:val="none" w:sz="0" w:space="0" w:color="auto"/>
          </w:divBdr>
        </w:div>
        <w:div w:id="1156992245">
          <w:marLeft w:val="640"/>
          <w:marRight w:val="0"/>
          <w:marTop w:val="0"/>
          <w:marBottom w:val="0"/>
          <w:divBdr>
            <w:top w:val="none" w:sz="0" w:space="0" w:color="auto"/>
            <w:left w:val="none" w:sz="0" w:space="0" w:color="auto"/>
            <w:bottom w:val="none" w:sz="0" w:space="0" w:color="auto"/>
            <w:right w:val="none" w:sz="0" w:space="0" w:color="auto"/>
          </w:divBdr>
        </w:div>
        <w:div w:id="1686905711">
          <w:marLeft w:val="640"/>
          <w:marRight w:val="0"/>
          <w:marTop w:val="0"/>
          <w:marBottom w:val="0"/>
          <w:divBdr>
            <w:top w:val="none" w:sz="0" w:space="0" w:color="auto"/>
            <w:left w:val="none" w:sz="0" w:space="0" w:color="auto"/>
            <w:bottom w:val="none" w:sz="0" w:space="0" w:color="auto"/>
            <w:right w:val="none" w:sz="0" w:space="0" w:color="auto"/>
          </w:divBdr>
        </w:div>
        <w:div w:id="1773813670">
          <w:marLeft w:val="640"/>
          <w:marRight w:val="0"/>
          <w:marTop w:val="0"/>
          <w:marBottom w:val="0"/>
          <w:divBdr>
            <w:top w:val="none" w:sz="0" w:space="0" w:color="auto"/>
            <w:left w:val="none" w:sz="0" w:space="0" w:color="auto"/>
            <w:bottom w:val="none" w:sz="0" w:space="0" w:color="auto"/>
            <w:right w:val="none" w:sz="0" w:space="0" w:color="auto"/>
          </w:divBdr>
        </w:div>
        <w:div w:id="1332103909">
          <w:marLeft w:val="640"/>
          <w:marRight w:val="0"/>
          <w:marTop w:val="0"/>
          <w:marBottom w:val="0"/>
          <w:divBdr>
            <w:top w:val="none" w:sz="0" w:space="0" w:color="auto"/>
            <w:left w:val="none" w:sz="0" w:space="0" w:color="auto"/>
            <w:bottom w:val="none" w:sz="0" w:space="0" w:color="auto"/>
            <w:right w:val="none" w:sz="0" w:space="0" w:color="auto"/>
          </w:divBdr>
        </w:div>
        <w:div w:id="1469590312">
          <w:marLeft w:val="640"/>
          <w:marRight w:val="0"/>
          <w:marTop w:val="0"/>
          <w:marBottom w:val="0"/>
          <w:divBdr>
            <w:top w:val="none" w:sz="0" w:space="0" w:color="auto"/>
            <w:left w:val="none" w:sz="0" w:space="0" w:color="auto"/>
            <w:bottom w:val="none" w:sz="0" w:space="0" w:color="auto"/>
            <w:right w:val="none" w:sz="0" w:space="0" w:color="auto"/>
          </w:divBdr>
        </w:div>
        <w:div w:id="557127822">
          <w:marLeft w:val="640"/>
          <w:marRight w:val="0"/>
          <w:marTop w:val="0"/>
          <w:marBottom w:val="0"/>
          <w:divBdr>
            <w:top w:val="none" w:sz="0" w:space="0" w:color="auto"/>
            <w:left w:val="none" w:sz="0" w:space="0" w:color="auto"/>
            <w:bottom w:val="none" w:sz="0" w:space="0" w:color="auto"/>
            <w:right w:val="none" w:sz="0" w:space="0" w:color="auto"/>
          </w:divBdr>
        </w:div>
        <w:div w:id="387530291">
          <w:marLeft w:val="640"/>
          <w:marRight w:val="0"/>
          <w:marTop w:val="0"/>
          <w:marBottom w:val="0"/>
          <w:divBdr>
            <w:top w:val="none" w:sz="0" w:space="0" w:color="auto"/>
            <w:left w:val="none" w:sz="0" w:space="0" w:color="auto"/>
            <w:bottom w:val="none" w:sz="0" w:space="0" w:color="auto"/>
            <w:right w:val="none" w:sz="0" w:space="0" w:color="auto"/>
          </w:divBdr>
        </w:div>
        <w:div w:id="1380713065">
          <w:marLeft w:val="640"/>
          <w:marRight w:val="0"/>
          <w:marTop w:val="0"/>
          <w:marBottom w:val="0"/>
          <w:divBdr>
            <w:top w:val="none" w:sz="0" w:space="0" w:color="auto"/>
            <w:left w:val="none" w:sz="0" w:space="0" w:color="auto"/>
            <w:bottom w:val="none" w:sz="0" w:space="0" w:color="auto"/>
            <w:right w:val="none" w:sz="0" w:space="0" w:color="auto"/>
          </w:divBdr>
        </w:div>
        <w:div w:id="1984767943">
          <w:marLeft w:val="640"/>
          <w:marRight w:val="0"/>
          <w:marTop w:val="0"/>
          <w:marBottom w:val="0"/>
          <w:divBdr>
            <w:top w:val="none" w:sz="0" w:space="0" w:color="auto"/>
            <w:left w:val="none" w:sz="0" w:space="0" w:color="auto"/>
            <w:bottom w:val="none" w:sz="0" w:space="0" w:color="auto"/>
            <w:right w:val="none" w:sz="0" w:space="0" w:color="auto"/>
          </w:divBdr>
        </w:div>
        <w:div w:id="2113157902">
          <w:marLeft w:val="640"/>
          <w:marRight w:val="0"/>
          <w:marTop w:val="0"/>
          <w:marBottom w:val="0"/>
          <w:divBdr>
            <w:top w:val="none" w:sz="0" w:space="0" w:color="auto"/>
            <w:left w:val="none" w:sz="0" w:space="0" w:color="auto"/>
            <w:bottom w:val="none" w:sz="0" w:space="0" w:color="auto"/>
            <w:right w:val="none" w:sz="0" w:space="0" w:color="auto"/>
          </w:divBdr>
        </w:div>
        <w:div w:id="564530596">
          <w:marLeft w:val="640"/>
          <w:marRight w:val="0"/>
          <w:marTop w:val="0"/>
          <w:marBottom w:val="0"/>
          <w:divBdr>
            <w:top w:val="none" w:sz="0" w:space="0" w:color="auto"/>
            <w:left w:val="none" w:sz="0" w:space="0" w:color="auto"/>
            <w:bottom w:val="none" w:sz="0" w:space="0" w:color="auto"/>
            <w:right w:val="none" w:sz="0" w:space="0" w:color="auto"/>
          </w:divBdr>
        </w:div>
        <w:div w:id="1261992581">
          <w:marLeft w:val="640"/>
          <w:marRight w:val="0"/>
          <w:marTop w:val="0"/>
          <w:marBottom w:val="0"/>
          <w:divBdr>
            <w:top w:val="none" w:sz="0" w:space="0" w:color="auto"/>
            <w:left w:val="none" w:sz="0" w:space="0" w:color="auto"/>
            <w:bottom w:val="none" w:sz="0" w:space="0" w:color="auto"/>
            <w:right w:val="none" w:sz="0" w:space="0" w:color="auto"/>
          </w:divBdr>
        </w:div>
        <w:div w:id="2061661038">
          <w:marLeft w:val="640"/>
          <w:marRight w:val="0"/>
          <w:marTop w:val="0"/>
          <w:marBottom w:val="0"/>
          <w:divBdr>
            <w:top w:val="none" w:sz="0" w:space="0" w:color="auto"/>
            <w:left w:val="none" w:sz="0" w:space="0" w:color="auto"/>
            <w:bottom w:val="none" w:sz="0" w:space="0" w:color="auto"/>
            <w:right w:val="none" w:sz="0" w:space="0" w:color="auto"/>
          </w:divBdr>
        </w:div>
        <w:div w:id="1558467941">
          <w:marLeft w:val="640"/>
          <w:marRight w:val="0"/>
          <w:marTop w:val="0"/>
          <w:marBottom w:val="0"/>
          <w:divBdr>
            <w:top w:val="none" w:sz="0" w:space="0" w:color="auto"/>
            <w:left w:val="none" w:sz="0" w:space="0" w:color="auto"/>
            <w:bottom w:val="none" w:sz="0" w:space="0" w:color="auto"/>
            <w:right w:val="none" w:sz="0" w:space="0" w:color="auto"/>
          </w:divBdr>
        </w:div>
        <w:div w:id="435910290">
          <w:marLeft w:val="640"/>
          <w:marRight w:val="0"/>
          <w:marTop w:val="0"/>
          <w:marBottom w:val="0"/>
          <w:divBdr>
            <w:top w:val="none" w:sz="0" w:space="0" w:color="auto"/>
            <w:left w:val="none" w:sz="0" w:space="0" w:color="auto"/>
            <w:bottom w:val="none" w:sz="0" w:space="0" w:color="auto"/>
            <w:right w:val="none" w:sz="0" w:space="0" w:color="auto"/>
          </w:divBdr>
        </w:div>
        <w:div w:id="1747220482">
          <w:marLeft w:val="640"/>
          <w:marRight w:val="0"/>
          <w:marTop w:val="0"/>
          <w:marBottom w:val="0"/>
          <w:divBdr>
            <w:top w:val="none" w:sz="0" w:space="0" w:color="auto"/>
            <w:left w:val="none" w:sz="0" w:space="0" w:color="auto"/>
            <w:bottom w:val="none" w:sz="0" w:space="0" w:color="auto"/>
            <w:right w:val="none" w:sz="0" w:space="0" w:color="auto"/>
          </w:divBdr>
        </w:div>
        <w:div w:id="272058774">
          <w:marLeft w:val="640"/>
          <w:marRight w:val="0"/>
          <w:marTop w:val="0"/>
          <w:marBottom w:val="0"/>
          <w:divBdr>
            <w:top w:val="none" w:sz="0" w:space="0" w:color="auto"/>
            <w:left w:val="none" w:sz="0" w:space="0" w:color="auto"/>
            <w:bottom w:val="none" w:sz="0" w:space="0" w:color="auto"/>
            <w:right w:val="none" w:sz="0" w:space="0" w:color="auto"/>
          </w:divBdr>
        </w:div>
        <w:div w:id="629016507">
          <w:marLeft w:val="640"/>
          <w:marRight w:val="0"/>
          <w:marTop w:val="0"/>
          <w:marBottom w:val="0"/>
          <w:divBdr>
            <w:top w:val="none" w:sz="0" w:space="0" w:color="auto"/>
            <w:left w:val="none" w:sz="0" w:space="0" w:color="auto"/>
            <w:bottom w:val="none" w:sz="0" w:space="0" w:color="auto"/>
            <w:right w:val="none" w:sz="0" w:space="0" w:color="auto"/>
          </w:divBdr>
        </w:div>
        <w:div w:id="163588537">
          <w:marLeft w:val="640"/>
          <w:marRight w:val="0"/>
          <w:marTop w:val="0"/>
          <w:marBottom w:val="0"/>
          <w:divBdr>
            <w:top w:val="none" w:sz="0" w:space="0" w:color="auto"/>
            <w:left w:val="none" w:sz="0" w:space="0" w:color="auto"/>
            <w:bottom w:val="none" w:sz="0" w:space="0" w:color="auto"/>
            <w:right w:val="none" w:sz="0" w:space="0" w:color="auto"/>
          </w:divBdr>
        </w:div>
        <w:div w:id="596602275">
          <w:marLeft w:val="640"/>
          <w:marRight w:val="0"/>
          <w:marTop w:val="0"/>
          <w:marBottom w:val="0"/>
          <w:divBdr>
            <w:top w:val="none" w:sz="0" w:space="0" w:color="auto"/>
            <w:left w:val="none" w:sz="0" w:space="0" w:color="auto"/>
            <w:bottom w:val="none" w:sz="0" w:space="0" w:color="auto"/>
            <w:right w:val="none" w:sz="0" w:space="0" w:color="auto"/>
          </w:divBdr>
        </w:div>
        <w:div w:id="936867379">
          <w:marLeft w:val="640"/>
          <w:marRight w:val="0"/>
          <w:marTop w:val="0"/>
          <w:marBottom w:val="0"/>
          <w:divBdr>
            <w:top w:val="none" w:sz="0" w:space="0" w:color="auto"/>
            <w:left w:val="none" w:sz="0" w:space="0" w:color="auto"/>
            <w:bottom w:val="none" w:sz="0" w:space="0" w:color="auto"/>
            <w:right w:val="none" w:sz="0" w:space="0" w:color="auto"/>
          </w:divBdr>
        </w:div>
        <w:div w:id="598761084">
          <w:marLeft w:val="640"/>
          <w:marRight w:val="0"/>
          <w:marTop w:val="0"/>
          <w:marBottom w:val="0"/>
          <w:divBdr>
            <w:top w:val="none" w:sz="0" w:space="0" w:color="auto"/>
            <w:left w:val="none" w:sz="0" w:space="0" w:color="auto"/>
            <w:bottom w:val="none" w:sz="0" w:space="0" w:color="auto"/>
            <w:right w:val="none" w:sz="0" w:space="0" w:color="auto"/>
          </w:divBdr>
        </w:div>
        <w:div w:id="1302803663">
          <w:marLeft w:val="640"/>
          <w:marRight w:val="0"/>
          <w:marTop w:val="0"/>
          <w:marBottom w:val="0"/>
          <w:divBdr>
            <w:top w:val="none" w:sz="0" w:space="0" w:color="auto"/>
            <w:left w:val="none" w:sz="0" w:space="0" w:color="auto"/>
            <w:bottom w:val="none" w:sz="0" w:space="0" w:color="auto"/>
            <w:right w:val="none" w:sz="0" w:space="0" w:color="auto"/>
          </w:divBdr>
        </w:div>
        <w:div w:id="178085162">
          <w:marLeft w:val="640"/>
          <w:marRight w:val="0"/>
          <w:marTop w:val="0"/>
          <w:marBottom w:val="0"/>
          <w:divBdr>
            <w:top w:val="none" w:sz="0" w:space="0" w:color="auto"/>
            <w:left w:val="none" w:sz="0" w:space="0" w:color="auto"/>
            <w:bottom w:val="none" w:sz="0" w:space="0" w:color="auto"/>
            <w:right w:val="none" w:sz="0" w:space="0" w:color="auto"/>
          </w:divBdr>
        </w:div>
        <w:div w:id="1252592049">
          <w:marLeft w:val="640"/>
          <w:marRight w:val="0"/>
          <w:marTop w:val="0"/>
          <w:marBottom w:val="0"/>
          <w:divBdr>
            <w:top w:val="none" w:sz="0" w:space="0" w:color="auto"/>
            <w:left w:val="none" w:sz="0" w:space="0" w:color="auto"/>
            <w:bottom w:val="none" w:sz="0" w:space="0" w:color="auto"/>
            <w:right w:val="none" w:sz="0" w:space="0" w:color="auto"/>
          </w:divBdr>
        </w:div>
        <w:div w:id="1230074318">
          <w:marLeft w:val="640"/>
          <w:marRight w:val="0"/>
          <w:marTop w:val="0"/>
          <w:marBottom w:val="0"/>
          <w:divBdr>
            <w:top w:val="none" w:sz="0" w:space="0" w:color="auto"/>
            <w:left w:val="none" w:sz="0" w:space="0" w:color="auto"/>
            <w:bottom w:val="none" w:sz="0" w:space="0" w:color="auto"/>
            <w:right w:val="none" w:sz="0" w:space="0" w:color="auto"/>
          </w:divBdr>
        </w:div>
        <w:div w:id="261452335">
          <w:marLeft w:val="640"/>
          <w:marRight w:val="0"/>
          <w:marTop w:val="0"/>
          <w:marBottom w:val="0"/>
          <w:divBdr>
            <w:top w:val="none" w:sz="0" w:space="0" w:color="auto"/>
            <w:left w:val="none" w:sz="0" w:space="0" w:color="auto"/>
            <w:bottom w:val="none" w:sz="0" w:space="0" w:color="auto"/>
            <w:right w:val="none" w:sz="0" w:space="0" w:color="auto"/>
          </w:divBdr>
        </w:div>
        <w:div w:id="240213928">
          <w:marLeft w:val="640"/>
          <w:marRight w:val="0"/>
          <w:marTop w:val="0"/>
          <w:marBottom w:val="0"/>
          <w:divBdr>
            <w:top w:val="none" w:sz="0" w:space="0" w:color="auto"/>
            <w:left w:val="none" w:sz="0" w:space="0" w:color="auto"/>
            <w:bottom w:val="none" w:sz="0" w:space="0" w:color="auto"/>
            <w:right w:val="none" w:sz="0" w:space="0" w:color="auto"/>
          </w:divBdr>
        </w:div>
        <w:div w:id="1176774930">
          <w:marLeft w:val="640"/>
          <w:marRight w:val="0"/>
          <w:marTop w:val="0"/>
          <w:marBottom w:val="0"/>
          <w:divBdr>
            <w:top w:val="none" w:sz="0" w:space="0" w:color="auto"/>
            <w:left w:val="none" w:sz="0" w:space="0" w:color="auto"/>
            <w:bottom w:val="none" w:sz="0" w:space="0" w:color="auto"/>
            <w:right w:val="none" w:sz="0" w:space="0" w:color="auto"/>
          </w:divBdr>
        </w:div>
        <w:div w:id="507722426">
          <w:marLeft w:val="640"/>
          <w:marRight w:val="0"/>
          <w:marTop w:val="0"/>
          <w:marBottom w:val="0"/>
          <w:divBdr>
            <w:top w:val="none" w:sz="0" w:space="0" w:color="auto"/>
            <w:left w:val="none" w:sz="0" w:space="0" w:color="auto"/>
            <w:bottom w:val="none" w:sz="0" w:space="0" w:color="auto"/>
            <w:right w:val="none" w:sz="0" w:space="0" w:color="auto"/>
          </w:divBdr>
        </w:div>
        <w:div w:id="493490176">
          <w:marLeft w:val="640"/>
          <w:marRight w:val="0"/>
          <w:marTop w:val="0"/>
          <w:marBottom w:val="0"/>
          <w:divBdr>
            <w:top w:val="none" w:sz="0" w:space="0" w:color="auto"/>
            <w:left w:val="none" w:sz="0" w:space="0" w:color="auto"/>
            <w:bottom w:val="none" w:sz="0" w:space="0" w:color="auto"/>
            <w:right w:val="none" w:sz="0" w:space="0" w:color="auto"/>
          </w:divBdr>
        </w:div>
        <w:div w:id="1641032654">
          <w:marLeft w:val="640"/>
          <w:marRight w:val="0"/>
          <w:marTop w:val="0"/>
          <w:marBottom w:val="0"/>
          <w:divBdr>
            <w:top w:val="none" w:sz="0" w:space="0" w:color="auto"/>
            <w:left w:val="none" w:sz="0" w:space="0" w:color="auto"/>
            <w:bottom w:val="none" w:sz="0" w:space="0" w:color="auto"/>
            <w:right w:val="none" w:sz="0" w:space="0" w:color="auto"/>
          </w:divBdr>
        </w:div>
        <w:div w:id="519515638">
          <w:marLeft w:val="640"/>
          <w:marRight w:val="0"/>
          <w:marTop w:val="0"/>
          <w:marBottom w:val="0"/>
          <w:divBdr>
            <w:top w:val="none" w:sz="0" w:space="0" w:color="auto"/>
            <w:left w:val="none" w:sz="0" w:space="0" w:color="auto"/>
            <w:bottom w:val="none" w:sz="0" w:space="0" w:color="auto"/>
            <w:right w:val="none" w:sz="0" w:space="0" w:color="auto"/>
          </w:divBdr>
        </w:div>
        <w:div w:id="1518078190">
          <w:marLeft w:val="640"/>
          <w:marRight w:val="0"/>
          <w:marTop w:val="0"/>
          <w:marBottom w:val="0"/>
          <w:divBdr>
            <w:top w:val="none" w:sz="0" w:space="0" w:color="auto"/>
            <w:left w:val="none" w:sz="0" w:space="0" w:color="auto"/>
            <w:bottom w:val="none" w:sz="0" w:space="0" w:color="auto"/>
            <w:right w:val="none" w:sz="0" w:space="0" w:color="auto"/>
          </w:divBdr>
        </w:div>
        <w:div w:id="574128079">
          <w:marLeft w:val="640"/>
          <w:marRight w:val="0"/>
          <w:marTop w:val="0"/>
          <w:marBottom w:val="0"/>
          <w:divBdr>
            <w:top w:val="none" w:sz="0" w:space="0" w:color="auto"/>
            <w:left w:val="none" w:sz="0" w:space="0" w:color="auto"/>
            <w:bottom w:val="none" w:sz="0" w:space="0" w:color="auto"/>
            <w:right w:val="none" w:sz="0" w:space="0" w:color="auto"/>
          </w:divBdr>
        </w:div>
        <w:div w:id="1361203783">
          <w:marLeft w:val="640"/>
          <w:marRight w:val="0"/>
          <w:marTop w:val="0"/>
          <w:marBottom w:val="0"/>
          <w:divBdr>
            <w:top w:val="none" w:sz="0" w:space="0" w:color="auto"/>
            <w:left w:val="none" w:sz="0" w:space="0" w:color="auto"/>
            <w:bottom w:val="none" w:sz="0" w:space="0" w:color="auto"/>
            <w:right w:val="none" w:sz="0" w:space="0" w:color="auto"/>
          </w:divBdr>
        </w:div>
        <w:div w:id="506556816">
          <w:marLeft w:val="640"/>
          <w:marRight w:val="0"/>
          <w:marTop w:val="0"/>
          <w:marBottom w:val="0"/>
          <w:divBdr>
            <w:top w:val="none" w:sz="0" w:space="0" w:color="auto"/>
            <w:left w:val="none" w:sz="0" w:space="0" w:color="auto"/>
            <w:bottom w:val="none" w:sz="0" w:space="0" w:color="auto"/>
            <w:right w:val="none" w:sz="0" w:space="0" w:color="auto"/>
          </w:divBdr>
        </w:div>
        <w:div w:id="1052388149">
          <w:marLeft w:val="640"/>
          <w:marRight w:val="0"/>
          <w:marTop w:val="0"/>
          <w:marBottom w:val="0"/>
          <w:divBdr>
            <w:top w:val="none" w:sz="0" w:space="0" w:color="auto"/>
            <w:left w:val="none" w:sz="0" w:space="0" w:color="auto"/>
            <w:bottom w:val="none" w:sz="0" w:space="0" w:color="auto"/>
            <w:right w:val="none" w:sz="0" w:space="0" w:color="auto"/>
          </w:divBdr>
        </w:div>
        <w:div w:id="304822998">
          <w:marLeft w:val="640"/>
          <w:marRight w:val="0"/>
          <w:marTop w:val="0"/>
          <w:marBottom w:val="0"/>
          <w:divBdr>
            <w:top w:val="none" w:sz="0" w:space="0" w:color="auto"/>
            <w:left w:val="none" w:sz="0" w:space="0" w:color="auto"/>
            <w:bottom w:val="none" w:sz="0" w:space="0" w:color="auto"/>
            <w:right w:val="none" w:sz="0" w:space="0" w:color="auto"/>
          </w:divBdr>
        </w:div>
        <w:div w:id="1304852124">
          <w:marLeft w:val="640"/>
          <w:marRight w:val="0"/>
          <w:marTop w:val="0"/>
          <w:marBottom w:val="0"/>
          <w:divBdr>
            <w:top w:val="none" w:sz="0" w:space="0" w:color="auto"/>
            <w:left w:val="none" w:sz="0" w:space="0" w:color="auto"/>
            <w:bottom w:val="none" w:sz="0" w:space="0" w:color="auto"/>
            <w:right w:val="none" w:sz="0" w:space="0" w:color="auto"/>
          </w:divBdr>
        </w:div>
        <w:div w:id="1722751897">
          <w:marLeft w:val="640"/>
          <w:marRight w:val="0"/>
          <w:marTop w:val="0"/>
          <w:marBottom w:val="0"/>
          <w:divBdr>
            <w:top w:val="none" w:sz="0" w:space="0" w:color="auto"/>
            <w:left w:val="none" w:sz="0" w:space="0" w:color="auto"/>
            <w:bottom w:val="none" w:sz="0" w:space="0" w:color="auto"/>
            <w:right w:val="none" w:sz="0" w:space="0" w:color="auto"/>
          </w:divBdr>
        </w:div>
        <w:div w:id="1034385010">
          <w:marLeft w:val="640"/>
          <w:marRight w:val="0"/>
          <w:marTop w:val="0"/>
          <w:marBottom w:val="0"/>
          <w:divBdr>
            <w:top w:val="none" w:sz="0" w:space="0" w:color="auto"/>
            <w:left w:val="none" w:sz="0" w:space="0" w:color="auto"/>
            <w:bottom w:val="none" w:sz="0" w:space="0" w:color="auto"/>
            <w:right w:val="none" w:sz="0" w:space="0" w:color="auto"/>
          </w:divBdr>
        </w:div>
        <w:div w:id="799540335">
          <w:marLeft w:val="640"/>
          <w:marRight w:val="0"/>
          <w:marTop w:val="0"/>
          <w:marBottom w:val="0"/>
          <w:divBdr>
            <w:top w:val="none" w:sz="0" w:space="0" w:color="auto"/>
            <w:left w:val="none" w:sz="0" w:space="0" w:color="auto"/>
            <w:bottom w:val="none" w:sz="0" w:space="0" w:color="auto"/>
            <w:right w:val="none" w:sz="0" w:space="0" w:color="auto"/>
          </w:divBdr>
        </w:div>
        <w:div w:id="407001057">
          <w:marLeft w:val="640"/>
          <w:marRight w:val="0"/>
          <w:marTop w:val="0"/>
          <w:marBottom w:val="0"/>
          <w:divBdr>
            <w:top w:val="none" w:sz="0" w:space="0" w:color="auto"/>
            <w:left w:val="none" w:sz="0" w:space="0" w:color="auto"/>
            <w:bottom w:val="none" w:sz="0" w:space="0" w:color="auto"/>
            <w:right w:val="none" w:sz="0" w:space="0" w:color="auto"/>
          </w:divBdr>
        </w:div>
        <w:div w:id="2105568626">
          <w:marLeft w:val="640"/>
          <w:marRight w:val="0"/>
          <w:marTop w:val="0"/>
          <w:marBottom w:val="0"/>
          <w:divBdr>
            <w:top w:val="none" w:sz="0" w:space="0" w:color="auto"/>
            <w:left w:val="none" w:sz="0" w:space="0" w:color="auto"/>
            <w:bottom w:val="none" w:sz="0" w:space="0" w:color="auto"/>
            <w:right w:val="none" w:sz="0" w:space="0" w:color="auto"/>
          </w:divBdr>
        </w:div>
        <w:div w:id="1158497377">
          <w:marLeft w:val="640"/>
          <w:marRight w:val="0"/>
          <w:marTop w:val="0"/>
          <w:marBottom w:val="0"/>
          <w:divBdr>
            <w:top w:val="none" w:sz="0" w:space="0" w:color="auto"/>
            <w:left w:val="none" w:sz="0" w:space="0" w:color="auto"/>
            <w:bottom w:val="none" w:sz="0" w:space="0" w:color="auto"/>
            <w:right w:val="none" w:sz="0" w:space="0" w:color="auto"/>
          </w:divBdr>
        </w:div>
        <w:div w:id="1349941482">
          <w:marLeft w:val="640"/>
          <w:marRight w:val="0"/>
          <w:marTop w:val="0"/>
          <w:marBottom w:val="0"/>
          <w:divBdr>
            <w:top w:val="none" w:sz="0" w:space="0" w:color="auto"/>
            <w:left w:val="none" w:sz="0" w:space="0" w:color="auto"/>
            <w:bottom w:val="none" w:sz="0" w:space="0" w:color="auto"/>
            <w:right w:val="none" w:sz="0" w:space="0" w:color="auto"/>
          </w:divBdr>
        </w:div>
        <w:div w:id="1616672506">
          <w:marLeft w:val="640"/>
          <w:marRight w:val="0"/>
          <w:marTop w:val="0"/>
          <w:marBottom w:val="0"/>
          <w:divBdr>
            <w:top w:val="none" w:sz="0" w:space="0" w:color="auto"/>
            <w:left w:val="none" w:sz="0" w:space="0" w:color="auto"/>
            <w:bottom w:val="none" w:sz="0" w:space="0" w:color="auto"/>
            <w:right w:val="none" w:sz="0" w:space="0" w:color="auto"/>
          </w:divBdr>
        </w:div>
        <w:div w:id="295448692">
          <w:marLeft w:val="640"/>
          <w:marRight w:val="0"/>
          <w:marTop w:val="0"/>
          <w:marBottom w:val="0"/>
          <w:divBdr>
            <w:top w:val="none" w:sz="0" w:space="0" w:color="auto"/>
            <w:left w:val="none" w:sz="0" w:space="0" w:color="auto"/>
            <w:bottom w:val="none" w:sz="0" w:space="0" w:color="auto"/>
            <w:right w:val="none" w:sz="0" w:space="0" w:color="auto"/>
          </w:divBdr>
        </w:div>
        <w:div w:id="1812013252">
          <w:marLeft w:val="640"/>
          <w:marRight w:val="0"/>
          <w:marTop w:val="0"/>
          <w:marBottom w:val="0"/>
          <w:divBdr>
            <w:top w:val="none" w:sz="0" w:space="0" w:color="auto"/>
            <w:left w:val="none" w:sz="0" w:space="0" w:color="auto"/>
            <w:bottom w:val="none" w:sz="0" w:space="0" w:color="auto"/>
            <w:right w:val="none" w:sz="0" w:space="0" w:color="auto"/>
          </w:divBdr>
        </w:div>
        <w:div w:id="22170255">
          <w:marLeft w:val="640"/>
          <w:marRight w:val="0"/>
          <w:marTop w:val="0"/>
          <w:marBottom w:val="0"/>
          <w:divBdr>
            <w:top w:val="none" w:sz="0" w:space="0" w:color="auto"/>
            <w:left w:val="none" w:sz="0" w:space="0" w:color="auto"/>
            <w:bottom w:val="none" w:sz="0" w:space="0" w:color="auto"/>
            <w:right w:val="none" w:sz="0" w:space="0" w:color="auto"/>
          </w:divBdr>
        </w:div>
        <w:div w:id="2116049646">
          <w:marLeft w:val="640"/>
          <w:marRight w:val="0"/>
          <w:marTop w:val="0"/>
          <w:marBottom w:val="0"/>
          <w:divBdr>
            <w:top w:val="none" w:sz="0" w:space="0" w:color="auto"/>
            <w:left w:val="none" w:sz="0" w:space="0" w:color="auto"/>
            <w:bottom w:val="none" w:sz="0" w:space="0" w:color="auto"/>
            <w:right w:val="none" w:sz="0" w:space="0" w:color="auto"/>
          </w:divBdr>
        </w:div>
        <w:div w:id="2071687003">
          <w:marLeft w:val="640"/>
          <w:marRight w:val="0"/>
          <w:marTop w:val="0"/>
          <w:marBottom w:val="0"/>
          <w:divBdr>
            <w:top w:val="none" w:sz="0" w:space="0" w:color="auto"/>
            <w:left w:val="none" w:sz="0" w:space="0" w:color="auto"/>
            <w:bottom w:val="none" w:sz="0" w:space="0" w:color="auto"/>
            <w:right w:val="none" w:sz="0" w:space="0" w:color="auto"/>
          </w:divBdr>
        </w:div>
        <w:div w:id="637224026">
          <w:marLeft w:val="640"/>
          <w:marRight w:val="0"/>
          <w:marTop w:val="0"/>
          <w:marBottom w:val="0"/>
          <w:divBdr>
            <w:top w:val="none" w:sz="0" w:space="0" w:color="auto"/>
            <w:left w:val="none" w:sz="0" w:space="0" w:color="auto"/>
            <w:bottom w:val="none" w:sz="0" w:space="0" w:color="auto"/>
            <w:right w:val="none" w:sz="0" w:space="0" w:color="auto"/>
          </w:divBdr>
        </w:div>
        <w:div w:id="1206524562">
          <w:marLeft w:val="640"/>
          <w:marRight w:val="0"/>
          <w:marTop w:val="0"/>
          <w:marBottom w:val="0"/>
          <w:divBdr>
            <w:top w:val="none" w:sz="0" w:space="0" w:color="auto"/>
            <w:left w:val="none" w:sz="0" w:space="0" w:color="auto"/>
            <w:bottom w:val="none" w:sz="0" w:space="0" w:color="auto"/>
            <w:right w:val="none" w:sz="0" w:space="0" w:color="auto"/>
          </w:divBdr>
        </w:div>
        <w:div w:id="1744989606">
          <w:marLeft w:val="640"/>
          <w:marRight w:val="0"/>
          <w:marTop w:val="0"/>
          <w:marBottom w:val="0"/>
          <w:divBdr>
            <w:top w:val="none" w:sz="0" w:space="0" w:color="auto"/>
            <w:left w:val="none" w:sz="0" w:space="0" w:color="auto"/>
            <w:bottom w:val="none" w:sz="0" w:space="0" w:color="auto"/>
            <w:right w:val="none" w:sz="0" w:space="0" w:color="auto"/>
          </w:divBdr>
        </w:div>
        <w:div w:id="714044467">
          <w:marLeft w:val="640"/>
          <w:marRight w:val="0"/>
          <w:marTop w:val="0"/>
          <w:marBottom w:val="0"/>
          <w:divBdr>
            <w:top w:val="none" w:sz="0" w:space="0" w:color="auto"/>
            <w:left w:val="none" w:sz="0" w:space="0" w:color="auto"/>
            <w:bottom w:val="none" w:sz="0" w:space="0" w:color="auto"/>
            <w:right w:val="none" w:sz="0" w:space="0" w:color="auto"/>
          </w:divBdr>
        </w:div>
        <w:div w:id="1881354029">
          <w:marLeft w:val="640"/>
          <w:marRight w:val="0"/>
          <w:marTop w:val="0"/>
          <w:marBottom w:val="0"/>
          <w:divBdr>
            <w:top w:val="none" w:sz="0" w:space="0" w:color="auto"/>
            <w:left w:val="none" w:sz="0" w:space="0" w:color="auto"/>
            <w:bottom w:val="none" w:sz="0" w:space="0" w:color="auto"/>
            <w:right w:val="none" w:sz="0" w:space="0" w:color="auto"/>
          </w:divBdr>
        </w:div>
        <w:div w:id="1484199041">
          <w:marLeft w:val="640"/>
          <w:marRight w:val="0"/>
          <w:marTop w:val="0"/>
          <w:marBottom w:val="0"/>
          <w:divBdr>
            <w:top w:val="none" w:sz="0" w:space="0" w:color="auto"/>
            <w:left w:val="none" w:sz="0" w:space="0" w:color="auto"/>
            <w:bottom w:val="none" w:sz="0" w:space="0" w:color="auto"/>
            <w:right w:val="none" w:sz="0" w:space="0" w:color="auto"/>
          </w:divBdr>
        </w:div>
        <w:div w:id="470287926">
          <w:marLeft w:val="640"/>
          <w:marRight w:val="0"/>
          <w:marTop w:val="0"/>
          <w:marBottom w:val="0"/>
          <w:divBdr>
            <w:top w:val="none" w:sz="0" w:space="0" w:color="auto"/>
            <w:left w:val="none" w:sz="0" w:space="0" w:color="auto"/>
            <w:bottom w:val="none" w:sz="0" w:space="0" w:color="auto"/>
            <w:right w:val="none" w:sz="0" w:space="0" w:color="auto"/>
          </w:divBdr>
        </w:div>
        <w:div w:id="1330213197">
          <w:marLeft w:val="640"/>
          <w:marRight w:val="0"/>
          <w:marTop w:val="0"/>
          <w:marBottom w:val="0"/>
          <w:divBdr>
            <w:top w:val="none" w:sz="0" w:space="0" w:color="auto"/>
            <w:left w:val="none" w:sz="0" w:space="0" w:color="auto"/>
            <w:bottom w:val="none" w:sz="0" w:space="0" w:color="auto"/>
            <w:right w:val="none" w:sz="0" w:space="0" w:color="auto"/>
          </w:divBdr>
        </w:div>
        <w:div w:id="1167137484">
          <w:marLeft w:val="640"/>
          <w:marRight w:val="0"/>
          <w:marTop w:val="0"/>
          <w:marBottom w:val="0"/>
          <w:divBdr>
            <w:top w:val="none" w:sz="0" w:space="0" w:color="auto"/>
            <w:left w:val="none" w:sz="0" w:space="0" w:color="auto"/>
            <w:bottom w:val="none" w:sz="0" w:space="0" w:color="auto"/>
            <w:right w:val="none" w:sz="0" w:space="0" w:color="auto"/>
          </w:divBdr>
        </w:div>
        <w:div w:id="114720470">
          <w:marLeft w:val="640"/>
          <w:marRight w:val="0"/>
          <w:marTop w:val="0"/>
          <w:marBottom w:val="0"/>
          <w:divBdr>
            <w:top w:val="none" w:sz="0" w:space="0" w:color="auto"/>
            <w:left w:val="none" w:sz="0" w:space="0" w:color="auto"/>
            <w:bottom w:val="none" w:sz="0" w:space="0" w:color="auto"/>
            <w:right w:val="none" w:sz="0" w:space="0" w:color="auto"/>
          </w:divBdr>
        </w:div>
        <w:div w:id="2015373674">
          <w:marLeft w:val="640"/>
          <w:marRight w:val="0"/>
          <w:marTop w:val="0"/>
          <w:marBottom w:val="0"/>
          <w:divBdr>
            <w:top w:val="none" w:sz="0" w:space="0" w:color="auto"/>
            <w:left w:val="none" w:sz="0" w:space="0" w:color="auto"/>
            <w:bottom w:val="none" w:sz="0" w:space="0" w:color="auto"/>
            <w:right w:val="none" w:sz="0" w:space="0" w:color="auto"/>
          </w:divBdr>
        </w:div>
        <w:div w:id="1545436627">
          <w:marLeft w:val="640"/>
          <w:marRight w:val="0"/>
          <w:marTop w:val="0"/>
          <w:marBottom w:val="0"/>
          <w:divBdr>
            <w:top w:val="none" w:sz="0" w:space="0" w:color="auto"/>
            <w:left w:val="none" w:sz="0" w:space="0" w:color="auto"/>
            <w:bottom w:val="none" w:sz="0" w:space="0" w:color="auto"/>
            <w:right w:val="none" w:sz="0" w:space="0" w:color="auto"/>
          </w:divBdr>
        </w:div>
        <w:div w:id="997073074">
          <w:marLeft w:val="640"/>
          <w:marRight w:val="0"/>
          <w:marTop w:val="0"/>
          <w:marBottom w:val="0"/>
          <w:divBdr>
            <w:top w:val="none" w:sz="0" w:space="0" w:color="auto"/>
            <w:left w:val="none" w:sz="0" w:space="0" w:color="auto"/>
            <w:bottom w:val="none" w:sz="0" w:space="0" w:color="auto"/>
            <w:right w:val="none" w:sz="0" w:space="0" w:color="auto"/>
          </w:divBdr>
        </w:div>
        <w:div w:id="1812281652">
          <w:marLeft w:val="640"/>
          <w:marRight w:val="0"/>
          <w:marTop w:val="0"/>
          <w:marBottom w:val="0"/>
          <w:divBdr>
            <w:top w:val="none" w:sz="0" w:space="0" w:color="auto"/>
            <w:left w:val="none" w:sz="0" w:space="0" w:color="auto"/>
            <w:bottom w:val="none" w:sz="0" w:space="0" w:color="auto"/>
            <w:right w:val="none" w:sz="0" w:space="0" w:color="auto"/>
          </w:divBdr>
        </w:div>
        <w:div w:id="706953079">
          <w:marLeft w:val="640"/>
          <w:marRight w:val="0"/>
          <w:marTop w:val="0"/>
          <w:marBottom w:val="0"/>
          <w:divBdr>
            <w:top w:val="none" w:sz="0" w:space="0" w:color="auto"/>
            <w:left w:val="none" w:sz="0" w:space="0" w:color="auto"/>
            <w:bottom w:val="none" w:sz="0" w:space="0" w:color="auto"/>
            <w:right w:val="none" w:sz="0" w:space="0" w:color="auto"/>
          </w:divBdr>
        </w:div>
        <w:div w:id="1323125602">
          <w:marLeft w:val="640"/>
          <w:marRight w:val="0"/>
          <w:marTop w:val="0"/>
          <w:marBottom w:val="0"/>
          <w:divBdr>
            <w:top w:val="none" w:sz="0" w:space="0" w:color="auto"/>
            <w:left w:val="none" w:sz="0" w:space="0" w:color="auto"/>
            <w:bottom w:val="none" w:sz="0" w:space="0" w:color="auto"/>
            <w:right w:val="none" w:sz="0" w:space="0" w:color="auto"/>
          </w:divBdr>
        </w:div>
        <w:div w:id="8797957">
          <w:marLeft w:val="640"/>
          <w:marRight w:val="0"/>
          <w:marTop w:val="0"/>
          <w:marBottom w:val="0"/>
          <w:divBdr>
            <w:top w:val="none" w:sz="0" w:space="0" w:color="auto"/>
            <w:left w:val="none" w:sz="0" w:space="0" w:color="auto"/>
            <w:bottom w:val="none" w:sz="0" w:space="0" w:color="auto"/>
            <w:right w:val="none" w:sz="0" w:space="0" w:color="auto"/>
          </w:divBdr>
        </w:div>
        <w:div w:id="1086880872">
          <w:marLeft w:val="640"/>
          <w:marRight w:val="0"/>
          <w:marTop w:val="0"/>
          <w:marBottom w:val="0"/>
          <w:divBdr>
            <w:top w:val="none" w:sz="0" w:space="0" w:color="auto"/>
            <w:left w:val="none" w:sz="0" w:space="0" w:color="auto"/>
            <w:bottom w:val="none" w:sz="0" w:space="0" w:color="auto"/>
            <w:right w:val="none" w:sz="0" w:space="0" w:color="auto"/>
          </w:divBdr>
        </w:div>
        <w:div w:id="1332028870">
          <w:marLeft w:val="640"/>
          <w:marRight w:val="0"/>
          <w:marTop w:val="0"/>
          <w:marBottom w:val="0"/>
          <w:divBdr>
            <w:top w:val="none" w:sz="0" w:space="0" w:color="auto"/>
            <w:left w:val="none" w:sz="0" w:space="0" w:color="auto"/>
            <w:bottom w:val="none" w:sz="0" w:space="0" w:color="auto"/>
            <w:right w:val="none" w:sz="0" w:space="0" w:color="auto"/>
          </w:divBdr>
        </w:div>
        <w:div w:id="728262028">
          <w:marLeft w:val="640"/>
          <w:marRight w:val="0"/>
          <w:marTop w:val="0"/>
          <w:marBottom w:val="0"/>
          <w:divBdr>
            <w:top w:val="none" w:sz="0" w:space="0" w:color="auto"/>
            <w:left w:val="none" w:sz="0" w:space="0" w:color="auto"/>
            <w:bottom w:val="none" w:sz="0" w:space="0" w:color="auto"/>
            <w:right w:val="none" w:sz="0" w:space="0" w:color="auto"/>
          </w:divBdr>
        </w:div>
        <w:div w:id="1665736813">
          <w:marLeft w:val="640"/>
          <w:marRight w:val="0"/>
          <w:marTop w:val="0"/>
          <w:marBottom w:val="0"/>
          <w:divBdr>
            <w:top w:val="none" w:sz="0" w:space="0" w:color="auto"/>
            <w:left w:val="none" w:sz="0" w:space="0" w:color="auto"/>
            <w:bottom w:val="none" w:sz="0" w:space="0" w:color="auto"/>
            <w:right w:val="none" w:sz="0" w:space="0" w:color="auto"/>
          </w:divBdr>
        </w:div>
        <w:div w:id="2114399639">
          <w:marLeft w:val="640"/>
          <w:marRight w:val="0"/>
          <w:marTop w:val="0"/>
          <w:marBottom w:val="0"/>
          <w:divBdr>
            <w:top w:val="none" w:sz="0" w:space="0" w:color="auto"/>
            <w:left w:val="none" w:sz="0" w:space="0" w:color="auto"/>
            <w:bottom w:val="none" w:sz="0" w:space="0" w:color="auto"/>
            <w:right w:val="none" w:sz="0" w:space="0" w:color="auto"/>
          </w:divBdr>
        </w:div>
        <w:div w:id="465439817">
          <w:marLeft w:val="640"/>
          <w:marRight w:val="0"/>
          <w:marTop w:val="0"/>
          <w:marBottom w:val="0"/>
          <w:divBdr>
            <w:top w:val="none" w:sz="0" w:space="0" w:color="auto"/>
            <w:left w:val="none" w:sz="0" w:space="0" w:color="auto"/>
            <w:bottom w:val="none" w:sz="0" w:space="0" w:color="auto"/>
            <w:right w:val="none" w:sz="0" w:space="0" w:color="auto"/>
          </w:divBdr>
        </w:div>
        <w:div w:id="1426728132">
          <w:marLeft w:val="640"/>
          <w:marRight w:val="0"/>
          <w:marTop w:val="0"/>
          <w:marBottom w:val="0"/>
          <w:divBdr>
            <w:top w:val="none" w:sz="0" w:space="0" w:color="auto"/>
            <w:left w:val="none" w:sz="0" w:space="0" w:color="auto"/>
            <w:bottom w:val="none" w:sz="0" w:space="0" w:color="auto"/>
            <w:right w:val="none" w:sz="0" w:space="0" w:color="auto"/>
          </w:divBdr>
        </w:div>
        <w:div w:id="166016681">
          <w:marLeft w:val="640"/>
          <w:marRight w:val="0"/>
          <w:marTop w:val="0"/>
          <w:marBottom w:val="0"/>
          <w:divBdr>
            <w:top w:val="none" w:sz="0" w:space="0" w:color="auto"/>
            <w:left w:val="none" w:sz="0" w:space="0" w:color="auto"/>
            <w:bottom w:val="none" w:sz="0" w:space="0" w:color="auto"/>
            <w:right w:val="none" w:sz="0" w:space="0" w:color="auto"/>
          </w:divBdr>
        </w:div>
        <w:div w:id="421069030">
          <w:marLeft w:val="640"/>
          <w:marRight w:val="0"/>
          <w:marTop w:val="0"/>
          <w:marBottom w:val="0"/>
          <w:divBdr>
            <w:top w:val="none" w:sz="0" w:space="0" w:color="auto"/>
            <w:left w:val="none" w:sz="0" w:space="0" w:color="auto"/>
            <w:bottom w:val="none" w:sz="0" w:space="0" w:color="auto"/>
            <w:right w:val="none" w:sz="0" w:space="0" w:color="auto"/>
          </w:divBdr>
        </w:div>
        <w:div w:id="192958824">
          <w:marLeft w:val="640"/>
          <w:marRight w:val="0"/>
          <w:marTop w:val="0"/>
          <w:marBottom w:val="0"/>
          <w:divBdr>
            <w:top w:val="none" w:sz="0" w:space="0" w:color="auto"/>
            <w:left w:val="none" w:sz="0" w:space="0" w:color="auto"/>
            <w:bottom w:val="none" w:sz="0" w:space="0" w:color="auto"/>
            <w:right w:val="none" w:sz="0" w:space="0" w:color="auto"/>
          </w:divBdr>
        </w:div>
        <w:div w:id="532616458">
          <w:marLeft w:val="640"/>
          <w:marRight w:val="0"/>
          <w:marTop w:val="0"/>
          <w:marBottom w:val="0"/>
          <w:divBdr>
            <w:top w:val="none" w:sz="0" w:space="0" w:color="auto"/>
            <w:left w:val="none" w:sz="0" w:space="0" w:color="auto"/>
            <w:bottom w:val="none" w:sz="0" w:space="0" w:color="auto"/>
            <w:right w:val="none" w:sz="0" w:space="0" w:color="auto"/>
          </w:divBdr>
        </w:div>
        <w:div w:id="1082336559">
          <w:marLeft w:val="640"/>
          <w:marRight w:val="0"/>
          <w:marTop w:val="0"/>
          <w:marBottom w:val="0"/>
          <w:divBdr>
            <w:top w:val="none" w:sz="0" w:space="0" w:color="auto"/>
            <w:left w:val="none" w:sz="0" w:space="0" w:color="auto"/>
            <w:bottom w:val="none" w:sz="0" w:space="0" w:color="auto"/>
            <w:right w:val="none" w:sz="0" w:space="0" w:color="auto"/>
          </w:divBdr>
        </w:div>
        <w:div w:id="200441837">
          <w:marLeft w:val="640"/>
          <w:marRight w:val="0"/>
          <w:marTop w:val="0"/>
          <w:marBottom w:val="0"/>
          <w:divBdr>
            <w:top w:val="none" w:sz="0" w:space="0" w:color="auto"/>
            <w:left w:val="none" w:sz="0" w:space="0" w:color="auto"/>
            <w:bottom w:val="none" w:sz="0" w:space="0" w:color="auto"/>
            <w:right w:val="none" w:sz="0" w:space="0" w:color="auto"/>
          </w:divBdr>
        </w:div>
        <w:div w:id="1678338873">
          <w:marLeft w:val="640"/>
          <w:marRight w:val="0"/>
          <w:marTop w:val="0"/>
          <w:marBottom w:val="0"/>
          <w:divBdr>
            <w:top w:val="none" w:sz="0" w:space="0" w:color="auto"/>
            <w:left w:val="none" w:sz="0" w:space="0" w:color="auto"/>
            <w:bottom w:val="none" w:sz="0" w:space="0" w:color="auto"/>
            <w:right w:val="none" w:sz="0" w:space="0" w:color="auto"/>
          </w:divBdr>
        </w:div>
        <w:div w:id="583997117">
          <w:marLeft w:val="640"/>
          <w:marRight w:val="0"/>
          <w:marTop w:val="0"/>
          <w:marBottom w:val="0"/>
          <w:divBdr>
            <w:top w:val="none" w:sz="0" w:space="0" w:color="auto"/>
            <w:left w:val="none" w:sz="0" w:space="0" w:color="auto"/>
            <w:bottom w:val="none" w:sz="0" w:space="0" w:color="auto"/>
            <w:right w:val="none" w:sz="0" w:space="0" w:color="auto"/>
          </w:divBdr>
        </w:div>
        <w:div w:id="1886914669">
          <w:marLeft w:val="640"/>
          <w:marRight w:val="0"/>
          <w:marTop w:val="0"/>
          <w:marBottom w:val="0"/>
          <w:divBdr>
            <w:top w:val="none" w:sz="0" w:space="0" w:color="auto"/>
            <w:left w:val="none" w:sz="0" w:space="0" w:color="auto"/>
            <w:bottom w:val="none" w:sz="0" w:space="0" w:color="auto"/>
            <w:right w:val="none" w:sz="0" w:space="0" w:color="auto"/>
          </w:divBdr>
        </w:div>
        <w:div w:id="1497501805">
          <w:marLeft w:val="640"/>
          <w:marRight w:val="0"/>
          <w:marTop w:val="0"/>
          <w:marBottom w:val="0"/>
          <w:divBdr>
            <w:top w:val="none" w:sz="0" w:space="0" w:color="auto"/>
            <w:left w:val="none" w:sz="0" w:space="0" w:color="auto"/>
            <w:bottom w:val="none" w:sz="0" w:space="0" w:color="auto"/>
            <w:right w:val="none" w:sz="0" w:space="0" w:color="auto"/>
          </w:divBdr>
        </w:div>
        <w:div w:id="1013922994">
          <w:marLeft w:val="640"/>
          <w:marRight w:val="0"/>
          <w:marTop w:val="0"/>
          <w:marBottom w:val="0"/>
          <w:divBdr>
            <w:top w:val="none" w:sz="0" w:space="0" w:color="auto"/>
            <w:left w:val="none" w:sz="0" w:space="0" w:color="auto"/>
            <w:bottom w:val="none" w:sz="0" w:space="0" w:color="auto"/>
            <w:right w:val="none" w:sz="0" w:space="0" w:color="auto"/>
          </w:divBdr>
        </w:div>
        <w:div w:id="107359580">
          <w:marLeft w:val="640"/>
          <w:marRight w:val="0"/>
          <w:marTop w:val="0"/>
          <w:marBottom w:val="0"/>
          <w:divBdr>
            <w:top w:val="none" w:sz="0" w:space="0" w:color="auto"/>
            <w:left w:val="none" w:sz="0" w:space="0" w:color="auto"/>
            <w:bottom w:val="none" w:sz="0" w:space="0" w:color="auto"/>
            <w:right w:val="none" w:sz="0" w:space="0" w:color="auto"/>
          </w:divBdr>
        </w:div>
        <w:div w:id="1066563336">
          <w:marLeft w:val="640"/>
          <w:marRight w:val="0"/>
          <w:marTop w:val="0"/>
          <w:marBottom w:val="0"/>
          <w:divBdr>
            <w:top w:val="none" w:sz="0" w:space="0" w:color="auto"/>
            <w:left w:val="none" w:sz="0" w:space="0" w:color="auto"/>
            <w:bottom w:val="none" w:sz="0" w:space="0" w:color="auto"/>
            <w:right w:val="none" w:sz="0" w:space="0" w:color="auto"/>
          </w:divBdr>
        </w:div>
        <w:div w:id="263657868">
          <w:marLeft w:val="640"/>
          <w:marRight w:val="0"/>
          <w:marTop w:val="0"/>
          <w:marBottom w:val="0"/>
          <w:divBdr>
            <w:top w:val="none" w:sz="0" w:space="0" w:color="auto"/>
            <w:left w:val="none" w:sz="0" w:space="0" w:color="auto"/>
            <w:bottom w:val="none" w:sz="0" w:space="0" w:color="auto"/>
            <w:right w:val="none" w:sz="0" w:space="0" w:color="auto"/>
          </w:divBdr>
        </w:div>
        <w:div w:id="395474671">
          <w:marLeft w:val="640"/>
          <w:marRight w:val="0"/>
          <w:marTop w:val="0"/>
          <w:marBottom w:val="0"/>
          <w:divBdr>
            <w:top w:val="none" w:sz="0" w:space="0" w:color="auto"/>
            <w:left w:val="none" w:sz="0" w:space="0" w:color="auto"/>
            <w:bottom w:val="none" w:sz="0" w:space="0" w:color="auto"/>
            <w:right w:val="none" w:sz="0" w:space="0" w:color="auto"/>
          </w:divBdr>
        </w:div>
        <w:div w:id="1212378835">
          <w:marLeft w:val="640"/>
          <w:marRight w:val="0"/>
          <w:marTop w:val="0"/>
          <w:marBottom w:val="0"/>
          <w:divBdr>
            <w:top w:val="none" w:sz="0" w:space="0" w:color="auto"/>
            <w:left w:val="none" w:sz="0" w:space="0" w:color="auto"/>
            <w:bottom w:val="none" w:sz="0" w:space="0" w:color="auto"/>
            <w:right w:val="none" w:sz="0" w:space="0" w:color="auto"/>
          </w:divBdr>
        </w:div>
        <w:div w:id="845555934">
          <w:marLeft w:val="640"/>
          <w:marRight w:val="0"/>
          <w:marTop w:val="0"/>
          <w:marBottom w:val="0"/>
          <w:divBdr>
            <w:top w:val="none" w:sz="0" w:space="0" w:color="auto"/>
            <w:left w:val="none" w:sz="0" w:space="0" w:color="auto"/>
            <w:bottom w:val="none" w:sz="0" w:space="0" w:color="auto"/>
            <w:right w:val="none" w:sz="0" w:space="0" w:color="auto"/>
          </w:divBdr>
        </w:div>
        <w:div w:id="1802573117">
          <w:marLeft w:val="640"/>
          <w:marRight w:val="0"/>
          <w:marTop w:val="0"/>
          <w:marBottom w:val="0"/>
          <w:divBdr>
            <w:top w:val="none" w:sz="0" w:space="0" w:color="auto"/>
            <w:left w:val="none" w:sz="0" w:space="0" w:color="auto"/>
            <w:bottom w:val="none" w:sz="0" w:space="0" w:color="auto"/>
            <w:right w:val="none" w:sz="0" w:space="0" w:color="auto"/>
          </w:divBdr>
        </w:div>
        <w:div w:id="1130591155">
          <w:marLeft w:val="640"/>
          <w:marRight w:val="0"/>
          <w:marTop w:val="0"/>
          <w:marBottom w:val="0"/>
          <w:divBdr>
            <w:top w:val="none" w:sz="0" w:space="0" w:color="auto"/>
            <w:left w:val="none" w:sz="0" w:space="0" w:color="auto"/>
            <w:bottom w:val="none" w:sz="0" w:space="0" w:color="auto"/>
            <w:right w:val="none" w:sz="0" w:space="0" w:color="auto"/>
          </w:divBdr>
        </w:div>
        <w:div w:id="1223103095">
          <w:marLeft w:val="640"/>
          <w:marRight w:val="0"/>
          <w:marTop w:val="0"/>
          <w:marBottom w:val="0"/>
          <w:divBdr>
            <w:top w:val="none" w:sz="0" w:space="0" w:color="auto"/>
            <w:left w:val="none" w:sz="0" w:space="0" w:color="auto"/>
            <w:bottom w:val="none" w:sz="0" w:space="0" w:color="auto"/>
            <w:right w:val="none" w:sz="0" w:space="0" w:color="auto"/>
          </w:divBdr>
        </w:div>
        <w:div w:id="1704017577">
          <w:marLeft w:val="640"/>
          <w:marRight w:val="0"/>
          <w:marTop w:val="0"/>
          <w:marBottom w:val="0"/>
          <w:divBdr>
            <w:top w:val="none" w:sz="0" w:space="0" w:color="auto"/>
            <w:left w:val="none" w:sz="0" w:space="0" w:color="auto"/>
            <w:bottom w:val="none" w:sz="0" w:space="0" w:color="auto"/>
            <w:right w:val="none" w:sz="0" w:space="0" w:color="auto"/>
          </w:divBdr>
        </w:div>
        <w:div w:id="1744138923">
          <w:marLeft w:val="640"/>
          <w:marRight w:val="0"/>
          <w:marTop w:val="0"/>
          <w:marBottom w:val="0"/>
          <w:divBdr>
            <w:top w:val="none" w:sz="0" w:space="0" w:color="auto"/>
            <w:left w:val="none" w:sz="0" w:space="0" w:color="auto"/>
            <w:bottom w:val="none" w:sz="0" w:space="0" w:color="auto"/>
            <w:right w:val="none" w:sz="0" w:space="0" w:color="auto"/>
          </w:divBdr>
        </w:div>
        <w:div w:id="998653502">
          <w:marLeft w:val="640"/>
          <w:marRight w:val="0"/>
          <w:marTop w:val="0"/>
          <w:marBottom w:val="0"/>
          <w:divBdr>
            <w:top w:val="none" w:sz="0" w:space="0" w:color="auto"/>
            <w:left w:val="none" w:sz="0" w:space="0" w:color="auto"/>
            <w:bottom w:val="none" w:sz="0" w:space="0" w:color="auto"/>
            <w:right w:val="none" w:sz="0" w:space="0" w:color="auto"/>
          </w:divBdr>
        </w:div>
      </w:divsChild>
    </w:div>
    <w:div w:id="1918127918">
      <w:bodyDiv w:val="1"/>
      <w:marLeft w:val="0"/>
      <w:marRight w:val="0"/>
      <w:marTop w:val="0"/>
      <w:marBottom w:val="0"/>
      <w:divBdr>
        <w:top w:val="none" w:sz="0" w:space="0" w:color="auto"/>
        <w:left w:val="none" w:sz="0" w:space="0" w:color="auto"/>
        <w:bottom w:val="none" w:sz="0" w:space="0" w:color="auto"/>
        <w:right w:val="none" w:sz="0" w:space="0" w:color="auto"/>
      </w:divBdr>
    </w:div>
    <w:div w:id="1919055451">
      <w:bodyDiv w:val="1"/>
      <w:marLeft w:val="0"/>
      <w:marRight w:val="0"/>
      <w:marTop w:val="0"/>
      <w:marBottom w:val="0"/>
      <w:divBdr>
        <w:top w:val="none" w:sz="0" w:space="0" w:color="auto"/>
        <w:left w:val="none" w:sz="0" w:space="0" w:color="auto"/>
        <w:bottom w:val="none" w:sz="0" w:space="0" w:color="auto"/>
        <w:right w:val="none" w:sz="0" w:space="0" w:color="auto"/>
      </w:divBdr>
    </w:div>
    <w:div w:id="1919056381">
      <w:bodyDiv w:val="1"/>
      <w:marLeft w:val="0"/>
      <w:marRight w:val="0"/>
      <w:marTop w:val="0"/>
      <w:marBottom w:val="0"/>
      <w:divBdr>
        <w:top w:val="none" w:sz="0" w:space="0" w:color="auto"/>
        <w:left w:val="none" w:sz="0" w:space="0" w:color="auto"/>
        <w:bottom w:val="none" w:sz="0" w:space="0" w:color="auto"/>
        <w:right w:val="none" w:sz="0" w:space="0" w:color="auto"/>
      </w:divBdr>
    </w:div>
    <w:div w:id="1919627634">
      <w:bodyDiv w:val="1"/>
      <w:marLeft w:val="0"/>
      <w:marRight w:val="0"/>
      <w:marTop w:val="0"/>
      <w:marBottom w:val="0"/>
      <w:divBdr>
        <w:top w:val="none" w:sz="0" w:space="0" w:color="auto"/>
        <w:left w:val="none" w:sz="0" w:space="0" w:color="auto"/>
        <w:bottom w:val="none" w:sz="0" w:space="0" w:color="auto"/>
        <w:right w:val="none" w:sz="0" w:space="0" w:color="auto"/>
      </w:divBdr>
    </w:div>
    <w:div w:id="1919824241">
      <w:bodyDiv w:val="1"/>
      <w:marLeft w:val="0"/>
      <w:marRight w:val="0"/>
      <w:marTop w:val="0"/>
      <w:marBottom w:val="0"/>
      <w:divBdr>
        <w:top w:val="none" w:sz="0" w:space="0" w:color="auto"/>
        <w:left w:val="none" w:sz="0" w:space="0" w:color="auto"/>
        <w:bottom w:val="none" w:sz="0" w:space="0" w:color="auto"/>
        <w:right w:val="none" w:sz="0" w:space="0" w:color="auto"/>
      </w:divBdr>
    </w:div>
    <w:div w:id="1933001492">
      <w:bodyDiv w:val="1"/>
      <w:marLeft w:val="0"/>
      <w:marRight w:val="0"/>
      <w:marTop w:val="0"/>
      <w:marBottom w:val="0"/>
      <w:divBdr>
        <w:top w:val="none" w:sz="0" w:space="0" w:color="auto"/>
        <w:left w:val="none" w:sz="0" w:space="0" w:color="auto"/>
        <w:bottom w:val="none" w:sz="0" w:space="0" w:color="auto"/>
        <w:right w:val="none" w:sz="0" w:space="0" w:color="auto"/>
      </w:divBdr>
      <w:divsChild>
        <w:div w:id="281805880">
          <w:marLeft w:val="640"/>
          <w:marRight w:val="0"/>
          <w:marTop w:val="0"/>
          <w:marBottom w:val="0"/>
          <w:divBdr>
            <w:top w:val="none" w:sz="0" w:space="0" w:color="auto"/>
            <w:left w:val="none" w:sz="0" w:space="0" w:color="auto"/>
            <w:bottom w:val="none" w:sz="0" w:space="0" w:color="auto"/>
            <w:right w:val="none" w:sz="0" w:space="0" w:color="auto"/>
          </w:divBdr>
        </w:div>
        <w:div w:id="1453282424">
          <w:marLeft w:val="640"/>
          <w:marRight w:val="0"/>
          <w:marTop w:val="0"/>
          <w:marBottom w:val="0"/>
          <w:divBdr>
            <w:top w:val="none" w:sz="0" w:space="0" w:color="auto"/>
            <w:left w:val="none" w:sz="0" w:space="0" w:color="auto"/>
            <w:bottom w:val="none" w:sz="0" w:space="0" w:color="auto"/>
            <w:right w:val="none" w:sz="0" w:space="0" w:color="auto"/>
          </w:divBdr>
        </w:div>
        <w:div w:id="534004408">
          <w:marLeft w:val="640"/>
          <w:marRight w:val="0"/>
          <w:marTop w:val="0"/>
          <w:marBottom w:val="0"/>
          <w:divBdr>
            <w:top w:val="none" w:sz="0" w:space="0" w:color="auto"/>
            <w:left w:val="none" w:sz="0" w:space="0" w:color="auto"/>
            <w:bottom w:val="none" w:sz="0" w:space="0" w:color="auto"/>
            <w:right w:val="none" w:sz="0" w:space="0" w:color="auto"/>
          </w:divBdr>
        </w:div>
        <w:div w:id="777412053">
          <w:marLeft w:val="640"/>
          <w:marRight w:val="0"/>
          <w:marTop w:val="0"/>
          <w:marBottom w:val="0"/>
          <w:divBdr>
            <w:top w:val="none" w:sz="0" w:space="0" w:color="auto"/>
            <w:left w:val="none" w:sz="0" w:space="0" w:color="auto"/>
            <w:bottom w:val="none" w:sz="0" w:space="0" w:color="auto"/>
            <w:right w:val="none" w:sz="0" w:space="0" w:color="auto"/>
          </w:divBdr>
        </w:div>
        <w:div w:id="1784765596">
          <w:marLeft w:val="640"/>
          <w:marRight w:val="0"/>
          <w:marTop w:val="0"/>
          <w:marBottom w:val="0"/>
          <w:divBdr>
            <w:top w:val="none" w:sz="0" w:space="0" w:color="auto"/>
            <w:left w:val="none" w:sz="0" w:space="0" w:color="auto"/>
            <w:bottom w:val="none" w:sz="0" w:space="0" w:color="auto"/>
            <w:right w:val="none" w:sz="0" w:space="0" w:color="auto"/>
          </w:divBdr>
        </w:div>
        <w:div w:id="1998993141">
          <w:marLeft w:val="640"/>
          <w:marRight w:val="0"/>
          <w:marTop w:val="0"/>
          <w:marBottom w:val="0"/>
          <w:divBdr>
            <w:top w:val="none" w:sz="0" w:space="0" w:color="auto"/>
            <w:left w:val="none" w:sz="0" w:space="0" w:color="auto"/>
            <w:bottom w:val="none" w:sz="0" w:space="0" w:color="auto"/>
            <w:right w:val="none" w:sz="0" w:space="0" w:color="auto"/>
          </w:divBdr>
        </w:div>
        <w:div w:id="1984961952">
          <w:marLeft w:val="640"/>
          <w:marRight w:val="0"/>
          <w:marTop w:val="0"/>
          <w:marBottom w:val="0"/>
          <w:divBdr>
            <w:top w:val="none" w:sz="0" w:space="0" w:color="auto"/>
            <w:left w:val="none" w:sz="0" w:space="0" w:color="auto"/>
            <w:bottom w:val="none" w:sz="0" w:space="0" w:color="auto"/>
            <w:right w:val="none" w:sz="0" w:space="0" w:color="auto"/>
          </w:divBdr>
        </w:div>
        <w:div w:id="532426688">
          <w:marLeft w:val="640"/>
          <w:marRight w:val="0"/>
          <w:marTop w:val="0"/>
          <w:marBottom w:val="0"/>
          <w:divBdr>
            <w:top w:val="none" w:sz="0" w:space="0" w:color="auto"/>
            <w:left w:val="none" w:sz="0" w:space="0" w:color="auto"/>
            <w:bottom w:val="none" w:sz="0" w:space="0" w:color="auto"/>
            <w:right w:val="none" w:sz="0" w:space="0" w:color="auto"/>
          </w:divBdr>
        </w:div>
        <w:div w:id="2108768149">
          <w:marLeft w:val="640"/>
          <w:marRight w:val="0"/>
          <w:marTop w:val="0"/>
          <w:marBottom w:val="0"/>
          <w:divBdr>
            <w:top w:val="none" w:sz="0" w:space="0" w:color="auto"/>
            <w:left w:val="none" w:sz="0" w:space="0" w:color="auto"/>
            <w:bottom w:val="none" w:sz="0" w:space="0" w:color="auto"/>
            <w:right w:val="none" w:sz="0" w:space="0" w:color="auto"/>
          </w:divBdr>
        </w:div>
        <w:div w:id="1216432436">
          <w:marLeft w:val="640"/>
          <w:marRight w:val="0"/>
          <w:marTop w:val="0"/>
          <w:marBottom w:val="0"/>
          <w:divBdr>
            <w:top w:val="none" w:sz="0" w:space="0" w:color="auto"/>
            <w:left w:val="none" w:sz="0" w:space="0" w:color="auto"/>
            <w:bottom w:val="none" w:sz="0" w:space="0" w:color="auto"/>
            <w:right w:val="none" w:sz="0" w:space="0" w:color="auto"/>
          </w:divBdr>
        </w:div>
        <w:div w:id="1913588193">
          <w:marLeft w:val="640"/>
          <w:marRight w:val="0"/>
          <w:marTop w:val="0"/>
          <w:marBottom w:val="0"/>
          <w:divBdr>
            <w:top w:val="none" w:sz="0" w:space="0" w:color="auto"/>
            <w:left w:val="none" w:sz="0" w:space="0" w:color="auto"/>
            <w:bottom w:val="none" w:sz="0" w:space="0" w:color="auto"/>
            <w:right w:val="none" w:sz="0" w:space="0" w:color="auto"/>
          </w:divBdr>
        </w:div>
        <w:div w:id="384917935">
          <w:marLeft w:val="640"/>
          <w:marRight w:val="0"/>
          <w:marTop w:val="0"/>
          <w:marBottom w:val="0"/>
          <w:divBdr>
            <w:top w:val="none" w:sz="0" w:space="0" w:color="auto"/>
            <w:left w:val="none" w:sz="0" w:space="0" w:color="auto"/>
            <w:bottom w:val="none" w:sz="0" w:space="0" w:color="auto"/>
            <w:right w:val="none" w:sz="0" w:space="0" w:color="auto"/>
          </w:divBdr>
        </w:div>
        <w:div w:id="434404353">
          <w:marLeft w:val="640"/>
          <w:marRight w:val="0"/>
          <w:marTop w:val="0"/>
          <w:marBottom w:val="0"/>
          <w:divBdr>
            <w:top w:val="none" w:sz="0" w:space="0" w:color="auto"/>
            <w:left w:val="none" w:sz="0" w:space="0" w:color="auto"/>
            <w:bottom w:val="none" w:sz="0" w:space="0" w:color="auto"/>
            <w:right w:val="none" w:sz="0" w:space="0" w:color="auto"/>
          </w:divBdr>
        </w:div>
        <w:div w:id="1727606559">
          <w:marLeft w:val="640"/>
          <w:marRight w:val="0"/>
          <w:marTop w:val="0"/>
          <w:marBottom w:val="0"/>
          <w:divBdr>
            <w:top w:val="none" w:sz="0" w:space="0" w:color="auto"/>
            <w:left w:val="none" w:sz="0" w:space="0" w:color="auto"/>
            <w:bottom w:val="none" w:sz="0" w:space="0" w:color="auto"/>
            <w:right w:val="none" w:sz="0" w:space="0" w:color="auto"/>
          </w:divBdr>
        </w:div>
        <w:div w:id="1084765396">
          <w:marLeft w:val="640"/>
          <w:marRight w:val="0"/>
          <w:marTop w:val="0"/>
          <w:marBottom w:val="0"/>
          <w:divBdr>
            <w:top w:val="none" w:sz="0" w:space="0" w:color="auto"/>
            <w:left w:val="none" w:sz="0" w:space="0" w:color="auto"/>
            <w:bottom w:val="none" w:sz="0" w:space="0" w:color="auto"/>
            <w:right w:val="none" w:sz="0" w:space="0" w:color="auto"/>
          </w:divBdr>
        </w:div>
        <w:div w:id="870607901">
          <w:marLeft w:val="640"/>
          <w:marRight w:val="0"/>
          <w:marTop w:val="0"/>
          <w:marBottom w:val="0"/>
          <w:divBdr>
            <w:top w:val="none" w:sz="0" w:space="0" w:color="auto"/>
            <w:left w:val="none" w:sz="0" w:space="0" w:color="auto"/>
            <w:bottom w:val="none" w:sz="0" w:space="0" w:color="auto"/>
            <w:right w:val="none" w:sz="0" w:space="0" w:color="auto"/>
          </w:divBdr>
        </w:div>
        <w:div w:id="752748757">
          <w:marLeft w:val="640"/>
          <w:marRight w:val="0"/>
          <w:marTop w:val="0"/>
          <w:marBottom w:val="0"/>
          <w:divBdr>
            <w:top w:val="none" w:sz="0" w:space="0" w:color="auto"/>
            <w:left w:val="none" w:sz="0" w:space="0" w:color="auto"/>
            <w:bottom w:val="none" w:sz="0" w:space="0" w:color="auto"/>
            <w:right w:val="none" w:sz="0" w:space="0" w:color="auto"/>
          </w:divBdr>
        </w:div>
        <w:div w:id="1853031658">
          <w:marLeft w:val="640"/>
          <w:marRight w:val="0"/>
          <w:marTop w:val="0"/>
          <w:marBottom w:val="0"/>
          <w:divBdr>
            <w:top w:val="none" w:sz="0" w:space="0" w:color="auto"/>
            <w:left w:val="none" w:sz="0" w:space="0" w:color="auto"/>
            <w:bottom w:val="none" w:sz="0" w:space="0" w:color="auto"/>
            <w:right w:val="none" w:sz="0" w:space="0" w:color="auto"/>
          </w:divBdr>
        </w:div>
        <w:div w:id="2096197346">
          <w:marLeft w:val="640"/>
          <w:marRight w:val="0"/>
          <w:marTop w:val="0"/>
          <w:marBottom w:val="0"/>
          <w:divBdr>
            <w:top w:val="none" w:sz="0" w:space="0" w:color="auto"/>
            <w:left w:val="none" w:sz="0" w:space="0" w:color="auto"/>
            <w:bottom w:val="none" w:sz="0" w:space="0" w:color="auto"/>
            <w:right w:val="none" w:sz="0" w:space="0" w:color="auto"/>
          </w:divBdr>
        </w:div>
        <w:div w:id="141116936">
          <w:marLeft w:val="640"/>
          <w:marRight w:val="0"/>
          <w:marTop w:val="0"/>
          <w:marBottom w:val="0"/>
          <w:divBdr>
            <w:top w:val="none" w:sz="0" w:space="0" w:color="auto"/>
            <w:left w:val="none" w:sz="0" w:space="0" w:color="auto"/>
            <w:bottom w:val="none" w:sz="0" w:space="0" w:color="auto"/>
            <w:right w:val="none" w:sz="0" w:space="0" w:color="auto"/>
          </w:divBdr>
        </w:div>
        <w:div w:id="1018695784">
          <w:marLeft w:val="640"/>
          <w:marRight w:val="0"/>
          <w:marTop w:val="0"/>
          <w:marBottom w:val="0"/>
          <w:divBdr>
            <w:top w:val="none" w:sz="0" w:space="0" w:color="auto"/>
            <w:left w:val="none" w:sz="0" w:space="0" w:color="auto"/>
            <w:bottom w:val="none" w:sz="0" w:space="0" w:color="auto"/>
            <w:right w:val="none" w:sz="0" w:space="0" w:color="auto"/>
          </w:divBdr>
        </w:div>
        <w:div w:id="1618219833">
          <w:marLeft w:val="640"/>
          <w:marRight w:val="0"/>
          <w:marTop w:val="0"/>
          <w:marBottom w:val="0"/>
          <w:divBdr>
            <w:top w:val="none" w:sz="0" w:space="0" w:color="auto"/>
            <w:left w:val="none" w:sz="0" w:space="0" w:color="auto"/>
            <w:bottom w:val="none" w:sz="0" w:space="0" w:color="auto"/>
            <w:right w:val="none" w:sz="0" w:space="0" w:color="auto"/>
          </w:divBdr>
        </w:div>
        <w:div w:id="105975900">
          <w:marLeft w:val="640"/>
          <w:marRight w:val="0"/>
          <w:marTop w:val="0"/>
          <w:marBottom w:val="0"/>
          <w:divBdr>
            <w:top w:val="none" w:sz="0" w:space="0" w:color="auto"/>
            <w:left w:val="none" w:sz="0" w:space="0" w:color="auto"/>
            <w:bottom w:val="none" w:sz="0" w:space="0" w:color="auto"/>
            <w:right w:val="none" w:sz="0" w:space="0" w:color="auto"/>
          </w:divBdr>
        </w:div>
        <w:div w:id="745031921">
          <w:marLeft w:val="640"/>
          <w:marRight w:val="0"/>
          <w:marTop w:val="0"/>
          <w:marBottom w:val="0"/>
          <w:divBdr>
            <w:top w:val="none" w:sz="0" w:space="0" w:color="auto"/>
            <w:left w:val="none" w:sz="0" w:space="0" w:color="auto"/>
            <w:bottom w:val="none" w:sz="0" w:space="0" w:color="auto"/>
            <w:right w:val="none" w:sz="0" w:space="0" w:color="auto"/>
          </w:divBdr>
        </w:div>
        <w:div w:id="1558586783">
          <w:marLeft w:val="640"/>
          <w:marRight w:val="0"/>
          <w:marTop w:val="0"/>
          <w:marBottom w:val="0"/>
          <w:divBdr>
            <w:top w:val="none" w:sz="0" w:space="0" w:color="auto"/>
            <w:left w:val="none" w:sz="0" w:space="0" w:color="auto"/>
            <w:bottom w:val="none" w:sz="0" w:space="0" w:color="auto"/>
            <w:right w:val="none" w:sz="0" w:space="0" w:color="auto"/>
          </w:divBdr>
        </w:div>
        <w:div w:id="1752891643">
          <w:marLeft w:val="640"/>
          <w:marRight w:val="0"/>
          <w:marTop w:val="0"/>
          <w:marBottom w:val="0"/>
          <w:divBdr>
            <w:top w:val="none" w:sz="0" w:space="0" w:color="auto"/>
            <w:left w:val="none" w:sz="0" w:space="0" w:color="auto"/>
            <w:bottom w:val="none" w:sz="0" w:space="0" w:color="auto"/>
            <w:right w:val="none" w:sz="0" w:space="0" w:color="auto"/>
          </w:divBdr>
        </w:div>
        <w:div w:id="543564215">
          <w:marLeft w:val="640"/>
          <w:marRight w:val="0"/>
          <w:marTop w:val="0"/>
          <w:marBottom w:val="0"/>
          <w:divBdr>
            <w:top w:val="none" w:sz="0" w:space="0" w:color="auto"/>
            <w:left w:val="none" w:sz="0" w:space="0" w:color="auto"/>
            <w:bottom w:val="none" w:sz="0" w:space="0" w:color="auto"/>
            <w:right w:val="none" w:sz="0" w:space="0" w:color="auto"/>
          </w:divBdr>
        </w:div>
        <w:div w:id="30422590">
          <w:marLeft w:val="640"/>
          <w:marRight w:val="0"/>
          <w:marTop w:val="0"/>
          <w:marBottom w:val="0"/>
          <w:divBdr>
            <w:top w:val="none" w:sz="0" w:space="0" w:color="auto"/>
            <w:left w:val="none" w:sz="0" w:space="0" w:color="auto"/>
            <w:bottom w:val="none" w:sz="0" w:space="0" w:color="auto"/>
            <w:right w:val="none" w:sz="0" w:space="0" w:color="auto"/>
          </w:divBdr>
        </w:div>
        <w:div w:id="2049718253">
          <w:marLeft w:val="640"/>
          <w:marRight w:val="0"/>
          <w:marTop w:val="0"/>
          <w:marBottom w:val="0"/>
          <w:divBdr>
            <w:top w:val="none" w:sz="0" w:space="0" w:color="auto"/>
            <w:left w:val="none" w:sz="0" w:space="0" w:color="auto"/>
            <w:bottom w:val="none" w:sz="0" w:space="0" w:color="auto"/>
            <w:right w:val="none" w:sz="0" w:space="0" w:color="auto"/>
          </w:divBdr>
        </w:div>
        <w:div w:id="323629581">
          <w:marLeft w:val="640"/>
          <w:marRight w:val="0"/>
          <w:marTop w:val="0"/>
          <w:marBottom w:val="0"/>
          <w:divBdr>
            <w:top w:val="none" w:sz="0" w:space="0" w:color="auto"/>
            <w:left w:val="none" w:sz="0" w:space="0" w:color="auto"/>
            <w:bottom w:val="none" w:sz="0" w:space="0" w:color="auto"/>
            <w:right w:val="none" w:sz="0" w:space="0" w:color="auto"/>
          </w:divBdr>
        </w:div>
        <w:div w:id="826672961">
          <w:marLeft w:val="640"/>
          <w:marRight w:val="0"/>
          <w:marTop w:val="0"/>
          <w:marBottom w:val="0"/>
          <w:divBdr>
            <w:top w:val="none" w:sz="0" w:space="0" w:color="auto"/>
            <w:left w:val="none" w:sz="0" w:space="0" w:color="auto"/>
            <w:bottom w:val="none" w:sz="0" w:space="0" w:color="auto"/>
            <w:right w:val="none" w:sz="0" w:space="0" w:color="auto"/>
          </w:divBdr>
        </w:div>
        <w:div w:id="1285624758">
          <w:marLeft w:val="640"/>
          <w:marRight w:val="0"/>
          <w:marTop w:val="0"/>
          <w:marBottom w:val="0"/>
          <w:divBdr>
            <w:top w:val="none" w:sz="0" w:space="0" w:color="auto"/>
            <w:left w:val="none" w:sz="0" w:space="0" w:color="auto"/>
            <w:bottom w:val="none" w:sz="0" w:space="0" w:color="auto"/>
            <w:right w:val="none" w:sz="0" w:space="0" w:color="auto"/>
          </w:divBdr>
        </w:div>
        <w:div w:id="1275166050">
          <w:marLeft w:val="640"/>
          <w:marRight w:val="0"/>
          <w:marTop w:val="0"/>
          <w:marBottom w:val="0"/>
          <w:divBdr>
            <w:top w:val="none" w:sz="0" w:space="0" w:color="auto"/>
            <w:left w:val="none" w:sz="0" w:space="0" w:color="auto"/>
            <w:bottom w:val="none" w:sz="0" w:space="0" w:color="auto"/>
            <w:right w:val="none" w:sz="0" w:space="0" w:color="auto"/>
          </w:divBdr>
        </w:div>
        <w:div w:id="864749491">
          <w:marLeft w:val="640"/>
          <w:marRight w:val="0"/>
          <w:marTop w:val="0"/>
          <w:marBottom w:val="0"/>
          <w:divBdr>
            <w:top w:val="none" w:sz="0" w:space="0" w:color="auto"/>
            <w:left w:val="none" w:sz="0" w:space="0" w:color="auto"/>
            <w:bottom w:val="none" w:sz="0" w:space="0" w:color="auto"/>
            <w:right w:val="none" w:sz="0" w:space="0" w:color="auto"/>
          </w:divBdr>
        </w:div>
        <w:div w:id="1818494646">
          <w:marLeft w:val="640"/>
          <w:marRight w:val="0"/>
          <w:marTop w:val="0"/>
          <w:marBottom w:val="0"/>
          <w:divBdr>
            <w:top w:val="none" w:sz="0" w:space="0" w:color="auto"/>
            <w:left w:val="none" w:sz="0" w:space="0" w:color="auto"/>
            <w:bottom w:val="none" w:sz="0" w:space="0" w:color="auto"/>
            <w:right w:val="none" w:sz="0" w:space="0" w:color="auto"/>
          </w:divBdr>
        </w:div>
        <w:div w:id="229534741">
          <w:marLeft w:val="640"/>
          <w:marRight w:val="0"/>
          <w:marTop w:val="0"/>
          <w:marBottom w:val="0"/>
          <w:divBdr>
            <w:top w:val="none" w:sz="0" w:space="0" w:color="auto"/>
            <w:left w:val="none" w:sz="0" w:space="0" w:color="auto"/>
            <w:bottom w:val="none" w:sz="0" w:space="0" w:color="auto"/>
            <w:right w:val="none" w:sz="0" w:space="0" w:color="auto"/>
          </w:divBdr>
        </w:div>
        <w:div w:id="105345962">
          <w:marLeft w:val="640"/>
          <w:marRight w:val="0"/>
          <w:marTop w:val="0"/>
          <w:marBottom w:val="0"/>
          <w:divBdr>
            <w:top w:val="none" w:sz="0" w:space="0" w:color="auto"/>
            <w:left w:val="none" w:sz="0" w:space="0" w:color="auto"/>
            <w:bottom w:val="none" w:sz="0" w:space="0" w:color="auto"/>
            <w:right w:val="none" w:sz="0" w:space="0" w:color="auto"/>
          </w:divBdr>
        </w:div>
        <w:div w:id="1885023105">
          <w:marLeft w:val="640"/>
          <w:marRight w:val="0"/>
          <w:marTop w:val="0"/>
          <w:marBottom w:val="0"/>
          <w:divBdr>
            <w:top w:val="none" w:sz="0" w:space="0" w:color="auto"/>
            <w:left w:val="none" w:sz="0" w:space="0" w:color="auto"/>
            <w:bottom w:val="none" w:sz="0" w:space="0" w:color="auto"/>
            <w:right w:val="none" w:sz="0" w:space="0" w:color="auto"/>
          </w:divBdr>
        </w:div>
        <w:div w:id="405227312">
          <w:marLeft w:val="640"/>
          <w:marRight w:val="0"/>
          <w:marTop w:val="0"/>
          <w:marBottom w:val="0"/>
          <w:divBdr>
            <w:top w:val="none" w:sz="0" w:space="0" w:color="auto"/>
            <w:left w:val="none" w:sz="0" w:space="0" w:color="auto"/>
            <w:bottom w:val="none" w:sz="0" w:space="0" w:color="auto"/>
            <w:right w:val="none" w:sz="0" w:space="0" w:color="auto"/>
          </w:divBdr>
        </w:div>
        <w:div w:id="313995577">
          <w:marLeft w:val="640"/>
          <w:marRight w:val="0"/>
          <w:marTop w:val="0"/>
          <w:marBottom w:val="0"/>
          <w:divBdr>
            <w:top w:val="none" w:sz="0" w:space="0" w:color="auto"/>
            <w:left w:val="none" w:sz="0" w:space="0" w:color="auto"/>
            <w:bottom w:val="none" w:sz="0" w:space="0" w:color="auto"/>
            <w:right w:val="none" w:sz="0" w:space="0" w:color="auto"/>
          </w:divBdr>
        </w:div>
        <w:div w:id="1670016297">
          <w:marLeft w:val="640"/>
          <w:marRight w:val="0"/>
          <w:marTop w:val="0"/>
          <w:marBottom w:val="0"/>
          <w:divBdr>
            <w:top w:val="none" w:sz="0" w:space="0" w:color="auto"/>
            <w:left w:val="none" w:sz="0" w:space="0" w:color="auto"/>
            <w:bottom w:val="none" w:sz="0" w:space="0" w:color="auto"/>
            <w:right w:val="none" w:sz="0" w:space="0" w:color="auto"/>
          </w:divBdr>
        </w:div>
        <w:div w:id="1535383764">
          <w:marLeft w:val="640"/>
          <w:marRight w:val="0"/>
          <w:marTop w:val="0"/>
          <w:marBottom w:val="0"/>
          <w:divBdr>
            <w:top w:val="none" w:sz="0" w:space="0" w:color="auto"/>
            <w:left w:val="none" w:sz="0" w:space="0" w:color="auto"/>
            <w:bottom w:val="none" w:sz="0" w:space="0" w:color="auto"/>
            <w:right w:val="none" w:sz="0" w:space="0" w:color="auto"/>
          </w:divBdr>
        </w:div>
        <w:div w:id="346829540">
          <w:marLeft w:val="640"/>
          <w:marRight w:val="0"/>
          <w:marTop w:val="0"/>
          <w:marBottom w:val="0"/>
          <w:divBdr>
            <w:top w:val="none" w:sz="0" w:space="0" w:color="auto"/>
            <w:left w:val="none" w:sz="0" w:space="0" w:color="auto"/>
            <w:bottom w:val="none" w:sz="0" w:space="0" w:color="auto"/>
            <w:right w:val="none" w:sz="0" w:space="0" w:color="auto"/>
          </w:divBdr>
        </w:div>
        <w:div w:id="1733455690">
          <w:marLeft w:val="640"/>
          <w:marRight w:val="0"/>
          <w:marTop w:val="0"/>
          <w:marBottom w:val="0"/>
          <w:divBdr>
            <w:top w:val="none" w:sz="0" w:space="0" w:color="auto"/>
            <w:left w:val="none" w:sz="0" w:space="0" w:color="auto"/>
            <w:bottom w:val="none" w:sz="0" w:space="0" w:color="auto"/>
            <w:right w:val="none" w:sz="0" w:space="0" w:color="auto"/>
          </w:divBdr>
        </w:div>
        <w:div w:id="390809687">
          <w:marLeft w:val="640"/>
          <w:marRight w:val="0"/>
          <w:marTop w:val="0"/>
          <w:marBottom w:val="0"/>
          <w:divBdr>
            <w:top w:val="none" w:sz="0" w:space="0" w:color="auto"/>
            <w:left w:val="none" w:sz="0" w:space="0" w:color="auto"/>
            <w:bottom w:val="none" w:sz="0" w:space="0" w:color="auto"/>
            <w:right w:val="none" w:sz="0" w:space="0" w:color="auto"/>
          </w:divBdr>
        </w:div>
        <w:div w:id="1197935526">
          <w:marLeft w:val="640"/>
          <w:marRight w:val="0"/>
          <w:marTop w:val="0"/>
          <w:marBottom w:val="0"/>
          <w:divBdr>
            <w:top w:val="none" w:sz="0" w:space="0" w:color="auto"/>
            <w:left w:val="none" w:sz="0" w:space="0" w:color="auto"/>
            <w:bottom w:val="none" w:sz="0" w:space="0" w:color="auto"/>
            <w:right w:val="none" w:sz="0" w:space="0" w:color="auto"/>
          </w:divBdr>
        </w:div>
        <w:div w:id="1900825973">
          <w:marLeft w:val="640"/>
          <w:marRight w:val="0"/>
          <w:marTop w:val="0"/>
          <w:marBottom w:val="0"/>
          <w:divBdr>
            <w:top w:val="none" w:sz="0" w:space="0" w:color="auto"/>
            <w:left w:val="none" w:sz="0" w:space="0" w:color="auto"/>
            <w:bottom w:val="none" w:sz="0" w:space="0" w:color="auto"/>
            <w:right w:val="none" w:sz="0" w:space="0" w:color="auto"/>
          </w:divBdr>
        </w:div>
        <w:div w:id="550310032">
          <w:marLeft w:val="640"/>
          <w:marRight w:val="0"/>
          <w:marTop w:val="0"/>
          <w:marBottom w:val="0"/>
          <w:divBdr>
            <w:top w:val="none" w:sz="0" w:space="0" w:color="auto"/>
            <w:left w:val="none" w:sz="0" w:space="0" w:color="auto"/>
            <w:bottom w:val="none" w:sz="0" w:space="0" w:color="auto"/>
            <w:right w:val="none" w:sz="0" w:space="0" w:color="auto"/>
          </w:divBdr>
        </w:div>
        <w:div w:id="1911188143">
          <w:marLeft w:val="640"/>
          <w:marRight w:val="0"/>
          <w:marTop w:val="0"/>
          <w:marBottom w:val="0"/>
          <w:divBdr>
            <w:top w:val="none" w:sz="0" w:space="0" w:color="auto"/>
            <w:left w:val="none" w:sz="0" w:space="0" w:color="auto"/>
            <w:bottom w:val="none" w:sz="0" w:space="0" w:color="auto"/>
            <w:right w:val="none" w:sz="0" w:space="0" w:color="auto"/>
          </w:divBdr>
        </w:div>
        <w:div w:id="1602640573">
          <w:marLeft w:val="640"/>
          <w:marRight w:val="0"/>
          <w:marTop w:val="0"/>
          <w:marBottom w:val="0"/>
          <w:divBdr>
            <w:top w:val="none" w:sz="0" w:space="0" w:color="auto"/>
            <w:left w:val="none" w:sz="0" w:space="0" w:color="auto"/>
            <w:bottom w:val="none" w:sz="0" w:space="0" w:color="auto"/>
            <w:right w:val="none" w:sz="0" w:space="0" w:color="auto"/>
          </w:divBdr>
        </w:div>
        <w:div w:id="529146690">
          <w:marLeft w:val="640"/>
          <w:marRight w:val="0"/>
          <w:marTop w:val="0"/>
          <w:marBottom w:val="0"/>
          <w:divBdr>
            <w:top w:val="none" w:sz="0" w:space="0" w:color="auto"/>
            <w:left w:val="none" w:sz="0" w:space="0" w:color="auto"/>
            <w:bottom w:val="none" w:sz="0" w:space="0" w:color="auto"/>
            <w:right w:val="none" w:sz="0" w:space="0" w:color="auto"/>
          </w:divBdr>
        </w:div>
        <w:div w:id="1079211073">
          <w:marLeft w:val="640"/>
          <w:marRight w:val="0"/>
          <w:marTop w:val="0"/>
          <w:marBottom w:val="0"/>
          <w:divBdr>
            <w:top w:val="none" w:sz="0" w:space="0" w:color="auto"/>
            <w:left w:val="none" w:sz="0" w:space="0" w:color="auto"/>
            <w:bottom w:val="none" w:sz="0" w:space="0" w:color="auto"/>
            <w:right w:val="none" w:sz="0" w:space="0" w:color="auto"/>
          </w:divBdr>
        </w:div>
        <w:div w:id="293022068">
          <w:marLeft w:val="640"/>
          <w:marRight w:val="0"/>
          <w:marTop w:val="0"/>
          <w:marBottom w:val="0"/>
          <w:divBdr>
            <w:top w:val="none" w:sz="0" w:space="0" w:color="auto"/>
            <w:left w:val="none" w:sz="0" w:space="0" w:color="auto"/>
            <w:bottom w:val="none" w:sz="0" w:space="0" w:color="auto"/>
            <w:right w:val="none" w:sz="0" w:space="0" w:color="auto"/>
          </w:divBdr>
        </w:div>
        <w:div w:id="1255092428">
          <w:marLeft w:val="640"/>
          <w:marRight w:val="0"/>
          <w:marTop w:val="0"/>
          <w:marBottom w:val="0"/>
          <w:divBdr>
            <w:top w:val="none" w:sz="0" w:space="0" w:color="auto"/>
            <w:left w:val="none" w:sz="0" w:space="0" w:color="auto"/>
            <w:bottom w:val="none" w:sz="0" w:space="0" w:color="auto"/>
            <w:right w:val="none" w:sz="0" w:space="0" w:color="auto"/>
          </w:divBdr>
        </w:div>
        <w:div w:id="297225764">
          <w:marLeft w:val="640"/>
          <w:marRight w:val="0"/>
          <w:marTop w:val="0"/>
          <w:marBottom w:val="0"/>
          <w:divBdr>
            <w:top w:val="none" w:sz="0" w:space="0" w:color="auto"/>
            <w:left w:val="none" w:sz="0" w:space="0" w:color="auto"/>
            <w:bottom w:val="none" w:sz="0" w:space="0" w:color="auto"/>
            <w:right w:val="none" w:sz="0" w:space="0" w:color="auto"/>
          </w:divBdr>
        </w:div>
        <w:div w:id="1285379999">
          <w:marLeft w:val="640"/>
          <w:marRight w:val="0"/>
          <w:marTop w:val="0"/>
          <w:marBottom w:val="0"/>
          <w:divBdr>
            <w:top w:val="none" w:sz="0" w:space="0" w:color="auto"/>
            <w:left w:val="none" w:sz="0" w:space="0" w:color="auto"/>
            <w:bottom w:val="none" w:sz="0" w:space="0" w:color="auto"/>
            <w:right w:val="none" w:sz="0" w:space="0" w:color="auto"/>
          </w:divBdr>
        </w:div>
        <w:div w:id="76833747">
          <w:marLeft w:val="640"/>
          <w:marRight w:val="0"/>
          <w:marTop w:val="0"/>
          <w:marBottom w:val="0"/>
          <w:divBdr>
            <w:top w:val="none" w:sz="0" w:space="0" w:color="auto"/>
            <w:left w:val="none" w:sz="0" w:space="0" w:color="auto"/>
            <w:bottom w:val="none" w:sz="0" w:space="0" w:color="auto"/>
            <w:right w:val="none" w:sz="0" w:space="0" w:color="auto"/>
          </w:divBdr>
        </w:div>
        <w:div w:id="1020816621">
          <w:marLeft w:val="640"/>
          <w:marRight w:val="0"/>
          <w:marTop w:val="0"/>
          <w:marBottom w:val="0"/>
          <w:divBdr>
            <w:top w:val="none" w:sz="0" w:space="0" w:color="auto"/>
            <w:left w:val="none" w:sz="0" w:space="0" w:color="auto"/>
            <w:bottom w:val="none" w:sz="0" w:space="0" w:color="auto"/>
            <w:right w:val="none" w:sz="0" w:space="0" w:color="auto"/>
          </w:divBdr>
        </w:div>
        <w:div w:id="2057779932">
          <w:marLeft w:val="640"/>
          <w:marRight w:val="0"/>
          <w:marTop w:val="0"/>
          <w:marBottom w:val="0"/>
          <w:divBdr>
            <w:top w:val="none" w:sz="0" w:space="0" w:color="auto"/>
            <w:left w:val="none" w:sz="0" w:space="0" w:color="auto"/>
            <w:bottom w:val="none" w:sz="0" w:space="0" w:color="auto"/>
            <w:right w:val="none" w:sz="0" w:space="0" w:color="auto"/>
          </w:divBdr>
        </w:div>
        <w:div w:id="868376457">
          <w:marLeft w:val="640"/>
          <w:marRight w:val="0"/>
          <w:marTop w:val="0"/>
          <w:marBottom w:val="0"/>
          <w:divBdr>
            <w:top w:val="none" w:sz="0" w:space="0" w:color="auto"/>
            <w:left w:val="none" w:sz="0" w:space="0" w:color="auto"/>
            <w:bottom w:val="none" w:sz="0" w:space="0" w:color="auto"/>
            <w:right w:val="none" w:sz="0" w:space="0" w:color="auto"/>
          </w:divBdr>
        </w:div>
        <w:div w:id="818306750">
          <w:marLeft w:val="640"/>
          <w:marRight w:val="0"/>
          <w:marTop w:val="0"/>
          <w:marBottom w:val="0"/>
          <w:divBdr>
            <w:top w:val="none" w:sz="0" w:space="0" w:color="auto"/>
            <w:left w:val="none" w:sz="0" w:space="0" w:color="auto"/>
            <w:bottom w:val="none" w:sz="0" w:space="0" w:color="auto"/>
            <w:right w:val="none" w:sz="0" w:space="0" w:color="auto"/>
          </w:divBdr>
        </w:div>
        <w:div w:id="1220822417">
          <w:marLeft w:val="640"/>
          <w:marRight w:val="0"/>
          <w:marTop w:val="0"/>
          <w:marBottom w:val="0"/>
          <w:divBdr>
            <w:top w:val="none" w:sz="0" w:space="0" w:color="auto"/>
            <w:left w:val="none" w:sz="0" w:space="0" w:color="auto"/>
            <w:bottom w:val="none" w:sz="0" w:space="0" w:color="auto"/>
            <w:right w:val="none" w:sz="0" w:space="0" w:color="auto"/>
          </w:divBdr>
        </w:div>
        <w:div w:id="1437555776">
          <w:marLeft w:val="640"/>
          <w:marRight w:val="0"/>
          <w:marTop w:val="0"/>
          <w:marBottom w:val="0"/>
          <w:divBdr>
            <w:top w:val="none" w:sz="0" w:space="0" w:color="auto"/>
            <w:left w:val="none" w:sz="0" w:space="0" w:color="auto"/>
            <w:bottom w:val="none" w:sz="0" w:space="0" w:color="auto"/>
            <w:right w:val="none" w:sz="0" w:space="0" w:color="auto"/>
          </w:divBdr>
        </w:div>
        <w:div w:id="600113617">
          <w:marLeft w:val="640"/>
          <w:marRight w:val="0"/>
          <w:marTop w:val="0"/>
          <w:marBottom w:val="0"/>
          <w:divBdr>
            <w:top w:val="none" w:sz="0" w:space="0" w:color="auto"/>
            <w:left w:val="none" w:sz="0" w:space="0" w:color="auto"/>
            <w:bottom w:val="none" w:sz="0" w:space="0" w:color="auto"/>
            <w:right w:val="none" w:sz="0" w:space="0" w:color="auto"/>
          </w:divBdr>
        </w:div>
        <w:div w:id="1125778035">
          <w:marLeft w:val="640"/>
          <w:marRight w:val="0"/>
          <w:marTop w:val="0"/>
          <w:marBottom w:val="0"/>
          <w:divBdr>
            <w:top w:val="none" w:sz="0" w:space="0" w:color="auto"/>
            <w:left w:val="none" w:sz="0" w:space="0" w:color="auto"/>
            <w:bottom w:val="none" w:sz="0" w:space="0" w:color="auto"/>
            <w:right w:val="none" w:sz="0" w:space="0" w:color="auto"/>
          </w:divBdr>
        </w:div>
        <w:div w:id="77823846">
          <w:marLeft w:val="640"/>
          <w:marRight w:val="0"/>
          <w:marTop w:val="0"/>
          <w:marBottom w:val="0"/>
          <w:divBdr>
            <w:top w:val="none" w:sz="0" w:space="0" w:color="auto"/>
            <w:left w:val="none" w:sz="0" w:space="0" w:color="auto"/>
            <w:bottom w:val="none" w:sz="0" w:space="0" w:color="auto"/>
            <w:right w:val="none" w:sz="0" w:space="0" w:color="auto"/>
          </w:divBdr>
        </w:div>
        <w:div w:id="716585544">
          <w:marLeft w:val="640"/>
          <w:marRight w:val="0"/>
          <w:marTop w:val="0"/>
          <w:marBottom w:val="0"/>
          <w:divBdr>
            <w:top w:val="none" w:sz="0" w:space="0" w:color="auto"/>
            <w:left w:val="none" w:sz="0" w:space="0" w:color="auto"/>
            <w:bottom w:val="none" w:sz="0" w:space="0" w:color="auto"/>
            <w:right w:val="none" w:sz="0" w:space="0" w:color="auto"/>
          </w:divBdr>
        </w:div>
        <w:div w:id="1849635807">
          <w:marLeft w:val="640"/>
          <w:marRight w:val="0"/>
          <w:marTop w:val="0"/>
          <w:marBottom w:val="0"/>
          <w:divBdr>
            <w:top w:val="none" w:sz="0" w:space="0" w:color="auto"/>
            <w:left w:val="none" w:sz="0" w:space="0" w:color="auto"/>
            <w:bottom w:val="none" w:sz="0" w:space="0" w:color="auto"/>
            <w:right w:val="none" w:sz="0" w:space="0" w:color="auto"/>
          </w:divBdr>
        </w:div>
        <w:div w:id="1996294071">
          <w:marLeft w:val="640"/>
          <w:marRight w:val="0"/>
          <w:marTop w:val="0"/>
          <w:marBottom w:val="0"/>
          <w:divBdr>
            <w:top w:val="none" w:sz="0" w:space="0" w:color="auto"/>
            <w:left w:val="none" w:sz="0" w:space="0" w:color="auto"/>
            <w:bottom w:val="none" w:sz="0" w:space="0" w:color="auto"/>
            <w:right w:val="none" w:sz="0" w:space="0" w:color="auto"/>
          </w:divBdr>
        </w:div>
        <w:div w:id="187841487">
          <w:marLeft w:val="640"/>
          <w:marRight w:val="0"/>
          <w:marTop w:val="0"/>
          <w:marBottom w:val="0"/>
          <w:divBdr>
            <w:top w:val="none" w:sz="0" w:space="0" w:color="auto"/>
            <w:left w:val="none" w:sz="0" w:space="0" w:color="auto"/>
            <w:bottom w:val="none" w:sz="0" w:space="0" w:color="auto"/>
            <w:right w:val="none" w:sz="0" w:space="0" w:color="auto"/>
          </w:divBdr>
        </w:div>
        <w:div w:id="532966466">
          <w:marLeft w:val="640"/>
          <w:marRight w:val="0"/>
          <w:marTop w:val="0"/>
          <w:marBottom w:val="0"/>
          <w:divBdr>
            <w:top w:val="none" w:sz="0" w:space="0" w:color="auto"/>
            <w:left w:val="none" w:sz="0" w:space="0" w:color="auto"/>
            <w:bottom w:val="none" w:sz="0" w:space="0" w:color="auto"/>
            <w:right w:val="none" w:sz="0" w:space="0" w:color="auto"/>
          </w:divBdr>
        </w:div>
        <w:div w:id="1466460897">
          <w:marLeft w:val="640"/>
          <w:marRight w:val="0"/>
          <w:marTop w:val="0"/>
          <w:marBottom w:val="0"/>
          <w:divBdr>
            <w:top w:val="none" w:sz="0" w:space="0" w:color="auto"/>
            <w:left w:val="none" w:sz="0" w:space="0" w:color="auto"/>
            <w:bottom w:val="none" w:sz="0" w:space="0" w:color="auto"/>
            <w:right w:val="none" w:sz="0" w:space="0" w:color="auto"/>
          </w:divBdr>
        </w:div>
        <w:div w:id="1654404007">
          <w:marLeft w:val="640"/>
          <w:marRight w:val="0"/>
          <w:marTop w:val="0"/>
          <w:marBottom w:val="0"/>
          <w:divBdr>
            <w:top w:val="none" w:sz="0" w:space="0" w:color="auto"/>
            <w:left w:val="none" w:sz="0" w:space="0" w:color="auto"/>
            <w:bottom w:val="none" w:sz="0" w:space="0" w:color="auto"/>
            <w:right w:val="none" w:sz="0" w:space="0" w:color="auto"/>
          </w:divBdr>
        </w:div>
        <w:div w:id="889343620">
          <w:marLeft w:val="640"/>
          <w:marRight w:val="0"/>
          <w:marTop w:val="0"/>
          <w:marBottom w:val="0"/>
          <w:divBdr>
            <w:top w:val="none" w:sz="0" w:space="0" w:color="auto"/>
            <w:left w:val="none" w:sz="0" w:space="0" w:color="auto"/>
            <w:bottom w:val="none" w:sz="0" w:space="0" w:color="auto"/>
            <w:right w:val="none" w:sz="0" w:space="0" w:color="auto"/>
          </w:divBdr>
        </w:div>
        <w:div w:id="994142972">
          <w:marLeft w:val="640"/>
          <w:marRight w:val="0"/>
          <w:marTop w:val="0"/>
          <w:marBottom w:val="0"/>
          <w:divBdr>
            <w:top w:val="none" w:sz="0" w:space="0" w:color="auto"/>
            <w:left w:val="none" w:sz="0" w:space="0" w:color="auto"/>
            <w:bottom w:val="none" w:sz="0" w:space="0" w:color="auto"/>
            <w:right w:val="none" w:sz="0" w:space="0" w:color="auto"/>
          </w:divBdr>
        </w:div>
        <w:div w:id="2087418174">
          <w:marLeft w:val="640"/>
          <w:marRight w:val="0"/>
          <w:marTop w:val="0"/>
          <w:marBottom w:val="0"/>
          <w:divBdr>
            <w:top w:val="none" w:sz="0" w:space="0" w:color="auto"/>
            <w:left w:val="none" w:sz="0" w:space="0" w:color="auto"/>
            <w:bottom w:val="none" w:sz="0" w:space="0" w:color="auto"/>
            <w:right w:val="none" w:sz="0" w:space="0" w:color="auto"/>
          </w:divBdr>
        </w:div>
        <w:div w:id="1777600976">
          <w:marLeft w:val="640"/>
          <w:marRight w:val="0"/>
          <w:marTop w:val="0"/>
          <w:marBottom w:val="0"/>
          <w:divBdr>
            <w:top w:val="none" w:sz="0" w:space="0" w:color="auto"/>
            <w:left w:val="none" w:sz="0" w:space="0" w:color="auto"/>
            <w:bottom w:val="none" w:sz="0" w:space="0" w:color="auto"/>
            <w:right w:val="none" w:sz="0" w:space="0" w:color="auto"/>
          </w:divBdr>
        </w:div>
        <w:div w:id="65955148">
          <w:marLeft w:val="640"/>
          <w:marRight w:val="0"/>
          <w:marTop w:val="0"/>
          <w:marBottom w:val="0"/>
          <w:divBdr>
            <w:top w:val="none" w:sz="0" w:space="0" w:color="auto"/>
            <w:left w:val="none" w:sz="0" w:space="0" w:color="auto"/>
            <w:bottom w:val="none" w:sz="0" w:space="0" w:color="auto"/>
            <w:right w:val="none" w:sz="0" w:space="0" w:color="auto"/>
          </w:divBdr>
        </w:div>
        <w:div w:id="1041134034">
          <w:marLeft w:val="640"/>
          <w:marRight w:val="0"/>
          <w:marTop w:val="0"/>
          <w:marBottom w:val="0"/>
          <w:divBdr>
            <w:top w:val="none" w:sz="0" w:space="0" w:color="auto"/>
            <w:left w:val="none" w:sz="0" w:space="0" w:color="auto"/>
            <w:bottom w:val="none" w:sz="0" w:space="0" w:color="auto"/>
            <w:right w:val="none" w:sz="0" w:space="0" w:color="auto"/>
          </w:divBdr>
        </w:div>
        <w:div w:id="986477388">
          <w:marLeft w:val="640"/>
          <w:marRight w:val="0"/>
          <w:marTop w:val="0"/>
          <w:marBottom w:val="0"/>
          <w:divBdr>
            <w:top w:val="none" w:sz="0" w:space="0" w:color="auto"/>
            <w:left w:val="none" w:sz="0" w:space="0" w:color="auto"/>
            <w:bottom w:val="none" w:sz="0" w:space="0" w:color="auto"/>
            <w:right w:val="none" w:sz="0" w:space="0" w:color="auto"/>
          </w:divBdr>
        </w:div>
        <w:div w:id="1636176661">
          <w:marLeft w:val="640"/>
          <w:marRight w:val="0"/>
          <w:marTop w:val="0"/>
          <w:marBottom w:val="0"/>
          <w:divBdr>
            <w:top w:val="none" w:sz="0" w:space="0" w:color="auto"/>
            <w:left w:val="none" w:sz="0" w:space="0" w:color="auto"/>
            <w:bottom w:val="none" w:sz="0" w:space="0" w:color="auto"/>
            <w:right w:val="none" w:sz="0" w:space="0" w:color="auto"/>
          </w:divBdr>
        </w:div>
        <w:div w:id="336466428">
          <w:marLeft w:val="640"/>
          <w:marRight w:val="0"/>
          <w:marTop w:val="0"/>
          <w:marBottom w:val="0"/>
          <w:divBdr>
            <w:top w:val="none" w:sz="0" w:space="0" w:color="auto"/>
            <w:left w:val="none" w:sz="0" w:space="0" w:color="auto"/>
            <w:bottom w:val="none" w:sz="0" w:space="0" w:color="auto"/>
            <w:right w:val="none" w:sz="0" w:space="0" w:color="auto"/>
          </w:divBdr>
        </w:div>
        <w:div w:id="2004429842">
          <w:marLeft w:val="640"/>
          <w:marRight w:val="0"/>
          <w:marTop w:val="0"/>
          <w:marBottom w:val="0"/>
          <w:divBdr>
            <w:top w:val="none" w:sz="0" w:space="0" w:color="auto"/>
            <w:left w:val="none" w:sz="0" w:space="0" w:color="auto"/>
            <w:bottom w:val="none" w:sz="0" w:space="0" w:color="auto"/>
            <w:right w:val="none" w:sz="0" w:space="0" w:color="auto"/>
          </w:divBdr>
        </w:div>
        <w:div w:id="1217472429">
          <w:marLeft w:val="640"/>
          <w:marRight w:val="0"/>
          <w:marTop w:val="0"/>
          <w:marBottom w:val="0"/>
          <w:divBdr>
            <w:top w:val="none" w:sz="0" w:space="0" w:color="auto"/>
            <w:left w:val="none" w:sz="0" w:space="0" w:color="auto"/>
            <w:bottom w:val="none" w:sz="0" w:space="0" w:color="auto"/>
            <w:right w:val="none" w:sz="0" w:space="0" w:color="auto"/>
          </w:divBdr>
        </w:div>
        <w:div w:id="812912412">
          <w:marLeft w:val="640"/>
          <w:marRight w:val="0"/>
          <w:marTop w:val="0"/>
          <w:marBottom w:val="0"/>
          <w:divBdr>
            <w:top w:val="none" w:sz="0" w:space="0" w:color="auto"/>
            <w:left w:val="none" w:sz="0" w:space="0" w:color="auto"/>
            <w:bottom w:val="none" w:sz="0" w:space="0" w:color="auto"/>
            <w:right w:val="none" w:sz="0" w:space="0" w:color="auto"/>
          </w:divBdr>
        </w:div>
        <w:div w:id="633406983">
          <w:marLeft w:val="640"/>
          <w:marRight w:val="0"/>
          <w:marTop w:val="0"/>
          <w:marBottom w:val="0"/>
          <w:divBdr>
            <w:top w:val="none" w:sz="0" w:space="0" w:color="auto"/>
            <w:left w:val="none" w:sz="0" w:space="0" w:color="auto"/>
            <w:bottom w:val="none" w:sz="0" w:space="0" w:color="auto"/>
            <w:right w:val="none" w:sz="0" w:space="0" w:color="auto"/>
          </w:divBdr>
        </w:div>
        <w:div w:id="1328753381">
          <w:marLeft w:val="640"/>
          <w:marRight w:val="0"/>
          <w:marTop w:val="0"/>
          <w:marBottom w:val="0"/>
          <w:divBdr>
            <w:top w:val="none" w:sz="0" w:space="0" w:color="auto"/>
            <w:left w:val="none" w:sz="0" w:space="0" w:color="auto"/>
            <w:bottom w:val="none" w:sz="0" w:space="0" w:color="auto"/>
            <w:right w:val="none" w:sz="0" w:space="0" w:color="auto"/>
          </w:divBdr>
        </w:div>
        <w:div w:id="636422762">
          <w:marLeft w:val="640"/>
          <w:marRight w:val="0"/>
          <w:marTop w:val="0"/>
          <w:marBottom w:val="0"/>
          <w:divBdr>
            <w:top w:val="none" w:sz="0" w:space="0" w:color="auto"/>
            <w:left w:val="none" w:sz="0" w:space="0" w:color="auto"/>
            <w:bottom w:val="none" w:sz="0" w:space="0" w:color="auto"/>
            <w:right w:val="none" w:sz="0" w:space="0" w:color="auto"/>
          </w:divBdr>
        </w:div>
        <w:div w:id="372466726">
          <w:marLeft w:val="640"/>
          <w:marRight w:val="0"/>
          <w:marTop w:val="0"/>
          <w:marBottom w:val="0"/>
          <w:divBdr>
            <w:top w:val="none" w:sz="0" w:space="0" w:color="auto"/>
            <w:left w:val="none" w:sz="0" w:space="0" w:color="auto"/>
            <w:bottom w:val="none" w:sz="0" w:space="0" w:color="auto"/>
            <w:right w:val="none" w:sz="0" w:space="0" w:color="auto"/>
          </w:divBdr>
        </w:div>
        <w:div w:id="623534961">
          <w:marLeft w:val="640"/>
          <w:marRight w:val="0"/>
          <w:marTop w:val="0"/>
          <w:marBottom w:val="0"/>
          <w:divBdr>
            <w:top w:val="none" w:sz="0" w:space="0" w:color="auto"/>
            <w:left w:val="none" w:sz="0" w:space="0" w:color="auto"/>
            <w:bottom w:val="none" w:sz="0" w:space="0" w:color="auto"/>
            <w:right w:val="none" w:sz="0" w:space="0" w:color="auto"/>
          </w:divBdr>
        </w:div>
        <w:div w:id="2033452831">
          <w:marLeft w:val="640"/>
          <w:marRight w:val="0"/>
          <w:marTop w:val="0"/>
          <w:marBottom w:val="0"/>
          <w:divBdr>
            <w:top w:val="none" w:sz="0" w:space="0" w:color="auto"/>
            <w:left w:val="none" w:sz="0" w:space="0" w:color="auto"/>
            <w:bottom w:val="none" w:sz="0" w:space="0" w:color="auto"/>
            <w:right w:val="none" w:sz="0" w:space="0" w:color="auto"/>
          </w:divBdr>
        </w:div>
        <w:div w:id="1159075132">
          <w:marLeft w:val="640"/>
          <w:marRight w:val="0"/>
          <w:marTop w:val="0"/>
          <w:marBottom w:val="0"/>
          <w:divBdr>
            <w:top w:val="none" w:sz="0" w:space="0" w:color="auto"/>
            <w:left w:val="none" w:sz="0" w:space="0" w:color="auto"/>
            <w:bottom w:val="none" w:sz="0" w:space="0" w:color="auto"/>
            <w:right w:val="none" w:sz="0" w:space="0" w:color="auto"/>
          </w:divBdr>
        </w:div>
        <w:div w:id="671952816">
          <w:marLeft w:val="640"/>
          <w:marRight w:val="0"/>
          <w:marTop w:val="0"/>
          <w:marBottom w:val="0"/>
          <w:divBdr>
            <w:top w:val="none" w:sz="0" w:space="0" w:color="auto"/>
            <w:left w:val="none" w:sz="0" w:space="0" w:color="auto"/>
            <w:bottom w:val="none" w:sz="0" w:space="0" w:color="auto"/>
            <w:right w:val="none" w:sz="0" w:space="0" w:color="auto"/>
          </w:divBdr>
        </w:div>
        <w:div w:id="126290032">
          <w:marLeft w:val="640"/>
          <w:marRight w:val="0"/>
          <w:marTop w:val="0"/>
          <w:marBottom w:val="0"/>
          <w:divBdr>
            <w:top w:val="none" w:sz="0" w:space="0" w:color="auto"/>
            <w:left w:val="none" w:sz="0" w:space="0" w:color="auto"/>
            <w:bottom w:val="none" w:sz="0" w:space="0" w:color="auto"/>
            <w:right w:val="none" w:sz="0" w:space="0" w:color="auto"/>
          </w:divBdr>
        </w:div>
        <w:div w:id="716589436">
          <w:marLeft w:val="640"/>
          <w:marRight w:val="0"/>
          <w:marTop w:val="0"/>
          <w:marBottom w:val="0"/>
          <w:divBdr>
            <w:top w:val="none" w:sz="0" w:space="0" w:color="auto"/>
            <w:left w:val="none" w:sz="0" w:space="0" w:color="auto"/>
            <w:bottom w:val="none" w:sz="0" w:space="0" w:color="auto"/>
            <w:right w:val="none" w:sz="0" w:space="0" w:color="auto"/>
          </w:divBdr>
        </w:div>
        <w:div w:id="1167095892">
          <w:marLeft w:val="640"/>
          <w:marRight w:val="0"/>
          <w:marTop w:val="0"/>
          <w:marBottom w:val="0"/>
          <w:divBdr>
            <w:top w:val="none" w:sz="0" w:space="0" w:color="auto"/>
            <w:left w:val="none" w:sz="0" w:space="0" w:color="auto"/>
            <w:bottom w:val="none" w:sz="0" w:space="0" w:color="auto"/>
            <w:right w:val="none" w:sz="0" w:space="0" w:color="auto"/>
          </w:divBdr>
        </w:div>
        <w:div w:id="1250115493">
          <w:marLeft w:val="640"/>
          <w:marRight w:val="0"/>
          <w:marTop w:val="0"/>
          <w:marBottom w:val="0"/>
          <w:divBdr>
            <w:top w:val="none" w:sz="0" w:space="0" w:color="auto"/>
            <w:left w:val="none" w:sz="0" w:space="0" w:color="auto"/>
            <w:bottom w:val="none" w:sz="0" w:space="0" w:color="auto"/>
            <w:right w:val="none" w:sz="0" w:space="0" w:color="auto"/>
          </w:divBdr>
        </w:div>
        <w:div w:id="1060010488">
          <w:marLeft w:val="640"/>
          <w:marRight w:val="0"/>
          <w:marTop w:val="0"/>
          <w:marBottom w:val="0"/>
          <w:divBdr>
            <w:top w:val="none" w:sz="0" w:space="0" w:color="auto"/>
            <w:left w:val="none" w:sz="0" w:space="0" w:color="auto"/>
            <w:bottom w:val="none" w:sz="0" w:space="0" w:color="auto"/>
            <w:right w:val="none" w:sz="0" w:space="0" w:color="auto"/>
          </w:divBdr>
        </w:div>
        <w:div w:id="1369530095">
          <w:marLeft w:val="640"/>
          <w:marRight w:val="0"/>
          <w:marTop w:val="0"/>
          <w:marBottom w:val="0"/>
          <w:divBdr>
            <w:top w:val="none" w:sz="0" w:space="0" w:color="auto"/>
            <w:left w:val="none" w:sz="0" w:space="0" w:color="auto"/>
            <w:bottom w:val="none" w:sz="0" w:space="0" w:color="auto"/>
            <w:right w:val="none" w:sz="0" w:space="0" w:color="auto"/>
          </w:divBdr>
        </w:div>
        <w:div w:id="368991568">
          <w:marLeft w:val="640"/>
          <w:marRight w:val="0"/>
          <w:marTop w:val="0"/>
          <w:marBottom w:val="0"/>
          <w:divBdr>
            <w:top w:val="none" w:sz="0" w:space="0" w:color="auto"/>
            <w:left w:val="none" w:sz="0" w:space="0" w:color="auto"/>
            <w:bottom w:val="none" w:sz="0" w:space="0" w:color="auto"/>
            <w:right w:val="none" w:sz="0" w:space="0" w:color="auto"/>
          </w:divBdr>
        </w:div>
        <w:div w:id="1484153954">
          <w:marLeft w:val="640"/>
          <w:marRight w:val="0"/>
          <w:marTop w:val="0"/>
          <w:marBottom w:val="0"/>
          <w:divBdr>
            <w:top w:val="none" w:sz="0" w:space="0" w:color="auto"/>
            <w:left w:val="none" w:sz="0" w:space="0" w:color="auto"/>
            <w:bottom w:val="none" w:sz="0" w:space="0" w:color="auto"/>
            <w:right w:val="none" w:sz="0" w:space="0" w:color="auto"/>
          </w:divBdr>
        </w:div>
        <w:div w:id="525102309">
          <w:marLeft w:val="640"/>
          <w:marRight w:val="0"/>
          <w:marTop w:val="0"/>
          <w:marBottom w:val="0"/>
          <w:divBdr>
            <w:top w:val="none" w:sz="0" w:space="0" w:color="auto"/>
            <w:left w:val="none" w:sz="0" w:space="0" w:color="auto"/>
            <w:bottom w:val="none" w:sz="0" w:space="0" w:color="auto"/>
            <w:right w:val="none" w:sz="0" w:space="0" w:color="auto"/>
          </w:divBdr>
        </w:div>
        <w:div w:id="999118965">
          <w:marLeft w:val="640"/>
          <w:marRight w:val="0"/>
          <w:marTop w:val="0"/>
          <w:marBottom w:val="0"/>
          <w:divBdr>
            <w:top w:val="none" w:sz="0" w:space="0" w:color="auto"/>
            <w:left w:val="none" w:sz="0" w:space="0" w:color="auto"/>
            <w:bottom w:val="none" w:sz="0" w:space="0" w:color="auto"/>
            <w:right w:val="none" w:sz="0" w:space="0" w:color="auto"/>
          </w:divBdr>
        </w:div>
        <w:div w:id="694040796">
          <w:marLeft w:val="640"/>
          <w:marRight w:val="0"/>
          <w:marTop w:val="0"/>
          <w:marBottom w:val="0"/>
          <w:divBdr>
            <w:top w:val="none" w:sz="0" w:space="0" w:color="auto"/>
            <w:left w:val="none" w:sz="0" w:space="0" w:color="auto"/>
            <w:bottom w:val="none" w:sz="0" w:space="0" w:color="auto"/>
            <w:right w:val="none" w:sz="0" w:space="0" w:color="auto"/>
          </w:divBdr>
        </w:div>
        <w:div w:id="1832671330">
          <w:marLeft w:val="640"/>
          <w:marRight w:val="0"/>
          <w:marTop w:val="0"/>
          <w:marBottom w:val="0"/>
          <w:divBdr>
            <w:top w:val="none" w:sz="0" w:space="0" w:color="auto"/>
            <w:left w:val="none" w:sz="0" w:space="0" w:color="auto"/>
            <w:bottom w:val="none" w:sz="0" w:space="0" w:color="auto"/>
            <w:right w:val="none" w:sz="0" w:space="0" w:color="auto"/>
          </w:divBdr>
        </w:div>
        <w:div w:id="1377464286">
          <w:marLeft w:val="640"/>
          <w:marRight w:val="0"/>
          <w:marTop w:val="0"/>
          <w:marBottom w:val="0"/>
          <w:divBdr>
            <w:top w:val="none" w:sz="0" w:space="0" w:color="auto"/>
            <w:left w:val="none" w:sz="0" w:space="0" w:color="auto"/>
            <w:bottom w:val="none" w:sz="0" w:space="0" w:color="auto"/>
            <w:right w:val="none" w:sz="0" w:space="0" w:color="auto"/>
          </w:divBdr>
        </w:div>
        <w:div w:id="927810518">
          <w:marLeft w:val="640"/>
          <w:marRight w:val="0"/>
          <w:marTop w:val="0"/>
          <w:marBottom w:val="0"/>
          <w:divBdr>
            <w:top w:val="none" w:sz="0" w:space="0" w:color="auto"/>
            <w:left w:val="none" w:sz="0" w:space="0" w:color="auto"/>
            <w:bottom w:val="none" w:sz="0" w:space="0" w:color="auto"/>
            <w:right w:val="none" w:sz="0" w:space="0" w:color="auto"/>
          </w:divBdr>
        </w:div>
        <w:div w:id="82607009">
          <w:marLeft w:val="640"/>
          <w:marRight w:val="0"/>
          <w:marTop w:val="0"/>
          <w:marBottom w:val="0"/>
          <w:divBdr>
            <w:top w:val="none" w:sz="0" w:space="0" w:color="auto"/>
            <w:left w:val="none" w:sz="0" w:space="0" w:color="auto"/>
            <w:bottom w:val="none" w:sz="0" w:space="0" w:color="auto"/>
            <w:right w:val="none" w:sz="0" w:space="0" w:color="auto"/>
          </w:divBdr>
        </w:div>
        <w:div w:id="2113892994">
          <w:marLeft w:val="640"/>
          <w:marRight w:val="0"/>
          <w:marTop w:val="0"/>
          <w:marBottom w:val="0"/>
          <w:divBdr>
            <w:top w:val="none" w:sz="0" w:space="0" w:color="auto"/>
            <w:left w:val="none" w:sz="0" w:space="0" w:color="auto"/>
            <w:bottom w:val="none" w:sz="0" w:space="0" w:color="auto"/>
            <w:right w:val="none" w:sz="0" w:space="0" w:color="auto"/>
          </w:divBdr>
        </w:div>
        <w:div w:id="33232812">
          <w:marLeft w:val="640"/>
          <w:marRight w:val="0"/>
          <w:marTop w:val="0"/>
          <w:marBottom w:val="0"/>
          <w:divBdr>
            <w:top w:val="none" w:sz="0" w:space="0" w:color="auto"/>
            <w:left w:val="none" w:sz="0" w:space="0" w:color="auto"/>
            <w:bottom w:val="none" w:sz="0" w:space="0" w:color="auto"/>
            <w:right w:val="none" w:sz="0" w:space="0" w:color="auto"/>
          </w:divBdr>
        </w:div>
        <w:div w:id="674260978">
          <w:marLeft w:val="640"/>
          <w:marRight w:val="0"/>
          <w:marTop w:val="0"/>
          <w:marBottom w:val="0"/>
          <w:divBdr>
            <w:top w:val="none" w:sz="0" w:space="0" w:color="auto"/>
            <w:left w:val="none" w:sz="0" w:space="0" w:color="auto"/>
            <w:bottom w:val="none" w:sz="0" w:space="0" w:color="auto"/>
            <w:right w:val="none" w:sz="0" w:space="0" w:color="auto"/>
          </w:divBdr>
        </w:div>
        <w:div w:id="1345093008">
          <w:marLeft w:val="640"/>
          <w:marRight w:val="0"/>
          <w:marTop w:val="0"/>
          <w:marBottom w:val="0"/>
          <w:divBdr>
            <w:top w:val="none" w:sz="0" w:space="0" w:color="auto"/>
            <w:left w:val="none" w:sz="0" w:space="0" w:color="auto"/>
            <w:bottom w:val="none" w:sz="0" w:space="0" w:color="auto"/>
            <w:right w:val="none" w:sz="0" w:space="0" w:color="auto"/>
          </w:divBdr>
        </w:div>
        <w:div w:id="970593261">
          <w:marLeft w:val="640"/>
          <w:marRight w:val="0"/>
          <w:marTop w:val="0"/>
          <w:marBottom w:val="0"/>
          <w:divBdr>
            <w:top w:val="none" w:sz="0" w:space="0" w:color="auto"/>
            <w:left w:val="none" w:sz="0" w:space="0" w:color="auto"/>
            <w:bottom w:val="none" w:sz="0" w:space="0" w:color="auto"/>
            <w:right w:val="none" w:sz="0" w:space="0" w:color="auto"/>
          </w:divBdr>
        </w:div>
        <w:div w:id="2118601959">
          <w:marLeft w:val="640"/>
          <w:marRight w:val="0"/>
          <w:marTop w:val="0"/>
          <w:marBottom w:val="0"/>
          <w:divBdr>
            <w:top w:val="none" w:sz="0" w:space="0" w:color="auto"/>
            <w:left w:val="none" w:sz="0" w:space="0" w:color="auto"/>
            <w:bottom w:val="none" w:sz="0" w:space="0" w:color="auto"/>
            <w:right w:val="none" w:sz="0" w:space="0" w:color="auto"/>
          </w:divBdr>
        </w:div>
        <w:div w:id="1185097981">
          <w:marLeft w:val="640"/>
          <w:marRight w:val="0"/>
          <w:marTop w:val="0"/>
          <w:marBottom w:val="0"/>
          <w:divBdr>
            <w:top w:val="none" w:sz="0" w:space="0" w:color="auto"/>
            <w:left w:val="none" w:sz="0" w:space="0" w:color="auto"/>
            <w:bottom w:val="none" w:sz="0" w:space="0" w:color="auto"/>
            <w:right w:val="none" w:sz="0" w:space="0" w:color="auto"/>
          </w:divBdr>
        </w:div>
        <w:div w:id="222369894">
          <w:marLeft w:val="640"/>
          <w:marRight w:val="0"/>
          <w:marTop w:val="0"/>
          <w:marBottom w:val="0"/>
          <w:divBdr>
            <w:top w:val="none" w:sz="0" w:space="0" w:color="auto"/>
            <w:left w:val="none" w:sz="0" w:space="0" w:color="auto"/>
            <w:bottom w:val="none" w:sz="0" w:space="0" w:color="auto"/>
            <w:right w:val="none" w:sz="0" w:space="0" w:color="auto"/>
          </w:divBdr>
        </w:div>
        <w:div w:id="220681290">
          <w:marLeft w:val="640"/>
          <w:marRight w:val="0"/>
          <w:marTop w:val="0"/>
          <w:marBottom w:val="0"/>
          <w:divBdr>
            <w:top w:val="none" w:sz="0" w:space="0" w:color="auto"/>
            <w:left w:val="none" w:sz="0" w:space="0" w:color="auto"/>
            <w:bottom w:val="none" w:sz="0" w:space="0" w:color="auto"/>
            <w:right w:val="none" w:sz="0" w:space="0" w:color="auto"/>
          </w:divBdr>
        </w:div>
        <w:div w:id="1175220810">
          <w:marLeft w:val="640"/>
          <w:marRight w:val="0"/>
          <w:marTop w:val="0"/>
          <w:marBottom w:val="0"/>
          <w:divBdr>
            <w:top w:val="none" w:sz="0" w:space="0" w:color="auto"/>
            <w:left w:val="none" w:sz="0" w:space="0" w:color="auto"/>
            <w:bottom w:val="none" w:sz="0" w:space="0" w:color="auto"/>
            <w:right w:val="none" w:sz="0" w:space="0" w:color="auto"/>
          </w:divBdr>
        </w:div>
        <w:div w:id="1004625720">
          <w:marLeft w:val="640"/>
          <w:marRight w:val="0"/>
          <w:marTop w:val="0"/>
          <w:marBottom w:val="0"/>
          <w:divBdr>
            <w:top w:val="none" w:sz="0" w:space="0" w:color="auto"/>
            <w:left w:val="none" w:sz="0" w:space="0" w:color="auto"/>
            <w:bottom w:val="none" w:sz="0" w:space="0" w:color="auto"/>
            <w:right w:val="none" w:sz="0" w:space="0" w:color="auto"/>
          </w:divBdr>
        </w:div>
        <w:div w:id="104154504">
          <w:marLeft w:val="640"/>
          <w:marRight w:val="0"/>
          <w:marTop w:val="0"/>
          <w:marBottom w:val="0"/>
          <w:divBdr>
            <w:top w:val="none" w:sz="0" w:space="0" w:color="auto"/>
            <w:left w:val="none" w:sz="0" w:space="0" w:color="auto"/>
            <w:bottom w:val="none" w:sz="0" w:space="0" w:color="auto"/>
            <w:right w:val="none" w:sz="0" w:space="0" w:color="auto"/>
          </w:divBdr>
        </w:div>
        <w:div w:id="7803960">
          <w:marLeft w:val="640"/>
          <w:marRight w:val="0"/>
          <w:marTop w:val="0"/>
          <w:marBottom w:val="0"/>
          <w:divBdr>
            <w:top w:val="none" w:sz="0" w:space="0" w:color="auto"/>
            <w:left w:val="none" w:sz="0" w:space="0" w:color="auto"/>
            <w:bottom w:val="none" w:sz="0" w:space="0" w:color="auto"/>
            <w:right w:val="none" w:sz="0" w:space="0" w:color="auto"/>
          </w:divBdr>
        </w:div>
        <w:div w:id="829104495">
          <w:marLeft w:val="640"/>
          <w:marRight w:val="0"/>
          <w:marTop w:val="0"/>
          <w:marBottom w:val="0"/>
          <w:divBdr>
            <w:top w:val="none" w:sz="0" w:space="0" w:color="auto"/>
            <w:left w:val="none" w:sz="0" w:space="0" w:color="auto"/>
            <w:bottom w:val="none" w:sz="0" w:space="0" w:color="auto"/>
            <w:right w:val="none" w:sz="0" w:space="0" w:color="auto"/>
          </w:divBdr>
        </w:div>
        <w:div w:id="1063411728">
          <w:marLeft w:val="640"/>
          <w:marRight w:val="0"/>
          <w:marTop w:val="0"/>
          <w:marBottom w:val="0"/>
          <w:divBdr>
            <w:top w:val="none" w:sz="0" w:space="0" w:color="auto"/>
            <w:left w:val="none" w:sz="0" w:space="0" w:color="auto"/>
            <w:bottom w:val="none" w:sz="0" w:space="0" w:color="auto"/>
            <w:right w:val="none" w:sz="0" w:space="0" w:color="auto"/>
          </w:divBdr>
        </w:div>
        <w:div w:id="1661344044">
          <w:marLeft w:val="640"/>
          <w:marRight w:val="0"/>
          <w:marTop w:val="0"/>
          <w:marBottom w:val="0"/>
          <w:divBdr>
            <w:top w:val="none" w:sz="0" w:space="0" w:color="auto"/>
            <w:left w:val="none" w:sz="0" w:space="0" w:color="auto"/>
            <w:bottom w:val="none" w:sz="0" w:space="0" w:color="auto"/>
            <w:right w:val="none" w:sz="0" w:space="0" w:color="auto"/>
          </w:divBdr>
        </w:div>
        <w:div w:id="1067188773">
          <w:marLeft w:val="640"/>
          <w:marRight w:val="0"/>
          <w:marTop w:val="0"/>
          <w:marBottom w:val="0"/>
          <w:divBdr>
            <w:top w:val="none" w:sz="0" w:space="0" w:color="auto"/>
            <w:left w:val="none" w:sz="0" w:space="0" w:color="auto"/>
            <w:bottom w:val="none" w:sz="0" w:space="0" w:color="auto"/>
            <w:right w:val="none" w:sz="0" w:space="0" w:color="auto"/>
          </w:divBdr>
        </w:div>
        <w:div w:id="1532649727">
          <w:marLeft w:val="640"/>
          <w:marRight w:val="0"/>
          <w:marTop w:val="0"/>
          <w:marBottom w:val="0"/>
          <w:divBdr>
            <w:top w:val="none" w:sz="0" w:space="0" w:color="auto"/>
            <w:left w:val="none" w:sz="0" w:space="0" w:color="auto"/>
            <w:bottom w:val="none" w:sz="0" w:space="0" w:color="auto"/>
            <w:right w:val="none" w:sz="0" w:space="0" w:color="auto"/>
          </w:divBdr>
        </w:div>
        <w:div w:id="850922553">
          <w:marLeft w:val="640"/>
          <w:marRight w:val="0"/>
          <w:marTop w:val="0"/>
          <w:marBottom w:val="0"/>
          <w:divBdr>
            <w:top w:val="none" w:sz="0" w:space="0" w:color="auto"/>
            <w:left w:val="none" w:sz="0" w:space="0" w:color="auto"/>
            <w:bottom w:val="none" w:sz="0" w:space="0" w:color="auto"/>
            <w:right w:val="none" w:sz="0" w:space="0" w:color="auto"/>
          </w:divBdr>
        </w:div>
        <w:div w:id="1916818925">
          <w:marLeft w:val="640"/>
          <w:marRight w:val="0"/>
          <w:marTop w:val="0"/>
          <w:marBottom w:val="0"/>
          <w:divBdr>
            <w:top w:val="none" w:sz="0" w:space="0" w:color="auto"/>
            <w:left w:val="none" w:sz="0" w:space="0" w:color="auto"/>
            <w:bottom w:val="none" w:sz="0" w:space="0" w:color="auto"/>
            <w:right w:val="none" w:sz="0" w:space="0" w:color="auto"/>
          </w:divBdr>
        </w:div>
        <w:div w:id="2131700164">
          <w:marLeft w:val="640"/>
          <w:marRight w:val="0"/>
          <w:marTop w:val="0"/>
          <w:marBottom w:val="0"/>
          <w:divBdr>
            <w:top w:val="none" w:sz="0" w:space="0" w:color="auto"/>
            <w:left w:val="none" w:sz="0" w:space="0" w:color="auto"/>
            <w:bottom w:val="none" w:sz="0" w:space="0" w:color="auto"/>
            <w:right w:val="none" w:sz="0" w:space="0" w:color="auto"/>
          </w:divBdr>
        </w:div>
        <w:div w:id="1388263208">
          <w:marLeft w:val="640"/>
          <w:marRight w:val="0"/>
          <w:marTop w:val="0"/>
          <w:marBottom w:val="0"/>
          <w:divBdr>
            <w:top w:val="none" w:sz="0" w:space="0" w:color="auto"/>
            <w:left w:val="none" w:sz="0" w:space="0" w:color="auto"/>
            <w:bottom w:val="none" w:sz="0" w:space="0" w:color="auto"/>
            <w:right w:val="none" w:sz="0" w:space="0" w:color="auto"/>
          </w:divBdr>
        </w:div>
        <w:div w:id="324674549">
          <w:marLeft w:val="640"/>
          <w:marRight w:val="0"/>
          <w:marTop w:val="0"/>
          <w:marBottom w:val="0"/>
          <w:divBdr>
            <w:top w:val="none" w:sz="0" w:space="0" w:color="auto"/>
            <w:left w:val="none" w:sz="0" w:space="0" w:color="auto"/>
            <w:bottom w:val="none" w:sz="0" w:space="0" w:color="auto"/>
            <w:right w:val="none" w:sz="0" w:space="0" w:color="auto"/>
          </w:divBdr>
        </w:div>
        <w:div w:id="1898586762">
          <w:marLeft w:val="640"/>
          <w:marRight w:val="0"/>
          <w:marTop w:val="0"/>
          <w:marBottom w:val="0"/>
          <w:divBdr>
            <w:top w:val="none" w:sz="0" w:space="0" w:color="auto"/>
            <w:left w:val="none" w:sz="0" w:space="0" w:color="auto"/>
            <w:bottom w:val="none" w:sz="0" w:space="0" w:color="auto"/>
            <w:right w:val="none" w:sz="0" w:space="0" w:color="auto"/>
          </w:divBdr>
        </w:div>
        <w:div w:id="703091890">
          <w:marLeft w:val="640"/>
          <w:marRight w:val="0"/>
          <w:marTop w:val="0"/>
          <w:marBottom w:val="0"/>
          <w:divBdr>
            <w:top w:val="none" w:sz="0" w:space="0" w:color="auto"/>
            <w:left w:val="none" w:sz="0" w:space="0" w:color="auto"/>
            <w:bottom w:val="none" w:sz="0" w:space="0" w:color="auto"/>
            <w:right w:val="none" w:sz="0" w:space="0" w:color="auto"/>
          </w:divBdr>
        </w:div>
        <w:div w:id="1552574088">
          <w:marLeft w:val="640"/>
          <w:marRight w:val="0"/>
          <w:marTop w:val="0"/>
          <w:marBottom w:val="0"/>
          <w:divBdr>
            <w:top w:val="none" w:sz="0" w:space="0" w:color="auto"/>
            <w:left w:val="none" w:sz="0" w:space="0" w:color="auto"/>
            <w:bottom w:val="none" w:sz="0" w:space="0" w:color="auto"/>
            <w:right w:val="none" w:sz="0" w:space="0" w:color="auto"/>
          </w:divBdr>
        </w:div>
        <w:div w:id="356127655">
          <w:marLeft w:val="640"/>
          <w:marRight w:val="0"/>
          <w:marTop w:val="0"/>
          <w:marBottom w:val="0"/>
          <w:divBdr>
            <w:top w:val="none" w:sz="0" w:space="0" w:color="auto"/>
            <w:left w:val="none" w:sz="0" w:space="0" w:color="auto"/>
            <w:bottom w:val="none" w:sz="0" w:space="0" w:color="auto"/>
            <w:right w:val="none" w:sz="0" w:space="0" w:color="auto"/>
          </w:divBdr>
        </w:div>
        <w:div w:id="24142144">
          <w:marLeft w:val="640"/>
          <w:marRight w:val="0"/>
          <w:marTop w:val="0"/>
          <w:marBottom w:val="0"/>
          <w:divBdr>
            <w:top w:val="none" w:sz="0" w:space="0" w:color="auto"/>
            <w:left w:val="none" w:sz="0" w:space="0" w:color="auto"/>
            <w:bottom w:val="none" w:sz="0" w:space="0" w:color="auto"/>
            <w:right w:val="none" w:sz="0" w:space="0" w:color="auto"/>
          </w:divBdr>
        </w:div>
        <w:div w:id="141585966">
          <w:marLeft w:val="640"/>
          <w:marRight w:val="0"/>
          <w:marTop w:val="0"/>
          <w:marBottom w:val="0"/>
          <w:divBdr>
            <w:top w:val="none" w:sz="0" w:space="0" w:color="auto"/>
            <w:left w:val="none" w:sz="0" w:space="0" w:color="auto"/>
            <w:bottom w:val="none" w:sz="0" w:space="0" w:color="auto"/>
            <w:right w:val="none" w:sz="0" w:space="0" w:color="auto"/>
          </w:divBdr>
        </w:div>
        <w:div w:id="39477976">
          <w:marLeft w:val="640"/>
          <w:marRight w:val="0"/>
          <w:marTop w:val="0"/>
          <w:marBottom w:val="0"/>
          <w:divBdr>
            <w:top w:val="none" w:sz="0" w:space="0" w:color="auto"/>
            <w:left w:val="none" w:sz="0" w:space="0" w:color="auto"/>
            <w:bottom w:val="none" w:sz="0" w:space="0" w:color="auto"/>
            <w:right w:val="none" w:sz="0" w:space="0" w:color="auto"/>
          </w:divBdr>
        </w:div>
        <w:div w:id="383024149">
          <w:marLeft w:val="640"/>
          <w:marRight w:val="0"/>
          <w:marTop w:val="0"/>
          <w:marBottom w:val="0"/>
          <w:divBdr>
            <w:top w:val="none" w:sz="0" w:space="0" w:color="auto"/>
            <w:left w:val="none" w:sz="0" w:space="0" w:color="auto"/>
            <w:bottom w:val="none" w:sz="0" w:space="0" w:color="auto"/>
            <w:right w:val="none" w:sz="0" w:space="0" w:color="auto"/>
          </w:divBdr>
        </w:div>
        <w:div w:id="1324551844">
          <w:marLeft w:val="640"/>
          <w:marRight w:val="0"/>
          <w:marTop w:val="0"/>
          <w:marBottom w:val="0"/>
          <w:divBdr>
            <w:top w:val="none" w:sz="0" w:space="0" w:color="auto"/>
            <w:left w:val="none" w:sz="0" w:space="0" w:color="auto"/>
            <w:bottom w:val="none" w:sz="0" w:space="0" w:color="auto"/>
            <w:right w:val="none" w:sz="0" w:space="0" w:color="auto"/>
          </w:divBdr>
        </w:div>
        <w:div w:id="1152212944">
          <w:marLeft w:val="640"/>
          <w:marRight w:val="0"/>
          <w:marTop w:val="0"/>
          <w:marBottom w:val="0"/>
          <w:divBdr>
            <w:top w:val="none" w:sz="0" w:space="0" w:color="auto"/>
            <w:left w:val="none" w:sz="0" w:space="0" w:color="auto"/>
            <w:bottom w:val="none" w:sz="0" w:space="0" w:color="auto"/>
            <w:right w:val="none" w:sz="0" w:space="0" w:color="auto"/>
          </w:divBdr>
        </w:div>
        <w:div w:id="1177186256">
          <w:marLeft w:val="640"/>
          <w:marRight w:val="0"/>
          <w:marTop w:val="0"/>
          <w:marBottom w:val="0"/>
          <w:divBdr>
            <w:top w:val="none" w:sz="0" w:space="0" w:color="auto"/>
            <w:left w:val="none" w:sz="0" w:space="0" w:color="auto"/>
            <w:bottom w:val="none" w:sz="0" w:space="0" w:color="auto"/>
            <w:right w:val="none" w:sz="0" w:space="0" w:color="auto"/>
          </w:divBdr>
        </w:div>
        <w:div w:id="947275768">
          <w:marLeft w:val="640"/>
          <w:marRight w:val="0"/>
          <w:marTop w:val="0"/>
          <w:marBottom w:val="0"/>
          <w:divBdr>
            <w:top w:val="none" w:sz="0" w:space="0" w:color="auto"/>
            <w:left w:val="none" w:sz="0" w:space="0" w:color="auto"/>
            <w:bottom w:val="none" w:sz="0" w:space="0" w:color="auto"/>
            <w:right w:val="none" w:sz="0" w:space="0" w:color="auto"/>
          </w:divBdr>
        </w:div>
        <w:div w:id="168839148">
          <w:marLeft w:val="640"/>
          <w:marRight w:val="0"/>
          <w:marTop w:val="0"/>
          <w:marBottom w:val="0"/>
          <w:divBdr>
            <w:top w:val="none" w:sz="0" w:space="0" w:color="auto"/>
            <w:left w:val="none" w:sz="0" w:space="0" w:color="auto"/>
            <w:bottom w:val="none" w:sz="0" w:space="0" w:color="auto"/>
            <w:right w:val="none" w:sz="0" w:space="0" w:color="auto"/>
          </w:divBdr>
        </w:div>
        <w:div w:id="1101993389">
          <w:marLeft w:val="640"/>
          <w:marRight w:val="0"/>
          <w:marTop w:val="0"/>
          <w:marBottom w:val="0"/>
          <w:divBdr>
            <w:top w:val="none" w:sz="0" w:space="0" w:color="auto"/>
            <w:left w:val="none" w:sz="0" w:space="0" w:color="auto"/>
            <w:bottom w:val="none" w:sz="0" w:space="0" w:color="auto"/>
            <w:right w:val="none" w:sz="0" w:space="0" w:color="auto"/>
          </w:divBdr>
        </w:div>
        <w:div w:id="654843592">
          <w:marLeft w:val="640"/>
          <w:marRight w:val="0"/>
          <w:marTop w:val="0"/>
          <w:marBottom w:val="0"/>
          <w:divBdr>
            <w:top w:val="none" w:sz="0" w:space="0" w:color="auto"/>
            <w:left w:val="none" w:sz="0" w:space="0" w:color="auto"/>
            <w:bottom w:val="none" w:sz="0" w:space="0" w:color="auto"/>
            <w:right w:val="none" w:sz="0" w:space="0" w:color="auto"/>
          </w:divBdr>
        </w:div>
        <w:div w:id="2081639042">
          <w:marLeft w:val="640"/>
          <w:marRight w:val="0"/>
          <w:marTop w:val="0"/>
          <w:marBottom w:val="0"/>
          <w:divBdr>
            <w:top w:val="none" w:sz="0" w:space="0" w:color="auto"/>
            <w:left w:val="none" w:sz="0" w:space="0" w:color="auto"/>
            <w:bottom w:val="none" w:sz="0" w:space="0" w:color="auto"/>
            <w:right w:val="none" w:sz="0" w:space="0" w:color="auto"/>
          </w:divBdr>
        </w:div>
        <w:div w:id="2133942491">
          <w:marLeft w:val="640"/>
          <w:marRight w:val="0"/>
          <w:marTop w:val="0"/>
          <w:marBottom w:val="0"/>
          <w:divBdr>
            <w:top w:val="none" w:sz="0" w:space="0" w:color="auto"/>
            <w:left w:val="none" w:sz="0" w:space="0" w:color="auto"/>
            <w:bottom w:val="none" w:sz="0" w:space="0" w:color="auto"/>
            <w:right w:val="none" w:sz="0" w:space="0" w:color="auto"/>
          </w:divBdr>
        </w:div>
        <w:div w:id="1752853147">
          <w:marLeft w:val="640"/>
          <w:marRight w:val="0"/>
          <w:marTop w:val="0"/>
          <w:marBottom w:val="0"/>
          <w:divBdr>
            <w:top w:val="none" w:sz="0" w:space="0" w:color="auto"/>
            <w:left w:val="none" w:sz="0" w:space="0" w:color="auto"/>
            <w:bottom w:val="none" w:sz="0" w:space="0" w:color="auto"/>
            <w:right w:val="none" w:sz="0" w:space="0" w:color="auto"/>
          </w:divBdr>
        </w:div>
        <w:div w:id="1798521438">
          <w:marLeft w:val="640"/>
          <w:marRight w:val="0"/>
          <w:marTop w:val="0"/>
          <w:marBottom w:val="0"/>
          <w:divBdr>
            <w:top w:val="none" w:sz="0" w:space="0" w:color="auto"/>
            <w:left w:val="none" w:sz="0" w:space="0" w:color="auto"/>
            <w:bottom w:val="none" w:sz="0" w:space="0" w:color="auto"/>
            <w:right w:val="none" w:sz="0" w:space="0" w:color="auto"/>
          </w:divBdr>
        </w:div>
        <w:div w:id="996611054">
          <w:marLeft w:val="640"/>
          <w:marRight w:val="0"/>
          <w:marTop w:val="0"/>
          <w:marBottom w:val="0"/>
          <w:divBdr>
            <w:top w:val="none" w:sz="0" w:space="0" w:color="auto"/>
            <w:left w:val="none" w:sz="0" w:space="0" w:color="auto"/>
            <w:bottom w:val="none" w:sz="0" w:space="0" w:color="auto"/>
            <w:right w:val="none" w:sz="0" w:space="0" w:color="auto"/>
          </w:divBdr>
        </w:div>
        <w:div w:id="421028955">
          <w:marLeft w:val="640"/>
          <w:marRight w:val="0"/>
          <w:marTop w:val="0"/>
          <w:marBottom w:val="0"/>
          <w:divBdr>
            <w:top w:val="none" w:sz="0" w:space="0" w:color="auto"/>
            <w:left w:val="none" w:sz="0" w:space="0" w:color="auto"/>
            <w:bottom w:val="none" w:sz="0" w:space="0" w:color="auto"/>
            <w:right w:val="none" w:sz="0" w:space="0" w:color="auto"/>
          </w:divBdr>
        </w:div>
        <w:div w:id="654184235">
          <w:marLeft w:val="640"/>
          <w:marRight w:val="0"/>
          <w:marTop w:val="0"/>
          <w:marBottom w:val="0"/>
          <w:divBdr>
            <w:top w:val="none" w:sz="0" w:space="0" w:color="auto"/>
            <w:left w:val="none" w:sz="0" w:space="0" w:color="auto"/>
            <w:bottom w:val="none" w:sz="0" w:space="0" w:color="auto"/>
            <w:right w:val="none" w:sz="0" w:space="0" w:color="auto"/>
          </w:divBdr>
        </w:div>
        <w:div w:id="1793863860">
          <w:marLeft w:val="640"/>
          <w:marRight w:val="0"/>
          <w:marTop w:val="0"/>
          <w:marBottom w:val="0"/>
          <w:divBdr>
            <w:top w:val="none" w:sz="0" w:space="0" w:color="auto"/>
            <w:left w:val="none" w:sz="0" w:space="0" w:color="auto"/>
            <w:bottom w:val="none" w:sz="0" w:space="0" w:color="auto"/>
            <w:right w:val="none" w:sz="0" w:space="0" w:color="auto"/>
          </w:divBdr>
        </w:div>
        <w:div w:id="1851406010">
          <w:marLeft w:val="640"/>
          <w:marRight w:val="0"/>
          <w:marTop w:val="0"/>
          <w:marBottom w:val="0"/>
          <w:divBdr>
            <w:top w:val="none" w:sz="0" w:space="0" w:color="auto"/>
            <w:left w:val="none" w:sz="0" w:space="0" w:color="auto"/>
            <w:bottom w:val="none" w:sz="0" w:space="0" w:color="auto"/>
            <w:right w:val="none" w:sz="0" w:space="0" w:color="auto"/>
          </w:divBdr>
        </w:div>
        <w:div w:id="266739967">
          <w:marLeft w:val="640"/>
          <w:marRight w:val="0"/>
          <w:marTop w:val="0"/>
          <w:marBottom w:val="0"/>
          <w:divBdr>
            <w:top w:val="none" w:sz="0" w:space="0" w:color="auto"/>
            <w:left w:val="none" w:sz="0" w:space="0" w:color="auto"/>
            <w:bottom w:val="none" w:sz="0" w:space="0" w:color="auto"/>
            <w:right w:val="none" w:sz="0" w:space="0" w:color="auto"/>
          </w:divBdr>
        </w:div>
        <w:div w:id="1603610331">
          <w:marLeft w:val="640"/>
          <w:marRight w:val="0"/>
          <w:marTop w:val="0"/>
          <w:marBottom w:val="0"/>
          <w:divBdr>
            <w:top w:val="none" w:sz="0" w:space="0" w:color="auto"/>
            <w:left w:val="none" w:sz="0" w:space="0" w:color="auto"/>
            <w:bottom w:val="none" w:sz="0" w:space="0" w:color="auto"/>
            <w:right w:val="none" w:sz="0" w:space="0" w:color="auto"/>
          </w:divBdr>
        </w:div>
        <w:div w:id="971209179">
          <w:marLeft w:val="640"/>
          <w:marRight w:val="0"/>
          <w:marTop w:val="0"/>
          <w:marBottom w:val="0"/>
          <w:divBdr>
            <w:top w:val="none" w:sz="0" w:space="0" w:color="auto"/>
            <w:left w:val="none" w:sz="0" w:space="0" w:color="auto"/>
            <w:bottom w:val="none" w:sz="0" w:space="0" w:color="auto"/>
            <w:right w:val="none" w:sz="0" w:space="0" w:color="auto"/>
          </w:divBdr>
        </w:div>
        <w:div w:id="2115054904">
          <w:marLeft w:val="640"/>
          <w:marRight w:val="0"/>
          <w:marTop w:val="0"/>
          <w:marBottom w:val="0"/>
          <w:divBdr>
            <w:top w:val="none" w:sz="0" w:space="0" w:color="auto"/>
            <w:left w:val="none" w:sz="0" w:space="0" w:color="auto"/>
            <w:bottom w:val="none" w:sz="0" w:space="0" w:color="auto"/>
            <w:right w:val="none" w:sz="0" w:space="0" w:color="auto"/>
          </w:divBdr>
        </w:div>
        <w:div w:id="1552645858">
          <w:marLeft w:val="640"/>
          <w:marRight w:val="0"/>
          <w:marTop w:val="0"/>
          <w:marBottom w:val="0"/>
          <w:divBdr>
            <w:top w:val="none" w:sz="0" w:space="0" w:color="auto"/>
            <w:left w:val="none" w:sz="0" w:space="0" w:color="auto"/>
            <w:bottom w:val="none" w:sz="0" w:space="0" w:color="auto"/>
            <w:right w:val="none" w:sz="0" w:space="0" w:color="auto"/>
          </w:divBdr>
        </w:div>
        <w:div w:id="1230724354">
          <w:marLeft w:val="640"/>
          <w:marRight w:val="0"/>
          <w:marTop w:val="0"/>
          <w:marBottom w:val="0"/>
          <w:divBdr>
            <w:top w:val="none" w:sz="0" w:space="0" w:color="auto"/>
            <w:left w:val="none" w:sz="0" w:space="0" w:color="auto"/>
            <w:bottom w:val="none" w:sz="0" w:space="0" w:color="auto"/>
            <w:right w:val="none" w:sz="0" w:space="0" w:color="auto"/>
          </w:divBdr>
        </w:div>
        <w:div w:id="913734505">
          <w:marLeft w:val="640"/>
          <w:marRight w:val="0"/>
          <w:marTop w:val="0"/>
          <w:marBottom w:val="0"/>
          <w:divBdr>
            <w:top w:val="none" w:sz="0" w:space="0" w:color="auto"/>
            <w:left w:val="none" w:sz="0" w:space="0" w:color="auto"/>
            <w:bottom w:val="none" w:sz="0" w:space="0" w:color="auto"/>
            <w:right w:val="none" w:sz="0" w:space="0" w:color="auto"/>
          </w:divBdr>
        </w:div>
        <w:div w:id="449973687">
          <w:marLeft w:val="640"/>
          <w:marRight w:val="0"/>
          <w:marTop w:val="0"/>
          <w:marBottom w:val="0"/>
          <w:divBdr>
            <w:top w:val="none" w:sz="0" w:space="0" w:color="auto"/>
            <w:left w:val="none" w:sz="0" w:space="0" w:color="auto"/>
            <w:bottom w:val="none" w:sz="0" w:space="0" w:color="auto"/>
            <w:right w:val="none" w:sz="0" w:space="0" w:color="auto"/>
          </w:divBdr>
        </w:div>
        <w:div w:id="989796000">
          <w:marLeft w:val="640"/>
          <w:marRight w:val="0"/>
          <w:marTop w:val="0"/>
          <w:marBottom w:val="0"/>
          <w:divBdr>
            <w:top w:val="none" w:sz="0" w:space="0" w:color="auto"/>
            <w:left w:val="none" w:sz="0" w:space="0" w:color="auto"/>
            <w:bottom w:val="none" w:sz="0" w:space="0" w:color="auto"/>
            <w:right w:val="none" w:sz="0" w:space="0" w:color="auto"/>
          </w:divBdr>
        </w:div>
        <w:div w:id="116728799">
          <w:marLeft w:val="640"/>
          <w:marRight w:val="0"/>
          <w:marTop w:val="0"/>
          <w:marBottom w:val="0"/>
          <w:divBdr>
            <w:top w:val="none" w:sz="0" w:space="0" w:color="auto"/>
            <w:left w:val="none" w:sz="0" w:space="0" w:color="auto"/>
            <w:bottom w:val="none" w:sz="0" w:space="0" w:color="auto"/>
            <w:right w:val="none" w:sz="0" w:space="0" w:color="auto"/>
          </w:divBdr>
        </w:div>
        <w:div w:id="567421622">
          <w:marLeft w:val="640"/>
          <w:marRight w:val="0"/>
          <w:marTop w:val="0"/>
          <w:marBottom w:val="0"/>
          <w:divBdr>
            <w:top w:val="none" w:sz="0" w:space="0" w:color="auto"/>
            <w:left w:val="none" w:sz="0" w:space="0" w:color="auto"/>
            <w:bottom w:val="none" w:sz="0" w:space="0" w:color="auto"/>
            <w:right w:val="none" w:sz="0" w:space="0" w:color="auto"/>
          </w:divBdr>
        </w:div>
        <w:div w:id="360127543">
          <w:marLeft w:val="640"/>
          <w:marRight w:val="0"/>
          <w:marTop w:val="0"/>
          <w:marBottom w:val="0"/>
          <w:divBdr>
            <w:top w:val="none" w:sz="0" w:space="0" w:color="auto"/>
            <w:left w:val="none" w:sz="0" w:space="0" w:color="auto"/>
            <w:bottom w:val="none" w:sz="0" w:space="0" w:color="auto"/>
            <w:right w:val="none" w:sz="0" w:space="0" w:color="auto"/>
          </w:divBdr>
        </w:div>
        <w:div w:id="2095055368">
          <w:marLeft w:val="640"/>
          <w:marRight w:val="0"/>
          <w:marTop w:val="0"/>
          <w:marBottom w:val="0"/>
          <w:divBdr>
            <w:top w:val="none" w:sz="0" w:space="0" w:color="auto"/>
            <w:left w:val="none" w:sz="0" w:space="0" w:color="auto"/>
            <w:bottom w:val="none" w:sz="0" w:space="0" w:color="auto"/>
            <w:right w:val="none" w:sz="0" w:space="0" w:color="auto"/>
          </w:divBdr>
        </w:div>
        <w:div w:id="7684383">
          <w:marLeft w:val="640"/>
          <w:marRight w:val="0"/>
          <w:marTop w:val="0"/>
          <w:marBottom w:val="0"/>
          <w:divBdr>
            <w:top w:val="none" w:sz="0" w:space="0" w:color="auto"/>
            <w:left w:val="none" w:sz="0" w:space="0" w:color="auto"/>
            <w:bottom w:val="none" w:sz="0" w:space="0" w:color="auto"/>
            <w:right w:val="none" w:sz="0" w:space="0" w:color="auto"/>
          </w:divBdr>
        </w:div>
        <w:div w:id="1850950777">
          <w:marLeft w:val="640"/>
          <w:marRight w:val="0"/>
          <w:marTop w:val="0"/>
          <w:marBottom w:val="0"/>
          <w:divBdr>
            <w:top w:val="none" w:sz="0" w:space="0" w:color="auto"/>
            <w:left w:val="none" w:sz="0" w:space="0" w:color="auto"/>
            <w:bottom w:val="none" w:sz="0" w:space="0" w:color="auto"/>
            <w:right w:val="none" w:sz="0" w:space="0" w:color="auto"/>
          </w:divBdr>
        </w:div>
        <w:div w:id="2074307781">
          <w:marLeft w:val="640"/>
          <w:marRight w:val="0"/>
          <w:marTop w:val="0"/>
          <w:marBottom w:val="0"/>
          <w:divBdr>
            <w:top w:val="none" w:sz="0" w:space="0" w:color="auto"/>
            <w:left w:val="none" w:sz="0" w:space="0" w:color="auto"/>
            <w:bottom w:val="none" w:sz="0" w:space="0" w:color="auto"/>
            <w:right w:val="none" w:sz="0" w:space="0" w:color="auto"/>
          </w:divBdr>
        </w:div>
        <w:div w:id="1729109539">
          <w:marLeft w:val="640"/>
          <w:marRight w:val="0"/>
          <w:marTop w:val="0"/>
          <w:marBottom w:val="0"/>
          <w:divBdr>
            <w:top w:val="none" w:sz="0" w:space="0" w:color="auto"/>
            <w:left w:val="none" w:sz="0" w:space="0" w:color="auto"/>
            <w:bottom w:val="none" w:sz="0" w:space="0" w:color="auto"/>
            <w:right w:val="none" w:sz="0" w:space="0" w:color="auto"/>
          </w:divBdr>
        </w:div>
        <w:div w:id="1095370721">
          <w:marLeft w:val="640"/>
          <w:marRight w:val="0"/>
          <w:marTop w:val="0"/>
          <w:marBottom w:val="0"/>
          <w:divBdr>
            <w:top w:val="none" w:sz="0" w:space="0" w:color="auto"/>
            <w:left w:val="none" w:sz="0" w:space="0" w:color="auto"/>
            <w:bottom w:val="none" w:sz="0" w:space="0" w:color="auto"/>
            <w:right w:val="none" w:sz="0" w:space="0" w:color="auto"/>
          </w:divBdr>
        </w:div>
        <w:div w:id="1597711612">
          <w:marLeft w:val="640"/>
          <w:marRight w:val="0"/>
          <w:marTop w:val="0"/>
          <w:marBottom w:val="0"/>
          <w:divBdr>
            <w:top w:val="none" w:sz="0" w:space="0" w:color="auto"/>
            <w:left w:val="none" w:sz="0" w:space="0" w:color="auto"/>
            <w:bottom w:val="none" w:sz="0" w:space="0" w:color="auto"/>
            <w:right w:val="none" w:sz="0" w:space="0" w:color="auto"/>
          </w:divBdr>
        </w:div>
        <w:div w:id="1574124060">
          <w:marLeft w:val="640"/>
          <w:marRight w:val="0"/>
          <w:marTop w:val="0"/>
          <w:marBottom w:val="0"/>
          <w:divBdr>
            <w:top w:val="none" w:sz="0" w:space="0" w:color="auto"/>
            <w:left w:val="none" w:sz="0" w:space="0" w:color="auto"/>
            <w:bottom w:val="none" w:sz="0" w:space="0" w:color="auto"/>
            <w:right w:val="none" w:sz="0" w:space="0" w:color="auto"/>
          </w:divBdr>
        </w:div>
        <w:div w:id="1332492538">
          <w:marLeft w:val="640"/>
          <w:marRight w:val="0"/>
          <w:marTop w:val="0"/>
          <w:marBottom w:val="0"/>
          <w:divBdr>
            <w:top w:val="none" w:sz="0" w:space="0" w:color="auto"/>
            <w:left w:val="none" w:sz="0" w:space="0" w:color="auto"/>
            <w:bottom w:val="none" w:sz="0" w:space="0" w:color="auto"/>
            <w:right w:val="none" w:sz="0" w:space="0" w:color="auto"/>
          </w:divBdr>
        </w:div>
        <w:div w:id="1746145949">
          <w:marLeft w:val="640"/>
          <w:marRight w:val="0"/>
          <w:marTop w:val="0"/>
          <w:marBottom w:val="0"/>
          <w:divBdr>
            <w:top w:val="none" w:sz="0" w:space="0" w:color="auto"/>
            <w:left w:val="none" w:sz="0" w:space="0" w:color="auto"/>
            <w:bottom w:val="none" w:sz="0" w:space="0" w:color="auto"/>
            <w:right w:val="none" w:sz="0" w:space="0" w:color="auto"/>
          </w:divBdr>
        </w:div>
        <w:div w:id="608857236">
          <w:marLeft w:val="640"/>
          <w:marRight w:val="0"/>
          <w:marTop w:val="0"/>
          <w:marBottom w:val="0"/>
          <w:divBdr>
            <w:top w:val="none" w:sz="0" w:space="0" w:color="auto"/>
            <w:left w:val="none" w:sz="0" w:space="0" w:color="auto"/>
            <w:bottom w:val="none" w:sz="0" w:space="0" w:color="auto"/>
            <w:right w:val="none" w:sz="0" w:space="0" w:color="auto"/>
          </w:divBdr>
        </w:div>
        <w:div w:id="618685159">
          <w:marLeft w:val="640"/>
          <w:marRight w:val="0"/>
          <w:marTop w:val="0"/>
          <w:marBottom w:val="0"/>
          <w:divBdr>
            <w:top w:val="none" w:sz="0" w:space="0" w:color="auto"/>
            <w:left w:val="none" w:sz="0" w:space="0" w:color="auto"/>
            <w:bottom w:val="none" w:sz="0" w:space="0" w:color="auto"/>
            <w:right w:val="none" w:sz="0" w:space="0" w:color="auto"/>
          </w:divBdr>
        </w:div>
        <w:div w:id="1677465419">
          <w:marLeft w:val="640"/>
          <w:marRight w:val="0"/>
          <w:marTop w:val="0"/>
          <w:marBottom w:val="0"/>
          <w:divBdr>
            <w:top w:val="none" w:sz="0" w:space="0" w:color="auto"/>
            <w:left w:val="none" w:sz="0" w:space="0" w:color="auto"/>
            <w:bottom w:val="none" w:sz="0" w:space="0" w:color="auto"/>
            <w:right w:val="none" w:sz="0" w:space="0" w:color="auto"/>
          </w:divBdr>
        </w:div>
        <w:div w:id="440078993">
          <w:marLeft w:val="640"/>
          <w:marRight w:val="0"/>
          <w:marTop w:val="0"/>
          <w:marBottom w:val="0"/>
          <w:divBdr>
            <w:top w:val="none" w:sz="0" w:space="0" w:color="auto"/>
            <w:left w:val="none" w:sz="0" w:space="0" w:color="auto"/>
            <w:bottom w:val="none" w:sz="0" w:space="0" w:color="auto"/>
            <w:right w:val="none" w:sz="0" w:space="0" w:color="auto"/>
          </w:divBdr>
        </w:div>
        <w:div w:id="1687436434">
          <w:marLeft w:val="640"/>
          <w:marRight w:val="0"/>
          <w:marTop w:val="0"/>
          <w:marBottom w:val="0"/>
          <w:divBdr>
            <w:top w:val="none" w:sz="0" w:space="0" w:color="auto"/>
            <w:left w:val="none" w:sz="0" w:space="0" w:color="auto"/>
            <w:bottom w:val="none" w:sz="0" w:space="0" w:color="auto"/>
            <w:right w:val="none" w:sz="0" w:space="0" w:color="auto"/>
          </w:divBdr>
        </w:div>
        <w:div w:id="1288589506">
          <w:marLeft w:val="640"/>
          <w:marRight w:val="0"/>
          <w:marTop w:val="0"/>
          <w:marBottom w:val="0"/>
          <w:divBdr>
            <w:top w:val="none" w:sz="0" w:space="0" w:color="auto"/>
            <w:left w:val="none" w:sz="0" w:space="0" w:color="auto"/>
            <w:bottom w:val="none" w:sz="0" w:space="0" w:color="auto"/>
            <w:right w:val="none" w:sz="0" w:space="0" w:color="auto"/>
          </w:divBdr>
        </w:div>
        <w:div w:id="1072695688">
          <w:marLeft w:val="640"/>
          <w:marRight w:val="0"/>
          <w:marTop w:val="0"/>
          <w:marBottom w:val="0"/>
          <w:divBdr>
            <w:top w:val="none" w:sz="0" w:space="0" w:color="auto"/>
            <w:left w:val="none" w:sz="0" w:space="0" w:color="auto"/>
            <w:bottom w:val="none" w:sz="0" w:space="0" w:color="auto"/>
            <w:right w:val="none" w:sz="0" w:space="0" w:color="auto"/>
          </w:divBdr>
        </w:div>
        <w:div w:id="1024667823">
          <w:marLeft w:val="640"/>
          <w:marRight w:val="0"/>
          <w:marTop w:val="0"/>
          <w:marBottom w:val="0"/>
          <w:divBdr>
            <w:top w:val="none" w:sz="0" w:space="0" w:color="auto"/>
            <w:left w:val="none" w:sz="0" w:space="0" w:color="auto"/>
            <w:bottom w:val="none" w:sz="0" w:space="0" w:color="auto"/>
            <w:right w:val="none" w:sz="0" w:space="0" w:color="auto"/>
          </w:divBdr>
        </w:div>
        <w:div w:id="1258713846">
          <w:marLeft w:val="640"/>
          <w:marRight w:val="0"/>
          <w:marTop w:val="0"/>
          <w:marBottom w:val="0"/>
          <w:divBdr>
            <w:top w:val="none" w:sz="0" w:space="0" w:color="auto"/>
            <w:left w:val="none" w:sz="0" w:space="0" w:color="auto"/>
            <w:bottom w:val="none" w:sz="0" w:space="0" w:color="auto"/>
            <w:right w:val="none" w:sz="0" w:space="0" w:color="auto"/>
          </w:divBdr>
        </w:div>
        <w:div w:id="2515189">
          <w:marLeft w:val="640"/>
          <w:marRight w:val="0"/>
          <w:marTop w:val="0"/>
          <w:marBottom w:val="0"/>
          <w:divBdr>
            <w:top w:val="none" w:sz="0" w:space="0" w:color="auto"/>
            <w:left w:val="none" w:sz="0" w:space="0" w:color="auto"/>
            <w:bottom w:val="none" w:sz="0" w:space="0" w:color="auto"/>
            <w:right w:val="none" w:sz="0" w:space="0" w:color="auto"/>
          </w:divBdr>
        </w:div>
        <w:div w:id="1182819940">
          <w:marLeft w:val="640"/>
          <w:marRight w:val="0"/>
          <w:marTop w:val="0"/>
          <w:marBottom w:val="0"/>
          <w:divBdr>
            <w:top w:val="none" w:sz="0" w:space="0" w:color="auto"/>
            <w:left w:val="none" w:sz="0" w:space="0" w:color="auto"/>
            <w:bottom w:val="none" w:sz="0" w:space="0" w:color="auto"/>
            <w:right w:val="none" w:sz="0" w:space="0" w:color="auto"/>
          </w:divBdr>
        </w:div>
        <w:div w:id="515924894">
          <w:marLeft w:val="640"/>
          <w:marRight w:val="0"/>
          <w:marTop w:val="0"/>
          <w:marBottom w:val="0"/>
          <w:divBdr>
            <w:top w:val="none" w:sz="0" w:space="0" w:color="auto"/>
            <w:left w:val="none" w:sz="0" w:space="0" w:color="auto"/>
            <w:bottom w:val="none" w:sz="0" w:space="0" w:color="auto"/>
            <w:right w:val="none" w:sz="0" w:space="0" w:color="auto"/>
          </w:divBdr>
        </w:div>
        <w:div w:id="1196692284">
          <w:marLeft w:val="640"/>
          <w:marRight w:val="0"/>
          <w:marTop w:val="0"/>
          <w:marBottom w:val="0"/>
          <w:divBdr>
            <w:top w:val="none" w:sz="0" w:space="0" w:color="auto"/>
            <w:left w:val="none" w:sz="0" w:space="0" w:color="auto"/>
            <w:bottom w:val="none" w:sz="0" w:space="0" w:color="auto"/>
            <w:right w:val="none" w:sz="0" w:space="0" w:color="auto"/>
          </w:divBdr>
        </w:div>
        <w:div w:id="2071151509">
          <w:marLeft w:val="640"/>
          <w:marRight w:val="0"/>
          <w:marTop w:val="0"/>
          <w:marBottom w:val="0"/>
          <w:divBdr>
            <w:top w:val="none" w:sz="0" w:space="0" w:color="auto"/>
            <w:left w:val="none" w:sz="0" w:space="0" w:color="auto"/>
            <w:bottom w:val="none" w:sz="0" w:space="0" w:color="auto"/>
            <w:right w:val="none" w:sz="0" w:space="0" w:color="auto"/>
          </w:divBdr>
        </w:div>
        <w:div w:id="971600024">
          <w:marLeft w:val="640"/>
          <w:marRight w:val="0"/>
          <w:marTop w:val="0"/>
          <w:marBottom w:val="0"/>
          <w:divBdr>
            <w:top w:val="none" w:sz="0" w:space="0" w:color="auto"/>
            <w:left w:val="none" w:sz="0" w:space="0" w:color="auto"/>
            <w:bottom w:val="none" w:sz="0" w:space="0" w:color="auto"/>
            <w:right w:val="none" w:sz="0" w:space="0" w:color="auto"/>
          </w:divBdr>
        </w:div>
        <w:div w:id="653490844">
          <w:marLeft w:val="640"/>
          <w:marRight w:val="0"/>
          <w:marTop w:val="0"/>
          <w:marBottom w:val="0"/>
          <w:divBdr>
            <w:top w:val="none" w:sz="0" w:space="0" w:color="auto"/>
            <w:left w:val="none" w:sz="0" w:space="0" w:color="auto"/>
            <w:bottom w:val="none" w:sz="0" w:space="0" w:color="auto"/>
            <w:right w:val="none" w:sz="0" w:space="0" w:color="auto"/>
          </w:divBdr>
        </w:div>
        <w:div w:id="1417628569">
          <w:marLeft w:val="640"/>
          <w:marRight w:val="0"/>
          <w:marTop w:val="0"/>
          <w:marBottom w:val="0"/>
          <w:divBdr>
            <w:top w:val="none" w:sz="0" w:space="0" w:color="auto"/>
            <w:left w:val="none" w:sz="0" w:space="0" w:color="auto"/>
            <w:bottom w:val="none" w:sz="0" w:space="0" w:color="auto"/>
            <w:right w:val="none" w:sz="0" w:space="0" w:color="auto"/>
          </w:divBdr>
        </w:div>
        <w:div w:id="1184973489">
          <w:marLeft w:val="640"/>
          <w:marRight w:val="0"/>
          <w:marTop w:val="0"/>
          <w:marBottom w:val="0"/>
          <w:divBdr>
            <w:top w:val="none" w:sz="0" w:space="0" w:color="auto"/>
            <w:left w:val="none" w:sz="0" w:space="0" w:color="auto"/>
            <w:bottom w:val="none" w:sz="0" w:space="0" w:color="auto"/>
            <w:right w:val="none" w:sz="0" w:space="0" w:color="auto"/>
          </w:divBdr>
        </w:div>
        <w:div w:id="257518793">
          <w:marLeft w:val="640"/>
          <w:marRight w:val="0"/>
          <w:marTop w:val="0"/>
          <w:marBottom w:val="0"/>
          <w:divBdr>
            <w:top w:val="none" w:sz="0" w:space="0" w:color="auto"/>
            <w:left w:val="none" w:sz="0" w:space="0" w:color="auto"/>
            <w:bottom w:val="none" w:sz="0" w:space="0" w:color="auto"/>
            <w:right w:val="none" w:sz="0" w:space="0" w:color="auto"/>
          </w:divBdr>
        </w:div>
        <w:div w:id="215315601">
          <w:marLeft w:val="640"/>
          <w:marRight w:val="0"/>
          <w:marTop w:val="0"/>
          <w:marBottom w:val="0"/>
          <w:divBdr>
            <w:top w:val="none" w:sz="0" w:space="0" w:color="auto"/>
            <w:left w:val="none" w:sz="0" w:space="0" w:color="auto"/>
            <w:bottom w:val="none" w:sz="0" w:space="0" w:color="auto"/>
            <w:right w:val="none" w:sz="0" w:space="0" w:color="auto"/>
          </w:divBdr>
        </w:div>
        <w:div w:id="247234246">
          <w:marLeft w:val="640"/>
          <w:marRight w:val="0"/>
          <w:marTop w:val="0"/>
          <w:marBottom w:val="0"/>
          <w:divBdr>
            <w:top w:val="none" w:sz="0" w:space="0" w:color="auto"/>
            <w:left w:val="none" w:sz="0" w:space="0" w:color="auto"/>
            <w:bottom w:val="none" w:sz="0" w:space="0" w:color="auto"/>
            <w:right w:val="none" w:sz="0" w:space="0" w:color="auto"/>
          </w:divBdr>
        </w:div>
        <w:div w:id="431249258">
          <w:marLeft w:val="640"/>
          <w:marRight w:val="0"/>
          <w:marTop w:val="0"/>
          <w:marBottom w:val="0"/>
          <w:divBdr>
            <w:top w:val="none" w:sz="0" w:space="0" w:color="auto"/>
            <w:left w:val="none" w:sz="0" w:space="0" w:color="auto"/>
            <w:bottom w:val="none" w:sz="0" w:space="0" w:color="auto"/>
            <w:right w:val="none" w:sz="0" w:space="0" w:color="auto"/>
          </w:divBdr>
        </w:div>
        <w:div w:id="478503740">
          <w:marLeft w:val="640"/>
          <w:marRight w:val="0"/>
          <w:marTop w:val="0"/>
          <w:marBottom w:val="0"/>
          <w:divBdr>
            <w:top w:val="none" w:sz="0" w:space="0" w:color="auto"/>
            <w:left w:val="none" w:sz="0" w:space="0" w:color="auto"/>
            <w:bottom w:val="none" w:sz="0" w:space="0" w:color="auto"/>
            <w:right w:val="none" w:sz="0" w:space="0" w:color="auto"/>
          </w:divBdr>
        </w:div>
        <w:div w:id="275526947">
          <w:marLeft w:val="640"/>
          <w:marRight w:val="0"/>
          <w:marTop w:val="0"/>
          <w:marBottom w:val="0"/>
          <w:divBdr>
            <w:top w:val="none" w:sz="0" w:space="0" w:color="auto"/>
            <w:left w:val="none" w:sz="0" w:space="0" w:color="auto"/>
            <w:bottom w:val="none" w:sz="0" w:space="0" w:color="auto"/>
            <w:right w:val="none" w:sz="0" w:space="0" w:color="auto"/>
          </w:divBdr>
        </w:div>
        <w:div w:id="486671548">
          <w:marLeft w:val="640"/>
          <w:marRight w:val="0"/>
          <w:marTop w:val="0"/>
          <w:marBottom w:val="0"/>
          <w:divBdr>
            <w:top w:val="none" w:sz="0" w:space="0" w:color="auto"/>
            <w:left w:val="none" w:sz="0" w:space="0" w:color="auto"/>
            <w:bottom w:val="none" w:sz="0" w:space="0" w:color="auto"/>
            <w:right w:val="none" w:sz="0" w:space="0" w:color="auto"/>
          </w:divBdr>
        </w:div>
        <w:div w:id="428543756">
          <w:marLeft w:val="640"/>
          <w:marRight w:val="0"/>
          <w:marTop w:val="0"/>
          <w:marBottom w:val="0"/>
          <w:divBdr>
            <w:top w:val="none" w:sz="0" w:space="0" w:color="auto"/>
            <w:left w:val="none" w:sz="0" w:space="0" w:color="auto"/>
            <w:bottom w:val="none" w:sz="0" w:space="0" w:color="auto"/>
            <w:right w:val="none" w:sz="0" w:space="0" w:color="auto"/>
          </w:divBdr>
        </w:div>
        <w:div w:id="1374504555">
          <w:marLeft w:val="640"/>
          <w:marRight w:val="0"/>
          <w:marTop w:val="0"/>
          <w:marBottom w:val="0"/>
          <w:divBdr>
            <w:top w:val="none" w:sz="0" w:space="0" w:color="auto"/>
            <w:left w:val="none" w:sz="0" w:space="0" w:color="auto"/>
            <w:bottom w:val="none" w:sz="0" w:space="0" w:color="auto"/>
            <w:right w:val="none" w:sz="0" w:space="0" w:color="auto"/>
          </w:divBdr>
        </w:div>
        <w:div w:id="608318525">
          <w:marLeft w:val="640"/>
          <w:marRight w:val="0"/>
          <w:marTop w:val="0"/>
          <w:marBottom w:val="0"/>
          <w:divBdr>
            <w:top w:val="none" w:sz="0" w:space="0" w:color="auto"/>
            <w:left w:val="none" w:sz="0" w:space="0" w:color="auto"/>
            <w:bottom w:val="none" w:sz="0" w:space="0" w:color="auto"/>
            <w:right w:val="none" w:sz="0" w:space="0" w:color="auto"/>
          </w:divBdr>
        </w:div>
        <w:div w:id="379474100">
          <w:marLeft w:val="640"/>
          <w:marRight w:val="0"/>
          <w:marTop w:val="0"/>
          <w:marBottom w:val="0"/>
          <w:divBdr>
            <w:top w:val="none" w:sz="0" w:space="0" w:color="auto"/>
            <w:left w:val="none" w:sz="0" w:space="0" w:color="auto"/>
            <w:bottom w:val="none" w:sz="0" w:space="0" w:color="auto"/>
            <w:right w:val="none" w:sz="0" w:space="0" w:color="auto"/>
          </w:divBdr>
        </w:div>
        <w:div w:id="537662412">
          <w:marLeft w:val="640"/>
          <w:marRight w:val="0"/>
          <w:marTop w:val="0"/>
          <w:marBottom w:val="0"/>
          <w:divBdr>
            <w:top w:val="none" w:sz="0" w:space="0" w:color="auto"/>
            <w:left w:val="none" w:sz="0" w:space="0" w:color="auto"/>
            <w:bottom w:val="none" w:sz="0" w:space="0" w:color="auto"/>
            <w:right w:val="none" w:sz="0" w:space="0" w:color="auto"/>
          </w:divBdr>
        </w:div>
        <w:div w:id="129255275">
          <w:marLeft w:val="640"/>
          <w:marRight w:val="0"/>
          <w:marTop w:val="0"/>
          <w:marBottom w:val="0"/>
          <w:divBdr>
            <w:top w:val="none" w:sz="0" w:space="0" w:color="auto"/>
            <w:left w:val="none" w:sz="0" w:space="0" w:color="auto"/>
            <w:bottom w:val="none" w:sz="0" w:space="0" w:color="auto"/>
            <w:right w:val="none" w:sz="0" w:space="0" w:color="auto"/>
          </w:divBdr>
        </w:div>
        <w:div w:id="1628197008">
          <w:marLeft w:val="640"/>
          <w:marRight w:val="0"/>
          <w:marTop w:val="0"/>
          <w:marBottom w:val="0"/>
          <w:divBdr>
            <w:top w:val="none" w:sz="0" w:space="0" w:color="auto"/>
            <w:left w:val="none" w:sz="0" w:space="0" w:color="auto"/>
            <w:bottom w:val="none" w:sz="0" w:space="0" w:color="auto"/>
            <w:right w:val="none" w:sz="0" w:space="0" w:color="auto"/>
          </w:divBdr>
        </w:div>
        <w:div w:id="893658467">
          <w:marLeft w:val="640"/>
          <w:marRight w:val="0"/>
          <w:marTop w:val="0"/>
          <w:marBottom w:val="0"/>
          <w:divBdr>
            <w:top w:val="none" w:sz="0" w:space="0" w:color="auto"/>
            <w:left w:val="none" w:sz="0" w:space="0" w:color="auto"/>
            <w:bottom w:val="none" w:sz="0" w:space="0" w:color="auto"/>
            <w:right w:val="none" w:sz="0" w:space="0" w:color="auto"/>
          </w:divBdr>
        </w:div>
        <w:div w:id="1211648461">
          <w:marLeft w:val="640"/>
          <w:marRight w:val="0"/>
          <w:marTop w:val="0"/>
          <w:marBottom w:val="0"/>
          <w:divBdr>
            <w:top w:val="none" w:sz="0" w:space="0" w:color="auto"/>
            <w:left w:val="none" w:sz="0" w:space="0" w:color="auto"/>
            <w:bottom w:val="none" w:sz="0" w:space="0" w:color="auto"/>
            <w:right w:val="none" w:sz="0" w:space="0" w:color="auto"/>
          </w:divBdr>
        </w:div>
        <w:div w:id="1750884257">
          <w:marLeft w:val="640"/>
          <w:marRight w:val="0"/>
          <w:marTop w:val="0"/>
          <w:marBottom w:val="0"/>
          <w:divBdr>
            <w:top w:val="none" w:sz="0" w:space="0" w:color="auto"/>
            <w:left w:val="none" w:sz="0" w:space="0" w:color="auto"/>
            <w:bottom w:val="none" w:sz="0" w:space="0" w:color="auto"/>
            <w:right w:val="none" w:sz="0" w:space="0" w:color="auto"/>
          </w:divBdr>
        </w:div>
        <w:div w:id="889152022">
          <w:marLeft w:val="640"/>
          <w:marRight w:val="0"/>
          <w:marTop w:val="0"/>
          <w:marBottom w:val="0"/>
          <w:divBdr>
            <w:top w:val="none" w:sz="0" w:space="0" w:color="auto"/>
            <w:left w:val="none" w:sz="0" w:space="0" w:color="auto"/>
            <w:bottom w:val="none" w:sz="0" w:space="0" w:color="auto"/>
            <w:right w:val="none" w:sz="0" w:space="0" w:color="auto"/>
          </w:divBdr>
        </w:div>
        <w:div w:id="401636697">
          <w:marLeft w:val="640"/>
          <w:marRight w:val="0"/>
          <w:marTop w:val="0"/>
          <w:marBottom w:val="0"/>
          <w:divBdr>
            <w:top w:val="none" w:sz="0" w:space="0" w:color="auto"/>
            <w:left w:val="none" w:sz="0" w:space="0" w:color="auto"/>
            <w:bottom w:val="none" w:sz="0" w:space="0" w:color="auto"/>
            <w:right w:val="none" w:sz="0" w:space="0" w:color="auto"/>
          </w:divBdr>
        </w:div>
        <w:div w:id="2130583496">
          <w:marLeft w:val="640"/>
          <w:marRight w:val="0"/>
          <w:marTop w:val="0"/>
          <w:marBottom w:val="0"/>
          <w:divBdr>
            <w:top w:val="none" w:sz="0" w:space="0" w:color="auto"/>
            <w:left w:val="none" w:sz="0" w:space="0" w:color="auto"/>
            <w:bottom w:val="none" w:sz="0" w:space="0" w:color="auto"/>
            <w:right w:val="none" w:sz="0" w:space="0" w:color="auto"/>
          </w:divBdr>
        </w:div>
        <w:div w:id="1048997100">
          <w:marLeft w:val="640"/>
          <w:marRight w:val="0"/>
          <w:marTop w:val="0"/>
          <w:marBottom w:val="0"/>
          <w:divBdr>
            <w:top w:val="none" w:sz="0" w:space="0" w:color="auto"/>
            <w:left w:val="none" w:sz="0" w:space="0" w:color="auto"/>
            <w:bottom w:val="none" w:sz="0" w:space="0" w:color="auto"/>
            <w:right w:val="none" w:sz="0" w:space="0" w:color="auto"/>
          </w:divBdr>
        </w:div>
        <w:div w:id="1057239542">
          <w:marLeft w:val="640"/>
          <w:marRight w:val="0"/>
          <w:marTop w:val="0"/>
          <w:marBottom w:val="0"/>
          <w:divBdr>
            <w:top w:val="none" w:sz="0" w:space="0" w:color="auto"/>
            <w:left w:val="none" w:sz="0" w:space="0" w:color="auto"/>
            <w:bottom w:val="none" w:sz="0" w:space="0" w:color="auto"/>
            <w:right w:val="none" w:sz="0" w:space="0" w:color="auto"/>
          </w:divBdr>
        </w:div>
        <w:div w:id="1351948752">
          <w:marLeft w:val="640"/>
          <w:marRight w:val="0"/>
          <w:marTop w:val="0"/>
          <w:marBottom w:val="0"/>
          <w:divBdr>
            <w:top w:val="none" w:sz="0" w:space="0" w:color="auto"/>
            <w:left w:val="none" w:sz="0" w:space="0" w:color="auto"/>
            <w:bottom w:val="none" w:sz="0" w:space="0" w:color="auto"/>
            <w:right w:val="none" w:sz="0" w:space="0" w:color="auto"/>
          </w:divBdr>
        </w:div>
        <w:div w:id="1469399580">
          <w:marLeft w:val="640"/>
          <w:marRight w:val="0"/>
          <w:marTop w:val="0"/>
          <w:marBottom w:val="0"/>
          <w:divBdr>
            <w:top w:val="none" w:sz="0" w:space="0" w:color="auto"/>
            <w:left w:val="none" w:sz="0" w:space="0" w:color="auto"/>
            <w:bottom w:val="none" w:sz="0" w:space="0" w:color="auto"/>
            <w:right w:val="none" w:sz="0" w:space="0" w:color="auto"/>
          </w:divBdr>
        </w:div>
        <w:div w:id="1483620456">
          <w:marLeft w:val="640"/>
          <w:marRight w:val="0"/>
          <w:marTop w:val="0"/>
          <w:marBottom w:val="0"/>
          <w:divBdr>
            <w:top w:val="none" w:sz="0" w:space="0" w:color="auto"/>
            <w:left w:val="none" w:sz="0" w:space="0" w:color="auto"/>
            <w:bottom w:val="none" w:sz="0" w:space="0" w:color="auto"/>
            <w:right w:val="none" w:sz="0" w:space="0" w:color="auto"/>
          </w:divBdr>
        </w:div>
        <w:div w:id="2057846505">
          <w:marLeft w:val="640"/>
          <w:marRight w:val="0"/>
          <w:marTop w:val="0"/>
          <w:marBottom w:val="0"/>
          <w:divBdr>
            <w:top w:val="none" w:sz="0" w:space="0" w:color="auto"/>
            <w:left w:val="none" w:sz="0" w:space="0" w:color="auto"/>
            <w:bottom w:val="none" w:sz="0" w:space="0" w:color="auto"/>
            <w:right w:val="none" w:sz="0" w:space="0" w:color="auto"/>
          </w:divBdr>
        </w:div>
        <w:div w:id="4939692">
          <w:marLeft w:val="640"/>
          <w:marRight w:val="0"/>
          <w:marTop w:val="0"/>
          <w:marBottom w:val="0"/>
          <w:divBdr>
            <w:top w:val="none" w:sz="0" w:space="0" w:color="auto"/>
            <w:left w:val="none" w:sz="0" w:space="0" w:color="auto"/>
            <w:bottom w:val="none" w:sz="0" w:space="0" w:color="auto"/>
            <w:right w:val="none" w:sz="0" w:space="0" w:color="auto"/>
          </w:divBdr>
        </w:div>
        <w:div w:id="2144423073">
          <w:marLeft w:val="640"/>
          <w:marRight w:val="0"/>
          <w:marTop w:val="0"/>
          <w:marBottom w:val="0"/>
          <w:divBdr>
            <w:top w:val="none" w:sz="0" w:space="0" w:color="auto"/>
            <w:left w:val="none" w:sz="0" w:space="0" w:color="auto"/>
            <w:bottom w:val="none" w:sz="0" w:space="0" w:color="auto"/>
            <w:right w:val="none" w:sz="0" w:space="0" w:color="auto"/>
          </w:divBdr>
        </w:div>
        <w:div w:id="1847598494">
          <w:marLeft w:val="640"/>
          <w:marRight w:val="0"/>
          <w:marTop w:val="0"/>
          <w:marBottom w:val="0"/>
          <w:divBdr>
            <w:top w:val="none" w:sz="0" w:space="0" w:color="auto"/>
            <w:left w:val="none" w:sz="0" w:space="0" w:color="auto"/>
            <w:bottom w:val="none" w:sz="0" w:space="0" w:color="auto"/>
            <w:right w:val="none" w:sz="0" w:space="0" w:color="auto"/>
          </w:divBdr>
        </w:div>
        <w:div w:id="1035811653">
          <w:marLeft w:val="640"/>
          <w:marRight w:val="0"/>
          <w:marTop w:val="0"/>
          <w:marBottom w:val="0"/>
          <w:divBdr>
            <w:top w:val="none" w:sz="0" w:space="0" w:color="auto"/>
            <w:left w:val="none" w:sz="0" w:space="0" w:color="auto"/>
            <w:bottom w:val="none" w:sz="0" w:space="0" w:color="auto"/>
            <w:right w:val="none" w:sz="0" w:space="0" w:color="auto"/>
          </w:divBdr>
        </w:div>
        <w:div w:id="1848398261">
          <w:marLeft w:val="640"/>
          <w:marRight w:val="0"/>
          <w:marTop w:val="0"/>
          <w:marBottom w:val="0"/>
          <w:divBdr>
            <w:top w:val="none" w:sz="0" w:space="0" w:color="auto"/>
            <w:left w:val="none" w:sz="0" w:space="0" w:color="auto"/>
            <w:bottom w:val="none" w:sz="0" w:space="0" w:color="auto"/>
            <w:right w:val="none" w:sz="0" w:space="0" w:color="auto"/>
          </w:divBdr>
        </w:div>
        <w:div w:id="832985814">
          <w:marLeft w:val="640"/>
          <w:marRight w:val="0"/>
          <w:marTop w:val="0"/>
          <w:marBottom w:val="0"/>
          <w:divBdr>
            <w:top w:val="none" w:sz="0" w:space="0" w:color="auto"/>
            <w:left w:val="none" w:sz="0" w:space="0" w:color="auto"/>
            <w:bottom w:val="none" w:sz="0" w:space="0" w:color="auto"/>
            <w:right w:val="none" w:sz="0" w:space="0" w:color="auto"/>
          </w:divBdr>
        </w:div>
        <w:div w:id="1444348635">
          <w:marLeft w:val="640"/>
          <w:marRight w:val="0"/>
          <w:marTop w:val="0"/>
          <w:marBottom w:val="0"/>
          <w:divBdr>
            <w:top w:val="none" w:sz="0" w:space="0" w:color="auto"/>
            <w:left w:val="none" w:sz="0" w:space="0" w:color="auto"/>
            <w:bottom w:val="none" w:sz="0" w:space="0" w:color="auto"/>
            <w:right w:val="none" w:sz="0" w:space="0" w:color="auto"/>
          </w:divBdr>
        </w:div>
        <w:div w:id="574172438">
          <w:marLeft w:val="640"/>
          <w:marRight w:val="0"/>
          <w:marTop w:val="0"/>
          <w:marBottom w:val="0"/>
          <w:divBdr>
            <w:top w:val="none" w:sz="0" w:space="0" w:color="auto"/>
            <w:left w:val="none" w:sz="0" w:space="0" w:color="auto"/>
            <w:bottom w:val="none" w:sz="0" w:space="0" w:color="auto"/>
            <w:right w:val="none" w:sz="0" w:space="0" w:color="auto"/>
          </w:divBdr>
        </w:div>
        <w:div w:id="988365372">
          <w:marLeft w:val="640"/>
          <w:marRight w:val="0"/>
          <w:marTop w:val="0"/>
          <w:marBottom w:val="0"/>
          <w:divBdr>
            <w:top w:val="none" w:sz="0" w:space="0" w:color="auto"/>
            <w:left w:val="none" w:sz="0" w:space="0" w:color="auto"/>
            <w:bottom w:val="none" w:sz="0" w:space="0" w:color="auto"/>
            <w:right w:val="none" w:sz="0" w:space="0" w:color="auto"/>
          </w:divBdr>
        </w:div>
        <w:div w:id="336662630">
          <w:marLeft w:val="640"/>
          <w:marRight w:val="0"/>
          <w:marTop w:val="0"/>
          <w:marBottom w:val="0"/>
          <w:divBdr>
            <w:top w:val="none" w:sz="0" w:space="0" w:color="auto"/>
            <w:left w:val="none" w:sz="0" w:space="0" w:color="auto"/>
            <w:bottom w:val="none" w:sz="0" w:space="0" w:color="auto"/>
            <w:right w:val="none" w:sz="0" w:space="0" w:color="auto"/>
          </w:divBdr>
        </w:div>
        <w:div w:id="587738522">
          <w:marLeft w:val="640"/>
          <w:marRight w:val="0"/>
          <w:marTop w:val="0"/>
          <w:marBottom w:val="0"/>
          <w:divBdr>
            <w:top w:val="none" w:sz="0" w:space="0" w:color="auto"/>
            <w:left w:val="none" w:sz="0" w:space="0" w:color="auto"/>
            <w:bottom w:val="none" w:sz="0" w:space="0" w:color="auto"/>
            <w:right w:val="none" w:sz="0" w:space="0" w:color="auto"/>
          </w:divBdr>
        </w:div>
        <w:div w:id="124353391">
          <w:marLeft w:val="640"/>
          <w:marRight w:val="0"/>
          <w:marTop w:val="0"/>
          <w:marBottom w:val="0"/>
          <w:divBdr>
            <w:top w:val="none" w:sz="0" w:space="0" w:color="auto"/>
            <w:left w:val="none" w:sz="0" w:space="0" w:color="auto"/>
            <w:bottom w:val="none" w:sz="0" w:space="0" w:color="auto"/>
            <w:right w:val="none" w:sz="0" w:space="0" w:color="auto"/>
          </w:divBdr>
        </w:div>
        <w:div w:id="1819228865">
          <w:marLeft w:val="640"/>
          <w:marRight w:val="0"/>
          <w:marTop w:val="0"/>
          <w:marBottom w:val="0"/>
          <w:divBdr>
            <w:top w:val="none" w:sz="0" w:space="0" w:color="auto"/>
            <w:left w:val="none" w:sz="0" w:space="0" w:color="auto"/>
            <w:bottom w:val="none" w:sz="0" w:space="0" w:color="auto"/>
            <w:right w:val="none" w:sz="0" w:space="0" w:color="auto"/>
          </w:divBdr>
        </w:div>
        <w:div w:id="522865224">
          <w:marLeft w:val="640"/>
          <w:marRight w:val="0"/>
          <w:marTop w:val="0"/>
          <w:marBottom w:val="0"/>
          <w:divBdr>
            <w:top w:val="none" w:sz="0" w:space="0" w:color="auto"/>
            <w:left w:val="none" w:sz="0" w:space="0" w:color="auto"/>
            <w:bottom w:val="none" w:sz="0" w:space="0" w:color="auto"/>
            <w:right w:val="none" w:sz="0" w:space="0" w:color="auto"/>
          </w:divBdr>
        </w:div>
        <w:div w:id="1195000248">
          <w:marLeft w:val="640"/>
          <w:marRight w:val="0"/>
          <w:marTop w:val="0"/>
          <w:marBottom w:val="0"/>
          <w:divBdr>
            <w:top w:val="none" w:sz="0" w:space="0" w:color="auto"/>
            <w:left w:val="none" w:sz="0" w:space="0" w:color="auto"/>
            <w:bottom w:val="none" w:sz="0" w:space="0" w:color="auto"/>
            <w:right w:val="none" w:sz="0" w:space="0" w:color="auto"/>
          </w:divBdr>
        </w:div>
        <w:div w:id="1138305471">
          <w:marLeft w:val="640"/>
          <w:marRight w:val="0"/>
          <w:marTop w:val="0"/>
          <w:marBottom w:val="0"/>
          <w:divBdr>
            <w:top w:val="none" w:sz="0" w:space="0" w:color="auto"/>
            <w:left w:val="none" w:sz="0" w:space="0" w:color="auto"/>
            <w:bottom w:val="none" w:sz="0" w:space="0" w:color="auto"/>
            <w:right w:val="none" w:sz="0" w:space="0" w:color="auto"/>
          </w:divBdr>
        </w:div>
        <w:div w:id="218591030">
          <w:marLeft w:val="640"/>
          <w:marRight w:val="0"/>
          <w:marTop w:val="0"/>
          <w:marBottom w:val="0"/>
          <w:divBdr>
            <w:top w:val="none" w:sz="0" w:space="0" w:color="auto"/>
            <w:left w:val="none" w:sz="0" w:space="0" w:color="auto"/>
            <w:bottom w:val="none" w:sz="0" w:space="0" w:color="auto"/>
            <w:right w:val="none" w:sz="0" w:space="0" w:color="auto"/>
          </w:divBdr>
        </w:div>
        <w:div w:id="623535747">
          <w:marLeft w:val="640"/>
          <w:marRight w:val="0"/>
          <w:marTop w:val="0"/>
          <w:marBottom w:val="0"/>
          <w:divBdr>
            <w:top w:val="none" w:sz="0" w:space="0" w:color="auto"/>
            <w:left w:val="none" w:sz="0" w:space="0" w:color="auto"/>
            <w:bottom w:val="none" w:sz="0" w:space="0" w:color="auto"/>
            <w:right w:val="none" w:sz="0" w:space="0" w:color="auto"/>
          </w:divBdr>
        </w:div>
        <w:div w:id="1399551695">
          <w:marLeft w:val="640"/>
          <w:marRight w:val="0"/>
          <w:marTop w:val="0"/>
          <w:marBottom w:val="0"/>
          <w:divBdr>
            <w:top w:val="none" w:sz="0" w:space="0" w:color="auto"/>
            <w:left w:val="none" w:sz="0" w:space="0" w:color="auto"/>
            <w:bottom w:val="none" w:sz="0" w:space="0" w:color="auto"/>
            <w:right w:val="none" w:sz="0" w:space="0" w:color="auto"/>
          </w:divBdr>
        </w:div>
        <w:div w:id="261453400">
          <w:marLeft w:val="640"/>
          <w:marRight w:val="0"/>
          <w:marTop w:val="0"/>
          <w:marBottom w:val="0"/>
          <w:divBdr>
            <w:top w:val="none" w:sz="0" w:space="0" w:color="auto"/>
            <w:left w:val="none" w:sz="0" w:space="0" w:color="auto"/>
            <w:bottom w:val="none" w:sz="0" w:space="0" w:color="auto"/>
            <w:right w:val="none" w:sz="0" w:space="0" w:color="auto"/>
          </w:divBdr>
        </w:div>
        <w:div w:id="906643849">
          <w:marLeft w:val="640"/>
          <w:marRight w:val="0"/>
          <w:marTop w:val="0"/>
          <w:marBottom w:val="0"/>
          <w:divBdr>
            <w:top w:val="none" w:sz="0" w:space="0" w:color="auto"/>
            <w:left w:val="none" w:sz="0" w:space="0" w:color="auto"/>
            <w:bottom w:val="none" w:sz="0" w:space="0" w:color="auto"/>
            <w:right w:val="none" w:sz="0" w:space="0" w:color="auto"/>
          </w:divBdr>
        </w:div>
        <w:div w:id="499391256">
          <w:marLeft w:val="640"/>
          <w:marRight w:val="0"/>
          <w:marTop w:val="0"/>
          <w:marBottom w:val="0"/>
          <w:divBdr>
            <w:top w:val="none" w:sz="0" w:space="0" w:color="auto"/>
            <w:left w:val="none" w:sz="0" w:space="0" w:color="auto"/>
            <w:bottom w:val="none" w:sz="0" w:space="0" w:color="auto"/>
            <w:right w:val="none" w:sz="0" w:space="0" w:color="auto"/>
          </w:divBdr>
        </w:div>
        <w:div w:id="1793131103">
          <w:marLeft w:val="640"/>
          <w:marRight w:val="0"/>
          <w:marTop w:val="0"/>
          <w:marBottom w:val="0"/>
          <w:divBdr>
            <w:top w:val="none" w:sz="0" w:space="0" w:color="auto"/>
            <w:left w:val="none" w:sz="0" w:space="0" w:color="auto"/>
            <w:bottom w:val="none" w:sz="0" w:space="0" w:color="auto"/>
            <w:right w:val="none" w:sz="0" w:space="0" w:color="auto"/>
          </w:divBdr>
        </w:div>
        <w:div w:id="52971632">
          <w:marLeft w:val="640"/>
          <w:marRight w:val="0"/>
          <w:marTop w:val="0"/>
          <w:marBottom w:val="0"/>
          <w:divBdr>
            <w:top w:val="none" w:sz="0" w:space="0" w:color="auto"/>
            <w:left w:val="none" w:sz="0" w:space="0" w:color="auto"/>
            <w:bottom w:val="none" w:sz="0" w:space="0" w:color="auto"/>
            <w:right w:val="none" w:sz="0" w:space="0" w:color="auto"/>
          </w:divBdr>
        </w:div>
        <w:div w:id="525362785">
          <w:marLeft w:val="640"/>
          <w:marRight w:val="0"/>
          <w:marTop w:val="0"/>
          <w:marBottom w:val="0"/>
          <w:divBdr>
            <w:top w:val="none" w:sz="0" w:space="0" w:color="auto"/>
            <w:left w:val="none" w:sz="0" w:space="0" w:color="auto"/>
            <w:bottom w:val="none" w:sz="0" w:space="0" w:color="auto"/>
            <w:right w:val="none" w:sz="0" w:space="0" w:color="auto"/>
          </w:divBdr>
        </w:div>
        <w:div w:id="739909094">
          <w:marLeft w:val="640"/>
          <w:marRight w:val="0"/>
          <w:marTop w:val="0"/>
          <w:marBottom w:val="0"/>
          <w:divBdr>
            <w:top w:val="none" w:sz="0" w:space="0" w:color="auto"/>
            <w:left w:val="none" w:sz="0" w:space="0" w:color="auto"/>
            <w:bottom w:val="none" w:sz="0" w:space="0" w:color="auto"/>
            <w:right w:val="none" w:sz="0" w:space="0" w:color="auto"/>
          </w:divBdr>
        </w:div>
        <w:div w:id="116720180">
          <w:marLeft w:val="640"/>
          <w:marRight w:val="0"/>
          <w:marTop w:val="0"/>
          <w:marBottom w:val="0"/>
          <w:divBdr>
            <w:top w:val="none" w:sz="0" w:space="0" w:color="auto"/>
            <w:left w:val="none" w:sz="0" w:space="0" w:color="auto"/>
            <w:bottom w:val="none" w:sz="0" w:space="0" w:color="auto"/>
            <w:right w:val="none" w:sz="0" w:space="0" w:color="auto"/>
          </w:divBdr>
        </w:div>
        <w:div w:id="54789011">
          <w:marLeft w:val="640"/>
          <w:marRight w:val="0"/>
          <w:marTop w:val="0"/>
          <w:marBottom w:val="0"/>
          <w:divBdr>
            <w:top w:val="none" w:sz="0" w:space="0" w:color="auto"/>
            <w:left w:val="none" w:sz="0" w:space="0" w:color="auto"/>
            <w:bottom w:val="none" w:sz="0" w:space="0" w:color="auto"/>
            <w:right w:val="none" w:sz="0" w:space="0" w:color="auto"/>
          </w:divBdr>
        </w:div>
        <w:div w:id="669718392">
          <w:marLeft w:val="640"/>
          <w:marRight w:val="0"/>
          <w:marTop w:val="0"/>
          <w:marBottom w:val="0"/>
          <w:divBdr>
            <w:top w:val="none" w:sz="0" w:space="0" w:color="auto"/>
            <w:left w:val="none" w:sz="0" w:space="0" w:color="auto"/>
            <w:bottom w:val="none" w:sz="0" w:space="0" w:color="auto"/>
            <w:right w:val="none" w:sz="0" w:space="0" w:color="auto"/>
          </w:divBdr>
        </w:div>
        <w:div w:id="1587575865">
          <w:marLeft w:val="640"/>
          <w:marRight w:val="0"/>
          <w:marTop w:val="0"/>
          <w:marBottom w:val="0"/>
          <w:divBdr>
            <w:top w:val="none" w:sz="0" w:space="0" w:color="auto"/>
            <w:left w:val="none" w:sz="0" w:space="0" w:color="auto"/>
            <w:bottom w:val="none" w:sz="0" w:space="0" w:color="auto"/>
            <w:right w:val="none" w:sz="0" w:space="0" w:color="auto"/>
          </w:divBdr>
        </w:div>
        <w:div w:id="1233807686">
          <w:marLeft w:val="640"/>
          <w:marRight w:val="0"/>
          <w:marTop w:val="0"/>
          <w:marBottom w:val="0"/>
          <w:divBdr>
            <w:top w:val="none" w:sz="0" w:space="0" w:color="auto"/>
            <w:left w:val="none" w:sz="0" w:space="0" w:color="auto"/>
            <w:bottom w:val="none" w:sz="0" w:space="0" w:color="auto"/>
            <w:right w:val="none" w:sz="0" w:space="0" w:color="auto"/>
          </w:divBdr>
        </w:div>
        <w:div w:id="1295020232">
          <w:marLeft w:val="640"/>
          <w:marRight w:val="0"/>
          <w:marTop w:val="0"/>
          <w:marBottom w:val="0"/>
          <w:divBdr>
            <w:top w:val="none" w:sz="0" w:space="0" w:color="auto"/>
            <w:left w:val="none" w:sz="0" w:space="0" w:color="auto"/>
            <w:bottom w:val="none" w:sz="0" w:space="0" w:color="auto"/>
            <w:right w:val="none" w:sz="0" w:space="0" w:color="auto"/>
          </w:divBdr>
        </w:div>
        <w:div w:id="1176383529">
          <w:marLeft w:val="640"/>
          <w:marRight w:val="0"/>
          <w:marTop w:val="0"/>
          <w:marBottom w:val="0"/>
          <w:divBdr>
            <w:top w:val="none" w:sz="0" w:space="0" w:color="auto"/>
            <w:left w:val="none" w:sz="0" w:space="0" w:color="auto"/>
            <w:bottom w:val="none" w:sz="0" w:space="0" w:color="auto"/>
            <w:right w:val="none" w:sz="0" w:space="0" w:color="auto"/>
          </w:divBdr>
        </w:div>
        <w:div w:id="958536297">
          <w:marLeft w:val="640"/>
          <w:marRight w:val="0"/>
          <w:marTop w:val="0"/>
          <w:marBottom w:val="0"/>
          <w:divBdr>
            <w:top w:val="none" w:sz="0" w:space="0" w:color="auto"/>
            <w:left w:val="none" w:sz="0" w:space="0" w:color="auto"/>
            <w:bottom w:val="none" w:sz="0" w:space="0" w:color="auto"/>
            <w:right w:val="none" w:sz="0" w:space="0" w:color="auto"/>
          </w:divBdr>
        </w:div>
        <w:div w:id="1193879601">
          <w:marLeft w:val="640"/>
          <w:marRight w:val="0"/>
          <w:marTop w:val="0"/>
          <w:marBottom w:val="0"/>
          <w:divBdr>
            <w:top w:val="none" w:sz="0" w:space="0" w:color="auto"/>
            <w:left w:val="none" w:sz="0" w:space="0" w:color="auto"/>
            <w:bottom w:val="none" w:sz="0" w:space="0" w:color="auto"/>
            <w:right w:val="none" w:sz="0" w:space="0" w:color="auto"/>
          </w:divBdr>
        </w:div>
        <w:div w:id="1685011292">
          <w:marLeft w:val="640"/>
          <w:marRight w:val="0"/>
          <w:marTop w:val="0"/>
          <w:marBottom w:val="0"/>
          <w:divBdr>
            <w:top w:val="none" w:sz="0" w:space="0" w:color="auto"/>
            <w:left w:val="none" w:sz="0" w:space="0" w:color="auto"/>
            <w:bottom w:val="none" w:sz="0" w:space="0" w:color="auto"/>
            <w:right w:val="none" w:sz="0" w:space="0" w:color="auto"/>
          </w:divBdr>
        </w:div>
        <w:div w:id="1294940157">
          <w:marLeft w:val="640"/>
          <w:marRight w:val="0"/>
          <w:marTop w:val="0"/>
          <w:marBottom w:val="0"/>
          <w:divBdr>
            <w:top w:val="none" w:sz="0" w:space="0" w:color="auto"/>
            <w:left w:val="none" w:sz="0" w:space="0" w:color="auto"/>
            <w:bottom w:val="none" w:sz="0" w:space="0" w:color="auto"/>
            <w:right w:val="none" w:sz="0" w:space="0" w:color="auto"/>
          </w:divBdr>
        </w:div>
        <w:div w:id="1967662298">
          <w:marLeft w:val="640"/>
          <w:marRight w:val="0"/>
          <w:marTop w:val="0"/>
          <w:marBottom w:val="0"/>
          <w:divBdr>
            <w:top w:val="none" w:sz="0" w:space="0" w:color="auto"/>
            <w:left w:val="none" w:sz="0" w:space="0" w:color="auto"/>
            <w:bottom w:val="none" w:sz="0" w:space="0" w:color="auto"/>
            <w:right w:val="none" w:sz="0" w:space="0" w:color="auto"/>
          </w:divBdr>
        </w:div>
        <w:div w:id="1379283921">
          <w:marLeft w:val="640"/>
          <w:marRight w:val="0"/>
          <w:marTop w:val="0"/>
          <w:marBottom w:val="0"/>
          <w:divBdr>
            <w:top w:val="none" w:sz="0" w:space="0" w:color="auto"/>
            <w:left w:val="none" w:sz="0" w:space="0" w:color="auto"/>
            <w:bottom w:val="none" w:sz="0" w:space="0" w:color="auto"/>
            <w:right w:val="none" w:sz="0" w:space="0" w:color="auto"/>
          </w:divBdr>
        </w:div>
        <w:div w:id="2109160255">
          <w:marLeft w:val="640"/>
          <w:marRight w:val="0"/>
          <w:marTop w:val="0"/>
          <w:marBottom w:val="0"/>
          <w:divBdr>
            <w:top w:val="none" w:sz="0" w:space="0" w:color="auto"/>
            <w:left w:val="none" w:sz="0" w:space="0" w:color="auto"/>
            <w:bottom w:val="none" w:sz="0" w:space="0" w:color="auto"/>
            <w:right w:val="none" w:sz="0" w:space="0" w:color="auto"/>
          </w:divBdr>
        </w:div>
        <w:div w:id="1962766745">
          <w:marLeft w:val="640"/>
          <w:marRight w:val="0"/>
          <w:marTop w:val="0"/>
          <w:marBottom w:val="0"/>
          <w:divBdr>
            <w:top w:val="none" w:sz="0" w:space="0" w:color="auto"/>
            <w:left w:val="none" w:sz="0" w:space="0" w:color="auto"/>
            <w:bottom w:val="none" w:sz="0" w:space="0" w:color="auto"/>
            <w:right w:val="none" w:sz="0" w:space="0" w:color="auto"/>
          </w:divBdr>
        </w:div>
        <w:div w:id="385951664">
          <w:marLeft w:val="640"/>
          <w:marRight w:val="0"/>
          <w:marTop w:val="0"/>
          <w:marBottom w:val="0"/>
          <w:divBdr>
            <w:top w:val="none" w:sz="0" w:space="0" w:color="auto"/>
            <w:left w:val="none" w:sz="0" w:space="0" w:color="auto"/>
            <w:bottom w:val="none" w:sz="0" w:space="0" w:color="auto"/>
            <w:right w:val="none" w:sz="0" w:space="0" w:color="auto"/>
          </w:divBdr>
        </w:div>
        <w:div w:id="496771624">
          <w:marLeft w:val="640"/>
          <w:marRight w:val="0"/>
          <w:marTop w:val="0"/>
          <w:marBottom w:val="0"/>
          <w:divBdr>
            <w:top w:val="none" w:sz="0" w:space="0" w:color="auto"/>
            <w:left w:val="none" w:sz="0" w:space="0" w:color="auto"/>
            <w:bottom w:val="none" w:sz="0" w:space="0" w:color="auto"/>
            <w:right w:val="none" w:sz="0" w:space="0" w:color="auto"/>
          </w:divBdr>
        </w:div>
        <w:div w:id="2050763681">
          <w:marLeft w:val="640"/>
          <w:marRight w:val="0"/>
          <w:marTop w:val="0"/>
          <w:marBottom w:val="0"/>
          <w:divBdr>
            <w:top w:val="none" w:sz="0" w:space="0" w:color="auto"/>
            <w:left w:val="none" w:sz="0" w:space="0" w:color="auto"/>
            <w:bottom w:val="none" w:sz="0" w:space="0" w:color="auto"/>
            <w:right w:val="none" w:sz="0" w:space="0" w:color="auto"/>
          </w:divBdr>
        </w:div>
        <w:div w:id="1328048169">
          <w:marLeft w:val="640"/>
          <w:marRight w:val="0"/>
          <w:marTop w:val="0"/>
          <w:marBottom w:val="0"/>
          <w:divBdr>
            <w:top w:val="none" w:sz="0" w:space="0" w:color="auto"/>
            <w:left w:val="none" w:sz="0" w:space="0" w:color="auto"/>
            <w:bottom w:val="none" w:sz="0" w:space="0" w:color="auto"/>
            <w:right w:val="none" w:sz="0" w:space="0" w:color="auto"/>
          </w:divBdr>
        </w:div>
        <w:div w:id="83384717">
          <w:marLeft w:val="640"/>
          <w:marRight w:val="0"/>
          <w:marTop w:val="0"/>
          <w:marBottom w:val="0"/>
          <w:divBdr>
            <w:top w:val="none" w:sz="0" w:space="0" w:color="auto"/>
            <w:left w:val="none" w:sz="0" w:space="0" w:color="auto"/>
            <w:bottom w:val="none" w:sz="0" w:space="0" w:color="auto"/>
            <w:right w:val="none" w:sz="0" w:space="0" w:color="auto"/>
          </w:divBdr>
        </w:div>
        <w:div w:id="362679636">
          <w:marLeft w:val="640"/>
          <w:marRight w:val="0"/>
          <w:marTop w:val="0"/>
          <w:marBottom w:val="0"/>
          <w:divBdr>
            <w:top w:val="none" w:sz="0" w:space="0" w:color="auto"/>
            <w:left w:val="none" w:sz="0" w:space="0" w:color="auto"/>
            <w:bottom w:val="none" w:sz="0" w:space="0" w:color="auto"/>
            <w:right w:val="none" w:sz="0" w:space="0" w:color="auto"/>
          </w:divBdr>
        </w:div>
        <w:div w:id="1267807726">
          <w:marLeft w:val="640"/>
          <w:marRight w:val="0"/>
          <w:marTop w:val="0"/>
          <w:marBottom w:val="0"/>
          <w:divBdr>
            <w:top w:val="none" w:sz="0" w:space="0" w:color="auto"/>
            <w:left w:val="none" w:sz="0" w:space="0" w:color="auto"/>
            <w:bottom w:val="none" w:sz="0" w:space="0" w:color="auto"/>
            <w:right w:val="none" w:sz="0" w:space="0" w:color="auto"/>
          </w:divBdr>
        </w:div>
        <w:div w:id="24183832">
          <w:marLeft w:val="640"/>
          <w:marRight w:val="0"/>
          <w:marTop w:val="0"/>
          <w:marBottom w:val="0"/>
          <w:divBdr>
            <w:top w:val="none" w:sz="0" w:space="0" w:color="auto"/>
            <w:left w:val="none" w:sz="0" w:space="0" w:color="auto"/>
            <w:bottom w:val="none" w:sz="0" w:space="0" w:color="auto"/>
            <w:right w:val="none" w:sz="0" w:space="0" w:color="auto"/>
          </w:divBdr>
        </w:div>
        <w:div w:id="442264014">
          <w:marLeft w:val="640"/>
          <w:marRight w:val="0"/>
          <w:marTop w:val="0"/>
          <w:marBottom w:val="0"/>
          <w:divBdr>
            <w:top w:val="none" w:sz="0" w:space="0" w:color="auto"/>
            <w:left w:val="none" w:sz="0" w:space="0" w:color="auto"/>
            <w:bottom w:val="none" w:sz="0" w:space="0" w:color="auto"/>
            <w:right w:val="none" w:sz="0" w:space="0" w:color="auto"/>
          </w:divBdr>
        </w:div>
        <w:div w:id="440952236">
          <w:marLeft w:val="640"/>
          <w:marRight w:val="0"/>
          <w:marTop w:val="0"/>
          <w:marBottom w:val="0"/>
          <w:divBdr>
            <w:top w:val="none" w:sz="0" w:space="0" w:color="auto"/>
            <w:left w:val="none" w:sz="0" w:space="0" w:color="auto"/>
            <w:bottom w:val="none" w:sz="0" w:space="0" w:color="auto"/>
            <w:right w:val="none" w:sz="0" w:space="0" w:color="auto"/>
          </w:divBdr>
        </w:div>
        <w:div w:id="273560192">
          <w:marLeft w:val="640"/>
          <w:marRight w:val="0"/>
          <w:marTop w:val="0"/>
          <w:marBottom w:val="0"/>
          <w:divBdr>
            <w:top w:val="none" w:sz="0" w:space="0" w:color="auto"/>
            <w:left w:val="none" w:sz="0" w:space="0" w:color="auto"/>
            <w:bottom w:val="none" w:sz="0" w:space="0" w:color="auto"/>
            <w:right w:val="none" w:sz="0" w:space="0" w:color="auto"/>
          </w:divBdr>
        </w:div>
      </w:divsChild>
    </w:div>
    <w:div w:id="1935281798">
      <w:bodyDiv w:val="1"/>
      <w:marLeft w:val="0"/>
      <w:marRight w:val="0"/>
      <w:marTop w:val="0"/>
      <w:marBottom w:val="0"/>
      <w:divBdr>
        <w:top w:val="none" w:sz="0" w:space="0" w:color="auto"/>
        <w:left w:val="none" w:sz="0" w:space="0" w:color="auto"/>
        <w:bottom w:val="none" w:sz="0" w:space="0" w:color="auto"/>
        <w:right w:val="none" w:sz="0" w:space="0" w:color="auto"/>
      </w:divBdr>
    </w:div>
    <w:div w:id="1937011653">
      <w:bodyDiv w:val="1"/>
      <w:marLeft w:val="0"/>
      <w:marRight w:val="0"/>
      <w:marTop w:val="0"/>
      <w:marBottom w:val="0"/>
      <w:divBdr>
        <w:top w:val="none" w:sz="0" w:space="0" w:color="auto"/>
        <w:left w:val="none" w:sz="0" w:space="0" w:color="auto"/>
        <w:bottom w:val="none" w:sz="0" w:space="0" w:color="auto"/>
        <w:right w:val="none" w:sz="0" w:space="0" w:color="auto"/>
      </w:divBdr>
    </w:div>
    <w:div w:id="1938366117">
      <w:bodyDiv w:val="1"/>
      <w:marLeft w:val="0"/>
      <w:marRight w:val="0"/>
      <w:marTop w:val="0"/>
      <w:marBottom w:val="0"/>
      <w:divBdr>
        <w:top w:val="none" w:sz="0" w:space="0" w:color="auto"/>
        <w:left w:val="none" w:sz="0" w:space="0" w:color="auto"/>
        <w:bottom w:val="none" w:sz="0" w:space="0" w:color="auto"/>
        <w:right w:val="none" w:sz="0" w:space="0" w:color="auto"/>
      </w:divBdr>
    </w:div>
    <w:div w:id="1942031966">
      <w:bodyDiv w:val="1"/>
      <w:marLeft w:val="0"/>
      <w:marRight w:val="0"/>
      <w:marTop w:val="0"/>
      <w:marBottom w:val="0"/>
      <w:divBdr>
        <w:top w:val="none" w:sz="0" w:space="0" w:color="auto"/>
        <w:left w:val="none" w:sz="0" w:space="0" w:color="auto"/>
        <w:bottom w:val="none" w:sz="0" w:space="0" w:color="auto"/>
        <w:right w:val="none" w:sz="0" w:space="0" w:color="auto"/>
      </w:divBdr>
    </w:div>
    <w:div w:id="1943301997">
      <w:bodyDiv w:val="1"/>
      <w:marLeft w:val="0"/>
      <w:marRight w:val="0"/>
      <w:marTop w:val="0"/>
      <w:marBottom w:val="0"/>
      <w:divBdr>
        <w:top w:val="none" w:sz="0" w:space="0" w:color="auto"/>
        <w:left w:val="none" w:sz="0" w:space="0" w:color="auto"/>
        <w:bottom w:val="none" w:sz="0" w:space="0" w:color="auto"/>
        <w:right w:val="none" w:sz="0" w:space="0" w:color="auto"/>
      </w:divBdr>
    </w:div>
    <w:div w:id="1949047696">
      <w:bodyDiv w:val="1"/>
      <w:marLeft w:val="0"/>
      <w:marRight w:val="0"/>
      <w:marTop w:val="0"/>
      <w:marBottom w:val="0"/>
      <w:divBdr>
        <w:top w:val="none" w:sz="0" w:space="0" w:color="auto"/>
        <w:left w:val="none" w:sz="0" w:space="0" w:color="auto"/>
        <w:bottom w:val="none" w:sz="0" w:space="0" w:color="auto"/>
        <w:right w:val="none" w:sz="0" w:space="0" w:color="auto"/>
      </w:divBdr>
    </w:div>
    <w:div w:id="1957520607">
      <w:bodyDiv w:val="1"/>
      <w:marLeft w:val="0"/>
      <w:marRight w:val="0"/>
      <w:marTop w:val="0"/>
      <w:marBottom w:val="0"/>
      <w:divBdr>
        <w:top w:val="none" w:sz="0" w:space="0" w:color="auto"/>
        <w:left w:val="none" w:sz="0" w:space="0" w:color="auto"/>
        <w:bottom w:val="none" w:sz="0" w:space="0" w:color="auto"/>
        <w:right w:val="none" w:sz="0" w:space="0" w:color="auto"/>
      </w:divBdr>
      <w:divsChild>
        <w:div w:id="613557616">
          <w:marLeft w:val="640"/>
          <w:marRight w:val="0"/>
          <w:marTop w:val="0"/>
          <w:marBottom w:val="0"/>
          <w:divBdr>
            <w:top w:val="none" w:sz="0" w:space="0" w:color="auto"/>
            <w:left w:val="none" w:sz="0" w:space="0" w:color="auto"/>
            <w:bottom w:val="none" w:sz="0" w:space="0" w:color="auto"/>
            <w:right w:val="none" w:sz="0" w:space="0" w:color="auto"/>
          </w:divBdr>
        </w:div>
        <w:div w:id="1395741471">
          <w:marLeft w:val="640"/>
          <w:marRight w:val="0"/>
          <w:marTop w:val="0"/>
          <w:marBottom w:val="0"/>
          <w:divBdr>
            <w:top w:val="none" w:sz="0" w:space="0" w:color="auto"/>
            <w:left w:val="none" w:sz="0" w:space="0" w:color="auto"/>
            <w:bottom w:val="none" w:sz="0" w:space="0" w:color="auto"/>
            <w:right w:val="none" w:sz="0" w:space="0" w:color="auto"/>
          </w:divBdr>
        </w:div>
        <w:div w:id="1752845484">
          <w:marLeft w:val="640"/>
          <w:marRight w:val="0"/>
          <w:marTop w:val="0"/>
          <w:marBottom w:val="0"/>
          <w:divBdr>
            <w:top w:val="none" w:sz="0" w:space="0" w:color="auto"/>
            <w:left w:val="none" w:sz="0" w:space="0" w:color="auto"/>
            <w:bottom w:val="none" w:sz="0" w:space="0" w:color="auto"/>
            <w:right w:val="none" w:sz="0" w:space="0" w:color="auto"/>
          </w:divBdr>
        </w:div>
        <w:div w:id="2117672812">
          <w:marLeft w:val="640"/>
          <w:marRight w:val="0"/>
          <w:marTop w:val="0"/>
          <w:marBottom w:val="0"/>
          <w:divBdr>
            <w:top w:val="none" w:sz="0" w:space="0" w:color="auto"/>
            <w:left w:val="none" w:sz="0" w:space="0" w:color="auto"/>
            <w:bottom w:val="none" w:sz="0" w:space="0" w:color="auto"/>
            <w:right w:val="none" w:sz="0" w:space="0" w:color="auto"/>
          </w:divBdr>
        </w:div>
        <w:div w:id="2057116907">
          <w:marLeft w:val="640"/>
          <w:marRight w:val="0"/>
          <w:marTop w:val="0"/>
          <w:marBottom w:val="0"/>
          <w:divBdr>
            <w:top w:val="none" w:sz="0" w:space="0" w:color="auto"/>
            <w:left w:val="none" w:sz="0" w:space="0" w:color="auto"/>
            <w:bottom w:val="none" w:sz="0" w:space="0" w:color="auto"/>
            <w:right w:val="none" w:sz="0" w:space="0" w:color="auto"/>
          </w:divBdr>
        </w:div>
        <w:div w:id="1820657445">
          <w:marLeft w:val="640"/>
          <w:marRight w:val="0"/>
          <w:marTop w:val="0"/>
          <w:marBottom w:val="0"/>
          <w:divBdr>
            <w:top w:val="none" w:sz="0" w:space="0" w:color="auto"/>
            <w:left w:val="none" w:sz="0" w:space="0" w:color="auto"/>
            <w:bottom w:val="none" w:sz="0" w:space="0" w:color="auto"/>
            <w:right w:val="none" w:sz="0" w:space="0" w:color="auto"/>
          </w:divBdr>
        </w:div>
        <w:div w:id="759562384">
          <w:marLeft w:val="640"/>
          <w:marRight w:val="0"/>
          <w:marTop w:val="0"/>
          <w:marBottom w:val="0"/>
          <w:divBdr>
            <w:top w:val="none" w:sz="0" w:space="0" w:color="auto"/>
            <w:left w:val="none" w:sz="0" w:space="0" w:color="auto"/>
            <w:bottom w:val="none" w:sz="0" w:space="0" w:color="auto"/>
            <w:right w:val="none" w:sz="0" w:space="0" w:color="auto"/>
          </w:divBdr>
        </w:div>
        <w:div w:id="478808323">
          <w:marLeft w:val="640"/>
          <w:marRight w:val="0"/>
          <w:marTop w:val="0"/>
          <w:marBottom w:val="0"/>
          <w:divBdr>
            <w:top w:val="none" w:sz="0" w:space="0" w:color="auto"/>
            <w:left w:val="none" w:sz="0" w:space="0" w:color="auto"/>
            <w:bottom w:val="none" w:sz="0" w:space="0" w:color="auto"/>
            <w:right w:val="none" w:sz="0" w:space="0" w:color="auto"/>
          </w:divBdr>
        </w:div>
        <w:div w:id="1100223161">
          <w:marLeft w:val="640"/>
          <w:marRight w:val="0"/>
          <w:marTop w:val="0"/>
          <w:marBottom w:val="0"/>
          <w:divBdr>
            <w:top w:val="none" w:sz="0" w:space="0" w:color="auto"/>
            <w:left w:val="none" w:sz="0" w:space="0" w:color="auto"/>
            <w:bottom w:val="none" w:sz="0" w:space="0" w:color="auto"/>
            <w:right w:val="none" w:sz="0" w:space="0" w:color="auto"/>
          </w:divBdr>
        </w:div>
        <w:div w:id="1568418480">
          <w:marLeft w:val="640"/>
          <w:marRight w:val="0"/>
          <w:marTop w:val="0"/>
          <w:marBottom w:val="0"/>
          <w:divBdr>
            <w:top w:val="none" w:sz="0" w:space="0" w:color="auto"/>
            <w:left w:val="none" w:sz="0" w:space="0" w:color="auto"/>
            <w:bottom w:val="none" w:sz="0" w:space="0" w:color="auto"/>
            <w:right w:val="none" w:sz="0" w:space="0" w:color="auto"/>
          </w:divBdr>
        </w:div>
        <w:div w:id="1186555220">
          <w:marLeft w:val="640"/>
          <w:marRight w:val="0"/>
          <w:marTop w:val="0"/>
          <w:marBottom w:val="0"/>
          <w:divBdr>
            <w:top w:val="none" w:sz="0" w:space="0" w:color="auto"/>
            <w:left w:val="none" w:sz="0" w:space="0" w:color="auto"/>
            <w:bottom w:val="none" w:sz="0" w:space="0" w:color="auto"/>
            <w:right w:val="none" w:sz="0" w:space="0" w:color="auto"/>
          </w:divBdr>
        </w:div>
        <w:div w:id="2123183806">
          <w:marLeft w:val="640"/>
          <w:marRight w:val="0"/>
          <w:marTop w:val="0"/>
          <w:marBottom w:val="0"/>
          <w:divBdr>
            <w:top w:val="none" w:sz="0" w:space="0" w:color="auto"/>
            <w:left w:val="none" w:sz="0" w:space="0" w:color="auto"/>
            <w:bottom w:val="none" w:sz="0" w:space="0" w:color="auto"/>
            <w:right w:val="none" w:sz="0" w:space="0" w:color="auto"/>
          </w:divBdr>
        </w:div>
        <w:div w:id="741490130">
          <w:marLeft w:val="640"/>
          <w:marRight w:val="0"/>
          <w:marTop w:val="0"/>
          <w:marBottom w:val="0"/>
          <w:divBdr>
            <w:top w:val="none" w:sz="0" w:space="0" w:color="auto"/>
            <w:left w:val="none" w:sz="0" w:space="0" w:color="auto"/>
            <w:bottom w:val="none" w:sz="0" w:space="0" w:color="auto"/>
            <w:right w:val="none" w:sz="0" w:space="0" w:color="auto"/>
          </w:divBdr>
        </w:div>
        <w:div w:id="792797095">
          <w:marLeft w:val="640"/>
          <w:marRight w:val="0"/>
          <w:marTop w:val="0"/>
          <w:marBottom w:val="0"/>
          <w:divBdr>
            <w:top w:val="none" w:sz="0" w:space="0" w:color="auto"/>
            <w:left w:val="none" w:sz="0" w:space="0" w:color="auto"/>
            <w:bottom w:val="none" w:sz="0" w:space="0" w:color="auto"/>
            <w:right w:val="none" w:sz="0" w:space="0" w:color="auto"/>
          </w:divBdr>
        </w:div>
        <w:div w:id="1276714836">
          <w:marLeft w:val="640"/>
          <w:marRight w:val="0"/>
          <w:marTop w:val="0"/>
          <w:marBottom w:val="0"/>
          <w:divBdr>
            <w:top w:val="none" w:sz="0" w:space="0" w:color="auto"/>
            <w:left w:val="none" w:sz="0" w:space="0" w:color="auto"/>
            <w:bottom w:val="none" w:sz="0" w:space="0" w:color="auto"/>
            <w:right w:val="none" w:sz="0" w:space="0" w:color="auto"/>
          </w:divBdr>
        </w:div>
        <w:div w:id="1606770714">
          <w:marLeft w:val="640"/>
          <w:marRight w:val="0"/>
          <w:marTop w:val="0"/>
          <w:marBottom w:val="0"/>
          <w:divBdr>
            <w:top w:val="none" w:sz="0" w:space="0" w:color="auto"/>
            <w:left w:val="none" w:sz="0" w:space="0" w:color="auto"/>
            <w:bottom w:val="none" w:sz="0" w:space="0" w:color="auto"/>
            <w:right w:val="none" w:sz="0" w:space="0" w:color="auto"/>
          </w:divBdr>
        </w:div>
        <w:div w:id="1998994901">
          <w:marLeft w:val="640"/>
          <w:marRight w:val="0"/>
          <w:marTop w:val="0"/>
          <w:marBottom w:val="0"/>
          <w:divBdr>
            <w:top w:val="none" w:sz="0" w:space="0" w:color="auto"/>
            <w:left w:val="none" w:sz="0" w:space="0" w:color="auto"/>
            <w:bottom w:val="none" w:sz="0" w:space="0" w:color="auto"/>
            <w:right w:val="none" w:sz="0" w:space="0" w:color="auto"/>
          </w:divBdr>
        </w:div>
        <w:div w:id="1045103940">
          <w:marLeft w:val="640"/>
          <w:marRight w:val="0"/>
          <w:marTop w:val="0"/>
          <w:marBottom w:val="0"/>
          <w:divBdr>
            <w:top w:val="none" w:sz="0" w:space="0" w:color="auto"/>
            <w:left w:val="none" w:sz="0" w:space="0" w:color="auto"/>
            <w:bottom w:val="none" w:sz="0" w:space="0" w:color="auto"/>
            <w:right w:val="none" w:sz="0" w:space="0" w:color="auto"/>
          </w:divBdr>
        </w:div>
        <w:div w:id="126823783">
          <w:marLeft w:val="640"/>
          <w:marRight w:val="0"/>
          <w:marTop w:val="0"/>
          <w:marBottom w:val="0"/>
          <w:divBdr>
            <w:top w:val="none" w:sz="0" w:space="0" w:color="auto"/>
            <w:left w:val="none" w:sz="0" w:space="0" w:color="auto"/>
            <w:bottom w:val="none" w:sz="0" w:space="0" w:color="auto"/>
            <w:right w:val="none" w:sz="0" w:space="0" w:color="auto"/>
          </w:divBdr>
        </w:div>
        <w:div w:id="1328091103">
          <w:marLeft w:val="640"/>
          <w:marRight w:val="0"/>
          <w:marTop w:val="0"/>
          <w:marBottom w:val="0"/>
          <w:divBdr>
            <w:top w:val="none" w:sz="0" w:space="0" w:color="auto"/>
            <w:left w:val="none" w:sz="0" w:space="0" w:color="auto"/>
            <w:bottom w:val="none" w:sz="0" w:space="0" w:color="auto"/>
            <w:right w:val="none" w:sz="0" w:space="0" w:color="auto"/>
          </w:divBdr>
        </w:div>
        <w:div w:id="1555579119">
          <w:marLeft w:val="640"/>
          <w:marRight w:val="0"/>
          <w:marTop w:val="0"/>
          <w:marBottom w:val="0"/>
          <w:divBdr>
            <w:top w:val="none" w:sz="0" w:space="0" w:color="auto"/>
            <w:left w:val="none" w:sz="0" w:space="0" w:color="auto"/>
            <w:bottom w:val="none" w:sz="0" w:space="0" w:color="auto"/>
            <w:right w:val="none" w:sz="0" w:space="0" w:color="auto"/>
          </w:divBdr>
        </w:div>
        <w:div w:id="690034930">
          <w:marLeft w:val="640"/>
          <w:marRight w:val="0"/>
          <w:marTop w:val="0"/>
          <w:marBottom w:val="0"/>
          <w:divBdr>
            <w:top w:val="none" w:sz="0" w:space="0" w:color="auto"/>
            <w:left w:val="none" w:sz="0" w:space="0" w:color="auto"/>
            <w:bottom w:val="none" w:sz="0" w:space="0" w:color="auto"/>
            <w:right w:val="none" w:sz="0" w:space="0" w:color="auto"/>
          </w:divBdr>
        </w:div>
        <w:div w:id="2041782792">
          <w:marLeft w:val="640"/>
          <w:marRight w:val="0"/>
          <w:marTop w:val="0"/>
          <w:marBottom w:val="0"/>
          <w:divBdr>
            <w:top w:val="none" w:sz="0" w:space="0" w:color="auto"/>
            <w:left w:val="none" w:sz="0" w:space="0" w:color="auto"/>
            <w:bottom w:val="none" w:sz="0" w:space="0" w:color="auto"/>
            <w:right w:val="none" w:sz="0" w:space="0" w:color="auto"/>
          </w:divBdr>
        </w:div>
        <w:div w:id="469246715">
          <w:marLeft w:val="640"/>
          <w:marRight w:val="0"/>
          <w:marTop w:val="0"/>
          <w:marBottom w:val="0"/>
          <w:divBdr>
            <w:top w:val="none" w:sz="0" w:space="0" w:color="auto"/>
            <w:left w:val="none" w:sz="0" w:space="0" w:color="auto"/>
            <w:bottom w:val="none" w:sz="0" w:space="0" w:color="auto"/>
            <w:right w:val="none" w:sz="0" w:space="0" w:color="auto"/>
          </w:divBdr>
        </w:div>
        <w:div w:id="277818">
          <w:marLeft w:val="640"/>
          <w:marRight w:val="0"/>
          <w:marTop w:val="0"/>
          <w:marBottom w:val="0"/>
          <w:divBdr>
            <w:top w:val="none" w:sz="0" w:space="0" w:color="auto"/>
            <w:left w:val="none" w:sz="0" w:space="0" w:color="auto"/>
            <w:bottom w:val="none" w:sz="0" w:space="0" w:color="auto"/>
            <w:right w:val="none" w:sz="0" w:space="0" w:color="auto"/>
          </w:divBdr>
        </w:div>
        <w:div w:id="1651249564">
          <w:marLeft w:val="640"/>
          <w:marRight w:val="0"/>
          <w:marTop w:val="0"/>
          <w:marBottom w:val="0"/>
          <w:divBdr>
            <w:top w:val="none" w:sz="0" w:space="0" w:color="auto"/>
            <w:left w:val="none" w:sz="0" w:space="0" w:color="auto"/>
            <w:bottom w:val="none" w:sz="0" w:space="0" w:color="auto"/>
            <w:right w:val="none" w:sz="0" w:space="0" w:color="auto"/>
          </w:divBdr>
        </w:div>
        <w:div w:id="662272280">
          <w:marLeft w:val="640"/>
          <w:marRight w:val="0"/>
          <w:marTop w:val="0"/>
          <w:marBottom w:val="0"/>
          <w:divBdr>
            <w:top w:val="none" w:sz="0" w:space="0" w:color="auto"/>
            <w:left w:val="none" w:sz="0" w:space="0" w:color="auto"/>
            <w:bottom w:val="none" w:sz="0" w:space="0" w:color="auto"/>
            <w:right w:val="none" w:sz="0" w:space="0" w:color="auto"/>
          </w:divBdr>
        </w:div>
        <w:div w:id="869104544">
          <w:marLeft w:val="640"/>
          <w:marRight w:val="0"/>
          <w:marTop w:val="0"/>
          <w:marBottom w:val="0"/>
          <w:divBdr>
            <w:top w:val="none" w:sz="0" w:space="0" w:color="auto"/>
            <w:left w:val="none" w:sz="0" w:space="0" w:color="auto"/>
            <w:bottom w:val="none" w:sz="0" w:space="0" w:color="auto"/>
            <w:right w:val="none" w:sz="0" w:space="0" w:color="auto"/>
          </w:divBdr>
        </w:div>
        <w:div w:id="1650744889">
          <w:marLeft w:val="640"/>
          <w:marRight w:val="0"/>
          <w:marTop w:val="0"/>
          <w:marBottom w:val="0"/>
          <w:divBdr>
            <w:top w:val="none" w:sz="0" w:space="0" w:color="auto"/>
            <w:left w:val="none" w:sz="0" w:space="0" w:color="auto"/>
            <w:bottom w:val="none" w:sz="0" w:space="0" w:color="auto"/>
            <w:right w:val="none" w:sz="0" w:space="0" w:color="auto"/>
          </w:divBdr>
        </w:div>
        <w:div w:id="1687368366">
          <w:marLeft w:val="640"/>
          <w:marRight w:val="0"/>
          <w:marTop w:val="0"/>
          <w:marBottom w:val="0"/>
          <w:divBdr>
            <w:top w:val="none" w:sz="0" w:space="0" w:color="auto"/>
            <w:left w:val="none" w:sz="0" w:space="0" w:color="auto"/>
            <w:bottom w:val="none" w:sz="0" w:space="0" w:color="auto"/>
            <w:right w:val="none" w:sz="0" w:space="0" w:color="auto"/>
          </w:divBdr>
        </w:div>
        <w:div w:id="1339188947">
          <w:marLeft w:val="640"/>
          <w:marRight w:val="0"/>
          <w:marTop w:val="0"/>
          <w:marBottom w:val="0"/>
          <w:divBdr>
            <w:top w:val="none" w:sz="0" w:space="0" w:color="auto"/>
            <w:left w:val="none" w:sz="0" w:space="0" w:color="auto"/>
            <w:bottom w:val="none" w:sz="0" w:space="0" w:color="auto"/>
            <w:right w:val="none" w:sz="0" w:space="0" w:color="auto"/>
          </w:divBdr>
        </w:div>
        <w:div w:id="1140003382">
          <w:marLeft w:val="640"/>
          <w:marRight w:val="0"/>
          <w:marTop w:val="0"/>
          <w:marBottom w:val="0"/>
          <w:divBdr>
            <w:top w:val="none" w:sz="0" w:space="0" w:color="auto"/>
            <w:left w:val="none" w:sz="0" w:space="0" w:color="auto"/>
            <w:bottom w:val="none" w:sz="0" w:space="0" w:color="auto"/>
            <w:right w:val="none" w:sz="0" w:space="0" w:color="auto"/>
          </w:divBdr>
        </w:div>
        <w:div w:id="692923088">
          <w:marLeft w:val="640"/>
          <w:marRight w:val="0"/>
          <w:marTop w:val="0"/>
          <w:marBottom w:val="0"/>
          <w:divBdr>
            <w:top w:val="none" w:sz="0" w:space="0" w:color="auto"/>
            <w:left w:val="none" w:sz="0" w:space="0" w:color="auto"/>
            <w:bottom w:val="none" w:sz="0" w:space="0" w:color="auto"/>
            <w:right w:val="none" w:sz="0" w:space="0" w:color="auto"/>
          </w:divBdr>
        </w:div>
        <w:div w:id="142888787">
          <w:marLeft w:val="640"/>
          <w:marRight w:val="0"/>
          <w:marTop w:val="0"/>
          <w:marBottom w:val="0"/>
          <w:divBdr>
            <w:top w:val="none" w:sz="0" w:space="0" w:color="auto"/>
            <w:left w:val="none" w:sz="0" w:space="0" w:color="auto"/>
            <w:bottom w:val="none" w:sz="0" w:space="0" w:color="auto"/>
            <w:right w:val="none" w:sz="0" w:space="0" w:color="auto"/>
          </w:divBdr>
        </w:div>
        <w:div w:id="846284039">
          <w:marLeft w:val="640"/>
          <w:marRight w:val="0"/>
          <w:marTop w:val="0"/>
          <w:marBottom w:val="0"/>
          <w:divBdr>
            <w:top w:val="none" w:sz="0" w:space="0" w:color="auto"/>
            <w:left w:val="none" w:sz="0" w:space="0" w:color="auto"/>
            <w:bottom w:val="none" w:sz="0" w:space="0" w:color="auto"/>
            <w:right w:val="none" w:sz="0" w:space="0" w:color="auto"/>
          </w:divBdr>
        </w:div>
        <w:div w:id="755319566">
          <w:marLeft w:val="640"/>
          <w:marRight w:val="0"/>
          <w:marTop w:val="0"/>
          <w:marBottom w:val="0"/>
          <w:divBdr>
            <w:top w:val="none" w:sz="0" w:space="0" w:color="auto"/>
            <w:left w:val="none" w:sz="0" w:space="0" w:color="auto"/>
            <w:bottom w:val="none" w:sz="0" w:space="0" w:color="auto"/>
            <w:right w:val="none" w:sz="0" w:space="0" w:color="auto"/>
          </w:divBdr>
        </w:div>
        <w:div w:id="2127500828">
          <w:marLeft w:val="640"/>
          <w:marRight w:val="0"/>
          <w:marTop w:val="0"/>
          <w:marBottom w:val="0"/>
          <w:divBdr>
            <w:top w:val="none" w:sz="0" w:space="0" w:color="auto"/>
            <w:left w:val="none" w:sz="0" w:space="0" w:color="auto"/>
            <w:bottom w:val="none" w:sz="0" w:space="0" w:color="auto"/>
            <w:right w:val="none" w:sz="0" w:space="0" w:color="auto"/>
          </w:divBdr>
        </w:div>
        <w:div w:id="1310788804">
          <w:marLeft w:val="640"/>
          <w:marRight w:val="0"/>
          <w:marTop w:val="0"/>
          <w:marBottom w:val="0"/>
          <w:divBdr>
            <w:top w:val="none" w:sz="0" w:space="0" w:color="auto"/>
            <w:left w:val="none" w:sz="0" w:space="0" w:color="auto"/>
            <w:bottom w:val="none" w:sz="0" w:space="0" w:color="auto"/>
            <w:right w:val="none" w:sz="0" w:space="0" w:color="auto"/>
          </w:divBdr>
        </w:div>
        <w:div w:id="1186479279">
          <w:marLeft w:val="640"/>
          <w:marRight w:val="0"/>
          <w:marTop w:val="0"/>
          <w:marBottom w:val="0"/>
          <w:divBdr>
            <w:top w:val="none" w:sz="0" w:space="0" w:color="auto"/>
            <w:left w:val="none" w:sz="0" w:space="0" w:color="auto"/>
            <w:bottom w:val="none" w:sz="0" w:space="0" w:color="auto"/>
            <w:right w:val="none" w:sz="0" w:space="0" w:color="auto"/>
          </w:divBdr>
        </w:div>
        <w:div w:id="657419141">
          <w:marLeft w:val="640"/>
          <w:marRight w:val="0"/>
          <w:marTop w:val="0"/>
          <w:marBottom w:val="0"/>
          <w:divBdr>
            <w:top w:val="none" w:sz="0" w:space="0" w:color="auto"/>
            <w:left w:val="none" w:sz="0" w:space="0" w:color="auto"/>
            <w:bottom w:val="none" w:sz="0" w:space="0" w:color="auto"/>
            <w:right w:val="none" w:sz="0" w:space="0" w:color="auto"/>
          </w:divBdr>
        </w:div>
        <w:div w:id="1737584552">
          <w:marLeft w:val="640"/>
          <w:marRight w:val="0"/>
          <w:marTop w:val="0"/>
          <w:marBottom w:val="0"/>
          <w:divBdr>
            <w:top w:val="none" w:sz="0" w:space="0" w:color="auto"/>
            <w:left w:val="none" w:sz="0" w:space="0" w:color="auto"/>
            <w:bottom w:val="none" w:sz="0" w:space="0" w:color="auto"/>
            <w:right w:val="none" w:sz="0" w:space="0" w:color="auto"/>
          </w:divBdr>
        </w:div>
        <w:div w:id="828062508">
          <w:marLeft w:val="640"/>
          <w:marRight w:val="0"/>
          <w:marTop w:val="0"/>
          <w:marBottom w:val="0"/>
          <w:divBdr>
            <w:top w:val="none" w:sz="0" w:space="0" w:color="auto"/>
            <w:left w:val="none" w:sz="0" w:space="0" w:color="auto"/>
            <w:bottom w:val="none" w:sz="0" w:space="0" w:color="auto"/>
            <w:right w:val="none" w:sz="0" w:space="0" w:color="auto"/>
          </w:divBdr>
        </w:div>
        <w:div w:id="699822380">
          <w:marLeft w:val="640"/>
          <w:marRight w:val="0"/>
          <w:marTop w:val="0"/>
          <w:marBottom w:val="0"/>
          <w:divBdr>
            <w:top w:val="none" w:sz="0" w:space="0" w:color="auto"/>
            <w:left w:val="none" w:sz="0" w:space="0" w:color="auto"/>
            <w:bottom w:val="none" w:sz="0" w:space="0" w:color="auto"/>
            <w:right w:val="none" w:sz="0" w:space="0" w:color="auto"/>
          </w:divBdr>
        </w:div>
        <w:div w:id="1217353533">
          <w:marLeft w:val="640"/>
          <w:marRight w:val="0"/>
          <w:marTop w:val="0"/>
          <w:marBottom w:val="0"/>
          <w:divBdr>
            <w:top w:val="none" w:sz="0" w:space="0" w:color="auto"/>
            <w:left w:val="none" w:sz="0" w:space="0" w:color="auto"/>
            <w:bottom w:val="none" w:sz="0" w:space="0" w:color="auto"/>
            <w:right w:val="none" w:sz="0" w:space="0" w:color="auto"/>
          </w:divBdr>
        </w:div>
        <w:div w:id="1928927204">
          <w:marLeft w:val="640"/>
          <w:marRight w:val="0"/>
          <w:marTop w:val="0"/>
          <w:marBottom w:val="0"/>
          <w:divBdr>
            <w:top w:val="none" w:sz="0" w:space="0" w:color="auto"/>
            <w:left w:val="none" w:sz="0" w:space="0" w:color="auto"/>
            <w:bottom w:val="none" w:sz="0" w:space="0" w:color="auto"/>
            <w:right w:val="none" w:sz="0" w:space="0" w:color="auto"/>
          </w:divBdr>
        </w:div>
        <w:div w:id="659039180">
          <w:marLeft w:val="640"/>
          <w:marRight w:val="0"/>
          <w:marTop w:val="0"/>
          <w:marBottom w:val="0"/>
          <w:divBdr>
            <w:top w:val="none" w:sz="0" w:space="0" w:color="auto"/>
            <w:left w:val="none" w:sz="0" w:space="0" w:color="auto"/>
            <w:bottom w:val="none" w:sz="0" w:space="0" w:color="auto"/>
            <w:right w:val="none" w:sz="0" w:space="0" w:color="auto"/>
          </w:divBdr>
        </w:div>
        <w:div w:id="1728724712">
          <w:marLeft w:val="640"/>
          <w:marRight w:val="0"/>
          <w:marTop w:val="0"/>
          <w:marBottom w:val="0"/>
          <w:divBdr>
            <w:top w:val="none" w:sz="0" w:space="0" w:color="auto"/>
            <w:left w:val="none" w:sz="0" w:space="0" w:color="auto"/>
            <w:bottom w:val="none" w:sz="0" w:space="0" w:color="auto"/>
            <w:right w:val="none" w:sz="0" w:space="0" w:color="auto"/>
          </w:divBdr>
        </w:div>
        <w:div w:id="1687053163">
          <w:marLeft w:val="640"/>
          <w:marRight w:val="0"/>
          <w:marTop w:val="0"/>
          <w:marBottom w:val="0"/>
          <w:divBdr>
            <w:top w:val="none" w:sz="0" w:space="0" w:color="auto"/>
            <w:left w:val="none" w:sz="0" w:space="0" w:color="auto"/>
            <w:bottom w:val="none" w:sz="0" w:space="0" w:color="auto"/>
            <w:right w:val="none" w:sz="0" w:space="0" w:color="auto"/>
          </w:divBdr>
        </w:div>
        <w:div w:id="336615299">
          <w:marLeft w:val="640"/>
          <w:marRight w:val="0"/>
          <w:marTop w:val="0"/>
          <w:marBottom w:val="0"/>
          <w:divBdr>
            <w:top w:val="none" w:sz="0" w:space="0" w:color="auto"/>
            <w:left w:val="none" w:sz="0" w:space="0" w:color="auto"/>
            <w:bottom w:val="none" w:sz="0" w:space="0" w:color="auto"/>
            <w:right w:val="none" w:sz="0" w:space="0" w:color="auto"/>
          </w:divBdr>
        </w:div>
        <w:div w:id="1548570474">
          <w:marLeft w:val="640"/>
          <w:marRight w:val="0"/>
          <w:marTop w:val="0"/>
          <w:marBottom w:val="0"/>
          <w:divBdr>
            <w:top w:val="none" w:sz="0" w:space="0" w:color="auto"/>
            <w:left w:val="none" w:sz="0" w:space="0" w:color="auto"/>
            <w:bottom w:val="none" w:sz="0" w:space="0" w:color="auto"/>
            <w:right w:val="none" w:sz="0" w:space="0" w:color="auto"/>
          </w:divBdr>
        </w:div>
        <w:div w:id="778259693">
          <w:marLeft w:val="640"/>
          <w:marRight w:val="0"/>
          <w:marTop w:val="0"/>
          <w:marBottom w:val="0"/>
          <w:divBdr>
            <w:top w:val="none" w:sz="0" w:space="0" w:color="auto"/>
            <w:left w:val="none" w:sz="0" w:space="0" w:color="auto"/>
            <w:bottom w:val="none" w:sz="0" w:space="0" w:color="auto"/>
            <w:right w:val="none" w:sz="0" w:space="0" w:color="auto"/>
          </w:divBdr>
        </w:div>
        <w:div w:id="1353073755">
          <w:marLeft w:val="640"/>
          <w:marRight w:val="0"/>
          <w:marTop w:val="0"/>
          <w:marBottom w:val="0"/>
          <w:divBdr>
            <w:top w:val="none" w:sz="0" w:space="0" w:color="auto"/>
            <w:left w:val="none" w:sz="0" w:space="0" w:color="auto"/>
            <w:bottom w:val="none" w:sz="0" w:space="0" w:color="auto"/>
            <w:right w:val="none" w:sz="0" w:space="0" w:color="auto"/>
          </w:divBdr>
        </w:div>
        <w:div w:id="1863010773">
          <w:marLeft w:val="640"/>
          <w:marRight w:val="0"/>
          <w:marTop w:val="0"/>
          <w:marBottom w:val="0"/>
          <w:divBdr>
            <w:top w:val="none" w:sz="0" w:space="0" w:color="auto"/>
            <w:left w:val="none" w:sz="0" w:space="0" w:color="auto"/>
            <w:bottom w:val="none" w:sz="0" w:space="0" w:color="auto"/>
            <w:right w:val="none" w:sz="0" w:space="0" w:color="auto"/>
          </w:divBdr>
        </w:div>
        <w:div w:id="2081363085">
          <w:marLeft w:val="640"/>
          <w:marRight w:val="0"/>
          <w:marTop w:val="0"/>
          <w:marBottom w:val="0"/>
          <w:divBdr>
            <w:top w:val="none" w:sz="0" w:space="0" w:color="auto"/>
            <w:left w:val="none" w:sz="0" w:space="0" w:color="auto"/>
            <w:bottom w:val="none" w:sz="0" w:space="0" w:color="auto"/>
            <w:right w:val="none" w:sz="0" w:space="0" w:color="auto"/>
          </w:divBdr>
        </w:div>
        <w:div w:id="1722484675">
          <w:marLeft w:val="640"/>
          <w:marRight w:val="0"/>
          <w:marTop w:val="0"/>
          <w:marBottom w:val="0"/>
          <w:divBdr>
            <w:top w:val="none" w:sz="0" w:space="0" w:color="auto"/>
            <w:left w:val="none" w:sz="0" w:space="0" w:color="auto"/>
            <w:bottom w:val="none" w:sz="0" w:space="0" w:color="auto"/>
            <w:right w:val="none" w:sz="0" w:space="0" w:color="auto"/>
          </w:divBdr>
        </w:div>
        <w:div w:id="1074736578">
          <w:marLeft w:val="640"/>
          <w:marRight w:val="0"/>
          <w:marTop w:val="0"/>
          <w:marBottom w:val="0"/>
          <w:divBdr>
            <w:top w:val="none" w:sz="0" w:space="0" w:color="auto"/>
            <w:left w:val="none" w:sz="0" w:space="0" w:color="auto"/>
            <w:bottom w:val="none" w:sz="0" w:space="0" w:color="auto"/>
            <w:right w:val="none" w:sz="0" w:space="0" w:color="auto"/>
          </w:divBdr>
        </w:div>
        <w:div w:id="288053852">
          <w:marLeft w:val="640"/>
          <w:marRight w:val="0"/>
          <w:marTop w:val="0"/>
          <w:marBottom w:val="0"/>
          <w:divBdr>
            <w:top w:val="none" w:sz="0" w:space="0" w:color="auto"/>
            <w:left w:val="none" w:sz="0" w:space="0" w:color="auto"/>
            <w:bottom w:val="none" w:sz="0" w:space="0" w:color="auto"/>
            <w:right w:val="none" w:sz="0" w:space="0" w:color="auto"/>
          </w:divBdr>
        </w:div>
        <w:div w:id="718675085">
          <w:marLeft w:val="640"/>
          <w:marRight w:val="0"/>
          <w:marTop w:val="0"/>
          <w:marBottom w:val="0"/>
          <w:divBdr>
            <w:top w:val="none" w:sz="0" w:space="0" w:color="auto"/>
            <w:left w:val="none" w:sz="0" w:space="0" w:color="auto"/>
            <w:bottom w:val="none" w:sz="0" w:space="0" w:color="auto"/>
            <w:right w:val="none" w:sz="0" w:space="0" w:color="auto"/>
          </w:divBdr>
        </w:div>
        <w:div w:id="1550263550">
          <w:marLeft w:val="640"/>
          <w:marRight w:val="0"/>
          <w:marTop w:val="0"/>
          <w:marBottom w:val="0"/>
          <w:divBdr>
            <w:top w:val="none" w:sz="0" w:space="0" w:color="auto"/>
            <w:left w:val="none" w:sz="0" w:space="0" w:color="auto"/>
            <w:bottom w:val="none" w:sz="0" w:space="0" w:color="auto"/>
            <w:right w:val="none" w:sz="0" w:space="0" w:color="auto"/>
          </w:divBdr>
        </w:div>
        <w:div w:id="624501395">
          <w:marLeft w:val="640"/>
          <w:marRight w:val="0"/>
          <w:marTop w:val="0"/>
          <w:marBottom w:val="0"/>
          <w:divBdr>
            <w:top w:val="none" w:sz="0" w:space="0" w:color="auto"/>
            <w:left w:val="none" w:sz="0" w:space="0" w:color="auto"/>
            <w:bottom w:val="none" w:sz="0" w:space="0" w:color="auto"/>
            <w:right w:val="none" w:sz="0" w:space="0" w:color="auto"/>
          </w:divBdr>
        </w:div>
        <w:div w:id="1722363791">
          <w:marLeft w:val="640"/>
          <w:marRight w:val="0"/>
          <w:marTop w:val="0"/>
          <w:marBottom w:val="0"/>
          <w:divBdr>
            <w:top w:val="none" w:sz="0" w:space="0" w:color="auto"/>
            <w:left w:val="none" w:sz="0" w:space="0" w:color="auto"/>
            <w:bottom w:val="none" w:sz="0" w:space="0" w:color="auto"/>
            <w:right w:val="none" w:sz="0" w:space="0" w:color="auto"/>
          </w:divBdr>
        </w:div>
        <w:div w:id="238827224">
          <w:marLeft w:val="640"/>
          <w:marRight w:val="0"/>
          <w:marTop w:val="0"/>
          <w:marBottom w:val="0"/>
          <w:divBdr>
            <w:top w:val="none" w:sz="0" w:space="0" w:color="auto"/>
            <w:left w:val="none" w:sz="0" w:space="0" w:color="auto"/>
            <w:bottom w:val="none" w:sz="0" w:space="0" w:color="auto"/>
            <w:right w:val="none" w:sz="0" w:space="0" w:color="auto"/>
          </w:divBdr>
        </w:div>
        <w:div w:id="658776965">
          <w:marLeft w:val="640"/>
          <w:marRight w:val="0"/>
          <w:marTop w:val="0"/>
          <w:marBottom w:val="0"/>
          <w:divBdr>
            <w:top w:val="none" w:sz="0" w:space="0" w:color="auto"/>
            <w:left w:val="none" w:sz="0" w:space="0" w:color="auto"/>
            <w:bottom w:val="none" w:sz="0" w:space="0" w:color="auto"/>
            <w:right w:val="none" w:sz="0" w:space="0" w:color="auto"/>
          </w:divBdr>
        </w:div>
        <w:div w:id="830020928">
          <w:marLeft w:val="640"/>
          <w:marRight w:val="0"/>
          <w:marTop w:val="0"/>
          <w:marBottom w:val="0"/>
          <w:divBdr>
            <w:top w:val="none" w:sz="0" w:space="0" w:color="auto"/>
            <w:left w:val="none" w:sz="0" w:space="0" w:color="auto"/>
            <w:bottom w:val="none" w:sz="0" w:space="0" w:color="auto"/>
            <w:right w:val="none" w:sz="0" w:space="0" w:color="auto"/>
          </w:divBdr>
        </w:div>
        <w:div w:id="1134713316">
          <w:marLeft w:val="640"/>
          <w:marRight w:val="0"/>
          <w:marTop w:val="0"/>
          <w:marBottom w:val="0"/>
          <w:divBdr>
            <w:top w:val="none" w:sz="0" w:space="0" w:color="auto"/>
            <w:left w:val="none" w:sz="0" w:space="0" w:color="auto"/>
            <w:bottom w:val="none" w:sz="0" w:space="0" w:color="auto"/>
            <w:right w:val="none" w:sz="0" w:space="0" w:color="auto"/>
          </w:divBdr>
        </w:div>
        <w:div w:id="824592408">
          <w:marLeft w:val="640"/>
          <w:marRight w:val="0"/>
          <w:marTop w:val="0"/>
          <w:marBottom w:val="0"/>
          <w:divBdr>
            <w:top w:val="none" w:sz="0" w:space="0" w:color="auto"/>
            <w:left w:val="none" w:sz="0" w:space="0" w:color="auto"/>
            <w:bottom w:val="none" w:sz="0" w:space="0" w:color="auto"/>
            <w:right w:val="none" w:sz="0" w:space="0" w:color="auto"/>
          </w:divBdr>
        </w:div>
        <w:div w:id="1786197059">
          <w:marLeft w:val="640"/>
          <w:marRight w:val="0"/>
          <w:marTop w:val="0"/>
          <w:marBottom w:val="0"/>
          <w:divBdr>
            <w:top w:val="none" w:sz="0" w:space="0" w:color="auto"/>
            <w:left w:val="none" w:sz="0" w:space="0" w:color="auto"/>
            <w:bottom w:val="none" w:sz="0" w:space="0" w:color="auto"/>
            <w:right w:val="none" w:sz="0" w:space="0" w:color="auto"/>
          </w:divBdr>
        </w:div>
        <w:div w:id="125323632">
          <w:marLeft w:val="640"/>
          <w:marRight w:val="0"/>
          <w:marTop w:val="0"/>
          <w:marBottom w:val="0"/>
          <w:divBdr>
            <w:top w:val="none" w:sz="0" w:space="0" w:color="auto"/>
            <w:left w:val="none" w:sz="0" w:space="0" w:color="auto"/>
            <w:bottom w:val="none" w:sz="0" w:space="0" w:color="auto"/>
            <w:right w:val="none" w:sz="0" w:space="0" w:color="auto"/>
          </w:divBdr>
        </w:div>
        <w:div w:id="1925915514">
          <w:marLeft w:val="640"/>
          <w:marRight w:val="0"/>
          <w:marTop w:val="0"/>
          <w:marBottom w:val="0"/>
          <w:divBdr>
            <w:top w:val="none" w:sz="0" w:space="0" w:color="auto"/>
            <w:left w:val="none" w:sz="0" w:space="0" w:color="auto"/>
            <w:bottom w:val="none" w:sz="0" w:space="0" w:color="auto"/>
            <w:right w:val="none" w:sz="0" w:space="0" w:color="auto"/>
          </w:divBdr>
        </w:div>
        <w:div w:id="198400135">
          <w:marLeft w:val="640"/>
          <w:marRight w:val="0"/>
          <w:marTop w:val="0"/>
          <w:marBottom w:val="0"/>
          <w:divBdr>
            <w:top w:val="none" w:sz="0" w:space="0" w:color="auto"/>
            <w:left w:val="none" w:sz="0" w:space="0" w:color="auto"/>
            <w:bottom w:val="none" w:sz="0" w:space="0" w:color="auto"/>
            <w:right w:val="none" w:sz="0" w:space="0" w:color="auto"/>
          </w:divBdr>
        </w:div>
        <w:div w:id="1495224594">
          <w:marLeft w:val="640"/>
          <w:marRight w:val="0"/>
          <w:marTop w:val="0"/>
          <w:marBottom w:val="0"/>
          <w:divBdr>
            <w:top w:val="none" w:sz="0" w:space="0" w:color="auto"/>
            <w:left w:val="none" w:sz="0" w:space="0" w:color="auto"/>
            <w:bottom w:val="none" w:sz="0" w:space="0" w:color="auto"/>
            <w:right w:val="none" w:sz="0" w:space="0" w:color="auto"/>
          </w:divBdr>
        </w:div>
        <w:div w:id="783155438">
          <w:marLeft w:val="640"/>
          <w:marRight w:val="0"/>
          <w:marTop w:val="0"/>
          <w:marBottom w:val="0"/>
          <w:divBdr>
            <w:top w:val="none" w:sz="0" w:space="0" w:color="auto"/>
            <w:left w:val="none" w:sz="0" w:space="0" w:color="auto"/>
            <w:bottom w:val="none" w:sz="0" w:space="0" w:color="auto"/>
            <w:right w:val="none" w:sz="0" w:space="0" w:color="auto"/>
          </w:divBdr>
        </w:div>
        <w:div w:id="1090740053">
          <w:marLeft w:val="640"/>
          <w:marRight w:val="0"/>
          <w:marTop w:val="0"/>
          <w:marBottom w:val="0"/>
          <w:divBdr>
            <w:top w:val="none" w:sz="0" w:space="0" w:color="auto"/>
            <w:left w:val="none" w:sz="0" w:space="0" w:color="auto"/>
            <w:bottom w:val="none" w:sz="0" w:space="0" w:color="auto"/>
            <w:right w:val="none" w:sz="0" w:space="0" w:color="auto"/>
          </w:divBdr>
        </w:div>
        <w:div w:id="1758017339">
          <w:marLeft w:val="640"/>
          <w:marRight w:val="0"/>
          <w:marTop w:val="0"/>
          <w:marBottom w:val="0"/>
          <w:divBdr>
            <w:top w:val="none" w:sz="0" w:space="0" w:color="auto"/>
            <w:left w:val="none" w:sz="0" w:space="0" w:color="auto"/>
            <w:bottom w:val="none" w:sz="0" w:space="0" w:color="auto"/>
            <w:right w:val="none" w:sz="0" w:space="0" w:color="auto"/>
          </w:divBdr>
        </w:div>
        <w:div w:id="1509129644">
          <w:marLeft w:val="640"/>
          <w:marRight w:val="0"/>
          <w:marTop w:val="0"/>
          <w:marBottom w:val="0"/>
          <w:divBdr>
            <w:top w:val="none" w:sz="0" w:space="0" w:color="auto"/>
            <w:left w:val="none" w:sz="0" w:space="0" w:color="auto"/>
            <w:bottom w:val="none" w:sz="0" w:space="0" w:color="auto"/>
            <w:right w:val="none" w:sz="0" w:space="0" w:color="auto"/>
          </w:divBdr>
        </w:div>
        <w:div w:id="1797603964">
          <w:marLeft w:val="640"/>
          <w:marRight w:val="0"/>
          <w:marTop w:val="0"/>
          <w:marBottom w:val="0"/>
          <w:divBdr>
            <w:top w:val="none" w:sz="0" w:space="0" w:color="auto"/>
            <w:left w:val="none" w:sz="0" w:space="0" w:color="auto"/>
            <w:bottom w:val="none" w:sz="0" w:space="0" w:color="auto"/>
            <w:right w:val="none" w:sz="0" w:space="0" w:color="auto"/>
          </w:divBdr>
        </w:div>
        <w:div w:id="793059218">
          <w:marLeft w:val="640"/>
          <w:marRight w:val="0"/>
          <w:marTop w:val="0"/>
          <w:marBottom w:val="0"/>
          <w:divBdr>
            <w:top w:val="none" w:sz="0" w:space="0" w:color="auto"/>
            <w:left w:val="none" w:sz="0" w:space="0" w:color="auto"/>
            <w:bottom w:val="none" w:sz="0" w:space="0" w:color="auto"/>
            <w:right w:val="none" w:sz="0" w:space="0" w:color="auto"/>
          </w:divBdr>
        </w:div>
        <w:div w:id="868566673">
          <w:marLeft w:val="640"/>
          <w:marRight w:val="0"/>
          <w:marTop w:val="0"/>
          <w:marBottom w:val="0"/>
          <w:divBdr>
            <w:top w:val="none" w:sz="0" w:space="0" w:color="auto"/>
            <w:left w:val="none" w:sz="0" w:space="0" w:color="auto"/>
            <w:bottom w:val="none" w:sz="0" w:space="0" w:color="auto"/>
            <w:right w:val="none" w:sz="0" w:space="0" w:color="auto"/>
          </w:divBdr>
        </w:div>
        <w:div w:id="1396775835">
          <w:marLeft w:val="640"/>
          <w:marRight w:val="0"/>
          <w:marTop w:val="0"/>
          <w:marBottom w:val="0"/>
          <w:divBdr>
            <w:top w:val="none" w:sz="0" w:space="0" w:color="auto"/>
            <w:left w:val="none" w:sz="0" w:space="0" w:color="auto"/>
            <w:bottom w:val="none" w:sz="0" w:space="0" w:color="auto"/>
            <w:right w:val="none" w:sz="0" w:space="0" w:color="auto"/>
          </w:divBdr>
        </w:div>
        <w:div w:id="303899774">
          <w:marLeft w:val="640"/>
          <w:marRight w:val="0"/>
          <w:marTop w:val="0"/>
          <w:marBottom w:val="0"/>
          <w:divBdr>
            <w:top w:val="none" w:sz="0" w:space="0" w:color="auto"/>
            <w:left w:val="none" w:sz="0" w:space="0" w:color="auto"/>
            <w:bottom w:val="none" w:sz="0" w:space="0" w:color="auto"/>
            <w:right w:val="none" w:sz="0" w:space="0" w:color="auto"/>
          </w:divBdr>
        </w:div>
        <w:div w:id="112750641">
          <w:marLeft w:val="640"/>
          <w:marRight w:val="0"/>
          <w:marTop w:val="0"/>
          <w:marBottom w:val="0"/>
          <w:divBdr>
            <w:top w:val="none" w:sz="0" w:space="0" w:color="auto"/>
            <w:left w:val="none" w:sz="0" w:space="0" w:color="auto"/>
            <w:bottom w:val="none" w:sz="0" w:space="0" w:color="auto"/>
            <w:right w:val="none" w:sz="0" w:space="0" w:color="auto"/>
          </w:divBdr>
        </w:div>
        <w:div w:id="809635874">
          <w:marLeft w:val="640"/>
          <w:marRight w:val="0"/>
          <w:marTop w:val="0"/>
          <w:marBottom w:val="0"/>
          <w:divBdr>
            <w:top w:val="none" w:sz="0" w:space="0" w:color="auto"/>
            <w:left w:val="none" w:sz="0" w:space="0" w:color="auto"/>
            <w:bottom w:val="none" w:sz="0" w:space="0" w:color="auto"/>
            <w:right w:val="none" w:sz="0" w:space="0" w:color="auto"/>
          </w:divBdr>
        </w:div>
        <w:div w:id="2048672884">
          <w:marLeft w:val="640"/>
          <w:marRight w:val="0"/>
          <w:marTop w:val="0"/>
          <w:marBottom w:val="0"/>
          <w:divBdr>
            <w:top w:val="none" w:sz="0" w:space="0" w:color="auto"/>
            <w:left w:val="none" w:sz="0" w:space="0" w:color="auto"/>
            <w:bottom w:val="none" w:sz="0" w:space="0" w:color="auto"/>
            <w:right w:val="none" w:sz="0" w:space="0" w:color="auto"/>
          </w:divBdr>
        </w:div>
        <w:div w:id="1118525023">
          <w:marLeft w:val="640"/>
          <w:marRight w:val="0"/>
          <w:marTop w:val="0"/>
          <w:marBottom w:val="0"/>
          <w:divBdr>
            <w:top w:val="none" w:sz="0" w:space="0" w:color="auto"/>
            <w:left w:val="none" w:sz="0" w:space="0" w:color="auto"/>
            <w:bottom w:val="none" w:sz="0" w:space="0" w:color="auto"/>
            <w:right w:val="none" w:sz="0" w:space="0" w:color="auto"/>
          </w:divBdr>
        </w:div>
        <w:div w:id="372122418">
          <w:marLeft w:val="640"/>
          <w:marRight w:val="0"/>
          <w:marTop w:val="0"/>
          <w:marBottom w:val="0"/>
          <w:divBdr>
            <w:top w:val="none" w:sz="0" w:space="0" w:color="auto"/>
            <w:left w:val="none" w:sz="0" w:space="0" w:color="auto"/>
            <w:bottom w:val="none" w:sz="0" w:space="0" w:color="auto"/>
            <w:right w:val="none" w:sz="0" w:space="0" w:color="auto"/>
          </w:divBdr>
        </w:div>
        <w:div w:id="1327393935">
          <w:marLeft w:val="640"/>
          <w:marRight w:val="0"/>
          <w:marTop w:val="0"/>
          <w:marBottom w:val="0"/>
          <w:divBdr>
            <w:top w:val="none" w:sz="0" w:space="0" w:color="auto"/>
            <w:left w:val="none" w:sz="0" w:space="0" w:color="auto"/>
            <w:bottom w:val="none" w:sz="0" w:space="0" w:color="auto"/>
            <w:right w:val="none" w:sz="0" w:space="0" w:color="auto"/>
          </w:divBdr>
        </w:div>
        <w:div w:id="1605108378">
          <w:marLeft w:val="640"/>
          <w:marRight w:val="0"/>
          <w:marTop w:val="0"/>
          <w:marBottom w:val="0"/>
          <w:divBdr>
            <w:top w:val="none" w:sz="0" w:space="0" w:color="auto"/>
            <w:left w:val="none" w:sz="0" w:space="0" w:color="auto"/>
            <w:bottom w:val="none" w:sz="0" w:space="0" w:color="auto"/>
            <w:right w:val="none" w:sz="0" w:space="0" w:color="auto"/>
          </w:divBdr>
        </w:div>
        <w:div w:id="1384676270">
          <w:marLeft w:val="640"/>
          <w:marRight w:val="0"/>
          <w:marTop w:val="0"/>
          <w:marBottom w:val="0"/>
          <w:divBdr>
            <w:top w:val="none" w:sz="0" w:space="0" w:color="auto"/>
            <w:left w:val="none" w:sz="0" w:space="0" w:color="auto"/>
            <w:bottom w:val="none" w:sz="0" w:space="0" w:color="auto"/>
            <w:right w:val="none" w:sz="0" w:space="0" w:color="auto"/>
          </w:divBdr>
        </w:div>
        <w:div w:id="2074574029">
          <w:marLeft w:val="640"/>
          <w:marRight w:val="0"/>
          <w:marTop w:val="0"/>
          <w:marBottom w:val="0"/>
          <w:divBdr>
            <w:top w:val="none" w:sz="0" w:space="0" w:color="auto"/>
            <w:left w:val="none" w:sz="0" w:space="0" w:color="auto"/>
            <w:bottom w:val="none" w:sz="0" w:space="0" w:color="auto"/>
            <w:right w:val="none" w:sz="0" w:space="0" w:color="auto"/>
          </w:divBdr>
        </w:div>
        <w:div w:id="1690260063">
          <w:marLeft w:val="640"/>
          <w:marRight w:val="0"/>
          <w:marTop w:val="0"/>
          <w:marBottom w:val="0"/>
          <w:divBdr>
            <w:top w:val="none" w:sz="0" w:space="0" w:color="auto"/>
            <w:left w:val="none" w:sz="0" w:space="0" w:color="auto"/>
            <w:bottom w:val="none" w:sz="0" w:space="0" w:color="auto"/>
            <w:right w:val="none" w:sz="0" w:space="0" w:color="auto"/>
          </w:divBdr>
        </w:div>
        <w:div w:id="338507649">
          <w:marLeft w:val="640"/>
          <w:marRight w:val="0"/>
          <w:marTop w:val="0"/>
          <w:marBottom w:val="0"/>
          <w:divBdr>
            <w:top w:val="none" w:sz="0" w:space="0" w:color="auto"/>
            <w:left w:val="none" w:sz="0" w:space="0" w:color="auto"/>
            <w:bottom w:val="none" w:sz="0" w:space="0" w:color="auto"/>
            <w:right w:val="none" w:sz="0" w:space="0" w:color="auto"/>
          </w:divBdr>
        </w:div>
        <w:div w:id="1986274838">
          <w:marLeft w:val="640"/>
          <w:marRight w:val="0"/>
          <w:marTop w:val="0"/>
          <w:marBottom w:val="0"/>
          <w:divBdr>
            <w:top w:val="none" w:sz="0" w:space="0" w:color="auto"/>
            <w:left w:val="none" w:sz="0" w:space="0" w:color="auto"/>
            <w:bottom w:val="none" w:sz="0" w:space="0" w:color="auto"/>
            <w:right w:val="none" w:sz="0" w:space="0" w:color="auto"/>
          </w:divBdr>
        </w:div>
        <w:div w:id="936403049">
          <w:marLeft w:val="640"/>
          <w:marRight w:val="0"/>
          <w:marTop w:val="0"/>
          <w:marBottom w:val="0"/>
          <w:divBdr>
            <w:top w:val="none" w:sz="0" w:space="0" w:color="auto"/>
            <w:left w:val="none" w:sz="0" w:space="0" w:color="auto"/>
            <w:bottom w:val="none" w:sz="0" w:space="0" w:color="auto"/>
            <w:right w:val="none" w:sz="0" w:space="0" w:color="auto"/>
          </w:divBdr>
        </w:div>
        <w:div w:id="1406418633">
          <w:marLeft w:val="640"/>
          <w:marRight w:val="0"/>
          <w:marTop w:val="0"/>
          <w:marBottom w:val="0"/>
          <w:divBdr>
            <w:top w:val="none" w:sz="0" w:space="0" w:color="auto"/>
            <w:left w:val="none" w:sz="0" w:space="0" w:color="auto"/>
            <w:bottom w:val="none" w:sz="0" w:space="0" w:color="auto"/>
            <w:right w:val="none" w:sz="0" w:space="0" w:color="auto"/>
          </w:divBdr>
        </w:div>
        <w:div w:id="792014496">
          <w:marLeft w:val="640"/>
          <w:marRight w:val="0"/>
          <w:marTop w:val="0"/>
          <w:marBottom w:val="0"/>
          <w:divBdr>
            <w:top w:val="none" w:sz="0" w:space="0" w:color="auto"/>
            <w:left w:val="none" w:sz="0" w:space="0" w:color="auto"/>
            <w:bottom w:val="none" w:sz="0" w:space="0" w:color="auto"/>
            <w:right w:val="none" w:sz="0" w:space="0" w:color="auto"/>
          </w:divBdr>
        </w:div>
        <w:div w:id="1129515029">
          <w:marLeft w:val="640"/>
          <w:marRight w:val="0"/>
          <w:marTop w:val="0"/>
          <w:marBottom w:val="0"/>
          <w:divBdr>
            <w:top w:val="none" w:sz="0" w:space="0" w:color="auto"/>
            <w:left w:val="none" w:sz="0" w:space="0" w:color="auto"/>
            <w:bottom w:val="none" w:sz="0" w:space="0" w:color="auto"/>
            <w:right w:val="none" w:sz="0" w:space="0" w:color="auto"/>
          </w:divBdr>
        </w:div>
        <w:div w:id="463231007">
          <w:marLeft w:val="640"/>
          <w:marRight w:val="0"/>
          <w:marTop w:val="0"/>
          <w:marBottom w:val="0"/>
          <w:divBdr>
            <w:top w:val="none" w:sz="0" w:space="0" w:color="auto"/>
            <w:left w:val="none" w:sz="0" w:space="0" w:color="auto"/>
            <w:bottom w:val="none" w:sz="0" w:space="0" w:color="auto"/>
            <w:right w:val="none" w:sz="0" w:space="0" w:color="auto"/>
          </w:divBdr>
        </w:div>
        <w:div w:id="1228079252">
          <w:marLeft w:val="640"/>
          <w:marRight w:val="0"/>
          <w:marTop w:val="0"/>
          <w:marBottom w:val="0"/>
          <w:divBdr>
            <w:top w:val="none" w:sz="0" w:space="0" w:color="auto"/>
            <w:left w:val="none" w:sz="0" w:space="0" w:color="auto"/>
            <w:bottom w:val="none" w:sz="0" w:space="0" w:color="auto"/>
            <w:right w:val="none" w:sz="0" w:space="0" w:color="auto"/>
          </w:divBdr>
        </w:div>
        <w:div w:id="858470171">
          <w:marLeft w:val="640"/>
          <w:marRight w:val="0"/>
          <w:marTop w:val="0"/>
          <w:marBottom w:val="0"/>
          <w:divBdr>
            <w:top w:val="none" w:sz="0" w:space="0" w:color="auto"/>
            <w:left w:val="none" w:sz="0" w:space="0" w:color="auto"/>
            <w:bottom w:val="none" w:sz="0" w:space="0" w:color="auto"/>
            <w:right w:val="none" w:sz="0" w:space="0" w:color="auto"/>
          </w:divBdr>
        </w:div>
        <w:div w:id="719061018">
          <w:marLeft w:val="640"/>
          <w:marRight w:val="0"/>
          <w:marTop w:val="0"/>
          <w:marBottom w:val="0"/>
          <w:divBdr>
            <w:top w:val="none" w:sz="0" w:space="0" w:color="auto"/>
            <w:left w:val="none" w:sz="0" w:space="0" w:color="auto"/>
            <w:bottom w:val="none" w:sz="0" w:space="0" w:color="auto"/>
            <w:right w:val="none" w:sz="0" w:space="0" w:color="auto"/>
          </w:divBdr>
        </w:div>
        <w:div w:id="2021815936">
          <w:marLeft w:val="640"/>
          <w:marRight w:val="0"/>
          <w:marTop w:val="0"/>
          <w:marBottom w:val="0"/>
          <w:divBdr>
            <w:top w:val="none" w:sz="0" w:space="0" w:color="auto"/>
            <w:left w:val="none" w:sz="0" w:space="0" w:color="auto"/>
            <w:bottom w:val="none" w:sz="0" w:space="0" w:color="auto"/>
            <w:right w:val="none" w:sz="0" w:space="0" w:color="auto"/>
          </w:divBdr>
        </w:div>
        <w:div w:id="1161578425">
          <w:marLeft w:val="640"/>
          <w:marRight w:val="0"/>
          <w:marTop w:val="0"/>
          <w:marBottom w:val="0"/>
          <w:divBdr>
            <w:top w:val="none" w:sz="0" w:space="0" w:color="auto"/>
            <w:left w:val="none" w:sz="0" w:space="0" w:color="auto"/>
            <w:bottom w:val="none" w:sz="0" w:space="0" w:color="auto"/>
            <w:right w:val="none" w:sz="0" w:space="0" w:color="auto"/>
          </w:divBdr>
        </w:div>
        <w:div w:id="479805676">
          <w:marLeft w:val="640"/>
          <w:marRight w:val="0"/>
          <w:marTop w:val="0"/>
          <w:marBottom w:val="0"/>
          <w:divBdr>
            <w:top w:val="none" w:sz="0" w:space="0" w:color="auto"/>
            <w:left w:val="none" w:sz="0" w:space="0" w:color="auto"/>
            <w:bottom w:val="none" w:sz="0" w:space="0" w:color="auto"/>
            <w:right w:val="none" w:sz="0" w:space="0" w:color="auto"/>
          </w:divBdr>
        </w:div>
        <w:div w:id="1009141772">
          <w:marLeft w:val="640"/>
          <w:marRight w:val="0"/>
          <w:marTop w:val="0"/>
          <w:marBottom w:val="0"/>
          <w:divBdr>
            <w:top w:val="none" w:sz="0" w:space="0" w:color="auto"/>
            <w:left w:val="none" w:sz="0" w:space="0" w:color="auto"/>
            <w:bottom w:val="none" w:sz="0" w:space="0" w:color="auto"/>
            <w:right w:val="none" w:sz="0" w:space="0" w:color="auto"/>
          </w:divBdr>
        </w:div>
        <w:div w:id="118692680">
          <w:marLeft w:val="640"/>
          <w:marRight w:val="0"/>
          <w:marTop w:val="0"/>
          <w:marBottom w:val="0"/>
          <w:divBdr>
            <w:top w:val="none" w:sz="0" w:space="0" w:color="auto"/>
            <w:left w:val="none" w:sz="0" w:space="0" w:color="auto"/>
            <w:bottom w:val="none" w:sz="0" w:space="0" w:color="auto"/>
            <w:right w:val="none" w:sz="0" w:space="0" w:color="auto"/>
          </w:divBdr>
        </w:div>
        <w:div w:id="706872493">
          <w:marLeft w:val="640"/>
          <w:marRight w:val="0"/>
          <w:marTop w:val="0"/>
          <w:marBottom w:val="0"/>
          <w:divBdr>
            <w:top w:val="none" w:sz="0" w:space="0" w:color="auto"/>
            <w:left w:val="none" w:sz="0" w:space="0" w:color="auto"/>
            <w:bottom w:val="none" w:sz="0" w:space="0" w:color="auto"/>
            <w:right w:val="none" w:sz="0" w:space="0" w:color="auto"/>
          </w:divBdr>
        </w:div>
        <w:div w:id="1526869615">
          <w:marLeft w:val="640"/>
          <w:marRight w:val="0"/>
          <w:marTop w:val="0"/>
          <w:marBottom w:val="0"/>
          <w:divBdr>
            <w:top w:val="none" w:sz="0" w:space="0" w:color="auto"/>
            <w:left w:val="none" w:sz="0" w:space="0" w:color="auto"/>
            <w:bottom w:val="none" w:sz="0" w:space="0" w:color="auto"/>
            <w:right w:val="none" w:sz="0" w:space="0" w:color="auto"/>
          </w:divBdr>
        </w:div>
        <w:div w:id="1687513944">
          <w:marLeft w:val="640"/>
          <w:marRight w:val="0"/>
          <w:marTop w:val="0"/>
          <w:marBottom w:val="0"/>
          <w:divBdr>
            <w:top w:val="none" w:sz="0" w:space="0" w:color="auto"/>
            <w:left w:val="none" w:sz="0" w:space="0" w:color="auto"/>
            <w:bottom w:val="none" w:sz="0" w:space="0" w:color="auto"/>
            <w:right w:val="none" w:sz="0" w:space="0" w:color="auto"/>
          </w:divBdr>
        </w:div>
        <w:div w:id="1042897408">
          <w:marLeft w:val="640"/>
          <w:marRight w:val="0"/>
          <w:marTop w:val="0"/>
          <w:marBottom w:val="0"/>
          <w:divBdr>
            <w:top w:val="none" w:sz="0" w:space="0" w:color="auto"/>
            <w:left w:val="none" w:sz="0" w:space="0" w:color="auto"/>
            <w:bottom w:val="none" w:sz="0" w:space="0" w:color="auto"/>
            <w:right w:val="none" w:sz="0" w:space="0" w:color="auto"/>
          </w:divBdr>
        </w:div>
        <w:div w:id="1681543777">
          <w:marLeft w:val="640"/>
          <w:marRight w:val="0"/>
          <w:marTop w:val="0"/>
          <w:marBottom w:val="0"/>
          <w:divBdr>
            <w:top w:val="none" w:sz="0" w:space="0" w:color="auto"/>
            <w:left w:val="none" w:sz="0" w:space="0" w:color="auto"/>
            <w:bottom w:val="none" w:sz="0" w:space="0" w:color="auto"/>
            <w:right w:val="none" w:sz="0" w:space="0" w:color="auto"/>
          </w:divBdr>
        </w:div>
        <w:div w:id="1622805799">
          <w:marLeft w:val="640"/>
          <w:marRight w:val="0"/>
          <w:marTop w:val="0"/>
          <w:marBottom w:val="0"/>
          <w:divBdr>
            <w:top w:val="none" w:sz="0" w:space="0" w:color="auto"/>
            <w:left w:val="none" w:sz="0" w:space="0" w:color="auto"/>
            <w:bottom w:val="none" w:sz="0" w:space="0" w:color="auto"/>
            <w:right w:val="none" w:sz="0" w:space="0" w:color="auto"/>
          </w:divBdr>
        </w:div>
        <w:div w:id="336542282">
          <w:marLeft w:val="640"/>
          <w:marRight w:val="0"/>
          <w:marTop w:val="0"/>
          <w:marBottom w:val="0"/>
          <w:divBdr>
            <w:top w:val="none" w:sz="0" w:space="0" w:color="auto"/>
            <w:left w:val="none" w:sz="0" w:space="0" w:color="auto"/>
            <w:bottom w:val="none" w:sz="0" w:space="0" w:color="auto"/>
            <w:right w:val="none" w:sz="0" w:space="0" w:color="auto"/>
          </w:divBdr>
        </w:div>
        <w:div w:id="990862819">
          <w:marLeft w:val="640"/>
          <w:marRight w:val="0"/>
          <w:marTop w:val="0"/>
          <w:marBottom w:val="0"/>
          <w:divBdr>
            <w:top w:val="none" w:sz="0" w:space="0" w:color="auto"/>
            <w:left w:val="none" w:sz="0" w:space="0" w:color="auto"/>
            <w:bottom w:val="none" w:sz="0" w:space="0" w:color="auto"/>
            <w:right w:val="none" w:sz="0" w:space="0" w:color="auto"/>
          </w:divBdr>
        </w:div>
        <w:div w:id="1774014370">
          <w:marLeft w:val="640"/>
          <w:marRight w:val="0"/>
          <w:marTop w:val="0"/>
          <w:marBottom w:val="0"/>
          <w:divBdr>
            <w:top w:val="none" w:sz="0" w:space="0" w:color="auto"/>
            <w:left w:val="none" w:sz="0" w:space="0" w:color="auto"/>
            <w:bottom w:val="none" w:sz="0" w:space="0" w:color="auto"/>
            <w:right w:val="none" w:sz="0" w:space="0" w:color="auto"/>
          </w:divBdr>
        </w:div>
        <w:div w:id="518272774">
          <w:marLeft w:val="640"/>
          <w:marRight w:val="0"/>
          <w:marTop w:val="0"/>
          <w:marBottom w:val="0"/>
          <w:divBdr>
            <w:top w:val="none" w:sz="0" w:space="0" w:color="auto"/>
            <w:left w:val="none" w:sz="0" w:space="0" w:color="auto"/>
            <w:bottom w:val="none" w:sz="0" w:space="0" w:color="auto"/>
            <w:right w:val="none" w:sz="0" w:space="0" w:color="auto"/>
          </w:divBdr>
        </w:div>
        <w:div w:id="11690124">
          <w:marLeft w:val="640"/>
          <w:marRight w:val="0"/>
          <w:marTop w:val="0"/>
          <w:marBottom w:val="0"/>
          <w:divBdr>
            <w:top w:val="none" w:sz="0" w:space="0" w:color="auto"/>
            <w:left w:val="none" w:sz="0" w:space="0" w:color="auto"/>
            <w:bottom w:val="none" w:sz="0" w:space="0" w:color="auto"/>
            <w:right w:val="none" w:sz="0" w:space="0" w:color="auto"/>
          </w:divBdr>
        </w:div>
        <w:div w:id="1854606725">
          <w:marLeft w:val="640"/>
          <w:marRight w:val="0"/>
          <w:marTop w:val="0"/>
          <w:marBottom w:val="0"/>
          <w:divBdr>
            <w:top w:val="none" w:sz="0" w:space="0" w:color="auto"/>
            <w:left w:val="none" w:sz="0" w:space="0" w:color="auto"/>
            <w:bottom w:val="none" w:sz="0" w:space="0" w:color="auto"/>
            <w:right w:val="none" w:sz="0" w:space="0" w:color="auto"/>
          </w:divBdr>
        </w:div>
        <w:div w:id="1088581776">
          <w:marLeft w:val="640"/>
          <w:marRight w:val="0"/>
          <w:marTop w:val="0"/>
          <w:marBottom w:val="0"/>
          <w:divBdr>
            <w:top w:val="none" w:sz="0" w:space="0" w:color="auto"/>
            <w:left w:val="none" w:sz="0" w:space="0" w:color="auto"/>
            <w:bottom w:val="none" w:sz="0" w:space="0" w:color="auto"/>
            <w:right w:val="none" w:sz="0" w:space="0" w:color="auto"/>
          </w:divBdr>
        </w:div>
        <w:div w:id="1598708531">
          <w:marLeft w:val="640"/>
          <w:marRight w:val="0"/>
          <w:marTop w:val="0"/>
          <w:marBottom w:val="0"/>
          <w:divBdr>
            <w:top w:val="none" w:sz="0" w:space="0" w:color="auto"/>
            <w:left w:val="none" w:sz="0" w:space="0" w:color="auto"/>
            <w:bottom w:val="none" w:sz="0" w:space="0" w:color="auto"/>
            <w:right w:val="none" w:sz="0" w:space="0" w:color="auto"/>
          </w:divBdr>
        </w:div>
        <w:div w:id="1598517818">
          <w:marLeft w:val="640"/>
          <w:marRight w:val="0"/>
          <w:marTop w:val="0"/>
          <w:marBottom w:val="0"/>
          <w:divBdr>
            <w:top w:val="none" w:sz="0" w:space="0" w:color="auto"/>
            <w:left w:val="none" w:sz="0" w:space="0" w:color="auto"/>
            <w:bottom w:val="none" w:sz="0" w:space="0" w:color="auto"/>
            <w:right w:val="none" w:sz="0" w:space="0" w:color="auto"/>
          </w:divBdr>
        </w:div>
        <w:div w:id="1346250213">
          <w:marLeft w:val="640"/>
          <w:marRight w:val="0"/>
          <w:marTop w:val="0"/>
          <w:marBottom w:val="0"/>
          <w:divBdr>
            <w:top w:val="none" w:sz="0" w:space="0" w:color="auto"/>
            <w:left w:val="none" w:sz="0" w:space="0" w:color="auto"/>
            <w:bottom w:val="none" w:sz="0" w:space="0" w:color="auto"/>
            <w:right w:val="none" w:sz="0" w:space="0" w:color="auto"/>
          </w:divBdr>
        </w:div>
        <w:div w:id="1135635676">
          <w:marLeft w:val="640"/>
          <w:marRight w:val="0"/>
          <w:marTop w:val="0"/>
          <w:marBottom w:val="0"/>
          <w:divBdr>
            <w:top w:val="none" w:sz="0" w:space="0" w:color="auto"/>
            <w:left w:val="none" w:sz="0" w:space="0" w:color="auto"/>
            <w:bottom w:val="none" w:sz="0" w:space="0" w:color="auto"/>
            <w:right w:val="none" w:sz="0" w:space="0" w:color="auto"/>
          </w:divBdr>
        </w:div>
        <w:div w:id="1318681524">
          <w:marLeft w:val="640"/>
          <w:marRight w:val="0"/>
          <w:marTop w:val="0"/>
          <w:marBottom w:val="0"/>
          <w:divBdr>
            <w:top w:val="none" w:sz="0" w:space="0" w:color="auto"/>
            <w:left w:val="none" w:sz="0" w:space="0" w:color="auto"/>
            <w:bottom w:val="none" w:sz="0" w:space="0" w:color="auto"/>
            <w:right w:val="none" w:sz="0" w:space="0" w:color="auto"/>
          </w:divBdr>
        </w:div>
        <w:div w:id="1694841759">
          <w:marLeft w:val="640"/>
          <w:marRight w:val="0"/>
          <w:marTop w:val="0"/>
          <w:marBottom w:val="0"/>
          <w:divBdr>
            <w:top w:val="none" w:sz="0" w:space="0" w:color="auto"/>
            <w:left w:val="none" w:sz="0" w:space="0" w:color="auto"/>
            <w:bottom w:val="none" w:sz="0" w:space="0" w:color="auto"/>
            <w:right w:val="none" w:sz="0" w:space="0" w:color="auto"/>
          </w:divBdr>
        </w:div>
        <w:div w:id="1853296476">
          <w:marLeft w:val="640"/>
          <w:marRight w:val="0"/>
          <w:marTop w:val="0"/>
          <w:marBottom w:val="0"/>
          <w:divBdr>
            <w:top w:val="none" w:sz="0" w:space="0" w:color="auto"/>
            <w:left w:val="none" w:sz="0" w:space="0" w:color="auto"/>
            <w:bottom w:val="none" w:sz="0" w:space="0" w:color="auto"/>
            <w:right w:val="none" w:sz="0" w:space="0" w:color="auto"/>
          </w:divBdr>
        </w:div>
        <w:div w:id="1449278531">
          <w:marLeft w:val="640"/>
          <w:marRight w:val="0"/>
          <w:marTop w:val="0"/>
          <w:marBottom w:val="0"/>
          <w:divBdr>
            <w:top w:val="none" w:sz="0" w:space="0" w:color="auto"/>
            <w:left w:val="none" w:sz="0" w:space="0" w:color="auto"/>
            <w:bottom w:val="none" w:sz="0" w:space="0" w:color="auto"/>
            <w:right w:val="none" w:sz="0" w:space="0" w:color="auto"/>
          </w:divBdr>
        </w:div>
        <w:div w:id="1640837302">
          <w:marLeft w:val="640"/>
          <w:marRight w:val="0"/>
          <w:marTop w:val="0"/>
          <w:marBottom w:val="0"/>
          <w:divBdr>
            <w:top w:val="none" w:sz="0" w:space="0" w:color="auto"/>
            <w:left w:val="none" w:sz="0" w:space="0" w:color="auto"/>
            <w:bottom w:val="none" w:sz="0" w:space="0" w:color="auto"/>
            <w:right w:val="none" w:sz="0" w:space="0" w:color="auto"/>
          </w:divBdr>
        </w:div>
        <w:div w:id="1433820785">
          <w:marLeft w:val="640"/>
          <w:marRight w:val="0"/>
          <w:marTop w:val="0"/>
          <w:marBottom w:val="0"/>
          <w:divBdr>
            <w:top w:val="none" w:sz="0" w:space="0" w:color="auto"/>
            <w:left w:val="none" w:sz="0" w:space="0" w:color="auto"/>
            <w:bottom w:val="none" w:sz="0" w:space="0" w:color="auto"/>
            <w:right w:val="none" w:sz="0" w:space="0" w:color="auto"/>
          </w:divBdr>
        </w:div>
        <w:div w:id="1241914009">
          <w:marLeft w:val="640"/>
          <w:marRight w:val="0"/>
          <w:marTop w:val="0"/>
          <w:marBottom w:val="0"/>
          <w:divBdr>
            <w:top w:val="none" w:sz="0" w:space="0" w:color="auto"/>
            <w:left w:val="none" w:sz="0" w:space="0" w:color="auto"/>
            <w:bottom w:val="none" w:sz="0" w:space="0" w:color="auto"/>
            <w:right w:val="none" w:sz="0" w:space="0" w:color="auto"/>
          </w:divBdr>
        </w:div>
        <w:div w:id="1682195865">
          <w:marLeft w:val="640"/>
          <w:marRight w:val="0"/>
          <w:marTop w:val="0"/>
          <w:marBottom w:val="0"/>
          <w:divBdr>
            <w:top w:val="none" w:sz="0" w:space="0" w:color="auto"/>
            <w:left w:val="none" w:sz="0" w:space="0" w:color="auto"/>
            <w:bottom w:val="none" w:sz="0" w:space="0" w:color="auto"/>
            <w:right w:val="none" w:sz="0" w:space="0" w:color="auto"/>
          </w:divBdr>
        </w:div>
        <w:div w:id="243035712">
          <w:marLeft w:val="640"/>
          <w:marRight w:val="0"/>
          <w:marTop w:val="0"/>
          <w:marBottom w:val="0"/>
          <w:divBdr>
            <w:top w:val="none" w:sz="0" w:space="0" w:color="auto"/>
            <w:left w:val="none" w:sz="0" w:space="0" w:color="auto"/>
            <w:bottom w:val="none" w:sz="0" w:space="0" w:color="auto"/>
            <w:right w:val="none" w:sz="0" w:space="0" w:color="auto"/>
          </w:divBdr>
        </w:div>
        <w:div w:id="867255284">
          <w:marLeft w:val="640"/>
          <w:marRight w:val="0"/>
          <w:marTop w:val="0"/>
          <w:marBottom w:val="0"/>
          <w:divBdr>
            <w:top w:val="none" w:sz="0" w:space="0" w:color="auto"/>
            <w:left w:val="none" w:sz="0" w:space="0" w:color="auto"/>
            <w:bottom w:val="none" w:sz="0" w:space="0" w:color="auto"/>
            <w:right w:val="none" w:sz="0" w:space="0" w:color="auto"/>
          </w:divBdr>
        </w:div>
        <w:div w:id="1947419543">
          <w:marLeft w:val="640"/>
          <w:marRight w:val="0"/>
          <w:marTop w:val="0"/>
          <w:marBottom w:val="0"/>
          <w:divBdr>
            <w:top w:val="none" w:sz="0" w:space="0" w:color="auto"/>
            <w:left w:val="none" w:sz="0" w:space="0" w:color="auto"/>
            <w:bottom w:val="none" w:sz="0" w:space="0" w:color="auto"/>
            <w:right w:val="none" w:sz="0" w:space="0" w:color="auto"/>
          </w:divBdr>
        </w:div>
        <w:div w:id="123546241">
          <w:marLeft w:val="640"/>
          <w:marRight w:val="0"/>
          <w:marTop w:val="0"/>
          <w:marBottom w:val="0"/>
          <w:divBdr>
            <w:top w:val="none" w:sz="0" w:space="0" w:color="auto"/>
            <w:left w:val="none" w:sz="0" w:space="0" w:color="auto"/>
            <w:bottom w:val="none" w:sz="0" w:space="0" w:color="auto"/>
            <w:right w:val="none" w:sz="0" w:space="0" w:color="auto"/>
          </w:divBdr>
        </w:div>
        <w:div w:id="836847124">
          <w:marLeft w:val="640"/>
          <w:marRight w:val="0"/>
          <w:marTop w:val="0"/>
          <w:marBottom w:val="0"/>
          <w:divBdr>
            <w:top w:val="none" w:sz="0" w:space="0" w:color="auto"/>
            <w:left w:val="none" w:sz="0" w:space="0" w:color="auto"/>
            <w:bottom w:val="none" w:sz="0" w:space="0" w:color="auto"/>
            <w:right w:val="none" w:sz="0" w:space="0" w:color="auto"/>
          </w:divBdr>
        </w:div>
        <w:div w:id="251623973">
          <w:marLeft w:val="640"/>
          <w:marRight w:val="0"/>
          <w:marTop w:val="0"/>
          <w:marBottom w:val="0"/>
          <w:divBdr>
            <w:top w:val="none" w:sz="0" w:space="0" w:color="auto"/>
            <w:left w:val="none" w:sz="0" w:space="0" w:color="auto"/>
            <w:bottom w:val="none" w:sz="0" w:space="0" w:color="auto"/>
            <w:right w:val="none" w:sz="0" w:space="0" w:color="auto"/>
          </w:divBdr>
        </w:div>
        <w:div w:id="408430719">
          <w:marLeft w:val="640"/>
          <w:marRight w:val="0"/>
          <w:marTop w:val="0"/>
          <w:marBottom w:val="0"/>
          <w:divBdr>
            <w:top w:val="none" w:sz="0" w:space="0" w:color="auto"/>
            <w:left w:val="none" w:sz="0" w:space="0" w:color="auto"/>
            <w:bottom w:val="none" w:sz="0" w:space="0" w:color="auto"/>
            <w:right w:val="none" w:sz="0" w:space="0" w:color="auto"/>
          </w:divBdr>
        </w:div>
        <w:div w:id="345710658">
          <w:marLeft w:val="640"/>
          <w:marRight w:val="0"/>
          <w:marTop w:val="0"/>
          <w:marBottom w:val="0"/>
          <w:divBdr>
            <w:top w:val="none" w:sz="0" w:space="0" w:color="auto"/>
            <w:left w:val="none" w:sz="0" w:space="0" w:color="auto"/>
            <w:bottom w:val="none" w:sz="0" w:space="0" w:color="auto"/>
            <w:right w:val="none" w:sz="0" w:space="0" w:color="auto"/>
          </w:divBdr>
        </w:div>
        <w:div w:id="299459539">
          <w:marLeft w:val="640"/>
          <w:marRight w:val="0"/>
          <w:marTop w:val="0"/>
          <w:marBottom w:val="0"/>
          <w:divBdr>
            <w:top w:val="none" w:sz="0" w:space="0" w:color="auto"/>
            <w:left w:val="none" w:sz="0" w:space="0" w:color="auto"/>
            <w:bottom w:val="none" w:sz="0" w:space="0" w:color="auto"/>
            <w:right w:val="none" w:sz="0" w:space="0" w:color="auto"/>
          </w:divBdr>
        </w:div>
        <w:div w:id="954749716">
          <w:marLeft w:val="640"/>
          <w:marRight w:val="0"/>
          <w:marTop w:val="0"/>
          <w:marBottom w:val="0"/>
          <w:divBdr>
            <w:top w:val="none" w:sz="0" w:space="0" w:color="auto"/>
            <w:left w:val="none" w:sz="0" w:space="0" w:color="auto"/>
            <w:bottom w:val="none" w:sz="0" w:space="0" w:color="auto"/>
            <w:right w:val="none" w:sz="0" w:space="0" w:color="auto"/>
          </w:divBdr>
        </w:div>
        <w:div w:id="870217946">
          <w:marLeft w:val="640"/>
          <w:marRight w:val="0"/>
          <w:marTop w:val="0"/>
          <w:marBottom w:val="0"/>
          <w:divBdr>
            <w:top w:val="none" w:sz="0" w:space="0" w:color="auto"/>
            <w:left w:val="none" w:sz="0" w:space="0" w:color="auto"/>
            <w:bottom w:val="none" w:sz="0" w:space="0" w:color="auto"/>
            <w:right w:val="none" w:sz="0" w:space="0" w:color="auto"/>
          </w:divBdr>
        </w:div>
        <w:div w:id="1595942895">
          <w:marLeft w:val="640"/>
          <w:marRight w:val="0"/>
          <w:marTop w:val="0"/>
          <w:marBottom w:val="0"/>
          <w:divBdr>
            <w:top w:val="none" w:sz="0" w:space="0" w:color="auto"/>
            <w:left w:val="none" w:sz="0" w:space="0" w:color="auto"/>
            <w:bottom w:val="none" w:sz="0" w:space="0" w:color="auto"/>
            <w:right w:val="none" w:sz="0" w:space="0" w:color="auto"/>
          </w:divBdr>
        </w:div>
        <w:div w:id="279456376">
          <w:marLeft w:val="640"/>
          <w:marRight w:val="0"/>
          <w:marTop w:val="0"/>
          <w:marBottom w:val="0"/>
          <w:divBdr>
            <w:top w:val="none" w:sz="0" w:space="0" w:color="auto"/>
            <w:left w:val="none" w:sz="0" w:space="0" w:color="auto"/>
            <w:bottom w:val="none" w:sz="0" w:space="0" w:color="auto"/>
            <w:right w:val="none" w:sz="0" w:space="0" w:color="auto"/>
          </w:divBdr>
        </w:div>
        <w:div w:id="1291013283">
          <w:marLeft w:val="640"/>
          <w:marRight w:val="0"/>
          <w:marTop w:val="0"/>
          <w:marBottom w:val="0"/>
          <w:divBdr>
            <w:top w:val="none" w:sz="0" w:space="0" w:color="auto"/>
            <w:left w:val="none" w:sz="0" w:space="0" w:color="auto"/>
            <w:bottom w:val="none" w:sz="0" w:space="0" w:color="auto"/>
            <w:right w:val="none" w:sz="0" w:space="0" w:color="auto"/>
          </w:divBdr>
        </w:div>
        <w:div w:id="717364728">
          <w:marLeft w:val="640"/>
          <w:marRight w:val="0"/>
          <w:marTop w:val="0"/>
          <w:marBottom w:val="0"/>
          <w:divBdr>
            <w:top w:val="none" w:sz="0" w:space="0" w:color="auto"/>
            <w:left w:val="none" w:sz="0" w:space="0" w:color="auto"/>
            <w:bottom w:val="none" w:sz="0" w:space="0" w:color="auto"/>
            <w:right w:val="none" w:sz="0" w:space="0" w:color="auto"/>
          </w:divBdr>
        </w:div>
        <w:div w:id="1017731275">
          <w:marLeft w:val="640"/>
          <w:marRight w:val="0"/>
          <w:marTop w:val="0"/>
          <w:marBottom w:val="0"/>
          <w:divBdr>
            <w:top w:val="none" w:sz="0" w:space="0" w:color="auto"/>
            <w:left w:val="none" w:sz="0" w:space="0" w:color="auto"/>
            <w:bottom w:val="none" w:sz="0" w:space="0" w:color="auto"/>
            <w:right w:val="none" w:sz="0" w:space="0" w:color="auto"/>
          </w:divBdr>
        </w:div>
        <w:div w:id="94059370">
          <w:marLeft w:val="640"/>
          <w:marRight w:val="0"/>
          <w:marTop w:val="0"/>
          <w:marBottom w:val="0"/>
          <w:divBdr>
            <w:top w:val="none" w:sz="0" w:space="0" w:color="auto"/>
            <w:left w:val="none" w:sz="0" w:space="0" w:color="auto"/>
            <w:bottom w:val="none" w:sz="0" w:space="0" w:color="auto"/>
            <w:right w:val="none" w:sz="0" w:space="0" w:color="auto"/>
          </w:divBdr>
        </w:div>
        <w:div w:id="2066290893">
          <w:marLeft w:val="640"/>
          <w:marRight w:val="0"/>
          <w:marTop w:val="0"/>
          <w:marBottom w:val="0"/>
          <w:divBdr>
            <w:top w:val="none" w:sz="0" w:space="0" w:color="auto"/>
            <w:left w:val="none" w:sz="0" w:space="0" w:color="auto"/>
            <w:bottom w:val="none" w:sz="0" w:space="0" w:color="auto"/>
            <w:right w:val="none" w:sz="0" w:space="0" w:color="auto"/>
          </w:divBdr>
        </w:div>
        <w:div w:id="86661190">
          <w:marLeft w:val="640"/>
          <w:marRight w:val="0"/>
          <w:marTop w:val="0"/>
          <w:marBottom w:val="0"/>
          <w:divBdr>
            <w:top w:val="none" w:sz="0" w:space="0" w:color="auto"/>
            <w:left w:val="none" w:sz="0" w:space="0" w:color="auto"/>
            <w:bottom w:val="none" w:sz="0" w:space="0" w:color="auto"/>
            <w:right w:val="none" w:sz="0" w:space="0" w:color="auto"/>
          </w:divBdr>
        </w:div>
        <w:div w:id="630482062">
          <w:marLeft w:val="640"/>
          <w:marRight w:val="0"/>
          <w:marTop w:val="0"/>
          <w:marBottom w:val="0"/>
          <w:divBdr>
            <w:top w:val="none" w:sz="0" w:space="0" w:color="auto"/>
            <w:left w:val="none" w:sz="0" w:space="0" w:color="auto"/>
            <w:bottom w:val="none" w:sz="0" w:space="0" w:color="auto"/>
            <w:right w:val="none" w:sz="0" w:space="0" w:color="auto"/>
          </w:divBdr>
        </w:div>
        <w:div w:id="813254133">
          <w:marLeft w:val="640"/>
          <w:marRight w:val="0"/>
          <w:marTop w:val="0"/>
          <w:marBottom w:val="0"/>
          <w:divBdr>
            <w:top w:val="none" w:sz="0" w:space="0" w:color="auto"/>
            <w:left w:val="none" w:sz="0" w:space="0" w:color="auto"/>
            <w:bottom w:val="none" w:sz="0" w:space="0" w:color="auto"/>
            <w:right w:val="none" w:sz="0" w:space="0" w:color="auto"/>
          </w:divBdr>
        </w:div>
        <w:div w:id="1733232511">
          <w:marLeft w:val="640"/>
          <w:marRight w:val="0"/>
          <w:marTop w:val="0"/>
          <w:marBottom w:val="0"/>
          <w:divBdr>
            <w:top w:val="none" w:sz="0" w:space="0" w:color="auto"/>
            <w:left w:val="none" w:sz="0" w:space="0" w:color="auto"/>
            <w:bottom w:val="none" w:sz="0" w:space="0" w:color="auto"/>
            <w:right w:val="none" w:sz="0" w:space="0" w:color="auto"/>
          </w:divBdr>
        </w:div>
        <w:div w:id="665980435">
          <w:marLeft w:val="640"/>
          <w:marRight w:val="0"/>
          <w:marTop w:val="0"/>
          <w:marBottom w:val="0"/>
          <w:divBdr>
            <w:top w:val="none" w:sz="0" w:space="0" w:color="auto"/>
            <w:left w:val="none" w:sz="0" w:space="0" w:color="auto"/>
            <w:bottom w:val="none" w:sz="0" w:space="0" w:color="auto"/>
            <w:right w:val="none" w:sz="0" w:space="0" w:color="auto"/>
          </w:divBdr>
        </w:div>
        <w:div w:id="1983733882">
          <w:marLeft w:val="640"/>
          <w:marRight w:val="0"/>
          <w:marTop w:val="0"/>
          <w:marBottom w:val="0"/>
          <w:divBdr>
            <w:top w:val="none" w:sz="0" w:space="0" w:color="auto"/>
            <w:left w:val="none" w:sz="0" w:space="0" w:color="auto"/>
            <w:bottom w:val="none" w:sz="0" w:space="0" w:color="auto"/>
            <w:right w:val="none" w:sz="0" w:space="0" w:color="auto"/>
          </w:divBdr>
        </w:div>
        <w:div w:id="1088383724">
          <w:marLeft w:val="640"/>
          <w:marRight w:val="0"/>
          <w:marTop w:val="0"/>
          <w:marBottom w:val="0"/>
          <w:divBdr>
            <w:top w:val="none" w:sz="0" w:space="0" w:color="auto"/>
            <w:left w:val="none" w:sz="0" w:space="0" w:color="auto"/>
            <w:bottom w:val="none" w:sz="0" w:space="0" w:color="auto"/>
            <w:right w:val="none" w:sz="0" w:space="0" w:color="auto"/>
          </w:divBdr>
        </w:div>
        <w:div w:id="293144021">
          <w:marLeft w:val="640"/>
          <w:marRight w:val="0"/>
          <w:marTop w:val="0"/>
          <w:marBottom w:val="0"/>
          <w:divBdr>
            <w:top w:val="none" w:sz="0" w:space="0" w:color="auto"/>
            <w:left w:val="none" w:sz="0" w:space="0" w:color="auto"/>
            <w:bottom w:val="none" w:sz="0" w:space="0" w:color="auto"/>
            <w:right w:val="none" w:sz="0" w:space="0" w:color="auto"/>
          </w:divBdr>
        </w:div>
        <w:div w:id="1164667635">
          <w:marLeft w:val="640"/>
          <w:marRight w:val="0"/>
          <w:marTop w:val="0"/>
          <w:marBottom w:val="0"/>
          <w:divBdr>
            <w:top w:val="none" w:sz="0" w:space="0" w:color="auto"/>
            <w:left w:val="none" w:sz="0" w:space="0" w:color="auto"/>
            <w:bottom w:val="none" w:sz="0" w:space="0" w:color="auto"/>
            <w:right w:val="none" w:sz="0" w:space="0" w:color="auto"/>
          </w:divBdr>
        </w:div>
        <w:div w:id="522935077">
          <w:marLeft w:val="640"/>
          <w:marRight w:val="0"/>
          <w:marTop w:val="0"/>
          <w:marBottom w:val="0"/>
          <w:divBdr>
            <w:top w:val="none" w:sz="0" w:space="0" w:color="auto"/>
            <w:left w:val="none" w:sz="0" w:space="0" w:color="auto"/>
            <w:bottom w:val="none" w:sz="0" w:space="0" w:color="auto"/>
            <w:right w:val="none" w:sz="0" w:space="0" w:color="auto"/>
          </w:divBdr>
        </w:div>
        <w:div w:id="879975883">
          <w:marLeft w:val="640"/>
          <w:marRight w:val="0"/>
          <w:marTop w:val="0"/>
          <w:marBottom w:val="0"/>
          <w:divBdr>
            <w:top w:val="none" w:sz="0" w:space="0" w:color="auto"/>
            <w:left w:val="none" w:sz="0" w:space="0" w:color="auto"/>
            <w:bottom w:val="none" w:sz="0" w:space="0" w:color="auto"/>
            <w:right w:val="none" w:sz="0" w:space="0" w:color="auto"/>
          </w:divBdr>
        </w:div>
        <w:div w:id="1342245320">
          <w:marLeft w:val="640"/>
          <w:marRight w:val="0"/>
          <w:marTop w:val="0"/>
          <w:marBottom w:val="0"/>
          <w:divBdr>
            <w:top w:val="none" w:sz="0" w:space="0" w:color="auto"/>
            <w:left w:val="none" w:sz="0" w:space="0" w:color="auto"/>
            <w:bottom w:val="none" w:sz="0" w:space="0" w:color="auto"/>
            <w:right w:val="none" w:sz="0" w:space="0" w:color="auto"/>
          </w:divBdr>
        </w:div>
        <w:div w:id="1149789816">
          <w:marLeft w:val="640"/>
          <w:marRight w:val="0"/>
          <w:marTop w:val="0"/>
          <w:marBottom w:val="0"/>
          <w:divBdr>
            <w:top w:val="none" w:sz="0" w:space="0" w:color="auto"/>
            <w:left w:val="none" w:sz="0" w:space="0" w:color="auto"/>
            <w:bottom w:val="none" w:sz="0" w:space="0" w:color="auto"/>
            <w:right w:val="none" w:sz="0" w:space="0" w:color="auto"/>
          </w:divBdr>
        </w:div>
        <w:div w:id="983895738">
          <w:marLeft w:val="640"/>
          <w:marRight w:val="0"/>
          <w:marTop w:val="0"/>
          <w:marBottom w:val="0"/>
          <w:divBdr>
            <w:top w:val="none" w:sz="0" w:space="0" w:color="auto"/>
            <w:left w:val="none" w:sz="0" w:space="0" w:color="auto"/>
            <w:bottom w:val="none" w:sz="0" w:space="0" w:color="auto"/>
            <w:right w:val="none" w:sz="0" w:space="0" w:color="auto"/>
          </w:divBdr>
        </w:div>
        <w:div w:id="2036688356">
          <w:marLeft w:val="640"/>
          <w:marRight w:val="0"/>
          <w:marTop w:val="0"/>
          <w:marBottom w:val="0"/>
          <w:divBdr>
            <w:top w:val="none" w:sz="0" w:space="0" w:color="auto"/>
            <w:left w:val="none" w:sz="0" w:space="0" w:color="auto"/>
            <w:bottom w:val="none" w:sz="0" w:space="0" w:color="auto"/>
            <w:right w:val="none" w:sz="0" w:space="0" w:color="auto"/>
          </w:divBdr>
        </w:div>
        <w:div w:id="2126191077">
          <w:marLeft w:val="640"/>
          <w:marRight w:val="0"/>
          <w:marTop w:val="0"/>
          <w:marBottom w:val="0"/>
          <w:divBdr>
            <w:top w:val="none" w:sz="0" w:space="0" w:color="auto"/>
            <w:left w:val="none" w:sz="0" w:space="0" w:color="auto"/>
            <w:bottom w:val="none" w:sz="0" w:space="0" w:color="auto"/>
            <w:right w:val="none" w:sz="0" w:space="0" w:color="auto"/>
          </w:divBdr>
        </w:div>
        <w:div w:id="2053575198">
          <w:marLeft w:val="640"/>
          <w:marRight w:val="0"/>
          <w:marTop w:val="0"/>
          <w:marBottom w:val="0"/>
          <w:divBdr>
            <w:top w:val="none" w:sz="0" w:space="0" w:color="auto"/>
            <w:left w:val="none" w:sz="0" w:space="0" w:color="auto"/>
            <w:bottom w:val="none" w:sz="0" w:space="0" w:color="auto"/>
            <w:right w:val="none" w:sz="0" w:space="0" w:color="auto"/>
          </w:divBdr>
        </w:div>
        <w:div w:id="549657762">
          <w:marLeft w:val="640"/>
          <w:marRight w:val="0"/>
          <w:marTop w:val="0"/>
          <w:marBottom w:val="0"/>
          <w:divBdr>
            <w:top w:val="none" w:sz="0" w:space="0" w:color="auto"/>
            <w:left w:val="none" w:sz="0" w:space="0" w:color="auto"/>
            <w:bottom w:val="none" w:sz="0" w:space="0" w:color="auto"/>
            <w:right w:val="none" w:sz="0" w:space="0" w:color="auto"/>
          </w:divBdr>
        </w:div>
        <w:div w:id="356780672">
          <w:marLeft w:val="640"/>
          <w:marRight w:val="0"/>
          <w:marTop w:val="0"/>
          <w:marBottom w:val="0"/>
          <w:divBdr>
            <w:top w:val="none" w:sz="0" w:space="0" w:color="auto"/>
            <w:left w:val="none" w:sz="0" w:space="0" w:color="auto"/>
            <w:bottom w:val="none" w:sz="0" w:space="0" w:color="auto"/>
            <w:right w:val="none" w:sz="0" w:space="0" w:color="auto"/>
          </w:divBdr>
        </w:div>
        <w:div w:id="1497650374">
          <w:marLeft w:val="640"/>
          <w:marRight w:val="0"/>
          <w:marTop w:val="0"/>
          <w:marBottom w:val="0"/>
          <w:divBdr>
            <w:top w:val="none" w:sz="0" w:space="0" w:color="auto"/>
            <w:left w:val="none" w:sz="0" w:space="0" w:color="auto"/>
            <w:bottom w:val="none" w:sz="0" w:space="0" w:color="auto"/>
            <w:right w:val="none" w:sz="0" w:space="0" w:color="auto"/>
          </w:divBdr>
        </w:div>
        <w:div w:id="1358658940">
          <w:marLeft w:val="640"/>
          <w:marRight w:val="0"/>
          <w:marTop w:val="0"/>
          <w:marBottom w:val="0"/>
          <w:divBdr>
            <w:top w:val="none" w:sz="0" w:space="0" w:color="auto"/>
            <w:left w:val="none" w:sz="0" w:space="0" w:color="auto"/>
            <w:bottom w:val="none" w:sz="0" w:space="0" w:color="auto"/>
            <w:right w:val="none" w:sz="0" w:space="0" w:color="auto"/>
          </w:divBdr>
        </w:div>
        <w:div w:id="638732075">
          <w:marLeft w:val="640"/>
          <w:marRight w:val="0"/>
          <w:marTop w:val="0"/>
          <w:marBottom w:val="0"/>
          <w:divBdr>
            <w:top w:val="none" w:sz="0" w:space="0" w:color="auto"/>
            <w:left w:val="none" w:sz="0" w:space="0" w:color="auto"/>
            <w:bottom w:val="none" w:sz="0" w:space="0" w:color="auto"/>
            <w:right w:val="none" w:sz="0" w:space="0" w:color="auto"/>
          </w:divBdr>
        </w:div>
        <w:div w:id="1227650030">
          <w:marLeft w:val="640"/>
          <w:marRight w:val="0"/>
          <w:marTop w:val="0"/>
          <w:marBottom w:val="0"/>
          <w:divBdr>
            <w:top w:val="none" w:sz="0" w:space="0" w:color="auto"/>
            <w:left w:val="none" w:sz="0" w:space="0" w:color="auto"/>
            <w:bottom w:val="none" w:sz="0" w:space="0" w:color="auto"/>
            <w:right w:val="none" w:sz="0" w:space="0" w:color="auto"/>
          </w:divBdr>
        </w:div>
        <w:div w:id="169874323">
          <w:marLeft w:val="640"/>
          <w:marRight w:val="0"/>
          <w:marTop w:val="0"/>
          <w:marBottom w:val="0"/>
          <w:divBdr>
            <w:top w:val="none" w:sz="0" w:space="0" w:color="auto"/>
            <w:left w:val="none" w:sz="0" w:space="0" w:color="auto"/>
            <w:bottom w:val="none" w:sz="0" w:space="0" w:color="auto"/>
            <w:right w:val="none" w:sz="0" w:space="0" w:color="auto"/>
          </w:divBdr>
        </w:div>
        <w:div w:id="2036155713">
          <w:marLeft w:val="640"/>
          <w:marRight w:val="0"/>
          <w:marTop w:val="0"/>
          <w:marBottom w:val="0"/>
          <w:divBdr>
            <w:top w:val="none" w:sz="0" w:space="0" w:color="auto"/>
            <w:left w:val="none" w:sz="0" w:space="0" w:color="auto"/>
            <w:bottom w:val="none" w:sz="0" w:space="0" w:color="auto"/>
            <w:right w:val="none" w:sz="0" w:space="0" w:color="auto"/>
          </w:divBdr>
        </w:div>
        <w:div w:id="2087610933">
          <w:marLeft w:val="640"/>
          <w:marRight w:val="0"/>
          <w:marTop w:val="0"/>
          <w:marBottom w:val="0"/>
          <w:divBdr>
            <w:top w:val="none" w:sz="0" w:space="0" w:color="auto"/>
            <w:left w:val="none" w:sz="0" w:space="0" w:color="auto"/>
            <w:bottom w:val="none" w:sz="0" w:space="0" w:color="auto"/>
            <w:right w:val="none" w:sz="0" w:space="0" w:color="auto"/>
          </w:divBdr>
        </w:div>
        <w:div w:id="225993769">
          <w:marLeft w:val="640"/>
          <w:marRight w:val="0"/>
          <w:marTop w:val="0"/>
          <w:marBottom w:val="0"/>
          <w:divBdr>
            <w:top w:val="none" w:sz="0" w:space="0" w:color="auto"/>
            <w:left w:val="none" w:sz="0" w:space="0" w:color="auto"/>
            <w:bottom w:val="none" w:sz="0" w:space="0" w:color="auto"/>
            <w:right w:val="none" w:sz="0" w:space="0" w:color="auto"/>
          </w:divBdr>
        </w:div>
        <w:div w:id="368645356">
          <w:marLeft w:val="640"/>
          <w:marRight w:val="0"/>
          <w:marTop w:val="0"/>
          <w:marBottom w:val="0"/>
          <w:divBdr>
            <w:top w:val="none" w:sz="0" w:space="0" w:color="auto"/>
            <w:left w:val="none" w:sz="0" w:space="0" w:color="auto"/>
            <w:bottom w:val="none" w:sz="0" w:space="0" w:color="auto"/>
            <w:right w:val="none" w:sz="0" w:space="0" w:color="auto"/>
          </w:divBdr>
        </w:div>
        <w:div w:id="500314844">
          <w:marLeft w:val="640"/>
          <w:marRight w:val="0"/>
          <w:marTop w:val="0"/>
          <w:marBottom w:val="0"/>
          <w:divBdr>
            <w:top w:val="none" w:sz="0" w:space="0" w:color="auto"/>
            <w:left w:val="none" w:sz="0" w:space="0" w:color="auto"/>
            <w:bottom w:val="none" w:sz="0" w:space="0" w:color="auto"/>
            <w:right w:val="none" w:sz="0" w:space="0" w:color="auto"/>
          </w:divBdr>
        </w:div>
        <w:div w:id="1064453103">
          <w:marLeft w:val="640"/>
          <w:marRight w:val="0"/>
          <w:marTop w:val="0"/>
          <w:marBottom w:val="0"/>
          <w:divBdr>
            <w:top w:val="none" w:sz="0" w:space="0" w:color="auto"/>
            <w:left w:val="none" w:sz="0" w:space="0" w:color="auto"/>
            <w:bottom w:val="none" w:sz="0" w:space="0" w:color="auto"/>
            <w:right w:val="none" w:sz="0" w:space="0" w:color="auto"/>
          </w:divBdr>
        </w:div>
        <w:div w:id="1203787445">
          <w:marLeft w:val="640"/>
          <w:marRight w:val="0"/>
          <w:marTop w:val="0"/>
          <w:marBottom w:val="0"/>
          <w:divBdr>
            <w:top w:val="none" w:sz="0" w:space="0" w:color="auto"/>
            <w:left w:val="none" w:sz="0" w:space="0" w:color="auto"/>
            <w:bottom w:val="none" w:sz="0" w:space="0" w:color="auto"/>
            <w:right w:val="none" w:sz="0" w:space="0" w:color="auto"/>
          </w:divBdr>
        </w:div>
        <w:div w:id="291329673">
          <w:marLeft w:val="640"/>
          <w:marRight w:val="0"/>
          <w:marTop w:val="0"/>
          <w:marBottom w:val="0"/>
          <w:divBdr>
            <w:top w:val="none" w:sz="0" w:space="0" w:color="auto"/>
            <w:left w:val="none" w:sz="0" w:space="0" w:color="auto"/>
            <w:bottom w:val="none" w:sz="0" w:space="0" w:color="auto"/>
            <w:right w:val="none" w:sz="0" w:space="0" w:color="auto"/>
          </w:divBdr>
        </w:div>
        <w:div w:id="2042047813">
          <w:marLeft w:val="640"/>
          <w:marRight w:val="0"/>
          <w:marTop w:val="0"/>
          <w:marBottom w:val="0"/>
          <w:divBdr>
            <w:top w:val="none" w:sz="0" w:space="0" w:color="auto"/>
            <w:left w:val="none" w:sz="0" w:space="0" w:color="auto"/>
            <w:bottom w:val="none" w:sz="0" w:space="0" w:color="auto"/>
            <w:right w:val="none" w:sz="0" w:space="0" w:color="auto"/>
          </w:divBdr>
        </w:div>
        <w:div w:id="1358002148">
          <w:marLeft w:val="640"/>
          <w:marRight w:val="0"/>
          <w:marTop w:val="0"/>
          <w:marBottom w:val="0"/>
          <w:divBdr>
            <w:top w:val="none" w:sz="0" w:space="0" w:color="auto"/>
            <w:left w:val="none" w:sz="0" w:space="0" w:color="auto"/>
            <w:bottom w:val="none" w:sz="0" w:space="0" w:color="auto"/>
            <w:right w:val="none" w:sz="0" w:space="0" w:color="auto"/>
          </w:divBdr>
        </w:div>
        <w:div w:id="31655876">
          <w:marLeft w:val="640"/>
          <w:marRight w:val="0"/>
          <w:marTop w:val="0"/>
          <w:marBottom w:val="0"/>
          <w:divBdr>
            <w:top w:val="none" w:sz="0" w:space="0" w:color="auto"/>
            <w:left w:val="none" w:sz="0" w:space="0" w:color="auto"/>
            <w:bottom w:val="none" w:sz="0" w:space="0" w:color="auto"/>
            <w:right w:val="none" w:sz="0" w:space="0" w:color="auto"/>
          </w:divBdr>
        </w:div>
        <w:div w:id="1946115248">
          <w:marLeft w:val="640"/>
          <w:marRight w:val="0"/>
          <w:marTop w:val="0"/>
          <w:marBottom w:val="0"/>
          <w:divBdr>
            <w:top w:val="none" w:sz="0" w:space="0" w:color="auto"/>
            <w:left w:val="none" w:sz="0" w:space="0" w:color="auto"/>
            <w:bottom w:val="none" w:sz="0" w:space="0" w:color="auto"/>
            <w:right w:val="none" w:sz="0" w:space="0" w:color="auto"/>
          </w:divBdr>
        </w:div>
        <w:div w:id="1705708369">
          <w:marLeft w:val="640"/>
          <w:marRight w:val="0"/>
          <w:marTop w:val="0"/>
          <w:marBottom w:val="0"/>
          <w:divBdr>
            <w:top w:val="none" w:sz="0" w:space="0" w:color="auto"/>
            <w:left w:val="none" w:sz="0" w:space="0" w:color="auto"/>
            <w:bottom w:val="none" w:sz="0" w:space="0" w:color="auto"/>
            <w:right w:val="none" w:sz="0" w:space="0" w:color="auto"/>
          </w:divBdr>
        </w:div>
        <w:div w:id="772744806">
          <w:marLeft w:val="640"/>
          <w:marRight w:val="0"/>
          <w:marTop w:val="0"/>
          <w:marBottom w:val="0"/>
          <w:divBdr>
            <w:top w:val="none" w:sz="0" w:space="0" w:color="auto"/>
            <w:left w:val="none" w:sz="0" w:space="0" w:color="auto"/>
            <w:bottom w:val="none" w:sz="0" w:space="0" w:color="auto"/>
            <w:right w:val="none" w:sz="0" w:space="0" w:color="auto"/>
          </w:divBdr>
        </w:div>
        <w:div w:id="764115201">
          <w:marLeft w:val="640"/>
          <w:marRight w:val="0"/>
          <w:marTop w:val="0"/>
          <w:marBottom w:val="0"/>
          <w:divBdr>
            <w:top w:val="none" w:sz="0" w:space="0" w:color="auto"/>
            <w:left w:val="none" w:sz="0" w:space="0" w:color="auto"/>
            <w:bottom w:val="none" w:sz="0" w:space="0" w:color="auto"/>
            <w:right w:val="none" w:sz="0" w:space="0" w:color="auto"/>
          </w:divBdr>
        </w:div>
        <w:div w:id="1488979877">
          <w:marLeft w:val="640"/>
          <w:marRight w:val="0"/>
          <w:marTop w:val="0"/>
          <w:marBottom w:val="0"/>
          <w:divBdr>
            <w:top w:val="none" w:sz="0" w:space="0" w:color="auto"/>
            <w:left w:val="none" w:sz="0" w:space="0" w:color="auto"/>
            <w:bottom w:val="none" w:sz="0" w:space="0" w:color="auto"/>
            <w:right w:val="none" w:sz="0" w:space="0" w:color="auto"/>
          </w:divBdr>
        </w:div>
        <w:div w:id="1132141222">
          <w:marLeft w:val="640"/>
          <w:marRight w:val="0"/>
          <w:marTop w:val="0"/>
          <w:marBottom w:val="0"/>
          <w:divBdr>
            <w:top w:val="none" w:sz="0" w:space="0" w:color="auto"/>
            <w:left w:val="none" w:sz="0" w:space="0" w:color="auto"/>
            <w:bottom w:val="none" w:sz="0" w:space="0" w:color="auto"/>
            <w:right w:val="none" w:sz="0" w:space="0" w:color="auto"/>
          </w:divBdr>
        </w:div>
        <w:div w:id="1462729422">
          <w:marLeft w:val="640"/>
          <w:marRight w:val="0"/>
          <w:marTop w:val="0"/>
          <w:marBottom w:val="0"/>
          <w:divBdr>
            <w:top w:val="none" w:sz="0" w:space="0" w:color="auto"/>
            <w:left w:val="none" w:sz="0" w:space="0" w:color="auto"/>
            <w:bottom w:val="none" w:sz="0" w:space="0" w:color="auto"/>
            <w:right w:val="none" w:sz="0" w:space="0" w:color="auto"/>
          </w:divBdr>
        </w:div>
        <w:div w:id="1847283154">
          <w:marLeft w:val="640"/>
          <w:marRight w:val="0"/>
          <w:marTop w:val="0"/>
          <w:marBottom w:val="0"/>
          <w:divBdr>
            <w:top w:val="none" w:sz="0" w:space="0" w:color="auto"/>
            <w:left w:val="none" w:sz="0" w:space="0" w:color="auto"/>
            <w:bottom w:val="none" w:sz="0" w:space="0" w:color="auto"/>
            <w:right w:val="none" w:sz="0" w:space="0" w:color="auto"/>
          </w:divBdr>
        </w:div>
        <w:div w:id="571281039">
          <w:marLeft w:val="640"/>
          <w:marRight w:val="0"/>
          <w:marTop w:val="0"/>
          <w:marBottom w:val="0"/>
          <w:divBdr>
            <w:top w:val="none" w:sz="0" w:space="0" w:color="auto"/>
            <w:left w:val="none" w:sz="0" w:space="0" w:color="auto"/>
            <w:bottom w:val="none" w:sz="0" w:space="0" w:color="auto"/>
            <w:right w:val="none" w:sz="0" w:space="0" w:color="auto"/>
          </w:divBdr>
        </w:div>
        <w:div w:id="60565583">
          <w:marLeft w:val="640"/>
          <w:marRight w:val="0"/>
          <w:marTop w:val="0"/>
          <w:marBottom w:val="0"/>
          <w:divBdr>
            <w:top w:val="none" w:sz="0" w:space="0" w:color="auto"/>
            <w:left w:val="none" w:sz="0" w:space="0" w:color="auto"/>
            <w:bottom w:val="none" w:sz="0" w:space="0" w:color="auto"/>
            <w:right w:val="none" w:sz="0" w:space="0" w:color="auto"/>
          </w:divBdr>
        </w:div>
        <w:div w:id="1766417778">
          <w:marLeft w:val="640"/>
          <w:marRight w:val="0"/>
          <w:marTop w:val="0"/>
          <w:marBottom w:val="0"/>
          <w:divBdr>
            <w:top w:val="none" w:sz="0" w:space="0" w:color="auto"/>
            <w:left w:val="none" w:sz="0" w:space="0" w:color="auto"/>
            <w:bottom w:val="none" w:sz="0" w:space="0" w:color="auto"/>
            <w:right w:val="none" w:sz="0" w:space="0" w:color="auto"/>
          </w:divBdr>
        </w:div>
        <w:div w:id="1830905078">
          <w:marLeft w:val="640"/>
          <w:marRight w:val="0"/>
          <w:marTop w:val="0"/>
          <w:marBottom w:val="0"/>
          <w:divBdr>
            <w:top w:val="none" w:sz="0" w:space="0" w:color="auto"/>
            <w:left w:val="none" w:sz="0" w:space="0" w:color="auto"/>
            <w:bottom w:val="none" w:sz="0" w:space="0" w:color="auto"/>
            <w:right w:val="none" w:sz="0" w:space="0" w:color="auto"/>
          </w:divBdr>
        </w:div>
        <w:div w:id="1738897115">
          <w:marLeft w:val="640"/>
          <w:marRight w:val="0"/>
          <w:marTop w:val="0"/>
          <w:marBottom w:val="0"/>
          <w:divBdr>
            <w:top w:val="none" w:sz="0" w:space="0" w:color="auto"/>
            <w:left w:val="none" w:sz="0" w:space="0" w:color="auto"/>
            <w:bottom w:val="none" w:sz="0" w:space="0" w:color="auto"/>
            <w:right w:val="none" w:sz="0" w:space="0" w:color="auto"/>
          </w:divBdr>
        </w:div>
        <w:div w:id="1545871288">
          <w:marLeft w:val="640"/>
          <w:marRight w:val="0"/>
          <w:marTop w:val="0"/>
          <w:marBottom w:val="0"/>
          <w:divBdr>
            <w:top w:val="none" w:sz="0" w:space="0" w:color="auto"/>
            <w:left w:val="none" w:sz="0" w:space="0" w:color="auto"/>
            <w:bottom w:val="none" w:sz="0" w:space="0" w:color="auto"/>
            <w:right w:val="none" w:sz="0" w:space="0" w:color="auto"/>
          </w:divBdr>
        </w:div>
        <w:div w:id="1427537281">
          <w:marLeft w:val="640"/>
          <w:marRight w:val="0"/>
          <w:marTop w:val="0"/>
          <w:marBottom w:val="0"/>
          <w:divBdr>
            <w:top w:val="none" w:sz="0" w:space="0" w:color="auto"/>
            <w:left w:val="none" w:sz="0" w:space="0" w:color="auto"/>
            <w:bottom w:val="none" w:sz="0" w:space="0" w:color="auto"/>
            <w:right w:val="none" w:sz="0" w:space="0" w:color="auto"/>
          </w:divBdr>
        </w:div>
        <w:div w:id="2098671733">
          <w:marLeft w:val="640"/>
          <w:marRight w:val="0"/>
          <w:marTop w:val="0"/>
          <w:marBottom w:val="0"/>
          <w:divBdr>
            <w:top w:val="none" w:sz="0" w:space="0" w:color="auto"/>
            <w:left w:val="none" w:sz="0" w:space="0" w:color="auto"/>
            <w:bottom w:val="none" w:sz="0" w:space="0" w:color="auto"/>
            <w:right w:val="none" w:sz="0" w:space="0" w:color="auto"/>
          </w:divBdr>
        </w:div>
        <w:div w:id="124810286">
          <w:marLeft w:val="640"/>
          <w:marRight w:val="0"/>
          <w:marTop w:val="0"/>
          <w:marBottom w:val="0"/>
          <w:divBdr>
            <w:top w:val="none" w:sz="0" w:space="0" w:color="auto"/>
            <w:left w:val="none" w:sz="0" w:space="0" w:color="auto"/>
            <w:bottom w:val="none" w:sz="0" w:space="0" w:color="auto"/>
            <w:right w:val="none" w:sz="0" w:space="0" w:color="auto"/>
          </w:divBdr>
        </w:div>
        <w:div w:id="1182665718">
          <w:marLeft w:val="640"/>
          <w:marRight w:val="0"/>
          <w:marTop w:val="0"/>
          <w:marBottom w:val="0"/>
          <w:divBdr>
            <w:top w:val="none" w:sz="0" w:space="0" w:color="auto"/>
            <w:left w:val="none" w:sz="0" w:space="0" w:color="auto"/>
            <w:bottom w:val="none" w:sz="0" w:space="0" w:color="auto"/>
            <w:right w:val="none" w:sz="0" w:space="0" w:color="auto"/>
          </w:divBdr>
        </w:div>
        <w:div w:id="1712536690">
          <w:marLeft w:val="640"/>
          <w:marRight w:val="0"/>
          <w:marTop w:val="0"/>
          <w:marBottom w:val="0"/>
          <w:divBdr>
            <w:top w:val="none" w:sz="0" w:space="0" w:color="auto"/>
            <w:left w:val="none" w:sz="0" w:space="0" w:color="auto"/>
            <w:bottom w:val="none" w:sz="0" w:space="0" w:color="auto"/>
            <w:right w:val="none" w:sz="0" w:space="0" w:color="auto"/>
          </w:divBdr>
        </w:div>
        <w:div w:id="1943608928">
          <w:marLeft w:val="640"/>
          <w:marRight w:val="0"/>
          <w:marTop w:val="0"/>
          <w:marBottom w:val="0"/>
          <w:divBdr>
            <w:top w:val="none" w:sz="0" w:space="0" w:color="auto"/>
            <w:left w:val="none" w:sz="0" w:space="0" w:color="auto"/>
            <w:bottom w:val="none" w:sz="0" w:space="0" w:color="auto"/>
            <w:right w:val="none" w:sz="0" w:space="0" w:color="auto"/>
          </w:divBdr>
        </w:div>
        <w:div w:id="1539312703">
          <w:marLeft w:val="640"/>
          <w:marRight w:val="0"/>
          <w:marTop w:val="0"/>
          <w:marBottom w:val="0"/>
          <w:divBdr>
            <w:top w:val="none" w:sz="0" w:space="0" w:color="auto"/>
            <w:left w:val="none" w:sz="0" w:space="0" w:color="auto"/>
            <w:bottom w:val="none" w:sz="0" w:space="0" w:color="auto"/>
            <w:right w:val="none" w:sz="0" w:space="0" w:color="auto"/>
          </w:divBdr>
        </w:div>
        <w:div w:id="1480727862">
          <w:marLeft w:val="640"/>
          <w:marRight w:val="0"/>
          <w:marTop w:val="0"/>
          <w:marBottom w:val="0"/>
          <w:divBdr>
            <w:top w:val="none" w:sz="0" w:space="0" w:color="auto"/>
            <w:left w:val="none" w:sz="0" w:space="0" w:color="auto"/>
            <w:bottom w:val="none" w:sz="0" w:space="0" w:color="auto"/>
            <w:right w:val="none" w:sz="0" w:space="0" w:color="auto"/>
          </w:divBdr>
        </w:div>
        <w:div w:id="705105194">
          <w:marLeft w:val="640"/>
          <w:marRight w:val="0"/>
          <w:marTop w:val="0"/>
          <w:marBottom w:val="0"/>
          <w:divBdr>
            <w:top w:val="none" w:sz="0" w:space="0" w:color="auto"/>
            <w:left w:val="none" w:sz="0" w:space="0" w:color="auto"/>
            <w:bottom w:val="none" w:sz="0" w:space="0" w:color="auto"/>
            <w:right w:val="none" w:sz="0" w:space="0" w:color="auto"/>
          </w:divBdr>
        </w:div>
        <w:div w:id="433480006">
          <w:marLeft w:val="640"/>
          <w:marRight w:val="0"/>
          <w:marTop w:val="0"/>
          <w:marBottom w:val="0"/>
          <w:divBdr>
            <w:top w:val="none" w:sz="0" w:space="0" w:color="auto"/>
            <w:left w:val="none" w:sz="0" w:space="0" w:color="auto"/>
            <w:bottom w:val="none" w:sz="0" w:space="0" w:color="auto"/>
            <w:right w:val="none" w:sz="0" w:space="0" w:color="auto"/>
          </w:divBdr>
        </w:div>
        <w:div w:id="1637443588">
          <w:marLeft w:val="640"/>
          <w:marRight w:val="0"/>
          <w:marTop w:val="0"/>
          <w:marBottom w:val="0"/>
          <w:divBdr>
            <w:top w:val="none" w:sz="0" w:space="0" w:color="auto"/>
            <w:left w:val="none" w:sz="0" w:space="0" w:color="auto"/>
            <w:bottom w:val="none" w:sz="0" w:space="0" w:color="auto"/>
            <w:right w:val="none" w:sz="0" w:space="0" w:color="auto"/>
          </w:divBdr>
        </w:div>
        <w:div w:id="442305913">
          <w:marLeft w:val="640"/>
          <w:marRight w:val="0"/>
          <w:marTop w:val="0"/>
          <w:marBottom w:val="0"/>
          <w:divBdr>
            <w:top w:val="none" w:sz="0" w:space="0" w:color="auto"/>
            <w:left w:val="none" w:sz="0" w:space="0" w:color="auto"/>
            <w:bottom w:val="none" w:sz="0" w:space="0" w:color="auto"/>
            <w:right w:val="none" w:sz="0" w:space="0" w:color="auto"/>
          </w:divBdr>
        </w:div>
        <w:div w:id="1887251392">
          <w:marLeft w:val="640"/>
          <w:marRight w:val="0"/>
          <w:marTop w:val="0"/>
          <w:marBottom w:val="0"/>
          <w:divBdr>
            <w:top w:val="none" w:sz="0" w:space="0" w:color="auto"/>
            <w:left w:val="none" w:sz="0" w:space="0" w:color="auto"/>
            <w:bottom w:val="none" w:sz="0" w:space="0" w:color="auto"/>
            <w:right w:val="none" w:sz="0" w:space="0" w:color="auto"/>
          </w:divBdr>
        </w:div>
        <w:div w:id="7366625">
          <w:marLeft w:val="640"/>
          <w:marRight w:val="0"/>
          <w:marTop w:val="0"/>
          <w:marBottom w:val="0"/>
          <w:divBdr>
            <w:top w:val="none" w:sz="0" w:space="0" w:color="auto"/>
            <w:left w:val="none" w:sz="0" w:space="0" w:color="auto"/>
            <w:bottom w:val="none" w:sz="0" w:space="0" w:color="auto"/>
            <w:right w:val="none" w:sz="0" w:space="0" w:color="auto"/>
          </w:divBdr>
        </w:div>
        <w:div w:id="1094126160">
          <w:marLeft w:val="640"/>
          <w:marRight w:val="0"/>
          <w:marTop w:val="0"/>
          <w:marBottom w:val="0"/>
          <w:divBdr>
            <w:top w:val="none" w:sz="0" w:space="0" w:color="auto"/>
            <w:left w:val="none" w:sz="0" w:space="0" w:color="auto"/>
            <w:bottom w:val="none" w:sz="0" w:space="0" w:color="auto"/>
            <w:right w:val="none" w:sz="0" w:space="0" w:color="auto"/>
          </w:divBdr>
        </w:div>
        <w:div w:id="844515509">
          <w:marLeft w:val="640"/>
          <w:marRight w:val="0"/>
          <w:marTop w:val="0"/>
          <w:marBottom w:val="0"/>
          <w:divBdr>
            <w:top w:val="none" w:sz="0" w:space="0" w:color="auto"/>
            <w:left w:val="none" w:sz="0" w:space="0" w:color="auto"/>
            <w:bottom w:val="none" w:sz="0" w:space="0" w:color="auto"/>
            <w:right w:val="none" w:sz="0" w:space="0" w:color="auto"/>
          </w:divBdr>
        </w:div>
        <w:div w:id="1970475013">
          <w:marLeft w:val="640"/>
          <w:marRight w:val="0"/>
          <w:marTop w:val="0"/>
          <w:marBottom w:val="0"/>
          <w:divBdr>
            <w:top w:val="none" w:sz="0" w:space="0" w:color="auto"/>
            <w:left w:val="none" w:sz="0" w:space="0" w:color="auto"/>
            <w:bottom w:val="none" w:sz="0" w:space="0" w:color="auto"/>
            <w:right w:val="none" w:sz="0" w:space="0" w:color="auto"/>
          </w:divBdr>
        </w:div>
        <w:div w:id="419374459">
          <w:marLeft w:val="640"/>
          <w:marRight w:val="0"/>
          <w:marTop w:val="0"/>
          <w:marBottom w:val="0"/>
          <w:divBdr>
            <w:top w:val="none" w:sz="0" w:space="0" w:color="auto"/>
            <w:left w:val="none" w:sz="0" w:space="0" w:color="auto"/>
            <w:bottom w:val="none" w:sz="0" w:space="0" w:color="auto"/>
            <w:right w:val="none" w:sz="0" w:space="0" w:color="auto"/>
          </w:divBdr>
        </w:div>
        <w:div w:id="2085452859">
          <w:marLeft w:val="640"/>
          <w:marRight w:val="0"/>
          <w:marTop w:val="0"/>
          <w:marBottom w:val="0"/>
          <w:divBdr>
            <w:top w:val="none" w:sz="0" w:space="0" w:color="auto"/>
            <w:left w:val="none" w:sz="0" w:space="0" w:color="auto"/>
            <w:bottom w:val="none" w:sz="0" w:space="0" w:color="auto"/>
            <w:right w:val="none" w:sz="0" w:space="0" w:color="auto"/>
          </w:divBdr>
        </w:div>
        <w:div w:id="42217217">
          <w:marLeft w:val="640"/>
          <w:marRight w:val="0"/>
          <w:marTop w:val="0"/>
          <w:marBottom w:val="0"/>
          <w:divBdr>
            <w:top w:val="none" w:sz="0" w:space="0" w:color="auto"/>
            <w:left w:val="none" w:sz="0" w:space="0" w:color="auto"/>
            <w:bottom w:val="none" w:sz="0" w:space="0" w:color="auto"/>
            <w:right w:val="none" w:sz="0" w:space="0" w:color="auto"/>
          </w:divBdr>
        </w:div>
        <w:div w:id="1465195760">
          <w:marLeft w:val="640"/>
          <w:marRight w:val="0"/>
          <w:marTop w:val="0"/>
          <w:marBottom w:val="0"/>
          <w:divBdr>
            <w:top w:val="none" w:sz="0" w:space="0" w:color="auto"/>
            <w:left w:val="none" w:sz="0" w:space="0" w:color="auto"/>
            <w:bottom w:val="none" w:sz="0" w:space="0" w:color="auto"/>
            <w:right w:val="none" w:sz="0" w:space="0" w:color="auto"/>
          </w:divBdr>
        </w:div>
        <w:div w:id="1120882956">
          <w:marLeft w:val="640"/>
          <w:marRight w:val="0"/>
          <w:marTop w:val="0"/>
          <w:marBottom w:val="0"/>
          <w:divBdr>
            <w:top w:val="none" w:sz="0" w:space="0" w:color="auto"/>
            <w:left w:val="none" w:sz="0" w:space="0" w:color="auto"/>
            <w:bottom w:val="none" w:sz="0" w:space="0" w:color="auto"/>
            <w:right w:val="none" w:sz="0" w:space="0" w:color="auto"/>
          </w:divBdr>
        </w:div>
        <w:div w:id="1566063924">
          <w:marLeft w:val="640"/>
          <w:marRight w:val="0"/>
          <w:marTop w:val="0"/>
          <w:marBottom w:val="0"/>
          <w:divBdr>
            <w:top w:val="none" w:sz="0" w:space="0" w:color="auto"/>
            <w:left w:val="none" w:sz="0" w:space="0" w:color="auto"/>
            <w:bottom w:val="none" w:sz="0" w:space="0" w:color="auto"/>
            <w:right w:val="none" w:sz="0" w:space="0" w:color="auto"/>
          </w:divBdr>
        </w:div>
        <w:div w:id="31006650">
          <w:marLeft w:val="640"/>
          <w:marRight w:val="0"/>
          <w:marTop w:val="0"/>
          <w:marBottom w:val="0"/>
          <w:divBdr>
            <w:top w:val="none" w:sz="0" w:space="0" w:color="auto"/>
            <w:left w:val="none" w:sz="0" w:space="0" w:color="auto"/>
            <w:bottom w:val="none" w:sz="0" w:space="0" w:color="auto"/>
            <w:right w:val="none" w:sz="0" w:space="0" w:color="auto"/>
          </w:divBdr>
        </w:div>
        <w:div w:id="764500026">
          <w:marLeft w:val="640"/>
          <w:marRight w:val="0"/>
          <w:marTop w:val="0"/>
          <w:marBottom w:val="0"/>
          <w:divBdr>
            <w:top w:val="none" w:sz="0" w:space="0" w:color="auto"/>
            <w:left w:val="none" w:sz="0" w:space="0" w:color="auto"/>
            <w:bottom w:val="none" w:sz="0" w:space="0" w:color="auto"/>
            <w:right w:val="none" w:sz="0" w:space="0" w:color="auto"/>
          </w:divBdr>
        </w:div>
        <w:div w:id="1417241508">
          <w:marLeft w:val="640"/>
          <w:marRight w:val="0"/>
          <w:marTop w:val="0"/>
          <w:marBottom w:val="0"/>
          <w:divBdr>
            <w:top w:val="none" w:sz="0" w:space="0" w:color="auto"/>
            <w:left w:val="none" w:sz="0" w:space="0" w:color="auto"/>
            <w:bottom w:val="none" w:sz="0" w:space="0" w:color="auto"/>
            <w:right w:val="none" w:sz="0" w:space="0" w:color="auto"/>
          </w:divBdr>
        </w:div>
        <w:div w:id="1058162035">
          <w:marLeft w:val="640"/>
          <w:marRight w:val="0"/>
          <w:marTop w:val="0"/>
          <w:marBottom w:val="0"/>
          <w:divBdr>
            <w:top w:val="none" w:sz="0" w:space="0" w:color="auto"/>
            <w:left w:val="none" w:sz="0" w:space="0" w:color="auto"/>
            <w:bottom w:val="none" w:sz="0" w:space="0" w:color="auto"/>
            <w:right w:val="none" w:sz="0" w:space="0" w:color="auto"/>
          </w:divBdr>
        </w:div>
        <w:div w:id="1511481994">
          <w:marLeft w:val="640"/>
          <w:marRight w:val="0"/>
          <w:marTop w:val="0"/>
          <w:marBottom w:val="0"/>
          <w:divBdr>
            <w:top w:val="none" w:sz="0" w:space="0" w:color="auto"/>
            <w:left w:val="none" w:sz="0" w:space="0" w:color="auto"/>
            <w:bottom w:val="none" w:sz="0" w:space="0" w:color="auto"/>
            <w:right w:val="none" w:sz="0" w:space="0" w:color="auto"/>
          </w:divBdr>
        </w:div>
        <w:div w:id="1974632318">
          <w:marLeft w:val="640"/>
          <w:marRight w:val="0"/>
          <w:marTop w:val="0"/>
          <w:marBottom w:val="0"/>
          <w:divBdr>
            <w:top w:val="none" w:sz="0" w:space="0" w:color="auto"/>
            <w:left w:val="none" w:sz="0" w:space="0" w:color="auto"/>
            <w:bottom w:val="none" w:sz="0" w:space="0" w:color="auto"/>
            <w:right w:val="none" w:sz="0" w:space="0" w:color="auto"/>
          </w:divBdr>
        </w:div>
        <w:div w:id="875970423">
          <w:marLeft w:val="640"/>
          <w:marRight w:val="0"/>
          <w:marTop w:val="0"/>
          <w:marBottom w:val="0"/>
          <w:divBdr>
            <w:top w:val="none" w:sz="0" w:space="0" w:color="auto"/>
            <w:left w:val="none" w:sz="0" w:space="0" w:color="auto"/>
            <w:bottom w:val="none" w:sz="0" w:space="0" w:color="auto"/>
            <w:right w:val="none" w:sz="0" w:space="0" w:color="auto"/>
          </w:divBdr>
        </w:div>
        <w:div w:id="1595505481">
          <w:marLeft w:val="640"/>
          <w:marRight w:val="0"/>
          <w:marTop w:val="0"/>
          <w:marBottom w:val="0"/>
          <w:divBdr>
            <w:top w:val="none" w:sz="0" w:space="0" w:color="auto"/>
            <w:left w:val="none" w:sz="0" w:space="0" w:color="auto"/>
            <w:bottom w:val="none" w:sz="0" w:space="0" w:color="auto"/>
            <w:right w:val="none" w:sz="0" w:space="0" w:color="auto"/>
          </w:divBdr>
        </w:div>
        <w:div w:id="1462306268">
          <w:marLeft w:val="640"/>
          <w:marRight w:val="0"/>
          <w:marTop w:val="0"/>
          <w:marBottom w:val="0"/>
          <w:divBdr>
            <w:top w:val="none" w:sz="0" w:space="0" w:color="auto"/>
            <w:left w:val="none" w:sz="0" w:space="0" w:color="auto"/>
            <w:bottom w:val="none" w:sz="0" w:space="0" w:color="auto"/>
            <w:right w:val="none" w:sz="0" w:space="0" w:color="auto"/>
          </w:divBdr>
        </w:div>
        <w:div w:id="1353801528">
          <w:marLeft w:val="640"/>
          <w:marRight w:val="0"/>
          <w:marTop w:val="0"/>
          <w:marBottom w:val="0"/>
          <w:divBdr>
            <w:top w:val="none" w:sz="0" w:space="0" w:color="auto"/>
            <w:left w:val="none" w:sz="0" w:space="0" w:color="auto"/>
            <w:bottom w:val="none" w:sz="0" w:space="0" w:color="auto"/>
            <w:right w:val="none" w:sz="0" w:space="0" w:color="auto"/>
          </w:divBdr>
        </w:div>
        <w:div w:id="160588730">
          <w:marLeft w:val="640"/>
          <w:marRight w:val="0"/>
          <w:marTop w:val="0"/>
          <w:marBottom w:val="0"/>
          <w:divBdr>
            <w:top w:val="none" w:sz="0" w:space="0" w:color="auto"/>
            <w:left w:val="none" w:sz="0" w:space="0" w:color="auto"/>
            <w:bottom w:val="none" w:sz="0" w:space="0" w:color="auto"/>
            <w:right w:val="none" w:sz="0" w:space="0" w:color="auto"/>
          </w:divBdr>
        </w:div>
        <w:div w:id="2083871462">
          <w:marLeft w:val="640"/>
          <w:marRight w:val="0"/>
          <w:marTop w:val="0"/>
          <w:marBottom w:val="0"/>
          <w:divBdr>
            <w:top w:val="none" w:sz="0" w:space="0" w:color="auto"/>
            <w:left w:val="none" w:sz="0" w:space="0" w:color="auto"/>
            <w:bottom w:val="none" w:sz="0" w:space="0" w:color="auto"/>
            <w:right w:val="none" w:sz="0" w:space="0" w:color="auto"/>
          </w:divBdr>
        </w:div>
        <w:div w:id="1018699348">
          <w:marLeft w:val="640"/>
          <w:marRight w:val="0"/>
          <w:marTop w:val="0"/>
          <w:marBottom w:val="0"/>
          <w:divBdr>
            <w:top w:val="none" w:sz="0" w:space="0" w:color="auto"/>
            <w:left w:val="none" w:sz="0" w:space="0" w:color="auto"/>
            <w:bottom w:val="none" w:sz="0" w:space="0" w:color="auto"/>
            <w:right w:val="none" w:sz="0" w:space="0" w:color="auto"/>
          </w:divBdr>
        </w:div>
        <w:div w:id="400644243">
          <w:marLeft w:val="640"/>
          <w:marRight w:val="0"/>
          <w:marTop w:val="0"/>
          <w:marBottom w:val="0"/>
          <w:divBdr>
            <w:top w:val="none" w:sz="0" w:space="0" w:color="auto"/>
            <w:left w:val="none" w:sz="0" w:space="0" w:color="auto"/>
            <w:bottom w:val="none" w:sz="0" w:space="0" w:color="auto"/>
            <w:right w:val="none" w:sz="0" w:space="0" w:color="auto"/>
          </w:divBdr>
        </w:div>
        <w:div w:id="835196144">
          <w:marLeft w:val="640"/>
          <w:marRight w:val="0"/>
          <w:marTop w:val="0"/>
          <w:marBottom w:val="0"/>
          <w:divBdr>
            <w:top w:val="none" w:sz="0" w:space="0" w:color="auto"/>
            <w:left w:val="none" w:sz="0" w:space="0" w:color="auto"/>
            <w:bottom w:val="none" w:sz="0" w:space="0" w:color="auto"/>
            <w:right w:val="none" w:sz="0" w:space="0" w:color="auto"/>
          </w:divBdr>
        </w:div>
        <w:div w:id="1040740965">
          <w:marLeft w:val="640"/>
          <w:marRight w:val="0"/>
          <w:marTop w:val="0"/>
          <w:marBottom w:val="0"/>
          <w:divBdr>
            <w:top w:val="none" w:sz="0" w:space="0" w:color="auto"/>
            <w:left w:val="none" w:sz="0" w:space="0" w:color="auto"/>
            <w:bottom w:val="none" w:sz="0" w:space="0" w:color="auto"/>
            <w:right w:val="none" w:sz="0" w:space="0" w:color="auto"/>
          </w:divBdr>
        </w:div>
        <w:div w:id="1140617109">
          <w:marLeft w:val="640"/>
          <w:marRight w:val="0"/>
          <w:marTop w:val="0"/>
          <w:marBottom w:val="0"/>
          <w:divBdr>
            <w:top w:val="none" w:sz="0" w:space="0" w:color="auto"/>
            <w:left w:val="none" w:sz="0" w:space="0" w:color="auto"/>
            <w:bottom w:val="none" w:sz="0" w:space="0" w:color="auto"/>
            <w:right w:val="none" w:sz="0" w:space="0" w:color="auto"/>
          </w:divBdr>
        </w:div>
        <w:div w:id="1308630378">
          <w:marLeft w:val="640"/>
          <w:marRight w:val="0"/>
          <w:marTop w:val="0"/>
          <w:marBottom w:val="0"/>
          <w:divBdr>
            <w:top w:val="none" w:sz="0" w:space="0" w:color="auto"/>
            <w:left w:val="none" w:sz="0" w:space="0" w:color="auto"/>
            <w:bottom w:val="none" w:sz="0" w:space="0" w:color="auto"/>
            <w:right w:val="none" w:sz="0" w:space="0" w:color="auto"/>
          </w:divBdr>
        </w:div>
        <w:div w:id="193737228">
          <w:marLeft w:val="640"/>
          <w:marRight w:val="0"/>
          <w:marTop w:val="0"/>
          <w:marBottom w:val="0"/>
          <w:divBdr>
            <w:top w:val="none" w:sz="0" w:space="0" w:color="auto"/>
            <w:left w:val="none" w:sz="0" w:space="0" w:color="auto"/>
            <w:bottom w:val="none" w:sz="0" w:space="0" w:color="auto"/>
            <w:right w:val="none" w:sz="0" w:space="0" w:color="auto"/>
          </w:divBdr>
        </w:div>
        <w:div w:id="505024618">
          <w:marLeft w:val="640"/>
          <w:marRight w:val="0"/>
          <w:marTop w:val="0"/>
          <w:marBottom w:val="0"/>
          <w:divBdr>
            <w:top w:val="none" w:sz="0" w:space="0" w:color="auto"/>
            <w:left w:val="none" w:sz="0" w:space="0" w:color="auto"/>
            <w:bottom w:val="none" w:sz="0" w:space="0" w:color="auto"/>
            <w:right w:val="none" w:sz="0" w:space="0" w:color="auto"/>
          </w:divBdr>
        </w:div>
        <w:div w:id="1200243529">
          <w:marLeft w:val="640"/>
          <w:marRight w:val="0"/>
          <w:marTop w:val="0"/>
          <w:marBottom w:val="0"/>
          <w:divBdr>
            <w:top w:val="none" w:sz="0" w:space="0" w:color="auto"/>
            <w:left w:val="none" w:sz="0" w:space="0" w:color="auto"/>
            <w:bottom w:val="none" w:sz="0" w:space="0" w:color="auto"/>
            <w:right w:val="none" w:sz="0" w:space="0" w:color="auto"/>
          </w:divBdr>
        </w:div>
        <w:div w:id="1574855453">
          <w:marLeft w:val="640"/>
          <w:marRight w:val="0"/>
          <w:marTop w:val="0"/>
          <w:marBottom w:val="0"/>
          <w:divBdr>
            <w:top w:val="none" w:sz="0" w:space="0" w:color="auto"/>
            <w:left w:val="none" w:sz="0" w:space="0" w:color="auto"/>
            <w:bottom w:val="none" w:sz="0" w:space="0" w:color="auto"/>
            <w:right w:val="none" w:sz="0" w:space="0" w:color="auto"/>
          </w:divBdr>
        </w:div>
        <w:div w:id="2082948051">
          <w:marLeft w:val="640"/>
          <w:marRight w:val="0"/>
          <w:marTop w:val="0"/>
          <w:marBottom w:val="0"/>
          <w:divBdr>
            <w:top w:val="none" w:sz="0" w:space="0" w:color="auto"/>
            <w:left w:val="none" w:sz="0" w:space="0" w:color="auto"/>
            <w:bottom w:val="none" w:sz="0" w:space="0" w:color="auto"/>
            <w:right w:val="none" w:sz="0" w:space="0" w:color="auto"/>
          </w:divBdr>
        </w:div>
        <w:div w:id="183905353">
          <w:marLeft w:val="640"/>
          <w:marRight w:val="0"/>
          <w:marTop w:val="0"/>
          <w:marBottom w:val="0"/>
          <w:divBdr>
            <w:top w:val="none" w:sz="0" w:space="0" w:color="auto"/>
            <w:left w:val="none" w:sz="0" w:space="0" w:color="auto"/>
            <w:bottom w:val="none" w:sz="0" w:space="0" w:color="auto"/>
            <w:right w:val="none" w:sz="0" w:space="0" w:color="auto"/>
          </w:divBdr>
        </w:div>
        <w:div w:id="2127773721">
          <w:marLeft w:val="640"/>
          <w:marRight w:val="0"/>
          <w:marTop w:val="0"/>
          <w:marBottom w:val="0"/>
          <w:divBdr>
            <w:top w:val="none" w:sz="0" w:space="0" w:color="auto"/>
            <w:left w:val="none" w:sz="0" w:space="0" w:color="auto"/>
            <w:bottom w:val="none" w:sz="0" w:space="0" w:color="auto"/>
            <w:right w:val="none" w:sz="0" w:space="0" w:color="auto"/>
          </w:divBdr>
        </w:div>
        <w:div w:id="257754402">
          <w:marLeft w:val="640"/>
          <w:marRight w:val="0"/>
          <w:marTop w:val="0"/>
          <w:marBottom w:val="0"/>
          <w:divBdr>
            <w:top w:val="none" w:sz="0" w:space="0" w:color="auto"/>
            <w:left w:val="none" w:sz="0" w:space="0" w:color="auto"/>
            <w:bottom w:val="none" w:sz="0" w:space="0" w:color="auto"/>
            <w:right w:val="none" w:sz="0" w:space="0" w:color="auto"/>
          </w:divBdr>
        </w:div>
        <w:div w:id="2127115043">
          <w:marLeft w:val="640"/>
          <w:marRight w:val="0"/>
          <w:marTop w:val="0"/>
          <w:marBottom w:val="0"/>
          <w:divBdr>
            <w:top w:val="none" w:sz="0" w:space="0" w:color="auto"/>
            <w:left w:val="none" w:sz="0" w:space="0" w:color="auto"/>
            <w:bottom w:val="none" w:sz="0" w:space="0" w:color="auto"/>
            <w:right w:val="none" w:sz="0" w:space="0" w:color="auto"/>
          </w:divBdr>
        </w:div>
        <w:div w:id="1653439362">
          <w:marLeft w:val="640"/>
          <w:marRight w:val="0"/>
          <w:marTop w:val="0"/>
          <w:marBottom w:val="0"/>
          <w:divBdr>
            <w:top w:val="none" w:sz="0" w:space="0" w:color="auto"/>
            <w:left w:val="none" w:sz="0" w:space="0" w:color="auto"/>
            <w:bottom w:val="none" w:sz="0" w:space="0" w:color="auto"/>
            <w:right w:val="none" w:sz="0" w:space="0" w:color="auto"/>
          </w:divBdr>
        </w:div>
        <w:div w:id="1585531958">
          <w:marLeft w:val="640"/>
          <w:marRight w:val="0"/>
          <w:marTop w:val="0"/>
          <w:marBottom w:val="0"/>
          <w:divBdr>
            <w:top w:val="none" w:sz="0" w:space="0" w:color="auto"/>
            <w:left w:val="none" w:sz="0" w:space="0" w:color="auto"/>
            <w:bottom w:val="none" w:sz="0" w:space="0" w:color="auto"/>
            <w:right w:val="none" w:sz="0" w:space="0" w:color="auto"/>
          </w:divBdr>
        </w:div>
        <w:div w:id="1282806057">
          <w:marLeft w:val="640"/>
          <w:marRight w:val="0"/>
          <w:marTop w:val="0"/>
          <w:marBottom w:val="0"/>
          <w:divBdr>
            <w:top w:val="none" w:sz="0" w:space="0" w:color="auto"/>
            <w:left w:val="none" w:sz="0" w:space="0" w:color="auto"/>
            <w:bottom w:val="none" w:sz="0" w:space="0" w:color="auto"/>
            <w:right w:val="none" w:sz="0" w:space="0" w:color="auto"/>
          </w:divBdr>
        </w:div>
        <w:div w:id="1332097270">
          <w:marLeft w:val="640"/>
          <w:marRight w:val="0"/>
          <w:marTop w:val="0"/>
          <w:marBottom w:val="0"/>
          <w:divBdr>
            <w:top w:val="none" w:sz="0" w:space="0" w:color="auto"/>
            <w:left w:val="none" w:sz="0" w:space="0" w:color="auto"/>
            <w:bottom w:val="none" w:sz="0" w:space="0" w:color="auto"/>
            <w:right w:val="none" w:sz="0" w:space="0" w:color="auto"/>
          </w:divBdr>
        </w:div>
        <w:div w:id="1753818150">
          <w:marLeft w:val="640"/>
          <w:marRight w:val="0"/>
          <w:marTop w:val="0"/>
          <w:marBottom w:val="0"/>
          <w:divBdr>
            <w:top w:val="none" w:sz="0" w:space="0" w:color="auto"/>
            <w:left w:val="none" w:sz="0" w:space="0" w:color="auto"/>
            <w:bottom w:val="none" w:sz="0" w:space="0" w:color="auto"/>
            <w:right w:val="none" w:sz="0" w:space="0" w:color="auto"/>
          </w:divBdr>
        </w:div>
        <w:div w:id="1707758083">
          <w:marLeft w:val="640"/>
          <w:marRight w:val="0"/>
          <w:marTop w:val="0"/>
          <w:marBottom w:val="0"/>
          <w:divBdr>
            <w:top w:val="none" w:sz="0" w:space="0" w:color="auto"/>
            <w:left w:val="none" w:sz="0" w:space="0" w:color="auto"/>
            <w:bottom w:val="none" w:sz="0" w:space="0" w:color="auto"/>
            <w:right w:val="none" w:sz="0" w:space="0" w:color="auto"/>
          </w:divBdr>
        </w:div>
        <w:div w:id="1736319497">
          <w:marLeft w:val="640"/>
          <w:marRight w:val="0"/>
          <w:marTop w:val="0"/>
          <w:marBottom w:val="0"/>
          <w:divBdr>
            <w:top w:val="none" w:sz="0" w:space="0" w:color="auto"/>
            <w:left w:val="none" w:sz="0" w:space="0" w:color="auto"/>
            <w:bottom w:val="none" w:sz="0" w:space="0" w:color="auto"/>
            <w:right w:val="none" w:sz="0" w:space="0" w:color="auto"/>
          </w:divBdr>
        </w:div>
        <w:div w:id="1447384432">
          <w:marLeft w:val="640"/>
          <w:marRight w:val="0"/>
          <w:marTop w:val="0"/>
          <w:marBottom w:val="0"/>
          <w:divBdr>
            <w:top w:val="none" w:sz="0" w:space="0" w:color="auto"/>
            <w:left w:val="none" w:sz="0" w:space="0" w:color="auto"/>
            <w:bottom w:val="none" w:sz="0" w:space="0" w:color="auto"/>
            <w:right w:val="none" w:sz="0" w:space="0" w:color="auto"/>
          </w:divBdr>
        </w:div>
        <w:div w:id="1576821691">
          <w:marLeft w:val="640"/>
          <w:marRight w:val="0"/>
          <w:marTop w:val="0"/>
          <w:marBottom w:val="0"/>
          <w:divBdr>
            <w:top w:val="none" w:sz="0" w:space="0" w:color="auto"/>
            <w:left w:val="none" w:sz="0" w:space="0" w:color="auto"/>
            <w:bottom w:val="none" w:sz="0" w:space="0" w:color="auto"/>
            <w:right w:val="none" w:sz="0" w:space="0" w:color="auto"/>
          </w:divBdr>
        </w:div>
        <w:div w:id="836573343">
          <w:marLeft w:val="640"/>
          <w:marRight w:val="0"/>
          <w:marTop w:val="0"/>
          <w:marBottom w:val="0"/>
          <w:divBdr>
            <w:top w:val="none" w:sz="0" w:space="0" w:color="auto"/>
            <w:left w:val="none" w:sz="0" w:space="0" w:color="auto"/>
            <w:bottom w:val="none" w:sz="0" w:space="0" w:color="auto"/>
            <w:right w:val="none" w:sz="0" w:space="0" w:color="auto"/>
          </w:divBdr>
        </w:div>
        <w:div w:id="455680574">
          <w:marLeft w:val="640"/>
          <w:marRight w:val="0"/>
          <w:marTop w:val="0"/>
          <w:marBottom w:val="0"/>
          <w:divBdr>
            <w:top w:val="none" w:sz="0" w:space="0" w:color="auto"/>
            <w:left w:val="none" w:sz="0" w:space="0" w:color="auto"/>
            <w:bottom w:val="none" w:sz="0" w:space="0" w:color="auto"/>
            <w:right w:val="none" w:sz="0" w:space="0" w:color="auto"/>
          </w:divBdr>
        </w:div>
        <w:div w:id="914513567">
          <w:marLeft w:val="640"/>
          <w:marRight w:val="0"/>
          <w:marTop w:val="0"/>
          <w:marBottom w:val="0"/>
          <w:divBdr>
            <w:top w:val="none" w:sz="0" w:space="0" w:color="auto"/>
            <w:left w:val="none" w:sz="0" w:space="0" w:color="auto"/>
            <w:bottom w:val="none" w:sz="0" w:space="0" w:color="auto"/>
            <w:right w:val="none" w:sz="0" w:space="0" w:color="auto"/>
          </w:divBdr>
        </w:div>
        <w:div w:id="264190210">
          <w:marLeft w:val="640"/>
          <w:marRight w:val="0"/>
          <w:marTop w:val="0"/>
          <w:marBottom w:val="0"/>
          <w:divBdr>
            <w:top w:val="none" w:sz="0" w:space="0" w:color="auto"/>
            <w:left w:val="none" w:sz="0" w:space="0" w:color="auto"/>
            <w:bottom w:val="none" w:sz="0" w:space="0" w:color="auto"/>
            <w:right w:val="none" w:sz="0" w:space="0" w:color="auto"/>
          </w:divBdr>
        </w:div>
        <w:div w:id="214589507">
          <w:marLeft w:val="640"/>
          <w:marRight w:val="0"/>
          <w:marTop w:val="0"/>
          <w:marBottom w:val="0"/>
          <w:divBdr>
            <w:top w:val="none" w:sz="0" w:space="0" w:color="auto"/>
            <w:left w:val="none" w:sz="0" w:space="0" w:color="auto"/>
            <w:bottom w:val="none" w:sz="0" w:space="0" w:color="auto"/>
            <w:right w:val="none" w:sz="0" w:space="0" w:color="auto"/>
          </w:divBdr>
        </w:div>
        <w:div w:id="170723231">
          <w:marLeft w:val="640"/>
          <w:marRight w:val="0"/>
          <w:marTop w:val="0"/>
          <w:marBottom w:val="0"/>
          <w:divBdr>
            <w:top w:val="none" w:sz="0" w:space="0" w:color="auto"/>
            <w:left w:val="none" w:sz="0" w:space="0" w:color="auto"/>
            <w:bottom w:val="none" w:sz="0" w:space="0" w:color="auto"/>
            <w:right w:val="none" w:sz="0" w:space="0" w:color="auto"/>
          </w:divBdr>
        </w:div>
        <w:div w:id="1460415030">
          <w:marLeft w:val="640"/>
          <w:marRight w:val="0"/>
          <w:marTop w:val="0"/>
          <w:marBottom w:val="0"/>
          <w:divBdr>
            <w:top w:val="none" w:sz="0" w:space="0" w:color="auto"/>
            <w:left w:val="none" w:sz="0" w:space="0" w:color="auto"/>
            <w:bottom w:val="none" w:sz="0" w:space="0" w:color="auto"/>
            <w:right w:val="none" w:sz="0" w:space="0" w:color="auto"/>
          </w:divBdr>
        </w:div>
        <w:div w:id="6518659">
          <w:marLeft w:val="640"/>
          <w:marRight w:val="0"/>
          <w:marTop w:val="0"/>
          <w:marBottom w:val="0"/>
          <w:divBdr>
            <w:top w:val="none" w:sz="0" w:space="0" w:color="auto"/>
            <w:left w:val="none" w:sz="0" w:space="0" w:color="auto"/>
            <w:bottom w:val="none" w:sz="0" w:space="0" w:color="auto"/>
            <w:right w:val="none" w:sz="0" w:space="0" w:color="auto"/>
          </w:divBdr>
        </w:div>
        <w:div w:id="2142074006">
          <w:marLeft w:val="640"/>
          <w:marRight w:val="0"/>
          <w:marTop w:val="0"/>
          <w:marBottom w:val="0"/>
          <w:divBdr>
            <w:top w:val="none" w:sz="0" w:space="0" w:color="auto"/>
            <w:left w:val="none" w:sz="0" w:space="0" w:color="auto"/>
            <w:bottom w:val="none" w:sz="0" w:space="0" w:color="auto"/>
            <w:right w:val="none" w:sz="0" w:space="0" w:color="auto"/>
          </w:divBdr>
        </w:div>
        <w:div w:id="1355616076">
          <w:marLeft w:val="640"/>
          <w:marRight w:val="0"/>
          <w:marTop w:val="0"/>
          <w:marBottom w:val="0"/>
          <w:divBdr>
            <w:top w:val="none" w:sz="0" w:space="0" w:color="auto"/>
            <w:left w:val="none" w:sz="0" w:space="0" w:color="auto"/>
            <w:bottom w:val="none" w:sz="0" w:space="0" w:color="auto"/>
            <w:right w:val="none" w:sz="0" w:space="0" w:color="auto"/>
          </w:divBdr>
        </w:div>
        <w:div w:id="1467773664">
          <w:marLeft w:val="640"/>
          <w:marRight w:val="0"/>
          <w:marTop w:val="0"/>
          <w:marBottom w:val="0"/>
          <w:divBdr>
            <w:top w:val="none" w:sz="0" w:space="0" w:color="auto"/>
            <w:left w:val="none" w:sz="0" w:space="0" w:color="auto"/>
            <w:bottom w:val="none" w:sz="0" w:space="0" w:color="auto"/>
            <w:right w:val="none" w:sz="0" w:space="0" w:color="auto"/>
          </w:divBdr>
        </w:div>
        <w:div w:id="435953516">
          <w:marLeft w:val="640"/>
          <w:marRight w:val="0"/>
          <w:marTop w:val="0"/>
          <w:marBottom w:val="0"/>
          <w:divBdr>
            <w:top w:val="none" w:sz="0" w:space="0" w:color="auto"/>
            <w:left w:val="none" w:sz="0" w:space="0" w:color="auto"/>
            <w:bottom w:val="none" w:sz="0" w:space="0" w:color="auto"/>
            <w:right w:val="none" w:sz="0" w:space="0" w:color="auto"/>
          </w:divBdr>
        </w:div>
        <w:div w:id="1974559954">
          <w:marLeft w:val="640"/>
          <w:marRight w:val="0"/>
          <w:marTop w:val="0"/>
          <w:marBottom w:val="0"/>
          <w:divBdr>
            <w:top w:val="none" w:sz="0" w:space="0" w:color="auto"/>
            <w:left w:val="none" w:sz="0" w:space="0" w:color="auto"/>
            <w:bottom w:val="none" w:sz="0" w:space="0" w:color="auto"/>
            <w:right w:val="none" w:sz="0" w:space="0" w:color="auto"/>
          </w:divBdr>
        </w:div>
        <w:div w:id="1900436073">
          <w:marLeft w:val="640"/>
          <w:marRight w:val="0"/>
          <w:marTop w:val="0"/>
          <w:marBottom w:val="0"/>
          <w:divBdr>
            <w:top w:val="none" w:sz="0" w:space="0" w:color="auto"/>
            <w:left w:val="none" w:sz="0" w:space="0" w:color="auto"/>
            <w:bottom w:val="none" w:sz="0" w:space="0" w:color="auto"/>
            <w:right w:val="none" w:sz="0" w:space="0" w:color="auto"/>
          </w:divBdr>
        </w:div>
        <w:div w:id="331493964">
          <w:marLeft w:val="640"/>
          <w:marRight w:val="0"/>
          <w:marTop w:val="0"/>
          <w:marBottom w:val="0"/>
          <w:divBdr>
            <w:top w:val="none" w:sz="0" w:space="0" w:color="auto"/>
            <w:left w:val="none" w:sz="0" w:space="0" w:color="auto"/>
            <w:bottom w:val="none" w:sz="0" w:space="0" w:color="auto"/>
            <w:right w:val="none" w:sz="0" w:space="0" w:color="auto"/>
          </w:divBdr>
        </w:div>
        <w:div w:id="799347379">
          <w:marLeft w:val="640"/>
          <w:marRight w:val="0"/>
          <w:marTop w:val="0"/>
          <w:marBottom w:val="0"/>
          <w:divBdr>
            <w:top w:val="none" w:sz="0" w:space="0" w:color="auto"/>
            <w:left w:val="none" w:sz="0" w:space="0" w:color="auto"/>
            <w:bottom w:val="none" w:sz="0" w:space="0" w:color="auto"/>
            <w:right w:val="none" w:sz="0" w:space="0" w:color="auto"/>
          </w:divBdr>
        </w:div>
        <w:div w:id="1603873190">
          <w:marLeft w:val="640"/>
          <w:marRight w:val="0"/>
          <w:marTop w:val="0"/>
          <w:marBottom w:val="0"/>
          <w:divBdr>
            <w:top w:val="none" w:sz="0" w:space="0" w:color="auto"/>
            <w:left w:val="none" w:sz="0" w:space="0" w:color="auto"/>
            <w:bottom w:val="none" w:sz="0" w:space="0" w:color="auto"/>
            <w:right w:val="none" w:sz="0" w:space="0" w:color="auto"/>
          </w:divBdr>
        </w:div>
        <w:div w:id="1343121293">
          <w:marLeft w:val="640"/>
          <w:marRight w:val="0"/>
          <w:marTop w:val="0"/>
          <w:marBottom w:val="0"/>
          <w:divBdr>
            <w:top w:val="none" w:sz="0" w:space="0" w:color="auto"/>
            <w:left w:val="none" w:sz="0" w:space="0" w:color="auto"/>
            <w:bottom w:val="none" w:sz="0" w:space="0" w:color="auto"/>
            <w:right w:val="none" w:sz="0" w:space="0" w:color="auto"/>
          </w:divBdr>
        </w:div>
        <w:div w:id="561064123">
          <w:marLeft w:val="640"/>
          <w:marRight w:val="0"/>
          <w:marTop w:val="0"/>
          <w:marBottom w:val="0"/>
          <w:divBdr>
            <w:top w:val="none" w:sz="0" w:space="0" w:color="auto"/>
            <w:left w:val="none" w:sz="0" w:space="0" w:color="auto"/>
            <w:bottom w:val="none" w:sz="0" w:space="0" w:color="auto"/>
            <w:right w:val="none" w:sz="0" w:space="0" w:color="auto"/>
          </w:divBdr>
        </w:div>
        <w:div w:id="694580295">
          <w:marLeft w:val="640"/>
          <w:marRight w:val="0"/>
          <w:marTop w:val="0"/>
          <w:marBottom w:val="0"/>
          <w:divBdr>
            <w:top w:val="none" w:sz="0" w:space="0" w:color="auto"/>
            <w:left w:val="none" w:sz="0" w:space="0" w:color="auto"/>
            <w:bottom w:val="none" w:sz="0" w:space="0" w:color="auto"/>
            <w:right w:val="none" w:sz="0" w:space="0" w:color="auto"/>
          </w:divBdr>
        </w:div>
      </w:divsChild>
    </w:div>
    <w:div w:id="1957976998">
      <w:bodyDiv w:val="1"/>
      <w:marLeft w:val="0"/>
      <w:marRight w:val="0"/>
      <w:marTop w:val="0"/>
      <w:marBottom w:val="0"/>
      <w:divBdr>
        <w:top w:val="none" w:sz="0" w:space="0" w:color="auto"/>
        <w:left w:val="none" w:sz="0" w:space="0" w:color="auto"/>
        <w:bottom w:val="none" w:sz="0" w:space="0" w:color="auto"/>
        <w:right w:val="none" w:sz="0" w:space="0" w:color="auto"/>
      </w:divBdr>
    </w:div>
    <w:div w:id="1958219554">
      <w:bodyDiv w:val="1"/>
      <w:marLeft w:val="0"/>
      <w:marRight w:val="0"/>
      <w:marTop w:val="0"/>
      <w:marBottom w:val="0"/>
      <w:divBdr>
        <w:top w:val="none" w:sz="0" w:space="0" w:color="auto"/>
        <w:left w:val="none" w:sz="0" w:space="0" w:color="auto"/>
        <w:bottom w:val="none" w:sz="0" w:space="0" w:color="auto"/>
        <w:right w:val="none" w:sz="0" w:space="0" w:color="auto"/>
      </w:divBdr>
    </w:div>
    <w:div w:id="1960986411">
      <w:bodyDiv w:val="1"/>
      <w:marLeft w:val="0"/>
      <w:marRight w:val="0"/>
      <w:marTop w:val="0"/>
      <w:marBottom w:val="0"/>
      <w:divBdr>
        <w:top w:val="none" w:sz="0" w:space="0" w:color="auto"/>
        <w:left w:val="none" w:sz="0" w:space="0" w:color="auto"/>
        <w:bottom w:val="none" w:sz="0" w:space="0" w:color="auto"/>
        <w:right w:val="none" w:sz="0" w:space="0" w:color="auto"/>
      </w:divBdr>
    </w:div>
    <w:div w:id="1965382600">
      <w:bodyDiv w:val="1"/>
      <w:marLeft w:val="0"/>
      <w:marRight w:val="0"/>
      <w:marTop w:val="0"/>
      <w:marBottom w:val="0"/>
      <w:divBdr>
        <w:top w:val="none" w:sz="0" w:space="0" w:color="auto"/>
        <w:left w:val="none" w:sz="0" w:space="0" w:color="auto"/>
        <w:bottom w:val="none" w:sz="0" w:space="0" w:color="auto"/>
        <w:right w:val="none" w:sz="0" w:space="0" w:color="auto"/>
      </w:divBdr>
    </w:div>
    <w:div w:id="1967352660">
      <w:bodyDiv w:val="1"/>
      <w:marLeft w:val="0"/>
      <w:marRight w:val="0"/>
      <w:marTop w:val="0"/>
      <w:marBottom w:val="0"/>
      <w:divBdr>
        <w:top w:val="none" w:sz="0" w:space="0" w:color="auto"/>
        <w:left w:val="none" w:sz="0" w:space="0" w:color="auto"/>
        <w:bottom w:val="none" w:sz="0" w:space="0" w:color="auto"/>
        <w:right w:val="none" w:sz="0" w:space="0" w:color="auto"/>
      </w:divBdr>
    </w:div>
    <w:div w:id="1969437505">
      <w:bodyDiv w:val="1"/>
      <w:marLeft w:val="0"/>
      <w:marRight w:val="0"/>
      <w:marTop w:val="0"/>
      <w:marBottom w:val="0"/>
      <w:divBdr>
        <w:top w:val="none" w:sz="0" w:space="0" w:color="auto"/>
        <w:left w:val="none" w:sz="0" w:space="0" w:color="auto"/>
        <w:bottom w:val="none" w:sz="0" w:space="0" w:color="auto"/>
        <w:right w:val="none" w:sz="0" w:space="0" w:color="auto"/>
      </w:divBdr>
    </w:div>
    <w:div w:id="1969626983">
      <w:bodyDiv w:val="1"/>
      <w:marLeft w:val="0"/>
      <w:marRight w:val="0"/>
      <w:marTop w:val="0"/>
      <w:marBottom w:val="0"/>
      <w:divBdr>
        <w:top w:val="none" w:sz="0" w:space="0" w:color="auto"/>
        <w:left w:val="none" w:sz="0" w:space="0" w:color="auto"/>
        <w:bottom w:val="none" w:sz="0" w:space="0" w:color="auto"/>
        <w:right w:val="none" w:sz="0" w:space="0" w:color="auto"/>
      </w:divBdr>
    </w:div>
    <w:div w:id="1972057889">
      <w:bodyDiv w:val="1"/>
      <w:marLeft w:val="0"/>
      <w:marRight w:val="0"/>
      <w:marTop w:val="0"/>
      <w:marBottom w:val="0"/>
      <w:divBdr>
        <w:top w:val="none" w:sz="0" w:space="0" w:color="auto"/>
        <w:left w:val="none" w:sz="0" w:space="0" w:color="auto"/>
        <w:bottom w:val="none" w:sz="0" w:space="0" w:color="auto"/>
        <w:right w:val="none" w:sz="0" w:space="0" w:color="auto"/>
      </w:divBdr>
    </w:div>
    <w:div w:id="1972861280">
      <w:bodyDiv w:val="1"/>
      <w:marLeft w:val="0"/>
      <w:marRight w:val="0"/>
      <w:marTop w:val="0"/>
      <w:marBottom w:val="0"/>
      <w:divBdr>
        <w:top w:val="none" w:sz="0" w:space="0" w:color="auto"/>
        <w:left w:val="none" w:sz="0" w:space="0" w:color="auto"/>
        <w:bottom w:val="none" w:sz="0" w:space="0" w:color="auto"/>
        <w:right w:val="none" w:sz="0" w:space="0" w:color="auto"/>
      </w:divBdr>
    </w:div>
    <w:div w:id="1973749542">
      <w:bodyDiv w:val="1"/>
      <w:marLeft w:val="0"/>
      <w:marRight w:val="0"/>
      <w:marTop w:val="0"/>
      <w:marBottom w:val="0"/>
      <w:divBdr>
        <w:top w:val="none" w:sz="0" w:space="0" w:color="auto"/>
        <w:left w:val="none" w:sz="0" w:space="0" w:color="auto"/>
        <w:bottom w:val="none" w:sz="0" w:space="0" w:color="auto"/>
        <w:right w:val="none" w:sz="0" w:space="0" w:color="auto"/>
      </w:divBdr>
    </w:div>
    <w:div w:id="1975522829">
      <w:bodyDiv w:val="1"/>
      <w:marLeft w:val="0"/>
      <w:marRight w:val="0"/>
      <w:marTop w:val="0"/>
      <w:marBottom w:val="0"/>
      <w:divBdr>
        <w:top w:val="none" w:sz="0" w:space="0" w:color="auto"/>
        <w:left w:val="none" w:sz="0" w:space="0" w:color="auto"/>
        <w:bottom w:val="none" w:sz="0" w:space="0" w:color="auto"/>
        <w:right w:val="none" w:sz="0" w:space="0" w:color="auto"/>
      </w:divBdr>
    </w:div>
    <w:div w:id="1975599525">
      <w:bodyDiv w:val="1"/>
      <w:marLeft w:val="0"/>
      <w:marRight w:val="0"/>
      <w:marTop w:val="0"/>
      <w:marBottom w:val="0"/>
      <w:divBdr>
        <w:top w:val="none" w:sz="0" w:space="0" w:color="auto"/>
        <w:left w:val="none" w:sz="0" w:space="0" w:color="auto"/>
        <w:bottom w:val="none" w:sz="0" w:space="0" w:color="auto"/>
        <w:right w:val="none" w:sz="0" w:space="0" w:color="auto"/>
      </w:divBdr>
    </w:div>
    <w:div w:id="1978410722">
      <w:bodyDiv w:val="1"/>
      <w:marLeft w:val="0"/>
      <w:marRight w:val="0"/>
      <w:marTop w:val="0"/>
      <w:marBottom w:val="0"/>
      <w:divBdr>
        <w:top w:val="none" w:sz="0" w:space="0" w:color="auto"/>
        <w:left w:val="none" w:sz="0" w:space="0" w:color="auto"/>
        <w:bottom w:val="none" w:sz="0" w:space="0" w:color="auto"/>
        <w:right w:val="none" w:sz="0" w:space="0" w:color="auto"/>
      </w:divBdr>
    </w:div>
    <w:div w:id="1981223794">
      <w:bodyDiv w:val="1"/>
      <w:marLeft w:val="0"/>
      <w:marRight w:val="0"/>
      <w:marTop w:val="0"/>
      <w:marBottom w:val="0"/>
      <w:divBdr>
        <w:top w:val="none" w:sz="0" w:space="0" w:color="auto"/>
        <w:left w:val="none" w:sz="0" w:space="0" w:color="auto"/>
        <w:bottom w:val="none" w:sz="0" w:space="0" w:color="auto"/>
        <w:right w:val="none" w:sz="0" w:space="0" w:color="auto"/>
      </w:divBdr>
    </w:div>
    <w:div w:id="1985044505">
      <w:bodyDiv w:val="1"/>
      <w:marLeft w:val="0"/>
      <w:marRight w:val="0"/>
      <w:marTop w:val="0"/>
      <w:marBottom w:val="0"/>
      <w:divBdr>
        <w:top w:val="none" w:sz="0" w:space="0" w:color="auto"/>
        <w:left w:val="none" w:sz="0" w:space="0" w:color="auto"/>
        <w:bottom w:val="none" w:sz="0" w:space="0" w:color="auto"/>
        <w:right w:val="none" w:sz="0" w:space="0" w:color="auto"/>
      </w:divBdr>
    </w:div>
    <w:div w:id="1985347763">
      <w:bodyDiv w:val="1"/>
      <w:marLeft w:val="0"/>
      <w:marRight w:val="0"/>
      <w:marTop w:val="0"/>
      <w:marBottom w:val="0"/>
      <w:divBdr>
        <w:top w:val="none" w:sz="0" w:space="0" w:color="auto"/>
        <w:left w:val="none" w:sz="0" w:space="0" w:color="auto"/>
        <w:bottom w:val="none" w:sz="0" w:space="0" w:color="auto"/>
        <w:right w:val="none" w:sz="0" w:space="0" w:color="auto"/>
      </w:divBdr>
      <w:divsChild>
        <w:div w:id="461584462">
          <w:marLeft w:val="640"/>
          <w:marRight w:val="0"/>
          <w:marTop w:val="0"/>
          <w:marBottom w:val="0"/>
          <w:divBdr>
            <w:top w:val="none" w:sz="0" w:space="0" w:color="auto"/>
            <w:left w:val="none" w:sz="0" w:space="0" w:color="auto"/>
            <w:bottom w:val="none" w:sz="0" w:space="0" w:color="auto"/>
            <w:right w:val="none" w:sz="0" w:space="0" w:color="auto"/>
          </w:divBdr>
        </w:div>
        <w:div w:id="729696905">
          <w:marLeft w:val="640"/>
          <w:marRight w:val="0"/>
          <w:marTop w:val="0"/>
          <w:marBottom w:val="0"/>
          <w:divBdr>
            <w:top w:val="none" w:sz="0" w:space="0" w:color="auto"/>
            <w:left w:val="none" w:sz="0" w:space="0" w:color="auto"/>
            <w:bottom w:val="none" w:sz="0" w:space="0" w:color="auto"/>
            <w:right w:val="none" w:sz="0" w:space="0" w:color="auto"/>
          </w:divBdr>
        </w:div>
        <w:div w:id="2032682406">
          <w:marLeft w:val="640"/>
          <w:marRight w:val="0"/>
          <w:marTop w:val="0"/>
          <w:marBottom w:val="0"/>
          <w:divBdr>
            <w:top w:val="none" w:sz="0" w:space="0" w:color="auto"/>
            <w:left w:val="none" w:sz="0" w:space="0" w:color="auto"/>
            <w:bottom w:val="none" w:sz="0" w:space="0" w:color="auto"/>
            <w:right w:val="none" w:sz="0" w:space="0" w:color="auto"/>
          </w:divBdr>
        </w:div>
        <w:div w:id="421151463">
          <w:marLeft w:val="640"/>
          <w:marRight w:val="0"/>
          <w:marTop w:val="0"/>
          <w:marBottom w:val="0"/>
          <w:divBdr>
            <w:top w:val="none" w:sz="0" w:space="0" w:color="auto"/>
            <w:left w:val="none" w:sz="0" w:space="0" w:color="auto"/>
            <w:bottom w:val="none" w:sz="0" w:space="0" w:color="auto"/>
            <w:right w:val="none" w:sz="0" w:space="0" w:color="auto"/>
          </w:divBdr>
        </w:div>
        <w:div w:id="628127329">
          <w:marLeft w:val="640"/>
          <w:marRight w:val="0"/>
          <w:marTop w:val="0"/>
          <w:marBottom w:val="0"/>
          <w:divBdr>
            <w:top w:val="none" w:sz="0" w:space="0" w:color="auto"/>
            <w:left w:val="none" w:sz="0" w:space="0" w:color="auto"/>
            <w:bottom w:val="none" w:sz="0" w:space="0" w:color="auto"/>
            <w:right w:val="none" w:sz="0" w:space="0" w:color="auto"/>
          </w:divBdr>
        </w:div>
        <w:div w:id="487015496">
          <w:marLeft w:val="640"/>
          <w:marRight w:val="0"/>
          <w:marTop w:val="0"/>
          <w:marBottom w:val="0"/>
          <w:divBdr>
            <w:top w:val="none" w:sz="0" w:space="0" w:color="auto"/>
            <w:left w:val="none" w:sz="0" w:space="0" w:color="auto"/>
            <w:bottom w:val="none" w:sz="0" w:space="0" w:color="auto"/>
            <w:right w:val="none" w:sz="0" w:space="0" w:color="auto"/>
          </w:divBdr>
        </w:div>
        <w:div w:id="287399644">
          <w:marLeft w:val="640"/>
          <w:marRight w:val="0"/>
          <w:marTop w:val="0"/>
          <w:marBottom w:val="0"/>
          <w:divBdr>
            <w:top w:val="none" w:sz="0" w:space="0" w:color="auto"/>
            <w:left w:val="none" w:sz="0" w:space="0" w:color="auto"/>
            <w:bottom w:val="none" w:sz="0" w:space="0" w:color="auto"/>
            <w:right w:val="none" w:sz="0" w:space="0" w:color="auto"/>
          </w:divBdr>
        </w:div>
        <w:div w:id="916942619">
          <w:marLeft w:val="640"/>
          <w:marRight w:val="0"/>
          <w:marTop w:val="0"/>
          <w:marBottom w:val="0"/>
          <w:divBdr>
            <w:top w:val="none" w:sz="0" w:space="0" w:color="auto"/>
            <w:left w:val="none" w:sz="0" w:space="0" w:color="auto"/>
            <w:bottom w:val="none" w:sz="0" w:space="0" w:color="auto"/>
            <w:right w:val="none" w:sz="0" w:space="0" w:color="auto"/>
          </w:divBdr>
        </w:div>
        <w:div w:id="2106882702">
          <w:marLeft w:val="640"/>
          <w:marRight w:val="0"/>
          <w:marTop w:val="0"/>
          <w:marBottom w:val="0"/>
          <w:divBdr>
            <w:top w:val="none" w:sz="0" w:space="0" w:color="auto"/>
            <w:left w:val="none" w:sz="0" w:space="0" w:color="auto"/>
            <w:bottom w:val="none" w:sz="0" w:space="0" w:color="auto"/>
            <w:right w:val="none" w:sz="0" w:space="0" w:color="auto"/>
          </w:divBdr>
        </w:div>
        <w:div w:id="1087925141">
          <w:marLeft w:val="640"/>
          <w:marRight w:val="0"/>
          <w:marTop w:val="0"/>
          <w:marBottom w:val="0"/>
          <w:divBdr>
            <w:top w:val="none" w:sz="0" w:space="0" w:color="auto"/>
            <w:left w:val="none" w:sz="0" w:space="0" w:color="auto"/>
            <w:bottom w:val="none" w:sz="0" w:space="0" w:color="auto"/>
            <w:right w:val="none" w:sz="0" w:space="0" w:color="auto"/>
          </w:divBdr>
        </w:div>
        <w:div w:id="1392342751">
          <w:marLeft w:val="640"/>
          <w:marRight w:val="0"/>
          <w:marTop w:val="0"/>
          <w:marBottom w:val="0"/>
          <w:divBdr>
            <w:top w:val="none" w:sz="0" w:space="0" w:color="auto"/>
            <w:left w:val="none" w:sz="0" w:space="0" w:color="auto"/>
            <w:bottom w:val="none" w:sz="0" w:space="0" w:color="auto"/>
            <w:right w:val="none" w:sz="0" w:space="0" w:color="auto"/>
          </w:divBdr>
        </w:div>
        <w:div w:id="9183960">
          <w:marLeft w:val="640"/>
          <w:marRight w:val="0"/>
          <w:marTop w:val="0"/>
          <w:marBottom w:val="0"/>
          <w:divBdr>
            <w:top w:val="none" w:sz="0" w:space="0" w:color="auto"/>
            <w:left w:val="none" w:sz="0" w:space="0" w:color="auto"/>
            <w:bottom w:val="none" w:sz="0" w:space="0" w:color="auto"/>
            <w:right w:val="none" w:sz="0" w:space="0" w:color="auto"/>
          </w:divBdr>
        </w:div>
        <w:div w:id="1529029194">
          <w:marLeft w:val="640"/>
          <w:marRight w:val="0"/>
          <w:marTop w:val="0"/>
          <w:marBottom w:val="0"/>
          <w:divBdr>
            <w:top w:val="none" w:sz="0" w:space="0" w:color="auto"/>
            <w:left w:val="none" w:sz="0" w:space="0" w:color="auto"/>
            <w:bottom w:val="none" w:sz="0" w:space="0" w:color="auto"/>
            <w:right w:val="none" w:sz="0" w:space="0" w:color="auto"/>
          </w:divBdr>
        </w:div>
        <w:div w:id="202716689">
          <w:marLeft w:val="640"/>
          <w:marRight w:val="0"/>
          <w:marTop w:val="0"/>
          <w:marBottom w:val="0"/>
          <w:divBdr>
            <w:top w:val="none" w:sz="0" w:space="0" w:color="auto"/>
            <w:left w:val="none" w:sz="0" w:space="0" w:color="auto"/>
            <w:bottom w:val="none" w:sz="0" w:space="0" w:color="auto"/>
            <w:right w:val="none" w:sz="0" w:space="0" w:color="auto"/>
          </w:divBdr>
        </w:div>
        <w:div w:id="1005592432">
          <w:marLeft w:val="640"/>
          <w:marRight w:val="0"/>
          <w:marTop w:val="0"/>
          <w:marBottom w:val="0"/>
          <w:divBdr>
            <w:top w:val="none" w:sz="0" w:space="0" w:color="auto"/>
            <w:left w:val="none" w:sz="0" w:space="0" w:color="auto"/>
            <w:bottom w:val="none" w:sz="0" w:space="0" w:color="auto"/>
            <w:right w:val="none" w:sz="0" w:space="0" w:color="auto"/>
          </w:divBdr>
        </w:div>
        <w:div w:id="196897069">
          <w:marLeft w:val="640"/>
          <w:marRight w:val="0"/>
          <w:marTop w:val="0"/>
          <w:marBottom w:val="0"/>
          <w:divBdr>
            <w:top w:val="none" w:sz="0" w:space="0" w:color="auto"/>
            <w:left w:val="none" w:sz="0" w:space="0" w:color="auto"/>
            <w:bottom w:val="none" w:sz="0" w:space="0" w:color="auto"/>
            <w:right w:val="none" w:sz="0" w:space="0" w:color="auto"/>
          </w:divBdr>
        </w:div>
        <w:div w:id="118886074">
          <w:marLeft w:val="640"/>
          <w:marRight w:val="0"/>
          <w:marTop w:val="0"/>
          <w:marBottom w:val="0"/>
          <w:divBdr>
            <w:top w:val="none" w:sz="0" w:space="0" w:color="auto"/>
            <w:left w:val="none" w:sz="0" w:space="0" w:color="auto"/>
            <w:bottom w:val="none" w:sz="0" w:space="0" w:color="auto"/>
            <w:right w:val="none" w:sz="0" w:space="0" w:color="auto"/>
          </w:divBdr>
        </w:div>
        <w:div w:id="171914319">
          <w:marLeft w:val="640"/>
          <w:marRight w:val="0"/>
          <w:marTop w:val="0"/>
          <w:marBottom w:val="0"/>
          <w:divBdr>
            <w:top w:val="none" w:sz="0" w:space="0" w:color="auto"/>
            <w:left w:val="none" w:sz="0" w:space="0" w:color="auto"/>
            <w:bottom w:val="none" w:sz="0" w:space="0" w:color="auto"/>
            <w:right w:val="none" w:sz="0" w:space="0" w:color="auto"/>
          </w:divBdr>
        </w:div>
        <w:div w:id="1455059207">
          <w:marLeft w:val="640"/>
          <w:marRight w:val="0"/>
          <w:marTop w:val="0"/>
          <w:marBottom w:val="0"/>
          <w:divBdr>
            <w:top w:val="none" w:sz="0" w:space="0" w:color="auto"/>
            <w:left w:val="none" w:sz="0" w:space="0" w:color="auto"/>
            <w:bottom w:val="none" w:sz="0" w:space="0" w:color="auto"/>
            <w:right w:val="none" w:sz="0" w:space="0" w:color="auto"/>
          </w:divBdr>
        </w:div>
        <w:div w:id="1011907785">
          <w:marLeft w:val="640"/>
          <w:marRight w:val="0"/>
          <w:marTop w:val="0"/>
          <w:marBottom w:val="0"/>
          <w:divBdr>
            <w:top w:val="none" w:sz="0" w:space="0" w:color="auto"/>
            <w:left w:val="none" w:sz="0" w:space="0" w:color="auto"/>
            <w:bottom w:val="none" w:sz="0" w:space="0" w:color="auto"/>
            <w:right w:val="none" w:sz="0" w:space="0" w:color="auto"/>
          </w:divBdr>
        </w:div>
        <w:div w:id="1375736496">
          <w:marLeft w:val="640"/>
          <w:marRight w:val="0"/>
          <w:marTop w:val="0"/>
          <w:marBottom w:val="0"/>
          <w:divBdr>
            <w:top w:val="none" w:sz="0" w:space="0" w:color="auto"/>
            <w:left w:val="none" w:sz="0" w:space="0" w:color="auto"/>
            <w:bottom w:val="none" w:sz="0" w:space="0" w:color="auto"/>
            <w:right w:val="none" w:sz="0" w:space="0" w:color="auto"/>
          </w:divBdr>
        </w:div>
        <w:div w:id="1906454364">
          <w:marLeft w:val="640"/>
          <w:marRight w:val="0"/>
          <w:marTop w:val="0"/>
          <w:marBottom w:val="0"/>
          <w:divBdr>
            <w:top w:val="none" w:sz="0" w:space="0" w:color="auto"/>
            <w:left w:val="none" w:sz="0" w:space="0" w:color="auto"/>
            <w:bottom w:val="none" w:sz="0" w:space="0" w:color="auto"/>
            <w:right w:val="none" w:sz="0" w:space="0" w:color="auto"/>
          </w:divBdr>
        </w:div>
        <w:div w:id="1775708950">
          <w:marLeft w:val="640"/>
          <w:marRight w:val="0"/>
          <w:marTop w:val="0"/>
          <w:marBottom w:val="0"/>
          <w:divBdr>
            <w:top w:val="none" w:sz="0" w:space="0" w:color="auto"/>
            <w:left w:val="none" w:sz="0" w:space="0" w:color="auto"/>
            <w:bottom w:val="none" w:sz="0" w:space="0" w:color="auto"/>
            <w:right w:val="none" w:sz="0" w:space="0" w:color="auto"/>
          </w:divBdr>
        </w:div>
        <w:div w:id="291326249">
          <w:marLeft w:val="640"/>
          <w:marRight w:val="0"/>
          <w:marTop w:val="0"/>
          <w:marBottom w:val="0"/>
          <w:divBdr>
            <w:top w:val="none" w:sz="0" w:space="0" w:color="auto"/>
            <w:left w:val="none" w:sz="0" w:space="0" w:color="auto"/>
            <w:bottom w:val="none" w:sz="0" w:space="0" w:color="auto"/>
            <w:right w:val="none" w:sz="0" w:space="0" w:color="auto"/>
          </w:divBdr>
        </w:div>
        <w:div w:id="1091699325">
          <w:marLeft w:val="640"/>
          <w:marRight w:val="0"/>
          <w:marTop w:val="0"/>
          <w:marBottom w:val="0"/>
          <w:divBdr>
            <w:top w:val="none" w:sz="0" w:space="0" w:color="auto"/>
            <w:left w:val="none" w:sz="0" w:space="0" w:color="auto"/>
            <w:bottom w:val="none" w:sz="0" w:space="0" w:color="auto"/>
            <w:right w:val="none" w:sz="0" w:space="0" w:color="auto"/>
          </w:divBdr>
        </w:div>
        <w:div w:id="2085757175">
          <w:marLeft w:val="640"/>
          <w:marRight w:val="0"/>
          <w:marTop w:val="0"/>
          <w:marBottom w:val="0"/>
          <w:divBdr>
            <w:top w:val="none" w:sz="0" w:space="0" w:color="auto"/>
            <w:left w:val="none" w:sz="0" w:space="0" w:color="auto"/>
            <w:bottom w:val="none" w:sz="0" w:space="0" w:color="auto"/>
            <w:right w:val="none" w:sz="0" w:space="0" w:color="auto"/>
          </w:divBdr>
        </w:div>
        <w:div w:id="1168791037">
          <w:marLeft w:val="640"/>
          <w:marRight w:val="0"/>
          <w:marTop w:val="0"/>
          <w:marBottom w:val="0"/>
          <w:divBdr>
            <w:top w:val="none" w:sz="0" w:space="0" w:color="auto"/>
            <w:left w:val="none" w:sz="0" w:space="0" w:color="auto"/>
            <w:bottom w:val="none" w:sz="0" w:space="0" w:color="auto"/>
            <w:right w:val="none" w:sz="0" w:space="0" w:color="auto"/>
          </w:divBdr>
        </w:div>
        <w:div w:id="1705060611">
          <w:marLeft w:val="640"/>
          <w:marRight w:val="0"/>
          <w:marTop w:val="0"/>
          <w:marBottom w:val="0"/>
          <w:divBdr>
            <w:top w:val="none" w:sz="0" w:space="0" w:color="auto"/>
            <w:left w:val="none" w:sz="0" w:space="0" w:color="auto"/>
            <w:bottom w:val="none" w:sz="0" w:space="0" w:color="auto"/>
            <w:right w:val="none" w:sz="0" w:space="0" w:color="auto"/>
          </w:divBdr>
        </w:div>
        <w:div w:id="1997147263">
          <w:marLeft w:val="640"/>
          <w:marRight w:val="0"/>
          <w:marTop w:val="0"/>
          <w:marBottom w:val="0"/>
          <w:divBdr>
            <w:top w:val="none" w:sz="0" w:space="0" w:color="auto"/>
            <w:left w:val="none" w:sz="0" w:space="0" w:color="auto"/>
            <w:bottom w:val="none" w:sz="0" w:space="0" w:color="auto"/>
            <w:right w:val="none" w:sz="0" w:space="0" w:color="auto"/>
          </w:divBdr>
        </w:div>
        <w:div w:id="2039505091">
          <w:marLeft w:val="640"/>
          <w:marRight w:val="0"/>
          <w:marTop w:val="0"/>
          <w:marBottom w:val="0"/>
          <w:divBdr>
            <w:top w:val="none" w:sz="0" w:space="0" w:color="auto"/>
            <w:left w:val="none" w:sz="0" w:space="0" w:color="auto"/>
            <w:bottom w:val="none" w:sz="0" w:space="0" w:color="auto"/>
            <w:right w:val="none" w:sz="0" w:space="0" w:color="auto"/>
          </w:divBdr>
        </w:div>
        <w:div w:id="1082070597">
          <w:marLeft w:val="640"/>
          <w:marRight w:val="0"/>
          <w:marTop w:val="0"/>
          <w:marBottom w:val="0"/>
          <w:divBdr>
            <w:top w:val="none" w:sz="0" w:space="0" w:color="auto"/>
            <w:left w:val="none" w:sz="0" w:space="0" w:color="auto"/>
            <w:bottom w:val="none" w:sz="0" w:space="0" w:color="auto"/>
            <w:right w:val="none" w:sz="0" w:space="0" w:color="auto"/>
          </w:divBdr>
        </w:div>
        <w:div w:id="1898786135">
          <w:marLeft w:val="640"/>
          <w:marRight w:val="0"/>
          <w:marTop w:val="0"/>
          <w:marBottom w:val="0"/>
          <w:divBdr>
            <w:top w:val="none" w:sz="0" w:space="0" w:color="auto"/>
            <w:left w:val="none" w:sz="0" w:space="0" w:color="auto"/>
            <w:bottom w:val="none" w:sz="0" w:space="0" w:color="auto"/>
            <w:right w:val="none" w:sz="0" w:space="0" w:color="auto"/>
          </w:divBdr>
        </w:div>
        <w:div w:id="2060744615">
          <w:marLeft w:val="640"/>
          <w:marRight w:val="0"/>
          <w:marTop w:val="0"/>
          <w:marBottom w:val="0"/>
          <w:divBdr>
            <w:top w:val="none" w:sz="0" w:space="0" w:color="auto"/>
            <w:left w:val="none" w:sz="0" w:space="0" w:color="auto"/>
            <w:bottom w:val="none" w:sz="0" w:space="0" w:color="auto"/>
            <w:right w:val="none" w:sz="0" w:space="0" w:color="auto"/>
          </w:divBdr>
        </w:div>
        <w:div w:id="1621644639">
          <w:marLeft w:val="640"/>
          <w:marRight w:val="0"/>
          <w:marTop w:val="0"/>
          <w:marBottom w:val="0"/>
          <w:divBdr>
            <w:top w:val="none" w:sz="0" w:space="0" w:color="auto"/>
            <w:left w:val="none" w:sz="0" w:space="0" w:color="auto"/>
            <w:bottom w:val="none" w:sz="0" w:space="0" w:color="auto"/>
            <w:right w:val="none" w:sz="0" w:space="0" w:color="auto"/>
          </w:divBdr>
        </w:div>
        <w:div w:id="1124154620">
          <w:marLeft w:val="640"/>
          <w:marRight w:val="0"/>
          <w:marTop w:val="0"/>
          <w:marBottom w:val="0"/>
          <w:divBdr>
            <w:top w:val="none" w:sz="0" w:space="0" w:color="auto"/>
            <w:left w:val="none" w:sz="0" w:space="0" w:color="auto"/>
            <w:bottom w:val="none" w:sz="0" w:space="0" w:color="auto"/>
            <w:right w:val="none" w:sz="0" w:space="0" w:color="auto"/>
          </w:divBdr>
        </w:div>
        <w:div w:id="719206412">
          <w:marLeft w:val="640"/>
          <w:marRight w:val="0"/>
          <w:marTop w:val="0"/>
          <w:marBottom w:val="0"/>
          <w:divBdr>
            <w:top w:val="none" w:sz="0" w:space="0" w:color="auto"/>
            <w:left w:val="none" w:sz="0" w:space="0" w:color="auto"/>
            <w:bottom w:val="none" w:sz="0" w:space="0" w:color="auto"/>
            <w:right w:val="none" w:sz="0" w:space="0" w:color="auto"/>
          </w:divBdr>
        </w:div>
        <w:div w:id="992219419">
          <w:marLeft w:val="640"/>
          <w:marRight w:val="0"/>
          <w:marTop w:val="0"/>
          <w:marBottom w:val="0"/>
          <w:divBdr>
            <w:top w:val="none" w:sz="0" w:space="0" w:color="auto"/>
            <w:left w:val="none" w:sz="0" w:space="0" w:color="auto"/>
            <w:bottom w:val="none" w:sz="0" w:space="0" w:color="auto"/>
            <w:right w:val="none" w:sz="0" w:space="0" w:color="auto"/>
          </w:divBdr>
        </w:div>
        <w:div w:id="1228102897">
          <w:marLeft w:val="640"/>
          <w:marRight w:val="0"/>
          <w:marTop w:val="0"/>
          <w:marBottom w:val="0"/>
          <w:divBdr>
            <w:top w:val="none" w:sz="0" w:space="0" w:color="auto"/>
            <w:left w:val="none" w:sz="0" w:space="0" w:color="auto"/>
            <w:bottom w:val="none" w:sz="0" w:space="0" w:color="auto"/>
            <w:right w:val="none" w:sz="0" w:space="0" w:color="auto"/>
          </w:divBdr>
        </w:div>
        <w:div w:id="1021391232">
          <w:marLeft w:val="640"/>
          <w:marRight w:val="0"/>
          <w:marTop w:val="0"/>
          <w:marBottom w:val="0"/>
          <w:divBdr>
            <w:top w:val="none" w:sz="0" w:space="0" w:color="auto"/>
            <w:left w:val="none" w:sz="0" w:space="0" w:color="auto"/>
            <w:bottom w:val="none" w:sz="0" w:space="0" w:color="auto"/>
            <w:right w:val="none" w:sz="0" w:space="0" w:color="auto"/>
          </w:divBdr>
        </w:div>
        <w:div w:id="593981970">
          <w:marLeft w:val="640"/>
          <w:marRight w:val="0"/>
          <w:marTop w:val="0"/>
          <w:marBottom w:val="0"/>
          <w:divBdr>
            <w:top w:val="none" w:sz="0" w:space="0" w:color="auto"/>
            <w:left w:val="none" w:sz="0" w:space="0" w:color="auto"/>
            <w:bottom w:val="none" w:sz="0" w:space="0" w:color="auto"/>
            <w:right w:val="none" w:sz="0" w:space="0" w:color="auto"/>
          </w:divBdr>
        </w:div>
        <w:div w:id="1110661205">
          <w:marLeft w:val="640"/>
          <w:marRight w:val="0"/>
          <w:marTop w:val="0"/>
          <w:marBottom w:val="0"/>
          <w:divBdr>
            <w:top w:val="none" w:sz="0" w:space="0" w:color="auto"/>
            <w:left w:val="none" w:sz="0" w:space="0" w:color="auto"/>
            <w:bottom w:val="none" w:sz="0" w:space="0" w:color="auto"/>
            <w:right w:val="none" w:sz="0" w:space="0" w:color="auto"/>
          </w:divBdr>
        </w:div>
        <w:div w:id="1695880245">
          <w:marLeft w:val="640"/>
          <w:marRight w:val="0"/>
          <w:marTop w:val="0"/>
          <w:marBottom w:val="0"/>
          <w:divBdr>
            <w:top w:val="none" w:sz="0" w:space="0" w:color="auto"/>
            <w:left w:val="none" w:sz="0" w:space="0" w:color="auto"/>
            <w:bottom w:val="none" w:sz="0" w:space="0" w:color="auto"/>
            <w:right w:val="none" w:sz="0" w:space="0" w:color="auto"/>
          </w:divBdr>
        </w:div>
        <w:div w:id="973875957">
          <w:marLeft w:val="640"/>
          <w:marRight w:val="0"/>
          <w:marTop w:val="0"/>
          <w:marBottom w:val="0"/>
          <w:divBdr>
            <w:top w:val="none" w:sz="0" w:space="0" w:color="auto"/>
            <w:left w:val="none" w:sz="0" w:space="0" w:color="auto"/>
            <w:bottom w:val="none" w:sz="0" w:space="0" w:color="auto"/>
            <w:right w:val="none" w:sz="0" w:space="0" w:color="auto"/>
          </w:divBdr>
        </w:div>
        <w:div w:id="1859546">
          <w:marLeft w:val="640"/>
          <w:marRight w:val="0"/>
          <w:marTop w:val="0"/>
          <w:marBottom w:val="0"/>
          <w:divBdr>
            <w:top w:val="none" w:sz="0" w:space="0" w:color="auto"/>
            <w:left w:val="none" w:sz="0" w:space="0" w:color="auto"/>
            <w:bottom w:val="none" w:sz="0" w:space="0" w:color="auto"/>
            <w:right w:val="none" w:sz="0" w:space="0" w:color="auto"/>
          </w:divBdr>
        </w:div>
        <w:div w:id="1120608925">
          <w:marLeft w:val="640"/>
          <w:marRight w:val="0"/>
          <w:marTop w:val="0"/>
          <w:marBottom w:val="0"/>
          <w:divBdr>
            <w:top w:val="none" w:sz="0" w:space="0" w:color="auto"/>
            <w:left w:val="none" w:sz="0" w:space="0" w:color="auto"/>
            <w:bottom w:val="none" w:sz="0" w:space="0" w:color="auto"/>
            <w:right w:val="none" w:sz="0" w:space="0" w:color="auto"/>
          </w:divBdr>
        </w:div>
        <w:div w:id="1674340308">
          <w:marLeft w:val="640"/>
          <w:marRight w:val="0"/>
          <w:marTop w:val="0"/>
          <w:marBottom w:val="0"/>
          <w:divBdr>
            <w:top w:val="none" w:sz="0" w:space="0" w:color="auto"/>
            <w:left w:val="none" w:sz="0" w:space="0" w:color="auto"/>
            <w:bottom w:val="none" w:sz="0" w:space="0" w:color="auto"/>
            <w:right w:val="none" w:sz="0" w:space="0" w:color="auto"/>
          </w:divBdr>
        </w:div>
        <w:div w:id="1537544711">
          <w:marLeft w:val="640"/>
          <w:marRight w:val="0"/>
          <w:marTop w:val="0"/>
          <w:marBottom w:val="0"/>
          <w:divBdr>
            <w:top w:val="none" w:sz="0" w:space="0" w:color="auto"/>
            <w:left w:val="none" w:sz="0" w:space="0" w:color="auto"/>
            <w:bottom w:val="none" w:sz="0" w:space="0" w:color="auto"/>
            <w:right w:val="none" w:sz="0" w:space="0" w:color="auto"/>
          </w:divBdr>
        </w:div>
        <w:div w:id="698549478">
          <w:marLeft w:val="640"/>
          <w:marRight w:val="0"/>
          <w:marTop w:val="0"/>
          <w:marBottom w:val="0"/>
          <w:divBdr>
            <w:top w:val="none" w:sz="0" w:space="0" w:color="auto"/>
            <w:left w:val="none" w:sz="0" w:space="0" w:color="auto"/>
            <w:bottom w:val="none" w:sz="0" w:space="0" w:color="auto"/>
            <w:right w:val="none" w:sz="0" w:space="0" w:color="auto"/>
          </w:divBdr>
        </w:div>
        <w:div w:id="1953899497">
          <w:marLeft w:val="640"/>
          <w:marRight w:val="0"/>
          <w:marTop w:val="0"/>
          <w:marBottom w:val="0"/>
          <w:divBdr>
            <w:top w:val="none" w:sz="0" w:space="0" w:color="auto"/>
            <w:left w:val="none" w:sz="0" w:space="0" w:color="auto"/>
            <w:bottom w:val="none" w:sz="0" w:space="0" w:color="auto"/>
            <w:right w:val="none" w:sz="0" w:space="0" w:color="auto"/>
          </w:divBdr>
        </w:div>
        <w:div w:id="572281214">
          <w:marLeft w:val="640"/>
          <w:marRight w:val="0"/>
          <w:marTop w:val="0"/>
          <w:marBottom w:val="0"/>
          <w:divBdr>
            <w:top w:val="none" w:sz="0" w:space="0" w:color="auto"/>
            <w:left w:val="none" w:sz="0" w:space="0" w:color="auto"/>
            <w:bottom w:val="none" w:sz="0" w:space="0" w:color="auto"/>
            <w:right w:val="none" w:sz="0" w:space="0" w:color="auto"/>
          </w:divBdr>
        </w:div>
        <w:div w:id="1991129323">
          <w:marLeft w:val="640"/>
          <w:marRight w:val="0"/>
          <w:marTop w:val="0"/>
          <w:marBottom w:val="0"/>
          <w:divBdr>
            <w:top w:val="none" w:sz="0" w:space="0" w:color="auto"/>
            <w:left w:val="none" w:sz="0" w:space="0" w:color="auto"/>
            <w:bottom w:val="none" w:sz="0" w:space="0" w:color="auto"/>
            <w:right w:val="none" w:sz="0" w:space="0" w:color="auto"/>
          </w:divBdr>
        </w:div>
        <w:div w:id="456336736">
          <w:marLeft w:val="640"/>
          <w:marRight w:val="0"/>
          <w:marTop w:val="0"/>
          <w:marBottom w:val="0"/>
          <w:divBdr>
            <w:top w:val="none" w:sz="0" w:space="0" w:color="auto"/>
            <w:left w:val="none" w:sz="0" w:space="0" w:color="auto"/>
            <w:bottom w:val="none" w:sz="0" w:space="0" w:color="auto"/>
            <w:right w:val="none" w:sz="0" w:space="0" w:color="auto"/>
          </w:divBdr>
        </w:div>
        <w:div w:id="1726416845">
          <w:marLeft w:val="640"/>
          <w:marRight w:val="0"/>
          <w:marTop w:val="0"/>
          <w:marBottom w:val="0"/>
          <w:divBdr>
            <w:top w:val="none" w:sz="0" w:space="0" w:color="auto"/>
            <w:left w:val="none" w:sz="0" w:space="0" w:color="auto"/>
            <w:bottom w:val="none" w:sz="0" w:space="0" w:color="auto"/>
            <w:right w:val="none" w:sz="0" w:space="0" w:color="auto"/>
          </w:divBdr>
        </w:div>
        <w:div w:id="1354382110">
          <w:marLeft w:val="640"/>
          <w:marRight w:val="0"/>
          <w:marTop w:val="0"/>
          <w:marBottom w:val="0"/>
          <w:divBdr>
            <w:top w:val="none" w:sz="0" w:space="0" w:color="auto"/>
            <w:left w:val="none" w:sz="0" w:space="0" w:color="auto"/>
            <w:bottom w:val="none" w:sz="0" w:space="0" w:color="auto"/>
            <w:right w:val="none" w:sz="0" w:space="0" w:color="auto"/>
          </w:divBdr>
        </w:div>
        <w:div w:id="244413809">
          <w:marLeft w:val="640"/>
          <w:marRight w:val="0"/>
          <w:marTop w:val="0"/>
          <w:marBottom w:val="0"/>
          <w:divBdr>
            <w:top w:val="none" w:sz="0" w:space="0" w:color="auto"/>
            <w:left w:val="none" w:sz="0" w:space="0" w:color="auto"/>
            <w:bottom w:val="none" w:sz="0" w:space="0" w:color="auto"/>
            <w:right w:val="none" w:sz="0" w:space="0" w:color="auto"/>
          </w:divBdr>
        </w:div>
        <w:div w:id="472262082">
          <w:marLeft w:val="640"/>
          <w:marRight w:val="0"/>
          <w:marTop w:val="0"/>
          <w:marBottom w:val="0"/>
          <w:divBdr>
            <w:top w:val="none" w:sz="0" w:space="0" w:color="auto"/>
            <w:left w:val="none" w:sz="0" w:space="0" w:color="auto"/>
            <w:bottom w:val="none" w:sz="0" w:space="0" w:color="auto"/>
            <w:right w:val="none" w:sz="0" w:space="0" w:color="auto"/>
          </w:divBdr>
        </w:div>
        <w:div w:id="93483100">
          <w:marLeft w:val="640"/>
          <w:marRight w:val="0"/>
          <w:marTop w:val="0"/>
          <w:marBottom w:val="0"/>
          <w:divBdr>
            <w:top w:val="none" w:sz="0" w:space="0" w:color="auto"/>
            <w:left w:val="none" w:sz="0" w:space="0" w:color="auto"/>
            <w:bottom w:val="none" w:sz="0" w:space="0" w:color="auto"/>
            <w:right w:val="none" w:sz="0" w:space="0" w:color="auto"/>
          </w:divBdr>
        </w:div>
        <w:div w:id="687832390">
          <w:marLeft w:val="640"/>
          <w:marRight w:val="0"/>
          <w:marTop w:val="0"/>
          <w:marBottom w:val="0"/>
          <w:divBdr>
            <w:top w:val="none" w:sz="0" w:space="0" w:color="auto"/>
            <w:left w:val="none" w:sz="0" w:space="0" w:color="auto"/>
            <w:bottom w:val="none" w:sz="0" w:space="0" w:color="auto"/>
            <w:right w:val="none" w:sz="0" w:space="0" w:color="auto"/>
          </w:divBdr>
        </w:div>
        <w:div w:id="351346660">
          <w:marLeft w:val="640"/>
          <w:marRight w:val="0"/>
          <w:marTop w:val="0"/>
          <w:marBottom w:val="0"/>
          <w:divBdr>
            <w:top w:val="none" w:sz="0" w:space="0" w:color="auto"/>
            <w:left w:val="none" w:sz="0" w:space="0" w:color="auto"/>
            <w:bottom w:val="none" w:sz="0" w:space="0" w:color="auto"/>
            <w:right w:val="none" w:sz="0" w:space="0" w:color="auto"/>
          </w:divBdr>
        </w:div>
        <w:div w:id="2130397119">
          <w:marLeft w:val="640"/>
          <w:marRight w:val="0"/>
          <w:marTop w:val="0"/>
          <w:marBottom w:val="0"/>
          <w:divBdr>
            <w:top w:val="none" w:sz="0" w:space="0" w:color="auto"/>
            <w:left w:val="none" w:sz="0" w:space="0" w:color="auto"/>
            <w:bottom w:val="none" w:sz="0" w:space="0" w:color="auto"/>
            <w:right w:val="none" w:sz="0" w:space="0" w:color="auto"/>
          </w:divBdr>
        </w:div>
        <w:div w:id="157305302">
          <w:marLeft w:val="640"/>
          <w:marRight w:val="0"/>
          <w:marTop w:val="0"/>
          <w:marBottom w:val="0"/>
          <w:divBdr>
            <w:top w:val="none" w:sz="0" w:space="0" w:color="auto"/>
            <w:left w:val="none" w:sz="0" w:space="0" w:color="auto"/>
            <w:bottom w:val="none" w:sz="0" w:space="0" w:color="auto"/>
            <w:right w:val="none" w:sz="0" w:space="0" w:color="auto"/>
          </w:divBdr>
        </w:div>
        <w:div w:id="995381607">
          <w:marLeft w:val="640"/>
          <w:marRight w:val="0"/>
          <w:marTop w:val="0"/>
          <w:marBottom w:val="0"/>
          <w:divBdr>
            <w:top w:val="none" w:sz="0" w:space="0" w:color="auto"/>
            <w:left w:val="none" w:sz="0" w:space="0" w:color="auto"/>
            <w:bottom w:val="none" w:sz="0" w:space="0" w:color="auto"/>
            <w:right w:val="none" w:sz="0" w:space="0" w:color="auto"/>
          </w:divBdr>
        </w:div>
        <w:div w:id="1850564202">
          <w:marLeft w:val="640"/>
          <w:marRight w:val="0"/>
          <w:marTop w:val="0"/>
          <w:marBottom w:val="0"/>
          <w:divBdr>
            <w:top w:val="none" w:sz="0" w:space="0" w:color="auto"/>
            <w:left w:val="none" w:sz="0" w:space="0" w:color="auto"/>
            <w:bottom w:val="none" w:sz="0" w:space="0" w:color="auto"/>
            <w:right w:val="none" w:sz="0" w:space="0" w:color="auto"/>
          </w:divBdr>
        </w:div>
        <w:div w:id="430441940">
          <w:marLeft w:val="640"/>
          <w:marRight w:val="0"/>
          <w:marTop w:val="0"/>
          <w:marBottom w:val="0"/>
          <w:divBdr>
            <w:top w:val="none" w:sz="0" w:space="0" w:color="auto"/>
            <w:left w:val="none" w:sz="0" w:space="0" w:color="auto"/>
            <w:bottom w:val="none" w:sz="0" w:space="0" w:color="auto"/>
            <w:right w:val="none" w:sz="0" w:space="0" w:color="auto"/>
          </w:divBdr>
        </w:div>
        <w:div w:id="294068677">
          <w:marLeft w:val="640"/>
          <w:marRight w:val="0"/>
          <w:marTop w:val="0"/>
          <w:marBottom w:val="0"/>
          <w:divBdr>
            <w:top w:val="none" w:sz="0" w:space="0" w:color="auto"/>
            <w:left w:val="none" w:sz="0" w:space="0" w:color="auto"/>
            <w:bottom w:val="none" w:sz="0" w:space="0" w:color="auto"/>
            <w:right w:val="none" w:sz="0" w:space="0" w:color="auto"/>
          </w:divBdr>
        </w:div>
        <w:div w:id="283848351">
          <w:marLeft w:val="640"/>
          <w:marRight w:val="0"/>
          <w:marTop w:val="0"/>
          <w:marBottom w:val="0"/>
          <w:divBdr>
            <w:top w:val="none" w:sz="0" w:space="0" w:color="auto"/>
            <w:left w:val="none" w:sz="0" w:space="0" w:color="auto"/>
            <w:bottom w:val="none" w:sz="0" w:space="0" w:color="auto"/>
            <w:right w:val="none" w:sz="0" w:space="0" w:color="auto"/>
          </w:divBdr>
        </w:div>
        <w:div w:id="472678241">
          <w:marLeft w:val="640"/>
          <w:marRight w:val="0"/>
          <w:marTop w:val="0"/>
          <w:marBottom w:val="0"/>
          <w:divBdr>
            <w:top w:val="none" w:sz="0" w:space="0" w:color="auto"/>
            <w:left w:val="none" w:sz="0" w:space="0" w:color="auto"/>
            <w:bottom w:val="none" w:sz="0" w:space="0" w:color="auto"/>
            <w:right w:val="none" w:sz="0" w:space="0" w:color="auto"/>
          </w:divBdr>
        </w:div>
        <w:div w:id="1395078545">
          <w:marLeft w:val="640"/>
          <w:marRight w:val="0"/>
          <w:marTop w:val="0"/>
          <w:marBottom w:val="0"/>
          <w:divBdr>
            <w:top w:val="none" w:sz="0" w:space="0" w:color="auto"/>
            <w:left w:val="none" w:sz="0" w:space="0" w:color="auto"/>
            <w:bottom w:val="none" w:sz="0" w:space="0" w:color="auto"/>
            <w:right w:val="none" w:sz="0" w:space="0" w:color="auto"/>
          </w:divBdr>
        </w:div>
        <w:div w:id="82068070">
          <w:marLeft w:val="640"/>
          <w:marRight w:val="0"/>
          <w:marTop w:val="0"/>
          <w:marBottom w:val="0"/>
          <w:divBdr>
            <w:top w:val="none" w:sz="0" w:space="0" w:color="auto"/>
            <w:left w:val="none" w:sz="0" w:space="0" w:color="auto"/>
            <w:bottom w:val="none" w:sz="0" w:space="0" w:color="auto"/>
            <w:right w:val="none" w:sz="0" w:space="0" w:color="auto"/>
          </w:divBdr>
        </w:div>
        <w:div w:id="1739129147">
          <w:marLeft w:val="640"/>
          <w:marRight w:val="0"/>
          <w:marTop w:val="0"/>
          <w:marBottom w:val="0"/>
          <w:divBdr>
            <w:top w:val="none" w:sz="0" w:space="0" w:color="auto"/>
            <w:left w:val="none" w:sz="0" w:space="0" w:color="auto"/>
            <w:bottom w:val="none" w:sz="0" w:space="0" w:color="auto"/>
            <w:right w:val="none" w:sz="0" w:space="0" w:color="auto"/>
          </w:divBdr>
        </w:div>
        <w:div w:id="1277718305">
          <w:marLeft w:val="640"/>
          <w:marRight w:val="0"/>
          <w:marTop w:val="0"/>
          <w:marBottom w:val="0"/>
          <w:divBdr>
            <w:top w:val="none" w:sz="0" w:space="0" w:color="auto"/>
            <w:left w:val="none" w:sz="0" w:space="0" w:color="auto"/>
            <w:bottom w:val="none" w:sz="0" w:space="0" w:color="auto"/>
            <w:right w:val="none" w:sz="0" w:space="0" w:color="auto"/>
          </w:divBdr>
        </w:div>
        <w:div w:id="1737825175">
          <w:marLeft w:val="640"/>
          <w:marRight w:val="0"/>
          <w:marTop w:val="0"/>
          <w:marBottom w:val="0"/>
          <w:divBdr>
            <w:top w:val="none" w:sz="0" w:space="0" w:color="auto"/>
            <w:left w:val="none" w:sz="0" w:space="0" w:color="auto"/>
            <w:bottom w:val="none" w:sz="0" w:space="0" w:color="auto"/>
            <w:right w:val="none" w:sz="0" w:space="0" w:color="auto"/>
          </w:divBdr>
        </w:div>
        <w:div w:id="198010597">
          <w:marLeft w:val="640"/>
          <w:marRight w:val="0"/>
          <w:marTop w:val="0"/>
          <w:marBottom w:val="0"/>
          <w:divBdr>
            <w:top w:val="none" w:sz="0" w:space="0" w:color="auto"/>
            <w:left w:val="none" w:sz="0" w:space="0" w:color="auto"/>
            <w:bottom w:val="none" w:sz="0" w:space="0" w:color="auto"/>
            <w:right w:val="none" w:sz="0" w:space="0" w:color="auto"/>
          </w:divBdr>
        </w:div>
        <w:div w:id="1933972398">
          <w:marLeft w:val="640"/>
          <w:marRight w:val="0"/>
          <w:marTop w:val="0"/>
          <w:marBottom w:val="0"/>
          <w:divBdr>
            <w:top w:val="none" w:sz="0" w:space="0" w:color="auto"/>
            <w:left w:val="none" w:sz="0" w:space="0" w:color="auto"/>
            <w:bottom w:val="none" w:sz="0" w:space="0" w:color="auto"/>
            <w:right w:val="none" w:sz="0" w:space="0" w:color="auto"/>
          </w:divBdr>
        </w:div>
        <w:div w:id="76825120">
          <w:marLeft w:val="640"/>
          <w:marRight w:val="0"/>
          <w:marTop w:val="0"/>
          <w:marBottom w:val="0"/>
          <w:divBdr>
            <w:top w:val="none" w:sz="0" w:space="0" w:color="auto"/>
            <w:left w:val="none" w:sz="0" w:space="0" w:color="auto"/>
            <w:bottom w:val="none" w:sz="0" w:space="0" w:color="auto"/>
            <w:right w:val="none" w:sz="0" w:space="0" w:color="auto"/>
          </w:divBdr>
        </w:div>
        <w:div w:id="1525367432">
          <w:marLeft w:val="640"/>
          <w:marRight w:val="0"/>
          <w:marTop w:val="0"/>
          <w:marBottom w:val="0"/>
          <w:divBdr>
            <w:top w:val="none" w:sz="0" w:space="0" w:color="auto"/>
            <w:left w:val="none" w:sz="0" w:space="0" w:color="auto"/>
            <w:bottom w:val="none" w:sz="0" w:space="0" w:color="auto"/>
            <w:right w:val="none" w:sz="0" w:space="0" w:color="auto"/>
          </w:divBdr>
        </w:div>
        <w:div w:id="120195751">
          <w:marLeft w:val="640"/>
          <w:marRight w:val="0"/>
          <w:marTop w:val="0"/>
          <w:marBottom w:val="0"/>
          <w:divBdr>
            <w:top w:val="none" w:sz="0" w:space="0" w:color="auto"/>
            <w:left w:val="none" w:sz="0" w:space="0" w:color="auto"/>
            <w:bottom w:val="none" w:sz="0" w:space="0" w:color="auto"/>
            <w:right w:val="none" w:sz="0" w:space="0" w:color="auto"/>
          </w:divBdr>
        </w:div>
        <w:div w:id="904875391">
          <w:marLeft w:val="640"/>
          <w:marRight w:val="0"/>
          <w:marTop w:val="0"/>
          <w:marBottom w:val="0"/>
          <w:divBdr>
            <w:top w:val="none" w:sz="0" w:space="0" w:color="auto"/>
            <w:left w:val="none" w:sz="0" w:space="0" w:color="auto"/>
            <w:bottom w:val="none" w:sz="0" w:space="0" w:color="auto"/>
            <w:right w:val="none" w:sz="0" w:space="0" w:color="auto"/>
          </w:divBdr>
        </w:div>
        <w:div w:id="590435692">
          <w:marLeft w:val="640"/>
          <w:marRight w:val="0"/>
          <w:marTop w:val="0"/>
          <w:marBottom w:val="0"/>
          <w:divBdr>
            <w:top w:val="none" w:sz="0" w:space="0" w:color="auto"/>
            <w:left w:val="none" w:sz="0" w:space="0" w:color="auto"/>
            <w:bottom w:val="none" w:sz="0" w:space="0" w:color="auto"/>
            <w:right w:val="none" w:sz="0" w:space="0" w:color="auto"/>
          </w:divBdr>
        </w:div>
        <w:div w:id="528643752">
          <w:marLeft w:val="640"/>
          <w:marRight w:val="0"/>
          <w:marTop w:val="0"/>
          <w:marBottom w:val="0"/>
          <w:divBdr>
            <w:top w:val="none" w:sz="0" w:space="0" w:color="auto"/>
            <w:left w:val="none" w:sz="0" w:space="0" w:color="auto"/>
            <w:bottom w:val="none" w:sz="0" w:space="0" w:color="auto"/>
            <w:right w:val="none" w:sz="0" w:space="0" w:color="auto"/>
          </w:divBdr>
        </w:div>
        <w:div w:id="1068041789">
          <w:marLeft w:val="640"/>
          <w:marRight w:val="0"/>
          <w:marTop w:val="0"/>
          <w:marBottom w:val="0"/>
          <w:divBdr>
            <w:top w:val="none" w:sz="0" w:space="0" w:color="auto"/>
            <w:left w:val="none" w:sz="0" w:space="0" w:color="auto"/>
            <w:bottom w:val="none" w:sz="0" w:space="0" w:color="auto"/>
            <w:right w:val="none" w:sz="0" w:space="0" w:color="auto"/>
          </w:divBdr>
        </w:div>
        <w:div w:id="1620258004">
          <w:marLeft w:val="640"/>
          <w:marRight w:val="0"/>
          <w:marTop w:val="0"/>
          <w:marBottom w:val="0"/>
          <w:divBdr>
            <w:top w:val="none" w:sz="0" w:space="0" w:color="auto"/>
            <w:left w:val="none" w:sz="0" w:space="0" w:color="auto"/>
            <w:bottom w:val="none" w:sz="0" w:space="0" w:color="auto"/>
            <w:right w:val="none" w:sz="0" w:space="0" w:color="auto"/>
          </w:divBdr>
        </w:div>
        <w:div w:id="1336226102">
          <w:marLeft w:val="640"/>
          <w:marRight w:val="0"/>
          <w:marTop w:val="0"/>
          <w:marBottom w:val="0"/>
          <w:divBdr>
            <w:top w:val="none" w:sz="0" w:space="0" w:color="auto"/>
            <w:left w:val="none" w:sz="0" w:space="0" w:color="auto"/>
            <w:bottom w:val="none" w:sz="0" w:space="0" w:color="auto"/>
            <w:right w:val="none" w:sz="0" w:space="0" w:color="auto"/>
          </w:divBdr>
        </w:div>
        <w:div w:id="1851329388">
          <w:marLeft w:val="640"/>
          <w:marRight w:val="0"/>
          <w:marTop w:val="0"/>
          <w:marBottom w:val="0"/>
          <w:divBdr>
            <w:top w:val="none" w:sz="0" w:space="0" w:color="auto"/>
            <w:left w:val="none" w:sz="0" w:space="0" w:color="auto"/>
            <w:bottom w:val="none" w:sz="0" w:space="0" w:color="auto"/>
            <w:right w:val="none" w:sz="0" w:space="0" w:color="auto"/>
          </w:divBdr>
        </w:div>
        <w:div w:id="1184243319">
          <w:marLeft w:val="640"/>
          <w:marRight w:val="0"/>
          <w:marTop w:val="0"/>
          <w:marBottom w:val="0"/>
          <w:divBdr>
            <w:top w:val="none" w:sz="0" w:space="0" w:color="auto"/>
            <w:left w:val="none" w:sz="0" w:space="0" w:color="auto"/>
            <w:bottom w:val="none" w:sz="0" w:space="0" w:color="auto"/>
            <w:right w:val="none" w:sz="0" w:space="0" w:color="auto"/>
          </w:divBdr>
        </w:div>
        <w:div w:id="1167208643">
          <w:marLeft w:val="640"/>
          <w:marRight w:val="0"/>
          <w:marTop w:val="0"/>
          <w:marBottom w:val="0"/>
          <w:divBdr>
            <w:top w:val="none" w:sz="0" w:space="0" w:color="auto"/>
            <w:left w:val="none" w:sz="0" w:space="0" w:color="auto"/>
            <w:bottom w:val="none" w:sz="0" w:space="0" w:color="auto"/>
            <w:right w:val="none" w:sz="0" w:space="0" w:color="auto"/>
          </w:divBdr>
        </w:div>
        <w:div w:id="1181427804">
          <w:marLeft w:val="640"/>
          <w:marRight w:val="0"/>
          <w:marTop w:val="0"/>
          <w:marBottom w:val="0"/>
          <w:divBdr>
            <w:top w:val="none" w:sz="0" w:space="0" w:color="auto"/>
            <w:left w:val="none" w:sz="0" w:space="0" w:color="auto"/>
            <w:bottom w:val="none" w:sz="0" w:space="0" w:color="auto"/>
            <w:right w:val="none" w:sz="0" w:space="0" w:color="auto"/>
          </w:divBdr>
        </w:div>
        <w:div w:id="1745448695">
          <w:marLeft w:val="640"/>
          <w:marRight w:val="0"/>
          <w:marTop w:val="0"/>
          <w:marBottom w:val="0"/>
          <w:divBdr>
            <w:top w:val="none" w:sz="0" w:space="0" w:color="auto"/>
            <w:left w:val="none" w:sz="0" w:space="0" w:color="auto"/>
            <w:bottom w:val="none" w:sz="0" w:space="0" w:color="auto"/>
            <w:right w:val="none" w:sz="0" w:space="0" w:color="auto"/>
          </w:divBdr>
        </w:div>
        <w:div w:id="873080588">
          <w:marLeft w:val="640"/>
          <w:marRight w:val="0"/>
          <w:marTop w:val="0"/>
          <w:marBottom w:val="0"/>
          <w:divBdr>
            <w:top w:val="none" w:sz="0" w:space="0" w:color="auto"/>
            <w:left w:val="none" w:sz="0" w:space="0" w:color="auto"/>
            <w:bottom w:val="none" w:sz="0" w:space="0" w:color="auto"/>
            <w:right w:val="none" w:sz="0" w:space="0" w:color="auto"/>
          </w:divBdr>
        </w:div>
        <w:div w:id="233325248">
          <w:marLeft w:val="640"/>
          <w:marRight w:val="0"/>
          <w:marTop w:val="0"/>
          <w:marBottom w:val="0"/>
          <w:divBdr>
            <w:top w:val="none" w:sz="0" w:space="0" w:color="auto"/>
            <w:left w:val="none" w:sz="0" w:space="0" w:color="auto"/>
            <w:bottom w:val="none" w:sz="0" w:space="0" w:color="auto"/>
            <w:right w:val="none" w:sz="0" w:space="0" w:color="auto"/>
          </w:divBdr>
        </w:div>
        <w:div w:id="1782065934">
          <w:marLeft w:val="640"/>
          <w:marRight w:val="0"/>
          <w:marTop w:val="0"/>
          <w:marBottom w:val="0"/>
          <w:divBdr>
            <w:top w:val="none" w:sz="0" w:space="0" w:color="auto"/>
            <w:left w:val="none" w:sz="0" w:space="0" w:color="auto"/>
            <w:bottom w:val="none" w:sz="0" w:space="0" w:color="auto"/>
            <w:right w:val="none" w:sz="0" w:space="0" w:color="auto"/>
          </w:divBdr>
        </w:div>
        <w:div w:id="1143813509">
          <w:marLeft w:val="640"/>
          <w:marRight w:val="0"/>
          <w:marTop w:val="0"/>
          <w:marBottom w:val="0"/>
          <w:divBdr>
            <w:top w:val="none" w:sz="0" w:space="0" w:color="auto"/>
            <w:left w:val="none" w:sz="0" w:space="0" w:color="auto"/>
            <w:bottom w:val="none" w:sz="0" w:space="0" w:color="auto"/>
            <w:right w:val="none" w:sz="0" w:space="0" w:color="auto"/>
          </w:divBdr>
        </w:div>
        <w:div w:id="922569403">
          <w:marLeft w:val="640"/>
          <w:marRight w:val="0"/>
          <w:marTop w:val="0"/>
          <w:marBottom w:val="0"/>
          <w:divBdr>
            <w:top w:val="none" w:sz="0" w:space="0" w:color="auto"/>
            <w:left w:val="none" w:sz="0" w:space="0" w:color="auto"/>
            <w:bottom w:val="none" w:sz="0" w:space="0" w:color="auto"/>
            <w:right w:val="none" w:sz="0" w:space="0" w:color="auto"/>
          </w:divBdr>
        </w:div>
        <w:div w:id="282616249">
          <w:marLeft w:val="640"/>
          <w:marRight w:val="0"/>
          <w:marTop w:val="0"/>
          <w:marBottom w:val="0"/>
          <w:divBdr>
            <w:top w:val="none" w:sz="0" w:space="0" w:color="auto"/>
            <w:left w:val="none" w:sz="0" w:space="0" w:color="auto"/>
            <w:bottom w:val="none" w:sz="0" w:space="0" w:color="auto"/>
            <w:right w:val="none" w:sz="0" w:space="0" w:color="auto"/>
          </w:divBdr>
        </w:div>
        <w:div w:id="493879746">
          <w:marLeft w:val="640"/>
          <w:marRight w:val="0"/>
          <w:marTop w:val="0"/>
          <w:marBottom w:val="0"/>
          <w:divBdr>
            <w:top w:val="none" w:sz="0" w:space="0" w:color="auto"/>
            <w:left w:val="none" w:sz="0" w:space="0" w:color="auto"/>
            <w:bottom w:val="none" w:sz="0" w:space="0" w:color="auto"/>
            <w:right w:val="none" w:sz="0" w:space="0" w:color="auto"/>
          </w:divBdr>
        </w:div>
        <w:div w:id="1930698289">
          <w:marLeft w:val="640"/>
          <w:marRight w:val="0"/>
          <w:marTop w:val="0"/>
          <w:marBottom w:val="0"/>
          <w:divBdr>
            <w:top w:val="none" w:sz="0" w:space="0" w:color="auto"/>
            <w:left w:val="none" w:sz="0" w:space="0" w:color="auto"/>
            <w:bottom w:val="none" w:sz="0" w:space="0" w:color="auto"/>
            <w:right w:val="none" w:sz="0" w:space="0" w:color="auto"/>
          </w:divBdr>
        </w:div>
        <w:div w:id="1586525047">
          <w:marLeft w:val="640"/>
          <w:marRight w:val="0"/>
          <w:marTop w:val="0"/>
          <w:marBottom w:val="0"/>
          <w:divBdr>
            <w:top w:val="none" w:sz="0" w:space="0" w:color="auto"/>
            <w:left w:val="none" w:sz="0" w:space="0" w:color="auto"/>
            <w:bottom w:val="none" w:sz="0" w:space="0" w:color="auto"/>
            <w:right w:val="none" w:sz="0" w:space="0" w:color="auto"/>
          </w:divBdr>
        </w:div>
        <w:div w:id="1154906142">
          <w:marLeft w:val="640"/>
          <w:marRight w:val="0"/>
          <w:marTop w:val="0"/>
          <w:marBottom w:val="0"/>
          <w:divBdr>
            <w:top w:val="none" w:sz="0" w:space="0" w:color="auto"/>
            <w:left w:val="none" w:sz="0" w:space="0" w:color="auto"/>
            <w:bottom w:val="none" w:sz="0" w:space="0" w:color="auto"/>
            <w:right w:val="none" w:sz="0" w:space="0" w:color="auto"/>
          </w:divBdr>
        </w:div>
        <w:div w:id="1230505325">
          <w:marLeft w:val="640"/>
          <w:marRight w:val="0"/>
          <w:marTop w:val="0"/>
          <w:marBottom w:val="0"/>
          <w:divBdr>
            <w:top w:val="none" w:sz="0" w:space="0" w:color="auto"/>
            <w:left w:val="none" w:sz="0" w:space="0" w:color="auto"/>
            <w:bottom w:val="none" w:sz="0" w:space="0" w:color="auto"/>
            <w:right w:val="none" w:sz="0" w:space="0" w:color="auto"/>
          </w:divBdr>
        </w:div>
        <w:div w:id="843399770">
          <w:marLeft w:val="640"/>
          <w:marRight w:val="0"/>
          <w:marTop w:val="0"/>
          <w:marBottom w:val="0"/>
          <w:divBdr>
            <w:top w:val="none" w:sz="0" w:space="0" w:color="auto"/>
            <w:left w:val="none" w:sz="0" w:space="0" w:color="auto"/>
            <w:bottom w:val="none" w:sz="0" w:space="0" w:color="auto"/>
            <w:right w:val="none" w:sz="0" w:space="0" w:color="auto"/>
          </w:divBdr>
        </w:div>
        <w:div w:id="465852273">
          <w:marLeft w:val="640"/>
          <w:marRight w:val="0"/>
          <w:marTop w:val="0"/>
          <w:marBottom w:val="0"/>
          <w:divBdr>
            <w:top w:val="none" w:sz="0" w:space="0" w:color="auto"/>
            <w:left w:val="none" w:sz="0" w:space="0" w:color="auto"/>
            <w:bottom w:val="none" w:sz="0" w:space="0" w:color="auto"/>
            <w:right w:val="none" w:sz="0" w:space="0" w:color="auto"/>
          </w:divBdr>
        </w:div>
        <w:div w:id="1054617980">
          <w:marLeft w:val="640"/>
          <w:marRight w:val="0"/>
          <w:marTop w:val="0"/>
          <w:marBottom w:val="0"/>
          <w:divBdr>
            <w:top w:val="none" w:sz="0" w:space="0" w:color="auto"/>
            <w:left w:val="none" w:sz="0" w:space="0" w:color="auto"/>
            <w:bottom w:val="none" w:sz="0" w:space="0" w:color="auto"/>
            <w:right w:val="none" w:sz="0" w:space="0" w:color="auto"/>
          </w:divBdr>
        </w:div>
        <w:div w:id="2048488483">
          <w:marLeft w:val="640"/>
          <w:marRight w:val="0"/>
          <w:marTop w:val="0"/>
          <w:marBottom w:val="0"/>
          <w:divBdr>
            <w:top w:val="none" w:sz="0" w:space="0" w:color="auto"/>
            <w:left w:val="none" w:sz="0" w:space="0" w:color="auto"/>
            <w:bottom w:val="none" w:sz="0" w:space="0" w:color="auto"/>
            <w:right w:val="none" w:sz="0" w:space="0" w:color="auto"/>
          </w:divBdr>
        </w:div>
        <w:div w:id="163783800">
          <w:marLeft w:val="640"/>
          <w:marRight w:val="0"/>
          <w:marTop w:val="0"/>
          <w:marBottom w:val="0"/>
          <w:divBdr>
            <w:top w:val="none" w:sz="0" w:space="0" w:color="auto"/>
            <w:left w:val="none" w:sz="0" w:space="0" w:color="auto"/>
            <w:bottom w:val="none" w:sz="0" w:space="0" w:color="auto"/>
            <w:right w:val="none" w:sz="0" w:space="0" w:color="auto"/>
          </w:divBdr>
        </w:div>
        <w:div w:id="432675994">
          <w:marLeft w:val="640"/>
          <w:marRight w:val="0"/>
          <w:marTop w:val="0"/>
          <w:marBottom w:val="0"/>
          <w:divBdr>
            <w:top w:val="none" w:sz="0" w:space="0" w:color="auto"/>
            <w:left w:val="none" w:sz="0" w:space="0" w:color="auto"/>
            <w:bottom w:val="none" w:sz="0" w:space="0" w:color="auto"/>
            <w:right w:val="none" w:sz="0" w:space="0" w:color="auto"/>
          </w:divBdr>
        </w:div>
        <w:div w:id="1298487814">
          <w:marLeft w:val="640"/>
          <w:marRight w:val="0"/>
          <w:marTop w:val="0"/>
          <w:marBottom w:val="0"/>
          <w:divBdr>
            <w:top w:val="none" w:sz="0" w:space="0" w:color="auto"/>
            <w:left w:val="none" w:sz="0" w:space="0" w:color="auto"/>
            <w:bottom w:val="none" w:sz="0" w:space="0" w:color="auto"/>
            <w:right w:val="none" w:sz="0" w:space="0" w:color="auto"/>
          </w:divBdr>
        </w:div>
        <w:div w:id="741218346">
          <w:marLeft w:val="640"/>
          <w:marRight w:val="0"/>
          <w:marTop w:val="0"/>
          <w:marBottom w:val="0"/>
          <w:divBdr>
            <w:top w:val="none" w:sz="0" w:space="0" w:color="auto"/>
            <w:left w:val="none" w:sz="0" w:space="0" w:color="auto"/>
            <w:bottom w:val="none" w:sz="0" w:space="0" w:color="auto"/>
            <w:right w:val="none" w:sz="0" w:space="0" w:color="auto"/>
          </w:divBdr>
        </w:div>
        <w:div w:id="110518039">
          <w:marLeft w:val="640"/>
          <w:marRight w:val="0"/>
          <w:marTop w:val="0"/>
          <w:marBottom w:val="0"/>
          <w:divBdr>
            <w:top w:val="none" w:sz="0" w:space="0" w:color="auto"/>
            <w:left w:val="none" w:sz="0" w:space="0" w:color="auto"/>
            <w:bottom w:val="none" w:sz="0" w:space="0" w:color="auto"/>
            <w:right w:val="none" w:sz="0" w:space="0" w:color="auto"/>
          </w:divBdr>
        </w:div>
        <w:div w:id="737290820">
          <w:marLeft w:val="640"/>
          <w:marRight w:val="0"/>
          <w:marTop w:val="0"/>
          <w:marBottom w:val="0"/>
          <w:divBdr>
            <w:top w:val="none" w:sz="0" w:space="0" w:color="auto"/>
            <w:left w:val="none" w:sz="0" w:space="0" w:color="auto"/>
            <w:bottom w:val="none" w:sz="0" w:space="0" w:color="auto"/>
            <w:right w:val="none" w:sz="0" w:space="0" w:color="auto"/>
          </w:divBdr>
        </w:div>
        <w:div w:id="2042122981">
          <w:marLeft w:val="640"/>
          <w:marRight w:val="0"/>
          <w:marTop w:val="0"/>
          <w:marBottom w:val="0"/>
          <w:divBdr>
            <w:top w:val="none" w:sz="0" w:space="0" w:color="auto"/>
            <w:left w:val="none" w:sz="0" w:space="0" w:color="auto"/>
            <w:bottom w:val="none" w:sz="0" w:space="0" w:color="auto"/>
            <w:right w:val="none" w:sz="0" w:space="0" w:color="auto"/>
          </w:divBdr>
        </w:div>
        <w:div w:id="883174335">
          <w:marLeft w:val="640"/>
          <w:marRight w:val="0"/>
          <w:marTop w:val="0"/>
          <w:marBottom w:val="0"/>
          <w:divBdr>
            <w:top w:val="none" w:sz="0" w:space="0" w:color="auto"/>
            <w:left w:val="none" w:sz="0" w:space="0" w:color="auto"/>
            <w:bottom w:val="none" w:sz="0" w:space="0" w:color="auto"/>
            <w:right w:val="none" w:sz="0" w:space="0" w:color="auto"/>
          </w:divBdr>
        </w:div>
        <w:div w:id="1269390278">
          <w:marLeft w:val="640"/>
          <w:marRight w:val="0"/>
          <w:marTop w:val="0"/>
          <w:marBottom w:val="0"/>
          <w:divBdr>
            <w:top w:val="none" w:sz="0" w:space="0" w:color="auto"/>
            <w:left w:val="none" w:sz="0" w:space="0" w:color="auto"/>
            <w:bottom w:val="none" w:sz="0" w:space="0" w:color="auto"/>
            <w:right w:val="none" w:sz="0" w:space="0" w:color="auto"/>
          </w:divBdr>
        </w:div>
        <w:div w:id="1676690663">
          <w:marLeft w:val="640"/>
          <w:marRight w:val="0"/>
          <w:marTop w:val="0"/>
          <w:marBottom w:val="0"/>
          <w:divBdr>
            <w:top w:val="none" w:sz="0" w:space="0" w:color="auto"/>
            <w:left w:val="none" w:sz="0" w:space="0" w:color="auto"/>
            <w:bottom w:val="none" w:sz="0" w:space="0" w:color="auto"/>
            <w:right w:val="none" w:sz="0" w:space="0" w:color="auto"/>
          </w:divBdr>
        </w:div>
        <w:div w:id="1794208573">
          <w:marLeft w:val="640"/>
          <w:marRight w:val="0"/>
          <w:marTop w:val="0"/>
          <w:marBottom w:val="0"/>
          <w:divBdr>
            <w:top w:val="none" w:sz="0" w:space="0" w:color="auto"/>
            <w:left w:val="none" w:sz="0" w:space="0" w:color="auto"/>
            <w:bottom w:val="none" w:sz="0" w:space="0" w:color="auto"/>
            <w:right w:val="none" w:sz="0" w:space="0" w:color="auto"/>
          </w:divBdr>
        </w:div>
        <w:div w:id="494343551">
          <w:marLeft w:val="640"/>
          <w:marRight w:val="0"/>
          <w:marTop w:val="0"/>
          <w:marBottom w:val="0"/>
          <w:divBdr>
            <w:top w:val="none" w:sz="0" w:space="0" w:color="auto"/>
            <w:left w:val="none" w:sz="0" w:space="0" w:color="auto"/>
            <w:bottom w:val="none" w:sz="0" w:space="0" w:color="auto"/>
            <w:right w:val="none" w:sz="0" w:space="0" w:color="auto"/>
          </w:divBdr>
        </w:div>
        <w:div w:id="1139879103">
          <w:marLeft w:val="640"/>
          <w:marRight w:val="0"/>
          <w:marTop w:val="0"/>
          <w:marBottom w:val="0"/>
          <w:divBdr>
            <w:top w:val="none" w:sz="0" w:space="0" w:color="auto"/>
            <w:left w:val="none" w:sz="0" w:space="0" w:color="auto"/>
            <w:bottom w:val="none" w:sz="0" w:space="0" w:color="auto"/>
            <w:right w:val="none" w:sz="0" w:space="0" w:color="auto"/>
          </w:divBdr>
        </w:div>
        <w:div w:id="697245576">
          <w:marLeft w:val="640"/>
          <w:marRight w:val="0"/>
          <w:marTop w:val="0"/>
          <w:marBottom w:val="0"/>
          <w:divBdr>
            <w:top w:val="none" w:sz="0" w:space="0" w:color="auto"/>
            <w:left w:val="none" w:sz="0" w:space="0" w:color="auto"/>
            <w:bottom w:val="none" w:sz="0" w:space="0" w:color="auto"/>
            <w:right w:val="none" w:sz="0" w:space="0" w:color="auto"/>
          </w:divBdr>
        </w:div>
        <w:div w:id="656612163">
          <w:marLeft w:val="640"/>
          <w:marRight w:val="0"/>
          <w:marTop w:val="0"/>
          <w:marBottom w:val="0"/>
          <w:divBdr>
            <w:top w:val="none" w:sz="0" w:space="0" w:color="auto"/>
            <w:left w:val="none" w:sz="0" w:space="0" w:color="auto"/>
            <w:bottom w:val="none" w:sz="0" w:space="0" w:color="auto"/>
            <w:right w:val="none" w:sz="0" w:space="0" w:color="auto"/>
          </w:divBdr>
        </w:div>
        <w:div w:id="1806312370">
          <w:marLeft w:val="640"/>
          <w:marRight w:val="0"/>
          <w:marTop w:val="0"/>
          <w:marBottom w:val="0"/>
          <w:divBdr>
            <w:top w:val="none" w:sz="0" w:space="0" w:color="auto"/>
            <w:left w:val="none" w:sz="0" w:space="0" w:color="auto"/>
            <w:bottom w:val="none" w:sz="0" w:space="0" w:color="auto"/>
            <w:right w:val="none" w:sz="0" w:space="0" w:color="auto"/>
          </w:divBdr>
        </w:div>
        <w:div w:id="111630960">
          <w:marLeft w:val="640"/>
          <w:marRight w:val="0"/>
          <w:marTop w:val="0"/>
          <w:marBottom w:val="0"/>
          <w:divBdr>
            <w:top w:val="none" w:sz="0" w:space="0" w:color="auto"/>
            <w:left w:val="none" w:sz="0" w:space="0" w:color="auto"/>
            <w:bottom w:val="none" w:sz="0" w:space="0" w:color="auto"/>
            <w:right w:val="none" w:sz="0" w:space="0" w:color="auto"/>
          </w:divBdr>
        </w:div>
        <w:div w:id="627321599">
          <w:marLeft w:val="640"/>
          <w:marRight w:val="0"/>
          <w:marTop w:val="0"/>
          <w:marBottom w:val="0"/>
          <w:divBdr>
            <w:top w:val="none" w:sz="0" w:space="0" w:color="auto"/>
            <w:left w:val="none" w:sz="0" w:space="0" w:color="auto"/>
            <w:bottom w:val="none" w:sz="0" w:space="0" w:color="auto"/>
            <w:right w:val="none" w:sz="0" w:space="0" w:color="auto"/>
          </w:divBdr>
        </w:div>
        <w:div w:id="486164828">
          <w:marLeft w:val="640"/>
          <w:marRight w:val="0"/>
          <w:marTop w:val="0"/>
          <w:marBottom w:val="0"/>
          <w:divBdr>
            <w:top w:val="none" w:sz="0" w:space="0" w:color="auto"/>
            <w:left w:val="none" w:sz="0" w:space="0" w:color="auto"/>
            <w:bottom w:val="none" w:sz="0" w:space="0" w:color="auto"/>
            <w:right w:val="none" w:sz="0" w:space="0" w:color="auto"/>
          </w:divBdr>
        </w:div>
        <w:div w:id="1562986454">
          <w:marLeft w:val="640"/>
          <w:marRight w:val="0"/>
          <w:marTop w:val="0"/>
          <w:marBottom w:val="0"/>
          <w:divBdr>
            <w:top w:val="none" w:sz="0" w:space="0" w:color="auto"/>
            <w:left w:val="none" w:sz="0" w:space="0" w:color="auto"/>
            <w:bottom w:val="none" w:sz="0" w:space="0" w:color="auto"/>
            <w:right w:val="none" w:sz="0" w:space="0" w:color="auto"/>
          </w:divBdr>
        </w:div>
        <w:div w:id="1926456423">
          <w:marLeft w:val="640"/>
          <w:marRight w:val="0"/>
          <w:marTop w:val="0"/>
          <w:marBottom w:val="0"/>
          <w:divBdr>
            <w:top w:val="none" w:sz="0" w:space="0" w:color="auto"/>
            <w:left w:val="none" w:sz="0" w:space="0" w:color="auto"/>
            <w:bottom w:val="none" w:sz="0" w:space="0" w:color="auto"/>
            <w:right w:val="none" w:sz="0" w:space="0" w:color="auto"/>
          </w:divBdr>
        </w:div>
        <w:div w:id="2014726374">
          <w:marLeft w:val="640"/>
          <w:marRight w:val="0"/>
          <w:marTop w:val="0"/>
          <w:marBottom w:val="0"/>
          <w:divBdr>
            <w:top w:val="none" w:sz="0" w:space="0" w:color="auto"/>
            <w:left w:val="none" w:sz="0" w:space="0" w:color="auto"/>
            <w:bottom w:val="none" w:sz="0" w:space="0" w:color="auto"/>
            <w:right w:val="none" w:sz="0" w:space="0" w:color="auto"/>
          </w:divBdr>
        </w:div>
        <w:div w:id="1120077462">
          <w:marLeft w:val="640"/>
          <w:marRight w:val="0"/>
          <w:marTop w:val="0"/>
          <w:marBottom w:val="0"/>
          <w:divBdr>
            <w:top w:val="none" w:sz="0" w:space="0" w:color="auto"/>
            <w:left w:val="none" w:sz="0" w:space="0" w:color="auto"/>
            <w:bottom w:val="none" w:sz="0" w:space="0" w:color="auto"/>
            <w:right w:val="none" w:sz="0" w:space="0" w:color="auto"/>
          </w:divBdr>
        </w:div>
        <w:div w:id="929703452">
          <w:marLeft w:val="640"/>
          <w:marRight w:val="0"/>
          <w:marTop w:val="0"/>
          <w:marBottom w:val="0"/>
          <w:divBdr>
            <w:top w:val="none" w:sz="0" w:space="0" w:color="auto"/>
            <w:left w:val="none" w:sz="0" w:space="0" w:color="auto"/>
            <w:bottom w:val="none" w:sz="0" w:space="0" w:color="auto"/>
            <w:right w:val="none" w:sz="0" w:space="0" w:color="auto"/>
          </w:divBdr>
        </w:div>
        <w:div w:id="475339571">
          <w:marLeft w:val="640"/>
          <w:marRight w:val="0"/>
          <w:marTop w:val="0"/>
          <w:marBottom w:val="0"/>
          <w:divBdr>
            <w:top w:val="none" w:sz="0" w:space="0" w:color="auto"/>
            <w:left w:val="none" w:sz="0" w:space="0" w:color="auto"/>
            <w:bottom w:val="none" w:sz="0" w:space="0" w:color="auto"/>
            <w:right w:val="none" w:sz="0" w:space="0" w:color="auto"/>
          </w:divBdr>
        </w:div>
        <w:div w:id="1995140047">
          <w:marLeft w:val="640"/>
          <w:marRight w:val="0"/>
          <w:marTop w:val="0"/>
          <w:marBottom w:val="0"/>
          <w:divBdr>
            <w:top w:val="none" w:sz="0" w:space="0" w:color="auto"/>
            <w:left w:val="none" w:sz="0" w:space="0" w:color="auto"/>
            <w:bottom w:val="none" w:sz="0" w:space="0" w:color="auto"/>
            <w:right w:val="none" w:sz="0" w:space="0" w:color="auto"/>
          </w:divBdr>
        </w:div>
        <w:div w:id="16125847">
          <w:marLeft w:val="640"/>
          <w:marRight w:val="0"/>
          <w:marTop w:val="0"/>
          <w:marBottom w:val="0"/>
          <w:divBdr>
            <w:top w:val="none" w:sz="0" w:space="0" w:color="auto"/>
            <w:left w:val="none" w:sz="0" w:space="0" w:color="auto"/>
            <w:bottom w:val="none" w:sz="0" w:space="0" w:color="auto"/>
            <w:right w:val="none" w:sz="0" w:space="0" w:color="auto"/>
          </w:divBdr>
        </w:div>
        <w:div w:id="841432655">
          <w:marLeft w:val="640"/>
          <w:marRight w:val="0"/>
          <w:marTop w:val="0"/>
          <w:marBottom w:val="0"/>
          <w:divBdr>
            <w:top w:val="none" w:sz="0" w:space="0" w:color="auto"/>
            <w:left w:val="none" w:sz="0" w:space="0" w:color="auto"/>
            <w:bottom w:val="none" w:sz="0" w:space="0" w:color="auto"/>
            <w:right w:val="none" w:sz="0" w:space="0" w:color="auto"/>
          </w:divBdr>
        </w:div>
        <w:div w:id="1682051626">
          <w:marLeft w:val="640"/>
          <w:marRight w:val="0"/>
          <w:marTop w:val="0"/>
          <w:marBottom w:val="0"/>
          <w:divBdr>
            <w:top w:val="none" w:sz="0" w:space="0" w:color="auto"/>
            <w:left w:val="none" w:sz="0" w:space="0" w:color="auto"/>
            <w:bottom w:val="none" w:sz="0" w:space="0" w:color="auto"/>
            <w:right w:val="none" w:sz="0" w:space="0" w:color="auto"/>
          </w:divBdr>
        </w:div>
        <w:div w:id="1836724293">
          <w:marLeft w:val="640"/>
          <w:marRight w:val="0"/>
          <w:marTop w:val="0"/>
          <w:marBottom w:val="0"/>
          <w:divBdr>
            <w:top w:val="none" w:sz="0" w:space="0" w:color="auto"/>
            <w:left w:val="none" w:sz="0" w:space="0" w:color="auto"/>
            <w:bottom w:val="none" w:sz="0" w:space="0" w:color="auto"/>
            <w:right w:val="none" w:sz="0" w:space="0" w:color="auto"/>
          </w:divBdr>
        </w:div>
        <w:div w:id="1404451462">
          <w:marLeft w:val="640"/>
          <w:marRight w:val="0"/>
          <w:marTop w:val="0"/>
          <w:marBottom w:val="0"/>
          <w:divBdr>
            <w:top w:val="none" w:sz="0" w:space="0" w:color="auto"/>
            <w:left w:val="none" w:sz="0" w:space="0" w:color="auto"/>
            <w:bottom w:val="none" w:sz="0" w:space="0" w:color="auto"/>
            <w:right w:val="none" w:sz="0" w:space="0" w:color="auto"/>
          </w:divBdr>
        </w:div>
        <w:div w:id="1307397432">
          <w:marLeft w:val="640"/>
          <w:marRight w:val="0"/>
          <w:marTop w:val="0"/>
          <w:marBottom w:val="0"/>
          <w:divBdr>
            <w:top w:val="none" w:sz="0" w:space="0" w:color="auto"/>
            <w:left w:val="none" w:sz="0" w:space="0" w:color="auto"/>
            <w:bottom w:val="none" w:sz="0" w:space="0" w:color="auto"/>
            <w:right w:val="none" w:sz="0" w:space="0" w:color="auto"/>
          </w:divBdr>
        </w:div>
        <w:div w:id="1966960754">
          <w:marLeft w:val="640"/>
          <w:marRight w:val="0"/>
          <w:marTop w:val="0"/>
          <w:marBottom w:val="0"/>
          <w:divBdr>
            <w:top w:val="none" w:sz="0" w:space="0" w:color="auto"/>
            <w:left w:val="none" w:sz="0" w:space="0" w:color="auto"/>
            <w:bottom w:val="none" w:sz="0" w:space="0" w:color="auto"/>
            <w:right w:val="none" w:sz="0" w:space="0" w:color="auto"/>
          </w:divBdr>
        </w:div>
        <w:div w:id="1648589699">
          <w:marLeft w:val="640"/>
          <w:marRight w:val="0"/>
          <w:marTop w:val="0"/>
          <w:marBottom w:val="0"/>
          <w:divBdr>
            <w:top w:val="none" w:sz="0" w:space="0" w:color="auto"/>
            <w:left w:val="none" w:sz="0" w:space="0" w:color="auto"/>
            <w:bottom w:val="none" w:sz="0" w:space="0" w:color="auto"/>
            <w:right w:val="none" w:sz="0" w:space="0" w:color="auto"/>
          </w:divBdr>
        </w:div>
        <w:div w:id="2095734789">
          <w:marLeft w:val="640"/>
          <w:marRight w:val="0"/>
          <w:marTop w:val="0"/>
          <w:marBottom w:val="0"/>
          <w:divBdr>
            <w:top w:val="none" w:sz="0" w:space="0" w:color="auto"/>
            <w:left w:val="none" w:sz="0" w:space="0" w:color="auto"/>
            <w:bottom w:val="none" w:sz="0" w:space="0" w:color="auto"/>
            <w:right w:val="none" w:sz="0" w:space="0" w:color="auto"/>
          </w:divBdr>
        </w:div>
        <w:div w:id="1045061461">
          <w:marLeft w:val="640"/>
          <w:marRight w:val="0"/>
          <w:marTop w:val="0"/>
          <w:marBottom w:val="0"/>
          <w:divBdr>
            <w:top w:val="none" w:sz="0" w:space="0" w:color="auto"/>
            <w:left w:val="none" w:sz="0" w:space="0" w:color="auto"/>
            <w:bottom w:val="none" w:sz="0" w:space="0" w:color="auto"/>
            <w:right w:val="none" w:sz="0" w:space="0" w:color="auto"/>
          </w:divBdr>
        </w:div>
        <w:div w:id="1440832787">
          <w:marLeft w:val="640"/>
          <w:marRight w:val="0"/>
          <w:marTop w:val="0"/>
          <w:marBottom w:val="0"/>
          <w:divBdr>
            <w:top w:val="none" w:sz="0" w:space="0" w:color="auto"/>
            <w:left w:val="none" w:sz="0" w:space="0" w:color="auto"/>
            <w:bottom w:val="none" w:sz="0" w:space="0" w:color="auto"/>
            <w:right w:val="none" w:sz="0" w:space="0" w:color="auto"/>
          </w:divBdr>
        </w:div>
        <w:div w:id="1162500284">
          <w:marLeft w:val="640"/>
          <w:marRight w:val="0"/>
          <w:marTop w:val="0"/>
          <w:marBottom w:val="0"/>
          <w:divBdr>
            <w:top w:val="none" w:sz="0" w:space="0" w:color="auto"/>
            <w:left w:val="none" w:sz="0" w:space="0" w:color="auto"/>
            <w:bottom w:val="none" w:sz="0" w:space="0" w:color="auto"/>
            <w:right w:val="none" w:sz="0" w:space="0" w:color="auto"/>
          </w:divBdr>
        </w:div>
        <w:div w:id="971404737">
          <w:marLeft w:val="640"/>
          <w:marRight w:val="0"/>
          <w:marTop w:val="0"/>
          <w:marBottom w:val="0"/>
          <w:divBdr>
            <w:top w:val="none" w:sz="0" w:space="0" w:color="auto"/>
            <w:left w:val="none" w:sz="0" w:space="0" w:color="auto"/>
            <w:bottom w:val="none" w:sz="0" w:space="0" w:color="auto"/>
            <w:right w:val="none" w:sz="0" w:space="0" w:color="auto"/>
          </w:divBdr>
        </w:div>
        <w:div w:id="490948238">
          <w:marLeft w:val="640"/>
          <w:marRight w:val="0"/>
          <w:marTop w:val="0"/>
          <w:marBottom w:val="0"/>
          <w:divBdr>
            <w:top w:val="none" w:sz="0" w:space="0" w:color="auto"/>
            <w:left w:val="none" w:sz="0" w:space="0" w:color="auto"/>
            <w:bottom w:val="none" w:sz="0" w:space="0" w:color="auto"/>
            <w:right w:val="none" w:sz="0" w:space="0" w:color="auto"/>
          </w:divBdr>
        </w:div>
        <w:div w:id="1626502040">
          <w:marLeft w:val="640"/>
          <w:marRight w:val="0"/>
          <w:marTop w:val="0"/>
          <w:marBottom w:val="0"/>
          <w:divBdr>
            <w:top w:val="none" w:sz="0" w:space="0" w:color="auto"/>
            <w:left w:val="none" w:sz="0" w:space="0" w:color="auto"/>
            <w:bottom w:val="none" w:sz="0" w:space="0" w:color="auto"/>
            <w:right w:val="none" w:sz="0" w:space="0" w:color="auto"/>
          </w:divBdr>
        </w:div>
        <w:div w:id="910891631">
          <w:marLeft w:val="640"/>
          <w:marRight w:val="0"/>
          <w:marTop w:val="0"/>
          <w:marBottom w:val="0"/>
          <w:divBdr>
            <w:top w:val="none" w:sz="0" w:space="0" w:color="auto"/>
            <w:left w:val="none" w:sz="0" w:space="0" w:color="auto"/>
            <w:bottom w:val="none" w:sz="0" w:space="0" w:color="auto"/>
            <w:right w:val="none" w:sz="0" w:space="0" w:color="auto"/>
          </w:divBdr>
        </w:div>
        <w:div w:id="404644923">
          <w:marLeft w:val="640"/>
          <w:marRight w:val="0"/>
          <w:marTop w:val="0"/>
          <w:marBottom w:val="0"/>
          <w:divBdr>
            <w:top w:val="none" w:sz="0" w:space="0" w:color="auto"/>
            <w:left w:val="none" w:sz="0" w:space="0" w:color="auto"/>
            <w:bottom w:val="none" w:sz="0" w:space="0" w:color="auto"/>
            <w:right w:val="none" w:sz="0" w:space="0" w:color="auto"/>
          </w:divBdr>
        </w:div>
        <w:div w:id="1177035567">
          <w:marLeft w:val="640"/>
          <w:marRight w:val="0"/>
          <w:marTop w:val="0"/>
          <w:marBottom w:val="0"/>
          <w:divBdr>
            <w:top w:val="none" w:sz="0" w:space="0" w:color="auto"/>
            <w:left w:val="none" w:sz="0" w:space="0" w:color="auto"/>
            <w:bottom w:val="none" w:sz="0" w:space="0" w:color="auto"/>
            <w:right w:val="none" w:sz="0" w:space="0" w:color="auto"/>
          </w:divBdr>
        </w:div>
        <w:div w:id="1388407778">
          <w:marLeft w:val="640"/>
          <w:marRight w:val="0"/>
          <w:marTop w:val="0"/>
          <w:marBottom w:val="0"/>
          <w:divBdr>
            <w:top w:val="none" w:sz="0" w:space="0" w:color="auto"/>
            <w:left w:val="none" w:sz="0" w:space="0" w:color="auto"/>
            <w:bottom w:val="none" w:sz="0" w:space="0" w:color="auto"/>
            <w:right w:val="none" w:sz="0" w:space="0" w:color="auto"/>
          </w:divBdr>
        </w:div>
        <w:div w:id="1513254951">
          <w:marLeft w:val="640"/>
          <w:marRight w:val="0"/>
          <w:marTop w:val="0"/>
          <w:marBottom w:val="0"/>
          <w:divBdr>
            <w:top w:val="none" w:sz="0" w:space="0" w:color="auto"/>
            <w:left w:val="none" w:sz="0" w:space="0" w:color="auto"/>
            <w:bottom w:val="none" w:sz="0" w:space="0" w:color="auto"/>
            <w:right w:val="none" w:sz="0" w:space="0" w:color="auto"/>
          </w:divBdr>
        </w:div>
        <w:div w:id="674839599">
          <w:marLeft w:val="640"/>
          <w:marRight w:val="0"/>
          <w:marTop w:val="0"/>
          <w:marBottom w:val="0"/>
          <w:divBdr>
            <w:top w:val="none" w:sz="0" w:space="0" w:color="auto"/>
            <w:left w:val="none" w:sz="0" w:space="0" w:color="auto"/>
            <w:bottom w:val="none" w:sz="0" w:space="0" w:color="auto"/>
            <w:right w:val="none" w:sz="0" w:space="0" w:color="auto"/>
          </w:divBdr>
        </w:div>
        <w:div w:id="1650406291">
          <w:marLeft w:val="640"/>
          <w:marRight w:val="0"/>
          <w:marTop w:val="0"/>
          <w:marBottom w:val="0"/>
          <w:divBdr>
            <w:top w:val="none" w:sz="0" w:space="0" w:color="auto"/>
            <w:left w:val="none" w:sz="0" w:space="0" w:color="auto"/>
            <w:bottom w:val="none" w:sz="0" w:space="0" w:color="auto"/>
            <w:right w:val="none" w:sz="0" w:space="0" w:color="auto"/>
          </w:divBdr>
        </w:div>
        <w:div w:id="506944693">
          <w:marLeft w:val="640"/>
          <w:marRight w:val="0"/>
          <w:marTop w:val="0"/>
          <w:marBottom w:val="0"/>
          <w:divBdr>
            <w:top w:val="none" w:sz="0" w:space="0" w:color="auto"/>
            <w:left w:val="none" w:sz="0" w:space="0" w:color="auto"/>
            <w:bottom w:val="none" w:sz="0" w:space="0" w:color="auto"/>
            <w:right w:val="none" w:sz="0" w:space="0" w:color="auto"/>
          </w:divBdr>
        </w:div>
        <w:div w:id="548879034">
          <w:marLeft w:val="640"/>
          <w:marRight w:val="0"/>
          <w:marTop w:val="0"/>
          <w:marBottom w:val="0"/>
          <w:divBdr>
            <w:top w:val="none" w:sz="0" w:space="0" w:color="auto"/>
            <w:left w:val="none" w:sz="0" w:space="0" w:color="auto"/>
            <w:bottom w:val="none" w:sz="0" w:space="0" w:color="auto"/>
            <w:right w:val="none" w:sz="0" w:space="0" w:color="auto"/>
          </w:divBdr>
        </w:div>
        <w:div w:id="341051339">
          <w:marLeft w:val="640"/>
          <w:marRight w:val="0"/>
          <w:marTop w:val="0"/>
          <w:marBottom w:val="0"/>
          <w:divBdr>
            <w:top w:val="none" w:sz="0" w:space="0" w:color="auto"/>
            <w:left w:val="none" w:sz="0" w:space="0" w:color="auto"/>
            <w:bottom w:val="none" w:sz="0" w:space="0" w:color="auto"/>
            <w:right w:val="none" w:sz="0" w:space="0" w:color="auto"/>
          </w:divBdr>
        </w:div>
        <w:div w:id="156389427">
          <w:marLeft w:val="640"/>
          <w:marRight w:val="0"/>
          <w:marTop w:val="0"/>
          <w:marBottom w:val="0"/>
          <w:divBdr>
            <w:top w:val="none" w:sz="0" w:space="0" w:color="auto"/>
            <w:left w:val="none" w:sz="0" w:space="0" w:color="auto"/>
            <w:bottom w:val="none" w:sz="0" w:space="0" w:color="auto"/>
            <w:right w:val="none" w:sz="0" w:space="0" w:color="auto"/>
          </w:divBdr>
        </w:div>
        <w:div w:id="1606570381">
          <w:marLeft w:val="640"/>
          <w:marRight w:val="0"/>
          <w:marTop w:val="0"/>
          <w:marBottom w:val="0"/>
          <w:divBdr>
            <w:top w:val="none" w:sz="0" w:space="0" w:color="auto"/>
            <w:left w:val="none" w:sz="0" w:space="0" w:color="auto"/>
            <w:bottom w:val="none" w:sz="0" w:space="0" w:color="auto"/>
            <w:right w:val="none" w:sz="0" w:space="0" w:color="auto"/>
          </w:divBdr>
        </w:div>
        <w:div w:id="647057565">
          <w:marLeft w:val="640"/>
          <w:marRight w:val="0"/>
          <w:marTop w:val="0"/>
          <w:marBottom w:val="0"/>
          <w:divBdr>
            <w:top w:val="none" w:sz="0" w:space="0" w:color="auto"/>
            <w:left w:val="none" w:sz="0" w:space="0" w:color="auto"/>
            <w:bottom w:val="none" w:sz="0" w:space="0" w:color="auto"/>
            <w:right w:val="none" w:sz="0" w:space="0" w:color="auto"/>
          </w:divBdr>
        </w:div>
        <w:div w:id="1054625217">
          <w:marLeft w:val="640"/>
          <w:marRight w:val="0"/>
          <w:marTop w:val="0"/>
          <w:marBottom w:val="0"/>
          <w:divBdr>
            <w:top w:val="none" w:sz="0" w:space="0" w:color="auto"/>
            <w:left w:val="none" w:sz="0" w:space="0" w:color="auto"/>
            <w:bottom w:val="none" w:sz="0" w:space="0" w:color="auto"/>
            <w:right w:val="none" w:sz="0" w:space="0" w:color="auto"/>
          </w:divBdr>
        </w:div>
        <w:div w:id="1898274615">
          <w:marLeft w:val="640"/>
          <w:marRight w:val="0"/>
          <w:marTop w:val="0"/>
          <w:marBottom w:val="0"/>
          <w:divBdr>
            <w:top w:val="none" w:sz="0" w:space="0" w:color="auto"/>
            <w:left w:val="none" w:sz="0" w:space="0" w:color="auto"/>
            <w:bottom w:val="none" w:sz="0" w:space="0" w:color="auto"/>
            <w:right w:val="none" w:sz="0" w:space="0" w:color="auto"/>
          </w:divBdr>
        </w:div>
        <w:div w:id="1687291470">
          <w:marLeft w:val="640"/>
          <w:marRight w:val="0"/>
          <w:marTop w:val="0"/>
          <w:marBottom w:val="0"/>
          <w:divBdr>
            <w:top w:val="none" w:sz="0" w:space="0" w:color="auto"/>
            <w:left w:val="none" w:sz="0" w:space="0" w:color="auto"/>
            <w:bottom w:val="none" w:sz="0" w:space="0" w:color="auto"/>
            <w:right w:val="none" w:sz="0" w:space="0" w:color="auto"/>
          </w:divBdr>
        </w:div>
        <w:div w:id="1970815202">
          <w:marLeft w:val="640"/>
          <w:marRight w:val="0"/>
          <w:marTop w:val="0"/>
          <w:marBottom w:val="0"/>
          <w:divBdr>
            <w:top w:val="none" w:sz="0" w:space="0" w:color="auto"/>
            <w:left w:val="none" w:sz="0" w:space="0" w:color="auto"/>
            <w:bottom w:val="none" w:sz="0" w:space="0" w:color="auto"/>
            <w:right w:val="none" w:sz="0" w:space="0" w:color="auto"/>
          </w:divBdr>
        </w:div>
        <w:div w:id="1236084304">
          <w:marLeft w:val="640"/>
          <w:marRight w:val="0"/>
          <w:marTop w:val="0"/>
          <w:marBottom w:val="0"/>
          <w:divBdr>
            <w:top w:val="none" w:sz="0" w:space="0" w:color="auto"/>
            <w:left w:val="none" w:sz="0" w:space="0" w:color="auto"/>
            <w:bottom w:val="none" w:sz="0" w:space="0" w:color="auto"/>
            <w:right w:val="none" w:sz="0" w:space="0" w:color="auto"/>
          </w:divBdr>
        </w:div>
        <w:div w:id="1397388814">
          <w:marLeft w:val="640"/>
          <w:marRight w:val="0"/>
          <w:marTop w:val="0"/>
          <w:marBottom w:val="0"/>
          <w:divBdr>
            <w:top w:val="none" w:sz="0" w:space="0" w:color="auto"/>
            <w:left w:val="none" w:sz="0" w:space="0" w:color="auto"/>
            <w:bottom w:val="none" w:sz="0" w:space="0" w:color="auto"/>
            <w:right w:val="none" w:sz="0" w:space="0" w:color="auto"/>
          </w:divBdr>
        </w:div>
        <w:div w:id="705908115">
          <w:marLeft w:val="640"/>
          <w:marRight w:val="0"/>
          <w:marTop w:val="0"/>
          <w:marBottom w:val="0"/>
          <w:divBdr>
            <w:top w:val="none" w:sz="0" w:space="0" w:color="auto"/>
            <w:left w:val="none" w:sz="0" w:space="0" w:color="auto"/>
            <w:bottom w:val="none" w:sz="0" w:space="0" w:color="auto"/>
            <w:right w:val="none" w:sz="0" w:space="0" w:color="auto"/>
          </w:divBdr>
        </w:div>
        <w:div w:id="557791542">
          <w:marLeft w:val="640"/>
          <w:marRight w:val="0"/>
          <w:marTop w:val="0"/>
          <w:marBottom w:val="0"/>
          <w:divBdr>
            <w:top w:val="none" w:sz="0" w:space="0" w:color="auto"/>
            <w:left w:val="none" w:sz="0" w:space="0" w:color="auto"/>
            <w:bottom w:val="none" w:sz="0" w:space="0" w:color="auto"/>
            <w:right w:val="none" w:sz="0" w:space="0" w:color="auto"/>
          </w:divBdr>
        </w:div>
        <w:div w:id="2006206654">
          <w:marLeft w:val="640"/>
          <w:marRight w:val="0"/>
          <w:marTop w:val="0"/>
          <w:marBottom w:val="0"/>
          <w:divBdr>
            <w:top w:val="none" w:sz="0" w:space="0" w:color="auto"/>
            <w:left w:val="none" w:sz="0" w:space="0" w:color="auto"/>
            <w:bottom w:val="none" w:sz="0" w:space="0" w:color="auto"/>
            <w:right w:val="none" w:sz="0" w:space="0" w:color="auto"/>
          </w:divBdr>
        </w:div>
        <w:div w:id="948587212">
          <w:marLeft w:val="640"/>
          <w:marRight w:val="0"/>
          <w:marTop w:val="0"/>
          <w:marBottom w:val="0"/>
          <w:divBdr>
            <w:top w:val="none" w:sz="0" w:space="0" w:color="auto"/>
            <w:left w:val="none" w:sz="0" w:space="0" w:color="auto"/>
            <w:bottom w:val="none" w:sz="0" w:space="0" w:color="auto"/>
            <w:right w:val="none" w:sz="0" w:space="0" w:color="auto"/>
          </w:divBdr>
        </w:div>
        <w:div w:id="104006935">
          <w:marLeft w:val="640"/>
          <w:marRight w:val="0"/>
          <w:marTop w:val="0"/>
          <w:marBottom w:val="0"/>
          <w:divBdr>
            <w:top w:val="none" w:sz="0" w:space="0" w:color="auto"/>
            <w:left w:val="none" w:sz="0" w:space="0" w:color="auto"/>
            <w:bottom w:val="none" w:sz="0" w:space="0" w:color="auto"/>
            <w:right w:val="none" w:sz="0" w:space="0" w:color="auto"/>
          </w:divBdr>
        </w:div>
        <w:div w:id="1415466763">
          <w:marLeft w:val="640"/>
          <w:marRight w:val="0"/>
          <w:marTop w:val="0"/>
          <w:marBottom w:val="0"/>
          <w:divBdr>
            <w:top w:val="none" w:sz="0" w:space="0" w:color="auto"/>
            <w:left w:val="none" w:sz="0" w:space="0" w:color="auto"/>
            <w:bottom w:val="none" w:sz="0" w:space="0" w:color="auto"/>
            <w:right w:val="none" w:sz="0" w:space="0" w:color="auto"/>
          </w:divBdr>
        </w:div>
        <w:div w:id="1791238522">
          <w:marLeft w:val="640"/>
          <w:marRight w:val="0"/>
          <w:marTop w:val="0"/>
          <w:marBottom w:val="0"/>
          <w:divBdr>
            <w:top w:val="none" w:sz="0" w:space="0" w:color="auto"/>
            <w:left w:val="none" w:sz="0" w:space="0" w:color="auto"/>
            <w:bottom w:val="none" w:sz="0" w:space="0" w:color="auto"/>
            <w:right w:val="none" w:sz="0" w:space="0" w:color="auto"/>
          </w:divBdr>
        </w:div>
        <w:div w:id="1715305420">
          <w:marLeft w:val="640"/>
          <w:marRight w:val="0"/>
          <w:marTop w:val="0"/>
          <w:marBottom w:val="0"/>
          <w:divBdr>
            <w:top w:val="none" w:sz="0" w:space="0" w:color="auto"/>
            <w:left w:val="none" w:sz="0" w:space="0" w:color="auto"/>
            <w:bottom w:val="none" w:sz="0" w:space="0" w:color="auto"/>
            <w:right w:val="none" w:sz="0" w:space="0" w:color="auto"/>
          </w:divBdr>
        </w:div>
        <w:div w:id="1592466100">
          <w:marLeft w:val="640"/>
          <w:marRight w:val="0"/>
          <w:marTop w:val="0"/>
          <w:marBottom w:val="0"/>
          <w:divBdr>
            <w:top w:val="none" w:sz="0" w:space="0" w:color="auto"/>
            <w:left w:val="none" w:sz="0" w:space="0" w:color="auto"/>
            <w:bottom w:val="none" w:sz="0" w:space="0" w:color="auto"/>
            <w:right w:val="none" w:sz="0" w:space="0" w:color="auto"/>
          </w:divBdr>
        </w:div>
        <w:div w:id="1784500619">
          <w:marLeft w:val="640"/>
          <w:marRight w:val="0"/>
          <w:marTop w:val="0"/>
          <w:marBottom w:val="0"/>
          <w:divBdr>
            <w:top w:val="none" w:sz="0" w:space="0" w:color="auto"/>
            <w:left w:val="none" w:sz="0" w:space="0" w:color="auto"/>
            <w:bottom w:val="none" w:sz="0" w:space="0" w:color="auto"/>
            <w:right w:val="none" w:sz="0" w:space="0" w:color="auto"/>
          </w:divBdr>
        </w:div>
        <w:div w:id="1456755049">
          <w:marLeft w:val="640"/>
          <w:marRight w:val="0"/>
          <w:marTop w:val="0"/>
          <w:marBottom w:val="0"/>
          <w:divBdr>
            <w:top w:val="none" w:sz="0" w:space="0" w:color="auto"/>
            <w:left w:val="none" w:sz="0" w:space="0" w:color="auto"/>
            <w:bottom w:val="none" w:sz="0" w:space="0" w:color="auto"/>
            <w:right w:val="none" w:sz="0" w:space="0" w:color="auto"/>
          </w:divBdr>
        </w:div>
        <w:div w:id="1005747705">
          <w:marLeft w:val="640"/>
          <w:marRight w:val="0"/>
          <w:marTop w:val="0"/>
          <w:marBottom w:val="0"/>
          <w:divBdr>
            <w:top w:val="none" w:sz="0" w:space="0" w:color="auto"/>
            <w:left w:val="none" w:sz="0" w:space="0" w:color="auto"/>
            <w:bottom w:val="none" w:sz="0" w:space="0" w:color="auto"/>
            <w:right w:val="none" w:sz="0" w:space="0" w:color="auto"/>
          </w:divBdr>
        </w:div>
        <w:div w:id="1501431747">
          <w:marLeft w:val="640"/>
          <w:marRight w:val="0"/>
          <w:marTop w:val="0"/>
          <w:marBottom w:val="0"/>
          <w:divBdr>
            <w:top w:val="none" w:sz="0" w:space="0" w:color="auto"/>
            <w:left w:val="none" w:sz="0" w:space="0" w:color="auto"/>
            <w:bottom w:val="none" w:sz="0" w:space="0" w:color="auto"/>
            <w:right w:val="none" w:sz="0" w:space="0" w:color="auto"/>
          </w:divBdr>
        </w:div>
        <w:div w:id="1554463387">
          <w:marLeft w:val="640"/>
          <w:marRight w:val="0"/>
          <w:marTop w:val="0"/>
          <w:marBottom w:val="0"/>
          <w:divBdr>
            <w:top w:val="none" w:sz="0" w:space="0" w:color="auto"/>
            <w:left w:val="none" w:sz="0" w:space="0" w:color="auto"/>
            <w:bottom w:val="none" w:sz="0" w:space="0" w:color="auto"/>
            <w:right w:val="none" w:sz="0" w:space="0" w:color="auto"/>
          </w:divBdr>
        </w:div>
        <w:div w:id="1871530998">
          <w:marLeft w:val="640"/>
          <w:marRight w:val="0"/>
          <w:marTop w:val="0"/>
          <w:marBottom w:val="0"/>
          <w:divBdr>
            <w:top w:val="none" w:sz="0" w:space="0" w:color="auto"/>
            <w:left w:val="none" w:sz="0" w:space="0" w:color="auto"/>
            <w:bottom w:val="none" w:sz="0" w:space="0" w:color="auto"/>
            <w:right w:val="none" w:sz="0" w:space="0" w:color="auto"/>
          </w:divBdr>
        </w:div>
        <w:div w:id="830146881">
          <w:marLeft w:val="640"/>
          <w:marRight w:val="0"/>
          <w:marTop w:val="0"/>
          <w:marBottom w:val="0"/>
          <w:divBdr>
            <w:top w:val="none" w:sz="0" w:space="0" w:color="auto"/>
            <w:left w:val="none" w:sz="0" w:space="0" w:color="auto"/>
            <w:bottom w:val="none" w:sz="0" w:space="0" w:color="auto"/>
            <w:right w:val="none" w:sz="0" w:space="0" w:color="auto"/>
          </w:divBdr>
        </w:div>
        <w:div w:id="402987603">
          <w:marLeft w:val="640"/>
          <w:marRight w:val="0"/>
          <w:marTop w:val="0"/>
          <w:marBottom w:val="0"/>
          <w:divBdr>
            <w:top w:val="none" w:sz="0" w:space="0" w:color="auto"/>
            <w:left w:val="none" w:sz="0" w:space="0" w:color="auto"/>
            <w:bottom w:val="none" w:sz="0" w:space="0" w:color="auto"/>
            <w:right w:val="none" w:sz="0" w:space="0" w:color="auto"/>
          </w:divBdr>
        </w:div>
        <w:div w:id="11348652">
          <w:marLeft w:val="640"/>
          <w:marRight w:val="0"/>
          <w:marTop w:val="0"/>
          <w:marBottom w:val="0"/>
          <w:divBdr>
            <w:top w:val="none" w:sz="0" w:space="0" w:color="auto"/>
            <w:left w:val="none" w:sz="0" w:space="0" w:color="auto"/>
            <w:bottom w:val="none" w:sz="0" w:space="0" w:color="auto"/>
            <w:right w:val="none" w:sz="0" w:space="0" w:color="auto"/>
          </w:divBdr>
        </w:div>
        <w:div w:id="685326923">
          <w:marLeft w:val="640"/>
          <w:marRight w:val="0"/>
          <w:marTop w:val="0"/>
          <w:marBottom w:val="0"/>
          <w:divBdr>
            <w:top w:val="none" w:sz="0" w:space="0" w:color="auto"/>
            <w:left w:val="none" w:sz="0" w:space="0" w:color="auto"/>
            <w:bottom w:val="none" w:sz="0" w:space="0" w:color="auto"/>
            <w:right w:val="none" w:sz="0" w:space="0" w:color="auto"/>
          </w:divBdr>
        </w:div>
        <w:div w:id="1616139095">
          <w:marLeft w:val="640"/>
          <w:marRight w:val="0"/>
          <w:marTop w:val="0"/>
          <w:marBottom w:val="0"/>
          <w:divBdr>
            <w:top w:val="none" w:sz="0" w:space="0" w:color="auto"/>
            <w:left w:val="none" w:sz="0" w:space="0" w:color="auto"/>
            <w:bottom w:val="none" w:sz="0" w:space="0" w:color="auto"/>
            <w:right w:val="none" w:sz="0" w:space="0" w:color="auto"/>
          </w:divBdr>
        </w:div>
        <w:div w:id="1231385563">
          <w:marLeft w:val="640"/>
          <w:marRight w:val="0"/>
          <w:marTop w:val="0"/>
          <w:marBottom w:val="0"/>
          <w:divBdr>
            <w:top w:val="none" w:sz="0" w:space="0" w:color="auto"/>
            <w:left w:val="none" w:sz="0" w:space="0" w:color="auto"/>
            <w:bottom w:val="none" w:sz="0" w:space="0" w:color="auto"/>
            <w:right w:val="none" w:sz="0" w:space="0" w:color="auto"/>
          </w:divBdr>
        </w:div>
        <w:div w:id="1351371813">
          <w:marLeft w:val="640"/>
          <w:marRight w:val="0"/>
          <w:marTop w:val="0"/>
          <w:marBottom w:val="0"/>
          <w:divBdr>
            <w:top w:val="none" w:sz="0" w:space="0" w:color="auto"/>
            <w:left w:val="none" w:sz="0" w:space="0" w:color="auto"/>
            <w:bottom w:val="none" w:sz="0" w:space="0" w:color="auto"/>
            <w:right w:val="none" w:sz="0" w:space="0" w:color="auto"/>
          </w:divBdr>
        </w:div>
        <w:div w:id="1417747115">
          <w:marLeft w:val="640"/>
          <w:marRight w:val="0"/>
          <w:marTop w:val="0"/>
          <w:marBottom w:val="0"/>
          <w:divBdr>
            <w:top w:val="none" w:sz="0" w:space="0" w:color="auto"/>
            <w:left w:val="none" w:sz="0" w:space="0" w:color="auto"/>
            <w:bottom w:val="none" w:sz="0" w:space="0" w:color="auto"/>
            <w:right w:val="none" w:sz="0" w:space="0" w:color="auto"/>
          </w:divBdr>
        </w:div>
        <w:div w:id="873614478">
          <w:marLeft w:val="640"/>
          <w:marRight w:val="0"/>
          <w:marTop w:val="0"/>
          <w:marBottom w:val="0"/>
          <w:divBdr>
            <w:top w:val="none" w:sz="0" w:space="0" w:color="auto"/>
            <w:left w:val="none" w:sz="0" w:space="0" w:color="auto"/>
            <w:bottom w:val="none" w:sz="0" w:space="0" w:color="auto"/>
            <w:right w:val="none" w:sz="0" w:space="0" w:color="auto"/>
          </w:divBdr>
        </w:div>
        <w:div w:id="2071079597">
          <w:marLeft w:val="640"/>
          <w:marRight w:val="0"/>
          <w:marTop w:val="0"/>
          <w:marBottom w:val="0"/>
          <w:divBdr>
            <w:top w:val="none" w:sz="0" w:space="0" w:color="auto"/>
            <w:left w:val="none" w:sz="0" w:space="0" w:color="auto"/>
            <w:bottom w:val="none" w:sz="0" w:space="0" w:color="auto"/>
            <w:right w:val="none" w:sz="0" w:space="0" w:color="auto"/>
          </w:divBdr>
        </w:div>
        <w:div w:id="1073895298">
          <w:marLeft w:val="640"/>
          <w:marRight w:val="0"/>
          <w:marTop w:val="0"/>
          <w:marBottom w:val="0"/>
          <w:divBdr>
            <w:top w:val="none" w:sz="0" w:space="0" w:color="auto"/>
            <w:left w:val="none" w:sz="0" w:space="0" w:color="auto"/>
            <w:bottom w:val="none" w:sz="0" w:space="0" w:color="auto"/>
            <w:right w:val="none" w:sz="0" w:space="0" w:color="auto"/>
          </w:divBdr>
        </w:div>
        <w:div w:id="624388709">
          <w:marLeft w:val="640"/>
          <w:marRight w:val="0"/>
          <w:marTop w:val="0"/>
          <w:marBottom w:val="0"/>
          <w:divBdr>
            <w:top w:val="none" w:sz="0" w:space="0" w:color="auto"/>
            <w:left w:val="none" w:sz="0" w:space="0" w:color="auto"/>
            <w:bottom w:val="none" w:sz="0" w:space="0" w:color="auto"/>
            <w:right w:val="none" w:sz="0" w:space="0" w:color="auto"/>
          </w:divBdr>
        </w:div>
        <w:div w:id="1571571731">
          <w:marLeft w:val="640"/>
          <w:marRight w:val="0"/>
          <w:marTop w:val="0"/>
          <w:marBottom w:val="0"/>
          <w:divBdr>
            <w:top w:val="none" w:sz="0" w:space="0" w:color="auto"/>
            <w:left w:val="none" w:sz="0" w:space="0" w:color="auto"/>
            <w:bottom w:val="none" w:sz="0" w:space="0" w:color="auto"/>
            <w:right w:val="none" w:sz="0" w:space="0" w:color="auto"/>
          </w:divBdr>
        </w:div>
        <w:div w:id="602685244">
          <w:marLeft w:val="640"/>
          <w:marRight w:val="0"/>
          <w:marTop w:val="0"/>
          <w:marBottom w:val="0"/>
          <w:divBdr>
            <w:top w:val="none" w:sz="0" w:space="0" w:color="auto"/>
            <w:left w:val="none" w:sz="0" w:space="0" w:color="auto"/>
            <w:bottom w:val="none" w:sz="0" w:space="0" w:color="auto"/>
            <w:right w:val="none" w:sz="0" w:space="0" w:color="auto"/>
          </w:divBdr>
        </w:div>
        <w:div w:id="18707615">
          <w:marLeft w:val="640"/>
          <w:marRight w:val="0"/>
          <w:marTop w:val="0"/>
          <w:marBottom w:val="0"/>
          <w:divBdr>
            <w:top w:val="none" w:sz="0" w:space="0" w:color="auto"/>
            <w:left w:val="none" w:sz="0" w:space="0" w:color="auto"/>
            <w:bottom w:val="none" w:sz="0" w:space="0" w:color="auto"/>
            <w:right w:val="none" w:sz="0" w:space="0" w:color="auto"/>
          </w:divBdr>
        </w:div>
        <w:div w:id="540820838">
          <w:marLeft w:val="640"/>
          <w:marRight w:val="0"/>
          <w:marTop w:val="0"/>
          <w:marBottom w:val="0"/>
          <w:divBdr>
            <w:top w:val="none" w:sz="0" w:space="0" w:color="auto"/>
            <w:left w:val="none" w:sz="0" w:space="0" w:color="auto"/>
            <w:bottom w:val="none" w:sz="0" w:space="0" w:color="auto"/>
            <w:right w:val="none" w:sz="0" w:space="0" w:color="auto"/>
          </w:divBdr>
        </w:div>
        <w:div w:id="25523946">
          <w:marLeft w:val="640"/>
          <w:marRight w:val="0"/>
          <w:marTop w:val="0"/>
          <w:marBottom w:val="0"/>
          <w:divBdr>
            <w:top w:val="none" w:sz="0" w:space="0" w:color="auto"/>
            <w:left w:val="none" w:sz="0" w:space="0" w:color="auto"/>
            <w:bottom w:val="none" w:sz="0" w:space="0" w:color="auto"/>
            <w:right w:val="none" w:sz="0" w:space="0" w:color="auto"/>
          </w:divBdr>
        </w:div>
        <w:div w:id="349141465">
          <w:marLeft w:val="640"/>
          <w:marRight w:val="0"/>
          <w:marTop w:val="0"/>
          <w:marBottom w:val="0"/>
          <w:divBdr>
            <w:top w:val="none" w:sz="0" w:space="0" w:color="auto"/>
            <w:left w:val="none" w:sz="0" w:space="0" w:color="auto"/>
            <w:bottom w:val="none" w:sz="0" w:space="0" w:color="auto"/>
            <w:right w:val="none" w:sz="0" w:space="0" w:color="auto"/>
          </w:divBdr>
        </w:div>
        <w:div w:id="428933802">
          <w:marLeft w:val="640"/>
          <w:marRight w:val="0"/>
          <w:marTop w:val="0"/>
          <w:marBottom w:val="0"/>
          <w:divBdr>
            <w:top w:val="none" w:sz="0" w:space="0" w:color="auto"/>
            <w:left w:val="none" w:sz="0" w:space="0" w:color="auto"/>
            <w:bottom w:val="none" w:sz="0" w:space="0" w:color="auto"/>
            <w:right w:val="none" w:sz="0" w:space="0" w:color="auto"/>
          </w:divBdr>
        </w:div>
        <w:div w:id="1285188141">
          <w:marLeft w:val="640"/>
          <w:marRight w:val="0"/>
          <w:marTop w:val="0"/>
          <w:marBottom w:val="0"/>
          <w:divBdr>
            <w:top w:val="none" w:sz="0" w:space="0" w:color="auto"/>
            <w:left w:val="none" w:sz="0" w:space="0" w:color="auto"/>
            <w:bottom w:val="none" w:sz="0" w:space="0" w:color="auto"/>
            <w:right w:val="none" w:sz="0" w:space="0" w:color="auto"/>
          </w:divBdr>
        </w:div>
        <w:div w:id="1547796212">
          <w:marLeft w:val="640"/>
          <w:marRight w:val="0"/>
          <w:marTop w:val="0"/>
          <w:marBottom w:val="0"/>
          <w:divBdr>
            <w:top w:val="none" w:sz="0" w:space="0" w:color="auto"/>
            <w:left w:val="none" w:sz="0" w:space="0" w:color="auto"/>
            <w:bottom w:val="none" w:sz="0" w:space="0" w:color="auto"/>
            <w:right w:val="none" w:sz="0" w:space="0" w:color="auto"/>
          </w:divBdr>
        </w:div>
        <w:div w:id="1905749241">
          <w:marLeft w:val="640"/>
          <w:marRight w:val="0"/>
          <w:marTop w:val="0"/>
          <w:marBottom w:val="0"/>
          <w:divBdr>
            <w:top w:val="none" w:sz="0" w:space="0" w:color="auto"/>
            <w:left w:val="none" w:sz="0" w:space="0" w:color="auto"/>
            <w:bottom w:val="none" w:sz="0" w:space="0" w:color="auto"/>
            <w:right w:val="none" w:sz="0" w:space="0" w:color="auto"/>
          </w:divBdr>
        </w:div>
        <w:div w:id="1059473951">
          <w:marLeft w:val="640"/>
          <w:marRight w:val="0"/>
          <w:marTop w:val="0"/>
          <w:marBottom w:val="0"/>
          <w:divBdr>
            <w:top w:val="none" w:sz="0" w:space="0" w:color="auto"/>
            <w:left w:val="none" w:sz="0" w:space="0" w:color="auto"/>
            <w:bottom w:val="none" w:sz="0" w:space="0" w:color="auto"/>
            <w:right w:val="none" w:sz="0" w:space="0" w:color="auto"/>
          </w:divBdr>
        </w:div>
        <w:div w:id="870260606">
          <w:marLeft w:val="640"/>
          <w:marRight w:val="0"/>
          <w:marTop w:val="0"/>
          <w:marBottom w:val="0"/>
          <w:divBdr>
            <w:top w:val="none" w:sz="0" w:space="0" w:color="auto"/>
            <w:left w:val="none" w:sz="0" w:space="0" w:color="auto"/>
            <w:bottom w:val="none" w:sz="0" w:space="0" w:color="auto"/>
            <w:right w:val="none" w:sz="0" w:space="0" w:color="auto"/>
          </w:divBdr>
        </w:div>
        <w:div w:id="626620363">
          <w:marLeft w:val="640"/>
          <w:marRight w:val="0"/>
          <w:marTop w:val="0"/>
          <w:marBottom w:val="0"/>
          <w:divBdr>
            <w:top w:val="none" w:sz="0" w:space="0" w:color="auto"/>
            <w:left w:val="none" w:sz="0" w:space="0" w:color="auto"/>
            <w:bottom w:val="none" w:sz="0" w:space="0" w:color="auto"/>
            <w:right w:val="none" w:sz="0" w:space="0" w:color="auto"/>
          </w:divBdr>
        </w:div>
        <w:div w:id="1149442385">
          <w:marLeft w:val="640"/>
          <w:marRight w:val="0"/>
          <w:marTop w:val="0"/>
          <w:marBottom w:val="0"/>
          <w:divBdr>
            <w:top w:val="none" w:sz="0" w:space="0" w:color="auto"/>
            <w:left w:val="none" w:sz="0" w:space="0" w:color="auto"/>
            <w:bottom w:val="none" w:sz="0" w:space="0" w:color="auto"/>
            <w:right w:val="none" w:sz="0" w:space="0" w:color="auto"/>
          </w:divBdr>
        </w:div>
        <w:div w:id="1137336043">
          <w:marLeft w:val="640"/>
          <w:marRight w:val="0"/>
          <w:marTop w:val="0"/>
          <w:marBottom w:val="0"/>
          <w:divBdr>
            <w:top w:val="none" w:sz="0" w:space="0" w:color="auto"/>
            <w:left w:val="none" w:sz="0" w:space="0" w:color="auto"/>
            <w:bottom w:val="none" w:sz="0" w:space="0" w:color="auto"/>
            <w:right w:val="none" w:sz="0" w:space="0" w:color="auto"/>
          </w:divBdr>
        </w:div>
        <w:div w:id="232353159">
          <w:marLeft w:val="640"/>
          <w:marRight w:val="0"/>
          <w:marTop w:val="0"/>
          <w:marBottom w:val="0"/>
          <w:divBdr>
            <w:top w:val="none" w:sz="0" w:space="0" w:color="auto"/>
            <w:left w:val="none" w:sz="0" w:space="0" w:color="auto"/>
            <w:bottom w:val="none" w:sz="0" w:space="0" w:color="auto"/>
            <w:right w:val="none" w:sz="0" w:space="0" w:color="auto"/>
          </w:divBdr>
        </w:div>
        <w:div w:id="21832927">
          <w:marLeft w:val="640"/>
          <w:marRight w:val="0"/>
          <w:marTop w:val="0"/>
          <w:marBottom w:val="0"/>
          <w:divBdr>
            <w:top w:val="none" w:sz="0" w:space="0" w:color="auto"/>
            <w:left w:val="none" w:sz="0" w:space="0" w:color="auto"/>
            <w:bottom w:val="none" w:sz="0" w:space="0" w:color="auto"/>
            <w:right w:val="none" w:sz="0" w:space="0" w:color="auto"/>
          </w:divBdr>
        </w:div>
        <w:div w:id="312685208">
          <w:marLeft w:val="640"/>
          <w:marRight w:val="0"/>
          <w:marTop w:val="0"/>
          <w:marBottom w:val="0"/>
          <w:divBdr>
            <w:top w:val="none" w:sz="0" w:space="0" w:color="auto"/>
            <w:left w:val="none" w:sz="0" w:space="0" w:color="auto"/>
            <w:bottom w:val="none" w:sz="0" w:space="0" w:color="auto"/>
            <w:right w:val="none" w:sz="0" w:space="0" w:color="auto"/>
          </w:divBdr>
        </w:div>
        <w:div w:id="1996377649">
          <w:marLeft w:val="640"/>
          <w:marRight w:val="0"/>
          <w:marTop w:val="0"/>
          <w:marBottom w:val="0"/>
          <w:divBdr>
            <w:top w:val="none" w:sz="0" w:space="0" w:color="auto"/>
            <w:left w:val="none" w:sz="0" w:space="0" w:color="auto"/>
            <w:bottom w:val="none" w:sz="0" w:space="0" w:color="auto"/>
            <w:right w:val="none" w:sz="0" w:space="0" w:color="auto"/>
          </w:divBdr>
        </w:div>
        <w:div w:id="1189028547">
          <w:marLeft w:val="640"/>
          <w:marRight w:val="0"/>
          <w:marTop w:val="0"/>
          <w:marBottom w:val="0"/>
          <w:divBdr>
            <w:top w:val="none" w:sz="0" w:space="0" w:color="auto"/>
            <w:left w:val="none" w:sz="0" w:space="0" w:color="auto"/>
            <w:bottom w:val="none" w:sz="0" w:space="0" w:color="auto"/>
            <w:right w:val="none" w:sz="0" w:space="0" w:color="auto"/>
          </w:divBdr>
        </w:div>
        <w:div w:id="828718296">
          <w:marLeft w:val="640"/>
          <w:marRight w:val="0"/>
          <w:marTop w:val="0"/>
          <w:marBottom w:val="0"/>
          <w:divBdr>
            <w:top w:val="none" w:sz="0" w:space="0" w:color="auto"/>
            <w:left w:val="none" w:sz="0" w:space="0" w:color="auto"/>
            <w:bottom w:val="none" w:sz="0" w:space="0" w:color="auto"/>
            <w:right w:val="none" w:sz="0" w:space="0" w:color="auto"/>
          </w:divBdr>
        </w:div>
        <w:div w:id="1417899666">
          <w:marLeft w:val="640"/>
          <w:marRight w:val="0"/>
          <w:marTop w:val="0"/>
          <w:marBottom w:val="0"/>
          <w:divBdr>
            <w:top w:val="none" w:sz="0" w:space="0" w:color="auto"/>
            <w:left w:val="none" w:sz="0" w:space="0" w:color="auto"/>
            <w:bottom w:val="none" w:sz="0" w:space="0" w:color="auto"/>
            <w:right w:val="none" w:sz="0" w:space="0" w:color="auto"/>
          </w:divBdr>
        </w:div>
        <w:div w:id="2027560631">
          <w:marLeft w:val="640"/>
          <w:marRight w:val="0"/>
          <w:marTop w:val="0"/>
          <w:marBottom w:val="0"/>
          <w:divBdr>
            <w:top w:val="none" w:sz="0" w:space="0" w:color="auto"/>
            <w:left w:val="none" w:sz="0" w:space="0" w:color="auto"/>
            <w:bottom w:val="none" w:sz="0" w:space="0" w:color="auto"/>
            <w:right w:val="none" w:sz="0" w:space="0" w:color="auto"/>
          </w:divBdr>
        </w:div>
        <w:div w:id="1686207295">
          <w:marLeft w:val="640"/>
          <w:marRight w:val="0"/>
          <w:marTop w:val="0"/>
          <w:marBottom w:val="0"/>
          <w:divBdr>
            <w:top w:val="none" w:sz="0" w:space="0" w:color="auto"/>
            <w:left w:val="none" w:sz="0" w:space="0" w:color="auto"/>
            <w:bottom w:val="none" w:sz="0" w:space="0" w:color="auto"/>
            <w:right w:val="none" w:sz="0" w:space="0" w:color="auto"/>
          </w:divBdr>
        </w:div>
        <w:div w:id="1406146953">
          <w:marLeft w:val="640"/>
          <w:marRight w:val="0"/>
          <w:marTop w:val="0"/>
          <w:marBottom w:val="0"/>
          <w:divBdr>
            <w:top w:val="none" w:sz="0" w:space="0" w:color="auto"/>
            <w:left w:val="none" w:sz="0" w:space="0" w:color="auto"/>
            <w:bottom w:val="none" w:sz="0" w:space="0" w:color="auto"/>
            <w:right w:val="none" w:sz="0" w:space="0" w:color="auto"/>
          </w:divBdr>
        </w:div>
        <w:div w:id="935820396">
          <w:marLeft w:val="640"/>
          <w:marRight w:val="0"/>
          <w:marTop w:val="0"/>
          <w:marBottom w:val="0"/>
          <w:divBdr>
            <w:top w:val="none" w:sz="0" w:space="0" w:color="auto"/>
            <w:left w:val="none" w:sz="0" w:space="0" w:color="auto"/>
            <w:bottom w:val="none" w:sz="0" w:space="0" w:color="auto"/>
            <w:right w:val="none" w:sz="0" w:space="0" w:color="auto"/>
          </w:divBdr>
        </w:div>
        <w:div w:id="1653828161">
          <w:marLeft w:val="640"/>
          <w:marRight w:val="0"/>
          <w:marTop w:val="0"/>
          <w:marBottom w:val="0"/>
          <w:divBdr>
            <w:top w:val="none" w:sz="0" w:space="0" w:color="auto"/>
            <w:left w:val="none" w:sz="0" w:space="0" w:color="auto"/>
            <w:bottom w:val="none" w:sz="0" w:space="0" w:color="auto"/>
            <w:right w:val="none" w:sz="0" w:space="0" w:color="auto"/>
          </w:divBdr>
        </w:div>
        <w:div w:id="1486313178">
          <w:marLeft w:val="640"/>
          <w:marRight w:val="0"/>
          <w:marTop w:val="0"/>
          <w:marBottom w:val="0"/>
          <w:divBdr>
            <w:top w:val="none" w:sz="0" w:space="0" w:color="auto"/>
            <w:left w:val="none" w:sz="0" w:space="0" w:color="auto"/>
            <w:bottom w:val="none" w:sz="0" w:space="0" w:color="auto"/>
            <w:right w:val="none" w:sz="0" w:space="0" w:color="auto"/>
          </w:divBdr>
        </w:div>
        <w:div w:id="501822283">
          <w:marLeft w:val="640"/>
          <w:marRight w:val="0"/>
          <w:marTop w:val="0"/>
          <w:marBottom w:val="0"/>
          <w:divBdr>
            <w:top w:val="none" w:sz="0" w:space="0" w:color="auto"/>
            <w:left w:val="none" w:sz="0" w:space="0" w:color="auto"/>
            <w:bottom w:val="none" w:sz="0" w:space="0" w:color="auto"/>
            <w:right w:val="none" w:sz="0" w:space="0" w:color="auto"/>
          </w:divBdr>
        </w:div>
        <w:div w:id="1632251676">
          <w:marLeft w:val="640"/>
          <w:marRight w:val="0"/>
          <w:marTop w:val="0"/>
          <w:marBottom w:val="0"/>
          <w:divBdr>
            <w:top w:val="none" w:sz="0" w:space="0" w:color="auto"/>
            <w:left w:val="none" w:sz="0" w:space="0" w:color="auto"/>
            <w:bottom w:val="none" w:sz="0" w:space="0" w:color="auto"/>
            <w:right w:val="none" w:sz="0" w:space="0" w:color="auto"/>
          </w:divBdr>
        </w:div>
        <w:div w:id="1674137788">
          <w:marLeft w:val="640"/>
          <w:marRight w:val="0"/>
          <w:marTop w:val="0"/>
          <w:marBottom w:val="0"/>
          <w:divBdr>
            <w:top w:val="none" w:sz="0" w:space="0" w:color="auto"/>
            <w:left w:val="none" w:sz="0" w:space="0" w:color="auto"/>
            <w:bottom w:val="none" w:sz="0" w:space="0" w:color="auto"/>
            <w:right w:val="none" w:sz="0" w:space="0" w:color="auto"/>
          </w:divBdr>
        </w:div>
        <w:div w:id="1758554884">
          <w:marLeft w:val="640"/>
          <w:marRight w:val="0"/>
          <w:marTop w:val="0"/>
          <w:marBottom w:val="0"/>
          <w:divBdr>
            <w:top w:val="none" w:sz="0" w:space="0" w:color="auto"/>
            <w:left w:val="none" w:sz="0" w:space="0" w:color="auto"/>
            <w:bottom w:val="none" w:sz="0" w:space="0" w:color="auto"/>
            <w:right w:val="none" w:sz="0" w:space="0" w:color="auto"/>
          </w:divBdr>
        </w:div>
        <w:div w:id="749011799">
          <w:marLeft w:val="640"/>
          <w:marRight w:val="0"/>
          <w:marTop w:val="0"/>
          <w:marBottom w:val="0"/>
          <w:divBdr>
            <w:top w:val="none" w:sz="0" w:space="0" w:color="auto"/>
            <w:left w:val="none" w:sz="0" w:space="0" w:color="auto"/>
            <w:bottom w:val="none" w:sz="0" w:space="0" w:color="auto"/>
            <w:right w:val="none" w:sz="0" w:space="0" w:color="auto"/>
          </w:divBdr>
        </w:div>
        <w:div w:id="818615165">
          <w:marLeft w:val="640"/>
          <w:marRight w:val="0"/>
          <w:marTop w:val="0"/>
          <w:marBottom w:val="0"/>
          <w:divBdr>
            <w:top w:val="none" w:sz="0" w:space="0" w:color="auto"/>
            <w:left w:val="none" w:sz="0" w:space="0" w:color="auto"/>
            <w:bottom w:val="none" w:sz="0" w:space="0" w:color="auto"/>
            <w:right w:val="none" w:sz="0" w:space="0" w:color="auto"/>
          </w:divBdr>
        </w:div>
        <w:div w:id="992489505">
          <w:marLeft w:val="640"/>
          <w:marRight w:val="0"/>
          <w:marTop w:val="0"/>
          <w:marBottom w:val="0"/>
          <w:divBdr>
            <w:top w:val="none" w:sz="0" w:space="0" w:color="auto"/>
            <w:left w:val="none" w:sz="0" w:space="0" w:color="auto"/>
            <w:bottom w:val="none" w:sz="0" w:space="0" w:color="auto"/>
            <w:right w:val="none" w:sz="0" w:space="0" w:color="auto"/>
          </w:divBdr>
        </w:div>
        <w:div w:id="1805535934">
          <w:marLeft w:val="640"/>
          <w:marRight w:val="0"/>
          <w:marTop w:val="0"/>
          <w:marBottom w:val="0"/>
          <w:divBdr>
            <w:top w:val="none" w:sz="0" w:space="0" w:color="auto"/>
            <w:left w:val="none" w:sz="0" w:space="0" w:color="auto"/>
            <w:bottom w:val="none" w:sz="0" w:space="0" w:color="auto"/>
            <w:right w:val="none" w:sz="0" w:space="0" w:color="auto"/>
          </w:divBdr>
        </w:div>
        <w:div w:id="2038267630">
          <w:marLeft w:val="640"/>
          <w:marRight w:val="0"/>
          <w:marTop w:val="0"/>
          <w:marBottom w:val="0"/>
          <w:divBdr>
            <w:top w:val="none" w:sz="0" w:space="0" w:color="auto"/>
            <w:left w:val="none" w:sz="0" w:space="0" w:color="auto"/>
            <w:bottom w:val="none" w:sz="0" w:space="0" w:color="auto"/>
            <w:right w:val="none" w:sz="0" w:space="0" w:color="auto"/>
          </w:divBdr>
        </w:div>
        <w:div w:id="532496040">
          <w:marLeft w:val="640"/>
          <w:marRight w:val="0"/>
          <w:marTop w:val="0"/>
          <w:marBottom w:val="0"/>
          <w:divBdr>
            <w:top w:val="none" w:sz="0" w:space="0" w:color="auto"/>
            <w:left w:val="none" w:sz="0" w:space="0" w:color="auto"/>
            <w:bottom w:val="none" w:sz="0" w:space="0" w:color="auto"/>
            <w:right w:val="none" w:sz="0" w:space="0" w:color="auto"/>
          </w:divBdr>
        </w:div>
        <w:div w:id="1491408639">
          <w:marLeft w:val="640"/>
          <w:marRight w:val="0"/>
          <w:marTop w:val="0"/>
          <w:marBottom w:val="0"/>
          <w:divBdr>
            <w:top w:val="none" w:sz="0" w:space="0" w:color="auto"/>
            <w:left w:val="none" w:sz="0" w:space="0" w:color="auto"/>
            <w:bottom w:val="none" w:sz="0" w:space="0" w:color="auto"/>
            <w:right w:val="none" w:sz="0" w:space="0" w:color="auto"/>
          </w:divBdr>
        </w:div>
        <w:div w:id="950429736">
          <w:marLeft w:val="640"/>
          <w:marRight w:val="0"/>
          <w:marTop w:val="0"/>
          <w:marBottom w:val="0"/>
          <w:divBdr>
            <w:top w:val="none" w:sz="0" w:space="0" w:color="auto"/>
            <w:left w:val="none" w:sz="0" w:space="0" w:color="auto"/>
            <w:bottom w:val="none" w:sz="0" w:space="0" w:color="auto"/>
            <w:right w:val="none" w:sz="0" w:space="0" w:color="auto"/>
          </w:divBdr>
        </w:div>
        <w:div w:id="1619335363">
          <w:marLeft w:val="640"/>
          <w:marRight w:val="0"/>
          <w:marTop w:val="0"/>
          <w:marBottom w:val="0"/>
          <w:divBdr>
            <w:top w:val="none" w:sz="0" w:space="0" w:color="auto"/>
            <w:left w:val="none" w:sz="0" w:space="0" w:color="auto"/>
            <w:bottom w:val="none" w:sz="0" w:space="0" w:color="auto"/>
            <w:right w:val="none" w:sz="0" w:space="0" w:color="auto"/>
          </w:divBdr>
        </w:div>
        <w:div w:id="248581070">
          <w:marLeft w:val="640"/>
          <w:marRight w:val="0"/>
          <w:marTop w:val="0"/>
          <w:marBottom w:val="0"/>
          <w:divBdr>
            <w:top w:val="none" w:sz="0" w:space="0" w:color="auto"/>
            <w:left w:val="none" w:sz="0" w:space="0" w:color="auto"/>
            <w:bottom w:val="none" w:sz="0" w:space="0" w:color="auto"/>
            <w:right w:val="none" w:sz="0" w:space="0" w:color="auto"/>
          </w:divBdr>
        </w:div>
        <w:div w:id="1590652420">
          <w:marLeft w:val="640"/>
          <w:marRight w:val="0"/>
          <w:marTop w:val="0"/>
          <w:marBottom w:val="0"/>
          <w:divBdr>
            <w:top w:val="none" w:sz="0" w:space="0" w:color="auto"/>
            <w:left w:val="none" w:sz="0" w:space="0" w:color="auto"/>
            <w:bottom w:val="none" w:sz="0" w:space="0" w:color="auto"/>
            <w:right w:val="none" w:sz="0" w:space="0" w:color="auto"/>
          </w:divBdr>
        </w:div>
        <w:div w:id="837647196">
          <w:marLeft w:val="640"/>
          <w:marRight w:val="0"/>
          <w:marTop w:val="0"/>
          <w:marBottom w:val="0"/>
          <w:divBdr>
            <w:top w:val="none" w:sz="0" w:space="0" w:color="auto"/>
            <w:left w:val="none" w:sz="0" w:space="0" w:color="auto"/>
            <w:bottom w:val="none" w:sz="0" w:space="0" w:color="auto"/>
            <w:right w:val="none" w:sz="0" w:space="0" w:color="auto"/>
          </w:divBdr>
        </w:div>
        <w:div w:id="913852495">
          <w:marLeft w:val="640"/>
          <w:marRight w:val="0"/>
          <w:marTop w:val="0"/>
          <w:marBottom w:val="0"/>
          <w:divBdr>
            <w:top w:val="none" w:sz="0" w:space="0" w:color="auto"/>
            <w:left w:val="none" w:sz="0" w:space="0" w:color="auto"/>
            <w:bottom w:val="none" w:sz="0" w:space="0" w:color="auto"/>
            <w:right w:val="none" w:sz="0" w:space="0" w:color="auto"/>
          </w:divBdr>
        </w:div>
        <w:div w:id="214316941">
          <w:marLeft w:val="640"/>
          <w:marRight w:val="0"/>
          <w:marTop w:val="0"/>
          <w:marBottom w:val="0"/>
          <w:divBdr>
            <w:top w:val="none" w:sz="0" w:space="0" w:color="auto"/>
            <w:left w:val="none" w:sz="0" w:space="0" w:color="auto"/>
            <w:bottom w:val="none" w:sz="0" w:space="0" w:color="auto"/>
            <w:right w:val="none" w:sz="0" w:space="0" w:color="auto"/>
          </w:divBdr>
        </w:div>
        <w:div w:id="971597547">
          <w:marLeft w:val="640"/>
          <w:marRight w:val="0"/>
          <w:marTop w:val="0"/>
          <w:marBottom w:val="0"/>
          <w:divBdr>
            <w:top w:val="none" w:sz="0" w:space="0" w:color="auto"/>
            <w:left w:val="none" w:sz="0" w:space="0" w:color="auto"/>
            <w:bottom w:val="none" w:sz="0" w:space="0" w:color="auto"/>
            <w:right w:val="none" w:sz="0" w:space="0" w:color="auto"/>
          </w:divBdr>
        </w:div>
        <w:div w:id="1586378449">
          <w:marLeft w:val="640"/>
          <w:marRight w:val="0"/>
          <w:marTop w:val="0"/>
          <w:marBottom w:val="0"/>
          <w:divBdr>
            <w:top w:val="none" w:sz="0" w:space="0" w:color="auto"/>
            <w:left w:val="none" w:sz="0" w:space="0" w:color="auto"/>
            <w:bottom w:val="none" w:sz="0" w:space="0" w:color="auto"/>
            <w:right w:val="none" w:sz="0" w:space="0" w:color="auto"/>
          </w:divBdr>
        </w:div>
        <w:div w:id="2129470953">
          <w:marLeft w:val="640"/>
          <w:marRight w:val="0"/>
          <w:marTop w:val="0"/>
          <w:marBottom w:val="0"/>
          <w:divBdr>
            <w:top w:val="none" w:sz="0" w:space="0" w:color="auto"/>
            <w:left w:val="none" w:sz="0" w:space="0" w:color="auto"/>
            <w:bottom w:val="none" w:sz="0" w:space="0" w:color="auto"/>
            <w:right w:val="none" w:sz="0" w:space="0" w:color="auto"/>
          </w:divBdr>
        </w:div>
        <w:div w:id="17439004">
          <w:marLeft w:val="640"/>
          <w:marRight w:val="0"/>
          <w:marTop w:val="0"/>
          <w:marBottom w:val="0"/>
          <w:divBdr>
            <w:top w:val="none" w:sz="0" w:space="0" w:color="auto"/>
            <w:left w:val="none" w:sz="0" w:space="0" w:color="auto"/>
            <w:bottom w:val="none" w:sz="0" w:space="0" w:color="auto"/>
            <w:right w:val="none" w:sz="0" w:space="0" w:color="auto"/>
          </w:divBdr>
        </w:div>
        <w:div w:id="1759475746">
          <w:marLeft w:val="640"/>
          <w:marRight w:val="0"/>
          <w:marTop w:val="0"/>
          <w:marBottom w:val="0"/>
          <w:divBdr>
            <w:top w:val="none" w:sz="0" w:space="0" w:color="auto"/>
            <w:left w:val="none" w:sz="0" w:space="0" w:color="auto"/>
            <w:bottom w:val="none" w:sz="0" w:space="0" w:color="auto"/>
            <w:right w:val="none" w:sz="0" w:space="0" w:color="auto"/>
          </w:divBdr>
        </w:div>
        <w:div w:id="1503739445">
          <w:marLeft w:val="640"/>
          <w:marRight w:val="0"/>
          <w:marTop w:val="0"/>
          <w:marBottom w:val="0"/>
          <w:divBdr>
            <w:top w:val="none" w:sz="0" w:space="0" w:color="auto"/>
            <w:left w:val="none" w:sz="0" w:space="0" w:color="auto"/>
            <w:bottom w:val="none" w:sz="0" w:space="0" w:color="auto"/>
            <w:right w:val="none" w:sz="0" w:space="0" w:color="auto"/>
          </w:divBdr>
        </w:div>
        <w:div w:id="377164741">
          <w:marLeft w:val="640"/>
          <w:marRight w:val="0"/>
          <w:marTop w:val="0"/>
          <w:marBottom w:val="0"/>
          <w:divBdr>
            <w:top w:val="none" w:sz="0" w:space="0" w:color="auto"/>
            <w:left w:val="none" w:sz="0" w:space="0" w:color="auto"/>
            <w:bottom w:val="none" w:sz="0" w:space="0" w:color="auto"/>
            <w:right w:val="none" w:sz="0" w:space="0" w:color="auto"/>
          </w:divBdr>
        </w:div>
        <w:div w:id="196896853">
          <w:marLeft w:val="640"/>
          <w:marRight w:val="0"/>
          <w:marTop w:val="0"/>
          <w:marBottom w:val="0"/>
          <w:divBdr>
            <w:top w:val="none" w:sz="0" w:space="0" w:color="auto"/>
            <w:left w:val="none" w:sz="0" w:space="0" w:color="auto"/>
            <w:bottom w:val="none" w:sz="0" w:space="0" w:color="auto"/>
            <w:right w:val="none" w:sz="0" w:space="0" w:color="auto"/>
          </w:divBdr>
        </w:div>
        <w:div w:id="1024598635">
          <w:marLeft w:val="640"/>
          <w:marRight w:val="0"/>
          <w:marTop w:val="0"/>
          <w:marBottom w:val="0"/>
          <w:divBdr>
            <w:top w:val="none" w:sz="0" w:space="0" w:color="auto"/>
            <w:left w:val="none" w:sz="0" w:space="0" w:color="auto"/>
            <w:bottom w:val="none" w:sz="0" w:space="0" w:color="auto"/>
            <w:right w:val="none" w:sz="0" w:space="0" w:color="auto"/>
          </w:divBdr>
        </w:div>
        <w:div w:id="1688478355">
          <w:marLeft w:val="640"/>
          <w:marRight w:val="0"/>
          <w:marTop w:val="0"/>
          <w:marBottom w:val="0"/>
          <w:divBdr>
            <w:top w:val="none" w:sz="0" w:space="0" w:color="auto"/>
            <w:left w:val="none" w:sz="0" w:space="0" w:color="auto"/>
            <w:bottom w:val="none" w:sz="0" w:space="0" w:color="auto"/>
            <w:right w:val="none" w:sz="0" w:space="0" w:color="auto"/>
          </w:divBdr>
        </w:div>
        <w:div w:id="64228800">
          <w:marLeft w:val="640"/>
          <w:marRight w:val="0"/>
          <w:marTop w:val="0"/>
          <w:marBottom w:val="0"/>
          <w:divBdr>
            <w:top w:val="none" w:sz="0" w:space="0" w:color="auto"/>
            <w:left w:val="none" w:sz="0" w:space="0" w:color="auto"/>
            <w:bottom w:val="none" w:sz="0" w:space="0" w:color="auto"/>
            <w:right w:val="none" w:sz="0" w:space="0" w:color="auto"/>
          </w:divBdr>
        </w:div>
        <w:div w:id="457382026">
          <w:marLeft w:val="640"/>
          <w:marRight w:val="0"/>
          <w:marTop w:val="0"/>
          <w:marBottom w:val="0"/>
          <w:divBdr>
            <w:top w:val="none" w:sz="0" w:space="0" w:color="auto"/>
            <w:left w:val="none" w:sz="0" w:space="0" w:color="auto"/>
            <w:bottom w:val="none" w:sz="0" w:space="0" w:color="auto"/>
            <w:right w:val="none" w:sz="0" w:space="0" w:color="auto"/>
          </w:divBdr>
        </w:div>
        <w:div w:id="1742097718">
          <w:marLeft w:val="640"/>
          <w:marRight w:val="0"/>
          <w:marTop w:val="0"/>
          <w:marBottom w:val="0"/>
          <w:divBdr>
            <w:top w:val="none" w:sz="0" w:space="0" w:color="auto"/>
            <w:left w:val="none" w:sz="0" w:space="0" w:color="auto"/>
            <w:bottom w:val="none" w:sz="0" w:space="0" w:color="auto"/>
            <w:right w:val="none" w:sz="0" w:space="0" w:color="auto"/>
          </w:divBdr>
        </w:div>
        <w:div w:id="615600089">
          <w:marLeft w:val="640"/>
          <w:marRight w:val="0"/>
          <w:marTop w:val="0"/>
          <w:marBottom w:val="0"/>
          <w:divBdr>
            <w:top w:val="none" w:sz="0" w:space="0" w:color="auto"/>
            <w:left w:val="none" w:sz="0" w:space="0" w:color="auto"/>
            <w:bottom w:val="none" w:sz="0" w:space="0" w:color="auto"/>
            <w:right w:val="none" w:sz="0" w:space="0" w:color="auto"/>
          </w:divBdr>
        </w:div>
        <w:div w:id="1662999548">
          <w:marLeft w:val="640"/>
          <w:marRight w:val="0"/>
          <w:marTop w:val="0"/>
          <w:marBottom w:val="0"/>
          <w:divBdr>
            <w:top w:val="none" w:sz="0" w:space="0" w:color="auto"/>
            <w:left w:val="none" w:sz="0" w:space="0" w:color="auto"/>
            <w:bottom w:val="none" w:sz="0" w:space="0" w:color="auto"/>
            <w:right w:val="none" w:sz="0" w:space="0" w:color="auto"/>
          </w:divBdr>
        </w:div>
        <w:div w:id="1919435081">
          <w:marLeft w:val="640"/>
          <w:marRight w:val="0"/>
          <w:marTop w:val="0"/>
          <w:marBottom w:val="0"/>
          <w:divBdr>
            <w:top w:val="none" w:sz="0" w:space="0" w:color="auto"/>
            <w:left w:val="none" w:sz="0" w:space="0" w:color="auto"/>
            <w:bottom w:val="none" w:sz="0" w:space="0" w:color="auto"/>
            <w:right w:val="none" w:sz="0" w:space="0" w:color="auto"/>
          </w:divBdr>
        </w:div>
        <w:div w:id="717704868">
          <w:marLeft w:val="640"/>
          <w:marRight w:val="0"/>
          <w:marTop w:val="0"/>
          <w:marBottom w:val="0"/>
          <w:divBdr>
            <w:top w:val="none" w:sz="0" w:space="0" w:color="auto"/>
            <w:left w:val="none" w:sz="0" w:space="0" w:color="auto"/>
            <w:bottom w:val="none" w:sz="0" w:space="0" w:color="auto"/>
            <w:right w:val="none" w:sz="0" w:space="0" w:color="auto"/>
          </w:divBdr>
        </w:div>
        <w:div w:id="410591721">
          <w:marLeft w:val="640"/>
          <w:marRight w:val="0"/>
          <w:marTop w:val="0"/>
          <w:marBottom w:val="0"/>
          <w:divBdr>
            <w:top w:val="none" w:sz="0" w:space="0" w:color="auto"/>
            <w:left w:val="none" w:sz="0" w:space="0" w:color="auto"/>
            <w:bottom w:val="none" w:sz="0" w:space="0" w:color="auto"/>
            <w:right w:val="none" w:sz="0" w:space="0" w:color="auto"/>
          </w:divBdr>
        </w:div>
        <w:div w:id="2055231139">
          <w:marLeft w:val="640"/>
          <w:marRight w:val="0"/>
          <w:marTop w:val="0"/>
          <w:marBottom w:val="0"/>
          <w:divBdr>
            <w:top w:val="none" w:sz="0" w:space="0" w:color="auto"/>
            <w:left w:val="none" w:sz="0" w:space="0" w:color="auto"/>
            <w:bottom w:val="none" w:sz="0" w:space="0" w:color="auto"/>
            <w:right w:val="none" w:sz="0" w:space="0" w:color="auto"/>
          </w:divBdr>
        </w:div>
        <w:div w:id="1238512171">
          <w:marLeft w:val="640"/>
          <w:marRight w:val="0"/>
          <w:marTop w:val="0"/>
          <w:marBottom w:val="0"/>
          <w:divBdr>
            <w:top w:val="none" w:sz="0" w:space="0" w:color="auto"/>
            <w:left w:val="none" w:sz="0" w:space="0" w:color="auto"/>
            <w:bottom w:val="none" w:sz="0" w:space="0" w:color="auto"/>
            <w:right w:val="none" w:sz="0" w:space="0" w:color="auto"/>
          </w:divBdr>
        </w:div>
        <w:div w:id="1107117648">
          <w:marLeft w:val="640"/>
          <w:marRight w:val="0"/>
          <w:marTop w:val="0"/>
          <w:marBottom w:val="0"/>
          <w:divBdr>
            <w:top w:val="none" w:sz="0" w:space="0" w:color="auto"/>
            <w:left w:val="none" w:sz="0" w:space="0" w:color="auto"/>
            <w:bottom w:val="none" w:sz="0" w:space="0" w:color="auto"/>
            <w:right w:val="none" w:sz="0" w:space="0" w:color="auto"/>
          </w:divBdr>
        </w:div>
        <w:div w:id="114757198">
          <w:marLeft w:val="640"/>
          <w:marRight w:val="0"/>
          <w:marTop w:val="0"/>
          <w:marBottom w:val="0"/>
          <w:divBdr>
            <w:top w:val="none" w:sz="0" w:space="0" w:color="auto"/>
            <w:left w:val="none" w:sz="0" w:space="0" w:color="auto"/>
            <w:bottom w:val="none" w:sz="0" w:space="0" w:color="auto"/>
            <w:right w:val="none" w:sz="0" w:space="0" w:color="auto"/>
          </w:divBdr>
        </w:div>
        <w:div w:id="1624924710">
          <w:marLeft w:val="640"/>
          <w:marRight w:val="0"/>
          <w:marTop w:val="0"/>
          <w:marBottom w:val="0"/>
          <w:divBdr>
            <w:top w:val="none" w:sz="0" w:space="0" w:color="auto"/>
            <w:left w:val="none" w:sz="0" w:space="0" w:color="auto"/>
            <w:bottom w:val="none" w:sz="0" w:space="0" w:color="auto"/>
            <w:right w:val="none" w:sz="0" w:space="0" w:color="auto"/>
          </w:divBdr>
        </w:div>
        <w:div w:id="1808668492">
          <w:marLeft w:val="640"/>
          <w:marRight w:val="0"/>
          <w:marTop w:val="0"/>
          <w:marBottom w:val="0"/>
          <w:divBdr>
            <w:top w:val="none" w:sz="0" w:space="0" w:color="auto"/>
            <w:left w:val="none" w:sz="0" w:space="0" w:color="auto"/>
            <w:bottom w:val="none" w:sz="0" w:space="0" w:color="auto"/>
            <w:right w:val="none" w:sz="0" w:space="0" w:color="auto"/>
          </w:divBdr>
        </w:div>
        <w:div w:id="1162433368">
          <w:marLeft w:val="640"/>
          <w:marRight w:val="0"/>
          <w:marTop w:val="0"/>
          <w:marBottom w:val="0"/>
          <w:divBdr>
            <w:top w:val="none" w:sz="0" w:space="0" w:color="auto"/>
            <w:left w:val="none" w:sz="0" w:space="0" w:color="auto"/>
            <w:bottom w:val="none" w:sz="0" w:space="0" w:color="auto"/>
            <w:right w:val="none" w:sz="0" w:space="0" w:color="auto"/>
          </w:divBdr>
        </w:div>
        <w:div w:id="1874343921">
          <w:marLeft w:val="640"/>
          <w:marRight w:val="0"/>
          <w:marTop w:val="0"/>
          <w:marBottom w:val="0"/>
          <w:divBdr>
            <w:top w:val="none" w:sz="0" w:space="0" w:color="auto"/>
            <w:left w:val="none" w:sz="0" w:space="0" w:color="auto"/>
            <w:bottom w:val="none" w:sz="0" w:space="0" w:color="auto"/>
            <w:right w:val="none" w:sz="0" w:space="0" w:color="auto"/>
          </w:divBdr>
        </w:div>
        <w:div w:id="542332548">
          <w:marLeft w:val="640"/>
          <w:marRight w:val="0"/>
          <w:marTop w:val="0"/>
          <w:marBottom w:val="0"/>
          <w:divBdr>
            <w:top w:val="none" w:sz="0" w:space="0" w:color="auto"/>
            <w:left w:val="none" w:sz="0" w:space="0" w:color="auto"/>
            <w:bottom w:val="none" w:sz="0" w:space="0" w:color="auto"/>
            <w:right w:val="none" w:sz="0" w:space="0" w:color="auto"/>
          </w:divBdr>
        </w:div>
        <w:div w:id="522211202">
          <w:marLeft w:val="640"/>
          <w:marRight w:val="0"/>
          <w:marTop w:val="0"/>
          <w:marBottom w:val="0"/>
          <w:divBdr>
            <w:top w:val="none" w:sz="0" w:space="0" w:color="auto"/>
            <w:left w:val="none" w:sz="0" w:space="0" w:color="auto"/>
            <w:bottom w:val="none" w:sz="0" w:space="0" w:color="auto"/>
            <w:right w:val="none" w:sz="0" w:space="0" w:color="auto"/>
          </w:divBdr>
        </w:div>
        <w:div w:id="1463890130">
          <w:marLeft w:val="640"/>
          <w:marRight w:val="0"/>
          <w:marTop w:val="0"/>
          <w:marBottom w:val="0"/>
          <w:divBdr>
            <w:top w:val="none" w:sz="0" w:space="0" w:color="auto"/>
            <w:left w:val="none" w:sz="0" w:space="0" w:color="auto"/>
            <w:bottom w:val="none" w:sz="0" w:space="0" w:color="auto"/>
            <w:right w:val="none" w:sz="0" w:space="0" w:color="auto"/>
          </w:divBdr>
        </w:div>
        <w:div w:id="217014219">
          <w:marLeft w:val="640"/>
          <w:marRight w:val="0"/>
          <w:marTop w:val="0"/>
          <w:marBottom w:val="0"/>
          <w:divBdr>
            <w:top w:val="none" w:sz="0" w:space="0" w:color="auto"/>
            <w:left w:val="none" w:sz="0" w:space="0" w:color="auto"/>
            <w:bottom w:val="none" w:sz="0" w:space="0" w:color="auto"/>
            <w:right w:val="none" w:sz="0" w:space="0" w:color="auto"/>
          </w:divBdr>
        </w:div>
        <w:div w:id="320307182">
          <w:marLeft w:val="640"/>
          <w:marRight w:val="0"/>
          <w:marTop w:val="0"/>
          <w:marBottom w:val="0"/>
          <w:divBdr>
            <w:top w:val="none" w:sz="0" w:space="0" w:color="auto"/>
            <w:left w:val="none" w:sz="0" w:space="0" w:color="auto"/>
            <w:bottom w:val="none" w:sz="0" w:space="0" w:color="auto"/>
            <w:right w:val="none" w:sz="0" w:space="0" w:color="auto"/>
          </w:divBdr>
        </w:div>
        <w:div w:id="2043938274">
          <w:marLeft w:val="640"/>
          <w:marRight w:val="0"/>
          <w:marTop w:val="0"/>
          <w:marBottom w:val="0"/>
          <w:divBdr>
            <w:top w:val="none" w:sz="0" w:space="0" w:color="auto"/>
            <w:left w:val="none" w:sz="0" w:space="0" w:color="auto"/>
            <w:bottom w:val="none" w:sz="0" w:space="0" w:color="auto"/>
            <w:right w:val="none" w:sz="0" w:space="0" w:color="auto"/>
          </w:divBdr>
        </w:div>
        <w:div w:id="812675266">
          <w:marLeft w:val="640"/>
          <w:marRight w:val="0"/>
          <w:marTop w:val="0"/>
          <w:marBottom w:val="0"/>
          <w:divBdr>
            <w:top w:val="none" w:sz="0" w:space="0" w:color="auto"/>
            <w:left w:val="none" w:sz="0" w:space="0" w:color="auto"/>
            <w:bottom w:val="none" w:sz="0" w:space="0" w:color="auto"/>
            <w:right w:val="none" w:sz="0" w:space="0" w:color="auto"/>
          </w:divBdr>
        </w:div>
        <w:div w:id="2073848963">
          <w:marLeft w:val="640"/>
          <w:marRight w:val="0"/>
          <w:marTop w:val="0"/>
          <w:marBottom w:val="0"/>
          <w:divBdr>
            <w:top w:val="none" w:sz="0" w:space="0" w:color="auto"/>
            <w:left w:val="none" w:sz="0" w:space="0" w:color="auto"/>
            <w:bottom w:val="none" w:sz="0" w:space="0" w:color="auto"/>
            <w:right w:val="none" w:sz="0" w:space="0" w:color="auto"/>
          </w:divBdr>
        </w:div>
        <w:div w:id="367725000">
          <w:marLeft w:val="640"/>
          <w:marRight w:val="0"/>
          <w:marTop w:val="0"/>
          <w:marBottom w:val="0"/>
          <w:divBdr>
            <w:top w:val="none" w:sz="0" w:space="0" w:color="auto"/>
            <w:left w:val="none" w:sz="0" w:space="0" w:color="auto"/>
            <w:bottom w:val="none" w:sz="0" w:space="0" w:color="auto"/>
            <w:right w:val="none" w:sz="0" w:space="0" w:color="auto"/>
          </w:divBdr>
        </w:div>
        <w:div w:id="1019965540">
          <w:marLeft w:val="640"/>
          <w:marRight w:val="0"/>
          <w:marTop w:val="0"/>
          <w:marBottom w:val="0"/>
          <w:divBdr>
            <w:top w:val="none" w:sz="0" w:space="0" w:color="auto"/>
            <w:left w:val="none" w:sz="0" w:space="0" w:color="auto"/>
            <w:bottom w:val="none" w:sz="0" w:space="0" w:color="auto"/>
            <w:right w:val="none" w:sz="0" w:space="0" w:color="auto"/>
          </w:divBdr>
        </w:div>
        <w:div w:id="1434935486">
          <w:marLeft w:val="640"/>
          <w:marRight w:val="0"/>
          <w:marTop w:val="0"/>
          <w:marBottom w:val="0"/>
          <w:divBdr>
            <w:top w:val="none" w:sz="0" w:space="0" w:color="auto"/>
            <w:left w:val="none" w:sz="0" w:space="0" w:color="auto"/>
            <w:bottom w:val="none" w:sz="0" w:space="0" w:color="auto"/>
            <w:right w:val="none" w:sz="0" w:space="0" w:color="auto"/>
          </w:divBdr>
        </w:div>
      </w:divsChild>
    </w:div>
    <w:div w:id="1991665588">
      <w:bodyDiv w:val="1"/>
      <w:marLeft w:val="0"/>
      <w:marRight w:val="0"/>
      <w:marTop w:val="0"/>
      <w:marBottom w:val="0"/>
      <w:divBdr>
        <w:top w:val="none" w:sz="0" w:space="0" w:color="auto"/>
        <w:left w:val="none" w:sz="0" w:space="0" w:color="auto"/>
        <w:bottom w:val="none" w:sz="0" w:space="0" w:color="auto"/>
        <w:right w:val="none" w:sz="0" w:space="0" w:color="auto"/>
      </w:divBdr>
    </w:div>
    <w:div w:id="1996764174">
      <w:bodyDiv w:val="1"/>
      <w:marLeft w:val="0"/>
      <w:marRight w:val="0"/>
      <w:marTop w:val="0"/>
      <w:marBottom w:val="0"/>
      <w:divBdr>
        <w:top w:val="none" w:sz="0" w:space="0" w:color="auto"/>
        <w:left w:val="none" w:sz="0" w:space="0" w:color="auto"/>
        <w:bottom w:val="none" w:sz="0" w:space="0" w:color="auto"/>
        <w:right w:val="none" w:sz="0" w:space="0" w:color="auto"/>
      </w:divBdr>
    </w:div>
    <w:div w:id="2004122807">
      <w:bodyDiv w:val="1"/>
      <w:marLeft w:val="0"/>
      <w:marRight w:val="0"/>
      <w:marTop w:val="0"/>
      <w:marBottom w:val="0"/>
      <w:divBdr>
        <w:top w:val="none" w:sz="0" w:space="0" w:color="auto"/>
        <w:left w:val="none" w:sz="0" w:space="0" w:color="auto"/>
        <w:bottom w:val="none" w:sz="0" w:space="0" w:color="auto"/>
        <w:right w:val="none" w:sz="0" w:space="0" w:color="auto"/>
      </w:divBdr>
    </w:div>
    <w:div w:id="2004157441">
      <w:bodyDiv w:val="1"/>
      <w:marLeft w:val="0"/>
      <w:marRight w:val="0"/>
      <w:marTop w:val="0"/>
      <w:marBottom w:val="0"/>
      <w:divBdr>
        <w:top w:val="none" w:sz="0" w:space="0" w:color="auto"/>
        <w:left w:val="none" w:sz="0" w:space="0" w:color="auto"/>
        <w:bottom w:val="none" w:sz="0" w:space="0" w:color="auto"/>
        <w:right w:val="none" w:sz="0" w:space="0" w:color="auto"/>
      </w:divBdr>
    </w:div>
    <w:div w:id="2006204855">
      <w:bodyDiv w:val="1"/>
      <w:marLeft w:val="0"/>
      <w:marRight w:val="0"/>
      <w:marTop w:val="0"/>
      <w:marBottom w:val="0"/>
      <w:divBdr>
        <w:top w:val="none" w:sz="0" w:space="0" w:color="auto"/>
        <w:left w:val="none" w:sz="0" w:space="0" w:color="auto"/>
        <w:bottom w:val="none" w:sz="0" w:space="0" w:color="auto"/>
        <w:right w:val="none" w:sz="0" w:space="0" w:color="auto"/>
      </w:divBdr>
      <w:divsChild>
        <w:div w:id="1534730708">
          <w:marLeft w:val="640"/>
          <w:marRight w:val="0"/>
          <w:marTop w:val="0"/>
          <w:marBottom w:val="0"/>
          <w:divBdr>
            <w:top w:val="none" w:sz="0" w:space="0" w:color="auto"/>
            <w:left w:val="none" w:sz="0" w:space="0" w:color="auto"/>
            <w:bottom w:val="none" w:sz="0" w:space="0" w:color="auto"/>
            <w:right w:val="none" w:sz="0" w:space="0" w:color="auto"/>
          </w:divBdr>
        </w:div>
        <w:div w:id="1181551195">
          <w:marLeft w:val="640"/>
          <w:marRight w:val="0"/>
          <w:marTop w:val="0"/>
          <w:marBottom w:val="0"/>
          <w:divBdr>
            <w:top w:val="none" w:sz="0" w:space="0" w:color="auto"/>
            <w:left w:val="none" w:sz="0" w:space="0" w:color="auto"/>
            <w:bottom w:val="none" w:sz="0" w:space="0" w:color="auto"/>
            <w:right w:val="none" w:sz="0" w:space="0" w:color="auto"/>
          </w:divBdr>
        </w:div>
        <w:div w:id="1139613728">
          <w:marLeft w:val="640"/>
          <w:marRight w:val="0"/>
          <w:marTop w:val="0"/>
          <w:marBottom w:val="0"/>
          <w:divBdr>
            <w:top w:val="none" w:sz="0" w:space="0" w:color="auto"/>
            <w:left w:val="none" w:sz="0" w:space="0" w:color="auto"/>
            <w:bottom w:val="none" w:sz="0" w:space="0" w:color="auto"/>
            <w:right w:val="none" w:sz="0" w:space="0" w:color="auto"/>
          </w:divBdr>
        </w:div>
        <w:div w:id="1796409846">
          <w:marLeft w:val="640"/>
          <w:marRight w:val="0"/>
          <w:marTop w:val="0"/>
          <w:marBottom w:val="0"/>
          <w:divBdr>
            <w:top w:val="none" w:sz="0" w:space="0" w:color="auto"/>
            <w:left w:val="none" w:sz="0" w:space="0" w:color="auto"/>
            <w:bottom w:val="none" w:sz="0" w:space="0" w:color="auto"/>
            <w:right w:val="none" w:sz="0" w:space="0" w:color="auto"/>
          </w:divBdr>
        </w:div>
        <w:div w:id="561251567">
          <w:marLeft w:val="640"/>
          <w:marRight w:val="0"/>
          <w:marTop w:val="0"/>
          <w:marBottom w:val="0"/>
          <w:divBdr>
            <w:top w:val="none" w:sz="0" w:space="0" w:color="auto"/>
            <w:left w:val="none" w:sz="0" w:space="0" w:color="auto"/>
            <w:bottom w:val="none" w:sz="0" w:space="0" w:color="auto"/>
            <w:right w:val="none" w:sz="0" w:space="0" w:color="auto"/>
          </w:divBdr>
        </w:div>
        <w:div w:id="1306013295">
          <w:marLeft w:val="640"/>
          <w:marRight w:val="0"/>
          <w:marTop w:val="0"/>
          <w:marBottom w:val="0"/>
          <w:divBdr>
            <w:top w:val="none" w:sz="0" w:space="0" w:color="auto"/>
            <w:left w:val="none" w:sz="0" w:space="0" w:color="auto"/>
            <w:bottom w:val="none" w:sz="0" w:space="0" w:color="auto"/>
            <w:right w:val="none" w:sz="0" w:space="0" w:color="auto"/>
          </w:divBdr>
        </w:div>
        <w:div w:id="1846624295">
          <w:marLeft w:val="640"/>
          <w:marRight w:val="0"/>
          <w:marTop w:val="0"/>
          <w:marBottom w:val="0"/>
          <w:divBdr>
            <w:top w:val="none" w:sz="0" w:space="0" w:color="auto"/>
            <w:left w:val="none" w:sz="0" w:space="0" w:color="auto"/>
            <w:bottom w:val="none" w:sz="0" w:space="0" w:color="auto"/>
            <w:right w:val="none" w:sz="0" w:space="0" w:color="auto"/>
          </w:divBdr>
        </w:div>
        <w:div w:id="968129580">
          <w:marLeft w:val="640"/>
          <w:marRight w:val="0"/>
          <w:marTop w:val="0"/>
          <w:marBottom w:val="0"/>
          <w:divBdr>
            <w:top w:val="none" w:sz="0" w:space="0" w:color="auto"/>
            <w:left w:val="none" w:sz="0" w:space="0" w:color="auto"/>
            <w:bottom w:val="none" w:sz="0" w:space="0" w:color="auto"/>
            <w:right w:val="none" w:sz="0" w:space="0" w:color="auto"/>
          </w:divBdr>
        </w:div>
        <w:div w:id="1172187014">
          <w:marLeft w:val="640"/>
          <w:marRight w:val="0"/>
          <w:marTop w:val="0"/>
          <w:marBottom w:val="0"/>
          <w:divBdr>
            <w:top w:val="none" w:sz="0" w:space="0" w:color="auto"/>
            <w:left w:val="none" w:sz="0" w:space="0" w:color="auto"/>
            <w:bottom w:val="none" w:sz="0" w:space="0" w:color="auto"/>
            <w:right w:val="none" w:sz="0" w:space="0" w:color="auto"/>
          </w:divBdr>
        </w:div>
        <w:div w:id="1606305965">
          <w:marLeft w:val="640"/>
          <w:marRight w:val="0"/>
          <w:marTop w:val="0"/>
          <w:marBottom w:val="0"/>
          <w:divBdr>
            <w:top w:val="none" w:sz="0" w:space="0" w:color="auto"/>
            <w:left w:val="none" w:sz="0" w:space="0" w:color="auto"/>
            <w:bottom w:val="none" w:sz="0" w:space="0" w:color="auto"/>
            <w:right w:val="none" w:sz="0" w:space="0" w:color="auto"/>
          </w:divBdr>
        </w:div>
        <w:div w:id="677587311">
          <w:marLeft w:val="640"/>
          <w:marRight w:val="0"/>
          <w:marTop w:val="0"/>
          <w:marBottom w:val="0"/>
          <w:divBdr>
            <w:top w:val="none" w:sz="0" w:space="0" w:color="auto"/>
            <w:left w:val="none" w:sz="0" w:space="0" w:color="auto"/>
            <w:bottom w:val="none" w:sz="0" w:space="0" w:color="auto"/>
            <w:right w:val="none" w:sz="0" w:space="0" w:color="auto"/>
          </w:divBdr>
        </w:div>
        <w:div w:id="672294075">
          <w:marLeft w:val="640"/>
          <w:marRight w:val="0"/>
          <w:marTop w:val="0"/>
          <w:marBottom w:val="0"/>
          <w:divBdr>
            <w:top w:val="none" w:sz="0" w:space="0" w:color="auto"/>
            <w:left w:val="none" w:sz="0" w:space="0" w:color="auto"/>
            <w:bottom w:val="none" w:sz="0" w:space="0" w:color="auto"/>
            <w:right w:val="none" w:sz="0" w:space="0" w:color="auto"/>
          </w:divBdr>
        </w:div>
        <w:div w:id="1837456269">
          <w:marLeft w:val="640"/>
          <w:marRight w:val="0"/>
          <w:marTop w:val="0"/>
          <w:marBottom w:val="0"/>
          <w:divBdr>
            <w:top w:val="none" w:sz="0" w:space="0" w:color="auto"/>
            <w:left w:val="none" w:sz="0" w:space="0" w:color="auto"/>
            <w:bottom w:val="none" w:sz="0" w:space="0" w:color="auto"/>
            <w:right w:val="none" w:sz="0" w:space="0" w:color="auto"/>
          </w:divBdr>
        </w:div>
        <w:div w:id="1611739325">
          <w:marLeft w:val="640"/>
          <w:marRight w:val="0"/>
          <w:marTop w:val="0"/>
          <w:marBottom w:val="0"/>
          <w:divBdr>
            <w:top w:val="none" w:sz="0" w:space="0" w:color="auto"/>
            <w:left w:val="none" w:sz="0" w:space="0" w:color="auto"/>
            <w:bottom w:val="none" w:sz="0" w:space="0" w:color="auto"/>
            <w:right w:val="none" w:sz="0" w:space="0" w:color="auto"/>
          </w:divBdr>
        </w:div>
        <w:div w:id="1586449815">
          <w:marLeft w:val="640"/>
          <w:marRight w:val="0"/>
          <w:marTop w:val="0"/>
          <w:marBottom w:val="0"/>
          <w:divBdr>
            <w:top w:val="none" w:sz="0" w:space="0" w:color="auto"/>
            <w:left w:val="none" w:sz="0" w:space="0" w:color="auto"/>
            <w:bottom w:val="none" w:sz="0" w:space="0" w:color="auto"/>
            <w:right w:val="none" w:sz="0" w:space="0" w:color="auto"/>
          </w:divBdr>
        </w:div>
        <w:div w:id="1013459000">
          <w:marLeft w:val="640"/>
          <w:marRight w:val="0"/>
          <w:marTop w:val="0"/>
          <w:marBottom w:val="0"/>
          <w:divBdr>
            <w:top w:val="none" w:sz="0" w:space="0" w:color="auto"/>
            <w:left w:val="none" w:sz="0" w:space="0" w:color="auto"/>
            <w:bottom w:val="none" w:sz="0" w:space="0" w:color="auto"/>
            <w:right w:val="none" w:sz="0" w:space="0" w:color="auto"/>
          </w:divBdr>
        </w:div>
        <w:div w:id="123935984">
          <w:marLeft w:val="640"/>
          <w:marRight w:val="0"/>
          <w:marTop w:val="0"/>
          <w:marBottom w:val="0"/>
          <w:divBdr>
            <w:top w:val="none" w:sz="0" w:space="0" w:color="auto"/>
            <w:left w:val="none" w:sz="0" w:space="0" w:color="auto"/>
            <w:bottom w:val="none" w:sz="0" w:space="0" w:color="auto"/>
            <w:right w:val="none" w:sz="0" w:space="0" w:color="auto"/>
          </w:divBdr>
        </w:div>
        <w:div w:id="776221284">
          <w:marLeft w:val="640"/>
          <w:marRight w:val="0"/>
          <w:marTop w:val="0"/>
          <w:marBottom w:val="0"/>
          <w:divBdr>
            <w:top w:val="none" w:sz="0" w:space="0" w:color="auto"/>
            <w:left w:val="none" w:sz="0" w:space="0" w:color="auto"/>
            <w:bottom w:val="none" w:sz="0" w:space="0" w:color="auto"/>
            <w:right w:val="none" w:sz="0" w:space="0" w:color="auto"/>
          </w:divBdr>
        </w:div>
        <w:div w:id="948511199">
          <w:marLeft w:val="640"/>
          <w:marRight w:val="0"/>
          <w:marTop w:val="0"/>
          <w:marBottom w:val="0"/>
          <w:divBdr>
            <w:top w:val="none" w:sz="0" w:space="0" w:color="auto"/>
            <w:left w:val="none" w:sz="0" w:space="0" w:color="auto"/>
            <w:bottom w:val="none" w:sz="0" w:space="0" w:color="auto"/>
            <w:right w:val="none" w:sz="0" w:space="0" w:color="auto"/>
          </w:divBdr>
        </w:div>
        <w:div w:id="57368380">
          <w:marLeft w:val="640"/>
          <w:marRight w:val="0"/>
          <w:marTop w:val="0"/>
          <w:marBottom w:val="0"/>
          <w:divBdr>
            <w:top w:val="none" w:sz="0" w:space="0" w:color="auto"/>
            <w:left w:val="none" w:sz="0" w:space="0" w:color="auto"/>
            <w:bottom w:val="none" w:sz="0" w:space="0" w:color="auto"/>
            <w:right w:val="none" w:sz="0" w:space="0" w:color="auto"/>
          </w:divBdr>
        </w:div>
        <w:div w:id="572467164">
          <w:marLeft w:val="640"/>
          <w:marRight w:val="0"/>
          <w:marTop w:val="0"/>
          <w:marBottom w:val="0"/>
          <w:divBdr>
            <w:top w:val="none" w:sz="0" w:space="0" w:color="auto"/>
            <w:left w:val="none" w:sz="0" w:space="0" w:color="auto"/>
            <w:bottom w:val="none" w:sz="0" w:space="0" w:color="auto"/>
            <w:right w:val="none" w:sz="0" w:space="0" w:color="auto"/>
          </w:divBdr>
        </w:div>
        <w:div w:id="1075013972">
          <w:marLeft w:val="640"/>
          <w:marRight w:val="0"/>
          <w:marTop w:val="0"/>
          <w:marBottom w:val="0"/>
          <w:divBdr>
            <w:top w:val="none" w:sz="0" w:space="0" w:color="auto"/>
            <w:left w:val="none" w:sz="0" w:space="0" w:color="auto"/>
            <w:bottom w:val="none" w:sz="0" w:space="0" w:color="auto"/>
            <w:right w:val="none" w:sz="0" w:space="0" w:color="auto"/>
          </w:divBdr>
        </w:div>
        <w:div w:id="1694262775">
          <w:marLeft w:val="640"/>
          <w:marRight w:val="0"/>
          <w:marTop w:val="0"/>
          <w:marBottom w:val="0"/>
          <w:divBdr>
            <w:top w:val="none" w:sz="0" w:space="0" w:color="auto"/>
            <w:left w:val="none" w:sz="0" w:space="0" w:color="auto"/>
            <w:bottom w:val="none" w:sz="0" w:space="0" w:color="auto"/>
            <w:right w:val="none" w:sz="0" w:space="0" w:color="auto"/>
          </w:divBdr>
        </w:div>
        <w:div w:id="1436949271">
          <w:marLeft w:val="640"/>
          <w:marRight w:val="0"/>
          <w:marTop w:val="0"/>
          <w:marBottom w:val="0"/>
          <w:divBdr>
            <w:top w:val="none" w:sz="0" w:space="0" w:color="auto"/>
            <w:left w:val="none" w:sz="0" w:space="0" w:color="auto"/>
            <w:bottom w:val="none" w:sz="0" w:space="0" w:color="auto"/>
            <w:right w:val="none" w:sz="0" w:space="0" w:color="auto"/>
          </w:divBdr>
        </w:div>
        <w:div w:id="1289967211">
          <w:marLeft w:val="640"/>
          <w:marRight w:val="0"/>
          <w:marTop w:val="0"/>
          <w:marBottom w:val="0"/>
          <w:divBdr>
            <w:top w:val="none" w:sz="0" w:space="0" w:color="auto"/>
            <w:left w:val="none" w:sz="0" w:space="0" w:color="auto"/>
            <w:bottom w:val="none" w:sz="0" w:space="0" w:color="auto"/>
            <w:right w:val="none" w:sz="0" w:space="0" w:color="auto"/>
          </w:divBdr>
        </w:div>
        <w:div w:id="1502433765">
          <w:marLeft w:val="640"/>
          <w:marRight w:val="0"/>
          <w:marTop w:val="0"/>
          <w:marBottom w:val="0"/>
          <w:divBdr>
            <w:top w:val="none" w:sz="0" w:space="0" w:color="auto"/>
            <w:left w:val="none" w:sz="0" w:space="0" w:color="auto"/>
            <w:bottom w:val="none" w:sz="0" w:space="0" w:color="auto"/>
            <w:right w:val="none" w:sz="0" w:space="0" w:color="auto"/>
          </w:divBdr>
        </w:div>
        <w:div w:id="1666742130">
          <w:marLeft w:val="640"/>
          <w:marRight w:val="0"/>
          <w:marTop w:val="0"/>
          <w:marBottom w:val="0"/>
          <w:divBdr>
            <w:top w:val="none" w:sz="0" w:space="0" w:color="auto"/>
            <w:left w:val="none" w:sz="0" w:space="0" w:color="auto"/>
            <w:bottom w:val="none" w:sz="0" w:space="0" w:color="auto"/>
            <w:right w:val="none" w:sz="0" w:space="0" w:color="auto"/>
          </w:divBdr>
        </w:div>
        <w:div w:id="1986473424">
          <w:marLeft w:val="640"/>
          <w:marRight w:val="0"/>
          <w:marTop w:val="0"/>
          <w:marBottom w:val="0"/>
          <w:divBdr>
            <w:top w:val="none" w:sz="0" w:space="0" w:color="auto"/>
            <w:left w:val="none" w:sz="0" w:space="0" w:color="auto"/>
            <w:bottom w:val="none" w:sz="0" w:space="0" w:color="auto"/>
            <w:right w:val="none" w:sz="0" w:space="0" w:color="auto"/>
          </w:divBdr>
        </w:div>
        <w:div w:id="502355826">
          <w:marLeft w:val="640"/>
          <w:marRight w:val="0"/>
          <w:marTop w:val="0"/>
          <w:marBottom w:val="0"/>
          <w:divBdr>
            <w:top w:val="none" w:sz="0" w:space="0" w:color="auto"/>
            <w:left w:val="none" w:sz="0" w:space="0" w:color="auto"/>
            <w:bottom w:val="none" w:sz="0" w:space="0" w:color="auto"/>
            <w:right w:val="none" w:sz="0" w:space="0" w:color="auto"/>
          </w:divBdr>
        </w:div>
        <w:div w:id="1656034587">
          <w:marLeft w:val="640"/>
          <w:marRight w:val="0"/>
          <w:marTop w:val="0"/>
          <w:marBottom w:val="0"/>
          <w:divBdr>
            <w:top w:val="none" w:sz="0" w:space="0" w:color="auto"/>
            <w:left w:val="none" w:sz="0" w:space="0" w:color="auto"/>
            <w:bottom w:val="none" w:sz="0" w:space="0" w:color="auto"/>
            <w:right w:val="none" w:sz="0" w:space="0" w:color="auto"/>
          </w:divBdr>
        </w:div>
        <w:div w:id="1236286289">
          <w:marLeft w:val="640"/>
          <w:marRight w:val="0"/>
          <w:marTop w:val="0"/>
          <w:marBottom w:val="0"/>
          <w:divBdr>
            <w:top w:val="none" w:sz="0" w:space="0" w:color="auto"/>
            <w:left w:val="none" w:sz="0" w:space="0" w:color="auto"/>
            <w:bottom w:val="none" w:sz="0" w:space="0" w:color="auto"/>
            <w:right w:val="none" w:sz="0" w:space="0" w:color="auto"/>
          </w:divBdr>
        </w:div>
        <w:div w:id="716511101">
          <w:marLeft w:val="640"/>
          <w:marRight w:val="0"/>
          <w:marTop w:val="0"/>
          <w:marBottom w:val="0"/>
          <w:divBdr>
            <w:top w:val="none" w:sz="0" w:space="0" w:color="auto"/>
            <w:left w:val="none" w:sz="0" w:space="0" w:color="auto"/>
            <w:bottom w:val="none" w:sz="0" w:space="0" w:color="auto"/>
            <w:right w:val="none" w:sz="0" w:space="0" w:color="auto"/>
          </w:divBdr>
        </w:div>
        <w:div w:id="600070830">
          <w:marLeft w:val="640"/>
          <w:marRight w:val="0"/>
          <w:marTop w:val="0"/>
          <w:marBottom w:val="0"/>
          <w:divBdr>
            <w:top w:val="none" w:sz="0" w:space="0" w:color="auto"/>
            <w:left w:val="none" w:sz="0" w:space="0" w:color="auto"/>
            <w:bottom w:val="none" w:sz="0" w:space="0" w:color="auto"/>
            <w:right w:val="none" w:sz="0" w:space="0" w:color="auto"/>
          </w:divBdr>
        </w:div>
        <w:div w:id="1832871690">
          <w:marLeft w:val="640"/>
          <w:marRight w:val="0"/>
          <w:marTop w:val="0"/>
          <w:marBottom w:val="0"/>
          <w:divBdr>
            <w:top w:val="none" w:sz="0" w:space="0" w:color="auto"/>
            <w:left w:val="none" w:sz="0" w:space="0" w:color="auto"/>
            <w:bottom w:val="none" w:sz="0" w:space="0" w:color="auto"/>
            <w:right w:val="none" w:sz="0" w:space="0" w:color="auto"/>
          </w:divBdr>
        </w:div>
        <w:div w:id="372383487">
          <w:marLeft w:val="640"/>
          <w:marRight w:val="0"/>
          <w:marTop w:val="0"/>
          <w:marBottom w:val="0"/>
          <w:divBdr>
            <w:top w:val="none" w:sz="0" w:space="0" w:color="auto"/>
            <w:left w:val="none" w:sz="0" w:space="0" w:color="auto"/>
            <w:bottom w:val="none" w:sz="0" w:space="0" w:color="auto"/>
            <w:right w:val="none" w:sz="0" w:space="0" w:color="auto"/>
          </w:divBdr>
        </w:div>
        <w:div w:id="921791791">
          <w:marLeft w:val="640"/>
          <w:marRight w:val="0"/>
          <w:marTop w:val="0"/>
          <w:marBottom w:val="0"/>
          <w:divBdr>
            <w:top w:val="none" w:sz="0" w:space="0" w:color="auto"/>
            <w:left w:val="none" w:sz="0" w:space="0" w:color="auto"/>
            <w:bottom w:val="none" w:sz="0" w:space="0" w:color="auto"/>
            <w:right w:val="none" w:sz="0" w:space="0" w:color="auto"/>
          </w:divBdr>
        </w:div>
        <w:div w:id="1388459490">
          <w:marLeft w:val="640"/>
          <w:marRight w:val="0"/>
          <w:marTop w:val="0"/>
          <w:marBottom w:val="0"/>
          <w:divBdr>
            <w:top w:val="none" w:sz="0" w:space="0" w:color="auto"/>
            <w:left w:val="none" w:sz="0" w:space="0" w:color="auto"/>
            <w:bottom w:val="none" w:sz="0" w:space="0" w:color="auto"/>
            <w:right w:val="none" w:sz="0" w:space="0" w:color="auto"/>
          </w:divBdr>
        </w:div>
        <w:div w:id="946815130">
          <w:marLeft w:val="640"/>
          <w:marRight w:val="0"/>
          <w:marTop w:val="0"/>
          <w:marBottom w:val="0"/>
          <w:divBdr>
            <w:top w:val="none" w:sz="0" w:space="0" w:color="auto"/>
            <w:left w:val="none" w:sz="0" w:space="0" w:color="auto"/>
            <w:bottom w:val="none" w:sz="0" w:space="0" w:color="auto"/>
            <w:right w:val="none" w:sz="0" w:space="0" w:color="auto"/>
          </w:divBdr>
        </w:div>
        <w:div w:id="2010791585">
          <w:marLeft w:val="640"/>
          <w:marRight w:val="0"/>
          <w:marTop w:val="0"/>
          <w:marBottom w:val="0"/>
          <w:divBdr>
            <w:top w:val="none" w:sz="0" w:space="0" w:color="auto"/>
            <w:left w:val="none" w:sz="0" w:space="0" w:color="auto"/>
            <w:bottom w:val="none" w:sz="0" w:space="0" w:color="auto"/>
            <w:right w:val="none" w:sz="0" w:space="0" w:color="auto"/>
          </w:divBdr>
        </w:div>
        <w:div w:id="1031875650">
          <w:marLeft w:val="640"/>
          <w:marRight w:val="0"/>
          <w:marTop w:val="0"/>
          <w:marBottom w:val="0"/>
          <w:divBdr>
            <w:top w:val="none" w:sz="0" w:space="0" w:color="auto"/>
            <w:left w:val="none" w:sz="0" w:space="0" w:color="auto"/>
            <w:bottom w:val="none" w:sz="0" w:space="0" w:color="auto"/>
            <w:right w:val="none" w:sz="0" w:space="0" w:color="auto"/>
          </w:divBdr>
        </w:div>
        <w:div w:id="42559290">
          <w:marLeft w:val="640"/>
          <w:marRight w:val="0"/>
          <w:marTop w:val="0"/>
          <w:marBottom w:val="0"/>
          <w:divBdr>
            <w:top w:val="none" w:sz="0" w:space="0" w:color="auto"/>
            <w:left w:val="none" w:sz="0" w:space="0" w:color="auto"/>
            <w:bottom w:val="none" w:sz="0" w:space="0" w:color="auto"/>
            <w:right w:val="none" w:sz="0" w:space="0" w:color="auto"/>
          </w:divBdr>
        </w:div>
        <w:div w:id="945120495">
          <w:marLeft w:val="640"/>
          <w:marRight w:val="0"/>
          <w:marTop w:val="0"/>
          <w:marBottom w:val="0"/>
          <w:divBdr>
            <w:top w:val="none" w:sz="0" w:space="0" w:color="auto"/>
            <w:left w:val="none" w:sz="0" w:space="0" w:color="auto"/>
            <w:bottom w:val="none" w:sz="0" w:space="0" w:color="auto"/>
            <w:right w:val="none" w:sz="0" w:space="0" w:color="auto"/>
          </w:divBdr>
        </w:div>
        <w:div w:id="1238594514">
          <w:marLeft w:val="640"/>
          <w:marRight w:val="0"/>
          <w:marTop w:val="0"/>
          <w:marBottom w:val="0"/>
          <w:divBdr>
            <w:top w:val="none" w:sz="0" w:space="0" w:color="auto"/>
            <w:left w:val="none" w:sz="0" w:space="0" w:color="auto"/>
            <w:bottom w:val="none" w:sz="0" w:space="0" w:color="auto"/>
            <w:right w:val="none" w:sz="0" w:space="0" w:color="auto"/>
          </w:divBdr>
        </w:div>
        <w:div w:id="1507867868">
          <w:marLeft w:val="640"/>
          <w:marRight w:val="0"/>
          <w:marTop w:val="0"/>
          <w:marBottom w:val="0"/>
          <w:divBdr>
            <w:top w:val="none" w:sz="0" w:space="0" w:color="auto"/>
            <w:left w:val="none" w:sz="0" w:space="0" w:color="auto"/>
            <w:bottom w:val="none" w:sz="0" w:space="0" w:color="auto"/>
            <w:right w:val="none" w:sz="0" w:space="0" w:color="auto"/>
          </w:divBdr>
        </w:div>
        <w:div w:id="1566258142">
          <w:marLeft w:val="640"/>
          <w:marRight w:val="0"/>
          <w:marTop w:val="0"/>
          <w:marBottom w:val="0"/>
          <w:divBdr>
            <w:top w:val="none" w:sz="0" w:space="0" w:color="auto"/>
            <w:left w:val="none" w:sz="0" w:space="0" w:color="auto"/>
            <w:bottom w:val="none" w:sz="0" w:space="0" w:color="auto"/>
            <w:right w:val="none" w:sz="0" w:space="0" w:color="auto"/>
          </w:divBdr>
        </w:div>
        <w:div w:id="1907177468">
          <w:marLeft w:val="640"/>
          <w:marRight w:val="0"/>
          <w:marTop w:val="0"/>
          <w:marBottom w:val="0"/>
          <w:divBdr>
            <w:top w:val="none" w:sz="0" w:space="0" w:color="auto"/>
            <w:left w:val="none" w:sz="0" w:space="0" w:color="auto"/>
            <w:bottom w:val="none" w:sz="0" w:space="0" w:color="auto"/>
            <w:right w:val="none" w:sz="0" w:space="0" w:color="auto"/>
          </w:divBdr>
        </w:div>
        <w:div w:id="1414663601">
          <w:marLeft w:val="640"/>
          <w:marRight w:val="0"/>
          <w:marTop w:val="0"/>
          <w:marBottom w:val="0"/>
          <w:divBdr>
            <w:top w:val="none" w:sz="0" w:space="0" w:color="auto"/>
            <w:left w:val="none" w:sz="0" w:space="0" w:color="auto"/>
            <w:bottom w:val="none" w:sz="0" w:space="0" w:color="auto"/>
            <w:right w:val="none" w:sz="0" w:space="0" w:color="auto"/>
          </w:divBdr>
        </w:div>
        <w:div w:id="1048992300">
          <w:marLeft w:val="640"/>
          <w:marRight w:val="0"/>
          <w:marTop w:val="0"/>
          <w:marBottom w:val="0"/>
          <w:divBdr>
            <w:top w:val="none" w:sz="0" w:space="0" w:color="auto"/>
            <w:left w:val="none" w:sz="0" w:space="0" w:color="auto"/>
            <w:bottom w:val="none" w:sz="0" w:space="0" w:color="auto"/>
            <w:right w:val="none" w:sz="0" w:space="0" w:color="auto"/>
          </w:divBdr>
        </w:div>
        <w:div w:id="1832716903">
          <w:marLeft w:val="640"/>
          <w:marRight w:val="0"/>
          <w:marTop w:val="0"/>
          <w:marBottom w:val="0"/>
          <w:divBdr>
            <w:top w:val="none" w:sz="0" w:space="0" w:color="auto"/>
            <w:left w:val="none" w:sz="0" w:space="0" w:color="auto"/>
            <w:bottom w:val="none" w:sz="0" w:space="0" w:color="auto"/>
            <w:right w:val="none" w:sz="0" w:space="0" w:color="auto"/>
          </w:divBdr>
        </w:div>
        <w:div w:id="594552687">
          <w:marLeft w:val="640"/>
          <w:marRight w:val="0"/>
          <w:marTop w:val="0"/>
          <w:marBottom w:val="0"/>
          <w:divBdr>
            <w:top w:val="none" w:sz="0" w:space="0" w:color="auto"/>
            <w:left w:val="none" w:sz="0" w:space="0" w:color="auto"/>
            <w:bottom w:val="none" w:sz="0" w:space="0" w:color="auto"/>
            <w:right w:val="none" w:sz="0" w:space="0" w:color="auto"/>
          </w:divBdr>
        </w:div>
        <w:div w:id="1778672573">
          <w:marLeft w:val="640"/>
          <w:marRight w:val="0"/>
          <w:marTop w:val="0"/>
          <w:marBottom w:val="0"/>
          <w:divBdr>
            <w:top w:val="none" w:sz="0" w:space="0" w:color="auto"/>
            <w:left w:val="none" w:sz="0" w:space="0" w:color="auto"/>
            <w:bottom w:val="none" w:sz="0" w:space="0" w:color="auto"/>
            <w:right w:val="none" w:sz="0" w:space="0" w:color="auto"/>
          </w:divBdr>
        </w:div>
        <w:div w:id="1631477924">
          <w:marLeft w:val="640"/>
          <w:marRight w:val="0"/>
          <w:marTop w:val="0"/>
          <w:marBottom w:val="0"/>
          <w:divBdr>
            <w:top w:val="none" w:sz="0" w:space="0" w:color="auto"/>
            <w:left w:val="none" w:sz="0" w:space="0" w:color="auto"/>
            <w:bottom w:val="none" w:sz="0" w:space="0" w:color="auto"/>
            <w:right w:val="none" w:sz="0" w:space="0" w:color="auto"/>
          </w:divBdr>
        </w:div>
        <w:div w:id="569928085">
          <w:marLeft w:val="640"/>
          <w:marRight w:val="0"/>
          <w:marTop w:val="0"/>
          <w:marBottom w:val="0"/>
          <w:divBdr>
            <w:top w:val="none" w:sz="0" w:space="0" w:color="auto"/>
            <w:left w:val="none" w:sz="0" w:space="0" w:color="auto"/>
            <w:bottom w:val="none" w:sz="0" w:space="0" w:color="auto"/>
            <w:right w:val="none" w:sz="0" w:space="0" w:color="auto"/>
          </w:divBdr>
        </w:div>
        <w:div w:id="458038042">
          <w:marLeft w:val="640"/>
          <w:marRight w:val="0"/>
          <w:marTop w:val="0"/>
          <w:marBottom w:val="0"/>
          <w:divBdr>
            <w:top w:val="none" w:sz="0" w:space="0" w:color="auto"/>
            <w:left w:val="none" w:sz="0" w:space="0" w:color="auto"/>
            <w:bottom w:val="none" w:sz="0" w:space="0" w:color="auto"/>
            <w:right w:val="none" w:sz="0" w:space="0" w:color="auto"/>
          </w:divBdr>
        </w:div>
        <w:div w:id="1246959593">
          <w:marLeft w:val="640"/>
          <w:marRight w:val="0"/>
          <w:marTop w:val="0"/>
          <w:marBottom w:val="0"/>
          <w:divBdr>
            <w:top w:val="none" w:sz="0" w:space="0" w:color="auto"/>
            <w:left w:val="none" w:sz="0" w:space="0" w:color="auto"/>
            <w:bottom w:val="none" w:sz="0" w:space="0" w:color="auto"/>
            <w:right w:val="none" w:sz="0" w:space="0" w:color="auto"/>
          </w:divBdr>
        </w:div>
        <w:div w:id="1724712011">
          <w:marLeft w:val="640"/>
          <w:marRight w:val="0"/>
          <w:marTop w:val="0"/>
          <w:marBottom w:val="0"/>
          <w:divBdr>
            <w:top w:val="none" w:sz="0" w:space="0" w:color="auto"/>
            <w:left w:val="none" w:sz="0" w:space="0" w:color="auto"/>
            <w:bottom w:val="none" w:sz="0" w:space="0" w:color="auto"/>
            <w:right w:val="none" w:sz="0" w:space="0" w:color="auto"/>
          </w:divBdr>
        </w:div>
        <w:div w:id="841050646">
          <w:marLeft w:val="640"/>
          <w:marRight w:val="0"/>
          <w:marTop w:val="0"/>
          <w:marBottom w:val="0"/>
          <w:divBdr>
            <w:top w:val="none" w:sz="0" w:space="0" w:color="auto"/>
            <w:left w:val="none" w:sz="0" w:space="0" w:color="auto"/>
            <w:bottom w:val="none" w:sz="0" w:space="0" w:color="auto"/>
            <w:right w:val="none" w:sz="0" w:space="0" w:color="auto"/>
          </w:divBdr>
        </w:div>
        <w:div w:id="2089694158">
          <w:marLeft w:val="640"/>
          <w:marRight w:val="0"/>
          <w:marTop w:val="0"/>
          <w:marBottom w:val="0"/>
          <w:divBdr>
            <w:top w:val="none" w:sz="0" w:space="0" w:color="auto"/>
            <w:left w:val="none" w:sz="0" w:space="0" w:color="auto"/>
            <w:bottom w:val="none" w:sz="0" w:space="0" w:color="auto"/>
            <w:right w:val="none" w:sz="0" w:space="0" w:color="auto"/>
          </w:divBdr>
        </w:div>
        <w:div w:id="1939867585">
          <w:marLeft w:val="640"/>
          <w:marRight w:val="0"/>
          <w:marTop w:val="0"/>
          <w:marBottom w:val="0"/>
          <w:divBdr>
            <w:top w:val="none" w:sz="0" w:space="0" w:color="auto"/>
            <w:left w:val="none" w:sz="0" w:space="0" w:color="auto"/>
            <w:bottom w:val="none" w:sz="0" w:space="0" w:color="auto"/>
            <w:right w:val="none" w:sz="0" w:space="0" w:color="auto"/>
          </w:divBdr>
        </w:div>
        <w:div w:id="2070179586">
          <w:marLeft w:val="640"/>
          <w:marRight w:val="0"/>
          <w:marTop w:val="0"/>
          <w:marBottom w:val="0"/>
          <w:divBdr>
            <w:top w:val="none" w:sz="0" w:space="0" w:color="auto"/>
            <w:left w:val="none" w:sz="0" w:space="0" w:color="auto"/>
            <w:bottom w:val="none" w:sz="0" w:space="0" w:color="auto"/>
            <w:right w:val="none" w:sz="0" w:space="0" w:color="auto"/>
          </w:divBdr>
        </w:div>
        <w:div w:id="1525094811">
          <w:marLeft w:val="640"/>
          <w:marRight w:val="0"/>
          <w:marTop w:val="0"/>
          <w:marBottom w:val="0"/>
          <w:divBdr>
            <w:top w:val="none" w:sz="0" w:space="0" w:color="auto"/>
            <w:left w:val="none" w:sz="0" w:space="0" w:color="auto"/>
            <w:bottom w:val="none" w:sz="0" w:space="0" w:color="auto"/>
            <w:right w:val="none" w:sz="0" w:space="0" w:color="auto"/>
          </w:divBdr>
        </w:div>
        <w:div w:id="1738941142">
          <w:marLeft w:val="640"/>
          <w:marRight w:val="0"/>
          <w:marTop w:val="0"/>
          <w:marBottom w:val="0"/>
          <w:divBdr>
            <w:top w:val="none" w:sz="0" w:space="0" w:color="auto"/>
            <w:left w:val="none" w:sz="0" w:space="0" w:color="auto"/>
            <w:bottom w:val="none" w:sz="0" w:space="0" w:color="auto"/>
            <w:right w:val="none" w:sz="0" w:space="0" w:color="auto"/>
          </w:divBdr>
        </w:div>
        <w:div w:id="22291107">
          <w:marLeft w:val="640"/>
          <w:marRight w:val="0"/>
          <w:marTop w:val="0"/>
          <w:marBottom w:val="0"/>
          <w:divBdr>
            <w:top w:val="none" w:sz="0" w:space="0" w:color="auto"/>
            <w:left w:val="none" w:sz="0" w:space="0" w:color="auto"/>
            <w:bottom w:val="none" w:sz="0" w:space="0" w:color="auto"/>
            <w:right w:val="none" w:sz="0" w:space="0" w:color="auto"/>
          </w:divBdr>
        </w:div>
        <w:div w:id="1810972283">
          <w:marLeft w:val="640"/>
          <w:marRight w:val="0"/>
          <w:marTop w:val="0"/>
          <w:marBottom w:val="0"/>
          <w:divBdr>
            <w:top w:val="none" w:sz="0" w:space="0" w:color="auto"/>
            <w:left w:val="none" w:sz="0" w:space="0" w:color="auto"/>
            <w:bottom w:val="none" w:sz="0" w:space="0" w:color="auto"/>
            <w:right w:val="none" w:sz="0" w:space="0" w:color="auto"/>
          </w:divBdr>
        </w:div>
        <w:div w:id="420488744">
          <w:marLeft w:val="640"/>
          <w:marRight w:val="0"/>
          <w:marTop w:val="0"/>
          <w:marBottom w:val="0"/>
          <w:divBdr>
            <w:top w:val="none" w:sz="0" w:space="0" w:color="auto"/>
            <w:left w:val="none" w:sz="0" w:space="0" w:color="auto"/>
            <w:bottom w:val="none" w:sz="0" w:space="0" w:color="auto"/>
            <w:right w:val="none" w:sz="0" w:space="0" w:color="auto"/>
          </w:divBdr>
        </w:div>
        <w:div w:id="1707557504">
          <w:marLeft w:val="640"/>
          <w:marRight w:val="0"/>
          <w:marTop w:val="0"/>
          <w:marBottom w:val="0"/>
          <w:divBdr>
            <w:top w:val="none" w:sz="0" w:space="0" w:color="auto"/>
            <w:left w:val="none" w:sz="0" w:space="0" w:color="auto"/>
            <w:bottom w:val="none" w:sz="0" w:space="0" w:color="auto"/>
            <w:right w:val="none" w:sz="0" w:space="0" w:color="auto"/>
          </w:divBdr>
        </w:div>
        <w:div w:id="1066341985">
          <w:marLeft w:val="640"/>
          <w:marRight w:val="0"/>
          <w:marTop w:val="0"/>
          <w:marBottom w:val="0"/>
          <w:divBdr>
            <w:top w:val="none" w:sz="0" w:space="0" w:color="auto"/>
            <w:left w:val="none" w:sz="0" w:space="0" w:color="auto"/>
            <w:bottom w:val="none" w:sz="0" w:space="0" w:color="auto"/>
            <w:right w:val="none" w:sz="0" w:space="0" w:color="auto"/>
          </w:divBdr>
        </w:div>
        <w:div w:id="526018082">
          <w:marLeft w:val="640"/>
          <w:marRight w:val="0"/>
          <w:marTop w:val="0"/>
          <w:marBottom w:val="0"/>
          <w:divBdr>
            <w:top w:val="none" w:sz="0" w:space="0" w:color="auto"/>
            <w:left w:val="none" w:sz="0" w:space="0" w:color="auto"/>
            <w:bottom w:val="none" w:sz="0" w:space="0" w:color="auto"/>
            <w:right w:val="none" w:sz="0" w:space="0" w:color="auto"/>
          </w:divBdr>
        </w:div>
        <w:div w:id="1128816088">
          <w:marLeft w:val="640"/>
          <w:marRight w:val="0"/>
          <w:marTop w:val="0"/>
          <w:marBottom w:val="0"/>
          <w:divBdr>
            <w:top w:val="none" w:sz="0" w:space="0" w:color="auto"/>
            <w:left w:val="none" w:sz="0" w:space="0" w:color="auto"/>
            <w:bottom w:val="none" w:sz="0" w:space="0" w:color="auto"/>
            <w:right w:val="none" w:sz="0" w:space="0" w:color="auto"/>
          </w:divBdr>
        </w:div>
        <w:div w:id="1531530626">
          <w:marLeft w:val="640"/>
          <w:marRight w:val="0"/>
          <w:marTop w:val="0"/>
          <w:marBottom w:val="0"/>
          <w:divBdr>
            <w:top w:val="none" w:sz="0" w:space="0" w:color="auto"/>
            <w:left w:val="none" w:sz="0" w:space="0" w:color="auto"/>
            <w:bottom w:val="none" w:sz="0" w:space="0" w:color="auto"/>
            <w:right w:val="none" w:sz="0" w:space="0" w:color="auto"/>
          </w:divBdr>
        </w:div>
        <w:div w:id="263270592">
          <w:marLeft w:val="640"/>
          <w:marRight w:val="0"/>
          <w:marTop w:val="0"/>
          <w:marBottom w:val="0"/>
          <w:divBdr>
            <w:top w:val="none" w:sz="0" w:space="0" w:color="auto"/>
            <w:left w:val="none" w:sz="0" w:space="0" w:color="auto"/>
            <w:bottom w:val="none" w:sz="0" w:space="0" w:color="auto"/>
            <w:right w:val="none" w:sz="0" w:space="0" w:color="auto"/>
          </w:divBdr>
        </w:div>
        <w:div w:id="1117259787">
          <w:marLeft w:val="640"/>
          <w:marRight w:val="0"/>
          <w:marTop w:val="0"/>
          <w:marBottom w:val="0"/>
          <w:divBdr>
            <w:top w:val="none" w:sz="0" w:space="0" w:color="auto"/>
            <w:left w:val="none" w:sz="0" w:space="0" w:color="auto"/>
            <w:bottom w:val="none" w:sz="0" w:space="0" w:color="auto"/>
            <w:right w:val="none" w:sz="0" w:space="0" w:color="auto"/>
          </w:divBdr>
        </w:div>
        <w:div w:id="102070905">
          <w:marLeft w:val="640"/>
          <w:marRight w:val="0"/>
          <w:marTop w:val="0"/>
          <w:marBottom w:val="0"/>
          <w:divBdr>
            <w:top w:val="none" w:sz="0" w:space="0" w:color="auto"/>
            <w:left w:val="none" w:sz="0" w:space="0" w:color="auto"/>
            <w:bottom w:val="none" w:sz="0" w:space="0" w:color="auto"/>
            <w:right w:val="none" w:sz="0" w:space="0" w:color="auto"/>
          </w:divBdr>
        </w:div>
        <w:div w:id="391005800">
          <w:marLeft w:val="640"/>
          <w:marRight w:val="0"/>
          <w:marTop w:val="0"/>
          <w:marBottom w:val="0"/>
          <w:divBdr>
            <w:top w:val="none" w:sz="0" w:space="0" w:color="auto"/>
            <w:left w:val="none" w:sz="0" w:space="0" w:color="auto"/>
            <w:bottom w:val="none" w:sz="0" w:space="0" w:color="auto"/>
            <w:right w:val="none" w:sz="0" w:space="0" w:color="auto"/>
          </w:divBdr>
        </w:div>
        <w:div w:id="297565371">
          <w:marLeft w:val="640"/>
          <w:marRight w:val="0"/>
          <w:marTop w:val="0"/>
          <w:marBottom w:val="0"/>
          <w:divBdr>
            <w:top w:val="none" w:sz="0" w:space="0" w:color="auto"/>
            <w:left w:val="none" w:sz="0" w:space="0" w:color="auto"/>
            <w:bottom w:val="none" w:sz="0" w:space="0" w:color="auto"/>
            <w:right w:val="none" w:sz="0" w:space="0" w:color="auto"/>
          </w:divBdr>
        </w:div>
        <w:div w:id="833841089">
          <w:marLeft w:val="640"/>
          <w:marRight w:val="0"/>
          <w:marTop w:val="0"/>
          <w:marBottom w:val="0"/>
          <w:divBdr>
            <w:top w:val="none" w:sz="0" w:space="0" w:color="auto"/>
            <w:left w:val="none" w:sz="0" w:space="0" w:color="auto"/>
            <w:bottom w:val="none" w:sz="0" w:space="0" w:color="auto"/>
            <w:right w:val="none" w:sz="0" w:space="0" w:color="auto"/>
          </w:divBdr>
        </w:div>
        <w:div w:id="219291957">
          <w:marLeft w:val="640"/>
          <w:marRight w:val="0"/>
          <w:marTop w:val="0"/>
          <w:marBottom w:val="0"/>
          <w:divBdr>
            <w:top w:val="none" w:sz="0" w:space="0" w:color="auto"/>
            <w:left w:val="none" w:sz="0" w:space="0" w:color="auto"/>
            <w:bottom w:val="none" w:sz="0" w:space="0" w:color="auto"/>
            <w:right w:val="none" w:sz="0" w:space="0" w:color="auto"/>
          </w:divBdr>
        </w:div>
        <w:div w:id="81873862">
          <w:marLeft w:val="640"/>
          <w:marRight w:val="0"/>
          <w:marTop w:val="0"/>
          <w:marBottom w:val="0"/>
          <w:divBdr>
            <w:top w:val="none" w:sz="0" w:space="0" w:color="auto"/>
            <w:left w:val="none" w:sz="0" w:space="0" w:color="auto"/>
            <w:bottom w:val="none" w:sz="0" w:space="0" w:color="auto"/>
            <w:right w:val="none" w:sz="0" w:space="0" w:color="auto"/>
          </w:divBdr>
        </w:div>
        <w:div w:id="2129545050">
          <w:marLeft w:val="640"/>
          <w:marRight w:val="0"/>
          <w:marTop w:val="0"/>
          <w:marBottom w:val="0"/>
          <w:divBdr>
            <w:top w:val="none" w:sz="0" w:space="0" w:color="auto"/>
            <w:left w:val="none" w:sz="0" w:space="0" w:color="auto"/>
            <w:bottom w:val="none" w:sz="0" w:space="0" w:color="auto"/>
            <w:right w:val="none" w:sz="0" w:space="0" w:color="auto"/>
          </w:divBdr>
        </w:div>
        <w:div w:id="1635520392">
          <w:marLeft w:val="640"/>
          <w:marRight w:val="0"/>
          <w:marTop w:val="0"/>
          <w:marBottom w:val="0"/>
          <w:divBdr>
            <w:top w:val="none" w:sz="0" w:space="0" w:color="auto"/>
            <w:left w:val="none" w:sz="0" w:space="0" w:color="auto"/>
            <w:bottom w:val="none" w:sz="0" w:space="0" w:color="auto"/>
            <w:right w:val="none" w:sz="0" w:space="0" w:color="auto"/>
          </w:divBdr>
        </w:div>
        <w:div w:id="1747724236">
          <w:marLeft w:val="640"/>
          <w:marRight w:val="0"/>
          <w:marTop w:val="0"/>
          <w:marBottom w:val="0"/>
          <w:divBdr>
            <w:top w:val="none" w:sz="0" w:space="0" w:color="auto"/>
            <w:left w:val="none" w:sz="0" w:space="0" w:color="auto"/>
            <w:bottom w:val="none" w:sz="0" w:space="0" w:color="auto"/>
            <w:right w:val="none" w:sz="0" w:space="0" w:color="auto"/>
          </w:divBdr>
        </w:div>
        <w:div w:id="1208950911">
          <w:marLeft w:val="640"/>
          <w:marRight w:val="0"/>
          <w:marTop w:val="0"/>
          <w:marBottom w:val="0"/>
          <w:divBdr>
            <w:top w:val="none" w:sz="0" w:space="0" w:color="auto"/>
            <w:left w:val="none" w:sz="0" w:space="0" w:color="auto"/>
            <w:bottom w:val="none" w:sz="0" w:space="0" w:color="auto"/>
            <w:right w:val="none" w:sz="0" w:space="0" w:color="auto"/>
          </w:divBdr>
        </w:div>
        <w:div w:id="847909528">
          <w:marLeft w:val="640"/>
          <w:marRight w:val="0"/>
          <w:marTop w:val="0"/>
          <w:marBottom w:val="0"/>
          <w:divBdr>
            <w:top w:val="none" w:sz="0" w:space="0" w:color="auto"/>
            <w:left w:val="none" w:sz="0" w:space="0" w:color="auto"/>
            <w:bottom w:val="none" w:sz="0" w:space="0" w:color="auto"/>
            <w:right w:val="none" w:sz="0" w:space="0" w:color="auto"/>
          </w:divBdr>
        </w:div>
        <w:div w:id="1746758011">
          <w:marLeft w:val="640"/>
          <w:marRight w:val="0"/>
          <w:marTop w:val="0"/>
          <w:marBottom w:val="0"/>
          <w:divBdr>
            <w:top w:val="none" w:sz="0" w:space="0" w:color="auto"/>
            <w:left w:val="none" w:sz="0" w:space="0" w:color="auto"/>
            <w:bottom w:val="none" w:sz="0" w:space="0" w:color="auto"/>
            <w:right w:val="none" w:sz="0" w:space="0" w:color="auto"/>
          </w:divBdr>
        </w:div>
        <w:div w:id="949438144">
          <w:marLeft w:val="640"/>
          <w:marRight w:val="0"/>
          <w:marTop w:val="0"/>
          <w:marBottom w:val="0"/>
          <w:divBdr>
            <w:top w:val="none" w:sz="0" w:space="0" w:color="auto"/>
            <w:left w:val="none" w:sz="0" w:space="0" w:color="auto"/>
            <w:bottom w:val="none" w:sz="0" w:space="0" w:color="auto"/>
            <w:right w:val="none" w:sz="0" w:space="0" w:color="auto"/>
          </w:divBdr>
        </w:div>
        <w:div w:id="1089815587">
          <w:marLeft w:val="640"/>
          <w:marRight w:val="0"/>
          <w:marTop w:val="0"/>
          <w:marBottom w:val="0"/>
          <w:divBdr>
            <w:top w:val="none" w:sz="0" w:space="0" w:color="auto"/>
            <w:left w:val="none" w:sz="0" w:space="0" w:color="auto"/>
            <w:bottom w:val="none" w:sz="0" w:space="0" w:color="auto"/>
            <w:right w:val="none" w:sz="0" w:space="0" w:color="auto"/>
          </w:divBdr>
        </w:div>
        <w:div w:id="254754076">
          <w:marLeft w:val="640"/>
          <w:marRight w:val="0"/>
          <w:marTop w:val="0"/>
          <w:marBottom w:val="0"/>
          <w:divBdr>
            <w:top w:val="none" w:sz="0" w:space="0" w:color="auto"/>
            <w:left w:val="none" w:sz="0" w:space="0" w:color="auto"/>
            <w:bottom w:val="none" w:sz="0" w:space="0" w:color="auto"/>
            <w:right w:val="none" w:sz="0" w:space="0" w:color="auto"/>
          </w:divBdr>
        </w:div>
        <w:div w:id="1956129386">
          <w:marLeft w:val="640"/>
          <w:marRight w:val="0"/>
          <w:marTop w:val="0"/>
          <w:marBottom w:val="0"/>
          <w:divBdr>
            <w:top w:val="none" w:sz="0" w:space="0" w:color="auto"/>
            <w:left w:val="none" w:sz="0" w:space="0" w:color="auto"/>
            <w:bottom w:val="none" w:sz="0" w:space="0" w:color="auto"/>
            <w:right w:val="none" w:sz="0" w:space="0" w:color="auto"/>
          </w:divBdr>
        </w:div>
        <w:div w:id="1051344148">
          <w:marLeft w:val="640"/>
          <w:marRight w:val="0"/>
          <w:marTop w:val="0"/>
          <w:marBottom w:val="0"/>
          <w:divBdr>
            <w:top w:val="none" w:sz="0" w:space="0" w:color="auto"/>
            <w:left w:val="none" w:sz="0" w:space="0" w:color="auto"/>
            <w:bottom w:val="none" w:sz="0" w:space="0" w:color="auto"/>
            <w:right w:val="none" w:sz="0" w:space="0" w:color="auto"/>
          </w:divBdr>
        </w:div>
        <w:div w:id="1337809688">
          <w:marLeft w:val="640"/>
          <w:marRight w:val="0"/>
          <w:marTop w:val="0"/>
          <w:marBottom w:val="0"/>
          <w:divBdr>
            <w:top w:val="none" w:sz="0" w:space="0" w:color="auto"/>
            <w:left w:val="none" w:sz="0" w:space="0" w:color="auto"/>
            <w:bottom w:val="none" w:sz="0" w:space="0" w:color="auto"/>
            <w:right w:val="none" w:sz="0" w:space="0" w:color="auto"/>
          </w:divBdr>
        </w:div>
        <w:div w:id="1165900167">
          <w:marLeft w:val="640"/>
          <w:marRight w:val="0"/>
          <w:marTop w:val="0"/>
          <w:marBottom w:val="0"/>
          <w:divBdr>
            <w:top w:val="none" w:sz="0" w:space="0" w:color="auto"/>
            <w:left w:val="none" w:sz="0" w:space="0" w:color="auto"/>
            <w:bottom w:val="none" w:sz="0" w:space="0" w:color="auto"/>
            <w:right w:val="none" w:sz="0" w:space="0" w:color="auto"/>
          </w:divBdr>
        </w:div>
        <w:div w:id="268398126">
          <w:marLeft w:val="640"/>
          <w:marRight w:val="0"/>
          <w:marTop w:val="0"/>
          <w:marBottom w:val="0"/>
          <w:divBdr>
            <w:top w:val="none" w:sz="0" w:space="0" w:color="auto"/>
            <w:left w:val="none" w:sz="0" w:space="0" w:color="auto"/>
            <w:bottom w:val="none" w:sz="0" w:space="0" w:color="auto"/>
            <w:right w:val="none" w:sz="0" w:space="0" w:color="auto"/>
          </w:divBdr>
        </w:div>
        <w:div w:id="1893301606">
          <w:marLeft w:val="640"/>
          <w:marRight w:val="0"/>
          <w:marTop w:val="0"/>
          <w:marBottom w:val="0"/>
          <w:divBdr>
            <w:top w:val="none" w:sz="0" w:space="0" w:color="auto"/>
            <w:left w:val="none" w:sz="0" w:space="0" w:color="auto"/>
            <w:bottom w:val="none" w:sz="0" w:space="0" w:color="auto"/>
            <w:right w:val="none" w:sz="0" w:space="0" w:color="auto"/>
          </w:divBdr>
        </w:div>
        <w:div w:id="1851795076">
          <w:marLeft w:val="640"/>
          <w:marRight w:val="0"/>
          <w:marTop w:val="0"/>
          <w:marBottom w:val="0"/>
          <w:divBdr>
            <w:top w:val="none" w:sz="0" w:space="0" w:color="auto"/>
            <w:left w:val="none" w:sz="0" w:space="0" w:color="auto"/>
            <w:bottom w:val="none" w:sz="0" w:space="0" w:color="auto"/>
            <w:right w:val="none" w:sz="0" w:space="0" w:color="auto"/>
          </w:divBdr>
        </w:div>
        <w:div w:id="844631909">
          <w:marLeft w:val="640"/>
          <w:marRight w:val="0"/>
          <w:marTop w:val="0"/>
          <w:marBottom w:val="0"/>
          <w:divBdr>
            <w:top w:val="none" w:sz="0" w:space="0" w:color="auto"/>
            <w:left w:val="none" w:sz="0" w:space="0" w:color="auto"/>
            <w:bottom w:val="none" w:sz="0" w:space="0" w:color="auto"/>
            <w:right w:val="none" w:sz="0" w:space="0" w:color="auto"/>
          </w:divBdr>
        </w:div>
        <w:div w:id="437986751">
          <w:marLeft w:val="640"/>
          <w:marRight w:val="0"/>
          <w:marTop w:val="0"/>
          <w:marBottom w:val="0"/>
          <w:divBdr>
            <w:top w:val="none" w:sz="0" w:space="0" w:color="auto"/>
            <w:left w:val="none" w:sz="0" w:space="0" w:color="auto"/>
            <w:bottom w:val="none" w:sz="0" w:space="0" w:color="auto"/>
            <w:right w:val="none" w:sz="0" w:space="0" w:color="auto"/>
          </w:divBdr>
        </w:div>
        <w:div w:id="681054931">
          <w:marLeft w:val="640"/>
          <w:marRight w:val="0"/>
          <w:marTop w:val="0"/>
          <w:marBottom w:val="0"/>
          <w:divBdr>
            <w:top w:val="none" w:sz="0" w:space="0" w:color="auto"/>
            <w:left w:val="none" w:sz="0" w:space="0" w:color="auto"/>
            <w:bottom w:val="none" w:sz="0" w:space="0" w:color="auto"/>
            <w:right w:val="none" w:sz="0" w:space="0" w:color="auto"/>
          </w:divBdr>
        </w:div>
        <w:div w:id="1015421326">
          <w:marLeft w:val="640"/>
          <w:marRight w:val="0"/>
          <w:marTop w:val="0"/>
          <w:marBottom w:val="0"/>
          <w:divBdr>
            <w:top w:val="none" w:sz="0" w:space="0" w:color="auto"/>
            <w:left w:val="none" w:sz="0" w:space="0" w:color="auto"/>
            <w:bottom w:val="none" w:sz="0" w:space="0" w:color="auto"/>
            <w:right w:val="none" w:sz="0" w:space="0" w:color="auto"/>
          </w:divBdr>
        </w:div>
        <w:div w:id="1943031365">
          <w:marLeft w:val="640"/>
          <w:marRight w:val="0"/>
          <w:marTop w:val="0"/>
          <w:marBottom w:val="0"/>
          <w:divBdr>
            <w:top w:val="none" w:sz="0" w:space="0" w:color="auto"/>
            <w:left w:val="none" w:sz="0" w:space="0" w:color="auto"/>
            <w:bottom w:val="none" w:sz="0" w:space="0" w:color="auto"/>
            <w:right w:val="none" w:sz="0" w:space="0" w:color="auto"/>
          </w:divBdr>
        </w:div>
        <w:div w:id="1501651686">
          <w:marLeft w:val="640"/>
          <w:marRight w:val="0"/>
          <w:marTop w:val="0"/>
          <w:marBottom w:val="0"/>
          <w:divBdr>
            <w:top w:val="none" w:sz="0" w:space="0" w:color="auto"/>
            <w:left w:val="none" w:sz="0" w:space="0" w:color="auto"/>
            <w:bottom w:val="none" w:sz="0" w:space="0" w:color="auto"/>
            <w:right w:val="none" w:sz="0" w:space="0" w:color="auto"/>
          </w:divBdr>
        </w:div>
        <w:div w:id="979118942">
          <w:marLeft w:val="640"/>
          <w:marRight w:val="0"/>
          <w:marTop w:val="0"/>
          <w:marBottom w:val="0"/>
          <w:divBdr>
            <w:top w:val="none" w:sz="0" w:space="0" w:color="auto"/>
            <w:left w:val="none" w:sz="0" w:space="0" w:color="auto"/>
            <w:bottom w:val="none" w:sz="0" w:space="0" w:color="auto"/>
            <w:right w:val="none" w:sz="0" w:space="0" w:color="auto"/>
          </w:divBdr>
        </w:div>
        <w:div w:id="1508639101">
          <w:marLeft w:val="640"/>
          <w:marRight w:val="0"/>
          <w:marTop w:val="0"/>
          <w:marBottom w:val="0"/>
          <w:divBdr>
            <w:top w:val="none" w:sz="0" w:space="0" w:color="auto"/>
            <w:left w:val="none" w:sz="0" w:space="0" w:color="auto"/>
            <w:bottom w:val="none" w:sz="0" w:space="0" w:color="auto"/>
            <w:right w:val="none" w:sz="0" w:space="0" w:color="auto"/>
          </w:divBdr>
        </w:div>
        <w:div w:id="402869700">
          <w:marLeft w:val="640"/>
          <w:marRight w:val="0"/>
          <w:marTop w:val="0"/>
          <w:marBottom w:val="0"/>
          <w:divBdr>
            <w:top w:val="none" w:sz="0" w:space="0" w:color="auto"/>
            <w:left w:val="none" w:sz="0" w:space="0" w:color="auto"/>
            <w:bottom w:val="none" w:sz="0" w:space="0" w:color="auto"/>
            <w:right w:val="none" w:sz="0" w:space="0" w:color="auto"/>
          </w:divBdr>
        </w:div>
        <w:div w:id="165099948">
          <w:marLeft w:val="640"/>
          <w:marRight w:val="0"/>
          <w:marTop w:val="0"/>
          <w:marBottom w:val="0"/>
          <w:divBdr>
            <w:top w:val="none" w:sz="0" w:space="0" w:color="auto"/>
            <w:left w:val="none" w:sz="0" w:space="0" w:color="auto"/>
            <w:bottom w:val="none" w:sz="0" w:space="0" w:color="auto"/>
            <w:right w:val="none" w:sz="0" w:space="0" w:color="auto"/>
          </w:divBdr>
        </w:div>
        <w:div w:id="514926395">
          <w:marLeft w:val="640"/>
          <w:marRight w:val="0"/>
          <w:marTop w:val="0"/>
          <w:marBottom w:val="0"/>
          <w:divBdr>
            <w:top w:val="none" w:sz="0" w:space="0" w:color="auto"/>
            <w:left w:val="none" w:sz="0" w:space="0" w:color="auto"/>
            <w:bottom w:val="none" w:sz="0" w:space="0" w:color="auto"/>
            <w:right w:val="none" w:sz="0" w:space="0" w:color="auto"/>
          </w:divBdr>
        </w:div>
        <w:div w:id="527067381">
          <w:marLeft w:val="640"/>
          <w:marRight w:val="0"/>
          <w:marTop w:val="0"/>
          <w:marBottom w:val="0"/>
          <w:divBdr>
            <w:top w:val="none" w:sz="0" w:space="0" w:color="auto"/>
            <w:left w:val="none" w:sz="0" w:space="0" w:color="auto"/>
            <w:bottom w:val="none" w:sz="0" w:space="0" w:color="auto"/>
            <w:right w:val="none" w:sz="0" w:space="0" w:color="auto"/>
          </w:divBdr>
        </w:div>
        <w:div w:id="857701306">
          <w:marLeft w:val="640"/>
          <w:marRight w:val="0"/>
          <w:marTop w:val="0"/>
          <w:marBottom w:val="0"/>
          <w:divBdr>
            <w:top w:val="none" w:sz="0" w:space="0" w:color="auto"/>
            <w:left w:val="none" w:sz="0" w:space="0" w:color="auto"/>
            <w:bottom w:val="none" w:sz="0" w:space="0" w:color="auto"/>
            <w:right w:val="none" w:sz="0" w:space="0" w:color="auto"/>
          </w:divBdr>
        </w:div>
        <w:div w:id="1208445698">
          <w:marLeft w:val="640"/>
          <w:marRight w:val="0"/>
          <w:marTop w:val="0"/>
          <w:marBottom w:val="0"/>
          <w:divBdr>
            <w:top w:val="none" w:sz="0" w:space="0" w:color="auto"/>
            <w:left w:val="none" w:sz="0" w:space="0" w:color="auto"/>
            <w:bottom w:val="none" w:sz="0" w:space="0" w:color="auto"/>
            <w:right w:val="none" w:sz="0" w:space="0" w:color="auto"/>
          </w:divBdr>
        </w:div>
        <w:div w:id="1336877465">
          <w:marLeft w:val="640"/>
          <w:marRight w:val="0"/>
          <w:marTop w:val="0"/>
          <w:marBottom w:val="0"/>
          <w:divBdr>
            <w:top w:val="none" w:sz="0" w:space="0" w:color="auto"/>
            <w:left w:val="none" w:sz="0" w:space="0" w:color="auto"/>
            <w:bottom w:val="none" w:sz="0" w:space="0" w:color="auto"/>
            <w:right w:val="none" w:sz="0" w:space="0" w:color="auto"/>
          </w:divBdr>
        </w:div>
        <w:div w:id="1791825372">
          <w:marLeft w:val="640"/>
          <w:marRight w:val="0"/>
          <w:marTop w:val="0"/>
          <w:marBottom w:val="0"/>
          <w:divBdr>
            <w:top w:val="none" w:sz="0" w:space="0" w:color="auto"/>
            <w:left w:val="none" w:sz="0" w:space="0" w:color="auto"/>
            <w:bottom w:val="none" w:sz="0" w:space="0" w:color="auto"/>
            <w:right w:val="none" w:sz="0" w:space="0" w:color="auto"/>
          </w:divBdr>
        </w:div>
        <w:div w:id="360474574">
          <w:marLeft w:val="640"/>
          <w:marRight w:val="0"/>
          <w:marTop w:val="0"/>
          <w:marBottom w:val="0"/>
          <w:divBdr>
            <w:top w:val="none" w:sz="0" w:space="0" w:color="auto"/>
            <w:left w:val="none" w:sz="0" w:space="0" w:color="auto"/>
            <w:bottom w:val="none" w:sz="0" w:space="0" w:color="auto"/>
            <w:right w:val="none" w:sz="0" w:space="0" w:color="auto"/>
          </w:divBdr>
        </w:div>
        <w:div w:id="1843616248">
          <w:marLeft w:val="640"/>
          <w:marRight w:val="0"/>
          <w:marTop w:val="0"/>
          <w:marBottom w:val="0"/>
          <w:divBdr>
            <w:top w:val="none" w:sz="0" w:space="0" w:color="auto"/>
            <w:left w:val="none" w:sz="0" w:space="0" w:color="auto"/>
            <w:bottom w:val="none" w:sz="0" w:space="0" w:color="auto"/>
            <w:right w:val="none" w:sz="0" w:space="0" w:color="auto"/>
          </w:divBdr>
        </w:div>
        <w:div w:id="705375543">
          <w:marLeft w:val="640"/>
          <w:marRight w:val="0"/>
          <w:marTop w:val="0"/>
          <w:marBottom w:val="0"/>
          <w:divBdr>
            <w:top w:val="none" w:sz="0" w:space="0" w:color="auto"/>
            <w:left w:val="none" w:sz="0" w:space="0" w:color="auto"/>
            <w:bottom w:val="none" w:sz="0" w:space="0" w:color="auto"/>
            <w:right w:val="none" w:sz="0" w:space="0" w:color="auto"/>
          </w:divBdr>
        </w:div>
        <w:div w:id="462771785">
          <w:marLeft w:val="640"/>
          <w:marRight w:val="0"/>
          <w:marTop w:val="0"/>
          <w:marBottom w:val="0"/>
          <w:divBdr>
            <w:top w:val="none" w:sz="0" w:space="0" w:color="auto"/>
            <w:left w:val="none" w:sz="0" w:space="0" w:color="auto"/>
            <w:bottom w:val="none" w:sz="0" w:space="0" w:color="auto"/>
            <w:right w:val="none" w:sz="0" w:space="0" w:color="auto"/>
          </w:divBdr>
        </w:div>
        <w:div w:id="1281496673">
          <w:marLeft w:val="640"/>
          <w:marRight w:val="0"/>
          <w:marTop w:val="0"/>
          <w:marBottom w:val="0"/>
          <w:divBdr>
            <w:top w:val="none" w:sz="0" w:space="0" w:color="auto"/>
            <w:left w:val="none" w:sz="0" w:space="0" w:color="auto"/>
            <w:bottom w:val="none" w:sz="0" w:space="0" w:color="auto"/>
            <w:right w:val="none" w:sz="0" w:space="0" w:color="auto"/>
          </w:divBdr>
        </w:div>
        <w:div w:id="413743130">
          <w:marLeft w:val="640"/>
          <w:marRight w:val="0"/>
          <w:marTop w:val="0"/>
          <w:marBottom w:val="0"/>
          <w:divBdr>
            <w:top w:val="none" w:sz="0" w:space="0" w:color="auto"/>
            <w:left w:val="none" w:sz="0" w:space="0" w:color="auto"/>
            <w:bottom w:val="none" w:sz="0" w:space="0" w:color="auto"/>
            <w:right w:val="none" w:sz="0" w:space="0" w:color="auto"/>
          </w:divBdr>
        </w:div>
        <w:div w:id="1579246191">
          <w:marLeft w:val="640"/>
          <w:marRight w:val="0"/>
          <w:marTop w:val="0"/>
          <w:marBottom w:val="0"/>
          <w:divBdr>
            <w:top w:val="none" w:sz="0" w:space="0" w:color="auto"/>
            <w:left w:val="none" w:sz="0" w:space="0" w:color="auto"/>
            <w:bottom w:val="none" w:sz="0" w:space="0" w:color="auto"/>
            <w:right w:val="none" w:sz="0" w:space="0" w:color="auto"/>
          </w:divBdr>
        </w:div>
        <w:div w:id="1527209914">
          <w:marLeft w:val="640"/>
          <w:marRight w:val="0"/>
          <w:marTop w:val="0"/>
          <w:marBottom w:val="0"/>
          <w:divBdr>
            <w:top w:val="none" w:sz="0" w:space="0" w:color="auto"/>
            <w:left w:val="none" w:sz="0" w:space="0" w:color="auto"/>
            <w:bottom w:val="none" w:sz="0" w:space="0" w:color="auto"/>
            <w:right w:val="none" w:sz="0" w:space="0" w:color="auto"/>
          </w:divBdr>
        </w:div>
        <w:div w:id="93091398">
          <w:marLeft w:val="640"/>
          <w:marRight w:val="0"/>
          <w:marTop w:val="0"/>
          <w:marBottom w:val="0"/>
          <w:divBdr>
            <w:top w:val="none" w:sz="0" w:space="0" w:color="auto"/>
            <w:left w:val="none" w:sz="0" w:space="0" w:color="auto"/>
            <w:bottom w:val="none" w:sz="0" w:space="0" w:color="auto"/>
            <w:right w:val="none" w:sz="0" w:space="0" w:color="auto"/>
          </w:divBdr>
        </w:div>
        <w:div w:id="404761966">
          <w:marLeft w:val="640"/>
          <w:marRight w:val="0"/>
          <w:marTop w:val="0"/>
          <w:marBottom w:val="0"/>
          <w:divBdr>
            <w:top w:val="none" w:sz="0" w:space="0" w:color="auto"/>
            <w:left w:val="none" w:sz="0" w:space="0" w:color="auto"/>
            <w:bottom w:val="none" w:sz="0" w:space="0" w:color="auto"/>
            <w:right w:val="none" w:sz="0" w:space="0" w:color="auto"/>
          </w:divBdr>
        </w:div>
        <w:div w:id="1687247703">
          <w:marLeft w:val="640"/>
          <w:marRight w:val="0"/>
          <w:marTop w:val="0"/>
          <w:marBottom w:val="0"/>
          <w:divBdr>
            <w:top w:val="none" w:sz="0" w:space="0" w:color="auto"/>
            <w:left w:val="none" w:sz="0" w:space="0" w:color="auto"/>
            <w:bottom w:val="none" w:sz="0" w:space="0" w:color="auto"/>
            <w:right w:val="none" w:sz="0" w:space="0" w:color="auto"/>
          </w:divBdr>
        </w:div>
        <w:div w:id="1138184503">
          <w:marLeft w:val="640"/>
          <w:marRight w:val="0"/>
          <w:marTop w:val="0"/>
          <w:marBottom w:val="0"/>
          <w:divBdr>
            <w:top w:val="none" w:sz="0" w:space="0" w:color="auto"/>
            <w:left w:val="none" w:sz="0" w:space="0" w:color="auto"/>
            <w:bottom w:val="none" w:sz="0" w:space="0" w:color="auto"/>
            <w:right w:val="none" w:sz="0" w:space="0" w:color="auto"/>
          </w:divBdr>
        </w:div>
        <w:div w:id="970282416">
          <w:marLeft w:val="640"/>
          <w:marRight w:val="0"/>
          <w:marTop w:val="0"/>
          <w:marBottom w:val="0"/>
          <w:divBdr>
            <w:top w:val="none" w:sz="0" w:space="0" w:color="auto"/>
            <w:left w:val="none" w:sz="0" w:space="0" w:color="auto"/>
            <w:bottom w:val="none" w:sz="0" w:space="0" w:color="auto"/>
            <w:right w:val="none" w:sz="0" w:space="0" w:color="auto"/>
          </w:divBdr>
        </w:div>
        <w:div w:id="1601134522">
          <w:marLeft w:val="640"/>
          <w:marRight w:val="0"/>
          <w:marTop w:val="0"/>
          <w:marBottom w:val="0"/>
          <w:divBdr>
            <w:top w:val="none" w:sz="0" w:space="0" w:color="auto"/>
            <w:left w:val="none" w:sz="0" w:space="0" w:color="auto"/>
            <w:bottom w:val="none" w:sz="0" w:space="0" w:color="auto"/>
            <w:right w:val="none" w:sz="0" w:space="0" w:color="auto"/>
          </w:divBdr>
        </w:div>
        <w:div w:id="2107185400">
          <w:marLeft w:val="640"/>
          <w:marRight w:val="0"/>
          <w:marTop w:val="0"/>
          <w:marBottom w:val="0"/>
          <w:divBdr>
            <w:top w:val="none" w:sz="0" w:space="0" w:color="auto"/>
            <w:left w:val="none" w:sz="0" w:space="0" w:color="auto"/>
            <w:bottom w:val="none" w:sz="0" w:space="0" w:color="auto"/>
            <w:right w:val="none" w:sz="0" w:space="0" w:color="auto"/>
          </w:divBdr>
        </w:div>
        <w:div w:id="2147163374">
          <w:marLeft w:val="640"/>
          <w:marRight w:val="0"/>
          <w:marTop w:val="0"/>
          <w:marBottom w:val="0"/>
          <w:divBdr>
            <w:top w:val="none" w:sz="0" w:space="0" w:color="auto"/>
            <w:left w:val="none" w:sz="0" w:space="0" w:color="auto"/>
            <w:bottom w:val="none" w:sz="0" w:space="0" w:color="auto"/>
            <w:right w:val="none" w:sz="0" w:space="0" w:color="auto"/>
          </w:divBdr>
        </w:div>
        <w:div w:id="1958758907">
          <w:marLeft w:val="640"/>
          <w:marRight w:val="0"/>
          <w:marTop w:val="0"/>
          <w:marBottom w:val="0"/>
          <w:divBdr>
            <w:top w:val="none" w:sz="0" w:space="0" w:color="auto"/>
            <w:left w:val="none" w:sz="0" w:space="0" w:color="auto"/>
            <w:bottom w:val="none" w:sz="0" w:space="0" w:color="auto"/>
            <w:right w:val="none" w:sz="0" w:space="0" w:color="auto"/>
          </w:divBdr>
        </w:div>
        <w:div w:id="802306092">
          <w:marLeft w:val="640"/>
          <w:marRight w:val="0"/>
          <w:marTop w:val="0"/>
          <w:marBottom w:val="0"/>
          <w:divBdr>
            <w:top w:val="none" w:sz="0" w:space="0" w:color="auto"/>
            <w:left w:val="none" w:sz="0" w:space="0" w:color="auto"/>
            <w:bottom w:val="none" w:sz="0" w:space="0" w:color="auto"/>
            <w:right w:val="none" w:sz="0" w:space="0" w:color="auto"/>
          </w:divBdr>
        </w:div>
        <w:div w:id="428700778">
          <w:marLeft w:val="640"/>
          <w:marRight w:val="0"/>
          <w:marTop w:val="0"/>
          <w:marBottom w:val="0"/>
          <w:divBdr>
            <w:top w:val="none" w:sz="0" w:space="0" w:color="auto"/>
            <w:left w:val="none" w:sz="0" w:space="0" w:color="auto"/>
            <w:bottom w:val="none" w:sz="0" w:space="0" w:color="auto"/>
            <w:right w:val="none" w:sz="0" w:space="0" w:color="auto"/>
          </w:divBdr>
        </w:div>
        <w:div w:id="874000074">
          <w:marLeft w:val="640"/>
          <w:marRight w:val="0"/>
          <w:marTop w:val="0"/>
          <w:marBottom w:val="0"/>
          <w:divBdr>
            <w:top w:val="none" w:sz="0" w:space="0" w:color="auto"/>
            <w:left w:val="none" w:sz="0" w:space="0" w:color="auto"/>
            <w:bottom w:val="none" w:sz="0" w:space="0" w:color="auto"/>
            <w:right w:val="none" w:sz="0" w:space="0" w:color="auto"/>
          </w:divBdr>
        </w:div>
        <w:div w:id="202444367">
          <w:marLeft w:val="640"/>
          <w:marRight w:val="0"/>
          <w:marTop w:val="0"/>
          <w:marBottom w:val="0"/>
          <w:divBdr>
            <w:top w:val="none" w:sz="0" w:space="0" w:color="auto"/>
            <w:left w:val="none" w:sz="0" w:space="0" w:color="auto"/>
            <w:bottom w:val="none" w:sz="0" w:space="0" w:color="auto"/>
            <w:right w:val="none" w:sz="0" w:space="0" w:color="auto"/>
          </w:divBdr>
        </w:div>
        <w:div w:id="149903884">
          <w:marLeft w:val="640"/>
          <w:marRight w:val="0"/>
          <w:marTop w:val="0"/>
          <w:marBottom w:val="0"/>
          <w:divBdr>
            <w:top w:val="none" w:sz="0" w:space="0" w:color="auto"/>
            <w:left w:val="none" w:sz="0" w:space="0" w:color="auto"/>
            <w:bottom w:val="none" w:sz="0" w:space="0" w:color="auto"/>
            <w:right w:val="none" w:sz="0" w:space="0" w:color="auto"/>
          </w:divBdr>
        </w:div>
        <w:div w:id="576599763">
          <w:marLeft w:val="640"/>
          <w:marRight w:val="0"/>
          <w:marTop w:val="0"/>
          <w:marBottom w:val="0"/>
          <w:divBdr>
            <w:top w:val="none" w:sz="0" w:space="0" w:color="auto"/>
            <w:left w:val="none" w:sz="0" w:space="0" w:color="auto"/>
            <w:bottom w:val="none" w:sz="0" w:space="0" w:color="auto"/>
            <w:right w:val="none" w:sz="0" w:space="0" w:color="auto"/>
          </w:divBdr>
        </w:div>
        <w:div w:id="1193303920">
          <w:marLeft w:val="640"/>
          <w:marRight w:val="0"/>
          <w:marTop w:val="0"/>
          <w:marBottom w:val="0"/>
          <w:divBdr>
            <w:top w:val="none" w:sz="0" w:space="0" w:color="auto"/>
            <w:left w:val="none" w:sz="0" w:space="0" w:color="auto"/>
            <w:bottom w:val="none" w:sz="0" w:space="0" w:color="auto"/>
            <w:right w:val="none" w:sz="0" w:space="0" w:color="auto"/>
          </w:divBdr>
        </w:div>
        <w:div w:id="1757820111">
          <w:marLeft w:val="640"/>
          <w:marRight w:val="0"/>
          <w:marTop w:val="0"/>
          <w:marBottom w:val="0"/>
          <w:divBdr>
            <w:top w:val="none" w:sz="0" w:space="0" w:color="auto"/>
            <w:left w:val="none" w:sz="0" w:space="0" w:color="auto"/>
            <w:bottom w:val="none" w:sz="0" w:space="0" w:color="auto"/>
            <w:right w:val="none" w:sz="0" w:space="0" w:color="auto"/>
          </w:divBdr>
        </w:div>
        <w:div w:id="2085106113">
          <w:marLeft w:val="640"/>
          <w:marRight w:val="0"/>
          <w:marTop w:val="0"/>
          <w:marBottom w:val="0"/>
          <w:divBdr>
            <w:top w:val="none" w:sz="0" w:space="0" w:color="auto"/>
            <w:left w:val="none" w:sz="0" w:space="0" w:color="auto"/>
            <w:bottom w:val="none" w:sz="0" w:space="0" w:color="auto"/>
            <w:right w:val="none" w:sz="0" w:space="0" w:color="auto"/>
          </w:divBdr>
        </w:div>
        <w:div w:id="1163814389">
          <w:marLeft w:val="640"/>
          <w:marRight w:val="0"/>
          <w:marTop w:val="0"/>
          <w:marBottom w:val="0"/>
          <w:divBdr>
            <w:top w:val="none" w:sz="0" w:space="0" w:color="auto"/>
            <w:left w:val="none" w:sz="0" w:space="0" w:color="auto"/>
            <w:bottom w:val="none" w:sz="0" w:space="0" w:color="auto"/>
            <w:right w:val="none" w:sz="0" w:space="0" w:color="auto"/>
          </w:divBdr>
        </w:div>
        <w:div w:id="420838269">
          <w:marLeft w:val="640"/>
          <w:marRight w:val="0"/>
          <w:marTop w:val="0"/>
          <w:marBottom w:val="0"/>
          <w:divBdr>
            <w:top w:val="none" w:sz="0" w:space="0" w:color="auto"/>
            <w:left w:val="none" w:sz="0" w:space="0" w:color="auto"/>
            <w:bottom w:val="none" w:sz="0" w:space="0" w:color="auto"/>
            <w:right w:val="none" w:sz="0" w:space="0" w:color="auto"/>
          </w:divBdr>
        </w:div>
        <w:div w:id="268054348">
          <w:marLeft w:val="640"/>
          <w:marRight w:val="0"/>
          <w:marTop w:val="0"/>
          <w:marBottom w:val="0"/>
          <w:divBdr>
            <w:top w:val="none" w:sz="0" w:space="0" w:color="auto"/>
            <w:left w:val="none" w:sz="0" w:space="0" w:color="auto"/>
            <w:bottom w:val="none" w:sz="0" w:space="0" w:color="auto"/>
            <w:right w:val="none" w:sz="0" w:space="0" w:color="auto"/>
          </w:divBdr>
        </w:div>
        <w:div w:id="505438337">
          <w:marLeft w:val="640"/>
          <w:marRight w:val="0"/>
          <w:marTop w:val="0"/>
          <w:marBottom w:val="0"/>
          <w:divBdr>
            <w:top w:val="none" w:sz="0" w:space="0" w:color="auto"/>
            <w:left w:val="none" w:sz="0" w:space="0" w:color="auto"/>
            <w:bottom w:val="none" w:sz="0" w:space="0" w:color="auto"/>
            <w:right w:val="none" w:sz="0" w:space="0" w:color="auto"/>
          </w:divBdr>
        </w:div>
        <w:div w:id="1466004485">
          <w:marLeft w:val="640"/>
          <w:marRight w:val="0"/>
          <w:marTop w:val="0"/>
          <w:marBottom w:val="0"/>
          <w:divBdr>
            <w:top w:val="none" w:sz="0" w:space="0" w:color="auto"/>
            <w:left w:val="none" w:sz="0" w:space="0" w:color="auto"/>
            <w:bottom w:val="none" w:sz="0" w:space="0" w:color="auto"/>
            <w:right w:val="none" w:sz="0" w:space="0" w:color="auto"/>
          </w:divBdr>
        </w:div>
        <w:div w:id="456148673">
          <w:marLeft w:val="640"/>
          <w:marRight w:val="0"/>
          <w:marTop w:val="0"/>
          <w:marBottom w:val="0"/>
          <w:divBdr>
            <w:top w:val="none" w:sz="0" w:space="0" w:color="auto"/>
            <w:left w:val="none" w:sz="0" w:space="0" w:color="auto"/>
            <w:bottom w:val="none" w:sz="0" w:space="0" w:color="auto"/>
            <w:right w:val="none" w:sz="0" w:space="0" w:color="auto"/>
          </w:divBdr>
        </w:div>
        <w:div w:id="1853567282">
          <w:marLeft w:val="640"/>
          <w:marRight w:val="0"/>
          <w:marTop w:val="0"/>
          <w:marBottom w:val="0"/>
          <w:divBdr>
            <w:top w:val="none" w:sz="0" w:space="0" w:color="auto"/>
            <w:left w:val="none" w:sz="0" w:space="0" w:color="auto"/>
            <w:bottom w:val="none" w:sz="0" w:space="0" w:color="auto"/>
            <w:right w:val="none" w:sz="0" w:space="0" w:color="auto"/>
          </w:divBdr>
        </w:div>
        <w:div w:id="1515724138">
          <w:marLeft w:val="640"/>
          <w:marRight w:val="0"/>
          <w:marTop w:val="0"/>
          <w:marBottom w:val="0"/>
          <w:divBdr>
            <w:top w:val="none" w:sz="0" w:space="0" w:color="auto"/>
            <w:left w:val="none" w:sz="0" w:space="0" w:color="auto"/>
            <w:bottom w:val="none" w:sz="0" w:space="0" w:color="auto"/>
            <w:right w:val="none" w:sz="0" w:space="0" w:color="auto"/>
          </w:divBdr>
        </w:div>
        <w:div w:id="242035525">
          <w:marLeft w:val="640"/>
          <w:marRight w:val="0"/>
          <w:marTop w:val="0"/>
          <w:marBottom w:val="0"/>
          <w:divBdr>
            <w:top w:val="none" w:sz="0" w:space="0" w:color="auto"/>
            <w:left w:val="none" w:sz="0" w:space="0" w:color="auto"/>
            <w:bottom w:val="none" w:sz="0" w:space="0" w:color="auto"/>
            <w:right w:val="none" w:sz="0" w:space="0" w:color="auto"/>
          </w:divBdr>
        </w:div>
        <w:div w:id="487095590">
          <w:marLeft w:val="640"/>
          <w:marRight w:val="0"/>
          <w:marTop w:val="0"/>
          <w:marBottom w:val="0"/>
          <w:divBdr>
            <w:top w:val="none" w:sz="0" w:space="0" w:color="auto"/>
            <w:left w:val="none" w:sz="0" w:space="0" w:color="auto"/>
            <w:bottom w:val="none" w:sz="0" w:space="0" w:color="auto"/>
            <w:right w:val="none" w:sz="0" w:space="0" w:color="auto"/>
          </w:divBdr>
        </w:div>
        <w:div w:id="1456213910">
          <w:marLeft w:val="640"/>
          <w:marRight w:val="0"/>
          <w:marTop w:val="0"/>
          <w:marBottom w:val="0"/>
          <w:divBdr>
            <w:top w:val="none" w:sz="0" w:space="0" w:color="auto"/>
            <w:left w:val="none" w:sz="0" w:space="0" w:color="auto"/>
            <w:bottom w:val="none" w:sz="0" w:space="0" w:color="auto"/>
            <w:right w:val="none" w:sz="0" w:space="0" w:color="auto"/>
          </w:divBdr>
        </w:div>
        <w:div w:id="2069262941">
          <w:marLeft w:val="640"/>
          <w:marRight w:val="0"/>
          <w:marTop w:val="0"/>
          <w:marBottom w:val="0"/>
          <w:divBdr>
            <w:top w:val="none" w:sz="0" w:space="0" w:color="auto"/>
            <w:left w:val="none" w:sz="0" w:space="0" w:color="auto"/>
            <w:bottom w:val="none" w:sz="0" w:space="0" w:color="auto"/>
            <w:right w:val="none" w:sz="0" w:space="0" w:color="auto"/>
          </w:divBdr>
        </w:div>
        <w:div w:id="2102022637">
          <w:marLeft w:val="640"/>
          <w:marRight w:val="0"/>
          <w:marTop w:val="0"/>
          <w:marBottom w:val="0"/>
          <w:divBdr>
            <w:top w:val="none" w:sz="0" w:space="0" w:color="auto"/>
            <w:left w:val="none" w:sz="0" w:space="0" w:color="auto"/>
            <w:bottom w:val="none" w:sz="0" w:space="0" w:color="auto"/>
            <w:right w:val="none" w:sz="0" w:space="0" w:color="auto"/>
          </w:divBdr>
        </w:div>
        <w:div w:id="97722667">
          <w:marLeft w:val="640"/>
          <w:marRight w:val="0"/>
          <w:marTop w:val="0"/>
          <w:marBottom w:val="0"/>
          <w:divBdr>
            <w:top w:val="none" w:sz="0" w:space="0" w:color="auto"/>
            <w:left w:val="none" w:sz="0" w:space="0" w:color="auto"/>
            <w:bottom w:val="none" w:sz="0" w:space="0" w:color="auto"/>
            <w:right w:val="none" w:sz="0" w:space="0" w:color="auto"/>
          </w:divBdr>
        </w:div>
        <w:div w:id="2141454643">
          <w:marLeft w:val="640"/>
          <w:marRight w:val="0"/>
          <w:marTop w:val="0"/>
          <w:marBottom w:val="0"/>
          <w:divBdr>
            <w:top w:val="none" w:sz="0" w:space="0" w:color="auto"/>
            <w:left w:val="none" w:sz="0" w:space="0" w:color="auto"/>
            <w:bottom w:val="none" w:sz="0" w:space="0" w:color="auto"/>
            <w:right w:val="none" w:sz="0" w:space="0" w:color="auto"/>
          </w:divBdr>
        </w:div>
        <w:div w:id="47386511">
          <w:marLeft w:val="640"/>
          <w:marRight w:val="0"/>
          <w:marTop w:val="0"/>
          <w:marBottom w:val="0"/>
          <w:divBdr>
            <w:top w:val="none" w:sz="0" w:space="0" w:color="auto"/>
            <w:left w:val="none" w:sz="0" w:space="0" w:color="auto"/>
            <w:bottom w:val="none" w:sz="0" w:space="0" w:color="auto"/>
            <w:right w:val="none" w:sz="0" w:space="0" w:color="auto"/>
          </w:divBdr>
        </w:div>
        <w:div w:id="1981689990">
          <w:marLeft w:val="640"/>
          <w:marRight w:val="0"/>
          <w:marTop w:val="0"/>
          <w:marBottom w:val="0"/>
          <w:divBdr>
            <w:top w:val="none" w:sz="0" w:space="0" w:color="auto"/>
            <w:left w:val="none" w:sz="0" w:space="0" w:color="auto"/>
            <w:bottom w:val="none" w:sz="0" w:space="0" w:color="auto"/>
            <w:right w:val="none" w:sz="0" w:space="0" w:color="auto"/>
          </w:divBdr>
        </w:div>
        <w:div w:id="139200716">
          <w:marLeft w:val="640"/>
          <w:marRight w:val="0"/>
          <w:marTop w:val="0"/>
          <w:marBottom w:val="0"/>
          <w:divBdr>
            <w:top w:val="none" w:sz="0" w:space="0" w:color="auto"/>
            <w:left w:val="none" w:sz="0" w:space="0" w:color="auto"/>
            <w:bottom w:val="none" w:sz="0" w:space="0" w:color="auto"/>
            <w:right w:val="none" w:sz="0" w:space="0" w:color="auto"/>
          </w:divBdr>
        </w:div>
        <w:div w:id="241065236">
          <w:marLeft w:val="640"/>
          <w:marRight w:val="0"/>
          <w:marTop w:val="0"/>
          <w:marBottom w:val="0"/>
          <w:divBdr>
            <w:top w:val="none" w:sz="0" w:space="0" w:color="auto"/>
            <w:left w:val="none" w:sz="0" w:space="0" w:color="auto"/>
            <w:bottom w:val="none" w:sz="0" w:space="0" w:color="auto"/>
            <w:right w:val="none" w:sz="0" w:space="0" w:color="auto"/>
          </w:divBdr>
        </w:div>
        <w:div w:id="1913542818">
          <w:marLeft w:val="640"/>
          <w:marRight w:val="0"/>
          <w:marTop w:val="0"/>
          <w:marBottom w:val="0"/>
          <w:divBdr>
            <w:top w:val="none" w:sz="0" w:space="0" w:color="auto"/>
            <w:left w:val="none" w:sz="0" w:space="0" w:color="auto"/>
            <w:bottom w:val="none" w:sz="0" w:space="0" w:color="auto"/>
            <w:right w:val="none" w:sz="0" w:space="0" w:color="auto"/>
          </w:divBdr>
        </w:div>
        <w:div w:id="1380083663">
          <w:marLeft w:val="640"/>
          <w:marRight w:val="0"/>
          <w:marTop w:val="0"/>
          <w:marBottom w:val="0"/>
          <w:divBdr>
            <w:top w:val="none" w:sz="0" w:space="0" w:color="auto"/>
            <w:left w:val="none" w:sz="0" w:space="0" w:color="auto"/>
            <w:bottom w:val="none" w:sz="0" w:space="0" w:color="auto"/>
            <w:right w:val="none" w:sz="0" w:space="0" w:color="auto"/>
          </w:divBdr>
        </w:div>
        <w:div w:id="510996758">
          <w:marLeft w:val="640"/>
          <w:marRight w:val="0"/>
          <w:marTop w:val="0"/>
          <w:marBottom w:val="0"/>
          <w:divBdr>
            <w:top w:val="none" w:sz="0" w:space="0" w:color="auto"/>
            <w:left w:val="none" w:sz="0" w:space="0" w:color="auto"/>
            <w:bottom w:val="none" w:sz="0" w:space="0" w:color="auto"/>
            <w:right w:val="none" w:sz="0" w:space="0" w:color="auto"/>
          </w:divBdr>
        </w:div>
        <w:div w:id="1108233278">
          <w:marLeft w:val="640"/>
          <w:marRight w:val="0"/>
          <w:marTop w:val="0"/>
          <w:marBottom w:val="0"/>
          <w:divBdr>
            <w:top w:val="none" w:sz="0" w:space="0" w:color="auto"/>
            <w:left w:val="none" w:sz="0" w:space="0" w:color="auto"/>
            <w:bottom w:val="none" w:sz="0" w:space="0" w:color="auto"/>
            <w:right w:val="none" w:sz="0" w:space="0" w:color="auto"/>
          </w:divBdr>
        </w:div>
        <w:div w:id="99228575">
          <w:marLeft w:val="640"/>
          <w:marRight w:val="0"/>
          <w:marTop w:val="0"/>
          <w:marBottom w:val="0"/>
          <w:divBdr>
            <w:top w:val="none" w:sz="0" w:space="0" w:color="auto"/>
            <w:left w:val="none" w:sz="0" w:space="0" w:color="auto"/>
            <w:bottom w:val="none" w:sz="0" w:space="0" w:color="auto"/>
            <w:right w:val="none" w:sz="0" w:space="0" w:color="auto"/>
          </w:divBdr>
        </w:div>
        <w:div w:id="655454676">
          <w:marLeft w:val="640"/>
          <w:marRight w:val="0"/>
          <w:marTop w:val="0"/>
          <w:marBottom w:val="0"/>
          <w:divBdr>
            <w:top w:val="none" w:sz="0" w:space="0" w:color="auto"/>
            <w:left w:val="none" w:sz="0" w:space="0" w:color="auto"/>
            <w:bottom w:val="none" w:sz="0" w:space="0" w:color="auto"/>
            <w:right w:val="none" w:sz="0" w:space="0" w:color="auto"/>
          </w:divBdr>
        </w:div>
        <w:div w:id="1933927804">
          <w:marLeft w:val="640"/>
          <w:marRight w:val="0"/>
          <w:marTop w:val="0"/>
          <w:marBottom w:val="0"/>
          <w:divBdr>
            <w:top w:val="none" w:sz="0" w:space="0" w:color="auto"/>
            <w:left w:val="none" w:sz="0" w:space="0" w:color="auto"/>
            <w:bottom w:val="none" w:sz="0" w:space="0" w:color="auto"/>
            <w:right w:val="none" w:sz="0" w:space="0" w:color="auto"/>
          </w:divBdr>
        </w:div>
        <w:div w:id="1620262199">
          <w:marLeft w:val="640"/>
          <w:marRight w:val="0"/>
          <w:marTop w:val="0"/>
          <w:marBottom w:val="0"/>
          <w:divBdr>
            <w:top w:val="none" w:sz="0" w:space="0" w:color="auto"/>
            <w:left w:val="none" w:sz="0" w:space="0" w:color="auto"/>
            <w:bottom w:val="none" w:sz="0" w:space="0" w:color="auto"/>
            <w:right w:val="none" w:sz="0" w:space="0" w:color="auto"/>
          </w:divBdr>
        </w:div>
        <w:div w:id="1861354229">
          <w:marLeft w:val="640"/>
          <w:marRight w:val="0"/>
          <w:marTop w:val="0"/>
          <w:marBottom w:val="0"/>
          <w:divBdr>
            <w:top w:val="none" w:sz="0" w:space="0" w:color="auto"/>
            <w:left w:val="none" w:sz="0" w:space="0" w:color="auto"/>
            <w:bottom w:val="none" w:sz="0" w:space="0" w:color="auto"/>
            <w:right w:val="none" w:sz="0" w:space="0" w:color="auto"/>
          </w:divBdr>
        </w:div>
        <w:div w:id="45689994">
          <w:marLeft w:val="640"/>
          <w:marRight w:val="0"/>
          <w:marTop w:val="0"/>
          <w:marBottom w:val="0"/>
          <w:divBdr>
            <w:top w:val="none" w:sz="0" w:space="0" w:color="auto"/>
            <w:left w:val="none" w:sz="0" w:space="0" w:color="auto"/>
            <w:bottom w:val="none" w:sz="0" w:space="0" w:color="auto"/>
            <w:right w:val="none" w:sz="0" w:space="0" w:color="auto"/>
          </w:divBdr>
        </w:div>
        <w:div w:id="1259362483">
          <w:marLeft w:val="640"/>
          <w:marRight w:val="0"/>
          <w:marTop w:val="0"/>
          <w:marBottom w:val="0"/>
          <w:divBdr>
            <w:top w:val="none" w:sz="0" w:space="0" w:color="auto"/>
            <w:left w:val="none" w:sz="0" w:space="0" w:color="auto"/>
            <w:bottom w:val="none" w:sz="0" w:space="0" w:color="auto"/>
            <w:right w:val="none" w:sz="0" w:space="0" w:color="auto"/>
          </w:divBdr>
        </w:div>
        <w:div w:id="2077896442">
          <w:marLeft w:val="640"/>
          <w:marRight w:val="0"/>
          <w:marTop w:val="0"/>
          <w:marBottom w:val="0"/>
          <w:divBdr>
            <w:top w:val="none" w:sz="0" w:space="0" w:color="auto"/>
            <w:left w:val="none" w:sz="0" w:space="0" w:color="auto"/>
            <w:bottom w:val="none" w:sz="0" w:space="0" w:color="auto"/>
            <w:right w:val="none" w:sz="0" w:space="0" w:color="auto"/>
          </w:divBdr>
        </w:div>
        <w:div w:id="1007948486">
          <w:marLeft w:val="640"/>
          <w:marRight w:val="0"/>
          <w:marTop w:val="0"/>
          <w:marBottom w:val="0"/>
          <w:divBdr>
            <w:top w:val="none" w:sz="0" w:space="0" w:color="auto"/>
            <w:left w:val="none" w:sz="0" w:space="0" w:color="auto"/>
            <w:bottom w:val="none" w:sz="0" w:space="0" w:color="auto"/>
            <w:right w:val="none" w:sz="0" w:space="0" w:color="auto"/>
          </w:divBdr>
        </w:div>
        <w:div w:id="967737189">
          <w:marLeft w:val="640"/>
          <w:marRight w:val="0"/>
          <w:marTop w:val="0"/>
          <w:marBottom w:val="0"/>
          <w:divBdr>
            <w:top w:val="none" w:sz="0" w:space="0" w:color="auto"/>
            <w:left w:val="none" w:sz="0" w:space="0" w:color="auto"/>
            <w:bottom w:val="none" w:sz="0" w:space="0" w:color="auto"/>
            <w:right w:val="none" w:sz="0" w:space="0" w:color="auto"/>
          </w:divBdr>
        </w:div>
        <w:div w:id="2047214207">
          <w:marLeft w:val="640"/>
          <w:marRight w:val="0"/>
          <w:marTop w:val="0"/>
          <w:marBottom w:val="0"/>
          <w:divBdr>
            <w:top w:val="none" w:sz="0" w:space="0" w:color="auto"/>
            <w:left w:val="none" w:sz="0" w:space="0" w:color="auto"/>
            <w:bottom w:val="none" w:sz="0" w:space="0" w:color="auto"/>
            <w:right w:val="none" w:sz="0" w:space="0" w:color="auto"/>
          </w:divBdr>
        </w:div>
        <w:div w:id="1141849227">
          <w:marLeft w:val="640"/>
          <w:marRight w:val="0"/>
          <w:marTop w:val="0"/>
          <w:marBottom w:val="0"/>
          <w:divBdr>
            <w:top w:val="none" w:sz="0" w:space="0" w:color="auto"/>
            <w:left w:val="none" w:sz="0" w:space="0" w:color="auto"/>
            <w:bottom w:val="none" w:sz="0" w:space="0" w:color="auto"/>
            <w:right w:val="none" w:sz="0" w:space="0" w:color="auto"/>
          </w:divBdr>
        </w:div>
        <w:div w:id="1236623797">
          <w:marLeft w:val="640"/>
          <w:marRight w:val="0"/>
          <w:marTop w:val="0"/>
          <w:marBottom w:val="0"/>
          <w:divBdr>
            <w:top w:val="none" w:sz="0" w:space="0" w:color="auto"/>
            <w:left w:val="none" w:sz="0" w:space="0" w:color="auto"/>
            <w:bottom w:val="none" w:sz="0" w:space="0" w:color="auto"/>
            <w:right w:val="none" w:sz="0" w:space="0" w:color="auto"/>
          </w:divBdr>
        </w:div>
        <w:div w:id="10225501">
          <w:marLeft w:val="640"/>
          <w:marRight w:val="0"/>
          <w:marTop w:val="0"/>
          <w:marBottom w:val="0"/>
          <w:divBdr>
            <w:top w:val="none" w:sz="0" w:space="0" w:color="auto"/>
            <w:left w:val="none" w:sz="0" w:space="0" w:color="auto"/>
            <w:bottom w:val="none" w:sz="0" w:space="0" w:color="auto"/>
            <w:right w:val="none" w:sz="0" w:space="0" w:color="auto"/>
          </w:divBdr>
        </w:div>
        <w:div w:id="2076656987">
          <w:marLeft w:val="640"/>
          <w:marRight w:val="0"/>
          <w:marTop w:val="0"/>
          <w:marBottom w:val="0"/>
          <w:divBdr>
            <w:top w:val="none" w:sz="0" w:space="0" w:color="auto"/>
            <w:left w:val="none" w:sz="0" w:space="0" w:color="auto"/>
            <w:bottom w:val="none" w:sz="0" w:space="0" w:color="auto"/>
            <w:right w:val="none" w:sz="0" w:space="0" w:color="auto"/>
          </w:divBdr>
        </w:div>
        <w:div w:id="1521747676">
          <w:marLeft w:val="640"/>
          <w:marRight w:val="0"/>
          <w:marTop w:val="0"/>
          <w:marBottom w:val="0"/>
          <w:divBdr>
            <w:top w:val="none" w:sz="0" w:space="0" w:color="auto"/>
            <w:left w:val="none" w:sz="0" w:space="0" w:color="auto"/>
            <w:bottom w:val="none" w:sz="0" w:space="0" w:color="auto"/>
            <w:right w:val="none" w:sz="0" w:space="0" w:color="auto"/>
          </w:divBdr>
        </w:div>
        <w:div w:id="742878195">
          <w:marLeft w:val="640"/>
          <w:marRight w:val="0"/>
          <w:marTop w:val="0"/>
          <w:marBottom w:val="0"/>
          <w:divBdr>
            <w:top w:val="none" w:sz="0" w:space="0" w:color="auto"/>
            <w:left w:val="none" w:sz="0" w:space="0" w:color="auto"/>
            <w:bottom w:val="none" w:sz="0" w:space="0" w:color="auto"/>
            <w:right w:val="none" w:sz="0" w:space="0" w:color="auto"/>
          </w:divBdr>
        </w:div>
        <w:div w:id="1668242510">
          <w:marLeft w:val="640"/>
          <w:marRight w:val="0"/>
          <w:marTop w:val="0"/>
          <w:marBottom w:val="0"/>
          <w:divBdr>
            <w:top w:val="none" w:sz="0" w:space="0" w:color="auto"/>
            <w:left w:val="none" w:sz="0" w:space="0" w:color="auto"/>
            <w:bottom w:val="none" w:sz="0" w:space="0" w:color="auto"/>
            <w:right w:val="none" w:sz="0" w:space="0" w:color="auto"/>
          </w:divBdr>
        </w:div>
        <w:div w:id="974022517">
          <w:marLeft w:val="640"/>
          <w:marRight w:val="0"/>
          <w:marTop w:val="0"/>
          <w:marBottom w:val="0"/>
          <w:divBdr>
            <w:top w:val="none" w:sz="0" w:space="0" w:color="auto"/>
            <w:left w:val="none" w:sz="0" w:space="0" w:color="auto"/>
            <w:bottom w:val="none" w:sz="0" w:space="0" w:color="auto"/>
            <w:right w:val="none" w:sz="0" w:space="0" w:color="auto"/>
          </w:divBdr>
        </w:div>
        <w:div w:id="491290588">
          <w:marLeft w:val="640"/>
          <w:marRight w:val="0"/>
          <w:marTop w:val="0"/>
          <w:marBottom w:val="0"/>
          <w:divBdr>
            <w:top w:val="none" w:sz="0" w:space="0" w:color="auto"/>
            <w:left w:val="none" w:sz="0" w:space="0" w:color="auto"/>
            <w:bottom w:val="none" w:sz="0" w:space="0" w:color="auto"/>
            <w:right w:val="none" w:sz="0" w:space="0" w:color="auto"/>
          </w:divBdr>
        </w:div>
        <w:div w:id="1350401864">
          <w:marLeft w:val="640"/>
          <w:marRight w:val="0"/>
          <w:marTop w:val="0"/>
          <w:marBottom w:val="0"/>
          <w:divBdr>
            <w:top w:val="none" w:sz="0" w:space="0" w:color="auto"/>
            <w:left w:val="none" w:sz="0" w:space="0" w:color="auto"/>
            <w:bottom w:val="none" w:sz="0" w:space="0" w:color="auto"/>
            <w:right w:val="none" w:sz="0" w:space="0" w:color="auto"/>
          </w:divBdr>
        </w:div>
        <w:div w:id="179861308">
          <w:marLeft w:val="640"/>
          <w:marRight w:val="0"/>
          <w:marTop w:val="0"/>
          <w:marBottom w:val="0"/>
          <w:divBdr>
            <w:top w:val="none" w:sz="0" w:space="0" w:color="auto"/>
            <w:left w:val="none" w:sz="0" w:space="0" w:color="auto"/>
            <w:bottom w:val="none" w:sz="0" w:space="0" w:color="auto"/>
            <w:right w:val="none" w:sz="0" w:space="0" w:color="auto"/>
          </w:divBdr>
        </w:div>
        <w:div w:id="1505508588">
          <w:marLeft w:val="640"/>
          <w:marRight w:val="0"/>
          <w:marTop w:val="0"/>
          <w:marBottom w:val="0"/>
          <w:divBdr>
            <w:top w:val="none" w:sz="0" w:space="0" w:color="auto"/>
            <w:left w:val="none" w:sz="0" w:space="0" w:color="auto"/>
            <w:bottom w:val="none" w:sz="0" w:space="0" w:color="auto"/>
            <w:right w:val="none" w:sz="0" w:space="0" w:color="auto"/>
          </w:divBdr>
        </w:div>
        <w:div w:id="959646215">
          <w:marLeft w:val="640"/>
          <w:marRight w:val="0"/>
          <w:marTop w:val="0"/>
          <w:marBottom w:val="0"/>
          <w:divBdr>
            <w:top w:val="none" w:sz="0" w:space="0" w:color="auto"/>
            <w:left w:val="none" w:sz="0" w:space="0" w:color="auto"/>
            <w:bottom w:val="none" w:sz="0" w:space="0" w:color="auto"/>
            <w:right w:val="none" w:sz="0" w:space="0" w:color="auto"/>
          </w:divBdr>
        </w:div>
        <w:div w:id="1282883045">
          <w:marLeft w:val="640"/>
          <w:marRight w:val="0"/>
          <w:marTop w:val="0"/>
          <w:marBottom w:val="0"/>
          <w:divBdr>
            <w:top w:val="none" w:sz="0" w:space="0" w:color="auto"/>
            <w:left w:val="none" w:sz="0" w:space="0" w:color="auto"/>
            <w:bottom w:val="none" w:sz="0" w:space="0" w:color="auto"/>
            <w:right w:val="none" w:sz="0" w:space="0" w:color="auto"/>
          </w:divBdr>
        </w:div>
        <w:div w:id="130634385">
          <w:marLeft w:val="640"/>
          <w:marRight w:val="0"/>
          <w:marTop w:val="0"/>
          <w:marBottom w:val="0"/>
          <w:divBdr>
            <w:top w:val="none" w:sz="0" w:space="0" w:color="auto"/>
            <w:left w:val="none" w:sz="0" w:space="0" w:color="auto"/>
            <w:bottom w:val="none" w:sz="0" w:space="0" w:color="auto"/>
            <w:right w:val="none" w:sz="0" w:space="0" w:color="auto"/>
          </w:divBdr>
        </w:div>
        <w:div w:id="329257713">
          <w:marLeft w:val="640"/>
          <w:marRight w:val="0"/>
          <w:marTop w:val="0"/>
          <w:marBottom w:val="0"/>
          <w:divBdr>
            <w:top w:val="none" w:sz="0" w:space="0" w:color="auto"/>
            <w:left w:val="none" w:sz="0" w:space="0" w:color="auto"/>
            <w:bottom w:val="none" w:sz="0" w:space="0" w:color="auto"/>
            <w:right w:val="none" w:sz="0" w:space="0" w:color="auto"/>
          </w:divBdr>
        </w:div>
        <w:div w:id="1179851163">
          <w:marLeft w:val="640"/>
          <w:marRight w:val="0"/>
          <w:marTop w:val="0"/>
          <w:marBottom w:val="0"/>
          <w:divBdr>
            <w:top w:val="none" w:sz="0" w:space="0" w:color="auto"/>
            <w:left w:val="none" w:sz="0" w:space="0" w:color="auto"/>
            <w:bottom w:val="none" w:sz="0" w:space="0" w:color="auto"/>
            <w:right w:val="none" w:sz="0" w:space="0" w:color="auto"/>
          </w:divBdr>
        </w:div>
        <w:div w:id="1402480196">
          <w:marLeft w:val="640"/>
          <w:marRight w:val="0"/>
          <w:marTop w:val="0"/>
          <w:marBottom w:val="0"/>
          <w:divBdr>
            <w:top w:val="none" w:sz="0" w:space="0" w:color="auto"/>
            <w:left w:val="none" w:sz="0" w:space="0" w:color="auto"/>
            <w:bottom w:val="none" w:sz="0" w:space="0" w:color="auto"/>
            <w:right w:val="none" w:sz="0" w:space="0" w:color="auto"/>
          </w:divBdr>
        </w:div>
        <w:div w:id="614797732">
          <w:marLeft w:val="640"/>
          <w:marRight w:val="0"/>
          <w:marTop w:val="0"/>
          <w:marBottom w:val="0"/>
          <w:divBdr>
            <w:top w:val="none" w:sz="0" w:space="0" w:color="auto"/>
            <w:left w:val="none" w:sz="0" w:space="0" w:color="auto"/>
            <w:bottom w:val="none" w:sz="0" w:space="0" w:color="auto"/>
            <w:right w:val="none" w:sz="0" w:space="0" w:color="auto"/>
          </w:divBdr>
        </w:div>
        <w:div w:id="1108770793">
          <w:marLeft w:val="640"/>
          <w:marRight w:val="0"/>
          <w:marTop w:val="0"/>
          <w:marBottom w:val="0"/>
          <w:divBdr>
            <w:top w:val="none" w:sz="0" w:space="0" w:color="auto"/>
            <w:left w:val="none" w:sz="0" w:space="0" w:color="auto"/>
            <w:bottom w:val="none" w:sz="0" w:space="0" w:color="auto"/>
            <w:right w:val="none" w:sz="0" w:space="0" w:color="auto"/>
          </w:divBdr>
        </w:div>
        <w:div w:id="1250651974">
          <w:marLeft w:val="640"/>
          <w:marRight w:val="0"/>
          <w:marTop w:val="0"/>
          <w:marBottom w:val="0"/>
          <w:divBdr>
            <w:top w:val="none" w:sz="0" w:space="0" w:color="auto"/>
            <w:left w:val="none" w:sz="0" w:space="0" w:color="auto"/>
            <w:bottom w:val="none" w:sz="0" w:space="0" w:color="auto"/>
            <w:right w:val="none" w:sz="0" w:space="0" w:color="auto"/>
          </w:divBdr>
        </w:div>
        <w:div w:id="75057787">
          <w:marLeft w:val="640"/>
          <w:marRight w:val="0"/>
          <w:marTop w:val="0"/>
          <w:marBottom w:val="0"/>
          <w:divBdr>
            <w:top w:val="none" w:sz="0" w:space="0" w:color="auto"/>
            <w:left w:val="none" w:sz="0" w:space="0" w:color="auto"/>
            <w:bottom w:val="none" w:sz="0" w:space="0" w:color="auto"/>
            <w:right w:val="none" w:sz="0" w:space="0" w:color="auto"/>
          </w:divBdr>
        </w:div>
        <w:div w:id="1919634219">
          <w:marLeft w:val="640"/>
          <w:marRight w:val="0"/>
          <w:marTop w:val="0"/>
          <w:marBottom w:val="0"/>
          <w:divBdr>
            <w:top w:val="none" w:sz="0" w:space="0" w:color="auto"/>
            <w:left w:val="none" w:sz="0" w:space="0" w:color="auto"/>
            <w:bottom w:val="none" w:sz="0" w:space="0" w:color="auto"/>
            <w:right w:val="none" w:sz="0" w:space="0" w:color="auto"/>
          </w:divBdr>
        </w:div>
        <w:div w:id="1143622900">
          <w:marLeft w:val="640"/>
          <w:marRight w:val="0"/>
          <w:marTop w:val="0"/>
          <w:marBottom w:val="0"/>
          <w:divBdr>
            <w:top w:val="none" w:sz="0" w:space="0" w:color="auto"/>
            <w:left w:val="none" w:sz="0" w:space="0" w:color="auto"/>
            <w:bottom w:val="none" w:sz="0" w:space="0" w:color="auto"/>
            <w:right w:val="none" w:sz="0" w:space="0" w:color="auto"/>
          </w:divBdr>
        </w:div>
        <w:div w:id="1490563641">
          <w:marLeft w:val="640"/>
          <w:marRight w:val="0"/>
          <w:marTop w:val="0"/>
          <w:marBottom w:val="0"/>
          <w:divBdr>
            <w:top w:val="none" w:sz="0" w:space="0" w:color="auto"/>
            <w:left w:val="none" w:sz="0" w:space="0" w:color="auto"/>
            <w:bottom w:val="none" w:sz="0" w:space="0" w:color="auto"/>
            <w:right w:val="none" w:sz="0" w:space="0" w:color="auto"/>
          </w:divBdr>
        </w:div>
        <w:div w:id="1567446502">
          <w:marLeft w:val="640"/>
          <w:marRight w:val="0"/>
          <w:marTop w:val="0"/>
          <w:marBottom w:val="0"/>
          <w:divBdr>
            <w:top w:val="none" w:sz="0" w:space="0" w:color="auto"/>
            <w:left w:val="none" w:sz="0" w:space="0" w:color="auto"/>
            <w:bottom w:val="none" w:sz="0" w:space="0" w:color="auto"/>
            <w:right w:val="none" w:sz="0" w:space="0" w:color="auto"/>
          </w:divBdr>
        </w:div>
        <w:div w:id="7144531">
          <w:marLeft w:val="640"/>
          <w:marRight w:val="0"/>
          <w:marTop w:val="0"/>
          <w:marBottom w:val="0"/>
          <w:divBdr>
            <w:top w:val="none" w:sz="0" w:space="0" w:color="auto"/>
            <w:left w:val="none" w:sz="0" w:space="0" w:color="auto"/>
            <w:bottom w:val="none" w:sz="0" w:space="0" w:color="auto"/>
            <w:right w:val="none" w:sz="0" w:space="0" w:color="auto"/>
          </w:divBdr>
        </w:div>
        <w:div w:id="2141144773">
          <w:marLeft w:val="640"/>
          <w:marRight w:val="0"/>
          <w:marTop w:val="0"/>
          <w:marBottom w:val="0"/>
          <w:divBdr>
            <w:top w:val="none" w:sz="0" w:space="0" w:color="auto"/>
            <w:left w:val="none" w:sz="0" w:space="0" w:color="auto"/>
            <w:bottom w:val="none" w:sz="0" w:space="0" w:color="auto"/>
            <w:right w:val="none" w:sz="0" w:space="0" w:color="auto"/>
          </w:divBdr>
        </w:div>
        <w:div w:id="466365068">
          <w:marLeft w:val="640"/>
          <w:marRight w:val="0"/>
          <w:marTop w:val="0"/>
          <w:marBottom w:val="0"/>
          <w:divBdr>
            <w:top w:val="none" w:sz="0" w:space="0" w:color="auto"/>
            <w:left w:val="none" w:sz="0" w:space="0" w:color="auto"/>
            <w:bottom w:val="none" w:sz="0" w:space="0" w:color="auto"/>
            <w:right w:val="none" w:sz="0" w:space="0" w:color="auto"/>
          </w:divBdr>
        </w:div>
        <w:div w:id="1325356418">
          <w:marLeft w:val="640"/>
          <w:marRight w:val="0"/>
          <w:marTop w:val="0"/>
          <w:marBottom w:val="0"/>
          <w:divBdr>
            <w:top w:val="none" w:sz="0" w:space="0" w:color="auto"/>
            <w:left w:val="none" w:sz="0" w:space="0" w:color="auto"/>
            <w:bottom w:val="none" w:sz="0" w:space="0" w:color="auto"/>
            <w:right w:val="none" w:sz="0" w:space="0" w:color="auto"/>
          </w:divBdr>
        </w:div>
        <w:div w:id="1854801630">
          <w:marLeft w:val="640"/>
          <w:marRight w:val="0"/>
          <w:marTop w:val="0"/>
          <w:marBottom w:val="0"/>
          <w:divBdr>
            <w:top w:val="none" w:sz="0" w:space="0" w:color="auto"/>
            <w:left w:val="none" w:sz="0" w:space="0" w:color="auto"/>
            <w:bottom w:val="none" w:sz="0" w:space="0" w:color="auto"/>
            <w:right w:val="none" w:sz="0" w:space="0" w:color="auto"/>
          </w:divBdr>
        </w:div>
        <w:div w:id="185097816">
          <w:marLeft w:val="640"/>
          <w:marRight w:val="0"/>
          <w:marTop w:val="0"/>
          <w:marBottom w:val="0"/>
          <w:divBdr>
            <w:top w:val="none" w:sz="0" w:space="0" w:color="auto"/>
            <w:left w:val="none" w:sz="0" w:space="0" w:color="auto"/>
            <w:bottom w:val="none" w:sz="0" w:space="0" w:color="auto"/>
            <w:right w:val="none" w:sz="0" w:space="0" w:color="auto"/>
          </w:divBdr>
        </w:div>
        <w:div w:id="189729199">
          <w:marLeft w:val="640"/>
          <w:marRight w:val="0"/>
          <w:marTop w:val="0"/>
          <w:marBottom w:val="0"/>
          <w:divBdr>
            <w:top w:val="none" w:sz="0" w:space="0" w:color="auto"/>
            <w:left w:val="none" w:sz="0" w:space="0" w:color="auto"/>
            <w:bottom w:val="none" w:sz="0" w:space="0" w:color="auto"/>
            <w:right w:val="none" w:sz="0" w:space="0" w:color="auto"/>
          </w:divBdr>
        </w:div>
        <w:div w:id="2122140095">
          <w:marLeft w:val="640"/>
          <w:marRight w:val="0"/>
          <w:marTop w:val="0"/>
          <w:marBottom w:val="0"/>
          <w:divBdr>
            <w:top w:val="none" w:sz="0" w:space="0" w:color="auto"/>
            <w:left w:val="none" w:sz="0" w:space="0" w:color="auto"/>
            <w:bottom w:val="none" w:sz="0" w:space="0" w:color="auto"/>
            <w:right w:val="none" w:sz="0" w:space="0" w:color="auto"/>
          </w:divBdr>
        </w:div>
        <w:div w:id="1427772253">
          <w:marLeft w:val="640"/>
          <w:marRight w:val="0"/>
          <w:marTop w:val="0"/>
          <w:marBottom w:val="0"/>
          <w:divBdr>
            <w:top w:val="none" w:sz="0" w:space="0" w:color="auto"/>
            <w:left w:val="none" w:sz="0" w:space="0" w:color="auto"/>
            <w:bottom w:val="none" w:sz="0" w:space="0" w:color="auto"/>
            <w:right w:val="none" w:sz="0" w:space="0" w:color="auto"/>
          </w:divBdr>
        </w:div>
        <w:div w:id="1909339204">
          <w:marLeft w:val="640"/>
          <w:marRight w:val="0"/>
          <w:marTop w:val="0"/>
          <w:marBottom w:val="0"/>
          <w:divBdr>
            <w:top w:val="none" w:sz="0" w:space="0" w:color="auto"/>
            <w:left w:val="none" w:sz="0" w:space="0" w:color="auto"/>
            <w:bottom w:val="none" w:sz="0" w:space="0" w:color="auto"/>
            <w:right w:val="none" w:sz="0" w:space="0" w:color="auto"/>
          </w:divBdr>
        </w:div>
        <w:div w:id="884293750">
          <w:marLeft w:val="640"/>
          <w:marRight w:val="0"/>
          <w:marTop w:val="0"/>
          <w:marBottom w:val="0"/>
          <w:divBdr>
            <w:top w:val="none" w:sz="0" w:space="0" w:color="auto"/>
            <w:left w:val="none" w:sz="0" w:space="0" w:color="auto"/>
            <w:bottom w:val="none" w:sz="0" w:space="0" w:color="auto"/>
            <w:right w:val="none" w:sz="0" w:space="0" w:color="auto"/>
          </w:divBdr>
        </w:div>
        <w:div w:id="189953788">
          <w:marLeft w:val="640"/>
          <w:marRight w:val="0"/>
          <w:marTop w:val="0"/>
          <w:marBottom w:val="0"/>
          <w:divBdr>
            <w:top w:val="none" w:sz="0" w:space="0" w:color="auto"/>
            <w:left w:val="none" w:sz="0" w:space="0" w:color="auto"/>
            <w:bottom w:val="none" w:sz="0" w:space="0" w:color="auto"/>
            <w:right w:val="none" w:sz="0" w:space="0" w:color="auto"/>
          </w:divBdr>
        </w:div>
        <w:div w:id="1254239286">
          <w:marLeft w:val="640"/>
          <w:marRight w:val="0"/>
          <w:marTop w:val="0"/>
          <w:marBottom w:val="0"/>
          <w:divBdr>
            <w:top w:val="none" w:sz="0" w:space="0" w:color="auto"/>
            <w:left w:val="none" w:sz="0" w:space="0" w:color="auto"/>
            <w:bottom w:val="none" w:sz="0" w:space="0" w:color="auto"/>
            <w:right w:val="none" w:sz="0" w:space="0" w:color="auto"/>
          </w:divBdr>
        </w:div>
        <w:div w:id="518858054">
          <w:marLeft w:val="640"/>
          <w:marRight w:val="0"/>
          <w:marTop w:val="0"/>
          <w:marBottom w:val="0"/>
          <w:divBdr>
            <w:top w:val="none" w:sz="0" w:space="0" w:color="auto"/>
            <w:left w:val="none" w:sz="0" w:space="0" w:color="auto"/>
            <w:bottom w:val="none" w:sz="0" w:space="0" w:color="auto"/>
            <w:right w:val="none" w:sz="0" w:space="0" w:color="auto"/>
          </w:divBdr>
        </w:div>
        <w:div w:id="193613637">
          <w:marLeft w:val="640"/>
          <w:marRight w:val="0"/>
          <w:marTop w:val="0"/>
          <w:marBottom w:val="0"/>
          <w:divBdr>
            <w:top w:val="none" w:sz="0" w:space="0" w:color="auto"/>
            <w:left w:val="none" w:sz="0" w:space="0" w:color="auto"/>
            <w:bottom w:val="none" w:sz="0" w:space="0" w:color="auto"/>
            <w:right w:val="none" w:sz="0" w:space="0" w:color="auto"/>
          </w:divBdr>
        </w:div>
        <w:div w:id="989209676">
          <w:marLeft w:val="640"/>
          <w:marRight w:val="0"/>
          <w:marTop w:val="0"/>
          <w:marBottom w:val="0"/>
          <w:divBdr>
            <w:top w:val="none" w:sz="0" w:space="0" w:color="auto"/>
            <w:left w:val="none" w:sz="0" w:space="0" w:color="auto"/>
            <w:bottom w:val="none" w:sz="0" w:space="0" w:color="auto"/>
            <w:right w:val="none" w:sz="0" w:space="0" w:color="auto"/>
          </w:divBdr>
        </w:div>
        <w:div w:id="2014994183">
          <w:marLeft w:val="640"/>
          <w:marRight w:val="0"/>
          <w:marTop w:val="0"/>
          <w:marBottom w:val="0"/>
          <w:divBdr>
            <w:top w:val="none" w:sz="0" w:space="0" w:color="auto"/>
            <w:left w:val="none" w:sz="0" w:space="0" w:color="auto"/>
            <w:bottom w:val="none" w:sz="0" w:space="0" w:color="auto"/>
            <w:right w:val="none" w:sz="0" w:space="0" w:color="auto"/>
          </w:divBdr>
        </w:div>
        <w:div w:id="622422373">
          <w:marLeft w:val="640"/>
          <w:marRight w:val="0"/>
          <w:marTop w:val="0"/>
          <w:marBottom w:val="0"/>
          <w:divBdr>
            <w:top w:val="none" w:sz="0" w:space="0" w:color="auto"/>
            <w:left w:val="none" w:sz="0" w:space="0" w:color="auto"/>
            <w:bottom w:val="none" w:sz="0" w:space="0" w:color="auto"/>
            <w:right w:val="none" w:sz="0" w:space="0" w:color="auto"/>
          </w:divBdr>
        </w:div>
        <w:div w:id="2124228922">
          <w:marLeft w:val="640"/>
          <w:marRight w:val="0"/>
          <w:marTop w:val="0"/>
          <w:marBottom w:val="0"/>
          <w:divBdr>
            <w:top w:val="none" w:sz="0" w:space="0" w:color="auto"/>
            <w:left w:val="none" w:sz="0" w:space="0" w:color="auto"/>
            <w:bottom w:val="none" w:sz="0" w:space="0" w:color="auto"/>
            <w:right w:val="none" w:sz="0" w:space="0" w:color="auto"/>
          </w:divBdr>
        </w:div>
        <w:div w:id="473789443">
          <w:marLeft w:val="640"/>
          <w:marRight w:val="0"/>
          <w:marTop w:val="0"/>
          <w:marBottom w:val="0"/>
          <w:divBdr>
            <w:top w:val="none" w:sz="0" w:space="0" w:color="auto"/>
            <w:left w:val="none" w:sz="0" w:space="0" w:color="auto"/>
            <w:bottom w:val="none" w:sz="0" w:space="0" w:color="auto"/>
            <w:right w:val="none" w:sz="0" w:space="0" w:color="auto"/>
          </w:divBdr>
        </w:div>
        <w:div w:id="1412510173">
          <w:marLeft w:val="640"/>
          <w:marRight w:val="0"/>
          <w:marTop w:val="0"/>
          <w:marBottom w:val="0"/>
          <w:divBdr>
            <w:top w:val="none" w:sz="0" w:space="0" w:color="auto"/>
            <w:left w:val="none" w:sz="0" w:space="0" w:color="auto"/>
            <w:bottom w:val="none" w:sz="0" w:space="0" w:color="auto"/>
            <w:right w:val="none" w:sz="0" w:space="0" w:color="auto"/>
          </w:divBdr>
        </w:div>
        <w:div w:id="2065175297">
          <w:marLeft w:val="640"/>
          <w:marRight w:val="0"/>
          <w:marTop w:val="0"/>
          <w:marBottom w:val="0"/>
          <w:divBdr>
            <w:top w:val="none" w:sz="0" w:space="0" w:color="auto"/>
            <w:left w:val="none" w:sz="0" w:space="0" w:color="auto"/>
            <w:bottom w:val="none" w:sz="0" w:space="0" w:color="auto"/>
            <w:right w:val="none" w:sz="0" w:space="0" w:color="auto"/>
          </w:divBdr>
        </w:div>
        <w:div w:id="183984462">
          <w:marLeft w:val="640"/>
          <w:marRight w:val="0"/>
          <w:marTop w:val="0"/>
          <w:marBottom w:val="0"/>
          <w:divBdr>
            <w:top w:val="none" w:sz="0" w:space="0" w:color="auto"/>
            <w:left w:val="none" w:sz="0" w:space="0" w:color="auto"/>
            <w:bottom w:val="none" w:sz="0" w:space="0" w:color="auto"/>
            <w:right w:val="none" w:sz="0" w:space="0" w:color="auto"/>
          </w:divBdr>
        </w:div>
        <w:div w:id="416292780">
          <w:marLeft w:val="640"/>
          <w:marRight w:val="0"/>
          <w:marTop w:val="0"/>
          <w:marBottom w:val="0"/>
          <w:divBdr>
            <w:top w:val="none" w:sz="0" w:space="0" w:color="auto"/>
            <w:left w:val="none" w:sz="0" w:space="0" w:color="auto"/>
            <w:bottom w:val="none" w:sz="0" w:space="0" w:color="auto"/>
            <w:right w:val="none" w:sz="0" w:space="0" w:color="auto"/>
          </w:divBdr>
        </w:div>
        <w:div w:id="654916896">
          <w:marLeft w:val="640"/>
          <w:marRight w:val="0"/>
          <w:marTop w:val="0"/>
          <w:marBottom w:val="0"/>
          <w:divBdr>
            <w:top w:val="none" w:sz="0" w:space="0" w:color="auto"/>
            <w:left w:val="none" w:sz="0" w:space="0" w:color="auto"/>
            <w:bottom w:val="none" w:sz="0" w:space="0" w:color="auto"/>
            <w:right w:val="none" w:sz="0" w:space="0" w:color="auto"/>
          </w:divBdr>
        </w:div>
        <w:div w:id="349769834">
          <w:marLeft w:val="640"/>
          <w:marRight w:val="0"/>
          <w:marTop w:val="0"/>
          <w:marBottom w:val="0"/>
          <w:divBdr>
            <w:top w:val="none" w:sz="0" w:space="0" w:color="auto"/>
            <w:left w:val="none" w:sz="0" w:space="0" w:color="auto"/>
            <w:bottom w:val="none" w:sz="0" w:space="0" w:color="auto"/>
            <w:right w:val="none" w:sz="0" w:space="0" w:color="auto"/>
          </w:divBdr>
        </w:div>
        <w:div w:id="1070538854">
          <w:marLeft w:val="640"/>
          <w:marRight w:val="0"/>
          <w:marTop w:val="0"/>
          <w:marBottom w:val="0"/>
          <w:divBdr>
            <w:top w:val="none" w:sz="0" w:space="0" w:color="auto"/>
            <w:left w:val="none" w:sz="0" w:space="0" w:color="auto"/>
            <w:bottom w:val="none" w:sz="0" w:space="0" w:color="auto"/>
            <w:right w:val="none" w:sz="0" w:space="0" w:color="auto"/>
          </w:divBdr>
        </w:div>
        <w:div w:id="2090805439">
          <w:marLeft w:val="640"/>
          <w:marRight w:val="0"/>
          <w:marTop w:val="0"/>
          <w:marBottom w:val="0"/>
          <w:divBdr>
            <w:top w:val="none" w:sz="0" w:space="0" w:color="auto"/>
            <w:left w:val="none" w:sz="0" w:space="0" w:color="auto"/>
            <w:bottom w:val="none" w:sz="0" w:space="0" w:color="auto"/>
            <w:right w:val="none" w:sz="0" w:space="0" w:color="auto"/>
          </w:divBdr>
        </w:div>
        <w:div w:id="1309750839">
          <w:marLeft w:val="640"/>
          <w:marRight w:val="0"/>
          <w:marTop w:val="0"/>
          <w:marBottom w:val="0"/>
          <w:divBdr>
            <w:top w:val="none" w:sz="0" w:space="0" w:color="auto"/>
            <w:left w:val="none" w:sz="0" w:space="0" w:color="auto"/>
            <w:bottom w:val="none" w:sz="0" w:space="0" w:color="auto"/>
            <w:right w:val="none" w:sz="0" w:space="0" w:color="auto"/>
          </w:divBdr>
        </w:div>
        <w:div w:id="17395145">
          <w:marLeft w:val="640"/>
          <w:marRight w:val="0"/>
          <w:marTop w:val="0"/>
          <w:marBottom w:val="0"/>
          <w:divBdr>
            <w:top w:val="none" w:sz="0" w:space="0" w:color="auto"/>
            <w:left w:val="none" w:sz="0" w:space="0" w:color="auto"/>
            <w:bottom w:val="none" w:sz="0" w:space="0" w:color="auto"/>
            <w:right w:val="none" w:sz="0" w:space="0" w:color="auto"/>
          </w:divBdr>
        </w:div>
        <w:div w:id="1591935994">
          <w:marLeft w:val="640"/>
          <w:marRight w:val="0"/>
          <w:marTop w:val="0"/>
          <w:marBottom w:val="0"/>
          <w:divBdr>
            <w:top w:val="none" w:sz="0" w:space="0" w:color="auto"/>
            <w:left w:val="none" w:sz="0" w:space="0" w:color="auto"/>
            <w:bottom w:val="none" w:sz="0" w:space="0" w:color="auto"/>
            <w:right w:val="none" w:sz="0" w:space="0" w:color="auto"/>
          </w:divBdr>
        </w:div>
        <w:div w:id="500509201">
          <w:marLeft w:val="640"/>
          <w:marRight w:val="0"/>
          <w:marTop w:val="0"/>
          <w:marBottom w:val="0"/>
          <w:divBdr>
            <w:top w:val="none" w:sz="0" w:space="0" w:color="auto"/>
            <w:left w:val="none" w:sz="0" w:space="0" w:color="auto"/>
            <w:bottom w:val="none" w:sz="0" w:space="0" w:color="auto"/>
            <w:right w:val="none" w:sz="0" w:space="0" w:color="auto"/>
          </w:divBdr>
        </w:div>
        <w:div w:id="1734618587">
          <w:marLeft w:val="640"/>
          <w:marRight w:val="0"/>
          <w:marTop w:val="0"/>
          <w:marBottom w:val="0"/>
          <w:divBdr>
            <w:top w:val="none" w:sz="0" w:space="0" w:color="auto"/>
            <w:left w:val="none" w:sz="0" w:space="0" w:color="auto"/>
            <w:bottom w:val="none" w:sz="0" w:space="0" w:color="auto"/>
            <w:right w:val="none" w:sz="0" w:space="0" w:color="auto"/>
          </w:divBdr>
        </w:div>
        <w:div w:id="845826567">
          <w:marLeft w:val="640"/>
          <w:marRight w:val="0"/>
          <w:marTop w:val="0"/>
          <w:marBottom w:val="0"/>
          <w:divBdr>
            <w:top w:val="none" w:sz="0" w:space="0" w:color="auto"/>
            <w:left w:val="none" w:sz="0" w:space="0" w:color="auto"/>
            <w:bottom w:val="none" w:sz="0" w:space="0" w:color="auto"/>
            <w:right w:val="none" w:sz="0" w:space="0" w:color="auto"/>
          </w:divBdr>
        </w:div>
        <w:div w:id="146828784">
          <w:marLeft w:val="640"/>
          <w:marRight w:val="0"/>
          <w:marTop w:val="0"/>
          <w:marBottom w:val="0"/>
          <w:divBdr>
            <w:top w:val="none" w:sz="0" w:space="0" w:color="auto"/>
            <w:left w:val="none" w:sz="0" w:space="0" w:color="auto"/>
            <w:bottom w:val="none" w:sz="0" w:space="0" w:color="auto"/>
            <w:right w:val="none" w:sz="0" w:space="0" w:color="auto"/>
          </w:divBdr>
        </w:div>
        <w:div w:id="649483940">
          <w:marLeft w:val="640"/>
          <w:marRight w:val="0"/>
          <w:marTop w:val="0"/>
          <w:marBottom w:val="0"/>
          <w:divBdr>
            <w:top w:val="none" w:sz="0" w:space="0" w:color="auto"/>
            <w:left w:val="none" w:sz="0" w:space="0" w:color="auto"/>
            <w:bottom w:val="none" w:sz="0" w:space="0" w:color="auto"/>
            <w:right w:val="none" w:sz="0" w:space="0" w:color="auto"/>
          </w:divBdr>
        </w:div>
        <w:div w:id="1912884241">
          <w:marLeft w:val="640"/>
          <w:marRight w:val="0"/>
          <w:marTop w:val="0"/>
          <w:marBottom w:val="0"/>
          <w:divBdr>
            <w:top w:val="none" w:sz="0" w:space="0" w:color="auto"/>
            <w:left w:val="none" w:sz="0" w:space="0" w:color="auto"/>
            <w:bottom w:val="none" w:sz="0" w:space="0" w:color="auto"/>
            <w:right w:val="none" w:sz="0" w:space="0" w:color="auto"/>
          </w:divBdr>
        </w:div>
        <w:div w:id="1153838141">
          <w:marLeft w:val="640"/>
          <w:marRight w:val="0"/>
          <w:marTop w:val="0"/>
          <w:marBottom w:val="0"/>
          <w:divBdr>
            <w:top w:val="none" w:sz="0" w:space="0" w:color="auto"/>
            <w:left w:val="none" w:sz="0" w:space="0" w:color="auto"/>
            <w:bottom w:val="none" w:sz="0" w:space="0" w:color="auto"/>
            <w:right w:val="none" w:sz="0" w:space="0" w:color="auto"/>
          </w:divBdr>
        </w:div>
        <w:div w:id="1091513885">
          <w:marLeft w:val="640"/>
          <w:marRight w:val="0"/>
          <w:marTop w:val="0"/>
          <w:marBottom w:val="0"/>
          <w:divBdr>
            <w:top w:val="none" w:sz="0" w:space="0" w:color="auto"/>
            <w:left w:val="none" w:sz="0" w:space="0" w:color="auto"/>
            <w:bottom w:val="none" w:sz="0" w:space="0" w:color="auto"/>
            <w:right w:val="none" w:sz="0" w:space="0" w:color="auto"/>
          </w:divBdr>
        </w:div>
        <w:div w:id="917010846">
          <w:marLeft w:val="640"/>
          <w:marRight w:val="0"/>
          <w:marTop w:val="0"/>
          <w:marBottom w:val="0"/>
          <w:divBdr>
            <w:top w:val="none" w:sz="0" w:space="0" w:color="auto"/>
            <w:left w:val="none" w:sz="0" w:space="0" w:color="auto"/>
            <w:bottom w:val="none" w:sz="0" w:space="0" w:color="auto"/>
            <w:right w:val="none" w:sz="0" w:space="0" w:color="auto"/>
          </w:divBdr>
        </w:div>
        <w:div w:id="1226331641">
          <w:marLeft w:val="640"/>
          <w:marRight w:val="0"/>
          <w:marTop w:val="0"/>
          <w:marBottom w:val="0"/>
          <w:divBdr>
            <w:top w:val="none" w:sz="0" w:space="0" w:color="auto"/>
            <w:left w:val="none" w:sz="0" w:space="0" w:color="auto"/>
            <w:bottom w:val="none" w:sz="0" w:space="0" w:color="auto"/>
            <w:right w:val="none" w:sz="0" w:space="0" w:color="auto"/>
          </w:divBdr>
        </w:div>
        <w:div w:id="1674333041">
          <w:marLeft w:val="640"/>
          <w:marRight w:val="0"/>
          <w:marTop w:val="0"/>
          <w:marBottom w:val="0"/>
          <w:divBdr>
            <w:top w:val="none" w:sz="0" w:space="0" w:color="auto"/>
            <w:left w:val="none" w:sz="0" w:space="0" w:color="auto"/>
            <w:bottom w:val="none" w:sz="0" w:space="0" w:color="auto"/>
            <w:right w:val="none" w:sz="0" w:space="0" w:color="auto"/>
          </w:divBdr>
        </w:div>
        <w:div w:id="1282103070">
          <w:marLeft w:val="640"/>
          <w:marRight w:val="0"/>
          <w:marTop w:val="0"/>
          <w:marBottom w:val="0"/>
          <w:divBdr>
            <w:top w:val="none" w:sz="0" w:space="0" w:color="auto"/>
            <w:left w:val="none" w:sz="0" w:space="0" w:color="auto"/>
            <w:bottom w:val="none" w:sz="0" w:space="0" w:color="auto"/>
            <w:right w:val="none" w:sz="0" w:space="0" w:color="auto"/>
          </w:divBdr>
        </w:div>
        <w:div w:id="1257863698">
          <w:marLeft w:val="640"/>
          <w:marRight w:val="0"/>
          <w:marTop w:val="0"/>
          <w:marBottom w:val="0"/>
          <w:divBdr>
            <w:top w:val="none" w:sz="0" w:space="0" w:color="auto"/>
            <w:left w:val="none" w:sz="0" w:space="0" w:color="auto"/>
            <w:bottom w:val="none" w:sz="0" w:space="0" w:color="auto"/>
            <w:right w:val="none" w:sz="0" w:space="0" w:color="auto"/>
          </w:divBdr>
        </w:div>
        <w:div w:id="897666207">
          <w:marLeft w:val="640"/>
          <w:marRight w:val="0"/>
          <w:marTop w:val="0"/>
          <w:marBottom w:val="0"/>
          <w:divBdr>
            <w:top w:val="none" w:sz="0" w:space="0" w:color="auto"/>
            <w:left w:val="none" w:sz="0" w:space="0" w:color="auto"/>
            <w:bottom w:val="none" w:sz="0" w:space="0" w:color="auto"/>
            <w:right w:val="none" w:sz="0" w:space="0" w:color="auto"/>
          </w:divBdr>
        </w:div>
        <w:div w:id="443691714">
          <w:marLeft w:val="640"/>
          <w:marRight w:val="0"/>
          <w:marTop w:val="0"/>
          <w:marBottom w:val="0"/>
          <w:divBdr>
            <w:top w:val="none" w:sz="0" w:space="0" w:color="auto"/>
            <w:left w:val="none" w:sz="0" w:space="0" w:color="auto"/>
            <w:bottom w:val="none" w:sz="0" w:space="0" w:color="auto"/>
            <w:right w:val="none" w:sz="0" w:space="0" w:color="auto"/>
          </w:divBdr>
        </w:div>
        <w:div w:id="1514491599">
          <w:marLeft w:val="640"/>
          <w:marRight w:val="0"/>
          <w:marTop w:val="0"/>
          <w:marBottom w:val="0"/>
          <w:divBdr>
            <w:top w:val="none" w:sz="0" w:space="0" w:color="auto"/>
            <w:left w:val="none" w:sz="0" w:space="0" w:color="auto"/>
            <w:bottom w:val="none" w:sz="0" w:space="0" w:color="auto"/>
            <w:right w:val="none" w:sz="0" w:space="0" w:color="auto"/>
          </w:divBdr>
        </w:div>
        <w:div w:id="105665167">
          <w:marLeft w:val="640"/>
          <w:marRight w:val="0"/>
          <w:marTop w:val="0"/>
          <w:marBottom w:val="0"/>
          <w:divBdr>
            <w:top w:val="none" w:sz="0" w:space="0" w:color="auto"/>
            <w:left w:val="none" w:sz="0" w:space="0" w:color="auto"/>
            <w:bottom w:val="none" w:sz="0" w:space="0" w:color="auto"/>
            <w:right w:val="none" w:sz="0" w:space="0" w:color="auto"/>
          </w:divBdr>
        </w:div>
        <w:div w:id="1806924032">
          <w:marLeft w:val="640"/>
          <w:marRight w:val="0"/>
          <w:marTop w:val="0"/>
          <w:marBottom w:val="0"/>
          <w:divBdr>
            <w:top w:val="none" w:sz="0" w:space="0" w:color="auto"/>
            <w:left w:val="none" w:sz="0" w:space="0" w:color="auto"/>
            <w:bottom w:val="none" w:sz="0" w:space="0" w:color="auto"/>
            <w:right w:val="none" w:sz="0" w:space="0" w:color="auto"/>
          </w:divBdr>
        </w:div>
        <w:div w:id="297223597">
          <w:marLeft w:val="640"/>
          <w:marRight w:val="0"/>
          <w:marTop w:val="0"/>
          <w:marBottom w:val="0"/>
          <w:divBdr>
            <w:top w:val="none" w:sz="0" w:space="0" w:color="auto"/>
            <w:left w:val="none" w:sz="0" w:space="0" w:color="auto"/>
            <w:bottom w:val="none" w:sz="0" w:space="0" w:color="auto"/>
            <w:right w:val="none" w:sz="0" w:space="0" w:color="auto"/>
          </w:divBdr>
        </w:div>
        <w:div w:id="461315195">
          <w:marLeft w:val="640"/>
          <w:marRight w:val="0"/>
          <w:marTop w:val="0"/>
          <w:marBottom w:val="0"/>
          <w:divBdr>
            <w:top w:val="none" w:sz="0" w:space="0" w:color="auto"/>
            <w:left w:val="none" w:sz="0" w:space="0" w:color="auto"/>
            <w:bottom w:val="none" w:sz="0" w:space="0" w:color="auto"/>
            <w:right w:val="none" w:sz="0" w:space="0" w:color="auto"/>
          </w:divBdr>
        </w:div>
        <w:div w:id="610745555">
          <w:marLeft w:val="640"/>
          <w:marRight w:val="0"/>
          <w:marTop w:val="0"/>
          <w:marBottom w:val="0"/>
          <w:divBdr>
            <w:top w:val="none" w:sz="0" w:space="0" w:color="auto"/>
            <w:left w:val="none" w:sz="0" w:space="0" w:color="auto"/>
            <w:bottom w:val="none" w:sz="0" w:space="0" w:color="auto"/>
            <w:right w:val="none" w:sz="0" w:space="0" w:color="auto"/>
          </w:divBdr>
        </w:div>
        <w:div w:id="7758447">
          <w:marLeft w:val="640"/>
          <w:marRight w:val="0"/>
          <w:marTop w:val="0"/>
          <w:marBottom w:val="0"/>
          <w:divBdr>
            <w:top w:val="none" w:sz="0" w:space="0" w:color="auto"/>
            <w:left w:val="none" w:sz="0" w:space="0" w:color="auto"/>
            <w:bottom w:val="none" w:sz="0" w:space="0" w:color="auto"/>
            <w:right w:val="none" w:sz="0" w:space="0" w:color="auto"/>
          </w:divBdr>
        </w:div>
        <w:div w:id="1414745761">
          <w:marLeft w:val="640"/>
          <w:marRight w:val="0"/>
          <w:marTop w:val="0"/>
          <w:marBottom w:val="0"/>
          <w:divBdr>
            <w:top w:val="none" w:sz="0" w:space="0" w:color="auto"/>
            <w:left w:val="none" w:sz="0" w:space="0" w:color="auto"/>
            <w:bottom w:val="none" w:sz="0" w:space="0" w:color="auto"/>
            <w:right w:val="none" w:sz="0" w:space="0" w:color="auto"/>
          </w:divBdr>
        </w:div>
        <w:div w:id="89274323">
          <w:marLeft w:val="640"/>
          <w:marRight w:val="0"/>
          <w:marTop w:val="0"/>
          <w:marBottom w:val="0"/>
          <w:divBdr>
            <w:top w:val="none" w:sz="0" w:space="0" w:color="auto"/>
            <w:left w:val="none" w:sz="0" w:space="0" w:color="auto"/>
            <w:bottom w:val="none" w:sz="0" w:space="0" w:color="auto"/>
            <w:right w:val="none" w:sz="0" w:space="0" w:color="auto"/>
          </w:divBdr>
        </w:div>
        <w:div w:id="521894234">
          <w:marLeft w:val="640"/>
          <w:marRight w:val="0"/>
          <w:marTop w:val="0"/>
          <w:marBottom w:val="0"/>
          <w:divBdr>
            <w:top w:val="none" w:sz="0" w:space="0" w:color="auto"/>
            <w:left w:val="none" w:sz="0" w:space="0" w:color="auto"/>
            <w:bottom w:val="none" w:sz="0" w:space="0" w:color="auto"/>
            <w:right w:val="none" w:sz="0" w:space="0" w:color="auto"/>
          </w:divBdr>
        </w:div>
        <w:div w:id="660424894">
          <w:marLeft w:val="640"/>
          <w:marRight w:val="0"/>
          <w:marTop w:val="0"/>
          <w:marBottom w:val="0"/>
          <w:divBdr>
            <w:top w:val="none" w:sz="0" w:space="0" w:color="auto"/>
            <w:left w:val="none" w:sz="0" w:space="0" w:color="auto"/>
            <w:bottom w:val="none" w:sz="0" w:space="0" w:color="auto"/>
            <w:right w:val="none" w:sz="0" w:space="0" w:color="auto"/>
          </w:divBdr>
        </w:div>
        <w:div w:id="1220481393">
          <w:marLeft w:val="640"/>
          <w:marRight w:val="0"/>
          <w:marTop w:val="0"/>
          <w:marBottom w:val="0"/>
          <w:divBdr>
            <w:top w:val="none" w:sz="0" w:space="0" w:color="auto"/>
            <w:left w:val="none" w:sz="0" w:space="0" w:color="auto"/>
            <w:bottom w:val="none" w:sz="0" w:space="0" w:color="auto"/>
            <w:right w:val="none" w:sz="0" w:space="0" w:color="auto"/>
          </w:divBdr>
        </w:div>
        <w:div w:id="920791353">
          <w:marLeft w:val="640"/>
          <w:marRight w:val="0"/>
          <w:marTop w:val="0"/>
          <w:marBottom w:val="0"/>
          <w:divBdr>
            <w:top w:val="none" w:sz="0" w:space="0" w:color="auto"/>
            <w:left w:val="none" w:sz="0" w:space="0" w:color="auto"/>
            <w:bottom w:val="none" w:sz="0" w:space="0" w:color="auto"/>
            <w:right w:val="none" w:sz="0" w:space="0" w:color="auto"/>
          </w:divBdr>
        </w:div>
        <w:div w:id="71440257">
          <w:marLeft w:val="640"/>
          <w:marRight w:val="0"/>
          <w:marTop w:val="0"/>
          <w:marBottom w:val="0"/>
          <w:divBdr>
            <w:top w:val="none" w:sz="0" w:space="0" w:color="auto"/>
            <w:left w:val="none" w:sz="0" w:space="0" w:color="auto"/>
            <w:bottom w:val="none" w:sz="0" w:space="0" w:color="auto"/>
            <w:right w:val="none" w:sz="0" w:space="0" w:color="auto"/>
          </w:divBdr>
        </w:div>
        <w:div w:id="1355230586">
          <w:marLeft w:val="640"/>
          <w:marRight w:val="0"/>
          <w:marTop w:val="0"/>
          <w:marBottom w:val="0"/>
          <w:divBdr>
            <w:top w:val="none" w:sz="0" w:space="0" w:color="auto"/>
            <w:left w:val="none" w:sz="0" w:space="0" w:color="auto"/>
            <w:bottom w:val="none" w:sz="0" w:space="0" w:color="auto"/>
            <w:right w:val="none" w:sz="0" w:space="0" w:color="auto"/>
          </w:divBdr>
        </w:div>
        <w:div w:id="757598451">
          <w:marLeft w:val="640"/>
          <w:marRight w:val="0"/>
          <w:marTop w:val="0"/>
          <w:marBottom w:val="0"/>
          <w:divBdr>
            <w:top w:val="none" w:sz="0" w:space="0" w:color="auto"/>
            <w:left w:val="none" w:sz="0" w:space="0" w:color="auto"/>
            <w:bottom w:val="none" w:sz="0" w:space="0" w:color="auto"/>
            <w:right w:val="none" w:sz="0" w:space="0" w:color="auto"/>
          </w:divBdr>
        </w:div>
        <w:div w:id="1823425568">
          <w:marLeft w:val="640"/>
          <w:marRight w:val="0"/>
          <w:marTop w:val="0"/>
          <w:marBottom w:val="0"/>
          <w:divBdr>
            <w:top w:val="none" w:sz="0" w:space="0" w:color="auto"/>
            <w:left w:val="none" w:sz="0" w:space="0" w:color="auto"/>
            <w:bottom w:val="none" w:sz="0" w:space="0" w:color="auto"/>
            <w:right w:val="none" w:sz="0" w:space="0" w:color="auto"/>
          </w:divBdr>
        </w:div>
        <w:div w:id="743604073">
          <w:marLeft w:val="640"/>
          <w:marRight w:val="0"/>
          <w:marTop w:val="0"/>
          <w:marBottom w:val="0"/>
          <w:divBdr>
            <w:top w:val="none" w:sz="0" w:space="0" w:color="auto"/>
            <w:left w:val="none" w:sz="0" w:space="0" w:color="auto"/>
            <w:bottom w:val="none" w:sz="0" w:space="0" w:color="auto"/>
            <w:right w:val="none" w:sz="0" w:space="0" w:color="auto"/>
          </w:divBdr>
        </w:div>
        <w:div w:id="492455872">
          <w:marLeft w:val="640"/>
          <w:marRight w:val="0"/>
          <w:marTop w:val="0"/>
          <w:marBottom w:val="0"/>
          <w:divBdr>
            <w:top w:val="none" w:sz="0" w:space="0" w:color="auto"/>
            <w:left w:val="none" w:sz="0" w:space="0" w:color="auto"/>
            <w:bottom w:val="none" w:sz="0" w:space="0" w:color="auto"/>
            <w:right w:val="none" w:sz="0" w:space="0" w:color="auto"/>
          </w:divBdr>
        </w:div>
        <w:div w:id="509948722">
          <w:marLeft w:val="640"/>
          <w:marRight w:val="0"/>
          <w:marTop w:val="0"/>
          <w:marBottom w:val="0"/>
          <w:divBdr>
            <w:top w:val="none" w:sz="0" w:space="0" w:color="auto"/>
            <w:left w:val="none" w:sz="0" w:space="0" w:color="auto"/>
            <w:bottom w:val="none" w:sz="0" w:space="0" w:color="auto"/>
            <w:right w:val="none" w:sz="0" w:space="0" w:color="auto"/>
          </w:divBdr>
        </w:div>
        <w:div w:id="159855094">
          <w:marLeft w:val="640"/>
          <w:marRight w:val="0"/>
          <w:marTop w:val="0"/>
          <w:marBottom w:val="0"/>
          <w:divBdr>
            <w:top w:val="none" w:sz="0" w:space="0" w:color="auto"/>
            <w:left w:val="none" w:sz="0" w:space="0" w:color="auto"/>
            <w:bottom w:val="none" w:sz="0" w:space="0" w:color="auto"/>
            <w:right w:val="none" w:sz="0" w:space="0" w:color="auto"/>
          </w:divBdr>
        </w:div>
        <w:div w:id="1029374936">
          <w:marLeft w:val="640"/>
          <w:marRight w:val="0"/>
          <w:marTop w:val="0"/>
          <w:marBottom w:val="0"/>
          <w:divBdr>
            <w:top w:val="none" w:sz="0" w:space="0" w:color="auto"/>
            <w:left w:val="none" w:sz="0" w:space="0" w:color="auto"/>
            <w:bottom w:val="none" w:sz="0" w:space="0" w:color="auto"/>
            <w:right w:val="none" w:sz="0" w:space="0" w:color="auto"/>
          </w:divBdr>
        </w:div>
        <w:div w:id="1877230937">
          <w:marLeft w:val="640"/>
          <w:marRight w:val="0"/>
          <w:marTop w:val="0"/>
          <w:marBottom w:val="0"/>
          <w:divBdr>
            <w:top w:val="none" w:sz="0" w:space="0" w:color="auto"/>
            <w:left w:val="none" w:sz="0" w:space="0" w:color="auto"/>
            <w:bottom w:val="none" w:sz="0" w:space="0" w:color="auto"/>
            <w:right w:val="none" w:sz="0" w:space="0" w:color="auto"/>
          </w:divBdr>
        </w:div>
        <w:div w:id="24597491">
          <w:marLeft w:val="640"/>
          <w:marRight w:val="0"/>
          <w:marTop w:val="0"/>
          <w:marBottom w:val="0"/>
          <w:divBdr>
            <w:top w:val="none" w:sz="0" w:space="0" w:color="auto"/>
            <w:left w:val="none" w:sz="0" w:space="0" w:color="auto"/>
            <w:bottom w:val="none" w:sz="0" w:space="0" w:color="auto"/>
            <w:right w:val="none" w:sz="0" w:space="0" w:color="auto"/>
          </w:divBdr>
        </w:div>
        <w:div w:id="532495223">
          <w:marLeft w:val="640"/>
          <w:marRight w:val="0"/>
          <w:marTop w:val="0"/>
          <w:marBottom w:val="0"/>
          <w:divBdr>
            <w:top w:val="none" w:sz="0" w:space="0" w:color="auto"/>
            <w:left w:val="none" w:sz="0" w:space="0" w:color="auto"/>
            <w:bottom w:val="none" w:sz="0" w:space="0" w:color="auto"/>
            <w:right w:val="none" w:sz="0" w:space="0" w:color="auto"/>
          </w:divBdr>
        </w:div>
        <w:div w:id="1313288239">
          <w:marLeft w:val="640"/>
          <w:marRight w:val="0"/>
          <w:marTop w:val="0"/>
          <w:marBottom w:val="0"/>
          <w:divBdr>
            <w:top w:val="none" w:sz="0" w:space="0" w:color="auto"/>
            <w:left w:val="none" w:sz="0" w:space="0" w:color="auto"/>
            <w:bottom w:val="none" w:sz="0" w:space="0" w:color="auto"/>
            <w:right w:val="none" w:sz="0" w:space="0" w:color="auto"/>
          </w:divBdr>
        </w:div>
        <w:div w:id="541983960">
          <w:marLeft w:val="640"/>
          <w:marRight w:val="0"/>
          <w:marTop w:val="0"/>
          <w:marBottom w:val="0"/>
          <w:divBdr>
            <w:top w:val="none" w:sz="0" w:space="0" w:color="auto"/>
            <w:left w:val="none" w:sz="0" w:space="0" w:color="auto"/>
            <w:bottom w:val="none" w:sz="0" w:space="0" w:color="auto"/>
            <w:right w:val="none" w:sz="0" w:space="0" w:color="auto"/>
          </w:divBdr>
        </w:div>
        <w:div w:id="1772235866">
          <w:marLeft w:val="640"/>
          <w:marRight w:val="0"/>
          <w:marTop w:val="0"/>
          <w:marBottom w:val="0"/>
          <w:divBdr>
            <w:top w:val="none" w:sz="0" w:space="0" w:color="auto"/>
            <w:left w:val="none" w:sz="0" w:space="0" w:color="auto"/>
            <w:bottom w:val="none" w:sz="0" w:space="0" w:color="auto"/>
            <w:right w:val="none" w:sz="0" w:space="0" w:color="auto"/>
          </w:divBdr>
        </w:div>
        <w:div w:id="2104378145">
          <w:marLeft w:val="640"/>
          <w:marRight w:val="0"/>
          <w:marTop w:val="0"/>
          <w:marBottom w:val="0"/>
          <w:divBdr>
            <w:top w:val="none" w:sz="0" w:space="0" w:color="auto"/>
            <w:left w:val="none" w:sz="0" w:space="0" w:color="auto"/>
            <w:bottom w:val="none" w:sz="0" w:space="0" w:color="auto"/>
            <w:right w:val="none" w:sz="0" w:space="0" w:color="auto"/>
          </w:divBdr>
        </w:div>
        <w:div w:id="1729454676">
          <w:marLeft w:val="640"/>
          <w:marRight w:val="0"/>
          <w:marTop w:val="0"/>
          <w:marBottom w:val="0"/>
          <w:divBdr>
            <w:top w:val="none" w:sz="0" w:space="0" w:color="auto"/>
            <w:left w:val="none" w:sz="0" w:space="0" w:color="auto"/>
            <w:bottom w:val="none" w:sz="0" w:space="0" w:color="auto"/>
            <w:right w:val="none" w:sz="0" w:space="0" w:color="auto"/>
          </w:divBdr>
        </w:div>
        <w:div w:id="1334602452">
          <w:marLeft w:val="640"/>
          <w:marRight w:val="0"/>
          <w:marTop w:val="0"/>
          <w:marBottom w:val="0"/>
          <w:divBdr>
            <w:top w:val="none" w:sz="0" w:space="0" w:color="auto"/>
            <w:left w:val="none" w:sz="0" w:space="0" w:color="auto"/>
            <w:bottom w:val="none" w:sz="0" w:space="0" w:color="auto"/>
            <w:right w:val="none" w:sz="0" w:space="0" w:color="auto"/>
          </w:divBdr>
        </w:div>
        <w:div w:id="1997612140">
          <w:marLeft w:val="640"/>
          <w:marRight w:val="0"/>
          <w:marTop w:val="0"/>
          <w:marBottom w:val="0"/>
          <w:divBdr>
            <w:top w:val="none" w:sz="0" w:space="0" w:color="auto"/>
            <w:left w:val="none" w:sz="0" w:space="0" w:color="auto"/>
            <w:bottom w:val="none" w:sz="0" w:space="0" w:color="auto"/>
            <w:right w:val="none" w:sz="0" w:space="0" w:color="auto"/>
          </w:divBdr>
        </w:div>
        <w:div w:id="1378581195">
          <w:marLeft w:val="640"/>
          <w:marRight w:val="0"/>
          <w:marTop w:val="0"/>
          <w:marBottom w:val="0"/>
          <w:divBdr>
            <w:top w:val="none" w:sz="0" w:space="0" w:color="auto"/>
            <w:left w:val="none" w:sz="0" w:space="0" w:color="auto"/>
            <w:bottom w:val="none" w:sz="0" w:space="0" w:color="auto"/>
            <w:right w:val="none" w:sz="0" w:space="0" w:color="auto"/>
          </w:divBdr>
        </w:div>
        <w:div w:id="1505971204">
          <w:marLeft w:val="640"/>
          <w:marRight w:val="0"/>
          <w:marTop w:val="0"/>
          <w:marBottom w:val="0"/>
          <w:divBdr>
            <w:top w:val="none" w:sz="0" w:space="0" w:color="auto"/>
            <w:left w:val="none" w:sz="0" w:space="0" w:color="auto"/>
            <w:bottom w:val="none" w:sz="0" w:space="0" w:color="auto"/>
            <w:right w:val="none" w:sz="0" w:space="0" w:color="auto"/>
          </w:divBdr>
        </w:div>
        <w:div w:id="1647928035">
          <w:marLeft w:val="640"/>
          <w:marRight w:val="0"/>
          <w:marTop w:val="0"/>
          <w:marBottom w:val="0"/>
          <w:divBdr>
            <w:top w:val="none" w:sz="0" w:space="0" w:color="auto"/>
            <w:left w:val="none" w:sz="0" w:space="0" w:color="auto"/>
            <w:bottom w:val="none" w:sz="0" w:space="0" w:color="auto"/>
            <w:right w:val="none" w:sz="0" w:space="0" w:color="auto"/>
          </w:divBdr>
        </w:div>
        <w:div w:id="831455233">
          <w:marLeft w:val="640"/>
          <w:marRight w:val="0"/>
          <w:marTop w:val="0"/>
          <w:marBottom w:val="0"/>
          <w:divBdr>
            <w:top w:val="none" w:sz="0" w:space="0" w:color="auto"/>
            <w:left w:val="none" w:sz="0" w:space="0" w:color="auto"/>
            <w:bottom w:val="none" w:sz="0" w:space="0" w:color="auto"/>
            <w:right w:val="none" w:sz="0" w:space="0" w:color="auto"/>
          </w:divBdr>
        </w:div>
        <w:div w:id="582958901">
          <w:marLeft w:val="640"/>
          <w:marRight w:val="0"/>
          <w:marTop w:val="0"/>
          <w:marBottom w:val="0"/>
          <w:divBdr>
            <w:top w:val="none" w:sz="0" w:space="0" w:color="auto"/>
            <w:left w:val="none" w:sz="0" w:space="0" w:color="auto"/>
            <w:bottom w:val="none" w:sz="0" w:space="0" w:color="auto"/>
            <w:right w:val="none" w:sz="0" w:space="0" w:color="auto"/>
          </w:divBdr>
        </w:div>
        <w:div w:id="1772627596">
          <w:marLeft w:val="640"/>
          <w:marRight w:val="0"/>
          <w:marTop w:val="0"/>
          <w:marBottom w:val="0"/>
          <w:divBdr>
            <w:top w:val="none" w:sz="0" w:space="0" w:color="auto"/>
            <w:left w:val="none" w:sz="0" w:space="0" w:color="auto"/>
            <w:bottom w:val="none" w:sz="0" w:space="0" w:color="auto"/>
            <w:right w:val="none" w:sz="0" w:space="0" w:color="auto"/>
          </w:divBdr>
        </w:div>
        <w:div w:id="1638678273">
          <w:marLeft w:val="640"/>
          <w:marRight w:val="0"/>
          <w:marTop w:val="0"/>
          <w:marBottom w:val="0"/>
          <w:divBdr>
            <w:top w:val="none" w:sz="0" w:space="0" w:color="auto"/>
            <w:left w:val="none" w:sz="0" w:space="0" w:color="auto"/>
            <w:bottom w:val="none" w:sz="0" w:space="0" w:color="auto"/>
            <w:right w:val="none" w:sz="0" w:space="0" w:color="auto"/>
          </w:divBdr>
        </w:div>
        <w:div w:id="625282397">
          <w:marLeft w:val="640"/>
          <w:marRight w:val="0"/>
          <w:marTop w:val="0"/>
          <w:marBottom w:val="0"/>
          <w:divBdr>
            <w:top w:val="none" w:sz="0" w:space="0" w:color="auto"/>
            <w:left w:val="none" w:sz="0" w:space="0" w:color="auto"/>
            <w:bottom w:val="none" w:sz="0" w:space="0" w:color="auto"/>
            <w:right w:val="none" w:sz="0" w:space="0" w:color="auto"/>
          </w:divBdr>
        </w:div>
        <w:div w:id="716050706">
          <w:marLeft w:val="640"/>
          <w:marRight w:val="0"/>
          <w:marTop w:val="0"/>
          <w:marBottom w:val="0"/>
          <w:divBdr>
            <w:top w:val="none" w:sz="0" w:space="0" w:color="auto"/>
            <w:left w:val="none" w:sz="0" w:space="0" w:color="auto"/>
            <w:bottom w:val="none" w:sz="0" w:space="0" w:color="auto"/>
            <w:right w:val="none" w:sz="0" w:space="0" w:color="auto"/>
          </w:divBdr>
        </w:div>
      </w:divsChild>
    </w:div>
    <w:div w:id="2006397281">
      <w:bodyDiv w:val="1"/>
      <w:marLeft w:val="0"/>
      <w:marRight w:val="0"/>
      <w:marTop w:val="0"/>
      <w:marBottom w:val="0"/>
      <w:divBdr>
        <w:top w:val="none" w:sz="0" w:space="0" w:color="auto"/>
        <w:left w:val="none" w:sz="0" w:space="0" w:color="auto"/>
        <w:bottom w:val="none" w:sz="0" w:space="0" w:color="auto"/>
        <w:right w:val="none" w:sz="0" w:space="0" w:color="auto"/>
      </w:divBdr>
      <w:divsChild>
        <w:div w:id="911158425">
          <w:marLeft w:val="640"/>
          <w:marRight w:val="0"/>
          <w:marTop w:val="0"/>
          <w:marBottom w:val="0"/>
          <w:divBdr>
            <w:top w:val="none" w:sz="0" w:space="0" w:color="auto"/>
            <w:left w:val="none" w:sz="0" w:space="0" w:color="auto"/>
            <w:bottom w:val="none" w:sz="0" w:space="0" w:color="auto"/>
            <w:right w:val="none" w:sz="0" w:space="0" w:color="auto"/>
          </w:divBdr>
        </w:div>
        <w:div w:id="1990403393">
          <w:marLeft w:val="640"/>
          <w:marRight w:val="0"/>
          <w:marTop w:val="0"/>
          <w:marBottom w:val="0"/>
          <w:divBdr>
            <w:top w:val="none" w:sz="0" w:space="0" w:color="auto"/>
            <w:left w:val="none" w:sz="0" w:space="0" w:color="auto"/>
            <w:bottom w:val="none" w:sz="0" w:space="0" w:color="auto"/>
            <w:right w:val="none" w:sz="0" w:space="0" w:color="auto"/>
          </w:divBdr>
        </w:div>
        <w:div w:id="1248811529">
          <w:marLeft w:val="640"/>
          <w:marRight w:val="0"/>
          <w:marTop w:val="0"/>
          <w:marBottom w:val="0"/>
          <w:divBdr>
            <w:top w:val="none" w:sz="0" w:space="0" w:color="auto"/>
            <w:left w:val="none" w:sz="0" w:space="0" w:color="auto"/>
            <w:bottom w:val="none" w:sz="0" w:space="0" w:color="auto"/>
            <w:right w:val="none" w:sz="0" w:space="0" w:color="auto"/>
          </w:divBdr>
        </w:div>
        <w:div w:id="934167435">
          <w:marLeft w:val="640"/>
          <w:marRight w:val="0"/>
          <w:marTop w:val="0"/>
          <w:marBottom w:val="0"/>
          <w:divBdr>
            <w:top w:val="none" w:sz="0" w:space="0" w:color="auto"/>
            <w:left w:val="none" w:sz="0" w:space="0" w:color="auto"/>
            <w:bottom w:val="none" w:sz="0" w:space="0" w:color="auto"/>
            <w:right w:val="none" w:sz="0" w:space="0" w:color="auto"/>
          </w:divBdr>
        </w:div>
        <w:div w:id="1413432494">
          <w:marLeft w:val="640"/>
          <w:marRight w:val="0"/>
          <w:marTop w:val="0"/>
          <w:marBottom w:val="0"/>
          <w:divBdr>
            <w:top w:val="none" w:sz="0" w:space="0" w:color="auto"/>
            <w:left w:val="none" w:sz="0" w:space="0" w:color="auto"/>
            <w:bottom w:val="none" w:sz="0" w:space="0" w:color="auto"/>
            <w:right w:val="none" w:sz="0" w:space="0" w:color="auto"/>
          </w:divBdr>
        </w:div>
        <w:div w:id="1760715355">
          <w:marLeft w:val="640"/>
          <w:marRight w:val="0"/>
          <w:marTop w:val="0"/>
          <w:marBottom w:val="0"/>
          <w:divBdr>
            <w:top w:val="none" w:sz="0" w:space="0" w:color="auto"/>
            <w:left w:val="none" w:sz="0" w:space="0" w:color="auto"/>
            <w:bottom w:val="none" w:sz="0" w:space="0" w:color="auto"/>
            <w:right w:val="none" w:sz="0" w:space="0" w:color="auto"/>
          </w:divBdr>
        </w:div>
        <w:div w:id="1808233828">
          <w:marLeft w:val="640"/>
          <w:marRight w:val="0"/>
          <w:marTop w:val="0"/>
          <w:marBottom w:val="0"/>
          <w:divBdr>
            <w:top w:val="none" w:sz="0" w:space="0" w:color="auto"/>
            <w:left w:val="none" w:sz="0" w:space="0" w:color="auto"/>
            <w:bottom w:val="none" w:sz="0" w:space="0" w:color="auto"/>
            <w:right w:val="none" w:sz="0" w:space="0" w:color="auto"/>
          </w:divBdr>
        </w:div>
        <w:div w:id="975135748">
          <w:marLeft w:val="640"/>
          <w:marRight w:val="0"/>
          <w:marTop w:val="0"/>
          <w:marBottom w:val="0"/>
          <w:divBdr>
            <w:top w:val="none" w:sz="0" w:space="0" w:color="auto"/>
            <w:left w:val="none" w:sz="0" w:space="0" w:color="auto"/>
            <w:bottom w:val="none" w:sz="0" w:space="0" w:color="auto"/>
            <w:right w:val="none" w:sz="0" w:space="0" w:color="auto"/>
          </w:divBdr>
        </w:div>
        <w:div w:id="573244248">
          <w:marLeft w:val="640"/>
          <w:marRight w:val="0"/>
          <w:marTop w:val="0"/>
          <w:marBottom w:val="0"/>
          <w:divBdr>
            <w:top w:val="none" w:sz="0" w:space="0" w:color="auto"/>
            <w:left w:val="none" w:sz="0" w:space="0" w:color="auto"/>
            <w:bottom w:val="none" w:sz="0" w:space="0" w:color="auto"/>
            <w:right w:val="none" w:sz="0" w:space="0" w:color="auto"/>
          </w:divBdr>
        </w:div>
        <w:div w:id="1424767985">
          <w:marLeft w:val="640"/>
          <w:marRight w:val="0"/>
          <w:marTop w:val="0"/>
          <w:marBottom w:val="0"/>
          <w:divBdr>
            <w:top w:val="none" w:sz="0" w:space="0" w:color="auto"/>
            <w:left w:val="none" w:sz="0" w:space="0" w:color="auto"/>
            <w:bottom w:val="none" w:sz="0" w:space="0" w:color="auto"/>
            <w:right w:val="none" w:sz="0" w:space="0" w:color="auto"/>
          </w:divBdr>
        </w:div>
        <w:div w:id="605622226">
          <w:marLeft w:val="640"/>
          <w:marRight w:val="0"/>
          <w:marTop w:val="0"/>
          <w:marBottom w:val="0"/>
          <w:divBdr>
            <w:top w:val="none" w:sz="0" w:space="0" w:color="auto"/>
            <w:left w:val="none" w:sz="0" w:space="0" w:color="auto"/>
            <w:bottom w:val="none" w:sz="0" w:space="0" w:color="auto"/>
            <w:right w:val="none" w:sz="0" w:space="0" w:color="auto"/>
          </w:divBdr>
        </w:div>
        <w:div w:id="67772724">
          <w:marLeft w:val="640"/>
          <w:marRight w:val="0"/>
          <w:marTop w:val="0"/>
          <w:marBottom w:val="0"/>
          <w:divBdr>
            <w:top w:val="none" w:sz="0" w:space="0" w:color="auto"/>
            <w:left w:val="none" w:sz="0" w:space="0" w:color="auto"/>
            <w:bottom w:val="none" w:sz="0" w:space="0" w:color="auto"/>
            <w:right w:val="none" w:sz="0" w:space="0" w:color="auto"/>
          </w:divBdr>
        </w:div>
        <w:div w:id="1509253991">
          <w:marLeft w:val="640"/>
          <w:marRight w:val="0"/>
          <w:marTop w:val="0"/>
          <w:marBottom w:val="0"/>
          <w:divBdr>
            <w:top w:val="none" w:sz="0" w:space="0" w:color="auto"/>
            <w:left w:val="none" w:sz="0" w:space="0" w:color="auto"/>
            <w:bottom w:val="none" w:sz="0" w:space="0" w:color="auto"/>
            <w:right w:val="none" w:sz="0" w:space="0" w:color="auto"/>
          </w:divBdr>
        </w:div>
        <w:div w:id="2051103740">
          <w:marLeft w:val="640"/>
          <w:marRight w:val="0"/>
          <w:marTop w:val="0"/>
          <w:marBottom w:val="0"/>
          <w:divBdr>
            <w:top w:val="none" w:sz="0" w:space="0" w:color="auto"/>
            <w:left w:val="none" w:sz="0" w:space="0" w:color="auto"/>
            <w:bottom w:val="none" w:sz="0" w:space="0" w:color="auto"/>
            <w:right w:val="none" w:sz="0" w:space="0" w:color="auto"/>
          </w:divBdr>
        </w:div>
        <w:div w:id="1955945311">
          <w:marLeft w:val="640"/>
          <w:marRight w:val="0"/>
          <w:marTop w:val="0"/>
          <w:marBottom w:val="0"/>
          <w:divBdr>
            <w:top w:val="none" w:sz="0" w:space="0" w:color="auto"/>
            <w:left w:val="none" w:sz="0" w:space="0" w:color="auto"/>
            <w:bottom w:val="none" w:sz="0" w:space="0" w:color="auto"/>
            <w:right w:val="none" w:sz="0" w:space="0" w:color="auto"/>
          </w:divBdr>
        </w:div>
        <w:div w:id="1582520106">
          <w:marLeft w:val="640"/>
          <w:marRight w:val="0"/>
          <w:marTop w:val="0"/>
          <w:marBottom w:val="0"/>
          <w:divBdr>
            <w:top w:val="none" w:sz="0" w:space="0" w:color="auto"/>
            <w:left w:val="none" w:sz="0" w:space="0" w:color="auto"/>
            <w:bottom w:val="none" w:sz="0" w:space="0" w:color="auto"/>
            <w:right w:val="none" w:sz="0" w:space="0" w:color="auto"/>
          </w:divBdr>
        </w:div>
        <w:div w:id="40642896">
          <w:marLeft w:val="640"/>
          <w:marRight w:val="0"/>
          <w:marTop w:val="0"/>
          <w:marBottom w:val="0"/>
          <w:divBdr>
            <w:top w:val="none" w:sz="0" w:space="0" w:color="auto"/>
            <w:left w:val="none" w:sz="0" w:space="0" w:color="auto"/>
            <w:bottom w:val="none" w:sz="0" w:space="0" w:color="auto"/>
            <w:right w:val="none" w:sz="0" w:space="0" w:color="auto"/>
          </w:divBdr>
        </w:div>
        <w:div w:id="1962764291">
          <w:marLeft w:val="640"/>
          <w:marRight w:val="0"/>
          <w:marTop w:val="0"/>
          <w:marBottom w:val="0"/>
          <w:divBdr>
            <w:top w:val="none" w:sz="0" w:space="0" w:color="auto"/>
            <w:left w:val="none" w:sz="0" w:space="0" w:color="auto"/>
            <w:bottom w:val="none" w:sz="0" w:space="0" w:color="auto"/>
            <w:right w:val="none" w:sz="0" w:space="0" w:color="auto"/>
          </w:divBdr>
        </w:div>
        <w:div w:id="1725908658">
          <w:marLeft w:val="640"/>
          <w:marRight w:val="0"/>
          <w:marTop w:val="0"/>
          <w:marBottom w:val="0"/>
          <w:divBdr>
            <w:top w:val="none" w:sz="0" w:space="0" w:color="auto"/>
            <w:left w:val="none" w:sz="0" w:space="0" w:color="auto"/>
            <w:bottom w:val="none" w:sz="0" w:space="0" w:color="auto"/>
            <w:right w:val="none" w:sz="0" w:space="0" w:color="auto"/>
          </w:divBdr>
        </w:div>
        <w:div w:id="995689027">
          <w:marLeft w:val="640"/>
          <w:marRight w:val="0"/>
          <w:marTop w:val="0"/>
          <w:marBottom w:val="0"/>
          <w:divBdr>
            <w:top w:val="none" w:sz="0" w:space="0" w:color="auto"/>
            <w:left w:val="none" w:sz="0" w:space="0" w:color="auto"/>
            <w:bottom w:val="none" w:sz="0" w:space="0" w:color="auto"/>
            <w:right w:val="none" w:sz="0" w:space="0" w:color="auto"/>
          </w:divBdr>
        </w:div>
        <w:div w:id="1087729385">
          <w:marLeft w:val="640"/>
          <w:marRight w:val="0"/>
          <w:marTop w:val="0"/>
          <w:marBottom w:val="0"/>
          <w:divBdr>
            <w:top w:val="none" w:sz="0" w:space="0" w:color="auto"/>
            <w:left w:val="none" w:sz="0" w:space="0" w:color="auto"/>
            <w:bottom w:val="none" w:sz="0" w:space="0" w:color="auto"/>
            <w:right w:val="none" w:sz="0" w:space="0" w:color="auto"/>
          </w:divBdr>
        </w:div>
        <w:div w:id="2077123998">
          <w:marLeft w:val="640"/>
          <w:marRight w:val="0"/>
          <w:marTop w:val="0"/>
          <w:marBottom w:val="0"/>
          <w:divBdr>
            <w:top w:val="none" w:sz="0" w:space="0" w:color="auto"/>
            <w:left w:val="none" w:sz="0" w:space="0" w:color="auto"/>
            <w:bottom w:val="none" w:sz="0" w:space="0" w:color="auto"/>
            <w:right w:val="none" w:sz="0" w:space="0" w:color="auto"/>
          </w:divBdr>
        </w:div>
        <w:div w:id="326592096">
          <w:marLeft w:val="640"/>
          <w:marRight w:val="0"/>
          <w:marTop w:val="0"/>
          <w:marBottom w:val="0"/>
          <w:divBdr>
            <w:top w:val="none" w:sz="0" w:space="0" w:color="auto"/>
            <w:left w:val="none" w:sz="0" w:space="0" w:color="auto"/>
            <w:bottom w:val="none" w:sz="0" w:space="0" w:color="auto"/>
            <w:right w:val="none" w:sz="0" w:space="0" w:color="auto"/>
          </w:divBdr>
        </w:div>
        <w:div w:id="396324571">
          <w:marLeft w:val="640"/>
          <w:marRight w:val="0"/>
          <w:marTop w:val="0"/>
          <w:marBottom w:val="0"/>
          <w:divBdr>
            <w:top w:val="none" w:sz="0" w:space="0" w:color="auto"/>
            <w:left w:val="none" w:sz="0" w:space="0" w:color="auto"/>
            <w:bottom w:val="none" w:sz="0" w:space="0" w:color="auto"/>
            <w:right w:val="none" w:sz="0" w:space="0" w:color="auto"/>
          </w:divBdr>
        </w:div>
        <w:div w:id="2018733050">
          <w:marLeft w:val="640"/>
          <w:marRight w:val="0"/>
          <w:marTop w:val="0"/>
          <w:marBottom w:val="0"/>
          <w:divBdr>
            <w:top w:val="none" w:sz="0" w:space="0" w:color="auto"/>
            <w:left w:val="none" w:sz="0" w:space="0" w:color="auto"/>
            <w:bottom w:val="none" w:sz="0" w:space="0" w:color="auto"/>
            <w:right w:val="none" w:sz="0" w:space="0" w:color="auto"/>
          </w:divBdr>
        </w:div>
        <w:div w:id="87896804">
          <w:marLeft w:val="640"/>
          <w:marRight w:val="0"/>
          <w:marTop w:val="0"/>
          <w:marBottom w:val="0"/>
          <w:divBdr>
            <w:top w:val="none" w:sz="0" w:space="0" w:color="auto"/>
            <w:left w:val="none" w:sz="0" w:space="0" w:color="auto"/>
            <w:bottom w:val="none" w:sz="0" w:space="0" w:color="auto"/>
            <w:right w:val="none" w:sz="0" w:space="0" w:color="auto"/>
          </w:divBdr>
        </w:div>
        <w:div w:id="1692489123">
          <w:marLeft w:val="640"/>
          <w:marRight w:val="0"/>
          <w:marTop w:val="0"/>
          <w:marBottom w:val="0"/>
          <w:divBdr>
            <w:top w:val="none" w:sz="0" w:space="0" w:color="auto"/>
            <w:left w:val="none" w:sz="0" w:space="0" w:color="auto"/>
            <w:bottom w:val="none" w:sz="0" w:space="0" w:color="auto"/>
            <w:right w:val="none" w:sz="0" w:space="0" w:color="auto"/>
          </w:divBdr>
        </w:div>
        <w:div w:id="1787264080">
          <w:marLeft w:val="640"/>
          <w:marRight w:val="0"/>
          <w:marTop w:val="0"/>
          <w:marBottom w:val="0"/>
          <w:divBdr>
            <w:top w:val="none" w:sz="0" w:space="0" w:color="auto"/>
            <w:left w:val="none" w:sz="0" w:space="0" w:color="auto"/>
            <w:bottom w:val="none" w:sz="0" w:space="0" w:color="auto"/>
            <w:right w:val="none" w:sz="0" w:space="0" w:color="auto"/>
          </w:divBdr>
        </w:div>
        <w:div w:id="838733261">
          <w:marLeft w:val="640"/>
          <w:marRight w:val="0"/>
          <w:marTop w:val="0"/>
          <w:marBottom w:val="0"/>
          <w:divBdr>
            <w:top w:val="none" w:sz="0" w:space="0" w:color="auto"/>
            <w:left w:val="none" w:sz="0" w:space="0" w:color="auto"/>
            <w:bottom w:val="none" w:sz="0" w:space="0" w:color="auto"/>
            <w:right w:val="none" w:sz="0" w:space="0" w:color="auto"/>
          </w:divBdr>
        </w:div>
        <w:div w:id="88358895">
          <w:marLeft w:val="640"/>
          <w:marRight w:val="0"/>
          <w:marTop w:val="0"/>
          <w:marBottom w:val="0"/>
          <w:divBdr>
            <w:top w:val="none" w:sz="0" w:space="0" w:color="auto"/>
            <w:left w:val="none" w:sz="0" w:space="0" w:color="auto"/>
            <w:bottom w:val="none" w:sz="0" w:space="0" w:color="auto"/>
            <w:right w:val="none" w:sz="0" w:space="0" w:color="auto"/>
          </w:divBdr>
        </w:div>
        <w:div w:id="1358240225">
          <w:marLeft w:val="640"/>
          <w:marRight w:val="0"/>
          <w:marTop w:val="0"/>
          <w:marBottom w:val="0"/>
          <w:divBdr>
            <w:top w:val="none" w:sz="0" w:space="0" w:color="auto"/>
            <w:left w:val="none" w:sz="0" w:space="0" w:color="auto"/>
            <w:bottom w:val="none" w:sz="0" w:space="0" w:color="auto"/>
            <w:right w:val="none" w:sz="0" w:space="0" w:color="auto"/>
          </w:divBdr>
        </w:div>
        <w:div w:id="1754622986">
          <w:marLeft w:val="640"/>
          <w:marRight w:val="0"/>
          <w:marTop w:val="0"/>
          <w:marBottom w:val="0"/>
          <w:divBdr>
            <w:top w:val="none" w:sz="0" w:space="0" w:color="auto"/>
            <w:left w:val="none" w:sz="0" w:space="0" w:color="auto"/>
            <w:bottom w:val="none" w:sz="0" w:space="0" w:color="auto"/>
            <w:right w:val="none" w:sz="0" w:space="0" w:color="auto"/>
          </w:divBdr>
        </w:div>
        <w:div w:id="1764838420">
          <w:marLeft w:val="640"/>
          <w:marRight w:val="0"/>
          <w:marTop w:val="0"/>
          <w:marBottom w:val="0"/>
          <w:divBdr>
            <w:top w:val="none" w:sz="0" w:space="0" w:color="auto"/>
            <w:left w:val="none" w:sz="0" w:space="0" w:color="auto"/>
            <w:bottom w:val="none" w:sz="0" w:space="0" w:color="auto"/>
            <w:right w:val="none" w:sz="0" w:space="0" w:color="auto"/>
          </w:divBdr>
        </w:div>
        <w:div w:id="829099695">
          <w:marLeft w:val="640"/>
          <w:marRight w:val="0"/>
          <w:marTop w:val="0"/>
          <w:marBottom w:val="0"/>
          <w:divBdr>
            <w:top w:val="none" w:sz="0" w:space="0" w:color="auto"/>
            <w:left w:val="none" w:sz="0" w:space="0" w:color="auto"/>
            <w:bottom w:val="none" w:sz="0" w:space="0" w:color="auto"/>
            <w:right w:val="none" w:sz="0" w:space="0" w:color="auto"/>
          </w:divBdr>
        </w:div>
        <w:div w:id="1658218390">
          <w:marLeft w:val="640"/>
          <w:marRight w:val="0"/>
          <w:marTop w:val="0"/>
          <w:marBottom w:val="0"/>
          <w:divBdr>
            <w:top w:val="none" w:sz="0" w:space="0" w:color="auto"/>
            <w:left w:val="none" w:sz="0" w:space="0" w:color="auto"/>
            <w:bottom w:val="none" w:sz="0" w:space="0" w:color="auto"/>
            <w:right w:val="none" w:sz="0" w:space="0" w:color="auto"/>
          </w:divBdr>
        </w:div>
        <w:div w:id="425540915">
          <w:marLeft w:val="640"/>
          <w:marRight w:val="0"/>
          <w:marTop w:val="0"/>
          <w:marBottom w:val="0"/>
          <w:divBdr>
            <w:top w:val="none" w:sz="0" w:space="0" w:color="auto"/>
            <w:left w:val="none" w:sz="0" w:space="0" w:color="auto"/>
            <w:bottom w:val="none" w:sz="0" w:space="0" w:color="auto"/>
            <w:right w:val="none" w:sz="0" w:space="0" w:color="auto"/>
          </w:divBdr>
        </w:div>
        <w:div w:id="1717506530">
          <w:marLeft w:val="640"/>
          <w:marRight w:val="0"/>
          <w:marTop w:val="0"/>
          <w:marBottom w:val="0"/>
          <w:divBdr>
            <w:top w:val="none" w:sz="0" w:space="0" w:color="auto"/>
            <w:left w:val="none" w:sz="0" w:space="0" w:color="auto"/>
            <w:bottom w:val="none" w:sz="0" w:space="0" w:color="auto"/>
            <w:right w:val="none" w:sz="0" w:space="0" w:color="auto"/>
          </w:divBdr>
        </w:div>
        <w:div w:id="113211169">
          <w:marLeft w:val="640"/>
          <w:marRight w:val="0"/>
          <w:marTop w:val="0"/>
          <w:marBottom w:val="0"/>
          <w:divBdr>
            <w:top w:val="none" w:sz="0" w:space="0" w:color="auto"/>
            <w:left w:val="none" w:sz="0" w:space="0" w:color="auto"/>
            <w:bottom w:val="none" w:sz="0" w:space="0" w:color="auto"/>
            <w:right w:val="none" w:sz="0" w:space="0" w:color="auto"/>
          </w:divBdr>
        </w:div>
        <w:div w:id="1259561780">
          <w:marLeft w:val="640"/>
          <w:marRight w:val="0"/>
          <w:marTop w:val="0"/>
          <w:marBottom w:val="0"/>
          <w:divBdr>
            <w:top w:val="none" w:sz="0" w:space="0" w:color="auto"/>
            <w:left w:val="none" w:sz="0" w:space="0" w:color="auto"/>
            <w:bottom w:val="none" w:sz="0" w:space="0" w:color="auto"/>
            <w:right w:val="none" w:sz="0" w:space="0" w:color="auto"/>
          </w:divBdr>
        </w:div>
        <w:div w:id="1699970817">
          <w:marLeft w:val="640"/>
          <w:marRight w:val="0"/>
          <w:marTop w:val="0"/>
          <w:marBottom w:val="0"/>
          <w:divBdr>
            <w:top w:val="none" w:sz="0" w:space="0" w:color="auto"/>
            <w:left w:val="none" w:sz="0" w:space="0" w:color="auto"/>
            <w:bottom w:val="none" w:sz="0" w:space="0" w:color="auto"/>
            <w:right w:val="none" w:sz="0" w:space="0" w:color="auto"/>
          </w:divBdr>
        </w:div>
        <w:div w:id="1843204923">
          <w:marLeft w:val="640"/>
          <w:marRight w:val="0"/>
          <w:marTop w:val="0"/>
          <w:marBottom w:val="0"/>
          <w:divBdr>
            <w:top w:val="none" w:sz="0" w:space="0" w:color="auto"/>
            <w:left w:val="none" w:sz="0" w:space="0" w:color="auto"/>
            <w:bottom w:val="none" w:sz="0" w:space="0" w:color="auto"/>
            <w:right w:val="none" w:sz="0" w:space="0" w:color="auto"/>
          </w:divBdr>
        </w:div>
        <w:div w:id="1427579447">
          <w:marLeft w:val="640"/>
          <w:marRight w:val="0"/>
          <w:marTop w:val="0"/>
          <w:marBottom w:val="0"/>
          <w:divBdr>
            <w:top w:val="none" w:sz="0" w:space="0" w:color="auto"/>
            <w:left w:val="none" w:sz="0" w:space="0" w:color="auto"/>
            <w:bottom w:val="none" w:sz="0" w:space="0" w:color="auto"/>
            <w:right w:val="none" w:sz="0" w:space="0" w:color="auto"/>
          </w:divBdr>
        </w:div>
        <w:div w:id="873276482">
          <w:marLeft w:val="640"/>
          <w:marRight w:val="0"/>
          <w:marTop w:val="0"/>
          <w:marBottom w:val="0"/>
          <w:divBdr>
            <w:top w:val="none" w:sz="0" w:space="0" w:color="auto"/>
            <w:left w:val="none" w:sz="0" w:space="0" w:color="auto"/>
            <w:bottom w:val="none" w:sz="0" w:space="0" w:color="auto"/>
            <w:right w:val="none" w:sz="0" w:space="0" w:color="auto"/>
          </w:divBdr>
        </w:div>
        <w:div w:id="66155070">
          <w:marLeft w:val="640"/>
          <w:marRight w:val="0"/>
          <w:marTop w:val="0"/>
          <w:marBottom w:val="0"/>
          <w:divBdr>
            <w:top w:val="none" w:sz="0" w:space="0" w:color="auto"/>
            <w:left w:val="none" w:sz="0" w:space="0" w:color="auto"/>
            <w:bottom w:val="none" w:sz="0" w:space="0" w:color="auto"/>
            <w:right w:val="none" w:sz="0" w:space="0" w:color="auto"/>
          </w:divBdr>
        </w:div>
        <w:div w:id="1559124038">
          <w:marLeft w:val="640"/>
          <w:marRight w:val="0"/>
          <w:marTop w:val="0"/>
          <w:marBottom w:val="0"/>
          <w:divBdr>
            <w:top w:val="none" w:sz="0" w:space="0" w:color="auto"/>
            <w:left w:val="none" w:sz="0" w:space="0" w:color="auto"/>
            <w:bottom w:val="none" w:sz="0" w:space="0" w:color="auto"/>
            <w:right w:val="none" w:sz="0" w:space="0" w:color="auto"/>
          </w:divBdr>
        </w:div>
        <w:div w:id="238711284">
          <w:marLeft w:val="640"/>
          <w:marRight w:val="0"/>
          <w:marTop w:val="0"/>
          <w:marBottom w:val="0"/>
          <w:divBdr>
            <w:top w:val="none" w:sz="0" w:space="0" w:color="auto"/>
            <w:left w:val="none" w:sz="0" w:space="0" w:color="auto"/>
            <w:bottom w:val="none" w:sz="0" w:space="0" w:color="auto"/>
            <w:right w:val="none" w:sz="0" w:space="0" w:color="auto"/>
          </w:divBdr>
        </w:div>
        <w:div w:id="1063605404">
          <w:marLeft w:val="640"/>
          <w:marRight w:val="0"/>
          <w:marTop w:val="0"/>
          <w:marBottom w:val="0"/>
          <w:divBdr>
            <w:top w:val="none" w:sz="0" w:space="0" w:color="auto"/>
            <w:left w:val="none" w:sz="0" w:space="0" w:color="auto"/>
            <w:bottom w:val="none" w:sz="0" w:space="0" w:color="auto"/>
            <w:right w:val="none" w:sz="0" w:space="0" w:color="auto"/>
          </w:divBdr>
        </w:div>
        <w:div w:id="379479497">
          <w:marLeft w:val="640"/>
          <w:marRight w:val="0"/>
          <w:marTop w:val="0"/>
          <w:marBottom w:val="0"/>
          <w:divBdr>
            <w:top w:val="none" w:sz="0" w:space="0" w:color="auto"/>
            <w:left w:val="none" w:sz="0" w:space="0" w:color="auto"/>
            <w:bottom w:val="none" w:sz="0" w:space="0" w:color="auto"/>
            <w:right w:val="none" w:sz="0" w:space="0" w:color="auto"/>
          </w:divBdr>
        </w:div>
        <w:div w:id="144048487">
          <w:marLeft w:val="640"/>
          <w:marRight w:val="0"/>
          <w:marTop w:val="0"/>
          <w:marBottom w:val="0"/>
          <w:divBdr>
            <w:top w:val="none" w:sz="0" w:space="0" w:color="auto"/>
            <w:left w:val="none" w:sz="0" w:space="0" w:color="auto"/>
            <w:bottom w:val="none" w:sz="0" w:space="0" w:color="auto"/>
            <w:right w:val="none" w:sz="0" w:space="0" w:color="auto"/>
          </w:divBdr>
        </w:div>
        <w:div w:id="1216969129">
          <w:marLeft w:val="640"/>
          <w:marRight w:val="0"/>
          <w:marTop w:val="0"/>
          <w:marBottom w:val="0"/>
          <w:divBdr>
            <w:top w:val="none" w:sz="0" w:space="0" w:color="auto"/>
            <w:left w:val="none" w:sz="0" w:space="0" w:color="auto"/>
            <w:bottom w:val="none" w:sz="0" w:space="0" w:color="auto"/>
            <w:right w:val="none" w:sz="0" w:space="0" w:color="auto"/>
          </w:divBdr>
        </w:div>
        <w:div w:id="27680175">
          <w:marLeft w:val="640"/>
          <w:marRight w:val="0"/>
          <w:marTop w:val="0"/>
          <w:marBottom w:val="0"/>
          <w:divBdr>
            <w:top w:val="none" w:sz="0" w:space="0" w:color="auto"/>
            <w:left w:val="none" w:sz="0" w:space="0" w:color="auto"/>
            <w:bottom w:val="none" w:sz="0" w:space="0" w:color="auto"/>
            <w:right w:val="none" w:sz="0" w:space="0" w:color="auto"/>
          </w:divBdr>
        </w:div>
        <w:div w:id="965240122">
          <w:marLeft w:val="640"/>
          <w:marRight w:val="0"/>
          <w:marTop w:val="0"/>
          <w:marBottom w:val="0"/>
          <w:divBdr>
            <w:top w:val="none" w:sz="0" w:space="0" w:color="auto"/>
            <w:left w:val="none" w:sz="0" w:space="0" w:color="auto"/>
            <w:bottom w:val="none" w:sz="0" w:space="0" w:color="auto"/>
            <w:right w:val="none" w:sz="0" w:space="0" w:color="auto"/>
          </w:divBdr>
        </w:div>
        <w:div w:id="397632260">
          <w:marLeft w:val="640"/>
          <w:marRight w:val="0"/>
          <w:marTop w:val="0"/>
          <w:marBottom w:val="0"/>
          <w:divBdr>
            <w:top w:val="none" w:sz="0" w:space="0" w:color="auto"/>
            <w:left w:val="none" w:sz="0" w:space="0" w:color="auto"/>
            <w:bottom w:val="none" w:sz="0" w:space="0" w:color="auto"/>
            <w:right w:val="none" w:sz="0" w:space="0" w:color="auto"/>
          </w:divBdr>
        </w:div>
        <w:div w:id="584268495">
          <w:marLeft w:val="640"/>
          <w:marRight w:val="0"/>
          <w:marTop w:val="0"/>
          <w:marBottom w:val="0"/>
          <w:divBdr>
            <w:top w:val="none" w:sz="0" w:space="0" w:color="auto"/>
            <w:left w:val="none" w:sz="0" w:space="0" w:color="auto"/>
            <w:bottom w:val="none" w:sz="0" w:space="0" w:color="auto"/>
            <w:right w:val="none" w:sz="0" w:space="0" w:color="auto"/>
          </w:divBdr>
        </w:div>
        <w:div w:id="691877282">
          <w:marLeft w:val="640"/>
          <w:marRight w:val="0"/>
          <w:marTop w:val="0"/>
          <w:marBottom w:val="0"/>
          <w:divBdr>
            <w:top w:val="none" w:sz="0" w:space="0" w:color="auto"/>
            <w:left w:val="none" w:sz="0" w:space="0" w:color="auto"/>
            <w:bottom w:val="none" w:sz="0" w:space="0" w:color="auto"/>
            <w:right w:val="none" w:sz="0" w:space="0" w:color="auto"/>
          </w:divBdr>
        </w:div>
        <w:div w:id="714424977">
          <w:marLeft w:val="640"/>
          <w:marRight w:val="0"/>
          <w:marTop w:val="0"/>
          <w:marBottom w:val="0"/>
          <w:divBdr>
            <w:top w:val="none" w:sz="0" w:space="0" w:color="auto"/>
            <w:left w:val="none" w:sz="0" w:space="0" w:color="auto"/>
            <w:bottom w:val="none" w:sz="0" w:space="0" w:color="auto"/>
            <w:right w:val="none" w:sz="0" w:space="0" w:color="auto"/>
          </w:divBdr>
        </w:div>
        <w:div w:id="1191996139">
          <w:marLeft w:val="640"/>
          <w:marRight w:val="0"/>
          <w:marTop w:val="0"/>
          <w:marBottom w:val="0"/>
          <w:divBdr>
            <w:top w:val="none" w:sz="0" w:space="0" w:color="auto"/>
            <w:left w:val="none" w:sz="0" w:space="0" w:color="auto"/>
            <w:bottom w:val="none" w:sz="0" w:space="0" w:color="auto"/>
            <w:right w:val="none" w:sz="0" w:space="0" w:color="auto"/>
          </w:divBdr>
        </w:div>
        <w:div w:id="1565682380">
          <w:marLeft w:val="640"/>
          <w:marRight w:val="0"/>
          <w:marTop w:val="0"/>
          <w:marBottom w:val="0"/>
          <w:divBdr>
            <w:top w:val="none" w:sz="0" w:space="0" w:color="auto"/>
            <w:left w:val="none" w:sz="0" w:space="0" w:color="auto"/>
            <w:bottom w:val="none" w:sz="0" w:space="0" w:color="auto"/>
            <w:right w:val="none" w:sz="0" w:space="0" w:color="auto"/>
          </w:divBdr>
        </w:div>
        <w:div w:id="1308127429">
          <w:marLeft w:val="640"/>
          <w:marRight w:val="0"/>
          <w:marTop w:val="0"/>
          <w:marBottom w:val="0"/>
          <w:divBdr>
            <w:top w:val="none" w:sz="0" w:space="0" w:color="auto"/>
            <w:left w:val="none" w:sz="0" w:space="0" w:color="auto"/>
            <w:bottom w:val="none" w:sz="0" w:space="0" w:color="auto"/>
            <w:right w:val="none" w:sz="0" w:space="0" w:color="auto"/>
          </w:divBdr>
        </w:div>
        <w:div w:id="1535998498">
          <w:marLeft w:val="640"/>
          <w:marRight w:val="0"/>
          <w:marTop w:val="0"/>
          <w:marBottom w:val="0"/>
          <w:divBdr>
            <w:top w:val="none" w:sz="0" w:space="0" w:color="auto"/>
            <w:left w:val="none" w:sz="0" w:space="0" w:color="auto"/>
            <w:bottom w:val="none" w:sz="0" w:space="0" w:color="auto"/>
            <w:right w:val="none" w:sz="0" w:space="0" w:color="auto"/>
          </w:divBdr>
        </w:div>
        <w:div w:id="135227155">
          <w:marLeft w:val="640"/>
          <w:marRight w:val="0"/>
          <w:marTop w:val="0"/>
          <w:marBottom w:val="0"/>
          <w:divBdr>
            <w:top w:val="none" w:sz="0" w:space="0" w:color="auto"/>
            <w:left w:val="none" w:sz="0" w:space="0" w:color="auto"/>
            <w:bottom w:val="none" w:sz="0" w:space="0" w:color="auto"/>
            <w:right w:val="none" w:sz="0" w:space="0" w:color="auto"/>
          </w:divBdr>
        </w:div>
        <w:div w:id="1860776301">
          <w:marLeft w:val="640"/>
          <w:marRight w:val="0"/>
          <w:marTop w:val="0"/>
          <w:marBottom w:val="0"/>
          <w:divBdr>
            <w:top w:val="none" w:sz="0" w:space="0" w:color="auto"/>
            <w:left w:val="none" w:sz="0" w:space="0" w:color="auto"/>
            <w:bottom w:val="none" w:sz="0" w:space="0" w:color="auto"/>
            <w:right w:val="none" w:sz="0" w:space="0" w:color="auto"/>
          </w:divBdr>
        </w:div>
        <w:div w:id="1117678501">
          <w:marLeft w:val="640"/>
          <w:marRight w:val="0"/>
          <w:marTop w:val="0"/>
          <w:marBottom w:val="0"/>
          <w:divBdr>
            <w:top w:val="none" w:sz="0" w:space="0" w:color="auto"/>
            <w:left w:val="none" w:sz="0" w:space="0" w:color="auto"/>
            <w:bottom w:val="none" w:sz="0" w:space="0" w:color="auto"/>
            <w:right w:val="none" w:sz="0" w:space="0" w:color="auto"/>
          </w:divBdr>
        </w:div>
        <w:div w:id="1221942425">
          <w:marLeft w:val="640"/>
          <w:marRight w:val="0"/>
          <w:marTop w:val="0"/>
          <w:marBottom w:val="0"/>
          <w:divBdr>
            <w:top w:val="none" w:sz="0" w:space="0" w:color="auto"/>
            <w:left w:val="none" w:sz="0" w:space="0" w:color="auto"/>
            <w:bottom w:val="none" w:sz="0" w:space="0" w:color="auto"/>
            <w:right w:val="none" w:sz="0" w:space="0" w:color="auto"/>
          </w:divBdr>
        </w:div>
        <w:div w:id="35132141">
          <w:marLeft w:val="640"/>
          <w:marRight w:val="0"/>
          <w:marTop w:val="0"/>
          <w:marBottom w:val="0"/>
          <w:divBdr>
            <w:top w:val="none" w:sz="0" w:space="0" w:color="auto"/>
            <w:left w:val="none" w:sz="0" w:space="0" w:color="auto"/>
            <w:bottom w:val="none" w:sz="0" w:space="0" w:color="auto"/>
            <w:right w:val="none" w:sz="0" w:space="0" w:color="auto"/>
          </w:divBdr>
        </w:div>
        <w:div w:id="231084125">
          <w:marLeft w:val="640"/>
          <w:marRight w:val="0"/>
          <w:marTop w:val="0"/>
          <w:marBottom w:val="0"/>
          <w:divBdr>
            <w:top w:val="none" w:sz="0" w:space="0" w:color="auto"/>
            <w:left w:val="none" w:sz="0" w:space="0" w:color="auto"/>
            <w:bottom w:val="none" w:sz="0" w:space="0" w:color="auto"/>
            <w:right w:val="none" w:sz="0" w:space="0" w:color="auto"/>
          </w:divBdr>
        </w:div>
        <w:div w:id="1276714862">
          <w:marLeft w:val="640"/>
          <w:marRight w:val="0"/>
          <w:marTop w:val="0"/>
          <w:marBottom w:val="0"/>
          <w:divBdr>
            <w:top w:val="none" w:sz="0" w:space="0" w:color="auto"/>
            <w:left w:val="none" w:sz="0" w:space="0" w:color="auto"/>
            <w:bottom w:val="none" w:sz="0" w:space="0" w:color="auto"/>
            <w:right w:val="none" w:sz="0" w:space="0" w:color="auto"/>
          </w:divBdr>
        </w:div>
        <w:div w:id="1307514644">
          <w:marLeft w:val="640"/>
          <w:marRight w:val="0"/>
          <w:marTop w:val="0"/>
          <w:marBottom w:val="0"/>
          <w:divBdr>
            <w:top w:val="none" w:sz="0" w:space="0" w:color="auto"/>
            <w:left w:val="none" w:sz="0" w:space="0" w:color="auto"/>
            <w:bottom w:val="none" w:sz="0" w:space="0" w:color="auto"/>
            <w:right w:val="none" w:sz="0" w:space="0" w:color="auto"/>
          </w:divBdr>
        </w:div>
        <w:div w:id="1731221839">
          <w:marLeft w:val="640"/>
          <w:marRight w:val="0"/>
          <w:marTop w:val="0"/>
          <w:marBottom w:val="0"/>
          <w:divBdr>
            <w:top w:val="none" w:sz="0" w:space="0" w:color="auto"/>
            <w:left w:val="none" w:sz="0" w:space="0" w:color="auto"/>
            <w:bottom w:val="none" w:sz="0" w:space="0" w:color="auto"/>
            <w:right w:val="none" w:sz="0" w:space="0" w:color="auto"/>
          </w:divBdr>
        </w:div>
        <w:div w:id="1358314656">
          <w:marLeft w:val="640"/>
          <w:marRight w:val="0"/>
          <w:marTop w:val="0"/>
          <w:marBottom w:val="0"/>
          <w:divBdr>
            <w:top w:val="none" w:sz="0" w:space="0" w:color="auto"/>
            <w:left w:val="none" w:sz="0" w:space="0" w:color="auto"/>
            <w:bottom w:val="none" w:sz="0" w:space="0" w:color="auto"/>
            <w:right w:val="none" w:sz="0" w:space="0" w:color="auto"/>
          </w:divBdr>
        </w:div>
        <w:div w:id="1316450938">
          <w:marLeft w:val="640"/>
          <w:marRight w:val="0"/>
          <w:marTop w:val="0"/>
          <w:marBottom w:val="0"/>
          <w:divBdr>
            <w:top w:val="none" w:sz="0" w:space="0" w:color="auto"/>
            <w:left w:val="none" w:sz="0" w:space="0" w:color="auto"/>
            <w:bottom w:val="none" w:sz="0" w:space="0" w:color="auto"/>
            <w:right w:val="none" w:sz="0" w:space="0" w:color="auto"/>
          </w:divBdr>
        </w:div>
        <w:div w:id="1872067881">
          <w:marLeft w:val="640"/>
          <w:marRight w:val="0"/>
          <w:marTop w:val="0"/>
          <w:marBottom w:val="0"/>
          <w:divBdr>
            <w:top w:val="none" w:sz="0" w:space="0" w:color="auto"/>
            <w:left w:val="none" w:sz="0" w:space="0" w:color="auto"/>
            <w:bottom w:val="none" w:sz="0" w:space="0" w:color="auto"/>
            <w:right w:val="none" w:sz="0" w:space="0" w:color="auto"/>
          </w:divBdr>
        </w:div>
        <w:div w:id="810900031">
          <w:marLeft w:val="640"/>
          <w:marRight w:val="0"/>
          <w:marTop w:val="0"/>
          <w:marBottom w:val="0"/>
          <w:divBdr>
            <w:top w:val="none" w:sz="0" w:space="0" w:color="auto"/>
            <w:left w:val="none" w:sz="0" w:space="0" w:color="auto"/>
            <w:bottom w:val="none" w:sz="0" w:space="0" w:color="auto"/>
            <w:right w:val="none" w:sz="0" w:space="0" w:color="auto"/>
          </w:divBdr>
        </w:div>
        <w:div w:id="1317101523">
          <w:marLeft w:val="640"/>
          <w:marRight w:val="0"/>
          <w:marTop w:val="0"/>
          <w:marBottom w:val="0"/>
          <w:divBdr>
            <w:top w:val="none" w:sz="0" w:space="0" w:color="auto"/>
            <w:left w:val="none" w:sz="0" w:space="0" w:color="auto"/>
            <w:bottom w:val="none" w:sz="0" w:space="0" w:color="auto"/>
            <w:right w:val="none" w:sz="0" w:space="0" w:color="auto"/>
          </w:divBdr>
        </w:div>
        <w:div w:id="1099519884">
          <w:marLeft w:val="640"/>
          <w:marRight w:val="0"/>
          <w:marTop w:val="0"/>
          <w:marBottom w:val="0"/>
          <w:divBdr>
            <w:top w:val="none" w:sz="0" w:space="0" w:color="auto"/>
            <w:left w:val="none" w:sz="0" w:space="0" w:color="auto"/>
            <w:bottom w:val="none" w:sz="0" w:space="0" w:color="auto"/>
            <w:right w:val="none" w:sz="0" w:space="0" w:color="auto"/>
          </w:divBdr>
        </w:div>
        <w:div w:id="733160980">
          <w:marLeft w:val="640"/>
          <w:marRight w:val="0"/>
          <w:marTop w:val="0"/>
          <w:marBottom w:val="0"/>
          <w:divBdr>
            <w:top w:val="none" w:sz="0" w:space="0" w:color="auto"/>
            <w:left w:val="none" w:sz="0" w:space="0" w:color="auto"/>
            <w:bottom w:val="none" w:sz="0" w:space="0" w:color="auto"/>
            <w:right w:val="none" w:sz="0" w:space="0" w:color="auto"/>
          </w:divBdr>
        </w:div>
        <w:div w:id="1808547690">
          <w:marLeft w:val="640"/>
          <w:marRight w:val="0"/>
          <w:marTop w:val="0"/>
          <w:marBottom w:val="0"/>
          <w:divBdr>
            <w:top w:val="none" w:sz="0" w:space="0" w:color="auto"/>
            <w:left w:val="none" w:sz="0" w:space="0" w:color="auto"/>
            <w:bottom w:val="none" w:sz="0" w:space="0" w:color="auto"/>
            <w:right w:val="none" w:sz="0" w:space="0" w:color="auto"/>
          </w:divBdr>
        </w:div>
        <w:div w:id="1825928035">
          <w:marLeft w:val="640"/>
          <w:marRight w:val="0"/>
          <w:marTop w:val="0"/>
          <w:marBottom w:val="0"/>
          <w:divBdr>
            <w:top w:val="none" w:sz="0" w:space="0" w:color="auto"/>
            <w:left w:val="none" w:sz="0" w:space="0" w:color="auto"/>
            <w:bottom w:val="none" w:sz="0" w:space="0" w:color="auto"/>
            <w:right w:val="none" w:sz="0" w:space="0" w:color="auto"/>
          </w:divBdr>
        </w:div>
        <w:div w:id="1475758385">
          <w:marLeft w:val="640"/>
          <w:marRight w:val="0"/>
          <w:marTop w:val="0"/>
          <w:marBottom w:val="0"/>
          <w:divBdr>
            <w:top w:val="none" w:sz="0" w:space="0" w:color="auto"/>
            <w:left w:val="none" w:sz="0" w:space="0" w:color="auto"/>
            <w:bottom w:val="none" w:sz="0" w:space="0" w:color="auto"/>
            <w:right w:val="none" w:sz="0" w:space="0" w:color="auto"/>
          </w:divBdr>
        </w:div>
        <w:div w:id="2013407288">
          <w:marLeft w:val="640"/>
          <w:marRight w:val="0"/>
          <w:marTop w:val="0"/>
          <w:marBottom w:val="0"/>
          <w:divBdr>
            <w:top w:val="none" w:sz="0" w:space="0" w:color="auto"/>
            <w:left w:val="none" w:sz="0" w:space="0" w:color="auto"/>
            <w:bottom w:val="none" w:sz="0" w:space="0" w:color="auto"/>
            <w:right w:val="none" w:sz="0" w:space="0" w:color="auto"/>
          </w:divBdr>
        </w:div>
        <w:div w:id="45883826">
          <w:marLeft w:val="640"/>
          <w:marRight w:val="0"/>
          <w:marTop w:val="0"/>
          <w:marBottom w:val="0"/>
          <w:divBdr>
            <w:top w:val="none" w:sz="0" w:space="0" w:color="auto"/>
            <w:left w:val="none" w:sz="0" w:space="0" w:color="auto"/>
            <w:bottom w:val="none" w:sz="0" w:space="0" w:color="auto"/>
            <w:right w:val="none" w:sz="0" w:space="0" w:color="auto"/>
          </w:divBdr>
        </w:div>
        <w:div w:id="1165630005">
          <w:marLeft w:val="640"/>
          <w:marRight w:val="0"/>
          <w:marTop w:val="0"/>
          <w:marBottom w:val="0"/>
          <w:divBdr>
            <w:top w:val="none" w:sz="0" w:space="0" w:color="auto"/>
            <w:left w:val="none" w:sz="0" w:space="0" w:color="auto"/>
            <w:bottom w:val="none" w:sz="0" w:space="0" w:color="auto"/>
            <w:right w:val="none" w:sz="0" w:space="0" w:color="auto"/>
          </w:divBdr>
        </w:div>
        <w:div w:id="2074813276">
          <w:marLeft w:val="640"/>
          <w:marRight w:val="0"/>
          <w:marTop w:val="0"/>
          <w:marBottom w:val="0"/>
          <w:divBdr>
            <w:top w:val="none" w:sz="0" w:space="0" w:color="auto"/>
            <w:left w:val="none" w:sz="0" w:space="0" w:color="auto"/>
            <w:bottom w:val="none" w:sz="0" w:space="0" w:color="auto"/>
            <w:right w:val="none" w:sz="0" w:space="0" w:color="auto"/>
          </w:divBdr>
        </w:div>
        <w:div w:id="114565150">
          <w:marLeft w:val="640"/>
          <w:marRight w:val="0"/>
          <w:marTop w:val="0"/>
          <w:marBottom w:val="0"/>
          <w:divBdr>
            <w:top w:val="none" w:sz="0" w:space="0" w:color="auto"/>
            <w:left w:val="none" w:sz="0" w:space="0" w:color="auto"/>
            <w:bottom w:val="none" w:sz="0" w:space="0" w:color="auto"/>
            <w:right w:val="none" w:sz="0" w:space="0" w:color="auto"/>
          </w:divBdr>
        </w:div>
        <w:div w:id="770127519">
          <w:marLeft w:val="640"/>
          <w:marRight w:val="0"/>
          <w:marTop w:val="0"/>
          <w:marBottom w:val="0"/>
          <w:divBdr>
            <w:top w:val="none" w:sz="0" w:space="0" w:color="auto"/>
            <w:left w:val="none" w:sz="0" w:space="0" w:color="auto"/>
            <w:bottom w:val="none" w:sz="0" w:space="0" w:color="auto"/>
            <w:right w:val="none" w:sz="0" w:space="0" w:color="auto"/>
          </w:divBdr>
        </w:div>
        <w:div w:id="11226912">
          <w:marLeft w:val="640"/>
          <w:marRight w:val="0"/>
          <w:marTop w:val="0"/>
          <w:marBottom w:val="0"/>
          <w:divBdr>
            <w:top w:val="none" w:sz="0" w:space="0" w:color="auto"/>
            <w:left w:val="none" w:sz="0" w:space="0" w:color="auto"/>
            <w:bottom w:val="none" w:sz="0" w:space="0" w:color="auto"/>
            <w:right w:val="none" w:sz="0" w:space="0" w:color="auto"/>
          </w:divBdr>
        </w:div>
        <w:div w:id="646054416">
          <w:marLeft w:val="640"/>
          <w:marRight w:val="0"/>
          <w:marTop w:val="0"/>
          <w:marBottom w:val="0"/>
          <w:divBdr>
            <w:top w:val="none" w:sz="0" w:space="0" w:color="auto"/>
            <w:left w:val="none" w:sz="0" w:space="0" w:color="auto"/>
            <w:bottom w:val="none" w:sz="0" w:space="0" w:color="auto"/>
            <w:right w:val="none" w:sz="0" w:space="0" w:color="auto"/>
          </w:divBdr>
        </w:div>
        <w:div w:id="777069314">
          <w:marLeft w:val="640"/>
          <w:marRight w:val="0"/>
          <w:marTop w:val="0"/>
          <w:marBottom w:val="0"/>
          <w:divBdr>
            <w:top w:val="none" w:sz="0" w:space="0" w:color="auto"/>
            <w:left w:val="none" w:sz="0" w:space="0" w:color="auto"/>
            <w:bottom w:val="none" w:sz="0" w:space="0" w:color="auto"/>
            <w:right w:val="none" w:sz="0" w:space="0" w:color="auto"/>
          </w:divBdr>
        </w:div>
        <w:div w:id="382097514">
          <w:marLeft w:val="640"/>
          <w:marRight w:val="0"/>
          <w:marTop w:val="0"/>
          <w:marBottom w:val="0"/>
          <w:divBdr>
            <w:top w:val="none" w:sz="0" w:space="0" w:color="auto"/>
            <w:left w:val="none" w:sz="0" w:space="0" w:color="auto"/>
            <w:bottom w:val="none" w:sz="0" w:space="0" w:color="auto"/>
            <w:right w:val="none" w:sz="0" w:space="0" w:color="auto"/>
          </w:divBdr>
        </w:div>
        <w:div w:id="2006350229">
          <w:marLeft w:val="640"/>
          <w:marRight w:val="0"/>
          <w:marTop w:val="0"/>
          <w:marBottom w:val="0"/>
          <w:divBdr>
            <w:top w:val="none" w:sz="0" w:space="0" w:color="auto"/>
            <w:left w:val="none" w:sz="0" w:space="0" w:color="auto"/>
            <w:bottom w:val="none" w:sz="0" w:space="0" w:color="auto"/>
            <w:right w:val="none" w:sz="0" w:space="0" w:color="auto"/>
          </w:divBdr>
        </w:div>
        <w:div w:id="1986278201">
          <w:marLeft w:val="640"/>
          <w:marRight w:val="0"/>
          <w:marTop w:val="0"/>
          <w:marBottom w:val="0"/>
          <w:divBdr>
            <w:top w:val="none" w:sz="0" w:space="0" w:color="auto"/>
            <w:left w:val="none" w:sz="0" w:space="0" w:color="auto"/>
            <w:bottom w:val="none" w:sz="0" w:space="0" w:color="auto"/>
            <w:right w:val="none" w:sz="0" w:space="0" w:color="auto"/>
          </w:divBdr>
        </w:div>
        <w:div w:id="905722878">
          <w:marLeft w:val="640"/>
          <w:marRight w:val="0"/>
          <w:marTop w:val="0"/>
          <w:marBottom w:val="0"/>
          <w:divBdr>
            <w:top w:val="none" w:sz="0" w:space="0" w:color="auto"/>
            <w:left w:val="none" w:sz="0" w:space="0" w:color="auto"/>
            <w:bottom w:val="none" w:sz="0" w:space="0" w:color="auto"/>
            <w:right w:val="none" w:sz="0" w:space="0" w:color="auto"/>
          </w:divBdr>
        </w:div>
        <w:div w:id="142046785">
          <w:marLeft w:val="640"/>
          <w:marRight w:val="0"/>
          <w:marTop w:val="0"/>
          <w:marBottom w:val="0"/>
          <w:divBdr>
            <w:top w:val="none" w:sz="0" w:space="0" w:color="auto"/>
            <w:left w:val="none" w:sz="0" w:space="0" w:color="auto"/>
            <w:bottom w:val="none" w:sz="0" w:space="0" w:color="auto"/>
            <w:right w:val="none" w:sz="0" w:space="0" w:color="auto"/>
          </w:divBdr>
        </w:div>
        <w:div w:id="1087577820">
          <w:marLeft w:val="640"/>
          <w:marRight w:val="0"/>
          <w:marTop w:val="0"/>
          <w:marBottom w:val="0"/>
          <w:divBdr>
            <w:top w:val="none" w:sz="0" w:space="0" w:color="auto"/>
            <w:left w:val="none" w:sz="0" w:space="0" w:color="auto"/>
            <w:bottom w:val="none" w:sz="0" w:space="0" w:color="auto"/>
            <w:right w:val="none" w:sz="0" w:space="0" w:color="auto"/>
          </w:divBdr>
        </w:div>
        <w:div w:id="2111661188">
          <w:marLeft w:val="640"/>
          <w:marRight w:val="0"/>
          <w:marTop w:val="0"/>
          <w:marBottom w:val="0"/>
          <w:divBdr>
            <w:top w:val="none" w:sz="0" w:space="0" w:color="auto"/>
            <w:left w:val="none" w:sz="0" w:space="0" w:color="auto"/>
            <w:bottom w:val="none" w:sz="0" w:space="0" w:color="auto"/>
            <w:right w:val="none" w:sz="0" w:space="0" w:color="auto"/>
          </w:divBdr>
        </w:div>
        <w:div w:id="1125003729">
          <w:marLeft w:val="640"/>
          <w:marRight w:val="0"/>
          <w:marTop w:val="0"/>
          <w:marBottom w:val="0"/>
          <w:divBdr>
            <w:top w:val="none" w:sz="0" w:space="0" w:color="auto"/>
            <w:left w:val="none" w:sz="0" w:space="0" w:color="auto"/>
            <w:bottom w:val="none" w:sz="0" w:space="0" w:color="auto"/>
            <w:right w:val="none" w:sz="0" w:space="0" w:color="auto"/>
          </w:divBdr>
        </w:div>
        <w:div w:id="603998410">
          <w:marLeft w:val="640"/>
          <w:marRight w:val="0"/>
          <w:marTop w:val="0"/>
          <w:marBottom w:val="0"/>
          <w:divBdr>
            <w:top w:val="none" w:sz="0" w:space="0" w:color="auto"/>
            <w:left w:val="none" w:sz="0" w:space="0" w:color="auto"/>
            <w:bottom w:val="none" w:sz="0" w:space="0" w:color="auto"/>
            <w:right w:val="none" w:sz="0" w:space="0" w:color="auto"/>
          </w:divBdr>
        </w:div>
        <w:div w:id="80032782">
          <w:marLeft w:val="640"/>
          <w:marRight w:val="0"/>
          <w:marTop w:val="0"/>
          <w:marBottom w:val="0"/>
          <w:divBdr>
            <w:top w:val="none" w:sz="0" w:space="0" w:color="auto"/>
            <w:left w:val="none" w:sz="0" w:space="0" w:color="auto"/>
            <w:bottom w:val="none" w:sz="0" w:space="0" w:color="auto"/>
            <w:right w:val="none" w:sz="0" w:space="0" w:color="auto"/>
          </w:divBdr>
        </w:div>
        <w:div w:id="361244868">
          <w:marLeft w:val="640"/>
          <w:marRight w:val="0"/>
          <w:marTop w:val="0"/>
          <w:marBottom w:val="0"/>
          <w:divBdr>
            <w:top w:val="none" w:sz="0" w:space="0" w:color="auto"/>
            <w:left w:val="none" w:sz="0" w:space="0" w:color="auto"/>
            <w:bottom w:val="none" w:sz="0" w:space="0" w:color="auto"/>
            <w:right w:val="none" w:sz="0" w:space="0" w:color="auto"/>
          </w:divBdr>
        </w:div>
        <w:div w:id="2084177963">
          <w:marLeft w:val="640"/>
          <w:marRight w:val="0"/>
          <w:marTop w:val="0"/>
          <w:marBottom w:val="0"/>
          <w:divBdr>
            <w:top w:val="none" w:sz="0" w:space="0" w:color="auto"/>
            <w:left w:val="none" w:sz="0" w:space="0" w:color="auto"/>
            <w:bottom w:val="none" w:sz="0" w:space="0" w:color="auto"/>
            <w:right w:val="none" w:sz="0" w:space="0" w:color="auto"/>
          </w:divBdr>
        </w:div>
        <w:div w:id="1900742585">
          <w:marLeft w:val="640"/>
          <w:marRight w:val="0"/>
          <w:marTop w:val="0"/>
          <w:marBottom w:val="0"/>
          <w:divBdr>
            <w:top w:val="none" w:sz="0" w:space="0" w:color="auto"/>
            <w:left w:val="none" w:sz="0" w:space="0" w:color="auto"/>
            <w:bottom w:val="none" w:sz="0" w:space="0" w:color="auto"/>
            <w:right w:val="none" w:sz="0" w:space="0" w:color="auto"/>
          </w:divBdr>
        </w:div>
        <w:div w:id="1630278833">
          <w:marLeft w:val="640"/>
          <w:marRight w:val="0"/>
          <w:marTop w:val="0"/>
          <w:marBottom w:val="0"/>
          <w:divBdr>
            <w:top w:val="none" w:sz="0" w:space="0" w:color="auto"/>
            <w:left w:val="none" w:sz="0" w:space="0" w:color="auto"/>
            <w:bottom w:val="none" w:sz="0" w:space="0" w:color="auto"/>
            <w:right w:val="none" w:sz="0" w:space="0" w:color="auto"/>
          </w:divBdr>
        </w:div>
        <w:div w:id="1523980087">
          <w:marLeft w:val="640"/>
          <w:marRight w:val="0"/>
          <w:marTop w:val="0"/>
          <w:marBottom w:val="0"/>
          <w:divBdr>
            <w:top w:val="none" w:sz="0" w:space="0" w:color="auto"/>
            <w:left w:val="none" w:sz="0" w:space="0" w:color="auto"/>
            <w:bottom w:val="none" w:sz="0" w:space="0" w:color="auto"/>
            <w:right w:val="none" w:sz="0" w:space="0" w:color="auto"/>
          </w:divBdr>
        </w:div>
        <w:div w:id="682319589">
          <w:marLeft w:val="640"/>
          <w:marRight w:val="0"/>
          <w:marTop w:val="0"/>
          <w:marBottom w:val="0"/>
          <w:divBdr>
            <w:top w:val="none" w:sz="0" w:space="0" w:color="auto"/>
            <w:left w:val="none" w:sz="0" w:space="0" w:color="auto"/>
            <w:bottom w:val="none" w:sz="0" w:space="0" w:color="auto"/>
            <w:right w:val="none" w:sz="0" w:space="0" w:color="auto"/>
          </w:divBdr>
        </w:div>
        <w:div w:id="490096975">
          <w:marLeft w:val="640"/>
          <w:marRight w:val="0"/>
          <w:marTop w:val="0"/>
          <w:marBottom w:val="0"/>
          <w:divBdr>
            <w:top w:val="none" w:sz="0" w:space="0" w:color="auto"/>
            <w:left w:val="none" w:sz="0" w:space="0" w:color="auto"/>
            <w:bottom w:val="none" w:sz="0" w:space="0" w:color="auto"/>
            <w:right w:val="none" w:sz="0" w:space="0" w:color="auto"/>
          </w:divBdr>
        </w:div>
        <w:div w:id="2091539485">
          <w:marLeft w:val="640"/>
          <w:marRight w:val="0"/>
          <w:marTop w:val="0"/>
          <w:marBottom w:val="0"/>
          <w:divBdr>
            <w:top w:val="none" w:sz="0" w:space="0" w:color="auto"/>
            <w:left w:val="none" w:sz="0" w:space="0" w:color="auto"/>
            <w:bottom w:val="none" w:sz="0" w:space="0" w:color="auto"/>
            <w:right w:val="none" w:sz="0" w:space="0" w:color="auto"/>
          </w:divBdr>
        </w:div>
        <w:div w:id="1788812830">
          <w:marLeft w:val="640"/>
          <w:marRight w:val="0"/>
          <w:marTop w:val="0"/>
          <w:marBottom w:val="0"/>
          <w:divBdr>
            <w:top w:val="none" w:sz="0" w:space="0" w:color="auto"/>
            <w:left w:val="none" w:sz="0" w:space="0" w:color="auto"/>
            <w:bottom w:val="none" w:sz="0" w:space="0" w:color="auto"/>
            <w:right w:val="none" w:sz="0" w:space="0" w:color="auto"/>
          </w:divBdr>
        </w:div>
        <w:div w:id="1913469861">
          <w:marLeft w:val="640"/>
          <w:marRight w:val="0"/>
          <w:marTop w:val="0"/>
          <w:marBottom w:val="0"/>
          <w:divBdr>
            <w:top w:val="none" w:sz="0" w:space="0" w:color="auto"/>
            <w:left w:val="none" w:sz="0" w:space="0" w:color="auto"/>
            <w:bottom w:val="none" w:sz="0" w:space="0" w:color="auto"/>
            <w:right w:val="none" w:sz="0" w:space="0" w:color="auto"/>
          </w:divBdr>
        </w:div>
        <w:div w:id="1398476897">
          <w:marLeft w:val="640"/>
          <w:marRight w:val="0"/>
          <w:marTop w:val="0"/>
          <w:marBottom w:val="0"/>
          <w:divBdr>
            <w:top w:val="none" w:sz="0" w:space="0" w:color="auto"/>
            <w:left w:val="none" w:sz="0" w:space="0" w:color="auto"/>
            <w:bottom w:val="none" w:sz="0" w:space="0" w:color="auto"/>
            <w:right w:val="none" w:sz="0" w:space="0" w:color="auto"/>
          </w:divBdr>
        </w:div>
        <w:div w:id="1839343729">
          <w:marLeft w:val="640"/>
          <w:marRight w:val="0"/>
          <w:marTop w:val="0"/>
          <w:marBottom w:val="0"/>
          <w:divBdr>
            <w:top w:val="none" w:sz="0" w:space="0" w:color="auto"/>
            <w:left w:val="none" w:sz="0" w:space="0" w:color="auto"/>
            <w:bottom w:val="none" w:sz="0" w:space="0" w:color="auto"/>
            <w:right w:val="none" w:sz="0" w:space="0" w:color="auto"/>
          </w:divBdr>
        </w:div>
        <w:div w:id="245774163">
          <w:marLeft w:val="640"/>
          <w:marRight w:val="0"/>
          <w:marTop w:val="0"/>
          <w:marBottom w:val="0"/>
          <w:divBdr>
            <w:top w:val="none" w:sz="0" w:space="0" w:color="auto"/>
            <w:left w:val="none" w:sz="0" w:space="0" w:color="auto"/>
            <w:bottom w:val="none" w:sz="0" w:space="0" w:color="auto"/>
            <w:right w:val="none" w:sz="0" w:space="0" w:color="auto"/>
          </w:divBdr>
        </w:div>
        <w:div w:id="2048480930">
          <w:marLeft w:val="640"/>
          <w:marRight w:val="0"/>
          <w:marTop w:val="0"/>
          <w:marBottom w:val="0"/>
          <w:divBdr>
            <w:top w:val="none" w:sz="0" w:space="0" w:color="auto"/>
            <w:left w:val="none" w:sz="0" w:space="0" w:color="auto"/>
            <w:bottom w:val="none" w:sz="0" w:space="0" w:color="auto"/>
            <w:right w:val="none" w:sz="0" w:space="0" w:color="auto"/>
          </w:divBdr>
        </w:div>
        <w:div w:id="734857841">
          <w:marLeft w:val="640"/>
          <w:marRight w:val="0"/>
          <w:marTop w:val="0"/>
          <w:marBottom w:val="0"/>
          <w:divBdr>
            <w:top w:val="none" w:sz="0" w:space="0" w:color="auto"/>
            <w:left w:val="none" w:sz="0" w:space="0" w:color="auto"/>
            <w:bottom w:val="none" w:sz="0" w:space="0" w:color="auto"/>
            <w:right w:val="none" w:sz="0" w:space="0" w:color="auto"/>
          </w:divBdr>
        </w:div>
        <w:div w:id="517893762">
          <w:marLeft w:val="640"/>
          <w:marRight w:val="0"/>
          <w:marTop w:val="0"/>
          <w:marBottom w:val="0"/>
          <w:divBdr>
            <w:top w:val="none" w:sz="0" w:space="0" w:color="auto"/>
            <w:left w:val="none" w:sz="0" w:space="0" w:color="auto"/>
            <w:bottom w:val="none" w:sz="0" w:space="0" w:color="auto"/>
            <w:right w:val="none" w:sz="0" w:space="0" w:color="auto"/>
          </w:divBdr>
        </w:div>
        <w:div w:id="655765776">
          <w:marLeft w:val="640"/>
          <w:marRight w:val="0"/>
          <w:marTop w:val="0"/>
          <w:marBottom w:val="0"/>
          <w:divBdr>
            <w:top w:val="none" w:sz="0" w:space="0" w:color="auto"/>
            <w:left w:val="none" w:sz="0" w:space="0" w:color="auto"/>
            <w:bottom w:val="none" w:sz="0" w:space="0" w:color="auto"/>
            <w:right w:val="none" w:sz="0" w:space="0" w:color="auto"/>
          </w:divBdr>
        </w:div>
        <w:div w:id="1120732765">
          <w:marLeft w:val="640"/>
          <w:marRight w:val="0"/>
          <w:marTop w:val="0"/>
          <w:marBottom w:val="0"/>
          <w:divBdr>
            <w:top w:val="none" w:sz="0" w:space="0" w:color="auto"/>
            <w:left w:val="none" w:sz="0" w:space="0" w:color="auto"/>
            <w:bottom w:val="none" w:sz="0" w:space="0" w:color="auto"/>
            <w:right w:val="none" w:sz="0" w:space="0" w:color="auto"/>
          </w:divBdr>
        </w:div>
        <w:div w:id="438330284">
          <w:marLeft w:val="640"/>
          <w:marRight w:val="0"/>
          <w:marTop w:val="0"/>
          <w:marBottom w:val="0"/>
          <w:divBdr>
            <w:top w:val="none" w:sz="0" w:space="0" w:color="auto"/>
            <w:left w:val="none" w:sz="0" w:space="0" w:color="auto"/>
            <w:bottom w:val="none" w:sz="0" w:space="0" w:color="auto"/>
            <w:right w:val="none" w:sz="0" w:space="0" w:color="auto"/>
          </w:divBdr>
        </w:div>
        <w:div w:id="1979725522">
          <w:marLeft w:val="640"/>
          <w:marRight w:val="0"/>
          <w:marTop w:val="0"/>
          <w:marBottom w:val="0"/>
          <w:divBdr>
            <w:top w:val="none" w:sz="0" w:space="0" w:color="auto"/>
            <w:left w:val="none" w:sz="0" w:space="0" w:color="auto"/>
            <w:bottom w:val="none" w:sz="0" w:space="0" w:color="auto"/>
            <w:right w:val="none" w:sz="0" w:space="0" w:color="auto"/>
          </w:divBdr>
        </w:div>
        <w:div w:id="1005473852">
          <w:marLeft w:val="640"/>
          <w:marRight w:val="0"/>
          <w:marTop w:val="0"/>
          <w:marBottom w:val="0"/>
          <w:divBdr>
            <w:top w:val="none" w:sz="0" w:space="0" w:color="auto"/>
            <w:left w:val="none" w:sz="0" w:space="0" w:color="auto"/>
            <w:bottom w:val="none" w:sz="0" w:space="0" w:color="auto"/>
            <w:right w:val="none" w:sz="0" w:space="0" w:color="auto"/>
          </w:divBdr>
        </w:div>
        <w:div w:id="969869439">
          <w:marLeft w:val="640"/>
          <w:marRight w:val="0"/>
          <w:marTop w:val="0"/>
          <w:marBottom w:val="0"/>
          <w:divBdr>
            <w:top w:val="none" w:sz="0" w:space="0" w:color="auto"/>
            <w:left w:val="none" w:sz="0" w:space="0" w:color="auto"/>
            <w:bottom w:val="none" w:sz="0" w:space="0" w:color="auto"/>
            <w:right w:val="none" w:sz="0" w:space="0" w:color="auto"/>
          </w:divBdr>
        </w:div>
        <w:div w:id="210581670">
          <w:marLeft w:val="640"/>
          <w:marRight w:val="0"/>
          <w:marTop w:val="0"/>
          <w:marBottom w:val="0"/>
          <w:divBdr>
            <w:top w:val="none" w:sz="0" w:space="0" w:color="auto"/>
            <w:left w:val="none" w:sz="0" w:space="0" w:color="auto"/>
            <w:bottom w:val="none" w:sz="0" w:space="0" w:color="auto"/>
            <w:right w:val="none" w:sz="0" w:space="0" w:color="auto"/>
          </w:divBdr>
        </w:div>
        <w:div w:id="1098521824">
          <w:marLeft w:val="640"/>
          <w:marRight w:val="0"/>
          <w:marTop w:val="0"/>
          <w:marBottom w:val="0"/>
          <w:divBdr>
            <w:top w:val="none" w:sz="0" w:space="0" w:color="auto"/>
            <w:left w:val="none" w:sz="0" w:space="0" w:color="auto"/>
            <w:bottom w:val="none" w:sz="0" w:space="0" w:color="auto"/>
            <w:right w:val="none" w:sz="0" w:space="0" w:color="auto"/>
          </w:divBdr>
        </w:div>
        <w:div w:id="1297561227">
          <w:marLeft w:val="640"/>
          <w:marRight w:val="0"/>
          <w:marTop w:val="0"/>
          <w:marBottom w:val="0"/>
          <w:divBdr>
            <w:top w:val="none" w:sz="0" w:space="0" w:color="auto"/>
            <w:left w:val="none" w:sz="0" w:space="0" w:color="auto"/>
            <w:bottom w:val="none" w:sz="0" w:space="0" w:color="auto"/>
            <w:right w:val="none" w:sz="0" w:space="0" w:color="auto"/>
          </w:divBdr>
        </w:div>
        <w:div w:id="303126111">
          <w:marLeft w:val="640"/>
          <w:marRight w:val="0"/>
          <w:marTop w:val="0"/>
          <w:marBottom w:val="0"/>
          <w:divBdr>
            <w:top w:val="none" w:sz="0" w:space="0" w:color="auto"/>
            <w:left w:val="none" w:sz="0" w:space="0" w:color="auto"/>
            <w:bottom w:val="none" w:sz="0" w:space="0" w:color="auto"/>
            <w:right w:val="none" w:sz="0" w:space="0" w:color="auto"/>
          </w:divBdr>
        </w:div>
        <w:div w:id="339282119">
          <w:marLeft w:val="640"/>
          <w:marRight w:val="0"/>
          <w:marTop w:val="0"/>
          <w:marBottom w:val="0"/>
          <w:divBdr>
            <w:top w:val="none" w:sz="0" w:space="0" w:color="auto"/>
            <w:left w:val="none" w:sz="0" w:space="0" w:color="auto"/>
            <w:bottom w:val="none" w:sz="0" w:space="0" w:color="auto"/>
            <w:right w:val="none" w:sz="0" w:space="0" w:color="auto"/>
          </w:divBdr>
        </w:div>
        <w:div w:id="1421290898">
          <w:marLeft w:val="640"/>
          <w:marRight w:val="0"/>
          <w:marTop w:val="0"/>
          <w:marBottom w:val="0"/>
          <w:divBdr>
            <w:top w:val="none" w:sz="0" w:space="0" w:color="auto"/>
            <w:left w:val="none" w:sz="0" w:space="0" w:color="auto"/>
            <w:bottom w:val="none" w:sz="0" w:space="0" w:color="auto"/>
            <w:right w:val="none" w:sz="0" w:space="0" w:color="auto"/>
          </w:divBdr>
        </w:div>
        <w:div w:id="1084305089">
          <w:marLeft w:val="640"/>
          <w:marRight w:val="0"/>
          <w:marTop w:val="0"/>
          <w:marBottom w:val="0"/>
          <w:divBdr>
            <w:top w:val="none" w:sz="0" w:space="0" w:color="auto"/>
            <w:left w:val="none" w:sz="0" w:space="0" w:color="auto"/>
            <w:bottom w:val="none" w:sz="0" w:space="0" w:color="auto"/>
            <w:right w:val="none" w:sz="0" w:space="0" w:color="auto"/>
          </w:divBdr>
        </w:div>
        <w:div w:id="1233395199">
          <w:marLeft w:val="640"/>
          <w:marRight w:val="0"/>
          <w:marTop w:val="0"/>
          <w:marBottom w:val="0"/>
          <w:divBdr>
            <w:top w:val="none" w:sz="0" w:space="0" w:color="auto"/>
            <w:left w:val="none" w:sz="0" w:space="0" w:color="auto"/>
            <w:bottom w:val="none" w:sz="0" w:space="0" w:color="auto"/>
            <w:right w:val="none" w:sz="0" w:space="0" w:color="auto"/>
          </w:divBdr>
        </w:div>
        <w:div w:id="1255361390">
          <w:marLeft w:val="640"/>
          <w:marRight w:val="0"/>
          <w:marTop w:val="0"/>
          <w:marBottom w:val="0"/>
          <w:divBdr>
            <w:top w:val="none" w:sz="0" w:space="0" w:color="auto"/>
            <w:left w:val="none" w:sz="0" w:space="0" w:color="auto"/>
            <w:bottom w:val="none" w:sz="0" w:space="0" w:color="auto"/>
            <w:right w:val="none" w:sz="0" w:space="0" w:color="auto"/>
          </w:divBdr>
        </w:div>
        <w:div w:id="1753576855">
          <w:marLeft w:val="640"/>
          <w:marRight w:val="0"/>
          <w:marTop w:val="0"/>
          <w:marBottom w:val="0"/>
          <w:divBdr>
            <w:top w:val="none" w:sz="0" w:space="0" w:color="auto"/>
            <w:left w:val="none" w:sz="0" w:space="0" w:color="auto"/>
            <w:bottom w:val="none" w:sz="0" w:space="0" w:color="auto"/>
            <w:right w:val="none" w:sz="0" w:space="0" w:color="auto"/>
          </w:divBdr>
        </w:div>
        <w:div w:id="1483427720">
          <w:marLeft w:val="640"/>
          <w:marRight w:val="0"/>
          <w:marTop w:val="0"/>
          <w:marBottom w:val="0"/>
          <w:divBdr>
            <w:top w:val="none" w:sz="0" w:space="0" w:color="auto"/>
            <w:left w:val="none" w:sz="0" w:space="0" w:color="auto"/>
            <w:bottom w:val="none" w:sz="0" w:space="0" w:color="auto"/>
            <w:right w:val="none" w:sz="0" w:space="0" w:color="auto"/>
          </w:divBdr>
        </w:div>
        <w:div w:id="1025402214">
          <w:marLeft w:val="640"/>
          <w:marRight w:val="0"/>
          <w:marTop w:val="0"/>
          <w:marBottom w:val="0"/>
          <w:divBdr>
            <w:top w:val="none" w:sz="0" w:space="0" w:color="auto"/>
            <w:left w:val="none" w:sz="0" w:space="0" w:color="auto"/>
            <w:bottom w:val="none" w:sz="0" w:space="0" w:color="auto"/>
            <w:right w:val="none" w:sz="0" w:space="0" w:color="auto"/>
          </w:divBdr>
        </w:div>
        <w:div w:id="761024374">
          <w:marLeft w:val="640"/>
          <w:marRight w:val="0"/>
          <w:marTop w:val="0"/>
          <w:marBottom w:val="0"/>
          <w:divBdr>
            <w:top w:val="none" w:sz="0" w:space="0" w:color="auto"/>
            <w:left w:val="none" w:sz="0" w:space="0" w:color="auto"/>
            <w:bottom w:val="none" w:sz="0" w:space="0" w:color="auto"/>
            <w:right w:val="none" w:sz="0" w:space="0" w:color="auto"/>
          </w:divBdr>
        </w:div>
        <w:div w:id="92241532">
          <w:marLeft w:val="640"/>
          <w:marRight w:val="0"/>
          <w:marTop w:val="0"/>
          <w:marBottom w:val="0"/>
          <w:divBdr>
            <w:top w:val="none" w:sz="0" w:space="0" w:color="auto"/>
            <w:left w:val="none" w:sz="0" w:space="0" w:color="auto"/>
            <w:bottom w:val="none" w:sz="0" w:space="0" w:color="auto"/>
            <w:right w:val="none" w:sz="0" w:space="0" w:color="auto"/>
          </w:divBdr>
        </w:div>
        <w:div w:id="309331277">
          <w:marLeft w:val="640"/>
          <w:marRight w:val="0"/>
          <w:marTop w:val="0"/>
          <w:marBottom w:val="0"/>
          <w:divBdr>
            <w:top w:val="none" w:sz="0" w:space="0" w:color="auto"/>
            <w:left w:val="none" w:sz="0" w:space="0" w:color="auto"/>
            <w:bottom w:val="none" w:sz="0" w:space="0" w:color="auto"/>
            <w:right w:val="none" w:sz="0" w:space="0" w:color="auto"/>
          </w:divBdr>
        </w:div>
        <w:div w:id="1389500059">
          <w:marLeft w:val="640"/>
          <w:marRight w:val="0"/>
          <w:marTop w:val="0"/>
          <w:marBottom w:val="0"/>
          <w:divBdr>
            <w:top w:val="none" w:sz="0" w:space="0" w:color="auto"/>
            <w:left w:val="none" w:sz="0" w:space="0" w:color="auto"/>
            <w:bottom w:val="none" w:sz="0" w:space="0" w:color="auto"/>
            <w:right w:val="none" w:sz="0" w:space="0" w:color="auto"/>
          </w:divBdr>
        </w:div>
        <w:div w:id="1289895404">
          <w:marLeft w:val="640"/>
          <w:marRight w:val="0"/>
          <w:marTop w:val="0"/>
          <w:marBottom w:val="0"/>
          <w:divBdr>
            <w:top w:val="none" w:sz="0" w:space="0" w:color="auto"/>
            <w:left w:val="none" w:sz="0" w:space="0" w:color="auto"/>
            <w:bottom w:val="none" w:sz="0" w:space="0" w:color="auto"/>
            <w:right w:val="none" w:sz="0" w:space="0" w:color="auto"/>
          </w:divBdr>
        </w:div>
        <w:div w:id="794521441">
          <w:marLeft w:val="640"/>
          <w:marRight w:val="0"/>
          <w:marTop w:val="0"/>
          <w:marBottom w:val="0"/>
          <w:divBdr>
            <w:top w:val="none" w:sz="0" w:space="0" w:color="auto"/>
            <w:left w:val="none" w:sz="0" w:space="0" w:color="auto"/>
            <w:bottom w:val="none" w:sz="0" w:space="0" w:color="auto"/>
            <w:right w:val="none" w:sz="0" w:space="0" w:color="auto"/>
          </w:divBdr>
        </w:div>
        <w:div w:id="348290306">
          <w:marLeft w:val="640"/>
          <w:marRight w:val="0"/>
          <w:marTop w:val="0"/>
          <w:marBottom w:val="0"/>
          <w:divBdr>
            <w:top w:val="none" w:sz="0" w:space="0" w:color="auto"/>
            <w:left w:val="none" w:sz="0" w:space="0" w:color="auto"/>
            <w:bottom w:val="none" w:sz="0" w:space="0" w:color="auto"/>
            <w:right w:val="none" w:sz="0" w:space="0" w:color="auto"/>
          </w:divBdr>
        </w:div>
        <w:div w:id="1717240682">
          <w:marLeft w:val="640"/>
          <w:marRight w:val="0"/>
          <w:marTop w:val="0"/>
          <w:marBottom w:val="0"/>
          <w:divBdr>
            <w:top w:val="none" w:sz="0" w:space="0" w:color="auto"/>
            <w:left w:val="none" w:sz="0" w:space="0" w:color="auto"/>
            <w:bottom w:val="none" w:sz="0" w:space="0" w:color="auto"/>
            <w:right w:val="none" w:sz="0" w:space="0" w:color="auto"/>
          </w:divBdr>
        </w:div>
        <w:div w:id="249773619">
          <w:marLeft w:val="640"/>
          <w:marRight w:val="0"/>
          <w:marTop w:val="0"/>
          <w:marBottom w:val="0"/>
          <w:divBdr>
            <w:top w:val="none" w:sz="0" w:space="0" w:color="auto"/>
            <w:left w:val="none" w:sz="0" w:space="0" w:color="auto"/>
            <w:bottom w:val="none" w:sz="0" w:space="0" w:color="auto"/>
            <w:right w:val="none" w:sz="0" w:space="0" w:color="auto"/>
          </w:divBdr>
        </w:div>
        <w:div w:id="1162358607">
          <w:marLeft w:val="640"/>
          <w:marRight w:val="0"/>
          <w:marTop w:val="0"/>
          <w:marBottom w:val="0"/>
          <w:divBdr>
            <w:top w:val="none" w:sz="0" w:space="0" w:color="auto"/>
            <w:left w:val="none" w:sz="0" w:space="0" w:color="auto"/>
            <w:bottom w:val="none" w:sz="0" w:space="0" w:color="auto"/>
            <w:right w:val="none" w:sz="0" w:space="0" w:color="auto"/>
          </w:divBdr>
        </w:div>
        <w:div w:id="1966154341">
          <w:marLeft w:val="640"/>
          <w:marRight w:val="0"/>
          <w:marTop w:val="0"/>
          <w:marBottom w:val="0"/>
          <w:divBdr>
            <w:top w:val="none" w:sz="0" w:space="0" w:color="auto"/>
            <w:left w:val="none" w:sz="0" w:space="0" w:color="auto"/>
            <w:bottom w:val="none" w:sz="0" w:space="0" w:color="auto"/>
            <w:right w:val="none" w:sz="0" w:space="0" w:color="auto"/>
          </w:divBdr>
        </w:div>
        <w:div w:id="2084452648">
          <w:marLeft w:val="640"/>
          <w:marRight w:val="0"/>
          <w:marTop w:val="0"/>
          <w:marBottom w:val="0"/>
          <w:divBdr>
            <w:top w:val="none" w:sz="0" w:space="0" w:color="auto"/>
            <w:left w:val="none" w:sz="0" w:space="0" w:color="auto"/>
            <w:bottom w:val="none" w:sz="0" w:space="0" w:color="auto"/>
            <w:right w:val="none" w:sz="0" w:space="0" w:color="auto"/>
          </w:divBdr>
        </w:div>
        <w:div w:id="1414469369">
          <w:marLeft w:val="640"/>
          <w:marRight w:val="0"/>
          <w:marTop w:val="0"/>
          <w:marBottom w:val="0"/>
          <w:divBdr>
            <w:top w:val="none" w:sz="0" w:space="0" w:color="auto"/>
            <w:left w:val="none" w:sz="0" w:space="0" w:color="auto"/>
            <w:bottom w:val="none" w:sz="0" w:space="0" w:color="auto"/>
            <w:right w:val="none" w:sz="0" w:space="0" w:color="auto"/>
          </w:divBdr>
        </w:div>
        <w:div w:id="1325400439">
          <w:marLeft w:val="640"/>
          <w:marRight w:val="0"/>
          <w:marTop w:val="0"/>
          <w:marBottom w:val="0"/>
          <w:divBdr>
            <w:top w:val="none" w:sz="0" w:space="0" w:color="auto"/>
            <w:left w:val="none" w:sz="0" w:space="0" w:color="auto"/>
            <w:bottom w:val="none" w:sz="0" w:space="0" w:color="auto"/>
            <w:right w:val="none" w:sz="0" w:space="0" w:color="auto"/>
          </w:divBdr>
        </w:div>
        <w:div w:id="752118609">
          <w:marLeft w:val="640"/>
          <w:marRight w:val="0"/>
          <w:marTop w:val="0"/>
          <w:marBottom w:val="0"/>
          <w:divBdr>
            <w:top w:val="none" w:sz="0" w:space="0" w:color="auto"/>
            <w:left w:val="none" w:sz="0" w:space="0" w:color="auto"/>
            <w:bottom w:val="none" w:sz="0" w:space="0" w:color="auto"/>
            <w:right w:val="none" w:sz="0" w:space="0" w:color="auto"/>
          </w:divBdr>
        </w:div>
        <w:div w:id="813570205">
          <w:marLeft w:val="640"/>
          <w:marRight w:val="0"/>
          <w:marTop w:val="0"/>
          <w:marBottom w:val="0"/>
          <w:divBdr>
            <w:top w:val="none" w:sz="0" w:space="0" w:color="auto"/>
            <w:left w:val="none" w:sz="0" w:space="0" w:color="auto"/>
            <w:bottom w:val="none" w:sz="0" w:space="0" w:color="auto"/>
            <w:right w:val="none" w:sz="0" w:space="0" w:color="auto"/>
          </w:divBdr>
        </w:div>
        <w:div w:id="1228565633">
          <w:marLeft w:val="640"/>
          <w:marRight w:val="0"/>
          <w:marTop w:val="0"/>
          <w:marBottom w:val="0"/>
          <w:divBdr>
            <w:top w:val="none" w:sz="0" w:space="0" w:color="auto"/>
            <w:left w:val="none" w:sz="0" w:space="0" w:color="auto"/>
            <w:bottom w:val="none" w:sz="0" w:space="0" w:color="auto"/>
            <w:right w:val="none" w:sz="0" w:space="0" w:color="auto"/>
          </w:divBdr>
        </w:div>
        <w:div w:id="834340332">
          <w:marLeft w:val="640"/>
          <w:marRight w:val="0"/>
          <w:marTop w:val="0"/>
          <w:marBottom w:val="0"/>
          <w:divBdr>
            <w:top w:val="none" w:sz="0" w:space="0" w:color="auto"/>
            <w:left w:val="none" w:sz="0" w:space="0" w:color="auto"/>
            <w:bottom w:val="none" w:sz="0" w:space="0" w:color="auto"/>
            <w:right w:val="none" w:sz="0" w:space="0" w:color="auto"/>
          </w:divBdr>
        </w:div>
        <w:div w:id="1015501912">
          <w:marLeft w:val="640"/>
          <w:marRight w:val="0"/>
          <w:marTop w:val="0"/>
          <w:marBottom w:val="0"/>
          <w:divBdr>
            <w:top w:val="none" w:sz="0" w:space="0" w:color="auto"/>
            <w:left w:val="none" w:sz="0" w:space="0" w:color="auto"/>
            <w:bottom w:val="none" w:sz="0" w:space="0" w:color="auto"/>
            <w:right w:val="none" w:sz="0" w:space="0" w:color="auto"/>
          </w:divBdr>
        </w:div>
        <w:div w:id="1329018920">
          <w:marLeft w:val="640"/>
          <w:marRight w:val="0"/>
          <w:marTop w:val="0"/>
          <w:marBottom w:val="0"/>
          <w:divBdr>
            <w:top w:val="none" w:sz="0" w:space="0" w:color="auto"/>
            <w:left w:val="none" w:sz="0" w:space="0" w:color="auto"/>
            <w:bottom w:val="none" w:sz="0" w:space="0" w:color="auto"/>
            <w:right w:val="none" w:sz="0" w:space="0" w:color="auto"/>
          </w:divBdr>
        </w:div>
        <w:div w:id="1714311717">
          <w:marLeft w:val="640"/>
          <w:marRight w:val="0"/>
          <w:marTop w:val="0"/>
          <w:marBottom w:val="0"/>
          <w:divBdr>
            <w:top w:val="none" w:sz="0" w:space="0" w:color="auto"/>
            <w:left w:val="none" w:sz="0" w:space="0" w:color="auto"/>
            <w:bottom w:val="none" w:sz="0" w:space="0" w:color="auto"/>
            <w:right w:val="none" w:sz="0" w:space="0" w:color="auto"/>
          </w:divBdr>
        </w:div>
        <w:div w:id="1785340067">
          <w:marLeft w:val="640"/>
          <w:marRight w:val="0"/>
          <w:marTop w:val="0"/>
          <w:marBottom w:val="0"/>
          <w:divBdr>
            <w:top w:val="none" w:sz="0" w:space="0" w:color="auto"/>
            <w:left w:val="none" w:sz="0" w:space="0" w:color="auto"/>
            <w:bottom w:val="none" w:sz="0" w:space="0" w:color="auto"/>
            <w:right w:val="none" w:sz="0" w:space="0" w:color="auto"/>
          </w:divBdr>
        </w:div>
        <w:div w:id="449278513">
          <w:marLeft w:val="640"/>
          <w:marRight w:val="0"/>
          <w:marTop w:val="0"/>
          <w:marBottom w:val="0"/>
          <w:divBdr>
            <w:top w:val="none" w:sz="0" w:space="0" w:color="auto"/>
            <w:left w:val="none" w:sz="0" w:space="0" w:color="auto"/>
            <w:bottom w:val="none" w:sz="0" w:space="0" w:color="auto"/>
            <w:right w:val="none" w:sz="0" w:space="0" w:color="auto"/>
          </w:divBdr>
        </w:div>
        <w:div w:id="1719739474">
          <w:marLeft w:val="640"/>
          <w:marRight w:val="0"/>
          <w:marTop w:val="0"/>
          <w:marBottom w:val="0"/>
          <w:divBdr>
            <w:top w:val="none" w:sz="0" w:space="0" w:color="auto"/>
            <w:left w:val="none" w:sz="0" w:space="0" w:color="auto"/>
            <w:bottom w:val="none" w:sz="0" w:space="0" w:color="auto"/>
            <w:right w:val="none" w:sz="0" w:space="0" w:color="auto"/>
          </w:divBdr>
        </w:div>
        <w:div w:id="1593275981">
          <w:marLeft w:val="640"/>
          <w:marRight w:val="0"/>
          <w:marTop w:val="0"/>
          <w:marBottom w:val="0"/>
          <w:divBdr>
            <w:top w:val="none" w:sz="0" w:space="0" w:color="auto"/>
            <w:left w:val="none" w:sz="0" w:space="0" w:color="auto"/>
            <w:bottom w:val="none" w:sz="0" w:space="0" w:color="auto"/>
            <w:right w:val="none" w:sz="0" w:space="0" w:color="auto"/>
          </w:divBdr>
        </w:div>
        <w:div w:id="374352718">
          <w:marLeft w:val="640"/>
          <w:marRight w:val="0"/>
          <w:marTop w:val="0"/>
          <w:marBottom w:val="0"/>
          <w:divBdr>
            <w:top w:val="none" w:sz="0" w:space="0" w:color="auto"/>
            <w:left w:val="none" w:sz="0" w:space="0" w:color="auto"/>
            <w:bottom w:val="none" w:sz="0" w:space="0" w:color="auto"/>
            <w:right w:val="none" w:sz="0" w:space="0" w:color="auto"/>
          </w:divBdr>
        </w:div>
        <w:div w:id="1507860815">
          <w:marLeft w:val="640"/>
          <w:marRight w:val="0"/>
          <w:marTop w:val="0"/>
          <w:marBottom w:val="0"/>
          <w:divBdr>
            <w:top w:val="none" w:sz="0" w:space="0" w:color="auto"/>
            <w:left w:val="none" w:sz="0" w:space="0" w:color="auto"/>
            <w:bottom w:val="none" w:sz="0" w:space="0" w:color="auto"/>
            <w:right w:val="none" w:sz="0" w:space="0" w:color="auto"/>
          </w:divBdr>
        </w:div>
        <w:div w:id="1591354867">
          <w:marLeft w:val="640"/>
          <w:marRight w:val="0"/>
          <w:marTop w:val="0"/>
          <w:marBottom w:val="0"/>
          <w:divBdr>
            <w:top w:val="none" w:sz="0" w:space="0" w:color="auto"/>
            <w:left w:val="none" w:sz="0" w:space="0" w:color="auto"/>
            <w:bottom w:val="none" w:sz="0" w:space="0" w:color="auto"/>
            <w:right w:val="none" w:sz="0" w:space="0" w:color="auto"/>
          </w:divBdr>
        </w:div>
        <w:div w:id="2109154657">
          <w:marLeft w:val="640"/>
          <w:marRight w:val="0"/>
          <w:marTop w:val="0"/>
          <w:marBottom w:val="0"/>
          <w:divBdr>
            <w:top w:val="none" w:sz="0" w:space="0" w:color="auto"/>
            <w:left w:val="none" w:sz="0" w:space="0" w:color="auto"/>
            <w:bottom w:val="none" w:sz="0" w:space="0" w:color="auto"/>
            <w:right w:val="none" w:sz="0" w:space="0" w:color="auto"/>
          </w:divBdr>
        </w:div>
        <w:div w:id="37364257">
          <w:marLeft w:val="640"/>
          <w:marRight w:val="0"/>
          <w:marTop w:val="0"/>
          <w:marBottom w:val="0"/>
          <w:divBdr>
            <w:top w:val="none" w:sz="0" w:space="0" w:color="auto"/>
            <w:left w:val="none" w:sz="0" w:space="0" w:color="auto"/>
            <w:bottom w:val="none" w:sz="0" w:space="0" w:color="auto"/>
            <w:right w:val="none" w:sz="0" w:space="0" w:color="auto"/>
          </w:divBdr>
        </w:div>
        <w:div w:id="1702827079">
          <w:marLeft w:val="640"/>
          <w:marRight w:val="0"/>
          <w:marTop w:val="0"/>
          <w:marBottom w:val="0"/>
          <w:divBdr>
            <w:top w:val="none" w:sz="0" w:space="0" w:color="auto"/>
            <w:left w:val="none" w:sz="0" w:space="0" w:color="auto"/>
            <w:bottom w:val="none" w:sz="0" w:space="0" w:color="auto"/>
            <w:right w:val="none" w:sz="0" w:space="0" w:color="auto"/>
          </w:divBdr>
        </w:div>
        <w:div w:id="103966250">
          <w:marLeft w:val="640"/>
          <w:marRight w:val="0"/>
          <w:marTop w:val="0"/>
          <w:marBottom w:val="0"/>
          <w:divBdr>
            <w:top w:val="none" w:sz="0" w:space="0" w:color="auto"/>
            <w:left w:val="none" w:sz="0" w:space="0" w:color="auto"/>
            <w:bottom w:val="none" w:sz="0" w:space="0" w:color="auto"/>
            <w:right w:val="none" w:sz="0" w:space="0" w:color="auto"/>
          </w:divBdr>
        </w:div>
        <w:div w:id="248780547">
          <w:marLeft w:val="640"/>
          <w:marRight w:val="0"/>
          <w:marTop w:val="0"/>
          <w:marBottom w:val="0"/>
          <w:divBdr>
            <w:top w:val="none" w:sz="0" w:space="0" w:color="auto"/>
            <w:left w:val="none" w:sz="0" w:space="0" w:color="auto"/>
            <w:bottom w:val="none" w:sz="0" w:space="0" w:color="auto"/>
            <w:right w:val="none" w:sz="0" w:space="0" w:color="auto"/>
          </w:divBdr>
        </w:div>
        <w:div w:id="1425102974">
          <w:marLeft w:val="640"/>
          <w:marRight w:val="0"/>
          <w:marTop w:val="0"/>
          <w:marBottom w:val="0"/>
          <w:divBdr>
            <w:top w:val="none" w:sz="0" w:space="0" w:color="auto"/>
            <w:left w:val="none" w:sz="0" w:space="0" w:color="auto"/>
            <w:bottom w:val="none" w:sz="0" w:space="0" w:color="auto"/>
            <w:right w:val="none" w:sz="0" w:space="0" w:color="auto"/>
          </w:divBdr>
        </w:div>
        <w:div w:id="40830590">
          <w:marLeft w:val="640"/>
          <w:marRight w:val="0"/>
          <w:marTop w:val="0"/>
          <w:marBottom w:val="0"/>
          <w:divBdr>
            <w:top w:val="none" w:sz="0" w:space="0" w:color="auto"/>
            <w:left w:val="none" w:sz="0" w:space="0" w:color="auto"/>
            <w:bottom w:val="none" w:sz="0" w:space="0" w:color="auto"/>
            <w:right w:val="none" w:sz="0" w:space="0" w:color="auto"/>
          </w:divBdr>
        </w:div>
        <w:div w:id="197276318">
          <w:marLeft w:val="640"/>
          <w:marRight w:val="0"/>
          <w:marTop w:val="0"/>
          <w:marBottom w:val="0"/>
          <w:divBdr>
            <w:top w:val="none" w:sz="0" w:space="0" w:color="auto"/>
            <w:left w:val="none" w:sz="0" w:space="0" w:color="auto"/>
            <w:bottom w:val="none" w:sz="0" w:space="0" w:color="auto"/>
            <w:right w:val="none" w:sz="0" w:space="0" w:color="auto"/>
          </w:divBdr>
        </w:div>
        <w:div w:id="1691295989">
          <w:marLeft w:val="640"/>
          <w:marRight w:val="0"/>
          <w:marTop w:val="0"/>
          <w:marBottom w:val="0"/>
          <w:divBdr>
            <w:top w:val="none" w:sz="0" w:space="0" w:color="auto"/>
            <w:left w:val="none" w:sz="0" w:space="0" w:color="auto"/>
            <w:bottom w:val="none" w:sz="0" w:space="0" w:color="auto"/>
            <w:right w:val="none" w:sz="0" w:space="0" w:color="auto"/>
          </w:divBdr>
        </w:div>
        <w:div w:id="1659457718">
          <w:marLeft w:val="640"/>
          <w:marRight w:val="0"/>
          <w:marTop w:val="0"/>
          <w:marBottom w:val="0"/>
          <w:divBdr>
            <w:top w:val="none" w:sz="0" w:space="0" w:color="auto"/>
            <w:left w:val="none" w:sz="0" w:space="0" w:color="auto"/>
            <w:bottom w:val="none" w:sz="0" w:space="0" w:color="auto"/>
            <w:right w:val="none" w:sz="0" w:space="0" w:color="auto"/>
          </w:divBdr>
        </w:div>
        <w:div w:id="1716152502">
          <w:marLeft w:val="640"/>
          <w:marRight w:val="0"/>
          <w:marTop w:val="0"/>
          <w:marBottom w:val="0"/>
          <w:divBdr>
            <w:top w:val="none" w:sz="0" w:space="0" w:color="auto"/>
            <w:left w:val="none" w:sz="0" w:space="0" w:color="auto"/>
            <w:bottom w:val="none" w:sz="0" w:space="0" w:color="auto"/>
            <w:right w:val="none" w:sz="0" w:space="0" w:color="auto"/>
          </w:divBdr>
        </w:div>
        <w:div w:id="723017887">
          <w:marLeft w:val="640"/>
          <w:marRight w:val="0"/>
          <w:marTop w:val="0"/>
          <w:marBottom w:val="0"/>
          <w:divBdr>
            <w:top w:val="none" w:sz="0" w:space="0" w:color="auto"/>
            <w:left w:val="none" w:sz="0" w:space="0" w:color="auto"/>
            <w:bottom w:val="none" w:sz="0" w:space="0" w:color="auto"/>
            <w:right w:val="none" w:sz="0" w:space="0" w:color="auto"/>
          </w:divBdr>
        </w:div>
        <w:div w:id="1450275798">
          <w:marLeft w:val="640"/>
          <w:marRight w:val="0"/>
          <w:marTop w:val="0"/>
          <w:marBottom w:val="0"/>
          <w:divBdr>
            <w:top w:val="none" w:sz="0" w:space="0" w:color="auto"/>
            <w:left w:val="none" w:sz="0" w:space="0" w:color="auto"/>
            <w:bottom w:val="none" w:sz="0" w:space="0" w:color="auto"/>
            <w:right w:val="none" w:sz="0" w:space="0" w:color="auto"/>
          </w:divBdr>
        </w:div>
        <w:div w:id="214389440">
          <w:marLeft w:val="640"/>
          <w:marRight w:val="0"/>
          <w:marTop w:val="0"/>
          <w:marBottom w:val="0"/>
          <w:divBdr>
            <w:top w:val="none" w:sz="0" w:space="0" w:color="auto"/>
            <w:left w:val="none" w:sz="0" w:space="0" w:color="auto"/>
            <w:bottom w:val="none" w:sz="0" w:space="0" w:color="auto"/>
            <w:right w:val="none" w:sz="0" w:space="0" w:color="auto"/>
          </w:divBdr>
        </w:div>
        <w:div w:id="942767421">
          <w:marLeft w:val="640"/>
          <w:marRight w:val="0"/>
          <w:marTop w:val="0"/>
          <w:marBottom w:val="0"/>
          <w:divBdr>
            <w:top w:val="none" w:sz="0" w:space="0" w:color="auto"/>
            <w:left w:val="none" w:sz="0" w:space="0" w:color="auto"/>
            <w:bottom w:val="none" w:sz="0" w:space="0" w:color="auto"/>
            <w:right w:val="none" w:sz="0" w:space="0" w:color="auto"/>
          </w:divBdr>
        </w:div>
        <w:div w:id="1163008482">
          <w:marLeft w:val="640"/>
          <w:marRight w:val="0"/>
          <w:marTop w:val="0"/>
          <w:marBottom w:val="0"/>
          <w:divBdr>
            <w:top w:val="none" w:sz="0" w:space="0" w:color="auto"/>
            <w:left w:val="none" w:sz="0" w:space="0" w:color="auto"/>
            <w:bottom w:val="none" w:sz="0" w:space="0" w:color="auto"/>
            <w:right w:val="none" w:sz="0" w:space="0" w:color="auto"/>
          </w:divBdr>
        </w:div>
        <w:div w:id="76053366">
          <w:marLeft w:val="640"/>
          <w:marRight w:val="0"/>
          <w:marTop w:val="0"/>
          <w:marBottom w:val="0"/>
          <w:divBdr>
            <w:top w:val="none" w:sz="0" w:space="0" w:color="auto"/>
            <w:left w:val="none" w:sz="0" w:space="0" w:color="auto"/>
            <w:bottom w:val="none" w:sz="0" w:space="0" w:color="auto"/>
            <w:right w:val="none" w:sz="0" w:space="0" w:color="auto"/>
          </w:divBdr>
        </w:div>
        <w:div w:id="440536368">
          <w:marLeft w:val="640"/>
          <w:marRight w:val="0"/>
          <w:marTop w:val="0"/>
          <w:marBottom w:val="0"/>
          <w:divBdr>
            <w:top w:val="none" w:sz="0" w:space="0" w:color="auto"/>
            <w:left w:val="none" w:sz="0" w:space="0" w:color="auto"/>
            <w:bottom w:val="none" w:sz="0" w:space="0" w:color="auto"/>
            <w:right w:val="none" w:sz="0" w:space="0" w:color="auto"/>
          </w:divBdr>
        </w:div>
        <w:div w:id="1821772889">
          <w:marLeft w:val="640"/>
          <w:marRight w:val="0"/>
          <w:marTop w:val="0"/>
          <w:marBottom w:val="0"/>
          <w:divBdr>
            <w:top w:val="none" w:sz="0" w:space="0" w:color="auto"/>
            <w:left w:val="none" w:sz="0" w:space="0" w:color="auto"/>
            <w:bottom w:val="none" w:sz="0" w:space="0" w:color="auto"/>
            <w:right w:val="none" w:sz="0" w:space="0" w:color="auto"/>
          </w:divBdr>
        </w:div>
        <w:div w:id="855731089">
          <w:marLeft w:val="640"/>
          <w:marRight w:val="0"/>
          <w:marTop w:val="0"/>
          <w:marBottom w:val="0"/>
          <w:divBdr>
            <w:top w:val="none" w:sz="0" w:space="0" w:color="auto"/>
            <w:left w:val="none" w:sz="0" w:space="0" w:color="auto"/>
            <w:bottom w:val="none" w:sz="0" w:space="0" w:color="auto"/>
            <w:right w:val="none" w:sz="0" w:space="0" w:color="auto"/>
          </w:divBdr>
        </w:div>
        <w:div w:id="1159808279">
          <w:marLeft w:val="640"/>
          <w:marRight w:val="0"/>
          <w:marTop w:val="0"/>
          <w:marBottom w:val="0"/>
          <w:divBdr>
            <w:top w:val="none" w:sz="0" w:space="0" w:color="auto"/>
            <w:left w:val="none" w:sz="0" w:space="0" w:color="auto"/>
            <w:bottom w:val="none" w:sz="0" w:space="0" w:color="auto"/>
            <w:right w:val="none" w:sz="0" w:space="0" w:color="auto"/>
          </w:divBdr>
        </w:div>
        <w:div w:id="446973762">
          <w:marLeft w:val="640"/>
          <w:marRight w:val="0"/>
          <w:marTop w:val="0"/>
          <w:marBottom w:val="0"/>
          <w:divBdr>
            <w:top w:val="none" w:sz="0" w:space="0" w:color="auto"/>
            <w:left w:val="none" w:sz="0" w:space="0" w:color="auto"/>
            <w:bottom w:val="none" w:sz="0" w:space="0" w:color="auto"/>
            <w:right w:val="none" w:sz="0" w:space="0" w:color="auto"/>
          </w:divBdr>
        </w:div>
        <w:div w:id="1473212415">
          <w:marLeft w:val="640"/>
          <w:marRight w:val="0"/>
          <w:marTop w:val="0"/>
          <w:marBottom w:val="0"/>
          <w:divBdr>
            <w:top w:val="none" w:sz="0" w:space="0" w:color="auto"/>
            <w:left w:val="none" w:sz="0" w:space="0" w:color="auto"/>
            <w:bottom w:val="none" w:sz="0" w:space="0" w:color="auto"/>
            <w:right w:val="none" w:sz="0" w:space="0" w:color="auto"/>
          </w:divBdr>
        </w:div>
        <w:div w:id="810706701">
          <w:marLeft w:val="640"/>
          <w:marRight w:val="0"/>
          <w:marTop w:val="0"/>
          <w:marBottom w:val="0"/>
          <w:divBdr>
            <w:top w:val="none" w:sz="0" w:space="0" w:color="auto"/>
            <w:left w:val="none" w:sz="0" w:space="0" w:color="auto"/>
            <w:bottom w:val="none" w:sz="0" w:space="0" w:color="auto"/>
            <w:right w:val="none" w:sz="0" w:space="0" w:color="auto"/>
          </w:divBdr>
        </w:div>
        <w:div w:id="1965112207">
          <w:marLeft w:val="640"/>
          <w:marRight w:val="0"/>
          <w:marTop w:val="0"/>
          <w:marBottom w:val="0"/>
          <w:divBdr>
            <w:top w:val="none" w:sz="0" w:space="0" w:color="auto"/>
            <w:left w:val="none" w:sz="0" w:space="0" w:color="auto"/>
            <w:bottom w:val="none" w:sz="0" w:space="0" w:color="auto"/>
            <w:right w:val="none" w:sz="0" w:space="0" w:color="auto"/>
          </w:divBdr>
        </w:div>
        <w:div w:id="1719472055">
          <w:marLeft w:val="640"/>
          <w:marRight w:val="0"/>
          <w:marTop w:val="0"/>
          <w:marBottom w:val="0"/>
          <w:divBdr>
            <w:top w:val="none" w:sz="0" w:space="0" w:color="auto"/>
            <w:left w:val="none" w:sz="0" w:space="0" w:color="auto"/>
            <w:bottom w:val="none" w:sz="0" w:space="0" w:color="auto"/>
            <w:right w:val="none" w:sz="0" w:space="0" w:color="auto"/>
          </w:divBdr>
        </w:div>
        <w:div w:id="1768576224">
          <w:marLeft w:val="640"/>
          <w:marRight w:val="0"/>
          <w:marTop w:val="0"/>
          <w:marBottom w:val="0"/>
          <w:divBdr>
            <w:top w:val="none" w:sz="0" w:space="0" w:color="auto"/>
            <w:left w:val="none" w:sz="0" w:space="0" w:color="auto"/>
            <w:bottom w:val="none" w:sz="0" w:space="0" w:color="auto"/>
            <w:right w:val="none" w:sz="0" w:space="0" w:color="auto"/>
          </w:divBdr>
        </w:div>
        <w:div w:id="1237478931">
          <w:marLeft w:val="640"/>
          <w:marRight w:val="0"/>
          <w:marTop w:val="0"/>
          <w:marBottom w:val="0"/>
          <w:divBdr>
            <w:top w:val="none" w:sz="0" w:space="0" w:color="auto"/>
            <w:left w:val="none" w:sz="0" w:space="0" w:color="auto"/>
            <w:bottom w:val="none" w:sz="0" w:space="0" w:color="auto"/>
            <w:right w:val="none" w:sz="0" w:space="0" w:color="auto"/>
          </w:divBdr>
        </w:div>
        <w:div w:id="18900263">
          <w:marLeft w:val="640"/>
          <w:marRight w:val="0"/>
          <w:marTop w:val="0"/>
          <w:marBottom w:val="0"/>
          <w:divBdr>
            <w:top w:val="none" w:sz="0" w:space="0" w:color="auto"/>
            <w:left w:val="none" w:sz="0" w:space="0" w:color="auto"/>
            <w:bottom w:val="none" w:sz="0" w:space="0" w:color="auto"/>
            <w:right w:val="none" w:sz="0" w:space="0" w:color="auto"/>
          </w:divBdr>
        </w:div>
        <w:div w:id="609435385">
          <w:marLeft w:val="640"/>
          <w:marRight w:val="0"/>
          <w:marTop w:val="0"/>
          <w:marBottom w:val="0"/>
          <w:divBdr>
            <w:top w:val="none" w:sz="0" w:space="0" w:color="auto"/>
            <w:left w:val="none" w:sz="0" w:space="0" w:color="auto"/>
            <w:bottom w:val="none" w:sz="0" w:space="0" w:color="auto"/>
            <w:right w:val="none" w:sz="0" w:space="0" w:color="auto"/>
          </w:divBdr>
        </w:div>
        <w:div w:id="2066099486">
          <w:marLeft w:val="640"/>
          <w:marRight w:val="0"/>
          <w:marTop w:val="0"/>
          <w:marBottom w:val="0"/>
          <w:divBdr>
            <w:top w:val="none" w:sz="0" w:space="0" w:color="auto"/>
            <w:left w:val="none" w:sz="0" w:space="0" w:color="auto"/>
            <w:bottom w:val="none" w:sz="0" w:space="0" w:color="auto"/>
            <w:right w:val="none" w:sz="0" w:space="0" w:color="auto"/>
          </w:divBdr>
        </w:div>
        <w:div w:id="1535968598">
          <w:marLeft w:val="640"/>
          <w:marRight w:val="0"/>
          <w:marTop w:val="0"/>
          <w:marBottom w:val="0"/>
          <w:divBdr>
            <w:top w:val="none" w:sz="0" w:space="0" w:color="auto"/>
            <w:left w:val="none" w:sz="0" w:space="0" w:color="auto"/>
            <w:bottom w:val="none" w:sz="0" w:space="0" w:color="auto"/>
            <w:right w:val="none" w:sz="0" w:space="0" w:color="auto"/>
          </w:divBdr>
        </w:div>
        <w:div w:id="823547561">
          <w:marLeft w:val="640"/>
          <w:marRight w:val="0"/>
          <w:marTop w:val="0"/>
          <w:marBottom w:val="0"/>
          <w:divBdr>
            <w:top w:val="none" w:sz="0" w:space="0" w:color="auto"/>
            <w:left w:val="none" w:sz="0" w:space="0" w:color="auto"/>
            <w:bottom w:val="none" w:sz="0" w:space="0" w:color="auto"/>
            <w:right w:val="none" w:sz="0" w:space="0" w:color="auto"/>
          </w:divBdr>
        </w:div>
        <w:div w:id="1020547499">
          <w:marLeft w:val="640"/>
          <w:marRight w:val="0"/>
          <w:marTop w:val="0"/>
          <w:marBottom w:val="0"/>
          <w:divBdr>
            <w:top w:val="none" w:sz="0" w:space="0" w:color="auto"/>
            <w:left w:val="none" w:sz="0" w:space="0" w:color="auto"/>
            <w:bottom w:val="none" w:sz="0" w:space="0" w:color="auto"/>
            <w:right w:val="none" w:sz="0" w:space="0" w:color="auto"/>
          </w:divBdr>
        </w:div>
        <w:div w:id="736243892">
          <w:marLeft w:val="640"/>
          <w:marRight w:val="0"/>
          <w:marTop w:val="0"/>
          <w:marBottom w:val="0"/>
          <w:divBdr>
            <w:top w:val="none" w:sz="0" w:space="0" w:color="auto"/>
            <w:left w:val="none" w:sz="0" w:space="0" w:color="auto"/>
            <w:bottom w:val="none" w:sz="0" w:space="0" w:color="auto"/>
            <w:right w:val="none" w:sz="0" w:space="0" w:color="auto"/>
          </w:divBdr>
        </w:div>
        <w:div w:id="1940529980">
          <w:marLeft w:val="640"/>
          <w:marRight w:val="0"/>
          <w:marTop w:val="0"/>
          <w:marBottom w:val="0"/>
          <w:divBdr>
            <w:top w:val="none" w:sz="0" w:space="0" w:color="auto"/>
            <w:left w:val="none" w:sz="0" w:space="0" w:color="auto"/>
            <w:bottom w:val="none" w:sz="0" w:space="0" w:color="auto"/>
            <w:right w:val="none" w:sz="0" w:space="0" w:color="auto"/>
          </w:divBdr>
        </w:div>
        <w:div w:id="1371296807">
          <w:marLeft w:val="640"/>
          <w:marRight w:val="0"/>
          <w:marTop w:val="0"/>
          <w:marBottom w:val="0"/>
          <w:divBdr>
            <w:top w:val="none" w:sz="0" w:space="0" w:color="auto"/>
            <w:left w:val="none" w:sz="0" w:space="0" w:color="auto"/>
            <w:bottom w:val="none" w:sz="0" w:space="0" w:color="auto"/>
            <w:right w:val="none" w:sz="0" w:space="0" w:color="auto"/>
          </w:divBdr>
        </w:div>
        <w:div w:id="191304718">
          <w:marLeft w:val="640"/>
          <w:marRight w:val="0"/>
          <w:marTop w:val="0"/>
          <w:marBottom w:val="0"/>
          <w:divBdr>
            <w:top w:val="none" w:sz="0" w:space="0" w:color="auto"/>
            <w:left w:val="none" w:sz="0" w:space="0" w:color="auto"/>
            <w:bottom w:val="none" w:sz="0" w:space="0" w:color="auto"/>
            <w:right w:val="none" w:sz="0" w:space="0" w:color="auto"/>
          </w:divBdr>
        </w:div>
        <w:div w:id="1802379437">
          <w:marLeft w:val="640"/>
          <w:marRight w:val="0"/>
          <w:marTop w:val="0"/>
          <w:marBottom w:val="0"/>
          <w:divBdr>
            <w:top w:val="none" w:sz="0" w:space="0" w:color="auto"/>
            <w:left w:val="none" w:sz="0" w:space="0" w:color="auto"/>
            <w:bottom w:val="none" w:sz="0" w:space="0" w:color="auto"/>
            <w:right w:val="none" w:sz="0" w:space="0" w:color="auto"/>
          </w:divBdr>
        </w:div>
        <w:div w:id="576788438">
          <w:marLeft w:val="640"/>
          <w:marRight w:val="0"/>
          <w:marTop w:val="0"/>
          <w:marBottom w:val="0"/>
          <w:divBdr>
            <w:top w:val="none" w:sz="0" w:space="0" w:color="auto"/>
            <w:left w:val="none" w:sz="0" w:space="0" w:color="auto"/>
            <w:bottom w:val="none" w:sz="0" w:space="0" w:color="auto"/>
            <w:right w:val="none" w:sz="0" w:space="0" w:color="auto"/>
          </w:divBdr>
        </w:div>
        <w:div w:id="1824393094">
          <w:marLeft w:val="640"/>
          <w:marRight w:val="0"/>
          <w:marTop w:val="0"/>
          <w:marBottom w:val="0"/>
          <w:divBdr>
            <w:top w:val="none" w:sz="0" w:space="0" w:color="auto"/>
            <w:left w:val="none" w:sz="0" w:space="0" w:color="auto"/>
            <w:bottom w:val="none" w:sz="0" w:space="0" w:color="auto"/>
            <w:right w:val="none" w:sz="0" w:space="0" w:color="auto"/>
          </w:divBdr>
        </w:div>
        <w:div w:id="590043278">
          <w:marLeft w:val="640"/>
          <w:marRight w:val="0"/>
          <w:marTop w:val="0"/>
          <w:marBottom w:val="0"/>
          <w:divBdr>
            <w:top w:val="none" w:sz="0" w:space="0" w:color="auto"/>
            <w:left w:val="none" w:sz="0" w:space="0" w:color="auto"/>
            <w:bottom w:val="none" w:sz="0" w:space="0" w:color="auto"/>
            <w:right w:val="none" w:sz="0" w:space="0" w:color="auto"/>
          </w:divBdr>
        </w:div>
        <w:div w:id="1763254856">
          <w:marLeft w:val="640"/>
          <w:marRight w:val="0"/>
          <w:marTop w:val="0"/>
          <w:marBottom w:val="0"/>
          <w:divBdr>
            <w:top w:val="none" w:sz="0" w:space="0" w:color="auto"/>
            <w:left w:val="none" w:sz="0" w:space="0" w:color="auto"/>
            <w:bottom w:val="none" w:sz="0" w:space="0" w:color="auto"/>
            <w:right w:val="none" w:sz="0" w:space="0" w:color="auto"/>
          </w:divBdr>
        </w:div>
        <w:div w:id="833180194">
          <w:marLeft w:val="640"/>
          <w:marRight w:val="0"/>
          <w:marTop w:val="0"/>
          <w:marBottom w:val="0"/>
          <w:divBdr>
            <w:top w:val="none" w:sz="0" w:space="0" w:color="auto"/>
            <w:left w:val="none" w:sz="0" w:space="0" w:color="auto"/>
            <w:bottom w:val="none" w:sz="0" w:space="0" w:color="auto"/>
            <w:right w:val="none" w:sz="0" w:space="0" w:color="auto"/>
          </w:divBdr>
        </w:div>
        <w:div w:id="177669814">
          <w:marLeft w:val="640"/>
          <w:marRight w:val="0"/>
          <w:marTop w:val="0"/>
          <w:marBottom w:val="0"/>
          <w:divBdr>
            <w:top w:val="none" w:sz="0" w:space="0" w:color="auto"/>
            <w:left w:val="none" w:sz="0" w:space="0" w:color="auto"/>
            <w:bottom w:val="none" w:sz="0" w:space="0" w:color="auto"/>
            <w:right w:val="none" w:sz="0" w:space="0" w:color="auto"/>
          </w:divBdr>
        </w:div>
        <w:div w:id="2123114544">
          <w:marLeft w:val="640"/>
          <w:marRight w:val="0"/>
          <w:marTop w:val="0"/>
          <w:marBottom w:val="0"/>
          <w:divBdr>
            <w:top w:val="none" w:sz="0" w:space="0" w:color="auto"/>
            <w:left w:val="none" w:sz="0" w:space="0" w:color="auto"/>
            <w:bottom w:val="none" w:sz="0" w:space="0" w:color="auto"/>
            <w:right w:val="none" w:sz="0" w:space="0" w:color="auto"/>
          </w:divBdr>
        </w:div>
        <w:div w:id="1283003889">
          <w:marLeft w:val="640"/>
          <w:marRight w:val="0"/>
          <w:marTop w:val="0"/>
          <w:marBottom w:val="0"/>
          <w:divBdr>
            <w:top w:val="none" w:sz="0" w:space="0" w:color="auto"/>
            <w:left w:val="none" w:sz="0" w:space="0" w:color="auto"/>
            <w:bottom w:val="none" w:sz="0" w:space="0" w:color="auto"/>
            <w:right w:val="none" w:sz="0" w:space="0" w:color="auto"/>
          </w:divBdr>
        </w:div>
        <w:div w:id="1254704742">
          <w:marLeft w:val="640"/>
          <w:marRight w:val="0"/>
          <w:marTop w:val="0"/>
          <w:marBottom w:val="0"/>
          <w:divBdr>
            <w:top w:val="none" w:sz="0" w:space="0" w:color="auto"/>
            <w:left w:val="none" w:sz="0" w:space="0" w:color="auto"/>
            <w:bottom w:val="none" w:sz="0" w:space="0" w:color="auto"/>
            <w:right w:val="none" w:sz="0" w:space="0" w:color="auto"/>
          </w:divBdr>
        </w:div>
        <w:div w:id="1479608997">
          <w:marLeft w:val="640"/>
          <w:marRight w:val="0"/>
          <w:marTop w:val="0"/>
          <w:marBottom w:val="0"/>
          <w:divBdr>
            <w:top w:val="none" w:sz="0" w:space="0" w:color="auto"/>
            <w:left w:val="none" w:sz="0" w:space="0" w:color="auto"/>
            <w:bottom w:val="none" w:sz="0" w:space="0" w:color="auto"/>
            <w:right w:val="none" w:sz="0" w:space="0" w:color="auto"/>
          </w:divBdr>
        </w:div>
        <w:div w:id="1727146425">
          <w:marLeft w:val="640"/>
          <w:marRight w:val="0"/>
          <w:marTop w:val="0"/>
          <w:marBottom w:val="0"/>
          <w:divBdr>
            <w:top w:val="none" w:sz="0" w:space="0" w:color="auto"/>
            <w:left w:val="none" w:sz="0" w:space="0" w:color="auto"/>
            <w:bottom w:val="none" w:sz="0" w:space="0" w:color="auto"/>
            <w:right w:val="none" w:sz="0" w:space="0" w:color="auto"/>
          </w:divBdr>
        </w:div>
        <w:div w:id="650452021">
          <w:marLeft w:val="640"/>
          <w:marRight w:val="0"/>
          <w:marTop w:val="0"/>
          <w:marBottom w:val="0"/>
          <w:divBdr>
            <w:top w:val="none" w:sz="0" w:space="0" w:color="auto"/>
            <w:left w:val="none" w:sz="0" w:space="0" w:color="auto"/>
            <w:bottom w:val="none" w:sz="0" w:space="0" w:color="auto"/>
            <w:right w:val="none" w:sz="0" w:space="0" w:color="auto"/>
          </w:divBdr>
        </w:div>
        <w:div w:id="750004758">
          <w:marLeft w:val="640"/>
          <w:marRight w:val="0"/>
          <w:marTop w:val="0"/>
          <w:marBottom w:val="0"/>
          <w:divBdr>
            <w:top w:val="none" w:sz="0" w:space="0" w:color="auto"/>
            <w:left w:val="none" w:sz="0" w:space="0" w:color="auto"/>
            <w:bottom w:val="none" w:sz="0" w:space="0" w:color="auto"/>
            <w:right w:val="none" w:sz="0" w:space="0" w:color="auto"/>
          </w:divBdr>
        </w:div>
        <w:div w:id="312223197">
          <w:marLeft w:val="640"/>
          <w:marRight w:val="0"/>
          <w:marTop w:val="0"/>
          <w:marBottom w:val="0"/>
          <w:divBdr>
            <w:top w:val="none" w:sz="0" w:space="0" w:color="auto"/>
            <w:left w:val="none" w:sz="0" w:space="0" w:color="auto"/>
            <w:bottom w:val="none" w:sz="0" w:space="0" w:color="auto"/>
            <w:right w:val="none" w:sz="0" w:space="0" w:color="auto"/>
          </w:divBdr>
        </w:div>
        <w:div w:id="747506354">
          <w:marLeft w:val="640"/>
          <w:marRight w:val="0"/>
          <w:marTop w:val="0"/>
          <w:marBottom w:val="0"/>
          <w:divBdr>
            <w:top w:val="none" w:sz="0" w:space="0" w:color="auto"/>
            <w:left w:val="none" w:sz="0" w:space="0" w:color="auto"/>
            <w:bottom w:val="none" w:sz="0" w:space="0" w:color="auto"/>
            <w:right w:val="none" w:sz="0" w:space="0" w:color="auto"/>
          </w:divBdr>
        </w:div>
        <w:div w:id="1461680867">
          <w:marLeft w:val="640"/>
          <w:marRight w:val="0"/>
          <w:marTop w:val="0"/>
          <w:marBottom w:val="0"/>
          <w:divBdr>
            <w:top w:val="none" w:sz="0" w:space="0" w:color="auto"/>
            <w:left w:val="none" w:sz="0" w:space="0" w:color="auto"/>
            <w:bottom w:val="none" w:sz="0" w:space="0" w:color="auto"/>
            <w:right w:val="none" w:sz="0" w:space="0" w:color="auto"/>
          </w:divBdr>
        </w:div>
        <w:div w:id="355499346">
          <w:marLeft w:val="640"/>
          <w:marRight w:val="0"/>
          <w:marTop w:val="0"/>
          <w:marBottom w:val="0"/>
          <w:divBdr>
            <w:top w:val="none" w:sz="0" w:space="0" w:color="auto"/>
            <w:left w:val="none" w:sz="0" w:space="0" w:color="auto"/>
            <w:bottom w:val="none" w:sz="0" w:space="0" w:color="auto"/>
            <w:right w:val="none" w:sz="0" w:space="0" w:color="auto"/>
          </w:divBdr>
        </w:div>
        <w:div w:id="1860384945">
          <w:marLeft w:val="640"/>
          <w:marRight w:val="0"/>
          <w:marTop w:val="0"/>
          <w:marBottom w:val="0"/>
          <w:divBdr>
            <w:top w:val="none" w:sz="0" w:space="0" w:color="auto"/>
            <w:left w:val="none" w:sz="0" w:space="0" w:color="auto"/>
            <w:bottom w:val="none" w:sz="0" w:space="0" w:color="auto"/>
            <w:right w:val="none" w:sz="0" w:space="0" w:color="auto"/>
          </w:divBdr>
        </w:div>
        <w:div w:id="2026201331">
          <w:marLeft w:val="640"/>
          <w:marRight w:val="0"/>
          <w:marTop w:val="0"/>
          <w:marBottom w:val="0"/>
          <w:divBdr>
            <w:top w:val="none" w:sz="0" w:space="0" w:color="auto"/>
            <w:left w:val="none" w:sz="0" w:space="0" w:color="auto"/>
            <w:bottom w:val="none" w:sz="0" w:space="0" w:color="auto"/>
            <w:right w:val="none" w:sz="0" w:space="0" w:color="auto"/>
          </w:divBdr>
        </w:div>
        <w:div w:id="2003460045">
          <w:marLeft w:val="640"/>
          <w:marRight w:val="0"/>
          <w:marTop w:val="0"/>
          <w:marBottom w:val="0"/>
          <w:divBdr>
            <w:top w:val="none" w:sz="0" w:space="0" w:color="auto"/>
            <w:left w:val="none" w:sz="0" w:space="0" w:color="auto"/>
            <w:bottom w:val="none" w:sz="0" w:space="0" w:color="auto"/>
            <w:right w:val="none" w:sz="0" w:space="0" w:color="auto"/>
          </w:divBdr>
        </w:div>
        <w:div w:id="1766263797">
          <w:marLeft w:val="640"/>
          <w:marRight w:val="0"/>
          <w:marTop w:val="0"/>
          <w:marBottom w:val="0"/>
          <w:divBdr>
            <w:top w:val="none" w:sz="0" w:space="0" w:color="auto"/>
            <w:left w:val="none" w:sz="0" w:space="0" w:color="auto"/>
            <w:bottom w:val="none" w:sz="0" w:space="0" w:color="auto"/>
            <w:right w:val="none" w:sz="0" w:space="0" w:color="auto"/>
          </w:divBdr>
        </w:div>
        <w:div w:id="1234120143">
          <w:marLeft w:val="640"/>
          <w:marRight w:val="0"/>
          <w:marTop w:val="0"/>
          <w:marBottom w:val="0"/>
          <w:divBdr>
            <w:top w:val="none" w:sz="0" w:space="0" w:color="auto"/>
            <w:left w:val="none" w:sz="0" w:space="0" w:color="auto"/>
            <w:bottom w:val="none" w:sz="0" w:space="0" w:color="auto"/>
            <w:right w:val="none" w:sz="0" w:space="0" w:color="auto"/>
          </w:divBdr>
        </w:div>
        <w:div w:id="1787579505">
          <w:marLeft w:val="640"/>
          <w:marRight w:val="0"/>
          <w:marTop w:val="0"/>
          <w:marBottom w:val="0"/>
          <w:divBdr>
            <w:top w:val="none" w:sz="0" w:space="0" w:color="auto"/>
            <w:left w:val="none" w:sz="0" w:space="0" w:color="auto"/>
            <w:bottom w:val="none" w:sz="0" w:space="0" w:color="auto"/>
            <w:right w:val="none" w:sz="0" w:space="0" w:color="auto"/>
          </w:divBdr>
        </w:div>
        <w:div w:id="572131785">
          <w:marLeft w:val="640"/>
          <w:marRight w:val="0"/>
          <w:marTop w:val="0"/>
          <w:marBottom w:val="0"/>
          <w:divBdr>
            <w:top w:val="none" w:sz="0" w:space="0" w:color="auto"/>
            <w:left w:val="none" w:sz="0" w:space="0" w:color="auto"/>
            <w:bottom w:val="none" w:sz="0" w:space="0" w:color="auto"/>
            <w:right w:val="none" w:sz="0" w:space="0" w:color="auto"/>
          </w:divBdr>
        </w:div>
        <w:div w:id="1909462080">
          <w:marLeft w:val="640"/>
          <w:marRight w:val="0"/>
          <w:marTop w:val="0"/>
          <w:marBottom w:val="0"/>
          <w:divBdr>
            <w:top w:val="none" w:sz="0" w:space="0" w:color="auto"/>
            <w:left w:val="none" w:sz="0" w:space="0" w:color="auto"/>
            <w:bottom w:val="none" w:sz="0" w:space="0" w:color="auto"/>
            <w:right w:val="none" w:sz="0" w:space="0" w:color="auto"/>
          </w:divBdr>
        </w:div>
        <w:div w:id="1491094392">
          <w:marLeft w:val="640"/>
          <w:marRight w:val="0"/>
          <w:marTop w:val="0"/>
          <w:marBottom w:val="0"/>
          <w:divBdr>
            <w:top w:val="none" w:sz="0" w:space="0" w:color="auto"/>
            <w:left w:val="none" w:sz="0" w:space="0" w:color="auto"/>
            <w:bottom w:val="none" w:sz="0" w:space="0" w:color="auto"/>
            <w:right w:val="none" w:sz="0" w:space="0" w:color="auto"/>
          </w:divBdr>
        </w:div>
        <w:div w:id="1294602504">
          <w:marLeft w:val="640"/>
          <w:marRight w:val="0"/>
          <w:marTop w:val="0"/>
          <w:marBottom w:val="0"/>
          <w:divBdr>
            <w:top w:val="none" w:sz="0" w:space="0" w:color="auto"/>
            <w:left w:val="none" w:sz="0" w:space="0" w:color="auto"/>
            <w:bottom w:val="none" w:sz="0" w:space="0" w:color="auto"/>
            <w:right w:val="none" w:sz="0" w:space="0" w:color="auto"/>
          </w:divBdr>
        </w:div>
        <w:div w:id="1587687645">
          <w:marLeft w:val="640"/>
          <w:marRight w:val="0"/>
          <w:marTop w:val="0"/>
          <w:marBottom w:val="0"/>
          <w:divBdr>
            <w:top w:val="none" w:sz="0" w:space="0" w:color="auto"/>
            <w:left w:val="none" w:sz="0" w:space="0" w:color="auto"/>
            <w:bottom w:val="none" w:sz="0" w:space="0" w:color="auto"/>
            <w:right w:val="none" w:sz="0" w:space="0" w:color="auto"/>
          </w:divBdr>
        </w:div>
        <w:div w:id="347296720">
          <w:marLeft w:val="640"/>
          <w:marRight w:val="0"/>
          <w:marTop w:val="0"/>
          <w:marBottom w:val="0"/>
          <w:divBdr>
            <w:top w:val="none" w:sz="0" w:space="0" w:color="auto"/>
            <w:left w:val="none" w:sz="0" w:space="0" w:color="auto"/>
            <w:bottom w:val="none" w:sz="0" w:space="0" w:color="auto"/>
            <w:right w:val="none" w:sz="0" w:space="0" w:color="auto"/>
          </w:divBdr>
        </w:div>
        <w:div w:id="1696344906">
          <w:marLeft w:val="640"/>
          <w:marRight w:val="0"/>
          <w:marTop w:val="0"/>
          <w:marBottom w:val="0"/>
          <w:divBdr>
            <w:top w:val="none" w:sz="0" w:space="0" w:color="auto"/>
            <w:left w:val="none" w:sz="0" w:space="0" w:color="auto"/>
            <w:bottom w:val="none" w:sz="0" w:space="0" w:color="auto"/>
            <w:right w:val="none" w:sz="0" w:space="0" w:color="auto"/>
          </w:divBdr>
        </w:div>
        <w:div w:id="1407416388">
          <w:marLeft w:val="640"/>
          <w:marRight w:val="0"/>
          <w:marTop w:val="0"/>
          <w:marBottom w:val="0"/>
          <w:divBdr>
            <w:top w:val="none" w:sz="0" w:space="0" w:color="auto"/>
            <w:left w:val="none" w:sz="0" w:space="0" w:color="auto"/>
            <w:bottom w:val="none" w:sz="0" w:space="0" w:color="auto"/>
            <w:right w:val="none" w:sz="0" w:space="0" w:color="auto"/>
          </w:divBdr>
        </w:div>
        <w:div w:id="1848668705">
          <w:marLeft w:val="640"/>
          <w:marRight w:val="0"/>
          <w:marTop w:val="0"/>
          <w:marBottom w:val="0"/>
          <w:divBdr>
            <w:top w:val="none" w:sz="0" w:space="0" w:color="auto"/>
            <w:left w:val="none" w:sz="0" w:space="0" w:color="auto"/>
            <w:bottom w:val="none" w:sz="0" w:space="0" w:color="auto"/>
            <w:right w:val="none" w:sz="0" w:space="0" w:color="auto"/>
          </w:divBdr>
        </w:div>
        <w:div w:id="387805774">
          <w:marLeft w:val="640"/>
          <w:marRight w:val="0"/>
          <w:marTop w:val="0"/>
          <w:marBottom w:val="0"/>
          <w:divBdr>
            <w:top w:val="none" w:sz="0" w:space="0" w:color="auto"/>
            <w:left w:val="none" w:sz="0" w:space="0" w:color="auto"/>
            <w:bottom w:val="none" w:sz="0" w:space="0" w:color="auto"/>
            <w:right w:val="none" w:sz="0" w:space="0" w:color="auto"/>
          </w:divBdr>
        </w:div>
        <w:div w:id="1126394377">
          <w:marLeft w:val="640"/>
          <w:marRight w:val="0"/>
          <w:marTop w:val="0"/>
          <w:marBottom w:val="0"/>
          <w:divBdr>
            <w:top w:val="none" w:sz="0" w:space="0" w:color="auto"/>
            <w:left w:val="none" w:sz="0" w:space="0" w:color="auto"/>
            <w:bottom w:val="none" w:sz="0" w:space="0" w:color="auto"/>
            <w:right w:val="none" w:sz="0" w:space="0" w:color="auto"/>
          </w:divBdr>
        </w:div>
        <w:div w:id="2086947481">
          <w:marLeft w:val="640"/>
          <w:marRight w:val="0"/>
          <w:marTop w:val="0"/>
          <w:marBottom w:val="0"/>
          <w:divBdr>
            <w:top w:val="none" w:sz="0" w:space="0" w:color="auto"/>
            <w:left w:val="none" w:sz="0" w:space="0" w:color="auto"/>
            <w:bottom w:val="none" w:sz="0" w:space="0" w:color="auto"/>
            <w:right w:val="none" w:sz="0" w:space="0" w:color="auto"/>
          </w:divBdr>
        </w:div>
        <w:div w:id="1645234952">
          <w:marLeft w:val="640"/>
          <w:marRight w:val="0"/>
          <w:marTop w:val="0"/>
          <w:marBottom w:val="0"/>
          <w:divBdr>
            <w:top w:val="none" w:sz="0" w:space="0" w:color="auto"/>
            <w:left w:val="none" w:sz="0" w:space="0" w:color="auto"/>
            <w:bottom w:val="none" w:sz="0" w:space="0" w:color="auto"/>
            <w:right w:val="none" w:sz="0" w:space="0" w:color="auto"/>
          </w:divBdr>
        </w:div>
        <w:div w:id="236328823">
          <w:marLeft w:val="640"/>
          <w:marRight w:val="0"/>
          <w:marTop w:val="0"/>
          <w:marBottom w:val="0"/>
          <w:divBdr>
            <w:top w:val="none" w:sz="0" w:space="0" w:color="auto"/>
            <w:left w:val="none" w:sz="0" w:space="0" w:color="auto"/>
            <w:bottom w:val="none" w:sz="0" w:space="0" w:color="auto"/>
            <w:right w:val="none" w:sz="0" w:space="0" w:color="auto"/>
          </w:divBdr>
        </w:div>
        <w:div w:id="1334720683">
          <w:marLeft w:val="640"/>
          <w:marRight w:val="0"/>
          <w:marTop w:val="0"/>
          <w:marBottom w:val="0"/>
          <w:divBdr>
            <w:top w:val="none" w:sz="0" w:space="0" w:color="auto"/>
            <w:left w:val="none" w:sz="0" w:space="0" w:color="auto"/>
            <w:bottom w:val="none" w:sz="0" w:space="0" w:color="auto"/>
            <w:right w:val="none" w:sz="0" w:space="0" w:color="auto"/>
          </w:divBdr>
        </w:div>
        <w:div w:id="352461525">
          <w:marLeft w:val="640"/>
          <w:marRight w:val="0"/>
          <w:marTop w:val="0"/>
          <w:marBottom w:val="0"/>
          <w:divBdr>
            <w:top w:val="none" w:sz="0" w:space="0" w:color="auto"/>
            <w:left w:val="none" w:sz="0" w:space="0" w:color="auto"/>
            <w:bottom w:val="none" w:sz="0" w:space="0" w:color="auto"/>
            <w:right w:val="none" w:sz="0" w:space="0" w:color="auto"/>
          </w:divBdr>
        </w:div>
        <w:div w:id="1761176497">
          <w:marLeft w:val="640"/>
          <w:marRight w:val="0"/>
          <w:marTop w:val="0"/>
          <w:marBottom w:val="0"/>
          <w:divBdr>
            <w:top w:val="none" w:sz="0" w:space="0" w:color="auto"/>
            <w:left w:val="none" w:sz="0" w:space="0" w:color="auto"/>
            <w:bottom w:val="none" w:sz="0" w:space="0" w:color="auto"/>
            <w:right w:val="none" w:sz="0" w:space="0" w:color="auto"/>
          </w:divBdr>
        </w:div>
        <w:div w:id="59526566">
          <w:marLeft w:val="640"/>
          <w:marRight w:val="0"/>
          <w:marTop w:val="0"/>
          <w:marBottom w:val="0"/>
          <w:divBdr>
            <w:top w:val="none" w:sz="0" w:space="0" w:color="auto"/>
            <w:left w:val="none" w:sz="0" w:space="0" w:color="auto"/>
            <w:bottom w:val="none" w:sz="0" w:space="0" w:color="auto"/>
            <w:right w:val="none" w:sz="0" w:space="0" w:color="auto"/>
          </w:divBdr>
        </w:div>
        <w:div w:id="1807968729">
          <w:marLeft w:val="640"/>
          <w:marRight w:val="0"/>
          <w:marTop w:val="0"/>
          <w:marBottom w:val="0"/>
          <w:divBdr>
            <w:top w:val="none" w:sz="0" w:space="0" w:color="auto"/>
            <w:left w:val="none" w:sz="0" w:space="0" w:color="auto"/>
            <w:bottom w:val="none" w:sz="0" w:space="0" w:color="auto"/>
            <w:right w:val="none" w:sz="0" w:space="0" w:color="auto"/>
          </w:divBdr>
        </w:div>
        <w:div w:id="1126629483">
          <w:marLeft w:val="640"/>
          <w:marRight w:val="0"/>
          <w:marTop w:val="0"/>
          <w:marBottom w:val="0"/>
          <w:divBdr>
            <w:top w:val="none" w:sz="0" w:space="0" w:color="auto"/>
            <w:left w:val="none" w:sz="0" w:space="0" w:color="auto"/>
            <w:bottom w:val="none" w:sz="0" w:space="0" w:color="auto"/>
            <w:right w:val="none" w:sz="0" w:space="0" w:color="auto"/>
          </w:divBdr>
        </w:div>
        <w:div w:id="2132481283">
          <w:marLeft w:val="640"/>
          <w:marRight w:val="0"/>
          <w:marTop w:val="0"/>
          <w:marBottom w:val="0"/>
          <w:divBdr>
            <w:top w:val="none" w:sz="0" w:space="0" w:color="auto"/>
            <w:left w:val="none" w:sz="0" w:space="0" w:color="auto"/>
            <w:bottom w:val="none" w:sz="0" w:space="0" w:color="auto"/>
            <w:right w:val="none" w:sz="0" w:space="0" w:color="auto"/>
          </w:divBdr>
        </w:div>
        <w:div w:id="622031192">
          <w:marLeft w:val="640"/>
          <w:marRight w:val="0"/>
          <w:marTop w:val="0"/>
          <w:marBottom w:val="0"/>
          <w:divBdr>
            <w:top w:val="none" w:sz="0" w:space="0" w:color="auto"/>
            <w:left w:val="none" w:sz="0" w:space="0" w:color="auto"/>
            <w:bottom w:val="none" w:sz="0" w:space="0" w:color="auto"/>
            <w:right w:val="none" w:sz="0" w:space="0" w:color="auto"/>
          </w:divBdr>
        </w:div>
        <w:div w:id="1924139187">
          <w:marLeft w:val="640"/>
          <w:marRight w:val="0"/>
          <w:marTop w:val="0"/>
          <w:marBottom w:val="0"/>
          <w:divBdr>
            <w:top w:val="none" w:sz="0" w:space="0" w:color="auto"/>
            <w:left w:val="none" w:sz="0" w:space="0" w:color="auto"/>
            <w:bottom w:val="none" w:sz="0" w:space="0" w:color="auto"/>
            <w:right w:val="none" w:sz="0" w:space="0" w:color="auto"/>
          </w:divBdr>
        </w:div>
        <w:div w:id="888420386">
          <w:marLeft w:val="640"/>
          <w:marRight w:val="0"/>
          <w:marTop w:val="0"/>
          <w:marBottom w:val="0"/>
          <w:divBdr>
            <w:top w:val="none" w:sz="0" w:space="0" w:color="auto"/>
            <w:left w:val="none" w:sz="0" w:space="0" w:color="auto"/>
            <w:bottom w:val="none" w:sz="0" w:space="0" w:color="auto"/>
            <w:right w:val="none" w:sz="0" w:space="0" w:color="auto"/>
          </w:divBdr>
        </w:div>
        <w:div w:id="19867715">
          <w:marLeft w:val="640"/>
          <w:marRight w:val="0"/>
          <w:marTop w:val="0"/>
          <w:marBottom w:val="0"/>
          <w:divBdr>
            <w:top w:val="none" w:sz="0" w:space="0" w:color="auto"/>
            <w:left w:val="none" w:sz="0" w:space="0" w:color="auto"/>
            <w:bottom w:val="none" w:sz="0" w:space="0" w:color="auto"/>
            <w:right w:val="none" w:sz="0" w:space="0" w:color="auto"/>
          </w:divBdr>
        </w:div>
        <w:div w:id="372730354">
          <w:marLeft w:val="640"/>
          <w:marRight w:val="0"/>
          <w:marTop w:val="0"/>
          <w:marBottom w:val="0"/>
          <w:divBdr>
            <w:top w:val="none" w:sz="0" w:space="0" w:color="auto"/>
            <w:left w:val="none" w:sz="0" w:space="0" w:color="auto"/>
            <w:bottom w:val="none" w:sz="0" w:space="0" w:color="auto"/>
            <w:right w:val="none" w:sz="0" w:space="0" w:color="auto"/>
          </w:divBdr>
        </w:div>
        <w:div w:id="154692727">
          <w:marLeft w:val="640"/>
          <w:marRight w:val="0"/>
          <w:marTop w:val="0"/>
          <w:marBottom w:val="0"/>
          <w:divBdr>
            <w:top w:val="none" w:sz="0" w:space="0" w:color="auto"/>
            <w:left w:val="none" w:sz="0" w:space="0" w:color="auto"/>
            <w:bottom w:val="none" w:sz="0" w:space="0" w:color="auto"/>
            <w:right w:val="none" w:sz="0" w:space="0" w:color="auto"/>
          </w:divBdr>
        </w:div>
        <w:div w:id="845244743">
          <w:marLeft w:val="640"/>
          <w:marRight w:val="0"/>
          <w:marTop w:val="0"/>
          <w:marBottom w:val="0"/>
          <w:divBdr>
            <w:top w:val="none" w:sz="0" w:space="0" w:color="auto"/>
            <w:left w:val="none" w:sz="0" w:space="0" w:color="auto"/>
            <w:bottom w:val="none" w:sz="0" w:space="0" w:color="auto"/>
            <w:right w:val="none" w:sz="0" w:space="0" w:color="auto"/>
          </w:divBdr>
        </w:div>
        <w:div w:id="1591545037">
          <w:marLeft w:val="640"/>
          <w:marRight w:val="0"/>
          <w:marTop w:val="0"/>
          <w:marBottom w:val="0"/>
          <w:divBdr>
            <w:top w:val="none" w:sz="0" w:space="0" w:color="auto"/>
            <w:left w:val="none" w:sz="0" w:space="0" w:color="auto"/>
            <w:bottom w:val="none" w:sz="0" w:space="0" w:color="auto"/>
            <w:right w:val="none" w:sz="0" w:space="0" w:color="auto"/>
          </w:divBdr>
        </w:div>
        <w:div w:id="852913657">
          <w:marLeft w:val="640"/>
          <w:marRight w:val="0"/>
          <w:marTop w:val="0"/>
          <w:marBottom w:val="0"/>
          <w:divBdr>
            <w:top w:val="none" w:sz="0" w:space="0" w:color="auto"/>
            <w:left w:val="none" w:sz="0" w:space="0" w:color="auto"/>
            <w:bottom w:val="none" w:sz="0" w:space="0" w:color="auto"/>
            <w:right w:val="none" w:sz="0" w:space="0" w:color="auto"/>
          </w:divBdr>
        </w:div>
        <w:div w:id="430199112">
          <w:marLeft w:val="640"/>
          <w:marRight w:val="0"/>
          <w:marTop w:val="0"/>
          <w:marBottom w:val="0"/>
          <w:divBdr>
            <w:top w:val="none" w:sz="0" w:space="0" w:color="auto"/>
            <w:left w:val="none" w:sz="0" w:space="0" w:color="auto"/>
            <w:bottom w:val="none" w:sz="0" w:space="0" w:color="auto"/>
            <w:right w:val="none" w:sz="0" w:space="0" w:color="auto"/>
          </w:divBdr>
        </w:div>
        <w:div w:id="1211189570">
          <w:marLeft w:val="640"/>
          <w:marRight w:val="0"/>
          <w:marTop w:val="0"/>
          <w:marBottom w:val="0"/>
          <w:divBdr>
            <w:top w:val="none" w:sz="0" w:space="0" w:color="auto"/>
            <w:left w:val="none" w:sz="0" w:space="0" w:color="auto"/>
            <w:bottom w:val="none" w:sz="0" w:space="0" w:color="auto"/>
            <w:right w:val="none" w:sz="0" w:space="0" w:color="auto"/>
          </w:divBdr>
        </w:div>
        <w:div w:id="133185107">
          <w:marLeft w:val="640"/>
          <w:marRight w:val="0"/>
          <w:marTop w:val="0"/>
          <w:marBottom w:val="0"/>
          <w:divBdr>
            <w:top w:val="none" w:sz="0" w:space="0" w:color="auto"/>
            <w:left w:val="none" w:sz="0" w:space="0" w:color="auto"/>
            <w:bottom w:val="none" w:sz="0" w:space="0" w:color="auto"/>
            <w:right w:val="none" w:sz="0" w:space="0" w:color="auto"/>
          </w:divBdr>
        </w:div>
        <w:div w:id="467479780">
          <w:marLeft w:val="640"/>
          <w:marRight w:val="0"/>
          <w:marTop w:val="0"/>
          <w:marBottom w:val="0"/>
          <w:divBdr>
            <w:top w:val="none" w:sz="0" w:space="0" w:color="auto"/>
            <w:left w:val="none" w:sz="0" w:space="0" w:color="auto"/>
            <w:bottom w:val="none" w:sz="0" w:space="0" w:color="auto"/>
            <w:right w:val="none" w:sz="0" w:space="0" w:color="auto"/>
          </w:divBdr>
        </w:div>
        <w:div w:id="688291301">
          <w:marLeft w:val="640"/>
          <w:marRight w:val="0"/>
          <w:marTop w:val="0"/>
          <w:marBottom w:val="0"/>
          <w:divBdr>
            <w:top w:val="none" w:sz="0" w:space="0" w:color="auto"/>
            <w:left w:val="none" w:sz="0" w:space="0" w:color="auto"/>
            <w:bottom w:val="none" w:sz="0" w:space="0" w:color="auto"/>
            <w:right w:val="none" w:sz="0" w:space="0" w:color="auto"/>
          </w:divBdr>
        </w:div>
        <w:div w:id="1707678851">
          <w:marLeft w:val="640"/>
          <w:marRight w:val="0"/>
          <w:marTop w:val="0"/>
          <w:marBottom w:val="0"/>
          <w:divBdr>
            <w:top w:val="none" w:sz="0" w:space="0" w:color="auto"/>
            <w:left w:val="none" w:sz="0" w:space="0" w:color="auto"/>
            <w:bottom w:val="none" w:sz="0" w:space="0" w:color="auto"/>
            <w:right w:val="none" w:sz="0" w:space="0" w:color="auto"/>
          </w:divBdr>
        </w:div>
        <w:div w:id="1706589800">
          <w:marLeft w:val="640"/>
          <w:marRight w:val="0"/>
          <w:marTop w:val="0"/>
          <w:marBottom w:val="0"/>
          <w:divBdr>
            <w:top w:val="none" w:sz="0" w:space="0" w:color="auto"/>
            <w:left w:val="none" w:sz="0" w:space="0" w:color="auto"/>
            <w:bottom w:val="none" w:sz="0" w:space="0" w:color="auto"/>
            <w:right w:val="none" w:sz="0" w:space="0" w:color="auto"/>
          </w:divBdr>
        </w:div>
        <w:div w:id="402601706">
          <w:marLeft w:val="640"/>
          <w:marRight w:val="0"/>
          <w:marTop w:val="0"/>
          <w:marBottom w:val="0"/>
          <w:divBdr>
            <w:top w:val="none" w:sz="0" w:space="0" w:color="auto"/>
            <w:left w:val="none" w:sz="0" w:space="0" w:color="auto"/>
            <w:bottom w:val="none" w:sz="0" w:space="0" w:color="auto"/>
            <w:right w:val="none" w:sz="0" w:space="0" w:color="auto"/>
          </w:divBdr>
        </w:div>
        <w:div w:id="1131511310">
          <w:marLeft w:val="640"/>
          <w:marRight w:val="0"/>
          <w:marTop w:val="0"/>
          <w:marBottom w:val="0"/>
          <w:divBdr>
            <w:top w:val="none" w:sz="0" w:space="0" w:color="auto"/>
            <w:left w:val="none" w:sz="0" w:space="0" w:color="auto"/>
            <w:bottom w:val="none" w:sz="0" w:space="0" w:color="auto"/>
            <w:right w:val="none" w:sz="0" w:space="0" w:color="auto"/>
          </w:divBdr>
        </w:div>
        <w:div w:id="76246969">
          <w:marLeft w:val="640"/>
          <w:marRight w:val="0"/>
          <w:marTop w:val="0"/>
          <w:marBottom w:val="0"/>
          <w:divBdr>
            <w:top w:val="none" w:sz="0" w:space="0" w:color="auto"/>
            <w:left w:val="none" w:sz="0" w:space="0" w:color="auto"/>
            <w:bottom w:val="none" w:sz="0" w:space="0" w:color="auto"/>
            <w:right w:val="none" w:sz="0" w:space="0" w:color="auto"/>
          </w:divBdr>
        </w:div>
        <w:div w:id="586888169">
          <w:marLeft w:val="640"/>
          <w:marRight w:val="0"/>
          <w:marTop w:val="0"/>
          <w:marBottom w:val="0"/>
          <w:divBdr>
            <w:top w:val="none" w:sz="0" w:space="0" w:color="auto"/>
            <w:left w:val="none" w:sz="0" w:space="0" w:color="auto"/>
            <w:bottom w:val="none" w:sz="0" w:space="0" w:color="auto"/>
            <w:right w:val="none" w:sz="0" w:space="0" w:color="auto"/>
          </w:divBdr>
        </w:div>
        <w:div w:id="12347334">
          <w:marLeft w:val="640"/>
          <w:marRight w:val="0"/>
          <w:marTop w:val="0"/>
          <w:marBottom w:val="0"/>
          <w:divBdr>
            <w:top w:val="none" w:sz="0" w:space="0" w:color="auto"/>
            <w:left w:val="none" w:sz="0" w:space="0" w:color="auto"/>
            <w:bottom w:val="none" w:sz="0" w:space="0" w:color="auto"/>
            <w:right w:val="none" w:sz="0" w:space="0" w:color="auto"/>
          </w:divBdr>
        </w:div>
        <w:div w:id="1016539742">
          <w:marLeft w:val="640"/>
          <w:marRight w:val="0"/>
          <w:marTop w:val="0"/>
          <w:marBottom w:val="0"/>
          <w:divBdr>
            <w:top w:val="none" w:sz="0" w:space="0" w:color="auto"/>
            <w:left w:val="none" w:sz="0" w:space="0" w:color="auto"/>
            <w:bottom w:val="none" w:sz="0" w:space="0" w:color="auto"/>
            <w:right w:val="none" w:sz="0" w:space="0" w:color="auto"/>
          </w:divBdr>
        </w:div>
        <w:div w:id="2047829008">
          <w:marLeft w:val="640"/>
          <w:marRight w:val="0"/>
          <w:marTop w:val="0"/>
          <w:marBottom w:val="0"/>
          <w:divBdr>
            <w:top w:val="none" w:sz="0" w:space="0" w:color="auto"/>
            <w:left w:val="none" w:sz="0" w:space="0" w:color="auto"/>
            <w:bottom w:val="none" w:sz="0" w:space="0" w:color="auto"/>
            <w:right w:val="none" w:sz="0" w:space="0" w:color="auto"/>
          </w:divBdr>
        </w:div>
        <w:div w:id="1594435136">
          <w:marLeft w:val="640"/>
          <w:marRight w:val="0"/>
          <w:marTop w:val="0"/>
          <w:marBottom w:val="0"/>
          <w:divBdr>
            <w:top w:val="none" w:sz="0" w:space="0" w:color="auto"/>
            <w:left w:val="none" w:sz="0" w:space="0" w:color="auto"/>
            <w:bottom w:val="none" w:sz="0" w:space="0" w:color="auto"/>
            <w:right w:val="none" w:sz="0" w:space="0" w:color="auto"/>
          </w:divBdr>
        </w:div>
        <w:div w:id="1836918809">
          <w:marLeft w:val="640"/>
          <w:marRight w:val="0"/>
          <w:marTop w:val="0"/>
          <w:marBottom w:val="0"/>
          <w:divBdr>
            <w:top w:val="none" w:sz="0" w:space="0" w:color="auto"/>
            <w:left w:val="none" w:sz="0" w:space="0" w:color="auto"/>
            <w:bottom w:val="none" w:sz="0" w:space="0" w:color="auto"/>
            <w:right w:val="none" w:sz="0" w:space="0" w:color="auto"/>
          </w:divBdr>
        </w:div>
        <w:div w:id="1458597470">
          <w:marLeft w:val="640"/>
          <w:marRight w:val="0"/>
          <w:marTop w:val="0"/>
          <w:marBottom w:val="0"/>
          <w:divBdr>
            <w:top w:val="none" w:sz="0" w:space="0" w:color="auto"/>
            <w:left w:val="none" w:sz="0" w:space="0" w:color="auto"/>
            <w:bottom w:val="none" w:sz="0" w:space="0" w:color="auto"/>
            <w:right w:val="none" w:sz="0" w:space="0" w:color="auto"/>
          </w:divBdr>
        </w:div>
        <w:div w:id="631863935">
          <w:marLeft w:val="640"/>
          <w:marRight w:val="0"/>
          <w:marTop w:val="0"/>
          <w:marBottom w:val="0"/>
          <w:divBdr>
            <w:top w:val="none" w:sz="0" w:space="0" w:color="auto"/>
            <w:left w:val="none" w:sz="0" w:space="0" w:color="auto"/>
            <w:bottom w:val="none" w:sz="0" w:space="0" w:color="auto"/>
            <w:right w:val="none" w:sz="0" w:space="0" w:color="auto"/>
          </w:divBdr>
        </w:div>
        <w:div w:id="2087216122">
          <w:marLeft w:val="640"/>
          <w:marRight w:val="0"/>
          <w:marTop w:val="0"/>
          <w:marBottom w:val="0"/>
          <w:divBdr>
            <w:top w:val="none" w:sz="0" w:space="0" w:color="auto"/>
            <w:left w:val="none" w:sz="0" w:space="0" w:color="auto"/>
            <w:bottom w:val="none" w:sz="0" w:space="0" w:color="auto"/>
            <w:right w:val="none" w:sz="0" w:space="0" w:color="auto"/>
          </w:divBdr>
        </w:div>
        <w:div w:id="205065180">
          <w:marLeft w:val="640"/>
          <w:marRight w:val="0"/>
          <w:marTop w:val="0"/>
          <w:marBottom w:val="0"/>
          <w:divBdr>
            <w:top w:val="none" w:sz="0" w:space="0" w:color="auto"/>
            <w:left w:val="none" w:sz="0" w:space="0" w:color="auto"/>
            <w:bottom w:val="none" w:sz="0" w:space="0" w:color="auto"/>
            <w:right w:val="none" w:sz="0" w:space="0" w:color="auto"/>
          </w:divBdr>
        </w:div>
        <w:div w:id="143474836">
          <w:marLeft w:val="640"/>
          <w:marRight w:val="0"/>
          <w:marTop w:val="0"/>
          <w:marBottom w:val="0"/>
          <w:divBdr>
            <w:top w:val="none" w:sz="0" w:space="0" w:color="auto"/>
            <w:left w:val="none" w:sz="0" w:space="0" w:color="auto"/>
            <w:bottom w:val="none" w:sz="0" w:space="0" w:color="auto"/>
            <w:right w:val="none" w:sz="0" w:space="0" w:color="auto"/>
          </w:divBdr>
        </w:div>
        <w:div w:id="2095932206">
          <w:marLeft w:val="640"/>
          <w:marRight w:val="0"/>
          <w:marTop w:val="0"/>
          <w:marBottom w:val="0"/>
          <w:divBdr>
            <w:top w:val="none" w:sz="0" w:space="0" w:color="auto"/>
            <w:left w:val="none" w:sz="0" w:space="0" w:color="auto"/>
            <w:bottom w:val="none" w:sz="0" w:space="0" w:color="auto"/>
            <w:right w:val="none" w:sz="0" w:space="0" w:color="auto"/>
          </w:divBdr>
        </w:div>
      </w:divsChild>
    </w:div>
    <w:div w:id="2007855910">
      <w:bodyDiv w:val="1"/>
      <w:marLeft w:val="0"/>
      <w:marRight w:val="0"/>
      <w:marTop w:val="0"/>
      <w:marBottom w:val="0"/>
      <w:divBdr>
        <w:top w:val="none" w:sz="0" w:space="0" w:color="auto"/>
        <w:left w:val="none" w:sz="0" w:space="0" w:color="auto"/>
        <w:bottom w:val="none" w:sz="0" w:space="0" w:color="auto"/>
        <w:right w:val="none" w:sz="0" w:space="0" w:color="auto"/>
      </w:divBdr>
    </w:div>
    <w:div w:id="2008513867">
      <w:bodyDiv w:val="1"/>
      <w:marLeft w:val="0"/>
      <w:marRight w:val="0"/>
      <w:marTop w:val="0"/>
      <w:marBottom w:val="0"/>
      <w:divBdr>
        <w:top w:val="none" w:sz="0" w:space="0" w:color="auto"/>
        <w:left w:val="none" w:sz="0" w:space="0" w:color="auto"/>
        <w:bottom w:val="none" w:sz="0" w:space="0" w:color="auto"/>
        <w:right w:val="none" w:sz="0" w:space="0" w:color="auto"/>
      </w:divBdr>
    </w:div>
    <w:div w:id="2013726536">
      <w:bodyDiv w:val="1"/>
      <w:marLeft w:val="0"/>
      <w:marRight w:val="0"/>
      <w:marTop w:val="0"/>
      <w:marBottom w:val="0"/>
      <w:divBdr>
        <w:top w:val="none" w:sz="0" w:space="0" w:color="auto"/>
        <w:left w:val="none" w:sz="0" w:space="0" w:color="auto"/>
        <w:bottom w:val="none" w:sz="0" w:space="0" w:color="auto"/>
        <w:right w:val="none" w:sz="0" w:space="0" w:color="auto"/>
      </w:divBdr>
    </w:div>
    <w:div w:id="2013990991">
      <w:bodyDiv w:val="1"/>
      <w:marLeft w:val="0"/>
      <w:marRight w:val="0"/>
      <w:marTop w:val="0"/>
      <w:marBottom w:val="0"/>
      <w:divBdr>
        <w:top w:val="none" w:sz="0" w:space="0" w:color="auto"/>
        <w:left w:val="none" w:sz="0" w:space="0" w:color="auto"/>
        <w:bottom w:val="none" w:sz="0" w:space="0" w:color="auto"/>
        <w:right w:val="none" w:sz="0" w:space="0" w:color="auto"/>
      </w:divBdr>
    </w:div>
    <w:div w:id="2014605302">
      <w:bodyDiv w:val="1"/>
      <w:marLeft w:val="0"/>
      <w:marRight w:val="0"/>
      <w:marTop w:val="0"/>
      <w:marBottom w:val="0"/>
      <w:divBdr>
        <w:top w:val="none" w:sz="0" w:space="0" w:color="auto"/>
        <w:left w:val="none" w:sz="0" w:space="0" w:color="auto"/>
        <w:bottom w:val="none" w:sz="0" w:space="0" w:color="auto"/>
        <w:right w:val="none" w:sz="0" w:space="0" w:color="auto"/>
      </w:divBdr>
    </w:div>
    <w:div w:id="2018388636">
      <w:bodyDiv w:val="1"/>
      <w:marLeft w:val="0"/>
      <w:marRight w:val="0"/>
      <w:marTop w:val="0"/>
      <w:marBottom w:val="0"/>
      <w:divBdr>
        <w:top w:val="none" w:sz="0" w:space="0" w:color="auto"/>
        <w:left w:val="none" w:sz="0" w:space="0" w:color="auto"/>
        <w:bottom w:val="none" w:sz="0" w:space="0" w:color="auto"/>
        <w:right w:val="none" w:sz="0" w:space="0" w:color="auto"/>
      </w:divBdr>
    </w:div>
    <w:div w:id="2019306265">
      <w:bodyDiv w:val="1"/>
      <w:marLeft w:val="0"/>
      <w:marRight w:val="0"/>
      <w:marTop w:val="0"/>
      <w:marBottom w:val="0"/>
      <w:divBdr>
        <w:top w:val="none" w:sz="0" w:space="0" w:color="auto"/>
        <w:left w:val="none" w:sz="0" w:space="0" w:color="auto"/>
        <w:bottom w:val="none" w:sz="0" w:space="0" w:color="auto"/>
        <w:right w:val="none" w:sz="0" w:space="0" w:color="auto"/>
      </w:divBdr>
    </w:div>
    <w:div w:id="2020152185">
      <w:bodyDiv w:val="1"/>
      <w:marLeft w:val="0"/>
      <w:marRight w:val="0"/>
      <w:marTop w:val="0"/>
      <w:marBottom w:val="0"/>
      <w:divBdr>
        <w:top w:val="none" w:sz="0" w:space="0" w:color="auto"/>
        <w:left w:val="none" w:sz="0" w:space="0" w:color="auto"/>
        <w:bottom w:val="none" w:sz="0" w:space="0" w:color="auto"/>
        <w:right w:val="none" w:sz="0" w:space="0" w:color="auto"/>
      </w:divBdr>
    </w:div>
    <w:div w:id="2020308616">
      <w:bodyDiv w:val="1"/>
      <w:marLeft w:val="0"/>
      <w:marRight w:val="0"/>
      <w:marTop w:val="0"/>
      <w:marBottom w:val="0"/>
      <w:divBdr>
        <w:top w:val="none" w:sz="0" w:space="0" w:color="auto"/>
        <w:left w:val="none" w:sz="0" w:space="0" w:color="auto"/>
        <w:bottom w:val="none" w:sz="0" w:space="0" w:color="auto"/>
        <w:right w:val="none" w:sz="0" w:space="0" w:color="auto"/>
      </w:divBdr>
    </w:div>
    <w:div w:id="2021152062">
      <w:bodyDiv w:val="1"/>
      <w:marLeft w:val="0"/>
      <w:marRight w:val="0"/>
      <w:marTop w:val="0"/>
      <w:marBottom w:val="0"/>
      <w:divBdr>
        <w:top w:val="none" w:sz="0" w:space="0" w:color="auto"/>
        <w:left w:val="none" w:sz="0" w:space="0" w:color="auto"/>
        <w:bottom w:val="none" w:sz="0" w:space="0" w:color="auto"/>
        <w:right w:val="none" w:sz="0" w:space="0" w:color="auto"/>
      </w:divBdr>
    </w:div>
    <w:div w:id="2021547251">
      <w:bodyDiv w:val="1"/>
      <w:marLeft w:val="0"/>
      <w:marRight w:val="0"/>
      <w:marTop w:val="0"/>
      <w:marBottom w:val="0"/>
      <w:divBdr>
        <w:top w:val="none" w:sz="0" w:space="0" w:color="auto"/>
        <w:left w:val="none" w:sz="0" w:space="0" w:color="auto"/>
        <w:bottom w:val="none" w:sz="0" w:space="0" w:color="auto"/>
        <w:right w:val="none" w:sz="0" w:space="0" w:color="auto"/>
      </w:divBdr>
    </w:div>
    <w:div w:id="2021928967">
      <w:bodyDiv w:val="1"/>
      <w:marLeft w:val="0"/>
      <w:marRight w:val="0"/>
      <w:marTop w:val="0"/>
      <w:marBottom w:val="0"/>
      <w:divBdr>
        <w:top w:val="none" w:sz="0" w:space="0" w:color="auto"/>
        <w:left w:val="none" w:sz="0" w:space="0" w:color="auto"/>
        <w:bottom w:val="none" w:sz="0" w:space="0" w:color="auto"/>
        <w:right w:val="none" w:sz="0" w:space="0" w:color="auto"/>
      </w:divBdr>
    </w:div>
    <w:div w:id="2024892907">
      <w:bodyDiv w:val="1"/>
      <w:marLeft w:val="0"/>
      <w:marRight w:val="0"/>
      <w:marTop w:val="0"/>
      <w:marBottom w:val="0"/>
      <w:divBdr>
        <w:top w:val="none" w:sz="0" w:space="0" w:color="auto"/>
        <w:left w:val="none" w:sz="0" w:space="0" w:color="auto"/>
        <w:bottom w:val="none" w:sz="0" w:space="0" w:color="auto"/>
        <w:right w:val="none" w:sz="0" w:space="0" w:color="auto"/>
      </w:divBdr>
    </w:div>
    <w:div w:id="2024940393">
      <w:bodyDiv w:val="1"/>
      <w:marLeft w:val="0"/>
      <w:marRight w:val="0"/>
      <w:marTop w:val="0"/>
      <w:marBottom w:val="0"/>
      <w:divBdr>
        <w:top w:val="none" w:sz="0" w:space="0" w:color="auto"/>
        <w:left w:val="none" w:sz="0" w:space="0" w:color="auto"/>
        <w:bottom w:val="none" w:sz="0" w:space="0" w:color="auto"/>
        <w:right w:val="none" w:sz="0" w:space="0" w:color="auto"/>
      </w:divBdr>
    </w:div>
    <w:div w:id="2025588803">
      <w:bodyDiv w:val="1"/>
      <w:marLeft w:val="0"/>
      <w:marRight w:val="0"/>
      <w:marTop w:val="0"/>
      <w:marBottom w:val="0"/>
      <w:divBdr>
        <w:top w:val="none" w:sz="0" w:space="0" w:color="auto"/>
        <w:left w:val="none" w:sz="0" w:space="0" w:color="auto"/>
        <w:bottom w:val="none" w:sz="0" w:space="0" w:color="auto"/>
        <w:right w:val="none" w:sz="0" w:space="0" w:color="auto"/>
      </w:divBdr>
    </w:div>
    <w:div w:id="2025591109">
      <w:bodyDiv w:val="1"/>
      <w:marLeft w:val="0"/>
      <w:marRight w:val="0"/>
      <w:marTop w:val="0"/>
      <w:marBottom w:val="0"/>
      <w:divBdr>
        <w:top w:val="none" w:sz="0" w:space="0" w:color="auto"/>
        <w:left w:val="none" w:sz="0" w:space="0" w:color="auto"/>
        <w:bottom w:val="none" w:sz="0" w:space="0" w:color="auto"/>
        <w:right w:val="none" w:sz="0" w:space="0" w:color="auto"/>
      </w:divBdr>
    </w:div>
    <w:div w:id="2026129693">
      <w:bodyDiv w:val="1"/>
      <w:marLeft w:val="0"/>
      <w:marRight w:val="0"/>
      <w:marTop w:val="0"/>
      <w:marBottom w:val="0"/>
      <w:divBdr>
        <w:top w:val="none" w:sz="0" w:space="0" w:color="auto"/>
        <w:left w:val="none" w:sz="0" w:space="0" w:color="auto"/>
        <w:bottom w:val="none" w:sz="0" w:space="0" w:color="auto"/>
        <w:right w:val="none" w:sz="0" w:space="0" w:color="auto"/>
      </w:divBdr>
    </w:div>
    <w:div w:id="2030446646">
      <w:bodyDiv w:val="1"/>
      <w:marLeft w:val="0"/>
      <w:marRight w:val="0"/>
      <w:marTop w:val="0"/>
      <w:marBottom w:val="0"/>
      <w:divBdr>
        <w:top w:val="none" w:sz="0" w:space="0" w:color="auto"/>
        <w:left w:val="none" w:sz="0" w:space="0" w:color="auto"/>
        <w:bottom w:val="none" w:sz="0" w:space="0" w:color="auto"/>
        <w:right w:val="none" w:sz="0" w:space="0" w:color="auto"/>
      </w:divBdr>
    </w:div>
    <w:div w:id="2034306654">
      <w:bodyDiv w:val="1"/>
      <w:marLeft w:val="0"/>
      <w:marRight w:val="0"/>
      <w:marTop w:val="0"/>
      <w:marBottom w:val="0"/>
      <w:divBdr>
        <w:top w:val="none" w:sz="0" w:space="0" w:color="auto"/>
        <w:left w:val="none" w:sz="0" w:space="0" w:color="auto"/>
        <w:bottom w:val="none" w:sz="0" w:space="0" w:color="auto"/>
        <w:right w:val="none" w:sz="0" w:space="0" w:color="auto"/>
      </w:divBdr>
    </w:div>
    <w:div w:id="2036077594">
      <w:bodyDiv w:val="1"/>
      <w:marLeft w:val="0"/>
      <w:marRight w:val="0"/>
      <w:marTop w:val="0"/>
      <w:marBottom w:val="0"/>
      <w:divBdr>
        <w:top w:val="none" w:sz="0" w:space="0" w:color="auto"/>
        <w:left w:val="none" w:sz="0" w:space="0" w:color="auto"/>
        <w:bottom w:val="none" w:sz="0" w:space="0" w:color="auto"/>
        <w:right w:val="none" w:sz="0" w:space="0" w:color="auto"/>
      </w:divBdr>
      <w:divsChild>
        <w:div w:id="448011394">
          <w:marLeft w:val="640"/>
          <w:marRight w:val="0"/>
          <w:marTop w:val="0"/>
          <w:marBottom w:val="0"/>
          <w:divBdr>
            <w:top w:val="none" w:sz="0" w:space="0" w:color="auto"/>
            <w:left w:val="none" w:sz="0" w:space="0" w:color="auto"/>
            <w:bottom w:val="none" w:sz="0" w:space="0" w:color="auto"/>
            <w:right w:val="none" w:sz="0" w:space="0" w:color="auto"/>
          </w:divBdr>
        </w:div>
        <w:div w:id="938417601">
          <w:marLeft w:val="640"/>
          <w:marRight w:val="0"/>
          <w:marTop w:val="0"/>
          <w:marBottom w:val="0"/>
          <w:divBdr>
            <w:top w:val="none" w:sz="0" w:space="0" w:color="auto"/>
            <w:left w:val="none" w:sz="0" w:space="0" w:color="auto"/>
            <w:bottom w:val="none" w:sz="0" w:space="0" w:color="auto"/>
            <w:right w:val="none" w:sz="0" w:space="0" w:color="auto"/>
          </w:divBdr>
        </w:div>
        <w:div w:id="80957152">
          <w:marLeft w:val="640"/>
          <w:marRight w:val="0"/>
          <w:marTop w:val="0"/>
          <w:marBottom w:val="0"/>
          <w:divBdr>
            <w:top w:val="none" w:sz="0" w:space="0" w:color="auto"/>
            <w:left w:val="none" w:sz="0" w:space="0" w:color="auto"/>
            <w:bottom w:val="none" w:sz="0" w:space="0" w:color="auto"/>
            <w:right w:val="none" w:sz="0" w:space="0" w:color="auto"/>
          </w:divBdr>
        </w:div>
        <w:div w:id="400949396">
          <w:marLeft w:val="640"/>
          <w:marRight w:val="0"/>
          <w:marTop w:val="0"/>
          <w:marBottom w:val="0"/>
          <w:divBdr>
            <w:top w:val="none" w:sz="0" w:space="0" w:color="auto"/>
            <w:left w:val="none" w:sz="0" w:space="0" w:color="auto"/>
            <w:bottom w:val="none" w:sz="0" w:space="0" w:color="auto"/>
            <w:right w:val="none" w:sz="0" w:space="0" w:color="auto"/>
          </w:divBdr>
        </w:div>
        <w:div w:id="956524089">
          <w:marLeft w:val="640"/>
          <w:marRight w:val="0"/>
          <w:marTop w:val="0"/>
          <w:marBottom w:val="0"/>
          <w:divBdr>
            <w:top w:val="none" w:sz="0" w:space="0" w:color="auto"/>
            <w:left w:val="none" w:sz="0" w:space="0" w:color="auto"/>
            <w:bottom w:val="none" w:sz="0" w:space="0" w:color="auto"/>
            <w:right w:val="none" w:sz="0" w:space="0" w:color="auto"/>
          </w:divBdr>
        </w:div>
        <w:div w:id="1374430352">
          <w:marLeft w:val="640"/>
          <w:marRight w:val="0"/>
          <w:marTop w:val="0"/>
          <w:marBottom w:val="0"/>
          <w:divBdr>
            <w:top w:val="none" w:sz="0" w:space="0" w:color="auto"/>
            <w:left w:val="none" w:sz="0" w:space="0" w:color="auto"/>
            <w:bottom w:val="none" w:sz="0" w:space="0" w:color="auto"/>
            <w:right w:val="none" w:sz="0" w:space="0" w:color="auto"/>
          </w:divBdr>
        </w:div>
        <w:div w:id="906577599">
          <w:marLeft w:val="640"/>
          <w:marRight w:val="0"/>
          <w:marTop w:val="0"/>
          <w:marBottom w:val="0"/>
          <w:divBdr>
            <w:top w:val="none" w:sz="0" w:space="0" w:color="auto"/>
            <w:left w:val="none" w:sz="0" w:space="0" w:color="auto"/>
            <w:bottom w:val="none" w:sz="0" w:space="0" w:color="auto"/>
            <w:right w:val="none" w:sz="0" w:space="0" w:color="auto"/>
          </w:divBdr>
        </w:div>
        <w:div w:id="742877721">
          <w:marLeft w:val="640"/>
          <w:marRight w:val="0"/>
          <w:marTop w:val="0"/>
          <w:marBottom w:val="0"/>
          <w:divBdr>
            <w:top w:val="none" w:sz="0" w:space="0" w:color="auto"/>
            <w:left w:val="none" w:sz="0" w:space="0" w:color="auto"/>
            <w:bottom w:val="none" w:sz="0" w:space="0" w:color="auto"/>
            <w:right w:val="none" w:sz="0" w:space="0" w:color="auto"/>
          </w:divBdr>
        </w:div>
        <w:div w:id="1760255836">
          <w:marLeft w:val="640"/>
          <w:marRight w:val="0"/>
          <w:marTop w:val="0"/>
          <w:marBottom w:val="0"/>
          <w:divBdr>
            <w:top w:val="none" w:sz="0" w:space="0" w:color="auto"/>
            <w:left w:val="none" w:sz="0" w:space="0" w:color="auto"/>
            <w:bottom w:val="none" w:sz="0" w:space="0" w:color="auto"/>
            <w:right w:val="none" w:sz="0" w:space="0" w:color="auto"/>
          </w:divBdr>
        </w:div>
        <w:div w:id="2108303597">
          <w:marLeft w:val="640"/>
          <w:marRight w:val="0"/>
          <w:marTop w:val="0"/>
          <w:marBottom w:val="0"/>
          <w:divBdr>
            <w:top w:val="none" w:sz="0" w:space="0" w:color="auto"/>
            <w:left w:val="none" w:sz="0" w:space="0" w:color="auto"/>
            <w:bottom w:val="none" w:sz="0" w:space="0" w:color="auto"/>
            <w:right w:val="none" w:sz="0" w:space="0" w:color="auto"/>
          </w:divBdr>
        </w:div>
        <w:div w:id="845678770">
          <w:marLeft w:val="640"/>
          <w:marRight w:val="0"/>
          <w:marTop w:val="0"/>
          <w:marBottom w:val="0"/>
          <w:divBdr>
            <w:top w:val="none" w:sz="0" w:space="0" w:color="auto"/>
            <w:left w:val="none" w:sz="0" w:space="0" w:color="auto"/>
            <w:bottom w:val="none" w:sz="0" w:space="0" w:color="auto"/>
            <w:right w:val="none" w:sz="0" w:space="0" w:color="auto"/>
          </w:divBdr>
        </w:div>
        <w:div w:id="627325417">
          <w:marLeft w:val="640"/>
          <w:marRight w:val="0"/>
          <w:marTop w:val="0"/>
          <w:marBottom w:val="0"/>
          <w:divBdr>
            <w:top w:val="none" w:sz="0" w:space="0" w:color="auto"/>
            <w:left w:val="none" w:sz="0" w:space="0" w:color="auto"/>
            <w:bottom w:val="none" w:sz="0" w:space="0" w:color="auto"/>
            <w:right w:val="none" w:sz="0" w:space="0" w:color="auto"/>
          </w:divBdr>
        </w:div>
        <w:div w:id="1267885463">
          <w:marLeft w:val="640"/>
          <w:marRight w:val="0"/>
          <w:marTop w:val="0"/>
          <w:marBottom w:val="0"/>
          <w:divBdr>
            <w:top w:val="none" w:sz="0" w:space="0" w:color="auto"/>
            <w:left w:val="none" w:sz="0" w:space="0" w:color="auto"/>
            <w:bottom w:val="none" w:sz="0" w:space="0" w:color="auto"/>
            <w:right w:val="none" w:sz="0" w:space="0" w:color="auto"/>
          </w:divBdr>
        </w:div>
        <w:div w:id="2085106450">
          <w:marLeft w:val="640"/>
          <w:marRight w:val="0"/>
          <w:marTop w:val="0"/>
          <w:marBottom w:val="0"/>
          <w:divBdr>
            <w:top w:val="none" w:sz="0" w:space="0" w:color="auto"/>
            <w:left w:val="none" w:sz="0" w:space="0" w:color="auto"/>
            <w:bottom w:val="none" w:sz="0" w:space="0" w:color="auto"/>
            <w:right w:val="none" w:sz="0" w:space="0" w:color="auto"/>
          </w:divBdr>
        </w:div>
        <w:div w:id="1343241805">
          <w:marLeft w:val="640"/>
          <w:marRight w:val="0"/>
          <w:marTop w:val="0"/>
          <w:marBottom w:val="0"/>
          <w:divBdr>
            <w:top w:val="none" w:sz="0" w:space="0" w:color="auto"/>
            <w:left w:val="none" w:sz="0" w:space="0" w:color="auto"/>
            <w:bottom w:val="none" w:sz="0" w:space="0" w:color="auto"/>
            <w:right w:val="none" w:sz="0" w:space="0" w:color="auto"/>
          </w:divBdr>
        </w:div>
        <w:div w:id="398213661">
          <w:marLeft w:val="640"/>
          <w:marRight w:val="0"/>
          <w:marTop w:val="0"/>
          <w:marBottom w:val="0"/>
          <w:divBdr>
            <w:top w:val="none" w:sz="0" w:space="0" w:color="auto"/>
            <w:left w:val="none" w:sz="0" w:space="0" w:color="auto"/>
            <w:bottom w:val="none" w:sz="0" w:space="0" w:color="auto"/>
            <w:right w:val="none" w:sz="0" w:space="0" w:color="auto"/>
          </w:divBdr>
        </w:div>
        <w:div w:id="2095003817">
          <w:marLeft w:val="640"/>
          <w:marRight w:val="0"/>
          <w:marTop w:val="0"/>
          <w:marBottom w:val="0"/>
          <w:divBdr>
            <w:top w:val="none" w:sz="0" w:space="0" w:color="auto"/>
            <w:left w:val="none" w:sz="0" w:space="0" w:color="auto"/>
            <w:bottom w:val="none" w:sz="0" w:space="0" w:color="auto"/>
            <w:right w:val="none" w:sz="0" w:space="0" w:color="auto"/>
          </w:divBdr>
        </w:div>
        <w:div w:id="1218315965">
          <w:marLeft w:val="640"/>
          <w:marRight w:val="0"/>
          <w:marTop w:val="0"/>
          <w:marBottom w:val="0"/>
          <w:divBdr>
            <w:top w:val="none" w:sz="0" w:space="0" w:color="auto"/>
            <w:left w:val="none" w:sz="0" w:space="0" w:color="auto"/>
            <w:bottom w:val="none" w:sz="0" w:space="0" w:color="auto"/>
            <w:right w:val="none" w:sz="0" w:space="0" w:color="auto"/>
          </w:divBdr>
        </w:div>
        <w:div w:id="115292588">
          <w:marLeft w:val="640"/>
          <w:marRight w:val="0"/>
          <w:marTop w:val="0"/>
          <w:marBottom w:val="0"/>
          <w:divBdr>
            <w:top w:val="none" w:sz="0" w:space="0" w:color="auto"/>
            <w:left w:val="none" w:sz="0" w:space="0" w:color="auto"/>
            <w:bottom w:val="none" w:sz="0" w:space="0" w:color="auto"/>
            <w:right w:val="none" w:sz="0" w:space="0" w:color="auto"/>
          </w:divBdr>
        </w:div>
        <w:div w:id="246498125">
          <w:marLeft w:val="640"/>
          <w:marRight w:val="0"/>
          <w:marTop w:val="0"/>
          <w:marBottom w:val="0"/>
          <w:divBdr>
            <w:top w:val="none" w:sz="0" w:space="0" w:color="auto"/>
            <w:left w:val="none" w:sz="0" w:space="0" w:color="auto"/>
            <w:bottom w:val="none" w:sz="0" w:space="0" w:color="auto"/>
            <w:right w:val="none" w:sz="0" w:space="0" w:color="auto"/>
          </w:divBdr>
        </w:div>
        <w:div w:id="1999534468">
          <w:marLeft w:val="640"/>
          <w:marRight w:val="0"/>
          <w:marTop w:val="0"/>
          <w:marBottom w:val="0"/>
          <w:divBdr>
            <w:top w:val="none" w:sz="0" w:space="0" w:color="auto"/>
            <w:left w:val="none" w:sz="0" w:space="0" w:color="auto"/>
            <w:bottom w:val="none" w:sz="0" w:space="0" w:color="auto"/>
            <w:right w:val="none" w:sz="0" w:space="0" w:color="auto"/>
          </w:divBdr>
        </w:div>
        <w:div w:id="1974289382">
          <w:marLeft w:val="640"/>
          <w:marRight w:val="0"/>
          <w:marTop w:val="0"/>
          <w:marBottom w:val="0"/>
          <w:divBdr>
            <w:top w:val="none" w:sz="0" w:space="0" w:color="auto"/>
            <w:left w:val="none" w:sz="0" w:space="0" w:color="auto"/>
            <w:bottom w:val="none" w:sz="0" w:space="0" w:color="auto"/>
            <w:right w:val="none" w:sz="0" w:space="0" w:color="auto"/>
          </w:divBdr>
        </w:div>
        <w:div w:id="1641885941">
          <w:marLeft w:val="640"/>
          <w:marRight w:val="0"/>
          <w:marTop w:val="0"/>
          <w:marBottom w:val="0"/>
          <w:divBdr>
            <w:top w:val="none" w:sz="0" w:space="0" w:color="auto"/>
            <w:left w:val="none" w:sz="0" w:space="0" w:color="auto"/>
            <w:bottom w:val="none" w:sz="0" w:space="0" w:color="auto"/>
            <w:right w:val="none" w:sz="0" w:space="0" w:color="auto"/>
          </w:divBdr>
        </w:div>
        <w:div w:id="720905339">
          <w:marLeft w:val="640"/>
          <w:marRight w:val="0"/>
          <w:marTop w:val="0"/>
          <w:marBottom w:val="0"/>
          <w:divBdr>
            <w:top w:val="none" w:sz="0" w:space="0" w:color="auto"/>
            <w:left w:val="none" w:sz="0" w:space="0" w:color="auto"/>
            <w:bottom w:val="none" w:sz="0" w:space="0" w:color="auto"/>
            <w:right w:val="none" w:sz="0" w:space="0" w:color="auto"/>
          </w:divBdr>
        </w:div>
        <w:div w:id="611671142">
          <w:marLeft w:val="640"/>
          <w:marRight w:val="0"/>
          <w:marTop w:val="0"/>
          <w:marBottom w:val="0"/>
          <w:divBdr>
            <w:top w:val="none" w:sz="0" w:space="0" w:color="auto"/>
            <w:left w:val="none" w:sz="0" w:space="0" w:color="auto"/>
            <w:bottom w:val="none" w:sz="0" w:space="0" w:color="auto"/>
            <w:right w:val="none" w:sz="0" w:space="0" w:color="auto"/>
          </w:divBdr>
        </w:div>
        <w:div w:id="1676768004">
          <w:marLeft w:val="640"/>
          <w:marRight w:val="0"/>
          <w:marTop w:val="0"/>
          <w:marBottom w:val="0"/>
          <w:divBdr>
            <w:top w:val="none" w:sz="0" w:space="0" w:color="auto"/>
            <w:left w:val="none" w:sz="0" w:space="0" w:color="auto"/>
            <w:bottom w:val="none" w:sz="0" w:space="0" w:color="auto"/>
            <w:right w:val="none" w:sz="0" w:space="0" w:color="auto"/>
          </w:divBdr>
        </w:div>
        <w:div w:id="391539916">
          <w:marLeft w:val="640"/>
          <w:marRight w:val="0"/>
          <w:marTop w:val="0"/>
          <w:marBottom w:val="0"/>
          <w:divBdr>
            <w:top w:val="none" w:sz="0" w:space="0" w:color="auto"/>
            <w:left w:val="none" w:sz="0" w:space="0" w:color="auto"/>
            <w:bottom w:val="none" w:sz="0" w:space="0" w:color="auto"/>
            <w:right w:val="none" w:sz="0" w:space="0" w:color="auto"/>
          </w:divBdr>
        </w:div>
        <w:div w:id="2098212808">
          <w:marLeft w:val="640"/>
          <w:marRight w:val="0"/>
          <w:marTop w:val="0"/>
          <w:marBottom w:val="0"/>
          <w:divBdr>
            <w:top w:val="none" w:sz="0" w:space="0" w:color="auto"/>
            <w:left w:val="none" w:sz="0" w:space="0" w:color="auto"/>
            <w:bottom w:val="none" w:sz="0" w:space="0" w:color="auto"/>
            <w:right w:val="none" w:sz="0" w:space="0" w:color="auto"/>
          </w:divBdr>
        </w:div>
        <w:div w:id="743726664">
          <w:marLeft w:val="640"/>
          <w:marRight w:val="0"/>
          <w:marTop w:val="0"/>
          <w:marBottom w:val="0"/>
          <w:divBdr>
            <w:top w:val="none" w:sz="0" w:space="0" w:color="auto"/>
            <w:left w:val="none" w:sz="0" w:space="0" w:color="auto"/>
            <w:bottom w:val="none" w:sz="0" w:space="0" w:color="auto"/>
            <w:right w:val="none" w:sz="0" w:space="0" w:color="auto"/>
          </w:divBdr>
        </w:div>
        <w:div w:id="647368306">
          <w:marLeft w:val="640"/>
          <w:marRight w:val="0"/>
          <w:marTop w:val="0"/>
          <w:marBottom w:val="0"/>
          <w:divBdr>
            <w:top w:val="none" w:sz="0" w:space="0" w:color="auto"/>
            <w:left w:val="none" w:sz="0" w:space="0" w:color="auto"/>
            <w:bottom w:val="none" w:sz="0" w:space="0" w:color="auto"/>
            <w:right w:val="none" w:sz="0" w:space="0" w:color="auto"/>
          </w:divBdr>
        </w:div>
        <w:div w:id="1138038517">
          <w:marLeft w:val="640"/>
          <w:marRight w:val="0"/>
          <w:marTop w:val="0"/>
          <w:marBottom w:val="0"/>
          <w:divBdr>
            <w:top w:val="none" w:sz="0" w:space="0" w:color="auto"/>
            <w:left w:val="none" w:sz="0" w:space="0" w:color="auto"/>
            <w:bottom w:val="none" w:sz="0" w:space="0" w:color="auto"/>
            <w:right w:val="none" w:sz="0" w:space="0" w:color="auto"/>
          </w:divBdr>
        </w:div>
        <w:div w:id="1243642227">
          <w:marLeft w:val="640"/>
          <w:marRight w:val="0"/>
          <w:marTop w:val="0"/>
          <w:marBottom w:val="0"/>
          <w:divBdr>
            <w:top w:val="none" w:sz="0" w:space="0" w:color="auto"/>
            <w:left w:val="none" w:sz="0" w:space="0" w:color="auto"/>
            <w:bottom w:val="none" w:sz="0" w:space="0" w:color="auto"/>
            <w:right w:val="none" w:sz="0" w:space="0" w:color="auto"/>
          </w:divBdr>
        </w:div>
        <w:div w:id="1741518390">
          <w:marLeft w:val="640"/>
          <w:marRight w:val="0"/>
          <w:marTop w:val="0"/>
          <w:marBottom w:val="0"/>
          <w:divBdr>
            <w:top w:val="none" w:sz="0" w:space="0" w:color="auto"/>
            <w:left w:val="none" w:sz="0" w:space="0" w:color="auto"/>
            <w:bottom w:val="none" w:sz="0" w:space="0" w:color="auto"/>
            <w:right w:val="none" w:sz="0" w:space="0" w:color="auto"/>
          </w:divBdr>
        </w:div>
        <w:div w:id="443889519">
          <w:marLeft w:val="640"/>
          <w:marRight w:val="0"/>
          <w:marTop w:val="0"/>
          <w:marBottom w:val="0"/>
          <w:divBdr>
            <w:top w:val="none" w:sz="0" w:space="0" w:color="auto"/>
            <w:left w:val="none" w:sz="0" w:space="0" w:color="auto"/>
            <w:bottom w:val="none" w:sz="0" w:space="0" w:color="auto"/>
            <w:right w:val="none" w:sz="0" w:space="0" w:color="auto"/>
          </w:divBdr>
        </w:div>
        <w:div w:id="862061249">
          <w:marLeft w:val="640"/>
          <w:marRight w:val="0"/>
          <w:marTop w:val="0"/>
          <w:marBottom w:val="0"/>
          <w:divBdr>
            <w:top w:val="none" w:sz="0" w:space="0" w:color="auto"/>
            <w:left w:val="none" w:sz="0" w:space="0" w:color="auto"/>
            <w:bottom w:val="none" w:sz="0" w:space="0" w:color="auto"/>
            <w:right w:val="none" w:sz="0" w:space="0" w:color="auto"/>
          </w:divBdr>
        </w:div>
        <w:div w:id="997225395">
          <w:marLeft w:val="640"/>
          <w:marRight w:val="0"/>
          <w:marTop w:val="0"/>
          <w:marBottom w:val="0"/>
          <w:divBdr>
            <w:top w:val="none" w:sz="0" w:space="0" w:color="auto"/>
            <w:left w:val="none" w:sz="0" w:space="0" w:color="auto"/>
            <w:bottom w:val="none" w:sz="0" w:space="0" w:color="auto"/>
            <w:right w:val="none" w:sz="0" w:space="0" w:color="auto"/>
          </w:divBdr>
        </w:div>
        <w:div w:id="1414351260">
          <w:marLeft w:val="640"/>
          <w:marRight w:val="0"/>
          <w:marTop w:val="0"/>
          <w:marBottom w:val="0"/>
          <w:divBdr>
            <w:top w:val="none" w:sz="0" w:space="0" w:color="auto"/>
            <w:left w:val="none" w:sz="0" w:space="0" w:color="auto"/>
            <w:bottom w:val="none" w:sz="0" w:space="0" w:color="auto"/>
            <w:right w:val="none" w:sz="0" w:space="0" w:color="auto"/>
          </w:divBdr>
        </w:div>
        <w:div w:id="22753642">
          <w:marLeft w:val="640"/>
          <w:marRight w:val="0"/>
          <w:marTop w:val="0"/>
          <w:marBottom w:val="0"/>
          <w:divBdr>
            <w:top w:val="none" w:sz="0" w:space="0" w:color="auto"/>
            <w:left w:val="none" w:sz="0" w:space="0" w:color="auto"/>
            <w:bottom w:val="none" w:sz="0" w:space="0" w:color="auto"/>
            <w:right w:val="none" w:sz="0" w:space="0" w:color="auto"/>
          </w:divBdr>
        </w:div>
        <w:div w:id="1169179044">
          <w:marLeft w:val="640"/>
          <w:marRight w:val="0"/>
          <w:marTop w:val="0"/>
          <w:marBottom w:val="0"/>
          <w:divBdr>
            <w:top w:val="none" w:sz="0" w:space="0" w:color="auto"/>
            <w:left w:val="none" w:sz="0" w:space="0" w:color="auto"/>
            <w:bottom w:val="none" w:sz="0" w:space="0" w:color="auto"/>
            <w:right w:val="none" w:sz="0" w:space="0" w:color="auto"/>
          </w:divBdr>
        </w:div>
        <w:div w:id="1387946934">
          <w:marLeft w:val="640"/>
          <w:marRight w:val="0"/>
          <w:marTop w:val="0"/>
          <w:marBottom w:val="0"/>
          <w:divBdr>
            <w:top w:val="none" w:sz="0" w:space="0" w:color="auto"/>
            <w:left w:val="none" w:sz="0" w:space="0" w:color="auto"/>
            <w:bottom w:val="none" w:sz="0" w:space="0" w:color="auto"/>
            <w:right w:val="none" w:sz="0" w:space="0" w:color="auto"/>
          </w:divBdr>
        </w:div>
        <w:div w:id="1450590511">
          <w:marLeft w:val="640"/>
          <w:marRight w:val="0"/>
          <w:marTop w:val="0"/>
          <w:marBottom w:val="0"/>
          <w:divBdr>
            <w:top w:val="none" w:sz="0" w:space="0" w:color="auto"/>
            <w:left w:val="none" w:sz="0" w:space="0" w:color="auto"/>
            <w:bottom w:val="none" w:sz="0" w:space="0" w:color="auto"/>
            <w:right w:val="none" w:sz="0" w:space="0" w:color="auto"/>
          </w:divBdr>
        </w:div>
        <w:div w:id="1075518680">
          <w:marLeft w:val="640"/>
          <w:marRight w:val="0"/>
          <w:marTop w:val="0"/>
          <w:marBottom w:val="0"/>
          <w:divBdr>
            <w:top w:val="none" w:sz="0" w:space="0" w:color="auto"/>
            <w:left w:val="none" w:sz="0" w:space="0" w:color="auto"/>
            <w:bottom w:val="none" w:sz="0" w:space="0" w:color="auto"/>
            <w:right w:val="none" w:sz="0" w:space="0" w:color="auto"/>
          </w:divBdr>
        </w:div>
        <w:div w:id="470824889">
          <w:marLeft w:val="640"/>
          <w:marRight w:val="0"/>
          <w:marTop w:val="0"/>
          <w:marBottom w:val="0"/>
          <w:divBdr>
            <w:top w:val="none" w:sz="0" w:space="0" w:color="auto"/>
            <w:left w:val="none" w:sz="0" w:space="0" w:color="auto"/>
            <w:bottom w:val="none" w:sz="0" w:space="0" w:color="auto"/>
            <w:right w:val="none" w:sz="0" w:space="0" w:color="auto"/>
          </w:divBdr>
        </w:div>
        <w:div w:id="1255045741">
          <w:marLeft w:val="640"/>
          <w:marRight w:val="0"/>
          <w:marTop w:val="0"/>
          <w:marBottom w:val="0"/>
          <w:divBdr>
            <w:top w:val="none" w:sz="0" w:space="0" w:color="auto"/>
            <w:left w:val="none" w:sz="0" w:space="0" w:color="auto"/>
            <w:bottom w:val="none" w:sz="0" w:space="0" w:color="auto"/>
            <w:right w:val="none" w:sz="0" w:space="0" w:color="auto"/>
          </w:divBdr>
        </w:div>
        <w:div w:id="1599830594">
          <w:marLeft w:val="640"/>
          <w:marRight w:val="0"/>
          <w:marTop w:val="0"/>
          <w:marBottom w:val="0"/>
          <w:divBdr>
            <w:top w:val="none" w:sz="0" w:space="0" w:color="auto"/>
            <w:left w:val="none" w:sz="0" w:space="0" w:color="auto"/>
            <w:bottom w:val="none" w:sz="0" w:space="0" w:color="auto"/>
            <w:right w:val="none" w:sz="0" w:space="0" w:color="auto"/>
          </w:divBdr>
        </w:div>
        <w:div w:id="1570265774">
          <w:marLeft w:val="640"/>
          <w:marRight w:val="0"/>
          <w:marTop w:val="0"/>
          <w:marBottom w:val="0"/>
          <w:divBdr>
            <w:top w:val="none" w:sz="0" w:space="0" w:color="auto"/>
            <w:left w:val="none" w:sz="0" w:space="0" w:color="auto"/>
            <w:bottom w:val="none" w:sz="0" w:space="0" w:color="auto"/>
            <w:right w:val="none" w:sz="0" w:space="0" w:color="auto"/>
          </w:divBdr>
        </w:div>
        <w:div w:id="1665471041">
          <w:marLeft w:val="640"/>
          <w:marRight w:val="0"/>
          <w:marTop w:val="0"/>
          <w:marBottom w:val="0"/>
          <w:divBdr>
            <w:top w:val="none" w:sz="0" w:space="0" w:color="auto"/>
            <w:left w:val="none" w:sz="0" w:space="0" w:color="auto"/>
            <w:bottom w:val="none" w:sz="0" w:space="0" w:color="auto"/>
            <w:right w:val="none" w:sz="0" w:space="0" w:color="auto"/>
          </w:divBdr>
        </w:div>
        <w:div w:id="1250310091">
          <w:marLeft w:val="640"/>
          <w:marRight w:val="0"/>
          <w:marTop w:val="0"/>
          <w:marBottom w:val="0"/>
          <w:divBdr>
            <w:top w:val="none" w:sz="0" w:space="0" w:color="auto"/>
            <w:left w:val="none" w:sz="0" w:space="0" w:color="auto"/>
            <w:bottom w:val="none" w:sz="0" w:space="0" w:color="auto"/>
            <w:right w:val="none" w:sz="0" w:space="0" w:color="auto"/>
          </w:divBdr>
        </w:div>
        <w:div w:id="2130271563">
          <w:marLeft w:val="640"/>
          <w:marRight w:val="0"/>
          <w:marTop w:val="0"/>
          <w:marBottom w:val="0"/>
          <w:divBdr>
            <w:top w:val="none" w:sz="0" w:space="0" w:color="auto"/>
            <w:left w:val="none" w:sz="0" w:space="0" w:color="auto"/>
            <w:bottom w:val="none" w:sz="0" w:space="0" w:color="auto"/>
            <w:right w:val="none" w:sz="0" w:space="0" w:color="auto"/>
          </w:divBdr>
        </w:div>
        <w:div w:id="984970403">
          <w:marLeft w:val="640"/>
          <w:marRight w:val="0"/>
          <w:marTop w:val="0"/>
          <w:marBottom w:val="0"/>
          <w:divBdr>
            <w:top w:val="none" w:sz="0" w:space="0" w:color="auto"/>
            <w:left w:val="none" w:sz="0" w:space="0" w:color="auto"/>
            <w:bottom w:val="none" w:sz="0" w:space="0" w:color="auto"/>
            <w:right w:val="none" w:sz="0" w:space="0" w:color="auto"/>
          </w:divBdr>
        </w:div>
        <w:div w:id="724109244">
          <w:marLeft w:val="640"/>
          <w:marRight w:val="0"/>
          <w:marTop w:val="0"/>
          <w:marBottom w:val="0"/>
          <w:divBdr>
            <w:top w:val="none" w:sz="0" w:space="0" w:color="auto"/>
            <w:left w:val="none" w:sz="0" w:space="0" w:color="auto"/>
            <w:bottom w:val="none" w:sz="0" w:space="0" w:color="auto"/>
            <w:right w:val="none" w:sz="0" w:space="0" w:color="auto"/>
          </w:divBdr>
        </w:div>
        <w:div w:id="1210803140">
          <w:marLeft w:val="640"/>
          <w:marRight w:val="0"/>
          <w:marTop w:val="0"/>
          <w:marBottom w:val="0"/>
          <w:divBdr>
            <w:top w:val="none" w:sz="0" w:space="0" w:color="auto"/>
            <w:left w:val="none" w:sz="0" w:space="0" w:color="auto"/>
            <w:bottom w:val="none" w:sz="0" w:space="0" w:color="auto"/>
            <w:right w:val="none" w:sz="0" w:space="0" w:color="auto"/>
          </w:divBdr>
        </w:div>
        <w:div w:id="1940485358">
          <w:marLeft w:val="640"/>
          <w:marRight w:val="0"/>
          <w:marTop w:val="0"/>
          <w:marBottom w:val="0"/>
          <w:divBdr>
            <w:top w:val="none" w:sz="0" w:space="0" w:color="auto"/>
            <w:left w:val="none" w:sz="0" w:space="0" w:color="auto"/>
            <w:bottom w:val="none" w:sz="0" w:space="0" w:color="auto"/>
            <w:right w:val="none" w:sz="0" w:space="0" w:color="auto"/>
          </w:divBdr>
        </w:div>
        <w:div w:id="1717702019">
          <w:marLeft w:val="640"/>
          <w:marRight w:val="0"/>
          <w:marTop w:val="0"/>
          <w:marBottom w:val="0"/>
          <w:divBdr>
            <w:top w:val="none" w:sz="0" w:space="0" w:color="auto"/>
            <w:left w:val="none" w:sz="0" w:space="0" w:color="auto"/>
            <w:bottom w:val="none" w:sz="0" w:space="0" w:color="auto"/>
            <w:right w:val="none" w:sz="0" w:space="0" w:color="auto"/>
          </w:divBdr>
        </w:div>
        <w:div w:id="1817410431">
          <w:marLeft w:val="640"/>
          <w:marRight w:val="0"/>
          <w:marTop w:val="0"/>
          <w:marBottom w:val="0"/>
          <w:divBdr>
            <w:top w:val="none" w:sz="0" w:space="0" w:color="auto"/>
            <w:left w:val="none" w:sz="0" w:space="0" w:color="auto"/>
            <w:bottom w:val="none" w:sz="0" w:space="0" w:color="auto"/>
            <w:right w:val="none" w:sz="0" w:space="0" w:color="auto"/>
          </w:divBdr>
        </w:div>
        <w:div w:id="1947691158">
          <w:marLeft w:val="640"/>
          <w:marRight w:val="0"/>
          <w:marTop w:val="0"/>
          <w:marBottom w:val="0"/>
          <w:divBdr>
            <w:top w:val="none" w:sz="0" w:space="0" w:color="auto"/>
            <w:left w:val="none" w:sz="0" w:space="0" w:color="auto"/>
            <w:bottom w:val="none" w:sz="0" w:space="0" w:color="auto"/>
            <w:right w:val="none" w:sz="0" w:space="0" w:color="auto"/>
          </w:divBdr>
        </w:div>
        <w:div w:id="1548225314">
          <w:marLeft w:val="640"/>
          <w:marRight w:val="0"/>
          <w:marTop w:val="0"/>
          <w:marBottom w:val="0"/>
          <w:divBdr>
            <w:top w:val="none" w:sz="0" w:space="0" w:color="auto"/>
            <w:left w:val="none" w:sz="0" w:space="0" w:color="auto"/>
            <w:bottom w:val="none" w:sz="0" w:space="0" w:color="auto"/>
            <w:right w:val="none" w:sz="0" w:space="0" w:color="auto"/>
          </w:divBdr>
        </w:div>
        <w:div w:id="365060455">
          <w:marLeft w:val="640"/>
          <w:marRight w:val="0"/>
          <w:marTop w:val="0"/>
          <w:marBottom w:val="0"/>
          <w:divBdr>
            <w:top w:val="none" w:sz="0" w:space="0" w:color="auto"/>
            <w:left w:val="none" w:sz="0" w:space="0" w:color="auto"/>
            <w:bottom w:val="none" w:sz="0" w:space="0" w:color="auto"/>
            <w:right w:val="none" w:sz="0" w:space="0" w:color="auto"/>
          </w:divBdr>
        </w:div>
        <w:div w:id="1190871813">
          <w:marLeft w:val="640"/>
          <w:marRight w:val="0"/>
          <w:marTop w:val="0"/>
          <w:marBottom w:val="0"/>
          <w:divBdr>
            <w:top w:val="none" w:sz="0" w:space="0" w:color="auto"/>
            <w:left w:val="none" w:sz="0" w:space="0" w:color="auto"/>
            <w:bottom w:val="none" w:sz="0" w:space="0" w:color="auto"/>
            <w:right w:val="none" w:sz="0" w:space="0" w:color="auto"/>
          </w:divBdr>
        </w:div>
        <w:div w:id="1040743789">
          <w:marLeft w:val="640"/>
          <w:marRight w:val="0"/>
          <w:marTop w:val="0"/>
          <w:marBottom w:val="0"/>
          <w:divBdr>
            <w:top w:val="none" w:sz="0" w:space="0" w:color="auto"/>
            <w:left w:val="none" w:sz="0" w:space="0" w:color="auto"/>
            <w:bottom w:val="none" w:sz="0" w:space="0" w:color="auto"/>
            <w:right w:val="none" w:sz="0" w:space="0" w:color="auto"/>
          </w:divBdr>
        </w:div>
        <w:div w:id="1502545731">
          <w:marLeft w:val="640"/>
          <w:marRight w:val="0"/>
          <w:marTop w:val="0"/>
          <w:marBottom w:val="0"/>
          <w:divBdr>
            <w:top w:val="none" w:sz="0" w:space="0" w:color="auto"/>
            <w:left w:val="none" w:sz="0" w:space="0" w:color="auto"/>
            <w:bottom w:val="none" w:sz="0" w:space="0" w:color="auto"/>
            <w:right w:val="none" w:sz="0" w:space="0" w:color="auto"/>
          </w:divBdr>
        </w:div>
        <w:div w:id="300038946">
          <w:marLeft w:val="640"/>
          <w:marRight w:val="0"/>
          <w:marTop w:val="0"/>
          <w:marBottom w:val="0"/>
          <w:divBdr>
            <w:top w:val="none" w:sz="0" w:space="0" w:color="auto"/>
            <w:left w:val="none" w:sz="0" w:space="0" w:color="auto"/>
            <w:bottom w:val="none" w:sz="0" w:space="0" w:color="auto"/>
            <w:right w:val="none" w:sz="0" w:space="0" w:color="auto"/>
          </w:divBdr>
        </w:div>
        <w:div w:id="298733243">
          <w:marLeft w:val="640"/>
          <w:marRight w:val="0"/>
          <w:marTop w:val="0"/>
          <w:marBottom w:val="0"/>
          <w:divBdr>
            <w:top w:val="none" w:sz="0" w:space="0" w:color="auto"/>
            <w:left w:val="none" w:sz="0" w:space="0" w:color="auto"/>
            <w:bottom w:val="none" w:sz="0" w:space="0" w:color="auto"/>
            <w:right w:val="none" w:sz="0" w:space="0" w:color="auto"/>
          </w:divBdr>
        </w:div>
        <w:div w:id="2124423881">
          <w:marLeft w:val="640"/>
          <w:marRight w:val="0"/>
          <w:marTop w:val="0"/>
          <w:marBottom w:val="0"/>
          <w:divBdr>
            <w:top w:val="none" w:sz="0" w:space="0" w:color="auto"/>
            <w:left w:val="none" w:sz="0" w:space="0" w:color="auto"/>
            <w:bottom w:val="none" w:sz="0" w:space="0" w:color="auto"/>
            <w:right w:val="none" w:sz="0" w:space="0" w:color="auto"/>
          </w:divBdr>
        </w:div>
        <w:div w:id="156041989">
          <w:marLeft w:val="640"/>
          <w:marRight w:val="0"/>
          <w:marTop w:val="0"/>
          <w:marBottom w:val="0"/>
          <w:divBdr>
            <w:top w:val="none" w:sz="0" w:space="0" w:color="auto"/>
            <w:left w:val="none" w:sz="0" w:space="0" w:color="auto"/>
            <w:bottom w:val="none" w:sz="0" w:space="0" w:color="auto"/>
            <w:right w:val="none" w:sz="0" w:space="0" w:color="auto"/>
          </w:divBdr>
        </w:div>
        <w:div w:id="1303732897">
          <w:marLeft w:val="640"/>
          <w:marRight w:val="0"/>
          <w:marTop w:val="0"/>
          <w:marBottom w:val="0"/>
          <w:divBdr>
            <w:top w:val="none" w:sz="0" w:space="0" w:color="auto"/>
            <w:left w:val="none" w:sz="0" w:space="0" w:color="auto"/>
            <w:bottom w:val="none" w:sz="0" w:space="0" w:color="auto"/>
            <w:right w:val="none" w:sz="0" w:space="0" w:color="auto"/>
          </w:divBdr>
        </w:div>
        <w:div w:id="1303074737">
          <w:marLeft w:val="640"/>
          <w:marRight w:val="0"/>
          <w:marTop w:val="0"/>
          <w:marBottom w:val="0"/>
          <w:divBdr>
            <w:top w:val="none" w:sz="0" w:space="0" w:color="auto"/>
            <w:left w:val="none" w:sz="0" w:space="0" w:color="auto"/>
            <w:bottom w:val="none" w:sz="0" w:space="0" w:color="auto"/>
            <w:right w:val="none" w:sz="0" w:space="0" w:color="auto"/>
          </w:divBdr>
        </w:div>
        <w:div w:id="1025599978">
          <w:marLeft w:val="640"/>
          <w:marRight w:val="0"/>
          <w:marTop w:val="0"/>
          <w:marBottom w:val="0"/>
          <w:divBdr>
            <w:top w:val="none" w:sz="0" w:space="0" w:color="auto"/>
            <w:left w:val="none" w:sz="0" w:space="0" w:color="auto"/>
            <w:bottom w:val="none" w:sz="0" w:space="0" w:color="auto"/>
            <w:right w:val="none" w:sz="0" w:space="0" w:color="auto"/>
          </w:divBdr>
        </w:div>
        <w:div w:id="1798062295">
          <w:marLeft w:val="640"/>
          <w:marRight w:val="0"/>
          <w:marTop w:val="0"/>
          <w:marBottom w:val="0"/>
          <w:divBdr>
            <w:top w:val="none" w:sz="0" w:space="0" w:color="auto"/>
            <w:left w:val="none" w:sz="0" w:space="0" w:color="auto"/>
            <w:bottom w:val="none" w:sz="0" w:space="0" w:color="auto"/>
            <w:right w:val="none" w:sz="0" w:space="0" w:color="auto"/>
          </w:divBdr>
        </w:div>
        <w:div w:id="227037659">
          <w:marLeft w:val="640"/>
          <w:marRight w:val="0"/>
          <w:marTop w:val="0"/>
          <w:marBottom w:val="0"/>
          <w:divBdr>
            <w:top w:val="none" w:sz="0" w:space="0" w:color="auto"/>
            <w:left w:val="none" w:sz="0" w:space="0" w:color="auto"/>
            <w:bottom w:val="none" w:sz="0" w:space="0" w:color="auto"/>
            <w:right w:val="none" w:sz="0" w:space="0" w:color="auto"/>
          </w:divBdr>
        </w:div>
        <w:div w:id="1515192963">
          <w:marLeft w:val="640"/>
          <w:marRight w:val="0"/>
          <w:marTop w:val="0"/>
          <w:marBottom w:val="0"/>
          <w:divBdr>
            <w:top w:val="none" w:sz="0" w:space="0" w:color="auto"/>
            <w:left w:val="none" w:sz="0" w:space="0" w:color="auto"/>
            <w:bottom w:val="none" w:sz="0" w:space="0" w:color="auto"/>
            <w:right w:val="none" w:sz="0" w:space="0" w:color="auto"/>
          </w:divBdr>
        </w:div>
        <w:div w:id="1601913057">
          <w:marLeft w:val="640"/>
          <w:marRight w:val="0"/>
          <w:marTop w:val="0"/>
          <w:marBottom w:val="0"/>
          <w:divBdr>
            <w:top w:val="none" w:sz="0" w:space="0" w:color="auto"/>
            <w:left w:val="none" w:sz="0" w:space="0" w:color="auto"/>
            <w:bottom w:val="none" w:sz="0" w:space="0" w:color="auto"/>
            <w:right w:val="none" w:sz="0" w:space="0" w:color="auto"/>
          </w:divBdr>
        </w:div>
        <w:div w:id="600338722">
          <w:marLeft w:val="640"/>
          <w:marRight w:val="0"/>
          <w:marTop w:val="0"/>
          <w:marBottom w:val="0"/>
          <w:divBdr>
            <w:top w:val="none" w:sz="0" w:space="0" w:color="auto"/>
            <w:left w:val="none" w:sz="0" w:space="0" w:color="auto"/>
            <w:bottom w:val="none" w:sz="0" w:space="0" w:color="auto"/>
            <w:right w:val="none" w:sz="0" w:space="0" w:color="auto"/>
          </w:divBdr>
        </w:div>
        <w:div w:id="1035042523">
          <w:marLeft w:val="640"/>
          <w:marRight w:val="0"/>
          <w:marTop w:val="0"/>
          <w:marBottom w:val="0"/>
          <w:divBdr>
            <w:top w:val="none" w:sz="0" w:space="0" w:color="auto"/>
            <w:left w:val="none" w:sz="0" w:space="0" w:color="auto"/>
            <w:bottom w:val="none" w:sz="0" w:space="0" w:color="auto"/>
            <w:right w:val="none" w:sz="0" w:space="0" w:color="auto"/>
          </w:divBdr>
        </w:div>
        <w:div w:id="1470972724">
          <w:marLeft w:val="640"/>
          <w:marRight w:val="0"/>
          <w:marTop w:val="0"/>
          <w:marBottom w:val="0"/>
          <w:divBdr>
            <w:top w:val="none" w:sz="0" w:space="0" w:color="auto"/>
            <w:left w:val="none" w:sz="0" w:space="0" w:color="auto"/>
            <w:bottom w:val="none" w:sz="0" w:space="0" w:color="auto"/>
            <w:right w:val="none" w:sz="0" w:space="0" w:color="auto"/>
          </w:divBdr>
        </w:div>
        <w:div w:id="903678874">
          <w:marLeft w:val="640"/>
          <w:marRight w:val="0"/>
          <w:marTop w:val="0"/>
          <w:marBottom w:val="0"/>
          <w:divBdr>
            <w:top w:val="none" w:sz="0" w:space="0" w:color="auto"/>
            <w:left w:val="none" w:sz="0" w:space="0" w:color="auto"/>
            <w:bottom w:val="none" w:sz="0" w:space="0" w:color="auto"/>
            <w:right w:val="none" w:sz="0" w:space="0" w:color="auto"/>
          </w:divBdr>
        </w:div>
        <w:div w:id="427121306">
          <w:marLeft w:val="640"/>
          <w:marRight w:val="0"/>
          <w:marTop w:val="0"/>
          <w:marBottom w:val="0"/>
          <w:divBdr>
            <w:top w:val="none" w:sz="0" w:space="0" w:color="auto"/>
            <w:left w:val="none" w:sz="0" w:space="0" w:color="auto"/>
            <w:bottom w:val="none" w:sz="0" w:space="0" w:color="auto"/>
            <w:right w:val="none" w:sz="0" w:space="0" w:color="auto"/>
          </w:divBdr>
        </w:div>
        <w:div w:id="1781338636">
          <w:marLeft w:val="640"/>
          <w:marRight w:val="0"/>
          <w:marTop w:val="0"/>
          <w:marBottom w:val="0"/>
          <w:divBdr>
            <w:top w:val="none" w:sz="0" w:space="0" w:color="auto"/>
            <w:left w:val="none" w:sz="0" w:space="0" w:color="auto"/>
            <w:bottom w:val="none" w:sz="0" w:space="0" w:color="auto"/>
            <w:right w:val="none" w:sz="0" w:space="0" w:color="auto"/>
          </w:divBdr>
        </w:div>
        <w:div w:id="1703284646">
          <w:marLeft w:val="640"/>
          <w:marRight w:val="0"/>
          <w:marTop w:val="0"/>
          <w:marBottom w:val="0"/>
          <w:divBdr>
            <w:top w:val="none" w:sz="0" w:space="0" w:color="auto"/>
            <w:left w:val="none" w:sz="0" w:space="0" w:color="auto"/>
            <w:bottom w:val="none" w:sz="0" w:space="0" w:color="auto"/>
            <w:right w:val="none" w:sz="0" w:space="0" w:color="auto"/>
          </w:divBdr>
        </w:div>
        <w:div w:id="1903365087">
          <w:marLeft w:val="640"/>
          <w:marRight w:val="0"/>
          <w:marTop w:val="0"/>
          <w:marBottom w:val="0"/>
          <w:divBdr>
            <w:top w:val="none" w:sz="0" w:space="0" w:color="auto"/>
            <w:left w:val="none" w:sz="0" w:space="0" w:color="auto"/>
            <w:bottom w:val="none" w:sz="0" w:space="0" w:color="auto"/>
            <w:right w:val="none" w:sz="0" w:space="0" w:color="auto"/>
          </w:divBdr>
        </w:div>
        <w:div w:id="51469300">
          <w:marLeft w:val="640"/>
          <w:marRight w:val="0"/>
          <w:marTop w:val="0"/>
          <w:marBottom w:val="0"/>
          <w:divBdr>
            <w:top w:val="none" w:sz="0" w:space="0" w:color="auto"/>
            <w:left w:val="none" w:sz="0" w:space="0" w:color="auto"/>
            <w:bottom w:val="none" w:sz="0" w:space="0" w:color="auto"/>
            <w:right w:val="none" w:sz="0" w:space="0" w:color="auto"/>
          </w:divBdr>
        </w:div>
        <w:div w:id="990449500">
          <w:marLeft w:val="640"/>
          <w:marRight w:val="0"/>
          <w:marTop w:val="0"/>
          <w:marBottom w:val="0"/>
          <w:divBdr>
            <w:top w:val="none" w:sz="0" w:space="0" w:color="auto"/>
            <w:left w:val="none" w:sz="0" w:space="0" w:color="auto"/>
            <w:bottom w:val="none" w:sz="0" w:space="0" w:color="auto"/>
            <w:right w:val="none" w:sz="0" w:space="0" w:color="auto"/>
          </w:divBdr>
        </w:div>
        <w:div w:id="1038816263">
          <w:marLeft w:val="640"/>
          <w:marRight w:val="0"/>
          <w:marTop w:val="0"/>
          <w:marBottom w:val="0"/>
          <w:divBdr>
            <w:top w:val="none" w:sz="0" w:space="0" w:color="auto"/>
            <w:left w:val="none" w:sz="0" w:space="0" w:color="auto"/>
            <w:bottom w:val="none" w:sz="0" w:space="0" w:color="auto"/>
            <w:right w:val="none" w:sz="0" w:space="0" w:color="auto"/>
          </w:divBdr>
        </w:div>
        <w:div w:id="1381784740">
          <w:marLeft w:val="640"/>
          <w:marRight w:val="0"/>
          <w:marTop w:val="0"/>
          <w:marBottom w:val="0"/>
          <w:divBdr>
            <w:top w:val="none" w:sz="0" w:space="0" w:color="auto"/>
            <w:left w:val="none" w:sz="0" w:space="0" w:color="auto"/>
            <w:bottom w:val="none" w:sz="0" w:space="0" w:color="auto"/>
            <w:right w:val="none" w:sz="0" w:space="0" w:color="auto"/>
          </w:divBdr>
        </w:div>
        <w:div w:id="826677134">
          <w:marLeft w:val="640"/>
          <w:marRight w:val="0"/>
          <w:marTop w:val="0"/>
          <w:marBottom w:val="0"/>
          <w:divBdr>
            <w:top w:val="none" w:sz="0" w:space="0" w:color="auto"/>
            <w:left w:val="none" w:sz="0" w:space="0" w:color="auto"/>
            <w:bottom w:val="none" w:sz="0" w:space="0" w:color="auto"/>
            <w:right w:val="none" w:sz="0" w:space="0" w:color="auto"/>
          </w:divBdr>
        </w:div>
        <w:div w:id="802501704">
          <w:marLeft w:val="640"/>
          <w:marRight w:val="0"/>
          <w:marTop w:val="0"/>
          <w:marBottom w:val="0"/>
          <w:divBdr>
            <w:top w:val="none" w:sz="0" w:space="0" w:color="auto"/>
            <w:left w:val="none" w:sz="0" w:space="0" w:color="auto"/>
            <w:bottom w:val="none" w:sz="0" w:space="0" w:color="auto"/>
            <w:right w:val="none" w:sz="0" w:space="0" w:color="auto"/>
          </w:divBdr>
        </w:div>
        <w:div w:id="1033312862">
          <w:marLeft w:val="640"/>
          <w:marRight w:val="0"/>
          <w:marTop w:val="0"/>
          <w:marBottom w:val="0"/>
          <w:divBdr>
            <w:top w:val="none" w:sz="0" w:space="0" w:color="auto"/>
            <w:left w:val="none" w:sz="0" w:space="0" w:color="auto"/>
            <w:bottom w:val="none" w:sz="0" w:space="0" w:color="auto"/>
            <w:right w:val="none" w:sz="0" w:space="0" w:color="auto"/>
          </w:divBdr>
        </w:div>
        <w:div w:id="392776691">
          <w:marLeft w:val="640"/>
          <w:marRight w:val="0"/>
          <w:marTop w:val="0"/>
          <w:marBottom w:val="0"/>
          <w:divBdr>
            <w:top w:val="none" w:sz="0" w:space="0" w:color="auto"/>
            <w:left w:val="none" w:sz="0" w:space="0" w:color="auto"/>
            <w:bottom w:val="none" w:sz="0" w:space="0" w:color="auto"/>
            <w:right w:val="none" w:sz="0" w:space="0" w:color="auto"/>
          </w:divBdr>
        </w:div>
        <w:div w:id="910194434">
          <w:marLeft w:val="640"/>
          <w:marRight w:val="0"/>
          <w:marTop w:val="0"/>
          <w:marBottom w:val="0"/>
          <w:divBdr>
            <w:top w:val="none" w:sz="0" w:space="0" w:color="auto"/>
            <w:left w:val="none" w:sz="0" w:space="0" w:color="auto"/>
            <w:bottom w:val="none" w:sz="0" w:space="0" w:color="auto"/>
            <w:right w:val="none" w:sz="0" w:space="0" w:color="auto"/>
          </w:divBdr>
        </w:div>
        <w:div w:id="733704886">
          <w:marLeft w:val="640"/>
          <w:marRight w:val="0"/>
          <w:marTop w:val="0"/>
          <w:marBottom w:val="0"/>
          <w:divBdr>
            <w:top w:val="none" w:sz="0" w:space="0" w:color="auto"/>
            <w:left w:val="none" w:sz="0" w:space="0" w:color="auto"/>
            <w:bottom w:val="none" w:sz="0" w:space="0" w:color="auto"/>
            <w:right w:val="none" w:sz="0" w:space="0" w:color="auto"/>
          </w:divBdr>
        </w:div>
        <w:div w:id="1244953834">
          <w:marLeft w:val="640"/>
          <w:marRight w:val="0"/>
          <w:marTop w:val="0"/>
          <w:marBottom w:val="0"/>
          <w:divBdr>
            <w:top w:val="none" w:sz="0" w:space="0" w:color="auto"/>
            <w:left w:val="none" w:sz="0" w:space="0" w:color="auto"/>
            <w:bottom w:val="none" w:sz="0" w:space="0" w:color="auto"/>
            <w:right w:val="none" w:sz="0" w:space="0" w:color="auto"/>
          </w:divBdr>
        </w:div>
        <w:div w:id="1375500939">
          <w:marLeft w:val="640"/>
          <w:marRight w:val="0"/>
          <w:marTop w:val="0"/>
          <w:marBottom w:val="0"/>
          <w:divBdr>
            <w:top w:val="none" w:sz="0" w:space="0" w:color="auto"/>
            <w:left w:val="none" w:sz="0" w:space="0" w:color="auto"/>
            <w:bottom w:val="none" w:sz="0" w:space="0" w:color="auto"/>
            <w:right w:val="none" w:sz="0" w:space="0" w:color="auto"/>
          </w:divBdr>
        </w:div>
        <w:div w:id="1547177462">
          <w:marLeft w:val="640"/>
          <w:marRight w:val="0"/>
          <w:marTop w:val="0"/>
          <w:marBottom w:val="0"/>
          <w:divBdr>
            <w:top w:val="none" w:sz="0" w:space="0" w:color="auto"/>
            <w:left w:val="none" w:sz="0" w:space="0" w:color="auto"/>
            <w:bottom w:val="none" w:sz="0" w:space="0" w:color="auto"/>
            <w:right w:val="none" w:sz="0" w:space="0" w:color="auto"/>
          </w:divBdr>
        </w:div>
        <w:div w:id="885220155">
          <w:marLeft w:val="640"/>
          <w:marRight w:val="0"/>
          <w:marTop w:val="0"/>
          <w:marBottom w:val="0"/>
          <w:divBdr>
            <w:top w:val="none" w:sz="0" w:space="0" w:color="auto"/>
            <w:left w:val="none" w:sz="0" w:space="0" w:color="auto"/>
            <w:bottom w:val="none" w:sz="0" w:space="0" w:color="auto"/>
            <w:right w:val="none" w:sz="0" w:space="0" w:color="auto"/>
          </w:divBdr>
        </w:div>
        <w:div w:id="1664091591">
          <w:marLeft w:val="640"/>
          <w:marRight w:val="0"/>
          <w:marTop w:val="0"/>
          <w:marBottom w:val="0"/>
          <w:divBdr>
            <w:top w:val="none" w:sz="0" w:space="0" w:color="auto"/>
            <w:left w:val="none" w:sz="0" w:space="0" w:color="auto"/>
            <w:bottom w:val="none" w:sz="0" w:space="0" w:color="auto"/>
            <w:right w:val="none" w:sz="0" w:space="0" w:color="auto"/>
          </w:divBdr>
        </w:div>
        <w:div w:id="601844143">
          <w:marLeft w:val="640"/>
          <w:marRight w:val="0"/>
          <w:marTop w:val="0"/>
          <w:marBottom w:val="0"/>
          <w:divBdr>
            <w:top w:val="none" w:sz="0" w:space="0" w:color="auto"/>
            <w:left w:val="none" w:sz="0" w:space="0" w:color="auto"/>
            <w:bottom w:val="none" w:sz="0" w:space="0" w:color="auto"/>
            <w:right w:val="none" w:sz="0" w:space="0" w:color="auto"/>
          </w:divBdr>
        </w:div>
        <w:div w:id="408232112">
          <w:marLeft w:val="640"/>
          <w:marRight w:val="0"/>
          <w:marTop w:val="0"/>
          <w:marBottom w:val="0"/>
          <w:divBdr>
            <w:top w:val="none" w:sz="0" w:space="0" w:color="auto"/>
            <w:left w:val="none" w:sz="0" w:space="0" w:color="auto"/>
            <w:bottom w:val="none" w:sz="0" w:space="0" w:color="auto"/>
            <w:right w:val="none" w:sz="0" w:space="0" w:color="auto"/>
          </w:divBdr>
        </w:div>
        <w:div w:id="249895598">
          <w:marLeft w:val="640"/>
          <w:marRight w:val="0"/>
          <w:marTop w:val="0"/>
          <w:marBottom w:val="0"/>
          <w:divBdr>
            <w:top w:val="none" w:sz="0" w:space="0" w:color="auto"/>
            <w:left w:val="none" w:sz="0" w:space="0" w:color="auto"/>
            <w:bottom w:val="none" w:sz="0" w:space="0" w:color="auto"/>
            <w:right w:val="none" w:sz="0" w:space="0" w:color="auto"/>
          </w:divBdr>
        </w:div>
        <w:div w:id="425348413">
          <w:marLeft w:val="640"/>
          <w:marRight w:val="0"/>
          <w:marTop w:val="0"/>
          <w:marBottom w:val="0"/>
          <w:divBdr>
            <w:top w:val="none" w:sz="0" w:space="0" w:color="auto"/>
            <w:left w:val="none" w:sz="0" w:space="0" w:color="auto"/>
            <w:bottom w:val="none" w:sz="0" w:space="0" w:color="auto"/>
            <w:right w:val="none" w:sz="0" w:space="0" w:color="auto"/>
          </w:divBdr>
        </w:div>
        <w:div w:id="821890128">
          <w:marLeft w:val="640"/>
          <w:marRight w:val="0"/>
          <w:marTop w:val="0"/>
          <w:marBottom w:val="0"/>
          <w:divBdr>
            <w:top w:val="none" w:sz="0" w:space="0" w:color="auto"/>
            <w:left w:val="none" w:sz="0" w:space="0" w:color="auto"/>
            <w:bottom w:val="none" w:sz="0" w:space="0" w:color="auto"/>
            <w:right w:val="none" w:sz="0" w:space="0" w:color="auto"/>
          </w:divBdr>
        </w:div>
        <w:div w:id="1981810857">
          <w:marLeft w:val="640"/>
          <w:marRight w:val="0"/>
          <w:marTop w:val="0"/>
          <w:marBottom w:val="0"/>
          <w:divBdr>
            <w:top w:val="none" w:sz="0" w:space="0" w:color="auto"/>
            <w:left w:val="none" w:sz="0" w:space="0" w:color="auto"/>
            <w:bottom w:val="none" w:sz="0" w:space="0" w:color="auto"/>
            <w:right w:val="none" w:sz="0" w:space="0" w:color="auto"/>
          </w:divBdr>
        </w:div>
        <w:div w:id="1155298382">
          <w:marLeft w:val="640"/>
          <w:marRight w:val="0"/>
          <w:marTop w:val="0"/>
          <w:marBottom w:val="0"/>
          <w:divBdr>
            <w:top w:val="none" w:sz="0" w:space="0" w:color="auto"/>
            <w:left w:val="none" w:sz="0" w:space="0" w:color="auto"/>
            <w:bottom w:val="none" w:sz="0" w:space="0" w:color="auto"/>
            <w:right w:val="none" w:sz="0" w:space="0" w:color="auto"/>
          </w:divBdr>
        </w:div>
        <w:div w:id="45764395">
          <w:marLeft w:val="640"/>
          <w:marRight w:val="0"/>
          <w:marTop w:val="0"/>
          <w:marBottom w:val="0"/>
          <w:divBdr>
            <w:top w:val="none" w:sz="0" w:space="0" w:color="auto"/>
            <w:left w:val="none" w:sz="0" w:space="0" w:color="auto"/>
            <w:bottom w:val="none" w:sz="0" w:space="0" w:color="auto"/>
            <w:right w:val="none" w:sz="0" w:space="0" w:color="auto"/>
          </w:divBdr>
        </w:div>
        <w:div w:id="1239364339">
          <w:marLeft w:val="640"/>
          <w:marRight w:val="0"/>
          <w:marTop w:val="0"/>
          <w:marBottom w:val="0"/>
          <w:divBdr>
            <w:top w:val="none" w:sz="0" w:space="0" w:color="auto"/>
            <w:left w:val="none" w:sz="0" w:space="0" w:color="auto"/>
            <w:bottom w:val="none" w:sz="0" w:space="0" w:color="auto"/>
            <w:right w:val="none" w:sz="0" w:space="0" w:color="auto"/>
          </w:divBdr>
        </w:div>
        <w:div w:id="607010305">
          <w:marLeft w:val="640"/>
          <w:marRight w:val="0"/>
          <w:marTop w:val="0"/>
          <w:marBottom w:val="0"/>
          <w:divBdr>
            <w:top w:val="none" w:sz="0" w:space="0" w:color="auto"/>
            <w:left w:val="none" w:sz="0" w:space="0" w:color="auto"/>
            <w:bottom w:val="none" w:sz="0" w:space="0" w:color="auto"/>
            <w:right w:val="none" w:sz="0" w:space="0" w:color="auto"/>
          </w:divBdr>
        </w:div>
        <w:div w:id="1167861216">
          <w:marLeft w:val="640"/>
          <w:marRight w:val="0"/>
          <w:marTop w:val="0"/>
          <w:marBottom w:val="0"/>
          <w:divBdr>
            <w:top w:val="none" w:sz="0" w:space="0" w:color="auto"/>
            <w:left w:val="none" w:sz="0" w:space="0" w:color="auto"/>
            <w:bottom w:val="none" w:sz="0" w:space="0" w:color="auto"/>
            <w:right w:val="none" w:sz="0" w:space="0" w:color="auto"/>
          </w:divBdr>
        </w:div>
        <w:div w:id="423574887">
          <w:marLeft w:val="640"/>
          <w:marRight w:val="0"/>
          <w:marTop w:val="0"/>
          <w:marBottom w:val="0"/>
          <w:divBdr>
            <w:top w:val="none" w:sz="0" w:space="0" w:color="auto"/>
            <w:left w:val="none" w:sz="0" w:space="0" w:color="auto"/>
            <w:bottom w:val="none" w:sz="0" w:space="0" w:color="auto"/>
            <w:right w:val="none" w:sz="0" w:space="0" w:color="auto"/>
          </w:divBdr>
        </w:div>
        <w:div w:id="797336283">
          <w:marLeft w:val="640"/>
          <w:marRight w:val="0"/>
          <w:marTop w:val="0"/>
          <w:marBottom w:val="0"/>
          <w:divBdr>
            <w:top w:val="none" w:sz="0" w:space="0" w:color="auto"/>
            <w:left w:val="none" w:sz="0" w:space="0" w:color="auto"/>
            <w:bottom w:val="none" w:sz="0" w:space="0" w:color="auto"/>
            <w:right w:val="none" w:sz="0" w:space="0" w:color="auto"/>
          </w:divBdr>
        </w:div>
        <w:div w:id="61218128">
          <w:marLeft w:val="640"/>
          <w:marRight w:val="0"/>
          <w:marTop w:val="0"/>
          <w:marBottom w:val="0"/>
          <w:divBdr>
            <w:top w:val="none" w:sz="0" w:space="0" w:color="auto"/>
            <w:left w:val="none" w:sz="0" w:space="0" w:color="auto"/>
            <w:bottom w:val="none" w:sz="0" w:space="0" w:color="auto"/>
            <w:right w:val="none" w:sz="0" w:space="0" w:color="auto"/>
          </w:divBdr>
        </w:div>
        <w:div w:id="345983768">
          <w:marLeft w:val="640"/>
          <w:marRight w:val="0"/>
          <w:marTop w:val="0"/>
          <w:marBottom w:val="0"/>
          <w:divBdr>
            <w:top w:val="none" w:sz="0" w:space="0" w:color="auto"/>
            <w:left w:val="none" w:sz="0" w:space="0" w:color="auto"/>
            <w:bottom w:val="none" w:sz="0" w:space="0" w:color="auto"/>
            <w:right w:val="none" w:sz="0" w:space="0" w:color="auto"/>
          </w:divBdr>
        </w:div>
        <w:div w:id="2088569177">
          <w:marLeft w:val="640"/>
          <w:marRight w:val="0"/>
          <w:marTop w:val="0"/>
          <w:marBottom w:val="0"/>
          <w:divBdr>
            <w:top w:val="none" w:sz="0" w:space="0" w:color="auto"/>
            <w:left w:val="none" w:sz="0" w:space="0" w:color="auto"/>
            <w:bottom w:val="none" w:sz="0" w:space="0" w:color="auto"/>
            <w:right w:val="none" w:sz="0" w:space="0" w:color="auto"/>
          </w:divBdr>
        </w:div>
        <w:div w:id="485708258">
          <w:marLeft w:val="640"/>
          <w:marRight w:val="0"/>
          <w:marTop w:val="0"/>
          <w:marBottom w:val="0"/>
          <w:divBdr>
            <w:top w:val="none" w:sz="0" w:space="0" w:color="auto"/>
            <w:left w:val="none" w:sz="0" w:space="0" w:color="auto"/>
            <w:bottom w:val="none" w:sz="0" w:space="0" w:color="auto"/>
            <w:right w:val="none" w:sz="0" w:space="0" w:color="auto"/>
          </w:divBdr>
        </w:div>
        <w:div w:id="2102289505">
          <w:marLeft w:val="640"/>
          <w:marRight w:val="0"/>
          <w:marTop w:val="0"/>
          <w:marBottom w:val="0"/>
          <w:divBdr>
            <w:top w:val="none" w:sz="0" w:space="0" w:color="auto"/>
            <w:left w:val="none" w:sz="0" w:space="0" w:color="auto"/>
            <w:bottom w:val="none" w:sz="0" w:space="0" w:color="auto"/>
            <w:right w:val="none" w:sz="0" w:space="0" w:color="auto"/>
          </w:divBdr>
        </w:div>
        <w:div w:id="340011191">
          <w:marLeft w:val="640"/>
          <w:marRight w:val="0"/>
          <w:marTop w:val="0"/>
          <w:marBottom w:val="0"/>
          <w:divBdr>
            <w:top w:val="none" w:sz="0" w:space="0" w:color="auto"/>
            <w:left w:val="none" w:sz="0" w:space="0" w:color="auto"/>
            <w:bottom w:val="none" w:sz="0" w:space="0" w:color="auto"/>
            <w:right w:val="none" w:sz="0" w:space="0" w:color="auto"/>
          </w:divBdr>
        </w:div>
        <w:div w:id="203561516">
          <w:marLeft w:val="640"/>
          <w:marRight w:val="0"/>
          <w:marTop w:val="0"/>
          <w:marBottom w:val="0"/>
          <w:divBdr>
            <w:top w:val="none" w:sz="0" w:space="0" w:color="auto"/>
            <w:left w:val="none" w:sz="0" w:space="0" w:color="auto"/>
            <w:bottom w:val="none" w:sz="0" w:space="0" w:color="auto"/>
            <w:right w:val="none" w:sz="0" w:space="0" w:color="auto"/>
          </w:divBdr>
        </w:div>
        <w:div w:id="295911539">
          <w:marLeft w:val="640"/>
          <w:marRight w:val="0"/>
          <w:marTop w:val="0"/>
          <w:marBottom w:val="0"/>
          <w:divBdr>
            <w:top w:val="none" w:sz="0" w:space="0" w:color="auto"/>
            <w:left w:val="none" w:sz="0" w:space="0" w:color="auto"/>
            <w:bottom w:val="none" w:sz="0" w:space="0" w:color="auto"/>
            <w:right w:val="none" w:sz="0" w:space="0" w:color="auto"/>
          </w:divBdr>
        </w:div>
        <w:div w:id="320232622">
          <w:marLeft w:val="640"/>
          <w:marRight w:val="0"/>
          <w:marTop w:val="0"/>
          <w:marBottom w:val="0"/>
          <w:divBdr>
            <w:top w:val="none" w:sz="0" w:space="0" w:color="auto"/>
            <w:left w:val="none" w:sz="0" w:space="0" w:color="auto"/>
            <w:bottom w:val="none" w:sz="0" w:space="0" w:color="auto"/>
            <w:right w:val="none" w:sz="0" w:space="0" w:color="auto"/>
          </w:divBdr>
        </w:div>
        <w:div w:id="896089368">
          <w:marLeft w:val="640"/>
          <w:marRight w:val="0"/>
          <w:marTop w:val="0"/>
          <w:marBottom w:val="0"/>
          <w:divBdr>
            <w:top w:val="none" w:sz="0" w:space="0" w:color="auto"/>
            <w:left w:val="none" w:sz="0" w:space="0" w:color="auto"/>
            <w:bottom w:val="none" w:sz="0" w:space="0" w:color="auto"/>
            <w:right w:val="none" w:sz="0" w:space="0" w:color="auto"/>
          </w:divBdr>
        </w:div>
        <w:div w:id="1740010058">
          <w:marLeft w:val="640"/>
          <w:marRight w:val="0"/>
          <w:marTop w:val="0"/>
          <w:marBottom w:val="0"/>
          <w:divBdr>
            <w:top w:val="none" w:sz="0" w:space="0" w:color="auto"/>
            <w:left w:val="none" w:sz="0" w:space="0" w:color="auto"/>
            <w:bottom w:val="none" w:sz="0" w:space="0" w:color="auto"/>
            <w:right w:val="none" w:sz="0" w:space="0" w:color="auto"/>
          </w:divBdr>
        </w:div>
        <w:div w:id="555434311">
          <w:marLeft w:val="640"/>
          <w:marRight w:val="0"/>
          <w:marTop w:val="0"/>
          <w:marBottom w:val="0"/>
          <w:divBdr>
            <w:top w:val="none" w:sz="0" w:space="0" w:color="auto"/>
            <w:left w:val="none" w:sz="0" w:space="0" w:color="auto"/>
            <w:bottom w:val="none" w:sz="0" w:space="0" w:color="auto"/>
            <w:right w:val="none" w:sz="0" w:space="0" w:color="auto"/>
          </w:divBdr>
        </w:div>
        <w:div w:id="1265304761">
          <w:marLeft w:val="640"/>
          <w:marRight w:val="0"/>
          <w:marTop w:val="0"/>
          <w:marBottom w:val="0"/>
          <w:divBdr>
            <w:top w:val="none" w:sz="0" w:space="0" w:color="auto"/>
            <w:left w:val="none" w:sz="0" w:space="0" w:color="auto"/>
            <w:bottom w:val="none" w:sz="0" w:space="0" w:color="auto"/>
            <w:right w:val="none" w:sz="0" w:space="0" w:color="auto"/>
          </w:divBdr>
        </w:div>
        <w:div w:id="908154574">
          <w:marLeft w:val="640"/>
          <w:marRight w:val="0"/>
          <w:marTop w:val="0"/>
          <w:marBottom w:val="0"/>
          <w:divBdr>
            <w:top w:val="none" w:sz="0" w:space="0" w:color="auto"/>
            <w:left w:val="none" w:sz="0" w:space="0" w:color="auto"/>
            <w:bottom w:val="none" w:sz="0" w:space="0" w:color="auto"/>
            <w:right w:val="none" w:sz="0" w:space="0" w:color="auto"/>
          </w:divBdr>
        </w:div>
        <w:div w:id="1171220554">
          <w:marLeft w:val="640"/>
          <w:marRight w:val="0"/>
          <w:marTop w:val="0"/>
          <w:marBottom w:val="0"/>
          <w:divBdr>
            <w:top w:val="none" w:sz="0" w:space="0" w:color="auto"/>
            <w:left w:val="none" w:sz="0" w:space="0" w:color="auto"/>
            <w:bottom w:val="none" w:sz="0" w:space="0" w:color="auto"/>
            <w:right w:val="none" w:sz="0" w:space="0" w:color="auto"/>
          </w:divBdr>
        </w:div>
        <w:div w:id="422193335">
          <w:marLeft w:val="640"/>
          <w:marRight w:val="0"/>
          <w:marTop w:val="0"/>
          <w:marBottom w:val="0"/>
          <w:divBdr>
            <w:top w:val="none" w:sz="0" w:space="0" w:color="auto"/>
            <w:left w:val="none" w:sz="0" w:space="0" w:color="auto"/>
            <w:bottom w:val="none" w:sz="0" w:space="0" w:color="auto"/>
            <w:right w:val="none" w:sz="0" w:space="0" w:color="auto"/>
          </w:divBdr>
        </w:div>
        <w:div w:id="332952001">
          <w:marLeft w:val="640"/>
          <w:marRight w:val="0"/>
          <w:marTop w:val="0"/>
          <w:marBottom w:val="0"/>
          <w:divBdr>
            <w:top w:val="none" w:sz="0" w:space="0" w:color="auto"/>
            <w:left w:val="none" w:sz="0" w:space="0" w:color="auto"/>
            <w:bottom w:val="none" w:sz="0" w:space="0" w:color="auto"/>
            <w:right w:val="none" w:sz="0" w:space="0" w:color="auto"/>
          </w:divBdr>
        </w:div>
        <w:div w:id="314914673">
          <w:marLeft w:val="640"/>
          <w:marRight w:val="0"/>
          <w:marTop w:val="0"/>
          <w:marBottom w:val="0"/>
          <w:divBdr>
            <w:top w:val="none" w:sz="0" w:space="0" w:color="auto"/>
            <w:left w:val="none" w:sz="0" w:space="0" w:color="auto"/>
            <w:bottom w:val="none" w:sz="0" w:space="0" w:color="auto"/>
            <w:right w:val="none" w:sz="0" w:space="0" w:color="auto"/>
          </w:divBdr>
        </w:div>
        <w:div w:id="1969969586">
          <w:marLeft w:val="640"/>
          <w:marRight w:val="0"/>
          <w:marTop w:val="0"/>
          <w:marBottom w:val="0"/>
          <w:divBdr>
            <w:top w:val="none" w:sz="0" w:space="0" w:color="auto"/>
            <w:left w:val="none" w:sz="0" w:space="0" w:color="auto"/>
            <w:bottom w:val="none" w:sz="0" w:space="0" w:color="auto"/>
            <w:right w:val="none" w:sz="0" w:space="0" w:color="auto"/>
          </w:divBdr>
        </w:div>
        <w:div w:id="632760556">
          <w:marLeft w:val="640"/>
          <w:marRight w:val="0"/>
          <w:marTop w:val="0"/>
          <w:marBottom w:val="0"/>
          <w:divBdr>
            <w:top w:val="none" w:sz="0" w:space="0" w:color="auto"/>
            <w:left w:val="none" w:sz="0" w:space="0" w:color="auto"/>
            <w:bottom w:val="none" w:sz="0" w:space="0" w:color="auto"/>
            <w:right w:val="none" w:sz="0" w:space="0" w:color="auto"/>
          </w:divBdr>
        </w:div>
        <w:div w:id="1834026702">
          <w:marLeft w:val="640"/>
          <w:marRight w:val="0"/>
          <w:marTop w:val="0"/>
          <w:marBottom w:val="0"/>
          <w:divBdr>
            <w:top w:val="none" w:sz="0" w:space="0" w:color="auto"/>
            <w:left w:val="none" w:sz="0" w:space="0" w:color="auto"/>
            <w:bottom w:val="none" w:sz="0" w:space="0" w:color="auto"/>
            <w:right w:val="none" w:sz="0" w:space="0" w:color="auto"/>
          </w:divBdr>
        </w:div>
        <w:div w:id="247157314">
          <w:marLeft w:val="640"/>
          <w:marRight w:val="0"/>
          <w:marTop w:val="0"/>
          <w:marBottom w:val="0"/>
          <w:divBdr>
            <w:top w:val="none" w:sz="0" w:space="0" w:color="auto"/>
            <w:left w:val="none" w:sz="0" w:space="0" w:color="auto"/>
            <w:bottom w:val="none" w:sz="0" w:space="0" w:color="auto"/>
            <w:right w:val="none" w:sz="0" w:space="0" w:color="auto"/>
          </w:divBdr>
        </w:div>
        <w:div w:id="1093665794">
          <w:marLeft w:val="640"/>
          <w:marRight w:val="0"/>
          <w:marTop w:val="0"/>
          <w:marBottom w:val="0"/>
          <w:divBdr>
            <w:top w:val="none" w:sz="0" w:space="0" w:color="auto"/>
            <w:left w:val="none" w:sz="0" w:space="0" w:color="auto"/>
            <w:bottom w:val="none" w:sz="0" w:space="0" w:color="auto"/>
            <w:right w:val="none" w:sz="0" w:space="0" w:color="auto"/>
          </w:divBdr>
        </w:div>
        <w:div w:id="1052188984">
          <w:marLeft w:val="640"/>
          <w:marRight w:val="0"/>
          <w:marTop w:val="0"/>
          <w:marBottom w:val="0"/>
          <w:divBdr>
            <w:top w:val="none" w:sz="0" w:space="0" w:color="auto"/>
            <w:left w:val="none" w:sz="0" w:space="0" w:color="auto"/>
            <w:bottom w:val="none" w:sz="0" w:space="0" w:color="auto"/>
            <w:right w:val="none" w:sz="0" w:space="0" w:color="auto"/>
          </w:divBdr>
        </w:div>
        <w:div w:id="1850291608">
          <w:marLeft w:val="640"/>
          <w:marRight w:val="0"/>
          <w:marTop w:val="0"/>
          <w:marBottom w:val="0"/>
          <w:divBdr>
            <w:top w:val="none" w:sz="0" w:space="0" w:color="auto"/>
            <w:left w:val="none" w:sz="0" w:space="0" w:color="auto"/>
            <w:bottom w:val="none" w:sz="0" w:space="0" w:color="auto"/>
            <w:right w:val="none" w:sz="0" w:space="0" w:color="auto"/>
          </w:divBdr>
        </w:div>
        <w:div w:id="474183591">
          <w:marLeft w:val="640"/>
          <w:marRight w:val="0"/>
          <w:marTop w:val="0"/>
          <w:marBottom w:val="0"/>
          <w:divBdr>
            <w:top w:val="none" w:sz="0" w:space="0" w:color="auto"/>
            <w:left w:val="none" w:sz="0" w:space="0" w:color="auto"/>
            <w:bottom w:val="none" w:sz="0" w:space="0" w:color="auto"/>
            <w:right w:val="none" w:sz="0" w:space="0" w:color="auto"/>
          </w:divBdr>
        </w:div>
        <w:div w:id="1765957495">
          <w:marLeft w:val="640"/>
          <w:marRight w:val="0"/>
          <w:marTop w:val="0"/>
          <w:marBottom w:val="0"/>
          <w:divBdr>
            <w:top w:val="none" w:sz="0" w:space="0" w:color="auto"/>
            <w:left w:val="none" w:sz="0" w:space="0" w:color="auto"/>
            <w:bottom w:val="none" w:sz="0" w:space="0" w:color="auto"/>
            <w:right w:val="none" w:sz="0" w:space="0" w:color="auto"/>
          </w:divBdr>
        </w:div>
        <w:div w:id="2091079006">
          <w:marLeft w:val="640"/>
          <w:marRight w:val="0"/>
          <w:marTop w:val="0"/>
          <w:marBottom w:val="0"/>
          <w:divBdr>
            <w:top w:val="none" w:sz="0" w:space="0" w:color="auto"/>
            <w:left w:val="none" w:sz="0" w:space="0" w:color="auto"/>
            <w:bottom w:val="none" w:sz="0" w:space="0" w:color="auto"/>
            <w:right w:val="none" w:sz="0" w:space="0" w:color="auto"/>
          </w:divBdr>
        </w:div>
        <w:div w:id="176697961">
          <w:marLeft w:val="640"/>
          <w:marRight w:val="0"/>
          <w:marTop w:val="0"/>
          <w:marBottom w:val="0"/>
          <w:divBdr>
            <w:top w:val="none" w:sz="0" w:space="0" w:color="auto"/>
            <w:left w:val="none" w:sz="0" w:space="0" w:color="auto"/>
            <w:bottom w:val="none" w:sz="0" w:space="0" w:color="auto"/>
            <w:right w:val="none" w:sz="0" w:space="0" w:color="auto"/>
          </w:divBdr>
        </w:div>
        <w:div w:id="241378350">
          <w:marLeft w:val="640"/>
          <w:marRight w:val="0"/>
          <w:marTop w:val="0"/>
          <w:marBottom w:val="0"/>
          <w:divBdr>
            <w:top w:val="none" w:sz="0" w:space="0" w:color="auto"/>
            <w:left w:val="none" w:sz="0" w:space="0" w:color="auto"/>
            <w:bottom w:val="none" w:sz="0" w:space="0" w:color="auto"/>
            <w:right w:val="none" w:sz="0" w:space="0" w:color="auto"/>
          </w:divBdr>
        </w:div>
        <w:div w:id="244415648">
          <w:marLeft w:val="640"/>
          <w:marRight w:val="0"/>
          <w:marTop w:val="0"/>
          <w:marBottom w:val="0"/>
          <w:divBdr>
            <w:top w:val="none" w:sz="0" w:space="0" w:color="auto"/>
            <w:left w:val="none" w:sz="0" w:space="0" w:color="auto"/>
            <w:bottom w:val="none" w:sz="0" w:space="0" w:color="auto"/>
            <w:right w:val="none" w:sz="0" w:space="0" w:color="auto"/>
          </w:divBdr>
        </w:div>
        <w:div w:id="830948240">
          <w:marLeft w:val="640"/>
          <w:marRight w:val="0"/>
          <w:marTop w:val="0"/>
          <w:marBottom w:val="0"/>
          <w:divBdr>
            <w:top w:val="none" w:sz="0" w:space="0" w:color="auto"/>
            <w:left w:val="none" w:sz="0" w:space="0" w:color="auto"/>
            <w:bottom w:val="none" w:sz="0" w:space="0" w:color="auto"/>
            <w:right w:val="none" w:sz="0" w:space="0" w:color="auto"/>
          </w:divBdr>
        </w:div>
        <w:div w:id="33388662">
          <w:marLeft w:val="640"/>
          <w:marRight w:val="0"/>
          <w:marTop w:val="0"/>
          <w:marBottom w:val="0"/>
          <w:divBdr>
            <w:top w:val="none" w:sz="0" w:space="0" w:color="auto"/>
            <w:left w:val="none" w:sz="0" w:space="0" w:color="auto"/>
            <w:bottom w:val="none" w:sz="0" w:space="0" w:color="auto"/>
            <w:right w:val="none" w:sz="0" w:space="0" w:color="auto"/>
          </w:divBdr>
        </w:div>
        <w:div w:id="2022588937">
          <w:marLeft w:val="640"/>
          <w:marRight w:val="0"/>
          <w:marTop w:val="0"/>
          <w:marBottom w:val="0"/>
          <w:divBdr>
            <w:top w:val="none" w:sz="0" w:space="0" w:color="auto"/>
            <w:left w:val="none" w:sz="0" w:space="0" w:color="auto"/>
            <w:bottom w:val="none" w:sz="0" w:space="0" w:color="auto"/>
            <w:right w:val="none" w:sz="0" w:space="0" w:color="auto"/>
          </w:divBdr>
        </w:div>
        <w:div w:id="1833370787">
          <w:marLeft w:val="640"/>
          <w:marRight w:val="0"/>
          <w:marTop w:val="0"/>
          <w:marBottom w:val="0"/>
          <w:divBdr>
            <w:top w:val="none" w:sz="0" w:space="0" w:color="auto"/>
            <w:left w:val="none" w:sz="0" w:space="0" w:color="auto"/>
            <w:bottom w:val="none" w:sz="0" w:space="0" w:color="auto"/>
            <w:right w:val="none" w:sz="0" w:space="0" w:color="auto"/>
          </w:divBdr>
        </w:div>
        <w:div w:id="1562446786">
          <w:marLeft w:val="640"/>
          <w:marRight w:val="0"/>
          <w:marTop w:val="0"/>
          <w:marBottom w:val="0"/>
          <w:divBdr>
            <w:top w:val="none" w:sz="0" w:space="0" w:color="auto"/>
            <w:left w:val="none" w:sz="0" w:space="0" w:color="auto"/>
            <w:bottom w:val="none" w:sz="0" w:space="0" w:color="auto"/>
            <w:right w:val="none" w:sz="0" w:space="0" w:color="auto"/>
          </w:divBdr>
        </w:div>
        <w:div w:id="492644419">
          <w:marLeft w:val="640"/>
          <w:marRight w:val="0"/>
          <w:marTop w:val="0"/>
          <w:marBottom w:val="0"/>
          <w:divBdr>
            <w:top w:val="none" w:sz="0" w:space="0" w:color="auto"/>
            <w:left w:val="none" w:sz="0" w:space="0" w:color="auto"/>
            <w:bottom w:val="none" w:sz="0" w:space="0" w:color="auto"/>
            <w:right w:val="none" w:sz="0" w:space="0" w:color="auto"/>
          </w:divBdr>
        </w:div>
        <w:div w:id="927347378">
          <w:marLeft w:val="640"/>
          <w:marRight w:val="0"/>
          <w:marTop w:val="0"/>
          <w:marBottom w:val="0"/>
          <w:divBdr>
            <w:top w:val="none" w:sz="0" w:space="0" w:color="auto"/>
            <w:left w:val="none" w:sz="0" w:space="0" w:color="auto"/>
            <w:bottom w:val="none" w:sz="0" w:space="0" w:color="auto"/>
            <w:right w:val="none" w:sz="0" w:space="0" w:color="auto"/>
          </w:divBdr>
        </w:div>
        <w:div w:id="1547638188">
          <w:marLeft w:val="640"/>
          <w:marRight w:val="0"/>
          <w:marTop w:val="0"/>
          <w:marBottom w:val="0"/>
          <w:divBdr>
            <w:top w:val="none" w:sz="0" w:space="0" w:color="auto"/>
            <w:left w:val="none" w:sz="0" w:space="0" w:color="auto"/>
            <w:bottom w:val="none" w:sz="0" w:space="0" w:color="auto"/>
            <w:right w:val="none" w:sz="0" w:space="0" w:color="auto"/>
          </w:divBdr>
        </w:div>
        <w:div w:id="103888342">
          <w:marLeft w:val="640"/>
          <w:marRight w:val="0"/>
          <w:marTop w:val="0"/>
          <w:marBottom w:val="0"/>
          <w:divBdr>
            <w:top w:val="none" w:sz="0" w:space="0" w:color="auto"/>
            <w:left w:val="none" w:sz="0" w:space="0" w:color="auto"/>
            <w:bottom w:val="none" w:sz="0" w:space="0" w:color="auto"/>
            <w:right w:val="none" w:sz="0" w:space="0" w:color="auto"/>
          </w:divBdr>
        </w:div>
        <w:div w:id="1608465304">
          <w:marLeft w:val="640"/>
          <w:marRight w:val="0"/>
          <w:marTop w:val="0"/>
          <w:marBottom w:val="0"/>
          <w:divBdr>
            <w:top w:val="none" w:sz="0" w:space="0" w:color="auto"/>
            <w:left w:val="none" w:sz="0" w:space="0" w:color="auto"/>
            <w:bottom w:val="none" w:sz="0" w:space="0" w:color="auto"/>
            <w:right w:val="none" w:sz="0" w:space="0" w:color="auto"/>
          </w:divBdr>
        </w:div>
        <w:div w:id="1387099726">
          <w:marLeft w:val="640"/>
          <w:marRight w:val="0"/>
          <w:marTop w:val="0"/>
          <w:marBottom w:val="0"/>
          <w:divBdr>
            <w:top w:val="none" w:sz="0" w:space="0" w:color="auto"/>
            <w:left w:val="none" w:sz="0" w:space="0" w:color="auto"/>
            <w:bottom w:val="none" w:sz="0" w:space="0" w:color="auto"/>
            <w:right w:val="none" w:sz="0" w:space="0" w:color="auto"/>
          </w:divBdr>
        </w:div>
        <w:div w:id="1091122112">
          <w:marLeft w:val="640"/>
          <w:marRight w:val="0"/>
          <w:marTop w:val="0"/>
          <w:marBottom w:val="0"/>
          <w:divBdr>
            <w:top w:val="none" w:sz="0" w:space="0" w:color="auto"/>
            <w:left w:val="none" w:sz="0" w:space="0" w:color="auto"/>
            <w:bottom w:val="none" w:sz="0" w:space="0" w:color="auto"/>
            <w:right w:val="none" w:sz="0" w:space="0" w:color="auto"/>
          </w:divBdr>
        </w:div>
        <w:div w:id="1508791939">
          <w:marLeft w:val="640"/>
          <w:marRight w:val="0"/>
          <w:marTop w:val="0"/>
          <w:marBottom w:val="0"/>
          <w:divBdr>
            <w:top w:val="none" w:sz="0" w:space="0" w:color="auto"/>
            <w:left w:val="none" w:sz="0" w:space="0" w:color="auto"/>
            <w:bottom w:val="none" w:sz="0" w:space="0" w:color="auto"/>
            <w:right w:val="none" w:sz="0" w:space="0" w:color="auto"/>
          </w:divBdr>
        </w:div>
        <w:div w:id="1927380223">
          <w:marLeft w:val="640"/>
          <w:marRight w:val="0"/>
          <w:marTop w:val="0"/>
          <w:marBottom w:val="0"/>
          <w:divBdr>
            <w:top w:val="none" w:sz="0" w:space="0" w:color="auto"/>
            <w:left w:val="none" w:sz="0" w:space="0" w:color="auto"/>
            <w:bottom w:val="none" w:sz="0" w:space="0" w:color="auto"/>
            <w:right w:val="none" w:sz="0" w:space="0" w:color="auto"/>
          </w:divBdr>
        </w:div>
        <w:div w:id="4675251">
          <w:marLeft w:val="640"/>
          <w:marRight w:val="0"/>
          <w:marTop w:val="0"/>
          <w:marBottom w:val="0"/>
          <w:divBdr>
            <w:top w:val="none" w:sz="0" w:space="0" w:color="auto"/>
            <w:left w:val="none" w:sz="0" w:space="0" w:color="auto"/>
            <w:bottom w:val="none" w:sz="0" w:space="0" w:color="auto"/>
            <w:right w:val="none" w:sz="0" w:space="0" w:color="auto"/>
          </w:divBdr>
        </w:div>
        <w:div w:id="804734538">
          <w:marLeft w:val="640"/>
          <w:marRight w:val="0"/>
          <w:marTop w:val="0"/>
          <w:marBottom w:val="0"/>
          <w:divBdr>
            <w:top w:val="none" w:sz="0" w:space="0" w:color="auto"/>
            <w:left w:val="none" w:sz="0" w:space="0" w:color="auto"/>
            <w:bottom w:val="none" w:sz="0" w:space="0" w:color="auto"/>
            <w:right w:val="none" w:sz="0" w:space="0" w:color="auto"/>
          </w:divBdr>
        </w:div>
        <w:div w:id="378751246">
          <w:marLeft w:val="640"/>
          <w:marRight w:val="0"/>
          <w:marTop w:val="0"/>
          <w:marBottom w:val="0"/>
          <w:divBdr>
            <w:top w:val="none" w:sz="0" w:space="0" w:color="auto"/>
            <w:left w:val="none" w:sz="0" w:space="0" w:color="auto"/>
            <w:bottom w:val="none" w:sz="0" w:space="0" w:color="auto"/>
            <w:right w:val="none" w:sz="0" w:space="0" w:color="auto"/>
          </w:divBdr>
        </w:div>
        <w:div w:id="1213348422">
          <w:marLeft w:val="640"/>
          <w:marRight w:val="0"/>
          <w:marTop w:val="0"/>
          <w:marBottom w:val="0"/>
          <w:divBdr>
            <w:top w:val="none" w:sz="0" w:space="0" w:color="auto"/>
            <w:left w:val="none" w:sz="0" w:space="0" w:color="auto"/>
            <w:bottom w:val="none" w:sz="0" w:space="0" w:color="auto"/>
            <w:right w:val="none" w:sz="0" w:space="0" w:color="auto"/>
          </w:divBdr>
        </w:div>
        <w:div w:id="390926413">
          <w:marLeft w:val="640"/>
          <w:marRight w:val="0"/>
          <w:marTop w:val="0"/>
          <w:marBottom w:val="0"/>
          <w:divBdr>
            <w:top w:val="none" w:sz="0" w:space="0" w:color="auto"/>
            <w:left w:val="none" w:sz="0" w:space="0" w:color="auto"/>
            <w:bottom w:val="none" w:sz="0" w:space="0" w:color="auto"/>
            <w:right w:val="none" w:sz="0" w:space="0" w:color="auto"/>
          </w:divBdr>
        </w:div>
        <w:div w:id="1411469105">
          <w:marLeft w:val="640"/>
          <w:marRight w:val="0"/>
          <w:marTop w:val="0"/>
          <w:marBottom w:val="0"/>
          <w:divBdr>
            <w:top w:val="none" w:sz="0" w:space="0" w:color="auto"/>
            <w:left w:val="none" w:sz="0" w:space="0" w:color="auto"/>
            <w:bottom w:val="none" w:sz="0" w:space="0" w:color="auto"/>
            <w:right w:val="none" w:sz="0" w:space="0" w:color="auto"/>
          </w:divBdr>
        </w:div>
        <w:div w:id="505100535">
          <w:marLeft w:val="640"/>
          <w:marRight w:val="0"/>
          <w:marTop w:val="0"/>
          <w:marBottom w:val="0"/>
          <w:divBdr>
            <w:top w:val="none" w:sz="0" w:space="0" w:color="auto"/>
            <w:left w:val="none" w:sz="0" w:space="0" w:color="auto"/>
            <w:bottom w:val="none" w:sz="0" w:space="0" w:color="auto"/>
            <w:right w:val="none" w:sz="0" w:space="0" w:color="auto"/>
          </w:divBdr>
        </w:div>
        <w:div w:id="104161015">
          <w:marLeft w:val="640"/>
          <w:marRight w:val="0"/>
          <w:marTop w:val="0"/>
          <w:marBottom w:val="0"/>
          <w:divBdr>
            <w:top w:val="none" w:sz="0" w:space="0" w:color="auto"/>
            <w:left w:val="none" w:sz="0" w:space="0" w:color="auto"/>
            <w:bottom w:val="none" w:sz="0" w:space="0" w:color="auto"/>
            <w:right w:val="none" w:sz="0" w:space="0" w:color="auto"/>
          </w:divBdr>
        </w:div>
        <w:div w:id="1078601133">
          <w:marLeft w:val="640"/>
          <w:marRight w:val="0"/>
          <w:marTop w:val="0"/>
          <w:marBottom w:val="0"/>
          <w:divBdr>
            <w:top w:val="none" w:sz="0" w:space="0" w:color="auto"/>
            <w:left w:val="none" w:sz="0" w:space="0" w:color="auto"/>
            <w:bottom w:val="none" w:sz="0" w:space="0" w:color="auto"/>
            <w:right w:val="none" w:sz="0" w:space="0" w:color="auto"/>
          </w:divBdr>
        </w:div>
        <w:div w:id="1902517720">
          <w:marLeft w:val="640"/>
          <w:marRight w:val="0"/>
          <w:marTop w:val="0"/>
          <w:marBottom w:val="0"/>
          <w:divBdr>
            <w:top w:val="none" w:sz="0" w:space="0" w:color="auto"/>
            <w:left w:val="none" w:sz="0" w:space="0" w:color="auto"/>
            <w:bottom w:val="none" w:sz="0" w:space="0" w:color="auto"/>
            <w:right w:val="none" w:sz="0" w:space="0" w:color="auto"/>
          </w:divBdr>
        </w:div>
        <w:div w:id="2116363642">
          <w:marLeft w:val="640"/>
          <w:marRight w:val="0"/>
          <w:marTop w:val="0"/>
          <w:marBottom w:val="0"/>
          <w:divBdr>
            <w:top w:val="none" w:sz="0" w:space="0" w:color="auto"/>
            <w:left w:val="none" w:sz="0" w:space="0" w:color="auto"/>
            <w:bottom w:val="none" w:sz="0" w:space="0" w:color="auto"/>
            <w:right w:val="none" w:sz="0" w:space="0" w:color="auto"/>
          </w:divBdr>
        </w:div>
        <w:div w:id="1520926540">
          <w:marLeft w:val="640"/>
          <w:marRight w:val="0"/>
          <w:marTop w:val="0"/>
          <w:marBottom w:val="0"/>
          <w:divBdr>
            <w:top w:val="none" w:sz="0" w:space="0" w:color="auto"/>
            <w:left w:val="none" w:sz="0" w:space="0" w:color="auto"/>
            <w:bottom w:val="none" w:sz="0" w:space="0" w:color="auto"/>
            <w:right w:val="none" w:sz="0" w:space="0" w:color="auto"/>
          </w:divBdr>
        </w:div>
        <w:div w:id="1048457797">
          <w:marLeft w:val="640"/>
          <w:marRight w:val="0"/>
          <w:marTop w:val="0"/>
          <w:marBottom w:val="0"/>
          <w:divBdr>
            <w:top w:val="none" w:sz="0" w:space="0" w:color="auto"/>
            <w:left w:val="none" w:sz="0" w:space="0" w:color="auto"/>
            <w:bottom w:val="none" w:sz="0" w:space="0" w:color="auto"/>
            <w:right w:val="none" w:sz="0" w:space="0" w:color="auto"/>
          </w:divBdr>
        </w:div>
        <w:div w:id="572786265">
          <w:marLeft w:val="640"/>
          <w:marRight w:val="0"/>
          <w:marTop w:val="0"/>
          <w:marBottom w:val="0"/>
          <w:divBdr>
            <w:top w:val="none" w:sz="0" w:space="0" w:color="auto"/>
            <w:left w:val="none" w:sz="0" w:space="0" w:color="auto"/>
            <w:bottom w:val="none" w:sz="0" w:space="0" w:color="auto"/>
            <w:right w:val="none" w:sz="0" w:space="0" w:color="auto"/>
          </w:divBdr>
        </w:div>
        <w:div w:id="213545192">
          <w:marLeft w:val="640"/>
          <w:marRight w:val="0"/>
          <w:marTop w:val="0"/>
          <w:marBottom w:val="0"/>
          <w:divBdr>
            <w:top w:val="none" w:sz="0" w:space="0" w:color="auto"/>
            <w:left w:val="none" w:sz="0" w:space="0" w:color="auto"/>
            <w:bottom w:val="none" w:sz="0" w:space="0" w:color="auto"/>
            <w:right w:val="none" w:sz="0" w:space="0" w:color="auto"/>
          </w:divBdr>
        </w:div>
        <w:div w:id="198593124">
          <w:marLeft w:val="640"/>
          <w:marRight w:val="0"/>
          <w:marTop w:val="0"/>
          <w:marBottom w:val="0"/>
          <w:divBdr>
            <w:top w:val="none" w:sz="0" w:space="0" w:color="auto"/>
            <w:left w:val="none" w:sz="0" w:space="0" w:color="auto"/>
            <w:bottom w:val="none" w:sz="0" w:space="0" w:color="auto"/>
            <w:right w:val="none" w:sz="0" w:space="0" w:color="auto"/>
          </w:divBdr>
        </w:div>
        <w:div w:id="1957248201">
          <w:marLeft w:val="640"/>
          <w:marRight w:val="0"/>
          <w:marTop w:val="0"/>
          <w:marBottom w:val="0"/>
          <w:divBdr>
            <w:top w:val="none" w:sz="0" w:space="0" w:color="auto"/>
            <w:left w:val="none" w:sz="0" w:space="0" w:color="auto"/>
            <w:bottom w:val="none" w:sz="0" w:space="0" w:color="auto"/>
            <w:right w:val="none" w:sz="0" w:space="0" w:color="auto"/>
          </w:divBdr>
        </w:div>
        <w:div w:id="317614894">
          <w:marLeft w:val="640"/>
          <w:marRight w:val="0"/>
          <w:marTop w:val="0"/>
          <w:marBottom w:val="0"/>
          <w:divBdr>
            <w:top w:val="none" w:sz="0" w:space="0" w:color="auto"/>
            <w:left w:val="none" w:sz="0" w:space="0" w:color="auto"/>
            <w:bottom w:val="none" w:sz="0" w:space="0" w:color="auto"/>
            <w:right w:val="none" w:sz="0" w:space="0" w:color="auto"/>
          </w:divBdr>
        </w:div>
        <w:div w:id="2002612783">
          <w:marLeft w:val="640"/>
          <w:marRight w:val="0"/>
          <w:marTop w:val="0"/>
          <w:marBottom w:val="0"/>
          <w:divBdr>
            <w:top w:val="none" w:sz="0" w:space="0" w:color="auto"/>
            <w:left w:val="none" w:sz="0" w:space="0" w:color="auto"/>
            <w:bottom w:val="none" w:sz="0" w:space="0" w:color="auto"/>
            <w:right w:val="none" w:sz="0" w:space="0" w:color="auto"/>
          </w:divBdr>
        </w:div>
        <w:div w:id="463231226">
          <w:marLeft w:val="640"/>
          <w:marRight w:val="0"/>
          <w:marTop w:val="0"/>
          <w:marBottom w:val="0"/>
          <w:divBdr>
            <w:top w:val="none" w:sz="0" w:space="0" w:color="auto"/>
            <w:left w:val="none" w:sz="0" w:space="0" w:color="auto"/>
            <w:bottom w:val="none" w:sz="0" w:space="0" w:color="auto"/>
            <w:right w:val="none" w:sz="0" w:space="0" w:color="auto"/>
          </w:divBdr>
        </w:div>
        <w:div w:id="516700691">
          <w:marLeft w:val="640"/>
          <w:marRight w:val="0"/>
          <w:marTop w:val="0"/>
          <w:marBottom w:val="0"/>
          <w:divBdr>
            <w:top w:val="none" w:sz="0" w:space="0" w:color="auto"/>
            <w:left w:val="none" w:sz="0" w:space="0" w:color="auto"/>
            <w:bottom w:val="none" w:sz="0" w:space="0" w:color="auto"/>
            <w:right w:val="none" w:sz="0" w:space="0" w:color="auto"/>
          </w:divBdr>
        </w:div>
        <w:div w:id="2137990417">
          <w:marLeft w:val="640"/>
          <w:marRight w:val="0"/>
          <w:marTop w:val="0"/>
          <w:marBottom w:val="0"/>
          <w:divBdr>
            <w:top w:val="none" w:sz="0" w:space="0" w:color="auto"/>
            <w:left w:val="none" w:sz="0" w:space="0" w:color="auto"/>
            <w:bottom w:val="none" w:sz="0" w:space="0" w:color="auto"/>
            <w:right w:val="none" w:sz="0" w:space="0" w:color="auto"/>
          </w:divBdr>
        </w:div>
        <w:div w:id="460195402">
          <w:marLeft w:val="640"/>
          <w:marRight w:val="0"/>
          <w:marTop w:val="0"/>
          <w:marBottom w:val="0"/>
          <w:divBdr>
            <w:top w:val="none" w:sz="0" w:space="0" w:color="auto"/>
            <w:left w:val="none" w:sz="0" w:space="0" w:color="auto"/>
            <w:bottom w:val="none" w:sz="0" w:space="0" w:color="auto"/>
            <w:right w:val="none" w:sz="0" w:space="0" w:color="auto"/>
          </w:divBdr>
        </w:div>
        <w:div w:id="1187672994">
          <w:marLeft w:val="640"/>
          <w:marRight w:val="0"/>
          <w:marTop w:val="0"/>
          <w:marBottom w:val="0"/>
          <w:divBdr>
            <w:top w:val="none" w:sz="0" w:space="0" w:color="auto"/>
            <w:left w:val="none" w:sz="0" w:space="0" w:color="auto"/>
            <w:bottom w:val="none" w:sz="0" w:space="0" w:color="auto"/>
            <w:right w:val="none" w:sz="0" w:space="0" w:color="auto"/>
          </w:divBdr>
        </w:div>
        <w:div w:id="957181253">
          <w:marLeft w:val="640"/>
          <w:marRight w:val="0"/>
          <w:marTop w:val="0"/>
          <w:marBottom w:val="0"/>
          <w:divBdr>
            <w:top w:val="none" w:sz="0" w:space="0" w:color="auto"/>
            <w:left w:val="none" w:sz="0" w:space="0" w:color="auto"/>
            <w:bottom w:val="none" w:sz="0" w:space="0" w:color="auto"/>
            <w:right w:val="none" w:sz="0" w:space="0" w:color="auto"/>
          </w:divBdr>
        </w:div>
        <w:div w:id="467472940">
          <w:marLeft w:val="640"/>
          <w:marRight w:val="0"/>
          <w:marTop w:val="0"/>
          <w:marBottom w:val="0"/>
          <w:divBdr>
            <w:top w:val="none" w:sz="0" w:space="0" w:color="auto"/>
            <w:left w:val="none" w:sz="0" w:space="0" w:color="auto"/>
            <w:bottom w:val="none" w:sz="0" w:space="0" w:color="auto"/>
            <w:right w:val="none" w:sz="0" w:space="0" w:color="auto"/>
          </w:divBdr>
        </w:div>
        <w:div w:id="994408836">
          <w:marLeft w:val="640"/>
          <w:marRight w:val="0"/>
          <w:marTop w:val="0"/>
          <w:marBottom w:val="0"/>
          <w:divBdr>
            <w:top w:val="none" w:sz="0" w:space="0" w:color="auto"/>
            <w:left w:val="none" w:sz="0" w:space="0" w:color="auto"/>
            <w:bottom w:val="none" w:sz="0" w:space="0" w:color="auto"/>
            <w:right w:val="none" w:sz="0" w:space="0" w:color="auto"/>
          </w:divBdr>
        </w:div>
        <w:div w:id="1663045473">
          <w:marLeft w:val="640"/>
          <w:marRight w:val="0"/>
          <w:marTop w:val="0"/>
          <w:marBottom w:val="0"/>
          <w:divBdr>
            <w:top w:val="none" w:sz="0" w:space="0" w:color="auto"/>
            <w:left w:val="none" w:sz="0" w:space="0" w:color="auto"/>
            <w:bottom w:val="none" w:sz="0" w:space="0" w:color="auto"/>
            <w:right w:val="none" w:sz="0" w:space="0" w:color="auto"/>
          </w:divBdr>
        </w:div>
        <w:div w:id="289675312">
          <w:marLeft w:val="640"/>
          <w:marRight w:val="0"/>
          <w:marTop w:val="0"/>
          <w:marBottom w:val="0"/>
          <w:divBdr>
            <w:top w:val="none" w:sz="0" w:space="0" w:color="auto"/>
            <w:left w:val="none" w:sz="0" w:space="0" w:color="auto"/>
            <w:bottom w:val="none" w:sz="0" w:space="0" w:color="auto"/>
            <w:right w:val="none" w:sz="0" w:space="0" w:color="auto"/>
          </w:divBdr>
        </w:div>
        <w:div w:id="2099473745">
          <w:marLeft w:val="640"/>
          <w:marRight w:val="0"/>
          <w:marTop w:val="0"/>
          <w:marBottom w:val="0"/>
          <w:divBdr>
            <w:top w:val="none" w:sz="0" w:space="0" w:color="auto"/>
            <w:left w:val="none" w:sz="0" w:space="0" w:color="auto"/>
            <w:bottom w:val="none" w:sz="0" w:space="0" w:color="auto"/>
            <w:right w:val="none" w:sz="0" w:space="0" w:color="auto"/>
          </w:divBdr>
        </w:div>
        <w:div w:id="1401059267">
          <w:marLeft w:val="640"/>
          <w:marRight w:val="0"/>
          <w:marTop w:val="0"/>
          <w:marBottom w:val="0"/>
          <w:divBdr>
            <w:top w:val="none" w:sz="0" w:space="0" w:color="auto"/>
            <w:left w:val="none" w:sz="0" w:space="0" w:color="auto"/>
            <w:bottom w:val="none" w:sz="0" w:space="0" w:color="auto"/>
            <w:right w:val="none" w:sz="0" w:space="0" w:color="auto"/>
          </w:divBdr>
        </w:div>
        <w:div w:id="309752969">
          <w:marLeft w:val="640"/>
          <w:marRight w:val="0"/>
          <w:marTop w:val="0"/>
          <w:marBottom w:val="0"/>
          <w:divBdr>
            <w:top w:val="none" w:sz="0" w:space="0" w:color="auto"/>
            <w:left w:val="none" w:sz="0" w:space="0" w:color="auto"/>
            <w:bottom w:val="none" w:sz="0" w:space="0" w:color="auto"/>
            <w:right w:val="none" w:sz="0" w:space="0" w:color="auto"/>
          </w:divBdr>
        </w:div>
        <w:div w:id="1324116264">
          <w:marLeft w:val="640"/>
          <w:marRight w:val="0"/>
          <w:marTop w:val="0"/>
          <w:marBottom w:val="0"/>
          <w:divBdr>
            <w:top w:val="none" w:sz="0" w:space="0" w:color="auto"/>
            <w:left w:val="none" w:sz="0" w:space="0" w:color="auto"/>
            <w:bottom w:val="none" w:sz="0" w:space="0" w:color="auto"/>
            <w:right w:val="none" w:sz="0" w:space="0" w:color="auto"/>
          </w:divBdr>
        </w:div>
        <w:div w:id="945500392">
          <w:marLeft w:val="640"/>
          <w:marRight w:val="0"/>
          <w:marTop w:val="0"/>
          <w:marBottom w:val="0"/>
          <w:divBdr>
            <w:top w:val="none" w:sz="0" w:space="0" w:color="auto"/>
            <w:left w:val="none" w:sz="0" w:space="0" w:color="auto"/>
            <w:bottom w:val="none" w:sz="0" w:space="0" w:color="auto"/>
            <w:right w:val="none" w:sz="0" w:space="0" w:color="auto"/>
          </w:divBdr>
        </w:div>
        <w:div w:id="1503861130">
          <w:marLeft w:val="640"/>
          <w:marRight w:val="0"/>
          <w:marTop w:val="0"/>
          <w:marBottom w:val="0"/>
          <w:divBdr>
            <w:top w:val="none" w:sz="0" w:space="0" w:color="auto"/>
            <w:left w:val="none" w:sz="0" w:space="0" w:color="auto"/>
            <w:bottom w:val="none" w:sz="0" w:space="0" w:color="auto"/>
            <w:right w:val="none" w:sz="0" w:space="0" w:color="auto"/>
          </w:divBdr>
        </w:div>
        <w:div w:id="1644768827">
          <w:marLeft w:val="640"/>
          <w:marRight w:val="0"/>
          <w:marTop w:val="0"/>
          <w:marBottom w:val="0"/>
          <w:divBdr>
            <w:top w:val="none" w:sz="0" w:space="0" w:color="auto"/>
            <w:left w:val="none" w:sz="0" w:space="0" w:color="auto"/>
            <w:bottom w:val="none" w:sz="0" w:space="0" w:color="auto"/>
            <w:right w:val="none" w:sz="0" w:space="0" w:color="auto"/>
          </w:divBdr>
        </w:div>
        <w:div w:id="338629915">
          <w:marLeft w:val="640"/>
          <w:marRight w:val="0"/>
          <w:marTop w:val="0"/>
          <w:marBottom w:val="0"/>
          <w:divBdr>
            <w:top w:val="none" w:sz="0" w:space="0" w:color="auto"/>
            <w:left w:val="none" w:sz="0" w:space="0" w:color="auto"/>
            <w:bottom w:val="none" w:sz="0" w:space="0" w:color="auto"/>
            <w:right w:val="none" w:sz="0" w:space="0" w:color="auto"/>
          </w:divBdr>
        </w:div>
        <w:div w:id="917136164">
          <w:marLeft w:val="640"/>
          <w:marRight w:val="0"/>
          <w:marTop w:val="0"/>
          <w:marBottom w:val="0"/>
          <w:divBdr>
            <w:top w:val="none" w:sz="0" w:space="0" w:color="auto"/>
            <w:left w:val="none" w:sz="0" w:space="0" w:color="auto"/>
            <w:bottom w:val="none" w:sz="0" w:space="0" w:color="auto"/>
            <w:right w:val="none" w:sz="0" w:space="0" w:color="auto"/>
          </w:divBdr>
        </w:div>
        <w:div w:id="1930851140">
          <w:marLeft w:val="640"/>
          <w:marRight w:val="0"/>
          <w:marTop w:val="0"/>
          <w:marBottom w:val="0"/>
          <w:divBdr>
            <w:top w:val="none" w:sz="0" w:space="0" w:color="auto"/>
            <w:left w:val="none" w:sz="0" w:space="0" w:color="auto"/>
            <w:bottom w:val="none" w:sz="0" w:space="0" w:color="auto"/>
            <w:right w:val="none" w:sz="0" w:space="0" w:color="auto"/>
          </w:divBdr>
        </w:div>
        <w:div w:id="493952367">
          <w:marLeft w:val="640"/>
          <w:marRight w:val="0"/>
          <w:marTop w:val="0"/>
          <w:marBottom w:val="0"/>
          <w:divBdr>
            <w:top w:val="none" w:sz="0" w:space="0" w:color="auto"/>
            <w:left w:val="none" w:sz="0" w:space="0" w:color="auto"/>
            <w:bottom w:val="none" w:sz="0" w:space="0" w:color="auto"/>
            <w:right w:val="none" w:sz="0" w:space="0" w:color="auto"/>
          </w:divBdr>
        </w:div>
        <w:div w:id="1068114994">
          <w:marLeft w:val="640"/>
          <w:marRight w:val="0"/>
          <w:marTop w:val="0"/>
          <w:marBottom w:val="0"/>
          <w:divBdr>
            <w:top w:val="none" w:sz="0" w:space="0" w:color="auto"/>
            <w:left w:val="none" w:sz="0" w:space="0" w:color="auto"/>
            <w:bottom w:val="none" w:sz="0" w:space="0" w:color="auto"/>
            <w:right w:val="none" w:sz="0" w:space="0" w:color="auto"/>
          </w:divBdr>
        </w:div>
        <w:div w:id="759133027">
          <w:marLeft w:val="640"/>
          <w:marRight w:val="0"/>
          <w:marTop w:val="0"/>
          <w:marBottom w:val="0"/>
          <w:divBdr>
            <w:top w:val="none" w:sz="0" w:space="0" w:color="auto"/>
            <w:left w:val="none" w:sz="0" w:space="0" w:color="auto"/>
            <w:bottom w:val="none" w:sz="0" w:space="0" w:color="auto"/>
            <w:right w:val="none" w:sz="0" w:space="0" w:color="auto"/>
          </w:divBdr>
        </w:div>
        <w:div w:id="958953718">
          <w:marLeft w:val="640"/>
          <w:marRight w:val="0"/>
          <w:marTop w:val="0"/>
          <w:marBottom w:val="0"/>
          <w:divBdr>
            <w:top w:val="none" w:sz="0" w:space="0" w:color="auto"/>
            <w:left w:val="none" w:sz="0" w:space="0" w:color="auto"/>
            <w:bottom w:val="none" w:sz="0" w:space="0" w:color="auto"/>
            <w:right w:val="none" w:sz="0" w:space="0" w:color="auto"/>
          </w:divBdr>
        </w:div>
        <w:div w:id="494928032">
          <w:marLeft w:val="640"/>
          <w:marRight w:val="0"/>
          <w:marTop w:val="0"/>
          <w:marBottom w:val="0"/>
          <w:divBdr>
            <w:top w:val="none" w:sz="0" w:space="0" w:color="auto"/>
            <w:left w:val="none" w:sz="0" w:space="0" w:color="auto"/>
            <w:bottom w:val="none" w:sz="0" w:space="0" w:color="auto"/>
            <w:right w:val="none" w:sz="0" w:space="0" w:color="auto"/>
          </w:divBdr>
        </w:div>
        <w:div w:id="2056854427">
          <w:marLeft w:val="640"/>
          <w:marRight w:val="0"/>
          <w:marTop w:val="0"/>
          <w:marBottom w:val="0"/>
          <w:divBdr>
            <w:top w:val="none" w:sz="0" w:space="0" w:color="auto"/>
            <w:left w:val="none" w:sz="0" w:space="0" w:color="auto"/>
            <w:bottom w:val="none" w:sz="0" w:space="0" w:color="auto"/>
            <w:right w:val="none" w:sz="0" w:space="0" w:color="auto"/>
          </w:divBdr>
        </w:div>
        <w:div w:id="601498042">
          <w:marLeft w:val="640"/>
          <w:marRight w:val="0"/>
          <w:marTop w:val="0"/>
          <w:marBottom w:val="0"/>
          <w:divBdr>
            <w:top w:val="none" w:sz="0" w:space="0" w:color="auto"/>
            <w:left w:val="none" w:sz="0" w:space="0" w:color="auto"/>
            <w:bottom w:val="none" w:sz="0" w:space="0" w:color="auto"/>
            <w:right w:val="none" w:sz="0" w:space="0" w:color="auto"/>
          </w:divBdr>
        </w:div>
        <w:div w:id="1589193640">
          <w:marLeft w:val="640"/>
          <w:marRight w:val="0"/>
          <w:marTop w:val="0"/>
          <w:marBottom w:val="0"/>
          <w:divBdr>
            <w:top w:val="none" w:sz="0" w:space="0" w:color="auto"/>
            <w:left w:val="none" w:sz="0" w:space="0" w:color="auto"/>
            <w:bottom w:val="none" w:sz="0" w:space="0" w:color="auto"/>
            <w:right w:val="none" w:sz="0" w:space="0" w:color="auto"/>
          </w:divBdr>
        </w:div>
        <w:div w:id="1494183940">
          <w:marLeft w:val="640"/>
          <w:marRight w:val="0"/>
          <w:marTop w:val="0"/>
          <w:marBottom w:val="0"/>
          <w:divBdr>
            <w:top w:val="none" w:sz="0" w:space="0" w:color="auto"/>
            <w:left w:val="none" w:sz="0" w:space="0" w:color="auto"/>
            <w:bottom w:val="none" w:sz="0" w:space="0" w:color="auto"/>
            <w:right w:val="none" w:sz="0" w:space="0" w:color="auto"/>
          </w:divBdr>
        </w:div>
        <w:div w:id="2029404537">
          <w:marLeft w:val="640"/>
          <w:marRight w:val="0"/>
          <w:marTop w:val="0"/>
          <w:marBottom w:val="0"/>
          <w:divBdr>
            <w:top w:val="none" w:sz="0" w:space="0" w:color="auto"/>
            <w:left w:val="none" w:sz="0" w:space="0" w:color="auto"/>
            <w:bottom w:val="none" w:sz="0" w:space="0" w:color="auto"/>
            <w:right w:val="none" w:sz="0" w:space="0" w:color="auto"/>
          </w:divBdr>
        </w:div>
        <w:div w:id="1264650388">
          <w:marLeft w:val="640"/>
          <w:marRight w:val="0"/>
          <w:marTop w:val="0"/>
          <w:marBottom w:val="0"/>
          <w:divBdr>
            <w:top w:val="none" w:sz="0" w:space="0" w:color="auto"/>
            <w:left w:val="none" w:sz="0" w:space="0" w:color="auto"/>
            <w:bottom w:val="none" w:sz="0" w:space="0" w:color="auto"/>
            <w:right w:val="none" w:sz="0" w:space="0" w:color="auto"/>
          </w:divBdr>
        </w:div>
        <w:div w:id="843207203">
          <w:marLeft w:val="640"/>
          <w:marRight w:val="0"/>
          <w:marTop w:val="0"/>
          <w:marBottom w:val="0"/>
          <w:divBdr>
            <w:top w:val="none" w:sz="0" w:space="0" w:color="auto"/>
            <w:left w:val="none" w:sz="0" w:space="0" w:color="auto"/>
            <w:bottom w:val="none" w:sz="0" w:space="0" w:color="auto"/>
            <w:right w:val="none" w:sz="0" w:space="0" w:color="auto"/>
          </w:divBdr>
        </w:div>
        <w:div w:id="517045408">
          <w:marLeft w:val="640"/>
          <w:marRight w:val="0"/>
          <w:marTop w:val="0"/>
          <w:marBottom w:val="0"/>
          <w:divBdr>
            <w:top w:val="none" w:sz="0" w:space="0" w:color="auto"/>
            <w:left w:val="none" w:sz="0" w:space="0" w:color="auto"/>
            <w:bottom w:val="none" w:sz="0" w:space="0" w:color="auto"/>
            <w:right w:val="none" w:sz="0" w:space="0" w:color="auto"/>
          </w:divBdr>
        </w:div>
        <w:div w:id="765808426">
          <w:marLeft w:val="640"/>
          <w:marRight w:val="0"/>
          <w:marTop w:val="0"/>
          <w:marBottom w:val="0"/>
          <w:divBdr>
            <w:top w:val="none" w:sz="0" w:space="0" w:color="auto"/>
            <w:left w:val="none" w:sz="0" w:space="0" w:color="auto"/>
            <w:bottom w:val="none" w:sz="0" w:space="0" w:color="auto"/>
            <w:right w:val="none" w:sz="0" w:space="0" w:color="auto"/>
          </w:divBdr>
        </w:div>
        <w:div w:id="581378975">
          <w:marLeft w:val="640"/>
          <w:marRight w:val="0"/>
          <w:marTop w:val="0"/>
          <w:marBottom w:val="0"/>
          <w:divBdr>
            <w:top w:val="none" w:sz="0" w:space="0" w:color="auto"/>
            <w:left w:val="none" w:sz="0" w:space="0" w:color="auto"/>
            <w:bottom w:val="none" w:sz="0" w:space="0" w:color="auto"/>
            <w:right w:val="none" w:sz="0" w:space="0" w:color="auto"/>
          </w:divBdr>
        </w:div>
        <w:div w:id="545485335">
          <w:marLeft w:val="640"/>
          <w:marRight w:val="0"/>
          <w:marTop w:val="0"/>
          <w:marBottom w:val="0"/>
          <w:divBdr>
            <w:top w:val="none" w:sz="0" w:space="0" w:color="auto"/>
            <w:left w:val="none" w:sz="0" w:space="0" w:color="auto"/>
            <w:bottom w:val="none" w:sz="0" w:space="0" w:color="auto"/>
            <w:right w:val="none" w:sz="0" w:space="0" w:color="auto"/>
          </w:divBdr>
        </w:div>
        <w:div w:id="2130971272">
          <w:marLeft w:val="640"/>
          <w:marRight w:val="0"/>
          <w:marTop w:val="0"/>
          <w:marBottom w:val="0"/>
          <w:divBdr>
            <w:top w:val="none" w:sz="0" w:space="0" w:color="auto"/>
            <w:left w:val="none" w:sz="0" w:space="0" w:color="auto"/>
            <w:bottom w:val="none" w:sz="0" w:space="0" w:color="auto"/>
            <w:right w:val="none" w:sz="0" w:space="0" w:color="auto"/>
          </w:divBdr>
        </w:div>
        <w:div w:id="2146042196">
          <w:marLeft w:val="640"/>
          <w:marRight w:val="0"/>
          <w:marTop w:val="0"/>
          <w:marBottom w:val="0"/>
          <w:divBdr>
            <w:top w:val="none" w:sz="0" w:space="0" w:color="auto"/>
            <w:left w:val="none" w:sz="0" w:space="0" w:color="auto"/>
            <w:bottom w:val="none" w:sz="0" w:space="0" w:color="auto"/>
            <w:right w:val="none" w:sz="0" w:space="0" w:color="auto"/>
          </w:divBdr>
        </w:div>
        <w:div w:id="2011181386">
          <w:marLeft w:val="640"/>
          <w:marRight w:val="0"/>
          <w:marTop w:val="0"/>
          <w:marBottom w:val="0"/>
          <w:divBdr>
            <w:top w:val="none" w:sz="0" w:space="0" w:color="auto"/>
            <w:left w:val="none" w:sz="0" w:space="0" w:color="auto"/>
            <w:bottom w:val="none" w:sz="0" w:space="0" w:color="auto"/>
            <w:right w:val="none" w:sz="0" w:space="0" w:color="auto"/>
          </w:divBdr>
        </w:div>
        <w:div w:id="1869904816">
          <w:marLeft w:val="640"/>
          <w:marRight w:val="0"/>
          <w:marTop w:val="0"/>
          <w:marBottom w:val="0"/>
          <w:divBdr>
            <w:top w:val="none" w:sz="0" w:space="0" w:color="auto"/>
            <w:left w:val="none" w:sz="0" w:space="0" w:color="auto"/>
            <w:bottom w:val="none" w:sz="0" w:space="0" w:color="auto"/>
            <w:right w:val="none" w:sz="0" w:space="0" w:color="auto"/>
          </w:divBdr>
        </w:div>
        <w:div w:id="881601533">
          <w:marLeft w:val="640"/>
          <w:marRight w:val="0"/>
          <w:marTop w:val="0"/>
          <w:marBottom w:val="0"/>
          <w:divBdr>
            <w:top w:val="none" w:sz="0" w:space="0" w:color="auto"/>
            <w:left w:val="none" w:sz="0" w:space="0" w:color="auto"/>
            <w:bottom w:val="none" w:sz="0" w:space="0" w:color="auto"/>
            <w:right w:val="none" w:sz="0" w:space="0" w:color="auto"/>
          </w:divBdr>
        </w:div>
        <w:div w:id="599917976">
          <w:marLeft w:val="640"/>
          <w:marRight w:val="0"/>
          <w:marTop w:val="0"/>
          <w:marBottom w:val="0"/>
          <w:divBdr>
            <w:top w:val="none" w:sz="0" w:space="0" w:color="auto"/>
            <w:left w:val="none" w:sz="0" w:space="0" w:color="auto"/>
            <w:bottom w:val="none" w:sz="0" w:space="0" w:color="auto"/>
            <w:right w:val="none" w:sz="0" w:space="0" w:color="auto"/>
          </w:divBdr>
        </w:div>
        <w:div w:id="861363681">
          <w:marLeft w:val="640"/>
          <w:marRight w:val="0"/>
          <w:marTop w:val="0"/>
          <w:marBottom w:val="0"/>
          <w:divBdr>
            <w:top w:val="none" w:sz="0" w:space="0" w:color="auto"/>
            <w:left w:val="none" w:sz="0" w:space="0" w:color="auto"/>
            <w:bottom w:val="none" w:sz="0" w:space="0" w:color="auto"/>
            <w:right w:val="none" w:sz="0" w:space="0" w:color="auto"/>
          </w:divBdr>
        </w:div>
        <w:div w:id="569392594">
          <w:marLeft w:val="640"/>
          <w:marRight w:val="0"/>
          <w:marTop w:val="0"/>
          <w:marBottom w:val="0"/>
          <w:divBdr>
            <w:top w:val="none" w:sz="0" w:space="0" w:color="auto"/>
            <w:left w:val="none" w:sz="0" w:space="0" w:color="auto"/>
            <w:bottom w:val="none" w:sz="0" w:space="0" w:color="auto"/>
            <w:right w:val="none" w:sz="0" w:space="0" w:color="auto"/>
          </w:divBdr>
        </w:div>
        <w:div w:id="1286082459">
          <w:marLeft w:val="640"/>
          <w:marRight w:val="0"/>
          <w:marTop w:val="0"/>
          <w:marBottom w:val="0"/>
          <w:divBdr>
            <w:top w:val="none" w:sz="0" w:space="0" w:color="auto"/>
            <w:left w:val="none" w:sz="0" w:space="0" w:color="auto"/>
            <w:bottom w:val="none" w:sz="0" w:space="0" w:color="auto"/>
            <w:right w:val="none" w:sz="0" w:space="0" w:color="auto"/>
          </w:divBdr>
        </w:div>
        <w:div w:id="922642969">
          <w:marLeft w:val="640"/>
          <w:marRight w:val="0"/>
          <w:marTop w:val="0"/>
          <w:marBottom w:val="0"/>
          <w:divBdr>
            <w:top w:val="none" w:sz="0" w:space="0" w:color="auto"/>
            <w:left w:val="none" w:sz="0" w:space="0" w:color="auto"/>
            <w:bottom w:val="none" w:sz="0" w:space="0" w:color="auto"/>
            <w:right w:val="none" w:sz="0" w:space="0" w:color="auto"/>
          </w:divBdr>
        </w:div>
        <w:div w:id="1570463593">
          <w:marLeft w:val="640"/>
          <w:marRight w:val="0"/>
          <w:marTop w:val="0"/>
          <w:marBottom w:val="0"/>
          <w:divBdr>
            <w:top w:val="none" w:sz="0" w:space="0" w:color="auto"/>
            <w:left w:val="none" w:sz="0" w:space="0" w:color="auto"/>
            <w:bottom w:val="none" w:sz="0" w:space="0" w:color="auto"/>
            <w:right w:val="none" w:sz="0" w:space="0" w:color="auto"/>
          </w:divBdr>
        </w:div>
        <w:div w:id="1423718321">
          <w:marLeft w:val="640"/>
          <w:marRight w:val="0"/>
          <w:marTop w:val="0"/>
          <w:marBottom w:val="0"/>
          <w:divBdr>
            <w:top w:val="none" w:sz="0" w:space="0" w:color="auto"/>
            <w:left w:val="none" w:sz="0" w:space="0" w:color="auto"/>
            <w:bottom w:val="none" w:sz="0" w:space="0" w:color="auto"/>
            <w:right w:val="none" w:sz="0" w:space="0" w:color="auto"/>
          </w:divBdr>
        </w:div>
        <w:div w:id="138110770">
          <w:marLeft w:val="640"/>
          <w:marRight w:val="0"/>
          <w:marTop w:val="0"/>
          <w:marBottom w:val="0"/>
          <w:divBdr>
            <w:top w:val="none" w:sz="0" w:space="0" w:color="auto"/>
            <w:left w:val="none" w:sz="0" w:space="0" w:color="auto"/>
            <w:bottom w:val="none" w:sz="0" w:space="0" w:color="auto"/>
            <w:right w:val="none" w:sz="0" w:space="0" w:color="auto"/>
          </w:divBdr>
        </w:div>
        <w:div w:id="82190644">
          <w:marLeft w:val="640"/>
          <w:marRight w:val="0"/>
          <w:marTop w:val="0"/>
          <w:marBottom w:val="0"/>
          <w:divBdr>
            <w:top w:val="none" w:sz="0" w:space="0" w:color="auto"/>
            <w:left w:val="none" w:sz="0" w:space="0" w:color="auto"/>
            <w:bottom w:val="none" w:sz="0" w:space="0" w:color="auto"/>
            <w:right w:val="none" w:sz="0" w:space="0" w:color="auto"/>
          </w:divBdr>
        </w:div>
        <w:div w:id="1333028693">
          <w:marLeft w:val="640"/>
          <w:marRight w:val="0"/>
          <w:marTop w:val="0"/>
          <w:marBottom w:val="0"/>
          <w:divBdr>
            <w:top w:val="none" w:sz="0" w:space="0" w:color="auto"/>
            <w:left w:val="none" w:sz="0" w:space="0" w:color="auto"/>
            <w:bottom w:val="none" w:sz="0" w:space="0" w:color="auto"/>
            <w:right w:val="none" w:sz="0" w:space="0" w:color="auto"/>
          </w:divBdr>
        </w:div>
        <w:div w:id="1121345298">
          <w:marLeft w:val="640"/>
          <w:marRight w:val="0"/>
          <w:marTop w:val="0"/>
          <w:marBottom w:val="0"/>
          <w:divBdr>
            <w:top w:val="none" w:sz="0" w:space="0" w:color="auto"/>
            <w:left w:val="none" w:sz="0" w:space="0" w:color="auto"/>
            <w:bottom w:val="none" w:sz="0" w:space="0" w:color="auto"/>
            <w:right w:val="none" w:sz="0" w:space="0" w:color="auto"/>
          </w:divBdr>
        </w:div>
        <w:div w:id="1435587204">
          <w:marLeft w:val="640"/>
          <w:marRight w:val="0"/>
          <w:marTop w:val="0"/>
          <w:marBottom w:val="0"/>
          <w:divBdr>
            <w:top w:val="none" w:sz="0" w:space="0" w:color="auto"/>
            <w:left w:val="none" w:sz="0" w:space="0" w:color="auto"/>
            <w:bottom w:val="none" w:sz="0" w:space="0" w:color="auto"/>
            <w:right w:val="none" w:sz="0" w:space="0" w:color="auto"/>
          </w:divBdr>
        </w:div>
        <w:div w:id="638921033">
          <w:marLeft w:val="640"/>
          <w:marRight w:val="0"/>
          <w:marTop w:val="0"/>
          <w:marBottom w:val="0"/>
          <w:divBdr>
            <w:top w:val="none" w:sz="0" w:space="0" w:color="auto"/>
            <w:left w:val="none" w:sz="0" w:space="0" w:color="auto"/>
            <w:bottom w:val="none" w:sz="0" w:space="0" w:color="auto"/>
            <w:right w:val="none" w:sz="0" w:space="0" w:color="auto"/>
          </w:divBdr>
        </w:div>
        <w:div w:id="1891528270">
          <w:marLeft w:val="640"/>
          <w:marRight w:val="0"/>
          <w:marTop w:val="0"/>
          <w:marBottom w:val="0"/>
          <w:divBdr>
            <w:top w:val="none" w:sz="0" w:space="0" w:color="auto"/>
            <w:left w:val="none" w:sz="0" w:space="0" w:color="auto"/>
            <w:bottom w:val="none" w:sz="0" w:space="0" w:color="auto"/>
            <w:right w:val="none" w:sz="0" w:space="0" w:color="auto"/>
          </w:divBdr>
        </w:div>
        <w:div w:id="1511480525">
          <w:marLeft w:val="640"/>
          <w:marRight w:val="0"/>
          <w:marTop w:val="0"/>
          <w:marBottom w:val="0"/>
          <w:divBdr>
            <w:top w:val="none" w:sz="0" w:space="0" w:color="auto"/>
            <w:left w:val="none" w:sz="0" w:space="0" w:color="auto"/>
            <w:bottom w:val="none" w:sz="0" w:space="0" w:color="auto"/>
            <w:right w:val="none" w:sz="0" w:space="0" w:color="auto"/>
          </w:divBdr>
        </w:div>
        <w:div w:id="1449397693">
          <w:marLeft w:val="640"/>
          <w:marRight w:val="0"/>
          <w:marTop w:val="0"/>
          <w:marBottom w:val="0"/>
          <w:divBdr>
            <w:top w:val="none" w:sz="0" w:space="0" w:color="auto"/>
            <w:left w:val="none" w:sz="0" w:space="0" w:color="auto"/>
            <w:bottom w:val="none" w:sz="0" w:space="0" w:color="auto"/>
            <w:right w:val="none" w:sz="0" w:space="0" w:color="auto"/>
          </w:divBdr>
        </w:div>
        <w:div w:id="472874812">
          <w:marLeft w:val="640"/>
          <w:marRight w:val="0"/>
          <w:marTop w:val="0"/>
          <w:marBottom w:val="0"/>
          <w:divBdr>
            <w:top w:val="none" w:sz="0" w:space="0" w:color="auto"/>
            <w:left w:val="none" w:sz="0" w:space="0" w:color="auto"/>
            <w:bottom w:val="none" w:sz="0" w:space="0" w:color="auto"/>
            <w:right w:val="none" w:sz="0" w:space="0" w:color="auto"/>
          </w:divBdr>
        </w:div>
        <w:div w:id="1335918334">
          <w:marLeft w:val="640"/>
          <w:marRight w:val="0"/>
          <w:marTop w:val="0"/>
          <w:marBottom w:val="0"/>
          <w:divBdr>
            <w:top w:val="none" w:sz="0" w:space="0" w:color="auto"/>
            <w:left w:val="none" w:sz="0" w:space="0" w:color="auto"/>
            <w:bottom w:val="none" w:sz="0" w:space="0" w:color="auto"/>
            <w:right w:val="none" w:sz="0" w:space="0" w:color="auto"/>
          </w:divBdr>
        </w:div>
        <w:div w:id="112795476">
          <w:marLeft w:val="640"/>
          <w:marRight w:val="0"/>
          <w:marTop w:val="0"/>
          <w:marBottom w:val="0"/>
          <w:divBdr>
            <w:top w:val="none" w:sz="0" w:space="0" w:color="auto"/>
            <w:left w:val="none" w:sz="0" w:space="0" w:color="auto"/>
            <w:bottom w:val="none" w:sz="0" w:space="0" w:color="auto"/>
            <w:right w:val="none" w:sz="0" w:space="0" w:color="auto"/>
          </w:divBdr>
        </w:div>
        <w:div w:id="1909416493">
          <w:marLeft w:val="640"/>
          <w:marRight w:val="0"/>
          <w:marTop w:val="0"/>
          <w:marBottom w:val="0"/>
          <w:divBdr>
            <w:top w:val="none" w:sz="0" w:space="0" w:color="auto"/>
            <w:left w:val="none" w:sz="0" w:space="0" w:color="auto"/>
            <w:bottom w:val="none" w:sz="0" w:space="0" w:color="auto"/>
            <w:right w:val="none" w:sz="0" w:space="0" w:color="auto"/>
          </w:divBdr>
        </w:div>
        <w:div w:id="1877696335">
          <w:marLeft w:val="640"/>
          <w:marRight w:val="0"/>
          <w:marTop w:val="0"/>
          <w:marBottom w:val="0"/>
          <w:divBdr>
            <w:top w:val="none" w:sz="0" w:space="0" w:color="auto"/>
            <w:left w:val="none" w:sz="0" w:space="0" w:color="auto"/>
            <w:bottom w:val="none" w:sz="0" w:space="0" w:color="auto"/>
            <w:right w:val="none" w:sz="0" w:space="0" w:color="auto"/>
          </w:divBdr>
        </w:div>
        <w:div w:id="210459293">
          <w:marLeft w:val="640"/>
          <w:marRight w:val="0"/>
          <w:marTop w:val="0"/>
          <w:marBottom w:val="0"/>
          <w:divBdr>
            <w:top w:val="none" w:sz="0" w:space="0" w:color="auto"/>
            <w:left w:val="none" w:sz="0" w:space="0" w:color="auto"/>
            <w:bottom w:val="none" w:sz="0" w:space="0" w:color="auto"/>
            <w:right w:val="none" w:sz="0" w:space="0" w:color="auto"/>
          </w:divBdr>
        </w:div>
        <w:div w:id="1666543869">
          <w:marLeft w:val="640"/>
          <w:marRight w:val="0"/>
          <w:marTop w:val="0"/>
          <w:marBottom w:val="0"/>
          <w:divBdr>
            <w:top w:val="none" w:sz="0" w:space="0" w:color="auto"/>
            <w:left w:val="none" w:sz="0" w:space="0" w:color="auto"/>
            <w:bottom w:val="none" w:sz="0" w:space="0" w:color="auto"/>
            <w:right w:val="none" w:sz="0" w:space="0" w:color="auto"/>
          </w:divBdr>
        </w:div>
        <w:div w:id="1384523760">
          <w:marLeft w:val="640"/>
          <w:marRight w:val="0"/>
          <w:marTop w:val="0"/>
          <w:marBottom w:val="0"/>
          <w:divBdr>
            <w:top w:val="none" w:sz="0" w:space="0" w:color="auto"/>
            <w:left w:val="none" w:sz="0" w:space="0" w:color="auto"/>
            <w:bottom w:val="none" w:sz="0" w:space="0" w:color="auto"/>
            <w:right w:val="none" w:sz="0" w:space="0" w:color="auto"/>
          </w:divBdr>
        </w:div>
        <w:div w:id="1157186707">
          <w:marLeft w:val="640"/>
          <w:marRight w:val="0"/>
          <w:marTop w:val="0"/>
          <w:marBottom w:val="0"/>
          <w:divBdr>
            <w:top w:val="none" w:sz="0" w:space="0" w:color="auto"/>
            <w:left w:val="none" w:sz="0" w:space="0" w:color="auto"/>
            <w:bottom w:val="none" w:sz="0" w:space="0" w:color="auto"/>
            <w:right w:val="none" w:sz="0" w:space="0" w:color="auto"/>
          </w:divBdr>
        </w:div>
        <w:div w:id="1192718035">
          <w:marLeft w:val="640"/>
          <w:marRight w:val="0"/>
          <w:marTop w:val="0"/>
          <w:marBottom w:val="0"/>
          <w:divBdr>
            <w:top w:val="none" w:sz="0" w:space="0" w:color="auto"/>
            <w:left w:val="none" w:sz="0" w:space="0" w:color="auto"/>
            <w:bottom w:val="none" w:sz="0" w:space="0" w:color="auto"/>
            <w:right w:val="none" w:sz="0" w:space="0" w:color="auto"/>
          </w:divBdr>
        </w:div>
        <w:div w:id="1327242128">
          <w:marLeft w:val="640"/>
          <w:marRight w:val="0"/>
          <w:marTop w:val="0"/>
          <w:marBottom w:val="0"/>
          <w:divBdr>
            <w:top w:val="none" w:sz="0" w:space="0" w:color="auto"/>
            <w:left w:val="none" w:sz="0" w:space="0" w:color="auto"/>
            <w:bottom w:val="none" w:sz="0" w:space="0" w:color="auto"/>
            <w:right w:val="none" w:sz="0" w:space="0" w:color="auto"/>
          </w:divBdr>
        </w:div>
        <w:div w:id="2123843918">
          <w:marLeft w:val="640"/>
          <w:marRight w:val="0"/>
          <w:marTop w:val="0"/>
          <w:marBottom w:val="0"/>
          <w:divBdr>
            <w:top w:val="none" w:sz="0" w:space="0" w:color="auto"/>
            <w:left w:val="none" w:sz="0" w:space="0" w:color="auto"/>
            <w:bottom w:val="none" w:sz="0" w:space="0" w:color="auto"/>
            <w:right w:val="none" w:sz="0" w:space="0" w:color="auto"/>
          </w:divBdr>
        </w:div>
        <w:div w:id="1617521892">
          <w:marLeft w:val="640"/>
          <w:marRight w:val="0"/>
          <w:marTop w:val="0"/>
          <w:marBottom w:val="0"/>
          <w:divBdr>
            <w:top w:val="none" w:sz="0" w:space="0" w:color="auto"/>
            <w:left w:val="none" w:sz="0" w:space="0" w:color="auto"/>
            <w:bottom w:val="none" w:sz="0" w:space="0" w:color="auto"/>
            <w:right w:val="none" w:sz="0" w:space="0" w:color="auto"/>
          </w:divBdr>
        </w:div>
        <w:div w:id="2123766038">
          <w:marLeft w:val="640"/>
          <w:marRight w:val="0"/>
          <w:marTop w:val="0"/>
          <w:marBottom w:val="0"/>
          <w:divBdr>
            <w:top w:val="none" w:sz="0" w:space="0" w:color="auto"/>
            <w:left w:val="none" w:sz="0" w:space="0" w:color="auto"/>
            <w:bottom w:val="none" w:sz="0" w:space="0" w:color="auto"/>
            <w:right w:val="none" w:sz="0" w:space="0" w:color="auto"/>
          </w:divBdr>
        </w:div>
        <w:div w:id="1668097919">
          <w:marLeft w:val="640"/>
          <w:marRight w:val="0"/>
          <w:marTop w:val="0"/>
          <w:marBottom w:val="0"/>
          <w:divBdr>
            <w:top w:val="none" w:sz="0" w:space="0" w:color="auto"/>
            <w:left w:val="none" w:sz="0" w:space="0" w:color="auto"/>
            <w:bottom w:val="none" w:sz="0" w:space="0" w:color="auto"/>
            <w:right w:val="none" w:sz="0" w:space="0" w:color="auto"/>
          </w:divBdr>
        </w:div>
        <w:div w:id="966012568">
          <w:marLeft w:val="640"/>
          <w:marRight w:val="0"/>
          <w:marTop w:val="0"/>
          <w:marBottom w:val="0"/>
          <w:divBdr>
            <w:top w:val="none" w:sz="0" w:space="0" w:color="auto"/>
            <w:left w:val="none" w:sz="0" w:space="0" w:color="auto"/>
            <w:bottom w:val="none" w:sz="0" w:space="0" w:color="auto"/>
            <w:right w:val="none" w:sz="0" w:space="0" w:color="auto"/>
          </w:divBdr>
        </w:div>
        <w:div w:id="419763285">
          <w:marLeft w:val="640"/>
          <w:marRight w:val="0"/>
          <w:marTop w:val="0"/>
          <w:marBottom w:val="0"/>
          <w:divBdr>
            <w:top w:val="none" w:sz="0" w:space="0" w:color="auto"/>
            <w:left w:val="none" w:sz="0" w:space="0" w:color="auto"/>
            <w:bottom w:val="none" w:sz="0" w:space="0" w:color="auto"/>
            <w:right w:val="none" w:sz="0" w:space="0" w:color="auto"/>
          </w:divBdr>
        </w:div>
        <w:div w:id="199055055">
          <w:marLeft w:val="640"/>
          <w:marRight w:val="0"/>
          <w:marTop w:val="0"/>
          <w:marBottom w:val="0"/>
          <w:divBdr>
            <w:top w:val="none" w:sz="0" w:space="0" w:color="auto"/>
            <w:left w:val="none" w:sz="0" w:space="0" w:color="auto"/>
            <w:bottom w:val="none" w:sz="0" w:space="0" w:color="auto"/>
            <w:right w:val="none" w:sz="0" w:space="0" w:color="auto"/>
          </w:divBdr>
        </w:div>
        <w:div w:id="1588002944">
          <w:marLeft w:val="640"/>
          <w:marRight w:val="0"/>
          <w:marTop w:val="0"/>
          <w:marBottom w:val="0"/>
          <w:divBdr>
            <w:top w:val="none" w:sz="0" w:space="0" w:color="auto"/>
            <w:left w:val="none" w:sz="0" w:space="0" w:color="auto"/>
            <w:bottom w:val="none" w:sz="0" w:space="0" w:color="auto"/>
            <w:right w:val="none" w:sz="0" w:space="0" w:color="auto"/>
          </w:divBdr>
        </w:div>
        <w:div w:id="1092820732">
          <w:marLeft w:val="640"/>
          <w:marRight w:val="0"/>
          <w:marTop w:val="0"/>
          <w:marBottom w:val="0"/>
          <w:divBdr>
            <w:top w:val="none" w:sz="0" w:space="0" w:color="auto"/>
            <w:left w:val="none" w:sz="0" w:space="0" w:color="auto"/>
            <w:bottom w:val="none" w:sz="0" w:space="0" w:color="auto"/>
            <w:right w:val="none" w:sz="0" w:space="0" w:color="auto"/>
          </w:divBdr>
        </w:div>
        <w:div w:id="1052579864">
          <w:marLeft w:val="640"/>
          <w:marRight w:val="0"/>
          <w:marTop w:val="0"/>
          <w:marBottom w:val="0"/>
          <w:divBdr>
            <w:top w:val="none" w:sz="0" w:space="0" w:color="auto"/>
            <w:left w:val="none" w:sz="0" w:space="0" w:color="auto"/>
            <w:bottom w:val="none" w:sz="0" w:space="0" w:color="auto"/>
            <w:right w:val="none" w:sz="0" w:space="0" w:color="auto"/>
          </w:divBdr>
        </w:div>
        <w:div w:id="1707633050">
          <w:marLeft w:val="640"/>
          <w:marRight w:val="0"/>
          <w:marTop w:val="0"/>
          <w:marBottom w:val="0"/>
          <w:divBdr>
            <w:top w:val="none" w:sz="0" w:space="0" w:color="auto"/>
            <w:left w:val="none" w:sz="0" w:space="0" w:color="auto"/>
            <w:bottom w:val="none" w:sz="0" w:space="0" w:color="auto"/>
            <w:right w:val="none" w:sz="0" w:space="0" w:color="auto"/>
          </w:divBdr>
        </w:div>
        <w:div w:id="1749423906">
          <w:marLeft w:val="640"/>
          <w:marRight w:val="0"/>
          <w:marTop w:val="0"/>
          <w:marBottom w:val="0"/>
          <w:divBdr>
            <w:top w:val="none" w:sz="0" w:space="0" w:color="auto"/>
            <w:left w:val="none" w:sz="0" w:space="0" w:color="auto"/>
            <w:bottom w:val="none" w:sz="0" w:space="0" w:color="auto"/>
            <w:right w:val="none" w:sz="0" w:space="0" w:color="auto"/>
          </w:divBdr>
        </w:div>
        <w:div w:id="169107227">
          <w:marLeft w:val="640"/>
          <w:marRight w:val="0"/>
          <w:marTop w:val="0"/>
          <w:marBottom w:val="0"/>
          <w:divBdr>
            <w:top w:val="none" w:sz="0" w:space="0" w:color="auto"/>
            <w:left w:val="none" w:sz="0" w:space="0" w:color="auto"/>
            <w:bottom w:val="none" w:sz="0" w:space="0" w:color="auto"/>
            <w:right w:val="none" w:sz="0" w:space="0" w:color="auto"/>
          </w:divBdr>
        </w:div>
        <w:div w:id="605424309">
          <w:marLeft w:val="640"/>
          <w:marRight w:val="0"/>
          <w:marTop w:val="0"/>
          <w:marBottom w:val="0"/>
          <w:divBdr>
            <w:top w:val="none" w:sz="0" w:space="0" w:color="auto"/>
            <w:left w:val="none" w:sz="0" w:space="0" w:color="auto"/>
            <w:bottom w:val="none" w:sz="0" w:space="0" w:color="auto"/>
            <w:right w:val="none" w:sz="0" w:space="0" w:color="auto"/>
          </w:divBdr>
        </w:div>
        <w:div w:id="1431000196">
          <w:marLeft w:val="640"/>
          <w:marRight w:val="0"/>
          <w:marTop w:val="0"/>
          <w:marBottom w:val="0"/>
          <w:divBdr>
            <w:top w:val="none" w:sz="0" w:space="0" w:color="auto"/>
            <w:left w:val="none" w:sz="0" w:space="0" w:color="auto"/>
            <w:bottom w:val="none" w:sz="0" w:space="0" w:color="auto"/>
            <w:right w:val="none" w:sz="0" w:space="0" w:color="auto"/>
          </w:divBdr>
        </w:div>
        <w:div w:id="1793864307">
          <w:marLeft w:val="640"/>
          <w:marRight w:val="0"/>
          <w:marTop w:val="0"/>
          <w:marBottom w:val="0"/>
          <w:divBdr>
            <w:top w:val="none" w:sz="0" w:space="0" w:color="auto"/>
            <w:left w:val="none" w:sz="0" w:space="0" w:color="auto"/>
            <w:bottom w:val="none" w:sz="0" w:space="0" w:color="auto"/>
            <w:right w:val="none" w:sz="0" w:space="0" w:color="auto"/>
          </w:divBdr>
        </w:div>
        <w:div w:id="213539883">
          <w:marLeft w:val="640"/>
          <w:marRight w:val="0"/>
          <w:marTop w:val="0"/>
          <w:marBottom w:val="0"/>
          <w:divBdr>
            <w:top w:val="none" w:sz="0" w:space="0" w:color="auto"/>
            <w:left w:val="none" w:sz="0" w:space="0" w:color="auto"/>
            <w:bottom w:val="none" w:sz="0" w:space="0" w:color="auto"/>
            <w:right w:val="none" w:sz="0" w:space="0" w:color="auto"/>
          </w:divBdr>
        </w:div>
        <w:div w:id="2012637043">
          <w:marLeft w:val="640"/>
          <w:marRight w:val="0"/>
          <w:marTop w:val="0"/>
          <w:marBottom w:val="0"/>
          <w:divBdr>
            <w:top w:val="none" w:sz="0" w:space="0" w:color="auto"/>
            <w:left w:val="none" w:sz="0" w:space="0" w:color="auto"/>
            <w:bottom w:val="none" w:sz="0" w:space="0" w:color="auto"/>
            <w:right w:val="none" w:sz="0" w:space="0" w:color="auto"/>
          </w:divBdr>
        </w:div>
        <w:div w:id="1202866933">
          <w:marLeft w:val="640"/>
          <w:marRight w:val="0"/>
          <w:marTop w:val="0"/>
          <w:marBottom w:val="0"/>
          <w:divBdr>
            <w:top w:val="none" w:sz="0" w:space="0" w:color="auto"/>
            <w:left w:val="none" w:sz="0" w:space="0" w:color="auto"/>
            <w:bottom w:val="none" w:sz="0" w:space="0" w:color="auto"/>
            <w:right w:val="none" w:sz="0" w:space="0" w:color="auto"/>
          </w:divBdr>
        </w:div>
        <w:div w:id="961838681">
          <w:marLeft w:val="640"/>
          <w:marRight w:val="0"/>
          <w:marTop w:val="0"/>
          <w:marBottom w:val="0"/>
          <w:divBdr>
            <w:top w:val="none" w:sz="0" w:space="0" w:color="auto"/>
            <w:left w:val="none" w:sz="0" w:space="0" w:color="auto"/>
            <w:bottom w:val="none" w:sz="0" w:space="0" w:color="auto"/>
            <w:right w:val="none" w:sz="0" w:space="0" w:color="auto"/>
          </w:divBdr>
        </w:div>
        <w:div w:id="1379090462">
          <w:marLeft w:val="640"/>
          <w:marRight w:val="0"/>
          <w:marTop w:val="0"/>
          <w:marBottom w:val="0"/>
          <w:divBdr>
            <w:top w:val="none" w:sz="0" w:space="0" w:color="auto"/>
            <w:left w:val="none" w:sz="0" w:space="0" w:color="auto"/>
            <w:bottom w:val="none" w:sz="0" w:space="0" w:color="auto"/>
            <w:right w:val="none" w:sz="0" w:space="0" w:color="auto"/>
          </w:divBdr>
        </w:div>
        <w:div w:id="1638759248">
          <w:marLeft w:val="640"/>
          <w:marRight w:val="0"/>
          <w:marTop w:val="0"/>
          <w:marBottom w:val="0"/>
          <w:divBdr>
            <w:top w:val="none" w:sz="0" w:space="0" w:color="auto"/>
            <w:left w:val="none" w:sz="0" w:space="0" w:color="auto"/>
            <w:bottom w:val="none" w:sz="0" w:space="0" w:color="auto"/>
            <w:right w:val="none" w:sz="0" w:space="0" w:color="auto"/>
          </w:divBdr>
        </w:div>
        <w:div w:id="1367412234">
          <w:marLeft w:val="640"/>
          <w:marRight w:val="0"/>
          <w:marTop w:val="0"/>
          <w:marBottom w:val="0"/>
          <w:divBdr>
            <w:top w:val="none" w:sz="0" w:space="0" w:color="auto"/>
            <w:left w:val="none" w:sz="0" w:space="0" w:color="auto"/>
            <w:bottom w:val="none" w:sz="0" w:space="0" w:color="auto"/>
            <w:right w:val="none" w:sz="0" w:space="0" w:color="auto"/>
          </w:divBdr>
        </w:div>
        <w:div w:id="256989112">
          <w:marLeft w:val="640"/>
          <w:marRight w:val="0"/>
          <w:marTop w:val="0"/>
          <w:marBottom w:val="0"/>
          <w:divBdr>
            <w:top w:val="none" w:sz="0" w:space="0" w:color="auto"/>
            <w:left w:val="none" w:sz="0" w:space="0" w:color="auto"/>
            <w:bottom w:val="none" w:sz="0" w:space="0" w:color="auto"/>
            <w:right w:val="none" w:sz="0" w:space="0" w:color="auto"/>
          </w:divBdr>
        </w:div>
        <w:div w:id="1203205603">
          <w:marLeft w:val="640"/>
          <w:marRight w:val="0"/>
          <w:marTop w:val="0"/>
          <w:marBottom w:val="0"/>
          <w:divBdr>
            <w:top w:val="none" w:sz="0" w:space="0" w:color="auto"/>
            <w:left w:val="none" w:sz="0" w:space="0" w:color="auto"/>
            <w:bottom w:val="none" w:sz="0" w:space="0" w:color="auto"/>
            <w:right w:val="none" w:sz="0" w:space="0" w:color="auto"/>
          </w:divBdr>
        </w:div>
        <w:div w:id="962347078">
          <w:marLeft w:val="640"/>
          <w:marRight w:val="0"/>
          <w:marTop w:val="0"/>
          <w:marBottom w:val="0"/>
          <w:divBdr>
            <w:top w:val="none" w:sz="0" w:space="0" w:color="auto"/>
            <w:left w:val="none" w:sz="0" w:space="0" w:color="auto"/>
            <w:bottom w:val="none" w:sz="0" w:space="0" w:color="auto"/>
            <w:right w:val="none" w:sz="0" w:space="0" w:color="auto"/>
          </w:divBdr>
        </w:div>
        <w:div w:id="1267270585">
          <w:marLeft w:val="640"/>
          <w:marRight w:val="0"/>
          <w:marTop w:val="0"/>
          <w:marBottom w:val="0"/>
          <w:divBdr>
            <w:top w:val="none" w:sz="0" w:space="0" w:color="auto"/>
            <w:left w:val="none" w:sz="0" w:space="0" w:color="auto"/>
            <w:bottom w:val="none" w:sz="0" w:space="0" w:color="auto"/>
            <w:right w:val="none" w:sz="0" w:space="0" w:color="auto"/>
          </w:divBdr>
        </w:div>
        <w:div w:id="1581327961">
          <w:marLeft w:val="640"/>
          <w:marRight w:val="0"/>
          <w:marTop w:val="0"/>
          <w:marBottom w:val="0"/>
          <w:divBdr>
            <w:top w:val="none" w:sz="0" w:space="0" w:color="auto"/>
            <w:left w:val="none" w:sz="0" w:space="0" w:color="auto"/>
            <w:bottom w:val="none" w:sz="0" w:space="0" w:color="auto"/>
            <w:right w:val="none" w:sz="0" w:space="0" w:color="auto"/>
          </w:divBdr>
        </w:div>
        <w:div w:id="1089691261">
          <w:marLeft w:val="640"/>
          <w:marRight w:val="0"/>
          <w:marTop w:val="0"/>
          <w:marBottom w:val="0"/>
          <w:divBdr>
            <w:top w:val="none" w:sz="0" w:space="0" w:color="auto"/>
            <w:left w:val="none" w:sz="0" w:space="0" w:color="auto"/>
            <w:bottom w:val="none" w:sz="0" w:space="0" w:color="auto"/>
            <w:right w:val="none" w:sz="0" w:space="0" w:color="auto"/>
          </w:divBdr>
        </w:div>
        <w:div w:id="250628761">
          <w:marLeft w:val="640"/>
          <w:marRight w:val="0"/>
          <w:marTop w:val="0"/>
          <w:marBottom w:val="0"/>
          <w:divBdr>
            <w:top w:val="none" w:sz="0" w:space="0" w:color="auto"/>
            <w:left w:val="none" w:sz="0" w:space="0" w:color="auto"/>
            <w:bottom w:val="none" w:sz="0" w:space="0" w:color="auto"/>
            <w:right w:val="none" w:sz="0" w:space="0" w:color="auto"/>
          </w:divBdr>
        </w:div>
        <w:div w:id="1778721116">
          <w:marLeft w:val="640"/>
          <w:marRight w:val="0"/>
          <w:marTop w:val="0"/>
          <w:marBottom w:val="0"/>
          <w:divBdr>
            <w:top w:val="none" w:sz="0" w:space="0" w:color="auto"/>
            <w:left w:val="none" w:sz="0" w:space="0" w:color="auto"/>
            <w:bottom w:val="none" w:sz="0" w:space="0" w:color="auto"/>
            <w:right w:val="none" w:sz="0" w:space="0" w:color="auto"/>
          </w:divBdr>
        </w:div>
        <w:div w:id="1723794147">
          <w:marLeft w:val="640"/>
          <w:marRight w:val="0"/>
          <w:marTop w:val="0"/>
          <w:marBottom w:val="0"/>
          <w:divBdr>
            <w:top w:val="none" w:sz="0" w:space="0" w:color="auto"/>
            <w:left w:val="none" w:sz="0" w:space="0" w:color="auto"/>
            <w:bottom w:val="none" w:sz="0" w:space="0" w:color="auto"/>
            <w:right w:val="none" w:sz="0" w:space="0" w:color="auto"/>
          </w:divBdr>
        </w:div>
        <w:div w:id="1028456561">
          <w:marLeft w:val="640"/>
          <w:marRight w:val="0"/>
          <w:marTop w:val="0"/>
          <w:marBottom w:val="0"/>
          <w:divBdr>
            <w:top w:val="none" w:sz="0" w:space="0" w:color="auto"/>
            <w:left w:val="none" w:sz="0" w:space="0" w:color="auto"/>
            <w:bottom w:val="none" w:sz="0" w:space="0" w:color="auto"/>
            <w:right w:val="none" w:sz="0" w:space="0" w:color="auto"/>
          </w:divBdr>
        </w:div>
        <w:div w:id="1888106924">
          <w:marLeft w:val="640"/>
          <w:marRight w:val="0"/>
          <w:marTop w:val="0"/>
          <w:marBottom w:val="0"/>
          <w:divBdr>
            <w:top w:val="none" w:sz="0" w:space="0" w:color="auto"/>
            <w:left w:val="none" w:sz="0" w:space="0" w:color="auto"/>
            <w:bottom w:val="none" w:sz="0" w:space="0" w:color="auto"/>
            <w:right w:val="none" w:sz="0" w:space="0" w:color="auto"/>
          </w:divBdr>
        </w:div>
        <w:div w:id="458382964">
          <w:marLeft w:val="640"/>
          <w:marRight w:val="0"/>
          <w:marTop w:val="0"/>
          <w:marBottom w:val="0"/>
          <w:divBdr>
            <w:top w:val="none" w:sz="0" w:space="0" w:color="auto"/>
            <w:left w:val="none" w:sz="0" w:space="0" w:color="auto"/>
            <w:bottom w:val="none" w:sz="0" w:space="0" w:color="auto"/>
            <w:right w:val="none" w:sz="0" w:space="0" w:color="auto"/>
          </w:divBdr>
        </w:div>
        <w:div w:id="816531427">
          <w:marLeft w:val="640"/>
          <w:marRight w:val="0"/>
          <w:marTop w:val="0"/>
          <w:marBottom w:val="0"/>
          <w:divBdr>
            <w:top w:val="none" w:sz="0" w:space="0" w:color="auto"/>
            <w:left w:val="none" w:sz="0" w:space="0" w:color="auto"/>
            <w:bottom w:val="none" w:sz="0" w:space="0" w:color="auto"/>
            <w:right w:val="none" w:sz="0" w:space="0" w:color="auto"/>
          </w:divBdr>
        </w:div>
      </w:divsChild>
    </w:div>
    <w:div w:id="2037612173">
      <w:bodyDiv w:val="1"/>
      <w:marLeft w:val="0"/>
      <w:marRight w:val="0"/>
      <w:marTop w:val="0"/>
      <w:marBottom w:val="0"/>
      <w:divBdr>
        <w:top w:val="none" w:sz="0" w:space="0" w:color="auto"/>
        <w:left w:val="none" w:sz="0" w:space="0" w:color="auto"/>
        <w:bottom w:val="none" w:sz="0" w:space="0" w:color="auto"/>
        <w:right w:val="none" w:sz="0" w:space="0" w:color="auto"/>
      </w:divBdr>
    </w:div>
    <w:div w:id="2038657482">
      <w:bodyDiv w:val="1"/>
      <w:marLeft w:val="0"/>
      <w:marRight w:val="0"/>
      <w:marTop w:val="0"/>
      <w:marBottom w:val="0"/>
      <w:divBdr>
        <w:top w:val="none" w:sz="0" w:space="0" w:color="auto"/>
        <w:left w:val="none" w:sz="0" w:space="0" w:color="auto"/>
        <w:bottom w:val="none" w:sz="0" w:space="0" w:color="auto"/>
        <w:right w:val="none" w:sz="0" w:space="0" w:color="auto"/>
      </w:divBdr>
    </w:div>
    <w:div w:id="2040007484">
      <w:bodyDiv w:val="1"/>
      <w:marLeft w:val="0"/>
      <w:marRight w:val="0"/>
      <w:marTop w:val="0"/>
      <w:marBottom w:val="0"/>
      <w:divBdr>
        <w:top w:val="none" w:sz="0" w:space="0" w:color="auto"/>
        <w:left w:val="none" w:sz="0" w:space="0" w:color="auto"/>
        <w:bottom w:val="none" w:sz="0" w:space="0" w:color="auto"/>
        <w:right w:val="none" w:sz="0" w:space="0" w:color="auto"/>
      </w:divBdr>
    </w:div>
    <w:div w:id="2042434735">
      <w:bodyDiv w:val="1"/>
      <w:marLeft w:val="0"/>
      <w:marRight w:val="0"/>
      <w:marTop w:val="0"/>
      <w:marBottom w:val="0"/>
      <w:divBdr>
        <w:top w:val="none" w:sz="0" w:space="0" w:color="auto"/>
        <w:left w:val="none" w:sz="0" w:space="0" w:color="auto"/>
        <w:bottom w:val="none" w:sz="0" w:space="0" w:color="auto"/>
        <w:right w:val="none" w:sz="0" w:space="0" w:color="auto"/>
      </w:divBdr>
    </w:div>
    <w:div w:id="2044204027">
      <w:bodyDiv w:val="1"/>
      <w:marLeft w:val="0"/>
      <w:marRight w:val="0"/>
      <w:marTop w:val="0"/>
      <w:marBottom w:val="0"/>
      <w:divBdr>
        <w:top w:val="none" w:sz="0" w:space="0" w:color="auto"/>
        <w:left w:val="none" w:sz="0" w:space="0" w:color="auto"/>
        <w:bottom w:val="none" w:sz="0" w:space="0" w:color="auto"/>
        <w:right w:val="none" w:sz="0" w:space="0" w:color="auto"/>
      </w:divBdr>
    </w:div>
    <w:div w:id="2044479995">
      <w:bodyDiv w:val="1"/>
      <w:marLeft w:val="0"/>
      <w:marRight w:val="0"/>
      <w:marTop w:val="0"/>
      <w:marBottom w:val="0"/>
      <w:divBdr>
        <w:top w:val="none" w:sz="0" w:space="0" w:color="auto"/>
        <w:left w:val="none" w:sz="0" w:space="0" w:color="auto"/>
        <w:bottom w:val="none" w:sz="0" w:space="0" w:color="auto"/>
        <w:right w:val="none" w:sz="0" w:space="0" w:color="auto"/>
      </w:divBdr>
    </w:div>
    <w:div w:id="2046716604">
      <w:bodyDiv w:val="1"/>
      <w:marLeft w:val="0"/>
      <w:marRight w:val="0"/>
      <w:marTop w:val="0"/>
      <w:marBottom w:val="0"/>
      <w:divBdr>
        <w:top w:val="none" w:sz="0" w:space="0" w:color="auto"/>
        <w:left w:val="none" w:sz="0" w:space="0" w:color="auto"/>
        <w:bottom w:val="none" w:sz="0" w:space="0" w:color="auto"/>
        <w:right w:val="none" w:sz="0" w:space="0" w:color="auto"/>
      </w:divBdr>
    </w:div>
    <w:div w:id="2048681140">
      <w:bodyDiv w:val="1"/>
      <w:marLeft w:val="0"/>
      <w:marRight w:val="0"/>
      <w:marTop w:val="0"/>
      <w:marBottom w:val="0"/>
      <w:divBdr>
        <w:top w:val="none" w:sz="0" w:space="0" w:color="auto"/>
        <w:left w:val="none" w:sz="0" w:space="0" w:color="auto"/>
        <w:bottom w:val="none" w:sz="0" w:space="0" w:color="auto"/>
        <w:right w:val="none" w:sz="0" w:space="0" w:color="auto"/>
      </w:divBdr>
    </w:div>
    <w:div w:id="2049600567">
      <w:bodyDiv w:val="1"/>
      <w:marLeft w:val="0"/>
      <w:marRight w:val="0"/>
      <w:marTop w:val="0"/>
      <w:marBottom w:val="0"/>
      <w:divBdr>
        <w:top w:val="none" w:sz="0" w:space="0" w:color="auto"/>
        <w:left w:val="none" w:sz="0" w:space="0" w:color="auto"/>
        <w:bottom w:val="none" w:sz="0" w:space="0" w:color="auto"/>
        <w:right w:val="none" w:sz="0" w:space="0" w:color="auto"/>
      </w:divBdr>
    </w:div>
    <w:div w:id="2051294124">
      <w:bodyDiv w:val="1"/>
      <w:marLeft w:val="0"/>
      <w:marRight w:val="0"/>
      <w:marTop w:val="0"/>
      <w:marBottom w:val="0"/>
      <w:divBdr>
        <w:top w:val="none" w:sz="0" w:space="0" w:color="auto"/>
        <w:left w:val="none" w:sz="0" w:space="0" w:color="auto"/>
        <w:bottom w:val="none" w:sz="0" w:space="0" w:color="auto"/>
        <w:right w:val="none" w:sz="0" w:space="0" w:color="auto"/>
      </w:divBdr>
    </w:div>
    <w:div w:id="2052143139">
      <w:bodyDiv w:val="1"/>
      <w:marLeft w:val="0"/>
      <w:marRight w:val="0"/>
      <w:marTop w:val="0"/>
      <w:marBottom w:val="0"/>
      <w:divBdr>
        <w:top w:val="none" w:sz="0" w:space="0" w:color="auto"/>
        <w:left w:val="none" w:sz="0" w:space="0" w:color="auto"/>
        <w:bottom w:val="none" w:sz="0" w:space="0" w:color="auto"/>
        <w:right w:val="none" w:sz="0" w:space="0" w:color="auto"/>
      </w:divBdr>
    </w:div>
    <w:div w:id="2053461468">
      <w:bodyDiv w:val="1"/>
      <w:marLeft w:val="0"/>
      <w:marRight w:val="0"/>
      <w:marTop w:val="0"/>
      <w:marBottom w:val="0"/>
      <w:divBdr>
        <w:top w:val="none" w:sz="0" w:space="0" w:color="auto"/>
        <w:left w:val="none" w:sz="0" w:space="0" w:color="auto"/>
        <w:bottom w:val="none" w:sz="0" w:space="0" w:color="auto"/>
        <w:right w:val="none" w:sz="0" w:space="0" w:color="auto"/>
      </w:divBdr>
    </w:div>
    <w:div w:id="2056153130">
      <w:bodyDiv w:val="1"/>
      <w:marLeft w:val="0"/>
      <w:marRight w:val="0"/>
      <w:marTop w:val="0"/>
      <w:marBottom w:val="0"/>
      <w:divBdr>
        <w:top w:val="none" w:sz="0" w:space="0" w:color="auto"/>
        <w:left w:val="none" w:sz="0" w:space="0" w:color="auto"/>
        <w:bottom w:val="none" w:sz="0" w:space="0" w:color="auto"/>
        <w:right w:val="none" w:sz="0" w:space="0" w:color="auto"/>
      </w:divBdr>
    </w:div>
    <w:div w:id="2057896501">
      <w:bodyDiv w:val="1"/>
      <w:marLeft w:val="0"/>
      <w:marRight w:val="0"/>
      <w:marTop w:val="0"/>
      <w:marBottom w:val="0"/>
      <w:divBdr>
        <w:top w:val="none" w:sz="0" w:space="0" w:color="auto"/>
        <w:left w:val="none" w:sz="0" w:space="0" w:color="auto"/>
        <w:bottom w:val="none" w:sz="0" w:space="0" w:color="auto"/>
        <w:right w:val="none" w:sz="0" w:space="0" w:color="auto"/>
      </w:divBdr>
    </w:div>
    <w:div w:id="2058624151">
      <w:bodyDiv w:val="1"/>
      <w:marLeft w:val="0"/>
      <w:marRight w:val="0"/>
      <w:marTop w:val="0"/>
      <w:marBottom w:val="0"/>
      <w:divBdr>
        <w:top w:val="none" w:sz="0" w:space="0" w:color="auto"/>
        <w:left w:val="none" w:sz="0" w:space="0" w:color="auto"/>
        <w:bottom w:val="none" w:sz="0" w:space="0" w:color="auto"/>
        <w:right w:val="none" w:sz="0" w:space="0" w:color="auto"/>
      </w:divBdr>
    </w:div>
    <w:div w:id="2060130972">
      <w:bodyDiv w:val="1"/>
      <w:marLeft w:val="0"/>
      <w:marRight w:val="0"/>
      <w:marTop w:val="0"/>
      <w:marBottom w:val="0"/>
      <w:divBdr>
        <w:top w:val="none" w:sz="0" w:space="0" w:color="auto"/>
        <w:left w:val="none" w:sz="0" w:space="0" w:color="auto"/>
        <w:bottom w:val="none" w:sz="0" w:space="0" w:color="auto"/>
        <w:right w:val="none" w:sz="0" w:space="0" w:color="auto"/>
      </w:divBdr>
    </w:div>
    <w:div w:id="2061441537">
      <w:bodyDiv w:val="1"/>
      <w:marLeft w:val="0"/>
      <w:marRight w:val="0"/>
      <w:marTop w:val="0"/>
      <w:marBottom w:val="0"/>
      <w:divBdr>
        <w:top w:val="none" w:sz="0" w:space="0" w:color="auto"/>
        <w:left w:val="none" w:sz="0" w:space="0" w:color="auto"/>
        <w:bottom w:val="none" w:sz="0" w:space="0" w:color="auto"/>
        <w:right w:val="none" w:sz="0" w:space="0" w:color="auto"/>
      </w:divBdr>
    </w:div>
    <w:div w:id="2062047008">
      <w:bodyDiv w:val="1"/>
      <w:marLeft w:val="0"/>
      <w:marRight w:val="0"/>
      <w:marTop w:val="0"/>
      <w:marBottom w:val="0"/>
      <w:divBdr>
        <w:top w:val="none" w:sz="0" w:space="0" w:color="auto"/>
        <w:left w:val="none" w:sz="0" w:space="0" w:color="auto"/>
        <w:bottom w:val="none" w:sz="0" w:space="0" w:color="auto"/>
        <w:right w:val="none" w:sz="0" w:space="0" w:color="auto"/>
      </w:divBdr>
    </w:div>
    <w:div w:id="2063215248">
      <w:bodyDiv w:val="1"/>
      <w:marLeft w:val="0"/>
      <w:marRight w:val="0"/>
      <w:marTop w:val="0"/>
      <w:marBottom w:val="0"/>
      <w:divBdr>
        <w:top w:val="none" w:sz="0" w:space="0" w:color="auto"/>
        <w:left w:val="none" w:sz="0" w:space="0" w:color="auto"/>
        <w:bottom w:val="none" w:sz="0" w:space="0" w:color="auto"/>
        <w:right w:val="none" w:sz="0" w:space="0" w:color="auto"/>
      </w:divBdr>
    </w:div>
    <w:div w:id="2065181600">
      <w:bodyDiv w:val="1"/>
      <w:marLeft w:val="0"/>
      <w:marRight w:val="0"/>
      <w:marTop w:val="0"/>
      <w:marBottom w:val="0"/>
      <w:divBdr>
        <w:top w:val="none" w:sz="0" w:space="0" w:color="auto"/>
        <w:left w:val="none" w:sz="0" w:space="0" w:color="auto"/>
        <w:bottom w:val="none" w:sz="0" w:space="0" w:color="auto"/>
        <w:right w:val="none" w:sz="0" w:space="0" w:color="auto"/>
      </w:divBdr>
    </w:div>
    <w:div w:id="2066760630">
      <w:bodyDiv w:val="1"/>
      <w:marLeft w:val="0"/>
      <w:marRight w:val="0"/>
      <w:marTop w:val="0"/>
      <w:marBottom w:val="0"/>
      <w:divBdr>
        <w:top w:val="none" w:sz="0" w:space="0" w:color="auto"/>
        <w:left w:val="none" w:sz="0" w:space="0" w:color="auto"/>
        <w:bottom w:val="none" w:sz="0" w:space="0" w:color="auto"/>
        <w:right w:val="none" w:sz="0" w:space="0" w:color="auto"/>
      </w:divBdr>
    </w:div>
    <w:div w:id="2067029952">
      <w:bodyDiv w:val="1"/>
      <w:marLeft w:val="0"/>
      <w:marRight w:val="0"/>
      <w:marTop w:val="0"/>
      <w:marBottom w:val="0"/>
      <w:divBdr>
        <w:top w:val="none" w:sz="0" w:space="0" w:color="auto"/>
        <w:left w:val="none" w:sz="0" w:space="0" w:color="auto"/>
        <w:bottom w:val="none" w:sz="0" w:space="0" w:color="auto"/>
        <w:right w:val="none" w:sz="0" w:space="0" w:color="auto"/>
      </w:divBdr>
    </w:div>
    <w:div w:id="2067365174">
      <w:bodyDiv w:val="1"/>
      <w:marLeft w:val="0"/>
      <w:marRight w:val="0"/>
      <w:marTop w:val="0"/>
      <w:marBottom w:val="0"/>
      <w:divBdr>
        <w:top w:val="none" w:sz="0" w:space="0" w:color="auto"/>
        <w:left w:val="none" w:sz="0" w:space="0" w:color="auto"/>
        <w:bottom w:val="none" w:sz="0" w:space="0" w:color="auto"/>
        <w:right w:val="none" w:sz="0" w:space="0" w:color="auto"/>
      </w:divBdr>
    </w:div>
    <w:div w:id="2069112063">
      <w:bodyDiv w:val="1"/>
      <w:marLeft w:val="0"/>
      <w:marRight w:val="0"/>
      <w:marTop w:val="0"/>
      <w:marBottom w:val="0"/>
      <w:divBdr>
        <w:top w:val="none" w:sz="0" w:space="0" w:color="auto"/>
        <w:left w:val="none" w:sz="0" w:space="0" w:color="auto"/>
        <w:bottom w:val="none" w:sz="0" w:space="0" w:color="auto"/>
        <w:right w:val="none" w:sz="0" w:space="0" w:color="auto"/>
      </w:divBdr>
    </w:div>
    <w:div w:id="2069181233">
      <w:bodyDiv w:val="1"/>
      <w:marLeft w:val="0"/>
      <w:marRight w:val="0"/>
      <w:marTop w:val="0"/>
      <w:marBottom w:val="0"/>
      <w:divBdr>
        <w:top w:val="none" w:sz="0" w:space="0" w:color="auto"/>
        <w:left w:val="none" w:sz="0" w:space="0" w:color="auto"/>
        <w:bottom w:val="none" w:sz="0" w:space="0" w:color="auto"/>
        <w:right w:val="none" w:sz="0" w:space="0" w:color="auto"/>
      </w:divBdr>
    </w:div>
    <w:div w:id="2071923143">
      <w:bodyDiv w:val="1"/>
      <w:marLeft w:val="0"/>
      <w:marRight w:val="0"/>
      <w:marTop w:val="0"/>
      <w:marBottom w:val="0"/>
      <w:divBdr>
        <w:top w:val="none" w:sz="0" w:space="0" w:color="auto"/>
        <w:left w:val="none" w:sz="0" w:space="0" w:color="auto"/>
        <w:bottom w:val="none" w:sz="0" w:space="0" w:color="auto"/>
        <w:right w:val="none" w:sz="0" w:space="0" w:color="auto"/>
      </w:divBdr>
    </w:div>
    <w:div w:id="2072262595">
      <w:bodyDiv w:val="1"/>
      <w:marLeft w:val="0"/>
      <w:marRight w:val="0"/>
      <w:marTop w:val="0"/>
      <w:marBottom w:val="0"/>
      <w:divBdr>
        <w:top w:val="none" w:sz="0" w:space="0" w:color="auto"/>
        <w:left w:val="none" w:sz="0" w:space="0" w:color="auto"/>
        <w:bottom w:val="none" w:sz="0" w:space="0" w:color="auto"/>
        <w:right w:val="none" w:sz="0" w:space="0" w:color="auto"/>
      </w:divBdr>
    </w:div>
    <w:div w:id="2073889554">
      <w:bodyDiv w:val="1"/>
      <w:marLeft w:val="0"/>
      <w:marRight w:val="0"/>
      <w:marTop w:val="0"/>
      <w:marBottom w:val="0"/>
      <w:divBdr>
        <w:top w:val="none" w:sz="0" w:space="0" w:color="auto"/>
        <w:left w:val="none" w:sz="0" w:space="0" w:color="auto"/>
        <w:bottom w:val="none" w:sz="0" w:space="0" w:color="auto"/>
        <w:right w:val="none" w:sz="0" w:space="0" w:color="auto"/>
      </w:divBdr>
    </w:div>
    <w:div w:id="2076856118">
      <w:bodyDiv w:val="1"/>
      <w:marLeft w:val="0"/>
      <w:marRight w:val="0"/>
      <w:marTop w:val="0"/>
      <w:marBottom w:val="0"/>
      <w:divBdr>
        <w:top w:val="none" w:sz="0" w:space="0" w:color="auto"/>
        <w:left w:val="none" w:sz="0" w:space="0" w:color="auto"/>
        <w:bottom w:val="none" w:sz="0" w:space="0" w:color="auto"/>
        <w:right w:val="none" w:sz="0" w:space="0" w:color="auto"/>
      </w:divBdr>
    </w:div>
    <w:div w:id="2079665503">
      <w:bodyDiv w:val="1"/>
      <w:marLeft w:val="0"/>
      <w:marRight w:val="0"/>
      <w:marTop w:val="0"/>
      <w:marBottom w:val="0"/>
      <w:divBdr>
        <w:top w:val="none" w:sz="0" w:space="0" w:color="auto"/>
        <w:left w:val="none" w:sz="0" w:space="0" w:color="auto"/>
        <w:bottom w:val="none" w:sz="0" w:space="0" w:color="auto"/>
        <w:right w:val="none" w:sz="0" w:space="0" w:color="auto"/>
      </w:divBdr>
    </w:div>
    <w:div w:id="2084987006">
      <w:bodyDiv w:val="1"/>
      <w:marLeft w:val="0"/>
      <w:marRight w:val="0"/>
      <w:marTop w:val="0"/>
      <w:marBottom w:val="0"/>
      <w:divBdr>
        <w:top w:val="none" w:sz="0" w:space="0" w:color="auto"/>
        <w:left w:val="none" w:sz="0" w:space="0" w:color="auto"/>
        <w:bottom w:val="none" w:sz="0" w:space="0" w:color="auto"/>
        <w:right w:val="none" w:sz="0" w:space="0" w:color="auto"/>
      </w:divBdr>
    </w:div>
    <w:div w:id="2086295107">
      <w:bodyDiv w:val="1"/>
      <w:marLeft w:val="0"/>
      <w:marRight w:val="0"/>
      <w:marTop w:val="0"/>
      <w:marBottom w:val="0"/>
      <w:divBdr>
        <w:top w:val="none" w:sz="0" w:space="0" w:color="auto"/>
        <w:left w:val="none" w:sz="0" w:space="0" w:color="auto"/>
        <w:bottom w:val="none" w:sz="0" w:space="0" w:color="auto"/>
        <w:right w:val="none" w:sz="0" w:space="0" w:color="auto"/>
      </w:divBdr>
    </w:div>
    <w:div w:id="2090535208">
      <w:bodyDiv w:val="1"/>
      <w:marLeft w:val="0"/>
      <w:marRight w:val="0"/>
      <w:marTop w:val="0"/>
      <w:marBottom w:val="0"/>
      <w:divBdr>
        <w:top w:val="none" w:sz="0" w:space="0" w:color="auto"/>
        <w:left w:val="none" w:sz="0" w:space="0" w:color="auto"/>
        <w:bottom w:val="none" w:sz="0" w:space="0" w:color="auto"/>
        <w:right w:val="none" w:sz="0" w:space="0" w:color="auto"/>
      </w:divBdr>
    </w:div>
    <w:div w:id="2092659504">
      <w:bodyDiv w:val="1"/>
      <w:marLeft w:val="0"/>
      <w:marRight w:val="0"/>
      <w:marTop w:val="0"/>
      <w:marBottom w:val="0"/>
      <w:divBdr>
        <w:top w:val="none" w:sz="0" w:space="0" w:color="auto"/>
        <w:left w:val="none" w:sz="0" w:space="0" w:color="auto"/>
        <w:bottom w:val="none" w:sz="0" w:space="0" w:color="auto"/>
        <w:right w:val="none" w:sz="0" w:space="0" w:color="auto"/>
      </w:divBdr>
    </w:div>
    <w:div w:id="2093817534">
      <w:bodyDiv w:val="1"/>
      <w:marLeft w:val="0"/>
      <w:marRight w:val="0"/>
      <w:marTop w:val="0"/>
      <w:marBottom w:val="0"/>
      <w:divBdr>
        <w:top w:val="none" w:sz="0" w:space="0" w:color="auto"/>
        <w:left w:val="none" w:sz="0" w:space="0" w:color="auto"/>
        <w:bottom w:val="none" w:sz="0" w:space="0" w:color="auto"/>
        <w:right w:val="none" w:sz="0" w:space="0" w:color="auto"/>
      </w:divBdr>
    </w:div>
    <w:div w:id="2096241464">
      <w:bodyDiv w:val="1"/>
      <w:marLeft w:val="0"/>
      <w:marRight w:val="0"/>
      <w:marTop w:val="0"/>
      <w:marBottom w:val="0"/>
      <w:divBdr>
        <w:top w:val="none" w:sz="0" w:space="0" w:color="auto"/>
        <w:left w:val="none" w:sz="0" w:space="0" w:color="auto"/>
        <w:bottom w:val="none" w:sz="0" w:space="0" w:color="auto"/>
        <w:right w:val="none" w:sz="0" w:space="0" w:color="auto"/>
      </w:divBdr>
    </w:div>
    <w:div w:id="2096437597">
      <w:bodyDiv w:val="1"/>
      <w:marLeft w:val="0"/>
      <w:marRight w:val="0"/>
      <w:marTop w:val="0"/>
      <w:marBottom w:val="0"/>
      <w:divBdr>
        <w:top w:val="none" w:sz="0" w:space="0" w:color="auto"/>
        <w:left w:val="none" w:sz="0" w:space="0" w:color="auto"/>
        <w:bottom w:val="none" w:sz="0" w:space="0" w:color="auto"/>
        <w:right w:val="none" w:sz="0" w:space="0" w:color="auto"/>
      </w:divBdr>
    </w:div>
    <w:div w:id="2098404343">
      <w:bodyDiv w:val="1"/>
      <w:marLeft w:val="0"/>
      <w:marRight w:val="0"/>
      <w:marTop w:val="0"/>
      <w:marBottom w:val="0"/>
      <w:divBdr>
        <w:top w:val="none" w:sz="0" w:space="0" w:color="auto"/>
        <w:left w:val="none" w:sz="0" w:space="0" w:color="auto"/>
        <w:bottom w:val="none" w:sz="0" w:space="0" w:color="auto"/>
        <w:right w:val="none" w:sz="0" w:space="0" w:color="auto"/>
      </w:divBdr>
    </w:div>
    <w:div w:id="2102991361">
      <w:bodyDiv w:val="1"/>
      <w:marLeft w:val="0"/>
      <w:marRight w:val="0"/>
      <w:marTop w:val="0"/>
      <w:marBottom w:val="0"/>
      <w:divBdr>
        <w:top w:val="none" w:sz="0" w:space="0" w:color="auto"/>
        <w:left w:val="none" w:sz="0" w:space="0" w:color="auto"/>
        <w:bottom w:val="none" w:sz="0" w:space="0" w:color="auto"/>
        <w:right w:val="none" w:sz="0" w:space="0" w:color="auto"/>
      </w:divBdr>
    </w:div>
    <w:div w:id="2105376703">
      <w:bodyDiv w:val="1"/>
      <w:marLeft w:val="0"/>
      <w:marRight w:val="0"/>
      <w:marTop w:val="0"/>
      <w:marBottom w:val="0"/>
      <w:divBdr>
        <w:top w:val="none" w:sz="0" w:space="0" w:color="auto"/>
        <w:left w:val="none" w:sz="0" w:space="0" w:color="auto"/>
        <w:bottom w:val="none" w:sz="0" w:space="0" w:color="auto"/>
        <w:right w:val="none" w:sz="0" w:space="0" w:color="auto"/>
      </w:divBdr>
    </w:div>
    <w:div w:id="2107067441">
      <w:bodyDiv w:val="1"/>
      <w:marLeft w:val="0"/>
      <w:marRight w:val="0"/>
      <w:marTop w:val="0"/>
      <w:marBottom w:val="0"/>
      <w:divBdr>
        <w:top w:val="none" w:sz="0" w:space="0" w:color="auto"/>
        <w:left w:val="none" w:sz="0" w:space="0" w:color="auto"/>
        <w:bottom w:val="none" w:sz="0" w:space="0" w:color="auto"/>
        <w:right w:val="none" w:sz="0" w:space="0" w:color="auto"/>
      </w:divBdr>
    </w:div>
    <w:div w:id="2107529100">
      <w:bodyDiv w:val="1"/>
      <w:marLeft w:val="0"/>
      <w:marRight w:val="0"/>
      <w:marTop w:val="0"/>
      <w:marBottom w:val="0"/>
      <w:divBdr>
        <w:top w:val="none" w:sz="0" w:space="0" w:color="auto"/>
        <w:left w:val="none" w:sz="0" w:space="0" w:color="auto"/>
        <w:bottom w:val="none" w:sz="0" w:space="0" w:color="auto"/>
        <w:right w:val="none" w:sz="0" w:space="0" w:color="auto"/>
      </w:divBdr>
    </w:div>
    <w:div w:id="2108036381">
      <w:bodyDiv w:val="1"/>
      <w:marLeft w:val="0"/>
      <w:marRight w:val="0"/>
      <w:marTop w:val="0"/>
      <w:marBottom w:val="0"/>
      <w:divBdr>
        <w:top w:val="none" w:sz="0" w:space="0" w:color="auto"/>
        <w:left w:val="none" w:sz="0" w:space="0" w:color="auto"/>
        <w:bottom w:val="none" w:sz="0" w:space="0" w:color="auto"/>
        <w:right w:val="none" w:sz="0" w:space="0" w:color="auto"/>
      </w:divBdr>
    </w:div>
    <w:div w:id="2108455358">
      <w:bodyDiv w:val="1"/>
      <w:marLeft w:val="0"/>
      <w:marRight w:val="0"/>
      <w:marTop w:val="0"/>
      <w:marBottom w:val="0"/>
      <w:divBdr>
        <w:top w:val="none" w:sz="0" w:space="0" w:color="auto"/>
        <w:left w:val="none" w:sz="0" w:space="0" w:color="auto"/>
        <w:bottom w:val="none" w:sz="0" w:space="0" w:color="auto"/>
        <w:right w:val="none" w:sz="0" w:space="0" w:color="auto"/>
      </w:divBdr>
      <w:divsChild>
        <w:div w:id="1164472363">
          <w:marLeft w:val="640"/>
          <w:marRight w:val="0"/>
          <w:marTop w:val="0"/>
          <w:marBottom w:val="0"/>
          <w:divBdr>
            <w:top w:val="none" w:sz="0" w:space="0" w:color="auto"/>
            <w:left w:val="none" w:sz="0" w:space="0" w:color="auto"/>
            <w:bottom w:val="none" w:sz="0" w:space="0" w:color="auto"/>
            <w:right w:val="none" w:sz="0" w:space="0" w:color="auto"/>
          </w:divBdr>
        </w:div>
        <w:div w:id="1249459001">
          <w:marLeft w:val="640"/>
          <w:marRight w:val="0"/>
          <w:marTop w:val="0"/>
          <w:marBottom w:val="0"/>
          <w:divBdr>
            <w:top w:val="none" w:sz="0" w:space="0" w:color="auto"/>
            <w:left w:val="none" w:sz="0" w:space="0" w:color="auto"/>
            <w:bottom w:val="none" w:sz="0" w:space="0" w:color="auto"/>
            <w:right w:val="none" w:sz="0" w:space="0" w:color="auto"/>
          </w:divBdr>
        </w:div>
        <w:div w:id="44259302">
          <w:marLeft w:val="640"/>
          <w:marRight w:val="0"/>
          <w:marTop w:val="0"/>
          <w:marBottom w:val="0"/>
          <w:divBdr>
            <w:top w:val="none" w:sz="0" w:space="0" w:color="auto"/>
            <w:left w:val="none" w:sz="0" w:space="0" w:color="auto"/>
            <w:bottom w:val="none" w:sz="0" w:space="0" w:color="auto"/>
            <w:right w:val="none" w:sz="0" w:space="0" w:color="auto"/>
          </w:divBdr>
        </w:div>
        <w:div w:id="866060839">
          <w:marLeft w:val="640"/>
          <w:marRight w:val="0"/>
          <w:marTop w:val="0"/>
          <w:marBottom w:val="0"/>
          <w:divBdr>
            <w:top w:val="none" w:sz="0" w:space="0" w:color="auto"/>
            <w:left w:val="none" w:sz="0" w:space="0" w:color="auto"/>
            <w:bottom w:val="none" w:sz="0" w:space="0" w:color="auto"/>
            <w:right w:val="none" w:sz="0" w:space="0" w:color="auto"/>
          </w:divBdr>
        </w:div>
        <w:div w:id="1943486419">
          <w:marLeft w:val="640"/>
          <w:marRight w:val="0"/>
          <w:marTop w:val="0"/>
          <w:marBottom w:val="0"/>
          <w:divBdr>
            <w:top w:val="none" w:sz="0" w:space="0" w:color="auto"/>
            <w:left w:val="none" w:sz="0" w:space="0" w:color="auto"/>
            <w:bottom w:val="none" w:sz="0" w:space="0" w:color="auto"/>
            <w:right w:val="none" w:sz="0" w:space="0" w:color="auto"/>
          </w:divBdr>
        </w:div>
        <w:div w:id="351616729">
          <w:marLeft w:val="640"/>
          <w:marRight w:val="0"/>
          <w:marTop w:val="0"/>
          <w:marBottom w:val="0"/>
          <w:divBdr>
            <w:top w:val="none" w:sz="0" w:space="0" w:color="auto"/>
            <w:left w:val="none" w:sz="0" w:space="0" w:color="auto"/>
            <w:bottom w:val="none" w:sz="0" w:space="0" w:color="auto"/>
            <w:right w:val="none" w:sz="0" w:space="0" w:color="auto"/>
          </w:divBdr>
        </w:div>
        <w:div w:id="909849673">
          <w:marLeft w:val="640"/>
          <w:marRight w:val="0"/>
          <w:marTop w:val="0"/>
          <w:marBottom w:val="0"/>
          <w:divBdr>
            <w:top w:val="none" w:sz="0" w:space="0" w:color="auto"/>
            <w:left w:val="none" w:sz="0" w:space="0" w:color="auto"/>
            <w:bottom w:val="none" w:sz="0" w:space="0" w:color="auto"/>
            <w:right w:val="none" w:sz="0" w:space="0" w:color="auto"/>
          </w:divBdr>
        </w:div>
        <w:div w:id="1525438376">
          <w:marLeft w:val="640"/>
          <w:marRight w:val="0"/>
          <w:marTop w:val="0"/>
          <w:marBottom w:val="0"/>
          <w:divBdr>
            <w:top w:val="none" w:sz="0" w:space="0" w:color="auto"/>
            <w:left w:val="none" w:sz="0" w:space="0" w:color="auto"/>
            <w:bottom w:val="none" w:sz="0" w:space="0" w:color="auto"/>
            <w:right w:val="none" w:sz="0" w:space="0" w:color="auto"/>
          </w:divBdr>
        </w:div>
        <w:div w:id="1472668842">
          <w:marLeft w:val="640"/>
          <w:marRight w:val="0"/>
          <w:marTop w:val="0"/>
          <w:marBottom w:val="0"/>
          <w:divBdr>
            <w:top w:val="none" w:sz="0" w:space="0" w:color="auto"/>
            <w:left w:val="none" w:sz="0" w:space="0" w:color="auto"/>
            <w:bottom w:val="none" w:sz="0" w:space="0" w:color="auto"/>
            <w:right w:val="none" w:sz="0" w:space="0" w:color="auto"/>
          </w:divBdr>
        </w:div>
        <w:div w:id="439569313">
          <w:marLeft w:val="640"/>
          <w:marRight w:val="0"/>
          <w:marTop w:val="0"/>
          <w:marBottom w:val="0"/>
          <w:divBdr>
            <w:top w:val="none" w:sz="0" w:space="0" w:color="auto"/>
            <w:left w:val="none" w:sz="0" w:space="0" w:color="auto"/>
            <w:bottom w:val="none" w:sz="0" w:space="0" w:color="auto"/>
            <w:right w:val="none" w:sz="0" w:space="0" w:color="auto"/>
          </w:divBdr>
        </w:div>
        <w:div w:id="1839150122">
          <w:marLeft w:val="640"/>
          <w:marRight w:val="0"/>
          <w:marTop w:val="0"/>
          <w:marBottom w:val="0"/>
          <w:divBdr>
            <w:top w:val="none" w:sz="0" w:space="0" w:color="auto"/>
            <w:left w:val="none" w:sz="0" w:space="0" w:color="auto"/>
            <w:bottom w:val="none" w:sz="0" w:space="0" w:color="auto"/>
            <w:right w:val="none" w:sz="0" w:space="0" w:color="auto"/>
          </w:divBdr>
        </w:div>
        <w:div w:id="1397171329">
          <w:marLeft w:val="640"/>
          <w:marRight w:val="0"/>
          <w:marTop w:val="0"/>
          <w:marBottom w:val="0"/>
          <w:divBdr>
            <w:top w:val="none" w:sz="0" w:space="0" w:color="auto"/>
            <w:left w:val="none" w:sz="0" w:space="0" w:color="auto"/>
            <w:bottom w:val="none" w:sz="0" w:space="0" w:color="auto"/>
            <w:right w:val="none" w:sz="0" w:space="0" w:color="auto"/>
          </w:divBdr>
        </w:div>
        <w:div w:id="1832478648">
          <w:marLeft w:val="640"/>
          <w:marRight w:val="0"/>
          <w:marTop w:val="0"/>
          <w:marBottom w:val="0"/>
          <w:divBdr>
            <w:top w:val="none" w:sz="0" w:space="0" w:color="auto"/>
            <w:left w:val="none" w:sz="0" w:space="0" w:color="auto"/>
            <w:bottom w:val="none" w:sz="0" w:space="0" w:color="auto"/>
            <w:right w:val="none" w:sz="0" w:space="0" w:color="auto"/>
          </w:divBdr>
        </w:div>
        <w:div w:id="627903813">
          <w:marLeft w:val="640"/>
          <w:marRight w:val="0"/>
          <w:marTop w:val="0"/>
          <w:marBottom w:val="0"/>
          <w:divBdr>
            <w:top w:val="none" w:sz="0" w:space="0" w:color="auto"/>
            <w:left w:val="none" w:sz="0" w:space="0" w:color="auto"/>
            <w:bottom w:val="none" w:sz="0" w:space="0" w:color="auto"/>
            <w:right w:val="none" w:sz="0" w:space="0" w:color="auto"/>
          </w:divBdr>
        </w:div>
        <w:div w:id="502861067">
          <w:marLeft w:val="640"/>
          <w:marRight w:val="0"/>
          <w:marTop w:val="0"/>
          <w:marBottom w:val="0"/>
          <w:divBdr>
            <w:top w:val="none" w:sz="0" w:space="0" w:color="auto"/>
            <w:left w:val="none" w:sz="0" w:space="0" w:color="auto"/>
            <w:bottom w:val="none" w:sz="0" w:space="0" w:color="auto"/>
            <w:right w:val="none" w:sz="0" w:space="0" w:color="auto"/>
          </w:divBdr>
        </w:div>
        <w:div w:id="1554120985">
          <w:marLeft w:val="640"/>
          <w:marRight w:val="0"/>
          <w:marTop w:val="0"/>
          <w:marBottom w:val="0"/>
          <w:divBdr>
            <w:top w:val="none" w:sz="0" w:space="0" w:color="auto"/>
            <w:left w:val="none" w:sz="0" w:space="0" w:color="auto"/>
            <w:bottom w:val="none" w:sz="0" w:space="0" w:color="auto"/>
            <w:right w:val="none" w:sz="0" w:space="0" w:color="auto"/>
          </w:divBdr>
        </w:div>
        <w:div w:id="638147024">
          <w:marLeft w:val="640"/>
          <w:marRight w:val="0"/>
          <w:marTop w:val="0"/>
          <w:marBottom w:val="0"/>
          <w:divBdr>
            <w:top w:val="none" w:sz="0" w:space="0" w:color="auto"/>
            <w:left w:val="none" w:sz="0" w:space="0" w:color="auto"/>
            <w:bottom w:val="none" w:sz="0" w:space="0" w:color="auto"/>
            <w:right w:val="none" w:sz="0" w:space="0" w:color="auto"/>
          </w:divBdr>
        </w:div>
        <w:div w:id="776944914">
          <w:marLeft w:val="640"/>
          <w:marRight w:val="0"/>
          <w:marTop w:val="0"/>
          <w:marBottom w:val="0"/>
          <w:divBdr>
            <w:top w:val="none" w:sz="0" w:space="0" w:color="auto"/>
            <w:left w:val="none" w:sz="0" w:space="0" w:color="auto"/>
            <w:bottom w:val="none" w:sz="0" w:space="0" w:color="auto"/>
            <w:right w:val="none" w:sz="0" w:space="0" w:color="auto"/>
          </w:divBdr>
        </w:div>
        <w:div w:id="69084867">
          <w:marLeft w:val="640"/>
          <w:marRight w:val="0"/>
          <w:marTop w:val="0"/>
          <w:marBottom w:val="0"/>
          <w:divBdr>
            <w:top w:val="none" w:sz="0" w:space="0" w:color="auto"/>
            <w:left w:val="none" w:sz="0" w:space="0" w:color="auto"/>
            <w:bottom w:val="none" w:sz="0" w:space="0" w:color="auto"/>
            <w:right w:val="none" w:sz="0" w:space="0" w:color="auto"/>
          </w:divBdr>
        </w:div>
        <w:div w:id="327098806">
          <w:marLeft w:val="640"/>
          <w:marRight w:val="0"/>
          <w:marTop w:val="0"/>
          <w:marBottom w:val="0"/>
          <w:divBdr>
            <w:top w:val="none" w:sz="0" w:space="0" w:color="auto"/>
            <w:left w:val="none" w:sz="0" w:space="0" w:color="auto"/>
            <w:bottom w:val="none" w:sz="0" w:space="0" w:color="auto"/>
            <w:right w:val="none" w:sz="0" w:space="0" w:color="auto"/>
          </w:divBdr>
        </w:div>
        <w:div w:id="1481539364">
          <w:marLeft w:val="640"/>
          <w:marRight w:val="0"/>
          <w:marTop w:val="0"/>
          <w:marBottom w:val="0"/>
          <w:divBdr>
            <w:top w:val="none" w:sz="0" w:space="0" w:color="auto"/>
            <w:left w:val="none" w:sz="0" w:space="0" w:color="auto"/>
            <w:bottom w:val="none" w:sz="0" w:space="0" w:color="auto"/>
            <w:right w:val="none" w:sz="0" w:space="0" w:color="auto"/>
          </w:divBdr>
        </w:div>
        <w:div w:id="842548862">
          <w:marLeft w:val="640"/>
          <w:marRight w:val="0"/>
          <w:marTop w:val="0"/>
          <w:marBottom w:val="0"/>
          <w:divBdr>
            <w:top w:val="none" w:sz="0" w:space="0" w:color="auto"/>
            <w:left w:val="none" w:sz="0" w:space="0" w:color="auto"/>
            <w:bottom w:val="none" w:sz="0" w:space="0" w:color="auto"/>
            <w:right w:val="none" w:sz="0" w:space="0" w:color="auto"/>
          </w:divBdr>
        </w:div>
        <w:div w:id="1975016523">
          <w:marLeft w:val="640"/>
          <w:marRight w:val="0"/>
          <w:marTop w:val="0"/>
          <w:marBottom w:val="0"/>
          <w:divBdr>
            <w:top w:val="none" w:sz="0" w:space="0" w:color="auto"/>
            <w:left w:val="none" w:sz="0" w:space="0" w:color="auto"/>
            <w:bottom w:val="none" w:sz="0" w:space="0" w:color="auto"/>
            <w:right w:val="none" w:sz="0" w:space="0" w:color="auto"/>
          </w:divBdr>
        </w:div>
        <w:div w:id="1399594490">
          <w:marLeft w:val="640"/>
          <w:marRight w:val="0"/>
          <w:marTop w:val="0"/>
          <w:marBottom w:val="0"/>
          <w:divBdr>
            <w:top w:val="none" w:sz="0" w:space="0" w:color="auto"/>
            <w:left w:val="none" w:sz="0" w:space="0" w:color="auto"/>
            <w:bottom w:val="none" w:sz="0" w:space="0" w:color="auto"/>
            <w:right w:val="none" w:sz="0" w:space="0" w:color="auto"/>
          </w:divBdr>
        </w:div>
        <w:div w:id="321009193">
          <w:marLeft w:val="640"/>
          <w:marRight w:val="0"/>
          <w:marTop w:val="0"/>
          <w:marBottom w:val="0"/>
          <w:divBdr>
            <w:top w:val="none" w:sz="0" w:space="0" w:color="auto"/>
            <w:left w:val="none" w:sz="0" w:space="0" w:color="auto"/>
            <w:bottom w:val="none" w:sz="0" w:space="0" w:color="auto"/>
            <w:right w:val="none" w:sz="0" w:space="0" w:color="auto"/>
          </w:divBdr>
        </w:div>
        <w:div w:id="1293440496">
          <w:marLeft w:val="640"/>
          <w:marRight w:val="0"/>
          <w:marTop w:val="0"/>
          <w:marBottom w:val="0"/>
          <w:divBdr>
            <w:top w:val="none" w:sz="0" w:space="0" w:color="auto"/>
            <w:left w:val="none" w:sz="0" w:space="0" w:color="auto"/>
            <w:bottom w:val="none" w:sz="0" w:space="0" w:color="auto"/>
            <w:right w:val="none" w:sz="0" w:space="0" w:color="auto"/>
          </w:divBdr>
        </w:div>
        <w:div w:id="78336817">
          <w:marLeft w:val="640"/>
          <w:marRight w:val="0"/>
          <w:marTop w:val="0"/>
          <w:marBottom w:val="0"/>
          <w:divBdr>
            <w:top w:val="none" w:sz="0" w:space="0" w:color="auto"/>
            <w:left w:val="none" w:sz="0" w:space="0" w:color="auto"/>
            <w:bottom w:val="none" w:sz="0" w:space="0" w:color="auto"/>
            <w:right w:val="none" w:sz="0" w:space="0" w:color="auto"/>
          </w:divBdr>
        </w:div>
        <w:div w:id="498816640">
          <w:marLeft w:val="640"/>
          <w:marRight w:val="0"/>
          <w:marTop w:val="0"/>
          <w:marBottom w:val="0"/>
          <w:divBdr>
            <w:top w:val="none" w:sz="0" w:space="0" w:color="auto"/>
            <w:left w:val="none" w:sz="0" w:space="0" w:color="auto"/>
            <w:bottom w:val="none" w:sz="0" w:space="0" w:color="auto"/>
            <w:right w:val="none" w:sz="0" w:space="0" w:color="auto"/>
          </w:divBdr>
        </w:div>
        <w:div w:id="92433546">
          <w:marLeft w:val="640"/>
          <w:marRight w:val="0"/>
          <w:marTop w:val="0"/>
          <w:marBottom w:val="0"/>
          <w:divBdr>
            <w:top w:val="none" w:sz="0" w:space="0" w:color="auto"/>
            <w:left w:val="none" w:sz="0" w:space="0" w:color="auto"/>
            <w:bottom w:val="none" w:sz="0" w:space="0" w:color="auto"/>
            <w:right w:val="none" w:sz="0" w:space="0" w:color="auto"/>
          </w:divBdr>
        </w:div>
        <w:div w:id="133135996">
          <w:marLeft w:val="640"/>
          <w:marRight w:val="0"/>
          <w:marTop w:val="0"/>
          <w:marBottom w:val="0"/>
          <w:divBdr>
            <w:top w:val="none" w:sz="0" w:space="0" w:color="auto"/>
            <w:left w:val="none" w:sz="0" w:space="0" w:color="auto"/>
            <w:bottom w:val="none" w:sz="0" w:space="0" w:color="auto"/>
            <w:right w:val="none" w:sz="0" w:space="0" w:color="auto"/>
          </w:divBdr>
        </w:div>
        <w:div w:id="425930180">
          <w:marLeft w:val="640"/>
          <w:marRight w:val="0"/>
          <w:marTop w:val="0"/>
          <w:marBottom w:val="0"/>
          <w:divBdr>
            <w:top w:val="none" w:sz="0" w:space="0" w:color="auto"/>
            <w:left w:val="none" w:sz="0" w:space="0" w:color="auto"/>
            <w:bottom w:val="none" w:sz="0" w:space="0" w:color="auto"/>
            <w:right w:val="none" w:sz="0" w:space="0" w:color="auto"/>
          </w:divBdr>
        </w:div>
        <w:div w:id="1433933249">
          <w:marLeft w:val="640"/>
          <w:marRight w:val="0"/>
          <w:marTop w:val="0"/>
          <w:marBottom w:val="0"/>
          <w:divBdr>
            <w:top w:val="none" w:sz="0" w:space="0" w:color="auto"/>
            <w:left w:val="none" w:sz="0" w:space="0" w:color="auto"/>
            <w:bottom w:val="none" w:sz="0" w:space="0" w:color="auto"/>
            <w:right w:val="none" w:sz="0" w:space="0" w:color="auto"/>
          </w:divBdr>
        </w:div>
        <w:div w:id="187259299">
          <w:marLeft w:val="640"/>
          <w:marRight w:val="0"/>
          <w:marTop w:val="0"/>
          <w:marBottom w:val="0"/>
          <w:divBdr>
            <w:top w:val="none" w:sz="0" w:space="0" w:color="auto"/>
            <w:left w:val="none" w:sz="0" w:space="0" w:color="auto"/>
            <w:bottom w:val="none" w:sz="0" w:space="0" w:color="auto"/>
            <w:right w:val="none" w:sz="0" w:space="0" w:color="auto"/>
          </w:divBdr>
        </w:div>
        <w:div w:id="1759204814">
          <w:marLeft w:val="640"/>
          <w:marRight w:val="0"/>
          <w:marTop w:val="0"/>
          <w:marBottom w:val="0"/>
          <w:divBdr>
            <w:top w:val="none" w:sz="0" w:space="0" w:color="auto"/>
            <w:left w:val="none" w:sz="0" w:space="0" w:color="auto"/>
            <w:bottom w:val="none" w:sz="0" w:space="0" w:color="auto"/>
            <w:right w:val="none" w:sz="0" w:space="0" w:color="auto"/>
          </w:divBdr>
        </w:div>
        <w:div w:id="1663966314">
          <w:marLeft w:val="640"/>
          <w:marRight w:val="0"/>
          <w:marTop w:val="0"/>
          <w:marBottom w:val="0"/>
          <w:divBdr>
            <w:top w:val="none" w:sz="0" w:space="0" w:color="auto"/>
            <w:left w:val="none" w:sz="0" w:space="0" w:color="auto"/>
            <w:bottom w:val="none" w:sz="0" w:space="0" w:color="auto"/>
            <w:right w:val="none" w:sz="0" w:space="0" w:color="auto"/>
          </w:divBdr>
        </w:div>
        <w:div w:id="379208676">
          <w:marLeft w:val="640"/>
          <w:marRight w:val="0"/>
          <w:marTop w:val="0"/>
          <w:marBottom w:val="0"/>
          <w:divBdr>
            <w:top w:val="none" w:sz="0" w:space="0" w:color="auto"/>
            <w:left w:val="none" w:sz="0" w:space="0" w:color="auto"/>
            <w:bottom w:val="none" w:sz="0" w:space="0" w:color="auto"/>
            <w:right w:val="none" w:sz="0" w:space="0" w:color="auto"/>
          </w:divBdr>
        </w:div>
        <w:div w:id="782530562">
          <w:marLeft w:val="640"/>
          <w:marRight w:val="0"/>
          <w:marTop w:val="0"/>
          <w:marBottom w:val="0"/>
          <w:divBdr>
            <w:top w:val="none" w:sz="0" w:space="0" w:color="auto"/>
            <w:left w:val="none" w:sz="0" w:space="0" w:color="auto"/>
            <w:bottom w:val="none" w:sz="0" w:space="0" w:color="auto"/>
            <w:right w:val="none" w:sz="0" w:space="0" w:color="auto"/>
          </w:divBdr>
        </w:div>
        <w:div w:id="6101783">
          <w:marLeft w:val="640"/>
          <w:marRight w:val="0"/>
          <w:marTop w:val="0"/>
          <w:marBottom w:val="0"/>
          <w:divBdr>
            <w:top w:val="none" w:sz="0" w:space="0" w:color="auto"/>
            <w:left w:val="none" w:sz="0" w:space="0" w:color="auto"/>
            <w:bottom w:val="none" w:sz="0" w:space="0" w:color="auto"/>
            <w:right w:val="none" w:sz="0" w:space="0" w:color="auto"/>
          </w:divBdr>
        </w:div>
        <w:div w:id="1619682569">
          <w:marLeft w:val="640"/>
          <w:marRight w:val="0"/>
          <w:marTop w:val="0"/>
          <w:marBottom w:val="0"/>
          <w:divBdr>
            <w:top w:val="none" w:sz="0" w:space="0" w:color="auto"/>
            <w:left w:val="none" w:sz="0" w:space="0" w:color="auto"/>
            <w:bottom w:val="none" w:sz="0" w:space="0" w:color="auto"/>
            <w:right w:val="none" w:sz="0" w:space="0" w:color="auto"/>
          </w:divBdr>
        </w:div>
        <w:div w:id="946736591">
          <w:marLeft w:val="640"/>
          <w:marRight w:val="0"/>
          <w:marTop w:val="0"/>
          <w:marBottom w:val="0"/>
          <w:divBdr>
            <w:top w:val="none" w:sz="0" w:space="0" w:color="auto"/>
            <w:left w:val="none" w:sz="0" w:space="0" w:color="auto"/>
            <w:bottom w:val="none" w:sz="0" w:space="0" w:color="auto"/>
            <w:right w:val="none" w:sz="0" w:space="0" w:color="auto"/>
          </w:divBdr>
        </w:div>
        <w:div w:id="1518693776">
          <w:marLeft w:val="640"/>
          <w:marRight w:val="0"/>
          <w:marTop w:val="0"/>
          <w:marBottom w:val="0"/>
          <w:divBdr>
            <w:top w:val="none" w:sz="0" w:space="0" w:color="auto"/>
            <w:left w:val="none" w:sz="0" w:space="0" w:color="auto"/>
            <w:bottom w:val="none" w:sz="0" w:space="0" w:color="auto"/>
            <w:right w:val="none" w:sz="0" w:space="0" w:color="auto"/>
          </w:divBdr>
        </w:div>
        <w:div w:id="1555771332">
          <w:marLeft w:val="640"/>
          <w:marRight w:val="0"/>
          <w:marTop w:val="0"/>
          <w:marBottom w:val="0"/>
          <w:divBdr>
            <w:top w:val="none" w:sz="0" w:space="0" w:color="auto"/>
            <w:left w:val="none" w:sz="0" w:space="0" w:color="auto"/>
            <w:bottom w:val="none" w:sz="0" w:space="0" w:color="auto"/>
            <w:right w:val="none" w:sz="0" w:space="0" w:color="auto"/>
          </w:divBdr>
        </w:div>
        <w:div w:id="2101750402">
          <w:marLeft w:val="640"/>
          <w:marRight w:val="0"/>
          <w:marTop w:val="0"/>
          <w:marBottom w:val="0"/>
          <w:divBdr>
            <w:top w:val="none" w:sz="0" w:space="0" w:color="auto"/>
            <w:left w:val="none" w:sz="0" w:space="0" w:color="auto"/>
            <w:bottom w:val="none" w:sz="0" w:space="0" w:color="auto"/>
            <w:right w:val="none" w:sz="0" w:space="0" w:color="auto"/>
          </w:divBdr>
        </w:div>
        <w:div w:id="1119881457">
          <w:marLeft w:val="640"/>
          <w:marRight w:val="0"/>
          <w:marTop w:val="0"/>
          <w:marBottom w:val="0"/>
          <w:divBdr>
            <w:top w:val="none" w:sz="0" w:space="0" w:color="auto"/>
            <w:left w:val="none" w:sz="0" w:space="0" w:color="auto"/>
            <w:bottom w:val="none" w:sz="0" w:space="0" w:color="auto"/>
            <w:right w:val="none" w:sz="0" w:space="0" w:color="auto"/>
          </w:divBdr>
        </w:div>
        <w:div w:id="384256231">
          <w:marLeft w:val="640"/>
          <w:marRight w:val="0"/>
          <w:marTop w:val="0"/>
          <w:marBottom w:val="0"/>
          <w:divBdr>
            <w:top w:val="none" w:sz="0" w:space="0" w:color="auto"/>
            <w:left w:val="none" w:sz="0" w:space="0" w:color="auto"/>
            <w:bottom w:val="none" w:sz="0" w:space="0" w:color="auto"/>
            <w:right w:val="none" w:sz="0" w:space="0" w:color="auto"/>
          </w:divBdr>
        </w:div>
        <w:div w:id="1917935276">
          <w:marLeft w:val="640"/>
          <w:marRight w:val="0"/>
          <w:marTop w:val="0"/>
          <w:marBottom w:val="0"/>
          <w:divBdr>
            <w:top w:val="none" w:sz="0" w:space="0" w:color="auto"/>
            <w:left w:val="none" w:sz="0" w:space="0" w:color="auto"/>
            <w:bottom w:val="none" w:sz="0" w:space="0" w:color="auto"/>
            <w:right w:val="none" w:sz="0" w:space="0" w:color="auto"/>
          </w:divBdr>
        </w:div>
        <w:div w:id="2131825532">
          <w:marLeft w:val="640"/>
          <w:marRight w:val="0"/>
          <w:marTop w:val="0"/>
          <w:marBottom w:val="0"/>
          <w:divBdr>
            <w:top w:val="none" w:sz="0" w:space="0" w:color="auto"/>
            <w:left w:val="none" w:sz="0" w:space="0" w:color="auto"/>
            <w:bottom w:val="none" w:sz="0" w:space="0" w:color="auto"/>
            <w:right w:val="none" w:sz="0" w:space="0" w:color="auto"/>
          </w:divBdr>
        </w:div>
        <w:div w:id="242571434">
          <w:marLeft w:val="640"/>
          <w:marRight w:val="0"/>
          <w:marTop w:val="0"/>
          <w:marBottom w:val="0"/>
          <w:divBdr>
            <w:top w:val="none" w:sz="0" w:space="0" w:color="auto"/>
            <w:left w:val="none" w:sz="0" w:space="0" w:color="auto"/>
            <w:bottom w:val="none" w:sz="0" w:space="0" w:color="auto"/>
            <w:right w:val="none" w:sz="0" w:space="0" w:color="auto"/>
          </w:divBdr>
        </w:div>
        <w:div w:id="288820787">
          <w:marLeft w:val="640"/>
          <w:marRight w:val="0"/>
          <w:marTop w:val="0"/>
          <w:marBottom w:val="0"/>
          <w:divBdr>
            <w:top w:val="none" w:sz="0" w:space="0" w:color="auto"/>
            <w:left w:val="none" w:sz="0" w:space="0" w:color="auto"/>
            <w:bottom w:val="none" w:sz="0" w:space="0" w:color="auto"/>
            <w:right w:val="none" w:sz="0" w:space="0" w:color="auto"/>
          </w:divBdr>
        </w:div>
        <w:div w:id="1482498500">
          <w:marLeft w:val="640"/>
          <w:marRight w:val="0"/>
          <w:marTop w:val="0"/>
          <w:marBottom w:val="0"/>
          <w:divBdr>
            <w:top w:val="none" w:sz="0" w:space="0" w:color="auto"/>
            <w:left w:val="none" w:sz="0" w:space="0" w:color="auto"/>
            <w:bottom w:val="none" w:sz="0" w:space="0" w:color="auto"/>
            <w:right w:val="none" w:sz="0" w:space="0" w:color="auto"/>
          </w:divBdr>
        </w:div>
        <w:div w:id="2056462555">
          <w:marLeft w:val="640"/>
          <w:marRight w:val="0"/>
          <w:marTop w:val="0"/>
          <w:marBottom w:val="0"/>
          <w:divBdr>
            <w:top w:val="none" w:sz="0" w:space="0" w:color="auto"/>
            <w:left w:val="none" w:sz="0" w:space="0" w:color="auto"/>
            <w:bottom w:val="none" w:sz="0" w:space="0" w:color="auto"/>
            <w:right w:val="none" w:sz="0" w:space="0" w:color="auto"/>
          </w:divBdr>
        </w:div>
        <w:div w:id="62992704">
          <w:marLeft w:val="640"/>
          <w:marRight w:val="0"/>
          <w:marTop w:val="0"/>
          <w:marBottom w:val="0"/>
          <w:divBdr>
            <w:top w:val="none" w:sz="0" w:space="0" w:color="auto"/>
            <w:left w:val="none" w:sz="0" w:space="0" w:color="auto"/>
            <w:bottom w:val="none" w:sz="0" w:space="0" w:color="auto"/>
            <w:right w:val="none" w:sz="0" w:space="0" w:color="auto"/>
          </w:divBdr>
        </w:div>
        <w:div w:id="1868986842">
          <w:marLeft w:val="640"/>
          <w:marRight w:val="0"/>
          <w:marTop w:val="0"/>
          <w:marBottom w:val="0"/>
          <w:divBdr>
            <w:top w:val="none" w:sz="0" w:space="0" w:color="auto"/>
            <w:left w:val="none" w:sz="0" w:space="0" w:color="auto"/>
            <w:bottom w:val="none" w:sz="0" w:space="0" w:color="auto"/>
            <w:right w:val="none" w:sz="0" w:space="0" w:color="auto"/>
          </w:divBdr>
        </w:div>
        <w:div w:id="1564638411">
          <w:marLeft w:val="640"/>
          <w:marRight w:val="0"/>
          <w:marTop w:val="0"/>
          <w:marBottom w:val="0"/>
          <w:divBdr>
            <w:top w:val="none" w:sz="0" w:space="0" w:color="auto"/>
            <w:left w:val="none" w:sz="0" w:space="0" w:color="auto"/>
            <w:bottom w:val="none" w:sz="0" w:space="0" w:color="auto"/>
            <w:right w:val="none" w:sz="0" w:space="0" w:color="auto"/>
          </w:divBdr>
        </w:div>
        <w:div w:id="635765746">
          <w:marLeft w:val="640"/>
          <w:marRight w:val="0"/>
          <w:marTop w:val="0"/>
          <w:marBottom w:val="0"/>
          <w:divBdr>
            <w:top w:val="none" w:sz="0" w:space="0" w:color="auto"/>
            <w:left w:val="none" w:sz="0" w:space="0" w:color="auto"/>
            <w:bottom w:val="none" w:sz="0" w:space="0" w:color="auto"/>
            <w:right w:val="none" w:sz="0" w:space="0" w:color="auto"/>
          </w:divBdr>
        </w:div>
        <w:div w:id="1403797977">
          <w:marLeft w:val="640"/>
          <w:marRight w:val="0"/>
          <w:marTop w:val="0"/>
          <w:marBottom w:val="0"/>
          <w:divBdr>
            <w:top w:val="none" w:sz="0" w:space="0" w:color="auto"/>
            <w:left w:val="none" w:sz="0" w:space="0" w:color="auto"/>
            <w:bottom w:val="none" w:sz="0" w:space="0" w:color="auto"/>
            <w:right w:val="none" w:sz="0" w:space="0" w:color="auto"/>
          </w:divBdr>
        </w:div>
        <w:div w:id="810514876">
          <w:marLeft w:val="640"/>
          <w:marRight w:val="0"/>
          <w:marTop w:val="0"/>
          <w:marBottom w:val="0"/>
          <w:divBdr>
            <w:top w:val="none" w:sz="0" w:space="0" w:color="auto"/>
            <w:left w:val="none" w:sz="0" w:space="0" w:color="auto"/>
            <w:bottom w:val="none" w:sz="0" w:space="0" w:color="auto"/>
            <w:right w:val="none" w:sz="0" w:space="0" w:color="auto"/>
          </w:divBdr>
        </w:div>
        <w:div w:id="1261914919">
          <w:marLeft w:val="640"/>
          <w:marRight w:val="0"/>
          <w:marTop w:val="0"/>
          <w:marBottom w:val="0"/>
          <w:divBdr>
            <w:top w:val="none" w:sz="0" w:space="0" w:color="auto"/>
            <w:left w:val="none" w:sz="0" w:space="0" w:color="auto"/>
            <w:bottom w:val="none" w:sz="0" w:space="0" w:color="auto"/>
            <w:right w:val="none" w:sz="0" w:space="0" w:color="auto"/>
          </w:divBdr>
        </w:div>
        <w:div w:id="714037424">
          <w:marLeft w:val="640"/>
          <w:marRight w:val="0"/>
          <w:marTop w:val="0"/>
          <w:marBottom w:val="0"/>
          <w:divBdr>
            <w:top w:val="none" w:sz="0" w:space="0" w:color="auto"/>
            <w:left w:val="none" w:sz="0" w:space="0" w:color="auto"/>
            <w:bottom w:val="none" w:sz="0" w:space="0" w:color="auto"/>
            <w:right w:val="none" w:sz="0" w:space="0" w:color="auto"/>
          </w:divBdr>
        </w:div>
        <w:div w:id="1799685081">
          <w:marLeft w:val="640"/>
          <w:marRight w:val="0"/>
          <w:marTop w:val="0"/>
          <w:marBottom w:val="0"/>
          <w:divBdr>
            <w:top w:val="none" w:sz="0" w:space="0" w:color="auto"/>
            <w:left w:val="none" w:sz="0" w:space="0" w:color="auto"/>
            <w:bottom w:val="none" w:sz="0" w:space="0" w:color="auto"/>
            <w:right w:val="none" w:sz="0" w:space="0" w:color="auto"/>
          </w:divBdr>
        </w:div>
        <w:div w:id="774205406">
          <w:marLeft w:val="640"/>
          <w:marRight w:val="0"/>
          <w:marTop w:val="0"/>
          <w:marBottom w:val="0"/>
          <w:divBdr>
            <w:top w:val="none" w:sz="0" w:space="0" w:color="auto"/>
            <w:left w:val="none" w:sz="0" w:space="0" w:color="auto"/>
            <w:bottom w:val="none" w:sz="0" w:space="0" w:color="auto"/>
            <w:right w:val="none" w:sz="0" w:space="0" w:color="auto"/>
          </w:divBdr>
        </w:div>
        <w:div w:id="1038898049">
          <w:marLeft w:val="640"/>
          <w:marRight w:val="0"/>
          <w:marTop w:val="0"/>
          <w:marBottom w:val="0"/>
          <w:divBdr>
            <w:top w:val="none" w:sz="0" w:space="0" w:color="auto"/>
            <w:left w:val="none" w:sz="0" w:space="0" w:color="auto"/>
            <w:bottom w:val="none" w:sz="0" w:space="0" w:color="auto"/>
            <w:right w:val="none" w:sz="0" w:space="0" w:color="auto"/>
          </w:divBdr>
        </w:div>
        <w:div w:id="282611699">
          <w:marLeft w:val="640"/>
          <w:marRight w:val="0"/>
          <w:marTop w:val="0"/>
          <w:marBottom w:val="0"/>
          <w:divBdr>
            <w:top w:val="none" w:sz="0" w:space="0" w:color="auto"/>
            <w:left w:val="none" w:sz="0" w:space="0" w:color="auto"/>
            <w:bottom w:val="none" w:sz="0" w:space="0" w:color="auto"/>
            <w:right w:val="none" w:sz="0" w:space="0" w:color="auto"/>
          </w:divBdr>
        </w:div>
        <w:div w:id="877594579">
          <w:marLeft w:val="640"/>
          <w:marRight w:val="0"/>
          <w:marTop w:val="0"/>
          <w:marBottom w:val="0"/>
          <w:divBdr>
            <w:top w:val="none" w:sz="0" w:space="0" w:color="auto"/>
            <w:left w:val="none" w:sz="0" w:space="0" w:color="auto"/>
            <w:bottom w:val="none" w:sz="0" w:space="0" w:color="auto"/>
            <w:right w:val="none" w:sz="0" w:space="0" w:color="auto"/>
          </w:divBdr>
        </w:div>
        <w:div w:id="852843491">
          <w:marLeft w:val="640"/>
          <w:marRight w:val="0"/>
          <w:marTop w:val="0"/>
          <w:marBottom w:val="0"/>
          <w:divBdr>
            <w:top w:val="none" w:sz="0" w:space="0" w:color="auto"/>
            <w:left w:val="none" w:sz="0" w:space="0" w:color="auto"/>
            <w:bottom w:val="none" w:sz="0" w:space="0" w:color="auto"/>
            <w:right w:val="none" w:sz="0" w:space="0" w:color="auto"/>
          </w:divBdr>
        </w:div>
        <w:div w:id="755443266">
          <w:marLeft w:val="640"/>
          <w:marRight w:val="0"/>
          <w:marTop w:val="0"/>
          <w:marBottom w:val="0"/>
          <w:divBdr>
            <w:top w:val="none" w:sz="0" w:space="0" w:color="auto"/>
            <w:left w:val="none" w:sz="0" w:space="0" w:color="auto"/>
            <w:bottom w:val="none" w:sz="0" w:space="0" w:color="auto"/>
            <w:right w:val="none" w:sz="0" w:space="0" w:color="auto"/>
          </w:divBdr>
        </w:div>
        <w:div w:id="1387218776">
          <w:marLeft w:val="640"/>
          <w:marRight w:val="0"/>
          <w:marTop w:val="0"/>
          <w:marBottom w:val="0"/>
          <w:divBdr>
            <w:top w:val="none" w:sz="0" w:space="0" w:color="auto"/>
            <w:left w:val="none" w:sz="0" w:space="0" w:color="auto"/>
            <w:bottom w:val="none" w:sz="0" w:space="0" w:color="auto"/>
            <w:right w:val="none" w:sz="0" w:space="0" w:color="auto"/>
          </w:divBdr>
        </w:div>
        <w:div w:id="314529546">
          <w:marLeft w:val="640"/>
          <w:marRight w:val="0"/>
          <w:marTop w:val="0"/>
          <w:marBottom w:val="0"/>
          <w:divBdr>
            <w:top w:val="none" w:sz="0" w:space="0" w:color="auto"/>
            <w:left w:val="none" w:sz="0" w:space="0" w:color="auto"/>
            <w:bottom w:val="none" w:sz="0" w:space="0" w:color="auto"/>
            <w:right w:val="none" w:sz="0" w:space="0" w:color="auto"/>
          </w:divBdr>
        </w:div>
        <w:div w:id="1084034919">
          <w:marLeft w:val="640"/>
          <w:marRight w:val="0"/>
          <w:marTop w:val="0"/>
          <w:marBottom w:val="0"/>
          <w:divBdr>
            <w:top w:val="none" w:sz="0" w:space="0" w:color="auto"/>
            <w:left w:val="none" w:sz="0" w:space="0" w:color="auto"/>
            <w:bottom w:val="none" w:sz="0" w:space="0" w:color="auto"/>
            <w:right w:val="none" w:sz="0" w:space="0" w:color="auto"/>
          </w:divBdr>
        </w:div>
        <w:div w:id="30999147">
          <w:marLeft w:val="640"/>
          <w:marRight w:val="0"/>
          <w:marTop w:val="0"/>
          <w:marBottom w:val="0"/>
          <w:divBdr>
            <w:top w:val="none" w:sz="0" w:space="0" w:color="auto"/>
            <w:left w:val="none" w:sz="0" w:space="0" w:color="auto"/>
            <w:bottom w:val="none" w:sz="0" w:space="0" w:color="auto"/>
            <w:right w:val="none" w:sz="0" w:space="0" w:color="auto"/>
          </w:divBdr>
        </w:div>
        <w:div w:id="1027487919">
          <w:marLeft w:val="640"/>
          <w:marRight w:val="0"/>
          <w:marTop w:val="0"/>
          <w:marBottom w:val="0"/>
          <w:divBdr>
            <w:top w:val="none" w:sz="0" w:space="0" w:color="auto"/>
            <w:left w:val="none" w:sz="0" w:space="0" w:color="auto"/>
            <w:bottom w:val="none" w:sz="0" w:space="0" w:color="auto"/>
            <w:right w:val="none" w:sz="0" w:space="0" w:color="auto"/>
          </w:divBdr>
        </w:div>
        <w:div w:id="658577802">
          <w:marLeft w:val="640"/>
          <w:marRight w:val="0"/>
          <w:marTop w:val="0"/>
          <w:marBottom w:val="0"/>
          <w:divBdr>
            <w:top w:val="none" w:sz="0" w:space="0" w:color="auto"/>
            <w:left w:val="none" w:sz="0" w:space="0" w:color="auto"/>
            <w:bottom w:val="none" w:sz="0" w:space="0" w:color="auto"/>
            <w:right w:val="none" w:sz="0" w:space="0" w:color="auto"/>
          </w:divBdr>
        </w:div>
        <w:div w:id="1497914404">
          <w:marLeft w:val="640"/>
          <w:marRight w:val="0"/>
          <w:marTop w:val="0"/>
          <w:marBottom w:val="0"/>
          <w:divBdr>
            <w:top w:val="none" w:sz="0" w:space="0" w:color="auto"/>
            <w:left w:val="none" w:sz="0" w:space="0" w:color="auto"/>
            <w:bottom w:val="none" w:sz="0" w:space="0" w:color="auto"/>
            <w:right w:val="none" w:sz="0" w:space="0" w:color="auto"/>
          </w:divBdr>
        </w:div>
        <w:div w:id="1788503094">
          <w:marLeft w:val="640"/>
          <w:marRight w:val="0"/>
          <w:marTop w:val="0"/>
          <w:marBottom w:val="0"/>
          <w:divBdr>
            <w:top w:val="none" w:sz="0" w:space="0" w:color="auto"/>
            <w:left w:val="none" w:sz="0" w:space="0" w:color="auto"/>
            <w:bottom w:val="none" w:sz="0" w:space="0" w:color="auto"/>
            <w:right w:val="none" w:sz="0" w:space="0" w:color="auto"/>
          </w:divBdr>
        </w:div>
        <w:div w:id="544802144">
          <w:marLeft w:val="640"/>
          <w:marRight w:val="0"/>
          <w:marTop w:val="0"/>
          <w:marBottom w:val="0"/>
          <w:divBdr>
            <w:top w:val="none" w:sz="0" w:space="0" w:color="auto"/>
            <w:left w:val="none" w:sz="0" w:space="0" w:color="auto"/>
            <w:bottom w:val="none" w:sz="0" w:space="0" w:color="auto"/>
            <w:right w:val="none" w:sz="0" w:space="0" w:color="auto"/>
          </w:divBdr>
        </w:div>
        <w:div w:id="758908836">
          <w:marLeft w:val="640"/>
          <w:marRight w:val="0"/>
          <w:marTop w:val="0"/>
          <w:marBottom w:val="0"/>
          <w:divBdr>
            <w:top w:val="none" w:sz="0" w:space="0" w:color="auto"/>
            <w:left w:val="none" w:sz="0" w:space="0" w:color="auto"/>
            <w:bottom w:val="none" w:sz="0" w:space="0" w:color="auto"/>
            <w:right w:val="none" w:sz="0" w:space="0" w:color="auto"/>
          </w:divBdr>
        </w:div>
        <w:div w:id="543373600">
          <w:marLeft w:val="640"/>
          <w:marRight w:val="0"/>
          <w:marTop w:val="0"/>
          <w:marBottom w:val="0"/>
          <w:divBdr>
            <w:top w:val="none" w:sz="0" w:space="0" w:color="auto"/>
            <w:left w:val="none" w:sz="0" w:space="0" w:color="auto"/>
            <w:bottom w:val="none" w:sz="0" w:space="0" w:color="auto"/>
            <w:right w:val="none" w:sz="0" w:space="0" w:color="auto"/>
          </w:divBdr>
        </w:div>
        <w:div w:id="425732313">
          <w:marLeft w:val="640"/>
          <w:marRight w:val="0"/>
          <w:marTop w:val="0"/>
          <w:marBottom w:val="0"/>
          <w:divBdr>
            <w:top w:val="none" w:sz="0" w:space="0" w:color="auto"/>
            <w:left w:val="none" w:sz="0" w:space="0" w:color="auto"/>
            <w:bottom w:val="none" w:sz="0" w:space="0" w:color="auto"/>
            <w:right w:val="none" w:sz="0" w:space="0" w:color="auto"/>
          </w:divBdr>
        </w:div>
        <w:div w:id="500393319">
          <w:marLeft w:val="640"/>
          <w:marRight w:val="0"/>
          <w:marTop w:val="0"/>
          <w:marBottom w:val="0"/>
          <w:divBdr>
            <w:top w:val="none" w:sz="0" w:space="0" w:color="auto"/>
            <w:left w:val="none" w:sz="0" w:space="0" w:color="auto"/>
            <w:bottom w:val="none" w:sz="0" w:space="0" w:color="auto"/>
            <w:right w:val="none" w:sz="0" w:space="0" w:color="auto"/>
          </w:divBdr>
        </w:div>
        <w:div w:id="1473672611">
          <w:marLeft w:val="640"/>
          <w:marRight w:val="0"/>
          <w:marTop w:val="0"/>
          <w:marBottom w:val="0"/>
          <w:divBdr>
            <w:top w:val="none" w:sz="0" w:space="0" w:color="auto"/>
            <w:left w:val="none" w:sz="0" w:space="0" w:color="auto"/>
            <w:bottom w:val="none" w:sz="0" w:space="0" w:color="auto"/>
            <w:right w:val="none" w:sz="0" w:space="0" w:color="auto"/>
          </w:divBdr>
        </w:div>
        <w:div w:id="395082999">
          <w:marLeft w:val="640"/>
          <w:marRight w:val="0"/>
          <w:marTop w:val="0"/>
          <w:marBottom w:val="0"/>
          <w:divBdr>
            <w:top w:val="none" w:sz="0" w:space="0" w:color="auto"/>
            <w:left w:val="none" w:sz="0" w:space="0" w:color="auto"/>
            <w:bottom w:val="none" w:sz="0" w:space="0" w:color="auto"/>
            <w:right w:val="none" w:sz="0" w:space="0" w:color="auto"/>
          </w:divBdr>
        </w:div>
        <w:div w:id="1092169284">
          <w:marLeft w:val="640"/>
          <w:marRight w:val="0"/>
          <w:marTop w:val="0"/>
          <w:marBottom w:val="0"/>
          <w:divBdr>
            <w:top w:val="none" w:sz="0" w:space="0" w:color="auto"/>
            <w:left w:val="none" w:sz="0" w:space="0" w:color="auto"/>
            <w:bottom w:val="none" w:sz="0" w:space="0" w:color="auto"/>
            <w:right w:val="none" w:sz="0" w:space="0" w:color="auto"/>
          </w:divBdr>
        </w:div>
        <w:div w:id="1788306078">
          <w:marLeft w:val="640"/>
          <w:marRight w:val="0"/>
          <w:marTop w:val="0"/>
          <w:marBottom w:val="0"/>
          <w:divBdr>
            <w:top w:val="none" w:sz="0" w:space="0" w:color="auto"/>
            <w:left w:val="none" w:sz="0" w:space="0" w:color="auto"/>
            <w:bottom w:val="none" w:sz="0" w:space="0" w:color="auto"/>
            <w:right w:val="none" w:sz="0" w:space="0" w:color="auto"/>
          </w:divBdr>
        </w:div>
        <w:div w:id="2126844944">
          <w:marLeft w:val="640"/>
          <w:marRight w:val="0"/>
          <w:marTop w:val="0"/>
          <w:marBottom w:val="0"/>
          <w:divBdr>
            <w:top w:val="none" w:sz="0" w:space="0" w:color="auto"/>
            <w:left w:val="none" w:sz="0" w:space="0" w:color="auto"/>
            <w:bottom w:val="none" w:sz="0" w:space="0" w:color="auto"/>
            <w:right w:val="none" w:sz="0" w:space="0" w:color="auto"/>
          </w:divBdr>
        </w:div>
        <w:div w:id="818884198">
          <w:marLeft w:val="640"/>
          <w:marRight w:val="0"/>
          <w:marTop w:val="0"/>
          <w:marBottom w:val="0"/>
          <w:divBdr>
            <w:top w:val="none" w:sz="0" w:space="0" w:color="auto"/>
            <w:left w:val="none" w:sz="0" w:space="0" w:color="auto"/>
            <w:bottom w:val="none" w:sz="0" w:space="0" w:color="auto"/>
            <w:right w:val="none" w:sz="0" w:space="0" w:color="auto"/>
          </w:divBdr>
        </w:div>
        <w:div w:id="126750178">
          <w:marLeft w:val="640"/>
          <w:marRight w:val="0"/>
          <w:marTop w:val="0"/>
          <w:marBottom w:val="0"/>
          <w:divBdr>
            <w:top w:val="none" w:sz="0" w:space="0" w:color="auto"/>
            <w:left w:val="none" w:sz="0" w:space="0" w:color="auto"/>
            <w:bottom w:val="none" w:sz="0" w:space="0" w:color="auto"/>
            <w:right w:val="none" w:sz="0" w:space="0" w:color="auto"/>
          </w:divBdr>
        </w:div>
        <w:div w:id="625082960">
          <w:marLeft w:val="640"/>
          <w:marRight w:val="0"/>
          <w:marTop w:val="0"/>
          <w:marBottom w:val="0"/>
          <w:divBdr>
            <w:top w:val="none" w:sz="0" w:space="0" w:color="auto"/>
            <w:left w:val="none" w:sz="0" w:space="0" w:color="auto"/>
            <w:bottom w:val="none" w:sz="0" w:space="0" w:color="auto"/>
            <w:right w:val="none" w:sz="0" w:space="0" w:color="auto"/>
          </w:divBdr>
        </w:div>
        <w:div w:id="1249383273">
          <w:marLeft w:val="640"/>
          <w:marRight w:val="0"/>
          <w:marTop w:val="0"/>
          <w:marBottom w:val="0"/>
          <w:divBdr>
            <w:top w:val="none" w:sz="0" w:space="0" w:color="auto"/>
            <w:left w:val="none" w:sz="0" w:space="0" w:color="auto"/>
            <w:bottom w:val="none" w:sz="0" w:space="0" w:color="auto"/>
            <w:right w:val="none" w:sz="0" w:space="0" w:color="auto"/>
          </w:divBdr>
        </w:div>
        <w:div w:id="677585119">
          <w:marLeft w:val="640"/>
          <w:marRight w:val="0"/>
          <w:marTop w:val="0"/>
          <w:marBottom w:val="0"/>
          <w:divBdr>
            <w:top w:val="none" w:sz="0" w:space="0" w:color="auto"/>
            <w:left w:val="none" w:sz="0" w:space="0" w:color="auto"/>
            <w:bottom w:val="none" w:sz="0" w:space="0" w:color="auto"/>
            <w:right w:val="none" w:sz="0" w:space="0" w:color="auto"/>
          </w:divBdr>
        </w:div>
        <w:div w:id="430470078">
          <w:marLeft w:val="640"/>
          <w:marRight w:val="0"/>
          <w:marTop w:val="0"/>
          <w:marBottom w:val="0"/>
          <w:divBdr>
            <w:top w:val="none" w:sz="0" w:space="0" w:color="auto"/>
            <w:left w:val="none" w:sz="0" w:space="0" w:color="auto"/>
            <w:bottom w:val="none" w:sz="0" w:space="0" w:color="auto"/>
            <w:right w:val="none" w:sz="0" w:space="0" w:color="auto"/>
          </w:divBdr>
        </w:div>
        <w:div w:id="1997372610">
          <w:marLeft w:val="640"/>
          <w:marRight w:val="0"/>
          <w:marTop w:val="0"/>
          <w:marBottom w:val="0"/>
          <w:divBdr>
            <w:top w:val="none" w:sz="0" w:space="0" w:color="auto"/>
            <w:left w:val="none" w:sz="0" w:space="0" w:color="auto"/>
            <w:bottom w:val="none" w:sz="0" w:space="0" w:color="auto"/>
            <w:right w:val="none" w:sz="0" w:space="0" w:color="auto"/>
          </w:divBdr>
        </w:div>
        <w:div w:id="1493528366">
          <w:marLeft w:val="640"/>
          <w:marRight w:val="0"/>
          <w:marTop w:val="0"/>
          <w:marBottom w:val="0"/>
          <w:divBdr>
            <w:top w:val="none" w:sz="0" w:space="0" w:color="auto"/>
            <w:left w:val="none" w:sz="0" w:space="0" w:color="auto"/>
            <w:bottom w:val="none" w:sz="0" w:space="0" w:color="auto"/>
            <w:right w:val="none" w:sz="0" w:space="0" w:color="auto"/>
          </w:divBdr>
        </w:div>
        <w:div w:id="1575356636">
          <w:marLeft w:val="640"/>
          <w:marRight w:val="0"/>
          <w:marTop w:val="0"/>
          <w:marBottom w:val="0"/>
          <w:divBdr>
            <w:top w:val="none" w:sz="0" w:space="0" w:color="auto"/>
            <w:left w:val="none" w:sz="0" w:space="0" w:color="auto"/>
            <w:bottom w:val="none" w:sz="0" w:space="0" w:color="auto"/>
            <w:right w:val="none" w:sz="0" w:space="0" w:color="auto"/>
          </w:divBdr>
        </w:div>
        <w:div w:id="1670406220">
          <w:marLeft w:val="640"/>
          <w:marRight w:val="0"/>
          <w:marTop w:val="0"/>
          <w:marBottom w:val="0"/>
          <w:divBdr>
            <w:top w:val="none" w:sz="0" w:space="0" w:color="auto"/>
            <w:left w:val="none" w:sz="0" w:space="0" w:color="auto"/>
            <w:bottom w:val="none" w:sz="0" w:space="0" w:color="auto"/>
            <w:right w:val="none" w:sz="0" w:space="0" w:color="auto"/>
          </w:divBdr>
        </w:div>
        <w:div w:id="1601797372">
          <w:marLeft w:val="640"/>
          <w:marRight w:val="0"/>
          <w:marTop w:val="0"/>
          <w:marBottom w:val="0"/>
          <w:divBdr>
            <w:top w:val="none" w:sz="0" w:space="0" w:color="auto"/>
            <w:left w:val="none" w:sz="0" w:space="0" w:color="auto"/>
            <w:bottom w:val="none" w:sz="0" w:space="0" w:color="auto"/>
            <w:right w:val="none" w:sz="0" w:space="0" w:color="auto"/>
          </w:divBdr>
        </w:div>
        <w:div w:id="115489889">
          <w:marLeft w:val="640"/>
          <w:marRight w:val="0"/>
          <w:marTop w:val="0"/>
          <w:marBottom w:val="0"/>
          <w:divBdr>
            <w:top w:val="none" w:sz="0" w:space="0" w:color="auto"/>
            <w:left w:val="none" w:sz="0" w:space="0" w:color="auto"/>
            <w:bottom w:val="none" w:sz="0" w:space="0" w:color="auto"/>
            <w:right w:val="none" w:sz="0" w:space="0" w:color="auto"/>
          </w:divBdr>
        </w:div>
        <w:div w:id="2109961328">
          <w:marLeft w:val="640"/>
          <w:marRight w:val="0"/>
          <w:marTop w:val="0"/>
          <w:marBottom w:val="0"/>
          <w:divBdr>
            <w:top w:val="none" w:sz="0" w:space="0" w:color="auto"/>
            <w:left w:val="none" w:sz="0" w:space="0" w:color="auto"/>
            <w:bottom w:val="none" w:sz="0" w:space="0" w:color="auto"/>
            <w:right w:val="none" w:sz="0" w:space="0" w:color="auto"/>
          </w:divBdr>
        </w:div>
        <w:div w:id="310600308">
          <w:marLeft w:val="640"/>
          <w:marRight w:val="0"/>
          <w:marTop w:val="0"/>
          <w:marBottom w:val="0"/>
          <w:divBdr>
            <w:top w:val="none" w:sz="0" w:space="0" w:color="auto"/>
            <w:left w:val="none" w:sz="0" w:space="0" w:color="auto"/>
            <w:bottom w:val="none" w:sz="0" w:space="0" w:color="auto"/>
            <w:right w:val="none" w:sz="0" w:space="0" w:color="auto"/>
          </w:divBdr>
        </w:div>
        <w:div w:id="271137242">
          <w:marLeft w:val="640"/>
          <w:marRight w:val="0"/>
          <w:marTop w:val="0"/>
          <w:marBottom w:val="0"/>
          <w:divBdr>
            <w:top w:val="none" w:sz="0" w:space="0" w:color="auto"/>
            <w:left w:val="none" w:sz="0" w:space="0" w:color="auto"/>
            <w:bottom w:val="none" w:sz="0" w:space="0" w:color="auto"/>
            <w:right w:val="none" w:sz="0" w:space="0" w:color="auto"/>
          </w:divBdr>
        </w:div>
        <w:div w:id="173807599">
          <w:marLeft w:val="640"/>
          <w:marRight w:val="0"/>
          <w:marTop w:val="0"/>
          <w:marBottom w:val="0"/>
          <w:divBdr>
            <w:top w:val="none" w:sz="0" w:space="0" w:color="auto"/>
            <w:left w:val="none" w:sz="0" w:space="0" w:color="auto"/>
            <w:bottom w:val="none" w:sz="0" w:space="0" w:color="auto"/>
            <w:right w:val="none" w:sz="0" w:space="0" w:color="auto"/>
          </w:divBdr>
        </w:div>
        <w:div w:id="916477312">
          <w:marLeft w:val="640"/>
          <w:marRight w:val="0"/>
          <w:marTop w:val="0"/>
          <w:marBottom w:val="0"/>
          <w:divBdr>
            <w:top w:val="none" w:sz="0" w:space="0" w:color="auto"/>
            <w:left w:val="none" w:sz="0" w:space="0" w:color="auto"/>
            <w:bottom w:val="none" w:sz="0" w:space="0" w:color="auto"/>
            <w:right w:val="none" w:sz="0" w:space="0" w:color="auto"/>
          </w:divBdr>
        </w:div>
        <w:div w:id="1089735109">
          <w:marLeft w:val="640"/>
          <w:marRight w:val="0"/>
          <w:marTop w:val="0"/>
          <w:marBottom w:val="0"/>
          <w:divBdr>
            <w:top w:val="none" w:sz="0" w:space="0" w:color="auto"/>
            <w:left w:val="none" w:sz="0" w:space="0" w:color="auto"/>
            <w:bottom w:val="none" w:sz="0" w:space="0" w:color="auto"/>
            <w:right w:val="none" w:sz="0" w:space="0" w:color="auto"/>
          </w:divBdr>
        </w:div>
        <w:div w:id="1577085185">
          <w:marLeft w:val="640"/>
          <w:marRight w:val="0"/>
          <w:marTop w:val="0"/>
          <w:marBottom w:val="0"/>
          <w:divBdr>
            <w:top w:val="none" w:sz="0" w:space="0" w:color="auto"/>
            <w:left w:val="none" w:sz="0" w:space="0" w:color="auto"/>
            <w:bottom w:val="none" w:sz="0" w:space="0" w:color="auto"/>
            <w:right w:val="none" w:sz="0" w:space="0" w:color="auto"/>
          </w:divBdr>
        </w:div>
        <w:div w:id="1963460490">
          <w:marLeft w:val="640"/>
          <w:marRight w:val="0"/>
          <w:marTop w:val="0"/>
          <w:marBottom w:val="0"/>
          <w:divBdr>
            <w:top w:val="none" w:sz="0" w:space="0" w:color="auto"/>
            <w:left w:val="none" w:sz="0" w:space="0" w:color="auto"/>
            <w:bottom w:val="none" w:sz="0" w:space="0" w:color="auto"/>
            <w:right w:val="none" w:sz="0" w:space="0" w:color="auto"/>
          </w:divBdr>
        </w:div>
        <w:div w:id="1423722618">
          <w:marLeft w:val="640"/>
          <w:marRight w:val="0"/>
          <w:marTop w:val="0"/>
          <w:marBottom w:val="0"/>
          <w:divBdr>
            <w:top w:val="none" w:sz="0" w:space="0" w:color="auto"/>
            <w:left w:val="none" w:sz="0" w:space="0" w:color="auto"/>
            <w:bottom w:val="none" w:sz="0" w:space="0" w:color="auto"/>
            <w:right w:val="none" w:sz="0" w:space="0" w:color="auto"/>
          </w:divBdr>
        </w:div>
        <w:div w:id="215512931">
          <w:marLeft w:val="640"/>
          <w:marRight w:val="0"/>
          <w:marTop w:val="0"/>
          <w:marBottom w:val="0"/>
          <w:divBdr>
            <w:top w:val="none" w:sz="0" w:space="0" w:color="auto"/>
            <w:left w:val="none" w:sz="0" w:space="0" w:color="auto"/>
            <w:bottom w:val="none" w:sz="0" w:space="0" w:color="auto"/>
            <w:right w:val="none" w:sz="0" w:space="0" w:color="auto"/>
          </w:divBdr>
        </w:div>
        <w:div w:id="988677392">
          <w:marLeft w:val="640"/>
          <w:marRight w:val="0"/>
          <w:marTop w:val="0"/>
          <w:marBottom w:val="0"/>
          <w:divBdr>
            <w:top w:val="none" w:sz="0" w:space="0" w:color="auto"/>
            <w:left w:val="none" w:sz="0" w:space="0" w:color="auto"/>
            <w:bottom w:val="none" w:sz="0" w:space="0" w:color="auto"/>
            <w:right w:val="none" w:sz="0" w:space="0" w:color="auto"/>
          </w:divBdr>
        </w:div>
        <w:div w:id="1028292517">
          <w:marLeft w:val="640"/>
          <w:marRight w:val="0"/>
          <w:marTop w:val="0"/>
          <w:marBottom w:val="0"/>
          <w:divBdr>
            <w:top w:val="none" w:sz="0" w:space="0" w:color="auto"/>
            <w:left w:val="none" w:sz="0" w:space="0" w:color="auto"/>
            <w:bottom w:val="none" w:sz="0" w:space="0" w:color="auto"/>
            <w:right w:val="none" w:sz="0" w:space="0" w:color="auto"/>
          </w:divBdr>
        </w:div>
        <w:div w:id="286203339">
          <w:marLeft w:val="640"/>
          <w:marRight w:val="0"/>
          <w:marTop w:val="0"/>
          <w:marBottom w:val="0"/>
          <w:divBdr>
            <w:top w:val="none" w:sz="0" w:space="0" w:color="auto"/>
            <w:left w:val="none" w:sz="0" w:space="0" w:color="auto"/>
            <w:bottom w:val="none" w:sz="0" w:space="0" w:color="auto"/>
            <w:right w:val="none" w:sz="0" w:space="0" w:color="auto"/>
          </w:divBdr>
        </w:div>
        <w:div w:id="2105805939">
          <w:marLeft w:val="640"/>
          <w:marRight w:val="0"/>
          <w:marTop w:val="0"/>
          <w:marBottom w:val="0"/>
          <w:divBdr>
            <w:top w:val="none" w:sz="0" w:space="0" w:color="auto"/>
            <w:left w:val="none" w:sz="0" w:space="0" w:color="auto"/>
            <w:bottom w:val="none" w:sz="0" w:space="0" w:color="auto"/>
            <w:right w:val="none" w:sz="0" w:space="0" w:color="auto"/>
          </w:divBdr>
        </w:div>
        <w:div w:id="528756743">
          <w:marLeft w:val="640"/>
          <w:marRight w:val="0"/>
          <w:marTop w:val="0"/>
          <w:marBottom w:val="0"/>
          <w:divBdr>
            <w:top w:val="none" w:sz="0" w:space="0" w:color="auto"/>
            <w:left w:val="none" w:sz="0" w:space="0" w:color="auto"/>
            <w:bottom w:val="none" w:sz="0" w:space="0" w:color="auto"/>
            <w:right w:val="none" w:sz="0" w:space="0" w:color="auto"/>
          </w:divBdr>
        </w:div>
        <w:div w:id="545604490">
          <w:marLeft w:val="640"/>
          <w:marRight w:val="0"/>
          <w:marTop w:val="0"/>
          <w:marBottom w:val="0"/>
          <w:divBdr>
            <w:top w:val="none" w:sz="0" w:space="0" w:color="auto"/>
            <w:left w:val="none" w:sz="0" w:space="0" w:color="auto"/>
            <w:bottom w:val="none" w:sz="0" w:space="0" w:color="auto"/>
            <w:right w:val="none" w:sz="0" w:space="0" w:color="auto"/>
          </w:divBdr>
        </w:div>
        <w:div w:id="563177005">
          <w:marLeft w:val="640"/>
          <w:marRight w:val="0"/>
          <w:marTop w:val="0"/>
          <w:marBottom w:val="0"/>
          <w:divBdr>
            <w:top w:val="none" w:sz="0" w:space="0" w:color="auto"/>
            <w:left w:val="none" w:sz="0" w:space="0" w:color="auto"/>
            <w:bottom w:val="none" w:sz="0" w:space="0" w:color="auto"/>
            <w:right w:val="none" w:sz="0" w:space="0" w:color="auto"/>
          </w:divBdr>
        </w:div>
        <w:div w:id="1725333290">
          <w:marLeft w:val="640"/>
          <w:marRight w:val="0"/>
          <w:marTop w:val="0"/>
          <w:marBottom w:val="0"/>
          <w:divBdr>
            <w:top w:val="none" w:sz="0" w:space="0" w:color="auto"/>
            <w:left w:val="none" w:sz="0" w:space="0" w:color="auto"/>
            <w:bottom w:val="none" w:sz="0" w:space="0" w:color="auto"/>
            <w:right w:val="none" w:sz="0" w:space="0" w:color="auto"/>
          </w:divBdr>
        </w:div>
        <w:div w:id="207693514">
          <w:marLeft w:val="640"/>
          <w:marRight w:val="0"/>
          <w:marTop w:val="0"/>
          <w:marBottom w:val="0"/>
          <w:divBdr>
            <w:top w:val="none" w:sz="0" w:space="0" w:color="auto"/>
            <w:left w:val="none" w:sz="0" w:space="0" w:color="auto"/>
            <w:bottom w:val="none" w:sz="0" w:space="0" w:color="auto"/>
            <w:right w:val="none" w:sz="0" w:space="0" w:color="auto"/>
          </w:divBdr>
        </w:div>
        <w:div w:id="778179102">
          <w:marLeft w:val="640"/>
          <w:marRight w:val="0"/>
          <w:marTop w:val="0"/>
          <w:marBottom w:val="0"/>
          <w:divBdr>
            <w:top w:val="none" w:sz="0" w:space="0" w:color="auto"/>
            <w:left w:val="none" w:sz="0" w:space="0" w:color="auto"/>
            <w:bottom w:val="none" w:sz="0" w:space="0" w:color="auto"/>
            <w:right w:val="none" w:sz="0" w:space="0" w:color="auto"/>
          </w:divBdr>
        </w:div>
        <w:div w:id="693263092">
          <w:marLeft w:val="640"/>
          <w:marRight w:val="0"/>
          <w:marTop w:val="0"/>
          <w:marBottom w:val="0"/>
          <w:divBdr>
            <w:top w:val="none" w:sz="0" w:space="0" w:color="auto"/>
            <w:left w:val="none" w:sz="0" w:space="0" w:color="auto"/>
            <w:bottom w:val="none" w:sz="0" w:space="0" w:color="auto"/>
            <w:right w:val="none" w:sz="0" w:space="0" w:color="auto"/>
          </w:divBdr>
        </w:div>
        <w:div w:id="1716198305">
          <w:marLeft w:val="640"/>
          <w:marRight w:val="0"/>
          <w:marTop w:val="0"/>
          <w:marBottom w:val="0"/>
          <w:divBdr>
            <w:top w:val="none" w:sz="0" w:space="0" w:color="auto"/>
            <w:left w:val="none" w:sz="0" w:space="0" w:color="auto"/>
            <w:bottom w:val="none" w:sz="0" w:space="0" w:color="auto"/>
            <w:right w:val="none" w:sz="0" w:space="0" w:color="auto"/>
          </w:divBdr>
        </w:div>
        <w:div w:id="142545537">
          <w:marLeft w:val="640"/>
          <w:marRight w:val="0"/>
          <w:marTop w:val="0"/>
          <w:marBottom w:val="0"/>
          <w:divBdr>
            <w:top w:val="none" w:sz="0" w:space="0" w:color="auto"/>
            <w:left w:val="none" w:sz="0" w:space="0" w:color="auto"/>
            <w:bottom w:val="none" w:sz="0" w:space="0" w:color="auto"/>
            <w:right w:val="none" w:sz="0" w:space="0" w:color="auto"/>
          </w:divBdr>
        </w:div>
        <w:div w:id="2112360700">
          <w:marLeft w:val="640"/>
          <w:marRight w:val="0"/>
          <w:marTop w:val="0"/>
          <w:marBottom w:val="0"/>
          <w:divBdr>
            <w:top w:val="none" w:sz="0" w:space="0" w:color="auto"/>
            <w:left w:val="none" w:sz="0" w:space="0" w:color="auto"/>
            <w:bottom w:val="none" w:sz="0" w:space="0" w:color="auto"/>
            <w:right w:val="none" w:sz="0" w:space="0" w:color="auto"/>
          </w:divBdr>
        </w:div>
        <w:div w:id="300355796">
          <w:marLeft w:val="640"/>
          <w:marRight w:val="0"/>
          <w:marTop w:val="0"/>
          <w:marBottom w:val="0"/>
          <w:divBdr>
            <w:top w:val="none" w:sz="0" w:space="0" w:color="auto"/>
            <w:left w:val="none" w:sz="0" w:space="0" w:color="auto"/>
            <w:bottom w:val="none" w:sz="0" w:space="0" w:color="auto"/>
            <w:right w:val="none" w:sz="0" w:space="0" w:color="auto"/>
          </w:divBdr>
        </w:div>
        <w:div w:id="385682530">
          <w:marLeft w:val="640"/>
          <w:marRight w:val="0"/>
          <w:marTop w:val="0"/>
          <w:marBottom w:val="0"/>
          <w:divBdr>
            <w:top w:val="none" w:sz="0" w:space="0" w:color="auto"/>
            <w:left w:val="none" w:sz="0" w:space="0" w:color="auto"/>
            <w:bottom w:val="none" w:sz="0" w:space="0" w:color="auto"/>
            <w:right w:val="none" w:sz="0" w:space="0" w:color="auto"/>
          </w:divBdr>
        </w:div>
        <w:div w:id="216626845">
          <w:marLeft w:val="640"/>
          <w:marRight w:val="0"/>
          <w:marTop w:val="0"/>
          <w:marBottom w:val="0"/>
          <w:divBdr>
            <w:top w:val="none" w:sz="0" w:space="0" w:color="auto"/>
            <w:left w:val="none" w:sz="0" w:space="0" w:color="auto"/>
            <w:bottom w:val="none" w:sz="0" w:space="0" w:color="auto"/>
            <w:right w:val="none" w:sz="0" w:space="0" w:color="auto"/>
          </w:divBdr>
        </w:div>
        <w:div w:id="2136559733">
          <w:marLeft w:val="640"/>
          <w:marRight w:val="0"/>
          <w:marTop w:val="0"/>
          <w:marBottom w:val="0"/>
          <w:divBdr>
            <w:top w:val="none" w:sz="0" w:space="0" w:color="auto"/>
            <w:left w:val="none" w:sz="0" w:space="0" w:color="auto"/>
            <w:bottom w:val="none" w:sz="0" w:space="0" w:color="auto"/>
            <w:right w:val="none" w:sz="0" w:space="0" w:color="auto"/>
          </w:divBdr>
        </w:div>
        <w:div w:id="783501932">
          <w:marLeft w:val="640"/>
          <w:marRight w:val="0"/>
          <w:marTop w:val="0"/>
          <w:marBottom w:val="0"/>
          <w:divBdr>
            <w:top w:val="none" w:sz="0" w:space="0" w:color="auto"/>
            <w:left w:val="none" w:sz="0" w:space="0" w:color="auto"/>
            <w:bottom w:val="none" w:sz="0" w:space="0" w:color="auto"/>
            <w:right w:val="none" w:sz="0" w:space="0" w:color="auto"/>
          </w:divBdr>
        </w:div>
        <w:div w:id="775096826">
          <w:marLeft w:val="640"/>
          <w:marRight w:val="0"/>
          <w:marTop w:val="0"/>
          <w:marBottom w:val="0"/>
          <w:divBdr>
            <w:top w:val="none" w:sz="0" w:space="0" w:color="auto"/>
            <w:left w:val="none" w:sz="0" w:space="0" w:color="auto"/>
            <w:bottom w:val="none" w:sz="0" w:space="0" w:color="auto"/>
            <w:right w:val="none" w:sz="0" w:space="0" w:color="auto"/>
          </w:divBdr>
        </w:div>
        <w:div w:id="1108306100">
          <w:marLeft w:val="640"/>
          <w:marRight w:val="0"/>
          <w:marTop w:val="0"/>
          <w:marBottom w:val="0"/>
          <w:divBdr>
            <w:top w:val="none" w:sz="0" w:space="0" w:color="auto"/>
            <w:left w:val="none" w:sz="0" w:space="0" w:color="auto"/>
            <w:bottom w:val="none" w:sz="0" w:space="0" w:color="auto"/>
            <w:right w:val="none" w:sz="0" w:space="0" w:color="auto"/>
          </w:divBdr>
        </w:div>
        <w:div w:id="1587498998">
          <w:marLeft w:val="640"/>
          <w:marRight w:val="0"/>
          <w:marTop w:val="0"/>
          <w:marBottom w:val="0"/>
          <w:divBdr>
            <w:top w:val="none" w:sz="0" w:space="0" w:color="auto"/>
            <w:left w:val="none" w:sz="0" w:space="0" w:color="auto"/>
            <w:bottom w:val="none" w:sz="0" w:space="0" w:color="auto"/>
            <w:right w:val="none" w:sz="0" w:space="0" w:color="auto"/>
          </w:divBdr>
        </w:div>
        <w:div w:id="629551928">
          <w:marLeft w:val="640"/>
          <w:marRight w:val="0"/>
          <w:marTop w:val="0"/>
          <w:marBottom w:val="0"/>
          <w:divBdr>
            <w:top w:val="none" w:sz="0" w:space="0" w:color="auto"/>
            <w:left w:val="none" w:sz="0" w:space="0" w:color="auto"/>
            <w:bottom w:val="none" w:sz="0" w:space="0" w:color="auto"/>
            <w:right w:val="none" w:sz="0" w:space="0" w:color="auto"/>
          </w:divBdr>
        </w:div>
        <w:div w:id="144592204">
          <w:marLeft w:val="640"/>
          <w:marRight w:val="0"/>
          <w:marTop w:val="0"/>
          <w:marBottom w:val="0"/>
          <w:divBdr>
            <w:top w:val="none" w:sz="0" w:space="0" w:color="auto"/>
            <w:left w:val="none" w:sz="0" w:space="0" w:color="auto"/>
            <w:bottom w:val="none" w:sz="0" w:space="0" w:color="auto"/>
            <w:right w:val="none" w:sz="0" w:space="0" w:color="auto"/>
          </w:divBdr>
        </w:div>
        <w:div w:id="1829638109">
          <w:marLeft w:val="640"/>
          <w:marRight w:val="0"/>
          <w:marTop w:val="0"/>
          <w:marBottom w:val="0"/>
          <w:divBdr>
            <w:top w:val="none" w:sz="0" w:space="0" w:color="auto"/>
            <w:left w:val="none" w:sz="0" w:space="0" w:color="auto"/>
            <w:bottom w:val="none" w:sz="0" w:space="0" w:color="auto"/>
            <w:right w:val="none" w:sz="0" w:space="0" w:color="auto"/>
          </w:divBdr>
        </w:div>
        <w:div w:id="703947492">
          <w:marLeft w:val="640"/>
          <w:marRight w:val="0"/>
          <w:marTop w:val="0"/>
          <w:marBottom w:val="0"/>
          <w:divBdr>
            <w:top w:val="none" w:sz="0" w:space="0" w:color="auto"/>
            <w:left w:val="none" w:sz="0" w:space="0" w:color="auto"/>
            <w:bottom w:val="none" w:sz="0" w:space="0" w:color="auto"/>
            <w:right w:val="none" w:sz="0" w:space="0" w:color="auto"/>
          </w:divBdr>
        </w:div>
        <w:div w:id="2105151721">
          <w:marLeft w:val="640"/>
          <w:marRight w:val="0"/>
          <w:marTop w:val="0"/>
          <w:marBottom w:val="0"/>
          <w:divBdr>
            <w:top w:val="none" w:sz="0" w:space="0" w:color="auto"/>
            <w:left w:val="none" w:sz="0" w:space="0" w:color="auto"/>
            <w:bottom w:val="none" w:sz="0" w:space="0" w:color="auto"/>
            <w:right w:val="none" w:sz="0" w:space="0" w:color="auto"/>
          </w:divBdr>
        </w:div>
        <w:div w:id="1059785228">
          <w:marLeft w:val="640"/>
          <w:marRight w:val="0"/>
          <w:marTop w:val="0"/>
          <w:marBottom w:val="0"/>
          <w:divBdr>
            <w:top w:val="none" w:sz="0" w:space="0" w:color="auto"/>
            <w:left w:val="none" w:sz="0" w:space="0" w:color="auto"/>
            <w:bottom w:val="none" w:sz="0" w:space="0" w:color="auto"/>
            <w:right w:val="none" w:sz="0" w:space="0" w:color="auto"/>
          </w:divBdr>
        </w:div>
        <w:div w:id="2138791226">
          <w:marLeft w:val="640"/>
          <w:marRight w:val="0"/>
          <w:marTop w:val="0"/>
          <w:marBottom w:val="0"/>
          <w:divBdr>
            <w:top w:val="none" w:sz="0" w:space="0" w:color="auto"/>
            <w:left w:val="none" w:sz="0" w:space="0" w:color="auto"/>
            <w:bottom w:val="none" w:sz="0" w:space="0" w:color="auto"/>
            <w:right w:val="none" w:sz="0" w:space="0" w:color="auto"/>
          </w:divBdr>
        </w:div>
        <w:div w:id="458110306">
          <w:marLeft w:val="640"/>
          <w:marRight w:val="0"/>
          <w:marTop w:val="0"/>
          <w:marBottom w:val="0"/>
          <w:divBdr>
            <w:top w:val="none" w:sz="0" w:space="0" w:color="auto"/>
            <w:left w:val="none" w:sz="0" w:space="0" w:color="auto"/>
            <w:bottom w:val="none" w:sz="0" w:space="0" w:color="auto"/>
            <w:right w:val="none" w:sz="0" w:space="0" w:color="auto"/>
          </w:divBdr>
        </w:div>
        <w:div w:id="290522015">
          <w:marLeft w:val="640"/>
          <w:marRight w:val="0"/>
          <w:marTop w:val="0"/>
          <w:marBottom w:val="0"/>
          <w:divBdr>
            <w:top w:val="none" w:sz="0" w:space="0" w:color="auto"/>
            <w:left w:val="none" w:sz="0" w:space="0" w:color="auto"/>
            <w:bottom w:val="none" w:sz="0" w:space="0" w:color="auto"/>
            <w:right w:val="none" w:sz="0" w:space="0" w:color="auto"/>
          </w:divBdr>
        </w:div>
        <w:div w:id="1976833045">
          <w:marLeft w:val="640"/>
          <w:marRight w:val="0"/>
          <w:marTop w:val="0"/>
          <w:marBottom w:val="0"/>
          <w:divBdr>
            <w:top w:val="none" w:sz="0" w:space="0" w:color="auto"/>
            <w:left w:val="none" w:sz="0" w:space="0" w:color="auto"/>
            <w:bottom w:val="none" w:sz="0" w:space="0" w:color="auto"/>
            <w:right w:val="none" w:sz="0" w:space="0" w:color="auto"/>
          </w:divBdr>
        </w:div>
        <w:div w:id="1962413427">
          <w:marLeft w:val="640"/>
          <w:marRight w:val="0"/>
          <w:marTop w:val="0"/>
          <w:marBottom w:val="0"/>
          <w:divBdr>
            <w:top w:val="none" w:sz="0" w:space="0" w:color="auto"/>
            <w:left w:val="none" w:sz="0" w:space="0" w:color="auto"/>
            <w:bottom w:val="none" w:sz="0" w:space="0" w:color="auto"/>
            <w:right w:val="none" w:sz="0" w:space="0" w:color="auto"/>
          </w:divBdr>
        </w:div>
        <w:div w:id="222184238">
          <w:marLeft w:val="640"/>
          <w:marRight w:val="0"/>
          <w:marTop w:val="0"/>
          <w:marBottom w:val="0"/>
          <w:divBdr>
            <w:top w:val="none" w:sz="0" w:space="0" w:color="auto"/>
            <w:left w:val="none" w:sz="0" w:space="0" w:color="auto"/>
            <w:bottom w:val="none" w:sz="0" w:space="0" w:color="auto"/>
            <w:right w:val="none" w:sz="0" w:space="0" w:color="auto"/>
          </w:divBdr>
        </w:div>
        <w:div w:id="1503740586">
          <w:marLeft w:val="640"/>
          <w:marRight w:val="0"/>
          <w:marTop w:val="0"/>
          <w:marBottom w:val="0"/>
          <w:divBdr>
            <w:top w:val="none" w:sz="0" w:space="0" w:color="auto"/>
            <w:left w:val="none" w:sz="0" w:space="0" w:color="auto"/>
            <w:bottom w:val="none" w:sz="0" w:space="0" w:color="auto"/>
            <w:right w:val="none" w:sz="0" w:space="0" w:color="auto"/>
          </w:divBdr>
        </w:div>
        <w:div w:id="72826500">
          <w:marLeft w:val="640"/>
          <w:marRight w:val="0"/>
          <w:marTop w:val="0"/>
          <w:marBottom w:val="0"/>
          <w:divBdr>
            <w:top w:val="none" w:sz="0" w:space="0" w:color="auto"/>
            <w:left w:val="none" w:sz="0" w:space="0" w:color="auto"/>
            <w:bottom w:val="none" w:sz="0" w:space="0" w:color="auto"/>
            <w:right w:val="none" w:sz="0" w:space="0" w:color="auto"/>
          </w:divBdr>
        </w:div>
        <w:div w:id="1489403181">
          <w:marLeft w:val="640"/>
          <w:marRight w:val="0"/>
          <w:marTop w:val="0"/>
          <w:marBottom w:val="0"/>
          <w:divBdr>
            <w:top w:val="none" w:sz="0" w:space="0" w:color="auto"/>
            <w:left w:val="none" w:sz="0" w:space="0" w:color="auto"/>
            <w:bottom w:val="none" w:sz="0" w:space="0" w:color="auto"/>
            <w:right w:val="none" w:sz="0" w:space="0" w:color="auto"/>
          </w:divBdr>
        </w:div>
        <w:div w:id="1162349496">
          <w:marLeft w:val="640"/>
          <w:marRight w:val="0"/>
          <w:marTop w:val="0"/>
          <w:marBottom w:val="0"/>
          <w:divBdr>
            <w:top w:val="none" w:sz="0" w:space="0" w:color="auto"/>
            <w:left w:val="none" w:sz="0" w:space="0" w:color="auto"/>
            <w:bottom w:val="none" w:sz="0" w:space="0" w:color="auto"/>
            <w:right w:val="none" w:sz="0" w:space="0" w:color="auto"/>
          </w:divBdr>
        </w:div>
        <w:div w:id="341859132">
          <w:marLeft w:val="640"/>
          <w:marRight w:val="0"/>
          <w:marTop w:val="0"/>
          <w:marBottom w:val="0"/>
          <w:divBdr>
            <w:top w:val="none" w:sz="0" w:space="0" w:color="auto"/>
            <w:left w:val="none" w:sz="0" w:space="0" w:color="auto"/>
            <w:bottom w:val="none" w:sz="0" w:space="0" w:color="auto"/>
            <w:right w:val="none" w:sz="0" w:space="0" w:color="auto"/>
          </w:divBdr>
        </w:div>
        <w:div w:id="779036387">
          <w:marLeft w:val="640"/>
          <w:marRight w:val="0"/>
          <w:marTop w:val="0"/>
          <w:marBottom w:val="0"/>
          <w:divBdr>
            <w:top w:val="none" w:sz="0" w:space="0" w:color="auto"/>
            <w:left w:val="none" w:sz="0" w:space="0" w:color="auto"/>
            <w:bottom w:val="none" w:sz="0" w:space="0" w:color="auto"/>
            <w:right w:val="none" w:sz="0" w:space="0" w:color="auto"/>
          </w:divBdr>
        </w:div>
        <w:div w:id="1607076596">
          <w:marLeft w:val="640"/>
          <w:marRight w:val="0"/>
          <w:marTop w:val="0"/>
          <w:marBottom w:val="0"/>
          <w:divBdr>
            <w:top w:val="none" w:sz="0" w:space="0" w:color="auto"/>
            <w:left w:val="none" w:sz="0" w:space="0" w:color="auto"/>
            <w:bottom w:val="none" w:sz="0" w:space="0" w:color="auto"/>
            <w:right w:val="none" w:sz="0" w:space="0" w:color="auto"/>
          </w:divBdr>
        </w:div>
        <w:div w:id="729034676">
          <w:marLeft w:val="640"/>
          <w:marRight w:val="0"/>
          <w:marTop w:val="0"/>
          <w:marBottom w:val="0"/>
          <w:divBdr>
            <w:top w:val="none" w:sz="0" w:space="0" w:color="auto"/>
            <w:left w:val="none" w:sz="0" w:space="0" w:color="auto"/>
            <w:bottom w:val="none" w:sz="0" w:space="0" w:color="auto"/>
            <w:right w:val="none" w:sz="0" w:space="0" w:color="auto"/>
          </w:divBdr>
        </w:div>
        <w:div w:id="635329953">
          <w:marLeft w:val="640"/>
          <w:marRight w:val="0"/>
          <w:marTop w:val="0"/>
          <w:marBottom w:val="0"/>
          <w:divBdr>
            <w:top w:val="none" w:sz="0" w:space="0" w:color="auto"/>
            <w:left w:val="none" w:sz="0" w:space="0" w:color="auto"/>
            <w:bottom w:val="none" w:sz="0" w:space="0" w:color="auto"/>
            <w:right w:val="none" w:sz="0" w:space="0" w:color="auto"/>
          </w:divBdr>
        </w:div>
        <w:div w:id="225578155">
          <w:marLeft w:val="640"/>
          <w:marRight w:val="0"/>
          <w:marTop w:val="0"/>
          <w:marBottom w:val="0"/>
          <w:divBdr>
            <w:top w:val="none" w:sz="0" w:space="0" w:color="auto"/>
            <w:left w:val="none" w:sz="0" w:space="0" w:color="auto"/>
            <w:bottom w:val="none" w:sz="0" w:space="0" w:color="auto"/>
            <w:right w:val="none" w:sz="0" w:space="0" w:color="auto"/>
          </w:divBdr>
        </w:div>
        <w:div w:id="1979407655">
          <w:marLeft w:val="640"/>
          <w:marRight w:val="0"/>
          <w:marTop w:val="0"/>
          <w:marBottom w:val="0"/>
          <w:divBdr>
            <w:top w:val="none" w:sz="0" w:space="0" w:color="auto"/>
            <w:left w:val="none" w:sz="0" w:space="0" w:color="auto"/>
            <w:bottom w:val="none" w:sz="0" w:space="0" w:color="auto"/>
            <w:right w:val="none" w:sz="0" w:space="0" w:color="auto"/>
          </w:divBdr>
        </w:div>
        <w:div w:id="948581486">
          <w:marLeft w:val="640"/>
          <w:marRight w:val="0"/>
          <w:marTop w:val="0"/>
          <w:marBottom w:val="0"/>
          <w:divBdr>
            <w:top w:val="none" w:sz="0" w:space="0" w:color="auto"/>
            <w:left w:val="none" w:sz="0" w:space="0" w:color="auto"/>
            <w:bottom w:val="none" w:sz="0" w:space="0" w:color="auto"/>
            <w:right w:val="none" w:sz="0" w:space="0" w:color="auto"/>
          </w:divBdr>
        </w:div>
        <w:div w:id="163784227">
          <w:marLeft w:val="640"/>
          <w:marRight w:val="0"/>
          <w:marTop w:val="0"/>
          <w:marBottom w:val="0"/>
          <w:divBdr>
            <w:top w:val="none" w:sz="0" w:space="0" w:color="auto"/>
            <w:left w:val="none" w:sz="0" w:space="0" w:color="auto"/>
            <w:bottom w:val="none" w:sz="0" w:space="0" w:color="auto"/>
            <w:right w:val="none" w:sz="0" w:space="0" w:color="auto"/>
          </w:divBdr>
        </w:div>
        <w:div w:id="769200241">
          <w:marLeft w:val="640"/>
          <w:marRight w:val="0"/>
          <w:marTop w:val="0"/>
          <w:marBottom w:val="0"/>
          <w:divBdr>
            <w:top w:val="none" w:sz="0" w:space="0" w:color="auto"/>
            <w:left w:val="none" w:sz="0" w:space="0" w:color="auto"/>
            <w:bottom w:val="none" w:sz="0" w:space="0" w:color="auto"/>
            <w:right w:val="none" w:sz="0" w:space="0" w:color="auto"/>
          </w:divBdr>
        </w:div>
        <w:div w:id="1143695081">
          <w:marLeft w:val="640"/>
          <w:marRight w:val="0"/>
          <w:marTop w:val="0"/>
          <w:marBottom w:val="0"/>
          <w:divBdr>
            <w:top w:val="none" w:sz="0" w:space="0" w:color="auto"/>
            <w:left w:val="none" w:sz="0" w:space="0" w:color="auto"/>
            <w:bottom w:val="none" w:sz="0" w:space="0" w:color="auto"/>
            <w:right w:val="none" w:sz="0" w:space="0" w:color="auto"/>
          </w:divBdr>
        </w:div>
        <w:div w:id="559635433">
          <w:marLeft w:val="640"/>
          <w:marRight w:val="0"/>
          <w:marTop w:val="0"/>
          <w:marBottom w:val="0"/>
          <w:divBdr>
            <w:top w:val="none" w:sz="0" w:space="0" w:color="auto"/>
            <w:left w:val="none" w:sz="0" w:space="0" w:color="auto"/>
            <w:bottom w:val="none" w:sz="0" w:space="0" w:color="auto"/>
            <w:right w:val="none" w:sz="0" w:space="0" w:color="auto"/>
          </w:divBdr>
        </w:div>
        <w:div w:id="399640534">
          <w:marLeft w:val="640"/>
          <w:marRight w:val="0"/>
          <w:marTop w:val="0"/>
          <w:marBottom w:val="0"/>
          <w:divBdr>
            <w:top w:val="none" w:sz="0" w:space="0" w:color="auto"/>
            <w:left w:val="none" w:sz="0" w:space="0" w:color="auto"/>
            <w:bottom w:val="none" w:sz="0" w:space="0" w:color="auto"/>
            <w:right w:val="none" w:sz="0" w:space="0" w:color="auto"/>
          </w:divBdr>
        </w:div>
        <w:div w:id="401605694">
          <w:marLeft w:val="640"/>
          <w:marRight w:val="0"/>
          <w:marTop w:val="0"/>
          <w:marBottom w:val="0"/>
          <w:divBdr>
            <w:top w:val="none" w:sz="0" w:space="0" w:color="auto"/>
            <w:left w:val="none" w:sz="0" w:space="0" w:color="auto"/>
            <w:bottom w:val="none" w:sz="0" w:space="0" w:color="auto"/>
            <w:right w:val="none" w:sz="0" w:space="0" w:color="auto"/>
          </w:divBdr>
        </w:div>
        <w:div w:id="1064990540">
          <w:marLeft w:val="640"/>
          <w:marRight w:val="0"/>
          <w:marTop w:val="0"/>
          <w:marBottom w:val="0"/>
          <w:divBdr>
            <w:top w:val="none" w:sz="0" w:space="0" w:color="auto"/>
            <w:left w:val="none" w:sz="0" w:space="0" w:color="auto"/>
            <w:bottom w:val="none" w:sz="0" w:space="0" w:color="auto"/>
            <w:right w:val="none" w:sz="0" w:space="0" w:color="auto"/>
          </w:divBdr>
        </w:div>
        <w:div w:id="1473399968">
          <w:marLeft w:val="640"/>
          <w:marRight w:val="0"/>
          <w:marTop w:val="0"/>
          <w:marBottom w:val="0"/>
          <w:divBdr>
            <w:top w:val="none" w:sz="0" w:space="0" w:color="auto"/>
            <w:left w:val="none" w:sz="0" w:space="0" w:color="auto"/>
            <w:bottom w:val="none" w:sz="0" w:space="0" w:color="auto"/>
            <w:right w:val="none" w:sz="0" w:space="0" w:color="auto"/>
          </w:divBdr>
        </w:div>
        <w:div w:id="1205174151">
          <w:marLeft w:val="640"/>
          <w:marRight w:val="0"/>
          <w:marTop w:val="0"/>
          <w:marBottom w:val="0"/>
          <w:divBdr>
            <w:top w:val="none" w:sz="0" w:space="0" w:color="auto"/>
            <w:left w:val="none" w:sz="0" w:space="0" w:color="auto"/>
            <w:bottom w:val="none" w:sz="0" w:space="0" w:color="auto"/>
            <w:right w:val="none" w:sz="0" w:space="0" w:color="auto"/>
          </w:divBdr>
        </w:div>
        <w:div w:id="296616705">
          <w:marLeft w:val="640"/>
          <w:marRight w:val="0"/>
          <w:marTop w:val="0"/>
          <w:marBottom w:val="0"/>
          <w:divBdr>
            <w:top w:val="none" w:sz="0" w:space="0" w:color="auto"/>
            <w:left w:val="none" w:sz="0" w:space="0" w:color="auto"/>
            <w:bottom w:val="none" w:sz="0" w:space="0" w:color="auto"/>
            <w:right w:val="none" w:sz="0" w:space="0" w:color="auto"/>
          </w:divBdr>
        </w:div>
        <w:div w:id="862934929">
          <w:marLeft w:val="640"/>
          <w:marRight w:val="0"/>
          <w:marTop w:val="0"/>
          <w:marBottom w:val="0"/>
          <w:divBdr>
            <w:top w:val="none" w:sz="0" w:space="0" w:color="auto"/>
            <w:left w:val="none" w:sz="0" w:space="0" w:color="auto"/>
            <w:bottom w:val="none" w:sz="0" w:space="0" w:color="auto"/>
            <w:right w:val="none" w:sz="0" w:space="0" w:color="auto"/>
          </w:divBdr>
        </w:div>
        <w:div w:id="1808859160">
          <w:marLeft w:val="640"/>
          <w:marRight w:val="0"/>
          <w:marTop w:val="0"/>
          <w:marBottom w:val="0"/>
          <w:divBdr>
            <w:top w:val="none" w:sz="0" w:space="0" w:color="auto"/>
            <w:left w:val="none" w:sz="0" w:space="0" w:color="auto"/>
            <w:bottom w:val="none" w:sz="0" w:space="0" w:color="auto"/>
            <w:right w:val="none" w:sz="0" w:space="0" w:color="auto"/>
          </w:divBdr>
        </w:div>
        <w:div w:id="446508202">
          <w:marLeft w:val="640"/>
          <w:marRight w:val="0"/>
          <w:marTop w:val="0"/>
          <w:marBottom w:val="0"/>
          <w:divBdr>
            <w:top w:val="none" w:sz="0" w:space="0" w:color="auto"/>
            <w:left w:val="none" w:sz="0" w:space="0" w:color="auto"/>
            <w:bottom w:val="none" w:sz="0" w:space="0" w:color="auto"/>
            <w:right w:val="none" w:sz="0" w:space="0" w:color="auto"/>
          </w:divBdr>
        </w:div>
        <w:div w:id="228538860">
          <w:marLeft w:val="640"/>
          <w:marRight w:val="0"/>
          <w:marTop w:val="0"/>
          <w:marBottom w:val="0"/>
          <w:divBdr>
            <w:top w:val="none" w:sz="0" w:space="0" w:color="auto"/>
            <w:left w:val="none" w:sz="0" w:space="0" w:color="auto"/>
            <w:bottom w:val="none" w:sz="0" w:space="0" w:color="auto"/>
            <w:right w:val="none" w:sz="0" w:space="0" w:color="auto"/>
          </w:divBdr>
        </w:div>
        <w:div w:id="722409238">
          <w:marLeft w:val="640"/>
          <w:marRight w:val="0"/>
          <w:marTop w:val="0"/>
          <w:marBottom w:val="0"/>
          <w:divBdr>
            <w:top w:val="none" w:sz="0" w:space="0" w:color="auto"/>
            <w:left w:val="none" w:sz="0" w:space="0" w:color="auto"/>
            <w:bottom w:val="none" w:sz="0" w:space="0" w:color="auto"/>
            <w:right w:val="none" w:sz="0" w:space="0" w:color="auto"/>
          </w:divBdr>
        </w:div>
        <w:div w:id="722868117">
          <w:marLeft w:val="640"/>
          <w:marRight w:val="0"/>
          <w:marTop w:val="0"/>
          <w:marBottom w:val="0"/>
          <w:divBdr>
            <w:top w:val="none" w:sz="0" w:space="0" w:color="auto"/>
            <w:left w:val="none" w:sz="0" w:space="0" w:color="auto"/>
            <w:bottom w:val="none" w:sz="0" w:space="0" w:color="auto"/>
            <w:right w:val="none" w:sz="0" w:space="0" w:color="auto"/>
          </w:divBdr>
        </w:div>
        <w:div w:id="1002047510">
          <w:marLeft w:val="640"/>
          <w:marRight w:val="0"/>
          <w:marTop w:val="0"/>
          <w:marBottom w:val="0"/>
          <w:divBdr>
            <w:top w:val="none" w:sz="0" w:space="0" w:color="auto"/>
            <w:left w:val="none" w:sz="0" w:space="0" w:color="auto"/>
            <w:bottom w:val="none" w:sz="0" w:space="0" w:color="auto"/>
            <w:right w:val="none" w:sz="0" w:space="0" w:color="auto"/>
          </w:divBdr>
        </w:div>
        <w:div w:id="875581068">
          <w:marLeft w:val="640"/>
          <w:marRight w:val="0"/>
          <w:marTop w:val="0"/>
          <w:marBottom w:val="0"/>
          <w:divBdr>
            <w:top w:val="none" w:sz="0" w:space="0" w:color="auto"/>
            <w:left w:val="none" w:sz="0" w:space="0" w:color="auto"/>
            <w:bottom w:val="none" w:sz="0" w:space="0" w:color="auto"/>
            <w:right w:val="none" w:sz="0" w:space="0" w:color="auto"/>
          </w:divBdr>
        </w:div>
        <w:div w:id="1876849157">
          <w:marLeft w:val="640"/>
          <w:marRight w:val="0"/>
          <w:marTop w:val="0"/>
          <w:marBottom w:val="0"/>
          <w:divBdr>
            <w:top w:val="none" w:sz="0" w:space="0" w:color="auto"/>
            <w:left w:val="none" w:sz="0" w:space="0" w:color="auto"/>
            <w:bottom w:val="none" w:sz="0" w:space="0" w:color="auto"/>
            <w:right w:val="none" w:sz="0" w:space="0" w:color="auto"/>
          </w:divBdr>
        </w:div>
        <w:div w:id="1609509081">
          <w:marLeft w:val="640"/>
          <w:marRight w:val="0"/>
          <w:marTop w:val="0"/>
          <w:marBottom w:val="0"/>
          <w:divBdr>
            <w:top w:val="none" w:sz="0" w:space="0" w:color="auto"/>
            <w:left w:val="none" w:sz="0" w:space="0" w:color="auto"/>
            <w:bottom w:val="none" w:sz="0" w:space="0" w:color="auto"/>
            <w:right w:val="none" w:sz="0" w:space="0" w:color="auto"/>
          </w:divBdr>
        </w:div>
        <w:div w:id="401023189">
          <w:marLeft w:val="640"/>
          <w:marRight w:val="0"/>
          <w:marTop w:val="0"/>
          <w:marBottom w:val="0"/>
          <w:divBdr>
            <w:top w:val="none" w:sz="0" w:space="0" w:color="auto"/>
            <w:left w:val="none" w:sz="0" w:space="0" w:color="auto"/>
            <w:bottom w:val="none" w:sz="0" w:space="0" w:color="auto"/>
            <w:right w:val="none" w:sz="0" w:space="0" w:color="auto"/>
          </w:divBdr>
        </w:div>
        <w:div w:id="777258610">
          <w:marLeft w:val="640"/>
          <w:marRight w:val="0"/>
          <w:marTop w:val="0"/>
          <w:marBottom w:val="0"/>
          <w:divBdr>
            <w:top w:val="none" w:sz="0" w:space="0" w:color="auto"/>
            <w:left w:val="none" w:sz="0" w:space="0" w:color="auto"/>
            <w:bottom w:val="none" w:sz="0" w:space="0" w:color="auto"/>
            <w:right w:val="none" w:sz="0" w:space="0" w:color="auto"/>
          </w:divBdr>
        </w:div>
        <w:div w:id="1028873936">
          <w:marLeft w:val="640"/>
          <w:marRight w:val="0"/>
          <w:marTop w:val="0"/>
          <w:marBottom w:val="0"/>
          <w:divBdr>
            <w:top w:val="none" w:sz="0" w:space="0" w:color="auto"/>
            <w:left w:val="none" w:sz="0" w:space="0" w:color="auto"/>
            <w:bottom w:val="none" w:sz="0" w:space="0" w:color="auto"/>
            <w:right w:val="none" w:sz="0" w:space="0" w:color="auto"/>
          </w:divBdr>
        </w:div>
        <w:div w:id="102766313">
          <w:marLeft w:val="640"/>
          <w:marRight w:val="0"/>
          <w:marTop w:val="0"/>
          <w:marBottom w:val="0"/>
          <w:divBdr>
            <w:top w:val="none" w:sz="0" w:space="0" w:color="auto"/>
            <w:left w:val="none" w:sz="0" w:space="0" w:color="auto"/>
            <w:bottom w:val="none" w:sz="0" w:space="0" w:color="auto"/>
            <w:right w:val="none" w:sz="0" w:space="0" w:color="auto"/>
          </w:divBdr>
        </w:div>
        <w:div w:id="1831015346">
          <w:marLeft w:val="640"/>
          <w:marRight w:val="0"/>
          <w:marTop w:val="0"/>
          <w:marBottom w:val="0"/>
          <w:divBdr>
            <w:top w:val="none" w:sz="0" w:space="0" w:color="auto"/>
            <w:left w:val="none" w:sz="0" w:space="0" w:color="auto"/>
            <w:bottom w:val="none" w:sz="0" w:space="0" w:color="auto"/>
            <w:right w:val="none" w:sz="0" w:space="0" w:color="auto"/>
          </w:divBdr>
        </w:div>
        <w:div w:id="706029157">
          <w:marLeft w:val="640"/>
          <w:marRight w:val="0"/>
          <w:marTop w:val="0"/>
          <w:marBottom w:val="0"/>
          <w:divBdr>
            <w:top w:val="none" w:sz="0" w:space="0" w:color="auto"/>
            <w:left w:val="none" w:sz="0" w:space="0" w:color="auto"/>
            <w:bottom w:val="none" w:sz="0" w:space="0" w:color="auto"/>
            <w:right w:val="none" w:sz="0" w:space="0" w:color="auto"/>
          </w:divBdr>
        </w:div>
        <w:div w:id="59599249">
          <w:marLeft w:val="640"/>
          <w:marRight w:val="0"/>
          <w:marTop w:val="0"/>
          <w:marBottom w:val="0"/>
          <w:divBdr>
            <w:top w:val="none" w:sz="0" w:space="0" w:color="auto"/>
            <w:left w:val="none" w:sz="0" w:space="0" w:color="auto"/>
            <w:bottom w:val="none" w:sz="0" w:space="0" w:color="auto"/>
            <w:right w:val="none" w:sz="0" w:space="0" w:color="auto"/>
          </w:divBdr>
        </w:div>
        <w:div w:id="247467294">
          <w:marLeft w:val="640"/>
          <w:marRight w:val="0"/>
          <w:marTop w:val="0"/>
          <w:marBottom w:val="0"/>
          <w:divBdr>
            <w:top w:val="none" w:sz="0" w:space="0" w:color="auto"/>
            <w:left w:val="none" w:sz="0" w:space="0" w:color="auto"/>
            <w:bottom w:val="none" w:sz="0" w:space="0" w:color="auto"/>
            <w:right w:val="none" w:sz="0" w:space="0" w:color="auto"/>
          </w:divBdr>
        </w:div>
        <w:div w:id="1009911744">
          <w:marLeft w:val="640"/>
          <w:marRight w:val="0"/>
          <w:marTop w:val="0"/>
          <w:marBottom w:val="0"/>
          <w:divBdr>
            <w:top w:val="none" w:sz="0" w:space="0" w:color="auto"/>
            <w:left w:val="none" w:sz="0" w:space="0" w:color="auto"/>
            <w:bottom w:val="none" w:sz="0" w:space="0" w:color="auto"/>
            <w:right w:val="none" w:sz="0" w:space="0" w:color="auto"/>
          </w:divBdr>
        </w:div>
        <w:div w:id="1796832272">
          <w:marLeft w:val="640"/>
          <w:marRight w:val="0"/>
          <w:marTop w:val="0"/>
          <w:marBottom w:val="0"/>
          <w:divBdr>
            <w:top w:val="none" w:sz="0" w:space="0" w:color="auto"/>
            <w:left w:val="none" w:sz="0" w:space="0" w:color="auto"/>
            <w:bottom w:val="none" w:sz="0" w:space="0" w:color="auto"/>
            <w:right w:val="none" w:sz="0" w:space="0" w:color="auto"/>
          </w:divBdr>
        </w:div>
        <w:div w:id="235631382">
          <w:marLeft w:val="640"/>
          <w:marRight w:val="0"/>
          <w:marTop w:val="0"/>
          <w:marBottom w:val="0"/>
          <w:divBdr>
            <w:top w:val="none" w:sz="0" w:space="0" w:color="auto"/>
            <w:left w:val="none" w:sz="0" w:space="0" w:color="auto"/>
            <w:bottom w:val="none" w:sz="0" w:space="0" w:color="auto"/>
            <w:right w:val="none" w:sz="0" w:space="0" w:color="auto"/>
          </w:divBdr>
        </w:div>
        <w:div w:id="1159231937">
          <w:marLeft w:val="640"/>
          <w:marRight w:val="0"/>
          <w:marTop w:val="0"/>
          <w:marBottom w:val="0"/>
          <w:divBdr>
            <w:top w:val="none" w:sz="0" w:space="0" w:color="auto"/>
            <w:left w:val="none" w:sz="0" w:space="0" w:color="auto"/>
            <w:bottom w:val="none" w:sz="0" w:space="0" w:color="auto"/>
            <w:right w:val="none" w:sz="0" w:space="0" w:color="auto"/>
          </w:divBdr>
        </w:div>
        <w:div w:id="422336425">
          <w:marLeft w:val="640"/>
          <w:marRight w:val="0"/>
          <w:marTop w:val="0"/>
          <w:marBottom w:val="0"/>
          <w:divBdr>
            <w:top w:val="none" w:sz="0" w:space="0" w:color="auto"/>
            <w:left w:val="none" w:sz="0" w:space="0" w:color="auto"/>
            <w:bottom w:val="none" w:sz="0" w:space="0" w:color="auto"/>
            <w:right w:val="none" w:sz="0" w:space="0" w:color="auto"/>
          </w:divBdr>
        </w:div>
        <w:div w:id="26033952">
          <w:marLeft w:val="640"/>
          <w:marRight w:val="0"/>
          <w:marTop w:val="0"/>
          <w:marBottom w:val="0"/>
          <w:divBdr>
            <w:top w:val="none" w:sz="0" w:space="0" w:color="auto"/>
            <w:left w:val="none" w:sz="0" w:space="0" w:color="auto"/>
            <w:bottom w:val="none" w:sz="0" w:space="0" w:color="auto"/>
            <w:right w:val="none" w:sz="0" w:space="0" w:color="auto"/>
          </w:divBdr>
        </w:div>
        <w:div w:id="1088962669">
          <w:marLeft w:val="640"/>
          <w:marRight w:val="0"/>
          <w:marTop w:val="0"/>
          <w:marBottom w:val="0"/>
          <w:divBdr>
            <w:top w:val="none" w:sz="0" w:space="0" w:color="auto"/>
            <w:left w:val="none" w:sz="0" w:space="0" w:color="auto"/>
            <w:bottom w:val="none" w:sz="0" w:space="0" w:color="auto"/>
            <w:right w:val="none" w:sz="0" w:space="0" w:color="auto"/>
          </w:divBdr>
        </w:div>
        <w:div w:id="1075662053">
          <w:marLeft w:val="640"/>
          <w:marRight w:val="0"/>
          <w:marTop w:val="0"/>
          <w:marBottom w:val="0"/>
          <w:divBdr>
            <w:top w:val="none" w:sz="0" w:space="0" w:color="auto"/>
            <w:left w:val="none" w:sz="0" w:space="0" w:color="auto"/>
            <w:bottom w:val="none" w:sz="0" w:space="0" w:color="auto"/>
            <w:right w:val="none" w:sz="0" w:space="0" w:color="auto"/>
          </w:divBdr>
        </w:div>
        <w:div w:id="2130467706">
          <w:marLeft w:val="640"/>
          <w:marRight w:val="0"/>
          <w:marTop w:val="0"/>
          <w:marBottom w:val="0"/>
          <w:divBdr>
            <w:top w:val="none" w:sz="0" w:space="0" w:color="auto"/>
            <w:left w:val="none" w:sz="0" w:space="0" w:color="auto"/>
            <w:bottom w:val="none" w:sz="0" w:space="0" w:color="auto"/>
            <w:right w:val="none" w:sz="0" w:space="0" w:color="auto"/>
          </w:divBdr>
        </w:div>
        <w:div w:id="1920552041">
          <w:marLeft w:val="640"/>
          <w:marRight w:val="0"/>
          <w:marTop w:val="0"/>
          <w:marBottom w:val="0"/>
          <w:divBdr>
            <w:top w:val="none" w:sz="0" w:space="0" w:color="auto"/>
            <w:left w:val="none" w:sz="0" w:space="0" w:color="auto"/>
            <w:bottom w:val="none" w:sz="0" w:space="0" w:color="auto"/>
            <w:right w:val="none" w:sz="0" w:space="0" w:color="auto"/>
          </w:divBdr>
        </w:div>
        <w:div w:id="1967470044">
          <w:marLeft w:val="640"/>
          <w:marRight w:val="0"/>
          <w:marTop w:val="0"/>
          <w:marBottom w:val="0"/>
          <w:divBdr>
            <w:top w:val="none" w:sz="0" w:space="0" w:color="auto"/>
            <w:left w:val="none" w:sz="0" w:space="0" w:color="auto"/>
            <w:bottom w:val="none" w:sz="0" w:space="0" w:color="auto"/>
            <w:right w:val="none" w:sz="0" w:space="0" w:color="auto"/>
          </w:divBdr>
        </w:div>
        <w:div w:id="1155608450">
          <w:marLeft w:val="640"/>
          <w:marRight w:val="0"/>
          <w:marTop w:val="0"/>
          <w:marBottom w:val="0"/>
          <w:divBdr>
            <w:top w:val="none" w:sz="0" w:space="0" w:color="auto"/>
            <w:left w:val="none" w:sz="0" w:space="0" w:color="auto"/>
            <w:bottom w:val="none" w:sz="0" w:space="0" w:color="auto"/>
            <w:right w:val="none" w:sz="0" w:space="0" w:color="auto"/>
          </w:divBdr>
        </w:div>
        <w:div w:id="709762397">
          <w:marLeft w:val="640"/>
          <w:marRight w:val="0"/>
          <w:marTop w:val="0"/>
          <w:marBottom w:val="0"/>
          <w:divBdr>
            <w:top w:val="none" w:sz="0" w:space="0" w:color="auto"/>
            <w:left w:val="none" w:sz="0" w:space="0" w:color="auto"/>
            <w:bottom w:val="none" w:sz="0" w:space="0" w:color="auto"/>
            <w:right w:val="none" w:sz="0" w:space="0" w:color="auto"/>
          </w:divBdr>
        </w:div>
        <w:div w:id="144468563">
          <w:marLeft w:val="640"/>
          <w:marRight w:val="0"/>
          <w:marTop w:val="0"/>
          <w:marBottom w:val="0"/>
          <w:divBdr>
            <w:top w:val="none" w:sz="0" w:space="0" w:color="auto"/>
            <w:left w:val="none" w:sz="0" w:space="0" w:color="auto"/>
            <w:bottom w:val="none" w:sz="0" w:space="0" w:color="auto"/>
            <w:right w:val="none" w:sz="0" w:space="0" w:color="auto"/>
          </w:divBdr>
        </w:div>
        <w:div w:id="431583887">
          <w:marLeft w:val="640"/>
          <w:marRight w:val="0"/>
          <w:marTop w:val="0"/>
          <w:marBottom w:val="0"/>
          <w:divBdr>
            <w:top w:val="none" w:sz="0" w:space="0" w:color="auto"/>
            <w:left w:val="none" w:sz="0" w:space="0" w:color="auto"/>
            <w:bottom w:val="none" w:sz="0" w:space="0" w:color="auto"/>
            <w:right w:val="none" w:sz="0" w:space="0" w:color="auto"/>
          </w:divBdr>
        </w:div>
        <w:div w:id="186916373">
          <w:marLeft w:val="640"/>
          <w:marRight w:val="0"/>
          <w:marTop w:val="0"/>
          <w:marBottom w:val="0"/>
          <w:divBdr>
            <w:top w:val="none" w:sz="0" w:space="0" w:color="auto"/>
            <w:left w:val="none" w:sz="0" w:space="0" w:color="auto"/>
            <w:bottom w:val="none" w:sz="0" w:space="0" w:color="auto"/>
            <w:right w:val="none" w:sz="0" w:space="0" w:color="auto"/>
          </w:divBdr>
        </w:div>
        <w:div w:id="371854673">
          <w:marLeft w:val="640"/>
          <w:marRight w:val="0"/>
          <w:marTop w:val="0"/>
          <w:marBottom w:val="0"/>
          <w:divBdr>
            <w:top w:val="none" w:sz="0" w:space="0" w:color="auto"/>
            <w:left w:val="none" w:sz="0" w:space="0" w:color="auto"/>
            <w:bottom w:val="none" w:sz="0" w:space="0" w:color="auto"/>
            <w:right w:val="none" w:sz="0" w:space="0" w:color="auto"/>
          </w:divBdr>
        </w:div>
        <w:div w:id="1619025706">
          <w:marLeft w:val="640"/>
          <w:marRight w:val="0"/>
          <w:marTop w:val="0"/>
          <w:marBottom w:val="0"/>
          <w:divBdr>
            <w:top w:val="none" w:sz="0" w:space="0" w:color="auto"/>
            <w:left w:val="none" w:sz="0" w:space="0" w:color="auto"/>
            <w:bottom w:val="none" w:sz="0" w:space="0" w:color="auto"/>
            <w:right w:val="none" w:sz="0" w:space="0" w:color="auto"/>
          </w:divBdr>
        </w:div>
        <w:div w:id="2011372191">
          <w:marLeft w:val="640"/>
          <w:marRight w:val="0"/>
          <w:marTop w:val="0"/>
          <w:marBottom w:val="0"/>
          <w:divBdr>
            <w:top w:val="none" w:sz="0" w:space="0" w:color="auto"/>
            <w:left w:val="none" w:sz="0" w:space="0" w:color="auto"/>
            <w:bottom w:val="none" w:sz="0" w:space="0" w:color="auto"/>
            <w:right w:val="none" w:sz="0" w:space="0" w:color="auto"/>
          </w:divBdr>
        </w:div>
        <w:div w:id="1585067477">
          <w:marLeft w:val="640"/>
          <w:marRight w:val="0"/>
          <w:marTop w:val="0"/>
          <w:marBottom w:val="0"/>
          <w:divBdr>
            <w:top w:val="none" w:sz="0" w:space="0" w:color="auto"/>
            <w:left w:val="none" w:sz="0" w:space="0" w:color="auto"/>
            <w:bottom w:val="none" w:sz="0" w:space="0" w:color="auto"/>
            <w:right w:val="none" w:sz="0" w:space="0" w:color="auto"/>
          </w:divBdr>
        </w:div>
        <w:div w:id="1203326242">
          <w:marLeft w:val="640"/>
          <w:marRight w:val="0"/>
          <w:marTop w:val="0"/>
          <w:marBottom w:val="0"/>
          <w:divBdr>
            <w:top w:val="none" w:sz="0" w:space="0" w:color="auto"/>
            <w:left w:val="none" w:sz="0" w:space="0" w:color="auto"/>
            <w:bottom w:val="none" w:sz="0" w:space="0" w:color="auto"/>
            <w:right w:val="none" w:sz="0" w:space="0" w:color="auto"/>
          </w:divBdr>
        </w:div>
        <w:div w:id="808788431">
          <w:marLeft w:val="640"/>
          <w:marRight w:val="0"/>
          <w:marTop w:val="0"/>
          <w:marBottom w:val="0"/>
          <w:divBdr>
            <w:top w:val="none" w:sz="0" w:space="0" w:color="auto"/>
            <w:left w:val="none" w:sz="0" w:space="0" w:color="auto"/>
            <w:bottom w:val="none" w:sz="0" w:space="0" w:color="auto"/>
            <w:right w:val="none" w:sz="0" w:space="0" w:color="auto"/>
          </w:divBdr>
        </w:div>
        <w:div w:id="205067238">
          <w:marLeft w:val="640"/>
          <w:marRight w:val="0"/>
          <w:marTop w:val="0"/>
          <w:marBottom w:val="0"/>
          <w:divBdr>
            <w:top w:val="none" w:sz="0" w:space="0" w:color="auto"/>
            <w:left w:val="none" w:sz="0" w:space="0" w:color="auto"/>
            <w:bottom w:val="none" w:sz="0" w:space="0" w:color="auto"/>
            <w:right w:val="none" w:sz="0" w:space="0" w:color="auto"/>
          </w:divBdr>
        </w:div>
        <w:div w:id="1982419589">
          <w:marLeft w:val="640"/>
          <w:marRight w:val="0"/>
          <w:marTop w:val="0"/>
          <w:marBottom w:val="0"/>
          <w:divBdr>
            <w:top w:val="none" w:sz="0" w:space="0" w:color="auto"/>
            <w:left w:val="none" w:sz="0" w:space="0" w:color="auto"/>
            <w:bottom w:val="none" w:sz="0" w:space="0" w:color="auto"/>
            <w:right w:val="none" w:sz="0" w:space="0" w:color="auto"/>
          </w:divBdr>
        </w:div>
        <w:div w:id="1286303459">
          <w:marLeft w:val="640"/>
          <w:marRight w:val="0"/>
          <w:marTop w:val="0"/>
          <w:marBottom w:val="0"/>
          <w:divBdr>
            <w:top w:val="none" w:sz="0" w:space="0" w:color="auto"/>
            <w:left w:val="none" w:sz="0" w:space="0" w:color="auto"/>
            <w:bottom w:val="none" w:sz="0" w:space="0" w:color="auto"/>
            <w:right w:val="none" w:sz="0" w:space="0" w:color="auto"/>
          </w:divBdr>
        </w:div>
        <w:div w:id="765032975">
          <w:marLeft w:val="640"/>
          <w:marRight w:val="0"/>
          <w:marTop w:val="0"/>
          <w:marBottom w:val="0"/>
          <w:divBdr>
            <w:top w:val="none" w:sz="0" w:space="0" w:color="auto"/>
            <w:left w:val="none" w:sz="0" w:space="0" w:color="auto"/>
            <w:bottom w:val="none" w:sz="0" w:space="0" w:color="auto"/>
            <w:right w:val="none" w:sz="0" w:space="0" w:color="auto"/>
          </w:divBdr>
        </w:div>
        <w:div w:id="1070275951">
          <w:marLeft w:val="640"/>
          <w:marRight w:val="0"/>
          <w:marTop w:val="0"/>
          <w:marBottom w:val="0"/>
          <w:divBdr>
            <w:top w:val="none" w:sz="0" w:space="0" w:color="auto"/>
            <w:left w:val="none" w:sz="0" w:space="0" w:color="auto"/>
            <w:bottom w:val="none" w:sz="0" w:space="0" w:color="auto"/>
            <w:right w:val="none" w:sz="0" w:space="0" w:color="auto"/>
          </w:divBdr>
        </w:div>
        <w:div w:id="842085233">
          <w:marLeft w:val="640"/>
          <w:marRight w:val="0"/>
          <w:marTop w:val="0"/>
          <w:marBottom w:val="0"/>
          <w:divBdr>
            <w:top w:val="none" w:sz="0" w:space="0" w:color="auto"/>
            <w:left w:val="none" w:sz="0" w:space="0" w:color="auto"/>
            <w:bottom w:val="none" w:sz="0" w:space="0" w:color="auto"/>
            <w:right w:val="none" w:sz="0" w:space="0" w:color="auto"/>
          </w:divBdr>
        </w:div>
        <w:div w:id="2073506759">
          <w:marLeft w:val="640"/>
          <w:marRight w:val="0"/>
          <w:marTop w:val="0"/>
          <w:marBottom w:val="0"/>
          <w:divBdr>
            <w:top w:val="none" w:sz="0" w:space="0" w:color="auto"/>
            <w:left w:val="none" w:sz="0" w:space="0" w:color="auto"/>
            <w:bottom w:val="none" w:sz="0" w:space="0" w:color="auto"/>
            <w:right w:val="none" w:sz="0" w:space="0" w:color="auto"/>
          </w:divBdr>
        </w:div>
        <w:div w:id="1801025952">
          <w:marLeft w:val="640"/>
          <w:marRight w:val="0"/>
          <w:marTop w:val="0"/>
          <w:marBottom w:val="0"/>
          <w:divBdr>
            <w:top w:val="none" w:sz="0" w:space="0" w:color="auto"/>
            <w:left w:val="none" w:sz="0" w:space="0" w:color="auto"/>
            <w:bottom w:val="none" w:sz="0" w:space="0" w:color="auto"/>
            <w:right w:val="none" w:sz="0" w:space="0" w:color="auto"/>
          </w:divBdr>
        </w:div>
        <w:div w:id="636957553">
          <w:marLeft w:val="640"/>
          <w:marRight w:val="0"/>
          <w:marTop w:val="0"/>
          <w:marBottom w:val="0"/>
          <w:divBdr>
            <w:top w:val="none" w:sz="0" w:space="0" w:color="auto"/>
            <w:left w:val="none" w:sz="0" w:space="0" w:color="auto"/>
            <w:bottom w:val="none" w:sz="0" w:space="0" w:color="auto"/>
            <w:right w:val="none" w:sz="0" w:space="0" w:color="auto"/>
          </w:divBdr>
        </w:div>
        <w:div w:id="144126633">
          <w:marLeft w:val="640"/>
          <w:marRight w:val="0"/>
          <w:marTop w:val="0"/>
          <w:marBottom w:val="0"/>
          <w:divBdr>
            <w:top w:val="none" w:sz="0" w:space="0" w:color="auto"/>
            <w:left w:val="none" w:sz="0" w:space="0" w:color="auto"/>
            <w:bottom w:val="none" w:sz="0" w:space="0" w:color="auto"/>
            <w:right w:val="none" w:sz="0" w:space="0" w:color="auto"/>
          </w:divBdr>
        </w:div>
        <w:div w:id="99877103">
          <w:marLeft w:val="640"/>
          <w:marRight w:val="0"/>
          <w:marTop w:val="0"/>
          <w:marBottom w:val="0"/>
          <w:divBdr>
            <w:top w:val="none" w:sz="0" w:space="0" w:color="auto"/>
            <w:left w:val="none" w:sz="0" w:space="0" w:color="auto"/>
            <w:bottom w:val="none" w:sz="0" w:space="0" w:color="auto"/>
            <w:right w:val="none" w:sz="0" w:space="0" w:color="auto"/>
          </w:divBdr>
        </w:div>
        <w:div w:id="1590235346">
          <w:marLeft w:val="640"/>
          <w:marRight w:val="0"/>
          <w:marTop w:val="0"/>
          <w:marBottom w:val="0"/>
          <w:divBdr>
            <w:top w:val="none" w:sz="0" w:space="0" w:color="auto"/>
            <w:left w:val="none" w:sz="0" w:space="0" w:color="auto"/>
            <w:bottom w:val="none" w:sz="0" w:space="0" w:color="auto"/>
            <w:right w:val="none" w:sz="0" w:space="0" w:color="auto"/>
          </w:divBdr>
        </w:div>
        <w:div w:id="1251498819">
          <w:marLeft w:val="640"/>
          <w:marRight w:val="0"/>
          <w:marTop w:val="0"/>
          <w:marBottom w:val="0"/>
          <w:divBdr>
            <w:top w:val="none" w:sz="0" w:space="0" w:color="auto"/>
            <w:left w:val="none" w:sz="0" w:space="0" w:color="auto"/>
            <w:bottom w:val="none" w:sz="0" w:space="0" w:color="auto"/>
            <w:right w:val="none" w:sz="0" w:space="0" w:color="auto"/>
          </w:divBdr>
        </w:div>
        <w:div w:id="1206331021">
          <w:marLeft w:val="640"/>
          <w:marRight w:val="0"/>
          <w:marTop w:val="0"/>
          <w:marBottom w:val="0"/>
          <w:divBdr>
            <w:top w:val="none" w:sz="0" w:space="0" w:color="auto"/>
            <w:left w:val="none" w:sz="0" w:space="0" w:color="auto"/>
            <w:bottom w:val="none" w:sz="0" w:space="0" w:color="auto"/>
            <w:right w:val="none" w:sz="0" w:space="0" w:color="auto"/>
          </w:divBdr>
        </w:div>
        <w:div w:id="307714643">
          <w:marLeft w:val="640"/>
          <w:marRight w:val="0"/>
          <w:marTop w:val="0"/>
          <w:marBottom w:val="0"/>
          <w:divBdr>
            <w:top w:val="none" w:sz="0" w:space="0" w:color="auto"/>
            <w:left w:val="none" w:sz="0" w:space="0" w:color="auto"/>
            <w:bottom w:val="none" w:sz="0" w:space="0" w:color="auto"/>
            <w:right w:val="none" w:sz="0" w:space="0" w:color="auto"/>
          </w:divBdr>
        </w:div>
        <w:div w:id="845248372">
          <w:marLeft w:val="640"/>
          <w:marRight w:val="0"/>
          <w:marTop w:val="0"/>
          <w:marBottom w:val="0"/>
          <w:divBdr>
            <w:top w:val="none" w:sz="0" w:space="0" w:color="auto"/>
            <w:left w:val="none" w:sz="0" w:space="0" w:color="auto"/>
            <w:bottom w:val="none" w:sz="0" w:space="0" w:color="auto"/>
            <w:right w:val="none" w:sz="0" w:space="0" w:color="auto"/>
          </w:divBdr>
        </w:div>
        <w:div w:id="1260524261">
          <w:marLeft w:val="640"/>
          <w:marRight w:val="0"/>
          <w:marTop w:val="0"/>
          <w:marBottom w:val="0"/>
          <w:divBdr>
            <w:top w:val="none" w:sz="0" w:space="0" w:color="auto"/>
            <w:left w:val="none" w:sz="0" w:space="0" w:color="auto"/>
            <w:bottom w:val="none" w:sz="0" w:space="0" w:color="auto"/>
            <w:right w:val="none" w:sz="0" w:space="0" w:color="auto"/>
          </w:divBdr>
        </w:div>
        <w:div w:id="1694182226">
          <w:marLeft w:val="640"/>
          <w:marRight w:val="0"/>
          <w:marTop w:val="0"/>
          <w:marBottom w:val="0"/>
          <w:divBdr>
            <w:top w:val="none" w:sz="0" w:space="0" w:color="auto"/>
            <w:left w:val="none" w:sz="0" w:space="0" w:color="auto"/>
            <w:bottom w:val="none" w:sz="0" w:space="0" w:color="auto"/>
            <w:right w:val="none" w:sz="0" w:space="0" w:color="auto"/>
          </w:divBdr>
        </w:div>
        <w:div w:id="233396512">
          <w:marLeft w:val="640"/>
          <w:marRight w:val="0"/>
          <w:marTop w:val="0"/>
          <w:marBottom w:val="0"/>
          <w:divBdr>
            <w:top w:val="none" w:sz="0" w:space="0" w:color="auto"/>
            <w:left w:val="none" w:sz="0" w:space="0" w:color="auto"/>
            <w:bottom w:val="none" w:sz="0" w:space="0" w:color="auto"/>
            <w:right w:val="none" w:sz="0" w:space="0" w:color="auto"/>
          </w:divBdr>
        </w:div>
        <w:div w:id="1279684412">
          <w:marLeft w:val="640"/>
          <w:marRight w:val="0"/>
          <w:marTop w:val="0"/>
          <w:marBottom w:val="0"/>
          <w:divBdr>
            <w:top w:val="none" w:sz="0" w:space="0" w:color="auto"/>
            <w:left w:val="none" w:sz="0" w:space="0" w:color="auto"/>
            <w:bottom w:val="none" w:sz="0" w:space="0" w:color="auto"/>
            <w:right w:val="none" w:sz="0" w:space="0" w:color="auto"/>
          </w:divBdr>
        </w:div>
        <w:div w:id="41829916">
          <w:marLeft w:val="640"/>
          <w:marRight w:val="0"/>
          <w:marTop w:val="0"/>
          <w:marBottom w:val="0"/>
          <w:divBdr>
            <w:top w:val="none" w:sz="0" w:space="0" w:color="auto"/>
            <w:left w:val="none" w:sz="0" w:space="0" w:color="auto"/>
            <w:bottom w:val="none" w:sz="0" w:space="0" w:color="auto"/>
            <w:right w:val="none" w:sz="0" w:space="0" w:color="auto"/>
          </w:divBdr>
        </w:div>
        <w:div w:id="1286962538">
          <w:marLeft w:val="640"/>
          <w:marRight w:val="0"/>
          <w:marTop w:val="0"/>
          <w:marBottom w:val="0"/>
          <w:divBdr>
            <w:top w:val="none" w:sz="0" w:space="0" w:color="auto"/>
            <w:left w:val="none" w:sz="0" w:space="0" w:color="auto"/>
            <w:bottom w:val="none" w:sz="0" w:space="0" w:color="auto"/>
            <w:right w:val="none" w:sz="0" w:space="0" w:color="auto"/>
          </w:divBdr>
        </w:div>
        <w:div w:id="1743524195">
          <w:marLeft w:val="640"/>
          <w:marRight w:val="0"/>
          <w:marTop w:val="0"/>
          <w:marBottom w:val="0"/>
          <w:divBdr>
            <w:top w:val="none" w:sz="0" w:space="0" w:color="auto"/>
            <w:left w:val="none" w:sz="0" w:space="0" w:color="auto"/>
            <w:bottom w:val="none" w:sz="0" w:space="0" w:color="auto"/>
            <w:right w:val="none" w:sz="0" w:space="0" w:color="auto"/>
          </w:divBdr>
        </w:div>
        <w:div w:id="303511850">
          <w:marLeft w:val="640"/>
          <w:marRight w:val="0"/>
          <w:marTop w:val="0"/>
          <w:marBottom w:val="0"/>
          <w:divBdr>
            <w:top w:val="none" w:sz="0" w:space="0" w:color="auto"/>
            <w:left w:val="none" w:sz="0" w:space="0" w:color="auto"/>
            <w:bottom w:val="none" w:sz="0" w:space="0" w:color="auto"/>
            <w:right w:val="none" w:sz="0" w:space="0" w:color="auto"/>
          </w:divBdr>
        </w:div>
        <w:div w:id="575749807">
          <w:marLeft w:val="640"/>
          <w:marRight w:val="0"/>
          <w:marTop w:val="0"/>
          <w:marBottom w:val="0"/>
          <w:divBdr>
            <w:top w:val="none" w:sz="0" w:space="0" w:color="auto"/>
            <w:left w:val="none" w:sz="0" w:space="0" w:color="auto"/>
            <w:bottom w:val="none" w:sz="0" w:space="0" w:color="auto"/>
            <w:right w:val="none" w:sz="0" w:space="0" w:color="auto"/>
          </w:divBdr>
        </w:div>
        <w:div w:id="1413089121">
          <w:marLeft w:val="640"/>
          <w:marRight w:val="0"/>
          <w:marTop w:val="0"/>
          <w:marBottom w:val="0"/>
          <w:divBdr>
            <w:top w:val="none" w:sz="0" w:space="0" w:color="auto"/>
            <w:left w:val="none" w:sz="0" w:space="0" w:color="auto"/>
            <w:bottom w:val="none" w:sz="0" w:space="0" w:color="auto"/>
            <w:right w:val="none" w:sz="0" w:space="0" w:color="auto"/>
          </w:divBdr>
        </w:div>
        <w:div w:id="427894770">
          <w:marLeft w:val="640"/>
          <w:marRight w:val="0"/>
          <w:marTop w:val="0"/>
          <w:marBottom w:val="0"/>
          <w:divBdr>
            <w:top w:val="none" w:sz="0" w:space="0" w:color="auto"/>
            <w:left w:val="none" w:sz="0" w:space="0" w:color="auto"/>
            <w:bottom w:val="none" w:sz="0" w:space="0" w:color="auto"/>
            <w:right w:val="none" w:sz="0" w:space="0" w:color="auto"/>
          </w:divBdr>
        </w:div>
        <w:div w:id="30571022">
          <w:marLeft w:val="640"/>
          <w:marRight w:val="0"/>
          <w:marTop w:val="0"/>
          <w:marBottom w:val="0"/>
          <w:divBdr>
            <w:top w:val="none" w:sz="0" w:space="0" w:color="auto"/>
            <w:left w:val="none" w:sz="0" w:space="0" w:color="auto"/>
            <w:bottom w:val="none" w:sz="0" w:space="0" w:color="auto"/>
            <w:right w:val="none" w:sz="0" w:space="0" w:color="auto"/>
          </w:divBdr>
        </w:div>
        <w:div w:id="425349404">
          <w:marLeft w:val="640"/>
          <w:marRight w:val="0"/>
          <w:marTop w:val="0"/>
          <w:marBottom w:val="0"/>
          <w:divBdr>
            <w:top w:val="none" w:sz="0" w:space="0" w:color="auto"/>
            <w:left w:val="none" w:sz="0" w:space="0" w:color="auto"/>
            <w:bottom w:val="none" w:sz="0" w:space="0" w:color="auto"/>
            <w:right w:val="none" w:sz="0" w:space="0" w:color="auto"/>
          </w:divBdr>
        </w:div>
        <w:div w:id="1151212861">
          <w:marLeft w:val="640"/>
          <w:marRight w:val="0"/>
          <w:marTop w:val="0"/>
          <w:marBottom w:val="0"/>
          <w:divBdr>
            <w:top w:val="none" w:sz="0" w:space="0" w:color="auto"/>
            <w:left w:val="none" w:sz="0" w:space="0" w:color="auto"/>
            <w:bottom w:val="none" w:sz="0" w:space="0" w:color="auto"/>
            <w:right w:val="none" w:sz="0" w:space="0" w:color="auto"/>
          </w:divBdr>
        </w:div>
        <w:div w:id="1140145699">
          <w:marLeft w:val="640"/>
          <w:marRight w:val="0"/>
          <w:marTop w:val="0"/>
          <w:marBottom w:val="0"/>
          <w:divBdr>
            <w:top w:val="none" w:sz="0" w:space="0" w:color="auto"/>
            <w:left w:val="none" w:sz="0" w:space="0" w:color="auto"/>
            <w:bottom w:val="none" w:sz="0" w:space="0" w:color="auto"/>
            <w:right w:val="none" w:sz="0" w:space="0" w:color="auto"/>
          </w:divBdr>
        </w:div>
        <w:div w:id="1380284044">
          <w:marLeft w:val="640"/>
          <w:marRight w:val="0"/>
          <w:marTop w:val="0"/>
          <w:marBottom w:val="0"/>
          <w:divBdr>
            <w:top w:val="none" w:sz="0" w:space="0" w:color="auto"/>
            <w:left w:val="none" w:sz="0" w:space="0" w:color="auto"/>
            <w:bottom w:val="none" w:sz="0" w:space="0" w:color="auto"/>
            <w:right w:val="none" w:sz="0" w:space="0" w:color="auto"/>
          </w:divBdr>
        </w:div>
        <w:div w:id="69278645">
          <w:marLeft w:val="640"/>
          <w:marRight w:val="0"/>
          <w:marTop w:val="0"/>
          <w:marBottom w:val="0"/>
          <w:divBdr>
            <w:top w:val="none" w:sz="0" w:space="0" w:color="auto"/>
            <w:left w:val="none" w:sz="0" w:space="0" w:color="auto"/>
            <w:bottom w:val="none" w:sz="0" w:space="0" w:color="auto"/>
            <w:right w:val="none" w:sz="0" w:space="0" w:color="auto"/>
          </w:divBdr>
        </w:div>
        <w:div w:id="135876197">
          <w:marLeft w:val="640"/>
          <w:marRight w:val="0"/>
          <w:marTop w:val="0"/>
          <w:marBottom w:val="0"/>
          <w:divBdr>
            <w:top w:val="none" w:sz="0" w:space="0" w:color="auto"/>
            <w:left w:val="none" w:sz="0" w:space="0" w:color="auto"/>
            <w:bottom w:val="none" w:sz="0" w:space="0" w:color="auto"/>
            <w:right w:val="none" w:sz="0" w:space="0" w:color="auto"/>
          </w:divBdr>
        </w:div>
        <w:div w:id="296569407">
          <w:marLeft w:val="640"/>
          <w:marRight w:val="0"/>
          <w:marTop w:val="0"/>
          <w:marBottom w:val="0"/>
          <w:divBdr>
            <w:top w:val="none" w:sz="0" w:space="0" w:color="auto"/>
            <w:left w:val="none" w:sz="0" w:space="0" w:color="auto"/>
            <w:bottom w:val="none" w:sz="0" w:space="0" w:color="auto"/>
            <w:right w:val="none" w:sz="0" w:space="0" w:color="auto"/>
          </w:divBdr>
        </w:div>
        <w:div w:id="1895194264">
          <w:marLeft w:val="640"/>
          <w:marRight w:val="0"/>
          <w:marTop w:val="0"/>
          <w:marBottom w:val="0"/>
          <w:divBdr>
            <w:top w:val="none" w:sz="0" w:space="0" w:color="auto"/>
            <w:left w:val="none" w:sz="0" w:space="0" w:color="auto"/>
            <w:bottom w:val="none" w:sz="0" w:space="0" w:color="auto"/>
            <w:right w:val="none" w:sz="0" w:space="0" w:color="auto"/>
          </w:divBdr>
        </w:div>
        <w:div w:id="383331428">
          <w:marLeft w:val="640"/>
          <w:marRight w:val="0"/>
          <w:marTop w:val="0"/>
          <w:marBottom w:val="0"/>
          <w:divBdr>
            <w:top w:val="none" w:sz="0" w:space="0" w:color="auto"/>
            <w:left w:val="none" w:sz="0" w:space="0" w:color="auto"/>
            <w:bottom w:val="none" w:sz="0" w:space="0" w:color="auto"/>
            <w:right w:val="none" w:sz="0" w:space="0" w:color="auto"/>
          </w:divBdr>
        </w:div>
        <w:div w:id="515315949">
          <w:marLeft w:val="640"/>
          <w:marRight w:val="0"/>
          <w:marTop w:val="0"/>
          <w:marBottom w:val="0"/>
          <w:divBdr>
            <w:top w:val="none" w:sz="0" w:space="0" w:color="auto"/>
            <w:left w:val="none" w:sz="0" w:space="0" w:color="auto"/>
            <w:bottom w:val="none" w:sz="0" w:space="0" w:color="auto"/>
            <w:right w:val="none" w:sz="0" w:space="0" w:color="auto"/>
          </w:divBdr>
        </w:div>
        <w:div w:id="1025863467">
          <w:marLeft w:val="640"/>
          <w:marRight w:val="0"/>
          <w:marTop w:val="0"/>
          <w:marBottom w:val="0"/>
          <w:divBdr>
            <w:top w:val="none" w:sz="0" w:space="0" w:color="auto"/>
            <w:left w:val="none" w:sz="0" w:space="0" w:color="auto"/>
            <w:bottom w:val="none" w:sz="0" w:space="0" w:color="auto"/>
            <w:right w:val="none" w:sz="0" w:space="0" w:color="auto"/>
          </w:divBdr>
        </w:div>
        <w:div w:id="1855075360">
          <w:marLeft w:val="640"/>
          <w:marRight w:val="0"/>
          <w:marTop w:val="0"/>
          <w:marBottom w:val="0"/>
          <w:divBdr>
            <w:top w:val="none" w:sz="0" w:space="0" w:color="auto"/>
            <w:left w:val="none" w:sz="0" w:space="0" w:color="auto"/>
            <w:bottom w:val="none" w:sz="0" w:space="0" w:color="auto"/>
            <w:right w:val="none" w:sz="0" w:space="0" w:color="auto"/>
          </w:divBdr>
        </w:div>
        <w:div w:id="1057239515">
          <w:marLeft w:val="640"/>
          <w:marRight w:val="0"/>
          <w:marTop w:val="0"/>
          <w:marBottom w:val="0"/>
          <w:divBdr>
            <w:top w:val="none" w:sz="0" w:space="0" w:color="auto"/>
            <w:left w:val="none" w:sz="0" w:space="0" w:color="auto"/>
            <w:bottom w:val="none" w:sz="0" w:space="0" w:color="auto"/>
            <w:right w:val="none" w:sz="0" w:space="0" w:color="auto"/>
          </w:divBdr>
        </w:div>
        <w:div w:id="659769660">
          <w:marLeft w:val="640"/>
          <w:marRight w:val="0"/>
          <w:marTop w:val="0"/>
          <w:marBottom w:val="0"/>
          <w:divBdr>
            <w:top w:val="none" w:sz="0" w:space="0" w:color="auto"/>
            <w:left w:val="none" w:sz="0" w:space="0" w:color="auto"/>
            <w:bottom w:val="none" w:sz="0" w:space="0" w:color="auto"/>
            <w:right w:val="none" w:sz="0" w:space="0" w:color="auto"/>
          </w:divBdr>
        </w:div>
        <w:div w:id="430399991">
          <w:marLeft w:val="640"/>
          <w:marRight w:val="0"/>
          <w:marTop w:val="0"/>
          <w:marBottom w:val="0"/>
          <w:divBdr>
            <w:top w:val="none" w:sz="0" w:space="0" w:color="auto"/>
            <w:left w:val="none" w:sz="0" w:space="0" w:color="auto"/>
            <w:bottom w:val="none" w:sz="0" w:space="0" w:color="auto"/>
            <w:right w:val="none" w:sz="0" w:space="0" w:color="auto"/>
          </w:divBdr>
        </w:div>
        <w:div w:id="1466509682">
          <w:marLeft w:val="640"/>
          <w:marRight w:val="0"/>
          <w:marTop w:val="0"/>
          <w:marBottom w:val="0"/>
          <w:divBdr>
            <w:top w:val="none" w:sz="0" w:space="0" w:color="auto"/>
            <w:left w:val="none" w:sz="0" w:space="0" w:color="auto"/>
            <w:bottom w:val="none" w:sz="0" w:space="0" w:color="auto"/>
            <w:right w:val="none" w:sz="0" w:space="0" w:color="auto"/>
          </w:divBdr>
        </w:div>
        <w:div w:id="209460220">
          <w:marLeft w:val="640"/>
          <w:marRight w:val="0"/>
          <w:marTop w:val="0"/>
          <w:marBottom w:val="0"/>
          <w:divBdr>
            <w:top w:val="none" w:sz="0" w:space="0" w:color="auto"/>
            <w:left w:val="none" w:sz="0" w:space="0" w:color="auto"/>
            <w:bottom w:val="none" w:sz="0" w:space="0" w:color="auto"/>
            <w:right w:val="none" w:sz="0" w:space="0" w:color="auto"/>
          </w:divBdr>
        </w:div>
        <w:div w:id="740100540">
          <w:marLeft w:val="640"/>
          <w:marRight w:val="0"/>
          <w:marTop w:val="0"/>
          <w:marBottom w:val="0"/>
          <w:divBdr>
            <w:top w:val="none" w:sz="0" w:space="0" w:color="auto"/>
            <w:left w:val="none" w:sz="0" w:space="0" w:color="auto"/>
            <w:bottom w:val="none" w:sz="0" w:space="0" w:color="auto"/>
            <w:right w:val="none" w:sz="0" w:space="0" w:color="auto"/>
          </w:divBdr>
        </w:div>
        <w:div w:id="248739970">
          <w:marLeft w:val="640"/>
          <w:marRight w:val="0"/>
          <w:marTop w:val="0"/>
          <w:marBottom w:val="0"/>
          <w:divBdr>
            <w:top w:val="none" w:sz="0" w:space="0" w:color="auto"/>
            <w:left w:val="none" w:sz="0" w:space="0" w:color="auto"/>
            <w:bottom w:val="none" w:sz="0" w:space="0" w:color="auto"/>
            <w:right w:val="none" w:sz="0" w:space="0" w:color="auto"/>
          </w:divBdr>
        </w:div>
        <w:div w:id="773790870">
          <w:marLeft w:val="640"/>
          <w:marRight w:val="0"/>
          <w:marTop w:val="0"/>
          <w:marBottom w:val="0"/>
          <w:divBdr>
            <w:top w:val="none" w:sz="0" w:space="0" w:color="auto"/>
            <w:left w:val="none" w:sz="0" w:space="0" w:color="auto"/>
            <w:bottom w:val="none" w:sz="0" w:space="0" w:color="auto"/>
            <w:right w:val="none" w:sz="0" w:space="0" w:color="auto"/>
          </w:divBdr>
        </w:div>
        <w:div w:id="1216115918">
          <w:marLeft w:val="640"/>
          <w:marRight w:val="0"/>
          <w:marTop w:val="0"/>
          <w:marBottom w:val="0"/>
          <w:divBdr>
            <w:top w:val="none" w:sz="0" w:space="0" w:color="auto"/>
            <w:left w:val="none" w:sz="0" w:space="0" w:color="auto"/>
            <w:bottom w:val="none" w:sz="0" w:space="0" w:color="auto"/>
            <w:right w:val="none" w:sz="0" w:space="0" w:color="auto"/>
          </w:divBdr>
        </w:div>
        <w:div w:id="889223214">
          <w:marLeft w:val="640"/>
          <w:marRight w:val="0"/>
          <w:marTop w:val="0"/>
          <w:marBottom w:val="0"/>
          <w:divBdr>
            <w:top w:val="none" w:sz="0" w:space="0" w:color="auto"/>
            <w:left w:val="none" w:sz="0" w:space="0" w:color="auto"/>
            <w:bottom w:val="none" w:sz="0" w:space="0" w:color="auto"/>
            <w:right w:val="none" w:sz="0" w:space="0" w:color="auto"/>
          </w:divBdr>
        </w:div>
        <w:div w:id="886769346">
          <w:marLeft w:val="640"/>
          <w:marRight w:val="0"/>
          <w:marTop w:val="0"/>
          <w:marBottom w:val="0"/>
          <w:divBdr>
            <w:top w:val="none" w:sz="0" w:space="0" w:color="auto"/>
            <w:left w:val="none" w:sz="0" w:space="0" w:color="auto"/>
            <w:bottom w:val="none" w:sz="0" w:space="0" w:color="auto"/>
            <w:right w:val="none" w:sz="0" w:space="0" w:color="auto"/>
          </w:divBdr>
        </w:div>
        <w:div w:id="1271161468">
          <w:marLeft w:val="640"/>
          <w:marRight w:val="0"/>
          <w:marTop w:val="0"/>
          <w:marBottom w:val="0"/>
          <w:divBdr>
            <w:top w:val="none" w:sz="0" w:space="0" w:color="auto"/>
            <w:left w:val="none" w:sz="0" w:space="0" w:color="auto"/>
            <w:bottom w:val="none" w:sz="0" w:space="0" w:color="auto"/>
            <w:right w:val="none" w:sz="0" w:space="0" w:color="auto"/>
          </w:divBdr>
        </w:div>
        <w:div w:id="1419406567">
          <w:marLeft w:val="640"/>
          <w:marRight w:val="0"/>
          <w:marTop w:val="0"/>
          <w:marBottom w:val="0"/>
          <w:divBdr>
            <w:top w:val="none" w:sz="0" w:space="0" w:color="auto"/>
            <w:left w:val="none" w:sz="0" w:space="0" w:color="auto"/>
            <w:bottom w:val="none" w:sz="0" w:space="0" w:color="auto"/>
            <w:right w:val="none" w:sz="0" w:space="0" w:color="auto"/>
          </w:divBdr>
        </w:div>
        <w:div w:id="253319162">
          <w:marLeft w:val="640"/>
          <w:marRight w:val="0"/>
          <w:marTop w:val="0"/>
          <w:marBottom w:val="0"/>
          <w:divBdr>
            <w:top w:val="none" w:sz="0" w:space="0" w:color="auto"/>
            <w:left w:val="none" w:sz="0" w:space="0" w:color="auto"/>
            <w:bottom w:val="none" w:sz="0" w:space="0" w:color="auto"/>
            <w:right w:val="none" w:sz="0" w:space="0" w:color="auto"/>
          </w:divBdr>
        </w:div>
        <w:div w:id="1118255424">
          <w:marLeft w:val="640"/>
          <w:marRight w:val="0"/>
          <w:marTop w:val="0"/>
          <w:marBottom w:val="0"/>
          <w:divBdr>
            <w:top w:val="none" w:sz="0" w:space="0" w:color="auto"/>
            <w:left w:val="none" w:sz="0" w:space="0" w:color="auto"/>
            <w:bottom w:val="none" w:sz="0" w:space="0" w:color="auto"/>
            <w:right w:val="none" w:sz="0" w:space="0" w:color="auto"/>
          </w:divBdr>
        </w:div>
        <w:div w:id="1899969308">
          <w:marLeft w:val="640"/>
          <w:marRight w:val="0"/>
          <w:marTop w:val="0"/>
          <w:marBottom w:val="0"/>
          <w:divBdr>
            <w:top w:val="none" w:sz="0" w:space="0" w:color="auto"/>
            <w:left w:val="none" w:sz="0" w:space="0" w:color="auto"/>
            <w:bottom w:val="none" w:sz="0" w:space="0" w:color="auto"/>
            <w:right w:val="none" w:sz="0" w:space="0" w:color="auto"/>
          </w:divBdr>
        </w:div>
        <w:div w:id="731342976">
          <w:marLeft w:val="640"/>
          <w:marRight w:val="0"/>
          <w:marTop w:val="0"/>
          <w:marBottom w:val="0"/>
          <w:divBdr>
            <w:top w:val="none" w:sz="0" w:space="0" w:color="auto"/>
            <w:left w:val="none" w:sz="0" w:space="0" w:color="auto"/>
            <w:bottom w:val="none" w:sz="0" w:space="0" w:color="auto"/>
            <w:right w:val="none" w:sz="0" w:space="0" w:color="auto"/>
          </w:divBdr>
        </w:div>
        <w:div w:id="802385840">
          <w:marLeft w:val="640"/>
          <w:marRight w:val="0"/>
          <w:marTop w:val="0"/>
          <w:marBottom w:val="0"/>
          <w:divBdr>
            <w:top w:val="none" w:sz="0" w:space="0" w:color="auto"/>
            <w:left w:val="none" w:sz="0" w:space="0" w:color="auto"/>
            <w:bottom w:val="none" w:sz="0" w:space="0" w:color="auto"/>
            <w:right w:val="none" w:sz="0" w:space="0" w:color="auto"/>
          </w:divBdr>
        </w:div>
        <w:div w:id="1839417738">
          <w:marLeft w:val="640"/>
          <w:marRight w:val="0"/>
          <w:marTop w:val="0"/>
          <w:marBottom w:val="0"/>
          <w:divBdr>
            <w:top w:val="none" w:sz="0" w:space="0" w:color="auto"/>
            <w:left w:val="none" w:sz="0" w:space="0" w:color="auto"/>
            <w:bottom w:val="none" w:sz="0" w:space="0" w:color="auto"/>
            <w:right w:val="none" w:sz="0" w:space="0" w:color="auto"/>
          </w:divBdr>
        </w:div>
        <w:div w:id="1174690521">
          <w:marLeft w:val="640"/>
          <w:marRight w:val="0"/>
          <w:marTop w:val="0"/>
          <w:marBottom w:val="0"/>
          <w:divBdr>
            <w:top w:val="none" w:sz="0" w:space="0" w:color="auto"/>
            <w:left w:val="none" w:sz="0" w:space="0" w:color="auto"/>
            <w:bottom w:val="none" w:sz="0" w:space="0" w:color="auto"/>
            <w:right w:val="none" w:sz="0" w:space="0" w:color="auto"/>
          </w:divBdr>
        </w:div>
        <w:div w:id="1460030511">
          <w:marLeft w:val="640"/>
          <w:marRight w:val="0"/>
          <w:marTop w:val="0"/>
          <w:marBottom w:val="0"/>
          <w:divBdr>
            <w:top w:val="none" w:sz="0" w:space="0" w:color="auto"/>
            <w:left w:val="none" w:sz="0" w:space="0" w:color="auto"/>
            <w:bottom w:val="none" w:sz="0" w:space="0" w:color="auto"/>
            <w:right w:val="none" w:sz="0" w:space="0" w:color="auto"/>
          </w:divBdr>
        </w:div>
        <w:div w:id="977804907">
          <w:marLeft w:val="640"/>
          <w:marRight w:val="0"/>
          <w:marTop w:val="0"/>
          <w:marBottom w:val="0"/>
          <w:divBdr>
            <w:top w:val="none" w:sz="0" w:space="0" w:color="auto"/>
            <w:left w:val="none" w:sz="0" w:space="0" w:color="auto"/>
            <w:bottom w:val="none" w:sz="0" w:space="0" w:color="auto"/>
            <w:right w:val="none" w:sz="0" w:space="0" w:color="auto"/>
          </w:divBdr>
        </w:div>
        <w:div w:id="261231425">
          <w:marLeft w:val="640"/>
          <w:marRight w:val="0"/>
          <w:marTop w:val="0"/>
          <w:marBottom w:val="0"/>
          <w:divBdr>
            <w:top w:val="none" w:sz="0" w:space="0" w:color="auto"/>
            <w:left w:val="none" w:sz="0" w:space="0" w:color="auto"/>
            <w:bottom w:val="none" w:sz="0" w:space="0" w:color="auto"/>
            <w:right w:val="none" w:sz="0" w:space="0" w:color="auto"/>
          </w:divBdr>
        </w:div>
        <w:div w:id="711928980">
          <w:marLeft w:val="640"/>
          <w:marRight w:val="0"/>
          <w:marTop w:val="0"/>
          <w:marBottom w:val="0"/>
          <w:divBdr>
            <w:top w:val="none" w:sz="0" w:space="0" w:color="auto"/>
            <w:left w:val="none" w:sz="0" w:space="0" w:color="auto"/>
            <w:bottom w:val="none" w:sz="0" w:space="0" w:color="auto"/>
            <w:right w:val="none" w:sz="0" w:space="0" w:color="auto"/>
          </w:divBdr>
        </w:div>
        <w:div w:id="745035706">
          <w:marLeft w:val="640"/>
          <w:marRight w:val="0"/>
          <w:marTop w:val="0"/>
          <w:marBottom w:val="0"/>
          <w:divBdr>
            <w:top w:val="none" w:sz="0" w:space="0" w:color="auto"/>
            <w:left w:val="none" w:sz="0" w:space="0" w:color="auto"/>
            <w:bottom w:val="none" w:sz="0" w:space="0" w:color="auto"/>
            <w:right w:val="none" w:sz="0" w:space="0" w:color="auto"/>
          </w:divBdr>
        </w:div>
        <w:div w:id="477111281">
          <w:marLeft w:val="640"/>
          <w:marRight w:val="0"/>
          <w:marTop w:val="0"/>
          <w:marBottom w:val="0"/>
          <w:divBdr>
            <w:top w:val="none" w:sz="0" w:space="0" w:color="auto"/>
            <w:left w:val="none" w:sz="0" w:space="0" w:color="auto"/>
            <w:bottom w:val="none" w:sz="0" w:space="0" w:color="auto"/>
            <w:right w:val="none" w:sz="0" w:space="0" w:color="auto"/>
          </w:divBdr>
        </w:div>
        <w:div w:id="1448964140">
          <w:marLeft w:val="640"/>
          <w:marRight w:val="0"/>
          <w:marTop w:val="0"/>
          <w:marBottom w:val="0"/>
          <w:divBdr>
            <w:top w:val="none" w:sz="0" w:space="0" w:color="auto"/>
            <w:left w:val="none" w:sz="0" w:space="0" w:color="auto"/>
            <w:bottom w:val="none" w:sz="0" w:space="0" w:color="auto"/>
            <w:right w:val="none" w:sz="0" w:space="0" w:color="auto"/>
          </w:divBdr>
        </w:div>
        <w:div w:id="2143379646">
          <w:marLeft w:val="640"/>
          <w:marRight w:val="0"/>
          <w:marTop w:val="0"/>
          <w:marBottom w:val="0"/>
          <w:divBdr>
            <w:top w:val="none" w:sz="0" w:space="0" w:color="auto"/>
            <w:left w:val="none" w:sz="0" w:space="0" w:color="auto"/>
            <w:bottom w:val="none" w:sz="0" w:space="0" w:color="auto"/>
            <w:right w:val="none" w:sz="0" w:space="0" w:color="auto"/>
          </w:divBdr>
        </w:div>
        <w:div w:id="211812506">
          <w:marLeft w:val="640"/>
          <w:marRight w:val="0"/>
          <w:marTop w:val="0"/>
          <w:marBottom w:val="0"/>
          <w:divBdr>
            <w:top w:val="none" w:sz="0" w:space="0" w:color="auto"/>
            <w:left w:val="none" w:sz="0" w:space="0" w:color="auto"/>
            <w:bottom w:val="none" w:sz="0" w:space="0" w:color="auto"/>
            <w:right w:val="none" w:sz="0" w:space="0" w:color="auto"/>
          </w:divBdr>
        </w:div>
        <w:div w:id="169569535">
          <w:marLeft w:val="640"/>
          <w:marRight w:val="0"/>
          <w:marTop w:val="0"/>
          <w:marBottom w:val="0"/>
          <w:divBdr>
            <w:top w:val="none" w:sz="0" w:space="0" w:color="auto"/>
            <w:left w:val="none" w:sz="0" w:space="0" w:color="auto"/>
            <w:bottom w:val="none" w:sz="0" w:space="0" w:color="auto"/>
            <w:right w:val="none" w:sz="0" w:space="0" w:color="auto"/>
          </w:divBdr>
        </w:div>
        <w:div w:id="253324111">
          <w:marLeft w:val="640"/>
          <w:marRight w:val="0"/>
          <w:marTop w:val="0"/>
          <w:marBottom w:val="0"/>
          <w:divBdr>
            <w:top w:val="none" w:sz="0" w:space="0" w:color="auto"/>
            <w:left w:val="none" w:sz="0" w:space="0" w:color="auto"/>
            <w:bottom w:val="none" w:sz="0" w:space="0" w:color="auto"/>
            <w:right w:val="none" w:sz="0" w:space="0" w:color="auto"/>
          </w:divBdr>
        </w:div>
        <w:div w:id="1344355523">
          <w:marLeft w:val="640"/>
          <w:marRight w:val="0"/>
          <w:marTop w:val="0"/>
          <w:marBottom w:val="0"/>
          <w:divBdr>
            <w:top w:val="none" w:sz="0" w:space="0" w:color="auto"/>
            <w:left w:val="none" w:sz="0" w:space="0" w:color="auto"/>
            <w:bottom w:val="none" w:sz="0" w:space="0" w:color="auto"/>
            <w:right w:val="none" w:sz="0" w:space="0" w:color="auto"/>
          </w:divBdr>
        </w:div>
        <w:div w:id="370611415">
          <w:marLeft w:val="640"/>
          <w:marRight w:val="0"/>
          <w:marTop w:val="0"/>
          <w:marBottom w:val="0"/>
          <w:divBdr>
            <w:top w:val="none" w:sz="0" w:space="0" w:color="auto"/>
            <w:left w:val="none" w:sz="0" w:space="0" w:color="auto"/>
            <w:bottom w:val="none" w:sz="0" w:space="0" w:color="auto"/>
            <w:right w:val="none" w:sz="0" w:space="0" w:color="auto"/>
          </w:divBdr>
        </w:div>
      </w:divsChild>
    </w:div>
    <w:div w:id="2109958301">
      <w:bodyDiv w:val="1"/>
      <w:marLeft w:val="0"/>
      <w:marRight w:val="0"/>
      <w:marTop w:val="0"/>
      <w:marBottom w:val="0"/>
      <w:divBdr>
        <w:top w:val="none" w:sz="0" w:space="0" w:color="auto"/>
        <w:left w:val="none" w:sz="0" w:space="0" w:color="auto"/>
        <w:bottom w:val="none" w:sz="0" w:space="0" w:color="auto"/>
        <w:right w:val="none" w:sz="0" w:space="0" w:color="auto"/>
      </w:divBdr>
    </w:div>
    <w:div w:id="2111965968">
      <w:bodyDiv w:val="1"/>
      <w:marLeft w:val="0"/>
      <w:marRight w:val="0"/>
      <w:marTop w:val="0"/>
      <w:marBottom w:val="0"/>
      <w:divBdr>
        <w:top w:val="none" w:sz="0" w:space="0" w:color="auto"/>
        <w:left w:val="none" w:sz="0" w:space="0" w:color="auto"/>
        <w:bottom w:val="none" w:sz="0" w:space="0" w:color="auto"/>
        <w:right w:val="none" w:sz="0" w:space="0" w:color="auto"/>
      </w:divBdr>
    </w:div>
    <w:div w:id="2114856965">
      <w:bodyDiv w:val="1"/>
      <w:marLeft w:val="0"/>
      <w:marRight w:val="0"/>
      <w:marTop w:val="0"/>
      <w:marBottom w:val="0"/>
      <w:divBdr>
        <w:top w:val="none" w:sz="0" w:space="0" w:color="auto"/>
        <w:left w:val="none" w:sz="0" w:space="0" w:color="auto"/>
        <w:bottom w:val="none" w:sz="0" w:space="0" w:color="auto"/>
        <w:right w:val="none" w:sz="0" w:space="0" w:color="auto"/>
      </w:divBdr>
      <w:divsChild>
        <w:div w:id="1985114756">
          <w:marLeft w:val="640"/>
          <w:marRight w:val="0"/>
          <w:marTop w:val="0"/>
          <w:marBottom w:val="0"/>
          <w:divBdr>
            <w:top w:val="none" w:sz="0" w:space="0" w:color="auto"/>
            <w:left w:val="none" w:sz="0" w:space="0" w:color="auto"/>
            <w:bottom w:val="none" w:sz="0" w:space="0" w:color="auto"/>
            <w:right w:val="none" w:sz="0" w:space="0" w:color="auto"/>
          </w:divBdr>
        </w:div>
        <w:div w:id="1560170674">
          <w:marLeft w:val="640"/>
          <w:marRight w:val="0"/>
          <w:marTop w:val="0"/>
          <w:marBottom w:val="0"/>
          <w:divBdr>
            <w:top w:val="none" w:sz="0" w:space="0" w:color="auto"/>
            <w:left w:val="none" w:sz="0" w:space="0" w:color="auto"/>
            <w:bottom w:val="none" w:sz="0" w:space="0" w:color="auto"/>
            <w:right w:val="none" w:sz="0" w:space="0" w:color="auto"/>
          </w:divBdr>
        </w:div>
        <w:div w:id="1492940718">
          <w:marLeft w:val="640"/>
          <w:marRight w:val="0"/>
          <w:marTop w:val="0"/>
          <w:marBottom w:val="0"/>
          <w:divBdr>
            <w:top w:val="none" w:sz="0" w:space="0" w:color="auto"/>
            <w:left w:val="none" w:sz="0" w:space="0" w:color="auto"/>
            <w:bottom w:val="none" w:sz="0" w:space="0" w:color="auto"/>
            <w:right w:val="none" w:sz="0" w:space="0" w:color="auto"/>
          </w:divBdr>
        </w:div>
        <w:div w:id="133987785">
          <w:marLeft w:val="640"/>
          <w:marRight w:val="0"/>
          <w:marTop w:val="0"/>
          <w:marBottom w:val="0"/>
          <w:divBdr>
            <w:top w:val="none" w:sz="0" w:space="0" w:color="auto"/>
            <w:left w:val="none" w:sz="0" w:space="0" w:color="auto"/>
            <w:bottom w:val="none" w:sz="0" w:space="0" w:color="auto"/>
            <w:right w:val="none" w:sz="0" w:space="0" w:color="auto"/>
          </w:divBdr>
        </w:div>
        <w:div w:id="669721062">
          <w:marLeft w:val="640"/>
          <w:marRight w:val="0"/>
          <w:marTop w:val="0"/>
          <w:marBottom w:val="0"/>
          <w:divBdr>
            <w:top w:val="none" w:sz="0" w:space="0" w:color="auto"/>
            <w:left w:val="none" w:sz="0" w:space="0" w:color="auto"/>
            <w:bottom w:val="none" w:sz="0" w:space="0" w:color="auto"/>
            <w:right w:val="none" w:sz="0" w:space="0" w:color="auto"/>
          </w:divBdr>
        </w:div>
        <w:div w:id="350037228">
          <w:marLeft w:val="640"/>
          <w:marRight w:val="0"/>
          <w:marTop w:val="0"/>
          <w:marBottom w:val="0"/>
          <w:divBdr>
            <w:top w:val="none" w:sz="0" w:space="0" w:color="auto"/>
            <w:left w:val="none" w:sz="0" w:space="0" w:color="auto"/>
            <w:bottom w:val="none" w:sz="0" w:space="0" w:color="auto"/>
            <w:right w:val="none" w:sz="0" w:space="0" w:color="auto"/>
          </w:divBdr>
        </w:div>
        <w:div w:id="386417275">
          <w:marLeft w:val="640"/>
          <w:marRight w:val="0"/>
          <w:marTop w:val="0"/>
          <w:marBottom w:val="0"/>
          <w:divBdr>
            <w:top w:val="none" w:sz="0" w:space="0" w:color="auto"/>
            <w:left w:val="none" w:sz="0" w:space="0" w:color="auto"/>
            <w:bottom w:val="none" w:sz="0" w:space="0" w:color="auto"/>
            <w:right w:val="none" w:sz="0" w:space="0" w:color="auto"/>
          </w:divBdr>
        </w:div>
        <w:div w:id="1922982301">
          <w:marLeft w:val="640"/>
          <w:marRight w:val="0"/>
          <w:marTop w:val="0"/>
          <w:marBottom w:val="0"/>
          <w:divBdr>
            <w:top w:val="none" w:sz="0" w:space="0" w:color="auto"/>
            <w:left w:val="none" w:sz="0" w:space="0" w:color="auto"/>
            <w:bottom w:val="none" w:sz="0" w:space="0" w:color="auto"/>
            <w:right w:val="none" w:sz="0" w:space="0" w:color="auto"/>
          </w:divBdr>
        </w:div>
        <w:div w:id="1548492119">
          <w:marLeft w:val="640"/>
          <w:marRight w:val="0"/>
          <w:marTop w:val="0"/>
          <w:marBottom w:val="0"/>
          <w:divBdr>
            <w:top w:val="none" w:sz="0" w:space="0" w:color="auto"/>
            <w:left w:val="none" w:sz="0" w:space="0" w:color="auto"/>
            <w:bottom w:val="none" w:sz="0" w:space="0" w:color="auto"/>
            <w:right w:val="none" w:sz="0" w:space="0" w:color="auto"/>
          </w:divBdr>
        </w:div>
        <w:div w:id="407774552">
          <w:marLeft w:val="640"/>
          <w:marRight w:val="0"/>
          <w:marTop w:val="0"/>
          <w:marBottom w:val="0"/>
          <w:divBdr>
            <w:top w:val="none" w:sz="0" w:space="0" w:color="auto"/>
            <w:left w:val="none" w:sz="0" w:space="0" w:color="auto"/>
            <w:bottom w:val="none" w:sz="0" w:space="0" w:color="auto"/>
            <w:right w:val="none" w:sz="0" w:space="0" w:color="auto"/>
          </w:divBdr>
        </w:div>
        <w:div w:id="926810665">
          <w:marLeft w:val="640"/>
          <w:marRight w:val="0"/>
          <w:marTop w:val="0"/>
          <w:marBottom w:val="0"/>
          <w:divBdr>
            <w:top w:val="none" w:sz="0" w:space="0" w:color="auto"/>
            <w:left w:val="none" w:sz="0" w:space="0" w:color="auto"/>
            <w:bottom w:val="none" w:sz="0" w:space="0" w:color="auto"/>
            <w:right w:val="none" w:sz="0" w:space="0" w:color="auto"/>
          </w:divBdr>
        </w:div>
        <w:div w:id="1559366552">
          <w:marLeft w:val="640"/>
          <w:marRight w:val="0"/>
          <w:marTop w:val="0"/>
          <w:marBottom w:val="0"/>
          <w:divBdr>
            <w:top w:val="none" w:sz="0" w:space="0" w:color="auto"/>
            <w:left w:val="none" w:sz="0" w:space="0" w:color="auto"/>
            <w:bottom w:val="none" w:sz="0" w:space="0" w:color="auto"/>
            <w:right w:val="none" w:sz="0" w:space="0" w:color="auto"/>
          </w:divBdr>
        </w:div>
        <w:div w:id="1306475710">
          <w:marLeft w:val="640"/>
          <w:marRight w:val="0"/>
          <w:marTop w:val="0"/>
          <w:marBottom w:val="0"/>
          <w:divBdr>
            <w:top w:val="none" w:sz="0" w:space="0" w:color="auto"/>
            <w:left w:val="none" w:sz="0" w:space="0" w:color="auto"/>
            <w:bottom w:val="none" w:sz="0" w:space="0" w:color="auto"/>
            <w:right w:val="none" w:sz="0" w:space="0" w:color="auto"/>
          </w:divBdr>
        </w:div>
        <w:div w:id="1293637991">
          <w:marLeft w:val="640"/>
          <w:marRight w:val="0"/>
          <w:marTop w:val="0"/>
          <w:marBottom w:val="0"/>
          <w:divBdr>
            <w:top w:val="none" w:sz="0" w:space="0" w:color="auto"/>
            <w:left w:val="none" w:sz="0" w:space="0" w:color="auto"/>
            <w:bottom w:val="none" w:sz="0" w:space="0" w:color="auto"/>
            <w:right w:val="none" w:sz="0" w:space="0" w:color="auto"/>
          </w:divBdr>
        </w:div>
        <w:div w:id="1976327425">
          <w:marLeft w:val="640"/>
          <w:marRight w:val="0"/>
          <w:marTop w:val="0"/>
          <w:marBottom w:val="0"/>
          <w:divBdr>
            <w:top w:val="none" w:sz="0" w:space="0" w:color="auto"/>
            <w:left w:val="none" w:sz="0" w:space="0" w:color="auto"/>
            <w:bottom w:val="none" w:sz="0" w:space="0" w:color="auto"/>
            <w:right w:val="none" w:sz="0" w:space="0" w:color="auto"/>
          </w:divBdr>
        </w:div>
        <w:div w:id="555120021">
          <w:marLeft w:val="640"/>
          <w:marRight w:val="0"/>
          <w:marTop w:val="0"/>
          <w:marBottom w:val="0"/>
          <w:divBdr>
            <w:top w:val="none" w:sz="0" w:space="0" w:color="auto"/>
            <w:left w:val="none" w:sz="0" w:space="0" w:color="auto"/>
            <w:bottom w:val="none" w:sz="0" w:space="0" w:color="auto"/>
            <w:right w:val="none" w:sz="0" w:space="0" w:color="auto"/>
          </w:divBdr>
        </w:div>
        <w:div w:id="150877682">
          <w:marLeft w:val="640"/>
          <w:marRight w:val="0"/>
          <w:marTop w:val="0"/>
          <w:marBottom w:val="0"/>
          <w:divBdr>
            <w:top w:val="none" w:sz="0" w:space="0" w:color="auto"/>
            <w:left w:val="none" w:sz="0" w:space="0" w:color="auto"/>
            <w:bottom w:val="none" w:sz="0" w:space="0" w:color="auto"/>
            <w:right w:val="none" w:sz="0" w:space="0" w:color="auto"/>
          </w:divBdr>
        </w:div>
        <w:div w:id="396822001">
          <w:marLeft w:val="640"/>
          <w:marRight w:val="0"/>
          <w:marTop w:val="0"/>
          <w:marBottom w:val="0"/>
          <w:divBdr>
            <w:top w:val="none" w:sz="0" w:space="0" w:color="auto"/>
            <w:left w:val="none" w:sz="0" w:space="0" w:color="auto"/>
            <w:bottom w:val="none" w:sz="0" w:space="0" w:color="auto"/>
            <w:right w:val="none" w:sz="0" w:space="0" w:color="auto"/>
          </w:divBdr>
        </w:div>
        <w:div w:id="1980921115">
          <w:marLeft w:val="640"/>
          <w:marRight w:val="0"/>
          <w:marTop w:val="0"/>
          <w:marBottom w:val="0"/>
          <w:divBdr>
            <w:top w:val="none" w:sz="0" w:space="0" w:color="auto"/>
            <w:left w:val="none" w:sz="0" w:space="0" w:color="auto"/>
            <w:bottom w:val="none" w:sz="0" w:space="0" w:color="auto"/>
            <w:right w:val="none" w:sz="0" w:space="0" w:color="auto"/>
          </w:divBdr>
        </w:div>
        <w:div w:id="930549485">
          <w:marLeft w:val="640"/>
          <w:marRight w:val="0"/>
          <w:marTop w:val="0"/>
          <w:marBottom w:val="0"/>
          <w:divBdr>
            <w:top w:val="none" w:sz="0" w:space="0" w:color="auto"/>
            <w:left w:val="none" w:sz="0" w:space="0" w:color="auto"/>
            <w:bottom w:val="none" w:sz="0" w:space="0" w:color="auto"/>
            <w:right w:val="none" w:sz="0" w:space="0" w:color="auto"/>
          </w:divBdr>
        </w:div>
        <w:div w:id="510804893">
          <w:marLeft w:val="640"/>
          <w:marRight w:val="0"/>
          <w:marTop w:val="0"/>
          <w:marBottom w:val="0"/>
          <w:divBdr>
            <w:top w:val="none" w:sz="0" w:space="0" w:color="auto"/>
            <w:left w:val="none" w:sz="0" w:space="0" w:color="auto"/>
            <w:bottom w:val="none" w:sz="0" w:space="0" w:color="auto"/>
            <w:right w:val="none" w:sz="0" w:space="0" w:color="auto"/>
          </w:divBdr>
        </w:div>
        <w:div w:id="1993679902">
          <w:marLeft w:val="640"/>
          <w:marRight w:val="0"/>
          <w:marTop w:val="0"/>
          <w:marBottom w:val="0"/>
          <w:divBdr>
            <w:top w:val="none" w:sz="0" w:space="0" w:color="auto"/>
            <w:left w:val="none" w:sz="0" w:space="0" w:color="auto"/>
            <w:bottom w:val="none" w:sz="0" w:space="0" w:color="auto"/>
            <w:right w:val="none" w:sz="0" w:space="0" w:color="auto"/>
          </w:divBdr>
        </w:div>
        <w:div w:id="945774629">
          <w:marLeft w:val="640"/>
          <w:marRight w:val="0"/>
          <w:marTop w:val="0"/>
          <w:marBottom w:val="0"/>
          <w:divBdr>
            <w:top w:val="none" w:sz="0" w:space="0" w:color="auto"/>
            <w:left w:val="none" w:sz="0" w:space="0" w:color="auto"/>
            <w:bottom w:val="none" w:sz="0" w:space="0" w:color="auto"/>
            <w:right w:val="none" w:sz="0" w:space="0" w:color="auto"/>
          </w:divBdr>
        </w:div>
        <w:div w:id="573247111">
          <w:marLeft w:val="640"/>
          <w:marRight w:val="0"/>
          <w:marTop w:val="0"/>
          <w:marBottom w:val="0"/>
          <w:divBdr>
            <w:top w:val="none" w:sz="0" w:space="0" w:color="auto"/>
            <w:left w:val="none" w:sz="0" w:space="0" w:color="auto"/>
            <w:bottom w:val="none" w:sz="0" w:space="0" w:color="auto"/>
            <w:right w:val="none" w:sz="0" w:space="0" w:color="auto"/>
          </w:divBdr>
        </w:div>
        <w:div w:id="1261915451">
          <w:marLeft w:val="640"/>
          <w:marRight w:val="0"/>
          <w:marTop w:val="0"/>
          <w:marBottom w:val="0"/>
          <w:divBdr>
            <w:top w:val="none" w:sz="0" w:space="0" w:color="auto"/>
            <w:left w:val="none" w:sz="0" w:space="0" w:color="auto"/>
            <w:bottom w:val="none" w:sz="0" w:space="0" w:color="auto"/>
            <w:right w:val="none" w:sz="0" w:space="0" w:color="auto"/>
          </w:divBdr>
        </w:div>
        <w:div w:id="1592158093">
          <w:marLeft w:val="640"/>
          <w:marRight w:val="0"/>
          <w:marTop w:val="0"/>
          <w:marBottom w:val="0"/>
          <w:divBdr>
            <w:top w:val="none" w:sz="0" w:space="0" w:color="auto"/>
            <w:left w:val="none" w:sz="0" w:space="0" w:color="auto"/>
            <w:bottom w:val="none" w:sz="0" w:space="0" w:color="auto"/>
            <w:right w:val="none" w:sz="0" w:space="0" w:color="auto"/>
          </w:divBdr>
        </w:div>
        <w:div w:id="760368962">
          <w:marLeft w:val="640"/>
          <w:marRight w:val="0"/>
          <w:marTop w:val="0"/>
          <w:marBottom w:val="0"/>
          <w:divBdr>
            <w:top w:val="none" w:sz="0" w:space="0" w:color="auto"/>
            <w:left w:val="none" w:sz="0" w:space="0" w:color="auto"/>
            <w:bottom w:val="none" w:sz="0" w:space="0" w:color="auto"/>
            <w:right w:val="none" w:sz="0" w:space="0" w:color="auto"/>
          </w:divBdr>
        </w:div>
        <w:div w:id="992756519">
          <w:marLeft w:val="640"/>
          <w:marRight w:val="0"/>
          <w:marTop w:val="0"/>
          <w:marBottom w:val="0"/>
          <w:divBdr>
            <w:top w:val="none" w:sz="0" w:space="0" w:color="auto"/>
            <w:left w:val="none" w:sz="0" w:space="0" w:color="auto"/>
            <w:bottom w:val="none" w:sz="0" w:space="0" w:color="auto"/>
            <w:right w:val="none" w:sz="0" w:space="0" w:color="auto"/>
          </w:divBdr>
        </w:div>
        <w:div w:id="967051728">
          <w:marLeft w:val="640"/>
          <w:marRight w:val="0"/>
          <w:marTop w:val="0"/>
          <w:marBottom w:val="0"/>
          <w:divBdr>
            <w:top w:val="none" w:sz="0" w:space="0" w:color="auto"/>
            <w:left w:val="none" w:sz="0" w:space="0" w:color="auto"/>
            <w:bottom w:val="none" w:sz="0" w:space="0" w:color="auto"/>
            <w:right w:val="none" w:sz="0" w:space="0" w:color="auto"/>
          </w:divBdr>
        </w:div>
        <w:div w:id="46227243">
          <w:marLeft w:val="640"/>
          <w:marRight w:val="0"/>
          <w:marTop w:val="0"/>
          <w:marBottom w:val="0"/>
          <w:divBdr>
            <w:top w:val="none" w:sz="0" w:space="0" w:color="auto"/>
            <w:left w:val="none" w:sz="0" w:space="0" w:color="auto"/>
            <w:bottom w:val="none" w:sz="0" w:space="0" w:color="auto"/>
            <w:right w:val="none" w:sz="0" w:space="0" w:color="auto"/>
          </w:divBdr>
        </w:div>
        <w:div w:id="469057618">
          <w:marLeft w:val="640"/>
          <w:marRight w:val="0"/>
          <w:marTop w:val="0"/>
          <w:marBottom w:val="0"/>
          <w:divBdr>
            <w:top w:val="none" w:sz="0" w:space="0" w:color="auto"/>
            <w:left w:val="none" w:sz="0" w:space="0" w:color="auto"/>
            <w:bottom w:val="none" w:sz="0" w:space="0" w:color="auto"/>
            <w:right w:val="none" w:sz="0" w:space="0" w:color="auto"/>
          </w:divBdr>
        </w:div>
        <w:div w:id="805198563">
          <w:marLeft w:val="640"/>
          <w:marRight w:val="0"/>
          <w:marTop w:val="0"/>
          <w:marBottom w:val="0"/>
          <w:divBdr>
            <w:top w:val="none" w:sz="0" w:space="0" w:color="auto"/>
            <w:left w:val="none" w:sz="0" w:space="0" w:color="auto"/>
            <w:bottom w:val="none" w:sz="0" w:space="0" w:color="auto"/>
            <w:right w:val="none" w:sz="0" w:space="0" w:color="auto"/>
          </w:divBdr>
        </w:div>
        <w:div w:id="1197811963">
          <w:marLeft w:val="640"/>
          <w:marRight w:val="0"/>
          <w:marTop w:val="0"/>
          <w:marBottom w:val="0"/>
          <w:divBdr>
            <w:top w:val="none" w:sz="0" w:space="0" w:color="auto"/>
            <w:left w:val="none" w:sz="0" w:space="0" w:color="auto"/>
            <w:bottom w:val="none" w:sz="0" w:space="0" w:color="auto"/>
            <w:right w:val="none" w:sz="0" w:space="0" w:color="auto"/>
          </w:divBdr>
        </w:div>
        <w:div w:id="1136410022">
          <w:marLeft w:val="640"/>
          <w:marRight w:val="0"/>
          <w:marTop w:val="0"/>
          <w:marBottom w:val="0"/>
          <w:divBdr>
            <w:top w:val="none" w:sz="0" w:space="0" w:color="auto"/>
            <w:left w:val="none" w:sz="0" w:space="0" w:color="auto"/>
            <w:bottom w:val="none" w:sz="0" w:space="0" w:color="auto"/>
            <w:right w:val="none" w:sz="0" w:space="0" w:color="auto"/>
          </w:divBdr>
        </w:div>
        <w:div w:id="827290539">
          <w:marLeft w:val="640"/>
          <w:marRight w:val="0"/>
          <w:marTop w:val="0"/>
          <w:marBottom w:val="0"/>
          <w:divBdr>
            <w:top w:val="none" w:sz="0" w:space="0" w:color="auto"/>
            <w:left w:val="none" w:sz="0" w:space="0" w:color="auto"/>
            <w:bottom w:val="none" w:sz="0" w:space="0" w:color="auto"/>
            <w:right w:val="none" w:sz="0" w:space="0" w:color="auto"/>
          </w:divBdr>
        </w:div>
        <w:div w:id="169373834">
          <w:marLeft w:val="640"/>
          <w:marRight w:val="0"/>
          <w:marTop w:val="0"/>
          <w:marBottom w:val="0"/>
          <w:divBdr>
            <w:top w:val="none" w:sz="0" w:space="0" w:color="auto"/>
            <w:left w:val="none" w:sz="0" w:space="0" w:color="auto"/>
            <w:bottom w:val="none" w:sz="0" w:space="0" w:color="auto"/>
            <w:right w:val="none" w:sz="0" w:space="0" w:color="auto"/>
          </w:divBdr>
        </w:div>
        <w:div w:id="24336895">
          <w:marLeft w:val="640"/>
          <w:marRight w:val="0"/>
          <w:marTop w:val="0"/>
          <w:marBottom w:val="0"/>
          <w:divBdr>
            <w:top w:val="none" w:sz="0" w:space="0" w:color="auto"/>
            <w:left w:val="none" w:sz="0" w:space="0" w:color="auto"/>
            <w:bottom w:val="none" w:sz="0" w:space="0" w:color="auto"/>
            <w:right w:val="none" w:sz="0" w:space="0" w:color="auto"/>
          </w:divBdr>
        </w:div>
        <w:div w:id="851841615">
          <w:marLeft w:val="640"/>
          <w:marRight w:val="0"/>
          <w:marTop w:val="0"/>
          <w:marBottom w:val="0"/>
          <w:divBdr>
            <w:top w:val="none" w:sz="0" w:space="0" w:color="auto"/>
            <w:left w:val="none" w:sz="0" w:space="0" w:color="auto"/>
            <w:bottom w:val="none" w:sz="0" w:space="0" w:color="auto"/>
            <w:right w:val="none" w:sz="0" w:space="0" w:color="auto"/>
          </w:divBdr>
        </w:div>
        <w:div w:id="2110659235">
          <w:marLeft w:val="640"/>
          <w:marRight w:val="0"/>
          <w:marTop w:val="0"/>
          <w:marBottom w:val="0"/>
          <w:divBdr>
            <w:top w:val="none" w:sz="0" w:space="0" w:color="auto"/>
            <w:left w:val="none" w:sz="0" w:space="0" w:color="auto"/>
            <w:bottom w:val="none" w:sz="0" w:space="0" w:color="auto"/>
            <w:right w:val="none" w:sz="0" w:space="0" w:color="auto"/>
          </w:divBdr>
        </w:div>
        <w:div w:id="1717311488">
          <w:marLeft w:val="640"/>
          <w:marRight w:val="0"/>
          <w:marTop w:val="0"/>
          <w:marBottom w:val="0"/>
          <w:divBdr>
            <w:top w:val="none" w:sz="0" w:space="0" w:color="auto"/>
            <w:left w:val="none" w:sz="0" w:space="0" w:color="auto"/>
            <w:bottom w:val="none" w:sz="0" w:space="0" w:color="auto"/>
            <w:right w:val="none" w:sz="0" w:space="0" w:color="auto"/>
          </w:divBdr>
        </w:div>
        <w:div w:id="1133718326">
          <w:marLeft w:val="640"/>
          <w:marRight w:val="0"/>
          <w:marTop w:val="0"/>
          <w:marBottom w:val="0"/>
          <w:divBdr>
            <w:top w:val="none" w:sz="0" w:space="0" w:color="auto"/>
            <w:left w:val="none" w:sz="0" w:space="0" w:color="auto"/>
            <w:bottom w:val="none" w:sz="0" w:space="0" w:color="auto"/>
            <w:right w:val="none" w:sz="0" w:space="0" w:color="auto"/>
          </w:divBdr>
        </w:div>
        <w:div w:id="1059746610">
          <w:marLeft w:val="640"/>
          <w:marRight w:val="0"/>
          <w:marTop w:val="0"/>
          <w:marBottom w:val="0"/>
          <w:divBdr>
            <w:top w:val="none" w:sz="0" w:space="0" w:color="auto"/>
            <w:left w:val="none" w:sz="0" w:space="0" w:color="auto"/>
            <w:bottom w:val="none" w:sz="0" w:space="0" w:color="auto"/>
            <w:right w:val="none" w:sz="0" w:space="0" w:color="auto"/>
          </w:divBdr>
        </w:div>
        <w:div w:id="1786731505">
          <w:marLeft w:val="640"/>
          <w:marRight w:val="0"/>
          <w:marTop w:val="0"/>
          <w:marBottom w:val="0"/>
          <w:divBdr>
            <w:top w:val="none" w:sz="0" w:space="0" w:color="auto"/>
            <w:left w:val="none" w:sz="0" w:space="0" w:color="auto"/>
            <w:bottom w:val="none" w:sz="0" w:space="0" w:color="auto"/>
            <w:right w:val="none" w:sz="0" w:space="0" w:color="auto"/>
          </w:divBdr>
        </w:div>
        <w:div w:id="1574507143">
          <w:marLeft w:val="640"/>
          <w:marRight w:val="0"/>
          <w:marTop w:val="0"/>
          <w:marBottom w:val="0"/>
          <w:divBdr>
            <w:top w:val="none" w:sz="0" w:space="0" w:color="auto"/>
            <w:left w:val="none" w:sz="0" w:space="0" w:color="auto"/>
            <w:bottom w:val="none" w:sz="0" w:space="0" w:color="auto"/>
            <w:right w:val="none" w:sz="0" w:space="0" w:color="auto"/>
          </w:divBdr>
        </w:div>
        <w:div w:id="1336032237">
          <w:marLeft w:val="640"/>
          <w:marRight w:val="0"/>
          <w:marTop w:val="0"/>
          <w:marBottom w:val="0"/>
          <w:divBdr>
            <w:top w:val="none" w:sz="0" w:space="0" w:color="auto"/>
            <w:left w:val="none" w:sz="0" w:space="0" w:color="auto"/>
            <w:bottom w:val="none" w:sz="0" w:space="0" w:color="auto"/>
            <w:right w:val="none" w:sz="0" w:space="0" w:color="auto"/>
          </w:divBdr>
        </w:div>
        <w:div w:id="447431791">
          <w:marLeft w:val="640"/>
          <w:marRight w:val="0"/>
          <w:marTop w:val="0"/>
          <w:marBottom w:val="0"/>
          <w:divBdr>
            <w:top w:val="none" w:sz="0" w:space="0" w:color="auto"/>
            <w:left w:val="none" w:sz="0" w:space="0" w:color="auto"/>
            <w:bottom w:val="none" w:sz="0" w:space="0" w:color="auto"/>
            <w:right w:val="none" w:sz="0" w:space="0" w:color="auto"/>
          </w:divBdr>
        </w:div>
        <w:div w:id="1661613656">
          <w:marLeft w:val="640"/>
          <w:marRight w:val="0"/>
          <w:marTop w:val="0"/>
          <w:marBottom w:val="0"/>
          <w:divBdr>
            <w:top w:val="none" w:sz="0" w:space="0" w:color="auto"/>
            <w:left w:val="none" w:sz="0" w:space="0" w:color="auto"/>
            <w:bottom w:val="none" w:sz="0" w:space="0" w:color="auto"/>
            <w:right w:val="none" w:sz="0" w:space="0" w:color="auto"/>
          </w:divBdr>
        </w:div>
        <w:div w:id="1756315547">
          <w:marLeft w:val="640"/>
          <w:marRight w:val="0"/>
          <w:marTop w:val="0"/>
          <w:marBottom w:val="0"/>
          <w:divBdr>
            <w:top w:val="none" w:sz="0" w:space="0" w:color="auto"/>
            <w:left w:val="none" w:sz="0" w:space="0" w:color="auto"/>
            <w:bottom w:val="none" w:sz="0" w:space="0" w:color="auto"/>
            <w:right w:val="none" w:sz="0" w:space="0" w:color="auto"/>
          </w:divBdr>
        </w:div>
        <w:div w:id="848760705">
          <w:marLeft w:val="640"/>
          <w:marRight w:val="0"/>
          <w:marTop w:val="0"/>
          <w:marBottom w:val="0"/>
          <w:divBdr>
            <w:top w:val="none" w:sz="0" w:space="0" w:color="auto"/>
            <w:left w:val="none" w:sz="0" w:space="0" w:color="auto"/>
            <w:bottom w:val="none" w:sz="0" w:space="0" w:color="auto"/>
            <w:right w:val="none" w:sz="0" w:space="0" w:color="auto"/>
          </w:divBdr>
        </w:div>
        <w:div w:id="1119838702">
          <w:marLeft w:val="640"/>
          <w:marRight w:val="0"/>
          <w:marTop w:val="0"/>
          <w:marBottom w:val="0"/>
          <w:divBdr>
            <w:top w:val="none" w:sz="0" w:space="0" w:color="auto"/>
            <w:left w:val="none" w:sz="0" w:space="0" w:color="auto"/>
            <w:bottom w:val="none" w:sz="0" w:space="0" w:color="auto"/>
            <w:right w:val="none" w:sz="0" w:space="0" w:color="auto"/>
          </w:divBdr>
        </w:div>
        <w:div w:id="50232895">
          <w:marLeft w:val="640"/>
          <w:marRight w:val="0"/>
          <w:marTop w:val="0"/>
          <w:marBottom w:val="0"/>
          <w:divBdr>
            <w:top w:val="none" w:sz="0" w:space="0" w:color="auto"/>
            <w:left w:val="none" w:sz="0" w:space="0" w:color="auto"/>
            <w:bottom w:val="none" w:sz="0" w:space="0" w:color="auto"/>
            <w:right w:val="none" w:sz="0" w:space="0" w:color="auto"/>
          </w:divBdr>
        </w:div>
        <w:div w:id="1901819206">
          <w:marLeft w:val="640"/>
          <w:marRight w:val="0"/>
          <w:marTop w:val="0"/>
          <w:marBottom w:val="0"/>
          <w:divBdr>
            <w:top w:val="none" w:sz="0" w:space="0" w:color="auto"/>
            <w:left w:val="none" w:sz="0" w:space="0" w:color="auto"/>
            <w:bottom w:val="none" w:sz="0" w:space="0" w:color="auto"/>
            <w:right w:val="none" w:sz="0" w:space="0" w:color="auto"/>
          </w:divBdr>
        </w:div>
        <w:div w:id="427963305">
          <w:marLeft w:val="640"/>
          <w:marRight w:val="0"/>
          <w:marTop w:val="0"/>
          <w:marBottom w:val="0"/>
          <w:divBdr>
            <w:top w:val="none" w:sz="0" w:space="0" w:color="auto"/>
            <w:left w:val="none" w:sz="0" w:space="0" w:color="auto"/>
            <w:bottom w:val="none" w:sz="0" w:space="0" w:color="auto"/>
            <w:right w:val="none" w:sz="0" w:space="0" w:color="auto"/>
          </w:divBdr>
        </w:div>
        <w:div w:id="1747724797">
          <w:marLeft w:val="640"/>
          <w:marRight w:val="0"/>
          <w:marTop w:val="0"/>
          <w:marBottom w:val="0"/>
          <w:divBdr>
            <w:top w:val="none" w:sz="0" w:space="0" w:color="auto"/>
            <w:left w:val="none" w:sz="0" w:space="0" w:color="auto"/>
            <w:bottom w:val="none" w:sz="0" w:space="0" w:color="auto"/>
            <w:right w:val="none" w:sz="0" w:space="0" w:color="auto"/>
          </w:divBdr>
        </w:div>
        <w:div w:id="1814642943">
          <w:marLeft w:val="640"/>
          <w:marRight w:val="0"/>
          <w:marTop w:val="0"/>
          <w:marBottom w:val="0"/>
          <w:divBdr>
            <w:top w:val="none" w:sz="0" w:space="0" w:color="auto"/>
            <w:left w:val="none" w:sz="0" w:space="0" w:color="auto"/>
            <w:bottom w:val="none" w:sz="0" w:space="0" w:color="auto"/>
            <w:right w:val="none" w:sz="0" w:space="0" w:color="auto"/>
          </w:divBdr>
        </w:div>
        <w:div w:id="390615340">
          <w:marLeft w:val="640"/>
          <w:marRight w:val="0"/>
          <w:marTop w:val="0"/>
          <w:marBottom w:val="0"/>
          <w:divBdr>
            <w:top w:val="none" w:sz="0" w:space="0" w:color="auto"/>
            <w:left w:val="none" w:sz="0" w:space="0" w:color="auto"/>
            <w:bottom w:val="none" w:sz="0" w:space="0" w:color="auto"/>
            <w:right w:val="none" w:sz="0" w:space="0" w:color="auto"/>
          </w:divBdr>
        </w:div>
        <w:div w:id="681783550">
          <w:marLeft w:val="640"/>
          <w:marRight w:val="0"/>
          <w:marTop w:val="0"/>
          <w:marBottom w:val="0"/>
          <w:divBdr>
            <w:top w:val="none" w:sz="0" w:space="0" w:color="auto"/>
            <w:left w:val="none" w:sz="0" w:space="0" w:color="auto"/>
            <w:bottom w:val="none" w:sz="0" w:space="0" w:color="auto"/>
            <w:right w:val="none" w:sz="0" w:space="0" w:color="auto"/>
          </w:divBdr>
        </w:div>
        <w:div w:id="618494518">
          <w:marLeft w:val="640"/>
          <w:marRight w:val="0"/>
          <w:marTop w:val="0"/>
          <w:marBottom w:val="0"/>
          <w:divBdr>
            <w:top w:val="none" w:sz="0" w:space="0" w:color="auto"/>
            <w:left w:val="none" w:sz="0" w:space="0" w:color="auto"/>
            <w:bottom w:val="none" w:sz="0" w:space="0" w:color="auto"/>
            <w:right w:val="none" w:sz="0" w:space="0" w:color="auto"/>
          </w:divBdr>
        </w:div>
        <w:div w:id="215623538">
          <w:marLeft w:val="640"/>
          <w:marRight w:val="0"/>
          <w:marTop w:val="0"/>
          <w:marBottom w:val="0"/>
          <w:divBdr>
            <w:top w:val="none" w:sz="0" w:space="0" w:color="auto"/>
            <w:left w:val="none" w:sz="0" w:space="0" w:color="auto"/>
            <w:bottom w:val="none" w:sz="0" w:space="0" w:color="auto"/>
            <w:right w:val="none" w:sz="0" w:space="0" w:color="auto"/>
          </w:divBdr>
        </w:div>
        <w:div w:id="1321537267">
          <w:marLeft w:val="640"/>
          <w:marRight w:val="0"/>
          <w:marTop w:val="0"/>
          <w:marBottom w:val="0"/>
          <w:divBdr>
            <w:top w:val="none" w:sz="0" w:space="0" w:color="auto"/>
            <w:left w:val="none" w:sz="0" w:space="0" w:color="auto"/>
            <w:bottom w:val="none" w:sz="0" w:space="0" w:color="auto"/>
            <w:right w:val="none" w:sz="0" w:space="0" w:color="auto"/>
          </w:divBdr>
        </w:div>
        <w:div w:id="58141739">
          <w:marLeft w:val="640"/>
          <w:marRight w:val="0"/>
          <w:marTop w:val="0"/>
          <w:marBottom w:val="0"/>
          <w:divBdr>
            <w:top w:val="none" w:sz="0" w:space="0" w:color="auto"/>
            <w:left w:val="none" w:sz="0" w:space="0" w:color="auto"/>
            <w:bottom w:val="none" w:sz="0" w:space="0" w:color="auto"/>
            <w:right w:val="none" w:sz="0" w:space="0" w:color="auto"/>
          </w:divBdr>
        </w:div>
        <w:div w:id="263659475">
          <w:marLeft w:val="640"/>
          <w:marRight w:val="0"/>
          <w:marTop w:val="0"/>
          <w:marBottom w:val="0"/>
          <w:divBdr>
            <w:top w:val="none" w:sz="0" w:space="0" w:color="auto"/>
            <w:left w:val="none" w:sz="0" w:space="0" w:color="auto"/>
            <w:bottom w:val="none" w:sz="0" w:space="0" w:color="auto"/>
            <w:right w:val="none" w:sz="0" w:space="0" w:color="auto"/>
          </w:divBdr>
        </w:div>
        <w:div w:id="1989438537">
          <w:marLeft w:val="640"/>
          <w:marRight w:val="0"/>
          <w:marTop w:val="0"/>
          <w:marBottom w:val="0"/>
          <w:divBdr>
            <w:top w:val="none" w:sz="0" w:space="0" w:color="auto"/>
            <w:left w:val="none" w:sz="0" w:space="0" w:color="auto"/>
            <w:bottom w:val="none" w:sz="0" w:space="0" w:color="auto"/>
            <w:right w:val="none" w:sz="0" w:space="0" w:color="auto"/>
          </w:divBdr>
        </w:div>
        <w:div w:id="1505127844">
          <w:marLeft w:val="640"/>
          <w:marRight w:val="0"/>
          <w:marTop w:val="0"/>
          <w:marBottom w:val="0"/>
          <w:divBdr>
            <w:top w:val="none" w:sz="0" w:space="0" w:color="auto"/>
            <w:left w:val="none" w:sz="0" w:space="0" w:color="auto"/>
            <w:bottom w:val="none" w:sz="0" w:space="0" w:color="auto"/>
            <w:right w:val="none" w:sz="0" w:space="0" w:color="auto"/>
          </w:divBdr>
        </w:div>
        <w:div w:id="1745563938">
          <w:marLeft w:val="640"/>
          <w:marRight w:val="0"/>
          <w:marTop w:val="0"/>
          <w:marBottom w:val="0"/>
          <w:divBdr>
            <w:top w:val="none" w:sz="0" w:space="0" w:color="auto"/>
            <w:left w:val="none" w:sz="0" w:space="0" w:color="auto"/>
            <w:bottom w:val="none" w:sz="0" w:space="0" w:color="auto"/>
            <w:right w:val="none" w:sz="0" w:space="0" w:color="auto"/>
          </w:divBdr>
        </w:div>
        <w:div w:id="2073918911">
          <w:marLeft w:val="640"/>
          <w:marRight w:val="0"/>
          <w:marTop w:val="0"/>
          <w:marBottom w:val="0"/>
          <w:divBdr>
            <w:top w:val="none" w:sz="0" w:space="0" w:color="auto"/>
            <w:left w:val="none" w:sz="0" w:space="0" w:color="auto"/>
            <w:bottom w:val="none" w:sz="0" w:space="0" w:color="auto"/>
            <w:right w:val="none" w:sz="0" w:space="0" w:color="auto"/>
          </w:divBdr>
        </w:div>
        <w:div w:id="1108548411">
          <w:marLeft w:val="640"/>
          <w:marRight w:val="0"/>
          <w:marTop w:val="0"/>
          <w:marBottom w:val="0"/>
          <w:divBdr>
            <w:top w:val="none" w:sz="0" w:space="0" w:color="auto"/>
            <w:left w:val="none" w:sz="0" w:space="0" w:color="auto"/>
            <w:bottom w:val="none" w:sz="0" w:space="0" w:color="auto"/>
            <w:right w:val="none" w:sz="0" w:space="0" w:color="auto"/>
          </w:divBdr>
        </w:div>
        <w:div w:id="677004649">
          <w:marLeft w:val="640"/>
          <w:marRight w:val="0"/>
          <w:marTop w:val="0"/>
          <w:marBottom w:val="0"/>
          <w:divBdr>
            <w:top w:val="none" w:sz="0" w:space="0" w:color="auto"/>
            <w:left w:val="none" w:sz="0" w:space="0" w:color="auto"/>
            <w:bottom w:val="none" w:sz="0" w:space="0" w:color="auto"/>
            <w:right w:val="none" w:sz="0" w:space="0" w:color="auto"/>
          </w:divBdr>
        </w:div>
        <w:div w:id="1649742275">
          <w:marLeft w:val="640"/>
          <w:marRight w:val="0"/>
          <w:marTop w:val="0"/>
          <w:marBottom w:val="0"/>
          <w:divBdr>
            <w:top w:val="none" w:sz="0" w:space="0" w:color="auto"/>
            <w:left w:val="none" w:sz="0" w:space="0" w:color="auto"/>
            <w:bottom w:val="none" w:sz="0" w:space="0" w:color="auto"/>
            <w:right w:val="none" w:sz="0" w:space="0" w:color="auto"/>
          </w:divBdr>
        </w:div>
        <w:div w:id="1856529986">
          <w:marLeft w:val="640"/>
          <w:marRight w:val="0"/>
          <w:marTop w:val="0"/>
          <w:marBottom w:val="0"/>
          <w:divBdr>
            <w:top w:val="none" w:sz="0" w:space="0" w:color="auto"/>
            <w:left w:val="none" w:sz="0" w:space="0" w:color="auto"/>
            <w:bottom w:val="none" w:sz="0" w:space="0" w:color="auto"/>
            <w:right w:val="none" w:sz="0" w:space="0" w:color="auto"/>
          </w:divBdr>
        </w:div>
        <w:div w:id="299893007">
          <w:marLeft w:val="640"/>
          <w:marRight w:val="0"/>
          <w:marTop w:val="0"/>
          <w:marBottom w:val="0"/>
          <w:divBdr>
            <w:top w:val="none" w:sz="0" w:space="0" w:color="auto"/>
            <w:left w:val="none" w:sz="0" w:space="0" w:color="auto"/>
            <w:bottom w:val="none" w:sz="0" w:space="0" w:color="auto"/>
            <w:right w:val="none" w:sz="0" w:space="0" w:color="auto"/>
          </w:divBdr>
        </w:div>
        <w:div w:id="847208684">
          <w:marLeft w:val="640"/>
          <w:marRight w:val="0"/>
          <w:marTop w:val="0"/>
          <w:marBottom w:val="0"/>
          <w:divBdr>
            <w:top w:val="none" w:sz="0" w:space="0" w:color="auto"/>
            <w:left w:val="none" w:sz="0" w:space="0" w:color="auto"/>
            <w:bottom w:val="none" w:sz="0" w:space="0" w:color="auto"/>
            <w:right w:val="none" w:sz="0" w:space="0" w:color="auto"/>
          </w:divBdr>
        </w:div>
        <w:div w:id="1795175171">
          <w:marLeft w:val="640"/>
          <w:marRight w:val="0"/>
          <w:marTop w:val="0"/>
          <w:marBottom w:val="0"/>
          <w:divBdr>
            <w:top w:val="none" w:sz="0" w:space="0" w:color="auto"/>
            <w:left w:val="none" w:sz="0" w:space="0" w:color="auto"/>
            <w:bottom w:val="none" w:sz="0" w:space="0" w:color="auto"/>
            <w:right w:val="none" w:sz="0" w:space="0" w:color="auto"/>
          </w:divBdr>
        </w:div>
        <w:div w:id="62917933">
          <w:marLeft w:val="640"/>
          <w:marRight w:val="0"/>
          <w:marTop w:val="0"/>
          <w:marBottom w:val="0"/>
          <w:divBdr>
            <w:top w:val="none" w:sz="0" w:space="0" w:color="auto"/>
            <w:left w:val="none" w:sz="0" w:space="0" w:color="auto"/>
            <w:bottom w:val="none" w:sz="0" w:space="0" w:color="auto"/>
            <w:right w:val="none" w:sz="0" w:space="0" w:color="auto"/>
          </w:divBdr>
        </w:div>
        <w:div w:id="1994289336">
          <w:marLeft w:val="640"/>
          <w:marRight w:val="0"/>
          <w:marTop w:val="0"/>
          <w:marBottom w:val="0"/>
          <w:divBdr>
            <w:top w:val="none" w:sz="0" w:space="0" w:color="auto"/>
            <w:left w:val="none" w:sz="0" w:space="0" w:color="auto"/>
            <w:bottom w:val="none" w:sz="0" w:space="0" w:color="auto"/>
            <w:right w:val="none" w:sz="0" w:space="0" w:color="auto"/>
          </w:divBdr>
        </w:div>
        <w:div w:id="1821311616">
          <w:marLeft w:val="640"/>
          <w:marRight w:val="0"/>
          <w:marTop w:val="0"/>
          <w:marBottom w:val="0"/>
          <w:divBdr>
            <w:top w:val="none" w:sz="0" w:space="0" w:color="auto"/>
            <w:left w:val="none" w:sz="0" w:space="0" w:color="auto"/>
            <w:bottom w:val="none" w:sz="0" w:space="0" w:color="auto"/>
            <w:right w:val="none" w:sz="0" w:space="0" w:color="auto"/>
          </w:divBdr>
        </w:div>
        <w:div w:id="1859419001">
          <w:marLeft w:val="640"/>
          <w:marRight w:val="0"/>
          <w:marTop w:val="0"/>
          <w:marBottom w:val="0"/>
          <w:divBdr>
            <w:top w:val="none" w:sz="0" w:space="0" w:color="auto"/>
            <w:left w:val="none" w:sz="0" w:space="0" w:color="auto"/>
            <w:bottom w:val="none" w:sz="0" w:space="0" w:color="auto"/>
            <w:right w:val="none" w:sz="0" w:space="0" w:color="auto"/>
          </w:divBdr>
        </w:div>
        <w:div w:id="2027635380">
          <w:marLeft w:val="640"/>
          <w:marRight w:val="0"/>
          <w:marTop w:val="0"/>
          <w:marBottom w:val="0"/>
          <w:divBdr>
            <w:top w:val="none" w:sz="0" w:space="0" w:color="auto"/>
            <w:left w:val="none" w:sz="0" w:space="0" w:color="auto"/>
            <w:bottom w:val="none" w:sz="0" w:space="0" w:color="auto"/>
            <w:right w:val="none" w:sz="0" w:space="0" w:color="auto"/>
          </w:divBdr>
        </w:div>
        <w:div w:id="416632990">
          <w:marLeft w:val="640"/>
          <w:marRight w:val="0"/>
          <w:marTop w:val="0"/>
          <w:marBottom w:val="0"/>
          <w:divBdr>
            <w:top w:val="none" w:sz="0" w:space="0" w:color="auto"/>
            <w:left w:val="none" w:sz="0" w:space="0" w:color="auto"/>
            <w:bottom w:val="none" w:sz="0" w:space="0" w:color="auto"/>
            <w:right w:val="none" w:sz="0" w:space="0" w:color="auto"/>
          </w:divBdr>
        </w:div>
        <w:div w:id="1417633305">
          <w:marLeft w:val="640"/>
          <w:marRight w:val="0"/>
          <w:marTop w:val="0"/>
          <w:marBottom w:val="0"/>
          <w:divBdr>
            <w:top w:val="none" w:sz="0" w:space="0" w:color="auto"/>
            <w:left w:val="none" w:sz="0" w:space="0" w:color="auto"/>
            <w:bottom w:val="none" w:sz="0" w:space="0" w:color="auto"/>
            <w:right w:val="none" w:sz="0" w:space="0" w:color="auto"/>
          </w:divBdr>
        </w:div>
        <w:div w:id="2052917798">
          <w:marLeft w:val="640"/>
          <w:marRight w:val="0"/>
          <w:marTop w:val="0"/>
          <w:marBottom w:val="0"/>
          <w:divBdr>
            <w:top w:val="none" w:sz="0" w:space="0" w:color="auto"/>
            <w:left w:val="none" w:sz="0" w:space="0" w:color="auto"/>
            <w:bottom w:val="none" w:sz="0" w:space="0" w:color="auto"/>
            <w:right w:val="none" w:sz="0" w:space="0" w:color="auto"/>
          </w:divBdr>
        </w:div>
        <w:div w:id="1614822520">
          <w:marLeft w:val="640"/>
          <w:marRight w:val="0"/>
          <w:marTop w:val="0"/>
          <w:marBottom w:val="0"/>
          <w:divBdr>
            <w:top w:val="none" w:sz="0" w:space="0" w:color="auto"/>
            <w:left w:val="none" w:sz="0" w:space="0" w:color="auto"/>
            <w:bottom w:val="none" w:sz="0" w:space="0" w:color="auto"/>
            <w:right w:val="none" w:sz="0" w:space="0" w:color="auto"/>
          </w:divBdr>
        </w:div>
        <w:div w:id="1469740230">
          <w:marLeft w:val="640"/>
          <w:marRight w:val="0"/>
          <w:marTop w:val="0"/>
          <w:marBottom w:val="0"/>
          <w:divBdr>
            <w:top w:val="none" w:sz="0" w:space="0" w:color="auto"/>
            <w:left w:val="none" w:sz="0" w:space="0" w:color="auto"/>
            <w:bottom w:val="none" w:sz="0" w:space="0" w:color="auto"/>
            <w:right w:val="none" w:sz="0" w:space="0" w:color="auto"/>
          </w:divBdr>
        </w:div>
        <w:div w:id="2005237704">
          <w:marLeft w:val="640"/>
          <w:marRight w:val="0"/>
          <w:marTop w:val="0"/>
          <w:marBottom w:val="0"/>
          <w:divBdr>
            <w:top w:val="none" w:sz="0" w:space="0" w:color="auto"/>
            <w:left w:val="none" w:sz="0" w:space="0" w:color="auto"/>
            <w:bottom w:val="none" w:sz="0" w:space="0" w:color="auto"/>
            <w:right w:val="none" w:sz="0" w:space="0" w:color="auto"/>
          </w:divBdr>
        </w:div>
        <w:div w:id="1236430359">
          <w:marLeft w:val="640"/>
          <w:marRight w:val="0"/>
          <w:marTop w:val="0"/>
          <w:marBottom w:val="0"/>
          <w:divBdr>
            <w:top w:val="none" w:sz="0" w:space="0" w:color="auto"/>
            <w:left w:val="none" w:sz="0" w:space="0" w:color="auto"/>
            <w:bottom w:val="none" w:sz="0" w:space="0" w:color="auto"/>
            <w:right w:val="none" w:sz="0" w:space="0" w:color="auto"/>
          </w:divBdr>
        </w:div>
        <w:div w:id="88308531">
          <w:marLeft w:val="640"/>
          <w:marRight w:val="0"/>
          <w:marTop w:val="0"/>
          <w:marBottom w:val="0"/>
          <w:divBdr>
            <w:top w:val="none" w:sz="0" w:space="0" w:color="auto"/>
            <w:left w:val="none" w:sz="0" w:space="0" w:color="auto"/>
            <w:bottom w:val="none" w:sz="0" w:space="0" w:color="auto"/>
            <w:right w:val="none" w:sz="0" w:space="0" w:color="auto"/>
          </w:divBdr>
        </w:div>
        <w:div w:id="141627094">
          <w:marLeft w:val="640"/>
          <w:marRight w:val="0"/>
          <w:marTop w:val="0"/>
          <w:marBottom w:val="0"/>
          <w:divBdr>
            <w:top w:val="none" w:sz="0" w:space="0" w:color="auto"/>
            <w:left w:val="none" w:sz="0" w:space="0" w:color="auto"/>
            <w:bottom w:val="none" w:sz="0" w:space="0" w:color="auto"/>
            <w:right w:val="none" w:sz="0" w:space="0" w:color="auto"/>
          </w:divBdr>
        </w:div>
        <w:div w:id="561142572">
          <w:marLeft w:val="640"/>
          <w:marRight w:val="0"/>
          <w:marTop w:val="0"/>
          <w:marBottom w:val="0"/>
          <w:divBdr>
            <w:top w:val="none" w:sz="0" w:space="0" w:color="auto"/>
            <w:left w:val="none" w:sz="0" w:space="0" w:color="auto"/>
            <w:bottom w:val="none" w:sz="0" w:space="0" w:color="auto"/>
            <w:right w:val="none" w:sz="0" w:space="0" w:color="auto"/>
          </w:divBdr>
        </w:div>
        <w:div w:id="1431852824">
          <w:marLeft w:val="640"/>
          <w:marRight w:val="0"/>
          <w:marTop w:val="0"/>
          <w:marBottom w:val="0"/>
          <w:divBdr>
            <w:top w:val="none" w:sz="0" w:space="0" w:color="auto"/>
            <w:left w:val="none" w:sz="0" w:space="0" w:color="auto"/>
            <w:bottom w:val="none" w:sz="0" w:space="0" w:color="auto"/>
            <w:right w:val="none" w:sz="0" w:space="0" w:color="auto"/>
          </w:divBdr>
        </w:div>
        <w:div w:id="1292592584">
          <w:marLeft w:val="640"/>
          <w:marRight w:val="0"/>
          <w:marTop w:val="0"/>
          <w:marBottom w:val="0"/>
          <w:divBdr>
            <w:top w:val="none" w:sz="0" w:space="0" w:color="auto"/>
            <w:left w:val="none" w:sz="0" w:space="0" w:color="auto"/>
            <w:bottom w:val="none" w:sz="0" w:space="0" w:color="auto"/>
            <w:right w:val="none" w:sz="0" w:space="0" w:color="auto"/>
          </w:divBdr>
        </w:div>
        <w:div w:id="1255744057">
          <w:marLeft w:val="640"/>
          <w:marRight w:val="0"/>
          <w:marTop w:val="0"/>
          <w:marBottom w:val="0"/>
          <w:divBdr>
            <w:top w:val="none" w:sz="0" w:space="0" w:color="auto"/>
            <w:left w:val="none" w:sz="0" w:space="0" w:color="auto"/>
            <w:bottom w:val="none" w:sz="0" w:space="0" w:color="auto"/>
            <w:right w:val="none" w:sz="0" w:space="0" w:color="auto"/>
          </w:divBdr>
        </w:div>
        <w:div w:id="1672483584">
          <w:marLeft w:val="640"/>
          <w:marRight w:val="0"/>
          <w:marTop w:val="0"/>
          <w:marBottom w:val="0"/>
          <w:divBdr>
            <w:top w:val="none" w:sz="0" w:space="0" w:color="auto"/>
            <w:left w:val="none" w:sz="0" w:space="0" w:color="auto"/>
            <w:bottom w:val="none" w:sz="0" w:space="0" w:color="auto"/>
            <w:right w:val="none" w:sz="0" w:space="0" w:color="auto"/>
          </w:divBdr>
        </w:div>
        <w:div w:id="1702366015">
          <w:marLeft w:val="640"/>
          <w:marRight w:val="0"/>
          <w:marTop w:val="0"/>
          <w:marBottom w:val="0"/>
          <w:divBdr>
            <w:top w:val="none" w:sz="0" w:space="0" w:color="auto"/>
            <w:left w:val="none" w:sz="0" w:space="0" w:color="auto"/>
            <w:bottom w:val="none" w:sz="0" w:space="0" w:color="auto"/>
            <w:right w:val="none" w:sz="0" w:space="0" w:color="auto"/>
          </w:divBdr>
        </w:div>
        <w:div w:id="2044013973">
          <w:marLeft w:val="640"/>
          <w:marRight w:val="0"/>
          <w:marTop w:val="0"/>
          <w:marBottom w:val="0"/>
          <w:divBdr>
            <w:top w:val="none" w:sz="0" w:space="0" w:color="auto"/>
            <w:left w:val="none" w:sz="0" w:space="0" w:color="auto"/>
            <w:bottom w:val="none" w:sz="0" w:space="0" w:color="auto"/>
            <w:right w:val="none" w:sz="0" w:space="0" w:color="auto"/>
          </w:divBdr>
        </w:div>
        <w:div w:id="1284922409">
          <w:marLeft w:val="640"/>
          <w:marRight w:val="0"/>
          <w:marTop w:val="0"/>
          <w:marBottom w:val="0"/>
          <w:divBdr>
            <w:top w:val="none" w:sz="0" w:space="0" w:color="auto"/>
            <w:left w:val="none" w:sz="0" w:space="0" w:color="auto"/>
            <w:bottom w:val="none" w:sz="0" w:space="0" w:color="auto"/>
            <w:right w:val="none" w:sz="0" w:space="0" w:color="auto"/>
          </w:divBdr>
        </w:div>
        <w:div w:id="751896881">
          <w:marLeft w:val="640"/>
          <w:marRight w:val="0"/>
          <w:marTop w:val="0"/>
          <w:marBottom w:val="0"/>
          <w:divBdr>
            <w:top w:val="none" w:sz="0" w:space="0" w:color="auto"/>
            <w:left w:val="none" w:sz="0" w:space="0" w:color="auto"/>
            <w:bottom w:val="none" w:sz="0" w:space="0" w:color="auto"/>
            <w:right w:val="none" w:sz="0" w:space="0" w:color="auto"/>
          </w:divBdr>
        </w:div>
        <w:div w:id="465044824">
          <w:marLeft w:val="640"/>
          <w:marRight w:val="0"/>
          <w:marTop w:val="0"/>
          <w:marBottom w:val="0"/>
          <w:divBdr>
            <w:top w:val="none" w:sz="0" w:space="0" w:color="auto"/>
            <w:left w:val="none" w:sz="0" w:space="0" w:color="auto"/>
            <w:bottom w:val="none" w:sz="0" w:space="0" w:color="auto"/>
            <w:right w:val="none" w:sz="0" w:space="0" w:color="auto"/>
          </w:divBdr>
        </w:div>
        <w:div w:id="213348583">
          <w:marLeft w:val="640"/>
          <w:marRight w:val="0"/>
          <w:marTop w:val="0"/>
          <w:marBottom w:val="0"/>
          <w:divBdr>
            <w:top w:val="none" w:sz="0" w:space="0" w:color="auto"/>
            <w:left w:val="none" w:sz="0" w:space="0" w:color="auto"/>
            <w:bottom w:val="none" w:sz="0" w:space="0" w:color="auto"/>
            <w:right w:val="none" w:sz="0" w:space="0" w:color="auto"/>
          </w:divBdr>
        </w:div>
        <w:div w:id="1735859557">
          <w:marLeft w:val="640"/>
          <w:marRight w:val="0"/>
          <w:marTop w:val="0"/>
          <w:marBottom w:val="0"/>
          <w:divBdr>
            <w:top w:val="none" w:sz="0" w:space="0" w:color="auto"/>
            <w:left w:val="none" w:sz="0" w:space="0" w:color="auto"/>
            <w:bottom w:val="none" w:sz="0" w:space="0" w:color="auto"/>
            <w:right w:val="none" w:sz="0" w:space="0" w:color="auto"/>
          </w:divBdr>
        </w:div>
        <w:div w:id="798690343">
          <w:marLeft w:val="640"/>
          <w:marRight w:val="0"/>
          <w:marTop w:val="0"/>
          <w:marBottom w:val="0"/>
          <w:divBdr>
            <w:top w:val="none" w:sz="0" w:space="0" w:color="auto"/>
            <w:left w:val="none" w:sz="0" w:space="0" w:color="auto"/>
            <w:bottom w:val="none" w:sz="0" w:space="0" w:color="auto"/>
            <w:right w:val="none" w:sz="0" w:space="0" w:color="auto"/>
          </w:divBdr>
        </w:div>
        <w:div w:id="973677540">
          <w:marLeft w:val="640"/>
          <w:marRight w:val="0"/>
          <w:marTop w:val="0"/>
          <w:marBottom w:val="0"/>
          <w:divBdr>
            <w:top w:val="none" w:sz="0" w:space="0" w:color="auto"/>
            <w:left w:val="none" w:sz="0" w:space="0" w:color="auto"/>
            <w:bottom w:val="none" w:sz="0" w:space="0" w:color="auto"/>
            <w:right w:val="none" w:sz="0" w:space="0" w:color="auto"/>
          </w:divBdr>
        </w:div>
        <w:div w:id="1760516429">
          <w:marLeft w:val="640"/>
          <w:marRight w:val="0"/>
          <w:marTop w:val="0"/>
          <w:marBottom w:val="0"/>
          <w:divBdr>
            <w:top w:val="none" w:sz="0" w:space="0" w:color="auto"/>
            <w:left w:val="none" w:sz="0" w:space="0" w:color="auto"/>
            <w:bottom w:val="none" w:sz="0" w:space="0" w:color="auto"/>
            <w:right w:val="none" w:sz="0" w:space="0" w:color="auto"/>
          </w:divBdr>
        </w:div>
        <w:div w:id="1877350336">
          <w:marLeft w:val="640"/>
          <w:marRight w:val="0"/>
          <w:marTop w:val="0"/>
          <w:marBottom w:val="0"/>
          <w:divBdr>
            <w:top w:val="none" w:sz="0" w:space="0" w:color="auto"/>
            <w:left w:val="none" w:sz="0" w:space="0" w:color="auto"/>
            <w:bottom w:val="none" w:sz="0" w:space="0" w:color="auto"/>
            <w:right w:val="none" w:sz="0" w:space="0" w:color="auto"/>
          </w:divBdr>
        </w:div>
        <w:div w:id="849878801">
          <w:marLeft w:val="640"/>
          <w:marRight w:val="0"/>
          <w:marTop w:val="0"/>
          <w:marBottom w:val="0"/>
          <w:divBdr>
            <w:top w:val="none" w:sz="0" w:space="0" w:color="auto"/>
            <w:left w:val="none" w:sz="0" w:space="0" w:color="auto"/>
            <w:bottom w:val="none" w:sz="0" w:space="0" w:color="auto"/>
            <w:right w:val="none" w:sz="0" w:space="0" w:color="auto"/>
          </w:divBdr>
        </w:div>
        <w:div w:id="1392191362">
          <w:marLeft w:val="640"/>
          <w:marRight w:val="0"/>
          <w:marTop w:val="0"/>
          <w:marBottom w:val="0"/>
          <w:divBdr>
            <w:top w:val="none" w:sz="0" w:space="0" w:color="auto"/>
            <w:left w:val="none" w:sz="0" w:space="0" w:color="auto"/>
            <w:bottom w:val="none" w:sz="0" w:space="0" w:color="auto"/>
            <w:right w:val="none" w:sz="0" w:space="0" w:color="auto"/>
          </w:divBdr>
        </w:div>
        <w:div w:id="666595337">
          <w:marLeft w:val="640"/>
          <w:marRight w:val="0"/>
          <w:marTop w:val="0"/>
          <w:marBottom w:val="0"/>
          <w:divBdr>
            <w:top w:val="none" w:sz="0" w:space="0" w:color="auto"/>
            <w:left w:val="none" w:sz="0" w:space="0" w:color="auto"/>
            <w:bottom w:val="none" w:sz="0" w:space="0" w:color="auto"/>
            <w:right w:val="none" w:sz="0" w:space="0" w:color="auto"/>
          </w:divBdr>
        </w:div>
        <w:div w:id="1092094371">
          <w:marLeft w:val="640"/>
          <w:marRight w:val="0"/>
          <w:marTop w:val="0"/>
          <w:marBottom w:val="0"/>
          <w:divBdr>
            <w:top w:val="none" w:sz="0" w:space="0" w:color="auto"/>
            <w:left w:val="none" w:sz="0" w:space="0" w:color="auto"/>
            <w:bottom w:val="none" w:sz="0" w:space="0" w:color="auto"/>
            <w:right w:val="none" w:sz="0" w:space="0" w:color="auto"/>
          </w:divBdr>
        </w:div>
        <w:div w:id="1214655101">
          <w:marLeft w:val="640"/>
          <w:marRight w:val="0"/>
          <w:marTop w:val="0"/>
          <w:marBottom w:val="0"/>
          <w:divBdr>
            <w:top w:val="none" w:sz="0" w:space="0" w:color="auto"/>
            <w:left w:val="none" w:sz="0" w:space="0" w:color="auto"/>
            <w:bottom w:val="none" w:sz="0" w:space="0" w:color="auto"/>
            <w:right w:val="none" w:sz="0" w:space="0" w:color="auto"/>
          </w:divBdr>
        </w:div>
        <w:div w:id="63572651">
          <w:marLeft w:val="640"/>
          <w:marRight w:val="0"/>
          <w:marTop w:val="0"/>
          <w:marBottom w:val="0"/>
          <w:divBdr>
            <w:top w:val="none" w:sz="0" w:space="0" w:color="auto"/>
            <w:left w:val="none" w:sz="0" w:space="0" w:color="auto"/>
            <w:bottom w:val="none" w:sz="0" w:space="0" w:color="auto"/>
            <w:right w:val="none" w:sz="0" w:space="0" w:color="auto"/>
          </w:divBdr>
        </w:div>
        <w:div w:id="977341576">
          <w:marLeft w:val="640"/>
          <w:marRight w:val="0"/>
          <w:marTop w:val="0"/>
          <w:marBottom w:val="0"/>
          <w:divBdr>
            <w:top w:val="none" w:sz="0" w:space="0" w:color="auto"/>
            <w:left w:val="none" w:sz="0" w:space="0" w:color="auto"/>
            <w:bottom w:val="none" w:sz="0" w:space="0" w:color="auto"/>
            <w:right w:val="none" w:sz="0" w:space="0" w:color="auto"/>
          </w:divBdr>
        </w:div>
        <w:div w:id="1410879960">
          <w:marLeft w:val="640"/>
          <w:marRight w:val="0"/>
          <w:marTop w:val="0"/>
          <w:marBottom w:val="0"/>
          <w:divBdr>
            <w:top w:val="none" w:sz="0" w:space="0" w:color="auto"/>
            <w:left w:val="none" w:sz="0" w:space="0" w:color="auto"/>
            <w:bottom w:val="none" w:sz="0" w:space="0" w:color="auto"/>
            <w:right w:val="none" w:sz="0" w:space="0" w:color="auto"/>
          </w:divBdr>
        </w:div>
        <w:div w:id="1881817808">
          <w:marLeft w:val="640"/>
          <w:marRight w:val="0"/>
          <w:marTop w:val="0"/>
          <w:marBottom w:val="0"/>
          <w:divBdr>
            <w:top w:val="none" w:sz="0" w:space="0" w:color="auto"/>
            <w:left w:val="none" w:sz="0" w:space="0" w:color="auto"/>
            <w:bottom w:val="none" w:sz="0" w:space="0" w:color="auto"/>
            <w:right w:val="none" w:sz="0" w:space="0" w:color="auto"/>
          </w:divBdr>
        </w:div>
        <w:div w:id="925185437">
          <w:marLeft w:val="640"/>
          <w:marRight w:val="0"/>
          <w:marTop w:val="0"/>
          <w:marBottom w:val="0"/>
          <w:divBdr>
            <w:top w:val="none" w:sz="0" w:space="0" w:color="auto"/>
            <w:left w:val="none" w:sz="0" w:space="0" w:color="auto"/>
            <w:bottom w:val="none" w:sz="0" w:space="0" w:color="auto"/>
            <w:right w:val="none" w:sz="0" w:space="0" w:color="auto"/>
          </w:divBdr>
        </w:div>
        <w:div w:id="1514493265">
          <w:marLeft w:val="640"/>
          <w:marRight w:val="0"/>
          <w:marTop w:val="0"/>
          <w:marBottom w:val="0"/>
          <w:divBdr>
            <w:top w:val="none" w:sz="0" w:space="0" w:color="auto"/>
            <w:left w:val="none" w:sz="0" w:space="0" w:color="auto"/>
            <w:bottom w:val="none" w:sz="0" w:space="0" w:color="auto"/>
            <w:right w:val="none" w:sz="0" w:space="0" w:color="auto"/>
          </w:divBdr>
        </w:div>
        <w:div w:id="509293205">
          <w:marLeft w:val="640"/>
          <w:marRight w:val="0"/>
          <w:marTop w:val="0"/>
          <w:marBottom w:val="0"/>
          <w:divBdr>
            <w:top w:val="none" w:sz="0" w:space="0" w:color="auto"/>
            <w:left w:val="none" w:sz="0" w:space="0" w:color="auto"/>
            <w:bottom w:val="none" w:sz="0" w:space="0" w:color="auto"/>
            <w:right w:val="none" w:sz="0" w:space="0" w:color="auto"/>
          </w:divBdr>
        </w:div>
        <w:div w:id="468984572">
          <w:marLeft w:val="640"/>
          <w:marRight w:val="0"/>
          <w:marTop w:val="0"/>
          <w:marBottom w:val="0"/>
          <w:divBdr>
            <w:top w:val="none" w:sz="0" w:space="0" w:color="auto"/>
            <w:left w:val="none" w:sz="0" w:space="0" w:color="auto"/>
            <w:bottom w:val="none" w:sz="0" w:space="0" w:color="auto"/>
            <w:right w:val="none" w:sz="0" w:space="0" w:color="auto"/>
          </w:divBdr>
        </w:div>
        <w:div w:id="848720886">
          <w:marLeft w:val="640"/>
          <w:marRight w:val="0"/>
          <w:marTop w:val="0"/>
          <w:marBottom w:val="0"/>
          <w:divBdr>
            <w:top w:val="none" w:sz="0" w:space="0" w:color="auto"/>
            <w:left w:val="none" w:sz="0" w:space="0" w:color="auto"/>
            <w:bottom w:val="none" w:sz="0" w:space="0" w:color="auto"/>
            <w:right w:val="none" w:sz="0" w:space="0" w:color="auto"/>
          </w:divBdr>
        </w:div>
        <w:div w:id="1586064772">
          <w:marLeft w:val="640"/>
          <w:marRight w:val="0"/>
          <w:marTop w:val="0"/>
          <w:marBottom w:val="0"/>
          <w:divBdr>
            <w:top w:val="none" w:sz="0" w:space="0" w:color="auto"/>
            <w:left w:val="none" w:sz="0" w:space="0" w:color="auto"/>
            <w:bottom w:val="none" w:sz="0" w:space="0" w:color="auto"/>
            <w:right w:val="none" w:sz="0" w:space="0" w:color="auto"/>
          </w:divBdr>
        </w:div>
        <w:div w:id="372777267">
          <w:marLeft w:val="640"/>
          <w:marRight w:val="0"/>
          <w:marTop w:val="0"/>
          <w:marBottom w:val="0"/>
          <w:divBdr>
            <w:top w:val="none" w:sz="0" w:space="0" w:color="auto"/>
            <w:left w:val="none" w:sz="0" w:space="0" w:color="auto"/>
            <w:bottom w:val="none" w:sz="0" w:space="0" w:color="auto"/>
            <w:right w:val="none" w:sz="0" w:space="0" w:color="auto"/>
          </w:divBdr>
        </w:div>
        <w:div w:id="998925746">
          <w:marLeft w:val="640"/>
          <w:marRight w:val="0"/>
          <w:marTop w:val="0"/>
          <w:marBottom w:val="0"/>
          <w:divBdr>
            <w:top w:val="none" w:sz="0" w:space="0" w:color="auto"/>
            <w:left w:val="none" w:sz="0" w:space="0" w:color="auto"/>
            <w:bottom w:val="none" w:sz="0" w:space="0" w:color="auto"/>
            <w:right w:val="none" w:sz="0" w:space="0" w:color="auto"/>
          </w:divBdr>
        </w:div>
        <w:div w:id="74087354">
          <w:marLeft w:val="640"/>
          <w:marRight w:val="0"/>
          <w:marTop w:val="0"/>
          <w:marBottom w:val="0"/>
          <w:divBdr>
            <w:top w:val="none" w:sz="0" w:space="0" w:color="auto"/>
            <w:left w:val="none" w:sz="0" w:space="0" w:color="auto"/>
            <w:bottom w:val="none" w:sz="0" w:space="0" w:color="auto"/>
            <w:right w:val="none" w:sz="0" w:space="0" w:color="auto"/>
          </w:divBdr>
        </w:div>
        <w:div w:id="810486241">
          <w:marLeft w:val="640"/>
          <w:marRight w:val="0"/>
          <w:marTop w:val="0"/>
          <w:marBottom w:val="0"/>
          <w:divBdr>
            <w:top w:val="none" w:sz="0" w:space="0" w:color="auto"/>
            <w:left w:val="none" w:sz="0" w:space="0" w:color="auto"/>
            <w:bottom w:val="none" w:sz="0" w:space="0" w:color="auto"/>
            <w:right w:val="none" w:sz="0" w:space="0" w:color="auto"/>
          </w:divBdr>
        </w:div>
        <w:div w:id="417792207">
          <w:marLeft w:val="640"/>
          <w:marRight w:val="0"/>
          <w:marTop w:val="0"/>
          <w:marBottom w:val="0"/>
          <w:divBdr>
            <w:top w:val="none" w:sz="0" w:space="0" w:color="auto"/>
            <w:left w:val="none" w:sz="0" w:space="0" w:color="auto"/>
            <w:bottom w:val="none" w:sz="0" w:space="0" w:color="auto"/>
            <w:right w:val="none" w:sz="0" w:space="0" w:color="auto"/>
          </w:divBdr>
        </w:div>
        <w:div w:id="294265063">
          <w:marLeft w:val="640"/>
          <w:marRight w:val="0"/>
          <w:marTop w:val="0"/>
          <w:marBottom w:val="0"/>
          <w:divBdr>
            <w:top w:val="none" w:sz="0" w:space="0" w:color="auto"/>
            <w:left w:val="none" w:sz="0" w:space="0" w:color="auto"/>
            <w:bottom w:val="none" w:sz="0" w:space="0" w:color="auto"/>
            <w:right w:val="none" w:sz="0" w:space="0" w:color="auto"/>
          </w:divBdr>
        </w:div>
        <w:div w:id="1598293008">
          <w:marLeft w:val="640"/>
          <w:marRight w:val="0"/>
          <w:marTop w:val="0"/>
          <w:marBottom w:val="0"/>
          <w:divBdr>
            <w:top w:val="none" w:sz="0" w:space="0" w:color="auto"/>
            <w:left w:val="none" w:sz="0" w:space="0" w:color="auto"/>
            <w:bottom w:val="none" w:sz="0" w:space="0" w:color="auto"/>
            <w:right w:val="none" w:sz="0" w:space="0" w:color="auto"/>
          </w:divBdr>
        </w:div>
        <w:div w:id="1540704994">
          <w:marLeft w:val="640"/>
          <w:marRight w:val="0"/>
          <w:marTop w:val="0"/>
          <w:marBottom w:val="0"/>
          <w:divBdr>
            <w:top w:val="none" w:sz="0" w:space="0" w:color="auto"/>
            <w:left w:val="none" w:sz="0" w:space="0" w:color="auto"/>
            <w:bottom w:val="none" w:sz="0" w:space="0" w:color="auto"/>
            <w:right w:val="none" w:sz="0" w:space="0" w:color="auto"/>
          </w:divBdr>
        </w:div>
        <w:div w:id="1858037886">
          <w:marLeft w:val="640"/>
          <w:marRight w:val="0"/>
          <w:marTop w:val="0"/>
          <w:marBottom w:val="0"/>
          <w:divBdr>
            <w:top w:val="none" w:sz="0" w:space="0" w:color="auto"/>
            <w:left w:val="none" w:sz="0" w:space="0" w:color="auto"/>
            <w:bottom w:val="none" w:sz="0" w:space="0" w:color="auto"/>
            <w:right w:val="none" w:sz="0" w:space="0" w:color="auto"/>
          </w:divBdr>
        </w:div>
        <w:div w:id="1394962790">
          <w:marLeft w:val="640"/>
          <w:marRight w:val="0"/>
          <w:marTop w:val="0"/>
          <w:marBottom w:val="0"/>
          <w:divBdr>
            <w:top w:val="none" w:sz="0" w:space="0" w:color="auto"/>
            <w:left w:val="none" w:sz="0" w:space="0" w:color="auto"/>
            <w:bottom w:val="none" w:sz="0" w:space="0" w:color="auto"/>
            <w:right w:val="none" w:sz="0" w:space="0" w:color="auto"/>
          </w:divBdr>
        </w:div>
        <w:div w:id="1896622538">
          <w:marLeft w:val="640"/>
          <w:marRight w:val="0"/>
          <w:marTop w:val="0"/>
          <w:marBottom w:val="0"/>
          <w:divBdr>
            <w:top w:val="none" w:sz="0" w:space="0" w:color="auto"/>
            <w:left w:val="none" w:sz="0" w:space="0" w:color="auto"/>
            <w:bottom w:val="none" w:sz="0" w:space="0" w:color="auto"/>
            <w:right w:val="none" w:sz="0" w:space="0" w:color="auto"/>
          </w:divBdr>
        </w:div>
        <w:div w:id="747577859">
          <w:marLeft w:val="640"/>
          <w:marRight w:val="0"/>
          <w:marTop w:val="0"/>
          <w:marBottom w:val="0"/>
          <w:divBdr>
            <w:top w:val="none" w:sz="0" w:space="0" w:color="auto"/>
            <w:left w:val="none" w:sz="0" w:space="0" w:color="auto"/>
            <w:bottom w:val="none" w:sz="0" w:space="0" w:color="auto"/>
            <w:right w:val="none" w:sz="0" w:space="0" w:color="auto"/>
          </w:divBdr>
        </w:div>
        <w:div w:id="1551379138">
          <w:marLeft w:val="640"/>
          <w:marRight w:val="0"/>
          <w:marTop w:val="0"/>
          <w:marBottom w:val="0"/>
          <w:divBdr>
            <w:top w:val="none" w:sz="0" w:space="0" w:color="auto"/>
            <w:left w:val="none" w:sz="0" w:space="0" w:color="auto"/>
            <w:bottom w:val="none" w:sz="0" w:space="0" w:color="auto"/>
            <w:right w:val="none" w:sz="0" w:space="0" w:color="auto"/>
          </w:divBdr>
        </w:div>
        <w:div w:id="1923879556">
          <w:marLeft w:val="640"/>
          <w:marRight w:val="0"/>
          <w:marTop w:val="0"/>
          <w:marBottom w:val="0"/>
          <w:divBdr>
            <w:top w:val="none" w:sz="0" w:space="0" w:color="auto"/>
            <w:left w:val="none" w:sz="0" w:space="0" w:color="auto"/>
            <w:bottom w:val="none" w:sz="0" w:space="0" w:color="auto"/>
            <w:right w:val="none" w:sz="0" w:space="0" w:color="auto"/>
          </w:divBdr>
        </w:div>
        <w:div w:id="1663465579">
          <w:marLeft w:val="640"/>
          <w:marRight w:val="0"/>
          <w:marTop w:val="0"/>
          <w:marBottom w:val="0"/>
          <w:divBdr>
            <w:top w:val="none" w:sz="0" w:space="0" w:color="auto"/>
            <w:left w:val="none" w:sz="0" w:space="0" w:color="auto"/>
            <w:bottom w:val="none" w:sz="0" w:space="0" w:color="auto"/>
            <w:right w:val="none" w:sz="0" w:space="0" w:color="auto"/>
          </w:divBdr>
        </w:div>
        <w:div w:id="1284727973">
          <w:marLeft w:val="640"/>
          <w:marRight w:val="0"/>
          <w:marTop w:val="0"/>
          <w:marBottom w:val="0"/>
          <w:divBdr>
            <w:top w:val="none" w:sz="0" w:space="0" w:color="auto"/>
            <w:left w:val="none" w:sz="0" w:space="0" w:color="auto"/>
            <w:bottom w:val="none" w:sz="0" w:space="0" w:color="auto"/>
            <w:right w:val="none" w:sz="0" w:space="0" w:color="auto"/>
          </w:divBdr>
        </w:div>
        <w:div w:id="833687926">
          <w:marLeft w:val="640"/>
          <w:marRight w:val="0"/>
          <w:marTop w:val="0"/>
          <w:marBottom w:val="0"/>
          <w:divBdr>
            <w:top w:val="none" w:sz="0" w:space="0" w:color="auto"/>
            <w:left w:val="none" w:sz="0" w:space="0" w:color="auto"/>
            <w:bottom w:val="none" w:sz="0" w:space="0" w:color="auto"/>
            <w:right w:val="none" w:sz="0" w:space="0" w:color="auto"/>
          </w:divBdr>
        </w:div>
        <w:div w:id="1748383054">
          <w:marLeft w:val="640"/>
          <w:marRight w:val="0"/>
          <w:marTop w:val="0"/>
          <w:marBottom w:val="0"/>
          <w:divBdr>
            <w:top w:val="none" w:sz="0" w:space="0" w:color="auto"/>
            <w:left w:val="none" w:sz="0" w:space="0" w:color="auto"/>
            <w:bottom w:val="none" w:sz="0" w:space="0" w:color="auto"/>
            <w:right w:val="none" w:sz="0" w:space="0" w:color="auto"/>
          </w:divBdr>
        </w:div>
        <w:div w:id="2015498928">
          <w:marLeft w:val="640"/>
          <w:marRight w:val="0"/>
          <w:marTop w:val="0"/>
          <w:marBottom w:val="0"/>
          <w:divBdr>
            <w:top w:val="none" w:sz="0" w:space="0" w:color="auto"/>
            <w:left w:val="none" w:sz="0" w:space="0" w:color="auto"/>
            <w:bottom w:val="none" w:sz="0" w:space="0" w:color="auto"/>
            <w:right w:val="none" w:sz="0" w:space="0" w:color="auto"/>
          </w:divBdr>
        </w:div>
        <w:div w:id="1952087020">
          <w:marLeft w:val="640"/>
          <w:marRight w:val="0"/>
          <w:marTop w:val="0"/>
          <w:marBottom w:val="0"/>
          <w:divBdr>
            <w:top w:val="none" w:sz="0" w:space="0" w:color="auto"/>
            <w:left w:val="none" w:sz="0" w:space="0" w:color="auto"/>
            <w:bottom w:val="none" w:sz="0" w:space="0" w:color="auto"/>
            <w:right w:val="none" w:sz="0" w:space="0" w:color="auto"/>
          </w:divBdr>
        </w:div>
        <w:div w:id="821657567">
          <w:marLeft w:val="640"/>
          <w:marRight w:val="0"/>
          <w:marTop w:val="0"/>
          <w:marBottom w:val="0"/>
          <w:divBdr>
            <w:top w:val="none" w:sz="0" w:space="0" w:color="auto"/>
            <w:left w:val="none" w:sz="0" w:space="0" w:color="auto"/>
            <w:bottom w:val="none" w:sz="0" w:space="0" w:color="auto"/>
            <w:right w:val="none" w:sz="0" w:space="0" w:color="auto"/>
          </w:divBdr>
        </w:div>
        <w:div w:id="969555577">
          <w:marLeft w:val="640"/>
          <w:marRight w:val="0"/>
          <w:marTop w:val="0"/>
          <w:marBottom w:val="0"/>
          <w:divBdr>
            <w:top w:val="none" w:sz="0" w:space="0" w:color="auto"/>
            <w:left w:val="none" w:sz="0" w:space="0" w:color="auto"/>
            <w:bottom w:val="none" w:sz="0" w:space="0" w:color="auto"/>
            <w:right w:val="none" w:sz="0" w:space="0" w:color="auto"/>
          </w:divBdr>
        </w:div>
        <w:div w:id="1240094525">
          <w:marLeft w:val="640"/>
          <w:marRight w:val="0"/>
          <w:marTop w:val="0"/>
          <w:marBottom w:val="0"/>
          <w:divBdr>
            <w:top w:val="none" w:sz="0" w:space="0" w:color="auto"/>
            <w:left w:val="none" w:sz="0" w:space="0" w:color="auto"/>
            <w:bottom w:val="none" w:sz="0" w:space="0" w:color="auto"/>
            <w:right w:val="none" w:sz="0" w:space="0" w:color="auto"/>
          </w:divBdr>
        </w:div>
        <w:div w:id="1487941265">
          <w:marLeft w:val="640"/>
          <w:marRight w:val="0"/>
          <w:marTop w:val="0"/>
          <w:marBottom w:val="0"/>
          <w:divBdr>
            <w:top w:val="none" w:sz="0" w:space="0" w:color="auto"/>
            <w:left w:val="none" w:sz="0" w:space="0" w:color="auto"/>
            <w:bottom w:val="none" w:sz="0" w:space="0" w:color="auto"/>
            <w:right w:val="none" w:sz="0" w:space="0" w:color="auto"/>
          </w:divBdr>
        </w:div>
        <w:div w:id="1987391276">
          <w:marLeft w:val="640"/>
          <w:marRight w:val="0"/>
          <w:marTop w:val="0"/>
          <w:marBottom w:val="0"/>
          <w:divBdr>
            <w:top w:val="none" w:sz="0" w:space="0" w:color="auto"/>
            <w:left w:val="none" w:sz="0" w:space="0" w:color="auto"/>
            <w:bottom w:val="none" w:sz="0" w:space="0" w:color="auto"/>
            <w:right w:val="none" w:sz="0" w:space="0" w:color="auto"/>
          </w:divBdr>
        </w:div>
        <w:div w:id="1001202493">
          <w:marLeft w:val="640"/>
          <w:marRight w:val="0"/>
          <w:marTop w:val="0"/>
          <w:marBottom w:val="0"/>
          <w:divBdr>
            <w:top w:val="none" w:sz="0" w:space="0" w:color="auto"/>
            <w:left w:val="none" w:sz="0" w:space="0" w:color="auto"/>
            <w:bottom w:val="none" w:sz="0" w:space="0" w:color="auto"/>
            <w:right w:val="none" w:sz="0" w:space="0" w:color="auto"/>
          </w:divBdr>
        </w:div>
        <w:div w:id="1794984175">
          <w:marLeft w:val="640"/>
          <w:marRight w:val="0"/>
          <w:marTop w:val="0"/>
          <w:marBottom w:val="0"/>
          <w:divBdr>
            <w:top w:val="none" w:sz="0" w:space="0" w:color="auto"/>
            <w:left w:val="none" w:sz="0" w:space="0" w:color="auto"/>
            <w:bottom w:val="none" w:sz="0" w:space="0" w:color="auto"/>
            <w:right w:val="none" w:sz="0" w:space="0" w:color="auto"/>
          </w:divBdr>
        </w:div>
        <w:div w:id="287899933">
          <w:marLeft w:val="640"/>
          <w:marRight w:val="0"/>
          <w:marTop w:val="0"/>
          <w:marBottom w:val="0"/>
          <w:divBdr>
            <w:top w:val="none" w:sz="0" w:space="0" w:color="auto"/>
            <w:left w:val="none" w:sz="0" w:space="0" w:color="auto"/>
            <w:bottom w:val="none" w:sz="0" w:space="0" w:color="auto"/>
            <w:right w:val="none" w:sz="0" w:space="0" w:color="auto"/>
          </w:divBdr>
        </w:div>
        <w:div w:id="883641456">
          <w:marLeft w:val="640"/>
          <w:marRight w:val="0"/>
          <w:marTop w:val="0"/>
          <w:marBottom w:val="0"/>
          <w:divBdr>
            <w:top w:val="none" w:sz="0" w:space="0" w:color="auto"/>
            <w:left w:val="none" w:sz="0" w:space="0" w:color="auto"/>
            <w:bottom w:val="none" w:sz="0" w:space="0" w:color="auto"/>
            <w:right w:val="none" w:sz="0" w:space="0" w:color="auto"/>
          </w:divBdr>
        </w:div>
        <w:div w:id="5208167">
          <w:marLeft w:val="640"/>
          <w:marRight w:val="0"/>
          <w:marTop w:val="0"/>
          <w:marBottom w:val="0"/>
          <w:divBdr>
            <w:top w:val="none" w:sz="0" w:space="0" w:color="auto"/>
            <w:left w:val="none" w:sz="0" w:space="0" w:color="auto"/>
            <w:bottom w:val="none" w:sz="0" w:space="0" w:color="auto"/>
            <w:right w:val="none" w:sz="0" w:space="0" w:color="auto"/>
          </w:divBdr>
        </w:div>
        <w:div w:id="662510103">
          <w:marLeft w:val="640"/>
          <w:marRight w:val="0"/>
          <w:marTop w:val="0"/>
          <w:marBottom w:val="0"/>
          <w:divBdr>
            <w:top w:val="none" w:sz="0" w:space="0" w:color="auto"/>
            <w:left w:val="none" w:sz="0" w:space="0" w:color="auto"/>
            <w:bottom w:val="none" w:sz="0" w:space="0" w:color="auto"/>
            <w:right w:val="none" w:sz="0" w:space="0" w:color="auto"/>
          </w:divBdr>
        </w:div>
        <w:div w:id="1756052518">
          <w:marLeft w:val="640"/>
          <w:marRight w:val="0"/>
          <w:marTop w:val="0"/>
          <w:marBottom w:val="0"/>
          <w:divBdr>
            <w:top w:val="none" w:sz="0" w:space="0" w:color="auto"/>
            <w:left w:val="none" w:sz="0" w:space="0" w:color="auto"/>
            <w:bottom w:val="none" w:sz="0" w:space="0" w:color="auto"/>
            <w:right w:val="none" w:sz="0" w:space="0" w:color="auto"/>
          </w:divBdr>
        </w:div>
        <w:div w:id="380441361">
          <w:marLeft w:val="640"/>
          <w:marRight w:val="0"/>
          <w:marTop w:val="0"/>
          <w:marBottom w:val="0"/>
          <w:divBdr>
            <w:top w:val="none" w:sz="0" w:space="0" w:color="auto"/>
            <w:left w:val="none" w:sz="0" w:space="0" w:color="auto"/>
            <w:bottom w:val="none" w:sz="0" w:space="0" w:color="auto"/>
            <w:right w:val="none" w:sz="0" w:space="0" w:color="auto"/>
          </w:divBdr>
        </w:div>
        <w:div w:id="78332140">
          <w:marLeft w:val="640"/>
          <w:marRight w:val="0"/>
          <w:marTop w:val="0"/>
          <w:marBottom w:val="0"/>
          <w:divBdr>
            <w:top w:val="none" w:sz="0" w:space="0" w:color="auto"/>
            <w:left w:val="none" w:sz="0" w:space="0" w:color="auto"/>
            <w:bottom w:val="none" w:sz="0" w:space="0" w:color="auto"/>
            <w:right w:val="none" w:sz="0" w:space="0" w:color="auto"/>
          </w:divBdr>
        </w:div>
        <w:div w:id="759522888">
          <w:marLeft w:val="640"/>
          <w:marRight w:val="0"/>
          <w:marTop w:val="0"/>
          <w:marBottom w:val="0"/>
          <w:divBdr>
            <w:top w:val="none" w:sz="0" w:space="0" w:color="auto"/>
            <w:left w:val="none" w:sz="0" w:space="0" w:color="auto"/>
            <w:bottom w:val="none" w:sz="0" w:space="0" w:color="auto"/>
            <w:right w:val="none" w:sz="0" w:space="0" w:color="auto"/>
          </w:divBdr>
        </w:div>
        <w:div w:id="267935335">
          <w:marLeft w:val="640"/>
          <w:marRight w:val="0"/>
          <w:marTop w:val="0"/>
          <w:marBottom w:val="0"/>
          <w:divBdr>
            <w:top w:val="none" w:sz="0" w:space="0" w:color="auto"/>
            <w:left w:val="none" w:sz="0" w:space="0" w:color="auto"/>
            <w:bottom w:val="none" w:sz="0" w:space="0" w:color="auto"/>
            <w:right w:val="none" w:sz="0" w:space="0" w:color="auto"/>
          </w:divBdr>
        </w:div>
        <w:div w:id="982464559">
          <w:marLeft w:val="640"/>
          <w:marRight w:val="0"/>
          <w:marTop w:val="0"/>
          <w:marBottom w:val="0"/>
          <w:divBdr>
            <w:top w:val="none" w:sz="0" w:space="0" w:color="auto"/>
            <w:left w:val="none" w:sz="0" w:space="0" w:color="auto"/>
            <w:bottom w:val="none" w:sz="0" w:space="0" w:color="auto"/>
            <w:right w:val="none" w:sz="0" w:space="0" w:color="auto"/>
          </w:divBdr>
        </w:div>
        <w:div w:id="1909412822">
          <w:marLeft w:val="640"/>
          <w:marRight w:val="0"/>
          <w:marTop w:val="0"/>
          <w:marBottom w:val="0"/>
          <w:divBdr>
            <w:top w:val="none" w:sz="0" w:space="0" w:color="auto"/>
            <w:left w:val="none" w:sz="0" w:space="0" w:color="auto"/>
            <w:bottom w:val="none" w:sz="0" w:space="0" w:color="auto"/>
            <w:right w:val="none" w:sz="0" w:space="0" w:color="auto"/>
          </w:divBdr>
        </w:div>
        <w:div w:id="1608539389">
          <w:marLeft w:val="640"/>
          <w:marRight w:val="0"/>
          <w:marTop w:val="0"/>
          <w:marBottom w:val="0"/>
          <w:divBdr>
            <w:top w:val="none" w:sz="0" w:space="0" w:color="auto"/>
            <w:left w:val="none" w:sz="0" w:space="0" w:color="auto"/>
            <w:bottom w:val="none" w:sz="0" w:space="0" w:color="auto"/>
            <w:right w:val="none" w:sz="0" w:space="0" w:color="auto"/>
          </w:divBdr>
        </w:div>
        <w:div w:id="1933390183">
          <w:marLeft w:val="640"/>
          <w:marRight w:val="0"/>
          <w:marTop w:val="0"/>
          <w:marBottom w:val="0"/>
          <w:divBdr>
            <w:top w:val="none" w:sz="0" w:space="0" w:color="auto"/>
            <w:left w:val="none" w:sz="0" w:space="0" w:color="auto"/>
            <w:bottom w:val="none" w:sz="0" w:space="0" w:color="auto"/>
            <w:right w:val="none" w:sz="0" w:space="0" w:color="auto"/>
          </w:divBdr>
        </w:div>
        <w:div w:id="1573199444">
          <w:marLeft w:val="640"/>
          <w:marRight w:val="0"/>
          <w:marTop w:val="0"/>
          <w:marBottom w:val="0"/>
          <w:divBdr>
            <w:top w:val="none" w:sz="0" w:space="0" w:color="auto"/>
            <w:left w:val="none" w:sz="0" w:space="0" w:color="auto"/>
            <w:bottom w:val="none" w:sz="0" w:space="0" w:color="auto"/>
            <w:right w:val="none" w:sz="0" w:space="0" w:color="auto"/>
          </w:divBdr>
        </w:div>
        <w:div w:id="209344649">
          <w:marLeft w:val="640"/>
          <w:marRight w:val="0"/>
          <w:marTop w:val="0"/>
          <w:marBottom w:val="0"/>
          <w:divBdr>
            <w:top w:val="none" w:sz="0" w:space="0" w:color="auto"/>
            <w:left w:val="none" w:sz="0" w:space="0" w:color="auto"/>
            <w:bottom w:val="none" w:sz="0" w:space="0" w:color="auto"/>
            <w:right w:val="none" w:sz="0" w:space="0" w:color="auto"/>
          </w:divBdr>
        </w:div>
        <w:div w:id="341475052">
          <w:marLeft w:val="640"/>
          <w:marRight w:val="0"/>
          <w:marTop w:val="0"/>
          <w:marBottom w:val="0"/>
          <w:divBdr>
            <w:top w:val="none" w:sz="0" w:space="0" w:color="auto"/>
            <w:left w:val="none" w:sz="0" w:space="0" w:color="auto"/>
            <w:bottom w:val="none" w:sz="0" w:space="0" w:color="auto"/>
            <w:right w:val="none" w:sz="0" w:space="0" w:color="auto"/>
          </w:divBdr>
        </w:div>
        <w:div w:id="1232544293">
          <w:marLeft w:val="640"/>
          <w:marRight w:val="0"/>
          <w:marTop w:val="0"/>
          <w:marBottom w:val="0"/>
          <w:divBdr>
            <w:top w:val="none" w:sz="0" w:space="0" w:color="auto"/>
            <w:left w:val="none" w:sz="0" w:space="0" w:color="auto"/>
            <w:bottom w:val="none" w:sz="0" w:space="0" w:color="auto"/>
            <w:right w:val="none" w:sz="0" w:space="0" w:color="auto"/>
          </w:divBdr>
        </w:div>
        <w:div w:id="1816876568">
          <w:marLeft w:val="640"/>
          <w:marRight w:val="0"/>
          <w:marTop w:val="0"/>
          <w:marBottom w:val="0"/>
          <w:divBdr>
            <w:top w:val="none" w:sz="0" w:space="0" w:color="auto"/>
            <w:left w:val="none" w:sz="0" w:space="0" w:color="auto"/>
            <w:bottom w:val="none" w:sz="0" w:space="0" w:color="auto"/>
            <w:right w:val="none" w:sz="0" w:space="0" w:color="auto"/>
          </w:divBdr>
        </w:div>
        <w:div w:id="179128740">
          <w:marLeft w:val="640"/>
          <w:marRight w:val="0"/>
          <w:marTop w:val="0"/>
          <w:marBottom w:val="0"/>
          <w:divBdr>
            <w:top w:val="none" w:sz="0" w:space="0" w:color="auto"/>
            <w:left w:val="none" w:sz="0" w:space="0" w:color="auto"/>
            <w:bottom w:val="none" w:sz="0" w:space="0" w:color="auto"/>
            <w:right w:val="none" w:sz="0" w:space="0" w:color="auto"/>
          </w:divBdr>
        </w:div>
        <w:div w:id="697970894">
          <w:marLeft w:val="640"/>
          <w:marRight w:val="0"/>
          <w:marTop w:val="0"/>
          <w:marBottom w:val="0"/>
          <w:divBdr>
            <w:top w:val="none" w:sz="0" w:space="0" w:color="auto"/>
            <w:left w:val="none" w:sz="0" w:space="0" w:color="auto"/>
            <w:bottom w:val="none" w:sz="0" w:space="0" w:color="auto"/>
            <w:right w:val="none" w:sz="0" w:space="0" w:color="auto"/>
          </w:divBdr>
        </w:div>
        <w:div w:id="1903052749">
          <w:marLeft w:val="640"/>
          <w:marRight w:val="0"/>
          <w:marTop w:val="0"/>
          <w:marBottom w:val="0"/>
          <w:divBdr>
            <w:top w:val="none" w:sz="0" w:space="0" w:color="auto"/>
            <w:left w:val="none" w:sz="0" w:space="0" w:color="auto"/>
            <w:bottom w:val="none" w:sz="0" w:space="0" w:color="auto"/>
            <w:right w:val="none" w:sz="0" w:space="0" w:color="auto"/>
          </w:divBdr>
        </w:div>
        <w:div w:id="580138367">
          <w:marLeft w:val="640"/>
          <w:marRight w:val="0"/>
          <w:marTop w:val="0"/>
          <w:marBottom w:val="0"/>
          <w:divBdr>
            <w:top w:val="none" w:sz="0" w:space="0" w:color="auto"/>
            <w:left w:val="none" w:sz="0" w:space="0" w:color="auto"/>
            <w:bottom w:val="none" w:sz="0" w:space="0" w:color="auto"/>
            <w:right w:val="none" w:sz="0" w:space="0" w:color="auto"/>
          </w:divBdr>
        </w:div>
        <w:div w:id="1480884164">
          <w:marLeft w:val="640"/>
          <w:marRight w:val="0"/>
          <w:marTop w:val="0"/>
          <w:marBottom w:val="0"/>
          <w:divBdr>
            <w:top w:val="none" w:sz="0" w:space="0" w:color="auto"/>
            <w:left w:val="none" w:sz="0" w:space="0" w:color="auto"/>
            <w:bottom w:val="none" w:sz="0" w:space="0" w:color="auto"/>
            <w:right w:val="none" w:sz="0" w:space="0" w:color="auto"/>
          </w:divBdr>
        </w:div>
        <w:div w:id="1070277146">
          <w:marLeft w:val="640"/>
          <w:marRight w:val="0"/>
          <w:marTop w:val="0"/>
          <w:marBottom w:val="0"/>
          <w:divBdr>
            <w:top w:val="none" w:sz="0" w:space="0" w:color="auto"/>
            <w:left w:val="none" w:sz="0" w:space="0" w:color="auto"/>
            <w:bottom w:val="none" w:sz="0" w:space="0" w:color="auto"/>
            <w:right w:val="none" w:sz="0" w:space="0" w:color="auto"/>
          </w:divBdr>
        </w:div>
        <w:div w:id="1408454469">
          <w:marLeft w:val="640"/>
          <w:marRight w:val="0"/>
          <w:marTop w:val="0"/>
          <w:marBottom w:val="0"/>
          <w:divBdr>
            <w:top w:val="none" w:sz="0" w:space="0" w:color="auto"/>
            <w:left w:val="none" w:sz="0" w:space="0" w:color="auto"/>
            <w:bottom w:val="none" w:sz="0" w:space="0" w:color="auto"/>
            <w:right w:val="none" w:sz="0" w:space="0" w:color="auto"/>
          </w:divBdr>
        </w:div>
        <w:div w:id="580218259">
          <w:marLeft w:val="640"/>
          <w:marRight w:val="0"/>
          <w:marTop w:val="0"/>
          <w:marBottom w:val="0"/>
          <w:divBdr>
            <w:top w:val="none" w:sz="0" w:space="0" w:color="auto"/>
            <w:left w:val="none" w:sz="0" w:space="0" w:color="auto"/>
            <w:bottom w:val="none" w:sz="0" w:space="0" w:color="auto"/>
            <w:right w:val="none" w:sz="0" w:space="0" w:color="auto"/>
          </w:divBdr>
        </w:div>
        <w:div w:id="1011250893">
          <w:marLeft w:val="640"/>
          <w:marRight w:val="0"/>
          <w:marTop w:val="0"/>
          <w:marBottom w:val="0"/>
          <w:divBdr>
            <w:top w:val="none" w:sz="0" w:space="0" w:color="auto"/>
            <w:left w:val="none" w:sz="0" w:space="0" w:color="auto"/>
            <w:bottom w:val="none" w:sz="0" w:space="0" w:color="auto"/>
            <w:right w:val="none" w:sz="0" w:space="0" w:color="auto"/>
          </w:divBdr>
        </w:div>
        <w:div w:id="801970004">
          <w:marLeft w:val="640"/>
          <w:marRight w:val="0"/>
          <w:marTop w:val="0"/>
          <w:marBottom w:val="0"/>
          <w:divBdr>
            <w:top w:val="none" w:sz="0" w:space="0" w:color="auto"/>
            <w:left w:val="none" w:sz="0" w:space="0" w:color="auto"/>
            <w:bottom w:val="none" w:sz="0" w:space="0" w:color="auto"/>
            <w:right w:val="none" w:sz="0" w:space="0" w:color="auto"/>
          </w:divBdr>
        </w:div>
        <w:div w:id="22022550">
          <w:marLeft w:val="640"/>
          <w:marRight w:val="0"/>
          <w:marTop w:val="0"/>
          <w:marBottom w:val="0"/>
          <w:divBdr>
            <w:top w:val="none" w:sz="0" w:space="0" w:color="auto"/>
            <w:left w:val="none" w:sz="0" w:space="0" w:color="auto"/>
            <w:bottom w:val="none" w:sz="0" w:space="0" w:color="auto"/>
            <w:right w:val="none" w:sz="0" w:space="0" w:color="auto"/>
          </w:divBdr>
        </w:div>
        <w:div w:id="1460613641">
          <w:marLeft w:val="640"/>
          <w:marRight w:val="0"/>
          <w:marTop w:val="0"/>
          <w:marBottom w:val="0"/>
          <w:divBdr>
            <w:top w:val="none" w:sz="0" w:space="0" w:color="auto"/>
            <w:left w:val="none" w:sz="0" w:space="0" w:color="auto"/>
            <w:bottom w:val="none" w:sz="0" w:space="0" w:color="auto"/>
            <w:right w:val="none" w:sz="0" w:space="0" w:color="auto"/>
          </w:divBdr>
        </w:div>
        <w:div w:id="442460751">
          <w:marLeft w:val="640"/>
          <w:marRight w:val="0"/>
          <w:marTop w:val="0"/>
          <w:marBottom w:val="0"/>
          <w:divBdr>
            <w:top w:val="none" w:sz="0" w:space="0" w:color="auto"/>
            <w:left w:val="none" w:sz="0" w:space="0" w:color="auto"/>
            <w:bottom w:val="none" w:sz="0" w:space="0" w:color="auto"/>
            <w:right w:val="none" w:sz="0" w:space="0" w:color="auto"/>
          </w:divBdr>
        </w:div>
        <w:div w:id="274413225">
          <w:marLeft w:val="640"/>
          <w:marRight w:val="0"/>
          <w:marTop w:val="0"/>
          <w:marBottom w:val="0"/>
          <w:divBdr>
            <w:top w:val="none" w:sz="0" w:space="0" w:color="auto"/>
            <w:left w:val="none" w:sz="0" w:space="0" w:color="auto"/>
            <w:bottom w:val="none" w:sz="0" w:space="0" w:color="auto"/>
            <w:right w:val="none" w:sz="0" w:space="0" w:color="auto"/>
          </w:divBdr>
        </w:div>
        <w:div w:id="15616086">
          <w:marLeft w:val="640"/>
          <w:marRight w:val="0"/>
          <w:marTop w:val="0"/>
          <w:marBottom w:val="0"/>
          <w:divBdr>
            <w:top w:val="none" w:sz="0" w:space="0" w:color="auto"/>
            <w:left w:val="none" w:sz="0" w:space="0" w:color="auto"/>
            <w:bottom w:val="none" w:sz="0" w:space="0" w:color="auto"/>
            <w:right w:val="none" w:sz="0" w:space="0" w:color="auto"/>
          </w:divBdr>
        </w:div>
        <w:div w:id="542644845">
          <w:marLeft w:val="640"/>
          <w:marRight w:val="0"/>
          <w:marTop w:val="0"/>
          <w:marBottom w:val="0"/>
          <w:divBdr>
            <w:top w:val="none" w:sz="0" w:space="0" w:color="auto"/>
            <w:left w:val="none" w:sz="0" w:space="0" w:color="auto"/>
            <w:bottom w:val="none" w:sz="0" w:space="0" w:color="auto"/>
            <w:right w:val="none" w:sz="0" w:space="0" w:color="auto"/>
          </w:divBdr>
        </w:div>
        <w:div w:id="1713311155">
          <w:marLeft w:val="640"/>
          <w:marRight w:val="0"/>
          <w:marTop w:val="0"/>
          <w:marBottom w:val="0"/>
          <w:divBdr>
            <w:top w:val="none" w:sz="0" w:space="0" w:color="auto"/>
            <w:left w:val="none" w:sz="0" w:space="0" w:color="auto"/>
            <w:bottom w:val="none" w:sz="0" w:space="0" w:color="auto"/>
            <w:right w:val="none" w:sz="0" w:space="0" w:color="auto"/>
          </w:divBdr>
        </w:div>
        <w:div w:id="238100756">
          <w:marLeft w:val="640"/>
          <w:marRight w:val="0"/>
          <w:marTop w:val="0"/>
          <w:marBottom w:val="0"/>
          <w:divBdr>
            <w:top w:val="none" w:sz="0" w:space="0" w:color="auto"/>
            <w:left w:val="none" w:sz="0" w:space="0" w:color="auto"/>
            <w:bottom w:val="none" w:sz="0" w:space="0" w:color="auto"/>
            <w:right w:val="none" w:sz="0" w:space="0" w:color="auto"/>
          </w:divBdr>
        </w:div>
        <w:div w:id="126775418">
          <w:marLeft w:val="640"/>
          <w:marRight w:val="0"/>
          <w:marTop w:val="0"/>
          <w:marBottom w:val="0"/>
          <w:divBdr>
            <w:top w:val="none" w:sz="0" w:space="0" w:color="auto"/>
            <w:left w:val="none" w:sz="0" w:space="0" w:color="auto"/>
            <w:bottom w:val="none" w:sz="0" w:space="0" w:color="auto"/>
            <w:right w:val="none" w:sz="0" w:space="0" w:color="auto"/>
          </w:divBdr>
        </w:div>
        <w:div w:id="567106470">
          <w:marLeft w:val="640"/>
          <w:marRight w:val="0"/>
          <w:marTop w:val="0"/>
          <w:marBottom w:val="0"/>
          <w:divBdr>
            <w:top w:val="none" w:sz="0" w:space="0" w:color="auto"/>
            <w:left w:val="none" w:sz="0" w:space="0" w:color="auto"/>
            <w:bottom w:val="none" w:sz="0" w:space="0" w:color="auto"/>
            <w:right w:val="none" w:sz="0" w:space="0" w:color="auto"/>
          </w:divBdr>
        </w:div>
        <w:div w:id="518589060">
          <w:marLeft w:val="640"/>
          <w:marRight w:val="0"/>
          <w:marTop w:val="0"/>
          <w:marBottom w:val="0"/>
          <w:divBdr>
            <w:top w:val="none" w:sz="0" w:space="0" w:color="auto"/>
            <w:left w:val="none" w:sz="0" w:space="0" w:color="auto"/>
            <w:bottom w:val="none" w:sz="0" w:space="0" w:color="auto"/>
            <w:right w:val="none" w:sz="0" w:space="0" w:color="auto"/>
          </w:divBdr>
        </w:div>
        <w:div w:id="1854219916">
          <w:marLeft w:val="640"/>
          <w:marRight w:val="0"/>
          <w:marTop w:val="0"/>
          <w:marBottom w:val="0"/>
          <w:divBdr>
            <w:top w:val="none" w:sz="0" w:space="0" w:color="auto"/>
            <w:left w:val="none" w:sz="0" w:space="0" w:color="auto"/>
            <w:bottom w:val="none" w:sz="0" w:space="0" w:color="auto"/>
            <w:right w:val="none" w:sz="0" w:space="0" w:color="auto"/>
          </w:divBdr>
        </w:div>
        <w:div w:id="1550148111">
          <w:marLeft w:val="640"/>
          <w:marRight w:val="0"/>
          <w:marTop w:val="0"/>
          <w:marBottom w:val="0"/>
          <w:divBdr>
            <w:top w:val="none" w:sz="0" w:space="0" w:color="auto"/>
            <w:left w:val="none" w:sz="0" w:space="0" w:color="auto"/>
            <w:bottom w:val="none" w:sz="0" w:space="0" w:color="auto"/>
            <w:right w:val="none" w:sz="0" w:space="0" w:color="auto"/>
          </w:divBdr>
        </w:div>
        <w:div w:id="221596940">
          <w:marLeft w:val="640"/>
          <w:marRight w:val="0"/>
          <w:marTop w:val="0"/>
          <w:marBottom w:val="0"/>
          <w:divBdr>
            <w:top w:val="none" w:sz="0" w:space="0" w:color="auto"/>
            <w:left w:val="none" w:sz="0" w:space="0" w:color="auto"/>
            <w:bottom w:val="none" w:sz="0" w:space="0" w:color="auto"/>
            <w:right w:val="none" w:sz="0" w:space="0" w:color="auto"/>
          </w:divBdr>
        </w:div>
        <w:div w:id="1517187737">
          <w:marLeft w:val="640"/>
          <w:marRight w:val="0"/>
          <w:marTop w:val="0"/>
          <w:marBottom w:val="0"/>
          <w:divBdr>
            <w:top w:val="none" w:sz="0" w:space="0" w:color="auto"/>
            <w:left w:val="none" w:sz="0" w:space="0" w:color="auto"/>
            <w:bottom w:val="none" w:sz="0" w:space="0" w:color="auto"/>
            <w:right w:val="none" w:sz="0" w:space="0" w:color="auto"/>
          </w:divBdr>
        </w:div>
        <w:div w:id="91515097">
          <w:marLeft w:val="640"/>
          <w:marRight w:val="0"/>
          <w:marTop w:val="0"/>
          <w:marBottom w:val="0"/>
          <w:divBdr>
            <w:top w:val="none" w:sz="0" w:space="0" w:color="auto"/>
            <w:left w:val="none" w:sz="0" w:space="0" w:color="auto"/>
            <w:bottom w:val="none" w:sz="0" w:space="0" w:color="auto"/>
            <w:right w:val="none" w:sz="0" w:space="0" w:color="auto"/>
          </w:divBdr>
        </w:div>
        <w:div w:id="2108580270">
          <w:marLeft w:val="640"/>
          <w:marRight w:val="0"/>
          <w:marTop w:val="0"/>
          <w:marBottom w:val="0"/>
          <w:divBdr>
            <w:top w:val="none" w:sz="0" w:space="0" w:color="auto"/>
            <w:left w:val="none" w:sz="0" w:space="0" w:color="auto"/>
            <w:bottom w:val="none" w:sz="0" w:space="0" w:color="auto"/>
            <w:right w:val="none" w:sz="0" w:space="0" w:color="auto"/>
          </w:divBdr>
        </w:div>
        <w:div w:id="2015644619">
          <w:marLeft w:val="640"/>
          <w:marRight w:val="0"/>
          <w:marTop w:val="0"/>
          <w:marBottom w:val="0"/>
          <w:divBdr>
            <w:top w:val="none" w:sz="0" w:space="0" w:color="auto"/>
            <w:left w:val="none" w:sz="0" w:space="0" w:color="auto"/>
            <w:bottom w:val="none" w:sz="0" w:space="0" w:color="auto"/>
            <w:right w:val="none" w:sz="0" w:space="0" w:color="auto"/>
          </w:divBdr>
        </w:div>
        <w:div w:id="1448890778">
          <w:marLeft w:val="640"/>
          <w:marRight w:val="0"/>
          <w:marTop w:val="0"/>
          <w:marBottom w:val="0"/>
          <w:divBdr>
            <w:top w:val="none" w:sz="0" w:space="0" w:color="auto"/>
            <w:left w:val="none" w:sz="0" w:space="0" w:color="auto"/>
            <w:bottom w:val="none" w:sz="0" w:space="0" w:color="auto"/>
            <w:right w:val="none" w:sz="0" w:space="0" w:color="auto"/>
          </w:divBdr>
        </w:div>
        <w:div w:id="323170982">
          <w:marLeft w:val="640"/>
          <w:marRight w:val="0"/>
          <w:marTop w:val="0"/>
          <w:marBottom w:val="0"/>
          <w:divBdr>
            <w:top w:val="none" w:sz="0" w:space="0" w:color="auto"/>
            <w:left w:val="none" w:sz="0" w:space="0" w:color="auto"/>
            <w:bottom w:val="none" w:sz="0" w:space="0" w:color="auto"/>
            <w:right w:val="none" w:sz="0" w:space="0" w:color="auto"/>
          </w:divBdr>
        </w:div>
        <w:div w:id="283779783">
          <w:marLeft w:val="640"/>
          <w:marRight w:val="0"/>
          <w:marTop w:val="0"/>
          <w:marBottom w:val="0"/>
          <w:divBdr>
            <w:top w:val="none" w:sz="0" w:space="0" w:color="auto"/>
            <w:left w:val="none" w:sz="0" w:space="0" w:color="auto"/>
            <w:bottom w:val="none" w:sz="0" w:space="0" w:color="auto"/>
            <w:right w:val="none" w:sz="0" w:space="0" w:color="auto"/>
          </w:divBdr>
        </w:div>
        <w:div w:id="1199705590">
          <w:marLeft w:val="640"/>
          <w:marRight w:val="0"/>
          <w:marTop w:val="0"/>
          <w:marBottom w:val="0"/>
          <w:divBdr>
            <w:top w:val="none" w:sz="0" w:space="0" w:color="auto"/>
            <w:left w:val="none" w:sz="0" w:space="0" w:color="auto"/>
            <w:bottom w:val="none" w:sz="0" w:space="0" w:color="auto"/>
            <w:right w:val="none" w:sz="0" w:space="0" w:color="auto"/>
          </w:divBdr>
        </w:div>
        <w:div w:id="739444157">
          <w:marLeft w:val="640"/>
          <w:marRight w:val="0"/>
          <w:marTop w:val="0"/>
          <w:marBottom w:val="0"/>
          <w:divBdr>
            <w:top w:val="none" w:sz="0" w:space="0" w:color="auto"/>
            <w:left w:val="none" w:sz="0" w:space="0" w:color="auto"/>
            <w:bottom w:val="none" w:sz="0" w:space="0" w:color="auto"/>
            <w:right w:val="none" w:sz="0" w:space="0" w:color="auto"/>
          </w:divBdr>
        </w:div>
        <w:div w:id="597954318">
          <w:marLeft w:val="640"/>
          <w:marRight w:val="0"/>
          <w:marTop w:val="0"/>
          <w:marBottom w:val="0"/>
          <w:divBdr>
            <w:top w:val="none" w:sz="0" w:space="0" w:color="auto"/>
            <w:left w:val="none" w:sz="0" w:space="0" w:color="auto"/>
            <w:bottom w:val="none" w:sz="0" w:space="0" w:color="auto"/>
            <w:right w:val="none" w:sz="0" w:space="0" w:color="auto"/>
          </w:divBdr>
        </w:div>
        <w:div w:id="107435622">
          <w:marLeft w:val="640"/>
          <w:marRight w:val="0"/>
          <w:marTop w:val="0"/>
          <w:marBottom w:val="0"/>
          <w:divBdr>
            <w:top w:val="none" w:sz="0" w:space="0" w:color="auto"/>
            <w:left w:val="none" w:sz="0" w:space="0" w:color="auto"/>
            <w:bottom w:val="none" w:sz="0" w:space="0" w:color="auto"/>
            <w:right w:val="none" w:sz="0" w:space="0" w:color="auto"/>
          </w:divBdr>
        </w:div>
        <w:div w:id="641078008">
          <w:marLeft w:val="640"/>
          <w:marRight w:val="0"/>
          <w:marTop w:val="0"/>
          <w:marBottom w:val="0"/>
          <w:divBdr>
            <w:top w:val="none" w:sz="0" w:space="0" w:color="auto"/>
            <w:left w:val="none" w:sz="0" w:space="0" w:color="auto"/>
            <w:bottom w:val="none" w:sz="0" w:space="0" w:color="auto"/>
            <w:right w:val="none" w:sz="0" w:space="0" w:color="auto"/>
          </w:divBdr>
        </w:div>
        <w:div w:id="1017922022">
          <w:marLeft w:val="640"/>
          <w:marRight w:val="0"/>
          <w:marTop w:val="0"/>
          <w:marBottom w:val="0"/>
          <w:divBdr>
            <w:top w:val="none" w:sz="0" w:space="0" w:color="auto"/>
            <w:left w:val="none" w:sz="0" w:space="0" w:color="auto"/>
            <w:bottom w:val="none" w:sz="0" w:space="0" w:color="auto"/>
            <w:right w:val="none" w:sz="0" w:space="0" w:color="auto"/>
          </w:divBdr>
        </w:div>
        <w:div w:id="1074401231">
          <w:marLeft w:val="640"/>
          <w:marRight w:val="0"/>
          <w:marTop w:val="0"/>
          <w:marBottom w:val="0"/>
          <w:divBdr>
            <w:top w:val="none" w:sz="0" w:space="0" w:color="auto"/>
            <w:left w:val="none" w:sz="0" w:space="0" w:color="auto"/>
            <w:bottom w:val="none" w:sz="0" w:space="0" w:color="auto"/>
            <w:right w:val="none" w:sz="0" w:space="0" w:color="auto"/>
          </w:divBdr>
        </w:div>
        <w:div w:id="1962299093">
          <w:marLeft w:val="640"/>
          <w:marRight w:val="0"/>
          <w:marTop w:val="0"/>
          <w:marBottom w:val="0"/>
          <w:divBdr>
            <w:top w:val="none" w:sz="0" w:space="0" w:color="auto"/>
            <w:left w:val="none" w:sz="0" w:space="0" w:color="auto"/>
            <w:bottom w:val="none" w:sz="0" w:space="0" w:color="auto"/>
            <w:right w:val="none" w:sz="0" w:space="0" w:color="auto"/>
          </w:divBdr>
        </w:div>
        <w:div w:id="1365594780">
          <w:marLeft w:val="640"/>
          <w:marRight w:val="0"/>
          <w:marTop w:val="0"/>
          <w:marBottom w:val="0"/>
          <w:divBdr>
            <w:top w:val="none" w:sz="0" w:space="0" w:color="auto"/>
            <w:left w:val="none" w:sz="0" w:space="0" w:color="auto"/>
            <w:bottom w:val="none" w:sz="0" w:space="0" w:color="auto"/>
            <w:right w:val="none" w:sz="0" w:space="0" w:color="auto"/>
          </w:divBdr>
        </w:div>
        <w:div w:id="1334450793">
          <w:marLeft w:val="640"/>
          <w:marRight w:val="0"/>
          <w:marTop w:val="0"/>
          <w:marBottom w:val="0"/>
          <w:divBdr>
            <w:top w:val="none" w:sz="0" w:space="0" w:color="auto"/>
            <w:left w:val="none" w:sz="0" w:space="0" w:color="auto"/>
            <w:bottom w:val="none" w:sz="0" w:space="0" w:color="auto"/>
            <w:right w:val="none" w:sz="0" w:space="0" w:color="auto"/>
          </w:divBdr>
        </w:div>
        <w:div w:id="1277365485">
          <w:marLeft w:val="640"/>
          <w:marRight w:val="0"/>
          <w:marTop w:val="0"/>
          <w:marBottom w:val="0"/>
          <w:divBdr>
            <w:top w:val="none" w:sz="0" w:space="0" w:color="auto"/>
            <w:left w:val="none" w:sz="0" w:space="0" w:color="auto"/>
            <w:bottom w:val="none" w:sz="0" w:space="0" w:color="auto"/>
            <w:right w:val="none" w:sz="0" w:space="0" w:color="auto"/>
          </w:divBdr>
        </w:div>
        <w:div w:id="1999377416">
          <w:marLeft w:val="640"/>
          <w:marRight w:val="0"/>
          <w:marTop w:val="0"/>
          <w:marBottom w:val="0"/>
          <w:divBdr>
            <w:top w:val="none" w:sz="0" w:space="0" w:color="auto"/>
            <w:left w:val="none" w:sz="0" w:space="0" w:color="auto"/>
            <w:bottom w:val="none" w:sz="0" w:space="0" w:color="auto"/>
            <w:right w:val="none" w:sz="0" w:space="0" w:color="auto"/>
          </w:divBdr>
        </w:div>
        <w:div w:id="118885807">
          <w:marLeft w:val="640"/>
          <w:marRight w:val="0"/>
          <w:marTop w:val="0"/>
          <w:marBottom w:val="0"/>
          <w:divBdr>
            <w:top w:val="none" w:sz="0" w:space="0" w:color="auto"/>
            <w:left w:val="none" w:sz="0" w:space="0" w:color="auto"/>
            <w:bottom w:val="none" w:sz="0" w:space="0" w:color="auto"/>
            <w:right w:val="none" w:sz="0" w:space="0" w:color="auto"/>
          </w:divBdr>
        </w:div>
        <w:div w:id="1934707123">
          <w:marLeft w:val="640"/>
          <w:marRight w:val="0"/>
          <w:marTop w:val="0"/>
          <w:marBottom w:val="0"/>
          <w:divBdr>
            <w:top w:val="none" w:sz="0" w:space="0" w:color="auto"/>
            <w:left w:val="none" w:sz="0" w:space="0" w:color="auto"/>
            <w:bottom w:val="none" w:sz="0" w:space="0" w:color="auto"/>
            <w:right w:val="none" w:sz="0" w:space="0" w:color="auto"/>
          </w:divBdr>
        </w:div>
        <w:div w:id="22557947">
          <w:marLeft w:val="640"/>
          <w:marRight w:val="0"/>
          <w:marTop w:val="0"/>
          <w:marBottom w:val="0"/>
          <w:divBdr>
            <w:top w:val="none" w:sz="0" w:space="0" w:color="auto"/>
            <w:left w:val="none" w:sz="0" w:space="0" w:color="auto"/>
            <w:bottom w:val="none" w:sz="0" w:space="0" w:color="auto"/>
            <w:right w:val="none" w:sz="0" w:space="0" w:color="auto"/>
          </w:divBdr>
        </w:div>
        <w:div w:id="277301525">
          <w:marLeft w:val="640"/>
          <w:marRight w:val="0"/>
          <w:marTop w:val="0"/>
          <w:marBottom w:val="0"/>
          <w:divBdr>
            <w:top w:val="none" w:sz="0" w:space="0" w:color="auto"/>
            <w:left w:val="none" w:sz="0" w:space="0" w:color="auto"/>
            <w:bottom w:val="none" w:sz="0" w:space="0" w:color="auto"/>
            <w:right w:val="none" w:sz="0" w:space="0" w:color="auto"/>
          </w:divBdr>
        </w:div>
        <w:div w:id="938372539">
          <w:marLeft w:val="640"/>
          <w:marRight w:val="0"/>
          <w:marTop w:val="0"/>
          <w:marBottom w:val="0"/>
          <w:divBdr>
            <w:top w:val="none" w:sz="0" w:space="0" w:color="auto"/>
            <w:left w:val="none" w:sz="0" w:space="0" w:color="auto"/>
            <w:bottom w:val="none" w:sz="0" w:space="0" w:color="auto"/>
            <w:right w:val="none" w:sz="0" w:space="0" w:color="auto"/>
          </w:divBdr>
        </w:div>
        <w:div w:id="1387602360">
          <w:marLeft w:val="640"/>
          <w:marRight w:val="0"/>
          <w:marTop w:val="0"/>
          <w:marBottom w:val="0"/>
          <w:divBdr>
            <w:top w:val="none" w:sz="0" w:space="0" w:color="auto"/>
            <w:left w:val="none" w:sz="0" w:space="0" w:color="auto"/>
            <w:bottom w:val="none" w:sz="0" w:space="0" w:color="auto"/>
            <w:right w:val="none" w:sz="0" w:space="0" w:color="auto"/>
          </w:divBdr>
        </w:div>
        <w:div w:id="711882836">
          <w:marLeft w:val="640"/>
          <w:marRight w:val="0"/>
          <w:marTop w:val="0"/>
          <w:marBottom w:val="0"/>
          <w:divBdr>
            <w:top w:val="none" w:sz="0" w:space="0" w:color="auto"/>
            <w:left w:val="none" w:sz="0" w:space="0" w:color="auto"/>
            <w:bottom w:val="none" w:sz="0" w:space="0" w:color="auto"/>
            <w:right w:val="none" w:sz="0" w:space="0" w:color="auto"/>
          </w:divBdr>
        </w:div>
        <w:div w:id="1377310631">
          <w:marLeft w:val="640"/>
          <w:marRight w:val="0"/>
          <w:marTop w:val="0"/>
          <w:marBottom w:val="0"/>
          <w:divBdr>
            <w:top w:val="none" w:sz="0" w:space="0" w:color="auto"/>
            <w:left w:val="none" w:sz="0" w:space="0" w:color="auto"/>
            <w:bottom w:val="none" w:sz="0" w:space="0" w:color="auto"/>
            <w:right w:val="none" w:sz="0" w:space="0" w:color="auto"/>
          </w:divBdr>
        </w:div>
        <w:div w:id="2076663282">
          <w:marLeft w:val="640"/>
          <w:marRight w:val="0"/>
          <w:marTop w:val="0"/>
          <w:marBottom w:val="0"/>
          <w:divBdr>
            <w:top w:val="none" w:sz="0" w:space="0" w:color="auto"/>
            <w:left w:val="none" w:sz="0" w:space="0" w:color="auto"/>
            <w:bottom w:val="none" w:sz="0" w:space="0" w:color="auto"/>
            <w:right w:val="none" w:sz="0" w:space="0" w:color="auto"/>
          </w:divBdr>
        </w:div>
        <w:div w:id="510415833">
          <w:marLeft w:val="640"/>
          <w:marRight w:val="0"/>
          <w:marTop w:val="0"/>
          <w:marBottom w:val="0"/>
          <w:divBdr>
            <w:top w:val="none" w:sz="0" w:space="0" w:color="auto"/>
            <w:left w:val="none" w:sz="0" w:space="0" w:color="auto"/>
            <w:bottom w:val="none" w:sz="0" w:space="0" w:color="auto"/>
            <w:right w:val="none" w:sz="0" w:space="0" w:color="auto"/>
          </w:divBdr>
        </w:div>
        <w:div w:id="1426919649">
          <w:marLeft w:val="640"/>
          <w:marRight w:val="0"/>
          <w:marTop w:val="0"/>
          <w:marBottom w:val="0"/>
          <w:divBdr>
            <w:top w:val="none" w:sz="0" w:space="0" w:color="auto"/>
            <w:left w:val="none" w:sz="0" w:space="0" w:color="auto"/>
            <w:bottom w:val="none" w:sz="0" w:space="0" w:color="auto"/>
            <w:right w:val="none" w:sz="0" w:space="0" w:color="auto"/>
          </w:divBdr>
        </w:div>
        <w:div w:id="193344337">
          <w:marLeft w:val="640"/>
          <w:marRight w:val="0"/>
          <w:marTop w:val="0"/>
          <w:marBottom w:val="0"/>
          <w:divBdr>
            <w:top w:val="none" w:sz="0" w:space="0" w:color="auto"/>
            <w:left w:val="none" w:sz="0" w:space="0" w:color="auto"/>
            <w:bottom w:val="none" w:sz="0" w:space="0" w:color="auto"/>
            <w:right w:val="none" w:sz="0" w:space="0" w:color="auto"/>
          </w:divBdr>
        </w:div>
        <w:div w:id="962688169">
          <w:marLeft w:val="640"/>
          <w:marRight w:val="0"/>
          <w:marTop w:val="0"/>
          <w:marBottom w:val="0"/>
          <w:divBdr>
            <w:top w:val="none" w:sz="0" w:space="0" w:color="auto"/>
            <w:left w:val="none" w:sz="0" w:space="0" w:color="auto"/>
            <w:bottom w:val="none" w:sz="0" w:space="0" w:color="auto"/>
            <w:right w:val="none" w:sz="0" w:space="0" w:color="auto"/>
          </w:divBdr>
        </w:div>
        <w:div w:id="817112110">
          <w:marLeft w:val="640"/>
          <w:marRight w:val="0"/>
          <w:marTop w:val="0"/>
          <w:marBottom w:val="0"/>
          <w:divBdr>
            <w:top w:val="none" w:sz="0" w:space="0" w:color="auto"/>
            <w:left w:val="none" w:sz="0" w:space="0" w:color="auto"/>
            <w:bottom w:val="none" w:sz="0" w:space="0" w:color="auto"/>
            <w:right w:val="none" w:sz="0" w:space="0" w:color="auto"/>
          </w:divBdr>
        </w:div>
        <w:div w:id="2077120517">
          <w:marLeft w:val="640"/>
          <w:marRight w:val="0"/>
          <w:marTop w:val="0"/>
          <w:marBottom w:val="0"/>
          <w:divBdr>
            <w:top w:val="none" w:sz="0" w:space="0" w:color="auto"/>
            <w:left w:val="none" w:sz="0" w:space="0" w:color="auto"/>
            <w:bottom w:val="none" w:sz="0" w:space="0" w:color="auto"/>
            <w:right w:val="none" w:sz="0" w:space="0" w:color="auto"/>
          </w:divBdr>
        </w:div>
        <w:div w:id="1323699294">
          <w:marLeft w:val="640"/>
          <w:marRight w:val="0"/>
          <w:marTop w:val="0"/>
          <w:marBottom w:val="0"/>
          <w:divBdr>
            <w:top w:val="none" w:sz="0" w:space="0" w:color="auto"/>
            <w:left w:val="none" w:sz="0" w:space="0" w:color="auto"/>
            <w:bottom w:val="none" w:sz="0" w:space="0" w:color="auto"/>
            <w:right w:val="none" w:sz="0" w:space="0" w:color="auto"/>
          </w:divBdr>
        </w:div>
        <w:div w:id="1799453660">
          <w:marLeft w:val="640"/>
          <w:marRight w:val="0"/>
          <w:marTop w:val="0"/>
          <w:marBottom w:val="0"/>
          <w:divBdr>
            <w:top w:val="none" w:sz="0" w:space="0" w:color="auto"/>
            <w:left w:val="none" w:sz="0" w:space="0" w:color="auto"/>
            <w:bottom w:val="none" w:sz="0" w:space="0" w:color="auto"/>
            <w:right w:val="none" w:sz="0" w:space="0" w:color="auto"/>
          </w:divBdr>
        </w:div>
        <w:div w:id="1553418509">
          <w:marLeft w:val="640"/>
          <w:marRight w:val="0"/>
          <w:marTop w:val="0"/>
          <w:marBottom w:val="0"/>
          <w:divBdr>
            <w:top w:val="none" w:sz="0" w:space="0" w:color="auto"/>
            <w:left w:val="none" w:sz="0" w:space="0" w:color="auto"/>
            <w:bottom w:val="none" w:sz="0" w:space="0" w:color="auto"/>
            <w:right w:val="none" w:sz="0" w:space="0" w:color="auto"/>
          </w:divBdr>
        </w:div>
        <w:div w:id="437141904">
          <w:marLeft w:val="640"/>
          <w:marRight w:val="0"/>
          <w:marTop w:val="0"/>
          <w:marBottom w:val="0"/>
          <w:divBdr>
            <w:top w:val="none" w:sz="0" w:space="0" w:color="auto"/>
            <w:left w:val="none" w:sz="0" w:space="0" w:color="auto"/>
            <w:bottom w:val="none" w:sz="0" w:space="0" w:color="auto"/>
            <w:right w:val="none" w:sz="0" w:space="0" w:color="auto"/>
          </w:divBdr>
        </w:div>
        <w:div w:id="1441145454">
          <w:marLeft w:val="640"/>
          <w:marRight w:val="0"/>
          <w:marTop w:val="0"/>
          <w:marBottom w:val="0"/>
          <w:divBdr>
            <w:top w:val="none" w:sz="0" w:space="0" w:color="auto"/>
            <w:left w:val="none" w:sz="0" w:space="0" w:color="auto"/>
            <w:bottom w:val="none" w:sz="0" w:space="0" w:color="auto"/>
            <w:right w:val="none" w:sz="0" w:space="0" w:color="auto"/>
          </w:divBdr>
        </w:div>
        <w:div w:id="2041783528">
          <w:marLeft w:val="640"/>
          <w:marRight w:val="0"/>
          <w:marTop w:val="0"/>
          <w:marBottom w:val="0"/>
          <w:divBdr>
            <w:top w:val="none" w:sz="0" w:space="0" w:color="auto"/>
            <w:left w:val="none" w:sz="0" w:space="0" w:color="auto"/>
            <w:bottom w:val="none" w:sz="0" w:space="0" w:color="auto"/>
            <w:right w:val="none" w:sz="0" w:space="0" w:color="auto"/>
          </w:divBdr>
        </w:div>
        <w:div w:id="1717778303">
          <w:marLeft w:val="640"/>
          <w:marRight w:val="0"/>
          <w:marTop w:val="0"/>
          <w:marBottom w:val="0"/>
          <w:divBdr>
            <w:top w:val="none" w:sz="0" w:space="0" w:color="auto"/>
            <w:left w:val="none" w:sz="0" w:space="0" w:color="auto"/>
            <w:bottom w:val="none" w:sz="0" w:space="0" w:color="auto"/>
            <w:right w:val="none" w:sz="0" w:space="0" w:color="auto"/>
          </w:divBdr>
        </w:div>
        <w:div w:id="680355093">
          <w:marLeft w:val="640"/>
          <w:marRight w:val="0"/>
          <w:marTop w:val="0"/>
          <w:marBottom w:val="0"/>
          <w:divBdr>
            <w:top w:val="none" w:sz="0" w:space="0" w:color="auto"/>
            <w:left w:val="none" w:sz="0" w:space="0" w:color="auto"/>
            <w:bottom w:val="none" w:sz="0" w:space="0" w:color="auto"/>
            <w:right w:val="none" w:sz="0" w:space="0" w:color="auto"/>
          </w:divBdr>
        </w:div>
        <w:div w:id="1952976287">
          <w:marLeft w:val="640"/>
          <w:marRight w:val="0"/>
          <w:marTop w:val="0"/>
          <w:marBottom w:val="0"/>
          <w:divBdr>
            <w:top w:val="none" w:sz="0" w:space="0" w:color="auto"/>
            <w:left w:val="none" w:sz="0" w:space="0" w:color="auto"/>
            <w:bottom w:val="none" w:sz="0" w:space="0" w:color="auto"/>
            <w:right w:val="none" w:sz="0" w:space="0" w:color="auto"/>
          </w:divBdr>
        </w:div>
        <w:div w:id="708602014">
          <w:marLeft w:val="640"/>
          <w:marRight w:val="0"/>
          <w:marTop w:val="0"/>
          <w:marBottom w:val="0"/>
          <w:divBdr>
            <w:top w:val="none" w:sz="0" w:space="0" w:color="auto"/>
            <w:left w:val="none" w:sz="0" w:space="0" w:color="auto"/>
            <w:bottom w:val="none" w:sz="0" w:space="0" w:color="auto"/>
            <w:right w:val="none" w:sz="0" w:space="0" w:color="auto"/>
          </w:divBdr>
        </w:div>
        <w:div w:id="518085997">
          <w:marLeft w:val="640"/>
          <w:marRight w:val="0"/>
          <w:marTop w:val="0"/>
          <w:marBottom w:val="0"/>
          <w:divBdr>
            <w:top w:val="none" w:sz="0" w:space="0" w:color="auto"/>
            <w:left w:val="none" w:sz="0" w:space="0" w:color="auto"/>
            <w:bottom w:val="none" w:sz="0" w:space="0" w:color="auto"/>
            <w:right w:val="none" w:sz="0" w:space="0" w:color="auto"/>
          </w:divBdr>
        </w:div>
        <w:div w:id="1216770792">
          <w:marLeft w:val="640"/>
          <w:marRight w:val="0"/>
          <w:marTop w:val="0"/>
          <w:marBottom w:val="0"/>
          <w:divBdr>
            <w:top w:val="none" w:sz="0" w:space="0" w:color="auto"/>
            <w:left w:val="none" w:sz="0" w:space="0" w:color="auto"/>
            <w:bottom w:val="none" w:sz="0" w:space="0" w:color="auto"/>
            <w:right w:val="none" w:sz="0" w:space="0" w:color="auto"/>
          </w:divBdr>
        </w:div>
        <w:div w:id="1745102593">
          <w:marLeft w:val="640"/>
          <w:marRight w:val="0"/>
          <w:marTop w:val="0"/>
          <w:marBottom w:val="0"/>
          <w:divBdr>
            <w:top w:val="none" w:sz="0" w:space="0" w:color="auto"/>
            <w:left w:val="none" w:sz="0" w:space="0" w:color="auto"/>
            <w:bottom w:val="none" w:sz="0" w:space="0" w:color="auto"/>
            <w:right w:val="none" w:sz="0" w:space="0" w:color="auto"/>
          </w:divBdr>
        </w:div>
        <w:div w:id="1663004417">
          <w:marLeft w:val="640"/>
          <w:marRight w:val="0"/>
          <w:marTop w:val="0"/>
          <w:marBottom w:val="0"/>
          <w:divBdr>
            <w:top w:val="none" w:sz="0" w:space="0" w:color="auto"/>
            <w:left w:val="none" w:sz="0" w:space="0" w:color="auto"/>
            <w:bottom w:val="none" w:sz="0" w:space="0" w:color="auto"/>
            <w:right w:val="none" w:sz="0" w:space="0" w:color="auto"/>
          </w:divBdr>
        </w:div>
        <w:div w:id="422996350">
          <w:marLeft w:val="640"/>
          <w:marRight w:val="0"/>
          <w:marTop w:val="0"/>
          <w:marBottom w:val="0"/>
          <w:divBdr>
            <w:top w:val="none" w:sz="0" w:space="0" w:color="auto"/>
            <w:left w:val="none" w:sz="0" w:space="0" w:color="auto"/>
            <w:bottom w:val="none" w:sz="0" w:space="0" w:color="auto"/>
            <w:right w:val="none" w:sz="0" w:space="0" w:color="auto"/>
          </w:divBdr>
        </w:div>
        <w:div w:id="692607215">
          <w:marLeft w:val="640"/>
          <w:marRight w:val="0"/>
          <w:marTop w:val="0"/>
          <w:marBottom w:val="0"/>
          <w:divBdr>
            <w:top w:val="none" w:sz="0" w:space="0" w:color="auto"/>
            <w:left w:val="none" w:sz="0" w:space="0" w:color="auto"/>
            <w:bottom w:val="none" w:sz="0" w:space="0" w:color="auto"/>
            <w:right w:val="none" w:sz="0" w:space="0" w:color="auto"/>
          </w:divBdr>
        </w:div>
        <w:div w:id="1772242005">
          <w:marLeft w:val="640"/>
          <w:marRight w:val="0"/>
          <w:marTop w:val="0"/>
          <w:marBottom w:val="0"/>
          <w:divBdr>
            <w:top w:val="none" w:sz="0" w:space="0" w:color="auto"/>
            <w:left w:val="none" w:sz="0" w:space="0" w:color="auto"/>
            <w:bottom w:val="none" w:sz="0" w:space="0" w:color="auto"/>
            <w:right w:val="none" w:sz="0" w:space="0" w:color="auto"/>
          </w:divBdr>
        </w:div>
        <w:div w:id="2094662576">
          <w:marLeft w:val="640"/>
          <w:marRight w:val="0"/>
          <w:marTop w:val="0"/>
          <w:marBottom w:val="0"/>
          <w:divBdr>
            <w:top w:val="none" w:sz="0" w:space="0" w:color="auto"/>
            <w:left w:val="none" w:sz="0" w:space="0" w:color="auto"/>
            <w:bottom w:val="none" w:sz="0" w:space="0" w:color="auto"/>
            <w:right w:val="none" w:sz="0" w:space="0" w:color="auto"/>
          </w:divBdr>
        </w:div>
        <w:div w:id="2034380698">
          <w:marLeft w:val="640"/>
          <w:marRight w:val="0"/>
          <w:marTop w:val="0"/>
          <w:marBottom w:val="0"/>
          <w:divBdr>
            <w:top w:val="none" w:sz="0" w:space="0" w:color="auto"/>
            <w:left w:val="none" w:sz="0" w:space="0" w:color="auto"/>
            <w:bottom w:val="none" w:sz="0" w:space="0" w:color="auto"/>
            <w:right w:val="none" w:sz="0" w:space="0" w:color="auto"/>
          </w:divBdr>
        </w:div>
        <w:div w:id="758991057">
          <w:marLeft w:val="640"/>
          <w:marRight w:val="0"/>
          <w:marTop w:val="0"/>
          <w:marBottom w:val="0"/>
          <w:divBdr>
            <w:top w:val="none" w:sz="0" w:space="0" w:color="auto"/>
            <w:left w:val="none" w:sz="0" w:space="0" w:color="auto"/>
            <w:bottom w:val="none" w:sz="0" w:space="0" w:color="auto"/>
            <w:right w:val="none" w:sz="0" w:space="0" w:color="auto"/>
          </w:divBdr>
        </w:div>
        <w:div w:id="586889840">
          <w:marLeft w:val="640"/>
          <w:marRight w:val="0"/>
          <w:marTop w:val="0"/>
          <w:marBottom w:val="0"/>
          <w:divBdr>
            <w:top w:val="none" w:sz="0" w:space="0" w:color="auto"/>
            <w:left w:val="none" w:sz="0" w:space="0" w:color="auto"/>
            <w:bottom w:val="none" w:sz="0" w:space="0" w:color="auto"/>
            <w:right w:val="none" w:sz="0" w:space="0" w:color="auto"/>
          </w:divBdr>
        </w:div>
        <w:div w:id="1885750622">
          <w:marLeft w:val="640"/>
          <w:marRight w:val="0"/>
          <w:marTop w:val="0"/>
          <w:marBottom w:val="0"/>
          <w:divBdr>
            <w:top w:val="none" w:sz="0" w:space="0" w:color="auto"/>
            <w:left w:val="none" w:sz="0" w:space="0" w:color="auto"/>
            <w:bottom w:val="none" w:sz="0" w:space="0" w:color="auto"/>
            <w:right w:val="none" w:sz="0" w:space="0" w:color="auto"/>
          </w:divBdr>
        </w:div>
        <w:div w:id="1324351675">
          <w:marLeft w:val="640"/>
          <w:marRight w:val="0"/>
          <w:marTop w:val="0"/>
          <w:marBottom w:val="0"/>
          <w:divBdr>
            <w:top w:val="none" w:sz="0" w:space="0" w:color="auto"/>
            <w:left w:val="none" w:sz="0" w:space="0" w:color="auto"/>
            <w:bottom w:val="none" w:sz="0" w:space="0" w:color="auto"/>
            <w:right w:val="none" w:sz="0" w:space="0" w:color="auto"/>
          </w:divBdr>
        </w:div>
        <w:div w:id="2083142485">
          <w:marLeft w:val="640"/>
          <w:marRight w:val="0"/>
          <w:marTop w:val="0"/>
          <w:marBottom w:val="0"/>
          <w:divBdr>
            <w:top w:val="none" w:sz="0" w:space="0" w:color="auto"/>
            <w:left w:val="none" w:sz="0" w:space="0" w:color="auto"/>
            <w:bottom w:val="none" w:sz="0" w:space="0" w:color="auto"/>
            <w:right w:val="none" w:sz="0" w:space="0" w:color="auto"/>
          </w:divBdr>
        </w:div>
        <w:div w:id="1389063497">
          <w:marLeft w:val="640"/>
          <w:marRight w:val="0"/>
          <w:marTop w:val="0"/>
          <w:marBottom w:val="0"/>
          <w:divBdr>
            <w:top w:val="none" w:sz="0" w:space="0" w:color="auto"/>
            <w:left w:val="none" w:sz="0" w:space="0" w:color="auto"/>
            <w:bottom w:val="none" w:sz="0" w:space="0" w:color="auto"/>
            <w:right w:val="none" w:sz="0" w:space="0" w:color="auto"/>
          </w:divBdr>
        </w:div>
        <w:div w:id="1085489852">
          <w:marLeft w:val="640"/>
          <w:marRight w:val="0"/>
          <w:marTop w:val="0"/>
          <w:marBottom w:val="0"/>
          <w:divBdr>
            <w:top w:val="none" w:sz="0" w:space="0" w:color="auto"/>
            <w:left w:val="none" w:sz="0" w:space="0" w:color="auto"/>
            <w:bottom w:val="none" w:sz="0" w:space="0" w:color="auto"/>
            <w:right w:val="none" w:sz="0" w:space="0" w:color="auto"/>
          </w:divBdr>
        </w:div>
        <w:div w:id="962157683">
          <w:marLeft w:val="640"/>
          <w:marRight w:val="0"/>
          <w:marTop w:val="0"/>
          <w:marBottom w:val="0"/>
          <w:divBdr>
            <w:top w:val="none" w:sz="0" w:space="0" w:color="auto"/>
            <w:left w:val="none" w:sz="0" w:space="0" w:color="auto"/>
            <w:bottom w:val="none" w:sz="0" w:space="0" w:color="auto"/>
            <w:right w:val="none" w:sz="0" w:space="0" w:color="auto"/>
          </w:divBdr>
        </w:div>
        <w:div w:id="1213691744">
          <w:marLeft w:val="640"/>
          <w:marRight w:val="0"/>
          <w:marTop w:val="0"/>
          <w:marBottom w:val="0"/>
          <w:divBdr>
            <w:top w:val="none" w:sz="0" w:space="0" w:color="auto"/>
            <w:left w:val="none" w:sz="0" w:space="0" w:color="auto"/>
            <w:bottom w:val="none" w:sz="0" w:space="0" w:color="auto"/>
            <w:right w:val="none" w:sz="0" w:space="0" w:color="auto"/>
          </w:divBdr>
        </w:div>
        <w:div w:id="1075083582">
          <w:marLeft w:val="640"/>
          <w:marRight w:val="0"/>
          <w:marTop w:val="0"/>
          <w:marBottom w:val="0"/>
          <w:divBdr>
            <w:top w:val="none" w:sz="0" w:space="0" w:color="auto"/>
            <w:left w:val="none" w:sz="0" w:space="0" w:color="auto"/>
            <w:bottom w:val="none" w:sz="0" w:space="0" w:color="auto"/>
            <w:right w:val="none" w:sz="0" w:space="0" w:color="auto"/>
          </w:divBdr>
        </w:div>
        <w:div w:id="1873226933">
          <w:marLeft w:val="640"/>
          <w:marRight w:val="0"/>
          <w:marTop w:val="0"/>
          <w:marBottom w:val="0"/>
          <w:divBdr>
            <w:top w:val="none" w:sz="0" w:space="0" w:color="auto"/>
            <w:left w:val="none" w:sz="0" w:space="0" w:color="auto"/>
            <w:bottom w:val="none" w:sz="0" w:space="0" w:color="auto"/>
            <w:right w:val="none" w:sz="0" w:space="0" w:color="auto"/>
          </w:divBdr>
        </w:div>
        <w:div w:id="757822290">
          <w:marLeft w:val="640"/>
          <w:marRight w:val="0"/>
          <w:marTop w:val="0"/>
          <w:marBottom w:val="0"/>
          <w:divBdr>
            <w:top w:val="none" w:sz="0" w:space="0" w:color="auto"/>
            <w:left w:val="none" w:sz="0" w:space="0" w:color="auto"/>
            <w:bottom w:val="none" w:sz="0" w:space="0" w:color="auto"/>
            <w:right w:val="none" w:sz="0" w:space="0" w:color="auto"/>
          </w:divBdr>
        </w:div>
        <w:div w:id="1076053934">
          <w:marLeft w:val="640"/>
          <w:marRight w:val="0"/>
          <w:marTop w:val="0"/>
          <w:marBottom w:val="0"/>
          <w:divBdr>
            <w:top w:val="none" w:sz="0" w:space="0" w:color="auto"/>
            <w:left w:val="none" w:sz="0" w:space="0" w:color="auto"/>
            <w:bottom w:val="none" w:sz="0" w:space="0" w:color="auto"/>
            <w:right w:val="none" w:sz="0" w:space="0" w:color="auto"/>
          </w:divBdr>
        </w:div>
        <w:div w:id="225334297">
          <w:marLeft w:val="640"/>
          <w:marRight w:val="0"/>
          <w:marTop w:val="0"/>
          <w:marBottom w:val="0"/>
          <w:divBdr>
            <w:top w:val="none" w:sz="0" w:space="0" w:color="auto"/>
            <w:left w:val="none" w:sz="0" w:space="0" w:color="auto"/>
            <w:bottom w:val="none" w:sz="0" w:space="0" w:color="auto"/>
            <w:right w:val="none" w:sz="0" w:space="0" w:color="auto"/>
          </w:divBdr>
        </w:div>
        <w:div w:id="1894661497">
          <w:marLeft w:val="640"/>
          <w:marRight w:val="0"/>
          <w:marTop w:val="0"/>
          <w:marBottom w:val="0"/>
          <w:divBdr>
            <w:top w:val="none" w:sz="0" w:space="0" w:color="auto"/>
            <w:left w:val="none" w:sz="0" w:space="0" w:color="auto"/>
            <w:bottom w:val="none" w:sz="0" w:space="0" w:color="auto"/>
            <w:right w:val="none" w:sz="0" w:space="0" w:color="auto"/>
          </w:divBdr>
        </w:div>
        <w:div w:id="1718316472">
          <w:marLeft w:val="640"/>
          <w:marRight w:val="0"/>
          <w:marTop w:val="0"/>
          <w:marBottom w:val="0"/>
          <w:divBdr>
            <w:top w:val="none" w:sz="0" w:space="0" w:color="auto"/>
            <w:left w:val="none" w:sz="0" w:space="0" w:color="auto"/>
            <w:bottom w:val="none" w:sz="0" w:space="0" w:color="auto"/>
            <w:right w:val="none" w:sz="0" w:space="0" w:color="auto"/>
          </w:divBdr>
        </w:div>
        <w:div w:id="1474516191">
          <w:marLeft w:val="640"/>
          <w:marRight w:val="0"/>
          <w:marTop w:val="0"/>
          <w:marBottom w:val="0"/>
          <w:divBdr>
            <w:top w:val="none" w:sz="0" w:space="0" w:color="auto"/>
            <w:left w:val="none" w:sz="0" w:space="0" w:color="auto"/>
            <w:bottom w:val="none" w:sz="0" w:space="0" w:color="auto"/>
            <w:right w:val="none" w:sz="0" w:space="0" w:color="auto"/>
          </w:divBdr>
        </w:div>
        <w:div w:id="70856757">
          <w:marLeft w:val="640"/>
          <w:marRight w:val="0"/>
          <w:marTop w:val="0"/>
          <w:marBottom w:val="0"/>
          <w:divBdr>
            <w:top w:val="none" w:sz="0" w:space="0" w:color="auto"/>
            <w:left w:val="none" w:sz="0" w:space="0" w:color="auto"/>
            <w:bottom w:val="none" w:sz="0" w:space="0" w:color="auto"/>
            <w:right w:val="none" w:sz="0" w:space="0" w:color="auto"/>
          </w:divBdr>
        </w:div>
        <w:div w:id="1822119273">
          <w:marLeft w:val="640"/>
          <w:marRight w:val="0"/>
          <w:marTop w:val="0"/>
          <w:marBottom w:val="0"/>
          <w:divBdr>
            <w:top w:val="none" w:sz="0" w:space="0" w:color="auto"/>
            <w:left w:val="none" w:sz="0" w:space="0" w:color="auto"/>
            <w:bottom w:val="none" w:sz="0" w:space="0" w:color="auto"/>
            <w:right w:val="none" w:sz="0" w:space="0" w:color="auto"/>
          </w:divBdr>
        </w:div>
        <w:div w:id="750588552">
          <w:marLeft w:val="640"/>
          <w:marRight w:val="0"/>
          <w:marTop w:val="0"/>
          <w:marBottom w:val="0"/>
          <w:divBdr>
            <w:top w:val="none" w:sz="0" w:space="0" w:color="auto"/>
            <w:left w:val="none" w:sz="0" w:space="0" w:color="auto"/>
            <w:bottom w:val="none" w:sz="0" w:space="0" w:color="auto"/>
            <w:right w:val="none" w:sz="0" w:space="0" w:color="auto"/>
          </w:divBdr>
        </w:div>
        <w:div w:id="185945653">
          <w:marLeft w:val="640"/>
          <w:marRight w:val="0"/>
          <w:marTop w:val="0"/>
          <w:marBottom w:val="0"/>
          <w:divBdr>
            <w:top w:val="none" w:sz="0" w:space="0" w:color="auto"/>
            <w:left w:val="none" w:sz="0" w:space="0" w:color="auto"/>
            <w:bottom w:val="none" w:sz="0" w:space="0" w:color="auto"/>
            <w:right w:val="none" w:sz="0" w:space="0" w:color="auto"/>
          </w:divBdr>
        </w:div>
        <w:div w:id="1733389817">
          <w:marLeft w:val="640"/>
          <w:marRight w:val="0"/>
          <w:marTop w:val="0"/>
          <w:marBottom w:val="0"/>
          <w:divBdr>
            <w:top w:val="none" w:sz="0" w:space="0" w:color="auto"/>
            <w:left w:val="none" w:sz="0" w:space="0" w:color="auto"/>
            <w:bottom w:val="none" w:sz="0" w:space="0" w:color="auto"/>
            <w:right w:val="none" w:sz="0" w:space="0" w:color="auto"/>
          </w:divBdr>
        </w:div>
        <w:div w:id="448353793">
          <w:marLeft w:val="640"/>
          <w:marRight w:val="0"/>
          <w:marTop w:val="0"/>
          <w:marBottom w:val="0"/>
          <w:divBdr>
            <w:top w:val="none" w:sz="0" w:space="0" w:color="auto"/>
            <w:left w:val="none" w:sz="0" w:space="0" w:color="auto"/>
            <w:bottom w:val="none" w:sz="0" w:space="0" w:color="auto"/>
            <w:right w:val="none" w:sz="0" w:space="0" w:color="auto"/>
          </w:divBdr>
        </w:div>
        <w:div w:id="260063842">
          <w:marLeft w:val="640"/>
          <w:marRight w:val="0"/>
          <w:marTop w:val="0"/>
          <w:marBottom w:val="0"/>
          <w:divBdr>
            <w:top w:val="none" w:sz="0" w:space="0" w:color="auto"/>
            <w:left w:val="none" w:sz="0" w:space="0" w:color="auto"/>
            <w:bottom w:val="none" w:sz="0" w:space="0" w:color="auto"/>
            <w:right w:val="none" w:sz="0" w:space="0" w:color="auto"/>
          </w:divBdr>
        </w:div>
        <w:div w:id="1201165899">
          <w:marLeft w:val="640"/>
          <w:marRight w:val="0"/>
          <w:marTop w:val="0"/>
          <w:marBottom w:val="0"/>
          <w:divBdr>
            <w:top w:val="none" w:sz="0" w:space="0" w:color="auto"/>
            <w:left w:val="none" w:sz="0" w:space="0" w:color="auto"/>
            <w:bottom w:val="none" w:sz="0" w:space="0" w:color="auto"/>
            <w:right w:val="none" w:sz="0" w:space="0" w:color="auto"/>
          </w:divBdr>
        </w:div>
        <w:div w:id="514155671">
          <w:marLeft w:val="640"/>
          <w:marRight w:val="0"/>
          <w:marTop w:val="0"/>
          <w:marBottom w:val="0"/>
          <w:divBdr>
            <w:top w:val="none" w:sz="0" w:space="0" w:color="auto"/>
            <w:left w:val="none" w:sz="0" w:space="0" w:color="auto"/>
            <w:bottom w:val="none" w:sz="0" w:space="0" w:color="auto"/>
            <w:right w:val="none" w:sz="0" w:space="0" w:color="auto"/>
          </w:divBdr>
        </w:div>
        <w:div w:id="372652169">
          <w:marLeft w:val="640"/>
          <w:marRight w:val="0"/>
          <w:marTop w:val="0"/>
          <w:marBottom w:val="0"/>
          <w:divBdr>
            <w:top w:val="none" w:sz="0" w:space="0" w:color="auto"/>
            <w:left w:val="none" w:sz="0" w:space="0" w:color="auto"/>
            <w:bottom w:val="none" w:sz="0" w:space="0" w:color="auto"/>
            <w:right w:val="none" w:sz="0" w:space="0" w:color="auto"/>
          </w:divBdr>
        </w:div>
        <w:div w:id="2142503865">
          <w:marLeft w:val="640"/>
          <w:marRight w:val="0"/>
          <w:marTop w:val="0"/>
          <w:marBottom w:val="0"/>
          <w:divBdr>
            <w:top w:val="none" w:sz="0" w:space="0" w:color="auto"/>
            <w:left w:val="none" w:sz="0" w:space="0" w:color="auto"/>
            <w:bottom w:val="none" w:sz="0" w:space="0" w:color="auto"/>
            <w:right w:val="none" w:sz="0" w:space="0" w:color="auto"/>
          </w:divBdr>
        </w:div>
        <w:div w:id="1195659298">
          <w:marLeft w:val="640"/>
          <w:marRight w:val="0"/>
          <w:marTop w:val="0"/>
          <w:marBottom w:val="0"/>
          <w:divBdr>
            <w:top w:val="none" w:sz="0" w:space="0" w:color="auto"/>
            <w:left w:val="none" w:sz="0" w:space="0" w:color="auto"/>
            <w:bottom w:val="none" w:sz="0" w:space="0" w:color="auto"/>
            <w:right w:val="none" w:sz="0" w:space="0" w:color="auto"/>
          </w:divBdr>
        </w:div>
        <w:div w:id="1357391948">
          <w:marLeft w:val="640"/>
          <w:marRight w:val="0"/>
          <w:marTop w:val="0"/>
          <w:marBottom w:val="0"/>
          <w:divBdr>
            <w:top w:val="none" w:sz="0" w:space="0" w:color="auto"/>
            <w:left w:val="none" w:sz="0" w:space="0" w:color="auto"/>
            <w:bottom w:val="none" w:sz="0" w:space="0" w:color="auto"/>
            <w:right w:val="none" w:sz="0" w:space="0" w:color="auto"/>
          </w:divBdr>
        </w:div>
        <w:div w:id="133721216">
          <w:marLeft w:val="640"/>
          <w:marRight w:val="0"/>
          <w:marTop w:val="0"/>
          <w:marBottom w:val="0"/>
          <w:divBdr>
            <w:top w:val="none" w:sz="0" w:space="0" w:color="auto"/>
            <w:left w:val="none" w:sz="0" w:space="0" w:color="auto"/>
            <w:bottom w:val="none" w:sz="0" w:space="0" w:color="auto"/>
            <w:right w:val="none" w:sz="0" w:space="0" w:color="auto"/>
          </w:divBdr>
        </w:div>
        <w:div w:id="497694427">
          <w:marLeft w:val="640"/>
          <w:marRight w:val="0"/>
          <w:marTop w:val="0"/>
          <w:marBottom w:val="0"/>
          <w:divBdr>
            <w:top w:val="none" w:sz="0" w:space="0" w:color="auto"/>
            <w:left w:val="none" w:sz="0" w:space="0" w:color="auto"/>
            <w:bottom w:val="none" w:sz="0" w:space="0" w:color="auto"/>
            <w:right w:val="none" w:sz="0" w:space="0" w:color="auto"/>
          </w:divBdr>
        </w:div>
        <w:div w:id="285552112">
          <w:marLeft w:val="640"/>
          <w:marRight w:val="0"/>
          <w:marTop w:val="0"/>
          <w:marBottom w:val="0"/>
          <w:divBdr>
            <w:top w:val="none" w:sz="0" w:space="0" w:color="auto"/>
            <w:left w:val="none" w:sz="0" w:space="0" w:color="auto"/>
            <w:bottom w:val="none" w:sz="0" w:space="0" w:color="auto"/>
            <w:right w:val="none" w:sz="0" w:space="0" w:color="auto"/>
          </w:divBdr>
        </w:div>
        <w:div w:id="1745495076">
          <w:marLeft w:val="640"/>
          <w:marRight w:val="0"/>
          <w:marTop w:val="0"/>
          <w:marBottom w:val="0"/>
          <w:divBdr>
            <w:top w:val="none" w:sz="0" w:space="0" w:color="auto"/>
            <w:left w:val="none" w:sz="0" w:space="0" w:color="auto"/>
            <w:bottom w:val="none" w:sz="0" w:space="0" w:color="auto"/>
            <w:right w:val="none" w:sz="0" w:space="0" w:color="auto"/>
          </w:divBdr>
        </w:div>
        <w:div w:id="2088111244">
          <w:marLeft w:val="640"/>
          <w:marRight w:val="0"/>
          <w:marTop w:val="0"/>
          <w:marBottom w:val="0"/>
          <w:divBdr>
            <w:top w:val="none" w:sz="0" w:space="0" w:color="auto"/>
            <w:left w:val="none" w:sz="0" w:space="0" w:color="auto"/>
            <w:bottom w:val="none" w:sz="0" w:space="0" w:color="auto"/>
            <w:right w:val="none" w:sz="0" w:space="0" w:color="auto"/>
          </w:divBdr>
        </w:div>
        <w:div w:id="1805341965">
          <w:marLeft w:val="640"/>
          <w:marRight w:val="0"/>
          <w:marTop w:val="0"/>
          <w:marBottom w:val="0"/>
          <w:divBdr>
            <w:top w:val="none" w:sz="0" w:space="0" w:color="auto"/>
            <w:left w:val="none" w:sz="0" w:space="0" w:color="auto"/>
            <w:bottom w:val="none" w:sz="0" w:space="0" w:color="auto"/>
            <w:right w:val="none" w:sz="0" w:space="0" w:color="auto"/>
          </w:divBdr>
        </w:div>
      </w:divsChild>
    </w:div>
    <w:div w:id="2120560888">
      <w:bodyDiv w:val="1"/>
      <w:marLeft w:val="0"/>
      <w:marRight w:val="0"/>
      <w:marTop w:val="0"/>
      <w:marBottom w:val="0"/>
      <w:divBdr>
        <w:top w:val="none" w:sz="0" w:space="0" w:color="auto"/>
        <w:left w:val="none" w:sz="0" w:space="0" w:color="auto"/>
        <w:bottom w:val="none" w:sz="0" w:space="0" w:color="auto"/>
        <w:right w:val="none" w:sz="0" w:space="0" w:color="auto"/>
      </w:divBdr>
    </w:div>
    <w:div w:id="2120906295">
      <w:bodyDiv w:val="1"/>
      <w:marLeft w:val="0"/>
      <w:marRight w:val="0"/>
      <w:marTop w:val="0"/>
      <w:marBottom w:val="0"/>
      <w:divBdr>
        <w:top w:val="none" w:sz="0" w:space="0" w:color="auto"/>
        <w:left w:val="none" w:sz="0" w:space="0" w:color="auto"/>
        <w:bottom w:val="none" w:sz="0" w:space="0" w:color="auto"/>
        <w:right w:val="none" w:sz="0" w:space="0" w:color="auto"/>
      </w:divBdr>
    </w:div>
    <w:div w:id="2124110035">
      <w:bodyDiv w:val="1"/>
      <w:marLeft w:val="0"/>
      <w:marRight w:val="0"/>
      <w:marTop w:val="0"/>
      <w:marBottom w:val="0"/>
      <w:divBdr>
        <w:top w:val="none" w:sz="0" w:space="0" w:color="auto"/>
        <w:left w:val="none" w:sz="0" w:space="0" w:color="auto"/>
        <w:bottom w:val="none" w:sz="0" w:space="0" w:color="auto"/>
        <w:right w:val="none" w:sz="0" w:space="0" w:color="auto"/>
      </w:divBdr>
      <w:divsChild>
        <w:div w:id="826702434">
          <w:marLeft w:val="640"/>
          <w:marRight w:val="0"/>
          <w:marTop w:val="0"/>
          <w:marBottom w:val="0"/>
          <w:divBdr>
            <w:top w:val="none" w:sz="0" w:space="0" w:color="auto"/>
            <w:left w:val="none" w:sz="0" w:space="0" w:color="auto"/>
            <w:bottom w:val="none" w:sz="0" w:space="0" w:color="auto"/>
            <w:right w:val="none" w:sz="0" w:space="0" w:color="auto"/>
          </w:divBdr>
        </w:div>
        <w:div w:id="853691361">
          <w:marLeft w:val="640"/>
          <w:marRight w:val="0"/>
          <w:marTop w:val="0"/>
          <w:marBottom w:val="0"/>
          <w:divBdr>
            <w:top w:val="none" w:sz="0" w:space="0" w:color="auto"/>
            <w:left w:val="none" w:sz="0" w:space="0" w:color="auto"/>
            <w:bottom w:val="none" w:sz="0" w:space="0" w:color="auto"/>
            <w:right w:val="none" w:sz="0" w:space="0" w:color="auto"/>
          </w:divBdr>
        </w:div>
        <w:div w:id="308899563">
          <w:marLeft w:val="640"/>
          <w:marRight w:val="0"/>
          <w:marTop w:val="0"/>
          <w:marBottom w:val="0"/>
          <w:divBdr>
            <w:top w:val="none" w:sz="0" w:space="0" w:color="auto"/>
            <w:left w:val="none" w:sz="0" w:space="0" w:color="auto"/>
            <w:bottom w:val="none" w:sz="0" w:space="0" w:color="auto"/>
            <w:right w:val="none" w:sz="0" w:space="0" w:color="auto"/>
          </w:divBdr>
        </w:div>
        <w:div w:id="1335458230">
          <w:marLeft w:val="640"/>
          <w:marRight w:val="0"/>
          <w:marTop w:val="0"/>
          <w:marBottom w:val="0"/>
          <w:divBdr>
            <w:top w:val="none" w:sz="0" w:space="0" w:color="auto"/>
            <w:left w:val="none" w:sz="0" w:space="0" w:color="auto"/>
            <w:bottom w:val="none" w:sz="0" w:space="0" w:color="auto"/>
            <w:right w:val="none" w:sz="0" w:space="0" w:color="auto"/>
          </w:divBdr>
        </w:div>
        <w:div w:id="1794059671">
          <w:marLeft w:val="640"/>
          <w:marRight w:val="0"/>
          <w:marTop w:val="0"/>
          <w:marBottom w:val="0"/>
          <w:divBdr>
            <w:top w:val="none" w:sz="0" w:space="0" w:color="auto"/>
            <w:left w:val="none" w:sz="0" w:space="0" w:color="auto"/>
            <w:bottom w:val="none" w:sz="0" w:space="0" w:color="auto"/>
            <w:right w:val="none" w:sz="0" w:space="0" w:color="auto"/>
          </w:divBdr>
        </w:div>
        <w:div w:id="16589731">
          <w:marLeft w:val="640"/>
          <w:marRight w:val="0"/>
          <w:marTop w:val="0"/>
          <w:marBottom w:val="0"/>
          <w:divBdr>
            <w:top w:val="none" w:sz="0" w:space="0" w:color="auto"/>
            <w:left w:val="none" w:sz="0" w:space="0" w:color="auto"/>
            <w:bottom w:val="none" w:sz="0" w:space="0" w:color="auto"/>
            <w:right w:val="none" w:sz="0" w:space="0" w:color="auto"/>
          </w:divBdr>
        </w:div>
        <w:div w:id="792946447">
          <w:marLeft w:val="640"/>
          <w:marRight w:val="0"/>
          <w:marTop w:val="0"/>
          <w:marBottom w:val="0"/>
          <w:divBdr>
            <w:top w:val="none" w:sz="0" w:space="0" w:color="auto"/>
            <w:left w:val="none" w:sz="0" w:space="0" w:color="auto"/>
            <w:bottom w:val="none" w:sz="0" w:space="0" w:color="auto"/>
            <w:right w:val="none" w:sz="0" w:space="0" w:color="auto"/>
          </w:divBdr>
        </w:div>
        <w:div w:id="1301764640">
          <w:marLeft w:val="640"/>
          <w:marRight w:val="0"/>
          <w:marTop w:val="0"/>
          <w:marBottom w:val="0"/>
          <w:divBdr>
            <w:top w:val="none" w:sz="0" w:space="0" w:color="auto"/>
            <w:left w:val="none" w:sz="0" w:space="0" w:color="auto"/>
            <w:bottom w:val="none" w:sz="0" w:space="0" w:color="auto"/>
            <w:right w:val="none" w:sz="0" w:space="0" w:color="auto"/>
          </w:divBdr>
        </w:div>
        <w:div w:id="713038590">
          <w:marLeft w:val="640"/>
          <w:marRight w:val="0"/>
          <w:marTop w:val="0"/>
          <w:marBottom w:val="0"/>
          <w:divBdr>
            <w:top w:val="none" w:sz="0" w:space="0" w:color="auto"/>
            <w:left w:val="none" w:sz="0" w:space="0" w:color="auto"/>
            <w:bottom w:val="none" w:sz="0" w:space="0" w:color="auto"/>
            <w:right w:val="none" w:sz="0" w:space="0" w:color="auto"/>
          </w:divBdr>
        </w:div>
        <w:div w:id="621618768">
          <w:marLeft w:val="640"/>
          <w:marRight w:val="0"/>
          <w:marTop w:val="0"/>
          <w:marBottom w:val="0"/>
          <w:divBdr>
            <w:top w:val="none" w:sz="0" w:space="0" w:color="auto"/>
            <w:left w:val="none" w:sz="0" w:space="0" w:color="auto"/>
            <w:bottom w:val="none" w:sz="0" w:space="0" w:color="auto"/>
            <w:right w:val="none" w:sz="0" w:space="0" w:color="auto"/>
          </w:divBdr>
        </w:div>
        <w:div w:id="1433357550">
          <w:marLeft w:val="640"/>
          <w:marRight w:val="0"/>
          <w:marTop w:val="0"/>
          <w:marBottom w:val="0"/>
          <w:divBdr>
            <w:top w:val="none" w:sz="0" w:space="0" w:color="auto"/>
            <w:left w:val="none" w:sz="0" w:space="0" w:color="auto"/>
            <w:bottom w:val="none" w:sz="0" w:space="0" w:color="auto"/>
            <w:right w:val="none" w:sz="0" w:space="0" w:color="auto"/>
          </w:divBdr>
        </w:div>
        <w:div w:id="1647738447">
          <w:marLeft w:val="640"/>
          <w:marRight w:val="0"/>
          <w:marTop w:val="0"/>
          <w:marBottom w:val="0"/>
          <w:divBdr>
            <w:top w:val="none" w:sz="0" w:space="0" w:color="auto"/>
            <w:left w:val="none" w:sz="0" w:space="0" w:color="auto"/>
            <w:bottom w:val="none" w:sz="0" w:space="0" w:color="auto"/>
            <w:right w:val="none" w:sz="0" w:space="0" w:color="auto"/>
          </w:divBdr>
        </w:div>
        <w:div w:id="1370496162">
          <w:marLeft w:val="640"/>
          <w:marRight w:val="0"/>
          <w:marTop w:val="0"/>
          <w:marBottom w:val="0"/>
          <w:divBdr>
            <w:top w:val="none" w:sz="0" w:space="0" w:color="auto"/>
            <w:left w:val="none" w:sz="0" w:space="0" w:color="auto"/>
            <w:bottom w:val="none" w:sz="0" w:space="0" w:color="auto"/>
            <w:right w:val="none" w:sz="0" w:space="0" w:color="auto"/>
          </w:divBdr>
        </w:div>
        <w:div w:id="2146270154">
          <w:marLeft w:val="640"/>
          <w:marRight w:val="0"/>
          <w:marTop w:val="0"/>
          <w:marBottom w:val="0"/>
          <w:divBdr>
            <w:top w:val="none" w:sz="0" w:space="0" w:color="auto"/>
            <w:left w:val="none" w:sz="0" w:space="0" w:color="auto"/>
            <w:bottom w:val="none" w:sz="0" w:space="0" w:color="auto"/>
            <w:right w:val="none" w:sz="0" w:space="0" w:color="auto"/>
          </w:divBdr>
        </w:div>
        <w:div w:id="745300966">
          <w:marLeft w:val="640"/>
          <w:marRight w:val="0"/>
          <w:marTop w:val="0"/>
          <w:marBottom w:val="0"/>
          <w:divBdr>
            <w:top w:val="none" w:sz="0" w:space="0" w:color="auto"/>
            <w:left w:val="none" w:sz="0" w:space="0" w:color="auto"/>
            <w:bottom w:val="none" w:sz="0" w:space="0" w:color="auto"/>
            <w:right w:val="none" w:sz="0" w:space="0" w:color="auto"/>
          </w:divBdr>
        </w:div>
        <w:div w:id="431165749">
          <w:marLeft w:val="640"/>
          <w:marRight w:val="0"/>
          <w:marTop w:val="0"/>
          <w:marBottom w:val="0"/>
          <w:divBdr>
            <w:top w:val="none" w:sz="0" w:space="0" w:color="auto"/>
            <w:left w:val="none" w:sz="0" w:space="0" w:color="auto"/>
            <w:bottom w:val="none" w:sz="0" w:space="0" w:color="auto"/>
            <w:right w:val="none" w:sz="0" w:space="0" w:color="auto"/>
          </w:divBdr>
        </w:div>
        <w:div w:id="801463924">
          <w:marLeft w:val="640"/>
          <w:marRight w:val="0"/>
          <w:marTop w:val="0"/>
          <w:marBottom w:val="0"/>
          <w:divBdr>
            <w:top w:val="none" w:sz="0" w:space="0" w:color="auto"/>
            <w:left w:val="none" w:sz="0" w:space="0" w:color="auto"/>
            <w:bottom w:val="none" w:sz="0" w:space="0" w:color="auto"/>
            <w:right w:val="none" w:sz="0" w:space="0" w:color="auto"/>
          </w:divBdr>
        </w:div>
        <w:div w:id="889733287">
          <w:marLeft w:val="640"/>
          <w:marRight w:val="0"/>
          <w:marTop w:val="0"/>
          <w:marBottom w:val="0"/>
          <w:divBdr>
            <w:top w:val="none" w:sz="0" w:space="0" w:color="auto"/>
            <w:left w:val="none" w:sz="0" w:space="0" w:color="auto"/>
            <w:bottom w:val="none" w:sz="0" w:space="0" w:color="auto"/>
            <w:right w:val="none" w:sz="0" w:space="0" w:color="auto"/>
          </w:divBdr>
        </w:div>
        <w:div w:id="1723947317">
          <w:marLeft w:val="640"/>
          <w:marRight w:val="0"/>
          <w:marTop w:val="0"/>
          <w:marBottom w:val="0"/>
          <w:divBdr>
            <w:top w:val="none" w:sz="0" w:space="0" w:color="auto"/>
            <w:left w:val="none" w:sz="0" w:space="0" w:color="auto"/>
            <w:bottom w:val="none" w:sz="0" w:space="0" w:color="auto"/>
            <w:right w:val="none" w:sz="0" w:space="0" w:color="auto"/>
          </w:divBdr>
        </w:div>
        <w:div w:id="1547908833">
          <w:marLeft w:val="640"/>
          <w:marRight w:val="0"/>
          <w:marTop w:val="0"/>
          <w:marBottom w:val="0"/>
          <w:divBdr>
            <w:top w:val="none" w:sz="0" w:space="0" w:color="auto"/>
            <w:left w:val="none" w:sz="0" w:space="0" w:color="auto"/>
            <w:bottom w:val="none" w:sz="0" w:space="0" w:color="auto"/>
            <w:right w:val="none" w:sz="0" w:space="0" w:color="auto"/>
          </w:divBdr>
        </w:div>
        <w:div w:id="1931617731">
          <w:marLeft w:val="640"/>
          <w:marRight w:val="0"/>
          <w:marTop w:val="0"/>
          <w:marBottom w:val="0"/>
          <w:divBdr>
            <w:top w:val="none" w:sz="0" w:space="0" w:color="auto"/>
            <w:left w:val="none" w:sz="0" w:space="0" w:color="auto"/>
            <w:bottom w:val="none" w:sz="0" w:space="0" w:color="auto"/>
            <w:right w:val="none" w:sz="0" w:space="0" w:color="auto"/>
          </w:divBdr>
        </w:div>
        <w:div w:id="956184352">
          <w:marLeft w:val="640"/>
          <w:marRight w:val="0"/>
          <w:marTop w:val="0"/>
          <w:marBottom w:val="0"/>
          <w:divBdr>
            <w:top w:val="none" w:sz="0" w:space="0" w:color="auto"/>
            <w:left w:val="none" w:sz="0" w:space="0" w:color="auto"/>
            <w:bottom w:val="none" w:sz="0" w:space="0" w:color="auto"/>
            <w:right w:val="none" w:sz="0" w:space="0" w:color="auto"/>
          </w:divBdr>
        </w:div>
        <w:div w:id="1583370863">
          <w:marLeft w:val="640"/>
          <w:marRight w:val="0"/>
          <w:marTop w:val="0"/>
          <w:marBottom w:val="0"/>
          <w:divBdr>
            <w:top w:val="none" w:sz="0" w:space="0" w:color="auto"/>
            <w:left w:val="none" w:sz="0" w:space="0" w:color="auto"/>
            <w:bottom w:val="none" w:sz="0" w:space="0" w:color="auto"/>
            <w:right w:val="none" w:sz="0" w:space="0" w:color="auto"/>
          </w:divBdr>
        </w:div>
        <w:div w:id="115028001">
          <w:marLeft w:val="640"/>
          <w:marRight w:val="0"/>
          <w:marTop w:val="0"/>
          <w:marBottom w:val="0"/>
          <w:divBdr>
            <w:top w:val="none" w:sz="0" w:space="0" w:color="auto"/>
            <w:left w:val="none" w:sz="0" w:space="0" w:color="auto"/>
            <w:bottom w:val="none" w:sz="0" w:space="0" w:color="auto"/>
            <w:right w:val="none" w:sz="0" w:space="0" w:color="auto"/>
          </w:divBdr>
        </w:div>
        <w:div w:id="2066875432">
          <w:marLeft w:val="640"/>
          <w:marRight w:val="0"/>
          <w:marTop w:val="0"/>
          <w:marBottom w:val="0"/>
          <w:divBdr>
            <w:top w:val="none" w:sz="0" w:space="0" w:color="auto"/>
            <w:left w:val="none" w:sz="0" w:space="0" w:color="auto"/>
            <w:bottom w:val="none" w:sz="0" w:space="0" w:color="auto"/>
            <w:right w:val="none" w:sz="0" w:space="0" w:color="auto"/>
          </w:divBdr>
        </w:div>
        <w:div w:id="1787037752">
          <w:marLeft w:val="640"/>
          <w:marRight w:val="0"/>
          <w:marTop w:val="0"/>
          <w:marBottom w:val="0"/>
          <w:divBdr>
            <w:top w:val="none" w:sz="0" w:space="0" w:color="auto"/>
            <w:left w:val="none" w:sz="0" w:space="0" w:color="auto"/>
            <w:bottom w:val="none" w:sz="0" w:space="0" w:color="auto"/>
            <w:right w:val="none" w:sz="0" w:space="0" w:color="auto"/>
          </w:divBdr>
        </w:div>
        <w:div w:id="1276785716">
          <w:marLeft w:val="640"/>
          <w:marRight w:val="0"/>
          <w:marTop w:val="0"/>
          <w:marBottom w:val="0"/>
          <w:divBdr>
            <w:top w:val="none" w:sz="0" w:space="0" w:color="auto"/>
            <w:left w:val="none" w:sz="0" w:space="0" w:color="auto"/>
            <w:bottom w:val="none" w:sz="0" w:space="0" w:color="auto"/>
            <w:right w:val="none" w:sz="0" w:space="0" w:color="auto"/>
          </w:divBdr>
        </w:div>
        <w:div w:id="1128206815">
          <w:marLeft w:val="640"/>
          <w:marRight w:val="0"/>
          <w:marTop w:val="0"/>
          <w:marBottom w:val="0"/>
          <w:divBdr>
            <w:top w:val="none" w:sz="0" w:space="0" w:color="auto"/>
            <w:left w:val="none" w:sz="0" w:space="0" w:color="auto"/>
            <w:bottom w:val="none" w:sz="0" w:space="0" w:color="auto"/>
            <w:right w:val="none" w:sz="0" w:space="0" w:color="auto"/>
          </w:divBdr>
        </w:div>
        <w:div w:id="443042229">
          <w:marLeft w:val="640"/>
          <w:marRight w:val="0"/>
          <w:marTop w:val="0"/>
          <w:marBottom w:val="0"/>
          <w:divBdr>
            <w:top w:val="none" w:sz="0" w:space="0" w:color="auto"/>
            <w:left w:val="none" w:sz="0" w:space="0" w:color="auto"/>
            <w:bottom w:val="none" w:sz="0" w:space="0" w:color="auto"/>
            <w:right w:val="none" w:sz="0" w:space="0" w:color="auto"/>
          </w:divBdr>
        </w:div>
        <w:div w:id="810637280">
          <w:marLeft w:val="640"/>
          <w:marRight w:val="0"/>
          <w:marTop w:val="0"/>
          <w:marBottom w:val="0"/>
          <w:divBdr>
            <w:top w:val="none" w:sz="0" w:space="0" w:color="auto"/>
            <w:left w:val="none" w:sz="0" w:space="0" w:color="auto"/>
            <w:bottom w:val="none" w:sz="0" w:space="0" w:color="auto"/>
            <w:right w:val="none" w:sz="0" w:space="0" w:color="auto"/>
          </w:divBdr>
        </w:div>
        <w:div w:id="1405302699">
          <w:marLeft w:val="640"/>
          <w:marRight w:val="0"/>
          <w:marTop w:val="0"/>
          <w:marBottom w:val="0"/>
          <w:divBdr>
            <w:top w:val="none" w:sz="0" w:space="0" w:color="auto"/>
            <w:left w:val="none" w:sz="0" w:space="0" w:color="auto"/>
            <w:bottom w:val="none" w:sz="0" w:space="0" w:color="auto"/>
            <w:right w:val="none" w:sz="0" w:space="0" w:color="auto"/>
          </w:divBdr>
        </w:div>
        <w:div w:id="867110650">
          <w:marLeft w:val="640"/>
          <w:marRight w:val="0"/>
          <w:marTop w:val="0"/>
          <w:marBottom w:val="0"/>
          <w:divBdr>
            <w:top w:val="none" w:sz="0" w:space="0" w:color="auto"/>
            <w:left w:val="none" w:sz="0" w:space="0" w:color="auto"/>
            <w:bottom w:val="none" w:sz="0" w:space="0" w:color="auto"/>
            <w:right w:val="none" w:sz="0" w:space="0" w:color="auto"/>
          </w:divBdr>
        </w:div>
        <w:div w:id="193664997">
          <w:marLeft w:val="640"/>
          <w:marRight w:val="0"/>
          <w:marTop w:val="0"/>
          <w:marBottom w:val="0"/>
          <w:divBdr>
            <w:top w:val="none" w:sz="0" w:space="0" w:color="auto"/>
            <w:left w:val="none" w:sz="0" w:space="0" w:color="auto"/>
            <w:bottom w:val="none" w:sz="0" w:space="0" w:color="auto"/>
            <w:right w:val="none" w:sz="0" w:space="0" w:color="auto"/>
          </w:divBdr>
        </w:div>
        <w:div w:id="1144156726">
          <w:marLeft w:val="640"/>
          <w:marRight w:val="0"/>
          <w:marTop w:val="0"/>
          <w:marBottom w:val="0"/>
          <w:divBdr>
            <w:top w:val="none" w:sz="0" w:space="0" w:color="auto"/>
            <w:left w:val="none" w:sz="0" w:space="0" w:color="auto"/>
            <w:bottom w:val="none" w:sz="0" w:space="0" w:color="auto"/>
            <w:right w:val="none" w:sz="0" w:space="0" w:color="auto"/>
          </w:divBdr>
        </w:div>
        <w:div w:id="625549556">
          <w:marLeft w:val="640"/>
          <w:marRight w:val="0"/>
          <w:marTop w:val="0"/>
          <w:marBottom w:val="0"/>
          <w:divBdr>
            <w:top w:val="none" w:sz="0" w:space="0" w:color="auto"/>
            <w:left w:val="none" w:sz="0" w:space="0" w:color="auto"/>
            <w:bottom w:val="none" w:sz="0" w:space="0" w:color="auto"/>
            <w:right w:val="none" w:sz="0" w:space="0" w:color="auto"/>
          </w:divBdr>
        </w:div>
        <w:div w:id="1386031782">
          <w:marLeft w:val="640"/>
          <w:marRight w:val="0"/>
          <w:marTop w:val="0"/>
          <w:marBottom w:val="0"/>
          <w:divBdr>
            <w:top w:val="none" w:sz="0" w:space="0" w:color="auto"/>
            <w:left w:val="none" w:sz="0" w:space="0" w:color="auto"/>
            <w:bottom w:val="none" w:sz="0" w:space="0" w:color="auto"/>
            <w:right w:val="none" w:sz="0" w:space="0" w:color="auto"/>
          </w:divBdr>
        </w:div>
        <w:div w:id="1164123462">
          <w:marLeft w:val="640"/>
          <w:marRight w:val="0"/>
          <w:marTop w:val="0"/>
          <w:marBottom w:val="0"/>
          <w:divBdr>
            <w:top w:val="none" w:sz="0" w:space="0" w:color="auto"/>
            <w:left w:val="none" w:sz="0" w:space="0" w:color="auto"/>
            <w:bottom w:val="none" w:sz="0" w:space="0" w:color="auto"/>
            <w:right w:val="none" w:sz="0" w:space="0" w:color="auto"/>
          </w:divBdr>
        </w:div>
        <w:div w:id="153183182">
          <w:marLeft w:val="640"/>
          <w:marRight w:val="0"/>
          <w:marTop w:val="0"/>
          <w:marBottom w:val="0"/>
          <w:divBdr>
            <w:top w:val="none" w:sz="0" w:space="0" w:color="auto"/>
            <w:left w:val="none" w:sz="0" w:space="0" w:color="auto"/>
            <w:bottom w:val="none" w:sz="0" w:space="0" w:color="auto"/>
            <w:right w:val="none" w:sz="0" w:space="0" w:color="auto"/>
          </w:divBdr>
        </w:div>
        <w:div w:id="1921789537">
          <w:marLeft w:val="640"/>
          <w:marRight w:val="0"/>
          <w:marTop w:val="0"/>
          <w:marBottom w:val="0"/>
          <w:divBdr>
            <w:top w:val="none" w:sz="0" w:space="0" w:color="auto"/>
            <w:left w:val="none" w:sz="0" w:space="0" w:color="auto"/>
            <w:bottom w:val="none" w:sz="0" w:space="0" w:color="auto"/>
            <w:right w:val="none" w:sz="0" w:space="0" w:color="auto"/>
          </w:divBdr>
        </w:div>
        <w:div w:id="1578591085">
          <w:marLeft w:val="640"/>
          <w:marRight w:val="0"/>
          <w:marTop w:val="0"/>
          <w:marBottom w:val="0"/>
          <w:divBdr>
            <w:top w:val="none" w:sz="0" w:space="0" w:color="auto"/>
            <w:left w:val="none" w:sz="0" w:space="0" w:color="auto"/>
            <w:bottom w:val="none" w:sz="0" w:space="0" w:color="auto"/>
            <w:right w:val="none" w:sz="0" w:space="0" w:color="auto"/>
          </w:divBdr>
        </w:div>
        <w:div w:id="1615945228">
          <w:marLeft w:val="640"/>
          <w:marRight w:val="0"/>
          <w:marTop w:val="0"/>
          <w:marBottom w:val="0"/>
          <w:divBdr>
            <w:top w:val="none" w:sz="0" w:space="0" w:color="auto"/>
            <w:left w:val="none" w:sz="0" w:space="0" w:color="auto"/>
            <w:bottom w:val="none" w:sz="0" w:space="0" w:color="auto"/>
            <w:right w:val="none" w:sz="0" w:space="0" w:color="auto"/>
          </w:divBdr>
        </w:div>
        <w:div w:id="190194436">
          <w:marLeft w:val="640"/>
          <w:marRight w:val="0"/>
          <w:marTop w:val="0"/>
          <w:marBottom w:val="0"/>
          <w:divBdr>
            <w:top w:val="none" w:sz="0" w:space="0" w:color="auto"/>
            <w:left w:val="none" w:sz="0" w:space="0" w:color="auto"/>
            <w:bottom w:val="none" w:sz="0" w:space="0" w:color="auto"/>
            <w:right w:val="none" w:sz="0" w:space="0" w:color="auto"/>
          </w:divBdr>
        </w:div>
        <w:div w:id="1590695848">
          <w:marLeft w:val="640"/>
          <w:marRight w:val="0"/>
          <w:marTop w:val="0"/>
          <w:marBottom w:val="0"/>
          <w:divBdr>
            <w:top w:val="none" w:sz="0" w:space="0" w:color="auto"/>
            <w:left w:val="none" w:sz="0" w:space="0" w:color="auto"/>
            <w:bottom w:val="none" w:sz="0" w:space="0" w:color="auto"/>
            <w:right w:val="none" w:sz="0" w:space="0" w:color="auto"/>
          </w:divBdr>
        </w:div>
        <w:div w:id="225069210">
          <w:marLeft w:val="640"/>
          <w:marRight w:val="0"/>
          <w:marTop w:val="0"/>
          <w:marBottom w:val="0"/>
          <w:divBdr>
            <w:top w:val="none" w:sz="0" w:space="0" w:color="auto"/>
            <w:left w:val="none" w:sz="0" w:space="0" w:color="auto"/>
            <w:bottom w:val="none" w:sz="0" w:space="0" w:color="auto"/>
            <w:right w:val="none" w:sz="0" w:space="0" w:color="auto"/>
          </w:divBdr>
        </w:div>
        <w:div w:id="1232426887">
          <w:marLeft w:val="640"/>
          <w:marRight w:val="0"/>
          <w:marTop w:val="0"/>
          <w:marBottom w:val="0"/>
          <w:divBdr>
            <w:top w:val="none" w:sz="0" w:space="0" w:color="auto"/>
            <w:left w:val="none" w:sz="0" w:space="0" w:color="auto"/>
            <w:bottom w:val="none" w:sz="0" w:space="0" w:color="auto"/>
            <w:right w:val="none" w:sz="0" w:space="0" w:color="auto"/>
          </w:divBdr>
        </w:div>
        <w:div w:id="2089956186">
          <w:marLeft w:val="640"/>
          <w:marRight w:val="0"/>
          <w:marTop w:val="0"/>
          <w:marBottom w:val="0"/>
          <w:divBdr>
            <w:top w:val="none" w:sz="0" w:space="0" w:color="auto"/>
            <w:left w:val="none" w:sz="0" w:space="0" w:color="auto"/>
            <w:bottom w:val="none" w:sz="0" w:space="0" w:color="auto"/>
            <w:right w:val="none" w:sz="0" w:space="0" w:color="auto"/>
          </w:divBdr>
        </w:div>
        <w:div w:id="478621625">
          <w:marLeft w:val="640"/>
          <w:marRight w:val="0"/>
          <w:marTop w:val="0"/>
          <w:marBottom w:val="0"/>
          <w:divBdr>
            <w:top w:val="none" w:sz="0" w:space="0" w:color="auto"/>
            <w:left w:val="none" w:sz="0" w:space="0" w:color="auto"/>
            <w:bottom w:val="none" w:sz="0" w:space="0" w:color="auto"/>
            <w:right w:val="none" w:sz="0" w:space="0" w:color="auto"/>
          </w:divBdr>
        </w:div>
        <w:div w:id="1684279894">
          <w:marLeft w:val="640"/>
          <w:marRight w:val="0"/>
          <w:marTop w:val="0"/>
          <w:marBottom w:val="0"/>
          <w:divBdr>
            <w:top w:val="none" w:sz="0" w:space="0" w:color="auto"/>
            <w:left w:val="none" w:sz="0" w:space="0" w:color="auto"/>
            <w:bottom w:val="none" w:sz="0" w:space="0" w:color="auto"/>
            <w:right w:val="none" w:sz="0" w:space="0" w:color="auto"/>
          </w:divBdr>
        </w:div>
        <w:div w:id="1958831437">
          <w:marLeft w:val="640"/>
          <w:marRight w:val="0"/>
          <w:marTop w:val="0"/>
          <w:marBottom w:val="0"/>
          <w:divBdr>
            <w:top w:val="none" w:sz="0" w:space="0" w:color="auto"/>
            <w:left w:val="none" w:sz="0" w:space="0" w:color="auto"/>
            <w:bottom w:val="none" w:sz="0" w:space="0" w:color="auto"/>
            <w:right w:val="none" w:sz="0" w:space="0" w:color="auto"/>
          </w:divBdr>
        </w:div>
        <w:div w:id="1395466775">
          <w:marLeft w:val="640"/>
          <w:marRight w:val="0"/>
          <w:marTop w:val="0"/>
          <w:marBottom w:val="0"/>
          <w:divBdr>
            <w:top w:val="none" w:sz="0" w:space="0" w:color="auto"/>
            <w:left w:val="none" w:sz="0" w:space="0" w:color="auto"/>
            <w:bottom w:val="none" w:sz="0" w:space="0" w:color="auto"/>
            <w:right w:val="none" w:sz="0" w:space="0" w:color="auto"/>
          </w:divBdr>
        </w:div>
        <w:div w:id="1315060158">
          <w:marLeft w:val="640"/>
          <w:marRight w:val="0"/>
          <w:marTop w:val="0"/>
          <w:marBottom w:val="0"/>
          <w:divBdr>
            <w:top w:val="none" w:sz="0" w:space="0" w:color="auto"/>
            <w:left w:val="none" w:sz="0" w:space="0" w:color="auto"/>
            <w:bottom w:val="none" w:sz="0" w:space="0" w:color="auto"/>
            <w:right w:val="none" w:sz="0" w:space="0" w:color="auto"/>
          </w:divBdr>
        </w:div>
        <w:div w:id="1200241183">
          <w:marLeft w:val="640"/>
          <w:marRight w:val="0"/>
          <w:marTop w:val="0"/>
          <w:marBottom w:val="0"/>
          <w:divBdr>
            <w:top w:val="none" w:sz="0" w:space="0" w:color="auto"/>
            <w:left w:val="none" w:sz="0" w:space="0" w:color="auto"/>
            <w:bottom w:val="none" w:sz="0" w:space="0" w:color="auto"/>
            <w:right w:val="none" w:sz="0" w:space="0" w:color="auto"/>
          </w:divBdr>
        </w:div>
        <w:div w:id="1202135178">
          <w:marLeft w:val="640"/>
          <w:marRight w:val="0"/>
          <w:marTop w:val="0"/>
          <w:marBottom w:val="0"/>
          <w:divBdr>
            <w:top w:val="none" w:sz="0" w:space="0" w:color="auto"/>
            <w:left w:val="none" w:sz="0" w:space="0" w:color="auto"/>
            <w:bottom w:val="none" w:sz="0" w:space="0" w:color="auto"/>
            <w:right w:val="none" w:sz="0" w:space="0" w:color="auto"/>
          </w:divBdr>
        </w:div>
        <w:div w:id="1618364830">
          <w:marLeft w:val="640"/>
          <w:marRight w:val="0"/>
          <w:marTop w:val="0"/>
          <w:marBottom w:val="0"/>
          <w:divBdr>
            <w:top w:val="none" w:sz="0" w:space="0" w:color="auto"/>
            <w:left w:val="none" w:sz="0" w:space="0" w:color="auto"/>
            <w:bottom w:val="none" w:sz="0" w:space="0" w:color="auto"/>
            <w:right w:val="none" w:sz="0" w:space="0" w:color="auto"/>
          </w:divBdr>
        </w:div>
        <w:div w:id="1514417187">
          <w:marLeft w:val="640"/>
          <w:marRight w:val="0"/>
          <w:marTop w:val="0"/>
          <w:marBottom w:val="0"/>
          <w:divBdr>
            <w:top w:val="none" w:sz="0" w:space="0" w:color="auto"/>
            <w:left w:val="none" w:sz="0" w:space="0" w:color="auto"/>
            <w:bottom w:val="none" w:sz="0" w:space="0" w:color="auto"/>
            <w:right w:val="none" w:sz="0" w:space="0" w:color="auto"/>
          </w:divBdr>
        </w:div>
        <w:div w:id="1622567056">
          <w:marLeft w:val="640"/>
          <w:marRight w:val="0"/>
          <w:marTop w:val="0"/>
          <w:marBottom w:val="0"/>
          <w:divBdr>
            <w:top w:val="none" w:sz="0" w:space="0" w:color="auto"/>
            <w:left w:val="none" w:sz="0" w:space="0" w:color="auto"/>
            <w:bottom w:val="none" w:sz="0" w:space="0" w:color="auto"/>
            <w:right w:val="none" w:sz="0" w:space="0" w:color="auto"/>
          </w:divBdr>
        </w:div>
        <w:div w:id="2067878027">
          <w:marLeft w:val="640"/>
          <w:marRight w:val="0"/>
          <w:marTop w:val="0"/>
          <w:marBottom w:val="0"/>
          <w:divBdr>
            <w:top w:val="none" w:sz="0" w:space="0" w:color="auto"/>
            <w:left w:val="none" w:sz="0" w:space="0" w:color="auto"/>
            <w:bottom w:val="none" w:sz="0" w:space="0" w:color="auto"/>
            <w:right w:val="none" w:sz="0" w:space="0" w:color="auto"/>
          </w:divBdr>
        </w:div>
        <w:div w:id="309407900">
          <w:marLeft w:val="640"/>
          <w:marRight w:val="0"/>
          <w:marTop w:val="0"/>
          <w:marBottom w:val="0"/>
          <w:divBdr>
            <w:top w:val="none" w:sz="0" w:space="0" w:color="auto"/>
            <w:left w:val="none" w:sz="0" w:space="0" w:color="auto"/>
            <w:bottom w:val="none" w:sz="0" w:space="0" w:color="auto"/>
            <w:right w:val="none" w:sz="0" w:space="0" w:color="auto"/>
          </w:divBdr>
        </w:div>
        <w:div w:id="1608348735">
          <w:marLeft w:val="640"/>
          <w:marRight w:val="0"/>
          <w:marTop w:val="0"/>
          <w:marBottom w:val="0"/>
          <w:divBdr>
            <w:top w:val="none" w:sz="0" w:space="0" w:color="auto"/>
            <w:left w:val="none" w:sz="0" w:space="0" w:color="auto"/>
            <w:bottom w:val="none" w:sz="0" w:space="0" w:color="auto"/>
            <w:right w:val="none" w:sz="0" w:space="0" w:color="auto"/>
          </w:divBdr>
        </w:div>
        <w:div w:id="784424586">
          <w:marLeft w:val="640"/>
          <w:marRight w:val="0"/>
          <w:marTop w:val="0"/>
          <w:marBottom w:val="0"/>
          <w:divBdr>
            <w:top w:val="none" w:sz="0" w:space="0" w:color="auto"/>
            <w:left w:val="none" w:sz="0" w:space="0" w:color="auto"/>
            <w:bottom w:val="none" w:sz="0" w:space="0" w:color="auto"/>
            <w:right w:val="none" w:sz="0" w:space="0" w:color="auto"/>
          </w:divBdr>
        </w:div>
        <w:div w:id="96370609">
          <w:marLeft w:val="640"/>
          <w:marRight w:val="0"/>
          <w:marTop w:val="0"/>
          <w:marBottom w:val="0"/>
          <w:divBdr>
            <w:top w:val="none" w:sz="0" w:space="0" w:color="auto"/>
            <w:left w:val="none" w:sz="0" w:space="0" w:color="auto"/>
            <w:bottom w:val="none" w:sz="0" w:space="0" w:color="auto"/>
            <w:right w:val="none" w:sz="0" w:space="0" w:color="auto"/>
          </w:divBdr>
        </w:div>
        <w:div w:id="1415316411">
          <w:marLeft w:val="640"/>
          <w:marRight w:val="0"/>
          <w:marTop w:val="0"/>
          <w:marBottom w:val="0"/>
          <w:divBdr>
            <w:top w:val="none" w:sz="0" w:space="0" w:color="auto"/>
            <w:left w:val="none" w:sz="0" w:space="0" w:color="auto"/>
            <w:bottom w:val="none" w:sz="0" w:space="0" w:color="auto"/>
            <w:right w:val="none" w:sz="0" w:space="0" w:color="auto"/>
          </w:divBdr>
        </w:div>
        <w:div w:id="702901777">
          <w:marLeft w:val="640"/>
          <w:marRight w:val="0"/>
          <w:marTop w:val="0"/>
          <w:marBottom w:val="0"/>
          <w:divBdr>
            <w:top w:val="none" w:sz="0" w:space="0" w:color="auto"/>
            <w:left w:val="none" w:sz="0" w:space="0" w:color="auto"/>
            <w:bottom w:val="none" w:sz="0" w:space="0" w:color="auto"/>
            <w:right w:val="none" w:sz="0" w:space="0" w:color="auto"/>
          </w:divBdr>
        </w:div>
        <w:div w:id="558633255">
          <w:marLeft w:val="640"/>
          <w:marRight w:val="0"/>
          <w:marTop w:val="0"/>
          <w:marBottom w:val="0"/>
          <w:divBdr>
            <w:top w:val="none" w:sz="0" w:space="0" w:color="auto"/>
            <w:left w:val="none" w:sz="0" w:space="0" w:color="auto"/>
            <w:bottom w:val="none" w:sz="0" w:space="0" w:color="auto"/>
            <w:right w:val="none" w:sz="0" w:space="0" w:color="auto"/>
          </w:divBdr>
        </w:div>
        <w:div w:id="562259181">
          <w:marLeft w:val="640"/>
          <w:marRight w:val="0"/>
          <w:marTop w:val="0"/>
          <w:marBottom w:val="0"/>
          <w:divBdr>
            <w:top w:val="none" w:sz="0" w:space="0" w:color="auto"/>
            <w:left w:val="none" w:sz="0" w:space="0" w:color="auto"/>
            <w:bottom w:val="none" w:sz="0" w:space="0" w:color="auto"/>
            <w:right w:val="none" w:sz="0" w:space="0" w:color="auto"/>
          </w:divBdr>
        </w:div>
        <w:div w:id="1922792961">
          <w:marLeft w:val="640"/>
          <w:marRight w:val="0"/>
          <w:marTop w:val="0"/>
          <w:marBottom w:val="0"/>
          <w:divBdr>
            <w:top w:val="none" w:sz="0" w:space="0" w:color="auto"/>
            <w:left w:val="none" w:sz="0" w:space="0" w:color="auto"/>
            <w:bottom w:val="none" w:sz="0" w:space="0" w:color="auto"/>
            <w:right w:val="none" w:sz="0" w:space="0" w:color="auto"/>
          </w:divBdr>
        </w:div>
        <w:div w:id="177693937">
          <w:marLeft w:val="640"/>
          <w:marRight w:val="0"/>
          <w:marTop w:val="0"/>
          <w:marBottom w:val="0"/>
          <w:divBdr>
            <w:top w:val="none" w:sz="0" w:space="0" w:color="auto"/>
            <w:left w:val="none" w:sz="0" w:space="0" w:color="auto"/>
            <w:bottom w:val="none" w:sz="0" w:space="0" w:color="auto"/>
            <w:right w:val="none" w:sz="0" w:space="0" w:color="auto"/>
          </w:divBdr>
        </w:div>
        <w:div w:id="251624035">
          <w:marLeft w:val="640"/>
          <w:marRight w:val="0"/>
          <w:marTop w:val="0"/>
          <w:marBottom w:val="0"/>
          <w:divBdr>
            <w:top w:val="none" w:sz="0" w:space="0" w:color="auto"/>
            <w:left w:val="none" w:sz="0" w:space="0" w:color="auto"/>
            <w:bottom w:val="none" w:sz="0" w:space="0" w:color="auto"/>
            <w:right w:val="none" w:sz="0" w:space="0" w:color="auto"/>
          </w:divBdr>
        </w:div>
        <w:div w:id="1678651368">
          <w:marLeft w:val="640"/>
          <w:marRight w:val="0"/>
          <w:marTop w:val="0"/>
          <w:marBottom w:val="0"/>
          <w:divBdr>
            <w:top w:val="none" w:sz="0" w:space="0" w:color="auto"/>
            <w:left w:val="none" w:sz="0" w:space="0" w:color="auto"/>
            <w:bottom w:val="none" w:sz="0" w:space="0" w:color="auto"/>
            <w:right w:val="none" w:sz="0" w:space="0" w:color="auto"/>
          </w:divBdr>
        </w:div>
        <w:div w:id="2066223061">
          <w:marLeft w:val="640"/>
          <w:marRight w:val="0"/>
          <w:marTop w:val="0"/>
          <w:marBottom w:val="0"/>
          <w:divBdr>
            <w:top w:val="none" w:sz="0" w:space="0" w:color="auto"/>
            <w:left w:val="none" w:sz="0" w:space="0" w:color="auto"/>
            <w:bottom w:val="none" w:sz="0" w:space="0" w:color="auto"/>
            <w:right w:val="none" w:sz="0" w:space="0" w:color="auto"/>
          </w:divBdr>
        </w:div>
        <w:div w:id="2042895625">
          <w:marLeft w:val="640"/>
          <w:marRight w:val="0"/>
          <w:marTop w:val="0"/>
          <w:marBottom w:val="0"/>
          <w:divBdr>
            <w:top w:val="none" w:sz="0" w:space="0" w:color="auto"/>
            <w:left w:val="none" w:sz="0" w:space="0" w:color="auto"/>
            <w:bottom w:val="none" w:sz="0" w:space="0" w:color="auto"/>
            <w:right w:val="none" w:sz="0" w:space="0" w:color="auto"/>
          </w:divBdr>
        </w:div>
        <w:div w:id="1695493778">
          <w:marLeft w:val="640"/>
          <w:marRight w:val="0"/>
          <w:marTop w:val="0"/>
          <w:marBottom w:val="0"/>
          <w:divBdr>
            <w:top w:val="none" w:sz="0" w:space="0" w:color="auto"/>
            <w:left w:val="none" w:sz="0" w:space="0" w:color="auto"/>
            <w:bottom w:val="none" w:sz="0" w:space="0" w:color="auto"/>
            <w:right w:val="none" w:sz="0" w:space="0" w:color="auto"/>
          </w:divBdr>
        </w:div>
        <w:div w:id="963850022">
          <w:marLeft w:val="640"/>
          <w:marRight w:val="0"/>
          <w:marTop w:val="0"/>
          <w:marBottom w:val="0"/>
          <w:divBdr>
            <w:top w:val="none" w:sz="0" w:space="0" w:color="auto"/>
            <w:left w:val="none" w:sz="0" w:space="0" w:color="auto"/>
            <w:bottom w:val="none" w:sz="0" w:space="0" w:color="auto"/>
            <w:right w:val="none" w:sz="0" w:space="0" w:color="auto"/>
          </w:divBdr>
        </w:div>
        <w:div w:id="1607232323">
          <w:marLeft w:val="640"/>
          <w:marRight w:val="0"/>
          <w:marTop w:val="0"/>
          <w:marBottom w:val="0"/>
          <w:divBdr>
            <w:top w:val="none" w:sz="0" w:space="0" w:color="auto"/>
            <w:left w:val="none" w:sz="0" w:space="0" w:color="auto"/>
            <w:bottom w:val="none" w:sz="0" w:space="0" w:color="auto"/>
            <w:right w:val="none" w:sz="0" w:space="0" w:color="auto"/>
          </w:divBdr>
        </w:div>
        <w:div w:id="294875009">
          <w:marLeft w:val="640"/>
          <w:marRight w:val="0"/>
          <w:marTop w:val="0"/>
          <w:marBottom w:val="0"/>
          <w:divBdr>
            <w:top w:val="none" w:sz="0" w:space="0" w:color="auto"/>
            <w:left w:val="none" w:sz="0" w:space="0" w:color="auto"/>
            <w:bottom w:val="none" w:sz="0" w:space="0" w:color="auto"/>
            <w:right w:val="none" w:sz="0" w:space="0" w:color="auto"/>
          </w:divBdr>
        </w:div>
        <w:div w:id="1242911380">
          <w:marLeft w:val="640"/>
          <w:marRight w:val="0"/>
          <w:marTop w:val="0"/>
          <w:marBottom w:val="0"/>
          <w:divBdr>
            <w:top w:val="none" w:sz="0" w:space="0" w:color="auto"/>
            <w:left w:val="none" w:sz="0" w:space="0" w:color="auto"/>
            <w:bottom w:val="none" w:sz="0" w:space="0" w:color="auto"/>
            <w:right w:val="none" w:sz="0" w:space="0" w:color="auto"/>
          </w:divBdr>
        </w:div>
        <w:div w:id="722023588">
          <w:marLeft w:val="640"/>
          <w:marRight w:val="0"/>
          <w:marTop w:val="0"/>
          <w:marBottom w:val="0"/>
          <w:divBdr>
            <w:top w:val="none" w:sz="0" w:space="0" w:color="auto"/>
            <w:left w:val="none" w:sz="0" w:space="0" w:color="auto"/>
            <w:bottom w:val="none" w:sz="0" w:space="0" w:color="auto"/>
            <w:right w:val="none" w:sz="0" w:space="0" w:color="auto"/>
          </w:divBdr>
        </w:div>
        <w:div w:id="356127669">
          <w:marLeft w:val="640"/>
          <w:marRight w:val="0"/>
          <w:marTop w:val="0"/>
          <w:marBottom w:val="0"/>
          <w:divBdr>
            <w:top w:val="none" w:sz="0" w:space="0" w:color="auto"/>
            <w:left w:val="none" w:sz="0" w:space="0" w:color="auto"/>
            <w:bottom w:val="none" w:sz="0" w:space="0" w:color="auto"/>
            <w:right w:val="none" w:sz="0" w:space="0" w:color="auto"/>
          </w:divBdr>
        </w:div>
        <w:div w:id="544634138">
          <w:marLeft w:val="640"/>
          <w:marRight w:val="0"/>
          <w:marTop w:val="0"/>
          <w:marBottom w:val="0"/>
          <w:divBdr>
            <w:top w:val="none" w:sz="0" w:space="0" w:color="auto"/>
            <w:left w:val="none" w:sz="0" w:space="0" w:color="auto"/>
            <w:bottom w:val="none" w:sz="0" w:space="0" w:color="auto"/>
            <w:right w:val="none" w:sz="0" w:space="0" w:color="auto"/>
          </w:divBdr>
        </w:div>
        <w:div w:id="332076220">
          <w:marLeft w:val="640"/>
          <w:marRight w:val="0"/>
          <w:marTop w:val="0"/>
          <w:marBottom w:val="0"/>
          <w:divBdr>
            <w:top w:val="none" w:sz="0" w:space="0" w:color="auto"/>
            <w:left w:val="none" w:sz="0" w:space="0" w:color="auto"/>
            <w:bottom w:val="none" w:sz="0" w:space="0" w:color="auto"/>
            <w:right w:val="none" w:sz="0" w:space="0" w:color="auto"/>
          </w:divBdr>
        </w:div>
        <w:div w:id="2127969731">
          <w:marLeft w:val="640"/>
          <w:marRight w:val="0"/>
          <w:marTop w:val="0"/>
          <w:marBottom w:val="0"/>
          <w:divBdr>
            <w:top w:val="none" w:sz="0" w:space="0" w:color="auto"/>
            <w:left w:val="none" w:sz="0" w:space="0" w:color="auto"/>
            <w:bottom w:val="none" w:sz="0" w:space="0" w:color="auto"/>
            <w:right w:val="none" w:sz="0" w:space="0" w:color="auto"/>
          </w:divBdr>
        </w:div>
        <w:div w:id="1920208570">
          <w:marLeft w:val="640"/>
          <w:marRight w:val="0"/>
          <w:marTop w:val="0"/>
          <w:marBottom w:val="0"/>
          <w:divBdr>
            <w:top w:val="none" w:sz="0" w:space="0" w:color="auto"/>
            <w:left w:val="none" w:sz="0" w:space="0" w:color="auto"/>
            <w:bottom w:val="none" w:sz="0" w:space="0" w:color="auto"/>
            <w:right w:val="none" w:sz="0" w:space="0" w:color="auto"/>
          </w:divBdr>
        </w:div>
        <w:div w:id="2068257264">
          <w:marLeft w:val="640"/>
          <w:marRight w:val="0"/>
          <w:marTop w:val="0"/>
          <w:marBottom w:val="0"/>
          <w:divBdr>
            <w:top w:val="none" w:sz="0" w:space="0" w:color="auto"/>
            <w:left w:val="none" w:sz="0" w:space="0" w:color="auto"/>
            <w:bottom w:val="none" w:sz="0" w:space="0" w:color="auto"/>
            <w:right w:val="none" w:sz="0" w:space="0" w:color="auto"/>
          </w:divBdr>
        </w:div>
        <w:div w:id="637342489">
          <w:marLeft w:val="640"/>
          <w:marRight w:val="0"/>
          <w:marTop w:val="0"/>
          <w:marBottom w:val="0"/>
          <w:divBdr>
            <w:top w:val="none" w:sz="0" w:space="0" w:color="auto"/>
            <w:left w:val="none" w:sz="0" w:space="0" w:color="auto"/>
            <w:bottom w:val="none" w:sz="0" w:space="0" w:color="auto"/>
            <w:right w:val="none" w:sz="0" w:space="0" w:color="auto"/>
          </w:divBdr>
        </w:div>
        <w:div w:id="848520977">
          <w:marLeft w:val="640"/>
          <w:marRight w:val="0"/>
          <w:marTop w:val="0"/>
          <w:marBottom w:val="0"/>
          <w:divBdr>
            <w:top w:val="none" w:sz="0" w:space="0" w:color="auto"/>
            <w:left w:val="none" w:sz="0" w:space="0" w:color="auto"/>
            <w:bottom w:val="none" w:sz="0" w:space="0" w:color="auto"/>
            <w:right w:val="none" w:sz="0" w:space="0" w:color="auto"/>
          </w:divBdr>
        </w:div>
        <w:div w:id="273638156">
          <w:marLeft w:val="640"/>
          <w:marRight w:val="0"/>
          <w:marTop w:val="0"/>
          <w:marBottom w:val="0"/>
          <w:divBdr>
            <w:top w:val="none" w:sz="0" w:space="0" w:color="auto"/>
            <w:left w:val="none" w:sz="0" w:space="0" w:color="auto"/>
            <w:bottom w:val="none" w:sz="0" w:space="0" w:color="auto"/>
            <w:right w:val="none" w:sz="0" w:space="0" w:color="auto"/>
          </w:divBdr>
        </w:div>
        <w:div w:id="1634406313">
          <w:marLeft w:val="640"/>
          <w:marRight w:val="0"/>
          <w:marTop w:val="0"/>
          <w:marBottom w:val="0"/>
          <w:divBdr>
            <w:top w:val="none" w:sz="0" w:space="0" w:color="auto"/>
            <w:left w:val="none" w:sz="0" w:space="0" w:color="auto"/>
            <w:bottom w:val="none" w:sz="0" w:space="0" w:color="auto"/>
            <w:right w:val="none" w:sz="0" w:space="0" w:color="auto"/>
          </w:divBdr>
        </w:div>
        <w:div w:id="1469860937">
          <w:marLeft w:val="640"/>
          <w:marRight w:val="0"/>
          <w:marTop w:val="0"/>
          <w:marBottom w:val="0"/>
          <w:divBdr>
            <w:top w:val="none" w:sz="0" w:space="0" w:color="auto"/>
            <w:left w:val="none" w:sz="0" w:space="0" w:color="auto"/>
            <w:bottom w:val="none" w:sz="0" w:space="0" w:color="auto"/>
            <w:right w:val="none" w:sz="0" w:space="0" w:color="auto"/>
          </w:divBdr>
        </w:div>
        <w:div w:id="830680526">
          <w:marLeft w:val="640"/>
          <w:marRight w:val="0"/>
          <w:marTop w:val="0"/>
          <w:marBottom w:val="0"/>
          <w:divBdr>
            <w:top w:val="none" w:sz="0" w:space="0" w:color="auto"/>
            <w:left w:val="none" w:sz="0" w:space="0" w:color="auto"/>
            <w:bottom w:val="none" w:sz="0" w:space="0" w:color="auto"/>
            <w:right w:val="none" w:sz="0" w:space="0" w:color="auto"/>
          </w:divBdr>
        </w:div>
        <w:div w:id="1440569164">
          <w:marLeft w:val="640"/>
          <w:marRight w:val="0"/>
          <w:marTop w:val="0"/>
          <w:marBottom w:val="0"/>
          <w:divBdr>
            <w:top w:val="none" w:sz="0" w:space="0" w:color="auto"/>
            <w:left w:val="none" w:sz="0" w:space="0" w:color="auto"/>
            <w:bottom w:val="none" w:sz="0" w:space="0" w:color="auto"/>
            <w:right w:val="none" w:sz="0" w:space="0" w:color="auto"/>
          </w:divBdr>
        </w:div>
        <w:div w:id="534581869">
          <w:marLeft w:val="640"/>
          <w:marRight w:val="0"/>
          <w:marTop w:val="0"/>
          <w:marBottom w:val="0"/>
          <w:divBdr>
            <w:top w:val="none" w:sz="0" w:space="0" w:color="auto"/>
            <w:left w:val="none" w:sz="0" w:space="0" w:color="auto"/>
            <w:bottom w:val="none" w:sz="0" w:space="0" w:color="auto"/>
            <w:right w:val="none" w:sz="0" w:space="0" w:color="auto"/>
          </w:divBdr>
        </w:div>
        <w:div w:id="2050252407">
          <w:marLeft w:val="640"/>
          <w:marRight w:val="0"/>
          <w:marTop w:val="0"/>
          <w:marBottom w:val="0"/>
          <w:divBdr>
            <w:top w:val="none" w:sz="0" w:space="0" w:color="auto"/>
            <w:left w:val="none" w:sz="0" w:space="0" w:color="auto"/>
            <w:bottom w:val="none" w:sz="0" w:space="0" w:color="auto"/>
            <w:right w:val="none" w:sz="0" w:space="0" w:color="auto"/>
          </w:divBdr>
        </w:div>
        <w:div w:id="787630399">
          <w:marLeft w:val="640"/>
          <w:marRight w:val="0"/>
          <w:marTop w:val="0"/>
          <w:marBottom w:val="0"/>
          <w:divBdr>
            <w:top w:val="none" w:sz="0" w:space="0" w:color="auto"/>
            <w:left w:val="none" w:sz="0" w:space="0" w:color="auto"/>
            <w:bottom w:val="none" w:sz="0" w:space="0" w:color="auto"/>
            <w:right w:val="none" w:sz="0" w:space="0" w:color="auto"/>
          </w:divBdr>
        </w:div>
        <w:div w:id="172377758">
          <w:marLeft w:val="640"/>
          <w:marRight w:val="0"/>
          <w:marTop w:val="0"/>
          <w:marBottom w:val="0"/>
          <w:divBdr>
            <w:top w:val="none" w:sz="0" w:space="0" w:color="auto"/>
            <w:left w:val="none" w:sz="0" w:space="0" w:color="auto"/>
            <w:bottom w:val="none" w:sz="0" w:space="0" w:color="auto"/>
            <w:right w:val="none" w:sz="0" w:space="0" w:color="auto"/>
          </w:divBdr>
        </w:div>
        <w:div w:id="826481360">
          <w:marLeft w:val="640"/>
          <w:marRight w:val="0"/>
          <w:marTop w:val="0"/>
          <w:marBottom w:val="0"/>
          <w:divBdr>
            <w:top w:val="none" w:sz="0" w:space="0" w:color="auto"/>
            <w:left w:val="none" w:sz="0" w:space="0" w:color="auto"/>
            <w:bottom w:val="none" w:sz="0" w:space="0" w:color="auto"/>
            <w:right w:val="none" w:sz="0" w:space="0" w:color="auto"/>
          </w:divBdr>
        </w:div>
        <w:div w:id="895776365">
          <w:marLeft w:val="640"/>
          <w:marRight w:val="0"/>
          <w:marTop w:val="0"/>
          <w:marBottom w:val="0"/>
          <w:divBdr>
            <w:top w:val="none" w:sz="0" w:space="0" w:color="auto"/>
            <w:left w:val="none" w:sz="0" w:space="0" w:color="auto"/>
            <w:bottom w:val="none" w:sz="0" w:space="0" w:color="auto"/>
            <w:right w:val="none" w:sz="0" w:space="0" w:color="auto"/>
          </w:divBdr>
        </w:div>
        <w:div w:id="1291933053">
          <w:marLeft w:val="640"/>
          <w:marRight w:val="0"/>
          <w:marTop w:val="0"/>
          <w:marBottom w:val="0"/>
          <w:divBdr>
            <w:top w:val="none" w:sz="0" w:space="0" w:color="auto"/>
            <w:left w:val="none" w:sz="0" w:space="0" w:color="auto"/>
            <w:bottom w:val="none" w:sz="0" w:space="0" w:color="auto"/>
            <w:right w:val="none" w:sz="0" w:space="0" w:color="auto"/>
          </w:divBdr>
        </w:div>
        <w:div w:id="1277367501">
          <w:marLeft w:val="640"/>
          <w:marRight w:val="0"/>
          <w:marTop w:val="0"/>
          <w:marBottom w:val="0"/>
          <w:divBdr>
            <w:top w:val="none" w:sz="0" w:space="0" w:color="auto"/>
            <w:left w:val="none" w:sz="0" w:space="0" w:color="auto"/>
            <w:bottom w:val="none" w:sz="0" w:space="0" w:color="auto"/>
            <w:right w:val="none" w:sz="0" w:space="0" w:color="auto"/>
          </w:divBdr>
        </w:div>
        <w:div w:id="490104031">
          <w:marLeft w:val="640"/>
          <w:marRight w:val="0"/>
          <w:marTop w:val="0"/>
          <w:marBottom w:val="0"/>
          <w:divBdr>
            <w:top w:val="none" w:sz="0" w:space="0" w:color="auto"/>
            <w:left w:val="none" w:sz="0" w:space="0" w:color="auto"/>
            <w:bottom w:val="none" w:sz="0" w:space="0" w:color="auto"/>
            <w:right w:val="none" w:sz="0" w:space="0" w:color="auto"/>
          </w:divBdr>
        </w:div>
        <w:div w:id="1565602886">
          <w:marLeft w:val="640"/>
          <w:marRight w:val="0"/>
          <w:marTop w:val="0"/>
          <w:marBottom w:val="0"/>
          <w:divBdr>
            <w:top w:val="none" w:sz="0" w:space="0" w:color="auto"/>
            <w:left w:val="none" w:sz="0" w:space="0" w:color="auto"/>
            <w:bottom w:val="none" w:sz="0" w:space="0" w:color="auto"/>
            <w:right w:val="none" w:sz="0" w:space="0" w:color="auto"/>
          </w:divBdr>
        </w:div>
        <w:div w:id="2067989133">
          <w:marLeft w:val="640"/>
          <w:marRight w:val="0"/>
          <w:marTop w:val="0"/>
          <w:marBottom w:val="0"/>
          <w:divBdr>
            <w:top w:val="none" w:sz="0" w:space="0" w:color="auto"/>
            <w:left w:val="none" w:sz="0" w:space="0" w:color="auto"/>
            <w:bottom w:val="none" w:sz="0" w:space="0" w:color="auto"/>
            <w:right w:val="none" w:sz="0" w:space="0" w:color="auto"/>
          </w:divBdr>
        </w:div>
        <w:div w:id="1933782052">
          <w:marLeft w:val="640"/>
          <w:marRight w:val="0"/>
          <w:marTop w:val="0"/>
          <w:marBottom w:val="0"/>
          <w:divBdr>
            <w:top w:val="none" w:sz="0" w:space="0" w:color="auto"/>
            <w:left w:val="none" w:sz="0" w:space="0" w:color="auto"/>
            <w:bottom w:val="none" w:sz="0" w:space="0" w:color="auto"/>
            <w:right w:val="none" w:sz="0" w:space="0" w:color="auto"/>
          </w:divBdr>
        </w:div>
        <w:div w:id="2074159150">
          <w:marLeft w:val="640"/>
          <w:marRight w:val="0"/>
          <w:marTop w:val="0"/>
          <w:marBottom w:val="0"/>
          <w:divBdr>
            <w:top w:val="none" w:sz="0" w:space="0" w:color="auto"/>
            <w:left w:val="none" w:sz="0" w:space="0" w:color="auto"/>
            <w:bottom w:val="none" w:sz="0" w:space="0" w:color="auto"/>
            <w:right w:val="none" w:sz="0" w:space="0" w:color="auto"/>
          </w:divBdr>
        </w:div>
        <w:div w:id="1966813556">
          <w:marLeft w:val="640"/>
          <w:marRight w:val="0"/>
          <w:marTop w:val="0"/>
          <w:marBottom w:val="0"/>
          <w:divBdr>
            <w:top w:val="none" w:sz="0" w:space="0" w:color="auto"/>
            <w:left w:val="none" w:sz="0" w:space="0" w:color="auto"/>
            <w:bottom w:val="none" w:sz="0" w:space="0" w:color="auto"/>
            <w:right w:val="none" w:sz="0" w:space="0" w:color="auto"/>
          </w:divBdr>
        </w:div>
        <w:div w:id="888608283">
          <w:marLeft w:val="640"/>
          <w:marRight w:val="0"/>
          <w:marTop w:val="0"/>
          <w:marBottom w:val="0"/>
          <w:divBdr>
            <w:top w:val="none" w:sz="0" w:space="0" w:color="auto"/>
            <w:left w:val="none" w:sz="0" w:space="0" w:color="auto"/>
            <w:bottom w:val="none" w:sz="0" w:space="0" w:color="auto"/>
            <w:right w:val="none" w:sz="0" w:space="0" w:color="auto"/>
          </w:divBdr>
        </w:div>
        <w:div w:id="490952665">
          <w:marLeft w:val="640"/>
          <w:marRight w:val="0"/>
          <w:marTop w:val="0"/>
          <w:marBottom w:val="0"/>
          <w:divBdr>
            <w:top w:val="none" w:sz="0" w:space="0" w:color="auto"/>
            <w:left w:val="none" w:sz="0" w:space="0" w:color="auto"/>
            <w:bottom w:val="none" w:sz="0" w:space="0" w:color="auto"/>
            <w:right w:val="none" w:sz="0" w:space="0" w:color="auto"/>
          </w:divBdr>
        </w:div>
        <w:div w:id="1347289886">
          <w:marLeft w:val="640"/>
          <w:marRight w:val="0"/>
          <w:marTop w:val="0"/>
          <w:marBottom w:val="0"/>
          <w:divBdr>
            <w:top w:val="none" w:sz="0" w:space="0" w:color="auto"/>
            <w:left w:val="none" w:sz="0" w:space="0" w:color="auto"/>
            <w:bottom w:val="none" w:sz="0" w:space="0" w:color="auto"/>
            <w:right w:val="none" w:sz="0" w:space="0" w:color="auto"/>
          </w:divBdr>
        </w:div>
        <w:div w:id="799998551">
          <w:marLeft w:val="640"/>
          <w:marRight w:val="0"/>
          <w:marTop w:val="0"/>
          <w:marBottom w:val="0"/>
          <w:divBdr>
            <w:top w:val="none" w:sz="0" w:space="0" w:color="auto"/>
            <w:left w:val="none" w:sz="0" w:space="0" w:color="auto"/>
            <w:bottom w:val="none" w:sz="0" w:space="0" w:color="auto"/>
            <w:right w:val="none" w:sz="0" w:space="0" w:color="auto"/>
          </w:divBdr>
        </w:div>
        <w:div w:id="1512993500">
          <w:marLeft w:val="640"/>
          <w:marRight w:val="0"/>
          <w:marTop w:val="0"/>
          <w:marBottom w:val="0"/>
          <w:divBdr>
            <w:top w:val="none" w:sz="0" w:space="0" w:color="auto"/>
            <w:left w:val="none" w:sz="0" w:space="0" w:color="auto"/>
            <w:bottom w:val="none" w:sz="0" w:space="0" w:color="auto"/>
            <w:right w:val="none" w:sz="0" w:space="0" w:color="auto"/>
          </w:divBdr>
        </w:div>
        <w:div w:id="142083897">
          <w:marLeft w:val="640"/>
          <w:marRight w:val="0"/>
          <w:marTop w:val="0"/>
          <w:marBottom w:val="0"/>
          <w:divBdr>
            <w:top w:val="none" w:sz="0" w:space="0" w:color="auto"/>
            <w:left w:val="none" w:sz="0" w:space="0" w:color="auto"/>
            <w:bottom w:val="none" w:sz="0" w:space="0" w:color="auto"/>
            <w:right w:val="none" w:sz="0" w:space="0" w:color="auto"/>
          </w:divBdr>
        </w:div>
        <w:div w:id="575433468">
          <w:marLeft w:val="640"/>
          <w:marRight w:val="0"/>
          <w:marTop w:val="0"/>
          <w:marBottom w:val="0"/>
          <w:divBdr>
            <w:top w:val="none" w:sz="0" w:space="0" w:color="auto"/>
            <w:left w:val="none" w:sz="0" w:space="0" w:color="auto"/>
            <w:bottom w:val="none" w:sz="0" w:space="0" w:color="auto"/>
            <w:right w:val="none" w:sz="0" w:space="0" w:color="auto"/>
          </w:divBdr>
        </w:div>
        <w:div w:id="1973320264">
          <w:marLeft w:val="640"/>
          <w:marRight w:val="0"/>
          <w:marTop w:val="0"/>
          <w:marBottom w:val="0"/>
          <w:divBdr>
            <w:top w:val="none" w:sz="0" w:space="0" w:color="auto"/>
            <w:left w:val="none" w:sz="0" w:space="0" w:color="auto"/>
            <w:bottom w:val="none" w:sz="0" w:space="0" w:color="auto"/>
            <w:right w:val="none" w:sz="0" w:space="0" w:color="auto"/>
          </w:divBdr>
        </w:div>
        <w:div w:id="1383165884">
          <w:marLeft w:val="640"/>
          <w:marRight w:val="0"/>
          <w:marTop w:val="0"/>
          <w:marBottom w:val="0"/>
          <w:divBdr>
            <w:top w:val="none" w:sz="0" w:space="0" w:color="auto"/>
            <w:left w:val="none" w:sz="0" w:space="0" w:color="auto"/>
            <w:bottom w:val="none" w:sz="0" w:space="0" w:color="auto"/>
            <w:right w:val="none" w:sz="0" w:space="0" w:color="auto"/>
          </w:divBdr>
        </w:div>
        <w:div w:id="590429685">
          <w:marLeft w:val="640"/>
          <w:marRight w:val="0"/>
          <w:marTop w:val="0"/>
          <w:marBottom w:val="0"/>
          <w:divBdr>
            <w:top w:val="none" w:sz="0" w:space="0" w:color="auto"/>
            <w:left w:val="none" w:sz="0" w:space="0" w:color="auto"/>
            <w:bottom w:val="none" w:sz="0" w:space="0" w:color="auto"/>
            <w:right w:val="none" w:sz="0" w:space="0" w:color="auto"/>
          </w:divBdr>
        </w:div>
        <w:div w:id="1858881595">
          <w:marLeft w:val="640"/>
          <w:marRight w:val="0"/>
          <w:marTop w:val="0"/>
          <w:marBottom w:val="0"/>
          <w:divBdr>
            <w:top w:val="none" w:sz="0" w:space="0" w:color="auto"/>
            <w:left w:val="none" w:sz="0" w:space="0" w:color="auto"/>
            <w:bottom w:val="none" w:sz="0" w:space="0" w:color="auto"/>
            <w:right w:val="none" w:sz="0" w:space="0" w:color="auto"/>
          </w:divBdr>
        </w:div>
        <w:div w:id="600916137">
          <w:marLeft w:val="640"/>
          <w:marRight w:val="0"/>
          <w:marTop w:val="0"/>
          <w:marBottom w:val="0"/>
          <w:divBdr>
            <w:top w:val="none" w:sz="0" w:space="0" w:color="auto"/>
            <w:left w:val="none" w:sz="0" w:space="0" w:color="auto"/>
            <w:bottom w:val="none" w:sz="0" w:space="0" w:color="auto"/>
            <w:right w:val="none" w:sz="0" w:space="0" w:color="auto"/>
          </w:divBdr>
        </w:div>
        <w:div w:id="566571944">
          <w:marLeft w:val="640"/>
          <w:marRight w:val="0"/>
          <w:marTop w:val="0"/>
          <w:marBottom w:val="0"/>
          <w:divBdr>
            <w:top w:val="none" w:sz="0" w:space="0" w:color="auto"/>
            <w:left w:val="none" w:sz="0" w:space="0" w:color="auto"/>
            <w:bottom w:val="none" w:sz="0" w:space="0" w:color="auto"/>
            <w:right w:val="none" w:sz="0" w:space="0" w:color="auto"/>
          </w:divBdr>
        </w:div>
        <w:div w:id="1311397806">
          <w:marLeft w:val="640"/>
          <w:marRight w:val="0"/>
          <w:marTop w:val="0"/>
          <w:marBottom w:val="0"/>
          <w:divBdr>
            <w:top w:val="none" w:sz="0" w:space="0" w:color="auto"/>
            <w:left w:val="none" w:sz="0" w:space="0" w:color="auto"/>
            <w:bottom w:val="none" w:sz="0" w:space="0" w:color="auto"/>
            <w:right w:val="none" w:sz="0" w:space="0" w:color="auto"/>
          </w:divBdr>
        </w:div>
        <w:div w:id="1383748775">
          <w:marLeft w:val="640"/>
          <w:marRight w:val="0"/>
          <w:marTop w:val="0"/>
          <w:marBottom w:val="0"/>
          <w:divBdr>
            <w:top w:val="none" w:sz="0" w:space="0" w:color="auto"/>
            <w:left w:val="none" w:sz="0" w:space="0" w:color="auto"/>
            <w:bottom w:val="none" w:sz="0" w:space="0" w:color="auto"/>
            <w:right w:val="none" w:sz="0" w:space="0" w:color="auto"/>
          </w:divBdr>
        </w:div>
        <w:div w:id="776027755">
          <w:marLeft w:val="640"/>
          <w:marRight w:val="0"/>
          <w:marTop w:val="0"/>
          <w:marBottom w:val="0"/>
          <w:divBdr>
            <w:top w:val="none" w:sz="0" w:space="0" w:color="auto"/>
            <w:left w:val="none" w:sz="0" w:space="0" w:color="auto"/>
            <w:bottom w:val="none" w:sz="0" w:space="0" w:color="auto"/>
            <w:right w:val="none" w:sz="0" w:space="0" w:color="auto"/>
          </w:divBdr>
        </w:div>
        <w:div w:id="648364880">
          <w:marLeft w:val="640"/>
          <w:marRight w:val="0"/>
          <w:marTop w:val="0"/>
          <w:marBottom w:val="0"/>
          <w:divBdr>
            <w:top w:val="none" w:sz="0" w:space="0" w:color="auto"/>
            <w:left w:val="none" w:sz="0" w:space="0" w:color="auto"/>
            <w:bottom w:val="none" w:sz="0" w:space="0" w:color="auto"/>
            <w:right w:val="none" w:sz="0" w:space="0" w:color="auto"/>
          </w:divBdr>
        </w:div>
        <w:div w:id="1715348375">
          <w:marLeft w:val="640"/>
          <w:marRight w:val="0"/>
          <w:marTop w:val="0"/>
          <w:marBottom w:val="0"/>
          <w:divBdr>
            <w:top w:val="none" w:sz="0" w:space="0" w:color="auto"/>
            <w:left w:val="none" w:sz="0" w:space="0" w:color="auto"/>
            <w:bottom w:val="none" w:sz="0" w:space="0" w:color="auto"/>
            <w:right w:val="none" w:sz="0" w:space="0" w:color="auto"/>
          </w:divBdr>
        </w:div>
        <w:div w:id="1566068341">
          <w:marLeft w:val="640"/>
          <w:marRight w:val="0"/>
          <w:marTop w:val="0"/>
          <w:marBottom w:val="0"/>
          <w:divBdr>
            <w:top w:val="none" w:sz="0" w:space="0" w:color="auto"/>
            <w:left w:val="none" w:sz="0" w:space="0" w:color="auto"/>
            <w:bottom w:val="none" w:sz="0" w:space="0" w:color="auto"/>
            <w:right w:val="none" w:sz="0" w:space="0" w:color="auto"/>
          </w:divBdr>
        </w:div>
        <w:div w:id="199363642">
          <w:marLeft w:val="640"/>
          <w:marRight w:val="0"/>
          <w:marTop w:val="0"/>
          <w:marBottom w:val="0"/>
          <w:divBdr>
            <w:top w:val="none" w:sz="0" w:space="0" w:color="auto"/>
            <w:left w:val="none" w:sz="0" w:space="0" w:color="auto"/>
            <w:bottom w:val="none" w:sz="0" w:space="0" w:color="auto"/>
            <w:right w:val="none" w:sz="0" w:space="0" w:color="auto"/>
          </w:divBdr>
        </w:div>
        <w:div w:id="730811439">
          <w:marLeft w:val="640"/>
          <w:marRight w:val="0"/>
          <w:marTop w:val="0"/>
          <w:marBottom w:val="0"/>
          <w:divBdr>
            <w:top w:val="none" w:sz="0" w:space="0" w:color="auto"/>
            <w:left w:val="none" w:sz="0" w:space="0" w:color="auto"/>
            <w:bottom w:val="none" w:sz="0" w:space="0" w:color="auto"/>
            <w:right w:val="none" w:sz="0" w:space="0" w:color="auto"/>
          </w:divBdr>
        </w:div>
        <w:div w:id="857810920">
          <w:marLeft w:val="640"/>
          <w:marRight w:val="0"/>
          <w:marTop w:val="0"/>
          <w:marBottom w:val="0"/>
          <w:divBdr>
            <w:top w:val="none" w:sz="0" w:space="0" w:color="auto"/>
            <w:left w:val="none" w:sz="0" w:space="0" w:color="auto"/>
            <w:bottom w:val="none" w:sz="0" w:space="0" w:color="auto"/>
            <w:right w:val="none" w:sz="0" w:space="0" w:color="auto"/>
          </w:divBdr>
        </w:div>
        <w:div w:id="215169706">
          <w:marLeft w:val="640"/>
          <w:marRight w:val="0"/>
          <w:marTop w:val="0"/>
          <w:marBottom w:val="0"/>
          <w:divBdr>
            <w:top w:val="none" w:sz="0" w:space="0" w:color="auto"/>
            <w:left w:val="none" w:sz="0" w:space="0" w:color="auto"/>
            <w:bottom w:val="none" w:sz="0" w:space="0" w:color="auto"/>
            <w:right w:val="none" w:sz="0" w:space="0" w:color="auto"/>
          </w:divBdr>
        </w:div>
        <w:div w:id="499849825">
          <w:marLeft w:val="640"/>
          <w:marRight w:val="0"/>
          <w:marTop w:val="0"/>
          <w:marBottom w:val="0"/>
          <w:divBdr>
            <w:top w:val="none" w:sz="0" w:space="0" w:color="auto"/>
            <w:left w:val="none" w:sz="0" w:space="0" w:color="auto"/>
            <w:bottom w:val="none" w:sz="0" w:space="0" w:color="auto"/>
            <w:right w:val="none" w:sz="0" w:space="0" w:color="auto"/>
          </w:divBdr>
        </w:div>
        <w:div w:id="41902902">
          <w:marLeft w:val="640"/>
          <w:marRight w:val="0"/>
          <w:marTop w:val="0"/>
          <w:marBottom w:val="0"/>
          <w:divBdr>
            <w:top w:val="none" w:sz="0" w:space="0" w:color="auto"/>
            <w:left w:val="none" w:sz="0" w:space="0" w:color="auto"/>
            <w:bottom w:val="none" w:sz="0" w:space="0" w:color="auto"/>
            <w:right w:val="none" w:sz="0" w:space="0" w:color="auto"/>
          </w:divBdr>
        </w:div>
        <w:div w:id="995114774">
          <w:marLeft w:val="640"/>
          <w:marRight w:val="0"/>
          <w:marTop w:val="0"/>
          <w:marBottom w:val="0"/>
          <w:divBdr>
            <w:top w:val="none" w:sz="0" w:space="0" w:color="auto"/>
            <w:left w:val="none" w:sz="0" w:space="0" w:color="auto"/>
            <w:bottom w:val="none" w:sz="0" w:space="0" w:color="auto"/>
            <w:right w:val="none" w:sz="0" w:space="0" w:color="auto"/>
          </w:divBdr>
        </w:div>
        <w:div w:id="1315333491">
          <w:marLeft w:val="640"/>
          <w:marRight w:val="0"/>
          <w:marTop w:val="0"/>
          <w:marBottom w:val="0"/>
          <w:divBdr>
            <w:top w:val="none" w:sz="0" w:space="0" w:color="auto"/>
            <w:left w:val="none" w:sz="0" w:space="0" w:color="auto"/>
            <w:bottom w:val="none" w:sz="0" w:space="0" w:color="auto"/>
            <w:right w:val="none" w:sz="0" w:space="0" w:color="auto"/>
          </w:divBdr>
        </w:div>
        <w:div w:id="326326406">
          <w:marLeft w:val="640"/>
          <w:marRight w:val="0"/>
          <w:marTop w:val="0"/>
          <w:marBottom w:val="0"/>
          <w:divBdr>
            <w:top w:val="none" w:sz="0" w:space="0" w:color="auto"/>
            <w:left w:val="none" w:sz="0" w:space="0" w:color="auto"/>
            <w:bottom w:val="none" w:sz="0" w:space="0" w:color="auto"/>
            <w:right w:val="none" w:sz="0" w:space="0" w:color="auto"/>
          </w:divBdr>
        </w:div>
        <w:div w:id="956571280">
          <w:marLeft w:val="640"/>
          <w:marRight w:val="0"/>
          <w:marTop w:val="0"/>
          <w:marBottom w:val="0"/>
          <w:divBdr>
            <w:top w:val="none" w:sz="0" w:space="0" w:color="auto"/>
            <w:left w:val="none" w:sz="0" w:space="0" w:color="auto"/>
            <w:bottom w:val="none" w:sz="0" w:space="0" w:color="auto"/>
            <w:right w:val="none" w:sz="0" w:space="0" w:color="auto"/>
          </w:divBdr>
        </w:div>
        <w:div w:id="2069183057">
          <w:marLeft w:val="640"/>
          <w:marRight w:val="0"/>
          <w:marTop w:val="0"/>
          <w:marBottom w:val="0"/>
          <w:divBdr>
            <w:top w:val="none" w:sz="0" w:space="0" w:color="auto"/>
            <w:left w:val="none" w:sz="0" w:space="0" w:color="auto"/>
            <w:bottom w:val="none" w:sz="0" w:space="0" w:color="auto"/>
            <w:right w:val="none" w:sz="0" w:space="0" w:color="auto"/>
          </w:divBdr>
        </w:div>
        <w:div w:id="1162699274">
          <w:marLeft w:val="640"/>
          <w:marRight w:val="0"/>
          <w:marTop w:val="0"/>
          <w:marBottom w:val="0"/>
          <w:divBdr>
            <w:top w:val="none" w:sz="0" w:space="0" w:color="auto"/>
            <w:left w:val="none" w:sz="0" w:space="0" w:color="auto"/>
            <w:bottom w:val="none" w:sz="0" w:space="0" w:color="auto"/>
            <w:right w:val="none" w:sz="0" w:space="0" w:color="auto"/>
          </w:divBdr>
        </w:div>
        <w:div w:id="1337616226">
          <w:marLeft w:val="640"/>
          <w:marRight w:val="0"/>
          <w:marTop w:val="0"/>
          <w:marBottom w:val="0"/>
          <w:divBdr>
            <w:top w:val="none" w:sz="0" w:space="0" w:color="auto"/>
            <w:left w:val="none" w:sz="0" w:space="0" w:color="auto"/>
            <w:bottom w:val="none" w:sz="0" w:space="0" w:color="auto"/>
            <w:right w:val="none" w:sz="0" w:space="0" w:color="auto"/>
          </w:divBdr>
        </w:div>
        <w:div w:id="1349604160">
          <w:marLeft w:val="640"/>
          <w:marRight w:val="0"/>
          <w:marTop w:val="0"/>
          <w:marBottom w:val="0"/>
          <w:divBdr>
            <w:top w:val="none" w:sz="0" w:space="0" w:color="auto"/>
            <w:left w:val="none" w:sz="0" w:space="0" w:color="auto"/>
            <w:bottom w:val="none" w:sz="0" w:space="0" w:color="auto"/>
            <w:right w:val="none" w:sz="0" w:space="0" w:color="auto"/>
          </w:divBdr>
        </w:div>
        <w:div w:id="1283148855">
          <w:marLeft w:val="640"/>
          <w:marRight w:val="0"/>
          <w:marTop w:val="0"/>
          <w:marBottom w:val="0"/>
          <w:divBdr>
            <w:top w:val="none" w:sz="0" w:space="0" w:color="auto"/>
            <w:left w:val="none" w:sz="0" w:space="0" w:color="auto"/>
            <w:bottom w:val="none" w:sz="0" w:space="0" w:color="auto"/>
            <w:right w:val="none" w:sz="0" w:space="0" w:color="auto"/>
          </w:divBdr>
        </w:div>
        <w:div w:id="1865745540">
          <w:marLeft w:val="640"/>
          <w:marRight w:val="0"/>
          <w:marTop w:val="0"/>
          <w:marBottom w:val="0"/>
          <w:divBdr>
            <w:top w:val="none" w:sz="0" w:space="0" w:color="auto"/>
            <w:left w:val="none" w:sz="0" w:space="0" w:color="auto"/>
            <w:bottom w:val="none" w:sz="0" w:space="0" w:color="auto"/>
            <w:right w:val="none" w:sz="0" w:space="0" w:color="auto"/>
          </w:divBdr>
        </w:div>
        <w:div w:id="1072049432">
          <w:marLeft w:val="640"/>
          <w:marRight w:val="0"/>
          <w:marTop w:val="0"/>
          <w:marBottom w:val="0"/>
          <w:divBdr>
            <w:top w:val="none" w:sz="0" w:space="0" w:color="auto"/>
            <w:left w:val="none" w:sz="0" w:space="0" w:color="auto"/>
            <w:bottom w:val="none" w:sz="0" w:space="0" w:color="auto"/>
            <w:right w:val="none" w:sz="0" w:space="0" w:color="auto"/>
          </w:divBdr>
        </w:div>
        <w:div w:id="136186112">
          <w:marLeft w:val="640"/>
          <w:marRight w:val="0"/>
          <w:marTop w:val="0"/>
          <w:marBottom w:val="0"/>
          <w:divBdr>
            <w:top w:val="none" w:sz="0" w:space="0" w:color="auto"/>
            <w:left w:val="none" w:sz="0" w:space="0" w:color="auto"/>
            <w:bottom w:val="none" w:sz="0" w:space="0" w:color="auto"/>
            <w:right w:val="none" w:sz="0" w:space="0" w:color="auto"/>
          </w:divBdr>
        </w:div>
        <w:div w:id="1100494432">
          <w:marLeft w:val="640"/>
          <w:marRight w:val="0"/>
          <w:marTop w:val="0"/>
          <w:marBottom w:val="0"/>
          <w:divBdr>
            <w:top w:val="none" w:sz="0" w:space="0" w:color="auto"/>
            <w:left w:val="none" w:sz="0" w:space="0" w:color="auto"/>
            <w:bottom w:val="none" w:sz="0" w:space="0" w:color="auto"/>
            <w:right w:val="none" w:sz="0" w:space="0" w:color="auto"/>
          </w:divBdr>
        </w:div>
        <w:div w:id="287712336">
          <w:marLeft w:val="640"/>
          <w:marRight w:val="0"/>
          <w:marTop w:val="0"/>
          <w:marBottom w:val="0"/>
          <w:divBdr>
            <w:top w:val="none" w:sz="0" w:space="0" w:color="auto"/>
            <w:left w:val="none" w:sz="0" w:space="0" w:color="auto"/>
            <w:bottom w:val="none" w:sz="0" w:space="0" w:color="auto"/>
            <w:right w:val="none" w:sz="0" w:space="0" w:color="auto"/>
          </w:divBdr>
        </w:div>
        <w:div w:id="401416842">
          <w:marLeft w:val="640"/>
          <w:marRight w:val="0"/>
          <w:marTop w:val="0"/>
          <w:marBottom w:val="0"/>
          <w:divBdr>
            <w:top w:val="none" w:sz="0" w:space="0" w:color="auto"/>
            <w:left w:val="none" w:sz="0" w:space="0" w:color="auto"/>
            <w:bottom w:val="none" w:sz="0" w:space="0" w:color="auto"/>
            <w:right w:val="none" w:sz="0" w:space="0" w:color="auto"/>
          </w:divBdr>
        </w:div>
        <w:div w:id="744374694">
          <w:marLeft w:val="640"/>
          <w:marRight w:val="0"/>
          <w:marTop w:val="0"/>
          <w:marBottom w:val="0"/>
          <w:divBdr>
            <w:top w:val="none" w:sz="0" w:space="0" w:color="auto"/>
            <w:left w:val="none" w:sz="0" w:space="0" w:color="auto"/>
            <w:bottom w:val="none" w:sz="0" w:space="0" w:color="auto"/>
            <w:right w:val="none" w:sz="0" w:space="0" w:color="auto"/>
          </w:divBdr>
        </w:div>
        <w:div w:id="490873391">
          <w:marLeft w:val="640"/>
          <w:marRight w:val="0"/>
          <w:marTop w:val="0"/>
          <w:marBottom w:val="0"/>
          <w:divBdr>
            <w:top w:val="none" w:sz="0" w:space="0" w:color="auto"/>
            <w:left w:val="none" w:sz="0" w:space="0" w:color="auto"/>
            <w:bottom w:val="none" w:sz="0" w:space="0" w:color="auto"/>
            <w:right w:val="none" w:sz="0" w:space="0" w:color="auto"/>
          </w:divBdr>
        </w:div>
        <w:div w:id="1706786433">
          <w:marLeft w:val="640"/>
          <w:marRight w:val="0"/>
          <w:marTop w:val="0"/>
          <w:marBottom w:val="0"/>
          <w:divBdr>
            <w:top w:val="none" w:sz="0" w:space="0" w:color="auto"/>
            <w:left w:val="none" w:sz="0" w:space="0" w:color="auto"/>
            <w:bottom w:val="none" w:sz="0" w:space="0" w:color="auto"/>
            <w:right w:val="none" w:sz="0" w:space="0" w:color="auto"/>
          </w:divBdr>
        </w:div>
        <w:div w:id="1490248088">
          <w:marLeft w:val="640"/>
          <w:marRight w:val="0"/>
          <w:marTop w:val="0"/>
          <w:marBottom w:val="0"/>
          <w:divBdr>
            <w:top w:val="none" w:sz="0" w:space="0" w:color="auto"/>
            <w:left w:val="none" w:sz="0" w:space="0" w:color="auto"/>
            <w:bottom w:val="none" w:sz="0" w:space="0" w:color="auto"/>
            <w:right w:val="none" w:sz="0" w:space="0" w:color="auto"/>
          </w:divBdr>
        </w:div>
        <w:div w:id="999768911">
          <w:marLeft w:val="640"/>
          <w:marRight w:val="0"/>
          <w:marTop w:val="0"/>
          <w:marBottom w:val="0"/>
          <w:divBdr>
            <w:top w:val="none" w:sz="0" w:space="0" w:color="auto"/>
            <w:left w:val="none" w:sz="0" w:space="0" w:color="auto"/>
            <w:bottom w:val="none" w:sz="0" w:space="0" w:color="auto"/>
            <w:right w:val="none" w:sz="0" w:space="0" w:color="auto"/>
          </w:divBdr>
        </w:div>
        <w:div w:id="1010715097">
          <w:marLeft w:val="640"/>
          <w:marRight w:val="0"/>
          <w:marTop w:val="0"/>
          <w:marBottom w:val="0"/>
          <w:divBdr>
            <w:top w:val="none" w:sz="0" w:space="0" w:color="auto"/>
            <w:left w:val="none" w:sz="0" w:space="0" w:color="auto"/>
            <w:bottom w:val="none" w:sz="0" w:space="0" w:color="auto"/>
            <w:right w:val="none" w:sz="0" w:space="0" w:color="auto"/>
          </w:divBdr>
        </w:div>
        <w:div w:id="961614954">
          <w:marLeft w:val="640"/>
          <w:marRight w:val="0"/>
          <w:marTop w:val="0"/>
          <w:marBottom w:val="0"/>
          <w:divBdr>
            <w:top w:val="none" w:sz="0" w:space="0" w:color="auto"/>
            <w:left w:val="none" w:sz="0" w:space="0" w:color="auto"/>
            <w:bottom w:val="none" w:sz="0" w:space="0" w:color="auto"/>
            <w:right w:val="none" w:sz="0" w:space="0" w:color="auto"/>
          </w:divBdr>
        </w:div>
        <w:div w:id="826018916">
          <w:marLeft w:val="640"/>
          <w:marRight w:val="0"/>
          <w:marTop w:val="0"/>
          <w:marBottom w:val="0"/>
          <w:divBdr>
            <w:top w:val="none" w:sz="0" w:space="0" w:color="auto"/>
            <w:left w:val="none" w:sz="0" w:space="0" w:color="auto"/>
            <w:bottom w:val="none" w:sz="0" w:space="0" w:color="auto"/>
            <w:right w:val="none" w:sz="0" w:space="0" w:color="auto"/>
          </w:divBdr>
        </w:div>
        <w:div w:id="1735011300">
          <w:marLeft w:val="640"/>
          <w:marRight w:val="0"/>
          <w:marTop w:val="0"/>
          <w:marBottom w:val="0"/>
          <w:divBdr>
            <w:top w:val="none" w:sz="0" w:space="0" w:color="auto"/>
            <w:left w:val="none" w:sz="0" w:space="0" w:color="auto"/>
            <w:bottom w:val="none" w:sz="0" w:space="0" w:color="auto"/>
            <w:right w:val="none" w:sz="0" w:space="0" w:color="auto"/>
          </w:divBdr>
        </w:div>
        <w:div w:id="1648782328">
          <w:marLeft w:val="640"/>
          <w:marRight w:val="0"/>
          <w:marTop w:val="0"/>
          <w:marBottom w:val="0"/>
          <w:divBdr>
            <w:top w:val="none" w:sz="0" w:space="0" w:color="auto"/>
            <w:left w:val="none" w:sz="0" w:space="0" w:color="auto"/>
            <w:bottom w:val="none" w:sz="0" w:space="0" w:color="auto"/>
            <w:right w:val="none" w:sz="0" w:space="0" w:color="auto"/>
          </w:divBdr>
        </w:div>
        <w:div w:id="1018459381">
          <w:marLeft w:val="640"/>
          <w:marRight w:val="0"/>
          <w:marTop w:val="0"/>
          <w:marBottom w:val="0"/>
          <w:divBdr>
            <w:top w:val="none" w:sz="0" w:space="0" w:color="auto"/>
            <w:left w:val="none" w:sz="0" w:space="0" w:color="auto"/>
            <w:bottom w:val="none" w:sz="0" w:space="0" w:color="auto"/>
            <w:right w:val="none" w:sz="0" w:space="0" w:color="auto"/>
          </w:divBdr>
        </w:div>
        <w:div w:id="143862565">
          <w:marLeft w:val="640"/>
          <w:marRight w:val="0"/>
          <w:marTop w:val="0"/>
          <w:marBottom w:val="0"/>
          <w:divBdr>
            <w:top w:val="none" w:sz="0" w:space="0" w:color="auto"/>
            <w:left w:val="none" w:sz="0" w:space="0" w:color="auto"/>
            <w:bottom w:val="none" w:sz="0" w:space="0" w:color="auto"/>
            <w:right w:val="none" w:sz="0" w:space="0" w:color="auto"/>
          </w:divBdr>
        </w:div>
        <w:div w:id="1052533480">
          <w:marLeft w:val="640"/>
          <w:marRight w:val="0"/>
          <w:marTop w:val="0"/>
          <w:marBottom w:val="0"/>
          <w:divBdr>
            <w:top w:val="none" w:sz="0" w:space="0" w:color="auto"/>
            <w:left w:val="none" w:sz="0" w:space="0" w:color="auto"/>
            <w:bottom w:val="none" w:sz="0" w:space="0" w:color="auto"/>
            <w:right w:val="none" w:sz="0" w:space="0" w:color="auto"/>
          </w:divBdr>
        </w:div>
        <w:div w:id="364215087">
          <w:marLeft w:val="640"/>
          <w:marRight w:val="0"/>
          <w:marTop w:val="0"/>
          <w:marBottom w:val="0"/>
          <w:divBdr>
            <w:top w:val="none" w:sz="0" w:space="0" w:color="auto"/>
            <w:left w:val="none" w:sz="0" w:space="0" w:color="auto"/>
            <w:bottom w:val="none" w:sz="0" w:space="0" w:color="auto"/>
            <w:right w:val="none" w:sz="0" w:space="0" w:color="auto"/>
          </w:divBdr>
        </w:div>
        <w:div w:id="1715227198">
          <w:marLeft w:val="640"/>
          <w:marRight w:val="0"/>
          <w:marTop w:val="0"/>
          <w:marBottom w:val="0"/>
          <w:divBdr>
            <w:top w:val="none" w:sz="0" w:space="0" w:color="auto"/>
            <w:left w:val="none" w:sz="0" w:space="0" w:color="auto"/>
            <w:bottom w:val="none" w:sz="0" w:space="0" w:color="auto"/>
            <w:right w:val="none" w:sz="0" w:space="0" w:color="auto"/>
          </w:divBdr>
        </w:div>
        <w:div w:id="1063410978">
          <w:marLeft w:val="640"/>
          <w:marRight w:val="0"/>
          <w:marTop w:val="0"/>
          <w:marBottom w:val="0"/>
          <w:divBdr>
            <w:top w:val="none" w:sz="0" w:space="0" w:color="auto"/>
            <w:left w:val="none" w:sz="0" w:space="0" w:color="auto"/>
            <w:bottom w:val="none" w:sz="0" w:space="0" w:color="auto"/>
            <w:right w:val="none" w:sz="0" w:space="0" w:color="auto"/>
          </w:divBdr>
        </w:div>
        <w:div w:id="2095973866">
          <w:marLeft w:val="640"/>
          <w:marRight w:val="0"/>
          <w:marTop w:val="0"/>
          <w:marBottom w:val="0"/>
          <w:divBdr>
            <w:top w:val="none" w:sz="0" w:space="0" w:color="auto"/>
            <w:left w:val="none" w:sz="0" w:space="0" w:color="auto"/>
            <w:bottom w:val="none" w:sz="0" w:space="0" w:color="auto"/>
            <w:right w:val="none" w:sz="0" w:space="0" w:color="auto"/>
          </w:divBdr>
        </w:div>
        <w:div w:id="1532375024">
          <w:marLeft w:val="640"/>
          <w:marRight w:val="0"/>
          <w:marTop w:val="0"/>
          <w:marBottom w:val="0"/>
          <w:divBdr>
            <w:top w:val="none" w:sz="0" w:space="0" w:color="auto"/>
            <w:left w:val="none" w:sz="0" w:space="0" w:color="auto"/>
            <w:bottom w:val="none" w:sz="0" w:space="0" w:color="auto"/>
            <w:right w:val="none" w:sz="0" w:space="0" w:color="auto"/>
          </w:divBdr>
        </w:div>
        <w:div w:id="670911789">
          <w:marLeft w:val="640"/>
          <w:marRight w:val="0"/>
          <w:marTop w:val="0"/>
          <w:marBottom w:val="0"/>
          <w:divBdr>
            <w:top w:val="none" w:sz="0" w:space="0" w:color="auto"/>
            <w:left w:val="none" w:sz="0" w:space="0" w:color="auto"/>
            <w:bottom w:val="none" w:sz="0" w:space="0" w:color="auto"/>
            <w:right w:val="none" w:sz="0" w:space="0" w:color="auto"/>
          </w:divBdr>
        </w:div>
        <w:div w:id="1670519119">
          <w:marLeft w:val="640"/>
          <w:marRight w:val="0"/>
          <w:marTop w:val="0"/>
          <w:marBottom w:val="0"/>
          <w:divBdr>
            <w:top w:val="none" w:sz="0" w:space="0" w:color="auto"/>
            <w:left w:val="none" w:sz="0" w:space="0" w:color="auto"/>
            <w:bottom w:val="none" w:sz="0" w:space="0" w:color="auto"/>
            <w:right w:val="none" w:sz="0" w:space="0" w:color="auto"/>
          </w:divBdr>
        </w:div>
        <w:div w:id="1886135460">
          <w:marLeft w:val="640"/>
          <w:marRight w:val="0"/>
          <w:marTop w:val="0"/>
          <w:marBottom w:val="0"/>
          <w:divBdr>
            <w:top w:val="none" w:sz="0" w:space="0" w:color="auto"/>
            <w:left w:val="none" w:sz="0" w:space="0" w:color="auto"/>
            <w:bottom w:val="none" w:sz="0" w:space="0" w:color="auto"/>
            <w:right w:val="none" w:sz="0" w:space="0" w:color="auto"/>
          </w:divBdr>
        </w:div>
        <w:div w:id="1276474244">
          <w:marLeft w:val="640"/>
          <w:marRight w:val="0"/>
          <w:marTop w:val="0"/>
          <w:marBottom w:val="0"/>
          <w:divBdr>
            <w:top w:val="none" w:sz="0" w:space="0" w:color="auto"/>
            <w:left w:val="none" w:sz="0" w:space="0" w:color="auto"/>
            <w:bottom w:val="none" w:sz="0" w:space="0" w:color="auto"/>
            <w:right w:val="none" w:sz="0" w:space="0" w:color="auto"/>
          </w:divBdr>
        </w:div>
        <w:div w:id="818426932">
          <w:marLeft w:val="640"/>
          <w:marRight w:val="0"/>
          <w:marTop w:val="0"/>
          <w:marBottom w:val="0"/>
          <w:divBdr>
            <w:top w:val="none" w:sz="0" w:space="0" w:color="auto"/>
            <w:left w:val="none" w:sz="0" w:space="0" w:color="auto"/>
            <w:bottom w:val="none" w:sz="0" w:space="0" w:color="auto"/>
            <w:right w:val="none" w:sz="0" w:space="0" w:color="auto"/>
          </w:divBdr>
        </w:div>
        <w:div w:id="1291591867">
          <w:marLeft w:val="640"/>
          <w:marRight w:val="0"/>
          <w:marTop w:val="0"/>
          <w:marBottom w:val="0"/>
          <w:divBdr>
            <w:top w:val="none" w:sz="0" w:space="0" w:color="auto"/>
            <w:left w:val="none" w:sz="0" w:space="0" w:color="auto"/>
            <w:bottom w:val="none" w:sz="0" w:space="0" w:color="auto"/>
            <w:right w:val="none" w:sz="0" w:space="0" w:color="auto"/>
          </w:divBdr>
        </w:div>
        <w:div w:id="911305942">
          <w:marLeft w:val="640"/>
          <w:marRight w:val="0"/>
          <w:marTop w:val="0"/>
          <w:marBottom w:val="0"/>
          <w:divBdr>
            <w:top w:val="none" w:sz="0" w:space="0" w:color="auto"/>
            <w:left w:val="none" w:sz="0" w:space="0" w:color="auto"/>
            <w:bottom w:val="none" w:sz="0" w:space="0" w:color="auto"/>
            <w:right w:val="none" w:sz="0" w:space="0" w:color="auto"/>
          </w:divBdr>
        </w:div>
        <w:div w:id="57940909">
          <w:marLeft w:val="640"/>
          <w:marRight w:val="0"/>
          <w:marTop w:val="0"/>
          <w:marBottom w:val="0"/>
          <w:divBdr>
            <w:top w:val="none" w:sz="0" w:space="0" w:color="auto"/>
            <w:left w:val="none" w:sz="0" w:space="0" w:color="auto"/>
            <w:bottom w:val="none" w:sz="0" w:space="0" w:color="auto"/>
            <w:right w:val="none" w:sz="0" w:space="0" w:color="auto"/>
          </w:divBdr>
        </w:div>
        <w:div w:id="964387426">
          <w:marLeft w:val="640"/>
          <w:marRight w:val="0"/>
          <w:marTop w:val="0"/>
          <w:marBottom w:val="0"/>
          <w:divBdr>
            <w:top w:val="none" w:sz="0" w:space="0" w:color="auto"/>
            <w:left w:val="none" w:sz="0" w:space="0" w:color="auto"/>
            <w:bottom w:val="none" w:sz="0" w:space="0" w:color="auto"/>
            <w:right w:val="none" w:sz="0" w:space="0" w:color="auto"/>
          </w:divBdr>
        </w:div>
        <w:div w:id="1755979751">
          <w:marLeft w:val="640"/>
          <w:marRight w:val="0"/>
          <w:marTop w:val="0"/>
          <w:marBottom w:val="0"/>
          <w:divBdr>
            <w:top w:val="none" w:sz="0" w:space="0" w:color="auto"/>
            <w:left w:val="none" w:sz="0" w:space="0" w:color="auto"/>
            <w:bottom w:val="none" w:sz="0" w:space="0" w:color="auto"/>
            <w:right w:val="none" w:sz="0" w:space="0" w:color="auto"/>
          </w:divBdr>
        </w:div>
        <w:div w:id="1675690847">
          <w:marLeft w:val="640"/>
          <w:marRight w:val="0"/>
          <w:marTop w:val="0"/>
          <w:marBottom w:val="0"/>
          <w:divBdr>
            <w:top w:val="none" w:sz="0" w:space="0" w:color="auto"/>
            <w:left w:val="none" w:sz="0" w:space="0" w:color="auto"/>
            <w:bottom w:val="none" w:sz="0" w:space="0" w:color="auto"/>
            <w:right w:val="none" w:sz="0" w:space="0" w:color="auto"/>
          </w:divBdr>
        </w:div>
        <w:div w:id="1443260485">
          <w:marLeft w:val="640"/>
          <w:marRight w:val="0"/>
          <w:marTop w:val="0"/>
          <w:marBottom w:val="0"/>
          <w:divBdr>
            <w:top w:val="none" w:sz="0" w:space="0" w:color="auto"/>
            <w:left w:val="none" w:sz="0" w:space="0" w:color="auto"/>
            <w:bottom w:val="none" w:sz="0" w:space="0" w:color="auto"/>
            <w:right w:val="none" w:sz="0" w:space="0" w:color="auto"/>
          </w:divBdr>
        </w:div>
        <w:div w:id="1196457584">
          <w:marLeft w:val="640"/>
          <w:marRight w:val="0"/>
          <w:marTop w:val="0"/>
          <w:marBottom w:val="0"/>
          <w:divBdr>
            <w:top w:val="none" w:sz="0" w:space="0" w:color="auto"/>
            <w:left w:val="none" w:sz="0" w:space="0" w:color="auto"/>
            <w:bottom w:val="none" w:sz="0" w:space="0" w:color="auto"/>
            <w:right w:val="none" w:sz="0" w:space="0" w:color="auto"/>
          </w:divBdr>
        </w:div>
        <w:div w:id="1083990515">
          <w:marLeft w:val="640"/>
          <w:marRight w:val="0"/>
          <w:marTop w:val="0"/>
          <w:marBottom w:val="0"/>
          <w:divBdr>
            <w:top w:val="none" w:sz="0" w:space="0" w:color="auto"/>
            <w:left w:val="none" w:sz="0" w:space="0" w:color="auto"/>
            <w:bottom w:val="none" w:sz="0" w:space="0" w:color="auto"/>
            <w:right w:val="none" w:sz="0" w:space="0" w:color="auto"/>
          </w:divBdr>
        </w:div>
        <w:div w:id="1476608380">
          <w:marLeft w:val="640"/>
          <w:marRight w:val="0"/>
          <w:marTop w:val="0"/>
          <w:marBottom w:val="0"/>
          <w:divBdr>
            <w:top w:val="none" w:sz="0" w:space="0" w:color="auto"/>
            <w:left w:val="none" w:sz="0" w:space="0" w:color="auto"/>
            <w:bottom w:val="none" w:sz="0" w:space="0" w:color="auto"/>
            <w:right w:val="none" w:sz="0" w:space="0" w:color="auto"/>
          </w:divBdr>
        </w:div>
        <w:div w:id="1337153468">
          <w:marLeft w:val="640"/>
          <w:marRight w:val="0"/>
          <w:marTop w:val="0"/>
          <w:marBottom w:val="0"/>
          <w:divBdr>
            <w:top w:val="none" w:sz="0" w:space="0" w:color="auto"/>
            <w:left w:val="none" w:sz="0" w:space="0" w:color="auto"/>
            <w:bottom w:val="none" w:sz="0" w:space="0" w:color="auto"/>
            <w:right w:val="none" w:sz="0" w:space="0" w:color="auto"/>
          </w:divBdr>
        </w:div>
        <w:div w:id="1981959841">
          <w:marLeft w:val="640"/>
          <w:marRight w:val="0"/>
          <w:marTop w:val="0"/>
          <w:marBottom w:val="0"/>
          <w:divBdr>
            <w:top w:val="none" w:sz="0" w:space="0" w:color="auto"/>
            <w:left w:val="none" w:sz="0" w:space="0" w:color="auto"/>
            <w:bottom w:val="none" w:sz="0" w:space="0" w:color="auto"/>
            <w:right w:val="none" w:sz="0" w:space="0" w:color="auto"/>
          </w:divBdr>
        </w:div>
        <w:div w:id="498230889">
          <w:marLeft w:val="640"/>
          <w:marRight w:val="0"/>
          <w:marTop w:val="0"/>
          <w:marBottom w:val="0"/>
          <w:divBdr>
            <w:top w:val="none" w:sz="0" w:space="0" w:color="auto"/>
            <w:left w:val="none" w:sz="0" w:space="0" w:color="auto"/>
            <w:bottom w:val="none" w:sz="0" w:space="0" w:color="auto"/>
            <w:right w:val="none" w:sz="0" w:space="0" w:color="auto"/>
          </w:divBdr>
        </w:div>
        <w:div w:id="2076970434">
          <w:marLeft w:val="640"/>
          <w:marRight w:val="0"/>
          <w:marTop w:val="0"/>
          <w:marBottom w:val="0"/>
          <w:divBdr>
            <w:top w:val="none" w:sz="0" w:space="0" w:color="auto"/>
            <w:left w:val="none" w:sz="0" w:space="0" w:color="auto"/>
            <w:bottom w:val="none" w:sz="0" w:space="0" w:color="auto"/>
            <w:right w:val="none" w:sz="0" w:space="0" w:color="auto"/>
          </w:divBdr>
        </w:div>
        <w:div w:id="1573664299">
          <w:marLeft w:val="640"/>
          <w:marRight w:val="0"/>
          <w:marTop w:val="0"/>
          <w:marBottom w:val="0"/>
          <w:divBdr>
            <w:top w:val="none" w:sz="0" w:space="0" w:color="auto"/>
            <w:left w:val="none" w:sz="0" w:space="0" w:color="auto"/>
            <w:bottom w:val="none" w:sz="0" w:space="0" w:color="auto"/>
            <w:right w:val="none" w:sz="0" w:space="0" w:color="auto"/>
          </w:divBdr>
        </w:div>
        <w:div w:id="608200596">
          <w:marLeft w:val="640"/>
          <w:marRight w:val="0"/>
          <w:marTop w:val="0"/>
          <w:marBottom w:val="0"/>
          <w:divBdr>
            <w:top w:val="none" w:sz="0" w:space="0" w:color="auto"/>
            <w:left w:val="none" w:sz="0" w:space="0" w:color="auto"/>
            <w:bottom w:val="none" w:sz="0" w:space="0" w:color="auto"/>
            <w:right w:val="none" w:sz="0" w:space="0" w:color="auto"/>
          </w:divBdr>
        </w:div>
        <w:div w:id="806241990">
          <w:marLeft w:val="640"/>
          <w:marRight w:val="0"/>
          <w:marTop w:val="0"/>
          <w:marBottom w:val="0"/>
          <w:divBdr>
            <w:top w:val="none" w:sz="0" w:space="0" w:color="auto"/>
            <w:left w:val="none" w:sz="0" w:space="0" w:color="auto"/>
            <w:bottom w:val="none" w:sz="0" w:space="0" w:color="auto"/>
            <w:right w:val="none" w:sz="0" w:space="0" w:color="auto"/>
          </w:divBdr>
        </w:div>
        <w:div w:id="1009865351">
          <w:marLeft w:val="640"/>
          <w:marRight w:val="0"/>
          <w:marTop w:val="0"/>
          <w:marBottom w:val="0"/>
          <w:divBdr>
            <w:top w:val="none" w:sz="0" w:space="0" w:color="auto"/>
            <w:left w:val="none" w:sz="0" w:space="0" w:color="auto"/>
            <w:bottom w:val="none" w:sz="0" w:space="0" w:color="auto"/>
            <w:right w:val="none" w:sz="0" w:space="0" w:color="auto"/>
          </w:divBdr>
        </w:div>
        <w:div w:id="725222400">
          <w:marLeft w:val="640"/>
          <w:marRight w:val="0"/>
          <w:marTop w:val="0"/>
          <w:marBottom w:val="0"/>
          <w:divBdr>
            <w:top w:val="none" w:sz="0" w:space="0" w:color="auto"/>
            <w:left w:val="none" w:sz="0" w:space="0" w:color="auto"/>
            <w:bottom w:val="none" w:sz="0" w:space="0" w:color="auto"/>
            <w:right w:val="none" w:sz="0" w:space="0" w:color="auto"/>
          </w:divBdr>
        </w:div>
        <w:div w:id="192547342">
          <w:marLeft w:val="640"/>
          <w:marRight w:val="0"/>
          <w:marTop w:val="0"/>
          <w:marBottom w:val="0"/>
          <w:divBdr>
            <w:top w:val="none" w:sz="0" w:space="0" w:color="auto"/>
            <w:left w:val="none" w:sz="0" w:space="0" w:color="auto"/>
            <w:bottom w:val="none" w:sz="0" w:space="0" w:color="auto"/>
            <w:right w:val="none" w:sz="0" w:space="0" w:color="auto"/>
          </w:divBdr>
        </w:div>
        <w:div w:id="1035276763">
          <w:marLeft w:val="640"/>
          <w:marRight w:val="0"/>
          <w:marTop w:val="0"/>
          <w:marBottom w:val="0"/>
          <w:divBdr>
            <w:top w:val="none" w:sz="0" w:space="0" w:color="auto"/>
            <w:left w:val="none" w:sz="0" w:space="0" w:color="auto"/>
            <w:bottom w:val="none" w:sz="0" w:space="0" w:color="auto"/>
            <w:right w:val="none" w:sz="0" w:space="0" w:color="auto"/>
          </w:divBdr>
        </w:div>
        <w:div w:id="375395299">
          <w:marLeft w:val="640"/>
          <w:marRight w:val="0"/>
          <w:marTop w:val="0"/>
          <w:marBottom w:val="0"/>
          <w:divBdr>
            <w:top w:val="none" w:sz="0" w:space="0" w:color="auto"/>
            <w:left w:val="none" w:sz="0" w:space="0" w:color="auto"/>
            <w:bottom w:val="none" w:sz="0" w:space="0" w:color="auto"/>
            <w:right w:val="none" w:sz="0" w:space="0" w:color="auto"/>
          </w:divBdr>
        </w:div>
        <w:div w:id="1876388195">
          <w:marLeft w:val="640"/>
          <w:marRight w:val="0"/>
          <w:marTop w:val="0"/>
          <w:marBottom w:val="0"/>
          <w:divBdr>
            <w:top w:val="none" w:sz="0" w:space="0" w:color="auto"/>
            <w:left w:val="none" w:sz="0" w:space="0" w:color="auto"/>
            <w:bottom w:val="none" w:sz="0" w:space="0" w:color="auto"/>
            <w:right w:val="none" w:sz="0" w:space="0" w:color="auto"/>
          </w:divBdr>
        </w:div>
        <w:div w:id="685252523">
          <w:marLeft w:val="640"/>
          <w:marRight w:val="0"/>
          <w:marTop w:val="0"/>
          <w:marBottom w:val="0"/>
          <w:divBdr>
            <w:top w:val="none" w:sz="0" w:space="0" w:color="auto"/>
            <w:left w:val="none" w:sz="0" w:space="0" w:color="auto"/>
            <w:bottom w:val="none" w:sz="0" w:space="0" w:color="auto"/>
            <w:right w:val="none" w:sz="0" w:space="0" w:color="auto"/>
          </w:divBdr>
        </w:div>
        <w:div w:id="2090417648">
          <w:marLeft w:val="640"/>
          <w:marRight w:val="0"/>
          <w:marTop w:val="0"/>
          <w:marBottom w:val="0"/>
          <w:divBdr>
            <w:top w:val="none" w:sz="0" w:space="0" w:color="auto"/>
            <w:left w:val="none" w:sz="0" w:space="0" w:color="auto"/>
            <w:bottom w:val="none" w:sz="0" w:space="0" w:color="auto"/>
            <w:right w:val="none" w:sz="0" w:space="0" w:color="auto"/>
          </w:divBdr>
        </w:div>
        <w:div w:id="1045718173">
          <w:marLeft w:val="640"/>
          <w:marRight w:val="0"/>
          <w:marTop w:val="0"/>
          <w:marBottom w:val="0"/>
          <w:divBdr>
            <w:top w:val="none" w:sz="0" w:space="0" w:color="auto"/>
            <w:left w:val="none" w:sz="0" w:space="0" w:color="auto"/>
            <w:bottom w:val="none" w:sz="0" w:space="0" w:color="auto"/>
            <w:right w:val="none" w:sz="0" w:space="0" w:color="auto"/>
          </w:divBdr>
        </w:div>
        <w:div w:id="1867720117">
          <w:marLeft w:val="640"/>
          <w:marRight w:val="0"/>
          <w:marTop w:val="0"/>
          <w:marBottom w:val="0"/>
          <w:divBdr>
            <w:top w:val="none" w:sz="0" w:space="0" w:color="auto"/>
            <w:left w:val="none" w:sz="0" w:space="0" w:color="auto"/>
            <w:bottom w:val="none" w:sz="0" w:space="0" w:color="auto"/>
            <w:right w:val="none" w:sz="0" w:space="0" w:color="auto"/>
          </w:divBdr>
        </w:div>
        <w:div w:id="312637054">
          <w:marLeft w:val="640"/>
          <w:marRight w:val="0"/>
          <w:marTop w:val="0"/>
          <w:marBottom w:val="0"/>
          <w:divBdr>
            <w:top w:val="none" w:sz="0" w:space="0" w:color="auto"/>
            <w:left w:val="none" w:sz="0" w:space="0" w:color="auto"/>
            <w:bottom w:val="none" w:sz="0" w:space="0" w:color="auto"/>
            <w:right w:val="none" w:sz="0" w:space="0" w:color="auto"/>
          </w:divBdr>
        </w:div>
        <w:div w:id="1813478093">
          <w:marLeft w:val="640"/>
          <w:marRight w:val="0"/>
          <w:marTop w:val="0"/>
          <w:marBottom w:val="0"/>
          <w:divBdr>
            <w:top w:val="none" w:sz="0" w:space="0" w:color="auto"/>
            <w:left w:val="none" w:sz="0" w:space="0" w:color="auto"/>
            <w:bottom w:val="none" w:sz="0" w:space="0" w:color="auto"/>
            <w:right w:val="none" w:sz="0" w:space="0" w:color="auto"/>
          </w:divBdr>
        </w:div>
        <w:div w:id="784932728">
          <w:marLeft w:val="640"/>
          <w:marRight w:val="0"/>
          <w:marTop w:val="0"/>
          <w:marBottom w:val="0"/>
          <w:divBdr>
            <w:top w:val="none" w:sz="0" w:space="0" w:color="auto"/>
            <w:left w:val="none" w:sz="0" w:space="0" w:color="auto"/>
            <w:bottom w:val="none" w:sz="0" w:space="0" w:color="auto"/>
            <w:right w:val="none" w:sz="0" w:space="0" w:color="auto"/>
          </w:divBdr>
        </w:div>
        <w:div w:id="1436898631">
          <w:marLeft w:val="640"/>
          <w:marRight w:val="0"/>
          <w:marTop w:val="0"/>
          <w:marBottom w:val="0"/>
          <w:divBdr>
            <w:top w:val="none" w:sz="0" w:space="0" w:color="auto"/>
            <w:left w:val="none" w:sz="0" w:space="0" w:color="auto"/>
            <w:bottom w:val="none" w:sz="0" w:space="0" w:color="auto"/>
            <w:right w:val="none" w:sz="0" w:space="0" w:color="auto"/>
          </w:divBdr>
        </w:div>
        <w:div w:id="855659052">
          <w:marLeft w:val="640"/>
          <w:marRight w:val="0"/>
          <w:marTop w:val="0"/>
          <w:marBottom w:val="0"/>
          <w:divBdr>
            <w:top w:val="none" w:sz="0" w:space="0" w:color="auto"/>
            <w:left w:val="none" w:sz="0" w:space="0" w:color="auto"/>
            <w:bottom w:val="none" w:sz="0" w:space="0" w:color="auto"/>
            <w:right w:val="none" w:sz="0" w:space="0" w:color="auto"/>
          </w:divBdr>
        </w:div>
        <w:div w:id="1963726311">
          <w:marLeft w:val="640"/>
          <w:marRight w:val="0"/>
          <w:marTop w:val="0"/>
          <w:marBottom w:val="0"/>
          <w:divBdr>
            <w:top w:val="none" w:sz="0" w:space="0" w:color="auto"/>
            <w:left w:val="none" w:sz="0" w:space="0" w:color="auto"/>
            <w:bottom w:val="none" w:sz="0" w:space="0" w:color="auto"/>
            <w:right w:val="none" w:sz="0" w:space="0" w:color="auto"/>
          </w:divBdr>
        </w:div>
        <w:div w:id="1253005207">
          <w:marLeft w:val="640"/>
          <w:marRight w:val="0"/>
          <w:marTop w:val="0"/>
          <w:marBottom w:val="0"/>
          <w:divBdr>
            <w:top w:val="none" w:sz="0" w:space="0" w:color="auto"/>
            <w:left w:val="none" w:sz="0" w:space="0" w:color="auto"/>
            <w:bottom w:val="none" w:sz="0" w:space="0" w:color="auto"/>
            <w:right w:val="none" w:sz="0" w:space="0" w:color="auto"/>
          </w:divBdr>
        </w:div>
        <w:div w:id="1425423294">
          <w:marLeft w:val="640"/>
          <w:marRight w:val="0"/>
          <w:marTop w:val="0"/>
          <w:marBottom w:val="0"/>
          <w:divBdr>
            <w:top w:val="none" w:sz="0" w:space="0" w:color="auto"/>
            <w:left w:val="none" w:sz="0" w:space="0" w:color="auto"/>
            <w:bottom w:val="none" w:sz="0" w:space="0" w:color="auto"/>
            <w:right w:val="none" w:sz="0" w:space="0" w:color="auto"/>
          </w:divBdr>
        </w:div>
        <w:div w:id="89861336">
          <w:marLeft w:val="640"/>
          <w:marRight w:val="0"/>
          <w:marTop w:val="0"/>
          <w:marBottom w:val="0"/>
          <w:divBdr>
            <w:top w:val="none" w:sz="0" w:space="0" w:color="auto"/>
            <w:left w:val="none" w:sz="0" w:space="0" w:color="auto"/>
            <w:bottom w:val="none" w:sz="0" w:space="0" w:color="auto"/>
            <w:right w:val="none" w:sz="0" w:space="0" w:color="auto"/>
          </w:divBdr>
        </w:div>
        <w:div w:id="1838887956">
          <w:marLeft w:val="640"/>
          <w:marRight w:val="0"/>
          <w:marTop w:val="0"/>
          <w:marBottom w:val="0"/>
          <w:divBdr>
            <w:top w:val="none" w:sz="0" w:space="0" w:color="auto"/>
            <w:left w:val="none" w:sz="0" w:space="0" w:color="auto"/>
            <w:bottom w:val="none" w:sz="0" w:space="0" w:color="auto"/>
            <w:right w:val="none" w:sz="0" w:space="0" w:color="auto"/>
          </w:divBdr>
        </w:div>
        <w:div w:id="1857040226">
          <w:marLeft w:val="640"/>
          <w:marRight w:val="0"/>
          <w:marTop w:val="0"/>
          <w:marBottom w:val="0"/>
          <w:divBdr>
            <w:top w:val="none" w:sz="0" w:space="0" w:color="auto"/>
            <w:left w:val="none" w:sz="0" w:space="0" w:color="auto"/>
            <w:bottom w:val="none" w:sz="0" w:space="0" w:color="auto"/>
            <w:right w:val="none" w:sz="0" w:space="0" w:color="auto"/>
          </w:divBdr>
        </w:div>
        <w:div w:id="1257784355">
          <w:marLeft w:val="640"/>
          <w:marRight w:val="0"/>
          <w:marTop w:val="0"/>
          <w:marBottom w:val="0"/>
          <w:divBdr>
            <w:top w:val="none" w:sz="0" w:space="0" w:color="auto"/>
            <w:left w:val="none" w:sz="0" w:space="0" w:color="auto"/>
            <w:bottom w:val="none" w:sz="0" w:space="0" w:color="auto"/>
            <w:right w:val="none" w:sz="0" w:space="0" w:color="auto"/>
          </w:divBdr>
        </w:div>
        <w:div w:id="387999551">
          <w:marLeft w:val="640"/>
          <w:marRight w:val="0"/>
          <w:marTop w:val="0"/>
          <w:marBottom w:val="0"/>
          <w:divBdr>
            <w:top w:val="none" w:sz="0" w:space="0" w:color="auto"/>
            <w:left w:val="none" w:sz="0" w:space="0" w:color="auto"/>
            <w:bottom w:val="none" w:sz="0" w:space="0" w:color="auto"/>
            <w:right w:val="none" w:sz="0" w:space="0" w:color="auto"/>
          </w:divBdr>
        </w:div>
        <w:div w:id="290522493">
          <w:marLeft w:val="640"/>
          <w:marRight w:val="0"/>
          <w:marTop w:val="0"/>
          <w:marBottom w:val="0"/>
          <w:divBdr>
            <w:top w:val="none" w:sz="0" w:space="0" w:color="auto"/>
            <w:left w:val="none" w:sz="0" w:space="0" w:color="auto"/>
            <w:bottom w:val="none" w:sz="0" w:space="0" w:color="auto"/>
            <w:right w:val="none" w:sz="0" w:space="0" w:color="auto"/>
          </w:divBdr>
        </w:div>
        <w:div w:id="530849576">
          <w:marLeft w:val="640"/>
          <w:marRight w:val="0"/>
          <w:marTop w:val="0"/>
          <w:marBottom w:val="0"/>
          <w:divBdr>
            <w:top w:val="none" w:sz="0" w:space="0" w:color="auto"/>
            <w:left w:val="none" w:sz="0" w:space="0" w:color="auto"/>
            <w:bottom w:val="none" w:sz="0" w:space="0" w:color="auto"/>
            <w:right w:val="none" w:sz="0" w:space="0" w:color="auto"/>
          </w:divBdr>
        </w:div>
        <w:div w:id="1396971133">
          <w:marLeft w:val="640"/>
          <w:marRight w:val="0"/>
          <w:marTop w:val="0"/>
          <w:marBottom w:val="0"/>
          <w:divBdr>
            <w:top w:val="none" w:sz="0" w:space="0" w:color="auto"/>
            <w:left w:val="none" w:sz="0" w:space="0" w:color="auto"/>
            <w:bottom w:val="none" w:sz="0" w:space="0" w:color="auto"/>
            <w:right w:val="none" w:sz="0" w:space="0" w:color="auto"/>
          </w:divBdr>
        </w:div>
        <w:div w:id="1419522710">
          <w:marLeft w:val="640"/>
          <w:marRight w:val="0"/>
          <w:marTop w:val="0"/>
          <w:marBottom w:val="0"/>
          <w:divBdr>
            <w:top w:val="none" w:sz="0" w:space="0" w:color="auto"/>
            <w:left w:val="none" w:sz="0" w:space="0" w:color="auto"/>
            <w:bottom w:val="none" w:sz="0" w:space="0" w:color="auto"/>
            <w:right w:val="none" w:sz="0" w:space="0" w:color="auto"/>
          </w:divBdr>
        </w:div>
        <w:div w:id="1057439093">
          <w:marLeft w:val="640"/>
          <w:marRight w:val="0"/>
          <w:marTop w:val="0"/>
          <w:marBottom w:val="0"/>
          <w:divBdr>
            <w:top w:val="none" w:sz="0" w:space="0" w:color="auto"/>
            <w:left w:val="none" w:sz="0" w:space="0" w:color="auto"/>
            <w:bottom w:val="none" w:sz="0" w:space="0" w:color="auto"/>
            <w:right w:val="none" w:sz="0" w:space="0" w:color="auto"/>
          </w:divBdr>
        </w:div>
        <w:div w:id="1384670343">
          <w:marLeft w:val="640"/>
          <w:marRight w:val="0"/>
          <w:marTop w:val="0"/>
          <w:marBottom w:val="0"/>
          <w:divBdr>
            <w:top w:val="none" w:sz="0" w:space="0" w:color="auto"/>
            <w:left w:val="none" w:sz="0" w:space="0" w:color="auto"/>
            <w:bottom w:val="none" w:sz="0" w:space="0" w:color="auto"/>
            <w:right w:val="none" w:sz="0" w:space="0" w:color="auto"/>
          </w:divBdr>
        </w:div>
        <w:div w:id="858813628">
          <w:marLeft w:val="640"/>
          <w:marRight w:val="0"/>
          <w:marTop w:val="0"/>
          <w:marBottom w:val="0"/>
          <w:divBdr>
            <w:top w:val="none" w:sz="0" w:space="0" w:color="auto"/>
            <w:left w:val="none" w:sz="0" w:space="0" w:color="auto"/>
            <w:bottom w:val="none" w:sz="0" w:space="0" w:color="auto"/>
            <w:right w:val="none" w:sz="0" w:space="0" w:color="auto"/>
          </w:divBdr>
        </w:div>
        <w:div w:id="2122651998">
          <w:marLeft w:val="640"/>
          <w:marRight w:val="0"/>
          <w:marTop w:val="0"/>
          <w:marBottom w:val="0"/>
          <w:divBdr>
            <w:top w:val="none" w:sz="0" w:space="0" w:color="auto"/>
            <w:left w:val="none" w:sz="0" w:space="0" w:color="auto"/>
            <w:bottom w:val="none" w:sz="0" w:space="0" w:color="auto"/>
            <w:right w:val="none" w:sz="0" w:space="0" w:color="auto"/>
          </w:divBdr>
        </w:div>
        <w:div w:id="758646693">
          <w:marLeft w:val="640"/>
          <w:marRight w:val="0"/>
          <w:marTop w:val="0"/>
          <w:marBottom w:val="0"/>
          <w:divBdr>
            <w:top w:val="none" w:sz="0" w:space="0" w:color="auto"/>
            <w:left w:val="none" w:sz="0" w:space="0" w:color="auto"/>
            <w:bottom w:val="none" w:sz="0" w:space="0" w:color="auto"/>
            <w:right w:val="none" w:sz="0" w:space="0" w:color="auto"/>
          </w:divBdr>
        </w:div>
        <w:div w:id="1273972654">
          <w:marLeft w:val="640"/>
          <w:marRight w:val="0"/>
          <w:marTop w:val="0"/>
          <w:marBottom w:val="0"/>
          <w:divBdr>
            <w:top w:val="none" w:sz="0" w:space="0" w:color="auto"/>
            <w:left w:val="none" w:sz="0" w:space="0" w:color="auto"/>
            <w:bottom w:val="none" w:sz="0" w:space="0" w:color="auto"/>
            <w:right w:val="none" w:sz="0" w:space="0" w:color="auto"/>
          </w:divBdr>
        </w:div>
        <w:div w:id="81874803">
          <w:marLeft w:val="640"/>
          <w:marRight w:val="0"/>
          <w:marTop w:val="0"/>
          <w:marBottom w:val="0"/>
          <w:divBdr>
            <w:top w:val="none" w:sz="0" w:space="0" w:color="auto"/>
            <w:left w:val="none" w:sz="0" w:space="0" w:color="auto"/>
            <w:bottom w:val="none" w:sz="0" w:space="0" w:color="auto"/>
            <w:right w:val="none" w:sz="0" w:space="0" w:color="auto"/>
          </w:divBdr>
        </w:div>
        <w:div w:id="76830560">
          <w:marLeft w:val="640"/>
          <w:marRight w:val="0"/>
          <w:marTop w:val="0"/>
          <w:marBottom w:val="0"/>
          <w:divBdr>
            <w:top w:val="none" w:sz="0" w:space="0" w:color="auto"/>
            <w:left w:val="none" w:sz="0" w:space="0" w:color="auto"/>
            <w:bottom w:val="none" w:sz="0" w:space="0" w:color="auto"/>
            <w:right w:val="none" w:sz="0" w:space="0" w:color="auto"/>
          </w:divBdr>
        </w:div>
        <w:div w:id="840119193">
          <w:marLeft w:val="640"/>
          <w:marRight w:val="0"/>
          <w:marTop w:val="0"/>
          <w:marBottom w:val="0"/>
          <w:divBdr>
            <w:top w:val="none" w:sz="0" w:space="0" w:color="auto"/>
            <w:left w:val="none" w:sz="0" w:space="0" w:color="auto"/>
            <w:bottom w:val="none" w:sz="0" w:space="0" w:color="auto"/>
            <w:right w:val="none" w:sz="0" w:space="0" w:color="auto"/>
          </w:divBdr>
        </w:div>
        <w:div w:id="217983121">
          <w:marLeft w:val="640"/>
          <w:marRight w:val="0"/>
          <w:marTop w:val="0"/>
          <w:marBottom w:val="0"/>
          <w:divBdr>
            <w:top w:val="none" w:sz="0" w:space="0" w:color="auto"/>
            <w:left w:val="none" w:sz="0" w:space="0" w:color="auto"/>
            <w:bottom w:val="none" w:sz="0" w:space="0" w:color="auto"/>
            <w:right w:val="none" w:sz="0" w:space="0" w:color="auto"/>
          </w:divBdr>
        </w:div>
        <w:div w:id="1501698457">
          <w:marLeft w:val="640"/>
          <w:marRight w:val="0"/>
          <w:marTop w:val="0"/>
          <w:marBottom w:val="0"/>
          <w:divBdr>
            <w:top w:val="none" w:sz="0" w:space="0" w:color="auto"/>
            <w:left w:val="none" w:sz="0" w:space="0" w:color="auto"/>
            <w:bottom w:val="none" w:sz="0" w:space="0" w:color="auto"/>
            <w:right w:val="none" w:sz="0" w:space="0" w:color="auto"/>
          </w:divBdr>
        </w:div>
        <w:div w:id="81337726">
          <w:marLeft w:val="640"/>
          <w:marRight w:val="0"/>
          <w:marTop w:val="0"/>
          <w:marBottom w:val="0"/>
          <w:divBdr>
            <w:top w:val="none" w:sz="0" w:space="0" w:color="auto"/>
            <w:left w:val="none" w:sz="0" w:space="0" w:color="auto"/>
            <w:bottom w:val="none" w:sz="0" w:space="0" w:color="auto"/>
            <w:right w:val="none" w:sz="0" w:space="0" w:color="auto"/>
          </w:divBdr>
        </w:div>
        <w:div w:id="175463383">
          <w:marLeft w:val="640"/>
          <w:marRight w:val="0"/>
          <w:marTop w:val="0"/>
          <w:marBottom w:val="0"/>
          <w:divBdr>
            <w:top w:val="none" w:sz="0" w:space="0" w:color="auto"/>
            <w:left w:val="none" w:sz="0" w:space="0" w:color="auto"/>
            <w:bottom w:val="none" w:sz="0" w:space="0" w:color="auto"/>
            <w:right w:val="none" w:sz="0" w:space="0" w:color="auto"/>
          </w:divBdr>
        </w:div>
        <w:div w:id="1537231285">
          <w:marLeft w:val="640"/>
          <w:marRight w:val="0"/>
          <w:marTop w:val="0"/>
          <w:marBottom w:val="0"/>
          <w:divBdr>
            <w:top w:val="none" w:sz="0" w:space="0" w:color="auto"/>
            <w:left w:val="none" w:sz="0" w:space="0" w:color="auto"/>
            <w:bottom w:val="none" w:sz="0" w:space="0" w:color="auto"/>
            <w:right w:val="none" w:sz="0" w:space="0" w:color="auto"/>
          </w:divBdr>
        </w:div>
        <w:div w:id="934290830">
          <w:marLeft w:val="640"/>
          <w:marRight w:val="0"/>
          <w:marTop w:val="0"/>
          <w:marBottom w:val="0"/>
          <w:divBdr>
            <w:top w:val="none" w:sz="0" w:space="0" w:color="auto"/>
            <w:left w:val="none" w:sz="0" w:space="0" w:color="auto"/>
            <w:bottom w:val="none" w:sz="0" w:space="0" w:color="auto"/>
            <w:right w:val="none" w:sz="0" w:space="0" w:color="auto"/>
          </w:divBdr>
        </w:div>
        <w:div w:id="1300914568">
          <w:marLeft w:val="640"/>
          <w:marRight w:val="0"/>
          <w:marTop w:val="0"/>
          <w:marBottom w:val="0"/>
          <w:divBdr>
            <w:top w:val="none" w:sz="0" w:space="0" w:color="auto"/>
            <w:left w:val="none" w:sz="0" w:space="0" w:color="auto"/>
            <w:bottom w:val="none" w:sz="0" w:space="0" w:color="auto"/>
            <w:right w:val="none" w:sz="0" w:space="0" w:color="auto"/>
          </w:divBdr>
        </w:div>
        <w:div w:id="951859350">
          <w:marLeft w:val="640"/>
          <w:marRight w:val="0"/>
          <w:marTop w:val="0"/>
          <w:marBottom w:val="0"/>
          <w:divBdr>
            <w:top w:val="none" w:sz="0" w:space="0" w:color="auto"/>
            <w:left w:val="none" w:sz="0" w:space="0" w:color="auto"/>
            <w:bottom w:val="none" w:sz="0" w:space="0" w:color="auto"/>
            <w:right w:val="none" w:sz="0" w:space="0" w:color="auto"/>
          </w:divBdr>
        </w:div>
        <w:div w:id="1861241883">
          <w:marLeft w:val="640"/>
          <w:marRight w:val="0"/>
          <w:marTop w:val="0"/>
          <w:marBottom w:val="0"/>
          <w:divBdr>
            <w:top w:val="none" w:sz="0" w:space="0" w:color="auto"/>
            <w:left w:val="none" w:sz="0" w:space="0" w:color="auto"/>
            <w:bottom w:val="none" w:sz="0" w:space="0" w:color="auto"/>
            <w:right w:val="none" w:sz="0" w:space="0" w:color="auto"/>
          </w:divBdr>
        </w:div>
        <w:div w:id="1365671142">
          <w:marLeft w:val="640"/>
          <w:marRight w:val="0"/>
          <w:marTop w:val="0"/>
          <w:marBottom w:val="0"/>
          <w:divBdr>
            <w:top w:val="none" w:sz="0" w:space="0" w:color="auto"/>
            <w:left w:val="none" w:sz="0" w:space="0" w:color="auto"/>
            <w:bottom w:val="none" w:sz="0" w:space="0" w:color="auto"/>
            <w:right w:val="none" w:sz="0" w:space="0" w:color="auto"/>
          </w:divBdr>
        </w:div>
        <w:div w:id="505750649">
          <w:marLeft w:val="640"/>
          <w:marRight w:val="0"/>
          <w:marTop w:val="0"/>
          <w:marBottom w:val="0"/>
          <w:divBdr>
            <w:top w:val="none" w:sz="0" w:space="0" w:color="auto"/>
            <w:left w:val="none" w:sz="0" w:space="0" w:color="auto"/>
            <w:bottom w:val="none" w:sz="0" w:space="0" w:color="auto"/>
            <w:right w:val="none" w:sz="0" w:space="0" w:color="auto"/>
          </w:divBdr>
        </w:div>
        <w:div w:id="1006178593">
          <w:marLeft w:val="640"/>
          <w:marRight w:val="0"/>
          <w:marTop w:val="0"/>
          <w:marBottom w:val="0"/>
          <w:divBdr>
            <w:top w:val="none" w:sz="0" w:space="0" w:color="auto"/>
            <w:left w:val="none" w:sz="0" w:space="0" w:color="auto"/>
            <w:bottom w:val="none" w:sz="0" w:space="0" w:color="auto"/>
            <w:right w:val="none" w:sz="0" w:space="0" w:color="auto"/>
          </w:divBdr>
        </w:div>
        <w:div w:id="983503813">
          <w:marLeft w:val="640"/>
          <w:marRight w:val="0"/>
          <w:marTop w:val="0"/>
          <w:marBottom w:val="0"/>
          <w:divBdr>
            <w:top w:val="none" w:sz="0" w:space="0" w:color="auto"/>
            <w:left w:val="none" w:sz="0" w:space="0" w:color="auto"/>
            <w:bottom w:val="none" w:sz="0" w:space="0" w:color="auto"/>
            <w:right w:val="none" w:sz="0" w:space="0" w:color="auto"/>
          </w:divBdr>
        </w:div>
        <w:div w:id="2089687305">
          <w:marLeft w:val="640"/>
          <w:marRight w:val="0"/>
          <w:marTop w:val="0"/>
          <w:marBottom w:val="0"/>
          <w:divBdr>
            <w:top w:val="none" w:sz="0" w:space="0" w:color="auto"/>
            <w:left w:val="none" w:sz="0" w:space="0" w:color="auto"/>
            <w:bottom w:val="none" w:sz="0" w:space="0" w:color="auto"/>
            <w:right w:val="none" w:sz="0" w:space="0" w:color="auto"/>
          </w:divBdr>
        </w:div>
        <w:div w:id="2045786906">
          <w:marLeft w:val="640"/>
          <w:marRight w:val="0"/>
          <w:marTop w:val="0"/>
          <w:marBottom w:val="0"/>
          <w:divBdr>
            <w:top w:val="none" w:sz="0" w:space="0" w:color="auto"/>
            <w:left w:val="none" w:sz="0" w:space="0" w:color="auto"/>
            <w:bottom w:val="none" w:sz="0" w:space="0" w:color="auto"/>
            <w:right w:val="none" w:sz="0" w:space="0" w:color="auto"/>
          </w:divBdr>
        </w:div>
        <w:div w:id="1709063197">
          <w:marLeft w:val="640"/>
          <w:marRight w:val="0"/>
          <w:marTop w:val="0"/>
          <w:marBottom w:val="0"/>
          <w:divBdr>
            <w:top w:val="none" w:sz="0" w:space="0" w:color="auto"/>
            <w:left w:val="none" w:sz="0" w:space="0" w:color="auto"/>
            <w:bottom w:val="none" w:sz="0" w:space="0" w:color="auto"/>
            <w:right w:val="none" w:sz="0" w:space="0" w:color="auto"/>
          </w:divBdr>
        </w:div>
        <w:div w:id="1219975759">
          <w:marLeft w:val="640"/>
          <w:marRight w:val="0"/>
          <w:marTop w:val="0"/>
          <w:marBottom w:val="0"/>
          <w:divBdr>
            <w:top w:val="none" w:sz="0" w:space="0" w:color="auto"/>
            <w:left w:val="none" w:sz="0" w:space="0" w:color="auto"/>
            <w:bottom w:val="none" w:sz="0" w:space="0" w:color="auto"/>
            <w:right w:val="none" w:sz="0" w:space="0" w:color="auto"/>
          </w:divBdr>
        </w:div>
        <w:div w:id="462817831">
          <w:marLeft w:val="640"/>
          <w:marRight w:val="0"/>
          <w:marTop w:val="0"/>
          <w:marBottom w:val="0"/>
          <w:divBdr>
            <w:top w:val="none" w:sz="0" w:space="0" w:color="auto"/>
            <w:left w:val="none" w:sz="0" w:space="0" w:color="auto"/>
            <w:bottom w:val="none" w:sz="0" w:space="0" w:color="auto"/>
            <w:right w:val="none" w:sz="0" w:space="0" w:color="auto"/>
          </w:divBdr>
        </w:div>
        <w:div w:id="195773719">
          <w:marLeft w:val="640"/>
          <w:marRight w:val="0"/>
          <w:marTop w:val="0"/>
          <w:marBottom w:val="0"/>
          <w:divBdr>
            <w:top w:val="none" w:sz="0" w:space="0" w:color="auto"/>
            <w:left w:val="none" w:sz="0" w:space="0" w:color="auto"/>
            <w:bottom w:val="none" w:sz="0" w:space="0" w:color="auto"/>
            <w:right w:val="none" w:sz="0" w:space="0" w:color="auto"/>
          </w:divBdr>
        </w:div>
        <w:div w:id="786967529">
          <w:marLeft w:val="640"/>
          <w:marRight w:val="0"/>
          <w:marTop w:val="0"/>
          <w:marBottom w:val="0"/>
          <w:divBdr>
            <w:top w:val="none" w:sz="0" w:space="0" w:color="auto"/>
            <w:left w:val="none" w:sz="0" w:space="0" w:color="auto"/>
            <w:bottom w:val="none" w:sz="0" w:space="0" w:color="auto"/>
            <w:right w:val="none" w:sz="0" w:space="0" w:color="auto"/>
          </w:divBdr>
        </w:div>
        <w:div w:id="611016238">
          <w:marLeft w:val="640"/>
          <w:marRight w:val="0"/>
          <w:marTop w:val="0"/>
          <w:marBottom w:val="0"/>
          <w:divBdr>
            <w:top w:val="none" w:sz="0" w:space="0" w:color="auto"/>
            <w:left w:val="none" w:sz="0" w:space="0" w:color="auto"/>
            <w:bottom w:val="none" w:sz="0" w:space="0" w:color="auto"/>
            <w:right w:val="none" w:sz="0" w:space="0" w:color="auto"/>
          </w:divBdr>
        </w:div>
        <w:div w:id="754017584">
          <w:marLeft w:val="640"/>
          <w:marRight w:val="0"/>
          <w:marTop w:val="0"/>
          <w:marBottom w:val="0"/>
          <w:divBdr>
            <w:top w:val="none" w:sz="0" w:space="0" w:color="auto"/>
            <w:left w:val="none" w:sz="0" w:space="0" w:color="auto"/>
            <w:bottom w:val="none" w:sz="0" w:space="0" w:color="auto"/>
            <w:right w:val="none" w:sz="0" w:space="0" w:color="auto"/>
          </w:divBdr>
        </w:div>
        <w:div w:id="310182292">
          <w:marLeft w:val="640"/>
          <w:marRight w:val="0"/>
          <w:marTop w:val="0"/>
          <w:marBottom w:val="0"/>
          <w:divBdr>
            <w:top w:val="none" w:sz="0" w:space="0" w:color="auto"/>
            <w:left w:val="none" w:sz="0" w:space="0" w:color="auto"/>
            <w:bottom w:val="none" w:sz="0" w:space="0" w:color="auto"/>
            <w:right w:val="none" w:sz="0" w:space="0" w:color="auto"/>
          </w:divBdr>
        </w:div>
        <w:div w:id="262537579">
          <w:marLeft w:val="640"/>
          <w:marRight w:val="0"/>
          <w:marTop w:val="0"/>
          <w:marBottom w:val="0"/>
          <w:divBdr>
            <w:top w:val="none" w:sz="0" w:space="0" w:color="auto"/>
            <w:left w:val="none" w:sz="0" w:space="0" w:color="auto"/>
            <w:bottom w:val="none" w:sz="0" w:space="0" w:color="auto"/>
            <w:right w:val="none" w:sz="0" w:space="0" w:color="auto"/>
          </w:divBdr>
        </w:div>
        <w:div w:id="2020429310">
          <w:marLeft w:val="640"/>
          <w:marRight w:val="0"/>
          <w:marTop w:val="0"/>
          <w:marBottom w:val="0"/>
          <w:divBdr>
            <w:top w:val="none" w:sz="0" w:space="0" w:color="auto"/>
            <w:left w:val="none" w:sz="0" w:space="0" w:color="auto"/>
            <w:bottom w:val="none" w:sz="0" w:space="0" w:color="auto"/>
            <w:right w:val="none" w:sz="0" w:space="0" w:color="auto"/>
          </w:divBdr>
        </w:div>
        <w:div w:id="992491160">
          <w:marLeft w:val="640"/>
          <w:marRight w:val="0"/>
          <w:marTop w:val="0"/>
          <w:marBottom w:val="0"/>
          <w:divBdr>
            <w:top w:val="none" w:sz="0" w:space="0" w:color="auto"/>
            <w:left w:val="none" w:sz="0" w:space="0" w:color="auto"/>
            <w:bottom w:val="none" w:sz="0" w:space="0" w:color="auto"/>
            <w:right w:val="none" w:sz="0" w:space="0" w:color="auto"/>
          </w:divBdr>
        </w:div>
        <w:div w:id="1894652200">
          <w:marLeft w:val="640"/>
          <w:marRight w:val="0"/>
          <w:marTop w:val="0"/>
          <w:marBottom w:val="0"/>
          <w:divBdr>
            <w:top w:val="none" w:sz="0" w:space="0" w:color="auto"/>
            <w:left w:val="none" w:sz="0" w:space="0" w:color="auto"/>
            <w:bottom w:val="none" w:sz="0" w:space="0" w:color="auto"/>
            <w:right w:val="none" w:sz="0" w:space="0" w:color="auto"/>
          </w:divBdr>
        </w:div>
        <w:div w:id="294222216">
          <w:marLeft w:val="640"/>
          <w:marRight w:val="0"/>
          <w:marTop w:val="0"/>
          <w:marBottom w:val="0"/>
          <w:divBdr>
            <w:top w:val="none" w:sz="0" w:space="0" w:color="auto"/>
            <w:left w:val="none" w:sz="0" w:space="0" w:color="auto"/>
            <w:bottom w:val="none" w:sz="0" w:space="0" w:color="auto"/>
            <w:right w:val="none" w:sz="0" w:space="0" w:color="auto"/>
          </w:divBdr>
        </w:div>
        <w:div w:id="2056198734">
          <w:marLeft w:val="640"/>
          <w:marRight w:val="0"/>
          <w:marTop w:val="0"/>
          <w:marBottom w:val="0"/>
          <w:divBdr>
            <w:top w:val="none" w:sz="0" w:space="0" w:color="auto"/>
            <w:left w:val="none" w:sz="0" w:space="0" w:color="auto"/>
            <w:bottom w:val="none" w:sz="0" w:space="0" w:color="auto"/>
            <w:right w:val="none" w:sz="0" w:space="0" w:color="auto"/>
          </w:divBdr>
        </w:div>
        <w:div w:id="995105123">
          <w:marLeft w:val="640"/>
          <w:marRight w:val="0"/>
          <w:marTop w:val="0"/>
          <w:marBottom w:val="0"/>
          <w:divBdr>
            <w:top w:val="none" w:sz="0" w:space="0" w:color="auto"/>
            <w:left w:val="none" w:sz="0" w:space="0" w:color="auto"/>
            <w:bottom w:val="none" w:sz="0" w:space="0" w:color="auto"/>
            <w:right w:val="none" w:sz="0" w:space="0" w:color="auto"/>
          </w:divBdr>
        </w:div>
        <w:div w:id="129369915">
          <w:marLeft w:val="640"/>
          <w:marRight w:val="0"/>
          <w:marTop w:val="0"/>
          <w:marBottom w:val="0"/>
          <w:divBdr>
            <w:top w:val="none" w:sz="0" w:space="0" w:color="auto"/>
            <w:left w:val="none" w:sz="0" w:space="0" w:color="auto"/>
            <w:bottom w:val="none" w:sz="0" w:space="0" w:color="auto"/>
            <w:right w:val="none" w:sz="0" w:space="0" w:color="auto"/>
          </w:divBdr>
        </w:div>
        <w:div w:id="1985115951">
          <w:marLeft w:val="640"/>
          <w:marRight w:val="0"/>
          <w:marTop w:val="0"/>
          <w:marBottom w:val="0"/>
          <w:divBdr>
            <w:top w:val="none" w:sz="0" w:space="0" w:color="auto"/>
            <w:left w:val="none" w:sz="0" w:space="0" w:color="auto"/>
            <w:bottom w:val="none" w:sz="0" w:space="0" w:color="auto"/>
            <w:right w:val="none" w:sz="0" w:space="0" w:color="auto"/>
          </w:divBdr>
        </w:div>
        <w:div w:id="1618679548">
          <w:marLeft w:val="640"/>
          <w:marRight w:val="0"/>
          <w:marTop w:val="0"/>
          <w:marBottom w:val="0"/>
          <w:divBdr>
            <w:top w:val="none" w:sz="0" w:space="0" w:color="auto"/>
            <w:left w:val="none" w:sz="0" w:space="0" w:color="auto"/>
            <w:bottom w:val="none" w:sz="0" w:space="0" w:color="auto"/>
            <w:right w:val="none" w:sz="0" w:space="0" w:color="auto"/>
          </w:divBdr>
        </w:div>
        <w:div w:id="1145856927">
          <w:marLeft w:val="640"/>
          <w:marRight w:val="0"/>
          <w:marTop w:val="0"/>
          <w:marBottom w:val="0"/>
          <w:divBdr>
            <w:top w:val="none" w:sz="0" w:space="0" w:color="auto"/>
            <w:left w:val="none" w:sz="0" w:space="0" w:color="auto"/>
            <w:bottom w:val="none" w:sz="0" w:space="0" w:color="auto"/>
            <w:right w:val="none" w:sz="0" w:space="0" w:color="auto"/>
          </w:divBdr>
        </w:div>
        <w:div w:id="1677150321">
          <w:marLeft w:val="640"/>
          <w:marRight w:val="0"/>
          <w:marTop w:val="0"/>
          <w:marBottom w:val="0"/>
          <w:divBdr>
            <w:top w:val="none" w:sz="0" w:space="0" w:color="auto"/>
            <w:left w:val="none" w:sz="0" w:space="0" w:color="auto"/>
            <w:bottom w:val="none" w:sz="0" w:space="0" w:color="auto"/>
            <w:right w:val="none" w:sz="0" w:space="0" w:color="auto"/>
          </w:divBdr>
        </w:div>
        <w:div w:id="585964091">
          <w:marLeft w:val="640"/>
          <w:marRight w:val="0"/>
          <w:marTop w:val="0"/>
          <w:marBottom w:val="0"/>
          <w:divBdr>
            <w:top w:val="none" w:sz="0" w:space="0" w:color="auto"/>
            <w:left w:val="none" w:sz="0" w:space="0" w:color="auto"/>
            <w:bottom w:val="none" w:sz="0" w:space="0" w:color="auto"/>
            <w:right w:val="none" w:sz="0" w:space="0" w:color="auto"/>
          </w:divBdr>
        </w:div>
        <w:div w:id="1197547011">
          <w:marLeft w:val="640"/>
          <w:marRight w:val="0"/>
          <w:marTop w:val="0"/>
          <w:marBottom w:val="0"/>
          <w:divBdr>
            <w:top w:val="none" w:sz="0" w:space="0" w:color="auto"/>
            <w:left w:val="none" w:sz="0" w:space="0" w:color="auto"/>
            <w:bottom w:val="none" w:sz="0" w:space="0" w:color="auto"/>
            <w:right w:val="none" w:sz="0" w:space="0" w:color="auto"/>
          </w:divBdr>
        </w:div>
        <w:div w:id="1483153025">
          <w:marLeft w:val="640"/>
          <w:marRight w:val="0"/>
          <w:marTop w:val="0"/>
          <w:marBottom w:val="0"/>
          <w:divBdr>
            <w:top w:val="none" w:sz="0" w:space="0" w:color="auto"/>
            <w:left w:val="none" w:sz="0" w:space="0" w:color="auto"/>
            <w:bottom w:val="none" w:sz="0" w:space="0" w:color="auto"/>
            <w:right w:val="none" w:sz="0" w:space="0" w:color="auto"/>
          </w:divBdr>
        </w:div>
        <w:div w:id="1292900422">
          <w:marLeft w:val="640"/>
          <w:marRight w:val="0"/>
          <w:marTop w:val="0"/>
          <w:marBottom w:val="0"/>
          <w:divBdr>
            <w:top w:val="none" w:sz="0" w:space="0" w:color="auto"/>
            <w:left w:val="none" w:sz="0" w:space="0" w:color="auto"/>
            <w:bottom w:val="none" w:sz="0" w:space="0" w:color="auto"/>
            <w:right w:val="none" w:sz="0" w:space="0" w:color="auto"/>
          </w:divBdr>
        </w:div>
        <w:div w:id="851532407">
          <w:marLeft w:val="640"/>
          <w:marRight w:val="0"/>
          <w:marTop w:val="0"/>
          <w:marBottom w:val="0"/>
          <w:divBdr>
            <w:top w:val="none" w:sz="0" w:space="0" w:color="auto"/>
            <w:left w:val="none" w:sz="0" w:space="0" w:color="auto"/>
            <w:bottom w:val="none" w:sz="0" w:space="0" w:color="auto"/>
            <w:right w:val="none" w:sz="0" w:space="0" w:color="auto"/>
          </w:divBdr>
        </w:div>
        <w:div w:id="706417052">
          <w:marLeft w:val="640"/>
          <w:marRight w:val="0"/>
          <w:marTop w:val="0"/>
          <w:marBottom w:val="0"/>
          <w:divBdr>
            <w:top w:val="none" w:sz="0" w:space="0" w:color="auto"/>
            <w:left w:val="none" w:sz="0" w:space="0" w:color="auto"/>
            <w:bottom w:val="none" w:sz="0" w:space="0" w:color="auto"/>
            <w:right w:val="none" w:sz="0" w:space="0" w:color="auto"/>
          </w:divBdr>
        </w:div>
        <w:div w:id="674110725">
          <w:marLeft w:val="640"/>
          <w:marRight w:val="0"/>
          <w:marTop w:val="0"/>
          <w:marBottom w:val="0"/>
          <w:divBdr>
            <w:top w:val="none" w:sz="0" w:space="0" w:color="auto"/>
            <w:left w:val="none" w:sz="0" w:space="0" w:color="auto"/>
            <w:bottom w:val="none" w:sz="0" w:space="0" w:color="auto"/>
            <w:right w:val="none" w:sz="0" w:space="0" w:color="auto"/>
          </w:divBdr>
        </w:div>
        <w:div w:id="1479035906">
          <w:marLeft w:val="640"/>
          <w:marRight w:val="0"/>
          <w:marTop w:val="0"/>
          <w:marBottom w:val="0"/>
          <w:divBdr>
            <w:top w:val="none" w:sz="0" w:space="0" w:color="auto"/>
            <w:left w:val="none" w:sz="0" w:space="0" w:color="auto"/>
            <w:bottom w:val="none" w:sz="0" w:space="0" w:color="auto"/>
            <w:right w:val="none" w:sz="0" w:space="0" w:color="auto"/>
          </w:divBdr>
        </w:div>
        <w:div w:id="316417409">
          <w:marLeft w:val="640"/>
          <w:marRight w:val="0"/>
          <w:marTop w:val="0"/>
          <w:marBottom w:val="0"/>
          <w:divBdr>
            <w:top w:val="none" w:sz="0" w:space="0" w:color="auto"/>
            <w:left w:val="none" w:sz="0" w:space="0" w:color="auto"/>
            <w:bottom w:val="none" w:sz="0" w:space="0" w:color="auto"/>
            <w:right w:val="none" w:sz="0" w:space="0" w:color="auto"/>
          </w:divBdr>
        </w:div>
        <w:div w:id="1488281404">
          <w:marLeft w:val="640"/>
          <w:marRight w:val="0"/>
          <w:marTop w:val="0"/>
          <w:marBottom w:val="0"/>
          <w:divBdr>
            <w:top w:val="none" w:sz="0" w:space="0" w:color="auto"/>
            <w:left w:val="none" w:sz="0" w:space="0" w:color="auto"/>
            <w:bottom w:val="none" w:sz="0" w:space="0" w:color="auto"/>
            <w:right w:val="none" w:sz="0" w:space="0" w:color="auto"/>
          </w:divBdr>
        </w:div>
        <w:div w:id="663514037">
          <w:marLeft w:val="640"/>
          <w:marRight w:val="0"/>
          <w:marTop w:val="0"/>
          <w:marBottom w:val="0"/>
          <w:divBdr>
            <w:top w:val="none" w:sz="0" w:space="0" w:color="auto"/>
            <w:left w:val="none" w:sz="0" w:space="0" w:color="auto"/>
            <w:bottom w:val="none" w:sz="0" w:space="0" w:color="auto"/>
            <w:right w:val="none" w:sz="0" w:space="0" w:color="auto"/>
          </w:divBdr>
        </w:div>
        <w:div w:id="726612434">
          <w:marLeft w:val="640"/>
          <w:marRight w:val="0"/>
          <w:marTop w:val="0"/>
          <w:marBottom w:val="0"/>
          <w:divBdr>
            <w:top w:val="none" w:sz="0" w:space="0" w:color="auto"/>
            <w:left w:val="none" w:sz="0" w:space="0" w:color="auto"/>
            <w:bottom w:val="none" w:sz="0" w:space="0" w:color="auto"/>
            <w:right w:val="none" w:sz="0" w:space="0" w:color="auto"/>
          </w:divBdr>
        </w:div>
        <w:div w:id="863009679">
          <w:marLeft w:val="640"/>
          <w:marRight w:val="0"/>
          <w:marTop w:val="0"/>
          <w:marBottom w:val="0"/>
          <w:divBdr>
            <w:top w:val="none" w:sz="0" w:space="0" w:color="auto"/>
            <w:left w:val="none" w:sz="0" w:space="0" w:color="auto"/>
            <w:bottom w:val="none" w:sz="0" w:space="0" w:color="auto"/>
            <w:right w:val="none" w:sz="0" w:space="0" w:color="auto"/>
          </w:divBdr>
        </w:div>
        <w:div w:id="1120994145">
          <w:marLeft w:val="640"/>
          <w:marRight w:val="0"/>
          <w:marTop w:val="0"/>
          <w:marBottom w:val="0"/>
          <w:divBdr>
            <w:top w:val="none" w:sz="0" w:space="0" w:color="auto"/>
            <w:left w:val="none" w:sz="0" w:space="0" w:color="auto"/>
            <w:bottom w:val="none" w:sz="0" w:space="0" w:color="auto"/>
            <w:right w:val="none" w:sz="0" w:space="0" w:color="auto"/>
          </w:divBdr>
        </w:div>
        <w:div w:id="627273941">
          <w:marLeft w:val="640"/>
          <w:marRight w:val="0"/>
          <w:marTop w:val="0"/>
          <w:marBottom w:val="0"/>
          <w:divBdr>
            <w:top w:val="none" w:sz="0" w:space="0" w:color="auto"/>
            <w:left w:val="none" w:sz="0" w:space="0" w:color="auto"/>
            <w:bottom w:val="none" w:sz="0" w:space="0" w:color="auto"/>
            <w:right w:val="none" w:sz="0" w:space="0" w:color="auto"/>
          </w:divBdr>
        </w:div>
        <w:div w:id="1380975859">
          <w:marLeft w:val="640"/>
          <w:marRight w:val="0"/>
          <w:marTop w:val="0"/>
          <w:marBottom w:val="0"/>
          <w:divBdr>
            <w:top w:val="none" w:sz="0" w:space="0" w:color="auto"/>
            <w:left w:val="none" w:sz="0" w:space="0" w:color="auto"/>
            <w:bottom w:val="none" w:sz="0" w:space="0" w:color="auto"/>
            <w:right w:val="none" w:sz="0" w:space="0" w:color="auto"/>
          </w:divBdr>
        </w:div>
        <w:div w:id="1884905061">
          <w:marLeft w:val="640"/>
          <w:marRight w:val="0"/>
          <w:marTop w:val="0"/>
          <w:marBottom w:val="0"/>
          <w:divBdr>
            <w:top w:val="none" w:sz="0" w:space="0" w:color="auto"/>
            <w:left w:val="none" w:sz="0" w:space="0" w:color="auto"/>
            <w:bottom w:val="none" w:sz="0" w:space="0" w:color="auto"/>
            <w:right w:val="none" w:sz="0" w:space="0" w:color="auto"/>
          </w:divBdr>
        </w:div>
        <w:div w:id="2031250463">
          <w:marLeft w:val="640"/>
          <w:marRight w:val="0"/>
          <w:marTop w:val="0"/>
          <w:marBottom w:val="0"/>
          <w:divBdr>
            <w:top w:val="none" w:sz="0" w:space="0" w:color="auto"/>
            <w:left w:val="none" w:sz="0" w:space="0" w:color="auto"/>
            <w:bottom w:val="none" w:sz="0" w:space="0" w:color="auto"/>
            <w:right w:val="none" w:sz="0" w:space="0" w:color="auto"/>
          </w:divBdr>
        </w:div>
      </w:divsChild>
    </w:div>
    <w:div w:id="2126997810">
      <w:bodyDiv w:val="1"/>
      <w:marLeft w:val="0"/>
      <w:marRight w:val="0"/>
      <w:marTop w:val="0"/>
      <w:marBottom w:val="0"/>
      <w:divBdr>
        <w:top w:val="none" w:sz="0" w:space="0" w:color="auto"/>
        <w:left w:val="none" w:sz="0" w:space="0" w:color="auto"/>
        <w:bottom w:val="none" w:sz="0" w:space="0" w:color="auto"/>
        <w:right w:val="none" w:sz="0" w:space="0" w:color="auto"/>
      </w:divBdr>
    </w:div>
    <w:div w:id="2129160677">
      <w:bodyDiv w:val="1"/>
      <w:marLeft w:val="0"/>
      <w:marRight w:val="0"/>
      <w:marTop w:val="0"/>
      <w:marBottom w:val="0"/>
      <w:divBdr>
        <w:top w:val="none" w:sz="0" w:space="0" w:color="auto"/>
        <w:left w:val="none" w:sz="0" w:space="0" w:color="auto"/>
        <w:bottom w:val="none" w:sz="0" w:space="0" w:color="auto"/>
        <w:right w:val="none" w:sz="0" w:space="0" w:color="auto"/>
      </w:divBdr>
      <w:divsChild>
        <w:div w:id="1092433071">
          <w:marLeft w:val="640"/>
          <w:marRight w:val="0"/>
          <w:marTop w:val="0"/>
          <w:marBottom w:val="0"/>
          <w:divBdr>
            <w:top w:val="none" w:sz="0" w:space="0" w:color="auto"/>
            <w:left w:val="none" w:sz="0" w:space="0" w:color="auto"/>
            <w:bottom w:val="none" w:sz="0" w:space="0" w:color="auto"/>
            <w:right w:val="none" w:sz="0" w:space="0" w:color="auto"/>
          </w:divBdr>
        </w:div>
        <w:div w:id="906770307">
          <w:marLeft w:val="640"/>
          <w:marRight w:val="0"/>
          <w:marTop w:val="0"/>
          <w:marBottom w:val="0"/>
          <w:divBdr>
            <w:top w:val="none" w:sz="0" w:space="0" w:color="auto"/>
            <w:left w:val="none" w:sz="0" w:space="0" w:color="auto"/>
            <w:bottom w:val="none" w:sz="0" w:space="0" w:color="auto"/>
            <w:right w:val="none" w:sz="0" w:space="0" w:color="auto"/>
          </w:divBdr>
        </w:div>
        <w:div w:id="702247647">
          <w:marLeft w:val="640"/>
          <w:marRight w:val="0"/>
          <w:marTop w:val="0"/>
          <w:marBottom w:val="0"/>
          <w:divBdr>
            <w:top w:val="none" w:sz="0" w:space="0" w:color="auto"/>
            <w:left w:val="none" w:sz="0" w:space="0" w:color="auto"/>
            <w:bottom w:val="none" w:sz="0" w:space="0" w:color="auto"/>
            <w:right w:val="none" w:sz="0" w:space="0" w:color="auto"/>
          </w:divBdr>
        </w:div>
        <w:div w:id="1898591494">
          <w:marLeft w:val="640"/>
          <w:marRight w:val="0"/>
          <w:marTop w:val="0"/>
          <w:marBottom w:val="0"/>
          <w:divBdr>
            <w:top w:val="none" w:sz="0" w:space="0" w:color="auto"/>
            <w:left w:val="none" w:sz="0" w:space="0" w:color="auto"/>
            <w:bottom w:val="none" w:sz="0" w:space="0" w:color="auto"/>
            <w:right w:val="none" w:sz="0" w:space="0" w:color="auto"/>
          </w:divBdr>
        </w:div>
        <w:div w:id="822350714">
          <w:marLeft w:val="640"/>
          <w:marRight w:val="0"/>
          <w:marTop w:val="0"/>
          <w:marBottom w:val="0"/>
          <w:divBdr>
            <w:top w:val="none" w:sz="0" w:space="0" w:color="auto"/>
            <w:left w:val="none" w:sz="0" w:space="0" w:color="auto"/>
            <w:bottom w:val="none" w:sz="0" w:space="0" w:color="auto"/>
            <w:right w:val="none" w:sz="0" w:space="0" w:color="auto"/>
          </w:divBdr>
        </w:div>
        <w:div w:id="775103396">
          <w:marLeft w:val="640"/>
          <w:marRight w:val="0"/>
          <w:marTop w:val="0"/>
          <w:marBottom w:val="0"/>
          <w:divBdr>
            <w:top w:val="none" w:sz="0" w:space="0" w:color="auto"/>
            <w:left w:val="none" w:sz="0" w:space="0" w:color="auto"/>
            <w:bottom w:val="none" w:sz="0" w:space="0" w:color="auto"/>
            <w:right w:val="none" w:sz="0" w:space="0" w:color="auto"/>
          </w:divBdr>
        </w:div>
        <w:div w:id="1813525322">
          <w:marLeft w:val="640"/>
          <w:marRight w:val="0"/>
          <w:marTop w:val="0"/>
          <w:marBottom w:val="0"/>
          <w:divBdr>
            <w:top w:val="none" w:sz="0" w:space="0" w:color="auto"/>
            <w:left w:val="none" w:sz="0" w:space="0" w:color="auto"/>
            <w:bottom w:val="none" w:sz="0" w:space="0" w:color="auto"/>
            <w:right w:val="none" w:sz="0" w:space="0" w:color="auto"/>
          </w:divBdr>
        </w:div>
        <w:div w:id="667441365">
          <w:marLeft w:val="640"/>
          <w:marRight w:val="0"/>
          <w:marTop w:val="0"/>
          <w:marBottom w:val="0"/>
          <w:divBdr>
            <w:top w:val="none" w:sz="0" w:space="0" w:color="auto"/>
            <w:left w:val="none" w:sz="0" w:space="0" w:color="auto"/>
            <w:bottom w:val="none" w:sz="0" w:space="0" w:color="auto"/>
            <w:right w:val="none" w:sz="0" w:space="0" w:color="auto"/>
          </w:divBdr>
        </w:div>
        <w:div w:id="155727218">
          <w:marLeft w:val="640"/>
          <w:marRight w:val="0"/>
          <w:marTop w:val="0"/>
          <w:marBottom w:val="0"/>
          <w:divBdr>
            <w:top w:val="none" w:sz="0" w:space="0" w:color="auto"/>
            <w:left w:val="none" w:sz="0" w:space="0" w:color="auto"/>
            <w:bottom w:val="none" w:sz="0" w:space="0" w:color="auto"/>
            <w:right w:val="none" w:sz="0" w:space="0" w:color="auto"/>
          </w:divBdr>
        </w:div>
        <w:div w:id="1930770107">
          <w:marLeft w:val="640"/>
          <w:marRight w:val="0"/>
          <w:marTop w:val="0"/>
          <w:marBottom w:val="0"/>
          <w:divBdr>
            <w:top w:val="none" w:sz="0" w:space="0" w:color="auto"/>
            <w:left w:val="none" w:sz="0" w:space="0" w:color="auto"/>
            <w:bottom w:val="none" w:sz="0" w:space="0" w:color="auto"/>
            <w:right w:val="none" w:sz="0" w:space="0" w:color="auto"/>
          </w:divBdr>
        </w:div>
        <w:div w:id="692388194">
          <w:marLeft w:val="640"/>
          <w:marRight w:val="0"/>
          <w:marTop w:val="0"/>
          <w:marBottom w:val="0"/>
          <w:divBdr>
            <w:top w:val="none" w:sz="0" w:space="0" w:color="auto"/>
            <w:left w:val="none" w:sz="0" w:space="0" w:color="auto"/>
            <w:bottom w:val="none" w:sz="0" w:space="0" w:color="auto"/>
            <w:right w:val="none" w:sz="0" w:space="0" w:color="auto"/>
          </w:divBdr>
        </w:div>
        <w:div w:id="355889737">
          <w:marLeft w:val="640"/>
          <w:marRight w:val="0"/>
          <w:marTop w:val="0"/>
          <w:marBottom w:val="0"/>
          <w:divBdr>
            <w:top w:val="none" w:sz="0" w:space="0" w:color="auto"/>
            <w:left w:val="none" w:sz="0" w:space="0" w:color="auto"/>
            <w:bottom w:val="none" w:sz="0" w:space="0" w:color="auto"/>
            <w:right w:val="none" w:sz="0" w:space="0" w:color="auto"/>
          </w:divBdr>
        </w:div>
        <w:div w:id="88359467">
          <w:marLeft w:val="640"/>
          <w:marRight w:val="0"/>
          <w:marTop w:val="0"/>
          <w:marBottom w:val="0"/>
          <w:divBdr>
            <w:top w:val="none" w:sz="0" w:space="0" w:color="auto"/>
            <w:left w:val="none" w:sz="0" w:space="0" w:color="auto"/>
            <w:bottom w:val="none" w:sz="0" w:space="0" w:color="auto"/>
            <w:right w:val="none" w:sz="0" w:space="0" w:color="auto"/>
          </w:divBdr>
        </w:div>
        <w:div w:id="2062047732">
          <w:marLeft w:val="640"/>
          <w:marRight w:val="0"/>
          <w:marTop w:val="0"/>
          <w:marBottom w:val="0"/>
          <w:divBdr>
            <w:top w:val="none" w:sz="0" w:space="0" w:color="auto"/>
            <w:left w:val="none" w:sz="0" w:space="0" w:color="auto"/>
            <w:bottom w:val="none" w:sz="0" w:space="0" w:color="auto"/>
            <w:right w:val="none" w:sz="0" w:space="0" w:color="auto"/>
          </w:divBdr>
        </w:div>
        <w:div w:id="402987544">
          <w:marLeft w:val="640"/>
          <w:marRight w:val="0"/>
          <w:marTop w:val="0"/>
          <w:marBottom w:val="0"/>
          <w:divBdr>
            <w:top w:val="none" w:sz="0" w:space="0" w:color="auto"/>
            <w:left w:val="none" w:sz="0" w:space="0" w:color="auto"/>
            <w:bottom w:val="none" w:sz="0" w:space="0" w:color="auto"/>
            <w:right w:val="none" w:sz="0" w:space="0" w:color="auto"/>
          </w:divBdr>
        </w:div>
        <w:div w:id="243496655">
          <w:marLeft w:val="640"/>
          <w:marRight w:val="0"/>
          <w:marTop w:val="0"/>
          <w:marBottom w:val="0"/>
          <w:divBdr>
            <w:top w:val="none" w:sz="0" w:space="0" w:color="auto"/>
            <w:left w:val="none" w:sz="0" w:space="0" w:color="auto"/>
            <w:bottom w:val="none" w:sz="0" w:space="0" w:color="auto"/>
            <w:right w:val="none" w:sz="0" w:space="0" w:color="auto"/>
          </w:divBdr>
        </w:div>
        <w:div w:id="10379527">
          <w:marLeft w:val="640"/>
          <w:marRight w:val="0"/>
          <w:marTop w:val="0"/>
          <w:marBottom w:val="0"/>
          <w:divBdr>
            <w:top w:val="none" w:sz="0" w:space="0" w:color="auto"/>
            <w:left w:val="none" w:sz="0" w:space="0" w:color="auto"/>
            <w:bottom w:val="none" w:sz="0" w:space="0" w:color="auto"/>
            <w:right w:val="none" w:sz="0" w:space="0" w:color="auto"/>
          </w:divBdr>
        </w:div>
        <w:div w:id="1561667072">
          <w:marLeft w:val="640"/>
          <w:marRight w:val="0"/>
          <w:marTop w:val="0"/>
          <w:marBottom w:val="0"/>
          <w:divBdr>
            <w:top w:val="none" w:sz="0" w:space="0" w:color="auto"/>
            <w:left w:val="none" w:sz="0" w:space="0" w:color="auto"/>
            <w:bottom w:val="none" w:sz="0" w:space="0" w:color="auto"/>
            <w:right w:val="none" w:sz="0" w:space="0" w:color="auto"/>
          </w:divBdr>
        </w:div>
        <w:div w:id="1664308401">
          <w:marLeft w:val="640"/>
          <w:marRight w:val="0"/>
          <w:marTop w:val="0"/>
          <w:marBottom w:val="0"/>
          <w:divBdr>
            <w:top w:val="none" w:sz="0" w:space="0" w:color="auto"/>
            <w:left w:val="none" w:sz="0" w:space="0" w:color="auto"/>
            <w:bottom w:val="none" w:sz="0" w:space="0" w:color="auto"/>
            <w:right w:val="none" w:sz="0" w:space="0" w:color="auto"/>
          </w:divBdr>
        </w:div>
        <w:div w:id="819074929">
          <w:marLeft w:val="640"/>
          <w:marRight w:val="0"/>
          <w:marTop w:val="0"/>
          <w:marBottom w:val="0"/>
          <w:divBdr>
            <w:top w:val="none" w:sz="0" w:space="0" w:color="auto"/>
            <w:left w:val="none" w:sz="0" w:space="0" w:color="auto"/>
            <w:bottom w:val="none" w:sz="0" w:space="0" w:color="auto"/>
            <w:right w:val="none" w:sz="0" w:space="0" w:color="auto"/>
          </w:divBdr>
        </w:div>
        <w:div w:id="1333340448">
          <w:marLeft w:val="640"/>
          <w:marRight w:val="0"/>
          <w:marTop w:val="0"/>
          <w:marBottom w:val="0"/>
          <w:divBdr>
            <w:top w:val="none" w:sz="0" w:space="0" w:color="auto"/>
            <w:left w:val="none" w:sz="0" w:space="0" w:color="auto"/>
            <w:bottom w:val="none" w:sz="0" w:space="0" w:color="auto"/>
            <w:right w:val="none" w:sz="0" w:space="0" w:color="auto"/>
          </w:divBdr>
        </w:div>
        <w:div w:id="1191840219">
          <w:marLeft w:val="640"/>
          <w:marRight w:val="0"/>
          <w:marTop w:val="0"/>
          <w:marBottom w:val="0"/>
          <w:divBdr>
            <w:top w:val="none" w:sz="0" w:space="0" w:color="auto"/>
            <w:left w:val="none" w:sz="0" w:space="0" w:color="auto"/>
            <w:bottom w:val="none" w:sz="0" w:space="0" w:color="auto"/>
            <w:right w:val="none" w:sz="0" w:space="0" w:color="auto"/>
          </w:divBdr>
        </w:div>
        <w:div w:id="505293822">
          <w:marLeft w:val="640"/>
          <w:marRight w:val="0"/>
          <w:marTop w:val="0"/>
          <w:marBottom w:val="0"/>
          <w:divBdr>
            <w:top w:val="none" w:sz="0" w:space="0" w:color="auto"/>
            <w:left w:val="none" w:sz="0" w:space="0" w:color="auto"/>
            <w:bottom w:val="none" w:sz="0" w:space="0" w:color="auto"/>
            <w:right w:val="none" w:sz="0" w:space="0" w:color="auto"/>
          </w:divBdr>
        </w:div>
        <w:div w:id="1149059145">
          <w:marLeft w:val="640"/>
          <w:marRight w:val="0"/>
          <w:marTop w:val="0"/>
          <w:marBottom w:val="0"/>
          <w:divBdr>
            <w:top w:val="none" w:sz="0" w:space="0" w:color="auto"/>
            <w:left w:val="none" w:sz="0" w:space="0" w:color="auto"/>
            <w:bottom w:val="none" w:sz="0" w:space="0" w:color="auto"/>
            <w:right w:val="none" w:sz="0" w:space="0" w:color="auto"/>
          </w:divBdr>
        </w:div>
        <w:div w:id="1318220597">
          <w:marLeft w:val="640"/>
          <w:marRight w:val="0"/>
          <w:marTop w:val="0"/>
          <w:marBottom w:val="0"/>
          <w:divBdr>
            <w:top w:val="none" w:sz="0" w:space="0" w:color="auto"/>
            <w:left w:val="none" w:sz="0" w:space="0" w:color="auto"/>
            <w:bottom w:val="none" w:sz="0" w:space="0" w:color="auto"/>
            <w:right w:val="none" w:sz="0" w:space="0" w:color="auto"/>
          </w:divBdr>
        </w:div>
        <w:div w:id="1756974485">
          <w:marLeft w:val="640"/>
          <w:marRight w:val="0"/>
          <w:marTop w:val="0"/>
          <w:marBottom w:val="0"/>
          <w:divBdr>
            <w:top w:val="none" w:sz="0" w:space="0" w:color="auto"/>
            <w:left w:val="none" w:sz="0" w:space="0" w:color="auto"/>
            <w:bottom w:val="none" w:sz="0" w:space="0" w:color="auto"/>
            <w:right w:val="none" w:sz="0" w:space="0" w:color="auto"/>
          </w:divBdr>
        </w:div>
        <w:div w:id="2077051135">
          <w:marLeft w:val="640"/>
          <w:marRight w:val="0"/>
          <w:marTop w:val="0"/>
          <w:marBottom w:val="0"/>
          <w:divBdr>
            <w:top w:val="none" w:sz="0" w:space="0" w:color="auto"/>
            <w:left w:val="none" w:sz="0" w:space="0" w:color="auto"/>
            <w:bottom w:val="none" w:sz="0" w:space="0" w:color="auto"/>
            <w:right w:val="none" w:sz="0" w:space="0" w:color="auto"/>
          </w:divBdr>
        </w:div>
        <w:div w:id="1811632800">
          <w:marLeft w:val="640"/>
          <w:marRight w:val="0"/>
          <w:marTop w:val="0"/>
          <w:marBottom w:val="0"/>
          <w:divBdr>
            <w:top w:val="none" w:sz="0" w:space="0" w:color="auto"/>
            <w:left w:val="none" w:sz="0" w:space="0" w:color="auto"/>
            <w:bottom w:val="none" w:sz="0" w:space="0" w:color="auto"/>
            <w:right w:val="none" w:sz="0" w:space="0" w:color="auto"/>
          </w:divBdr>
        </w:div>
        <w:div w:id="1569992612">
          <w:marLeft w:val="640"/>
          <w:marRight w:val="0"/>
          <w:marTop w:val="0"/>
          <w:marBottom w:val="0"/>
          <w:divBdr>
            <w:top w:val="none" w:sz="0" w:space="0" w:color="auto"/>
            <w:left w:val="none" w:sz="0" w:space="0" w:color="auto"/>
            <w:bottom w:val="none" w:sz="0" w:space="0" w:color="auto"/>
            <w:right w:val="none" w:sz="0" w:space="0" w:color="auto"/>
          </w:divBdr>
        </w:div>
        <w:div w:id="1231768563">
          <w:marLeft w:val="640"/>
          <w:marRight w:val="0"/>
          <w:marTop w:val="0"/>
          <w:marBottom w:val="0"/>
          <w:divBdr>
            <w:top w:val="none" w:sz="0" w:space="0" w:color="auto"/>
            <w:left w:val="none" w:sz="0" w:space="0" w:color="auto"/>
            <w:bottom w:val="none" w:sz="0" w:space="0" w:color="auto"/>
            <w:right w:val="none" w:sz="0" w:space="0" w:color="auto"/>
          </w:divBdr>
        </w:div>
        <w:div w:id="1244334717">
          <w:marLeft w:val="640"/>
          <w:marRight w:val="0"/>
          <w:marTop w:val="0"/>
          <w:marBottom w:val="0"/>
          <w:divBdr>
            <w:top w:val="none" w:sz="0" w:space="0" w:color="auto"/>
            <w:left w:val="none" w:sz="0" w:space="0" w:color="auto"/>
            <w:bottom w:val="none" w:sz="0" w:space="0" w:color="auto"/>
            <w:right w:val="none" w:sz="0" w:space="0" w:color="auto"/>
          </w:divBdr>
        </w:div>
        <w:div w:id="1698188988">
          <w:marLeft w:val="640"/>
          <w:marRight w:val="0"/>
          <w:marTop w:val="0"/>
          <w:marBottom w:val="0"/>
          <w:divBdr>
            <w:top w:val="none" w:sz="0" w:space="0" w:color="auto"/>
            <w:left w:val="none" w:sz="0" w:space="0" w:color="auto"/>
            <w:bottom w:val="none" w:sz="0" w:space="0" w:color="auto"/>
            <w:right w:val="none" w:sz="0" w:space="0" w:color="auto"/>
          </w:divBdr>
        </w:div>
        <w:div w:id="331959230">
          <w:marLeft w:val="640"/>
          <w:marRight w:val="0"/>
          <w:marTop w:val="0"/>
          <w:marBottom w:val="0"/>
          <w:divBdr>
            <w:top w:val="none" w:sz="0" w:space="0" w:color="auto"/>
            <w:left w:val="none" w:sz="0" w:space="0" w:color="auto"/>
            <w:bottom w:val="none" w:sz="0" w:space="0" w:color="auto"/>
            <w:right w:val="none" w:sz="0" w:space="0" w:color="auto"/>
          </w:divBdr>
        </w:div>
        <w:div w:id="1348369936">
          <w:marLeft w:val="640"/>
          <w:marRight w:val="0"/>
          <w:marTop w:val="0"/>
          <w:marBottom w:val="0"/>
          <w:divBdr>
            <w:top w:val="none" w:sz="0" w:space="0" w:color="auto"/>
            <w:left w:val="none" w:sz="0" w:space="0" w:color="auto"/>
            <w:bottom w:val="none" w:sz="0" w:space="0" w:color="auto"/>
            <w:right w:val="none" w:sz="0" w:space="0" w:color="auto"/>
          </w:divBdr>
        </w:div>
        <w:div w:id="1664621556">
          <w:marLeft w:val="640"/>
          <w:marRight w:val="0"/>
          <w:marTop w:val="0"/>
          <w:marBottom w:val="0"/>
          <w:divBdr>
            <w:top w:val="none" w:sz="0" w:space="0" w:color="auto"/>
            <w:left w:val="none" w:sz="0" w:space="0" w:color="auto"/>
            <w:bottom w:val="none" w:sz="0" w:space="0" w:color="auto"/>
            <w:right w:val="none" w:sz="0" w:space="0" w:color="auto"/>
          </w:divBdr>
        </w:div>
        <w:div w:id="1687321780">
          <w:marLeft w:val="640"/>
          <w:marRight w:val="0"/>
          <w:marTop w:val="0"/>
          <w:marBottom w:val="0"/>
          <w:divBdr>
            <w:top w:val="none" w:sz="0" w:space="0" w:color="auto"/>
            <w:left w:val="none" w:sz="0" w:space="0" w:color="auto"/>
            <w:bottom w:val="none" w:sz="0" w:space="0" w:color="auto"/>
            <w:right w:val="none" w:sz="0" w:space="0" w:color="auto"/>
          </w:divBdr>
        </w:div>
        <w:div w:id="893155807">
          <w:marLeft w:val="640"/>
          <w:marRight w:val="0"/>
          <w:marTop w:val="0"/>
          <w:marBottom w:val="0"/>
          <w:divBdr>
            <w:top w:val="none" w:sz="0" w:space="0" w:color="auto"/>
            <w:left w:val="none" w:sz="0" w:space="0" w:color="auto"/>
            <w:bottom w:val="none" w:sz="0" w:space="0" w:color="auto"/>
            <w:right w:val="none" w:sz="0" w:space="0" w:color="auto"/>
          </w:divBdr>
        </w:div>
        <w:div w:id="2112236682">
          <w:marLeft w:val="640"/>
          <w:marRight w:val="0"/>
          <w:marTop w:val="0"/>
          <w:marBottom w:val="0"/>
          <w:divBdr>
            <w:top w:val="none" w:sz="0" w:space="0" w:color="auto"/>
            <w:left w:val="none" w:sz="0" w:space="0" w:color="auto"/>
            <w:bottom w:val="none" w:sz="0" w:space="0" w:color="auto"/>
            <w:right w:val="none" w:sz="0" w:space="0" w:color="auto"/>
          </w:divBdr>
        </w:div>
        <w:div w:id="815953931">
          <w:marLeft w:val="640"/>
          <w:marRight w:val="0"/>
          <w:marTop w:val="0"/>
          <w:marBottom w:val="0"/>
          <w:divBdr>
            <w:top w:val="none" w:sz="0" w:space="0" w:color="auto"/>
            <w:left w:val="none" w:sz="0" w:space="0" w:color="auto"/>
            <w:bottom w:val="none" w:sz="0" w:space="0" w:color="auto"/>
            <w:right w:val="none" w:sz="0" w:space="0" w:color="auto"/>
          </w:divBdr>
        </w:div>
        <w:div w:id="2046176327">
          <w:marLeft w:val="640"/>
          <w:marRight w:val="0"/>
          <w:marTop w:val="0"/>
          <w:marBottom w:val="0"/>
          <w:divBdr>
            <w:top w:val="none" w:sz="0" w:space="0" w:color="auto"/>
            <w:left w:val="none" w:sz="0" w:space="0" w:color="auto"/>
            <w:bottom w:val="none" w:sz="0" w:space="0" w:color="auto"/>
            <w:right w:val="none" w:sz="0" w:space="0" w:color="auto"/>
          </w:divBdr>
        </w:div>
        <w:div w:id="857546938">
          <w:marLeft w:val="640"/>
          <w:marRight w:val="0"/>
          <w:marTop w:val="0"/>
          <w:marBottom w:val="0"/>
          <w:divBdr>
            <w:top w:val="none" w:sz="0" w:space="0" w:color="auto"/>
            <w:left w:val="none" w:sz="0" w:space="0" w:color="auto"/>
            <w:bottom w:val="none" w:sz="0" w:space="0" w:color="auto"/>
            <w:right w:val="none" w:sz="0" w:space="0" w:color="auto"/>
          </w:divBdr>
        </w:div>
        <w:div w:id="376860788">
          <w:marLeft w:val="640"/>
          <w:marRight w:val="0"/>
          <w:marTop w:val="0"/>
          <w:marBottom w:val="0"/>
          <w:divBdr>
            <w:top w:val="none" w:sz="0" w:space="0" w:color="auto"/>
            <w:left w:val="none" w:sz="0" w:space="0" w:color="auto"/>
            <w:bottom w:val="none" w:sz="0" w:space="0" w:color="auto"/>
            <w:right w:val="none" w:sz="0" w:space="0" w:color="auto"/>
          </w:divBdr>
        </w:div>
        <w:div w:id="741561270">
          <w:marLeft w:val="640"/>
          <w:marRight w:val="0"/>
          <w:marTop w:val="0"/>
          <w:marBottom w:val="0"/>
          <w:divBdr>
            <w:top w:val="none" w:sz="0" w:space="0" w:color="auto"/>
            <w:left w:val="none" w:sz="0" w:space="0" w:color="auto"/>
            <w:bottom w:val="none" w:sz="0" w:space="0" w:color="auto"/>
            <w:right w:val="none" w:sz="0" w:space="0" w:color="auto"/>
          </w:divBdr>
        </w:div>
        <w:div w:id="2078699581">
          <w:marLeft w:val="640"/>
          <w:marRight w:val="0"/>
          <w:marTop w:val="0"/>
          <w:marBottom w:val="0"/>
          <w:divBdr>
            <w:top w:val="none" w:sz="0" w:space="0" w:color="auto"/>
            <w:left w:val="none" w:sz="0" w:space="0" w:color="auto"/>
            <w:bottom w:val="none" w:sz="0" w:space="0" w:color="auto"/>
            <w:right w:val="none" w:sz="0" w:space="0" w:color="auto"/>
          </w:divBdr>
        </w:div>
        <w:div w:id="195237554">
          <w:marLeft w:val="640"/>
          <w:marRight w:val="0"/>
          <w:marTop w:val="0"/>
          <w:marBottom w:val="0"/>
          <w:divBdr>
            <w:top w:val="none" w:sz="0" w:space="0" w:color="auto"/>
            <w:left w:val="none" w:sz="0" w:space="0" w:color="auto"/>
            <w:bottom w:val="none" w:sz="0" w:space="0" w:color="auto"/>
            <w:right w:val="none" w:sz="0" w:space="0" w:color="auto"/>
          </w:divBdr>
        </w:div>
        <w:div w:id="751974315">
          <w:marLeft w:val="640"/>
          <w:marRight w:val="0"/>
          <w:marTop w:val="0"/>
          <w:marBottom w:val="0"/>
          <w:divBdr>
            <w:top w:val="none" w:sz="0" w:space="0" w:color="auto"/>
            <w:left w:val="none" w:sz="0" w:space="0" w:color="auto"/>
            <w:bottom w:val="none" w:sz="0" w:space="0" w:color="auto"/>
            <w:right w:val="none" w:sz="0" w:space="0" w:color="auto"/>
          </w:divBdr>
        </w:div>
        <w:div w:id="1032147770">
          <w:marLeft w:val="640"/>
          <w:marRight w:val="0"/>
          <w:marTop w:val="0"/>
          <w:marBottom w:val="0"/>
          <w:divBdr>
            <w:top w:val="none" w:sz="0" w:space="0" w:color="auto"/>
            <w:left w:val="none" w:sz="0" w:space="0" w:color="auto"/>
            <w:bottom w:val="none" w:sz="0" w:space="0" w:color="auto"/>
            <w:right w:val="none" w:sz="0" w:space="0" w:color="auto"/>
          </w:divBdr>
        </w:div>
        <w:div w:id="1874921441">
          <w:marLeft w:val="640"/>
          <w:marRight w:val="0"/>
          <w:marTop w:val="0"/>
          <w:marBottom w:val="0"/>
          <w:divBdr>
            <w:top w:val="none" w:sz="0" w:space="0" w:color="auto"/>
            <w:left w:val="none" w:sz="0" w:space="0" w:color="auto"/>
            <w:bottom w:val="none" w:sz="0" w:space="0" w:color="auto"/>
            <w:right w:val="none" w:sz="0" w:space="0" w:color="auto"/>
          </w:divBdr>
        </w:div>
        <w:div w:id="1244685575">
          <w:marLeft w:val="640"/>
          <w:marRight w:val="0"/>
          <w:marTop w:val="0"/>
          <w:marBottom w:val="0"/>
          <w:divBdr>
            <w:top w:val="none" w:sz="0" w:space="0" w:color="auto"/>
            <w:left w:val="none" w:sz="0" w:space="0" w:color="auto"/>
            <w:bottom w:val="none" w:sz="0" w:space="0" w:color="auto"/>
            <w:right w:val="none" w:sz="0" w:space="0" w:color="auto"/>
          </w:divBdr>
        </w:div>
        <w:div w:id="1456480329">
          <w:marLeft w:val="640"/>
          <w:marRight w:val="0"/>
          <w:marTop w:val="0"/>
          <w:marBottom w:val="0"/>
          <w:divBdr>
            <w:top w:val="none" w:sz="0" w:space="0" w:color="auto"/>
            <w:left w:val="none" w:sz="0" w:space="0" w:color="auto"/>
            <w:bottom w:val="none" w:sz="0" w:space="0" w:color="auto"/>
            <w:right w:val="none" w:sz="0" w:space="0" w:color="auto"/>
          </w:divBdr>
        </w:div>
        <w:div w:id="680591642">
          <w:marLeft w:val="640"/>
          <w:marRight w:val="0"/>
          <w:marTop w:val="0"/>
          <w:marBottom w:val="0"/>
          <w:divBdr>
            <w:top w:val="none" w:sz="0" w:space="0" w:color="auto"/>
            <w:left w:val="none" w:sz="0" w:space="0" w:color="auto"/>
            <w:bottom w:val="none" w:sz="0" w:space="0" w:color="auto"/>
            <w:right w:val="none" w:sz="0" w:space="0" w:color="auto"/>
          </w:divBdr>
        </w:div>
        <w:div w:id="1286539474">
          <w:marLeft w:val="640"/>
          <w:marRight w:val="0"/>
          <w:marTop w:val="0"/>
          <w:marBottom w:val="0"/>
          <w:divBdr>
            <w:top w:val="none" w:sz="0" w:space="0" w:color="auto"/>
            <w:left w:val="none" w:sz="0" w:space="0" w:color="auto"/>
            <w:bottom w:val="none" w:sz="0" w:space="0" w:color="auto"/>
            <w:right w:val="none" w:sz="0" w:space="0" w:color="auto"/>
          </w:divBdr>
        </w:div>
        <w:div w:id="1559702216">
          <w:marLeft w:val="640"/>
          <w:marRight w:val="0"/>
          <w:marTop w:val="0"/>
          <w:marBottom w:val="0"/>
          <w:divBdr>
            <w:top w:val="none" w:sz="0" w:space="0" w:color="auto"/>
            <w:left w:val="none" w:sz="0" w:space="0" w:color="auto"/>
            <w:bottom w:val="none" w:sz="0" w:space="0" w:color="auto"/>
            <w:right w:val="none" w:sz="0" w:space="0" w:color="auto"/>
          </w:divBdr>
        </w:div>
        <w:div w:id="1526551695">
          <w:marLeft w:val="640"/>
          <w:marRight w:val="0"/>
          <w:marTop w:val="0"/>
          <w:marBottom w:val="0"/>
          <w:divBdr>
            <w:top w:val="none" w:sz="0" w:space="0" w:color="auto"/>
            <w:left w:val="none" w:sz="0" w:space="0" w:color="auto"/>
            <w:bottom w:val="none" w:sz="0" w:space="0" w:color="auto"/>
            <w:right w:val="none" w:sz="0" w:space="0" w:color="auto"/>
          </w:divBdr>
        </w:div>
        <w:div w:id="289215669">
          <w:marLeft w:val="640"/>
          <w:marRight w:val="0"/>
          <w:marTop w:val="0"/>
          <w:marBottom w:val="0"/>
          <w:divBdr>
            <w:top w:val="none" w:sz="0" w:space="0" w:color="auto"/>
            <w:left w:val="none" w:sz="0" w:space="0" w:color="auto"/>
            <w:bottom w:val="none" w:sz="0" w:space="0" w:color="auto"/>
            <w:right w:val="none" w:sz="0" w:space="0" w:color="auto"/>
          </w:divBdr>
        </w:div>
        <w:div w:id="1619675408">
          <w:marLeft w:val="640"/>
          <w:marRight w:val="0"/>
          <w:marTop w:val="0"/>
          <w:marBottom w:val="0"/>
          <w:divBdr>
            <w:top w:val="none" w:sz="0" w:space="0" w:color="auto"/>
            <w:left w:val="none" w:sz="0" w:space="0" w:color="auto"/>
            <w:bottom w:val="none" w:sz="0" w:space="0" w:color="auto"/>
            <w:right w:val="none" w:sz="0" w:space="0" w:color="auto"/>
          </w:divBdr>
        </w:div>
        <w:div w:id="140390970">
          <w:marLeft w:val="640"/>
          <w:marRight w:val="0"/>
          <w:marTop w:val="0"/>
          <w:marBottom w:val="0"/>
          <w:divBdr>
            <w:top w:val="none" w:sz="0" w:space="0" w:color="auto"/>
            <w:left w:val="none" w:sz="0" w:space="0" w:color="auto"/>
            <w:bottom w:val="none" w:sz="0" w:space="0" w:color="auto"/>
            <w:right w:val="none" w:sz="0" w:space="0" w:color="auto"/>
          </w:divBdr>
        </w:div>
        <w:div w:id="1820073899">
          <w:marLeft w:val="640"/>
          <w:marRight w:val="0"/>
          <w:marTop w:val="0"/>
          <w:marBottom w:val="0"/>
          <w:divBdr>
            <w:top w:val="none" w:sz="0" w:space="0" w:color="auto"/>
            <w:left w:val="none" w:sz="0" w:space="0" w:color="auto"/>
            <w:bottom w:val="none" w:sz="0" w:space="0" w:color="auto"/>
            <w:right w:val="none" w:sz="0" w:space="0" w:color="auto"/>
          </w:divBdr>
        </w:div>
        <w:div w:id="1922518516">
          <w:marLeft w:val="640"/>
          <w:marRight w:val="0"/>
          <w:marTop w:val="0"/>
          <w:marBottom w:val="0"/>
          <w:divBdr>
            <w:top w:val="none" w:sz="0" w:space="0" w:color="auto"/>
            <w:left w:val="none" w:sz="0" w:space="0" w:color="auto"/>
            <w:bottom w:val="none" w:sz="0" w:space="0" w:color="auto"/>
            <w:right w:val="none" w:sz="0" w:space="0" w:color="auto"/>
          </w:divBdr>
        </w:div>
        <w:div w:id="864751643">
          <w:marLeft w:val="640"/>
          <w:marRight w:val="0"/>
          <w:marTop w:val="0"/>
          <w:marBottom w:val="0"/>
          <w:divBdr>
            <w:top w:val="none" w:sz="0" w:space="0" w:color="auto"/>
            <w:left w:val="none" w:sz="0" w:space="0" w:color="auto"/>
            <w:bottom w:val="none" w:sz="0" w:space="0" w:color="auto"/>
            <w:right w:val="none" w:sz="0" w:space="0" w:color="auto"/>
          </w:divBdr>
        </w:div>
        <w:div w:id="1819566148">
          <w:marLeft w:val="640"/>
          <w:marRight w:val="0"/>
          <w:marTop w:val="0"/>
          <w:marBottom w:val="0"/>
          <w:divBdr>
            <w:top w:val="none" w:sz="0" w:space="0" w:color="auto"/>
            <w:left w:val="none" w:sz="0" w:space="0" w:color="auto"/>
            <w:bottom w:val="none" w:sz="0" w:space="0" w:color="auto"/>
            <w:right w:val="none" w:sz="0" w:space="0" w:color="auto"/>
          </w:divBdr>
        </w:div>
        <w:div w:id="834688894">
          <w:marLeft w:val="640"/>
          <w:marRight w:val="0"/>
          <w:marTop w:val="0"/>
          <w:marBottom w:val="0"/>
          <w:divBdr>
            <w:top w:val="none" w:sz="0" w:space="0" w:color="auto"/>
            <w:left w:val="none" w:sz="0" w:space="0" w:color="auto"/>
            <w:bottom w:val="none" w:sz="0" w:space="0" w:color="auto"/>
            <w:right w:val="none" w:sz="0" w:space="0" w:color="auto"/>
          </w:divBdr>
        </w:div>
        <w:div w:id="614798256">
          <w:marLeft w:val="640"/>
          <w:marRight w:val="0"/>
          <w:marTop w:val="0"/>
          <w:marBottom w:val="0"/>
          <w:divBdr>
            <w:top w:val="none" w:sz="0" w:space="0" w:color="auto"/>
            <w:left w:val="none" w:sz="0" w:space="0" w:color="auto"/>
            <w:bottom w:val="none" w:sz="0" w:space="0" w:color="auto"/>
            <w:right w:val="none" w:sz="0" w:space="0" w:color="auto"/>
          </w:divBdr>
        </w:div>
        <w:div w:id="1467163896">
          <w:marLeft w:val="640"/>
          <w:marRight w:val="0"/>
          <w:marTop w:val="0"/>
          <w:marBottom w:val="0"/>
          <w:divBdr>
            <w:top w:val="none" w:sz="0" w:space="0" w:color="auto"/>
            <w:left w:val="none" w:sz="0" w:space="0" w:color="auto"/>
            <w:bottom w:val="none" w:sz="0" w:space="0" w:color="auto"/>
            <w:right w:val="none" w:sz="0" w:space="0" w:color="auto"/>
          </w:divBdr>
        </w:div>
        <w:div w:id="1204321522">
          <w:marLeft w:val="640"/>
          <w:marRight w:val="0"/>
          <w:marTop w:val="0"/>
          <w:marBottom w:val="0"/>
          <w:divBdr>
            <w:top w:val="none" w:sz="0" w:space="0" w:color="auto"/>
            <w:left w:val="none" w:sz="0" w:space="0" w:color="auto"/>
            <w:bottom w:val="none" w:sz="0" w:space="0" w:color="auto"/>
            <w:right w:val="none" w:sz="0" w:space="0" w:color="auto"/>
          </w:divBdr>
        </w:div>
        <w:div w:id="2054033">
          <w:marLeft w:val="640"/>
          <w:marRight w:val="0"/>
          <w:marTop w:val="0"/>
          <w:marBottom w:val="0"/>
          <w:divBdr>
            <w:top w:val="none" w:sz="0" w:space="0" w:color="auto"/>
            <w:left w:val="none" w:sz="0" w:space="0" w:color="auto"/>
            <w:bottom w:val="none" w:sz="0" w:space="0" w:color="auto"/>
            <w:right w:val="none" w:sz="0" w:space="0" w:color="auto"/>
          </w:divBdr>
        </w:div>
        <w:div w:id="114638520">
          <w:marLeft w:val="640"/>
          <w:marRight w:val="0"/>
          <w:marTop w:val="0"/>
          <w:marBottom w:val="0"/>
          <w:divBdr>
            <w:top w:val="none" w:sz="0" w:space="0" w:color="auto"/>
            <w:left w:val="none" w:sz="0" w:space="0" w:color="auto"/>
            <w:bottom w:val="none" w:sz="0" w:space="0" w:color="auto"/>
            <w:right w:val="none" w:sz="0" w:space="0" w:color="auto"/>
          </w:divBdr>
        </w:div>
        <w:div w:id="821504644">
          <w:marLeft w:val="640"/>
          <w:marRight w:val="0"/>
          <w:marTop w:val="0"/>
          <w:marBottom w:val="0"/>
          <w:divBdr>
            <w:top w:val="none" w:sz="0" w:space="0" w:color="auto"/>
            <w:left w:val="none" w:sz="0" w:space="0" w:color="auto"/>
            <w:bottom w:val="none" w:sz="0" w:space="0" w:color="auto"/>
            <w:right w:val="none" w:sz="0" w:space="0" w:color="auto"/>
          </w:divBdr>
        </w:div>
        <w:div w:id="451286993">
          <w:marLeft w:val="640"/>
          <w:marRight w:val="0"/>
          <w:marTop w:val="0"/>
          <w:marBottom w:val="0"/>
          <w:divBdr>
            <w:top w:val="none" w:sz="0" w:space="0" w:color="auto"/>
            <w:left w:val="none" w:sz="0" w:space="0" w:color="auto"/>
            <w:bottom w:val="none" w:sz="0" w:space="0" w:color="auto"/>
            <w:right w:val="none" w:sz="0" w:space="0" w:color="auto"/>
          </w:divBdr>
        </w:div>
        <w:div w:id="900867358">
          <w:marLeft w:val="640"/>
          <w:marRight w:val="0"/>
          <w:marTop w:val="0"/>
          <w:marBottom w:val="0"/>
          <w:divBdr>
            <w:top w:val="none" w:sz="0" w:space="0" w:color="auto"/>
            <w:left w:val="none" w:sz="0" w:space="0" w:color="auto"/>
            <w:bottom w:val="none" w:sz="0" w:space="0" w:color="auto"/>
            <w:right w:val="none" w:sz="0" w:space="0" w:color="auto"/>
          </w:divBdr>
        </w:div>
        <w:div w:id="1924488708">
          <w:marLeft w:val="640"/>
          <w:marRight w:val="0"/>
          <w:marTop w:val="0"/>
          <w:marBottom w:val="0"/>
          <w:divBdr>
            <w:top w:val="none" w:sz="0" w:space="0" w:color="auto"/>
            <w:left w:val="none" w:sz="0" w:space="0" w:color="auto"/>
            <w:bottom w:val="none" w:sz="0" w:space="0" w:color="auto"/>
            <w:right w:val="none" w:sz="0" w:space="0" w:color="auto"/>
          </w:divBdr>
        </w:div>
        <w:div w:id="1962883220">
          <w:marLeft w:val="640"/>
          <w:marRight w:val="0"/>
          <w:marTop w:val="0"/>
          <w:marBottom w:val="0"/>
          <w:divBdr>
            <w:top w:val="none" w:sz="0" w:space="0" w:color="auto"/>
            <w:left w:val="none" w:sz="0" w:space="0" w:color="auto"/>
            <w:bottom w:val="none" w:sz="0" w:space="0" w:color="auto"/>
            <w:right w:val="none" w:sz="0" w:space="0" w:color="auto"/>
          </w:divBdr>
        </w:div>
        <w:div w:id="327367755">
          <w:marLeft w:val="640"/>
          <w:marRight w:val="0"/>
          <w:marTop w:val="0"/>
          <w:marBottom w:val="0"/>
          <w:divBdr>
            <w:top w:val="none" w:sz="0" w:space="0" w:color="auto"/>
            <w:left w:val="none" w:sz="0" w:space="0" w:color="auto"/>
            <w:bottom w:val="none" w:sz="0" w:space="0" w:color="auto"/>
            <w:right w:val="none" w:sz="0" w:space="0" w:color="auto"/>
          </w:divBdr>
        </w:div>
        <w:div w:id="444078309">
          <w:marLeft w:val="640"/>
          <w:marRight w:val="0"/>
          <w:marTop w:val="0"/>
          <w:marBottom w:val="0"/>
          <w:divBdr>
            <w:top w:val="none" w:sz="0" w:space="0" w:color="auto"/>
            <w:left w:val="none" w:sz="0" w:space="0" w:color="auto"/>
            <w:bottom w:val="none" w:sz="0" w:space="0" w:color="auto"/>
            <w:right w:val="none" w:sz="0" w:space="0" w:color="auto"/>
          </w:divBdr>
        </w:div>
        <w:div w:id="438109284">
          <w:marLeft w:val="640"/>
          <w:marRight w:val="0"/>
          <w:marTop w:val="0"/>
          <w:marBottom w:val="0"/>
          <w:divBdr>
            <w:top w:val="none" w:sz="0" w:space="0" w:color="auto"/>
            <w:left w:val="none" w:sz="0" w:space="0" w:color="auto"/>
            <w:bottom w:val="none" w:sz="0" w:space="0" w:color="auto"/>
            <w:right w:val="none" w:sz="0" w:space="0" w:color="auto"/>
          </w:divBdr>
        </w:div>
        <w:div w:id="18971959">
          <w:marLeft w:val="640"/>
          <w:marRight w:val="0"/>
          <w:marTop w:val="0"/>
          <w:marBottom w:val="0"/>
          <w:divBdr>
            <w:top w:val="none" w:sz="0" w:space="0" w:color="auto"/>
            <w:left w:val="none" w:sz="0" w:space="0" w:color="auto"/>
            <w:bottom w:val="none" w:sz="0" w:space="0" w:color="auto"/>
            <w:right w:val="none" w:sz="0" w:space="0" w:color="auto"/>
          </w:divBdr>
        </w:div>
        <w:div w:id="1437171003">
          <w:marLeft w:val="640"/>
          <w:marRight w:val="0"/>
          <w:marTop w:val="0"/>
          <w:marBottom w:val="0"/>
          <w:divBdr>
            <w:top w:val="none" w:sz="0" w:space="0" w:color="auto"/>
            <w:left w:val="none" w:sz="0" w:space="0" w:color="auto"/>
            <w:bottom w:val="none" w:sz="0" w:space="0" w:color="auto"/>
            <w:right w:val="none" w:sz="0" w:space="0" w:color="auto"/>
          </w:divBdr>
        </w:div>
        <w:div w:id="12803889">
          <w:marLeft w:val="640"/>
          <w:marRight w:val="0"/>
          <w:marTop w:val="0"/>
          <w:marBottom w:val="0"/>
          <w:divBdr>
            <w:top w:val="none" w:sz="0" w:space="0" w:color="auto"/>
            <w:left w:val="none" w:sz="0" w:space="0" w:color="auto"/>
            <w:bottom w:val="none" w:sz="0" w:space="0" w:color="auto"/>
            <w:right w:val="none" w:sz="0" w:space="0" w:color="auto"/>
          </w:divBdr>
        </w:div>
        <w:div w:id="26757636">
          <w:marLeft w:val="640"/>
          <w:marRight w:val="0"/>
          <w:marTop w:val="0"/>
          <w:marBottom w:val="0"/>
          <w:divBdr>
            <w:top w:val="none" w:sz="0" w:space="0" w:color="auto"/>
            <w:left w:val="none" w:sz="0" w:space="0" w:color="auto"/>
            <w:bottom w:val="none" w:sz="0" w:space="0" w:color="auto"/>
            <w:right w:val="none" w:sz="0" w:space="0" w:color="auto"/>
          </w:divBdr>
        </w:div>
        <w:div w:id="350032972">
          <w:marLeft w:val="640"/>
          <w:marRight w:val="0"/>
          <w:marTop w:val="0"/>
          <w:marBottom w:val="0"/>
          <w:divBdr>
            <w:top w:val="none" w:sz="0" w:space="0" w:color="auto"/>
            <w:left w:val="none" w:sz="0" w:space="0" w:color="auto"/>
            <w:bottom w:val="none" w:sz="0" w:space="0" w:color="auto"/>
            <w:right w:val="none" w:sz="0" w:space="0" w:color="auto"/>
          </w:divBdr>
        </w:div>
        <w:div w:id="984897814">
          <w:marLeft w:val="640"/>
          <w:marRight w:val="0"/>
          <w:marTop w:val="0"/>
          <w:marBottom w:val="0"/>
          <w:divBdr>
            <w:top w:val="none" w:sz="0" w:space="0" w:color="auto"/>
            <w:left w:val="none" w:sz="0" w:space="0" w:color="auto"/>
            <w:bottom w:val="none" w:sz="0" w:space="0" w:color="auto"/>
            <w:right w:val="none" w:sz="0" w:space="0" w:color="auto"/>
          </w:divBdr>
        </w:div>
        <w:div w:id="1368801399">
          <w:marLeft w:val="640"/>
          <w:marRight w:val="0"/>
          <w:marTop w:val="0"/>
          <w:marBottom w:val="0"/>
          <w:divBdr>
            <w:top w:val="none" w:sz="0" w:space="0" w:color="auto"/>
            <w:left w:val="none" w:sz="0" w:space="0" w:color="auto"/>
            <w:bottom w:val="none" w:sz="0" w:space="0" w:color="auto"/>
            <w:right w:val="none" w:sz="0" w:space="0" w:color="auto"/>
          </w:divBdr>
        </w:div>
        <w:div w:id="866454354">
          <w:marLeft w:val="640"/>
          <w:marRight w:val="0"/>
          <w:marTop w:val="0"/>
          <w:marBottom w:val="0"/>
          <w:divBdr>
            <w:top w:val="none" w:sz="0" w:space="0" w:color="auto"/>
            <w:left w:val="none" w:sz="0" w:space="0" w:color="auto"/>
            <w:bottom w:val="none" w:sz="0" w:space="0" w:color="auto"/>
            <w:right w:val="none" w:sz="0" w:space="0" w:color="auto"/>
          </w:divBdr>
        </w:div>
        <w:div w:id="1209487446">
          <w:marLeft w:val="640"/>
          <w:marRight w:val="0"/>
          <w:marTop w:val="0"/>
          <w:marBottom w:val="0"/>
          <w:divBdr>
            <w:top w:val="none" w:sz="0" w:space="0" w:color="auto"/>
            <w:left w:val="none" w:sz="0" w:space="0" w:color="auto"/>
            <w:bottom w:val="none" w:sz="0" w:space="0" w:color="auto"/>
            <w:right w:val="none" w:sz="0" w:space="0" w:color="auto"/>
          </w:divBdr>
        </w:div>
        <w:div w:id="559631882">
          <w:marLeft w:val="640"/>
          <w:marRight w:val="0"/>
          <w:marTop w:val="0"/>
          <w:marBottom w:val="0"/>
          <w:divBdr>
            <w:top w:val="none" w:sz="0" w:space="0" w:color="auto"/>
            <w:left w:val="none" w:sz="0" w:space="0" w:color="auto"/>
            <w:bottom w:val="none" w:sz="0" w:space="0" w:color="auto"/>
            <w:right w:val="none" w:sz="0" w:space="0" w:color="auto"/>
          </w:divBdr>
        </w:div>
        <w:div w:id="2070032790">
          <w:marLeft w:val="640"/>
          <w:marRight w:val="0"/>
          <w:marTop w:val="0"/>
          <w:marBottom w:val="0"/>
          <w:divBdr>
            <w:top w:val="none" w:sz="0" w:space="0" w:color="auto"/>
            <w:left w:val="none" w:sz="0" w:space="0" w:color="auto"/>
            <w:bottom w:val="none" w:sz="0" w:space="0" w:color="auto"/>
            <w:right w:val="none" w:sz="0" w:space="0" w:color="auto"/>
          </w:divBdr>
        </w:div>
        <w:div w:id="1473206956">
          <w:marLeft w:val="640"/>
          <w:marRight w:val="0"/>
          <w:marTop w:val="0"/>
          <w:marBottom w:val="0"/>
          <w:divBdr>
            <w:top w:val="none" w:sz="0" w:space="0" w:color="auto"/>
            <w:left w:val="none" w:sz="0" w:space="0" w:color="auto"/>
            <w:bottom w:val="none" w:sz="0" w:space="0" w:color="auto"/>
            <w:right w:val="none" w:sz="0" w:space="0" w:color="auto"/>
          </w:divBdr>
        </w:div>
        <w:div w:id="317618698">
          <w:marLeft w:val="640"/>
          <w:marRight w:val="0"/>
          <w:marTop w:val="0"/>
          <w:marBottom w:val="0"/>
          <w:divBdr>
            <w:top w:val="none" w:sz="0" w:space="0" w:color="auto"/>
            <w:left w:val="none" w:sz="0" w:space="0" w:color="auto"/>
            <w:bottom w:val="none" w:sz="0" w:space="0" w:color="auto"/>
            <w:right w:val="none" w:sz="0" w:space="0" w:color="auto"/>
          </w:divBdr>
        </w:div>
        <w:div w:id="144901658">
          <w:marLeft w:val="640"/>
          <w:marRight w:val="0"/>
          <w:marTop w:val="0"/>
          <w:marBottom w:val="0"/>
          <w:divBdr>
            <w:top w:val="none" w:sz="0" w:space="0" w:color="auto"/>
            <w:left w:val="none" w:sz="0" w:space="0" w:color="auto"/>
            <w:bottom w:val="none" w:sz="0" w:space="0" w:color="auto"/>
            <w:right w:val="none" w:sz="0" w:space="0" w:color="auto"/>
          </w:divBdr>
        </w:div>
        <w:div w:id="560137862">
          <w:marLeft w:val="640"/>
          <w:marRight w:val="0"/>
          <w:marTop w:val="0"/>
          <w:marBottom w:val="0"/>
          <w:divBdr>
            <w:top w:val="none" w:sz="0" w:space="0" w:color="auto"/>
            <w:left w:val="none" w:sz="0" w:space="0" w:color="auto"/>
            <w:bottom w:val="none" w:sz="0" w:space="0" w:color="auto"/>
            <w:right w:val="none" w:sz="0" w:space="0" w:color="auto"/>
          </w:divBdr>
        </w:div>
        <w:div w:id="1138456738">
          <w:marLeft w:val="640"/>
          <w:marRight w:val="0"/>
          <w:marTop w:val="0"/>
          <w:marBottom w:val="0"/>
          <w:divBdr>
            <w:top w:val="none" w:sz="0" w:space="0" w:color="auto"/>
            <w:left w:val="none" w:sz="0" w:space="0" w:color="auto"/>
            <w:bottom w:val="none" w:sz="0" w:space="0" w:color="auto"/>
            <w:right w:val="none" w:sz="0" w:space="0" w:color="auto"/>
          </w:divBdr>
        </w:div>
        <w:div w:id="119883971">
          <w:marLeft w:val="640"/>
          <w:marRight w:val="0"/>
          <w:marTop w:val="0"/>
          <w:marBottom w:val="0"/>
          <w:divBdr>
            <w:top w:val="none" w:sz="0" w:space="0" w:color="auto"/>
            <w:left w:val="none" w:sz="0" w:space="0" w:color="auto"/>
            <w:bottom w:val="none" w:sz="0" w:space="0" w:color="auto"/>
            <w:right w:val="none" w:sz="0" w:space="0" w:color="auto"/>
          </w:divBdr>
        </w:div>
        <w:div w:id="134952196">
          <w:marLeft w:val="640"/>
          <w:marRight w:val="0"/>
          <w:marTop w:val="0"/>
          <w:marBottom w:val="0"/>
          <w:divBdr>
            <w:top w:val="none" w:sz="0" w:space="0" w:color="auto"/>
            <w:left w:val="none" w:sz="0" w:space="0" w:color="auto"/>
            <w:bottom w:val="none" w:sz="0" w:space="0" w:color="auto"/>
            <w:right w:val="none" w:sz="0" w:space="0" w:color="auto"/>
          </w:divBdr>
        </w:div>
        <w:div w:id="2053653442">
          <w:marLeft w:val="640"/>
          <w:marRight w:val="0"/>
          <w:marTop w:val="0"/>
          <w:marBottom w:val="0"/>
          <w:divBdr>
            <w:top w:val="none" w:sz="0" w:space="0" w:color="auto"/>
            <w:left w:val="none" w:sz="0" w:space="0" w:color="auto"/>
            <w:bottom w:val="none" w:sz="0" w:space="0" w:color="auto"/>
            <w:right w:val="none" w:sz="0" w:space="0" w:color="auto"/>
          </w:divBdr>
        </w:div>
        <w:div w:id="39091352">
          <w:marLeft w:val="640"/>
          <w:marRight w:val="0"/>
          <w:marTop w:val="0"/>
          <w:marBottom w:val="0"/>
          <w:divBdr>
            <w:top w:val="none" w:sz="0" w:space="0" w:color="auto"/>
            <w:left w:val="none" w:sz="0" w:space="0" w:color="auto"/>
            <w:bottom w:val="none" w:sz="0" w:space="0" w:color="auto"/>
            <w:right w:val="none" w:sz="0" w:space="0" w:color="auto"/>
          </w:divBdr>
        </w:div>
        <w:div w:id="77141096">
          <w:marLeft w:val="640"/>
          <w:marRight w:val="0"/>
          <w:marTop w:val="0"/>
          <w:marBottom w:val="0"/>
          <w:divBdr>
            <w:top w:val="none" w:sz="0" w:space="0" w:color="auto"/>
            <w:left w:val="none" w:sz="0" w:space="0" w:color="auto"/>
            <w:bottom w:val="none" w:sz="0" w:space="0" w:color="auto"/>
            <w:right w:val="none" w:sz="0" w:space="0" w:color="auto"/>
          </w:divBdr>
        </w:div>
        <w:div w:id="1698770029">
          <w:marLeft w:val="640"/>
          <w:marRight w:val="0"/>
          <w:marTop w:val="0"/>
          <w:marBottom w:val="0"/>
          <w:divBdr>
            <w:top w:val="none" w:sz="0" w:space="0" w:color="auto"/>
            <w:left w:val="none" w:sz="0" w:space="0" w:color="auto"/>
            <w:bottom w:val="none" w:sz="0" w:space="0" w:color="auto"/>
            <w:right w:val="none" w:sz="0" w:space="0" w:color="auto"/>
          </w:divBdr>
        </w:div>
        <w:div w:id="1786198126">
          <w:marLeft w:val="640"/>
          <w:marRight w:val="0"/>
          <w:marTop w:val="0"/>
          <w:marBottom w:val="0"/>
          <w:divBdr>
            <w:top w:val="none" w:sz="0" w:space="0" w:color="auto"/>
            <w:left w:val="none" w:sz="0" w:space="0" w:color="auto"/>
            <w:bottom w:val="none" w:sz="0" w:space="0" w:color="auto"/>
            <w:right w:val="none" w:sz="0" w:space="0" w:color="auto"/>
          </w:divBdr>
        </w:div>
        <w:div w:id="1645697058">
          <w:marLeft w:val="640"/>
          <w:marRight w:val="0"/>
          <w:marTop w:val="0"/>
          <w:marBottom w:val="0"/>
          <w:divBdr>
            <w:top w:val="none" w:sz="0" w:space="0" w:color="auto"/>
            <w:left w:val="none" w:sz="0" w:space="0" w:color="auto"/>
            <w:bottom w:val="none" w:sz="0" w:space="0" w:color="auto"/>
            <w:right w:val="none" w:sz="0" w:space="0" w:color="auto"/>
          </w:divBdr>
        </w:div>
        <w:div w:id="817066885">
          <w:marLeft w:val="640"/>
          <w:marRight w:val="0"/>
          <w:marTop w:val="0"/>
          <w:marBottom w:val="0"/>
          <w:divBdr>
            <w:top w:val="none" w:sz="0" w:space="0" w:color="auto"/>
            <w:left w:val="none" w:sz="0" w:space="0" w:color="auto"/>
            <w:bottom w:val="none" w:sz="0" w:space="0" w:color="auto"/>
            <w:right w:val="none" w:sz="0" w:space="0" w:color="auto"/>
          </w:divBdr>
        </w:div>
        <w:div w:id="1395590805">
          <w:marLeft w:val="640"/>
          <w:marRight w:val="0"/>
          <w:marTop w:val="0"/>
          <w:marBottom w:val="0"/>
          <w:divBdr>
            <w:top w:val="none" w:sz="0" w:space="0" w:color="auto"/>
            <w:left w:val="none" w:sz="0" w:space="0" w:color="auto"/>
            <w:bottom w:val="none" w:sz="0" w:space="0" w:color="auto"/>
            <w:right w:val="none" w:sz="0" w:space="0" w:color="auto"/>
          </w:divBdr>
        </w:div>
        <w:div w:id="2129085541">
          <w:marLeft w:val="640"/>
          <w:marRight w:val="0"/>
          <w:marTop w:val="0"/>
          <w:marBottom w:val="0"/>
          <w:divBdr>
            <w:top w:val="none" w:sz="0" w:space="0" w:color="auto"/>
            <w:left w:val="none" w:sz="0" w:space="0" w:color="auto"/>
            <w:bottom w:val="none" w:sz="0" w:space="0" w:color="auto"/>
            <w:right w:val="none" w:sz="0" w:space="0" w:color="auto"/>
          </w:divBdr>
        </w:div>
        <w:div w:id="1782141297">
          <w:marLeft w:val="640"/>
          <w:marRight w:val="0"/>
          <w:marTop w:val="0"/>
          <w:marBottom w:val="0"/>
          <w:divBdr>
            <w:top w:val="none" w:sz="0" w:space="0" w:color="auto"/>
            <w:left w:val="none" w:sz="0" w:space="0" w:color="auto"/>
            <w:bottom w:val="none" w:sz="0" w:space="0" w:color="auto"/>
            <w:right w:val="none" w:sz="0" w:space="0" w:color="auto"/>
          </w:divBdr>
        </w:div>
        <w:div w:id="2016422702">
          <w:marLeft w:val="640"/>
          <w:marRight w:val="0"/>
          <w:marTop w:val="0"/>
          <w:marBottom w:val="0"/>
          <w:divBdr>
            <w:top w:val="none" w:sz="0" w:space="0" w:color="auto"/>
            <w:left w:val="none" w:sz="0" w:space="0" w:color="auto"/>
            <w:bottom w:val="none" w:sz="0" w:space="0" w:color="auto"/>
            <w:right w:val="none" w:sz="0" w:space="0" w:color="auto"/>
          </w:divBdr>
        </w:div>
        <w:div w:id="584077151">
          <w:marLeft w:val="640"/>
          <w:marRight w:val="0"/>
          <w:marTop w:val="0"/>
          <w:marBottom w:val="0"/>
          <w:divBdr>
            <w:top w:val="none" w:sz="0" w:space="0" w:color="auto"/>
            <w:left w:val="none" w:sz="0" w:space="0" w:color="auto"/>
            <w:bottom w:val="none" w:sz="0" w:space="0" w:color="auto"/>
            <w:right w:val="none" w:sz="0" w:space="0" w:color="auto"/>
          </w:divBdr>
        </w:div>
        <w:div w:id="2100714471">
          <w:marLeft w:val="640"/>
          <w:marRight w:val="0"/>
          <w:marTop w:val="0"/>
          <w:marBottom w:val="0"/>
          <w:divBdr>
            <w:top w:val="none" w:sz="0" w:space="0" w:color="auto"/>
            <w:left w:val="none" w:sz="0" w:space="0" w:color="auto"/>
            <w:bottom w:val="none" w:sz="0" w:space="0" w:color="auto"/>
            <w:right w:val="none" w:sz="0" w:space="0" w:color="auto"/>
          </w:divBdr>
        </w:div>
        <w:div w:id="1159076012">
          <w:marLeft w:val="640"/>
          <w:marRight w:val="0"/>
          <w:marTop w:val="0"/>
          <w:marBottom w:val="0"/>
          <w:divBdr>
            <w:top w:val="none" w:sz="0" w:space="0" w:color="auto"/>
            <w:left w:val="none" w:sz="0" w:space="0" w:color="auto"/>
            <w:bottom w:val="none" w:sz="0" w:space="0" w:color="auto"/>
            <w:right w:val="none" w:sz="0" w:space="0" w:color="auto"/>
          </w:divBdr>
        </w:div>
        <w:div w:id="61220073">
          <w:marLeft w:val="640"/>
          <w:marRight w:val="0"/>
          <w:marTop w:val="0"/>
          <w:marBottom w:val="0"/>
          <w:divBdr>
            <w:top w:val="none" w:sz="0" w:space="0" w:color="auto"/>
            <w:left w:val="none" w:sz="0" w:space="0" w:color="auto"/>
            <w:bottom w:val="none" w:sz="0" w:space="0" w:color="auto"/>
            <w:right w:val="none" w:sz="0" w:space="0" w:color="auto"/>
          </w:divBdr>
        </w:div>
        <w:div w:id="289435203">
          <w:marLeft w:val="640"/>
          <w:marRight w:val="0"/>
          <w:marTop w:val="0"/>
          <w:marBottom w:val="0"/>
          <w:divBdr>
            <w:top w:val="none" w:sz="0" w:space="0" w:color="auto"/>
            <w:left w:val="none" w:sz="0" w:space="0" w:color="auto"/>
            <w:bottom w:val="none" w:sz="0" w:space="0" w:color="auto"/>
            <w:right w:val="none" w:sz="0" w:space="0" w:color="auto"/>
          </w:divBdr>
        </w:div>
        <w:div w:id="808088253">
          <w:marLeft w:val="640"/>
          <w:marRight w:val="0"/>
          <w:marTop w:val="0"/>
          <w:marBottom w:val="0"/>
          <w:divBdr>
            <w:top w:val="none" w:sz="0" w:space="0" w:color="auto"/>
            <w:left w:val="none" w:sz="0" w:space="0" w:color="auto"/>
            <w:bottom w:val="none" w:sz="0" w:space="0" w:color="auto"/>
            <w:right w:val="none" w:sz="0" w:space="0" w:color="auto"/>
          </w:divBdr>
        </w:div>
        <w:div w:id="1626547391">
          <w:marLeft w:val="640"/>
          <w:marRight w:val="0"/>
          <w:marTop w:val="0"/>
          <w:marBottom w:val="0"/>
          <w:divBdr>
            <w:top w:val="none" w:sz="0" w:space="0" w:color="auto"/>
            <w:left w:val="none" w:sz="0" w:space="0" w:color="auto"/>
            <w:bottom w:val="none" w:sz="0" w:space="0" w:color="auto"/>
            <w:right w:val="none" w:sz="0" w:space="0" w:color="auto"/>
          </w:divBdr>
        </w:div>
        <w:div w:id="1094396238">
          <w:marLeft w:val="640"/>
          <w:marRight w:val="0"/>
          <w:marTop w:val="0"/>
          <w:marBottom w:val="0"/>
          <w:divBdr>
            <w:top w:val="none" w:sz="0" w:space="0" w:color="auto"/>
            <w:left w:val="none" w:sz="0" w:space="0" w:color="auto"/>
            <w:bottom w:val="none" w:sz="0" w:space="0" w:color="auto"/>
            <w:right w:val="none" w:sz="0" w:space="0" w:color="auto"/>
          </w:divBdr>
        </w:div>
        <w:div w:id="597063452">
          <w:marLeft w:val="640"/>
          <w:marRight w:val="0"/>
          <w:marTop w:val="0"/>
          <w:marBottom w:val="0"/>
          <w:divBdr>
            <w:top w:val="none" w:sz="0" w:space="0" w:color="auto"/>
            <w:left w:val="none" w:sz="0" w:space="0" w:color="auto"/>
            <w:bottom w:val="none" w:sz="0" w:space="0" w:color="auto"/>
            <w:right w:val="none" w:sz="0" w:space="0" w:color="auto"/>
          </w:divBdr>
        </w:div>
        <w:div w:id="240528864">
          <w:marLeft w:val="640"/>
          <w:marRight w:val="0"/>
          <w:marTop w:val="0"/>
          <w:marBottom w:val="0"/>
          <w:divBdr>
            <w:top w:val="none" w:sz="0" w:space="0" w:color="auto"/>
            <w:left w:val="none" w:sz="0" w:space="0" w:color="auto"/>
            <w:bottom w:val="none" w:sz="0" w:space="0" w:color="auto"/>
            <w:right w:val="none" w:sz="0" w:space="0" w:color="auto"/>
          </w:divBdr>
        </w:div>
        <w:div w:id="1855455831">
          <w:marLeft w:val="640"/>
          <w:marRight w:val="0"/>
          <w:marTop w:val="0"/>
          <w:marBottom w:val="0"/>
          <w:divBdr>
            <w:top w:val="none" w:sz="0" w:space="0" w:color="auto"/>
            <w:left w:val="none" w:sz="0" w:space="0" w:color="auto"/>
            <w:bottom w:val="none" w:sz="0" w:space="0" w:color="auto"/>
            <w:right w:val="none" w:sz="0" w:space="0" w:color="auto"/>
          </w:divBdr>
        </w:div>
        <w:div w:id="1451431884">
          <w:marLeft w:val="640"/>
          <w:marRight w:val="0"/>
          <w:marTop w:val="0"/>
          <w:marBottom w:val="0"/>
          <w:divBdr>
            <w:top w:val="none" w:sz="0" w:space="0" w:color="auto"/>
            <w:left w:val="none" w:sz="0" w:space="0" w:color="auto"/>
            <w:bottom w:val="none" w:sz="0" w:space="0" w:color="auto"/>
            <w:right w:val="none" w:sz="0" w:space="0" w:color="auto"/>
          </w:divBdr>
        </w:div>
        <w:div w:id="1802572038">
          <w:marLeft w:val="640"/>
          <w:marRight w:val="0"/>
          <w:marTop w:val="0"/>
          <w:marBottom w:val="0"/>
          <w:divBdr>
            <w:top w:val="none" w:sz="0" w:space="0" w:color="auto"/>
            <w:left w:val="none" w:sz="0" w:space="0" w:color="auto"/>
            <w:bottom w:val="none" w:sz="0" w:space="0" w:color="auto"/>
            <w:right w:val="none" w:sz="0" w:space="0" w:color="auto"/>
          </w:divBdr>
        </w:div>
        <w:div w:id="749425760">
          <w:marLeft w:val="640"/>
          <w:marRight w:val="0"/>
          <w:marTop w:val="0"/>
          <w:marBottom w:val="0"/>
          <w:divBdr>
            <w:top w:val="none" w:sz="0" w:space="0" w:color="auto"/>
            <w:left w:val="none" w:sz="0" w:space="0" w:color="auto"/>
            <w:bottom w:val="none" w:sz="0" w:space="0" w:color="auto"/>
            <w:right w:val="none" w:sz="0" w:space="0" w:color="auto"/>
          </w:divBdr>
        </w:div>
        <w:div w:id="2145728273">
          <w:marLeft w:val="640"/>
          <w:marRight w:val="0"/>
          <w:marTop w:val="0"/>
          <w:marBottom w:val="0"/>
          <w:divBdr>
            <w:top w:val="none" w:sz="0" w:space="0" w:color="auto"/>
            <w:left w:val="none" w:sz="0" w:space="0" w:color="auto"/>
            <w:bottom w:val="none" w:sz="0" w:space="0" w:color="auto"/>
            <w:right w:val="none" w:sz="0" w:space="0" w:color="auto"/>
          </w:divBdr>
        </w:div>
        <w:div w:id="792139635">
          <w:marLeft w:val="640"/>
          <w:marRight w:val="0"/>
          <w:marTop w:val="0"/>
          <w:marBottom w:val="0"/>
          <w:divBdr>
            <w:top w:val="none" w:sz="0" w:space="0" w:color="auto"/>
            <w:left w:val="none" w:sz="0" w:space="0" w:color="auto"/>
            <w:bottom w:val="none" w:sz="0" w:space="0" w:color="auto"/>
            <w:right w:val="none" w:sz="0" w:space="0" w:color="auto"/>
          </w:divBdr>
        </w:div>
        <w:div w:id="337272049">
          <w:marLeft w:val="640"/>
          <w:marRight w:val="0"/>
          <w:marTop w:val="0"/>
          <w:marBottom w:val="0"/>
          <w:divBdr>
            <w:top w:val="none" w:sz="0" w:space="0" w:color="auto"/>
            <w:left w:val="none" w:sz="0" w:space="0" w:color="auto"/>
            <w:bottom w:val="none" w:sz="0" w:space="0" w:color="auto"/>
            <w:right w:val="none" w:sz="0" w:space="0" w:color="auto"/>
          </w:divBdr>
        </w:div>
        <w:div w:id="992029159">
          <w:marLeft w:val="640"/>
          <w:marRight w:val="0"/>
          <w:marTop w:val="0"/>
          <w:marBottom w:val="0"/>
          <w:divBdr>
            <w:top w:val="none" w:sz="0" w:space="0" w:color="auto"/>
            <w:left w:val="none" w:sz="0" w:space="0" w:color="auto"/>
            <w:bottom w:val="none" w:sz="0" w:space="0" w:color="auto"/>
            <w:right w:val="none" w:sz="0" w:space="0" w:color="auto"/>
          </w:divBdr>
        </w:div>
        <w:div w:id="331880660">
          <w:marLeft w:val="640"/>
          <w:marRight w:val="0"/>
          <w:marTop w:val="0"/>
          <w:marBottom w:val="0"/>
          <w:divBdr>
            <w:top w:val="none" w:sz="0" w:space="0" w:color="auto"/>
            <w:left w:val="none" w:sz="0" w:space="0" w:color="auto"/>
            <w:bottom w:val="none" w:sz="0" w:space="0" w:color="auto"/>
            <w:right w:val="none" w:sz="0" w:space="0" w:color="auto"/>
          </w:divBdr>
        </w:div>
        <w:div w:id="19866727">
          <w:marLeft w:val="640"/>
          <w:marRight w:val="0"/>
          <w:marTop w:val="0"/>
          <w:marBottom w:val="0"/>
          <w:divBdr>
            <w:top w:val="none" w:sz="0" w:space="0" w:color="auto"/>
            <w:left w:val="none" w:sz="0" w:space="0" w:color="auto"/>
            <w:bottom w:val="none" w:sz="0" w:space="0" w:color="auto"/>
            <w:right w:val="none" w:sz="0" w:space="0" w:color="auto"/>
          </w:divBdr>
        </w:div>
        <w:div w:id="186992184">
          <w:marLeft w:val="640"/>
          <w:marRight w:val="0"/>
          <w:marTop w:val="0"/>
          <w:marBottom w:val="0"/>
          <w:divBdr>
            <w:top w:val="none" w:sz="0" w:space="0" w:color="auto"/>
            <w:left w:val="none" w:sz="0" w:space="0" w:color="auto"/>
            <w:bottom w:val="none" w:sz="0" w:space="0" w:color="auto"/>
            <w:right w:val="none" w:sz="0" w:space="0" w:color="auto"/>
          </w:divBdr>
        </w:div>
        <w:div w:id="1792941109">
          <w:marLeft w:val="640"/>
          <w:marRight w:val="0"/>
          <w:marTop w:val="0"/>
          <w:marBottom w:val="0"/>
          <w:divBdr>
            <w:top w:val="none" w:sz="0" w:space="0" w:color="auto"/>
            <w:left w:val="none" w:sz="0" w:space="0" w:color="auto"/>
            <w:bottom w:val="none" w:sz="0" w:space="0" w:color="auto"/>
            <w:right w:val="none" w:sz="0" w:space="0" w:color="auto"/>
          </w:divBdr>
        </w:div>
        <w:div w:id="791557847">
          <w:marLeft w:val="640"/>
          <w:marRight w:val="0"/>
          <w:marTop w:val="0"/>
          <w:marBottom w:val="0"/>
          <w:divBdr>
            <w:top w:val="none" w:sz="0" w:space="0" w:color="auto"/>
            <w:left w:val="none" w:sz="0" w:space="0" w:color="auto"/>
            <w:bottom w:val="none" w:sz="0" w:space="0" w:color="auto"/>
            <w:right w:val="none" w:sz="0" w:space="0" w:color="auto"/>
          </w:divBdr>
        </w:div>
        <w:div w:id="1843543054">
          <w:marLeft w:val="640"/>
          <w:marRight w:val="0"/>
          <w:marTop w:val="0"/>
          <w:marBottom w:val="0"/>
          <w:divBdr>
            <w:top w:val="none" w:sz="0" w:space="0" w:color="auto"/>
            <w:left w:val="none" w:sz="0" w:space="0" w:color="auto"/>
            <w:bottom w:val="none" w:sz="0" w:space="0" w:color="auto"/>
            <w:right w:val="none" w:sz="0" w:space="0" w:color="auto"/>
          </w:divBdr>
        </w:div>
        <w:div w:id="2060741284">
          <w:marLeft w:val="640"/>
          <w:marRight w:val="0"/>
          <w:marTop w:val="0"/>
          <w:marBottom w:val="0"/>
          <w:divBdr>
            <w:top w:val="none" w:sz="0" w:space="0" w:color="auto"/>
            <w:left w:val="none" w:sz="0" w:space="0" w:color="auto"/>
            <w:bottom w:val="none" w:sz="0" w:space="0" w:color="auto"/>
            <w:right w:val="none" w:sz="0" w:space="0" w:color="auto"/>
          </w:divBdr>
        </w:div>
        <w:div w:id="941451959">
          <w:marLeft w:val="640"/>
          <w:marRight w:val="0"/>
          <w:marTop w:val="0"/>
          <w:marBottom w:val="0"/>
          <w:divBdr>
            <w:top w:val="none" w:sz="0" w:space="0" w:color="auto"/>
            <w:left w:val="none" w:sz="0" w:space="0" w:color="auto"/>
            <w:bottom w:val="none" w:sz="0" w:space="0" w:color="auto"/>
            <w:right w:val="none" w:sz="0" w:space="0" w:color="auto"/>
          </w:divBdr>
        </w:div>
        <w:div w:id="292056629">
          <w:marLeft w:val="640"/>
          <w:marRight w:val="0"/>
          <w:marTop w:val="0"/>
          <w:marBottom w:val="0"/>
          <w:divBdr>
            <w:top w:val="none" w:sz="0" w:space="0" w:color="auto"/>
            <w:left w:val="none" w:sz="0" w:space="0" w:color="auto"/>
            <w:bottom w:val="none" w:sz="0" w:space="0" w:color="auto"/>
            <w:right w:val="none" w:sz="0" w:space="0" w:color="auto"/>
          </w:divBdr>
        </w:div>
        <w:div w:id="51274099">
          <w:marLeft w:val="640"/>
          <w:marRight w:val="0"/>
          <w:marTop w:val="0"/>
          <w:marBottom w:val="0"/>
          <w:divBdr>
            <w:top w:val="none" w:sz="0" w:space="0" w:color="auto"/>
            <w:left w:val="none" w:sz="0" w:space="0" w:color="auto"/>
            <w:bottom w:val="none" w:sz="0" w:space="0" w:color="auto"/>
            <w:right w:val="none" w:sz="0" w:space="0" w:color="auto"/>
          </w:divBdr>
        </w:div>
        <w:div w:id="794829736">
          <w:marLeft w:val="640"/>
          <w:marRight w:val="0"/>
          <w:marTop w:val="0"/>
          <w:marBottom w:val="0"/>
          <w:divBdr>
            <w:top w:val="none" w:sz="0" w:space="0" w:color="auto"/>
            <w:left w:val="none" w:sz="0" w:space="0" w:color="auto"/>
            <w:bottom w:val="none" w:sz="0" w:space="0" w:color="auto"/>
            <w:right w:val="none" w:sz="0" w:space="0" w:color="auto"/>
          </w:divBdr>
        </w:div>
        <w:div w:id="1981494421">
          <w:marLeft w:val="640"/>
          <w:marRight w:val="0"/>
          <w:marTop w:val="0"/>
          <w:marBottom w:val="0"/>
          <w:divBdr>
            <w:top w:val="none" w:sz="0" w:space="0" w:color="auto"/>
            <w:left w:val="none" w:sz="0" w:space="0" w:color="auto"/>
            <w:bottom w:val="none" w:sz="0" w:space="0" w:color="auto"/>
            <w:right w:val="none" w:sz="0" w:space="0" w:color="auto"/>
          </w:divBdr>
        </w:div>
        <w:div w:id="1590433167">
          <w:marLeft w:val="640"/>
          <w:marRight w:val="0"/>
          <w:marTop w:val="0"/>
          <w:marBottom w:val="0"/>
          <w:divBdr>
            <w:top w:val="none" w:sz="0" w:space="0" w:color="auto"/>
            <w:left w:val="none" w:sz="0" w:space="0" w:color="auto"/>
            <w:bottom w:val="none" w:sz="0" w:space="0" w:color="auto"/>
            <w:right w:val="none" w:sz="0" w:space="0" w:color="auto"/>
          </w:divBdr>
        </w:div>
        <w:div w:id="392851402">
          <w:marLeft w:val="640"/>
          <w:marRight w:val="0"/>
          <w:marTop w:val="0"/>
          <w:marBottom w:val="0"/>
          <w:divBdr>
            <w:top w:val="none" w:sz="0" w:space="0" w:color="auto"/>
            <w:left w:val="none" w:sz="0" w:space="0" w:color="auto"/>
            <w:bottom w:val="none" w:sz="0" w:space="0" w:color="auto"/>
            <w:right w:val="none" w:sz="0" w:space="0" w:color="auto"/>
          </w:divBdr>
        </w:div>
        <w:div w:id="1251163180">
          <w:marLeft w:val="640"/>
          <w:marRight w:val="0"/>
          <w:marTop w:val="0"/>
          <w:marBottom w:val="0"/>
          <w:divBdr>
            <w:top w:val="none" w:sz="0" w:space="0" w:color="auto"/>
            <w:left w:val="none" w:sz="0" w:space="0" w:color="auto"/>
            <w:bottom w:val="none" w:sz="0" w:space="0" w:color="auto"/>
            <w:right w:val="none" w:sz="0" w:space="0" w:color="auto"/>
          </w:divBdr>
        </w:div>
        <w:div w:id="2009016570">
          <w:marLeft w:val="640"/>
          <w:marRight w:val="0"/>
          <w:marTop w:val="0"/>
          <w:marBottom w:val="0"/>
          <w:divBdr>
            <w:top w:val="none" w:sz="0" w:space="0" w:color="auto"/>
            <w:left w:val="none" w:sz="0" w:space="0" w:color="auto"/>
            <w:bottom w:val="none" w:sz="0" w:space="0" w:color="auto"/>
            <w:right w:val="none" w:sz="0" w:space="0" w:color="auto"/>
          </w:divBdr>
        </w:div>
        <w:div w:id="193614040">
          <w:marLeft w:val="640"/>
          <w:marRight w:val="0"/>
          <w:marTop w:val="0"/>
          <w:marBottom w:val="0"/>
          <w:divBdr>
            <w:top w:val="none" w:sz="0" w:space="0" w:color="auto"/>
            <w:left w:val="none" w:sz="0" w:space="0" w:color="auto"/>
            <w:bottom w:val="none" w:sz="0" w:space="0" w:color="auto"/>
            <w:right w:val="none" w:sz="0" w:space="0" w:color="auto"/>
          </w:divBdr>
        </w:div>
        <w:div w:id="256255547">
          <w:marLeft w:val="640"/>
          <w:marRight w:val="0"/>
          <w:marTop w:val="0"/>
          <w:marBottom w:val="0"/>
          <w:divBdr>
            <w:top w:val="none" w:sz="0" w:space="0" w:color="auto"/>
            <w:left w:val="none" w:sz="0" w:space="0" w:color="auto"/>
            <w:bottom w:val="none" w:sz="0" w:space="0" w:color="auto"/>
            <w:right w:val="none" w:sz="0" w:space="0" w:color="auto"/>
          </w:divBdr>
        </w:div>
        <w:div w:id="1093622214">
          <w:marLeft w:val="640"/>
          <w:marRight w:val="0"/>
          <w:marTop w:val="0"/>
          <w:marBottom w:val="0"/>
          <w:divBdr>
            <w:top w:val="none" w:sz="0" w:space="0" w:color="auto"/>
            <w:left w:val="none" w:sz="0" w:space="0" w:color="auto"/>
            <w:bottom w:val="none" w:sz="0" w:space="0" w:color="auto"/>
            <w:right w:val="none" w:sz="0" w:space="0" w:color="auto"/>
          </w:divBdr>
        </w:div>
        <w:div w:id="720832222">
          <w:marLeft w:val="640"/>
          <w:marRight w:val="0"/>
          <w:marTop w:val="0"/>
          <w:marBottom w:val="0"/>
          <w:divBdr>
            <w:top w:val="none" w:sz="0" w:space="0" w:color="auto"/>
            <w:left w:val="none" w:sz="0" w:space="0" w:color="auto"/>
            <w:bottom w:val="none" w:sz="0" w:space="0" w:color="auto"/>
            <w:right w:val="none" w:sz="0" w:space="0" w:color="auto"/>
          </w:divBdr>
        </w:div>
        <w:div w:id="2043508157">
          <w:marLeft w:val="640"/>
          <w:marRight w:val="0"/>
          <w:marTop w:val="0"/>
          <w:marBottom w:val="0"/>
          <w:divBdr>
            <w:top w:val="none" w:sz="0" w:space="0" w:color="auto"/>
            <w:left w:val="none" w:sz="0" w:space="0" w:color="auto"/>
            <w:bottom w:val="none" w:sz="0" w:space="0" w:color="auto"/>
            <w:right w:val="none" w:sz="0" w:space="0" w:color="auto"/>
          </w:divBdr>
        </w:div>
        <w:div w:id="1888755580">
          <w:marLeft w:val="640"/>
          <w:marRight w:val="0"/>
          <w:marTop w:val="0"/>
          <w:marBottom w:val="0"/>
          <w:divBdr>
            <w:top w:val="none" w:sz="0" w:space="0" w:color="auto"/>
            <w:left w:val="none" w:sz="0" w:space="0" w:color="auto"/>
            <w:bottom w:val="none" w:sz="0" w:space="0" w:color="auto"/>
            <w:right w:val="none" w:sz="0" w:space="0" w:color="auto"/>
          </w:divBdr>
        </w:div>
        <w:div w:id="1832914528">
          <w:marLeft w:val="640"/>
          <w:marRight w:val="0"/>
          <w:marTop w:val="0"/>
          <w:marBottom w:val="0"/>
          <w:divBdr>
            <w:top w:val="none" w:sz="0" w:space="0" w:color="auto"/>
            <w:left w:val="none" w:sz="0" w:space="0" w:color="auto"/>
            <w:bottom w:val="none" w:sz="0" w:space="0" w:color="auto"/>
            <w:right w:val="none" w:sz="0" w:space="0" w:color="auto"/>
          </w:divBdr>
        </w:div>
        <w:div w:id="2102138200">
          <w:marLeft w:val="640"/>
          <w:marRight w:val="0"/>
          <w:marTop w:val="0"/>
          <w:marBottom w:val="0"/>
          <w:divBdr>
            <w:top w:val="none" w:sz="0" w:space="0" w:color="auto"/>
            <w:left w:val="none" w:sz="0" w:space="0" w:color="auto"/>
            <w:bottom w:val="none" w:sz="0" w:space="0" w:color="auto"/>
            <w:right w:val="none" w:sz="0" w:space="0" w:color="auto"/>
          </w:divBdr>
        </w:div>
        <w:div w:id="1650287723">
          <w:marLeft w:val="640"/>
          <w:marRight w:val="0"/>
          <w:marTop w:val="0"/>
          <w:marBottom w:val="0"/>
          <w:divBdr>
            <w:top w:val="none" w:sz="0" w:space="0" w:color="auto"/>
            <w:left w:val="none" w:sz="0" w:space="0" w:color="auto"/>
            <w:bottom w:val="none" w:sz="0" w:space="0" w:color="auto"/>
            <w:right w:val="none" w:sz="0" w:space="0" w:color="auto"/>
          </w:divBdr>
        </w:div>
        <w:div w:id="130055930">
          <w:marLeft w:val="640"/>
          <w:marRight w:val="0"/>
          <w:marTop w:val="0"/>
          <w:marBottom w:val="0"/>
          <w:divBdr>
            <w:top w:val="none" w:sz="0" w:space="0" w:color="auto"/>
            <w:left w:val="none" w:sz="0" w:space="0" w:color="auto"/>
            <w:bottom w:val="none" w:sz="0" w:space="0" w:color="auto"/>
            <w:right w:val="none" w:sz="0" w:space="0" w:color="auto"/>
          </w:divBdr>
        </w:div>
        <w:div w:id="1967814191">
          <w:marLeft w:val="640"/>
          <w:marRight w:val="0"/>
          <w:marTop w:val="0"/>
          <w:marBottom w:val="0"/>
          <w:divBdr>
            <w:top w:val="none" w:sz="0" w:space="0" w:color="auto"/>
            <w:left w:val="none" w:sz="0" w:space="0" w:color="auto"/>
            <w:bottom w:val="none" w:sz="0" w:space="0" w:color="auto"/>
            <w:right w:val="none" w:sz="0" w:space="0" w:color="auto"/>
          </w:divBdr>
        </w:div>
        <w:div w:id="466092522">
          <w:marLeft w:val="640"/>
          <w:marRight w:val="0"/>
          <w:marTop w:val="0"/>
          <w:marBottom w:val="0"/>
          <w:divBdr>
            <w:top w:val="none" w:sz="0" w:space="0" w:color="auto"/>
            <w:left w:val="none" w:sz="0" w:space="0" w:color="auto"/>
            <w:bottom w:val="none" w:sz="0" w:space="0" w:color="auto"/>
            <w:right w:val="none" w:sz="0" w:space="0" w:color="auto"/>
          </w:divBdr>
        </w:div>
        <w:div w:id="1708333455">
          <w:marLeft w:val="640"/>
          <w:marRight w:val="0"/>
          <w:marTop w:val="0"/>
          <w:marBottom w:val="0"/>
          <w:divBdr>
            <w:top w:val="none" w:sz="0" w:space="0" w:color="auto"/>
            <w:left w:val="none" w:sz="0" w:space="0" w:color="auto"/>
            <w:bottom w:val="none" w:sz="0" w:space="0" w:color="auto"/>
            <w:right w:val="none" w:sz="0" w:space="0" w:color="auto"/>
          </w:divBdr>
        </w:div>
        <w:div w:id="250745927">
          <w:marLeft w:val="640"/>
          <w:marRight w:val="0"/>
          <w:marTop w:val="0"/>
          <w:marBottom w:val="0"/>
          <w:divBdr>
            <w:top w:val="none" w:sz="0" w:space="0" w:color="auto"/>
            <w:left w:val="none" w:sz="0" w:space="0" w:color="auto"/>
            <w:bottom w:val="none" w:sz="0" w:space="0" w:color="auto"/>
            <w:right w:val="none" w:sz="0" w:space="0" w:color="auto"/>
          </w:divBdr>
        </w:div>
        <w:div w:id="1673946761">
          <w:marLeft w:val="640"/>
          <w:marRight w:val="0"/>
          <w:marTop w:val="0"/>
          <w:marBottom w:val="0"/>
          <w:divBdr>
            <w:top w:val="none" w:sz="0" w:space="0" w:color="auto"/>
            <w:left w:val="none" w:sz="0" w:space="0" w:color="auto"/>
            <w:bottom w:val="none" w:sz="0" w:space="0" w:color="auto"/>
            <w:right w:val="none" w:sz="0" w:space="0" w:color="auto"/>
          </w:divBdr>
        </w:div>
        <w:div w:id="886642677">
          <w:marLeft w:val="640"/>
          <w:marRight w:val="0"/>
          <w:marTop w:val="0"/>
          <w:marBottom w:val="0"/>
          <w:divBdr>
            <w:top w:val="none" w:sz="0" w:space="0" w:color="auto"/>
            <w:left w:val="none" w:sz="0" w:space="0" w:color="auto"/>
            <w:bottom w:val="none" w:sz="0" w:space="0" w:color="auto"/>
            <w:right w:val="none" w:sz="0" w:space="0" w:color="auto"/>
          </w:divBdr>
        </w:div>
        <w:div w:id="568342243">
          <w:marLeft w:val="640"/>
          <w:marRight w:val="0"/>
          <w:marTop w:val="0"/>
          <w:marBottom w:val="0"/>
          <w:divBdr>
            <w:top w:val="none" w:sz="0" w:space="0" w:color="auto"/>
            <w:left w:val="none" w:sz="0" w:space="0" w:color="auto"/>
            <w:bottom w:val="none" w:sz="0" w:space="0" w:color="auto"/>
            <w:right w:val="none" w:sz="0" w:space="0" w:color="auto"/>
          </w:divBdr>
        </w:div>
        <w:div w:id="1067991692">
          <w:marLeft w:val="640"/>
          <w:marRight w:val="0"/>
          <w:marTop w:val="0"/>
          <w:marBottom w:val="0"/>
          <w:divBdr>
            <w:top w:val="none" w:sz="0" w:space="0" w:color="auto"/>
            <w:left w:val="none" w:sz="0" w:space="0" w:color="auto"/>
            <w:bottom w:val="none" w:sz="0" w:space="0" w:color="auto"/>
            <w:right w:val="none" w:sz="0" w:space="0" w:color="auto"/>
          </w:divBdr>
        </w:div>
        <w:div w:id="81417315">
          <w:marLeft w:val="640"/>
          <w:marRight w:val="0"/>
          <w:marTop w:val="0"/>
          <w:marBottom w:val="0"/>
          <w:divBdr>
            <w:top w:val="none" w:sz="0" w:space="0" w:color="auto"/>
            <w:left w:val="none" w:sz="0" w:space="0" w:color="auto"/>
            <w:bottom w:val="none" w:sz="0" w:space="0" w:color="auto"/>
            <w:right w:val="none" w:sz="0" w:space="0" w:color="auto"/>
          </w:divBdr>
        </w:div>
        <w:div w:id="124279427">
          <w:marLeft w:val="640"/>
          <w:marRight w:val="0"/>
          <w:marTop w:val="0"/>
          <w:marBottom w:val="0"/>
          <w:divBdr>
            <w:top w:val="none" w:sz="0" w:space="0" w:color="auto"/>
            <w:left w:val="none" w:sz="0" w:space="0" w:color="auto"/>
            <w:bottom w:val="none" w:sz="0" w:space="0" w:color="auto"/>
            <w:right w:val="none" w:sz="0" w:space="0" w:color="auto"/>
          </w:divBdr>
        </w:div>
        <w:div w:id="1693144259">
          <w:marLeft w:val="640"/>
          <w:marRight w:val="0"/>
          <w:marTop w:val="0"/>
          <w:marBottom w:val="0"/>
          <w:divBdr>
            <w:top w:val="none" w:sz="0" w:space="0" w:color="auto"/>
            <w:left w:val="none" w:sz="0" w:space="0" w:color="auto"/>
            <w:bottom w:val="none" w:sz="0" w:space="0" w:color="auto"/>
            <w:right w:val="none" w:sz="0" w:space="0" w:color="auto"/>
          </w:divBdr>
        </w:div>
        <w:div w:id="1333146120">
          <w:marLeft w:val="640"/>
          <w:marRight w:val="0"/>
          <w:marTop w:val="0"/>
          <w:marBottom w:val="0"/>
          <w:divBdr>
            <w:top w:val="none" w:sz="0" w:space="0" w:color="auto"/>
            <w:left w:val="none" w:sz="0" w:space="0" w:color="auto"/>
            <w:bottom w:val="none" w:sz="0" w:space="0" w:color="auto"/>
            <w:right w:val="none" w:sz="0" w:space="0" w:color="auto"/>
          </w:divBdr>
        </w:div>
        <w:div w:id="1961758842">
          <w:marLeft w:val="640"/>
          <w:marRight w:val="0"/>
          <w:marTop w:val="0"/>
          <w:marBottom w:val="0"/>
          <w:divBdr>
            <w:top w:val="none" w:sz="0" w:space="0" w:color="auto"/>
            <w:left w:val="none" w:sz="0" w:space="0" w:color="auto"/>
            <w:bottom w:val="none" w:sz="0" w:space="0" w:color="auto"/>
            <w:right w:val="none" w:sz="0" w:space="0" w:color="auto"/>
          </w:divBdr>
        </w:div>
        <w:div w:id="383214366">
          <w:marLeft w:val="640"/>
          <w:marRight w:val="0"/>
          <w:marTop w:val="0"/>
          <w:marBottom w:val="0"/>
          <w:divBdr>
            <w:top w:val="none" w:sz="0" w:space="0" w:color="auto"/>
            <w:left w:val="none" w:sz="0" w:space="0" w:color="auto"/>
            <w:bottom w:val="none" w:sz="0" w:space="0" w:color="auto"/>
            <w:right w:val="none" w:sz="0" w:space="0" w:color="auto"/>
          </w:divBdr>
        </w:div>
        <w:div w:id="268007333">
          <w:marLeft w:val="640"/>
          <w:marRight w:val="0"/>
          <w:marTop w:val="0"/>
          <w:marBottom w:val="0"/>
          <w:divBdr>
            <w:top w:val="none" w:sz="0" w:space="0" w:color="auto"/>
            <w:left w:val="none" w:sz="0" w:space="0" w:color="auto"/>
            <w:bottom w:val="none" w:sz="0" w:space="0" w:color="auto"/>
            <w:right w:val="none" w:sz="0" w:space="0" w:color="auto"/>
          </w:divBdr>
        </w:div>
        <w:div w:id="416824679">
          <w:marLeft w:val="640"/>
          <w:marRight w:val="0"/>
          <w:marTop w:val="0"/>
          <w:marBottom w:val="0"/>
          <w:divBdr>
            <w:top w:val="none" w:sz="0" w:space="0" w:color="auto"/>
            <w:left w:val="none" w:sz="0" w:space="0" w:color="auto"/>
            <w:bottom w:val="none" w:sz="0" w:space="0" w:color="auto"/>
            <w:right w:val="none" w:sz="0" w:space="0" w:color="auto"/>
          </w:divBdr>
        </w:div>
        <w:div w:id="846211041">
          <w:marLeft w:val="640"/>
          <w:marRight w:val="0"/>
          <w:marTop w:val="0"/>
          <w:marBottom w:val="0"/>
          <w:divBdr>
            <w:top w:val="none" w:sz="0" w:space="0" w:color="auto"/>
            <w:left w:val="none" w:sz="0" w:space="0" w:color="auto"/>
            <w:bottom w:val="none" w:sz="0" w:space="0" w:color="auto"/>
            <w:right w:val="none" w:sz="0" w:space="0" w:color="auto"/>
          </w:divBdr>
        </w:div>
        <w:div w:id="107429086">
          <w:marLeft w:val="640"/>
          <w:marRight w:val="0"/>
          <w:marTop w:val="0"/>
          <w:marBottom w:val="0"/>
          <w:divBdr>
            <w:top w:val="none" w:sz="0" w:space="0" w:color="auto"/>
            <w:left w:val="none" w:sz="0" w:space="0" w:color="auto"/>
            <w:bottom w:val="none" w:sz="0" w:space="0" w:color="auto"/>
            <w:right w:val="none" w:sz="0" w:space="0" w:color="auto"/>
          </w:divBdr>
        </w:div>
        <w:div w:id="1035740004">
          <w:marLeft w:val="640"/>
          <w:marRight w:val="0"/>
          <w:marTop w:val="0"/>
          <w:marBottom w:val="0"/>
          <w:divBdr>
            <w:top w:val="none" w:sz="0" w:space="0" w:color="auto"/>
            <w:left w:val="none" w:sz="0" w:space="0" w:color="auto"/>
            <w:bottom w:val="none" w:sz="0" w:space="0" w:color="auto"/>
            <w:right w:val="none" w:sz="0" w:space="0" w:color="auto"/>
          </w:divBdr>
        </w:div>
        <w:div w:id="1328510396">
          <w:marLeft w:val="640"/>
          <w:marRight w:val="0"/>
          <w:marTop w:val="0"/>
          <w:marBottom w:val="0"/>
          <w:divBdr>
            <w:top w:val="none" w:sz="0" w:space="0" w:color="auto"/>
            <w:left w:val="none" w:sz="0" w:space="0" w:color="auto"/>
            <w:bottom w:val="none" w:sz="0" w:space="0" w:color="auto"/>
            <w:right w:val="none" w:sz="0" w:space="0" w:color="auto"/>
          </w:divBdr>
        </w:div>
        <w:div w:id="1307541157">
          <w:marLeft w:val="640"/>
          <w:marRight w:val="0"/>
          <w:marTop w:val="0"/>
          <w:marBottom w:val="0"/>
          <w:divBdr>
            <w:top w:val="none" w:sz="0" w:space="0" w:color="auto"/>
            <w:left w:val="none" w:sz="0" w:space="0" w:color="auto"/>
            <w:bottom w:val="none" w:sz="0" w:space="0" w:color="auto"/>
            <w:right w:val="none" w:sz="0" w:space="0" w:color="auto"/>
          </w:divBdr>
        </w:div>
        <w:div w:id="713963685">
          <w:marLeft w:val="640"/>
          <w:marRight w:val="0"/>
          <w:marTop w:val="0"/>
          <w:marBottom w:val="0"/>
          <w:divBdr>
            <w:top w:val="none" w:sz="0" w:space="0" w:color="auto"/>
            <w:left w:val="none" w:sz="0" w:space="0" w:color="auto"/>
            <w:bottom w:val="none" w:sz="0" w:space="0" w:color="auto"/>
            <w:right w:val="none" w:sz="0" w:space="0" w:color="auto"/>
          </w:divBdr>
        </w:div>
        <w:div w:id="737436199">
          <w:marLeft w:val="640"/>
          <w:marRight w:val="0"/>
          <w:marTop w:val="0"/>
          <w:marBottom w:val="0"/>
          <w:divBdr>
            <w:top w:val="none" w:sz="0" w:space="0" w:color="auto"/>
            <w:left w:val="none" w:sz="0" w:space="0" w:color="auto"/>
            <w:bottom w:val="none" w:sz="0" w:space="0" w:color="auto"/>
            <w:right w:val="none" w:sz="0" w:space="0" w:color="auto"/>
          </w:divBdr>
        </w:div>
        <w:div w:id="91172949">
          <w:marLeft w:val="640"/>
          <w:marRight w:val="0"/>
          <w:marTop w:val="0"/>
          <w:marBottom w:val="0"/>
          <w:divBdr>
            <w:top w:val="none" w:sz="0" w:space="0" w:color="auto"/>
            <w:left w:val="none" w:sz="0" w:space="0" w:color="auto"/>
            <w:bottom w:val="none" w:sz="0" w:space="0" w:color="auto"/>
            <w:right w:val="none" w:sz="0" w:space="0" w:color="auto"/>
          </w:divBdr>
        </w:div>
        <w:div w:id="1122304890">
          <w:marLeft w:val="640"/>
          <w:marRight w:val="0"/>
          <w:marTop w:val="0"/>
          <w:marBottom w:val="0"/>
          <w:divBdr>
            <w:top w:val="none" w:sz="0" w:space="0" w:color="auto"/>
            <w:left w:val="none" w:sz="0" w:space="0" w:color="auto"/>
            <w:bottom w:val="none" w:sz="0" w:space="0" w:color="auto"/>
            <w:right w:val="none" w:sz="0" w:space="0" w:color="auto"/>
          </w:divBdr>
        </w:div>
        <w:div w:id="1879586481">
          <w:marLeft w:val="640"/>
          <w:marRight w:val="0"/>
          <w:marTop w:val="0"/>
          <w:marBottom w:val="0"/>
          <w:divBdr>
            <w:top w:val="none" w:sz="0" w:space="0" w:color="auto"/>
            <w:left w:val="none" w:sz="0" w:space="0" w:color="auto"/>
            <w:bottom w:val="none" w:sz="0" w:space="0" w:color="auto"/>
            <w:right w:val="none" w:sz="0" w:space="0" w:color="auto"/>
          </w:divBdr>
        </w:div>
        <w:div w:id="1156074790">
          <w:marLeft w:val="640"/>
          <w:marRight w:val="0"/>
          <w:marTop w:val="0"/>
          <w:marBottom w:val="0"/>
          <w:divBdr>
            <w:top w:val="none" w:sz="0" w:space="0" w:color="auto"/>
            <w:left w:val="none" w:sz="0" w:space="0" w:color="auto"/>
            <w:bottom w:val="none" w:sz="0" w:space="0" w:color="auto"/>
            <w:right w:val="none" w:sz="0" w:space="0" w:color="auto"/>
          </w:divBdr>
        </w:div>
        <w:div w:id="944314612">
          <w:marLeft w:val="640"/>
          <w:marRight w:val="0"/>
          <w:marTop w:val="0"/>
          <w:marBottom w:val="0"/>
          <w:divBdr>
            <w:top w:val="none" w:sz="0" w:space="0" w:color="auto"/>
            <w:left w:val="none" w:sz="0" w:space="0" w:color="auto"/>
            <w:bottom w:val="none" w:sz="0" w:space="0" w:color="auto"/>
            <w:right w:val="none" w:sz="0" w:space="0" w:color="auto"/>
          </w:divBdr>
        </w:div>
        <w:div w:id="1716811245">
          <w:marLeft w:val="640"/>
          <w:marRight w:val="0"/>
          <w:marTop w:val="0"/>
          <w:marBottom w:val="0"/>
          <w:divBdr>
            <w:top w:val="none" w:sz="0" w:space="0" w:color="auto"/>
            <w:left w:val="none" w:sz="0" w:space="0" w:color="auto"/>
            <w:bottom w:val="none" w:sz="0" w:space="0" w:color="auto"/>
            <w:right w:val="none" w:sz="0" w:space="0" w:color="auto"/>
          </w:divBdr>
        </w:div>
        <w:div w:id="938561302">
          <w:marLeft w:val="640"/>
          <w:marRight w:val="0"/>
          <w:marTop w:val="0"/>
          <w:marBottom w:val="0"/>
          <w:divBdr>
            <w:top w:val="none" w:sz="0" w:space="0" w:color="auto"/>
            <w:left w:val="none" w:sz="0" w:space="0" w:color="auto"/>
            <w:bottom w:val="none" w:sz="0" w:space="0" w:color="auto"/>
            <w:right w:val="none" w:sz="0" w:space="0" w:color="auto"/>
          </w:divBdr>
        </w:div>
        <w:div w:id="815998965">
          <w:marLeft w:val="640"/>
          <w:marRight w:val="0"/>
          <w:marTop w:val="0"/>
          <w:marBottom w:val="0"/>
          <w:divBdr>
            <w:top w:val="none" w:sz="0" w:space="0" w:color="auto"/>
            <w:left w:val="none" w:sz="0" w:space="0" w:color="auto"/>
            <w:bottom w:val="none" w:sz="0" w:space="0" w:color="auto"/>
            <w:right w:val="none" w:sz="0" w:space="0" w:color="auto"/>
          </w:divBdr>
        </w:div>
        <w:div w:id="1895501260">
          <w:marLeft w:val="640"/>
          <w:marRight w:val="0"/>
          <w:marTop w:val="0"/>
          <w:marBottom w:val="0"/>
          <w:divBdr>
            <w:top w:val="none" w:sz="0" w:space="0" w:color="auto"/>
            <w:left w:val="none" w:sz="0" w:space="0" w:color="auto"/>
            <w:bottom w:val="none" w:sz="0" w:space="0" w:color="auto"/>
            <w:right w:val="none" w:sz="0" w:space="0" w:color="auto"/>
          </w:divBdr>
        </w:div>
        <w:div w:id="1777869947">
          <w:marLeft w:val="640"/>
          <w:marRight w:val="0"/>
          <w:marTop w:val="0"/>
          <w:marBottom w:val="0"/>
          <w:divBdr>
            <w:top w:val="none" w:sz="0" w:space="0" w:color="auto"/>
            <w:left w:val="none" w:sz="0" w:space="0" w:color="auto"/>
            <w:bottom w:val="none" w:sz="0" w:space="0" w:color="auto"/>
            <w:right w:val="none" w:sz="0" w:space="0" w:color="auto"/>
          </w:divBdr>
        </w:div>
        <w:div w:id="429862980">
          <w:marLeft w:val="640"/>
          <w:marRight w:val="0"/>
          <w:marTop w:val="0"/>
          <w:marBottom w:val="0"/>
          <w:divBdr>
            <w:top w:val="none" w:sz="0" w:space="0" w:color="auto"/>
            <w:left w:val="none" w:sz="0" w:space="0" w:color="auto"/>
            <w:bottom w:val="none" w:sz="0" w:space="0" w:color="auto"/>
            <w:right w:val="none" w:sz="0" w:space="0" w:color="auto"/>
          </w:divBdr>
        </w:div>
        <w:div w:id="736050449">
          <w:marLeft w:val="640"/>
          <w:marRight w:val="0"/>
          <w:marTop w:val="0"/>
          <w:marBottom w:val="0"/>
          <w:divBdr>
            <w:top w:val="none" w:sz="0" w:space="0" w:color="auto"/>
            <w:left w:val="none" w:sz="0" w:space="0" w:color="auto"/>
            <w:bottom w:val="none" w:sz="0" w:space="0" w:color="auto"/>
            <w:right w:val="none" w:sz="0" w:space="0" w:color="auto"/>
          </w:divBdr>
        </w:div>
        <w:div w:id="1139954847">
          <w:marLeft w:val="640"/>
          <w:marRight w:val="0"/>
          <w:marTop w:val="0"/>
          <w:marBottom w:val="0"/>
          <w:divBdr>
            <w:top w:val="none" w:sz="0" w:space="0" w:color="auto"/>
            <w:left w:val="none" w:sz="0" w:space="0" w:color="auto"/>
            <w:bottom w:val="none" w:sz="0" w:space="0" w:color="auto"/>
            <w:right w:val="none" w:sz="0" w:space="0" w:color="auto"/>
          </w:divBdr>
        </w:div>
        <w:div w:id="1773622340">
          <w:marLeft w:val="640"/>
          <w:marRight w:val="0"/>
          <w:marTop w:val="0"/>
          <w:marBottom w:val="0"/>
          <w:divBdr>
            <w:top w:val="none" w:sz="0" w:space="0" w:color="auto"/>
            <w:left w:val="none" w:sz="0" w:space="0" w:color="auto"/>
            <w:bottom w:val="none" w:sz="0" w:space="0" w:color="auto"/>
            <w:right w:val="none" w:sz="0" w:space="0" w:color="auto"/>
          </w:divBdr>
        </w:div>
        <w:div w:id="1607155995">
          <w:marLeft w:val="640"/>
          <w:marRight w:val="0"/>
          <w:marTop w:val="0"/>
          <w:marBottom w:val="0"/>
          <w:divBdr>
            <w:top w:val="none" w:sz="0" w:space="0" w:color="auto"/>
            <w:left w:val="none" w:sz="0" w:space="0" w:color="auto"/>
            <w:bottom w:val="none" w:sz="0" w:space="0" w:color="auto"/>
            <w:right w:val="none" w:sz="0" w:space="0" w:color="auto"/>
          </w:divBdr>
        </w:div>
        <w:div w:id="937521322">
          <w:marLeft w:val="640"/>
          <w:marRight w:val="0"/>
          <w:marTop w:val="0"/>
          <w:marBottom w:val="0"/>
          <w:divBdr>
            <w:top w:val="none" w:sz="0" w:space="0" w:color="auto"/>
            <w:left w:val="none" w:sz="0" w:space="0" w:color="auto"/>
            <w:bottom w:val="none" w:sz="0" w:space="0" w:color="auto"/>
            <w:right w:val="none" w:sz="0" w:space="0" w:color="auto"/>
          </w:divBdr>
        </w:div>
        <w:div w:id="1103841216">
          <w:marLeft w:val="640"/>
          <w:marRight w:val="0"/>
          <w:marTop w:val="0"/>
          <w:marBottom w:val="0"/>
          <w:divBdr>
            <w:top w:val="none" w:sz="0" w:space="0" w:color="auto"/>
            <w:left w:val="none" w:sz="0" w:space="0" w:color="auto"/>
            <w:bottom w:val="none" w:sz="0" w:space="0" w:color="auto"/>
            <w:right w:val="none" w:sz="0" w:space="0" w:color="auto"/>
          </w:divBdr>
        </w:div>
        <w:div w:id="1033386822">
          <w:marLeft w:val="640"/>
          <w:marRight w:val="0"/>
          <w:marTop w:val="0"/>
          <w:marBottom w:val="0"/>
          <w:divBdr>
            <w:top w:val="none" w:sz="0" w:space="0" w:color="auto"/>
            <w:left w:val="none" w:sz="0" w:space="0" w:color="auto"/>
            <w:bottom w:val="none" w:sz="0" w:space="0" w:color="auto"/>
            <w:right w:val="none" w:sz="0" w:space="0" w:color="auto"/>
          </w:divBdr>
        </w:div>
        <w:div w:id="2060205949">
          <w:marLeft w:val="640"/>
          <w:marRight w:val="0"/>
          <w:marTop w:val="0"/>
          <w:marBottom w:val="0"/>
          <w:divBdr>
            <w:top w:val="none" w:sz="0" w:space="0" w:color="auto"/>
            <w:left w:val="none" w:sz="0" w:space="0" w:color="auto"/>
            <w:bottom w:val="none" w:sz="0" w:space="0" w:color="auto"/>
            <w:right w:val="none" w:sz="0" w:space="0" w:color="auto"/>
          </w:divBdr>
        </w:div>
        <w:div w:id="899946906">
          <w:marLeft w:val="640"/>
          <w:marRight w:val="0"/>
          <w:marTop w:val="0"/>
          <w:marBottom w:val="0"/>
          <w:divBdr>
            <w:top w:val="none" w:sz="0" w:space="0" w:color="auto"/>
            <w:left w:val="none" w:sz="0" w:space="0" w:color="auto"/>
            <w:bottom w:val="none" w:sz="0" w:space="0" w:color="auto"/>
            <w:right w:val="none" w:sz="0" w:space="0" w:color="auto"/>
          </w:divBdr>
        </w:div>
        <w:div w:id="656736293">
          <w:marLeft w:val="640"/>
          <w:marRight w:val="0"/>
          <w:marTop w:val="0"/>
          <w:marBottom w:val="0"/>
          <w:divBdr>
            <w:top w:val="none" w:sz="0" w:space="0" w:color="auto"/>
            <w:left w:val="none" w:sz="0" w:space="0" w:color="auto"/>
            <w:bottom w:val="none" w:sz="0" w:space="0" w:color="auto"/>
            <w:right w:val="none" w:sz="0" w:space="0" w:color="auto"/>
          </w:divBdr>
        </w:div>
        <w:div w:id="623466177">
          <w:marLeft w:val="640"/>
          <w:marRight w:val="0"/>
          <w:marTop w:val="0"/>
          <w:marBottom w:val="0"/>
          <w:divBdr>
            <w:top w:val="none" w:sz="0" w:space="0" w:color="auto"/>
            <w:left w:val="none" w:sz="0" w:space="0" w:color="auto"/>
            <w:bottom w:val="none" w:sz="0" w:space="0" w:color="auto"/>
            <w:right w:val="none" w:sz="0" w:space="0" w:color="auto"/>
          </w:divBdr>
        </w:div>
        <w:div w:id="1466779554">
          <w:marLeft w:val="640"/>
          <w:marRight w:val="0"/>
          <w:marTop w:val="0"/>
          <w:marBottom w:val="0"/>
          <w:divBdr>
            <w:top w:val="none" w:sz="0" w:space="0" w:color="auto"/>
            <w:left w:val="none" w:sz="0" w:space="0" w:color="auto"/>
            <w:bottom w:val="none" w:sz="0" w:space="0" w:color="auto"/>
            <w:right w:val="none" w:sz="0" w:space="0" w:color="auto"/>
          </w:divBdr>
        </w:div>
        <w:div w:id="519055232">
          <w:marLeft w:val="640"/>
          <w:marRight w:val="0"/>
          <w:marTop w:val="0"/>
          <w:marBottom w:val="0"/>
          <w:divBdr>
            <w:top w:val="none" w:sz="0" w:space="0" w:color="auto"/>
            <w:left w:val="none" w:sz="0" w:space="0" w:color="auto"/>
            <w:bottom w:val="none" w:sz="0" w:space="0" w:color="auto"/>
            <w:right w:val="none" w:sz="0" w:space="0" w:color="auto"/>
          </w:divBdr>
        </w:div>
        <w:div w:id="1581982121">
          <w:marLeft w:val="640"/>
          <w:marRight w:val="0"/>
          <w:marTop w:val="0"/>
          <w:marBottom w:val="0"/>
          <w:divBdr>
            <w:top w:val="none" w:sz="0" w:space="0" w:color="auto"/>
            <w:left w:val="none" w:sz="0" w:space="0" w:color="auto"/>
            <w:bottom w:val="none" w:sz="0" w:space="0" w:color="auto"/>
            <w:right w:val="none" w:sz="0" w:space="0" w:color="auto"/>
          </w:divBdr>
        </w:div>
        <w:div w:id="1798178710">
          <w:marLeft w:val="640"/>
          <w:marRight w:val="0"/>
          <w:marTop w:val="0"/>
          <w:marBottom w:val="0"/>
          <w:divBdr>
            <w:top w:val="none" w:sz="0" w:space="0" w:color="auto"/>
            <w:left w:val="none" w:sz="0" w:space="0" w:color="auto"/>
            <w:bottom w:val="none" w:sz="0" w:space="0" w:color="auto"/>
            <w:right w:val="none" w:sz="0" w:space="0" w:color="auto"/>
          </w:divBdr>
        </w:div>
        <w:div w:id="2142454897">
          <w:marLeft w:val="640"/>
          <w:marRight w:val="0"/>
          <w:marTop w:val="0"/>
          <w:marBottom w:val="0"/>
          <w:divBdr>
            <w:top w:val="none" w:sz="0" w:space="0" w:color="auto"/>
            <w:left w:val="none" w:sz="0" w:space="0" w:color="auto"/>
            <w:bottom w:val="none" w:sz="0" w:space="0" w:color="auto"/>
            <w:right w:val="none" w:sz="0" w:space="0" w:color="auto"/>
          </w:divBdr>
        </w:div>
        <w:div w:id="1022972280">
          <w:marLeft w:val="640"/>
          <w:marRight w:val="0"/>
          <w:marTop w:val="0"/>
          <w:marBottom w:val="0"/>
          <w:divBdr>
            <w:top w:val="none" w:sz="0" w:space="0" w:color="auto"/>
            <w:left w:val="none" w:sz="0" w:space="0" w:color="auto"/>
            <w:bottom w:val="none" w:sz="0" w:space="0" w:color="auto"/>
            <w:right w:val="none" w:sz="0" w:space="0" w:color="auto"/>
          </w:divBdr>
        </w:div>
        <w:div w:id="226845223">
          <w:marLeft w:val="640"/>
          <w:marRight w:val="0"/>
          <w:marTop w:val="0"/>
          <w:marBottom w:val="0"/>
          <w:divBdr>
            <w:top w:val="none" w:sz="0" w:space="0" w:color="auto"/>
            <w:left w:val="none" w:sz="0" w:space="0" w:color="auto"/>
            <w:bottom w:val="none" w:sz="0" w:space="0" w:color="auto"/>
            <w:right w:val="none" w:sz="0" w:space="0" w:color="auto"/>
          </w:divBdr>
        </w:div>
        <w:div w:id="618605884">
          <w:marLeft w:val="640"/>
          <w:marRight w:val="0"/>
          <w:marTop w:val="0"/>
          <w:marBottom w:val="0"/>
          <w:divBdr>
            <w:top w:val="none" w:sz="0" w:space="0" w:color="auto"/>
            <w:left w:val="none" w:sz="0" w:space="0" w:color="auto"/>
            <w:bottom w:val="none" w:sz="0" w:space="0" w:color="auto"/>
            <w:right w:val="none" w:sz="0" w:space="0" w:color="auto"/>
          </w:divBdr>
        </w:div>
        <w:div w:id="2134329058">
          <w:marLeft w:val="640"/>
          <w:marRight w:val="0"/>
          <w:marTop w:val="0"/>
          <w:marBottom w:val="0"/>
          <w:divBdr>
            <w:top w:val="none" w:sz="0" w:space="0" w:color="auto"/>
            <w:left w:val="none" w:sz="0" w:space="0" w:color="auto"/>
            <w:bottom w:val="none" w:sz="0" w:space="0" w:color="auto"/>
            <w:right w:val="none" w:sz="0" w:space="0" w:color="auto"/>
          </w:divBdr>
        </w:div>
        <w:div w:id="1820152998">
          <w:marLeft w:val="640"/>
          <w:marRight w:val="0"/>
          <w:marTop w:val="0"/>
          <w:marBottom w:val="0"/>
          <w:divBdr>
            <w:top w:val="none" w:sz="0" w:space="0" w:color="auto"/>
            <w:left w:val="none" w:sz="0" w:space="0" w:color="auto"/>
            <w:bottom w:val="none" w:sz="0" w:space="0" w:color="auto"/>
            <w:right w:val="none" w:sz="0" w:space="0" w:color="auto"/>
          </w:divBdr>
        </w:div>
        <w:div w:id="2088645406">
          <w:marLeft w:val="640"/>
          <w:marRight w:val="0"/>
          <w:marTop w:val="0"/>
          <w:marBottom w:val="0"/>
          <w:divBdr>
            <w:top w:val="none" w:sz="0" w:space="0" w:color="auto"/>
            <w:left w:val="none" w:sz="0" w:space="0" w:color="auto"/>
            <w:bottom w:val="none" w:sz="0" w:space="0" w:color="auto"/>
            <w:right w:val="none" w:sz="0" w:space="0" w:color="auto"/>
          </w:divBdr>
        </w:div>
        <w:div w:id="787431155">
          <w:marLeft w:val="640"/>
          <w:marRight w:val="0"/>
          <w:marTop w:val="0"/>
          <w:marBottom w:val="0"/>
          <w:divBdr>
            <w:top w:val="none" w:sz="0" w:space="0" w:color="auto"/>
            <w:left w:val="none" w:sz="0" w:space="0" w:color="auto"/>
            <w:bottom w:val="none" w:sz="0" w:space="0" w:color="auto"/>
            <w:right w:val="none" w:sz="0" w:space="0" w:color="auto"/>
          </w:divBdr>
        </w:div>
        <w:div w:id="345517925">
          <w:marLeft w:val="640"/>
          <w:marRight w:val="0"/>
          <w:marTop w:val="0"/>
          <w:marBottom w:val="0"/>
          <w:divBdr>
            <w:top w:val="none" w:sz="0" w:space="0" w:color="auto"/>
            <w:left w:val="none" w:sz="0" w:space="0" w:color="auto"/>
            <w:bottom w:val="none" w:sz="0" w:space="0" w:color="auto"/>
            <w:right w:val="none" w:sz="0" w:space="0" w:color="auto"/>
          </w:divBdr>
        </w:div>
        <w:div w:id="1284730473">
          <w:marLeft w:val="640"/>
          <w:marRight w:val="0"/>
          <w:marTop w:val="0"/>
          <w:marBottom w:val="0"/>
          <w:divBdr>
            <w:top w:val="none" w:sz="0" w:space="0" w:color="auto"/>
            <w:left w:val="none" w:sz="0" w:space="0" w:color="auto"/>
            <w:bottom w:val="none" w:sz="0" w:space="0" w:color="auto"/>
            <w:right w:val="none" w:sz="0" w:space="0" w:color="auto"/>
          </w:divBdr>
        </w:div>
        <w:div w:id="1676154483">
          <w:marLeft w:val="640"/>
          <w:marRight w:val="0"/>
          <w:marTop w:val="0"/>
          <w:marBottom w:val="0"/>
          <w:divBdr>
            <w:top w:val="none" w:sz="0" w:space="0" w:color="auto"/>
            <w:left w:val="none" w:sz="0" w:space="0" w:color="auto"/>
            <w:bottom w:val="none" w:sz="0" w:space="0" w:color="auto"/>
            <w:right w:val="none" w:sz="0" w:space="0" w:color="auto"/>
          </w:divBdr>
        </w:div>
        <w:div w:id="1450003836">
          <w:marLeft w:val="640"/>
          <w:marRight w:val="0"/>
          <w:marTop w:val="0"/>
          <w:marBottom w:val="0"/>
          <w:divBdr>
            <w:top w:val="none" w:sz="0" w:space="0" w:color="auto"/>
            <w:left w:val="none" w:sz="0" w:space="0" w:color="auto"/>
            <w:bottom w:val="none" w:sz="0" w:space="0" w:color="auto"/>
            <w:right w:val="none" w:sz="0" w:space="0" w:color="auto"/>
          </w:divBdr>
        </w:div>
        <w:div w:id="476146252">
          <w:marLeft w:val="640"/>
          <w:marRight w:val="0"/>
          <w:marTop w:val="0"/>
          <w:marBottom w:val="0"/>
          <w:divBdr>
            <w:top w:val="none" w:sz="0" w:space="0" w:color="auto"/>
            <w:left w:val="none" w:sz="0" w:space="0" w:color="auto"/>
            <w:bottom w:val="none" w:sz="0" w:space="0" w:color="auto"/>
            <w:right w:val="none" w:sz="0" w:space="0" w:color="auto"/>
          </w:divBdr>
        </w:div>
        <w:div w:id="273945606">
          <w:marLeft w:val="640"/>
          <w:marRight w:val="0"/>
          <w:marTop w:val="0"/>
          <w:marBottom w:val="0"/>
          <w:divBdr>
            <w:top w:val="none" w:sz="0" w:space="0" w:color="auto"/>
            <w:left w:val="none" w:sz="0" w:space="0" w:color="auto"/>
            <w:bottom w:val="none" w:sz="0" w:space="0" w:color="auto"/>
            <w:right w:val="none" w:sz="0" w:space="0" w:color="auto"/>
          </w:divBdr>
        </w:div>
        <w:div w:id="962151890">
          <w:marLeft w:val="640"/>
          <w:marRight w:val="0"/>
          <w:marTop w:val="0"/>
          <w:marBottom w:val="0"/>
          <w:divBdr>
            <w:top w:val="none" w:sz="0" w:space="0" w:color="auto"/>
            <w:left w:val="none" w:sz="0" w:space="0" w:color="auto"/>
            <w:bottom w:val="none" w:sz="0" w:space="0" w:color="auto"/>
            <w:right w:val="none" w:sz="0" w:space="0" w:color="auto"/>
          </w:divBdr>
        </w:div>
        <w:div w:id="803471488">
          <w:marLeft w:val="640"/>
          <w:marRight w:val="0"/>
          <w:marTop w:val="0"/>
          <w:marBottom w:val="0"/>
          <w:divBdr>
            <w:top w:val="none" w:sz="0" w:space="0" w:color="auto"/>
            <w:left w:val="none" w:sz="0" w:space="0" w:color="auto"/>
            <w:bottom w:val="none" w:sz="0" w:space="0" w:color="auto"/>
            <w:right w:val="none" w:sz="0" w:space="0" w:color="auto"/>
          </w:divBdr>
        </w:div>
        <w:div w:id="871697268">
          <w:marLeft w:val="640"/>
          <w:marRight w:val="0"/>
          <w:marTop w:val="0"/>
          <w:marBottom w:val="0"/>
          <w:divBdr>
            <w:top w:val="none" w:sz="0" w:space="0" w:color="auto"/>
            <w:left w:val="none" w:sz="0" w:space="0" w:color="auto"/>
            <w:bottom w:val="none" w:sz="0" w:space="0" w:color="auto"/>
            <w:right w:val="none" w:sz="0" w:space="0" w:color="auto"/>
          </w:divBdr>
        </w:div>
        <w:div w:id="1937132237">
          <w:marLeft w:val="640"/>
          <w:marRight w:val="0"/>
          <w:marTop w:val="0"/>
          <w:marBottom w:val="0"/>
          <w:divBdr>
            <w:top w:val="none" w:sz="0" w:space="0" w:color="auto"/>
            <w:left w:val="none" w:sz="0" w:space="0" w:color="auto"/>
            <w:bottom w:val="none" w:sz="0" w:space="0" w:color="auto"/>
            <w:right w:val="none" w:sz="0" w:space="0" w:color="auto"/>
          </w:divBdr>
        </w:div>
        <w:div w:id="766467277">
          <w:marLeft w:val="640"/>
          <w:marRight w:val="0"/>
          <w:marTop w:val="0"/>
          <w:marBottom w:val="0"/>
          <w:divBdr>
            <w:top w:val="none" w:sz="0" w:space="0" w:color="auto"/>
            <w:left w:val="none" w:sz="0" w:space="0" w:color="auto"/>
            <w:bottom w:val="none" w:sz="0" w:space="0" w:color="auto"/>
            <w:right w:val="none" w:sz="0" w:space="0" w:color="auto"/>
          </w:divBdr>
        </w:div>
        <w:div w:id="1267149875">
          <w:marLeft w:val="640"/>
          <w:marRight w:val="0"/>
          <w:marTop w:val="0"/>
          <w:marBottom w:val="0"/>
          <w:divBdr>
            <w:top w:val="none" w:sz="0" w:space="0" w:color="auto"/>
            <w:left w:val="none" w:sz="0" w:space="0" w:color="auto"/>
            <w:bottom w:val="none" w:sz="0" w:space="0" w:color="auto"/>
            <w:right w:val="none" w:sz="0" w:space="0" w:color="auto"/>
          </w:divBdr>
        </w:div>
        <w:div w:id="1057245740">
          <w:marLeft w:val="640"/>
          <w:marRight w:val="0"/>
          <w:marTop w:val="0"/>
          <w:marBottom w:val="0"/>
          <w:divBdr>
            <w:top w:val="none" w:sz="0" w:space="0" w:color="auto"/>
            <w:left w:val="none" w:sz="0" w:space="0" w:color="auto"/>
            <w:bottom w:val="none" w:sz="0" w:space="0" w:color="auto"/>
            <w:right w:val="none" w:sz="0" w:space="0" w:color="auto"/>
          </w:divBdr>
        </w:div>
        <w:div w:id="164630462">
          <w:marLeft w:val="640"/>
          <w:marRight w:val="0"/>
          <w:marTop w:val="0"/>
          <w:marBottom w:val="0"/>
          <w:divBdr>
            <w:top w:val="none" w:sz="0" w:space="0" w:color="auto"/>
            <w:left w:val="none" w:sz="0" w:space="0" w:color="auto"/>
            <w:bottom w:val="none" w:sz="0" w:space="0" w:color="auto"/>
            <w:right w:val="none" w:sz="0" w:space="0" w:color="auto"/>
          </w:divBdr>
        </w:div>
        <w:div w:id="1758821703">
          <w:marLeft w:val="640"/>
          <w:marRight w:val="0"/>
          <w:marTop w:val="0"/>
          <w:marBottom w:val="0"/>
          <w:divBdr>
            <w:top w:val="none" w:sz="0" w:space="0" w:color="auto"/>
            <w:left w:val="none" w:sz="0" w:space="0" w:color="auto"/>
            <w:bottom w:val="none" w:sz="0" w:space="0" w:color="auto"/>
            <w:right w:val="none" w:sz="0" w:space="0" w:color="auto"/>
          </w:divBdr>
        </w:div>
        <w:div w:id="1254558455">
          <w:marLeft w:val="640"/>
          <w:marRight w:val="0"/>
          <w:marTop w:val="0"/>
          <w:marBottom w:val="0"/>
          <w:divBdr>
            <w:top w:val="none" w:sz="0" w:space="0" w:color="auto"/>
            <w:left w:val="none" w:sz="0" w:space="0" w:color="auto"/>
            <w:bottom w:val="none" w:sz="0" w:space="0" w:color="auto"/>
            <w:right w:val="none" w:sz="0" w:space="0" w:color="auto"/>
          </w:divBdr>
        </w:div>
        <w:div w:id="993295154">
          <w:marLeft w:val="640"/>
          <w:marRight w:val="0"/>
          <w:marTop w:val="0"/>
          <w:marBottom w:val="0"/>
          <w:divBdr>
            <w:top w:val="none" w:sz="0" w:space="0" w:color="auto"/>
            <w:left w:val="none" w:sz="0" w:space="0" w:color="auto"/>
            <w:bottom w:val="none" w:sz="0" w:space="0" w:color="auto"/>
            <w:right w:val="none" w:sz="0" w:space="0" w:color="auto"/>
          </w:divBdr>
        </w:div>
        <w:div w:id="1364748574">
          <w:marLeft w:val="640"/>
          <w:marRight w:val="0"/>
          <w:marTop w:val="0"/>
          <w:marBottom w:val="0"/>
          <w:divBdr>
            <w:top w:val="none" w:sz="0" w:space="0" w:color="auto"/>
            <w:left w:val="none" w:sz="0" w:space="0" w:color="auto"/>
            <w:bottom w:val="none" w:sz="0" w:space="0" w:color="auto"/>
            <w:right w:val="none" w:sz="0" w:space="0" w:color="auto"/>
          </w:divBdr>
        </w:div>
        <w:div w:id="1138376224">
          <w:marLeft w:val="640"/>
          <w:marRight w:val="0"/>
          <w:marTop w:val="0"/>
          <w:marBottom w:val="0"/>
          <w:divBdr>
            <w:top w:val="none" w:sz="0" w:space="0" w:color="auto"/>
            <w:left w:val="none" w:sz="0" w:space="0" w:color="auto"/>
            <w:bottom w:val="none" w:sz="0" w:space="0" w:color="auto"/>
            <w:right w:val="none" w:sz="0" w:space="0" w:color="auto"/>
          </w:divBdr>
        </w:div>
        <w:div w:id="1909798666">
          <w:marLeft w:val="640"/>
          <w:marRight w:val="0"/>
          <w:marTop w:val="0"/>
          <w:marBottom w:val="0"/>
          <w:divBdr>
            <w:top w:val="none" w:sz="0" w:space="0" w:color="auto"/>
            <w:left w:val="none" w:sz="0" w:space="0" w:color="auto"/>
            <w:bottom w:val="none" w:sz="0" w:space="0" w:color="auto"/>
            <w:right w:val="none" w:sz="0" w:space="0" w:color="auto"/>
          </w:divBdr>
        </w:div>
        <w:div w:id="88351642">
          <w:marLeft w:val="640"/>
          <w:marRight w:val="0"/>
          <w:marTop w:val="0"/>
          <w:marBottom w:val="0"/>
          <w:divBdr>
            <w:top w:val="none" w:sz="0" w:space="0" w:color="auto"/>
            <w:left w:val="none" w:sz="0" w:space="0" w:color="auto"/>
            <w:bottom w:val="none" w:sz="0" w:space="0" w:color="auto"/>
            <w:right w:val="none" w:sz="0" w:space="0" w:color="auto"/>
          </w:divBdr>
        </w:div>
        <w:div w:id="1816071291">
          <w:marLeft w:val="640"/>
          <w:marRight w:val="0"/>
          <w:marTop w:val="0"/>
          <w:marBottom w:val="0"/>
          <w:divBdr>
            <w:top w:val="none" w:sz="0" w:space="0" w:color="auto"/>
            <w:left w:val="none" w:sz="0" w:space="0" w:color="auto"/>
            <w:bottom w:val="none" w:sz="0" w:space="0" w:color="auto"/>
            <w:right w:val="none" w:sz="0" w:space="0" w:color="auto"/>
          </w:divBdr>
        </w:div>
        <w:div w:id="1183320867">
          <w:marLeft w:val="640"/>
          <w:marRight w:val="0"/>
          <w:marTop w:val="0"/>
          <w:marBottom w:val="0"/>
          <w:divBdr>
            <w:top w:val="none" w:sz="0" w:space="0" w:color="auto"/>
            <w:left w:val="none" w:sz="0" w:space="0" w:color="auto"/>
            <w:bottom w:val="none" w:sz="0" w:space="0" w:color="auto"/>
            <w:right w:val="none" w:sz="0" w:space="0" w:color="auto"/>
          </w:divBdr>
        </w:div>
        <w:div w:id="1098713804">
          <w:marLeft w:val="640"/>
          <w:marRight w:val="0"/>
          <w:marTop w:val="0"/>
          <w:marBottom w:val="0"/>
          <w:divBdr>
            <w:top w:val="none" w:sz="0" w:space="0" w:color="auto"/>
            <w:left w:val="none" w:sz="0" w:space="0" w:color="auto"/>
            <w:bottom w:val="none" w:sz="0" w:space="0" w:color="auto"/>
            <w:right w:val="none" w:sz="0" w:space="0" w:color="auto"/>
          </w:divBdr>
        </w:div>
        <w:div w:id="1018579164">
          <w:marLeft w:val="640"/>
          <w:marRight w:val="0"/>
          <w:marTop w:val="0"/>
          <w:marBottom w:val="0"/>
          <w:divBdr>
            <w:top w:val="none" w:sz="0" w:space="0" w:color="auto"/>
            <w:left w:val="none" w:sz="0" w:space="0" w:color="auto"/>
            <w:bottom w:val="none" w:sz="0" w:space="0" w:color="auto"/>
            <w:right w:val="none" w:sz="0" w:space="0" w:color="auto"/>
          </w:divBdr>
        </w:div>
        <w:div w:id="823931205">
          <w:marLeft w:val="640"/>
          <w:marRight w:val="0"/>
          <w:marTop w:val="0"/>
          <w:marBottom w:val="0"/>
          <w:divBdr>
            <w:top w:val="none" w:sz="0" w:space="0" w:color="auto"/>
            <w:left w:val="none" w:sz="0" w:space="0" w:color="auto"/>
            <w:bottom w:val="none" w:sz="0" w:space="0" w:color="auto"/>
            <w:right w:val="none" w:sz="0" w:space="0" w:color="auto"/>
          </w:divBdr>
        </w:div>
        <w:div w:id="1035813857">
          <w:marLeft w:val="640"/>
          <w:marRight w:val="0"/>
          <w:marTop w:val="0"/>
          <w:marBottom w:val="0"/>
          <w:divBdr>
            <w:top w:val="none" w:sz="0" w:space="0" w:color="auto"/>
            <w:left w:val="none" w:sz="0" w:space="0" w:color="auto"/>
            <w:bottom w:val="none" w:sz="0" w:space="0" w:color="auto"/>
            <w:right w:val="none" w:sz="0" w:space="0" w:color="auto"/>
          </w:divBdr>
        </w:div>
        <w:div w:id="609123866">
          <w:marLeft w:val="640"/>
          <w:marRight w:val="0"/>
          <w:marTop w:val="0"/>
          <w:marBottom w:val="0"/>
          <w:divBdr>
            <w:top w:val="none" w:sz="0" w:space="0" w:color="auto"/>
            <w:left w:val="none" w:sz="0" w:space="0" w:color="auto"/>
            <w:bottom w:val="none" w:sz="0" w:space="0" w:color="auto"/>
            <w:right w:val="none" w:sz="0" w:space="0" w:color="auto"/>
          </w:divBdr>
        </w:div>
        <w:div w:id="1361856163">
          <w:marLeft w:val="640"/>
          <w:marRight w:val="0"/>
          <w:marTop w:val="0"/>
          <w:marBottom w:val="0"/>
          <w:divBdr>
            <w:top w:val="none" w:sz="0" w:space="0" w:color="auto"/>
            <w:left w:val="none" w:sz="0" w:space="0" w:color="auto"/>
            <w:bottom w:val="none" w:sz="0" w:space="0" w:color="auto"/>
            <w:right w:val="none" w:sz="0" w:space="0" w:color="auto"/>
          </w:divBdr>
        </w:div>
        <w:div w:id="2132900353">
          <w:marLeft w:val="640"/>
          <w:marRight w:val="0"/>
          <w:marTop w:val="0"/>
          <w:marBottom w:val="0"/>
          <w:divBdr>
            <w:top w:val="none" w:sz="0" w:space="0" w:color="auto"/>
            <w:left w:val="none" w:sz="0" w:space="0" w:color="auto"/>
            <w:bottom w:val="none" w:sz="0" w:space="0" w:color="auto"/>
            <w:right w:val="none" w:sz="0" w:space="0" w:color="auto"/>
          </w:divBdr>
        </w:div>
        <w:div w:id="729035183">
          <w:marLeft w:val="640"/>
          <w:marRight w:val="0"/>
          <w:marTop w:val="0"/>
          <w:marBottom w:val="0"/>
          <w:divBdr>
            <w:top w:val="none" w:sz="0" w:space="0" w:color="auto"/>
            <w:left w:val="none" w:sz="0" w:space="0" w:color="auto"/>
            <w:bottom w:val="none" w:sz="0" w:space="0" w:color="auto"/>
            <w:right w:val="none" w:sz="0" w:space="0" w:color="auto"/>
          </w:divBdr>
        </w:div>
        <w:div w:id="642004396">
          <w:marLeft w:val="640"/>
          <w:marRight w:val="0"/>
          <w:marTop w:val="0"/>
          <w:marBottom w:val="0"/>
          <w:divBdr>
            <w:top w:val="none" w:sz="0" w:space="0" w:color="auto"/>
            <w:left w:val="none" w:sz="0" w:space="0" w:color="auto"/>
            <w:bottom w:val="none" w:sz="0" w:space="0" w:color="auto"/>
            <w:right w:val="none" w:sz="0" w:space="0" w:color="auto"/>
          </w:divBdr>
        </w:div>
        <w:div w:id="739867715">
          <w:marLeft w:val="640"/>
          <w:marRight w:val="0"/>
          <w:marTop w:val="0"/>
          <w:marBottom w:val="0"/>
          <w:divBdr>
            <w:top w:val="none" w:sz="0" w:space="0" w:color="auto"/>
            <w:left w:val="none" w:sz="0" w:space="0" w:color="auto"/>
            <w:bottom w:val="none" w:sz="0" w:space="0" w:color="auto"/>
            <w:right w:val="none" w:sz="0" w:space="0" w:color="auto"/>
          </w:divBdr>
        </w:div>
        <w:div w:id="1334335582">
          <w:marLeft w:val="640"/>
          <w:marRight w:val="0"/>
          <w:marTop w:val="0"/>
          <w:marBottom w:val="0"/>
          <w:divBdr>
            <w:top w:val="none" w:sz="0" w:space="0" w:color="auto"/>
            <w:left w:val="none" w:sz="0" w:space="0" w:color="auto"/>
            <w:bottom w:val="none" w:sz="0" w:space="0" w:color="auto"/>
            <w:right w:val="none" w:sz="0" w:space="0" w:color="auto"/>
          </w:divBdr>
        </w:div>
        <w:div w:id="605887101">
          <w:marLeft w:val="640"/>
          <w:marRight w:val="0"/>
          <w:marTop w:val="0"/>
          <w:marBottom w:val="0"/>
          <w:divBdr>
            <w:top w:val="none" w:sz="0" w:space="0" w:color="auto"/>
            <w:left w:val="none" w:sz="0" w:space="0" w:color="auto"/>
            <w:bottom w:val="none" w:sz="0" w:space="0" w:color="auto"/>
            <w:right w:val="none" w:sz="0" w:space="0" w:color="auto"/>
          </w:divBdr>
        </w:div>
        <w:div w:id="979726958">
          <w:marLeft w:val="640"/>
          <w:marRight w:val="0"/>
          <w:marTop w:val="0"/>
          <w:marBottom w:val="0"/>
          <w:divBdr>
            <w:top w:val="none" w:sz="0" w:space="0" w:color="auto"/>
            <w:left w:val="none" w:sz="0" w:space="0" w:color="auto"/>
            <w:bottom w:val="none" w:sz="0" w:space="0" w:color="auto"/>
            <w:right w:val="none" w:sz="0" w:space="0" w:color="auto"/>
          </w:divBdr>
        </w:div>
        <w:div w:id="490801195">
          <w:marLeft w:val="640"/>
          <w:marRight w:val="0"/>
          <w:marTop w:val="0"/>
          <w:marBottom w:val="0"/>
          <w:divBdr>
            <w:top w:val="none" w:sz="0" w:space="0" w:color="auto"/>
            <w:left w:val="none" w:sz="0" w:space="0" w:color="auto"/>
            <w:bottom w:val="none" w:sz="0" w:space="0" w:color="auto"/>
            <w:right w:val="none" w:sz="0" w:space="0" w:color="auto"/>
          </w:divBdr>
        </w:div>
        <w:div w:id="1995986902">
          <w:marLeft w:val="640"/>
          <w:marRight w:val="0"/>
          <w:marTop w:val="0"/>
          <w:marBottom w:val="0"/>
          <w:divBdr>
            <w:top w:val="none" w:sz="0" w:space="0" w:color="auto"/>
            <w:left w:val="none" w:sz="0" w:space="0" w:color="auto"/>
            <w:bottom w:val="none" w:sz="0" w:space="0" w:color="auto"/>
            <w:right w:val="none" w:sz="0" w:space="0" w:color="auto"/>
          </w:divBdr>
        </w:div>
        <w:div w:id="1192844417">
          <w:marLeft w:val="640"/>
          <w:marRight w:val="0"/>
          <w:marTop w:val="0"/>
          <w:marBottom w:val="0"/>
          <w:divBdr>
            <w:top w:val="none" w:sz="0" w:space="0" w:color="auto"/>
            <w:left w:val="none" w:sz="0" w:space="0" w:color="auto"/>
            <w:bottom w:val="none" w:sz="0" w:space="0" w:color="auto"/>
            <w:right w:val="none" w:sz="0" w:space="0" w:color="auto"/>
          </w:divBdr>
        </w:div>
        <w:div w:id="1927378231">
          <w:marLeft w:val="640"/>
          <w:marRight w:val="0"/>
          <w:marTop w:val="0"/>
          <w:marBottom w:val="0"/>
          <w:divBdr>
            <w:top w:val="none" w:sz="0" w:space="0" w:color="auto"/>
            <w:left w:val="none" w:sz="0" w:space="0" w:color="auto"/>
            <w:bottom w:val="none" w:sz="0" w:space="0" w:color="auto"/>
            <w:right w:val="none" w:sz="0" w:space="0" w:color="auto"/>
          </w:divBdr>
        </w:div>
        <w:div w:id="1476799516">
          <w:marLeft w:val="640"/>
          <w:marRight w:val="0"/>
          <w:marTop w:val="0"/>
          <w:marBottom w:val="0"/>
          <w:divBdr>
            <w:top w:val="none" w:sz="0" w:space="0" w:color="auto"/>
            <w:left w:val="none" w:sz="0" w:space="0" w:color="auto"/>
            <w:bottom w:val="none" w:sz="0" w:space="0" w:color="auto"/>
            <w:right w:val="none" w:sz="0" w:space="0" w:color="auto"/>
          </w:divBdr>
        </w:div>
        <w:div w:id="1219174037">
          <w:marLeft w:val="640"/>
          <w:marRight w:val="0"/>
          <w:marTop w:val="0"/>
          <w:marBottom w:val="0"/>
          <w:divBdr>
            <w:top w:val="none" w:sz="0" w:space="0" w:color="auto"/>
            <w:left w:val="none" w:sz="0" w:space="0" w:color="auto"/>
            <w:bottom w:val="none" w:sz="0" w:space="0" w:color="auto"/>
            <w:right w:val="none" w:sz="0" w:space="0" w:color="auto"/>
          </w:divBdr>
        </w:div>
        <w:div w:id="1207838704">
          <w:marLeft w:val="640"/>
          <w:marRight w:val="0"/>
          <w:marTop w:val="0"/>
          <w:marBottom w:val="0"/>
          <w:divBdr>
            <w:top w:val="none" w:sz="0" w:space="0" w:color="auto"/>
            <w:left w:val="none" w:sz="0" w:space="0" w:color="auto"/>
            <w:bottom w:val="none" w:sz="0" w:space="0" w:color="auto"/>
            <w:right w:val="none" w:sz="0" w:space="0" w:color="auto"/>
          </w:divBdr>
        </w:div>
        <w:div w:id="844589802">
          <w:marLeft w:val="640"/>
          <w:marRight w:val="0"/>
          <w:marTop w:val="0"/>
          <w:marBottom w:val="0"/>
          <w:divBdr>
            <w:top w:val="none" w:sz="0" w:space="0" w:color="auto"/>
            <w:left w:val="none" w:sz="0" w:space="0" w:color="auto"/>
            <w:bottom w:val="none" w:sz="0" w:space="0" w:color="auto"/>
            <w:right w:val="none" w:sz="0" w:space="0" w:color="auto"/>
          </w:divBdr>
        </w:div>
        <w:div w:id="768506411">
          <w:marLeft w:val="640"/>
          <w:marRight w:val="0"/>
          <w:marTop w:val="0"/>
          <w:marBottom w:val="0"/>
          <w:divBdr>
            <w:top w:val="none" w:sz="0" w:space="0" w:color="auto"/>
            <w:left w:val="none" w:sz="0" w:space="0" w:color="auto"/>
            <w:bottom w:val="none" w:sz="0" w:space="0" w:color="auto"/>
            <w:right w:val="none" w:sz="0" w:space="0" w:color="auto"/>
          </w:divBdr>
        </w:div>
        <w:div w:id="26608425">
          <w:marLeft w:val="640"/>
          <w:marRight w:val="0"/>
          <w:marTop w:val="0"/>
          <w:marBottom w:val="0"/>
          <w:divBdr>
            <w:top w:val="none" w:sz="0" w:space="0" w:color="auto"/>
            <w:left w:val="none" w:sz="0" w:space="0" w:color="auto"/>
            <w:bottom w:val="none" w:sz="0" w:space="0" w:color="auto"/>
            <w:right w:val="none" w:sz="0" w:space="0" w:color="auto"/>
          </w:divBdr>
        </w:div>
        <w:div w:id="1165635193">
          <w:marLeft w:val="640"/>
          <w:marRight w:val="0"/>
          <w:marTop w:val="0"/>
          <w:marBottom w:val="0"/>
          <w:divBdr>
            <w:top w:val="none" w:sz="0" w:space="0" w:color="auto"/>
            <w:left w:val="none" w:sz="0" w:space="0" w:color="auto"/>
            <w:bottom w:val="none" w:sz="0" w:space="0" w:color="auto"/>
            <w:right w:val="none" w:sz="0" w:space="0" w:color="auto"/>
          </w:divBdr>
        </w:div>
        <w:div w:id="1813517291">
          <w:marLeft w:val="640"/>
          <w:marRight w:val="0"/>
          <w:marTop w:val="0"/>
          <w:marBottom w:val="0"/>
          <w:divBdr>
            <w:top w:val="none" w:sz="0" w:space="0" w:color="auto"/>
            <w:left w:val="none" w:sz="0" w:space="0" w:color="auto"/>
            <w:bottom w:val="none" w:sz="0" w:space="0" w:color="auto"/>
            <w:right w:val="none" w:sz="0" w:space="0" w:color="auto"/>
          </w:divBdr>
        </w:div>
        <w:div w:id="801312671">
          <w:marLeft w:val="640"/>
          <w:marRight w:val="0"/>
          <w:marTop w:val="0"/>
          <w:marBottom w:val="0"/>
          <w:divBdr>
            <w:top w:val="none" w:sz="0" w:space="0" w:color="auto"/>
            <w:left w:val="none" w:sz="0" w:space="0" w:color="auto"/>
            <w:bottom w:val="none" w:sz="0" w:space="0" w:color="auto"/>
            <w:right w:val="none" w:sz="0" w:space="0" w:color="auto"/>
          </w:divBdr>
        </w:div>
        <w:div w:id="1426537666">
          <w:marLeft w:val="640"/>
          <w:marRight w:val="0"/>
          <w:marTop w:val="0"/>
          <w:marBottom w:val="0"/>
          <w:divBdr>
            <w:top w:val="none" w:sz="0" w:space="0" w:color="auto"/>
            <w:left w:val="none" w:sz="0" w:space="0" w:color="auto"/>
            <w:bottom w:val="none" w:sz="0" w:space="0" w:color="auto"/>
            <w:right w:val="none" w:sz="0" w:space="0" w:color="auto"/>
          </w:divBdr>
        </w:div>
        <w:div w:id="1844928689">
          <w:marLeft w:val="640"/>
          <w:marRight w:val="0"/>
          <w:marTop w:val="0"/>
          <w:marBottom w:val="0"/>
          <w:divBdr>
            <w:top w:val="none" w:sz="0" w:space="0" w:color="auto"/>
            <w:left w:val="none" w:sz="0" w:space="0" w:color="auto"/>
            <w:bottom w:val="none" w:sz="0" w:space="0" w:color="auto"/>
            <w:right w:val="none" w:sz="0" w:space="0" w:color="auto"/>
          </w:divBdr>
        </w:div>
        <w:div w:id="484975682">
          <w:marLeft w:val="640"/>
          <w:marRight w:val="0"/>
          <w:marTop w:val="0"/>
          <w:marBottom w:val="0"/>
          <w:divBdr>
            <w:top w:val="none" w:sz="0" w:space="0" w:color="auto"/>
            <w:left w:val="none" w:sz="0" w:space="0" w:color="auto"/>
            <w:bottom w:val="none" w:sz="0" w:space="0" w:color="auto"/>
            <w:right w:val="none" w:sz="0" w:space="0" w:color="auto"/>
          </w:divBdr>
        </w:div>
        <w:div w:id="203714104">
          <w:marLeft w:val="640"/>
          <w:marRight w:val="0"/>
          <w:marTop w:val="0"/>
          <w:marBottom w:val="0"/>
          <w:divBdr>
            <w:top w:val="none" w:sz="0" w:space="0" w:color="auto"/>
            <w:left w:val="none" w:sz="0" w:space="0" w:color="auto"/>
            <w:bottom w:val="none" w:sz="0" w:space="0" w:color="auto"/>
            <w:right w:val="none" w:sz="0" w:space="0" w:color="auto"/>
          </w:divBdr>
        </w:div>
        <w:div w:id="1955823028">
          <w:marLeft w:val="640"/>
          <w:marRight w:val="0"/>
          <w:marTop w:val="0"/>
          <w:marBottom w:val="0"/>
          <w:divBdr>
            <w:top w:val="none" w:sz="0" w:space="0" w:color="auto"/>
            <w:left w:val="none" w:sz="0" w:space="0" w:color="auto"/>
            <w:bottom w:val="none" w:sz="0" w:space="0" w:color="auto"/>
            <w:right w:val="none" w:sz="0" w:space="0" w:color="auto"/>
          </w:divBdr>
        </w:div>
        <w:div w:id="334457546">
          <w:marLeft w:val="640"/>
          <w:marRight w:val="0"/>
          <w:marTop w:val="0"/>
          <w:marBottom w:val="0"/>
          <w:divBdr>
            <w:top w:val="none" w:sz="0" w:space="0" w:color="auto"/>
            <w:left w:val="none" w:sz="0" w:space="0" w:color="auto"/>
            <w:bottom w:val="none" w:sz="0" w:space="0" w:color="auto"/>
            <w:right w:val="none" w:sz="0" w:space="0" w:color="auto"/>
          </w:divBdr>
        </w:div>
        <w:div w:id="1816290887">
          <w:marLeft w:val="640"/>
          <w:marRight w:val="0"/>
          <w:marTop w:val="0"/>
          <w:marBottom w:val="0"/>
          <w:divBdr>
            <w:top w:val="none" w:sz="0" w:space="0" w:color="auto"/>
            <w:left w:val="none" w:sz="0" w:space="0" w:color="auto"/>
            <w:bottom w:val="none" w:sz="0" w:space="0" w:color="auto"/>
            <w:right w:val="none" w:sz="0" w:space="0" w:color="auto"/>
          </w:divBdr>
        </w:div>
        <w:div w:id="1234051775">
          <w:marLeft w:val="640"/>
          <w:marRight w:val="0"/>
          <w:marTop w:val="0"/>
          <w:marBottom w:val="0"/>
          <w:divBdr>
            <w:top w:val="none" w:sz="0" w:space="0" w:color="auto"/>
            <w:left w:val="none" w:sz="0" w:space="0" w:color="auto"/>
            <w:bottom w:val="none" w:sz="0" w:space="0" w:color="auto"/>
            <w:right w:val="none" w:sz="0" w:space="0" w:color="auto"/>
          </w:divBdr>
        </w:div>
        <w:div w:id="176579058">
          <w:marLeft w:val="640"/>
          <w:marRight w:val="0"/>
          <w:marTop w:val="0"/>
          <w:marBottom w:val="0"/>
          <w:divBdr>
            <w:top w:val="none" w:sz="0" w:space="0" w:color="auto"/>
            <w:left w:val="none" w:sz="0" w:space="0" w:color="auto"/>
            <w:bottom w:val="none" w:sz="0" w:space="0" w:color="auto"/>
            <w:right w:val="none" w:sz="0" w:space="0" w:color="auto"/>
          </w:divBdr>
        </w:div>
        <w:div w:id="925724058">
          <w:marLeft w:val="640"/>
          <w:marRight w:val="0"/>
          <w:marTop w:val="0"/>
          <w:marBottom w:val="0"/>
          <w:divBdr>
            <w:top w:val="none" w:sz="0" w:space="0" w:color="auto"/>
            <w:left w:val="none" w:sz="0" w:space="0" w:color="auto"/>
            <w:bottom w:val="none" w:sz="0" w:space="0" w:color="auto"/>
            <w:right w:val="none" w:sz="0" w:space="0" w:color="auto"/>
          </w:divBdr>
        </w:div>
        <w:div w:id="1333752846">
          <w:marLeft w:val="640"/>
          <w:marRight w:val="0"/>
          <w:marTop w:val="0"/>
          <w:marBottom w:val="0"/>
          <w:divBdr>
            <w:top w:val="none" w:sz="0" w:space="0" w:color="auto"/>
            <w:left w:val="none" w:sz="0" w:space="0" w:color="auto"/>
            <w:bottom w:val="none" w:sz="0" w:space="0" w:color="auto"/>
            <w:right w:val="none" w:sz="0" w:space="0" w:color="auto"/>
          </w:divBdr>
        </w:div>
        <w:div w:id="1548378048">
          <w:marLeft w:val="640"/>
          <w:marRight w:val="0"/>
          <w:marTop w:val="0"/>
          <w:marBottom w:val="0"/>
          <w:divBdr>
            <w:top w:val="none" w:sz="0" w:space="0" w:color="auto"/>
            <w:left w:val="none" w:sz="0" w:space="0" w:color="auto"/>
            <w:bottom w:val="none" w:sz="0" w:space="0" w:color="auto"/>
            <w:right w:val="none" w:sz="0" w:space="0" w:color="auto"/>
          </w:divBdr>
        </w:div>
        <w:div w:id="1541556317">
          <w:marLeft w:val="640"/>
          <w:marRight w:val="0"/>
          <w:marTop w:val="0"/>
          <w:marBottom w:val="0"/>
          <w:divBdr>
            <w:top w:val="none" w:sz="0" w:space="0" w:color="auto"/>
            <w:left w:val="none" w:sz="0" w:space="0" w:color="auto"/>
            <w:bottom w:val="none" w:sz="0" w:space="0" w:color="auto"/>
            <w:right w:val="none" w:sz="0" w:space="0" w:color="auto"/>
          </w:divBdr>
        </w:div>
        <w:div w:id="815218973">
          <w:marLeft w:val="640"/>
          <w:marRight w:val="0"/>
          <w:marTop w:val="0"/>
          <w:marBottom w:val="0"/>
          <w:divBdr>
            <w:top w:val="none" w:sz="0" w:space="0" w:color="auto"/>
            <w:left w:val="none" w:sz="0" w:space="0" w:color="auto"/>
            <w:bottom w:val="none" w:sz="0" w:space="0" w:color="auto"/>
            <w:right w:val="none" w:sz="0" w:space="0" w:color="auto"/>
          </w:divBdr>
        </w:div>
        <w:div w:id="587811862">
          <w:marLeft w:val="640"/>
          <w:marRight w:val="0"/>
          <w:marTop w:val="0"/>
          <w:marBottom w:val="0"/>
          <w:divBdr>
            <w:top w:val="none" w:sz="0" w:space="0" w:color="auto"/>
            <w:left w:val="none" w:sz="0" w:space="0" w:color="auto"/>
            <w:bottom w:val="none" w:sz="0" w:space="0" w:color="auto"/>
            <w:right w:val="none" w:sz="0" w:space="0" w:color="auto"/>
          </w:divBdr>
        </w:div>
        <w:div w:id="300618835">
          <w:marLeft w:val="640"/>
          <w:marRight w:val="0"/>
          <w:marTop w:val="0"/>
          <w:marBottom w:val="0"/>
          <w:divBdr>
            <w:top w:val="none" w:sz="0" w:space="0" w:color="auto"/>
            <w:left w:val="none" w:sz="0" w:space="0" w:color="auto"/>
            <w:bottom w:val="none" w:sz="0" w:space="0" w:color="auto"/>
            <w:right w:val="none" w:sz="0" w:space="0" w:color="auto"/>
          </w:divBdr>
        </w:div>
        <w:div w:id="1301301847">
          <w:marLeft w:val="640"/>
          <w:marRight w:val="0"/>
          <w:marTop w:val="0"/>
          <w:marBottom w:val="0"/>
          <w:divBdr>
            <w:top w:val="none" w:sz="0" w:space="0" w:color="auto"/>
            <w:left w:val="none" w:sz="0" w:space="0" w:color="auto"/>
            <w:bottom w:val="none" w:sz="0" w:space="0" w:color="auto"/>
            <w:right w:val="none" w:sz="0" w:space="0" w:color="auto"/>
          </w:divBdr>
        </w:div>
        <w:div w:id="2019231728">
          <w:marLeft w:val="640"/>
          <w:marRight w:val="0"/>
          <w:marTop w:val="0"/>
          <w:marBottom w:val="0"/>
          <w:divBdr>
            <w:top w:val="none" w:sz="0" w:space="0" w:color="auto"/>
            <w:left w:val="none" w:sz="0" w:space="0" w:color="auto"/>
            <w:bottom w:val="none" w:sz="0" w:space="0" w:color="auto"/>
            <w:right w:val="none" w:sz="0" w:space="0" w:color="auto"/>
          </w:divBdr>
        </w:div>
        <w:div w:id="242691055">
          <w:marLeft w:val="640"/>
          <w:marRight w:val="0"/>
          <w:marTop w:val="0"/>
          <w:marBottom w:val="0"/>
          <w:divBdr>
            <w:top w:val="none" w:sz="0" w:space="0" w:color="auto"/>
            <w:left w:val="none" w:sz="0" w:space="0" w:color="auto"/>
            <w:bottom w:val="none" w:sz="0" w:space="0" w:color="auto"/>
            <w:right w:val="none" w:sz="0" w:space="0" w:color="auto"/>
          </w:divBdr>
        </w:div>
        <w:div w:id="2093811192">
          <w:marLeft w:val="640"/>
          <w:marRight w:val="0"/>
          <w:marTop w:val="0"/>
          <w:marBottom w:val="0"/>
          <w:divBdr>
            <w:top w:val="none" w:sz="0" w:space="0" w:color="auto"/>
            <w:left w:val="none" w:sz="0" w:space="0" w:color="auto"/>
            <w:bottom w:val="none" w:sz="0" w:space="0" w:color="auto"/>
            <w:right w:val="none" w:sz="0" w:space="0" w:color="auto"/>
          </w:divBdr>
        </w:div>
      </w:divsChild>
    </w:div>
    <w:div w:id="2129275352">
      <w:bodyDiv w:val="1"/>
      <w:marLeft w:val="0"/>
      <w:marRight w:val="0"/>
      <w:marTop w:val="0"/>
      <w:marBottom w:val="0"/>
      <w:divBdr>
        <w:top w:val="none" w:sz="0" w:space="0" w:color="auto"/>
        <w:left w:val="none" w:sz="0" w:space="0" w:color="auto"/>
        <w:bottom w:val="none" w:sz="0" w:space="0" w:color="auto"/>
        <w:right w:val="none" w:sz="0" w:space="0" w:color="auto"/>
      </w:divBdr>
    </w:div>
    <w:div w:id="2129858051">
      <w:bodyDiv w:val="1"/>
      <w:marLeft w:val="0"/>
      <w:marRight w:val="0"/>
      <w:marTop w:val="0"/>
      <w:marBottom w:val="0"/>
      <w:divBdr>
        <w:top w:val="none" w:sz="0" w:space="0" w:color="auto"/>
        <w:left w:val="none" w:sz="0" w:space="0" w:color="auto"/>
        <w:bottom w:val="none" w:sz="0" w:space="0" w:color="auto"/>
        <w:right w:val="none" w:sz="0" w:space="0" w:color="auto"/>
      </w:divBdr>
    </w:div>
    <w:div w:id="2130277283">
      <w:bodyDiv w:val="1"/>
      <w:marLeft w:val="0"/>
      <w:marRight w:val="0"/>
      <w:marTop w:val="0"/>
      <w:marBottom w:val="0"/>
      <w:divBdr>
        <w:top w:val="none" w:sz="0" w:space="0" w:color="auto"/>
        <w:left w:val="none" w:sz="0" w:space="0" w:color="auto"/>
        <w:bottom w:val="none" w:sz="0" w:space="0" w:color="auto"/>
        <w:right w:val="none" w:sz="0" w:space="0" w:color="auto"/>
      </w:divBdr>
    </w:div>
    <w:div w:id="2131119148">
      <w:bodyDiv w:val="1"/>
      <w:marLeft w:val="0"/>
      <w:marRight w:val="0"/>
      <w:marTop w:val="0"/>
      <w:marBottom w:val="0"/>
      <w:divBdr>
        <w:top w:val="none" w:sz="0" w:space="0" w:color="auto"/>
        <w:left w:val="none" w:sz="0" w:space="0" w:color="auto"/>
        <w:bottom w:val="none" w:sz="0" w:space="0" w:color="auto"/>
        <w:right w:val="none" w:sz="0" w:space="0" w:color="auto"/>
      </w:divBdr>
    </w:div>
    <w:div w:id="2133598807">
      <w:bodyDiv w:val="1"/>
      <w:marLeft w:val="0"/>
      <w:marRight w:val="0"/>
      <w:marTop w:val="0"/>
      <w:marBottom w:val="0"/>
      <w:divBdr>
        <w:top w:val="none" w:sz="0" w:space="0" w:color="auto"/>
        <w:left w:val="none" w:sz="0" w:space="0" w:color="auto"/>
        <w:bottom w:val="none" w:sz="0" w:space="0" w:color="auto"/>
        <w:right w:val="none" w:sz="0" w:space="0" w:color="auto"/>
      </w:divBdr>
    </w:div>
    <w:div w:id="2133743515">
      <w:bodyDiv w:val="1"/>
      <w:marLeft w:val="0"/>
      <w:marRight w:val="0"/>
      <w:marTop w:val="0"/>
      <w:marBottom w:val="0"/>
      <w:divBdr>
        <w:top w:val="none" w:sz="0" w:space="0" w:color="auto"/>
        <w:left w:val="none" w:sz="0" w:space="0" w:color="auto"/>
        <w:bottom w:val="none" w:sz="0" w:space="0" w:color="auto"/>
        <w:right w:val="none" w:sz="0" w:space="0" w:color="auto"/>
      </w:divBdr>
    </w:div>
    <w:div w:id="2133744433">
      <w:bodyDiv w:val="1"/>
      <w:marLeft w:val="0"/>
      <w:marRight w:val="0"/>
      <w:marTop w:val="0"/>
      <w:marBottom w:val="0"/>
      <w:divBdr>
        <w:top w:val="none" w:sz="0" w:space="0" w:color="auto"/>
        <w:left w:val="none" w:sz="0" w:space="0" w:color="auto"/>
        <w:bottom w:val="none" w:sz="0" w:space="0" w:color="auto"/>
        <w:right w:val="none" w:sz="0" w:space="0" w:color="auto"/>
      </w:divBdr>
    </w:div>
    <w:div w:id="2135899023">
      <w:bodyDiv w:val="1"/>
      <w:marLeft w:val="0"/>
      <w:marRight w:val="0"/>
      <w:marTop w:val="0"/>
      <w:marBottom w:val="0"/>
      <w:divBdr>
        <w:top w:val="none" w:sz="0" w:space="0" w:color="auto"/>
        <w:left w:val="none" w:sz="0" w:space="0" w:color="auto"/>
        <w:bottom w:val="none" w:sz="0" w:space="0" w:color="auto"/>
        <w:right w:val="none" w:sz="0" w:space="0" w:color="auto"/>
      </w:divBdr>
    </w:div>
    <w:div w:id="2135900345">
      <w:bodyDiv w:val="1"/>
      <w:marLeft w:val="0"/>
      <w:marRight w:val="0"/>
      <w:marTop w:val="0"/>
      <w:marBottom w:val="0"/>
      <w:divBdr>
        <w:top w:val="none" w:sz="0" w:space="0" w:color="auto"/>
        <w:left w:val="none" w:sz="0" w:space="0" w:color="auto"/>
        <w:bottom w:val="none" w:sz="0" w:space="0" w:color="auto"/>
        <w:right w:val="none" w:sz="0" w:space="0" w:color="auto"/>
      </w:divBdr>
    </w:div>
    <w:div w:id="2137983284">
      <w:bodyDiv w:val="1"/>
      <w:marLeft w:val="0"/>
      <w:marRight w:val="0"/>
      <w:marTop w:val="0"/>
      <w:marBottom w:val="0"/>
      <w:divBdr>
        <w:top w:val="none" w:sz="0" w:space="0" w:color="auto"/>
        <w:left w:val="none" w:sz="0" w:space="0" w:color="auto"/>
        <w:bottom w:val="none" w:sz="0" w:space="0" w:color="auto"/>
        <w:right w:val="none" w:sz="0" w:space="0" w:color="auto"/>
      </w:divBdr>
    </w:div>
    <w:div w:id="2142918403">
      <w:bodyDiv w:val="1"/>
      <w:marLeft w:val="0"/>
      <w:marRight w:val="0"/>
      <w:marTop w:val="0"/>
      <w:marBottom w:val="0"/>
      <w:divBdr>
        <w:top w:val="none" w:sz="0" w:space="0" w:color="auto"/>
        <w:left w:val="none" w:sz="0" w:space="0" w:color="auto"/>
        <w:bottom w:val="none" w:sz="0" w:space="0" w:color="auto"/>
        <w:right w:val="none" w:sz="0" w:space="0" w:color="auto"/>
      </w:divBdr>
    </w:div>
    <w:div w:id="2143884320">
      <w:bodyDiv w:val="1"/>
      <w:marLeft w:val="0"/>
      <w:marRight w:val="0"/>
      <w:marTop w:val="0"/>
      <w:marBottom w:val="0"/>
      <w:divBdr>
        <w:top w:val="none" w:sz="0" w:space="0" w:color="auto"/>
        <w:left w:val="none" w:sz="0" w:space="0" w:color="auto"/>
        <w:bottom w:val="none" w:sz="0" w:space="0" w:color="auto"/>
        <w:right w:val="none" w:sz="0" w:space="0" w:color="auto"/>
      </w:divBdr>
    </w:div>
    <w:div w:id="2144226221">
      <w:bodyDiv w:val="1"/>
      <w:marLeft w:val="0"/>
      <w:marRight w:val="0"/>
      <w:marTop w:val="0"/>
      <w:marBottom w:val="0"/>
      <w:divBdr>
        <w:top w:val="none" w:sz="0" w:space="0" w:color="auto"/>
        <w:left w:val="none" w:sz="0" w:space="0" w:color="auto"/>
        <w:bottom w:val="none" w:sz="0" w:space="0" w:color="auto"/>
        <w:right w:val="none" w:sz="0" w:space="0" w:color="auto"/>
      </w:divBdr>
    </w:div>
    <w:div w:id="2145418710">
      <w:bodyDiv w:val="1"/>
      <w:marLeft w:val="0"/>
      <w:marRight w:val="0"/>
      <w:marTop w:val="0"/>
      <w:marBottom w:val="0"/>
      <w:divBdr>
        <w:top w:val="none" w:sz="0" w:space="0" w:color="auto"/>
        <w:left w:val="none" w:sz="0" w:space="0" w:color="auto"/>
        <w:bottom w:val="none" w:sz="0" w:space="0" w:color="auto"/>
        <w:right w:val="none" w:sz="0" w:space="0" w:color="auto"/>
      </w:divBdr>
    </w:div>
    <w:div w:id="2146121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png"/><Relationship Id="rId21" Type="http://schemas.openxmlformats.org/officeDocument/2006/relationships/footer" Target="footer1.xml"/><Relationship Id="rId42" Type="http://schemas.openxmlformats.org/officeDocument/2006/relationships/image" Target="media/image18.png"/><Relationship Id="rId47" Type="http://schemas.openxmlformats.org/officeDocument/2006/relationships/image" Target="media/image23.png"/><Relationship Id="rId63" Type="http://schemas.openxmlformats.org/officeDocument/2006/relationships/image" Target="media/image38.png"/><Relationship Id="rId68" Type="http://schemas.openxmlformats.org/officeDocument/2006/relationships/image" Target="media/image43.png"/><Relationship Id="rId89" Type="http://schemas.openxmlformats.org/officeDocument/2006/relationships/image" Target="media/image60.svg"/><Relationship Id="rId7" Type="http://schemas.openxmlformats.org/officeDocument/2006/relationships/settings" Target="settings.xml"/><Relationship Id="rId71" Type="http://schemas.openxmlformats.org/officeDocument/2006/relationships/image" Target="media/image46.png"/><Relationship Id="rId92" Type="http://schemas.openxmlformats.org/officeDocument/2006/relationships/image" Target="media/image63.emf"/><Relationship Id="rId2" Type="http://schemas.openxmlformats.org/officeDocument/2006/relationships/customXml" Target="../customXml/item2.xml"/><Relationship Id="rId16" Type="http://schemas.openxmlformats.org/officeDocument/2006/relationships/hyperlink" Target="file:////Users/Peters/Documents/Sam%20Dissertation/Peters_Dissertation_Final_TRACE_202200801_formatted.docx" TargetMode="External"/><Relationship Id="rId29" Type="http://schemas.openxmlformats.org/officeDocument/2006/relationships/image" Target="media/image6.png"/><Relationship Id="rId11" Type="http://schemas.openxmlformats.org/officeDocument/2006/relationships/hyperlink" Target="file:////Users/Peters/Documents/Sam%20Dissertation/Peters_Dissertation_Final_TRACE_202200801_formatted.docx" TargetMode="External"/><Relationship Id="rId24" Type="http://schemas.openxmlformats.org/officeDocument/2006/relationships/image" Target="media/image1.png"/><Relationship Id="rId32" Type="http://schemas.openxmlformats.org/officeDocument/2006/relationships/image" Target="media/image9.emf"/><Relationship Id="rId37" Type="http://schemas.openxmlformats.org/officeDocument/2006/relationships/image" Target="media/image13.svg"/><Relationship Id="rId40" Type="http://schemas.openxmlformats.org/officeDocument/2006/relationships/image" Target="media/image16.png"/><Relationship Id="rId45" Type="http://schemas.openxmlformats.org/officeDocument/2006/relationships/image" Target="media/image21.png"/><Relationship Id="rId53" Type="http://schemas.openxmlformats.org/officeDocument/2006/relationships/image" Target="media/image28.emf"/><Relationship Id="rId58" Type="http://schemas.openxmlformats.org/officeDocument/2006/relationships/image" Target="media/image33.emf"/><Relationship Id="rId66" Type="http://schemas.openxmlformats.org/officeDocument/2006/relationships/image" Target="media/image41.png"/><Relationship Id="rId74" Type="http://schemas.openxmlformats.org/officeDocument/2006/relationships/image" Target="media/image49.svg"/><Relationship Id="rId79" Type="http://schemas.openxmlformats.org/officeDocument/2006/relationships/image" Target="media/image53.svg"/><Relationship Id="rId87" Type="http://schemas.openxmlformats.org/officeDocument/2006/relationships/image" Target="media/image58.png"/><Relationship Id="rId102" Type="http://schemas.openxmlformats.org/officeDocument/2006/relationships/image" Target="media/image73.png"/><Relationship Id="rId5" Type="http://schemas.openxmlformats.org/officeDocument/2006/relationships/numbering" Target="numbering.xml"/><Relationship Id="rId61" Type="http://schemas.openxmlformats.org/officeDocument/2006/relationships/image" Target="media/image36.emf"/><Relationship Id="rId90" Type="http://schemas.openxmlformats.org/officeDocument/2006/relationships/image" Target="media/image61.png"/><Relationship Id="rId95" Type="http://schemas.openxmlformats.org/officeDocument/2006/relationships/image" Target="media/image66.png"/><Relationship Id="rId19" Type="http://schemas.openxmlformats.org/officeDocument/2006/relationships/hyperlink" Target="file:////Users/Peters/Documents/Sam%20Dissertation/Peters_Dissertation_Final_TRACE_202200801_formatted.docx" TargetMode="External"/><Relationship Id="rId14" Type="http://schemas.openxmlformats.org/officeDocument/2006/relationships/hyperlink" Target="file:////Users/Peters/Documents/Sam%20Dissertation/Peters_Dissertation_Final_TRACE_202200801_formatted.docx" TargetMode="External"/><Relationship Id="rId22" Type="http://schemas.openxmlformats.org/officeDocument/2006/relationships/footer" Target="footer2.xml"/><Relationship Id="rId27" Type="http://schemas.openxmlformats.org/officeDocument/2006/relationships/image" Target="media/image4.png"/><Relationship Id="rId30" Type="http://schemas.openxmlformats.org/officeDocument/2006/relationships/image" Target="media/image7.emf"/><Relationship Id="rId35" Type="http://schemas.openxmlformats.org/officeDocument/2006/relationships/image" Target="media/image11.png"/><Relationship Id="rId43" Type="http://schemas.openxmlformats.org/officeDocument/2006/relationships/image" Target="media/image19.png"/><Relationship Id="rId48" Type="http://schemas.openxmlformats.org/officeDocument/2006/relationships/image" Target="media/image24.svg"/><Relationship Id="rId56" Type="http://schemas.openxmlformats.org/officeDocument/2006/relationships/image" Target="media/image31.png"/><Relationship Id="rId64" Type="http://schemas.openxmlformats.org/officeDocument/2006/relationships/image" Target="media/image39.png"/><Relationship Id="rId69" Type="http://schemas.openxmlformats.org/officeDocument/2006/relationships/image" Target="media/image44.png"/><Relationship Id="rId77" Type="http://schemas.openxmlformats.org/officeDocument/2006/relationships/image" Target="media/image51.png"/><Relationship Id="rId100" Type="http://schemas.openxmlformats.org/officeDocument/2006/relationships/image" Target="media/image71.png"/><Relationship Id="rId105" Type="http://schemas.openxmlformats.org/officeDocument/2006/relationships/glossaryDocument" Target="glossary/document.xml"/><Relationship Id="rId8" Type="http://schemas.openxmlformats.org/officeDocument/2006/relationships/webSettings" Target="webSettings.xml"/><Relationship Id="rId51" Type="http://schemas.openxmlformats.org/officeDocument/2006/relationships/image" Target="media/image26.png"/><Relationship Id="rId72" Type="http://schemas.openxmlformats.org/officeDocument/2006/relationships/image" Target="media/image47.svg"/><Relationship Id="rId80" Type="http://schemas.openxmlformats.org/officeDocument/2006/relationships/image" Target="media/image54.png"/><Relationship Id="rId85" Type="http://schemas.openxmlformats.org/officeDocument/2006/relationships/image" Target="media/image56.png"/><Relationship Id="rId93" Type="http://schemas.openxmlformats.org/officeDocument/2006/relationships/image" Target="media/image64.png"/><Relationship Id="rId98" Type="http://schemas.openxmlformats.org/officeDocument/2006/relationships/image" Target="media/image69.png"/><Relationship Id="rId3" Type="http://schemas.openxmlformats.org/officeDocument/2006/relationships/customXml" Target="../customXml/item3.xml"/><Relationship Id="rId12" Type="http://schemas.openxmlformats.org/officeDocument/2006/relationships/hyperlink" Target="file:////Users/Peters/Documents/Sam%20Dissertation/Peters_Dissertation_Final_TRACE_202200801_formatted.docx" TargetMode="External"/><Relationship Id="rId17" Type="http://schemas.openxmlformats.org/officeDocument/2006/relationships/hyperlink" Target="file:////Users/Peters/Documents/Sam%20Dissertation/Peters_Dissertation_Final_TRACE_202200801_formatted.docx" TargetMode="External"/><Relationship Id="rId25" Type="http://schemas.openxmlformats.org/officeDocument/2006/relationships/image" Target="media/image2.png"/><Relationship Id="rId33" Type="http://schemas.openxmlformats.org/officeDocument/2006/relationships/image" Target="media/image10.png"/><Relationship Id="rId38" Type="http://schemas.openxmlformats.org/officeDocument/2006/relationships/image" Target="media/image14.png"/><Relationship Id="rId46" Type="http://schemas.openxmlformats.org/officeDocument/2006/relationships/image" Target="media/image22.svg"/><Relationship Id="rId59" Type="http://schemas.openxmlformats.org/officeDocument/2006/relationships/image" Target="media/image34.emf"/><Relationship Id="rId67" Type="http://schemas.openxmlformats.org/officeDocument/2006/relationships/image" Target="media/image42.png"/><Relationship Id="rId103" Type="http://schemas.openxmlformats.org/officeDocument/2006/relationships/hyperlink" Target="https://www.geneious.com/" TargetMode="External"/><Relationship Id="rId20" Type="http://schemas.openxmlformats.org/officeDocument/2006/relationships/hyperlink" Target="file:////Users/Peters/Documents/Sam%20Dissertation/Peters_Dissertation_Final_TRACE_202200801_formatted.docx" TargetMode="External"/><Relationship Id="rId41" Type="http://schemas.openxmlformats.org/officeDocument/2006/relationships/image" Target="media/image17.svg"/><Relationship Id="rId54" Type="http://schemas.openxmlformats.org/officeDocument/2006/relationships/image" Target="media/image29.emf"/><Relationship Id="rId62" Type="http://schemas.openxmlformats.org/officeDocument/2006/relationships/image" Target="media/image37.png"/><Relationship Id="rId70" Type="http://schemas.openxmlformats.org/officeDocument/2006/relationships/image" Target="media/image45.svg"/><Relationship Id="rId75" Type="http://schemas.openxmlformats.org/officeDocument/2006/relationships/image" Target="media/image50.png"/><Relationship Id="rId88" Type="http://schemas.openxmlformats.org/officeDocument/2006/relationships/image" Target="media/image59.png"/><Relationship Id="rId91" Type="http://schemas.openxmlformats.org/officeDocument/2006/relationships/image" Target="media/image62.svg"/><Relationship Id="rId96" Type="http://schemas.openxmlformats.org/officeDocument/2006/relationships/image" Target="media/image67.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file:////Users/Peters/Documents/Sam%20Dissertation/Peters_Dissertation_Final_TRACE_202200801_formatted.docx" TargetMode="External"/><Relationship Id="rId23" Type="http://schemas.openxmlformats.org/officeDocument/2006/relationships/footer" Target="footer3.xml"/><Relationship Id="rId28" Type="http://schemas.openxmlformats.org/officeDocument/2006/relationships/image" Target="media/image5.emf"/><Relationship Id="rId36" Type="http://schemas.openxmlformats.org/officeDocument/2006/relationships/image" Target="media/image12.png"/><Relationship Id="rId49" Type="http://schemas.openxmlformats.org/officeDocument/2006/relationships/hyperlink" Target="https://doi.org/10.1038/s41467-021-27542-8" TargetMode="External"/><Relationship Id="rId57" Type="http://schemas.openxmlformats.org/officeDocument/2006/relationships/image" Target="media/image32.emf"/><Relationship Id="rId106"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image" Target="media/image8.jpeg"/><Relationship Id="rId44" Type="http://schemas.openxmlformats.org/officeDocument/2006/relationships/image" Target="media/image20.svg"/><Relationship Id="rId52" Type="http://schemas.openxmlformats.org/officeDocument/2006/relationships/image" Target="media/image27.emf"/><Relationship Id="rId60" Type="http://schemas.openxmlformats.org/officeDocument/2006/relationships/image" Target="media/image35.emf"/><Relationship Id="rId65" Type="http://schemas.openxmlformats.org/officeDocument/2006/relationships/image" Target="media/image40.png"/><Relationship Id="rId73" Type="http://schemas.openxmlformats.org/officeDocument/2006/relationships/image" Target="media/image48.png"/><Relationship Id="rId78" Type="http://schemas.openxmlformats.org/officeDocument/2006/relationships/image" Target="media/image52.png"/><Relationship Id="rId81" Type="http://schemas.openxmlformats.org/officeDocument/2006/relationships/image" Target="media/image55.png"/><Relationship Id="rId86" Type="http://schemas.openxmlformats.org/officeDocument/2006/relationships/image" Target="media/image57.png"/><Relationship Id="rId94" Type="http://schemas.openxmlformats.org/officeDocument/2006/relationships/image" Target="media/image65.svg"/><Relationship Id="rId99" Type="http://schemas.openxmlformats.org/officeDocument/2006/relationships/image" Target="media/image70.png"/><Relationship Id="rId101" Type="http://schemas.openxmlformats.org/officeDocument/2006/relationships/image" Target="media/image72.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file:////Users/Peters/Documents/Sam%20Dissertation/Peters_Dissertation_Final_TRACE_202200801_formatted.docx" TargetMode="External"/><Relationship Id="rId18" Type="http://schemas.openxmlformats.org/officeDocument/2006/relationships/hyperlink" Target="file:////Users/Peters/Documents/Sam%20Dissertation/Peters_Dissertation_Final_TRACE_202200801_formatted.docx" TargetMode="External"/><Relationship Id="rId39" Type="http://schemas.openxmlformats.org/officeDocument/2006/relationships/image" Target="media/image15.jpeg"/><Relationship Id="rId34" Type="http://schemas.openxmlformats.org/officeDocument/2006/relationships/hyperlink" Target="https://doi.org/10.1038/s41467-021-27542-8" TargetMode="External"/><Relationship Id="rId50" Type="http://schemas.openxmlformats.org/officeDocument/2006/relationships/image" Target="media/image25.emf"/><Relationship Id="rId55" Type="http://schemas.openxmlformats.org/officeDocument/2006/relationships/image" Target="media/image30.emf"/><Relationship Id="rId76" Type="http://schemas.openxmlformats.org/officeDocument/2006/relationships/chart" Target="charts/chart1.xml"/><Relationship Id="rId97" Type="http://schemas.openxmlformats.org/officeDocument/2006/relationships/image" Target="media/image68.png"/><Relationship Id="rId10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J:\Infant06_research_cRT0\SeededPeptides_QuantProtein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OrganismRatio_UniRef!$AA$30</c:f>
              <c:strCache>
                <c:ptCount val="1"/>
                <c:pt idx="0">
                  <c:v>Human</c:v>
                </c:pt>
              </c:strCache>
            </c:strRef>
          </c:tx>
          <c:spPr>
            <a:solidFill>
              <a:schemeClr val="accent1"/>
            </a:solidFill>
            <a:ln>
              <a:noFill/>
            </a:ln>
            <a:effectLst/>
          </c:spPr>
          <c:invertIfNegative val="0"/>
          <c:cat>
            <c:strRef>
              <c:f>OrganismRatio_UniRef!$AB$29:$AF$29</c:f>
              <c:strCache>
                <c:ptCount val="5"/>
                <c:pt idx="0">
                  <c:v>DOL12_D_01</c:v>
                </c:pt>
                <c:pt idx="1">
                  <c:v>DOL15_1700D_02</c:v>
                </c:pt>
                <c:pt idx="2">
                  <c:v>DOL29_0400F_03</c:v>
                </c:pt>
                <c:pt idx="3">
                  <c:v>DOL29_2320F_04</c:v>
                </c:pt>
                <c:pt idx="4">
                  <c:v>DOL36_0430D_05</c:v>
                </c:pt>
              </c:strCache>
            </c:strRef>
          </c:cat>
          <c:val>
            <c:numRef>
              <c:f>OrganismRatio_UniRef!$AB$30:$AF$30</c:f>
              <c:numCache>
                <c:formatCode>General</c:formatCode>
                <c:ptCount val="5"/>
                <c:pt idx="0">
                  <c:v>51789099173291.609</c:v>
                </c:pt>
                <c:pt idx="1">
                  <c:v>28372230532066.508</c:v>
                </c:pt>
                <c:pt idx="2">
                  <c:v>9744233316152.0762</c:v>
                </c:pt>
                <c:pt idx="3">
                  <c:v>14714756787113.91</c:v>
                </c:pt>
                <c:pt idx="4">
                  <c:v>24871766712530.59</c:v>
                </c:pt>
              </c:numCache>
            </c:numRef>
          </c:val>
          <c:extLst>
            <c:ext xmlns:c16="http://schemas.microsoft.com/office/drawing/2014/chart" uri="{C3380CC4-5D6E-409C-BE32-E72D297353CC}">
              <c16:uniqueId val="{00000000-3478-BB4D-95E2-3B6A9D6B5357}"/>
            </c:ext>
          </c:extLst>
        </c:ser>
        <c:ser>
          <c:idx val="1"/>
          <c:order val="1"/>
          <c:tx>
            <c:strRef>
              <c:f>OrganismRatio_UniRef!$AA$31</c:f>
              <c:strCache>
                <c:ptCount val="1"/>
                <c:pt idx="0">
                  <c:v>E. faecalis </c:v>
                </c:pt>
              </c:strCache>
            </c:strRef>
          </c:tx>
          <c:spPr>
            <a:solidFill>
              <a:schemeClr val="accent2"/>
            </a:solidFill>
            <a:ln>
              <a:noFill/>
            </a:ln>
            <a:effectLst/>
          </c:spPr>
          <c:invertIfNegative val="0"/>
          <c:cat>
            <c:strRef>
              <c:f>OrganismRatio_UniRef!$AB$29:$AF$29</c:f>
              <c:strCache>
                <c:ptCount val="5"/>
                <c:pt idx="0">
                  <c:v>DOL12_D_01</c:v>
                </c:pt>
                <c:pt idx="1">
                  <c:v>DOL15_1700D_02</c:v>
                </c:pt>
                <c:pt idx="2">
                  <c:v>DOL29_0400F_03</c:v>
                </c:pt>
                <c:pt idx="3">
                  <c:v>DOL29_2320F_04</c:v>
                </c:pt>
                <c:pt idx="4">
                  <c:v>DOL36_0430D_05</c:v>
                </c:pt>
              </c:strCache>
            </c:strRef>
          </c:cat>
          <c:val>
            <c:numRef>
              <c:f>OrganismRatio_UniRef!$AB$31:$AF$31</c:f>
              <c:numCache>
                <c:formatCode>General</c:formatCode>
                <c:ptCount val="5"/>
                <c:pt idx="0">
                  <c:v>50167359139.69841</c:v>
                </c:pt>
                <c:pt idx="1">
                  <c:v>1178120405170.0471</c:v>
                </c:pt>
                <c:pt idx="2">
                  <c:v>25748642896.186607</c:v>
                </c:pt>
                <c:pt idx="3">
                  <c:v>31083020935.518013</c:v>
                </c:pt>
                <c:pt idx="4">
                  <c:v>446442103181.89136</c:v>
                </c:pt>
              </c:numCache>
            </c:numRef>
          </c:val>
          <c:extLst>
            <c:ext xmlns:c16="http://schemas.microsoft.com/office/drawing/2014/chart" uri="{C3380CC4-5D6E-409C-BE32-E72D297353CC}">
              <c16:uniqueId val="{00000001-3478-BB4D-95E2-3B6A9D6B5357}"/>
            </c:ext>
          </c:extLst>
        </c:ser>
        <c:ser>
          <c:idx val="2"/>
          <c:order val="2"/>
          <c:tx>
            <c:strRef>
              <c:f>OrganismRatio_UniRef!$AA$32</c:f>
              <c:strCache>
                <c:ptCount val="1"/>
                <c:pt idx="0">
                  <c:v>S. epidermidis </c:v>
                </c:pt>
              </c:strCache>
            </c:strRef>
          </c:tx>
          <c:spPr>
            <a:solidFill>
              <a:schemeClr val="accent3"/>
            </a:solidFill>
            <a:ln>
              <a:noFill/>
            </a:ln>
            <a:effectLst/>
          </c:spPr>
          <c:invertIfNegative val="0"/>
          <c:cat>
            <c:strRef>
              <c:f>OrganismRatio_UniRef!$AB$29:$AF$29</c:f>
              <c:strCache>
                <c:ptCount val="5"/>
                <c:pt idx="0">
                  <c:v>DOL12_D_01</c:v>
                </c:pt>
                <c:pt idx="1">
                  <c:v>DOL15_1700D_02</c:v>
                </c:pt>
                <c:pt idx="2">
                  <c:v>DOL29_0400F_03</c:v>
                </c:pt>
                <c:pt idx="3">
                  <c:v>DOL29_2320F_04</c:v>
                </c:pt>
                <c:pt idx="4">
                  <c:v>DOL36_0430D_05</c:v>
                </c:pt>
              </c:strCache>
            </c:strRef>
          </c:cat>
          <c:val>
            <c:numRef>
              <c:f>OrganismRatio_UniRef!$AB$32:$AF$32</c:f>
              <c:numCache>
                <c:formatCode>General</c:formatCode>
                <c:ptCount val="5"/>
                <c:pt idx="0">
                  <c:v>75610627140.182114</c:v>
                </c:pt>
                <c:pt idx="1">
                  <c:v>147295225360.89435</c:v>
                </c:pt>
                <c:pt idx="2">
                  <c:v>8218534869.0517635</c:v>
                </c:pt>
                <c:pt idx="3">
                  <c:v>11058162310.08724</c:v>
                </c:pt>
                <c:pt idx="4">
                  <c:v>409613475641.94061</c:v>
                </c:pt>
              </c:numCache>
            </c:numRef>
          </c:val>
          <c:extLst>
            <c:ext xmlns:c16="http://schemas.microsoft.com/office/drawing/2014/chart" uri="{C3380CC4-5D6E-409C-BE32-E72D297353CC}">
              <c16:uniqueId val="{00000002-3478-BB4D-95E2-3B6A9D6B5357}"/>
            </c:ext>
          </c:extLst>
        </c:ser>
        <c:ser>
          <c:idx val="3"/>
          <c:order val="3"/>
          <c:tx>
            <c:strRef>
              <c:f>OrganismRatio_UniRef!$AA$33</c:f>
              <c:strCache>
                <c:ptCount val="1"/>
                <c:pt idx="0">
                  <c:v>C. parapsilosis</c:v>
                </c:pt>
              </c:strCache>
            </c:strRef>
          </c:tx>
          <c:spPr>
            <a:solidFill>
              <a:schemeClr val="accent4"/>
            </a:solidFill>
            <a:ln>
              <a:noFill/>
            </a:ln>
            <a:effectLst/>
          </c:spPr>
          <c:invertIfNegative val="0"/>
          <c:cat>
            <c:strRef>
              <c:f>OrganismRatio_UniRef!$AB$29:$AF$29</c:f>
              <c:strCache>
                <c:ptCount val="5"/>
                <c:pt idx="0">
                  <c:v>DOL12_D_01</c:v>
                </c:pt>
                <c:pt idx="1">
                  <c:v>DOL15_1700D_02</c:v>
                </c:pt>
                <c:pt idx="2">
                  <c:v>DOL29_0400F_03</c:v>
                </c:pt>
                <c:pt idx="3">
                  <c:v>DOL29_2320F_04</c:v>
                </c:pt>
                <c:pt idx="4">
                  <c:v>DOL36_0430D_05</c:v>
                </c:pt>
              </c:strCache>
            </c:strRef>
          </c:cat>
          <c:val>
            <c:numRef>
              <c:f>OrganismRatio_UniRef!$AB$33:$AF$33</c:f>
              <c:numCache>
                <c:formatCode>General</c:formatCode>
                <c:ptCount val="5"/>
                <c:pt idx="0">
                  <c:v>99079644165.174271</c:v>
                </c:pt>
                <c:pt idx="1">
                  <c:v>55568695575.452721</c:v>
                </c:pt>
                <c:pt idx="2">
                  <c:v>107169891022.09674</c:v>
                </c:pt>
                <c:pt idx="3">
                  <c:v>143903531328.28683</c:v>
                </c:pt>
                <c:pt idx="4">
                  <c:v>26941840613.493507</c:v>
                </c:pt>
              </c:numCache>
            </c:numRef>
          </c:val>
          <c:extLst>
            <c:ext xmlns:c16="http://schemas.microsoft.com/office/drawing/2014/chart" uri="{C3380CC4-5D6E-409C-BE32-E72D297353CC}">
              <c16:uniqueId val="{00000003-3478-BB4D-95E2-3B6A9D6B5357}"/>
            </c:ext>
          </c:extLst>
        </c:ser>
        <c:ser>
          <c:idx val="4"/>
          <c:order val="4"/>
          <c:tx>
            <c:strRef>
              <c:f>OrganismRatio_UniRef!$AA$34</c:f>
              <c:strCache>
                <c:ptCount val="1"/>
                <c:pt idx="0">
                  <c:v>L. gasseri </c:v>
                </c:pt>
              </c:strCache>
            </c:strRef>
          </c:tx>
          <c:spPr>
            <a:solidFill>
              <a:schemeClr val="accent5"/>
            </a:solidFill>
            <a:ln>
              <a:noFill/>
            </a:ln>
            <a:effectLst/>
          </c:spPr>
          <c:invertIfNegative val="0"/>
          <c:cat>
            <c:strRef>
              <c:f>OrganismRatio_UniRef!$AB$29:$AF$29</c:f>
              <c:strCache>
                <c:ptCount val="5"/>
                <c:pt idx="0">
                  <c:v>DOL12_D_01</c:v>
                </c:pt>
                <c:pt idx="1">
                  <c:v>DOL15_1700D_02</c:v>
                </c:pt>
                <c:pt idx="2">
                  <c:v>DOL29_0400F_03</c:v>
                </c:pt>
                <c:pt idx="3">
                  <c:v>DOL29_2320F_04</c:v>
                </c:pt>
                <c:pt idx="4">
                  <c:v>DOL36_0430D_05</c:v>
                </c:pt>
              </c:strCache>
            </c:strRef>
          </c:cat>
          <c:val>
            <c:numRef>
              <c:f>OrganismRatio_UniRef!$AB$34:$AF$34</c:f>
              <c:numCache>
                <c:formatCode>General</c:formatCode>
                <c:ptCount val="5"/>
                <c:pt idx="0">
                  <c:v>13444364178.405836</c:v>
                </c:pt>
                <c:pt idx="1">
                  <c:v>217161958768.62399</c:v>
                </c:pt>
                <c:pt idx="2">
                  <c:v>11332029786.893744</c:v>
                </c:pt>
                <c:pt idx="3">
                  <c:v>11145399379.193134</c:v>
                </c:pt>
                <c:pt idx="4">
                  <c:v>16316435519.108566</c:v>
                </c:pt>
              </c:numCache>
            </c:numRef>
          </c:val>
          <c:extLst>
            <c:ext xmlns:c16="http://schemas.microsoft.com/office/drawing/2014/chart" uri="{C3380CC4-5D6E-409C-BE32-E72D297353CC}">
              <c16:uniqueId val="{00000004-3478-BB4D-95E2-3B6A9D6B5357}"/>
            </c:ext>
          </c:extLst>
        </c:ser>
        <c:dLbls>
          <c:showLegendKey val="0"/>
          <c:showVal val="0"/>
          <c:showCatName val="0"/>
          <c:showSerName val="0"/>
          <c:showPercent val="0"/>
          <c:showBubbleSize val="0"/>
        </c:dLbls>
        <c:gapWidth val="150"/>
        <c:overlap val="100"/>
        <c:axId val="1931840063"/>
        <c:axId val="1931840479"/>
      </c:barChart>
      <c:catAx>
        <c:axId val="19318400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1840479"/>
        <c:crosses val="autoZero"/>
        <c:auto val="1"/>
        <c:lblAlgn val="ctr"/>
        <c:lblOffset val="100"/>
        <c:noMultiLvlLbl val="0"/>
      </c:catAx>
      <c:valAx>
        <c:axId val="193184047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Relative MS1</a:t>
                </a:r>
                <a:r>
                  <a:rPr lang="en-US" baseline="0"/>
                  <a:t> summed abundance</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18400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45FADC50A324E4486C4324FBA958C61"/>
        <w:category>
          <w:name w:val="General"/>
          <w:gallery w:val="placeholder"/>
        </w:category>
        <w:types>
          <w:type w:val="bbPlcHdr"/>
        </w:types>
        <w:behaviors>
          <w:behavior w:val="content"/>
        </w:behaviors>
        <w:guid w:val="{C9D64EA1-27DE-064A-A5F5-BD30186E993E}"/>
      </w:docPartPr>
      <w:docPartBody>
        <w:p w:rsidR="001373AE" w:rsidRDefault="00570435" w:rsidP="00570435">
          <w:pPr>
            <w:pStyle w:val="B45FADC50A324E4486C4324FBA958C61"/>
          </w:pPr>
          <w:r w:rsidRPr="00875B1C">
            <w:rPr>
              <w:rStyle w:val="PlaceholderText"/>
            </w:rPr>
            <w:t>Click or tap here to enter text.</w:t>
          </w:r>
        </w:p>
      </w:docPartBody>
    </w:docPart>
    <w:docPart>
      <w:docPartPr>
        <w:name w:val="71C961156B4B084689937643ADA1E714"/>
        <w:category>
          <w:name w:val="General"/>
          <w:gallery w:val="placeholder"/>
        </w:category>
        <w:types>
          <w:type w:val="bbPlcHdr"/>
        </w:types>
        <w:behaviors>
          <w:behavior w:val="content"/>
        </w:behaviors>
        <w:guid w:val="{ED32B496-5CFF-934E-9CFF-2524B0691DE9}"/>
      </w:docPartPr>
      <w:docPartBody>
        <w:p w:rsidR="001373AE" w:rsidRDefault="00570435" w:rsidP="00570435">
          <w:pPr>
            <w:pStyle w:val="71C961156B4B084689937643ADA1E714"/>
          </w:pPr>
          <w:r w:rsidRPr="00875B1C">
            <w:rPr>
              <w:rStyle w:val="PlaceholderText"/>
            </w:rPr>
            <w:t>Click or tap here to enter text.</w:t>
          </w:r>
        </w:p>
      </w:docPartBody>
    </w:docPart>
    <w:docPart>
      <w:docPartPr>
        <w:name w:val="7D79B69B0F616E4A8A8F5C102537D7B7"/>
        <w:category>
          <w:name w:val="General"/>
          <w:gallery w:val="placeholder"/>
        </w:category>
        <w:types>
          <w:type w:val="bbPlcHdr"/>
        </w:types>
        <w:behaviors>
          <w:behavior w:val="content"/>
        </w:behaviors>
        <w:guid w:val="{45CD36CC-5885-624E-999B-6D97839C4C8A}"/>
      </w:docPartPr>
      <w:docPartBody>
        <w:p w:rsidR="001373AE" w:rsidRDefault="00570435" w:rsidP="00570435">
          <w:pPr>
            <w:pStyle w:val="7D79B69B0F616E4A8A8F5C102537D7B7"/>
          </w:pPr>
          <w:r w:rsidRPr="00875B1C">
            <w:rPr>
              <w:rStyle w:val="PlaceholderText"/>
            </w:rPr>
            <w:t>Click or tap here to enter text.</w:t>
          </w:r>
        </w:p>
      </w:docPartBody>
    </w:docPart>
    <w:docPart>
      <w:docPartPr>
        <w:name w:val="EDCAAF127C89A241A412749C87CEB2A5"/>
        <w:category>
          <w:name w:val="General"/>
          <w:gallery w:val="placeholder"/>
        </w:category>
        <w:types>
          <w:type w:val="bbPlcHdr"/>
        </w:types>
        <w:behaviors>
          <w:behavior w:val="content"/>
        </w:behaviors>
        <w:guid w:val="{537C34F7-E83E-9A47-B4BE-742669255A61}"/>
      </w:docPartPr>
      <w:docPartBody>
        <w:p w:rsidR="001373AE" w:rsidRDefault="00570435" w:rsidP="00570435">
          <w:pPr>
            <w:pStyle w:val="EDCAAF127C89A241A412749C87CEB2A5"/>
          </w:pPr>
          <w:r w:rsidRPr="00875B1C">
            <w:rPr>
              <w:rStyle w:val="PlaceholderText"/>
            </w:rPr>
            <w:t>Click or tap here to enter text.</w:t>
          </w:r>
        </w:p>
      </w:docPartBody>
    </w:docPart>
    <w:docPart>
      <w:docPartPr>
        <w:name w:val="99CA647BB68D30469924B0E915BC5753"/>
        <w:category>
          <w:name w:val="General"/>
          <w:gallery w:val="placeholder"/>
        </w:category>
        <w:types>
          <w:type w:val="bbPlcHdr"/>
        </w:types>
        <w:behaviors>
          <w:behavior w:val="content"/>
        </w:behaviors>
        <w:guid w:val="{6DFF8DDA-F216-9547-B699-EFB9B692B0AF}"/>
      </w:docPartPr>
      <w:docPartBody>
        <w:p w:rsidR="001373AE" w:rsidRDefault="00570435" w:rsidP="00570435">
          <w:pPr>
            <w:pStyle w:val="99CA647BB68D30469924B0E915BC5753"/>
          </w:pPr>
          <w:r w:rsidRPr="00703A27">
            <w:rPr>
              <w:rStyle w:val="PlaceholderText"/>
            </w:rPr>
            <w:t>Click or tap here to enter text.</w:t>
          </w:r>
        </w:p>
      </w:docPartBody>
    </w:docPart>
    <w:docPart>
      <w:docPartPr>
        <w:name w:val="E4B5E21686F2314088D58853EA72C37C"/>
        <w:category>
          <w:name w:val="General"/>
          <w:gallery w:val="placeholder"/>
        </w:category>
        <w:types>
          <w:type w:val="bbPlcHdr"/>
        </w:types>
        <w:behaviors>
          <w:behavior w:val="content"/>
        </w:behaviors>
        <w:guid w:val="{FEEC8197-0A02-974A-8D26-CFDFD44BD647}"/>
      </w:docPartPr>
      <w:docPartBody>
        <w:p w:rsidR="001373AE" w:rsidRDefault="00570435" w:rsidP="00570435">
          <w:pPr>
            <w:pStyle w:val="E4B5E21686F2314088D58853EA72C37C"/>
          </w:pPr>
          <w:r w:rsidRPr="00875B1C">
            <w:rPr>
              <w:rStyle w:val="PlaceholderText"/>
            </w:rPr>
            <w:t>Click or tap here to enter text.</w:t>
          </w:r>
        </w:p>
      </w:docPartBody>
    </w:docPart>
    <w:docPart>
      <w:docPartPr>
        <w:name w:val="041751536CA6964C804BF226843AFE5F"/>
        <w:category>
          <w:name w:val="General"/>
          <w:gallery w:val="placeholder"/>
        </w:category>
        <w:types>
          <w:type w:val="bbPlcHdr"/>
        </w:types>
        <w:behaviors>
          <w:behavior w:val="content"/>
        </w:behaviors>
        <w:guid w:val="{42F39CAF-FC36-FB43-80C7-22E570996B30}"/>
      </w:docPartPr>
      <w:docPartBody>
        <w:p w:rsidR="001373AE" w:rsidRDefault="00570435" w:rsidP="00570435">
          <w:pPr>
            <w:pStyle w:val="041751536CA6964C804BF226843AFE5F"/>
          </w:pPr>
          <w:r w:rsidRPr="00875B1C">
            <w:rPr>
              <w:rStyle w:val="PlaceholderText"/>
            </w:rPr>
            <w:t>Click or tap here to enter text.</w:t>
          </w:r>
        </w:p>
      </w:docPartBody>
    </w:docPart>
    <w:docPart>
      <w:docPartPr>
        <w:name w:val="BD2EA2F9CCAF8B44A251C377D4581768"/>
        <w:category>
          <w:name w:val="General"/>
          <w:gallery w:val="placeholder"/>
        </w:category>
        <w:types>
          <w:type w:val="bbPlcHdr"/>
        </w:types>
        <w:behaviors>
          <w:behavior w:val="content"/>
        </w:behaviors>
        <w:guid w:val="{B762BD05-9F15-4049-AD69-E49B886FCAFD}"/>
      </w:docPartPr>
      <w:docPartBody>
        <w:p w:rsidR="001373AE" w:rsidRDefault="00570435" w:rsidP="00570435">
          <w:pPr>
            <w:pStyle w:val="BD2EA2F9CCAF8B44A251C377D4581768"/>
          </w:pPr>
          <w:r w:rsidRPr="00E21B00">
            <w:rPr>
              <w:rStyle w:val="PlaceholderText"/>
            </w:rPr>
            <w:t>Click or tap here to enter text.</w:t>
          </w:r>
        </w:p>
      </w:docPartBody>
    </w:docPart>
    <w:docPart>
      <w:docPartPr>
        <w:name w:val="9778F450844AC647A1DFBD91BCE1ACCF"/>
        <w:category>
          <w:name w:val="General"/>
          <w:gallery w:val="placeholder"/>
        </w:category>
        <w:types>
          <w:type w:val="bbPlcHdr"/>
        </w:types>
        <w:behaviors>
          <w:behavior w:val="content"/>
        </w:behaviors>
        <w:guid w:val="{8E9D8BF9-3526-A849-B051-37B498225FC6}"/>
      </w:docPartPr>
      <w:docPartBody>
        <w:p w:rsidR="001373AE" w:rsidRDefault="00570435" w:rsidP="00570435">
          <w:pPr>
            <w:pStyle w:val="9778F450844AC647A1DFBD91BCE1ACCF"/>
          </w:pPr>
          <w:r w:rsidRPr="00E21B00">
            <w:rPr>
              <w:rStyle w:val="PlaceholderText"/>
            </w:rPr>
            <w:t>Click or tap here to enter text.</w:t>
          </w:r>
        </w:p>
      </w:docPartBody>
    </w:docPart>
    <w:docPart>
      <w:docPartPr>
        <w:name w:val="1C024F93EC09C349BA1D125ADCDB1BF4"/>
        <w:category>
          <w:name w:val="General"/>
          <w:gallery w:val="placeholder"/>
        </w:category>
        <w:types>
          <w:type w:val="bbPlcHdr"/>
        </w:types>
        <w:behaviors>
          <w:behavior w:val="content"/>
        </w:behaviors>
        <w:guid w:val="{EDDB75E1-1274-6046-84E6-8ECB29AD624B}"/>
      </w:docPartPr>
      <w:docPartBody>
        <w:p w:rsidR="001373AE" w:rsidRDefault="00570435" w:rsidP="00570435">
          <w:pPr>
            <w:pStyle w:val="1C024F93EC09C349BA1D125ADCDB1BF4"/>
          </w:pPr>
          <w:r w:rsidRPr="00E21B00">
            <w:rPr>
              <w:rStyle w:val="PlaceholderText"/>
            </w:rPr>
            <w:t>Click or tap here to enter text.</w:t>
          </w:r>
        </w:p>
      </w:docPartBody>
    </w:docPart>
    <w:docPart>
      <w:docPartPr>
        <w:name w:val="F3F6992EED94864082AF753525BEC6D2"/>
        <w:category>
          <w:name w:val="General"/>
          <w:gallery w:val="placeholder"/>
        </w:category>
        <w:types>
          <w:type w:val="bbPlcHdr"/>
        </w:types>
        <w:behaviors>
          <w:behavior w:val="content"/>
        </w:behaviors>
        <w:guid w:val="{BCB08DB8-637C-BD43-A6C9-7CD2A54D79E6}"/>
      </w:docPartPr>
      <w:docPartBody>
        <w:p w:rsidR="001373AE" w:rsidRDefault="00570435" w:rsidP="00570435">
          <w:pPr>
            <w:pStyle w:val="F3F6992EED94864082AF753525BEC6D2"/>
          </w:pPr>
          <w:r w:rsidRPr="00E21B00">
            <w:rPr>
              <w:rStyle w:val="PlaceholderText"/>
            </w:rPr>
            <w:t>Click or tap here to enter text.</w:t>
          </w:r>
        </w:p>
      </w:docPartBody>
    </w:docPart>
    <w:docPart>
      <w:docPartPr>
        <w:name w:val="73B504778A72D149818372C99AFC4672"/>
        <w:category>
          <w:name w:val="General"/>
          <w:gallery w:val="placeholder"/>
        </w:category>
        <w:types>
          <w:type w:val="bbPlcHdr"/>
        </w:types>
        <w:behaviors>
          <w:behavior w:val="content"/>
        </w:behaviors>
        <w:guid w:val="{E796BDC1-27CB-9946-9C0E-F49AD15EB615}"/>
      </w:docPartPr>
      <w:docPartBody>
        <w:p w:rsidR="001373AE" w:rsidRDefault="00570435" w:rsidP="00570435">
          <w:pPr>
            <w:pStyle w:val="73B504778A72D149818372C99AFC4672"/>
          </w:pPr>
          <w:r w:rsidRPr="00E21B00">
            <w:rPr>
              <w:rStyle w:val="PlaceholderText"/>
            </w:rPr>
            <w:t>Click or tap here to enter text.</w:t>
          </w:r>
        </w:p>
      </w:docPartBody>
    </w:docPart>
    <w:docPart>
      <w:docPartPr>
        <w:name w:val="248294201BC2F64D86FDF283EC0887A0"/>
        <w:category>
          <w:name w:val="General"/>
          <w:gallery w:val="placeholder"/>
        </w:category>
        <w:types>
          <w:type w:val="bbPlcHdr"/>
        </w:types>
        <w:behaviors>
          <w:behavior w:val="content"/>
        </w:behaviors>
        <w:guid w:val="{37551F77-64F1-D647-88E8-A5A1D71540F6}"/>
      </w:docPartPr>
      <w:docPartBody>
        <w:p w:rsidR="001373AE" w:rsidRDefault="00570435" w:rsidP="00570435">
          <w:pPr>
            <w:pStyle w:val="248294201BC2F64D86FDF283EC0887A0"/>
          </w:pPr>
          <w:r w:rsidRPr="00E21B00">
            <w:rPr>
              <w:rStyle w:val="PlaceholderText"/>
            </w:rPr>
            <w:t>Click or tap here to enter text.</w:t>
          </w:r>
        </w:p>
      </w:docPartBody>
    </w:docPart>
    <w:docPart>
      <w:docPartPr>
        <w:name w:val="DFD82C3E27EDA8438440522BD30823A0"/>
        <w:category>
          <w:name w:val="General"/>
          <w:gallery w:val="placeholder"/>
        </w:category>
        <w:types>
          <w:type w:val="bbPlcHdr"/>
        </w:types>
        <w:behaviors>
          <w:behavior w:val="content"/>
        </w:behaviors>
        <w:guid w:val="{E43F3725-3EDA-4549-8566-43055E130394}"/>
      </w:docPartPr>
      <w:docPartBody>
        <w:p w:rsidR="001373AE" w:rsidRDefault="00570435" w:rsidP="00570435">
          <w:pPr>
            <w:pStyle w:val="DFD82C3E27EDA8438440522BD30823A0"/>
          </w:pPr>
          <w:r w:rsidRPr="00E21B00">
            <w:rPr>
              <w:rStyle w:val="PlaceholderText"/>
            </w:rPr>
            <w:t>Click or tap here to enter text.</w:t>
          </w:r>
        </w:p>
      </w:docPartBody>
    </w:docPart>
    <w:docPart>
      <w:docPartPr>
        <w:name w:val="78E6830DC518BA49B384D207808FD63A"/>
        <w:category>
          <w:name w:val="General"/>
          <w:gallery w:val="placeholder"/>
        </w:category>
        <w:types>
          <w:type w:val="bbPlcHdr"/>
        </w:types>
        <w:behaviors>
          <w:behavior w:val="content"/>
        </w:behaviors>
        <w:guid w:val="{3DAE372F-52CB-C34B-A09C-EEB2D4D6644C}"/>
      </w:docPartPr>
      <w:docPartBody>
        <w:p w:rsidR="001373AE" w:rsidRDefault="00570435" w:rsidP="00570435">
          <w:pPr>
            <w:pStyle w:val="78E6830DC518BA49B384D207808FD63A"/>
          </w:pPr>
          <w:r w:rsidRPr="00E21B00">
            <w:rPr>
              <w:rStyle w:val="PlaceholderText"/>
            </w:rPr>
            <w:t>Click or tap here to enter text.</w:t>
          </w:r>
        </w:p>
      </w:docPartBody>
    </w:docPart>
    <w:docPart>
      <w:docPartPr>
        <w:name w:val="B9795911811A7143BC7BEE01638231F7"/>
        <w:category>
          <w:name w:val="General"/>
          <w:gallery w:val="placeholder"/>
        </w:category>
        <w:types>
          <w:type w:val="bbPlcHdr"/>
        </w:types>
        <w:behaviors>
          <w:behavior w:val="content"/>
        </w:behaviors>
        <w:guid w:val="{FBDE3E31-9C54-C240-9C63-7C4976DF1023}"/>
      </w:docPartPr>
      <w:docPartBody>
        <w:p w:rsidR="001373AE" w:rsidRDefault="00570435" w:rsidP="00570435">
          <w:pPr>
            <w:pStyle w:val="B9795911811A7143BC7BEE01638231F7"/>
          </w:pPr>
          <w:r w:rsidRPr="00E21B00">
            <w:rPr>
              <w:rStyle w:val="PlaceholderText"/>
            </w:rPr>
            <w:t>Click or tap here to enter text.</w:t>
          </w:r>
        </w:p>
      </w:docPartBody>
    </w:docPart>
    <w:docPart>
      <w:docPartPr>
        <w:name w:val="E352EA3DC9FD0149AFD29021DB583C52"/>
        <w:category>
          <w:name w:val="General"/>
          <w:gallery w:val="placeholder"/>
        </w:category>
        <w:types>
          <w:type w:val="bbPlcHdr"/>
        </w:types>
        <w:behaviors>
          <w:behavior w:val="content"/>
        </w:behaviors>
        <w:guid w:val="{733166D0-9AA1-8746-8C04-1758F29A5583}"/>
      </w:docPartPr>
      <w:docPartBody>
        <w:p w:rsidR="001373AE" w:rsidRDefault="00570435" w:rsidP="00570435">
          <w:pPr>
            <w:pStyle w:val="E352EA3DC9FD0149AFD29021DB583C52"/>
          </w:pPr>
          <w:r w:rsidRPr="00E21B00">
            <w:rPr>
              <w:rStyle w:val="PlaceholderText"/>
            </w:rPr>
            <w:t>Click or tap here to enter text.</w:t>
          </w:r>
        </w:p>
      </w:docPartBody>
    </w:docPart>
    <w:docPart>
      <w:docPartPr>
        <w:name w:val="8F2D25B7EFE20C43977C8507133BE2B2"/>
        <w:category>
          <w:name w:val="General"/>
          <w:gallery w:val="placeholder"/>
        </w:category>
        <w:types>
          <w:type w:val="bbPlcHdr"/>
        </w:types>
        <w:behaviors>
          <w:behavior w:val="content"/>
        </w:behaviors>
        <w:guid w:val="{844BD6B4-40C8-744F-B2A3-11C4DA94C5CE}"/>
      </w:docPartPr>
      <w:docPartBody>
        <w:p w:rsidR="001373AE" w:rsidRDefault="00570435" w:rsidP="00570435">
          <w:pPr>
            <w:pStyle w:val="8F2D25B7EFE20C43977C8507133BE2B2"/>
          </w:pPr>
          <w:r w:rsidRPr="00E21B00">
            <w:rPr>
              <w:rStyle w:val="PlaceholderText"/>
            </w:rPr>
            <w:t>Click or tap here to enter text.</w:t>
          </w:r>
        </w:p>
      </w:docPartBody>
    </w:docPart>
    <w:docPart>
      <w:docPartPr>
        <w:name w:val="1BA3A62A86EA9C4F97FFF48C514F655F"/>
        <w:category>
          <w:name w:val="General"/>
          <w:gallery w:val="placeholder"/>
        </w:category>
        <w:types>
          <w:type w:val="bbPlcHdr"/>
        </w:types>
        <w:behaviors>
          <w:behavior w:val="content"/>
        </w:behaviors>
        <w:guid w:val="{80567789-2B08-594D-BFB9-9C3EF2C23F5E}"/>
      </w:docPartPr>
      <w:docPartBody>
        <w:p w:rsidR="001373AE" w:rsidRDefault="00570435" w:rsidP="00570435">
          <w:pPr>
            <w:pStyle w:val="1BA3A62A86EA9C4F97FFF48C514F655F"/>
          </w:pPr>
          <w:r w:rsidRPr="00E21B00">
            <w:rPr>
              <w:rStyle w:val="PlaceholderText"/>
            </w:rPr>
            <w:t>Click or tap here to enter text.</w:t>
          </w:r>
        </w:p>
      </w:docPartBody>
    </w:docPart>
    <w:docPart>
      <w:docPartPr>
        <w:name w:val="45DBEDEB4059AC409B8320F8876742BF"/>
        <w:category>
          <w:name w:val="General"/>
          <w:gallery w:val="placeholder"/>
        </w:category>
        <w:types>
          <w:type w:val="bbPlcHdr"/>
        </w:types>
        <w:behaviors>
          <w:behavior w:val="content"/>
        </w:behaviors>
        <w:guid w:val="{1300B96D-C087-614B-94E7-2DDA336097FA}"/>
      </w:docPartPr>
      <w:docPartBody>
        <w:p w:rsidR="001373AE" w:rsidRDefault="00570435" w:rsidP="00570435">
          <w:pPr>
            <w:pStyle w:val="45DBEDEB4059AC409B8320F8876742BF"/>
          </w:pPr>
          <w:r w:rsidRPr="00E21B00">
            <w:rPr>
              <w:rStyle w:val="PlaceholderText"/>
            </w:rPr>
            <w:t>Click or tap here to enter text.</w:t>
          </w:r>
        </w:p>
      </w:docPartBody>
    </w:docPart>
    <w:docPart>
      <w:docPartPr>
        <w:name w:val="0151A06CC664A449BE92D047E540500D"/>
        <w:category>
          <w:name w:val="General"/>
          <w:gallery w:val="placeholder"/>
        </w:category>
        <w:types>
          <w:type w:val="bbPlcHdr"/>
        </w:types>
        <w:behaviors>
          <w:behavior w:val="content"/>
        </w:behaviors>
        <w:guid w:val="{1B8AE06E-A20E-034F-90D7-41D59AAE2456}"/>
      </w:docPartPr>
      <w:docPartBody>
        <w:p w:rsidR="001373AE" w:rsidRDefault="00570435" w:rsidP="00570435">
          <w:pPr>
            <w:pStyle w:val="0151A06CC664A449BE92D047E540500D"/>
          </w:pPr>
          <w:r w:rsidRPr="00E21B00">
            <w:rPr>
              <w:rStyle w:val="PlaceholderText"/>
            </w:rPr>
            <w:t>Click or tap here to enter text.</w:t>
          </w:r>
        </w:p>
      </w:docPartBody>
    </w:docPart>
    <w:docPart>
      <w:docPartPr>
        <w:name w:val="629D9A348B036442B8B0A9D5534F74DC"/>
        <w:category>
          <w:name w:val="General"/>
          <w:gallery w:val="placeholder"/>
        </w:category>
        <w:types>
          <w:type w:val="bbPlcHdr"/>
        </w:types>
        <w:behaviors>
          <w:behavior w:val="content"/>
        </w:behaviors>
        <w:guid w:val="{FF06B956-5AA6-0A4E-B2F3-B5DEA0CD7865}"/>
      </w:docPartPr>
      <w:docPartBody>
        <w:p w:rsidR="001373AE" w:rsidRDefault="00570435" w:rsidP="00570435">
          <w:pPr>
            <w:pStyle w:val="629D9A348B036442B8B0A9D5534F74DC"/>
          </w:pPr>
          <w:r w:rsidRPr="00E21B00">
            <w:rPr>
              <w:rStyle w:val="PlaceholderText"/>
            </w:rPr>
            <w:t>Click or tap here to enter text.</w:t>
          </w:r>
        </w:p>
      </w:docPartBody>
    </w:docPart>
    <w:docPart>
      <w:docPartPr>
        <w:name w:val="170E61BC35FBB749A5E7309823AB9CC0"/>
        <w:category>
          <w:name w:val="General"/>
          <w:gallery w:val="placeholder"/>
        </w:category>
        <w:types>
          <w:type w:val="bbPlcHdr"/>
        </w:types>
        <w:behaviors>
          <w:behavior w:val="content"/>
        </w:behaviors>
        <w:guid w:val="{D59AFEC6-5223-4340-957E-68F25E97FC6E}"/>
      </w:docPartPr>
      <w:docPartBody>
        <w:p w:rsidR="001373AE" w:rsidRDefault="00570435" w:rsidP="00570435">
          <w:pPr>
            <w:pStyle w:val="170E61BC35FBB749A5E7309823AB9CC0"/>
          </w:pPr>
          <w:r w:rsidRPr="00E21B00">
            <w:rPr>
              <w:rStyle w:val="PlaceholderText"/>
            </w:rPr>
            <w:t>Click or tap here to enter text.</w:t>
          </w:r>
        </w:p>
      </w:docPartBody>
    </w:docPart>
    <w:docPart>
      <w:docPartPr>
        <w:name w:val="5ABC2B0731680446B71C2D491D202804"/>
        <w:category>
          <w:name w:val="General"/>
          <w:gallery w:val="placeholder"/>
        </w:category>
        <w:types>
          <w:type w:val="bbPlcHdr"/>
        </w:types>
        <w:behaviors>
          <w:behavior w:val="content"/>
        </w:behaviors>
        <w:guid w:val="{EA3C1AE3-2AF6-CE46-AF39-F2DEE4DE8D17}"/>
      </w:docPartPr>
      <w:docPartBody>
        <w:p w:rsidR="001373AE" w:rsidRDefault="00570435" w:rsidP="00570435">
          <w:pPr>
            <w:pStyle w:val="5ABC2B0731680446B71C2D491D202804"/>
          </w:pPr>
          <w:r w:rsidRPr="00E21B00">
            <w:rPr>
              <w:rStyle w:val="PlaceholderText"/>
            </w:rPr>
            <w:t>Click or tap here to enter text.</w:t>
          </w:r>
        </w:p>
      </w:docPartBody>
    </w:docPart>
    <w:docPart>
      <w:docPartPr>
        <w:name w:val="C73A84347C660A4CAFE6A0C35DE21921"/>
        <w:category>
          <w:name w:val="General"/>
          <w:gallery w:val="placeholder"/>
        </w:category>
        <w:types>
          <w:type w:val="bbPlcHdr"/>
        </w:types>
        <w:behaviors>
          <w:behavior w:val="content"/>
        </w:behaviors>
        <w:guid w:val="{F13DB497-5947-704E-98CA-44A6376A3DA3}"/>
      </w:docPartPr>
      <w:docPartBody>
        <w:p w:rsidR="001373AE" w:rsidRDefault="00570435" w:rsidP="00570435">
          <w:pPr>
            <w:pStyle w:val="C73A84347C660A4CAFE6A0C35DE21921"/>
          </w:pPr>
          <w:r w:rsidRPr="00E21B00">
            <w:rPr>
              <w:rStyle w:val="PlaceholderText"/>
            </w:rPr>
            <w:t>Click or tap here to enter text.</w:t>
          </w:r>
        </w:p>
      </w:docPartBody>
    </w:docPart>
    <w:docPart>
      <w:docPartPr>
        <w:name w:val="E57D1172C6F6874FA1CB263B97B8E168"/>
        <w:category>
          <w:name w:val="General"/>
          <w:gallery w:val="placeholder"/>
        </w:category>
        <w:types>
          <w:type w:val="bbPlcHdr"/>
        </w:types>
        <w:behaviors>
          <w:behavior w:val="content"/>
        </w:behaviors>
        <w:guid w:val="{8B1E5E0E-B48B-4744-BA35-C4908AFA7D96}"/>
      </w:docPartPr>
      <w:docPartBody>
        <w:p w:rsidR="001373AE" w:rsidRDefault="00570435" w:rsidP="00570435">
          <w:pPr>
            <w:pStyle w:val="E57D1172C6F6874FA1CB263B97B8E168"/>
          </w:pPr>
          <w:r w:rsidRPr="00E21B00">
            <w:rPr>
              <w:rStyle w:val="PlaceholderText"/>
            </w:rPr>
            <w:t>Click or tap here to enter text.</w:t>
          </w:r>
        </w:p>
      </w:docPartBody>
    </w:docPart>
    <w:docPart>
      <w:docPartPr>
        <w:name w:val="6363965D547A1549AC24DB36BF3389E8"/>
        <w:category>
          <w:name w:val="General"/>
          <w:gallery w:val="placeholder"/>
        </w:category>
        <w:types>
          <w:type w:val="bbPlcHdr"/>
        </w:types>
        <w:behaviors>
          <w:behavior w:val="content"/>
        </w:behaviors>
        <w:guid w:val="{95B2766B-2DBD-CA47-8E70-13BBD07A4277}"/>
      </w:docPartPr>
      <w:docPartBody>
        <w:p w:rsidR="001373AE" w:rsidRDefault="00570435" w:rsidP="00570435">
          <w:pPr>
            <w:pStyle w:val="6363965D547A1549AC24DB36BF3389E8"/>
          </w:pPr>
          <w:r w:rsidRPr="00E21B00">
            <w:rPr>
              <w:rStyle w:val="PlaceholderText"/>
            </w:rPr>
            <w:t>Click or tap here to enter text.</w:t>
          </w:r>
        </w:p>
      </w:docPartBody>
    </w:docPart>
    <w:docPart>
      <w:docPartPr>
        <w:name w:val="91BFED3ECC402349BFDF7C0619D88390"/>
        <w:category>
          <w:name w:val="General"/>
          <w:gallery w:val="placeholder"/>
        </w:category>
        <w:types>
          <w:type w:val="bbPlcHdr"/>
        </w:types>
        <w:behaviors>
          <w:behavior w:val="content"/>
        </w:behaviors>
        <w:guid w:val="{B5D977B2-156C-1845-97F4-06B19A841449}"/>
      </w:docPartPr>
      <w:docPartBody>
        <w:p w:rsidR="001373AE" w:rsidRDefault="00570435" w:rsidP="00570435">
          <w:pPr>
            <w:pStyle w:val="91BFED3ECC402349BFDF7C0619D88390"/>
          </w:pPr>
          <w:r w:rsidRPr="00E21B00">
            <w:rPr>
              <w:rStyle w:val="PlaceholderText"/>
            </w:rPr>
            <w:t>Click or tap here to enter text.</w:t>
          </w:r>
        </w:p>
      </w:docPartBody>
    </w:docPart>
    <w:docPart>
      <w:docPartPr>
        <w:name w:val="48E862463FD7684C868E66D03A2325DA"/>
        <w:category>
          <w:name w:val="General"/>
          <w:gallery w:val="placeholder"/>
        </w:category>
        <w:types>
          <w:type w:val="bbPlcHdr"/>
        </w:types>
        <w:behaviors>
          <w:behavior w:val="content"/>
        </w:behaviors>
        <w:guid w:val="{DC097880-F62C-5348-998A-D90B5400064E}"/>
      </w:docPartPr>
      <w:docPartBody>
        <w:p w:rsidR="001373AE" w:rsidRDefault="00570435" w:rsidP="00570435">
          <w:pPr>
            <w:pStyle w:val="48E862463FD7684C868E66D03A2325DA"/>
          </w:pPr>
          <w:r w:rsidRPr="00E21B00">
            <w:rPr>
              <w:rStyle w:val="PlaceholderText"/>
            </w:rPr>
            <w:t>Click or tap here to enter text.</w:t>
          </w:r>
        </w:p>
      </w:docPartBody>
    </w:docPart>
    <w:docPart>
      <w:docPartPr>
        <w:name w:val="B236298731225148BC53F62517F9B5DB"/>
        <w:category>
          <w:name w:val="General"/>
          <w:gallery w:val="placeholder"/>
        </w:category>
        <w:types>
          <w:type w:val="bbPlcHdr"/>
        </w:types>
        <w:behaviors>
          <w:behavior w:val="content"/>
        </w:behaviors>
        <w:guid w:val="{C7C67BFB-4999-3143-933E-C8975161E283}"/>
      </w:docPartPr>
      <w:docPartBody>
        <w:p w:rsidR="001373AE" w:rsidRDefault="00570435" w:rsidP="00570435">
          <w:pPr>
            <w:pStyle w:val="B236298731225148BC53F62517F9B5DB"/>
          </w:pPr>
          <w:r w:rsidRPr="00E21B00">
            <w:rPr>
              <w:rStyle w:val="PlaceholderText"/>
            </w:rPr>
            <w:t>Click or tap here to enter text.</w:t>
          </w:r>
        </w:p>
      </w:docPartBody>
    </w:docPart>
    <w:docPart>
      <w:docPartPr>
        <w:name w:val="33EFA801D6B0F546B568FA71D8FADAF9"/>
        <w:category>
          <w:name w:val="General"/>
          <w:gallery w:val="placeholder"/>
        </w:category>
        <w:types>
          <w:type w:val="bbPlcHdr"/>
        </w:types>
        <w:behaviors>
          <w:behavior w:val="content"/>
        </w:behaviors>
        <w:guid w:val="{FD761101-F991-A847-AF73-2B0284D3F8C3}"/>
      </w:docPartPr>
      <w:docPartBody>
        <w:p w:rsidR="001373AE" w:rsidRDefault="00570435" w:rsidP="00570435">
          <w:pPr>
            <w:pStyle w:val="33EFA801D6B0F546B568FA71D8FADAF9"/>
          </w:pPr>
          <w:r w:rsidRPr="00E21B00">
            <w:rPr>
              <w:rStyle w:val="PlaceholderText"/>
            </w:rPr>
            <w:t>Click or tap here to enter text.</w:t>
          </w:r>
        </w:p>
      </w:docPartBody>
    </w:docPart>
    <w:docPart>
      <w:docPartPr>
        <w:name w:val="378EE3EDE401AA4E9C4ACC0CAEB7C3DD"/>
        <w:category>
          <w:name w:val="General"/>
          <w:gallery w:val="placeholder"/>
        </w:category>
        <w:types>
          <w:type w:val="bbPlcHdr"/>
        </w:types>
        <w:behaviors>
          <w:behavior w:val="content"/>
        </w:behaviors>
        <w:guid w:val="{0FE2A06E-690D-D146-8F2C-0A4BB4000D5A}"/>
      </w:docPartPr>
      <w:docPartBody>
        <w:p w:rsidR="001373AE" w:rsidRDefault="00570435" w:rsidP="00570435">
          <w:pPr>
            <w:pStyle w:val="378EE3EDE401AA4E9C4ACC0CAEB7C3DD"/>
          </w:pPr>
          <w:r w:rsidRPr="00E21B00">
            <w:rPr>
              <w:rStyle w:val="PlaceholderText"/>
            </w:rPr>
            <w:t>Click or tap here to enter text.</w:t>
          </w:r>
        </w:p>
      </w:docPartBody>
    </w:docPart>
    <w:docPart>
      <w:docPartPr>
        <w:name w:val="A490F0E7294A2C4BBCFA2020C690EE15"/>
        <w:category>
          <w:name w:val="General"/>
          <w:gallery w:val="placeholder"/>
        </w:category>
        <w:types>
          <w:type w:val="bbPlcHdr"/>
        </w:types>
        <w:behaviors>
          <w:behavior w:val="content"/>
        </w:behaviors>
        <w:guid w:val="{063B21B5-79C7-B141-9668-5F1BF959CEDA}"/>
      </w:docPartPr>
      <w:docPartBody>
        <w:p w:rsidR="001373AE" w:rsidRDefault="00570435" w:rsidP="00570435">
          <w:pPr>
            <w:pStyle w:val="A490F0E7294A2C4BBCFA2020C690EE15"/>
          </w:pPr>
          <w:r w:rsidRPr="00E21B00">
            <w:rPr>
              <w:rStyle w:val="PlaceholderText"/>
            </w:rPr>
            <w:t>Click or tap here to enter text.</w:t>
          </w:r>
        </w:p>
      </w:docPartBody>
    </w:docPart>
    <w:docPart>
      <w:docPartPr>
        <w:name w:val="51B80CA42C02D44AAB0E5498BC943234"/>
        <w:category>
          <w:name w:val="General"/>
          <w:gallery w:val="placeholder"/>
        </w:category>
        <w:types>
          <w:type w:val="bbPlcHdr"/>
        </w:types>
        <w:behaviors>
          <w:behavior w:val="content"/>
        </w:behaviors>
        <w:guid w:val="{C40A3E68-8FCD-1946-99F3-CD5262706EAB}"/>
      </w:docPartPr>
      <w:docPartBody>
        <w:p w:rsidR="001373AE" w:rsidRDefault="00570435" w:rsidP="00570435">
          <w:pPr>
            <w:pStyle w:val="51B80CA42C02D44AAB0E5498BC943234"/>
          </w:pPr>
          <w:r w:rsidRPr="00E21B00">
            <w:rPr>
              <w:rStyle w:val="PlaceholderText"/>
            </w:rPr>
            <w:t>Click or tap here to enter text.</w:t>
          </w:r>
        </w:p>
      </w:docPartBody>
    </w:docPart>
    <w:docPart>
      <w:docPartPr>
        <w:name w:val="492B5639DBE04948AC19ACC72AB0D18C"/>
        <w:category>
          <w:name w:val="General"/>
          <w:gallery w:val="placeholder"/>
        </w:category>
        <w:types>
          <w:type w:val="bbPlcHdr"/>
        </w:types>
        <w:behaviors>
          <w:behavior w:val="content"/>
        </w:behaviors>
        <w:guid w:val="{2B9DA4A3-9D42-9643-B5E2-4B0E2D199DF5}"/>
      </w:docPartPr>
      <w:docPartBody>
        <w:p w:rsidR="001373AE" w:rsidRDefault="00570435" w:rsidP="00570435">
          <w:pPr>
            <w:pStyle w:val="492B5639DBE04948AC19ACC72AB0D18C"/>
          </w:pPr>
          <w:r w:rsidRPr="00E21B00">
            <w:rPr>
              <w:rStyle w:val="PlaceholderText"/>
            </w:rPr>
            <w:t>Click or tap here to enter text.</w:t>
          </w:r>
        </w:p>
      </w:docPartBody>
    </w:docPart>
    <w:docPart>
      <w:docPartPr>
        <w:name w:val="0F9C4BAB20CC0145A24A17C7FE1D5B39"/>
        <w:category>
          <w:name w:val="General"/>
          <w:gallery w:val="placeholder"/>
        </w:category>
        <w:types>
          <w:type w:val="bbPlcHdr"/>
        </w:types>
        <w:behaviors>
          <w:behavior w:val="content"/>
        </w:behaviors>
        <w:guid w:val="{ECD7FDBC-535B-1347-B9FF-8A577412F0B7}"/>
      </w:docPartPr>
      <w:docPartBody>
        <w:p w:rsidR="001373AE" w:rsidRDefault="00570435" w:rsidP="00570435">
          <w:pPr>
            <w:pStyle w:val="0F9C4BAB20CC0145A24A17C7FE1D5B39"/>
          </w:pPr>
          <w:r w:rsidRPr="00E21B00">
            <w:rPr>
              <w:rStyle w:val="PlaceholderText"/>
            </w:rPr>
            <w:t>Click or tap here to enter text.</w:t>
          </w:r>
        </w:p>
      </w:docPartBody>
    </w:docPart>
    <w:docPart>
      <w:docPartPr>
        <w:name w:val="B2EF6573E74F2648B67222D64B2BEDFD"/>
        <w:category>
          <w:name w:val="General"/>
          <w:gallery w:val="placeholder"/>
        </w:category>
        <w:types>
          <w:type w:val="bbPlcHdr"/>
        </w:types>
        <w:behaviors>
          <w:behavior w:val="content"/>
        </w:behaviors>
        <w:guid w:val="{21158480-3ECB-4E47-853F-1BFE2A1E67DE}"/>
      </w:docPartPr>
      <w:docPartBody>
        <w:p w:rsidR="001373AE" w:rsidRDefault="00570435" w:rsidP="00570435">
          <w:pPr>
            <w:pStyle w:val="B2EF6573E74F2648B67222D64B2BEDFD"/>
          </w:pPr>
          <w:r w:rsidRPr="00E21B00">
            <w:rPr>
              <w:rStyle w:val="PlaceholderText"/>
            </w:rPr>
            <w:t>Click or tap here to enter text.</w:t>
          </w:r>
        </w:p>
      </w:docPartBody>
    </w:docPart>
    <w:docPart>
      <w:docPartPr>
        <w:name w:val="DF645E9633BBF94A95668463FE1A54A6"/>
        <w:category>
          <w:name w:val="General"/>
          <w:gallery w:val="placeholder"/>
        </w:category>
        <w:types>
          <w:type w:val="bbPlcHdr"/>
        </w:types>
        <w:behaviors>
          <w:behavior w:val="content"/>
        </w:behaviors>
        <w:guid w:val="{C3E25FFE-2776-E842-A7D5-0A5660FFDD82}"/>
      </w:docPartPr>
      <w:docPartBody>
        <w:p w:rsidR="001373AE" w:rsidRDefault="00570435" w:rsidP="00570435">
          <w:pPr>
            <w:pStyle w:val="DF645E9633BBF94A95668463FE1A54A6"/>
          </w:pPr>
          <w:r w:rsidRPr="00E21B00">
            <w:rPr>
              <w:rStyle w:val="PlaceholderText"/>
            </w:rPr>
            <w:t>Click or tap here to enter text.</w:t>
          </w:r>
        </w:p>
      </w:docPartBody>
    </w:docPart>
    <w:docPart>
      <w:docPartPr>
        <w:name w:val="05245DC7C3325949BBDF92A0D0E871E8"/>
        <w:category>
          <w:name w:val="General"/>
          <w:gallery w:val="placeholder"/>
        </w:category>
        <w:types>
          <w:type w:val="bbPlcHdr"/>
        </w:types>
        <w:behaviors>
          <w:behavior w:val="content"/>
        </w:behaviors>
        <w:guid w:val="{7A05262D-A932-0C49-A97B-BF3A24FD5BED}"/>
      </w:docPartPr>
      <w:docPartBody>
        <w:p w:rsidR="001373AE" w:rsidRDefault="00570435" w:rsidP="00570435">
          <w:pPr>
            <w:pStyle w:val="05245DC7C3325949BBDF92A0D0E871E8"/>
          </w:pPr>
          <w:r w:rsidRPr="00703A27">
            <w:rPr>
              <w:rStyle w:val="PlaceholderText"/>
            </w:rPr>
            <w:t>Click or tap here to enter text.</w:t>
          </w:r>
        </w:p>
      </w:docPartBody>
    </w:docPart>
    <w:docPart>
      <w:docPartPr>
        <w:name w:val="936F18BB5E21674DBF98EB302E25187F"/>
        <w:category>
          <w:name w:val="General"/>
          <w:gallery w:val="placeholder"/>
        </w:category>
        <w:types>
          <w:type w:val="bbPlcHdr"/>
        </w:types>
        <w:behaviors>
          <w:behavior w:val="content"/>
        </w:behaviors>
        <w:guid w:val="{40A6455F-712D-7F40-B3D8-B087C6BA0DF2}"/>
      </w:docPartPr>
      <w:docPartBody>
        <w:p w:rsidR="001373AE" w:rsidRDefault="00570435" w:rsidP="00570435">
          <w:pPr>
            <w:pStyle w:val="936F18BB5E21674DBF98EB302E25187F"/>
          </w:pPr>
          <w:r w:rsidRPr="00703A27">
            <w:rPr>
              <w:rStyle w:val="PlaceholderText"/>
            </w:rPr>
            <w:t>Click or tap here to enter text.</w:t>
          </w:r>
        </w:p>
      </w:docPartBody>
    </w:docPart>
    <w:docPart>
      <w:docPartPr>
        <w:name w:val="DC7C970E839D6F4380E96267B612AC9D"/>
        <w:category>
          <w:name w:val="General"/>
          <w:gallery w:val="placeholder"/>
        </w:category>
        <w:types>
          <w:type w:val="bbPlcHdr"/>
        </w:types>
        <w:behaviors>
          <w:behavior w:val="content"/>
        </w:behaviors>
        <w:guid w:val="{930FC043-0F1B-5A4D-8DB6-2FD25E5395FF}"/>
      </w:docPartPr>
      <w:docPartBody>
        <w:p w:rsidR="001373AE" w:rsidRDefault="00570435" w:rsidP="00570435">
          <w:pPr>
            <w:pStyle w:val="DC7C970E839D6F4380E96267B612AC9D"/>
          </w:pPr>
          <w:r w:rsidRPr="00703A27">
            <w:rPr>
              <w:rStyle w:val="PlaceholderText"/>
            </w:rPr>
            <w:t>Click or tap here to enter text.</w:t>
          </w:r>
        </w:p>
      </w:docPartBody>
    </w:docPart>
    <w:docPart>
      <w:docPartPr>
        <w:name w:val="C71CF1CB6C7101459B7082696A5352F6"/>
        <w:category>
          <w:name w:val="General"/>
          <w:gallery w:val="placeholder"/>
        </w:category>
        <w:types>
          <w:type w:val="bbPlcHdr"/>
        </w:types>
        <w:behaviors>
          <w:behavior w:val="content"/>
        </w:behaviors>
        <w:guid w:val="{25ADDA5D-266C-234E-AAAF-157AD1E5B574}"/>
      </w:docPartPr>
      <w:docPartBody>
        <w:p w:rsidR="001373AE" w:rsidRDefault="00570435" w:rsidP="00570435">
          <w:pPr>
            <w:pStyle w:val="C71CF1CB6C7101459B7082696A5352F6"/>
          </w:pPr>
          <w:r w:rsidRPr="00875B1C">
            <w:rPr>
              <w:rStyle w:val="PlaceholderText"/>
            </w:rPr>
            <w:t>Click or tap here to enter text.</w:t>
          </w:r>
        </w:p>
      </w:docPartBody>
    </w:docPart>
    <w:docPart>
      <w:docPartPr>
        <w:name w:val="FC43FA6C97EEB949B9754A9EF7500F96"/>
        <w:category>
          <w:name w:val="General"/>
          <w:gallery w:val="placeholder"/>
        </w:category>
        <w:types>
          <w:type w:val="bbPlcHdr"/>
        </w:types>
        <w:behaviors>
          <w:behavior w:val="content"/>
        </w:behaviors>
        <w:guid w:val="{9FA45E64-87FF-3F4A-BDEF-D1978B8A0952}"/>
      </w:docPartPr>
      <w:docPartBody>
        <w:p w:rsidR="001373AE" w:rsidRDefault="00570435" w:rsidP="00570435">
          <w:pPr>
            <w:pStyle w:val="FC43FA6C97EEB949B9754A9EF7500F96"/>
          </w:pPr>
          <w:r w:rsidRPr="00703A27">
            <w:rPr>
              <w:rStyle w:val="PlaceholderText"/>
            </w:rPr>
            <w:t>Click or tap here to enter text.</w:t>
          </w:r>
        </w:p>
      </w:docPartBody>
    </w:docPart>
    <w:docPart>
      <w:docPartPr>
        <w:name w:val="025149ADDB4E014FB536F6E7DD1FCFAD"/>
        <w:category>
          <w:name w:val="General"/>
          <w:gallery w:val="placeholder"/>
        </w:category>
        <w:types>
          <w:type w:val="bbPlcHdr"/>
        </w:types>
        <w:behaviors>
          <w:behavior w:val="content"/>
        </w:behaviors>
        <w:guid w:val="{1A998BEB-5F33-9D45-A660-26149901CE08}"/>
      </w:docPartPr>
      <w:docPartBody>
        <w:p w:rsidR="001373AE" w:rsidRDefault="00570435" w:rsidP="00570435">
          <w:pPr>
            <w:pStyle w:val="025149ADDB4E014FB536F6E7DD1FCFAD"/>
          </w:pPr>
          <w:r w:rsidRPr="00703A27">
            <w:rPr>
              <w:rStyle w:val="PlaceholderText"/>
            </w:rPr>
            <w:t>Click or tap here to enter text.</w:t>
          </w:r>
        </w:p>
      </w:docPartBody>
    </w:docPart>
    <w:docPart>
      <w:docPartPr>
        <w:name w:val="DC44A869B7F67D43A899EA3F4A219CC3"/>
        <w:category>
          <w:name w:val="General"/>
          <w:gallery w:val="placeholder"/>
        </w:category>
        <w:types>
          <w:type w:val="bbPlcHdr"/>
        </w:types>
        <w:behaviors>
          <w:behavior w:val="content"/>
        </w:behaviors>
        <w:guid w:val="{7B97FF39-C2A2-C649-B65F-35FD06582047}"/>
      </w:docPartPr>
      <w:docPartBody>
        <w:p w:rsidR="001373AE" w:rsidRDefault="00570435" w:rsidP="00570435">
          <w:pPr>
            <w:pStyle w:val="DC44A869B7F67D43A899EA3F4A219CC3"/>
          </w:pPr>
          <w:r w:rsidRPr="00875B1C">
            <w:rPr>
              <w:rStyle w:val="PlaceholderText"/>
            </w:rPr>
            <w:t>Click or tap here to enter text.</w:t>
          </w:r>
        </w:p>
      </w:docPartBody>
    </w:docPart>
    <w:docPart>
      <w:docPartPr>
        <w:name w:val="623FFB356E58BB4B95B8A562EE9DF1DE"/>
        <w:category>
          <w:name w:val="General"/>
          <w:gallery w:val="placeholder"/>
        </w:category>
        <w:types>
          <w:type w:val="bbPlcHdr"/>
        </w:types>
        <w:behaviors>
          <w:behavior w:val="content"/>
        </w:behaviors>
        <w:guid w:val="{99FD7AB1-32AE-C94E-948D-83C0DC4D0044}"/>
      </w:docPartPr>
      <w:docPartBody>
        <w:p w:rsidR="001373AE" w:rsidRDefault="00570435" w:rsidP="00570435">
          <w:pPr>
            <w:pStyle w:val="623FFB356E58BB4B95B8A562EE9DF1DE"/>
          </w:pPr>
          <w:r w:rsidRPr="00875B1C">
            <w:rPr>
              <w:rStyle w:val="PlaceholderText"/>
            </w:rPr>
            <w:t>Click or tap here to enter text.</w:t>
          </w:r>
        </w:p>
      </w:docPartBody>
    </w:docPart>
    <w:docPart>
      <w:docPartPr>
        <w:name w:val="A1F7475729FAC543BB1848DACA12A8AC"/>
        <w:category>
          <w:name w:val="General"/>
          <w:gallery w:val="placeholder"/>
        </w:category>
        <w:types>
          <w:type w:val="bbPlcHdr"/>
        </w:types>
        <w:behaviors>
          <w:behavior w:val="content"/>
        </w:behaviors>
        <w:guid w:val="{9514CC32-1469-894E-BEEA-D6CE3B5BA35F}"/>
      </w:docPartPr>
      <w:docPartBody>
        <w:p w:rsidR="001373AE" w:rsidRDefault="00570435" w:rsidP="00570435">
          <w:pPr>
            <w:pStyle w:val="A1F7475729FAC543BB1848DACA12A8AC"/>
          </w:pPr>
          <w:r w:rsidRPr="00875B1C">
            <w:rPr>
              <w:rStyle w:val="PlaceholderText"/>
            </w:rPr>
            <w:t>Click or tap here to enter text.</w:t>
          </w:r>
        </w:p>
      </w:docPartBody>
    </w:docPart>
    <w:docPart>
      <w:docPartPr>
        <w:name w:val="27BB9AAC8C49C847BB1FDE3AE608E887"/>
        <w:category>
          <w:name w:val="General"/>
          <w:gallery w:val="placeholder"/>
        </w:category>
        <w:types>
          <w:type w:val="bbPlcHdr"/>
        </w:types>
        <w:behaviors>
          <w:behavior w:val="content"/>
        </w:behaviors>
        <w:guid w:val="{21C46125-0AE3-5540-AB68-AAE2D912992D}"/>
      </w:docPartPr>
      <w:docPartBody>
        <w:p w:rsidR="001373AE" w:rsidRDefault="00570435" w:rsidP="00570435">
          <w:pPr>
            <w:pStyle w:val="27BB9AAC8C49C847BB1FDE3AE608E887"/>
          </w:pPr>
          <w:r w:rsidRPr="00875B1C">
            <w:rPr>
              <w:rStyle w:val="PlaceholderText"/>
            </w:rPr>
            <w:t>Click or tap here to enter text.</w:t>
          </w:r>
        </w:p>
      </w:docPartBody>
    </w:docPart>
    <w:docPart>
      <w:docPartPr>
        <w:name w:val="F18485EA91F8164E80D5101B1C44218E"/>
        <w:category>
          <w:name w:val="General"/>
          <w:gallery w:val="placeholder"/>
        </w:category>
        <w:types>
          <w:type w:val="bbPlcHdr"/>
        </w:types>
        <w:behaviors>
          <w:behavior w:val="content"/>
        </w:behaviors>
        <w:guid w:val="{BFAB9422-B8FF-0245-947F-C8E2D8B2B188}"/>
      </w:docPartPr>
      <w:docPartBody>
        <w:p w:rsidR="001373AE" w:rsidRDefault="00570435" w:rsidP="00570435">
          <w:pPr>
            <w:pStyle w:val="F18485EA91F8164E80D5101B1C44218E"/>
          </w:pPr>
          <w:r w:rsidRPr="00875B1C">
            <w:rPr>
              <w:rStyle w:val="PlaceholderText"/>
            </w:rPr>
            <w:t>Click or tap here to enter text.</w:t>
          </w:r>
        </w:p>
      </w:docPartBody>
    </w:docPart>
    <w:docPart>
      <w:docPartPr>
        <w:name w:val="5331324AF8159D45B45006C8B268D1BE"/>
        <w:category>
          <w:name w:val="General"/>
          <w:gallery w:val="placeholder"/>
        </w:category>
        <w:types>
          <w:type w:val="bbPlcHdr"/>
        </w:types>
        <w:behaviors>
          <w:behavior w:val="content"/>
        </w:behaviors>
        <w:guid w:val="{BE422EE6-7955-B941-97D0-39CABF5FF900}"/>
      </w:docPartPr>
      <w:docPartBody>
        <w:p w:rsidR="001373AE" w:rsidRDefault="00570435" w:rsidP="00570435">
          <w:pPr>
            <w:pStyle w:val="5331324AF8159D45B45006C8B268D1BE"/>
          </w:pPr>
          <w:r w:rsidRPr="00875B1C">
            <w:rPr>
              <w:rStyle w:val="PlaceholderText"/>
            </w:rPr>
            <w:t>Click or tap here to enter text.</w:t>
          </w:r>
        </w:p>
      </w:docPartBody>
    </w:docPart>
    <w:docPart>
      <w:docPartPr>
        <w:name w:val="7995D281BD9BD44C9AFC8C05D833D40F"/>
        <w:category>
          <w:name w:val="General"/>
          <w:gallery w:val="placeholder"/>
        </w:category>
        <w:types>
          <w:type w:val="bbPlcHdr"/>
        </w:types>
        <w:behaviors>
          <w:behavior w:val="content"/>
        </w:behaviors>
        <w:guid w:val="{062B7673-1E41-FD4B-A91C-B4BF1A765BEE}"/>
      </w:docPartPr>
      <w:docPartBody>
        <w:p w:rsidR="001373AE" w:rsidRDefault="00570435" w:rsidP="00570435">
          <w:pPr>
            <w:pStyle w:val="7995D281BD9BD44C9AFC8C05D833D40F"/>
          </w:pPr>
          <w:r w:rsidRPr="00875B1C">
            <w:rPr>
              <w:rStyle w:val="PlaceholderText"/>
            </w:rPr>
            <w:t>Click or tap here to enter text.</w:t>
          </w:r>
        </w:p>
      </w:docPartBody>
    </w:docPart>
    <w:docPart>
      <w:docPartPr>
        <w:name w:val="124DD55DD73BBC45AA98F16C3B8724E1"/>
        <w:category>
          <w:name w:val="General"/>
          <w:gallery w:val="placeholder"/>
        </w:category>
        <w:types>
          <w:type w:val="bbPlcHdr"/>
        </w:types>
        <w:behaviors>
          <w:behavior w:val="content"/>
        </w:behaviors>
        <w:guid w:val="{A484A9A1-E5FF-514A-B0A8-930600F2AB28}"/>
      </w:docPartPr>
      <w:docPartBody>
        <w:p w:rsidR="001373AE" w:rsidRDefault="00570435" w:rsidP="00570435">
          <w:pPr>
            <w:pStyle w:val="124DD55DD73BBC45AA98F16C3B8724E1"/>
          </w:pPr>
          <w:r w:rsidRPr="00875B1C">
            <w:rPr>
              <w:rStyle w:val="PlaceholderText"/>
            </w:rPr>
            <w:t>Click or tap here to enter text.</w:t>
          </w:r>
        </w:p>
      </w:docPartBody>
    </w:docPart>
    <w:docPart>
      <w:docPartPr>
        <w:name w:val="CAA4B1B22D3E5C4DBFEB438F66814AD3"/>
        <w:category>
          <w:name w:val="General"/>
          <w:gallery w:val="placeholder"/>
        </w:category>
        <w:types>
          <w:type w:val="bbPlcHdr"/>
        </w:types>
        <w:behaviors>
          <w:behavior w:val="content"/>
        </w:behaviors>
        <w:guid w:val="{CDC326A7-A975-4A4D-ADB9-6C8F6062EA0C}"/>
      </w:docPartPr>
      <w:docPartBody>
        <w:p w:rsidR="001373AE" w:rsidRDefault="00570435" w:rsidP="00570435">
          <w:pPr>
            <w:pStyle w:val="CAA4B1B22D3E5C4DBFEB438F66814AD3"/>
          </w:pPr>
          <w:r w:rsidRPr="00E21B00">
            <w:rPr>
              <w:rStyle w:val="PlaceholderText"/>
            </w:rPr>
            <w:t>Click or tap here to enter text.</w:t>
          </w:r>
        </w:p>
      </w:docPartBody>
    </w:docPart>
    <w:docPart>
      <w:docPartPr>
        <w:name w:val="F22422A99A3FF542AE56201DC96FE1F1"/>
        <w:category>
          <w:name w:val="General"/>
          <w:gallery w:val="placeholder"/>
        </w:category>
        <w:types>
          <w:type w:val="bbPlcHdr"/>
        </w:types>
        <w:behaviors>
          <w:behavior w:val="content"/>
        </w:behaviors>
        <w:guid w:val="{0F56E0F8-A58B-8F4F-AD43-BAE3D56AD6AD}"/>
      </w:docPartPr>
      <w:docPartBody>
        <w:p w:rsidR="001373AE" w:rsidRDefault="00570435" w:rsidP="00570435">
          <w:pPr>
            <w:pStyle w:val="F22422A99A3FF542AE56201DC96FE1F1"/>
          </w:pPr>
          <w:r w:rsidRPr="00E21B00">
            <w:rPr>
              <w:rStyle w:val="PlaceholderText"/>
            </w:rPr>
            <w:t>Click or tap here to enter text.</w:t>
          </w:r>
        </w:p>
      </w:docPartBody>
    </w:docPart>
    <w:docPart>
      <w:docPartPr>
        <w:name w:val="D966C44027659647940EED78C2CFAF78"/>
        <w:category>
          <w:name w:val="General"/>
          <w:gallery w:val="placeholder"/>
        </w:category>
        <w:types>
          <w:type w:val="bbPlcHdr"/>
        </w:types>
        <w:behaviors>
          <w:behavior w:val="content"/>
        </w:behaviors>
        <w:guid w:val="{05F01153-5462-7A4A-9EC9-E72FC1498C12}"/>
      </w:docPartPr>
      <w:docPartBody>
        <w:p w:rsidR="001373AE" w:rsidRDefault="00570435" w:rsidP="00570435">
          <w:pPr>
            <w:pStyle w:val="D966C44027659647940EED78C2CFAF78"/>
          </w:pPr>
          <w:r w:rsidRPr="00875B1C">
            <w:rPr>
              <w:rStyle w:val="PlaceholderText"/>
            </w:rPr>
            <w:t>Click or tap here to enter text.</w:t>
          </w:r>
        </w:p>
      </w:docPartBody>
    </w:docPart>
    <w:docPart>
      <w:docPartPr>
        <w:name w:val="A96F100732D94942BDA7882364201A33"/>
        <w:category>
          <w:name w:val="General"/>
          <w:gallery w:val="placeholder"/>
        </w:category>
        <w:types>
          <w:type w:val="bbPlcHdr"/>
        </w:types>
        <w:behaviors>
          <w:behavior w:val="content"/>
        </w:behaviors>
        <w:guid w:val="{54EBA5EC-C60B-1E4B-85F1-BAAAA65DEF49}"/>
      </w:docPartPr>
      <w:docPartBody>
        <w:p w:rsidR="001373AE" w:rsidRDefault="00570435" w:rsidP="00570435">
          <w:pPr>
            <w:pStyle w:val="A96F100732D94942BDA7882364201A33"/>
          </w:pPr>
          <w:r w:rsidRPr="00703A27">
            <w:rPr>
              <w:rStyle w:val="PlaceholderText"/>
            </w:rPr>
            <w:t>Click or tap here to enter text.</w:t>
          </w:r>
        </w:p>
      </w:docPartBody>
    </w:docPart>
    <w:docPart>
      <w:docPartPr>
        <w:name w:val="0A2E8172916A1D46A0F3ACC8B3584E0E"/>
        <w:category>
          <w:name w:val="General"/>
          <w:gallery w:val="placeholder"/>
        </w:category>
        <w:types>
          <w:type w:val="bbPlcHdr"/>
        </w:types>
        <w:behaviors>
          <w:behavior w:val="content"/>
        </w:behaviors>
        <w:guid w:val="{B7D791F7-EF8F-E843-8064-47033C7EEDF2}"/>
      </w:docPartPr>
      <w:docPartBody>
        <w:p w:rsidR="001373AE" w:rsidRDefault="00570435" w:rsidP="00570435">
          <w:pPr>
            <w:pStyle w:val="0A2E8172916A1D46A0F3ACC8B3584E0E"/>
          </w:pPr>
          <w:r w:rsidRPr="00703A27">
            <w:rPr>
              <w:rStyle w:val="PlaceholderText"/>
            </w:rPr>
            <w:t>Click or tap here to enter text.</w:t>
          </w:r>
        </w:p>
      </w:docPartBody>
    </w:docPart>
    <w:docPart>
      <w:docPartPr>
        <w:name w:val="B7E52A5234284A8A8EDB389EAC57280B"/>
        <w:category>
          <w:name w:val="General"/>
          <w:gallery w:val="placeholder"/>
        </w:category>
        <w:types>
          <w:type w:val="bbPlcHdr"/>
        </w:types>
        <w:behaviors>
          <w:behavior w:val="content"/>
        </w:behaviors>
        <w:guid w:val="{830C492D-1BF1-451A-B0C7-6634940A4F55}"/>
      </w:docPartPr>
      <w:docPartBody>
        <w:p w:rsidR="00595831" w:rsidRDefault="001373AE" w:rsidP="001373AE">
          <w:pPr>
            <w:pStyle w:val="B7E52A5234284A8A8EDB389EAC57280B"/>
          </w:pPr>
          <w:r w:rsidRPr="00875B1C">
            <w:rPr>
              <w:rStyle w:val="PlaceholderText"/>
            </w:rPr>
            <w:t>Click or tap here to enter text.</w:t>
          </w:r>
        </w:p>
      </w:docPartBody>
    </w:docPart>
    <w:docPart>
      <w:docPartPr>
        <w:name w:val="9F502FFC47FB4797A144C8BCD710DB28"/>
        <w:category>
          <w:name w:val="General"/>
          <w:gallery w:val="placeholder"/>
        </w:category>
        <w:types>
          <w:type w:val="bbPlcHdr"/>
        </w:types>
        <w:behaviors>
          <w:behavior w:val="content"/>
        </w:behaviors>
        <w:guid w:val="{0A2EEE88-8D9D-4F10-A299-0E15CB1BC3C3}"/>
      </w:docPartPr>
      <w:docPartBody>
        <w:p w:rsidR="00595831" w:rsidRDefault="001373AE" w:rsidP="001373AE">
          <w:pPr>
            <w:pStyle w:val="9F502FFC47FB4797A144C8BCD710DB28"/>
          </w:pPr>
          <w:r w:rsidRPr="00703A27">
            <w:rPr>
              <w:rStyle w:val="PlaceholderText"/>
            </w:rPr>
            <w:t>Click or tap here to enter text.</w:t>
          </w:r>
        </w:p>
      </w:docPartBody>
    </w:docPart>
    <w:docPart>
      <w:docPartPr>
        <w:name w:val="8194E67F58534D99A6FE46FE525DDBAA"/>
        <w:category>
          <w:name w:val="General"/>
          <w:gallery w:val="placeholder"/>
        </w:category>
        <w:types>
          <w:type w:val="bbPlcHdr"/>
        </w:types>
        <w:behaviors>
          <w:behavior w:val="content"/>
        </w:behaviors>
        <w:guid w:val="{2B5AFBF3-3D29-4926-9483-4154D9BA4F45}"/>
      </w:docPartPr>
      <w:docPartBody>
        <w:p w:rsidR="00595831" w:rsidRDefault="001373AE" w:rsidP="001373AE">
          <w:pPr>
            <w:pStyle w:val="8194E67F58534D99A6FE46FE525DDBAA"/>
          </w:pPr>
          <w:r w:rsidRPr="00875B1C">
            <w:rPr>
              <w:rStyle w:val="PlaceholderText"/>
            </w:rPr>
            <w:t>Click or tap here to enter text.</w:t>
          </w:r>
        </w:p>
      </w:docPartBody>
    </w:docPart>
    <w:docPart>
      <w:docPartPr>
        <w:name w:val="A855FD10A8D24C1B92FC4F194B8CD8F5"/>
        <w:category>
          <w:name w:val="General"/>
          <w:gallery w:val="placeholder"/>
        </w:category>
        <w:types>
          <w:type w:val="bbPlcHdr"/>
        </w:types>
        <w:behaviors>
          <w:behavior w:val="content"/>
        </w:behaviors>
        <w:guid w:val="{2CB3A0C4-001F-4CF2-89D2-C215C542C5A7}"/>
      </w:docPartPr>
      <w:docPartBody>
        <w:p w:rsidR="00595831" w:rsidRDefault="001373AE" w:rsidP="001373AE">
          <w:pPr>
            <w:pStyle w:val="A855FD10A8D24C1B92FC4F194B8CD8F5"/>
          </w:pPr>
          <w:r w:rsidRPr="00875B1C">
            <w:rPr>
              <w:rStyle w:val="PlaceholderText"/>
            </w:rPr>
            <w:t>Click or tap here to enter text.</w:t>
          </w:r>
        </w:p>
      </w:docPartBody>
    </w:docPart>
    <w:docPart>
      <w:docPartPr>
        <w:name w:val="185FD28FB1A741C0A877EFD2B1998830"/>
        <w:category>
          <w:name w:val="General"/>
          <w:gallery w:val="placeholder"/>
        </w:category>
        <w:types>
          <w:type w:val="bbPlcHdr"/>
        </w:types>
        <w:behaviors>
          <w:behavior w:val="content"/>
        </w:behaviors>
        <w:guid w:val="{0D9EAE8E-18FD-4808-A2A4-987C0F455775}"/>
      </w:docPartPr>
      <w:docPartBody>
        <w:p w:rsidR="00595831" w:rsidRDefault="001373AE" w:rsidP="001373AE">
          <w:pPr>
            <w:pStyle w:val="185FD28FB1A741C0A877EFD2B1998830"/>
          </w:pPr>
          <w:r w:rsidRPr="00875B1C">
            <w:rPr>
              <w:rStyle w:val="PlaceholderText"/>
            </w:rPr>
            <w:t>Click or tap here to enter text.</w:t>
          </w:r>
        </w:p>
      </w:docPartBody>
    </w:docPart>
    <w:docPart>
      <w:docPartPr>
        <w:name w:val="F829E3E0327A4F58AF63E66F11E7AD6C"/>
        <w:category>
          <w:name w:val="General"/>
          <w:gallery w:val="placeholder"/>
        </w:category>
        <w:types>
          <w:type w:val="bbPlcHdr"/>
        </w:types>
        <w:behaviors>
          <w:behavior w:val="content"/>
        </w:behaviors>
        <w:guid w:val="{9D67522A-001D-4E63-941D-07086BA20AA4}"/>
      </w:docPartPr>
      <w:docPartBody>
        <w:p w:rsidR="00595831" w:rsidRDefault="001373AE" w:rsidP="001373AE">
          <w:pPr>
            <w:pStyle w:val="F829E3E0327A4F58AF63E66F11E7AD6C"/>
          </w:pPr>
          <w:r w:rsidRPr="00875B1C">
            <w:rPr>
              <w:rStyle w:val="PlaceholderText"/>
            </w:rPr>
            <w:t>Click or tap here to enter text.</w:t>
          </w:r>
        </w:p>
      </w:docPartBody>
    </w:docPart>
    <w:docPart>
      <w:docPartPr>
        <w:name w:val="A438B511B32B4201A635987B72D79EA5"/>
        <w:category>
          <w:name w:val="General"/>
          <w:gallery w:val="placeholder"/>
        </w:category>
        <w:types>
          <w:type w:val="bbPlcHdr"/>
        </w:types>
        <w:behaviors>
          <w:behavior w:val="content"/>
        </w:behaviors>
        <w:guid w:val="{20F2650D-660D-4BDF-A564-17C271E58231}"/>
      </w:docPartPr>
      <w:docPartBody>
        <w:p w:rsidR="00595831" w:rsidRDefault="001373AE" w:rsidP="001373AE">
          <w:pPr>
            <w:pStyle w:val="A438B511B32B4201A635987B72D79EA5"/>
          </w:pPr>
          <w:r w:rsidRPr="00875B1C">
            <w:rPr>
              <w:rStyle w:val="PlaceholderText"/>
            </w:rPr>
            <w:t>Click or tap here to enter text.</w:t>
          </w:r>
        </w:p>
      </w:docPartBody>
    </w:docPart>
    <w:docPart>
      <w:docPartPr>
        <w:name w:val="2893C0B04C743E4283E194365604CC2C"/>
        <w:category>
          <w:name w:val="General"/>
          <w:gallery w:val="placeholder"/>
        </w:category>
        <w:types>
          <w:type w:val="bbPlcHdr"/>
        </w:types>
        <w:behaviors>
          <w:behavior w:val="content"/>
        </w:behaviors>
        <w:guid w:val="{16D553AA-1BDA-E745-B2E3-A201AEDF5C1C}"/>
      </w:docPartPr>
      <w:docPartBody>
        <w:p w:rsidR="00693619" w:rsidRDefault="00595831" w:rsidP="00595831">
          <w:pPr>
            <w:pStyle w:val="2893C0B04C743E4283E194365604CC2C"/>
          </w:pPr>
          <w:r w:rsidRPr="00E21B00">
            <w:rPr>
              <w:rStyle w:val="PlaceholderText"/>
            </w:rPr>
            <w:t>Click or tap here to enter text.</w:t>
          </w:r>
        </w:p>
      </w:docPartBody>
    </w:docPart>
    <w:docPart>
      <w:docPartPr>
        <w:name w:val="16BD8E0E79395B43BD3B33887AF4003C"/>
        <w:category>
          <w:name w:val="General"/>
          <w:gallery w:val="placeholder"/>
        </w:category>
        <w:types>
          <w:type w:val="bbPlcHdr"/>
        </w:types>
        <w:behaviors>
          <w:behavior w:val="content"/>
        </w:behaviors>
        <w:guid w:val="{C56BAACD-495A-DB4D-BC9E-B24B6B6151B7}"/>
      </w:docPartPr>
      <w:docPartBody>
        <w:p w:rsidR="00693619" w:rsidRDefault="00595831" w:rsidP="00595831">
          <w:pPr>
            <w:pStyle w:val="16BD8E0E79395B43BD3B33887AF4003C"/>
          </w:pPr>
          <w:r w:rsidRPr="00875B1C">
            <w:rPr>
              <w:rStyle w:val="PlaceholderText"/>
            </w:rPr>
            <w:t>Click or tap here to enter text.</w:t>
          </w:r>
        </w:p>
      </w:docPartBody>
    </w:docPart>
    <w:docPart>
      <w:docPartPr>
        <w:name w:val="172BE239E2D82D4F8DF7FD39D0279C33"/>
        <w:category>
          <w:name w:val="General"/>
          <w:gallery w:val="placeholder"/>
        </w:category>
        <w:types>
          <w:type w:val="bbPlcHdr"/>
        </w:types>
        <w:behaviors>
          <w:behavior w:val="content"/>
        </w:behaviors>
        <w:guid w:val="{8C53AF98-F6AD-C84B-93DD-C806B32DEDE2}"/>
      </w:docPartPr>
      <w:docPartBody>
        <w:p w:rsidR="00693619" w:rsidRDefault="00595831" w:rsidP="00595831">
          <w:pPr>
            <w:pStyle w:val="172BE239E2D82D4F8DF7FD39D0279C33"/>
          </w:pPr>
          <w:r w:rsidRPr="00E21B00">
            <w:rPr>
              <w:rStyle w:val="PlaceholderText"/>
            </w:rPr>
            <w:t>Click or tap here to enter text.</w:t>
          </w:r>
        </w:p>
      </w:docPartBody>
    </w:docPart>
    <w:docPart>
      <w:docPartPr>
        <w:name w:val="CF42AEB3D83FB540A27C33919014ED99"/>
        <w:category>
          <w:name w:val="General"/>
          <w:gallery w:val="placeholder"/>
        </w:category>
        <w:types>
          <w:type w:val="bbPlcHdr"/>
        </w:types>
        <w:behaviors>
          <w:behavior w:val="content"/>
        </w:behaviors>
        <w:guid w:val="{D5F85AEE-C5FB-0843-9B99-AFF1E3BF844A}"/>
      </w:docPartPr>
      <w:docPartBody>
        <w:p w:rsidR="00693619" w:rsidRDefault="00595831" w:rsidP="00595831">
          <w:pPr>
            <w:pStyle w:val="CF42AEB3D83FB540A27C33919014ED99"/>
          </w:pPr>
          <w:r w:rsidRPr="00E21B00">
            <w:rPr>
              <w:rStyle w:val="PlaceholderText"/>
            </w:rPr>
            <w:t>Click or tap here to enter text.</w:t>
          </w:r>
        </w:p>
      </w:docPartBody>
    </w:docPart>
    <w:docPart>
      <w:docPartPr>
        <w:name w:val="C5903DD175A6DF4EAD3B37A7AED204B1"/>
        <w:category>
          <w:name w:val="General"/>
          <w:gallery w:val="placeholder"/>
        </w:category>
        <w:types>
          <w:type w:val="bbPlcHdr"/>
        </w:types>
        <w:behaviors>
          <w:behavior w:val="content"/>
        </w:behaviors>
        <w:guid w:val="{57D88E68-F774-2544-B1A4-D7FD7E5350F7}"/>
      </w:docPartPr>
      <w:docPartBody>
        <w:p w:rsidR="00693619" w:rsidRDefault="00595831" w:rsidP="00595831">
          <w:pPr>
            <w:pStyle w:val="C5903DD175A6DF4EAD3B37A7AED204B1"/>
          </w:pPr>
          <w:r w:rsidRPr="00E21B00">
            <w:rPr>
              <w:rStyle w:val="PlaceholderText"/>
            </w:rPr>
            <w:t>Click or tap here to enter text.</w:t>
          </w:r>
        </w:p>
      </w:docPartBody>
    </w:docPart>
    <w:docPart>
      <w:docPartPr>
        <w:name w:val="A06EB97F246BFC418BA32946025EEA9E"/>
        <w:category>
          <w:name w:val="General"/>
          <w:gallery w:val="placeholder"/>
        </w:category>
        <w:types>
          <w:type w:val="bbPlcHdr"/>
        </w:types>
        <w:behaviors>
          <w:behavior w:val="content"/>
        </w:behaviors>
        <w:guid w:val="{4B36C3EB-CC87-A645-9D89-2BE5C969C1AE}"/>
      </w:docPartPr>
      <w:docPartBody>
        <w:p w:rsidR="009E023D" w:rsidRDefault="008B7AB3" w:rsidP="008B7AB3">
          <w:pPr>
            <w:pStyle w:val="A06EB97F246BFC418BA32946025EEA9E"/>
          </w:pPr>
          <w:r w:rsidRPr="00875B1C">
            <w:rPr>
              <w:rStyle w:val="PlaceholderText"/>
            </w:rPr>
            <w:t>Click or tap here to enter text.</w:t>
          </w:r>
        </w:p>
      </w:docPartBody>
    </w:docPart>
    <w:docPart>
      <w:docPartPr>
        <w:name w:val="43D955C1FF1C1A4E91C5B4B953AAA0FE"/>
        <w:category>
          <w:name w:val="General"/>
          <w:gallery w:val="placeholder"/>
        </w:category>
        <w:types>
          <w:type w:val="bbPlcHdr"/>
        </w:types>
        <w:behaviors>
          <w:behavior w:val="content"/>
        </w:behaviors>
        <w:guid w:val="{727453ED-ED9E-8D4C-8500-6574E2BC3082}"/>
      </w:docPartPr>
      <w:docPartBody>
        <w:p w:rsidR="009E023D" w:rsidRDefault="008B7AB3" w:rsidP="008B7AB3">
          <w:pPr>
            <w:pStyle w:val="43D955C1FF1C1A4E91C5B4B953AAA0FE"/>
          </w:pPr>
          <w:r w:rsidRPr="00875B1C">
            <w:rPr>
              <w:rStyle w:val="PlaceholderText"/>
            </w:rPr>
            <w:t>Click or tap here to enter text.</w:t>
          </w:r>
        </w:p>
      </w:docPartBody>
    </w:docPart>
    <w:docPart>
      <w:docPartPr>
        <w:name w:val="A851240765080441A54949AC4D223B93"/>
        <w:category>
          <w:name w:val="General"/>
          <w:gallery w:val="placeholder"/>
        </w:category>
        <w:types>
          <w:type w:val="bbPlcHdr"/>
        </w:types>
        <w:behaviors>
          <w:behavior w:val="content"/>
        </w:behaviors>
        <w:guid w:val="{C8D15092-1664-C448-A64B-DA2070B6D478}"/>
      </w:docPartPr>
      <w:docPartBody>
        <w:p w:rsidR="009E023D" w:rsidRDefault="008B7AB3" w:rsidP="008B7AB3">
          <w:pPr>
            <w:pStyle w:val="A851240765080441A54949AC4D223B93"/>
          </w:pPr>
          <w:r w:rsidRPr="00875B1C">
            <w:rPr>
              <w:rStyle w:val="PlaceholderText"/>
            </w:rPr>
            <w:t>Click or tap here to enter text.</w:t>
          </w:r>
        </w:p>
      </w:docPartBody>
    </w:docPart>
    <w:docPart>
      <w:docPartPr>
        <w:name w:val="1B0C46F15FC2C74782817450DED0A1A9"/>
        <w:category>
          <w:name w:val="General"/>
          <w:gallery w:val="placeholder"/>
        </w:category>
        <w:types>
          <w:type w:val="bbPlcHdr"/>
        </w:types>
        <w:behaviors>
          <w:behavior w:val="content"/>
        </w:behaviors>
        <w:guid w:val="{983E881B-C8C3-1049-BC75-5C7D26C878F1}"/>
      </w:docPartPr>
      <w:docPartBody>
        <w:p w:rsidR="009E023D" w:rsidRDefault="008B7AB3" w:rsidP="008B7AB3">
          <w:pPr>
            <w:pStyle w:val="1B0C46F15FC2C74782817450DED0A1A9"/>
          </w:pPr>
          <w:r w:rsidRPr="00875B1C">
            <w:rPr>
              <w:rStyle w:val="PlaceholderText"/>
            </w:rPr>
            <w:t>Click or tap here to enter text.</w:t>
          </w:r>
        </w:p>
      </w:docPartBody>
    </w:docPart>
    <w:docPart>
      <w:docPartPr>
        <w:name w:val="F28380414962BD4EBCCD0D1393DAD3CC"/>
        <w:category>
          <w:name w:val="General"/>
          <w:gallery w:val="placeholder"/>
        </w:category>
        <w:types>
          <w:type w:val="bbPlcHdr"/>
        </w:types>
        <w:behaviors>
          <w:behavior w:val="content"/>
        </w:behaviors>
        <w:guid w:val="{5021D3DD-C0B4-F84C-B9B8-83C430D6D55E}"/>
      </w:docPartPr>
      <w:docPartBody>
        <w:p w:rsidR="009E023D" w:rsidRDefault="008B7AB3" w:rsidP="008B7AB3">
          <w:pPr>
            <w:pStyle w:val="F28380414962BD4EBCCD0D1393DAD3CC"/>
          </w:pPr>
          <w:r w:rsidRPr="00875B1C">
            <w:rPr>
              <w:rStyle w:val="PlaceholderText"/>
            </w:rPr>
            <w:t>Click or tap here to enter text.</w:t>
          </w:r>
        </w:p>
      </w:docPartBody>
    </w:docPart>
    <w:docPart>
      <w:docPartPr>
        <w:name w:val="4FB794131B02DE4296689E8E9B432F8B"/>
        <w:category>
          <w:name w:val="General"/>
          <w:gallery w:val="placeholder"/>
        </w:category>
        <w:types>
          <w:type w:val="bbPlcHdr"/>
        </w:types>
        <w:behaviors>
          <w:behavior w:val="content"/>
        </w:behaviors>
        <w:guid w:val="{F3FC8C89-BDE9-C14D-B440-8C5675EE933F}"/>
      </w:docPartPr>
      <w:docPartBody>
        <w:p w:rsidR="009E023D" w:rsidRDefault="008B7AB3" w:rsidP="008B7AB3">
          <w:pPr>
            <w:pStyle w:val="4FB794131B02DE4296689E8E9B432F8B"/>
          </w:pPr>
          <w:r w:rsidRPr="00875B1C">
            <w:rPr>
              <w:rStyle w:val="PlaceholderText"/>
            </w:rPr>
            <w:t>Click or tap here to enter text.</w:t>
          </w:r>
        </w:p>
      </w:docPartBody>
    </w:docPart>
    <w:docPart>
      <w:docPartPr>
        <w:name w:val="C2C0659DACBFC542886306091CABE38A"/>
        <w:category>
          <w:name w:val="General"/>
          <w:gallery w:val="placeholder"/>
        </w:category>
        <w:types>
          <w:type w:val="bbPlcHdr"/>
        </w:types>
        <w:behaviors>
          <w:behavior w:val="content"/>
        </w:behaviors>
        <w:guid w:val="{2AAF8DC8-F338-314B-AACF-E771FD30315B}"/>
      </w:docPartPr>
      <w:docPartBody>
        <w:p w:rsidR="009E023D" w:rsidRDefault="008B7AB3" w:rsidP="008B7AB3">
          <w:pPr>
            <w:pStyle w:val="C2C0659DACBFC542886306091CABE38A"/>
          </w:pPr>
          <w:r w:rsidRPr="00875B1C">
            <w:rPr>
              <w:rStyle w:val="PlaceholderText"/>
            </w:rPr>
            <w:t>Click or tap here to enter text.</w:t>
          </w:r>
        </w:p>
      </w:docPartBody>
    </w:docPart>
    <w:docPart>
      <w:docPartPr>
        <w:name w:val="1EF75DD379F49140814ABA871B35095D"/>
        <w:category>
          <w:name w:val="General"/>
          <w:gallery w:val="placeholder"/>
        </w:category>
        <w:types>
          <w:type w:val="bbPlcHdr"/>
        </w:types>
        <w:behaviors>
          <w:behavior w:val="content"/>
        </w:behaviors>
        <w:guid w:val="{D332F10A-A657-4641-9970-6D3D673100E9}"/>
      </w:docPartPr>
      <w:docPartBody>
        <w:p w:rsidR="009E023D" w:rsidRDefault="008B7AB3" w:rsidP="008B7AB3">
          <w:pPr>
            <w:pStyle w:val="1EF75DD379F49140814ABA871B35095D"/>
          </w:pPr>
          <w:r w:rsidRPr="00875B1C">
            <w:rPr>
              <w:rStyle w:val="PlaceholderText"/>
            </w:rPr>
            <w:t>Click or tap here to enter text.</w:t>
          </w:r>
        </w:p>
      </w:docPartBody>
    </w:docPart>
    <w:docPart>
      <w:docPartPr>
        <w:name w:val="CBD3E01BACACFB469155EC8B579B7BAC"/>
        <w:category>
          <w:name w:val="General"/>
          <w:gallery w:val="placeholder"/>
        </w:category>
        <w:types>
          <w:type w:val="bbPlcHdr"/>
        </w:types>
        <w:behaviors>
          <w:behavior w:val="content"/>
        </w:behaviors>
        <w:guid w:val="{AECD281F-A39D-C74D-BFCE-B8A29406DED4}"/>
      </w:docPartPr>
      <w:docPartBody>
        <w:p w:rsidR="009E023D" w:rsidRDefault="008B7AB3" w:rsidP="008B7AB3">
          <w:pPr>
            <w:pStyle w:val="CBD3E01BACACFB469155EC8B579B7BAC"/>
          </w:pPr>
          <w:r w:rsidRPr="00875B1C">
            <w:rPr>
              <w:rStyle w:val="PlaceholderText"/>
            </w:rPr>
            <w:t>Click or tap here to enter text.</w:t>
          </w:r>
        </w:p>
      </w:docPartBody>
    </w:docPart>
    <w:docPart>
      <w:docPartPr>
        <w:name w:val="15A5453B803A6F418F7F476C5FFE40A0"/>
        <w:category>
          <w:name w:val="General"/>
          <w:gallery w:val="placeholder"/>
        </w:category>
        <w:types>
          <w:type w:val="bbPlcHdr"/>
        </w:types>
        <w:behaviors>
          <w:behavior w:val="content"/>
        </w:behaviors>
        <w:guid w:val="{3F88311E-0CDD-1242-A703-9A5B000CCB68}"/>
      </w:docPartPr>
      <w:docPartBody>
        <w:p w:rsidR="009E023D" w:rsidRDefault="008B7AB3" w:rsidP="008B7AB3">
          <w:pPr>
            <w:pStyle w:val="15A5453B803A6F418F7F476C5FFE40A0"/>
          </w:pPr>
          <w:r w:rsidRPr="00875B1C">
            <w:rPr>
              <w:rStyle w:val="PlaceholderText"/>
            </w:rPr>
            <w:t>Click or tap here to enter text.</w:t>
          </w:r>
        </w:p>
      </w:docPartBody>
    </w:docPart>
    <w:docPart>
      <w:docPartPr>
        <w:name w:val="A47738F1AD3D574DB6550DEF42B92548"/>
        <w:category>
          <w:name w:val="General"/>
          <w:gallery w:val="placeholder"/>
        </w:category>
        <w:types>
          <w:type w:val="bbPlcHdr"/>
        </w:types>
        <w:behaviors>
          <w:behavior w:val="content"/>
        </w:behaviors>
        <w:guid w:val="{B098F921-0C79-D94A-804D-E129155F36A4}"/>
      </w:docPartPr>
      <w:docPartBody>
        <w:p w:rsidR="009E023D" w:rsidRDefault="008B7AB3" w:rsidP="008B7AB3">
          <w:pPr>
            <w:pStyle w:val="A47738F1AD3D574DB6550DEF42B92548"/>
          </w:pPr>
          <w:r w:rsidRPr="00875B1C">
            <w:rPr>
              <w:rStyle w:val="PlaceholderText"/>
            </w:rPr>
            <w:t>Click or tap here to enter text.</w:t>
          </w:r>
        </w:p>
      </w:docPartBody>
    </w:docPart>
    <w:docPart>
      <w:docPartPr>
        <w:name w:val="9023070CD387D6498E163F7F217434A8"/>
        <w:category>
          <w:name w:val="General"/>
          <w:gallery w:val="placeholder"/>
        </w:category>
        <w:types>
          <w:type w:val="bbPlcHdr"/>
        </w:types>
        <w:behaviors>
          <w:behavior w:val="content"/>
        </w:behaviors>
        <w:guid w:val="{1CDC6C44-7293-CB42-93BA-C719E2ED71E2}"/>
      </w:docPartPr>
      <w:docPartBody>
        <w:p w:rsidR="009E023D" w:rsidRDefault="008B7AB3" w:rsidP="008B7AB3">
          <w:pPr>
            <w:pStyle w:val="9023070CD387D6498E163F7F217434A8"/>
          </w:pPr>
          <w:r w:rsidRPr="00875B1C">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E6B81977-7BE1-4E47-B5E0-2DC309AF0D09}"/>
      </w:docPartPr>
      <w:docPartBody>
        <w:p w:rsidR="00450727" w:rsidRDefault="006428AC">
          <w:r w:rsidRPr="00CC38A3">
            <w:rPr>
              <w:rStyle w:val="PlaceholderText"/>
            </w:rPr>
            <w:t>Click or tap here to enter text.</w:t>
          </w:r>
        </w:p>
      </w:docPartBody>
    </w:docPart>
    <w:docPart>
      <w:docPartPr>
        <w:name w:val="1DF2EF26D4404081877A4F1D32180B96"/>
        <w:category>
          <w:name w:val="General"/>
          <w:gallery w:val="placeholder"/>
        </w:category>
        <w:types>
          <w:type w:val="bbPlcHdr"/>
        </w:types>
        <w:behaviors>
          <w:behavior w:val="content"/>
        </w:behaviors>
        <w:guid w:val="{3899E76F-04C4-43AF-B817-D422F5B78261}"/>
      </w:docPartPr>
      <w:docPartBody>
        <w:p w:rsidR="00450727" w:rsidRDefault="006428AC" w:rsidP="006428AC">
          <w:pPr>
            <w:pStyle w:val="1DF2EF26D4404081877A4F1D32180B96"/>
          </w:pPr>
          <w:r w:rsidRPr="00CC38A3">
            <w:rPr>
              <w:rStyle w:val="PlaceholderText"/>
            </w:rPr>
            <w:t>Click or tap here to enter text.</w:t>
          </w:r>
        </w:p>
      </w:docPartBody>
    </w:docPart>
    <w:docPart>
      <w:docPartPr>
        <w:name w:val="15E59D60357241028F767E2764375FF7"/>
        <w:category>
          <w:name w:val="General"/>
          <w:gallery w:val="placeholder"/>
        </w:category>
        <w:types>
          <w:type w:val="bbPlcHdr"/>
        </w:types>
        <w:behaviors>
          <w:behavior w:val="content"/>
        </w:behaviors>
        <w:guid w:val="{9463760F-1D2F-4577-B78F-0F68C922E476}"/>
      </w:docPartPr>
      <w:docPartBody>
        <w:p w:rsidR="00450727" w:rsidRDefault="006428AC" w:rsidP="006428AC">
          <w:pPr>
            <w:pStyle w:val="15E59D60357241028F767E2764375FF7"/>
          </w:pPr>
          <w:r w:rsidRPr="00875B1C">
            <w:rPr>
              <w:rStyle w:val="PlaceholderText"/>
            </w:rPr>
            <w:t>Click or tap here to enter text.</w:t>
          </w:r>
        </w:p>
      </w:docPartBody>
    </w:docPart>
    <w:docPart>
      <w:docPartPr>
        <w:name w:val="651E05D9149D4E579EDEF346666232AA"/>
        <w:category>
          <w:name w:val="General"/>
          <w:gallery w:val="placeholder"/>
        </w:category>
        <w:types>
          <w:type w:val="bbPlcHdr"/>
        </w:types>
        <w:behaviors>
          <w:behavior w:val="content"/>
        </w:behaviors>
        <w:guid w:val="{F4A11B85-0F05-4DB6-9EFC-7C3455AC6B30}"/>
      </w:docPartPr>
      <w:docPartBody>
        <w:p w:rsidR="00450727" w:rsidRDefault="006428AC" w:rsidP="006428AC">
          <w:pPr>
            <w:pStyle w:val="651E05D9149D4E579EDEF346666232AA"/>
          </w:pPr>
          <w:r w:rsidRPr="00875B1C">
            <w:rPr>
              <w:rStyle w:val="PlaceholderText"/>
            </w:rPr>
            <w:t>Click or tap here to enter text.</w:t>
          </w:r>
        </w:p>
      </w:docPartBody>
    </w:docPart>
    <w:docPart>
      <w:docPartPr>
        <w:name w:val="60839992AEFA4049810AC4BEE66ACD6B"/>
        <w:category>
          <w:name w:val="General"/>
          <w:gallery w:val="placeholder"/>
        </w:category>
        <w:types>
          <w:type w:val="bbPlcHdr"/>
        </w:types>
        <w:behaviors>
          <w:behavior w:val="content"/>
        </w:behaviors>
        <w:guid w:val="{D256E8CB-4E0D-4870-B61D-740D1A9A72D9}"/>
      </w:docPartPr>
      <w:docPartBody>
        <w:p w:rsidR="00450727" w:rsidRDefault="006428AC" w:rsidP="006428AC">
          <w:pPr>
            <w:pStyle w:val="60839992AEFA4049810AC4BEE66ACD6B"/>
          </w:pPr>
          <w:r w:rsidRPr="00875B1C">
            <w:rPr>
              <w:rStyle w:val="PlaceholderText"/>
            </w:rPr>
            <w:t>Click or tap here to enter text.</w:t>
          </w:r>
        </w:p>
      </w:docPartBody>
    </w:docPart>
    <w:docPart>
      <w:docPartPr>
        <w:name w:val="74C27E6325B7444F858DE8FB2154F2C9"/>
        <w:category>
          <w:name w:val="General"/>
          <w:gallery w:val="placeholder"/>
        </w:category>
        <w:types>
          <w:type w:val="bbPlcHdr"/>
        </w:types>
        <w:behaviors>
          <w:behavior w:val="content"/>
        </w:behaviors>
        <w:guid w:val="{B720981B-3E5A-41D9-A101-34520BD0DBAE}"/>
      </w:docPartPr>
      <w:docPartBody>
        <w:p w:rsidR="00450727" w:rsidRDefault="006428AC" w:rsidP="006428AC">
          <w:pPr>
            <w:pStyle w:val="74C27E6325B7444F858DE8FB2154F2C9"/>
          </w:pPr>
          <w:r w:rsidRPr="00875B1C">
            <w:rPr>
              <w:rStyle w:val="PlaceholderText"/>
            </w:rPr>
            <w:t>Click or tap here to enter text.</w:t>
          </w:r>
        </w:p>
      </w:docPartBody>
    </w:docPart>
    <w:docPart>
      <w:docPartPr>
        <w:name w:val="57FCE5FE4B934B6FA713D9688367B977"/>
        <w:category>
          <w:name w:val="General"/>
          <w:gallery w:val="placeholder"/>
        </w:category>
        <w:types>
          <w:type w:val="bbPlcHdr"/>
        </w:types>
        <w:behaviors>
          <w:behavior w:val="content"/>
        </w:behaviors>
        <w:guid w:val="{6F8991CD-7102-4077-A113-F142539FFD8D}"/>
      </w:docPartPr>
      <w:docPartBody>
        <w:p w:rsidR="005F45D9" w:rsidRDefault="00DE724D" w:rsidP="00DE724D">
          <w:pPr>
            <w:pStyle w:val="57FCE5FE4B934B6FA713D9688367B977"/>
          </w:pPr>
          <w:r w:rsidRPr="00875B1C">
            <w:rPr>
              <w:rStyle w:val="PlaceholderText"/>
            </w:rPr>
            <w:t>Click or tap here to enter text.</w:t>
          </w:r>
        </w:p>
      </w:docPartBody>
    </w:docPart>
    <w:docPart>
      <w:docPartPr>
        <w:name w:val="88325EAA800347FE98BAFD6A3293B0E4"/>
        <w:category>
          <w:name w:val="General"/>
          <w:gallery w:val="placeholder"/>
        </w:category>
        <w:types>
          <w:type w:val="bbPlcHdr"/>
        </w:types>
        <w:behaviors>
          <w:behavior w:val="content"/>
        </w:behaviors>
        <w:guid w:val="{4E56BA43-FDDC-4C07-A682-39F4496061C2}"/>
      </w:docPartPr>
      <w:docPartBody>
        <w:p w:rsidR="00B84468" w:rsidRDefault="005F45D9" w:rsidP="005F45D9">
          <w:pPr>
            <w:pStyle w:val="88325EAA800347FE98BAFD6A3293B0E4"/>
          </w:pPr>
          <w:r w:rsidRPr="00CC38A3">
            <w:rPr>
              <w:rStyle w:val="PlaceholderText"/>
            </w:rPr>
            <w:t>Click or tap here to enter text.</w:t>
          </w:r>
        </w:p>
      </w:docPartBody>
    </w:docPart>
    <w:docPart>
      <w:docPartPr>
        <w:name w:val="F362EF6F87774DDF9E367014474AF190"/>
        <w:category>
          <w:name w:val="General"/>
          <w:gallery w:val="placeholder"/>
        </w:category>
        <w:types>
          <w:type w:val="bbPlcHdr"/>
        </w:types>
        <w:behaviors>
          <w:behavior w:val="content"/>
        </w:behaviors>
        <w:guid w:val="{8F839EEA-C1FF-4E73-AAE4-C2E417A580EC}"/>
      </w:docPartPr>
      <w:docPartBody>
        <w:p w:rsidR="00B84468" w:rsidRDefault="005F45D9" w:rsidP="005F45D9">
          <w:pPr>
            <w:pStyle w:val="F362EF6F87774DDF9E367014474AF190"/>
          </w:pPr>
          <w:r w:rsidRPr="00CC38A3">
            <w:rPr>
              <w:rStyle w:val="PlaceholderText"/>
            </w:rPr>
            <w:t>Click or tap here to enter text.</w:t>
          </w:r>
        </w:p>
      </w:docPartBody>
    </w:docPart>
    <w:docPart>
      <w:docPartPr>
        <w:name w:val="78A60C9921FB4893B16C8EB65E71E822"/>
        <w:category>
          <w:name w:val="General"/>
          <w:gallery w:val="placeholder"/>
        </w:category>
        <w:types>
          <w:type w:val="bbPlcHdr"/>
        </w:types>
        <w:behaviors>
          <w:behavior w:val="content"/>
        </w:behaviors>
        <w:guid w:val="{4456A0FA-A5A7-45DD-ACAA-90259826EE1E}"/>
      </w:docPartPr>
      <w:docPartBody>
        <w:p w:rsidR="00B84468" w:rsidRDefault="005F45D9" w:rsidP="005F45D9">
          <w:pPr>
            <w:pStyle w:val="78A60C9921FB4893B16C8EB65E71E822"/>
          </w:pPr>
          <w:r w:rsidRPr="00CC38A3">
            <w:rPr>
              <w:rStyle w:val="PlaceholderText"/>
            </w:rPr>
            <w:t>Click or tap here to enter text.</w:t>
          </w:r>
        </w:p>
      </w:docPartBody>
    </w:docPart>
    <w:docPart>
      <w:docPartPr>
        <w:name w:val="5BD0CFC433694FECA161616CFCDA7194"/>
        <w:category>
          <w:name w:val="General"/>
          <w:gallery w:val="placeholder"/>
        </w:category>
        <w:types>
          <w:type w:val="bbPlcHdr"/>
        </w:types>
        <w:behaviors>
          <w:behavior w:val="content"/>
        </w:behaviors>
        <w:guid w:val="{DCB79714-0194-4027-BE22-CE608A0DBF3C}"/>
      </w:docPartPr>
      <w:docPartBody>
        <w:p w:rsidR="00B84468" w:rsidRDefault="005F45D9" w:rsidP="005F45D9">
          <w:pPr>
            <w:pStyle w:val="5BD0CFC433694FECA161616CFCDA7194"/>
          </w:pPr>
          <w:r w:rsidRPr="00875B1C">
            <w:rPr>
              <w:rStyle w:val="PlaceholderText"/>
            </w:rPr>
            <w:t>Click or tap here to enter text.</w:t>
          </w:r>
        </w:p>
      </w:docPartBody>
    </w:docPart>
    <w:docPart>
      <w:docPartPr>
        <w:name w:val="0A66241B39F546F2AC021A67120E7B5A"/>
        <w:category>
          <w:name w:val="General"/>
          <w:gallery w:val="placeholder"/>
        </w:category>
        <w:types>
          <w:type w:val="bbPlcHdr"/>
        </w:types>
        <w:behaviors>
          <w:behavior w:val="content"/>
        </w:behaviors>
        <w:guid w:val="{B1F1CDB0-634B-4CEA-95BA-8F9FA71A9A84}"/>
      </w:docPartPr>
      <w:docPartBody>
        <w:p w:rsidR="00B84468" w:rsidRDefault="005F45D9" w:rsidP="005F45D9">
          <w:pPr>
            <w:pStyle w:val="0A66241B39F546F2AC021A67120E7B5A"/>
          </w:pPr>
          <w:r w:rsidRPr="00CC38A3">
            <w:rPr>
              <w:rStyle w:val="PlaceholderText"/>
            </w:rPr>
            <w:t>Click or tap here to enter text.</w:t>
          </w:r>
        </w:p>
      </w:docPartBody>
    </w:docPart>
    <w:docPart>
      <w:docPartPr>
        <w:name w:val="DA24D5F743514CDD87A4C26DE5DE8AF7"/>
        <w:category>
          <w:name w:val="General"/>
          <w:gallery w:val="placeholder"/>
        </w:category>
        <w:types>
          <w:type w:val="bbPlcHdr"/>
        </w:types>
        <w:behaviors>
          <w:behavior w:val="content"/>
        </w:behaviors>
        <w:guid w:val="{C446BEC3-05E7-4BCC-912F-0444E9096141}"/>
      </w:docPartPr>
      <w:docPartBody>
        <w:p w:rsidR="00B84468" w:rsidRDefault="005F45D9" w:rsidP="005F45D9">
          <w:pPr>
            <w:pStyle w:val="DA24D5F743514CDD87A4C26DE5DE8AF7"/>
          </w:pPr>
          <w:r w:rsidRPr="00875B1C">
            <w:rPr>
              <w:rStyle w:val="PlaceholderText"/>
            </w:rPr>
            <w:t>Click or tap here to enter text.</w:t>
          </w:r>
        </w:p>
      </w:docPartBody>
    </w:docPart>
    <w:docPart>
      <w:docPartPr>
        <w:name w:val="16BF8247761EF44F8D5B40A78238D0FC"/>
        <w:category>
          <w:name w:val="General"/>
          <w:gallery w:val="placeholder"/>
        </w:category>
        <w:types>
          <w:type w:val="bbPlcHdr"/>
        </w:types>
        <w:behaviors>
          <w:behavior w:val="content"/>
        </w:behaviors>
        <w:guid w:val="{887DBAC3-3E84-874D-83F6-DF305D44041A}"/>
      </w:docPartPr>
      <w:docPartBody>
        <w:p w:rsidR="00146A1E" w:rsidRDefault="00B84468" w:rsidP="00B84468">
          <w:pPr>
            <w:pStyle w:val="16BF8247761EF44F8D5B40A78238D0FC"/>
          </w:pPr>
          <w:r w:rsidRPr="00875B1C">
            <w:rPr>
              <w:rStyle w:val="PlaceholderText"/>
            </w:rPr>
            <w:t>Click or tap here to enter text.</w:t>
          </w:r>
        </w:p>
      </w:docPartBody>
    </w:docPart>
    <w:docPart>
      <w:docPartPr>
        <w:name w:val="4688F8DCF71576478B947E0CC0D9EA17"/>
        <w:category>
          <w:name w:val="General"/>
          <w:gallery w:val="placeholder"/>
        </w:category>
        <w:types>
          <w:type w:val="bbPlcHdr"/>
        </w:types>
        <w:behaviors>
          <w:behavior w:val="content"/>
        </w:behaviors>
        <w:guid w:val="{99B4842E-F9F8-6A43-8356-5DAFBA3BB666}"/>
      </w:docPartPr>
      <w:docPartBody>
        <w:p w:rsidR="00146A1E" w:rsidRDefault="00B84468" w:rsidP="00B84468">
          <w:pPr>
            <w:pStyle w:val="4688F8DCF71576478B947E0CC0D9EA17"/>
          </w:pPr>
          <w:r w:rsidRPr="00875B1C">
            <w:rPr>
              <w:rStyle w:val="PlaceholderText"/>
            </w:rPr>
            <w:t>Click or tap here to enter text.</w:t>
          </w:r>
        </w:p>
      </w:docPartBody>
    </w:docPart>
    <w:docPart>
      <w:docPartPr>
        <w:name w:val="671794220FD21742877ADD322B48392D"/>
        <w:category>
          <w:name w:val="General"/>
          <w:gallery w:val="placeholder"/>
        </w:category>
        <w:types>
          <w:type w:val="bbPlcHdr"/>
        </w:types>
        <w:behaviors>
          <w:behavior w:val="content"/>
        </w:behaviors>
        <w:guid w:val="{D41E1289-7E04-CA40-A50D-939AB83B4CC0}"/>
      </w:docPartPr>
      <w:docPartBody>
        <w:p w:rsidR="00146A1E" w:rsidRDefault="00B84468" w:rsidP="00B84468">
          <w:pPr>
            <w:pStyle w:val="671794220FD21742877ADD322B48392D"/>
          </w:pPr>
          <w:r w:rsidRPr="00875B1C">
            <w:rPr>
              <w:rStyle w:val="PlaceholderText"/>
            </w:rPr>
            <w:t>Click or tap here to enter text.</w:t>
          </w:r>
        </w:p>
      </w:docPartBody>
    </w:docPart>
    <w:docPart>
      <w:docPartPr>
        <w:name w:val="CBC1CCCAFED6E046A477596684A8DC06"/>
        <w:category>
          <w:name w:val="General"/>
          <w:gallery w:val="placeholder"/>
        </w:category>
        <w:types>
          <w:type w:val="bbPlcHdr"/>
        </w:types>
        <w:behaviors>
          <w:behavior w:val="content"/>
        </w:behaviors>
        <w:guid w:val="{16AA97A0-D554-DE4D-955F-98BC8C437DC0}"/>
      </w:docPartPr>
      <w:docPartBody>
        <w:p w:rsidR="00146A1E" w:rsidRDefault="00B84468" w:rsidP="00B84468">
          <w:pPr>
            <w:pStyle w:val="CBC1CCCAFED6E046A477596684A8DC06"/>
          </w:pPr>
          <w:r w:rsidRPr="00875B1C">
            <w:rPr>
              <w:rStyle w:val="PlaceholderText"/>
            </w:rPr>
            <w:t>Click or tap here to enter text.</w:t>
          </w:r>
        </w:p>
      </w:docPartBody>
    </w:docPart>
    <w:docPart>
      <w:docPartPr>
        <w:name w:val="6180E616FFBCFC44A5E858D8CB8DBFD2"/>
        <w:category>
          <w:name w:val="General"/>
          <w:gallery w:val="placeholder"/>
        </w:category>
        <w:types>
          <w:type w:val="bbPlcHdr"/>
        </w:types>
        <w:behaviors>
          <w:behavior w:val="content"/>
        </w:behaviors>
        <w:guid w:val="{DE149D7C-7BB3-C44F-AB9B-ABFDC6EDBD9E}"/>
      </w:docPartPr>
      <w:docPartBody>
        <w:p w:rsidR="00146A1E" w:rsidRDefault="00B84468" w:rsidP="00B84468">
          <w:pPr>
            <w:pStyle w:val="6180E616FFBCFC44A5E858D8CB8DBFD2"/>
          </w:pPr>
          <w:r w:rsidRPr="00875B1C">
            <w:rPr>
              <w:rStyle w:val="PlaceholderText"/>
            </w:rPr>
            <w:t>Click or tap here to enter text.</w:t>
          </w:r>
        </w:p>
      </w:docPartBody>
    </w:docPart>
    <w:docPart>
      <w:docPartPr>
        <w:name w:val="05CCF127058B4A54BEC63B6351B3608B"/>
        <w:category>
          <w:name w:val="General"/>
          <w:gallery w:val="placeholder"/>
        </w:category>
        <w:types>
          <w:type w:val="bbPlcHdr"/>
        </w:types>
        <w:behaviors>
          <w:behavior w:val="content"/>
        </w:behaviors>
        <w:guid w:val="{8834BE93-0F5E-42D6-9C5B-A401F3FCFC94}"/>
      </w:docPartPr>
      <w:docPartBody>
        <w:p w:rsidR="00F00060" w:rsidRDefault="00146A1E" w:rsidP="00146A1E">
          <w:pPr>
            <w:pStyle w:val="05CCF127058B4A54BEC63B6351B3608B"/>
          </w:pPr>
          <w:r w:rsidRPr="00875B1C">
            <w:rPr>
              <w:rStyle w:val="PlaceholderText"/>
            </w:rPr>
            <w:t>Click or tap here to enter text.</w:t>
          </w:r>
        </w:p>
      </w:docPartBody>
    </w:docPart>
    <w:docPart>
      <w:docPartPr>
        <w:name w:val="47B41178402C41F9872F7EED37069D2D"/>
        <w:category>
          <w:name w:val="General"/>
          <w:gallery w:val="placeholder"/>
        </w:category>
        <w:types>
          <w:type w:val="bbPlcHdr"/>
        </w:types>
        <w:behaviors>
          <w:behavior w:val="content"/>
        </w:behaviors>
        <w:guid w:val="{1169251F-76F8-4509-BBC1-CE85BBF5F832}"/>
      </w:docPartPr>
      <w:docPartBody>
        <w:p w:rsidR="00F00060" w:rsidRDefault="00146A1E" w:rsidP="00146A1E">
          <w:pPr>
            <w:pStyle w:val="47B41178402C41F9872F7EED37069D2D"/>
          </w:pPr>
          <w:r w:rsidRPr="00875B1C">
            <w:rPr>
              <w:rStyle w:val="PlaceholderText"/>
            </w:rPr>
            <w:t>Click or tap here to enter text.</w:t>
          </w:r>
        </w:p>
      </w:docPartBody>
    </w:docPart>
    <w:docPart>
      <w:docPartPr>
        <w:name w:val="AE6BDD6037B83B4E986178F6D1D6A8F2"/>
        <w:category>
          <w:name w:val="General"/>
          <w:gallery w:val="placeholder"/>
        </w:category>
        <w:types>
          <w:type w:val="bbPlcHdr"/>
        </w:types>
        <w:behaviors>
          <w:behavior w:val="content"/>
        </w:behaviors>
        <w:guid w:val="{B6DB6FD3-53DC-794A-9778-3C26A62AFFFC}"/>
      </w:docPartPr>
      <w:docPartBody>
        <w:p w:rsidR="006B024F" w:rsidRDefault="00F00060" w:rsidP="00F00060">
          <w:pPr>
            <w:pStyle w:val="AE6BDD6037B83B4E986178F6D1D6A8F2"/>
          </w:pPr>
          <w:r w:rsidRPr="00875B1C">
            <w:rPr>
              <w:rStyle w:val="PlaceholderText"/>
            </w:rPr>
            <w:t>Click or tap here to enter text.</w:t>
          </w:r>
        </w:p>
      </w:docPartBody>
    </w:docPart>
    <w:docPart>
      <w:docPartPr>
        <w:name w:val="38312CE1AA66F546A67EEA24811CB9E6"/>
        <w:category>
          <w:name w:val="General"/>
          <w:gallery w:val="placeholder"/>
        </w:category>
        <w:types>
          <w:type w:val="bbPlcHdr"/>
        </w:types>
        <w:behaviors>
          <w:behavior w:val="content"/>
        </w:behaviors>
        <w:guid w:val="{8BC264C6-6DF6-B945-8324-49904DAD9415}"/>
      </w:docPartPr>
      <w:docPartBody>
        <w:p w:rsidR="006B024F" w:rsidRDefault="00F00060" w:rsidP="00F00060">
          <w:pPr>
            <w:pStyle w:val="38312CE1AA66F546A67EEA24811CB9E6"/>
          </w:pPr>
          <w:r w:rsidRPr="00875B1C">
            <w:rPr>
              <w:rStyle w:val="PlaceholderText"/>
            </w:rPr>
            <w:t>Click or tap here to enter text.</w:t>
          </w:r>
        </w:p>
      </w:docPartBody>
    </w:docPart>
    <w:docPart>
      <w:docPartPr>
        <w:name w:val="E7880240E3A7D546A715085875AD966E"/>
        <w:category>
          <w:name w:val="General"/>
          <w:gallery w:val="placeholder"/>
        </w:category>
        <w:types>
          <w:type w:val="bbPlcHdr"/>
        </w:types>
        <w:behaviors>
          <w:behavior w:val="content"/>
        </w:behaviors>
        <w:guid w:val="{03F0C85A-81C1-464B-A9B9-4C425F287CB0}"/>
      </w:docPartPr>
      <w:docPartBody>
        <w:p w:rsidR="006B024F" w:rsidRDefault="00F00060" w:rsidP="00F00060">
          <w:pPr>
            <w:pStyle w:val="E7880240E3A7D546A715085875AD966E"/>
          </w:pPr>
          <w:r w:rsidRPr="00875B1C">
            <w:rPr>
              <w:rStyle w:val="PlaceholderText"/>
            </w:rPr>
            <w:t>Click or tap here to enter text.</w:t>
          </w:r>
        </w:p>
      </w:docPartBody>
    </w:docPart>
    <w:docPart>
      <w:docPartPr>
        <w:name w:val="5DB363AAAEC30042A980B7A055EE1B51"/>
        <w:category>
          <w:name w:val="General"/>
          <w:gallery w:val="placeholder"/>
        </w:category>
        <w:types>
          <w:type w:val="bbPlcHdr"/>
        </w:types>
        <w:behaviors>
          <w:behavior w:val="content"/>
        </w:behaviors>
        <w:guid w:val="{FCABB78E-CBC3-3447-88A3-86F9B2AD79AF}"/>
      </w:docPartPr>
      <w:docPartBody>
        <w:p w:rsidR="000F75E8" w:rsidRDefault="00117510" w:rsidP="00117510">
          <w:pPr>
            <w:pStyle w:val="5DB363AAAEC30042A980B7A055EE1B51"/>
          </w:pPr>
          <w:r w:rsidRPr="00E21B00">
            <w:rPr>
              <w:rStyle w:val="PlaceholderText"/>
            </w:rPr>
            <w:t>Click or tap here to enter text.</w:t>
          </w:r>
        </w:p>
      </w:docPartBody>
    </w:docPart>
    <w:docPart>
      <w:docPartPr>
        <w:name w:val="54831E4A164F493FB6C41C0F951CE09A"/>
        <w:category>
          <w:name w:val="General"/>
          <w:gallery w:val="placeholder"/>
        </w:category>
        <w:types>
          <w:type w:val="bbPlcHdr"/>
        </w:types>
        <w:behaviors>
          <w:behavior w:val="content"/>
        </w:behaviors>
        <w:guid w:val="{65B0EEDF-B09B-45D8-A89C-E262E7735C62}"/>
      </w:docPartPr>
      <w:docPartBody>
        <w:p w:rsidR="00486B6C" w:rsidRDefault="000F75E8" w:rsidP="000F75E8">
          <w:pPr>
            <w:pStyle w:val="54831E4A164F493FB6C41C0F951CE09A"/>
          </w:pPr>
          <w:r w:rsidRPr="00875B1C">
            <w:rPr>
              <w:rStyle w:val="PlaceholderText"/>
            </w:rPr>
            <w:t>Click or tap here to enter text.</w:t>
          </w:r>
        </w:p>
      </w:docPartBody>
    </w:docPart>
    <w:docPart>
      <w:docPartPr>
        <w:name w:val="739808A5B646A94EA7283156382CECA3"/>
        <w:category>
          <w:name w:val="General"/>
          <w:gallery w:val="placeholder"/>
        </w:category>
        <w:types>
          <w:type w:val="bbPlcHdr"/>
        </w:types>
        <w:behaviors>
          <w:behavior w:val="content"/>
        </w:behaviors>
        <w:guid w:val="{EE506E0D-5A05-DF4F-BA43-21607312971D}"/>
      </w:docPartPr>
      <w:docPartBody>
        <w:p w:rsidR="00A10333" w:rsidRDefault="00486B6C" w:rsidP="00486B6C">
          <w:pPr>
            <w:pStyle w:val="739808A5B646A94EA7283156382CECA3"/>
          </w:pPr>
          <w:r w:rsidRPr="00875B1C">
            <w:rPr>
              <w:rStyle w:val="PlaceholderText"/>
            </w:rPr>
            <w:t>Click or tap here to enter text.</w:t>
          </w:r>
        </w:p>
      </w:docPartBody>
    </w:docPart>
    <w:docPart>
      <w:docPartPr>
        <w:name w:val="856639CFAF09064CBDD2B93B8D6E3E30"/>
        <w:category>
          <w:name w:val="General"/>
          <w:gallery w:val="placeholder"/>
        </w:category>
        <w:types>
          <w:type w:val="bbPlcHdr"/>
        </w:types>
        <w:behaviors>
          <w:behavior w:val="content"/>
        </w:behaviors>
        <w:guid w:val="{3D12E698-1452-7346-AB9E-B393C89E56D3}"/>
      </w:docPartPr>
      <w:docPartBody>
        <w:p w:rsidR="00500E34" w:rsidRDefault="00A10333" w:rsidP="00A10333">
          <w:pPr>
            <w:pStyle w:val="856639CFAF09064CBDD2B93B8D6E3E30"/>
          </w:pPr>
          <w:r w:rsidRPr="00CC38A3">
            <w:rPr>
              <w:rStyle w:val="PlaceholderText"/>
            </w:rPr>
            <w:t>Click or tap here to enter text.</w:t>
          </w:r>
        </w:p>
      </w:docPartBody>
    </w:docPart>
    <w:docPart>
      <w:docPartPr>
        <w:name w:val="2283CF74C5013C458178E11563042F50"/>
        <w:category>
          <w:name w:val="General"/>
          <w:gallery w:val="placeholder"/>
        </w:category>
        <w:types>
          <w:type w:val="bbPlcHdr"/>
        </w:types>
        <w:behaviors>
          <w:behavior w:val="content"/>
        </w:behaviors>
        <w:guid w:val="{1C792F4A-D6D6-0B44-995A-CEDEAA500DB9}"/>
      </w:docPartPr>
      <w:docPartBody>
        <w:p w:rsidR="00500E34" w:rsidRDefault="00A10333" w:rsidP="00A10333">
          <w:pPr>
            <w:pStyle w:val="2283CF74C5013C458178E11563042F50"/>
          </w:pPr>
          <w:r w:rsidRPr="00CC38A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charset w:val="00"/>
    <w:family w:val="roman"/>
    <w:pitch w:val="default"/>
  </w:font>
  <w:font w:name="Arial (Body)">
    <w:altName w:val="Arial"/>
    <w:charset w:val="00"/>
    <w:family w:val="roman"/>
    <w:pitch w:val="default"/>
  </w:font>
  <w:font w:name="Arial Narrow">
    <w:panose1 w:val="020B0606020202030204"/>
    <w:charset w:val="00"/>
    <w:family w:val="swiss"/>
    <w:pitch w:val="variable"/>
    <w:sig w:usb0="00000287" w:usb1="00000800" w:usb2="00000000" w:usb3="00000000" w:csb0="0000009F" w:csb1="00000000"/>
  </w:font>
  <w:font w:name="Roboto Light">
    <w:charset w:val="00"/>
    <w:family w:val="auto"/>
    <w:pitch w:val="variable"/>
    <w:sig w:usb0="E00002FF" w:usb1="5000205B" w:usb2="00000020" w:usb3="00000000" w:csb0="0000019F" w:csb1="00000000"/>
  </w:font>
  <w:font w:name="Times New Roman (Body CS)">
    <w:charset w:val="00"/>
    <w:family w:val="roman"/>
    <w:pitch w:val="default"/>
  </w:font>
  <w:font w:name="+mn-ea">
    <w:altName w:val="Cambria"/>
    <w:charset w:val="00"/>
    <w:family w:val="roman"/>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35"/>
    <w:rsid w:val="000F433E"/>
    <w:rsid w:val="000F75E8"/>
    <w:rsid w:val="00117510"/>
    <w:rsid w:val="00124656"/>
    <w:rsid w:val="001373AE"/>
    <w:rsid w:val="00146A1E"/>
    <w:rsid w:val="001543D2"/>
    <w:rsid w:val="00243713"/>
    <w:rsid w:val="002712D0"/>
    <w:rsid w:val="00342289"/>
    <w:rsid w:val="00390467"/>
    <w:rsid w:val="003E6D9C"/>
    <w:rsid w:val="004205DC"/>
    <w:rsid w:val="00450727"/>
    <w:rsid w:val="0048444A"/>
    <w:rsid w:val="00486B6C"/>
    <w:rsid w:val="00500E34"/>
    <w:rsid w:val="00516FFA"/>
    <w:rsid w:val="00570435"/>
    <w:rsid w:val="00583BEB"/>
    <w:rsid w:val="00595831"/>
    <w:rsid w:val="005F45D9"/>
    <w:rsid w:val="006102F9"/>
    <w:rsid w:val="006428AC"/>
    <w:rsid w:val="00693619"/>
    <w:rsid w:val="006A4F02"/>
    <w:rsid w:val="006B024F"/>
    <w:rsid w:val="006B1DA3"/>
    <w:rsid w:val="00715ED7"/>
    <w:rsid w:val="00762688"/>
    <w:rsid w:val="008A6B33"/>
    <w:rsid w:val="008B7AB3"/>
    <w:rsid w:val="009E023D"/>
    <w:rsid w:val="00A10333"/>
    <w:rsid w:val="00B84468"/>
    <w:rsid w:val="00C47051"/>
    <w:rsid w:val="00CC6200"/>
    <w:rsid w:val="00CE15D0"/>
    <w:rsid w:val="00D13F00"/>
    <w:rsid w:val="00DE724D"/>
    <w:rsid w:val="00EE78E5"/>
    <w:rsid w:val="00F00060"/>
    <w:rsid w:val="00F87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unhideWhenUsed/>
    <w:rsid w:val="00500E34"/>
    <w:rPr>
      <w:color w:val="808080"/>
    </w:rPr>
  </w:style>
  <w:style w:type="paragraph" w:customStyle="1" w:styleId="B45FADC50A324E4486C4324FBA958C61">
    <w:name w:val="B45FADC50A324E4486C4324FBA958C61"/>
    <w:rsid w:val="00570435"/>
  </w:style>
  <w:style w:type="paragraph" w:customStyle="1" w:styleId="16BF8247761EF44F8D5B40A78238D0FC">
    <w:name w:val="16BF8247761EF44F8D5B40A78238D0FC"/>
    <w:rsid w:val="00B84468"/>
  </w:style>
  <w:style w:type="paragraph" w:customStyle="1" w:styleId="4688F8DCF71576478B947E0CC0D9EA17">
    <w:name w:val="4688F8DCF71576478B947E0CC0D9EA17"/>
    <w:rsid w:val="00B84468"/>
  </w:style>
  <w:style w:type="paragraph" w:customStyle="1" w:styleId="671794220FD21742877ADD322B48392D">
    <w:name w:val="671794220FD21742877ADD322B48392D"/>
    <w:rsid w:val="00B84468"/>
  </w:style>
  <w:style w:type="paragraph" w:customStyle="1" w:styleId="71C961156B4B084689937643ADA1E714">
    <w:name w:val="71C961156B4B084689937643ADA1E714"/>
    <w:rsid w:val="00570435"/>
  </w:style>
  <w:style w:type="paragraph" w:customStyle="1" w:styleId="7D79B69B0F616E4A8A8F5C102537D7B7">
    <w:name w:val="7D79B69B0F616E4A8A8F5C102537D7B7"/>
    <w:rsid w:val="00570435"/>
  </w:style>
  <w:style w:type="paragraph" w:customStyle="1" w:styleId="EDCAAF127C89A241A412749C87CEB2A5">
    <w:name w:val="EDCAAF127C89A241A412749C87CEB2A5"/>
    <w:rsid w:val="00570435"/>
  </w:style>
  <w:style w:type="paragraph" w:customStyle="1" w:styleId="99CA647BB68D30469924B0E915BC5753">
    <w:name w:val="99CA647BB68D30469924B0E915BC5753"/>
    <w:rsid w:val="00570435"/>
  </w:style>
  <w:style w:type="paragraph" w:customStyle="1" w:styleId="4FDEDA5B5A36A24FA777B4BA29CF8D90">
    <w:name w:val="4FDEDA5B5A36A24FA777B4BA29CF8D90"/>
    <w:rsid w:val="00B84468"/>
  </w:style>
  <w:style w:type="paragraph" w:customStyle="1" w:styleId="CBC1CCCAFED6E046A477596684A8DC06">
    <w:name w:val="CBC1CCCAFED6E046A477596684A8DC06"/>
    <w:rsid w:val="00B84468"/>
  </w:style>
  <w:style w:type="paragraph" w:customStyle="1" w:styleId="6180E616FFBCFC44A5E858D8CB8DBFD2">
    <w:name w:val="6180E616FFBCFC44A5E858D8CB8DBFD2"/>
    <w:rsid w:val="00B84468"/>
  </w:style>
  <w:style w:type="paragraph" w:customStyle="1" w:styleId="E4B5E21686F2314088D58853EA72C37C">
    <w:name w:val="E4B5E21686F2314088D58853EA72C37C"/>
    <w:rsid w:val="00570435"/>
  </w:style>
  <w:style w:type="paragraph" w:customStyle="1" w:styleId="041751536CA6964C804BF226843AFE5F">
    <w:name w:val="041751536CA6964C804BF226843AFE5F"/>
    <w:rsid w:val="00570435"/>
  </w:style>
  <w:style w:type="paragraph" w:customStyle="1" w:styleId="BD2EA2F9CCAF8B44A251C377D4581768">
    <w:name w:val="BD2EA2F9CCAF8B44A251C377D4581768"/>
    <w:rsid w:val="00570435"/>
  </w:style>
  <w:style w:type="paragraph" w:customStyle="1" w:styleId="9778F450844AC647A1DFBD91BCE1ACCF">
    <w:name w:val="9778F450844AC647A1DFBD91BCE1ACCF"/>
    <w:rsid w:val="00570435"/>
  </w:style>
  <w:style w:type="paragraph" w:customStyle="1" w:styleId="1C024F93EC09C349BA1D125ADCDB1BF4">
    <w:name w:val="1C024F93EC09C349BA1D125ADCDB1BF4"/>
    <w:rsid w:val="00570435"/>
  </w:style>
  <w:style w:type="paragraph" w:customStyle="1" w:styleId="F3F6992EED94864082AF753525BEC6D2">
    <w:name w:val="F3F6992EED94864082AF753525BEC6D2"/>
    <w:rsid w:val="00570435"/>
  </w:style>
  <w:style w:type="paragraph" w:customStyle="1" w:styleId="73B504778A72D149818372C99AFC4672">
    <w:name w:val="73B504778A72D149818372C99AFC4672"/>
    <w:rsid w:val="00570435"/>
  </w:style>
  <w:style w:type="paragraph" w:customStyle="1" w:styleId="248294201BC2F64D86FDF283EC0887A0">
    <w:name w:val="248294201BC2F64D86FDF283EC0887A0"/>
    <w:rsid w:val="00570435"/>
  </w:style>
  <w:style w:type="paragraph" w:customStyle="1" w:styleId="DFD82C3E27EDA8438440522BD30823A0">
    <w:name w:val="DFD82C3E27EDA8438440522BD30823A0"/>
    <w:rsid w:val="00570435"/>
  </w:style>
  <w:style w:type="paragraph" w:customStyle="1" w:styleId="78E6830DC518BA49B384D207808FD63A">
    <w:name w:val="78E6830DC518BA49B384D207808FD63A"/>
    <w:rsid w:val="00570435"/>
  </w:style>
  <w:style w:type="paragraph" w:customStyle="1" w:styleId="B9795911811A7143BC7BEE01638231F7">
    <w:name w:val="B9795911811A7143BC7BEE01638231F7"/>
    <w:rsid w:val="00570435"/>
  </w:style>
  <w:style w:type="paragraph" w:customStyle="1" w:styleId="E352EA3DC9FD0149AFD29021DB583C52">
    <w:name w:val="E352EA3DC9FD0149AFD29021DB583C52"/>
    <w:rsid w:val="00570435"/>
  </w:style>
  <w:style w:type="paragraph" w:customStyle="1" w:styleId="8F2D25B7EFE20C43977C8507133BE2B2">
    <w:name w:val="8F2D25B7EFE20C43977C8507133BE2B2"/>
    <w:rsid w:val="00570435"/>
  </w:style>
  <w:style w:type="paragraph" w:customStyle="1" w:styleId="1BA3A62A86EA9C4F97FFF48C514F655F">
    <w:name w:val="1BA3A62A86EA9C4F97FFF48C514F655F"/>
    <w:rsid w:val="00570435"/>
  </w:style>
  <w:style w:type="paragraph" w:customStyle="1" w:styleId="45DBEDEB4059AC409B8320F8876742BF">
    <w:name w:val="45DBEDEB4059AC409B8320F8876742BF"/>
    <w:rsid w:val="00570435"/>
  </w:style>
  <w:style w:type="paragraph" w:customStyle="1" w:styleId="0151A06CC664A449BE92D047E540500D">
    <w:name w:val="0151A06CC664A449BE92D047E540500D"/>
    <w:rsid w:val="00570435"/>
  </w:style>
  <w:style w:type="paragraph" w:customStyle="1" w:styleId="629D9A348B036442B8B0A9D5534F74DC">
    <w:name w:val="629D9A348B036442B8B0A9D5534F74DC"/>
    <w:rsid w:val="00570435"/>
  </w:style>
  <w:style w:type="paragraph" w:customStyle="1" w:styleId="170E61BC35FBB749A5E7309823AB9CC0">
    <w:name w:val="170E61BC35FBB749A5E7309823AB9CC0"/>
    <w:rsid w:val="00570435"/>
  </w:style>
  <w:style w:type="paragraph" w:customStyle="1" w:styleId="5ABC2B0731680446B71C2D491D202804">
    <w:name w:val="5ABC2B0731680446B71C2D491D202804"/>
    <w:rsid w:val="00570435"/>
  </w:style>
  <w:style w:type="paragraph" w:customStyle="1" w:styleId="C73A84347C660A4CAFE6A0C35DE21921">
    <w:name w:val="C73A84347C660A4CAFE6A0C35DE21921"/>
    <w:rsid w:val="00570435"/>
  </w:style>
  <w:style w:type="paragraph" w:customStyle="1" w:styleId="E57D1172C6F6874FA1CB263B97B8E168">
    <w:name w:val="E57D1172C6F6874FA1CB263B97B8E168"/>
    <w:rsid w:val="00570435"/>
  </w:style>
  <w:style w:type="paragraph" w:customStyle="1" w:styleId="6363965D547A1549AC24DB36BF3389E8">
    <w:name w:val="6363965D547A1549AC24DB36BF3389E8"/>
    <w:rsid w:val="00570435"/>
  </w:style>
  <w:style w:type="paragraph" w:customStyle="1" w:styleId="91BFED3ECC402349BFDF7C0619D88390">
    <w:name w:val="91BFED3ECC402349BFDF7C0619D88390"/>
    <w:rsid w:val="00570435"/>
  </w:style>
  <w:style w:type="paragraph" w:customStyle="1" w:styleId="48E862463FD7684C868E66D03A2325DA">
    <w:name w:val="48E862463FD7684C868E66D03A2325DA"/>
    <w:rsid w:val="00570435"/>
  </w:style>
  <w:style w:type="paragraph" w:customStyle="1" w:styleId="B236298731225148BC53F62517F9B5DB">
    <w:name w:val="B236298731225148BC53F62517F9B5DB"/>
    <w:rsid w:val="00570435"/>
  </w:style>
  <w:style w:type="paragraph" w:customStyle="1" w:styleId="33EFA801D6B0F546B568FA71D8FADAF9">
    <w:name w:val="33EFA801D6B0F546B568FA71D8FADAF9"/>
    <w:rsid w:val="00570435"/>
  </w:style>
  <w:style w:type="paragraph" w:customStyle="1" w:styleId="378EE3EDE401AA4E9C4ACC0CAEB7C3DD">
    <w:name w:val="378EE3EDE401AA4E9C4ACC0CAEB7C3DD"/>
    <w:rsid w:val="00570435"/>
  </w:style>
  <w:style w:type="paragraph" w:customStyle="1" w:styleId="A490F0E7294A2C4BBCFA2020C690EE15">
    <w:name w:val="A490F0E7294A2C4BBCFA2020C690EE15"/>
    <w:rsid w:val="00570435"/>
  </w:style>
  <w:style w:type="paragraph" w:customStyle="1" w:styleId="51B80CA42C02D44AAB0E5498BC943234">
    <w:name w:val="51B80CA42C02D44AAB0E5498BC943234"/>
    <w:rsid w:val="00570435"/>
  </w:style>
  <w:style w:type="paragraph" w:customStyle="1" w:styleId="492B5639DBE04948AC19ACC72AB0D18C">
    <w:name w:val="492B5639DBE04948AC19ACC72AB0D18C"/>
    <w:rsid w:val="00570435"/>
  </w:style>
  <w:style w:type="paragraph" w:customStyle="1" w:styleId="0F9C4BAB20CC0145A24A17C7FE1D5B39">
    <w:name w:val="0F9C4BAB20CC0145A24A17C7FE1D5B39"/>
    <w:rsid w:val="00570435"/>
  </w:style>
  <w:style w:type="paragraph" w:customStyle="1" w:styleId="B2EF6573E74F2648B67222D64B2BEDFD">
    <w:name w:val="B2EF6573E74F2648B67222D64B2BEDFD"/>
    <w:rsid w:val="00570435"/>
  </w:style>
  <w:style w:type="paragraph" w:customStyle="1" w:styleId="DF645E9633BBF94A95668463FE1A54A6">
    <w:name w:val="DF645E9633BBF94A95668463FE1A54A6"/>
    <w:rsid w:val="00570435"/>
  </w:style>
  <w:style w:type="paragraph" w:customStyle="1" w:styleId="05245DC7C3325949BBDF92A0D0E871E8">
    <w:name w:val="05245DC7C3325949BBDF92A0D0E871E8"/>
    <w:rsid w:val="00570435"/>
  </w:style>
  <w:style w:type="paragraph" w:customStyle="1" w:styleId="936F18BB5E21674DBF98EB302E25187F">
    <w:name w:val="936F18BB5E21674DBF98EB302E25187F"/>
    <w:rsid w:val="00570435"/>
  </w:style>
  <w:style w:type="paragraph" w:customStyle="1" w:styleId="DC7C970E839D6F4380E96267B612AC9D">
    <w:name w:val="DC7C970E839D6F4380E96267B612AC9D"/>
    <w:rsid w:val="00570435"/>
  </w:style>
  <w:style w:type="paragraph" w:customStyle="1" w:styleId="C71CF1CB6C7101459B7082696A5352F6">
    <w:name w:val="C71CF1CB6C7101459B7082696A5352F6"/>
    <w:rsid w:val="00570435"/>
  </w:style>
  <w:style w:type="paragraph" w:customStyle="1" w:styleId="FC43FA6C97EEB949B9754A9EF7500F96">
    <w:name w:val="FC43FA6C97EEB949B9754A9EF7500F96"/>
    <w:rsid w:val="00570435"/>
  </w:style>
  <w:style w:type="paragraph" w:customStyle="1" w:styleId="025149ADDB4E014FB536F6E7DD1FCFAD">
    <w:name w:val="025149ADDB4E014FB536F6E7DD1FCFAD"/>
    <w:rsid w:val="00570435"/>
  </w:style>
  <w:style w:type="paragraph" w:customStyle="1" w:styleId="DC44A869B7F67D43A899EA3F4A219CC3">
    <w:name w:val="DC44A869B7F67D43A899EA3F4A219CC3"/>
    <w:rsid w:val="00570435"/>
  </w:style>
  <w:style w:type="paragraph" w:customStyle="1" w:styleId="623FFB356E58BB4B95B8A562EE9DF1DE">
    <w:name w:val="623FFB356E58BB4B95B8A562EE9DF1DE"/>
    <w:rsid w:val="00570435"/>
  </w:style>
  <w:style w:type="paragraph" w:customStyle="1" w:styleId="A1F7475729FAC543BB1848DACA12A8AC">
    <w:name w:val="A1F7475729FAC543BB1848DACA12A8AC"/>
    <w:rsid w:val="00570435"/>
  </w:style>
  <w:style w:type="paragraph" w:customStyle="1" w:styleId="27BB9AAC8C49C847BB1FDE3AE608E887">
    <w:name w:val="27BB9AAC8C49C847BB1FDE3AE608E887"/>
    <w:rsid w:val="00570435"/>
  </w:style>
  <w:style w:type="paragraph" w:customStyle="1" w:styleId="F18485EA91F8164E80D5101B1C44218E">
    <w:name w:val="F18485EA91F8164E80D5101B1C44218E"/>
    <w:rsid w:val="00570435"/>
  </w:style>
  <w:style w:type="paragraph" w:customStyle="1" w:styleId="5331324AF8159D45B45006C8B268D1BE">
    <w:name w:val="5331324AF8159D45B45006C8B268D1BE"/>
    <w:rsid w:val="00570435"/>
  </w:style>
  <w:style w:type="paragraph" w:customStyle="1" w:styleId="7995D281BD9BD44C9AFC8C05D833D40F">
    <w:name w:val="7995D281BD9BD44C9AFC8C05D833D40F"/>
    <w:rsid w:val="00570435"/>
  </w:style>
  <w:style w:type="paragraph" w:customStyle="1" w:styleId="124DD55DD73BBC45AA98F16C3B8724E1">
    <w:name w:val="124DD55DD73BBC45AA98F16C3B8724E1"/>
    <w:rsid w:val="00570435"/>
  </w:style>
  <w:style w:type="paragraph" w:customStyle="1" w:styleId="CAA4B1B22D3E5C4DBFEB438F66814AD3">
    <w:name w:val="CAA4B1B22D3E5C4DBFEB438F66814AD3"/>
    <w:rsid w:val="00570435"/>
  </w:style>
  <w:style w:type="paragraph" w:customStyle="1" w:styleId="F22422A99A3FF542AE56201DC96FE1F1">
    <w:name w:val="F22422A99A3FF542AE56201DC96FE1F1"/>
    <w:rsid w:val="00570435"/>
  </w:style>
  <w:style w:type="paragraph" w:customStyle="1" w:styleId="D966C44027659647940EED78C2CFAF78">
    <w:name w:val="D966C44027659647940EED78C2CFAF78"/>
    <w:rsid w:val="00570435"/>
  </w:style>
  <w:style w:type="paragraph" w:customStyle="1" w:styleId="A96F100732D94942BDA7882364201A33">
    <w:name w:val="A96F100732D94942BDA7882364201A33"/>
    <w:rsid w:val="00570435"/>
  </w:style>
  <w:style w:type="paragraph" w:customStyle="1" w:styleId="0A2E8172916A1D46A0F3ACC8B3584E0E">
    <w:name w:val="0A2E8172916A1D46A0F3ACC8B3584E0E"/>
    <w:rsid w:val="00570435"/>
  </w:style>
  <w:style w:type="paragraph" w:customStyle="1" w:styleId="B7E52A5234284A8A8EDB389EAC57280B">
    <w:name w:val="B7E52A5234284A8A8EDB389EAC57280B"/>
    <w:rsid w:val="001373AE"/>
    <w:pPr>
      <w:spacing w:after="160" w:line="259" w:lineRule="auto"/>
    </w:pPr>
    <w:rPr>
      <w:sz w:val="22"/>
      <w:szCs w:val="22"/>
    </w:rPr>
  </w:style>
  <w:style w:type="paragraph" w:customStyle="1" w:styleId="9F502FFC47FB4797A144C8BCD710DB28">
    <w:name w:val="9F502FFC47FB4797A144C8BCD710DB28"/>
    <w:rsid w:val="001373AE"/>
    <w:pPr>
      <w:spacing w:after="160" w:line="259" w:lineRule="auto"/>
    </w:pPr>
    <w:rPr>
      <w:sz w:val="22"/>
      <w:szCs w:val="22"/>
    </w:rPr>
  </w:style>
  <w:style w:type="paragraph" w:customStyle="1" w:styleId="8194E67F58534D99A6FE46FE525DDBAA">
    <w:name w:val="8194E67F58534D99A6FE46FE525DDBAA"/>
    <w:rsid w:val="001373AE"/>
    <w:pPr>
      <w:spacing w:after="160" w:line="259" w:lineRule="auto"/>
    </w:pPr>
    <w:rPr>
      <w:sz w:val="22"/>
      <w:szCs w:val="22"/>
    </w:rPr>
  </w:style>
  <w:style w:type="paragraph" w:customStyle="1" w:styleId="A855FD10A8D24C1B92FC4F194B8CD8F5">
    <w:name w:val="A855FD10A8D24C1B92FC4F194B8CD8F5"/>
    <w:rsid w:val="001373AE"/>
    <w:pPr>
      <w:spacing w:after="160" w:line="259" w:lineRule="auto"/>
    </w:pPr>
    <w:rPr>
      <w:sz w:val="22"/>
      <w:szCs w:val="22"/>
    </w:rPr>
  </w:style>
  <w:style w:type="paragraph" w:customStyle="1" w:styleId="185FD28FB1A741C0A877EFD2B1998830">
    <w:name w:val="185FD28FB1A741C0A877EFD2B1998830"/>
    <w:rsid w:val="001373AE"/>
    <w:pPr>
      <w:spacing w:after="160" w:line="259" w:lineRule="auto"/>
    </w:pPr>
    <w:rPr>
      <w:sz w:val="22"/>
      <w:szCs w:val="22"/>
    </w:rPr>
  </w:style>
  <w:style w:type="paragraph" w:customStyle="1" w:styleId="F829E3E0327A4F58AF63E66F11E7AD6C">
    <w:name w:val="F829E3E0327A4F58AF63E66F11E7AD6C"/>
    <w:rsid w:val="001373AE"/>
    <w:pPr>
      <w:spacing w:after="160" w:line="259" w:lineRule="auto"/>
    </w:pPr>
    <w:rPr>
      <w:sz w:val="22"/>
      <w:szCs w:val="22"/>
    </w:rPr>
  </w:style>
  <w:style w:type="paragraph" w:customStyle="1" w:styleId="A438B511B32B4201A635987B72D79EA5">
    <w:name w:val="A438B511B32B4201A635987B72D79EA5"/>
    <w:rsid w:val="001373AE"/>
    <w:pPr>
      <w:spacing w:after="160" w:line="259" w:lineRule="auto"/>
    </w:pPr>
    <w:rPr>
      <w:sz w:val="22"/>
      <w:szCs w:val="22"/>
    </w:rPr>
  </w:style>
  <w:style w:type="paragraph" w:customStyle="1" w:styleId="2893C0B04C743E4283E194365604CC2C">
    <w:name w:val="2893C0B04C743E4283E194365604CC2C"/>
    <w:rsid w:val="00595831"/>
  </w:style>
  <w:style w:type="paragraph" w:customStyle="1" w:styleId="16BD8E0E79395B43BD3B33887AF4003C">
    <w:name w:val="16BD8E0E79395B43BD3B33887AF4003C"/>
    <w:rsid w:val="00595831"/>
  </w:style>
  <w:style w:type="paragraph" w:customStyle="1" w:styleId="172BE239E2D82D4F8DF7FD39D0279C33">
    <w:name w:val="172BE239E2D82D4F8DF7FD39D0279C33"/>
    <w:rsid w:val="00595831"/>
  </w:style>
  <w:style w:type="paragraph" w:customStyle="1" w:styleId="CF42AEB3D83FB540A27C33919014ED99">
    <w:name w:val="CF42AEB3D83FB540A27C33919014ED99"/>
    <w:rsid w:val="00595831"/>
  </w:style>
  <w:style w:type="paragraph" w:customStyle="1" w:styleId="C5903DD175A6DF4EAD3B37A7AED204B1">
    <w:name w:val="C5903DD175A6DF4EAD3B37A7AED204B1"/>
    <w:rsid w:val="00595831"/>
  </w:style>
  <w:style w:type="paragraph" w:customStyle="1" w:styleId="AC400427EA271B4DB18EC66A5DBAC7AC">
    <w:name w:val="AC400427EA271B4DB18EC66A5DBAC7AC"/>
    <w:rsid w:val="00595831"/>
  </w:style>
  <w:style w:type="paragraph" w:customStyle="1" w:styleId="9DB5D0ED3D0D5547997F0D177367FEC0">
    <w:name w:val="9DB5D0ED3D0D5547997F0D177367FEC0"/>
    <w:rsid w:val="00595831"/>
  </w:style>
  <w:style w:type="paragraph" w:customStyle="1" w:styleId="A06EB97F246BFC418BA32946025EEA9E">
    <w:name w:val="A06EB97F246BFC418BA32946025EEA9E"/>
    <w:rsid w:val="008B7AB3"/>
  </w:style>
  <w:style w:type="paragraph" w:customStyle="1" w:styleId="21D9F17D21382247BACA6A03C4D6741E">
    <w:name w:val="21D9F17D21382247BACA6A03C4D6741E"/>
    <w:rsid w:val="008B7AB3"/>
  </w:style>
  <w:style w:type="paragraph" w:customStyle="1" w:styleId="9C317167B81D5747947EF60CFC8AA745">
    <w:name w:val="9C317167B81D5747947EF60CFC8AA745"/>
    <w:rsid w:val="008B7AB3"/>
  </w:style>
  <w:style w:type="paragraph" w:customStyle="1" w:styleId="F9FFEF3DDC5067439F2DE21B78766719">
    <w:name w:val="F9FFEF3DDC5067439F2DE21B78766719"/>
    <w:rsid w:val="008B7AB3"/>
  </w:style>
  <w:style w:type="paragraph" w:customStyle="1" w:styleId="43D955C1FF1C1A4E91C5B4B953AAA0FE">
    <w:name w:val="43D955C1FF1C1A4E91C5B4B953AAA0FE"/>
    <w:rsid w:val="008B7AB3"/>
  </w:style>
  <w:style w:type="paragraph" w:customStyle="1" w:styleId="A851240765080441A54949AC4D223B93">
    <w:name w:val="A851240765080441A54949AC4D223B93"/>
    <w:rsid w:val="008B7AB3"/>
  </w:style>
  <w:style w:type="paragraph" w:customStyle="1" w:styleId="1B0C46F15FC2C74782817450DED0A1A9">
    <w:name w:val="1B0C46F15FC2C74782817450DED0A1A9"/>
    <w:rsid w:val="008B7AB3"/>
  </w:style>
  <w:style w:type="paragraph" w:customStyle="1" w:styleId="F28380414962BD4EBCCD0D1393DAD3CC">
    <w:name w:val="F28380414962BD4EBCCD0D1393DAD3CC"/>
    <w:rsid w:val="008B7AB3"/>
  </w:style>
  <w:style w:type="paragraph" w:customStyle="1" w:styleId="4FB794131B02DE4296689E8E9B432F8B">
    <w:name w:val="4FB794131B02DE4296689E8E9B432F8B"/>
    <w:rsid w:val="008B7AB3"/>
  </w:style>
  <w:style w:type="paragraph" w:customStyle="1" w:styleId="C2C0659DACBFC542886306091CABE38A">
    <w:name w:val="C2C0659DACBFC542886306091CABE38A"/>
    <w:rsid w:val="008B7AB3"/>
  </w:style>
  <w:style w:type="paragraph" w:customStyle="1" w:styleId="1EF75DD379F49140814ABA871B35095D">
    <w:name w:val="1EF75DD379F49140814ABA871B35095D"/>
    <w:rsid w:val="008B7AB3"/>
  </w:style>
  <w:style w:type="paragraph" w:customStyle="1" w:styleId="FF037DEFFD767041A05A69D5CC1819E7">
    <w:name w:val="FF037DEFFD767041A05A69D5CC1819E7"/>
    <w:rsid w:val="008B7AB3"/>
  </w:style>
  <w:style w:type="paragraph" w:customStyle="1" w:styleId="CBD3E01BACACFB469155EC8B579B7BAC">
    <w:name w:val="CBD3E01BACACFB469155EC8B579B7BAC"/>
    <w:rsid w:val="008B7AB3"/>
  </w:style>
  <w:style w:type="paragraph" w:customStyle="1" w:styleId="15A5453B803A6F418F7F476C5FFE40A0">
    <w:name w:val="15A5453B803A6F418F7F476C5FFE40A0"/>
    <w:rsid w:val="008B7AB3"/>
  </w:style>
  <w:style w:type="paragraph" w:customStyle="1" w:styleId="A47738F1AD3D574DB6550DEF42B92548">
    <w:name w:val="A47738F1AD3D574DB6550DEF42B92548"/>
    <w:rsid w:val="008B7AB3"/>
  </w:style>
  <w:style w:type="paragraph" w:customStyle="1" w:styleId="9023070CD387D6498E163F7F217434A8">
    <w:name w:val="9023070CD387D6498E163F7F217434A8"/>
    <w:rsid w:val="008B7AB3"/>
  </w:style>
  <w:style w:type="paragraph" w:customStyle="1" w:styleId="1DF2EF26D4404081877A4F1D32180B96">
    <w:name w:val="1DF2EF26D4404081877A4F1D32180B96"/>
    <w:rsid w:val="006428AC"/>
    <w:pPr>
      <w:spacing w:after="160" w:line="259" w:lineRule="auto"/>
    </w:pPr>
    <w:rPr>
      <w:sz w:val="22"/>
      <w:szCs w:val="22"/>
    </w:rPr>
  </w:style>
  <w:style w:type="paragraph" w:customStyle="1" w:styleId="5E3CF54D97A64509BBC1EBD283223224">
    <w:name w:val="5E3CF54D97A64509BBC1EBD283223224"/>
    <w:rsid w:val="006428AC"/>
    <w:pPr>
      <w:spacing w:after="160" w:line="259" w:lineRule="auto"/>
    </w:pPr>
    <w:rPr>
      <w:sz w:val="22"/>
      <w:szCs w:val="22"/>
    </w:rPr>
  </w:style>
  <w:style w:type="paragraph" w:customStyle="1" w:styleId="CAE65AEE9A5949DA91E64D9C3A1183C1">
    <w:name w:val="CAE65AEE9A5949DA91E64D9C3A1183C1"/>
    <w:rsid w:val="006428AC"/>
    <w:pPr>
      <w:spacing w:after="160" w:line="259" w:lineRule="auto"/>
    </w:pPr>
    <w:rPr>
      <w:sz w:val="22"/>
      <w:szCs w:val="22"/>
    </w:rPr>
  </w:style>
  <w:style w:type="paragraph" w:customStyle="1" w:styleId="15E59D60357241028F767E2764375FF7">
    <w:name w:val="15E59D60357241028F767E2764375FF7"/>
    <w:rsid w:val="006428AC"/>
    <w:pPr>
      <w:spacing w:after="160" w:line="259" w:lineRule="auto"/>
    </w:pPr>
    <w:rPr>
      <w:sz w:val="22"/>
      <w:szCs w:val="22"/>
    </w:rPr>
  </w:style>
  <w:style w:type="paragraph" w:customStyle="1" w:styleId="651E05D9149D4E579EDEF346666232AA">
    <w:name w:val="651E05D9149D4E579EDEF346666232AA"/>
    <w:rsid w:val="006428AC"/>
    <w:pPr>
      <w:spacing w:after="160" w:line="259" w:lineRule="auto"/>
    </w:pPr>
    <w:rPr>
      <w:sz w:val="22"/>
      <w:szCs w:val="22"/>
    </w:rPr>
  </w:style>
  <w:style w:type="paragraph" w:customStyle="1" w:styleId="60839992AEFA4049810AC4BEE66ACD6B">
    <w:name w:val="60839992AEFA4049810AC4BEE66ACD6B"/>
    <w:rsid w:val="006428AC"/>
    <w:pPr>
      <w:spacing w:after="160" w:line="259" w:lineRule="auto"/>
    </w:pPr>
    <w:rPr>
      <w:sz w:val="22"/>
      <w:szCs w:val="22"/>
    </w:rPr>
  </w:style>
  <w:style w:type="paragraph" w:customStyle="1" w:styleId="74C27E6325B7444F858DE8FB2154F2C9">
    <w:name w:val="74C27E6325B7444F858DE8FB2154F2C9"/>
    <w:rsid w:val="006428AC"/>
    <w:pPr>
      <w:spacing w:after="160" w:line="259" w:lineRule="auto"/>
    </w:pPr>
    <w:rPr>
      <w:sz w:val="22"/>
      <w:szCs w:val="22"/>
    </w:rPr>
  </w:style>
  <w:style w:type="paragraph" w:customStyle="1" w:styleId="57FCE5FE4B934B6FA713D9688367B977">
    <w:name w:val="57FCE5FE4B934B6FA713D9688367B977"/>
    <w:rsid w:val="00DE724D"/>
    <w:pPr>
      <w:spacing w:after="160" w:line="259" w:lineRule="auto"/>
    </w:pPr>
    <w:rPr>
      <w:sz w:val="22"/>
      <w:szCs w:val="22"/>
    </w:rPr>
  </w:style>
  <w:style w:type="paragraph" w:customStyle="1" w:styleId="88325EAA800347FE98BAFD6A3293B0E4">
    <w:name w:val="88325EAA800347FE98BAFD6A3293B0E4"/>
    <w:rsid w:val="005F45D9"/>
    <w:pPr>
      <w:spacing w:after="160" w:line="259" w:lineRule="auto"/>
    </w:pPr>
    <w:rPr>
      <w:sz w:val="22"/>
      <w:szCs w:val="22"/>
    </w:rPr>
  </w:style>
  <w:style w:type="paragraph" w:customStyle="1" w:styleId="F362EF6F87774DDF9E367014474AF190">
    <w:name w:val="F362EF6F87774DDF9E367014474AF190"/>
    <w:rsid w:val="005F45D9"/>
    <w:pPr>
      <w:spacing w:after="160" w:line="259" w:lineRule="auto"/>
    </w:pPr>
    <w:rPr>
      <w:sz w:val="22"/>
      <w:szCs w:val="22"/>
    </w:rPr>
  </w:style>
  <w:style w:type="paragraph" w:customStyle="1" w:styleId="6C12635F8E2844B8A5CED2522B975C9D">
    <w:name w:val="6C12635F8E2844B8A5CED2522B975C9D"/>
    <w:rsid w:val="005F45D9"/>
    <w:pPr>
      <w:spacing w:after="160" w:line="259" w:lineRule="auto"/>
    </w:pPr>
    <w:rPr>
      <w:sz w:val="22"/>
      <w:szCs w:val="22"/>
    </w:rPr>
  </w:style>
  <w:style w:type="paragraph" w:customStyle="1" w:styleId="78A60C9921FB4893B16C8EB65E71E822">
    <w:name w:val="78A60C9921FB4893B16C8EB65E71E822"/>
    <w:rsid w:val="005F45D9"/>
    <w:pPr>
      <w:spacing w:after="160" w:line="259" w:lineRule="auto"/>
    </w:pPr>
    <w:rPr>
      <w:sz w:val="22"/>
      <w:szCs w:val="22"/>
    </w:rPr>
  </w:style>
  <w:style w:type="paragraph" w:customStyle="1" w:styleId="5BD0CFC433694FECA161616CFCDA7194">
    <w:name w:val="5BD0CFC433694FECA161616CFCDA7194"/>
    <w:rsid w:val="005F45D9"/>
    <w:pPr>
      <w:spacing w:after="160" w:line="259" w:lineRule="auto"/>
    </w:pPr>
    <w:rPr>
      <w:sz w:val="22"/>
      <w:szCs w:val="22"/>
    </w:rPr>
  </w:style>
  <w:style w:type="paragraph" w:customStyle="1" w:styleId="19390F6B69124F83BA59C65746CBD09D">
    <w:name w:val="19390F6B69124F83BA59C65746CBD09D"/>
    <w:rsid w:val="005F45D9"/>
    <w:pPr>
      <w:spacing w:after="160" w:line="259" w:lineRule="auto"/>
    </w:pPr>
    <w:rPr>
      <w:sz w:val="22"/>
      <w:szCs w:val="22"/>
    </w:rPr>
  </w:style>
  <w:style w:type="paragraph" w:customStyle="1" w:styleId="0A66241B39F546F2AC021A67120E7B5A">
    <w:name w:val="0A66241B39F546F2AC021A67120E7B5A"/>
    <w:rsid w:val="005F45D9"/>
    <w:pPr>
      <w:spacing w:after="160" w:line="259" w:lineRule="auto"/>
    </w:pPr>
    <w:rPr>
      <w:sz w:val="22"/>
      <w:szCs w:val="22"/>
    </w:rPr>
  </w:style>
  <w:style w:type="paragraph" w:customStyle="1" w:styleId="DA24D5F743514CDD87A4C26DE5DE8AF7">
    <w:name w:val="DA24D5F743514CDD87A4C26DE5DE8AF7"/>
    <w:rsid w:val="005F45D9"/>
    <w:pPr>
      <w:spacing w:after="160" w:line="259" w:lineRule="auto"/>
    </w:pPr>
    <w:rPr>
      <w:sz w:val="22"/>
      <w:szCs w:val="22"/>
    </w:rPr>
  </w:style>
  <w:style w:type="paragraph" w:customStyle="1" w:styleId="05CCF127058B4A54BEC63B6351B3608B">
    <w:name w:val="05CCF127058B4A54BEC63B6351B3608B"/>
    <w:rsid w:val="00146A1E"/>
    <w:pPr>
      <w:spacing w:after="160" w:line="259" w:lineRule="auto"/>
    </w:pPr>
    <w:rPr>
      <w:sz w:val="22"/>
      <w:szCs w:val="22"/>
    </w:rPr>
  </w:style>
  <w:style w:type="paragraph" w:customStyle="1" w:styleId="148551A05BE44270B9D077A6F8F362F9">
    <w:name w:val="148551A05BE44270B9D077A6F8F362F9"/>
    <w:rsid w:val="00146A1E"/>
    <w:pPr>
      <w:spacing w:after="160" w:line="259" w:lineRule="auto"/>
    </w:pPr>
    <w:rPr>
      <w:sz w:val="22"/>
      <w:szCs w:val="22"/>
    </w:rPr>
  </w:style>
  <w:style w:type="paragraph" w:customStyle="1" w:styleId="5A46E007D90349AEB6A732D06CB8609B">
    <w:name w:val="5A46E007D90349AEB6A732D06CB8609B"/>
    <w:rsid w:val="00146A1E"/>
    <w:pPr>
      <w:spacing w:after="160" w:line="259" w:lineRule="auto"/>
    </w:pPr>
    <w:rPr>
      <w:sz w:val="22"/>
      <w:szCs w:val="22"/>
    </w:rPr>
  </w:style>
  <w:style w:type="paragraph" w:customStyle="1" w:styleId="47B41178402C41F9872F7EED37069D2D">
    <w:name w:val="47B41178402C41F9872F7EED37069D2D"/>
    <w:rsid w:val="00146A1E"/>
    <w:pPr>
      <w:spacing w:after="160" w:line="259" w:lineRule="auto"/>
    </w:pPr>
    <w:rPr>
      <w:sz w:val="22"/>
      <w:szCs w:val="22"/>
    </w:rPr>
  </w:style>
  <w:style w:type="paragraph" w:customStyle="1" w:styleId="820B410D84B2443087C8E8BEAC4BD103">
    <w:name w:val="820B410D84B2443087C8E8BEAC4BD103"/>
    <w:rsid w:val="00146A1E"/>
    <w:pPr>
      <w:spacing w:after="160" w:line="259" w:lineRule="auto"/>
    </w:pPr>
    <w:rPr>
      <w:sz w:val="22"/>
      <w:szCs w:val="22"/>
    </w:rPr>
  </w:style>
  <w:style w:type="paragraph" w:customStyle="1" w:styleId="AE6BDD6037B83B4E986178F6D1D6A8F2">
    <w:name w:val="AE6BDD6037B83B4E986178F6D1D6A8F2"/>
    <w:rsid w:val="00F00060"/>
  </w:style>
  <w:style w:type="paragraph" w:customStyle="1" w:styleId="38312CE1AA66F546A67EEA24811CB9E6">
    <w:name w:val="38312CE1AA66F546A67EEA24811CB9E6"/>
    <w:rsid w:val="00F00060"/>
  </w:style>
  <w:style w:type="paragraph" w:customStyle="1" w:styleId="E7880240E3A7D546A715085875AD966E">
    <w:name w:val="E7880240E3A7D546A715085875AD966E"/>
    <w:rsid w:val="00F00060"/>
  </w:style>
  <w:style w:type="paragraph" w:customStyle="1" w:styleId="F72F8B66FC134741A0270D7DCFC5C4EB">
    <w:name w:val="F72F8B66FC134741A0270D7DCFC5C4EB"/>
    <w:rsid w:val="00F00060"/>
  </w:style>
  <w:style w:type="paragraph" w:customStyle="1" w:styleId="5DB363AAAEC30042A980B7A055EE1B51">
    <w:name w:val="5DB363AAAEC30042A980B7A055EE1B51"/>
    <w:rsid w:val="00117510"/>
  </w:style>
  <w:style w:type="paragraph" w:customStyle="1" w:styleId="54831E4A164F493FB6C41C0F951CE09A">
    <w:name w:val="54831E4A164F493FB6C41C0F951CE09A"/>
    <w:rsid w:val="000F75E8"/>
    <w:pPr>
      <w:spacing w:after="160" w:line="259" w:lineRule="auto"/>
    </w:pPr>
    <w:rPr>
      <w:sz w:val="22"/>
      <w:szCs w:val="22"/>
    </w:rPr>
  </w:style>
  <w:style w:type="paragraph" w:customStyle="1" w:styleId="739808A5B646A94EA7283156382CECA3">
    <w:name w:val="739808A5B646A94EA7283156382CECA3"/>
    <w:rsid w:val="00486B6C"/>
  </w:style>
  <w:style w:type="paragraph" w:customStyle="1" w:styleId="519E58AF39BB4242BA087A548FDFEE2E">
    <w:name w:val="519E58AF39BB4242BA087A548FDFEE2E"/>
    <w:rsid w:val="00A10333"/>
  </w:style>
  <w:style w:type="paragraph" w:customStyle="1" w:styleId="856639CFAF09064CBDD2B93B8D6E3E30">
    <w:name w:val="856639CFAF09064CBDD2B93B8D6E3E30"/>
    <w:rsid w:val="00A10333"/>
  </w:style>
  <w:style w:type="paragraph" w:customStyle="1" w:styleId="2283CF74C5013C458178E11563042F50">
    <w:name w:val="2283CF74C5013C458178E11563042F50"/>
    <w:rsid w:val="00A10333"/>
  </w:style>
  <w:style w:type="paragraph" w:customStyle="1" w:styleId="F39A89DDD44A46C293A5D847FA3DA438">
    <w:name w:val="F39A89DDD44A46C293A5D847FA3DA438"/>
    <w:rsid w:val="00500E34"/>
    <w:pPr>
      <w:spacing w:after="160" w:line="259" w:lineRule="auto"/>
    </w:pPr>
    <w:rPr>
      <w:sz w:val="22"/>
      <w:szCs w:val="22"/>
    </w:rPr>
  </w:style>
  <w:style w:type="paragraph" w:customStyle="1" w:styleId="CFAC1E521A86C740B5B36EA2E804683E">
    <w:name w:val="CFAC1E521A86C740B5B36EA2E804683E"/>
    <w:rsid w:val="00CE15D0"/>
  </w:style>
  <w:style w:type="paragraph" w:customStyle="1" w:styleId="6999EA726789BD4E8B6EF89865D99FC5">
    <w:name w:val="6999EA726789BD4E8B6EF89865D99FC5"/>
    <w:rsid w:val="00CE15D0"/>
  </w:style>
  <w:style w:type="paragraph" w:customStyle="1" w:styleId="35C40FAE2779B146BD08128E3F224DAC">
    <w:name w:val="35C40FAE2779B146BD08128E3F224DAC"/>
    <w:rsid w:val="00CE15D0"/>
  </w:style>
  <w:style w:type="paragraph" w:customStyle="1" w:styleId="E6BB8795B2974A419EB7F38354F77283">
    <w:name w:val="E6BB8795B2974A419EB7F38354F77283"/>
    <w:rsid w:val="00CE15D0"/>
  </w:style>
  <w:style w:type="paragraph" w:customStyle="1" w:styleId="CF69E8F99991684A8B07169CC57FE0ED">
    <w:name w:val="CF69E8F99991684A8B07169CC57FE0ED"/>
    <w:rsid w:val="00CE15D0"/>
  </w:style>
  <w:style w:type="paragraph" w:customStyle="1" w:styleId="A714FCBEE5D8B441AD5C4725DC75C1BC">
    <w:name w:val="A714FCBEE5D8B441AD5C4725DC75C1BC"/>
    <w:rsid w:val="00CE15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RNL 2">
      <a:dk1>
        <a:srgbClr val="000000"/>
      </a:dk1>
      <a:lt1>
        <a:srgbClr val="FFFFFF"/>
      </a:lt1>
      <a:dk2>
        <a:srgbClr val="78AAA6"/>
      </a:dk2>
      <a:lt2>
        <a:srgbClr val="EEECE1"/>
      </a:lt2>
      <a:accent1>
        <a:srgbClr val="2099D7"/>
      </a:accent1>
      <a:accent2>
        <a:srgbClr val="17844E"/>
      </a:accent2>
      <a:accent3>
        <a:srgbClr val="A23F3E"/>
      </a:accent3>
      <a:accent4>
        <a:srgbClr val="70BF50"/>
      </a:accent4>
      <a:accent5>
        <a:srgbClr val="F47F44"/>
      </a:accent5>
      <a:accent6>
        <a:srgbClr val="00ADA2"/>
      </a:accent6>
      <a:hlink>
        <a:srgbClr val="116093"/>
      </a:hlink>
      <a:folHlink>
        <a:srgbClr val="42282C"/>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977A0EA-2838-40AD-924D-711747206F91}">
  <we:reference id="wa104382081" version="1.46.0.0" store="en-US" storeType="OMEX"/>
  <we:alternateReferences>
    <we:reference id="WA104382081" version="1.46.0.0" store="" storeType="OMEX"/>
  </we:alternateReferences>
  <we:properties>
    <we:property name="MENDELEY_CITATIONS" value="[{&quot;citationID&quot;:&quot;MENDELEY_CITATION_eecfae88-2c55-46f0-96a0-30f8329bdc82&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&quot;,&quot;citationItems&quot;:[{&quot;id&quot;:&quot;43ef2f22-ab9e-3593-9d0e-2be40c8e0707&quot;,&quot;itemData&quot;:{&quot;type&quot;:&quot;article-journal&quot;,&quot;id&quot;:&quot;43ef2f22-ab9e-3593-9d0e-2be40c8e0707&quot;,&quot;title&quot;:&quot;Scaling laws predict global microbial diversity&quot;,&quot;author&quot;:[{&quot;family&quot;:&quot;Locey&quot;,&quot;given&quot;:&quot;Kenneth J.&quot;,&quot;parse-names&quot;:false,&quot;dropping-particle&quot;:&quot;&quot;,&quot;non-dropping-particle&quot;:&quot;&quot;},{&quot;family&quot;:&quot;Lennon&quot;,&quot;given&quot;:&quot;Jay T.&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1521291113&quot;,&quot;ISSN&quot;:&quot;10916490&quot;,&quot;PMID&quot;:&quot;27140646&quot;,&quot;issued&quot;:{&quot;date-parts&quot;:[[2016]]},&quot;page&quot;:&quot;5970-5975&quot;,&quot;abstract&quot;:&quot;Scaling laws underpin unifying theories of biodiversity and are among the most predictively powerful relationships in biology. However, scaling laws developed for plants and animals often go untested or fail to hold for microorganisms. As a result, it is unclear whether scaling laws of biodiversity will span evolutionarily distant domains of life that encompass all modes of metabolism and scales of abundance. Using a global-scale compilation of ∼35,000 sites and ∼5.6•106 species, including the largest ever inventory of high-throughput molecular data and one of the largest compilations of plant and animal community data, we show similar rates of scaling in commonness and rarity across microorganisms and macroscopic plants and animals. We document a universal dominance scaling law that holds across 30 orders of magnitude, an unprecedented expanse that predicts the abundance of dominant ocean bacteria. In combining this scaling law with the lognormal model of biodiversity, we predict that Earth is home to upward of 1 trillion (1012 ) microbial species. Microbial biodiversity seems greater than ever anticipated yet predictable from the smallest to the largest microbiome.&quot;,&quot;issue&quot;:&quot;21&quot;,&quot;volume&quot;:&quot;113&quot;},&quot;isTemporary&quot;:false}]},{&quot;citationID&quot;:&quot;MENDELEY_CITATION_ca11139a-e8ee-45c6-b588-4269875ea6ff&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&quot;,&quot;citationItems&quot;:[{&quot;id&quot;:&quot;e4a25797-ac7c-311d-ba3b-bbe11706df8b&quot;,&quot;itemData&quot;:{&quot;type&quot;:&quot;article-journal&quot;,&quot;id&quot;:&quot;e4a25797-ac7c-311d-ba3b-bbe11706df8b&quot;,&quot;title&quot;:&quot;Environmental fluctuations and their effects on microbial communities, populations and individuals&quot;,&quot;author&quot;:[{&quot;family&quot;:&quot;Nguyen&quot;,&quot;given&quot;:&quot;Jen&quot;,&quot;parse-names&quot;:false,&quot;dropping-particle&quot;:&quot;&quot;,&quot;non-dropping-particle&quot;:&quot;&quot;},{&quot;family&quot;:&quot;Lara-Gutiérrez&quot;,&quot;given&quot;:&quot;Juanita&quot;,&quot;parse-names&quot;:false,&quot;dropping-particle&quot;:&quot;&quot;,&quot;non-dropping-particle&quot;:&quot;&quot;},{&quot;family&quot;:&quot;Stocker&quot;,&quot;given&quot;:&quot;Roman&quot;,&quot;parse-names&quot;:false,&quot;dropping-particle&quot;:&quot;&quot;,&quot;non-dropping-particle&quot;:&quot;&quot;}],&quot;container-title&quot;:&quot;FEMS Microbiology Reviews&quot;,&quot;DOI&quot;:&quot;10.1093/femsre/fuaa068&quot;,&quot;ISBN&quot;:&quot;0000000345&quot;,&quot;ISSN&quot;:&quot;15746976&quot;,&quot;PMID&quot;:&quot;33338228&quot;,&quot;issued&quot;:{&quot;date-parts&quot;:[[2021]]},&quot;page&quot;:&quot;1-16&quot;,&quot;abstract&quot;:&quot;From the homeostasis of human health to the cycling of Earth's elements, microbial activities underlie environmental, medical and industrial processes. These activities occur in chemical and physical landscapes that are highly dynamic and experienced by bacteria as fluctuations. In this review, we first discuss how bacteria can experience both spatial and temporal heterogeneity in their environments as temporal fluctuations of various timescales (seconds to seasons) and types (nutrient, sunlight, fluid flow, etc.). We then focus primarily on nutrient fluctuations to discuss how bacterial communities, populations and single cells respond to environmental fluctuations. Overall, we find that environmental fluctuations are ubiquitous and diverse, and strongly shape microbial behavior, ecology and evolution when compared with environments in which conditions remain constant over time. We hope this review may serve as a guide toward understanding the significance of environmental fluctuations in microbial life, such that their contributions and implications can be better assessed and exploited.&quot;,&quot;issue&quot;:&quot;4&quot;,&quot;volume&quot;:&quot;45&quot;,&quot;container-title-short&quot;:&quot;&quot;},&quot;isTemporary&quot;:false}]},{&quot;citationID&quot;:&quot;MENDELEY_CITATION_12ceee64-f2db-441a-99d4-17c6fc2d587e&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&quot;,&quot;citationItems&quot;:[{&quot;id&quot;:&quot;0bdc24ac-797d-3a75-9a45-b2ba4699efb4&quot;,&quot;itemData&quot;:{&quot;type&quot;:&quot;article-journal&quot;,&quot;id&quot;:&quot;0bdc24ac-797d-3a75-9a45-b2ba4699efb4&quot;,&quot;title&quot;:&quot;The role of ecological theory&quot;,&quot;author&quot;:[{&quot;family&quot;:&quot;Prosser&quot;,&quot;given&quot;:&quot;James I.&quot;,&quot;parse-names&quot;:false,&quot;dropping-particle&quot;:&quot;&quot;,&quot;non-dropping-particle&quot;:&quot;&quot;},{&quot;family&quot;:&quot;Bohannan&quot;,&quot;given&quot;:&quot;Brendan J. M.&quot;,&quot;parse-names&quot;:false,&quot;dropping-particle&quot;:&quot;&quot;,&quot;non-dropping-particle&quot;:&quot;&quot;},{&quot;family&quot;:&quot;Curtis&quot;,&quot;given&quot;:&quot;Tom P.&quot;,&quot;parse-names&quot;:false,&quot;dropping-particle&quot;:&quot;&quot;,&quot;non-dropping-particle&quot;:&quot;&quot;},{&quot;family&quot;:&quot;Ellis&quot;,&quot;given&quot;:&quot;Richard J.&quot;,&quot;parse-names&quot;:false,&quot;dropping-particle&quot;:&quot;&quot;,&quot;non-dropping-particle&quot;:&quot;&quot;},{&quot;family&quot;:&quot;Firestone&quot;,&quot;given&quot;:&quot;Mary K.&quot;,&quot;parse-names&quot;:false,&quot;dropping-particle&quot;:&quot;&quot;,&quot;non-dropping-particle&quot;:&quot;&quot;},{&quot;family&quot;:&quot;Freckleton&quot;,&quot;given&quot;:&quot;Rob P.&quot;,&quot;parse-names&quot;:false,&quot;dropping-particle&quot;:&quot;&quot;,&quot;non-dropping-particle&quot;:&quot;&quot;},{&quot;family&quot;:&quot;Green&quot;,&quot;given&quot;:&quot;Jessica L.&quot;,&quot;parse-names&quot;:false,&quot;dropping-particle&quot;:&quot;&quot;,&quot;non-dropping-particle&quot;:&quot;&quot;},{&quot;family&quot;:&quot;Green&quot;,&quot;given&quot;:&quot;Laura E.&quot;,&quot;parse-names&quot;:false,&quot;dropping-particle&quot;:&quot;&quot;,&quot;non-dropping-particle&quot;:&quot;&quot;},{&quot;family&quot;:&quot;Killham&quot;,&quot;given&quot;:&quot;Ken&quot;,&quot;parse-names&quot;:false,&quot;dropping-particle&quot;:&quot;&quot;,&quot;non-dropping-particle&quot;:&quot;&quot;},{&quot;family&quot;:&quot;Lennon&quot;,&quot;given&quot;:&quot;Jack J.&quot;,&quot;parse-names&quot;:false,&quot;dropping-particle&quot;:&quot;&quot;,&quot;non-dropping-particle&quot;:&quot;&quot;},{&quot;family&quot;:&quot;Osborn&quot;,&quot;given&quot;:&quot;A. Mark&quot;,&quot;parse-names&quot;:false,&quot;dropping-particle&quot;:&quot;&quot;,&quot;non-dropping-particle&quot;:&quot;&quot;},{&quot;family&quot;:&quot;Solan&quot;,&quot;given&quot;:&quot;Martin&quot;,&quot;parse-names&quot;:false,&quot;dropping-particle&quot;:&quot;&quot;,&quot;non-dropping-particle&quot;:&quot;&quot;},{&quot;family&quot;:&quot;Gast&quot;,&quot;given&quot;:&quot;Christopher J.&quot;,&quot;parse-names&quot;:false,&quot;dropping-particle&quot;:&quot;van der&quot;,&quot;non-dropping-particle&quot;:&quot;&quot;},{&quot;family&quot;:&quot;Young&quot;,&quot;given&quot;:&quot;J. Peter W.&quot;,&quot;parse-names&quot;:false,&quot;dropping-particle&quot;:&quot;&quot;,&quot;non-dropping-particle&quot;:&quot;&quot;}],&quot;container-title&quot;:&quot;Nature Reviews Microbiology&quot;,&quot;issued&quot;:{&quot;date-parts&quot;:[[2007]]},&quot;page&quot;:&quot;384-392&quot;,&quot;abstract&quot;:&quot;Microbial ecology is currently undergoing a revolution, with repercussions spreading throughout microbiology, ecology and ecosystem science. The rapid accumulation of molecular data is uncovering vast diversity, abundant uncultivated microbial groups and novel microbial functions. This accumulation of data requires the application of theory to provide organization, structure, mechanistic insight and, ultimately, predictive power that is of practical value, but the application of theory in microbial ecology is currently very limited. Here we argue that the full potential of the ongoing revolution will not be realized if research is not directed and driven by theory, and that the generality of established ecological theory must be tested using microbial systems. Bacteria&quot;,&quot;issue&quot;:&quot;May&quot;,&quot;volume&quot;:&quot;5&quot;,&quot;container-title-short&quot;:&quot;&quot;},&quot;isTemporary&quot;:false}]},{&quot;citationID&quot;:&quot;MENDELEY_CITATION_78e3b16a-768c-4dde-b464-0d37d8290d1e&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&quot;,&quot;citationItems&quot;:[{&quot;id&quot;:&quot;0ed9bf17-5120-3007-816d-3678f5d2accf&quot;,&quot;itemData&quot;:{&quot;type&quot;:&quot;article-journal&quot;,&quot;id&quot;:&quot;0ed9bf17-5120-3007-816d-3678f5d2accf&quot;,&quot;title&quot;:&quot;Resistance, resilience, and redundancy in microbial communities&quot;,&quot;author&quot;:[{&quot;family&quot;:&quot;Allison&quot;,&quot;given&quot;:&quot;Steven D.&quot;,&quot;parse-names&quot;:false,&quot;dropping-particle&quot;:&quot;&quot;,&quot;non-dropping-particle&quot;:&quot;&quot;},{&quot;family&quot;:&quot;Martiny&quot;,&quot;given&quot;:&quot;Jennifer B.H.&quot;,&quot;parse-names&quot;:false,&quot;dropping-particle&quot;:&quot;&quot;,&quot;non-dropping-particle&quot;:&quot;&quot;}],&quot;container-title&quot;:&quot;In the Light of Evolution&quot;,&quot;DOI&quot;:&quot;10.17226/12501&quot;,&quot;ISBN&quot;:&quot;0309127432&quot;,&quot;issued&quot;:{&quot;date-parts&quot;:[[2009]]},&quot;page&quot;:&quot;149-166&quot;,&quot;abstract&quot;:&quot;Although it is generally accepted that plant community composition is key for predicting rates of ecosystem processes in the face of global change, microbial community composition is often ignored in ecosystem modeling. To address this issue, we review recent experiments and assess whether microbial community composition is resistant, resilient, or functionally redundant in response to four different disturbances. We find that the composition of most microbial groups is sensitive and not immediately resilient to disturbance, regardless of taxonomic breadth of the group or the type of disturbance. Other studies demonstrate that changes in composition are often associated with changes in ecosystem process rates. Thus, changes in microbial communities due to disturbance may directly affect ecosystem processes. Based on these relationships, we propose a simple framework to incorporate microbial community composition into ecosystem process models. We conclude that this effort would benefit from more empirical data on the links among microbial phylogeny, physiological traits, and disturbance responses. These relationships will determine how readily microbial community composition can be used to predict the responses of ecosystem processes to global change.&quot;,&quot;volume&quot;:&quot;2&quot;,&quot;container-title-short&quot;:&quot;&quot;},&quot;isTemporary&quot;:false}]},{&quot;citationID&quot;:&quot;MENDELEY_CITATION_3f3f8018-c9f5-4010-912a-0226eaacb642&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&quot;,&quot;citationItems&quot;:[{&quot;id&quot;:&quot;f6bf0ee7-36a5-3c97-9582-c1eed20a989d&quot;,&quot;itemData&quot;:{&quot;type&quot;:&quot;article-journal&quot;,&quot;id&quot;:&quot;f6bf0ee7-36a5-3c97-9582-c1eed20a989d&quot;,&quot;title&quot;:&quot;Phylogenetically Novel Uncultured Microbial Cells Dominate Earth Microbiomes&quot;,&quot;author&quot;:[{&quot;family&quot;:&quot;Lloyd&quot;,&quot;given&quot;:&quot;Karen G.&quot;,&quot;parse-names&quot;:false,&quot;dropping-particle&quot;:&quot;&quot;,&quot;non-dropping-particle&quot;:&quot;&quot;},{&quot;family&quot;:&quot;Steen&quot;,&quot;given&quot;:&quot;Andrew D.&quot;,&quot;parse-names&quot;:false,&quot;dropping-particle&quot;:&quot;&quot;,&quot;non-dropping-particle&quot;:&quot;&quot;},{&quot;family&quot;:&quot;Ladau&quot;,&quot;given&quot;:&quot;Joshua&quot;,&quot;parse-names&quot;:false,&quot;dropping-particle&quot;:&quot;&quot;,&quot;non-dropping-particle&quot;:&quot;&quot;},{&quot;family&quot;:&quot;Yin&quot;,&quot;given&quot;:&quot;Junqi&quot;,&quot;parse-names&quot;:false,&quot;dropping-particle&quot;:&quot;&quot;,&quot;non-dropping-particle&quot;:&quot;&quot;},{&quot;family&quot;:&quot;Crosby&quot;,&quot;given&quot;:&quot;Lonnie&quot;,&quot;parse-names&quot;:false,&quot;dropping-particle&quot;:&quot;&quot;,&quot;non-dropping-particle&quot;:&quot;&quot;}],&quot;container-title&quot;:&quot;mSystems&quot;,&quot;DOI&quot;:&quot;10.1128/msystems.00055-18&quot;,&quot;ISSN&quot;:&quot;23795077&quot;,&quot;issued&quot;:{&quot;date-parts&quot;:[[2018]]},&quot;abstract&quot;:&quot;In the past few decades, it has become apparent that most of the microbial diversity on Earth has never been characterized in laboratory cultures. We show that these unknown microbes, sometimes called “microbial dark matter,” are numerically dominant in all major environments on Earth, with the exception of the human body, where most of the microbes have been cultured. We also estimate that about one-quarter of the population of microbial cells on Earth belong to phyla with no cultured relatives, suggesting that these never-before-studied organisms may be important for ecosystem functions. To describe a microbe’s physiology, including its metabolism, environmental roles, and growth characteristics, it must be grown in a laboratory culture. Unfortunately, many phylogenetically novel groups have never been cultured, so their physiologies have only been inferred from genomics and environmental characteristics. Although the diversity, or number of different taxonomic groups, of uncultured clades has been studied well, their global abundances, or numbers of cells in any given environment, have not been assessed. We quantified the degree of similarity of 16S rRNA gene sequences from diverse environments in publicly available metagenome and metatranscriptome databases, which we show have far less of the culture bias present in primer-amplified 16S rRNA gene surveys, to those of their nearest cultured relatives. Whether normalized to scaffold read depths or not, the highest abundances of metagenomic 16S rRNA gene sequences belong to phylogenetically novel uncultured groups in seawater, freshwater, terrestrial subsurface, soil, hypersaline environments, marine sediment, hot springs, hydrothermal vents, nonhuman hosts, snow, and bioreactors (22% to 87% uncultured genera to classes and 0% to 64% uncultured phyla). The exceptions were human and human-associated environments, which were dominated by cultured genera (45% to 97%). We estimate that uncultured genera and phyla could comprise 7.3 × 10 29 (81%) and 2.2 × 10 29 (25%) of microbial cells, respectively. Uncultured phyla were overrepresented in metatranscriptomes relative to metagenomes (46% to 84% of sequences in a given environment), suggesting that they are viable. Therefore, uncultured microbes, often from deeply phylogenetically divergent groups, dominate nonhuman environments on Earth, and their undiscovered physiologies may matter for Earth systems.  IMPORTANCE In the past few decades, it has become apparent that most of the microbial diversity on Earth has never been characterized in laboratory cultures. We show that these unknown microbes, sometimes called “microbial dark matter,” are numerically dominant in all major environments on Earth, with the exception of the human body, where most of the microbes have been cultured. We also estimate that about one-quarter of the population of microbial cells on Earth belong to phyla with no cultured relatives, suggesting that these never-before-studied organisms may be important for ecosystem functions.  Author Video : An author video summary of this article is available. &quot;,&quot;issue&quot;:&quot;5&quot;,&quot;volume&quot;:&quot;3&quot;,&quot;container-title-short&quot;:&quot;mSystems&quot;},&quot;isTemporary&quot;:false}]},{&quot;citationID&quot;:&quot;MENDELEY_CITATION_24a9f669-a5e7-4d14-9f77-f5030d9a5664&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&quot;,&quot;citationItems&quot;:[{&quot;id&quot;:&quot;d6fdc4b8-bea9-3306-a102-8484d41fab7b&quot;,&quot;itemData&quot;:{&quot;type&quot;:&quot;article-journal&quot;,&quot;id&quot;:&quot;d6fdc4b8-bea9-3306-a102-8484d41fab7b&quot;,&quot;title&quot;:&quot;Opportunities and challenges of using metagenomic data to bring uncultured microbes into cultivation&quot;,&quot;author&quot;:[{&quot;family&quot;:&quot;Liu&quot;,&quot;given&quot;:&quot;Sijia&quot;,&quot;parse-names&quot;:false,&quot;dropping-particle&quot;:&quot;&quot;,&quot;non-dropping-particle&quot;:&quot;&quot;},{&quot;family&quot;:&quot;Moon&quot;,&quot;given&quot;:&quot;Christina D.&quot;,&quot;parse-names&quot;:false,&quot;dropping-particle&quot;:&quot;&quot;,&quot;non-dropping-particle&quot;:&quot;&quot;},{&quot;family&quot;:&quot;Zheng&quot;,&quot;given&quot;:&quot;Nan&quot;,&quot;parse-names&quot;:false,&quot;dropping-particle&quot;:&quot;&quot;,&quot;non-dropping-particle&quot;:&quot;&quot;},{&quot;family&quot;:&quot;Huws&quot;,&quot;given&quot;:&quot;Sharon&quot;,&quot;parse-names&quot;:false,&quot;dropping-particle&quot;:&quot;&quot;,&quot;non-dropping-particle&quot;:&quot;&quot;},{&quot;family&quot;:&quot;Zhao&quot;,&quot;given&quot;:&quot;Shengguo&quot;,&quot;parse-names&quot;:false,&quot;dropping-particle&quot;:&quot;&quot;,&quot;non-dropping-particle&quot;:&quot;&quot;},{&quot;family&quot;:&quot;Wang&quot;,&quot;given&quot;:&quot;Jiaqi&quot;,&quot;parse-names&quot;:false,&quot;dropping-particle&quot;:&quot;&quot;,&quot;non-dropping-particle&quot;:&quot;&quot;}],&quot;container-title&quot;:&quot;Microbiome&quot;,&quot;container-title-short&quot;:&quot;Microbiome&quot;,&quot;DOI&quot;:&quot;10.1186/s40168-022-01272-5&quot;,&quot;ISSN&quot;:&quot;2049-2618&quot;,&quot;URL&quot;:&quot;https://doi.org/10.1186/s40168-022-01272-5&quot;,&quot;issued&quot;:{&quot;date-parts&quot;:[[2022]]},&quot;page&quot;:&quot;1-14&quot;,&quot;abstract&quot;:&quot;Although there is now an extensive understanding of the diversity of microbial life on earth through culture-independent metagenomic DNA sequence analyses, the isolation and cultivation of microbes remains critical to directly study them and confirm their metabolic and physiological functions, and their ecological roles. The majority of environmental microbes are as yet uncultured however; therefore, bringing these rare or poorly characterized groups into culture is a priority to further understand microbiome functions. Moreover, cultivated isolates may find utility in a range of applications, such as new probiotics, biocontrol agents, and agents for industrial processes. The growing abundance of metagenomic and meta-transcriptomic sequence information from a wide range of environments provides more opportunities to guide the isolation and cultivation of microbes of interest. In this paper, we discuss a range of successful methodologies and applications that have underpinned recent metagenome-guided isolation and cultivation of microbe efforts. These approaches include determining specific culture conditions to enrich for taxa of interest, to more complex strategies that specifically target the capture of microbial species through antibody engineering and genome editing strategies. With the greater degree of genomic information now available from uncultivated members, such as via metagenome-assembled genomes, the theoretical understanding of their cultivation requirements will enable greater possibilities to capture these and ultimately gain a more comprehensive understanding of the microbiomes.&quot;,&quot;publisher&quot;:&quot;BioMed Central&quot;,&quot;issue&quot;:&quot;1&quot;,&quot;volume&quot;:&quot;10&quot;},&quot;isTemporary&quot;:false}]},{&quot;citationID&quot;:&quot;MENDELEY_CITATION_a5f66cec-8464-4410-bbcd-2f0fd8700016&quot;,&quot;properties&quot;:{&quot;noteIndex&quot;:0},&quot;isEdited&quot;:false,&quot;manualOverride&quot;:{&quot;isManuallyOverridden&quot;:false,&quot;citeprocText&quot;:&quot;&lt;sup&gt;7,8&lt;/sup&gt;&quot;,&quot;manualOverrideText&quot;:&quot;&quot;},&quot;citationTag&quot;:&quot;MENDELEY_CITATION_v3_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&quot;,&quot;citationItems&quot;:[{&quot;id&quot;:&quot;0051021b-6812-3394-bd5c-7716bf32ed7f&quot;,&quot;itemData&quot;:{&quot;type&quot;:&quot;article-journal&quot;,&quot;id&quot;:&quot;0051021b-6812-3394-bd5c-7716bf32ed7f&quot;,&quot;title&quot;:&quot;Function and functional redundancy in microbial systems&quot;,&quot;author&quot;:[{&quot;family&quot;:&quot;Louca&quot;,&quot;given&quot;:&quot;Stilianos&quot;,&quot;parse-names&quot;:false,&quot;dropping-particle&quot;:&quot;&quot;,&quot;non-dropping-particle&quot;:&quot;&quot;},{&quot;family&quot;:&quot;Polz&quot;,&quot;given&quot;:&quot;Martin F.&quot;,&quot;parse-names&quot;:false,&quot;dropping-particle&quot;:&quot;&quot;,&quot;non-dropping-particle&quot;:&quot;&quot;},{&quot;family&quot;:&quot;Mazel&quot;,&quot;given&quot;:&quot;Florent&quot;,&quot;parse-names&quot;:false,&quot;dropping-particle&quot;:&quot;&quot;,&quot;non-dropping-particle&quot;:&quot;&quot;},{&quot;family&quot;:&quot;Albright&quot;,&quot;given&quot;:&quot;Michaeline B.N.&quot;,&quot;parse-names&quot;:false,&quot;dropping-particle&quot;:&quot;&quot;,&quot;non-dropping-particle&quot;:&quot;&quot;},{&quot;family&quot;:&quot;Huber&quot;,&quot;given&quot;:&quot;Julie A.&quot;,&quot;parse-names&quot;:false,&quot;dropping-particle&quot;:&quot;&quot;,&quot;non-dropping-particle&quot;:&quot;&quot;},{&quot;family&quot;:&quot;O'Connor&quot;,&quot;given&quot;:&quot;Mary I.&quot;,&quot;parse-names&quot;:false,&quot;dropping-particle&quot;:&quot;&quot;,&quot;non-dropping-particle&quot;:&quot;&quot;},{&quot;family&quot;:&quot;Ackermann&quot;,&quot;given&quot;:&quot;Martin&quot;,&quot;parse-names&quot;:false,&quot;dropping-particle&quot;:&quot;&quot;,&quot;non-dropping-particle&quot;:&quot;&quot;},{&quot;family&quot;:&quot;Hahn&quot;,&quot;given&quot;:&quot;Aria S.&quot;,&quot;parse-names&quot;:false,&quot;dropping-particle&quot;:&quot;&quot;,&quot;non-dropping-particle&quot;:&quot;&quot;},{&quot;family&quot;:&quot;Srivastava&quot;,&quot;given&quot;:&quot;Diane S.&quot;,&quot;parse-names&quot;:false,&quot;dropping-particle&quot;:&quot;&quot;,&quot;non-dropping-particle&quot;:&quot;&quot;},{&quot;family&quot;:&quot;Crowe&quot;,&quot;given&quot;:&quot;Sean A.&quot;,&quot;parse-names&quot;:false,&quot;dropping-particle&quot;:&quot;&quot;,&quot;non-dropping-particle&quot;:&quot;&quot;},{&quot;family&quot;:&quot;Doebeli&quot;,&quot;given&quot;:&quot;Michael&quot;,&quot;parse-names&quot;:false,&quot;dropping-particle&quot;:&quot;&quot;,&quot;non-dropping-particle&quot;:&quot;&quot;},{&quot;family&quot;:&quot;Parfrey&quot;,&quot;given&quot;:&quot;Laura Wegener&quot;,&quot;parse-names&quot;:false,&quot;dropping-particle&quot;:&quot;&quot;,&quot;non-dropping-particle&quot;:&quot;&quot;}],&quot;container-title&quot;:&quot;Nature Ecology and Evolution&quot;,&quot;DOI&quot;:&quot;10.1038/s41559-018-0519-1&quot;,&quot;ISSN&quot;:&quot;2397334X&quot;,&quot;PMID&quot;:&quot;29662222&quot;,&quot;URL&quot;:&quot;http://dx.doi.org/10.1038/s41559-018-0519-1&quot;,&quot;issued&quot;:{&quot;date-parts&quot;:[[2018]]},&quot;page&quot;:&quot;936-943&quot;,&quot;abstract&quot;:&quot;Microbial communities often exhibit incredible taxonomic diversity, raising questions regarding the mechanisms enabling species coexistence and the role of this diversity in community functioning. On the one hand, many coexisting but taxonomically distinct microorganisms can encode the same energy-yielding metabolic functions, and this functional redundancy contrasts with the expectation that species should occupy distinct metabolic niches. On the other hand, the identity of taxa encoding each function can vary substantially across space or time with little effect on the function, and this taxonomic variability is frequently thought to result from ecological drift between equivalent organisms. Here, we synthesize the powerful paradigm emerging from these two patterns, connecting the roles of function, functional redundancy and taxonomy in microbial systems. We conclude that both patterns are unlikely to be the result of ecological drift, but are inevitable emergent properties of open microbial systems resulting mainly from biotic interactions and environmental and spatial processes.&quot;,&quot;publisher&quot;:&quot;Springer US&quot;,&quot;issue&quot;:&quot;6&quot;,&quot;volume&quot;:&quot;2&quot;,&quot;container-title-short&quot;:&quot;&quot;},&quot;isTemporary&quot;:false},{&quot;id&quot;:&quot;5ceb51d9-ef17-3747-b862-2eedf3544ef1&quot;,&quot;itemData&quot;:{&quot;type&quot;:&quot;article-journal&quot;,&quot;id&quot;:&quot;5ceb51d9-ef17-3747-b862-2eedf3544ef1&quot;,&quot;title&quot;:&quot;The vocabulary of microbiome research: a proposal&quot;,&quot;author&quot;:[{&quot;family&quot;:&quot;Marchesi&quot;,&quot;given&quot;:&quot;Julian R.&quot;,&quot;parse-names&quot;:false,&quot;dropping-particle&quot;:&quot;&quot;,&quot;non-dropping-particle&quot;:&quot;&quot;},{&quot;family&quot;:&quot;Ravel&quot;,&quot;given&quot;:&quot;Jacques&quot;,&quot;parse-names&quot;:false,&quot;dropping-particle&quot;:&quot;&quot;,&quot;non-dropping-particle&quot;:&quot;&quot;}],&quot;container-title&quot;:&quot;Microbiome&quot;,&quot;container-title-short&quot;:&quot;Microbiome&quot;,&quot;DOI&quot;:&quot;10.1186/s40168-015-0094-5&quot;,&quot;ISSN&quot;:&quot;2049-2618&quot;,&quot;URL&quot;:&quot;http://dx.doi.org/10.1186/s40168-015-0094-5&quot;,&quot;issued&quot;:{&quot;date-parts&quot;:[[2015]]},&quot;page&quot;:&quot;1-3&quot;,&quot;abstract&quot;:&quot;The advancement of DNA/RNA, proteins, and metabolite analytical platforms, combined with increased computing technologies, has transformed the field of microbial community analysis. This transformation is evident by the exponential increase in the number of publications describing the composition and structure, and sometimes function, of the microbial communities inhabiting the human body. This rapid evolution of the field has been accompanied by confusion in the vocabulary used to describe different aspects of these communities and their environments. The misuse of terms such as microbiome, microbiota, metabolomic, and metagenome and metagenomics among others has contributed to misunderstanding of many study results by the scientific community and the general public alike. A few review articles have previously defined those terms, but mainly as sidebars, and no clear definitions or use cases have been published. In this editorial, we aim to propose clear definitions of each of these terms, which we would implore scientists in the field to adopt and perfect.&quot;,&quot;publisher&quot;:&quot;Microbiome&quot;,&quot;issue&quot;:&quot;1&quot;,&quot;volume&quot;:&quot;3&quot;},&quot;isTemporary&quot;:false}]},{&quot;citationID&quot;:&quot;MENDELEY_CITATION_ce913ae3-774f-4a88-b65b-ecb3539b8010&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&quot;,&quot;citationItems&quot;:[{&quot;id&quot;:&quot;bb672a78-0a9c-3f96-a7b3-31219dd65d72&quot;,&quot;itemData&quot;:{&quot;type&quot;:&quot;article-journal&quot;,&quot;id&quot;:&quot;bb672a78-0a9c-3f96-a7b3-31219dd65d72&quot;,&quot;title&quot;:&quot;Correction to: Microbiome definition re-visited: old concepts and new challenges&quot;,&quot;author&quot;:[{&quot;family&quot;:&quot;Berg&quot;,&quot;given&quot;:&quot;Gabriele&quot;,&quot;parse-names&quot;:false,&quot;dropping-particle&quot;:&quot;&quot;,&quot;non-dropping-particle&quot;:&quot;&quot;},{&quot;family&quot;:&quot;Rybakova&quot;,&quot;given&quot;:&quot;Daria&quot;,&quot;parse-names&quot;:false,&quot;dropping-particle&quot;:&quot;&quot;,&quot;non-dropping-particle&quot;:&quot;&quot;},{&quot;family&quot;:&quot;Fischer&quot;,&quot;given&quot;:&quot;Doreen&quot;,&quot;parse-names&quot;:false,&quot;dropping-particle&quot;:&quot;&quot;,&quot;non-dropping-particle&quot;:&quot;&quot;},{&quot;family&quot;:&quot;Cernava&quot;,&quot;given&quot;:&quot;Tomislav&quot;,&quot;parse-names&quot;:false,&quot;dropping-particle&quot;:&quot;&quot;,&quot;non-dropping-particle&quot;:&quot;&quot;},{&quot;family&quot;:&quot;Vergès&quot;,&quot;given&quot;:&quot;Marie-Christine Champomier&quot;,&quot;parse-names&quot;:false,&quot;dropping-particle&quot;:&quot;&quot;,&quot;non-dropping-particle&quot;:&quot;&quot;},{&quot;family&quot;:&quot;Charles&quot;,&quot;given&quot;:&quot;Trevor&quot;,&quot;parse-names&quot;:false,&quot;dropping-particle&quot;:&quot;&quot;,&quot;non-dropping-particle&quot;:&quot;&quot;},{&quot;family&quot;:&quot;Chen&quot;,&quot;given&quot;:&quot;Xiaoyulong&quot;,&quot;parse-names&quot;:false,&quot;dropping-particle&quot;:&quot;&quot;,&quot;non-dropping-particle&quot;:&quot;&quot;},{&quot;family&quot;:&quot;Cocolin&quot;,&quot;given&quot;:&quot;Luca&quot;,&quot;parse-names&quot;:false,&quot;dropping-particle&quot;:&quot;&quot;,&quot;non-dropping-particle&quot;:&quot;&quot;},{&quot;family&quot;:&quot;Eversole&quot;,&quot;given&quot;:&quot;Kellye&quot;,&quot;parse-names&quot;:false,&quot;dropping-particle&quot;:&quot;&quot;,&quot;non-dropping-particle&quot;:&quot;&quot;},{&quot;family&quot;:&quot;Corral&quot;,&quot;given&quot;:&quot;Gema Herrero&quot;,&quot;parse-names&quot;:false,&quot;dropping-particle&quot;:&quot;&quot;,&quot;non-dropping-particle&quot;:&quot;&quot;},{&quot;family&quot;:&quot;Kazou&quot;,&quot;given&quot;:&quot;Maria&quot;,&quot;parse-names&quot;:false,&quot;dropping-particle&quot;:&quot;&quot;,&quot;non-dropping-particle&quot;:&quot;&quot;},{&quot;family&quot;:&quot;Kinkel&quot;,&quot;given&quot;:&quot;Linda&quot;,&quot;parse-names&quot;:false,&quot;dropping-particle&quot;:&quot;&quot;,&quot;non-dropping-particle&quot;:&quot;&quot;},{&quot;family&quot;:&quot;Lange&quot;,&quot;given&quot;:&quot;Lene&quot;,&quot;parse-names&quot;:false,&quot;dropping-particle&quot;:&quot;&quot;,&quot;non-dropping-particle&quot;:&quot;&quot;},{&quot;family&quot;:&quot;Lima&quot;,&quot;given&quot;:&quot;Nelson&quot;,&quot;parse-names&quot;:false,&quot;dropping-particle&quot;:&quot;&quot;,&quot;non-dropping-particle&quot;:&quot;&quot;},{&quot;family&quot;:&quot;Loy&quot;,&quot;given&quot;:&quot;Alexander&quot;,&quot;parse-names&quot;:false,&quot;dropping-particle&quot;:&quot;&quot;,&quot;non-dropping-particle&quot;:&quot;&quot;},{&quot;family&quot;:&quot;Macklin&quot;,&quot;given&quot;:&quot;James A.&quot;,&quot;parse-names&quot;:false,&quot;dropping-particle&quot;:&quot;&quot;,&quot;non-dropping-particle&quot;:&quot;&quot;},{&quot;family&quot;:&quot;Maguin&quot;,&quot;given&quot;:&quot;Emmanuelle&quot;,&quot;parse-names&quot;:false,&quot;dropping-particle&quot;:&quot;&quot;,&quot;non-dropping-particle&quot;:&quot;&quot;},{&quot;family&quot;:&quot;Mauchline&quot;,&quot;given&quot;:&quot;Tim&quot;,&quot;parse-names&quot;:false,&quot;dropping-particle&quot;:&quot;&quot;,&quot;non-dropping-particle&quot;:&quot;&quot;},{&quot;family&quot;:&quot;McClure&quot;,&quot;given&quot;:&quot;Ryan&quot;,&quot;parse-names&quot;:false,&quot;dropping-particle&quot;:&quot;&quot;,&quot;non-dropping-particle&quot;:&quot;&quot;},{&quot;family&quot;:&quot;Mitter&quot;,&quot;given&quot;:&quot;Birgit&quot;,&quot;parse-names&quot;:false,&quot;dropping-particle&quot;:&quot;&quot;,&quot;non-dropping-particle&quot;:&quot;&quot;},{&quot;family&quot;:&quot;Ryan&quot;,&quot;given&quot;:&quot;Matthew&quot;,&quot;parse-names&quot;:false,&quot;dropping-particle&quot;:&quot;&quot;,&quot;non-dropping-particle&quot;:&quot;&quot;},{&quot;family&quot;:&quot;Sarand&quot;,&quot;given&quot;:&quot;Inga&quot;,&quot;parse-names&quot;:false,&quot;dropping-particle&quot;:&quot;&quot;,&quot;non-dropping-particle&quot;:&quot;&quot;},{&quot;family&quot;:&quot;Smidt&quot;,&quot;given&quot;:&quot;Hauke&quot;,&quot;parse-names&quot;:false,&quot;dropping-particle&quot;:&quot;&quot;,&quot;non-dropping-particle&quot;:&quot;&quot;},{&quot;family&quot;:&quot;Schelkle&quot;,&quot;given&quot;:&quot;Bettina&quot;,&quot;parse-names&quot;:false,&quot;dropping-particle&quot;:&quot;&quot;,&quot;non-dropping-particle&quot;:&quot;&quot;},{&quot;family&quot;:&quot;Roume&quot;,&quot;given&quot;:&quot;Hugo&quot;,&quot;parse-names&quot;:false,&quot;dropping-particle&quot;:&quot;&quot;,&quot;non-dropping-particle&quot;:&quot;&quot;},{&quot;family&quot;:&quot;Kiran&quot;,&quot;given&quot;:&quot;G. Seghal&quot;,&quot;parse-names&quot;:false,&quot;dropping-particle&quot;:&quot;&quot;,&quot;non-dropping-particle&quot;:&quot;&quot;},{&quot;family&quot;:&quot;Selvin&quot;,&quot;given&quot;:&quot;Joseph&quot;,&quot;parse-names&quot;:false,&quot;dropping-particle&quot;:&quot;&quot;,&quot;non-dropping-particle&quot;:&quot;&quot;},{&quot;family&quot;:&quot;Souza&quot;,&quot;given&quot;:&quot;Rafael Soares Correa&quot;,&quot;parse-names&quot;:false,&quot;dropping-particle&quot;:&quot;&quot;,&quot;non-dropping-particle&quot;:&quot;de&quot;},{&quot;family&quot;:&quot;Overbeek&quot;,&quot;given&quot;:&quot;Leo&quot;,&quot;parse-names&quot;:false,&quot;dropping-particle&quot;:&quot;&quot;,&quot;non-dropping-particle&quot;:&quot;van&quot;},{&quot;family&quot;:&quot;Singh&quot;,&quot;given&quot;:&quot;Brajesh K.&quot;,&quot;parse-names&quot;:false,&quot;dropping-particle&quot;:&quot;&quot;,&quot;non-dropping-particle&quot;:&quot;&quot;},{&quot;family&quot;:&quot;Wagner&quot;,&quot;given&quot;:&quot;Michael&quot;,&quot;parse-names&quot;:false,&quot;dropping-particle&quot;:&quot;&quot;,&quot;non-dropping-particle&quot;:&quot;&quot;},{&quot;family&quot;:&quot;Walsh&quot;,&quot;given&quot;:&quot;Aaron&quot;,&quot;parse-names&quot;:false,&quot;dropping-particle&quot;:&quot;&quot;,&quot;non-dropping-particle&quot;:&quot;&quot;},{&quot;family&quot;:&quot;Sessitsch&quot;,&quot;given&quot;:&quot;Angela&quot;,&quot;parse-names&quot;:false,&quot;dropping-particle&quot;:&quot;&quot;,&quot;non-dropping-particle&quot;:&quot;&quot;},{&quot;family&quot;:&quot;Schloter&quot;,&quot;given&quot;:&quot;Michael&quot;,&quot;parse-names&quot;:false,&quot;dropping-particle&quot;:&quot;&quot;,&quot;non-dropping-particle&quot;:&quot;&quot;}],&quot;container-title&quot;:&quot;Microbiome&quot;,&quot;container-title-short&quot;:&quot;Microbiome&quot;,&quot;DOI&quot;:&quot;10.1186/s40168-020-00905-x&quot;,&quot;issued&quot;:{&quot;date-parts&quot;:[[2020]]},&quot;page&quot;:&quot;1-22&quot;,&quot;abstract&quot;:&quot;An amendment to this paper has been published and can be accessed via the original article.&quot;,&quot;publisher&quot;:&quot;Microbiome&quot;,&quot;issue&quot;:&quot;1&quot;,&quot;volume&quot;:&quot;8&quot;},&quot;isTemporary&quot;:false}]},{&quot;citationID&quot;:&quot;MENDELEY_CITATION_113b5ff1-732b-49ae-a5d9-7eaeccedd8ec&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&quot;,&quot;citationItems&quot;:[{&quot;id&quot;:&quot;bb672a78-0a9c-3f96-a7b3-31219dd65d72&quot;,&quot;itemData&quot;:{&quot;type&quot;:&quot;article-journal&quot;,&quot;id&quot;:&quot;bb672a78-0a9c-3f96-a7b3-31219dd65d72&quot;,&quot;title&quot;:&quot;Correction to: Microbiome definition re-visited: old concepts and new challenges&quot;,&quot;author&quot;:[{&quot;family&quot;:&quot;Berg&quot;,&quot;given&quot;:&quot;Gabriele&quot;,&quot;parse-names&quot;:false,&quot;dropping-particle&quot;:&quot;&quot;,&quot;non-dropping-particle&quot;:&quot;&quot;},{&quot;family&quot;:&quot;Rybakova&quot;,&quot;given&quot;:&quot;Daria&quot;,&quot;parse-names&quot;:false,&quot;dropping-particle&quot;:&quot;&quot;,&quot;non-dropping-particle&quot;:&quot;&quot;},{&quot;family&quot;:&quot;Fischer&quot;,&quot;given&quot;:&quot;Doreen&quot;,&quot;parse-names&quot;:false,&quot;dropping-particle&quot;:&quot;&quot;,&quot;non-dropping-particle&quot;:&quot;&quot;},{&quot;family&quot;:&quot;Cernava&quot;,&quot;given&quot;:&quot;Tomislav&quot;,&quot;parse-names&quot;:false,&quot;dropping-particle&quot;:&quot;&quot;,&quot;non-dropping-particle&quot;:&quot;&quot;},{&quot;family&quot;:&quot;Vergès&quot;,&quot;given&quot;:&quot;Marie-Christine Champomier&quot;,&quot;parse-names&quot;:false,&quot;dropping-particle&quot;:&quot;&quot;,&quot;non-dropping-particle&quot;:&quot;&quot;},{&quot;family&quot;:&quot;Charles&quot;,&quot;given&quot;:&quot;Trevor&quot;,&quot;parse-names&quot;:false,&quot;dropping-particle&quot;:&quot;&quot;,&quot;non-dropping-particle&quot;:&quot;&quot;},{&quot;family&quot;:&quot;Chen&quot;,&quot;given&quot;:&quot;Xiaoyulong&quot;,&quot;parse-names&quot;:false,&quot;dropping-particle&quot;:&quot;&quot;,&quot;non-dropping-particle&quot;:&quot;&quot;},{&quot;family&quot;:&quot;Cocolin&quot;,&quot;given&quot;:&quot;Luca&quot;,&quot;parse-names&quot;:false,&quot;dropping-particle&quot;:&quot;&quot;,&quot;non-dropping-particle&quot;:&quot;&quot;},{&quot;family&quot;:&quot;Eversole&quot;,&quot;given&quot;:&quot;Kellye&quot;,&quot;parse-names&quot;:false,&quot;dropping-particle&quot;:&quot;&quot;,&quot;non-dropping-particle&quot;:&quot;&quot;},{&quot;family&quot;:&quot;Corral&quot;,&quot;given&quot;:&quot;Gema Herrero&quot;,&quot;parse-names&quot;:false,&quot;dropping-particle&quot;:&quot;&quot;,&quot;non-dropping-particle&quot;:&quot;&quot;},{&quot;family&quot;:&quot;Kazou&quot;,&quot;given&quot;:&quot;Maria&quot;,&quot;parse-names&quot;:false,&quot;dropping-particle&quot;:&quot;&quot;,&quot;non-dropping-particle&quot;:&quot;&quot;},{&quot;family&quot;:&quot;Kinkel&quot;,&quot;given&quot;:&quot;Linda&quot;,&quot;parse-names&quot;:false,&quot;dropping-particle&quot;:&quot;&quot;,&quot;non-dropping-particle&quot;:&quot;&quot;},{&quot;family&quot;:&quot;Lange&quot;,&quot;given&quot;:&quot;Lene&quot;,&quot;parse-names&quot;:false,&quot;dropping-particle&quot;:&quot;&quot;,&quot;non-dropping-particle&quot;:&quot;&quot;},{&quot;family&quot;:&quot;Lima&quot;,&quot;given&quot;:&quot;Nelson&quot;,&quot;parse-names&quot;:false,&quot;dropping-particle&quot;:&quot;&quot;,&quot;non-dropping-particle&quot;:&quot;&quot;},{&quot;family&quot;:&quot;Loy&quot;,&quot;given&quot;:&quot;Alexander&quot;,&quot;parse-names&quot;:false,&quot;dropping-particle&quot;:&quot;&quot;,&quot;non-dropping-particle&quot;:&quot;&quot;},{&quot;family&quot;:&quot;Macklin&quot;,&quot;given&quot;:&quot;James A.&quot;,&quot;parse-names&quot;:false,&quot;dropping-particle&quot;:&quot;&quot;,&quot;non-dropping-particle&quot;:&quot;&quot;},{&quot;family&quot;:&quot;Maguin&quot;,&quot;given&quot;:&quot;Emmanuelle&quot;,&quot;parse-names&quot;:false,&quot;dropping-particle&quot;:&quot;&quot;,&quot;non-dropping-particle&quot;:&quot;&quot;},{&quot;family&quot;:&quot;Mauchline&quot;,&quot;given&quot;:&quot;Tim&quot;,&quot;parse-names&quot;:false,&quot;dropping-particle&quot;:&quot;&quot;,&quot;non-dropping-particle&quot;:&quot;&quot;},{&quot;family&quot;:&quot;McClure&quot;,&quot;given&quot;:&quot;Ryan&quot;,&quot;parse-names&quot;:false,&quot;dropping-particle&quot;:&quot;&quot;,&quot;non-dropping-particle&quot;:&quot;&quot;},{&quot;family&quot;:&quot;Mitter&quot;,&quot;given&quot;:&quot;Birgit&quot;,&quot;parse-names&quot;:false,&quot;dropping-particle&quot;:&quot;&quot;,&quot;non-dropping-particle&quot;:&quot;&quot;},{&quot;family&quot;:&quot;Ryan&quot;,&quot;given&quot;:&quot;Matthew&quot;,&quot;parse-names&quot;:false,&quot;dropping-particle&quot;:&quot;&quot;,&quot;non-dropping-particle&quot;:&quot;&quot;},{&quot;family&quot;:&quot;Sarand&quot;,&quot;given&quot;:&quot;Inga&quot;,&quot;parse-names&quot;:false,&quot;dropping-particle&quot;:&quot;&quot;,&quot;non-dropping-particle&quot;:&quot;&quot;},{&quot;family&quot;:&quot;Smidt&quot;,&quot;given&quot;:&quot;Hauke&quot;,&quot;parse-names&quot;:false,&quot;dropping-particle&quot;:&quot;&quot;,&quot;non-dropping-particle&quot;:&quot;&quot;},{&quot;family&quot;:&quot;Schelkle&quot;,&quot;given&quot;:&quot;Bettina&quot;,&quot;parse-names&quot;:false,&quot;dropping-particle&quot;:&quot;&quot;,&quot;non-dropping-particle&quot;:&quot;&quot;},{&quot;family&quot;:&quot;Roume&quot;,&quot;given&quot;:&quot;Hugo&quot;,&quot;parse-names&quot;:false,&quot;dropping-particle&quot;:&quot;&quot;,&quot;non-dropping-particle&quot;:&quot;&quot;},{&quot;family&quot;:&quot;Kiran&quot;,&quot;given&quot;:&quot;G. Seghal&quot;,&quot;parse-names&quot;:false,&quot;dropping-particle&quot;:&quot;&quot;,&quot;non-dropping-particle&quot;:&quot;&quot;},{&quot;family&quot;:&quot;Selvin&quot;,&quot;given&quot;:&quot;Joseph&quot;,&quot;parse-names&quot;:false,&quot;dropping-particle&quot;:&quot;&quot;,&quot;non-dropping-particle&quot;:&quot;&quot;},{&quot;family&quot;:&quot;Souza&quot;,&quot;given&quot;:&quot;Rafael Soares Correa&quot;,&quot;parse-names&quot;:false,&quot;dropping-particle&quot;:&quot;&quot;,&quot;non-dropping-particle&quot;:&quot;de&quot;},{&quot;family&quot;:&quot;Overbeek&quot;,&quot;given&quot;:&quot;Leo&quot;,&quot;parse-names&quot;:false,&quot;dropping-particle&quot;:&quot;&quot;,&quot;non-dropping-particle&quot;:&quot;van&quot;},{&quot;family&quot;:&quot;Singh&quot;,&quot;given&quot;:&quot;Brajesh K.&quot;,&quot;parse-names&quot;:false,&quot;dropping-particle&quot;:&quot;&quot;,&quot;non-dropping-particle&quot;:&quot;&quot;},{&quot;family&quot;:&quot;Wagner&quot;,&quot;given&quot;:&quot;Michael&quot;,&quot;parse-names&quot;:false,&quot;dropping-particle&quot;:&quot;&quot;,&quot;non-dropping-particle&quot;:&quot;&quot;},{&quot;family&quot;:&quot;Walsh&quot;,&quot;given&quot;:&quot;Aaron&quot;,&quot;parse-names&quot;:false,&quot;dropping-particle&quot;:&quot;&quot;,&quot;non-dropping-particle&quot;:&quot;&quot;},{&quot;family&quot;:&quot;Sessitsch&quot;,&quot;given&quot;:&quot;Angela&quot;,&quot;parse-names&quot;:false,&quot;dropping-particle&quot;:&quot;&quot;,&quot;non-dropping-particle&quot;:&quot;&quot;},{&quot;family&quot;:&quot;Schloter&quot;,&quot;given&quot;:&quot;Michael&quot;,&quot;parse-names&quot;:false,&quot;dropping-particle&quot;:&quot;&quot;,&quot;non-dropping-particle&quot;:&quot;&quot;}],&quot;container-title&quot;:&quot;Microbiome&quot;,&quot;container-title-short&quot;:&quot;Microbiome&quot;,&quot;DOI&quot;:&quot;10.1186/s40168-020-00905-x&quot;,&quot;issued&quot;:{&quot;date-parts&quot;:[[2020]]},&quot;page&quot;:&quot;1-22&quot;,&quot;abstract&quot;:&quot;An amendment to this paper has been published and can be accessed via the original article.&quot;,&quot;publisher&quot;:&quot;Microbiome&quot;,&quot;issue&quot;:&quot;1&quot;,&quot;volume&quot;:&quot;8&quot;},&quot;isTemporary&quot;:false}]},{&quot;citationID&quot;:&quot;MENDELEY_CITATION_0b79b1a2-6a31-4e60-9177-68cd1466f387&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&quot;,&quot;citationItems&quot;:[{&quot;id&quot;:&quot;78e915b4-9aab-31e3-a08d-d3b0bd853a26&quot;,&quot;itemData&quot;:{&quot;type&quot;:&quot;article-journal&quot;,&quot;id&quot;:&quot;78e915b4-9aab-31e3-a08d-d3b0bd853a26&quot;,&quot;title&quot;:&quot;The NIH Human Microbiome Project&quot;,&quot;author&quot;:[{&quot;family&quot;:&quot;Peterson&quot;,&quot;given&quot;:&quot;Jane&quot;,&quot;parse-names&quot;:false,&quot;dropping-particle&quot;:&quot;&quot;,&quot;non-dropping-particle&quot;:&quot;&quot;},{&quot;family&quot;:&quot;Garges&quot;,&quot;given&quot;:&quot;Susan&quot;,&quot;parse-names&quot;:false,&quot;dropping-particle&quot;:&quot;&quot;,&quot;non-dropping-particle&quot;:&quot;&quot;},{&quot;family&quot;:&quot;Giovanni&quot;,&quot;given&quot;:&quot;Maria&quot;,&quot;parse-names&quot;:false,&quot;dropping-particle&quot;:&quot;&quot;,&quot;non-dropping-particle&quot;:&quot;&quot;},{&quot;family&quot;:&quot;McInnes&quot;,&quot;given&quot;:&quot;Pamela&quot;,&quot;parse-names&quot;:false,&quot;dropping-particle&quot;:&quot;&quot;,&quot;non-dropping-particle&quot;:&quot;&quot;},{&quot;family&quot;:&quot;Wang&quot;,&quot;given&quot;:&quot;Lu&quot;,&quot;parse-names&quot;:false,&quot;dropping-particle&quot;:&quot;&quot;,&quot;non-dropping-particle&quot;:&quot;&quot;},{&quot;family&quot;:&quot;Schloss&quot;,&quot;given&quot;:&quot;Jeffery A.&quot;,&quot;parse-names&quot;:false,&quot;dropping-particle&quot;:&quot;&quot;,&quot;non-dropping-particle&quot;:&quot;&quot;},{&quot;family&quot;:&quot;Bonazzi&quot;,&quot;given&quot;:&quot;Vivien&quot;,&quot;parse-names&quot;:false,&quot;dropping-particle&quot;:&quot;&quot;,&quot;non-dropping-particle&quot;:&quot;&quot;},{&quot;family&quot;:&quot;McEwen&quot;,&quot;given&quot;:&quot;Jean E.&quot;,&quot;parse-names&quot;:false,&quot;dropping-particle&quot;:&quot;&quot;,&quot;non-dropping-particle&quot;:&quot;&quot;},{&quot;family&quot;:&quot;Wetterstrand&quot;,&quot;given&quot;:&quot;Kris A.&quot;,&quot;parse-names&quot;:false,&quot;dropping-particle&quot;:&quot;&quot;,&quot;non-dropping-particle&quot;:&quot;&quot;},{&quot;family&quot;:&quot;Deal&quot;,&quot;given&quot;:&quot;Carolyn&quot;,&quot;parse-names&quot;:false,&quot;dropping-particle&quot;:&quot;&quot;,&quot;non-dropping-particle&quot;:&quot;&quot;},{&quot;family&quot;:&quot;Baker&quot;,&quot;given&quot;:&quot;Carl C.&quot;,&quot;parse-names&quot;:false,&quot;dropping-particle&quot;:&quot;&quot;,&quot;non-dropping-particle&quot;:&quot;&quot;},{&quot;family&quot;:&quot;Francesco&quot;,&quot;given&quot;:&quot;Valentina&quot;,&quot;parse-names&quot;:false,&quot;dropping-particle&quot;:&quot;&quot;,&quot;non-dropping-particle&quot;:&quot;di&quot;},{&quot;family&quot;:&quot;Howcroft&quot;,&quot;given&quot;:&quot;T. Kevin&quot;,&quot;parse-names&quot;:false,&quot;dropping-particle&quot;:&quot;&quot;,&quot;non-dropping-particle&quot;:&quot;&quot;},{&quot;family&quot;:&quot;Karp&quot;,&quot;given&quot;:&quot;Robert W.&quot;,&quot;parse-names&quot;:false,&quot;dropping-particle&quot;:&quot;&quot;,&quot;non-dropping-particle&quot;:&quot;&quot;},{&quot;family&quot;:&quot;Lunsford&quot;,&quot;given&quot;:&quot;R. Dwayne&quot;,&quot;parse-names&quot;:false,&quot;dropping-particle&quot;:&quot;&quot;,&quot;non-dropping-particle&quot;:&quot;&quot;},{&quot;family&quot;:&quot;Wellington&quot;,&quot;given&quot;:&quot;Christopher R.&quot;,&quot;parse-names&quot;:false,&quot;dropping-particle&quot;:&quot;&quot;,&quot;non-dropping-particle&quot;:&quot;&quot;},{&quot;family&quot;:&quot;Belachew&quot;,&quot;given&quot;:&quot;Tsegahiwot&quot;,&quot;parse-names&quot;:false,&quot;dropping-particle&quot;:&quot;&quot;,&quot;non-dropping-particle&quot;:&quot;&quot;},{&quot;family&quot;:&quot;Wright&quot;,&quot;given&quot;:&quot;Michael&quot;,&quot;parse-names&quot;:false,&quot;dropping-particle&quot;:&quot;&quot;,&quot;non-dropping-particle&quot;:&quot;&quot;},{&quot;family&quot;:&quot;Giblin&quot;,&quot;given&quot;:&quot;Christina&quot;,&quot;parse-names&quot;:false,&quot;dropping-particle&quot;:&quot;&quot;,&quot;non-dropping-particle&quot;:&quot;&quot;},{&quot;family&quot;:&quot;David&quot;,&quot;given&quot;:&quot;Hagit&quot;,&quot;parse-names&quot;:false,&quot;dropping-particle&quot;:&quot;&quot;,&quot;non-dropping-particle&quot;:&quot;&quot;},{&quot;family&quot;:&quot;Mills&quot;,&quot;given&quot;:&quot;Melody&quot;,&quot;parse-names&quot;:false,&quot;dropping-particle&quot;:&quot;&quot;,&quot;non-dropping-particle&quot;:&quot;&quot;},{&quot;family&quot;:&quot;Salomon&quot;,&quot;given&quot;:&quot;Rachelle&quot;,&quot;parse-names&quot;:false,&quot;dropping-particle&quot;:&quot;&quot;,&quot;non-dropping-particle&quot;:&quot;&quot;},{&quot;family&quot;:&quot;Mullins&quot;,&quot;given&quot;:&quot;Christopher&quot;,&quot;parse-names&quot;:false,&quot;dropping-particle&quot;:&quot;&quot;,&quot;non-dropping-particle&quot;:&quot;&quot;},{&quot;family&quot;:&quot;Akolkar&quot;,&quot;given&quot;:&quot;Beena&quot;,&quot;parse-names&quot;:false,&quot;dropping-particle&quot;:&quot;&quot;,&quot;non-dropping-particle&quot;:&quot;&quot;},{&quot;family&quot;:&quot;Begg&quot;,&quot;given&quot;:&quot;Lisa&quot;,&quot;parse-names&quot;:false,&quot;dropping-particle&quot;:&quot;&quot;,&quot;non-dropping-particle&quot;:&quot;&quot;},{&quot;family&quot;:&quot;Davis&quot;,&quot;given&quot;:&quot;Cindy&quot;,&quot;parse-names&quot;:false,&quot;dropping-particle&quot;:&quot;&quot;,&quot;non-dropping-particle&quot;:&quot;&quot;},{&quot;family&quot;:&quot;Grandison&quot;,&quot;given&quot;:&quot;Lindsey&quot;,&quot;parse-names&quot;:false,&quot;dropping-particle&quot;:&quot;&quot;,&quot;non-dropping-particle&quot;:&quot;&quot;},{&quot;family&quot;:&quot;Humble&quot;,&quot;given&quot;:&quot;Michael&quot;,&quot;parse-names&quot;:false,&quot;dropping-particle&quot;:&quot;&quot;,&quot;non-dropping-particle&quot;:&quot;&quot;},{&quot;family&quot;:&quot;Khalsa&quot;,&quot;given&quot;:&quot;Jag&quot;,&quot;parse-names&quot;:false,&quot;dropping-particle&quot;:&quot;&quot;,&quot;non-dropping-particle&quot;:&quot;&quot;},{&quot;family&quot;:&quot;Roger Little&quot;,&quot;given&quot;:&quot;A.&quot;,&quot;parse-names&quot;:false,&quot;dropping-particle&quot;:&quot;&quot;,&quot;non-dropping-particle&quot;:&quot;&quot;},{&quot;family&quot;:&quot;Peavy&quot;,&quot;given&quot;:&quot;Hannah&quot;,&quot;parse-names&quot;:false,&quot;dropping-particle&quot;:&quot;&quot;,&quot;non-dropping-particle&quot;:&quot;&quot;},{&quot;family&quot;:&quot;Pontzer&quot;,&quot;given&quot;:&quot;Carol&quot;,&quot;parse-names&quot;:false,&quot;dropping-particle&quot;:&quot;&quot;,&quot;non-dropping-particle&quot;:&quot;&quot;},{&quot;family&quot;:&quot;Portnoy&quot;,&quot;given&quot;:&quot;Matthew&quot;,&quot;parse-names&quot;:false,&quot;dropping-particle&quot;:&quot;&quot;,&quot;non-dropping-particle&quot;:&quot;&quot;},{&quot;family&quot;:&quot;Sayre&quot;,&quot;given&quot;:&quot;Michael H.&quot;,&quot;parse-names&quot;:false,&quot;dropping-particle&quot;:&quot;&quot;,&quot;non-dropping-particle&quot;:&quot;&quot;},{&quot;family&quot;:&quot;Starke-Reed&quot;,&quot;given&quot;:&quot;Pamela&quot;,&quot;parse-names&quot;:false,&quot;dropping-particle&quot;:&quot;&quot;,&quot;non-dropping-particle&quot;:&quot;&quot;},{&quot;family&quot;:&quot;Zakhari&quot;,&quot;given&quot;:&quot;Samir&quot;,&quot;parse-names&quot;:false,&quot;dropping-particle&quot;:&quot;&quot;,&quot;non-dropping-particle&quot;:&quot;&quot;},{&quot;family&quot;:&quot;Read&quot;,&quot;given&quot;:&quot;Jennifer&quot;,&quot;parse-names&quot;:false,&quot;dropping-particle&quot;:&quot;&quot;,&quot;non-dropping-particle&quot;:&quot;&quot;},{&quot;family&quot;:&quot;Watson&quot;,&quot;given&quot;:&quot;Bracie&quot;,&quot;parse-names&quot;:false,&quot;dropping-particle&quot;:&quot;&quot;,&quot;non-dropping-particle&quot;:&quot;&quot;},{&quot;family&quot;:&quot;Guyer&quot;,&quot;given&quot;:&quot;Mark&quot;,&quot;parse-names&quot;:false,&quot;dropping-particle&quot;:&quot;&quot;,&quot;non-dropping-particle&quot;:&quot;&quot;}],&quot;container-title&quot;:&quot;Genome Research&quot;,&quot;DOI&quot;:&quot;10.1101/gr.096651.109&quot;,&quot;ISSN&quot;:&quot;10889051&quot;,&quot;PMID&quot;:&quot;19819907&quot;,&quot;issued&quot;:{&quot;date-parts&quot;:[[2009]]},&quot;page&quot;:&quot;2317-2323&quot;,&quot;abstract&quot;:&quot;The Human Microbiome Project (HMP), funded as an initiative of the NIH Roadmap for Biomedical Research (http://nihroadmap.nih.gov), is a multi-component community resource. The goals of the HMP are: (1) to take advantage of new, high-throughput technologies to characterize the human microbiome more fully by studying samples from multiple body sites from each of at least 250 \&quot;normal\&quot; volunteers; (2) to determine whether there are associations between changes in the microbiome and health/disease by studying several different medical conditions; and (3) to provide both a standardized data resource and new technological approaches to enable such studies to be undertaken broadly in the scientific community. The ethical, legal, and social implications of such research are being systematically studied as well. The ultimate objective of the HMP is to demonstrate that there are opportunities to improve human health through monitoring or manipulation of the human microbiome. The history and implementation of this new program are described here.&quot;,&quot;issue&quot;:&quot;12&quot;,&quot;volume&quot;:&quot;19&quot;,&quot;container-title-short&quot;:&quot;&quot;},&quot;isTemporary&quot;:false}]},{&quot;citationID&quot;:&quot;MENDELEY_CITATION_b1278385-0b8c-4353-ba1b-e8648c2a4f12&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&quot;,&quot;citationItems&quot;:[{&quot;id&quot;:&quot;8ac36cb5-e312-346b-87b4-d78ebebec391&quot;,&quot;itemData&quot;:{&quot;type&quot;:&quot;article-journal&quot;,&quot;id&quot;:&quot;8ac36cb5-e312-346b-87b4-d78ebebec391&quot;,&quot;title&quot;:&quot;A communal catalogue reveals Earth's multiscale microbial diversity&quot;,&quot;author&quot;:[{&quot;family&quot;:&quot;Thompson&quot;,&quot;given&quot;:&quot;Luke R.&quot;,&quot;parse-names&quot;:false,&quot;dropping-particle&quot;:&quot;&quot;,&quot;non-dropping-particle&quot;:&quot;&quot;},{&quot;family&quot;:&quot;Sanders&quot;,&quot;given&quot;:&quot;Jon G.&quot;,&quot;parse-names&quot;:false,&quot;dropping-particle&quot;:&quot;&quot;,&quot;non-dropping-particle&quot;:&quot;&quot;},{&quot;family&quot;:&quot;McDonald&quot;,&quot;given&quot;:&quot;Daniel&quot;,&quot;parse-names&quot;:false,&quot;dropping-particle&quot;:&quot;&quot;,&quot;non-dropping-particle&quot;:&quot;&quot;},{&quot;family&quot;:&quot;Amir&quot;,&quot;given&quot;:&quot;Amnon&quot;,&quot;parse-names&quot;:false,&quot;dropping-particle&quot;:&quot;&quot;,&quot;non-dropping-particle&quot;:&quot;&quot;},{&quot;family&quot;:&quot;Ladau&quot;,&quot;given&quot;:&quot;Joshua&quot;,&quot;parse-names&quot;:false,&quot;dropping-particle&quot;:&quot;&quot;,&quot;non-dropping-particle&quot;:&quot;&quot;},{&quot;family&quot;:&quot;Locey&quot;,&quot;given&quot;:&quot;Kenneth J.&quot;,&quot;parse-names&quot;:false,&quot;dropping-particle&quot;:&quot;&quot;,&quot;non-dropping-particle&quot;:&quot;&quot;},{&quot;family&quot;:&quot;Prill&quot;,&quot;given&quot;:&quot;Robert J.&quot;,&quot;parse-names&quot;:false,&quot;dropping-particle&quot;:&quot;&quot;,&quot;non-dropping-particle&quot;:&quot;&quot;},{&quot;family&quot;:&quot;Tripathi&quot;,&quot;given&quot;:&quot;Anupriya&quot;,&quot;parse-names&quot;:false,&quot;dropping-particle&quot;:&quot;&quot;,&quot;non-dropping-particle&quot;:&quot;&quot;},{&quot;family&quot;:&quot;Gibbons&quot;,&quot;given&quot;:&quot;Sean M.&quot;,&quot;parse-names&quot;:false,&quot;dropping-particle&quot;:&quot;&quot;,&quot;non-dropping-particle&quot;:&quot;&quot;},{&quot;family&quot;:&quot;Ackermann&quot;,&quot;given&quot;:&quot;Gail&quot;,&quot;parse-names&quot;:false,&quot;dropping-particle&quot;:&quot;&quot;,&quot;non-dropping-particle&quot;:&quot;&quot;},{&quot;family&quot;:&quot;Navas-Molina&quot;,&quot;given&quot;:&quot;Jose A.&quot;,&quot;parse-names&quot;:false,&quot;dropping-particle&quot;:&quot;&quot;,&quot;non-dropping-particle&quot;:&quot;&quot;},{&quot;family&quot;:&quot;Janssen&quot;,&quot;given&quot;:&quot;Stefan&quot;,&quot;parse-names&quot;:false,&quot;dropping-particle&quot;:&quot;&quot;,&quot;non-dropping-particle&quot;:&quot;&quot;},{&quot;family&quot;:&quot;Kopylova&quot;,&quot;given&quot;:&quot;Evguenia&quot;,&quot;parse-names&quot;:false,&quot;dropping-particle&quot;:&quot;&quot;,&quot;non-dropping-particle&quot;:&quot;&quot;},{&quot;family&quot;:&quot;Vázquez-Baeza&quot;,&quot;given&quot;:&quot;Yoshiki&quot;,&quot;parse-names&quot;:false,&quot;dropping-particle&quot;:&quot;&quot;,&quot;non-dropping-particle&quot;:&quot;&quot;},{&quot;family&quot;:&quot;González&quot;,&quot;given&quot;:&quot;Antonio&quot;,&quot;parse-names&quot;:false,&quot;dropping-particle&quot;:&quot;&quot;,&quot;non-dropping-particle&quot;:&quot;&quot;},{&quot;family&quot;:&quot;Morton&quot;,&quot;given&quot;:&quot;James T.&quot;,&quot;parse-names&quot;:false,&quot;dropping-particle&quot;:&quot;&quot;,&quot;non-dropping-particle&quot;:&quot;&quot;},{&quot;family&quot;:&quot;Mirarab&quot;,&quot;given&quot;:&quot;Siavash&quot;,&quot;parse-names&quot;:false,&quot;dropping-particle&quot;:&quot;&quot;,&quot;non-dropping-particle&quot;:&quot;&quot;},{&quot;family&quot;:&quot;Xu&quot;,&quot;given&quot;:&quot;Zhenjiang Zech&quot;,&quot;parse-names&quot;:false,&quot;dropping-particle&quot;:&quot;&quot;,&quot;non-dropping-particle&quot;:&quot;&quot;},{&quot;family&quot;:&quot;Jiang&quot;,&quot;given&quot;:&quot;Lingjing&quot;,&quot;parse-names&quot;:false,&quot;dropping-particle&quot;:&quot;&quot;,&quot;non-dropping-particle&quot;:&quot;&quot;},{&quot;family&quot;:&quot;Haroon&quot;,&quot;given&quot;:&quot;Mohamed F.&quot;,&quot;parse-names&quot;:false,&quot;dropping-particle&quot;:&quot;&quot;,&quot;non-dropping-particle&quot;:&quot;&quot;},{&quot;family&quot;:&quot;Kanbar&quot;,&quot;given&quot;:&quot;Jad&quot;,&quot;parse-names&quot;:false,&quot;dropping-particle&quot;:&quot;&quot;,&quot;non-dropping-particle&quot;:&quot;&quot;},{&quot;family&quot;:&quot;Zhu&quot;,&quot;given&quot;:&quot;Qiyun&quot;,&quot;parse-names&quot;:false,&quot;dropping-particle&quot;:&quot;&quot;,&quot;non-dropping-particle&quot;:&quot;&quot;},{&quot;family&quot;:&quot;Song&quot;,&quot;given&quot;:&quot;Se Jin&quot;,&quot;parse-names&quot;:false,&quot;dropping-particle&quot;:&quot;&quot;,&quot;non-dropping-particle&quot;:&quot;&quot;},{&quot;family&quot;:&quot;Kosciolek&quot;,&quot;given&quot;:&quot;Tomasz&quot;,&quot;parse-names&quot;:false,&quot;dropping-particle&quot;:&quot;&quot;,&quot;non-dropping-particle&quot;:&quot;&quot;},{&quot;family&quot;:&quot;Bokulich&quot;,&quot;given&quot;:&quot;Nicholas A.&quot;,&quot;parse-names&quot;:false,&quot;dropping-particle&quot;:&quot;&quot;,&quot;non-dropping-particle&quot;:&quot;&quot;},{&quot;family&quot;:&quot;Lefler&quot;,&quot;given&quot;:&quot;Joshua&quot;,&quot;parse-names&quot;:false,&quot;dropping-particle&quot;:&quot;&quot;,&quot;non-dropping-particle&quot;:&quot;&quot;},{&quot;family&quot;:&quot;Brislawn&quot;,&quot;given&quot;:&quot;Colin J.&quot;,&quot;parse-names&quot;:false,&quot;dropping-particle&quot;:&quot;&quot;,&quot;non-dropping-particle&quot;:&quot;&quot;},{&quot;family&quot;:&quot;Humphrey&quot;,&quot;given&quot;:&quot;Gregory&quot;,&quot;parse-names&quot;:false,&quot;dropping-particle&quot;:&quot;&quot;,&quot;non-dropping-particle&quot;:&quot;&quot;},{&quot;family&quot;:&quot;Owens&quot;,&quot;given&quot;:&quot;Sarah M.&quot;,&quot;parse-names&quot;:false,&quot;dropping-particle&quot;:&quot;&quot;,&quot;non-dropping-particle&quot;:&quot;&quot;},{&quot;family&quot;:&quot;Hampton-Marcell&quot;,&quot;given&quot;:&quot;Jarrad&quot;,&quot;parse-names&quot;:false,&quot;dropping-particle&quot;:&quot;&quot;,&quot;non-dropping-particle&quot;:&quot;&quot;},{&quot;family&quot;:&quot;Berg-Lyons&quot;,&quot;given&quot;:&quot;Donna&quot;,&quot;parse-names&quot;:false,&quot;dropping-particle&quot;:&quot;&quot;,&quot;non-dropping-particle&quot;:&quot;&quot;},{&quot;family&quot;:&quot;McKenzie&quot;,&quot;given&quot;:&quot;Valerie&quot;,&quot;parse-names&quot;:false,&quot;dropping-particle&quot;:&quot;&quot;,&quot;non-dropping-particle&quot;:&quot;&quot;},{&quot;family&quot;:&quot;Fierer&quot;,&quot;given&quot;:&quot;Noah&quot;,&quot;parse-names&quot;:false,&quot;dropping-particle&quot;:&quot;&quot;,&quot;non-dropping-particle&quot;:&quot;&quot;},{&quot;family&quot;:&quot;Fuhrman&quot;,&quot;given&quot;:&quot;Jed A.&quot;,&quot;parse-names&quot;:false,&quot;dropping-particle&quot;:&quot;&quot;,&quot;non-dropping-particle&quot;:&quot;&quot;},{&quot;family&quot;:&quot;Clauset&quot;,&quot;given&quot;:&quot;Aaron&quot;,&quot;parse-names&quot;:false,&quot;dropping-particle&quot;:&quot;&quot;,&quot;non-dropping-particle&quot;:&quot;&quot;},{&quot;family&quot;:&quot;Stevens&quot;,&quot;given&quot;:&quot;Rick L.&quot;,&quot;parse-names&quot;:false,&quot;dropping-particle&quot;:&quot;&quot;,&quot;non-dropping-particle&quot;:&quot;&quot;},{&quot;family&quot;:&quot;Shade&quot;,&quot;given&quot;:&quot;Ashley&quot;,&quot;parse-names&quot;:false,&quot;dropping-particle&quot;:&quot;&quot;,&quot;non-dropping-particle&quot;:&quot;&quot;},{&quot;family&quot;:&quot;Pollard&quot;,&quot;given&quot;:&quot;Katherine S.&quot;,&quot;parse-names&quot;:false,&quot;dropping-particle&quot;:&quot;&quot;,&quot;non-dropping-particle&quot;:&quot;&quot;},{&quot;family&quot;:&quot;Goodwin&quot;,&quot;given&quot;:&quot;Kelly D.&quot;,&quot;parse-names&quot;:false,&quot;dropping-particle&quot;:&quot;&quot;,&quot;non-dropping-particle&quot;:&quot;&quot;},{&quot;family&quot;:&quot;Jansson&quot;,&quot;given&quot;:&quot;Janet K.&quot;,&quot;parse-names&quot;:false,&quot;dropping-particle&quot;:&quot;&quot;,&quot;non-dropping-particle&quot;:&quot;&quot;},{&quot;family&quot;:&quot;Gilbert&quot;,&quot;given&quot;:&quot;Jack A.&quot;,&quot;parse-names&quot;:false,&quot;dropping-particle&quot;:&quot;&quot;,&quot;non-dropping-particle&quot;:&quot;&quot;},{&quot;family&quot;:&quot;Knight&quot;,&quot;given&quot;:&quot;Rob&quot;,&quot;parse-names&quot;:false,&quot;dropping-particle&quot;:&quot;&quot;,&quot;non-dropping-particle&quot;:&quot;&quot;},{&quot;family&quot;:&quot;Agosto Rivera&quot;,&quot;given&quot;:&quot;Jose L.&quot;,&quot;parse-names&quot;:false,&quot;dropping-particle&quot;:&quot;&quot;,&quot;non-dropping-particle&quot;:&quot;&quot;},{&quot;family&quot;:&quot;Al-Moosawi&quot;,&quot;given&quot;:&quot;Lisa&quot;,&quot;parse-names&quot;:false,&quot;dropping-particle&quot;:&quot;&quot;,&quot;non-dropping-particle&quot;:&quot;&quot;},{&quot;family&quot;:&quot;Alverdy&quot;,&quot;given&quot;:&quot;John&quot;,&quot;parse-names&quot;:false,&quot;dropping-particle&quot;:&quot;&quot;,&quot;non-dropping-particle&quot;:&quot;&quot;},{&quot;family&quot;:&quot;Amato&quot;,&quot;given&quot;:&quot;Katherine R.&quot;,&quot;parse-names&quot;:false,&quot;dropping-particle&quot;:&quot;&quot;,&quot;non-dropping-particle&quot;:&quot;&quot;},{&quot;family&quot;:&quot;Andras&quot;,&quot;given&quot;:&quot;Jason&quot;,&quot;parse-names&quot;:false,&quot;dropping-particle&quot;:&quot;&quot;,&quot;non-dropping-particle&quot;:&quot;&quot;},{&quot;family&quot;:&quot;Angenent&quot;,&quot;given&quot;:&quot;Largus T.&quot;,&quot;parse-names&quot;:false,&quot;dropping-particle&quot;:&quot;&quot;,&quot;non-dropping-particle&quot;:&quot;&quot;},{&quot;family&quot;:&quot;Antonopoulos&quot;,&quot;given&quot;:&quot;Dionysios A.&quot;,&quot;parse-names&quot;:false,&quot;dropping-particle&quot;:&quot;&quot;,&quot;non-dropping-particle&quot;:&quot;&quot;},{&quot;family&quot;:&quot;Apprill&quot;,&quot;given&quot;:&quot;Amy&quot;,&quot;parse-names&quot;:false,&quot;dropping-particle&quot;:&quot;&quot;,&quot;non-dropping-particle&quot;:&quot;&quot;},{&quot;family&quot;:&quot;Armitage&quot;,&quot;given&quot;:&quot;David&quot;,&quot;parse-names&quot;:false,&quot;dropping-particle&quot;:&quot;&quot;,&quot;non-dropping-particle&quot;:&quot;&quot;},{&quot;family&quot;:&quot;Ballantine&quot;,&quot;given&quot;:&quot;Kate&quot;,&quot;parse-names&quot;:false,&quot;dropping-particle&quot;:&quot;&quot;,&quot;non-dropping-particle&quot;:&quot;&quot;},{&quot;family&quot;:&quot;Bárta&quot;,&quot;given&quot;:&quot;Jiří&quot;,&quot;parse-names&quot;:false,&quot;dropping-particle&quot;:&quot;&quot;,&quot;non-dropping-particle&quot;:&quot;&quot;},{&quot;family&quot;:&quot;Baum&quot;,&quot;given&quot;:&quot;Julia K.&quot;,&quot;parse-names&quot;:false,&quot;dropping-particle&quot;:&quot;&quot;,&quot;non-dropping-particle&quot;:&quot;&quot;},{&quot;family&quot;:&quot;Berry&quot;,&quot;given&quot;:&quot;Allison&quot;,&quot;parse-names&quot;:false,&quot;dropping-particle&quot;:&quot;&quot;,&quot;non-dropping-particle&quot;:&quot;&quot;},{&quot;family&quot;:&quot;Bhatnagar&quot;,&quot;given&quot;:&quot;Ashish&quot;,&quot;parse-names&quot;:false,&quot;dropping-particle&quot;:&quot;&quot;,&quot;non-dropping-particle&quot;:&quot;&quot;},{&quot;family&quot;:&quot;Bhatnagar&quot;,&quot;given&quot;:&quot;Monica&quot;,&quot;parse-names&quot;:false,&quot;dropping-particle&quot;:&quot;&quot;,&quot;non-dropping-particle&quot;:&quot;&quot;},{&quot;family&quot;:&quot;Biddle&quot;,&quot;given&quot;:&quot;Jennifer F.&quot;,&quot;parse-names&quot;:false,&quot;dropping-particle&quot;:&quot;&quot;,&quot;non-dropping-particle&quot;:&quot;&quot;},{&quot;family&quot;:&quot;Bittner&quot;,&quot;given&quot;:&quot;Lucie&quot;,&quot;parse-names&quot;:false,&quot;dropping-particle&quot;:&quot;&quot;,&quot;non-dropping-particle&quot;:&quot;&quot;},{&quot;family&quot;:&quot;Boldgiv&quot;,&quot;given&quot;:&quot;Bazartseren&quot;,&quot;parse-names&quot;:false,&quot;dropping-particle&quot;:&quot;&quot;,&quot;non-dropping-particle&quot;:&quot;&quot;},{&quot;family&quot;:&quot;Bottos&quot;,&quot;given&quot;:&quot;Eric&quot;,&quot;parse-names&quot;:false,&quot;dropping-particle&quot;:&quot;&quot;,&quot;non-dropping-particle&quot;:&quot;&quot;},{&quot;family&quot;:&quot;Boyer&quot;,&quot;given&quot;:&quot;Donal M.&quot;,&quot;parse-names&quot;:false,&quot;dropping-particle&quot;:&quot;&quot;,&quot;non-dropping-particle&quot;:&quot;&quot;},{&quot;family&quot;:&quot;Braun&quot;,&quot;given&quot;:&quot;Josephine&quot;,&quot;parse-names&quot;:false,&quot;dropping-particle&quot;:&quot;&quot;,&quot;non-dropping-particle&quot;:&quot;&quot;},{&quot;family&quot;:&quot;Brazelton&quot;,&quot;given&quot;:&quot;William&quot;,&quot;parse-names&quot;:false,&quot;dropping-particle&quot;:&quot;&quot;,&quot;non-dropping-particle&quot;:&quot;&quot;},{&quot;family&quot;:&quot;Brearley&quot;,&quot;given&quot;:&quot;Francis Q.&quot;,&quot;parse-names&quot;:false,&quot;dropping-particle&quot;:&quot;&quot;,&quot;non-dropping-particle&quot;:&quot;&quot;},{&quot;family&quot;:&quot;Campbell&quot;,&quot;given&quot;:&quot;Alexandra H.&quot;,&quot;parse-names&quot;:false,&quot;dropping-particle&quot;:&quot;&quot;,&quot;non-dropping-particle&quot;:&quot;&quot;},{&quot;family&quot;:&quot;Caporaso&quot;,&quot;given&quot;:&quot;J. Gregory&quot;,&quot;parse-names&quot;:false,&quot;dropping-particle&quot;:&quot;&quot;,&quot;non-dropping-particle&quot;:&quot;&quot;},{&quot;family&quot;:&quot;Cardona&quot;,&quot;given&quot;:&quot;Cesar&quot;,&quot;parse-names&quot;:false,&quot;dropping-particle&quot;:&quot;&quot;,&quot;non-dropping-particle&quot;:&quot;&quot;},{&quot;family&quot;:&quot;Carroll&quot;,&quot;given&quot;:&quot;Jo Lynn&quot;,&quot;parse-names&quot;:false,&quot;dropping-particle&quot;:&quot;&quot;,&quot;non-dropping-particle&quot;:&quot;&quot;},{&quot;family&quot;:&quot;Cary&quot;,&quot;given&quot;:&quot;S. Craig&quot;,&quot;parse-names&quot;:false,&quot;dropping-particle&quot;:&quot;&quot;,&quot;non-dropping-particle&quot;:&quot;&quot;},{&quot;family&quot;:&quot;Casper&quot;,&quot;given&quot;:&quot;Brenda B.&quot;,&quot;parse-names&quot;:false,&quot;dropping-particle&quot;:&quot;&quot;,&quot;non-dropping-particle&quot;:&quot;&quot;},{&quot;family&quot;:&quot;Charles&quot;,&quot;given&quot;:&quot;Trevor C.&quot;,&quot;parse-names&quot;:false,&quot;dropping-particle&quot;:&quot;&quot;,&quot;non-dropping-particle&quot;:&quot;&quot;},{&quot;family&quot;:&quot;Chu&quot;,&quot;given&quot;:&quot;Haiyan&quot;,&quot;parse-names&quot;:false,&quot;dropping-particle&quot;:&quot;&quot;,&quot;non-dropping-particle&quot;:&quot;&quot;},{&quot;family&quot;:&quot;Claar&quot;,&quot;given&quot;:&quot;Danielle C.&quot;,&quot;parse-names&quot;:false,&quot;dropping-particle&quot;:&quot;&quot;,&quot;non-dropping-particle&quot;:&quot;&quot;},{&quot;family&quot;:&quot;Clark&quot;,&quot;given&quot;:&quot;Robert G.&quot;,&quot;parse-names&quot;:false,&quot;dropping-particle&quot;:&quot;&quot;,&quot;non-dropping-particle&quot;:&quot;&quot;},{&quot;family&quot;:&quot;Clayton&quot;,&quot;given&quot;:&quot;Jonathan B.&quot;,&quot;parse-names&quot;:false,&quot;dropping-particle&quot;:&quot;&quot;,&quot;non-dropping-particle&quot;:&quot;&quot;},{&quot;family&quot;:&quot;Clemente&quot;,&quot;given&quot;:&quot;Jose C.&quot;,&quot;parse-names&quot;:false,&quot;dropping-particle&quot;:&quot;&quot;,&quot;non-dropping-particle&quot;:&quot;&quot;},{&quot;family&quot;:&quot;Cochran&quot;,&quot;given&quot;:&quot;Alyssa&quot;,&quot;parse-names&quot;:false,&quot;dropping-particle&quot;:&quot;&quot;,&quot;non-dropping-particle&quot;:&quot;&quot;},{&quot;family&quot;:&quot;Coleman&quot;,&quot;given&quot;:&quot;Maureen L.&quot;,&quot;parse-names&quot;:false,&quot;dropping-particle&quot;:&quot;&quot;,&quot;non-dropping-particle&quot;:&quot;&quot;},{&quot;family&quot;:&quot;Collins&quot;,&quot;given&quot;:&quot;Gavin&quot;,&quot;parse-names&quot;:false,&quot;dropping-particle&quot;:&quot;&quot;,&quot;non-dropping-particle&quot;:&quot;&quot;},{&quot;family&quot;:&quot;Colwell&quot;,&quot;given&quot;:&quot;Rita R.&quot;,&quot;parse-names&quot;:false,&quot;dropping-particle&quot;:&quot;&quot;,&quot;non-dropping-particle&quot;:&quot;&quot;},{&quot;family&quot;:&quot;Contreras&quot;,&quot;given&quot;:&quot;Mónica&quot;,&quot;parse-names&quot;:false,&quot;dropping-particle&quot;:&quot;&quot;,&quot;non-dropping-particle&quot;:&quot;&quot;},{&quot;family&quot;:&quot;Crary&quot;,&quot;given&quot;:&quot;Benjamin B.&quot;,&quot;parse-names&quot;:false,&quot;dropping-particle&quot;:&quot;&quot;,&quot;non-dropping-particle&quot;:&quot;&quot;},{&quot;family&quot;:&quot;Creer&quot;,&quot;given&quot;:&quot;Simon&quot;,&quot;parse-names&quot;:false,&quot;dropping-particle&quot;:&quot;&quot;,&quot;non-dropping-particle&quot;:&quot;&quot;},{&quot;family&quot;:&quot;Cristol&quot;,&quot;given&quot;:&quot;Daniel A.&quot;,&quot;parse-names&quot;:false,&quot;dropping-particle&quot;:&quot;&quot;,&quot;non-dropping-particle&quot;:&quot;&quot;},{&quot;family&quot;:&quot;Crump&quot;,&quot;given&quot;:&quot;Byron C.&quot;,&quot;parse-names&quot;:false,&quot;dropping-particle&quot;:&quot;&quot;,&quot;non-dropping-particle&quot;:&quot;&quot;},{&quot;family&quot;:&quot;Cui&quot;,&quot;given&quot;:&quot;Duoying&quot;,&quot;parse-names&quot;:false,&quot;dropping-particle&quot;:&quot;&quot;,&quot;non-dropping-particle&quot;:&quot;&quot;},{&quot;family&quot;:&quot;Daly&quot;,&quot;given&quot;:&quot;Sarah E.&quot;,&quot;parse-names&quot;:false,&quot;dropping-particle&quot;:&quot;&quot;,&quot;non-dropping-particle&quot;:&quot;&quot;},{&quot;family&quot;:&quot;Davalos&quot;,&quot;given&quot;:&quot;Liliana&quot;,&quot;parse-names&quot;:false,&quot;dropping-particle&quot;:&quot;&quot;,&quot;non-dropping-particle&quot;:&quot;&quot;},{&quot;family&quot;:&quot;Dawson&quot;,&quot;given&quot;:&quot;Russell D.&quot;,&quot;parse-names&quot;:false,&quot;dropping-particle&quot;:&quot;&quot;,&quot;non-dropping-particle&quot;:&quot;&quot;},{&quot;family&quot;:&quot;Defazio&quot;,&quot;given&quot;:&quot;Jennifer&quot;,&quot;parse-names&quot;:false,&quot;dropping-particle&quot;:&quot;&quot;,&quot;non-dropping-particle&quot;:&quot;&quot;},{&quot;family&quot;:&quot;Delsuc&quot;,&quot;given&quot;:&quot;Frédéric&quot;,&quot;parse-names&quot;:false,&quot;dropping-particle&quot;:&quot;&quot;,&quot;non-dropping-particle&quot;:&quot;&quot;},{&quot;family&quot;:&quot;Dionisi&quot;,&quot;given&quot;:&quot;Hebe M.&quot;,&quot;parse-names&quot;:false,&quot;dropping-particle&quot;:&quot;&quot;,&quot;non-dropping-particle&quot;:&quot;&quot;},{&quot;family&quot;:&quot;Dominguez-Bello&quot;,&quot;given&quot;:&quot;Maria Gloria&quot;,&quot;parse-names&quot;:false,&quot;dropping-particle&quot;:&quot;&quot;,&quot;non-dropping-particle&quot;:&quot;&quot;},{&quot;family&quot;:&quot;Dowell&quot;,&quot;given&quot;:&quot;Robin&quot;,&quot;parse-names&quot;:false,&quot;dropping-particle&quot;:&quot;&quot;,&quot;non-dropping-particle&quot;:&quot;&quot;},{&quot;family&quot;:&quot;Dubinsky&quot;,&quot;given&quot;:&quot;Eric A.&quot;,&quot;parse-names&quot;:false,&quot;dropping-particle&quot;:&quot;&quot;,&quot;non-dropping-particle&quot;:&quot;&quot;},{&quot;family&quot;:&quot;Dunn&quot;,&quot;given&quot;:&quot;Peter O.&quot;,&quot;parse-names&quot;:false,&quot;dropping-particle&quot;:&quot;&quot;,&quot;non-dropping-particle&quot;:&quot;&quot;},{&quot;family&quot;:&quot;Ercolini&quot;,&quot;given&quot;:&quot;Danilo&quot;,&quot;parse-names&quot;:false,&quot;dropping-particle&quot;:&quot;&quot;,&quot;non-dropping-particle&quot;:&quot;&quot;},{&quot;family&quot;:&quot;Espinoza&quot;,&quot;given&quot;:&quot;Robert E.&quot;,&quot;parse-names&quot;:false,&quot;dropping-particle&quot;:&quot;&quot;,&quot;non-dropping-particle&quot;:&quot;&quot;},{&quot;family&quot;:&quot;Ezenwa&quot;,&quot;given&quot;:&quot;Vanessa&quot;,&quot;parse-names&quot;:false,&quot;dropping-particle&quot;:&quot;&quot;,&quot;non-dropping-particle&quot;:&quot;&quot;},{&quot;family&quot;:&quot;Fenner&quot;,&quot;given&quot;:&quot;Nathalie&quot;,&quot;parse-names&quot;:false,&quot;dropping-particle&quot;:&quot;&quot;,&quot;non-dropping-particle&quot;:&quot;&quot;},{&quot;family&quot;:&quot;Findlay&quot;,&quot;given&quot;:&quot;Helen S.&quot;,&quot;parse-names&quot;:false,&quot;dropping-particle&quot;:&quot;&quot;,&quot;non-dropping-particle&quot;:&quot;&quot;},{&quot;family&quot;:&quot;Fleming&quot;,&quot;given&quot;:&quot;Irma D.&quot;,&quot;parse-names&quot;:false,&quot;dropping-particle&quot;:&quot;&quot;,&quot;non-dropping-particle&quot;:&quot;&quot;},{&quot;family&quot;:&quot;Fogliano&quot;,&quot;given&quot;:&quot;Vincenzo&quot;,&quot;parse-names&quot;:false,&quot;dropping-particle&quot;:&quot;&quot;,&quot;non-dropping-particle&quot;:&quot;&quot;},{&quot;family&quot;:&quot;Forsman&quot;,&quot;given&quot;:&quot;Anna&quot;,&quot;parse-names&quot;:false,&quot;dropping-particle&quot;:&quot;&quot;,&quot;non-dropping-particle&quot;:&quot;&quot;},{&quot;family&quot;:&quot;Freeman&quot;,&quot;given&quot;:&quot;Chris&quot;,&quot;parse-names&quot;:false,&quot;dropping-particle&quot;:&quot;&quot;,&quot;non-dropping-particle&quot;:&quot;&quot;},{&quot;family&quot;:&quot;Friedman&quot;,&quot;given&quot;:&quot;Elliot S.&quot;,&quot;parse-names&quot;:false,&quot;dropping-particle&quot;:&quot;&quot;,&quot;non-dropping-particle&quot;:&quot;&quot;},{&quot;family&quot;:&quot;Galindo&quot;,&quot;given&quot;:&quot;Giancarlo&quot;,&quot;parse-names&quot;:false,&quot;dropping-particle&quot;:&quot;&quot;,&quot;non-dropping-particle&quot;:&quot;&quot;},{&quot;family&quot;:&quot;Garcia&quot;,&quot;given&quot;:&quot;Liza&quot;,&quot;parse-names&quot;:false,&quot;dropping-particle&quot;:&quot;&quot;,&quot;non-dropping-particle&quot;:&quot;&quot;},{&quot;family&quot;:&quot;Garcia-Amado&quot;,&quot;given&quot;:&quot;Maria Alexandra&quot;,&quot;parse-names&quot;:false,&quot;dropping-particle&quot;:&quot;&quot;,&quot;non-dropping-particle&quot;:&quot;&quot;},{&quot;family&quot;:&quot;Garshelis&quot;,&quot;given&quot;:&quot;David&quot;,&quot;parse-names&quot;:false,&quot;dropping-particle&quot;:&quot;&quot;,&quot;non-dropping-particle&quot;:&quot;&quot;},{&quot;family&quot;:&quot;Gasser&quot;,&quot;given&quot;:&quot;Robin B.&quot;,&quot;parse-names&quot;:false,&quot;dropping-particle&quot;:&quot;&quot;,&quot;non-dropping-particle&quot;:&quot;&quot;},{&quot;family&quot;:&quot;Gerdts&quot;,&quot;given&quot;:&quot;Gunnar&quot;,&quot;parse-names&quot;:false,&quot;dropping-particle&quot;:&quot;&quot;,&quot;non-dropping-particle&quot;:&quot;&quot;},{&quot;family&quot;:&quot;Gibson&quot;,&quot;given&quot;:&quot;Molly K.&quot;,&quot;parse-names&quot;:false,&quot;dropping-particle&quot;:&quot;&quot;,&quot;non-dropping-particle&quot;:&quot;&quot;},{&quot;family&quot;:&quot;Gifford&quot;,&quot;given&quot;:&quot;Isaac&quot;,&quot;parse-names&quot;:false,&quot;dropping-particle&quot;:&quot;&quot;,&quot;non-dropping-particle&quot;:&quot;&quot;},{&quot;family&quot;:&quot;Gill&quot;,&quot;given&quot;:&quot;Ryan T.&quot;,&quot;parse-names&quot;:false,&quot;dropping-particle&quot;:&quot;&quot;,&quot;non-dropping-particle&quot;:&quot;&quot;},{&quot;family&quot;:&quot;Giray&quot;,&quot;given&quot;:&quot;Tugrul&quot;,&quot;parse-names&quot;:false,&quot;dropping-particle&quot;:&quot;&quot;,&quot;non-dropping-particle&quot;:&quot;&quot;},{&quot;family&quot;:&quot;Gittel&quot;,&quot;given&quot;:&quot;Antje&quot;,&quot;parse-names&quot;:false,&quot;dropping-particle&quot;:&quot;&quot;,&quot;non-dropping-particle&quot;:&quot;&quot;},{&quot;family&quot;:&quot;Golyshin&quot;,&quot;given&quot;:&quot;Peter&quot;,&quot;parse-names&quot;:false,&quot;dropping-particle&quot;:&quot;&quot;,&quot;non-dropping-particle&quot;:&quot;&quot;},{&quot;family&quot;:&quot;Gong&quot;,&quot;given&quot;:&quot;Donglai&quot;,&quot;parse-names&quot;:false,&quot;dropping-particle&quot;:&quot;&quot;,&quot;non-dropping-particle&quot;:&quot;&quot;},{&quot;family&quot;:&quot;Grossart&quot;,&quot;given&quot;:&quot;Hans Peter&quot;,&quot;parse-names&quot;:false,&quot;dropping-particle&quot;:&quot;&quot;,&quot;non-dropping-particle&quot;:&quot;&quot;},{&quot;family&quot;:&quot;Guyton&quot;,&quot;given&quot;:&quot;Kristina&quot;,&quot;parse-names&quot;:false,&quot;dropping-particle&quot;:&quot;&quot;,&quot;non-dropping-particle&quot;:&quot;&quot;},{&quot;family&quot;:&quot;Haig&quot;,&quot;given&quot;:&quot;Sarah Jane&quot;,&quot;parse-names&quot;:false,&quot;dropping-particle&quot;:&quot;&quot;,&quot;non-dropping-particle&quot;:&quot;&quot;},{&quot;family&quot;:&quot;Hale&quot;,&quot;given&quot;:&quot;Vanessa&quot;,&quot;parse-names&quot;:false,&quot;dropping-particle&quot;:&quot;&quot;,&quot;non-dropping-particle&quot;:&quot;&quot;},{&quot;family&quot;:&quot;Hall&quot;,&quot;given&quot;:&quot;Ross Stephen&quot;,&quot;parse-names&quot;:false,&quot;dropping-particle&quot;:&quot;&quot;,&quot;non-dropping-particle&quot;:&quot;&quot;},{&quot;family&quot;:&quot;Hallam&quot;,&quot;given&quot;:&quot;Steven J.&quot;,&quot;parse-names&quot;:false,&quot;dropping-particle&quot;:&quot;&quot;,&quot;non-dropping-particle&quot;:&quot;&quot;},{&quot;family&quot;:&quot;Handley&quot;,&quot;given&quot;:&quot;Kim M.&quot;,&quot;parse-names&quot;:false,&quot;dropping-particle&quot;:&quot;&quot;,&quot;non-dropping-particle&quot;:&quot;&quot;},{&quot;family&quot;:&quot;Hasan&quot;,&quot;given&quot;:&quot;Nur A.&quot;,&quot;parse-names&quot;:false,&quot;dropping-particle&quot;:&quot;&quot;,&quot;non-dropping-particle&quot;:&quot;&quot;},{&quot;family&quot;:&quot;Haydon&quot;,&quot;given&quot;:&quot;Shane R.&quot;,&quot;parse-names&quot;:false,&quot;dropping-particle&quot;:&quot;&quot;,&quot;non-dropping-particle&quot;:&quot;&quot;},{&quot;family&quot;:&quot;Hickman&quot;,&quot;given&quot;:&quot;Jonathan E.&quot;,&quot;parse-names&quot;:false,&quot;dropping-particle&quot;:&quot;&quot;,&quot;non-dropping-particle&quot;:&quot;&quot;},{&quot;family&quot;:&quot;Hidalgo&quot;,&quot;given&quot;:&quot;Glida&quot;,&quot;parse-names&quot;:false,&quot;dropping-particle&quot;:&quot;&quot;,&quot;non-dropping-particle&quot;:&quot;&quot;},{&quot;family&quot;:&quot;Hofmockel&quot;,&quot;given&quot;:&quot;Kirsten S.&quot;,&quot;parse-names&quot;:false,&quot;dropping-particle&quot;:&quot;&quot;,&quot;non-dropping-particle&quot;:&quot;&quot;},{&quot;family&quot;:&quot;Hooker&quot;,&quot;given&quot;:&quot;Jeff&quot;,&quot;parse-names&quot;:false,&quot;dropping-particle&quot;:&quot;&quot;,&quot;non-dropping-particle&quot;:&quot;&quot;},{&quot;family&quot;:&quot;Hulth&quot;,&quot;given&quot;:&quot;Stefan&quot;,&quot;parse-names&quot;:false,&quot;dropping-particle&quot;:&quot;&quot;,&quot;non-dropping-particle&quot;:&quot;&quot;},{&quot;family&quot;:&quot;Hultman&quot;,&quot;given&quot;:&quot;Jenni&quot;,&quot;parse-names&quot;:false,&quot;dropping-particle&quot;:&quot;&quot;,&quot;non-dropping-particle&quot;:&quot;&quot;},{&quot;family&quot;:&quot;Hyde&quot;,&quot;given&quot;:&quot;Embriette&quot;,&quot;parse-names&quot;:false,&quot;dropping-particle&quot;:&quot;&quot;,&quot;non-dropping-particle&quot;:&quot;&quot;},{&quot;family&quot;:&quot;Ibáñez-Álamo&quot;,&quot;given&quot;:&quot;Juan Diego&quot;,&quot;parse-names&quot;:false,&quot;dropping-particle&quot;:&quot;&quot;,&quot;non-dropping-particle&quot;:&quot;&quot;},{&quot;family&quot;:&quot;Jastrow&quot;,&quot;given&quot;:&quot;Julie D.&quot;,&quot;parse-names&quot;:false,&quot;dropping-particle&quot;:&quot;&quot;,&quot;non-dropping-particle&quot;:&quot;&quot;},{&quot;family&quot;:&quot;Jex&quot;,&quot;given&quot;:&quot;Aaron R.&quot;,&quot;parse-names&quot;:false,&quot;dropping-particle&quot;:&quot;&quot;,&quot;non-dropping-particle&quot;:&quot;&quot;},{&quot;family&quot;:&quot;Johnson&quot;,&quot;given&quot;:&quot;L. Scott&quot;,&quot;parse-names&quot;:false,&quot;dropping-particle&quot;:&quot;&quot;,&quot;non-dropping-particle&quot;:&quot;&quot;},{&quot;family&quot;:&quot;Johnston&quot;,&quot;given&quot;:&quot;Eric R.&quot;,&quot;parse-names&quot;:false,&quot;dropping-particle&quot;:&quot;&quot;,&quot;non-dropping-particle&quot;:&quot;&quot;},{&quot;family&quot;:&quot;Joseph&quot;,&quot;given&quot;:&quot;Stephen&quot;,&quot;parse-names&quot;:false,&quot;dropping-particle&quot;:&quot;&quot;,&quot;non-dropping-particle&quot;:&quot;&quot;},{&quot;family&quot;:&quot;Jurburg&quot;,&quot;given&quot;:&quot;Stephanie D.&quot;,&quot;parse-names&quot;:false,&quot;dropping-particle&quot;:&quot;&quot;,&quot;non-dropping-particle&quot;:&quot;&quot;},{&quot;family&quot;:&quot;Jurelevicius&quot;,&quot;given&quot;:&quot;Diogo&quot;,&quot;parse-names&quot;:false,&quot;dropping-particle&quot;:&quot;&quot;,&quot;non-dropping-particle&quot;:&quot;&quot;},{&quot;family&quot;:&quot;Karlsson&quot;,&quot;given&quot;:&quot;Anders&quot;,&quot;parse-names&quot;:false,&quot;dropping-particle&quot;:&quot;&quot;,&quot;non-dropping-particle&quot;:&quot;&quot;},{&quot;family&quot;:&quot;Karlsson&quot;,&quot;given&quot;:&quot;Roger&quot;,&quot;parse-names&quot;:false,&quot;dropping-particle&quot;:&quot;&quot;,&quot;non-dropping-particle&quot;:&quot;&quot;},{&quot;family&quot;:&quot;Kauppinen&quot;,&quot;given&quot;:&quot;Seth&quot;,&quot;parse-names&quot;:false,&quot;dropping-particle&quot;:&quot;&quot;,&quot;non-dropping-particle&quot;:&quot;&quot;},{&quot;family&quot;:&quot;Kellogg&quot;,&quot;given&quot;:&quot;Colleen T.E.&quot;,&quot;parse-names&quot;:false,&quot;dropping-particle&quot;:&quot;&quot;,&quot;non-dropping-particle&quot;:&quot;&quot;},{&quot;family&quot;:&quot;Kennedy&quot;,&quot;given&quot;:&quot;Suzanne J.&quot;,&quot;parse-names&quot;:false,&quot;dropping-particle&quot;:&quot;&quot;,&quot;non-dropping-particle&quot;:&quot;&quot;},{&quot;family&quot;:&quot;Kerkhof&quot;,&quot;given&quot;:&quot;Lee J.&quot;,&quot;parse-names&quot;:false,&quot;dropping-particle&quot;:&quot;&quot;,&quot;non-dropping-particle&quot;:&quot;&quot;},{&quot;family&quot;:&quot;King&quot;,&quot;given&quot;:&quot;Gary M.&quot;,&quot;parse-names&quot;:false,&quot;dropping-particle&quot;:&quot;&quot;,&quot;non-dropping-particle&quot;:&quot;&quot;},{&quot;family&quot;:&quot;Kling&quot;,&quot;given&quot;:&quot;George W.&quot;,&quot;parse-names&quot;:false,&quot;dropping-particle&quot;:&quot;&quot;,&quot;non-dropping-particle&quot;:&quot;&quot;},{&quot;family&quot;:&quot;Koehler&quot;,&quot;given&quot;:&quot;Anson&quot;,&quot;parse-names&quot;:false,&quot;dropping-particle&quot;:&quot;v.&quot;,&quot;non-dropping-particle&quot;:&quot;&quot;},{&quot;family&quot;:&quot;Krezalek&quot;,&quot;given&quot;:&quot;Monika&quot;,&quot;parse-names&quot;:false,&quot;dropping-particle&quot;:&quot;&quot;,&quot;non-dropping-particle&quot;:&quot;&quot;},{&quot;family&quot;:&quot;Kueneman&quot;,&quot;given&quot;:&quot;Jordan&quot;,&quot;parse-names&quot;:false,&quot;dropping-particle&quot;:&quot;&quot;,&quot;non-dropping-particle&quot;:&quot;&quot;},{&quot;family&quot;:&quot;Lamendella&quot;,&quot;given&quot;:&quot;Regina&quot;,&quot;parse-names&quot;:false,&quot;dropping-particle&quot;:&quot;&quot;,&quot;non-dropping-particle&quot;:&quot;&quot;},{&quot;family&quot;:&quot;Landon&quot;,&quot;given&quot;:&quot;Emily M.&quot;,&quot;parse-names&quot;:false,&quot;dropping-particle&quot;:&quot;&quot;,&quot;non-dropping-particle&quot;:&quot;&quot;},{&quot;family&quot;:&quot;Lanede Graaf&quot;,&quot;given&quot;:&quot;Kelly&quot;,&quot;parse-names&quot;:false,&quot;dropping-particle&quot;:&quot;&quot;,&quot;non-dropping-particle&quot;:&quot;&quot;},{&quot;family&quot;:&quot;LaRoche&quot;,&quot;given&quot;:&quot;Julie&quot;,&quot;parse-names&quot;:false,&quot;dropping-particle&quot;:&quot;&quot;,&quot;non-dropping-particle&quot;:&quot;&quot;},{&quot;family&quot;:&quot;Larsen&quot;,&quot;given&quot;:&quot;Peter&quot;,&quot;parse-names&quot;:false,&quot;dropping-particle&quot;:&quot;&quot;,&quot;non-dropping-particle&quot;:&quot;&quot;},{&quot;family&quot;:&quot;Laverock&quot;,&quot;given&quot;:&quot;Bonnie&quot;,&quot;parse-names&quot;:false,&quot;dropping-particle&quot;:&quot;&quot;,&quot;non-dropping-particle&quot;:&quot;&quot;},{&quot;family&quot;:&quot;Lax&quot;,&quot;given&quot;:&quot;Simon&quot;,&quot;parse-names&quot;:false,&quot;dropping-particle&quot;:&quot;&quot;,&quot;non-dropping-particle&quot;:&quot;&quot;},{&quot;family&quot;:&quot;Lentino&quot;,&quot;given&quot;:&quot;Miguel&quot;,&quot;parse-names&quot;:false,&quot;dropping-particle&quot;:&quot;&quot;,&quot;non-dropping-particle&quot;:&quot;&quot;},{&quot;family&quot;:&quot;Levin&quot;,&quot;given&quot;:&quot;Iris I.&quot;,&quot;parse-names&quot;:false,&quot;dropping-particle&quot;:&quot;&quot;,&quot;non-dropping-particle&quot;:&quot;&quot;},{&quot;family&quot;:&quot;Liancourt&quot;,&quot;given&quot;:&quot;Pierre&quot;,&quot;parse-names&quot;:false,&quot;dropping-particle&quot;:&quot;&quot;,&quot;non-dropping-particle&quot;:&quot;&quot;},{&quot;family&quot;:&quot;Liang&quot;,&quot;given&quot;:&quot;Wenju&quot;,&quot;parse-names&quot;:false,&quot;dropping-particle&quot;:&quot;&quot;,&quot;non-dropping-particle&quot;:&quot;&quot;},{&quot;family&quot;:&quot;Linz&quot;,&quot;given&quot;:&quot;Alexandra M.&quot;,&quot;parse-names&quot;:false,&quot;dropping-particle&quot;:&quot;&quot;,&quot;non-dropping-particle&quot;:&quot;&quot;},{&quot;family&quot;:&quot;Lipson&quot;,&quot;given&quot;:&quot;David A.&quot;,&quot;parse-names&quot;:false,&quot;dropping-particle&quot;:&quot;&quot;,&quot;non-dropping-particle&quot;:&quot;&quot;},{&quot;family&quot;:&quot;Liu&quot;,&quot;given&quot;:&quot;Yongqin&quot;,&quot;parse-names&quot;:false,&quot;dropping-particle&quot;:&quot;&quot;,&quot;non-dropping-particle&quot;:&quot;&quot;},{&quot;family&quot;:&quot;Lladser&quot;,&quot;given&quot;:&quot;Manuel E.&quot;,&quot;parse-names&quot;:false,&quot;dropping-particle&quot;:&quot;&quot;,&quot;non-dropping-particle&quot;:&quot;&quot;},{&quot;family&quot;:&quot;Lozada&quot;,&quot;given&quot;:&quot;Mariana&quot;,&quot;parse-names&quot;:false,&quot;dropping-particle&quot;:&quot;&quot;,&quot;non-dropping-particle&quot;:&quot;&quot;},{&quot;family&quot;:&quot;Spirito&quot;,&quot;given&quot;:&quot;Catherine M.&quot;,&quot;parse-names&quot;:false,&quot;dropping-particle&quot;:&quot;&quot;,&quot;non-dropping-particle&quot;:&quot;&quot;},{&quot;family&quot;:&quot;MacCormack&quot;,&quot;given&quot;:&quot;Walter P.&quot;,&quot;parse-names&quot;:false,&quot;dropping-particle&quot;:&quot;&quot;,&quot;non-dropping-particle&quot;:&quot;&quot;},{&quot;family&quot;:&quot;MacRae-Crerar&quot;,&quot;given&quot;:&quot;Aurora&quot;,&quot;parse-names&quot;:false,&quot;dropping-particle&quot;:&quot;&quot;,&quot;non-dropping-particle&quot;:&quot;&quot;},{&quot;family&quot;:&quot;Magris&quot;,&quot;given&quot;:&quot;Magda&quot;,&quot;parse-names&quot;:false,&quot;dropping-particle&quot;:&quot;&quot;,&quot;non-dropping-particle&quot;:&quot;&quot;},{&quot;family&quot;:&quot;Martín-Platero&quot;,&quot;given&quot;:&quot;Antonio M.&quot;,&quot;parse-names&quot;:false,&quot;dropping-particle&quot;:&quot;&quot;,&quot;non-dropping-particle&quot;:&quot;&quot;},{&quot;family&quot;:&quot;Martín-Vivaldi&quot;,&quot;given&quot;:&quot;Manuel&quot;,&quot;parse-names&quot;:false,&quot;dropping-particle&quot;:&quot;&quot;,&quot;non-dropping-particle&quot;:&quot;&quot;},{&quot;family&quot;:&quot;Martínez&quot;,&quot;given&quot;:&quot;L. Margarita&quot;,&quot;parse-names&quot;:false,&quot;dropping-particle&quot;:&quot;&quot;,&quot;non-dropping-particle&quot;:&quot;&quot;},{&quot;family&quot;:&quot;Martínez-Bueno&quot;,&quot;given&quot;:&quot;Manuel&quot;,&quot;parse-names&quot;:false,&quot;dropping-particle&quot;:&quot;&quot;,&quot;non-dropping-particle&quot;:&quot;&quot;},{&quot;family&quot;:&quot;Marzinelli&quot;,&quot;given&quot;:&quot;Ezequiel M.&quot;,&quot;parse-names&quot;:false,&quot;dropping-particle&quot;:&quot;&quot;,&quot;non-dropping-particle&quot;:&quot;&quot;},{&quot;family&quot;:&quot;Mason&quot;,&quot;given&quot;:&quot;Olivia U.&quot;,&quot;parse-names&quot;:false,&quot;dropping-particle&quot;:&quot;&quot;,&quot;non-dropping-particle&quot;:&quot;&quot;},{&quot;family&quot;:&quot;Mayer&quot;,&quot;given&quot;:&quot;Gregory D.&quot;,&quot;parse-names&quot;:false,&quot;dropping-particle&quot;:&quot;&quot;,&quot;non-dropping-particle&quot;:&quot;&quot;},{&quot;family&quot;:&quot;McDevitt-Irwin&quot;,&quot;given&quot;:&quot;Jamie M.&quot;,&quot;parse-names&quot;:false,&quot;dropping-particle&quot;:&quot;&quot;,&quot;non-dropping-particle&quot;:&quot;&quot;},{&quot;family&quot;:&quot;McDonald&quot;,&quot;given&quot;:&quot;James E.&quot;,&quot;parse-names&quot;:false,&quot;dropping-particle&quot;:&quot;&quot;,&quot;non-dropping-particle&quot;:&quot;&quot;},{&quot;family&quot;:&quot;McGuire&quot;,&quot;given&quot;:&quot;Krista L.&quot;,&quot;parse-names&quot;:false,&quot;dropping-particle&quot;:&quot;&quot;,&quot;non-dropping-particle&quot;:&quot;&quot;},{&quot;family&quot;:&quot;McMahon&quot;,&quot;given&quot;:&quot;Katherine D.&quot;,&quot;parse-names&quot;:false,&quot;dropping-particle&quot;:&quot;&quot;,&quot;non-dropping-particle&quot;:&quot;&quot;},{&quot;family&quot;:&quot;McMinds&quot;,&quot;given&quot;:&quot;Ryan&quot;,&quot;parse-names&quot;:false,&quot;dropping-particle&quot;:&quot;&quot;,&quot;non-dropping-particle&quot;:&quot;&quot;},{&quot;family&quot;:&quot;Medina&quot;,&quot;given&quot;:&quot;Mónica&quot;,&quot;parse-names&quot;:false,&quot;dropping-particle&quot;:&quot;&quot;,&quot;non-dropping-particle&quot;:&quot;&quot;},{&quot;family&quot;:&quot;Mendelson&quot;,&quot;given&quot;:&quot;Joseph R.&quot;,&quot;parse-names&quot;:false,&quot;dropping-particle&quot;:&quot;&quot;,&quot;non-dropping-particle&quot;:&quot;&quot;},{&quot;family&quot;:&quot;Metcalf&quot;,&quot;given&quot;:&quot;Jessica L.&quot;,&quot;parse-names&quot;:false,&quot;dropping-particle&quot;:&quot;&quot;,&quot;non-dropping-particle&quot;:&quot;&quot;},{&quot;family&quot;:&quot;Meyer&quot;,&quot;given&quot;:&quot;Folker&quot;,&quot;parse-names&quot;:false,&quot;dropping-particle&quot;:&quot;&quot;,&quot;non-dropping-particle&quot;:&quot;&quot;},{&quot;family&quot;:&quot;Michelangeli&quot;,&quot;given&quot;:&quot;Fabian&quot;,&quot;parse-names&quot;:false,&quot;dropping-particle&quot;:&quot;&quot;,&quot;non-dropping-particle&quot;:&quot;&quot;},{&quot;family&quot;:&quot;Miller&quot;,&quot;given&quot;:&quot;Kim&quot;,&quot;parse-names&quot;:false,&quot;dropping-particle&quot;:&quot;&quot;,&quot;non-dropping-particle&quot;:&quot;&quot;},{&quot;family&quot;:&quot;Mills&quot;,&quot;given&quot;:&quot;David A.&quot;,&quot;parse-names&quot;:false,&quot;dropping-particle&quot;:&quot;&quot;,&quot;non-dropping-particle&quot;:&quot;&quot;},{&quot;family&quot;:&quot;Minich&quot;,&quot;given&quot;:&quot;Jeremiah&quot;,&quot;parse-names&quot;:false,&quot;dropping-particle&quot;:&quot;&quot;,&quot;non-dropping-particle&quot;:&quot;&quot;},{&quot;family&quot;:&quot;Mocali&quot;,&quot;given&quot;:&quot;Stefano&quot;,&quot;parse-names&quot;:false,&quot;dropping-particle&quot;:&quot;&quot;,&quot;non-dropping-particle&quot;:&quot;&quot;},{&quot;family&quot;:&quot;Moitinho-Silva&quot;,&quot;given&quot;:&quot;Lucas&quot;,&quot;parse-names&quot;:false,&quot;dropping-particle&quot;:&quot;&quot;,&quot;non-dropping-particle&quot;:&quot;&quot;},{&quot;family&quot;:&quot;Moore&quot;,&quot;given&quot;:&quot;Anni&quot;,&quot;parse-names&quot;:false,&quot;dropping-particle&quot;:&quot;&quot;,&quot;non-dropping-particle&quot;:&quot;&quot;},{&quot;family&quot;:&quot;Morgan-Kiss&quot;,&quot;given&quot;:&quot;Rachael M.&quot;,&quot;parse-names&quot;:false,&quot;dropping-particle&quot;:&quot;&quot;,&quot;non-dropping-particle&quot;:&quot;&quot;},{&quot;family&quot;:&quot;Munroe&quot;,&quot;given&quot;:&quot;Paul&quot;,&quot;parse-names&quot;:false,&quot;dropping-particle&quot;:&quot;&quot;,&quot;non-dropping-particle&quot;:&quot;&quot;},{&quot;family&quot;:&quot;Myrold&quot;,&quot;given&quot;:&quot;David&quot;,&quot;parse-names&quot;:false,&quot;dropping-particle&quot;:&quot;&quot;,&quot;non-dropping-particle&quot;:&quot;&quot;},{&quot;family&quot;:&quot;Neufeld&quot;,&quot;given&quot;:&quot;Josh D.&quot;,&quot;parse-names&quot;:false,&quot;dropping-particle&quot;:&quot;&quot;,&quot;non-dropping-particle&quot;:&quot;&quot;},{&quot;family&quot;:&quot;Ni&quot;,&quot;given&quot;:&quot;Yingying&quot;,&quot;parse-names&quot;:false,&quot;dropping-particle&quot;:&quot;&quot;,&quot;non-dropping-particle&quot;:&quot;&quot;},{&quot;family&quot;:&quot;Nicol&quot;,&quot;given&quot;:&quot;Graeme W.&quot;,&quot;parse-names&quot;:false,&quot;dropping-particle&quot;:&quot;&quot;,&quot;non-dropping-particle&quot;:&quot;&quot;},{&quot;family&quot;:&quot;Nielsen&quot;,&quot;given&quot;:&quot;Shaun&quot;,&quot;parse-names&quot;:false,&quot;dropping-particle&quot;:&quot;&quot;,&quot;non-dropping-particle&quot;:&quot;&quot;},{&quot;family&quot;:&quot;Nissimov&quot;,&quot;given&quot;:&quot;Jozef I.&quot;,&quot;parse-names&quot;:false,&quot;dropping-particle&quot;:&quot;&quot;,&quot;non-dropping-particle&quot;:&quot;&quot;},{&quot;family&quot;:&quot;Niu&quot;,&quot;given&quot;:&quot;Kefeng&quot;,&quot;parse-names&quot;:false,&quot;dropping-particle&quot;:&quot;&quot;,&quot;non-dropping-particle&quot;:&quot;&quot;},{&quot;family&quot;:&quot;Nolan&quot;,&quot;given&quot;:&quot;Matthew J.&quot;,&quot;parse-names&quot;:false,&quot;dropping-particle&quot;:&quot;&quot;,&quot;non-dropping-particle&quot;:&quot;&quot;},{&quot;family&quot;:&quot;Noyce&quot;,&quot;given&quot;:&quot;Karen&quot;,&quot;parse-names&quot;:false,&quot;dropping-particle&quot;:&quot;&quot;,&quot;non-dropping-particle&quot;:&quot;&quot;},{&quot;family&quot;:&quot;O'Brien&quot;,&quot;given&quot;:&quot;Sarah L.&quot;,&quot;parse-names&quot;:false,&quot;dropping-particle&quot;:&quot;&quot;,&quot;non-dropping-particle&quot;:&quot;&quot;},{&quot;family&quot;:&quot;Okamoto&quot;,&quot;given&quot;:&quot;Noriko&quot;,&quot;parse-names&quot;:false,&quot;dropping-particle&quot;:&quot;&quot;,&quot;non-dropping-particle&quot;:&quot;&quot;},{&quot;family&quot;:&quot;Orlando&quot;,&quot;given&quot;:&quot;Ludovic&quot;,&quot;parse-names&quot;:false,&quot;dropping-particle&quot;:&quot;&quot;,&quot;non-dropping-particle&quot;:&quot;&quot;},{&quot;family&quot;:&quot;Castellano&quot;,&quot;given&quot;:&quot;Yadira Ortiz&quot;,&quot;parse-names&quot;:false,&quot;dropping-particle&quot;:&quot;&quot;,&quot;non-dropping-particle&quot;:&quot;&quot;},{&quot;family&quot;:&quot;Osuolale&quot;,&quot;given&quot;:&quot;Olayinka&quot;,&quot;parse-names&quot;:false,&quot;dropping-particle&quot;:&quot;&quot;,&quot;non-dropping-particle&quot;:&quot;&quot;},{&quot;family&quot;:&quot;Oswald&quot;,&quot;given&quot;:&quot;Wyatt&quot;,&quot;parse-names&quot;:false,&quot;dropping-particle&quot;:&quot;&quot;,&quot;non-dropping-particle&quot;:&quot;&quot;},{&quot;family&quot;:&quot;Parnell&quot;,&quot;given&quot;:&quot;Jacob&quot;,&quot;parse-names&quot;:false,&quot;dropping-particle&quot;:&quot;&quot;,&quot;non-dropping-particle&quot;:&quot;&quot;},{&quot;family&quot;:&quot;Peralta-Sánchez&quot;,&quot;given&quot;:&quot;Juan M.&quot;,&quot;parse-names&quot;:false,&quot;dropping-particle&quot;:&quot;&quot;,&quot;non-dropping-particle&quot;:&quot;&quot;},{&quot;family&quot;:&quot;Petraitis&quot;,&quot;given&quot;:&quot;Peter&quot;,&quot;parse-names&quot;:false,&quot;dropping-particle&quot;:&quot;&quot;,&quot;non-dropping-particle&quot;:&quot;&quot;},{&quot;family&quot;:&quot;Pfister&quot;,&quot;given&quot;:&quot;Catherine&quot;,&quot;parse-names&quot;:false,&quot;dropping-particle&quot;:&quot;&quot;,&quot;non-dropping-particle&quot;:&quot;&quot;},{&quot;family&quot;:&quot;Pilon-Smits&quot;,&quot;given&quot;:&quot;Elizabeth&quot;,&quot;parse-names&quot;:false,&quot;dropping-particle&quot;:&quot;&quot;,&quot;non-dropping-particle&quot;:&quot;&quot;},{&quot;family&quot;:&quot;Piombino&quot;,&quot;given&quot;:&quot;Paola&quot;,&quot;parse-names&quot;:false,&quot;dropping-particle&quot;:&quot;&quot;,&quot;non-dropping-particle&quot;:&quot;&quot;},{&quot;family&quot;:&quot;Pointing&quot;,&quot;given&quot;:&quot;Stephen B.&quot;,&quot;parse-names&quot;:false,&quot;dropping-particle&quot;:&quot;&quot;,&quot;non-dropping-particle&quot;:&quot;&quot;},{&quot;family&quot;:&quot;Pollock&quot;,&quot;given&quot;:&quot;F. Joseph&quot;,&quot;parse-names&quot;:false,&quot;dropping-particle&quot;:&quot;&quot;,&quot;non-dropping-particle&quot;:&quot;&quot;},{&quot;family&quot;:&quot;Potter&quot;,&quot;given&quot;:&quot;Caitlin&quot;,&quot;parse-names&quot;:false,&quot;dropping-particle&quot;:&quot;&quot;,&quot;non-dropping-particle&quot;:&quot;&quot;},{&quot;family&quot;:&quot;Prithiviraj&quot;,&quot;given&quot;:&quot;Bharath&quot;,&quot;parse-names&quot;:false,&quot;dropping-particle&quot;:&quot;&quot;,&quot;non-dropping-particle&quot;:&quot;&quot;},{&quot;family&quot;:&quot;Quince&quot;,&quot;given&quot;:&quot;Christopher&quot;,&quot;parse-names&quot;:false,&quot;dropping-particle&quot;:&quot;&quot;,&quot;non-dropping-particle&quot;:&quot;&quot;},{&quot;family&quot;:&quot;Rani&quot;,&quot;given&quot;:&quot;Asha&quot;,&quot;parse-names&quot;:false,&quot;dropping-particle&quot;:&quot;&quot;,&quot;non-dropping-particle&quot;:&quot;&quot;},{&quot;family&quot;:&quot;Ranjan&quot;,&quot;given&quot;:&quot;Ravi&quot;,&quot;parse-names&quot;:false,&quot;dropping-particle&quot;:&quot;&quot;,&quot;non-dropping-particle&quot;:&quot;&quot;},{&quot;family&quot;:&quot;Rao&quot;,&quot;given&quot;:&quot;Subramanya&quot;,&quot;parse-names&quot;:false,&quot;dropping-particle&quot;:&quot;&quot;,&quot;non-dropping-particle&quot;:&quot;&quot;},{&quot;family&quot;:&quot;Rees&quot;,&quot;given&quot;:&quot;Andrew P.&quot;,&quot;parse-names&quot;:false,&quot;dropping-particle&quot;:&quot;&quot;,&quot;non-dropping-particle&quot;:&quot;&quot;},{&quot;family&quot;:&quot;Richardson&quot;,&quot;given&quot;:&quot;Miles&quot;,&quot;parse-names&quot;:false,&quot;dropping-particle&quot;:&quot;&quot;,&quot;non-dropping-particle&quot;:&quot;&quot;},{&quot;family&quot;:&quot;Riebesell&quot;,&quot;given&quot;:&quot;Ulf&quot;,&quot;parse-names&quot;:false,&quot;dropping-particle&quot;:&quot;&quot;,&quot;non-dropping-particle&quot;:&quot;&quot;},{&quot;family&quot;:&quot;Robinson&quot;,&quot;given&quot;:&quot;Carol&quot;,&quot;parse-names&quot;:false,&quot;dropping-particle&quot;:&quot;&quot;,&quot;non-dropping-particle&quot;:&quot;&quot;},{&quot;family&quot;:&quot;Rockne&quot;,&quot;given&quot;:&quot;Karl J.&quot;,&quot;parse-names&quot;:false,&quot;dropping-particle&quot;:&quot;&quot;,&quot;non-dropping-particle&quot;:&quot;&quot;},{&quot;family&quot;:&quot;Rodriguezl&quot;,&quot;given&quot;:&quot;Selena Marie&quot;,&quot;parse-names&quot;:false,&quot;dropping-particle&quot;:&quot;&quot;,&quot;non-dropping-particle&quot;:&quot;&quot;},{&quot;family&quot;:&quot;Rohwer&quot;,&quot;given&quot;:&quot;Forest&quot;,&quot;parse-names&quot;:false,&quot;dropping-particle&quot;:&quot;&quot;,&quot;non-dropping-particle&quot;:&quot;&quot;},{&quot;family&quot;:&quot;Roundstone&quot;,&quot;given&quot;:&quot;Wayne&quot;,&quot;parse-names&quot;:false,&quot;dropping-particle&quot;:&quot;&quot;,&quot;non-dropping-particle&quot;:&quot;&quot;},{&quot;family&quot;:&quot;Safran&quot;,&quot;given&quot;:&quot;Rebecca J.&quot;,&quot;parse-names&quot;:false,&quot;dropping-particle&quot;:&quot;&quot;,&quot;non-dropping-particle&quot;:&quot;&quot;},{&quot;family&quot;:&quot;Sangwan&quot;,&quot;given&quot;:&quot;Naseer&quot;,&quot;parse-names&quot;:false,&quot;dropping-particle&quot;:&quot;&quot;,&quot;non-dropping-particle&quot;:&quot;&quot;},{&quot;family&quot;:&quot;Sanz&quot;,&quot;given&quot;:&quot;Virginia&quot;,&quot;parse-names&quot;:false,&quot;dropping-particle&quot;:&quot;&quot;,&quot;non-dropping-particle&quot;:&quot;&quot;},{&quot;family&quot;:&quot;Schrenk&quot;,&quot;given&quot;:&quot;Matthew&quot;,&quot;parse-names&quot;:false,&quot;dropping-particle&quot;:&quot;&quot;,&quot;non-dropping-particle&quot;:&quot;&quot;},{&quot;family&quot;:&quot;Schrenzel&quot;,&quot;given&quot;:&quot;Mark D.&quot;,&quot;parse-names&quot;:false,&quot;dropping-particle&quot;:&quot;&quot;,&quot;non-dropping-particle&quot;:&quot;&quot;},{&quot;family&quot;:&quot;Scott&quot;,&quot;given&quot;:&quot;Nicole M.&quot;,&quot;parse-names&quot;:false,&quot;dropping-particle&quot;:&quot;&quot;,&quot;non-dropping-particle&quot;:&quot;&quot;},{&quot;family&quot;:&quot;Seger&quot;,&quot;given&quot;:&quot;Rita L.&quot;,&quot;parse-names&quot;:false,&quot;dropping-particle&quot;:&quot;&quot;,&quot;non-dropping-particle&quot;:&quot;&quot;},{&quot;family&quot;:&quot;Seguinorlando&quot;,&quot;given&quot;:&quot;Andaine&quot;,&quot;parse-names&quot;:false,&quot;dropping-particle&quot;:&quot;&quot;,&quot;non-dropping-particle&quot;:&quot;&quot;},{&quot;family&quot;:&quot;Seldin&quot;,&quot;given&quot;:&quot;Lucy&quot;,&quot;parse-names&quot;:false,&quot;dropping-particle&quot;:&quot;&quot;,&quot;non-dropping-particle&quot;:&quot;&quot;},{&quot;family&quot;:&quot;Seyler&quot;,&quot;given&quot;:&quot;Lauren M.&quot;,&quot;parse-names&quot;:false,&quot;dropping-particle&quot;:&quot;&quot;,&quot;non-dropping-particle&quot;:&quot;&quot;},{&quot;family&quot;:&quot;Shakhsheer&quot;,&quot;given&quot;:&quot;Baddr&quot;,&quot;parse-names&quot;:false,&quot;dropping-particle&quot;:&quot;&quot;,&quot;non-dropping-particle&quot;:&quot;&quot;},{&quot;family&quot;:&quot;Sheets&quot;,&quot;given&quot;:&quot;Gabriela M.&quot;,&quot;parse-names&quot;:false,&quot;dropping-particle&quot;:&quot;&quot;,&quot;non-dropping-particle&quot;:&quot;&quot;},{&quot;family&quot;:&quot;Shen&quot;,&quot;given&quot;:&quot;Congcong&quot;,&quot;parse-names&quot;:false,&quot;dropping-particle&quot;:&quot;&quot;,&quot;non-dropping-particle&quot;:&quot;&quot;},{&quot;family&quot;:&quot;Shi&quot;,&quot;given&quot;:&quot;Yu&quot;,&quot;parse-names&quot;:false,&quot;dropping-particle&quot;:&quot;&quot;,&quot;non-dropping-particle&quot;:&quot;&quot;},{&quot;family&quot;:&quot;Shin&quot;,&quot;given&quot;:&quot;Hakdong&quot;,&quot;parse-names&quot;:false,&quot;dropping-particle&quot;:&quot;&quot;,&quot;non-dropping-particle&quot;:&quot;&quot;},{&quot;family&quot;:&quot;Shogan&quot;,&quot;given&quot;:&quot;Benjamin D.&quot;,&quot;parse-names&quot;:false,&quot;dropping-particle&quot;:&quot;&quot;,&quot;non-dropping-particle&quot;:&quot;&quot;},{&quot;family&quot;:&quot;Shutler&quot;,&quot;given&quot;:&quot;Dave&quot;,&quot;parse-names&quot;:false,&quot;dropping-particle&quot;:&quot;&quot;,&quot;non-dropping-particle&quot;:&quot;&quot;},{&quot;family&quot;:&quot;Siegel&quot;,&quot;given&quot;:&quot;Jeffrey&quot;,&quot;parse-names&quot;:false,&quot;dropping-particle&quot;:&quot;&quot;,&quot;non-dropping-particle&quot;:&quot;&quot;},{&quot;family&quot;:&quot;Simmons&quot;,&quot;given&quot;:&quot;Steve&quot;,&quot;parse-names&quot;:false,&quot;dropping-particle&quot;:&quot;&quot;,&quot;non-dropping-particle&quot;:&quot;&quot;},{&quot;family&quot;:&quot;Sjöling&quot;,&quot;given&quot;:&quot;Sara&quot;,&quot;parse-names&quot;:false,&quot;dropping-particle&quot;:&quot;&quot;,&quot;non-dropping-particle&quot;:&quot;&quot;},{&quot;family&quot;:&quot;Smith&quot;,&quot;given&quot;:&quot;Daniel P.&quot;,&quot;parse-names&quot;:false,&quot;dropping-particle&quot;:&quot;&quot;,&quot;non-dropping-particle&quot;:&quot;&quot;},{&quot;family&quot;:&quot;Soler&quot;,&quot;given&quot;:&quot;Juan J.&quot;,&quot;parse-names&quot;:false,&quot;dropping-particle&quot;:&quot;&quot;,&quot;non-dropping-particle&quot;:&quot;&quot;},{&quot;family&quot;:&quot;Sperling&quot;,&quot;given&quot;:&quot;Martin&quot;,&quot;parse-names&quot;:false,&quot;dropping-particle&quot;:&quot;&quot;,&quot;non-dropping-particle&quot;:&quot;&quot;},{&quot;family&quot;:&quot;Steinberg&quot;,&quot;given&quot;:&quot;Peter D.&quot;,&quot;parse-names&quot;:false,&quot;dropping-particle&quot;:&quot;&quot;,&quot;non-dropping-particle&quot;:&quot;&quot;},{&quot;family&quot;:&quot;Stephens&quot;,&quot;given&quot;:&quot;Brent&quot;,&quot;parse-names&quot;:false,&quot;dropping-particle&quot;:&quot;&quot;,&quot;non-dropping-particle&quot;:&quot;&quot;},{&quot;family&quot;:&quot;Stevens&quot;,&quot;given&quot;:&quot;Melita A.&quot;,&quot;parse-names&quot;:false,&quot;dropping-particle&quot;:&quot;&quot;,&quot;non-dropping-particle&quot;:&quot;&quot;},{&quot;family&quot;:&quot;Taghavi&quot;,&quot;given&quot;:&quot;Safiyh&quot;,&quot;parse-names&quot;:false,&quot;dropping-particle&quot;:&quot;&quot;,&quot;non-dropping-particle&quot;:&quot;&quot;},{&quot;family&quot;:&quot;Tai&quot;,&quot;given&quot;:&quot;Vera&quot;,&quot;parse-names&quot;:false,&quot;dropping-particle&quot;:&quot;&quot;,&quot;non-dropping-particle&quot;:&quot;&quot;},{&quot;family&quot;:&quot;Tait&quot;,&quot;given&quot;:&quot;Karen&quot;,&quot;parse-names&quot;:false,&quot;dropping-particle&quot;:&quot;&quot;,&quot;non-dropping-particle&quot;:&quot;&quot;},{&quot;family&quot;:&quot;Tan&quot;,&quot;given&quot;:&quot;Chia L.&quot;,&quot;parse-names&quot;:false,&quot;dropping-particle&quot;:&quot;&quot;,&quot;non-dropping-particle&quot;:&quot;&quot;},{&quot;family&quot;:&quot;Taş&quot;,&quot;given&quot;:&quot;Neslihan&quot;,&quot;parse-names&quot;:false,&quot;dropping-particle&quot;:&quot;&quot;,&quot;non-dropping-particle&quot;:&quot;&quot;},{&quot;family&quot;:&quot;Taylor&quot;,&quot;given&quot;:&quot;D. Lee&quot;,&quot;parse-names&quot;:false,&quot;dropping-particle&quot;:&quot;&quot;,&quot;non-dropping-particle&quot;:&quot;&quot;},{&quot;family&quot;:&quot;Thomas&quot;,&quot;given&quot;:&quot;Torsten&quot;,&quot;parse-names&quot;:false,&quot;dropping-particle&quot;:&quot;&quot;,&quot;non-dropping-particle&quot;:&quot;&quot;},{&quot;family&quot;:&quot;Timling&quot;,&quot;given&quot;:&quot;Ina&quot;,&quot;parse-names&quot;:false,&quot;dropping-particle&quot;:&quot;&quot;,&quot;non-dropping-particle&quot;:&quot;&quot;},{&quot;family&quot;:&quot;Turner&quot;,&quot;given&quot;:&quot;Benjamin L.&quot;,&quot;parse-names&quot;:false,&quot;dropping-particle&quot;:&quot;&quot;,&quot;non-dropping-particle&quot;:&quot;&quot;},{&quot;family&quot;:&quot;Urich&quot;,&quot;given&quot;:&quot;Tim&quot;,&quot;parse-names&quot;:false,&quot;dropping-particle&quot;:&quot;&quot;,&quot;non-dropping-particle&quot;:&quot;&quot;},{&quot;family&quot;:&quot;Ursell&quot;,&quot;given&quot;:&quot;Luke K.&quot;,&quot;parse-names&quot;:false,&quot;dropping-particle&quot;:&quot;&quot;,&quot;non-dropping-particle&quot;:&quot;&quot;},{&quot;family&quot;:&quot;Lelie&quot;,&quot;given&quot;:&quot;Daniel&quot;,&quot;parse-names&quot;:false,&quot;dropping-particle&quot;:&quot;&quot;,&quot;non-dropping-particle&quot;:&quot;van der&quot;},{&quot;family&quot;:&quot;Treuren&quot;,&quot;given&quot;:&quot;William&quot;,&quot;parse-names&quot;:false,&quot;dropping-particle&quot;:&quot;&quot;,&quot;non-dropping-particle&quot;:&quot;van&quot;},{&quot;family&quot;:&quot;Zwieten&quot;,&quot;given&quot;:&quot;Lukas&quot;,&quot;parse-names&quot;:false,&quot;dropping-particle&quot;:&quot;&quot;,&quot;non-dropping-particle&quot;:&quot;van&quot;},{&quot;family&quot;:&quot;Vargas-Robles&quot;,&quot;given&quot;:&quot;Daniela&quot;,&quot;parse-names&quot;:false,&quot;dropping-particle&quot;:&quot;&quot;,&quot;non-dropping-particle&quot;:&quot;&quot;},{&quot;family&quot;:&quot;Thurber&quot;,&quot;given&quot;:&quot;Rebecca Vega&quot;,&quot;parse-names&quot;:false,&quot;dropping-particle&quot;:&quot;&quot;,&quot;non-dropping-particle&quot;:&quot;&quot;},{&quot;family&quot;:&quot;Vitaglione&quot;,&quot;given&quot;:&quot;Paola&quot;,&quot;parse-names&quot;:false,&quot;dropping-particle&quot;:&quot;&quot;,&quot;non-dropping-particle&quot;:&quot;&quot;},{&quot;family&quot;:&quot;Walker&quot;,&quot;given&quot;:&quot;Donald A.&quot;,&quot;parse-names&quot;:false,&quot;dropping-particle&quot;:&quot;&quot;,&quot;non-dropping-particle&quot;:&quot;&quot;},{&quot;family&quot;:&quot;Walters&quot;,&quot;given&quot;:&quot;William A.&quot;,&quot;parse-names&quot;:false,&quot;dropping-particle&quot;:&quot;&quot;,&quot;non-dropping-particle&quot;:&quot;&quot;},{&quot;family&quot;:&quot;Wang&quot;,&quot;given&quot;:&quot;Shi&quot;,&quot;parse-names&quot;:false,&quot;dropping-particle&quot;:&quot;&quot;,&quot;non-dropping-particle&quot;:&quot;&quot;},{&quot;family&quot;:&quot;Wang&quot;,&quot;given&quot;:&quot;Tao&quot;,&quot;parse-names&quot;:false,&quot;dropping-particle&quot;:&quot;&quot;,&quot;non-dropping-particle&quot;:&quot;&quot;},{&quot;family&quot;:&quot;Weaver&quot;,&quot;given&quot;:&quot;Tom&quot;,&quot;parse-names&quot;:false,&quot;dropping-particle&quot;:&quot;&quot;,&quot;non-dropping-particle&quot;:&quot;&quot;},{&quot;family&quot;:&quot;Webster&quot;,&quot;given&quot;:&quot;Nicole S.&quot;,&quot;parse-names&quot;:false,&quot;dropping-particle&quot;:&quot;&quot;,&quot;non-dropping-particle&quot;:&quot;&quot;},{&quot;family&quot;:&quot;Wehrle&quot;,&quot;given&quot;:&quot;Beck&quot;,&quot;parse-names&quot;:false,&quot;dropping-particle&quot;:&quot;&quot;,&quot;non-dropping-particle&quot;:&quot;&quot;},{&quot;family&quot;:&quot;Weisenhorn&quot;,&quot;given&quot;:&quot;Pamela&quot;,&quot;parse-names&quot;:false,&quot;dropping-particle&quot;:&quot;&quot;,&quot;non-dropping-particle&quot;:&quot;&quot;},{&quot;family&quot;:&quot;Weiss&quot;,&quot;given&quot;:&quot;Sophie&quot;,&quot;parse-names&quot;:false,&quot;dropping-particle&quot;:&quot;&quot;,&quot;non-dropping-particle&quot;:&quot;&quot;},{&quot;family&quot;:&quot;Werner&quot;,&quot;given&quot;:&quot;Jeffrey J.&quot;,&quot;parse-names&quot;:false,&quot;dropping-particle&quot;:&quot;&quot;,&quot;non-dropping-particle&quot;:&quot;&quot;},{&quot;family&quot;:&quot;West&quot;,&quot;given&quot;:&quot;Kristin&quot;,&quot;parse-names&quot;:false,&quot;dropping-particle&quot;:&quot;&quot;,&quot;non-dropping-particle&quot;:&quot;&quot;},{&quot;family&quot;:&quot;Whitehead&quot;,&quot;given&quot;:&quot;Andrew&quot;,&quot;parse-names&quot;:false,&quot;dropping-particle&quot;:&quot;&quot;,&quot;non-dropping-particle&quot;:&quot;&quot;},{&quot;family&quot;:&quot;Whitehead&quot;,&quot;given&quot;:&quot;Susan R.&quot;,&quot;parse-names&quot;:false,&quot;dropping-particle&quot;:&quot;&quot;,&quot;non-dropping-particle&quot;:&quot;&quot;},{&quot;family&quot;:&quot;Whittingham&quot;,&quot;given&quot;:&quot;Linda A.&quot;,&quot;parse-names&quot;:false,&quot;dropping-particle&quot;:&quot;&quot;,&quot;non-dropping-particle&quot;:&quot;&quot;},{&quot;family&quot;:&quot;Willerslev&quot;,&quot;given&quot;:&quot;Eske&quot;,&quot;parse-names&quot;:false,&quot;dropping-particle&quot;:&quot;&quot;,&quot;non-dropping-particle&quot;:&quot;&quot;},{&quot;family&quot;:&quot;Williams&quot;,&quot;given&quot;:&quot;Allison E.&quot;,&quot;parse-names&quot;:false,&quot;dropping-particle&quot;:&quot;&quot;,&quot;non-dropping-particle&quot;:&quot;&quot;},{&quot;family&quot;:&quot;Wood&quot;,&quot;given&quot;:&quot;Stephen A.&quot;,&quot;parse-names&quot;:false,&quot;dropping-particle&quot;:&quot;&quot;,&quot;non-dropping-particle&quot;:&quot;&quot;},{&quot;family&quot;:&quot;Woodhams&quot;,&quot;given&quot;:&quot;Douglas C.&quot;,&quot;parse-names&quot;:false,&quot;dropping-particle&quot;:&quot;&quot;,&quot;non-dropping-particle&quot;:&quot;&quot;},{&quot;family&quot;:&quot;Yang&quot;,&quot;given&quot;:&quot;Yeqin&quot;,&quot;parse-names&quot;:false,&quot;dropping-particle&quot;:&quot;&quot;,&quot;non-dropping-particle&quot;:&quot;&quot;},{&quot;family&quot;:&quot;Zaneveld&quot;,&quot;given&quot;:&quot;Jesse&quot;,&quot;parse-names&quot;:false,&quot;dropping-particle&quot;:&quot;&quot;,&quot;non-dropping-particle&quot;:&quot;&quot;},{&quot;family&quot;:&quot;Zarraonaindia&quot;,&quot;given&quot;:&quot;Iratxe&quot;,&quot;parse-names&quot;:false,&quot;dropping-particle&quot;:&quot;&quot;,&quot;non-dropping-particle&quot;:&quot;&quot;},{&quot;family&quot;:&quot;Zhang&quot;,&quot;given&quot;:&quot;Qikun&quot;,&quot;parse-names&quot;:false,&quot;dropping-particle&quot;:&quot;&quot;,&quot;non-dropping-particle&quot;:&quot;&quot;},{&quot;family&quot;:&quot;Zhao&quot;,&quot;given&quot;:&quot;Hongxia&quot;,&quot;parse-names&quot;:false,&quot;dropping-particle&quot;:&quot;&quot;,&quot;non-dropping-particle&quot;:&quot;&quot;}],&quot;container-title&quot;:&quot;Nature&quot;,&quot;container-title-short&quot;:&quot;Nature&quot;,&quot;DOI&quot;:&quot;10.1038/nature24621&quot;,&quot;ISSN&quot;:&quot;14764687&quot;,&quot;PMID&quot;:&quot;29088705&quot;,&quot;issued&quot;:{&quot;date-parts&quot;:[[2017]]},&quot;page&quot;:&quot;457-463&quot;,&quot;abstract&quot;:&quot;Our growing awareness of the microbial world's importance and diversity contrasts starkly with our limited understanding of its fundamental structure. Despite recent advances in DNA sequencing, a lack of standardized protocols and common analytical frameworks impedes comparisons among studies, hindering the development of global inferences about microbial life on Earth. Here we present a meta-analysis of microbial community samples collected by hundreds of researchers for the Earth Microbiome Project. Coordinated protocols and new analytical methods, particularly the use of exact sequences instead of clustered operational taxonomic units, enable bacterial and archaeal ribosomal RNA gene sequences to be followed across multiple studies and allow us to explore patterns of diversity at an unprecedented scale. The result is both a reference database giving global context to DNA sequence data and a framework for incorporating data from future studies, fostering increasingly complete characterization of Earth's microbial diversity.&quot;,&quot;issue&quot;:&quot;7681&quot;,&quot;volume&quot;:&quot;551&quot;},&quot;isTemporary&quot;:false}]},{&quot;citationID&quot;:&quot;MENDELEY_CITATION_4143691f-276c-485f-94a6-0e0571bc48f6&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&quot;,&quot;citationItems&quot;:[{&quot;id&quot;:&quot;7a05b8f0-7ac0-3ed7-b0e6-27621ff500ca&quot;,&quot;itemData&quot;:{&quot;type&quot;:&quot;article-journal&quot;,&quot;id&quot;:&quot;7a05b8f0-7ac0-3ed7-b0e6-27621ff500ca&quot;,&quot;title&quot;:&quot;TerraGenome : a consortium for the sequencing of a soil metagenome&quot;,&quot;author&quot;:[{&quot;family&quot;:&quot;Vogel&quot;,&quot;given&quot;:&quot;T. M.&quot;,&quot;parse-names&quot;:false,&quot;dropping-particle&quot;:&quot;&quot;,&quot;non-dropping-particle&quot;:&quot;&quot;},{&quot;family&quot;:&quot;Jansson&quot;,&quot;given&quot;:&quot;J. K.&quot;,&quot;parse-names&quot;:false,&quot;dropping-particle&quot;:&quot;&quot;,&quot;non-dropping-particle&quot;:&quot;&quot;},{&quot;family&quot;:&quot;Hirsch&quot;,&quot;given&quot;:&quot;P. R.&quot;,&quot;parse-names&quot;:false,&quot;dropping-particle&quot;:&quot;&quot;,&quot;non-dropping-particle&quot;:&quot;&quot;},{&quot;family&quot;:&quot;Tiedje&quot;,&quot;given&quot;:&quot;J. M.&quot;,&quot;parse-names&quot;:false,&quot;dropping-particle&quot;:&quot;&quot;,&quot;non-dropping-particle&quot;:&quot;&quot;},{&quot;family&quot;:&quot;Elsas&quot;,&quot;given&quot;:&quot;Jan Dirk&quot;,&quot;parse-names&quot;:false,&quot;dropping-particle&quot;:&quot;&quot;,&quot;non-dropping-particle&quot;:&quot;van&quot;},{&quot;family&quot;:&quot;Bailey&quot;,&quot;given&quot;:&quot;M. J.&quot;,&quot;parse-names&quot;:false,&quot;dropping-particle&quot;:&quot;&quot;,&quot;non-dropping-particle&quot;:&quot;&quot;},{&quot;family&quot;:&quot;Nalin&quot;,&quot;given&quot;:&quot;R.&quot;,&quot;parse-names&quot;:false,&quot;dropping-particle&quot;:&quot;&quot;,&quot;non-dropping-particle&quot;:&quot;&quot;},{&quot;family&quot;:&quot;Philippot&quot;,&quot;given&quot;:&quot;L.&quot;,&quot;parse-names&quot;:false,&quot;dropping-particle&quot;:&quot;&quot;,&quot;non-dropping-particle&quot;:&quot;&quot;}],&quot;container-title&quot;:&quot;Nature Reviews Microbiology&quot;,&quot;issued&quot;:{&quot;date-parts&quot;:[[2009]]},&quot;page&quot;:&quot;2009&quot;,&quot;issue&quot;:&quot;April&quot;,&quot;volume&quot;:&quot;7&quot;,&quot;container-title-short&quot;:&quot;&quot;},&quot;isTemporary&quot;:false}]},{&quot;citationID&quot;:&quot;MENDELEY_CITATION_a74439e5-fe6a-4f34-a661-a9989eebf0d2&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&quot;,&quot;citationItems&quot;:[{&quot;id&quot;:&quot;6f1c89bd-ef0d-3ad1-9314-71631f673441&quot;,&quot;itemData&quot;:{&quot;type&quot;:&quot;article-journal&quot;,&quot;id&quot;:&quot;6f1c89bd-ef0d-3ad1-9314-71631f673441&quot;,&quot;title&quot;:&quot;Best practices for analysing microbiomes&quot;,&quot;author&quot;:[{&quot;family&quot;:&quot;Knight&quot;,&quot;given&quot;:&quot;Rob&quot;,&quot;parse-names&quot;:false,&quot;dropping-particle&quot;:&quot;&quot;,&quot;non-dropping-particle&quot;:&quot;&quot;},{&quot;family&quot;:&quot;Vrbanac&quot;,&quot;given&quot;:&quot;Alison&quot;,&quot;parse-names&quot;:false,&quot;dropping-particle&quot;:&quot;&quot;,&quot;non-dropping-particle&quot;:&quot;&quot;},{&quot;family&quot;:&quot;Taylor&quot;,&quot;given&quot;:&quot;Bryn C.&quot;,&quot;parse-names&quot;:false,&quot;dropping-particle&quot;:&quot;&quot;,&quot;non-dropping-particle&quot;:&quot;&quot;},{&quot;family&quot;:&quot;Aksenov&quot;,&quot;given&quot;:&quot;Alexander&quot;,&quot;parse-names&quot;:false,&quot;dropping-particle&quot;:&quot;&quot;,&quot;non-dropping-particle&quot;:&quot;&quot;},{&quot;family&quot;:&quot;Callewaert&quot;,&quot;given&quot;:&quot;Chris&quot;,&quot;parse-names&quot;:false,&quot;dropping-particle&quot;:&quot;&quot;,&quot;non-dropping-particle&quot;:&quot;&quot;},{&quot;family&quot;:&quot;Debelius&quot;,&quot;given&quot;:&quot;Justine&quot;,&quot;parse-names&quot;:false,&quot;dropping-particle&quot;:&quot;&quot;,&quot;non-dropping-particle&quot;:&quot;&quot;},{&quot;family&quot;:&quot;Gonzalez&quot;,&quot;given&quot;:&quot;Antonio&quot;,&quot;parse-names&quot;:false,&quot;dropping-particle&quot;:&quot;&quot;,&quot;non-dropping-particle&quot;:&quot;&quot;},{&quot;family&quot;:&quot;Kosciolek&quot;,&quot;given&quot;:&quot;Tomasz&quot;,&quot;parse-names&quot;:false,&quot;dropping-particle&quot;:&quot;&quot;,&quot;non-dropping-particle&quot;:&quot;&quot;},{&quot;family&quot;:&quot;McCall&quot;,&quot;given&quot;:&quot;Laura Isobel&quot;,&quot;parse-names&quot;:false,&quot;dropping-particle&quot;:&quot;&quot;,&quot;non-dropping-particle&quot;:&quot;&quot;},{&quot;family&quot;:&quot;McDonald&quot;,&quot;given&quot;:&quot;Daniel&quot;,&quot;parse-names&quot;:false,&quot;dropping-particle&quot;:&quot;&quot;,&quot;non-dropping-particle&quot;:&quot;&quot;},{&quot;family&quot;:&quot;Melnik&quot;,&quot;given&quot;:&quot;Alexey&quot;,&quot;parse-names&quot;:false,&quot;dropping-particle&quot;:&quot;v.&quot;,&quot;non-dropping-particle&quot;:&quot;&quot;},{&quot;family&quot;:&quot;Morton&quot;,&quot;given&quot;:&quot;James T.&quot;,&quot;parse-names&quot;:false,&quot;dropping-particle&quot;:&quot;&quot;,&quot;non-dropping-particle&quot;:&quot;&quot;},{&quot;family&quot;:&quot;Navas&quot;,&quot;given&quot;:&quot;Jose&quot;,&quot;parse-names&quot;:false,&quot;dropping-particle&quot;:&quot;&quot;,&quot;non-dropping-particle&quot;:&quot;&quot;},{&quot;family&quot;:&quot;Quinn&quot;,&quot;given&quot;:&quot;Robert A.&quot;,&quot;parse-names&quot;:false,&quot;dropping-particle&quot;:&quot;&quot;,&quot;non-dropping-particle&quot;:&quot;&quot;},{&quot;family&quot;:&quot;Sanders&quot;,&quot;given&quot;:&quot;Jon G.&quot;,&quot;parse-names&quot;:false,&quot;dropping-particle&quot;:&quot;&quot;,&quot;non-dropping-particle&quot;:&quot;&quot;},{&quot;family&quot;:&quot;Swafford&quot;,&quot;given&quot;:&quot;Austin D.&quot;,&quot;parse-names&quot;:false,&quot;dropping-particle&quot;:&quot;&quot;,&quot;non-dropping-particle&quot;:&quot;&quot;},{&quot;family&quot;:&quot;Thompson&quot;,&quot;given&quot;:&quot;Luke R.&quot;,&quot;parse-names&quot;:false,&quot;dropping-particle&quot;:&quot;&quot;,&quot;non-dropping-particle&quot;:&quot;&quot;},{&quot;family&quot;:&quot;Tripathi&quot;,&quot;given&quot;:&quot;Anupriya&quot;,&quot;parse-names&quot;:false,&quot;dropping-particle&quot;:&quot;&quot;,&quot;non-dropping-particle&quot;:&quot;&quot;},{&quot;family&quot;:&quot;Xu&quot;,&quot;given&quot;:&quot;Zhenjiang Z.&quot;,&quot;parse-names&quot;:false,&quot;dropping-particle&quot;:&quot;&quot;,&quot;non-dropping-particle&quot;:&quot;&quot;},{&quot;family&quot;:&quot;Zaneveld&quot;,&quot;given&quot;:&quot;Jesse R.&quot;,&quot;parse-names&quot;:false,&quot;dropping-particle&quot;:&quot;&quot;,&quot;non-dropping-particle&quot;:&quot;&quot;},{&quot;family&quot;:&quot;Zhu&quot;,&quot;given&quot;:&quot;Qiyun&quot;,&quot;parse-names&quot;:false,&quot;dropping-particle&quot;:&quot;&quot;,&quot;non-dropping-particle&quot;:&quot;&quot;},{&quot;family&quot;:&quot;Caporaso&quot;,&quot;given&quot;:&quot;J. Gregory&quot;,&quot;parse-names&quot;:false,&quot;dropping-particle&quot;:&quot;&quot;,&quot;non-dropping-particle&quot;:&quot;&quot;},{&quot;family&quot;:&quot;Dorrestein&quot;,&quot;given&quot;:&quot;Pieter C.&quot;,&quot;parse-names&quot;:false,&quot;dropping-particle&quot;:&quot;&quot;,&quot;non-dropping-particle&quot;:&quot;&quot;}],&quot;container-title&quot;:&quot;Nature Reviews Microbiology&quot;,&quot;DOI&quot;:&quot;10.1038/s41579-018-0029-9&quot;,&quot;ISBN&quot;:&quot;4157901800&quot;,&quot;ISSN&quot;:&quot;17401534&quot;,&quot;PMID&quot;:&quot;29795328&quot;,&quot;URL&quot;:&quot;http://dx.doi.org/10.1038/s41579-018-0029-9&quot;,&quot;issued&quot;:{&quot;date-parts&quot;:[[2018]]},&quot;page&quot;:&quot;410-422&quot;,&quot;abstract&quot;:&quot;Complex microbial communities shape the dynamics of various environments, ranging from the mammalian gastrointestinal tract to the soil. Advances in DNA sequencing technologies and data analysis have provided drastic improvements in microbiome analyses, for example, in taxonomic resolution, false discovery rate control and other properties, over earlier methods. In this Review, we discuss the best practices for performing a microbiome study, including experimental design, choice of molecular analysis technology, methods for data analysis and the integration of multiple omics data sets. We focus on recent findings that suggest that operational taxonomic unit-based analyses should be replaced with new methods that are based on exact sequence variants, methods for integrating metagenomic and metabolomic data, and issues surrounding compositional data analysis, where advances have been particularly rapid. We note that although some of these approaches are new, it is important to keep sight of the classic issues that arise during experimental design and relate to research reproducibility. We describe how keeping these issues in mind allows researchers to obtain more insight from their microbiome data sets.&quot;,&quot;publisher&quot;:&quot;Springer US&quot;,&quot;issue&quot;:&quot;7&quot;,&quot;volume&quot;:&quot;16&quot;,&quot;container-title-short&quot;:&quot;&quot;},&quot;isTemporary&quot;:false}]},{&quot;citationID&quot;:&quot;MENDELEY_CITATION_be4d0bdd-c897-4685-90f3-19a2187ef419&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&quot;,&quot;citationItems&quot;:[{&quot;id&quot;:&quot;6b514310-16f6-3eaa-a9cd-b5775bd639da&quot;,&quot;itemData&quot;:{&quot;type&quot;:&quot;article-journal&quot;,&quot;id&quot;:&quot;6b514310-16f6-3eaa-a9cd-b5775bd639da&quot;,&quot;title&quot;:&quot;Reagent and laboratory contamination can critically impact sequence-based microbiome analyses&quot;,&quot;author&quot;:[{&quot;family&quot;:&quot;Salter&quot;,&quot;given&quot;:&quot;Susannah J.&quot;,&quot;parse-names&quot;:false,&quot;dropping-particle&quot;:&quot;&quot;,&quot;non-dropping-particle&quot;:&quot;&quot;},{&quot;family&quot;:&quot;Cox&quot;,&quot;given&quot;:&quot;Michael J.&quot;,&quot;parse-names&quot;:false,&quot;dropping-particle&quot;:&quot;&quot;,&quot;non-dropping-particle&quot;:&quot;&quot;},{&quot;family&quot;:&quot;Turek&quot;,&quot;given&quot;:&quot;Elena M.&quot;,&quot;parse-names&quot;:false,&quot;dropping-particle&quot;:&quot;&quot;,&quot;non-dropping-particle&quot;:&quot;&quot;},{&quot;family&quot;:&quot;Calus&quot;,&quot;given&quot;:&quot;Szymon T.&quot;,&quot;parse-names&quot;:false,&quot;dropping-particle&quot;:&quot;&quot;,&quot;non-dropping-particle&quot;:&quot;&quot;},{&quot;family&quot;:&quot;Cookson&quot;,&quot;given&quot;:&quot;William O.&quot;,&quot;parse-names&quot;:false,&quot;dropping-particle&quot;:&quot;&quot;,&quot;non-dropping-particle&quot;:&quot;&quot;},{&quot;family&quot;:&quot;Moffatt&quot;,&quot;given&quot;:&quot;Miriam F.&quot;,&quot;parse-names&quot;:false,&quot;dropping-particle&quot;:&quot;&quot;,&quot;non-dropping-particle&quot;:&quot;&quot;},{&quot;family&quot;:&quot;Turner&quot;,&quot;given&quot;:&quot;Paul&quot;,&quot;parse-names&quot;:false,&quot;dropping-particle&quot;:&quot;&quot;,&quot;non-dropping-particle&quot;:&quot;&quot;},{&quot;family&quot;:&quot;Parkhill&quot;,&quot;given&quot;:&quot;Julian&quot;,&quot;parse-names&quot;:false,&quot;dropping-particle&quot;:&quot;&quot;,&quot;non-dropping-particle&quot;:&quot;&quot;},{&quot;family&quot;:&quot;Loman&quot;,&quot;given&quot;:&quot;Nicholas J.&quot;,&quot;parse-names&quot;:false,&quot;dropping-particle&quot;:&quot;&quot;,&quot;non-dropping-particle&quot;:&quot;&quot;},{&quot;family&quot;:&quot;Walker&quot;,&quot;given&quot;:&quot;Alan W.&quot;,&quot;parse-names&quot;:false,&quot;dropping-particle&quot;:&quot;&quot;,&quot;non-dropping-particle&quot;:&quot;&quot;}],&quot;container-title&quot;:&quot;BMC Biology&quot;,&quot;DOI&quot;:&quot;10.1186/s12915-014-0087-z&quot;,&quot;ISSN&quot;:&quot;17417007&quot;,&quot;PMID&quot;:&quot;25387460&quot;,&quot;issued&quot;:{&quot;date-parts&quot;:[[2014]]},&quot;page&quot;:&quot;1-12&quot;,&quot;abstract&quot;:&quot;Background: The study of microbial communities has been revolutionised in recent years by the widespread adoption of culture independent analytical techniques such as 16S rRNA gene sequencing and metagenomics. One potential confounder of these sequence-based approaches is the presence of contamination in DNA extraction kits and other laboratory reagents. Results: In this study we demonstrate that contaminating DNA is ubiquitous in commonly used DNA extraction kits and other laboratory reagents, varies greatly in composition between different kits and kit batches, and that this contamination critically impacts results obtained from samples containing a low microbial biomass. Contamination impacts both PCR-based 16S rRNA gene surveys and shotgun metagenomics. We provide an extensive list of potential contaminating genera, and guidelines on how to mitigate the effects of contamination. Conclusions: These results suggest that caution should be advised when applying sequence-based techniques to the study of microbiota present in low biomass environments. Concurrent sequencing of negative control samples is strongly advised.&quot;,&quot;issue&quot;:&quot;1&quot;,&quot;volume&quot;:&quot;12&quot;,&quot;container-title-short&quot;:&quot;&quot;},&quot;isTemporary&quot;:false}]},{&quot;citationID&quot;:&quot;MENDELEY_CITATION_caefac34-6568-4e6a-a529-e72fbd9235e2&quot;,&quot;properties&quot;:{&quot;noteIndex&quot;:0},&quot;isEdited&quot;:false,&quot;manualOverride&quot;:{&quot;isManuallyOverridden&quot;:false,&quot;citeprocText&quot;:&quot;&lt;sup&gt;13,14&lt;/sup&gt;&quot;,&quot;manualOverrideText&quot;:&quot;&quot;},&quot;citationTag&quot;:&quot;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&quot;,&quot;citationItems&quot;:[{&quot;id&quot;:&quot;6b514310-16f6-3eaa-a9cd-b5775bd639da&quot;,&quot;itemData&quot;:{&quot;type&quot;:&quot;article-journal&quot;,&quot;id&quot;:&quot;6b514310-16f6-3eaa-a9cd-b5775bd639da&quot;,&quot;title&quot;:&quot;Reagent and laboratory contamination can critically impact sequence-based microbiome analyses&quot;,&quot;author&quot;:[{&quot;family&quot;:&quot;Salter&quot;,&quot;given&quot;:&quot;Susannah J.&quot;,&quot;parse-names&quot;:false,&quot;dropping-particle&quot;:&quot;&quot;,&quot;non-dropping-particle&quot;:&quot;&quot;},{&quot;family&quot;:&quot;Cox&quot;,&quot;given&quot;:&quot;Michael J.&quot;,&quot;parse-names&quot;:false,&quot;dropping-particle&quot;:&quot;&quot;,&quot;non-dropping-particle&quot;:&quot;&quot;},{&quot;family&quot;:&quot;Turek&quot;,&quot;given&quot;:&quot;Elena M.&quot;,&quot;parse-names&quot;:false,&quot;dropping-particle&quot;:&quot;&quot;,&quot;non-dropping-particle&quot;:&quot;&quot;},{&quot;family&quot;:&quot;Calus&quot;,&quot;given&quot;:&quot;Szymon T.&quot;,&quot;parse-names&quot;:false,&quot;dropping-particle&quot;:&quot;&quot;,&quot;non-dropping-particle&quot;:&quot;&quot;},{&quot;family&quot;:&quot;Cookson&quot;,&quot;given&quot;:&quot;William O.&quot;,&quot;parse-names&quot;:false,&quot;dropping-particle&quot;:&quot;&quot;,&quot;non-dropping-particle&quot;:&quot;&quot;},{&quot;family&quot;:&quot;Moffatt&quot;,&quot;given&quot;:&quot;Miriam F.&quot;,&quot;parse-names&quot;:false,&quot;dropping-particle&quot;:&quot;&quot;,&quot;non-dropping-particle&quot;:&quot;&quot;},{&quot;family&quot;:&quot;Turner&quot;,&quot;given&quot;:&quot;Paul&quot;,&quot;parse-names&quot;:false,&quot;dropping-particle&quot;:&quot;&quot;,&quot;non-dropping-particle&quot;:&quot;&quot;},{&quot;family&quot;:&quot;Parkhill&quot;,&quot;given&quot;:&quot;Julian&quot;,&quot;parse-names&quot;:false,&quot;dropping-particle&quot;:&quot;&quot;,&quot;non-dropping-particle&quot;:&quot;&quot;},{&quot;family&quot;:&quot;Loman&quot;,&quot;given&quot;:&quot;Nicholas J.&quot;,&quot;parse-names&quot;:false,&quot;dropping-particle&quot;:&quot;&quot;,&quot;non-dropping-particle&quot;:&quot;&quot;},{&quot;family&quot;:&quot;Walker&quot;,&quot;given&quot;:&quot;Alan W.&quot;,&quot;parse-names&quot;:false,&quot;dropping-particle&quot;:&quot;&quot;,&quot;non-dropping-particle&quot;:&quot;&quot;}],&quot;container-title&quot;:&quot;BMC Biology&quot;,&quot;DOI&quot;:&quot;10.1186/s12915-014-0087-z&quot;,&quot;ISSN&quot;:&quot;17417007&quot;,&quot;PMID&quot;:&quot;25387460&quot;,&quot;issued&quot;:{&quot;date-parts&quot;:[[2014]]},&quot;page&quot;:&quot;1-12&quot;,&quot;abstract&quot;:&quot;Background: The study of microbial communities has been revolutionised in recent years by the widespread adoption of culture independent analytical techniques such as 16S rRNA gene sequencing and metagenomics. One potential confounder of these sequence-based approaches is the presence of contamination in DNA extraction kits and other laboratory reagents. Results: In this study we demonstrate that contaminating DNA is ubiquitous in commonly used DNA extraction kits and other laboratory reagents, varies greatly in composition between different kits and kit batches, and that this contamination critically impacts results obtained from samples containing a low microbial biomass. Contamination impacts both PCR-based 16S rRNA gene surveys and shotgun metagenomics. We provide an extensive list of potential contaminating genera, and guidelines on how to mitigate the effects of contamination. Conclusions: These results suggest that caution should be advised when applying sequence-based techniques to the study of microbiota present in low biomass environments. Concurrent sequencing of negative control samples is strongly advised.&quot;,&quot;issue&quot;:&quot;1&quot;,&quot;volume&quot;:&quot;12&quot;,&quot;container-title-short&quot;:&quot;&quot;},&quot;isTemporary&quot;:false},{&quot;id&quot;:&quot;6f1c89bd-ef0d-3ad1-9314-71631f673441&quot;,&quot;itemData&quot;:{&quot;type&quot;:&quot;article-journal&quot;,&quot;id&quot;:&quot;6f1c89bd-ef0d-3ad1-9314-71631f673441&quot;,&quot;title&quot;:&quot;Best practices for analysing microbiomes&quot;,&quot;author&quot;:[{&quot;family&quot;:&quot;Knight&quot;,&quot;given&quot;:&quot;Rob&quot;,&quot;parse-names&quot;:false,&quot;dropping-particle&quot;:&quot;&quot;,&quot;non-dropping-particle&quot;:&quot;&quot;},{&quot;family&quot;:&quot;Vrbanac&quot;,&quot;given&quot;:&quot;Alison&quot;,&quot;parse-names&quot;:false,&quot;dropping-particle&quot;:&quot;&quot;,&quot;non-dropping-particle&quot;:&quot;&quot;},{&quot;family&quot;:&quot;Taylor&quot;,&quot;given&quot;:&quot;Bryn C.&quot;,&quot;parse-names&quot;:false,&quot;dropping-particle&quot;:&quot;&quot;,&quot;non-dropping-particle&quot;:&quot;&quot;},{&quot;family&quot;:&quot;Aksenov&quot;,&quot;given&quot;:&quot;Alexander&quot;,&quot;parse-names&quot;:false,&quot;dropping-particle&quot;:&quot;&quot;,&quot;non-dropping-particle&quot;:&quot;&quot;},{&quot;family&quot;:&quot;Callewaert&quot;,&quot;given&quot;:&quot;Chris&quot;,&quot;parse-names&quot;:false,&quot;dropping-particle&quot;:&quot;&quot;,&quot;non-dropping-particle&quot;:&quot;&quot;},{&quot;family&quot;:&quot;Debelius&quot;,&quot;given&quot;:&quot;Justine&quot;,&quot;parse-names&quot;:false,&quot;dropping-particle&quot;:&quot;&quot;,&quot;non-dropping-particle&quot;:&quot;&quot;},{&quot;family&quot;:&quot;Gonzalez&quot;,&quot;given&quot;:&quot;Antonio&quot;,&quot;parse-names&quot;:false,&quot;dropping-particle&quot;:&quot;&quot;,&quot;non-dropping-particle&quot;:&quot;&quot;},{&quot;family&quot;:&quot;Kosciolek&quot;,&quot;given&quot;:&quot;Tomasz&quot;,&quot;parse-names&quot;:false,&quot;dropping-particle&quot;:&quot;&quot;,&quot;non-dropping-particle&quot;:&quot;&quot;},{&quot;family&quot;:&quot;McCall&quot;,&quot;given&quot;:&quot;Laura Isobel&quot;,&quot;parse-names&quot;:false,&quot;dropping-particle&quot;:&quot;&quot;,&quot;non-dropping-particle&quot;:&quot;&quot;},{&quot;family&quot;:&quot;McDonald&quot;,&quot;given&quot;:&quot;Daniel&quot;,&quot;parse-names&quot;:false,&quot;dropping-particle&quot;:&quot;&quot;,&quot;non-dropping-particle&quot;:&quot;&quot;},{&quot;family&quot;:&quot;Melnik&quot;,&quot;given&quot;:&quot;Alexey&quot;,&quot;parse-names&quot;:false,&quot;dropping-particle&quot;:&quot;v.&quot;,&quot;non-dropping-particle&quot;:&quot;&quot;},{&quot;family&quot;:&quot;Morton&quot;,&quot;given&quot;:&quot;James T.&quot;,&quot;parse-names&quot;:false,&quot;dropping-particle&quot;:&quot;&quot;,&quot;non-dropping-particle&quot;:&quot;&quot;},{&quot;family&quot;:&quot;Navas&quot;,&quot;given&quot;:&quot;Jose&quot;,&quot;parse-names&quot;:false,&quot;dropping-particle&quot;:&quot;&quot;,&quot;non-dropping-particle&quot;:&quot;&quot;},{&quot;family&quot;:&quot;Quinn&quot;,&quot;given&quot;:&quot;Robert A.&quot;,&quot;parse-names&quot;:false,&quot;dropping-particle&quot;:&quot;&quot;,&quot;non-dropping-particle&quot;:&quot;&quot;},{&quot;family&quot;:&quot;Sanders&quot;,&quot;given&quot;:&quot;Jon G.&quot;,&quot;parse-names&quot;:false,&quot;dropping-particle&quot;:&quot;&quot;,&quot;non-dropping-particle&quot;:&quot;&quot;},{&quot;family&quot;:&quot;Swafford&quot;,&quot;given&quot;:&quot;Austin D.&quot;,&quot;parse-names&quot;:false,&quot;dropping-particle&quot;:&quot;&quot;,&quot;non-dropping-particle&quot;:&quot;&quot;},{&quot;family&quot;:&quot;Thompson&quot;,&quot;given&quot;:&quot;Luke R.&quot;,&quot;parse-names&quot;:false,&quot;dropping-particle&quot;:&quot;&quot;,&quot;non-dropping-particle&quot;:&quot;&quot;},{&quot;family&quot;:&quot;Tripathi&quot;,&quot;given&quot;:&quot;Anupriya&quot;,&quot;parse-names&quot;:false,&quot;dropping-particle&quot;:&quot;&quot;,&quot;non-dropping-particle&quot;:&quot;&quot;},{&quot;family&quot;:&quot;Xu&quot;,&quot;given&quot;:&quot;Zhenjiang Z.&quot;,&quot;parse-names&quot;:false,&quot;dropping-particle&quot;:&quot;&quot;,&quot;non-dropping-particle&quot;:&quot;&quot;},{&quot;family&quot;:&quot;Zaneveld&quot;,&quot;given&quot;:&quot;Jesse R.&quot;,&quot;parse-names&quot;:false,&quot;dropping-particle&quot;:&quot;&quot;,&quot;non-dropping-particle&quot;:&quot;&quot;},{&quot;family&quot;:&quot;Zhu&quot;,&quot;given&quot;:&quot;Qiyun&quot;,&quot;parse-names&quot;:false,&quot;dropping-particle&quot;:&quot;&quot;,&quot;non-dropping-particle&quot;:&quot;&quot;},{&quot;family&quot;:&quot;Caporaso&quot;,&quot;given&quot;:&quot;J. Gregory&quot;,&quot;parse-names&quot;:false,&quot;dropping-particle&quot;:&quot;&quot;,&quot;non-dropping-particle&quot;:&quot;&quot;},{&quot;family&quot;:&quot;Dorrestein&quot;,&quot;given&quot;:&quot;Pieter C.&quot;,&quot;parse-names&quot;:false,&quot;dropping-particle&quot;:&quot;&quot;,&quot;non-dropping-particle&quot;:&quot;&quot;}],&quot;container-title&quot;:&quot;Nature Reviews Microbiology&quot;,&quot;DOI&quot;:&quot;10.1038/s41579-018-0029-9&quot;,&quot;ISBN&quot;:&quot;4157901800&quot;,&quot;ISSN&quot;:&quot;17401534&quot;,&quot;PMID&quot;:&quot;29795328&quot;,&quot;URL&quot;:&quot;http://dx.doi.org/10.1038/s41579-018-0029-9&quot;,&quot;issued&quot;:{&quot;date-parts&quot;:[[2018]]},&quot;page&quot;:&quot;410-422&quot;,&quot;abstract&quot;:&quot;Complex microbial communities shape the dynamics of various environments, ranging from the mammalian gastrointestinal tract to the soil. Advances in DNA sequencing technologies and data analysis have provided drastic improvements in microbiome analyses, for example, in taxonomic resolution, false discovery rate control and other properties, over earlier methods. In this Review, we discuss the best practices for performing a microbiome study, including experimental design, choice of molecular analysis technology, methods for data analysis and the integration of multiple omics data sets. We focus on recent findings that suggest that operational taxonomic unit-based analyses should be replaced with new methods that are based on exact sequence variants, methods for integrating metagenomic and metabolomic data, and issues surrounding compositional data analysis, where advances have been particularly rapid. We note that although some of these approaches are new, it is important to keep sight of the classic issues that arise during experimental design and relate to research reproducibility. We describe how keeping these issues in mind allows researchers to obtain more insight from their microbiome data sets.&quot;,&quot;publisher&quot;:&quot;Springer US&quot;,&quot;issue&quot;:&quot;7&quot;,&quot;volume&quot;:&quot;16&quot;,&quot;container-title-short&quot;:&quot;&quot;},&quot;isTemporary&quot;:false}]},{&quot;citationID&quot;:&quot;MENDELEY_CITATION_2700a864-0a9b-401e-8ffa-cf71c871d3ad&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&quot;,&quot;citationItems&quot;:[{&quot;id&quot;:&quot;563395ef-6065-3730-a975-865f3246f32d&quot;,&quot;itemData&quot;:{&quot;type&quot;:&quot;article-journal&quot;,&quot;id&quot;:&quot;563395ef-6065-3730-a975-865f3246f32d&quot;,&quot;title&quot;:&quot;The contribution of culturomics to the repertoire of isolated human bacterial and archaeal species&quot;,&quot;author&quot;:[{&quot;family&quot;:&quot;Bilen&quot;,&quot;given&quot;:&quot;Melhem&quot;,&quot;parse-names&quot;:false,&quot;dropping-particle&quot;:&quot;&quot;,&quot;non-dropping-particle&quot;:&quot;&quot;},{&quot;family&quot;:&quot;Dufour&quot;,&quot;given&quot;:&quot;Jean Charles&quot;,&quot;parse-names&quot;:false,&quot;dropping-particle&quot;:&quot;&quot;,&quot;non-dropping-particle&quot;:&quot;&quot;},{&quot;family&quot;:&quot;Lagier&quot;,&quot;given&quot;:&quot;Jean Christophe&quot;,&quot;parse-names&quot;:false,&quot;dropping-particle&quot;:&quot;&quot;,&quot;non-dropping-particle&quot;:&quot;&quot;},{&quot;family&quot;:&quot;Cadoret&quot;,&quot;given&quot;:&quot;Fréderic&quot;,&quot;parse-names&quot;:false,&quot;dropping-particle&quot;:&quot;&quot;,&quot;non-dropping-particle&quot;:&quot;&quot;},{&quot;family&quot;:&quot;Daoud&quot;,&quot;given&quot;:&quot;Ziad&quot;,&quot;parse-names&quot;:false,&quot;dropping-particle&quot;:&quot;&quot;,&quot;non-dropping-particle&quot;:&quot;&quot;},{&quot;family&quot;:&quot;Dubourg&quot;,&quot;given&quot;:&quot;Grégory&quot;,&quot;parse-names&quot;:false,&quot;dropping-particle&quot;:&quot;&quot;,&quot;non-dropping-particle&quot;:&quot;&quot;},{&quot;family&quot;:&quot;Raoult&quot;,&quot;given&quot;:&quot;Didier&quot;,&quot;parse-names&quot;:false,&quot;dropping-particle&quot;:&quot;&quot;,&quot;non-dropping-particle&quot;:&quot;&quot;}],&quot;container-title&quot;:&quot;Microbiome&quot;,&quot;container-title-short&quot;:&quot;Microbiome&quot;,&quot;DOI&quot;:&quot;10.1186/s40168-018-0485-5&quot;,&quot;ISSN&quot;:&quot;20492618&quot;,&quot;PMID&quot;:&quot;29793532&quot;,&quot;issued&quot;:{&quot;date-parts&quot;:[[2018]]},&quot;page&quot;:&quot;1-11&quot;,&quot;abstract&quot;:&quot;After a decade of research and metagenomic analyses, our knowledge of the human microbiota appears to have reached a plateau despite promising results. In many studies, culture has proven to be essential in describing new prokaryotic species and filling metagenomic gaps. In 2015, only 2172 different prokaryotic species were reported to have been isolated at least once from the human body as pathogens or commensals. In this review, we update the previous repertoire by reporting the different species isolated from the human body to date, increasing it by 28% to reach a total of 2776 species associated with human beings. They have been classified into 11 different phyla, mostly the Firmicutes, Proteobacteria, Bacteroidetes, and Actinobacteria. Finally, culturomics contributed up to 66.2% towards updating this repertoire by reporting 400 species, of which 288 were novel. This demonstrates the need to continue the culturing work, which seems essential in order to decipher the hidden human microbial content.&quot;,&quot;publisher&quot;:&quot;Microbiome&quot;,&quot;issue&quot;:&quot;1&quot;,&quot;volume&quot;:&quot;6&quot;},&quot;isTemporary&quot;:false}]},{&quot;citationID&quot;:&quot;MENDELEY_CITATION_fe2c9838-f29a-409e-83c6-d6b0b73997b6&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&quot;,&quot;citationItems&quot;:[{&quot;id&quot;:&quot;5b8f42cc-7816-3aaf-8d9e-ebf6f69b6f6d&quot;,&quot;itemData&quot;:{&quot;type&quot;:&quot;article-journal&quot;,&quot;id&quot;:&quot;5b8f42cc-7816-3aaf-8d9e-ebf6f69b6f6d&quot;,&quot;title&quot;:&quot;Microbial culturomics: Paradigm shift in the human gut microbiome study&quot;,&quot;author&quot;:[{&quot;family&quot;:&quot;Lagier&quot;,&quot;given&quot;:&quot;J. C.&quot;,&quot;parse-names&quot;:false,&quot;dropping-particle&quot;:&quot;&quot;,&quot;non-dropping-particle&quot;:&quot;&quot;},{&quot;family&quot;:&quot;Armougom&quot;,&quot;given&quot;:&quot;F.&quot;,&quot;parse-names&quot;:false,&quot;dropping-particle&quot;:&quot;&quot;,&quot;non-dropping-particle&quot;:&quot;&quot;},{&quot;family&quot;:&quot;Million&quot;,&quot;given&quot;:&quot;M.&quot;,&quot;parse-names&quot;:false,&quot;dropping-particle&quot;:&quot;&quot;,&quot;non-dropping-particle&quot;:&quot;&quot;},{&quot;family&quot;:&quot;Hugon&quot;,&quot;given&quot;:&quot;P.&quot;,&quot;parse-names&quot;:false,&quot;dropping-particle&quot;:&quot;&quot;,&quot;non-dropping-particle&quot;:&quot;&quot;},{&quot;family&quot;:&quot;Pagnier&quot;,&quot;given&quot;:&quot;I.&quot;,&quot;parse-names&quot;:false,&quot;dropping-particle&quot;:&quot;&quot;,&quot;non-dropping-particle&quot;:&quot;&quot;},{&quot;family&quot;:&quot;Robert&quot;,&quot;given&quot;:&quot;C.&quot;,&quot;parse-names&quot;:false,&quot;dropping-particle&quot;:&quot;&quot;,&quot;non-dropping-particle&quot;:&quot;&quot;},{&quot;family&quot;:&quot;Bittar&quot;,&quot;given&quot;:&quot;F.&quot;,&quot;parse-names&quot;:false,&quot;dropping-particle&quot;:&quot;&quot;,&quot;non-dropping-particle&quot;:&quot;&quot;},{&quot;family&quot;:&quot;Fournous&quot;,&quot;given&quot;:&quot;G.&quot;,&quot;parse-names&quot;:false,&quot;dropping-particle&quot;:&quot;&quot;,&quot;non-dropping-particle&quot;:&quot;&quot;},{&quot;family&quot;:&quot;Gimenez&quot;,&quot;given&quot;:&quot;G.&quot;,&quot;parse-names&quot;:false,&quot;dropping-particle&quot;:&quot;&quot;,&quot;non-dropping-particle&quot;:&quot;&quot;},{&quot;family&quot;:&quot;Maraninchi&quot;,&quot;given&quot;:&quot;M.&quot;,&quot;parse-names&quot;:false,&quot;dropping-particle&quot;:&quot;&quot;,&quot;non-dropping-particle&quot;:&quot;&quot;},{&quot;family&quot;:&quot;Trape&quot;,&quot;given&quot;:&quot;J. F.&quot;,&quot;parse-names&quot;:false,&quot;dropping-particle&quot;:&quot;&quot;,&quot;non-dropping-particle&quot;:&quot;&quot;},{&quot;family&quot;:&quot;Koonin&quot;,&quot;given&quot;:&quot;E.&quot;,&quot;parse-names&quot;:false,&quot;dropping-particle&quot;:&quot;v.&quot;,&quot;non-dropping-particle&quot;:&quot;&quot;},{&quot;family&quot;:&quot;Scola&quot;,&quot;given&quot;:&quot;B.&quot;,&quot;parse-names&quot;:false,&quot;dropping-particle&quot;:&quot;&quot;,&quot;non-dropping-particle&quot;:&quot;la&quot;},{&quot;family&quot;:&quot;Raoult&quot;,&quot;given&quot;:&quot;D.&quot;,&quot;parse-names&quot;:false,&quot;dropping-particle&quot;:&quot;&quot;,&quot;non-dropping-particle&quot;:&quot;&quot;}],&quot;container-title&quot;:&quot;Clinical Microbiology and Infection&quot;,&quot;DOI&quot;:&quot;10.1111/1469-0691.12023&quot;,&quot;ISSN&quot;:&quot;14690691&quot;,&quot;PMID&quot;:&quot;23033984&quot;,&quot;URL&quot;:&quot;http://dx.doi.org/10.1111/1469-0691.12023&quot;,&quot;issued&quot;:{&quot;date-parts&quot;:[[2012]]},&quot;page&quot;:&quot;1185-1193&quot;,&quot;abstract&quot;:&quot;Comprehensive determination of the microbial composition of the gut microbiota and the relationships with health and disease are major challenges in the 21st century. Metagenomic analysis of the human gut microbiota detects mostly uncultured bacteria. We studied stools from two lean Africans and one obese European, using 212 different culture conditions (microbial culturomics), and tested the colonies by using mass spectrometry and 16S rRNA amplification and sequencing. In parallel, we analysed the same three samples by pyrosequencing 16S rRNA amplicons targeting the V6 region. The 32500 colonies obtained by culturomics have yielded 340 species of bacteria from seven phyla and 117 genera, including two species from rare phyla (Deinococcus-Thermus and Synergistetes, five fungi, and a giant virus (Senegalvirus). The microbiome identified by culturomics included 174 species never described previously in the human gut, including 31 new species and genera for which the genomes were sequenced, generating c. 10000 new unknown genes (ORFans), which will help in future molecular studies. Among these, the new species Microvirga massiliensis has the largest bacterial genome so far obtained from a human, and Senegalvirus is the largest virus reported in the human gut. Concurrent metagenomic analysis of the same samples produced 698 phylotypes, including 282 known species, 51 of which overlapped with the microbiome identified by culturomics. Thus, culturomics complements metagenomics by overcoming the depth bias inherent in metagenomic approaches. © 2012 The Authors. Clinical Microbiology and Infection © 2012 European Society of Clinical Microbiology and Infectious Diseases.&quot;,&quot;publisher&quot;:&quot;European Society of Clinical Infectious Diseases&quot;,&quot;issue&quot;:&quot;12&quot;,&quot;volume&quot;:&quot;18&quot;,&quot;container-title-short&quot;:&quot;&quot;},&quot;isTemporary&quot;:false}]},{&quot;citationID&quot;:&quot;MENDELEY_CITATION_ee493154-aeba-433d-885b-3454fdbf9eab&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&quot;,&quot;citationItems&quot;:[{&quot;id&quot;:&quot;d6fdc4b8-bea9-3306-a102-8484d41fab7b&quot;,&quot;itemData&quot;:{&quot;type&quot;:&quot;article-journal&quot;,&quot;id&quot;:&quot;d6fdc4b8-bea9-3306-a102-8484d41fab7b&quot;,&quot;title&quot;:&quot;Opportunities and challenges of using metagenomic data to bring uncultured microbes into cultivation&quot;,&quot;author&quot;:[{&quot;family&quot;:&quot;Liu&quot;,&quot;given&quot;:&quot;Sijia&quot;,&quot;parse-names&quot;:false,&quot;dropping-particle&quot;:&quot;&quot;,&quot;non-dropping-particle&quot;:&quot;&quot;},{&quot;family&quot;:&quot;Moon&quot;,&quot;given&quot;:&quot;Christina D.&quot;,&quot;parse-names&quot;:false,&quot;dropping-particle&quot;:&quot;&quot;,&quot;non-dropping-particle&quot;:&quot;&quot;},{&quot;family&quot;:&quot;Zheng&quot;,&quot;given&quot;:&quot;Nan&quot;,&quot;parse-names&quot;:false,&quot;dropping-particle&quot;:&quot;&quot;,&quot;non-dropping-particle&quot;:&quot;&quot;},{&quot;family&quot;:&quot;Huws&quot;,&quot;given&quot;:&quot;Sharon&quot;,&quot;parse-names&quot;:false,&quot;dropping-particle&quot;:&quot;&quot;,&quot;non-dropping-particle&quot;:&quot;&quot;},{&quot;family&quot;:&quot;Zhao&quot;,&quot;given&quot;:&quot;Shengguo&quot;,&quot;parse-names&quot;:false,&quot;dropping-particle&quot;:&quot;&quot;,&quot;non-dropping-particle&quot;:&quot;&quot;},{&quot;family&quot;:&quot;Wang&quot;,&quot;given&quot;:&quot;Jiaqi&quot;,&quot;parse-names&quot;:false,&quot;dropping-particle&quot;:&quot;&quot;,&quot;non-dropping-particle&quot;:&quot;&quot;}],&quot;container-title&quot;:&quot;Microbiome&quot;,&quot;container-title-short&quot;:&quot;Microbiome&quot;,&quot;DOI&quot;:&quot;10.1186/s40168-022-01272-5&quot;,&quot;ISSN&quot;:&quot;2049-2618&quot;,&quot;URL&quot;:&quot;https://doi.org/10.1186/s40168-022-01272-5&quot;,&quot;issued&quot;:{&quot;date-parts&quot;:[[2022]]},&quot;page&quot;:&quot;1-14&quot;,&quot;abstract&quot;:&quot;Although there is now an extensive understanding of the diversity of microbial life on earth through culture-independent metagenomic DNA sequence analyses, the isolation and cultivation of microbes remains critical to directly study them and confirm their metabolic and physiological functions, and their ecological roles. The majority of environmental microbes are as yet uncultured however; therefore, bringing these rare or poorly characterized groups into culture is a priority to further understand microbiome functions. Moreover, cultivated isolates may find utility in a range of applications, such as new probiotics, biocontrol agents, and agents for industrial processes. The growing abundance of metagenomic and meta-transcriptomic sequence information from a wide range of environments provides more opportunities to guide the isolation and cultivation of microbes of interest. In this paper, we discuss a range of successful methodologies and applications that have underpinned recent metagenome-guided isolation and cultivation of microbe efforts. These approaches include determining specific culture conditions to enrich for taxa of interest, to more complex strategies that specifically target the capture of microbial species through antibody engineering and genome editing strategies. With the greater degree of genomic information now available from uncultivated members, such as via metagenome-assembled genomes, the theoretical understanding of their cultivation requirements will enable greater possibilities to capture these and ultimately gain a more comprehensive understanding of the microbiomes.&quot;,&quot;publisher&quot;:&quot;BioMed Central&quot;,&quot;issue&quot;:&quot;1&quot;,&quot;volume&quot;:&quot;10&quot;},&quot;isTemporary&quot;:false}]},{&quot;citationID&quot;:&quot;MENDELEY_CITATION_1ce65717-a81f-4d95-9e7c-991c63746163&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&quot;,&quot;citationItems&quot;:[{&quot;id&quot;:&quot;6f1c89bd-ef0d-3ad1-9314-71631f673441&quot;,&quot;itemData&quot;:{&quot;type&quot;:&quot;article-journal&quot;,&quot;id&quot;:&quot;6f1c89bd-ef0d-3ad1-9314-71631f673441&quot;,&quot;title&quot;:&quot;Best practices for analysing microbiomes&quot;,&quot;author&quot;:[{&quot;family&quot;:&quot;Knight&quot;,&quot;given&quot;:&quot;Rob&quot;,&quot;parse-names&quot;:false,&quot;dropping-particle&quot;:&quot;&quot;,&quot;non-dropping-particle&quot;:&quot;&quot;},{&quot;family&quot;:&quot;Vrbanac&quot;,&quot;given&quot;:&quot;Alison&quot;,&quot;parse-names&quot;:false,&quot;dropping-particle&quot;:&quot;&quot;,&quot;non-dropping-particle&quot;:&quot;&quot;},{&quot;family&quot;:&quot;Taylor&quot;,&quot;given&quot;:&quot;Bryn C.&quot;,&quot;parse-names&quot;:false,&quot;dropping-particle&quot;:&quot;&quot;,&quot;non-dropping-particle&quot;:&quot;&quot;},{&quot;family&quot;:&quot;Aksenov&quot;,&quot;given&quot;:&quot;Alexander&quot;,&quot;parse-names&quot;:false,&quot;dropping-particle&quot;:&quot;&quot;,&quot;non-dropping-particle&quot;:&quot;&quot;},{&quot;family&quot;:&quot;Callewaert&quot;,&quot;given&quot;:&quot;Chris&quot;,&quot;parse-names&quot;:false,&quot;dropping-particle&quot;:&quot;&quot;,&quot;non-dropping-particle&quot;:&quot;&quot;},{&quot;family&quot;:&quot;Debelius&quot;,&quot;given&quot;:&quot;Justine&quot;,&quot;parse-names&quot;:false,&quot;dropping-particle&quot;:&quot;&quot;,&quot;non-dropping-particle&quot;:&quot;&quot;},{&quot;family&quot;:&quot;Gonzalez&quot;,&quot;given&quot;:&quot;Antonio&quot;,&quot;parse-names&quot;:false,&quot;dropping-particle&quot;:&quot;&quot;,&quot;non-dropping-particle&quot;:&quot;&quot;},{&quot;family&quot;:&quot;Kosciolek&quot;,&quot;given&quot;:&quot;Tomasz&quot;,&quot;parse-names&quot;:false,&quot;dropping-particle&quot;:&quot;&quot;,&quot;non-dropping-particle&quot;:&quot;&quot;},{&quot;family&quot;:&quot;McCall&quot;,&quot;given&quot;:&quot;Laura Isobel&quot;,&quot;parse-names&quot;:false,&quot;dropping-particle&quot;:&quot;&quot;,&quot;non-dropping-particle&quot;:&quot;&quot;},{&quot;family&quot;:&quot;McDonald&quot;,&quot;given&quot;:&quot;Daniel&quot;,&quot;parse-names&quot;:false,&quot;dropping-particle&quot;:&quot;&quot;,&quot;non-dropping-particle&quot;:&quot;&quot;},{&quot;family&quot;:&quot;Melnik&quot;,&quot;given&quot;:&quot;Alexey&quot;,&quot;parse-names&quot;:false,&quot;dropping-particle&quot;:&quot;v.&quot;,&quot;non-dropping-particle&quot;:&quot;&quot;},{&quot;family&quot;:&quot;Morton&quot;,&quot;given&quot;:&quot;James T.&quot;,&quot;parse-names&quot;:false,&quot;dropping-particle&quot;:&quot;&quot;,&quot;non-dropping-particle&quot;:&quot;&quot;},{&quot;family&quot;:&quot;Navas&quot;,&quot;given&quot;:&quot;Jose&quot;,&quot;parse-names&quot;:false,&quot;dropping-particle&quot;:&quot;&quot;,&quot;non-dropping-particle&quot;:&quot;&quot;},{&quot;family&quot;:&quot;Quinn&quot;,&quot;given&quot;:&quot;Robert A.&quot;,&quot;parse-names&quot;:false,&quot;dropping-particle&quot;:&quot;&quot;,&quot;non-dropping-particle&quot;:&quot;&quot;},{&quot;family&quot;:&quot;Sanders&quot;,&quot;given&quot;:&quot;Jon G.&quot;,&quot;parse-names&quot;:false,&quot;dropping-particle&quot;:&quot;&quot;,&quot;non-dropping-particle&quot;:&quot;&quot;},{&quot;family&quot;:&quot;Swafford&quot;,&quot;given&quot;:&quot;Austin D.&quot;,&quot;parse-names&quot;:false,&quot;dropping-particle&quot;:&quot;&quot;,&quot;non-dropping-particle&quot;:&quot;&quot;},{&quot;family&quot;:&quot;Thompson&quot;,&quot;given&quot;:&quot;Luke R.&quot;,&quot;parse-names&quot;:false,&quot;dropping-particle&quot;:&quot;&quot;,&quot;non-dropping-particle&quot;:&quot;&quot;},{&quot;family&quot;:&quot;Tripathi&quot;,&quot;given&quot;:&quot;Anupriya&quot;,&quot;parse-names&quot;:false,&quot;dropping-particle&quot;:&quot;&quot;,&quot;non-dropping-particle&quot;:&quot;&quot;},{&quot;family&quot;:&quot;Xu&quot;,&quot;given&quot;:&quot;Zhenjiang Z.&quot;,&quot;parse-names&quot;:false,&quot;dropping-particle&quot;:&quot;&quot;,&quot;non-dropping-particle&quot;:&quot;&quot;},{&quot;family&quot;:&quot;Zaneveld&quot;,&quot;given&quot;:&quot;Jesse R.&quot;,&quot;parse-names&quot;:false,&quot;dropping-particle&quot;:&quot;&quot;,&quot;non-dropping-particle&quot;:&quot;&quot;},{&quot;family&quot;:&quot;Zhu&quot;,&quot;given&quot;:&quot;Qiyun&quot;,&quot;parse-names&quot;:false,&quot;dropping-particle&quot;:&quot;&quot;,&quot;non-dropping-particle&quot;:&quot;&quot;},{&quot;family&quot;:&quot;Caporaso&quot;,&quot;given&quot;:&quot;J. Gregory&quot;,&quot;parse-names&quot;:false,&quot;dropping-particle&quot;:&quot;&quot;,&quot;non-dropping-particle&quot;:&quot;&quot;},{&quot;family&quot;:&quot;Dorrestein&quot;,&quot;given&quot;:&quot;Pieter C.&quot;,&quot;parse-names&quot;:false,&quot;dropping-particle&quot;:&quot;&quot;,&quot;non-dropping-particle&quot;:&quot;&quot;}],&quot;container-title&quot;:&quot;Nature Reviews Microbiology&quot;,&quot;DOI&quot;:&quot;10.1038/s41579-018-0029-9&quot;,&quot;ISBN&quot;:&quot;4157901800&quot;,&quot;ISSN&quot;:&quot;17401534&quot;,&quot;PMID&quot;:&quot;29795328&quot;,&quot;URL&quot;:&quot;http://dx.doi.org/10.1038/s41579-018-0029-9&quot;,&quot;issued&quot;:{&quot;date-parts&quot;:[[2018]]},&quot;page&quot;:&quot;410-422&quot;,&quot;abstract&quot;:&quot;Complex microbial communities shape the dynamics of various environments, ranging from the mammalian gastrointestinal tract to the soil. Advances in DNA sequencing technologies and data analysis have provided drastic improvements in microbiome analyses, for example, in taxonomic resolution, false discovery rate control and other properties, over earlier methods. In this Review, we discuss the best practices for performing a microbiome study, including experimental design, choice of molecular analysis technology, methods for data analysis and the integration of multiple omics data sets. We focus on recent findings that suggest that operational taxonomic unit-based analyses should be replaced with new methods that are based on exact sequence variants, methods for integrating metagenomic and metabolomic data, and issues surrounding compositional data analysis, where advances have been particularly rapid. We note that although some of these approaches are new, it is important to keep sight of the classic issues that arise during experimental design and relate to research reproducibility. We describe how keeping these issues in mind allows researchers to obtain more insight from their microbiome data sets.&quot;,&quot;publisher&quot;:&quot;Springer US&quot;,&quot;issue&quot;:&quot;7&quot;,&quot;volume&quot;:&quot;16&quot;,&quot;container-title-short&quot;:&quot;&quot;},&quot;isTemporary&quot;:false}]},{&quot;citationID&quot;:&quot;MENDELEY_CITATION_c57d94aa-1e50-4e8f-81c3-5f9ce6c3d68c&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&quot;,&quot;citationItems&quot;:[{&quot;id&quot;:&quot;6f1c89bd-ef0d-3ad1-9314-71631f673441&quot;,&quot;itemData&quot;:{&quot;type&quot;:&quot;article-journal&quot;,&quot;id&quot;:&quot;6f1c89bd-ef0d-3ad1-9314-71631f673441&quot;,&quot;title&quot;:&quot;Best practices for analysing microbiomes&quot;,&quot;author&quot;:[{&quot;family&quot;:&quot;Knight&quot;,&quot;given&quot;:&quot;Rob&quot;,&quot;parse-names&quot;:false,&quot;dropping-particle&quot;:&quot;&quot;,&quot;non-dropping-particle&quot;:&quot;&quot;},{&quot;family&quot;:&quot;Vrbanac&quot;,&quot;given&quot;:&quot;Alison&quot;,&quot;parse-names&quot;:false,&quot;dropping-particle&quot;:&quot;&quot;,&quot;non-dropping-particle&quot;:&quot;&quot;},{&quot;family&quot;:&quot;Taylor&quot;,&quot;given&quot;:&quot;Bryn C.&quot;,&quot;parse-names&quot;:false,&quot;dropping-particle&quot;:&quot;&quot;,&quot;non-dropping-particle&quot;:&quot;&quot;},{&quot;family&quot;:&quot;Aksenov&quot;,&quot;given&quot;:&quot;Alexander&quot;,&quot;parse-names&quot;:false,&quot;dropping-particle&quot;:&quot;&quot;,&quot;non-dropping-particle&quot;:&quot;&quot;},{&quot;family&quot;:&quot;Callewaert&quot;,&quot;given&quot;:&quot;Chris&quot;,&quot;parse-names&quot;:false,&quot;dropping-particle&quot;:&quot;&quot;,&quot;non-dropping-particle&quot;:&quot;&quot;},{&quot;family&quot;:&quot;Debelius&quot;,&quot;given&quot;:&quot;Justine&quot;,&quot;parse-names&quot;:false,&quot;dropping-particle&quot;:&quot;&quot;,&quot;non-dropping-particle&quot;:&quot;&quot;},{&quot;family&quot;:&quot;Gonzalez&quot;,&quot;given&quot;:&quot;Antonio&quot;,&quot;parse-names&quot;:false,&quot;dropping-particle&quot;:&quot;&quot;,&quot;non-dropping-particle&quot;:&quot;&quot;},{&quot;family&quot;:&quot;Kosciolek&quot;,&quot;given&quot;:&quot;Tomasz&quot;,&quot;parse-names&quot;:false,&quot;dropping-particle&quot;:&quot;&quot;,&quot;non-dropping-particle&quot;:&quot;&quot;},{&quot;family&quot;:&quot;McCall&quot;,&quot;given&quot;:&quot;Laura Isobel&quot;,&quot;parse-names&quot;:false,&quot;dropping-particle&quot;:&quot;&quot;,&quot;non-dropping-particle&quot;:&quot;&quot;},{&quot;family&quot;:&quot;McDonald&quot;,&quot;given&quot;:&quot;Daniel&quot;,&quot;parse-names&quot;:false,&quot;dropping-particle&quot;:&quot;&quot;,&quot;non-dropping-particle&quot;:&quot;&quot;},{&quot;family&quot;:&quot;Melnik&quot;,&quot;given&quot;:&quot;Alexey&quot;,&quot;parse-names&quot;:false,&quot;dropping-particle&quot;:&quot;v.&quot;,&quot;non-dropping-particle&quot;:&quot;&quot;},{&quot;family&quot;:&quot;Morton&quot;,&quot;given&quot;:&quot;James T.&quot;,&quot;parse-names&quot;:false,&quot;dropping-particle&quot;:&quot;&quot;,&quot;non-dropping-particle&quot;:&quot;&quot;},{&quot;family&quot;:&quot;Navas&quot;,&quot;given&quot;:&quot;Jose&quot;,&quot;parse-names&quot;:false,&quot;dropping-particle&quot;:&quot;&quot;,&quot;non-dropping-particle&quot;:&quot;&quot;},{&quot;family&quot;:&quot;Quinn&quot;,&quot;given&quot;:&quot;Robert A.&quot;,&quot;parse-names&quot;:false,&quot;dropping-particle&quot;:&quot;&quot;,&quot;non-dropping-particle&quot;:&quot;&quot;},{&quot;family&quot;:&quot;Sanders&quot;,&quot;given&quot;:&quot;Jon G.&quot;,&quot;parse-names&quot;:false,&quot;dropping-particle&quot;:&quot;&quot;,&quot;non-dropping-particle&quot;:&quot;&quot;},{&quot;family&quot;:&quot;Swafford&quot;,&quot;given&quot;:&quot;Austin D.&quot;,&quot;parse-names&quot;:false,&quot;dropping-particle&quot;:&quot;&quot;,&quot;non-dropping-particle&quot;:&quot;&quot;},{&quot;family&quot;:&quot;Thompson&quot;,&quot;given&quot;:&quot;Luke R.&quot;,&quot;parse-names&quot;:false,&quot;dropping-particle&quot;:&quot;&quot;,&quot;non-dropping-particle&quot;:&quot;&quot;},{&quot;family&quot;:&quot;Tripathi&quot;,&quot;given&quot;:&quot;Anupriya&quot;,&quot;parse-names&quot;:false,&quot;dropping-particle&quot;:&quot;&quot;,&quot;non-dropping-particle&quot;:&quot;&quot;},{&quot;family&quot;:&quot;Xu&quot;,&quot;given&quot;:&quot;Zhenjiang Z.&quot;,&quot;parse-names&quot;:false,&quot;dropping-particle&quot;:&quot;&quot;,&quot;non-dropping-particle&quot;:&quot;&quot;},{&quot;family&quot;:&quot;Zaneveld&quot;,&quot;given&quot;:&quot;Jesse R.&quot;,&quot;parse-names&quot;:false,&quot;dropping-particle&quot;:&quot;&quot;,&quot;non-dropping-particle&quot;:&quot;&quot;},{&quot;family&quot;:&quot;Zhu&quot;,&quot;given&quot;:&quot;Qiyun&quot;,&quot;parse-names&quot;:false,&quot;dropping-particle&quot;:&quot;&quot;,&quot;non-dropping-particle&quot;:&quot;&quot;},{&quot;family&quot;:&quot;Caporaso&quot;,&quot;given&quot;:&quot;J. Gregory&quot;,&quot;parse-names&quot;:false,&quot;dropping-particle&quot;:&quot;&quot;,&quot;non-dropping-particle&quot;:&quot;&quot;},{&quot;family&quot;:&quot;Dorrestein&quot;,&quot;given&quot;:&quot;Pieter C.&quot;,&quot;parse-names&quot;:false,&quot;dropping-particle&quot;:&quot;&quot;,&quot;non-dropping-particle&quot;:&quot;&quot;}],&quot;container-title&quot;:&quot;Nature Reviews Microbiology&quot;,&quot;DOI&quot;:&quot;10.1038/s41579-018-0029-9&quot;,&quot;ISBN&quot;:&quot;4157901800&quot;,&quot;ISSN&quot;:&quot;17401534&quot;,&quot;PMID&quot;:&quot;29795328&quot;,&quot;URL&quot;:&quot;http://dx.doi.org/10.1038/s41579-018-0029-9&quot;,&quot;issued&quot;:{&quot;date-parts&quot;:[[2018]]},&quot;page&quot;:&quot;410-422&quot;,&quot;abstract&quot;:&quot;Complex microbial communities shape the dynamics of various environments, ranging from the mammalian gastrointestinal tract to the soil. Advances in DNA sequencing technologies and data analysis have provided drastic improvements in microbiome analyses, for example, in taxonomic resolution, false discovery rate control and other properties, over earlier methods. In this Review, we discuss the best practices for performing a microbiome study, including experimental design, choice of molecular analysis technology, methods for data analysis and the integration of multiple omics data sets. We focus on recent findings that suggest that operational taxonomic unit-based analyses should be replaced with new methods that are based on exact sequence variants, methods for integrating metagenomic and metabolomic data, and issues surrounding compositional data analysis, where advances have been particularly rapid. We note that although some of these approaches are new, it is important to keep sight of the classic issues that arise during experimental design and relate to research reproducibility. We describe how keeping these issues in mind allows researchers to obtain more insight from their microbiome data sets.&quot;,&quot;publisher&quot;:&quot;Springer US&quot;,&quot;issue&quot;:&quot;7&quot;,&quot;volume&quot;:&quot;16&quot;,&quot;container-title-short&quot;:&quot;&quot;},&quot;isTemporary&quot;:false}]},{&quot;citationID&quot;:&quot;MENDELEY_CITATION_91c2f831-669b-4b0b-8720-41bfb6df50bb&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&quot;,&quot;citationItems&quot;:[{&quot;id&quot;:&quot;553a402c-4672-3b96-8700-ada781e58d82&quot;,&quot;itemData&quot;:{&quot;type&quot;:&quot;article-journal&quot;,&quot;id&quot;:&quot;553a402c-4672-3b96-8700-ada781e58d82&quot;,&quot;title&quot;:&quot;What is the total number of protein molecules per cell volume? A call to rethink some published values&quot;,&quot;author&quot;:[{&quot;family&quot;:&quot;Milo&quot;,&quot;given&quot;:&quot;Ron&quot;,&quot;parse-names&quot;:false,&quot;dropping-particle&quot;:&quot;&quot;,&quot;non-dropping-particle&quot;:&quot;&quot;}],&quot;container-title&quot;:&quot;BioEssays&quot;,&quot;DOI&quot;:&quot;10.1002/bies.201300066&quot;,&quot;ISSN&quot;:&quot;02659247&quot;,&quot;PMID&quot;:&quot;24114984&quot;,&quot;issued&quot;:{&quot;date-parts&quot;:[[2013]]},&quot;page&quot;:&quot;1050-1055&quot;,&quot;abstract&quot;:&quot;Novel methods such as mass-spectrometry enable a view of the proteomes of cells in unprecedented detail. Recently, these efforts have culminated in quantitative measurements of the number of copies per cell for most expressed proteins in organisms ranging from bacteria to mammalian cells. Here, we estimate the expected total number of proteins per unit of cell volume using known parameters related to the composition of cells such as the fraction of cell mass that is protein, and the average protein length. Using simple arguments, we estimate a range of 2-4 million proteins per cubic micron (i.e. 1fL) in bacteria, yeast, and mammalian cells. Interestingly, we find that measured values that are reported for fission yeast and mammalian cells are often about 3-10 times lower. We discuss this apparent discrepancy and how to use the estimate as benchmark to recalibrate proteome-wide quantitative censuses or to revisit assumptions about cell composition. © 2013 The Author. Bioessays published by WILEY Periodicals, Inc.&quot;,&quot;issue&quot;:&quot;12&quot;,&quot;volume&quot;:&quot;35&quot;,&quot;container-title-short&quot;:&quot;&quot;},&quot;isTemporary&quot;:false}]},{&quot;citationID&quot;:&quot;MENDELEY_CITATION_d7605f37-8319-4182-973a-91d1e190030e&quot;,&quot;properties&quot;:{&quot;noteIndex&quot;:0},&quot;isEdited&quot;:false,&quot;manualOverride&quot;:{&quot;isManuallyOverridden&quot;:false,&quot;citeprocText&quot;:&quot;&lt;sup&gt;18,19&lt;/sup&gt;&quot;,&quot;manualOverrideText&quot;:&quot;&quot;},&quot;citationTag&quot;:&quot;MENDELEY_CITATION_v3_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&quot;,&quot;citationItems&quot;:[{&quot;id&quot;:&quot;03409aac-6f1c-3cfc-978c-fa836b7a6793&quot;,&quot;itemData&quot;:{&quot;type&quot;:&quot;article-journal&quot;,&quot;id&quot;:&quot;03409aac-6f1c-3cfc-978c-fa836b7a6793&quot;,&quot;title&quot;:&quot;Insights into the regulation of protein abundance from proteomic and transcriptomic analyses&quot;,&quot;author&quot;:[{&quot;family&quot;:&quot;Vogel&quot;,&quot;given&quot;:&quot;Christine&quot;,&quot;parse-names&quot;:false,&quot;dropping-particle&quot;:&quot;&quot;,&quot;non-dropping-particle&quot;:&quot;&quot;},{&quot;family&quot;:&quot;Marcotte&quot;,&quot;given&quot;:&quot;Edward M.&quot;,&quot;parse-names&quot;:false,&quot;dropping-particle&quot;:&quot;&quot;,&quot;non-dropping-particle&quot;:&quot;&quot;}],&quot;container-title&quot;:&quot;Nature Reviews Genetics&quot;,&quot;DOI&quot;:&quot;10.1038/nrg3185&quot;,&quot;ISSN&quot;:&quot;14710056&quot;,&quot;PMID&quot;:&quot;22411467&quot;,&quot;issued&quot;:{&quot;date-parts&quot;:[[2012]]},&quot;page&quot;:&quot;227-232&quot;,&quot;abstract&quot;:&quot;Recent advances in next-generation DNA sequencing and proteomics provide an unprecedented ability to survey mRNA and protein abundances. Such proteome-wide surveys are illuminating the extent to which different aspects of gene expression help to regulate cellular protein abundances. Current data demonstrate a substantial role for regulatory processes occurring after mRNA is made-that is, post-transcriptional, translational and protein degradation regulation-in controlling steady-state protein abundances. Intriguing observations are also emerging in relation to cells following perturbation, single-cell studies and the apparent evolutionary conservation of protein and mRNA abundances. Here, we summarize current understanding of the major factors regulating protein expression. © 2012 Macmillan Publishers Limited. All rights reserved.&quot;,&quot;publisher&quot;:&quot;Nature Publishing Group&quot;,&quot;issue&quot;:&quot;4&quot;,&quot;volume&quot;:&quot;13&quot;,&quot;container-title-short&quot;:&quot;&quot;},&quot;isTemporary&quot;:false},{&quot;id&quot;:&quot;f513e8d1-04a2-31da-9050-6409f87e7e99&quot;,&quot;itemData&quot;:{&quot;type&quot;:&quot;article-journal&quot;,&quot;id&quot;:&quot;f513e8d1-04a2-31da-9050-6409f87e7e99&quot;,&quot;title&quot;:&quot;Mass Spectrometry Applied to Bottom-Up Proteomics: Entering the High-Throughput Era for Hypothesis Testing&quot;,&quot;author&quot;:[{&quot;family&quot;:&quot;Gillet&quot;,&quot;given&quot;:&quot;Ludovic C.&quot;,&quot;parse-names&quot;:false,&quot;dropping-particle&quot;:&quot;&quot;,&quot;non-dropping-particle&quot;:&quot;&quot;},{&quot;family&quot;:&quot;Leitner&quot;,&quot;given&quot;:&quot;Alexander&quot;,&quot;parse-names&quot;:false,&quot;dropping-particle&quot;:&quot;&quot;,&quot;non-dropping-particle&quot;:&quot;&quot;},{&quot;family&quot;:&quot;Aebersold&quot;,&quot;given&quot;:&quot;Ruedi&quot;,&quot;parse-names&quot;:false,&quot;dropping-particle&quot;:&quot;&quot;,&quot;non-dropping-particle&quot;:&quot;&quot;}],&quot;container-title&quot;:&quot;Annual Review of Analytical Chemistry&quot;,&quot;DOI&quot;:&quot;10.1146/annurev-anchem-071015-041535&quot;,&quot;ISBN&quot;:&quot;0710150415&quot;,&quot;ISSN&quot;:&quot;19361335&quot;,&quot;PMID&quot;:&quot;27049628&quot;,&quot;issued&quot;:{&quot;date-parts&quot;:[[2016]]},&quot;page&quot;:&quot;449-472&quot;,&quot;abstract&quot;:&quot;Proteins constitute a key class of molecular components that perform essential biochemical reactions in living cells. Whether the aim is to extensively characterize a given protein or to perform high-throughput qualitative and quantitative analysis of the proteome content of a sample, liquid chromatography coupled to tandem mass spectrometry has become the technology of choice. In this review, we summarize the current state of mass spectrometry applied to bottom-up proteomics, the approach that focuses on analyzing peptides obtained from proteolytic digestion of proteins. With the recent advances in instrumentation and methodology, we show that the field is moving away from providing qualitative identification of long lists of proteins to delivering highly consistent and accurate quantification values for large numbers of proteins across large numbers of samples. We believe that this shift will have a profound impact for the field of proteomics and life science research in general.&quot;,&quot;volume&quot;:&quot;9&quot;,&quot;container-title-short&quot;:&quot;&quot;},&quot;isTemporary&quot;:false}]},{&quot;citationID&quot;:&quot;MENDELEY_CITATION_5ccfe64d-11da-4e81-9741-fc11d0daa5b7&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&quot;,&quot;citationItems&quot;:[{&quot;id&quot;:&quot;46289a2f-8188-33af-ac65-6f4ff803464c&quot;,&quot;itemData&quot;:{&quot;type&quot;:&quot;article-journal&quot;,&quot;id&quot;:&quot;46289a2f-8188-33af-ac65-6f4ff803464c&quot;,&quot;title&quot;:&quot;Elucidation of complexity and prediction of interactions in microbial communities&quot;,&quot;author&quot;:[{&quot;family&quot;:&quot;Zuñiga&quot;,&quot;given&quot;:&quot;Cristal&quot;,&quot;parse-names&quot;:false,&quot;dropping-particle&quot;:&quot;&quot;,&quot;non-dropping-particle&quot;:&quot;&quot;},{&quot;family&quot;:&quot;Zaramela&quot;,&quot;given&quot;:&quot;Livia&quot;,&quot;parse-names&quot;:false,&quot;dropping-particle&quot;:&quot;&quot;,&quot;non-dropping-particle&quot;:&quot;&quot;},{&quot;family&quot;:&quot;Zengler&quot;,&quot;given&quot;:&quot;Karsten&quot;,&quot;parse-names&quot;:false,&quot;dropping-particle&quot;:&quot;&quot;,&quot;non-dropping-particle&quot;:&quot;&quot;}],&quot;container-title&quot;:&quot;Microbial Biotechnology&quot;,&quot;DOI&quot;:&quot;10.1111/1751-7915.12855&quot;,&quot;ISSN&quot;:&quot;17517915&quot;,&quot;PMID&quot;:&quot;28925555&quot;,&quot;issued&quot;:{&quot;date-parts&quot;:[[2017]]},&quot;page&quot;:&quot;1500-1522&quot;,&quot;abstract&quot;:&quot;Microorganisms engage in complex interactions with other members of the microbial community, higher organisms as well as their environment. However, determining the exact nature of these interactions can be challenging due to the large number of members in these communities and the manifold of interactions they can engage in. Various omic data, such as 16S rRNA gene sequencing, shotgun metagenomics, metatranscriptomics, metaproteomics and metabolomics, have been deployed to unravel the community structure, interactions and resulting community dynamics in situ. Interpretation of these multi-omic data often requires advanced computational methods. Modelling approaches are powerful tools to integrate, contextualize and interpret experimental data, thus shedding light on the underlying processes shaping the microbiome. Here, we review current methods and approaches, both experimental and computational, to elucidate interactions in microbial communities and to predict their responses to perturbations.&quot;,&quot;issue&quot;:&quot;6&quot;,&quot;volume&quot;:&quot;10&quot;,&quot;container-title-short&quot;:&quot;&quot;},&quot;isTemporary&quot;:false}]},{&quot;citationID&quot;:&quot;MENDELEY_CITATION_b90f3995-056a-44c2-b421-af012d4d74c9&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&quot;,&quot;citationItems&quot;:[{&quot;id&quot;:&quot;c6a39550-a4b6-328f-9a25-ca0b43bf5de8&quot;,&quot;itemData&quot;:{&quot;type&quot;:&quot;article-journal&quot;,&quot;id&quot;:&quot;c6a39550-a4b6-328f-9a25-ca0b43bf5de8&quot;,&quot;title&quot;:&quot;The application of two-dimensional polyacrylamide gel electrophoresis and downstream analyses to a mixed community of prokaryotic microorganisms&quot;,&quot;author&quot;:[{&quot;family&quot;:&quot;Wilmes&quot;,&quot;given&quot;:&quot;Paul&quot;,&quot;parse-names&quot;:false,&quot;dropping-particle&quot;:&quot;&quot;,&quot;non-dropping-particle&quot;:&quot;&quot;},{&quot;family&quot;:&quot;Bond&quot;,&quot;given&quot;:&quot;Philip L.&quot;,&quot;parse-names&quot;:false,&quot;dropping-particle&quot;:&quot;&quot;,&quot;non-dropping-particle&quot;:&quot;&quot;}],&quot;container-title&quot;:&quot;Environmental Microbiology&quot;,&quot;DOI&quot;:&quot;10.1111/j.1462-2920.2004.00687.x&quot;,&quot;ISSN&quot;:&quot;14622912&quot;,&quot;PMID&quot;:&quot;15305916&quot;,&quot;issued&quot;:{&quot;date-parts&quot;:[[2004]]},&quot;page&quot;:&quot;911-920&quot;,&quot;abstract&quot;:&quot;In the post-genomic era, the focus of numerous researchers has moved to studying the functional products of gene expression. In microbiology, these 'omic' approaches have largely been limited to pure cultures of microorganisms. Consequently, they do not provide information on gene expression in a complex mixture of microorganisms as found in the environment. Our method enabled the successful extraction and purification of the entire proteome from a laboratory-scale activated sludge system optimized for enhanced biological phosphorus removal, its separation by two-dimensional polyacrylamide gel electrophoresis and the mapping of this metaproteome. Highly expressed protein spots were excised and identified using quadrupole time-of-flight mass spectrometry with de novo peptide sequencing. The proteins isolated were putatively identified as an outer membrane protein (porin), an acetyl coenzyme A acetyltransferase and a protein component of an ABC-type branched-chain amino acid transport system. These proteins possibly stem from the dominant and uncultured Rhodocyclus-type polyphosphate-accumulating organism in the activated sludge. We propose the term 'metaproteomics' for the large-scale characterization of the entire protein complement of environmental microbiota at a given point in time.&quot;,&quot;issue&quot;:&quot;9&quot;,&quot;volume&quot;:&quot;6&quot;,&quot;container-title-short&quot;:&quot;&quot;},&quot;isTemporary&quot;:false}]},{&quot;citationID&quot;:&quot;MENDELEY_CITATION_9758a785-371a-4e6c-a112-d70b6bdd49cf&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&quot;,&quot;citationItems&quot;:[{&quot;id&quot;:&quot;c6a39550-a4b6-328f-9a25-ca0b43bf5de8&quot;,&quot;itemData&quot;:{&quot;type&quot;:&quot;article-journal&quot;,&quot;id&quot;:&quot;c6a39550-a4b6-328f-9a25-ca0b43bf5de8&quot;,&quot;title&quot;:&quot;The application of two-dimensional polyacrylamide gel electrophoresis and downstream analyses to a mixed community of prokaryotic microorganisms&quot;,&quot;author&quot;:[{&quot;family&quot;:&quot;Wilmes&quot;,&quot;given&quot;:&quot;Paul&quot;,&quot;parse-names&quot;:false,&quot;dropping-particle&quot;:&quot;&quot;,&quot;non-dropping-particle&quot;:&quot;&quot;},{&quot;family&quot;:&quot;Bond&quot;,&quot;given&quot;:&quot;Philip L.&quot;,&quot;parse-names&quot;:false,&quot;dropping-particle&quot;:&quot;&quot;,&quot;non-dropping-particle&quot;:&quot;&quot;}],&quot;container-title&quot;:&quot;Environmental Microbiology&quot;,&quot;DOI&quot;:&quot;10.1111/j.1462-2920.2004.00687.x&quot;,&quot;ISSN&quot;:&quot;14622912&quot;,&quot;PMID&quot;:&quot;15305916&quot;,&quot;issued&quot;:{&quot;date-parts&quot;:[[2004]]},&quot;page&quot;:&quot;911-920&quot;,&quot;abstract&quot;:&quot;In the post-genomic era, the focus of numerous researchers has moved to studying the functional products of gene expression. In microbiology, these 'omic' approaches have largely been limited to pure cultures of microorganisms. Consequently, they do not provide information on gene expression in a complex mixture of microorganisms as found in the environment. Our method enabled the successful extraction and purification of the entire proteome from a laboratory-scale activated sludge system optimized for enhanced biological phosphorus removal, its separation by two-dimensional polyacrylamide gel electrophoresis and the mapping of this metaproteome. Highly expressed protein spots were excised and identified using quadrupole time-of-flight mass spectrometry with de novo peptide sequencing. The proteins isolated were putatively identified as an outer membrane protein (porin), an acetyl coenzyme A acetyltransferase and a protein component of an ABC-type branched-chain amino acid transport system. These proteins possibly stem from the dominant and uncultured Rhodocyclus-type polyphosphate-accumulating organism in the activated sludge. We propose the term 'metaproteomics' for the large-scale characterization of the entire protein complement of environmental microbiota at a given point in time.&quot;,&quot;issue&quot;:&quot;9&quot;,&quot;volume&quot;:&quot;6&quot;,&quot;container-title-short&quot;:&quot;&quot;},&quot;isTemporary&quot;:false}]},{&quot;citationID&quot;:&quot;MENDELEY_CITATION_c37b0022-a87e-4fc7-b684-bba50bc1ca5b&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&quot;,&quot;citationItems&quot;:[{&quot;id&quot;:&quot;0305cf66-6562-3936-9411-c9735216d26e&quot;,&quot;itemData&quot;:{&quot;type&quot;:&quot;article-journal&quot;,&quot;id&quot;:&quot;0305cf66-6562-3936-9411-c9735216d26e&quot;,&quot;title&quot;:&quot;Microbiology: Community proteomics of a natural microbial biofilm&quot;,&quot;author&quot;:[{&quot;family&quot;:&quot;Ram&quot;,&quot;given&quot;:&quot;Rachna J.&quot;,&quot;parse-names&quot;:false,&quot;dropping-particle&quot;:&quot;&quot;,&quot;non-dropping-particle&quot;:&quot;&quot;},{&quot;family&quot;:&quot;VerBerkmoes&quot;,&quot;given&quot;:&quot;Nathan C.&quot;,&quot;parse-names&quot;:false,&quot;dropping-particle&quot;:&quot;&quot;,&quot;non-dropping-particle&quot;:&quot;&quot;},{&quot;family&quot;:&quot;Thelen&quot;,&quot;given&quot;:&quot;Michael P.&quot;,&quot;parse-names&quot;:false,&quot;dropping-particle&quot;:&quot;&quot;,&quot;non-dropping-particle&quot;:&quot;&quot;},{&quot;family&quot;:&quot;Tyson&quot;,&quot;given&quot;:&quot;Gene W.&quot;,&quot;parse-names&quot;:false,&quot;dropping-particle&quot;:&quot;&quot;,&quot;non-dropping-particle&quot;:&quot;&quot;},{&quot;family&quot;:&quot;Baker&quot;,&quot;given&quot;:&quot;Brett J.&quot;,&quot;parse-names&quot;:false,&quot;dropping-particle&quot;:&quot;&quot;,&quot;non-dropping-particle&quot;:&quot;&quot;},{&quot;family&quot;:&quot;Blake&quot;,&quot;given&quot;:&quot;Robert C.&quot;,&quot;parse-names&quot;:false,&quot;dropping-particle&quot;:&quot;&quot;,&quot;non-dropping-particle&quot;:&quot;&quot;},{&quot;family&quot;:&quot;Shah&quot;,&quot;given&quot;:&quot;Manesh&quot;,&quot;parse-names&quot;:false,&quot;dropping-particle&quot;:&quot;&quot;,&quot;non-dropping-particle&quot;:&quot;&quot;},{&quot;family&quot;:&quot;Hettich&quot;,&quot;given&quot;:&quot;Robert L.&quot;,&quot;parse-names&quot;:false,&quot;dropping-particle&quot;:&quot;&quot;,&quot;non-dropping-particle&quot;:&quot;&quot;},{&quot;family&quot;:&quot;Banfield&quot;,&quot;given&quot;:&quot;Jillian F.&quot;,&quot;parse-names&quot;:false,&quot;dropping-particle&quot;:&quot;&quot;,&quot;non-dropping-particle&quot;:&quot;&quot;}],&quot;container-title&quot;:&quot;Science&quot;,&quot;container-title-short&quot;:&quot;Science (1979)&quot;,&quot;DOI&quot;:&quot;10.1126/science.&quot;,&quot;ISSN&quot;:&quot;00368075&quot;,&quot;PMID&quot;:&quot;15879173&quot;,&quot;issued&quot;:{&quot;date-parts&quot;:[[2005]]},&quot;page&quot;:&quot;1915-1920&quot;,&quot;abstract&quot;:&quot;Using genomic and mass spectrometry-based proteomic methods, we evaluated gene expression, identified key activities, and examined partitioning of metabolic functions in a natural acid mine drainage (AMD) microbial biofilm community. We detected 2033 proteins from the five most abundant species in the biofilm, including 48% of the predicted proteins from the dominant biofilm organism, Leptospirillum group II. Proteins involved in protein refolding and response to oxidative stress appeared to be highly expressed, which suggests that damage to biomolecules is a key challenge for survival. We validated and estimated the relative abundance and cellular localization of 357 unique and 215 conserved novel proteins and determined that one abundant novel protein is a cytochrome central to iron oxidation and AMD formation.&quot;,&quot;issue&quot;:&quot;5730&quot;,&quot;volume&quot;:&quot;308&quot;},&quot;isTemporary&quot;:false}]},{&quot;citationID&quot;:&quot;MENDELEY_CITATION_c78c0ada-bb52-4400-9f27-b20f9f429aa9&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&quot;,&quot;citationItems&quot;:[{&quot;id&quot;:&quot;4e27d38a-f793-3de2-9901-f54b043309e2&quot;,&quot;itemData&quot;:{&quot;type&quot;:&quot;article-journal&quot;,&quot;id&quot;:&quot;4e27d38a-f793-3de2-9901-f54b043309e2&quot;,&quot;title&quot;:&quot;Enhancing metaproteomics-The value of models and defined environmental microbial systems&quot;,&quot;author&quot;:[{&quot;family&quot;:&quot;Herbst&quot;,&quot;given&quot;:&quot;Florian Alexander&quot;,&quot;parse-names&quot;:false,&quot;dropping-particle&quot;:&quot;&quot;,&quot;non-dropping-particle&quot;:&quot;&quot;},{&quot;family&quot;:&quot;Lünsmann&quot;,&quot;given&quot;:&quot;Vanessa&quot;,&quot;parse-names&quot;:false,&quot;dropping-particle&quot;:&quot;&quot;,&quot;non-dropping-particle&quot;:&quot;&quot;},{&quot;family&quot;:&quot;Kjeldal&quot;,&quot;given&quot;:&quot;Henrik&quot;,&quot;parse-names&quot;:false,&quot;dropping-particle&quot;:&quot;&quot;,&quot;non-dropping-particle&quot;:&quot;&quot;},{&quot;family&quot;:&quot;Jehmlich&quot;,&quot;given&quot;:&quot;Nico&quot;,&quot;parse-names&quot;:false,&quot;dropping-particle&quot;:&quot;&quot;,&quot;non-dropping-particle&quot;:&quot;&quot;},{&quot;family&quot;:&quot;Tholey&quot;,&quot;given&quot;:&quot;Andreas&quot;,&quot;parse-names&quot;:false,&quot;dropping-particle&quot;:&quot;&quot;,&quot;non-dropping-particle&quot;:&quot;&quot;},{&quot;family&quot;:&quot;Bergen&quot;,&quot;given&quot;:&quot;Martin&quot;,&quot;parse-names&quot;:false,&quot;dropping-particle&quot;:&quot;&quot;,&quot;non-dropping-particle&quot;:&quot;von&quot;},{&quot;family&quot;:&quot;Nielsen&quot;,&quot;given&quot;:&quot;Jeppe Lund&quot;,&quot;parse-names&quot;:false,&quot;dropping-particle&quot;:&quot;&quot;,&quot;non-dropping-particle&quot;:&quot;&quot;},{&quot;family&quot;:&quot;Hettich&quot;,&quot;given&quot;:&quot;Robert L.&quot;,&quot;parse-names&quot;:false,&quot;dropping-particle&quot;:&quot;&quot;,&quot;non-dropping-particle&quot;:&quot;&quot;},{&quot;family&quot;:&quot;Seifert&quot;,&quot;given&quot;:&quot;Jana&quot;,&quot;parse-names&quot;:false,&quot;dropping-particle&quot;:&quot;&quot;,&quot;non-dropping-particle&quot;:&quot;&quot;},{&quot;family&quot;:&quot;Nielsen&quot;,&quot;given&quot;:&quot;Per Halkjær&quot;,&quot;parse-names&quot;:false,&quot;dropping-particle&quot;:&quot;&quot;,&quot;non-dropping-particle&quot;:&quot;&quot;}],&quot;container-title&quot;:&quot;Proteomics&quot;,&quot;container-title-short&quot;:&quot;Proteomics&quot;,&quot;DOI&quot;:&quot;10.1002/pmic.201500305&quot;,&quot;ISBN&quot;:&quot;4598141808&quot;,&quot;ISSN&quot;:&quot;16159861&quot;,&quot;PMID&quot;:&quot;26621789&quot;,&quot;issued&quot;:{&quot;date-parts&quot;:[[2016]]},&quot;page&quot;:&quot;783-798&quot;,&quot;abstract&quot;:&quot;Metaproteomics-the large-scale characterization of the entire protein complement of environmental microbiota at a given point in time-has provided new features to study complex microbial communities in order to unravel these \&quot;black boxes.\&quot; New technical challenges arose that were not an issue for classical proteome analytics before that could be tackled by the application of different model systems. Here, we review different current and future model systems for metaproteome analysis. Following a short introduction to microbial communities and metaproteomics, we introduce model systems for clinical and biotechnological research questions including acid mine drainage, anaerobic digesters, and activated sludge. Model systems are useful to evaluate the challenges encountered within (but not limited to) metaproteomics, including species complexity and coverage, biomass availability, or reliable protein extraction. The implementation of model systems can be considered as a step forward to better understand microbial community responses and ecological functions of single member organisms. In the future, improvements are necessary to fully explore complex environmental systems by metaproteomics.&quot;,&quot;issue&quot;:&quot;5&quot;,&quot;volume&quot;:&quot;16&quot;},&quot;isTemporary&quot;:false}]},{&quot;citationID&quot;:&quot;MENDELEY_CITATION_ed74a0df-a905-4a7f-9585-37baa9cc7b46&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&quot;,&quot;citationItems&quot;:[{&quot;id&quot;:&quot;7a5bf828-1d94-3fe0-9f6c-6da238e09364&quot;,&quot;itemData&quot;:{&quot;type&quot;:&quot;article-journal&quot;,&quot;id&quot;:&quot;7a5bf828-1d94-3fe0-9f6c-6da238e09364&quot;,&quot;title&quot;:&quot;Metaproteomics reveals associations between microbiome and intestinal extracellular vesicle proteins in pediatric inflammatory bowel disease&quot;,&quot;author&quot;:[{&quot;family&quot;:&quot;Zhang&quot;,&quot;given&quot;:&quot;Xu&quot;,&quot;parse-names&quot;:false,&quot;dropping-particle&quot;:&quot;&quot;,&quot;non-dropping-particle&quot;:&quot;&quot;},{&quot;family&quot;:&quot;Deeke&quot;,&quot;given&quot;:&quot;Shelley A.&quot;,&quot;parse-names&quot;:false,&quot;dropping-particle&quot;:&quot;&quot;,&quot;non-dropping-particle&quot;:&quot;&quot;},{&quot;family&quot;:&quot;Ning&quot;,&quot;given&quot;:&quot;Zhibin&quot;,&quot;parse-names&quot;:false,&quot;dropping-particle&quot;:&quot;&quot;,&quot;non-dropping-particle&quot;:&quot;&quot;},{&quot;family&quot;:&quot;Starr&quot;,&quot;given&quot;:&quot;Amanda E.&quot;,&quot;parse-names&quot;:false,&quot;dropping-particle&quot;:&quot;&quot;,&quot;non-dropping-particle&quot;:&quot;&quot;},{&quot;family&quot;:&quot;Butcher&quot;,&quot;given&quot;:&quot;James&quot;,&quot;parse-names&quot;:false,&quot;dropping-particle&quot;:&quot;&quot;,&quot;non-dropping-particle&quot;:&quot;&quot;},{&quot;family&quot;:&quot;Li&quot;,&quot;given&quot;:&quot;Jennifer&quot;,&quot;parse-names&quot;:false,&quot;dropping-particle&quot;:&quot;&quot;,&quot;non-dropping-particle&quot;:&quot;&quot;},{&quot;family&quot;:&quot;Mayne&quot;,&quot;given&quot;:&quot;Janice&quot;,&quot;parse-names&quot;:false,&quot;dropping-particle&quot;:&quot;&quot;,&quot;non-dropping-particle&quot;:&quot;&quot;},{&quot;family&quot;:&quot;Cheng&quot;,&quot;given&quot;:&quot;Kai&quot;,&quot;parse-names&quot;:false,&quot;dropping-particle&quot;:&quot;&quot;,&quot;non-dropping-particle&quot;:&quot;&quot;},{&quot;family&quot;:&quot;Liao&quot;,&quot;given&quot;:&quot;Bo&quot;,&quot;parse-names&quot;:false,&quot;dropping-particle&quot;:&quot;&quot;,&quot;non-dropping-particle&quot;:&quot;&quot;},{&quot;family&quot;:&quot;Li&quot;,&quot;given&quot;:&quot;Leyuan&quot;,&quot;parse-names&quot;:false,&quot;dropping-particle&quot;:&quot;&quot;,&quot;non-dropping-particle&quot;:&quot;&quot;},{&quot;family&quot;:&quot;Singleton&quot;,&quot;given&quot;:&quot;Ruth&quot;,&quot;parse-names&quot;:false,&quot;dropping-particle&quot;:&quot;&quot;,&quot;non-dropping-particle&quot;:&quot;&quot;},{&quot;family&quot;:&quot;Mack&quot;,&quot;given&quot;:&quot;David&quot;,&quot;parse-names&quot;:false,&quot;dropping-particle&quot;:&quot;&quot;,&quot;non-dropping-particle&quot;:&quot;&quot;},{&quot;family&quot;:&quot;Stintzi&quot;,&quot;given&quot;:&quot;Alain&quot;,&quot;parse-names&quot;:false,&quot;dropping-particle&quot;:&quot;&quot;,&quot;non-dropping-particle&quot;:&quot;&quot;},{&quot;family&quot;:&quot;Figeys&quot;,&quot;given&quot;:&quot;Daniel&quot;,&quot;parse-names&quot;:false,&quot;dropping-particle&quot;:&quot;&quot;,&quot;non-dropping-particle&quot;:&quot;&quot;}],&quot;container-title&quot;:&quot;Nature Communications&quot;,&quot;DOI&quot;:&quot;10.1038/s41467-018-05357-4&quot;,&quot;ISBN&quot;:&quot;4146701805&quot;,&quot;ISSN&quot;:&quot;20411723&quot;,&quot;PMID&quot;:&quot;30030445&quot;,&quot;URL&quot;:&quot;http://dx.doi.org/10.1038/s41467-018-05357-4&quot;,&quot;issued&quot;:{&quot;date-parts&quot;:[[2018]]},&quot;page&quot;:&quot;1-14&quot;,&quot;abstract&quot;:&quot;Alterations in gut microbiota have been implicated in the pathogenesis of inflammatory bowel disease (IBD), however factors that mediate the host–microbiota interactions remain largely unknown. Here we collected mucosal-luminal interface samples from a pediatric IBD inception cohort and characterized both the human and microbiota proteins using metaproteomics. We show that microbial proteins related to oxidative stress responses are upregulated in IBD cases compared to controls. In particular, we demonstrate that the expression of human proteins related to oxidative antimicrobial activities is increased in IBD cases and correlates with the alteration of microbial functions. Additionally, we reveal that many of these human proteins are present and show altered abundance in isolated free extracellular vesicles (EVs). Therefore, our study suggests that the alteration of intestinal EV proteomes is associated with the aberrant host–microbiota interactions in IBD.&quot;,&quot;publisher&quot;:&quot;Springer US&quot;,&quot;issue&quot;:&quot;1&quot;,&quot;volume&quot;:&quot;9&quot;,&quot;container-title-short&quot;:&quot;&quot;},&quot;isTemporary&quot;:false}]},{&quot;citationID&quot;:&quot;MENDELEY_CITATION_3d8dff6e-a994-415c-9c4a-1bd8a1c9e6eb&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&quot;,&quot;citationItems&quot;:[{&quot;id&quot;:&quot;82e0bb28-27b4-3aba-95d6-4509a5ac4fc9&quot;,&quot;itemData&quot;:{&quot;type&quot;:&quot;article&quot;,&quot;id&quot;:&quot;82e0bb28-27b4-3aba-95d6-4509a5ac4fc9&quot;,&quot;title&quot;:&quot;Functional Redundancy-Induced Stability of Gut Microbiota Subjected to Disturbance&quot;,&quot;author&quot;:[{&quot;family&quot;:&quot;Moya&quot;,&quot;given&quot;:&quot;Andrés&quot;,&quot;parse-names&quot;:false,&quot;dropping-particle&quot;:&quot;&quot;,&quot;non-dropping-particle&quot;:&quot;&quot;},{&quot;family&quot;:&quot;Ferrer&quot;,&quot;given&quot;:&quot;Manuel&quot;,&quot;parse-names&quot;:false,&quot;dropping-particle&quot;:&quot;&quot;,&quot;non-dropping-particle&quot;:&quot;&quot;}],&quot;container-title&quot;:&quot;Trends in Microbiology&quot;,&quot;DOI&quot;:&quot;10.1016/j.tim.2016.02.002&quot;,&quot;ISSN&quot;:&quot;18784380&quot;,&quot;issued&quot;:{&quot;date-parts&quot;:[[2016]]},&quot;abstract&quot;:&quot;The microbiota should be considered as just another component of the human epigenetic landscape. Thus, health is also a reflection of the diversity and composition of gut microbiota and its metabolic status. In defining host health, it remains unclear whether diversity is paramount, or whether greater weight is held by gut microbiota composition or mono- or multiple-functional capacity of the different taxa and the mechanisms involved. A network-biology approach may shed light on the key gut players acting to protect against, or promote, disorders or diseases. This could be achieved by integrating data on total and active species, proteins and molecules, and their association with host response. In this review, we discuss the utilization of top-down and bottom-up approaches, following a functional hierarchy perspective.&quot;,&quot;issue&quot;:&quot;5&quot;,&quot;volume&quot;:&quot;24&quot;,&quot;container-title-short&quot;:&quot;&quot;},&quot;isTemporary&quot;:false}]},{&quot;citationID&quot;:&quot;MENDELEY_CITATION_ed63147f-51ef-46e1-aa59-6aaa95429ea2&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&quot;,&quot;citationItems&quot;:[{&quot;id&quot;:&quot;e5a4849d-e6b2-3064-b961-45d9c9bfbc44&quot;,&quot;itemData&quot;:{&quot;type&quot;:&quot;article-journal&quot;,&quot;id&quot;:&quot;e5a4849d-e6b2-3064-b961-45d9c9bfbc44&quot;,&quot;title&quot;:&quot;Shotgun metaproteomics of the human distal gut microbiota&quot;,&quot;author&quot;:[{&quot;family&quot;:&quot;Verberkmoes&quot;,&quot;given&quot;:&quot;Nathan C.&quot;,&quot;parse-names&quot;:false,&quot;dropping-particle&quot;:&quot;&quot;,&quot;non-dropping-particle&quot;:&quot;&quot;},{&quot;family&quot;:&quot;Russell&quot;,&quot;given&quot;:&quot;Alison L.&quot;,&quot;parse-names&quot;:false,&quot;dropping-particle&quot;:&quot;&quot;,&quot;non-dropping-particle&quot;:&quot;&quot;},{&quot;family&quot;:&quot;Shah&quot;,&quot;given&quot;:&quot;Manesh&quot;,&quot;parse-names&quot;:false,&quot;dropping-particle&quot;:&quot;&quot;,&quot;non-dropping-particle&quot;:&quot;&quot;},{&quot;family&quot;:&quot;Godzik&quot;,&quot;given&quot;:&quot;Adam&quot;,&quot;parse-names&quot;:false,&quot;dropping-particle&quot;:&quot;&quot;,&quot;non-dropping-particle&quot;:&quot;&quot;},{&quot;family&quot;:&quot;Rosenquist&quot;,&quot;given&quot;:&quot;Magnus&quot;,&quot;parse-names&quot;:false,&quot;dropping-particle&quot;:&quot;&quot;,&quot;non-dropping-particle&quot;:&quot;&quot;},{&quot;family&quot;:&quot;Halfvarson&quot;,&quot;given&quot;:&quot;Jonas&quot;,&quot;parse-names&quot;:false,&quot;dropping-particle&quot;:&quot;&quot;,&quot;non-dropping-particle&quot;:&quot;&quot;},{&quot;family&quot;:&quot;Lefsrud&quot;,&quot;given&quot;:&quot;Mark G.&quot;,&quot;parse-names&quot;:false,&quot;dropping-particle&quot;:&quot;&quot;,&quot;non-dropping-particle&quot;:&quot;&quot;},{&quot;family&quot;:&quot;Apajalahti&quot;,&quot;given&quot;:&quot;Juha&quot;,&quot;parse-names&quot;:false,&quot;dropping-particle&quot;:&quot;&quot;,&quot;non-dropping-particle&quot;:&quot;&quot;},{&quot;family&quot;:&quot;Tysk&quot;,&quot;given&quot;:&quot;Curt&quot;,&quot;parse-names&quot;:false,&quot;dropping-particle&quot;:&quot;&quot;,&quot;non-dropping-particle&quot;:&quot;&quot;},{&quot;family&quot;:&quot;Hettich&quot;,&quot;given&quot;:&quot;Robert L.&quot;,&quot;parse-names&quot;:false,&quot;dropping-particle&quot;:&quot;&quot;,&quot;non-dropping-particle&quot;:&quot;&quot;},{&quot;family&quot;:&quot;Jansson&quot;,&quot;given&quot;:&quot;Janet K.&quot;,&quot;parse-names&quot;:false,&quot;dropping-particle&quot;:&quot;&quot;,&quot;non-dropping-particle&quot;:&quot;&quot;}],&quot;container-title&quot;:&quot;ISME Journal&quot;,&quot;DOI&quot;:&quot;10.1038/ismej.2008.108&quot;,&quot;ISBN&quot;:&quot;1751-7370 (Electronic)\\r1751-7362 (Linking)&quot;,&quot;ISSN&quot;:&quot;17517362&quot;,&quot;PMID&quot;:&quot;18971961&quot;,&quot;issued&quot;:{&quot;date-parts&quot;:[[2009]]},&quot;page&quot;:&quot;179-189&quot;,&quot;abstract&quot;:&quot;The human gut contains a dense, complex and diverse microbial community, comprising the gut microbiome. Metagenomics has recently revealed the composition of genes in the gut microbiome, but provides no direct information about which genes are expressed or functioning. Therefore, our goal was to develop a novel approach to directly identify microbial proteins in fecal samples to gain information about the genes expressed and about key microbial functions in the human gut. We used a non-targeted, shotgun mass spectrometry-based whole community proteomics, or metaproteomics, approach for the first deep proteome measurements of thousands of proteins in human fecal samples, thus demonstrating this approach on the most complex sample type to date. The resulting metaproteomes had a skewed distribution relative to the metagenome, with more proteins for translation, energy production and carbohydrate metabolism when compared to what was earlier predicted from metagenomics. Human proteins, including antimicrobial peptides, were also identified, providing a non-targeted glimpse of the host response to the microbiota. Several unknown proteins represented previously undescribed microbial pathways or host immune responses, revealing a novel complex interplay between the human host and its associated microbes.&quot;,&quot;issue&quot;:&quot;2&quot;,&quot;volume&quot;:&quot;3&quot;,&quot;container-title-short&quot;:&quot;&quot;},&quot;isTemporary&quot;:false}]},{&quot;citationID&quot;:&quot;MENDELEY_CITATION_0ec66cc0-ff3f-409b-bcb3-0a458e24d81a&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&quot;,&quot;citationItems&quot;:[{&quot;id&quot;:&quot;81672f09-edef-34c3-be89-4d9e85824402&quot;,&quot;itemData&quot;:{&quot;type&quot;:&quot;article-journal&quot;,&quot;id&quot;:&quot;81672f09-edef-34c3-be89-4d9e85824402&quot;,&quot;title&quot;:&quot;Needles in the blue sea: Sub-species specificity in targeted protein biomarker analyses within the vast oceanic microbial metaproteome&quot;,&quot;author&quot;:[{&quot;family&quot;:&quot;Saito&quot;,&quot;given&quot;:&quot;Mak A.&quot;,&quot;parse-names&quot;:false,&quot;dropping-particle&quot;:&quot;&quot;,&quot;non-dropping-particle&quot;:&quot;&quot;},{&quot;family&quot;:&quot;Dorsk&quot;,&quot;given&quot;:&quot;Alexander&quot;,&quot;parse-names&quot;:false,&quot;dropping-particle&quot;:&quot;&quot;,&quot;non-dropping-particle&quot;:&quot;&quot;},{&quot;family&quot;:&quot;Post&quot;,&quot;given&quot;:&quot;Anton F.&quot;,&quot;parse-names&quot;:false,&quot;dropping-particle&quot;:&quot;&quot;,&quot;non-dropping-particle&quot;:&quot;&quot;},{&quot;family&quot;:&quot;Mcilvin&quot;,&quot;given&quot;:&quot;Matthew R.&quot;,&quot;parse-names&quot;:false,&quot;dropping-particle&quot;:&quot;&quot;,&quot;non-dropping-particle&quot;:&quot;&quot;},{&quot;family&quot;:&quot;Rappé&quot;,&quot;given&quot;:&quot;Michael S.&quot;,&quot;parse-names&quot;:false,&quot;dropping-particle&quot;:&quot;&quot;,&quot;non-dropping-particle&quot;:&quot;&quot;},{&quot;family&quot;:&quot;Ditullio&quot;,&quot;given&quot;:&quot;Giacomo R.&quot;,&quot;parse-names&quot;:false,&quot;dropping-particle&quot;:&quot;&quot;,&quot;non-dropping-particle&quot;:&quot;&quot;},{&quot;family&quot;:&quot;Moran&quot;,&quot;given&quot;:&quot;Dawn M.&quot;,&quot;parse-names&quot;:false,&quot;dropping-particle&quot;:&quot;&quot;,&quot;non-dropping-particle&quot;:&quot;&quot;}],&quot;container-title&quot;:&quot;Proteomics&quot;,&quot;container-title-short&quot;:&quot;Proteomics&quot;,&quot;DOI&quot;:&quot;10.1002/pmic.201400630&quot;,&quot;ISSN&quot;:&quot;16159861&quot;,&quot;PMID&quot;:&quot;26097212&quot;,&quot;issued&quot;:{&quot;date-parts&quot;:[[2015]]},&quot;page&quot;:&quot;3521-3531&quot;,&quot;abstract&quot;:&quot;Proteomics has great potential for studies of marine microbial biogeochemistry, yet high microbial diversity in many locales presents us with unique challenges. We addressed this challenge with a targeted metaproteomics workflow for NtcA and P-II, two nitrogen regulatory proteins, and demonstrated its application for cyanobacterial taxa within microbial samples from the Central Pacific Ocean. Using METATRYP, an open-source Python toolkit, we examined the number of shared (redundant) tryptic peptides in representative marine microbes, with the number of tryptic peptides shared between different species typically being 1% or less. The related cyanobacteria Prochlorococcus and Synechococcus shared an average of 4.8 ± 1.9% of their tryptic peptides, while shared intraspecies peptides were higher, 13 ± 15% shared peptides between 12 Prochlorococcus genomes. An NtcA peptide was found to target multiple cyanobacteria species, whereas a P-II peptide showed specificity to the high-light Prochlorococcus ecotype. Distributions of NtcA and P-II in the Central Pacific Ocean were similar except at the Equator likely due to differential nitrogen stress responses between Prochlorococcus and Synechococcus. The number of unique tryptic peptides coded for within three combined oceanic microbial metagenomes was estimated to be ~4 × 107, 1000-fold larger than an individual microbial proteome and 27-fold larger than the human proteome, yet still 20 orders of magnitude lower than the peptide diversity possible in all protein space, implying that peptide mapping algorithms should be able to withstand the added level of complexity in metaproteomic samples.&quot;,&quot;issue&quot;:&quot;20&quot;,&quot;volume&quot;:&quot;15&quot;},&quot;isTemporary&quot;:false}]},{&quot;citationID&quot;:&quot;MENDELEY_CITATION_e9895648-3302-470a-bb09-5bed34ed17d2&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&quot;,&quot;citationItems&quot;:[{&quot;id&quot;:&quot;e260d0ef-f42a-3b4b-b5e6-a0607c7ea6a6&quot;,&quot;itemData&quot;:{&quot;type&quot;:&quot;article-journal&quot;,&quot;id&quot;:&quot;e260d0ef-f42a-3b4b-b5e6-a0607c7ea6a6&quot;,&quot;title&quot;:&quot;Using proteins to study how microbes contribute to soil ecosystem services: The current state and future perspectives of soil metaproteomics&quot;,&quot;author&quot;:[{&quot;family&quot;:&quot;Starke&quot;,&quot;given&quot;:&quot;Robert&quot;,&quot;parse-names&quot;:false,&quot;dropping-particle&quot;:&quot;&quot;,&quot;non-dropping-particle&quot;:&quot;&quot;},{&quot;family&quot;:&quot;Jehmlich&quot;,&quot;given&quot;:&quot;Nico&quot;,&quot;parse-names&quot;:false,&quot;dropping-particle&quot;:&quot;&quot;,&quot;non-dropping-particle&quot;:&quot;&quot;},{&quot;family&quot;:&quot;Bastida&quot;,&quot;given&quot;:&quot;Felipe&quot;,&quot;parse-names&quot;:false,&quot;dropping-particle&quot;:&quot;&quot;,&quot;non-dropping-particle&quot;:&quot;&quot;}],&quot;container-title&quot;:&quot;Journal of Proteomics&quot;,&quot;DOI&quot;:&quot;10.1016/j.jprot.2018.11.011&quot;,&quot;ISSN&quot;:&quot;18767737&quot;,&quot;PMID&quot;:&quot;30445181&quot;,&quot;URL&quot;:&quot;https://doi.org/10.1016/j.jprot.2018.11.011&quot;,&quot;issued&quot;:{&quot;date-parts&quot;:[[2019]]},&quot;page&quot;:&quot;50-58&quot;,&quot;abstract&quot;:&quot;Metaproteomics was established to analyse both the structure and the function of microbial communities and, particularly in soils, their contribution to ecosystem services. In this review, we provide an overview on how the study of the soil metaproteome can provide fundamental information on the role of microbial communities in soil ecosystem services. We further discuss the strengths and weaknesses of soil metaproteomics in comparison to other culture-independent OMIC techniques. We critically review its bottlenecks but also provide strategies to mitigate and possible directions for future research as the direct link of structure and function is advantageous and complementary to metagenomics, metatranscriptomics and metametabolomics.&quot;,&quot;publisher&quot;:&quot;Elsevier&quot;,&quot;issue&quot;:&quot;October 2018&quot;,&quot;volume&quot;:&quot;198&quot;,&quot;container-title-short&quot;:&quot;&quot;},&quot;isTemporary&quot;:false}]},{&quot;citationID&quot;:&quot;MENDELEY_CITATION_f7174b76-4847-4782-a0ae-4de5c00a5873&quot;,&quot;properties&quot;:{&quot;noteIndex&quot;:0},&quot;isEdited&quot;:false,&quot;manualOverride&quot;:{&quot;isManuallyOverridden&quot;:false,&quot;citeprocText&quot;:&quot;&lt;sup&gt;29,30&lt;/sup&gt;&quot;,&quot;manualOverrideText&quot;:&quot;&quot;},&quot;citationTag&quot;:&quot;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&quot;,&quot;citationItems&quot;:[{&quot;id&quot;:&quot;8301e37c-c7bd-351d-a5e3-ad7a352866c0&quot;,&quot;itemData&quot;:{&quot;type&quot;:&quot;article-journal&quot;,&quot;id&quot;:&quot;8301e37c-c7bd-351d-a5e3-ad7a352866c0&quot;,&quot;title&quot;:&quot;Improving protein extraction and separation methods for investigating the metaproteome of anaerobic benzene communities within sediments&quot;,&quot;author&quot;:[{&quot;family&quot;:&quot;Benndorf&quot;,&quot;given&quot;:&quot;Dirk&quot;,&quot;parse-names&quot;:false,&quot;dropping-particle&quot;:&quot;&quot;,&quot;non-dropping-particle&quot;:&quot;&quot;},{&quot;family&quot;:&quot;Vogt&quot;,&quot;given&quot;:&quot;Carsten&quot;,&quot;parse-names&quot;:false,&quot;dropping-particle&quot;:&quot;&quot;,&quot;non-dropping-particle&quot;:&quot;&quot;},{&quot;family&quot;:&quot;Jehmlich&quot;,&quot;given&quot;:&quot;Nico&quot;,&quot;parse-names&quot;:false,&quot;dropping-particle&quot;:&quot;&quot;,&quot;non-dropping-particle&quot;:&quot;&quot;},{&quot;family&quot;:&quot;Schmidt&quot;,&quot;given&quot;:&quot;Yvonne&quot;,&quot;parse-names&quot;:false,&quot;dropping-particle&quot;:&quot;&quot;,&quot;non-dropping-particle&quot;:&quot;&quot;},{&quot;family&quot;:&quot;Thomas&quot;,&quot;given&quot;:&quot;Henrik&quot;,&quot;parse-names&quot;:false,&quot;dropping-particle&quot;:&quot;&quot;,&quot;non-dropping-particle&quot;:&quot;&quot;},{&quot;family&quot;:&quot;Woffendin&quot;,&quot;given&quot;:&quot;Gary&quot;,&quot;parse-names&quot;:false,&quot;dropping-particle&quot;:&quot;&quot;,&quot;non-dropping-particle&quot;:&quot;&quot;},{&quot;family&quot;:&quot;Shevchenko&quot;,&quot;given&quot;:&quot;Andrej&quot;,&quot;parse-names&quot;:false,&quot;dropping-particle&quot;:&quot;&quot;,&quot;non-dropping-particle&quot;:&quot;&quot;},{&quot;family&quot;:&quot;Richnow&quot;,&quot;given&quot;:&quot;Hans Hermann&quot;,&quot;parse-names&quot;:false,&quot;dropping-particle&quot;:&quot;&quot;,&quot;non-dropping-particle&quot;:&quot;&quot;},{&quot;family&quot;:&quot;Bergen&quot;,&quot;given&quot;:&quot;Martin&quot;,&quot;parse-names&quot;:false,&quot;dropping-particle&quot;:&quot;&quot;,&quot;non-dropping-particle&quot;:&quot;von&quot;}],&quot;container-title&quot;:&quot;Biodegradation&quot;,&quot;container-title-short&quot;:&quot;Biodegradation&quot;,&quot;DOI&quot;:&quot;10.1007/s10532-009-9261-3&quot;,&quot;ISSN&quot;:&quot;09239820&quot;,&quot;PMID&quot;:&quot;19381451&quot;,&quot;issued&quot;:{&quot;date-parts&quot;:[[2009]]},&quot;page&quot;:&quot;737-750&quot;,&quot;abstract&quot;:&quot;BTEX compounds such as benzene are frequent soil and groundwater contaminants that are easily biodegraded under oxic conditions by bacteria. In contrast, benzene is rather recalcitrant under anaerobic conditions. The analysis of anoxic degradation is often hampered by difficult sampling conditions, limited amounts of biomass and interference of matrix compounds with proteomic approaches. In order to improve the procedure for protein extraction we established a scheme consisting of the following steps: dissociation of cells from lava granules, cell lysis by ultrasonication and purification of proteins by phenol extraction. The 2D-gels revealed a resolution of about 240 proteins spots and the spot patterns showed strong matrix dependence, but still differences were detectable between the metaproteomes obtained after growth on benzene and benzoate. Using direct data base search as well as de novo sequencing approaches we were able to identify several proteins. An enoyl-CoA hydratase with cross species homology to Azoarcus evansii, is known to be involved in the anoxic degradation of xenobiotics. Thereby the identification confirmed that this procedure has the capacity to analyse the metaproteome of an anoxic living microbial community. © Springer Science+Business Media B.V. 2009.&quot;,&quot;issue&quot;:&quot;6&quot;,&quot;volume&quot;:&quot;20&quot;},&quot;isTemporary&quot;:false},{&quot;id&quot;:&quot;eee8e802-3307-3689-9277-b03e731bdf05&quot;,&quot;itemData&quot;:{&quot;type&quot;:&quot;article-journal&quot;,&quot;id&quot;:&quot;eee8e802-3307-3689-9277-b03e731bdf05&quot;,&quot;title&quot;:&quot;Integration of time-series meta-omics data reveals how microbial ecosystems respond to disturbance&quot;,&quot;author&quot;:[{&quot;family&quot;:&quot;Herold&quot;,&quot;given&quot;:&quot;Malte&quot;,&quot;parse-names&quot;:false,&quot;dropping-particle&quot;:&quot;&quot;,&quot;non-dropping-particle&quot;:&quot;&quot;},{&quot;family&quot;:&quot;Arbas&quot;,&quot;given&quot;:&quot;Susana Martínez&quot;,&quot;parse-names&quot;:false,&quot;dropping-particle&quot;:&quot;&quot;,&quot;non-dropping-particle&quot;:&quot;&quot;},{&quot;family&quot;:&quot;Narayanasamy&quot;,&quot;given&quot;:&quot;Shaman&quot;,&quot;parse-names&quot;:false,&quot;dropping-particle&quot;:&quot;&quot;,&quot;non-dropping-particle&quot;:&quot;&quot;},{&quot;family&quot;:&quot;Sheik&quot;,&quot;given&quot;:&quot;Abdul R&quot;,&quot;parse-names&quot;:false,&quot;dropping-particle&quot;:&quot;&quot;,&quot;non-dropping-particle&quot;:&quot;&quot;},{&quot;family&quot;:&quot;Kleine-borgmann&quot;,&quot;given&quot;:&quot;Luise A K&quot;,&quot;parse-names&quot;:false,&quot;dropping-particle&quot;:&quot;&quot;,&quot;non-dropping-particle&quot;:&quot;&quot;},{&quot;family&quot;:&quot;Lebrun&quot;,&quot;given&quot;:&quot;Laura A&quot;,&quot;parse-names&quot;:false,&quot;dropping-particle&quot;:&quot;&quot;,&quot;non-dropping-particle&quot;:&quot;&quot;},{&quot;family&quot;:&quot;Kunath&quot;,&quot;given&quot;:&quot;Benoît J&quot;,&quot;parse-names&quot;:false,&quot;dropping-particle&quot;:&quot;&quot;,&quot;non-dropping-particle&quot;:&quot;&quot;},{&quot;family&quot;:&quot;Roume&quot;,&quot;given&quot;:&quot;Hugo&quot;,&quot;parse-names&quot;:false,&quot;dropping-particle&quot;:&quot;&quot;,&quot;non-dropping-particle&quot;:&quot;&quot;},{&quot;family&quot;:&quot;Bessarab&quot;,&quot;given&quot;:&quot;Irina&quot;,&quot;parse-names&quot;:false,&quot;dropping-particle&quot;:&quot;&quot;,&quot;non-dropping-particle&quot;:&quot;&quot;},{&quot;family&quot;:&quot;Williams&quot;,&quot;given&quot;:&quot;Rohan B H&quot;,&quot;parse-names&quot;:false,&quot;dropping-particle&quot;:&quot;&quot;,&quot;non-dropping-particle&quot;:&quot;&quot;},{&quot;family&quot;:&quot;Gillece&quot;,&quot;given&quot;:&quot;John D&quot;,&quot;parse-names&quot;:false,&quot;dropping-particle&quot;:&quot;&quot;,&quot;non-dropping-particle&quot;:&quot;&quot;},{&quot;family&quot;:&quot;Schupp&quot;,&quot;given&quot;:&quot;James M&quot;,&quot;parse-names&quot;:false,&quot;dropping-particle&quot;:&quot;&quot;,&quot;non-dropping-particle&quot;:&quot;&quot;},{&quot;family&quot;:&quot;Keim&quot;,&quot;given&quot;:&quot;Paul S&quot;,&quot;parse-names&quot;:false,&quot;dropping-particle&quot;:&quot;&quot;,&quot;non-dropping-particle&quot;:&quot;&quot;},{&quot;family&quot;:&quot;Jäger&quot;,&quot;given&quot;:&quot;Christian&quot;,&quot;parse-names&quot;:false,&quot;dropping-particle&quot;:&quot;&quot;,&quot;non-dropping-particle&quot;:&quot;&quot;},{&quot;family&quot;:&quot;Hoopmann&quot;,&quot;given&quot;:&quot;Michael R&quot;,&quot;parse-names&quot;:false,&quot;dropping-particle&quot;:&quot;&quot;,&quot;non-dropping-particle&quot;:&quot;&quot;},{&quot;family&quot;:&quot;Moritz&quot;,&quot;given&quot;:&quot;Robert L&quot;,&quot;parse-names&quot;:false,&quot;dropping-particle&quot;:&quot;&quot;,&quot;non-dropping-particle&quot;:&quot;&quot;},{&quot;family&quot;:&quot;Ye&quot;,&quot;given&quot;:&quot;Yuzhen&quot;,&quot;parse-names&quot;:false,&quot;dropping-particle&quot;:&quot;&quot;,&quot;non-dropping-particle&quot;:&quot;&quot;},{&quot;family&quot;:&quot;Li&quot;,&quot;given&quot;:&quot;Sujun&quot;,&quot;parse-names&quot;:false,&quot;dropping-particle&quot;:&quot;&quot;,&quot;non-dropping-particle&quot;:&quot;&quot;},{&quot;family&quot;:&quot;Tang&quot;,&quot;given&quot;:&quot;Haixu&quot;,&quot;parse-names&quot;:false,&quot;dropping-particle&quot;:&quot;&quot;,&quot;non-dropping-particle&quot;:&quot;&quot;},{&quot;family&quot;:&quot;Heintz-buschart&quot;,&quot;given&quot;:&quot;Anna&quot;,&quot;parse-names&quot;:false,&quot;dropping-particle&quot;:&quot;&quot;,&quot;non-dropping-particle&quot;:&quot;&quot;},{&quot;family&quot;:&quot;May&quot;,&quot;given&quot;:&quot;Patrick&quot;,&quot;parse-names&quot;:false,&quot;dropping-particle&quot;:&quot;&quot;,&quot;non-dropping-particle&quot;:&quot;&quot;},{&quot;family&quot;:&quot;Muller&quot;,&quot;given&quot;:&quot;Emilie E L&quot;,&quot;parse-names&quot;:false,&quot;dropping-particle&quot;:&quot;&quot;,&quot;non-dropping-particle&quot;:&quot;&quot;},{&quot;family&quot;:&quot;Laczny&quot;,&quot;given&quot;:&quot;Cedric C&quot;,&quot;parse-names&quot;:false,&quot;dropping-particle&quot;:&quot;&quot;,&quot;non-dropping-particle&quot;:&quot;&quot;},{&quot;family&quot;:&quot;Wilmes&quot;,&quot;given&quot;:&quot;Paul&quot;,&quot;parse-names&quot;:false,&quot;dropping-particle&quot;:&quot;&quot;,&quot;non-dropping-particle&quot;:&quot;&quot;}],&quot;container-title&quot;:&quot;Nature Communications&quot;,&quot;DOI&quot;:&quot;10.1038/s41467-020-19006-2&quot;,&quot;ISSN&quot;:&quot;2041-1723&quot;,&quot;URL&quot;:&quot;http://dx.doi.org/10.1038/s41467-020-19006-2&quot;,&quot;issued&quot;:{&quot;date-parts&quot;:[[2020]]},&quot;publisher&quot;:&quot;Springer US&quot;,&quot;container-title-short&quot;:&quot;&quot;},&quot;isTemporary&quot;:false}]},{&quot;citationID&quot;:&quot;MENDELEY_CITATION_8e21cef9-ee76-419d-9ee1-8acda73e4f27&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&quot;,&quot;citationItems&quot;:[{&quot;id&quot;:&quot;e207d5c0-8ea9-3b51-abc2-7f6b3f75a300&quot;,&quot;itemData&quot;:{&quot;type&quot;:&quot;article-journal&quot;,&quot;id&quot;:&quot;e207d5c0-8ea9-3b51-abc2-7f6b3f75a300&quot;,&quot;title&quot;:&quot;SDS-PAGE fractionation to increase metaproteomic insight into the taxonomic and functional composition of microbial communities for biogas plant samples&quot;,&quot;author&quot;:[{&quot;family&quot;:&quot;Wenzel&quot;,&quot;given&quot;:&quot;Lisa&quot;,&quot;parse-names&quot;:false,&quot;dropping-particle&quot;:&quot;&quot;,&quot;non-dropping-particle&quot;:&quot;&quot;},{&quot;family&quot;:&quot;Heyer&quot;,&quot;given&quot;:&quot;Robert&quot;,&quot;parse-names&quot;:false,&quot;dropping-particle&quot;:&quot;&quot;,&quot;non-dropping-particle&quot;:&quot;&quot;},{&quot;family&quot;:&quot;Schallert&quot;,&quot;given&quot;:&quot;Kay&quot;,&quot;parse-names&quot;:false,&quot;dropping-particle&quot;:&quot;&quot;,&quot;non-dropping-particle&quot;:&quot;&quot;},{&quot;family&quot;:&quot;Löser&quot;,&quot;given&quot;:&quot;Lucy&quot;,&quot;parse-names&quot;:false,&quot;dropping-particle&quot;:&quot;&quot;,&quot;non-dropping-particle&quot;:&quot;&quot;},{&quot;family&quot;:&quot;Wünschiers&quot;,&quot;given&quot;:&quot;Röbbe&quot;,&quot;parse-names&quot;:false,&quot;dropping-particle&quot;:&quot;&quot;,&quot;non-dropping-particle&quot;:&quot;&quot;},{&quot;family&quot;:&quot;Reichl&quot;,&quot;given&quot;:&quot;Udo&quot;,&quot;parse-names&quot;:false,&quot;dropping-particle&quot;:&quot;&quot;,&quot;non-dropping-particle&quot;:&quot;&quot;},{&quot;family&quot;:&quot;Benndorf&quot;,&quot;given&quot;:&quot;Dirk&quot;,&quot;parse-names&quot;:false,&quot;dropping-particle&quot;:&quot;&quot;,&quot;non-dropping-particle&quot;:&quot;&quot;}],&quot;container-title&quot;:&quot;Engineering in Life Sciences&quot;,&quot;DOI&quot;:&quot;10.1002/elsc.201800062&quot;,&quot;ISSN&quot;:&quot;16182863&quot;,&quot;issued&quot;:{&quot;date-parts&quot;:[[2018]]},&quot;page&quot;:&quot;498-509&quot;,&quot;abstract&quot;:&quot;Metaproteomics represent an important tool for the taxonomic and functional investigation of microbial communities in humans, environment, and technical applications. Due to the high complexity of the microbial communities, protein, and peptide fractionation is applied to improve the characterization of taxonomic and functional composition of microbial communities. In order to target scientific questions regarding taxonomic and functional composition adequately, a tradeoff between the number of fractions analyzed and the required depth of information has to be found. Two samples of a biogas plant were analyzed by either single LC-MS/MS measurement (1D) or LC-MS/MS measurements of fractions obtained after SDS-PAGE (2D) separation. Fractionation with SDS-PAGE increased the number of identified spectra by 273%, the number of peptides by 95%, and the number of metaproteins by 59%. Rarefaction plots of species and metaproteins against identified spectra showed that 2D separation was sufficient to identify most microbial families but not all metaproteins. More reliable quantitative comparison could be achieved with 2D. 1D separation enabled high-throughput analysis of samples, however, depth in functional descriptions and reliability of quantification were lost. Nevertheless, the proteotyping of multiple samples was still possible. 2D separations provided more reliable quantitative data combined with a deeper insight into the taxonomic and functional composition of the microbial communities. Regarding taxonomic and functional composition, metaproteomics based on 2D is just the tip of an iceberg.&quot;,&quot;issue&quot;:&quot;7&quot;,&quot;volume&quot;:&quot;18&quot;,&quot;container-title-short&quot;:&quot;&quot;},&quot;isTemporary&quot;:false}]},{&quot;citationID&quot;:&quot;MENDELEY_CITATION_a7f5080c-dea9-4aa9-b2ee-2e8d1cf804ba&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&quot;,&quot;citationItems&quot;:[{&quot;id&quot;:&quot;f91fb4b2-bf80-3507-8515-e97731cdfe02&quot;,&quot;itemData&quot;:{&quot;type&quot;:&quot;article-journal&quot;,&quot;id&quot;:&quot;f91fb4b2-bf80-3507-8515-e97731cdfe02&quot;,&quot;title&quot;:&quot;Metaproteomics reveals insights into microbial structure, interactions, and dynamic regulation in defined communities as they respond to environmental disturbance&quot;,&quot;author&quot;:[{&quot;family&quot;:&quot;Shrestha&quot;,&quot;given&quot;:&quot;Him K.&quot;,&quot;parse-names&quot;:false,&quot;dropping-particle&quot;:&quot;&quot;,&quot;non-dropping-particle&quot;:&quot;&quot;},{&quot;family&quot;:&quot;Appidi&quot;,&quot;given&quot;:&quot;Manasa R.&quot;,&quot;parse-names&quot;:false,&quot;dropping-particle&quot;:&quot;&quot;,&quot;non-dropping-particle&quot;:&quot;&quot;},{&quot;family&quot;:&quot;Villalobos Solis&quot;,&quot;given&quot;:&quot;Manuel I.&quot;,&quot;parse-names&quot;:false,&quot;dropping-particle&quot;:&quot;&quot;,&quot;non-dropping-particle&quot;:&quot;&quot;},{&quot;family&quot;:&quot;Wang&quot;,&quot;given&quot;:&quot;Jia&quot;,&quot;parse-names&quot;:false,&quot;dropping-particle&quot;:&quot;&quot;,&quot;non-dropping-particle&quot;:&quot;&quot;},{&quot;family&quot;:&quot;Carper&quot;,&quot;given&quot;:&quot;Dana L.&quot;,&quot;parse-names&quot;:false,&quot;dropping-particle&quot;:&quot;&quot;,&quot;non-dropping-particle&quot;:&quot;&quot;},{&quot;family&quot;:&quot;Burdick&quot;,&quot;given&quot;:&quot;Leah&quot;,&quot;parse-names&quot;:false,&quot;dropping-particle&quot;:&quot;&quot;,&quot;non-dropping-particle&quot;:&quot;&quot;},{&quot;family&quot;:&quot;Pelletier&quot;,&quot;given&quot;:&quot;Dale A.&quot;,&quot;parse-names&quot;:false,&quot;dropping-particle&quot;:&quot;&quot;,&quot;non-dropping-particle&quot;:&quot;&quot;},{&quot;family&quot;:&quot;Doktycz&quot;,&quot;given&quot;:&quot;Mitchel J.&quot;,&quot;parse-names&quot;:false,&quot;dropping-particle&quot;:&quot;&quot;,&quot;non-dropping-particle&quot;:&quot;&quot;},{&quot;family&quot;:&quot;Hettich&quot;,&quot;given&quot;:&quot;Robert L.&quot;,&quot;parse-names&quot;:false,&quot;dropping-particle&quot;:&quot;&quot;,&quot;non-dropping-particle&quot;:&quot;&quot;},{&quot;family&quot;:&quot;Abraham&quot;,&quot;given&quot;:&quot;Paul E.&quot;,&quot;parse-names&quot;:false,&quot;dropping-particle&quot;:&quot;&quot;,&quot;non-dropping-particle&quot;:&quot;&quot;}],&quot;container-title&quot;:&quot;BMC Microbiology&quot;,&quot;DOI&quot;:&quot;10.1186/s12866-021-02370-4&quot;,&quot;ISSN&quot;:&quot;14712180&quot;,&quot;PMID&quot;:&quot;34749649&quot;,&quot;URL&quot;:&quot;https://doi.org/10.1186/s12866-021-02370-4&quot;,&quot;issued&quot;:{&quot;date-parts&quot;:[[2021]]},&quot;page&quot;:&quot;1-17&quot;,&quot;abstract&quot;:&quot;Background: Microbe-microbe interactions between members of the plant rhizosphere are important but remain poorly understood. A more comprehensive understanding of the molecular mechanisms used by microbes to cooperate, compete, and persist has been challenging because of the complexity of natural ecosystems and the limited control over environmental factors. One strategy to address this challenge relies on studying complexity in a progressive manner, by first building a detailed understanding of relatively simple subsets of the community and then achieving high predictive power through combining different building blocks (e.g., hosts, community members) for different environments. Herein, we coupled this reductionist approach with high-resolution mass spectrometry-based metaproteomics to study molecular mechanisms driving community assembly, adaptation, and functionality for a defined community of ten taxonomically diverse bacterial members of Populus deltoides rhizosphere co-cultured either in a complex or defined medium. Results: Metaproteomics showed this defined community assembled into distinct microbiomes based on growth media that eventually exhibit composition and functional stability over time. The community grown in two different media showed variation in composition, yet both were dominated by only a few microbial strains. Proteome-wide interrogation provided detailed insights into the functional behavior of each dominant member as they adjust to changing community compositions and environments. The emergence and persistence of select microbes in these communities were driven by specialization in strategies including motility, antibiotic production, altered metabolism, and dormancy. Protein-level interrogation identified post-translational modifications that provided additional insights into regulatory mechanisms influencing microbial adaptation in the changing environments. Conclusions: This study provides high-resolution proteome-level insights into our understanding of microbe-microbe interactions and highlights specialized biological processes carried out by specific members of assembled microbiomes to compete and persist in changing environmental conditions. Emergent properties observed in these lower complexity communities can then be re-evaluated as more complex systems are studied and, when a particular property becomes less relevant, higher-order interactions can be identified.&quot;,&quot;publisher&quot;:&quot;BioMed Central&quot;,&quot;issue&quot;:&quot;1&quot;,&quot;volume&quot;:&quot;21&quot;,&quot;container-title-short&quot;:&quot;&quot;},&quot;isTemporary&quot;:false}]},{&quot;citationID&quot;:&quot;MENDELEY_CITATION_6d37cb9a-ffcf-44d5-bc0f-736e71f6f469&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&quot;,&quot;citationItems&quot;:[{&quot;id&quot;:&quot;b61de750-65c5-3dbd-b61b-9ab9853b8bba&quot;,&quot;itemData&quot;:{&quot;type&quot;:&quot;article-journal&quot;,&quot;id&quot;:&quot;b61de750-65c5-3dbd-b61b-9ab9853b8bba&quot;,&quot;title&quot;:&quot;Comparative integrated omics: identification of key functionalities in microbial community-wide metabolic networks&quot;,&quot;author&quot;:[{&quot;family&quot;:&quot;Hugo Roume, Anna Heintz-Buschart, Emilie E L Muller, Patrick May, Venkata P Satagopam, Cédric C Laczny, Shaman Narayanasamy, Laura A Lebrun, Michael R Hoopmann, James M Schupp, John D Gillece, Nathan D Hicks, David M Engelthaler, Thomas Sauter, Paul S Kei&quot;,&quot;given&quot;:&quot;Robert L Moritz &amp; Paul Wilmes&quot;,&quot;parse-names&quot;:false,&quot;dropping-particle&quot;:&quot;&quot;,&quot;non-dropping-particle&quot;:&quot;&quot;}],&quot;container-title&quot;:&quot;npj Biofilms and Microbiomes&quot;,&quot;DOI&quot;:&quot;10.1038/npjbio&quot;,&quot;ISBN&quot;:&quot;0171-8630&quot;,&quot;ISSN&quot;:&quot;00992240&quot;,&quot;PMID&quot;:&quot;12194761&quot;,&quot;URL&quot;:&quot;http://www.degruyter.com/view/j/botm.2014.57.issue-6/bot-2014-0031/bot-2014-0031.xml&quot;,&quot;issued&quot;:{&quot;date-parts&quot;:[[2015]]},&quot;page&quot;:&quot;1-11&quot;,&quot;abstract&quot;:&quot;in natural composed of multiple bacte- rial species, filamentous algae, and fungi originally labeled KMB1, KMB2, KMB3 and KMB4 (for Kewalo Marine Lab Species 1 mM MgCl2, 200 µM deoxynucleotide triphosphate mix, 0.1 µM of each , 1X buffer&quot;,&quot;issue&quot;:&quot;1&quot;,&quot;volume&quot;:&quot;1&quot;,&quot;container-title-short&quot;:&quot;&quot;},&quot;isTemporary&quot;:false}]},{&quot;citationID&quot;:&quot;MENDELEY_CITATION_887264ac-6066-4726-9549-2f8801479118&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&quot;,&quot;citationItems&quot;:[{&quot;id&quot;:&quot;90205393-66c3-33ff-8135-010fe4df8d15&quot;,&quot;itemData&quot;:{&quot;type&quot;:&quot;article-journal&quot;,&quot;id&quot;:&quot;90205393-66c3-33ff-8135-010fe4df8d15&quot;,&quot;title&quot;:&quot;Community-integrated omics links dominance of a microbial generalist to fine-tuned resource usage&quot;,&quot;author&quot;:[{&quot;family&quot;:&quot;Muller&quot;,&quot;given&quot;:&quot;Emilie E.L.&quot;,&quot;parse-names&quot;:false,&quot;dropping-particle&quot;:&quot;&quot;,&quot;non-dropping-particle&quot;:&quot;&quot;},{&quot;family&quot;:&quot;Pinel&quot;,&quot;given&quot;:&quot;Nicolás&quot;,&quot;parse-names&quot;:false,&quot;dropping-particle&quot;:&quot;&quot;,&quot;non-dropping-particle&quot;:&quot;&quot;},{&quot;family&quot;:&quot;Laczny&quot;,&quot;given&quot;:&quot;Cédric C.&quot;,&quot;parse-names&quot;:false,&quot;dropping-particle&quot;:&quot;&quot;,&quot;non-dropping-particle&quot;:&quot;&quot;},{&quot;family&quot;:&quot;Hoopmann&quot;,&quot;given&quot;:&quot;Michael R.&quot;,&quot;parse-names&quot;:false,&quot;dropping-particle&quot;:&quot;&quot;,&quot;non-dropping-particle&quot;:&quot;&quot;},{&quot;family&quot;:&quot;Narayanasamy&quot;,&quot;given&quot;:&quot;Shaman&quot;,&quot;parse-names&quot;:false,&quot;dropping-particle&quot;:&quot;&quot;,&quot;non-dropping-particle&quot;:&quot;&quot;},{&quot;family&quot;:&quot;Lebrun&quot;,&quot;given&quot;:&quot;Laura A.&quot;,&quot;parse-names&quot;:false,&quot;dropping-particle&quot;:&quot;&quot;,&quot;non-dropping-particle&quot;:&quot;&quot;},{&quot;family&quot;:&quot;Roume&quot;,&quot;given&quot;:&quot;Hugo&quot;,&quot;parse-names&quot;:false,&quot;dropping-particle&quot;:&quot;&quot;,&quot;non-dropping-particle&quot;:&quot;&quot;},{&quot;family&quot;:&quot;Lin&quot;,&quot;given&quot;:&quot;Jake&quot;,&quot;parse-names&quot;:false,&quot;dropping-particle&quot;:&quot;&quot;,&quot;non-dropping-particle&quot;:&quot;&quot;},{&quot;family&quot;:&quot;May&quot;,&quot;given&quot;:&quot;Patrick&quot;,&quot;parse-names&quot;:false,&quot;dropping-particle&quot;:&quot;&quot;,&quot;non-dropping-particle&quot;:&quot;&quot;},{&quot;family&quot;:&quot;Hicks&quot;,&quot;given&quot;:&quot;Nathan D.&quot;,&quot;parse-names&quot;:false,&quot;dropping-particle&quot;:&quot;&quot;,&quot;non-dropping-particle&quot;:&quot;&quot;},{&quot;family&quot;:&quot;Heintz-Buschart&quot;,&quot;given&quot;:&quot;Anna&quot;,&quot;parse-names&quot;:false,&quot;dropping-particle&quot;:&quot;&quot;,&quot;non-dropping-particle&quot;:&quot;&quot;},{&quot;family&quot;:&quot;Wampach&quot;,&quot;given&quot;:&quot;Linda&quot;,&quot;parse-names&quot;:false,&quot;dropping-particle&quot;:&quot;&quot;,&quot;non-dropping-particle&quot;:&quot;&quot;},{&quot;family&quot;:&quot;Liu&quot;,&quot;given&quot;:&quot;Cindy M.&quot;,&quot;parse-names&quot;:false,&quot;dropping-particle&quot;:&quot;&quot;,&quot;non-dropping-particle&quot;:&quot;&quot;},{&quot;family&quot;:&quot;Price&quot;,&quot;given&quot;:&quot;Lance B.&quot;,&quot;parse-names&quot;:false,&quot;dropping-particle&quot;:&quot;&quot;,&quot;non-dropping-particle&quot;:&quot;&quot;},{&quot;family&quot;:&quot;Gillece&quot;,&quot;given&quot;:&quot;John D.&quot;,&quot;parse-names&quot;:false,&quot;dropping-particle&quot;:&quot;&quot;,&quot;non-dropping-particle&quot;:&quot;&quot;},{&quot;family&quot;:&quot;Guignard&quot;,&quot;given&quot;:&quot;Cédric&quot;,&quot;parse-names&quot;:false,&quot;dropping-particle&quot;:&quot;&quot;,&quot;non-dropping-particle&quot;:&quot;&quot;},{&quot;family&quot;:&quot;Schupp&quot;,&quot;given&quot;:&quot;James M.&quot;,&quot;parse-names&quot;:false,&quot;dropping-particle&quot;:&quot;&quot;,&quot;non-dropping-particle&quot;:&quot;&quot;},{&quot;family&quot;:&quot;Vlassis&quot;,&quot;given&quot;:&quot;Nikos&quot;,&quot;parse-names&quot;:false,&quot;dropping-particle&quot;:&quot;&quot;,&quot;non-dropping-particle&quot;:&quot;&quot;},{&quot;family&quot;:&quot;Baliga&quot;,&quot;given&quot;:&quot;Nitin S.&quot;,&quot;parse-names&quot;:false,&quot;dropping-particle&quot;:&quot;&quot;,&quot;non-dropping-particle&quot;:&quot;&quot;},{&quot;family&quot;:&quot;Moritz&quot;,&quot;given&quot;:&quot;Robert L.&quot;,&quot;parse-names&quot;:false,&quot;dropping-particle&quot;:&quot;&quot;,&quot;non-dropping-particle&quot;:&quot;&quot;},{&quot;family&quot;:&quot;Keim&quot;,&quot;given&quot;:&quot;Paul S.&quot;,&quot;parse-names&quot;:false,&quot;dropping-particle&quot;:&quot;&quot;,&quot;non-dropping-particle&quot;:&quot;&quot;},{&quot;family&quot;:&quot;Wilmes&quot;,&quot;given&quot;:&quot;Paul&quot;,&quot;parse-names&quot;:false,&quot;dropping-particle&quot;:&quot;&quot;,&quot;non-dropping-particle&quot;:&quot;&quot;}],&quot;container-title&quot;:&quot;Nature Communications&quot;,&quot;DOI&quot;:&quot;10.1038/ncomms6603&quot;,&quot;ISSN&quot;:&quot;20411723&quot;,&quot;PMID&quot;:&quot;25424998&quot;,&quot;issued&quot;:{&quot;date-parts&quot;:[[2014]]},&quot;abstract&quot;:&quot;Microbial communities are complex and dynamic systems that are primarily structured according to their members' ecological niches. To investigate how niche breadth (generalist versus specialist lifestyle strategies) relates to ecological success, we develop and apply an integrative workflow for the multi-omic analysis of oleaginous mixed microbial communities from a biological wastewater treatment plant. Time- and space-resolved coupled metabolomic and taxonomic analyses demonstrate that the community-wide lipid accumulation phenotype is associated with the dominance of the generalist bacterium Candidatus Microthrix spp. By integrating population-level genomic reconstructions (reflecting fundamental niches) with transcriptomic and proteomic data (realised niches), we identify finely tuned gene expression governing resource usage by Candidatus Microthrix parvicella over time. Moreover, our results indicate that the fluctuating environmental conditions constrain the accumulation of genetic variation in Candidatus Microthrix parvicella likely due to fitness trade-offs. Based on our observations, niche breadth has to be considered as an important factor for understanding the evolutionary processes governing (microbial) population sizes and structures in situ.&quot;,&quot;volume&quot;:&quot;5&quot;,&quot;container-title-short&quot;:&quot;&quot;},&quot;isTemporary&quot;:false}]},{&quot;citationID&quot;:&quot;MENDELEY_CITATION_24d56af9-30d9-4b76-b118-d2ae6f8d415d&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&quot;,&quot;citationItems&quot;:[{&quot;id&quot;:&quot;9997f341-046a-3bd1-b6ed-7dfaf8c6ff43&quot;,&quot;itemData&quot;:{&quot;type&quot;:&quot;article-journal&quot;,&quot;id&quot;:&quot;9997f341-046a-3bd1-b6ed-7dfaf8c6ff43&quot;,&quot;title&quot;:&quot;Roles of bacteriophages, plasmids and CRISPR immunity in microbial community dynamics revealed using time-series integrated meta-omics&quot;,&quot;author&quot;:[{&quot;family&quot;:&quot;Martínez Arbas&quot;,&quot;given&quot;:&quot;Susana&quot;,&quot;parse-names&quot;:false,&quot;dropping-particle&quot;:&quot;&quot;,&quot;non-dropping-particle&quot;:&quot;&quot;},{&quot;family&quot;:&quot;Narayanasamy&quot;,&quot;given&quot;:&quot;Shaman&quot;,&quot;parse-names&quot;:false,&quot;dropping-particle&quot;:&quot;&quot;,&quot;non-dropping-particle&quot;:&quot;&quot;},{&quot;family&quot;:&quot;Herold&quot;,&quot;given&quot;:&quot;Malte&quot;,&quot;parse-names&quot;:false,&quot;dropping-particle&quot;:&quot;&quot;,&quot;non-dropping-particle&quot;:&quot;&quot;},{&quot;family&quot;:&quot;Lebrun&quot;,&quot;given&quot;:&quot;Laura A.&quot;,&quot;parse-names&quot;:false,&quot;dropping-particle&quot;:&quot;&quot;,&quot;non-dropping-particle&quot;:&quot;&quot;},{&quot;family&quot;:&quot;Hoopmann&quot;,&quot;given&quot;:&quot;Michael R.&quot;,&quot;parse-names&quot;:false,&quot;dropping-particle&quot;:&quot;&quot;,&quot;non-dropping-particle&quot;:&quot;&quot;},{&quot;family&quot;:&quot;Li&quot;,&quot;given&quot;:&quot;Sujun&quot;,&quot;parse-names&quot;:false,&quot;dropping-particle&quot;:&quot;&quot;,&quot;non-dropping-particle&quot;:&quot;&quot;},{&quot;family&quot;:&quot;Lam&quot;,&quot;given&quot;:&quot;Tony J.&quot;,&quot;parse-names&quot;:false,&quot;dropping-particle&quot;:&quot;&quot;,&quot;non-dropping-particle&quot;:&quot;&quot;},{&quot;family&quot;:&quot;Kunath&quot;,&quot;given&quot;:&quot;Benoît J.&quot;,&quot;parse-names&quot;:false,&quot;dropping-particle&quot;:&quot;&quot;,&quot;non-dropping-particle&quot;:&quot;&quot;},{&quot;family&quot;:&quot;Hicks&quot;,&quot;given&quot;:&quot;Nathan D.&quot;,&quot;parse-names&quot;:false,&quot;dropping-particle&quot;:&quot;&quot;,&quot;non-dropping-particle&quot;:&quot;&quot;},{&quot;family&quot;:&quot;Liu&quot;,&quot;given&quot;:&quot;Cindy M.&quot;,&quot;parse-names&quot;:false,&quot;dropping-particle&quot;:&quot;&quot;,&quot;non-dropping-particle&quot;:&quot;&quot;},{&quot;family&quot;:&quot;Price&quot;,&quot;given&quot;:&quot;Lance B.&quot;,&quot;parse-names&quot;:false,&quot;dropping-particle&quot;:&quot;&quot;,&quot;non-dropping-particle&quot;:&quot;&quot;},{&quot;family&quot;:&quot;Laczny&quot;,&quot;given&quot;:&quot;Cedric C.&quot;,&quot;parse-names&quot;:false,&quot;dropping-particle&quot;:&quot;&quot;,&quot;non-dropping-particle&quot;:&quot;&quot;},{&quot;family&quot;:&quot;Gillece&quot;,&quot;given&quot;:&quot;John D.&quot;,&quot;parse-names&quot;:false,&quot;dropping-particle&quot;:&quot;&quot;,&quot;non-dropping-particle&quot;:&quot;&quot;},{&quot;family&quot;:&quot;Schupp&quot;,&quot;given&quot;:&quot;James M.&quot;,&quot;parse-names&quot;:false,&quot;dropping-particle&quot;:&quot;&quot;,&quot;non-dropping-particle&quot;:&quot;&quot;},{&quot;family&quot;:&quot;Keim&quot;,&quot;given&quot;:&quot;Paul S.&quot;,&quot;parse-names&quot;:false,&quot;dropping-particle&quot;:&quot;&quot;,&quot;non-dropping-particle&quot;:&quot;&quot;},{&quot;family&quot;:&quot;Moritz&quot;,&quot;given&quot;:&quot;Robert L.&quot;,&quot;parse-names&quot;:false,&quot;dropping-particle&quot;:&quot;&quot;,&quot;non-dropping-particle&quot;:&quot;&quot;},{&quot;family&quot;:&quot;Faust&quot;,&quot;given&quot;:&quot;Karoline&quot;,&quot;parse-names&quot;:false,&quot;dropping-particle&quot;:&quot;&quot;,&quot;non-dropping-particle&quot;:&quot;&quot;},{&quot;family&quot;:&quot;Tang&quot;,&quot;given&quot;:&quot;Haixu&quot;,&quot;parse-names&quot;:false,&quot;dropping-particle&quot;:&quot;&quot;,&quot;non-dropping-particle&quot;:&quot;&quot;},{&quot;family&quot;:&quot;Ye&quot;,&quot;given&quot;:&quot;Yuzhen&quot;,&quot;parse-names&quot;:false,&quot;dropping-particle&quot;:&quot;&quot;,&quot;non-dropping-particle&quot;:&quot;&quot;},{&quot;family&quot;:&quot;Skupin&quot;,&quot;given&quot;:&quot;Alexander&quot;,&quot;parse-names&quot;:false,&quot;dropping-particle&quot;:&quot;&quot;,&quot;non-dropping-particle&quot;:&quot;&quot;},{&quot;family&quot;:&quot;May&quot;,&quot;given&quot;:&quot;Patrick&quot;,&quot;parse-names&quot;:false,&quot;dropping-particle&quot;:&quot;&quot;,&quot;non-dropping-particle&quot;:&quot;&quot;},{&quot;family&quot;:&quot;Muller&quot;,&quot;given&quot;:&quot;Emilie E.L.&quot;,&quot;parse-names&quot;:false,&quot;dropping-particle&quot;:&quot;&quot;,&quot;non-dropping-particle&quot;:&quot;&quot;},{&quot;family&quot;:&quot;Wilmes&quot;,&quot;given&quot;:&quot;Paul&quot;,&quot;parse-names&quot;:false,&quot;dropping-particle&quot;:&quot;&quot;,&quot;non-dropping-particle&quot;:&quot;&quot;}],&quot;container-title&quot;:&quot;Nature Microbiology&quot;,&quot;DOI&quot;:&quot;10.1038/s41564-020-00794-8&quot;,&quot;ISSN&quot;:&quot;20585276&quot;,&quot;PMID&quot;:&quot;33139880&quot;,&quot;URL&quot;:&quot;http://dx.doi.org/10.1038/s41564-020-00794-8&quot;,&quot;issued&quot;:{&quot;date-parts&quot;:[[2021]]},&quot;page&quot;:&quot;123-135&quot;,&quot;abstract&quot;:&quot;Viruses and plasmids (invasive mobile genetic elements (iMGEs)) have important roles in shaping microbial communities, but their dynamic interactions with CRISPR-based immunity remain unresolved. We analysed generation-resolved iMGE–host dynamics spanning one and a half years in a microbial consortium from a biological wastewater treatment plant using integrated meta-omics. We identified 31 bacterial metagenome-assembled genomes encoding complete CRISPR–Cas systems and their corresponding iMGEs. CRISPR-targeted plasmids outnumbered their bacteriophage counterparts by at least fivefold, highlighting the importance of CRISPR-mediated defence against plasmids. Linear modelling of our time-series data revealed that the variation in plasmid abundance over time explained more of the observed community dynamics than phages. Community-scale CRISPR-based plasmid–host and phage–host interaction networks revealed an increase in CRISPR-mediated interactions coinciding with a decrease in the dominant ‘Candidatus Microthrix parvicella’ population. Protospacers were enriched in sequences targeting genes involved in the transmission of iMGEs. Understanding the factors shaping the fitness of specific populations is necessary to devise control strategies for undesirable species and to predict or explain community-wide phenotypes.&quot;,&quot;publisher&quot;:&quot;Springer US&quot;,&quot;issue&quot;:&quot;1&quot;,&quot;volume&quot;:&quot;6&quot;,&quot;container-title-short&quot;:&quot;&quot;},&quot;isTemporary&quot;:false}]},{&quot;citationID&quot;:&quot;MENDELEY_CITATION_7ed34af8-41c1-443c-b599-bde072d8a96b&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&quot;,&quot;citationItems&quot;:[{&quot;id&quot;:&quot;31d52f37-7f21-36d1-a70a-1d4a56729806&quot;,&quot;itemData&quot;:{&quot;type&quot;:&quot;article-journal&quot;,&quot;id&quot;:&quot;31d52f37-7f21-36d1-a70a-1d4a56729806&quot;,&quot;title&quot;:&quot;Proteome digestion specificity analysis for rational design of extended bottom-up and middle-down proteomics experiments&quot;,&quot;author&quot;:[{&quot;family&quot;:&quot;Laskay&quot;,&quot;given&quot;:&quot;Ünige A.&quot;,&quot;parse-names&quot;:false,&quot;dropping-particle&quot;:&quot;&quot;,&quot;non-dropping-particle&quot;:&quot;&quot;},{&quot;family&quot;:&quot;Lobas&quot;,&quot;given&quot;:&quot;Anna A.&quot;,&quot;parse-names&quot;:false,&quot;dropping-particle&quot;:&quot;&quot;,&quot;non-dropping-particle&quot;:&quot;&quot;},{&quot;family&quot;:&quot;Srzentić&quot;,&quot;given&quot;:&quot;Kristina&quot;,&quot;parse-names&quot;:false,&quot;dropping-particle&quot;:&quot;&quot;,&quot;non-dropping-particle&quot;:&quot;&quot;},{&quot;family&quot;:&quot;Gorshkov&quot;,&quot;given&quot;:&quot;Mikhail&quot;,&quot;parse-names&quot;:false,&quot;dropping-particle&quot;:&quot;v.&quot;,&quot;non-dropping-particle&quot;:&quot;&quot;},{&quot;family&quot;:&quot;Tsybin&quot;,&quot;given&quot;:&quot;Yury O.&quot;,&quot;parse-names&quot;:false,&quot;dropping-particle&quot;:&quot;&quot;,&quot;non-dropping-particle&quot;:&quot;&quot;}],&quot;container-title&quot;:&quot;Journal of Proteome Research&quot;,&quot;DOI&quot;:&quot;10.1021/pr400522h&quot;,&quot;ISSN&quot;:&quot;15353893&quot;,&quot;PMID&quot;:&quot;24171472&quot;,&quot;issued&quot;:{&quot;date-parts&quot;:[[2013]]},&quot;page&quot;:&quot;5558-5569&quot;,&quot;abstract&quot;:&quot;Mass spectrometry (MS)-based bottom-up proteomics (BUP) is currently the method of choice for large-scale identification and characterization of proteins present in complex samples, such as cell lysates, body fluids, or tissues. Technically, BUP relies on MS analysis of complex mixtures of small, &lt;3 kDa, peptides resulting from whole proteome digestion. Because of the extremely high sample complexity, further developments of detection methods and sample preparation techniques are necessary. In recent years, a number of alternative approaches such as middle-down proteomics (MDP, addressing up to 15 kDa peptides) and top-down proteomics (TDP, addressing proteins exceeding 15 kDa) have been gaining particular interest. Here we report on the bioinformatics study of both common and less frequently employed digestion procedures for complex protein mixtures specifically targeting the MDP approach. The aim of this study was to maximize the yield of protein structure information from MS data by optimizing peptide size distribution and sequence specificity. We classified peptides into four categories based on molecular weight: 0.6-3 (classical BUP), 3-7 (extended BUP), 7-15 kDa (MDP), and &gt;15 kDa (TDP). Because of instrumentation-related considerations, we first advocate for the extended BUP approach as the potential near-future improvement of BUP. Therefore, we chose to optimize the number of unique peptides in the 3-7 kDa range while maximizing the number of represented proteins. The present study considers human, yeast, and bacterial proteomes. Results of the study can be further used for designing extended BUP or MDP experimental workflows. © 2013 American Chemical Society.&quot;,&quot;issue&quot;:&quot;12&quot;,&quot;volume&quot;:&quot;12&quot;,&quot;container-title-short&quot;:&quot;&quot;},&quot;isTemporary&quot;:false}]},{&quot;citationID&quot;:&quot;MENDELEY_CITATION_e997949a-a008-4f62-802f-ad20654e0e07&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&quot;,&quot;citationItems&quot;:[{&quot;id&quot;:&quot;31d52f37-7f21-36d1-a70a-1d4a56729806&quot;,&quot;itemData&quot;:{&quot;type&quot;:&quot;article-journal&quot;,&quot;id&quot;:&quot;31d52f37-7f21-36d1-a70a-1d4a56729806&quot;,&quot;title&quot;:&quot;Proteome digestion specificity analysis for rational design of extended bottom-up and middle-down proteomics experiments&quot;,&quot;author&quot;:[{&quot;family&quot;:&quot;Laskay&quot;,&quot;given&quot;:&quot;Ünige A.&quot;,&quot;parse-names&quot;:false,&quot;dropping-particle&quot;:&quot;&quot;,&quot;non-dropping-particle&quot;:&quot;&quot;},{&quot;family&quot;:&quot;Lobas&quot;,&quot;given&quot;:&quot;Anna A.&quot;,&quot;parse-names&quot;:false,&quot;dropping-particle&quot;:&quot;&quot;,&quot;non-dropping-particle&quot;:&quot;&quot;},{&quot;family&quot;:&quot;Srzentić&quot;,&quot;given&quot;:&quot;Kristina&quot;,&quot;parse-names&quot;:false,&quot;dropping-particle&quot;:&quot;&quot;,&quot;non-dropping-particle&quot;:&quot;&quot;},{&quot;family&quot;:&quot;Gorshkov&quot;,&quot;given&quot;:&quot;Mikhail&quot;,&quot;parse-names&quot;:false,&quot;dropping-particle&quot;:&quot;v.&quot;,&quot;non-dropping-particle&quot;:&quot;&quot;},{&quot;family&quot;:&quot;Tsybin&quot;,&quot;given&quot;:&quot;Yury O.&quot;,&quot;parse-names&quot;:false,&quot;dropping-particle&quot;:&quot;&quot;,&quot;non-dropping-particle&quot;:&quot;&quot;}],&quot;container-title&quot;:&quot;Journal of Proteome Research&quot;,&quot;DOI&quot;:&quot;10.1021/pr400522h&quot;,&quot;ISSN&quot;:&quot;15353893&quot;,&quot;PMID&quot;:&quot;24171472&quot;,&quot;issued&quot;:{&quot;date-parts&quot;:[[2013]]},&quot;page&quot;:&quot;5558-5569&quot;,&quot;abstract&quot;:&quot;Mass spectrometry (MS)-based bottom-up proteomics (BUP) is currently the method of choice for large-scale identification and characterization of proteins present in complex samples, such as cell lysates, body fluids, or tissues. Technically, BUP relies on MS analysis of complex mixtures of small, &lt;3 kDa, peptides resulting from whole proteome digestion. Because of the extremely high sample complexity, further developments of detection methods and sample preparation techniques are necessary. In recent years, a number of alternative approaches such as middle-down proteomics (MDP, addressing up to 15 kDa peptides) and top-down proteomics (TDP, addressing proteins exceeding 15 kDa) have been gaining particular interest. Here we report on the bioinformatics study of both common and less frequently employed digestion procedures for complex protein mixtures specifically targeting the MDP approach. The aim of this study was to maximize the yield of protein structure information from MS data by optimizing peptide size distribution and sequence specificity. We classified peptides into four categories based on molecular weight: 0.6-3 (classical BUP), 3-7 (extended BUP), 7-15 kDa (MDP), and &gt;15 kDa (TDP). Because of instrumentation-related considerations, we first advocate for the extended BUP approach as the potential near-future improvement of BUP. Therefore, we chose to optimize the number of unique peptides in the 3-7 kDa range while maximizing the number of represented proteins. The present study considers human, yeast, and bacterial proteomes. Results of the study can be further used for designing extended BUP or MDP experimental workflows. © 2013 American Chemical Society.&quot;,&quot;issue&quot;:&quot;12&quot;,&quot;volume&quot;:&quot;12&quot;,&quot;container-title-short&quot;:&quot;&quot;},&quot;isTemporary&quot;:false}]},{&quot;citationID&quot;:&quot;MENDELEY_CITATION_abc2f405-0937-4e5f-ae4f-5c03d3395004&quot;,&quot;properties&quot;:{&quot;noteIndex&quot;:0},&quot;isEdited&quot;:false,&quot;manualOverride&quot;:{&quot;isManuallyOverridden&quot;:false,&quot;citeprocText&quot;:&quot;&lt;sup&gt;37&lt;/sup&gt;&quot;,&quot;manualOverrideText&quot;:&quot;&quot;},&quot;citationTag&quot;:&quot;MENDELEY_CITATION_v3_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&quot;,&quot;citationItems&quot;:[{&quot;id&quot;:&quot;1f4ca14c-a5e5-30c0-9aba-a33678aaba52&quot;,&quot;itemData&quot;:{&quot;type&quot;:&quot;article-journal&quot;,&quot;id&quot;:&quot;1f4ca14c-a5e5-30c0-9aba-a33678aaba52&quot;,&quot;title&quot;:&quot;Identification and Quantification of Proteoforms by Mass Spectrometry&quot;,&quot;author&quot;:[{&quot;family&quot;:&quot;Schaffer&quot;,&quot;given&quot;:&quot;Leah&quot;,&quot;parse-names&quot;:false,&quot;dropping-particle&quot;:&quot;v.&quot;,&quot;non-dropping-particle&quot;:&quot;&quot;},{&quot;family&quot;:&quot;Millikin&quot;,&quot;given&quot;:&quot;Robert J.&quot;,&quot;parse-names&quot;:false,&quot;dropping-particle&quot;:&quot;&quot;,&quot;non-dropping-particle&quot;:&quot;&quot;},{&quot;family&quot;:&quot;Miller&quot;,&quot;given&quot;:&quot;Rachel M.&quot;,&quot;parse-names&quot;:false,&quot;dropping-particle&quot;:&quot;&quot;,&quot;non-dropping-particle&quot;:&quot;&quot;},{&quot;family&quot;:&quot;Anderson&quot;,&quot;given&quot;:&quot;Lissa C.&quot;,&quot;parse-names&quot;:false,&quot;dropping-particle&quot;:&quot;&quot;,&quot;non-dropping-particle&quot;:&quot;&quot;},{&quot;family&quot;:&quot;Fellers&quot;,&quot;given&quot;:&quot;Ryan T.&quot;,&quot;parse-names&quot;:false,&quot;dropping-particle&quot;:&quot;&quot;,&quot;non-dropping-particle&quot;:&quot;&quot;},{&quot;family&quot;:&quot;Ge&quot;,&quot;given&quot;:&quot;Ying&quot;,&quot;parse-names&quot;:false,&quot;dropping-particle&quot;:&quot;&quot;,&quot;non-dropping-particle&quot;:&quot;&quot;},{&quot;family&quot;:&quot;Kelleher&quot;,&quot;given&quot;:&quot;Neil L.&quot;,&quot;parse-names&quot;:false,&quot;dropping-particle&quot;:&quot;&quot;,&quot;non-dropping-particle&quot;:&quot;&quot;},{&quot;family&quot;:&quot;LeDuc&quot;,&quot;given&quot;:&quot;Richard D.&quot;,&quot;parse-names&quot;:false,&quot;dropping-particle&quot;:&quot;&quot;,&quot;non-dropping-particle&quot;:&quot;&quot;},{&quot;family&quot;:&quot;Liu&quot;,&quot;given&quot;:&quot;Xiaowen&quot;,&quot;parse-names&quot;:false,&quot;dropping-particle&quot;:&quot;&quot;,&quot;non-dropping-particle&quot;:&quot;&quot;},{&quot;family&quot;:&quot;Payne&quot;,&quot;given&quot;:&quot;Samuel H.&quot;,&quot;parse-names&quot;:false,&quot;dropping-particle&quot;:&quot;&quot;,&quot;non-dropping-particle&quot;:&quot;&quot;},{&quot;family&quot;:&quot;Sun&quot;,&quot;given&quot;:&quot;Liangliang&quot;,&quot;parse-names&quot;:false,&quot;dropping-particle&quot;:&quot;&quot;,&quot;non-dropping-particle&quot;:&quot;&quot;},{&quot;family&quot;:&quot;Thomas&quot;,&quot;given&quot;:&quot;Paul M.&quot;,&quot;parse-names&quot;:false,&quot;dropping-particle&quot;:&quot;&quot;,&quot;non-dropping-particle&quot;:&quot;&quot;},{&quot;family&quot;:&quot;Tucholski&quot;,&quot;given&quot;:&quot;Trisha&quot;,&quot;parse-names&quot;:false,&quot;dropping-particle&quot;:&quot;&quot;,&quot;non-dropping-particle&quot;:&quot;&quot;},{&quot;family&quot;:&quot;Wang&quot;,&quot;given&quot;:&quot;Zhe&quot;,&quot;parse-names&quot;:false,&quot;dropping-particle&quot;:&quot;&quot;,&quot;non-dropping-particle&quot;:&quot;&quot;},{&quot;family&quot;:&quot;Wu&quot;,&quot;given&quot;:&quot;Si&quot;,&quot;parse-names&quot;:false,&quot;dropping-particle&quot;:&quot;&quot;,&quot;non-dropping-particle&quot;:&quot;&quot;},{&quot;family&quot;:&quot;Wu&quot;,&quot;given&quot;:&quot;Zhijie&quot;,&quot;parse-names&quot;:false,&quot;dropping-particle&quot;:&quot;&quot;,&quot;non-dropping-particle&quot;:&quot;&quot;},{&quot;family&quot;:&quot;Yu&quot;,&quot;given&quot;:&quot;Dahang&quot;,&quot;parse-names&quot;:false,&quot;dropping-particle&quot;:&quot;&quot;,&quot;non-dropping-particle&quot;:&quot;&quot;},{&quot;family&quot;:&quot;Shortreed&quot;,&quot;given&quot;:&quot;Michael R.&quot;,&quot;parse-names&quot;:false,&quot;dropping-particle&quot;:&quot;&quot;,&quot;non-dropping-particle&quot;:&quot;&quot;},{&quot;family&quot;:&quot;Smith&quot;,&quot;given&quot;:&quot;Lloyd M.&quot;,&quot;parse-names&quot;:false,&quot;dropping-particle&quot;:&quot;&quot;,&quot;non-dropping-particle&quot;:&quot;&quot;}],&quot;container-title&quot;:&quot;Proteomics&quot;,&quot;container-title-short&quot;:&quot;Proteomics&quot;,&quot;DOI&quot;:&quot;10.1002/pmic.201800361&quot;,&quot;ISSN&quot;:&quot;16159861&quot;,&quot;PMID&quot;:&quot;31050378&quot;,&quot;issued&quot;:{&quot;date-parts&quot;:[[2019]]},&quot;page&quot;:&quot;1-15&quot;,&quot;abstract&quot;:&quot;A proteoform is a defined form of a protein derived from a given gene with a specific amino acid sequence and localized post-translational modifications. In top-down proteomic analyses, proteoforms are identified and quantified through mass spectrometric analysis of intact proteins. Recent technological developments have enabled comprehensive proteoform analyses in complex samples, and an increasing number of laboratories are adopting top-down proteomic workflows. In this review, some recent advances are outlined and current challenges and future directions for the field are discussed.&quot;,&quot;issue&quot;:&quot;10&quot;,&quot;volume&quot;:&quot;19&quot;},&quot;isTemporary&quot;:false}]},{&quot;citationID&quot;:&quot;MENDELEY_CITATION_0474f54e-7034-4f17-9e8e-ca8347f8a0ca&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&quot;,&quot;citationItems&quot;:[{&quot;id&quot;:&quot;31d52f37-7f21-36d1-a70a-1d4a56729806&quot;,&quot;itemData&quot;:{&quot;type&quot;:&quot;article-journal&quot;,&quot;id&quot;:&quot;31d52f37-7f21-36d1-a70a-1d4a56729806&quot;,&quot;title&quot;:&quot;Proteome digestion specificity analysis for rational design of extended bottom-up and middle-down proteomics experiments&quot;,&quot;author&quot;:[{&quot;family&quot;:&quot;Laskay&quot;,&quot;given&quot;:&quot;Ünige A.&quot;,&quot;parse-names&quot;:false,&quot;dropping-particle&quot;:&quot;&quot;,&quot;non-dropping-particle&quot;:&quot;&quot;},{&quot;family&quot;:&quot;Lobas&quot;,&quot;given&quot;:&quot;Anna A.&quot;,&quot;parse-names&quot;:false,&quot;dropping-particle&quot;:&quot;&quot;,&quot;non-dropping-particle&quot;:&quot;&quot;},{&quot;family&quot;:&quot;Srzentić&quot;,&quot;given&quot;:&quot;Kristina&quot;,&quot;parse-names&quot;:false,&quot;dropping-particle&quot;:&quot;&quot;,&quot;non-dropping-particle&quot;:&quot;&quot;},{&quot;family&quot;:&quot;Gorshkov&quot;,&quot;given&quot;:&quot;Mikhail&quot;,&quot;parse-names&quot;:false,&quot;dropping-particle&quot;:&quot;v.&quot;,&quot;non-dropping-particle&quot;:&quot;&quot;},{&quot;family&quot;:&quot;Tsybin&quot;,&quot;given&quot;:&quot;Yury O.&quot;,&quot;parse-names&quot;:false,&quot;dropping-particle&quot;:&quot;&quot;,&quot;non-dropping-particle&quot;:&quot;&quot;}],&quot;container-title&quot;:&quot;Journal of Proteome Research&quot;,&quot;DOI&quot;:&quot;10.1021/pr400522h&quot;,&quot;ISSN&quot;:&quot;15353893&quot;,&quot;PMID&quot;:&quot;24171472&quot;,&quot;issued&quot;:{&quot;date-parts&quot;:[[2013]]},&quot;page&quot;:&quot;5558-5569&quot;,&quot;abstract&quot;:&quot;Mass spectrometry (MS)-based bottom-up proteomics (BUP) is currently the method of choice for large-scale identification and characterization of proteins present in complex samples, such as cell lysates, body fluids, or tissues. Technically, BUP relies on MS analysis of complex mixtures of small, &lt;3 kDa, peptides resulting from whole proteome digestion. Because of the extremely high sample complexity, further developments of detection methods and sample preparation techniques are necessary. In recent years, a number of alternative approaches such as middle-down proteomics (MDP, addressing up to 15 kDa peptides) and top-down proteomics (TDP, addressing proteins exceeding 15 kDa) have been gaining particular interest. Here we report on the bioinformatics study of both common and less frequently employed digestion procedures for complex protein mixtures specifically targeting the MDP approach. The aim of this study was to maximize the yield of protein structure information from MS data by optimizing peptide size distribution and sequence specificity. We classified peptides into four categories based on molecular weight: 0.6-3 (classical BUP), 3-7 (extended BUP), 7-15 kDa (MDP), and &gt;15 kDa (TDP). Because of instrumentation-related considerations, we first advocate for the extended BUP approach as the potential near-future improvement of BUP. Therefore, we chose to optimize the number of unique peptides in the 3-7 kDa range while maximizing the number of represented proteins. The present study considers human, yeast, and bacterial proteomes. Results of the study can be further used for designing extended BUP or MDP experimental workflows. © 2013 American Chemical Society.&quot;,&quot;issue&quot;:&quot;12&quot;,&quot;volume&quot;:&quot;12&quot;,&quot;container-title-short&quot;:&quot;&quot;},&quot;isTemporary&quot;:false}]},{&quot;citationID&quot;:&quot;MENDELEY_CITATION_3c648520-1cb2-45a1-8a4e-0a9b265851a9&quot;,&quot;properties&quot;:{&quot;noteIndex&quot;:0},&quot;isEdited&quot;:false,&quot;manualOverride&quot;:{&quot;isManuallyOverridden&quot;:false,&quot;citeprocText&quot;:&quot;&lt;sup&gt;38&lt;/sup&gt;&quot;,&quot;manualOverrideText&quot;:&quot;&quot;},&quot;citationTag&quot;:&quot;MENDELEY_CITATION_v3_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&quot;,&quot;citationItems&quot;:[{&quot;id&quot;:&quot;c9364e7c-c732-3ed2-9c14-64ec254c9259&quot;,&quot;itemData&quot;:{&quot;type&quot;:&quot;article-journal&quot;,&quot;id&quot;:&quot;c9364e7c-c732-3ed2-9c14-64ec254c9259&quot;,&quot;title&quot;:&quot;Top or Middle? Up or Down? Toward a Standard Lexicon for Protein Top-Down and Allied Mass Spectrometry Approaches&quot;,&quot;author&quot;:[{&quot;family&quot;:&quot;Lermyte&quot;,&quot;given&quot;:&quot;Frederik&quot;,&quot;parse-names&quot;:false,&quot;dropping-particle&quot;:&quot;&quot;,&quot;non-dropping-particle&quot;:&quot;&quot;},{&quot;family&quot;:&quot;Tsybin&quot;,&quot;given&quot;:&quot;Yury O.&quot;,&quot;parse-names&quot;:false,&quot;dropping-particle&quot;:&quot;&quot;,&quot;non-dropping-particle&quot;:&quot;&quot;},{&quot;family&quot;:&quot;O’Connor&quot;,&quot;given&quot;:&quot;Peter B.&quot;,&quot;parse-names&quot;:false,&quot;dropping-particle&quot;:&quot;&quot;,&quot;non-dropping-particle&quot;:&quot;&quot;},{&quot;family&quot;:&quot;Loo&quot;,&quot;given&quot;:&quot;Joseph A.&quot;,&quot;parse-names&quot;:false,&quot;dropping-particle&quot;:&quot;&quot;,&quot;non-dropping-particle&quot;:&quot;&quot;}],&quot;container-title&quot;:&quot;Journal of the American Society for Mass Spectrometry&quot;,&quot;container-title-short&quot;:&quot;J Am Soc Mass Spectrom&quot;,&quot;DOI&quot;:&quot;10.1007/s13361-019-02201-x&quot;,&quot;ISSN&quot;:&quot;18791123&quot;,&quot;PMID&quot;:&quot;31073892&quot;,&quot;issued&quot;:{&quot;date-parts&quot;:[[2019]]},&quot;page&quot;:&quot;1149-1157&quot;,&quot;abstract&quot;:&quot;In recent years, there has been increasing interest in top-down mass spectrometry (TDMS) approaches for protein analysis, driven both by technological advancements and efforts such as those by the multinational Consortium for Top-Down Proteomics (CTDP). Today, diverse sample preparation and ionization methods are employed to facilitate TDMS analysis of denatured and native proteins and their complexes. The goals of these studies vary, ranging from protein and proteoform identification, to determination of the binding site of a (non)covalently-bound ligand, and in some cases even with the aim to study the higher order structure of proteins and complexes. Currently, however, no widely accepted terminology exists to precisely and unambiguously distinguish between the different types of TDMS experiments that can be performed. Instead, ad hoc developed terminology is often used, which potentially complicates communication of top-down and allied methods and their results. In this communication, we consider the different types of top-down (or top-down-related) MS experiments that have been performed and reported, and define distinct categories based on the protocol used and type(s) of information that can be obtained. We also consider the different possible conventions for distinguishing between middle- and top-down MS, based on both sample preparation and precursor ion mass. We believe that the proposed framework presented here will prove helpful for researchers to communicate about TDMS and will be an important step toward harmonizing and standardizing this growing field.&quot;,&quot;publisher&quot;:&quot;Journal of The American Society for Mass Spectrometry&quot;,&quot;issue&quot;:&quot;7&quot;,&quot;volume&quot;:&quot;30&quot;},&quot;isTemporary&quot;:false}]},{&quot;citationID&quot;:&quot;MENDELEY_CITATION_b87e7975-809b-4652-83c7-e855380a7f60&quot;,&quot;properties&quot;:{&quot;noteIndex&quot;:0},&quot;isEdited&quot;:false,&quot;manualOverride&quot;:{&quot;isManuallyOverridden&quot;:false,&quot;citeprocText&quot;:&quot;&lt;sup&gt;39&lt;/sup&gt;&quot;,&quot;manualOverrideText&quot;:&quot;&quot;},&quot;citationTag&quot;:&quot;MENDELEY_CITATION_v3_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&quot;,&quot;citationItems&quot;:[{&quot;id&quot;:&quot;83859d4b-8d97-3486-8da0-a90768fe84cc&quot;,&quot;itemData&quot;:{&quot;type&quot;:&quot;article-journal&quot;,&quot;id&quot;:&quot;83859d4b-8d97-3486-8da0-a90768fe84cc&quot;,&quot;title&quot;:&quot;Mass-spectrometric exploration of proteome structure and function&quot;,&quot;author&quot;:[{&quot;family&quot;:&quot;Aebersold&quot;,&quot;given&quot;:&quot;Ruedi&quot;,&quot;parse-names&quot;:false,&quot;dropping-particle&quot;:&quot;&quot;,&quot;non-dropping-particle&quot;:&quot;&quot;},{&quot;family&quot;:&quot;Mann&quot;,&quot;given&quot;:&quot;Matthias&quot;,&quot;parse-names&quot;:false,&quot;dropping-particle&quot;:&quot;&quot;,&quot;non-dropping-particle&quot;:&quot;&quot;}],&quot;container-title&quot;:&quot;Nature&quot;,&quot;DOI&quot;:&quot;10.1038/nature19949&quot;,&quot;ISSN&quot;:&quot;14764687&quot;,&quot;PMID&quot;:&quot;27629641&quot;,&quot;issued&quot;:{&quot;date-parts&quot;:[[2016]]},&quot;page&quot;:&quot;347-355&quot;,&quot;abstract&quot;:&quot;Numerous biological processes are concurrently and coordinately active in every living cell. Each of them encompasses synthetic, catalytic and regulatory functions that are, almost always, carried out by proteins organized further into higher-order structures and networks. For decades, the structures and functions of selected proteins have been studied using biochemical and biophysical methods. However, the properties and behaviour of the proteome as an integrated system have largely remained elusive. Powerful mass-spectrometry-based technologies now provide unprecedented insights into the composition, structure, function and control of the proteome, shedding light on complex biological processes and phenotypes.&quot;,&quot;issue&quot;:&quot;7620&quot;,&quot;volume&quot;:&quot;537&quot;,&quot;container-title-short&quot;:&quot;Nature&quot;},&quot;isTemporary&quot;:false}]},{&quot;citationID&quot;:&quot;MENDELEY_CITATION_d55cd9ef-6dd8-4c61-bb75-398f421ea23c&quot;,&quot;properties&quot;:{&quot;noteIndex&quot;:0},&quot;isEdited&quot;:false,&quot;manualOverride&quot;:{&quot;isManuallyOverridden&quot;:false,&quot;citeprocText&quot;:&quot;&lt;sup&gt;40&lt;/sup&gt;&quot;,&quot;manualOverrideText&quot;:&quot;&quot;},&quot;citationTag&quot;:&quot;MENDELEY_CITATION_v3_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&quot;,&quot;citationItems&quot;:[{&quot;id&quot;:&quot;51d96278-e048-3bbd-a085-46ae958d50c0&quot;,&quot;itemData&quot;:{&quot;type&quot;:&quot;book&quot;,&quot;id&quot;:&quot;51d96278-e048-3bbd-a085-46ae958d50c0&quot;,&quot;title&quot;:&quot;Bottom-Up Proteomics&quot;,&quot;author&quot;:[{&quot;family&quot;:&quot;Silvestre&quot;,&quot;given&quot;:&quot;Dario&quot;,&quot;parse-names&quot;:false,&quot;dropping-particle&quot;:&quot;di&quot;,&quot;non-dropping-particle&quot;:&quot;&quot;},{&quot;family&quot;:&quot;Brambilla&quot;,&quot;given&quot;:&quot;Francesca&quot;,&quot;parse-names&quot;:false,&quot;dropping-particle&quot;:&quot;&quot;,&quot;non-dropping-particle&quot;:&quot;&quot;},{&quot;family&quot;:&quot;Agnetti&quot;,&quot;given&quot;:&quot;Giulio&quot;,&quot;parse-names&quot;:false,&quot;dropping-particle&quot;:&quot;&quot;,&quot;non-dropping-particle&quot;:&quot;&quot;},{&quot;family&quot;:&quot;Mauri&quot;,&quot;given&quot;:&quot;Pierluigi&quot;,&quot;parse-names&quot;:false,&quot;dropping-particle&quot;:&quot;&quot;,&quot;non-dropping-particle&quot;:&quot;&quot;}],&quot;container-title&quot;:&quot;Manual of Cardiovascular Proteomics&quot;,&quot;DOI&quot;:&quot;10.1007/978-3-319-31828-8&quot;,&quot;ISBN&quot;:&quot;9783319318288&quot;,&quot;issued&quot;:{&quot;date-parts&quot;:[[2016]]},&quot;number-of-pages&quot;:&quot;155-185&quot;,&quot;abstract&quot;:&quot;Inside the Fourth Edition of the Manual of Cardiovascular Medicine, you'll find practical and effective approaches to common clinical syndromes--including clear guidance on administration of commonly prescribed medications and descriptions of proven therapeutic procedures. This best selling manual's concise outline format and colorful design make essential facts easy to find. An ideal reference for the resident, fellow, practicing cardiologist, or nurse-practitioner treating patients with cardiovascular disease. Skill-building features include...* Authoritative perspectives let you benefit from the experienced staff and fellows at the Cleveland Clinic* Concise overview of cardiology helps build a firm grasp of fundamental cardiovascular anatomy, physiology, and pathology* Comprehensive section on cardiovascular procedures includes expert tips for improving performance and outcomes* Evidence-based approach to diagnosis and management explains the 'how' and 'why' behind critical decisions* Suggested reading at the end of each chapter provides guideposts for further investigation NEW to the 4th Edition... * Examples added of key electrocardiographic tracings for quick reference* New chapters cover diabetes and cardiovascular disease, pulmonary hypertension, systemic disease and the heart, management of TAVR patients, and troubleshooting LVADs* Updated content reflects the latest advances in cardiovascular medicine--including percutaneous aortic valve replacement and left ventricular assist device management* Quick-reference list of common formulae helps you find vital information in seconds&quot;,&quot;issue&quot;:&quot;September&quot;,&quot;container-title-short&quot;:&quot;&quot;},&quot;isTemporary&quot;:false}]},{&quot;citationID&quot;:&quot;MENDELEY_CITATION_3e0c84b2-f45c-4188-9925-878ca03c8321&quot;,&quot;properties&quot;:{&quot;noteIndex&quot;:0},&quot;isEdited&quot;:false,&quot;manualOverride&quot;:{&quot;isManuallyOverridden&quot;:false,&quot;citeprocText&quot;:&quot;&lt;sup&gt;27,41&lt;/sup&gt;&quot;,&quot;manualOverrideText&quot;:&quot;&quot;},&quot;citationTag&quot;:&quot;MENDELEY_CITATION_v3_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&quot;,&quot;citationItems&quot;:[{&quot;id&quot;:&quot;81672f09-edef-34c3-be89-4d9e85824402&quot;,&quot;itemData&quot;:{&quot;type&quot;:&quot;article-journal&quot;,&quot;id&quot;:&quot;81672f09-edef-34c3-be89-4d9e85824402&quot;,&quot;title&quot;:&quot;Needles in the blue sea: Sub-species specificity in targeted protein biomarker analyses within the vast oceanic microbial metaproteome&quot;,&quot;author&quot;:[{&quot;family&quot;:&quot;Saito&quot;,&quot;given&quot;:&quot;Mak A.&quot;,&quot;parse-names&quot;:false,&quot;dropping-particle&quot;:&quot;&quot;,&quot;non-dropping-particle&quot;:&quot;&quot;},{&quot;family&quot;:&quot;Dorsk&quot;,&quot;given&quot;:&quot;Alexander&quot;,&quot;parse-names&quot;:false,&quot;dropping-particle&quot;:&quot;&quot;,&quot;non-dropping-particle&quot;:&quot;&quot;},{&quot;family&quot;:&quot;Post&quot;,&quot;given&quot;:&quot;Anton F.&quot;,&quot;parse-names&quot;:false,&quot;dropping-particle&quot;:&quot;&quot;,&quot;non-dropping-particle&quot;:&quot;&quot;},{&quot;family&quot;:&quot;Mcilvin&quot;,&quot;given&quot;:&quot;Matthew R.&quot;,&quot;parse-names&quot;:false,&quot;dropping-particle&quot;:&quot;&quot;,&quot;non-dropping-particle&quot;:&quot;&quot;},{&quot;family&quot;:&quot;Rappé&quot;,&quot;given&quot;:&quot;Michael S.&quot;,&quot;parse-names&quot;:false,&quot;dropping-particle&quot;:&quot;&quot;,&quot;non-dropping-particle&quot;:&quot;&quot;},{&quot;family&quot;:&quot;Ditullio&quot;,&quot;given&quot;:&quot;Giacomo R.&quot;,&quot;parse-names&quot;:false,&quot;dropping-particle&quot;:&quot;&quot;,&quot;non-dropping-particle&quot;:&quot;&quot;},{&quot;family&quot;:&quot;Moran&quot;,&quot;given&quot;:&quot;Dawn M.&quot;,&quot;parse-names&quot;:false,&quot;dropping-particle&quot;:&quot;&quot;,&quot;non-dropping-particle&quot;:&quot;&quot;}],&quot;container-title&quot;:&quot;Proteomics&quot;,&quot;container-title-short&quot;:&quot;Proteomics&quot;,&quot;DOI&quot;:&quot;10.1002/pmic.201400630&quot;,&quot;ISSN&quot;:&quot;16159861&quot;,&quot;PMID&quot;:&quot;26097212&quot;,&quot;issued&quot;:{&quot;date-parts&quot;:[[2015]]},&quot;page&quot;:&quot;3521-3531&quot;,&quot;abstract&quot;:&quot;Proteomics has great potential for studies of marine microbial biogeochemistry, yet high microbial diversity in many locales presents us with unique challenges. We addressed this challenge with a targeted metaproteomics workflow for NtcA and P-II, two nitrogen regulatory proteins, and demonstrated its application for cyanobacterial taxa within microbial samples from the Central Pacific Ocean. Using METATRYP, an open-source Python toolkit, we examined the number of shared (redundant) tryptic peptides in representative marine microbes, with the number of tryptic peptides shared between different species typically being 1% or less. The related cyanobacteria Prochlorococcus and Synechococcus shared an average of 4.8 ± 1.9% of their tryptic peptides, while shared intraspecies peptides were higher, 13 ± 15% shared peptides between 12 Prochlorococcus genomes. An NtcA peptide was found to target multiple cyanobacteria species, whereas a P-II peptide showed specificity to the high-light Prochlorococcus ecotype. Distributions of NtcA and P-II in the Central Pacific Ocean were similar except at the Equator likely due to differential nitrogen stress responses between Prochlorococcus and Synechococcus. The number of unique tryptic peptides coded for within three combined oceanic microbial metagenomes was estimated to be ~4 × 107, 1000-fold larger than an individual microbial proteome and 27-fold larger than the human proteome, yet still 20 orders of magnitude lower than the peptide diversity possible in all protein space, implying that peptide mapping algorithms should be able to withstand the added level of complexity in metaproteomic samples.&quot;,&quot;issue&quot;:&quot;20&quot;,&quot;volume&quot;:&quot;15&quot;},&quot;isTemporary&quot;:false},{&quot;id&quot;:&quot;94998871-de0e-331a-aa22-bcb80f2b4fbf&quot;,&quot;itemData&quot;:{&quot;type&quot;:&quot;article-journal&quot;,&quot;id&quot;:&quot;94998871-de0e-331a-aa22-bcb80f2b4fbf&quot;,&quot;title&quot;:&quot;Data-Independent Acquisition Mass Spectrometry in Metaproteomics of Gut Microbiota - Implementation and Computational Analysis&quot;,&quot;author&quot;:[{&quot;family&quot;:&quot;Aakko&quot;,&quot;given&quot;:&quot;Juhani&quot;,&quot;parse-names&quot;:false,&quot;dropping-particle&quot;:&quot;&quot;,&quot;non-dropping-particle&quot;:&quot;&quot;},{&quot;family&quot;:&quot;Pietilä&quot;,&quot;given&quot;:&quot;Sami&quot;,&quot;parse-names&quot;:false,&quot;dropping-particle&quot;:&quot;&quot;,&quot;non-dropping-particle&quot;:&quot;&quot;},{&quot;family&quot;:&quot;Suomi&quot;,&quot;given&quot;:&quot;Tomi&quot;,&quot;parse-names&quot;:false,&quot;dropping-particle&quot;:&quot;&quot;,&quot;non-dropping-particle&quot;:&quot;&quot;},{&quot;family&quot;:&quot;Mahmoudian&quot;,&quot;given&quot;:&quot;Mehrad&quot;,&quot;parse-names&quot;:false,&quot;dropping-particle&quot;:&quot;&quot;,&quot;non-dropping-particle&quot;:&quot;&quot;},{&quot;family&quot;:&quot;Toivonen&quot;,&quot;given&quot;:&quot;Raine&quot;,&quot;parse-names&quot;:false,&quot;dropping-particle&quot;:&quot;&quot;,&quot;non-dropping-particle&quot;:&quot;&quot;},{&quot;family&quot;:&quot;Kouvonen&quot;,&quot;given&quot;:&quot;Petri&quot;,&quot;parse-names&quot;:false,&quot;dropping-particle&quot;:&quot;&quot;,&quot;non-dropping-particle&quot;:&quot;&quot;},{&quot;family&quot;:&quot;Rokka&quot;,&quot;given&quot;:&quot;Anne&quot;,&quot;parse-names&quot;:false,&quot;dropping-particle&quot;:&quot;&quot;,&quot;non-dropping-particle&quot;:&quot;&quot;},{&quot;family&quot;:&quot;Hänninen&quot;,&quot;given&quot;:&quot;Arno&quot;,&quot;parse-names&quot;:false,&quot;dropping-particle&quot;:&quot;&quot;,&quot;non-dropping-particle&quot;:&quot;&quot;},{&quot;family&quot;:&quot;Elo&quot;,&quot;given&quot;:&quot;Laura L.&quot;,&quot;parse-names&quot;:false,&quot;dropping-particle&quot;:&quot;&quot;,&quot;non-dropping-particle&quot;:&quot;&quot;}],&quot;container-title&quot;:&quot;Journal of Proteome Research&quot;,&quot;DOI&quot;:&quot;10.1021/acs.jproteome.9b00606&quot;,&quot;ISSN&quot;:&quot;15353907&quot;,&quot;PMID&quot;:&quot;31755272&quot;,&quot;issued&quot;:{&quot;date-parts&quot;:[[2020]]},&quot;page&quot;:&quot;432-436&quot;,&quot;abstract&quot;:&quot;Metagenomic approaches focus on taxonomy or gene annotation but lack power in defining functionality of gut microbiota. Therefore, metaproteomics approaches have been introduced to overcome this limitation. However, the common metaproteomics approach uses data-dependent acquisition mass spectrometry, which is known to have limited reproducibility when analyzing samples with complex microbial composition. In this work, we provide a proof of concept for data-independent acquisition (DIA) metaproteomics. To this end, we analyze metaproteomes using DIA mass spectrometry and introduce an open-source data analysis software package, diatools, which enables accurate and consistent quantification of DIA metaproteomics data. We demonstrate the feasibility of our approach in gut microbiota metaproteomics using laboratory-assembled microbial mixtures as well as human fecal samples.&quot;,&quot;issue&quot;:&quot;1&quot;,&quot;volume&quot;:&quot;19&quot;,&quot;container-title-short&quot;:&quot;&quot;},&quot;isTemporary&quot;:false}]},{&quot;citationID&quot;:&quot;MENDELEY_CITATION_6ea4ea92-ba43-4ab7-b9a8-837c46d87cb9&quot;,&quot;properties&quot;:{&quot;noteIndex&quot;:0},&quot;isEdited&quot;:false,&quot;manualOverride&quot;:{&quot;isManuallyOverridden&quot;:false,&quot;citeprocText&quot;:&quot;&lt;sup&gt;39&lt;/sup&gt;&quot;,&quot;manualOverrideText&quot;:&quot;&quot;},&quot;citationTag&quot;:&quot;MENDELEY_CITATION_v3_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&quot;,&quot;citationItems&quot;:[{&quot;id&quot;:&quot;83859d4b-8d97-3486-8da0-a90768fe84cc&quot;,&quot;itemData&quot;:{&quot;type&quot;:&quot;article-journal&quot;,&quot;id&quot;:&quot;83859d4b-8d97-3486-8da0-a90768fe84cc&quot;,&quot;title&quot;:&quot;Mass-spectrometric exploration of proteome structure and function&quot;,&quot;author&quot;:[{&quot;family&quot;:&quot;Aebersold&quot;,&quot;given&quot;:&quot;Ruedi&quot;,&quot;parse-names&quot;:false,&quot;dropping-particle&quot;:&quot;&quot;,&quot;non-dropping-particle&quot;:&quot;&quot;},{&quot;family&quot;:&quot;Mann&quot;,&quot;given&quot;:&quot;Matthias&quot;,&quot;parse-names&quot;:false,&quot;dropping-particle&quot;:&quot;&quot;,&quot;non-dropping-particle&quot;:&quot;&quot;}],&quot;container-title&quot;:&quot;Nature&quot;,&quot;container-title-short&quot;:&quot;Nature&quot;,&quot;DOI&quot;:&quot;10.1038/nature19949&quot;,&quot;ISSN&quot;:&quot;14764687&quot;,&quot;PMID&quot;:&quot;27629641&quot;,&quot;issued&quot;:{&quot;date-parts&quot;:[[2016]]},&quot;page&quot;:&quot;347-355&quot;,&quot;abstract&quot;:&quot;Numerous biological processes are concurrently and coordinately active in every living cell. Each of them encompasses synthetic, catalytic and regulatory functions that are, almost always, carried out by proteins organized further into higher-order structures and networks. For decades, the structures and functions of selected proteins have been studied using biochemical and biophysical methods. However, the properties and behaviour of the proteome as an integrated system have largely remained elusive. Powerful mass-spectrometry-based technologies now provide unprecedented insights into the composition, structure, function and control of the proteome, shedding light on complex biological processes and phenotypes.&quot;,&quot;issue&quot;:&quot;7620&quot;,&quot;volume&quot;:&quot;537&quot;},&quot;isTemporary&quot;:false}]},{&quot;citationID&quot;:&quot;MENDELEY_CITATION_94b5a853-4b33-484c-ad9f-607bbad71cf3&quot;,&quot;properties&quot;:{&quot;noteIndex&quot;:0},&quot;isEdited&quot;:false,&quot;manualOverride&quot;:{&quot;isManuallyOverridden&quot;:false,&quot;citeprocText&quot;:&quot;&lt;sup&gt;42&lt;/sup&gt;&quot;,&quot;manualOverrideText&quot;:&quot;&quot;},&quot;citationTag&quot;:&quot;MENDELEY_CITATION_v3_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&quot;,&quot;citationItems&quot;:[{&quot;id&quot;:&quot;88dfccb6-8b7c-3576-9163-b6c007c67693&quot;,&quot;itemData&quot;:{&quot;type&quot;:&quot;article-journal&quot;,&quot;id&quot;:&quot;88dfccb6-8b7c-3576-9163-b6c007c67693&quot;,&quot;title&quot;:&quot;DIA-Umpire: Comprehensive computational framework for data-independent acquisition proteomics&quot;,&quot;author&quot;:[{&quot;family&quot;:&quot;Tsou&quot;,&quot;given&quot;:&quot;Chih Chiang&quot;,&quot;parse-names&quot;:false,&quot;dropping-particle&quot;:&quot;&quot;,&quot;non-dropping-particle&quot;:&quot;&quot;},{&quot;family&quot;:&quot;Avtonomov&quot;,&quot;given&quot;:&quot;Dmitry&quot;,&quot;parse-names&quot;:false,&quot;dropping-particle&quot;:&quot;&quot;,&quot;non-dropping-particle&quot;:&quot;&quot;},{&quot;family&quot;:&quot;Larsen&quot;,&quot;given&quot;:&quot;Brett&quot;,&quot;parse-names&quot;:false,&quot;dropping-particle&quot;:&quot;&quot;,&quot;non-dropping-particle&quot;:&quot;&quot;},{&quot;family&quot;:&quot;Tucholska&quot;,&quot;given&quot;:&quot;Monika&quot;,&quot;parse-names&quot;:false,&quot;dropping-particle&quot;:&quot;&quot;,&quot;non-dropping-particle&quot;:&quot;&quot;},{&quot;family&quot;:&quot;Choi&quot;,&quot;given&quot;:&quot;Hyungwon&quot;,&quot;parse-names&quot;:false,&quot;dropping-particle&quot;:&quot;&quot;,&quot;non-dropping-particle&quot;:&quot;&quot;},{&quot;family&quot;:&quot;Gingras&quot;,&quot;given&quot;:&quot;Anne Claude&quot;,&quot;parse-names&quot;:false,&quot;dropping-particle&quot;:&quot;&quot;,&quot;non-dropping-particle&quot;:&quot;&quot;},{&quot;family&quot;:&quot;Nesvizhskii&quot;,&quot;given&quot;:&quot;Alexey I.&quot;,&quot;parse-names&quot;:false,&quot;dropping-particle&quot;:&quot;&quot;,&quot;non-dropping-particle&quot;:&quot;&quot;}],&quot;container-title&quot;:&quot;Nature Methods&quot;,&quot;DOI&quot;:&quot;10.1038/nmeth.3255&quot;,&quot;ISSN&quot;:&quot;15487105&quot;,&quot;PMID&quot;:&quot;25599550&quot;,&quot;issued&quot;:{&quot;date-parts&quot;:[[2015]]},&quot;page&quot;:&quot;258-264&quot;,&quot;abstract&quot;:&quot;As a result of recent improvements in mass spectrometry (MS), there is increased interest in data-independent acquisition (DIA) strategies in which all peptides are systematically fragmented using wide mass-isolation windows ('multiplex fragmentation'). DIA-Umpire (http://diaumpire.sourceforge.net/), a comprehensive computational workflow and open-source software for DIA data, detects precursor and fragment chromatographic features and assembles them into pseudo-tandem MS spectra. These spectra can be identified with conventional database-searching and protein-inference tools, allowing sensitive, untargeted analysis of DIA data without the need for a spectral library. Quantification is done with both precursor- and fragment-ion intensities. Furthermore, DIA-Umpire enables targeted extraction of quantitative information based on peptides initially identified in only a subset of the samples, resulting in more consistent quantification across multiple samples. We demonstrated the performance of the method with control samples of varying complexity and publicly available glycoproteomics and affinity purification-MS data.&quot;,&quot;issue&quot;:&quot;3&quot;,&quot;volume&quot;:&quot;12&quot;,&quot;container-title-short&quot;:&quot;&quot;},&quot;isTemporary&quot;:false}]},{&quot;citationID&quot;:&quot;MENDELEY_CITATION_a72ad087-47bb-47f6-953f-03dc98313b44&quot;,&quot;properties&quot;:{&quot;noteIndex&quot;:0},&quot;isEdited&quot;:false,&quot;manualOverride&quot;:{&quot;isManuallyOverridden&quot;:false,&quot;citeprocText&quot;:&quot;&lt;sup&gt;41&lt;/sup&gt;&quot;,&quot;manualOverrideText&quot;:&quot;&quot;},&quot;citationTag&quot;:&quot;MENDELEY_CITATION_v3_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&quot;,&quot;citationItems&quot;:[{&quot;id&quot;:&quot;94998871-de0e-331a-aa22-bcb80f2b4fbf&quot;,&quot;itemData&quot;:{&quot;type&quot;:&quot;article-journal&quot;,&quot;id&quot;:&quot;94998871-de0e-331a-aa22-bcb80f2b4fbf&quot;,&quot;title&quot;:&quot;Data-Independent Acquisition Mass Spectrometry in Metaproteomics of Gut Microbiota - Implementation and Computational Analysis&quot;,&quot;author&quot;:[{&quot;family&quot;:&quot;Aakko&quot;,&quot;given&quot;:&quot;Juhani&quot;,&quot;parse-names&quot;:false,&quot;dropping-particle&quot;:&quot;&quot;,&quot;non-dropping-particle&quot;:&quot;&quot;},{&quot;family&quot;:&quot;Pietilä&quot;,&quot;given&quot;:&quot;Sami&quot;,&quot;parse-names&quot;:false,&quot;dropping-particle&quot;:&quot;&quot;,&quot;non-dropping-particle&quot;:&quot;&quot;},{&quot;family&quot;:&quot;Suomi&quot;,&quot;given&quot;:&quot;Tomi&quot;,&quot;parse-names&quot;:false,&quot;dropping-particle&quot;:&quot;&quot;,&quot;non-dropping-particle&quot;:&quot;&quot;},{&quot;family&quot;:&quot;Mahmoudian&quot;,&quot;given&quot;:&quot;Mehrad&quot;,&quot;parse-names&quot;:false,&quot;dropping-particle&quot;:&quot;&quot;,&quot;non-dropping-particle&quot;:&quot;&quot;},{&quot;family&quot;:&quot;Toivonen&quot;,&quot;given&quot;:&quot;Raine&quot;,&quot;parse-names&quot;:false,&quot;dropping-particle&quot;:&quot;&quot;,&quot;non-dropping-particle&quot;:&quot;&quot;},{&quot;family&quot;:&quot;Kouvonen&quot;,&quot;given&quot;:&quot;Petri&quot;,&quot;parse-names&quot;:false,&quot;dropping-particle&quot;:&quot;&quot;,&quot;non-dropping-particle&quot;:&quot;&quot;},{&quot;family&quot;:&quot;Rokka&quot;,&quot;given&quot;:&quot;Anne&quot;,&quot;parse-names&quot;:false,&quot;dropping-particle&quot;:&quot;&quot;,&quot;non-dropping-particle&quot;:&quot;&quot;},{&quot;family&quot;:&quot;Hänninen&quot;,&quot;given&quot;:&quot;Arno&quot;,&quot;parse-names&quot;:false,&quot;dropping-particle&quot;:&quot;&quot;,&quot;non-dropping-particle&quot;:&quot;&quot;},{&quot;family&quot;:&quot;Elo&quot;,&quot;given&quot;:&quot;Laura L.&quot;,&quot;parse-names&quot;:false,&quot;dropping-particle&quot;:&quot;&quot;,&quot;non-dropping-particle&quot;:&quot;&quot;}],&quot;container-title&quot;:&quot;Journal of Proteome Research&quot;,&quot;DOI&quot;:&quot;10.1021/acs.jproteome.9b00606&quot;,&quot;ISSN&quot;:&quot;15353907&quot;,&quot;PMID&quot;:&quot;31755272&quot;,&quot;issued&quot;:{&quot;date-parts&quot;:[[2020]]},&quot;page&quot;:&quot;432-436&quot;,&quot;abstract&quot;:&quot;Metagenomic approaches focus on taxonomy or gene annotation but lack power in defining functionality of gut microbiota. Therefore, metaproteomics approaches have been introduced to overcome this limitation. However, the common metaproteomics approach uses data-dependent acquisition mass spectrometry, which is known to have limited reproducibility when analyzing samples with complex microbial composition. In this work, we provide a proof of concept for data-independent acquisition (DIA) metaproteomics. To this end, we analyze metaproteomes using DIA mass spectrometry and introduce an open-source data analysis software package, diatools, which enables accurate and consistent quantification of DIA metaproteomics data. We demonstrate the feasibility of our approach in gut microbiota metaproteomics using laboratory-assembled microbial mixtures as well as human fecal samples.&quot;,&quot;issue&quot;:&quot;1&quot;,&quot;volume&quot;:&quot;19&quot;,&quot;container-title-short&quot;:&quot;&quot;},&quot;isTemporary&quot;:false}]},{&quot;citationID&quot;:&quot;MENDELEY_CITATION_952013c4-2c93-4e96-a6ea-c844b98170eb&quot;,&quot;properties&quot;:{&quot;noteIndex&quot;:0},&quot;isEdited&quot;:false,&quot;manualOverride&quot;:{&quot;isManuallyOverridden&quot;:false,&quot;citeprocText&quot;:&quot;&lt;sup&gt;39&lt;/sup&gt;&quot;,&quot;manualOverrideText&quot;:&quot;&quot;},&quot;citationTag&quot;:&quot;MENDELEY_CITATION_v3_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&quot;,&quot;citationItems&quot;:[{&quot;id&quot;:&quot;83859d4b-8d97-3486-8da0-a90768fe84cc&quot;,&quot;itemData&quot;:{&quot;type&quot;:&quot;article-journal&quot;,&quot;id&quot;:&quot;83859d4b-8d97-3486-8da0-a90768fe84cc&quot;,&quot;title&quot;:&quot;Mass-spectrometric exploration of proteome structure and function&quot;,&quot;author&quot;:[{&quot;family&quot;:&quot;Aebersold&quot;,&quot;given&quot;:&quot;Ruedi&quot;,&quot;parse-names&quot;:false,&quot;dropping-particle&quot;:&quot;&quot;,&quot;non-dropping-particle&quot;:&quot;&quot;},{&quot;family&quot;:&quot;Mann&quot;,&quot;given&quot;:&quot;Matthias&quot;,&quot;parse-names&quot;:false,&quot;dropping-particle&quot;:&quot;&quot;,&quot;non-dropping-particle&quot;:&quot;&quot;}],&quot;container-title&quot;:&quot;Nature&quot;,&quot;container-title-short&quot;:&quot;Nature&quot;,&quot;DOI&quot;:&quot;10.1038/nature19949&quot;,&quot;ISSN&quot;:&quot;14764687&quot;,&quot;PMID&quot;:&quot;27629641&quot;,&quot;issued&quot;:{&quot;date-parts&quot;:[[2016]]},&quot;page&quot;:&quot;347-355&quot;,&quot;abstract&quot;:&quot;Numerous biological processes are concurrently and coordinately active in every living cell. Each of them encompasses synthetic, catalytic and regulatory functions that are, almost always, carried out by proteins organized further into higher-order structures and networks. For decades, the structures and functions of selected proteins have been studied using biochemical and biophysical methods. However, the properties and behaviour of the proteome as an integrated system have largely remained elusive. Powerful mass-spectrometry-based technologies now provide unprecedented insights into the composition, structure, function and control of the proteome, shedding light on complex biological processes and phenotypes.&quot;,&quot;issue&quot;:&quot;7620&quot;,&quot;volume&quot;:&quot;537&quot;},&quot;isTemporary&quot;:false}]},{&quot;citationID&quot;:&quot;MENDELEY_CITATION_02d7ca60-b659-45e5-a8f5-8b2ae7bd91ea&quot;,&quot;properties&quot;:{&quot;noteIndex&quot;:0},&quot;isEdited&quot;:false,&quot;manualOverride&quot;:{&quot;isManuallyOverridden&quot;:false,&quot;citeprocText&quot;:&quot;&lt;sup&gt;43&lt;/sup&gt;&quot;,&quot;manualOverrideText&quot;:&quot;&quot;},&quot;citationTag&quot;:&quot;MENDELEY_CITATION_v3_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&quot;,&quot;citationItems&quot;:[{&quot;id&quot;:&quot;5a1f9046-d657-31d0-93f3-b24fe9ccfa9e&quot;,&quot;itemData&quot;:{&quot;type&quot;:&quot;article-journal&quot;,&quot;id&quot;:&quot;5a1f9046-d657-31d0-93f3-b24fe9ccfa9e&quot;,&quot;title&quot;:&quot;Extending the Depth of Human Plasma Proteome Coverage Using Simple Fractionation Techniques&quot;,&quot;author&quot;:[{&quot;family&quot;:&quot;Kaur&quot;,&quot;given&quot;:&quot;Gurjeet&quot;,&quot;parse-names&quot;:false,&quot;dropping-particle&quot;:&quot;&quot;,&quot;non-dropping-particle&quot;:&quot;&quot;},{&quot;family&quot;:&quot;Poljak&quot;,&quot;given&quot;:&quot;Anne&quot;,&quot;parse-names&quot;:false,&quot;dropping-particle&quot;:&quot;&quot;,&quot;non-dropping-particle&quot;:&quot;&quot;},{&quot;family&quot;:&quot;Ali&quot;,&quot;given&quot;:&quot;Syed Azmal&quot;,&quot;parse-names&quot;:false,&quot;dropping-particle&quot;:&quot;&quot;,&quot;non-dropping-particle&quot;:&quot;&quot;},{&quot;family&quot;:&quot;Zhong&quot;,&quot;given&quot;:&quot;Ling&quot;,&quot;parse-names&quot;:false,&quot;dropping-particle&quot;:&quot;&quot;,&quot;non-dropping-particle&quot;:&quot;&quot;},{&quot;family&quot;:&quot;Raftery&quot;,&quot;given&quot;:&quot;Mark J.&quot;,&quot;parse-names&quot;:false,&quot;dropping-particle&quot;:&quot;&quot;,&quot;non-dropping-particle&quot;:&quot;&quot;},{&quot;family&quot;:&quot;Sachdev&quot;,&quot;given&quot;:&quot;Perminder&quot;,&quot;parse-names&quot;:false,&quot;dropping-particle&quot;:&quot;&quot;,&quot;non-dropping-particle&quot;:&quot;&quot;}],&quot;container-title&quot;:&quot;Journal of Proteome Research&quot;,&quot;DOI&quot;:&quot;10.1021/acs.jproteome.0c00670&quot;,&quot;ISSN&quot;:&quot;15353907&quot;,&quot;PMID&quot;:&quot;33471535&quot;,&quot;issued&quot;:{&quot;date-parts&quot;:[[2021]]},&quot;page&quot;:&quot;1261-1279&quot;,&quot;abstract&quot;:&quot;Human plasma is one of the most widely used tissues in clinical analysis, and plasma-based biomarkers are used for monitoring patient health status and/or response to medical treatment to avoid unnecessary invasive biopsy. Data-driven plasma proteomics has suffered from a lack of throughput and detection sensitivity, largely due to the complexity of the plasma proteome and in particular the enormous quantitative dynamic range, estimated to be between 9 and 13 orders of magnitude between the lowest and the highest abundance protein. A major challenge is to identify workflows that can achieve depth of plasma proteome coverage while minimizing the complexity of the sample workup and maximizing the sample throughput. In this study, we have performed intensive depletion of high-abundant plasma proteins or enrichment of low-abundant proteins using the Agilent multiple affinity removal liquid chromatography (LC) column - Human 6 (Hu6), the Agilent multiple affinity removal LC column - Human 14 (Hu14), and ProteoMiner followed by sodium dodecyl sulfate-polyacrylamide gel electrophoresis (SDS PAGE) and C18 prefractionation techniques. We compared the performance of each of these fractionation approaches to identify the method that satisfies requirements for analysis of clinical samples and to include good plasma proteome coverage in combination with reasonable sample output. In this study, we report that one-dimensional (1D) gel-based prefractionation allows parallel sample processing and no loss of proteome coverage, compared with serial chromatographic separation, and significantly accelerates analysis time, particularly important for large clinical projects. Furthermore, we show that a variety of methodologies can achieve similarly high plasma proteome coverage, allowing flexibility in method selection based on project-specific needs. These considerations are important in the effort to accelerate plasma proteomics research so as to provide efficient, reliable, and accurate diagnoses, population-based health screening, clinical research studies, and other clinical work.&quot;,&quot;issue&quot;:&quot;2&quot;,&quot;volume&quot;:&quot;20&quot;,&quot;container-title-short&quot;:&quot;&quot;},&quot;isTemporary&quot;:false}]},{&quot;citationID&quot;:&quot;MENDELEY_CITATION_efb718c7-be25-4e95-a945-4a8891112e89&quot;,&quot;properties&quot;:{&quot;noteIndex&quot;:0},&quot;isEdited&quot;:false,&quot;manualOverride&quot;:{&quot;isManuallyOverridden&quot;:false,&quot;citeprocText&quot;:&quot;&lt;sup&gt;44&lt;/sup&gt;&quot;,&quot;manualOverrideText&quot;:&quot;&quot;},&quot;citationTag&quot;:&quot;MENDELEY_CITATION_v3_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&quot;,&quot;citationItems&quot;:[{&quot;id&quot;:&quot;18d357d5-6e7e-3baf-b0b7-9fe6d4dea9bb&quot;,&quot;itemData&quot;:{&quot;type&quot;:&quot;article-journal&quot;,&quot;id&quot;:&quot;18d357d5-6e7e-3baf-b0b7-9fe6d4dea9bb&quot;,&quot;title&quot;:&quot;In silico evaluation of a targeted metaproteomics strategy for broad screening of cellulolytic enzyme capacities in anaerobic microbiome bioreactors&quot;,&quot;author&quot;:[{&quot;family&quot;:&quot;Villalobos Solis&quot;,&quot;given&quot;:&quot;Manuel I.&quot;,&quot;parse-names&quot;:false,&quot;dropping-particle&quot;:&quot;&quot;,&quot;non-dropping-particle&quot;:&quot;&quot;},{&quot;family&quot;:&quot;Chirania&quot;,&quot;given&quot;:&quot;Payal&quot;,&quot;parse-names&quot;:false,&quot;dropping-particle&quot;:&quot;&quot;,&quot;non-dropping-particle&quot;:&quot;&quot;},{&quot;family&quot;:&quot;Hettich&quot;,&quot;given&quot;:&quot;Robert L.&quot;,&quot;parse-names&quot;:false,&quot;dropping-particle&quot;:&quot;&quot;,&quot;non-dropping-particle&quot;:&quot;&quot;}],&quot;container-title&quot;:&quot;Biotechnology for Biofuels and Bioproducts&quot;,&quot;DOI&quot;:&quot;10.1186/s13068-022-02125-x&quot;,&quot;ISBN&quot;:&quot;1306802202&quot;,&quot;ISSN&quot;:&quot;27313654&quot;,&quot;URL&quot;:&quot;https://doi.org/10.1186/s13068-022-02125-x&quot;,&quot;issued&quot;:{&quot;date-parts&quot;:[[2022]]},&quot;page&quot;:&quot;1-15&quot;,&quot;abstract&quot;:&quot;Background: Microbial-driven solubilization of lignocellulosic material is a natural mechanism that is exploited in anaerobic digesters (ADs) to produce biogas and other valuable bioproducts. Glycoside hydrolases (GHs) are the main enzymes that bacterial and archaeal populations use to break down complex polysaccharides in these reactors. Methodologies for rapidly screening the physical presence and types of GHs can provide information about their functional activities as well as the taxonomical diversity within AD systems but are largely unavailable. Targeted proteomic methods could potentially be used to provide snapshots of the GHs expressed by microbial consortia in ADs, giving valuable insights into the functional lignocellulolytic degradation diversity of a community. Such observations would be essential to evaluate the hydrolytic performance of a reactor or potential issues with it. Results: As a proof of concept, we performed an in silico selection and evaluation of groups of tryptic peptides from five important GH families derived from a dataset of 1401 metagenome-assembled genomes (MAGs) in anaerobic digesters. Following empirical rules of peptide-based targeted proteomics, we selected groups of shared peptides among proteins within a GH family while at the same time being unique compared to all other background proteins. In particular, we were able to identify a tractable unique set of peptides that were sufficient to monitor the range of GH families. While a few thousand peptides would be needed for comprehensive characterization of the main GH families, we found that at least 50% of the proteins in these families (such as the key families) could be tracked with only 200 peptides. The unique peptides selected for groups of GHs were found to be sufficient for distinguishing enzyme specificity or microbial taxonomy. These in silico results demonstrate the presence of specific unique GH peptides even in a highly diverse and complex microbiome and reveal the potential for development of targeted metaproteomic approaches in ADs or lignocellulolytic microbiomes. Such an approach could be valuable for estimating molecular-level enzymatic capabilities and responses of microbial communities to different substrates or conditions, which is a critical need in either building or utilizing constructed communities or defined cultures for bio-production. Conclusions: This in silico study demonstrates the peptide selection strategy for quantifying relevant groups of GH proteins in a complex anaerobic microbiome and encourages the development of targeted metaproteomic approaches in fermenters. The results revealed that targeted metaproteomics could be a feasible approach for the screening of cellulolytic enzyme capacities for a range of anaerobic microbiome fermenters and thus could assist in bioreactor evaluation and optimization.&quot;,&quot;publisher&quot;:&quot;BioMed Central&quot;,&quot;issue&quot;:&quot;1&quot;,&quot;volume&quot;:&quot;15&quot;,&quot;container-title-short&quot;:&quot;&quot;},&quot;isTemporary&quot;:false}]},{&quot;citationID&quot;:&quot;MENDELEY_CITATION_f318786c-8b44-4f19-99b2-dbd451aebe30&quot;,&quot;properties&quot;:{&quot;noteIndex&quot;:0},&quot;isEdited&quot;:false,&quot;manualOverride&quot;:{&quot;isManuallyOverridden&quot;:false,&quot;citeprocText&quot;:&quot;&lt;sup&gt;44&lt;/sup&gt;&quot;,&quot;manualOverrideText&quot;:&quot;&quot;},&quot;citationTag&quot;:&quot;MENDELEY_CITATION_v3_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&quot;,&quot;citationItems&quot;:[{&quot;id&quot;:&quot;18d357d5-6e7e-3baf-b0b7-9fe6d4dea9bb&quot;,&quot;itemData&quot;:{&quot;type&quot;:&quot;article-journal&quot;,&quot;id&quot;:&quot;18d357d5-6e7e-3baf-b0b7-9fe6d4dea9bb&quot;,&quot;title&quot;:&quot;In silico evaluation of a targeted metaproteomics strategy for broad screening of cellulolytic enzyme capacities in anaerobic microbiome bioreactors&quot;,&quot;author&quot;:[{&quot;family&quot;:&quot;Villalobos Solis&quot;,&quot;given&quot;:&quot;Manuel I.&quot;,&quot;parse-names&quot;:false,&quot;dropping-particle&quot;:&quot;&quot;,&quot;non-dropping-particle&quot;:&quot;&quot;},{&quot;family&quot;:&quot;Chirania&quot;,&quot;given&quot;:&quot;Payal&quot;,&quot;parse-names&quot;:false,&quot;dropping-particle&quot;:&quot;&quot;,&quot;non-dropping-particle&quot;:&quot;&quot;},{&quot;family&quot;:&quot;Hettich&quot;,&quot;given&quot;:&quot;Robert L.&quot;,&quot;parse-names&quot;:false,&quot;dropping-particle&quot;:&quot;&quot;,&quot;non-dropping-particle&quot;:&quot;&quot;}],&quot;container-title&quot;:&quot;Biotechnology for Biofuels and Bioproducts&quot;,&quot;DOI&quot;:&quot;10.1186/s13068-022-02125-x&quot;,&quot;ISBN&quot;:&quot;1306802202&quot;,&quot;ISSN&quot;:&quot;27313654&quot;,&quot;URL&quot;:&quot;https://doi.org/10.1186/s13068-022-02125-x&quot;,&quot;issued&quot;:{&quot;date-parts&quot;:[[2022]]},&quot;page&quot;:&quot;1-15&quot;,&quot;abstract&quot;:&quot;Background: Microbial-driven solubilization of lignocellulosic material is a natural mechanism that is exploited in anaerobic digesters (ADs) to produce biogas and other valuable bioproducts. Glycoside hydrolases (GHs) are the main enzymes that bacterial and archaeal populations use to break down complex polysaccharides in these reactors. Methodologies for rapidly screening the physical presence and types of GHs can provide information about their functional activities as well as the taxonomical diversity within AD systems but are largely unavailable. Targeted proteomic methods could potentially be used to provide snapshots of the GHs expressed by microbial consortia in ADs, giving valuable insights into the functional lignocellulolytic degradation diversity of a community. Such observations would be essential to evaluate the hydrolytic performance of a reactor or potential issues with it. Results: As a proof of concept, we performed an in silico selection and evaluation of groups of tryptic peptides from five important GH families derived from a dataset of 1401 metagenome-assembled genomes (MAGs) in anaerobic digesters. Following empirical rules of peptide-based targeted proteomics, we selected groups of shared peptides among proteins within a GH family while at the same time being unique compared to all other background proteins. In particular, we were able to identify a tractable unique set of peptides that were sufficient to monitor the range of GH families. While a few thousand peptides would be needed for comprehensive characterization of the main GH families, we found that at least 50% of the proteins in these families (such as the key families) could be tracked with only 200 peptides. The unique peptides selected for groups of GHs were found to be sufficient for distinguishing enzyme specificity or microbial taxonomy. These in silico results demonstrate the presence of specific unique GH peptides even in a highly diverse and complex microbiome and reveal the potential for development of targeted metaproteomic approaches in ADs or lignocellulolytic microbiomes. Such an approach could be valuable for estimating molecular-level enzymatic capabilities and responses of microbial communities to different substrates or conditions, which is a critical need in either building or utilizing constructed communities or defined cultures for bio-production. Conclusions: This in silico study demonstrates the peptide selection strategy for quantifying relevant groups of GH proteins in a complex anaerobic microbiome and encourages the development of targeted metaproteomic approaches in fermenters. The results revealed that targeted metaproteomics could be a feasible approach for the screening of cellulolytic enzyme capacities for a range of anaerobic microbiome fermenters and thus could assist in bioreactor evaluation and optimization.&quot;,&quot;publisher&quot;:&quot;BioMed Central&quot;,&quot;issue&quot;:&quot;1&quot;,&quot;volume&quot;:&quot;15&quot;,&quot;container-title-short&quot;:&quot;&quot;},&quot;isTemporary&quot;:false}]},{&quot;citationID&quot;:&quot;MENDELEY_CITATION_13cf4cf0-4211-439e-b8af-348fb28fbebf&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&quot;,&quot;citationItems&quot;:[{&quot;id&quot;:&quot;6f1c89bd-ef0d-3ad1-9314-71631f673441&quot;,&quot;itemData&quot;:{&quot;type&quot;:&quot;article-journal&quot;,&quot;id&quot;:&quot;6f1c89bd-ef0d-3ad1-9314-71631f673441&quot;,&quot;title&quot;:&quot;Best practices for analysing microbiomes&quot;,&quot;author&quot;:[{&quot;family&quot;:&quot;Knight&quot;,&quot;given&quot;:&quot;Rob&quot;,&quot;parse-names&quot;:false,&quot;dropping-particle&quot;:&quot;&quot;,&quot;non-dropping-particle&quot;:&quot;&quot;},{&quot;family&quot;:&quot;Vrbanac&quot;,&quot;given&quot;:&quot;Alison&quot;,&quot;parse-names&quot;:false,&quot;dropping-particle&quot;:&quot;&quot;,&quot;non-dropping-particle&quot;:&quot;&quot;},{&quot;family&quot;:&quot;Taylor&quot;,&quot;given&quot;:&quot;Bryn C.&quot;,&quot;parse-names&quot;:false,&quot;dropping-particle&quot;:&quot;&quot;,&quot;non-dropping-particle&quot;:&quot;&quot;},{&quot;family&quot;:&quot;Aksenov&quot;,&quot;given&quot;:&quot;Alexander&quot;,&quot;parse-names&quot;:false,&quot;dropping-particle&quot;:&quot;&quot;,&quot;non-dropping-particle&quot;:&quot;&quot;},{&quot;family&quot;:&quot;Callewaert&quot;,&quot;given&quot;:&quot;Chris&quot;,&quot;parse-names&quot;:false,&quot;dropping-particle&quot;:&quot;&quot;,&quot;non-dropping-particle&quot;:&quot;&quot;},{&quot;family&quot;:&quot;Debelius&quot;,&quot;given&quot;:&quot;Justine&quot;,&quot;parse-names&quot;:false,&quot;dropping-particle&quot;:&quot;&quot;,&quot;non-dropping-particle&quot;:&quot;&quot;},{&quot;family&quot;:&quot;Gonzalez&quot;,&quot;given&quot;:&quot;Antonio&quot;,&quot;parse-names&quot;:false,&quot;dropping-particle&quot;:&quot;&quot;,&quot;non-dropping-particle&quot;:&quot;&quot;},{&quot;family&quot;:&quot;Kosciolek&quot;,&quot;given&quot;:&quot;Tomasz&quot;,&quot;parse-names&quot;:false,&quot;dropping-particle&quot;:&quot;&quot;,&quot;non-dropping-particle&quot;:&quot;&quot;},{&quot;family&quot;:&quot;McCall&quot;,&quot;given&quot;:&quot;Laura Isobel&quot;,&quot;parse-names&quot;:false,&quot;dropping-particle&quot;:&quot;&quot;,&quot;non-dropping-particle&quot;:&quot;&quot;},{&quot;family&quot;:&quot;McDonald&quot;,&quot;given&quot;:&quot;Daniel&quot;,&quot;parse-names&quot;:false,&quot;dropping-particle&quot;:&quot;&quot;,&quot;non-dropping-particle&quot;:&quot;&quot;},{&quot;family&quot;:&quot;Melnik&quot;,&quot;given&quot;:&quot;Alexey&quot;,&quot;parse-names&quot;:false,&quot;dropping-particle&quot;:&quot;v.&quot;,&quot;non-dropping-particle&quot;:&quot;&quot;},{&quot;family&quot;:&quot;Morton&quot;,&quot;given&quot;:&quot;James T.&quot;,&quot;parse-names&quot;:false,&quot;dropping-particle&quot;:&quot;&quot;,&quot;non-dropping-particle&quot;:&quot;&quot;},{&quot;family&quot;:&quot;Navas&quot;,&quot;given&quot;:&quot;Jose&quot;,&quot;parse-names&quot;:false,&quot;dropping-particle&quot;:&quot;&quot;,&quot;non-dropping-particle&quot;:&quot;&quot;},{&quot;family&quot;:&quot;Quinn&quot;,&quot;given&quot;:&quot;Robert A.&quot;,&quot;parse-names&quot;:false,&quot;dropping-particle&quot;:&quot;&quot;,&quot;non-dropping-particle&quot;:&quot;&quot;},{&quot;family&quot;:&quot;Sanders&quot;,&quot;given&quot;:&quot;Jon G.&quot;,&quot;parse-names&quot;:false,&quot;dropping-particle&quot;:&quot;&quot;,&quot;non-dropping-particle&quot;:&quot;&quot;},{&quot;family&quot;:&quot;Swafford&quot;,&quot;given&quot;:&quot;Austin D.&quot;,&quot;parse-names&quot;:false,&quot;dropping-particle&quot;:&quot;&quot;,&quot;non-dropping-particle&quot;:&quot;&quot;},{&quot;family&quot;:&quot;Thompson&quot;,&quot;given&quot;:&quot;Luke R.&quot;,&quot;parse-names&quot;:false,&quot;dropping-particle&quot;:&quot;&quot;,&quot;non-dropping-particle&quot;:&quot;&quot;},{&quot;family&quot;:&quot;Tripathi&quot;,&quot;given&quot;:&quot;Anupriya&quot;,&quot;parse-names&quot;:false,&quot;dropping-particle&quot;:&quot;&quot;,&quot;non-dropping-particle&quot;:&quot;&quot;},{&quot;family&quot;:&quot;Xu&quot;,&quot;given&quot;:&quot;Zhenjiang Z.&quot;,&quot;parse-names&quot;:false,&quot;dropping-particle&quot;:&quot;&quot;,&quot;non-dropping-particle&quot;:&quot;&quot;},{&quot;family&quot;:&quot;Zaneveld&quot;,&quot;given&quot;:&quot;Jesse R.&quot;,&quot;parse-names&quot;:false,&quot;dropping-particle&quot;:&quot;&quot;,&quot;non-dropping-particle&quot;:&quot;&quot;},{&quot;family&quot;:&quot;Zhu&quot;,&quot;given&quot;:&quot;Qiyun&quot;,&quot;parse-names&quot;:false,&quot;dropping-particle&quot;:&quot;&quot;,&quot;non-dropping-particle&quot;:&quot;&quot;},{&quot;family&quot;:&quot;Caporaso&quot;,&quot;given&quot;:&quot;J. Gregory&quot;,&quot;parse-names&quot;:false,&quot;dropping-particle&quot;:&quot;&quot;,&quot;non-dropping-particle&quot;:&quot;&quot;},{&quot;family&quot;:&quot;Dorrestein&quot;,&quot;given&quot;:&quot;Pieter C.&quot;,&quot;parse-names&quot;:false,&quot;dropping-particle&quot;:&quot;&quot;,&quot;non-dropping-particle&quot;:&quot;&quot;}],&quot;container-title&quot;:&quot;Nature Reviews Microbiology&quot;,&quot;DOI&quot;:&quot;10.1038/s41579-018-0029-9&quot;,&quot;ISBN&quot;:&quot;4157901800&quot;,&quot;ISSN&quot;:&quot;17401534&quot;,&quot;PMID&quot;:&quot;29795328&quot;,&quot;URL&quot;:&quot;http://dx.doi.org/10.1038/s41579-018-0029-9&quot;,&quot;issued&quot;:{&quot;date-parts&quot;:[[2018]]},&quot;page&quot;:&quot;410-422&quot;,&quot;abstract&quot;:&quot;Complex microbial communities shape the dynamics of various environments, ranging from the mammalian gastrointestinal tract to the soil. Advances in DNA sequencing technologies and data analysis have provided drastic improvements in microbiome analyses, for example, in taxonomic resolution, false discovery rate control and other properties, over earlier methods. In this Review, we discuss the best practices for performing a microbiome study, including experimental design, choice of molecular analysis technology, methods for data analysis and the integration of multiple omics data sets. We focus on recent findings that suggest that operational taxonomic unit-based analyses should be replaced with new methods that are based on exact sequence variants, methods for integrating metagenomic and metabolomic data, and issues surrounding compositional data analysis, where advances have been particularly rapid. We note that although some of these approaches are new, it is important to keep sight of the classic issues that arise during experimental design and relate to research reproducibility. We describe how keeping these issues in mind allows researchers to obtain more insight from their microbiome data sets.&quot;,&quot;publisher&quot;:&quot;Springer US&quot;,&quot;issue&quot;:&quot;7&quot;,&quot;volume&quot;:&quot;16&quot;,&quot;container-title-short&quot;:&quot;&quot;},&quot;isTemporary&quot;:false}]},{&quot;citationID&quot;:&quot;MENDELEY_CITATION_ad15864c-8e93-4924-b5b4-c1097b8581a1&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&quot;,&quot;citationItems&quot;:[{&quot;id&quot;:&quot;bb672a78-0a9c-3f96-a7b3-31219dd65d72&quot;,&quot;itemData&quot;:{&quot;type&quot;:&quot;article-journal&quot;,&quot;id&quot;:&quot;bb672a78-0a9c-3f96-a7b3-31219dd65d72&quot;,&quot;title&quot;:&quot;Correction to: Microbiome definition re-visited: old concepts and new challenges&quot;,&quot;author&quot;:[{&quot;family&quot;:&quot;Berg&quot;,&quot;given&quot;:&quot;Gabriele&quot;,&quot;parse-names&quot;:false,&quot;dropping-particle&quot;:&quot;&quot;,&quot;non-dropping-particle&quot;:&quot;&quot;},{&quot;family&quot;:&quot;Rybakova&quot;,&quot;given&quot;:&quot;Daria&quot;,&quot;parse-names&quot;:false,&quot;dropping-particle&quot;:&quot;&quot;,&quot;non-dropping-particle&quot;:&quot;&quot;},{&quot;family&quot;:&quot;Fischer&quot;,&quot;given&quot;:&quot;Doreen&quot;,&quot;parse-names&quot;:false,&quot;dropping-particle&quot;:&quot;&quot;,&quot;non-dropping-particle&quot;:&quot;&quot;},{&quot;family&quot;:&quot;Cernava&quot;,&quot;given&quot;:&quot;Tomislav&quot;,&quot;parse-names&quot;:false,&quot;dropping-particle&quot;:&quot;&quot;,&quot;non-dropping-particle&quot;:&quot;&quot;},{&quot;family&quot;:&quot;Vergès&quot;,&quot;given&quot;:&quot;Marie-Christine Champomier&quot;,&quot;parse-names&quot;:false,&quot;dropping-particle&quot;:&quot;&quot;,&quot;non-dropping-particle&quot;:&quot;&quot;},{&quot;family&quot;:&quot;Charles&quot;,&quot;given&quot;:&quot;Trevor&quot;,&quot;parse-names&quot;:false,&quot;dropping-particle&quot;:&quot;&quot;,&quot;non-dropping-particle&quot;:&quot;&quot;},{&quot;family&quot;:&quot;Chen&quot;,&quot;given&quot;:&quot;Xiaoyulong&quot;,&quot;parse-names&quot;:false,&quot;dropping-particle&quot;:&quot;&quot;,&quot;non-dropping-particle&quot;:&quot;&quot;},{&quot;family&quot;:&quot;Cocolin&quot;,&quot;given&quot;:&quot;Luca&quot;,&quot;parse-names&quot;:false,&quot;dropping-particle&quot;:&quot;&quot;,&quot;non-dropping-particle&quot;:&quot;&quot;},{&quot;family&quot;:&quot;Eversole&quot;,&quot;given&quot;:&quot;Kellye&quot;,&quot;parse-names&quot;:false,&quot;dropping-particle&quot;:&quot;&quot;,&quot;non-dropping-particle&quot;:&quot;&quot;},{&quot;family&quot;:&quot;Corral&quot;,&quot;given&quot;:&quot;Gema Herrero&quot;,&quot;parse-names&quot;:false,&quot;dropping-particle&quot;:&quot;&quot;,&quot;non-dropping-particle&quot;:&quot;&quot;},{&quot;family&quot;:&quot;Kazou&quot;,&quot;given&quot;:&quot;Maria&quot;,&quot;parse-names&quot;:false,&quot;dropping-particle&quot;:&quot;&quot;,&quot;non-dropping-particle&quot;:&quot;&quot;},{&quot;family&quot;:&quot;Kinkel&quot;,&quot;given&quot;:&quot;Linda&quot;,&quot;parse-names&quot;:false,&quot;dropping-particle&quot;:&quot;&quot;,&quot;non-dropping-particle&quot;:&quot;&quot;},{&quot;family&quot;:&quot;Lange&quot;,&quot;given&quot;:&quot;Lene&quot;,&quot;parse-names&quot;:false,&quot;dropping-particle&quot;:&quot;&quot;,&quot;non-dropping-particle&quot;:&quot;&quot;},{&quot;family&quot;:&quot;Lima&quot;,&quot;given&quot;:&quot;Nelson&quot;,&quot;parse-names&quot;:false,&quot;dropping-particle&quot;:&quot;&quot;,&quot;non-dropping-particle&quot;:&quot;&quot;},{&quot;family&quot;:&quot;Loy&quot;,&quot;given&quot;:&quot;Alexander&quot;,&quot;parse-names&quot;:false,&quot;dropping-particle&quot;:&quot;&quot;,&quot;non-dropping-particle&quot;:&quot;&quot;},{&quot;family&quot;:&quot;Macklin&quot;,&quot;given&quot;:&quot;James A.&quot;,&quot;parse-names&quot;:false,&quot;dropping-particle&quot;:&quot;&quot;,&quot;non-dropping-particle&quot;:&quot;&quot;},{&quot;family&quot;:&quot;Maguin&quot;,&quot;given&quot;:&quot;Emmanuelle&quot;,&quot;parse-names&quot;:false,&quot;dropping-particle&quot;:&quot;&quot;,&quot;non-dropping-particle&quot;:&quot;&quot;},{&quot;family&quot;:&quot;Mauchline&quot;,&quot;given&quot;:&quot;Tim&quot;,&quot;parse-names&quot;:false,&quot;dropping-particle&quot;:&quot;&quot;,&quot;non-dropping-particle&quot;:&quot;&quot;},{&quot;family&quot;:&quot;McClure&quot;,&quot;given&quot;:&quot;Ryan&quot;,&quot;parse-names&quot;:false,&quot;dropping-particle&quot;:&quot;&quot;,&quot;non-dropping-particle&quot;:&quot;&quot;},{&quot;family&quot;:&quot;Mitter&quot;,&quot;given&quot;:&quot;Birgit&quot;,&quot;parse-names&quot;:false,&quot;dropping-particle&quot;:&quot;&quot;,&quot;non-dropping-particle&quot;:&quot;&quot;},{&quot;family&quot;:&quot;Ryan&quot;,&quot;given&quot;:&quot;Matthew&quot;,&quot;parse-names&quot;:false,&quot;dropping-particle&quot;:&quot;&quot;,&quot;non-dropping-particle&quot;:&quot;&quot;},{&quot;family&quot;:&quot;Sarand&quot;,&quot;given&quot;:&quot;Inga&quot;,&quot;parse-names&quot;:false,&quot;dropping-particle&quot;:&quot;&quot;,&quot;non-dropping-particle&quot;:&quot;&quot;},{&quot;family&quot;:&quot;Smidt&quot;,&quot;given&quot;:&quot;Hauke&quot;,&quot;parse-names&quot;:false,&quot;dropping-particle&quot;:&quot;&quot;,&quot;non-dropping-particle&quot;:&quot;&quot;},{&quot;family&quot;:&quot;Schelkle&quot;,&quot;given&quot;:&quot;Bettina&quot;,&quot;parse-names&quot;:false,&quot;dropping-particle&quot;:&quot;&quot;,&quot;non-dropping-particle&quot;:&quot;&quot;},{&quot;family&quot;:&quot;Roume&quot;,&quot;given&quot;:&quot;Hugo&quot;,&quot;parse-names&quot;:false,&quot;dropping-particle&quot;:&quot;&quot;,&quot;non-dropping-particle&quot;:&quot;&quot;},{&quot;family&quot;:&quot;Kiran&quot;,&quot;given&quot;:&quot;G. Seghal&quot;,&quot;parse-names&quot;:false,&quot;dropping-particle&quot;:&quot;&quot;,&quot;non-dropping-particle&quot;:&quot;&quot;},{&quot;family&quot;:&quot;Selvin&quot;,&quot;given&quot;:&quot;Joseph&quot;,&quot;parse-names&quot;:false,&quot;dropping-particle&quot;:&quot;&quot;,&quot;non-dropping-particle&quot;:&quot;&quot;},{&quot;family&quot;:&quot;Souza&quot;,&quot;given&quot;:&quot;Rafael Soares Correa&quot;,&quot;parse-names&quot;:false,&quot;dropping-particle&quot;:&quot;&quot;,&quot;non-dropping-particle&quot;:&quot;de&quot;},{&quot;family&quot;:&quot;Overbeek&quot;,&quot;given&quot;:&quot;Leo&quot;,&quot;parse-names&quot;:false,&quot;dropping-particle&quot;:&quot;&quot;,&quot;non-dropping-particle&quot;:&quot;van&quot;},{&quot;family&quot;:&quot;Singh&quot;,&quot;given&quot;:&quot;Brajesh K.&quot;,&quot;parse-names&quot;:false,&quot;dropping-particle&quot;:&quot;&quot;,&quot;non-dropping-particle&quot;:&quot;&quot;},{&quot;family&quot;:&quot;Wagner&quot;,&quot;given&quot;:&quot;Michael&quot;,&quot;parse-names&quot;:false,&quot;dropping-particle&quot;:&quot;&quot;,&quot;non-dropping-particle&quot;:&quot;&quot;},{&quot;family&quot;:&quot;Walsh&quot;,&quot;given&quot;:&quot;Aaron&quot;,&quot;parse-names&quot;:false,&quot;dropping-particle&quot;:&quot;&quot;,&quot;non-dropping-particle&quot;:&quot;&quot;},{&quot;family&quot;:&quot;Sessitsch&quot;,&quot;given&quot;:&quot;Angela&quot;,&quot;parse-names&quot;:false,&quot;dropping-particle&quot;:&quot;&quot;,&quot;non-dropping-particle&quot;:&quot;&quot;},{&quot;family&quot;:&quot;Schloter&quot;,&quot;given&quot;:&quot;Michael&quot;,&quot;parse-names&quot;:false,&quot;dropping-particle&quot;:&quot;&quot;,&quot;non-dropping-particle&quot;:&quot;&quot;}],&quot;container-title&quot;:&quot;Microbiome&quot;,&quot;container-title-short&quot;:&quot;Microbiome&quot;,&quot;DOI&quot;:&quot;10.1186/s40168-020-00905-x&quot;,&quot;issued&quot;:{&quot;date-parts&quot;:[[2020]]},&quot;page&quot;:&quot;1-22&quot;,&quot;abstract&quot;:&quot;An amendment to this paper has been published and can be accessed via the original article.&quot;,&quot;publisher&quot;:&quot;Microbiome&quot;,&quot;issue&quot;:&quot;1&quot;,&quot;volume&quot;:&quot;8&quot;},&quot;isTemporary&quot;:false}]},{&quot;citationID&quot;:&quot;MENDELEY_CITATION_d93a9cdd-1e56-4bcc-9f6e-b81884a8d288&quot;,&quot;properties&quot;:{&quot;noteIndex&quot;:0},&quot;isEdited&quot;:false,&quot;manualOverride&quot;:{&quot;isManuallyOverridden&quot;:false,&quot;citeprocText&quot;:&quot;&lt;sup&gt;45,46&lt;/sup&gt;&quot;,&quot;manualOverrideText&quot;:&quot;&quot;},&quot;citationTag&quot;:&quot;MENDELEY_CITATION_v3_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&quot;,&quot;citationItems&quot;:[{&quot;id&quot;:&quot;68402ea8-585f-3fae-8708-eb76724c8c7f&quot;,&quot;itemData&quot;:{&quot;type&quot;:&quot;article-journal&quot;,&quot;id&quot;:&quot;68402ea8-585f-3fae-8708-eb76724c8c7f&quot;,&quot;title&quot;:&quot;Environmental microbial community proteomics: Status, challenges and perspectives&quot;,&quot;author&quot;:[{&quot;family&quot;:&quot;Wang&quot;,&quot;given&quot;:&quot;Da Zhi&quot;,&quot;parse-names&quot;:false,&quot;dropping-particle&quot;:&quot;&quot;,&quot;non-dropping-particle&quot;:&quot;&quot;},{&quot;family&quot;:&quot;Kong&quot;,&quot;given&quot;:&quot;Ling Fen&quot;,&quot;parse-names&quot;:false,&quot;dropping-particle&quot;:&quot;&quot;,&quot;non-dropping-particle&quot;:&quot;&quot;},{&quot;family&quot;:&quot;Li&quot;,&quot;given&quot;:&quot;Yuan Yuan&quot;,&quot;parse-names&quot;:false,&quot;dropping-particle&quot;:&quot;&quot;,&quot;non-dropping-particle&quot;:&quot;&quot;},{&quot;family&quot;:&quot;Xie&quot;,&quot;given&quot;:&quot;Zhang Xian&quot;,&quot;parse-names&quot;:false,&quot;dropping-particle&quot;:&quot;&quot;,&quot;non-dropping-particle&quot;:&quot;&quot;}],&quot;container-title&quot;:&quot;International Journal of Molecular Sciences&quot;,&quot;DOI&quot;:&quot;10.3390/ijms17081275&quot;,&quot;ISSN&quot;:&quot;14220067&quot;,&quot;PMID&quot;:&quot;27527164&quot;,&quot;issued&quot;:{&quot;date-parts&quot;:[[2016]]},&quot;page&quot;:&quot;1-20&quot;,&quot;abstract&quot;:&quot;Microbial community proteomics, also termed metaproteomics, is an emerging field within the area of microbiology, which studies the entire protein complement recovered directly from a complex environmental microbial community at a given point in time. Although it is still in its infancy, microbial community proteomics has shown its powerful potential in exploring microbial diversity, metabolic potential, ecological function and microbe-environment interactions. In this paper, we review recent advances achieved in microbial community proteomics conducted in diverse environments, such as marine and freshwater, sediment and soil, activated sludge, acid mine drainage biofilms and symbiotic communities. The challenges facing microbial community proteomics are also discussed, and we believe that microbial community proteomics will greatly enhance our understanding of the microbial world and its interactions with The environment.&quot;,&quot;issue&quot;:&quot;8&quot;,&quot;volume&quot;:&quot;17&quot;,&quot;container-title-short&quot;:&quot;&quot;},&quot;isTemporary&quot;:false},{&quot;id&quot;:&quot;53b6cbd2-075f-37bf-86ec-255e3064095d&quot;,&quot;itemData&quot;:{&quot;type&quot;:&quot;article-journal&quot;,&quot;id&quot;:&quot;53b6cbd2-075f-37bf-86ec-255e3064095d&quot;,&quot;title&quot;:&quot;A comparison of protein extraction methods optimizing high protein yields from marine algae and cyanobacteria&quot;,&quot;author&quot;:[{&quot;family&quot;:&quot;Field&quot;,&quot;given&quot;:&quot;Lacey M.&quot;,&quot;parse-names&quot;:false,&quot;dropping-particle&quot;:&quot;&quot;,&quot;non-dropping-particle&quot;:&quot;&quot;},{&quot;family&quot;:&quot;Fagerberg&quot;,&quot;given&quot;:&quot;Wayne R.&quot;,&quot;parse-names&quot;:false,&quot;dropping-particle&quot;:&quot;&quot;,&quot;non-dropping-particle&quot;:&quot;&quot;},{&quot;family&quot;:&quot;Gatto&quot;,&quot;given&quot;:&quot;Kayla K.&quot;,&quot;parse-names&quot;:false,&quot;dropping-particle&quot;:&quot;&quot;,&quot;non-dropping-particle&quot;:&quot;&quot;},{&quot;family&quot;:&quot;Anne Böttger&quot;,&quot;given&quot;:&quot;S.&quot;,&quot;parse-names&quot;:false,&quot;dropping-particle&quot;:&quot;&quot;,&quot;non-dropping-particle&quot;:&quot;&quot;}],&quot;container-title&quot;:&quot;Journal of Applied Phycology&quot;,&quot;DOI&quot;:&quot;10.1007/s10811-016-1027-9&quot;,&quot;ISSN&quot;:&quot;15735176&quot;,&quot;issued&quot;:{&quot;date-parts&quot;:[[2017]]},&quot;page&quot;:&quot;1271-1278&quot;,&quot;abstract&quot;:&quot;Algae are a diverse group of aquatic autotrophs that represent important models for studying morphology, physiology, and molecular biology. Many, because of their adaptation to the marine environment, cell wall composition, and secondary metabolites, present difficulties when trying to extract significant amounts of protein for analyses. In this study, we compared protein extraction methods for 39 different species of marine algae and cyanobacteria. Since successful protein detection requires the liberation of protein from a cell, the goal of the current investigation was to establish a high yield protein extraction method that would allow for protein extraction from different organisms ranging from cyanobacteria, unicellular, multicellular, and coenocytic algae. Six protein extraction assays were tested (three from literature citations and three from commercially available kits). A modification of the technique originally described by Barbarino and Lourenço (J Appl Phycol 17:447–460, 2005) displayed significantly higher yields (p &gt; 0.001, average of 6.7–30.87% dry weight) in all algal and cyanobacterial species examined. Protein yields using this modified procedure were especially successful in the Trebouxiophyceae, Bangiophyceae, Phaeophyceae, and Cyanobacteria.&quot;,&quot;publisher&quot;:&quot;Journal of Applied Phycology&quot;,&quot;issue&quot;:&quot;3&quot;,&quot;volume&quot;:&quot;29&quot;,&quot;container-title-short&quot;:&quot;&quot;},&quot;isTemporary&quot;:false}]},{&quot;citationID&quot;:&quot;MENDELEY_CITATION_a403c74e-47f3-4ee2-ba8e-542048b1b073&quot;,&quot;properties&quot;:{&quot;noteIndex&quot;:0},&quot;isEdited&quot;:false,&quot;manualOverride&quot;:{&quot;isManuallyOverridden&quot;:false,&quot;citeprocText&quot;:&quot;&lt;sup&gt;47&lt;/sup&gt;&quot;,&quot;manualOverrideText&quot;:&quot;&quot;},&quot;citationTag&quot;:&quot;MENDELEY_CITATION_v3_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&quot;,&quot;citationItems&quot;:[{&quot;id&quot;:&quot;4422369b-82f3-3bab-8beb-9291f1ac5323&quot;,&quot;itemData&quot;:{&quot;type&quot;:&quot;article-journal&quot;,&quot;id&quot;:&quot;4422369b-82f3-3bab-8beb-9291f1ac5323&quot;,&quot;title&quot;:&quot;Simple sodium dodecyl sulfate-assisted sample preparation method for LC-MS-based proteomics applications&quot;,&quot;author&quot;:[{&quot;family&quot;:&quot;Zhou&quot;,&quot;given&quot;:&quot;Jian Ying&quot;,&quot;parse-names&quot;:false,&quot;dropping-particle&quot;:&quot;&quot;,&quot;non-dropping-particle&quot;:&quot;&quot;},{&quot;family&quot;:&quot;Dann&quot;,&quot;given&quot;:&quot;Geoffrey P.&quot;,&quot;parse-names&quot;:false,&quot;dropping-particle&quot;:&quot;&quot;,&quot;non-dropping-particle&quot;:&quot;&quot;},{&quot;family&quot;:&quot;Shi&quot;,&quot;given&quot;:&quot;Tujin&quot;,&quot;parse-names&quot;:false,&quot;dropping-particle&quot;:&quot;&quot;,&quot;non-dropping-particle&quot;:&quot;&quot;},{&quot;family&quot;:&quot;Wang&quot;,&quot;given&quot;:&quot;Lu&quot;,&quot;parse-names&quot;:false,&quot;dropping-particle&quot;:&quot;&quot;,&quot;non-dropping-particle&quot;:&quot;&quot;},{&quot;family&quot;:&quot;Gao&quot;,&quot;given&quot;:&quot;Xiaoli&quot;,&quot;parse-names&quot;:false,&quot;dropping-particle&quot;:&quot;&quot;,&quot;non-dropping-particle&quot;:&quot;&quot;},{&quot;family&quot;:&quot;Su&quot;,&quot;given&quot;:&quot;Dian&quot;,&quot;parse-names&quot;:false,&quot;dropping-particle&quot;:&quot;&quot;,&quot;non-dropping-particle&quot;:&quot;&quot;},{&quot;family&quot;:&quot;Nicora&quot;,&quot;given&quot;:&quot;Carrie D.&quot;,&quot;parse-names&quot;:false,&quot;dropping-particle&quot;:&quot;&quot;,&quot;non-dropping-particle&quot;:&quot;&quot;},{&quot;family&quot;:&quot;Shukla&quot;,&quot;given&quot;:&quot;Anil K.&quot;,&quot;parse-names&quot;:false,&quot;dropping-particle&quot;:&quot;&quot;,&quot;non-dropping-particle&quot;:&quot;&quot;},{&quot;family&quot;:&quot;Moore&quot;,&quot;given&quot;:&quot;Ronald J.&quot;,&quot;parse-names&quot;:false,&quot;dropping-particle&quot;:&quot;&quot;,&quot;non-dropping-particle&quot;:&quot;&quot;},{&quot;family&quot;:&quot;Liu&quot;,&quot;given&quot;:&quot;Tao&quot;,&quot;parse-names&quot;:false,&quot;dropping-particle&quot;:&quot;&quot;,&quot;non-dropping-particle&quot;:&quot;&quot;},{&quot;family&quot;:&quot;Camp&quot;,&quot;given&quot;:&quot;David G.&quot;,&quot;parse-names&quot;:false,&quot;dropping-particle&quot;:&quot;&quot;,&quot;non-dropping-particle&quot;:&quot;&quot;},{&quot;family&quot;:&quot;Smith&quot;,&quot;given&quot;:&quot;Richard D.&quot;,&quot;parse-names&quot;:false,&quot;dropping-particle&quot;:&quot;&quot;,&quot;non-dropping-particle&quot;:&quot;&quot;},{&quot;family&quot;:&quot;Qian&quot;,&quot;given&quot;:&quot;Wei Jun&quot;,&quot;parse-names&quot;:false,&quot;dropping-particle&quot;:&quot;&quot;,&quot;non-dropping-particle&quot;:&quot;&quot;}],&quot;container-title&quot;:&quot;Analytical Chemistry&quot;,&quot;DOI&quot;:&quot;10.1021/ac203394r&quot;,&quot;ISSN&quot;:&quot;00032700&quot;,&quot;PMID&quot;:&quot;22339560&quot;,&quot;issued&quot;:{&quot;date-parts&quot;:[[2012]]},&quot;page&quot;:&quot;2862-2867&quot;,&quot;abstract&quot;:&quot;Sodium dodecyl sulfate (SDS) is one of the most popular laboratory reagents used for biological sample extraction; however, the presence of this reagent in samples challenges LC-MS-based proteomics analyses because it can interfere with reversed-phase LC separations and electrospray ionization. This study reports a simple SDS-assisted proteomics sample preparation method facilitated by a novel peptide-level SDS removal step. In an initial demonstration, SDS was effectively (&gt;99.9%) removed from peptide samples through ion substitution-mediated DS - precipitation using potassium chloride (KCl), and excellent peptide recovery (&gt;95%) was observed for &lt;20 μg of peptides. Further experiments demonstrated the compatibility of this protocol with LC-MS/MS analyses. The resulting proteome coverage obtained for both mammalian tissues and bacterial samples was comparable to or better than that obtained for the same sample types prepared using standard proteomics preparation methods and analyzed using LC-MS/MS. These results suggest the SDS-assisted protocol is a practical, simple, and broadly applicable proteomics sample processing method, which can be particularly useful when dealing with samples difficult to solubilize by other methods. © 2012 American Chemical Society.&quot;,&quot;issue&quot;:&quot;6&quot;,&quot;volume&quot;:&quot;84&quot;,&quot;container-title-short&quot;:&quot;&quot;},&quot;isTemporary&quot;:false}]},{&quot;citationID&quot;:&quot;MENDELEY_CITATION_10f3f23e-0764-409a-8882-4a63c7e5cf11&quot;,&quot;properties&quot;:{&quot;noteIndex&quot;:0},&quot;isEdited&quot;:false,&quot;manualOverride&quot;:{&quot;isManuallyOverridden&quot;:false,&quot;citeprocText&quot;:&quot;&lt;sup&gt;48&lt;/sup&gt;&quot;,&quot;manualOverrideText&quot;:&quot;&quot;},&quot;citationTag&quot;:&quot;MENDELEY_CITATION_v3_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&quot;,&quot;citationItems&quot;:[{&quot;id&quot;:&quot;647777f6-a422-320f-a7ad-b3de21eb2b28&quot;,&quot;itemData&quot;:{&quot;type&quot;:&quot;article-journal&quot;,&quot;id&quot;:&quot;647777f6-a422-320f-a7ad-b3de21eb2b28&quot;,&quot;title&quot;:&quot;Comparison of detergent-based sample preparation workflows for LTQ-Orbitrap analysis of the Escherichia coli proteome&quot;,&quot;author&quot;:[{&quot;family&quot;:&quot;Tanca&quot;,&quot;given&quot;:&quot;Alessandro&quot;,&quot;parse-names&quot;:false,&quot;dropping-particle&quot;:&quot;&quot;,&quot;non-dropping-particle&quot;:&quot;&quot;},{&quot;family&quot;:&quot;Biosa&quot;,&quot;given&quot;:&quot;Grazia&quot;,&quot;parse-names&quot;:false,&quot;dropping-particle&quot;:&quot;&quot;,&quot;non-dropping-particle&quot;:&quot;&quot;},{&quot;family&quot;:&quot;Pagnozzi&quot;,&quot;given&quot;:&quot;Daniela&quot;,&quot;parse-names&quot;:false,&quot;dropping-particle&quot;:&quot;&quot;,&quot;non-dropping-particle&quot;:&quot;&quot;},{&quot;family&quot;:&quot;Addis&quot;,&quot;given&quot;:&quot;Maria Filippa&quot;,&quot;parse-names&quot;:false,&quot;dropping-particle&quot;:&quot;&quot;,&quot;non-dropping-particle&quot;:&quot;&quot;},{&quot;family&quot;:&quot;Uzzau&quot;,&quot;given&quot;:&quot;Sergio&quot;,&quot;parse-names&quot;:false,&quot;dropping-particle&quot;:&quot;&quot;,&quot;non-dropping-particle&quot;:&quot;&quot;}],&quot;container-title&quot;:&quot;Proteomics&quot;,&quot;DOI&quot;:&quot;10.1002/pmic.201200478&quot;,&quot;ISSN&quot;:&quot;16159853&quot;,&quot;PMID&quot;:&quot;23784971&quot;,&quot;issued&quot;:{&quot;date-parts&quot;:[[2013]]},&quot;page&quot;:&quot;2597-2607&quot;,&quot;abstract&quot;:&quot;This work presents a comparative evaluation of several detergent-based sample preparation workflows for the MS-based analysis of bacterial proteomes, performed using the model organism Escherichia coli. Initially, RapiGest- and SDS-based buffers were compared for their protein extraction efficiency and quality of the MS data generated. As a result, SDS performed best in terms of total protein yields and overall number of MS identifications, mainly due to a higher efficiency in extracting high molecular weight (MW) and membrane proteins, while RapiGest led to an enrichment in periplasmic and fimbrial proteins. Then, SDS extracts underwent five different MS sample preparation workflows, including: detergent removal by spin columns followed by in-solution digestion (SC), protein precipitation followed by in-solution digestion in ammonium bicarbonate or urea buffer, filter-aided sample preparation (FASP), and 1DE separation followed by in-gel digestion. On the whole, about 1000 proteins were identified upon LC-MS/MS analysis of all preparations (&gt;1100 with the SC workflow), with FASP producing more identified peptides and a higher mean sequence coverage. Each protocol exhibited specific behaviors in terms of MW, hydrophobicity, and subcellular localization distribution of the identified proteins; a comparative assessment of the different outputs is presented. © 2013 WILEY-VCH Verlag GmbH &amp; Co. KGaA, Weinheim.&quot;,&quot;issue&quot;:&quot;17&quot;,&quot;volume&quot;:&quot;13&quot;,&quot;container-title-short&quot;:&quot;Proteomics&quot;},&quot;isTemporary&quot;:false}]},{&quot;citationID&quot;:&quot;MENDELEY_CITATION_2522874a-eb53-4d43-82c3-5c498f34dbf2&quot;,&quot;properties&quot;:{&quot;noteIndex&quot;:0},&quot;isEdited&quot;:false,&quot;manualOverride&quot;:{&quot;isManuallyOverridden&quot;:false,&quot;citeprocText&quot;:&quot;&lt;sup&gt;49–51&lt;/sup&gt;&quot;,&quot;manualOverrideText&quot;:&quot;&quot;},&quot;citationTag&quot;:&quot;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&quot;,&quot;citationItems&quot;:[{&quot;id&quot;:&quot;174a43cf-7206-3417-85b9-d636058df33b&quot;,&quot;itemData&quot;:{&quot;type&quot;:&quot;article-journal&quot;,&quot;id&quot;:&quot;174a43cf-7206-3417-85b9-d636058df33b&quot;,&quot;title&quot;:&quot;Metaproteomics reveals persistent and phylum-redundant metabolic functional stability in adult human gut microbiomes of Crohn's remission patients despite temporal variations in microbial taxa, genomes, and proteomes&quot;,&quot;author&quot;:[{&quot;family&quot;:&quot;Blakeley-Ruiz&quot;,&quot;given&quot;:&quot;J. Alfredo&quot;,&quot;parse-names&quot;:false,&quot;dropping-particle&quot;:&quot;&quot;,&quot;non-dropping-particle&quot;:&quot;&quot;},{&quot;family&quot;:&quot;Erickson&quot;,&quot;given&quot;:&quot;Alison R.&quot;,&quot;parse-names&quot;:false,&quot;dropping-particle&quot;:&quot;&quot;,&quot;non-dropping-particle&quot;:&quot;&quot;},{&quot;family&quot;:&quot;Cantarel&quot;,&quot;given&quot;:&quot;Brandi L.&quot;,&quot;parse-names&quot;:false,&quot;dropping-particle&quot;:&quot;&quot;,&quot;non-dropping-particle&quot;:&quot;&quot;},{&quot;family&quot;:&quot;Xiong&quot;,&quot;given&quot;:&quot;Weili&quot;,&quot;parse-names&quot;:false,&quot;dropping-particle&quot;:&quot;&quot;,&quot;non-dropping-particle&quot;:&quot;&quot;},{&quot;family&quot;:&quot;Adams&quot;,&quot;given&quot;:&quot;Rachel&quot;,&quot;parse-names&quot;:false,&quot;dropping-particle&quot;:&quot;&quot;,&quot;non-dropping-particle&quot;:&quot;&quot;},{&quot;family&quot;:&quot;Jansson&quot;,&quot;given&quot;:&quot;Janet K.&quot;,&quot;parse-names&quot;:false,&quot;dropping-particle&quot;:&quot;&quot;,&quot;non-dropping-particle&quot;:&quot;&quot;},{&quot;family&quot;:&quot;Fraser&quot;,&quot;given&quot;:&quot;Claire M.&quot;,&quot;parse-names&quot;:false,&quot;dropping-particle&quot;:&quot;&quot;,&quot;non-dropping-particle&quot;:&quot;&quot;},{&quot;family&quot;:&quot;Hettich&quot;,&quot;given&quot;:&quot;Robert L.&quot;,&quot;parse-names&quot;:false,&quot;dropping-particle&quot;:&quot;&quot;,&quot;non-dropping-particle&quot;:&quot;&quot;}],&quot;container-title&quot;:&quot;Microbiome&quot;,&quot;container-title-short&quot;:&quot;Microbiome&quot;,&quot;DOI&quot;:&quot;10.1186/s40168-019-0631-8&quot;,&quot;ISSN&quot;:&quot;20492618&quot;,&quot;PMID&quot;:&quot;30744677&quot;,&quot;issued&quot;:{&quot;date-parts&quot;:[[2019]]},&quot;page&quot;:&quot;1-15&quot;,&quot;abstract&quot;:&quot;Background: The gut microbiome plays a fundamental role in the human host's overall health by contributing key biological functions such as expanded metabolism and pathogen defense/immune control. In a healthy individual, the gut microbiome co-exists within the human host in a symbiotic, non-inflammatory relationship that enables mutual benefits, such as microbial degradation of indigestible food products into small molecules that the host can utilize, and enhanced pathogen defense. In abnormal conditions, such as Crohn's disease, this favorable metabolic relationship breaks down and a variety of undesirable activities result, including chronic inflammation and other health-related issues. It has been difficult, however, to elucidate the overall functional characteristics of this relationship because the microbiota can vary substantially in composition for healthy humans and possibly even more in individuals with gut disease conditions such as Crohn's disease. Overall, this suggests that microbial membership composition may not be the best way to characterize a phenotype. Alternatively, it seems to be more informative to examine and characterize the functional composition of a gut microbiome. Towards that end, this study examines 25 metaproteomes measured in several Crohn's disease patients' post-resection surgery across the course of 1 year, in order to examine persistence of microbial taxa, genes, proteins, and metabolic functional distributions across time in individuals whose microbiome might be more variable due to the gut disease condition. Results: The measured metaproteomes were highly personalized, with all the temporally-related metaproteomes clustering most closely by individual. In general, the metaproteomes were remarkably distinct between individuals and to a lesser extent within individuals. This prompted a need to characterize the metaproteome at a higher functional level, which was achieved by annotating identified protein groups with KEGG orthologous groups to infer metabolic modules. At this level, similar and redundant metabolic functions across multiple phyla were observed across time and between individuals. Tracking through these various metabolic modules revealed a clear path from carbohydrate, lipid, and amino acid degradation to central metabolism and finally the production of fermentation products. Conclusions: The human gut metaproteome can vary quite substantially across time and individuals. However, despite substantial intra-individual variation in the metaproteomes, there is a clear persistence of conserved metabolic functions across time and individuals. Additionally, the persistence of these core functions is redundant across multiple phyla but is not always observable in the same sample. Finally, the gut microbiome's metabolism is not driven by a set of discrete linear pathways but a web of interconnected reactions facilitated by a network of enzymes that connect multiple molecules across multiple pathways.&quot;,&quot;publisher&quot;:&quot;Microbiome&quot;,&quot;issue&quot;:&quot;1&quot;,&quot;volume&quot;:&quot;7&quot;},&quot;isTemporary&quot;:false},{&quot;id&quot;:&quot;4cae3a87-290f-31e6-a72d-e63b3c8e4500&quot;,&quot;itemData&quot;:{&quot;type&quot;:&quot;article-journal&quot;,&quot;id&quot;:&quot;4cae3a87-290f-31e6-a72d-e63b3c8e4500&quot;,&quot;title&quot;:&quot;Impact of Fatty-Acid Labeling of Bacillus subtilis Membranes on the Cellular Lipidome and Proteome&quot;,&quot;author&quot;:[{&quot;family&quot;:&quot;Nickels&quot;,&quot;given&quot;:&quot;Jonathan D.&quot;,&quot;parse-names&quot;:false,&quot;dropping-particle&quot;:&quot;&quot;,&quot;non-dropping-particle&quot;:&quot;&quot;},{&quot;family&quot;:&quot;Poudel&quot;,&quot;given&quot;:&quot;Suresh&quot;,&quot;parse-names&quot;:false,&quot;dropping-particle&quot;:&quot;&quot;,&quot;non-dropping-particle&quot;:&quot;&quot;},{&quot;family&quot;:&quot;Chatterjee&quot;,&quot;given&quot;:&quot;Sneha&quot;,&quot;parse-names&quot;:false,&quot;dropping-particle&quot;:&quot;&quot;,&quot;non-dropping-particle&quot;:&quot;&quot;},{&quot;family&quot;:&quot;Farmer&quot;,&quot;given&quot;:&quot;Abigail&quot;,&quot;parse-names&quot;:false,&quot;dropping-particle&quot;:&quot;&quot;,&quot;non-dropping-particle&quot;:&quot;&quot;},{&quot;family&quot;:&quot;Cordner&quot;,&quot;given&quot;:&quot;Destini&quot;,&quot;parse-names&quot;:false,&quot;dropping-particle&quot;:&quot;&quot;,&quot;non-dropping-particle&quot;:&quot;&quot;},{&quot;family&quot;:&quot;Campagna&quot;,&quot;given&quot;:&quot;Shawn R.&quot;,&quot;parse-names&quot;:false,&quot;dropping-particle&quot;:&quot;&quot;,&quot;non-dropping-particle&quot;:&quot;&quot;},{&quot;family&quot;:&quot;Giannone&quot;,&quot;given&quot;:&quot;Richard J.&quot;,&quot;parse-names&quot;:false,&quot;dropping-particle&quot;:&quot;&quot;,&quot;non-dropping-particle&quot;:&quot;&quot;},{&quot;family&quot;:&quot;Hettich&quot;,&quot;given&quot;:&quot;Robert L.&quot;,&quot;parse-names&quot;:false,&quot;dropping-particle&quot;:&quot;&quot;,&quot;non-dropping-particle&quot;:&quot;&quot;},{&quot;family&quot;:&quot;Myles&quot;,&quot;given&quot;:&quot;Dean A.A.&quot;,&quot;parse-names&quot;:false,&quot;dropping-particle&quot;:&quot;&quot;,&quot;non-dropping-particle&quot;:&quot;&quot;},{&quot;family&quot;:&quot;Standaert&quot;,&quot;given&quot;:&quot;Robert F.&quot;,&quot;parse-names&quot;:false,&quot;dropping-particle&quot;:&quot;&quot;,&quot;non-dropping-particle&quot;:&quot;&quot;},{&quot;family&quot;:&quot;Katsaras&quot;,&quot;given&quot;:&quot;John&quot;,&quot;parse-names&quot;:false,&quot;dropping-particle&quot;:&quot;&quot;,&quot;non-dropping-particle&quot;:&quot;&quot;},{&quot;family&quot;:&quot;Elkins&quot;,&quot;given&quot;:&quot;James G.&quot;,&quot;parse-names&quot;:false,&quot;dropping-particle&quot;:&quot;&quot;,&quot;non-dropping-particle&quot;:&quot;&quot;}],&quot;container-title&quot;:&quot;Frontiers in Microbiology&quot;,&quot;DOI&quot;:&quot;10.3389/fmicb.2020.00914&quot;,&quot;ISSN&quot;:&quot;1664302X&quot;,&quot;issued&quot;:{&quot;date-parts&quot;:[[2020]]},&quot;page&quot;:&quot;1-13&quot;,&quot;abstract&quot;:&quot;Developing cultivation methods that yield chemically and isotopically defined fatty acid (FA) compositions within bacterial cytoplasmic membranes establishes an in vivo experimental platform to study membrane biophysics and cell membrane regulation using novel approaches. Yet before fully realizing the potential of this method, it is prudent to understand the systemic changes in cells induced by the labeling procedure itself. In this work, analysis of cellular membrane compositions was paired with proteomics to assess how the proteome changes in response to the directed incorporation of exogenous FAs into the membrane of Bacillus subtilis. Key findings from this analysis include an alteration in lipid headgroup distribution, with an increase in phosphatidylglycerol lipids and decrease in phosphatidylethanolamine lipids, possibly providing a fluidizing effect on the cell membrane in response to the induced change in membrane composition. Changes in the abundance of enzymes involved in FA biosynthesis and degradation are observed; along with changes in abundance of cell wall enzymes and isoprenoid lipid production. The observed changes may influence membrane organization, and indeed the well-known lipid raft-associated protein flotillin was found to be substantially down-regulated in the labeled cells – as was the actin-like protein MreB. Taken as a whole, this study provides a greater depth of understanding for this important cell membrane experimental platform and presents a number of new connections to be explored in regard to modulating cell membrane FA composition and its effects on lipid headgroup and raft/cytoskeletal associated proteins.&quot;,&quot;issue&quot;:&quot;May&quot;,&quot;volume&quot;:&quot;11&quot;,&quot;container-title-short&quot;:&quot;&quot;},&quot;isTemporary&quot;:false},{&quot;id&quot;:&quot;2aabbf5f-e0bd-32c4-bcc0-b2ff02626514&quot;,&quot;itemData&quot;:{&quot;type&quot;:&quot;article-journal&quot;,&quot;id&quot;:&quot;2aabbf5f-e0bd-32c4-bcc0-b2ff02626514&quot;,&quot;title&quot;:&quot;Outer membrane vesicles catabolize lignin-derived aromatic compounds in Pseudomonas putida KT2440&quot;,&quot;author&quot;:[{&quot;family&quot;:&quot;Salvachúa&quot;,&quot;given&quot;:&quot;Davinia&quot;,&quot;parse-names&quot;:false,&quot;dropping-particle&quot;:&quot;&quot;,&quot;non-dropping-particle&quot;:&quot;&quot;},{&quot;family&quot;:&quot;Werner&quot;,&quot;given&quot;:&quot;Allison Z.&quot;,&quot;parse-names&quot;:false,&quot;dropping-particle&quot;:&quot;&quot;,&quot;non-dropping-particle&quot;:&quot;&quot;},{&quot;family&quot;:&quot;Pardo&quot;,&quot;given&quot;:&quot;Isabel&quot;,&quot;parse-names&quot;:false,&quot;dropping-particle&quot;:&quot;&quot;,&quot;non-dropping-particle&quot;:&quot;&quot;},{&quot;family&quot;:&quot;Michalska&quot;,&quot;given&quot;:&quot;Martyna&quot;,&quot;parse-names&quot;:false,&quot;dropping-particle&quot;:&quot;&quot;,&quot;non-dropping-particle&quot;:&quot;&quot;},{&quot;family&quot;:&quot;Black&quot;,&quot;given&quot;:&quot;Brenna A.&quot;,&quot;parse-names&quot;:false,&quot;dropping-particle&quot;:&quot;&quot;,&quot;non-dropping-particle&quot;:&quot;&quot;},{&quot;family&quot;:&quot;Donohoe&quot;,&quot;given&quot;:&quot;Bryon S.&quot;,&quot;parse-names&quot;:false,&quot;dropping-particle&quot;:&quot;&quot;,&quot;non-dropping-particle&quot;:&quot;&quot;},{&quot;family&quot;:&quot;Haugen&quot;,&quot;given&quot;:&quot;Stefan J.&quot;,&quot;parse-names&quot;:false,&quot;dropping-particle&quot;:&quot;&quot;,&quot;non-dropping-particle&quot;:&quot;&quot;},{&quot;family&quot;:&quot;Katahira&quot;,&quot;given&quot;:&quot;Rui&quot;,&quot;parse-names&quot;:false,&quot;dropping-particle&quot;:&quot;&quot;,&quot;non-dropping-particle&quot;:&quot;&quot;},{&quot;family&quot;:&quot;Notonier&quot;,&quot;given&quot;:&quot;Sandra&quot;,&quot;parse-names&quot;:false,&quot;dropping-particle&quot;:&quot;&quot;,&quot;non-dropping-particle&quot;:&quot;&quot;},{&quot;family&quot;:&quot;Ramirez&quot;,&quot;given&quot;:&quot;Kelsey J.&quot;,&quot;parse-names&quot;:false,&quot;dropping-particle&quot;:&quot;&quot;,&quot;non-dropping-particle&quot;:&quot;&quot;},{&quot;family&quot;:&quot;Amore&quot;,&quot;given&quot;:&quot;Antonella&quot;,&quot;parse-names&quot;:false,&quot;dropping-particle&quot;:&quot;&quot;,&quot;non-dropping-particle&quot;:&quot;&quot;},{&quot;family&quot;:&quot;Purvine&quot;,&quot;given&quot;:&quot;Samuel O.&quot;,&quot;parse-names&quot;:false,&quot;dropping-particle&quot;:&quot;&quot;,&quot;non-dropping-particle&quot;:&quot;&quot;},{&quot;family&quot;:&quot;Zink&quot;,&quot;given&quot;:&quot;Erika M.&quot;,&quot;parse-names&quot;:false,&quot;dropping-particle&quot;:&quot;&quot;,&quot;non-dropping-particle&quot;:&quot;&quot;},{&quot;family&quot;:&quot;Abraham&quot;,&quot;given&quot;:&quot;Paul E.&quot;,&quot;parse-names&quot;:false,&quot;dropping-particle&quot;:&quot;&quot;,&quot;non-dropping-particle&quot;:&quot;&quot;},{&quot;family&quot;:&quot;Giannone&quot;,&quot;given&quot;:&quot;Richard J.&quot;,&quot;parse-names&quot;:false,&quot;dropping-particle&quot;:&quot;&quot;,&quot;non-dropping-particle&quot;:&quot;&quot;},{&quot;family&quot;:&quot;Poudel&quot;,&quot;given&quot;:&quot;Suresh&quot;,&quot;parse-names&quot;:false,&quot;dropping-particle&quot;:&quot;&quot;,&quot;non-dropping-particle&quot;:&quot;&quot;},{&quot;family&quot;:&quot;Laible&quot;,&quot;given&quot;:&quot;Philip D.&quot;,&quot;parse-names&quot;:false,&quot;dropping-particle&quot;:&quot;&quot;,&quot;non-dropping-particle&quot;:&quot;&quot;},{&quot;family&quot;:&quot;Hettich&quot;,&quot;given&quot;:&quot;Robert L.&quot;,&quot;parse-names&quot;:false,&quot;dropping-particle&quot;:&quot;&quot;,&quot;non-dropping-particle&quot;:&quot;&quot;},{&quot;family&quot;:&quot;Beckham&quot;,&quot;given&quot;:&quot;Gregg T.&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1921073117&quot;,&quot;ISSN&quot;:&quot;10916490&quot;,&quot;PMID&quot;:&quot;32245809&quot;,&quot;issued&quot;:{&quot;date-parts&quot;:[[2020]]},&quot;page&quot;:&quot;9302-9310&quot;,&quot;abstract&quot;:&quot;Lignin is an abundant and recalcitrant component of plant cell walls. While lignin degradation in nature is typically attributed to fungi, growing evidence suggests that bacteria also catabolize this complex biopolymer. However, the spatiotemporal mechanisms for lignin catabolism remain unclear. Improved understanding of this biological process would aid in our collective knowledge of both carbon cycling and microbial strategies to valorize lignin to value-added compounds. Here, we examine lignin modifications and the exoproteome of three aromatic–catabolic bacteria: Pseudomonas putida KT2440, Rhodoccocus jostii RHA1, and Amycolatopsis sp. ATCC 39116. P. putida cultivation in lignin-rich media is characterized by an abundant exoproteome that is dynamically and selectively packaged into outer membrane vesicles (OMVs). Interestingly, many enzymes known to exhibit activity toward lignin-derived aromatic compounds are enriched in OMVs from early to late stationary phase, corresponding to the shift from bioavailable carbon to oligomeric lignin as a carbon source. In vivo and in vitro experiments demonstrate that enzymes contained in the OMVs are active and catabolize aromatic compounds. Taken together, this work supports OMV-mediated catabolism of lignin-derived aromatic compounds as an extracellular strategy for nutrient acquisition by soil bacteria and suggests that OMVs could potentially be useful tools for synthetic biology and biotechnological applications.&quot;,&quot;issue&quot;:&quot;17&quot;,&quot;volume&quot;:&quot;117&quot;},&quot;isTemporary&quot;:false}]},{&quot;citationID&quot;:&quot;MENDELEY_CITATION_3fdf55ae-48de-4558-ba13-9165ab41f247&quot;,&quot;properties&quot;:{&quot;noteIndex&quot;:0},&quot;isEdited&quot;:false,&quot;manualOverride&quot;:{&quot;isManuallyOverridden&quot;:false,&quot;citeprocText&quot;:&quot;&lt;sup&gt;52,53&lt;/sup&gt;&quot;,&quot;manualOverrideText&quot;:&quot;&quot;},&quot;citationTag&quot;:&quot;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&quot;,&quot;citationItems&quot;:[{&quot;id&quot;:&quot;51d8f76d-4a20-3726-9844-bf11d68f3b65&quot;,&quot;itemData&quot;:{&quot;type&quot;:&quot;article-journal&quot;,&quot;id&quot;:&quot;51d8f76d-4a20-3726-9844-bf11d68f3b65&quot;,&quot;title&quot;:&quot;A straightforward and efficient analytical pipeline for metaproteome characterization&quot;,&quot;author&quot;:[{&quot;family&quot;:&quot;Tanca&quot;,&quot;given&quot;:&quot;Alessandro&quot;,&quot;parse-names&quot;:false,&quot;dropping-particle&quot;:&quot;&quot;,&quot;non-dropping-particle&quot;:&quot;&quot;},{&quot;family&quot;:&quot;Palomba&quot;,&quot;given&quot;:&quot;Antonio&quot;,&quot;parse-names&quot;:false,&quot;dropping-particle&quot;:&quot;&quot;,&quot;non-dropping-particle&quot;:&quot;&quot;},{&quot;family&quot;:&quot;Pisanu&quot;,&quot;given&quot;:&quot;Salvatore&quot;,&quot;parse-names&quot;:false,&quot;dropping-particle&quot;:&quot;&quot;,&quot;non-dropping-particle&quot;:&quot;&quot;},{&quot;family&quot;:&quot;Deligios&quot;,&quot;given&quot;:&quot;Massimo&quot;,&quot;parse-names&quot;:false,&quot;dropping-particle&quot;:&quot;&quot;,&quot;non-dropping-particle&quot;:&quot;&quot;},{&quot;family&quot;:&quot;Fraumene&quot;,&quot;given&quot;:&quot;Cristina&quot;,&quot;parse-names&quot;:false,&quot;dropping-particle&quot;:&quot;&quot;,&quot;non-dropping-particle&quot;:&quot;&quot;},{&quot;family&quot;:&quot;Manghina&quot;,&quot;given&quot;:&quot;Valeria&quot;,&quot;parse-names&quot;:false,&quot;dropping-particle&quot;:&quot;&quot;,&quot;non-dropping-particle&quot;:&quot;&quot;},{&quot;family&quot;:&quot;Pagnozzi&quot;,&quot;given&quot;:&quot;Daniela&quot;,&quot;parse-names&quot;:false,&quot;dropping-particle&quot;:&quot;&quot;,&quot;non-dropping-particle&quot;:&quot;&quot;},{&quot;family&quot;:&quot;Addis&quot;,&quot;given&quot;:&quot;Maria F.&quot;,&quot;parse-names&quot;:false,&quot;dropping-particle&quot;:&quot;&quot;,&quot;non-dropping-particle&quot;:&quot;&quot;},{&quot;family&quot;:&quot;Uzzau&quot;,&quot;given&quot;:&quot;Sergio&quot;,&quot;parse-names&quot;:false,&quot;dropping-particle&quot;:&quot;&quot;,&quot;non-dropping-particle&quot;:&quot;&quot;}],&quot;container-title&quot;:&quot;Microbiome&quot;,&quot;DOI&quot;:&quot;10.1186/s40168-014-0049-2&quot;,&quot;ISSN&quot;:&quot;20492618&quot;,&quot;issued&quot;:{&quot;date-parts&quot;:[[2014]]},&quot;page&quot;:&quot;1-16&quot;,&quot;abstract&quot;:&quot;Background: The massive characterization of host-associated and environmental microbial communities has represented a real breakthrough in the life sciences in the last years. In this context, metaproteomics specifically enables the transition from assessing the genomic potential to actually measuring the functional expression of a microbiome. However, significant research efforts are still required to develop analysis pipelines optimized for metaproteome characterization.Results: This work presents an efficient analytical pipeline for shotgun metaproteomic analysis, combining bead-beating/freeze-thawing for protein extraction, filter-aided sample preparation for cleanup and digestion, and single-run liquid chromatography-tandem mass spectrometry for peptide separation and identification. The overall procedure is more time-effective and less labor-intensive when compared to state-of-the-art metaproteomic techniques. The pipeline was first evaluated using mock microbial mixtures containing different types of bacteria and yeasts, enabling the identification of up to over 15,000 non-redundant peptide sequences per run with a linear dynamic range from 10&lt;sup&gt;4&lt;/sup&gt; to 10&lt;sup&gt;8&lt;/sup&gt; colony-forming units. The pipeline was then applied to the mouse fecal metaproteome, leading to the overall identification of over 13,000 non-redundant microbial peptides with a false discovery rate of &lt;1%, belonging to over 600 different microbial species and 250 functionally relevant protein families. An extensive mapping of the main microbial metabolic pathways actively functioning in the gut microbiome was also achieved.Conclusions: The analytical pipeline presented here may be successfully used for the in-depth and time-effective characterization of complex microbial communities, such as the gut microbiome, and represents a useful tool for the microbiome research community.&quot;,&quot;issue&quot;:&quot;1&quot;,&quot;volume&quot;:&quot;2&quot;,&quot;container-title-short&quot;:&quot;Microbiome&quot;},&quot;isTemporary&quot;:false},{&quot;id&quot;:&quot;fef20a3d-51f6-3f7d-a4fa-ae9545db9960&quot;,&quot;itemData&quot;:{&quot;type&quot;:&quot;article-journal&quot;,&quot;id&quot;:&quot;fef20a3d-51f6-3f7d-a4fa-ae9545db9960&quot;,&quot;title&quot;:&quot;Assessing the impact of protein extraction methods for human gut metaproteomics&quot;,&quot;author&quot;:[{&quot;family&quot;:&quot;Zhang&quot;,&quot;given&quot;:&quot;Xu&quot;,&quot;parse-names&quot;:false,&quot;dropping-particle&quot;:&quot;&quot;,&quot;non-dropping-particle&quot;:&quot;&quot;},{&quot;family&quot;:&quot;Li&quot;,&quot;given&quot;:&quot;Leyuan&quot;,&quot;parse-names&quot;:false,&quot;dropping-particle&quot;:&quot;&quot;,&quot;non-dropping-particle&quot;:&quot;&quot;},{&quot;family&quot;:&quot;Mayne&quot;,&quot;given&quot;:&quot;Janice&quot;,&quot;parse-names&quot;:false,&quot;dropping-particle&quot;:&quot;&quot;,&quot;non-dropping-particle&quot;:&quot;&quot;},{&quot;family&quot;:&quot;Ning&quot;,&quot;given&quot;:&quot;Zhibin&quot;,&quot;parse-names&quot;:false,&quot;dropping-particle&quot;:&quot;&quot;,&quot;non-dropping-particle&quot;:&quot;&quot;},{&quot;family&quot;:&quot;Stintzi&quot;,&quot;given&quot;:&quot;Alain&quot;,&quot;parse-names&quot;:false,&quot;dropping-particle&quot;:&quot;&quot;,&quot;non-dropping-particle&quot;:&quot;&quot;},{&quot;family&quot;:&quot;Figeys&quot;,&quot;given&quot;:&quot;Daniel&quot;,&quot;parse-names&quot;:false,&quot;dropping-particle&quot;:&quot;&quot;,&quot;non-dropping-particle&quot;:&quot;&quot;}],&quot;container-title&quot;:&quot;Journal of Proteomics&quot;,&quot;DOI&quot;:&quot;10.1016/j.jprot.2017.07.001&quot;,&quot;ISBN&quot;:&quot;2016058501&quot;,&quot;ISSN&quot;:&quot;18767737&quot;,&quot;PMID&quot;:&quot;28705725&quot;,&quot;URL&quot;:&quot;https://doi.org/10.1016/j.jprot.2017.07.001&quot;,&quot;issued&quot;:{&quot;date-parts&quot;:[[2018]]},&quot;page&quot;:&quot;120-127&quot;,&quot;abstract&quot;:&quot;Metaproteomics is a promising methodology for the functional characterizations of the gut microbiome. However, the performance of metaproteomic analysis is affected by protein extraction protocols in terms of the amount of protein recovered and the relative abundance of different bacteria observed in microbiome. Currently, there is a lack of consistency on protein extraction methods in published metaproteomics studies. Here we evaluated the effects of different protein extraction methods on human fecal metaproteome characterizations. We found that sodium dodecyl sulfate (SDS)-based lysis buffer obtained higher protein yields and peptide/protein group identifications compared to urea and the non-ionic detergent-based B-Per buffer. The addition of bead beating to any of the extraction buffers increased both protein yields and protein identifications. As well, bead beating led to a significant increase of the relative abundances of Firmicutes and Actinobacteria. We also demonstrated that ultrasonication, another commonly used mechanical disruption approach, performed even better than bead beating for gut microbial protein extractions. Importantly, proteins of the basic metabolic pathways showed significantly higher relative abundances when using ultrasonication. Overall, these results demonstrate that protein extraction protocols markedly impact the metaproteomic results and recommend a protein extraction protocol with both SDS and ultrasonication for metaproteomic studies. Biological significance: The gut microbiome is emerging as an important factor influencing human health. Metaproteomics is promising for advancing the understanding of the functional roles of the microbiome in disease. However, metaproteomics suffers from a lack of consistent sample preparation procedures. In the present study, protein extraction protocols for fecal microbiome samples were evaluated for their effects on protein yields, peptide identifications, protein group identifications, taxonomic compositions and functional category distributions. While different protocols favor different microbial taxa and protein functions, our results suggest that a protein extraction protocol using sodium dodecyl sulfate (SDS) and ultrasonication provides the best performance for general shotgun metaproteomics studies.&quot;,&quot;publisher&quot;:&quot;Elsevier B.V.&quot;,&quot;volume&quot;:&quot;180&quot;,&quot;container-title-short&quot;:&quot;&quot;},&quot;isTemporary&quot;:false}]},{&quot;citationID&quot;:&quot;MENDELEY_CITATION_a0a0408a-902b-4474-832e-0b5a2f3b4a30&quot;,&quot;properties&quot;:{&quot;noteIndex&quot;:0},&quot;isEdited&quot;:false,&quot;manualOverride&quot;:{&quot;isManuallyOverridden&quot;:false,&quot;citeprocText&quot;:&quot;&lt;sup&gt;54&lt;/sup&gt;&quot;,&quot;manualOverrideText&quot;:&quot;&quot;},&quot;citationTag&quot;:&quot;MENDELEY_CITATION_v3_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&quot;,&quot;citationItems&quot;:[{&quot;id&quot;:&quot;f6a34722-e806-3096-9d23-4f1cd43c0753&quot;,&quot;itemData&quot;:{&quot;type&quot;:&quot;article-journal&quot;,&quot;id&quot;:&quot;f6a34722-e806-3096-9d23-4f1cd43c0753&quot;,&quot;title&quot;:&quot;Trends in sample preparation for classical and second generation proteomics&quot;,&quot;author&quot;:[{&quot;family&quot;:&quot;Cañas&quot;,&quot;given&quot;:&quot;Benito&quot;,&quot;parse-names&quot;:false,&quot;dropping-particle&quot;:&quot;&quot;,&quot;non-dropping-particle&quot;:&quot;&quot;},{&quot;family&quot;:&quot;Piñeiro&quot;,&quot;given&quot;:&quot;Carmen&quot;,&quot;parse-names&quot;:false,&quot;dropping-particle&quot;:&quot;&quot;,&quot;non-dropping-particle&quot;:&quot;&quot;},{&quot;family&quot;:&quot;Calvo&quot;,&quot;given&quot;:&quot;Enrique&quot;,&quot;parse-names&quot;:false,&quot;dropping-particle&quot;:&quot;&quot;,&quot;non-dropping-particle&quot;:&quot;&quot;},{&quot;family&quot;:&quot;López-Ferrer&quot;,&quot;given&quot;:&quot;Daniel&quot;,&quot;parse-names&quot;:false,&quot;dropping-particle&quot;:&quot;&quot;,&quot;non-dropping-particle&quot;:&quot;&quot;},{&quot;family&quot;:&quot;Gallardo&quot;,&quot;given&quot;:&quot;Jose Manuel&quot;,&quot;parse-names&quot;:false,&quot;dropping-particle&quot;:&quot;&quot;,&quot;non-dropping-particle&quot;:&quot;&quot;}],&quot;container-title&quot;:&quot;Journal of Chromatography A&quot;,&quot;DOI&quot;:&quot;10.1016/j.chroma.2007.01.045&quot;,&quot;ISSN&quot;:&quot;00219673&quot;,&quot;PMID&quot;:&quot;17276441&quot;,&quot;issued&quot;:{&quot;date-parts&quot;:[[2007]]},&quot;page&quot;:&quot;235-258&quot;,&quot;abstract&quot;:&quot;Sample preparation is a fundamental step in the proteomics workflow. However, it is not easy to find compiled information updating this subject. In this paper, the strategies and protocols for protein extraction and identification, following either classical or second generation proteomics methodologies, are reviewed. Procedures for: tissue disruption, cell lysis, sample pre-fractionation, protein separation by 2-DE, protein digestion, mass spectrometry analysis, multidimensional peptide separations and quantification of protein expression level are described. © 2007 Elsevier B.V. All rights reserved.&quot;,&quot;issue&quot;:&quot;1-2&quot;,&quot;volume&quot;:&quot;1153&quot;,&quot;container-title-short&quot;:&quot;&quot;},&quot;isTemporary&quot;:false}]},{&quot;citationID&quot;:&quot;MENDELEY_CITATION_68534c26-e901-4414-a6b3-819e32803208&quot;,&quot;properties&quot;:{&quot;noteIndex&quot;:0},&quot;isEdited&quot;:false,&quot;manualOverride&quot;:{&quot;isManuallyOverridden&quot;:false,&quot;citeprocText&quot;:&quot;&lt;sup&gt;47,54&lt;/sup&gt;&quot;,&quot;manualOverrideText&quot;:&quot;&quot;},&quot;citationTag&quot;:&quot;MENDELEY_CITATION_v3_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&quot;,&quot;citationItems&quot;:[{&quot;id&quot;:&quot;4422369b-82f3-3bab-8beb-9291f1ac5323&quot;,&quot;itemData&quot;:{&quot;type&quot;:&quot;article-journal&quot;,&quot;id&quot;:&quot;4422369b-82f3-3bab-8beb-9291f1ac5323&quot;,&quot;title&quot;:&quot;Simple sodium dodecyl sulfate-assisted sample preparation method for LC-MS-based proteomics applications&quot;,&quot;author&quot;:[{&quot;family&quot;:&quot;Zhou&quot;,&quot;given&quot;:&quot;Jian Ying&quot;,&quot;parse-names&quot;:false,&quot;dropping-particle&quot;:&quot;&quot;,&quot;non-dropping-particle&quot;:&quot;&quot;},{&quot;family&quot;:&quot;Dann&quot;,&quot;given&quot;:&quot;Geoffrey P.&quot;,&quot;parse-names&quot;:false,&quot;dropping-particle&quot;:&quot;&quot;,&quot;non-dropping-particle&quot;:&quot;&quot;},{&quot;family&quot;:&quot;Shi&quot;,&quot;given&quot;:&quot;Tujin&quot;,&quot;parse-names&quot;:false,&quot;dropping-particle&quot;:&quot;&quot;,&quot;non-dropping-particle&quot;:&quot;&quot;},{&quot;family&quot;:&quot;Wang&quot;,&quot;given&quot;:&quot;Lu&quot;,&quot;parse-names&quot;:false,&quot;dropping-particle&quot;:&quot;&quot;,&quot;non-dropping-particle&quot;:&quot;&quot;},{&quot;family&quot;:&quot;Gao&quot;,&quot;given&quot;:&quot;Xiaoli&quot;,&quot;parse-names&quot;:false,&quot;dropping-particle&quot;:&quot;&quot;,&quot;non-dropping-particle&quot;:&quot;&quot;},{&quot;family&quot;:&quot;Su&quot;,&quot;given&quot;:&quot;Dian&quot;,&quot;parse-names&quot;:false,&quot;dropping-particle&quot;:&quot;&quot;,&quot;non-dropping-particle&quot;:&quot;&quot;},{&quot;family&quot;:&quot;Nicora&quot;,&quot;given&quot;:&quot;Carrie D.&quot;,&quot;parse-names&quot;:false,&quot;dropping-particle&quot;:&quot;&quot;,&quot;non-dropping-particle&quot;:&quot;&quot;},{&quot;family&quot;:&quot;Shukla&quot;,&quot;given&quot;:&quot;Anil K.&quot;,&quot;parse-names&quot;:false,&quot;dropping-particle&quot;:&quot;&quot;,&quot;non-dropping-particle&quot;:&quot;&quot;},{&quot;family&quot;:&quot;Moore&quot;,&quot;given&quot;:&quot;Ronald J.&quot;,&quot;parse-names&quot;:false,&quot;dropping-particle&quot;:&quot;&quot;,&quot;non-dropping-particle&quot;:&quot;&quot;},{&quot;family&quot;:&quot;Liu&quot;,&quot;given&quot;:&quot;Tao&quot;,&quot;parse-names&quot;:false,&quot;dropping-particle&quot;:&quot;&quot;,&quot;non-dropping-particle&quot;:&quot;&quot;},{&quot;family&quot;:&quot;Camp&quot;,&quot;given&quot;:&quot;David G.&quot;,&quot;parse-names&quot;:false,&quot;dropping-particle&quot;:&quot;&quot;,&quot;non-dropping-particle&quot;:&quot;&quot;},{&quot;family&quot;:&quot;Smith&quot;,&quot;given&quot;:&quot;Richard D.&quot;,&quot;parse-names&quot;:false,&quot;dropping-particle&quot;:&quot;&quot;,&quot;non-dropping-particle&quot;:&quot;&quot;},{&quot;family&quot;:&quot;Qian&quot;,&quot;given&quot;:&quot;Wei Jun&quot;,&quot;parse-names&quot;:false,&quot;dropping-particle&quot;:&quot;&quot;,&quot;non-dropping-particle&quot;:&quot;&quot;}],&quot;container-title&quot;:&quot;Analytical Chemistry&quot;,&quot;DOI&quot;:&quot;10.1021/ac203394r&quot;,&quot;ISSN&quot;:&quot;00032700&quot;,&quot;PMID&quot;:&quot;22339560&quot;,&quot;issued&quot;:{&quot;date-parts&quot;:[[2012]]},&quot;page&quot;:&quot;2862-2867&quot;,&quot;abstract&quot;:&quot;Sodium dodecyl sulfate (SDS) is one of the most popular laboratory reagents used for biological sample extraction; however, the presence of this reagent in samples challenges LC-MS-based proteomics analyses because it can interfere with reversed-phase LC separations and electrospray ionization. This study reports a simple SDS-assisted proteomics sample preparation method facilitated by a novel peptide-level SDS removal step. In an initial demonstration, SDS was effectively (&gt;99.9%) removed from peptide samples through ion substitution-mediated DS - precipitation using potassium chloride (KCl), and excellent peptide recovery (&gt;95%) was observed for &lt;20 μg of peptides. Further experiments demonstrated the compatibility of this protocol with LC-MS/MS analyses. The resulting proteome coverage obtained for both mammalian tissues and bacterial samples was comparable to or better than that obtained for the same sample types prepared using standard proteomics preparation methods and analyzed using LC-MS/MS. These results suggest the SDS-assisted protocol is a practical, simple, and broadly applicable proteomics sample processing method, which can be particularly useful when dealing with samples difficult to solubilize by other methods. © 2012 American Chemical Society.&quot;,&quot;issue&quot;:&quot;6&quot;,&quot;volume&quot;:&quot;84&quot;,&quot;container-title-short&quot;:&quot;&quot;},&quot;isTemporary&quot;:false},{&quot;id&quot;:&quot;f6a34722-e806-3096-9d23-4f1cd43c0753&quot;,&quot;itemData&quot;:{&quot;type&quot;:&quot;article-journal&quot;,&quot;id&quot;:&quot;f6a34722-e806-3096-9d23-4f1cd43c0753&quot;,&quot;title&quot;:&quot;Trends in sample preparation for classical and second generation proteomics&quot;,&quot;author&quot;:[{&quot;family&quot;:&quot;Cañas&quot;,&quot;given&quot;:&quot;Benito&quot;,&quot;parse-names&quot;:false,&quot;dropping-particle&quot;:&quot;&quot;,&quot;non-dropping-particle&quot;:&quot;&quot;},{&quot;family&quot;:&quot;Piñeiro&quot;,&quot;given&quot;:&quot;Carmen&quot;,&quot;parse-names&quot;:false,&quot;dropping-particle&quot;:&quot;&quot;,&quot;non-dropping-particle&quot;:&quot;&quot;},{&quot;family&quot;:&quot;Calvo&quot;,&quot;given&quot;:&quot;Enrique&quot;,&quot;parse-names&quot;:false,&quot;dropping-particle&quot;:&quot;&quot;,&quot;non-dropping-particle&quot;:&quot;&quot;},{&quot;family&quot;:&quot;López-Ferrer&quot;,&quot;given&quot;:&quot;Daniel&quot;,&quot;parse-names&quot;:false,&quot;dropping-particle&quot;:&quot;&quot;,&quot;non-dropping-particle&quot;:&quot;&quot;},{&quot;family&quot;:&quot;Gallardo&quot;,&quot;given&quot;:&quot;Jose Manuel&quot;,&quot;parse-names&quot;:false,&quot;dropping-particle&quot;:&quot;&quot;,&quot;non-dropping-particle&quot;:&quot;&quot;}],&quot;container-title&quot;:&quot;Journal of Chromatography A&quot;,&quot;DOI&quot;:&quot;10.1016/j.chroma.2007.01.045&quot;,&quot;ISSN&quot;:&quot;00219673&quot;,&quot;PMID&quot;:&quot;17276441&quot;,&quot;issued&quot;:{&quot;date-parts&quot;:[[2007]]},&quot;page&quot;:&quot;235-258&quot;,&quot;abstract&quot;:&quot;Sample preparation is a fundamental step in the proteomics workflow. However, it is not easy to find compiled information updating this subject. In this paper, the strategies and protocols for protein extraction and identification, following either classical or second generation proteomics methodologies, are reviewed. Procedures for: tissue disruption, cell lysis, sample pre-fractionation, protein separation by 2-DE, protein digestion, mass spectrometry analysis, multidimensional peptide separations and quantification of protein expression level are described. © 2007 Elsevier B.V. All rights reserved.&quot;,&quot;issue&quot;:&quot;1-2&quot;,&quot;volume&quot;:&quot;1153&quot;,&quot;container-title-short&quot;:&quot;&quot;},&quot;isTemporary&quot;:false}]},{&quot;citationID&quot;:&quot;MENDELEY_CITATION_2047f548-28c3-4f3f-8c93-1ec2105d68f1&quot;,&quot;properties&quot;:{&quot;noteIndex&quot;:0},&quot;isEdited&quot;:false,&quot;manualOverride&quot;:{&quot;isManuallyOverridden&quot;:false,&quot;citeprocText&quot;:&quot;&lt;sup&gt;54&lt;/sup&gt;&quot;,&quot;manualOverrideText&quot;:&quot;&quot;},&quot;citationTag&quot;:&quot;MENDELEY_CITATION_v3_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&quot;,&quot;citationItems&quot;:[{&quot;id&quot;:&quot;f6a34722-e806-3096-9d23-4f1cd43c0753&quot;,&quot;itemData&quot;:{&quot;type&quot;:&quot;article-journal&quot;,&quot;id&quot;:&quot;f6a34722-e806-3096-9d23-4f1cd43c0753&quot;,&quot;title&quot;:&quot;Trends in sample preparation for classical and second generation proteomics&quot;,&quot;author&quot;:[{&quot;family&quot;:&quot;Cañas&quot;,&quot;given&quot;:&quot;Benito&quot;,&quot;parse-names&quot;:false,&quot;dropping-particle&quot;:&quot;&quot;,&quot;non-dropping-particle&quot;:&quot;&quot;},{&quot;family&quot;:&quot;Piñeiro&quot;,&quot;given&quot;:&quot;Carmen&quot;,&quot;parse-names&quot;:false,&quot;dropping-particle&quot;:&quot;&quot;,&quot;non-dropping-particle&quot;:&quot;&quot;},{&quot;family&quot;:&quot;Calvo&quot;,&quot;given&quot;:&quot;Enrique&quot;,&quot;parse-names&quot;:false,&quot;dropping-particle&quot;:&quot;&quot;,&quot;non-dropping-particle&quot;:&quot;&quot;},{&quot;family&quot;:&quot;López-Ferrer&quot;,&quot;given&quot;:&quot;Daniel&quot;,&quot;parse-names&quot;:false,&quot;dropping-particle&quot;:&quot;&quot;,&quot;non-dropping-particle&quot;:&quot;&quot;},{&quot;family&quot;:&quot;Gallardo&quot;,&quot;given&quot;:&quot;Jose Manuel&quot;,&quot;parse-names&quot;:false,&quot;dropping-particle&quot;:&quot;&quot;,&quot;non-dropping-particle&quot;:&quot;&quot;}],&quot;container-title&quot;:&quot;Journal of Chromatography A&quot;,&quot;DOI&quot;:&quot;10.1016/j.chroma.2007.01.045&quot;,&quot;ISSN&quot;:&quot;00219673&quot;,&quot;PMID&quot;:&quot;17276441&quot;,&quot;issued&quot;:{&quot;date-parts&quot;:[[2007]]},&quot;page&quot;:&quot;235-258&quot;,&quot;abstract&quot;:&quot;Sample preparation is a fundamental step in the proteomics workflow. However, it is not easy to find compiled information updating this subject. In this paper, the strategies and protocols for protein extraction and identification, following either classical or second generation proteomics methodologies, are reviewed. Procedures for: tissue disruption, cell lysis, sample pre-fractionation, protein separation by 2-DE, protein digestion, mass spectrometry analysis, multidimensional peptide separations and quantification of protein expression level are described. © 2007 Elsevier B.V. All rights reserved.&quot;,&quot;issue&quot;:&quot;1-2&quot;,&quot;volume&quot;:&quot;1153&quot;,&quot;container-title-short&quot;:&quot;&quot;},&quot;isTemporary&quot;:false}]},{&quot;citationID&quot;:&quot;MENDELEY_CITATION_68d5f42e-554f-4998-87c8-188e3ab2caec&quot;,&quot;properties&quot;:{&quot;noteIndex&quot;:0},&quot;isEdited&quot;:false,&quot;manualOverride&quot;:{&quot;isManuallyOverridden&quot;:false,&quot;citeprocText&quot;:&quot;&lt;sup&gt;55&lt;/sup&gt;&quot;,&quot;manualOverrideText&quot;:&quot;&quot;},&quot;citationTag&quot;:&quot;MENDELEY_CITATION_v3_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&quot;,&quot;citationItems&quot;:[{&quot;id&quot;:&quot;db43c404-79c1-3f59-b442-723e0a5146ea&quot;,&quot;itemData&quot;:{&quot;type&quot;:&quot;article-journal&quot;,&quot;id&quot;:&quot;db43c404-79c1-3f59-b442-723e0a5146ea&quot;,&quot;title&quot;:&quot;Ion suppression in mass spectrometry&quot;,&quot;author&quot;:[{&quot;family&quot;:&quot;Annesley&quot;,&quot;given&quot;:&quot;Thomas M.&quot;,&quot;parse-names&quot;:false,&quot;dropping-particle&quot;:&quot;&quot;,&quot;non-dropping-particle&quot;:&quot;&quot;}],&quot;container-title&quot;:&quot;Clinical Chemistry&quot;,&quot;DOI&quot;:&quot;10.1373/49.7.1041&quot;,&quot;ISSN&quot;:&quot;00099147&quot;,&quot;PMID&quot;:&quot;12816898&quot;,&quot;issued&quot;:{&quot;date-parts&quot;:[[2003]]},&quot;page&quot;:&quot;1041-1044&quot;,&quot;abstract&quot;:&quot;Background: Mass spectrometry (MS) is being introduced into a large number of clinical laboratories. It provides specificity because of its ability to monitor selected mass ions, sensitivity because of the enhanced signal-to-noise ratio, and speed because it can help avoid the need for intensive sample cleanup and long analysis times. However, MS is not without problems related to interference, especially through ion suppression effects. Ion suppression results from the presence of less volatile compounds that can change the efficiency of droplet formation or droplet evaporation, which in turn affects the amount of charged ion in the gas phase that ultimately reaches the detector. Content: This review discusses materials shown to cause ion suppression, including salts, ion-pairing agents, endogenous compounds, drugs, metabolites, and proteins. Experimental protocols for examining ion suppression, which should include, at a minimum, signal recovery studies using specimen extracts with added analyte, are also discussed, and a more comprehensive approach is presented that uses postcolumn infusion of the analyte to evaluate protracted ionization effects. Finally, this review presents options for minimizing or correcting ion suppression, which include enhanced specimen cleanup, chromatographic changes, reagent modifications, and effective internal standardization. Summary: Whenever mass spectrometric assays are developed, ion suppression studies should be performed using expected physiologic concentrations of the analyte under investigation. © 2003 American Association for Clinical Chemistry.&quot;,&quot;issue&quot;:&quot;7&quot;,&quot;volume&quot;:&quot;49&quot;,&quot;container-title-short&quot;:&quot;&quot;},&quot;isTemporary&quot;:false}]},{&quot;citationID&quot;:&quot;MENDELEY_CITATION_d11c5dec-9e64-427b-9778-f0b7bd95c54f&quot;,&quot;properties&quot;:{&quot;noteIndex&quot;:0},&quot;isEdited&quot;:false,&quot;manualOverride&quot;:{&quot;isManuallyOverridden&quot;:false,&quot;citeprocText&quot;:&quot;&lt;sup&gt;54&lt;/sup&gt;&quot;,&quot;manualOverrideText&quot;:&quot;&quot;},&quot;citationTag&quot;:&quot;MENDELEY_CITATION_v3_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&quot;,&quot;citationItems&quot;:[{&quot;id&quot;:&quot;f6a34722-e806-3096-9d23-4f1cd43c0753&quot;,&quot;itemData&quot;:{&quot;type&quot;:&quot;article-journal&quot;,&quot;id&quot;:&quot;f6a34722-e806-3096-9d23-4f1cd43c0753&quot;,&quot;title&quot;:&quot;Trends in sample preparation for classical and second generation proteomics&quot;,&quot;author&quot;:[{&quot;family&quot;:&quot;Cañas&quot;,&quot;given&quot;:&quot;Benito&quot;,&quot;parse-names&quot;:false,&quot;dropping-particle&quot;:&quot;&quot;,&quot;non-dropping-particle&quot;:&quot;&quot;},{&quot;family&quot;:&quot;Piñeiro&quot;,&quot;given&quot;:&quot;Carmen&quot;,&quot;parse-names&quot;:false,&quot;dropping-particle&quot;:&quot;&quot;,&quot;non-dropping-particle&quot;:&quot;&quot;},{&quot;family&quot;:&quot;Calvo&quot;,&quot;given&quot;:&quot;Enrique&quot;,&quot;parse-names&quot;:false,&quot;dropping-particle&quot;:&quot;&quot;,&quot;non-dropping-particle&quot;:&quot;&quot;},{&quot;family&quot;:&quot;López-Ferrer&quot;,&quot;given&quot;:&quot;Daniel&quot;,&quot;parse-names&quot;:false,&quot;dropping-particle&quot;:&quot;&quot;,&quot;non-dropping-particle&quot;:&quot;&quot;},{&quot;family&quot;:&quot;Gallardo&quot;,&quot;given&quot;:&quot;Jose Manuel&quot;,&quot;parse-names&quot;:false,&quot;dropping-particle&quot;:&quot;&quot;,&quot;non-dropping-particle&quot;:&quot;&quot;}],&quot;container-title&quot;:&quot;Journal of Chromatography A&quot;,&quot;DOI&quot;:&quot;10.1016/j.chroma.2007.01.045&quot;,&quot;ISSN&quot;:&quot;00219673&quot;,&quot;PMID&quot;:&quot;17276441&quot;,&quot;issued&quot;:{&quot;date-parts&quot;:[[2007]]},&quot;page&quot;:&quot;235-258&quot;,&quot;abstract&quot;:&quot;Sample preparation is a fundamental step in the proteomics workflow. However, it is not easy to find compiled information updating this subject. In this paper, the strategies and protocols for protein extraction and identification, following either classical or second generation proteomics methodologies, are reviewed. Procedures for: tissue disruption, cell lysis, sample pre-fractionation, protein separation by 2-DE, protein digestion, mass spectrometry analysis, multidimensional peptide separations and quantification of protein expression level are described. © 2007 Elsevier B.V. All rights reserved.&quot;,&quot;issue&quot;:&quot;1-2&quot;,&quot;volume&quot;:&quot;1153&quot;,&quot;container-title-short&quot;:&quot;&quot;},&quot;isTemporary&quot;:false}]},{&quot;citationID&quot;:&quot;MENDELEY_CITATION_28958e61-1803-4bdc-9b3b-d3f2b378bfb8&quot;,&quot;properties&quot;:{&quot;noteIndex&quot;:0},&quot;isEdited&quot;:false,&quot;manualOverride&quot;:{&quot;isManuallyOverridden&quot;:false,&quot;citeprocText&quot;:&quot;&lt;sup&gt;56&lt;/sup&gt;&quot;,&quot;manualOverrideText&quot;:&quot;&quot;},&quot;citationTag&quot;:&quot;MENDELEY_CITATION_v3_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&quot;,&quot;citationItems&quot;:[{&quot;id&quot;:&quot;631c489e-ed7c-30ad-bf78-40453369fe0f&quot;,&quot;itemData&quot;:{&quot;type&quot;:&quot;article-journal&quot;,&quot;id&quot;:&quot;631c489e-ed7c-30ad-bf78-40453369fe0f&quot;,&quot;title&quot;:&quot;Optimized Extraction Method to Remove Humic Acid Interferences from Soil Samples Prior to Microbial Proteome Measurements&quot;,&quot;author&quot;:[{&quot;family&quot;:&quot;Qian&quot;,&quot;given&quot;:&quot;Chen&quot;,&quot;parse-names&quot;:false,&quot;dropping-particle&quot;:&quot;&quot;,&quot;non-dropping-particle&quot;:&quot;&quot;},{&quot;family&quot;:&quot;Hettich&quot;,&quot;given&quot;:&quot;Robert L.&quot;,&quot;parse-names&quot;:false,&quot;dropping-particle&quot;:&quot;&quot;,&quot;non-dropping-particle&quot;:&quot;&quot;}],&quot;container-title&quot;:&quot;Journal of Proteome Research&quot;,&quot;DOI&quot;:&quot;10.1021/acs.jproteome.7b00103&quot;,&quot;ISSN&quot;:&quot;15353907&quot;,&quot;PMID&quot;:&quot;28537741&quot;,&quot;issued&quot;:{&quot;date-parts&quot;:[[2017]]},&quot;page&quot;:&quot;2537-2546&quot;,&quot;abstract&quot;:&quot;The microbial composition and their activities in soil environments play a critical role in organic matter transformation and nutrient cycling. Liquid chromatography coupled to high-performance mass spectrometry provides a powerful approach to characterize soil microbiomes; however, the limited microbial biomass and the presence of abundant interferences in soil samples present major challenges to proteome extraction and subsequent MS measurement. To this end, we have designed an experimental method to improve microbial proteome measurement by removing the soil-borne humic substances coextraction from soils. Our approach employs an in situ detergent-based microbial lysis/TCA precipitation coupled to an additional cleanup step involving acidified precipitation and filtering at the peptide level to remove most of the humic acid interferences prior to proteolytic peptide measurement. The novelty of this approach is an integration to exploit two different characteristics of humic acids: (1) Humic acids are insoluble in acidic solution but should not be removed at the protein level, as undesirable protein removal may also occur. Rather it is better to leave the humics acids in the samples until the peptide level, at which point the significant differential solubility of humic acids versus peptides at low pH can be exploited very efficiently. (2) Most of the humic acids have larger molecule weights than the peptides. Therefore, filtering a pH 2 to 3 peptide solution with a 10 kDa filter will remove most of the humic acids. This method is easily interfaced with normal proteolytic processing approaches and provides a reliable and straightforward protein extraction method that efficiently removes soil-borne humic substances without inducing proteome sample loss or biasing protein identification in mass spectrometry. In general, this humic acid removal step is universal and can be adopted by any workflow to effectively remove humic acids to avoid them negatively competing with peptides for binding with reversed-phase resin or ionization in the electrospray.&quot;,&quot;issue&quot;:&quot;7&quot;,&quot;volume&quot;:&quot;16&quot;,&quot;container-title-short&quot;:&quot;&quot;},&quot;isTemporary&quot;:false}]},{&quot;citationID&quot;:&quot;MENDELEY_CITATION_3a3416c0-48a0-4a33-967f-1475d4603f0a&quot;,&quot;properties&quot;:{&quot;noteIndex&quot;:0},&quot;isEdited&quot;:false,&quot;manualOverride&quot;:{&quot;isManuallyOverridden&quot;:false,&quot;citeprocText&quot;:&quot;&lt;sup&gt;57&lt;/sup&gt;&quot;,&quot;manualOverrideText&quot;:&quot;&quot;},&quot;citationTag&quot;:&quot;MENDELEY_CITATION_v3_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&quot;,&quot;citationItems&quot;:[{&quot;id&quot;:&quot;96ed97ba-d52f-3164-900b-21a2dc58bf45&quot;,&quot;itemData&quot;:{&quot;type&quot;:&quot;article-journal&quot;,&quot;id&quot;:&quot;96ed97ba-d52f-3164-900b-21a2dc58bf45&quot;,&quot;title&quot;:&quot;A simple method for the isolation and purification of total lipides from animal tissues.&quot;,&quot;author&quot;:[{&quot;family&quot;:&quot;FOLCH&quot;,&quot;given&quot;:&quot;J.&quot;,&quot;parse-names&quot;:false,&quot;dropping-particle&quot;:&quot;&quot;,&quot;non-dropping-particle&quot;:&quot;&quot;},{&quot;family&quot;:&quot;LEES&quot;,&quot;given&quot;:&quot;M.&quot;,&quot;parse-names&quot;:false,&quot;dropping-particle&quot;:&quot;&quot;,&quot;non-dropping-particle&quot;:&quot;&quot;},{&quot;family&quot;:&quot;SLOANE STANLEY&quot;,&quot;given&quot;:&quot;G. H.&quot;,&quot;parse-names&quot;:false,&quot;dropping-particle&quot;:&quot;&quot;,&quot;non-dropping-particle&quot;:&quot;&quot;}],&quot;container-title&quot;:&quot;The Journal of biological chemistry&quot;,&quot;DOI&quot;:&quot;10.1016/s0021-9258(18)64849-5&quot;,&quot;ISSN&quot;:&quot;00219258&quot;,&quot;PMID&quot;:&quot;13428781&quot;,&quot;issued&quot;:{&quot;date-parts&quot;:[[1957]]},&quot;page&quot;:&quot;497-509&quot;,&quot;issue&quot;:&quot;1&quot;,&quot;volume&quot;:&quot;226&quot;,&quot;container-title-short&quot;:&quot;J Biol Chem&quot;},&quot;isTemporary&quot;:false}]},{&quot;citationID&quot;:&quot;MENDELEY_CITATION_608ea99d-c90d-4096-b234-1202915d11f2&quot;,&quot;properties&quot;:{&quot;noteIndex&quot;:0},&quot;isEdited&quot;:false,&quot;manualOverride&quot;:{&quot;isManuallyOverridden&quot;:false,&quot;citeprocText&quot;:&quot;&lt;sup&gt;58,59&lt;/sup&gt;&quot;,&quot;manualOverrideText&quot;:&quot;&quot;},&quot;citationTag&quot;:&quot;MENDELEY_CITATION_v3_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&quot;,&quot;citationItems&quot;:[{&quot;id&quot;:&quot;47d35a42-aaa9-3dd0-b6e4-44b406a214ba&quot;,&quot;itemData&quot;:{&quot;type&quot;:&quot;article-journal&quot;,&quot;id&quot;:&quot;47d35a42-aaa9-3dd0-b6e4-44b406a214ba&quot;,&quot;title&quot;:&quot;Universal Solid-Phase Protein Preparation (USP3) for Bottom-up and Top-down Proteomics&quot;,&quot;author&quot;:[{&quot;family&quot;:&quot;Dagley&quot;,&quot;given&quot;:&quot;Laura F.&quot;,&quot;parse-names&quot;:false,&quot;dropping-particle&quot;:&quot;&quot;,&quot;non-dropping-particle&quot;:&quot;&quot;},{&quot;family&quot;:&quot;Infusini&quot;,&quot;given&quot;:&quot;Giuseppe&quot;,&quot;parse-names&quot;:false,&quot;dropping-particle&quot;:&quot;&quot;,&quot;non-dropping-particle&quot;:&quot;&quot;},{&quot;family&quot;:&quot;Larsen&quot;,&quot;given&quot;:&quot;Rune H.&quot;,&quot;parse-names&quot;:false,&quot;dropping-particle&quot;:&quot;&quot;,&quot;non-dropping-particle&quot;:&quot;&quot;},{&quot;family&quot;:&quot;Sandow&quot;,&quot;given&quot;:&quot;Jarrod J.&quot;,&quot;parse-names&quot;:false,&quot;dropping-particle&quot;:&quot;&quot;,&quot;non-dropping-particle&quot;:&quot;&quot;},{&quot;family&quot;:&quot;Webb&quot;,&quot;given&quot;:&quot;Andrew I.&quot;,&quot;parse-names&quot;:false,&quot;dropping-particle&quot;:&quot;&quot;,&quot;non-dropping-particle&quot;:&quot;&quot;}],&quot;container-title&quot;:&quot;Journal of Proteome Research&quot;,&quot;DOI&quot;:&quot;10.1021/acs.jproteome.9b00217&quot;,&quot;ISBN&quot;:&quot;4515210505&quot;,&quot;ISSN&quot;:&quot;15353907&quot;,&quot;PMID&quot;:&quot;31137935&quot;,&quot;issued&quot;:{&quot;date-parts&quot;:[[2019]]},&quot;page&quot;:&quot;2915-2924&quot;,&quot;abstract&quot;:&quot;Selecting a sample preparation strategy for mass spectrometry-based proteomics is critical to the success of quantitative workflows. Here we present a universal, solid-phase protein preparation (USP3) method which is rapid, robust, and scalable, facilitating high-throughput protein sample preparation for bottom-up and top-down mass spectrometry (MS) analysis. This technique builds upon the single-pot solid-phase-enhanced sample preparation (SP3) where we now demonstrate its scalability (low to high micrograms of protein) and the influence of variables such as bead and enzyme amounts on the efficiency of protein digestion. We also incorporate acid hydrolysis of DNA and RNA during complete proteome extraction resulting in a more reliable method that is simple and easy to implement for routine and high-throughput analysis of proteins. We benchmarked the performance of this technique against filter-aided sample preparation (FASP) using 30 μg of total HeLa protein lysate. We also show that the USP3 method is compatible with top-down MS where we reproducibly detect over 1800 proteoforms from 50 μg of HeLa protein lysate. The USP3 protocol allows for efficient and reproducible data to be generated in a cost-effective and robust manner with minimal down time between sample collection and analysis by MS.&quot;,&quot;issue&quot;:&quot;7&quot;,&quot;volume&quot;:&quot;18&quot;,&quot;container-title-short&quot;:&quot;&quot;},&quot;isTemporary&quot;:false},{&quot;id&quot;:&quot;906a0878-e828-3212-a528-ac9004eaf7f0&quot;,&quot;itemData&quot;:{&quot;type&quot;:&quot;article-journal&quot;,&quot;id&quot;:&quot;906a0878-e828-3212-a528-ac9004eaf7f0&quot;,&quot;title&quot;:&quot;Protein aggregation capture on microparticles enables multipurpose proteomics sample preparation&quot;,&quot;author&quot;:[{&quot;family&quot;:&quot;Batth&quot;,&quot;given&quot;:&quot;Tanveer S.&quot;,&quot;parse-names&quot;:false,&quot;dropping-particle&quot;:&quot;&quot;,&quot;non-dropping-particle&quot;:&quot;&quot;},{&quot;family&quot;:&quot;Tollenaere&quot;,&quot;given&quot;:&quot;Maxim A.X.&quot;,&quot;parse-names&quot;:false,&quot;dropping-particle&quot;:&quot;&quot;,&quot;non-dropping-particle&quot;:&quot;&quot;},{&quot;family&quot;:&quot;Rüther&quot;,&quot;given&quot;:&quot;Patrick&quot;,&quot;parse-names&quot;:false,&quot;dropping-particle&quot;:&quot;&quot;,&quot;non-dropping-particle&quot;:&quot;&quot;},{&quot;family&quot;:&quot;Gonzalez-Franquesa&quot;,&quot;given&quot;:&quot;Alba&quot;,&quot;parse-names&quot;:false,&quot;dropping-particle&quot;:&quot;&quot;,&quot;non-dropping-particle&quot;:&quot;&quot;},{&quot;family&quot;:&quot;Prabhakar&quot;,&quot;given&quot;:&quot;Bhargav S.&quot;,&quot;parse-names&quot;:false,&quot;dropping-particle&quot;:&quot;&quot;,&quot;non-dropping-particle&quot;:&quot;&quot;},{&quot;family&quot;:&quot;Bekker-Jensen&quot;,&quot;given&quot;:&quot;Simon&quot;,&quot;parse-names&quot;:false,&quot;dropping-particle&quot;:&quot;&quot;,&quot;non-dropping-particle&quot;:&quot;&quot;},{&quot;family&quot;:&quot;Deshmukh&quot;,&quot;given&quot;:&quot;Atul S.&quot;,&quot;parse-names&quot;:false,&quot;dropping-particle&quot;:&quot;&quot;,&quot;non-dropping-particle&quot;:&quot;&quot;},{&quot;family&quot;:&quot;Olsen&quot;,&quot;given&quot;:&quot;Jesper&quot;,&quot;parse-names&quot;:false,&quot;dropping-particle&quot;:&quot;v.&quot;,&quot;non-dropping-particle&quot;:&quot;&quot;}],&quot;container-title&quot;:&quot;Molecular and Cellular Proteomics&quot;,&quot;DOI&quot;:&quot;10.1074/mcp.TIR118.001270&quot;,&quot;ISBN&quot;:&quot;4515210505&quot;,&quot;ISSN&quot;:&quot;15359484&quot;,&quot;PMID&quot;:&quot;30833379&quot;,&quot;issued&quot;:{&quot;date-parts&quot;:[[2019]]},&quot;page&quot;:&quot;1027-1035&quot;,&quot;abstract&quot;:&quot;Universal proteomics sample preparation is challenging because of the high heterogeneity of biological samples. Here we describe a novel mechanism that exploits the inherent instability of denatured proteins for nonspecific immobilization on microparticles by protein aggregation capture. To demonstrate the general applicability of this mechanism, we analyzed phosphoproteomes, tissue proteomes, and interaction proteomes as well as dilute secretomes. The findings present a practical, sensitive and cost-effective proteomics sample preparation method.&quot;,&quot;issue&quot;:&quot;5&quot;,&quot;volume&quot;:&quot;18&quot;,&quot;container-title-short&quot;:&quot;&quot;},&quot;isTemporary&quot;:false}]},{&quot;citationID&quot;:&quot;MENDELEY_CITATION_b1f8355f-527a-4fa7-875f-125318971df9&quot;,&quot;properties&quot;:{&quot;noteIndex&quot;:0},&quot;isEdited&quot;:false,&quot;manualOverride&quot;:{&quot;isManuallyOverridden&quot;:false,&quot;citeprocText&quot;:&quot;&lt;sup&gt;54&lt;/sup&gt;&quot;,&quot;manualOverrideText&quot;:&quot;&quot;},&quot;citationTag&quot;:&quot;MENDELEY_CITATION_v3_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&quot;,&quot;citationItems&quot;:[{&quot;id&quot;:&quot;f6a34722-e806-3096-9d23-4f1cd43c0753&quot;,&quot;itemData&quot;:{&quot;type&quot;:&quot;article-journal&quot;,&quot;id&quot;:&quot;f6a34722-e806-3096-9d23-4f1cd43c0753&quot;,&quot;title&quot;:&quot;Trends in sample preparation for classical and second generation proteomics&quot;,&quot;author&quot;:[{&quot;family&quot;:&quot;Cañas&quot;,&quot;given&quot;:&quot;Benito&quot;,&quot;parse-names&quot;:false,&quot;dropping-particle&quot;:&quot;&quot;,&quot;non-dropping-particle&quot;:&quot;&quot;},{&quot;family&quot;:&quot;Piñeiro&quot;,&quot;given&quot;:&quot;Carmen&quot;,&quot;parse-names&quot;:false,&quot;dropping-particle&quot;:&quot;&quot;,&quot;non-dropping-particle&quot;:&quot;&quot;},{&quot;family&quot;:&quot;Calvo&quot;,&quot;given&quot;:&quot;Enrique&quot;,&quot;parse-names&quot;:false,&quot;dropping-particle&quot;:&quot;&quot;,&quot;non-dropping-particle&quot;:&quot;&quot;},{&quot;family&quot;:&quot;López-Ferrer&quot;,&quot;given&quot;:&quot;Daniel&quot;,&quot;parse-names&quot;:false,&quot;dropping-particle&quot;:&quot;&quot;,&quot;non-dropping-particle&quot;:&quot;&quot;},{&quot;family&quot;:&quot;Gallardo&quot;,&quot;given&quot;:&quot;Jose Manuel&quot;,&quot;parse-names&quot;:false,&quot;dropping-particle&quot;:&quot;&quot;,&quot;non-dropping-particle&quot;:&quot;&quot;}],&quot;container-title&quot;:&quot;Journal of Chromatography A&quot;,&quot;DOI&quot;:&quot;10.1016/j.chroma.2007.01.045&quot;,&quot;ISSN&quot;:&quot;00219673&quot;,&quot;PMID&quot;:&quot;17276441&quot;,&quot;issued&quot;:{&quot;date-parts&quot;:[[2007]]},&quot;page&quot;:&quot;235-258&quot;,&quot;abstract&quot;:&quot;Sample preparation is a fundamental step in the proteomics workflow. However, it is not easy to find compiled information updating this subject. In this paper, the strategies and protocols for protein extraction and identification, following either classical or second generation proteomics methodologies, are reviewed. Procedures for: tissue disruption, cell lysis, sample pre-fractionation, protein separation by 2-DE, protein digestion, mass spectrometry analysis, multidimensional peptide separations and quantification of protein expression level are described. © 2007 Elsevier B.V. All rights reserved.&quot;,&quot;issue&quot;:&quot;1-2&quot;,&quot;volume&quot;:&quot;1153&quot;,&quot;container-title-short&quot;:&quot;&quot;},&quot;isTemporary&quot;:false}]},{&quot;citationID&quot;:&quot;MENDELEY_CITATION_c0101d3f-a55a-4c0f-b992-410b6f1b3783&quot;,&quot;properties&quot;:{&quot;noteIndex&quot;:0},&quot;isEdited&quot;:false,&quot;manualOverride&quot;:{&quot;isManuallyOverridden&quot;:false,&quot;citeprocText&quot;:&quot;&lt;sup&gt;60&lt;/sup&gt;&quot;,&quot;manualOverrideText&quot;:&quot;&quot;},&quot;citationTag&quot;:&quot;MENDELEY_CITATION_v3_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&quot;,&quot;citationItems&quot;:[{&quot;id&quot;:&quot;509c6408-cddd-3d49-a39c-5571aed55b3c&quot;,&quot;itemData&quot;:{&quot;type&quot;:&quot;article-journal&quot;,&quot;id&quot;:&quot;509c6408-cddd-3d49-a39c-5571aed55b3c&quot;,&quot;title&quot;:&quot;ProteaseGuru: A Tool for Protease Selection in Bottom-Up Proteomics&quot;,&quot;author&quot;:[{&quot;family&quot;:&quot;Miller&quot;,&quot;given&quot;:&quot;Rachel M.&quot;,&quot;parse-names&quot;:false,&quot;dropping-particle&quot;:&quot;&quot;,&quot;non-dropping-particle&quot;:&quot;&quot;},{&quot;family&quot;:&quot;Ibrahim&quot;,&quot;given&quot;:&quot;Khairina&quot;,&quot;parse-names&quot;:false,&quot;dropping-particle&quot;:&quot;&quot;,&quot;non-dropping-particle&quot;:&quot;&quot;},{&quot;family&quot;:&quot;Smith&quot;,&quot;given&quot;:&quot;Lloyd M.&quot;,&quot;parse-names&quot;:false,&quot;dropping-particle&quot;:&quot;&quot;,&quot;non-dropping-particle&quot;:&quot;&quot;}],&quot;container-title&quot;:&quot;Journal of Proteome Research&quot;,&quot;DOI&quot;:&quot;10.1021/acs.jproteome.0c00954&quot;,&quot;ISSN&quot;:&quot;15353907&quot;,&quot;PMID&quot;:&quot;33661641&quot;,&quot;issued&quot;:{&quot;date-parts&quot;:[[2021]]},&quot;page&quot;:&quot;1936-1942&quot;,&quot;abstract&quot;:&quot;Bottom-up proteomics is currently the dominant strategy for proteome analysis. It relies critically upon the use of a protease to digest proteins into peptides, which are then identified by liquid chromatography-mass spectrometry (LC-MS). The choice of protease(s) has a substantial impact upon the utility of the bottom-up results obtained. Protease selection determines the nature of the peptides produced, which in turn affects the ability to infer the presence and quantities of the parent proteins and post-translational modifications in the sample. We present here the software tool ProteaseGuru, which provides in silico digestions by candidate proteases, allowing evaluation of their utility for bottom-up proteomic experiments. This information is useful for both studies focused on a single or small number of proteins, and for analysis of entire complex proteomes. ProteaseGuru provides a convenient user interface, valuable peptide information, and data visualizations enabling the comparison of digestion results of different proteases. The information provided includes data tables of theoretical peptide sequences and their biophysical properties, results summaries outlining the numbers of shared and unique peptides per protease, histograms facilitating the comparison of proteome-wide proteolytic data, protein-specific summaries, and sequence coverage maps. Examples are provided of its use to inform analysis of variant-containing proteins in the human proteome, as well as for studies requiring the use of multiple proteomic databases such as a human:mouse xenograft model, and microbiome metaproteomics.&quot;,&quot;issue&quot;:&quot;4&quot;,&quot;volume&quot;:&quot;20&quot;,&quot;container-title-short&quot;:&quot;&quot;},&quot;isTemporary&quot;:false}]},{&quot;citationID&quot;:&quot;MENDELEY_CITATION_9174fde1-d4c0-4d19-8adc-2a957189e386&quot;,&quot;properties&quot;:{&quot;noteIndex&quot;:0},&quot;isEdited&quot;:false,&quot;manualOverride&quot;:{&quot;isManuallyOverridden&quot;:false,&quot;citeprocText&quot;:&quot;&lt;sup&gt;54&lt;/sup&gt;&quot;,&quot;manualOverrideText&quot;:&quot;&quot;},&quot;citationTag&quot;:&quot;MENDELEY_CITATION_v3_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&quot;,&quot;citationItems&quot;:[{&quot;id&quot;:&quot;f6a34722-e806-3096-9d23-4f1cd43c0753&quot;,&quot;itemData&quot;:{&quot;type&quot;:&quot;article-journal&quot;,&quot;id&quot;:&quot;f6a34722-e806-3096-9d23-4f1cd43c0753&quot;,&quot;title&quot;:&quot;Trends in sample preparation for classical and second generation proteomics&quot;,&quot;author&quot;:[{&quot;family&quot;:&quot;Cañas&quot;,&quot;given&quot;:&quot;Benito&quot;,&quot;parse-names&quot;:false,&quot;dropping-particle&quot;:&quot;&quot;,&quot;non-dropping-particle&quot;:&quot;&quot;},{&quot;family&quot;:&quot;Piñeiro&quot;,&quot;given&quot;:&quot;Carmen&quot;,&quot;parse-names&quot;:false,&quot;dropping-particle&quot;:&quot;&quot;,&quot;non-dropping-particle&quot;:&quot;&quot;},{&quot;family&quot;:&quot;Calvo&quot;,&quot;given&quot;:&quot;Enrique&quot;,&quot;parse-names&quot;:false,&quot;dropping-particle&quot;:&quot;&quot;,&quot;non-dropping-particle&quot;:&quot;&quot;},{&quot;family&quot;:&quot;López-Ferrer&quot;,&quot;given&quot;:&quot;Daniel&quot;,&quot;parse-names&quot;:false,&quot;dropping-particle&quot;:&quot;&quot;,&quot;non-dropping-particle&quot;:&quot;&quot;},{&quot;family&quot;:&quot;Gallardo&quot;,&quot;given&quot;:&quot;Jose Manuel&quot;,&quot;parse-names&quot;:false,&quot;dropping-particle&quot;:&quot;&quot;,&quot;non-dropping-particle&quot;:&quot;&quot;}],&quot;container-title&quot;:&quot;Journal of Chromatography A&quot;,&quot;DOI&quot;:&quot;10.1016/j.chroma.2007.01.045&quot;,&quot;ISSN&quot;:&quot;00219673&quot;,&quot;PMID&quot;:&quot;17276441&quot;,&quot;issued&quot;:{&quot;date-parts&quot;:[[2007]]},&quot;page&quot;:&quot;235-258&quot;,&quot;abstract&quot;:&quot;Sample preparation is a fundamental step in the proteomics workflow. However, it is not easy to find compiled information updating this subject. In this paper, the strategies and protocols for protein extraction and identification, following either classical or second generation proteomics methodologies, are reviewed. Procedures for: tissue disruption, cell lysis, sample pre-fractionation, protein separation by 2-DE, protein digestion, mass spectrometry analysis, multidimensional peptide separations and quantification of protein expression level are described. © 2007 Elsevier B.V. All rights reserved.&quot;,&quot;issue&quot;:&quot;1-2&quot;,&quot;volume&quot;:&quot;1153&quot;,&quot;container-title-short&quot;:&quot;&quot;},&quot;isTemporary&quot;:false}]},{&quot;citationID&quot;:&quot;MENDELEY_CITATION_463dde50-5ada-4cc4-a4af-7833c7b14ffd&quot;,&quot;properties&quot;:{&quot;noteIndex&quot;:0},&quot;isEdited&quot;:false,&quot;manualOverride&quot;:{&quot;isManuallyOverridden&quot;:false,&quot;citeprocText&quot;:&quot;&lt;sup&gt;61,62&lt;/sup&gt;&quot;,&quot;manualOverrideText&quot;:&quot;&quot;},&quot;citationTag&quot;:&quot;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&quot;,&quot;citationItems&quot;:[{&quot;id&quot;:&quot;775eb4b1-4668-3095-ba82-82ed668437e6&quot;,&quot;itemData&quot;:{&quot;type&quot;:&quot;article-journal&quot;,&quot;id&quot;:&quot;775eb4b1-4668-3095-ba82-82ed668437e6&quot;,&quot;title&quot;:&quot;A systematic investigation into the nature of tryptic HCD spectra&quot;,&quot;author&quot;:[{&quot;family&quot;:&quot;Michalski&quot;,&quot;given&quot;:&quot;Annette&quot;,&quot;parse-names&quot;:false,&quot;dropping-particle&quot;:&quot;&quot;,&quot;non-dropping-particle&quot;:&quot;&quot;},{&quot;family&quot;:&quot;Neuhauser&quot;,&quot;given&quot;:&quot;Nadin&quot;,&quot;parse-names&quot;:false,&quot;dropping-particle&quot;:&quot;&quot;,&quot;non-dropping-particle&quot;:&quot;&quot;},{&quot;family&quot;:&quot;Cox&quot;,&quot;given&quot;:&quot;Jürgen&quot;,&quot;parse-names&quot;:false,&quot;dropping-particle&quot;:&quot;&quot;,&quot;non-dropping-particle&quot;:&quot;&quot;},{&quot;family&quot;:&quot;Mann&quot;,&quot;given&quot;:&quot;Matthias&quot;,&quot;parse-names&quot;:false,&quot;dropping-particle&quot;:&quot;&quot;,&quot;non-dropping-particle&quot;:&quot;&quot;}],&quot;container-title&quot;:&quot;Journal of Proteome Research&quot;,&quot;DOI&quot;:&quot;10.1021/pr3007045&quot;,&quot;ISSN&quot;:&quot;15353893&quot;,&quot;PMID&quot;:&quot;22998608&quot;,&quot;issued&quot;:{&quot;date-parts&quot;:[[2012]]},&quot;page&quot;:&quot;5479-5491&quot;,&quot;abstract&quot;:&quot;Modern mass spectrometry-based proteomics can produce millions of peptide fragmentation spectra, which are automatically identified in databases using sequence-specific b- or y-ions. Proteomics projects have mainly been performed with low resolution collision-induced dissociation (CID) in ion traps and beam-type fragmentation on triple quadrupole and QTOF instruments. Recently, the latter has also become available with Orbitrap instrumentation as higher energy collisional dissociation (HCD), routinely providing full mass range fragmentation with high mass accuracy. To systematically study the nature of HCD spectra, we made use of a large scale data set of tryptic peptides identified with an FDR of 0.0001, from which we extract a subset of more than 16 000 that have little or no contribution from cofragmented precursors. We employed a newly developed computer-assisted \&quot;Expert System\&quot;, which distills our experience and literature knowledge about fragmentation pathways. It aims to automatically annotate the peaks in high mass accuracy fragment spectra while strictly controlling the false discovery rate. Using this Expert System we determined that sequence specific regular ions covering the entire sequence were present for almost all peptides with up to 10 amino acids (median 100%). Peptides up to 20 amino acid length contained sufficient fragmentation to cover 80% of the sequence. Internal fragments are common in HCD spectra but not in high resolution CID spectra (10% vs 1%). The low mass region contains abundant immonium ions (6% of fragment ion intensity), the characteristic a2, b2 ion pair (72% of spectra), side chain fragments and reporter ions for peptide modifications such as tyrosine phosphorylation. B- and y-ions account for only 20% of fragment ions by number but 53% by ion intensity. Overall, 84% of the fragment ion intensity was unambiguously explainable. Thus high mass accuracy HCD and CID data are near comprehensively and automatically interpretable. © 2012 American Chemical Society.&quot;,&quot;issue&quot;:&quot;11&quot;,&quot;volume&quot;:&quot;11&quot;,&quot;container-title-short&quot;:&quot;&quot;},&quot;isTemporary&quot;:false},{&quot;id&quot;:&quot;6cdcefe8-6049-3d05-8ad8-1610d7dbe7c1&quot;,&quot;itemData&quot;:{&quot;type&quot;:&quot;article-journal&quot;,&quot;id&quot;:&quot;6cdcefe8-6049-3d05-8ad8-1610d7dbe7c1&quot;,&quot;title&quot;:&quot;Statistical characterization of HCD fragmentation patterns of tryptic peptides on an LTQ Orbitrap Velos mass spectrometer&quot;,&quot;author&quot;:[{&quot;family&quot;:&quot;Shao&quot;,&quot;given&quot;:&quot;Chen&quot;,&quot;parse-names&quot;:false,&quot;dropping-particle&quot;:&quot;&quot;,&quot;non-dropping-particle&quot;:&quot;&quot;},{&quot;family&quot;:&quot;Zhang&quot;,&quot;given&quot;:&quot;Yang&quot;,&quot;parse-names&quot;:false,&quot;dropping-particle&quot;:&quot;&quot;,&quot;non-dropping-particle&quot;:&quot;&quot;},{&quot;family&quot;:&quot;Sun&quot;,&quot;given&quot;:&quot;Wei&quot;,&quot;parse-names&quot;:false,&quot;dropping-particle&quot;:&quot;&quot;,&quot;non-dropping-particle&quot;:&quot;&quot;}],&quot;container-title&quot;:&quot;Journal of Proteomics&quot;,&quot;DOI&quot;:&quot;10.1016/j.jprot.2014.06.012&quot;,&quot;ISSN&quot;:&quot;18767737&quot;,&quot;PMID&quot;:&quot;24981973&quot;,&quot;URL&quot;:&quot;http://dx.doi.org/10.1016/j.jprot.2014.06.012&quot;,&quot;issued&quot;:{&quot;date-parts&quot;:[[2014]]},&quot;page&quot;:&quot;26-37&quot;,&quot;abstract&quot;:&quot;High-energy collisional dissociation (HCD) is an efficient peptide fragmentation method that is widely used in Orbitrap mass spectrometers. A greater understanding of HCD fragmentation patterns would benefit the development of proteomic data analysis algorithms. In this study, b and y ion fragmentation patterns and residue-specific cleavage effects in HCD mode were statistically characterized on a LTQ Orbitrap Velos mass spectrometer. We compared HCD and CID spectra collected in an Orbitrap for the same doubly and triply charged tryptic peptides. Our analytical results revealed novel statistical features of HCD spectra. The intensity of y ions reached a maximum in the 60-70% and 40-50% relative mass bins of HCD spectra from doubly and triply charged peptides, respectively. The HCD mode showed a slight preference for generating y ions with lower charges than did CID mode. Singly charged fragment ions dominated the five fragment ions with the highest intensity in HCD spectra. Hydrophobic residues for b ions were the primary differences in cleavage selectivity between the two modes, while residues for y ions showed a similar cleavage preference. These results will assist with the development of database search engines and the design of proper transitions for targeted proteomic analysis. Biological significance: Orbitrap mass spectrometry is becoming the popular instrument for proteomic analysis, and HCD mode is becoming the main analysis mode for its high resolution and high sensitivity. This study characterizes the features of HCD spectrum by comparing with CID mode on LTQ Velos Orbitrap. The patterns of b and y ions in HCD and CID modes were systematically compared for the first time, including the charge state, ion frequency and intensity and cleavage selectivity. These results will help develop database search engines and design proper transitions for targeted proteomic analysis in the future. © 2014 Elsevier B.V.&quot;,&quot;publisher&quot;:&quot;Elsevier B.V.&quot;,&quot;volume&quot;:&quot;109&quot;,&quot;container-title-short&quot;:&quot;&quot;},&quot;isTemporary&quot;:false}]},{&quot;citationID&quot;:&quot;MENDELEY_CITATION_69b05864-6069-41cc-899d-90127987eae1&quot;,&quot;properties&quot;:{&quot;noteIndex&quot;:0},&quot;isEdited&quot;:false,&quot;manualOverride&quot;:{&quot;isManuallyOverridden&quot;:false,&quot;citeprocText&quot;:&quot;&lt;sup&gt;54&lt;/sup&gt;&quot;,&quot;manualOverrideText&quot;:&quot;&quot;},&quot;citationTag&quot;:&quot;MENDELEY_CITATION_v3_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&quot;,&quot;citationItems&quot;:[{&quot;id&quot;:&quot;f6a34722-e806-3096-9d23-4f1cd43c0753&quot;,&quot;itemData&quot;:{&quot;type&quot;:&quot;article-journal&quot;,&quot;id&quot;:&quot;f6a34722-e806-3096-9d23-4f1cd43c0753&quot;,&quot;title&quot;:&quot;Trends in sample preparation for classical and second generation proteomics&quot;,&quot;author&quot;:[{&quot;family&quot;:&quot;Cañas&quot;,&quot;given&quot;:&quot;Benito&quot;,&quot;parse-names&quot;:false,&quot;dropping-particle&quot;:&quot;&quot;,&quot;non-dropping-particle&quot;:&quot;&quot;},{&quot;family&quot;:&quot;Piñeiro&quot;,&quot;given&quot;:&quot;Carmen&quot;,&quot;parse-names&quot;:false,&quot;dropping-particle&quot;:&quot;&quot;,&quot;non-dropping-particle&quot;:&quot;&quot;},{&quot;family&quot;:&quot;Calvo&quot;,&quot;given&quot;:&quot;Enrique&quot;,&quot;parse-names&quot;:false,&quot;dropping-particle&quot;:&quot;&quot;,&quot;non-dropping-particle&quot;:&quot;&quot;},{&quot;family&quot;:&quot;López-Ferrer&quot;,&quot;given&quot;:&quot;Daniel&quot;,&quot;parse-names&quot;:false,&quot;dropping-particle&quot;:&quot;&quot;,&quot;non-dropping-particle&quot;:&quot;&quot;},{&quot;family&quot;:&quot;Gallardo&quot;,&quot;given&quot;:&quot;Jose Manuel&quot;,&quot;parse-names&quot;:false,&quot;dropping-particle&quot;:&quot;&quot;,&quot;non-dropping-particle&quot;:&quot;&quot;}],&quot;container-title&quot;:&quot;Journal of Chromatography A&quot;,&quot;DOI&quot;:&quot;10.1016/j.chroma.2007.01.045&quot;,&quot;ISSN&quot;:&quot;00219673&quot;,&quot;PMID&quot;:&quot;17276441&quot;,&quot;issued&quot;:{&quot;date-parts&quot;:[[2007]]},&quot;page&quot;:&quot;235-258&quot;,&quot;abstract&quot;:&quot;Sample preparation is a fundamental step in the proteomics workflow. However, it is not easy to find compiled information updating this subject. In this paper, the strategies and protocols for protein extraction and identification, following either classical or second generation proteomics methodologies, are reviewed. Procedures for: tissue disruption, cell lysis, sample pre-fractionation, protein separation by 2-DE, protein digestion, mass spectrometry analysis, multidimensional peptide separations and quantification of protein expression level are described. © 2007 Elsevier B.V. All rights reserved.&quot;,&quot;issue&quot;:&quot;1-2&quot;,&quot;volume&quot;:&quot;1153&quot;,&quot;container-title-short&quot;:&quot;&quot;},&quot;isTemporary&quot;:false}]},{&quot;citationID&quot;:&quot;MENDELEY_CITATION_99de3e6c-4824-4f07-9040-db05fa8d2d09&quot;,&quot;properties&quot;:{&quot;noteIndex&quot;:0},&quot;isEdited&quot;:false,&quot;manualOverride&quot;:{&quot;isManuallyOverridden&quot;:false,&quot;citeprocText&quot;:&quot;&lt;sup&gt;63,64&lt;/sup&gt;&quot;,&quot;manualOverrideText&quot;:&quot;&quot;},&quot;citationTag&quot;:&quot;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&quot;,&quot;citationItems&quot;:[{&quot;id&quot;:&quot;d9431e12-968b-3638-a6b6-990841732431&quot;,&quot;itemData&quot;:{&quot;type&quot;:&quot;article-journal&quot;,&quot;id&quot;:&quot;d9431e12-968b-3638-a6b6-990841732431&quot;,&quot;title&quot;:&quot;Exploiting the Dynamic Relationship between Peptide Separation Quality and Peptide Coisolation in a Multiple-Peptide Matches-per-Spectrum Approach Offers a Strategy to Optimize Bottom-Up Proteomics Throughput and Depth&quot;,&quot;author&quot;:[{&quot;family&quot;:&quot;Villalobos Solis&quot;,&quot;given&quot;:&quot;Manuel I.&quot;,&quot;parse-names&quot;:false,&quot;dropping-particle&quot;:&quot;&quot;,&quot;non-dropping-particle&quot;:&quot;&quot;},{&quot;family&quot;:&quot;Giannone&quot;,&quot;given&quot;:&quot;Richard J.&quot;,&quot;parse-names&quot;:false,&quot;dropping-particle&quot;:&quot;&quot;,&quot;non-dropping-particle&quot;:&quot;&quot;},{&quot;family&quot;:&quot;Hettich&quot;,&quot;given&quot;:&quot;Robert L.&quot;,&quot;parse-names&quot;:false,&quot;dropping-particle&quot;:&quot;&quot;,&quot;non-dropping-particle&quot;:&quot;&quot;},{&quot;family&quot;:&quot;Abraham&quot;,&quot;given&quot;:&quot;Paul E.&quot;,&quot;parse-names&quot;:false,&quot;dropping-particle&quot;:&quot;&quot;,&quot;non-dropping-particle&quot;:&quot;&quot;}],&quot;container-title&quot;:&quot;Analytical Chemistry&quot;,&quot;DOI&quot;:&quot;10.1021/acs.analchem.9b00819&quot;,&quot;ISSN&quot;:&quot;15206882&quot;,&quot;issued&quot;:{&quot;date-parts&quot;:[[2019]]},&quot;page&quot;:&quot;7273-7279&quot;,&quot;abstract&quot;:&quot;Peptide cofragmentation leads to chimeric MS/MS spectra that negatively impact traditional single-peptide match-per-spectrum (sPSM) search strategies in proteomics. The collection of chimeric spectra is influenced by peptide coelution and the width of precursor isolation windows. Although peptide cofragmentation can be reduced by advanced chromatography, such as UHPLC and 2D-HPLC separation schemes, and narrower isolation windows, chimeric spectra can still be as high as 30-50% of the total MS/MS spectra collected. Alternatively, cofragmented peptides in chimeric spectra and the use of wider isolation windows benefit multiple-peptide matches-per-spectrum (mPSM) algorithms, such as CharmeRT, which facilitate the identification of several cofragmented peptides. Considering recent advancements in LC and mPSM methodologies, we present a comprehensive examination of the levels of chimeric spectra collected in the analysis of a HeLa digest measured using different LC modes of separation and isolation windows and compare the depth of identifications obtained when these data are annotated using a sPSM or a mPSM approach. Our results demonstrate that MS/MS data derived from 1D-HPLC strategies under different gradient schemes and searched with CharmeRT yielded higher average numbers of PSMs (11%-49%), peptide analytes (10%-16%), and peptide sequences (3%-10%) compared to data derived from 1D-UHPLC runs but searched with a sPSM strategy. Interestingly, data from a 2D-HPLC separation strategy benefits more from the application of CharmeRT results when compared to a 50 cm 1D-UHPLC column employing a 500 min gradient. Overall, these results provide new insights into how to better configure LC-MS/MS measurements for improved throughput and peptide identification in complex proteomes.&quot;,&quot;genre&quot;:&quot;research-article&quot;,&quot;publisher&quot;:&quot;American Chemical Society&quot;,&quot;issue&quot;:&quot;11&quot;,&quot;volume&quot;:&quot;91&quot;,&quot;container-title-short&quot;:&quot;&quot;},&quot;isTemporary&quot;:false},{&quot;id&quot;:&quot;68aeddbc-0c3a-3c80-b68d-4b427a631466&quot;,&quot;itemData&quot;:{&quot;type&quot;:&quot;article-journal&quot;,&quot;id&quot;:&quot;68aeddbc-0c3a-3c80-b68d-4b427a631466&quot;,&quot;title&quot;:&quot;Ion suppression; A critical review on causes, evaluation, prevention and applications&quot;,&quot;author&quot;:[{&quot;family&quot;:&quot;Furey&quot;,&quot;given&quot;:&quot;Ambrose&quot;,&quot;parse-names&quot;:false,&quot;dropping-particle&quot;:&quot;&quot;,&quot;non-dropping-particle&quot;:&quot;&quot;},{&quot;family&quot;:&quot;Moriarty&quot;,&quot;given&quot;:&quot;Merisa&quot;,&quot;parse-names&quot;:false,&quot;dropping-particle&quot;:&quot;&quot;,&quot;non-dropping-particle&quot;:&quot;&quot;},{&quot;family&quot;:&quot;Bane&quot;,&quot;given&quot;:&quot;Vaishali&quot;,&quot;parse-names&quot;:false,&quot;dropping-particle&quot;:&quot;&quot;,&quot;non-dropping-particle&quot;:&quot;&quot;},{&quot;family&quot;:&quot;Kinsella&quot;,&quot;given&quot;:&quot;Brian&quot;,&quot;parse-names&quot;:false,&quot;dropping-particle&quot;:&quot;&quot;,&quot;non-dropping-particle&quot;:&quot;&quot;},{&quot;family&quot;:&quot;Lehane&quot;,&quot;given&quot;:&quot;Mary&quot;,&quot;parse-names&quot;:false,&quot;dropping-particle&quot;:&quot;&quot;,&quot;non-dropping-particle&quot;:&quot;&quot;}],&quot;container-title&quot;:&quot;Talanta&quot;,&quot;container-title-short&quot;:&quot;Talanta&quot;,&quot;DOI&quot;:&quot;10.1016/j.talanta.2013.03.048&quot;,&quot;ISSN&quot;:&quot;00399140&quot;,&quot;URL&quot;:&quot;http://dx.doi.org/10.1016/j.talanta.2013.03.048&quot;,&quot;issued&quot;:{&quot;date-parts&quot;:[[2013]]},&quot;page&quot;:&quot;104-122&quot;,&quot;abstract&quot;:&quot;The consequences of matrix effects in mass spectrometry analysis are a major issue of concern to analytical chemists. The identification of any ion suppressing (or enhancing) agents caused by sample matrix, solvent or LC-MS system components should be quantified and measures should be taken to eliminate or reduce the problem. Taking account of ion suppression should form part of the optimisation and validation of any quantitative LC-MS method. For example the US Food and Drug Administration has included the evaluation of matrix effects in its \&quot;Guidance for Industry on Bioanalytical Method Validation\&quot; (F.D.A. Department of Health and Human Services, Guidance for industry on bioanalytical method validation, Fed. Regist. 66 (100) 2001). If ion suppression is not assessed and corrected in an analytical method, the sensitivity of the LC-MS method can be seriously undermined, and it is possible that the target analyte may be undetected even when using very sensitive instrumentation. Sample analysis may be further complicated in cases where there are large sample-to-sample matrix variations (e.g. blood samples from different people can sometimes vary in certain matrix components, shellfish tissue samples sourced from different regions where different phytoplankton food sources are present, etc) and therefore exhibit varying ion-suppression effects. Although it is widely agreed that there is no generic method to overcome ion suppression, the purpose of this review is to: provide an overview of how ion suppression occurs,outline the methodologies used to assess and quantify the impact of ion suppression,discuss the various corrective actions that have been used to eliminate ion suppression in sample analysis, that is to say the deployment of techniques that eliminate or reduce the components in the sample matrix that cause ion suppression. This review article aims to collect together the latest information on the causes of ion suppression in LC-MS analysis and to consider the efficacy of common approaches to eliminate or reduce the problem using relevant examples published in the literature. © 2013 Elsevier B.V.&quot;,&quot;publisher&quot;:&quot;Elsevier&quot;,&quot;volume&quot;:&quot;115&quot;},&quot;isTemporary&quot;:false}]},{&quot;citationID&quot;:&quot;MENDELEY_CITATION_65c14b57-f1c6-4946-bdf2-53c360138a8a&quot;,&quot;properties&quot;:{&quot;noteIndex&quot;:0},&quot;isEdited&quot;:false,&quot;manualOverride&quot;:{&quot;isManuallyOverridden&quot;:false,&quot;citeprocText&quot;:&quot;&lt;sup&gt;65&lt;/sup&gt;&quot;,&quot;manualOverrideText&quot;:&quot;&quot;},&quot;citationTag&quot;:&quot;MENDELEY_CITATION_v3_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&quot;,&quot;citationItems&quot;:[{&quot;id&quot;:&quot;70f7a555-fedd-3a6b-ba8f-0f780335e37e&quot;,&quot;itemData&quot;:{&quot;type&quot;:&quot;article-journal&quot;,&quot;id&quot;:&quot;70f7a555-fedd-3a6b-ba8f-0f780335e37e&quot;,&quot;title&quot;:&quot;Advanced proteomic liquid chromatography&quot;,&quot;author&quot;:[{&quot;family&quot;:&quot;Xie&quot;,&quot;given&quot;:&quot;Fang&quot;,&quot;parse-names&quot;:false,&quot;dropping-particle&quot;:&quot;&quot;,&quot;non-dropping-particle&quot;:&quot;&quot;},{&quot;family&quot;:&quot;Smith&quot;,&quot;given&quot;:&quot;Richard D.&quot;,&quot;parse-names&quot;:false,&quot;dropping-particle&quot;:&quot;&quot;,&quot;non-dropping-particle&quot;:&quot;&quot;},{&quot;family&quot;:&quot;Shen&quot;,&quot;given&quot;:&quot;Yufeng&quot;,&quot;parse-names&quot;:false,&quot;dropping-particle&quot;:&quot;&quot;,&quot;non-dropping-particle&quot;:&quot;&quot;}],&quot;container-title&quot;:&quot;Journal of Chromatography A&quot;,&quot;DOI&quot;:&quot;10.1016/j.chroma.2012.06.098&quot;,&quot;ISSN&quot;:&quot;00219673&quot;,&quot;PMID&quot;:&quot;22840822&quot;,&quot;URL&quot;:&quot;http://dx.doi.org/10.1016/j.chroma.2012.06.098&quot;,&quot;issued&quot;:{&quot;date-parts&quot;:[[2012]]},&quot;page&quot;:&quot;78-90&quot;,&quot;abstract&quot;:&quot;Liquid chromatography coupled with mass spectrometry is the predominant platform used to analyze proteomics samples consisting of large numbers of proteins and their proteolytic products (e.g., truncated polypeptides) and spanning a wide range of relative concentrations. This review provides an overview of advanced capillary liquid chromatography techniques and methodologies that greatly improve separation resolving power and proteomics analysis coverage, sensitivity, and throughput. © 2012 Elsevier B.V.&quot;,&quot;publisher&quot;:&quot;Elsevier B.V.&quot;,&quot;volume&quot;:&quot;1261&quot;,&quot;container-title-short&quot;:&quot;&quot;},&quot;isTemporary&quot;:false}]},{&quot;citationID&quot;:&quot;MENDELEY_CITATION_b4ef300f-918e-4a83-83de-a391586506c3&quot;,&quot;properties&quot;:{&quot;noteIndex&quot;:0},&quot;isEdited&quot;:false,&quot;manualOverride&quot;:{&quot;isManuallyOverridden&quot;:false,&quot;citeprocText&quot;:&quot;&lt;sup&gt;66&lt;/sup&gt;&quot;,&quot;manualOverrideText&quot;:&quot;&quot;},&quot;citationTag&quot;:&quot;MENDELEY_CITATION_v3_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&quot;,&quot;citationItems&quot;:[{&quot;id&quot;:&quot;bb1172a2-a9aa-3f6b-b2eb-7018ad9854b4&quot;,&quot;itemData&quot;:{&quot;type&quot;:&quot;article-journal&quot;,&quot;id&quot;:&quot;bb1172a2-a9aa-3f6b-b2eb-7018ad9854b4&quot;,&quot;title&quot;:&quot;Multi-dimensional liquid chromatography in proteomics-A review&quot;,&quot;author&quot;:[{&quot;family&quot;:&quot;Zhang&quot;,&quot;given&quot;:&quot;X.&quot;,&quot;parse-names&quot;:false,&quot;dropping-particle&quot;:&quot;&quot;,&quot;non-dropping-particle&quot;:&quot;&quot;},{&quot;family&quot;:&quot;Fang&quot;,&quot;given&quot;:&quot;Aiqin&quot;,&quot;parse-names&quot;:false,&quot;dropping-particle&quot;:&quot;&quot;,&quot;non-dropping-particle&quot;:&quot;&quot;},{&quot;family&quot;:&quot;Riley&quot;,&quot;given&quot;:&quot;Catherine P.&quot;,&quot;parse-names&quot;:false,&quot;dropping-particle&quot;:&quot;&quot;,&quot;non-dropping-particle&quot;:&quot;&quot;},{&quot;family&quot;:&quot;Wang&quot;,&quot;given&quot;:&quot;Mu&quot;,&quot;parse-names&quot;:false,&quot;dropping-particle&quot;:&quot;&quot;,&quot;non-dropping-particle&quot;:&quot;&quot;},{&quot;family&quot;:&quot;Regnier&quot;,&quot;given&quot;:&quot;Fred E.&quot;,&quot;parse-names&quot;:false,&quot;dropping-particle&quot;:&quot;&quot;,&quot;non-dropping-particle&quot;:&quot;&quot;},{&quot;family&quot;:&quot;Buck&quot;,&quot;given&quot;:&quot;Charles&quot;,&quot;parse-names&quot;:false,&quot;dropping-particle&quot;:&quot;&quot;,&quot;non-dropping-particle&quot;:&quot;&quot;}],&quot;container-title&quot;:&quot;Analytica Chimica Acta&quot;,&quot;DOI&quot;:&quot;10.1016/j.aca.2010.02.001&quot;,&quot;ISSN&quot;:&quot;00032670&quot;,&quot;PMID&quot;:&quot;20363391&quot;,&quot;URL&quot;:&quot;http://dx.doi.org/10.1016/j.aca.2010.02.001&quot;,&quot;issued&quot;:{&quot;date-parts&quot;:[[2010]]},&quot;page&quot;:&quot;101-113&quot;,&quot;abstract&quot;:&quot;Proteomics is the large-scale study of proteins, particularly their expression, structures and functions. This still-emerging combination of technologies aims to describe and characterize all expressed proteins in a biological system. Because of upper limits on mass detection of mass spectrometers, proteins are usually digested into peptides and the peptides are then separated, identified and quantified from this complex enzymatic digest. The problem in digesting proteins first and then analyzing the peptide cleavage fragments by mass spectrometry is that huge numbers of peptides are generated that overwhelm direct mass spectral analyses. The objective in the liquid chromatography approach to proteomics is to fractionate peptide mixtures to enable and maximize identification and quantification of the component peptides by mass spectrometry. This review will focus on existing multidimensional liquid chromatographic (MDLC) platforms developed for proteomics and their application in combination with other techniques such as stable isotope labeling. We also provide some perspectives on likely future developments. © 2010.&quot;,&quot;publisher&quot;:&quot;Elsevier B.V.&quot;,&quot;issue&quot;:&quot;2&quot;,&quot;volume&quot;:&quot;664&quot;,&quot;container-title-short&quot;:&quot;&quot;},&quot;isTemporary&quot;:false}]},{&quot;citationID&quot;:&quot;MENDELEY_CITATION_d29aa5fe-697b-481a-87be-9d9ce45b5912&quot;,&quot;properties&quot;:{&quot;noteIndex&quot;:0},&quot;isEdited&quot;:false,&quot;manualOverride&quot;:{&quot;isManuallyOverridden&quot;:false,&quot;citeprocText&quot;:&quot;&lt;sup&gt;67&lt;/sup&gt;&quot;,&quot;manualOverrideText&quot;:&quot;&quot;},&quot;citationTag&quot;:&quot;MENDELEY_CITATION_v3_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&quot;,&quot;citationItems&quot;:[{&quot;id&quot;:&quot;9151bd32-16fe-3153-8b70-07a3d66f5b0e&quot;,&quot;itemData&quot;:{&quot;type&quot;:&quot;article-journal&quot;,&quot;id&quot;:&quot;9151bd32-16fe-3153-8b70-07a3d66f5b0e&quot;,&quot;title&quot;:&quot;Analytical Methods and recent applications in omics investigations&quot;,&quot;author&quot;:[{&quot;family&quot;:&quot;Sanders&quot;,&quot;given&quot;:&quot;Katherine L&quot;,&quot;parse-names&quot;:false,&quot;dropping-particle&quot;:&quot;&quot;,&quot;non-dropping-particle&quot;:&quot;&quot;},{&quot;family&quot;:&quot;Edwards&quot;,&quot;given&quot;:&quot;James L&quot;,&quot;parse-names&quot;:false,&quot;dropping-particle&quot;:&quot;&quot;,&quot;non-dropping-particle&quot;:&quot;&quot;}],&quot;container-title&quot;:&quot;Analytical Methods&quot;,&quot;DOI&quot;:&quot;10.1039/D0AY01194K&quot;,&quot;ISSN&quot;:&quot;1759-9660&quot;,&quot;URL&quot;:&quot;http://dx.doi.org/10.1039/D0AY01194K&quot;,&quot;issued&quot;:{&quot;date-parts&quot;:[[2020]]},&quot;page&quot;:&quot;4404-4417&quot;,&quot;publisher&quot;:&quot;Royal Society of Chemistry&quot;,&quot;volume&quot;:&quot;12&quot;,&quot;container-title-short&quot;:&quot;&quot;},&quot;isTemporary&quot;:false}]},{&quot;citationID&quot;:&quot;MENDELEY_CITATION_e5225a0b-e134-4be9-9eee-b26cbbfbead9&quot;,&quot;properties&quot;:{&quot;noteIndex&quot;:0},&quot;isEdited&quot;:false,&quot;manualOverride&quot;:{&quot;isManuallyOverridden&quot;:false,&quot;citeprocText&quot;:&quot;&lt;sup&gt;68&lt;/sup&gt;&quot;,&quot;manualOverrideText&quot;:&quot;&quot;},&quot;citationTag&quot;:&quot;MENDELEY_CITATION_v3_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&quot;,&quot;citationItems&quot;:[{&quot;id&quot;:&quot;ece0a7d9-2cfe-3bff-a4e6-e0c7a0f905e6&quot;,&quot;itemData&quot;:{&quot;type&quot;:&quot;article-journal&quot;,&quot;id&quot;:&quot;ece0a7d9-2cfe-3bff-a4e6-e0c7a0f905e6&quot;,&quot;title&quot;:&quot;Multidimensional LC separations in shotgun proteomics&quot;,&quot;author&quot;:[{&quot;family&quot;:&quot;Motoyama&quot;,&quot;given&quot;:&quot;Akira&quot;,&quot;parse-names&quot;:false,&quot;dropping-particle&quot;:&quot;&quot;,&quot;non-dropping-particle&quot;:&quot;&quot;},{&quot;family&quot;:&quot;Yates&quot;,&quot;given&quot;:&quot;John R.&quot;,&quot;parse-names&quot;:false,&quot;dropping-particle&quot;:&quot;&quot;,&quot;non-dropping-particle&quot;:&quot;&quot;}],&quot;container-title&quot;:&quot;Analytical Chemistry&quot;,&quot;DOI&quot;:&quot;10.1021/ac8013669&quot;,&quot;ISSN&quot;:&quot;00032700&quot;,&quot;PMID&quot;:&quot;18826178&quot;,&quot;issued&quot;:{&quot;date-parts&quot;:[[2008]]},&quot;page&quot;:&quot;7187-7193&quot;,&quot;abstract&quot;:&quot;Two modes of separation coupled with MS enable researchers to study complicated biological structures. © 2008 American Chemical Society.&quot;,&quot;issue&quot;:&quot;19&quot;,&quot;volume&quot;:&quot;80&quot;,&quot;container-title-short&quot;:&quot;&quot;},&quot;isTemporary&quot;:false}]},{&quot;citationID&quot;:&quot;MENDELEY_CITATION_eed917c5-b087-47ad-931c-0c5b5461f977&quot;,&quot;properties&quot;:{&quot;noteIndex&quot;:0},&quot;isEdited&quot;:false,&quot;manualOverride&quot;:{&quot;isManuallyOverridden&quot;:false,&quot;citeprocText&quot;:&quot;&lt;sup&gt;68&lt;/sup&gt;&quot;,&quot;manualOverrideText&quot;:&quot;&quot;},&quot;citationTag&quot;:&quot;MENDELEY_CITATION_v3_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&quot;,&quot;citationItems&quot;:[{&quot;id&quot;:&quot;ece0a7d9-2cfe-3bff-a4e6-e0c7a0f905e6&quot;,&quot;itemData&quot;:{&quot;type&quot;:&quot;article-journal&quot;,&quot;id&quot;:&quot;ece0a7d9-2cfe-3bff-a4e6-e0c7a0f905e6&quot;,&quot;title&quot;:&quot;Multidimensional LC separations in shotgun proteomics&quot;,&quot;author&quot;:[{&quot;family&quot;:&quot;Motoyama&quot;,&quot;given&quot;:&quot;Akira&quot;,&quot;parse-names&quot;:false,&quot;dropping-particle&quot;:&quot;&quot;,&quot;non-dropping-particle&quot;:&quot;&quot;},{&quot;family&quot;:&quot;Yates&quot;,&quot;given&quot;:&quot;John R.&quot;,&quot;parse-names&quot;:false,&quot;dropping-particle&quot;:&quot;&quot;,&quot;non-dropping-particle&quot;:&quot;&quot;}],&quot;container-title&quot;:&quot;Analytical Chemistry&quot;,&quot;DOI&quot;:&quot;10.1021/ac8013669&quot;,&quot;ISSN&quot;:&quot;00032700&quot;,&quot;PMID&quot;:&quot;18826178&quot;,&quot;issued&quot;:{&quot;date-parts&quot;:[[2008]]},&quot;page&quot;:&quot;7187-7193&quot;,&quot;abstract&quot;:&quot;Two modes of separation coupled with MS enable researchers to study complicated biological structures. © 2008 American Chemical Society.&quot;,&quot;issue&quot;:&quot;19&quot;,&quot;volume&quot;:&quot;80&quot;,&quot;container-title-short&quot;:&quot;&quot;},&quot;isTemporary&quot;:false}]},{&quot;citationID&quot;:&quot;MENDELEY_CITATION_14dda2e8-8b6c-43d7-b2d4-ffe93e2e4707&quot;,&quot;properties&quot;:{&quot;noteIndex&quot;:0},&quot;isEdited&quot;:false,&quot;manualOverride&quot;:{&quot;isManuallyOverridden&quot;:false,&quot;citeprocText&quot;:&quot;&lt;sup&gt;68&lt;/sup&gt;&quot;,&quot;manualOverrideText&quot;:&quot;&quot;},&quot;citationTag&quot;:&quot;MENDELEY_CITATION_v3_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&quot;,&quot;citationItems&quot;:[{&quot;id&quot;:&quot;ece0a7d9-2cfe-3bff-a4e6-e0c7a0f905e6&quot;,&quot;itemData&quot;:{&quot;type&quot;:&quot;article-journal&quot;,&quot;id&quot;:&quot;ece0a7d9-2cfe-3bff-a4e6-e0c7a0f905e6&quot;,&quot;title&quot;:&quot;Multidimensional LC separations in shotgun proteomics&quot;,&quot;author&quot;:[{&quot;family&quot;:&quot;Motoyama&quot;,&quot;given&quot;:&quot;Akira&quot;,&quot;parse-names&quot;:false,&quot;dropping-particle&quot;:&quot;&quot;,&quot;non-dropping-particle&quot;:&quot;&quot;},{&quot;family&quot;:&quot;Yates&quot;,&quot;given&quot;:&quot;John R.&quot;,&quot;parse-names&quot;:false,&quot;dropping-particle&quot;:&quot;&quot;,&quot;non-dropping-particle&quot;:&quot;&quot;}],&quot;container-title&quot;:&quot;Analytical Chemistry&quot;,&quot;DOI&quot;:&quot;10.1021/ac8013669&quot;,&quot;ISSN&quot;:&quot;00032700&quot;,&quot;PMID&quot;:&quot;18826178&quot;,&quot;issued&quot;:{&quot;date-parts&quot;:[[2008]]},&quot;page&quot;:&quot;7187-7193&quot;,&quot;abstract&quot;:&quot;Two modes of separation coupled with MS enable researchers to study complicated biological structures. © 2008 American Chemical Society.&quot;,&quot;issue&quot;:&quot;19&quot;,&quot;volume&quot;:&quot;80&quot;,&quot;container-title-short&quot;:&quot;&quot;},&quot;isTemporary&quot;:false}]},{&quot;citationID&quot;:&quot;MENDELEY_CITATION_482f0d86-9ba8-4438-9932-3de55ee42aa8&quot;,&quot;properties&quot;:{&quot;noteIndex&quot;:0},&quot;isEdited&quot;:false,&quot;manualOverride&quot;:{&quot;isManuallyOverridden&quot;:false,&quot;citeprocText&quot;:&quot;&lt;sup&gt;66,69&lt;/sup&gt;&quot;,&quot;manualOverrideText&quot;:&quot;&quot;},&quot;citationTag&quot;:&quot;MENDELEY_CITATION_v3_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&quot;,&quot;citationItems&quot;:[{&quot;id&quot;:&quot;bb1172a2-a9aa-3f6b-b2eb-7018ad9854b4&quot;,&quot;itemData&quot;:{&quot;type&quot;:&quot;article-journal&quot;,&quot;id&quot;:&quot;bb1172a2-a9aa-3f6b-b2eb-7018ad9854b4&quot;,&quot;title&quot;:&quot;Multi-dimensional liquid chromatography in proteomics-A review&quot;,&quot;author&quot;:[{&quot;family&quot;:&quot;Zhang&quot;,&quot;given&quot;:&quot;X.&quot;,&quot;parse-names&quot;:false,&quot;dropping-particle&quot;:&quot;&quot;,&quot;non-dropping-particle&quot;:&quot;&quot;},{&quot;family&quot;:&quot;Fang&quot;,&quot;given&quot;:&quot;Aiqin&quot;,&quot;parse-names&quot;:false,&quot;dropping-particle&quot;:&quot;&quot;,&quot;non-dropping-particle&quot;:&quot;&quot;},{&quot;family&quot;:&quot;Riley&quot;,&quot;given&quot;:&quot;Catherine P.&quot;,&quot;parse-names&quot;:false,&quot;dropping-particle&quot;:&quot;&quot;,&quot;non-dropping-particle&quot;:&quot;&quot;},{&quot;family&quot;:&quot;Wang&quot;,&quot;given&quot;:&quot;Mu&quot;,&quot;parse-names&quot;:false,&quot;dropping-particle&quot;:&quot;&quot;,&quot;non-dropping-particle&quot;:&quot;&quot;},{&quot;family&quot;:&quot;Regnier&quot;,&quot;given&quot;:&quot;Fred E.&quot;,&quot;parse-names&quot;:false,&quot;dropping-particle&quot;:&quot;&quot;,&quot;non-dropping-particle&quot;:&quot;&quot;},{&quot;family&quot;:&quot;Buck&quot;,&quot;given&quot;:&quot;Charles&quot;,&quot;parse-names&quot;:false,&quot;dropping-particle&quot;:&quot;&quot;,&quot;non-dropping-particle&quot;:&quot;&quot;}],&quot;container-title&quot;:&quot;Analytica Chimica Acta&quot;,&quot;DOI&quot;:&quot;10.1016/j.aca.2010.02.001&quot;,&quot;ISSN&quot;:&quot;00032670&quot;,&quot;PMID&quot;:&quot;20363391&quot;,&quot;URL&quot;:&quot;http://dx.doi.org/10.1016/j.aca.2010.02.001&quot;,&quot;issued&quot;:{&quot;date-parts&quot;:[[2010]]},&quot;page&quot;:&quot;101-113&quot;,&quot;abstract&quot;:&quot;Proteomics is the large-scale study of proteins, particularly their expression, structures and functions. This still-emerging combination of technologies aims to describe and characterize all expressed proteins in a biological system. Because of upper limits on mass detection of mass spectrometers, proteins are usually digested into peptides and the peptides are then separated, identified and quantified from this complex enzymatic digest. The problem in digesting proteins first and then analyzing the peptide cleavage fragments by mass spectrometry is that huge numbers of peptides are generated that overwhelm direct mass spectral analyses. The objective in the liquid chromatography approach to proteomics is to fractionate peptide mixtures to enable and maximize identification and quantification of the component peptides by mass spectrometry. This review will focus on existing multidimensional liquid chromatographic (MDLC) platforms developed for proteomics and their application in combination with other techniques such as stable isotope labeling. We also provide some perspectives on likely future developments. © 2010.&quot;,&quot;publisher&quot;:&quot;Elsevier B.V.&quot;,&quot;issue&quot;:&quot;2&quot;,&quot;volume&quot;:&quot;664&quot;,&quot;container-title-short&quot;:&quot;&quot;},&quot;isTemporary&quot;:false},{&quot;id&quot;:&quot;d48f971c-9ef4-3068-9a3a-555e7a4dd092&quot;,&quot;itemData&quot;:{&quot;type&quot;:&quot;article-journal&quot;,&quot;id&quot;:&quot;d48f971c-9ef4-3068-9a3a-555e7a4dd092&quot;,&quot;title&quot;:&quot;High-pH reversed-phase chromatography with fraction concatenation for 2D proteomic analysis&quot;,&quot;author&quot;:[{&quot;family&quot;:&quot;Yang&quot;,&quot;given&quot;:&quot;Feng&quot;,&quot;parse-names&quot;:false,&quot;dropping-particle&quot;:&quot;&quot;,&quot;non-dropping-particle&quot;:&quot;&quot;},{&quot;family&quot;:&quot;Shen&quot;,&quot;given&quot;:&quot;Yufeng&quot;,&quot;parse-names&quot;:false,&quot;dropping-particle&quot;:&quot;&quot;,&quot;non-dropping-particle&quot;:&quot;&quot;},{&quot;family&quot;:&quot;Camp&quot;,&quot;given&quot;:&quot;David G.&quot;,&quot;parse-names&quot;:false,&quot;dropping-particle&quot;:&quot;&quot;,&quot;non-dropping-particle&quot;:&quot;&quot;},{&quot;family&quot;:&quot;Smith&quot;,&quot;given&quot;:&quot;Richard D.&quot;,&quot;parse-names&quot;:false,&quot;dropping-particle&quot;:&quot;&quot;,&quot;non-dropping-particle&quot;:&quot;&quot;}],&quot;container-title&quot;:&quot;Expert Review of Proteomics&quot;,&quot;DOI&quot;:&quot;10.1586/epr.12.15&quot;,&quot;ISSN&quot;:&quot;14789450&quot;,&quot;PMID&quot;:&quot;22462785&quot;,&quot;issued&quot;:{&quot;date-parts&quot;:[[2012]]},&quot;page&quot;:&quot;129-134&quot;,&quot;abstract&quot;:&quot;Orthogonal high-resolution separations are critical for attaining improved analytical dynamic range and protein coverage in proteomic measurements. High-pH reversed-phase liquid chromatography (RPLC), followed by fraction concatenation, affords better peptide analysis than conventional strong cation-exchange chromatography applied for 2D proteomic analysis. For example, concatenated high-pH RPLC increased identification of peptides (by 1.8-fold) and proteins (by 1.6-fold) in shotgun proteomics analyses of a digested human protein sample. Additional advantages of high-pH RPLC with fraction concatenation include improved protein sequence coverage, simplified sample processing and reduced sample losses, making this an attractive alternative to strong cation-exchange chromatography in conjunction with second-dimension low-pH RPLC for 2D proteomics analyses. © 2012 Expert Reviews Ltd.&quot;,&quot;issue&quot;:&quot;2&quot;,&quot;volume&quot;:&quot;9&quot;,&quot;container-title-short&quot;:&quot;&quot;},&quot;isTemporary&quot;:false}]},{&quot;citationID&quot;:&quot;MENDELEY_CITATION_67ee0d59-218c-4b41-a843-9b590931dd34&quot;,&quot;properties&quot;:{&quot;noteIndex&quot;:0},&quot;isEdited&quot;:false,&quot;manualOverride&quot;:{&quot;isManuallyOverridden&quot;:false,&quot;citeprocText&quot;:&quot;&lt;sup&gt;70&lt;/sup&gt;&quot;,&quot;manualOverrideText&quot;:&quot;&quot;},&quot;citationTag&quot;:&quot;MENDELEY_CITATION_v3_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&quot;,&quot;citationItems&quot;:[{&quot;id&quot;:&quot;eb20492e-0712-31a3-85b9-dd6c8e044ff4&quot;,&quot;itemData&quot;:{&quot;type&quot;:&quot;article-journal&quot;,&quot;id&quot;:&quot;eb20492e-0712-31a3-85b9-dd6c8e044ff4&quot;,&quot;title&quot;:&quot;Multidimensional protein identification technology (MudPIT): Technical overview of a profiling method optimized for the comprehensive proteomic investigation of normal and diseased heart tissue&quot;,&quot;author&quot;:[{&quot;family&quot;:&quot;Kislinger&quot;,&quot;given&quot;:&quot;Thomas&quot;,&quot;parse-names&quot;:false,&quot;dropping-particle&quot;:&quot;&quot;,&quot;non-dropping-particle&quot;:&quot;&quot;},{&quot;family&quot;:&quot;Gramolini&quot;,&quot;given&quot;:&quot;Anthony O.&quot;,&quot;parse-names&quot;:false,&quot;dropping-particle&quot;:&quot;&quot;,&quot;non-dropping-particle&quot;:&quot;&quot;},{&quot;family&quot;:&quot;MacLennan&quot;,&quot;given&quot;:&quot;David H.&quot;,&quot;parse-names&quot;:false,&quot;dropping-particle&quot;:&quot;&quot;,&quot;non-dropping-particle&quot;:&quot;&quot;},{&quot;family&quot;:&quot;Emili&quot;,&quot;given&quot;:&quot;Andrew&quot;,&quot;parse-names&quot;:false,&quot;dropping-particle&quot;:&quot;&quot;,&quot;non-dropping-particle&quot;:&quot;&quot;}],&quot;container-title&quot;:&quot;Journal of the American Society for Mass Spectrometry&quot;,&quot;container-title-short&quot;:&quot;J Am Soc Mass Spectrom&quot;,&quot;DOI&quot;:&quot;10.1016/j.jasms.2005.02.015&quot;,&quot;ISSN&quot;:&quot;10440305&quot;,&quot;PMID&quot;:&quot;15979338&quot;,&quot;issued&quot;:{&quot;date-parts&quot;:[[2005]]},&quot;page&quot;:&quot;1207-1220&quot;,&quot;abstract&quot;:&quot;An optimized analytical expression profiling strategy based on gel-free multidimensional protein identification technology (MudPIT) is reported for the systematic investigation of biochemical (mal)-adaptations associated with healthy and diseased heart tissue. Enhanced shotgun proteomic detection coverage and improved biological inference is achieved by pre-fractionation of excised mouse cardiac muscle into subcellular components, with each organellar fraction investigated exhaustively using multiple repeat MudPIT analyses. Functional-enrichment, high-confidence identification, and relative quantification of hundreds of organelle- and tissue-specific proteins are achieved readily, including detection of low abundance transcriptional regulators, signaling factors, and proteins linked to cardiac disease. Important technical issues relating to data validation, including minimization of artifacts stemming from biased under-sampling and spurious false discovery, together with suggestions for further fine-tuning of sample preparation, are discussed. A framework for follow-up bioinformatic examination, pattern recognition, and data mining is also presented in the context of a stringent application of MudPIT for probing fundamental aspects of heart muscle physiology as well as the discovery of perturbations associated with heart failure. © 2005 American Society for Mass Spectrometry.&quot;,&quot;issue&quot;:&quot;8&quot;,&quot;volume&quot;:&quot;16&quot;},&quot;isTemporary&quot;:false}]},{&quot;citationID&quot;:&quot;MENDELEY_CITATION_4ef60d83-69e0-4c6f-9b6c-8b5c74d80a1c&quot;,&quot;properties&quot;:{&quot;noteIndex&quot;:0},&quot;isEdited&quot;:false,&quot;manualOverride&quot;:{&quot;isManuallyOverridden&quot;:false,&quot;citeprocText&quot;:&quot;&lt;sup&gt;71&lt;/sup&gt;&quot;,&quot;manualOverrideText&quot;:&quot;&quot;},&quot;citationTag&quot;:&quot;MENDELEY_CITATION_v3_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&quot;,&quot;citationItems&quot;:[{&quot;id&quot;:&quot;17cd241b-da3e-3a9c-b5ae-4cea6aee830f&quot;,&quot;itemData&quot;:{&quot;type&quot;:&quot;article-journal&quot;,&quot;id&quot;:&quot;17cd241b-da3e-3a9c-b5ae-4cea6aee830f&quot;,&quot;title&quot;:&quot;Simple Peptide Quantification Approach for MS-Based Proteomics Quality Control&quot;,&quot;author&quot;:[{&quot;family&quot;:&quot;Maia&quot;,&quot;given&quot;:&quot;Teresa Mendes&quot;,&quot;parse-names&quot;:false,&quot;dropping-particle&quot;:&quot;&quot;,&quot;non-dropping-particle&quot;:&quot;&quot;},{&quot;family&quot;:&quot;Staes&quot;,&quot;given&quot;:&quot;An&quot;,&quot;parse-names&quot;:false,&quot;dropping-particle&quot;:&quot;&quot;,&quot;non-dropping-particle&quot;:&quot;&quot;},{&quot;family&quot;:&quot;Plasman&quot;,&quot;given&quot;:&quot;Kim&quot;,&quot;parse-names&quot;:false,&quot;dropping-particle&quot;:&quot;&quot;,&quot;non-dropping-particle&quot;:&quot;&quot;},{&quot;family&quot;:&quot;Pauwels&quot;,&quot;given&quot;:&quot;Jarne&quot;,&quot;parse-names&quot;:false,&quot;dropping-particle&quot;:&quot;&quot;,&quot;non-dropping-particle&quot;:&quot;&quot;},{&quot;family&quot;:&quot;Boucher&quot;,&quot;given&quot;:&quot;Katie&quot;,&quot;parse-names&quot;:false,&quot;dropping-particle&quot;:&quot;&quot;,&quot;non-dropping-particle&quot;:&quot;&quot;},{&quot;family&quot;:&quot;Argentini&quot;,&quot;given&quot;:&quot;Andrea&quot;,&quot;parse-names&quot;:false,&quot;dropping-particle&quot;:&quot;&quot;,&quot;non-dropping-particle&quot;:&quot;&quot;},{&quot;family&quot;:&quot;Martens&quot;,&quot;given&quot;:&quot;Lennart&quot;,&quot;parse-names&quot;:false,&quot;dropping-particle&quot;:&quot;&quot;,&quot;non-dropping-particle&quot;:&quot;&quot;},{&quot;family&quot;:&quot;Montoye&quot;,&quot;given&quot;:&quot;Tony&quot;,&quot;parse-names&quot;:false,&quot;dropping-particle&quot;:&quot;&quot;,&quot;non-dropping-particle&quot;:&quot;&quot;},{&quot;family&quot;:&quot;Gevaert&quot;,&quot;given&quot;:&quot;Kris&quot;,&quot;parse-names&quot;:false,&quot;dropping-particle&quot;:&quot;&quot;,&quot;non-dropping-particle&quot;:&quot;&quot;},{&quot;family&quot;:&quot;Impens&quot;,&quot;given&quot;:&quot;Francis&quot;,&quot;parse-names&quot;:false,&quot;dropping-particle&quot;:&quot;&quot;,&quot;non-dropping-particle&quot;:&quot;&quot;}],&quot;container-title&quot;:&quot;ACS Omega&quot;,&quot;DOI&quot;:&quot;10.1021/acsomega.0c00080&quot;,&quot;ISSN&quot;:&quot;24701343&quot;,&quot;issued&quot;:{&quot;date-parts&quot;:[[2020]]},&quot;page&quot;:&quot;6754-6762&quot;,&quot;abstract&quot;:&quot;Despite its growing popularity and use, bottom-up proteomics remains a complex analytical methodology. Its general workflow consists of three main steps: sample preparation, liquid chromatography coupled to tandem mass spectrometry (LC-MS/MS), and computational data analysis. Quality assessment of the different steps and components of this workflow is instrumental to identify technical flaws and avoid loss of precious measurement time and sample material. However, assessment of the extent of sample losses along with the sample preparation protocol, in particular, after proteolytic digestion, is not yet routinely implemented because of the lack of an accurate and straightforward method to quantify peptides. Here, we report on the use of a microfluidic UV/visible spectrophotometer to quantify MS-ready peptides directly in the MS-loading solvent, consuming only 2 μL of sample. We compared the performance of the microfluidic spectrophotometer with a standard device and determined the optimal sample amount for LC-MS/MS analysis on a Q Exactive HF mass spectrometer using a dilution series of a commercial K562 cell digest. A careful evaluation of selected LC and MS parameters allowed us to define 3 μg as an optimal peptide amount to be injected into this particular LC-MS/MS system. Finally, using tryptic digests from human HEK293T cells and showing that injecting equal peptide amounts, rather than approximate ones, result in less variable LC-MS/MS and protein quantification data. The obtained quality improvement together with easy implementation of the approach makes it possible to routinely quantify MS-ready peptides as a next step in daily proteomics quality control.&quot;,&quot;issue&quot;:&quot;12&quot;,&quot;volume&quot;:&quot;5&quot;,&quot;container-title-short&quot;:&quot;&quot;},&quot;isTemporary&quot;:false}]},{&quot;citationID&quot;:&quot;MENDELEY_CITATION_279d8186-caae-4c12-b141-b1515418c37f&quot;,&quot;properties&quot;:{&quot;noteIndex&quot;:0},&quot;isEdited&quot;:false,&quot;manualOverride&quot;:{&quot;isManuallyOverridden&quot;:false,&quot;citeprocText&quot;:&quot;&lt;sup&gt;72&lt;/sup&gt;&quot;,&quot;manualOverrideText&quot;:&quot;&quot;},&quot;citationTag&quot;:&quot;MENDELEY_CITATION_v3_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&quot;,&quot;citationItems&quot;:[{&quot;id&quot;:&quot;61cea75d-da7f-3e4c-ba96-43e4cd011006&quot;,&quot;itemData&quot;:{&quot;type&quot;:&quot;article-journal&quot;,&quot;id&quot;:&quot;61cea75d-da7f-3e4c-ba96-43e4cd011006&quot;,&quot;title&quot;:&quot;More is not always better: Evaluation of 1D and 2D-LC-MS/MS methods for metaproteomics&quot;,&quot;author&quot;:[{&quot;family&quot;:&quot;Hinzke&quot;,&quot;given&quot;:&quot;Tjorven&quot;,&quot;parse-names&quot;:false,&quot;dropping-particle&quot;:&quot;&quot;,&quot;non-dropping-particle&quot;:&quot;&quot;},{&quot;family&quot;:&quot;Kouris&quot;,&quot;given&quot;:&quot;Angela&quot;,&quot;parse-names&quot;:false,&quot;dropping-particle&quot;:&quot;&quot;,&quot;non-dropping-particle&quot;:&quot;&quot;},{&quot;family&quot;:&quot;Hughes&quot;,&quot;given&quot;:&quot;Rebecca Ayme&quot;,&quot;parse-names&quot;:false,&quot;dropping-particle&quot;:&quot;&quot;,&quot;non-dropping-particle&quot;:&quot;&quot;},{&quot;family&quot;:&quot;Strous&quot;,&quot;given&quot;:&quot;Marc&quot;,&quot;parse-names&quot;:false,&quot;dropping-particle&quot;:&quot;&quot;,&quot;non-dropping-particle&quot;:&quot;&quot;},{&quot;family&quot;:&quot;Kleiner&quot;,&quot;given&quot;:&quot;Manuel&quot;,&quot;parse-names&quot;:false,&quot;dropping-particle&quot;:&quot;&quot;,&quot;non-dropping-particle&quot;:&quot;&quot;}],&quot;container-title&quot;:&quot;Frontiers in Microbiology&quot;,&quot;DOI&quot;:&quot;10.3389/fmicb.2019.00238&quot;,&quot;ISSN&quot;:&quot;1664302X&quot;,&quot;issued&quot;:{&quot;date-parts&quot;:[[2019]]},&quot;page&quot;:&quot;1-13&quot;,&quot;abstract&quot;:&quot;Metaproteomics, the study of protein expression in microbial communities, is a versatile tool for environmental microbiology. Achieving sufficiently high metaproteome coverage to obtain a comprehensive picture of the activities and interactions in microbial communities is one of the current challenges in metaproteomics. An essential step to maximize the number of identified proteins is peptide separation via liquid chromatography (LC) prior to mass spectrometry (MS). Thorough optimization and comparison of LC methods for metaproteomics are, however, currently lacking. Here, we present an extensive development and test of different 1D and 2D-LC approaches for metaproteomic peptide separations. We used fully characterized mock community samples to evaluate metaproteomic approaches with very long analytical columns (50 and 75 cm) and long gradients (up to 12 h). We assessed a total of over 20 different 1D and 2D-LC approaches in terms of number of protein groups and unique peptides identified, peptide spectrum matches (PSMs) generated, the ability to detect proteins of low-abundance species, the effect of technical replicate runs on protein identifications and method reproducibility. We show here that, while 1D-LC approaches are faster and easier to set up and lead to more identifications per minute of runtime, 2D-LC approaches allow for a higher overall number of identifications with up to &gt;10,000 protein groups identified. We also compared the 1D and 2D-LC approaches to a standard GeLC workflow, in which proteins are pre-fractionated via gel electrophoresis. This method yielded results comparable to the 2D-LC approaches, however with the drawback of a much increased sample preparation time. Based on our results, we provide recommendations on how to choose the best LC approach for metaproteomics experiments, depending on the study aims.&quot;,&quot;issue&quot;:&quot;FEB&quot;,&quot;volume&quot;:&quot;10&quot;,&quot;container-title-short&quot;:&quot;&quot;},&quot;isTemporary&quot;:false}]},{&quot;citationID&quot;:&quot;MENDELEY_CITATION_a1ee405c-4200-4d0e-aee7-21f5967a9b47&quot;,&quot;properties&quot;:{&quot;noteIndex&quot;:0},&quot;isEdited&quot;:false,&quot;manualOverride&quot;:{&quot;isManuallyOverridden&quot;:false,&quot;citeprocText&quot;:&quot;&lt;sup&gt;71&lt;/sup&gt;&quot;,&quot;manualOverrideText&quot;:&quot;&quot;},&quot;citationTag&quot;:&quot;MENDELEY_CITATION_v3_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&quot;,&quot;citationItems&quot;:[{&quot;id&quot;:&quot;17cd241b-da3e-3a9c-b5ae-4cea6aee830f&quot;,&quot;itemData&quot;:{&quot;type&quot;:&quot;article-journal&quot;,&quot;id&quot;:&quot;17cd241b-da3e-3a9c-b5ae-4cea6aee830f&quot;,&quot;title&quot;:&quot;Simple Peptide Quantification Approach for MS-Based Proteomics Quality Control&quot;,&quot;author&quot;:[{&quot;family&quot;:&quot;Maia&quot;,&quot;given&quot;:&quot;Teresa Mendes&quot;,&quot;parse-names&quot;:false,&quot;dropping-particle&quot;:&quot;&quot;,&quot;non-dropping-particle&quot;:&quot;&quot;},{&quot;family&quot;:&quot;Staes&quot;,&quot;given&quot;:&quot;An&quot;,&quot;parse-names&quot;:false,&quot;dropping-particle&quot;:&quot;&quot;,&quot;non-dropping-particle&quot;:&quot;&quot;},{&quot;family&quot;:&quot;Plasman&quot;,&quot;given&quot;:&quot;Kim&quot;,&quot;parse-names&quot;:false,&quot;dropping-particle&quot;:&quot;&quot;,&quot;non-dropping-particle&quot;:&quot;&quot;},{&quot;family&quot;:&quot;Pauwels&quot;,&quot;given&quot;:&quot;Jarne&quot;,&quot;parse-names&quot;:false,&quot;dropping-particle&quot;:&quot;&quot;,&quot;non-dropping-particle&quot;:&quot;&quot;},{&quot;family&quot;:&quot;Boucher&quot;,&quot;given&quot;:&quot;Katie&quot;,&quot;parse-names&quot;:false,&quot;dropping-particle&quot;:&quot;&quot;,&quot;non-dropping-particle&quot;:&quot;&quot;},{&quot;family&quot;:&quot;Argentini&quot;,&quot;given&quot;:&quot;Andrea&quot;,&quot;parse-names&quot;:false,&quot;dropping-particle&quot;:&quot;&quot;,&quot;non-dropping-particle&quot;:&quot;&quot;},{&quot;family&quot;:&quot;Martens&quot;,&quot;given&quot;:&quot;Lennart&quot;,&quot;parse-names&quot;:false,&quot;dropping-particle&quot;:&quot;&quot;,&quot;non-dropping-particle&quot;:&quot;&quot;},{&quot;family&quot;:&quot;Montoye&quot;,&quot;given&quot;:&quot;Tony&quot;,&quot;parse-names&quot;:false,&quot;dropping-particle&quot;:&quot;&quot;,&quot;non-dropping-particle&quot;:&quot;&quot;},{&quot;family&quot;:&quot;Gevaert&quot;,&quot;given&quot;:&quot;Kris&quot;,&quot;parse-names&quot;:false,&quot;dropping-particle&quot;:&quot;&quot;,&quot;non-dropping-particle&quot;:&quot;&quot;},{&quot;family&quot;:&quot;Impens&quot;,&quot;given&quot;:&quot;Francis&quot;,&quot;parse-names&quot;:false,&quot;dropping-particle&quot;:&quot;&quot;,&quot;non-dropping-particle&quot;:&quot;&quot;}],&quot;container-title&quot;:&quot;ACS Omega&quot;,&quot;DOI&quot;:&quot;10.1021/acsomega.0c00080&quot;,&quot;ISSN&quot;:&quot;24701343&quot;,&quot;issued&quot;:{&quot;date-parts&quot;:[[2020]]},&quot;page&quot;:&quot;6754-6762&quot;,&quot;abstract&quot;:&quot;Despite its growing popularity and use, bottom-up proteomics remains a complex analytical methodology. Its general workflow consists of three main steps: sample preparation, liquid chromatography coupled to tandem mass spectrometry (LC-MS/MS), and computational data analysis. Quality assessment of the different steps and components of this workflow is instrumental to identify technical flaws and avoid loss of precious measurement time and sample material. However, assessment of the extent of sample losses along with the sample preparation protocol, in particular, after proteolytic digestion, is not yet routinely implemented because of the lack of an accurate and straightforward method to quantify peptides. Here, we report on the use of a microfluidic UV/visible spectrophotometer to quantify MS-ready peptides directly in the MS-loading solvent, consuming only 2 μL of sample. We compared the performance of the microfluidic spectrophotometer with a standard device and determined the optimal sample amount for LC-MS/MS analysis on a Q Exactive HF mass spectrometer using a dilution series of a commercial K562 cell digest. A careful evaluation of selected LC and MS parameters allowed us to define 3 μg as an optimal peptide amount to be injected into this particular LC-MS/MS system. Finally, using tryptic digests from human HEK293T cells and showing that injecting equal peptide amounts, rather than approximate ones, result in less variable LC-MS/MS and protein quantification data. The obtained quality improvement together with easy implementation of the approach makes it possible to routinely quantify MS-ready peptides as a next step in daily proteomics quality control.&quot;,&quot;issue&quot;:&quot;12&quot;,&quot;volume&quot;:&quot;5&quot;,&quot;container-title-short&quot;:&quot;&quot;},&quot;isTemporary&quot;:false}]},{&quot;citationID&quot;:&quot;MENDELEY_CITATION_1bad5b5d-2b57-4b81-ba76-3bc81081d4fe&quot;,&quot;properties&quot;:{&quot;noteIndex&quot;:0},&quot;isEdited&quot;:false,&quot;manualOverride&quot;:{&quot;isManuallyOverridden&quot;:false,&quot;citeprocText&quot;:&quot;&lt;sup&gt;73&lt;/sup&gt;&quot;,&quot;manualOverrideText&quot;:&quot;&quot;},&quot;citationTag&quot;:&quot;MENDELEY_CITATION_v3_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&quot;,&quot;citationItems&quot;:[{&quot;id&quot;:&quot;d2e4f305-2eac-3457-b50e-0d229f8be590&quot;,&quot;itemData&quot;:{&quot;type&quot;:&quot;article-journal&quot;,&quot;id&quot;:&quot;d2e4f305-2eac-3457-b50e-0d229f8be590&quot;,&quot;title&quot;:&quot;Electrospray ionization for mass spectrometry of large biomolecules&quot;,&quot;author&quot;:[{&quot;family&quot;:&quot;Fenn&quot;,&quot;given&quot;:&quot;John B.&quot;,&quot;parse-names&quot;:false,&quot;dropping-particle&quot;:&quot;&quot;,&quot;non-dropping-particle&quot;:&quot;&quot;},{&quot;family&quot;:&quot;Mann&quot;,&quot;given&quot;:&quot;Matthias&quot;,&quot;parse-names&quot;:false,&quot;dropping-particle&quot;:&quot;&quot;,&quot;non-dropping-particle&quot;:&quot;&quot;},{&quot;family&quot;:&quot;Meng&quot;,&quot;given&quot;:&quot;Chin Kai&quot;,&quot;parse-names&quot;:false,&quot;dropping-particle&quot;:&quot;&quot;,&quot;non-dropping-particle&quot;:&quot;&quot;},{&quot;family&quot;:&quot;Wong&quot;,&quot;given&quot;:&quot;Shek Fu&quot;,&quot;parse-names&quot;:false,&quot;dropping-particle&quot;:&quot;&quot;,&quot;non-dropping-particle&quot;:&quot;&quot;},{&quot;family&quot;:&quot;Whitehouse&quot;,&quot;given&quot;:&quot;Craig M.&quot;,&quot;parse-names&quot;:false,&quot;dropping-particle&quot;:&quot;&quot;,&quot;non-dropping-particle&quot;:&quot;&quot;}],&quot;container-title&quot;:&quot;Science&quot;,&quot;container-title-short&quot;:&quot;Science (1979)&quot;,&quot;DOI&quot;:&quot;10.1126/science.2675315&quot;,&quot;ISSN&quot;:&quot;00368075&quot;,&quot;PMID&quot;:&quot;2675315&quot;,&quot;issued&quot;:{&quot;date-parts&quot;:[[1989]]},&quot;page&quot;:&quot;64-71&quot;,&quot;abstract&quot;:&quot;Electrospray ionization has recently emerged as a powerful technique for producing intact ions in vacuo from large and complex species in solution. To an extent greater than has previously been possible with the more familiar \&quot;soft\&quot; ionization methods, this technique makes the power and elegance of mass spectrometric analysis applicable to the large and fragile polar molecules that play such vital roles in biological systems. The distinguishing features of electrospray spectra for large molecules are coherent sequences of peaks whose component ions are multiply charged, the ions of each peak differing by one charge from those of adjacent neighbors in the sequence. Spectra have been obtained for biopolymers including oligonucleotides and proteins, the latter having molecular weights up to 130,000, with as yet no evidence of an upper limit.&quot;,&quot;issue&quot;:&quot;4926&quot;,&quot;volume&quot;:&quot;246&quot;},&quot;isTemporary&quot;:false}]},{&quot;citationID&quot;:&quot;MENDELEY_CITATION_f6dcd5fc-981a-45ec-9d6b-e3ceddcd69b0&quot;,&quot;properties&quot;:{&quot;noteIndex&quot;:0},&quot;isEdited&quot;:false,&quot;manualOverride&quot;:{&quot;isManuallyOverridden&quot;:false,&quot;citeprocText&quot;:&quot;&lt;sup&gt;74&lt;/sup&gt;&quot;,&quot;manualOverrideText&quot;:&quot;&quot;},&quot;citationTag&quot;:&quot;MENDELEY_CITATION_v3_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&quot;,&quot;citationItems&quot;:[{&quot;id&quot;:&quot;84d588b9-9f3e-3c12-93e4-04db0548dc2e&quot;,&quot;itemData&quot;:{&quot;type&quot;:&quot;article-journal&quot;,&quot;id&quot;:&quot;84d588b9-9f3e-3c12-93e4-04db0548dc2e&quot;,&quot;title&quot;:&quot;Laser Desorption Ionization of Proteins with Molecular Masses Exceeding 10 000 Daltons&quot;,&quot;author&quot;:[{&quot;family&quot;:&quot;Karas&quot;,&quot;given&quot;:&quot;Michael&quot;,&quot;parse-names&quot;:false,&quot;dropping-particle&quot;:&quot;&quot;,&quot;non-dropping-particle&quot;:&quot;&quot;},{&quot;family&quot;:&quot;Hillenkamp&quot;,&quot;given&quot;:&quot;Franz&quot;,&quot;parse-names&quot;:false,&quot;dropping-particle&quot;:&quot;&quot;,&quot;non-dropping-particle&quot;:&quot;&quot;}],&quot;container-title&quot;:&quot;Analytical Chemistry&quot;,&quot;DOI&quot;:&quot;10.1021/ac00171a028&quot;,&quot;ISSN&quot;:&quot;15206882&quot;,&quot;PMID&quot;:&quot;3239801&quot;,&quot;issued&quot;:{&quot;date-parts&quot;:[[1988]]},&quot;page&quot;:&quot;2299-2301&quot;,&quot;issue&quot;:&quot;20&quot;,&quot;volume&quot;:&quot;60&quot;,&quot;container-title-short&quot;:&quot;&quot;},&quot;isTemporary&quot;:false}]},{&quot;citationID&quot;:&quot;MENDELEY_CITATION_17232eb1-8f15-4855-a68e-24754de8690b&quot;,&quot;properties&quot;:{&quot;noteIndex&quot;:0},&quot;isEdited&quot;:false,&quot;manualOverride&quot;:{&quot;isManuallyOverridden&quot;:false,&quot;citeprocText&quot;:&quot;&lt;sup&gt;75&lt;/sup&gt;&quot;,&quot;manualOverrideText&quot;:&quot;&quot;},&quot;citationTag&quot;:&quot;MENDELEY_CITATION_v3_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&quot;,&quot;citationItems&quot;:[{&quot;id&quot;:&quot;0988a540-735c-37d5-871e-f9626936fe10&quot;,&quot;itemData&quot;:{&quot;type&quot;:&quot;article-journal&quot;,&quot;id&quot;:&quot;0988a540-735c-37d5-871e-f9626936fe10&quot;,&quot;title&quot;:&quot;Mass spectrometry, review of the basics: Ionization&quot;,&quot;author&quot;:[{&quot;family&quot;:&quot;Awad&quot;,&quot;given&quot;:&quot;Hanan&quot;,&quot;parse-names&quot;:false,&quot;dropping-particle&quot;:&quot;&quot;,&quot;non-dropping-particle&quot;:&quot;&quot;},{&quot;family&quot;:&quot;Khamis&quot;,&quot;given&quot;:&quot;Mona M.&quot;,&quot;parse-names&quot;:false,&quot;dropping-particle&quot;:&quot;&quot;,&quot;non-dropping-particle&quot;:&quot;&quot;},{&quot;family&quot;:&quot;El-Aneed&quot;,&quot;given&quot;:&quot;Anas&quot;,&quot;parse-names&quot;:false,&quot;dropping-particle&quot;:&quot;&quot;,&quot;non-dropping-particle&quot;:&quot;&quot;}],&quot;container-title&quot;:&quot;Applied Spectroscopy Reviews&quot;,&quot;DOI&quot;:&quot;10.1080/05704928.2014.954046&quot;,&quot;ISSN&quot;:&quot;1520569X&quot;,&quot;issued&quot;:{&quot;date-parts&quot;:[[2015]]},&quot;page&quot;:&quot;158-175&quot;,&quot;abstract&quot;:&quot;Mass spectrometry (MS) has become an integral tool in life sciences. The first step in MS analysis is ion formation (ionization). Many ionization methods currently exist; electrospray ionization (ESI) and matrix-assisted laser desorption ionization (MALDI) are the most commonly used. ESI relies on the formation of charged droplets releasing ions from the surface (ion evaporation model) or via complete solvent evaporation (charge residual model). MALDI ionization, however, is facilitated via laser energy and the use of a matrix. Despite wide use, ESI cannot efficiently ionize nonpolar compounds. Atmospheric pressure chemical ionization (APCI) and atmospheric pressure photo ionization (APPI) are better suited for such tasks. APPI requires photon energy and a dopant, whereas APCI is similar to chemical ionization. In 2004, ambient MS was introduced in which ionization occurs at the sample in its native form. Desorption electrospray ionization (DESI) and direct analysis in real time (DART) are the most widely used methods. In this mini-review, we provide an overview of the main ionization methods and the mechanisms of ion formation. This article is educational and intended for students/researchers who are not very familiar with MS and would like to learn the basics; it is not for MS experts.&quot;,&quot;issue&quot;:&quot;2&quot;,&quot;volume&quot;:&quot;50&quot;,&quot;container-title-short&quot;:&quot;&quot;},&quot;isTemporary&quot;:false}]},{&quot;citationID&quot;:&quot;MENDELEY_CITATION_d71fc436-b8b9-4805-b403-9342b1314533&quot;,&quot;properties&quot;:{&quot;noteIndex&quot;:0},&quot;isEdited&quot;:false,&quot;manualOverride&quot;:{&quot;isManuallyOverridden&quot;:false,&quot;citeprocText&quot;:&quot;&lt;sup&gt;76&lt;/sup&gt;&quot;,&quot;manualOverrideText&quot;:&quot;&quot;},&quot;citationTag&quot;:&quot;MENDELEY_CITATION_v3_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&quot;,&quot;citationItems&quot;:[{&quot;id&quot;:&quot;e603f8ce-98d2-329f-bbc6-36080a3f2620&quot;,&quot;itemData&quot;:{&quot;type&quot;:&quot;article-journal&quot;,&quot;id&quot;:&quot;e603f8ce-98d2-329f-bbc6-36080a3f2620&quot;,&quot;title&quot;:&quot;Electrospray: From Ions in solution to Ions in the gas phase, what we know now&quot;,&quot;author&quot;:[{&quot;family&quot;:&quot;Kebarle&quot;,&quot;given&quot;:&quot;Paul&quot;,&quot;parse-names&quot;:false,&quot;dropping-particle&quot;:&quot;&quot;,&quot;non-dropping-particle&quot;:&quot;&quot;},{&quot;family&quot;:&quot;Verkcerk&quot;,&quot;given&quot;:&quot;Udo H.&quot;,&quot;parse-names&quot;:false,&quot;dropping-particle&quot;:&quot;&quot;,&quot;non-dropping-particle&quot;:&quot;&quot;}],&quot;container-title&quot;:&quot;Mass Spectrometry Reviews&quot;,&quot;DOI&quot;:&quot;10.1002/mas.20247&quot;,&quot;ISSN&quot;:&quot;02777037&quot;,&quot;issued&quot;:{&quot;date-parts&quot;:[[2009]]},&quot;page&quot;:&quot;898-917&quot;,&quot;abstract&quot;:&quot;There is an advantage for users of electrospray and nanospray mass spectrometry to have an understanding of the processes involved in the conversion of the ions present in the solution to ions in the gas phase. The following processes are considered: Creation of charge droplets at the capillary tip; Electrical potentials required and possibility of gas discharges; Evolution of charged droplets, due to solvent evaporation and Coulomb explosions, to very small droplets that are the precursors of the gas phase ions; Production of gas phase ions from these droplets via the Ion Evaporation and Charge residue models; Analytical uses of ESIMS of small ions, qualitative and quantitative analysis; Effects of the ESI mechanism on the analysis of proteins and protein complexes; Determination of stability constants of protein complexes; Role of additives such as ammonium acetate on the observed mass spectra. © 2009 Wiley Periodicals, Inc.&quot;,&quot;issue&quot;:&quot;6&quot;,&quot;volume&quot;:&quot;28&quot;,&quot;container-title-short&quot;:&quot;&quot;},&quot;isTemporary&quot;:false}]},{&quot;citationID&quot;:&quot;MENDELEY_CITATION_c97b6138-11d4-4415-bea4-e310ae83057d&quot;,&quot;properties&quot;:{&quot;noteIndex&quot;:0},&quot;isEdited&quot;:false,&quot;manualOverride&quot;:{&quot;isManuallyOverridden&quot;:false,&quot;citeprocText&quot;:&quot;&lt;sup&gt;76&lt;/sup&gt;&quot;,&quot;manualOverrideText&quot;:&quot;&quot;},&quot;citationTag&quot;:&quot;MENDELEY_CITATION_v3_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&quot;,&quot;citationItems&quot;:[{&quot;id&quot;:&quot;e603f8ce-98d2-329f-bbc6-36080a3f2620&quot;,&quot;itemData&quot;:{&quot;type&quot;:&quot;article-journal&quot;,&quot;id&quot;:&quot;e603f8ce-98d2-329f-bbc6-36080a3f2620&quot;,&quot;title&quot;:&quot;Electrospray: From Ions in solution to Ions in the gas phase, what we know now&quot;,&quot;author&quot;:[{&quot;family&quot;:&quot;Kebarle&quot;,&quot;given&quot;:&quot;Paul&quot;,&quot;parse-names&quot;:false,&quot;dropping-particle&quot;:&quot;&quot;,&quot;non-dropping-particle&quot;:&quot;&quot;},{&quot;family&quot;:&quot;Verkcerk&quot;,&quot;given&quot;:&quot;Udo H.&quot;,&quot;parse-names&quot;:false,&quot;dropping-particle&quot;:&quot;&quot;,&quot;non-dropping-particle&quot;:&quot;&quot;}],&quot;container-title&quot;:&quot;Mass Spectrometry Reviews&quot;,&quot;DOI&quot;:&quot;10.1002/mas.20247&quot;,&quot;ISSN&quot;:&quot;02777037&quot;,&quot;issued&quot;:{&quot;date-parts&quot;:[[2009]]},&quot;page&quot;:&quot;898-917&quot;,&quot;abstract&quot;:&quot;There is an advantage for users of electrospray and nanospray mass spectrometry to have an understanding of the processes involved in the conversion of the ions present in the solution to ions in the gas phase. The following processes are considered: Creation of charge droplets at the capillary tip; Electrical potentials required and possibility of gas discharges; Evolution of charged droplets, due to solvent evaporation and Coulomb explosions, to very small droplets that are the precursors of the gas phase ions; Production of gas phase ions from these droplets via the Ion Evaporation and Charge residue models; Analytical uses of ESIMS of small ions, qualitative and quantitative analysis; Effects of the ESI mechanism on the analysis of proteins and protein complexes; Determination of stability constants of protein complexes; Role of additives such as ammonium acetate on the observed mass spectra. © 2009 Wiley Periodicals, Inc.&quot;,&quot;issue&quot;:&quot;6&quot;,&quot;volume&quot;:&quot;28&quot;,&quot;container-title-short&quot;:&quot;&quot;},&quot;isTemporary&quot;:false}]},{&quot;citationID&quot;:&quot;MENDELEY_CITATION_75b56ffd-8cb2-4006-854b-c8334c57dcdc&quot;,&quot;properties&quot;:{&quot;noteIndex&quot;:0},&quot;isEdited&quot;:false,&quot;manualOverride&quot;:{&quot;isManuallyOverridden&quot;:false,&quot;citeprocText&quot;:&quot;&lt;sup&gt;77&lt;/sup&gt;&quot;,&quot;manualOverrideText&quot;:&quot;&quot;},&quot;citationTag&quot;:&quot;MENDELEY_CITATION_v3_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&quot;,&quot;citationItems&quot;:[{&quot;id&quot;:&quot;c8a94c6d-a7ff-318f-95b0-2472f0735b28&quot;,&quot;itemData&quot;:{&quot;type&quot;:&quot;article-journal&quot;,&quot;id&quot;:&quot;c8a94c6d-a7ff-318f-95b0-2472f0735b28&quot;,&quot;title&quot;:&quot;Electrospray Ionization Mass Spectrometry: A Technique to Access the Information beyond the Molecular Weight of the Analyte&quot;,&quot;author&quot;:[{&quot;family&quot;:&quot;Banerjee&quot;,&quot;given&quot;:&quot;Shibdas&quot;,&quot;parse-names&quot;:false,&quot;dropping-particle&quot;:&quot;&quot;,&quot;non-dropping-particle&quot;:&quot;&quot;},{&quot;family&quot;:&quot;Mazumdar&quot;,&quot;given&quot;:&quot;Shyamalava&quot;,&quot;parse-names&quot;:false,&quot;dropping-particle&quot;:&quot;&quot;,&quot;non-dropping-particle&quot;:&quot;&quot;}],&quot;container-title&quot;:&quot;International Journal of Analytical Chemistry&quot;,&quot;DOI&quot;:&quot;10.1155/2012/282574&quot;,&quot;ISSN&quot;:&quot;1687-8760&quot;,&quot;PMID&quot;:&quot;22611397&quot;,&quot;issued&quot;:{&quot;date-parts&quot;:[[2012]]},&quot;page&quot;:&quot;1-40&quot;,&quot;abstract&quot;:&quot;The Electrospray Ionization (ESI) is a soft ionization technique extensively used for production of gas phase ions (without fragmentation) of thermally labile large supramolecules. In the present review we have described the development of Electrospray Ionization mass spectrometry (ESI-MS) during the last 25 years in the study of various properties of different types of biological molecules. There have been extensive studies on the mechanism of formation of charged gaseous species by the ESI. Several groups have investigated the origin and implications of the multiple charge states of proteins observed in the ESI-mass spectra of the proteins. The charged analytes produced by ESI can be fragmented by activating them in the gas-phase, and thus tandem mass spectrometry has been developed, which provides very important insights on the structural properties of the molecule. The review will highlight recent developments and emerging directions in this fascinating area of research.&quot;,&quot;issue&quot;:&quot;January&quot;,&quot;volume&quot;:&quot;2012&quot;,&quot;container-title-short&quot;:&quot;&quot;},&quot;isTemporary&quot;:false}]},{&quot;citationID&quot;:&quot;MENDELEY_CITATION_02719ba8-4f44-411f-923d-33567bce0859&quot;,&quot;properties&quot;:{&quot;noteIndex&quot;:0},&quot;isEdited&quot;:false,&quot;manualOverride&quot;:{&quot;isManuallyOverridden&quot;:false,&quot;citeprocText&quot;:&quot;&lt;sup&gt;78&lt;/sup&gt;&quot;,&quot;manualOverrideText&quot;:&quot;&quot;},&quot;citationTag&quot;:&quot;MENDELEY_CITATION_v3_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&quot;,&quot;citationItems&quot;:[{&quot;id&quot;:&quot;1bc9f253-9fd7-3caa-a433-69569fe356dc&quot;,&quot;itemData&quot;:{&quot;type&quot;:&quot;article-journal&quot;,&quot;id&quot;:&quot;1bc9f253-9fd7-3caa-a433-69569fe356dc&quot;,&quot;title&quot;:&quot;From Ions in Solution To Ions in the Gas Phase&quot;,&quot;author&quot;:[{&quot;family&quot;:&quot;Kebarle&quot;,&quot;given&quot;:&quot;Paul&quot;,&quot;parse-names&quot;:false,&quot;dropping-particle&quot;:&quot;&quot;,&quot;non-dropping-particle&quot;:&quot;&quot;},{&quot;family&quot;:&quot;Tang&quot;,&quot;given&quot;:&quot;Liang&quot;,&quot;parse-names&quot;:false,&quot;dropping-particle&quot;:&quot;&quot;,&quot;non-dropping-particle&quot;:&quot;&quot;}],&quot;container-title&quot;:&quot;Analytical Chemistry&quot;,&quot;DOI&quot;:&quot;10.1021/ac00070a715&quot;,&quot;ISSN&quot;:&quot;0003-2700&quot;,&quot;issued&quot;:{&quot;date-parts&quot;:[[1993]]},&quot;page&quot;:&quot;972A-986A&quot;,&quot;abstract&quot;:&quot;It is no exaggeration to say that close to half of inorganic chemistry, or- ganic chemistry, and biochemistry involves ions in solution. A technique that allows ions to be transferred from solution to the gas phase and subjected to mass spectrometric analysis should therefore be of enor- mous importance. Electrospray (ES) is such a technique. The transfer of ions from the gas phase to solution is a natural pro- cess. In the presence of solvent mole- cules such as H20, naked gas-phase ions such as H3 0 + or Na+ will spon- taneously form ion-solvent molecule clusters such as H30+(H20)M and Na+(H20)„. If the pressure of the sol- vent vapor is somewhat above the saturation vapor pressure, these clusters will grow to small droplets. To visualize this process one needs only to think of the Wilson cloud chamber, where such a process occurs in front of one's eyes. In the past 30 years mass spectrometric studies of ion-molecule clus- ters in the gas phase (1) have con- tributed much to the understanding of ion-solvent molecule interactions in solution. It is much easier to understand the nature of the ion - solvent bonding when the ion interacts with only one or a few solvent molecules, and it is these initial interactions that dominate ion solva- tion in solution (I). T&quot;,&quot;issue&quot;:&quot;22&quot;,&quot;volume&quot;:&quot;65&quot;,&quot;container-title-short&quot;:&quot;&quot;},&quot;isTemporary&quot;:false}]},{&quot;citationID&quot;:&quot;MENDELEY_CITATION_34b0ea05-6267-4e60-a41d-0c679a39f1df&quot;,&quot;properties&quot;:{&quot;noteIndex&quot;:0},&quot;isEdited&quot;:false,&quot;manualOverride&quot;:{&quot;isManuallyOverridden&quot;:false,&quot;citeprocText&quot;:&quot;&lt;sup&gt;79&lt;/sup&gt;&quot;,&quot;manualOverrideText&quot;:&quot;&quot;},&quot;citationTag&quot;:&quot;MENDELEY_CITATION_v3_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&quot;,&quot;citationItems&quot;:[{&quot;id&quot;:&quot;363cbccb-48a1-3747-9bbf-62d1afffbb29&quot;,&quot;itemData&quot;:{&quot;type&quot;:&quot;article-journal&quot;,&quot;id&quot;:&quot;363cbccb-48a1-3747-9bbf-62d1afffbb29&quot;,&quot;title&quot;:&quot;Mechanistic investigation of ionization suppression in electrospray ionization&quot;,&quot;author&quot;:[{&quot;family&quot;:&quot;King&quot;,&quot;given&quot;:&quot;Richard&quot;,&quot;parse-names&quot;:false,&quot;dropping-particle&quot;:&quot;&quot;,&quot;non-dropping-particle&quot;:&quot;&quot;},{&quot;family&quot;:&quot;Bonfiglio&quot;,&quot;given&quot;:&quot;Ryan&quot;,&quot;parse-names&quot;:false,&quot;dropping-particle&quot;:&quot;&quot;,&quot;non-dropping-particle&quot;:&quot;&quot;},{&quot;family&quot;:&quot;Fernandez-Metzler&quot;,&quot;given&quot;:&quot;Carmen&quot;,&quot;parse-names&quot;:false,&quot;dropping-particle&quot;:&quot;&quot;,&quot;non-dropping-particle&quot;:&quot;&quot;},{&quot;family&quot;:&quot;Miller-Stein&quot;,&quot;given&quot;:&quot;Cynthia&quot;,&quot;parse-names&quot;:false,&quot;dropping-particle&quot;:&quot;&quot;,&quot;non-dropping-particle&quot;:&quot;&quot;},{&quot;family&quot;:&quot;Olah&quot;,&quot;given&quot;:&quot;Timothy&quot;,&quot;parse-names&quot;:false,&quot;dropping-particle&quot;:&quot;&quot;,&quot;non-dropping-particle&quot;:&quot;&quot;}],&quot;container-title&quot;:&quot;Journal of the American Society for Mass Spectrometry&quot;,&quot;container-title-short&quot;:&quot;J Am Soc Mass Spectrom&quot;,&quot;DOI&quot;:&quot;10.1016/S1044-0305(00)00163-X&quot;,&quot;ISSN&quot;:&quot;10440305&quot;,&quot;PMID&quot;:&quot;11073257&quot;,&quot;issued&quot;:{&quot;date-parts&quot;:[[2000]]},&quot;page&quot;:&quot;942-950&quot;,&quot;abstract&quot;:&quot;We show results from experiments designed to determine the relative importance of gas phase processes and solution phase processes into ionization suppression observed in biological sample extracts. The data indicate that gas phase reactions leading to the loss of net charge on the analyte is not likely to be the most important process involved in ionization suppression. The results point to changes in the droplet solution properties caused by the presence of nonvolatile solutes as the main cause of ionization suppression in electrospray ionization of biological extracts. Copyright © 2000 American Society for Mass Spectrometry.&quot;,&quot;issue&quot;:&quot;11&quot;,&quot;volume&quot;:&quot;11&quot;},&quot;isTemporary&quot;:false}]},{&quot;citationID&quot;:&quot;MENDELEY_CITATION_4cc127a9-baec-4ec5-abc9-9b7ee01e2e4a&quot;,&quot;properties&quot;:{&quot;noteIndex&quot;:0},&quot;isEdited&quot;:false,&quot;manualOverride&quot;:{&quot;isManuallyOverridden&quot;:false,&quot;citeprocText&quot;:&quot;&lt;sup&gt;55&lt;/sup&gt;&quot;,&quot;manualOverrideText&quot;:&quot;&quot;},&quot;citationTag&quot;:&quot;MENDELEY_CITATION_v3_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&quot;,&quot;citationItems&quot;:[{&quot;id&quot;:&quot;db43c404-79c1-3f59-b442-723e0a5146ea&quot;,&quot;itemData&quot;:{&quot;type&quot;:&quot;article-journal&quot;,&quot;id&quot;:&quot;db43c404-79c1-3f59-b442-723e0a5146ea&quot;,&quot;title&quot;:&quot;Ion suppression in mass spectrometry&quot;,&quot;author&quot;:[{&quot;family&quot;:&quot;Annesley&quot;,&quot;given&quot;:&quot;Thomas M.&quot;,&quot;parse-names&quot;:false,&quot;dropping-particle&quot;:&quot;&quot;,&quot;non-dropping-particle&quot;:&quot;&quot;}],&quot;container-title&quot;:&quot;Clinical Chemistry&quot;,&quot;DOI&quot;:&quot;10.1373/49.7.1041&quot;,&quot;ISSN&quot;:&quot;00099147&quot;,&quot;PMID&quot;:&quot;12816898&quot;,&quot;issued&quot;:{&quot;date-parts&quot;:[[2003]]},&quot;page&quot;:&quot;1041-1044&quot;,&quot;abstract&quot;:&quot;Background: Mass spectrometry (MS) is being introduced into a large number of clinical laboratories. It provides specificity because of its ability to monitor selected mass ions, sensitivity because of the enhanced signal-to-noise ratio, and speed because it can help avoid the need for intensive sample cleanup and long analysis times. However, MS is not without problems related to interference, especially through ion suppression effects. Ion suppression results from the presence of less volatile compounds that can change the efficiency of droplet formation or droplet evaporation, which in turn affects the amount of charged ion in the gas phase that ultimately reaches the detector. Content: This review discusses materials shown to cause ion suppression, including salts, ion-pairing agents, endogenous compounds, drugs, metabolites, and proteins. Experimental protocols for examining ion suppression, which should include, at a minimum, signal recovery studies using specimen extracts with added analyte, are also discussed, and a more comprehensive approach is presented that uses postcolumn infusion of the analyte to evaluate protracted ionization effects. Finally, this review presents options for minimizing or correcting ion suppression, which include enhanced specimen cleanup, chromatographic changes, reagent modifications, and effective internal standardization. Summary: Whenever mass spectrometric assays are developed, ion suppression studies should be performed using expected physiologic concentrations of the analyte under investigation. © 2003 American Association for Clinical Chemistry.&quot;,&quot;issue&quot;:&quot;7&quot;,&quot;volume&quot;:&quot;49&quot;,&quot;container-title-short&quot;:&quot;&quot;},&quot;isTemporary&quot;:false}]},{&quot;citationID&quot;:&quot;MENDELEY_CITATION_32c53a28-5aeb-4564-ad61-ecfb696c6aa9&quot;,&quot;properties&quot;:{&quot;noteIndex&quot;:0},&quot;isEdited&quot;:false,&quot;manualOverride&quot;:{&quot;isManuallyOverridden&quot;:false,&quot;citeprocText&quot;:&quot;&lt;sup&gt;75&lt;/sup&gt;&quot;,&quot;manualOverrideText&quot;:&quot;&quot;},&quot;citationTag&quot;:&quot;MENDELEY_CITATION_v3_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&quot;,&quot;citationItems&quot;:[{&quot;id&quot;:&quot;0988a540-735c-37d5-871e-f9626936fe10&quot;,&quot;itemData&quot;:{&quot;type&quot;:&quot;article-journal&quot;,&quot;id&quot;:&quot;0988a540-735c-37d5-871e-f9626936fe10&quot;,&quot;title&quot;:&quot;Mass spectrometry, review of the basics: Ionization&quot;,&quot;author&quot;:[{&quot;family&quot;:&quot;Awad&quot;,&quot;given&quot;:&quot;Hanan&quot;,&quot;parse-names&quot;:false,&quot;dropping-particle&quot;:&quot;&quot;,&quot;non-dropping-particle&quot;:&quot;&quot;},{&quot;family&quot;:&quot;Khamis&quot;,&quot;given&quot;:&quot;Mona M.&quot;,&quot;parse-names&quot;:false,&quot;dropping-particle&quot;:&quot;&quot;,&quot;non-dropping-particle&quot;:&quot;&quot;},{&quot;family&quot;:&quot;El-Aneed&quot;,&quot;given&quot;:&quot;Anas&quot;,&quot;parse-names&quot;:false,&quot;dropping-particle&quot;:&quot;&quot;,&quot;non-dropping-particle&quot;:&quot;&quot;}],&quot;container-title&quot;:&quot;Applied Spectroscopy Reviews&quot;,&quot;DOI&quot;:&quot;10.1080/05704928.2014.954046&quot;,&quot;ISSN&quot;:&quot;1520569X&quot;,&quot;issued&quot;:{&quot;date-parts&quot;:[[2015]]},&quot;page&quot;:&quot;158-175&quot;,&quot;abstract&quot;:&quot;Mass spectrometry (MS) has become an integral tool in life sciences. The first step in MS analysis is ion formation (ionization). Many ionization methods currently exist; electrospray ionization (ESI) and matrix-assisted laser desorption ionization (MALDI) are the most commonly used. ESI relies on the formation of charged droplets releasing ions from the surface (ion evaporation model) or via complete solvent evaporation (charge residual model). MALDI ionization, however, is facilitated via laser energy and the use of a matrix. Despite wide use, ESI cannot efficiently ionize nonpolar compounds. Atmospheric pressure chemical ionization (APCI) and atmospheric pressure photo ionization (APPI) are better suited for such tasks. APPI requires photon energy and a dopant, whereas APCI is similar to chemical ionization. In 2004, ambient MS was introduced in which ionization occurs at the sample in its native form. Desorption electrospray ionization (DESI) and direct analysis in real time (DART) are the most widely used methods. In this mini-review, we provide an overview of the main ionization methods and the mechanisms of ion formation. This article is educational and intended for students/researchers who are not very familiar with MS and would like to learn the basics; it is not for MS experts.&quot;,&quot;issue&quot;:&quot;2&quot;,&quot;volume&quot;:&quot;50&quot;,&quot;container-title-short&quot;:&quot;&quot;},&quot;isTemporary&quot;:false}]},{&quot;citationID&quot;:&quot;MENDELEY_CITATION_7b87d235-cfe9-4d87-a19d-e494ec6ff459&quot;,&quot;properties&quot;:{&quot;noteIndex&quot;:0},&quot;isEdited&quot;:false,&quot;manualOverride&quot;:{&quot;isManuallyOverridden&quot;:false,&quot;citeprocText&quot;:&quot;&lt;sup&gt;80,81&lt;/sup&gt;&quot;,&quot;manualOverrideText&quot;:&quot;&quot;},&quot;citationTag&quot;:&quot;MENDELEY_CITATION_v3_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&quot;,&quot;citationItems&quot;:[{&quot;id&quot;:&quot;de00be3a-b751-3acd-8393-fde603188daf&quot;,&quot;itemData&quot;:{&quot;type&quot;:&quot;article-journal&quot;,&quot;id&quot;:&quot;de00be3a-b751-3acd-8393-fde603188daf&quot;,&quot;title&quot;:&quot;Signal suppression/enhancement in high-performance liquid chromatography tandem mass spectrometry&quot;,&quot;author&quot;:[{&quot;family&quot;:&quot;Gosetti&quot;,&quot;given&quot;:&quot;Fabio&quot;,&quot;parse-names&quot;:false,&quot;dropping-particle&quot;:&quot;&quot;,&quot;non-dropping-particle&quot;:&quot;&quot;},{&quot;family&quot;:&quot;Mazzucco&quot;,&quot;given&quot;:&quot;Eleonora&quot;,&quot;parse-names&quot;:false,&quot;dropping-particle&quot;:&quot;&quot;,&quot;non-dropping-particle&quot;:&quot;&quot;},{&quot;family&quot;:&quot;Zampieri&quot;,&quot;given&quot;:&quot;Davide&quot;,&quot;parse-names&quot;:false,&quot;dropping-particle&quot;:&quot;&quot;,&quot;non-dropping-particle&quot;:&quot;&quot;},{&quot;family&quot;:&quot;Gennaro&quot;,&quot;given&quot;:&quot;Maria Carla&quot;,&quot;parse-names&quot;:false,&quot;dropping-particle&quot;:&quot;&quot;,&quot;non-dropping-particle&quot;:&quot;&quot;}],&quot;container-title&quot;:&quot;Journal of Chromatography A&quot;,&quot;DOI&quot;:&quot;10.1016/j.chroma.2009.11.060&quot;,&quot;ISSN&quot;:&quot;00219673&quot;,&quot;PMID&quot;:&quot;20004403&quot;,&quot;URL&quot;:&quot;http://dx.doi.org/10.1016/j.chroma.2009.11.060&quot;,&quot;issued&quot;:{&quot;date-parts&quot;:[[2010]]},&quot;page&quot;:&quot;3929-3937&quot;,&quot;abstract&quot;:&quot;The review discusses the pitfalls of the matrix effect in mass spectrometry detection hyphenated to liquid chromatography separation. Matrix effect heavily influences both qualitative and quantitative analyses, giving rise to suppression or enhancement of the signal. As generally recognised, the predominant cause is the presence of undesired components that co-elute in the chromatographic separation and alter the ionisation process. The interfering species can be components of the sample, compounds released during the pre-treatment/extraction process or reagents added to the mobile phase to improve chromatographic resolution. The different mechanisms proposed in literature to explain the suppression or the enhancement of the signal both in electrospray and atmospheric pressure chemical ionisations are presented and the results observed in the different experimental conditions are compared and discussed. All data together lead to conclude that the chemical properties of the target analyte, the kind of matrix, the matrix to analyte concentration ratio, the extraction process, the chromatographic conditions as well as the kind of the mass spectrometry instrumentation and the ionisation conditions can play a role. Likely all these potential causes act in a synergic way and the final effect observed is hardly due to only one of them. Depending on an unpredictable combination of conditions, signal suppression or enhancement can be observed. The review discusses the matrix effects observed in HPLC-MS and HPLC-MS/MS analysis proposes hypotheses to explain the observed behaviours and proposes methods and strategies to overcome the matrix effects. © 2009 Elsevier B.V.&quot;,&quot;publisher&quot;:&quot;Elsevier B.V.&quot;,&quot;issue&quot;:&quot;25&quot;,&quot;volume&quot;:&quot;1217&quot;,&quot;container-title-short&quot;:&quot;&quot;},&quot;isTemporary&quot;:false},{&quot;id&quot;:&quot;24ceaf12-0569-3f20-9f29-1a0bfdb12481&quot;,&quot;itemData&quot;:{&quot;type&quot;:&quot;article-journal&quot;,&quot;id&quot;:&quot;24ceaf12-0569-3f20-9f29-1a0bfdb12481&quot;,&quot;title&quot;:&quot;Analytical properties of the nanoelectrospray ion source&quot;,&quot;author&quot;:[{&quot;family&quot;:&quot;Wilm&quot;,&quot;given&quot;:&quot;Matthias&quot;,&quot;parse-names&quot;:false,&quot;dropping-particle&quot;:&quot;&quot;,&quot;non-dropping-particle&quot;:&quot;&quot;},{&quot;family&quot;:&quot;Mann&quot;,&quot;given&quot;:&quot;Matthias&quot;,&quot;parse-names&quot;:false,&quot;dropping-particle&quot;:&quot;&quot;,&quot;non-dropping-particle&quot;:&quot;&quot;}],&quot;container-title&quot;:&quot;Analytical Chemistry&quot;,&quot;DOI&quot;:&quot;10.1021/ac9509519&quot;,&quot;ISSN&quot;:&quot;00032700&quot;,&quot;PMID&quot;:&quot;8779426&quot;,&quot;issued&quot;:{&quot;date-parts&quot;:[[1996]]},&quot;page&quot;:&quot;1-8&quot;,&quot;abstract&quot;:&quot;The nanoelectrospray ion source (nanoES) has recently been developed and described theoretically. It is different from conventional electrospray sources and from other miniaturized electrospray sources by (i) its 1-2 μm spraying orifice achieved by pulling the spraying capillary to a fine tip, (ii) its very low flow rate of ∼20 nL/min and the small size of droplets it generates, and (iii) the absence of solvent pumps and inlet valves. The fabrication and operation of nanoES needles is described in detail. Solutions with up to 0.1 M salt contents could be sprayed without sheath flow or pneumatic assist. Improved desolvation in nanoES led to instrument-limited resolution of the signals of a glycoprotein and the ability to signal average extensively allowed the C-terminal sequencing of a 40 kDa protein. Extensive mass spectrometric and tandem mass spectrometric investigation of the components of an unseparated peptide mixture was demonstrated by verification of 93% of the sequence of carbonic anhydrase. A rapid and robust desalting/concentration step coupled to the nanoES procedure allows the direct analysis of impure samples such as peptide mixtures extracted after in-gel digestion.&quot;,&quot;issue&quot;:&quot;1&quot;,&quot;volume&quot;:&quot;68&quot;,&quot;container-title-short&quot;:&quot;&quot;},&quot;isTemporary&quot;:false}]},{&quot;citationID&quot;:&quot;MENDELEY_CITATION_bae720b3-a3d1-479d-ac24-18f153dd89b4&quot;,&quot;properties&quot;:{&quot;noteIndex&quot;:0},&quot;isEdited&quot;:false,&quot;manualOverride&quot;:{&quot;isManuallyOverridden&quot;:false,&quot;citeprocText&quot;:&quot;&lt;sup&gt;82&lt;/sup&gt;&quot;,&quot;manualOverrideText&quot;:&quot;&quot;},&quot;citationTag&quot;:&quot;MENDELEY_CITATION_v3_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&quot;,&quot;citationItems&quot;:[{&quot;id&quot;:&quot;0d0766b2-fd42-358f-b132-7cf3da771ba2&quot;,&quot;itemData&quot;:{&quot;type&quot;:&quot;article-journal&quot;,&quot;id&quot;:&quot;0d0766b2-fd42-358f-b132-7cf3da771ba2&quot;,&quot;title&quot;:&quot;Introduction to Mass Spectrometry, a Tutorial&quot;,&quot;author&quot;:[{&quot;family&quot;:&quot;Niessen&quot;,&quot;given&quot;:&quot;Wilfried M.A.&quot;,&quot;parse-names&quot;:false,&quot;dropping-particle&quot;:&quot;&quot;,&quot;non-dropping-particle&quot;:&quot;&quot;},{&quot;family&quot;:&quot;Falck&quot;,&quot;given&quot;:&quot;David&quot;,&quot;parse-names&quot;:false,&quot;dropping-particle&quot;:&quot;&quot;,&quot;non-dropping-particle&quot;:&quot;&quot;}],&quot;container-title&quot;:&quot;Analyzing Biomolecular Interactions by Mass Spectrometry&quot;,&quot;DOI&quot;:&quot;10.1002/9783527673391.ch1&quot;,&quot;ISBN&quot;:&quot;9783527673391&quot;,&quot;issued&quot;:{&quot;date-parts&quot;:[[2013]]},&quot;page&quot;:&quot;1-54&quot;,&quot;abstract&quot;:&quot;In a book on the analysis of biomolecular interactions by mass spectrometry (MS), a general introduction of MS technology should not miss. This tutorial chapter does not provide a complete overview of the MS field, but focuses on those MS technologies and procedures that are especially important in the analysis of biomolecular interactions. In order to achieve a basic understanding, no extensive explanations of operating principles, but rather concise functional descriptions are given. This should provide insight in the possibilities and limitations of the various approaches available. Analyte ionization by electrospray ionization and matrix-assisted laser desorption ionization and practical issues related to this are presented. Furthermore, various MS and tandem-MS instruments are discussed. Finally, data acquisition, processing and interpretation tools, and strategies are introduced.&quot;,&quot;issue&quot;:&quot;i&quot;,&quot;container-title-short&quot;:&quot;&quot;},&quot;isTemporary&quot;:false}]},{&quot;citationID&quot;:&quot;MENDELEY_CITATION_5215ce8e-8f8a-4d5d-a728-5326f78d3418&quot;,&quot;properties&quot;:{&quot;noteIndex&quot;:0},&quot;isEdited&quot;:false,&quot;manualOverride&quot;:{&quot;isManuallyOverridden&quot;:false,&quot;citeprocText&quot;:&quot;&lt;sup&gt;83&lt;/sup&gt;&quot;,&quot;manualOverrideText&quot;:&quot;&quot;},&quot;citationTag&quot;:&quot;MENDELEY_CITATION_v3_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&quot;,&quot;citationItems&quot;:[{&quot;id&quot;:&quot;f130cab9-f5a2-356a-9348-b490772e394f&quot;,&quot;itemData&quot;:{&quot;type&quot;:&quot;article-journal&quot;,&quot;id&quot;:&quot;f130cab9-f5a2-356a-9348-b490772e394f&quot;,&quot;title&quot;:&quot;Mass spectrometry for proteomics&quot;,&quot;author&quot;:[{&quot;family&quot;:&quot;Han&quot;,&quot;given&quot;:&quot;Xuemei&quot;,&quot;parse-names&quot;:false,&quot;dropping-particle&quot;:&quot;&quot;,&quot;non-dropping-particle&quot;:&quot;&quot;},{&quot;family&quot;:&quot;Aslanian&quot;,&quot;given&quot;:&quot;Aaron&quot;,&quot;parse-names&quot;:false,&quot;dropping-particle&quot;:&quot;&quot;,&quot;non-dropping-particle&quot;:&quot;&quot;},{&quot;family&quot;:&quot;Yates&quot;,&quot;given&quot;:&quot;John R.&quot;,&quot;parse-names&quot;:false,&quot;dropping-particle&quot;:&quot;&quot;,&quot;non-dropping-particle&quot;:&quot;&quot;}],&quot;container-title&quot;:&quot;Current Opinion in Chemical Biology&quot;,&quot;DOI&quot;:&quot;10.1016/j.cbpa.2008.07.024&quot;,&quot;ISSN&quot;:&quot;13675931&quot;,&quot;PMID&quot;:&quot;18718552&quot;,&quot;issued&quot;:{&quot;date-parts&quot;:[[2008]]},&quot;page&quot;:&quot;483-490&quot;,&quot;abstract&quot;:&quot;Mass spectrometry has been widely used to analyze biological samples and has evolved into an indispensable tool for proteomics research. Our desire to understand the proteome has led to new technologies that push the boundary of mass spectrometry capabilities, which in return has allowed mass spectrometry to address an ever-increasing array of biological questions. The recent development of a novel mass spectrometer (Orbitrap) and new dissociation methods such as electron-transfer dissociation has made possible the exciting new areas of proteomic application. Although bottom-up proteomics (analysis of proteolytic peptide mixtures) remains the workhorse for proteomic analysis, middle-down and top-down strategies (analysis of longer peptides and intact proteins, respectively) should allow more complete characterization of protein isoforms and post-translational modifications. Finally, stable isotope labeling strategies have transformed mass spectrometry from merely descriptive to a tool for measuring dynamic changes in protein expression, interaction, and modification. © 2008 Elsevier Ltd. All rights reserved.&quot;,&quot;issue&quot;:&quot;5&quot;,&quot;volume&quot;:&quot;12&quot;,&quot;container-title-short&quot;:&quot;&quot;},&quot;isTemporary&quot;:false}]},{&quot;citationID&quot;:&quot;MENDELEY_CITATION_c84469f3-7a9e-4dd5-a681-debf489c6517&quot;,&quot;properties&quot;:{&quot;noteIndex&quot;:0},&quot;isEdited&quot;:false,&quot;manualOverride&quot;:{&quot;isManuallyOverridden&quot;:false,&quot;citeprocText&quot;:&quot;&lt;sup&gt;82&lt;/sup&gt;&quot;,&quot;manualOverrideText&quot;:&quot;&quot;},&quot;citationTag&quot;:&quot;MENDELEY_CITATION_v3_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&quot;,&quot;citationItems&quot;:[{&quot;id&quot;:&quot;0d0766b2-fd42-358f-b132-7cf3da771ba2&quot;,&quot;itemData&quot;:{&quot;type&quot;:&quot;article-journal&quot;,&quot;id&quot;:&quot;0d0766b2-fd42-358f-b132-7cf3da771ba2&quot;,&quot;title&quot;:&quot;Introduction to Mass Spectrometry, a Tutorial&quot;,&quot;author&quot;:[{&quot;family&quot;:&quot;Niessen&quot;,&quot;given&quot;:&quot;Wilfried M.A.&quot;,&quot;parse-names&quot;:false,&quot;dropping-particle&quot;:&quot;&quot;,&quot;non-dropping-particle&quot;:&quot;&quot;},{&quot;family&quot;:&quot;Falck&quot;,&quot;given&quot;:&quot;David&quot;,&quot;parse-names&quot;:false,&quot;dropping-particle&quot;:&quot;&quot;,&quot;non-dropping-particle&quot;:&quot;&quot;}],&quot;container-title&quot;:&quot;Analyzing Biomolecular Interactions by Mass Spectrometry&quot;,&quot;DOI&quot;:&quot;10.1002/9783527673391.ch1&quot;,&quot;ISBN&quot;:&quot;9783527673391&quot;,&quot;issued&quot;:{&quot;date-parts&quot;:[[2013]]},&quot;page&quot;:&quot;1-54&quot;,&quot;abstract&quot;:&quot;In a book on the analysis of biomolecular interactions by mass spectrometry (MS), a general introduction of MS technology should not miss. This tutorial chapter does not provide a complete overview of the MS field, but focuses on those MS technologies and procedures that are especially important in the analysis of biomolecular interactions. In order to achieve a basic understanding, no extensive explanations of operating principles, but rather concise functional descriptions are given. This should provide insight in the possibilities and limitations of the various approaches available. Analyte ionization by electrospray ionization and matrix-assisted laser desorption ionization and practical issues related to this are presented. Furthermore, various MS and tandem-MS instruments are discussed. Finally, data acquisition, processing and interpretation tools, and strategies are introduced.&quot;,&quot;issue&quot;:&quot;i&quot;,&quot;container-title-short&quot;:&quot;&quot;},&quot;isTemporary&quot;:false}]},{&quot;citationID&quot;:&quot;MENDELEY_CITATION_28c51907-4337-4d2a-8ff9-c9a7716a1e11&quot;,&quot;properties&quot;:{&quot;noteIndex&quot;:0},&quot;isEdited&quot;:false,&quot;manualOverride&quot;:{&quot;isManuallyOverridden&quot;:false,&quot;citeprocText&quot;:&quot;&lt;sup&gt;84&lt;/sup&gt;&quot;,&quot;manualOverrideText&quot;:&quot;&quot;},&quot;citationTag&quot;:&quot;MENDELEY_CITATION_v3_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&quot;,&quot;citationItems&quot;:[{&quot;id&quot;:&quot;2ded2e7f-c820-30dc-8156-00c8d357f668&quot;,&quot;itemData&quot;:{&quot;type&quot;:&quot;article-journal&quot;,&quot;id&quot;:&quot;2ded2e7f-c820-30dc-8156-00c8d357f668&quot;,&quot;title&quot;:&quot;Orbitrap mass spectrometry&quot;,&quot;author&quot;:[{&quot;family&quot;:&quot;Zubarev&quot;,&quot;given&quot;:&quot;Roman A.&quot;,&quot;parse-names&quot;:false,&quot;dropping-particle&quot;:&quot;&quot;,&quot;non-dropping-particle&quot;:&quot;&quot;},{&quot;family&quot;:&quot;Makarov&quot;,&quot;given&quot;:&quot;Alexander&quot;,&quot;parse-names&quot;:false,&quot;dropping-particle&quot;:&quot;&quot;,&quot;non-dropping-particle&quot;:&quot;&quot;}],&quot;container-title&quot;:&quot;Analytical Chemistry&quot;,&quot;DOI&quot;:&quot;10.1021/ac4001223&quot;,&quot;ISSN&quot;:&quot;00032700&quot;,&quot;PMID&quot;:&quot;23590404&quot;,&quot;issued&quot;:{&quot;date-parts&quot;:[[2013]]},&quot;page&quot;:&quot;5288-5296&quot;,&quot;issue&quot;:&quot;11&quot;,&quot;volume&quot;:&quot;85&quot;,&quot;container-title-short&quot;:&quot;&quot;},&quot;isTemporary&quot;:false}]},{&quot;citationID&quot;:&quot;MENDELEY_CITATION_646b7293-6c11-4328-aac7-48a9a3c257a8&quot;,&quot;properties&quot;:{&quot;noteIndex&quot;:0},&quot;isEdited&quot;:false,&quot;manualOverride&quot;:{&quot;isManuallyOverridden&quot;:false,&quot;citeprocText&quot;:&quot;&lt;sup&gt;83&lt;/sup&gt;&quot;,&quot;manualOverrideText&quot;:&quot;&quot;},&quot;citationTag&quot;:&quot;MENDELEY_CITATION_v3_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&quot;,&quot;citationItems&quot;:[{&quot;id&quot;:&quot;f130cab9-f5a2-356a-9348-b490772e394f&quot;,&quot;itemData&quot;:{&quot;type&quot;:&quot;article-journal&quot;,&quot;id&quot;:&quot;f130cab9-f5a2-356a-9348-b490772e394f&quot;,&quot;title&quot;:&quot;Mass spectrometry for proteomics&quot;,&quot;author&quot;:[{&quot;family&quot;:&quot;Han&quot;,&quot;given&quot;:&quot;Xuemei&quot;,&quot;parse-names&quot;:false,&quot;dropping-particle&quot;:&quot;&quot;,&quot;non-dropping-particle&quot;:&quot;&quot;},{&quot;family&quot;:&quot;Aslanian&quot;,&quot;given&quot;:&quot;Aaron&quot;,&quot;parse-names&quot;:false,&quot;dropping-particle&quot;:&quot;&quot;,&quot;non-dropping-particle&quot;:&quot;&quot;},{&quot;family&quot;:&quot;Yates&quot;,&quot;given&quot;:&quot;John R.&quot;,&quot;parse-names&quot;:false,&quot;dropping-particle&quot;:&quot;&quot;,&quot;non-dropping-particle&quot;:&quot;&quot;}],&quot;container-title&quot;:&quot;Current Opinion in Chemical Biology&quot;,&quot;DOI&quot;:&quot;10.1016/j.cbpa.2008.07.024&quot;,&quot;ISSN&quot;:&quot;13675931&quot;,&quot;PMID&quot;:&quot;18718552&quot;,&quot;issued&quot;:{&quot;date-parts&quot;:[[2008]]},&quot;page&quot;:&quot;483-490&quot;,&quot;abstract&quot;:&quot;Mass spectrometry has been widely used to analyze biological samples and has evolved into an indispensable tool for proteomics research. Our desire to understand the proteome has led to new technologies that push the boundary of mass spectrometry capabilities, which in return has allowed mass spectrometry to address an ever-increasing array of biological questions. The recent development of a novel mass spectrometer (Orbitrap) and new dissociation methods such as electron-transfer dissociation has made possible the exciting new areas of proteomic application. Although bottom-up proteomics (analysis of proteolytic peptide mixtures) remains the workhorse for proteomic analysis, middle-down and top-down strategies (analysis of longer peptides and intact proteins, respectively) should allow more complete characterization of protein isoforms and post-translational modifications. Finally, stable isotope labeling strategies have transformed mass spectrometry from merely descriptive to a tool for measuring dynamic changes in protein expression, interaction, and modification. © 2008 Elsevier Ltd. All rights reserved.&quot;,&quot;issue&quot;:&quot;5&quot;,&quot;volume&quot;:&quot;12&quot;,&quot;container-title-short&quot;:&quot;&quot;},&quot;isTemporary&quot;:false}]},{&quot;citationID&quot;:&quot;MENDELEY_CITATION_45c87c2a-4da6-473a-8cf6-ebe1aa680f68&quot;,&quot;properties&quot;:{&quot;noteIndex&quot;:0},&quot;isEdited&quot;:false,&quot;manualOverride&quot;:{&quot;isManuallyOverridden&quot;:false,&quot;citeprocText&quot;:&quot;&lt;sup&gt;85&lt;/sup&gt;&quot;,&quot;manualOverrideText&quot;:&quot;&quot;},&quot;citationTag&quot;:&quot;MENDELEY_CITATION_v3_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&quot;,&quot;citationItems&quot;:[{&quot;id&quot;:&quot;53c8fe80-76ca-349b-b6fe-8259f98adf26&quot;,&quot;itemData&quot;:{&quot;type&quot;:&quot;article-journal&quot;,&quot;id&quot;:&quot;53c8fe80-76ca-349b-b6fe-8259f98adf26&quot;,&quot;title&quot;:&quot;Mass spectrometry-based proteomics using Q exactive, a high-performance benchtop quadrupole orbitrap mass spectrometer&quot;,&quot;author&quot;:[{&quot;family&quot;:&quot;Michalski&quot;,&quot;given&quot;:&quot;Annette&quot;,&quot;parse-names&quot;:false,&quot;dropping-particle&quot;:&quot;&quot;,&quot;non-dropping-particle&quot;:&quot;&quot;},{&quot;family&quot;:&quot;Damoc&quot;,&quot;given&quot;:&quot;Eugen&quot;,&quot;parse-names&quot;:false,&quot;dropping-particle&quot;:&quot;&quot;,&quot;non-dropping-particle&quot;:&quot;&quot;},{&quot;family&quot;:&quot;Hauschild&quot;,&quot;given&quot;:&quot;Jan Peter&quot;,&quot;parse-names&quot;:false,&quot;dropping-particle&quot;:&quot;&quot;,&quot;non-dropping-particle&quot;:&quot;&quot;},{&quot;family&quot;:&quot;Lange&quot;,&quot;given&quot;:&quot;Oliver&quot;,&quot;parse-names&quot;:false,&quot;dropping-particle&quot;:&quot;&quot;,&quot;non-dropping-particle&quot;:&quot;&quot;},{&quot;family&quot;:&quot;Wieghaus&quot;,&quot;given&quot;:&quot;Andreas&quot;,&quot;parse-names&quot;:false,&quot;dropping-particle&quot;:&quot;&quot;,&quot;non-dropping-particle&quot;:&quot;&quot;},{&quot;family&quot;:&quot;Makarov&quot;,&quot;given&quot;:&quot;Alexander&quot;,&quot;parse-names&quot;:false,&quot;dropping-particle&quot;:&quot;&quot;,&quot;non-dropping-particle&quot;:&quot;&quot;},{&quot;family&quot;:&quot;Nagaraj&quot;,&quot;given&quot;:&quot;Nagarjuna&quot;,&quot;parse-names&quot;:false,&quot;dropping-particle&quot;:&quot;&quot;,&quot;non-dropping-particle&quot;:&quot;&quot;},{&quot;family&quot;:&quot;Cox&quot;,&quot;given&quot;:&quot;Juergen&quot;,&quot;parse-names&quot;:false,&quot;dropping-particle&quot;:&quot;&quot;,&quot;non-dropping-particle&quot;:&quot;&quot;},{&quot;family&quot;:&quot;Mann&quot;,&quot;given&quot;:&quot;Matthias&quot;,&quot;parse-names&quot;:false,&quot;dropping-particle&quot;:&quot;&quot;,&quot;non-dropping-particle&quot;:&quot;&quot;},{&quot;family&quot;:&quot;Horning&quot;,&quot;given&quot;:&quot;Stevan&quot;,&quot;parse-names&quot;:false,&quot;dropping-particle&quot;:&quot;&quot;,&quot;non-dropping-particle&quot;:&quot;&quot;}],&quot;container-title&quot;:&quot;Molecular and Cellular Proteomics&quot;,&quot;DOI&quot;:&quot;10.1074/mcp.M111.011015&quot;,&quot;ISSN&quot;:&quot;15359476&quot;,&quot;PMID&quot;:&quot;21642640&quot;,&quot;URL&quot;:&quot;http://dx.doi.org/10.1074/mcp.M111.011015&quot;,&quot;issued&quot;:{&quot;date-parts&quot;:[[2011]]},&quot;page&quot;:&quot;M111.011015&quot;,&quot;abstract&quot;:&quot;Mass spectrometry-based proteomics has greatly benefitted from enormous advances in high resolution instrumentation in recent years. In particular, the combination of a linear ion trap with the Orbitrap analyzer has proven to be a popular instrument configuration. Complementing this hybrid trap-trap instrument, as well as the standalone Orbitrap analyzer termed Exactive, we here present coupling of a quadrupole mass filter to an Orbitrap analyzer. This \&quot;Q Exactive\&quot; instrument features high ion currents because of an S-lens, and fast high-energy collision-induced dissociation peptide fragmentation because of parallel filling and detection modes. The image current from the detector is processed by an \&quot;enhanced Fourier Transformation\&quot;algorithm, doubling mass spectrometric resolution. Together with almost instantaneous isolation and fragmentation, the instrument achieves overall cycle times of 1 s for a top10 higher energy collisional dissociation method. More than 2500 proteins can be identified in standard 90-min gradients of tryptic digests of mammalian cell lysate- a significant improvement over previous Orbitrap mass spectrometers. Furthermore, the quadrupole Orbitrap analyzer combination enables multiplexed operation at the MS and tandem MS levels. This is demonstrated in a multiplexed single ion monitoring mode, in which the quadrupole rapidly switches among different narrow mass ranges that are analyzed in a single composite MS spectrum. Similarly, the quadrupole allows fragmentation of different precursor masses in rapid succession, followed by joint analysis of the higher energy collisional dissociation fragment ions in the Orbitrap analyzer. High performance in a robust benchtop format together with the ability to perform complex multiplexed scan modes make the Q Exactive an exciting new instrument for the proteomics and general analytical communities. © 2011 by The American Society for Biochemistry and Molecular Biology, Inc.&quot;,&quot;publisher&quot;:&quot;Â© THE AUTHORS. Currently published by Elsevier Inc; originally published by American Society for Biochemistry and Molecular Biology.&quot;,&quot;issue&quot;:&quot;9&quot;,&quot;volume&quot;:&quot;10&quot;,&quot;container-title-short&quot;:&quot;&quot;},&quot;isTemporary&quot;:false}]},{&quot;citationID&quot;:&quot;MENDELEY_CITATION_0975643b-636b-49cc-b4f9-20b2a8a82d91&quot;,&quot;properties&quot;:{&quot;noteIndex&quot;:0},&quot;isEdited&quot;:false,&quot;manualOverride&quot;:{&quot;isManuallyOverridden&quot;:false,&quot;citeprocText&quot;:&quot;&lt;sup&gt;86&lt;/sup&gt;&quot;,&quot;manualOverrideText&quot;:&quot;&quot;},&quot;citationTag&quot;:&quot;MENDELEY_CITATION_v3_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&quot;,&quot;citationItems&quot;:[{&quot;id&quot;:&quot;3b9591df-52ad-3967-96f1-606f88e13379&quot;,&quot;itemData&quot;:{&quot;type&quot;:&quot;article-journal&quot;,&quot;id&quot;:&quot;3b9591df-52ad-3967-96f1-606f88e13379&quot;,&quot;title&quot;:&quot;Proteomic tools for environmental microbiology - A roadmap from sample preparation to protein identification and quantification&quot;,&quot;author&quot;:[{&quot;family&quot;:&quot;Wöhlbrand&quot;,&quot;given&quot;:&quot;Lars&quot;,&quot;parse-names&quot;:false,&quot;dropping-particle&quot;:&quot;&quot;,&quot;non-dropping-particle&quot;:&quot;&quot;},{&quot;family&quot;:&quot;Trautwein&quot;,&quot;given&quot;:&quot;Kathleen&quot;,&quot;parse-names&quot;:false,&quot;dropping-particle&quot;:&quot;&quot;,&quot;non-dropping-particle&quot;:&quot;&quot;},{&quot;family&quot;:&quot;Rabus&quot;,&quot;given&quot;:&quot;Ralf&quot;,&quot;parse-names&quot;:false,&quot;dropping-particle&quot;:&quot;&quot;,&quot;non-dropping-particle&quot;:&quot;&quot;}],&quot;container-title&quot;:&quot;Proteomics&quot;,&quot;container-title-short&quot;:&quot;Proteomics&quot;,&quot;DOI&quot;:&quot;10.1002/pmic.201300175&quot;,&quot;ISSN&quot;:&quot;16159853&quot;,&quot;PMID&quot;:&quot;23894077&quot;,&quot;issued&quot;:{&quot;date-parts&quot;:[[2013]]},&quot;page&quot;:&quot;2700-2730&quot;,&quot;abstract&quot;:&quot;The steadily increasing amount of (meta-)genomic sequence information of diverse organisms and habitats has a strong impact on research in microbial physiology and ecology. In-depth functional understanding of metabolic processes and overall physiological adaptation to environmental changes, however, requires application of proteomics, as the context specific proteome constitutes the true functional output of a cell. Considering the enormous structural and functional diversity of proteins, only rational combinations of various analytical approaches allow a holistic view on the overall state of the cell. Within the past decade, proteomic methods became increasingly accessible to microbiologists mainly due to the robustness of analytical methods (e.g. 2DE), and affordability of mass spectrometers and their relative ease of use. This review provides an overview on the complex portfolio of state-of-the-art proteomics and highlights the basic principles of key methods, ranging from sample preparation of laboratory or environmental samples, via protein/peptide separation (gel-based or gel-free) and different types of mass spectrometric protein/peptide analyses, to protein identification and abundance determination. © 2013 WILEY-VCH Verlag GmbH &amp; Co. KGaA, Weinheim.&quot;,&quot;issue&quot;:&quot;18-19&quot;,&quot;volume&quot;:&quot;13&quot;},&quot;isTemporary&quot;:false}]},{&quot;citationID&quot;:&quot;MENDELEY_CITATION_3362d97d-17c1-4a0c-9296-55a1e597c10d&quot;,&quot;properties&quot;:{&quot;noteIndex&quot;:0},&quot;isEdited&quot;:false,&quot;manualOverride&quot;:{&quot;isManuallyOverridden&quot;:false,&quot;citeprocText&quot;:&quot;&lt;sup&gt;85&lt;/sup&gt;&quot;,&quot;manualOverrideText&quot;:&quot;&quot;},&quot;citationTag&quot;:&quot;MENDELEY_CITATION_v3_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&quot;,&quot;citationItems&quot;:[{&quot;id&quot;:&quot;53c8fe80-76ca-349b-b6fe-8259f98adf26&quot;,&quot;itemData&quot;:{&quot;type&quot;:&quot;article-journal&quot;,&quot;id&quot;:&quot;53c8fe80-76ca-349b-b6fe-8259f98adf26&quot;,&quot;title&quot;:&quot;Mass spectrometry-based proteomics using Q exactive, a high-performance benchtop quadrupole orbitrap mass spectrometer&quot;,&quot;author&quot;:[{&quot;family&quot;:&quot;Michalski&quot;,&quot;given&quot;:&quot;Annette&quot;,&quot;parse-names&quot;:false,&quot;dropping-particle&quot;:&quot;&quot;,&quot;non-dropping-particle&quot;:&quot;&quot;},{&quot;family&quot;:&quot;Damoc&quot;,&quot;given&quot;:&quot;Eugen&quot;,&quot;parse-names&quot;:false,&quot;dropping-particle&quot;:&quot;&quot;,&quot;non-dropping-particle&quot;:&quot;&quot;},{&quot;family&quot;:&quot;Hauschild&quot;,&quot;given&quot;:&quot;Jan Peter&quot;,&quot;parse-names&quot;:false,&quot;dropping-particle&quot;:&quot;&quot;,&quot;non-dropping-particle&quot;:&quot;&quot;},{&quot;family&quot;:&quot;Lange&quot;,&quot;given&quot;:&quot;Oliver&quot;,&quot;parse-names&quot;:false,&quot;dropping-particle&quot;:&quot;&quot;,&quot;non-dropping-particle&quot;:&quot;&quot;},{&quot;family&quot;:&quot;Wieghaus&quot;,&quot;given&quot;:&quot;Andreas&quot;,&quot;parse-names&quot;:false,&quot;dropping-particle&quot;:&quot;&quot;,&quot;non-dropping-particle&quot;:&quot;&quot;},{&quot;family&quot;:&quot;Makarov&quot;,&quot;given&quot;:&quot;Alexander&quot;,&quot;parse-names&quot;:false,&quot;dropping-particle&quot;:&quot;&quot;,&quot;non-dropping-particle&quot;:&quot;&quot;},{&quot;family&quot;:&quot;Nagaraj&quot;,&quot;given&quot;:&quot;Nagarjuna&quot;,&quot;parse-names&quot;:false,&quot;dropping-particle&quot;:&quot;&quot;,&quot;non-dropping-particle&quot;:&quot;&quot;},{&quot;family&quot;:&quot;Cox&quot;,&quot;given&quot;:&quot;Juergen&quot;,&quot;parse-names&quot;:false,&quot;dropping-particle&quot;:&quot;&quot;,&quot;non-dropping-particle&quot;:&quot;&quot;},{&quot;family&quot;:&quot;Mann&quot;,&quot;given&quot;:&quot;Matthias&quot;,&quot;parse-names&quot;:false,&quot;dropping-particle&quot;:&quot;&quot;,&quot;non-dropping-particle&quot;:&quot;&quot;},{&quot;family&quot;:&quot;Horning&quot;,&quot;given&quot;:&quot;Stevan&quot;,&quot;parse-names&quot;:false,&quot;dropping-particle&quot;:&quot;&quot;,&quot;non-dropping-particle&quot;:&quot;&quot;}],&quot;container-title&quot;:&quot;Molecular and Cellular Proteomics&quot;,&quot;DOI&quot;:&quot;10.1074/mcp.M111.011015&quot;,&quot;ISSN&quot;:&quot;15359476&quot;,&quot;PMID&quot;:&quot;21642640&quot;,&quot;URL&quot;:&quot;http://dx.doi.org/10.1074/mcp.M111.011015&quot;,&quot;issued&quot;:{&quot;date-parts&quot;:[[2011]]},&quot;page&quot;:&quot;M111.011015&quot;,&quot;abstract&quot;:&quot;Mass spectrometry-based proteomics has greatly benefitted from enormous advances in high resolution instrumentation in recent years. In particular, the combination of a linear ion trap with the Orbitrap analyzer has proven to be a popular instrument configuration. Complementing this hybrid trap-trap instrument, as well as the standalone Orbitrap analyzer termed Exactive, we here present coupling of a quadrupole mass filter to an Orbitrap analyzer. This \&quot;Q Exactive\&quot; instrument features high ion currents because of an S-lens, and fast high-energy collision-induced dissociation peptide fragmentation because of parallel filling and detection modes. The image current from the detector is processed by an \&quot;enhanced Fourier Transformation\&quot;algorithm, doubling mass spectrometric resolution. Together with almost instantaneous isolation and fragmentation, the instrument achieves overall cycle times of 1 s for a top10 higher energy collisional dissociation method. More than 2500 proteins can be identified in standard 90-min gradients of tryptic digests of mammalian cell lysate- a significant improvement over previous Orbitrap mass spectrometers. Furthermore, the quadrupole Orbitrap analyzer combination enables multiplexed operation at the MS and tandem MS levels. This is demonstrated in a multiplexed single ion monitoring mode, in which the quadrupole rapidly switches among different narrow mass ranges that are analyzed in a single composite MS spectrum. Similarly, the quadrupole allows fragmentation of different precursor masses in rapid succession, followed by joint analysis of the higher energy collisional dissociation fragment ions in the Orbitrap analyzer. High performance in a robust benchtop format together with the ability to perform complex multiplexed scan modes make the Q Exactive an exciting new instrument for the proteomics and general analytical communities. © 2011 by The American Society for Biochemistry and Molecular Biology, Inc.&quot;,&quot;publisher&quot;:&quot;Â© THE AUTHORS. Currently published by Elsevier Inc; originally published by American Society for Biochemistry and Molecular Biology.&quot;,&quot;issue&quot;:&quot;9&quot;,&quot;volume&quot;:&quot;10&quot;,&quot;container-title-short&quot;:&quot;&quot;},&quot;isTemporary&quot;:false}]},{&quot;citationID&quot;:&quot;MENDELEY_CITATION_75ca7683-edfc-46c7-b53d-126aadcb2230&quot;,&quot;properties&quot;:{&quot;noteIndex&quot;:0},&quot;isEdited&quot;:false,&quot;manualOverride&quot;:{&quot;isManuallyOverridden&quot;:false,&quot;citeprocText&quot;:&quot;&lt;sup&gt;62&lt;/sup&gt;&quot;,&quot;manualOverrideText&quot;:&quot;&quot;},&quot;citationTag&quot;:&quot;MENDELEY_CITATION_v3_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&quot;,&quot;citationItems&quot;:[{&quot;id&quot;:&quot;6cdcefe8-6049-3d05-8ad8-1610d7dbe7c1&quot;,&quot;itemData&quot;:{&quot;type&quot;:&quot;article-journal&quot;,&quot;id&quot;:&quot;6cdcefe8-6049-3d05-8ad8-1610d7dbe7c1&quot;,&quot;title&quot;:&quot;Statistical characterization of HCD fragmentation patterns of tryptic peptides on an LTQ Orbitrap Velos mass spectrometer&quot;,&quot;author&quot;:[{&quot;family&quot;:&quot;Shao&quot;,&quot;given&quot;:&quot;Chen&quot;,&quot;parse-names&quot;:false,&quot;dropping-particle&quot;:&quot;&quot;,&quot;non-dropping-particle&quot;:&quot;&quot;},{&quot;family&quot;:&quot;Zhang&quot;,&quot;given&quot;:&quot;Yang&quot;,&quot;parse-names&quot;:false,&quot;dropping-particle&quot;:&quot;&quot;,&quot;non-dropping-particle&quot;:&quot;&quot;},{&quot;family&quot;:&quot;Sun&quot;,&quot;given&quot;:&quot;Wei&quot;,&quot;parse-names&quot;:false,&quot;dropping-particle&quot;:&quot;&quot;,&quot;non-dropping-particle&quot;:&quot;&quot;}],&quot;container-title&quot;:&quot;Journal of Proteomics&quot;,&quot;DOI&quot;:&quot;10.1016/j.jprot.2014.06.012&quot;,&quot;ISSN&quot;:&quot;18767737&quot;,&quot;PMID&quot;:&quot;24981973&quot;,&quot;URL&quot;:&quot;http://dx.doi.org/10.1016/j.jprot.2014.06.012&quot;,&quot;issued&quot;:{&quot;date-parts&quot;:[[2014]]},&quot;page&quot;:&quot;26-37&quot;,&quot;abstract&quot;:&quot;High-energy collisional dissociation (HCD) is an efficient peptide fragmentation method that is widely used in Orbitrap mass spectrometers. A greater understanding of HCD fragmentation patterns would benefit the development of proteomic data analysis algorithms. In this study, b and y ion fragmentation patterns and residue-specific cleavage effects in HCD mode were statistically characterized on a LTQ Orbitrap Velos mass spectrometer. We compared HCD and CID spectra collected in an Orbitrap for the same doubly and triply charged tryptic peptides. Our analytical results revealed novel statistical features of HCD spectra. The intensity of y ions reached a maximum in the 60-70% and 40-50% relative mass bins of HCD spectra from doubly and triply charged peptides, respectively. The HCD mode showed a slight preference for generating y ions with lower charges than did CID mode. Singly charged fragment ions dominated the five fragment ions with the highest intensity in HCD spectra. Hydrophobic residues for b ions were the primary differences in cleavage selectivity between the two modes, while residues for y ions showed a similar cleavage preference. These results will assist with the development of database search engines and the design of proper transitions for targeted proteomic analysis. Biological significance: Orbitrap mass spectrometry is becoming the popular instrument for proteomic analysis, and HCD mode is becoming the main analysis mode for its high resolution and high sensitivity. This study characterizes the features of HCD spectrum by comparing with CID mode on LTQ Velos Orbitrap. The patterns of b and y ions in HCD and CID modes were systematically compared for the first time, including the charge state, ion frequency and intensity and cleavage selectivity. These results will help develop database search engines and design proper transitions for targeted proteomic analysis in the future. © 2014 Elsevier B.V.&quot;,&quot;publisher&quot;:&quot;Elsevier B.V.&quot;,&quot;volume&quot;:&quot;109&quot;,&quot;container-title-short&quot;:&quot;&quot;},&quot;isTemporary&quot;:false}]},{&quot;citationID&quot;:&quot;MENDELEY_CITATION_037f9611-88fc-4829-8664-f28b591c7d52&quot;,&quot;properties&quot;:{&quot;noteIndex&quot;:0},&quot;isEdited&quot;:false,&quot;manualOverride&quot;:{&quot;isManuallyOverridden&quot;:false,&quot;citeprocText&quot;:&quot;&lt;sup&gt;82&lt;/sup&gt;&quot;,&quot;manualOverrideText&quot;:&quot;&quot;},&quot;citationTag&quot;:&quot;MENDELEY_CITATION_v3_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&quot;,&quot;citationItems&quot;:[{&quot;id&quot;:&quot;0d0766b2-fd42-358f-b132-7cf3da771ba2&quot;,&quot;itemData&quot;:{&quot;type&quot;:&quot;article-journal&quot;,&quot;id&quot;:&quot;0d0766b2-fd42-358f-b132-7cf3da771ba2&quot;,&quot;title&quot;:&quot;Introduction to Mass Spectrometry, a Tutorial&quot;,&quot;author&quot;:[{&quot;family&quot;:&quot;Niessen&quot;,&quot;given&quot;:&quot;Wilfried M.A.&quot;,&quot;parse-names&quot;:false,&quot;dropping-particle&quot;:&quot;&quot;,&quot;non-dropping-particle&quot;:&quot;&quot;},{&quot;family&quot;:&quot;Falck&quot;,&quot;given&quot;:&quot;David&quot;,&quot;parse-names&quot;:false,&quot;dropping-particle&quot;:&quot;&quot;,&quot;non-dropping-particle&quot;:&quot;&quot;}],&quot;container-title&quot;:&quot;Analyzing Biomolecular Interactions by Mass Spectrometry&quot;,&quot;DOI&quot;:&quot;10.1002/9783527673391.ch1&quot;,&quot;ISBN&quot;:&quot;9783527673391&quot;,&quot;issued&quot;:{&quot;date-parts&quot;:[[2013]]},&quot;page&quot;:&quot;1-54&quot;,&quot;abstract&quot;:&quot;In a book on the analysis of biomolecular interactions by mass spectrometry (MS), a general introduction of MS technology should not miss. This tutorial chapter does not provide a complete overview of the MS field, but focuses on those MS technologies and procedures that are especially important in the analysis of biomolecular interactions. In order to achieve a basic understanding, no extensive explanations of operating principles, but rather concise functional descriptions are given. This should provide insight in the possibilities and limitations of the various approaches available. Analyte ionization by electrospray ionization and matrix-assisted laser desorption ionization and practical issues related to this are presented. Furthermore, various MS and tandem-MS instruments are discussed. Finally, data acquisition, processing and interpretation tools, and strategies are introduced.&quot;,&quot;issue&quot;:&quot;i&quot;,&quot;container-title-short&quot;:&quot;&quot;},&quot;isTemporary&quot;:false}]},{&quot;citationID&quot;:&quot;MENDELEY_CITATION_f7f73daa-78b1-4fc6-affa-be2fc714606d&quot;,&quot;properties&quot;:{&quot;noteIndex&quot;:0},&quot;isEdited&quot;:false,&quot;manualOverride&quot;:{&quot;isManuallyOverridden&quot;:false,&quot;citeprocText&quot;:&quot;&lt;sup&gt;61,82,83&lt;/sup&gt;&quot;,&quot;manualOverrideText&quot;:&quot;&quot;},&quot;citationTag&quot;:&quot;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&quot;,&quot;citationItems&quot;:[{&quot;id&quot;:&quot;0d0766b2-fd42-358f-b132-7cf3da771ba2&quot;,&quot;itemData&quot;:{&quot;type&quot;:&quot;article-journal&quot;,&quot;id&quot;:&quot;0d0766b2-fd42-358f-b132-7cf3da771ba2&quot;,&quot;title&quot;:&quot;Introduction to Mass Spectrometry, a Tutorial&quot;,&quot;author&quot;:[{&quot;family&quot;:&quot;Niessen&quot;,&quot;given&quot;:&quot;Wilfried M.A.&quot;,&quot;parse-names&quot;:false,&quot;dropping-particle&quot;:&quot;&quot;,&quot;non-dropping-particle&quot;:&quot;&quot;},{&quot;family&quot;:&quot;Falck&quot;,&quot;given&quot;:&quot;David&quot;,&quot;parse-names&quot;:false,&quot;dropping-particle&quot;:&quot;&quot;,&quot;non-dropping-particle&quot;:&quot;&quot;}],&quot;container-title&quot;:&quot;Analyzing Biomolecular Interactions by Mass Spectrometry&quot;,&quot;DOI&quot;:&quot;10.1002/9783527673391.ch1&quot;,&quot;ISBN&quot;:&quot;9783527673391&quot;,&quot;issued&quot;:{&quot;date-parts&quot;:[[2013]]},&quot;page&quot;:&quot;1-54&quot;,&quot;abstract&quot;:&quot;In a book on the analysis of biomolecular interactions by mass spectrometry (MS), a general introduction of MS technology should not miss. This tutorial chapter does not provide a complete overview of the MS field, but focuses on those MS technologies and procedures that are especially important in the analysis of biomolecular interactions. In order to achieve a basic understanding, no extensive explanations of operating principles, but rather concise functional descriptions are given. This should provide insight in the possibilities and limitations of the various approaches available. Analyte ionization by electrospray ionization and matrix-assisted laser desorption ionization and practical issues related to this are presented. Furthermore, various MS and tandem-MS instruments are discussed. Finally, data acquisition, processing and interpretation tools, and strategies are introduced.&quot;,&quot;issue&quot;:&quot;i&quot;,&quot;container-title-short&quot;:&quot;&quot;},&quot;isTemporary&quot;:false},{&quot;id&quot;:&quot;f130cab9-f5a2-356a-9348-b490772e394f&quot;,&quot;itemData&quot;:{&quot;type&quot;:&quot;article-journal&quot;,&quot;id&quot;:&quot;f130cab9-f5a2-356a-9348-b490772e394f&quot;,&quot;title&quot;:&quot;Mass spectrometry for proteomics&quot;,&quot;author&quot;:[{&quot;family&quot;:&quot;Han&quot;,&quot;given&quot;:&quot;Xuemei&quot;,&quot;parse-names&quot;:false,&quot;dropping-particle&quot;:&quot;&quot;,&quot;non-dropping-particle&quot;:&quot;&quot;},{&quot;family&quot;:&quot;Aslanian&quot;,&quot;given&quot;:&quot;Aaron&quot;,&quot;parse-names&quot;:false,&quot;dropping-particle&quot;:&quot;&quot;,&quot;non-dropping-particle&quot;:&quot;&quot;},{&quot;family&quot;:&quot;Yates&quot;,&quot;given&quot;:&quot;John R.&quot;,&quot;parse-names&quot;:false,&quot;dropping-particle&quot;:&quot;&quot;,&quot;non-dropping-particle&quot;:&quot;&quot;}],&quot;container-title&quot;:&quot;Current Opinion in Chemical Biology&quot;,&quot;DOI&quot;:&quot;10.1016/j.cbpa.2008.07.024&quot;,&quot;ISSN&quot;:&quot;13675931&quot;,&quot;PMID&quot;:&quot;18718552&quot;,&quot;issued&quot;:{&quot;date-parts&quot;:[[2008]]},&quot;page&quot;:&quot;483-490&quot;,&quot;abstract&quot;:&quot;Mass spectrometry has been widely used to analyze biological samples and has evolved into an indispensable tool for proteomics research. Our desire to understand the proteome has led to new technologies that push the boundary of mass spectrometry capabilities, which in return has allowed mass spectrometry to address an ever-increasing array of biological questions. The recent development of a novel mass spectrometer (Orbitrap) and new dissociation methods such as electron-transfer dissociation has made possible the exciting new areas of proteomic application. Although bottom-up proteomics (analysis of proteolytic peptide mixtures) remains the workhorse for proteomic analysis, middle-down and top-down strategies (analysis of longer peptides and intact proteins, respectively) should allow more complete characterization of protein isoforms and post-translational modifications. Finally, stable isotope labeling strategies have transformed mass spectrometry from merely descriptive to a tool for measuring dynamic changes in protein expression, interaction, and modification. © 2008 Elsevier Ltd. All rights reserved.&quot;,&quot;issue&quot;:&quot;5&quot;,&quot;volume&quot;:&quot;12&quot;,&quot;container-title-short&quot;:&quot;&quot;},&quot;isTemporary&quot;:false},{&quot;id&quot;:&quot;775eb4b1-4668-3095-ba82-82ed668437e6&quot;,&quot;itemData&quot;:{&quot;type&quot;:&quot;article-journal&quot;,&quot;id&quot;:&quot;775eb4b1-4668-3095-ba82-82ed668437e6&quot;,&quot;title&quot;:&quot;A systematic investigation into the nature of tryptic HCD spectra&quot;,&quot;author&quot;:[{&quot;family&quot;:&quot;Michalski&quot;,&quot;given&quot;:&quot;Annette&quot;,&quot;parse-names&quot;:false,&quot;dropping-particle&quot;:&quot;&quot;,&quot;non-dropping-particle&quot;:&quot;&quot;},{&quot;family&quot;:&quot;Neuhauser&quot;,&quot;given&quot;:&quot;Nadin&quot;,&quot;parse-names&quot;:false,&quot;dropping-particle&quot;:&quot;&quot;,&quot;non-dropping-particle&quot;:&quot;&quot;},{&quot;family&quot;:&quot;Cox&quot;,&quot;given&quot;:&quot;Jürgen&quot;,&quot;parse-names&quot;:false,&quot;dropping-particle&quot;:&quot;&quot;,&quot;non-dropping-particle&quot;:&quot;&quot;},{&quot;family&quot;:&quot;Mann&quot;,&quot;given&quot;:&quot;Matthias&quot;,&quot;parse-names&quot;:false,&quot;dropping-particle&quot;:&quot;&quot;,&quot;non-dropping-particle&quot;:&quot;&quot;}],&quot;container-title&quot;:&quot;Journal of Proteome Research&quot;,&quot;DOI&quot;:&quot;10.1021/pr3007045&quot;,&quot;ISSN&quot;:&quot;15353893&quot;,&quot;PMID&quot;:&quot;22998608&quot;,&quot;issued&quot;:{&quot;date-parts&quot;:[[2012]]},&quot;page&quot;:&quot;5479-5491&quot;,&quot;abstract&quot;:&quot;Modern mass spectrometry-based proteomics can produce millions of peptide fragmentation spectra, which are automatically identified in databases using sequence-specific b- or y-ions. Proteomics projects have mainly been performed with low resolution collision-induced dissociation (CID) in ion traps and beam-type fragmentation on triple quadrupole and QTOF instruments. Recently, the latter has also become available with Orbitrap instrumentation as higher energy collisional dissociation (HCD), routinely providing full mass range fragmentation with high mass accuracy. To systematically study the nature of HCD spectra, we made use of a large scale data set of tryptic peptides identified with an FDR of 0.0001, from which we extract a subset of more than 16 000 that have little or no contribution from cofragmented precursors. We employed a newly developed computer-assisted \&quot;Expert System\&quot;, which distills our experience and literature knowledge about fragmentation pathways. It aims to automatically annotate the peaks in high mass accuracy fragment spectra while strictly controlling the false discovery rate. Using this Expert System we determined that sequence specific regular ions covering the entire sequence were present for almost all peptides with up to 10 amino acids (median 100%). Peptides up to 20 amino acid length contained sufficient fragmentation to cover 80% of the sequence. Internal fragments are common in HCD spectra but not in high resolution CID spectra (10% vs 1%). The low mass region contains abundant immonium ions (6% of fragment ion intensity), the characteristic a2, b2 ion pair (72% of spectra), side chain fragments and reporter ions for peptide modifications such as tyrosine phosphorylation. B- and y-ions account for only 20% of fragment ions by number but 53% by ion intensity. Overall, 84% of the fragment ion intensity was unambiguously explainable. Thus high mass accuracy HCD and CID data are near comprehensively and automatically interpretable. © 2012 American Chemical Society.&quot;,&quot;issue&quot;:&quot;11&quot;,&quot;volume&quot;:&quot;11&quot;,&quot;container-title-short&quot;:&quot;&quot;},&quot;isTemporary&quot;:false}]},{&quot;citationID&quot;:&quot;MENDELEY_CITATION_a7467a6f-6224-48cf-be23-dc43555e6fb6&quot;,&quot;properties&quot;:{&quot;noteIndex&quot;:0},&quot;isEdited&quot;:false,&quot;manualOverride&quot;:{&quot;isManuallyOverridden&quot;:false,&quot;citeprocText&quot;:&quot;&lt;sup&gt;87&lt;/sup&gt;&quot;,&quot;manualOverrideText&quot;:&quot;&quot;},&quot;citationTag&quot;:&quot;MENDELEY_CITATION_v3_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&quot;,&quot;citationItems&quot;:[{&quot;id&quot;:&quot;affe655d-3c38-396f-af35-86d854f86733&quot;,&quot;itemData&quot;:{&quot;type&quot;:&quot;article-journal&quot;,&quot;id&quot;:&quot;affe655d-3c38-396f-af35-86d854f86733&quot;,&quot;title&quot;:&quot;Beyond Target-Decoy Competition: Stable Validation of Peptide and Protein Identifications in Mass Spectrometry-Based Discovery Proteomics&quot;,&quot;author&quot;:[{&quot;family&quot;:&quot;Couté&quot;,&quot;given&quot;:&quot;Yohann&quot;,&quot;parse-names&quot;:false,&quot;dropping-particle&quot;:&quot;&quot;,&quot;non-dropping-particle&quot;:&quot;&quot;},{&quot;family&quot;:&quot;Bruley&quot;,&quot;given&quot;:&quot;Christophe&quot;,&quot;parse-names&quot;:false,&quot;dropping-particle&quot;:&quot;&quot;,&quot;non-dropping-particle&quot;:&quot;&quot;},{&quot;family&quot;:&quot;Burger&quot;,&quot;given&quot;:&quot;Thomas&quot;,&quot;parse-names&quot;:false,&quot;dropping-particle&quot;:&quot;&quot;,&quot;non-dropping-particle&quot;:&quot;&quot;}],&quot;container-title&quot;:&quot;Analytical Chemistry&quot;,&quot;DOI&quot;:&quot;10.1021/acs.analchem.0c00328&quot;,&quot;ISSN&quot;:&quot;15206882&quot;,&quot;issued&quot;:{&quot;date-parts&quot;:[[2020]]},&quot;page&quot;:&quot;14898-14906&quot;,&quot;abstract&quot;:&quot;In bottom-up discovery proteomics, target-decoy competition (TDC) is the most popular method for false discovery rate (FDR) control. Despite unquestionable statistical foundations, this method has drawbacks, including its hitherto unknown intrinsic lack of stability vis-à-vis practical conditions of application. Although some consequences of this instability have already been empirically described, they may have been misinterpreted. This article provides evidence that TDC has become less reliable as the accuracy of modern mass spectrometers improved. We therefore propose to replace TDC by a totally different method to control the FDR at the spectrum, peptide, and protein levels, while benefiting from the theoretical guarantees of the Benjamini-Hochberg framework. As this method is simpler to use, faster to compute, and more stable than TDC, we argue that it is better adapted to the standardization and throughput constraints of current proteomic platforms.&quot;,&quot;issue&quot;:&quot;22&quot;,&quot;volume&quot;:&quot;92&quot;,&quot;container-title-short&quot;:&quot;&quot;},&quot;isTemporary&quot;:false}]},{&quot;citationID&quot;:&quot;MENDELEY_CITATION_3f6edd76-750c-4077-99bb-105001e53fb6&quot;,&quot;properties&quot;:{&quot;noteIndex&quot;:0},&quot;isEdited&quot;:false,&quot;manualOverride&quot;:{&quot;isManuallyOverridden&quot;:false,&quot;citeprocText&quot;:&quot;&lt;sup&gt;88&lt;/sup&gt;&quot;,&quot;manualOverrideText&quot;:&quot;&quot;},&quot;citationTag&quot;:&quot;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&quot;,&quot;citationItems&quot;:[{&quot;id&quot;:&quot;0d3fd45b-d2a8-33d0-b93f-4e05062b7a03&quot;,&quot;itemData&quot;:{&quot;type&quot;:&quot;article-journal&quot;,&quot;id&quot;:&quot;0d3fd45b-d2a8-33d0-b93f-4e05062b7a03&quot;,&quot;title&quot;:&quot;The CRAPome: A contaminant repository for affinity purification-mass spectrometry data&quot;,&quot;author&quot;:[{&quot;family&quot;:&quot;Mellacheruvu&quot;,&quot;given&quot;:&quot;Dattatreya&quot;,&quot;parse-names&quot;:false,&quot;dropping-particle&quot;:&quot;&quot;,&quot;non-dropping-particle&quot;:&quot;&quot;},{&quot;family&quot;:&quot;Wright&quot;,&quot;given&quot;:&quot;Zachary&quot;,&quot;parse-names&quot;:false,&quot;dropping-particle&quot;:&quot;&quot;,&quot;non-dropping-particle&quot;:&quot;&quot;},{&quot;family&quot;:&quot;Couzens&quot;,&quot;given&quot;:&quot;Amber L.&quot;,&quot;parse-names&quot;:false,&quot;dropping-particle&quot;:&quot;&quot;,&quot;non-dropping-particle&quot;:&quot;&quot;},{&quot;family&quot;:&quot;Lambert&quot;,&quot;given&quot;:&quot;Jean Philippe&quot;,&quot;parse-names&quot;:false,&quot;dropping-particle&quot;:&quot;&quot;,&quot;non-dropping-particle&quot;:&quot;&quot;},{&quot;family&quot;:&quot;St-Denis&quot;,&quot;given&quot;:&quot;Nicole A.&quot;,&quot;parse-names&quot;:false,&quot;dropping-particle&quot;:&quot;&quot;,&quot;non-dropping-particle&quot;:&quot;&quot;},{&quot;family&quot;:&quot;Li&quot;,&quot;given&quot;:&quot;Tuo&quot;,&quot;parse-names&quot;:false,&quot;dropping-particle&quot;:&quot;&quot;,&quot;non-dropping-particle&quot;:&quot;&quot;},{&quot;family&quot;:&quot;Miteva&quot;,&quot;given&quot;:&quot;Yana&quot;,&quot;parse-names&quot;:false,&quot;dropping-particle&quot;:&quot;v.&quot;,&quot;non-dropping-particle&quot;:&quot;&quot;},{&quot;family&quot;:&quot;Hauri&quot;,&quot;given&quot;:&quot;Simon&quot;,&quot;parse-names&quot;:false,&quot;dropping-particle&quot;:&quot;&quot;,&quot;non-dropping-particle&quot;:&quot;&quot;},{&quot;family&quot;:&quot;Sardiu&quot;,&quot;given&quot;:&quot;Mihaela E.&quot;,&quot;parse-names&quot;:false,&quot;dropping-particle&quot;:&quot;&quot;,&quot;non-dropping-particle&quot;:&quot;&quot;},{&quot;family&quot;:&quot;Low&quot;,&quot;given&quot;:&quot;Teck Yew&quot;,&quot;parse-names&quot;:false,&quot;dropping-particle&quot;:&quot;&quot;,&quot;non-dropping-particle&quot;:&quot;&quot;},{&quot;family&quot;:&quot;Halim&quot;,&quot;given&quot;:&quot;Vincentius A.&quot;,&quot;parse-names&quot;:false,&quot;dropping-particle&quot;:&quot;&quot;,&quot;non-dropping-particle&quot;:&quot;&quot;},{&quot;family&quot;:&quot;Bagshaw&quot;,&quot;given&quot;:&quot;Richard D.&quot;,&quot;parse-names&quot;:false,&quot;dropping-particle&quot;:&quot;&quot;,&quot;non-dropping-particle&quot;:&quot;&quot;},{&quot;family&quot;:&quot;Hubner&quot;,&quot;given&quot;:&quot;Nina C.&quot;,&quot;parse-names&quot;:false,&quot;dropping-particle&quot;:&quot;&quot;,&quot;non-dropping-particle&quot;:&quot;&quot;},{&quot;family&quot;:&quot;Al-Hakim&quot;,&quot;given&quot;:&quot;Abdallah&quot;,&quot;parse-names&quot;:false,&quot;dropping-particle&quot;:&quot;&quot;,&quot;non-dropping-particle&quot;:&quot;&quot;},{&quot;family&quot;:&quot;Bouchard&quot;,&quot;given&quot;:&quot;Annie&quot;,&quot;parse-names&quot;:false,&quot;dropping-particle&quot;:&quot;&quot;,&quot;non-dropping-particle&quot;:&quot;&quot;},{&quot;family&quot;:&quot;Faubert&quot;,&quot;given&quot;:&quot;Denis&quot;,&quot;parse-names&quot;:false,&quot;dropping-particle&quot;:&quot;&quot;,&quot;non-dropping-particle&quot;:&quot;&quot;},{&quot;family&quot;:&quot;Fermin&quot;,&quot;given&quot;:&quot;Damian&quot;,&quot;parse-names&quot;:false,&quot;dropping-particle&quot;:&quot;&quot;,&quot;non-dropping-particle&quot;:&quot;&quot;},{&quot;family&quot;:&quot;Dunham&quot;,&quot;given&quot;:&quot;Wade H.&quot;,&quot;parse-names&quot;:false,&quot;dropping-particle&quot;:&quot;&quot;,&quot;non-dropping-particle&quot;:&quot;&quot;},{&quot;family&quot;:&quot;Goudreault&quot;,&quot;given&quot;:&quot;Marilyn&quot;,&quot;parse-names&quot;:false,&quot;dropping-particle&quot;:&quot;&quot;,&quot;non-dropping-particle&quot;:&quot;&quot;},{&quot;family&quot;:&quot;Lin&quot;,&quot;given&quot;:&quot;Zhen Yuan&quot;,&quot;parse-names&quot;:false,&quot;dropping-particle&quot;:&quot;&quot;,&quot;non-dropping-particle&quot;:&quot;&quot;},{&quot;family&quot;:&quot;Badillo&quot;,&quot;given&quot;:&quot;Beatriz Gonzalez&quot;,&quot;parse-names&quot;:false,&quot;dropping-particle&quot;:&quot;&quot;,&quot;non-dropping-particle&quot;:&quot;&quot;},{&quot;family&quot;:&quot;Pawson&quot;,&quot;given&quot;:&quot;Tony&quot;,&quot;parse-names&quot;:false,&quot;dropping-particle&quot;:&quot;&quot;,&quot;non-dropping-particle&quot;:&quot;&quot;},{&quot;family&quot;:&quot;Durocher&quot;,&quot;given&quot;:&quot;Daniel&quot;,&quot;parse-names&quot;:false,&quot;dropping-particle&quot;:&quot;&quot;,&quot;non-dropping-particle&quot;:&quot;&quot;},{&quot;family&quot;:&quot;Coulombe&quot;,&quot;given&quot;:&quot;Benoit&quot;,&quot;parse-names&quot;:false,&quot;dropping-particle&quot;:&quot;&quot;,&quot;non-dropping-particle&quot;:&quot;&quot;},{&quot;family&quot;:&quot;Aebersold&quot;,&quot;given&quot;:&quot;Ruedi&quot;,&quot;parse-names&quot;:false,&quot;dropping-particle&quot;:&quot;&quot;,&quot;non-dropping-particle&quot;:&quot;&quot;},{&quot;family&quot;:&quot;Superti-Furga&quot;,&quot;given&quot;:&quot;Giulio&quot;,&quot;parse-names&quot;:false,&quot;dropping-particle&quot;:&quot;&quot;,&quot;non-dropping-particle&quot;:&quot;&quot;},{&quot;family&quot;:&quot;Colinge&quot;,&quot;given&quot;:&quot;Jacques&quot;,&quot;parse-names&quot;:false,&quot;dropping-particle&quot;:&quot;&quot;,&quot;non-dropping-particle&quot;:&quot;&quot;},{&quot;family&quot;:&quot;Heck&quot;,&quot;given&quot;:&quot;Albert J.R.&quot;,&quot;parse-names&quot;:false,&quot;dropping-particle&quot;:&quot;&quot;,&quot;non-dropping-particle&quot;:&quot;&quot;},{&quot;family&quot;:&quot;Choi&quot;,&quot;given&quot;:&quot;Hyungwon&quot;,&quot;parse-names&quot;:false,&quot;dropping-particle&quot;:&quot;&quot;,&quot;non-dropping-particle&quot;:&quot;&quot;},{&quot;family&quot;:&quot;Gstaiger&quot;,&quot;given&quot;:&quot;Matthias&quot;,&quot;parse-names&quot;:false,&quot;dropping-particle&quot;:&quot;&quot;,&quot;non-dropping-particle&quot;:&quot;&quot;},{&quot;family&quot;:&quot;Mohammed&quot;,&quot;given&quot;:&quot;Shabaz&quot;,&quot;parse-names&quot;:false,&quot;dropping-particle&quot;:&quot;&quot;,&quot;non-dropping-particle&quot;:&quot;&quot;},{&quot;family&quot;:&quot;Cristea&quot;,&quot;given&quot;:&quot;Ileana M.&quot;,&quot;parse-names&quot;:false,&quot;dropping-particle&quot;:&quot;&quot;,&quot;non-dropping-particle&quot;:&quot;&quot;},{&quot;family&quot;:&quot;Bennett&quot;,&quot;given&quot;:&quot;Keiryn L.&quot;,&quot;parse-names&quot;:false,&quot;dropping-particle&quot;:&quot;&quot;,&quot;non-dropping-particle&quot;:&quot;&quot;},{&quot;family&quot;:&quot;Washburn&quot;,&quot;given&quot;:&quot;Mike P.&quot;,&quot;parse-names&quot;:false,&quot;dropping-particle&quot;:&quot;&quot;,&quot;non-dropping-particle&quot;:&quot;&quot;},{&quot;family&quot;:&quot;Raught&quot;,&quot;given&quot;:&quot;Brian&quot;,&quot;parse-names&quot;:false,&quot;dropping-particle&quot;:&quot;&quot;,&quot;non-dropping-particle&quot;:&quot;&quot;},{&quot;family&quot;:&quot;Ewing&quot;,&quot;given&quot;:&quot;Rob M.&quot;,&quot;parse-names&quot;:false,&quot;dropping-particle&quot;:&quot;&quot;,&quot;non-dropping-particle&quot;:&quot;&quot;},{&quot;family&quot;:&quot;Gingras&quot;,&quot;given&quot;:&quot;Anne Claude&quot;,&quot;parse-names&quot;:false,&quot;dropping-particle&quot;:&quot;&quot;,&quot;non-dropping-particle&quot;:&quot;&quot;},{&quot;family&quot;:&quot;Nesvizhskii&quot;,&quot;given&quot;:&quot;Alexey I.&quot;,&quot;parse-names&quot;:false,&quot;dropping-particle&quot;:&quot;&quot;,&quot;non-dropping-particle&quot;:&quot;&quot;}],&quot;container-title&quot;:&quot;Nature Methods&quot;,&quot;DOI&quot;:&quot;10.1038/nmeth.2557&quot;,&quot;ISSN&quot;:&quot;15487091&quot;,&quot;PMID&quot;:&quot;23921808&quot;,&quot;issued&quot;:{&quot;date-parts&quot;:[[2013]]},&quot;page&quot;:&quot;730-736&quot;,&quot;abstract&quot;:&quot;Affinity purification coupled with mass spectrometry (AP-MS) is a widely used approach for the identification of protein-protein interactions. However, for any given protein of interest, determining which of the identified polypeptides represent bona fide interactors versus those that are background contaminants (for example, proteins that interact with the solid-phase support, affinity reagent or epitope tag) is a challenging task. The standard approach is to identify nonspecific interactions using one or more negative-control purifications, but many small-scale AP-MS studies do not capture a complete, accurate background protein set when available controls are limited. Fortunately, negative controls are largely bait independent. Hence, aggregating negative controls from multiple AP-MS studies can increase coverage and improve the characterization of background associated with a given experimental protocol. Here we present the contaminant repository for affinity purification (the CRAPome) and describe its use for scoring protein-protein interactions. The repository (currently available for Homo sapiens and Saccharomyces cerevisiae) and computational tools are freely accessible at http://www.crapome.org/. © 2013 Nature America, Inc. All rights reserved.&quot;,&quot;issue&quot;:&quot;8&quot;,&quot;volume&quot;:&quot;10&quot;,&quot;container-title-short&quot;:&quot;&quot;},&quot;isTemporary&quot;:false}]},{&quot;citationID&quot;:&quot;MENDELEY_CITATION_77aba59a-797c-413d-b875-0d59c38a899d&quot;,&quot;properties&quot;:{&quot;noteIndex&quot;:0},&quot;isEdited&quot;:false,&quot;manualOverride&quot;:{&quot;isManuallyOverridden&quot;:false,&quot;citeprocText&quot;:&quot;&lt;sup&gt;89&lt;/sup&gt;&quot;,&quot;manualOverrideText&quot;:&quot;&quot;},&quot;citationTag&quot;:&quot;MENDELEY_CITATION_v3_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&quot;,&quot;citationItems&quot;:[{&quot;id&quot;:&quot;9291144e-63ec-3b8a-a182-0cf56e93bea3&quot;,&quot;itemData&quot;:{&quot;type&quot;:&quot;article-journal&quot;,&quot;id&quot;:&quot;9291144e-63ec-3b8a-a182-0cf56e93bea3&quot;,&quot;title&quot;:&quot;Considerations for constructing a protein sequence database for metaproteomics&quot;,&quot;author&quot;:[{&quot;family&quot;:&quot;Blakeley-Ruiz&quot;,&quot;given&quot;:&quot;J. Alfredo&quot;,&quot;parse-names&quot;:false,&quot;dropping-particle&quot;:&quot;&quot;,&quot;non-dropping-particle&quot;:&quot;&quot;},{&quot;family&quot;:&quot;Kleiner&quot;,&quot;given&quot;:&quot;Manuel&quot;,&quot;parse-names&quot;:false,&quot;dropping-particle&quot;:&quot;&quot;,&quot;non-dropping-particle&quot;:&quot;&quot;}],&quot;container-title&quot;:&quot;Computational and Structural Biotechnology Journal&quot;,&quot;DOI&quot;:&quot;10.1016/j.csbj.2022.01.018&quot;,&quot;ISSN&quot;:&quot;20010370&quot;,&quot;URL&quot;:&quot;https://doi.org/10.1016/j.csbj.2022.01.018&quot;,&quot;issued&quot;:{&quot;date-parts&quot;:[[2022]]},&quot;page&quot;:&quot;937-952&quot;,&quot;abstract&quot;:&quot;Mass spectrometry-based metaproteomics has emerged as a prominent technique for interrogating the functions of specific organisms in microbial communities, in addition to total community function. Identifying proteins by mass spectrometry requires matching mass spectra of fragmented peptide ions to a database of protein sequences corresponding to the proteins in the sample. This sequence database determines which protein sequences can be identified from the measurement, and as such the taxonomic and functional information that can be inferred from a metaproteomics measurement. Thus, the construction of the protein sequence database directly impacts the outcome of any metaproteomics study. Several factors, such as source of sequence information and database curation, need to be considered during database construction to maximize accurate protein identifications traceable to the species of origin. In this review, we provide an overview of existing strategies for database construction and the relevant studies that have sought to test and validate these strategies. Based on this review of the literature and our experience we provide a decision tree and best practices for choosing and implementing database construction strategies.&quot;,&quot;publisher&quot;:&quot;The Authors&quot;,&quot;volume&quot;:&quot;20&quot;,&quot;container-title-short&quot;:&quot;&quot;},&quot;isTemporary&quot;:false}]},{&quot;citationID&quot;:&quot;MENDELEY_CITATION_5b818635-6c01-4316-8f8b-924a8768b672&quot;,&quot;properties&quot;:{&quot;noteIndex&quot;:0},&quot;isEdited&quot;:false,&quot;manualOverride&quot;:{&quot;isManuallyOverridden&quot;:false,&quot;citeprocText&quot;:&quot;&lt;sup&gt;89&lt;/sup&gt;&quot;,&quot;manualOverrideText&quot;:&quot;&quot;},&quot;citationTag&quot;:&quot;MENDELEY_CITATION_v3_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&quot;,&quot;citationItems&quot;:[{&quot;id&quot;:&quot;9291144e-63ec-3b8a-a182-0cf56e93bea3&quot;,&quot;itemData&quot;:{&quot;type&quot;:&quot;article-journal&quot;,&quot;id&quot;:&quot;9291144e-63ec-3b8a-a182-0cf56e93bea3&quot;,&quot;title&quot;:&quot;Considerations for constructing a protein sequence database for metaproteomics&quot;,&quot;author&quot;:[{&quot;family&quot;:&quot;Blakeley-Ruiz&quot;,&quot;given&quot;:&quot;J. Alfredo&quot;,&quot;parse-names&quot;:false,&quot;dropping-particle&quot;:&quot;&quot;,&quot;non-dropping-particle&quot;:&quot;&quot;},{&quot;family&quot;:&quot;Kleiner&quot;,&quot;given&quot;:&quot;Manuel&quot;,&quot;parse-names&quot;:false,&quot;dropping-particle&quot;:&quot;&quot;,&quot;non-dropping-particle&quot;:&quot;&quot;}],&quot;container-title&quot;:&quot;Computational and Structural Biotechnology Journal&quot;,&quot;DOI&quot;:&quot;10.1016/j.csbj.2022.01.018&quot;,&quot;ISSN&quot;:&quot;20010370&quot;,&quot;URL&quot;:&quot;https://doi.org/10.1016/j.csbj.2022.01.018&quot;,&quot;issued&quot;:{&quot;date-parts&quot;:[[2022]]},&quot;page&quot;:&quot;937-952&quot;,&quot;abstract&quot;:&quot;Mass spectrometry-based metaproteomics has emerged as a prominent technique for interrogating the functions of specific organisms in microbial communities, in addition to total community function. Identifying proteins by mass spectrometry requires matching mass spectra of fragmented peptide ions to a database of protein sequences corresponding to the proteins in the sample. This sequence database determines which protein sequences can be identified from the measurement, and as such the taxonomic and functional information that can be inferred from a metaproteomics measurement. Thus, the construction of the protein sequence database directly impacts the outcome of any metaproteomics study. Several factors, such as source of sequence information and database curation, need to be considered during database construction to maximize accurate protein identifications traceable to the species of origin. In this review, we provide an overview of existing strategies for database construction and the relevant studies that have sought to test and validate these strategies. Based on this review of the literature and our experience we provide a decision tree and best practices for choosing and implementing database construction strategies.&quot;,&quot;publisher&quot;:&quot;The Authors&quot;,&quot;volume&quot;:&quot;20&quot;,&quot;container-title-short&quot;:&quot;&quot;},&quot;isTemporary&quot;:false}]},{&quot;citationID&quot;:&quot;MENDELEY_CITATION_f258e272-f4c9-4a6b-b709-af630e6c21ea&quot;,&quot;properties&quot;:{&quot;noteIndex&quot;:0},&quot;isEdited&quot;:false,&quot;manualOverride&quot;:{&quot;isManuallyOverridden&quot;:false,&quot;citeprocText&quot;:&quot;&lt;sup&gt;89&lt;/sup&gt;&quot;,&quot;manualOverrideText&quot;:&quot;&quot;},&quot;citationTag&quot;:&quot;MENDELEY_CITATION_v3_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&quot;,&quot;citationItems&quot;:[{&quot;id&quot;:&quot;9291144e-63ec-3b8a-a182-0cf56e93bea3&quot;,&quot;itemData&quot;:{&quot;type&quot;:&quot;article-journal&quot;,&quot;id&quot;:&quot;9291144e-63ec-3b8a-a182-0cf56e93bea3&quot;,&quot;title&quot;:&quot;Considerations for constructing a protein sequence database for metaproteomics&quot;,&quot;author&quot;:[{&quot;family&quot;:&quot;Blakeley-Ruiz&quot;,&quot;given&quot;:&quot;J. Alfredo&quot;,&quot;parse-names&quot;:false,&quot;dropping-particle&quot;:&quot;&quot;,&quot;non-dropping-particle&quot;:&quot;&quot;},{&quot;family&quot;:&quot;Kleiner&quot;,&quot;given&quot;:&quot;Manuel&quot;,&quot;parse-names&quot;:false,&quot;dropping-particle&quot;:&quot;&quot;,&quot;non-dropping-particle&quot;:&quot;&quot;}],&quot;container-title&quot;:&quot;Computational and Structural Biotechnology Journal&quot;,&quot;DOI&quot;:&quot;10.1016/j.csbj.2022.01.018&quot;,&quot;ISSN&quot;:&quot;20010370&quot;,&quot;URL&quot;:&quot;https://doi.org/10.1016/j.csbj.2022.01.018&quot;,&quot;issued&quot;:{&quot;date-parts&quot;:[[2022]]},&quot;page&quot;:&quot;937-952&quot;,&quot;abstract&quot;:&quot;Mass spectrometry-based metaproteomics has emerged as a prominent technique for interrogating the functions of specific organisms in microbial communities, in addition to total community function. Identifying proteins by mass spectrometry requires matching mass spectra of fragmented peptide ions to a database of protein sequences corresponding to the proteins in the sample. This sequence database determines which protein sequences can be identified from the measurement, and as such the taxonomic and functional information that can be inferred from a metaproteomics measurement. Thus, the construction of the protein sequence database directly impacts the outcome of any metaproteomics study. Several factors, such as source of sequence information and database curation, need to be considered during database construction to maximize accurate protein identifications traceable to the species of origin. In this review, we provide an overview of existing strategies for database construction and the relevant studies that have sought to test and validate these strategies. Based on this review of the literature and our experience we provide a decision tree and best practices for choosing and implementing database construction strategies.&quot;,&quot;publisher&quot;:&quot;The Authors&quot;,&quot;volume&quot;:&quot;20&quot;,&quot;container-title-short&quot;:&quot;&quot;},&quot;isTemporary&quot;:false}]},{&quot;citationID&quot;:&quot;MENDELEY_CITATION_ce5fab45-dab2-4765-8713-640a84dd5d89&quot;,&quot;properties&quot;:{&quot;noteIndex&quot;:0},&quot;isEdited&quot;:false,&quot;manualOverride&quot;:{&quot;isManuallyOverridden&quot;:false,&quot;citeprocText&quot;:&quot;&lt;sup&gt;10,90,91&lt;/sup&gt;&quot;,&quot;manualOverrideText&quot;:&quot;&quot;},&quot;citationTag&quot;:&quot;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&quot;,&quot;citationItems&quot;:[{&quot;id&quot;:&quot;afc9c068-24f3-3f2a-97d3-2c3315f10694&quot;,&quot;itemData&quot;:{&quot;type&quot;:&quot;article-journal&quot;,&quot;id&quot;:&quot;afc9c068-24f3-3f2a-97d3-2c3315f10694&quot;,&quot;title&quot;:&quot;An integrated catalog of reference genes in the human gut microbiome&quot;,&quot;author&quot;:[{&quot;family&quot;:&quot;Li&quot;,&quot;given&quot;:&quot;Junhua&quot;,&quot;parse-names&quot;:false,&quot;dropping-particle&quot;:&quot;&quot;,&quot;non-dropping-particle&quot;:&quot;&quot;},{&quot;family&quot;:&quot;Jia&quot;,&quot;given&quot;:&quot;Huijue&quot;,&quot;parse-names&quot;:false,&quot;dropping-particle&quot;:&quot;&quot;,&quot;non-dropping-particle&quot;:&quot;&quot;},{&quot;family&quot;:&quot;Cai&quot;,&quot;given&quot;:&quot;Xianghang&quot;,&quot;parse-names&quot;:false,&quot;dropping-particle&quot;:&quot;&quot;,&quot;non-dropping-particle&quot;:&quot;&quot;},{&quot;family&quot;:&quot;Zhong&quot;,&quot;given&quot;:&quot;Huanzi&quot;,&quot;parse-names&quot;:false,&quot;dropping-particle&quot;:&quot;&quot;,&quot;non-dropping-particle&quot;:&quot;&quot;},{&quot;family&quot;:&quot;Feng&quot;,&quot;given&quot;:&quot;Qiang&quot;,&quot;parse-names&quot;:false,&quot;dropping-particle&quot;:&quot;&quot;,&quot;non-dropping-particle&quot;:&quot;&quot;},{&quot;family&quot;:&quot;Sunagawa&quot;,&quot;given&quot;:&quot;Shinichi&quot;,&quot;parse-names&quot;:false,&quot;dropping-particle&quot;:&quot;&quot;,&quot;non-dropping-particle&quot;:&quot;&quot;},{&quot;family&quot;:&quot;Arumugam&quot;,&quot;given&quot;:&quot;Manimozhiyan&quot;,&quot;parse-names&quot;:false,&quot;dropping-particle&quot;:&quot;&quot;,&quot;non-dropping-particle&quot;:&quot;&quot;},{&quot;family&quot;:&quot;Kultima&quot;,&quot;given&quot;:&quot;Jens Roat&quot;,&quot;parse-names&quot;:false,&quot;dropping-particle&quot;:&quot;&quot;,&quot;non-dropping-particle&quot;:&quot;&quot;},{&quot;family&quot;:&quot;Prifti&quot;,&quot;given&quot;:&quot;Edi&quot;,&quot;parse-names&quot;:false,&quot;dropping-particle&quot;:&quot;&quot;,&quot;non-dropping-particle&quot;:&quot;&quot;},{&quot;family&quot;:&quot;Nielsen&quot;,&quot;given&quot;:&quot;Trine&quot;,&quot;parse-names&quot;:false,&quot;dropping-particle&quot;:&quot;&quot;,&quot;non-dropping-particle&quot;:&quot;&quot;},{&quot;family&quot;:&quot;Juncker&quot;,&quot;given&quot;:&quot;Agnieszka Sierakowska&quot;,&quot;parse-names&quot;:false,&quot;dropping-particle&quot;:&quot;&quot;,&quot;non-dropping-particle&quot;:&quot;&quot;},{&quot;family&quot;:&quot;Manichanh&quot;,&quot;given&quot;:&quot;Chaysavanh&quot;,&quot;parse-names&quot;:false,&quot;dropping-particle&quot;:&quot;&quot;,&quot;non-dropping-particle&quot;:&quot;&quot;},{&quot;family&quot;:&quot;Chen&quot;,&quot;given&quot;:&quot;Bing&quot;,&quot;parse-names&quot;:false,&quot;dropping-particle&quot;:&quot;&quot;,&quot;non-dropping-particle&quot;:&quot;&quot;},{&quot;family&quot;:&quot;Zhang&quot;,&quot;given&quot;:&quot;Wenwei&quot;,&quot;parse-names&quot;:false,&quot;dropping-particle&quot;:&quot;&quot;,&quot;non-dropping-particle&quot;:&quot;&quot;},{&quot;family&quot;:&quot;Levenez&quot;,&quot;given&quot;:&quot;Florence&quot;,&quot;parse-names&quot;:false,&quot;dropping-particle&quot;:&quot;&quot;,&quot;non-dropping-particle&quot;:&quot;&quot;},{&quot;family&quot;:&quot;Wang&quot;,&quot;given&quot;:&quot;Juan&quot;,&quot;parse-names&quot;:false,&quot;dropping-particle&quot;:&quot;&quot;,&quot;non-dropping-particle&quot;:&quot;&quot;},{&quot;family&quot;:&quot;Xu&quot;,&quot;given&quot;:&quot;Xun&quot;,&quot;parse-names&quot;:false,&quot;dropping-particle&quot;:&quot;&quot;,&quot;non-dropping-particle&quot;:&quot;&quot;},{&quot;family&quot;:&quot;Xiao&quot;,&quot;given&quot;:&quot;Liang&quot;,&quot;parse-names&quot;:false,&quot;dropping-particle&quot;:&quot;&quot;,&quot;non-dropping-particle&quot;:&quot;&quot;},{&quot;family&quot;:&quot;Liang&quot;,&quot;given&quot;:&quot;Suisha&quot;,&quot;parse-names&quot;:false,&quot;dropping-particle&quot;:&quot;&quot;,&quot;non-dropping-particle&quot;:&quot;&quot;},{&quot;family&quot;:&quot;Zhang&quot;,&quot;given&quot;:&quot;Dongya&quot;,&quot;parse-names&quot;:false,&quot;dropping-particle&quot;:&quot;&quot;,&quot;non-dropping-particle&quot;:&quot;&quot;},{&quot;family&quot;:&quot;Zhang&quot;,&quot;given&quot;:&quot;Zhaoxi&quot;,&quot;parse-names&quot;:false,&quot;dropping-particle&quot;:&quot;&quot;,&quot;non-dropping-particle&quot;:&quot;&quot;},{&quot;family&quot;:&quot;Chen&quot;,&quot;given&quot;:&quot;Weineng&quot;,&quot;parse-names&quot;:false,&quot;dropping-particle&quot;:&quot;&quot;,&quot;non-dropping-particle&quot;:&quot;&quot;},{&quot;family&quot;:&quot;Zhao&quot;,&quot;given&quot;:&quot;Hailong&quot;,&quot;parse-names&quot;:false,&quot;dropping-particle&quot;:&quot;&quot;,&quot;non-dropping-particle&quot;:&quot;&quot;},{&quot;family&quot;:&quot;Al-Aama&quot;,&quot;given&quot;:&quot;Jumana Yousuf&quot;,&quot;parse-names&quot;:false,&quot;dropping-particle&quot;:&quot;&quot;,&quot;non-dropping-particle&quot;:&quot;&quot;},{&quot;family&quot;:&quot;Edris&quot;,&quot;given&quot;:&quot;Sherif&quot;,&quot;parse-names&quot;:false,&quot;dropping-particle&quot;:&quot;&quot;,&quot;non-dropping-particle&quot;:&quot;&quot;},{&quot;family&quot;:&quot;Yang&quot;,&quot;given&quot;:&quot;Huanming&quot;,&quot;parse-names&quot;:false,&quot;dropping-particle&quot;:&quot;&quot;,&quot;non-dropping-particle&quot;:&quot;&quot;},{&quot;family&quot;:&quot;Wang&quot;,&quot;given&quot;:&quot;Jian&quot;,&quot;parse-names&quot;:false,&quot;dropping-particle&quot;:&quot;&quot;,&quot;non-dropping-particle&quot;:&quot;&quot;},{&quot;family&quot;:&quot;Hansen&quot;,&quot;given&quot;:&quot;Torben&quot;,&quot;parse-names&quot;:false,&quot;dropping-particle&quot;:&quot;&quot;,&quot;non-dropping-particle&quot;:&quot;&quot;},{&quot;family&quot;:&quot;Nielsen&quot;,&quot;given&quot;:&quot;Henrik Bjørn&quot;,&quot;parse-names&quot;:false,&quot;dropping-particle&quot;:&quot;&quot;,&quot;non-dropping-particle&quot;:&quot;&quot;},{&quot;family&quot;:&quot;Brunak&quot;,&quot;given&quot;:&quot;Søren&quot;,&quot;parse-names&quot;:false,&quot;dropping-particle&quot;:&quot;&quot;,&quot;non-dropping-particle&quot;:&quot;&quot;},{&quot;family&quot;:&quot;Kristiansen&quot;,&quot;given&quot;:&quot;Karsten&quot;,&quot;parse-names&quot;:false,&quot;dropping-particle&quot;:&quot;&quot;,&quot;non-dropping-particle&quot;:&quot;&quot;},{&quot;family&quot;:&quot;Guarner&quot;,&quot;given&quot;:&quot;Francisco&quot;,&quot;parse-names&quot;:false,&quot;dropping-particle&quot;:&quot;&quot;,&quot;non-dropping-particle&quot;:&quot;&quot;},{&quot;family&quot;:&quot;Pedersen&quot;,&quot;given&quot;:&quot;Oluf&quot;,&quot;parse-names&quot;:false,&quot;dropping-particle&quot;:&quot;&quot;,&quot;non-dropping-particle&quot;:&quot;&quot;},{&quot;family&quot;:&quot;Doré&quot;,&quot;given&quot;:&quot;Joel&quot;,&quot;parse-names&quot;:false,&quot;dropping-particle&quot;:&quot;&quot;,&quot;non-dropping-particle&quot;:&quot;&quot;},{&quot;family&quot;:&quot;Ehrlich&quot;,&quot;given&quot;:&quot;S. Dusko&quot;,&quot;parse-names&quot;:false,&quot;dropping-particle&quot;:&quot;&quot;,&quot;non-dropping-particle&quot;:&quot;&quot;},{&quot;family&quot;:&quot;Bork&quot;,&quot;given&quot;:&quot;Peer&quot;,&quot;parse-names&quot;:false,&quot;dropping-particle&quot;:&quot;&quot;,&quot;non-dropping-particle&quot;:&quot;&quot;},{&quot;family&quot;:&quot;Wang&quot;,&quot;given&quot;:&quot;Jun&quot;,&quot;parse-names&quot;:false,&quot;dropping-particle&quot;:&quot;&quot;,&quot;non-dropping-particle&quot;:&quot;&quot;},{&quot;family&quot;:&quot;Pons&quot;,&quot;given&quot;:&quot;Nicolas&quot;,&quot;parse-names&quot;:false,&quot;dropping-particle&quot;:&quot;&quot;,&quot;non-dropping-particle&quot;:&quot;&quot;},{&quot;family&quot;:&quot;Chatelier&quot;,&quot;given&quot;:&quot;Emmanuelle&quot;,&quot;parse-names&quot;:false,&quot;dropping-particle&quot;:&quot;&quot;,&quot;non-dropping-particle&quot;:&quot;le&quot;},{&quot;family&quot;:&quot;Batto&quot;,&quot;given&quot;:&quot;Jean Michel&quot;,&quot;parse-names&quot;:false,&quot;dropping-particle&quot;:&quot;&quot;,&quot;non-dropping-particle&quot;:&quot;&quot;},{&quot;family&quot;:&quot;Kennedy&quot;,&quot;given&quot;:&quot;Sean&quot;,&quot;parse-names&quot;:false,&quot;dropping-particle&quot;:&quot;&quot;,&quot;non-dropping-particle&quot;:&quot;&quot;},{&quot;family&quot;:&quot;Haimet&quot;,&quot;given&quot;:&quot;Florence&quot;,&quot;parse-names&quot;:false,&quot;dropping-particle&quot;:&quot;&quot;,&quot;non-dropping-particle&quot;:&quot;&quot;},{&quot;family&quot;:&quot;Winogradski&quot;,&quot;given&quot;:&quot;Yohanan&quot;,&quot;parse-names&quot;:false,&quot;dropping-particle&quot;:&quot;&quot;,&quot;non-dropping-particle&quot;:&quot;&quot;},{&quot;family&quot;:&quot;Pelletier&quot;,&quot;given&quot;:&quot;Eric&quot;,&quot;parse-names&quot;:false,&quot;dropping-particle&quot;:&quot;&quot;,&quot;non-dropping-particle&quot;:&quot;&quot;},{&quot;family&quot;:&quot;Lepaslier&quot;,&quot;given&quot;:&quot;Denis&quot;,&quot;parse-names&quot;:false,&quot;dropping-particle&quot;:&quot;&quot;,&quot;non-dropping-particle&quot;:&quot;&quot;},{&quot;family&quot;:&quot;Artiguenave&quot;,&quot;given&quot;:&quot;François&quot;,&quot;parse-names&quot;:false,&quot;dropping-particle&quot;:&quot;&quot;,&quot;non-dropping-particle&quot;:&quot;&quot;},{&quot;family&quot;:&quot;Bruls&quot;,&quot;given&quot;:&quot;Thomas&quot;,&quot;parse-names&quot;:false,&quot;dropping-particle&quot;:&quot;&quot;,&quot;non-dropping-particle&quot;:&quot;&quot;},{&quot;family&quot;:&quot;Weissenbach&quot;,&quot;given&quot;:&quot;Jean&quot;,&quot;parse-names&quot;:false,&quot;dropping-particle&quot;:&quot;&quot;,&quot;non-dropping-particle&quot;:&quot;&quot;},{&quot;family&quot;:&quot;Turner&quot;,&quot;given&quot;:&quot;Keith&quot;,&quot;parse-names&quot;:false,&quot;dropping-particle&quot;:&quot;&quot;,&quot;non-dropping-particle&quot;:&quot;&quot;},{&quot;family&quot;:&quot;Parkhill&quot;,&quot;given&quot;:&quot;Julian&quot;,&quot;parse-names&quot;:false,&quot;dropping-particle&quot;:&quot;&quot;,&quot;non-dropping-particle&quot;:&quot;&quot;},{&quot;family&quot;:&quot;Antolin&quot;,&quot;given&quot;:&quot;Maria&quot;,&quot;parse-names&quot;:false,&quot;dropping-particle&quot;:&quot;&quot;,&quot;non-dropping-particle&quot;:&quot;&quot;},{&quot;family&quot;:&quot;Casellas&quot;,&quot;given&quot;:&quot;Francesc&quot;,&quot;parse-names&quot;:false,&quot;dropping-particle&quot;:&quot;&quot;,&quot;non-dropping-particle&quot;:&quot;&quot;},{&quot;family&quot;:&quot;Borruel&quot;,&quot;given&quot;:&quot;Natalia&quot;,&quot;parse-names&quot;:false,&quot;dropping-particle&quot;:&quot;&quot;,&quot;non-dropping-particle&quot;:&quot;&quot;},{&quot;family&quot;:&quot;Varela&quot;,&quot;given&quot;:&quot;Encarna&quot;,&quot;parse-names&quot;:false,&quot;dropping-particle&quot;:&quot;&quot;,&quot;non-dropping-particle&quot;:&quot;&quot;},{&quot;family&quot;:&quot;Torrejon&quot;,&quot;given&quot;:&quot;Antonio&quot;,&quot;parse-names&quot;:false,&quot;dropping-particle&quot;:&quot;&quot;,&quot;non-dropping-particle&quot;:&quot;&quot;},{&quot;family&quot;:&quot;Denariaz&quot;,&quot;given&quot;:&quot;Gérard&quot;,&quot;parse-names&quot;:false,&quot;dropping-particle&quot;:&quot;&quot;,&quot;non-dropping-particle&quot;:&quot;&quot;},{&quot;family&quot;:&quot;Derrien&quot;,&quot;given&quot;:&quot;Muriel&quot;,&quot;parse-names&quot;:false,&quot;dropping-particle&quot;:&quot;&quot;,&quot;non-dropping-particle&quot;:&quot;&quot;},{&quot;family&quot;:&quot;Hylckama Vlieg&quot;,&quot;given&quot;:&quot;Johan E.T.&quot;,&quot;parse-names&quot;:false,&quot;dropping-particle&quot;:&quot;&quot;,&quot;non-dropping-particle&quot;:&quot;van&quot;},{&quot;family&quot;:&quot;Viega&quot;,&quot;given&quot;:&quot;Patrick&quot;,&quot;parse-names&quot;:false,&quot;dropping-particle&quot;:&quot;&quot;,&quot;non-dropping-particle&quot;:&quot;&quot;},{&quot;family&quot;:&quot;Oozeer&quot;,&quot;given&quot;:&quot;Raish&quot;,&quot;parse-names&quot;:false,&quot;dropping-particle&quot;:&quot;&quot;,&quot;non-dropping-particle&quot;:&quot;&quot;},{&quot;family&quot;:&quot;Knoll&quot;,&quot;given&quot;:&quot;Jan&quot;,&quot;parse-names&quot;:false,&quot;dropping-particle&quot;:&quot;&quot;,&quot;non-dropping-particle&quot;:&quot;&quot;},{&quot;family&quot;:&quot;Rescigno&quot;,&quot;given&quot;:&quot;Maria&quot;,&quot;parse-names&quot;:false,&quot;dropping-particle&quot;:&quot;&quot;,&quot;non-dropping-particle&quot;:&quot;&quot;},{&quot;family&quot;:&quot;Brechot&quot;,&quot;given&quot;:&quot;Christian&quot;,&quot;parse-names&quot;:false,&quot;dropping-particle&quot;:&quot;&quot;,&quot;non-dropping-particle&quot;:&quot;&quot;},{&quot;family&quot;:&quot;M’rini&quot;,&quot;given&quot;:&quot;Christine&quot;,&quot;parse-names&quot;:false,&quot;dropping-particle&quot;:&quot;&quot;,&quot;non-dropping-particle&quot;:&quot;&quot;},{&quot;family&quot;:&quot;Mérieux&quot;,&quot;given&quot;:&quot;Alexandre&quot;,&quot;parse-names&quot;:false,&quot;dropping-particle&quot;:&quot;&quot;,&quot;non-dropping-particle&quot;:&quot;&quot;},{&quot;family&quot;:&quot;Yamada&quot;,&quot;given&quot;:&quot;Takuji&quot;,&quot;parse-names&quot;:false,&quot;dropping-particle&quot;:&quot;&quot;,&quot;non-dropping-particle&quot;:&quot;&quot;},{&quot;family&quot;:&quot;Tims&quot;,&quot;given&quot;:&quot;Sebastian&quot;,&quot;parse-names&quot;:false,&quot;dropping-particle&quot;:&quot;&quot;,&quot;non-dropping-particle&quot;:&quot;&quot;},{&quot;family&quot;:&quot;Zoetendal&quot;,&quot;given&quot;:&quot;Erwin G.&quot;,&quot;parse-names&quot;:false,&quot;dropping-particle&quot;:&quot;&quot;,&quot;non-dropping-particle&quot;:&quot;&quot;},{&quot;family&quot;:&quot;Kleerebezem&quot;,&quot;given&quot;:&quot;Michiel&quot;,&quot;parse-names&quot;:false,&quot;dropping-particle&quot;:&quot;&quot;,&quot;non-dropping-particle&quot;:&quot;&quot;},{&quot;family&quot;:&quot;Vos&quot;,&quot;given&quot;:&quot;Willem M.&quot;,&quot;parse-names&quot;:false,&quot;dropping-particle&quot;:&quot;&quot;,&quot;non-dropping-particle&quot;:&quot;de&quot;},{&quot;family&quot;:&quot;Cultrone&quot;,&quot;given&quot;:&quot;Antonella&quot;,&quot;parse-names&quot;:false,&quot;dropping-particle&quot;:&quot;&quot;,&quot;non-dropping-particle&quot;:&quot;&quot;},{&quot;family&quot;:&quot;Leclerc&quot;,&quot;given&quot;:&quot;Marion&quot;,&quot;parse-names&quot;:false,&quot;dropping-particle&quot;:&quot;&quot;,&quot;non-dropping-particle&quot;:&quot;&quot;},{&quot;family&quot;:&quot;Juste&quot;,&quot;given&quot;:&quot;Catherine&quot;,&quot;parse-names&quot;:false,&quot;dropping-particle&quot;:&quot;&quot;,&quot;non-dropping-particle&quot;:&quot;&quot;},{&quot;family&quot;:&quot;Guedon&quot;,&quot;given&quot;:&quot;Eric&quot;,&quot;parse-names&quot;:false,&quot;dropping-particle&quot;:&quot;&quot;,&quot;non-dropping-particle&quot;:&quot;&quot;},{&quot;family&quot;:&quot;Delorme&quot;,&quot;given&quot;:&quot;Christine&quot;,&quot;parse-names&quot;:false,&quot;dropping-particle&quot;:&quot;&quot;,&quot;non-dropping-particle&quot;:&quot;&quot;},{&quot;family&quot;:&quot;Layec&quot;,&quot;given&quot;:&quot;Séverine&quot;,&quot;parse-names&quot;:false,&quot;dropping-particle&quot;:&quot;&quot;,&quot;non-dropping-particle&quot;:&quot;&quot;},{&quot;family&quot;:&quot;Khaci&quot;,&quot;given&quot;:&quot;Ghalia&quot;,&quot;parse-names&quot;:false,&quot;dropping-particle&quot;:&quot;&quot;,&quot;non-dropping-particle&quot;:&quot;&quot;},{&quot;family&quot;:&quot;Guchte&quot;,&quot;given&quot;:&quot;Maarten&quot;,&quot;parse-names&quot;:false,&quot;dropping-particle&quot;:&quot;&quot;,&quot;non-dropping-particle&quot;:&quot;van de&quot;},{&quot;family&quot;:&quot;Vandemeulebrouck&quot;,&quot;given&quot;:&quot;Gaetana&quot;,&quot;parse-names&quot;:false,&quot;dropping-particle&quot;:&quot;&quot;,&quot;non-dropping-particle&quot;:&quot;&quot;},{&quot;family&quot;:&quot;Jamet&quot;,&quot;given&quot;:&quot;Alexandre&quot;,&quot;parse-names&quot;:false,&quot;dropping-particle&quot;:&quot;&quot;,&quot;non-dropping-particle&quot;:&quot;&quot;},{&quot;family&quot;:&quot;Dervyn&quot;,&quot;given&quot;:&quot;Rozenn&quot;,&quot;parse-names&quot;:false,&quot;dropping-particle&quot;:&quot;&quot;,&quot;non-dropping-particle&quot;:&quot;&quot;},{&quot;family&quot;:&quot;Sanchez&quot;,&quot;given&quot;:&quot;Nicolas&quot;,&quot;parse-names&quot;:false,&quot;dropping-particle&quot;:&quot;&quot;,&quot;non-dropping-particle&quot;:&quot;&quot;},{&quot;family&quot;:&quot;Blottière&quot;,&quot;given&quot;:&quot;Hervé&quot;,&quot;parse-names&quot;:false,&quot;dropping-particle&quot;:&quot;&quot;,&quot;non-dropping-particle&quot;:&quot;&quot;},{&quot;family&quot;:&quot;Maguin&quot;,&quot;given&quot;:&quot;Emmanuelle&quot;,&quot;parse-names&quot;:false,&quot;dropping-particle&quot;:&quot;&quot;,&quot;non-dropping-particle&quot;:&quot;&quot;},{&quot;family&quot;:&quot;Renault&quot;,&quot;given&quot;:&quot;Pierre&quot;,&quot;parse-names&quot;:false,&quot;dropping-particle&quot;:&quot;&quot;,&quot;non-dropping-particle&quot;:&quot;&quot;},{&quot;family&quot;:&quot;Tap&quot;,&quot;given&quot;:&quot;Julien&quot;,&quot;parse-names&quot;:false,&quot;dropping-particle&quot;:&quot;&quot;,&quot;non-dropping-particle&quot;:&quot;&quot;},{&quot;family&quot;:&quot;Mende&quot;,&quot;given&quot;:&quot;Daniel R.&quot;,&quot;parse-names&quot;:false,&quot;dropping-particle&quot;:&quot;&quot;,&quot;non-dropping-particle&quot;:&quot;&quot;}],&quot;container-title&quot;:&quot;Nature Biotechnology&quot;,&quot;DOI&quot;:&quot;10.1038/nbt.2942&quot;,&quot;ISSN&quot;:&quot;15461696&quot;,&quot;PMID&quot;:&quot;24997786&quot;,&quot;issued&quot;:{&quot;date-parts&quot;:[[2014]]},&quot;page&quot;:&quot;834-841&quot;,&quot;abstract&quot;:&quot;Many analyses of the human gut microbiome depend on a catalog of reference genes. Existing catalogs for the human gut microbiome are based on samples from single cohorts or on reference genomes or protein sequences, which limits coverage of global microbiome diversity. Here we combined 249 newly sequenced samples of the Metagenomics of the Human Intestinal Tract (MetaHit) project with 1,018 previously sequenced samples to create a cohort from three continents that is at least threefold larger than cohorts used for previous gene catalogs. From this we established the integrated gene catalog (IGC) comprising 9,879,896 genes. The catalog includes close-to-complete sets of genes for most gut microbes, which are also of considerably higher quality than in previous catalogs. Analyses of a group of samples from Chinese and Danish individuals using the catalog revealed country-specific gut microbial signatures. This expanded catalog should facilitate quantitative characterization of metagenomic, metatranscriptomic and metaproteomic data from the gut microbiome to understand its variation across populations in human health and disease. © 2014 Nature America, Inc.&quot;,&quot;issue&quot;:&quot;8&quot;,&quot;volume&quot;:&quot;32&quot;,&quot;container-title-short&quot;:&quot;&quot;},&quot;isTemporary&quot;:false},{&quot;id&quot;:&quot;a9a5c02a-4eb8-337f-ae94-29c2957e155e&quot;,&quot;itemData&quot;:{&quot;type&quot;:&quot;article-journal&quot;,&quot;id&quot;:&quot;a9a5c02a-4eb8-337f-ae94-29c2957e155e&quot;,&quot;title&quot;:&quot;A catalog of the mouse gut metagenome&quot;,&quot;author&quot;:[{&quot;family&quot;:&quot;Xiao&quot;,&quot;given&quot;:&quot;Liang&quot;,&quot;parse-names&quot;:false,&quot;dropping-particle&quot;:&quot;&quot;,&quot;non-dropping-particle&quot;:&quot;&quot;},{&quot;family&quot;:&quot;Feng&quot;,&quot;given&quot;:&quot;Qiang&quot;,&quot;parse-names&quot;:false,&quot;dropping-particle&quot;:&quot;&quot;,&quot;non-dropping-particle&quot;:&quot;&quot;},{&quot;family&quot;:&quot;Liang&quot;,&quot;given&quot;:&quot;Suisha&quot;,&quot;parse-names&quot;:false,&quot;dropping-particle&quot;:&quot;&quot;,&quot;non-dropping-particle&quot;:&quot;&quot;},{&quot;family&quot;:&quot;Sonne&quot;,&quot;given&quot;:&quot;Si Brask&quot;,&quot;parse-names&quot;:false,&quot;dropping-particle&quot;:&quot;&quot;,&quot;non-dropping-particle&quot;:&quot;&quot;},{&quot;family&quot;:&quot;Xia&quot;,&quot;given&quot;:&quot;Zhongkui&quot;,&quot;parse-names&quot;:false,&quot;dropping-particle&quot;:&quot;&quot;,&quot;non-dropping-particle&quot;:&quot;&quot;},{&quot;family&quot;:&quot;Qiu&quot;,&quot;given&quot;:&quot;Xinmin&quot;,&quot;parse-names&quot;:false,&quot;dropping-particle&quot;:&quot;&quot;,&quot;non-dropping-particle&quot;:&quot;&quot;},{&quot;family&quot;:&quot;Li&quot;,&quot;given&quot;:&quot;Xiaoping&quot;,&quot;parse-names&quot;:false,&quot;dropping-particle&quot;:&quot;&quot;,&quot;non-dropping-particle&quot;:&quot;&quot;},{&quot;family&quot;:&quot;Long&quot;,&quot;given&quot;:&quot;Hua&quot;,&quot;parse-names&quot;:false,&quot;dropping-particle&quot;:&quot;&quot;,&quot;non-dropping-particle&quot;:&quot;&quot;},{&quot;family&quot;:&quot;Zhang&quot;,&quot;given&quot;:&quot;Jianfeng&quot;,&quot;parse-names&quot;:false,&quot;dropping-particle&quot;:&quot;&quot;,&quot;non-dropping-particle&quot;:&quot;&quot;},{&quot;family&quot;:&quot;Zhang&quot;,&quot;given&quot;:&quot;Dongya&quot;,&quot;parse-names&quot;:false,&quot;dropping-particle&quot;:&quot;&quot;,&quot;non-dropping-particle&quot;:&quot;&quot;},{&quot;family&quot;:&quot;Liu&quot;,&quot;given&quot;:&quot;Chuan&quot;,&quot;parse-names&quot;:false,&quot;dropping-particle&quot;:&quot;&quot;,&quot;non-dropping-particle&quot;:&quot;&quot;},{&quot;family&quot;:&quot;Fang&quot;,&quot;given&quot;:&quot;Zhiwei&quot;,&quot;parse-names&quot;:false,&quot;dropping-particle&quot;:&quot;&quot;,&quot;non-dropping-particle&quot;:&quot;&quot;},{&quot;family&quot;:&quot;Chou&quot;,&quot;given&quot;:&quot;Joyce&quot;,&quot;parse-names&quot;:false,&quot;dropping-particle&quot;:&quot;&quot;,&quot;non-dropping-particle&quot;:&quot;&quot;},{&quot;family&quot;:&quot;Glanville&quot;,&quot;given&quot;:&quot;Jacob&quot;,&quot;parse-names&quot;:false,&quot;dropping-particle&quot;:&quot;&quot;,&quot;non-dropping-particle&quot;:&quot;&quot;},{&quot;family&quot;:&quot;Hao&quot;,&quot;given&quot;:&quot;Qin&quot;,&quot;parse-names&quot;:false,&quot;dropping-particle&quot;:&quot;&quot;,&quot;non-dropping-particle&quot;:&quot;&quot;},{&quot;family&quot;:&quot;Kotowska&quot;,&quot;given&quot;:&quot;Dorota&quot;,&quot;parse-names&quot;:false,&quot;dropping-particle&quot;:&quot;&quot;,&quot;non-dropping-particle&quot;:&quot;&quot;},{&quot;family&quot;:&quot;Colding&quot;,&quot;given&quot;:&quot;Camilla&quot;,&quot;parse-names&quot;:false,&quot;dropping-particle&quot;:&quot;&quot;,&quot;non-dropping-particle&quot;:&quot;&quot;},{&quot;family&quot;:&quot;Licht&quot;,&quot;given&quot;:&quot;Tine Rask&quot;,&quot;parse-names&quot;:false,&quot;dropping-particle&quot;:&quot;&quot;,&quot;non-dropping-particle&quot;:&quot;&quot;},{&quot;family&quot;:&quot;Wu&quot;,&quot;given&quot;:&quot;Donghai&quot;,&quot;parse-names&quot;:false,&quot;dropping-particle&quot;:&quot;&quot;,&quot;non-dropping-particle&quot;:&quot;&quot;},{&quot;family&quot;:&quot;Yu&quot;,&quot;given&quot;:&quot;Jun&quot;,&quot;parse-names&quot;:false,&quot;dropping-particle&quot;:&quot;&quot;,&quot;non-dropping-particle&quot;:&quot;&quot;},{&quot;family&quot;:&quot;Sung&quot;,&quot;given&quot;:&quot;Joseph Jao Yiu&quot;,&quot;parse-names&quot;:false,&quot;dropping-particle&quot;:&quot;&quot;,&quot;non-dropping-particle&quot;:&quot;&quot;},{&quot;family&quot;:&quot;Liang&quot;,&quot;given&quot;:&quot;Qiaoyi&quot;,&quot;parse-names&quot;:false,&quot;dropping-particle&quot;:&quot;&quot;,&quot;non-dropping-particle&quot;:&quot;&quot;},{&quot;family&quot;:&quot;Li&quot;,&quot;given&quot;:&quot;Junhua&quot;,&quot;parse-names&quot;:false,&quot;dropping-particle&quot;:&quot;&quot;,&quot;non-dropping-particle&quot;:&quot;&quot;},{&quot;family&quot;:&quot;Jia&quot;,&quot;given&quot;:&quot;Huijue&quot;,&quot;parse-names&quot;:false,&quot;dropping-particle&quot;:&quot;&quot;,&quot;non-dropping-particle&quot;:&quot;&quot;},{&quot;family&quot;:&quot;Lan&quot;,&quot;given&quot;:&quot;Zhou&quot;,&quot;parse-names&quot;:false,&quot;dropping-particle&quot;:&quot;&quot;,&quot;non-dropping-particle&quot;:&quot;&quot;},{&quot;family&quot;:&quot;Tremaroli&quot;,&quot;given&quot;:&quot;Valentina&quot;,&quot;parse-names&quot;:false,&quot;dropping-particle&quot;:&quot;&quot;,&quot;non-dropping-particle&quot;:&quot;&quot;},{&quot;family&quot;:&quot;Dworzynski&quot;,&quot;given&quot;:&quot;Piotr&quot;,&quot;parse-names&quot;:false,&quot;dropping-particle&quot;:&quot;&quot;,&quot;non-dropping-particle&quot;:&quot;&quot;},{&quot;family&quot;:&quot;Nielsen&quot;,&quot;given&quot;:&quot;H. Bjørn&quot;,&quot;parse-names&quot;:false,&quot;dropping-particle&quot;:&quot;&quot;,&quot;non-dropping-particle&quot;:&quot;&quot;},{&quot;family&quot;:&quot;Bäckhed&quot;,&quot;given&quot;:&quot;Fredrik&quot;,&quot;parse-names&quot;:false,&quot;dropping-particle&quot;:&quot;&quot;,&quot;non-dropping-particle&quot;:&quot;&quot;},{&quot;family&quot;:&quot;Doré&quot;,&quot;given&quot;:&quot;Joël&quot;,&quot;parse-names&quot;:false,&quot;dropping-particle&quot;:&quot;&quot;,&quot;non-dropping-particle&quot;:&quot;&quot;},{&quot;family&quot;:&quot;Chatelier&quot;,&quot;given&quot;:&quot;Emmanuelle&quot;,&quot;parse-names&quot;:false,&quot;dropping-particle&quot;:&quot;&quot;,&quot;non-dropping-particle&quot;:&quot;le&quot;},{&quot;family&quot;:&quot;Ehrlich&quot;,&quot;given&quot;:&quot;S. Dusko&quot;,&quot;parse-names&quot;:false,&quot;dropping-particle&quot;:&quot;&quot;,&quot;non-dropping-particle&quot;:&quot;&quot;},{&quot;family&quot;:&quot;Lin&quot;,&quot;given&quot;:&quot;John C.&quot;,&quot;parse-names&quot;:false,&quot;dropping-particle&quot;:&quot;&quot;,&quot;non-dropping-particle&quot;:&quot;&quot;},{&quot;family&quot;:&quot;Arumugam&quot;,&quot;given&quot;:&quot;Manimozhiyan&quot;,&quot;parse-names&quot;:false,&quot;dropping-particle&quot;:&quot;&quot;,&quot;non-dropping-particle&quot;:&quot;&quot;},{&quot;family&quot;:&quot;Wang&quot;,&quot;given&quot;:&quot;Jun&quot;,&quot;parse-names&quot;:false,&quot;dropping-particle&quot;:&quot;&quot;,&quot;non-dropping-particle&quot;:&quot;&quot;},{&quot;family&quot;:&quot;Madsen&quot;,&quot;given&quot;:&quot;Lise&quot;,&quot;parse-names&quot;:false,&quot;dropping-particle&quot;:&quot;&quot;,&quot;non-dropping-particle&quot;:&quot;&quot;},{&quot;family&quot;:&quot;Kristiansen&quot;,&quot;given&quot;:&quot;Karsten&quot;,&quot;parse-names&quot;:false,&quot;dropping-particle&quot;:&quot;&quot;,&quot;non-dropping-particle&quot;:&quot;&quot;}],&quot;container-title&quot;:&quot;Nature Biotechnology&quot;,&quot;DOI&quot;:&quot;10.1038/nbt.3353&quot;,&quot;ISSN&quot;:&quot;15461696&quot;,&quot;PMID&quot;:&quot;26414350&quot;,&quot;issued&quot;:{&quot;date-parts&quot;:[[2015]]},&quot;page&quot;:&quot;1103-1108&quot;,&quot;abstract&quot;:&quot;We established a catalog of the mouse gut metagenome comprising ∼ 2.6 million nonredundant genes by sequencing DNA from fecal samples of 184 mice. To secure high microbiome diversity, we used mouse strains of diverse genetic backgrounds, from different providers, kept in different housing laboratories and fed either a low-fat or high-fat diet. Similar to the human gut microbiome, &gt;99% of the cataloged genes are bacterial. We identified 541 metagenomic species and defined a core set of 26 metagenomic species found in 95% of the mice. The mouse gut microbiome is functionally similar to its human counterpart, with 95.2% of its Kyoto Encyclopedia of Genes and Genomes (KEGG) orthologous groups in common. However, only 4.0% of the mouse gut microbial genes were shared (95% identity, 90% coverage) with those of the human gut microbiome. This catalog provides a useful reference for future studies.&quot;,&quot;issue&quot;:&quot;10&quot;,&quot;volume&quot;:&quot;33&quot;,&quot;container-title-short&quot;:&quot;&quot;},&quot;isTemporary&quot;:false},{&quot;id&quot;:&quot;78e915b4-9aab-31e3-a08d-d3b0bd853a26&quot;,&quot;itemData&quot;:{&quot;type&quot;:&quot;article-journal&quot;,&quot;id&quot;:&quot;78e915b4-9aab-31e3-a08d-d3b0bd853a26&quot;,&quot;title&quot;:&quot;The NIH Human Microbiome Project&quot;,&quot;author&quot;:[{&quot;family&quot;:&quot;Peterson&quot;,&quot;given&quot;:&quot;Jane&quot;,&quot;parse-names&quot;:false,&quot;dropping-particle&quot;:&quot;&quot;,&quot;non-dropping-particle&quot;:&quot;&quot;},{&quot;family&quot;:&quot;Garges&quot;,&quot;given&quot;:&quot;Susan&quot;,&quot;parse-names&quot;:false,&quot;dropping-particle&quot;:&quot;&quot;,&quot;non-dropping-particle&quot;:&quot;&quot;},{&quot;family&quot;:&quot;Giovanni&quot;,&quot;given&quot;:&quot;Maria&quot;,&quot;parse-names&quot;:false,&quot;dropping-particle&quot;:&quot;&quot;,&quot;non-dropping-particle&quot;:&quot;&quot;},{&quot;family&quot;:&quot;McInnes&quot;,&quot;given&quot;:&quot;Pamela&quot;,&quot;parse-names&quot;:false,&quot;dropping-particle&quot;:&quot;&quot;,&quot;non-dropping-particle&quot;:&quot;&quot;},{&quot;family&quot;:&quot;Wang&quot;,&quot;given&quot;:&quot;Lu&quot;,&quot;parse-names&quot;:false,&quot;dropping-particle&quot;:&quot;&quot;,&quot;non-dropping-particle&quot;:&quot;&quot;},{&quot;family&quot;:&quot;Schloss&quot;,&quot;given&quot;:&quot;Jeffery A.&quot;,&quot;parse-names&quot;:false,&quot;dropping-particle&quot;:&quot;&quot;,&quot;non-dropping-particle&quot;:&quot;&quot;},{&quot;family&quot;:&quot;Bonazzi&quot;,&quot;given&quot;:&quot;Vivien&quot;,&quot;parse-names&quot;:false,&quot;dropping-particle&quot;:&quot;&quot;,&quot;non-dropping-particle&quot;:&quot;&quot;},{&quot;family&quot;:&quot;McEwen&quot;,&quot;given&quot;:&quot;Jean E.&quot;,&quot;parse-names&quot;:false,&quot;dropping-particle&quot;:&quot;&quot;,&quot;non-dropping-particle&quot;:&quot;&quot;},{&quot;family&quot;:&quot;Wetterstrand&quot;,&quot;given&quot;:&quot;Kris A.&quot;,&quot;parse-names&quot;:false,&quot;dropping-particle&quot;:&quot;&quot;,&quot;non-dropping-particle&quot;:&quot;&quot;},{&quot;family&quot;:&quot;Deal&quot;,&quot;given&quot;:&quot;Carolyn&quot;,&quot;parse-names&quot;:false,&quot;dropping-particle&quot;:&quot;&quot;,&quot;non-dropping-particle&quot;:&quot;&quot;},{&quot;family&quot;:&quot;Baker&quot;,&quot;given&quot;:&quot;Carl C.&quot;,&quot;parse-names&quot;:false,&quot;dropping-particle&quot;:&quot;&quot;,&quot;non-dropping-particle&quot;:&quot;&quot;},{&quot;family&quot;:&quot;Francesco&quot;,&quot;given&quot;:&quot;Valentina&quot;,&quot;parse-names&quot;:false,&quot;dropping-particle&quot;:&quot;&quot;,&quot;non-dropping-particle&quot;:&quot;di&quot;},{&quot;family&quot;:&quot;Howcroft&quot;,&quot;given&quot;:&quot;T. Kevin&quot;,&quot;parse-names&quot;:false,&quot;dropping-particle&quot;:&quot;&quot;,&quot;non-dropping-particle&quot;:&quot;&quot;},{&quot;family&quot;:&quot;Karp&quot;,&quot;given&quot;:&quot;Robert W.&quot;,&quot;parse-names&quot;:false,&quot;dropping-particle&quot;:&quot;&quot;,&quot;non-dropping-particle&quot;:&quot;&quot;},{&quot;family&quot;:&quot;Lunsford&quot;,&quot;given&quot;:&quot;R. Dwayne&quot;,&quot;parse-names&quot;:false,&quot;dropping-particle&quot;:&quot;&quot;,&quot;non-dropping-particle&quot;:&quot;&quot;},{&quot;family&quot;:&quot;Wellington&quot;,&quot;given&quot;:&quot;Christopher R.&quot;,&quot;parse-names&quot;:false,&quot;dropping-particle&quot;:&quot;&quot;,&quot;non-dropping-particle&quot;:&quot;&quot;},{&quot;family&quot;:&quot;Belachew&quot;,&quot;given&quot;:&quot;Tsegahiwot&quot;,&quot;parse-names&quot;:false,&quot;dropping-particle&quot;:&quot;&quot;,&quot;non-dropping-particle&quot;:&quot;&quot;},{&quot;family&quot;:&quot;Wright&quot;,&quot;given&quot;:&quot;Michael&quot;,&quot;parse-names&quot;:false,&quot;dropping-particle&quot;:&quot;&quot;,&quot;non-dropping-particle&quot;:&quot;&quot;},{&quot;family&quot;:&quot;Giblin&quot;,&quot;given&quot;:&quot;Christina&quot;,&quot;parse-names&quot;:false,&quot;dropping-particle&quot;:&quot;&quot;,&quot;non-dropping-particle&quot;:&quot;&quot;},{&quot;family&quot;:&quot;David&quot;,&quot;given&quot;:&quot;Hagit&quot;,&quot;parse-names&quot;:false,&quot;dropping-particle&quot;:&quot;&quot;,&quot;non-dropping-particle&quot;:&quot;&quot;},{&quot;family&quot;:&quot;Mills&quot;,&quot;given&quot;:&quot;Melody&quot;,&quot;parse-names&quot;:false,&quot;dropping-particle&quot;:&quot;&quot;,&quot;non-dropping-particle&quot;:&quot;&quot;},{&quot;family&quot;:&quot;Salomon&quot;,&quot;given&quot;:&quot;Rachelle&quot;,&quot;parse-names&quot;:false,&quot;dropping-particle&quot;:&quot;&quot;,&quot;non-dropping-particle&quot;:&quot;&quot;},{&quot;family&quot;:&quot;Mullins&quot;,&quot;given&quot;:&quot;Christopher&quot;,&quot;parse-names&quot;:false,&quot;dropping-particle&quot;:&quot;&quot;,&quot;non-dropping-particle&quot;:&quot;&quot;},{&quot;family&quot;:&quot;Akolkar&quot;,&quot;given&quot;:&quot;Beena&quot;,&quot;parse-names&quot;:false,&quot;dropping-particle&quot;:&quot;&quot;,&quot;non-dropping-particle&quot;:&quot;&quot;},{&quot;family&quot;:&quot;Begg&quot;,&quot;given&quot;:&quot;Lisa&quot;,&quot;parse-names&quot;:false,&quot;dropping-particle&quot;:&quot;&quot;,&quot;non-dropping-particle&quot;:&quot;&quot;},{&quot;family&quot;:&quot;Davis&quot;,&quot;given&quot;:&quot;Cindy&quot;,&quot;parse-names&quot;:false,&quot;dropping-particle&quot;:&quot;&quot;,&quot;non-dropping-particle&quot;:&quot;&quot;},{&quot;family&quot;:&quot;Grandison&quot;,&quot;given&quot;:&quot;Lindsey&quot;,&quot;parse-names&quot;:false,&quot;dropping-particle&quot;:&quot;&quot;,&quot;non-dropping-particle&quot;:&quot;&quot;},{&quot;family&quot;:&quot;Humble&quot;,&quot;given&quot;:&quot;Michael&quot;,&quot;parse-names&quot;:false,&quot;dropping-particle&quot;:&quot;&quot;,&quot;non-dropping-particle&quot;:&quot;&quot;},{&quot;family&quot;:&quot;Khalsa&quot;,&quot;given&quot;:&quot;Jag&quot;,&quot;parse-names&quot;:false,&quot;dropping-particle&quot;:&quot;&quot;,&quot;non-dropping-particle&quot;:&quot;&quot;},{&quot;family&quot;:&quot;Roger Little&quot;,&quot;given&quot;:&quot;A.&quot;,&quot;parse-names&quot;:false,&quot;dropping-particle&quot;:&quot;&quot;,&quot;non-dropping-particle&quot;:&quot;&quot;},{&quot;family&quot;:&quot;Peavy&quot;,&quot;given&quot;:&quot;Hannah&quot;,&quot;parse-names&quot;:false,&quot;dropping-particle&quot;:&quot;&quot;,&quot;non-dropping-particle&quot;:&quot;&quot;},{&quot;family&quot;:&quot;Pontzer&quot;,&quot;given&quot;:&quot;Carol&quot;,&quot;parse-names&quot;:false,&quot;dropping-particle&quot;:&quot;&quot;,&quot;non-dropping-particle&quot;:&quot;&quot;},{&quot;family&quot;:&quot;Portnoy&quot;,&quot;given&quot;:&quot;Matthew&quot;,&quot;parse-names&quot;:false,&quot;dropping-particle&quot;:&quot;&quot;,&quot;non-dropping-particle&quot;:&quot;&quot;},{&quot;family&quot;:&quot;Sayre&quot;,&quot;given&quot;:&quot;Michael H.&quot;,&quot;parse-names&quot;:false,&quot;dropping-particle&quot;:&quot;&quot;,&quot;non-dropping-particle&quot;:&quot;&quot;},{&quot;family&quot;:&quot;Starke-Reed&quot;,&quot;given&quot;:&quot;Pamela&quot;,&quot;parse-names&quot;:false,&quot;dropping-particle&quot;:&quot;&quot;,&quot;non-dropping-particle&quot;:&quot;&quot;},{&quot;family&quot;:&quot;Zakhari&quot;,&quot;given&quot;:&quot;Samir&quot;,&quot;parse-names&quot;:false,&quot;dropping-particle&quot;:&quot;&quot;,&quot;non-dropping-particle&quot;:&quot;&quot;},{&quot;family&quot;:&quot;Read&quot;,&quot;given&quot;:&quot;Jennifer&quot;,&quot;parse-names&quot;:false,&quot;dropping-particle&quot;:&quot;&quot;,&quot;non-dropping-particle&quot;:&quot;&quot;},{&quot;family&quot;:&quot;Watson&quot;,&quot;given&quot;:&quot;Bracie&quot;,&quot;parse-names&quot;:false,&quot;dropping-particle&quot;:&quot;&quot;,&quot;non-dropping-particle&quot;:&quot;&quot;},{&quot;family&quot;:&quot;Guyer&quot;,&quot;given&quot;:&quot;Mark&quot;,&quot;parse-names&quot;:false,&quot;dropping-particle&quot;:&quot;&quot;,&quot;non-dropping-particle&quot;:&quot;&quot;}],&quot;container-title&quot;:&quot;Genome Research&quot;,&quot;DOI&quot;:&quot;10.1101/gr.096651.109&quot;,&quot;ISSN&quot;:&quot;10889051&quot;,&quot;PMID&quot;:&quot;19819907&quot;,&quot;issued&quot;:{&quot;date-parts&quot;:[[2009]]},&quot;page&quot;:&quot;2317-2323&quot;,&quot;abstract&quot;:&quot;The Human Microbiome Project (HMP), funded as an initiative of the NIH Roadmap for Biomedical Research (http://nihroadmap.nih.gov), is a multi-component community resource. The goals of the HMP are: (1) to take advantage of new, high-throughput technologies to characterize the human microbiome more fully by studying samples from multiple body sites from each of at least 250 \&quot;normal\&quot; volunteers; (2) to determine whether there are associations between changes in the microbiome and health/disease by studying several different medical conditions; and (3) to provide both a standardized data resource and new technological approaches to enable such studies to be undertaken broadly in the scientific community. The ethical, legal, and social implications of such research are being systematically studied as well. The ultimate objective of the HMP is to demonstrate that there are opportunities to improve human health through monitoring or manipulation of the human microbiome. The history and implementation of this new program are described here.&quot;,&quot;issue&quot;:&quot;12&quot;,&quot;volume&quot;:&quot;19&quot;,&quot;container-title-short&quot;:&quot;&quot;},&quot;isTemporary&quot;:false}]},{&quot;citationID&quot;:&quot;MENDELEY_CITATION_41a81b9f-271a-4fac-b9c1-a7e8ebeec6e7&quot;,&quot;properties&quot;:{&quot;noteIndex&quot;:0},&quot;isEdited&quot;:false,&quot;manualOverride&quot;:{&quot;isManuallyOverridden&quot;:false,&quot;citeprocText&quot;:&quot;&lt;sup&gt;92&lt;/sup&gt;&quot;,&quot;manualOverrideText&quot;:&quot;&quot;},&quot;citationTag&quot;:&quot;MENDELEY_CITATION_v3_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&quot;,&quot;citationItems&quot;:[{&quot;id&quot;:&quot;56ae4356-9bdf-3f97-affa-8abe2e80b380&quot;,&quot;itemData&quot;:{&quot;type&quot;:&quot;article-journal&quot;,&quot;id&quot;:&quot;56ae4356-9bdf-3f97-affa-8abe2e80b380&quot;,&quot;title&quot;:&quot;Defining a healthy human gut microbiome: Current concepts, future directions, and clinical applications&quot;,&quot;author&quot;:[{&quot;family&quot;:&quot;Bäckhed&quot;,&quot;given&quot;:&quot;Fredrik&quot;,&quot;parse-names&quot;:false,&quot;dropping-particle&quot;:&quot;&quot;,&quot;non-dropping-particle&quot;:&quot;&quot;},{&quot;family&quot;:&quot;Fraser&quot;,&quot;given&quot;:&quot;Claire M.&quot;,&quot;parse-names&quot;:false,&quot;dropping-particle&quot;:&quot;&quot;,&quot;non-dropping-particle&quot;:&quot;&quot;},{&quot;family&quot;:&quot;Ringel&quot;,&quot;given&quot;:&quot;Yehuda&quot;,&quot;parse-names&quot;:false,&quot;dropping-particle&quot;:&quot;&quot;,&quot;non-dropping-particle&quot;:&quot;&quot;},{&quot;family&quot;:&quot;Sanders&quot;,&quot;given&quot;:&quot;Mary Ellen&quot;,&quot;parse-names&quot;:false,&quot;dropping-particle&quot;:&quot;&quot;,&quot;non-dropping-particle&quot;:&quot;&quot;},{&quot;family&quot;:&quot;Sartor&quot;,&quot;given&quot;:&quot;R. Balfour&quot;,&quot;parse-names&quot;:false,&quot;dropping-particle&quot;:&quot;&quot;,&quot;non-dropping-particle&quot;:&quot;&quot;},{&quot;family&quot;:&quot;Sherman&quot;,&quot;given&quot;:&quot;Philip M.&quot;,&quot;parse-names&quot;:false,&quot;dropping-particle&quot;:&quot;&quot;,&quot;non-dropping-particle&quot;:&quot;&quot;},{&quot;family&quot;:&quot;Versalovic&quot;,&quot;given&quot;:&quot;James&quot;,&quot;parse-names&quot;:false,&quot;dropping-particle&quot;:&quot;&quot;,&quot;non-dropping-particle&quot;:&quot;&quot;},{&quot;family&quot;:&quot;Young&quot;,&quot;given&quot;:&quot;Vincent&quot;,&quot;parse-names&quot;:false,&quot;dropping-particle&quot;:&quot;&quot;,&quot;non-dropping-particle&quot;:&quot;&quot;},{&quot;family&quot;:&quot;Finlay&quot;,&quot;given&quot;:&quot;B. Brett&quot;,&quot;parse-names&quot;:false,&quot;dropping-particle&quot;:&quot;&quot;,&quot;non-dropping-particle&quot;:&quot;&quot;}],&quot;container-title&quot;:&quot;Cell Host and Microbe&quot;,&quot;DOI&quot;:&quot;10.1016/j.chom.2012.10.012&quot;,&quot;ISSN&quot;:&quot;19313128&quot;,&quot;PMID&quot;:&quot;23159051&quot;,&quot;issued&quot;:{&quot;date-parts&quot;:[[2012]]},&quot;page&quot;:&quot;611-622&quot;,&quot;abstract&quot;:&quot;Indigenous microbiota are an essential component in the modern concept of human health, but the composition and functional characteristics of a healthy microbiome remain to be precisely defined. Patterns of microbial colonization associated with disease states have been documented, but the health-associated microbial patterns and their functional characteristics are less clear. A healthy microbiome, considered in the context of body habitat or body site, could be described in terms of ecologic stability (i.e., ability to resist community structure change under stress or to rapidly return to baseline following a stress-related change), by an idealized (presumably health-associated) composition or by a desirable functional profile (including metabolic and trophic provisions to the host). Elucidation of the properties of healthy microbiota would provide a target for dietary interventions and/or microbial modifications aimed at sustaining health in generally healthy populations and improving the health of individuals exhibiting disrupted microbiota and associated diseases. © 2012 Elsevier Inc.&quot;,&quot;issue&quot;:&quot;5&quot;,&quot;volume&quot;:&quot;12&quot;,&quot;container-title-short&quot;:&quot;&quot;},&quot;isTemporary&quot;:false}]},{&quot;citationID&quot;:&quot;MENDELEY_CITATION_669a2acf-ac90-4584-9b89-88133af246db&quot;,&quot;properties&quot;:{&quot;noteIndex&quot;:0},&quot;isEdited&quot;:false,&quot;manualOverride&quot;:{&quot;isManuallyOverridden&quot;:false,&quot;citeprocText&quot;:&quot;&lt;sup&gt;5,93&lt;/sup&gt;&quot;,&quot;manualOverrideText&quot;:&quot;&quot;},&quot;citationTag&quot;:&quot;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&quot;,&quot;citationItems&quot;:[{&quot;id&quot;:&quot;e2dfb43d-5ea5-3daa-a7f6-397fc23fed46&quot;,&quot;itemData&quot;:{&quot;type&quot;:&quot;article-journal&quot;,&quot;id&quot;:&quot;e2dfb43d-5ea5-3daa-a7f6-397fc23fed46&quot;,&quot;title&quot;:&quot;The impact of sequence database choice on metaproteomic results in gut microbiota studies&quot;,&quot;author&quot;:[{&quot;family&quot;:&quot;Tanca&quot;,&quot;given&quot;:&quot;Alessandro&quot;,&quot;parse-names&quot;:false,&quot;dropping-particle&quot;:&quot;&quot;,&quot;non-dropping-particle&quot;:&quot;&quot;},{&quot;family&quot;:&quot;Palomba&quot;,&quot;given&quot;:&quot;Antonio&quot;,&quot;parse-names&quot;:false,&quot;dropping-particle&quot;:&quot;&quot;,&quot;non-dropping-particle&quot;:&quot;&quot;},{&quot;family&quot;:&quot;Fraumene&quot;,&quot;given&quot;:&quot;Cristina&quot;,&quot;parse-names&quot;:false,&quot;dropping-particle&quot;:&quot;&quot;,&quot;non-dropping-particle&quot;:&quot;&quot;},{&quot;family&quot;:&quot;Pagnozzi&quot;,&quot;given&quot;:&quot;Daniela&quot;,&quot;parse-names&quot;:false,&quot;dropping-particle&quot;:&quot;&quot;,&quot;non-dropping-particle&quot;:&quot;&quot;},{&quot;family&quot;:&quot;Manghina&quot;,&quot;given&quot;:&quot;Valeria&quot;,&quot;parse-names&quot;:false,&quot;dropping-particle&quot;:&quot;&quot;,&quot;non-dropping-particle&quot;:&quot;&quot;},{&quot;family&quot;:&quot;Deligios&quot;,&quot;given&quot;:&quot;Massimo&quot;,&quot;parse-names&quot;:false,&quot;dropping-particle&quot;:&quot;&quot;,&quot;non-dropping-particle&quot;:&quot;&quot;},{&quot;family&quot;:&quot;Muth&quot;,&quot;given&quot;:&quot;Thilo&quot;,&quot;parse-names&quot;:false,&quot;dropping-particle&quot;:&quot;&quot;,&quot;non-dropping-particle&quot;:&quot;&quot;},{&quot;family&quot;:&quot;Rapp&quot;,&quot;given&quot;:&quot;Erdmann&quot;,&quot;parse-names&quot;:false,&quot;dropping-particle&quot;:&quot;&quot;,&quot;non-dropping-particle&quot;:&quot;&quot;},{&quot;family&quot;:&quot;Martens&quot;,&quot;given&quot;:&quot;Lennart&quot;,&quot;parse-names&quot;:false,&quot;dropping-particle&quot;:&quot;&quot;,&quot;non-dropping-particle&quot;:&quot;&quot;},{&quot;family&quot;:&quot;Addis&quot;,&quot;given&quot;:&quot;Maria Filippa&quot;,&quot;parse-names&quot;:false,&quot;dropping-particle&quot;:&quot;&quot;,&quot;non-dropping-particle&quot;:&quot;&quot;},{&quot;family&quot;:&quot;Uzzau&quot;,&quot;given&quot;:&quot;Sergio&quot;,&quot;parse-names&quot;:false,&quot;dropping-particle&quot;:&quot;&quot;,&quot;non-dropping-particle&quot;:&quot;&quot;}],&quot;container-title&quot;:&quot;Microbiome&quot;,&quot;DOI&quot;:&quot;10.1186/s40168-016-0196-8&quot;,&quot;ISSN&quot;:&quot;20492618&quot;,&quot;URL&quot;:&quot;http://dx.doi.org/10.1186/s40168-016-0196-8&quot;,&quot;issued&quot;:{&quot;date-parts&quot;:[[2016]]},&quot;page&quot;:&quot;1-13&quot;,&quot;abstract&quot;:&quot;Background: Elucidating the role of gut microbiota in physiological and pathological processes has recently emerged as a key research aim in life sciences. In this respect, metaproteomics, the study of the whole protein complement of a microbial community, can provide a unique contribution by revealing which functions are actually being expressed by specific microbial taxa. However, its wide application to gut microbiota research has been hindered by challenges in data analysis, especially related to the choice of the proper sequence databases for protein identification. Results: Here, we present a systematic investigation of variables concerning database construction and annotation and evaluate their impact on human and mouse gut metaproteomic results. We found that both publicly available and experimental metagenomic databases lead to the identification of unique peptide assortments, suggesting parallel database searches as a mean to gain more complete information. In particular, the contribution of experimental metagenomic databases was revealed to be mandatory when dealing with mouse samples. Moreover, the use of a \&quot;merged\&quot; database, containing all metagenomic sequences from the population under study, was found to be generally preferable over the use of sample-matched databases. We also observed that taxonomic and functional results are strongly database-dependent, in particular when analyzing the mouse gut microbiota. As a striking example, the Firmicutes/Bacteroidetes ratio varied up to tenfold depending on the database used. Finally, assembling reads into longer contigs provided significant advantages in terms of functional annotation yields. Conclusions: This study contributes to identify host- and database-specific biases which need to be taken into account in a metaproteomic experiment, providing meaningful insights on how to design gut microbiota studies and to perform metaproteomic data analysis. In particular, the use of multiple databases and annotation tools has to be encouraged, even though this requires appropriate bioinformatic resources.&quot;,&quot;publisher&quot;:&quot;Microbiome&quot;,&quot;volume&quot;:&quot;4&quot;,&quot;container-title-short&quot;:&quot;Microbiome&quot;},&quot;isTemporary&quot;:false},{&quot;id&quot;:&quot;f6bf0ee7-36a5-3c97-9582-c1eed20a989d&quot;,&quot;itemData&quot;:{&quot;type&quot;:&quot;article-journal&quot;,&quot;id&quot;:&quot;f6bf0ee7-36a5-3c97-9582-c1eed20a989d&quot;,&quot;title&quot;:&quot;Phylogenetically Novel Uncultured Microbial Cells Dominate Earth Microbiomes&quot;,&quot;author&quot;:[{&quot;family&quot;:&quot;Lloyd&quot;,&quot;given&quot;:&quot;Karen G.&quot;,&quot;parse-names&quot;:false,&quot;dropping-particle&quot;:&quot;&quot;,&quot;non-dropping-particle&quot;:&quot;&quot;},{&quot;family&quot;:&quot;Steen&quot;,&quot;given&quot;:&quot;Andrew D.&quot;,&quot;parse-names&quot;:false,&quot;dropping-particle&quot;:&quot;&quot;,&quot;non-dropping-particle&quot;:&quot;&quot;},{&quot;family&quot;:&quot;Ladau&quot;,&quot;given&quot;:&quot;Joshua&quot;,&quot;parse-names&quot;:false,&quot;dropping-particle&quot;:&quot;&quot;,&quot;non-dropping-particle&quot;:&quot;&quot;},{&quot;family&quot;:&quot;Yin&quot;,&quot;given&quot;:&quot;Junqi&quot;,&quot;parse-names&quot;:false,&quot;dropping-particle&quot;:&quot;&quot;,&quot;non-dropping-particle&quot;:&quot;&quot;},{&quot;family&quot;:&quot;Crosby&quot;,&quot;given&quot;:&quot;Lonnie&quot;,&quot;parse-names&quot;:false,&quot;dropping-particle&quot;:&quot;&quot;,&quot;non-dropping-particle&quot;:&quot;&quot;}],&quot;container-title&quot;:&quot;mSystems&quot;,&quot;container-title-short&quot;:&quot;mSystems&quot;,&quot;DOI&quot;:&quot;10.1128/msystems.00055-18&quot;,&quot;ISSN&quot;:&quot;23795077&quot;,&quot;issued&quot;:{&quot;date-parts&quot;:[[2018]]},&quot;abstract&quot;:&quot;In the past few decades, it has become apparent that most of the microbial diversity on Earth has never been characterized in laboratory cultures. We show that these unknown microbes, sometimes called “microbial dark matter,” are numerically dominant in all major environments on Earth, with the exception of the human body, where most of the microbes have been cultured. We also estimate that about one-quarter of the population of microbial cells on Earth belong to phyla with no cultured relatives, suggesting that these never-before-studied organisms may be important for ecosystem functions. To describe a microbe’s physiology, including its metabolism, environmental roles, and growth characteristics, it must be grown in a laboratory culture. Unfortunately, many phylogenetically novel groups have never been cultured, so their physiologies have only been inferred from genomics and environmental characteristics. Although the diversity, or number of different taxonomic groups, of uncultured clades has been studied well, their global abundances, or numbers of cells in any given environment, have not been assessed. We quantified the degree of similarity of 16S rRNA gene sequences from diverse environments in publicly available metagenome and metatranscriptome databases, which we show have far less of the culture bias present in primer-amplified 16S rRNA gene surveys, to those of their nearest cultured relatives. Whether normalized to scaffold read depths or not, the highest abundances of metagenomic 16S rRNA gene sequences belong to phylogenetically novel uncultured groups in seawater, freshwater, terrestrial subsurface, soil, hypersaline environments, marine sediment, hot springs, hydrothermal vents, nonhuman hosts, snow, and bioreactors (22% to 87% uncultured genera to classes and 0% to 64% uncultured phyla). The exceptions were human and human-associated environments, which were dominated by cultured genera (45% to 97%). We estimate that uncultured genera and phyla could comprise 7.3 × 10 29 (81%) and 2.2 × 10 29 (25%) of microbial cells, respectively. Uncultured phyla were overrepresented in metatranscriptomes relative to metagenomes (46% to 84% of sequences in a given environment), suggesting that they are viable. Therefore, uncultured microbes, often from deeply phylogenetically divergent groups, dominate nonhuman environments on Earth, and their undiscovered physiologies may matter for Earth systems.  IMPORTANCE In the past few decades, it has become apparent that most of the microbial diversity on Earth has never been characterized in laboratory cultures. We show that these unknown microbes, sometimes called “microbial dark matter,” are numerically dominant in all major environments on Earth, with the exception of the human body, where most of the microbes have been cultured. We also estimate that about one-quarter of the population of microbial cells on Earth belong to phyla with no cultured relatives, suggesting that these never-before-studied organisms may be important for ecosystem functions.  Author Video : An author video summary of this article is available. &quot;,&quot;issue&quot;:&quot;5&quot;,&quot;volume&quot;:&quot;3&quot;},&quot;isTemporary&quot;:false}]},{&quot;citationID&quot;:&quot;MENDELEY_CITATION_3f9566e2-a04e-4708-89d3-b80b69fd43b2&quot;,&quot;properties&quot;:{&quot;noteIndex&quot;:0},&quot;isEdited&quot;:false,&quot;manualOverride&quot;:{&quot;isManuallyOverridden&quot;:false,&quot;citeprocText&quot;:&quot;&lt;sup&gt;94&lt;/sup&gt;&quot;,&quot;manualOverrideText&quot;:&quot;&quot;},&quot;citationTag&quot;:&quot;MENDELEY_CITATION_v3_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&quot;,&quot;citationItems&quot;:[{&quot;id&quot;:&quot;dcb28b94-4a38-3050-a985-f26c96d0031d&quot;,&quot;itemData&quot;:{&quot;type&quot;:&quot;book&quot;,&quot;id&quot;:&quot;dcb28b94-4a38-3050-a985-f26c96d0031d&quot;,&quot;title&quot;:&quot;Emerging sample treatments in proteomics&quot;,&quot;author&quot;:[{&quot;family&quot;:&quot;Capelo&quot;,&quot;given&quot;:&quot;J.L.&quot;,&quot;parse-names&quot;:false,&quot;dropping-particle&quot;:&quot;&quot;,&quot;non-dropping-particle&quot;:&quot;&quot;}],&quot;ISBN&quot;:&quot;9783030122973&quot;,&quot;issued&quot;:{&quot;date-parts&quot;:[[2019]]},&quot;number-of-pages&quot;:&quot;pp 135&quot;,&quot;container-title-short&quot;:&quot;&quot;},&quot;isTemporary&quot;:false}]},{&quot;citationID&quot;:&quot;MENDELEY_CITATION_36bac854-aa95-471d-bcbb-34c520e874b5&quot;,&quot;properties&quot;:{&quot;noteIndex&quot;:0},&quot;isEdited&quot;:false,&quot;manualOverride&quot;:{&quot;isManuallyOverridden&quot;:false,&quot;citeprocText&quot;:&quot;&lt;sup&gt;95,96&lt;/sup&gt;&quot;,&quot;manualOverrideText&quot;:&quot;&quot;},&quot;citationTag&quot;:&quot;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&quot;,&quot;citationItems&quot;:[{&quot;id&quot;:&quot;81bfff9f-553d-34a1-ae42-a6ea3c83d8b8&quot;,&quot;itemData&quot;:{&quot;type&quot;:&quot;article-journal&quot;,&quot;id&quot;:&quot;81bfff9f-553d-34a1-ae42-a6ea3c83d8b8&quot;,&quot;title&quot;:&quot;The MetaProteomeAnalyzer: A powerful open-source software suite for metaproteomics data analysis and interpretation&quot;,&quot;author&quot;:[{&quot;family&quot;:&quot;Muth&quot;,&quot;given&quot;:&quot;Thilo&quot;,&quot;parse-names&quot;:false,&quot;dropping-particle&quot;:&quot;&quot;,&quot;non-dropping-particle&quot;:&quot;&quot;},{&quot;family&quot;:&quot;Behne&quot;,&quot;given&quot;:&quot;Alexander&quot;,&quot;parse-names&quot;:false,&quot;dropping-particle&quot;:&quot;&quot;,&quot;non-dropping-particle&quot;:&quot;&quot;},{&quot;family&quot;:&quot;Heyer&quot;,&quot;given&quot;:&quot;Robert&quot;,&quot;parse-names&quot;:false,&quot;dropping-particle&quot;:&quot;&quot;,&quot;non-dropping-particle&quot;:&quot;&quot;},{&quot;family&quot;:&quot;Kohrs&quot;,&quot;given&quot;:&quot;Fabian&quot;,&quot;parse-names&quot;:false,&quot;dropping-particle&quot;:&quot;&quot;,&quot;non-dropping-particle&quot;:&quot;&quot;},{&quot;family&quot;:&quot;Benndorf&quot;,&quot;given&quot;:&quot;Dirk&quot;,&quot;parse-names&quot;:false,&quot;dropping-particle&quot;:&quot;&quot;,&quot;non-dropping-particle&quot;:&quot;&quot;},{&quot;family&quot;:&quot;Hoffmann&quot;,&quot;given&quot;:&quot;Marcus&quot;,&quot;parse-names&quot;:false,&quot;dropping-particle&quot;:&quot;&quot;,&quot;non-dropping-particle&quot;:&quot;&quot;},{&quot;family&quot;:&quot;Lehtevä&quot;,&quot;given&quot;:&quot;Miro&quot;,&quot;parse-names&quot;:false,&quot;dropping-particle&quot;:&quot;&quot;,&quot;non-dropping-particle&quot;:&quot;&quot;},{&quot;family&quot;:&quot;Reichl&quot;,&quot;given&quot;:&quot;Udo&quot;,&quot;parse-names&quot;:false,&quot;dropping-particle&quot;:&quot;&quot;,&quot;non-dropping-particle&quot;:&quot;&quot;},{&quot;family&quot;:&quot;Martens&quot;,&quot;given&quot;:&quot;Lennart&quot;,&quot;parse-names&quot;:false,&quot;dropping-particle&quot;:&quot;&quot;,&quot;non-dropping-particle&quot;:&quot;&quot;},{&quot;family&quot;:&quot;Rapp&quot;,&quot;given&quot;:&quot;Erdmann&quot;,&quot;parse-names&quot;:false,&quot;dropping-particle&quot;:&quot;&quot;,&quot;non-dropping-particle&quot;:&quot;&quot;}],&quot;container-title&quot;:&quot;Journal of Proteome Research&quot;,&quot;DOI&quot;:&quot;10.1021/pr501246w&quot;,&quot;ISSN&quot;:&quot;15353907&quot;,&quot;PMID&quot;:&quot;25660940&quot;,&quot;issued&quot;:{&quot;date-parts&quot;:[[2015]]},&quot;page&quot;:&quot;1557-1565&quot;,&quot;abstract&quot;:&quot;The enormous challenges of mass spectrometry-based metaproteomics are primarily related to the analysis and interpretation of the acquired data. This includes reliable identification of mass spectra and the meaningful integration of taxonomic and functional meta-information from samples containing hundreds of unknown species. To ease these difficulties, we developed a dedicated software suite, the MetaProteomeAnalyzer, an intuitive open-source tool for metaproteomics data analysis and interpretation, which includes multiple search engines and the feature to decrease data redundancy by grouping protein hits to so-called meta-proteins. We also designed a graph database back-end for the MetaProteomeAnalyzer to allow seamless analysis of results. The functionality of the MetaProteomeAnalyzer is demonstrated using a sample of a microbial community taken from a biogas plant.&quot;,&quot;issue&quot;:&quot;3&quot;,&quot;volume&quot;:&quot;14&quot;,&quot;container-title-short&quot;:&quot;&quot;},&quot;isTemporary&quot;:false},{&quot;id&quot;:&quot;06e20581-4515-3729-8043-d1e20e564f0f&quot;,&quot;itemData&quot;:{&quot;type&quot;:&quot;article-journal&quot;,&quot;id&quot;:&quot;06e20581-4515-3729-8043-d1e20e564f0f&quot;,&quot;title&quot;:&quot;MetaPro-IQ: A universal metaproteomic approach to studying human and mouse gut microbiota&quot;,&quot;author&quot;:[{&quot;family&quot;:&quot;Zhang&quot;,&quot;given&quot;:&quot;Xu&quot;,&quot;parse-names&quot;:false,&quot;dropping-particle&quot;:&quot;&quot;,&quot;non-dropping-particle&quot;:&quot;&quot;},{&quot;family&quot;:&quot;Ning&quot;,&quot;given&quot;:&quot;Zhibin&quot;,&quot;parse-names&quot;:false,&quot;dropping-particle&quot;:&quot;&quot;,&quot;non-dropping-particle&quot;:&quot;&quot;},{&quot;family&quot;:&quot;Mayne&quot;,&quot;given&quot;:&quot;Janice&quot;,&quot;parse-names&quot;:false,&quot;dropping-particle&quot;:&quot;&quot;,&quot;non-dropping-particle&quot;:&quot;&quot;},{&quot;family&quot;:&quot;Moore&quot;,&quot;given&quot;:&quot;Jasmine I.&quot;,&quot;parse-names&quot;:false,&quot;dropping-particle&quot;:&quot;&quot;,&quot;non-dropping-particle&quot;:&quot;&quot;},{&quot;family&quot;:&quot;Li&quot;,&quot;given&quot;:&quot;Jennifer&quot;,&quot;parse-names&quot;:false,&quot;dropping-particle&quot;:&quot;&quot;,&quot;non-dropping-particle&quot;:&quot;&quot;},{&quot;family&quot;:&quot;Butcher&quot;,&quot;given&quot;:&quot;James&quot;,&quot;parse-names&quot;:false,&quot;dropping-particle&quot;:&quot;&quot;,&quot;non-dropping-particle&quot;:&quot;&quot;},{&quot;family&quot;:&quot;Deeke&quot;,&quot;given&quot;:&quot;Shelley Ann&quot;,&quot;parse-names&quot;:false,&quot;dropping-particle&quot;:&quot;&quot;,&quot;non-dropping-particle&quot;:&quot;&quot;},{&quot;family&quot;:&quot;Chen&quot;,&quot;given&quot;:&quot;Rui&quot;,&quot;parse-names&quot;:false,&quot;dropping-particle&quot;:&quot;&quot;,&quot;non-dropping-particle&quot;:&quot;&quot;},{&quot;family&quot;:&quot;Chiang&quot;,&quot;given&quot;:&quot;Cheng Kang&quot;,&quot;parse-names&quot;:false,&quot;dropping-particle&quot;:&quot;&quot;,&quot;non-dropping-particle&quot;:&quot;&quot;},{&quot;family&quot;:&quot;Wen&quot;,&quot;given&quot;:&quot;Ming&quot;,&quot;parse-names&quot;:false,&quot;dropping-particle&quot;:&quot;&quot;,&quot;non-dropping-particle&quot;:&quot;&quot;},{&quot;family&quot;:&quot;Mack&quot;,&quot;given&quot;:&quot;David&quot;,&quot;parse-names&quot;:false,&quot;dropping-particle&quot;:&quot;&quot;,&quot;non-dropping-particle&quot;:&quot;&quot;},{&quot;family&quot;:&quot;Stintzi&quot;,&quot;given&quot;:&quot;Alain&quot;,&quot;parse-names&quot;:false,&quot;dropping-particle&quot;:&quot;&quot;,&quot;non-dropping-particle&quot;:&quot;&quot;},{&quot;family&quot;:&quot;Figeys&quot;,&quot;given&quot;:&quot;Daniel&quot;,&quot;parse-names&quot;:false,&quot;dropping-particle&quot;:&quot;&quot;,&quot;non-dropping-particle&quot;:&quot;&quot;}],&quot;container-title&quot;:&quot;Microbiome&quot;,&quot;DOI&quot;:&quot;10.1186/s40168-016-0176-z&quot;,&quot;ISSN&quot;:&quot;20492618&quot;,&quot;PMID&quot;:&quot;27343061&quot;,&quot;URL&quot;:&quot;http://dx.doi.org/10.1186/s40168-016-0176-z&quot;,&quot;issued&quot;:{&quot;date-parts&quot;:[[2016]]},&quot;page&quot;:&quot;1-12&quot;,&quot;abstract&quot;:&quot;Background: The gut microbiota has been shown to be closely associated with human health and disease. While next-generation sequencing can be readily used to profile the microbiota taxonomy and metabolic potential, metaproteomics is better suited for deciphering microbial biological activities. However, the application of gut metaproteomics has largely been limited due to the low efficiency of protein identification. Thus, a high-performance and easy-to-implement gut metaproteomic approach is required. Results: In this study, we developed a high-performance and universal workflow for gut metaproteome identification and quantification (named MetaPro-IQ) by using the close-to-complete human or mouse gut microbial gene catalog as database and an iterative database search strategy. An average of 38 and 33 % of the acquired tandem mass spectrometry (MS) spectra was confidently identified for the studied mouse stool and human mucosal-luminal interface samples, respectively. In total, we accurately quantified 30,749 protein groups for the mouse metaproteome and 19,011 protein groups for the human metaproteome. Moreover, the MetaPro-IQ approach enabled comparable identifications with the matched metagenome database search strategy that is widely used but needs prior metagenomic sequencing. The response of gut microbiota to high-fat diet in mice was then assessed, which showed distinct metaproteome patterns for high-fat-fed mice and identified 849 proteins as significant responders to high-fat feeding in comparison to low-fat feeding. Conclusions: We present MetaPro-IQ, a metaproteomic approach for highly efficient intestinal microbial protein identification and quantification, which functions as a universal workflow for metaproteomic studies, and will thus facilitate the application of metaproteomics for better understanding the functions of gut microbiota in health and disease.&quot;,&quot;publisher&quot;:&quot;Microbiome&quot;,&quot;volume&quot;:&quot;4&quot;,&quot;container-title-short&quot;:&quot;Microbiome&quot;},&quot;isTemporary&quot;:false}]},{&quot;citationID&quot;:&quot;MENDELEY_CITATION_6af558a9-8a05-4142-8241-b4d608740a74&quot;,&quot;properties&quot;:{&quot;noteIndex&quot;:0},&quot;isEdited&quot;:false,&quot;manualOverride&quot;:{&quot;isManuallyOverridden&quot;:false,&quot;citeprocText&quot;:&quot;&lt;sup&gt;97&lt;/sup&gt;&quot;,&quot;manualOverrideText&quot;:&quot;&quot;},&quot;citationTag&quot;:&quot;MENDELEY_CITATION_v3_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&quot;,&quot;citationItems&quot;:[{&quot;id&quot;:&quot;e776de5a-b77c-35b8-8e87-a66a7bd57dbb&quot;,&quot;itemData&quot;:{&quot;type&quot;:&quot;article-journal&quot;,&quot;id&quot;:&quot;e776de5a-b77c-35b8-8e87-a66a7bd57dbb&quot;,&quot;title&quot;:&quot;Potential for false positive identifications from large databases through tandem mass spectrometry&quot;,&quot;author&quot;:[{&quot;family&quot;:&quot;Cargile&quot;,&quot;given&quot;:&quot;Benjamin J.&quot;,&quot;parse-names&quot;:false,&quot;dropping-particle&quot;:&quot;&quot;,&quot;non-dropping-particle&quot;:&quot;&quot;},{&quot;family&quot;:&quot;Bundy&quot;,&quot;given&quot;:&quot;Jonathan L.&quot;,&quot;parse-names&quot;:false,&quot;dropping-particle&quot;:&quot;&quot;,&quot;non-dropping-particle&quot;:&quot;&quot;},{&quot;family&quot;:&quot;Stephenson&quot;,&quot;given&quot;:&quot;James L.&quot;,&quot;parse-names&quot;:false,&quot;dropping-particle&quot;:&quot;&quot;,&quot;non-dropping-particle&quot;:&quot;&quot;}],&quot;container-title&quot;:&quot;Journal of Proteome Research&quot;,&quot;DOI&quot;:&quot;10.1021/pr049946o&quot;,&quot;ISSN&quot;:&quot;15353893&quot;,&quot;PMID&quot;:&quot;15473699&quot;,&quot;issued&quot;:{&quot;date-parts&quot;:[[2004]]},&quot;page&quot;:&quot;1082-1085&quot;,&quot;abstract&quot;:&quot;The biomedical research community at large is increasingly employing shotgun proteomics for large-scale identification of proteins from enzymatic digests. Typically, the approach used to identify proteins and peptides from tandem mass spectral data is based on the matching of experimentally generated tandem mass spectra to the theoretical best match from a protein database. Here, we present the potential difficulties of using such an approach without statistical consideration of the false positive rate, especially when large databases, as are encountered in eukaryotes are considered. This is illustrated by searching a dataset generated from a multidimensional separation of a eukaroytic tryptic digest against an in silico generated random protein database, which generated a significant number of positive matches, even when previously suggested score filtering criteria are used.&quot;,&quot;issue&quot;:&quot;5&quot;,&quot;volume&quot;:&quot;3&quot;,&quot;container-title-short&quot;:&quot;&quot;},&quot;isTemporary&quot;:false}]},{&quot;citationID&quot;:&quot;MENDELEY_CITATION_16bd04e9-45c4-4c41-a676-55c14f1e16f7&quot;,&quot;properties&quot;:{&quot;noteIndex&quot;:0},&quot;isEdited&quot;:false,&quot;manualOverride&quot;:{&quot;isManuallyOverridden&quot;:false,&quot;citeprocText&quot;:&quot;&lt;sup&gt;97&lt;/sup&gt;&quot;,&quot;manualOverrideText&quot;:&quot;&quot;},&quot;citationTag&quot;:&quot;MENDELEY_CITATION_v3_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&quot;,&quot;citationItems&quot;:[{&quot;id&quot;:&quot;e776de5a-b77c-35b8-8e87-a66a7bd57dbb&quot;,&quot;itemData&quot;:{&quot;type&quot;:&quot;article-journal&quot;,&quot;id&quot;:&quot;e776de5a-b77c-35b8-8e87-a66a7bd57dbb&quot;,&quot;title&quot;:&quot;Potential for false positive identifications from large databases through tandem mass spectrometry&quot;,&quot;author&quot;:[{&quot;family&quot;:&quot;Cargile&quot;,&quot;given&quot;:&quot;Benjamin J.&quot;,&quot;parse-names&quot;:false,&quot;dropping-particle&quot;:&quot;&quot;,&quot;non-dropping-particle&quot;:&quot;&quot;},{&quot;family&quot;:&quot;Bundy&quot;,&quot;given&quot;:&quot;Jonathan L.&quot;,&quot;parse-names&quot;:false,&quot;dropping-particle&quot;:&quot;&quot;,&quot;non-dropping-particle&quot;:&quot;&quot;},{&quot;family&quot;:&quot;Stephenson&quot;,&quot;given&quot;:&quot;James L.&quot;,&quot;parse-names&quot;:false,&quot;dropping-particle&quot;:&quot;&quot;,&quot;non-dropping-particle&quot;:&quot;&quot;}],&quot;container-title&quot;:&quot;Journal of Proteome Research&quot;,&quot;DOI&quot;:&quot;10.1021/pr049946o&quot;,&quot;ISSN&quot;:&quot;15353893&quot;,&quot;PMID&quot;:&quot;15473699&quot;,&quot;issued&quot;:{&quot;date-parts&quot;:[[2004]]},&quot;page&quot;:&quot;1082-1085&quot;,&quot;abstract&quot;:&quot;The biomedical research community at large is increasingly employing shotgun proteomics for large-scale identification of proteins from enzymatic digests. Typically, the approach used to identify proteins and peptides from tandem mass spectral data is based on the matching of experimentally generated tandem mass spectra to the theoretical best match from a protein database. Here, we present the potential difficulties of using such an approach without statistical consideration of the false positive rate, especially when large databases, as are encountered in eukaryotes are considered. This is illustrated by searching a dataset generated from a multidimensional separation of a eukaroytic tryptic digest against an in silico generated random protein database, which generated a significant number of positive matches, even when previously suggested score filtering criteria are used.&quot;,&quot;issue&quot;:&quot;5&quot;,&quot;volume&quot;:&quot;3&quot;,&quot;container-title-short&quot;:&quot;&quot;},&quot;isTemporary&quot;:false}]},{&quot;citationID&quot;:&quot;MENDELEY_CITATION_134b41e5-4c1f-4b65-9b77-d17cecfbe708&quot;,&quot;properties&quot;:{&quot;noteIndex&quot;:0},&quot;isEdited&quot;:false,&quot;manualOverride&quot;:{&quot;isManuallyOverridden&quot;:false,&quot;citeprocText&quot;:&quot;&lt;sup&gt;87&lt;/sup&gt;&quot;,&quot;manualOverrideText&quot;:&quot;&quot;},&quot;citationTag&quot;:&quot;MENDELEY_CITATION_v3_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&quot;,&quot;citationItems&quot;:[{&quot;id&quot;:&quot;affe655d-3c38-396f-af35-86d854f86733&quot;,&quot;itemData&quot;:{&quot;type&quot;:&quot;article-journal&quot;,&quot;id&quot;:&quot;affe655d-3c38-396f-af35-86d854f86733&quot;,&quot;title&quot;:&quot;Beyond Target-Decoy Competition: Stable Validation of Peptide and Protein Identifications in Mass Spectrometry-Based Discovery Proteomics&quot;,&quot;author&quot;:[{&quot;family&quot;:&quot;Couté&quot;,&quot;given&quot;:&quot;Yohann&quot;,&quot;parse-names&quot;:false,&quot;dropping-particle&quot;:&quot;&quot;,&quot;non-dropping-particle&quot;:&quot;&quot;},{&quot;family&quot;:&quot;Bruley&quot;,&quot;given&quot;:&quot;Christophe&quot;,&quot;parse-names&quot;:false,&quot;dropping-particle&quot;:&quot;&quot;,&quot;non-dropping-particle&quot;:&quot;&quot;},{&quot;family&quot;:&quot;Burger&quot;,&quot;given&quot;:&quot;Thomas&quot;,&quot;parse-names&quot;:false,&quot;dropping-particle&quot;:&quot;&quot;,&quot;non-dropping-particle&quot;:&quot;&quot;}],&quot;container-title&quot;:&quot;Analytical Chemistry&quot;,&quot;DOI&quot;:&quot;10.1021/acs.analchem.0c00328&quot;,&quot;ISSN&quot;:&quot;15206882&quot;,&quot;issued&quot;:{&quot;date-parts&quot;:[[2020]]},&quot;page&quot;:&quot;14898-14906&quot;,&quot;abstract&quot;:&quot;In bottom-up discovery proteomics, target-decoy competition (TDC) is the most popular method for false discovery rate (FDR) control. Despite unquestionable statistical foundations, this method has drawbacks, including its hitherto unknown intrinsic lack of stability vis-à-vis practical conditions of application. Although some consequences of this instability have already been empirically described, they may have been misinterpreted. This article provides evidence that TDC has become less reliable as the accuracy of modern mass spectrometers improved. We therefore propose to replace TDC by a totally different method to control the FDR at the spectrum, peptide, and protein levels, while benefiting from the theoretical guarantees of the Benjamini-Hochberg framework. As this method is simpler to use, faster to compute, and more stable than TDC, we argue that it is better adapted to the standardization and throughput constraints of current proteomic platforms.&quot;,&quot;issue&quot;:&quot;22&quot;,&quot;volume&quot;:&quot;92&quot;,&quot;container-title-short&quot;:&quot;&quot;},&quot;isTemporary&quot;:false}]},{&quot;citationID&quot;:&quot;MENDELEY_CITATION_ba338cac-f803-4f62-b730-12fcc4915a30&quot;,&quot;properties&quot;:{&quot;noteIndex&quot;:0},&quot;isEdited&quot;:false,&quot;manualOverride&quot;:{&quot;isManuallyOverridden&quot;:false,&quot;citeprocText&quot;:&quot;&lt;sup&gt;98&lt;/sup&gt;&quot;,&quot;manualOverrideText&quot;:&quot;&quot;},&quot;citationTag&quot;:&quot;MENDELEY_CITATION_v3_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&quot;,&quot;citationItems&quot;:[{&quot;id&quot;:&quot;ff41228f-b20f-31f8-a2f1-d449abf68d5a&quot;,&quot;itemData&quot;:{&quot;type&quot;:&quot;article-journal&quot;,&quot;id&quot;:&quot;ff41228f-b20f-31f8-a2f1-d449abf68d5a&quot;,&quot;title&quot;:&quot;Target-decoy search strategy for increased confidence in large-scale protein identifications by mass spectrometry&quot;,&quot;author&quot;:[{&quot;family&quot;:&quot;Elias&quot;,&quot;given&quot;:&quot;Joshua E.&quot;,&quot;parse-names&quot;:false,&quot;dropping-particle&quot;:&quot;&quot;,&quot;non-dropping-particle&quot;:&quot;&quot;},{&quot;family&quot;:&quot;Gygi&quot;,&quot;given&quot;:&quot;Steven P.&quot;,&quot;parse-names&quot;:false,&quot;dropping-particle&quot;:&quot;&quot;,&quot;non-dropping-particle&quot;:&quot;&quot;}],&quot;container-title&quot;:&quot;Nature Methods&quot;,&quot;DOI&quot;:&quot;10.1038/nmeth1019&quot;,&quot;ISSN&quot;:&quot;15487091&quot;,&quot;PMID&quot;:&quot;17327847&quot;,&quot;issued&quot;:{&quot;date-parts&quot;:[[2007]]},&quot;page&quot;:&quot;207-214&quot;,&quot;abstract&quot;:&quot;Liquid chromatography and tandem mass spectrometry (LC-MS/MS) has become the preferred method for conducting large-scale surveys of proteomes. Automated interpretation of tandem mass spectrometry (MS/MS) spectra can be problematic, however, for a variety of reasons. As most sequence search engines return results even for 'unmatchable' spectra, proteome researchers must devise ways to distinguish correct from incorrect peptide identifications. The target-decoy search strategy represents a straightforward and effective way to manage this effort. Despite the apparent simplicity of this method, some controversy surrounds its successful application. Here we clarify our preferred methodology by addressing four issues based on observed decoy hit frequencies: (i) the major assumptions made with this database search strategy are reasonable; (ii) concatenated target-decoy database searches are preferable to separate target and decoy database searches; (iii) the theoretical error associated with target-decoy false positive (FP) rate measurements can be estimated; and (iv) alternate methods for constructing decoy databases are similarly effective once certain considerations are taken into account.&quot;,&quot;issue&quot;:&quot;3&quot;,&quot;volume&quot;:&quot;4&quot;,&quot;container-title-short&quot;:&quot;&quot;},&quot;isTemporary&quot;:false}]},{&quot;citationID&quot;:&quot;MENDELEY_CITATION_c190f8bb-0cb6-4129-ba25-0a7f6cf056c7&quot;,&quot;properties&quot;:{&quot;noteIndex&quot;:0},&quot;isEdited&quot;:false,&quot;manualOverride&quot;:{&quot;isManuallyOverridden&quot;:false,&quot;citeprocText&quot;:&quot;&lt;sup&gt;98&lt;/sup&gt;&quot;,&quot;manualOverrideText&quot;:&quot;&quot;},&quot;citationTag&quot;:&quot;MENDELEY_CITATION_v3_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&quot;,&quot;citationItems&quot;:[{&quot;id&quot;:&quot;ff41228f-b20f-31f8-a2f1-d449abf68d5a&quot;,&quot;itemData&quot;:{&quot;type&quot;:&quot;article-journal&quot;,&quot;id&quot;:&quot;ff41228f-b20f-31f8-a2f1-d449abf68d5a&quot;,&quot;title&quot;:&quot;Target-decoy search strategy for increased confidence in large-scale protein identifications by mass spectrometry&quot;,&quot;author&quot;:[{&quot;family&quot;:&quot;Elias&quot;,&quot;given&quot;:&quot;Joshua E.&quot;,&quot;parse-names&quot;:false,&quot;dropping-particle&quot;:&quot;&quot;,&quot;non-dropping-particle&quot;:&quot;&quot;},{&quot;family&quot;:&quot;Gygi&quot;,&quot;given&quot;:&quot;Steven P.&quot;,&quot;parse-names&quot;:false,&quot;dropping-particle&quot;:&quot;&quot;,&quot;non-dropping-particle&quot;:&quot;&quot;}],&quot;container-title&quot;:&quot;Nature Methods&quot;,&quot;DOI&quot;:&quot;10.1038/nmeth1019&quot;,&quot;ISSN&quot;:&quot;15487091&quot;,&quot;PMID&quot;:&quot;17327847&quot;,&quot;issued&quot;:{&quot;date-parts&quot;:[[2007]]},&quot;page&quot;:&quot;207-214&quot;,&quot;abstract&quot;:&quot;Liquid chromatography and tandem mass spectrometry (LC-MS/MS) has become the preferred method for conducting large-scale surveys of proteomes. Automated interpretation of tandem mass spectrometry (MS/MS) spectra can be problematic, however, for a variety of reasons. As most sequence search engines return results even for 'unmatchable' spectra, proteome researchers must devise ways to distinguish correct from incorrect peptide identifications. The target-decoy search strategy represents a straightforward and effective way to manage this effort. Despite the apparent simplicity of this method, some controversy surrounds its successful application. Here we clarify our preferred methodology by addressing four issues based on observed decoy hit frequencies: (i) the major assumptions made with this database search strategy are reasonable; (ii) concatenated target-decoy database searches are preferable to separate target and decoy database searches; (iii) the theoretical error associated with target-decoy false positive (FP) rate measurements can be estimated; and (iv) alternate methods for constructing decoy databases are similarly effective once certain considerations are taken into account.&quot;,&quot;issue&quot;:&quot;3&quot;,&quot;volume&quot;:&quot;4&quot;,&quot;container-title-short&quot;:&quot;&quot;},&quot;isTemporary&quot;:false}]},{&quot;citationID&quot;:&quot;MENDELEY_CITATION_6a92ecdc-49c6-45d8-8b65-a2266f7bfba1&quot;,&quot;properties&quot;:{&quot;noteIndex&quot;:0},&quot;isEdited&quot;:false,&quot;manualOverride&quot;:{&quot;isManuallyOverridden&quot;:false,&quot;citeprocText&quot;:&quot;&lt;sup&gt;89&lt;/sup&gt;&quot;,&quot;manualOverrideText&quot;:&quot;&quot;},&quot;citationTag&quot;:&quot;MENDELEY_CITATION_v3_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&quot;,&quot;citationItems&quot;:[{&quot;id&quot;:&quot;9291144e-63ec-3b8a-a182-0cf56e93bea3&quot;,&quot;itemData&quot;:{&quot;type&quot;:&quot;article-journal&quot;,&quot;id&quot;:&quot;9291144e-63ec-3b8a-a182-0cf56e93bea3&quot;,&quot;title&quot;:&quot;Considerations for constructing a protein sequence database for metaproteomics&quot;,&quot;author&quot;:[{&quot;family&quot;:&quot;Blakeley-Ruiz&quot;,&quot;given&quot;:&quot;J. Alfredo&quot;,&quot;parse-names&quot;:false,&quot;dropping-particle&quot;:&quot;&quot;,&quot;non-dropping-particle&quot;:&quot;&quot;},{&quot;family&quot;:&quot;Kleiner&quot;,&quot;given&quot;:&quot;Manuel&quot;,&quot;parse-names&quot;:false,&quot;dropping-particle&quot;:&quot;&quot;,&quot;non-dropping-particle&quot;:&quot;&quot;}],&quot;container-title&quot;:&quot;Computational and Structural Biotechnology Journal&quot;,&quot;DOI&quot;:&quot;10.1016/j.csbj.2022.01.018&quot;,&quot;ISSN&quot;:&quot;20010370&quot;,&quot;URL&quot;:&quot;https://doi.org/10.1016/j.csbj.2022.01.018&quot;,&quot;issued&quot;:{&quot;date-parts&quot;:[[2022]]},&quot;page&quot;:&quot;937-952&quot;,&quot;abstract&quot;:&quot;Mass spectrometry-based metaproteomics has emerged as a prominent technique for interrogating the functions of specific organisms in microbial communities, in addition to total community function. Identifying proteins by mass spectrometry requires matching mass spectra of fragmented peptide ions to a database of protein sequences corresponding to the proteins in the sample. This sequence database determines which protein sequences can be identified from the measurement, and as such the taxonomic and functional information that can be inferred from a metaproteomics measurement. Thus, the construction of the protein sequence database directly impacts the outcome of any metaproteomics study. Several factors, such as source of sequence information and database curation, need to be considered during database construction to maximize accurate protein identifications traceable to the species of origin. In this review, we provide an overview of existing strategies for database construction and the relevant studies that have sought to test and validate these strategies. Based on this review of the literature and our experience we provide a decision tree and best practices for choosing and implementing database construction strategies.&quot;,&quot;publisher&quot;:&quot;The Authors&quot;,&quot;volume&quot;:&quot;20&quot;,&quot;container-title-short&quot;:&quot;&quot;},&quot;isTemporary&quot;:false}]},{&quot;citationID&quot;:&quot;MENDELEY_CITATION_4293590d-79a9-4e97-ade7-365753d6a8c0&quot;,&quot;properties&quot;:{&quot;noteIndex&quot;:0},&quot;isEdited&quot;:false,&quot;manualOverride&quot;:{&quot;isManuallyOverridden&quot;:false,&quot;citeprocText&quot;:&quot;&lt;sup&gt;99,100&lt;/sup&gt;&quot;,&quot;manualOverrideText&quot;:&quot;&quot;},&quot;citationTag&quot;:&quot;MENDELEY_CITATION_v3_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&quot;,&quot;citationItems&quot;:[{&quot;id&quot;:&quot;bcadaffb-b705-3bb7-9273-e0724060196d&quot;,&quot;itemData&quot;:{&quot;type&quot;:&quot;article-journal&quot;,&quot;id&quot;:&quot;bcadaffb-b705-3bb7-9273-e0724060196d&quot;,&quot;title&quot;:&quot;Deep learning enables de novo peptide sequencing from data-independent-acquisition mass spectrometry&quot;,&quot;author&quot;:[{&quot;family&quot;:&quot;Tran&quot;,&quot;given&quot;:&quot;Ngoc Hieu&quot;,&quot;parse-names&quot;:false,&quot;dropping-particle&quot;:&quot;&quot;,&quot;non-dropping-particle&quot;:&quot;&quot;},{&quot;family&quot;:&quot;Qiao&quot;,&quot;given&quot;:&quot;Rui&quot;,&quot;parse-names&quot;:false,&quot;dropping-particle&quot;:&quot;&quot;,&quot;non-dropping-particle&quot;:&quot;&quot;},{&quot;family&quot;:&quot;Xin&quot;,&quot;given&quot;:&quot;Lei&quot;,&quot;parse-names&quot;:false,&quot;dropping-particle&quot;:&quot;&quot;,&quot;non-dropping-particle&quot;:&quot;&quot;},{&quot;family&quot;:&quot;Chen&quot;,&quot;given&quot;:&quot;Xin&quot;,&quot;parse-names&quot;:false,&quot;dropping-particle&quot;:&quot;&quot;,&quot;non-dropping-particle&quot;:&quot;&quot;},{&quot;family&quot;:&quot;Liu&quot;,&quot;given&quot;:&quot;Chuyi&quot;,&quot;parse-names&quot;:false,&quot;dropping-particle&quot;:&quot;&quot;,&quot;non-dropping-particle&quot;:&quot;&quot;},{&quot;family&quot;:&quot;Zhang&quot;,&quot;given&quot;:&quot;Xianglilan&quot;,&quot;parse-names&quot;:false,&quot;dropping-particle&quot;:&quot;&quot;,&quot;non-dropping-particle&quot;:&quot;&quot;},{&quot;family&quot;:&quot;Shan&quot;,&quot;given&quot;:&quot;Baozhen&quot;,&quot;parse-names&quot;:false,&quot;dropping-particle&quot;:&quot;&quot;,&quot;non-dropping-particle&quot;:&quot;&quot;},{&quot;family&quot;:&quot;Ghodsi&quot;,&quot;given&quot;:&quot;Ali&quot;,&quot;parse-names&quot;:false,&quot;dropping-particle&quot;:&quot;&quot;,&quot;non-dropping-particle&quot;:&quot;&quot;},{&quot;family&quot;:&quot;Li&quot;,&quot;given&quot;:&quot;Ming&quot;,&quot;parse-names&quot;:false,&quot;dropping-particle&quot;:&quot;&quot;,&quot;non-dropping-particle&quot;:&quot;&quot;}],&quot;container-title&quot;:&quot;Nature Methods&quot;,&quot;DOI&quot;:&quot;10.1038/s41592-018-0260-3&quot;,&quot;ISSN&quot;:&quot;15487105&quot;,&quot;PMID&quot;:&quot;30573815&quot;,&quot;URL&quot;:&quot;http://dx.doi.org/10.1038/s41592-018-0260-3&quot;,&quot;issued&quot;:{&quot;date-parts&quot;:[[2019]]},&quot;page&quot;:&quot;63-66&quot;,&quot;abstract&quot;:&quot;We present DeepNovo-DIA, a de novo peptide-sequencing method for data-independent acquisition (DIA) mass spectrometry data. We use neural networks to capture precursor and fragment ions across m/z, retention-time, and intensity dimensions. They are then further integrated with peptide sequence patterns to address the problem of highly multiplexed spectra. DIA coupled with de novo sequencing allowed us to identify novel peptides in human antibodies and antigens.&quot;,&quot;publisher&quot;:&quot;Springer US&quot;,&quot;issue&quot;:&quot;1&quot;,&quot;volume&quot;:&quot;16&quot;,&quot;container-title-short&quot;:&quot;&quot;},&quot;isTemporary&quot;:false},{&quot;id&quot;:&quot;cd955010-e429-3712-9445-24e7f90ad0c0&quot;,&quot;itemData&quot;:{&quot;type&quot;:&quot;article-journal&quot;,&quot;id&quot;:&quot;cd955010-e429-3712-9445-24e7f90ad0c0&quot;,&quot;title&quot;:&quot;De novo peptide sequencing by deep learning&quot;,&quot;author&quot;:[{&quot;family&quot;:&quot;Tran&quot;,&quot;given&quot;:&quot;Ngoc Hieu&quot;,&quot;parse-names&quot;:false,&quot;dropping-particle&quot;:&quot;&quot;,&quot;non-dropping-particle&quot;:&quot;&quot;},{&quot;family&quot;:&quot;Zhang&quot;,&quot;given&quot;:&quot;Xianglilan&quot;,&quot;parse-names&quot;:false,&quot;dropping-particle&quot;:&quot;&quot;,&quot;non-dropping-particle&quot;:&quot;&quot;},{&quot;family&quot;:&quot;Xin&quot;,&quot;given&quot;:&quot;Lei&quot;,&quot;parse-names&quot;:false,&quot;dropping-particle&quot;:&quot;&quot;,&quot;non-dropping-particle&quot;:&quot;&quot;},{&quot;family&quot;:&quot;Shan&quot;,&quot;given&quot;:&quot;Baozhen&quot;,&quot;parse-names&quot;:false,&quot;dropping-particle&quot;:&quot;&quot;,&quot;non-dropping-particle&quot;:&quot;&quot;},{&quot;family&quot;:&quot;Li&quot;,&quot;given&quot;:&quot;Ming&quot;,&quot;parse-names&quot;:false,&quot;dropping-particle&quot;:&quot;&quot;,&quot;non-dropping-particle&quot;:&quot;&quot;}],&quot;container-title&quot;:&quot;Proceedings of the National Academy of Sciences of the United States of America&quot;,&quot;DOI&quot;:&quot;10.1073/pnas.1705691114&quot;,&quot;ISSN&quot;:&quot;10916490&quot;,&quot;PMID&quot;:&quot;28720701&quot;,&quot;issued&quot;:{&quot;date-parts&quot;:[[2017]]},&quot;page&quot;:&quot;8247-8252&quot;,&quot;abstract&quot;:&quot;De novo peptide sequencing from tandem MS data is the key technology in proteomics for the characterization of proteins, especially for new sequences, such as mAbs. In this study, we propose a deep neural network model, DeepNovo, for de novo peptide sequencing. DeepNovo architecture combines recent advances in convolutional neural networks and recurrent neural networks to learn features of tandem mass spectra, fragment ions, and sequence patterns of peptides. The networks are further integrated with local dynamic programming to solve the complex optimization task of de novo sequencing. We evaluated the method on a wide variety of species and found that DeepNovo considerably outperformed state of the art methods, achieving 7.7–22.9% higher accuracy at the amino acid level and 38.1–64.0% higher accuracy at the peptide level. We further used DeepNovo to automatically reconstruct the complete sequences of antibody light and heavy chains of mouse, achieving 97.5–100% coverage and 97.2–99.5% accuracy, without assisting databases. Moreover, DeepNovo is retrainable to adapt to any sources of data and provides a complete end-to-end training and prediction solution to the de novo sequencing problem. Not only does our study extend the deep learning revolution to a new field, but it also shows an innovative approach in solving optimization problems by using deep learning and dynamic programming.&quot;,&quot;issue&quot;:&quot;31&quot;,&quot;volume&quot;:&quot;114&quot;,&quot;container-title-short&quot;:&quot;Proc Natl Acad Sci U S A&quot;},&quot;isTemporary&quot;:false}]},{&quot;citationID&quot;:&quot;MENDELEY_CITATION_db73bbfe-1fbc-4ea7-98a5-977ba2ccc8d2&quot;,&quot;properties&quot;:{&quot;noteIndex&quot;:0},&quot;isEdited&quot;:false,&quot;manualOverride&quot;:{&quot;isManuallyOverridden&quot;:false,&quot;citeprocText&quot;:&quot;&lt;sup&gt;101&lt;/sup&gt;&quot;,&quot;manualOverrideText&quot;:&quot;&quot;},&quot;citationTag&quot;:&quot;MENDELEY_CITATION_v3_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&quot;,&quot;citationItems&quot;:[{&quot;id&quot;:&quot;bfa35536-b4f6-3c99-9757-e25f5d1ba881&quot;,&quot;itemData&quot;:{&quot;type&quot;:&quot;article-journal&quot;,&quot;id&quot;:&quot;bfa35536-b4f6-3c99-9757-e25f5d1ba881&quot;,&quot;title&quot;:&quot;PeaksPTM: Mass spectrometry-based identification of peptides with unspecified modifications&quot;,&quot;author&quot;:[{&quot;family&quot;:&quot;Han&quot;,&quot;given&quot;:&quot;Xi&quot;,&quot;parse-names&quot;:false,&quot;dropping-particle&quot;:&quot;&quot;,&quot;non-dropping-particle&quot;:&quot;&quot;},{&quot;family&quot;:&quot;He&quot;,&quot;given&quot;:&quot;Lin&quot;,&quot;parse-names&quot;:false,&quot;dropping-particle&quot;:&quot;&quot;,&quot;non-dropping-particle&quot;:&quot;&quot;},{&quot;family&quot;:&quot;Xin&quot;,&quot;given&quot;:&quot;Lei&quot;,&quot;parse-names&quot;:false,&quot;dropping-particle&quot;:&quot;&quot;,&quot;non-dropping-particle&quot;:&quot;&quot;},{&quot;family&quot;:&quot;Shan&quot;,&quot;given&quot;:&quot;Baozhen&quot;,&quot;parse-names&quot;:false,&quot;dropping-particle&quot;:&quot;&quot;,&quot;non-dropping-particle&quot;:&quot;&quot;},{&quot;family&quot;:&quot;Ma&quot;,&quot;given&quot;:&quot;Bin&quot;,&quot;parse-names&quot;:false,&quot;dropping-particle&quot;:&quot;&quot;,&quot;non-dropping-particle&quot;:&quot;&quot;}],&quot;container-title&quot;:&quot;Journal of Proteome Research&quot;,&quot;DOI&quot;:&quot;10.1021/pr200153k&quot;,&quot;ISSN&quot;:&quot;15353893&quot;,&quot;PMID&quot;:&quot;21609001&quot;,&quot;issued&quot;:{&quot;date-parts&quot;:[[2011]]},&quot;page&quot;:&quot;2930-2936&quot;,&quot;abstract&quot;:&quot;Tandem mass spectrometry (MS/MS) has been routinely used to identify peptides from a protein sequence database. To identify post-translationally modified peptides, most existing software requires the specification of a few possible modifications. However, such knowledge of possible modifications is not always available. In this paper, we describe a new algorithm for identifying modified peptides without requiring the user to specify the possible modifications; instead, all modifications from the Unimod database are considered. Meanwhile, several new techniques are employed to avoid the exponential growth of the search space, as well as to control the false discoveries due to this unrestricted search approach. Finally, a software tool, PeaksPTM, has been developed and already achieved a stronger performance than competitive tools for unrestricted identification of post-translational modifications. © 2011 American Chemical Society.&quot;,&quot;issue&quot;:&quot;7&quot;,&quot;volume&quot;:&quot;10&quot;,&quot;container-title-short&quot;:&quot;&quot;},&quot;isTemporary&quot;:false}]},{&quot;citationID&quot;:&quot;MENDELEY_CITATION_1e73b2c7-2ff2-4657-af6a-46664d31fb92&quot;,&quot;properties&quot;:{&quot;noteIndex&quot;:0},&quot;isEdited&quot;:false,&quot;manualOverride&quot;:{&quot;isManuallyOverridden&quot;:false,&quot;citeprocText&quot;:&quot;&lt;sup&gt;102&lt;/sup&gt;&quot;,&quot;manualOverrideText&quot;:&quot;&quot;},&quot;citationTag&quot;:&quot;MENDELEY_CITATION_v3_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&quot;,&quot;citationItems&quot;:[{&quot;id&quot;:&quot;f558315e-95eb-3266-8e57-cd163fd96ef7&quot;,&quot;itemData&quot;:{&quot;type&quot;:&quot;article-journal&quot;,&quot;id&quot;:&quot;f558315e-95eb-3266-8e57-cd163fd96ef7&quot;,&quot;title&quot;:&quot;SPIDER: Software for protein identification from sequence tags with de novo sequencing error&quot;,&quot;author&quot;:[{&quot;family&quot;:&quot;Han&quot;,&quot;given&quot;:&quot;Yonghua&quot;,&quot;parse-names&quot;:false,&quot;dropping-particle&quot;:&quot;&quot;,&quot;non-dropping-particle&quot;:&quot;&quot;},{&quot;family&quot;:&quot;Ma&quot;,&quot;given&quot;:&quot;Bin&quot;,&quot;parse-names&quot;:false,&quot;dropping-particle&quot;:&quot;&quot;,&quot;non-dropping-particle&quot;:&quot;&quot;},{&quot;family&quot;:&quot;Zhang&quot;,&quot;given&quot;:&quot;Kaizhong&quot;,&quot;parse-names&quot;:false,&quot;dropping-particle&quot;:&quot;&quot;,&quot;non-dropping-particle&quot;:&quot;&quot;}],&quot;container-title&quot;:&quot;Journal of Bioinformatics and Computational Biology&quot;,&quot;DOI&quot;:&quot;10.1142/S0219720005001247&quot;,&quot;ISBN&quot;:&quot;0769521940&quot;,&quot;ISSN&quot;:&quot;02197200&quot;,&quot;PMID&quot;:&quot;16108090&quot;,&quot;issued&quot;:{&quot;date-parts&quot;:[[2005]]},&quot;page&quot;:&quot;697-716&quot;,&quot;abstract&quot;:&quot;For the identification of novel proteins using MS/MS, de novo sequencing software computes one or several possible amino acid sequences (called sequence tags) for each MS/MS spectrum. Those tags are then used to match, accounting amino acid mutations, the sequences in a protein database. If the de novo sequencing gives correct tags, the homologs of the proteins can be identified by this approach and software such as MS-BLAST is available for the matching. However, de novo sequencing very often gives only partially correct tags. The most common error is that a segment of amino acids is replaced by another segment with approximately the same masses. We developed a new efficient algorithm to match sequence tags with errors to database sequences for the purpose of protein and peptide identification. A software package, SPIDER, was developed and made available on Internet for free public use. This paper describes the algorithms and features of the SPIDER software. © Imperial College Press.&quot;,&quot;publisher&quot;:&quot;IEEE&quot;,&quot;issue&quot;:&quot;3&quot;,&quot;volume&quot;:&quot;3&quot;,&quot;container-title-short&quot;:&quot;&quot;},&quot;isTemporary&quot;:false}]},{&quot;citationID&quot;:&quot;MENDELEY_CITATION_34b2bea7-c5d1-4000-b11d-cca130662d0b&quot;,&quot;properties&quot;:{&quot;noteIndex&quot;:0},&quot;isEdited&quot;:false,&quot;manualOverride&quot;:{&quot;isManuallyOverridden&quot;:false,&quot;citeprocText&quot;:&quot;&lt;sup&gt;103&lt;/sup&gt;&quot;,&quot;manualOverrideText&quot;:&quot;&quot;},&quot;citationTag&quot;:&quot;MENDELEY_CITATION_v3_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&quot;,&quot;citationItems&quot;:[{&quot;id&quot;:&quot;ca591dc0-71ba-3894-bc96-aaa7baf7adef&quot;,&quot;itemData&quot;:{&quot;type&quot;:&quot;article-journal&quot;,&quot;id&quot;:&quot;ca591dc0-71ba-3894-bc96-aaa7baf7adef&quot;,&quot;title&quot;:&quot;Database-independent de novo metaproteomics of complex microbial communities&quot;,&quot;author&quot;:[{&quot;family&quot;:&quot;Kleikamp&quot;,&quot;given&quot;:&quot;Hugo B.C.&quot;,&quot;parse-names&quot;:false,&quot;dropping-particle&quot;:&quot;&quot;,&quot;non-dropping-particle&quot;:&quot;&quot;},{&quot;family&quot;:&quot;Pronk&quot;,&quot;given&quot;:&quot;Mario&quot;,&quot;parse-names&quot;:false,&quot;dropping-particle&quot;:&quot;&quot;,&quot;non-dropping-particle&quot;:&quot;&quot;},{&quot;family&quot;:&quot;Tugui&quot;,&quot;given&quot;:&quot;Claudia&quot;,&quot;parse-names&quot;:false,&quot;dropping-particle&quot;:&quot;&quot;,&quot;non-dropping-particle&quot;:&quot;&quot;},{&quot;family&quot;:&quot;Guedes da Silva&quot;,&quot;given&quot;:&quot;Leonor&quot;,&quot;parse-names&quot;:false,&quot;dropping-particle&quot;:&quot;&quot;,&quot;non-dropping-particle&quot;:&quot;&quot;},{&quot;family&quot;:&quot;Abbas&quot;,&quot;given&quot;:&quot;Ben&quot;,&quot;parse-names&quot;:false,&quot;dropping-particle&quot;:&quot;&quot;,&quot;non-dropping-particle&quot;:&quot;&quot;},{&quot;family&quot;:&quot;Lin&quot;,&quot;given&quot;:&quot;Yue Mei&quot;,&quot;parse-names&quot;:false,&quot;dropping-particle&quot;:&quot;&quot;,&quot;non-dropping-particle&quot;:&quot;&quot;},{&quot;family&quot;:&quot;Loosdrecht&quot;,&quot;given&quot;:&quot;Mark C.M.&quot;,&quot;parse-names&quot;:false,&quot;dropping-particle&quot;:&quot;&quot;,&quot;non-dropping-particle&quot;:&quot;van&quot;},{&quot;family&quot;:&quot;Pabst&quot;,&quot;given&quot;:&quot;Martin&quot;,&quot;parse-names&quot;:false,&quot;dropping-particle&quot;:&quot;&quot;,&quot;non-dropping-particle&quot;:&quot;&quot;}],&quot;container-title&quot;:&quot;Cell Systems&quot;,&quot;DOI&quot;:&quot;10.1016/j.cels.2021.04.003&quot;,&quot;ISSN&quot;:&quot;24054720&quot;,&quot;PMID&quot;:&quot;34023022&quot;,&quot;URL&quot;:&quot;https://doi.org/10.1016/j.cels.2021.04.003&quot;,&quot;issued&quot;:{&quot;date-parts&quot;:[[2021]]},&quot;page&quot;:&quot;375-383.e5&quot;,&quot;abstract&quot;:&quot;Metaproteomics has emerged as one of the most promising approaches for determining the composition and metabolic functions of complete microbial communities. Conventional metaproteomics approaches rely on the construction of protein sequence databases and efficient peptide-spectrum-matching algorithms, an approach that is intrinsically biased towards the content of the constructed sequence database. Here, we introduce a highly efficient, database-independent de novo metaproteomics approach and systematically evaluate its quantitative performance using synthetic and natural microbial communities comprising dozens of taxonomic families. Our work demonstrates that the de novo sequencing approach can vastly expand many metaproteomics applications by enabling rapid quantitative profiling and by capturing unsequenced community members that otherwise remain inaccessible for further interpretation. Kleikamp et al., describe a novel de novo metaproteomics pipeline (NovoBridge) that enables rapid community profiling without the need for constructing protein sequence databases.&quot;,&quot;publisher&quot;:&quot;Elsevier Inc.&quot;,&quot;issue&quot;:&quot;5&quot;,&quot;volume&quot;:&quot;12&quot;,&quot;container-title-short&quot;:&quot;&quot;},&quot;isTemporary&quot;:false}]},{&quot;citationID&quot;:&quot;MENDELEY_CITATION_2b1d5142-3837-48c2-af1e-7ead1b68a8d6&quot;,&quot;properties&quot;:{&quot;noteIndex&quot;:0},&quot;isEdited&quot;:false,&quot;manualOverride&quot;:{&quot;isManuallyOverridden&quot;:false,&quot;citeprocText&quot;:&quot;&lt;sup&gt;104&lt;/sup&gt;&quot;,&quot;manualOverrideText&quot;:&quot;&quot;},&quot;citationTag&quot;:&quot;MENDELEY_CITATION_v3_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&quot;,&quot;citationItems&quot;:[{&quot;id&quot;:&quot;6b06da62-e01f-339c-a1d5-485e919176ef&quot;,&quot;itemData&quot;:{&quot;type&quot;:&quot;article-journal&quot;,&quot;id&quot;:&quot;6b06da62-e01f-339c-a1d5-485e919176ef&quot;,&quot;title&quot;:&quot;PEAKS DB: De novo sequencing assisted database search for sensitive and accurate peptide identification&quot;,&quot;author&quot;:[{&quot;family&quot;:&quot;Zhang&quot;,&quot;given&quot;:&quot;Jing&quot;,&quot;parse-names&quot;:false,&quot;dropping-particle&quot;:&quot;&quot;,&quot;non-dropping-particle&quot;:&quot;&quot;},{&quot;family&quot;:&quot;Xin&quot;,&quot;given&quot;:&quot;Lei&quot;,&quot;parse-names&quot;:false,&quot;dropping-particle&quot;:&quot;&quot;,&quot;non-dropping-particle&quot;:&quot;&quot;},{&quot;family&quot;:&quot;Shan&quot;,&quot;given&quot;:&quot;Baozhen&quot;,&quot;parse-names&quot;:false,&quot;dropping-particle&quot;:&quot;&quot;,&quot;non-dropping-particle&quot;:&quot;&quot;},{&quot;family&quot;:&quot;Chen&quot;,&quot;given&quot;:&quot;Weiwu&quot;,&quot;parse-names&quot;:false,&quot;dropping-particle&quot;:&quot;&quot;,&quot;non-dropping-particle&quot;:&quot;&quot;},{&quot;family&quot;:&quot;Xie&quot;,&quot;given&quot;:&quot;Mingjie&quot;,&quot;parse-names&quot;:false,&quot;dropping-particle&quot;:&quot;&quot;,&quot;non-dropping-particle&quot;:&quot;&quot;},{&quot;family&quot;:&quot;Yuen&quot;,&quot;given&quot;:&quot;Denis&quot;,&quot;parse-names&quot;:false,&quot;dropping-particle&quot;:&quot;&quot;,&quot;non-dropping-particle&quot;:&quot;&quot;},{&quot;family&quot;:&quot;Zhang&quot;,&quot;given&quot;:&quot;Weiming&quot;,&quot;parse-names&quot;:false,&quot;dropping-particle&quot;:&quot;&quot;,&quot;non-dropping-particle&quot;:&quot;&quot;},{&quot;family&quot;:&quot;Zhang&quot;,&quot;given&quot;:&quot;Zefeng&quot;,&quot;parse-names&quot;:false,&quot;dropping-particle&quot;:&quot;&quot;,&quot;non-dropping-particle&quot;:&quot;&quot;},{&quot;family&quot;:&quot;Lajoie&quot;,&quot;given&quot;:&quot;Gilles A.&quot;,&quot;parse-names&quot;:false,&quot;dropping-particle&quot;:&quot;&quot;,&quot;non-dropping-particle&quot;:&quot;&quot;},{&quot;family&quot;:&quot;Ma&quot;,&quot;given&quot;:&quot;Bin&quot;,&quot;parse-names&quot;:false,&quot;dropping-particle&quot;:&quot;&quot;,&quot;non-dropping-particle&quot;:&quot;&quot;}],&quot;container-title&quot;:&quot;Molecular and Cellular Proteomics&quot;,&quot;DOI&quot;:&quot;10.1074/mcp.M111.010587&quot;,&quot;ISSN&quot;:&quot;15359476&quot;,&quot;PMID&quot;:&quot;22186715&quot;,&quot;URL&quot;:&quot;http://dx.doi.org/10.1074/mcp.M111.010587&quot;,&quot;issued&quot;:{&quot;date-parts&quot;:[[2012]]},&quot;page&quot;:&quot;M111.010587&quot;,&quot;abstract&quot;:&quot;Many software tools have been developed for the automated identification of peptides from tandem mass spectra. The accuracy and sensitivity of the identification software via database search are critical for successful proteomics experiments. A new database search tool, PEAKS DB, has been developed by incorporating the de novo sequencing results into the database search. PEAKS DB achieves significantly improved accuracy and sensitivity over two other commonly used software packages. Additionally, a new result validation method, decoy fusion, has been introduced to solve the issue of overconfidence that exists in the conventional target decoy method for certain types of peptide identification software. © 2012 by The American Society for Biochemistry and Molecular Biology, Inc.&quot;,&quot;publisher&quot;:&quot;Â© 2012 ASBMB. Currently published by Elsevier Inc; originally published by American Society for Biochemistry and Molecular Biology.&quot;,&quot;issue&quot;:&quot;4&quot;,&quot;volume&quot;:&quot;11&quot;,&quot;container-title-short&quot;:&quot;&quot;},&quot;isTemporary&quot;:false}]},{&quot;citationID&quot;:&quot;MENDELEY_CITATION_b3b02027-5ae5-4e44-8555-ef6289240f76&quot;,&quot;properties&quot;:{&quot;noteIndex&quot;:0},&quot;isEdited&quot;:false,&quot;manualOverride&quot;:{&quot;isManuallyOverridden&quot;:false,&quot;citeprocText&quot;:&quot;&lt;sup&gt;105&lt;/sup&gt;&quot;,&quot;manualOverrideText&quot;:&quot;&quot;},&quot;citationTag&quot;:&quot;MENDELEY_CITATION_v3_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&quot;,&quot;citationItems&quot;:[{&quot;id&quot;:&quot;c637990c-5b73-385c-9c79-74def5befc53&quot;,&quot;itemData&quot;:{&quot;type&quot;:&quot;article-journal&quot;,&quot;id&quot;:&quot;c637990c-5b73-385c-9c79-74def5befc53&quot;,&quot;title&quot;:&quot;Options and considerations when selecting a quantitative proteomics strategy&quot;,&quot;author&quot;:[{&quot;family&quot;:&quot;Domon&quot;,&quot;given&quot;:&quot;Bruno&quot;,&quot;parse-names&quot;:false,&quot;dropping-particle&quot;:&quot;&quot;,&quot;non-dropping-particle&quot;:&quot;&quot;},{&quot;family&quot;:&quot;Aebersold&quot;,&quot;given&quot;:&quot;Ruedi&quot;,&quot;parse-names&quot;:false,&quot;dropping-particle&quot;:&quot;&quot;,&quot;non-dropping-particle&quot;:&quot;&quot;}],&quot;container-title&quot;:&quot;Nature Biotechnology&quot;,&quot;DOI&quot;:&quot;10.1038/nbt.1661&quot;,&quot;ISSN&quot;:&quot;15461696&quot;,&quot;PMID&quot;:&quot;20622845&quot;,&quot;issued&quot;:{&quot;date-parts&quot;:[[2010]]},&quot;page&quot;:&quot;710-721&quot;,&quot;abstract&quot;:&quot;The vast majority of proteomic studies to date have relied on mass spectrometric techniques to identify, and in some cases quantify, peptides that have been generated by proteolysis. Current approaches differ in the types of instrument used, their performance profiles, the manner in which they interface with biological research strategies, and their reliance on and use of prior information. Here, we consider the three main mass spectrometry (MS)-based proteomic approaches used today: shotgun (or discovery), directed and targeted strategies. We discuss the principles of each technique, their strengths and weaknesses and the dependence of their performance profiles on the composition of the biological sample. Our goal is to provide a rational framework for selecting strategies optimally suited to address the specific research issue under consideration. © 2010 Nature America, Inc. All rights reserved.&quot;,&quot;publisher&quot;:&quot;Nature Publishing Group&quot;,&quot;issue&quot;:&quot;7&quot;,&quot;volume&quot;:&quot;28&quot;,&quot;container-title-short&quot;:&quot;&quot;},&quot;isTemporary&quot;:false}]},{&quot;citationID&quot;:&quot;MENDELEY_CITATION_7a915f10-b846-4110-969a-c86dcca14a38&quot;,&quot;properties&quot;:{&quot;noteIndex&quot;:0},&quot;isEdited&quot;:false,&quot;manualOverride&quot;:{&quot;isManuallyOverridden&quot;:false,&quot;citeprocText&quot;:&quot;&lt;sup&gt;106&lt;/sup&gt;&quot;,&quot;manualOverrideText&quot;:&quot;&quot;},&quot;citationTag&quot;:&quot;MENDELEY_CITATION_v3_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&quot;,&quot;citationItems&quot;:[{&quot;id&quot;:&quot;9c83d753-5ba3-347d-a060-4cc5274d3939&quot;,&quot;itemData&quot;:{&quot;type&quot;:&quot;article-journal&quot;,&quot;id&quot;:&quot;9c83d753-5ba3-347d-a060-4cc5274d3939&quot;,&quot;title&quot;:&quot;Comparison of Different Label-Free Techniques for the Semi-Absolute Quantification of Protein Abundance&quot;,&quot;author&quot;:[{&quot;family&quot;:&quot;Millán-Oropeza&quot;,&quot;given&quot;:&quot;Aarón&quot;,&quot;parse-names&quot;:false,&quot;dropping-particle&quot;:&quot;&quot;,&quot;non-dropping-particle&quot;:&quot;&quot;},{&quot;family&quot;:&quot;Blein-Nicolas&quot;,&quot;given&quot;:&quot;Mélisande&quot;,&quot;parse-names&quot;:false,&quot;dropping-particle&quot;:&quot;&quot;,&quot;non-dropping-particle&quot;:&quot;&quot;},{&quot;family&quot;:&quot;Monnet&quot;,&quot;given&quot;:&quot;Véronique&quot;,&quot;parse-names&quot;:false,&quot;dropping-particle&quot;:&quot;&quot;,&quot;non-dropping-particle&quot;:&quot;&quot;},{&quot;family&quot;:&quot;Zivy&quot;,&quot;given&quot;:&quot;Michel&quot;,&quot;parse-names&quot;:false,&quot;dropping-particle&quot;:&quot;&quot;,&quot;non-dropping-particle&quot;:&quot;&quot;},{&quot;family&quot;:&quot;Henry&quot;,&quot;given&quot;:&quot;Céline&quot;,&quot;parse-names&quot;:false,&quot;dropping-particle&quot;:&quot;&quot;,&quot;non-dropping-particle&quot;:&quot;&quot;}],&quot;container-title&quot;:&quot;Proteomes&quot;,&quot;container-title-short&quot;:&quot;Proteomes&quot;,&quot;DOI&quot;:&quot;10.3390/proteomes10010002&quot;,&quot;ISSN&quot;:&quot;22277382&quot;,&quot;issued&quot;:{&quot;date-parts&quot;:[[2022]]},&quot;abstract&quot;:&quot;In proteomics, it is essential to quantify proteins in absolute terms if we wish to compare results among studies and integrate high-throughput biological data into genome-scale metabolic models. While labeling target peptides with stable isotopes allow protein abundance to be accurately quantified, the utility of this technique is constrained by the low number of quantifiable proteins that it yields. Recently, label-free shotgun proteomics has become the “gold standard” for carrying out global assessments of biological samples containing thousands of proteins. However, this tool must be further improved if we wish to accurately quantify absolute levels of proteins. Here, we used different label-free quantification techniques to estimate absolute protein abundance in the model yeast Saccharomyces cerevisiae. More specifically, we evaluated the performance of seven different quantification methods, based either on spectral counting (SC) or extracted-ion chromatogram (XIC), which were applied to samples from five different proteome backgrounds. We also compared the accuracy and reproducibility of two strategies for transforming relative abundance into absolute abundance: a UPS2-based strategy and the total protein approach (TPA). This study mentions technical challenges related to UPS2 use and proposes ways of addressing them, including utilizing a smaller, more highly optimized amount of UPS2. Overall, three SC-based methods (PAI, SAF, and NSAF) yielded the best results because they struck a good balance between experimental performance and protein quantification.&quot;,&quot;issue&quot;:&quot;1&quot;,&quot;volume&quot;:&quot;10&quot;},&quot;isTemporary&quot;:false}]},{&quot;citationID&quot;:&quot;MENDELEY_CITATION_9ab539e8-8ffc-4fe5-818d-076c6da4748b&quot;,&quot;properties&quot;:{&quot;noteIndex&quot;:0},&quot;isEdited&quot;:false,&quot;manualOverride&quot;:{&quot;isManuallyOverridden&quot;:false,&quot;citeprocText&quot;:&quot;&lt;sup&gt;94&lt;/sup&gt;&quot;,&quot;manualOverrideText&quot;:&quot;&quot;},&quot;citationTag&quot;:&quot;MENDELEY_CITATION_v3_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&quot;,&quot;citationItems&quot;:[{&quot;id&quot;:&quot;dcb28b94-4a38-3050-a985-f26c96d0031d&quot;,&quot;itemData&quot;:{&quot;type&quot;:&quot;book&quot;,&quot;id&quot;:&quot;dcb28b94-4a38-3050-a985-f26c96d0031d&quot;,&quot;title&quot;:&quot;Emerging sample treatments in proteomics&quot;,&quot;author&quot;:[{&quot;family&quot;:&quot;Capelo&quot;,&quot;given&quot;:&quot;J.L.&quot;,&quot;parse-names&quot;:false,&quot;dropping-particle&quot;:&quot;&quot;,&quot;non-dropping-particle&quot;:&quot;&quot;}],&quot;ISBN&quot;:&quot;9783030122973&quot;,&quot;issued&quot;:{&quot;date-parts&quot;:[[2019]]},&quot;number-of-pages&quot;:&quot;pp 135&quot;,&quot;container-title-short&quot;:&quot;&quot;},&quot;isTemporary&quot;:false}]},{&quot;citationID&quot;:&quot;MENDELEY_CITATION_87d3e64e-6511-40d1-a57b-63134e685b86&quot;,&quot;properties&quot;:{&quot;noteIndex&quot;:0},&quot;isEdited&quot;:false,&quot;manualOverride&quot;:{&quot;isManuallyOverridden&quot;:false,&quot;citeprocText&quot;:&quot;&lt;sup&gt;107&lt;/sup&gt;&quot;,&quot;manualOverrideText&quot;:&quot;&quot;},&quot;citationTag&quot;:&quot;MENDELEY_CITATION_v3_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&quot;,&quot;citationItems&quot;:[{&quot;id&quot;:&quot;b0a6f131-984f-3f05-b808-351884ce00a5&quot;,&quot;itemData&quot;:{&quot;type&quot;:&quot;article-journal&quot;,&quot;id&quot;:&quot;b0a6f131-984f-3f05-b808-351884ce00a5&quot;,&quot;title&quot;:&quot;Thousand and one ways to quantify and compare protein abundances in label-free bottom-up proteomics&quot;,&quot;author&quot;:[{&quot;family&quot;:&quot;Blein-Nicolas&quot;,&quot;given&quot;:&quot;Mélisande&quot;,&quot;parse-names&quot;:false,&quot;dropping-particle&quot;:&quot;&quot;,&quot;non-dropping-particle&quot;:&quot;&quot;},{&quot;family&quot;:&quot;Zivy&quot;,&quot;given&quot;:&quot;Michel&quot;,&quot;parse-names&quot;:false,&quot;dropping-particle&quot;:&quot;&quot;,&quot;non-dropping-particle&quot;:&quot;&quot;}],&quot;container-title&quot;:&quot;Biochimica et Biophysica Acta - Proteins and Proteomics&quot;,&quot;DOI&quot;:&quot;10.1016/j.bbapap.2016.02.019&quot;,&quot;ISSN&quot;:&quot;18781454&quot;,&quot;PMID&quot;:&quot;26947242&quot;,&quot;URL&quot;:&quot;http://dx.doi.org/10.1016/j.bbapap.2016.02.019&quot;,&quot;issued&quot;:{&quot;date-parts&quot;:[[2016]]},&quot;page&quot;:&quot;883-895&quot;,&quot;abstract&quot;:&quot;How to process and analyze MS data to quantify and statistically compare protein abundances in bottom-up proteomics has been an open debate for nearly fifteen years. Two main approaches are generally used: the first is based on spectral data generated during the process of identification (e.g. peptide counting, spectral counting), while the second makes use of extracted ion currents to quantify chromatographic peaks and infer protein abundances based on peptide quantification. These two approaches actually refer to multiple methods which have been developed during the last decade, but were submitted to deep evaluations only recently. In this paper, we compiled these different methods as exhaustively as possible. We also summarized the way they address the different problems raised by bottom-up protein quantification such as normalization, the presence of shared peptides, unequal peptide measurability and missing data. This article is part of a Special Issue entitled: Plant Proteomics— a bridge between fundamental processes and crop production, edited by Dr. Hans-Peter Mock.&quot;,&quot;publisher&quot;:&quot;Elsevier B.V.&quot;,&quot;issue&quot;:&quot;8&quot;,&quot;volume&quot;:&quot;1864&quot;,&quot;container-title-short&quot;:&quot;&quot;},&quot;isTemporary&quot;:false}]},{&quot;citationID&quot;:&quot;MENDELEY_CITATION_ec8e6945-526b-441a-b427-057d0a5e0091&quot;,&quot;properties&quot;:{&quot;noteIndex&quot;:0},&quot;isEdited&quot;:false,&quot;manualOverride&quot;:{&quot;isManuallyOverridden&quot;:false,&quot;citeprocText&quot;:&quot;&lt;sup&gt;108&lt;/sup&gt;&quot;,&quot;manualOverrideText&quot;:&quot;&quot;},&quot;citationTag&quot;:&quot;MENDELEY_CITATION_v3_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&quot;,&quot;citationItems&quot;:[{&quot;id&quot;:&quot;65a8f94b-8a54-3465-bcd2-03a4663adf09&quot;,&quot;itemData&quot;:{&quot;type&quot;:&quot;article-journal&quot;,&quot;id&quot;:&quot;65a8f94b-8a54-3465-bcd2-03a4663adf09&quot;,&quot;title&quot;:&quot;A multi-model statistical approach for proteomic spectral count quantitation&quot;,&quot;author&quot;:[{&quot;family&quot;:&quot;Branson&quot;,&quot;given&quot;:&quot;Owen E.&quot;,&quot;parse-names&quot;:false,&quot;dropping-particle&quot;:&quot;&quot;,&quot;non-dropping-particle&quot;:&quot;&quot;},{&quot;family&quot;:&quot;Freitas&quot;,&quot;given&quot;:&quot;Michael A.&quot;,&quot;parse-names&quot;:false,&quot;dropping-particle&quot;:&quot;&quot;,&quot;non-dropping-particle&quot;:&quot;&quot;}],&quot;container-title&quot;:&quot;Journal of Proteomics&quot;,&quot;DOI&quot;:&quot;10.1016/j.jprot.2016.05.032&quot;,&quot;ISSN&quot;:&quot;18767737&quot;,&quot;PMID&quot;:&quot;27260494&quot;,&quot;URL&quot;:&quot;http://dx.doi.org/10.1016/j.jprot.2016.05.032&quot;,&quot;issued&quot;:{&quot;date-parts&quot;:[[2016]]},&quot;page&quot;:&quot;23-32&quot;,&quot;abstract&quot;:&quot;The rapid development of mass spectrometry (MS) technologies has solidified shotgun proteomics as the most powerful analytical platform for large-scale proteome interrogation. The ability to map and determine differential expression profiles of the entire proteome is the ultimate goal of shotgun proteomics. Label-free quantitation has proven to be a valid approach for discovery shotgun proteomics, especially when sample is limited. Label-free spectral count quantitation is an approach analogous to RNA sequencing whereby count data is used to determine differential expression. Here we show that statistical approaches developed to evaluate differential expression in RNA sequencing experiments can be applied to detect differential protein expression in label-free discovery proteomics. This approach, termed MultiSpec, utilizes open-source statistical platforms; namely edgeR, DESeq and baySeq, to statistically select protein candidates for further investigation. Furthermore, to remove bias associated with a single statistical approach a single ranked list of differentially expressed proteins is assembled by comparing edgeR and DESeq q-values directly with the false discovery rate (FDR) calculated by baySeq. This statistical approach is then extended when applied to spectral count data derived from multiple proteomic pipelines. The individual statistical results from multiple proteomic pipelines are integrated and cross-validated by means of collapsing protein groups. Biological significance: Spectral count data from shotgun proteomics experiments is semi-quantitative and semi-random, yet a robust way to estimate protein concentration. Tag-count approaches are routinely used to analyze RNA sequencing data sets. This approach, termed MultiSpec, utilizes multiple tag-count based statistical tests to determine differential protein expression from spectral counts. The statistical results from these tag-count approaches are combined in order to reach a final MultiSpec q-value to re-rank protein candidates. This re-ranking procedure is completed to remove bias associated with a single approach in order to better understand the true proteomic differences driving the biology in question. The MultiSpec approach can be extended to multiple proteomic pipelines. In such an instance, MultiSpec statistical results are integrated by collapsing protein groups across proteomic pipelines to provide a single ranked list of differentially expressed proteins. This integration mechanism is seamlessly integrated with the statistical analysis and provides the means to cross-validate protein inferences from multiple proteomic pipelines.&quot;,&quot;publisher&quot;:&quot;Elsevier B.V.&quot;,&quot;volume&quot;:&quot;144&quot;,&quot;container-title-short&quot;:&quot;&quot;},&quot;isTemporary&quot;:false}]},{&quot;citationID&quot;:&quot;MENDELEY_CITATION_930d3dbb-9512-4bcf-90a6-8bdef6da23dd&quot;,&quot;properties&quot;:{&quot;noteIndex&quot;:0},&quot;isEdited&quot;:false,&quot;manualOverride&quot;:{&quot;isManuallyOverridden&quot;:false,&quot;citeprocText&quot;:&quot;&lt;sup&gt;94&lt;/sup&gt;&quot;,&quot;manualOverrideText&quot;:&quot;&quot;},&quot;citationTag&quot;:&quot;MENDELEY_CITATION_v3_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&quot;,&quot;citationItems&quot;:[{&quot;id&quot;:&quot;dcb28b94-4a38-3050-a985-f26c96d0031d&quot;,&quot;itemData&quot;:{&quot;type&quot;:&quot;book&quot;,&quot;id&quot;:&quot;dcb28b94-4a38-3050-a985-f26c96d0031d&quot;,&quot;title&quot;:&quot;Emerging sample treatments in proteomics&quot;,&quot;author&quot;:[{&quot;family&quot;:&quot;Capelo&quot;,&quot;given&quot;:&quot;J.L.&quot;,&quot;parse-names&quot;:false,&quot;dropping-particle&quot;:&quot;&quot;,&quot;non-dropping-particle&quot;:&quot;&quot;}],&quot;ISBN&quot;:&quot;9783030122973&quot;,&quot;issued&quot;:{&quot;date-parts&quot;:[[2019]]},&quot;number-of-pages&quot;:&quot;pp 135&quot;,&quot;container-title-short&quot;:&quot;&quot;},&quot;isTemporary&quot;:false}]},{&quot;citationID&quot;:&quot;MENDELEY_CITATION_544fa445-bbce-444d-b578-1cbcc2b3bd0b&quot;,&quot;properties&quot;:{&quot;noteIndex&quot;:0},&quot;isEdited&quot;:false,&quot;manualOverride&quot;:{&quot;isManuallyOverridden&quot;:true,&quot;citeprocText&quot;:&quot;&lt;sup&gt;72&lt;/sup&gt;&quot;,&quot;manualOverrideText&quot;:&quot;72&quot;},&quot;citationTag&quot;:&quot;MENDELEY_CITATION_v3_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&quot;,&quot;citationItems&quot;:[{&quot;id&quot;:&quot;61cea75d-da7f-3e4c-ba96-43e4cd011006&quot;,&quot;itemData&quot;:{&quot;type&quot;:&quot;article-journal&quot;,&quot;id&quot;:&quot;61cea75d-da7f-3e4c-ba96-43e4cd011006&quot;,&quot;title&quot;:&quot;More is not always better: Evaluation of 1D and 2D-LC-MS/MS methods for metaproteomics&quot;,&quot;author&quot;:[{&quot;family&quot;:&quot;Hinzke&quot;,&quot;given&quot;:&quot;Tjorven&quot;,&quot;parse-names&quot;:false,&quot;dropping-particle&quot;:&quot;&quot;,&quot;non-dropping-particle&quot;:&quot;&quot;},{&quot;family&quot;:&quot;Kouris&quot;,&quot;given&quot;:&quot;Angela&quot;,&quot;parse-names&quot;:false,&quot;dropping-particle&quot;:&quot;&quot;,&quot;non-dropping-particle&quot;:&quot;&quot;},{&quot;family&quot;:&quot;Hughes&quot;,&quot;given&quot;:&quot;Rebecca Ayme&quot;,&quot;parse-names&quot;:false,&quot;dropping-particle&quot;:&quot;&quot;,&quot;non-dropping-particle&quot;:&quot;&quot;},{&quot;family&quot;:&quot;Strous&quot;,&quot;given&quot;:&quot;Marc&quot;,&quot;parse-names&quot;:false,&quot;dropping-particle&quot;:&quot;&quot;,&quot;non-dropping-particle&quot;:&quot;&quot;},{&quot;family&quot;:&quot;Kleiner&quot;,&quot;given&quot;:&quot;Manuel&quot;,&quot;parse-names&quot;:false,&quot;dropping-particle&quot;:&quot;&quot;,&quot;non-dropping-particle&quot;:&quot;&quot;}],&quot;container-title&quot;:&quot;Frontiers in Microbiology&quot;,&quot;DOI&quot;:&quot;10.3389/fmicb.2019.00238&quot;,&quot;ISSN&quot;:&quot;1664302X&quot;,&quot;issued&quot;:{&quot;date-parts&quot;:[[2019]]},&quot;page&quot;:&quot;1-13&quot;,&quot;abstract&quot;:&quot;Metaproteomics, the study of protein expression in microbial communities, is a versatile tool for environmental microbiology. Achieving sufficiently high metaproteome coverage to obtain a comprehensive picture of the activities and interactions in microbial communities is one of the current challenges in metaproteomics. An essential step to maximize the number of identified proteins is peptide separation via liquid chromatography (LC) prior to mass spectrometry (MS). Thorough optimization and comparison of LC methods for metaproteomics are, however, currently lacking. Here, we present an extensive development and test of different 1D and 2D-LC approaches for metaproteomic peptide separations. We used fully characterized mock community samples to evaluate metaproteomic approaches with very long analytical columns (50 and 75 cm) and long gradients (up to 12 h). We assessed a total of over 20 different 1D and 2D-LC approaches in terms of number of protein groups and unique peptides identified, peptide spectrum matches (PSMs) generated, the ability to detect proteins of low-abundance species, the effect of technical replicate runs on protein identifications and method reproducibility. We show here that, while 1D-LC approaches are faster and easier to set up and lead to more identifications per minute of runtime, 2D-LC approaches allow for a higher overall number of identifications with up to &gt;10,000 protein groups identified. We also compared the 1D and 2D-LC approaches to a standard GeLC workflow, in which proteins are pre-fractionated via gel electrophoresis. This method yielded results comparable to the 2D-LC approaches, however with the drawback of a much increased sample preparation time. Based on our results, we provide recommendations on how to choose the best LC approach for metaproteomics experiments, depending on the study aims.&quot;,&quot;issue&quot;:&quot;FEB&quot;,&quot;volume&quot;:&quot;10&quot;,&quot;container-title-short&quot;:&quot;&quot;},&quot;isTemporary&quot;:false}]},{&quot;citationID&quot;:&quot;MENDELEY_CITATION_63022a8f-63ef-4a47-b91e-d4951e6f083e&quot;,&quot;properties&quot;:{&quot;noteIndex&quot;:0},&quot;isEdited&quot;:false,&quot;manualOverride&quot;:{&quot;isManuallyOverridden&quot;:false,&quot;citeprocText&quot;:&quot;&lt;sup&gt;108&lt;/sup&gt;&quot;,&quot;manualOverrideText&quot;:&quot;&quot;},&quot;citationTag&quot;:&quot;MENDELEY_CITATION_v3_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&quot;,&quot;citationItems&quot;:[{&quot;id&quot;:&quot;65a8f94b-8a54-3465-bcd2-03a4663adf09&quot;,&quot;itemData&quot;:{&quot;type&quot;:&quot;article-journal&quot;,&quot;id&quot;:&quot;65a8f94b-8a54-3465-bcd2-03a4663adf09&quot;,&quot;title&quot;:&quot;A multi-model statistical approach for proteomic spectral count quantitation&quot;,&quot;author&quot;:[{&quot;family&quot;:&quot;Branson&quot;,&quot;given&quot;:&quot;Owen E.&quot;,&quot;parse-names&quot;:false,&quot;dropping-particle&quot;:&quot;&quot;,&quot;non-dropping-particle&quot;:&quot;&quot;},{&quot;family&quot;:&quot;Freitas&quot;,&quot;given&quot;:&quot;Michael A.&quot;,&quot;parse-names&quot;:false,&quot;dropping-particle&quot;:&quot;&quot;,&quot;non-dropping-particle&quot;:&quot;&quot;}],&quot;container-title&quot;:&quot;Journal of Proteomics&quot;,&quot;DOI&quot;:&quot;10.1016/j.jprot.2016.05.032&quot;,&quot;ISSN&quot;:&quot;18767737&quot;,&quot;PMID&quot;:&quot;27260494&quot;,&quot;URL&quot;:&quot;http://dx.doi.org/10.1016/j.jprot.2016.05.032&quot;,&quot;issued&quot;:{&quot;date-parts&quot;:[[2016]]},&quot;page&quot;:&quot;23-32&quot;,&quot;abstract&quot;:&quot;The rapid development of mass spectrometry (MS) technologies has solidified shotgun proteomics as the most powerful analytical platform for large-scale proteome interrogation. The ability to map and determine differential expression profiles of the entire proteome is the ultimate goal of shotgun proteomics. Label-free quantitation has proven to be a valid approach for discovery shotgun proteomics, especially when sample is limited. Label-free spectral count quantitation is an approach analogous to RNA sequencing whereby count data is used to determine differential expression. Here we show that statistical approaches developed to evaluate differential expression in RNA sequencing experiments can be applied to detect differential protein expression in label-free discovery proteomics. This approach, termed MultiSpec, utilizes open-source statistical platforms; namely edgeR, DESeq and baySeq, to statistically select protein candidates for further investigation. Furthermore, to remove bias associated with a single statistical approach a single ranked list of differentially expressed proteins is assembled by comparing edgeR and DESeq q-values directly with the false discovery rate (FDR) calculated by baySeq. This statistical approach is then extended when applied to spectral count data derived from multiple proteomic pipelines. The individual statistical results from multiple proteomic pipelines are integrated and cross-validated by means of collapsing protein groups. Biological significance: Spectral count data from shotgun proteomics experiments is semi-quantitative and semi-random, yet a robust way to estimate protein concentration. Tag-count approaches are routinely used to analyze RNA sequencing data sets. This approach, termed MultiSpec, utilizes multiple tag-count based statistical tests to determine differential protein expression from spectral counts. The statistical results from these tag-count approaches are combined in order to reach a final MultiSpec q-value to re-rank protein candidates. This re-ranking procedure is completed to remove bias associated with a single approach in order to better understand the true proteomic differences driving the biology in question. The MultiSpec approach can be extended to multiple proteomic pipelines. In such an instance, MultiSpec statistical results are integrated by collapsing protein groups across proteomic pipelines to provide a single ranked list of differentially expressed proteins. This integration mechanism is seamlessly integrated with the statistical analysis and provides the means to cross-validate protein inferences from multiple proteomic pipelines.&quot;,&quot;publisher&quot;:&quot;Elsevier B.V.&quot;,&quot;volume&quot;:&quot;144&quot;,&quot;container-title-short&quot;:&quot;&quot;},&quot;isTemporary&quot;:false}]},{&quot;citationID&quot;:&quot;MENDELEY_CITATION_3eceecfd-de41-461d-bc1d-442fc904f245&quot;,&quot;properties&quot;:{&quot;noteIndex&quot;:0},&quot;isEdited&quot;:false,&quot;manualOverride&quot;:{&quot;isManuallyOverridden&quot;:false,&quot;citeprocText&quot;:&quot;&lt;sup&gt;109&lt;/sup&gt;&quot;,&quot;manualOverrideText&quot;:&quot;&quot;},&quot;citationTag&quot;:&quot;MENDELEY_CITATION_v3_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&quot;,&quot;citationItems&quot;:[{&quot;id&quot;:&quot;951b206f-172f-3ca1-af38-2582f8ca9882&quot;,&quot;itemData&quot;:{&quot;type&quot;:&quot;article-journal&quot;,&quot;id&quot;:&quot;951b206f-172f-3ca1-af38-2582f8ca9882&quot;,&quot;title&quot;:&quot;A systematic evaluation of normalization methods in quantitative label-free proteomics&quot;,&quot;author&quot;:[{&quot;family&quot;:&quot;Välikangas&quot;,&quot;given&quot;:&quot;Tommi&quot;,&quot;parse-names&quot;:false,&quot;dropping-particle&quot;:&quot;&quot;,&quot;non-dropping-particle&quot;:&quot;&quot;},{&quot;family&quot;:&quot;Suomi&quot;,&quot;given&quot;:&quot;Tomi&quot;,&quot;parse-names&quot;:false,&quot;dropping-particle&quot;:&quot;&quot;,&quot;non-dropping-particle&quot;:&quot;&quot;},{&quot;family&quot;:&quot;Elo&quot;,&quot;given&quot;:&quot;Laura L.&quot;,&quot;parse-names&quot;:false,&quot;dropping-particle&quot;:&quot;&quot;,&quot;non-dropping-particle&quot;:&quot;&quot;}],&quot;container-title&quot;:&quot;Briefings in Bioinformatics&quot;,&quot;DOI&quot;:&quot;10.1093/bib/bbw095&quot;,&quot;ISSN&quot;:&quot;14774054&quot;,&quot;PMID&quot;:&quot;27694351&quot;,&quot;issued&quot;:{&quot;date-parts&quot;:[[2018]]},&quot;page&quot;:&quot;1-11&quot;,&quot;abstract&quot;:&quot;To date, mass spectrometry (MS) data remain inherently biased as a result of reasons ranging from sample handling to differences caused by the instrumentation. Normalization is the process that aims to account for the bias and make samples more comparable. The selection of a proper normalization method is a pivotal task for the reliability of the downstream analysis and results. Many normalization methods commonly used in proteomics have been adapted from the DNA microarray techniques. Previous studies comparing normalization methods in proteomics have focused mainly on intragroup variation. In this study, several popular and widely used normalization methods representing different strategies in normalization are evaluated using three spike-in and one experimental mouse label-free proteomic data sets. The normalization methods are evaluated in terms of their ability to reduce variation between technical replicates, their effect on differential expression analysis and their effect on the estimation of logarithmic fold changes. Additionally, we examined whether normalizing the whole data globally or in segments for the differential expression analysis has an effect on the performance of the normalization methods.We found that variance stabilization normalization (Vsn) reduced variation the most between technical replicates in all examined data sets. Vsn also performed consistently well in the differential expression analysis. Linear regression normalization and local regression normalization performed also systematically well. Finally, we discuss the choice of a normalization method and some qualities of a suitable normalization method in the light of the results of our evaluation.&quot;,&quot;issue&quot;:&quot;1&quot;,&quot;volume&quot;:&quot;19&quot;,&quot;container-title-short&quot;:&quot;&quot;},&quot;isTemporary&quot;:false}]},{&quot;citationID&quot;:&quot;MENDELEY_CITATION_0906f664-f37d-45e0-9cd4-ff97927c6dc1&quot;,&quot;properties&quot;:{&quot;noteIndex&quot;:0},&quot;isEdited&quot;:false,&quot;manualOverride&quot;:{&quot;isManuallyOverridden&quot;:false,&quot;citeprocText&quot;:&quot;&lt;sup&gt;109&lt;/sup&gt;&quot;,&quot;manualOverrideText&quot;:&quot;&quot;},&quot;citationTag&quot;:&quot;MENDELEY_CITATION_v3_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&quot;,&quot;citationItems&quot;:[{&quot;id&quot;:&quot;951b206f-172f-3ca1-af38-2582f8ca9882&quot;,&quot;itemData&quot;:{&quot;type&quot;:&quot;article-journal&quot;,&quot;id&quot;:&quot;951b206f-172f-3ca1-af38-2582f8ca9882&quot;,&quot;title&quot;:&quot;A systematic evaluation of normalization methods in quantitative label-free proteomics&quot;,&quot;author&quot;:[{&quot;family&quot;:&quot;Välikangas&quot;,&quot;given&quot;:&quot;Tommi&quot;,&quot;parse-names&quot;:false,&quot;dropping-particle&quot;:&quot;&quot;,&quot;non-dropping-particle&quot;:&quot;&quot;},{&quot;family&quot;:&quot;Suomi&quot;,&quot;given&quot;:&quot;Tomi&quot;,&quot;parse-names&quot;:false,&quot;dropping-particle&quot;:&quot;&quot;,&quot;non-dropping-particle&quot;:&quot;&quot;},{&quot;family&quot;:&quot;Elo&quot;,&quot;given&quot;:&quot;Laura L.&quot;,&quot;parse-names&quot;:false,&quot;dropping-particle&quot;:&quot;&quot;,&quot;non-dropping-particle&quot;:&quot;&quot;}],&quot;container-title&quot;:&quot;Briefings in Bioinformatics&quot;,&quot;DOI&quot;:&quot;10.1093/bib/bbw095&quot;,&quot;ISSN&quot;:&quot;14774054&quot;,&quot;PMID&quot;:&quot;27694351&quot;,&quot;issued&quot;:{&quot;date-parts&quot;:[[2018]]},&quot;page&quot;:&quot;1-11&quot;,&quot;abstract&quot;:&quot;To date, mass spectrometry (MS) data remain inherently biased as a result of reasons ranging from sample handling to differences caused by the instrumentation. Normalization is the process that aims to account for the bias and make samples more comparable. The selection of a proper normalization method is a pivotal task for the reliability of the downstream analysis and results. Many normalization methods commonly used in proteomics have been adapted from the DNA microarray techniques. Previous studies comparing normalization methods in proteomics have focused mainly on intragroup variation. In this study, several popular and widely used normalization methods representing different strategies in normalization are evaluated using three spike-in and one experimental mouse label-free proteomic data sets. The normalization methods are evaluated in terms of their ability to reduce variation between technical replicates, their effect on differential expression analysis and their effect on the estimation of logarithmic fold changes. Additionally, we examined whether normalizing the whole data globally or in segments for the differential expression analysis has an effect on the performance of the normalization methods.We found that variance stabilization normalization (Vsn) reduced variation the most between technical replicates in all examined data sets. Vsn also performed consistently well in the differential expression analysis. Linear regression normalization and local regression normalization performed also systematically well. Finally, we discuss the choice of a normalization method and some qualities of a suitable normalization method in the light of the results of our evaluation.&quot;,&quot;issue&quot;:&quot;1&quot;,&quot;volume&quot;:&quot;19&quot;,&quot;container-title-short&quot;:&quot;&quot;},&quot;isTemporary&quot;:false}]},{&quot;citationID&quot;:&quot;MENDELEY_CITATION_616a8a6c-c890-499c-8342-27d891d2b8c5&quot;,&quot;properties&quot;:{&quot;noteIndex&quot;:0},&quot;isEdited&quot;:false,&quot;manualOverride&quot;:{&quot;isManuallyOverridden&quot;:false,&quot;citeprocText&quot;:&quot;&lt;sup&gt;110&lt;/sup&gt;&quot;,&quot;manualOverrideText&quot;:&quot;&quot;},&quot;citationTag&quot;:&quot;MENDELEY_CITATION_v3_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&quot;,&quot;citationItems&quot;:[{&quot;id&quot;:&quot;efe5dd16-9200-377e-849a-265124883846&quot;,&quot;itemData&quot;:{&quot;type&quot;:&quot;article-journal&quot;,&quot;id&quot;:&quot;efe5dd16-9200-377e-849a-265124883846&quot;,&quot;title&quot;:&quot;Review, evaluation, and discussion of the challenges of missing value imputation for mass spectrometry-based label-free global proteomics&quot;,&quot;author&quot;:[{&quot;family&quot;:&quot;Webb-Robertson&quot;,&quot;given&quot;:&quot;Bobbie Jo M.&quot;,&quot;parse-names&quot;:false,&quot;dropping-particle&quot;:&quot;&quot;,&quot;non-dropping-particle&quot;:&quot;&quot;},{&quot;family&quot;:&quot;Wiberg&quot;,&quot;given&quot;:&quot;Holli K.&quot;,&quot;parse-names&quot;:false,&quot;dropping-particle&quot;:&quot;&quot;,&quot;non-dropping-particle&quot;:&quot;&quot;},{&quot;family&quot;:&quot;Matzke&quot;,&quot;given&quot;:&quot;Melissa M.&quot;,&quot;parse-names&quot;:false,&quot;dropping-particle&quot;:&quot;&quot;,&quot;non-dropping-particle&quot;:&quot;&quot;},{&quot;family&quot;:&quot;Brown&quot;,&quot;given&quot;:&quot;Joseph N.&quot;,&quot;parse-names&quot;:false,&quot;dropping-particle&quot;:&quot;&quot;,&quot;non-dropping-particle&quot;:&quot;&quot;},{&quot;family&quot;:&quot;Wang&quot;,&quot;given&quot;:&quot;Jing&quot;,&quot;parse-names&quot;:false,&quot;dropping-particle&quot;:&quot;&quot;,&quot;non-dropping-particle&quot;:&quot;&quot;},{&quot;family&quot;:&quot;McDermott&quot;,&quot;given&quot;:&quot;Jason E.&quot;,&quot;parse-names&quot;:false,&quot;dropping-particle&quot;:&quot;&quot;,&quot;non-dropping-particle&quot;:&quot;&quot;},{&quot;family&quot;:&quot;Smith&quot;,&quot;given&quot;:&quot;Richard D.&quot;,&quot;parse-names&quot;:false,&quot;dropping-particle&quot;:&quot;&quot;,&quot;non-dropping-particle&quot;:&quot;&quot;},{&quot;family&quot;:&quot;Rodland&quot;,&quot;given&quot;:&quot;Karin D.&quot;,&quot;parse-names&quot;:false,&quot;dropping-particle&quot;:&quot;&quot;,&quot;non-dropping-particle&quot;:&quot;&quot;},{&quot;family&quot;:&quot;Metz&quot;,&quot;given&quot;:&quot;Thomas O.&quot;,&quot;parse-names&quot;:false,&quot;dropping-particle&quot;:&quot;&quot;,&quot;non-dropping-particle&quot;:&quot;&quot;},{&quot;family&quot;:&quot;Pounds&quot;,&quot;given&quot;:&quot;Joel G.&quot;,&quot;parse-names&quot;:false,&quot;dropping-particle&quot;:&quot;&quot;,&quot;non-dropping-particle&quot;:&quot;&quot;},{&quot;family&quot;:&quot;Waters&quot;,&quot;given&quot;:&quot;Katrina M.&quot;,&quot;parse-names&quot;:false,&quot;dropping-particle&quot;:&quot;&quot;,&quot;non-dropping-particle&quot;:&quot;&quot;}],&quot;container-title&quot;:&quot;Journal of Proteome Research&quot;,&quot;DOI&quot;:&quot;10.1021/pr501138h&quot;,&quot;ISSN&quot;:&quot;15353907&quot;,&quot;PMID&quot;:&quot;25855118&quot;,&quot;issued&quot;:{&quot;date-parts&quot;:[[2015]]},&quot;page&quot;:&quot;1993-2001&quot;,&quot;abstract&quot;:&quot;In this review, we apply selected imputation strategies to label-free liquid chromatography-mass spectrometry (LC-MS) proteomics datasets to evaluate the accuracy with respect to metrics of variance and classification. We evaluate several commonly used imputation approaches for individual merits and discuss the caveats of each approach with respect to the example LC-MS proteomics data. In general, local similarity-based approaches, such as the regularized expectation maximization and least-squares adaptive algorithms, yield the best overall performances with respect to metrics of accuracy and robustness. However, no single algorithm consistently outperforms the remaining approaches, and in some cases, performing classification without imputation sometimes yielded the most accurate classification. Thus, because of the complex mechanisms of missing data in proteomics, which also vary from peptide to protein, no individual method is a single solution for imputation. On the basis of the observations in this review, the goal for imputation in the field of computational proteomics should be to develop new approaches that work generically for this data type and new strategies to guide users in the selection of the best imputation for their dataset and analysis objectives.&quot;,&quot;issue&quot;:&quot;5&quot;,&quot;volume&quot;:&quot;14&quot;,&quot;container-title-short&quot;:&quot;&quot;},&quot;isTemporary&quot;:false}]},{&quot;citationID&quot;:&quot;MENDELEY_CITATION_c9c8c3cc-5709-45f4-962b-dde7a67cdb27&quot;,&quot;properties&quot;:{&quot;noteIndex&quot;:0},&quot;isEdited&quot;:false,&quot;manualOverride&quot;:{&quot;isManuallyOverridden&quot;:false,&quot;citeprocText&quot;:&quot;&lt;sup&gt;111&lt;/sup&gt;&quot;,&quot;manualOverrideText&quot;:&quot;&quot;},&quot;citationTag&quot;:&quot;MENDELEY_CITATION_v3_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&quot;,&quot;citationItems&quot;:[{&quot;id&quot;:&quot;990e4686-86d8-346e-9f82-2e6b5da6c263&quot;,&quot;itemData&quot;:{&quot;type&quot;:&quot;article-journal&quot;,&quot;id&quot;:&quot;990e4686-86d8-346e-9f82-2e6b5da6c263&quot;,&quot;title&quot;:&quot;eggNOG 5 . 0 : a hierarchical , functionally and phylogenetically annotated orthology resource based on 5090 organisms and 2502 viruses&quot;,&quot;author&quot;:[{&quot;family&quot;:&quot;Huerta-cepas&quot;,&quot;given&quot;:&quot;Jaime&quot;,&quot;parse-names&quot;:false,&quot;dropping-particle&quot;:&quot;&quot;,&quot;non-dropping-particle&quot;:&quot;&quot;},{&quot;family&quot;:&quot;Szklarczyk&quot;,&quot;given&quot;:&quot;Damian&quot;,&quot;parse-names&quot;:false,&quot;dropping-particle&quot;:&quot;&quot;,&quot;non-dropping-particle&quot;:&quot;&quot;},{&quot;family&quot;:&quot;Heller&quot;,&quot;given&quot;:&quot;Davide&quot;,&quot;parse-names&quot;:false,&quot;dropping-particle&quot;:&quot;&quot;,&quot;non-dropping-particle&quot;:&quot;&quot;},{&quot;family&quot;:&quot;Hern&quot;,&quot;given&quot;:&quot;Ana&quot;,&quot;parse-names&quot;:false,&quot;dropping-particle&quot;:&quot;&quot;,&quot;non-dropping-particle&quot;:&quot;&quot;},{&quot;family&quot;:&quot;Forslund&quot;,&quot;given&quot;:&quot;Sofia K&quot;,&quot;parse-names&quot;:false,&quot;dropping-particle&quot;:&quot;&quot;,&quot;non-dropping-particle&quot;:&quot;&quot;},{&quot;family&quot;:&quot;Cook&quot;,&quot;given&quot;:&quot;Helen&quot;,&quot;parse-names&quot;:false,&quot;dropping-particle&quot;:&quot;&quot;,&quot;non-dropping-particle&quot;:&quot;&quot;},{&quot;family&quot;:&quot;Mende&quot;,&quot;given&quot;:&quot;Daniel R&quot;,&quot;parse-names&quot;:false,&quot;dropping-particle&quot;:&quot;&quot;,&quot;non-dropping-particle&quot;:&quot;&quot;},{&quot;family&quot;:&quot;Letunic&quot;,&quot;given&quot;:&quot;Ivica&quot;,&quot;parse-names&quot;:false,&quot;dropping-particle&quot;:&quot;&quot;,&quot;non-dropping-particle&quot;:&quot;&quot;},{&quot;family&quot;:&quot;Rattei&quot;,&quot;given&quot;:&quot;Thomas&quot;,&quot;parse-names&quot;:false,&quot;dropping-particle&quot;:&quot;&quot;,&quot;non-dropping-particle&quot;:&quot;&quot;},{&quot;family&quot;:&quot;Jensen&quot;,&quot;given&quot;:&quot;Lars J&quot;,&quot;parse-names&quot;:false,&quot;dropping-particle&quot;:&quot;&quot;,&quot;non-dropping-particle&quot;:&quot;&quot;},{&quot;family&quot;:&quot;Mering&quot;,&quot;given&quot;:&quot;Christian&quot;,&quot;parse-names&quot;:false,&quot;dropping-particle&quot;:&quot;von&quot;,&quot;non-dropping-particle&quot;:&quot;&quot;},{&quot;family&quot;:&quot;Bork&quot;,&quot;given&quot;:&quot;Peer&quot;,&quot;parse-names&quot;:false,&quot;dropping-particle&quot;:&quot;&quot;,&quot;non-dropping-particle&quot;:&quot;&quot;}],&quot;DOI&quot;:&quot;10.1093/nar/gky1085&quot;,&quot;issued&quot;:{&quot;date-parts&quot;:[[2019]]},&quot;page&quot;:&quot;309-314&quot;,&quot;issue&quot;:&quot;November 2018&quot;,&quot;volume&quot;:&quot;47&quot;,&quot;container-title-short&quot;:&quot;&quot;},&quot;isTemporary&quot;:false}]},{&quot;citationID&quot;:&quot;MENDELEY_CITATION_e4918d1b-498c-4eb7-9578-c2a0b2c583c6&quot;,&quot;properties&quot;:{&quot;noteIndex&quot;:0},&quot;isEdited&quot;:false,&quot;manualOverride&quot;:{&quot;isManuallyOverridden&quot;:false,&quot;citeprocText&quot;:&quot;&lt;sup&gt;112&lt;/sup&gt;&quot;,&quot;manualOverrideText&quot;:&quot;&quot;},&quot;citationTag&quot;:&quot;MENDELEY_CITATION_v3_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&quot;,&quot;citationItems&quot;:[{&quot;id&quot;:&quot;6f08e4b9-3ed1-36c1-87ab-122233cc44fe&quot;,&quot;itemData&quot;:{&quot;type&quot;:&quot;article-journal&quot;,&quot;id&quot;:&quot;6f08e4b9-3ed1-36c1-87ab-122233cc44fe&quot;,&quot;title&quot;:&quot;MetaCyc: A multiorganism database of metabolic pathways and enzymes&quot;,&quot;author&quot;:[{&quot;family&quot;:&quot;Krieger&quot;,&quot;given&quot;:&quot;Cynthia J.&quot;,&quot;parse-names&quot;:false,&quot;dropping-particle&quot;:&quot;&quot;,&quot;non-dropping-particle&quot;:&quot;&quot;},{&quot;family&quot;:&quot;Zhang&quot;,&quot;given&quot;:&quot;Peifen&quot;,&quot;parse-names&quot;:false,&quot;dropping-particle&quot;:&quot;&quot;,&quot;non-dropping-particle&quot;:&quot;&quot;},{&quot;family&quot;:&quot;Mueller&quot;,&quot;given&quot;:&quot;Lukas A.&quot;,&quot;parse-names&quot;:false,&quot;dropping-particle&quot;:&quot;&quot;,&quot;non-dropping-particle&quot;:&quot;&quot;},{&quot;family&quot;:&quot;Wang&quot;,&quot;given&quot;:&quot;Alfred&quot;,&quot;parse-names&quot;:false,&quot;dropping-particle&quot;:&quot;&quot;,&quot;non-dropping-particle&quot;:&quot;&quot;},{&quot;family&quot;:&quot;Paley&quot;,&quot;given&quot;:&quot;Suzanne&quot;,&quot;parse-names&quot;:false,&quot;dropping-particle&quot;:&quot;&quot;,&quot;non-dropping-particle&quot;:&quot;&quot;},{&quot;family&quot;:&quot;Arnaud&quot;,&quot;given&quot;:&quot;Martha&quot;,&quot;parse-names&quot;:false,&quot;dropping-particle&quot;:&quot;&quot;,&quot;non-dropping-particle&quot;:&quot;&quot;},{&quot;family&quot;:&quot;Pick&quot;,&quot;given&quot;:&quot;John&quot;,&quot;parse-names&quot;:false,&quot;dropping-particle&quot;:&quot;&quot;,&quot;non-dropping-particle&quot;:&quot;&quot;},{&quot;family&quot;:&quot;Rhee&quot;,&quot;given&quot;:&quot;Seung Y.&quot;,&quot;parse-names&quot;:false,&quot;dropping-particle&quot;:&quot;&quot;,&quot;non-dropping-particle&quot;:&quot;&quot;},{&quot;family&quot;:&quot;Karp&quot;,&quot;given&quot;:&quot;Peter D.&quot;,&quot;parse-names&quot;:false,&quot;dropping-particle&quot;:&quot;&quot;,&quot;non-dropping-particle&quot;:&quot;&quot;}],&quot;container-title&quot;:&quot;Nucleic Acids Research&quot;,&quot;DOI&quot;:&quot;10.1093/nar/gkh100&quot;,&quot;ISSN&quot;:&quot;03051048&quot;,&quot;PMID&quot;:&quot;14681452&quot;,&quot;issued&quot;:{&quot;date-parts&quot;:[[2004]]},&quot;page&quot;:&quot;438-442&quot;,&quot;abstract&quot;:&quot;The MetaCyc database (see URL http://MetaCyc.org) is a collection of metabolic pathways and enzymes from a wide variety of organisms, primarily microorganisms and plants. The goal of MetaCyc is to contain a representative sample of each experimentally elucidated pathway, and thereby to catalog the universe of metabolism. MetaCyc also describes reactions, chemical compounds and genes. Many of the pathways and enzymes in MetaCyc contain extensive information, including comments and literature citations. SRI's Pathway Tools software supports querying, visualization and curation of MetaCyc. With its wide breadth and depth of metabolic information, MetaCyc is a valuable resource for a variety of applications. MetaCyc is the reference database of pathways and enzymes that is used in conjunction with SRI's metabolic pathway prediction program to create Pathway/Genome Databases that can be augmented with curation from the scientific literature and published on the world wide web. MetaCyc also serves as a readily accessible comprehensive resource on microbial and plant pathways for genome analysis, basic research, education, metabolic engineering and systems biology. In the past 2 years the data content and the Pathway Tools software used to query, visualize and edit MetaCyc have been expanded significantly. These enhancements are described in this paper.&quot;,&quot;issue&quot;:&quot;DATABASE ISS.&quot;,&quot;volume&quot;:&quot;32&quot;,&quot;container-title-short&quot;:&quot;&quot;},&quot;isTemporary&quot;:false}]},{&quot;citationID&quot;:&quot;MENDELEY_CITATION_f6c5078e-63ad-4d29-b25a-d37fec428e86&quot;,&quot;properties&quot;:{&quot;noteIndex&quot;:0},&quot;isEdited&quot;:false,&quot;manualOverride&quot;:{&quot;isManuallyOverridden&quot;:false,&quot;citeprocText&quot;:&quot;&lt;sup&gt;113&lt;/sup&gt;&quot;,&quot;manualOverrideText&quot;:&quot;&quot;},&quot;citationTag&quot;:&quot;MENDELEY_CITATION_v3_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&quot;,&quot;citationItems&quot;:[{&quot;id&quot;:&quot;6dd91e57-6b5e-3ffa-b0fb-83001a92a0b9&quot;,&quot;itemData&quot;:{&quot;type&quot;:&quot;article-journal&quot;,&quot;id&quot;:&quot;6dd91e57-6b5e-3ffa-b0fb-83001a92a0b9&quot;,&quot;title&quot;:&quot;Soil metaproteomics - Comparative evaluation of protein extraction protocols&quot;,&quot;author&quot;:[{&quot;family&quot;:&quot;Keiblinger&quot;,&quot;given&quot;:&quot;Katharina M.&quot;,&quot;parse-names&quot;:false,&quot;dropping-particle&quot;:&quot;&quot;,&quot;non-dropping-particle&quot;:&quot;&quot;},{&quot;family&quot;:&quot;Wilhartitz&quot;,&quot;given&quot;:&quot;Inés C.&quot;,&quot;parse-names&quot;:false,&quot;dropping-particle&quot;:&quot;&quot;,&quot;non-dropping-particle&quot;:&quot;&quot;},{&quot;family&quot;:&quot;Schneider&quot;,&quot;given&quot;:&quot;Thomas&quot;,&quot;parse-names&quot;:false,&quot;dropping-particle&quot;:&quot;&quot;,&quot;non-dropping-particle&quot;:&quot;&quot;},{&quot;family&quot;:&quot;Roschitzki&quot;,&quot;given&quot;:&quot;Bernd&quot;,&quot;parse-names&quot;:false,&quot;dropping-particle&quot;:&quot;&quot;,&quot;non-dropping-particle&quot;:&quot;&quot;},{&quot;family&quot;:&quot;Schmid&quot;,&quot;given&quot;:&quot;Emanuel&quot;,&quot;parse-names&quot;:false,&quot;dropping-particle&quot;:&quot;&quot;,&quot;non-dropping-particle&quot;:&quot;&quot;},{&quot;family&quot;:&quot;Eberl&quot;,&quot;given&quot;:&quot;Leo&quot;,&quot;parse-names&quot;:false,&quot;dropping-particle&quot;:&quot;&quot;,&quot;non-dropping-particle&quot;:&quot;&quot;},{&quot;family&quot;:&quot;Riedel&quot;,&quot;given&quot;:&quot;Kathrin&quot;,&quot;parse-names&quot;:false,&quot;dropping-particle&quot;:&quot;&quot;,&quot;non-dropping-particle&quot;:&quot;&quot;},{&quot;family&quot;:&quot;Zechmeister-Boltenstern&quot;,&quot;given&quot;:&quot;Sophie&quot;,&quot;parse-names&quot;:false,&quot;dropping-particle&quot;:&quot;&quot;,&quot;non-dropping-particle&quot;:&quot;&quot;}],&quot;container-title&quot;:&quot;Soil Biology and Biochemistry&quot;,&quot;DOI&quot;:&quot;10.1016/j.soilbio.2012.05.014&quot;,&quot;ISSN&quot;:&quot;00380717&quot;,&quot;issued&quot;:{&quot;date-parts&quot;:[[2012]]},&quot;page&quot;:&quot;14-24&quot;,&quot;abstract&quot;:&quot;Metaproteomics and its potential applications are very promising to study microbial activity in environmental samples and to obtain a deeper understanding of microbial interactions. However, due to the complexity of soil samples the exhaustive extraction of proteins is a major challenge. We compared soil protein extraction protocols in terms of their protein extraction efficiency for two different soil types. Four different protein extraction procedures were applied based on (a) SDS extraction without phenol, (b) NaOH and subsequent phenol extraction, (c) SDS-phenol extraction and (d) SDS-phenol extraction with prior washing steps. To assess the suitability of these methods for the functional analysis of the soil metaproteome, they were applied to a potting soil high in organic matter and a forest soil. Proteins were analyzed by two-dimensional liquid chromatography/tandem mass spectrometry (2D-LC-MS/MS) and the number of unique spectra as well as the number of assigned proteins for each of the respective protocols was compared. In both soil types, extraction with SDS-phenol (c) resulted in \&quot; high\&quot; numbers of proteins. Moreover, a spiking experiment was conducted to evaluate protein recovery. To this end sterilized forest soil was amended with proteins from pure cultures of Pectobacterium carotovorum and Aspergillus nidulans. The protein recovery in the spiking experiment was almost 50%. Our study demonstrates that a critical evaluation of the extraction protocol is crucial for the quality of the metaproteomics data, especially in highly complex samples like natural soils. © 2012 Elsevier Ltd.&quot;,&quot;volume&quot;:&quot;54&quot;,&quot;container-title-short&quot;:&quot;&quot;},&quot;isTemporary&quot;:false}]},{&quot;citationID&quot;:&quot;MENDELEY_CITATION_d9135e74-8cdb-4d66-ae00-f9910f283778&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&quot;,&quot;citationItems&quot;:[{&quot;id&quot;:&quot;e260d0ef-f42a-3b4b-b5e6-a0607c7ea6a6&quot;,&quot;itemData&quot;:{&quot;type&quot;:&quot;article-journal&quot;,&quot;id&quot;:&quot;e260d0ef-f42a-3b4b-b5e6-a0607c7ea6a6&quot;,&quot;title&quot;:&quot;Using proteins to study how microbes contribute to soil ecosystem services: The current state and future perspectives of soil metaproteomics&quot;,&quot;author&quot;:[{&quot;family&quot;:&quot;Starke&quot;,&quot;given&quot;:&quot;Robert&quot;,&quot;parse-names&quot;:false,&quot;dropping-particle&quot;:&quot;&quot;,&quot;non-dropping-particle&quot;:&quot;&quot;},{&quot;family&quot;:&quot;Jehmlich&quot;,&quot;given&quot;:&quot;Nico&quot;,&quot;parse-names&quot;:false,&quot;dropping-particle&quot;:&quot;&quot;,&quot;non-dropping-particle&quot;:&quot;&quot;},{&quot;family&quot;:&quot;Bastida&quot;,&quot;given&quot;:&quot;Felipe&quot;,&quot;parse-names&quot;:false,&quot;dropping-particle&quot;:&quot;&quot;,&quot;non-dropping-particle&quot;:&quot;&quot;}],&quot;container-title&quot;:&quot;Journal of Proteomics&quot;,&quot;DOI&quot;:&quot;10.1016/j.jprot.2018.11.011&quot;,&quot;ISSN&quot;:&quot;18767737&quot;,&quot;PMID&quot;:&quot;30445181&quot;,&quot;URL&quot;:&quot;https://doi.org/10.1016/j.jprot.2018.11.011&quot;,&quot;issued&quot;:{&quot;date-parts&quot;:[[2019]]},&quot;page&quot;:&quot;50-58&quot;,&quot;abstract&quot;:&quot;Metaproteomics was established to analyse both the structure and the function of microbial communities and, particularly in soils, their contribution to ecosystem services. In this review, we provide an overview on how the study of the soil metaproteome can provide fundamental information on the role of microbial communities in soil ecosystem services. We further discuss the strengths and weaknesses of soil metaproteomics in comparison to other culture-independent OMIC techniques. We critically review its bottlenecks but also provide strategies to mitigate and possible directions for future research as the direct link of structure and function is advantageous and complementary to metagenomics, metatranscriptomics and metametabolomics.&quot;,&quot;publisher&quot;:&quot;Elsevier&quot;,&quot;issue&quot;:&quot;October 2018&quot;,&quot;volume&quot;:&quot;198&quot;,&quot;container-title-short&quot;:&quot;&quot;},&quot;isTemporary&quot;:false}]},{&quot;citationID&quot;:&quot;MENDELEY_CITATION_cea99aa2-a635-4c4b-830b-0acac63edac5&quot;,&quot;properties&quot;:{&quot;noteIndex&quot;:0},&quot;isEdited&quot;:false,&quot;manualOverride&quot;:{&quot;isManuallyOverridden&quot;:false,&quot;citeprocText&quot;:&quot;&lt;sup&gt;114&lt;/sup&gt;&quot;,&quot;manualOverrideText&quot;:&quot;&quot;},&quot;citationTag&quot;:&quot;MENDELEY_CITATION_v3_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&quot;,&quot;citationItems&quot;:[{&quot;id&quot;:&quot;99e01638-3076-301d-884e-7bbc002642a5&quot;,&quot;itemData&quot;:{&quot;type&quot;:&quot;article-journal&quot;,&quot;id&quot;:&quot;99e01638-3076-301d-884e-7bbc002642a5&quot;,&quot;title&quot;:&quot;Methodological bias associated with soluble protein recovery from soil&quot;,&quot;author&quot;:[{&quot;family&quot;:&quot;Greenfield&quot;,&quot;given&quot;:&quot;Lucy M.&quot;,&quot;parse-names&quot;:false,&quot;dropping-particle&quot;:&quot;&quot;,&quot;non-dropping-particle&quot;:&quot;&quot;},{&quot;family&quot;:&quot;Hill&quot;,&quot;given&quot;:&quot;Paul W.&quot;,&quot;parse-names&quot;:false,&quot;dropping-particle&quot;:&quot;&quot;,&quot;non-dropping-particle&quot;:&quot;&quot;},{&quot;family&quot;:&quot;Paterson&quot;,&quot;given&quot;:&quot;Eric&quot;,&quot;parse-names&quot;:false,&quot;dropping-particle&quot;:&quot;&quot;,&quot;non-dropping-particle&quot;:&quot;&quot;},{&quot;family&quot;:&quot;Baggs&quot;,&quot;given&quot;:&quot;Elizabeth M.&quot;,&quot;parse-names&quot;:false,&quot;dropping-particle&quot;:&quot;&quot;,&quot;non-dropping-particle&quot;:&quot;&quot;},{&quot;family&quot;:&quot;Jones&quot;,&quot;given&quot;:&quot;Davey L.&quot;,&quot;parse-names&quot;:false,&quot;dropping-particle&quot;:&quot;&quot;,&quot;non-dropping-particle&quot;:&quot;&quot;}],&quot;container-title&quot;:&quot;Scientific Reports&quot;,&quot;DOI&quot;:&quot;10.1038/s41598-018-29559-4&quot;,&quot;ISBN&quot;:&quot;4159801829559&quot;,&quot;ISSN&quot;:&quot;20452322&quot;,&quot;PMID&quot;:&quot;30046143&quot;,&quot;issued&quot;:{&quot;date-parts&quot;:[[2018]]},&quot;page&quot;:&quot;3-8&quot;,&quot;abstract&quot;:&quot;Proteins play a crucial role in many soil processes, however, standardised methods to extract soluble protein from soil are lacking. The aim of this study was to compare the ability of different extractants to quantify the recovery of soluble proteins from three soil types (Cambisol, Ferralsol and Histosol) with contrasting clay and organic matter contents. Known amounts of plant-derived 14C-labelled soluble proteins were incubated with soil and then extracted with solutions of contrasting pH, concentration and polarity. Protein recovery proved highly solvent and soil dependent (Histosol &gt; Cambisol &gt; Ferralsol) and no single extractant was capable of complete protein recovery. In comparison to deionised water (10–60% of the total protein recovered), maximal recovery was observed with NaOH (0.1 M; 61–80%) and Na-pyrophosphate (0.05 M, pH 7.0; 45–75% recovery). We conclude that the dependence of protein recovery on both extractant and soil type prevents direct comparison of studies using different recovery methods, particularly if no extraction controls are used. We present recommendations for a standard protein extraction protocol.&quot;,&quot;issue&quot;:&quot;1&quot;,&quot;volume&quot;:&quot;8&quot;,&quot;container-title-short&quot;:&quot;&quot;},&quot;isTemporary&quot;:false}]},{&quot;citationID&quot;:&quot;MENDELEY_CITATION_0b0bb222-0400-42ba-9d2f-48a0a7182f11&quot;,&quot;properties&quot;:{&quot;noteIndex&quot;:0},&quot;isEdited&quot;:false,&quot;manualOverride&quot;:{&quot;isManuallyOverridden&quot;:false,&quot;citeprocText&quot;:&quot;&lt;sup&gt;115&lt;/sup&gt;&quot;,&quot;manualOverrideText&quot;:&quot;&quot;},&quot;citationTag&quot;:&quot;MENDELEY_CITATION_v3_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&quot;,&quot;citationItems&quot;:[{&quot;id&quot;:&quot;6218121b-3078-3bd7-bdf2-031a96b81a20&quot;,&quot;itemData&quot;:{&quot;type&quot;:&quot;article-journal&quot;,&quot;id&quot;:&quot;6218121b-3078-3bd7-bdf2-031a96b81a20&quot;,&quot;title&quot;:&quot;Interactions between Humic Substances and Microorganisms and&quot;,&quot;author&quot;:[{&quot;family&quot;:&quot;Kulikova&quot;,&quot;given&quot;:&quot;Natalia A.&quot;,&quot;parse-names&quot;:false,&quot;dropping-particle&quot;:&quot;&quot;,&quot;non-dropping-particle&quot;:&quot;&quot;}],&quot;container-title&quot;:&quot;Molecules&quot;,&quot;issued&quot;:{&quot;date-parts&quot;:[[2021]]},&quot;page&quot;:&quot;1-32&quot;,&quot;abstract&quot;:&quot;The state of the art of the reported data on interactions between microorganisms and HSs is presented herein. The properties of HSs are discussed in terms of microbial utilization, degradation, and transformation. The data on biologically active individual compounds found in HSs are summarized. Bacteria of the phylum Proteobacteria and fungi of the phyla Basidiomycota and Ascomycota were found to be the mainHS degraders, while Proteobacteria, Actinobacteria, Bacteroidetes, and Firmicutes were found to be the predominant phyla in humic-reducing microorganisms (HRMs). Some promising aspects of interactions between microorganisms and HSs are discussed as a feasible basis for nature-like biotechnologies, including the production of enzymes capable of catalyzing the oxidative binding of organic pollutants to HSs, while electron shuttling through the utilization of HSs by HRMs as electron shuttles may be used for the enhancement of organic pollutant biodegradation or lowering bioavailability of some metals. Utilization of HSs by HRMs as terminal electron acceptors may suppress electron transfer to CO2, reducing the formation of CH4 in temporarily anoxic systems. The data reported so far are mostly related to the use of HSs as redox compounds. HSs are capable of altering the composition of the microbial community, and there are environmental conditions that determine the efficiency of HSs. To facilitate the development of HS-based technologies, complex studies addressing these factors are in demand.&quot;,&quot;issue&quot;:&quot;2706&quot;,&quot;volume&quot;:&quot;26&quot;,&quot;container-title-short&quot;:&quot;&quot;},&quot;isTemporary&quot;:false}]},{&quot;citationID&quot;:&quot;MENDELEY_CITATION_d50fe439-785c-4038-9439-a3918d8ba344&quot;,&quot;properties&quot;:{&quot;noteIndex&quot;:0},&quot;isEdited&quot;:false,&quot;manualOverride&quot;:{&quot;isManuallyOverridden&quot;:false,&quot;citeprocText&quot;:&quot;&lt;sup&gt;116&lt;/sup&gt;&quot;,&quot;manualOverrideText&quot;:&quot;&quot;},&quot;citationTag&quot;:&quot;MENDELEY_CITATION_v3_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&quot;,&quot;citationItems&quot;:[{&quot;id&quot;:&quot;e4d869c4-0cf0-3b73-9ccb-8a30c801d91f&quot;,&quot;itemData&quot;:{&quot;type&quot;:&quot;article-journal&quot;,&quot;id&quot;:&quot;e4d869c4-0cf0-3b73-9ccb-8a30c801d91f&quot;,&quot;title&quot;:&quot;Encapsulation of protein in humic acid from a histosol as an explanation for the occurrence of organic nitrogen in soil and sediment&quot;,&quot;author&quot;:[{&quot;family&quot;:&quot;Zang&quot;,&quot;given&quot;:&quot;Xu&quot;,&quot;parse-names&quot;:false,&quot;dropping-particle&quot;:&quot;&quot;,&quot;non-dropping-particle&quot;:&quot;&quot;},{&quot;family&quot;:&quot;Heemst&quot;,&quot;given&quot;:&quot;Jasper D.H.&quot;,&quot;parse-names&quot;:false,&quot;dropping-particle&quot;:&quot;&quot;,&quot;non-dropping-particle&quot;:&quot;van&quot;},{&quot;family&quot;:&quot;Dria&quot;,&quot;given&quot;:&quot;Karl J.&quot;,&quot;parse-names&quot;:false,&quot;dropping-particle&quot;:&quot;&quot;,&quot;non-dropping-particle&quot;:&quot;&quot;},{&quot;family&quot;:&quot;Hatcher&quot;,&quot;given&quot;:&quot;Patrick G.&quot;,&quot;parse-names&quot;:false,&quot;dropping-particle&quot;:&quot;&quot;,&quot;non-dropping-particle&quot;:&quot;&quot;}],&quot;container-title&quot;:&quot;Organic Geochemistry&quot;,&quot;DOI&quot;:&quot;10.1016/S0146-6380(00)00040-1&quot;,&quot;ISSN&quot;:&quot;01466380&quot;,&quot;issued&quot;:{&quot;date-parts&quot;:[[2000]]},&quot;page&quot;:&quot;679-695&quot;,&quot;abstract&quot;:&quot;Recent work suggests that nitrogen in humic acids exists primarily as amide functional groups that mirror those in protein. However, the mode for the existence of such labile materials as protein still remains unclear. With the combined applications of NMR spectroscopy, tetramethylammonium hydroxide (TMAH) thermochemolysis, pyrolysis/GC/MS, and elemental analysis, we propose that the survival of proteins in humic acids is carried out by encapsulation into hydrophobic domains of humic acids. To test this hypothesis, we simulated encapsulation of 15N-labeled protein extracts into humic acids and demonstrated that complete hydrolysis of the protein is prevented by the encapsulating humic acid. Results from this study constitute evidence to support the encapsulation mechanism involved in the formation of refractory organic nitrogen during sediment diagenesis. (C) 2000 Published by Elsevier Science Ltd.&quot;,&quot;issue&quot;:&quot;7-8&quot;,&quot;volume&quot;:&quot;31&quot;,&quot;container-title-short&quot;:&quot;&quot;},&quot;isTemporary&quot;:false}]},{&quot;citationID&quot;:&quot;MENDELEY_CITATION_39495087-5ec5-4cad-baf6-66baed5a9cce&quot;,&quot;properties&quot;:{&quot;noteIndex&quot;:0},&quot;isEdited&quot;:false,&quot;manualOverride&quot;:{&quot;isManuallyOverridden&quot;:false,&quot;citeprocText&quot;:&quot;&lt;sup&gt;56&lt;/sup&gt;&quot;,&quot;manualOverrideText&quot;:&quot;&quot;},&quot;citationTag&quot;:&quot;MENDELEY_CITATION_v3_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&quot;,&quot;citationItems&quot;:[{&quot;id&quot;:&quot;631c489e-ed7c-30ad-bf78-40453369fe0f&quot;,&quot;itemData&quot;:{&quot;type&quot;:&quot;article-journal&quot;,&quot;id&quot;:&quot;631c489e-ed7c-30ad-bf78-40453369fe0f&quot;,&quot;title&quot;:&quot;Optimized Extraction Method to Remove Humic Acid Interferences from Soil Samples Prior to Microbial Proteome Measurements&quot;,&quot;author&quot;:[{&quot;family&quot;:&quot;Qian&quot;,&quot;given&quot;:&quot;Chen&quot;,&quot;parse-names&quot;:false,&quot;dropping-particle&quot;:&quot;&quot;,&quot;non-dropping-particle&quot;:&quot;&quot;},{&quot;family&quot;:&quot;Hettich&quot;,&quot;given&quot;:&quot;Robert L.&quot;,&quot;parse-names&quot;:false,&quot;dropping-particle&quot;:&quot;&quot;,&quot;non-dropping-particle&quot;:&quot;&quot;}],&quot;container-title&quot;:&quot;Journal of Proteome Research&quot;,&quot;DOI&quot;:&quot;10.1021/acs.jproteome.7b00103&quot;,&quot;ISSN&quot;:&quot;15353907&quot;,&quot;PMID&quot;:&quot;28537741&quot;,&quot;issued&quot;:{&quot;date-parts&quot;:[[2017]]},&quot;page&quot;:&quot;2537-2546&quot;,&quot;abstract&quot;:&quot;The microbial composition and their activities in soil environments play a critical role in organic matter transformation and nutrient cycling. Liquid chromatography coupled to high-performance mass spectrometry provides a powerful approach to characterize soil microbiomes; however, the limited microbial biomass and the presence of abundant interferences in soil samples present major challenges to proteome extraction and subsequent MS measurement. To this end, we have designed an experimental method to improve microbial proteome measurement by removing the soil-borne humic substances coextraction from soils. Our approach employs an in situ detergent-based microbial lysis/TCA precipitation coupled to an additional cleanup step involving acidified precipitation and filtering at the peptide level to remove most of the humic acid interferences prior to proteolytic peptide measurement. The novelty of this approach is an integration to exploit two different characteristics of humic acids: (1) Humic acids are insoluble in acidic solution but should not be removed at the protein level, as undesirable protein removal may also occur. Rather it is better to leave the humics acids in the samples until the peptide level, at which point the significant differential solubility of humic acids versus peptides at low pH can be exploited very efficiently. (2) Most of the humic acids have larger molecule weights than the peptides. Therefore, filtering a pH 2 to 3 peptide solution with a 10 kDa filter will remove most of the humic acids. This method is easily interfaced with normal proteolytic processing approaches and provides a reliable and straightforward protein extraction method that efficiently removes soil-borne humic substances without inducing proteome sample loss or biasing protein identification in mass spectrometry. In general, this humic acid removal step is universal and can be adopted by any workflow to effectively remove humic acids to avoid them negatively competing with peptides for binding with reversed-phase resin or ionization in the electrospray.&quot;,&quot;issue&quot;:&quot;7&quot;,&quot;volume&quot;:&quot;16&quot;,&quot;container-title-short&quot;:&quot;&quot;},&quot;isTemporary&quot;:false}]},{&quot;citationID&quot;:&quot;MENDELEY_CITATION_c69d44bb-0812-4bb0-8246-342914be99ce&quot;,&quot;properties&quot;:{&quot;noteIndex&quot;:0},&quot;isEdited&quot;:false,&quot;manualOverride&quot;:{&quot;isManuallyOverridden&quot;:false,&quot;citeprocText&quot;:&quot;&lt;sup&gt;56&lt;/sup&gt;&quot;,&quot;manualOverrideText&quot;:&quot;&quot;},&quot;citationTag&quot;:&quot;MENDELEY_CITATION_v3_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&quot;,&quot;citationItems&quot;:[{&quot;id&quot;:&quot;631c489e-ed7c-30ad-bf78-40453369fe0f&quot;,&quot;itemData&quot;:{&quot;type&quot;:&quot;article-journal&quot;,&quot;id&quot;:&quot;631c489e-ed7c-30ad-bf78-40453369fe0f&quot;,&quot;title&quot;:&quot;Optimized Extraction Method to Remove Humic Acid Interferences from Soil Samples Prior to Microbial Proteome Measurements&quot;,&quot;author&quot;:[{&quot;family&quot;:&quot;Qian&quot;,&quot;given&quot;:&quot;Chen&quot;,&quot;parse-names&quot;:false,&quot;dropping-particle&quot;:&quot;&quot;,&quot;non-dropping-particle&quot;:&quot;&quot;},{&quot;family&quot;:&quot;Hettich&quot;,&quot;given&quot;:&quot;Robert L.&quot;,&quot;parse-names&quot;:false,&quot;dropping-particle&quot;:&quot;&quot;,&quot;non-dropping-particle&quot;:&quot;&quot;}],&quot;container-title&quot;:&quot;Journal of Proteome Research&quot;,&quot;DOI&quot;:&quot;10.1021/acs.jproteome.7b00103&quot;,&quot;ISSN&quot;:&quot;15353907&quot;,&quot;PMID&quot;:&quot;28537741&quot;,&quot;issued&quot;:{&quot;date-parts&quot;:[[2017]]},&quot;page&quot;:&quot;2537-2546&quot;,&quot;abstract&quot;:&quot;The microbial composition and their activities in soil environments play a critical role in organic matter transformation and nutrient cycling. Liquid chromatography coupled to high-performance mass spectrometry provides a powerful approach to characterize soil microbiomes; however, the limited microbial biomass and the presence of abundant interferences in soil samples present major challenges to proteome extraction and subsequent MS measurement. To this end, we have designed an experimental method to improve microbial proteome measurement by removing the soil-borne humic substances coextraction from soils. Our approach employs an in situ detergent-based microbial lysis/TCA precipitation coupled to an additional cleanup step involving acidified precipitation and filtering at the peptide level to remove most of the humic acid interferences prior to proteolytic peptide measurement. The novelty of this approach is an integration to exploit two different characteristics of humic acids: (1) Humic acids are insoluble in acidic solution but should not be removed at the protein level, as undesirable protein removal may also occur. Rather it is better to leave the humics acids in the samples until the peptide level, at which point the significant differential solubility of humic acids versus peptides at low pH can be exploited very efficiently. (2) Most of the humic acids have larger molecule weights than the peptides. Therefore, filtering a pH 2 to 3 peptide solution with a 10 kDa filter will remove most of the humic acids. This method is easily interfaced with normal proteolytic processing approaches and provides a reliable and straightforward protein extraction method that efficiently removes soil-borne humic substances without inducing proteome sample loss or biasing protein identification in mass spectrometry. In general, this humic acid removal step is universal and can be adopted by any workflow to effectively remove humic acids to avoid them negatively competing with peptides for binding with reversed-phase resin or ionization in the electrospray.&quot;,&quot;issue&quot;:&quot;7&quot;,&quot;volume&quot;:&quot;16&quot;,&quot;container-title-short&quot;:&quot;&quot;},&quot;isTemporary&quot;:false}]},{&quot;citationID&quot;:&quot;MENDELEY_CITATION_3a6cd6c4-1bb8-4c65-b6f8-9c3f25041501&quot;,&quot;properties&quot;:{&quot;noteIndex&quot;:0},&quot;isEdited&quot;:false,&quot;manualOverride&quot;:{&quot;isManuallyOverridden&quot;:false,&quot;citeprocText&quot;:&quot;&lt;sup&gt;113,117&lt;/sup&gt;&quot;,&quot;manualOverrideText&quot;:&quot;&quot;},&quot;citationTag&quot;:&quot;MENDELEY_CITATION_v3_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&quot;,&quot;citationItems&quot;:[{&quot;id&quot;:&quot;6dd91e57-6b5e-3ffa-b0fb-83001a92a0b9&quot;,&quot;itemData&quot;:{&quot;type&quot;:&quot;article-journal&quot;,&quot;id&quot;:&quot;6dd91e57-6b5e-3ffa-b0fb-83001a92a0b9&quot;,&quot;title&quot;:&quot;Soil metaproteomics - Comparative evaluation of protein extraction protocols&quot;,&quot;author&quot;:[{&quot;family&quot;:&quot;Keiblinger&quot;,&quot;given&quot;:&quot;Katharina M.&quot;,&quot;parse-names&quot;:false,&quot;dropping-particle&quot;:&quot;&quot;,&quot;non-dropping-particle&quot;:&quot;&quot;},{&quot;family&quot;:&quot;Wilhartitz&quot;,&quot;given&quot;:&quot;Inés C.&quot;,&quot;parse-names&quot;:false,&quot;dropping-particle&quot;:&quot;&quot;,&quot;non-dropping-particle&quot;:&quot;&quot;},{&quot;family&quot;:&quot;Schneider&quot;,&quot;given&quot;:&quot;Thomas&quot;,&quot;parse-names&quot;:false,&quot;dropping-particle&quot;:&quot;&quot;,&quot;non-dropping-particle&quot;:&quot;&quot;},{&quot;family&quot;:&quot;Roschitzki&quot;,&quot;given&quot;:&quot;Bernd&quot;,&quot;parse-names&quot;:false,&quot;dropping-particle&quot;:&quot;&quot;,&quot;non-dropping-particle&quot;:&quot;&quot;},{&quot;family&quot;:&quot;Schmid&quot;,&quot;given&quot;:&quot;Emanuel&quot;,&quot;parse-names&quot;:false,&quot;dropping-particle&quot;:&quot;&quot;,&quot;non-dropping-particle&quot;:&quot;&quot;},{&quot;family&quot;:&quot;Eberl&quot;,&quot;given&quot;:&quot;Leo&quot;,&quot;parse-names&quot;:false,&quot;dropping-particle&quot;:&quot;&quot;,&quot;non-dropping-particle&quot;:&quot;&quot;},{&quot;family&quot;:&quot;Riedel&quot;,&quot;given&quot;:&quot;Kathrin&quot;,&quot;parse-names&quot;:false,&quot;dropping-particle&quot;:&quot;&quot;,&quot;non-dropping-particle&quot;:&quot;&quot;},{&quot;family&quot;:&quot;Zechmeister-Boltenstern&quot;,&quot;given&quot;:&quot;Sophie&quot;,&quot;parse-names&quot;:false,&quot;dropping-particle&quot;:&quot;&quot;,&quot;non-dropping-particle&quot;:&quot;&quot;}],&quot;container-title&quot;:&quot;Soil Biology and Biochemistry&quot;,&quot;DOI&quot;:&quot;10.1016/j.soilbio.2012.05.014&quot;,&quot;ISSN&quot;:&quot;00380717&quot;,&quot;issued&quot;:{&quot;date-parts&quot;:[[2012]]},&quot;page&quot;:&quot;14-24&quot;,&quot;abstract&quot;:&quot;Metaproteomics and its potential applications are very promising to study microbial activity in environmental samples and to obtain a deeper understanding of microbial interactions. However, due to the complexity of soil samples the exhaustive extraction of proteins is a major challenge. We compared soil protein extraction protocols in terms of their protein extraction efficiency for two different soil types. Four different protein extraction procedures were applied based on (a) SDS extraction without phenol, (b) NaOH and subsequent phenol extraction, (c) SDS-phenol extraction and (d) SDS-phenol extraction with prior washing steps. To assess the suitability of these methods for the functional analysis of the soil metaproteome, they were applied to a potting soil high in organic matter and a forest soil. Proteins were analyzed by two-dimensional liquid chromatography/tandem mass spectrometry (2D-LC-MS/MS) and the number of unique spectra as well as the number of assigned proteins for each of the respective protocols was compared. In both soil types, extraction with SDS-phenol (c) resulted in \&quot; high\&quot; numbers of proteins. Moreover, a spiking experiment was conducted to evaluate protein recovery. To this end sterilized forest soil was amended with proteins from pure cultures of Pectobacterium carotovorum and Aspergillus nidulans. The protein recovery in the spiking experiment was almost 50%. Our study demonstrates that a critical evaluation of the extraction protocol is crucial for the quality of the metaproteomics data, especially in highly complex samples like natural soils. © 2012 Elsevier Ltd.&quot;,&quot;volume&quot;:&quot;54&quot;,&quot;container-title-short&quot;:&quot;&quot;},&quot;isTemporary&quot;:false},{&quot;id&quot;:&quot;20a163e7-c296-33f7-9138-e16e1128ac0f&quot;,&quot;itemData&quot;:{&quot;type&quot;:&quot;article-journal&quot;,&quot;id&quot;:&quot;20a163e7-c296-33f7-9138-e16e1128ac0f&quot;,&quot;title&quot;:&quot;Functional metaproteome analysis of protein extracts from contaminated soil and groundwater&quot;,&quot;author&quot;:[{&quot;family&quot;:&quot;Benndorf&quot;,&quot;given&quot;:&quot;Dirk&quot;,&quot;parse-names&quot;:false,&quot;dropping-particle&quot;:&quot;&quot;,&quot;non-dropping-particle&quot;:&quot;&quot;},{&quot;family&quot;:&quot;Balcke&quot;,&quot;given&quot;:&quot;Gerd U.&quot;,&quot;parse-names&quot;:false,&quot;dropping-particle&quot;:&quot;&quot;,&quot;non-dropping-particle&quot;:&quot;&quot;},{&quot;family&quot;:&quot;Harms&quot;,&quot;given&quot;:&quot;Hauke&quot;,&quot;parse-names&quot;:false,&quot;dropping-particle&quot;:&quot;&quot;,&quot;non-dropping-particle&quot;:&quot;&quot;},{&quot;family&quot;:&quot;Bergen&quot;,&quot;given&quot;:&quot;Martin&quot;,&quot;parse-names&quot;:false,&quot;dropping-particle&quot;:&quot;&quot;,&quot;non-dropping-particle&quot;:&quot;von&quot;}],&quot;container-title&quot;:&quot;ISME Journal&quot;,&quot;DOI&quot;:&quot;10.1038/ismej.2007.39&quot;,&quot;ISSN&quot;:&quot;17517362&quot;,&quot;PMID&quot;:&quot;18043633&quot;,&quot;issued&quot;:{&quot;date-parts&quot;:[[2007]]},&quot;page&quot;:&quot;224-234&quot;,&quot;abstract&quot;:&quot;Using proteins from soil or groundwater as functional biomarkers requires efficient extraction. We developed an extraction method in which the separation of proteins from the inorganic and organic constituents of the soil matrix was achieved by a combination of 0.1M NaOH treatment and phenol extraction. Incubation with NaOH released humic acids and proteins from soil minerals, and simultaneously, disrupted microorganisms. The subsequent phenol extraction separated the proteins from the humic organic matter. Protein extracts were applied to sodium dodecyl sulfate polyacrylamide gel electrophoresis (SDS-PAGE) and 2D-electrophoresis (2-DE). Spots and bands were excised and individual proteins identified by liquid chromatography online linked to mass spectrometry (MS) via electrospray ionization source (LC-ESI-MS). To assess the suitability of the method for the functional analysis of environmental metaproteomes, it was applied to soil that had been enriched in chlorophenoxy acid-degrading bacteria by incubation with 2,4-dichlorophenoxy acetic acid (2,4-D) for 22 days. The method was also used to analyze groundwater from the aquifer of a chlorobenzene-contaminated site. The identification of enzymes such as chlorocatechol dioxygenases was consistent with bacterial metabolic pathways expected to be expressed in these samples. The protocol enabled thus the analysis of the metaproteome of soil and groundwater samples. It thereby provides a means to study the diversity of environmental microbial communities while addressing functional aspects more directly than metagenome or even metatranscriptome analysis. © 2007 International Society for Microbial Ecology. All rights reserved.&quot;,&quot;issue&quot;:&quot;3&quot;,&quot;volume&quot;:&quot;1&quot;,&quot;container-title-short&quot;:&quot;&quot;},&quot;isTemporary&quot;:false}]},{&quot;citationID&quot;:&quot;MENDELEY_CITATION_5dd9c011-a53c-4334-bd9e-418cd7d824a6&quot;,&quot;properties&quot;:{&quot;noteIndex&quot;:0},&quot;isEdited&quot;:false,&quot;manualOverride&quot;:{&quot;isManuallyOverridden&quot;:false,&quot;citeprocText&quot;:&quot;&lt;sup&gt;118,119&lt;/sup&gt;&quot;,&quot;manualOverrideText&quot;:&quot;&quot;},&quot;citationTag&quot;:&quot;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&quot;,&quot;citationItems&quot;:[{&quot;id&quot;:&quot;9bc2a6f0-a940-3d86-85e9-f9edd6656d07&quot;,&quot;itemData&quot;:{&quot;type&quot;:&quot;article-journal&quot;,&quot;id&quot;:&quot;9bc2a6f0-a940-3d86-85e9-f9edd6656d07&quot;,&quot;title&quot;:&quot;Comparative methods for fecal sample storage to preserve gut microbial structure and function in an in vitro model of the human colon&quot;,&quot;author&quot;:[{&quot;family&quot;:&quot;Deschamps&quot;,&quot;given&quot;:&quot;Charlotte&quot;,&quot;parse-names&quot;:false,&quot;dropping-particle&quot;:&quot;&quot;,&quot;non-dropping-particle&quot;:&quot;&quot;},{&quot;family&quot;:&quot;Fournier&quot;,&quot;given&quot;:&quot;Elora&quot;,&quot;parse-names&quot;:false,&quot;dropping-particle&quot;:&quot;&quot;,&quot;non-dropping-particle&quot;:&quot;&quot;},{&quot;family&quot;:&quot;Uriot&quot;,&quot;given&quot;:&quot;Ophélie&quot;,&quot;parse-names&quot;:false,&quot;dropping-particle&quot;:&quot;&quot;,&quot;non-dropping-particle&quot;:&quot;&quot;},{&quot;family&quot;:&quot;Lajoie&quot;,&quot;given&quot;:&quot;Frédérique&quot;,&quot;parse-names&quot;:false,&quot;dropping-particle&quot;:&quot;&quot;,&quot;non-dropping-particle&quot;:&quot;&quot;},{&quot;family&quot;:&quot;Verdier&quot;,&quot;given&quot;:&quot;Cécile&quot;,&quot;parse-names&quot;:false,&quot;dropping-particle&quot;:&quot;&quot;,&quot;non-dropping-particle&quot;:&quot;&quot;},{&quot;family&quot;:&quot;Comtet-Marre&quot;,&quot;given&quot;:&quot;Sophie&quot;,&quot;parse-names&quot;:false,&quot;dropping-particle&quot;:&quot;&quot;,&quot;non-dropping-particle&quot;:&quot;&quot;},{&quot;family&quot;:&quot;Thomas&quot;,&quot;given&quot;:&quot;Muriel&quot;,&quot;parse-names&quot;:false,&quot;dropping-particle&quot;:&quot;&quot;,&quot;non-dropping-particle&quot;:&quot;&quot;},{&quot;family&quot;:&quot;Kapel&quot;,&quot;given&quot;:&quot;Nathalie&quot;,&quot;parse-names&quot;:false,&quot;dropping-particle&quot;:&quot;&quot;,&quot;non-dropping-particle&quot;:&quot;&quot;},{&quot;family&quot;:&quot;Cherbuy&quot;,&quot;given&quot;:&quot;Claire&quot;,&quot;parse-names&quot;:false,&quot;dropping-particle&quot;:&quot;&quot;,&quot;non-dropping-particle&quot;:&quot;&quot;},{&quot;family&quot;:&quot;Alric&quot;,&quot;given&quot;:&quot;Monique&quot;,&quot;parse-names&quot;:false,&quot;dropping-particle&quot;:&quot;&quot;,&quot;non-dropping-particle&quot;:&quot;&quot;},{&quot;family&quot;:&quot;Almeida&quot;,&quot;given&quot;:&quot;Mathieu&quot;,&quot;parse-names&quot;:false,&quot;dropping-particle&quot;:&quot;&quot;,&quot;non-dropping-particle&quot;:&quot;&quot;},{&quot;family&quot;:&quot;Etienne-Mesmin&quot;,&quot;given&quot;:&quot;Lucie&quot;,&quot;parse-names&quot;:false,&quot;dropping-particle&quot;:&quot;&quot;,&quot;non-dropping-particle&quot;:&quot;&quot;},{&quot;family&quot;:&quot;Blanquet-Diot&quot;,&quot;given&quot;:&quot;Stéphanie&quot;,&quot;parse-names&quot;:false,&quot;dropping-particle&quot;:&quot;&quot;,&quot;non-dropping-particle&quot;:&quot;&quot;}],&quot;container-title&quot;:&quot;Applied Microbiology and Biotechnology&quot;,&quot;DOI&quot;:&quot;10.1007/s00253-020-10959-4&quot;,&quot;ISSN&quot;:&quot;14320614&quot;,&quot;PMID&quot;:&quot;33085024&quot;,&quot;issued&quot;:{&quot;date-parts&quot;:[[2020]]},&quot;page&quot;:&quot;10233-10247&quot;,&quot;abstract&quot;:&quot;Abstract: In vitro gut models, such as the mucosal artificial colon (M-ARCOL), provide timely and cost-efficient alternatives to in vivo assays allowing mechanistic studies to better understand the role of human microbiome in health and disease. Using such models inoculated with human fecal samples may require a critical step of stool storage. The effects of preservation methods on microbial structure and function in in vitro gut models have been poorly investigated. This study aimed to assess the impact of three commonly used preserving methods, compared with fresh fecal samples used as a control, on the kinetics of lumen and mucus-associated microbiota colonization in the M-ARCOL model. Feces from two healthy donors were frozen 48 h at − 80 °C with or without cryoprotectant (10% glycerol) or lyophilized with maltodextrin and trehalose prior to inoculation of four parallel bioreactors (e.g., fresh stool, raw stool stored at − 80 °C, stool stored at − 80 °C with glycerol and lyophilized stool). Microbiota composition and diversity (qPCR and 16S metabarcoding) as well as metabolic activity (gases and short chain fatty acids) were monitored throughout the fermentation process (9 days). All the preservative treatments allowed the maintaining inside the M-ARCOL of a complex and functional microbiota, but considering stabilization time of microbial profiles and activities (and not technical constraints associated with the supply of frozen material), our results highlighted 48 h freezing at − 80 °C without cryoprotectant as the most efficient method. These results will help scientists to determine the most accurate method for fecal storage prior to inoculation of in vitro gut microbiome models. Key points: • In vitro ARCOL model reproduces luminal and mucosal human microbiome. • Short-term storage of fecal sample influences microbial stabilization and activity. • 48 h freezing at − 80°C: most efficient method to preserve microbial ecosystem. • Scientific and technical requirements: influencers of preservation method.&quot;,&quot;publisher&quot;:&quot;Applied Microbiology and Biotechnology&quot;,&quot;issue&quot;:&quot;23&quot;,&quot;volume&quot;:&quot;104&quot;,&quot;container-title-short&quot;:&quot;&quot;},&quot;isTemporary&quot;:false},{&quot;id&quot;:&quot;f37f09c8-ce4a-3f5f-8f8f-b570b1eda34b&quot;,&quot;itemData&quot;:{&quot;type&quot;:&quot;article-journal&quot;,&quot;id&quot;:&quot;f37f09c8-ce4a-3f5f-8f8f-b570b1eda34b&quot;,&quot;title&quot;:&quot;The freezing step in lyophilization: Physico-chemical fundamentals, freezing methods and consequences on process performance and quality attributes of biopharmaceuticals&quot;,&quot;author&quot;:[{&quot;family&quot;:&quot;Kasper&quot;,&quot;given&quot;:&quot;Julia Christina&quot;,&quot;parse-names&quot;:false,&quot;dropping-particle&quot;:&quot;&quot;,&quot;non-dropping-particle&quot;:&quot;&quot;},{&quot;family&quot;:&quot;Friess&quot;,&quot;given&quot;:&quot;Wolfgang&quot;,&quot;parse-names&quot;:false,&quot;dropping-particle&quot;:&quot;&quot;,&quot;non-dropping-particle&quot;:&quot;&quot;}],&quot;container-title&quot;:&quot;European Journal of Pharmaceutics and Biopharmaceutics&quot;,&quot;DOI&quot;:&quot;10.1016/j.ejpb.2011.03.010&quot;,&quot;ISSN&quot;:&quot;09396411&quot;,&quot;PMID&quot;:&quot;21426937&quot;,&quot;URL&quot;:&quot;http://dx.doi.org/10.1016/j.ejpb.2011.03.010&quot;,&quot;issued&quot;:{&quot;date-parts&quot;:[[2011]]},&quot;page&quot;:&quot;248-263&quot;,&quot;abstract&quot;:&quot;Lyophilization is a common, but cost-intensive, drying process to achieve protein formulations with long-term stability. In the past, typical process optimization has focused on the drying steps and the freezing step was rather ignored. However, the freezing step is an equally important step in lyophilization, as it impacts both process performance and product quality. While simple in concept, the freezing step is presumably the most complex step in lyophilization. Therefore, in order to get a more comprehensive understanding of the processes that occur during freezing, the physico-chemical fundamentals of freezing are first summarized. The available techniques that can be used to manipulate or directly control the freezing process in lyophilization are also reviewed. In addition, the consequences of the freezing step on quality attributes, such as sample morphology, physical state of the product, residual moisture content, reconstitution time, and performance of the primary and secondary drying phase, are discussed. A special focus is given to the impact of the freezing process on protein stability. This review aims to provide the reader with an awareness of not only the importance but also the complexity of the freezing step in lyophilization and its impact on quality attributes of biopharmaceuticals and process performance. With a deeper understanding of freezing and the possibility to directly control or at least manipulate the freezing behavior, more efficient lyophilization cycles can be developed, and the quality and stability of lyophilized biopharmaceuticals can be improved. © 2011 Elsevier B.V. All rights reserved.&quot;,&quot;publisher&quot;:&quot;Elsevier B.V.&quot;,&quot;issue&quot;:&quot;2&quot;,&quot;volume&quot;:&quot;78&quot;,&quot;container-title-short&quot;:&quot;&quot;},&quot;isTemporary&quot;:false}]},{&quot;citationID&quot;:&quot;MENDELEY_CITATION_232d027c-2c73-45d8-bac6-cafa46962343&quot;,&quot;properties&quot;:{&quot;noteIndex&quot;:0},&quot;isEdited&quot;:false,&quot;manualOverride&quot;:{&quot;isManuallyOverridden&quot;:false,&quot;citeprocText&quot;:&quot;&lt;sup&gt;114,120&lt;/sup&gt;&quot;,&quot;manualOverrideText&quot;:&quot;&quot;},&quot;citationTag&quot;:&quot;MENDELEY_CITATION_v3_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&quot;,&quot;citationItems&quot;:[{&quot;id&quot;:&quot;99e01638-3076-301d-884e-7bbc002642a5&quot;,&quot;itemData&quot;:{&quot;type&quot;:&quot;article-journal&quot;,&quot;id&quot;:&quot;99e01638-3076-301d-884e-7bbc002642a5&quot;,&quot;title&quot;:&quot;Methodological bias associated with soluble protein recovery from soil&quot;,&quot;author&quot;:[{&quot;family&quot;:&quot;Greenfield&quot;,&quot;given&quot;:&quot;Lucy M.&quot;,&quot;parse-names&quot;:false,&quot;dropping-particle&quot;:&quot;&quot;,&quot;non-dropping-particle&quot;:&quot;&quot;},{&quot;family&quot;:&quot;Hill&quot;,&quot;given&quot;:&quot;Paul W.&quot;,&quot;parse-names&quot;:false,&quot;dropping-particle&quot;:&quot;&quot;,&quot;non-dropping-particle&quot;:&quot;&quot;},{&quot;family&quot;:&quot;Paterson&quot;,&quot;given&quot;:&quot;Eric&quot;,&quot;parse-names&quot;:false,&quot;dropping-particle&quot;:&quot;&quot;,&quot;non-dropping-particle&quot;:&quot;&quot;},{&quot;family&quot;:&quot;Baggs&quot;,&quot;given&quot;:&quot;Elizabeth M.&quot;,&quot;parse-names&quot;:false,&quot;dropping-particle&quot;:&quot;&quot;,&quot;non-dropping-particle&quot;:&quot;&quot;},{&quot;family&quot;:&quot;Jones&quot;,&quot;given&quot;:&quot;Davey L.&quot;,&quot;parse-names&quot;:false,&quot;dropping-particle&quot;:&quot;&quot;,&quot;non-dropping-particle&quot;:&quot;&quot;}],&quot;container-title&quot;:&quot;Scientific Reports&quot;,&quot;DOI&quot;:&quot;10.1038/s41598-018-29559-4&quot;,&quot;ISBN&quot;:&quot;4159801829559&quot;,&quot;ISSN&quot;:&quot;20452322&quot;,&quot;PMID&quot;:&quot;30046143&quot;,&quot;issued&quot;:{&quot;date-parts&quot;:[[2018]]},&quot;page&quot;:&quot;3-8&quot;,&quot;abstract&quot;:&quot;Proteins play a crucial role in many soil processes, however, standardised methods to extract soluble protein from soil are lacking. The aim of this study was to compare the ability of different extractants to quantify the recovery of soluble proteins from three soil types (Cambisol, Ferralsol and Histosol) with contrasting clay and organic matter contents. Known amounts of plant-derived 14C-labelled soluble proteins were incubated with soil and then extracted with solutions of contrasting pH, concentration and polarity. Protein recovery proved highly solvent and soil dependent (Histosol &gt; Cambisol &gt; Ferralsol) and no single extractant was capable of complete protein recovery. In comparison to deionised water (10–60% of the total protein recovered), maximal recovery was observed with NaOH (0.1 M; 61–80%) and Na-pyrophosphate (0.05 M, pH 7.0; 45–75% recovery). We conclude that the dependence of protein recovery on both extractant and soil type prevents direct comparison of studies using different recovery methods, particularly if no extraction controls are used. We present recommendations for a standard protein extraction protocol.&quot;,&quot;issue&quot;:&quot;1&quot;,&quot;volume&quot;:&quot;8&quot;,&quot;container-title-short&quot;:&quot;&quot;},&quot;isTemporary&quot;:false},{&quot;id&quot;:&quot;3f5d1cc8-98ef-3ecf-bc88-37d808be0b73&quot;,&quot;itemData&quot;:{&quot;type&quot;:&quot;article-journal&quot;,&quot;id&quot;:&quot;3f5d1cc8-98ef-3ecf-bc88-37d808be0b73&quot;,&quot;title&quot;:&quot;Comparison of extraction methods for recovery of extracellular β-glucosidase in two different forest soils&quot;,&quot;author&quot;:[{&quot;family&quot;:&quot;Masciandaro&quot;,&quot;given&quot;:&quot;Grazia&quot;,&quot;parse-names&quot;:false,&quot;dropping-particle&quot;:&quot;&quot;,&quot;non-dropping-particle&quot;:&quot;&quot;},{&quot;family&quot;:&quot;Macci&quot;,&quot;given&quot;:&quot;Cristina&quot;,&quot;parse-names&quot;:false,&quot;dropping-particle&quot;:&quot;&quot;,&quot;non-dropping-particle&quot;:&quot;&quot;},{&quot;family&quot;:&quot;Doni&quot;,&quot;given&quot;:&quot;Serena&quot;,&quot;parse-names&quot;:false,&quot;dropping-particle&quot;:&quot;&quot;,&quot;non-dropping-particle&quot;:&quot;&quot;},{&quot;family&quot;:&quot;Maserti&quot;,&quot;given&quot;:&quot;Bianca Elena&quot;,&quot;parse-names&quot;:false,&quot;dropping-particle&quot;:&quot;&quot;,&quot;non-dropping-particle&quot;:&quot;&quot;},{&quot;family&quot;:&quot;Leo&quot;,&quot;given&quot;:&quot;A. Calvo Bado&quot;,&quot;parse-names&quot;:false,&quot;dropping-particle&quot;:&quot;&quot;,&quot;non-dropping-particle&quot;:&quot;&quot;},{&quot;family&quot;:&quot;Ceccanti&quot;,&quot;given&quot;:&quot;Brunello&quot;,&quot;parse-names&quot;:false,&quot;dropping-particle&quot;:&quot;&quot;,&quot;non-dropping-particle&quot;:&quot;&quot;},{&quot;family&quot;:&quot;Wellington&quot;,&quot;given&quot;:&quot;Elizabeth&quot;,&quot;parse-names&quot;:false,&quot;dropping-particle&quot;:&quot;&quot;,&quot;non-dropping-particle&quot;:&quot;&quot;}],&quot;container-title&quot;:&quot;Soil Biology and Biochemistry&quot;,&quot;DOI&quot;:&quot;10.1016/j.soilbio.2008.05.001&quot;,&quot;ISSN&quot;:&quot;00380717&quot;,&quot;issued&quot;:{&quot;date-parts&quot;:[[2008]]},&quot;page&quot;:&quot;2156-2161&quot;,&quot;abstract&quot;:&quot;A study was made of the efficiency of three different extractants, 0.1 M sodium pyrophosphate (pH 7), 67 mM phosphate buffer (pH 6) and 0.5 M potassium sulphate (pH 6.6), in recovering the protein quantity and the β-glucosidase enzyme activity from two natural forest soils: (1) an Inceptisoil located in Tuscany (Italy) in a mild Mediterranean climate, and (2) a Lithic Calcixeroll soil located in Murcia (south-east of Spain) in a dry-semiarid climate. The pyrophosphate was used to determine the activity of extracellular-humic-bound proteins, while the phosphate buffer and potassium sulphate were used to extract dissolved extracellular proteins. The latter extractant, after chloroform fumigation, was also used to measure total proteins in soil. A preliminary screening, using SDS-PAGE in one dimension, was also carried out in order to optimize the separation condition of soil proteins extracted with different buffers. To remove the interfering co-extracted substances (humic acid) a purification step using a column packed with insoluble polyvinylpyrrolidone was performed. The highest β-glucosidase activity was recovered in the pyrophosphate extract, thus confirming its capability of extracting humic-bound β-glucosidase enzyme in a stable and active form. The extractants performed differently with the two soil types and band patterns obtained with SDS-PAGE were extractant-specific, demonstrating that each was selective for a particular class of proteins. Surprisingly, protein bands were also obtained using pyrophosphate, in spite of the very dark extract colour due to the presence of humic substances. © 2008 Elsevier Ltd. All rights reserved.&quot;,&quot;issue&quot;:&quot;9&quot;,&quot;volume&quot;:&quot;40&quot;,&quot;container-title-short&quot;:&quot;&quot;},&quot;isTemporary&quot;:false}]},{&quot;citationID&quot;:&quot;MENDELEY_CITATION_4c48718f-1495-44e4-b48f-942dc5c8263a&quot;,&quot;properties&quot;:{&quot;noteIndex&quot;:0},&quot;isEdited&quot;:false,&quot;manualOverride&quot;:{&quot;isManuallyOverridden&quot;:false,&quot;citeprocText&quot;:&quot;&lt;sup&gt;113&lt;/sup&gt;&quot;,&quot;manualOverrideText&quot;:&quot;&quot;},&quot;citationTag&quot;:&quot;MENDELEY_CITATION_v3_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&quot;,&quot;citationItems&quot;:[{&quot;id&quot;:&quot;6dd91e57-6b5e-3ffa-b0fb-83001a92a0b9&quot;,&quot;itemData&quot;:{&quot;type&quot;:&quot;article-journal&quot;,&quot;id&quot;:&quot;6dd91e57-6b5e-3ffa-b0fb-83001a92a0b9&quot;,&quot;title&quot;:&quot;Soil metaproteomics - Comparative evaluation of protein extraction protocols&quot;,&quot;author&quot;:[{&quot;family&quot;:&quot;Keiblinger&quot;,&quot;given&quot;:&quot;Katharina M.&quot;,&quot;parse-names&quot;:false,&quot;dropping-particle&quot;:&quot;&quot;,&quot;non-dropping-particle&quot;:&quot;&quot;},{&quot;family&quot;:&quot;Wilhartitz&quot;,&quot;given&quot;:&quot;Inés C.&quot;,&quot;parse-names&quot;:false,&quot;dropping-particle&quot;:&quot;&quot;,&quot;non-dropping-particle&quot;:&quot;&quot;},{&quot;family&quot;:&quot;Schneider&quot;,&quot;given&quot;:&quot;Thomas&quot;,&quot;parse-names&quot;:false,&quot;dropping-particle&quot;:&quot;&quot;,&quot;non-dropping-particle&quot;:&quot;&quot;},{&quot;family&quot;:&quot;Roschitzki&quot;,&quot;given&quot;:&quot;Bernd&quot;,&quot;parse-names&quot;:false,&quot;dropping-particle&quot;:&quot;&quot;,&quot;non-dropping-particle&quot;:&quot;&quot;},{&quot;family&quot;:&quot;Schmid&quot;,&quot;given&quot;:&quot;Emanuel&quot;,&quot;parse-names&quot;:false,&quot;dropping-particle&quot;:&quot;&quot;,&quot;non-dropping-particle&quot;:&quot;&quot;},{&quot;family&quot;:&quot;Eberl&quot;,&quot;given&quot;:&quot;Leo&quot;,&quot;parse-names&quot;:false,&quot;dropping-particle&quot;:&quot;&quot;,&quot;non-dropping-particle&quot;:&quot;&quot;},{&quot;family&quot;:&quot;Riedel&quot;,&quot;given&quot;:&quot;Kathrin&quot;,&quot;parse-names&quot;:false,&quot;dropping-particle&quot;:&quot;&quot;,&quot;non-dropping-particle&quot;:&quot;&quot;},{&quot;family&quot;:&quot;Zechmeister-Boltenstern&quot;,&quot;given&quot;:&quot;Sophie&quot;,&quot;parse-names&quot;:false,&quot;dropping-particle&quot;:&quot;&quot;,&quot;non-dropping-particle&quot;:&quot;&quot;}],&quot;container-title&quot;:&quot;Soil Biology and Biochemistry&quot;,&quot;DOI&quot;:&quot;10.1016/j.soilbio.2012.05.014&quot;,&quot;ISSN&quot;:&quot;00380717&quot;,&quot;issued&quot;:{&quot;date-parts&quot;:[[2012]]},&quot;page&quot;:&quot;14-24&quot;,&quot;abstract&quot;:&quot;Metaproteomics and its potential applications are very promising to study microbial activity in environmental samples and to obtain a deeper understanding of microbial interactions. However, due to the complexity of soil samples the exhaustive extraction of proteins is a major challenge. We compared soil protein extraction protocols in terms of their protein extraction efficiency for two different soil types. Four different protein extraction procedures were applied based on (a) SDS extraction without phenol, (b) NaOH and subsequent phenol extraction, (c) SDS-phenol extraction and (d) SDS-phenol extraction with prior washing steps. To assess the suitability of these methods for the functional analysis of the soil metaproteome, they were applied to a potting soil high in organic matter and a forest soil. Proteins were analyzed by two-dimensional liquid chromatography/tandem mass spectrometry (2D-LC-MS/MS) and the number of unique spectra as well as the number of assigned proteins for each of the respective protocols was compared. In both soil types, extraction with SDS-phenol (c) resulted in \&quot; high\&quot; numbers of proteins. Moreover, a spiking experiment was conducted to evaluate protein recovery. To this end sterilized forest soil was amended with proteins from pure cultures of Pectobacterium carotovorum and Aspergillus nidulans. The protein recovery in the spiking experiment was almost 50%. Our study demonstrates that a critical evaluation of the extraction protocol is crucial for the quality of the metaproteomics data, especially in highly complex samples like natural soils. © 2012 Elsevier Ltd.&quot;,&quot;volume&quot;:&quot;54&quot;,&quot;container-title-short&quot;:&quot;&quot;},&quot;isTemporary&quot;:false}]},{&quot;citationID&quot;:&quot;MENDELEY_CITATION_c87b52bf-9e1d-4815-ab1b-6fc644cc0a6c&quot;,&quot;properties&quot;:{&quot;noteIndex&quot;:0},&quot;isEdited&quot;:false,&quot;manualOverride&quot;:{&quot;isManuallyOverridden&quot;:false,&quot;citeprocText&quot;:&quot;&lt;sup&gt;121&lt;/sup&gt;&quot;,&quot;manualOverrideText&quot;:&quot;&quot;},&quot;citationTag&quot;:&quot;MENDELEY_CITATION_v3_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&quot;,&quot;citationItems&quot;:[{&quot;id&quot;:&quot;e7e93886-ce82-3c27-b72c-0e3a3769375e&quot;,&quot;itemData&quot;:{&quot;type&quot;:&quot;article-journal&quot;,&quot;id&quot;:&quot;e7e93886-ce82-3c27-b72c-0e3a3769375e&quot;,&quot;title&quot;:&quot;Microbial protein in soil: Influence of extraction method and C amendment on extraction and recovery&quot;,&quot;author&quot;:[{&quot;family&quot;:&quot;Taylor&quot;,&quot;given&quot;:&quot;Erin B.&quot;,&quot;parse-names&quot;:false,&quot;dropping-particle&quot;:&quot;&quot;,&quot;non-dropping-particle&quot;:&quot;&quot;},{&quot;family&quot;:&quot;Williams&quot;,&quot;given&quot;:&quot;Mark A.&quot;,&quot;parse-names&quot;:false,&quot;dropping-particle&quot;:&quot;&quot;,&quot;non-dropping-particle&quot;:&quot;&quot;}],&quot;container-title&quot;:&quot;Microbial Ecology&quot;,&quot;DOI&quot;:&quot;10.1007/s00248-009-9593-x&quot;,&quot;ISSN&quot;:&quot;00953628&quot;,&quot;PMID&quot;:&quot;19844650&quot;,&quot;issued&quot;:{&quot;date-parts&quot;:[[2010]]},&quot;page&quot;:&quot;390-399&quot;,&quot;abstract&quot;:&quot;The capacity to study the content and resolve the dynamics of the proteome of diverse microbial communities would help to revolutionize the way microbiologists study the function and activity of microorganisms in soil. To better understand the limitations of a proteomic approach to studying soil microbial communities, we characterized extractable soil microbial proteins using sodium dodecyl sulfate-polyacrylamide gel electrophoresis (SDS-PAGE). Two methods were utilized to extract proteins from microorganisms residing in a Quitman and Benfield soil: (1) direct extraction of bulk protein from soil and (2) separation of the microorganisms from soil using density gradient centrifugation and subsequent extraction (DGC-EXT) of microbial protein. In addition, glucose and toluene amendments to soil were used to stimulate the growth of a subset of the microbial community. A bacterial culture and bovine serum albumin (BSA) were added to the soil to qualitatively assess their recovery following extraction. Direct extraction and resolution of microbial proteins using SDS-PAGE generally resulted in smeared and unresolved banding patterns on gels. DGC-EXT of microbial protein from soil followed by separation using SDS-PAGE, however, did resolve six to 10 bands in the Benfield but not the Quitman soil. DGC-EXT of microbial protein, but not direct extraction following the addition of glucose and toluene, markedly increased the number of bands (~40) on the gels in both Benfield and Quitman soils. Low recoveries of added culture and BSA proteins using the direct extraction method suggest that proteins either bind to soil organic matter and mineral particles or that partial degradation takes place during extraction. Interestingly, DGC may have been preferentially selected for actively growing cells, as gauged by the 10-100× lower cy19:0/18:1ω7 ratio of the fatty acid methyl esters in the isolated community compared to that for the whole soil. DGC can be used to isolate soil communities and provide microbial protein that can be characterized using PAGE. © 2009 Springer Science + Business Media, LLC 2009.&quot;,&quot;issue&quot;:&quot;2&quot;,&quot;volume&quot;:&quot;59&quot;,&quot;container-title-short&quot;:&quot;&quot;},&quot;isTemporary&quot;:false}]},{&quot;citationID&quot;:&quot;MENDELEY_CITATION_0306a62e-4250-4462-9c0a-057453c98a81&quot;,&quot;properties&quot;:{&quot;noteIndex&quot;:0},&quot;isEdited&quot;:false,&quot;manualOverride&quot;:{&quot;isManuallyOverridden&quot;:false,&quot;citeprocText&quot;:&quot;&lt;sup&gt;28,117&lt;/sup&gt;&quot;,&quot;manualOverrideText&quot;:&quot;&quot;},&quot;citationTag&quot;:&quot;MENDELEY_CITATION_v3_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&quot;,&quot;citationItems&quot;:[{&quot;id&quot;:&quot;20a163e7-c296-33f7-9138-e16e1128ac0f&quot;,&quot;itemData&quot;:{&quot;type&quot;:&quot;article-journal&quot;,&quot;id&quot;:&quot;20a163e7-c296-33f7-9138-e16e1128ac0f&quot;,&quot;title&quot;:&quot;Functional metaproteome analysis of protein extracts from contaminated soil and groundwater&quot;,&quot;author&quot;:[{&quot;family&quot;:&quot;Benndorf&quot;,&quot;given&quot;:&quot;Dirk&quot;,&quot;parse-names&quot;:false,&quot;dropping-particle&quot;:&quot;&quot;,&quot;non-dropping-particle&quot;:&quot;&quot;},{&quot;family&quot;:&quot;Balcke&quot;,&quot;given&quot;:&quot;Gerd U.&quot;,&quot;parse-names&quot;:false,&quot;dropping-particle&quot;:&quot;&quot;,&quot;non-dropping-particle&quot;:&quot;&quot;},{&quot;family&quot;:&quot;Harms&quot;,&quot;given&quot;:&quot;Hauke&quot;,&quot;parse-names&quot;:false,&quot;dropping-particle&quot;:&quot;&quot;,&quot;non-dropping-particle&quot;:&quot;&quot;},{&quot;family&quot;:&quot;Bergen&quot;,&quot;given&quot;:&quot;Martin&quot;,&quot;parse-names&quot;:false,&quot;dropping-particle&quot;:&quot;&quot;,&quot;non-dropping-particle&quot;:&quot;von&quot;}],&quot;container-title&quot;:&quot;ISME Journal&quot;,&quot;DOI&quot;:&quot;10.1038/ismej.2007.39&quot;,&quot;ISSN&quot;:&quot;17517362&quot;,&quot;PMID&quot;:&quot;18043633&quot;,&quot;issued&quot;:{&quot;date-parts&quot;:[[2007]]},&quot;page&quot;:&quot;224-234&quot;,&quot;abstract&quot;:&quot;Using proteins from soil or groundwater as functional biomarkers requires efficient extraction. We developed an extraction method in which the separation of proteins from the inorganic and organic constituents of the soil matrix was achieved by a combination of 0.1M NaOH treatment and phenol extraction. Incubation with NaOH released humic acids and proteins from soil minerals, and simultaneously, disrupted microorganisms. The subsequent phenol extraction separated the proteins from the humic organic matter. Protein extracts were applied to sodium dodecyl sulfate polyacrylamide gel electrophoresis (SDS-PAGE) and 2D-electrophoresis (2-DE). Spots and bands were excised and individual proteins identified by liquid chromatography online linked to mass spectrometry (MS) via electrospray ionization source (LC-ESI-MS). To assess the suitability of the method for the functional analysis of environmental metaproteomes, it was applied to soil that had been enriched in chlorophenoxy acid-degrading bacteria by incubation with 2,4-dichlorophenoxy acetic acid (2,4-D) for 22 days. The method was also used to analyze groundwater from the aquifer of a chlorobenzene-contaminated site. The identification of enzymes such as chlorocatechol dioxygenases was consistent with bacterial metabolic pathways expected to be expressed in these samples. The protocol enabled thus the analysis of the metaproteome of soil and groundwater samples. It thereby provides a means to study the diversity of environmental microbial communities while addressing functional aspects more directly than metagenome or even metatranscriptome analysis. © 2007 International Society for Microbial Ecology. All rights reserved.&quot;,&quot;issue&quot;:&quot;3&quot;,&quot;volume&quot;:&quot;1&quot;,&quot;container-title-short&quot;:&quot;&quot;},&quot;isTemporary&quot;:false},{&quot;id&quot;:&quot;e260d0ef-f42a-3b4b-b5e6-a0607c7ea6a6&quot;,&quot;itemData&quot;:{&quot;type&quot;:&quot;article-journal&quot;,&quot;id&quot;:&quot;e260d0ef-f42a-3b4b-b5e6-a0607c7ea6a6&quot;,&quot;title&quot;:&quot;Using proteins to study how microbes contribute to soil ecosystem services: The current state and future perspectives of soil metaproteomics&quot;,&quot;author&quot;:[{&quot;family&quot;:&quot;Starke&quot;,&quot;given&quot;:&quot;Robert&quot;,&quot;parse-names&quot;:false,&quot;dropping-particle&quot;:&quot;&quot;,&quot;non-dropping-particle&quot;:&quot;&quot;},{&quot;family&quot;:&quot;Jehmlich&quot;,&quot;given&quot;:&quot;Nico&quot;,&quot;parse-names&quot;:false,&quot;dropping-particle&quot;:&quot;&quot;,&quot;non-dropping-particle&quot;:&quot;&quot;},{&quot;family&quot;:&quot;Bastida&quot;,&quot;given&quot;:&quot;Felipe&quot;,&quot;parse-names&quot;:false,&quot;dropping-particle&quot;:&quot;&quot;,&quot;non-dropping-particle&quot;:&quot;&quot;}],&quot;container-title&quot;:&quot;Journal of Proteomics&quot;,&quot;DOI&quot;:&quot;10.1016/j.jprot.2018.11.011&quot;,&quot;ISSN&quot;:&quot;18767737&quot;,&quot;PMID&quot;:&quot;30445181&quot;,&quot;URL&quot;:&quot;https://doi.org/10.1016/j.jprot.2018.11.011&quot;,&quot;issued&quot;:{&quot;date-parts&quot;:[[2019]]},&quot;page&quot;:&quot;50-58&quot;,&quot;abstract&quot;:&quot;Metaproteomics was established to analyse both the structure and the function of microbial communities and, particularly in soils, their contribution to ecosystem services. In this review, we provide an overview on how the study of the soil metaproteome can provide fundamental information on the role of microbial communities in soil ecosystem services. We further discuss the strengths and weaknesses of soil metaproteomics in comparison to other culture-independent OMIC techniques. We critically review its bottlenecks but also provide strategies to mitigate and possible directions for future research as the direct link of structure and function is advantageous and complementary to metagenomics, metatranscriptomics and metametabolomics.&quot;,&quot;publisher&quot;:&quot;Elsevier&quot;,&quot;issue&quot;:&quot;October 2018&quot;,&quot;volume&quot;:&quot;198&quot;,&quot;container-title-short&quot;:&quot;&quot;},&quot;isTemporary&quot;:false}]},{&quot;citationID&quot;:&quot;MENDELEY_CITATION_c99f366c-ac8a-4382-92a8-57582be8b7da&quot;,&quot;properties&quot;:{&quot;noteIndex&quot;:0},&quot;isEdited&quot;:false,&quot;manualOverride&quot;:{&quot;isManuallyOverridden&quot;:false,&quot;citeprocText&quot;:&quot;&lt;sup&gt;122&lt;/sup&gt;&quot;,&quot;manualOverrideText&quot;:&quot;&quot;},&quot;citationTag&quot;:&quot;MENDELEY_CITATION_v3_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&quot;,&quot;citationItems&quot;:[{&quot;id&quot;:&quot;ca337628-7b7a-3b40-ae38-9b1f9e453fe2&quot;,&quot;itemData&quot;:{&quot;type&quot;:&quot;article-journal&quot;,&quot;id&quot;:&quot;ca337628-7b7a-3b40-ae38-9b1f9e453fe2&quot;,&quot;title&quot;:&quot;Hard Cap Espresso Machines in Analytical Chemistry: What Else?&quot;,&quot;author&quot;:[{&quot;family&quot;:&quot;Armenta&quot;,&quot;given&quot;:&quot;Sergio&quot;,&quot;parse-names&quot;:false,&quot;dropping-particle&quot;:&quot;&quot;,&quot;non-dropping-particle&quot;:&quot;&quot;},{&quot;family&quot;:&quot;La Guardia&quot;,&quot;given&quot;:&quot;Miguel&quot;,&quot;parse-names&quot;:false,&quot;dropping-particle&quot;:&quot;&quot;,&quot;non-dropping-particle&quot;:&quot;de&quot;},{&quot;family&quot;:&quot;Esteve-Turrillas&quot;,&quot;given&quot;:&quot;Francesc A.&quot;,&quot;parse-names&quot;:false,&quot;dropping-particle&quot;:&quot;&quot;,&quot;non-dropping-particle&quot;:&quot;&quot;}],&quot;container-title&quot;:&quot;Analytical Chemistry&quot;,&quot;DOI&quot;:&quot;10.1021/acs.analchem.6b01400&quot;,&quot;ISSN&quot;:&quot;15206882&quot;,&quot;issued&quot;:{&quot;date-parts&quot;:[[2016]]},&quot;page&quot;:&quot;6570-6576&quot;,&quot;abstract&quot;:&quot;A hard cap espresso machine has been used in combination with liquid chromatography with molecular fluorescence detection for the determination of polycyclic aromatic hydrocarbons (PAHs) from contaminated soils and sediments providing appropriate extraction efficiencies and quantitative results. Naphthalene, acenaphthene, fluorene, phenanthrene, anthracene, fluoranthene, pyrene, benz[a]anthracene, chrysene, benz[b]fluoranthene, benz[k]fluoranthene, benz[a]pyrene, dibenz[a,h]anthracene, benz[ghi]perylene, and indeno[1,2,3-cd]pyrene were used as target compounds. It should be mentioned that the pairs benz[a]anthracene-chrysene and dibenz[a,h]anthracene-benz[ghi]perylene peaks coelute under the employed chromatographic conditions; thus, those compounds were determined together. PAHs were extracted from 5.0 g of soil, previously homogenized, freeze-dried, and sieved to 250 μm, with 50 mL of 40% (v/v) acetonitrile in water at a temperature of 72 ± 3 °C. The proposed procedure is really fast, with an extraction time of 11 s, and it reduces the required amount of organic solvent to do the sample preparation. The obtained limit of detection for the evaluated PAHs was from 1 to 38 μg kg-1. Recoveries were calculated using clean soils spiked with 100, 500, 1000, and 2000 μg kg-1 PAHs with values ranging from 81 to 121% and good precision with relative standard deviation values lower than 30%. The method was validated using soil and sediment certified reference materials and also using real samples by comparison with ultrasound-assisted extraction, as reference methodology, obtaining statistically comparable results. Thus, the use of hard cap espresso machines in the analytical laboratories offers tremendous possibilities as low cost extraction units for the extraction of solid samples.&quot;,&quot;issue&quot;:&quot;12&quot;,&quot;volume&quot;:&quot;88&quot;,&quot;container-title-short&quot;:&quot;&quot;},&quot;isTemporary&quot;:false}]},{&quot;citationID&quot;:&quot;MENDELEY_CITATION_23807ce3-d5f8-42ee-8105-5599b39c6d75&quot;,&quot;properties&quot;:{&quot;noteIndex&quot;:0},&quot;isEdited&quot;:false,&quot;manualOverride&quot;:{&quot;isManuallyOverridden&quot;:false,&quot;citeprocText&quot;:&quot;&lt;sup&gt;56&lt;/sup&gt;&quot;,&quot;manualOverrideText&quot;:&quot;&quot;},&quot;citationTag&quot;:&quot;MENDELEY_CITATION_v3_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&quot;,&quot;citationItems&quot;:[{&quot;id&quot;:&quot;631c489e-ed7c-30ad-bf78-40453369fe0f&quot;,&quot;itemData&quot;:{&quot;type&quot;:&quot;article-journal&quot;,&quot;id&quot;:&quot;631c489e-ed7c-30ad-bf78-40453369fe0f&quot;,&quot;title&quot;:&quot;Optimized Extraction Method to Remove Humic Acid Interferences from Soil Samples Prior to Microbial Proteome Measurements&quot;,&quot;author&quot;:[{&quot;family&quot;:&quot;Qian&quot;,&quot;given&quot;:&quot;Chen&quot;,&quot;parse-names&quot;:false,&quot;dropping-particle&quot;:&quot;&quot;,&quot;non-dropping-particle&quot;:&quot;&quot;},{&quot;family&quot;:&quot;Hettich&quot;,&quot;given&quot;:&quot;Robert L.&quot;,&quot;parse-names&quot;:false,&quot;dropping-particle&quot;:&quot;&quot;,&quot;non-dropping-particle&quot;:&quot;&quot;}],&quot;container-title&quot;:&quot;Journal of Proteome Research&quot;,&quot;DOI&quot;:&quot;10.1021/acs.jproteome.7b00103&quot;,&quot;ISSN&quot;:&quot;15353907&quot;,&quot;PMID&quot;:&quot;28537741&quot;,&quot;issued&quot;:{&quot;date-parts&quot;:[[2017]]},&quot;page&quot;:&quot;2537-2546&quot;,&quot;abstract&quot;:&quot;The microbial composition and their activities in soil environments play a critical role in organic matter transformation and nutrient cycling. Liquid chromatography coupled to high-performance mass spectrometry provides a powerful approach to characterize soil microbiomes; however, the limited microbial biomass and the presence of abundant interferences in soil samples present major challenges to proteome extraction and subsequent MS measurement. To this end, we have designed an experimental method to improve microbial proteome measurement by removing the soil-borne humic substances coextraction from soils. Our approach employs an in situ detergent-based microbial lysis/TCA precipitation coupled to an additional cleanup step involving acidified precipitation and filtering at the peptide level to remove most of the humic acid interferences prior to proteolytic peptide measurement. The novelty of this approach is an integration to exploit two different characteristics of humic acids: (1) Humic acids are insoluble in acidic solution but should not be removed at the protein level, as undesirable protein removal may also occur. Rather it is better to leave the humics acids in the samples until the peptide level, at which point the significant differential solubility of humic acids versus peptides at low pH can be exploited very efficiently. (2) Most of the humic acids have larger molecule weights than the peptides. Therefore, filtering a pH 2 to 3 peptide solution with a 10 kDa filter will remove most of the humic acids. This method is easily interfaced with normal proteolytic processing approaches and provides a reliable and straightforward protein extraction method that efficiently removes soil-borne humic substances without inducing proteome sample loss or biasing protein identification in mass spectrometry. In general, this humic acid removal step is universal and can be adopted by any workflow to effectively remove humic acids to avoid them negatively competing with peptides for binding with reversed-phase resin or ionization in the electrospray.&quot;,&quot;issue&quot;:&quot;7&quot;,&quot;volume&quot;:&quot;16&quot;,&quot;container-title-short&quot;:&quot;&quot;},&quot;isTemporary&quot;:false}]},{&quot;citationID&quot;:&quot;MENDELEY_CITATION_67448b0a-a8fd-42c4-8246-90bd2799180e&quot;,&quot;properties&quot;:{&quot;noteIndex&quot;:0},&quot;isEdited&quot;:false,&quot;manualOverride&quot;:{&quot;isManuallyOverridden&quot;:false,&quot;citeprocText&quot;:&quot;&lt;sup&gt;56,123&lt;/sup&gt;&quot;,&quot;manualOverrideText&quot;:&quot;&quot;},&quot;citationTag&quot;:&quot;MENDELEY_CITATION_v3_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&quot;,&quot;citationItems&quot;:[{&quot;id&quot;:&quot;631c489e-ed7c-30ad-bf78-40453369fe0f&quot;,&quot;itemData&quot;:{&quot;type&quot;:&quot;article-journal&quot;,&quot;id&quot;:&quot;631c489e-ed7c-30ad-bf78-40453369fe0f&quot;,&quot;title&quot;:&quot;Optimized Extraction Method to Remove Humic Acid Interferences from Soil Samples Prior to Microbial Proteome Measurements&quot;,&quot;author&quot;:[{&quot;family&quot;:&quot;Qian&quot;,&quot;given&quot;:&quot;Chen&quot;,&quot;parse-names&quot;:false,&quot;dropping-particle&quot;:&quot;&quot;,&quot;non-dropping-particle&quot;:&quot;&quot;},{&quot;family&quot;:&quot;Hettich&quot;,&quot;given&quot;:&quot;Robert L.&quot;,&quot;parse-names&quot;:false,&quot;dropping-particle&quot;:&quot;&quot;,&quot;non-dropping-particle&quot;:&quot;&quot;}],&quot;container-title&quot;:&quot;Journal of Proteome Research&quot;,&quot;DOI&quot;:&quot;10.1021/acs.jproteome.7b00103&quot;,&quot;ISSN&quot;:&quot;15353907&quot;,&quot;PMID&quot;:&quot;28537741&quot;,&quot;issued&quot;:{&quot;date-parts&quot;:[[2017]]},&quot;page&quot;:&quot;2537-2546&quot;,&quot;abstract&quot;:&quot;The microbial composition and their activities in soil environments play a critical role in organic matter transformation and nutrient cycling. Liquid chromatography coupled to high-performance mass spectrometry provides a powerful approach to characterize soil microbiomes; however, the limited microbial biomass and the presence of abundant interferences in soil samples present major challenges to proteome extraction and subsequent MS measurement. To this end, we have designed an experimental method to improve microbial proteome measurement by removing the soil-borne humic substances coextraction from soils. Our approach employs an in situ detergent-based microbial lysis/TCA precipitation coupled to an additional cleanup step involving acidified precipitation and filtering at the peptide level to remove most of the humic acid interferences prior to proteolytic peptide measurement. The novelty of this approach is an integration to exploit two different characteristics of humic acids: (1) Humic acids are insoluble in acidic solution but should not be removed at the protein level, as undesirable protein removal may also occur. Rather it is better to leave the humics acids in the samples until the peptide level, at which point the significant differential solubility of humic acids versus peptides at low pH can be exploited very efficiently. (2) Most of the humic acids have larger molecule weights than the peptides. Therefore, filtering a pH 2 to 3 peptide solution with a 10 kDa filter will remove most of the humic acids. This method is easily interfaced with normal proteolytic processing approaches and provides a reliable and straightforward protein extraction method that efficiently removes soil-borne humic substances without inducing proteome sample loss or biasing protein identification in mass spectrometry. In general, this humic acid removal step is universal and can be adopted by any workflow to effectively remove humic acids to avoid them negatively competing with peptides for binding with reversed-phase resin or ionization in the electrospray.&quot;,&quot;issue&quot;:&quot;7&quot;,&quot;volume&quot;:&quot;16&quot;,&quot;container-title-short&quot;:&quot;&quot;},&quot;isTemporary&quot;:false},{&quot;id&quot;:&quot;4259d367-6c6b-3fc4-a67d-be69e89a52f9&quot;,&quot;itemData&quot;:{&quot;type&quot;:&quot;article-journal&quot;,&quot;id&quot;:&quot;4259d367-6c6b-3fc4-a67d-be69e89a52f9&quot;,&quot;title&quot;:&quot;Determination of Peptide and Protein Ion Charge States by Fourier Transformation of Isotope-Resolved Mass Spectra&quot;,&quot;author&quot;:[{&quot;family&quot;:&quot;Tabb&quot;,&quot;given&quot;:&quot;David L.&quot;,&quot;parse-names&quot;:false,&quot;dropping-particle&quot;:&quot;&quot;,&quot;non-dropping-particle&quot;:&quot;&quot;},{&quot;family&quot;:&quot;Shah&quot;,&quot;given&quot;:&quot;Manesh B.&quot;,&quot;parse-names&quot;:false,&quot;dropping-particle&quot;:&quot;&quot;,&quot;non-dropping-particle&quot;:&quot;&quot;},{&quot;family&quot;:&quot;Strader&quot;,&quot;given&quot;:&quot;Michael Brad&quot;,&quot;parse-names&quot;:false,&quot;dropping-particle&quot;:&quot;&quot;,&quot;non-dropping-particle&quot;:&quot;&quot;},{&quot;family&quot;:&quot;Connelly&quot;,&quot;given&quot;:&quot;Heather M.&quot;,&quot;parse-names&quot;:false,&quot;dropping-particle&quot;:&quot;&quot;,&quot;non-dropping-particle&quot;:&quot;&quot;},{&quot;family&quot;:&quot;Hettich&quot;,&quot;given&quot;:&quot;Robert L.&quot;,&quot;parse-names&quot;:false,&quot;dropping-particle&quot;:&quot;&quot;,&quot;non-dropping-particle&quot;:&quot;&quot;},{&quot;family&quot;:&quot;Hurst&quot;,&quot;given&quot;:&quot;Gregory B.&quot;,&quot;parse-names&quot;:false,&quot;dropping-particle&quot;:&quot;&quot;,&quot;non-dropping-particle&quot;:&quot;&quot;}],&quot;container-title&quot;:&quot;Journal of the American Society for Mass Spectrometry&quot;,&quot;DOI&quot;:&quot;10.1016/j.jasms.2006.02.003&quot;,&quot;ISSN&quot;:&quot;10440305&quot;,&quot;PMID&quot;:&quot;16713712&quot;,&quot;issued&quot;:{&quot;date-parts&quot;:[[2006]]},&quot;page&quot;:&quot;903-915&quot;,&quot;abstract&quot;:&quot;We report an automated method for determining charge states from high-resolution mass spectra. Fourier transforms of isotope packets from high-resolution mass spectra are compared to Fourier transforms of modeled isotopic peak packets for a range of charge states. The charge state for the experimental ion packet is determined by the model isotope packet that yields the best match in the comparison of the Fourier transforms. This strategy is demonstrated for determining peptide ion charge states from \&quot;zoom scan\&quot; data from a linear quadrupole ion trap mass spectrometer, enabling the subsequent automated identification of singly- through quadruply-charged peptide ions, while reducing the numbers of conflicting identifications from ambiguous charge state assignments. We also apply this technique to determine the charges of intact protein ions from LC-FTICR data, demonstrating that it is more sensitive under these experimental conditions than two existing algorithms. The strategy outlined in this paper should be generally applicable to mass spectra obtained from any instrument capable of isotopic resolution. © 2006 American Society for Mass Spectrometry.&quot;,&quot;issue&quot;:&quot;7&quot;,&quot;volume&quot;:&quot;17&quot;,&quot;container-title-short&quot;:&quot;J Am Soc Mass Spectrom&quot;},&quot;isTemporary&quot;:false}]},{&quot;citationID&quot;:&quot;MENDELEY_CITATION_83b33fb1-c853-492e-b6ea-5cf5dae35f6a&quot;,&quot;properties&quot;:{&quot;noteIndex&quot;:0},&quot;isEdited&quot;:false,&quot;manualOverride&quot;:{&quot;isManuallyOverridden&quot;:false,&quot;citeprocText&quot;:&quot;&lt;sup&gt;124&lt;/sup&gt;&quot;,&quot;manualOverrideText&quot;:&quot;&quot;},&quot;citationTag&quot;:&quot;MENDELEY_CITATION_v3_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&quot;,&quot;citationItems&quot;:[{&quot;id&quot;:&quot;a78ae1f8-d451-39b2-94d1-5387baa840b6&quot;,&quot;itemData&quot;:{&quot;type&quot;:&quot;book&quot;,&quot;id&quot;:&quot;a78ae1f8-d451-39b2-94d1-5387baa840b6&quot;,&quot;title&quot;:&quot;High-throughput analysis of PPCPs, PCDD/Fs, and PCBs in biological matrices using GC-MS/MS&quot;,&quot;author&quot;:[{&quot;family&quot;:&quot;Usenko&quot;,&quot;given&quot;:&quot;Sascha&quot;,&quot;parse-names&quot;:false,&quot;dropping-particle&quot;:&quot;&quot;,&quot;non-dropping-particle&quot;:&quot;&quot;},{&quot;family&quot;:&quot;Subedi&quot;,&quot;given&quot;:&quot;Bikram&quot;,&quot;parse-names&quot;:false,&quot;dropping-particle&quot;:&quot;&quot;,&quot;non-dropping-particle&quot;:&quot;&quot;},{&quot;family&quot;:&quot;Aguilar&quot;,&quot;given&quot;:&quot;Lissette&quot;,&quot;parse-names&quot;:false,&quot;dropping-particle&quot;:&quot;&quot;,&quot;non-dropping-particle&quot;:&quot;&quot;},{&quot;family&quot;:&quot;Robinson&quot;,&quot;given&quot;:&quot;Eleanor&quot;,&quot;parse-names&quot;:false,&quot;dropping-particle&quot;:&quot;&quot;,&quot;non-dropping-particle&quot;:&quot;&quot;}],&quot;container-title&quot;:&quot;Comprehensive Analytical Chemistry&quot;,&quot;DOI&quot;:&quot;10.1016/B978-0-444-62623-3.00006-X&quot;,&quot;ISBN&quot;:&quot;9780444626233&quot;,&quot;ISSN&quot;:&quot;0166526X&quot;,&quot;URL&quot;:&quot;http://dx.doi.org/10.1016/B978-0-444-62623-3.00006-X&quot;,&quot;issued&quot;:{&quot;date-parts&quot;:[[2013]]},&quot;number-of-pages&quot;:&quot;143-158&quot;,&quot;abstract&quot;:&quot;There is an increasing demand for high-throughput analytical methods specifically designed for the quantitation of organic contaminants in biological matrices. This demand exists in the broad fields of environmental chemistry and toxicology as well as medicine, food safety, drug discovery, and criminal forensics. Analytical chemists seek to develop techniques to reduce or eliminate method bottlenecks, which will improve the flow of information and downstream decisions. Advances in analysis of organic contaminants in biological matrices require the development of a novel sample preparation technique as well as more detailed MS/MS optimization. These analytical methods improve the laboratory's ability to provide routine analysis and scale up its capability for larger, time-sensitive projects, such as environmental disasters. In addition, these advances reduce labor, training, consumption of and exposure to hazardous organic solvents, and laboratory space, thus reducing the time and cost of analysis. © 2013 Elsevier B.V.&quot;,&quot;edition&quot;:&quot;1&quot;,&quot;publisher&quot;:&quot;Elsevier B.V.&quot;,&quot;volume&quot;:&quot;61&quot;,&quot;container-title-short&quot;:&quot;&quot;},&quot;isTemporary&quot;:false}]},{&quot;citationID&quot;:&quot;MENDELEY_CITATION_3d9d03e7-0067-4494-aa83-b2cc233f9038&quot;,&quot;properties&quot;:{&quot;noteIndex&quot;:0},&quot;isEdited&quot;:false,&quot;manualOverride&quot;:{&quot;isManuallyOverridden&quot;:false,&quot;citeprocText&quot;:&quot;&lt;sup&gt;125&lt;/sup&gt;&quot;,&quot;manualOverrideText&quot;:&quot;&quot;},&quot;citationTag&quot;:&quot;MENDELEY_CITATION_v3_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&quot;,&quot;citationItems&quot;:[{&quot;id&quot;:&quot;7abef0ec-f8ee-3cff-909b-28831d3b5a74&quot;,&quot;itemData&quot;:{&quot;type&quot;:&quot;article-journal&quot;,&quot;id&quot;:&quot;7abef0ec-f8ee-3cff-909b-28831d3b5a74&quot;,&quot;title&quot;:&quot;Cellulose-based water purification using paper filters modified with polyelectrolyte multilayers to remove bacteria from water through electrostatic interactions&quot;,&quot;author&quot;:[{&quot;family&quot;:&quot;Ottenhall&quot;,&quot;given&quot;:&quot;Anna&quot;,&quot;parse-names&quot;:false,&quot;dropping-particle&quot;:&quot;&quot;,&quot;non-dropping-particle&quot;:&quot;&quot;},{&quot;family&quot;:&quot;Henschen&quot;,&quot;given&quot;:&quot;Jonatan&quot;,&quot;parse-names&quot;:false,&quot;dropping-particle&quot;:&quot;&quot;,&quot;non-dropping-particle&quot;:&quot;&quot;},{&quot;family&quot;:&quot;Illergård&quot;,&quot;given&quot;:&quot;Josefin&quot;,&quot;parse-names&quot;:false,&quot;dropping-particle&quot;:&quot;&quot;,&quot;non-dropping-particle&quot;:&quot;&quot;},{&quot;family&quot;:&quot;Ek&quot;,&quot;given&quot;:&quot;Monica&quot;,&quot;parse-names&quot;:false,&quot;dropping-particle&quot;:&quot;&quot;,&quot;non-dropping-particle&quot;:&quot;&quot;}],&quot;container-title&quot;:&quot;Environmental Science: Water Research and Technology&quot;,&quot;DOI&quot;:&quot;10.1039/c8ew00514a&quot;,&quot;ISSN&quot;:&quot;20531419&quot;,&quot;issued&quot;:{&quot;date-parts&quot;:[[2018]]},&quot;page&quot;:&quot;2070-2079&quot;,&quot;abstract&quot;:&quot;Filtration is a common way to obtain pure drinking water by removing particles and microorganisms based on size exclusion. Cellulose-based filters are affordable and biobased option for the removal of particles but bacteria are usually too small to be removed by size exclusion alone. In this article, the surfaces of cellulose fibres in two types of commercial paper filters have been given a positive net charge to trap bacteria through electrostatic interactions without releasing any biocides. The fibres were modified with the cationic polyelectrolyte polyvinylamine polymer in single layers (1 L) or in multilayers together with the anionic polyelectrolyte polyacrylic acid (3 L or 5 L) using a water-based process at room temperature. Filtration tests show that all filters, using both types of filter papers and a number of layers, can physically remove more than 99.9% of E. Coli from water and that the 3 L modified filters can remove more than 97% of cultivatable bacteria from natural water samples. The bacterial reduction increased with increasing number of filter sheets used for the filtration and the majority of the bacteria were trapped in the top sheets of the filter. The results show the potential for creating water purification filters from bio-based everyday consumable products with a simple modification process. The filters could be used in the future for point-of-use water purification that may be able to save lives without releasing bactericides.&quot;,&quot;publisher&quot;:&quot;Royal Society of Chemistry&quot;,&quot;issue&quot;:&quot;12&quot;,&quot;volume&quot;:&quot;4&quot;,&quot;container-title-short&quot;:&quot;&quot;},&quot;isTemporary&quot;:false}]},{&quot;citationID&quot;:&quot;MENDELEY_CITATION_c210ab9e-f830-41be-bf55-20f6d3c8b239&quot;,&quot;properties&quot;:{&quot;noteIndex&quot;:0},&quot;isEdited&quot;:false,&quot;manualOverride&quot;:{&quot;isManuallyOverridden&quot;:false,&quot;citeprocText&quot;:&quot;&lt;sup&gt;126&lt;/sup&gt;&quot;,&quot;manualOverrideText&quot;:&quot;&quot;},&quot;citationTag&quot;:&quot;MENDELEY_CITATION_v3_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&quot;,&quot;citationItems&quot;:[{&quot;id&quot;:&quot;4fbbe4aa-67d7-39c6-a80d-a000eba0bc12&quot;,&quot;itemData&quot;:{&quot;type&quot;:&quot;article-journal&quot;,&quot;id&quot;:&quot;4fbbe4aa-67d7-39c6-a80d-a000eba0bc12&quot;,&quot;title&quot;:&quot;Evaluation of the particle sizes of four clay minerals&quot;,&quot;author&quot;:[{&quot;family&quot;:&quot;Tan&quot;,&quot;given&quot;:&quot;Xiaoling&quot;,&quot;parse-names&quot;:false,&quot;dropping-particle&quot;:&quot;&quot;,&quot;non-dropping-particle&quot;:&quot;&quot;},{&quot;family&quot;:&quot;Liu&quot;,&quot;given&quot;:&quot;Fengyin&quot;,&quot;parse-names&quot;:false,&quot;dropping-particle&quot;:&quot;&quot;,&quot;non-dropping-particle&quot;:&quot;&quot;},{&quot;family&quot;:&quot;Hu&quot;,&quot;given&quot;:&quot;Liming&quot;,&quot;parse-names&quot;:false,&quot;dropping-particle&quot;:&quot;&quot;,&quot;non-dropping-particle&quot;:&quot;&quot;},{&quot;family&quot;:&quot;Reed&quot;,&quot;given&quot;:&quot;Allen H.&quot;,&quot;parse-names&quot;:false,&quot;dropping-particle&quot;:&quot;&quot;,&quot;non-dropping-particle&quot;:&quot;&quot;},{&quot;family&quot;:&quot;Furukawa&quot;,&quot;given&quot;:&quot;Yoko&quot;,&quot;parse-names&quot;:false,&quot;dropping-particle&quot;:&quot;&quot;,&quot;non-dropping-particle&quot;:&quot;&quot;},{&quot;family&quot;:&quot;Zhang&quot;,&quot;given&quot;:&quot;Guoping&quot;,&quot;parse-names&quot;:false,&quot;dropping-particle&quot;:&quot;&quot;,&quot;non-dropping-particle&quot;:&quot;&quot;}],&quot;container-title&quot;:&quot;Applied Clay Science&quot;,&quot;DOI&quot;:&quot;10.1016/j.clay.2016.10.012&quot;,&quot;ISSN&quot;:&quot;01691317&quot;,&quot;URL&quot;:&quot;http://dx.doi.org/10.1016/j.clay.2016.10.012&quot;,&quot;issued&quot;:{&quot;date-parts&quot;:[[2017]]},&quot;page&quot;:&quot;313-324&quot;,&quot;abstract&quot;:&quot;The particle size distributions (PSD) of four clay minerals from the US Clay Minerals Society, kaolinite, illite, Ca2 +-montmorillonite, and Na+-montmorillonite, were analyzed using different dispersion techniques to evaluate their PSD variability and intrinsic particle sizes. Both dry dispersion in pressurized air and wet dispersion in water and ethyl alcohol with and without an interlayer expanding agent, glycerol, were employed, along with mechanical ultrasound disaggregation and chemical dispersion. Results show that all four clay minerals exhibit multimodal PSD consisting of superimposed subordinate lognormal distributions from submicron and 1–2 μm primary particles, 10–20 μm flocculi (and trace impurities). Microflocs of 50–500 μm occur only in the dry dispersion mode. Owing to the presence of relatively strong flocculi that are not prone to breakdown to smaller primary particles, the intrinsic PSD of these clay minerals cannot be readily obtained by the adopted dispersion methods. The two swelling clay minerals, Na+-montmorillonite and Ca2 +-montmorillonite, are more sensitive than the non-swelling ones, kaolinite and illite, to different dispersion solvents. The variability of these clay minerals’ PSD is further discussed in terms of the complex interactions among clay mineral particles, polar or less polar solvent, and dispersant, such as swelling, cation exchange, exfoliation, and electrical double layer repulsion. A significant practical implication is that most existing dispersion methods for PSD analysis tend to overestimate the silt-sized fraction but underestimate the clay-sized fraction, which may yield misleading classification for clay mineral-rich soils. For expansive clay minerals, appropriate dispersants should be selected to avoid cation exchange between the sample and dispersants, which can change their intrinsic PSD.&quot;,&quot;publisher&quot;:&quot;Elsevier B.V.&quot;,&quot;volume&quot;:&quot;135&quot;,&quot;container-title-short&quot;:&quot;&quot;},&quot;isTemporary&quot;:false}]},{&quot;citationID&quot;:&quot;MENDELEY_CITATION_f0a22d19-6176-4d45-a7c5-2f16def7e04e&quot;,&quot;properties&quot;:{&quot;noteIndex&quot;:0},&quot;isEdited&quot;:false,&quot;manualOverride&quot;:{&quot;isManuallyOverridden&quot;:false,&quot;citeprocText&quot;:&quot;&lt;sup&gt;122&lt;/sup&gt;&quot;,&quot;manualOverrideText&quot;:&quot;&quot;},&quot;citationTag&quot;:&quot;MENDELEY_CITATION_v3_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&quot;,&quot;citationItems&quot;:[{&quot;id&quot;:&quot;ca337628-7b7a-3b40-ae38-9b1f9e453fe2&quot;,&quot;itemData&quot;:{&quot;type&quot;:&quot;article-journal&quot;,&quot;id&quot;:&quot;ca337628-7b7a-3b40-ae38-9b1f9e453fe2&quot;,&quot;title&quot;:&quot;Hard Cap Espresso Machines in Analytical Chemistry: What Else?&quot;,&quot;author&quot;:[{&quot;family&quot;:&quot;Armenta&quot;,&quot;given&quot;:&quot;Sergio&quot;,&quot;parse-names&quot;:false,&quot;dropping-particle&quot;:&quot;&quot;,&quot;non-dropping-particle&quot;:&quot;&quot;},{&quot;family&quot;:&quot;La Guardia&quot;,&quot;given&quot;:&quot;Miguel&quot;,&quot;parse-names&quot;:false,&quot;dropping-particle&quot;:&quot;&quot;,&quot;non-dropping-particle&quot;:&quot;de&quot;},{&quot;family&quot;:&quot;Esteve-Turrillas&quot;,&quot;given&quot;:&quot;Francesc A.&quot;,&quot;parse-names&quot;:false,&quot;dropping-particle&quot;:&quot;&quot;,&quot;non-dropping-particle&quot;:&quot;&quot;}],&quot;container-title&quot;:&quot;Analytical Chemistry&quot;,&quot;DOI&quot;:&quot;10.1021/acs.analchem.6b01400&quot;,&quot;ISSN&quot;:&quot;15206882&quot;,&quot;issued&quot;:{&quot;date-parts&quot;:[[2016]]},&quot;page&quot;:&quot;6570-6576&quot;,&quot;abstract&quot;:&quot;A hard cap espresso machine has been used in combination with liquid chromatography with molecular fluorescence detection for the determination of polycyclic aromatic hydrocarbons (PAHs) from contaminated soils and sediments providing appropriate extraction efficiencies and quantitative results. Naphthalene, acenaphthene, fluorene, phenanthrene, anthracene, fluoranthene, pyrene, benz[a]anthracene, chrysene, benz[b]fluoranthene, benz[k]fluoranthene, benz[a]pyrene, dibenz[a,h]anthracene, benz[ghi]perylene, and indeno[1,2,3-cd]pyrene were used as target compounds. It should be mentioned that the pairs benz[a]anthracene-chrysene and dibenz[a,h]anthracene-benz[ghi]perylene peaks coelute under the employed chromatographic conditions; thus, those compounds were determined together. PAHs were extracted from 5.0 g of soil, previously homogenized, freeze-dried, and sieved to 250 μm, with 50 mL of 40% (v/v) acetonitrile in water at a temperature of 72 ± 3 °C. The proposed procedure is really fast, with an extraction time of 11 s, and it reduces the required amount of organic solvent to do the sample preparation. The obtained limit of detection for the evaluated PAHs was from 1 to 38 μg kg-1. Recoveries were calculated using clean soils spiked with 100, 500, 1000, and 2000 μg kg-1 PAHs with values ranging from 81 to 121% and good precision with relative standard deviation values lower than 30%. The method was validated using soil and sediment certified reference materials and also using real samples by comparison with ultrasound-assisted extraction, as reference methodology, obtaining statistically comparable results. Thus, the use of hard cap espresso machines in the analytical laboratories offers tremendous possibilities as low cost extraction units for the extraction of solid samples.&quot;,&quot;issue&quot;:&quot;12&quot;,&quot;volume&quot;:&quot;88&quot;,&quot;container-title-short&quot;:&quot;&quot;},&quot;isTemporary&quot;:false}]},{&quot;citationID&quot;:&quot;MENDELEY_CITATION_a8631a05-91b8-4a40-958d-22b7486c3efa&quot;,&quot;properties&quot;:{&quot;noteIndex&quot;:0},&quot;isEdited&quot;:false,&quot;manualOverride&quot;:{&quot;isManuallyOverridden&quot;:false,&quot;citeprocText&quot;:&quot;&lt;sup&gt;127,128&lt;/sup&gt;&quot;,&quot;manualOverrideText&quot;:&quot;&quot;},&quot;citationTag&quot;:&quot;MENDELEY_CITATION_v3_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&quot;,&quot;citationItems&quot;:[{&quot;id&quot;:&quot;67fdc033-60da-35a2-9802-765317721be4&quot;,&quot;itemData&quot;:{&quot;type&quot;:&quot;article-journal&quot;,&quot;id&quot;:&quot;67fdc033-60da-35a2-9802-765317721be4&quot;,&quot;title&quot;:&quot;Review Article Green technology : Economically and environmentally innovative methods for extraction of medicinal &amp; aromatic plants ( MAP ) in Egypt&quot;,&quot;author&quot;:[{&quot;family&quot;:&quot;Shams&quot;,&quot;given&quot;:&quot;Khaled A&quot;,&quot;parse-names&quot;:false,&quot;dropping-particle&quot;:&quot;&quot;,&quot;non-dropping-particle&quot;:&quot;&quot;},{&quot;family&quot;:&quot;Abdel-azim&quot;,&quot;given&quot;:&quot;Nahla S&quot;,&quot;parse-names&quot;:false,&quot;dropping-particle&quot;:&quot;&quot;,&quot;non-dropping-particle&quot;:&quot;&quot;},{&quot;family&quot;:&quot;Saleh&quot;,&quot;given&quot;:&quot;Ibrahim A&quot;,&quot;parse-names&quot;:false,&quot;dropping-particle&quot;:&quot;&quot;,&quot;non-dropping-particle&quot;:&quot;&quot;},{&quot;family&quot;:&quot;Hegazy&quot;,&quot;given&quot;:&quot;Mohamed-elamir F&quot;,&quot;parse-names&quot;:false,&quot;dropping-particle&quot;:&quot;&quot;,&quot;non-dropping-particle&quot;:&quot;&quot;},{&quot;family&quot;:&quot;El-missiry&quot;,&quot;given&quot;:&quot;Mostafa M&quot;,&quot;parse-names&quot;:false,&quot;dropping-particle&quot;:&quot;&quot;,&quot;non-dropping-particle&quot;:&quot;&quot;},{&quot;family&quot;:&quot;Hammouda&quot;,&quot;given&quot;:&quot;Faiza M&quot;,&quot;parse-names&quot;:false,&quot;dropping-particle&quot;:&quot;&quot;,&quot;non-dropping-particle&quot;:&quot;&quot;},{&quot;family&quot;:&quot;Bohouth&quot;,&quot;given&quot;:&quot;El&quot;,&quot;parse-names&quot;:false,&quot;dropping-particle&quot;:&quot;&quot;,&quot;non-dropping-particle&quot;:&quot;&quot;},{&quot;family&quot;:&quot;Tahrir&quot;,&quot;given&quot;:&quot;El&quot;,&quot;parse-names&quot;:false,&quot;dropping-particle&quot;:&quot;&quot;,&quot;non-dropping-particle&quot;:&quot;&quot;}],&quot;issued&quot;:{&quot;date-parts&quot;:[[2015]]},&quot;page&quot;:&quot;1050-1074&quot;,&quot;abstract&quot;:&quot;_____________________________________________________________________________________________ ABSTRACT Extraction process forms the first basic step in medicinal plant research because the preparation of crude extracts from plants is the starting point for the isolation and purification of chemical constituents present in plants. Yet the extraction step remains often a neglected area, which over the years has received much less attention and research. Traditional methods of extraction and processing of herbs and medicinal plants such as solid liquid extraction (Soxhlet), steam distillation or cold press are still used in Egypt. These methods of extraction lack selectivity, give lower yields and because it uses large volume of organic solvents it present safety concern and environmental risk. Several new extraction techniques for improving efficiency and selectivity are now replacing the old methods of extraction. However, recently exports of medicinal and aromatic plants products from Egypt to other countries are becoming more and more restricted due to the presence of unacceptable levels of contaminants and occasionally the occurrences of heavy metals and pesticides that attributed to the drawbacks of traditional extraction methods. The fact that one single plant can contain several secondary metabolites makes the need for the development of high performance and rapid extraction methods an absolute necessity. Keeping in pace with such requirements, recent times has witnessed the use and growth of new extraction techniques with shortened extraction time, reduced solvent consumption, increased pollution prevention concern and with special care for thermolabile constituents. Novel extraction methods including Microwave Assisted Extraction (MAE), Supercritical Fluid Extraction (SCFE), Accelerated Solvent Extraction (ASE), Subcritical Water Extraction (SWE) and Ultrasound Assisted Extraction (USE) have drawn significant research attention in the last decade. In this review, we discussed the principles, affecting factors, advantages and disadvantages of traditional and innovative extraction techniques. We also suggested some ideas to establish these innovative technologies for extraction in Egypt.&quot;,&quot;issue&quot;:&quot;5&quot;,&quot;volume&quot;:&quot;7&quot;,&quot;container-title-short&quot;:&quot;&quot;},&quot;isTemporary&quot;:false},{&quot;id&quot;:&quot;7e0072e3-114f-3583-9098-0ae233555ceb&quot;,&quot;itemData&quot;:{&quot;type&quot;:&quot;book&quot;,&quot;id&quot;:&quot;7e0072e3-114f-3583-9098-0ae233555ceb&quot;,&quot;title&quot;:&quot;Solvent-based extraction techniques for the determination of pesticides in food&quot;,&quot;author&quot;:[{&quot;family&quot;:&quot;Zhang&quot;,&quot;given&quot;:&quot;K.&quot;,&quot;parse-names&quot;:false,&quot;dropping-particle&quot;:&quot;&quot;,&quot;non-dropping-particle&quot;:&quot;&quot;},{&quot;family&quot;:&quot;Wong&quot;,&quot;given&quot;:&quot;J. W.&quot;,&quot;parse-names&quot;:false,&quot;dropping-particle&quot;:&quot;&quot;,&quot;non-dropping-particle&quot;:&quot;&quot;}],&quot;container-title&quot;:&quot;Comprehensive Sampling and Sample Preparation&quot;,&quot;DOI&quot;:&quot;10.1016/B978-0-12-381373-2.00136-8&quot;,&quot;ISBN&quot;:&quot;9780123813749&quot;,&quot;URL&quot;:&quot;http://dx.doi.org/10.1016/B978-0-12-381373-2.10136-X&quot;,&quot;issued&quot;:{&quot;date-parts&quot;:[[2011]]},&quot;number-of-pages&quot;:&quot;245-261&quot;,&quot;abstract&quot;:&quot;This chapter is a review on solvent-based extraction techniques for the determination of pesticides in different food matrices. Extraction can be categorized as conventional solvent extraction with acetonitrile, acetone, and ethyl acetate as primary solvents or energy-assisted extraction techniques such as pressurized liquid extraction, microwave assisted- and ultrasound-assisted liquid extraction. Discussion is based on these techniques as well as their applications on different food matrices, with an emphasis on multi-residue pesticide analysis. © 2011 Elsevier Inc. All rights reserved.&quot;,&quot;publisher&quot;:&quot;Elsevier&quot;,&quot;volume&quot;:&quot;4&quot;,&quot;container-title-short&quot;:&quot;&quot;},&quot;isTemporary&quot;:false}]},{&quot;citationID&quot;:&quot;MENDELEY_CITATION_205ebb3e-c3fb-4c62-8871-6a97fd3c4835&quot;,&quot;properties&quot;:{&quot;noteIndex&quot;:0},&quot;isEdited&quot;:false,&quot;manualOverride&quot;:{&quot;isManuallyOverridden&quot;:false,&quot;citeprocText&quot;:&quot;&lt;sup&gt;114,129&lt;/sup&gt;&quot;,&quot;manualOverrideText&quot;:&quot;&quot;},&quot;citationTag&quot;:&quot;MENDELEY_CITATION_v3_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&quot;,&quot;citationItems&quot;:[{&quot;id&quot;:&quot;99e01638-3076-301d-884e-7bbc002642a5&quot;,&quot;itemData&quot;:{&quot;type&quot;:&quot;article-journal&quot;,&quot;id&quot;:&quot;99e01638-3076-301d-884e-7bbc002642a5&quot;,&quot;title&quot;:&quot;Methodological bias associated with soluble protein recovery from soil&quot;,&quot;author&quot;:[{&quot;family&quot;:&quot;Greenfield&quot;,&quot;given&quot;:&quot;Lucy M.&quot;,&quot;parse-names&quot;:false,&quot;dropping-particle&quot;:&quot;&quot;,&quot;non-dropping-particle&quot;:&quot;&quot;},{&quot;family&quot;:&quot;Hill&quot;,&quot;given&quot;:&quot;Paul W.&quot;,&quot;parse-names&quot;:false,&quot;dropping-particle&quot;:&quot;&quot;,&quot;non-dropping-particle&quot;:&quot;&quot;},{&quot;family&quot;:&quot;Paterson&quot;,&quot;given&quot;:&quot;Eric&quot;,&quot;parse-names&quot;:false,&quot;dropping-particle&quot;:&quot;&quot;,&quot;non-dropping-particle&quot;:&quot;&quot;},{&quot;family&quot;:&quot;Baggs&quot;,&quot;given&quot;:&quot;Elizabeth M.&quot;,&quot;parse-names&quot;:false,&quot;dropping-particle&quot;:&quot;&quot;,&quot;non-dropping-particle&quot;:&quot;&quot;},{&quot;family&quot;:&quot;Jones&quot;,&quot;given&quot;:&quot;Davey L.&quot;,&quot;parse-names&quot;:false,&quot;dropping-particle&quot;:&quot;&quot;,&quot;non-dropping-particle&quot;:&quot;&quot;}],&quot;container-title&quot;:&quot;Scientific Reports&quot;,&quot;DOI&quot;:&quot;10.1038/s41598-018-29559-4&quot;,&quot;ISBN&quot;:&quot;4159801829559&quot;,&quot;ISSN&quot;:&quot;20452322&quot;,&quot;PMID&quot;:&quot;30046143&quot;,&quot;issued&quot;:{&quot;date-parts&quot;:[[2018]]},&quot;page&quot;:&quot;3-8&quot;,&quot;abstract&quot;:&quot;Proteins play a crucial role in many soil processes, however, standardised methods to extract soluble protein from soil are lacking. The aim of this study was to compare the ability of different extractants to quantify the recovery of soluble proteins from three soil types (Cambisol, Ferralsol and Histosol) with contrasting clay and organic matter contents. Known amounts of plant-derived 14C-labelled soluble proteins were incubated with soil and then extracted with solutions of contrasting pH, concentration and polarity. Protein recovery proved highly solvent and soil dependent (Histosol &gt; Cambisol &gt; Ferralsol) and no single extractant was capable of complete protein recovery. In comparison to deionised water (10–60% of the total protein recovered), maximal recovery was observed with NaOH (0.1 M; 61–80%) and Na-pyrophosphate (0.05 M, pH 7.0; 45–75% recovery). We conclude that the dependence of protein recovery on both extractant and soil type prevents direct comparison of studies using different recovery methods, particularly if no extraction controls are used. We present recommendations for a standard protein extraction protocol.&quot;,&quot;issue&quot;:&quot;1&quot;,&quot;volume&quot;:&quot;8&quot;,&quot;container-title-short&quot;:&quot;&quot;},&quot;isTemporary&quot;:false},{&quot;id&quot;:&quot;0ae95a1b-d377-3fec-90b0-5e78de2889d4&quot;,&quot;itemData&quot;:{&quot;type&quot;:&quot;article-journal&quot;,&quot;id&quot;:&quot;0ae95a1b-d377-3fec-90b0-5e78de2889d4&quot;,&quot;title&quot;:&quot;The extracellular metaproteome of soils under semiarid climate: A methodological comparison of extraction buffers&quot;,&quot;author&quot;:[{&quot;family&quot;:&quot;Bastida&quot;,&quot;given&quot;:&quot;F.&quot;,&quot;parse-names&quot;:false,&quot;dropping-particle&quot;:&quot;&quot;,&quot;non-dropping-particle&quot;:&quot;&quot;},{&quot;family&quot;:&quot;Jehmlich&quot;,&quot;given&quot;:&quot;N.&quot;,&quot;parse-names&quot;:false,&quot;dropping-particle&quot;:&quot;&quot;,&quot;non-dropping-particle&quot;:&quot;&quot;},{&quot;family&quot;:&quot;Torres&quot;,&quot;given&quot;:&quot;I. F.&quot;,&quot;parse-names&quot;:false,&quot;dropping-particle&quot;:&quot;&quot;,&quot;non-dropping-particle&quot;:&quot;&quot;},{&quot;family&quot;:&quot;García&quot;,&quot;given&quot;:&quot;C.&quot;,&quot;parse-names&quot;:false,&quot;dropping-particle&quot;:&quot;&quot;,&quot;non-dropping-particle&quot;:&quot;&quot;}],&quot;container-title&quot;:&quot;Science of the Total Environment&quot;,&quot;DOI&quot;:&quot;10.1016/j.scitotenv.2017.11.134&quot;,&quot;ISSN&quot;:&quot;18791026&quot;,&quot;PMID&quot;:&quot;29156289&quot;,&quot;URL&quot;:&quot;https://doi.org/10.1016/j.scitotenv.2017.11.134&quot;,&quot;issued&quot;:{&quot;date-parts&quot;:[[2018]]},&quot;page&quot;:&quot;707-711&quot;,&quot;abstract&quot;:&quot;We compare the protein extraction efficiencies, as well as the phylogenetic and functional information provided, of two extraction protocols in soils that differ mainly in their organic matter and clay contents, the main factors limiting protein extraction in semiarid soils. These protocols utilise extractants commonly used for the assay of extracellular enzyme activities. The first method was based on the utilisation of the modified universal buffer (MUB). The second was based on the extraction of humic substances with sodium pyrophosphate. When compared to the total amount of proteins in soil, the results indicate a very-low extraction efficiency for both protocols. Analysis in an Orbitrap Fusion mass spectrometer and further searching against an “ad hoc” metagenome evidenced that the phylogenetic and functional information retrieved from the extracellular soil metaproteome can be biased by the extraction buffer.&quot;,&quot;publisher&quot;:&quot;Elsevier B.V.&quot;,&quot;volume&quot;:&quot;619-620&quot;,&quot;container-title-short&quot;:&quot;&quot;},&quot;isTemporary&quot;:false}]},{&quot;citationID&quot;:&quot;MENDELEY_CITATION_24106e9c-8530-4eba-9c8c-1eedd2163f7a&quot;,&quot;properties&quot;:{&quot;noteIndex&quot;:0},&quot;isEdited&quot;:false,&quot;manualOverride&quot;:{&quot;isManuallyOverridden&quot;:false,&quot;citeprocText&quot;:&quot;&lt;sup&gt;130&lt;/sup&gt;&quot;,&quot;manualOverrideText&quot;:&quot;&quot;},&quot;citationTag&quot;:&quot;MENDELEY_CITATION_v3_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&quot;,&quot;citationItems&quot;:[{&quot;id&quot;:&quot;d6c298b6-2435-373a-83ac-8c2dcd7031b0&quot;,&quot;itemData&quot;:{&quot;type&quot;:&quot;article-journal&quot;,&quot;id&quot;:&quot;d6c298b6-2435-373a-83ac-8c2dcd7031b0&quot;,&quot;title&quot;:&quot;Optimization of extraction method and characterization of humic acid derived from coals and composts&quot;,&quot;author&quot;:[{&quot;family&quot;:&quot;Asing&quot;,&quot;given&quot;:&quot;J&quot;,&quot;parse-names&quot;:false,&quot;dropping-particle&quot;:&quot;&quot;,&quot;non-dropping-particle&quot;:&quot;&quot;},{&quot;family&quot;:&quot;Wong and Lau&quot;,&quot;given&quot;:&quot;NC S&quot;,&quot;parse-names&quot;:false,&quot;dropping-particle&quot;:&quot;&quot;,&quot;non-dropping-particle&quot;:&quot;&quot;},{&quot;family&quot;:&quot;Wong&quot;,&quot;given&quot;:&quot;NC&quot;,&quot;parse-names&quot;:false,&quot;dropping-particle&quot;:&quot;&quot;,&quot;non-dropping-particle&quot;:&quot;&quot;},{&quot;family&quot;:&quot;Lau&quot;,&quot;given&quot;:&quot;S&quot;,&quot;parse-names&quot;:false,&quot;dropping-particle&quot;:&quot;&quot;,&quot;non-dropping-particle&quot;:&quot;&quot;},{&quot;family&quot;:&quot;Asing&quot;,&quot;given&quot;:&quot;Janice&quot;,&quot;parse-names&quot;:false,&quot;dropping-particle&quot;:&quot;&quot;,&quot;non-dropping-particle&quot;:&quot;&quot;},{&quot;family&quot;:&quot;Nan Chong&quot;,&quot;given&quot;:&quot;Wong&quot;,&quot;parse-names&quot;:false,&quot;dropping-particle&quot;:&quot;&quot;,&quot;non-dropping-particle&quot;:&quot;&quot;},{&quot;family&quot;:&quot;Seng&quot;,&quot;given&quot;:&quot;Lau&quot;,&quot;parse-names&quot;:false,&quot;dropping-particle&quot;:&quot;&quot;,&quot;non-dropping-particle&quot;:&quot;&quot;}],&quot;container-title&quot;:&quot;J. Trop. Agric. and Fd. Sc&quot;,&quot;issued&quot;:{&quot;date-parts&quot;:[[2009]]},&quot;page&quot;:&quot;211-223&quot;,&quot;abstract&quot;:&quot;Humic acid (HA), known as the black gold of agriculture, is increasingly becoming popular for use in agriculture. HA from sub-bituminous coals from Mukah, Sarawak, commercial HA product (leonardite), humified peat and various types of compost were extracted and their chemical characteristics compared. HA yield from various coals ranged from 1.5–11.1% while composts yielded HA from a low of 4.2% to 16.5%. Humified peat and commercial leonardite contained 31.6% and 58.5 % HA respectively. Functional group analyses of extracted HA from Mukah coals showed a narrow range of carboxylic group from 3.2–3.5 meq g –1 while phenol-OH group was between 6.8–7.3 meq g –1 . Functional groups in HA from composts were, however, lower than those obtained from coals. The total acidity of HA from composts ranged from 5.6–9.5 meq g –1 , carboxylic group at 1.9–3.5 meq g –1 and phenol-OH group, 3.5–6.2 meq g –1 . Fourier Transformed Infrared (FTIR) spectra of extracted HA from coals, leonardite and chrysanthemum compost had distinct clear absorption bands indicating the presence of major HA structural elemental groups such as H bonded OH (3400 cm –1 peak), C=O of carbonyl (1710 cm –1 peak) functional groups, aliphatic components CH 2 and CH 3 (2930, 1420 and 1370 cm –1 peaks) and C=C of aromatic ring (1620 cm –1).&quot;,&quot;issue&quot;:&quot;2&quot;,&quot;volume&quot;:&quot;37&quot;,&quot;container-title-short&quot;:&quot;&quot;},&quot;isTemporary&quot;:false}]},{&quot;citationID&quot;:&quot;MENDELEY_CITATION_a6d03762-1d7c-4581-a985-643befa67c7d&quot;,&quot;properties&quot;:{&quot;noteIndex&quot;:0},&quot;isEdited&quot;:false,&quot;manualOverride&quot;:{&quot;isManuallyOverridden&quot;:false,&quot;citeprocText&quot;:&quot;&lt;sup&gt;131&lt;/sup&gt;&quot;,&quot;manualOverrideText&quot;:&quot;&quot;},&quot;citationTag&quot;:&quot;MENDELEY_CITATION_v3_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&quot;,&quot;citationItems&quot;:[{&quot;id&quot;:&quot;097798a1-8ad3-38d1-ac7c-baf11d4172bb&quot;,&quot;itemData&quot;:{&quot;type&quot;:&quot;article-journal&quot;,&quot;id&quot;:&quot;097798a1-8ad3-38d1-ac7c-baf11d4172bb&quot;,&quot;title&quot;:&quot;Permafrost Active Layer Microbes From Ny Ålesund, Svalbard (79°N) Show Autotrophic and Heterotrophic Metabolisms With Diverse Carbon-Degrading Enzymes&quot;,&quot;author&quot;:[{&quot;family&quot;:&quot;Sipes&quot;,&quot;given&quot;:&quot;Katie&quot;,&quot;parse-names&quot;:false,&quot;dropping-particle&quot;:&quot;&quot;,&quot;non-dropping-particle&quot;:&quot;&quot;},{&quot;family&quot;:&quot;Paul&quot;,&quot;given&quot;:&quot;Raegan&quot;,&quot;parse-names&quot;:false,&quot;dropping-particle&quot;:&quot;&quot;,&quot;non-dropping-particle&quot;:&quot;&quot;},{&quot;family&quot;:&quot;Fine&quot;,&quot;given&quot;:&quot;Aubrey&quot;,&quot;parse-names&quot;:false,&quot;dropping-particle&quot;:&quot;&quot;,&quot;non-dropping-particle&quot;:&quot;&quot;},{&quot;family&quot;:&quot;Li&quot;,&quot;given&quot;:&quot;Peibo&quot;,&quot;parse-names&quot;:false,&quot;dropping-particle&quot;:&quot;&quot;,&quot;non-dropping-particle&quot;:&quot;&quot;},{&quot;family&quot;:&quot;Liang&quot;,&quot;given&quot;:&quot;Renxing&quot;,&quot;parse-names&quot;:false,&quot;dropping-particle&quot;:&quot;&quot;,&quot;non-dropping-particle&quot;:&quot;&quot;},{&quot;family&quot;:&quot;Boike&quot;,&quot;given&quot;:&quot;Julia&quot;,&quot;parse-names&quot;:false,&quot;dropping-particle&quot;:&quot;&quot;,&quot;non-dropping-particle&quot;:&quot;&quot;},{&quot;family&quot;:&quot;Onstott&quot;,&quot;given&quot;:&quot;Tullis C.&quot;,&quot;parse-names&quot;:false,&quot;dropping-particle&quot;:&quot;&quot;,&quot;non-dropping-particle&quot;:&quot;&quot;},{&quot;family&quot;:&quot;Vishnivetskaya&quot;,&quot;given&quot;:&quot;Tatiana A.&quot;,&quot;parse-names&quot;:false,&quot;dropping-particle&quot;:&quot;&quot;,&quot;non-dropping-particle&quot;:&quot;&quot;},{&quot;family&quot;:&quot;Schaeffer&quot;,&quot;given&quot;:&quot;Sean&quot;,&quot;parse-names&quot;:false,&quot;dropping-particle&quot;:&quot;&quot;,&quot;non-dropping-particle&quot;:&quot;&quot;},{&quot;family&quot;:&quot;Lloyd&quot;,&quot;given&quot;:&quot;Karen G.&quot;,&quot;parse-names&quot;:false,&quot;dropping-particle&quot;:&quot;&quot;,&quot;non-dropping-particle&quot;:&quot;&quot;}],&quot;container-title&quot;:&quot;Frontiers in Microbiology&quot;,&quot;DOI&quot;:&quot;10.3389/fmicb.2021.757812&quot;,&quot;ISSN&quot;:&quot;1664302X&quot;,&quot;issued&quot;:{&quot;date-parts&quot;:[[2022]]},&quot;page&quot;:&quot;1-14&quot;,&quot;abstract&quot;:&quot;The active layer of permafrost in Ny Ålesund, Svalbard (79°N) around the Bayelva River in the Leirhaugen glacier moraine is measured as a small net carbon sink at the brink of becoming a carbon source. In many permafrost-dominating ecosystems, microbes in the active layers have been shown to drive organic matter degradation and greenhouse gas production, creating positive feedback on climate change. However, the microbial metabolisms linking the environmental geochemical processes and the populations that perform them have not been fully characterized. In this paper, we present geochemical, enzymatic, and isotopic data paired with 10 Pseudomonas sp. cultures and metagenomic libraries of two active layer soil cores (BPF1 and BPF2) from Ny Ålesund, Svalbard, (79°N). Relative to BPF1, BPF2 had statistically higher C/N ratios (15 ± 1 for BPF1 vs. 29 ± 10 for BPF2; n = 30, p &lt; 10–5), statistically lower organic carbon (2% ± 0.6% for BPF1 vs. 1.6% ± 0.4% for BPF2, p &lt; 0.02), statistically lower nitrogen (0.1% ± 0.03% for BPF1 vs. 0.07% ± 0.02% for BPF2, p &lt; 10–6). The d13C values for inorganic carbon did not correlate with those of organic carbon in BPF2, suggesting lower heterotrophic respiration. An increase in the δ13C of inorganic carbon with depth either reflects an autotrophic signal or mixing between a heterotrophic source at the surface and a lithotrophic source at depth. Potential enzyme activity of xylosidase and N-acetyl-β-D-glucosaminidase increases twofold at 15°C, relative to 25°C, indicating cold adaptation in the cultures and bulk soil. Potential enzyme activity of leucine aminopeptidase across soils and cultures was two orders of magnitude higher than other tested enzymes, implying that organisms use leucine as a nitrogen and carbon source in this nutrient-limited environment. Besides demonstrating large variability in carbon compositions of permafrost active layer soils only ∼84 m apart, results suggest that the Svalbard active layer microbes are often limited by organic carbon or nitrogen availability and have adaptations to the current environment, and metabolic flexibility to adapt to the warming climate.&quot;,&quot;issue&quot;:&quot;February&quot;,&quot;volume&quot;:&quot;12&quot;,&quot;container-title-short&quot;:&quot;&quot;},&quot;isTemporary&quot;:false}]},{&quot;citationID&quot;:&quot;MENDELEY_CITATION_9d73bf77-7403-48c9-b278-ac4daff67ccd&quot;,&quot;properties&quot;:{&quot;noteIndex&quot;:0},&quot;isEdited&quot;:false,&quot;manualOverride&quot;:{&quot;isManuallyOverridden&quot;:false,&quot;citeprocText&quot;:&quot;&lt;sup&gt;59&lt;/sup&gt;&quot;,&quot;manualOverrideText&quot;:&quot;&quot;},&quot;citationTag&quot;:&quot;MENDELEY_CITATION_v3_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&quot;,&quot;citationItems&quot;:[{&quot;id&quot;:&quot;906a0878-e828-3212-a528-ac9004eaf7f0&quot;,&quot;itemData&quot;:{&quot;type&quot;:&quot;article-journal&quot;,&quot;id&quot;:&quot;906a0878-e828-3212-a528-ac9004eaf7f0&quot;,&quot;title&quot;:&quot;Protein aggregation capture on microparticles enables multipurpose proteomics sample preparation&quot;,&quot;author&quot;:[{&quot;family&quot;:&quot;Batth&quot;,&quot;given&quot;:&quot;Tanveer S.&quot;,&quot;parse-names&quot;:false,&quot;dropping-particle&quot;:&quot;&quot;,&quot;non-dropping-particle&quot;:&quot;&quot;},{&quot;family&quot;:&quot;Tollenaere&quot;,&quot;given&quot;:&quot;Maxim A.X.&quot;,&quot;parse-names&quot;:false,&quot;dropping-particle&quot;:&quot;&quot;,&quot;non-dropping-particle&quot;:&quot;&quot;},{&quot;family&quot;:&quot;Rüther&quot;,&quot;given&quot;:&quot;Patrick&quot;,&quot;parse-names&quot;:false,&quot;dropping-particle&quot;:&quot;&quot;,&quot;non-dropping-particle&quot;:&quot;&quot;},{&quot;family&quot;:&quot;Gonzalez-Franquesa&quot;,&quot;given&quot;:&quot;Alba&quot;,&quot;parse-names&quot;:false,&quot;dropping-particle&quot;:&quot;&quot;,&quot;non-dropping-particle&quot;:&quot;&quot;},{&quot;family&quot;:&quot;Prabhakar&quot;,&quot;given&quot;:&quot;Bhargav S.&quot;,&quot;parse-names&quot;:false,&quot;dropping-particle&quot;:&quot;&quot;,&quot;non-dropping-particle&quot;:&quot;&quot;},{&quot;family&quot;:&quot;Bekker-Jensen&quot;,&quot;given&quot;:&quot;Simon&quot;,&quot;parse-names&quot;:false,&quot;dropping-particle&quot;:&quot;&quot;,&quot;non-dropping-particle&quot;:&quot;&quot;},{&quot;family&quot;:&quot;Deshmukh&quot;,&quot;given&quot;:&quot;Atul S.&quot;,&quot;parse-names&quot;:false,&quot;dropping-particle&quot;:&quot;&quot;,&quot;non-dropping-particle&quot;:&quot;&quot;},{&quot;family&quot;:&quot;Olsen&quot;,&quot;given&quot;:&quot;Jesper&quot;,&quot;parse-names&quot;:false,&quot;dropping-particle&quot;:&quot;v.&quot;,&quot;non-dropping-particle&quot;:&quot;&quot;}],&quot;container-title&quot;:&quot;Molecular and Cellular Proteomics&quot;,&quot;DOI&quot;:&quot;10.1074/mcp.TIR118.001270&quot;,&quot;ISBN&quot;:&quot;4515210505&quot;,&quot;ISSN&quot;:&quot;15359484&quot;,&quot;PMID&quot;:&quot;30833379&quot;,&quot;issued&quot;:{&quot;date-parts&quot;:[[2019]]},&quot;page&quot;:&quot;1027-1035&quot;,&quot;abstract&quot;:&quot;Universal proteomics sample preparation is challenging because of the high heterogeneity of biological samples. Here we describe a novel mechanism that exploits the inherent instability of denatured proteins for nonspecific immobilization on microparticles by protein aggregation capture. To demonstrate the general applicability of this mechanism, we analyzed phosphoproteomes, tissue proteomes, and interaction proteomes as well as dilute secretomes. The findings present a practical, sensitive and cost-effective proteomics sample preparation method.&quot;,&quot;issue&quot;:&quot;5&quot;,&quot;volume&quot;:&quot;18&quot;,&quot;container-title-short&quot;:&quot;&quot;},&quot;isTemporary&quot;:false}]},{&quot;citationID&quot;:&quot;MENDELEY_CITATION_ad1a2da7-5846-48a3-a189-aea757d7311f&quot;,&quot;properties&quot;:{&quot;noteIndex&quot;:0},&quot;isEdited&quot;:false,&quot;manualOverride&quot;:{&quot;isManuallyOverridden&quot;:false,&quot;citeprocText&quot;:&quot;&lt;sup&gt;99&lt;/sup&gt;&quot;,&quot;manualOverrideText&quot;:&quot;&quot;},&quot;citationTag&quot;:&quot;MENDELEY_CITATION_v3_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&quot;,&quot;citationItems&quot;:[{&quot;id&quot;:&quot;bcadaffb-b705-3bb7-9273-e0724060196d&quot;,&quot;itemData&quot;:{&quot;type&quot;:&quot;article-journal&quot;,&quot;id&quot;:&quot;bcadaffb-b705-3bb7-9273-e0724060196d&quot;,&quot;title&quot;:&quot;Deep learning enables de novo peptide sequencing from data-independent-acquisition mass spectrometry&quot;,&quot;author&quot;:[{&quot;family&quot;:&quot;Tran&quot;,&quot;given&quot;:&quot;Ngoc Hieu&quot;,&quot;parse-names&quot;:false,&quot;dropping-particle&quot;:&quot;&quot;,&quot;non-dropping-particle&quot;:&quot;&quot;},{&quot;family&quot;:&quot;Qiao&quot;,&quot;given&quot;:&quot;Rui&quot;,&quot;parse-names&quot;:false,&quot;dropping-particle&quot;:&quot;&quot;,&quot;non-dropping-particle&quot;:&quot;&quot;},{&quot;family&quot;:&quot;Xin&quot;,&quot;given&quot;:&quot;Lei&quot;,&quot;parse-names&quot;:false,&quot;dropping-particle&quot;:&quot;&quot;,&quot;non-dropping-particle&quot;:&quot;&quot;},{&quot;family&quot;:&quot;Chen&quot;,&quot;given&quot;:&quot;Xin&quot;,&quot;parse-names&quot;:false,&quot;dropping-particle&quot;:&quot;&quot;,&quot;non-dropping-particle&quot;:&quot;&quot;},{&quot;family&quot;:&quot;Liu&quot;,&quot;given&quot;:&quot;Chuyi&quot;,&quot;parse-names&quot;:false,&quot;dropping-particle&quot;:&quot;&quot;,&quot;non-dropping-particle&quot;:&quot;&quot;},{&quot;family&quot;:&quot;Zhang&quot;,&quot;given&quot;:&quot;Xianglilan&quot;,&quot;parse-names&quot;:false,&quot;dropping-particle&quot;:&quot;&quot;,&quot;non-dropping-particle&quot;:&quot;&quot;},{&quot;family&quot;:&quot;Shan&quot;,&quot;given&quot;:&quot;Baozhen&quot;,&quot;parse-names&quot;:false,&quot;dropping-particle&quot;:&quot;&quot;,&quot;non-dropping-particle&quot;:&quot;&quot;},{&quot;family&quot;:&quot;Ghodsi&quot;,&quot;given&quot;:&quot;Ali&quot;,&quot;parse-names&quot;:false,&quot;dropping-particle&quot;:&quot;&quot;,&quot;non-dropping-particle&quot;:&quot;&quot;},{&quot;family&quot;:&quot;Li&quot;,&quot;given&quot;:&quot;Ming&quot;,&quot;parse-names&quot;:false,&quot;dropping-particle&quot;:&quot;&quot;,&quot;non-dropping-particle&quot;:&quot;&quot;}],&quot;container-title&quot;:&quot;Nature Methods&quot;,&quot;DOI&quot;:&quot;10.1038/s41592-018-0260-3&quot;,&quot;ISSN&quot;:&quot;15487105&quot;,&quot;PMID&quot;:&quot;30573815&quot;,&quot;URL&quot;:&quot;http://dx.doi.org/10.1038/s41592-018-0260-3&quot;,&quot;issued&quot;:{&quot;date-parts&quot;:[[2019]]},&quot;page&quot;:&quot;63-66&quot;,&quot;abstract&quot;:&quot;We present DeepNovo-DIA, a de novo peptide-sequencing method for data-independent acquisition (DIA) mass spectrometry data. We use neural networks to capture precursor and fragment ions across m/z, retention-time, and intensity dimensions. They are then further integrated with peptide sequence patterns to address the problem of highly multiplexed spectra. DIA coupled with de novo sequencing allowed us to identify novel peptides in human antibodies and antigens.&quot;,&quot;publisher&quot;:&quot;Springer US&quot;,&quot;issue&quot;:&quot;1&quot;,&quot;volume&quot;:&quot;16&quot;,&quot;container-title-short&quot;:&quot;&quot;},&quot;isTemporary&quot;:false}]},{&quot;citationID&quot;:&quot;MENDELEY_CITATION_932f3119-2ec5-4af6-a1dc-c6f0c0df8273&quot;,&quot;properties&quot;:{&quot;noteIndex&quot;:0},&quot;isEdited&quot;:false,&quot;manualOverride&quot;:{&quot;isManuallyOverridden&quot;:false,&quot;citeprocText&quot;:&quot;&lt;sup&gt;132&lt;/sup&gt;&quot;,&quot;manualOverrideText&quot;:&quot;&quot;},&quot;citationTag&quot;:&quot;MENDELEY_CITATION_v3_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&quot;,&quot;citationItems&quot;:[{&quot;id&quot;:&quot;aa5a63d6-c7aa-3515-9186-adb615289b0f&quot;,&quot;itemData&quot;:{&quot;type&quot;:&quot;article-journal&quot;,&quot;id&quot;:&quot;aa5a63d6-c7aa-3515-9186-adb615289b0f&quot;,&quot;title&quot;:&quot;Unipept 4.0: Functional Analysis of Metaproteome Data&quot;,&quot;author&quot;:[{&quot;family&quot;:&quot;Gurdeep Singh&quot;,&quot;given&quot;:&quot;Robbert&quot;,&quot;parse-names&quot;:false,&quot;dropping-particle&quot;:&quot;&quot;,&quot;non-dropping-particle&quot;:&quot;&quot;},{&quot;family&quot;:&quot;Tanca&quot;,&quot;given&quot;:&quot;Alessandro&quot;,&quot;parse-names&quot;:false,&quot;dropping-particle&quot;:&quot;&quot;,&quot;non-dropping-particle&quot;:&quot;&quot;},{&quot;family&quot;:&quot;Palomba&quot;,&quot;given&quot;:&quot;Antonio&quot;,&quot;parse-names&quot;:false,&quot;dropping-particle&quot;:&quot;&quot;,&quot;non-dropping-particle&quot;:&quot;&quot;},{&quot;family&quot;:&quot;Jeugt&quot;,&quot;given&quot;:&quot;Felix&quot;,&quot;parse-names&quot;:false,&quot;dropping-particle&quot;:&quot;&quot;,&quot;non-dropping-particle&quot;:&quot;van der&quot;},{&quot;family&quot;:&quot;Verschaffelt&quot;,&quot;given&quot;:&quot;Pieter&quot;,&quot;parse-names&quot;:false,&quot;dropping-particle&quot;:&quot;&quot;,&quot;non-dropping-particle&quot;:&quot;&quot;},{&quot;family&quot;:&quot;Uzzau&quot;,&quot;given&quot;:&quot;Sergio&quot;,&quot;parse-names&quot;:false,&quot;dropping-particle&quot;:&quot;&quot;,&quot;non-dropping-particle&quot;:&quot;&quot;},{&quot;family&quot;:&quot;Martens&quot;,&quot;given&quot;:&quot;Lennart&quot;,&quot;parse-names&quot;:false,&quot;dropping-particle&quot;:&quot;&quot;,&quot;non-dropping-particle&quot;:&quot;&quot;},{&quot;family&quot;:&quot;Dawyndt&quot;,&quot;given&quot;:&quot;Peter&quot;,&quot;parse-names&quot;:false,&quot;dropping-particle&quot;:&quot;&quot;,&quot;non-dropping-particle&quot;:&quot;&quot;},{&quot;family&quot;:&quot;Mesuere&quot;,&quot;given&quot;:&quot;Bart&quot;,&quot;parse-names&quot;:false,&quot;dropping-particle&quot;:&quot;&quot;,&quot;non-dropping-particle&quot;:&quot;&quot;}],&quot;container-title&quot;:&quot;Journal of Proteome Research&quot;,&quot;DOI&quot;:&quot;10.1021/acs.jproteome.8b00716&quot;,&quot;ISSN&quot;:&quot;15353907&quot;,&quot;PMID&quot;:&quot;30465426&quot;,&quot;issued&quot;:{&quot;date-parts&quot;:[[2019]]},&quot;page&quot;:&quot;606-615&quot;,&quot;abstract&quot;:&quot;Unipept (https://unipept.ugent.be) is a web application for metaproteome data analysis, with an initial focus on tryptic-peptide-based biodiversity analysis of MS/MS samples. Because the true potential of metaproteomics lies in gaining insight into the expressed functions of complex environmental samples, the 4.0 release of Unipept introduces complementary functional analysis based on GO terms and EC numbers. Integration of this new functional analysis with the existing biodiversity analysis is an important asset of the extended pipeline. As a proof of concept, a human faecal metaproteome data set from 15 healthy subjects was reanalyzed with Unipept 4.0, yielding fast, detailed, and straightforward characterization of taxon-specific catalytic functions that is shown to be consistent with previous results from a BLAST-based functional analysis of the same data.&quot;,&quot;issue&quot;:&quot;2&quot;,&quot;volume&quot;:&quot;18&quot;,&quot;container-title-short&quot;:&quot;&quot;},&quot;isTemporary&quot;:false}]},{&quot;citationID&quot;:&quot;MENDELEY_CITATION_18deb626-b34d-403c-a92b-109e712c8f54&quot;,&quot;properties&quot;:{&quot;noteIndex&quot;:0},&quot;isEdited&quot;:false,&quot;manualOverride&quot;:{&quot;isManuallyOverridden&quot;:false,&quot;citeprocText&quot;:&quot;&lt;sup&gt;71&lt;/sup&gt;&quot;,&quot;manualOverrideText&quot;:&quot;&quot;},&quot;citationTag&quot;:&quot;MENDELEY_CITATION_v3_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&quot;,&quot;citationItems&quot;:[{&quot;id&quot;:&quot;17cd241b-da3e-3a9c-b5ae-4cea6aee830f&quot;,&quot;itemData&quot;:{&quot;type&quot;:&quot;article-journal&quot;,&quot;id&quot;:&quot;17cd241b-da3e-3a9c-b5ae-4cea6aee830f&quot;,&quot;title&quot;:&quot;Simple Peptide Quantification Approach for MS-Based Proteomics Quality Control&quot;,&quot;author&quot;:[{&quot;family&quot;:&quot;Maia&quot;,&quot;given&quot;:&quot;Teresa Mendes&quot;,&quot;parse-names&quot;:false,&quot;dropping-particle&quot;:&quot;&quot;,&quot;non-dropping-particle&quot;:&quot;&quot;},{&quot;family&quot;:&quot;Staes&quot;,&quot;given&quot;:&quot;An&quot;,&quot;parse-names&quot;:false,&quot;dropping-particle&quot;:&quot;&quot;,&quot;non-dropping-particle&quot;:&quot;&quot;},{&quot;family&quot;:&quot;Plasman&quot;,&quot;given&quot;:&quot;Kim&quot;,&quot;parse-names&quot;:false,&quot;dropping-particle&quot;:&quot;&quot;,&quot;non-dropping-particle&quot;:&quot;&quot;},{&quot;family&quot;:&quot;Pauwels&quot;,&quot;given&quot;:&quot;Jarne&quot;,&quot;parse-names&quot;:false,&quot;dropping-particle&quot;:&quot;&quot;,&quot;non-dropping-particle&quot;:&quot;&quot;},{&quot;family&quot;:&quot;Boucher&quot;,&quot;given&quot;:&quot;Katie&quot;,&quot;parse-names&quot;:false,&quot;dropping-particle&quot;:&quot;&quot;,&quot;non-dropping-particle&quot;:&quot;&quot;},{&quot;family&quot;:&quot;Argentini&quot;,&quot;given&quot;:&quot;Andrea&quot;,&quot;parse-names&quot;:false,&quot;dropping-particle&quot;:&quot;&quot;,&quot;non-dropping-particle&quot;:&quot;&quot;},{&quot;family&quot;:&quot;Martens&quot;,&quot;given&quot;:&quot;Lennart&quot;,&quot;parse-names&quot;:false,&quot;dropping-particle&quot;:&quot;&quot;,&quot;non-dropping-particle&quot;:&quot;&quot;},{&quot;family&quot;:&quot;Montoye&quot;,&quot;given&quot;:&quot;Tony&quot;,&quot;parse-names&quot;:false,&quot;dropping-particle&quot;:&quot;&quot;,&quot;non-dropping-particle&quot;:&quot;&quot;},{&quot;family&quot;:&quot;Gevaert&quot;,&quot;given&quot;:&quot;Kris&quot;,&quot;parse-names&quot;:false,&quot;dropping-particle&quot;:&quot;&quot;,&quot;non-dropping-particle&quot;:&quot;&quot;},{&quot;family&quot;:&quot;Impens&quot;,&quot;given&quot;:&quot;Francis&quot;,&quot;parse-names&quot;:false,&quot;dropping-particle&quot;:&quot;&quot;,&quot;non-dropping-particle&quot;:&quot;&quot;}],&quot;container-title&quot;:&quot;ACS Omega&quot;,&quot;DOI&quot;:&quot;10.1021/acsomega.0c00080&quot;,&quot;ISSN&quot;:&quot;24701343&quot;,&quot;issued&quot;:{&quot;date-parts&quot;:[[2020]]},&quot;page&quot;:&quot;6754-6762&quot;,&quot;abstract&quot;:&quot;Despite its growing popularity and use, bottom-up proteomics remains a complex analytical methodology. Its general workflow consists of three main steps: sample preparation, liquid chromatography coupled to tandem mass spectrometry (LC-MS/MS), and computational data analysis. Quality assessment of the different steps and components of this workflow is instrumental to identify technical flaws and avoid loss of precious measurement time and sample material. However, assessment of the extent of sample losses along with the sample preparation protocol, in particular, after proteolytic digestion, is not yet routinely implemented because of the lack of an accurate and straightforward method to quantify peptides. Here, we report on the use of a microfluidic UV/visible spectrophotometer to quantify MS-ready peptides directly in the MS-loading solvent, consuming only 2 μL of sample. We compared the performance of the microfluidic spectrophotometer with a standard device and determined the optimal sample amount for LC-MS/MS analysis on a Q Exactive HF mass spectrometer using a dilution series of a commercial K562 cell digest. A careful evaluation of selected LC and MS parameters allowed us to define 3 μg as an optimal peptide amount to be injected into this particular LC-MS/MS system. Finally, using tryptic digests from human HEK293T cells and showing that injecting equal peptide amounts, rather than approximate ones, result in less variable LC-MS/MS and protein quantification data. The obtained quality improvement together with easy implementation of the approach makes it possible to routinely quantify MS-ready peptides as a next step in daily proteomics quality control.&quot;,&quot;issue&quot;:&quot;12&quot;,&quot;volume&quot;:&quot;5&quot;,&quot;container-title-short&quot;:&quot;&quot;},&quot;isTemporary&quot;:false}]},{&quot;citationID&quot;:&quot;MENDELEY_CITATION_1cf0fb53-36b8-4524-9023-d65ac91cd0cc&quot;,&quot;properties&quot;:{&quot;noteIndex&quot;:0},&quot;isEdited&quot;:false,&quot;manualOverride&quot;:{&quot;isManuallyOverridden&quot;:false,&quot;citeprocText&quot;:&quot;&lt;sup&gt;133&lt;/sup&gt;&quot;,&quot;manualOverrideText&quot;:&quot;&quot;},&quot;citationTag&quot;:&quot;MENDELEY_CITATION_v3_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&quot;,&quot;citationItems&quot;:[{&quot;id&quot;:&quot;010e04bd-22d7-3130-9514-3f44003d8cf3&quot;,&quot;itemData&quot;:{&quot;type&quot;:&quot;article-journal&quot;,&quot;id&quot;:&quot;010e04bd-22d7-3130-9514-3f44003d8cf3&quot;,&quot;title&quot;:&quot;SDS-PAGE fractionation to increase metaproteomic insight into the taxonomic and functional composition of microbial communities for biogas plant samples&quot;,&quot;author&quot;:[{&quot;family&quot;:&quot;Wenzel&quot;,&quot;given&quot;:&quot;Lisa&quot;,&quot;parse-names&quot;:false,&quot;dropping-particle&quot;:&quot;&quot;,&quot;non-dropping-particle&quot;:&quot;&quot;},{&quot;family&quot;:&quot;Heyer&quot;,&quot;given&quot;:&quot;Robert&quot;,&quot;parse-names&quot;:false,&quot;dropping-particle&quot;:&quot;&quot;,&quot;non-dropping-particle&quot;:&quot;&quot;},{&quot;family&quot;:&quot;Schallert&quot;,&quot;given&quot;:&quot;Kay&quot;,&quot;parse-names&quot;:false,&quot;dropping-particle&quot;:&quot;&quot;,&quot;non-dropping-particle&quot;:&quot;&quot;},{&quot;family&quot;:&quot;Löser&quot;,&quot;given&quot;:&quot;Lucy&quot;,&quot;parse-names&quot;:false,&quot;dropping-particle&quot;:&quot;&quot;,&quot;non-dropping-particle&quot;:&quot;&quot;},{&quot;family&quot;:&quot;Reichl&quot;,&quot;given&quot;:&quot;Udo&quot;,&quot;parse-names&quot;:false,&quot;dropping-particle&quot;:&quot;&quot;,&quot;non-dropping-particle&quot;:&quot;&quot;}],&quot;DOI&quot;:&quot;10.1002/elsc.201800062&quot;,&quot;issued&quot;:{&quot;date-parts&quot;:[[2018]]},&quot;page&quot;:&quot;498-509&quot;,&quot;container-title-short&quot;:&quot;&quot;},&quot;isTemporary&quot;:false}]},{&quot;citationID&quot;:&quot;MENDELEY_CITATION_08221741-3f2e-42d4-b0d4-286139265810&quot;,&quot;properties&quot;:{&quot;noteIndex&quot;:0},&quot;isEdited&quot;:false,&quot;manualOverride&quot;:{&quot;isManuallyOverridden&quot;:false,&quot;citeprocText&quot;:&quot;&lt;sup&gt;134&lt;/sup&gt;&quot;,&quot;manualOverrideText&quot;:&quot;&quot;},&quot;citationTag&quot;:&quot;MENDELEY_CITATION_v3_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&quot;,&quot;citationItems&quot;:[{&quot;id&quot;:&quot;200ebdc0-fdd5-38d9-8004-5f00f821b434&quot;,&quot;itemData&quot;:{&quot;type&quot;:&quot;article-journal&quot;,&quot;id&quot;:&quot;200ebdc0-fdd5-38d9-8004-5f00f821b434&quot;,&quot;title&quot;:&quot;The simplified human intestinal microbiota (Sihumix) shows high structural and functional resistance against changing transit times in in vitro bioreactors&quot;,&quot;author&quot;:[{&quot;family&quot;:&quot;Schäpe&quot;,&quot;given&quot;:&quot;Stephanie Serena&quot;,&quot;parse-names&quot;:false,&quot;dropping-particle&quot;:&quot;&quot;,&quot;non-dropping-particle&quot;:&quot;&quot;},{&quot;family&quot;:&quot;Krause&quot;,&quot;given&quot;:&quot;Jannike Lea&quot;,&quot;parse-names&quot;:false,&quot;dropping-particle&quot;:&quot;&quot;,&quot;non-dropping-particle&quot;:&quot;&quot;},{&quot;family&quot;:&quot;Engelmann&quot;,&quot;given&quot;:&quot;Beatrice&quot;,&quot;parse-names&quot;:false,&quot;dropping-particle&quot;:&quot;&quot;,&quot;non-dropping-particle&quot;:&quot;&quot;},{&quot;family&quot;:&quot;Fritz-Wallace&quot;,&quot;given&quot;:&quot;Katarina&quot;,&quot;parse-names&quot;:false,&quot;dropping-particle&quot;:&quot;&quot;,&quot;non-dropping-particle&quot;:&quot;&quot;},{&quot;family&quot;:&quot;Schattenberg&quot;,&quot;given&quot;:&quot;Florian&quot;,&quot;parse-names&quot;:false,&quot;dropping-particle&quot;:&quot;&quot;,&quot;non-dropping-particle&quot;:&quot;&quot;},{&quot;family&quot;:&quot;Liu&quot;,&quot;given&quot;:&quot;Zishu&quot;,&quot;parse-names&quot;:false,&quot;dropping-particle&quot;:&quot;&quot;,&quot;non-dropping-particle&quot;:&quot;&quot;},{&quot;family&quot;:&quot;Müller&quot;,&quot;given&quot;:&quot;Susann&quot;,&quot;parse-names&quot;:false,&quot;dropping-particle&quot;:&quot;&quot;,&quot;non-dropping-particle&quot;:&quot;&quot;},{&quot;family&quot;:&quot;Jehmlich&quot;,&quot;given&quot;:&quot;Nico&quot;,&quot;parse-names&quot;:false,&quot;dropping-particle&quot;:&quot;&quot;,&quot;non-dropping-particle&quot;:&quot;&quot;},{&quot;family&quot;:&quot;Rolle-Kampczyk&quot;,&quot;given&quot;:&quot;Ulrike&quot;,&quot;parse-names&quot;:false,&quot;dropping-particle&quot;:&quot;&quot;,&quot;non-dropping-particle&quot;:&quot;&quot;},{&quot;family&quot;:&quot;Herberth&quot;,&quot;given&quot;:&quot;Gunda&quot;,&quot;parse-names&quot;:false,&quot;dropping-particle&quot;:&quot;&quot;,&quot;non-dropping-particle&quot;:&quot;&quot;},{&quot;family&quot;:&quot;Bergen&quot;,&quot;given&quot;:&quot;Martin&quot;,&quot;parse-names&quot;:false,&quot;dropping-particle&quot;:&quot;&quot;,&quot;non-dropping-particle&quot;:&quot;von&quot;}],&quot;container-title&quot;:&quot;Microorganisms&quot;,&quot;container-title-short&quot;:&quot;Microorganisms&quot;,&quot;DOI&quot;:&quot;10.3390/microorganisms7120641&quot;,&quot;ISBN&quot;:&quot;4934123512&quot;,&quot;ISSN&quot;:&quot;20762607&quot;,&quot;issued&quot;:{&quot;date-parts&quot;:[[2019]]},&quot;page&quot;:&quot;1-19&quot;,&quot;abstract&quot;:&quot;Many functions in host–microbiota interactions are potentially influenced by intestinal transit times, but little is known about the effects of altered transition times on the composition and functionality of gut microbiota. To analyze these effects, we cultivated the model community SIHUMIx in bioreactors in order to determine the effects of varying transit times (TT) on the community structure and function. After five days of continuous cultivation, we investigated the influence of different medium TT of 12 h, 24 h, and 48 h. For profiling the microbial community, we applied flow cytometric fingerprinting and revealed changes in the community structure of SIHUMIx during the change of TT, which were not associated with changes in species abundances. For pinpointing metabolic alterations, we applied metaproteomics and metabolomics and found, along with shortening the TT, a slight decrease in glycan biosynthesis, carbohydrate, and amino acid metabolism and, furthermore, a reduction in butyrate, methyl butyrate, isobutyrate, valerate, and isovalerate concentrations. Specifically, B. thetaiotaomicron was identified to be affected in terms of butyrate metabolism. However, communities could recover to the original state afterward. This study shows that SIHUMIx showed high structural stability when TT changed—even four-fold. Resistance values remained high, which suggests that TTs did not interfere with the structure of the community to a certain degree.&quot;,&quot;issue&quot;:&quot;12&quot;,&quot;volume&quot;:&quot;7&quot;},&quot;isTemporary&quot;:false}]},{&quot;citationID&quot;:&quot;MENDELEY_CITATION_a8ad2dd6-2b3c-480b-9721-f4f86d3bd0cd&quot;,&quot;properties&quot;:{&quot;noteIndex&quot;:0},&quot;isEdited&quot;:false,&quot;manualOverride&quot;:{&quot;isManuallyOverridden&quot;:false,&quot;citeprocText&quot;:&quot;&lt;sup&gt;134&lt;/sup&gt;&quot;,&quot;manualOverrideText&quot;:&quot;&quot;},&quot;citationTag&quot;:&quot;MENDELEY_CITATION_v3_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&quot;,&quot;citationItems&quot;:[{&quot;id&quot;:&quot;200ebdc0-fdd5-38d9-8004-5f00f821b434&quot;,&quot;itemData&quot;:{&quot;type&quot;:&quot;article-journal&quot;,&quot;id&quot;:&quot;200ebdc0-fdd5-38d9-8004-5f00f821b434&quot;,&quot;title&quot;:&quot;The simplified human intestinal microbiota (Sihumix) shows high structural and functional resistance against changing transit times in in vitro bioreactors&quot;,&quot;author&quot;:[{&quot;family&quot;:&quot;Schäpe&quot;,&quot;given&quot;:&quot;Stephanie Serena&quot;,&quot;parse-names&quot;:false,&quot;dropping-particle&quot;:&quot;&quot;,&quot;non-dropping-particle&quot;:&quot;&quot;},{&quot;family&quot;:&quot;Krause&quot;,&quot;given&quot;:&quot;Jannike Lea&quot;,&quot;parse-names&quot;:false,&quot;dropping-particle&quot;:&quot;&quot;,&quot;non-dropping-particle&quot;:&quot;&quot;},{&quot;family&quot;:&quot;Engelmann&quot;,&quot;given&quot;:&quot;Beatrice&quot;,&quot;parse-names&quot;:false,&quot;dropping-particle&quot;:&quot;&quot;,&quot;non-dropping-particle&quot;:&quot;&quot;},{&quot;family&quot;:&quot;Fritz-Wallace&quot;,&quot;given&quot;:&quot;Katarina&quot;,&quot;parse-names&quot;:false,&quot;dropping-particle&quot;:&quot;&quot;,&quot;non-dropping-particle&quot;:&quot;&quot;},{&quot;family&quot;:&quot;Schattenberg&quot;,&quot;given&quot;:&quot;Florian&quot;,&quot;parse-names&quot;:false,&quot;dropping-particle&quot;:&quot;&quot;,&quot;non-dropping-particle&quot;:&quot;&quot;},{&quot;family&quot;:&quot;Liu&quot;,&quot;given&quot;:&quot;Zishu&quot;,&quot;parse-names&quot;:false,&quot;dropping-particle&quot;:&quot;&quot;,&quot;non-dropping-particle&quot;:&quot;&quot;},{&quot;family&quot;:&quot;Müller&quot;,&quot;given&quot;:&quot;Susann&quot;,&quot;parse-names&quot;:false,&quot;dropping-particle&quot;:&quot;&quot;,&quot;non-dropping-particle&quot;:&quot;&quot;},{&quot;family&quot;:&quot;Jehmlich&quot;,&quot;given&quot;:&quot;Nico&quot;,&quot;parse-names&quot;:false,&quot;dropping-particle&quot;:&quot;&quot;,&quot;non-dropping-particle&quot;:&quot;&quot;},{&quot;family&quot;:&quot;Rolle-Kampczyk&quot;,&quot;given&quot;:&quot;Ulrike&quot;,&quot;parse-names&quot;:false,&quot;dropping-particle&quot;:&quot;&quot;,&quot;non-dropping-particle&quot;:&quot;&quot;},{&quot;family&quot;:&quot;Herberth&quot;,&quot;given&quot;:&quot;Gunda&quot;,&quot;parse-names&quot;:false,&quot;dropping-particle&quot;:&quot;&quot;,&quot;non-dropping-particle&quot;:&quot;&quot;},{&quot;family&quot;:&quot;Bergen&quot;,&quot;given&quot;:&quot;Martin&quot;,&quot;parse-names&quot;:false,&quot;dropping-particle&quot;:&quot;&quot;,&quot;non-dropping-particle&quot;:&quot;von&quot;}],&quot;container-title&quot;:&quot;Microorganisms&quot;,&quot;container-title-short&quot;:&quot;Microorganisms&quot;,&quot;DOI&quot;:&quot;10.3390/microorganisms7120641&quot;,&quot;ISBN&quot;:&quot;4934123512&quot;,&quot;ISSN&quot;:&quot;20762607&quot;,&quot;issued&quot;:{&quot;date-parts&quot;:[[2019]]},&quot;page&quot;:&quot;1-19&quot;,&quot;abstract&quot;:&quot;Many functions in host–microbiota interactions are potentially influenced by intestinal transit times, but little is known about the effects of altered transition times on the composition and functionality of gut microbiota. To analyze these effects, we cultivated the model community SIHUMIx in bioreactors in order to determine the effects of varying transit times (TT) on the community structure and function. After five days of continuous cultivation, we investigated the influence of different medium TT of 12 h, 24 h, and 48 h. For profiling the microbial community, we applied flow cytometric fingerprinting and revealed changes in the community structure of SIHUMIx during the change of TT, which were not associated with changes in species abundances. For pinpointing metabolic alterations, we applied metaproteomics and metabolomics and found, along with shortening the TT, a slight decrease in glycan biosynthesis, carbohydrate, and amino acid metabolism and, furthermore, a reduction in butyrate, methyl butyrate, isobutyrate, valerate, and isovalerate concentrations. Specifically, B. thetaiotaomicron was identified to be affected in terms of butyrate metabolism. However, communities could recover to the original state afterward. This study shows that SIHUMIx showed high structural stability when TT changed—even four-fold. Resistance values remained high, which suggests that TTs did not interfere with the structure of the community to a certain degree.&quot;,&quot;issue&quot;:&quot;12&quot;,&quot;volume&quot;:&quot;7&quot;},&quot;isTemporary&quot;:false}]},{&quot;citationID&quot;:&quot;MENDELEY_CITATION_573e8b02-25aa-4498-9a0d-adbc42bfeedc&quot;,&quot;properties&quot;:{&quot;noteIndex&quot;:0},&quot;isEdited&quot;:false,&quot;manualOverride&quot;:{&quot;isManuallyOverridden&quot;:false,&quot;citeprocText&quot;:&quot;&lt;sup&gt;135,136&lt;/sup&gt;&quot;,&quot;manualOverrideText&quot;:&quot;&quot;},&quot;citationTag&quot;:&quot;MENDELEY_CITATION_v3_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&quot;,&quot;citationItems&quot;:[{&quot;id&quot;:&quot;f0841858-b7c1-344e-96d5-f353361623fa&quot;,&quot;itemData&quot;:{&quot;type&quot;:&quot;article-journal&quot;,&quot;id&quot;:&quot;f0841858-b7c1-344e-96d5-f353361623fa&quot;,&quot;title&quot;:&quot;Metaproteomics of complex microbial communities in biogas plants&quot;,&quot;author&quot;:[{&quot;family&quot;:&quot;Heyer&quot;,&quot;given&quot;:&quot;Robert&quot;,&quot;parse-names&quot;:false,&quot;dropping-particle&quot;:&quot;&quot;,&quot;non-dropping-particle&quot;:&quot;&quot;},{&quot;family&quot;:&quot;Kohrs&quot;,&quot;given&quot;:&quot;Fabian&quot;,&quot;parse-names&quot;:false,&quot;dropping-particle&quot;:&quot;&quot;,&quot;non-dropping-particle&quot;:&quot;&quot;},{&quot;family&quot;:&quot;Reichl&quot;,&quot;given&quot;:&quot;Udo&quot;,&quot;parse-names&quot;:false,&quot;dropping-particle&quot;:&quot;&quot;,&quot;non-dropping-particle&quot;:&quot;&quot;},{&quot;family&quot;:&quot;Benndorf&quot;,&quot;given&quot;:&quot;Dirk&quot;,&quot;parse-names&quot;:false,&quot;dropping-particle&quot;:&quot;&quot;,&quot;non-dropping-particle&quot;:&quot;&quot;}],&quot;container-title&quot;:&quot;Microbial Biotechnology&quot;,&quot;DOI&quot;:&quot;10.1111/1751-7915.12276&quot;,&quot;ISSN&quot;:&quot;17517915&quot;,&quot;PMID&quot;:&quot;25874383&quot;,&quot;issued&quot;:{&quot;date-parts&quot;:[[2015]]},&quot;page&quot;:&quot;749-763&quot;,&quot;abstract&quot;:&quot;Production of biogas from agricultural biomass or organic wastes is an important source of renewable energy. Although thousands of biogas plants (BGPs) are operating in Germany, there is still a significant potential to improve yields, e.g. from fibrous substrates. In addition, process stability should be optimized. Besides evaluating technical measures, improving our understanding of microbial communities involved into the biogas process is considered as key issue to achieve both goals. Microscopic and genetic approaches to analyse community composition provide valuable experimental data, but fail to detect presence of enzymes and overall metabolic activity of microbial communities. Therefore, metaproteomics can significantly contribute to elucidate critical steps in the conversion of biomass to methane as it delivers combined functional and phylogenetic data. Although metaproteomics analyses are challenged by sample impurities, sample complexity and redundant protein identification, and are still limited by the availability of genome sequences, recent studies have shown promising results. In the following, the workflow and potential pitfalls for metaproteomics of samples from full-scale BGP are discussed. In addition, the value of metaproteomics to contribute to the further advancement of microbial ecology is evaluated. Finally, synergistic effects expected when metaproteomics is combined with advanced imaging techniques, metagenomics, metatranscriptomics and metabolomics are addressed.&quot;,&quot;issue&quot;:&quot;5&quot;,&quot;volume&quot;:&quot;8&quot;,&quot;container-title-short&quot;:&quot;&quot;},&quot;isTemporary&quot;:false},{&quot;id&quot;:&quot;8e65310a-ada2-35ef-95ad-856bd8aba624&quot;,&quot;itemData&quot;:{&quot;type&quot;:&quot;article-journal&quot;,&quot;id&quot;:&quot;8e65310a-ada2-35ef-95ad-856bd8aba624&quot;,&quot;title&quot;:&quot;Crux: Rapid open source protein tandem mass spectrometry analysis&quot;,&quot;author&quot;:[{&quot;family&quot;:&quot;McIlwain&quot;,&quot;given&quot;:&quot;Sean&quot;,&quot;parse-names&quot;:false,&quot;dropping-particle&quot;:&quot;&quot;,&quot;non-dropping-particle&quot;:&quot;&quot;},{&quot;family&quot;:&quot;Tamura&quot;,&quot;given&quot;:&quot;Kaipo&quot;,&quot;parse-names&quot;:false,&quot;dropping-particle&quot;:&quot;&quot;,&quot;non-dropping-particle&quot;:&quot;&quot;},{&quot;family&quot;:&quot;Kertesz-Farkas&quot;,&quot;given&quot;:&quot;Attila&quot;,&quot;parse-names&quot;:false,&quot;dropping-particle&quot;:&quot;&quot;,&quot;non-dropping-particle&quot;:&quot;&quot;},{&quot;family&quot;:&quot;Grant&quot;,&quot;given&quot;:&quot;Charles E.&quot;,&quot;parse-names&quot;:false,&quot;dropping-particle&quot;:&quot;&quot;,&quot;non-dropping-particle&quot;:&quot;&quot;},{&quot;family&quot;:&quot;Diament&quot;,&quot;given&quot;:&quot;Benjamin&quot;,&quot;parse-names&quot;:false,&quot;dropping-particle&quot;:&quot;&quot;,&quot;non-dropping-particle&quot;:&quot;&quot;},{&quot;family&quot;:&quot;Frewen&quot;,&quot;given&quot;:&quot;Barbara&quot;,&quot;parse-names&quot;:false,&quot;dropping-particle&quot;:&quot;&quot;,&quot;non-dropping-particle&quot;:&quot;&quot;},{&quot;family&quot;:&quot;Howbert&quot;,&quot;given&quot;:&quot;J. Jeffry&quot;,&quot;parse-names&quot;:false,&quot;dropping-particle&quot;:&quot;&quot;,&quot;non-dropping-particle&quot;:&quot;&quot;},{&quot;family&quot;:&quot;Hoopmann&quot;,&quot;given&quot;:&quot;Michael R.&quot;,&quot;parse-names&quot;:false,&quot;dropping-particle&quot;:&quot;&quot;,&quot;non-dropping-particle&quot;:&quot;&quot;},{&quot;family&quot;:&quot;Käll&quot;,&quot;given&quot;:&quot;Lukas&quot;,&quot;parse-names&quot;:false,&quot;dropping-particle&quot;:&quot;&quot;,&quot;non-dropping-particle&quot;:&quot;&quot;},{&quot;family&quot;:&quot;Eng&quot;,&quot;given&quot;:&quot;Jimmy K.&quot;,&quot;parse-names&quot;:false,&quot;dropping-particle&quot;:&quot;&quot;,&quot;non-dropping-particle&quot;:&quot;&quot;},{&quot;family&quot;:&quot;MacCoss&quot;,&quot;given&quot;:&quot;Michael J.&quot;,&quot;parse-names&quot;:false,&quot;dropping-particle&quot;:&quot;&quot;,&quot;non-dropping-particle&quot;:&quot;&quot;},{&quot;family&quot;:&quot;Noble&quot;,&quot;given&quot;:&quot;William Stafford&quot;,&quot;parse-names&quot;:false,&quot;dropping-particle&quot;:&quot;&quot;,&quot;non-dropping-particle&quot;:&quot;&quot;}],&quot;container-title&quot;:&quot;Journal of Proteome Research&quot;,&quot;DOI&quot;:&quot;10.1021/pr500741y&quot;,&quot;ISSN&quot;:&quot;15353907&quot;,&quot;PMID&quot;:&quot;25182276&quot;,&quot;issued&quot;:{&quot;date-parts&quot;:[[2014]]},&quot;page&quot;:&quot;4488-4491&quot;,&quot;abstract&quot;:&quot;Efficiently and accurately analyzing big protein tandem mass spectrometry data sets requires robust software that incorporates state-of-the-art computational, machine learning, and statistical methods. The Crux mass spectrometry analysis software toolkit (http://cruxtoolkit.sourceforge.net) is an open source project that aims to provide users with a cross-platform suite of analysis tools for interpreting protein mass spectrometry data.&quot;,&quot;issue&quot;:&quot;10&quot;,&quot;volume&quot;:&quot;13&quot;,&quot;container-title-short&quot;:&quot;&quot;},&quot;isTemporary&quot;:false}]},{&quot;citationID&quot;:&quot;MENDELEY_CITATION_3f08cbe2-e27c-42bc-b2ef-2fec6aa25e49&quot;,&quot;properties&quot;:{&quot;noteIndex&quot;:0},&quot;isEdited&quot;:false,&quot;manualOverride&quot;:{&quot;isManuallyOverridden&quot;:false,&quot;citeprocText&quot;:&quot;&lt;sup&gt;136&lt;/sup&gt;&quot;,&quot;manualOverrideText&quot;:&quot;&quot;},&quot;citationTag&quot;:&quot;MENDELEY_CITATION_v3_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&quot;,&quot;citationItems&quot;:[{&quot;id&quot;:&quot;8e65310a-ada2-35ef-95ad-856bd8aba624&quot;,&quot;itemData&quot;:{&quot;type&quot;:&quot;article-journal&quot;,&quot;id&quot;:&quot;8e65310a-ada2-35ef-95ad-856bd8aba624&quot;,&quot;title&quot;:&quot;Crux: Rapid open source protein tandem mass spectrometry analysis&quot;,&quot;author&quot;:[{&quot;family&quot;:&quot;McIlwain&quot;,&quot;given&quot;:&quot;Sean&quot;,&quot;parse-names&quot;:false,&quot;dropping-particle&quot;:&quot;&quot;,&quot;non-dropping-particle&quot;:&quot;&quot;},{&quot;family&quot;:&quot;Tamura&quot;,&quot;given&quot;:&quot;Kaipo&quot;,&quot;parse-names&quot;:false,&quot;dropping-particle&quot;:&quot;&quot;,&quot;non-dropping-particle&quot;:&quot;&quot;},{&quot;family&quot;:&quot;Kertesz-Farkas&quot;,&quot;given&quot;:&quot;Attila&quot;,&quot;parse-names&quot;:false,&quot;dropping-particle&quot;:&quot;&quot;,&quot;non-dropping-particle&quot;:&quot;&quot;},{&quot;family&quot;:&quot;Grant&quot;,&quot;given&quot;:&quot;Charles E.&quot;,&quot;parse-names&quot;:false,&quot;dropping-particle&quot;:&quot;&quot;,&quot;non-dropping-particle&quot;:&quot;&quot;},{&quot;family&quot;:&quot;Diament&quot;,&quot;given&quot;:&quot;Benjamin&quot;,&quot;parse-names&quot;:false,&quot;dropping-particle&quot;:&quot;&quot;,&quot;non-dropping-particle&quot;:&quot;&quot;},{&quot;family&quot;:&quot;Frewen&quot;,&quot;given&quot;:&quot;Barbara&quot;,&quot;parse-names&quot;:false,&quot;dropping-particle&quot;:&quot;&quot;,&quot;non-dropping-particle&quot;:&quot;&quot;},{&quot;family&quot;:&quot;Howbert&quot;,&quot;given&quot;:&quot;J. Jeffry&quot;,&quot;parse-names&quot;:false,&quot;dropping-particle&quot;:&quot;&quot;,&quot;non-dropping-particle&quot;:&quot;&quot;},{&quot;family&quot;:&quot;Hoopmann&quot;,&quot;given&quot;:&quot;Michael R.&quot;,&quot;parse-names&quot;:false,&quot;dropping-particle&quot;:&quot;&quot;,&quot;non-dropping-particle&quot;:&quot;&quot;},{&quot;family&quot;:&quot;Käll&quot;,&quot;given&quot;:&quot;Lukas&quot;,&quot;parse-names&quot;:false,&quot;dropping-particle&quot;:&quot;&quot;,&quot;non-dropping-particle&quot;:&quot;&quot;},{&quot;family&quot;:&quot;Eng&quot;,&quot;given&quot;:&quot;Jimmy K.&quot;,&quot;parse-names&quot;:false,&quot;dropping-particle&quot;:&quot;&quot;,&quot;non-dropping-particle&quot;:&quot;&quot;},{&quot;family&quot;:&quot;MacCoss&quot;,&quot;given&quot;:&quot;Michael J.&quot;,&quot;parse-names&quot;:false,&quot;dropping-particle&quot;:&quot;&quot;,&quot;non-dropping-particle&quot;:&quot;&quot;},{&quot;family&quot;:&quot;Noble&quot;,&quot;given&quot;:&quot;William Stafford&quot;,&quot;parse-names&quot;:false,&quot;dropping-particle&quot;:&quot;&quot;,&quot;non-dropping-particle&quot;:&quot;&quot;}],&quot;container-title&quot;:&quot;Journal of Proteome Research&quot;,&quot;DOI&quot;:&quot;10.1021/pr500741y&quot;,&quot;ISSN&quot;:&quot;15353907&quot;,&quot;PMID&quot;:&quot;25182276&quot;,&quot;issued&quot;:{&quot;date-parts&quot;:[[2014]]},&quot;page&quot;:&quot;4488-4491&quot;,&quot;abstract&quot;:&quot;Efficiently and accurately analyzing big protein tandem mass spectrometry data sets requires robust software that incorporates state-of-the-art computational, machine learning, and statistical methods. The Crux mass spectrometry analysis software toolkit (http://cruxtoolkit.sourceforge.net) is an open source project that aims to provide users with a cross-platform suite of analysis tools for interpreting protein mass spectrometry data.&quot;,&quot;issue&quot;:&quot;10&quot;,&quot;volume&quot;:&quot;13&quot;,&quot;container-title-short&quot;:&quot;&quot;},&quot;isTemporary&quot;:false}]},{&quot;citationID&quot;:&quot;MENDELEY_CITATION_e0d77613-dcdf-453d-9216-ce0e2e782f07&quot;,&quot;properties&quot;:{&quot;noteIndex&quot;:0},&quot;isEdited&quot;:false,&quot;manualOverride&quot;:{&quot;isManuallyOverridden&quot;:false,&quot;citeprocText&quot;:&quot;&lt;sup&gt;137&lt;/sup&gt;&quot;,&quot;manualOverrideText&quot;:&quot;&quot;},&quot;citationTag&quot;:&quot;MENDELEY_CITATION_v3_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&quot;,&quot;citationItems&quot;:[{&quot;id&quot;:&quot;93c7990e-2d26-3d16-a4ce-7e3721969e49&quot;,&quot;itemData&quot;:{&quot;type&quot;:&quot;article-journal&quot;,&quot;id&quot;:&quot;93c7990e-2d26-3d16-a4ce-7e3721969e49&quot;,&quot;title&quot;:&quot;Faster SEQUEST searching for peptide identification from tandem mass spectra&quot;,&quot;author&quot;:[{&quot;family&quot;:&quot;Diament&quot;,&quot;given&quot;:&quot;Benjamin J.&quot;,&quot;parse-names&quot;:false,&quot;dropping-particle&quot;:&quot;&quot;,&quot;non-dropping-particle&quot;:&quot;&quot;},{&quot;family&quot;:&quot;Noble&quot;,&quot;given&quot;:&quot;William Stafford&quot;,&quot;parse-names&quot;:false,&quot;dropping-particle&quot;:&quot;&quot;,&quot;non-dropping-particle&quot;:&quot;&quot;}],&quot;container-title&quot;:&quot;Journal of Proteome Research&quot;,&quot;DOI&quot;:&quot;10.1021/pr101196n&quot;,&quot;ISSN&quot;:&quot;15353893&quot;,&quot;PMID&quot;:&quot;21761931&quot;,&quot;issued&quot;:{&quot;date-parts&quot;:[[2011]]},&quot;page&quot;:&quot;3871-3879&quot;,&quot;abstract&quot;:&quot;Computational analysis of mass spectra remains the bottleneck in many proteomics experiments. SEQUEST was one of the earliest software packages to identify peptides from mass spectra by searching a database of known peptides. Though still popular, SEQUEST performs slowly. Crux and TurboSEQUEST have successfully sped up SEQUEST by adding a precomputed index to the search, but the demand for ever-faster peptide identification software continues to grow. Tide, introduced here, is a software program that implements the SEQUEST algorithm for peptide identification and that achieves a dramatic speedup over Crux and SEQUEST. The optimization strategies detailed here employ a combination of algorithmic and software engineering techniques to achieve speeds up to 170 times faster than a recent version of SEQUEST that uses indexing. For example, on a single Xeon CPU, Tide searches 10 000 spectra against a tryptic database of 27 499 Caenorhabditis elegans proteins at a rate of 1550 spectra per second, which compares favorably with a rate of 8.8 spectra per second for a recent version of SEQUEST with index running on the same hardware. © 2011 American Chemical Society.&quot;,&quot;issue&quot;:&quot;9&quot;,&quot;volume&quot;:&quot;10&quot;,&quot;container-title-short&quot;:&quot;&quot;},&quot;isTemporary&quot;:false}]},{&quot;citationID&quot;:&quot;MENDELEY_CITATION_072e921e-e625-4e07-96fd-72283e65c86e&quot;,&quot;properties&quot;:{&quot;noteIndex&quot;:0},&quot;isEdited&quot;:false,&quot;manualOverride&quot;:{&quot;isManuallyOverridden&quot;:false,&quot;citeprocText&quot;:&quot;&lt;sup&gt;138&lt;/sup&gt;&quot;,&quot;manualOverrideText&quot;:&quot;&quot;},&quot;citationTag&quot;:&quot;MENDELEY_CITATION_v3_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&quot;,&quot;citationItems&quot;:[{&quot;id&quot;:&quot;3778828a-5f72-38e5-9296-60db84a68d5d&quot;,&quot;itemData&quot;:{&quot;type&quot;:&quot;article-journal&quot;,&quot;id&quot;:&quot;3778828a-5f72-38e5-9296-60db84a68d5d&quot;,&quot;title&quot;:&quot;Semi-supervised learning for peptide identification from shotgun proteomics datasets&quot;,&quot;author&quot;:[{&quot;family&quot;:&quot;Käll&quot;,&quot;given&quot;:&quot;Lukas&quot;,&quot;parse-names&quot;:false,&quot;dropping-particle&quot;:&quot;&quot;,&quot;non-dropping-particle&quot;:&quot;&quot;},{&quot;family&quot;:&quot;Canterbury&quot;,&quot;given&quot;:&quot;Jesse D.&quot;,&quot;parse-names&quot;:false,&quot;dropping-particle&quot;:&quot;&quot;,&quot;non-dropping-particle&quot;:&quot;&quot;},{&quot;family&quot;:&quot;Weston&quot;,&quot;given&quot;:&quot;Jason&quot;,&quot;parse-names&quot;:false,&quot;dropping-particle&quot;:&quot;&quot;,&quot;non-dropping-particle&quot;:&quot;&quot;},{&quot;family&quot;:&quot;Noble&quot;,&quot;given&quot;:&quot;William Stafford&quot;,&quot;parse-names&quot;:false,&quot;dropping-particle&quot;:&quot;&quot;,&quot;non-dropping-particle&quot;:&quot;&quot;},{&quot;family&quot;:&quot;MacCoss&quot;,&quot;given&quot;:&quot;Michael J.&quot;,&quot;parse-names&quot;:false,&quot;dropping-particle&quot;:&quot;&quot;,&quot;non-dropping-particle&quot;:&quot;&quot;}],&quot;container-title&quot;:&quot;Nature Methods&quot;,&quot;DOI&quot;:&quot;10.1038/nmeth1113&quot;,&quot;ISSN&quot;:&quot;15487091&quot;,&quot;PMID&quot;:&quot;17952086&quot;,&quot;issued&quot;:{&quot;date-parts&quot;:[[2007]]},&quot;page&quot;:&quot;923-925&quot;,&quot;abstract&quot;:&quot;Shotgun proteomics uses liquid chromatography-tandem mass spectrometry to identify proteins in complex biological samples. We describe an algorithm, called Percolator, for improving the rate of confident peptide identifications from a collection of tandem mass spectra. Percolator uses semi-supervised machine learning to discriminate between correct and decoy spectrum identifications, correctly assigning peptides to 17% more spectra from a tryptic Saccharomyces cerevisiae dataset, and up to 77% more spectra from non-tryptic digests, relative to a fully supervised approach.&quot;,&quot;issue&quot;:&quot;11&quot;,&quot;volume&quot;:&quot;4&quot;,&quot;container-title-short&quot;:&quot;&quot;},&quot;isTemporary&quot;:false}]},{&quot;citationID&quot;:&quot;MENDELEY_CITATION_ea3e9ddb-9e8e-4540-88f8-3312bf7d284d&quot;,&quot;properties&quot;:{&quot;noteIndex&quot;:0},&quot;isEdited&quot;:false,&quot;manualOverride&quot;:{&quot;isManuallyOverridden&quot;:false,&quot;citeprocText&quot;:&quot;&lt;sup&gt;139&lt;/sup&gt;&quot;,&quot;manualOverrideText&quot;:&quot;&quot;},&quot;citationTag&quot;:&quot;MENDELEY_CITATION_v3_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&quot;,&quot;citationItems&quot;:[{&quot;id&quot;:&quot;4fabceda-f019-3c70-941e-4b802abca195&quot;,&quot;itemData&quot;:{&quot;type&quot;:&quot;article-journal&quot;,&quot;id&quot;:&quot;4fabceda-f019-3c70-941e-4b802abca195&quot;,&quot;title&quot;:&quot;MoFF: A robust and automated approach to extract peptide ion intensities&quot;,&quot;author&quot;:[{&quot;family&quot;:&quot;Argentini&quot;,&quot;given&quot;:&quot;Andrea&quot;,&quot;parse-names&quot;:false,&quot;dropping-particle&quot;:&quot;&quot;,&quot;non-dropping-particle&quot;:&quot;&quot;},{&quot;family&quot;:&quot;Goeminne&quot;,&quot;given&quot;:&quot;Ludger J.E.&quot;,&quot;parse-names&quot;:false,&quot;dropping-particle&quot;:&quot;&quot;,&quot;non-dropping-particle&quot;:&quot;&quot;},{&quot;family&quot;:&quot;Verheggen&quot;,&quot;given&quot;:&quot;Kenneth&quot;,&quot;parse-names&quot;:false,&quot;dropping-particle&quot;:&quot;&quot;,&quot;non-dropping-particle&quot;:&quot;&quot;},{&quot;family&quot;:&quot;Hulstaert&quot;,&quot;given&quot;:&quot;Niels&quot;,&quot;parse-names&quot;:false,&quot;dropping-particle&quot;:&quot;&quot;,&quot;non-dropping-particle&quot;:&quot;&quot;},{&quot;family&quot;:&quot;Staes&quot;,&quot;given&quot;:&quot;An&quot;,&quot;parse-names&quot;:false,&quot;dropping-particle&quot;:&quot;&quot;,&quot;non-dropping-particle&quot;:&quot;&quot;},{&quot;family&quot;:&quot;Clement&quot;,&quot;given&quot;:&quot;Lieven&quot;,&quot;parse-names&quot;:false,&quot;dropping-particle&quot;:&quot;&quot;,&quot;non-dropping-particle&quot;:&quot;&quot;},{&quot;family&quot;:&quot;Martens&quot;,&quot;given&quot;:&quot;Lennart&quot;,&quot;parse-names&quot;:false,&quot;dropping-particle&quot;:&quot;&quot;,&quot;non-dropping-particle&quot;:&quot;&quot;}],&quot;container-title&quot;:&quot;Nature Methods&quot;,&quot;DOI&quot;:&quot;10.1038/nmeth.4075&quot;,&quot;ISSN&quot;:&quot;15487105&quot;,&quot;PMID&quot;:&quot;27898063&quot;,&quot;issued&quot;:{&quot;date-parts&quot;:[[2016]]},&quot;page&quot;:&quot;964-966&quot;,&quot;issue&quot;:&quot;12&quot;,&quot;volume&quot;:&quot;13&quot;,&quot;container-title-short&quot;:&quot;&quot;},&quot;isTemporary&quot;:false}]},{&quot;citationID&quot;:&quot;MENDELEY_CITATION_195b1d3e-d195-4983-948e-315510596b51&quot;,&quot;properties&quot;:{&quot;noteIndex&quot;:0},&quot;isEdited&quot;:false,&quot;manualOverride&quot;:{&quot;isManuallyOverridden&quot;:false,&quot;citeprocText&quot;:&quot;&lt;sup&gt;140&lt;/sup&gt;&quot;,&quot;manualOverrideText&quot;:&quot;&quot;},&quot;citationTag&quot;:&quot;MENDELEY_CITATION_v3_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&quot;,&quot;citationItems&quot;:[{&quot;id&quot;:&quot;2774b47e-c004-335d-a4fe-e512394ea23e&quot;,&quot;itemData&quot;:{&quot;type&quot;:&quot;article-journal&quot;,&quot;id&quot;:&quot;2774b47e-c004-335d-a4fe-e512394ea23e&quot;,&quot;title&quot;:&quot;MyriMatch: Highly accurate tandem mass spectral peptide identification by multivariate hypergeometric analysis&quot;,&quot;author&quot;:[{&quot;family&quot;:&quot;Tabb&quot;,&quot;given&quot;:&quot;David L.&quot;,&quot;parse-names&quot;:false,&quot;dropping-particle&quot;:&quot;&quot;,&quot;non-dropping-particle&quot;:&quot;&quot;},{&quot;family&quot;:&quot;Fernando&quot;,&quot;given&quot;:&quot;Christopher G.&quot;,&quot;parse-names&quot;:false,&quot;dropping-particle&quot;:&quot;&quot;,&quot;non-dropping-particle&quot;:&quot;&quot;},{&quot;family&quot;:&quot;Chambers&quot;,&quot;given&quot;:&quot;Matthew C.&quot;,&quot;parse-names&quot;:false,&quot;dropping-particle&quot;:&quot;&quot;,&quot;non-dropping-particle&quot;:&quot;&quot;}],&quot;container-title&quot;:&quot;Journal of Proteome Research&quot;,&quot;DOI&quot;:&quot;10.1021/pr0604054&quot;,&quot;ISSN&quot;:&quot;15353893&quot;,&quot;PMID&quot;:&quot;17269722&quot;,&quot;issued&quot;:{&quot;date-parts&quot;:[[2007]]},&quot;page&quot;:&quot;654-661&quot;,&quot;abstract&quot;:&quot;Shotgun proteomics experiments are dependent upon database search engines to identify peptides from tandem mass spectra. Many of these algorithms score potential identifications by evaluating the number of fragment ions matched between each peptide sequence and an observed spectrum. These systems, however, generally do not distinguish between matching an intense peak and matching a minor peak. We have developed a statistical model to score peptide matches that is based upon the multivariate hypergeometric distribution. This scorer, part of the \&quot;MyriMatch\&quot; database search engine, places greater emphasis on matching intense peaks. The probability that the best match for each spectrum has occurred by random chance can be employed to separate correct matches from random ones. We evaluated this software on data sets from three different laboratories employing three different ion trap instruments. Employing a novel system for testing discrimination, we demonstrate that stratifying peaks into multiple intensity classes improves the discrimination of scoring. We compare MyriMatch results to those of Sequest and X!Tandem, revealing that it is capable of higher discrimination than either of these algorithms. When minimal peak filtering is employed, performance plummets for a scoring model that does not stratify matched peaks by intensity. On the other hand, we find that MyriMatch discrimination improves as more peaks are retained in each spectrum. MyriMatch also scales well to tandem mass spectra from high-resolution mass analyzers. These findings may indicate limitations for existing database search scorers that count matched peaks without differentiating them by intensity. This software and source code is available under Mozilla Public License at this URL: http:// www.mc.vanderbilt.edu/msrc/bioinformatics/. © 2007 American Chemical Society.&quot;,&quot;issue&quot;:&quot;2&quot;,&quot;volume&quot;:&quot;6&quot;,&quot;container-title-short&quot;:&quot;&quot;},&quot;isTemporary&quot;:false}]},{&quot;citationID&quot;:&quot;MENDELEY_CITATION_eae43b2d-4823-4f14-bac5-3954bc85b345&quot;,&quot;properties&quot;:{&quot;noteIndex&quot;:0},&quot;isEdited&quot;:false,&quot;manualOverride&quot;:{&quot;isManuallyOverridden&quot;:false,&quot;citeprocText&quot;:&quot;&lt;sup&gt;141&lt;/sup&gt;&quot;,&quot;manualOverrideText&quot;:&quot;&quot;},&quot;citationTag&quot;:&quot;MENDELEY_CITATION_v3_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&quot;,&quot;citationItems&quot;:[{&quot;id&quot;:&quot;19391477-0db6-3c6a-ba78-da954df8982f&quot;,&quot;itemData&quot;:{&quot;type&quot;:&quot;article-journal&quot;,&quot;id&quot;:&quot;19391477-0db6-3c6a-ba78-da954df8982f&quot;,&quot;title&quot;:&quot;IDPicker 2.0: Improved protein assembly with high discrimination peptide identification filtering&quot;,&quot;author&quot;:[{&quot;family&quot;:&quot;Ma&quot;,&quot;given&quot;:&quot;Ze Qiang&quot;,&quot;parse-names&quot;:false,&quot;dropping-particle&quot;:&quot;&quot;,&quot;non-dropping-particle&quot;:&quot;&quot;},{&quot;family&quot;:&quot;Dasari&quot;,&quot;given&quot;:&quot;Surendra&quot;,&quot;parse-names&quot;:false,&quot;dropping-particle&quot;:&quot;&quot;,&quot;non-dropping-particle&quot;:&quot;&quot;},{&quot;family&quot;:&quot;Chambers&quot;,&quot;given&quot;:&quot;Matthew C.&quot;,&quot;parse-names&quot;:false,&quot;dropping-particle&quot;:&quot;&quot;,&quot;non-dropping-particle&quot;:&quot;&quot;},{&quot;family&quot;:&quot;Litton&quot;,&quot;given&quot;:&quot;Michael D.&quot;,&quot;parse-names&quot;:false,&quot;dropping-particle&quot;:&quot;&quot;,&quot;non-dropping-particle&quot;:&quot;&quot;},{&quot;family&quot;:&quot;Sobecki&quot;,&quot;given&quot;:&quot;Scott M.&quot;,&quot;parse-names&quot;:false,&quot;dropping-particle&quot;:&quot;&quot;,&quot;non-dropping-particle&quot;:&quot;&quot;},{&quot;family&quot;:&quot;Zimmerman&quot;,&quot;given&quot;:&quot;Lisa J.&quot;,&quot;parse-names&quot;:false,&quot;dropping-particle&quot;:&quot;&quot;,&quot;non-dropping-particle&quot;:&quot;&quot;},{&quot;family&quot;:&quot;Halvey&quot;,&quot;given&quot;:&quot;Patrick J.&quot;,&quot;parse-names&quot;:false,&quot;dropping-particle&quot;:&quot;&quot;,&quot;non-dropping-particle&quot;:&quot;&quot;},{&quot;family&quot;:&quot;Schilling&quot;,&quot;given&quot;:&quot;Birgit&quot;,&quot;parse-names&quot;:false,&quot;dropping-particle&quot;:&quot;&quot;,&quot;non-dropping-particle&quot;:&quot;&quot;},{&quot;family&quot;:&quot;Drake&quot;,&quot;given&quot;:&quot;Penelope M.&quot;,&quot;parse-names&quot;:false,&quot;dropping-particle&quot;:&quot;&quot;,&quot;non-dropping-particle&quot;:&quot;&quot;},{&quot;family&quot;:&quot;Gibson&quot;,&quot;given&quot;:&quot;Bradford W.&quot;,&quot;parse-names&quot;:false,&quot;dropping-particle&quot;:&quot;&quot;,&quot;non-dropping-particle&quot;:&quot;&quot;},{&quot;family&quot;:&quot;Tabb&quot;,&quot;given&quot;:&quot;David L.&quot;,&quot;parse-names&quot;:false,&quot;dropping-particle&quot;:&quot;&quot;,&quot;non-dropping-particle&quot;:&quot;&quot;}],&quot;container-title&quot;:&quot;Journal of Proteome Research&quot;,&quot;DOI&quot;:&quot;10.1021/pr900360j&quot;,&quot;ISSN&quot;:&quot;15353893&quot;,&quot;PMID&quot;:&quot;19522537&quot;,&quot;issued&quot;:{&quot;date-parts&quot;:[[2009]]},&quot;page&quot;:&quot;3872-3881&quot;,&quot;abstract&quot;:&quot;Tandem mass spectrometry-based shotgun proteomics has become a widespread technology for analyzing complex protein mixtures. A number of database searching algorithms have been developed to assign peptide sequences to tandem mass spectra. Assembling the peptide identifications to proteins, however, is a challenging issue because many peptides are shared among multiple proteins. IDPicker is an open-source protein assembly tool that derives a minimum protein list from peptide identifications filtered to a specified False Discovery Rate. Here, we update IDPicker to increase confident peptide identifications by combining multiple scores produced by database search tools. By segregating peptide identifications for thresholding using both the precursor charge state and the number of tryptic termini, IDPicker retrieves more peptides for protein assembly. The new version is more robust against false positive proteins, especially in searches using multispecies databases, by requiring additional novel peptides in the parsimony process. IDPicker has been designed for incorporation in many identification workflows by the addition of a graphical user interface and the ability to read identifications from the pepXML format. These advances position IDPicker for high peptide discrimination and reliable protein assembly in large-scale proteomics studies. The source code and binaries for the latest version of IDPicker are available from http://fenchurch.mc. vanderbilt.edu/. © 2009 American Chemical Society.&quot;,&quot;issue&quot;:&quot;8&quot;,&quot;volume&quot;:&quot;8&quot;,&quot;container-title-short&quot;:&quot;&quot;},&quot;isTemporary&quot;:false}]},{&quot;citationID&quot;:&quot;MENDELEY_CITATION_06a700a0-de38-4ec7-a95b-4602abec8c2e&quot;,&quot;properties&quot;:{&quot;noteIndex&quot;:0},&quot;isEdited&quot;:false,&quot;manualOverride&quot;:{&quot;isManuallyOverridden&quot;:false,&quot;citeprocText&quot;:&quot;&lt;sup&gt;142&lt;/sup&gt;&quot;,&quot;manualOverrideText&quot;:&quot;&quot;},&quot;citationTag&quot;:&quot;MENDELEY_CITATION_v3_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&quot;,&quot;citationItems&quot;:[{&quot;id&quot;:&quot;a1a9e9e7-babe-3071-80c2-742501ac9e2a&quot;,&quot;itemData&quot;:{&quot;type&quot;:&quot;article-journal&quot;,&quot;id&quot;:&quot;a1a9e9e7-babe-3071-80c2-742501ac9e2a&quot;,&quot;title&quot;:&quot;CharmeRT: Boosting Peptide Identifications by Chimeric Spectra Identification and Retention Time Prediction&quot;,&quot;author&quot;:[{&quot;family&quot;:&quot;Dorfer&quot;,&quot;given&quot;:&quot;Viktoria&quot;,&quot;parse-names&quot;:false,&quot;dropping-particle&quot;:&quot;&quot;,&quot;non-dropping-particle&quot;:&quot;&quot;},{&quot;family&quot;:&quot;Maltsev&quot;,&quot;given&quot;:&quot;Sergey&quot;,&quot;parse-names&quot;:false,&quot;dropping-particle&quot;:&quot;&quot;,&quot;non-dropping-particle&quot;:&quot;&quot;},{&quot;family&quot;:&quot;Winkler&quot;,&quot;given&quot;:&quot;Stephan&quot;,&quot;parse-names&quot;:false,&quot;dropping-particle&quot;:&quot;&quot;,&quot;non-dropping-particle&quot;:&quot;&quot;},{&quot;family&quot;:&quot;Mechtler&quot;,&quot;given&quot;:&quot;Karl&quot;,&quot;parse-names&quot;:false,&quot;dropping-particle&quot;:&quot;&quot;,&quot;non-dropping-particle&quot;:&quot;&quot;}],&quot;container-title&quot;:&quot;Journal of Proteome Research&quot;,&quot;DOI&quot;:&quot;10.1021/acs.jproteome.7b00836&quot;,&quot;ISSN&quot;:&quot;15353907&quot;,&quot;issued&quot;:{&quot;date-parts&quot;:[[2018]]},&quot;page&quot;:&quot;2581-2589&quot;,&quot;abstract&quot;:&quot;Coeluting peptides are still a major challenge for the identification and validation of MS/MS spectra, but carry great potential. To tackle these problems, we have developed the here presented CharmeRT workflow, combining a chimeric spectra identification strategy implemented as part of the MS Amanda algorithm with the validation system Elutator, which incorporates a highly accurate retention time prediction algorithm. For high-resolution data sets this workflow identifies 38-64% chimeric spectra, which results in up to 63% more unique peptides compared to a conventional single search strategy.&quot;,&quot;issue&quot;:&quot;8&quot;,&quot;volume&quot;:&quot;17&quot;,&quot;container-title-short&quot;:&quot;&quot;},&quot;isTemporary&quot;:false}]},{&quot;citationID&quot;:&quot;MENDELEY_CITATION_ee89509f-276a-4423-85b6-aae51f0e5a31&quot;,&quot;properties&quot;:{&quot;noteIndex&quot;:0},&quot;isEdited&quot;:false,&quot;manualOverride&quot;:{&quot;isManuallyOverridden&quot;:false,&quot;citeprocText&quot;:&quot;&lt;sup&gt;143&lt;/sup&gt;&quot;,&quot;manualOverrideText&quot;:&quot;&quot;},&quot;citationTag&quot;:&quot;MENDELEY_CITATION_v3_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&quot;,&quot;citationItems&quot;:[{&quot;id&quot;:&quot;5fd801fc-767b-3505-8872-0fd1674c0059&quot;,&quot;itemData&quot;:{&quot;type&quot;:&quot;article-journal&quot;,&quot;id&quot;:&quot;5fd801fc-767b-3505-8872-0fd1674c0059&quot;,&quot;title&quot;:&quot;Quantifying the impact of chimera MS/MS spectra on peptide identification in large-scale proteomics studies&quot;,&quot;author&quot;:[{&quot;family&quot;:&quot;Houel&quot;,&quot;given&quot;:&quot;Stephane&quot;,&quot;parse-names&quot;:false,&quot;dropping-particle&quot;:&quot;&quot;,&quot;non-dropping-particle&quot;:&quot;&quot;},{&quot;family&quot;:&quot;Abernathy&quot;,&quot;given&quot;:&quot;Robert&quot;,&quot;parse-names&quot;:false,&quot;dropping-particle&quot;:&quot;&quot;,&quot;non-dropping-particle&quot;:&quot;&quot;},{&quot;family&quot;:&quot;Renganathan&quot;,&quot;given&quot;:&quot;Kutralanathan&quot;,&quot;parse-names&quot;:false,&quot;dropping-particle&quot;:&quot;&quot;,&quot;non-dropping-particle&quot;:&quot;&quot;},{&quot;family&quot;:&quot;Meyer-Arendt&quot;,&quot;given&quot;:&quot;Karen&quot;,&quot;parse-names&quot;:false,&quot;dropping-particle&quot;:&quot;&quot;,&quot;non-dropping-particle&quot;:&quot;&quot;},{&quot;family&quot;:&quot;Ahn&quot;,&quot;given&quot;:&quot;Natalie G.&quot;,&quot;parse-names&quot;:false,&quot;dropping-particle&quot;:&quot;&quot;,&quot;non-dropping-particle&quot;:&quot;&quot;},{&quot;family&quot;:&quot;Old&quot;,&quot;given&quot;:&quot;William M.&quot;,&quot;parse-names&quot;:false,&quot;dropping-particle&quot;:&quot;&quot;,&quot;non-dropping-particle&quot;:&quot;&quot;}],&quot;container-title&quot;:&quot;Journal of Proteome Research&quot;,&quot;DOI&quot;:&quot;10.1021/pr1003856&quot;,&quot;ISSN&quot;:&quot;15353893&quot;,&quot;PMID&quot;:&quot;20578722&quot;,&quot;issued&quot;:{&quot;date-parts&quot;:[[2010]]},&quot;page&quot;:&quot;4152-4160&quot;,&quot;abstract&quot;:&quot;A complicating factor for protein identification within complex mixtures by LC/MS/MS is the problem of chimera spectra, where two or more precursor ions with similar mass and retention time are co-sequenced by MS/MS. Chimera spectra show reduced scores due to unidentifiable fragment ions derived from contaminating parents. However, the extent of chimeras in LC/MS/MS data sets and their impact on protein identification workflows are incompletely understood. We report ChimeraCounter, a software program which detects chimeras in data sets collected on an Orbitrap/LTQ instrument. Evaluation of synthetic chimeras created from pairs of well-defined peptide MS/MS spectra reveal that chimeras reduce database search scores most significantly when contaminating fragment ion intensities exceed 20https://pubs.acs.org/doi/abs/10.1021/pr100144z% of the targeted fragment ion intensities. In large-scale data sets, the identification rate for chimera MS/MS is 2-fold lower compared to nonchimera spectra. Importantly, this occurs in a manner which depends not on absolute precursor ion intensity, but on intensity relative to the median precursor intensity distribution. We further show that chimeras reduce the number of accepted peptide identifications by increasing false negatives while showing little increase in false positives. The results provide a framework for identifying chimeras and characterizing their contribution to the poorly understood false negative class of MS/MS. © 2010 American Chemical Society.&quot;,&quot;issue&quot;:&quot;8&quot;,&quot;volume&quot;:&quot;9&quot;,&quot;container-title-short&quot;:&quot;&quot;},&quot;isTemporary&quot;:false}]},{&quot;citationID&quot;:&quot;MENDELEY_CITATION_4ef020fe-4a03-4efe-8765-fa853ab4d55e&quot;,&quot;properties&quot;:{&quot;noteIndex&quot;:0},&quot;isEdited&quot;:false,&quot;manualOverride&quot;:{&quot;isManuallyOverridden&quot;:false,&quot;citeprocText&quot;:&quot;&lt;sup&gt;63,143,144&lt;/sup&gt;&quot;,&quot;manualOverrideText&quot;:&quot;&quot;},&quot;citationTag&quot;:&quot;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&quot;,&quot;citationItems&quot;:[{&quot;id&quot;:&quot;5c5f1441-b1db-3025-9ef3-4f493121b302&quot;,&quot;itemData&quot;:{&quot;type&quot;:&quot;article-journal&quot;,&quot;id&quot;:&quot;5c5f1441-b1db-3025-9ef3-4f493121b302&quot;,&quot;title&quot;:&quot;More than 100,000 detectable peptide species elute in single shotgun proteomics runs but the majority is inaccessible to data-dependent LC-MS/MS&quot;,&quot;author&quot;:[{&quot;family&quot;:&quot;Michalski&quot;,&quot;given&quot;:&quot;Annette&quot;,&quot;parse-names&quot;:false,&quot;dropping-particle&quot;:&quot;&quot;,&quot;non-dropping-particle&quot;:&quot;&quot;},{&quot;family&quot;:&quot;Cox&quot;,&quot;given&quot;:&quot;Juergen&quot;,&quot;parse-names&quot;:false,&quot;dropping-particle&quot;:&quot;&quot;,&quot;non-dropping-particle&quot;:&quot;&quot;},{&quot;family&quot;:&quot;Mann&quot;,&quot;given&quot;:&quot;Matthias&quot;,&quot;parse-names&quot;:false,&quot;dropping-particle&quot;:&quot;&quot;,&quot;non-dropping-particle&quot;:&quot;&quot;}],&quot;container-title&quot;:&quot;Journal of Proteome Research&quot;,&quot;DOI&quot;:&quot;10.1021/pr101060v&quot;,&quot;ISSN&quot;:&quot;15353893&quot;,&quot;PMID&quot;:&quot;21309581&quot;,&quot;issued&quot;:{&quot;date-parts&quot;:[[2011]]},&quot;page&quot;:&quot;1785-1793&quot;,&quot;abstract&quot;:&quot;Shotgun proteomics entails the identification of as many peptides as possible from complex mixtures. Here we investigate how many peptides are detectable by high resolution MS in standard LC runs of cell lysate and how many of them are accessible to data-dependent MS/MS. Isotope clusters were determined by MaxQuant and stringently filtered for charge states and retention times typical of peptides. This resulted in more than 100 000 likely peptide features, of which only about 16% had been targeted for MS/MS. Three instrumental attributes determine the proportion of additional peptides that can be identified: sequencing speed, sensitivity, and precursor ion isolation. In our data, an MS/MS scan rate of 25/s would be necessary to target all peptide features, but this drops to less than 17/s for reasonably abundant peptides. Sensitivity is a greater challenge, with many peptide features requiring long MS/MS injection times (&gt;250 ms). The greatest limitation, however, is the generally low proportion of the target peptide ion intensity in the MS/MS selection window (the \&quot;precursor ion fraction\&quot; or PIF). Median PIF is only 0.14, making the peptides difficult to identify by standard MS/MS methods. Our results aid in developing strategies to further increase coverage in shotgun proteomics. © 2011 American Chemical Society.&quot;,&quot;issue&quot;:&quot;4&quot;,&quot;volume&quot;:&quot;10&quot;,&quot;container-title-short&quot;:&quot;&quot;},&quot;isTemporary&quot;:false},{&quot;id&quot;:&quot;5fd801fc-767b-3505-8872-0fd1674c0059&quot;,&quot;itemData&quot;:{&quot;type&quot;:&quot;article-journal&quot;,&quot;id&quot;:&quot;5fd801fc-767b-3505-8872-0fd1674c0059&quot;,&quot;title&quot;:&quot;Quantifying the impact of chimera MS/MS spectra on peptide identification in large-scale proteomics studies&quot;,&quot;author&quot;:[{&quot;family&quot;:&quot;Houel&quot;,&quot;given&quot;:&quot;Stephane&quot;,&quot;parse-names&quot;:false,&quot;dropping-particle&quot;:&quot;&quot;,&quot;non-dropping-particle&quot;:&quot;&quot;},{&quot;family&quot;:&quot;Abernathy&quot;,&quot;given&quot;:&quot;Robert&quot;,&quot;parse-names&quot;:false,&quot;dropping-particle&quot;:&quot;&quot;,&quot;non-dropping-particle&quot;:&quot;&quot;},{&quot;family&quot;:&quot;Renganathan&quot;,&quot;given&quot;:&quot;Kutralanathan&quot;,&quot;parse-names&quot;:false,&quot;dropping-particle&quot;:&quot;&quot;,&quot;non-dropping-particle&quot;:&quot;&quot;},{&quot;family&quot;:&quot;Meyer-Arendt&quot;,&quot;given&quot;:&quot;Karen&quot;,&quot;parse-names&quot;:false,&quot;dropping-particle&quot;:&quot;&quot;,&quot;non-dropping-particle&quot;:&quot;&quot;},{&quot;family&quot;:&quot;Ahn&quot;,&quot;given&quot;:&quot;Natalie G.&quot;,&quot;parse-names&quot;:false,&quot;dropping-particle&quot;:&quot;&quot;,&quot;non-dropping-particle&quot;:&quot;&quot;},{&quot;family&quot;:&quot;Old&quot;,&quot;given&quot;:&quot;William M.&quot;,&quot;parse-names&quot;:false,&quot;dropping-particle&quot;:&quot;&quot;,&quot;non-dropping-particle&quot;:&quot;&quot;}],&quot;container-title&quot;:&quot;Journal of Proteome Research&quot;,&quot;DOI&quot;:&quot;10.1021/pr1003856&quot;,&quot;ISSN&quot;:&quot;15353893&quot;,&quot;PMID&quot;:&quot;20578722&quot;,&quot;issued&quot;:{&quot;date-parts&quot;:[[2010]]},&quot;page&quot;:&quot;4152-4160&quot;,&quot;abstract&quot;:&quot;A complicating factor for protein identification within complex mixtures by LC/MS/MS is the problem of chimera spectra, where two or more precursor ions with similar mass and retention time are co-sequenced by MS/MS. Chimera spectra show reduced scores due to unidentifiable fragment ions derived from contaminating parents. However, the extent of chimeras in LC/MS/MS data sets and their impact on protein identification workflows are incompletely understood. We report ChimeraCounter, a software program which detects chimeras in data sets collected on an Orbitrap/LTQ instrument. Evaluation of synthetic chimeras created from pairs of well-defined peptide MS/MS spectra reveal that chimeras reduce database search scores most significantly when contaminating fragment ion intensities exceed 20https://pubs.acs.org/doi/abs/10.1021/pr100144z% of the targeted fragment ion intensities. In large-scale data sets, the identification rate for chimera MS/MS is 2-fold lower compared to nonchimera spectra. Importantly, this occurs in a manner which depends not on absolute precursor ion intensity, but on intensity relative to the median precursor intensity distribution. We further show that chimeras reduce the number of accepted peptide identifications by increasing false negatives while showing little increase in false positives. The results provide a framework for identifying chimeras and characterizing their contribution to the poorly understood false negative class of MS/MS. © 2010 American Chemical Society.&quot;,&quot;issue&quot;:&quot;8&quot;,&quot;volume&quot;:&quot;9&quot;,&quot;container-title-short&quot;:&quot;&quot;},&quot;isTemporary&quot;:false},{&quot;id&quot;:&quot;d9431e12-968b-3638-a6b6-990841732431&quot;,&quot;itemData&quot;:{&quot;type&quot;:&quot;article-journal&quot;,&quot;id&quot;:&quot;d9431e12-968b-3638-a6b6-990841732431&quot;,&quot;title&quot;:&quot;Exploiting the Dynamic Relationship between Peptide Separation Quality and Peptide Coisolation in a Multiple-Peptide Matches-per-Spectrum Approach Offers a Strategy to Optimize Bottom-Up Proteomics Throughput and Depth&quot;,&quot;author&quot;:[{&quot;family&quot;:&quot;Villalobos Solis&quot;,&quot;given&quot;:&quot;Manuel I.&quot;,&quot;parse-names&quot;:false,&quot;dropping-particle&quot;:&quot;&quot;,&quot;non-dropping-particle&quot;:&quot;&quot;},{&quot;family&quot;:&quot;Giannone&quot;,&quot;given&quot;:&quot;Richard J.&quot;,&quot;parse-names&quot;:false,&quot;dropping-particle&quot;:&quot;&quot;,&quot;non-dropping-particle&quot;:&quot;&quot;},{&quot;family&quot;:&quot;Hettich&quot;,&quot;given&quot;:&quot;Robert L.&quot;,&quot;parse-names&quot;:false,&quot;dropping-particle&quot;:&quot;&quot;,&quot;non-dropping-particle&quot;:&quot;&quot;},{&quot;family&quot;:&quot;Abraham&quot;,&quot;given&quot;:&quot;Paul E.&quot;,&quot;parse-names&quot;:false,&quot;dropping-particle&quot;:&quot;&quot;,&quot;non-dropping-particle&quot;:&quot;&quot;}],&quot;container-title&quot;:&quot;Analytical Chemistry&quot;,&quot;DOI&quot;:&quot;10.1021/acs.analchem.9b00819&quot;,&quot;ISSN&quot;:&quot;15206882&quot;,&quot;issued&quot;:{&quot;date-parts&quot;:[[2019]]},&quot;page&quot;:&quot;7273-7279&quot;,&quot;abstract&quot;:&quot;Peptide cofragmentation leads to chimeric MS/MS spectra that negatively impact traditional single-peptide match-per-spectrum (sPSM) search strategies in proteomics. The collection of chimeric spectra is influenced by peptide coelution and the width of precursor isolation windows. Although peptide cofragmentation can be reduced by advanced chromatography, such as UHPLC and 2D-HPLC separation schemes, and narrower isolation windows, chimeric spectra can still be as high as 30-50% of the total MS/MS spectra collected. Alternatively, cofragmented peptides in chimeric spectra and the use of wider isolation windows benefit multiple-peptide matches-per-spectrum (mPSM) algorithms, such as CharmeRT, which facilitate the identification of several cofragmented peptides. Considering recent advancements in LC and mPSM methodologies, we present a comprehensive examination of the levels of chimeric spectra collected in the analysis of a HeLa digest measured using different LC modes of separation and isolation windows and compare the depth of identifications obtained when these data are annotated using a sPSM or a mPSM approach. Our results demonstrate that MS/MS data derived from 1D-HPLC strategies under different gradient schemes and searched with CharmeRT yielded higher average numbers of PSMs (11%-49%), peptide analytes (10%-16%), and peptide sequences (3%-10%) compared to data derived from 1D-UHPLC runs but searched with a sPSM strategy. Interestingly, data from a 2D-HPLC separation strategy benefits more from the application of CharmeRT results when compared to a 50 cm 1D-UHPLC column employing a 500 min gradient. Overall, these results provide new insights into how to better configure LC-MS/MS measurements for improved throughput and peptide identification in complex proteomes.&quot;,&quot;genre&quot;:&quot;research-article&quot;,&quot;publisher&quot;:&quot;American Chemical Society&quot;,&quot;issue&quot;:&quot;11&quot;,&quot;volume&quot;:&quot;91&quot;,&quot;container-title-short&quot;:&quot;&quot;},&quot;isTemporary&quot;:false}]},{&quot;citationID&quot;:&quot;MENDELEY_CITATION_21186400-43d5-4b0f-8fe2-8c571da767c8&quot;,&quot;properties&quot;:{&quot;noteIndex&quot;:0},&quot;isEdited&quot;:false,&quot;manualOverride&quot;:{&quot;isManuallyOverridden&quot;:false,&quot;citeprocText&quot;:&quot;&lt;sup&gt;144&lt;/sup&gt;&quot;,&quot;manualOverrideText&quot;:&quot;&quot;},&quot;citationTag&quot;:&quot;MENDELEY_CITATION_v3_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&quot;,&quot;citationItems&quot;:[{&quot;id&quot;:&quot;5c5f1441-b1db-3025-9ef3-4f493121b302&quot;,&quot;itemData&quot;:{&quot;type&quot;:&quot;article-journal&quot;,&quot;id&quot;:&quot;5c5f1441-b1db-3025-9ef3-4f493121b302&quot;,&quot;title&quot;:&quot;More than 100,000 detectable peptide species elute in single shotgun proteomics runs but the majority is inaccessible to data-dependent LC-MS/MS&quot;,&quot;author&quot;:[{&quot;family&quot;:&quot;Michalski&quot;,&quot;given&quot;:&quot;Annette&quot;,&quot;parse-names&quot;:false,&quot;dropping-particle&quot;:&quot;&quot;,&quot;non-dropping-particle&quot;:&quot;&quot;},{&quot;family&quot;:&quot;Cox&quot;,&quot;given&quot;:&quot;Juergen&quot;,&quot;parse-names&quot;:false,&quot;dropping-particle&quot;:&quot;&quot;,&quot;non-dropping-particle&quot;:&quot;&quot;},{&quot;family&quot;:&quot;Mann&quot;,&quot;given&quot;:&quot;Matthias&quot;,&quot;parse-names&quot;:false,&quot;dropping-particle&quot;:&quot;&quot;,&quot;non-dropping-particle&quot;:&quot;&quot;}],&quot;container-title&quot;:&quot;Journal of Proteome Research&quot;,&quot;DOI&quot;:&quot;10.1021/pr101060v&quot;,&quot;ISSN&quot;:&quot;15353893&quot;,&quot;PMID&quot;:&quot;21309581&quot;,&quot;issued&quot;:{&quot;date-parts&quot;:[[2011]]},&quot;page&quot;:&quot;1785-1793&quot;,&quot;abstract&quot;:&quot;Shotgun proteomics entails the identification of as many peptides as possible from complex mixtures. Here we investigate how many peptides are detectable by high resolution MS in standard LC runs of cell lysate and how many of them are accessible to data-dependent MS/MS. Isotope clusters were determined by MaxQuant and stringently filtered for charge states and retention times typical of peptides. This resulted in more than 100 000 likely peptide features, of which only about 16% had been targeted for MS/MS. Three instrumental attributes determine the proportion of additional peptides that can be identified: sequencing speed, sensitivity, and precursor ion isolation. In our data, an MS/MS scan rate of 25/s would be necessary to target all peptide features, but this drops to less than 17/s for reasonably abundant peptides. Sensitivity is a greater challenge, with many peptide features requiring long MS/MS injection times (&gt;250 ms). The greatest limitation, however, is the generally low proportion of the target peptide ion intensity in the MS/MS selection window (the \&quot;precursor ion fraction\&quot; or PIF). Median PIF is only 0.14, making the peptides difficult to identify by standard MS/MS methods. Our results aid in developing strategies to further increase coverage in shotgun proteomics. © 2011 American Chemical Society.&quot;,&quot;issue&quot;:&quot;4&quot;,&quot;volume&quot;:&quot;10&quot;,&quot;container-title-short&quot;:&quot;&quot;},&quot;isTemporary&quot;:false}]},{&quot;citationID&quot;:&quot;MENDELEY_CITATION_9b0fb5d7-e5b7-49df-91b1-8482f48d96a9&quot;,&quot;properties&quot;:{&quot;noteIndex&quot;:0},&quot;isEdited&quot;:false,&quot;manualOverride&quot;:{&quot;isManuallyOverridden&quot;:false,&quot;citeprocText&quot;:&quot;&lt;sup&gt;145&lt;/sup&gt;&quot;,&quot;manualOverrideText&quot;:&quot;&quot;},&quot;citationTag&quot;:&quot;MENDELEY_CITATION_v3_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&quot;,&quot;citationItems&quot;:[{&quot;id&quot;:&quot;f25284e0-d89a-39a5-8256-38ae1767855c&quot;,&quot;itemData&quot;:{&quot;type&quot;:&quot;article-journal&quot;,&quot;id&quot;:&quot;f25284e0-d89a-39a5-8256-38ae1767855c&quot;,&quot;title&quot;:&quot;MixGF: Spectral probabilities for mixture spectra from more than one peptide&quot;,&quot;author&quot;:[{&quot;family&quot;:&quot;Wang&quot;,&quot;given&quot;:&quot;Jian&quot;,&quot;parse-names&quot;:false,&quot;dropping-particle&quot;:&quot;&quot;,&quot;non-dropping-particle&quot;:&quot;&quot;},{&quot;family&quot;:&quot;Bourne&quot;,&quot;given&quot;:&quot;Philip E.&quot;,&quot;parse-names&quot;:false,&quot;dropping-particle&quot;:&quot;&quot;,&quot;non-dropping-particle&quot;:&quot;&quot;},{&quot;family&quot;:&quot;Bandeira&quot;,&quot;given&quot;:&quot;Nuno&quot;,&quot;parse-names&quot;:false,&quot;dropping-particle&quot;:&quot;&quot;,&quot;non-dropping-particle&quot;:&quot;&quot;}],&quot;container-title&quot;:&quot;Molecular and Cellular Proteomics&quot;,&quot;DOI&quot;:&quot;10.1074/mcp.O113.037218&quot;,&quot;ISSN&quot;:&quot;15359484&quot;,&quot;PMID&quot;:&quot;25225354&quot;,&quot;issued&quot;:{&quot;date-parts&quot;:[[2014]]},&quot;page&quot;:&quot;3688-3697&quot;,&quot;abstract&quot;:&quot;In large-scale proteomic experiments, multiple peptide precursors are often cofragmented simultaneously in the same mixture tandem mass (MS/MS) spectrum. These spectra tend to elude current computational tools because of the ubiquitous assumption that each spectrum is generated from only one peptide. Therefore, tools that consider multiple peptide matches to each MS/MS spectrum can potentially improve the relatively low spectrum identification rate often observed in proteomics experiments. More importantly, data independent acquisition protocols promoting the cofragmentation of multiple precursors are emerging as alternative methods that can greatly improve the throughput of peptide identifications but their success also depends on the availability of algorithms to identify multiple peptides from each MS/MS spectrum. Here we address a fundamental question in the identification of mixture MS/MS spectra: determining the statistical significance of multiple peptides matched to a given MS/MS spectrum. We propose the MixGF generating function model to rigorously compute the statistical significance of peptide identifications for mixture spectra and show that this approach improves the sensitivity of current mixture spectra database search tools by a ≈30-390%. Analysis of multiple data sets with MixGF reveals that in complex biological samples the number of identified mixture spectra can be as high as 20% of all the identified spectra and the number of unique peptides identified only in mixture spectra can be up to 35.4% of those identified in single-peptide spectra.&quot;,&quot;publisher&quot;:&quot;Â© 2014 ASBMB. Currently published by Elsevier Inc; originally published by American Society for Biochemistry and Molecular Biology.&quot;,&quot;issue&quot;:&quot;12&quot;,&quot;volume&quot;:&quot;13&quot;,&quot;container-title-short&quot;:&quot;&quot;},&quot;isTemporary&quot;:false}]},{&quot;citationID&quot;:&quot;MENDELEY_CITATION_4a11569d-157b-47f3-88d8-f51fe7d709d2&quot;,&quot;properties&quot;:{&quot;noteIndex&quot;:0},&quot;isEdited&quot;:false,&quot;manualOverride&quot;:{&quot;isManuallyOverridden&quot;:false,&quot;citeprocText&quot;:&quot;&lt;sup&gt;142&lt;/sup&gt;&quot;,&quot;manualOverrideText&quot;:&quot;&quot;},&quot;citationTag&quot;:&quot;MENDELEY_CITATION_v3_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&quot;,&quot;citationItems&quot;:[{&quot;id&quot;:&quot;a1a9e9e7-babe-3071-80c2-742501ac9e2a&quot;,&quot;itemData&quot;:{&quot;type&quot;:&quot;article-journal&quot;,&quot;id&quot;:&quot;a1a9e9e7-babe-3071-80c2-742501ac9e2a&quot;,&quot;title&quot;:&quot;CharmeRT: Boosting Peptide Identifications by Chimeric Spectra Identification and Retention Time Prediction&quot;,&quot;author&quot;:[{&quot;family&quot;:&quot;Dorfer&quot;,&quot;given&quot;:&quot;Viktoria&quot;,&quot;parse-names&quot;:false,&quot;dropping-particle&quot;:&quot;&quot;,&quot;non-dropping-particle&quot;:&quot;&quot;},{&quot;family&quot;:&quot;Maltsev&quot;,&quot;given&quot;:&quot;Sergey&quot;,&quot;parse-names&quot;:false,&quot;dropping-particle&quot;:&quot;&quot;,&quot;non-dropping-particle&quot;:&quot;&quot;},{&quot;family&quot;:&quot;Winkler&quot;,&quot;given&quot;:&quot;Stephan&quot;,&quot;parse-names&quot;:false,&quot;dropping-particle&quot;:&quot;&quot;,&quot;non-dropping-particle&quot;:&quot;&quot;},{&quot;family&quot;:&quot;Mechtler&quot;,&quot;given&quot;:&quot;Karl&quot;,&quot;parse-names&quot;:false,&quot;dropping-particle&quot;:&quot;&quot;,&quot;non-dropping-particle&quot;:&quot;&quot;}],&quot;container-title&quot;:&quot;Journal of Proteome Research&quot;,&quot;DOI&quot;:&quot;10.1021/acs.jproteome.7b00836&quot;,&quot;ISSN&quot;:&quot;15353907&quot;,&quot;issued&quot;:{&quot;date-parts&quot;:[[2018]]},&quot;page&quot;:&quot;2581-2589&quot;,&quot;abstract&quot;:&quot;Coeluting peptides are still a major challenge for the identification and validation of MS/MS spectra, but carry great potential. To tackle these problems, we have developed the here presented CharmeRT workflow, combining a chimeric spectra identification strategy implemented as part of the MS Amanda algorithm with the validation system Elutator, which incorporates a highly accurate retention time prediction algorithm. For high-resolution data sets this workflow identifies 38-64% chimeric spectra, which results in up to 63% more unique peptides compared to a conventional single search strategy.&quot;,&quot;issue&quot;:&quot;8&quot;,&quot;volume&quot;:&quot;17&quot;,&quot;container-title-short&quot;:&quot;&quot;},&quot;isTemporary&quot;:false}]},{&quot;citationID&quot;:&quot;MENDELEY_CITATION_45b4ec79-1264-4f77-8291-8d623fc2d6e1&quot;,&quot;properties&quot;:{&quot;noteIndex&quot;:0},&quot;isEdited&quot;:false,&quot;manualOverride&quot;:{&quot;isManuallyOverridden&quot;:false,&quot;citeprocText&quot;:&quot;&lt;sup&gt;146&lt;/sup&gt;&quot;,&quot;manualOverrideText&quot;:&quot;&quot;},&quot;citationTag&quot;:&quot;MENDELEY_CITATION_v3_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&quot;,&quot;citationItems&quot;:[{&quot;id&quot;:&quot;cd3baefb-e23e-31c0-be2c-610350a3bda7&quot;,&quot;itemData&quot;:{&quot;type&quot;:&quot;article-journal&quot;,&quot;id&quot;:&quot;cd3baefb-e23e-31c0-be2c-610350a3bda7&quot;,&quot;title&quot;:&quot;MS Amanda 2.0: Advancements in the standalone implementation&quot;,&quot;author&quot;:[{&quot;family&quot;:&quot;Dorfer&quot;,&quot;given&quot;:&quot;Viktoria&quot;,&quot;parse-names&quot;:false,&quot;dropping-particle&quot;:&quot;&quot;,&quot;non-dropping-particle&quot;:&quot;&quot;},{&quot;family&quot;:&quot;Strobl&quot;,&quot;given&quot;:&quot;Marina&quot;,&quot;parse-names&quot;:false,&quot;dropping-particle&quot;:&quot;&quot;,&quot;non-dropping-particle&quot;:&quot;&quot;},{&quot;family&quot;:&quot;Winkler&quot;,&quot;given&quot;:&quot;Stephan&quot;,&quot;parse-names&quot;:false,&quot;dropping-particle&quot;:&quot;&quot;,&quot;non-dropping-particle&quot;:&quot;&quot;},{&quot;family&quot;:&quot;Mechtler&quot;,&quot;given&quot;:&quot;Karl&quot;,&quot;parse-names&quot;:false,&quot;dropping-particle&quot;:&quot;&quot;,&quot;non-dropping-particle&quot;:&quot;&quot;}],&quot;container-title&quot;:&quot;Rapid Communications in Mass Spectrometry&quot;,&quot;DOI&quot;:&quot;10.1002/rcm.9088&quot;,&quot;ISSN&quot;:&quot;10970231&quot;,&quot;PMID&quot;:&quot;33759252&quot;,&quot;issued&quot;:{&quot;date-parts&quot;:[[2021]]},&quot;page&quot;:&quot;1-7&quot;,&quot;abstract&quot;:&quot;Rationale: Database search engines are the preferred method to identify peptides in mass spectrometry data. However, valuable software is in this context not only defined by a powerful algorithm to separate correct from false identifications, but also by constant maintenance and continuous improvements. Methods: In 2014, we presented our peptide identification algorithm MS Amanda, showing its suitability for identifying peptides in high-resolution tandem mass spectrometry data and its ability to outperform widely used tools to identify peptides. Since then, we have continuously worked on improvements to enhance its usability and to support new trends and developments in this fast-growing field, while keeping the original scoring algorithm to assess the quality of a peptide spectrum match unchanged. Results: We present the outcome of these efforts, MS Amanda 2.0, a faster and more flexible standalone version with the original scoring algorithm. The new implementation has led to a 3–5× speedup, is able to handle new ion types and supports standard data formats. We also show that MS Amanda 2.0 works best when using only the most common ion types in a particular search instead of all possible ion types. Conclusions: MS Amanda is available free of charge from https://ms.imp.ac.at/index.php?action=msamanda.&quot;,&quot;issue&quot;:&quot;11&quot;,&quot;volume&quot;:&quot;35&quot;,&quot;container-title-short&quot;:&quot;&quot;},&quot;isTemporary&quot;:false}]},{&quot;citationID&quot;:&quot;MENDELEY_CITATION_7431bebf-c42c-4c27-a9a2-bb1a888a3de5&quot;,&quot;properties&quot;:{&quot;noteIndex&quot;:0},&quot;isEdited&quot;:false,&quot;manualOverride&quot;:{&quot;isManuallyOverridden&quot;:false,&quot;citeprocText&quot;:&quot;&lt;sup&gt;147&lt;/sup&gt;&quot;,&quot;manualOverrideText&quot;:&quot;&quot;},&quot;citationTag&quot;:&quot;MENDELEY_CITATION_v3_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&quot;,&quot;citationItems&quot;:[{&quot;id&quot;:&quot;6d534d58-ba4c-31cc-9ec2-310829941a0c&quot;,&quot;itemData&quot;:{&quot;type&quot;:&quot;article-journal&quot;,&quot;id&quot;:&quot;6d534d58-ba4c-31cc-9ec2-310829941a0c&quot;,&quot;title&quot;:&quot;MS Amanda, a universal identification algorithm optimized for high accuracy tandem mass spectra&quot;,&quot;author&quot;:[{&quot;family&quot;:&quot;Dorfer&quot;,&quot;given&quot;:&quot;Viktoria&quot;,&quot;parse-names&quot;:false,&quot;dropping-particle&quot;:&quot;&quot;,&quot;non-dropping-particle&quot;:&quot;&quot;},{&quot;family&quot;:&quot;Pichler&quot;,&quot;given&quot;:&quot;Peter&quot;,&quot;parse-names&quot;:false,&quot;dropping-particle&quot;:&quot;&quot;,&quot;non-dropping-particle&quot;:&quot;&quot;},{&quot;family&quot;:&quot;Stranzl&quot;,&quot;given&quot;:&quot;Thomas&quot;,&quot;parse-names&quot;:false,&quot;dropping-particle&quot;:&quot;&quot;,&quot;non-dropping-particle&quot;:&quot;&quot;},{&quot;family&quot;:&quot;Stadlmann&quot;,&quot;given&quot;:&quot;Johannes&quot;,&quot;parse-names&quot;:false,&quot;dropping-particle&quot;:&quot;&quot;,&quot;non-dropping-particle&quot;:&quot;&quot;},{&quot;family&quot;:&quot;Taus&quot;,&quot;given&quot;:&quot;Thomas&quot;,&quot;parse-names&quot;:false,&quot;dropping-particle&quot;:&quot;&quot;,&quot;non-dropping-particle&quot;:&quot;&quot;},{&quot;family&quot;:&quot;Winkler&quot;,&quot;given&quot;:&quot;Stephan&quot;,&quot;parse-names&quot;:false,&quot;dropping-particle&quot;:&quot;&quot;,&quot;non-dropping-particle&quot;:&quot;&quot;},{&quot;family&quot;:&quot;Mechtler&quot;,&quot;given&quot;:&quot;Karl&quot;,&quot;parse-names&quot;:false,&quot;dropping-particle&quot;:&quot;&quot;,&quot;non-dropping-particle&quot;:&quot;&quot;}],&quot;container-title&quot;:&quot;Journal of Proteome Research&quot;,&quot;DOI&quot;:&quot;10.1021/pr500202e&quot;,&quot;ISSN&quot;:&quot;15353907&quot;,&quot;PMID&quot;:&quot;24909410&quot;,&quot;issued&quot;:{&quot;date-parts&quot;:[[2014]]},&quot;page&quot;:&quot;3679-3684&quot;,&quot;abstract&quot;:&quot;Todays highly accurate spectra provided by modern tandem mass spectrometers offer considerable advantages for the analysis of proteomic samples of increased complexity. Among other factors, the quantity of reliably identified peptides is considerably influenced by the peptide identification algorithm. While most widely used search engines were developed when high-resolution mass spectrometry data were not readily available for fragment ion masses, we have designed a scoring algorithm particularly suitable for high mass accuracy. Our algorithm, MS Amanda, is generally applicable to HCD, ETD, and CID fragmentation type data. The algorithm confidently explains more spectra at the same false discovery rate than Mascot or SEQUEST on examined high mass accuracy data sets, with excellent overlap and identical peptide sequence identification for most spectra also explained by Mascot or SEQUEST. MS Amanda, available at http://ms.imp.ac.at/?goto=msamanda, is provided free of charge both as standalone version for integration into custom workflows and as a plugin for the Proteome Discoverer platform. © 2014 American Chemical Society.&quot;,&quot;issue&quot;:&quot;8&quot;,&quot;volume&quot;:&quot;13&quot;,&quot;container-title-short&quot;:&quot;&quot;},&quot;isTemporary&quot;:false}]},{&quot;citationID&quot;:&quot;MENDELEY_CITATION_585d4933-81ab-4561-857d-3e5d4f23ab38&quot;,&quot;properties&quot;:{&quot;noteIndex&quot;:0},&quot;isEdited&quot;:false,&quot;manualOverride&quot;:{&quot;isManuallyOverridden&quot;:false,&quot;citeprocText&quot;:&quot;&lt;sup&gt;148&lt;/sup&gt;&quot;,&quot;manualOverrideText&quot;:&quot;&quot;},&quot;citationTag&quot;:&quot;MENDELEY_CITATION_v3_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&quot;,&quot;citationItems&quot;:[{&quot;id&quot;:&quot;a052f711-b8bf-36ea-b7df-47ffe6e69c5f&quot;,&quot;itemData&quot;:{&quot;type&quot;:&quot;article-journal&quot;,&quot;id&quot;:&quot;a052f711-b8bf-36ea-b7df-47ffe6e69c5f&quot;,&quot;title&quot;:&quot;Semi-supervised learning for peptide identification from shotgun proteomics datasets&quot;,&quot;author&quot;:[{&quot;family&quot;:&quot;Käll&quot;,&quot;given&quot;:&quot;Lukas&quot;,&quot;parse-names&quot;:false,&quot;dropping-particle&quot;:&quot;&quot;,&quot;non-dropping-particle&quot;:&quot;&quot;},{&quot;family&quot;:&quot;Canterbury&quot;,&quot;given&quot;:&quot;Jesse D.&quot;,&quot;parse-names&quot;:false,&quot;dropping-particle&quot;:&quot;&quot;,&quot;non-dropping-particle&quot;:&quot;&quot;},{&quot;family&quot;:&quot;Weston&quot;,&quot;given&quot;:&quot;Jason&quot;,&quot;parse-names&quot;:false,&quot;dropping-particle&quot;:&quot;&quot;,&quot;non-dropping-particle&quot;:&quot;&quot;},{&quot;family&quot;:&quot;Noble&quot;,&quot;given&quot;:&quot;William Stafford&quot;,&quot;parse-names&quot;:false,&quot;dropping-particle&quot;:&quot;&quot;,&quot;non-dropping-particle&quot;:&quot;&quot;},{&quot;family&quot;:&quot;MacCoss&quot;,&quot;given&quot;:&quot;Michael J.&quot;,&quot;parse-names&quot;:false,&quot;dropping-particle&quot;:&quot;&quot;,&quot;non-dropping-particle&quot;:&quot;&quot;}],&quot;container-title&quot;:&quot;Nature Methods&quot;,&quot;DOI&quot;:&quot;10.1038/nmeth1113&quot;,&quot;ISSN&quot;:&quot;15487091&quot;,&quot;PMID&quot;:&quot;17952086&quot;,&quot;issued&quot;:{&quot;date-parts&quot;:[[2007]]},&quot;page&quot;:&quot;923-925&quot;,&quot;abstract&quot;:&quot;Shotgun proteomics uses liquid chromatography-tandem mass spectrometry to identify proteins in complex biological samples. We describe an algorithm, called Percolator, for improving the rate of confident peptide identifications from a collection of tandem mass spectra. Percolator uses semi-supervised machine learning to discriminate between correct and decoy spectrum identifications, correctly assigning peptides to 17% more spectra from a tryptic Saccharomyces cerevisiae dataset, and up to 77% more spectra from non-tryptic digests, relative to a fully supervised approach.&quot;,&quot;issue&quot;:&quot;11&quot;,&quot;volume&quot;:&quot;4&quot;,&quot;container-title-short&quot;:&quot;&quot;},&quot;isTemporary&quot;:false}]},{&quot;citationID&quot;:&quot;MENDELEY_CITATION_09ba39f4-4cdb-4ae8-a25d-7082f742f151&quot;,&quot;properties&quot;:{&quot;noteIndex&quot;:0},&quot;isEdited&quot;:false,&quot;manualOverride&quot;:{&quot;isManuallyOverridden&quot;:false,&quot;citeprocText&quot;:&quot;&lt;sup&gt;49,149,150&lt;/sup&gt;&quot;,&quot;manualOverrideText&quot;:&quot;&quot;},&quot;citationTag&quot;:&quot;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&quot;,&quot;citationItems&quot;:[{&quot;id&quot;:&quot;04456d66-3b17-3ebd-a256-5164beea8920&quot;,&quot;itemData&quot;:{&quot;type&quot;:&quot;article-journal&quot;,&quot;id&quot;:&quot;04456d66-3b17-3ebd-a256-5164beea8920&quot;,&quot;title&quot;:&quot;Interspecies Competition Impacts Targeted Manipulation of Human Gut Bacteria by Fiber- Derived Glycans Article Interspecies Competition Impacts Targeted Manipulation of Human Gut Bacteria by Fiber-Derived Glycans&quot;,&quot;author&quot;:[{&quot;family&quot;:&quot;Patnode&quot;,&quot;given&quot;:&quot;Michael L&quot;,&quot;parse-names&quot;:false,&quot;dropping-particle&quot;:&quot;&quot;,&quot;non-dropping-particle&quot;:&quot;&quot;},{&quot;family&quot;:&quot;Beller&quot;,&quot;given&quot;:&quot;Zachary W&quot;,&quot;parse-names&quot;:false,&quot;dropping-particle&quot;:&quot;&quot;,&quot;non-dropping-particle&quot;:&quot;&quot;},{&quot;family&quot;:&quot;Han&quot;,&quot;given&quot;:&quot;Nathan D&quot;,&quot;parse-names&quot;:false,&quot;dropping-particle&quot;:&quot;&quot;,&quot;non-dropping-particle&quot;:&quot;&quot;},{&quot;family&quot;:&quot;Giannone&quot;,&quot;given&quot;:&quot;Richard J&quot;,&quot;parse-names&quot;:false,&quot;dropping-particle&quot;:&quot;&quot;,&quot;non-dropping-particle&quot;:&quot;&quot;},{&quot;family&quot;:&quot;Hettich&quot;,&quot;given&quot;:&quot;Robert L&quot;,&quot;parse-names&quot;:false,&quot;dropping-particle&quot;:&quot;&quot;,&quot;non-dropping-particle&quot;:&quot;&quot;},{&quot;family&quot;:&quot;Gordon&quot;,&quot;given&quot;:&quot;Jeffrey I&quot;,&quot;parse-names&quot;:false,&quot;dropping-particle&quot;:&quot;&quot;,&quot;non-dropping-particle&quot;:&quot;&quot;}],&quot;container-title&quot;:&quot;Cell&quot;,&quot;container-title-short&quot;:&quot;Cell&quot;,&quot;DOI&quot;:&quot;10.1016/j.cell.2019.08.011&quot;,&quot;ISSN&quot;:&quot;0092-8674&quot;,&quot;URL&quot;:&quot;https://doi.org/10.1016/j.cell.2019.08.011&quot;,&quot;issued&quot;:{&quot;date-parts&quot;:[[2019]]},&quot;page&quot;:&quot;59-73.e13&quot;,&quot;publisher&quot;:&quot;Elsevier Inc.&quot;,&quot;issue&quot;:&quot;1&quot;,&quot;volume&quot;:&quot;179&quot;},&quot;isTemporary&quot;:false},{&quot;id&quot;:&quot;9bd01f2e-ccb4-366a-b12f-ad9f3576daf9&quot;,&quot;itemData&quot;:{&quot;type&quot;:&quot;article-journal&quot;,&quot;id&quot;:&quot;9bd01f2e-ccb4-366a-b12f-ad9f3576daf9&quot;,&quot;title&quot;:&quot;Genome-resolved metaproteomic characterization of preterm infant gut microbiota development reveals species-specific metabolic shifts and variabilities during early life.&quot;,&quot;author&quot;:[{&quot;family&quot;:&quot;Xiong&quot;,&quot;given&quot;:&quot;Weili&quot;,&quot;parse-names&quot;:false,&quot;dropping-particle&quot;:&quot;&quot;,&quot;non-dropping-particle&quot;:&quot;&quot;},{&quot;family&quot;:&quot;Brown&quot;,&quot;given&quot;:&quot;Christopher T&quot;,&quot;parse-names&quot;:false,&quot;dropping-particle&quot;:&quot;&quot;,&quot;non-dropping-particle&quot;:&quot;&quot;},{&quot;family&quot;:&quot;Morowitz&quot;,&quot;given&quot;:&quot;Michael J&quot;,&quot;parse-names&quot;:false,&quot;dropping-particle&quot;:&quot;&quot;,&quot;non-dropping-particle&quot;:&quot;&quot;},{&quot;family&quot;:&quot;Banfield&quot;,&quot;given&quot;:&quot;Jillian F&quot;,&quot;parse-names&quot;:false,&quot;dropping-particle&quot;:&quot;&quot;,&quot;non-dropping-particle&quot;:&quot;&quot;},{&quot;family&quot;:&quot;Hettich&quot;,&quot;given&quot;:&quot;Robert L&quot;,&quot;parse-names&quot;:false,&quot;dropping-particle&quot;:&quot;&quot;,&quot;non-dropping-particle&quot;:&quot;&quot;}],&quot;container-title&quot;:&quot;Microbiome&quot;,&quot;container-title-short&quot;:&quot;Microbiome&quot;,&quot;DOI&quot;:&quot;10.1186/s40168-017-0290-6&quot;,&quot;ISBN&quot;:&quot;4016801702&quot;,&quot;ISSN&quot;:&quot;2049-2618&quot;,&quot;PMID&quot;:&quot;28693612&quot;,&quot;URL&quot;:&quot;http://www.ncbi.nlm.nih.gov/pubmed/28693612%0Ahttp://www.pubmedcentral.nih.gov/articlerender.fcgi?artid=PMC5504695&quot;,&quot;issued&quot;:{&quot;date-parts&quot;:[[2017]]},&quot;page&quot;:&quot;72&quot;,&quot;abstract&quot;:&quot;BACKGROUND Establishment of the human gut microbiota begins at birth. This early-life microbiota development can impact host physiology during infancy and even across an entire life span. However, the functional stability and population structure of the gut microbiota during initial colonization remain poorly understood. Metaproteomics is an emerging technology for the large-scale characterization of metabolic functions in complex microbial communities (gut microbiota). RESULTS We applied a metagenome-informed metaproteomic approach to study the temporal and inter-individual differences of metabolic functions during microbial colonization of preterm human infants' gut. By analyzing 30 individual fecal samples, we identified up to 12,568 protein groups for each of four infants, including both human and microbial proteins. With genome-resolved matched metagenomics, proteins were confidently identified at the species/strain level. The maximum percentage of the proteome detected for the abundant organisms was ~45%. A time-dependent increase in the relative abundance of microbial versus human proteins suggested increasing microbial colonization during the first few weeks of early life. We observed remarkable variations and temporal shifts in the relative protein abundances of each organism in these preterm gut communities. Given the dissimilarity of the communities, only 81 microbial EggNOG orthologous groups and 57 human proteins were observed across all samples. These conserved microbial proteins were involved in carbohydrate, energy, amino acid and nucleotide metabolism while conserved human proteins were related to immune response and mucosal maturation. We identified seven proteome clusters for the communities and showed infant gut proteome profiles were unstable across time and not individual-specific. Applying a gut-specific metabolic module (GMM) analysis, we found that gut communities varied primarily in the contribution of nutrient (carbohydrates, lipids, and amino acids) utilization and short-chain fatty acid production. CONCLUSIONS Overall, this study reports species-specific proteome profiles and metabolic functions of human gut microbiota during early colonization. In particular, our work contributes to reveal microbiota-associated shifts and variations in the metabolism of three major nutrient sources and short-chain fatty acid during colonization of preterm infant gut.&quot;,&quot;publisher&quot;:&quot;Microbiome&quot;,&quot;issue&quot;:&quot;1&quot;,&quot;volume&quot;:&quot;5&quot;},&quot;isTemporary&quot;:false},{&quot;id&quot;:&quot;174a43cf-7206-3417-85b9-d636058df33b&quot;,&quot;itemData&quot;:{&quot;type&quot;:&quot;article-journal&quot;,&quot;id&quot;:&quot;174a43cf-7206-3417-85b9-d636058df33b&quot;,&quot;title&quot;:&quot;Metaproteomics reveals persistent and phylum-redundant metabolic functional stability in adult human gut microbiomes of Crohn's remission patients despite temporal variations in microbial taxa, genomes, and proteomes&quot;,&quot;author&quot;:[{&quot;family&quot;:&quot;Blakeley-Ruiz&quot;,&quot;given&quot;:&quot;J. Alfredo&quot;,&quot;parse-names&quot;:false,&quot;dropping-particle&quot;:&quot;&quot;,&quot;non-dropping-particle&quot;:&quot;&quot;},{&quot;family&quot;:&quot;Erickson&quot;,&quot;given&quot;:&quot;Alison R.&quot;,&quot;parse-names&quot;:false,&quot;dropping-particle&quot;:&quot;&quot;,&quot;non-dropping-particle&quot;:&quot;&quot;},{&quot;family&quot;:&quot;Cantarel&quot;,&quot;given&quot;:&quot;Brandi L.&quot;,&quot;parse-names&quot;:false,&quot;dropping-particle&quot;:&quot;&quot;,&quot;non-dropping-particle&quot;:&quot;&quot;},{&quot;family&quot;:&quot;Xiong&quot;,&quot;given&quot;:&quot;Weili&quot;,&quot;parse-names&quot;:false,&quot;dropping-particle&quot;:&quot;&quot;,&quot;non-dropping-particle&quot;:&quot;&quot;},{&quot;family&quot;:&quot;Adams&quot;,&quot;given&quot;:&quot;Rachel&quot;,&quot;parse-names&quot;:false,&quot;dropping-particle&quot;:&quot;&quot;,&quot;non-dropping-particle&quot;:&quot;&quot;},{&quot;family&quot;:&quot;Jansson&quot;,&quot;given&quot;:&quot;Janet K.&quot;,&quot;parse-names&quot;:false,&quot;dropping-particle&quot;:&quot;&quot;,&quot;non-dropping-particle&quot;:&quot;&quot;},{&quot;family&quot;:&quot;Fraser&quot;,&quot;given&quot;:&quot;Claire M.&quot;,&quot;parse-names&quot;:false,&quot;dropping-particle&quot;:&quot;&quot;,&quot;non-dropping-particle&quot;:&quot;&quot;},{&quot;family&quot;:&quot;Hettich&quot;,&quot;given&quot;:&quot;Robert L.&quot;,&quot;parse-names&quot;:false,&quot;dropping-particle&quot;:&quot;&quot;,&quot;non-dropping-particle&quot;:&quot;&quot;}],&quot;container-title&quot;:&quot;Microbiome&quot;,&quot;DOI&quot;:&quot;10.1186/s40168-019-0631-8&quot;,&quot;ISSN&quot;:&quot;20492618&quot;,&quot;PMID&quot;:&quot;30744677&quot;,&quot;issued&quot;:{&quot;date-parts&quot;:[[2019]]},&quot;page&quot;:&quot;1-15&quot;,&quot;abstract&quot;:&quot;Background: The gut microbiome plays a fundamental role in the human host's overall health by contributing key biological functions such as expanded metabolism and pathogen defense/immune control. In a healthy individual, the gut microbiome co-exists within the human host in a symbiotic, non-inflammatory relationship that enables mutual benefits, such as microbial degradation of indigestible food products into small molecules that the host can utilize, and enhanced pathogen defense. In abnormal conditions, such as Crohn's disease, this favorable metabolic relationship breaks down and a variety of undesirable activities result, including chronic inflammation and other health-related issues. It has been difficult, however, to elucidate the overall functional characteristics of this relationship because the microbiota can vary substantially in composition for healthy humans and possibly even more in individuals with gut disease conditions such as Crohn's disease. Overall, this suggests that microbial membership composition may not be the best way to characterize a phenotype. Alternatively, it seems to be more informative to examine and characterize the functional composition of a gut microbiome. Towards that end, this study examines 25 metaproteomes measured in several Crohn's disease patients' post-resection surgery across the course of 1 year, in order to examine persistence of microbial taxa, genes, proteins, and metabolic functional distributions across time in individuals whose microbiome might be more variable due to the gut disease condition. Results: The measured metaproteomes were highly personalized, with all the temporally-related metaproteomes clustering most closely by individual. In general, the metaproteomes were remarkably distinct between individuals and to a lesser extent within individuals. This prompted a need to characterize the metaproteome at a higher functional level, which was achieved by annotating identified protein groups with KEGG orthologous groups to infer metabolic modules. At this level, similar and redundant metabolic functions across multiple phyla were observed across time and between individuals. Tracking through these various metabolic modules revealed a clear path from carbohydrate, lipid, and amino acid degradation to central metabolism and finally the production of fermentation products. Conclusions: The human gut metaproteome can vary quite substantially across time and individuals. However, despite substantial intra-individual variation in the metaproteomes, there is a clear persistence of conserved metabolic functions across time and individuals. Additionally, the persistence of these core functions is redundant across multiple phyla but is not always observable in the same sample. Finally, the gut microbiome's metabolism is not driven by a set of discrete linear pathways but a web of interconnected reactions facilitated by a network of enzymes that connect multiple molecules across multiple pathways.&quot;,&quot;publisher&quot;:&quot;Microbiome&quot;,&quot;issue&quot;:&quot;1&quot;,&quot;volume&quot;:&quot;7&quot;,&quot;container-title-short&quot;:&quot;Microbiome&quot;},&quot;isTemporary&quot;:false}]},{&quot;citationID&quot;:&quot;MENDELEY_CITATION_9827c784-382f-4e91-9058-2d5ec7bd43aa&quot;,&quot;properties&quot;:{&quot;noteIndex&quot;:0},&quot;isEdited&quot;:false,&quot;manualOverride&quot;:{&quot;isManuallyOverridden&quot;:false,&quot;citeprocText&quot;:&quot;&lt;sup&gt;151&lt;/sup&gt;&quot;,&quot;manualOverrideText&quot;:&quot;&quot;},&quot;citationTag&quot;:&quot;MENDELEY_CITATION_v3_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&quot;,&quot;citationItems&quot;:[{&quot;id&quot;:&quot;340a51cc-1f07-3d5f-9805-5c607d14ab78&quot;,&quot;itemData&quot;:{&quot;type&quot;:&quot;article-journal&quot;,&quot;id&quot;:&quot;340a51cc-1f07-3d5f-9805-5c607d14ab78&quot;,&quot;title&quot;:&quot;Review, evaluation, and discussion of the challenges of missing value imputation for mass spectrometry-based label-free global proteomics&quot;,&quot;author&quot;:[{&quot;family&quot;:&quot;Webb-Robertson&quot;,&quot;given&quot;:&quot;Bobbie Jo M.&quot;,&quot;parse-names&quot;:false,&quot;dropping-particle&quot;:&quot;&quot;,&quot;non-dropping-particle&quot;:&quot;&quot;},{&quot;family&quot;:&quot;Wiberg&quot;,&quot;given&quot;:&quot;Holli K.&quot;,&quot;parse-names&quot;:false,&quot;dropping-particle&quot;:&quot;&quot;,&quot;non-dropping-particle&quot;:&quot;&quot;},{&quot;family&quot;:&quot;Matzke&quot;,&quot;given&quot;:&quot;Melissa M.&quot;,&quot;parse-names&quot;:false,&quot;dropping-particle&quot;:&quot;&quot;,&quot;non-dropping-particle&quot;:&quot;&quot;},{&quot;family&quot;:&quot;Brown&quot;,&quot;given&quot;:&quot;Joseph N.&quot;,&quot;parse-names&quot;:false,&quot;dropping-particle&quot;:&quot;&quot;,&quot;non-dropping-particle&quot;:&quot;&quot;},{&quot;family&quot;:&quot;Wang&quot;,&quot;given&quot;:&quot;Jing&quot;,&quot;parse-names&quot;:false,&quot;dropping-particle&quot;:&quot;&quot;,&quot;non-dropping-particle&quot;:&quot;&quot;},{&quot;family&quot;:&quot;McDermott&quot;,&quot;given&quot;:&quot;Jason E.&quot;,&quot;parse-names&quot;:false,&quot;dropping-particle&quot;:&quot;&quot;,&quot;non-dropping-particle&quot;:&quot;&quot;},{&quot;family&quot;:&quot;Smith&quot;,&quot;given&quot;:&quot;Richard D.&quot;,&quot;parse-names&quot;:false,&quot;dropping-particle&quot;:&quot;&quot;,&quot;non-dropping-particle&quot;:&quot;&quot;},{&quot;family&quot;:&quot;Rodland&quot;,&quot;given&quot;:&quot;Karin D.&quot;,&quot;parse-names&quot;:false,&quot;dropping-particle&quot;:&quot;&quot;,&quot;non-dropping-particle&quot;:&quot;&quot;},{&quot;family&quot;:&quot;Metz&quot;,&quot;given&quot;:&quot;Thomas O.&quot;,&quot;parse-names&quot;:false,&quot;dropping-particle&quot;:&quot;&quot;,&quot;non-dropping-particle&quot;:&quot;&quot;},{&quot;family&quot;:&quot;Pounds&quot;,&quot;given&quot;:&quot;Joel G.&quot;,&quot;parse-names&quot;:false,&quot;dropping-particle&quot;:&quot;&quot;,&quot;non-dropping-particle&quot;:&quot;&quot;},{&quot;family&quot;:&quot;Waters&quot;,&quot;given&quot;:&quot;Katrina M.&quot;,&quot;parse-names&quot;:false,&quot;dropping-particle&quot;:&quot;&quot;,&quot;non-dropping-particle&quot;:&quot;&quot;}],&quot;container-title&quot;:&quot;Journal of Proteome Research&quot;,&quot;DOI&quot;:&quot;10.1021/pr501138h&quot;,&quot;ISSN&quot;:&quot;15353907&quot;,&quot;PMID&quot;:&quot;25855118&quot;,&quot;issued&quot;:{&quot;date-parts&quot;:[[2015]]},&quot;page&quot;:&quot;1993-2001&quot;,&quot;abstract&quot;:&quot;In this review, we apply selected imputation strategies to label-free liquid chromatography-mass spectrometry (LC-MS) proteomics datasets to evaluate the accuracy with respect to metrics of variance and classification. We evaluate several commonly used imputation approaches for individual merits and discuss the caveats of each approach with respect to the example LC-MS proteomics data. In general, local similarity-based approaches, such as the regularized expectation maximization and least-squares adaptive algorithms, yield the best overall performances with respect to metrics of accuracy and robustness. However, no single algorithm consistently outperforms the remaining approaches, and in some cases, performing classification without imputation sometimes yielded the most accurate classification. Thus, because of the complex mechanisms of missing data in proteomics, which also vary from peptide to protein, no individual method is a single solution for imputation. On the basis of the observations in this review, the goal for imputation in the field of computational proteomics should be to develop new approaches that work generically for this data type and new strategies to guide users in the selection of the best imputation for their dataset and analysis objectives.&quot;,&quot;issue&quot;:&quot;5&quot;,&quot;volume&quot;:&quot;14&quot;,&quot;container-title-short&quot;:&quot;&quot;},&quot;isTemporary&quot;:false}]},{&quot;citationID&quot;:&quot;MENDELEY_CITATION_566f16e4-7b28-4e05-9faf-250a4c682649&quot;,&quot;properties&quot;:{&quot;noteIndex&quot;:0},&quot;isEdited&quot;:false,&quot;manualOverride&quot;:{&quot;isManuallyOverridden&quot;:false,&quot;citeprocText&quot;:&quot;&lt;sup&gt;152&lt;/sup&gt;&quot;,&quot;manualOverrideText&quot;:&quot;&quot;},&quot;citationTag&quot;:&quot;MENDELEY_CITATION_v3_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&quot;,&quot;citationItems&quot;:[{&quot;id&quot;:&quot;03a3945c-fb14-3bba-b5c3-84a6c88fbfdb&quot;,&quot;itemData&quot;:{&quot;type&quot;:&quot;article-journal&quot;,&quot;id&quot;:&quot;03a3945c-fb14-3bba-b5c3-84a6c88fbfdb&quot;,&quot;title&quot;:&quot;Evaluating False Transfer Rates from the Match-between-Runs Algorithm with a Two-Proteome Model&quot;,&quot;author&quot;:[{&quot;family&quot;:&quot;Lim&quot;,&quot;given&quot;:&quot;Matthew Y.&quot;,&quot;parse-names&quot;:false,&quot;dropping-particle&quot;:&quot;&quot;,&quot;non-dropping-particle&quot;:&quot;&quot;},{&quot;family&quot;:&quot;Paulo&quot;,&quot;given&quot;:&quot;João A.&quot;,&quot;parse-names&quot;:false,&quot;dropping-particle&quot;:&quot;&quot;,&quot;non-dropping-particle&quot;:&quot;&quot;},{&quot;family&quot;:&quot;Gygi&quot;,&quot;given&quot;:&quot;Steven P.&quot;,&quot;parse-names&quot;:false,&quot;dropping-particle&quot;:&quot;&quot;,&quot;non-dropping-particle&quot;:&quot;&quot;}],&quot;container-title&quot;:&quot;Journal of Proteome Research&quot;,&quot;DOI&quot;:&quot;10.1021/acs.jproteome.9b00492&quot;,&quot;ISSN&quot;:&quot;15353907&quot;,&quot;PMID&quot;:&quot;31547658&quot;,&quot;issued&quot;:{&quot;date-parts&quot;:[[2019]]},&quot;page&quot;:&quot;4020-4026&quot;,&quot;abstract&quot;:&quot;Stochasticity between independent LC-MS/MS runs is a challenging problem in the field of proteomics, resulting in significant missing values (i.e., abundance measurements) among observed peptides. To address this issue, several approaches have been developed including computational methods such as MaxQuant's match-between-runs (MBR) algorithm. Often dozens of runs are all considered at once by MBR, transferring identifications from any one run to any of the others. To evaluate the error associated with these transfer events, we created a two-sample/two-proteome approach. In this way, samples containing no yeast lysate (n = 20) were assessed for false identification transfers from samples containing yeast (n = 20). While MBR increased the total number of spectral identifications by ?40%, we also found that 44% of all identified yeast proteins had identifications transferred to at least one sample without yeast. However, of these only 2.7% remained in the final data set after applying the MaxQuant LFQ algorithm. We conclude that false transfers by MBR are plentiful, but few are retained in the final data set.&quot;,&quot;issue&quot;:&quot;11&quot;,&quot;volume&quot;:&quot;18&quot;,&quot;container-title-short&quot;:&quot;&quot;},&quot;isTemporary&quot;:false}]},{&quot;citationID&quot;:&quot;MENDELEY_CITATION_fccd1990-4bf2-4e93-ba36-57c27f81daf4&quot;,&quot;properties&quot;:{&quot;noteIndex&quot;:0},&quot;isEdited&quot;:false,&quot;manualOverride&quot;:{&quot;isManuallyOverridden&quot;:false,&quot;citeprocText&quot;:&quot;&lt;sup&gt;153&lt;/sup&gt;&quot;,&quot;manualOverrideText&quot;:&quot;&quot;},&quot;citationTag&quot;:&quot;MENDELEY_CITATION_v3_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&quot;,&quot;citationItems&quot;:[{&quot;id&quot;:&quot;bd0f0fb6-fd33-3d67-9fc6-afc96ff4f746&quot;,&quot;itemData&quot;:{&quot;type&quot;:&quot;article-journal&quot;,&quot;id&quot;:&quot;bd0f0fb6-fd33-3d67-9fc6-afc96ff4f746&quot;,&quot;title&quot;:&quot;A complete and flexible workflow for metaproteomics data analysis based on MetaProteomeAnalyzer and Prophane&quot;,&quot;author&quot;:[{&quot;family&quot;:&quot;Schiebenhoefer&quot;,&quot;given&quot;:&quot;Henning&quot;,&quot;parse-names&quot;:false,&quot;dropping-particle&quot;:&quot;&quot;,&quot;non-dropping-particle&quot;:&quot;&quot;},{&quot;family&quot;:&quot;Schallert&quot;,&quot;given&quot;:&quot;Kay&quot;,&quot;parse-names&quot;:false,&quot;dropping-particle&quot;:&quot;&quot;,&quot;non-dropping-particle&quot;:&quot;&quot;},{&quot;family&quot;:&quot;Renard&quot;,&quot;given&quot;:&quot;Bernhard Y.&quot;,&quot;parse-names&quot;:false,&quot;dropping-particle&quot;:&quot;&quot;,&quot;non-dropping-particle&quot;:&quot;&quot;},{&quot;family&quot;:&quot;Trappe&quot;,&quot;given&quot;:&quot;Kathrin&quot;,&quot;parse-names&quot;:false,&quot;dropping-particle&quot;:&quot;&quot;,&quot;non-dropping-particle&quot;:&quot;&quot;},{&quot;family&quot;:&quot;Schmid&quot;,&quot;given&quot;:&quot;Emanuel&quot;,&quot;parse-names&quot;:false,&quot;dropping-particle&quot;:&quot;&quot;,&quot;non-dropping-particle&quot;:&quot;&quot;},{&quot;family&quot;:&quot;Benndorf&quot;,&quot;given&quot;:&quot;Dirk&quot;,&quot;parse-names&quot;:false,&quot;dropping-particle&quot;:&quot;&quot;,&quot;non-dropping-particle&quot;:&quot;&quot;},{&quot;family&quot;:&quot;Riedel&quot;,&quot;given&quot;:&quot;Katharina&quot;,&quot;parse-names&quot;:false,&quot;dropping-particle&quot;:&quot;&quot;,&quot;non-dropping-particle&quot;:&quot;&quot;},{&quot;family&quot;:&quot;Muth&quot;,&quot;given&quot;:&quot;Thilo&quot;,&quot;parse-names&quot;:false,&quot;dropping-particle&quot;:&quot;&quot;,&quot;non-dropping-particle&quot;:&quot;&quot;},{&quot;family&quot;:&quot;Fuchs&quot;,&quot;given&quot;:&quot;Stephan&quot;,&quot;parse-names&quot;:false,&quot;dropping-particle&quot;:&quot;&quot;,&quot;non-dropping-particle&quot;:&quot;&quot;}],&quot;container-title&quot;:&quot;Nature Protocols&quot;,&quot;DOI&quot;:&quot;10.1038/s41596-020-0368-7&quot;,&quot;ISSN&quot;:&quot;17502799&quot;,&quot;PMID&quot;:&quot;32859984&quot;,&quot;issued&quot;:{&quot;date-parts&quot;:[[2020]]},&quot;page&quot;:&quot;3212-3239&quot;,&quot;abstract&quot;:&quot;Metaproteomics, the study of the collective protein composition of multi-organism systems, provides deep insights into the biodiversity of microbial communities and the complex functional interplay between microbes and their hosts or environment. Thus, metaproteomics has become an indispensable tool in various fields such as microbiology and related medical applications. The computational challenges in the analysis of corresponding datasets differ from those of pure-culture proteomics, e.g., due to the higher complexity of the samples and the larger reference databases demanding specific computing pipelines. Corresponding data analyses usually consist of numerous manual steps that must be closely synchronized. With MetaProteomeAnalyzer and Prophane, we have established two open-source software solutions specifically developed and optimized for metaproteomics. Among other features, peptide-spectrum matching is improved by combining different search engines and, compared to similar tools, metaproteome annotation benefits from the most comprehensive set of available databases (such as NCBI, UniProt, EggNOG, PFAM, and CAZy). The workflow described in this protocol combines both tools and leads the user through the entire data analysis process, including protein database creation, database search, protein grouping and annotation, and results visualization. To the best of our knowledge, this protocol presents the most comprehensive, detailed and flexible guide to metaproteomics data analysis to date. While beginners are provided with robust, easy-to-use, state-of-the-art data analysis in a reasonable time (a few hours, depending on, among other factors, the protein database size and the number of identified peptides and inferred proteins), advanced users benefit from the flexibility and adaptability of the workflow.&quot;,&quot;issue&quot;:&quot;10&quot;,&quot;volume&quot;:&quot;15&quot;,&quot;container-title-short&quot;:&quot;&quot;},&quot;isTemporary&quot;:false}]},{&quot;citationID&quot;:&quot;MENDELEY_CITATION_98d601f5-791b-4012-8656-5729e17f58c7&quot;,&quot;properties&quot;:{&quot;noteIndex&quot;:0},&quot;isEdited&quot;:false,&quot;manualOverride&quot;:{&quot;isManuallyOverridden&quot;:false,&quot;citeprocText&quot;:&quot;&lt;sup&gt;154&lt;/sup&gt;&quot;,&quot;manualOverrideText&quot;:&quot;&quot;},&quot;citationTag&quot;:&quot;MENDELEY_CITATION_v3_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&quot;,&quot;citationItems&quot;:[{&quot;id&quot;:&quot;61de40d9-6e74-3772-b4e2-d18b6614dd80&quot;,&quot;itemData&quot;:{&quot;type&quot;:&quot;article-journal&quot;,&quot;id&quot;:&quot;61de40d9-6e74-3772-b4e2-d18b6614dd80&quot;,&quot;title&quot;:&quot;Growing up in a bubble: Using germ-free animals to assess the influence of the gut microbiota on brain and behavior&quot;,&quot;author&quot;:[{&quot;family&quot;:&quot;Luczynski&quot;,&quot;given&quot;:&quot;Pauline&quot;,&quot;parse-names&quot;:false,&quot;dropping-particle&quot;:&quot;&quot;,&quot;non-dropping-particle&quot;:&quot;&quot;},{&quot;family&quot;:&quot;Neufeld&quot;,&quot;given&quot;:&quot;Karen Anne Mc Vey&quot;,&quot;parse-names&quot;:false,&quot;dropping-particle&quot;:&quot;&quot;,&quot;non-dropping-particle&quot;:&quot;&quot;},{&quot;family&quot;:&quot;Oriach&quot;,&quot;given&quot;:&quot;Clara Seira&quot;,&quot;parse-names&quot;:false,&quot;dropping-particle&quot;:&quot;&quot;,&quot;non-dropping-particle&quot;:&quot;&quot;},{&quot;family&quot;:&quot;Clarke&quot;,&quot;given&quot;:&quot;Gerard&quot;,&quot;parse-names&quot;:false,&quot;dropping-particle&quot;:&quot;&quot;,&quot;non-dropping-particle&quot;:&quot;&quot;},{&quot;family&quot;:&quot;Dinan&quot;,&quot;given&quot;:&quot;Timothy G.&quot;,&quot;parse-names&quot;:false,&quot;dropping-particle&quot;:&quot;&quot;,&quot;non-dropping-particle&quot;:&quot;&quot;},{&quot;family&quot;:&quot;Cryan&quot;,&quot;given&quot;:&quot;John F.&quot;,&quot;parse-names&quot;:false,&quot;dropping-particle&quot;:&quot;&quot;,&quot;non-dropping-particle&quot;:&quot;&quot;}],&quot;container-title&quot;:&quot;International Journal of Neuropsychopharmacology&quot;,&quot;DOI&quot;:&quot;10.1093/ijnp/pyw020&quot;,&quot;ISSN&quot;:&quot;14695111&quot;,&quot;PMID&quot;:&quot;26912607&quot;,&quot;issued&quot;:{&quot;date-parts&quot;:[[2016]]},&quot;page&quot;:&quot;1-17&quot;,&quot;abstract&quot;:&quot;There is a growing recognition of the importance of the commensal intestinal microbiota in the development and later function of the central nervous system. Research using germ-free mice (mice raised without any exposure to microorganisms) has provided some of the most persuasive evidence for a role of these bacteria in gut-brain signalling. Key findings show that the microbiota is necessary for normal stress responsivity, anxiety-like behaviors, sociability, and cognition. Furthermore, the microbiota maintains central nervous system homeostasis by regulating immune function and blood brain barrier integrity. Studies have also found that the gut microbiota influences neurotransmitter, synaptic, and neurotrophic signalling systems and neurogenesis. The principle advantage of the germ-free mouse model is in proof-of-principle studies and that a complete microbiota or defined consortiums of bacteria can be introduced at various developmental time points. However, a germ-free upbringing can induce permanent neurodevelopmental deficits that may deem the model unsuitable for specific scientific queries that do not involve early-life microbial deficiency. As such, alternatives and complementary strategies to the germfree model are warranted and include antibiotic treatment to create microbiota-deficient animals at distinct time points across the lifespan. Increasing our understanding of the impact of the gut microbiota on brain and behavior has the potential to inform novel management strategies for stress-related gastrointestinal and neuropsychiatric disorders.&quot;,&quot;issue&quot;:&quot;8&quot;,&quot;volume&quot;:&quot;19&quot;,&quot;container-title-short&quot;:&quot;&quot;},&quot;isTemporary&quot;:false}]},{&quot;citationID&quot;:&quot;MENDELEY_CITATION_f09a349f-6261-4d36-83cc-fa5ff916a4d1&quot;,&quot;properties&quot;:{&quot;noteIndex&quot;:0},&quot;isEdited&quot;:false,&quot;manualOverride&quot;:{&quot;isManuallyOverridden&quot;:false,&quot;citeprocText&quot;:&quot;&lt;sup&gt;155&lt;/sup&gt;&quot;,&quot;manualOverrideText&quot;:&quot;&quot;},&quot;citationTag&quot;:&quot;MENDELEY_CITATION_v3_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&quot;,&quot;citationItems&quot;:[{&quot;id&quot;:&quot;e46dfc07-d964-3bfd-94e0-059fadb55a34&quot;,&quot;itemData&quot;:{&quot;type&quot;:&quot;article-journal&quot;,&quot;id&quot;:&quot;e46dfc07-d964-3bfd-94e0-059fadb55a34&quot;,&quot;title&quot;:&quot;An immunomodulatory molecule of symbiotic bacteria directs maturation of the host immune system&quot;,&quot;author&quot;:[{&quot;family&quot;:&quot;Mazmanian&quot;,&quot;given&quot;:&quot;Sarkis K.&quot;,&quot;parse-names&quot;:false,&quot;dropping-particle&quot;:&quot;&quot;,&quot;non-dropping-particle&quot;:&quot;&quot;},{&quot;family&quot;:&quot;Cui&quot;,&quot;given&quot;:&quot;Hua Liu&quot;,&quot;parse-names&quot;:false,&quot;dropping-particle&quot;:&quot;&quot;,&quot;non-dropping-particle&quot;:&quot;&quot;},{&quot;family&quot;:&quot;Tzianabos&quot;,&quot;given&quot;:&quot;Arthur O.&quot;,&quot;parse-names&quot;:false,&quot;dropping-particle&quot;:&quot;&quot;,&quot;non-dropping-particle&quot;:&quot;&quot;},{&quot;family&quot;:&quot;Kasper&quot;,&quot;given&quot;:&quot;Dennis L.&quot;,&quot;parse-names&quot;:false,&quot;dropping-particle&quot;:&quot;&quot;,&quot;non-dropping-particle&quot;:&quot;&quot;}],&quot;container-title&quot;:&quot;Cell&quot;,&quot;container-title-short&quot;:&quot;Cell&quot;,&quot;DOI&quot;:&quot;10.1016/j.cell.2005.05.007&quot;,&quot;ISSN&quot;:&quot;00928674&quot;,&quot;PMID&quot;:&quot;16009137&quot;,&quot;issued&quot;:{&quot;date-parts&quot;:[[2005]]},&quot;page&quot;:&quot;107-118&quot;,&quot;abstract&quot;:&quot;The mammalian gastrointestinal tract harbors a complex ecosystem consisting of countless bacteria in homeostasis with the host immune system. Shaped by evolution, this partnership has potential for symbiotic benefit. However, the identities of bacterial molecules mediating symbiosis remain undefined. Here we show that, during colonization of animals with the ubiquitous gut microorganism Bacteroides fragilis, a bacterial polysaccharide (PSA) directs the cellular and physical maturation of the developing immune system. Comparison with germ-free animals reveals that the immunomodulatory activities of PSA during B. fragilis colonization include correcting systemic T cell deficiencies and T H1/TH2 imbalances and directing lymphoid organogenesis. A PSA mutant of B. fragilis does not restore these immunologic functions. PSA presented by intestinal dendritic cells activates CD4+ T cells and elicits appropriate cytokine production. These findings provide a molecular basis for host-bacterial symbiosis and reveal the archetypal molecule of commensal bacteria that mediates development of the host immune system. Copyright ©2005 by Elsevier Inc.&quot;,&quot;issue&quot;:&quot;1&quot;,&quot;volume&quot;:&quot;122&quot;},&quot;isTemporary&quot;:false}]},{&quot;citationID&quot;:&quot;MENDELEY_CITATION_63197308-4801-4e1c-b3be-526a6c225a48&quot;,&quot;properties&quot;:{&quot;noteIndex&quot;:0},&quot;isEdited&quot;:false,&quot;manualOverride&quot;:{&quot;isManuallyOverridden&quot;:false,&quot;citeprocText&quot;:&quot;&lt;sup&gt;156&lt;/sup&gt;&quot;,&quot;manualOverrideText&quot;:&quot;&quot;},&quot;citationTag&quot;:&quot;MENDELEY_CITATION_v3_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&quot;,&quot;citationItems&quot;:[{&quot;id&quot;:&quot;afa0912b-06d8-344d-8879-ffa64cf298d5&quot;,&quot;itemData&quot;:{&quot;type&quot;:&quot;article-journal&quot;,&quot;id&quot;:&quot;afa0912b-06d8-344d-8879-ffa64cf298d5&quot;,&quot;title&quot;:&quot;Microbiota and reproducibility of rodent models&quot;,&quot;author&quot;:[{&quot;family&quot;:&quot;Franklin&quot;,&quot;given&quot;:&quot;Craig L.&quot;,&quot;parse-names&quot;:false,&quot;dropping-particle&quot;:&quot;&quot;,&quot;non-dropping-particle&quot;:&quot;&quot;},{&quot;family&quot;:&quot;Ericsson&quot;,&quot;given&quot;:&quot;Aaron C.&quot;,&quot;parse-names&quot;:false,&quot;dropping-particle&quot;:&quot;&quot;,&quot;non-dropping-particle&quot;:&quot;&quot;}],&quot;container-title&quot;:&quot;Lab Animal&quot;,&quot;DOI&quot;:&quot;10.1038/laban.1222&quot;,&quot;ISSN&quot;:&quot;15484475&quot;,&quot;issued&quot;:{&quot;date-parts&quot;:[[2017]]},&quot;page&quot;:&quot;114-122&quot;,&quot;abstract&quot;:&quot;The gut microbiota (GM) plays a critical role in human health and disease. Likewise, it is becoming increasingly evident that changes or disruptions to the GM can have significant effects on animal models and their expressed phenotypes, adding a complex and important variable into basic research and preclinical studies. In this article, we review some of the most common sources of GM variability in rodent models, and discuss measures to address this variability for improved reproducibility.&quot;,&quot;publisher&quot;:&quot;Nature Publishing Group&quot;,&quot;issue&quot;:&quot;4&quot;,&quot;volume&quot;:&quot;46&quot;,&quot;container-title-short&quot;:&quot;&quot;},&quot;isTemporary&quot;:false}]},{&quot;citationID&quot;:&quot;MENDELEY_CITATION_19b30239-9e8c-4bda-b216-4beb8cf9176c&quot;,&quot;properties&quot;:{&quot;noteIndex&quot;:0},&quot;isEdited&quot;:false,&quot;manualOverride&quot;:{&quot;isManuallyOverridden&quot;:false,&quot;citeprocText&quot;:&quot;&lt;sup&gt;156&lt;/sup&gt;&quot;,&quot;manualOverrideText&quot;:&quot;&quot;},&quot;citationTag&quot;:&quot;MENDELEY_CITATION_v3_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&quot;,&quot;citationItems&quot;:[{&quot;id&quot;:&quot;afa0912b-06d8-344d-8879-ffa64cf298d5&quot;,&quot;itemData&quot;:{&quot;type&quot;:&quot;article-journal&quot;,&quot;id&quot;:&quot;afa0912b-06d8-344d-8879-ffa64cf298d5&quot;,&quot;title&quot;:&quot;Microbiota and reproducibility of rodent models&quot;,&quot;author&quot;:[{&quot;family&quot;:&quot;Franklin&quot;,&quot;given&quot;:&quot;Craig L.&quot;,&quot;parse-names&quot;:false,&quot;dropping-particle&quot;:&quot;&quot;,&quot;non-dropping-particle&quot;:&quot;&quot;},{&quot;family&quot;:&quot;Ericsson&quot;,&quot;given&quot;:&quot;Aaron C.&quot;,&quot;parse-names&quot;:false,&quot;dropping-particle&quot;:&quot;&quot;,&quot;non-dropping-particle&quot;:&quot;&quot;}],&quot;container-title&quot;:&quot;Lab Animal&quot;,&quot;DOI&quot;:&quot;10.1038/laban.1222&quot;,&quot;ISSN&quot;:&quot;15484475&quot;,&quot;issued&quot;:{&quot;date-parts&quot;:[[2017]]},&quot;page&quot;:&quot;114-122&quot;,&quot;abstract&quot;:&quot;The gut microbiota (GM) plays a critical role in human health and disease. Likewise, it is becoming increasingly evident that changes or disruptions to the GM can have significant effects on animal models and their expressed phenotypes, adding a complex and important variable into basic research and preclinical studies. In this article, we review some of the most common sources of GM variability in rodent models, and discuss measures to address this variability for improved reproducibility.&quot;,&quot;publisher&quot;:&quot;Nature Publishing Group&quot;,&quot;issue&quot;:&quot;4&quot;,&quot;volume&quot;:&quot;46&quot;,&quot;container-title-short&quot;:&quot;&quot;},&quot;isTemporary&quot;:false}]},{&quot;citationID&quot;:&quot;MENDELEY_CITATION_c5a4fd03-184f-4e56-bc39-082bb765ff21&quot;,&quot;properties&quot;:{&quot;noteIndex&quot;:0},&quot;isEdited&quot;:false,&quot;manualOverride&quot;:{&quot;isManuallyOverridden&quot;:false,&quot;citeprocText&quot;:&quot;&lt;sup&gt;157,158&lt;/sup&gt;&quot;,&quot;manualOverrideText&quot;:&quot;&quot;},&quot;citationTag&quot;:&quot;MENDELEY_CITATION_v3_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&quot;,&quot;citationItems&quot;:[{&quot;id&quot;:&quot;14996047-ea0a-37b0-87df-687900909025&quot;,&quot;itemData&quot;:{&quot;type&quot;:&quot;article-journal&quot;,&quot;id&quot;:&quot;14996047-ea0a-37b0-87df-687900909025&quot;,&quot;title&quot;:&quot;Use of germ-free animal models in microbiota-related research&quot;,&quot;author&quot;:[{&quot;family&quot;:&quot;Al-Asmakh&quot;,&quot;given&quot;:&quot;Maha&quot;,&quot;parse-names&quot;:false,&quot;dropping-particle&quot;:&quot;&quot;,&quot;non-dropping-particle&quot;:&quot;&quot;},{&quot;family&quot;:&quot;Zadjali&quot;,&quot;given&quot;:&quot;Fahad&quot;,&quot;parse-names&quot;:false,&quot;dropping-particle&quot;:&quot;&quot;,&quot;non-dropping-particle&quot;:&quot;&quot;}],&quot;container-title&quot;:&quot;Journal of Microbiology and Biotechnology&quot;,&quot;DOI&quot;:&quot;10.4014/jmb.1501.01039&quot;,&quot;ISBN&quot;:&quot;9744493135&quot;,&quot;ISSN&quot;:&quot;17388872&quot;,&quot;PMID&quot;:&quot;26032361&quot;,&quot;issued&quot;:{&quot;date-parts&quot;:[[2015]]},&quot;page&quot;:&quot;1583-1588&quot;,&quot;abstract&quot;:&quot;The large intestine is a home for trillions of microbiota, which confer many benefits on the host, including production of vitamins, absorption of nutrients, pathogen displacement, and development of the immune system. For several decades, germ-free animals have been used to study the interaction between the host and its microbiota. This minireview describes the technical aspects for establishing and maintaining germ-free animals and highlights the advantages and disadvantages for germ-free animals as experimental models.&quot;,&quot;issue&quot;:&quot;10&quot;,&quot;volume&quot;:&quot;25&quot;,&quot;container-title-short&quot;:&quot;&quot;},&quot;isTemporary&quot;:false},{&quot;id&quot;:&quot;c5b685bc-1d11-3544-8b4f-4557ad4cdca1&quot;,&quot;itemData&quot;:{&quot;type&quot;:&quot;article-journal&quot;,&quot;id&quot;:&quot;c5b685bc-1d11-3544-8b4f-4557ad4cdca1&quot;,&quot;title&quot;:&quot;Extensive personal human gut microbiota culture collections characterized and manipulated in gnotobiotic mice&quot;,&quot;author&quot;:[{&quot;family&quot;:&quot;Goodman&quot;,&quot;given&quot;:&quot;Andrew L.&quot;,&quot;parse-names&quot;:false,&quot;dropping-particle&quot;:&quot;&quot;,&quot;non-dropping-particle&quot;:&quot;&quot;},{&quot;family&quot;:&quot;Kallstrom&quot;,&quot;given&quot;:&quot;George&quot;,&quot;parse-names&quot;:false,&quot;dropping-particle&quot;:&quot;&quot;,&quot;non-dropping-particle&quot;:&quot;&quot;},{&quot;family&quot;:&quot;Faith&quot;,&quot;given&quot;:&quot;Jeremiah J.&quot;,&quot;parse-names&quot;:false,&quot;dropping-particle&quot;:&quot;&quot;,&quot;non-dropping-particle&quot;:&quot;&quot;},{&quot;family&quot;:&quot;Reyes&quot;,&quot;given&quot;:&quot;Alejandro&quot;,&quot;parse-names&quot;:false,&quot;dropping-particle&quot;:&quot;&quot;,&quot;non-dropping-particle&quot;:&quot;&quot;},{&quot;family&quot;:&quot;Moore&quot;,&quot;given&quot;:&quot;Aimee&quot;,&quot;parse-names&quot;:false,&quot;dropping-particle&quot;:&quot;&quot;,&quot;non-dropping-particle&quot;:&quot;&quot;},{&quot;family&quot;:&quot;Dantas&quot;,&quot;given&quot;:&quot;Gautam&quot;,&quot;parse-names&quot;:false,&quot;dropping-particle&quot;:&quot;&quot;,&quot;non-dropping-particle&quot;:&quot;&quot;},{&quot;family&quot;:&quot;Gordon&quot;,&quot;given&quot;:&quot;Jeffrey I.&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1102938108&quot;,&quot;ISSN&quot;:&quot;10916490&quot;,&quot;issued&quot;:{&quot;date-parts&quot;:[[2011]]},&quot;page&quot;:&quot;6252-6257&quot;,&quot;abstract&quot;:&quot;The proportion of the human gut bacterial community that is recalcitrant to culture remains poorly defined. In this report, we combine high-throughput anaerobic culturing techniques with gnotobiotic animal husbandry and metagenomics to show that the human fecal microbiota consists largely of taxa and predicted functions that are represented in its readily cultured members. When transplanted into gnotobiotic mice, complete and cultured communities exhibit similar colonization dynamics, biogeographical distribution, and responses to dietary perturbations. Moreover, gnotobiotic mice can be used to shape these personalized culture collections to enrich for taxa suited to specific diets. We also demonstrate that thousands of isolates from a single donor can be clonally archived and taxonomically mapped in multiwell format to create personalized microbiota collections. Retrieving components of a microbiota that have coexisted in single donors who have physiologic or disease phenotypes of interest and reuniting them in various combinations in gnotobiotic mice should facilitate preclinical studies designed to determine the degree to which tractable bacterial taxa are able to transmit donor traits or influence host biology.&quot;,&quot;issue&quot;:&quot;15&quot;,&quot;volume&quot;:&quot;108&quot;},&quot;isTemporary&quot;:false}]},{&quot;citationID&quot;:&quot;MENDELEY_CITATION_5977b68d-e7ad-4bfa-b1aa-ee8261e5b3ae&quot;,&quot;properties&quot;:{&quot;noteIndex&quot;:0},&quot;isEdited&quot;:false,&quot;manualOverride&quot;:{&quot;isManuallyOverridden&quot;:false,&quot;citeprocText&quot;:&quot;&lt;sup&gt;159&lt;/sup&gt;&quot;,&quot;manualOverrideText&quot;:&quot;&quot;},&quot;citationTag&quot;:&quot;MENDELEY_CITATION_v3_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&quot;,&quot;citationItems&quot;:[{&quot;id&quot;:&quot;e2b35f0e-fc75-3ed0-85ce-58500fb80200&quot;,&quot;itemData&quot;:{&quot;type&quot;:&quot;article-journal&quot;,&quot;id&quot;:&quot;e2b35f0e-fc75-3ed0-85ce-58500fb80200&quot;,&quot;title&quot;:&quot;Proteomic characterization of intermediate and advanced glycation end-products in commercial milk samples&quot;,&quot;author&quot;:[{&quot;family&quot;:&quot;Renzone&quot;,&quot;given&quot;:&quot;Giovanni&quot;,&quot;parse-names&quot;:false,&quot;dropping-particle&quot;:&quot;&quot;,&quot;non-dropping-particle&quot;:&quot;&quot;},{&quot;family&quot;:&quot;Arena&quot;,&quot;given&quot;:&quot;Simona&quot;,&quot;parse-names&quot;:false,&quot;dropping-particle&quot;:&quot;&quot;,&quot;non-dropping-particle&quot;:&quot;&quot;},{&quot;family&quot;:&quot;Scaloni&quot;,&quot;given&quot;:&quot;Andrea&quot;,&quot;parse-names&quot;:false,&quot;dropping-particle&quot;:&quot;&quot;,&quot;non-dropping-particle&quot;:&quot;&quot;}],&quot;container-title&quot;:&quot;Journal of Proteomics&quot;,&quot;DOI&quot;:&quot;10.1016/j.jprot.2014.12.021&quot;,&quot;ISSN&quot;:&quot;18767737&quot;,&quot;issued&quot;:{&quot;date-parts&quot;:[[2015]]},&quot;abstract&quot;:&quot;The Maillard reaction consists of a number of chemical processes affecting the structure of the proteins present in foods. We previously accomplished the proteomic characterization of the lactosylation targets in commercial milk samples. Although characterizing the early modification derivatives, this analysis did not describe the corresponding advanced glycation end-products (AGEs), which may be formed from the further oxidation of former ones or by reaction of oxidized sugars with proteins, when high temperatures are exploited. To fill this gap, we have used combined proteomic procedures for the systematic characterization of the lactosylated and AGE-containing proteins from the soluble and milk fat globule membrane fraction of various milk products. Besides to confirm all lactulosyl-lysines described previously, 40 novel lactosylation sites were identified. More importantly, 308 additional intermediate and advanced glyco-oxidation derivatives (including cross-linking adducts) were characterized in 31 proteins, providing the widest qualitative inventory of modified species ascertained in commercial milk samples so far. Amadori adducts with glucose/galactose, their dehydration products, carboxymethyllysine and glyoxal-, 3-deoxyglucosone/3-deoxygalactosone- and 3-deoxylactosone-derived dihydroxyimidazolines and/or hemiaminals were the most frequent derivatives observed. Depending on thermal treatment, a variable number of modification sites was identified within each protein; their number increased with harder food processing conditions. Among the modified proteins, species involved in assisting the delivery of nutrients, defense response against pathogens and cellular proliferation/differentiation were highly affected by AGE formation. This may lead to a progressive decrease of the milk nutritional value, as it reduces the protein functional properties, abates the bioavailability of the essential amino acids and eventually affects food digestibility. These aspects are of particular importance in products intended for infant diet, such as milk powders and infant formulas. Biological significance: We used combined shotgun proteomic procedures for the systematic characterization of intermediate and advanced glycoxidation protein products in various raw and commercial milk samples. Several hundreds of modified species were characterized as deriving from 31 milk proteins, providing the widest qualitative inventory of assigned components in this fluid. Amadori adducts with glucose/galactose, their dehydration products, carboxymethyl-lysine, and glyoxal-, 3-deoxyglucosone/3-deoxygalactosone- and 3-deoxylactosone-derived dihydroxyimidazolines and/or hemiaminals were the most frequent derivatives observed. Proteins involved in nutrient delivery, defense response against pathogens and cellular proliferation/differentiation were highly subjected to intermediate and advanced glyco-oxidation modification. This may lead to a progressive decrease of the milk nutritional value, as it reduces the protein functional properties, diminishes the bioavailability of the essential amino acids, eventually affects food digestibility and determines a potential increase of specific allergens. These information are important points of interest to connect the extent of the Maillard reaction present in different commercial samples with the potential nutritional aspects mentioned above. These themes have to be fully evaluated in a next future for a complete estimation of the nutritional and toxicological properties of the dairy products deriving from severe heat processing.&quot;,&quot;volume&quot;:&quot;117&quot;,&quot;container-title-short&quot;:&quot;&quot;},&quot;isTemporary&quot;:false}]},{&quot;citationID&quot;:&quot;MENDELEY_CITATION_8d5da186-f019-4bde-b7a3-dee5c76bd429&quot;,&quot;properties&quot;:{&quot;noteIndex&quot;:0},&quot;isEdited&quot;:false,&quot;manualOverride&quot;:{&quot;isManuallyOverridden&quot;:false,&quot;citeprocText&quot;:&quot;&lt;sup&gt;160,161&lt;/sup&gt;&quot;,&quot;manualOverrideText&quot;:&quot;&quot;},&quot;citationTag&quot;:&quot;MENDELEY_CITATION_v3_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&quot;,&quot;citationItems&quot;:[{&quot;id&quot;:&quot;53c8ce37-f9ad-3290-b4ce-93b0bdaca84f&quot;,&quot;itemData&quot;:{&quot;type&quot;:&quot;article&quot;,&quot;id&quot;:&quot;53c8ce37-f9ad-3290-b4ce-93b0bdaca84f&quot;,&quot;title&quot;:&quot;Dietary Advanced Glycation End Products and Cardiometabolic Risk&quot;,&quot;author&quot;:[{&quot;family&quot;:&quot;Luévano-Contreras&quot;,&quot;given&quot;:&quot;Claudia&quot;,&quot;parse-names&quot;:false,&quot;dropping-particle&quot;:&quot;&quot;,&quot;non-dropping-particle&quot;:&quot;&quot;},{&quot;family&quot;:&quot;Gómez-Ojeda&quot;,&quot;given&quot;:&quot;Armando&quot;,&quot;parse-names&quot;:false,&quot;dropping-particle&quot;:&quot;&quot;,&quot;non-dropping-particle&quot;:&quot;&quot;},{&quot;family&quot;:&quot;Macías-Cervantes&quot;,&quot;given&quot;:&quot;Maciste Habacuc&quot;,&quot;parse-names&quot;:false,&quot;dropping-particle&quot;:&quot;&quot;,&quot;non-dropping-particle&quot;:&quot;&quot;},{&quot;family&quot;:&quot;Garay-Sevilla&quot;,&quot;given&quot;:&quot;Ma Eugenia&quot;,&quot;parse-names&quot;:false,&quot;dropping-particle&quot;:&quot;&quot;,&quot;non-dropping-particle&quot;:&quot;&quot;}],&quot;container-title&quot;:&quot;Current Diabetes Reports&quot;,&quot;DOI&quot;:&quot;10.1007/s11892-017-0891-2&quot;,&quot;ISSN&quot;:&quot;15390829&quot;,&quot;issued&quot;:{&quot;date-parts&quot;:[[2017]]},&quot;abstract&quot;:&quot;Purpose of Review: This report analyzes emerging evidence about the role of dietary advanced glycation end products (AGEs) as a cardiometabolic risk factor. Two important aspects are discussed: First, the modulation of AGE load by dietary AGEs; second, if the evidence of clinical and observational studies is enough to make dietary recommendations towards lowering AGE intake. Recent Findings: Clinical studies in subjects with diabetes mellitus have shown that high intake of dietary AGEs increases inflammation markers, oxidative stress, and could impair endothelial function. In subjects at risk for cardiometabolic diseases (with overweight, obesity, or prediabetes), dietary AGE restriction decreases some inflammatory molecules and improves insulin sensitivity. However, studies in healthy subjects are limited, and not all of the studies have shown a decrease in circulating AGEs. Therefore, it is still unclear if dietary AGEs represent a health concern for people potentially at risk for cardiometabolic diseases. Summary: The evidence shows that dietary AGEs are bioavailable and absorbed, and the rate of excretion depends on dietary intake. The metabolic fate of most dietary AGEs remains unknown. Regardless, most studies have shown that by diminishing AGE intake, circulating levels will also decrease. Thus, dietary AGEs can modulate the AGE load at least in patients with DM, overweight, or obesity. Studies with specific clinical outcomes and large-scale observational studies are needed for a better risk assessment of dietary AGEs and to establish dietary recommendations accordingly.&quot;,&quot;issue&quot;:&quot;8&quot;,&quot;volume&quot;:&quot;17&quot;,&quot;container-title-short&quot;:&quot;&quot;},&quot;isTemporary&quot;:false},{&quot;id&quot;:&quot;140d275d-3cb6-3a2b-b76a-4820f2f8f1c4&quot;,&quot;itemData&quot;:{&quot;type&quot;:&quot;article&quot;,&quot;id&quot;:&quot;140d275d-3cb6-3a2b-b76a-4820f2f8f1c4&quot;,&quot;title&quot;:&quot;Dietary Acrylamide and the Risks of Developing Cancer: Facts to Ponder&quot;,&quot;author&quot;:[{&quot;family&quot;:&quot;Kumar&quot;,&quot;given&quot;:&quot;Jaya&quot;,&quot;parse-names&quot;:false,&quot;dropping-particle&quot;:&quot;&quot;,&quot;non-dropping-particle&quot;:&quot;&quot;},{&quot;family&quot;:&quot;Das&quot;,&quot;given&quot;:&quot;Srijit&quot;,&quot;parse-names&quot;:false,&quot;dropping-particle&quot;:&quot;&quot;,&quot;non-dropping-particle&quot;:&quot;&quot;},{&quot;family&quot;:&quot;Teoh&quot;,&quot;given&quot;:&quot;Seong Lin&quot;,&quot;parse-names&quot;:false,&quot;dropping-particle&quot;:&quot;&quot;,&quot;non-dropping-particle&quot;:&quot;&quot;}],&quot;container-title&quot;:&quot;Frontiers in Nutrition&quot;,&quot;DOI&quot;:&quot;10.3389/fnut.2018.00014&quot;,&quot;ISSN&quot;:&quot;2296861X&quot;,&quot;issued&quot;:{&quot;date-parts&quot;:[[2018]]},&quot;abstract&quot;:&quot;Acrylamide (AA) is a water soluble white crystalline solid commonly used in industries. It was listed as an industrial chemical with potential carcinogenic properties. However to date, AA was used to produce polyacrylamide polymer, which was widely used as a coagulant in water treatment; additives during papermaking; grouting material for dams, tunnels, and other underground building constructions. AA in food could be formed during high-temperature cooking via several mechanisms, i.e., formation via acrylic acid which may be derived from the degradation of lipid, carbohydrates, or free amino acids; formation via the dehydration/decarboxylation of organic acids (malic acid, lactic acid, and citric acid); and direct formation from amino acids. The big debate is whether this compound is toxic to human beings or not. In the present review, we discuss the formation of AA in food products, its consumption, and possible link to the development of any cancers. We discuss the body enzymatic influence on AA and mechanism of action of AA on hormone, calcium signaling pathways, and cytoskeletal filaments. We also highlight the deleterious effects of AA on nervous system, reproductive system, immune system, and the liver. The present and future mitigation strategies are also discussed. The present review on AA may be beneficial for researchers, food industry, and also medical personnel.&quot;,&quot;volume&quot;:&quot;5&quot;,&quot;container-title-short&quot;:&quot;&quot;},&quot;isTemporary&quot;:false}]},{&quot;citationID&quot;:&quot;MENDELEY_CITATION_40c5337a-1201-4876-a3e2-4fb866d32f94&quot;,&quot;properties&quot;:{&quot;noteIndex&quot;:0},&quot;isEdited&quot;:false,&quot;manualOverride&quot;:{&quot;isManuallyOverridden&quot;:false,&quot;citeprocText&quot;:&quot;&lt;sup&gt;162&lt;/sup&gt;&quot;,&quot;manualOverrideText&quot;:&quot;&quot;},&quot;citationTag&quot;:&quot;MENDELEY_CITATION_v3_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&quot;,&quot;citationItems&quot;:[{&quot;id&quot;:&quot;47282d4d-14ba-3a70-8bda-9b199b617b6a&quot;,&quot;itemData&quot;:{&quot;type&quot;:&quot;article-journal&quot;,&quot;id&quot;:&quot;47282d4d-14ba-3a70-8bda-9b199b617b6a&quot;,&quot;title&quot;:&quot;Modulation of gut microbiota dysbioses in type 2 diabetic patients by macrobiotic Ma-Pi 2 diet&quot;,&quot;author&quot;:[{&quot;family&quot;:&quot;Candela&quot;,&quot;given&quot;:&quot;Marco&quot;,&quot;parse-names&quot;:false,&quot;dropping-particle&quot;:&quot;&quot;,&quot;non-dropping-particle&quot;:&quot;&quot;},{&quot;family&quot;:&quot;Biagi&quot;,&quot;given&quot;:&quot;Elena&quot;,&quot;parse-names&quot;:false,&quot;dropping-particle&quot;:&quot;&quot;,&quot;non-dropping-particle&quot;:&quot;&quot;},{&quot;family&quot;:&quot;Soverini&quot;,&quot;given&quot;:&quot;Matteo&quot;,&quot;parse-names&quot;:false,&quot;dropping-particle&quot;:&quot;&quot;,&quot;non-dropping-particle&quot;:&quot;&quot;},{&quot;family&quot;:&quot;Consolandi&quot;,&quot;given&quot;:&quot;Clarissa&quot;,&quot;parse-names&quot;:false,&quot;dropping-particle&quot;:&quot;&quot;,&quot;non-dropping-particle&quot;:&quot;&quot;},{&quot;family&quot;:&quot;Quercia&quot;,&quot;given&quot;:&quot;Sara&quot;,&quot;parse-names&quot;:false,&quot;dropping-particle&quot;:&quot;&quot;,&quot;non-dropping-particle&quot;:&quot;&quot;},{&quot;family&quot;:&quot;Severgnini&quot;,&quot;given&quot;:&quot;Marco&quot;,&quot;parse-names&quot;:false,&quot;dropping-particle&quot;:&quot;&quot;,&quot;non-dropping-particle&quot;:&quot;&quot;},{&quot;family&quot;:&quot;Peano&quot;,&quot;given&quot;:&quot;Clelia&quot;,&quot;parse-names&quot;:false,&quot;dropping-particle&quot;:&quot;&quot;,&quot;non-dropping-particle&quot;:&quot;&quot;},{&quot;family&quot;:&quot;Turroni&quot;,&quot;given&quot;:&quot;Silvia&quot;,&quot;parse-names&quot;:false,&quot;dropping-particle&quot;:&quot;&quot;,&quot;non-dropping-particle&quot;:&quot;&quot;},{&quot;family&quot;:&quot;Rampelli&quot;,&quot;given&quot;:&quot;Simone&quot;,&quot;parse-names&quot;:false,&quot;dropping-particle&quot;:&quot;&quot;,&quot;non-dropping-particle&quot;:&quot;&quot;},{&quot;family&quot;:&quot;Pozzilli&quot;,&quot;given&quot;:&quot;Paolo&quot;,&quot;parse-names&quot;:false,&quot;dropping-particle&quot;:&quot;&quot;,&quot;non-dropping-particle&quot;:&quot;&quot;},{&quot;family&quot;:&quot;Pianesi&quot;,&quot;given&quot;:&quot;Mario&quot;,&quot;parse-names&quot;:false,&quot;dropping-particle&quot;:&quot;&quot;,&quot;non-dropping-particle&quot;:&quot;&quot;},{&quot;family&quot;:&quot;Fallucca&quot;,&quot;given&quot;:&quot;Francesco&quot;,&quot;parse-names&quot;:false,&quot;dropping-particle&quot;:&quot;&quot;,&quot;non-dropping-particle&quot;:&quot;&quot;},{&quot;family&quot;:&quot;Brigidi&quot;,&quot;given&quot;:&quot;Patrizia&quot;,&quot;parse-names&quot;:false,&quot;dropping-particle&quot;:&quot;&quot;,&quot;non-dropping-particle&quot;:&quot;&quot;}],&quot;container-title&quot;:&quot;British Journal of Nutrition&quot;,&quot;DOI&quot;:&quot;10.1017/S0007114516001045&quot;,&quot;ISSN&quot;:&quot;14752662&quot;,&quot;issued&quot;:{&quot;date-parts&quot;:[[2016]]},&quot;abstract&quot;:&quot;The gut microbiota exerts a role in type 2 diabetes (T2D), and deviations from a mutualistic ecosystem layout are considered a key environmental factor contributing to the disease. Thus, the possibility of improving metabolic control in T2D by correcting gut microbiome dysbioses through diet has been evaluated. Here, we explore the potential of two different energy-restricted dietary approaches - the fibre-rich macrobiotic Ma-Pi 2 diet or a control diet recommended by Italian professional societies for T2D treatment - to correct gut microbiota dysbioses in T2D patients. In a previous 21-d open-label MADIAB trial, fifty-six overweight T2D patients were randomised to the Ma-Pi 2 or the control diet. For the present study, stools were collected before and after intervention from a subset of forty MADIAB participants, allowing us to characterise the gut microbiota by 16S rRNA sequencing and imputed metagenomics. To highlight microbiota dysbioses in T2D, the gut microbiota of thirteen normal-weight healthy controls were characterised. According to our findings, both diets were effective in modulating gut microbiome dysbioses in T2D, resulting in an increase of the ecosystem diversity and supporting the recovery of a balanced community of health-promoting SCFA producers, such as Faecalibacterium, Roseburia, Lachnospira, Bacteroides and Akkermansia. The Ma-Pi 2 diet, but not the control diet, was also effective in counteracting the increase of possible pro-inflammatory groups, such as Collinsella and Streptococcus, in the gut ecosystem, showing the potential to reverse pro-inflammatory dysbioses in T2D, and possibly explaining the greater efficacy in improving the metabolic control.&quot;,&quot;issue&quot;:&quot;1&quot;,&quot;volume&quot;:&quot;116&quot;,&quot;container-title-short&quot;:&quot;&quot;},&quot;isTemporary&quot;:false}]},{&quot;citationID&quot;:&quot;MENDELEY_CITATION_09868a6a-8595-422d-a33d-7b96f1b3f433&quot;,&quot;properties&quot;:{&quot;noteIndex&quot;:0},&quot;isEdited&quot;:false,&quot;manualOverride&quot;:{&quot;isManuallyOverridden&quot;:false,&quot;citeprocText&quot;:&quot;&lt;sup&gt;163&lt;/sup&gt;&quot;,&quot;manualOverrideText&quot;:&quot;&quot;},&quot;citationTag&quot;:&quot;MENDELEY_CITATION_v3_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&quot;,&quot;citationItems&quot;:[{&quot;id&quot;:&quot;f7ad2dcf-9e3d-390e-b3fb-8925cbaeb49d&quot;,&quot;itemData&quot;:{&quot;type&quot;:&quot;article-journal&quot;,&quot;id&quot;:&quot;f7ad2dcf-9e3d-390e-b3fb-8925cbaeb49d&quot;,&quot;title&quot;:&quot;Construction and optimization of a heterologous pathway for protocatechuate catabolism in escherichia coli enables bioconversion of model aromatic compounds&quot;,&quot;author&quot;:[{&quot;family&quot;:&quot;Clarkson&quot;,&quot;given&quot;:&quot;Sonya M.&quot;,&quot;parse-names&quot;:false,&quot;dropping-particle&quot;:&quot;&quot;,&quot;non-dropping-particle&quot;:&quot;&quot;},{&quot;family&quot;:&quot;Giannone&quot;,&quot;given&quot;:&quot;Richard J.&quot;,&quot;parse-names&quot;:false,&quot;dropping-particle&quot;:&quot;&quot;,&quot;non-dropping-particle&quot;:&quot;&quot;},{&quot;family&quot;:&quot;Kridelbaugh&quot;,&quot;given&quot;:&quot;Donna M.&quot;,&quot;parse-names&quot;:false,&quot;dropping-particle&quot;:&quot;&quot;,&quot;non-dropping-particle&quot;:&quot;&quot;},{&quot;family&quot;:&quot;Elkins&quot;,&quot;given&quot;:&quot;James G.&quot;,&quot;parse-names&quot;:false,&quot;dropping-particle&quot;:&quot;&quot;,&quot;non-dropping-particle&quot;:&quot;&quot;},{&quot;family&quot;:&quot;Guss&quot;,&quot;given&quot;:&quot;Adam M.&quot;,&quot;parse-names&quot;:false,&quot;dropping-particle&quot;:&quot;&quot;,&quot;non-dropping-particle&quot;:&quot;&quot;},{&quot;family&quot;:&quot;Michenera&quot;,&quot;given&quot;:&quot;Joshua K.&quot;,&quot;parse-names&quot;:false,&quot;dropping-particle&quot;:&quot;&quot;,&quot;non-dropping-particle&quot;:&quot;&quot;}],&quot;container-title&quot;:&quot;Applied and Environmental Microbiology&quot;,&quot;DOI&quot;:&quot;10.1128/AEM.01313-17&quot;,&quot;ISSN&quot;:&quot;10985336&quot;,&quot;PMID&quot;:&quot;28733280&quot;,&quot;issued&quot;:{&quot;date-parts&quot;:[[2017]]},&quot;abstract&quot;:&quot;The production of biofuels from lignocellulose yields a substantial lignin by-product stream that currently has few applications. Biological conversion of lignin-derived compounds into chemicals and fuels has the potential to improve the economics of lignocellulose-derived biofuels, but few microbes are able both to catabolize lignin-derived aromatic compounds and to generate valuable products. While Escherichia coli has been engineered to produce a variety of fuels and chemicals, it is incapable of catabolizing most aromatic compounds. Therefore, we engineered E. coli to catabolize protocatechuate, a common intermediate in lignin degradation, as the sole source of carbon and energy via heterologous expression of a nine-gene pathway from Pseudomonas putida KT2440. We next used experimental evolution to select for mutations that increased growth with protocatechuate more than 2-fold. Increasing the strength of a single ribosome binding site in the heterologous pathway was sufficient to recapitulate the increased growth. After optimization of the core pathway, we extended the pathway to enable catabolism of a second model compound, 4-hydroxybenzoate. These engineered strains will be useful platforms to discover, characterize, and optimize pathways for conversions of ligninderived aromatics.&quot;,&quot;issue&quot;:&quot;18&quot;,&quot;volume&quot;:&quot;83&quot;,&quot;container-title-short&quot;:&quot;&quot;},&quot;isTemporary&quot;:false}]},{&quot;citationID&quot;:&quot;MENDELEY_CITATION_3c29fa06-e53e-44d8-afee-2d918a85f4fb&quot;,&quot;properties&quot;:{&quot;noteIndex&quot;:0},&quot;isEdited&quot;:false,&quot;manualOverride&quot;:{&quot;isManuallyOverridden&quot;:false,&quot;citeprocText&quot;:&quot;&lt;sup&gt;164&lt;/sup&gt;&quot;,&quot;manualOverrideText&quot;:&quot;&quot;},&quot;citationTag&quot;:&quot;MENDELEY_CITATION_v3_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&quot;,&quot;citationItems&quot;:[{&quot;id&quot;:&quot;ce7cd42e-c38c-3c6c-9c7f-7877fe70fa44&quot;,&quot;itemData&quot;:{&quot;type&quot;:&quot;article-journal&quot;,&quot;id&quot;:&quot;ce7cd42e-c38c-3c6c-9c7f-7877fe70fa44&quot;,&quot;title&quot;:&quot;Rescuing Those Left Behind: Recovering and Characterizing Underdigested Membrane and Hydrophobic Proteins To Enhance Proteome Measurement Depth&quot;,&quot;author&quot;:[{&quot;family&quot;:&quot;Giannone&quot;,&quot;given&quot;:&quot;Richard J.&quot;,&quot;parse-names&quot;:false,&quot;dropping-particle&quot;:&quot;&quot;,&quot;non-dropping-particle&quot;:&quot;&quot;},{&quot;family&quot;:&quot;Wurch&quot;,&quot;given&quot;:&quot;Louie L.&quot;,&quot;parse-names&quot;:false,&quot;dropping-particle&quot;:&quot;&quot;,&quot;non-dropping-particle&quot;:&quot;&quot;},{&quot;family&quot;:&quot;Podar&quot;,&quot;given&quot;:&quot;Mircea&quot;,&quot;parse-names&quot;:false,&quot;dropping-particle&quot;:&quot;&quot;,&quot;non-dropping-particle&quot;:&quot;&quot;},{&quot;family&quot;:&quot;Hettich&quot;,&quot;given&quot;:&quot;Robert L.&quot;,&quot;parse-names&quot;:false,&quot;dropping-particle&quot;:&quot;&quot;,&quot;non-dropping-particle&quot;:&quot;&quot;}],&quot;container-title&quot;:&quot;Analytical Chemistry&quot;,&quot;DOI&quot;:&quot;10.1021/acs.analchem.5b01187&quot;,&quot;ISBN&quot;:&quot;0003-2700&quot;,&quot;ISSN&quot;:&quot;15206882&quot;,&quot;PMID&quot;:&quot;26110888&quot;,&quot;issued&quot;:{&quot;date-parts&quot;:[[2015]]},&quot;page&quot;:&quot;7720-7728&quot;,&quot;abstract&quot;:&quot;The marine archaeon Nanoarchaeum equitans is dependent on direct physical contact with its host, the hyperthermophile Ignicoccus hospitalis. As this interaction is thought to be membrane-associated, involving a myriad of membrane-anchored proteins, proteomic efforts to better characterize this difficult to analyze interface are paramount to uncovering the mechanism of their association. By extending multienzyme digestion strategies that use sample filtration to recover underdigested proteins for reprocessing/consecutive proteolytic digestion, we applied chymotrypsin to redigest the proteinaceous material left over after initial proteolysis with trypsin of sodium dodecyl sulfate (SDS)-extracted I. hospitalis-N. equitans proteins. Using this method, we show that proteins with increased hydrophobic character, including membrane proteins with multiple transmembrane helices, are enriched and recovered in the underdigested fraction. Chymotryptic reprocessing provided significant sequence coverage gains in both soluble and hydrophobic proteins alike, with the latter benefiting more so in terms of membrane protein representation. These gains were despite a large proportion of high-quality peptide spectra remaining unassigned in the underdigested fraction suggesting high levels of protein modification on these often surface-exposed proteins. Importantly, these gains were achieved without applying extensive fractionation strategies usually required for thorough characterization of membrane-associated proteins and were facilitated by the generation of a distinct, complementary set of peptides that aid in both the identification and quantitation of this important, under-represented class of proteins.&quot;,&quot;issue&quot;:&quot;15&quot;,&quot;volume&quot;:&quot;87&quot;,&quot;container-title-short&quot;:&quot;&quot;},&quot;isTemporary&quot;:false}]},{&quot;citationID&quot;:&quot;MENDELEY_CITATION_e778e722-cdde-4291-8aae-dcebe9d70727&quot;,&quot;properties&quot;:{&quot;noteIndex&quot;:0},&quot;isEdited&quot;:false,&quot;manualOverride&quot;:{&quot;isManuallyOverridden&quot;:false,&quot;citeprocText&quot;:&quot;&lt;sup&gt;163&lt;/sup&gt;&quot;,&quot;manualOverrideText&quot;:&quot;&quot;},&quot;citationTag&quot;:&quot;MENDELEY_CITATION_v3_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&quot;,&quot;citationItems&quot;:[{&quot;id&quot;:&quot;f7ad2dcf-9e3d-390e-b3fb-8925cbaeb49d&quot;,&quot;itemData&quot;:{&quot;type&quot;:&quot;article-journal&quot;,&quot;id&quot;:&quot;f7ad2dcf-9e3d-390e-b3fb-8925cbaeb49d&quot;,&quot;title&quot;:&quot;Construction and optimization of a heterologous pathway for protocatechuate catabolism in escherichia coli enables bioconversion of model aromatic compounds&quot;,&quot;author&quot;:[{&quot;family&quot;:&quot;Clarkson&quot;,&quot;given&quot;:&quot;Sonya M.&quot;,&quot;parse-names&quot;:false,&quot;dropping-particle&quot;:&quot;&quot;,&quot;non-dropping-particle&quot;:&quot;&quot;},{&quot;family&quot;:&quot;Giannone&quot;,&quot;given&quot;:&quot;Richard J.&quot;,&quot;parse-names&quot;:false,&quot;dropping-particle&quot;:&quot;&quot;,&quot;non-dropping-particle&quot;:&quot;&quot;},{&quot;family&quot;:&quot;Kridelbaugh&quot;,&quot;given&quot;:&quot;Donna M.&quot;,&quot;parse-names&quot;:false,&quot;dropping-particle&quot;:&quot;&quot;,&quot;non-dropping-particle&quot;:&quot;&quot;},{&quot;family&quot;:&quot;Elkins&quot;,&quot;given&quot;:&quot;James G.&quot;,&quot;parse-names&quot;:false,&quot;dropping-particle&quot;:&quot;&quot;,&quot;non-dropping-particle&quot;:&quot;&quot;},{&quot;family&quot;:&quot;Guss&quot;,&quot;given&quot;:&quot;Adam M.&quot;,&quot;parse-names&quot;:false,&quot;dropping-particle&quot;:&quot;&quot;,&quot;non-dropping-particle&quot;:&quot;&quot;},{&quot;family&quot;:&quot;Michenera&quot;,&quot;given&quot;:&quot;Joshua K.&quot;,&quot;parse-names&quot;:false,&quot;dropping-particle&quot;:&quot;&quot;,&quot;non-dropping-particle&quot;:&quot;&quot;}],&quot;container-title&quot;:&quot;Applied and Environmental Microbiology&quot;,&quot;DOI&quot;:&quot;10.1128/AEM.01313-17&quot;,&quot;ISSN&quot;:&quot;10985336&quot;,&quot;PMID&quot;:&quot;28733280&quot;,&quot;issued&quot;:{&quot;date-parts&quot;:[[2017]]},&quot;abstract&quot;:&quot;The production of biofuels from lignocellulose yields a substantial lignin by-product stream that currently has few applications. Biological conversion of lignin-derived compounds into chemicals and fuels has the potential to improve the economics of lignocellulose-derived biofuels, but few microbes are able both to catabolize lignin-derived aromatic compounds and to generate valuable products. While Escherichia coli has been engineered to produce a variety of fuels and chemicals, it is incapable of catabolizing most aromatic compounds. Therefore, we engineered E. coli to catabolize protocatechuate, a common intermediate in lignin degradation, as the sole source of carbon and energy via heterologous expression of a nine-gene pathway from Pseudomonas putida KT2440. We next used experimental evolution to select for mutations that increased growth with protocatechuate more than 2-fold. Increasing the strength of a single ribosome binding site in the heterologous pathway was sufficient to recapitulate the increased growth. After optimization of the core pathway, we extended the pathway to enable catabolism of a second model compound, 4-hydroxybenzoate. These engineered strains will be useful platforms to discover, characterize, and optimize pathways for conversions of ligninderived aromatics.&quot;,&quot;issue&quot;:&quot;18&quot;,&quot;volume&quot;:&quot;83&quot;,&quot;container-title-short&quot;:&quot;&quot;},&quot;isTemporary&quot;:false}]},{&quot;citationID&quot;:&quot;MENDELEY_CITATION_7913c274-ad2c-46d8-94e2-8b3f649b35b7&quot;,&quot;properties&quot;:{&quot;noteIndex&quot;:0},&quot;isEdited&quot;:false,&quot;manualOverride&quot;:{&quot;isManuallyOverridden&quot;:false,&quot;citeprocText&quot;:&quot;&lt;sup&gt;165&lt;/sup&gt;&quot;,&quot;manualOverrideText&quot;:&quot;&quot;},&quot;citationTag&quot;:&quot;MENDELEY_CITATION_v3_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&quot;,&quot;citationItems&quot;:[{&quot;id&quot;:&quot;10b4bda4-d5c1-342c-ba4e-d167fbeb70ef&quot;,&quot;itemData&quot;:{&quot;type&quot;:&quot;article-journal&quot;,&quot;id&quot;:&quot;10b4bda4-d5c1-342c-ba4e-d167fbeb70ef&quot;,&quot;title&quot;:&quot;Identifying Proteomic LC-MS/MS data sets with bumbershoot and IDpicker&quot;,&quot;author&quot;:[{&quot;family&quot;:&quot;Holman&quot;,&quot;given&quot;:&quot;Jerry D.&quot;,&quot;parse-names&quot;:false,&quot;dropping-particle&quot;:&quot;&quot;,&quot;non-dropping-particle&quot;:&quot;&quot;},{&quot;family&quot;:&quot;Ma&quot;,&quot;given&quot;:&quot;Ze Qiang&quot;,&quot;parse-names&quot;:false,&quot;dropping-particle&quot;:&quot;&quot;,&quot;non-dropping-particle&quot;:&quot;&quot;},{&quot;family&quot;:&quot;Tabb&quot;,&quot;given&quot;:&quot;David L.&quot;,&quot;parse-names&quot;:false,&quot;dropping-particle&quot;:&quot;&quot;,&quot;non-dropping-particle&quot;:&quot;&quot;}],&quot;container-title&quot;:&quot;Current Protocols in Bioinformatics&quot;,&quot;DOI&quot;:&quot;10.1002/0471250953.bi1317s37&quot;,&quot;ISBN&quot;:&quot;0471250953&quot;,&quot;ISSN&quot;:&quot;19343396&quot;,&quot;PMID&quot;:&quot;22389012&quot;,&quot;issued&quot;:{&quot;date-parts&quot;:[[2012]]},&quot;page&quot;:&quot;1-15&quot;,&quot;abstract&quot;:&quot;The identification of peptides and proteins by LC-MS/MS requires the use of bioinformatics. Tools developed in the Tabb Laboratory contribute significant flexibility and discrimination to this process. The Bumbershoot tools (MyriMatch,DirecTag, TagRecon, and Pepitome) enable the identification of peptides represented by MS/MS scans. All of these tools can work directly from instrument capture files of multiple vendors, such as Thermo RAWformat, or from standard XML-based formats, such as mzML or mzXML. Peptide identifications are written to mzIdentML or pepXML format. Protein assembly is handled by the IDPicker algorithm. Raw identifications are filtered to a confident set by use of the target-decoy strategy. IDPicker arranges large sets of input files into a hierarchy for reporting, and the software applies a parsimony algorithm to report the smallest possible number of proteins to explain the observed peptides. This protocol details the use of these tools for new users. © 2012 by John Wiley &amp; Sons, Inc.&quot;,&quot;issue&quot;:&quot;SUPPL.37&quot;,&quot;container-title-short&quot;:&quot;&quot;},&quot;isTemporary&quot;:false}]},{&quot;citationID&quot;:&quot;MENDELEY_CITATION_9260575b-aa34-4d5f-a9de-ddcfd649386e&quot;,&quot;properties&quot;:{&quot;noteIndex&quot;:0},&quot;isEdited&quot;:false,&quot;manualOverride&quot;:{&quot;isManuallyOverridden&quot;:false,&quot;citeprocText&quot;:&quot;&lt;sup&gt;166&lt;/sup&gt;&quot;,&quot;manualOverrideText&quot;:&quot;&quot;},&quot;citationTag&quot;:&quot;MENDELEY_CITATION_v3_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&quot;,&quot;citationItems&quot;:[{&quot;id&quot;:&quot;46cbefa6-a5f2-3578-8317-c79bddbb2f37&quot;,&quot;itemData&quot;:{&quot;type&quot;:&quot;article-journal&quot;,&quot;id&quot;:&quot;46cbefa6-a5f2-3578-8317-c79bddbb2f37&quot;,&quot;title&quot;:&quot;MSFragger: Ultrafast and comprehensive peptide identification in mass spectrometry-based proteomics&quot;,&quot;author&quot;:[{&quot;family&quot;:&quot;Kong&quot;,&quot;given&quot;:&quot;Andy T.&quot;,&quot;parse-names&quot;:false,&quot;dropping-particle&quot;:&quot;&quot;,&quot;non-dropping-particle&quot;:&quot;&quot;},{&quot;family&quot;:&quot;Leprevost&quot;,&quot;given&quot;:&quot;Felipe&quot;,&quot;parse-names&quot;:false,&quot;dropping-particle&quot;:&quot;v.&quot;,&quot;non-dropping-particle&quot;:&quot;&quot;},{&quot;family&quot;:&quot;Avtonomov&quot;,&quot;given&quot;:&quot;Dmitry M.&quot;,&quot;parse-names&quot;:false,&quot;dropping-particle&quot;:&quot;&quot;,&quot;non-dropping-particle&quot;:&quot;&quot;},{&quot;family&quot;:&quot;Mellacheruvu&quot;,&quot;given&quot;:&quot;Dattatreya&quot;,&quot;parse-names&quot;:false,&quot;dropping-particle&quot;:&quot;&quot;,&quot;non-dropping-particle&quot;:&quot;&quot;},{&quot;family&quot;:&quot;Nesvizhskii&quot;,&quot;given&quot;:&quot;Alexey I.&quot;,&quot;parse-names&quot;:false,&quot;dropping-particle&quot;:&quot;&quot;,&quot;non-dropping-particle&quot;:&quot;&quot;}],&quot;container-title&quot;:&quot;Nature Methods&quot;,&quot;DOI&quot;:&quot;10.1038/nmeth.4256&quot;,&quot;ISSN&quot;:&quot;15487105&quot;,&quot;PMID&quot;:&quot;28394336&quot;,&quot;issued&quot;:{&quot;date-parts&quot;:[[2017]]},&quot;page&quot;:&quot;513-520&quot;,&quot;abstract&quot;:&quot;There is a need to better understand and handle the 'dark matter' of proteomics-the vast diversity of post-translational and chemical modifications that are unaccounted in a typical mass spectrometry-based analysis and thus remain unidentified. We present a fragment-ion indexing method, and its implementation in peptide identification tool MSFragger, that enables a more than 100-fold improvement in speed over most existing proteome database search tools. Using several large proteomic data sets, we demonstrate how MSFragger empowers the open database search concept for comprehensive identification of peptides and all their modified forms, uncovering dramatic differences in modification rates across experimental samples and conditions. We further illustrate its utility using protein-RNA cross-linked peptide data and using affinity purification experiments where we observe, on average, a 300% increase in the number of identified spectra for enriched proteins. We also discuss the benefits of open searching for improved false discovery rate estimation in proteomics.&quot;,&quot;issue&quot;:&quot;5&quot;,&quot;volume&quot;:&quot;14&quot;,&quot;container-title-short&quot;:&quot;&quot;},&quot;isTemporary&quot;:false}]},{&quot;citationID&quot;:&quot;MENDELEY_CITATION_1cfe7357-d6ca-422e-b909-950f7411be7c&quot;,&quot;properties&quot;:{&quot;noteIndex&quot;:0},&quot;isEdited&quot;:false,&quot;manualOverride&quot;:{&quot;isManuallyOverridden&quot;:false,&quot;citeprocText&quot;:&quot;&lt;sup&gt;167&lt;/sup&gt;&quot;,&quot;manualOverrideText&quot;:&quot;&quot;},&quot;citationTag&quot;:&quot;MENDELEY_CITATION_v3_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&quot;,&quot;citationItems&quot;:[{&quot;id&quot;:&quot;0ba9efd1-5449-3e8f-be9d-d23d955382c6&quot;,&quot;itemData&quot;:{&quot;type&quot;:&quot;article-journal&quot;,&quot;id&quot;:&quot;0ba9efd1-5449-3e8f-be9d-d23d955382c6&quot;,&quot;title&quot;:&quot;Identifying Gut Microbe-Host Phenotype Relationships Using Combinatorial Communities in Gnotobiotic Mice&quot;,&quot;author&quot;:[{&quot;family&quot;:&quot;Jeremiah J. Faith, Philip P. Ahern, Vanessa K. Ridaura, Jiye Cheng&quot;,&quot;given&quot;:&quot;Jeffrey I.&quot;,&quot;parse-names&quot;:false,&quot;dropping-particle&quot;:&quot;&quot;,&quot;non-dropping-particle&quot;:&quot;&quot;},{&quot;family&quot;:&quot;Gordon&quot;,&quot;given&quot;:&quot;&quot;,&quot;parse-names&quot;:false,&quot;dropping-particle&quot;:&quot;&quot;,&quot;non-dropping-particle&quot;:&quot;&quot;}],&quot;DOI&quot;:&quot;10.1126/scitranslmed.3008051.Identifying&quot;,&quot;issued&quot;:{&quot;date-parts&quot;:[[2014]]},&quot;issue&quot;:&quot;220&quot;,&quot;volume&quot;:&quot;6&quot;,&quot;container-title-short&quot;:&quot;&quot;},&quot;isTemporary&quot;:false}]},{&quot;citationID&quot;:&quot;MENDELEY_CITATION_20405c3e-528d-4c6a-974d-82c7712e88a8&quot;,&quot;properties&quot;:{&quot;noteIndex&quot;:0},&quot;isEdited&quot;:false,&quot;manualOverride&quot;:{&quot;isManuallyOverridden&quot;:false,&quot;citeprocText&quot;:&quot;&lt;sup&gt;168&lt;/sup&gt;&quot;,&quot;manualOverrideText&quot;:&quot;&quot;},&quot;citationTag&quot;:&quot;MENDELEY_CITATION_v3_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&quot;,&quot;citationItems&quot;:[{&quot;id&quot;:&quot;b3bd075d-67bc-33d1-8518-1ee72b901114&quot;,&quot;itemData&quot;:{&quot;type&quot;:&quot;article-journal&quot;,&quot;id&quot;:&quot;b3bd075d-67bc-33d1-8518-1ee72b901114&quot;,&quot;title&quot;:&quot;Gut microbiota from twins discordant for obesity modulate metabolism in mice&quot;,&quot;author&quot;:[{&quot;family&quot;:&quot;Ridaura&quot;,&quot;given&quot;:&quot;Vanessa K.&quot;,&quot;parse-names&quot;:false,&quot;dropping-particle&quot;:&quot;&quot;,&quot;non-dropping-particle&quot;:&quot;&quot;},{&quot;family&quot;:&quot;Faith&quot;,&quot;given&quot;:&quot;Jeremiah J.&quot;,&quot;parse-names&quot;:false,&quot;dropping-particle&quot;:&quot;&quot;,&quot;non-dropping-particle&quot;:&quot;&quot;},{&quot;family&quot;:&quot;Rey&quot;,&quot;given&quot;:&quot;Federico E.&quot;,&quot;parse-names&quot;:false,&quot;dropping-particle&quot;:&quot;&quot;,&quot;non-dropping-particle&quot;:&quot;&quot;},{&quot;family&quot;:&quot;Cheng&quot;,&quot;given&quot;:&quot;Jiye&quot;,&quot;parse-names&quot;:false,&quot;dropping-particle&quot;:&quot;&quot;,&quot;non-dropping-particle&quot;:&quot;&quot;},{&quot;family&quot;:&quot;Duncan&quot;,&quot;given&quot;:&quot;Alexis E.&quot;,&quot;parse-names&quot;:false,&quot;dropping-particle&quot;:&quot;&quot;,&quot;non-dropping-particle&quot;:&quot;&quot;},{&quot;family&quot;:&quot;Kau&quot;,&quot;given&quot;:&quot;Andrew L.&quot;,&quot;parse-names&quot;:false,&quot;dropping-particle&quot;:&quot;&quot;,&quot;non-dropping-particle&quot;:&quot;&quot;},{&quot;family&quot;:&quot;Griffin&quot;,&quot;given&quot;:&quot;Nicholas W.&quot;,&quot;parse-names&quot;:false,&quot;dropping-particle&quot;:&quot;&quot;,&quot;non-dropping-particle&quot;:&quot;&quot;},{&quot;family&quot;:&quot;Lombard&quot;,&quot;given&quot;:&quot;Vincent&quot;,&quot;parse-names&quot;:false,&quot;dropping-particle&quot;:&quot;&quot;,&quot;non-dropping-particle&quot;:&quot;&quot;},{&quot;family&quot;:&quot;Henrissat&quot;,&quot;given&quot;:&quot;Bernard&quot;,&quot;parse-names&quot;:false,&quot;dropping-particle&quot;:&quot;&quot;,&quot;non-dropping-particle&quot;:&quot;&quot;},{&quot;family&quot;:&quot;Bain&quot;,&quot;given&quot;:&quot;James R.&quot;,&quot;parse-names&quot;:false,&quot;dropping-particle&quot;:&quot;&quot;,&quot;non-dropping-particle&quot;:&quot;&quot;},{&quot;family&quot;:&quot;Muehlbauer&quot;,&quot;given&quot;:&quot;Michael J.&quot;,&quot;parse-names&quot;:false,&quot;dropping-particle&quot;:&quot;&quot;,&quot;non-dropping-particle&quot;:&quot;&quot;},{&quot;family&quot;:&quot;Ilkayeva&quot;,&quot;given&quot;:&quot;Olga&quot;,&quot;parse-names&quot;:false,&quot;dropping-particle&quot;:&quot;&quot;,&quot;non-dropping-particle&quot;:&quot;&quot;},{&quot;family&quot;:&quot;Semenkovich&quot;,&quot;given&quot;:&quot;Clay F.&quot;,&quot;parse-names&quot;:false,&quot;dropping-particle&quot;:&quot;&quot;,&quot;non-dropping-particle&quot;:&quot;&quot;},{&quot;family&quot;:&quot;Funai&quot;,&quot;given&quot;:&quot;Katsuhiko&quot;,&quot;parse-names&quot;:false,&quot;dropping-particle&quot;:&quot;&quot;,&quot;non-dropping-particle&quot;:&quot;&quot;},{&quot;family&quot;:&quot;Hayashi&quot;,&quot;given&quot;:&quot;David K.&quot;,&quot;parse-names&quot;:false,&quot;dropping-particle&quot;:&quot;&quot;,&quot;non-dropping-particle&quot;:&quot;&quot;},{&quot;family&quot;:&quot;Lyle&quot;,&quot;given&quot;:&quot;Barbara J.&quot;,&quot;parse-names&quot;:false,&quot;dropping-particle&quot;:&quot;&quot;,&quot;non-dropping-particle&quot;:&quot;&quot;},{&quot;family&quot;:&quot;Martini&quot;,&quot;given&quot;:&quot;Margaret C.&quot;,&quot;parse-names&quot;:false,&quot;dropping-particle&quot;:&quot;&quot;,&quot;non-dropping-particle&quot;:&quot;&quot;},{&quot;family&quot;:&quot;Ursell&quot;,&quot;given&quot;:&quot;Luke K.&quot;,&quot;parse-names&quot;:false,&quot;dropping-particle&quot;:&quot;&quot;,&quot;non-dropping-particle&quot;:&quot;&quot;},{&quot;family&quot;:&quot;Clemente&quot;,&quot;given&quot;:&quot;Jose C.&quot;,&quot;parse-names&quot;:false,&quot;dropping-particle&quot;:&quot;&quot;,&quot;non-dropping-particle&quot;:&quot;&quot;},{&quot;family&quot;:&quot;Treuren&quot;,&quot;given&quot;:&quot;William&quot;,&quot;parse-names&quot;:false,&quot;dropping-particle&quot;:&quot;&quot;,&quot;non-dropping-particle&quot;:&quot;van&quot;},{&quot;family&quot;:&quot;Walters&quot;,&quot;given&quot;:&quot;William A.&quot;,&quot;parse-names&quot;:false,&quot;dropping-particle&quot;:&quot;&quot;,&quot;non-dropping-particle&quot;:&quot;&quot;},{&quot;family&quot;:&quot;Knight&quot;,&quot;given&quot;:&quot;Rob&quot;,&quot;parse-names&quot;:false,&quot;dropping-particle&quot;:&quot;&quot;,&quot;non-dropping-particle&quot;:&quot;&quot;},{&quot;family&quot;:&quot;Newgard&quot;,&quot;given&quot;:&quot;Christopher B.&quot;,&quot;parse-names&quot;:false,&quot;dropping-particle&quot;:&quot;&quot;,&quot;non-dropping-particle&quot;:&quot;&quot;},{&quot;family&quot;:&quot;Heath&quot;,&quot;given&quot;:&quot;Andrew C.&quot;,&quot;parse-names&quot;:false,&quot;dropping-particle&quot;:&quot;&quot;,&quot;non-dropping-particle&quot;:&quot;&quot;},{&quot;family&quot;:&quot;Gordon&quot;,&quot;given&quot;:&quot;Jeffrey I.&quot;,&quot;parse-names&quot;:false,&quot;dropping-particle&quot;:&quot;&quot;,&quot;non-dropping-particle&quot;:&quot;&quot;}],&quot;container-title&quot;:&quot;Science&quot;,&quot;DOI&quot;:&quot;10.1126/science.1241214&quot;,&quot;ISBN&quot;:&quot;1095-9203 (Electronic)\\r0036-8075 (Linking)&quot;,&quot;ISSN&quot;:&quot;10959203&quot;,&quot;PMID&quot;:&quot;24009397&quot;,&quot;issued&quot;:{&quot;date-parts&quot;:[[2013]]},&quot;abstract&quot;:&quot;The role of specific gut microbes in shaping body composition remains unclear. We transplanted fecal microbiota from adult female twin pairs discordant for obesity into germ-free mice fed low-fat mouse chow, as well as diets representing different levels of saturated fat and fruit and vegetable consumption typical of the U.S. diet. Increased total body and fat mass, as well as obesity-associated metabolic phenotypes, were transmissible with uncultured fecal communities and with their corresponding fecal bacterial culture collections. Cohousing mice harboring an obese twin's microbiota (Ob) with mice containing the lean co-twin's microbiota (Ln) prevented the development of increased body mass and obesity-associated metabolic phenotypes in Ob cage mates. Rescue correlated with invasion of specific members of Bacteroidetes from the Ln microbiota into Ob microbiota and was diet-dependent. These findings reveal transmissible, rapid, and modifiable effects of diet-by-microbiota interactions.&quot;,&quot;issue&quot;:&quot;6150&quot;,&quot;volume&quot;:&quot;341&quot;,&quot;container-title-short&quot;:&quot;Science (1979)&quot;},&quot;isTemporary&quot;:false}]},{&quot;citationID&quot;:&quot;MENDELEY_CITATION_896acd50-64cb-434a-86ef-7a08ca7dfea8&quot;,&quot;properties&quot;:{&quot;noteIndex&quot;:0},&quot;isEdited&quot;:false,&quot;manualOverride&quot;:{&quot;isManuallyOverridden&quot;:false,&quot;citeprocText&quot;:&quot;&lt;sup&gt;168&lt;/sup&gt;&quot;,&quot;manualOverrideText&quot;:&quot;&quot;},&quot;citationTag&quot;:&quot;MENDELEY_CITATION_v3_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&quot;,&quot;citationItems&quot;:[{&quot;id&quot;:&quot;b3bd075d-67bc-33d1-8518-1ee72b901114&quot;,&quot;itemData&quot;:{&quot;type&quot;:&quot;article-journal&quot;,&quot;id&quot;:&quot;b3bd075d-67bc-33d1-8518-1ee72b901114&quot;,&quot;title&quot;:&quot;Gut microbiota from twins discordant for obesity modulate metabolism in mice&quot;,&quot;author&quot;:[{&quot;family&quot;:&quot;Ridaura&quot;,&quot;given&quot;:&quot;Vanessa K.&quot;,&quot;parse-names&quot;:false,&quot;dropping-particle&quot;:&quot;&quot;,&quot;non-dropping-particle&quot;:&quot;&quot;},{&quot;family&quot;:&quot;Faith&quot;,&quot;given&quot;:&quot;Jeremiah J.&quot;,&quot;parse-names&quot;:false,&quot;dropping-particle&quot;:&quot;&quot;,&quot;non-dropping-particle&quot;:&quot;&quot;},{&quot;family&quot;:&quot;Rey&quot;,&quot;given&quot;:&quot;Federico E.&quot;,&quot;parse-names&quot;:false,&quot;dropping-particle&quot;:&quot;&quot;,&quot;non-dropping-particle&quot;:&quot;&quot;},{&quot;family&quot;:&quot;Cheng&quot;,&quot;given&quot;:&quot;Jiye&quot;,&quot;parse-names&quot;:false,&quot;dropping-particle&quot;:&quot;&quot;,&quot;non-dropping-particle&quot;:&quot;&quot;},{&quot;family&quot;:&quot;Duncan&quot;,&quot;given&quot;:&quot;Alexis E.&quot;,&quot;parse-names&quot;:false,&quot;dropping-particle&quot;:&quot;&quot;,&quot;non-dropping-particle&quot;:&quot;&quot;},{&quot;family&quot;:&quot;Kau&quot;,&quot;given&quot;:&quot;Andrew L.&quot;,&quot;parse-names&quot;:false,&quot;dropping-particle&quot;:&quot;&quot;,&quot;non-dropping-particle&quot;:&quot;&quot;},{&quot;family&quot;:&quot;Griffin&quot;,&quot;given&quot;:&quot;Nicholas W.&quot;,&quot;parse-names&quot;:false,&quot;dropping-particle&quot;:&quot;&quot;,&quot;non-dropping-particle&quot;:&quot;&quot;},{&quot;family&quot;:&quot;Lombard&quot;,&quot;given&quot;:&quot;Vincent&quot;,&quot;parse-names&quot;:false,&quot;dropping-particle&quot;:&quot;&quot;,&quot;non-dropping-particle&quot;:&quot;&quot;},{&quot;family&quot;:&quot;Henrissat&quot;,&quot;given&quot;:&quot;Bernard&quot;,&quot;parse-names&quot;:false,&quot;dropping-particle&quot;:&quot;&quot;,&quot;non-dropping-particle&quot;:&quot;&quot;},{&quot;family&quot;:&quot;Bain&quot;,&quot;given&quot;:&quot;James R.&quot;,&quot;parse-names&quot;:false,&quot;dropping-particle&quot;:&quot;&quot;,&quot;non-dropping-particle&quot;:&quot;&quot;},{&quot;family&quot;:&quot;Muehlbauer&quot;,&quot;given&quot;:&quot;Michael J.&quot;,&quot;parse-names&quot;:false,&quot;dropping-particle&quot;:&quot;&quot;,&quot;non-dropping-particle&quot;:&quot;&quot;},{&quot;family&quot;:&quot;Ilkayeva&quot;,&quot;given&quot;:&quot;Olga&quot;,&quot;parse-names&quot;:false,&quot;dropping-particle&quot;:&quot;&quot;,&quot;non-dropping-particle&quot;:&quot;&quot;},{&quot;family&quot;:&quot;Semenkovich&quot;,&quot;given&quot;:&quot;Clay F.&quot;,&quot;parse-names&quot;:false,&quot;dropping-particle&quot;:&quot;&quot;,&quot;non-dropping-particle&quot;:&quot;&quot;},{&quot;family&quot;:&quot;Funai&quot;,&quot;given&quot;:&quot;Katsuhiko&quot;,&quot;parse-names&quot;:false,&quot;dropping-particle&quot;:&quot;&quot;,&quot;non-dropping-particle&quot;:&quot;&quot;},{&quot;family&quot;:&quot;Hayashi&quot;,&quot;given&quot;:&quot;David K.&quot;,&quot;parse-names&quot;:false,&quot;dropping-particle&quot;:&quot;&quot;,&quot;non-dropping-particle&quot;:&quot;&quot;},{&quot;family&quot;:&quot;Lyle&quot;,&quot;given&quot;:&quot;Barbara J.&quot;,&quot;parse-names&quot;:false,&quot;dropping-particle&quot;:&quot;&quot;,&quot;non-dropping-particle&quot;:&quot;&quot;},{&quot;family&quot;:&quot;Martini&quot;,&quot;given&quot;:&quot;Margaret C.&quot;,&quot;parse-names&quot;:false,&quot;dropping-particle&quot;:&quot;&quot;,&quot;non-dropping-particle&quot;:&quot;&quot;},{&quot;family&quot;:&quot;Ursell&quot;,&quot;given&quot;:&quot;Luke K.&quot;,&quot;parse-names&quot;:false,&quot;dropping-particle&quot;:&quot;&quot;,&quot;non-dropping-particle&quot;:&quot;&quot;},{&quot;family&quot;:&quot;Clemente&quot;,&quot;given&quot;:&quot;Jose C.&quot;,&quot;parse-names&quot;:false,&quot;dropping-particle&quot;:&quot;&quot;,&quot;non-dropping-particle&quot;:&quot;&quot;},{&quot;family&quot;:&quot;Treuren&quot;,&quot;given&quot;:&quot;William&quot;,&quot;parse-names&quot;:false,&quot;dropping-particle&quot;:&quot;&quot;,&quot;non-dropping-particle&quot;:&quot;van&quot;},{&quot;family&quot;:&quot;Walters&quot;,&quot;given&quot;:&quot;William A.&quot;,&quot;parse-names&quot;:false,&quot;dropping-particle&quot;:&quot;&quot;,&quot;non-dropping-particle&quot;:&quot;&quot;},{&quot;family&quot;:&quot;Knight&quot;,&quot;given&quot;:&quot;Rob&quot;,&quot;parse-names&quot;:false,&quot;dropping-particle&quot;:&quot;&quot;,&quot;non-dropping-particle&quot;:&quot;&quot;},{&quot;family&quot;:&quot;Newgard&quot;,&quot;given&quot;:&quot;Christopher B.&quot;,&quot;parse-names&quot;:false,&quot;dropping-particle&quot;:&quot;&quot;,&quot;non-dropping-particle&quot;:&quot;&quot;},{&quot;family&quot;:&quot;Heath&quot;,&quot;given&quot;:&quot;Andrew C.&quot;,&quot;parse-names&quot;:false,&quot;dropping-particle&quot;:&quot;&quot;,&quot;non-dropping-particle&quot;:&quot;&quot;},{&quot;family&quot;:&quot;Gordon&quot;,&quot;given&quot;:&quot;Jeffrey I.&quot;,&quot;parse-names&quot;:false,&quot;dropping-particle&quot;:&quot;&quot;,&quot;non-dropping-particle&quot;:&quot;&quot;}],&quot;container-title&quot;:&quot;Science&quot;,&quot;DOI&quot;:&quot;10.1126/science.1241214&quot;,&quot;ISBN&quot;:&quot;1095-9203 (Electronic)\\r0036-8075 (Linking)&quot;,&quot;ISSN&quot;:&quot;10959203&quot;,&quot;PMID&quot;:&quot;24009397&quot;,&quot;issued&quot;:{&quot;date-parts&quot;:[[2013]]},&quot;abstract&quot;:&quot;The role of specific gut microbes in shaping body composition remains unclear. We transplanted fecal microbiota from adult female twin pairs discordant for obesity into germ-free mice fed low-fat mouse chow, as well as diets representing different levels of saturated fat and fruit and vegetable consumption typical of the U.S. diet. Increased total body and fat mass, as well as obesity-associated metabolic phenotypes, were transmissible with uncultured fecal communities and with their corresponding fecal bacterial culture collections. Cohousing mice harboring an obese twin's microbiota (Ob) with mice containing the lean co-twin's microbiota (Ln) prevented the development of increased body mass and obesity-associated metabolic phenotypes in Ob cage mates. Rescue correlated with invasion of specific members of Bacteroidetes from the Ln microbiota into Ob microbiota and was diet-dependent. These findings reveal transmissible, rapid, and modifiable effects of diet-by-microbiota interactions.&quot;,&quot;issue&quot;:&quot;6150&quot;,&quot;volume&quot;:&quot;341&quot;,&quot;container-title-short&quot;:&quot;Science (1979)&quot;},&quot;isTemporary&quot;:false}]},{&quot;citationID&quot;:&quot;MENDELEY_CITATION_2c670dfc-52ab-4b38-9e2a-18f46ca91007&quot;,&quot;properties&quot;:{&quot;noteIndex&quot;:0},&quot;isEdited&quot;:false,&quot;manualOverride&quot;:{&quot;isManuallyOverridden&quot;:false,&quot;citeprocText&quot;:&quot;&lt;sup&gt;169,170&lt;/sup&gt;&quot;,&quot;manualOverrideText&quot;:&quot;&quot;},&quot;citationTag&quot;:&quot;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&quot;,&quot;citationItems&quot;:[{&quot;id&quot;:&quot;217601cd-69f4-342a-8396-dd284075b4a1&quot;,&quot;itemData&quot;:{&quot;type&quot;:&quot;article-journal&quot;,&quot;id&quot;:&quot;217601cd-69f4-342a-8396-dd284075b4a1&quot;,&quot;title&quot;:&quot;Recognition and degradation of plant cell wall polysaccharides by two human gut symbionts&quot;,&quot;author&quot;:[{&quot;family&quot;:&quot;Martens&quot;,&quot;given&quot;:&quot;Eric C.&quot;,&quot;parse-names&quot;:false,&quot;dropping-particle&quot;:&quot;&quot;,&quot;non-dropping-particle&quot;:&quot;&quot;},{&quot;family&quot;:&quot;Lowe&quot;,&quot;given&quot;:&quot;Elisabeth C.&quot;,&quot;parse-names&quot;:false,&quot;dropping-particle&quot;:&quot;&quot;,&quot;non-dropping-particle&quot;:&quot;&quot;},{&quot;family&quot;:&quot;Chiang&quot;,&quot;given&quot;:&quot;Herbert&quot;,&quot;parse-names&quot;:false,&quot;dropping-particle&quot;:&quot;&quot;,&quot;non-dropping-particle&quot;:&quot;&quot;},{&quot;family&quot;:&quot;Pudlo&quot;,&quot;given&quot;:&quot;Nicholas A.&quot;,&quot;parse-names&quot;:false,&quot;dropping-particle&quot;:&quot;&quot;,&quot;non-dropping-particle&quot;:&quot;&quot;},{&quot;family&quot;:&quot;Wu&quot;,&quot;given&quot;:&quot;Meng&quot;,&quot;parse-names&quot;:false,&quot;dropping-particle&quot;:&quot;&quot;,&quot;non-dropping-particle&quot;:&quot;&quot;},{&quot;family&quot;:&quot;McNulty&quot;,&quot;given&quot;:&quot;Nathan P.&quot;,&quot;parse-names&quot;:false,&quot;dropping-particle&quot;:&quot;&quot;,&quot;non-dropping-particle&quot;:&quot;&quot;},{&quot;family&quot;:&quot;Abbott&quot;,&quot;given&quot;:&quot;D. Wade&quot;,&quot;parse-names&quot;:false,&quot;dropping-particle&quot;:&quot;&quot;,&quot;non-dropping-particle&quot;:&quot;&quot;},{&quot;family&quot;:&quot;Henrissat&quot;,&quot;given&quot;:&quot;Bernard&quot;,&quot;parse-names&quot;:false,&quot;dropping-particle&quot;:&quot;&quot;,&quot;non-dropping-particle&quot;:&quot;&quot;},{&quot;family&quot;:&quot;Gilbert&quot;,&quot;given&quot;:&quot;Harry J.&quot;,&quot;parse-names&quot;:false,&quot;dropping-particle&quot;:&quot;&quot;,&quot;non-dropping-particle&quot;:&quot;&quot;},{&quot;family&quot;:&quot;Bolam&quot;,&quot;given&quot;:&quot;David N.&quot;,&quot;parse-names&quot;:false,&quot;dropping-particle&quot;:&quot;&quot;,&quot;non-dropping-particle&quot;:&quot;&quot;},{&quot;family&quot;:&quot;Gordon&quot;,&quot;given&quot;:&quot;Jeffrey I.&quot;,&quot;parse-names&quot;:false,&quot;dropping-particle&quot;:&quot;&quot;,&quot;non-dropping-particle&quot;:&quot;&quot;}],&quot;container-title&quot;:&quot;PLoS Biology&quot;,&quot;DOI&quot;:&quot;10.1371/journal.pbio.1001221&quot;,&quot;ISSN&quot;:&quot;15449173&quot;,&quot;PMID&quot;:&quot;22205877&quot;,&quot;issued&quot;:{&quot;date-parts&quot;:[[2011]]},&quot;abstract&quot;:&quot;Symbiotic bacteria inhabiting the human gut have evolved under intense pressure to utilize complex carbohydrates, primarily plant cell wall glycans in our diets. These polysaccharides are not digested by human enzymes, but are processed to absorbable short chain fatty acids by gut bacteria. The Bacteroidetes, one of two dominant bacterial phyla in the adult gut, possess broad glycan-degrading abilities. These species use a series of membrane protein complexes, termed Sus-like systems, for catabolism of many complex carbohydrates. However, the role of these systems in degrading the chemically diverse repertoire of plant cell wall glycans remains unknown. Here we show that two closely related human gut Bacteroides, B. thetaiotaomicron and B. ovatus, are capable of utilizing nearly all of the major plant and host glycans, including rhamnogalacturonan II, a highly complex polymer thought to be recalcitrant to microbial degradation. Transcriptional profiling and gene inactivation experiments revealed the identity and specificity of the polysaccharide utilization loci (PULs) that encode individual Sus-like systems that target various plant polysaccharides. Comparative genomic analysis indicated that B. ovatus possesses several unique PULs that enable degradation of hemicellulosic polysaccharides, a phenotype absent from B. thetaiotaomicron. In contrast, the B. thetaiotaomicron genome has been shaped by increased numbers of PULs involved in metabolism of host mucin O-glycans, a phenotype that is undetectable in B. ovatus. Binding studies of the purified sensor domains of PUL-associated hybrid two-component systems in conjunction with transcriptional analyses demonstrate that complex oligosaccharides provide the regulatory cues that induce PUL activation and that each PUL is highly specific for a defined cell wall polymer. These results provide a view of how these species have diverged into different carbohydrate niches by evolving genes that target unique suites of available polysaccharides, a theme that likely applies to disparate bacteria from the gut and other habitats. © 2011 Martens et al.&quot;,&quot;issue&quot;:&quot;12&quot;,&quot;volume&quot;:&quot;9&quot;,&quot;container-title-short&quot;:&quot;&quot;},&quot;isTemporary&quot;:false},{&quot;id&quot;:&quot;dffd767f-9c42-3e05-9d88-d854239cf78e&quot;,&quot;itemData&quot;:{&quot;type&quot;:&quot;article-journal&quot;,&quot;id&quot;:&quot;dffd767f-9c42-3e05-9d88-d854239cf78e&quot;,&quot;title&quot;:&quot;Reciprocal prioritization to dietary glycans by gut bacteria in a competitive environment promotes stable coexistence&quot;,&quot;author&quot;:[{&quot;family&quot;:&quot;Tuncil&quot;,&quot;given&quot;:&quot;Yunus E.&quot;,&quot;parse-names&quot;:false,&quot;dropping-particle&quot;:&quot;&quot;,&quot;non-dropping-particle&quot;:&quot;&quot;},{&quot;family&quot;:&quot;Xiao&quot;,&quot;given&quot;:&quot;Yao&quot;,&quot;parse-names&quot;:false,&quot;dropping-particle&quot;:&quot;&quot;,&quot;non-dropping-particle&quot;:&quot;&quot;},{&quot;family&quot;:&quot;Porter&quot;,&quot;given&quot;:&quot;Nathan T.&quot;,&quot;parse-names&quot;:false,&quot;dropping-particle&quot;:&quot;&quot;,&quot;non-dropping-particle&quot;:&quot;&quot;},{&quot;family&quot;:&quot;Reuhs&quot;,&quot;given&quot;:&quot;Bradley L.&quot;,&quot;parse-names&quot;:false,&quot;dropping-particle&quot;:&quot;&quot;,&quot;non-dropping-particle&quot;:&quot;&quot;},{&quot;family&quot;:&quot;Martens&quot;,&quot;given&quot;:&quot;Eric C.&quot;,&quot;parse-names&quot;:false,&quot;dropping-particle&quot;:&quot;&quot;,&quot;non-dropping-particle&quot;:&quot;&quot;},{&quot;family&quot;:&quot;Hamaker&quot;,&quot;given&quot;:&quot;Bruce R.&quot;,&quot;parse-names&quot;:false,&quot;dropping-particle&quot;:&quot;&quot;,&quot;non-dropping-particle&quot;:&quot;&quot;}],&quot;container-title&quot;:&quot;mBio&quot;,&quot;container-title-short&quot;:&quot;mBio&quot;,&quot;DOI&quot;:&quot;10.1128/mBio.01068-17&quot;,&quot;ISSN&quot;:&quot;21507511&quot;,&quot;PMID&quot;:&quot;29018117&quot;,&quot;issued&quot;:{&quot;date-parts&quot;:[[2017]]},&quot;abstract&quot;:&quot;When presented with nutrient mixtures, several human gut Bacteroides species exhibit hierarchical utilization of glycans through a phenomenon that resembles catabolite repression. However, it is unclear how closely these observed physiological changes, often measured by altered transcription of glycan utilization genes, mirror actual glycan depletion. To understand the glycan prioritization strategies of two closely related human gut symbionts, Bacteroides ovatus and Bacteroides thetaiotaomicron, we performed a series of time course assays in which both species were individually grown in a medium with six different glycans that both species can degrade. Disappearance of the substrates and transcription of the corresponding polysaccharide utilization loci (PULs) were measured. Each species utilized some glycans before others, but with different priorities per species, providing insight into species-specific hierarchical preferences. In general, the presence of highly prioritized glycans repressed transcription of genes involved in utilizing lower-priority nutrients. However, transcriptional sensitivity to some glycans varied relative to the residual concentration in the medium, with some PULs that target high-priority substrates remaining highly expressed even after their target glycan had been mostly depleted. Coculturing of these organisms in the same mixture showed that the hierarchical orders generally remained the same, promoting stable coexistence. Polymer length was found to be a contributing factor for glycan utilization, thereby affecting its place in the hierarchy. Our findings not only elucidate how B. ovatus and B. thetaiotaomicron strategically access glycans to maintain coexistence but also support the prioritization of carbohydrate utilization based on carbohydrate structure, advancing our understanding of the relationships between diet and the gut microbiome. IMPORTANCE The microorganisms that reside in the human colon fulfill their energy requirements mainly from diet- and host-derived complex carbohydrates. Members of this ecosystem possess poorly understood strategies to prioritize and compete for these nutrients. Based on direct carbohydrate measurements and corresponding transcriptional analyses, our findings showed that individual bacterial species exhibit different preferences for the same set of glycans and that this prioritization is maintained in a competitive environment, which may promote stable coexistence. Such understanding of gut bacterial glycan utilization will be essential to eliciting predictable changes in the gut microbiota to improve health through the diet.&quot;,&quot;issue&quot;:&quot;5&quot;,&quot;volume&quot;:&quot;8&quot;},&quot;isTemporary&quot;:false}]},{&quot;citationID&quot;:&quot;MENDELEY_CITATION_4527ab32-79b0-445b-9025-411beda9e01f&quot;,&quot;properties&quot;:{&quot;noteIndex&quot;:0},&quot;isEdited&quot;:false,&quot;manualOverride&quot;:{&quot;isManuallyOverridden&quot;:false,&quot;citeprocText&quot;:&quot;&lt;sup&gt;171&lt;/sup&gt;&quot;,&quot;manualOverrideText&quot;:&quot;&quot;},&quot;citationTag&quot;:&quot;MENDELEY_CITATION_v3_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&quot;,&quot;citationItems&quot;:[{&quot;id&quot;:&quot;a39d416b-0408-3c08-9810-0d4c4779cff8&quot;,&quot;itemData&quot;:{&quot;type&quot;:&quot;article-journal&quot;,&quot;id&quot;:&quot;a39d416b-0408-3c08-9810-0d4c4779cff8&quot;,&quot;title&quot;:&quot;Effects of Diet on Resource Utilization by a Model Human Gut Microbiota Containing Bacteroides cellulosilyticus WH2, a Symbiont with an Extensive Glycobiome&quot;,&quot;author&quot;:[{&quot;family&quot;:&quot;McNulty&quot;,&quot;given&quot;:&quot;Nathan P.&quot;,&quot;parse-names&quot;:false,&quot;dropping-particle&quot;:&quot;&quot;,&quot;non-dropping-particle&quot;:&quot;&quot;},{&quot;family&quot;:&quot;Wu&quot;,&quot;given&quot;:&quot;Meng&quot;,&quot;parse-names&quot;:false,&quot;dropping-particle&quot;:&quot;&quot;,&quot;non-dropping-particle&quot;:&quot;&quot;},{&quot;family&quot;:&quot;Erickson&quot;,&quot;given&quot;:&quot;Alison R.&quot;,&quot;parse-names&quot;:false,&quot;dropping-particle&quot;:&quot;&quot;,&quot;non-dropping-particle&quot;:&quot;&quot;},{&quot;family&quot;:&quot;Pan&quot;,&quot;given&quot;:&quot;Chongle&quot;,&quot;parse-names&quot;:false,&quot;dropping-particle&quot;:&quot;&quot;,&quot;non-dropping-particle&quot;:&quot;&quot;},{&quot;family&quot;:&quot;Erickson&quot;,&quot;given&quot;:&quot;Brian K.&quot;,&quot;parse-names&quot;:false,&quot;dropping-particle&quot;:&quot;&quot;,&quot;non-dropping-particle&quot;:&quot;&quot;},{&quot;family&quot;:&quot;Martens&quot;,&quot;given&quot;:&quot;Eric C.&quot;,&quot;parse-names&quot;:false,&quot;dropping-particle&quot;:&quot;&quot;,&quot;non-dropping-particle&quot;:&quot;&quot;},{&quot;family&quot;:&quot;Pudlo&quot;,&quot;given&quot;:&quot;Nicholas A.&quot;,&quot;parse-names&quot;:false,&quot;dropping-particle&quot;:&quot;&quot;,&quot;non-dropping-particle&quot;:&quot;&quot;},{&quot;family&quot;:&quot;Muegge&quot;,&quot;given&quot;:&quot;Brian D.&quot;,&quot;parse-names&quot;:false,&quot;dropping-particle&quot;:&quot;&quot;,&quot;non-dropping-particle&quot;:&quot;&quot;},{&quot;family&quot;:&quot;Henrissat&quot;,&quot;given&quot;:&quot;Bernard&quot;,&quot;parse-names&quot;:false,&quot;dropping-particle&quot;:&quot;&quot;,&quot;non-dropping-particle&quot;:&quot;&quot;},{&quot;family&quot;:&quot;Hettich&quot;,&quot;given&quot;:&quot;Robert L.&quot;,&quot;parse-names&quot;:false,&quot;dropping-particle&quot;:&quot;&quot;,&quot;non-dropping-particle&quot;:&quot;&quot;},{&quot;family&quot;:&quot;Gordon&quot;,&quot;given&quot;:&quot;Jeffrey I.&quot;,&quot;parse-names&quot;:false,&quot;dropping-particle&quot;:&quot;&quot;,&quot;non-dropping-particle&quot;:&quot;&quot;}],&quot;container-title&quot;:&quot;PLoS Biology&quot;,&quot;DOI&quot;:&quot;10.1371/journal.pbio.1001637&quot;,&quot;ISBN&quot;:&quot;1545-7885 (Electronic)\\r1544-9173 (Linking)&quot;,&quot;ISSN&quot;:&quot;15449173&quot;,&quot;PMID&quot;:&quot;23976882&quot;,&quot;issued&quot;:{&quot;date-parts&quot;:[[2013]]},&quot;abstract&quot;:&quot;The human gut microbiota is an important metabolic organ, yet little is known about how its individual species interact, establish dominant positions, and respond to changes in environmental factors such as diet. In this study, gnotobiotic mice were colonized with an artificial microbiota comprising 12 sequenced human gut bacterial species and fed oscillating diets of disparate composition. Rapid, reproducible, and reversible changes in the structure of this assemblage were observed. Time-series microbial RNA-Seq analyses revealed staggered functional responses to diet shifts throughout the assemblage that were heavily focused on carbohydrate and amino acid metabolism. High-resolution shotgun metaproteomics confirmed many of these responses at a protein level. One member, Bacteroides cellulosilyticus WH2, proved exceptionally fit regardless of diet. Its genome encoded more carbohydrate active enzymes than any previously sequenced member of the Bacteroidetes. Transcriptional profiling indicated that B. cellulosilyticus WH2 is an adaptive forager that tailors its versatile carbohydrate utilization strategy to available dietary polysaccharides, with a strong emphasis on plant-derived xylans abundant in dietary staples like cereal grains. Two highly expressed, diet-specific polysaccharide utilization loci (PULs) in B. cellulosilyticus WH2 were identified, one with characteristics of xylan utilization systems. Introduction of a B. cellulosilyticus WH2 library comprising &gt;90,000 isogenic transposon mutants into gnotobiotic mice, along with the other artificial community members, confirmed that these loci represent critical diet-specific fitness determinants. Carbohydrates that trigger dramatic increases in expression of these two loci and many of the organism's 111 other predicted PULs were identified by RNA-Seq during in vitro growth on 31 distinct carbohydrate substrates, allowing us to better interpret in vivo RNA-Seq and proteomics data. These results offer insight into how gut microbes adapt to dietary perturbations at both a community level and from the perspective of a well-adapted symbiont with exceptional saccharolytic capabilities, and illustrate the value of artificial communities.&quot;,&quot;issue&quot;:&quot;8&quot;,&quot;volume&quot;:&quot;11&quot;,&quot;container-title-short&quot;:&quot;&quot;},&quot;isTemporary&quot;:false}]},{&quot;citationID&quot;:&quot;MENDELEY_CITATION_44b6f245-01aa-4240-960a-09159724e836&quot;,&quot;properties&quot;:{&quot;noteIndex&quot;:0},&quot;isEdited&quot;:false,&quot;manualOverride&quot;:{&quot;isManuallyOverridden&quot;:false,&quot;citeprocText&quot;:&quot;&lt;sup&gt;172&lt;/sup&gt;&quot;,&quot;manualOverrideText&quot;:&quot;&quot;},&quot;citationTag&quot;:&quot;MENDELEY_CITATION_v3_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&quot;,&quot;citationItems&quot;:[{&quot;id&quot;:&quot;ec1ad185-4d57-3cc6-b69a-c1d12ac30869&quot;,&quot;itemData&quot;:{&quot;type&quot;:&quot;article-journal&quot;,&quot;id&quot;:&quot;ec1ad185-4d57-3cc6-b69a-c1d12ac30869&quot;,&quot;title&quot;:&quot;Functional characterization of a gene locus from an uncultured gut Bacteroides conferring xylo-oligosaccharides utilization to Escherichia coli&quot;,&quot;author&quot;:[{&quot;family&quot;:&quot;Tauzin&quot;,&quot;given&quot;:&quot;Alexandra S.&quot;,&quot;parse-names&quot;:false,&quot;dropping-particle&quot;:&quot;&quot;,&quot;non-dropping-particle&quot;:&quot;&quot;},{&quot;family&quot;:&quot;Laville&quot;,&quot;given&quot;:&quot;Elisabeth&quot;,&quot;parse-names&quot;:false,&quot;dropping-particle&quot;:&quot;&quot;,&quot;non-dropping-particle&quot;:&quot;&quot;},{&quot;family&quot;:&quot;Xiao&quot;,&quot;given&quot;:&quot;Yao&quot;,&quot;parse-names&quot;:false,&quot;dropping-particle&quot;:&quot;&quot;,&quot;non-dropping-particle&quot;:&quot;&quot;},{&quot;family&quot;:&quot;Nouaille&quot;,&quot;given&quot;:&quot;Sébastien&quot;,&quot;parse-names&quot;:false,&quot;dropping-particle&quot;:&quot;&quot;,&quot;non-dropping-particle&quot;:&quot;&quot;},{&quot;family&quot;:&quot;Bourgeois&quot;,&quot;given&quot;:&quot;Pascal&quot;,&quot;parse-names&quot;:false,&quot;dropping-particle&quot;:&quot;&quot;,&quot;non-dropping-particle&quot;:&quot;le&quot;},{&quot;family&quot;:&quot;Heux&quot;,&quot;given&quot;:&quot;Stéphanie&quot;,&quot;parse-names&quot;:false,&quot;dropping-particle&quot;:&quot;&quot;,&quot;non-dropping-particle&quot;:&quot;&quot;},{&quot;family&quot;:&quot;Portais&quot;,&quot;given&quot;:&quot;Jean Charles&quot;,&quot;parse-names&quot;:false,&quot;dropping-particle&quot;:&quot;&quot;,&quot;non-dropping-particle&quot;:&quot;&quot;},{&quot;family&quot;:&quot;Monsan&quot;,&quot;given&quot;:&quot;Pierre&quot;,&quot;parse-names&quot;:false,&quot;dropping-particle&quot;:&quot;&quot;,&quot;non-dropping-particle&quot;:&quot;&quot;},{&quot;family&quot;:&quot;Martens&quot;,&quot;given&quot;:&quot;Eric C.&quot;,&quot;parse-names&quot;:false,&quot;dropping-particle&quot;:&quot;&quot;,&quot;non-dropping-particle&quot;:&quot;&quot;},{&quot;family&quot;:&quot;Potocki-Veronese&quot;,&quot;given&quot;:&quot;Gabrielle&quot;,&quot;parse-names&quot;:false,&quot;dropping-particle&quot;:&quot;&quot;,&quot;non-dropping-particle&quot;:&quot;&quot;},{&quot;family&quot;:&quot;Bordes&quot;,&quot;given&quot;:&quot;Florence&quot;,&quot;parse-names&quot;:false,&quot;dropping-particle&quot;:&quot;&quot;,&quot;non-dropping-particle&quot;:&quot;&quot;}],&quot;container-title&quot;:&quot;Molecular Microbiology&quot;,&quot;DOI&quot;:&quot;10.1111/mmi.13480&quot;,&quot;ISSN&quot;:&quot;13652958&quot;,&quot;PMID&quot;:&quot;27573446&quot;,&quot;issued&quot;:{&quot;date-parts&quot;:[[2016]]},&quot;page&quot;:&quot;579-592&quot;,&quot;abstract&quot;:&quot;In prominent gut Bacteroides strains, sophisticated strategies have been evolved to achieve the complete degradation of dietary polysaccharides such as xylan, which is one of the major components of the plant cell wall. Polysaccharide Utilization Loci (PULs) consist of gene clusters encoding different proteins with a vast arsenal of functions, including carbohydrate binding, transport and hydrolysis. Transport is often attributed to TonB-dependent transporters, although major facilitator superfamily (MFS) transporters have also been identified in some PULs. However, until now, few of these transporters have been biochemically characterized. Here, we targeted a PUL-like system from an uncultivated Bacteroides species that is highly prevalent in the human gut metagenome. It encodes three glycoside-hydrolases specific for xylo-oligosaccharides, a SusC/SusD tandem homolog and a MFS transporter. We combined PUL rational engineering, metabolic and transcriptional analysis in Escherichia coli to functionally characterize this genomic locus. We demonstrated that the SusC and the MFS transporters are specific for internalization of linear xylo-oligosaccharides of polymerization degree up to 3 and 4 respectively. These results were strengthened by the study of growth dynamics and transcriptional analyses in response to XOS induction of the PUL in the native strain, Bacteroides vulgatus.&quot;,&quot;issue&quot;:&quot;4&quot;,&quot;volume&quot;:&quot;102&quot;,&quot;container-title-short&quot;:&quot;&quot;},&quot;isTemporary&quot;:false}]},{&quot;citationID&quot;:&quot;MENDELEY_CITATION_e84a9755-cbdb-44a5-9b02-765d6e8a5cf6&quot;,&quot;properties&quot;:{&quot;noteIndex&quot;:0},&quot;isEdited&quot;:false,&quot;manualOverride&quot;:{&quot;isManuallyOverridden&quot;:false,&quot;citeprocText&quot;:&quot;&lt;sup&gt;163&lt;/sup&gt;&quot;,&quot;manualOverrideText&quot;:&quot;&quot;},&quot;citationTag&quot;:&quot;MENDELEY_CITATION_v3_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&quot;,&quot;citationItems&quot;:[{&quot;id&quot;:&quot;f7ad2dcf-9e3d-390e-b3fb-8925cbaeb49d&quot;,&quot;itemData&quot;:{&quot;type&quot;:&quot;article-journal&quot;,&quot;id&quot;:&quot;f7ad2dcf-9e3d-390e-b3fb-8925cbaeb49d&quot;,&quot;title&quot;:&quot;Construction and optimization of a heterologous pathway for protocatechuate catabolism in escherichia coli enables bioconversion of model aromatic compounds&quot;,&quot;author&quot;:[{&quot;family&quot;:&quot;Clarkson&quot;,&quot;given&quot;:&quot;Sonya M.&quot;,&quot;parse-names&quot;:false,&quot;dropping-particle&quot;:&quot;&quot;,&quot;non-dropping-particle&quot;:&quot;&quot;},{&quot;family&quot;:&quot;Giannone&quot;,&quot;given&quot;:&quot;Richard J.&quot;,&quot;parse-names&quot;:false,&quot;dropping-particle&quot;:&quot;&quot;,&quot;non-dropping-particle&quot;:&quot;&quot;},{&quot;family&quot;:&quot;Kridelbaugh&quot;,&quot;given&quot;:&quot;Donna M.&quot;,&quot;parse-names&quot;:false,&quot;dropping-particle&quot;:&quot;&quot;,&quot;non-dropping-particle&quot;:&quot;&quot;},{&quot;family&quot;:&quot;Elkins&quot;,&quot;given&quot;:&quot;James G.&quot;,&quot;parse-names&quot;:false,&quot;dropping-particle&quot;:&quot;&quot;,&quot;non-dropping-particle&quot;:&quot;&quot;},{&quot;family&quot;:&quot;Guss&quot;,&quot;given&quot;:&quot;Adam M.&quot;,&quot;parse-names&quot;:false,&quot;dropping-particle&quot;:&quot;&quot;,&quot;non-dropping-particle&quot;:&quot;&quot;},{&quot;family&quot;:&quot;Michenera&quot;,&quot;given&quot;:&quot;Joshua K.&quot;,&quot;parse-names&quot;:false,&quot;dropping-particle&quot;:&quot;&quot;,&quot;non-dropping-particle&quot;:&quot;&quot;}],&quot;container-title&quot;:&quot;Applied and Environmental Microbiology&quot;,&quot;DOI&quot;:&quot;10.1128/AEM.01313-17&quot;,&quot;ISSN&quot;:&quot;10985336&quot;,&quot;PMID&quot;:&quot;28733280&quot;,&quot;issued&quot;:{&quot;date-parts&quot;:[[2017]]},&quot;abstract&quot;:&quot;The production of biofuels from lignocellulose yields a substantial lignin by-product stream that currently has few applications. Biological conversion of lignin-derived compounds into chemicals and fuels has the potential to improve the economics of lignocellulose-derived biofuels, but few microbes are able both to catabolize lignin-derived aromatic compounds and to generate valuable products. While Escherichia coli has been engineered to produce a variety of fuels and chemicals, it is incapable of catabolizing most aromatic compounds. Therefore, we engineered E. coli to catabolize protocatechuate, a common intermediate in lignin degradation, as the sole source of carbon and energy via heterologous expression of a nine-gene pathway from Pseudomonas putida KT2440. We next used experimental evolution to select for mutations that increased growth with protocatechuate more than 2-fold. Increasing the strength of a single ribosome binding site in the heterologous pathway was sufficient to recapitulate the increased growth. After optimization of the core pathway, we extended the pathway to enable catabolism of a second model compound, 4-hydroxybenzoate. These engineered strains will be useful platforms to discover, characterize, and optimize pathways for conversions of ligninderived aromatics.&quot;,&quot;issue&quot;:&quot;18&quot;,&quot;volume&quot;:&quot;83&quot;,&quot;container-title-short&quot;:&quot;&quot;},&quot;isTemporary&quot;:false}]},{&quot;citationID&quot;:&quot;MENDELEY_CITATION_583af502-e49d-4f4e-92c8-4f70f19a4e8a&quot;,&quot;properties&quot;:{&quot;noteIndex&quot;:0},&quot;isEdited&quot;:false,&quot;manualOverride&quot;:{&quot;isManuallyOverridden&quot;:false,&quot;citeprocText&quot;:&quot;&lt;sup&gt;163&lt;/sup&gt;&quot;,&quot;manualOverrideText&quot;:&quot;&quot;},&quot;citationTag&quot;:&quot;MENDELEY_CITATION_v3_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&quot;,&quot;citationItems&quot;:[{&quot;id&quot;:&quot;f7ad2dcf-9e3d-390e-b3fb-8925cbaeb49d&quot;,&quot;itemData&quot;:{&quot;type&quot;:&quot;article-journal&quot;,&quot;id&quot;:&quot;f7ad2dcf-9e3d-390e-b3fb-8925cbaeb49d&quot;,&quot;title&quot;:&quot;Construction and optimization of a heterologous pathway for protocatechuate catabolism in escherichia coli enables bioconversion of model aromatic compounds&quot;,&quot;author&quot;:[{&quot;family&quot;:&quot;Clarkson&quot;,&quot;given&quot;:&quot;Sonya M.&quot;,&quot;parse-names&quot;:false,&quot;dropping-particle&quot;:&quot;&quot;,&quot;non-dropping-particle&quot;:&quot;&quot;},{&quot;family&quot;:&quot;Giannone&quot;,&quot;given&quot;:&quot;Richard J.&quot;,&quot;parse-names&quot;:false,&quot;dropping-particle&quot;:&quot;&quot;,&quot;non-dropping-particle&quot;:&quot;&quot;},{&quot;family&quot;:&quot;Kridelbaugh&quot;,&quot;given&quot;:&quot;Donna M.&quot;,&quot;parse-names&quot;:false,&quot;dropping-particle&quot;:&quot;&quot;,&quot;non-dropping-particle&quot;:&quot;&quot;},{&quot;family&quot;:&quot;Elkins&quot;,&quot;given&quot;:&quot;James G.&quot;,&quot;parse-names&quot;:false,&quot;dropping-particle&quot;:&quot;&quot;,&quot;non-dropping-particle&quot;:&quot;&quot;},{&quot;family&quot;:&quot;Guss&quot;,&quot;given&quot;:&quot;Adam M.&quot;,&quot;parse-names&quot;:false,&quot;dropping-particle&quot;:&quot;&quot;,&quot;non-dropping-particle&quot;:&quot;&quot;},{&quot;family&quot;:&quot;Michenera&quot;,&quot;given&quot;:&quot;Joshua K.&quot;,&quot;parse-names&quot;:false,&quot;dropping-particle&quot;:&quot;&quot;,&quot;non-dropping-particle&quot;:&quot;&quot;}],&quot;container-title&quot;:&quot;Applied and Environmental Microbiology&quot;,&quot;DOI&quot;:&quot;10.1128/AEM.01313-17&quot;,&quot;ISSN&quot;:&quot;10985336&quot;,&quot;PMID&quot;:&quot;28733280&quot;,&quot;issued&quot;:{&quot;date-parts&quot;:[[2017]]},&quot;abstract&quot;:&quot;The production of biofuels from lignocellulose yields a substantial lignin by-product stream that currently has few applications. Biological conversion of lignin-derived compounds into chemicals and fuels has the potential to improve the economics of lignocellulose-derived biofuels, but few microbes are able both to catabolize lignin-derived aromatic compounds and to generate valuable products. While Escherichia coli has been engineered to produce a variety of fuels and chemicals, it is incapable of catabolizing most aromatic compounds. Therefore, we engineered E. coli to catabolize protocatechuate, a common intermediate in lignin degradation, as the sole source of carbon and energy via heterologous expression of a nine-gene pathway from Pseudomonas putida KT2440. We next used experimental evolution to select for mutations that increased growth with protocatechuate more than 2-fold. Increasing the strength of a single ribosome binding site in the heterologous pathway was sufficient to recapitulate the increased growth. After optimization of the core pathway, we extended the pathway to enable catabolism of a second model compound, 4-hydroxybenzoate. These engineered strains will be useful platforms to discover, characterize, and optimize pathways for conversions of ligninderived aromatics.&quot;,&quot;issue&quot;:&quot;18&quot;,&quot;volume&quot;:&quot;83&quot;,&quot;container-title-short&quot;:&quot;&quot;},&quot;isTemporary&quot;:false}]},{&quot;citationID&quot;:&quot;MENDELEY_CITATION_96a9eb38-e7c5-4c1d-a9ca-32232db00ced&quot;,&quot;properties&quot;:{&quot;noteIndex&quot;:0},&quot;isEdited&quot;:false,&quot;manualOverride&quot;:{&quot;isManuallyOverridden&quot;:false,&quot;citeprocText&quot;:&quot;&lt;sup&gt;140&lt;/sup&gt;&quot;,&quot;manualOverrideText&quot;:&quot;&quot;},&quot;citationTag&quot;:&quot;MENDELEY_CITATION_v3_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&quot;,&quot;citationItems&quot;:[{&quot;id&quot;:&quot;2774b47e-c004-335d-a4fe-e512394ea23e&quot;,&quot;itemData&quot;:{&quot;type&quot;:&quot;article-journal&quot;,&quot;id&quot;:&quot;2774b47e-c004-335d-a4fe-e512394ea23e&quot;,&quot;title&quot;:&quot;MyriMatch: Highly accurate tandem mass spectral peptide identification by multivariate hypergeometric analysis&quot;,&quot;author&quot;:[{&quot;family&quot;:&quot;Tabb&quot;,&quot;given&quot;:&quot;David L.&quot;,&quot;parse-names&quot;:false,&quot;dropping-particle&quot;:&quot;&quot;,&quot;non-dropping-particle&quot;:&quot;&quot;},{&quot;family&quot;:&quot;Fernando&quot;,&quot;given&quot;:&quot;Christopher G.&quot;,&quot;parse-names&quot;:false,&quot;dropping-particle&quot;:&quot;&quot;,&quot;non-dropping-particle&quot;:&quot;&quot;},{&quot;family&quot;:&quot;Chambers&quot;,&quot;given&quot;:&quot;Matthew C.&quot;,&quot;parse-names&quot;:false,&quot;dropping-particle&quot;:&quot;&quot;,&quot;non-dropping-particle&quot;:&quot;&quot;}],&quot;container-title&quot;:&quot;Journal of Proteome Research&quot;,&quot;DOI&quot;:&quot;10.1021/pr0604054&quot;,&quot;ISSN&quot;:&quot;15353893&quot;,&quot;PMID&quot;:&quot;17269722&quot;,&quot;issued&quot;:{&quot;date-parts&quot;:[[2007]]},&quot;page&quot;:&quot;654-661&quot;,&quot;abstract&quot;:&quot;Shotgun proteomics experiments are dependent upon database search engines to identify peptides from tandem mass spectra. Many of these algorithms score potential identifications by evaluating the number of fragment ions matched between each peptide sequence and an observed spectrum. These systems, however, generally do not distinguish between matching an intense peak and matching a minor peak. We have developed a statistical model to score peptide matches that is based upon the multivariate hypergeometric distribution. This scorer, part of the \&quot;MyriMatch\&quot; database search engine, places greater emphasis on matching intense peaks. The probability that the best match for each spectrum has occurred by random chance can be employed to separate correct matches from random ones. We evaluated this software on data sets from three different laboratories employing three different ion trap instruments. Employing a novel system for testing discrimination, we demonstrate that stratifying peaks into multiple intensity classes improves the discrimination of scoring. We compare MyriMatch results to those of Sequest and X!Tandem, revealing that it is capable of higher discrimination than either of these algorithms. When minimal peak filtering is employed, performance plummets for a scoring model that does not stratify matched peaks by intensity. On the other hand, we find that MyriMatch discrimination improves as more peaks are retained in each spectrum. MyriMatch also scales well to tandem mass spectra from high-resolution mass analyzers. These findings may indicate limitations for existing database search scorers that count matched peaks without differentiating them by intensity. This software and source code is available under Mozilla Public License at this URL: http:// www.mc.vanderbilt.edu/msrc/bioinformatics/. © 2007 American Chemical Society.&quot;,&quot;issue&quot;:&quot;2&quot;,&quot;volume&quot;:&quot;6&quot;,&quot;container-title-short&quot;:&quot;&quot;},&quot;isTemporary&quot;:false}]},{&quot;citationID&quot;:&quot;MENDELEY_CITATION_1033514b-b945-47da-82e3-2b217bf7fff6&quot;,&quot;properties&quot;:{&quot;noteIndex&quot;:0},&quot;isEdited&quot;:false,&quot;manualOverride&quot;:{&quot;isManuallyOverridden&quot;:false,&quot;citeprocText&quot;:&quot;&lt;sup&gt;141&lt;/sup&gt;&quot;,&quot;manualOverrideText&quot;:&quot;&quot;},&quot;citationTag&quot;:&quot;MENDELEY_CITATION_v3_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&quot;,&quot;citationItems&quot;:[{&quot;id&quot;:&quot;19391477-0db6-3c6a-ba78-da954df8982f&quot;,&quot;itemData&quot;:{&quot;type&quot;:&quot;article-journal&quot;,&quot;id&quot;:&quot;19391477-0db6-3c6a-ba78-da954df8982f&quot;,&quot;title&quot;:&quot;IDPicker 2.0: Improved protein assembly with high discrimination peptide identification filtering&quot;,&quot;author&quot;:[{&quot;family&quot;:&quot;Ma&quot;,&quot;given&quot;:&quot;Ze Qiang&quot;,&quot;parse-names&quot;:false,&quot;dropping-particle&quot;:&quot;&quot;,&quot;non-dropping-particle&quot;:&quot;&quot;},{&quot;family&quot;:&quot;Dasari&quot;,&quot;given&quot;:&quot;Surendra&quot;,&quot;parse-names&quot;:false,&quot;dropping-particle&quot;:&quot;&quot;,&quot;non-dropping-particle&quot;:&quot;&quot;},{&quot;family&quot;:&quot;Chambers&quot;,&quot;given&quot;:&quot;Matthew C.&quot;,&quot;parse-names&quot;:false,&quot;dropping-particle&quot;:&quot;&quot;,&quot;non-dropping-particle&quot;:&quot;&quot;},{&quot;family&quot;:&quot;Litton&quot;,&quot;given&quot;:&quot;Michael D.&quot;,&quot;parse-names&quot;:false,&quot;dropping-particle&quot;:&quot;&quot;,&quot;non-dropping-particle&quot;:&quot;&quot;},{&quot;family&quot;:&quot;Sobecki&quot;,&quot;given&quot;:&quot;Scott M.&quot;,&quot;parse-names&quot;:false,&quot;dropping-particle&quot;:&quot;&quot;,&quot;non-dropping-particle&quot;:&quot;&quot;},{&quot;family&quot;:&quot;Zimmerman&quot;,&quot;given&quot;:&quot;Lisa J.&quot;,&quot;parse-names&quot;:false,&quot;dropping-particle&quot;:&quot;&quot;,&quot;non-dropping-particle&quot;:&quot;&quot;},{&quot;family&quot;:&quot;Halvey&quot;,&quot;given&quot;:&quot;Patrick J.&quot;,&quot;parse-names&quot;:false,&quot;dropping-particle&quot;:&quot;&quot;,&quot;non-dropping-particle&quot;:&quot;&quot;},{&quot;family&quot;:&quot;Schilling&quot;,&quot;given&quot;:&quot;Birgit&quot;,&quot;parse-names&quot;:false,&quot;dropping-particle&quot;:&quot;&quot;,&quot;non-dropping-particle&quot;:&quot;&quot;},{&quot;family&quot;:&quot;Drake&quot;,&quot;given&quot;:&quot;Penelope M.&quot;,&quot;parse-names&quot;:false,&quot;dropping-particle&quot;:&quot;&quot;,&quot;non-dropping-particle&quot;:&quot;&quot;},{&quot;family&quot;:&quot;Gibson&quot;,&quot;given&quot;:&quot;Bradford W.&quot;,&quot;parse-names&quot;:false,&quot;dropping-particle&quot;:&quot;&quot;,&quot;non-dropping-particle&quot;:&quot;&quot;},{&quot;family&quot;:&quot;Tabb&quot;,&quot;given&quot;:&quot;David L.&quot;,&quot;parse-names&quot;:false,&quot;dropping-particle&quot;:&quot;&quot;,&quot;non-dropping-particle&quot;:&quot;&quot;}],&quot;container-title&quot;:&quot;Journal of Proteome Research&quot;,&quot;DOI&quot;:&quot;10.1021/pr900360j&quot;,&quot;ISSN&quot;:&quot;15353893&quot;,&quot;PMID&quot;:&quot;19522537&quot;,&quot;issued&quot;:{&quot;date-parts&quot;:[[2009]]},&quot;page&quot;:&quot;3872-3881&quot;,&quot;abstract&quot;:&quot;Tandem mass spectrometry-based shotgun proteomics has become a widespread technology for analyzing complex protein mixtures. A number of database searching algorithms have been developed to assign peptide sequences to tandem mass spectra. Assembling the peptide identifications to proteins, however, is a challenging issue because many peptides are shared among multiple proteins. IDPicker is an open-source protein assembly tool that derives a minimum protein list from peptide identifications filtered to a specified False Discovery Rate. Here, we update IDPicker to increase confident peptide identifications by combining multiple scores produced by database search tools. By segregating peptide identifications for thresholding using both the precursor charge state and the number of tryptic termini, IDPicker retrieves more peptides for protein assembly. The new version is more robust against false positive proteins, especially in searches using multispecies databases, by requiring additional novel peptides in the parsimony process. IDPicker has been designed for incorporation in many identification workflows by the addition of a graphical user interface and the ability to read identifications from the pepXML format. These advances position IDPicker for high peptide discrimination and reliable protein assembly in large-scale proteomics studies. The source code and binaries for the latest version of IDPicker are available from http://fenchurch.mc. vanderbilt.edu/. © 2009 American Chemical Society.&quot;,&quot;issue&quot;:&quot;8&quot;,&quot;volume&quot;:&quot;8&quot;,&quot;container-title-short&quot;:&quot;&quot;},&quot;isTemporary&quot;:false}]},{&quot;citationID&quot;:&quot;MENDELEY_CITATION_b891278a-516c-40f5-9605-7e018e312dd1&quot;,&quot;properties&quot;:{&quot;noteIndex&quot;:0},&quot;isEdited&quot;:false,&quot;manualOverride&quot;:{&quot;isManuallyOverridden&quot;:false,&quot;citeprocText&quot;:&quot;&lt;sup&gt;173&lt;/sup&gt;&quot;,&quot;manualOverrideText&quot;:&quot;&quot;},&quot;citationTag&quot;:&quot;MENDELEY_CITATION_v3_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&quot;,&quot;citationItems&quot;:[{&quot;id&quot;:&quot;8739ab41-e826-3f56-abd2-6061acaf5222&quot;,&quot;itemData&quot;:{&quot;type&quot;:&quot;article-journal&quot;,&quot;id&quot;:&quot;8739ab41-e826-3f56-abd2-6061acaf5222&quot;,&quot;title&quot;:&quot;Search and clustering orders of magnitude faster than BLAST&quot;,&quot;author&quot;:[{&quot;family&quot;:&quot;Edgar&quot;,&quot;given&quot;:&quot;Robert C.&quot;,&quot;parse-names&quot;:false,&quot;dropping-particle&quot;:&quot;&quot;,&quot;non-dropping-particle&quot;:&quot;&quot;}],&quot;container-title&quot;:&quot;Bioinformatics&quot;,&quot;DOI&quot;:&quot;10.1093/bioinformatics/btq461&quot;,&quot;ISSN&quot;:&quot;13674803&quot;,&quot;PMID&quot;:&quot;20709691&quot;,&quot;issued&quot;:{&quot;date-parts&quot;:[[2010]]},&quot;page&quot;:&quot;2460-2461&quot;,&quot;abstract&quot;:&quot;Motivation: Biological sequence data is accumulating rapidly, motivating the development of improved high-throughput methods for sequence classification. Results: UBLAST and USEARCH are new algorithms enabling sensitive local and global search of large sequence databases at exceptionally high speeds. They are often orders of magnitude faster than BLAST in practical applications, though sensitivity to distant protein relationships is lower. UCLUST is a new clustering method that exploits USEARCH to assign sequences to clusters. UCLUST offers several advantages over the widely used program CD-HIT, including higher speed, lower memory use, improved sensitivity, clustering at lower identities and classification of much larger datasets. © The Author 2010. Published by Oxford University Press. All rights reserved.&quot;,&quot;issue&quot;:&quot;19&quot;,&quot;volume&quot;:&quot;26&quot;,&quot;container-title-short&quot;:&quot;&quot;},&quot;isTemporary&quot;:false}]},{&quot;citationID&quot;:&quot;MENDELEY_CITATION_aafec422-4f5b-475a-b548-09327a4327d5&quot;,&quot;properties&quot;:{&quot;noteIndex&quot;:0},&quot;isEdited&quot;:false,&quot;manualOverride&quot;:{&quot;isManuallyOverridden&quot;:false,&quot;citeprocText&quot;:&quot;&lt;sup&gt;174&lt;/sup&gt;&quot;,&quot;manualOverrideText&quot;:&quot;&quot;},&quot;citationTag&quot;:&quot;MENDELEY_CITATION_v3_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&quot;,&quot;citationItems&quot;:[{&quot;id&quot;:&quot;33162871-2a08-3952-a3ab-a6e3633f8e58&quot;,&quot;itemData&quot;:{&quot;type&quot;:&quot;article-journal&quot;,&quot;id&quot;:&quot;33162871-2a08-3952-a3ab-a6e3633f8e58&quot;,&quot;title&quot;:&quot;Development of the preterm infant gut microbiome: a research priority&quot;,&quot;author&quot;:[{&quot;family&quot;:&quot;Groer&quot;,&quot;given&quot;:&quot;Maureen W&quot;,&quot;parse-names&quot;:false,&quot;dropping-particle&quot;:&quot;&quot;,&quot;non-dropping-particle&quot;:&quot;&quot;},{&quot;family&quot;:&quot;Luciano&quot;,&quot;given&quot;:&quot;Angel A&quot;,&quot;parse-names&quot;:false,&quot;dropping-particle&quot;:&quot;&quot;,&quot;non-dropping-particle&quot;:&quot;&quot;},{&quot;family&quot;:&quot;Dishaw&quot;,&quot;given&quot;:&quot;Larry J&quot;,&quot;parse-names&quot;:false,&quot;dropping-particle&quot;:&quot;&quot;,&quot;non-dropping-particle&quot;:&quot;&quot;},{&quot;family&quot;:&quot;Ashmeade&quot;,&quot;given&quot;:&quot;Terri L&quot;,&quot;parse-names&quot;:false,&quot;dropping-particle&quot;:&quot;&quot;,&quot;non-dropping-particle&quot;:&quot;&quot;},{&quot;family&quot;:&quot;Miller&quot;,&quot;given&quot;:&quot;Elizabeth&quot;,&quot;parse-names&quot;:false,&quot;dropping-particle&quot;:&quot;&quot;,&quot;non-dropping-particle&quot;:&quot;&quot;},{&quot;family&quot;:&quot;Gilbert&quot;,&quot;given&quot;:&quot;Jack A&quot;,&quot;parse-names&quot;:false,&quot;dropping-particle&quot;:&quot;&quot;,&quot;non-dropping-particle&quot;:&quot;&quot;}],&quot;container-title&quot;:&quot;Microbiome&quot;,&quot;DOI&quot;:&quot;10.1186/2049-2618-2-38&quot;,&quot;issued&quot;:{&quot;date-parts&quot;:[[2014]]},&quot;page&quot;:&quot;1-8&quot;,&quot;issue&quot;:&quot;38&quot;,&quot;volume&quot;:&quot;2&quot;,&quot;container-title-short&quot;:&quot;Microbiome&quot;},&quot;isTemporary&quot;:false}]},{&quot;citationID&quot;:&quot;MENDELEY_CITATION_b8a820ca-3476-4818-93de-d478308f4d0e&quot;,&quot;properties&quot;:{&quot;noteIndex&quot;:0},&quot;isEdited&quot;:false,&quot;manualOverride&quot;:{&quot;isManuallyOverridden&quot;:false,&quot;citeprocText&quot;:&quot;&lt;sup&gt;175&lt;/sup&gt;&quot;,&quot;manualOverrideText&quot;:&quot;&quot;},&quot;citationTag&quot;:&quot;MENDELEY_CITATION_v3_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&quot;,&quot;citationItems&quot;:[{&quot;id&quot;:&quot;fc7b6b17-7abc-39a5-ba26-c195e682a444&quot;,&quot;itemData&quot;:{&quot;type&quot;:&quot;article-journal&quot;,&quot;id&quot;:&quot;fc7b6b17-7abc-39a5-ba26-c195e682a444&quot;,&quot;title&quot;:&quot;Development of the human infant intestinal microbiota&quot;,&quot;author&quot;:[{&quot;family&quot;:&quot;Palmer&quot;,&quot;given&quot;:&quot;Chana&quot;,&quot;parse-names&quot;:false,&quot;dropping-particle&quot;:&quot;&quot;,&quot;non-dropping-particle&quot;:&quot;&quot;},{&quot;family&quot;:&quot;Bik&quot;,&quot;given&quot;:&quot;Elisabeth M.&quot;,&quot;parse-names&quot;:false,&quot;dropping-particle&quot;:&quot;&quot;,&quot;non-dropping-particle&quot;:&quot;&quot;},{&quot;family&quot;:&quot;DiGiulio&quot;,&quot;given&quot;:&quot;Daniel B.&quot;,&quot;parse-names&quot;:false,&quot;dropping-particle&quot;:&quot;&quot;,&quot;non-dropping-particle&quot;:&quot;&quot;},{&quot;family&quot;:&quot;Relman&quot;,&quot;given&quot;:&quot;David A.&quot;,&quot;parse-names&quot;:false,&quot;dropping-particle&quot;:&quot;&quot;,&quot;non-dropping-particle&quot;:&quot;&quot;},{&quot;family&quot;:&quot;Brown&quot;,&quot;given&quot;:&quot;Patrick O.&quot;,&quot;parse-names&quot;:false,&quot;dropping-particle&quot;:&quot;&quot;,&quot;non-dropping-particle&quot;:&quot;&quot;}],&quot;container-title&quot;:&quot;PLoS Biology&quot;,&quot;DOI&quot;:&quot;10.1371/journal.pbio.0050177&quot;,&quot;ISSN&quot;:&quot;15449173&quot;,&quot;PMID&quot;:&quot;17594176&quot;,&quot;issued&quot;:{&quot;date-parts&quot;:[[2007]]},&quot;page&quot;:&quot;1556-1573&quot;,&quot;abstract&quot;:&quot;Almost immediately after a human being is born, so too is a new microbial ecosystem, one that resides in that person's gastrointestinal tract. Although it is a universal and integral part of human biology, the temporal progression of this process, the sources of the microbes that make up the ecosystem, how and why it varies from one infant to another, and how the composition of this ecosystem influences human physiology, development, and disease are still poorly understood. As a step toward systematically investigating these questions, we designed a microarray to detect and quantitate the small subunit ribosomal RNA (SSU rRNA) gene sequences of most currently recognized species and taxonomic groups of bacteria. We used this microarray, along with sequencing of cloned libraries of PCR-amplified SSU rDNA, to profile the microbial communities in an average of 26 stool samples each from 14 healthy, full-term human infants, including a pair of dizygotic twins, beginning with the first stool after birth and continuing at defined intervals throughout the first year of life. To investigate possible origins of the infant microbiota, we also profiled vaginal and milk samples from most of the mothers, and stool samples from all of the mothers, most of the fathers, and two siblings. The composition and temporal patterns of the microbial communities varied widely from baby to baby. Despite considerable temporal variation, the distinct features of each baby's microbial community were recognizable for intervals of weeks to months. The strikingly parallel temporal patterns of the twins suggested that incidental environmental exposures play a major role in determining the distinctive characteristics of the microbial community in each baby. By the end of the first year of life, the idiosyncratic microbial ecosystems in each baby, although still distinct, had converged toward a profile characteristic of the adult gastrointestinal tract. © 2007 Palmer et al.&quot;,&quot;issue&quot;:&quot;7&quot;,&quot;volume&quot;:&quot;5&quot;,&quot;container-title-short&quot;:&quot;&quot;},&quot;isTemporary&quot;:false}]},{&quot;citationID&quot;:&quot;MENDELEY_CITATION_1bcf9b1b-02a9-4065-81a4-9250cb878ca3&quot;,&quot;properties&quot;:{&quot;noteIndex&quot;:0},&quot;isEdited&quot;:false,&quot;manualOverride&quot;:{&quot;isManuallyOverridden&quot;:false,&quot;citeprocText&quot;:&quot;&lt;sup&gt;176&lt;/sup&gt;&quot;,&quot;manualOverrideText&quot;:&quot;&quot;},&quot;citationTag&quot;:&quot;MENDELEY_CITATION_v3_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&quot;,&quot;citationItems&quot;:[{&quot;id&quot;:&quot;fd9e4bed-0e38-3686-afb3-cb6de416bb67&quot;,&quot;itemData&quot;:{&quot;type&quot;:&quot;article-journal&quot;,&quot;id&quot;:&quot;fd9e4bed-0e38-3686-afb3-cb6de416bb67&quot;,&quot;title&quot;:&quot;Microbial Eukaryotes: a Missing Link in Gut Microbiome Studies&quot;,&quot;author&quot;:[{&quot;family&quot;:&quot;Laforest-Lapointe&quot;,&quot;given&quot;:&quot;Isabelle&quot;,&quot;parse-names&quot;:false,&quot;dropping-particle&quot;:&quot;&quot;,&quot;non-dropping-particle&quot;:&quot;&quot;},{&quot;family&quot;:&quot;Arrieta&quot;,&quot;given&quot;:&quot;Marie-Claire&quot;,&quot;parse-names&quot;:false,&quot;dropping-particle&quot;:&quot;&quot;,&quot;non-dropping-particle&quot;:&quot;&quot;}],&quot;container-title&quot;:&quot;mSystems&quot;,&quot;DOI&quot;:&quot;10.1128/msystems.00201-17&quot;,&quot;ISSN&quot;:&quot;2379-5077&quot;,&quot;issued&quot;:{&quot;date-parts&quot;:[[2018]]},&quot;abstract&quot;:&quot;Human-associated microbial communities include prokaryotic and eukaryotic organisms across high-level clades of the tree of life. While advances in high-throughput sequencing technology allow for the study of diverse lineages, the vast majority of studies are limited to bacteria, and very little is known on how eukaryote microbes fit in the overall microbial ecology of the human gut.Human-associated microbial communities include prokaryotic and eukaryotic organisms across high-level clades of the tree of life. While advances in high-throughput sequencing technology allow for the study of diverse lineages, the vast majority of studies are limited to bacteria, and very little is known on how eukaryote microbes fit in the overall microbial ecology of the human gut. As recent studies consider eukaryotes in their surveys, it is becoming increasingly clear that eukaryotes play important ecological roles in the microbiome as well as in host health. In this perspective, we discuss new evidence on eukaryotes as fundamental species of the human gut and emphasize that future microbiome studies should characterize the multitrophic interactions between microeukaryotes, other microorganisms, and the host.&quot;,&quot;issue&quot;:&quot;2&quot;,&quot;volume&quot;:&quot;3&quot;,&quot;container-title-short&quot;:&quot;mSystems&quot;},&quot;isTemporary&quot;:false}]},{&quot;citationID&quot;:&quot;MENDELEY_CITATION_dbfdbbe3-b359-4559-ab72-531f478c9041&quot;,&quot;properties&quot;:{&quot;noteIndex&quot;:0},&quot;isEdited&quot;:false,&quot;manualOverride&quot;:{&quot;isManuallyOverridden&quot;:false,&quot;citeprocText&quot;:&quot;&lt;sup&gt;177&lt;/sup&gt;&quot;,&quot;manualOverrideText&quot;:&quot;&quot;},&quot;citationTag&quot;:&quot;MENDELEY_CITATION_v3_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&quot;,&quot;citationItems&quot;:[{&quot;id&quot;:&quot;5228573e-0826-39ff-aada-f8752e068b1f&quot;,&quot;itemData&quot;:{&quot;type&quot;:&quot;article-journal&quot;,&quot;id&quot;:&quot;5228573e-0826-39ff-aada-f8752e068b1f&quot;,&quot;title&quot;:&quot;Neonatal candidiasis: Diagnosis, prevention, and treatment&quot;,&quot;author&quot;:[{&quot;family&quot;:&quot;Greenberg&quot;,&quot;given&quot;:&quot;Rachel G.&quot;,&quot;parse-names&quot;:false,&quot;dropping-particle&quot;:&quot;&quot;,&quot;non-dropping-particle&quot;:&quot;&quot;},{&quot;family&quot;:&quot;Benjamin&quot;,&quot;given&quot;:&quot;Daniel K.&quot;,&quot;parse-names&quot;:false,&quot;dropping-particle&quot;:&quot;&quot;,&quot;non-dropping-particle&quot;:&quot;&quot;}],&quot;container-title&quot;:&quot;Journal of Infection&quot;,&quot;DOI&quot;:&quot;10.1016/j.jinf.2014.07.012&quot;,&quot;ISSN&quot;:&quot;15322742&quot;,&quot;issued&quot;:{&quot;date-parts&quot;:[[2014]]},&quot;abstract&quot;:&quot;Infection with Candida species is associated with significant morbidity and mortality in infants. The incidence of Candida infection varies widely across centers, likely due to differences in practice related to modifiable risk factors such as exposure to empiric antibiotics and length of parenteral nutrition. Early diagnosis of Candida and prompt treatment with appropriate antifungal agents, such as fluconazole, amphotericin B deoxycholate, and micafungin, are critical for improved outcomes. This paper reviews the current literature relating to the prevention, diagnosis, and treatment of Candida infections in the neonatal intensive care unit.&quot;,&quot;issue&quot;:&quot;S1&quot;,&quot;volume&quot;:&quot;69&quot;,&quot;container-title-short&quot;:&quot;&quot;},&quot;isTemporary&quot;:false}]},{&quot;citationID&quot;:&quot;MENDELEY_CITATION_d0456de6-55fa-40a8-8f1d-188a74013343&quot;,&quot;properties&quot;:{&quot;noteIndex&quot;:0},&quot;isEdited&quot;:false,&quot;manualOverride&quot;:{&quot;isManuallyOverridden&quot;:false,&quot;citeprocText&quot;:&quot;&lt;sup&gt;178&lt;/sup&gt;&quot;,&quot;manualOverrideText&quot;:&quot;&quot;},&quot;citationTag&quot;:&quot;MENDELEY_CITATION_v3_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&quot;,&quot;citationItems&quot;:[{&quot;id&quot;:&quot;6287a644-8dd9-33c1-a0e1-e5e6ffcda258&quot;,&quot;itemData&quot;:{&quot;type&quot;:&quot;article&quot;,&quot;id&quot;:&quot;6287a644-8dd9-33c1-a0e1-e5e6ffcda258&quot;,&quot;title&quot;:&quot;The microbiome in early life: Implications for health outcomes&quot;,&quot;author&quot;:[{&quot;family&quot;:&quot;Tamburini&quot;,&quot;given&quot;:&quot;Sabrina&quot;,&quot;parse-names&quot;:false,&quot;dropping-particle&quot;:&quot;&quot;,&quot;non-dropping-particle&quot;:&quot;&quot;},{&quot;family&quot;:&quot;Shen&quot;,&quot;given&quot;:&quot;Nan&quot;,&quot;parse-names&quot;:false,&quot;dropping-particle&quot;:&quot;&quot;,&quot;non-dropping-particle&quot;:&quot;&quot;},{&quot;family&quot;:&quot;Wu&quot;,&quot;given&quot;:&quot;Han Chih&quot;,&quot;parse-names&quot;:false,&quot;dropping-particle&quot;:&quot;&quot;,&quot;non-dropping-particle&quot;:&quot;&quot;},{&quot;family&quot;:&quot;Clemente&quot;,&quot;given&quot;:&quot;Jose C.&quot;,&quot;parse-names&quot;:false,&quot;dropping-particle&quot;:&quot;&quot;,&quot;non-dropping-particle&quot;:&quot;&quot;}],&quot;container-title&quot;:&quot;Nature Medicine&quot;,&quot;DOI&quot;:&quot;10.1038/nm.4142&quot;,&quot;ISSN&quot;:&quot;1546170X&quot;,&quot;issued&quot;:{&quot;date-parts&quot;:[[2016]]},&quot;abstract&quot;:&quot;Recent studies have characterized how host genetics, prenatal environment and delivery mode can shape the newborn microbiome at birth. Following this, postnatal factors, such as antibiotic treatment, diet or environmental exposure, further modulate the development of the infant's microbiome and immune system, and exposure to a variety of microbial organisms during early life has long been hypothesized to exert a protective effect in the newborn. Furthermore, epidemiological studies have shown that factors that alter bacterial communities in infants during childhood increase the risk for several diseases, highlighting the importance of understanding early-life microbiome composition. In this review, we describe how prenatal and postnatal factors shape the development of both the microbiome and the immune system. We also discuss the prospects of microbiome-mediated therapeutics and the need for more effective approaches that can reconfigure bacterial communities from pathogenic to homeostatic configurations.&quot;,&quot;issue&quot;:&quot;7&quot;,&quot;volume&quot;:&quot;22&quot;,&quot;container-title-short&quot;:&quot;&quot;},&quot;isTemporary&quot;:false}]},{&quot;citationID&quot;:&quot;MENDELEY_CITATION_983c9e51-144f-4ef5-9db2-5935a0ad4d3a&quot;,&quot;properties&quot;:{&quot;noteIndex&quot;:0},&quot;isEdited&quot;:false,&quot;manualOverride&quot;:{&quot;isManuallyOverridden&quot;:false,&quot;citeprocText&quot;:&quot;&lt;sup&gt;179&lt;/sup&gt;&quot;,&quot;manualOverrideText&quot;:&quot;&quot;},&quot;citationTag&quot;:&quot;MENDELEY_CITATION_v3_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&quot;,&quot;citationItems&quot;:[{&quot;id&quot;:&quot;e4f9b0f0-f906-34e8-b9d6-b9e2ed15ff94&quot;,&quot;itemData&quot;:{&quot;type&quot;:&quot;article-journal&quot;,&quot;id&quot;:&quot;e4f9b0f0-f906-34e8-b9d6-b9e2ed15ff94&quot;,&quot;title&quot;:&quot;KEGG: New perspectives on genomes, pathways, diseases and drugs&quot;,&quot;author&quot;:[{&quot;family&quot;:&quot;Kanehisa&quot;,&quot;given&quot;:&quot;Minoru&quot;,&quot;parse-names&quot;:false,&quot;dropping-particle&quot;:&quot;&quot;,&quot;non-dropping-particle&quot;:&quot;&quot;},{&quot;family&quot;:&quot;Furumichi&quot;,&quot;given&quot;:&quot;Miho&quot;,&quot;parse-names&quot;:false,&quot;dropping-particle&quot;:&quot;&quot;,&quot;non-dropping-particle&quot;:&quot;&quot;},{&quot;family&quot;:&quot;Tanabe&quot;,&quot;given&quot;:&quot;Mao&quot;,&quot;parse-names&quot;:false,&quot;dropping-particle&quot;:&quot;&quot;,&quot;non-dropping-particle&quot;:&quot;&quot;},{&quot;family&quot;:&quot;Sato&quot;,&quot;given&quot;:&quot;Yoko&quot;,&quot;parse-names&quot;:false,&quot;dropping-particle&quot;:&quot;&quot;,&quot;non-dropping-particle&quot;:&quot;&quot;},{&quot;family&quot;:&quot;Morishima&quot;,&quot;given&quot;:&quot;Kanae&quot;,&quot;parse-names&quot;:false,&quot;dropping-particle&quot;:&quot;&quot;,&quot;non-dropping-particle&quot;:&quot;&quot;}],&quot;container-title&quot;:&quot;Nucleic Acids Research&quot;,&quot;DOI&quot;:&quot;10.1093/nar/gkw1092&quot;,&quot;ISBN&quot;:&quot;2076792171&quot;,&quot;ISSN&quot;:&quot;13624962&quot;,&quot;PMID&quot;:&quot;27899565&quot;,&quot;issued&quot;:{&quot;date-parts&quot;:[[2017]]},&quot;page&quot;:&quot;D353-D361&quot;,&quot;abstract&quot;:&quot;The eukaryotic RNA exosome is an essential, multi-subunit complex that catalyzes RNA turnover, maturation, and quality control processes. Its non-catalytic donut-shaped core includes 9 subunits that associate with the 3' to 5' exoribonucleases Rrp6, and Rrp44/Dis3, a subunit that also catalyzes endoribonuclease activity. Although recent structures and biochemical studies of RNA bound exosomes from S. cerevisiae revealed that the Exo9 central channel guides RNA to either Rrp6 or Rrp44 using partially overlapping and mutually exclusive paths, several issues related to RNA recruitment remain. Here, we identify activities for the highly basic Rrp6 C-terminal tail that we term the 'lasso' because it binds RNA and stimulates ribonuclease activities associated with Rrp44 and Rrp6 within the 11-subunit nuclear exosome. Stimulation is dependent on the Exo9 central channel, and the lasso contributes to degradation and processing activities of exosome substrates in vitro and in vivo. Finally, we present evidence that the Rrp6 lasso may be a conserved feature of the eukaryotic RNA exosome.&quot;,&quot;issue&quot;:&quot;D1&quot;,&quot;volume&quot;:&quot;45&quot;,&quot;container-title-short&quot;:&quot;&quot;},&quot;isTemporary&quot;:false}]},{&quot;citationID&quot;:&quot;MENDELEY_CITATION_fce52f3d-29ec-4fa3-9f00-fd5a3b019627&quot;,&quot;properties&quot;:{&quot;noteIndex&quot;:0},&quot;isEdited&quot;:false,&quot;manualOverride&quot;:{&quot;isManuallyOverridden&quot;:false,&quot;citeprocText&quot;:&quot;&lt;sup&gt;180&lt;/sup&gt;&quot;,&quot;manualOverrideText&quot;:&quot;&quot;},&quot;citationTag&quot;:&quot;MENDELEY_CITATION_v3_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&quot;,&quot;citationItems&quot;:[{&quot;id&quot;:&quot;b4411832-d469-3d4e-851c-07944a9bd5fa&quot;,&quot;itemData&quot;:{&quot;type&quot;:&quot;article-journal&quot;,&quot;id&quot;:&quot;b4411832-d469-3d4e-851c-07944a9bd5fa&quot;,&quot;title&quot;:&quot;Biochemical properties of Candida parapsilosis ecto-5'-nucleotidase and the possible role of adenosine in macrophage interaction&quot;,&quot;author&quot;:[{&quot;family&quot;:&quot;Russo-Abrahão&quot;,&quot;given&quot;:&quot;Thais&quot;,&quot;parse-names&quot;:false,&quot;dropping-particle&quot;:&quot;&quot;,&quot;non-dropping-particle&quot;:&quot;&quot;},{&quot;family&quot;:&quot;Cosentino-Gomes&quot;,&quot;given&quot;:&quot;Daniela&quot;,&quot;parse-names&quot;:false,&quot;dropping-particle&quot;:&quot;&quot;,&quot;non-dropping-particle&quot;:&quot;&quot;},{&quot;family&quot;:&quot;Gomes&quot;,&quot;given&quot;:&quot;Marta T.&quot;,&quot;parse-names&quot;:false,&quot;dropping-particle&quot;:&quot;&quot;,&quot;non-dropping-particle&quot;:&quot;&quot;},{&quot;family&quot;:&quot;Alviano&quot;,&quot;given&quot;:&quot;Daniela S.&quot;,&quot;parse-names&quot;:false,&quot;dropping-particle&quot;:&quot;&quot;,&quot;non-dropping-particle&quot;:&quot;&quot;},{&quot;family&quot;:&quot;Alviano&quot;,&quot;given&quot;:&quot;Celuta S.&quot;,&quot;parse-names&quot;:false,&quot;dropping-particle&quot;:&quot;&quot;,&quot;non-dropping-particle&quot;:&quot;&quot;},{&quot;family&quot;:&quot;Lopes&quot;,&quot;given&quot;:&quot;Angela H.&quot;,&quot;parse-names&quot;:false,&quot;dropping-particle&quot;:&quot;&quot;,&quot;non-dropping-particle&quot;:&quot;&quot;},{&quot;family&quot;:&quot;Meyer-Fernandes&quot;,&quot;given&quot;:&quot;José Roberto&quot;,&quot;parse-names&quot;:false,&quot;dropping-particle&quot;:&quot;&quot;,&quot;non-dropping-particle&quot;:&quot;&quot;}],&quot;container-title&quot;:&quot;FEMS Microbiology Letters&quot;,&quot;DOI&quot;:&quot;10.1111/j.1574-6968.2011.02216.x&quot;,&quot;ISSN&quot;:&quot;03781097&quot;,&quot;issued&quot;:{&quot;date-parts&quot;:[[2011]]},&quot;abstract&quot;:&quot;Candida parapsilosis is considered to be an emerging fungal pathogen because it is associated with an increasing range of infections. In this work, we biochemically characterized ecto-5'-nucleotidase activity on the surface of living, intact C. parapsilosis cells. At a pH of 4.5, intact cells were able to hydrolyze 5'-AMP at a rate of 52.44 ± 7.01nmolPih -110 -7 cells. 5'-AMP, 5'-IMP and 5'-UMP were hydrolyzed at similar rates, whereas 5'-GMP and 5'-CMP hydrolyzed at lower rates. Enzyme activity was increased by about 42% with addition of Mg 2+ or Ca 2+, and the optimum pH was in the acidic range. An inhibitor of phosphatase activities, sodium orthovanadate, showed no effect on AMP hydrolysis; however, as expected, ammonium molybdate, a classical nucleotidase inhibitor, inhibited the activity in a dose-dependent manner. The results indicated that the existence of an ecto-5'-nucleotidase could play a role in the control of extracellular nucleotide concentrations. © 2011 Federation of European Microbiological Societies.&quot;,&quot;issue&quot;:&quot;1&quot;,&quot;volume&quot;:&quot;317&quot;,&quot;container-title-short&quot;:&quot;&quot;},&quot;isTemporary&quot;:false}]},{&quot;citationID&quot;:&quot;MENDELEY_CITATION_98cdfda3-c1d4-4330-ba33-a451782d4fb1&quot;,&quot;properties&quot;:{&quot;noteIndex&quot;:0},&quot;isEdited&quot;:false,&quot;manualOverride&quot;:{&quot;isManuallyOverridden&quot;:false,&quot;citeprocText&quot;:&quot;&lt;sup&gt;142&lt;/sup&gt;&quot;,&quot;manualOverrideText&quot;:&quot;&quot;},&quot;citationTag&quot;:&quot;MENDELEY_CITATION_v3_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&quot;,&quot;citationItems&quot;:[{&quot;id&quot;:&quot;a1a9e9e7-babe-3071-80c2-742501ac9e2a&quot;,&quot;itemData&quot;:{&quot;type&quot;:&quot;article-journal&quot;,&quot;id&quot;:&quot;a1a9e9e7-babe-3071-80c2-742501ac9e2a&quot;,&quot;title&quot;:&quot;CharmeRT: Boosting Peptide Identifications by Chimeric Spectra Identification and Retention Time Prediction&quot;,&quot;author&quot;:[{&quot;family&quot;:&quot;Dorfer&quot;,&quot;given&quot;:&quot;Viktoria&quot;,&quot;parse-names&quot;:false,&quot;dropping-particle&quot;:&quot;&quot;,&quot;non-dropping-particle&quot;:&quot;&quot;},{&quot;family&quot;:&quot;Maltsev&quot;,&quot;given&quot;:&quot;Sergey&quot;,&quot;parse-names&quot;:false,&quot;dropping-particle&quot;:&quot;&quot;,&quot;non-dropping-particle&quot;:&quot;&quot;},{&quot;family&quot;:&quot;Winkler&quot;,&quot;given&quot;:&quot;Stephan&quot;,&quot;parse-names&quot;:false,&quot;dropping-particle&quot;:&quot;&quot;,&quot;non-dropping-particle&quot;:&quot;&quot;},{&quot;family&quot;:&quot;Mechtler&quot;,&quot;given&quot;:&quot;Karl&quot;,&quot;parse-names&quot;:false,&quot;dropping-particle&quot;:&quot;&quot;,&quot;non-dropping-particle&quot;:&quot;&quot;}],&quot;container-title&quot;:&quot;Journal of Proteome Research&quot;,&quot;DOI&quot;:&quot;10.1021/acs.jproteome.7b00836&quot;,&quot;ISSN&quot;:&quot;15353907&quot;,&quot;issued&quot;:{&quot;date-parts&quot;:[[2018]]},&quot;page&quot;:&quot;2581-2589&quot;,&quot;abstract&quot;:&quot;Coeluting peptides are still a major challenge for the identification and validation of MS/MS spectra, but carry great potential. To tackle these problems, we have developed the here presented CharmeRT workflow, combining a chimeric spectra identification strategy implemented as part of the MS Amanda algorithm with the validation system Elutator, which incorporates a highly accurate retention time prediction algorithm. For high-resolution data sets this workflow identifies 38-64% chimeric spectra, which results in up to 63% more unique peptides compared to a conventional single search strategy.&quot;,&quot;issue&quot;:&quot;8&quot;,&quot;volume&quot;:&quot;17&quot;,&quot;container-title-short&quot;:&quot;&quot;},&quot;isTemporary&quot;:false}]},{&quot;citationID&quot;:&quot;MENDELEY_CITATION_3fc198ad-da50-4a42-b7ea-6114762f1274&quot;,&quot;properties&quot;:{&quot;noteIndex&quot;:0},&quot;isEdited&quot;:false,&quot;manualOverride&quot;:{&quot;isManuallyOverridden&quot;:false,&quot;citeprocText&quot;:&quot;&lt;sup&gt;173&lt;/sup&gt;&quot;,&quot;manualOverrideText&quot;:&quot;&quot;},&quot;citationTag&quot;:&quot;MENDELEY_CITATION_v3_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&quot;,&quot;citationItems&quot;:[{&quot;id&quot;:&quot;8739ab41-e826-3f56-abd2-6061acaf5222&quot;,&quot;itemData&quot;:{&quot;type&quot;:&quot;article-journal&quot;,&quot;id&quot;:&quot;8739ab41-e826-3f56-abd2-6061acaf5222&quot;,&quot;title&quot;:&quot;Search and clustering orders of magnitude faster than BLAST&quot;,&quot;author&quot;:[{&quot;family&quot;:&quot;Edgar&quot;,&quot;given&quot;:&quot;Robert C.&quot;,&quot;parse-names&quot;:false,&quot;dropping-particle&quot;:&quot;&quot;,&quot;non-dropping-particle&quot;:&quot;&quot;}],&quot;container-title&quot;:&quot;Bioinformatics&quot;,&quot;DOI&quot;:&quot;10.1093/bioinformatics/btq461&quot;,&quot;ISSN&quot;:&quot;13674803&quot;,&quot;PMID&quot;:&quot;20709691&quot;,&quot;issued&quot;:{&quot;date-parts&quot;:[[2010]]},&quot;page&quot;:&quot;2460-2461&quot;,&quot;abstract&quot;:&quot;Motivation: Biological sequence data is accumulating rapidly, motivating the development of improved high-throughput methods for sequence classification. Results: UBLAST and USEARCH are new algorithms enabling sensitive local and global search of large sequence databases at exceptionally high speeds. They are often orders of magnitude faster than BLAST in practical applications, though sensitivity to distant protein relationships is lower. UCLUST is a new clustering method that exploits USEARCH to assign sequences to clusters. UCLUST offers several advantages over the widely used program CD-HIT, including higher speed, lower memory use, improved sensitivity, clustering at lower identities and classification of much larger datasets. © The Author 2010. Published by Oxford University Press. All rights reserved.&quot;,&quot;issue&quot;:&quot;19&quot;,&quot;volume&quot;:&quot;26&quot;,&quot;container-title-short&quot;:&quot;&quot;},&quot;isTemporary&quot;:false}]},{&quot;citationID&quot;:&quot;MENDELEY_CITATION_57b20381-c8c5-4b9e-ae74-06c463d9f1db&quot;,&quot;properties&quot;:{&quot;noteIndex&quot;:0},&quot;isEdited&quot;:false,&quot;manualOverride&quot;:{&quot;isManuallyOverridden&quot;:false,&quot;citeprocText&quot;:&quot;&lt;sup&gt;181&lt;/sup&gt;&quot;,&quot;manualOverrideText&quot;:&quot;&quot;},&quot;citationTag&quot;:&quot;MENDELEY_CITATION_v3_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&quot;,&quot;citationItems&quot;:[{&quot;id&quot;:&quot;9f31ad3e-a674-3f85-8b5d-42e07672a71f&quot;,&quot;itemData&quot;:{&quot;type&quot;:&quot;article-journal&quot;,&quot;id&quot;:&quot;9f31ad3e-a674-3f85-8b5d-42e07672a71f&quot;,&quot;title&quot;:&quot;DAnTE: A statistical tool for quantitative analysis of -omics data&quot;,&quot;author&quot;:[{&quot;family&quot;:&quot;Polpitiya&quot;,&quot;given&quot;:&quot;Ashoka D.&quot;,&quot;parse-names&quot;:false,&quot;dropping-particle&quot;:&quot;&quot;,&quot;non-dropping-particle&quot;:&quot;&quot;},{&quot;family&quot;:&quot;Qian&quot;,&quot;given&quot;:&quot;Wei Jun&quot;,&quot;parse-names&quot;:false,&quot;dropping-particle&quot;:&quot;&quot;,&quot;non-dropping-particle&quot;:&quot;&quot;},{&quot;family&quot;:&quot;Jaitly&quot;,&quot;given&quot;:&quot;Navdeep&quot;,&quot;parse-names&quot;:false,&quot;dropping-particle&quot;:&quot;&quot;,&quot;non-dropping-particle&quot;:&quot;&quot;},{&quot;family&quot;:&quot;Petyuk&quot;,&quot;given&quot;:&quot;Vladislav A.&quot;,&quot;parse-names&quot;:false,&quot;dropping-particle&quot;:&quot;&quot;,&quot;non-dropping-particle&quot;:&quot;&quot;},{&quot;family&quot;:&quot;Adkins&quot;,&quot;given&quot;:&quot;Joshua N.&quot;,&quot;parse-names&quot;:false,&quot;dropping-particle&quot;:&quot;&quot;,&quot;non-dropping-particle&quot;:&quot;&quot;},{&quot;family&quot;:&quot;Camp&quot;,&quot;given&quot;:&quot;David G.&quot;,&quot;parse-names&quot;:false,&quot;dropping-particle&quot;:&quot;&quot;,&quot;non-dropping-particle&quot;:&quot;&quot;},{&quot;family&quot;:&quot;Anderson&quot;,&quot;given&quot;:&quot;Gordon A.&quot;,&quot;parse-names&quot;:false,&quot;dropping-particle&quot;:&quot;&quot;,&quot;non-dropping-particle&quot;:&quot;&quot;},{&quot;family&quot;:&quot;Smith&quot;,&quot;given&quot;:&quot;Richard D.&quot;,&quot;parse-names&quot;:false,&quot;dropping-particle&quot;:&quot;&quot;,&quot;non-dropping-particle&quot;:&quot;&quot;}],&quot;container-title&quot;:&quot;Bioinformatics&quot;,&quot;DOI&quot;:&quot;10.1093/bioinformatics/btn217&quot;,&quot;ISSN&quot;:&quot;13674803&quot;,&quot;issued&quot;:{&quot;date-parts&quot;:[[2008]]},&quot;abstract&quot;:&quot;Summary: Data Analysis Tool Extension (DAnTE) is a statistical tool designed to address challenges associated with quantitative bottom-up, shotgun proteomics data. This tool has also been demonstrated for microarray data and can easily be extended to other high-throughput data types. DAnTE features selected normalization methods, missing value imputation algorithms, peptide-to-protein rollup methods, an extensive array of plotting functions and a comprehensive hypothesis-testing scheme that can handle unbalanced data and random effects. The graphical user interface (GUI) is designed to be very intuitive and user friendly. © The Author 2008. Published by Oxford University Press. All rights reserved.&quot;,&quot;issue&quot;:&quot;13&quot;,&quot;volume&quot;:&quot;24&quot;,&quot;container-title-short&quot;:&quot;&quot;},&quot;isTemporary&quot;:false}]},{&quot;citationID&quot;:&quot;MENDELEY_CITATION_becf5cf6-24fd-48a9-b21c-614cba5faa76&quot;,&quot;properties&quot;:{&quot;noteIndex&quot;:0},&quot;isEdited&quot;:false,&quot;manualOverride&quot;:{&quot;isManuallyOverridden&quot;:false,&quot;citeprocText&quot;:&quot;&lt;sup&gt;182&lt;/sup&gt;&quot;,&quot;manualOverrideText&quot;:&quot;&quot;},&quot;citationTag&quot;:&quot;MENDELEY_CITATION_v3_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&quot;,&quot;citationItems&quot;:[{&quot;id&quot;:&quot;53215e39-3e58-3ce6-9460-3eb951d3c40d&quot;,&quot;itemData&quot;:{&quot;type&quot;:&quot;article&quot;,&quot;id&quot;:&quot;53215e39-3e58-3ce6-9460-3eb951d3c40d&quot;,&quot;title&quot;:&quot;The Perseus computational platform for comprehensive analysis of (prote)omics data&quot;,&quot;author&quot;:[{&quot;family&quot;:&quot;Tyanova&quot;,&quot;given&quot;:&quot;Stefka&quot;,&quot;parse-names&quot;:false,&quot;dropping-particle&quot;:&quot;&quot;,&quot;non-dropping-particle&quot;:&quot;&quot;},{&quot;family&quot;:&quot;Temu&quot;,&quot;given&quot;:&quot;Tikira&quot;,&quot;parse-names&quot;:false,&quot;dropping-particle&quot;:&quot;&quot;,&quot;non-dropping-particle&quot;:&quot;&quot;},{&quot;family&quot;:&quot;Sinitcyn&quot;,&quot;given&quot;:&quot;Pavel&quot;,&quot;parse-names&quot;:false,&quot;dropping-particle&quot;:&quot;&quot;,&quot;non-dropping-particle&quot;:&quot;&quot;},{&quot;family&quot;:&quot;Carlson&quot;,&quot;given&quot;:&quot;Arthur&quot;,&quot;parse-names&quot;:false,&quot;dropping-particle&quot;:&quot;&quot;,&quot;non-dropping-particle&quot;:&quot;&quot;},{&quot;family&quot;:&quot;Hein&quot;,&quot;given&quot;:&quot;Marco Y.&quot;,&quot;parse-names&quot;:false,&quot;dropping-particle&quot;:&quot;&quot;,&quot;non-dropping-particle&quot;:&quot;&quot;},{&quot;family&quot;:&quot;Geiger&quot;,&quot;given&quot;:&quot;Tamar&quot;,&quot;parse-names&quot;:false,&quot;dropping-particle&quot;:&quot;&quot;,&quot;non-dropping-particle&quot;:&quot;&quot;},{&quot;family&quot;:&quot;Mann&quot;,&quot;given&quot;:&quot;Matthias&quot;,&quot;parse-names&quot;:false,&quot;dropping-particle&quot;:&quot;&quot;,&quot;non-dropping-particle&quot;:&quot;&quot;},{&quot;family&quot;:&quot;Cox&quot;,&quot;given&quot;:&quot;Jürgen&quot;,&quot;parse-names&quot;:false,&quot;dropping-particle&quot;:&quot;&quot;,&quot;non-dropping-particle&quot;:&quot;&quot;}],&quot;container-title&quot;:&quot;Nature Methods&quot;,&quot;DOI&quot;:&quot;10.1038/nmeth.3901&quot;,&quot;ISSN&quot;:&quot;15487105&quot;,&quot;issued&quot;:{&quot;date-parts&quot;:[[2016]]},&quot;abstract&quot;:&quot;A main bottleneck in proteomics is the downstream biological analysis of highly multivariate quantitative protein abundance data generated using mass-spectrometry-based analysis. We developed the Perseus software platform (http://www.perseus-framework.org) to support biological and biomedical researchers in interpreting protein quantification, interaction and post-translational modification data. Perseus contains a comprehensive portfolio of statistical tools for high-dimensional omics data analysis covering normalization, pattern recognition, time-series analysis, cross-omics comparisons and multiple-hypothesis testing. A machine learning module supports the classification and validation of patient groups for diagnosis and prognosis, and it also detects predictive protein signatures. Central to Perseus is a user-friendly, interactive workflow environment that provides complete documentation of computational methods used in a publication. All activities in Perseus are realized as plugins, and users can extend the software by programming their own, which can be shared through a plugin store. We anticipate that Perseus's arsenal of algorithms and its intuitive usability will empower interdisciplinary analysis of complex large data sets.&quot;,&quot;issue&quot;:&quot;9&quot;,&quot;volume&quot;:&quot;13&quot;,&quot;container-title-short&quot;:&quot;&quot;},&quot;isTemporary&quot;:false}]},{&quot;citationID&quot;:&quot;MENDELEY_CITATION_e1a3305a-b77c-4c2f-a226-063bd5924fb1&quot;,&quot;properties&quot;:{&quot;noteIndex&quot;:0},&quot;isEdited&quot;:false,&quot;manualOverride&quot;:{&quot;isManuallyOverridden&quot;:false,&quot;citeprocText&quot;:&quot;&lt;sup&gt;183&lt;/sup&gt;&quot;,&quot;manualOverrideText&quot;:&quot;&quot;},&quot;citationTag&quot;:&quot;MENDELEY_CITATION_v3_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&quot;,&quot;citationItems&quot;:[{&quot;id&quot;:&quot;34947dc2-7e3e-3499-8cb9-88599ae1cbb4&quot;,&quot;itemData&quot;:{&quot;type&quot;:&quot;article-journal&quot;,&quot;id&quot;:&quot;34947dc2-7e3e-3499-8cb9-88599ae1cbb4&quot;,&quot;title&quot;:&quot;BlastKOALA and GhostKOALA: KEGG Tools for Functional Characterization of Genome and Metagenome Sequences&quot;,&quot;author&quot;:[{&quot;family&quot;:&quot;Kanehisa&quot;,&quot;given&quot;:&quot;Minoru&quot;,&quot;parse-names&quot;:false,&quot;dropping-particle&quot;:&quot;&quot;,&quot;non-dropping-particle&quot;:&quot;&quot;},{&quot;family&quot;:&quot;Sato&quot;,&quot;given&quot;:&quot;Yoko&quot;,&quot;parse-names&quot;:false,&quot;dropping-particle&quot;:&quot;&quot;,&quot;non-dropping-particle&quot;:&quot;&quot;},{&quot;family&quot;:&quot;Morishima&quot;,&quot;given&quot;:&quot;Kanae&quot;,&quot;parse-names&quot;:false,&quot;dropping-particle&quot;:&quot;&quot;,&quot;non-dropping-particle&quot;:&quot;&quot;}],&quot;container-title&quot;:&quot;Journal of Molecular Biology&quot;,&quot;DOI&quot;:&quot;10.1016/j.jmb.2015.11.006&quot;,&quot;ISBN&quot;:&quot;1089-8638 (Electronic)\\r0022-2836 (Linking)&quot;,&quot;ISSN&quot;:&quot;10898638&quot;,&quot;PMID&quot;:&quot;26585406&quot;,&quot;URL&quot;:&quot;http://dx.doi.org/10.1016/j.jmb.2015.11.006&quot;,&quot;issued&quot;:{&quot;date-parts&quot;:[[2016]]},&quot;page&quot;:&quot;726-731&quot;,&quot;abstract&quot;:&quot;BlastKOALA and GhostKOALA are automatic annotation servers for genome and metagenome sequences, which perform KO (KEGG Orthology) assignments to characterize individual gene functions and reconstruct KEGG pathways, BRITE hierarchies and KEGG modules to infer high-level functions of the organism or the ecosystem. Both servers are made freely available at the KEGG Web site (http://www.kegg.jp/blastkoala/). In BlastKOALA, the KO assignment is performed by a modified version of the internally used KOALA algorithm after the BLAST search against a non-redundant dataset of pangenome sequences at the species, genus or family level, which is generated from the KEGG GENES database by retaining the KO content of each taxonomic category. In GhostKOALA, which utilizes more rapid GHOSTX for database search and is suitable for metagenome annotation, the pangenome dataset is supplemented with Cd-hit clusters including those for viral genes. The result files may be downloaded and manipulated for further KEGG Mapper analysis, such as comparative pathway analysis using multiple BlastKOALA results.&quot;,&quot;publisher&quot;:&quot;The Authors&quot;,&quot;issue&quot;:&quot;4&quot;,&quot;volume&quot;:&quot;428&quot;,&quot;container-title-short&quot;:&quot;&quot;},&quot;isTemporary&quot;:false}]},{&quot;citationID&quot;:&quot;MENDELEY_CITATION_8e2d28fc-5b4d-4f79-bccb-6cebd48a223b&quot;,&quot;properties&quot;:{&quot;noteIndex&quot;:0},&quot;isEdited&quot;:false,&quot;manualOverride&quot;:{&quot;isManuallyOverridden&quot;:false,&quot;citeprocText&quot;:&quot;&lt;sup&gt;184&lt;/sup&gt;&quot;,&quot;manualOverrideText&quot;:&quot;&quot;},&quot;citationTag&quot;:&quot;MENDELEY_CITATION_v3_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&quot;,&quot;citationItems&quot;:[{&quot;id&quot;:&quot;c94f2064-e3eb-3b4a-a34f-aca81e1e7a7a&quot;,&quot;itemData&quot;:{&quot;type&quot;:&quot;article&quot;,&quot;id&quot;:&quot;c94f2064-e3eb-3b4a-a34f-aca81e1e7a7a&quot;,&quot;title&quot;:&quot;Towards biome-specific analysis of meta-omics data&quot;,&quot;author&quot;:[{&quot;family&quot;:&quot;Darzi&quot;,&quot;given&quot;:&quot;Youssef&quot;,&quot;parse-names&quot;:false,&quot;dropping-particle&quot;:&quot;&quot;,&quot;non-dropping-particle&quot;:&quot;&quot;},{&quot;family&quot;:&quot;Falony&quot;,&quot;given&quot;:&quot;Gwen&quot;,&quot;parse-names&quot;:false,&quot;dropping-particle&quot;:&quot;&quot;,&quot;non-dropping-particle&quot;:&quot;&quot;},{&quot;family&quot;:&quot;Vieira-Silva&quot;,&quot;given&quot;:&quot;Sara&quot;,&quot;parse-names&quot;:false,&quot;dropping-particle&quot;:&quot;&quot;,&quot;non-dropping-particle&quot;:&quot;&quot;},{&quot;family&quot;:&quot;Raes&quot;,&quot;given&quot;:&quot;Jeroen&quot;,&quot;parse-names&quot;:false,&quot;dropping-particle&quot;:&quot;&quot;,&quot;non-dropping-particle&quot;:&quot;&quot;}],&quot;container-title&quot;:&quot;ISME Journal&quot;,&quot;DOI&quot;:&quot;10.1038/ismej.2015.188&quot;,&quot;ISSN&quot;:&quot;17517370&quot;,&quot;issued&quot;:{&quot;date-parts&quot;:[[2016]]},&quot;issue&quot;:&quot;5&quot;,&quot;volume&quot;:&quot;10&quot;,&quot;container-title-short&quot;:&quot;&quot;},&quot;isTemporary&quot;:false}]},{&quot;citationID&quot;:&quot;MENDELEY_CITATION_2af9979a-23ae-4cc1-a852-ceca84e4ecbf&quot;,&quot;properties&quot;:{&quot;noteIndex&quot;:0},&quot;isEdited&quot;:false,&quot;manualOverride&quot;:{&quot;isManuallyOverridden&quot;:false,&quot;citeprocText&quot;:&quot;&lt;sup&gt;185&lt;/sup&gt;&quot;,&quot;manualOverrideText&quot;:&quot;&quot;},&quot;citationTag&quot;:&quot;MENDELEY_CITATION_v3_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&quot;,&quot;citationItems&quot;:[{&quot;id&quot;:&quot;f3bc0fc7-e5d2-33ab-baf9-85425603f0f9&quot;,&quot;itemData&quot;:{&quot;type&quot;:&quot;article-journal&quot;,&quot;id&quot;:&quot;f3bc0fc7-e5d2-33ab-baf9-85425603f0f9&quot;,&quot;title&quot;:&quot;Pathview Web: User friendly pathway visualization and data integration&quot;,&quot;author&quot;:[{&quot;family&quot;:&quot;Luo&quot;,&quot;given&quot;:&quot;Weijun&quot;,&quot;parse-names&quot;:false,&quot;dropping-particle&quot;:&quot;&quot;,&quot;non-dropping-particle&quot;:&quot;&quot;},{&quot;family&quot;:&quot;Pant&quot;,&quot;given&quot;:&quot;Gaurav&quot;,&quot;parse-names&quot;:false,&quot;dropping-particle&quot;:&quot;&quot;,&quot;non-dropping-particle&quot;:&quot;&quot;},{&quot;family&quot;:&quot;Bhavnasi&quot;,&quot;given&quot;:&quot;Yeshvant K.&quot;,&quot;parse-names&quot;:false,&quot;dropping-particle&quot;:&quot;&quot;,&quot;non-dropping-particle&quot;:&quot;&quot;},{&quot;family&quot;:&quot;Blanchard&quot;,&quot;given&quot;:&quot;Steven G.&quot;,&quot;parse-names&quot;:false,&quot;dropping-particle&quot;:&quot;&quot;,&quot;non-dropping-particle&quot;:&quot;&quot;},{&quot;family&quot;:&quot;Brouwer&quot;,&quot;given&quot;:&quot;Cory&quot;,&quot;parse-names&quot;:false,&quot;dropping-particle&quot;:&quot;&quot;,&quot;non-dropping-particle&quot;:&quot;&quot;}],&quot;container-title&quot;:&quot;Nucleic Acids Research&quot;,&quot;DOI&quot;:&quot;10.1093/nar/gkx372&quot;,&quot;ISSN&quot;:&quot;13624962&quot;,&quot;issued&quot;:{&quot;date-parts&quot;:[[2017]]},&quot;abstract&quot;:&quot;Pathway analysis is widely used in omics studies. Pathway-based data integration and visualization is a critical component of the analysis. To address this need, we recently developed a novel R package called Pathview. Pathview maps, integrates and renders a large variety of biological data onto molecular pathway graphs. Here we developed the Pathview Web server, as to make pathway visualization and data integration accessible to all scientists, including those without the special computing skills or resources. Pathview Web features an intuitive graphical web interface and a user centered design. The server not only expands the core functions of Pathview, but also provides many useful features not available in the offline R package. Importantly, the server presents a comprehensive workflow for both regular and integrated pathway analysis of multiple omics data. In addition, the server also provides a RESTful API for programmatic access and conveniently integration in third-party software or workflows.&quot;,&quot;issue&quot;:&quot;W1&quot;,&quot;volume&quot;:&quot;45&quot;,&quot;container-title-short&quot;:&quot;&quot;},&quot;isTemporary&quot;:false}]},{&quot;citationID&quot;:&quot;MENDELEY_CITATION_e036a2f2-c60f-4343-a417-12ca975d5c1c&quot;,&quot;properties&quot;:{&quot;noteIndex&quot;:0},&quot;isEdited&quot;:false,&quot;manualOverride&quot;:{&quot;isManuallyOverridden&quot;:false,&quot;citeprocText&quot;:&quot;&lt;sup&gt;186&lt;/sup&gt;&quot;,&quot;manualOverrideText&quot;:&quot;&quot;},&quot;citationTag&quot;:&quot;MENDELEY_CITATION_v3_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&quot;,&quot;citationItems&quot;:[{&quot;id&quot;:&quot;3f234459-d9a7-3e56-9fff-10877411894c&quot;,&quot;itemData&quot;:{&quot;type&quot;:&quot;article-journal&quot;,&quot;id&quot;:&quot;3f234459-d9a7-3e56-9fff-10877411894c&quot;,&quot;title&quot;:&quot;IPath3.0: Interactive pathways explorer v3&quot;,&quot;author&quot;:[{&quot;family&quot;:&quot;Darzi&quot;,&quot;given&quot;:&quot;Youssef&quot;,&quot;parse-names&quot;:false,&quot;dropping-particle&quot;:&quot;&quot;,&quot;non-dropping-particle&quot;:&quot;&quot;},{&quot;family&quot;:&quot;Letunic&quot;,&quot;given&quot;:&quot;Ivica&quot;,&quot;parse-names&quot;:false,&quot;dropping-particle&quot;:&quot;&quot;,&quot;non-dropping-particle&quot;:&quot;&quot;},{&quot;family&quot;:&quot;Bork&quot;,&quot;given&quot;:&quot;Peer&quot;,&quot;parse-names&quot;:false,&quot;dropping-particle&quot;:&quot;&quot;,&quot;non-dropping-particle&quot;:&quot;&quot;},{&quot;family&quot;:&quot;Yamada&quot;,&quot;given&quot;:&quot;Takuji&quot;,&quot;parse-names&quot;:false,&quot;dropping-particle&quot;:&quot;&quot;,&quot;non-dropping-particle&quot;:&quot;&quot;}],&quot;container-title&quot;:&quot;Nucleic Acids Research&quot;,&quot;DOI&quot;:&quot;10.1093/nar/gky299&quot;,&quot;ISSN&quot;:&quot;13624962&quot;,&quot;issued&quot;:{&quot;date-parts&quot;:[[2018]]},&quot;abstract&quot;:&quot;iPath3.0 (http://pathways.embl.de) is a web-application for the visualization and analysis of cellular pathways. It is freely available and open to everyone. Currently it is based on four KEGG global maps, which summarize up to 158 traditional KEGG pathway maps, 192 KEGG modules and other metabolic elements into one connected and manually curated metabolic network. Users can fully customize these networks and interactively explore them through its redesigned, fast and lightweight interface, which highlights general metabolic trends in multi-omics data. It also offers navigation at various levels of details to help users further investigate those trends and ultimately uncover novel biological insights. Support for multiple experimental conditions and time-series datasets, tools for generation of customization data, programmatic access, and a free user accounts system were introduced in this version to further streamline its workflow.&quot;,&quot;issue&quot;:&quot;W1&quot;,&quot;volume&quot;:&quot;46&quot;,&quot;container-title-short&quot;:&quot;&quot;},&quot;isTemporary&quot;:false}]},{&quot;citationID&quot;:&quot;MENDELEY_CITATION_187ae108-054f-4005-8335-d9736d475c4b&quot;,&quot;properties&quot;:{&quot;noteIndex&quot;:0},&quot;isEdited&quot;:false,&quot;manualOverride&quot;:{&quot;isManuallyOverridden&quot;:false,&quot;citeprocText&quot;:&quot;&lt;sup&gt;187&lt;/sup&gt;&quot;,&quot;manualOverrideText&quot;:&quot;&quot;},&quot;citationTag&quot;:&quot;MENDELEY_CITATION_v3_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&quot;,&quot;citationItems&quot;:[{&quot;id&quot;:&quot;c577f0a8-161a-3530-8ad7-db8392dbeb00&quot;,&quot;itemData&quot;:{&quot;type&quot;:&quot;article-journal&quot;,&quot;id&quot;:&quot;c577f0a8-161a-3530-8ad7-db8392dbeb00&quot;,&quot;title&quot;:&quot;Reactome: A database of reactions, pathways and biological processes&quot;,&quot;author&quot;:[{&quot;family&quot;:&quot;Croft&quot;,&quot;given&quot;:&quot;David&quot;,&quot;parse-names&quot;:false,&quot;dropping-particle&quot;:&quot;&quot;,&quot;non-dropping-particle&quot;:&quot;&quot;},{&quot;family&quot;:&quot;O'Kelly&quot;,&quot;given&quot;:&quot;Gavin&quot;,&quot;parse-names&quot;:false,&quot;dropping-particle&quot;:&quot;&quot;,&quot;non-dropping-particle&quot;:&quot;&quot;},{&quot;family&quot;:&quot;Wu&quot;,&quot;given&quot;:&quot;Guanming&quot;,&quot;parse-names&quot;:false,&quot;dropping-particle&quot;:&quot;&quot;,&quot;non-dropping-particle&quot;:&quot;&quot;},{&quot;family&quot;:&quot;Haw&quot;,&quot;given&quot;:&quot;Robin&quot;,&quot;parse-names&quot;:false,&quot;dropping-particle&quot;:&quot;&quot;,&quot;non-dropping-particle&quot;:&quot;&quot;},{&quot;family&quot;:&quot;Gillespie&quot;,&quot;given&quot;:&quot;Marc&quot;,&quot;parse-names&quot;:false,&quot;dropping-particle&quot;:&quot;&quot;,&quot;non-dropping-particle&quot;:&quot;&quot;},{&quot;family&quot;:&quot;Matthews&quot;,&quot;given&quot;:&quot;Lisa&quot;,&quot;parse-names&quot;:false,&quot;dropping-particle&quot;:&quot;&quot;,&quot;non-dropping-particle&quot;:&quot;&quot;},{&quot;family&quot;:&quot;Caudy&quot;,&quot;given&quot;:&quot;Michael&quot;,&quot;parse-names&quot;:false,&quot;dropping-particle&quot;:&quot;&quot;,&quot;non-dropping-particle&quot;:&quot;&quot;},{&quot;family&quot;:&quot;Garapati&quot;,&quot;given&quot;:&quot;Phani&quot;,&quot;parse-names&quot;:false,&quot;dropping-particle&quot;:&quot;&quot;,&quot;non-dropping-particle&quot;:&quot;&quot;},{&quot;family&quot;:&quot;Gopinath&quot;,&quot;given&quot;:&quot;Gopal&quot;,&quot;parse-names&quot;:false,&quot;dropping-particle&quot;:&quot;&quot;,&quot;non-dropping-particle&quot;:&quot;&quot;},{&quot;family&quot;:&quot;Jassal&quot;,&quot;given&quot;:&quot;Bijay&quot;,&quot;parse-names&quot;:false,&quot;dropping-particle&quot;:&quot;&quot;,&quot;non-dropping-particle&quot;:&quot;&quot;},{&quot;family&quot;:&quot;Jupe&quot;,&quot;given&quot;:&quot;Steven&quot;,&quot;parse-names&quot;:false,&quot;dropping-particle&quot;:&quot;&quot;,&quot;non-dropping-particle&quot;:&quot;&quot;},{&quot;family&quot;:&quot;Kalatskaya&quot;,&quot;given&quot;:&quot;Irina&quot;,&quot;parse-names&quot;:false,&quot;dropping-particle&quot;:&quot;&quot;,&quot;non-dropping-particle&quot;:&quot;&quot;},{&quot;family&quot;:&quot;MayMahajan&quot;,&quot;given&quot;:&quot;Shahana&quot;,&quot;parse-names&quot;:false,&quot;dropping-particle&quot;:&quot;&quot;,&quot;non-dropping-particle&quot;:&quot;&quot;},{&quot;family&quot;:&quot;May&quot;,&quot;given&quot;:&quot;Bruce&quot;,&quot;parse-names&quot;:false,&quot;dropping-particle&quot;:&quot;&quot;,&quot;non-dropping-particle&quot;:&quot;&quot;},{&quot;family&quot;:&quot;Ndegwa&quot;,&quot;given&quot;:&quot;Nelson&quot;,&quot;parse-names&quot;:false,&quot;dropping-particle&quot;:&quot;&quot;,&quot;non-dropping-particle&quot;:&quot;&quot;},{&quot;family&quot;:&quot;Schmidt&quot;,&quot;given&quot;:&quot;Esther&quot;,&quot;parse-names&quot;:false,&quot;dropping-particle&quot;:&quot;&quot;,&quot;non-dropping-particle&quot;:&quot;&quot;},{&quot;family&quot;:&quot;Shamovsky&quot;,&quot;given&quot;:&quot;Veronica&quot;,&quot;parse-names&quot;:false,&quot;dropping-particle&quot;:&quot;&quot;,&quot;non-dropping-particle&quot;:&quot;&quot;},{&quot;family&quot;:&quot;Yung&quot;,&quot;given&quot;:&quot;Christina&quot;,&quot;parse-names&quot;:false,&quot;dropping-particle&quot;:&quot;&quot;,&quot;non-dropping-particle&quot;:&quot;&quot;},{&quot;family&quot;:&quot;Birney&quot;,&quot;given&quot;:&quot;Ewan&quot;,&quot;parse-names&quot;:false,&quot;dropping-particle&quot;:&quot;&quot;,&quot;non-dropping-particle&quot;:&quot;&quot;},{&quot;family&quot;:&quot;Hermjakob&quot;,&quot;given&quot;:&quot;Henning&quot;,&quot;parse-names&quot;:false,&quot;dropping-particle&quot;:&quot;&quot;,&quot;non-dropping-particle&quot;:&quot;&quot;},{&quot;family&quot;:&quot;D'Eustachio&quot;,&quot;given&quot;:&quot;Peter&quot;,&quot;parse-names&quot;:false,&quot;dropping-particle&quot;:&quot;&quot;,&quot;non-dropping-particle&quot;:&quot;&quot;},{&quot;family&quot;:&quot;Stein&quot;,&quot;given&quot;:&quot;Lincoln&quot;,&quot;parse-names&quot;:false,&quot;dropping-particle&quot;:&quot;&quot;,&quot;non-dropping-particle&quot;:&quot;&quot;}],&quot;container-title&quot;:&quot;Nucleic Acids Research&quot;,&quot;DOI&quot;:&quot;10.1093/nar/gkq1018&quot;,&quot;ISSN&quot;:&quot;03051048&quot;,&quot;issued&quot;:{&quot;date-parts&quot;:[[2011]]},&quot;abstract&quot;:&quot;Reactome (http://www.reactome.org) is a collaboration among groups at the Ontario Institute for Cancer Research, Cold Spring Harbor Laboratory, New York University School of Medicine and The European Bioinformatics Institute, to develop an open source curated bioinformatics database of human pathways and reactions. Recently, we developed a new web site with improved tools for pathway browsing and data analysis. The Pathway Browser is an Systems Biology Graphical Notation (SBGN)-based visualization system that supports zooming, scrolling and event highlighting. It exploits PSIQUIC web services to overlay our curated pathways with molecular interaction data from the Reactome Functional Interaction Network and external interaction databases such as IntAct, BioGRID, ChEMBL, iRefIndex, MINT and STRING. Our Pathway and Expression Analysis tools enable ID mapping, pathway assignment and overrepresentation analysis of user-supplied data sets. To support pathway annotation and analysis in other species, we continue to make orthology-based inferences of pathways in non-human species, applying Ensembl Compara to identify orthologs of curated human proteins in each of 20 other species. The resulting inferred pathway sets can be browsed and analyzed with our Species Comparison tool. Collaborations are also underway to create manually curated data sets on the Reactome framework for chicken, Drosophila and rice. © The Author(s) 2010.&quot;,&quot;issue&quot;:&quot;SUPPL. 1&quot;,&quot;volume&quot;:&quot;39&quot;,&quot;container-title-short&quot;:&quot;&quot;},&quot;isTemporary&quot;:false}]},{&quot;citationID&quot;:&quot;MENDELEY_CITATION_ac3eae0d-52de-4930-a210-52c65a3606e5&quot;,&quot;properties&quot;:{&quot;noteIndex&quot;:0},&quot;isEdited&quot;:false,&quot;manualOverride&quot;:{&quot;isManuallyOverridden&quot;:false,&quot;citeprocText&quot;:&quot;&lt;sup&gt;188&lt;/sup&gt;&quot;,&quot;manualOverrideText&quot;:&quot;&quot;},&quot;citationTag&quot;:&quot;MENDELEY_CITATION_v3_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&quot;,&quot;citationItems&quot;:[{&quot;id&quot;:&quot;3934b70b-b411-33cb-bd48-6872087392fd&quot;,&quot;itemData&quot;:{&quot;type&quot;:&quot;article-journal&quot;,&quot;id&quot;:&quot;3934b70b-b411-33cb-bd48-6872087392fd&quot;,&quot;title&quot;:&quot;How colonization by microbiota in early life shapes the immune system&quot;,&quot;author&quot;:[{&quot;family&quot;:&quot;Gensollen&quot;,&quot;given&quot;:&quot;Thomas&quot;,&quot;parse-names&quot;:false,&quot;dropping-particle&quot;:&quot;&quot;,&quot;non-dropping-particle&quot;:&quot;&quot;},{&quot;family&quot;:&quot;Iyer&quot;,&quot;given&quot;:&quot;Shankar S.&quot;,&quot;parse-names&quot;:false,&quot;dropping-particle&quot;:&quot;&quot;,&quot;non-dropping-particle&quot;:&quot;&quot;},{&quot;family&quot;:&quot;Kasper&quot;,&quot;given&quot;:&quot;Dennis L.&quot;,&quot;parse-names&quot;:false,&quot;dropping-particle&quot;:&quot;&quot;,&quot;non-dropping-particle&quot;:&quot;&quot;},{&quot;family&quot;:&quot;Blumberg&quot;,&quot;given&quot;:&quot;Richard S.&quot;,&quot;parse-names&quot;:false,&quot;dropping-particle&quot;:&quot;&quot;,&quot;non-dropping-particle&quot;:&quot;&quot;}],&quot;container-title&quot;:&quot;Science&quot;,&quot;DOI&quot;:&quot;10.1126/science.aad9378&quot;,&quot;ISSN&quot;:&quot;10959203&quot;,&quot;PMID&quot;:&quot;27126036&quot;,&quot;issued&quot;:{&quot;date-parts&quot;:[[2016]]},&quot;page&quot;:&quot;539-544&quot;,&quot;abstract&quot;:&quot;Microbial colonization of mucosal tissues during infancy plays an instrumental role in the development and education of the host mammalian immune system. These early-life events can have long-standing consequences: facilitating tolerance to environmental exposures or contributing to the development of disease in later life, including inflammatory bowel disease, allergy, and asthma. Recent studies have begun to define a critical period during early development in which disruption of optimal host-commensal interactions can lead to persistent and in some cases irreversible defects in the development and training of specific immune subsets. Here, we discuss the role of early-life education of the immune system during this \&quot;window of opportunity, \&quot; when microbial colonization has a potentially critical impact on human health and disease.&quot;,&quot;issue&quot;:&quot;6285&quot;,&quot;volume&quot;:&quot;352&quot;,&quot;container-title-short&quot;:&quot;Science (1979)&quot;},&quot;isTemporary&quot;:false}]},{&quot;citationID&quot;:&quot;MENDELEY_CITATION_9fb2c1fe-c050-4cba-a0d3-97d652dd10d1&quot;,&quot;properties&quot;:{&quot;noteIndex&quot;:0},&quot;isEdited&quot;:false,&quot;manualOverride&quot;:{&quot;isManuallyOverridden&quot;:false,&quot;citeprocText&quot;:&quot;&lt;sup&gt;189&lt;/sup&gt;&quot;,&quot;manualOverrideText&quot;:&quot;&quot;},&quot;citationTag&quot;:&quot;MENDELEY_CITATION_v3_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&quot;,&quot;citationItems&quot;:[{&quot;id&quot;:&quot;701cbcec-8956-3c0c-98df-a1ab11b697dd&quot;,&quot;itemData&quot;:{&quot;type&quot;:&quot;article-journal&quot;,&quot;id&quot;:&quot;701cbcec-8956-3c0c-98df-a1ab11b697dd&quot;,&quot;title&quot;:&quot;Patterns of early gut colonization shape future immune responses of the host&quot;,&quot;author&quot;:[{&quot;family&quot;:&quot;Hansen&quot;,&quot;given&quot;:&quot;Camilla Hartmann Friis&quot;,&quot;parse-names&quot;:false,&quot;dropping-particle&quot;:&quot;&quot;,&quot;non-dropping-particle&quot;:&quot;&quot;},{&quot;family&quot;:&quot;Nielsen&quot;,&quot;given&quot;:&quot;Dennis Sandris&quot;,&quot;parse-names&quot;:false,&quot;dropping-particle&quot;:&quot;&quot;,&quot;non-dropping-particle&quot;:&quot;&quot;},{&quot;family&quot;:&quot;Kverka&quot;,&quot;given&quot;:&quot;Miloslav&quot;,&quot;parse-names&quot;:false,&quot;dropping-particle&quot;:&quot;&quot;,&quot;non-dropping-particle&quot;:&quot;&quot;},{&quot;family&quot;:&quot;Zakostelska&quot;,&quot;given&quot;:&quot;Zuzana&quot;,&quot;parse-names&quot;:false,&quot;dropping-particle&quot;:&quot;&quot;,&quot;non-dropping-particle&quot;:&quot;&quot;},{&quot;family&quot;:&quot;Klimesova&quot;,&quot;given&quot;:&quot;Klara&quot;,&quot;parse-names&quot;:false,&quot;dropping-particle&quot;:&quot;&quot;,&quot;non-dropping-particle&quot;:&quot;&quot;},{&quot;family&quot;:&quot;Hudcovic&quot;,&quot;given&quot;:&quot;Tomas&quot;,&quot;parse-names&quot;:false,&quot;dropping-particle&quot;:&quot;&quot;,&quot;non-dropping-particle&quot;:&quot;&quot;},{&quot;family&quot;:&quot;Tlaskalova-Hogenova&quot;,&quot;given&quot;:&quot;Helena&quot;,&quot;parse-names&quot;:false,&quot;dropping-particle&quot;:&quot;&quot;,&quot;non-dropping-particle&quot;:&quot;&quot;},{&quot;family&quot;:&quot;Hansen&quot;,&quot;given&quot;:&quot;Axel Kornerup&quot;,&quot;parse-names&quot;:false,&quot;dropping-particle&quot;:&quot;&quot;,&quot;non-dropping-particle&quot;:&quot;&quot;}],&quot;container-title&quot;:&quot;PLoS ONE&quot;,&quot;DOI&quot;:&quot;10.1371/journal.pone.0034043&quot;,&quot;ISSN&quot;:&quot;19326203&quot;,&quot;PMID&quot;:&quot;22479515&quot;,&quot;issued&quot;:{&quot;date-parts&quot;:[[2012]]},&quot;page&quot;:&quot;1-7&quot;,&quot;abstract&quot;:&quot;The most important trigger for immune system development is the exposure to microbial components immediately after birth. Moreover, targeted manipulation of the microbiota can be used to change host susceptibility to immune-mediated diseases. Our aim was to analyze how differences in early gut colonization patterns change the composition of the resident microbiota and future immune system reactivity. Germ-free (GF) mice were either inoculated by single oral gavage of caecal content or let colonized by co-housing with specific pathogen-free (SPF) mice at different time points in the postnatal period. The microbiota composition was analyzed by denaturing gradient gel electrophoresis for 16S rRNA gene followed by principal component analysis. Furthermore, immune functions and cytokine concentrations were analyzed using flow cytometry, ELISA or multiplex bead assay. We found that a single oral inoculation of GF mice at three weeks of age permanently changed the gut microbiota composition, which was not possible to achieve at one week of age. Interestingly, the ex-GF mice inoculated at three weeks of age were also the only mice with an increased pro-inflammatory immune response. In contrast, the composition of the gut microbiota of ex-GF mice that were co-housed with SPF mice at different time points was similar to the gut microbiota in the barrier maintained SPF mice. The existence of a short GF postnatal period permanently changed levels of systemic regulatory T cells, NK and NKT cells, and cytokine production. In conclusion, a time window exists that enables the artificial colonization of GF mice by a single oral dose of caecal content, which may modify the future immune phenotype of the host. Moreover, delayed microbial colonization of the gut causes permanent changes in the immune system. © 2012 Hansen et al.&quot;,&quot;issue&quot;:&quot;3&quot;,&quot;volume&quot;:&quot;7&quot;,&quot;container-title-short&quot;:&quot;&quot;},&quot;isTemporary&quot;:false}]},{&quot;citationID&quot;:&quot;MENDELEY_CITATION_8c4175e6-7db4-4619-bc4a-dad67ea66f2e&quot;,&quot;properties&quot;:{&quot;noteIndex&quot;:0},&quot;isEdited&quot;:false,&quot;manualOverride&quot;:{&quot;isManuallyOverridden&quot;:false,&quot;citeprocText&quot;:&quot;&lt;sup&gt;190&lt;/sup&gt;&quot;,&quot;manualOverrideText&quot;:&quot;&quot;},&quot;citationTag&quot;:&quot;MENDELEY_CITATION_v3_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&quot;,&quot;citationItems&quot;:[{&quot;id&quot;:&quot;0ab4fdeb-2f5a-31f9-9f85-7cddaf81d8a6&quot;,&quot;itemData&quot;:{&quot;type&quot;:&quot;article-journal&quot;,&quot;id&quot;:&quot;0ab4fdeb-2f5a-31f9-9f85-7cddaf81d8a6&quot;,&quot;title&quot;:&quot;Microbial exposure during early life has persistent effects on natural killer T cell function&quot;,&quot;author&quot;:[{&quot;family&quot;:&quot;OLSZAK&quot;,&quot;given&quot;:&quot;TORSTEN&quot;,&quot;parse-names&quot;:false,&quot;dropping-particle&quot;:&quot;&quot;,&quot;non-dropping-particle&quot;:&quot;&quot;},{&quot;family&quot;:&quot;BLUMBERG&quot;,&quot;given&quot;:&quot;DINGDING AN&quot;,&quot;parse-names&quot;:false,&quot;dropping-particle&quot;:&quot;&quot;,&quot;non-dropping-particle&quot;:&quot;&quot;},{&quot;family&quot;:&quot;ZEISSIG&quot;,&quot;given&quot;:&quot;SEBASTIAN&quot;,&quot;parse-names&quot;:false,&quot;dropping-particle&quot;:&quot;&quot;,&quot;non-dropping-particle&quot;:&quot;&quot;},{&quot;family&quot;:&quot;VERA&quot;,&quot;given&quot;:&quot;MIGUEL PINILLA&quot;,&quot;parse-names&quot;:false,&quot;dropping-particle&quot;:&quot;&quot;,&quot;non-dropping-particle&quot;:&quot;&quot;},{&quot;family&quot;:&quot;RICHTER&quot;,&quot;given&quot;:&quot;JULIA&quot;,&quot;parse-names&quot;:false,&quot;dropping-particle&quot;:&quot;&quot;,&quot;non-dropping-particle&quot;:&quot;&quot;},{&quot;family&quot;:&quot;FRANKE&quot;,&quot;given&quot;:&quot;ANDRE&quot;,&quot;parse-names&quot;:false,&quot;dropping-particle&quot;:&quot;&quot;,&quot;non-dropping-particle&quot;:&quot;&quot;},{&quot;family&quot;:&quot;GLICKMAN&quot;,&quot;given&quot;:&quot;JONATHAN N.&quot;,&quot;parse-names&quot;:false,&quot;dropping-particle&quot;:&quot;&quot;,&quot;non-dropping-particle&quot;:&quot;&quot;},{&quot;family&quot;:&quot;SIEBERT&quot;,&quot;given&quot;:&quot;REINER&quot;,&quot;parse-names&quot;:false,&quot;dropping-particle&quot;:&quot;&quot;,&quot;non-dropping-particle&quot;:&quot;&quot;},{&quot;family&quot;:&quot;BARON&quot;,&quot;given&quot;:&quot;REBECCA M.&quot;,&quot;parse-names&quot;:false,&quot;dropping-particle&quot;:&quot;&quot;,&quot;non-dropping-particle&quot;:&quot;&quot;},{&quot;family&quot;:&quot;KASPER&quot;,&quot;given&quot;:&quot;DENNIS L.&quot;,&quot;parse-names&quot;:false,&quot;dropping-particle&quot;:&quot;&quot;,&quot;non-dropping-particle&quot;:&quot;&quot;},{&quot;family&quot;:&quot;RICHARD S. BLUMBERG&quot;,&quot;given&quot;:&quot;&quot;,&quot;parse-names&quot;:false,&quot;dropping-particle&quot;:&quot;&quot;,&quot;non-dropping-particle&quot;:&quot;&quot;}],&quot;container-title&quot;:&quot;Science&quot;,&quot;ISSN&quot;:&quot;14667401&quot;,&quot;issued&quot;:{&quot;date-parts&quot;:[[2012]]},&quot;page&quot;:&quot;489-493&quot;,&quot;issue&quot;:&quot;680&quot;,&quot;volume&quot;:&quot;336&quot;,&quot;container-title-short&quot;:&quot;Science (1979)&quot;},&quot;isTemporary&quot;:false}]},{&quot;citationID&quot;:&quot;MENDELEY_CITATION_f9f13956-c9d9-4ffa-8349-e58b012f7422&quot;,&quot;properties&quot;:{&quot;noteIndex&quot;:0},&quot;isEdited&quot;:false,&quot;manualOverride&quot;:{&quot;isManuallyOverridden&quot;:false,&quot;citeprocText&quot;:&quot;&lt;sup&gt;191,192&lt;/sup&gt;&quot;,&quot;manualOverrideText&quot;:&quot;&quot;},&quot;citationTag&quot;:&quot;MENDELEY_CITATION_v3_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&quot;,&quot;citationItems&quot;:[{&quot;id&quot;:&quot;7544d734-7a75-3735-ae4d-42db0a54d3eb&quot;,&quot;itemData&quot;:{&quot;type&quot;:&quot;article-journal&quot;,&quot;id&quot;:&quot;7544d734-7a75-3735-ae4d-42db0a54d3eb&quot;,&quot;title&quot;:&quot;Impact of Toll-like receptor 4 signaling in necrotizing enterocolitis: The state of the science&quot;,&quot;author&quot;:[{&quot;family&quot;:&quot;Belgacem Mihi&quot;,&quot;given&quot;:&quot;&quot;,&quot;parse-names&quot;:false,&quot;dropping-particle&quot;:&quot;&quot;,&quot;non-dropping-particle&quot;:&quot;&quot;},{&quot;family&quot;:&quot;Good&quot;,&quot;given&quot;:&quot;Misty&quot;,&quot;parse-names&quot;:false,&quot;dropping-particle&quot;:&quot;&quot;,&quot;non-dropping-particle&quot;:&quot;&quot;}],&quot;container-title&quot;:&quot;Clinics in perinatology&quot;,&quot;DOI&quot;:&quot;10.1016/j.clp.2018.09.007.Impact&quot;,&quot;issued&quot;:{&quot;date-parts&quot;:[[2019]]},&quot;page&quot;:&quot;145-157&quot;,&quot;abstract&quot;:&quot;file:///C:/Users/Marika/Desktop/università di pavia/articoli/strategie per l'infertilità/nihms964087.pdf&quot;,&quot;issue&quot;:&quot;1&quot;,&quot;volume&quot;:&quot;46&quot;,&quot;container-title-short&quot;:&quot;Clin Perinatol&quot;},&quot;isTemporary&quot;:false},{&quot;id&quot;:&quot;d75698d0-cf69-385f-ad77-0897d15327aa&quot;,&quot;itemData&quot;:{&quot;type&quot;:&quot;article-journal&quot;,&quot;id&quot;:&quot;d75698d0-cf69-385f-ad77-0897d15327aa&quot;,&quot;title&quot;:&quot;Mechanisms of microbe-host interaction in Crohn's disease: Dysbiosis vs. Pathobiont Selection&quot;,&quot;author&quot;:[{&quot;family&quot;:&quot;Buttó&quot;,&quot;given&quot;:&quot;Ludovica F.&quot;,&quot;parse-names&quot;:false,&quot;dropping-particle&quot;:&quot;&quot;,&quot;non-dropping-particle&quot;:&quot;&quot;},{&quot;family&quot;:&quot;Schaubeck&quot;,&quot;given&quot;:&quot;Monika&quot;,&quot;parse-names&quot;:false,&quot;dropping-particle&quot;:&quot;&quot;,&quot;non-dropping-particle&quot;:&quot;&quot;},{&quot;family&quot;:&quot;Haller&quot;,&quot;given&quot;:&quot;Dirk&quot;,&quot;parse-names&quot;:false,&quot;dropping-particle&quot;:&quot;&quot;,&quot;non-dropping-particle&quot;:&quot;&quot;}],&quot;container-title&quot;:&quot;Frontiers in Immunology&quot;,&quot;DOI&quot;:&quot;10.3389/fimmu.2015.00555&quot;,&quot;ISSN&quot;:&quot;16643224&quot;,&quot;issued&quot;:{&quot;date-parts&quot;:[[2015]]},&quot;abstract&quot;:&quot;Crohn's disease (CD) is a systemic chronic inflammatory condition mainly characterized by discontinuous transmural pathology of the gastrointestinal tract and frequent extraintestinal manifestations with intermittent episodes of remission and relapse. Genome-wide association studies identified a number of risk loci that, catalyzed by environmental triggers, result in the loss of tolerance toward commensal bacteria based on dysregulated innate effector functions and antimicrobial defense, leading to exacerbated adaptive immune responses responsible for chronic immune-mediated tissue damage. In this review, we discuss the inter-related role of changes in the intestinal microbiota, epithelial barrier integrity, and immune cell functions on the pathogenesis of CD, describing the current approaches available to investigate the molecular mechanisms underlying the disease. Substantial effort has been dedicated to define disease-associated changes in the intestinal microbiota (dysbiosis) and to link pathobionts to the etiology of inflammatory bowel diseases. A cogent definition of dysbiosis is lacking, as well as an agreement of whether pathobionts or complex shifts in the microbiota trigger inflammation in the host. Among the rarely available animal models, SAMP/Yit and TNFdeltaARE mice are the best known displaying a transmural CD-like phenotype. New hypothesis-driven mouse models, e.g., epithelial-specific Caspase8-/-, ATG16L1-/-, and XBP1-/- mice, validate pathway-focused function of specific CD-associated risk genes highlighting the role of Paneth cells in antimicrobial defense. To study the causal role of bacteria in initiating inflammation in the host, the use of germ-free mouse models is indispensable. Unraveling the interactions of genes, immune cells and microbes constitute a criterion for the development of safe, reliable, and effective treatment options for CD.&quot;,&quot;issue&quot;:&quot;NOV&quot;,&quot;volume&quot;:&quot;6&quot;,&quot;container-title-short&quot;:&quot;&quot;},&quot;isTemporary&quot;:false}]},{&quot;citationID&quot;:&quot;MENDELEY_CITATION_e0d63b6a-9909-4fe7-98d5-4cba419b8a8c&quot;,&quot;properties&quot;:{&quot;noteIndex&quot;:0},&quot;isEdited&quot;:false,&quot;manualOverride&quot;:{&quot;isManuallyOverridden&quot;:false,&quot;citeprocText&quot;:&quot;&lt;sup&gt;193&lt;/sup&gt;&quot;,&quot;manualOverrideText&quot;:&quot;&quot;},&quot;citationTag&quot;:&quot;MENDELEY_CITATION_v3_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&quot;,&quot;citationItems&quot;:[{&quot;id&quot;:&quot;f3c6e9ec-0a63-3169-ae0e-52d163768fc8&quot;,&quot;itemData&quot;:{&quot;type&quot;:&quot;article-journal&quot;,&quot;id&quot;:&quot;f3c6e9ec-0a63-3169-ae0e-52d163768fc8&quot;,&quot;title&quot;:&quot;Human breast milk exosomes may protect against necrotizing enterocolitis in preterm infants&quot;,&quot;author&quot;:[{&quot;family&quot;:&quot;Madden&quot;,&quot;given&quot;:&quot;Jessica W.&quot;,&quot;parse-names&quot;:false,&quot;dropping-particle&quot;:&quot;&quot;,&quot;non-dropping-particle&quot;:&quot;&quot;}],&quot;container-title&quot;:&quot;Pediatric Research&quot;,&quot;DOI&quot;:&quot;10.1038/s41390-021-01580-w&quot;,&quot;ISSN&quot;:&quot;0031-3998&quot;,&quot;URL&quot;:&quot;http://dx.doi.org/10.1038/s41390-021-01580-w&quot;,&quot;issued&quot;:{&quot;date-parts&quot;:[[2021]]},&quot;page&quot;:&quot;1-2&quot;,&quot;publisher&quot;:&quot;Springer US&quot;,&quot;issue&quot;:&quot;April&quot;,&quot;container-title-short&quot;:&quot;&quot;},&quot;isTemporary&quot;:false}]},{&quot;citationID&quot;:&quot;MENDELEY_CITATION_9b4e5742-7f1b-4a44-9eb4-06a1e661dc1f&quot;,&quot;properties&quot;:{&quot;noteIndex&quot;:0},&quot;isEdited&quot;:false,&quot;manualOverride&quot;:{&quot;isManuallyOverridden&quot;:false,&quot;citeprocText&quot;:&quot;&lt;sup&gt;194,195&lt;/sup&gt;&quot;,&quot;manualOverrideText&quot;:&quot;&quot;},&quot;citationTag&quot;:&quot;MENDELEY_CITATION_v3_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&quot;,&quot;citationItems&quot;:[{&quot;id&quot;:&quot;6658a70e-9afa-3673-8caa-fe68c7a8373b&quot;,&quot;itemData&quot;:{&quot;type&quot;:&quot;article-journal&quot;,&quot;id&quot;:&quot;6658a70e-9afa-3673-8caa-fe68c7a8373b&quot;,&quot;title&quot;:&quot;Necrotizing enterocolitis: Pathophysiology from a historical context&quot;,&quot;author&quot;:[{&quot;family&quot;:&quot;Hackam&quot;,&quot;given&quot;:&quot;David&quot;,&quot;parse-names&quot;:false,&quot;dropping-particle&quot;:&quot;&quot;,&quot;non-dropping-particle&quot;:&quot;&quot;},{&quot;family&quot;:&quot;Caplan&quot;,&quot;given&quot;:&quot;Michael&quot;,&quot;parse-names&quot;:false,&quot;dropping-particle&quot;:&quot;&quot;,&quot;non-dropping-particle&quot;:&quot;&quot;}],&quot;container-title&quot;:&quot;Seminars in Pediatric Surgery&quot;,&quot;DOI&quot;:&quot;10.1053/j.sempedsurg.2017.11.003&quot;,&quot;ISSN&quot;:&quot;15329453&quot;,&quot;PMID&quot;:&quot;29275810&quot;,&quot;issued&quot;:{&quot;date-parts&quot;:[[2018]]},&quot;page&quot;:&quot;11-18&quot;,&quot;abstract&quot;:&quot;Necrotizing enterocolitis (NEC) continues to afflict approximately 7% of preterm infants born weighing less than 1500 g, though recent investigations have provided novel insights into the pathogenesis of this complex disease. The disease has been a major cause of morbidity and mortality in neonatal intensive care units worldwide for many years, and our current understanding reflects exceptional observations made decades ago. In this review, we will describe NEC from a historical context and summarize seminal findings that underscore the importance of enteral feeding, the gut microbiota, and intestinal inflammation in this complex pathophysiology.&quot;,&quot;issue&quot;:&quot;1&quot;,&quot;volume&quot;:&quot;27&quot;,&quot;container-title-short&quot;:&quot;&quot;},&quot;isTemporary&quot;:false},{&quot;id&quot;:&quot;1081b04f-c08e-3bda-94ec-01f8db1d0ce0&quot;,&quot;itemData&quot;:{&quot;type&quot;:&quot;article-journal&quot;,&quot;id&quot;:&quot;1081b04f-c08e-3bda-94ec-01f8db1d0ce0&quot;,&quot;title&quot;:&quot;Maternal IgA protects against the development of necrotizing enterocolitis in preterm infants&quot;,&quot;author&quot;:[{&quot;family&quot;:&quot;Gopalakrishna&quot;,&quot;given&quot;:&quot;Kathyayini P.&quot;,&quot;parse-names&quot;:false,&quot;dropping-particle&quot;:&quot;&quot;,&quot;non-dropping-particle&quot;:&quot;&quot;},{&quot;family&quot;:&quot;Macadangdang&quot;,&quot;given&quot;:&quot;Benjamin R.&quot;,&quot;parse-names&quot;:false,&quot;dropping-particle&quot;:&quot;&quot;,&quot;non-dropping-particle&quot;:&quot;&quot;},{&quot;family&quot;:&quot;Rogers&quot;,&quot;given&quot;:&quot;Matthew B.&quot;,&quot;parse-names&quot;:false,&quot;dropping-particle&quot;:&quot;&quot;,&quot;non-dropping-particle&quot;:&quot;&quot;},{&quot;family&quot;:&quot;Tometich&quot;,&quot;given&quot;:&quot;Justin T.&quot;,&quot;parse-names&quot;:false,&quot;dropping-particle&quot;:&quot;&quot;,&quot;non-dropping-particle&quot;:&quot;&quot;},{&quot;family&quot;:&quot;Firek&quot;,&quot;given&quot;:&quot;Brian A.&quot;,&quot;parse-names&quot;:false,&quot;dropping-particle&quot;:&quot;&quot;,&quot;non-dropping-particle&quot;:&quot;&quot;},{&quot;family&quot;:&quot;Baker&quot;,&quot;given&quot;:&quot;Robyn&quot;,&quot;parse-names&quot;:false,&quot;dropping-particle&quot;:&quot;&quot;,&quot;non-dropping-particle&quot;:&quot;&quot;},{&quot;family&quot;:&quot;Ji&quot;,&quot;given&quot;:&quot;Junyi&quot;,&quot;parse-names&quot;:false,&quot;dropping-particle&quot;:&quot;&quot;,&quot;non-dropping-particle&quot;:&quot;&quot;},{&quot;family&quot;:&quot;Burr&quot;,&quot;given&quot;:&quot;Ansen H.P.&quot;,&quot;parse-names&quot;:false,&quot;dropping-particle&quot;:&quot;&quot;,&quot;non-dropping-particle&quot;:&quot;&quot;},{&quot;family&quot;:&quot;Ma&quot;,&quot;given&quot;:&quot;Congrong&quot;,&quot;parse-names&quot;:false,&quot;dropping-particle&quot;:&quot;&quot;,&quot;non-dropping-particle&quot;:&quot;&quot;},{&quot;family&quot;:&quot;Good&quot;,&quot;given&quot;:&quot;Misty&quot;,&quot;parse-names&quot;:false,&quot;dropping-particle&quot;:&quot;&quot;,&quot;non-dropping-particle&quot;:&quot;&quot;},{&quot;family&quot;:&quot;Morowitz&quot;,&quot;given&quot;:&quot;Michael J.&quot;,&quot;parse-names&quot;:false,&quot;dropping-particle&quot;:&quot;&quot;,&quot;non-dropping-particle&quot;:&quot;&quot;},{&quot;family&quot;:&quot;Hand&quot;,&quot;given&quot;:&quot;Timothy W.&quot;,&quot;parse-names&quot;:false,&quot;dropping-particle&quot;:&quot;&quot;,&quot;non-dropping-particle&quot;:&quot;&quot;}],&quot;container-title&quot;:&quot;Nature Medicine&quot;,&quot;DOI&quot;:&quot;10.1038/s41591-019-0480-9&quot;,&quot;ISSN&quot;:&quot;1546170X&quot;,&quot;PMID&quot;:&quot;31209335&quot;,&quot;URL&quot;:&quot;http://dx.doi.org/10.1038/s41591-019-0480-9&quot;,&quot;issued&quot;:{&quot;date-parts&quot;:[[2019]]},&quot;page&quot;:&quot;1110-1115&quot;,&quot;abstract&quot;:&quot;Neonates are protected from colonizing bacteria by antibodies secreted into maternal milk. Necrotizing enterocolitis (NEC) is a disease of neonatal preterm infants with high morbidity and mortality that is associated with intestinal inflammation driven by the microbiota1–3. The incidence of NEC is substantially lower in infants fed with maternal milk, although the mechanisms that underlie this benefit are not clear4–6. Here we show that maternal immunoglobulin A (IgA) is an important factor for protection against NEC. Analysis of IgA binding to fecal bacteria from preterm infants indicated that maternal milk was the predominant source of IgA in the first month of life and that a relative decrease in IgA-bound bacteria is associated with the development of NEC. Sequencing of IgA-bound and unbound bacteria revealed that before the onset of disease, NEC was associated with increasing domination by Enterobacteriaceae in the IgA-unbound fraction of the microbiota. Furthermore, we confirmed that IgA is critical for preventing NEC in a mouse model, in which pups that are reared by IgA-deficient mothers are susceptible to disease despite exposure to maternal milk. Our findings show that maternal IgA shapes the host–microbiota relationship of preterm neonates and that IgA in maternal milk is a critical and necessary factor for the prevention of NEC.&quot;,&quot;publisher&quot;:&quot;Springer US&quot;,&quot;issue&quot;:&quot;7&quot;,&quot;volume&quot;:&quot;25&quot;,&quot;container-title-short&quot;:&quot;&quot;},&quot;isTemporary&quot;:false}]},{&quot;citationID&quot;:&quot;MENDELEY_CITATION_f9c6bbb8-77af-48ee-8597-b0f9a675784d&quot;,&quot;properties&quot;:{&quot;noteIndex&quot;:0},&quot;isEdited&quot;:false,&quot;manualOverride&quot;:{&quot;isManuallyOverridden&quot;:false,&quot;citeprocText&quot;:&quot;&lt;sup&gt;196&lt;/sup&gt;&quot;,&quot;manualOverrideText&quot;:&quot;&quot;},&quot;citationTag&quot;:&quot;MENDELEY_CITATION_v3_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&quot;,&quot;citationItems&quot;:[{&quot;id&quot;:&quot;5d7a5cef-0ddd-352a-9f5b-2fe5d5c05cee&quot;,&quot;itemData&quot;:{&quot;type&quot;:&quot;article-journal&quot;,&quot;id&quot;:&quot;5d7a5cef-0ddd-352a-9f5b-2fe5d5c05cee&quot;,&quot;title&quot;:&quot;Ménage à trois in the human gut: Interactions between host, bacteria and phages&quot;,&quot;author&quot;:[{&quot;family&quot;:&quot;Mirzaei&quot;,&quot;given&quot;:&quot;Mohammadali Khan&quot;,&quot;parse-names&quot;:false,&quot;dropping-particle&quot;:&quot;&quot;,&quot;non-dropping-particle&quot;:&quot;&quot;},{&quot;family&quot;:&quot;Maurice&quot;,&quot;given&quot;:&quot;Corinne F.&quot;,&quot;parse-names&quot;:false,&quot;dropping-particle&quot;:&quot;&quot;,&quot;non-dropping-particle&quot;:&quot;&quot;}],&quot;container-title&quot;:&quot;Nature Reviews Microbiology&quot;,&quot;DOI&quot;:&quot;10.1038/nrmicro.2017.30&quot;,&quot;ISSN&quot;:&quot;17401534&quot;,&quot;PMID&quot;:&quot;28461690&quot;,&quot;URL&quot;:&quot;http://dx.doi.org/10.1038/nrmicro.2017.30&quot;,&quot;issued&quot;:{&quot;date-parts&quot;:[[2017]]},&quot;page&quot;:&quot;397-408&quot;,&quot;abstract&quot;:&quot;The human gut is host to one of the densest microbial communities known, the gut microbiota, which contains bacteria, archaea, viruses, fungi and other microbial eukaryotes. Bacteriophages in the gut are largely unexplored, despite their potential to regulate bacterial communities and thus human health. In addition to helping us understand gut homeostasis, applying an ecological perspective to the study of bacterial and phage communities in the gut will help us to understand how this microbial system functions. For example, temporal studies of bacteria, phages and host immune cells in the gut during health and disease could provide key information about disease development and inform therapeutic treatments, whereas understanding the regulation of the replication cycles of phages could help harness the gut microbiota to improve disease outcomes. As the most abundant biological entities in our gut, we must consider bacteriophages in our pursuit of personalized medicine.&quot;,&quot;publisher&quot;:&quot;Nature Publishing Group&quot;,&quot;issue&quot;:&quot;7&quot;,&quot;volume&quot;:&quot;15&quot;,&quot;container-title-short&quot;:&quot;&quot;},&quot;isTemporary&quot;:false}]},{&quot;citationID&quot;:&quot;MENDELEY_CITATION_2f9db418-f73d-42ae-9998-328a7ac5bf81&quot;,&quot;properties&quot;:{&quot;noteIndex&quot;:0},&quot;isEdited&quot;:false,&quot;manualOverride&quot;:{&quot;isManuallyOverridden&quot;:false,&quot;citeprocText&quot;:&quot;&lt;sup&gt;197,198&lt;/sup&gt;&quot;,&quot;manualOverrideText&quot;:&quot;&quot;},&quot;citationTag&quot;:&quot;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&quot;,&quot;citationItems&quot;:[{&quot;id&quot;:&quot;7e71c005-7b8b-3160-8a13-718da87138ca&quot;,&quot;itemData&quot;:{&quot;type&quot;:&quot;article-journal&quot;,&quot;id&quot;:&quot;7e71c005-7b8b-3160-8a13-718da87138ca&quot;,&quot;title&quot;:&quot;Persistent metagenomic signatures of early-life hospitalization and antibiotic treatment in the infant gut microbiota and resistome&quot;,&quot;author&quot;:[{&quot;family&quot;:&quot;Gasparrini&quot;,&quot;given&quot;:&quot;Andrew J.&quot;,&quot;parse-names&quot;:false,&quot;dropping-particle&quot;:&quot;&quot;,&quot;non-dropping-particle&quot;:&quot;&quot;},{&quot;family&quot;:&quot;Wang&quot;,&quot;given&quot;:&quot;Bin&quot;,&quot;parse-names&quot;:false,&quot;dropping-particle&quot;:&quot;&quot;,&quot;non-dropping-particle&quot;:&quot;&quot;},{&quot;family&quot;:&quot;Sun&quot;,&quot;given&quot;:&quot;Xiaoqing&quot;,&quot;parse-names&quot;:false,&quot;dropping-particle&quot;:&quot;&quot;,&quot;non-dropping-particle&quot;:&quot;&quot;},{&quot;family&quot;:&quot;Kennedy&quot;,&quot;given&quot;:&quot;Elizabeth A.&quot;,&quot;parse-names&quot;:false,&quot;dropping-particle&quot;:&quot;&quot;,&quot;non-dropping-particle&quot;:&quot;&quot;},{&quot;family&quot;:&quot;Hernandez-Leyva&quot;,&quot;given&quot;:&quot;Ariel&quot;,&quot;parse-names&quot;:false,&quot;dropping-particle&quot;:&quot;&quot;,&quot;non-dropping-particle&quot;:&quot;&quot;},{&quot;family&quot;:&quot;Ndao&quot;,&quot;given&quot;:&quot;I. Malick&quot;,&quot;parse-names&quot;:false,&quot;dropping-particle&quot;:&quot;&quot;,&quot;non-dropping-particle&quot;:&quot;&quot;},{&quot;family&quot;:&quot;Tarr&quot;,&quot;given&quot;:&quot;Phillip I.&quot;,&quot;parse-names&quot;:false,&quot;dropping-particle&quot;:&quot;&quot;,&quot;non-dropping-particle&quot;:&quot;&quot;},{&quot;family&quot;:&quot;Warner&quot;,&quot;given&quot;:&quot;Barbara B.&quot;,&quot;parse-names&quot;:false,&quot;dropping-particle&quot;:&quot;&quot;,&quot;non-dropping-particle&quot;:&quot;&quot;},{&quot;family&quot;:&quot;Dantas&quot;,&quot;given&quot;:&quot;Gautam&quot;,&quot;parse-names&quot;:false,&quot;dropping-particle&quot;:&quot;&quot;,&quot;non-dropping-particle&quot;:&quot;&quot;}],&quot;container-title&quot;:&quot;Nature Microbiology&quot;,&quot;DOI&quot;:&quot;10.1038/s41564-019-0550-2&quot;,&quot;ISSN&quot;:&quot;20585276&quot;,&quot;PMID&quot;:&quot;31501537&quot;,&quot;URL&quot;:&quot;http://dx.doi.org/10.1038/s41564-019-0550-2&quot;,&quot;issued&quot;:{&quot;date-parts&quot;:[[2019]]},&quot;page&quot;:&quot;2285-2297&quot;,&quot;abstract&quot;:&quot;Hospitalized preterm infants receive frequent and often prolonged exposures to antibiotics because they are vulnerable to infection. It is not known whether the short-term effects of antibiotics on the preterm infant gut microbiota and resistome persist after discharge from neonatal intensive care units. Here, we use complementary metagenomic, culture-based and machine learning techniques to study the gut microbiota and resistome of antibiotic-exposed preterm infants during and after hospitalization, and we compare these readouts to antibiotic-naive healthy infants sampled synchronously. We find a persistently enriched gastrointestinal antibiotic resistome, prolonged carriage of multidrug-resistant Enterobacteriaceae and distinct antibiotic-driven patterns of microbiota and resistome assembly in extremely preterm infants that received early-life antibiotics. The collateral damage of early-life antibiotic treatment and hospitalization in preterm infants is long lasting. We urge the development of strategies to reduce these consequences in highly vulnerable neonatal populations.&quot;,&quot;publisher&quot;:&quot;Springer US&quot;,&quot;issue&quot;:&quot;12&quot;,&quot;volume&quot;:&quot;4&quot;,&quot;container-title-short&quot;:&quot;&quot;},&quot;isTemporary&quot;:false},{&quot;id&quot;:&quot;f2bb202f-3070-3f98-a7f0-aececa562557&quot;,&quot;itemData&quot;:{&quot;type&quot;:&quot;article-journal&quot;,&quot;id&quot;:&quot;f2bb202f-3070-3f98-a7f0-aececa562557&quot;,&quot;title&quot;:&quot;Developmental dynamics of the preterm infant gut microbiota and antibiotic resistome&quot;,&quot;author&quot;:[{&quot;family&quot;:&quot;Gibson&quot;,&quot;given&quot;:&quot;Molly K.&quot;,&quot;parse-names&quot;:false,&quot;dropping-particle&quot;:&quot;&quot;,&quot;non-dropping-particle&quot;:&quot;&quot;},{&quot;family&quot;:&quot;Wang&quot;,&quot;given&quot;:&quot;Bin&quot;,&quot;parse-names&quot;:false,&quot;dropping-particle&quot;:&quot;&quot;,&quot;non-dropping-particle&quot;:&quot;&quot;},{&quot;family&quot;:&quot;Ahmadi&quot;,&quot;given&quot;:&quot;Sara&quot;,&quot;parse-names&quot;:false,&quot;dropping-particle&quot;:&quot;&quot;,&quot;non-dropping-particle&quot;:&quot;&quot;},{&quot;family&quot;:&quot;Burnham&quot;,&quot;given&quot;:&quot;Carey Ann D.&quot;,&quot;parse-names&quot;:false,&quot;dropping-particle&quot;:&quot;&quot;,&quot;non-dropping-particle&quot;:&quot;&quot;},{&quot;family&quot;:&quot;Tarr&quot;,&quot;given&quot;:&quot;Phillip I.&quot;,&quot;parse-names&quot;:false,&quot;dropping-particle&quot;:&quot;&quot;,&quot;non-dropping-particle&quot;:&quot;&quot;},{&quot;family&quot;:&quot;Warner&quot;,&quot;given&quot;:&quot;Barbara B.&quot;,&quot;parse-names&quot;:false,&quot;dropping-particle&quot;:&quot;&quot;,&quot;non-dropping-particle&quot;:&quot;&quot;},{&quot;family&quot;:&quot;Dantas&quot;,&quot;given&quot;:&quot;Gautam&quot;,&quot;parse-names&quot;:false,&quot;dropping-particle&quot;:&quot;&quot;,&quot;non-dropping-particle&quot;:&quot;&quot;}],&quot;container-title&quot;:&quot;Nature microbiology&quot;,&quot;DOI&quot;:&quot;10.1038/nmicrobiol.2016.24&quot;,&quot;ISSN&quot;:&quot;20585276&quot;,&quot;PMID&quot;:&quot;27572443&quot;,&quot;issued&quot;:{&quot;date-parts&quot;:[[2016]]},&quot;page&quot;:&quot;16024&quot;,&quot;abstract&quot;:&quot;Development of the preterm infant gut microbiota is emerging as a critical research priority(1). Since preterm infants almost universally receive early and often extended antibiotic therapy(2), it is important to understand how these interventions alter gut microbiota development(3-6). Analysis of 401 stools from 84 longitudinally sampled preterm infants demonstrates that meropenem, cefotaxime and ticarcillin-clavulanate are associated with significantly reduced species richness. In contrast, vancomycin and gentamicin, the antibiotics most commonly administered to preterm infants, have non-uniform effects on species richness, but these can be predicted with 85% accuracy based on the relative abundance of only two bacterial species and two antibiotic resistance (AR) genes at treatment initiation. To investigate resistome development, we functionally selected resistance to 16 antibiotics from 21 faecal metagenomic expression libraries. Of the 794 AR genes identified, 79% had not previously been classified as AR genes. Combined with deep shotgun sequencing of all stools, we find that multidrug-resistant members of the genera Escherichia, Klebsiella and Enterobacter, genera commonly associated with nosocomial infections, dominate the preterm infant gut microbiota. AR genes that are enriched following specific antibiotic treatments are generally unique to the specific treatment and are highly correlated with the abundance of a single species. The most notable exceptions include ticarcillin-clavulanate and ampicillin, both of which enrich for a large number of overlapping AR genes, and are correlated with Klebsiella pneumoniae. We find that all antibiotic treatments are associated with widespread collateral microbiome impact by enrichment of AR genes that have no known activity against the specific antibiotic driver.&quot;,&quot;publisher&quot;:&quot;Nature Publishing Group&quot;,&quot;issue&quot;:&quot;April&quot;,&quot;volume&quot;:&quot;1&quot;,&quot;container-title-short&quot;:&quot;Nat Microbiol&quot;},&quot;isTemporary&quot;:false}]},{&quot;citationID&quot;:&quot;MENDELEY_CITATION_f57bc3ec-9c87-4f6c-b04c-486ca1b25aa4&quot;,&quot;properties&quot;:{&quot;noteIndex&quot;:0},&quot;isEdited&quot;:false,&quot;manualOverride&quot;:{&quot;isManuallyOverridden&quot;:false,&quot;citeprocText&quot;:&quot;&lt;sup&gt;197,199&lt;/sup&gt;&quot;,&quot;manualOverrideText&quot;:&quot;&quot;},&quot;citationTag&quot;:&quot;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&quot;,&quot;citationItems&quot;:[{&quot;id&quot;:&quot;7e71c005-7b8b-3160-8a13-718da87138ca&quot;,&quot;itemData&quot;:{&quot;type&quot;:&quot;article-journal&quot;,&quot;id&quot;:&quot;7e71c005-7b8b-3160-8a13-718da87138ca&quot;,&quot;title&quot;:&quot;Persistent metagenomic signatures of early-life hospitalization and antibiotic treatment in the infant gut microbiota and resistome&quot;,&quot;author&quot;:[{&quot;family&quot;:&quot;Gasparrini&quot;,&quot;given&quot;:&quot;Andrew J.&quot;,&quot;parse-names&quot;:false,&quot;dropping-particle&quot;:&quot;&quot;,&quot;non-dropping-particle&quot;:&quot;&quot;},{&quot;family&quot;:&quot;Wang&quot;,&quot;given&quot;:&quot;Bin&quot;,&quot;parse-names&quot;:false,&quot;dropping-particle&quot;:&quot;&quot;,&quot;non-dropping-particle&quot;:&quot;&quot;},{&quot;family&quot;:&quot;Sun&quot;,&quot;given&quot;:&quot;Xiaoqing&quot;,&quot;parse-names&quot;:false,&quot;dropping-particle&quot;:&quot;&quot;,&quot;non-dropping-particle&quot;:&quot;&quot;},{&quot;family&quot;:&quot;Kennedy&quot;,&quot;given&quot;:&quot;Elizabeth A.&quot;,&quot;parse-names&quot;:false,&quot;dropping-particle&quot;:&quot;&quot;,&quot;non-dropping-particle&quot;:&quot;&quot;},{&quot;family&quot;:&quot;Hernandez-Leyva&quot;,&quot;given&quot;:&quot;Ariel&quot;,&quot;parse-names&quot;:false,&quot;dropping-particle&quot;:&quot;&quot;,&quot;non-dropping-particle&quot;:&quot;&quot;},{&quot;family&quot;:&quot;Ndao&quot;,&quot;given&quot;:&quot;I. Malick&quot;,&quot;parse-names&quot;:false,&quot;dropping-particle&quot;:&quot;&quot;,&quot;non-dropping-particle&quot;:&quot;&quot;},{&quot;family&quot;:&quot;Tarr&quot;,&quot;given&quot;:&quot;Phillip I.&quot;,&quot;parse-names&quot;:false,&quot;dropping-particle&quot;:&quot;&quot;,&quot;non-dropping-particle&quot;:&quot;&quot;},{&quot;family&quot;:&quot;Warner&quot;,&quot;given&quot;:&quot;Barbara B.&quot;,&quot;parse-names&quot;:false,&quot;dropping-particle&quot;:&quot;&quot;,&quot;non-dropping-particle&quot;:&quot;&quot;},{&quot;family&quot;:&quot;Dantas&quot;,&quot;given&quot;:&quot;Gautam&quot;,&quot;parse-names&quot;:false,&quot;dropping-particle&quot;:&quot;&quot;,&quot;non-dropping-particle&quot;:&quot;&quot;}],&quot;container-title&quot;:&quot;Nature Microbiology&quot;,&quot;DOI&quot;:&quot;10.1038/s41564-019-0550-2&quot;,&quot;ISSN&quot;:&quot;20585276&quot;,&quot;PMID&quot;:&quot;31501537&quot;,&quot;URL&quot;:&quot;http://dx.doi.org/10.1038/s41564-019-0550-2&quot;,&quot;issued&quot;:{&quot;date-parts&quot;:[[2019]]},&quot;page&quot;:&quot;2285-2297&quot;,&quot;abstract&quot;:&quot;Hospitalized preterm infants receive frequent and often prolonged exposures to antibiotics because they are vulnerable to infection. It is not known whether the short-term effects of antibiotics on the preterm infant gut microbiota and resistome persist after discharge from neonatal intensive care units. Here, we use complementary metagenomic, culture-based and machine learning techniques to study the gut microbiota and resistome of antibiotic-exposed preterm infants during and after hospitalization, and we compare these readouts to antibiotic-naive healthy infants sampled synchronously. We find a persistently enriched gastrointestinal antibiotic resistome, prolonged carriage of multidrug-resistant Enterobacteriaceae and distinct antibiotic-driven patterns of microbiota and resistome assembly in extremely preterm infants that received early-life antibiotics. The collateral damage of early-life antibiotic treatment and hospitalization in preterm infants is long lasting. We urge the development of strategies to reduce these consequences in highly vulnerable neonatal populations.&quot;,&quot;publisher&quot;:&quot;Springer US&quot;,&quot;issue&quot;:&quot;12&quot;,&quot;volume&quot;:&quot;4&quot;,&quot;container-title-short&quot;:&quot;&quot;},&quot;isTemporary&quot;:false},{&quot;id&quot;:&quot;b5398fd0-fd76-35a1-b7c0-959e4abbfc5a&quot;,&quot;itemData&quot;:{&quot;type&quot;:&quot;article-journal&quot;,&quot;id&quot;:&quot;b5398fd0-fd76-35a1-b7c0-959e4abbfc5a&quot;,&quot;title&quot;:&quot;Preterm infants harbour diverse klebsiella populations, including atypical species that encode and produce an array of antimicrobial resistance-and virulence-associated factors&quot;,&quot;author&quot;:[{&quot;family&quot;:&quot;Chen&quot;,&quot;given&quot;:&quot;Yuhao&quot;,&quot;parse-names&quot;:false,&quot;dropping-particle&quot;:&quot;&quot;,&quot;non-dropping-particle&quot;:&quot;&quot;},{&quot;family&quot;:&quot;Brook&quot;,&quot;given&quot;:&quot;Thomas C.&quot;,&quot;parse-names&quot;:false,&quot;dropping-particle&quot;:&quot;&quot;,&quot;non-dropping-particle&quot;:&quot;&quot;},{&quot;family&quot;:&quot;Soe&quot;,&quot;given&quot;:&quot;Cho Zin&quot;,&quot;parse-names&quot;:false,&quot;dropping-particle&quot;:&quot;&quot;,&quot;non-dropping-particle&quot;:&quot;&quot;},{&quot;family&quot;:&quot;O'neill&quot;,&quot;given&quot;:&quot;Ian&quot;,&quot;parse-names&quot;:false,&quot;dropping-particle&quot;:&quot;&quot;,&quot;non-dropping-particle&quot;:&quot;&quot;},{&quot;family&quot;:&quot;Alcon-Giner&quot;,&quot;given&quot;:&quot;Cristina&quot;,&quot;parse-names&quot;:false,&quot;dropping-particle&quot;:&quot;&quot;,&quot;non-dropping-particle&quot;:&quot;&quot;},{&quot;family&quot;:&quot;Leelastwattanagul&quot;,&quot;given&quot;:&quot;Onnicha&quot;,&quot;parse-names&quot;:false,&quot;dropping-particle&quot;:&quot;&quot;,&quot;non-dropping-particle&quot;:&quot;&quot;},{&quot;family&quot;:&quot;Phillips&quot;,&quot;given&quot;:&quot;Sarah&quot;,&quot;parse-names&quot;:false,&quot;dropping-particle&quot;:&quot;&quot;,&quot;non-dropping-particle&quot;:&quot;&quot;},{&quot;family&quot;:&quot;Caim&quot;,&quot;given&quot;:&quot;Shabhonam&quot;,&quot;parse-names&quot;:false,&quot;dropping-particle&quot;:&quot;&quot;,&quot;non-dropping-particle&quot;:&quot;&quot;},{&quot;family&quot;:&quot;Clarke&quot;,&quot;given&quot;:&quot;Paul&quot;,&quot;parse-names&quot;:false,&quot;dropping-particle&quot;:&quot;&quot;,&quot;non-dropping-particle&quot;:&quot;&quot;},{&quot;family&quot;:&quot;Hall&quot;,&quot;given&quot;:&quot;Lindsay J.&quot;,&quot;parse-names&quot;:false,&quot;dropping-particle&quot;:&quot;&quot;,&quot;non-dropping-particle&quot;:&quot;&quot;},{&quot;family&quot;:&quot;Hoyles&quot;,&quot;given&quot;:&quot;Lesley&quot;,&quot;parse-names&quot;:false,&quot;dropping-particle&quot;:&quot;&quot;,&quot;non-dropping-particle&quot;:&quot;&quot;}],&quot;container-title&quot;:&quot;Microbial Genomics&quot;,&quot;DOI&quot;:&quot;10.1099/mgen.0.000377&quot;,&quot;ISSN&quot;:&quot;20575858&quot;,&quot;PMID&quot;:&quot;32436839&quot;,&quot;issued&quot;:{&quot;date-parts&quot;:[[2020]]},&quot;page&quot;:&quot;1-20&quot;,&quot;abstract&quot;:&quot;Klebsiella spp. are frequently enriched in the gut microbiota of preterm neonates, and overgrowth is associated with necrotizing enterocolitis (NEC), nosocomial infections and late-onset sepsis. Little is known about the genomic and phenotypic characteristics of preterm-associated Klebsiella, as previous studies have focused on the recovery of antimicrobial-resistant isolates or culture-independent molecular analyses. The aim of this study was to better characterize preterm-associated Klebsiella populations using phenotypic and genotypic approaches. Faecal samples from a UK cohort of healthy and sick preterm neonates (n=109) were screened on MacConkey agar to isolate lactose-positive Enterobacteriaceae. Whole-genome sequences were generated for Klebsiella spp., and virulence and antimicrobial resistance genes identified. Antibiotic susceptibility profiling and in vitro macrophage and iron assays were undertaken for the Klebsiella strains. Metapangenome analyses with a manually curated genome dataset were undertaken to examine the diversity of Klebsiella oxytoca and related bacteria in a publicly available shotgun metagenome dataset. Approximately one-tenth of faecal samples harboured Klebsiella spp. (Klebsiella pneumoniae, 7.3 %; Klebsiella quasipneumoniae, 0.9 %; Klebsiella grimontii, 2.8 %; Klebsiella michiganensis, 1.8 %). Isolates recovered from NECand sepsis-affected infants and those showing no signs of clinical infection (i.e. ‘healthy’) encoded multiple β-lactamases. No difference was observed between isolates recovered from healthy and sick infants with respect to in vitro siderophore production (all encoded enterobactin in their genomes). All K. pneumoniae, K. quasipneumoniae, K. grimontii and K. michiganensis faecal isolates tested were able to reside and persist in macrophages, indicating their immune evasion abilities. Metapangenome analyses of published metagenomic data confirmed our findings regarding the presence of K. michiganensis in the preterm gut. There is little difference in the phenotypic and genomic characteristics of Klebsiella isolates recovered from healthy and sick infants. Identification of β-lactamases in all isolates may prove problematic when defining treatment regimens for NEC or sepsis, and suggests that healthy preterm infants contribute to the resistome. Refined analyses with curated sequence databases are required when studying closely related species present in metagenomic data.&quot;,&quot;issue&quot;:&quot;6&quot;,&quot;volume&quot;:&quot;6&quot;,&quot;container-title-short&quot;:&quot;&quot;},&quot;isTemporary&quot;:false}]},{&quot;citationID&quot;:&quot;MENDELEY_CITATION_cd7d8cb4-7bec-4049-98ca-3d5798f94218&quot;,&quot;properties&quot;:{&quot;noteIndex&quot;:0},&quot;isEdited&quot;:false,&quot;manualOverride&quot;:{&quot;isManuallyOverridden&quot;:false,&quot;citeprocText&quot;:&quot;&lt;sup&gt;200,201&lt;/sup&gt;&quot;,&quot;manualOverrideText&quot;:&quot;&quot;},&quot;citationTag&quot;:&quot;MENDELEY_CITATION_v3_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&quot;,&quot;citationItems&quot;:[{&quot;id&quot;:&quot;9771d517-da82-30a2-a34a-fdb3ea73c27b&quot;,&quot;itemData&quot;:{&quot;type&quot;:&quot;article-journal&quot;,&quot;id&quot;:&quot;9771d517-da82-30a2-a34a-fdb3ea73c27b&quot;,&quot;title&quot;:&quot;The composition of the gut microbiota throughout life, with an emphasis on early life&quot;,&quot;author&quot;:[{&quot;family&quot;:&quot;Rodríguez&quot;,&quot;given&quot;:&quot;Juan Miguel&quot;,&quot;parse-names&quot;:false,&quot;dropping-particle&quot;:&quot;&quot;,&quot;non-dropping-particle&quot;:&quot;&quot;},{&quot;family&quot;:&quot;Murphy&quot;,&quot;given&quot;:&quot;Kiera&quot;,&quot;parse-names&quot;:false,&quot;dropping-particle&quot;:&quot;&quot;,&quot;non-dropping-particle&quot;:&quot;&quot;},{&quot;family&quot;:&quot;Stanton&quot;,&quot;given&quot;:&quot;Catherine&quot;,&quot;parse-names&quot;:false,&quot;dropping-particle&quot;:&quot;&quot;,&quot;non-dropping-particle&quot;:&quot;&quot;},{&quot;family&quot;:&quot;Ross&quot;,&quot;given&quot;:&quot;R. Paul&quot;,&quot;parse-names&quot;:false,&quot;dropping-particle&quot;:&quot;&quot;,&quot;non-dropping-particle&quot;:&quot;&quot;},{&quot;family&quot;:&quot;Kober&quot;,&quot;given&quot;:&quot;Olivia I.&quot;,&quot;parse-names&quot;:false,&quot;dropping-particle&quot;:&quot;&quot;,&quot;non-dropping-particle&quot;:&quot;&quot;},{&quot;family&quot;:&quot;Juge&quot;,&quot;given&quot;:&quot;Nathalie&quot;,&quot;parse-names&quot;:false,&quot;dropping-particle&quot;:&quot;&quot;,&quot;non-dropping-particle&quot;:&quot;&quot;},{&quot;family&quot;:&quot;Avershina&quot;,&quot;given&quot;:&quot;Ekaterina&quot;,&quot;parse-names&quot;:false,&quot;dropping-particle&quot;:&quot;&quot;,&quot;non-dropping-particle&quot;:&quot;&quot;},{&quot;family&quot;:&quot;Rudi&quot;,&quot;given&quot;:&quot;Knut&quot;,&quot;parse-names&quot;:false,&quot;dropping-particle&quot;:&quot;&quot;,&quot;non-dropping-particle&quot;:&quot;&quot;},{&quot;family&quot;:&quot;Narbad&quot;,&quot;given&quot;:&quot;Arjan&quot;,&quot;parse-names&quot;:false,&quot;dropping-particle&quot;:&quot;&quot;,&quot;non-dropping-particle&quot;:&quot;&quot;},{&quot;family&quot;:&quot;Jenmalm&quot;,&quot;given&quot;:&quot;Maria C.&quot;,&quot;parse-names&quot;:false,&quot;dropping-particle&quot;:&quot;&quot;,&quot;non-dropping-particle&quot;:&quot;&quot;},{&quot;family&quot;:&quot;Marchesi&quot;,&quot;given&quot;:&quot;Julian R.&quot;,&quot;parse-names&quot;:false,&quot;dropping-particle&quot;:&quot;&quot;,&quot;non-dropping-particle&quot;:&quot;&quot;},{&quot;family&quot;:&quot;Collado&quot;,&quot;given&quot;:&quot;Maria Carmen&quot;,&quot;parse-names&quot;:false,&quot;dropping-particle&quot;:&quot;&quot;,&quot;non-dropping-particle&quot;:&quot;&quot;}],&quot;container-title&quot;:&quot;Microbial Ecology in Health &amp; Disease&quot;,&quot;DOI&quot;:&quot;10.3402/mehd.v26.26050&quot;,&quot;ISSN&quot;:&quot;0891-060X&quot;,&quot;PMID&quot;:&quot;25651996&quot;,&quot;issued&quot;:{&quot;date-parts&quot;:[[2015]]},&quot;abstract&quot;:&quot;The intestinal microbiota has become a relevant aspect of human health. Microbial colonization runs in parallel with immune system maturation and plays a role in intestinal physiology and regulation. Increasing evidence on early microbial contact suggest that human intestinal microbiota is seeded before birth. Maternal microbiota forms the first microbial inoculum, and from birth, the microbial diversity increases and converges toward an adult-like microbiota by the end of the first 3-5 years of life. Perinatal factors such as mode of delivery, diet, genetics, and intestinal mucin glycosylation all contribute to influence microbial colonization. Once established, the composition of the gut microbiota is relatively stable throughout adult life, but can be altered as a result of bacterial infections, antibiotic treatment, lifestyle, surgical, and a long-term change in diet. Shifts in this complex microbial system have been reported to increase the risk of disease. Therefore, an adequate establishment of microbiota and its maintenance throughout life would reduce the risk of disease in early and late life. This review discusses recent studies on the early colonization and factors influencing this process which impact on health.&quot;,&quot;issue&quot;:&quot;0&quot;,&quot;volume&quot;:&quot;26&quot;,&quot;container-title-short&quot;:&quot;&quot;},&quot;isTemporary&quot;:false},{&quot;id&quot;:&quot;ae367c1d-1b42-3a30-a4ec-03de3c029704&quot;,&quot;itemData&quot;:{&quot;type&quot;:&quot;article-journal&quot;,&quot;id&quot;:&quot;ae367c1d-1b42-3a30-a4ec-03de3c029704&quot;,&quot;title&quot;:&quot;Clinical implications of preterm infant gut microbiome development&quot;,&quot;author&quot;:[{&quot;family&quot;:&quot;Healy&quot;,&quot;given&quot;:&quot;David B&quot;,&quot;parse-names&quot;:false,&quot;dropping-particle&quot;:&quot;&quot;,&quot;non-dropping-particle&quot;:&quot;&quot;},{&quot;family&quot;:&quot;Ryan&quot;,&quot;given&quot;:&quot;C Anthony&quot;,&quot;parse-names&quot;:false,&quot;dropping-particle&quot;:&quot;&quot;,&quot;non-dropping-particle&quot;:&quot;&quot;},{&quot;family&quot;:&quot;Ross&quot;,&quot;given&quot;:&quot;R Paul&quot;,&quot;parse-names&quot;:false,&quot;dropping-particle&quot;:&quot;&quot;,&quot;non-dropping-particle&quot;:&quot;&quot;},{&quot;family&quot;:&quot;Stanton&quot;,&quot;given&quot;:&quot;Catherine&quot;,&quot;parse-names&quot;:false,&quot;dropping-particle&quot;:&quot;&quot;,&quot;non-dropping-particle&quot;:&quot;&quot;},{&quot;family&quot;:&quot;Dempsey&quot;,&quot;given&quot;:&quot;Eugene M&quot;,&quot;parse-names&quot;:false,&quot;dropping-particle&quot;:&quot;&quot;,&quot;non-dropping-particle&quot;:&quot;&quot;}],&quot;DOI&quot;:&quot;10.1038/s41564-021-01025-4&quot;,&quot;publisher&quot;:&quot;Springer US&quot;,&quot;container-title-short&quot;:&quot;&quot;},&quot;isTemporary&quot;:false}]},{&quot;citationID&quot;:&quot;MENDELEY_CITATION_6bdef5ab-a149-425b-b6a1-3ff551739388&quot;,&quot;properties&quot;:{&quot;noteIndex&quot;:0},&quot;isEdited&quot;:false,&quot;manualOverride&quot;:{&quot;isManuallyOverridden&quot;:false,&quot;citeprocText&quot;:&quot;&lt;sup&gt;202,203&lt;/sup&gt;&quot;,&quot;manualOverrideText&quot;:&quot;&quot;},&quot;citationTag&quot;:&quot;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&quot;,&quot;citationItems&quot;:[{&quot;id&quot;:&quot;074111e1-fd6d-3d28-9099-894313e485b1&quot;,&quot;itemData&quot;:{&quot;type&quot;:&quot;article-journal&quot;,&quot;id&quot;:&quot;074111e1-fd6d-3d28-9099-894313e485b1&quot;,&quot;title&quot;:&quot;Are postnatal ampicillin levels actually related to the duration of intrapartum antibiotic prophylaxis prior to delivery? A pharmacokinetic study in 120 neonates&quot;,&quot;author&quot;:[{&quot;family&quot;:&quot;Berardi&quot;,&quot;given&quot;:&quot;Alberto&quot;,&quot;parse-names&quot;:false,&quot;dropping-particle&quot;:&quot;&quot;,&quot;non-dropping-particle&quot;:&quot;&quot;},{&quot;family&quot;:&quot;Pietrangiolillo&quot;,&quot;given&quot;:&quot;Zaira&quot;,&quot;parse-names&quot;:false,&quot;dropping-particle&quot;:&quot;&quot;,&quot;non-dropping-particle&quot;:&quot;&quot;},{&quot;family&quot;:&quot;Reggiani&quot;,&quot;given&quot;:&quot;Maria Letizia Bacchi&quot;,&quot;parse-names&quot;:false,&quot;dropping-particle&quot;:&quot;&quot;,&quot;non-dropping-particle&quot;:&quot;&quot;},{&quot;family&quot;:&quot;Bianco&quot;,&quot;given&quot;:&quot;Valentina&quot;,&quot;parse-names&quot;:false,&quot;dropping-particle&quot;:&quot;&quot;,&quot;non-dropping-particle&quot;:&quot;&quot;},{&quot;family&quot;:&quot;Gallesi&quot;,&quot;given&quot;:&quot;Daniela&quot;,&quot;parse-names&quot;:false,&quot;dropping-particle&quot;:&quot;&quot;,&quot;non-dropping-particle&quot;:&quot;&quot;},{&quot;family&quot;:&quot;Rossi&quot;,&quot;given&quot;:&quot;Katia&quot;,&quot;parse-names&quot;:false,&quot;dropping-particle&quot;:&quot;&quot;,&quot;non-dropping-particle&quot;:&quot;&quot;},{&quot;family&quot;:&quot;Facchinetti&quot;,&quot;given&quot;:&quot;Fabio&quot;,&quot;parse-names&quot;:false,&quot;dropping-particle&quot;:&quot;&quot;,&quot;non-dropping-particle&quot;:&quot;&quot;},{&quot;family&quot;:&quot;Ferrari&quot;,&quot;given&quot;:&quot;Fabrizio&quot;,&quot;parse-names&quot;:false,&quot;dropping-particle&quot;:&quot;&quot;,&quot;non-dropping-particle&quot;:&quot;&quot;}],&quot;container-title&quot;:&quot;Archives of Disease in Childhood: Fetal and Neonatal Edition&quot;,&quot;DOI&quot;:&quot;10.1136/archdischild-2016-312546&quot;,&quot;ISSN&quot;:&quot;14682052&quot;,&quot;PMID&quot;:&quot;28663282&quot;,&quot;issued&quot;:{&quot;date-parts&quot;:[[2018]]},&quot;page&quot;:&quot;F152-F156&quot;,&quot;abstract&quot;:&quot;Objective To assess ampicillin levels according to the duration of intrapartum antibiotic prophylaxis (IAP). Design Prospective cohort single-centre study. Setting Tertiary care centre (Modena, Italy). Patients 120 neonates≥35 weeks' gestation exposed to IAP. Interventions Neonates were divided into four groups, according to the duration of IAP prior to delivery: group 1 (n=30; &lt;1 hour), group 2 (n=30; ≥1 and &lt;2 hours), group 3 (n=30; ≥2 and &lt;4 hours) and group 4 (n=30; ≥2 doses, ≥4 hours). Main outcome measures Blood samples were collected at delivery (from the umbilical cord) and at age 4 hours (from a peripheral vessel). Results Median duration of IAP was 121 min (range 7-2045 min). Median ampicillin levels in umbilical cord blood were 10.4 μg/mL (IQR 6.4-14.9) and in peripheral blood were 4.7 μg/mL (IQR 2.8-6.4μg/mL). Umbilical cord blood levels reached a peak approximately 30 min after IAP and then declined significantly (p&lt;0.001). Peripheral blood levels did not differ among study groups. Neonates exposed to a full loading dose (n=115) had peripheral blood levels 2.5-70 times higher than the minimal inhibitory concentration for group B streptococcus. There was no relationship between neonatal ampicillin concentrations and the duration of IAP prior to delivery (β=â '0.0003, 95% CI â '0.02 to 0.001, p=0.680). Conclusions Ampicillin levels reach a peak in the umbilical cord blood within 30 min of intrapartum administration. After a full loading dose, bactericidal levels persist for at least 4 hours after birth and seem independent of the duration of IAP prior to delivery.&quot;,&quot;issue&quot;:&quot;2&quot;,&quot;volume&quot;:&quot;103&quot;,&quot;container-title-short&quot;:&quot;&quot;},&quot;isTemporary&quot;:false},{&quot;id&quot;:&quot;005be057-bf39-3cab-bca6-26fb60a9d256&quot;,&quot;itemData&quot;:{&quot;type&quot;:&quot;article-journal&quot;,&quot;id&quot;:&quot;005be057-bf39-3cab-bca6-26fb60a9d256&quot;,&quot;title&quot;:&quot;Intrapartum beta-lactam antibiotics for preventing group B streptococcal early-onset disease: can we abandon the concept of ‘inadequate’ intrapartum antibiotic prophylaxis?&quot;,&quot;author&quot;:[{&quot;family&quot;:&quot;Berardi&quot;,&quot;given&quot;:&quot;Alberto&quot;,&quot;parse-names&quot;:false,&quot;dropping-particle&quot;:&quot;&quot;,&quot;non-dropping-particle&quot;:&quot;&quot;},{&quot;family&quot;:&quot;Spada&quot;,&quot;given&quot;:&quot;Caterina&quot;,&quot;parse-names&quot;:false,&quot;dropping-particle&quot;:&quot;&quot;,&quot;non-dropping-particle&quot;:&quot;&quot;},{&quot;family&quot;:&quot;Vaccina&quot;,&quot;given&quot;:&quot;Eleonora&quot;,&quot;parse-names&quot;:false,&quot;dropping-particle&quot;:&quot;&quot;,&quot;non-dropping-particle&quot;:&quot;&quot;},{&quot;family&quot;:&quot;Boncompagni&quot;,&quot;given&quot;:&quot;Alessandra&quot;,&quot;parse-names&quot;:false,&quot;dropping-particle&quot;:&quot;&quot;,&quot;non-dropping-particle&quot;:&quot;&quot;},{&quot;family&quot;:&quot;Bedetti&quot;,&quot;given&quot;:&quot;Luca&quot;,&quot;parse-names&quot;:false,&quot;dropping-particle&quot;:&quot;&quot;,&quot;non-dropping-particle&quot;:&quot;&quot;},{&quot;family&quot;:&quot;Lucaccioni&quot;,&quot;given&quot;:&quot;Laura&quot;,&quot;parse-names&quot;:false,&quot;dropping-particle&quot;:&quot;&quot;,&quot;non-dropping-particle&quot;:&quot;&quot;}],&quot;container-title&quot;:&quot;Expert Review of Anti-Infective Therapy&quot;,&quot;DOI&quot;:&quot;10.1080/14787210.2020.1697233&quot;,&quot;ISSN&quot;:&quot;17448336&quot;,&quot;PMID&quot;:&quot;31762370&quot;,&quot;URL&quot;:&quot;https://doi.org/10.1080/14787210.2020.1697233&quot;,&quot;issued&quot;:{&quot;date-parts&quot;:[[2020]]},&quot;page&quot;:&quot;37-46&quot;,&quot;abstract&quot;:&quot;Introduction: Neonatal sepsis remains a serious and potentially fatal illness. Intrapartum antibiotic prophylaxis (IAP) prevents group B streptococcal (GBS) early-onset sepsis. The optimal duration of IAP (adequate IAP) to reduce vertical transmission of GBS has been debated. Understanding the mechanism of action of IAP may help in minimizing neonatal evaluation and unnecessary antibiotic use. Areas covered: In recent years, several studies on pharmacokinetics and clinical use of IAP have been published. Although penicillin and ampicillin are the most preferred antibiotics, the clinical efficacy of non-beta-lactam antibiotics, including clindamycin and vancomycin, used in cases of penicillin anaphylaxis-associated allergy, remains debatable. This is a narrative review of the literature regarding the impact of ‘inadequate’ IAP on the clinical management of women and newborns. Expert opinion: Recent evidence suggests that ‘inadequate’ IAP with beta-lactams is more effective in preventing vertical transmission of GBS than previously thought. Newborns exposed to intrapartum beta-lactams and who are asymptomatic at birth are likely uninfected, irrespective of IAP duration before delivery. Hence, we may abandon the concept of ‘inadequate’ IAP with beta-lactams in early-onset GBS sepsis, relying primarily on clinical signs observed at birth for managing IAP-exposed neonates.&quot;,&quot;publisher&quot;:&quot;Taylor &amp; Francis&quot;,&quot;issue&quot;:&quot;1&quot;,&quot;volume&quot;:&quot;18&quot;,&quot;container-title-short&quot;:&quot;&quot;},&quot;isTemporary&quot;:false}]},{&quot;citationID&quot;:&quot;MENDELEY_CITATION_199b7387-3d68-40c0-8a25-31853a3edde4&quot;,&quot;properties&quot;:{&quot;noteIndex&quot;:0},&quot;isEdited&quot;:false,&quot;manualOverride&quot;:{&quot;isManuallyOverridden&quot;:false,&quot;citeprocText&quot;:&quot;&lt;sup&gt;204–206&lt;/sup&gt;&quot;,&quot;manualOverrideText&quot;:&quot;&quot;},&quot;citationTag&quot;:&quot;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&quot;,&quot;citationItems&quot;:[{&quot;id&quot;:&quot;98e090c7-6bf4-316f-b3ab-47d585fb07ba&quot;,&quot;itemData&quot;:{&quot;type&quot;:&quot;article-journal&quot;,&quot;id&quot;:&quot;98e090c7-6bf4-316f-b3ab-47d585fb07ba&quot;,&quot;title&quot;:&quot;Impact of maternal intrapartum antibiotics, method of birth and breastfeeding on gut microbiota during the first year of life: A prospective cohort study&quot;,&quot;author&quot;:[{&quot;family&quot;:&quot;Azad&quot;,&quot;given&quot;:&quot;M. B.&quot;,&quot;parse-names&quot;:false,&quot;dropping-particle&quot;:&quot;&quot;,&quot;non-dropping-particle&quot;:&quot;&quot;},{&quot;family&quot;:&quot;Konya&quot;,&quot;given&quot;:&quot;T.&quot;,&quot;parse-names&quot;:false,&quot;dropping-particle&quot;:&quot;&quot;,&quot;non-dropping-particle&quot;:&quot;&quot;},{&quot;family&quot;:&quot;Persaud&quot;,&quot;given&quot;:&quot;R. R.&quot;,&quot;parse-names&quot;:false,&quot;dropping-particle&quot;:&quot;&quot;,&quot;non-dropping-particle&quot;:&quot;&quot;},{&quot;family&quot;:&quot;Guttman&quot;,&quot;given&quot;:&quot;D. S.&quot;,&quot;parse-names&quot;:false,&quot;dropping-particle&quot;:&quot;&quot;,&quot;non-dropping-particle&quot;:&quot;&quot;},{&quot;family&quot;:&quot;Chari&quot;,&quot;given&quot;:&quot;R. S.&quot;,&quot;parse-names&quot;:false,&quot;dropping-particle&quot;:&quot;&quot;,&quot;non-dropping-particle&quot;:&quot;&quot;},{&quot;family&quot;:&quot;Field&quot;,&quot;given&quot;:&quot;C. J.&quot;,&quot;parse-names&quot;:false,&quot;dropping-particle&quot;:&quot;&quot;,&quot;non-dropping-particle&quot;:&quot;&quot;},{&quot;family&quot;:&quot;Sears&quot;,&quot;given&quot;:&quot;M. R.&quot;,&quot;parse-names&quot;:false,&quot;dropping-particle&quot;:&quot;&quot;,&quot;non-dropping-particle&quot;:&quot;&quot;},{&quot;family&quot;:&quot;Mandhane&quot;,&quot;given&quot;:&quot;P. J.&quot;,&quot;parse-names&quot;:false,&quot;dropping-particle&quot;:&quot;&quot;,&quot;non-dropping-particle&quot;:&quot;&quot;},{&quot;family&quot;:&quot;Turvey&quot;,&quot;given&quot;:&quot;S. E.&quot;,&quot;parse-names&quot;:false,&quot;dropping-particle&quot;:&quot;&quot;,&quot;non-dropping-particle&quot;:&quot;&quot;},{&quot;family&quot;:&quot;Subbarao&quot;,&quot;given&quot;:&quot;P.&quot;,&quot;parse-names&quot;:false,&quot;dropping-particle&quot;:&quot;&quot;,&quot;non-dropping-particle&quot;:&quot;&quot;},{&quot;family&quot;:&quot;Becker&quot;,&quot;given&quot;:&quot;A. B.&quot;,&quot;parse-names&quot;:false,&quot;dropping-particle&quot;:&quot;&quot;,&quot;non-dropping-particle&quot;:&quot;&quot;},{&quot;family&quot;:&quot;Scott&quot;,&quot;given&quot;:&quot;J. A.&quot;,&quot;parse-names&quot;:false,&quot;dropping-particle&quot;:&quot;&quot;,&quot;non-dropping-particle&quot;:&quot;&quot;},{&quot;family&quot;:&quot;Kozyrskyj&quot;,&quot;given&quot;:&quot;A. L.&quot;,&quot;parse-names&quot;:false,&quot;dropping-particle&quot;:&quot;&quot;,&quot;non-dropping-particle&quot;:&quot;&quot;}],&quot;container-title&quot;:&quot;BJOG: An International Journal of Obstetrics and Gynaecology&quot;,&quot;DOI&quot;:&quot;10.1111/1471-0528.13601&quot;,&quot;ISSN&quot;:&quot;14710528&quot;,&quot;PMID&quot;:&quot;26412384&quot;,&quot;issued&quot;:{&quot;date-parts&quot;:[[2016]]},&quot;page&quot;:&quot;983-993&quot;,&quot;abstract&quot;:&quot;Objective Dysbiosis of the infant gut microbiota may have long-term health consequences. This study aimed to determine the impact of maternal intrapartum antibiotic prophylaxis (IAP) on infant gut microbiota, and to explore whether breastfeeding modifies these effects. Design Prospective pregnancy cohort of Canadian infants born in 2010-2012: the Canadian Healthy Infant Longitudinal Development (CHILD) Study. Setting General community. Sample Representative sub-sample of 198 healthy term infants from the CHILD Study. Methods Maternal IAP exposures and birth method were documented from hospital records and breastfeeding was reported by mothers. Infant gut microbiota was characterised by Illumina 16S rRNA sequencing of faecal samples at 3 and 12 months. Main outcome measures Infant gut microbiota profiles. Results In this cohort, 21% of mothers received IAP for Group B Streptococcus prophylaxis or pre-labour rupture of membranes; another 23% received IAP for elective or emergency caesarean section (CS). Infant gut microbiota community structures at 3 months differed significantly with all IAP exposures, and differences persisted to 12 months for infants delivered by emergency CS. Taxon-specific composition also differed, with the genera Bacteroides and Parabacteroides under-represented, and Enterococcus and Clostridium over-represented at 3 months following maternal IAP. Microbiota differences were especially evident following IAP with emergency CS, with some changes (increased Clostridiales and decreased Bacteroidaceae) persisting to 12 months, particularly among non-breastfed infants. Conclusions Intrapartum antibiotics in caesarean and vaginal delivery are associated with infant gut microbiota dysbiosis, and breastfeeding modifies some of these effects. Further research is warranted to explore the health consequences of these associations. Tweetable abstract Maternal #antibiotics during childbirth alter the infant gut #microbiome.&quot;,&quot;issue&quot;:&quot;6&quot;,&quot;volume&quot;:&quot;123&quot;,&quot;container-title-short&quot;:&quot;&quot;},&quot;isTemporary&quot;:false},{&quot;id&quot;:&quot;769ccbef-19e1-36d1-8148-0fa8a223c355&quot;,&quot;itemData&quot;:{&quot;type&quot;:&quot;article-journal&quot;,&quot;id&quot;:&quot;769ccbef-19e1-36d1-8148-0fa8a223c355&quot;,&quot;title&quot;:&quot;Maternal antibiotic exposure during pregnancy and hospitalization with infection in offspring: A population-based cohort study&quot;,&quot;author&quot;:[{&quot;family&quot;:&quot;Miller&quot;,&quot;given&quot;:&quot;Jessica Eden&quot;,&quot;parse-names&quot;:false,&quot;dropping-particle&quot;:&quot;&quot;,&quot;non-dropping-particle&quot;:&quot;&quot;},{&quot;family&quot;:&quot;Wu&quot;,&quot;given&quot;:&quot;Chunsen&quot;,&quot;parse-names&quot;:false,&quot;dropping-particle&quot;:&quot;&quot;,&quot;non-dropping-particle&quot;:&quot;&quot;},{&quot;family&quot;:&quot;Pedersen&quot;,&quot;given&quot;:&quot;Lars Henning&quot;,&quot;parse-names&quot;:false,&quot;dropping-particle&quot;:&quot;&quot;,&quot;non-dropping-particle&quot;:&quot;&quot;},{&quot;family&quot;:&quot;Klerk&quot;,&quot;given&quot;:&quot;Nicholas&quot;,&quot;parse-names&quot;:false,&quot;dropping-particle&quot;:&quot;&quot;,&quot;non-dropping-particle&quot;:&quot;de&quot;},{&quot;family&quot;:&quot;Olsen&quot;,&quot;given&quot;:&quot;Jørn&quot;,&quot;parse-names&quot;:false,&quot;dropping-particle&quot;:&quot;&quot;,&quot;non-dropping-particle&quot;:&quot;&quot;},{&quot;family&quot;:&quot;Burgner&quot;,&quot;given&quot;:&quot;David P.&quot;,&quot;parse-names&quot;:false,&quot;dropping-particle&quot;:&quot;&quot;,&quot;non-dropping-particle&quot;:&quot;&quot;}],&quot;container-title&quot;:&quot;International Journal of Epidemiology&quot;,&quot;DOI&quot;:&quot;10.1093/ije/dyx272&quot;,&quot;ISSN&quot;:&quot;14643685&quot;,&quot;PMID&quot;:&quot;29415232&quot;,&quot;issued&quot;:{&quot;date-parts&quot;:[[2018]]},&quot;page&quot;:&quot;561-571&quot;,&quot;abstract&quot;:&quot;Background: The early life microbiome contributes to immune development. Antibiotics during pregnancy alter the microbiome and may influence disease risks in the offspring. We investigated the relationship between maternal antibiotic exposure before and during pregnancy, and risk of childhood hospitalization with infection. Methods: We used population-based Danish national databases for pregnancies between 1995 and 2009. Infants were followed from birth until their first infection-related hospitalization, death, 14th birthday, emigration or end-2009. Exposure was maternal antibiotics prescribed before and during pregnancy. Outcome was infection-related hospitalization. Results: 141 359 (18%) mothers had at least one antibiotic prescription during pregnancy, 230 886 (29.4% of those with complete data) in the 18 months before pregnancy. Of 776 657 live-born singletons, 443 546 infection-related hospitalizations occurred in 222 524 (28.6%) children. Pregnancy antibiotic exposure was associated with increased risk of childhood infection-related hospitalization [hazard ratio (HR) 1.18, 95% confidence interval (CI) 1.17–1.19]. In mothers prescribed antibiotics only during pregnancy whose child did not receive pre-hospitalization antibiotics, this association was present only in those born vaginally. Higher risks of infection-related hospitalization occurred when pregnancy antibiotic prescriptions were closer to birth and in mothers receiving more pregnancy antibiotics. Children born to mothers exposed to antibiotics before (but not during) pregnancy also had increased risk of infection-related hospitalization (HR 1.10, 95% CI 1.07–1.12). Conclusions: Antibiotic exposure before or during pregnancy was associated with increased risk of childhood hospitalized infections. Alteration of the maternally derived microbiome and shared heritable and environmental determinants are possible contributory mechanisms.&quot;,&quot;issue&quot;:&quot;2&quot;,&quot;volume&quot;:&quot;47&quot;,&quot;container-title-short&quot;:&quot;&quot;},&quot;isTemporary&quot;:false},{&quot;id&quot;:&quot;374a78ed-52df-38f0-8cf2-1f2a791c38b8&quot;,&quot;itemData&quot;:{&quot;type&quot;:&quot;article-journal&quot;,&quot;id&quot;:&quot;374a78ed-52df-38f0-8cf2-1f2a791c38b8&quot;,&quot;title&quot;:&quot;The influence of prenatal and intrapartum antibiotics on intestinal microbiota colonisation in infants: A systematic review&quot;,&quot;author&quot;:[{&quot;family&quot;:&quot;Dierikx&quot;,&quot;given&quot;:&quot;T. H.&quot;,&quot;parse-names&quot;:false,&quot;dropping-particle&quot;:&quot;&quot;,&quot;non-dropping-particle&quot;:&quot;&quot;},{&quot;family&quot;:&quot;Visser&quot;,&quot;given&quot;:&quot;D. H.&quot;,&quot;parse-names&quot;:false,&quot;dropping-particle&quot;:&quot;&quot;,&quot;non-dropping-particle&quot;:&quot;&quot;},{&quot;family&quot;:&quot;Benninga&quot;,&quot;given&quot;:&quot;M. A.&quot;,&quot;parse-names&quot;:false,&quot;dropping-particle&quot;:&quot;&quot;,&quot;non-dropping-particle&quot;:&quot;&quot;},{&quot;family&quot;:&quot;Kaam&quot;,&quot;given&quot;:&quot;A. H.L.C.&quot;,&quot;parse-names&quot;:false,&quot;dropping-particle&quot;:&quot;&quot;,&quot;non-dropping-particle&quot;:&quot;van&quot;},{&quot;family&quot;:&quot;Boer&quot;,&quot;given&quot;:&quot;N. K.H.&quot;,&quot;parse-names&quot;:false,&quot;dropping-particle&quot;:&quot;&quot;,&quot;non-dropping-particle&quot;:&quot;de&quot;},{&quot;family&quot;:&quot;Vries&quot;,&quot;given&quot;:&quot;R.&quot;,&quot;parse-names&quot;:false,&quot;dropping-particle&quot;:&quot;&quot;,&quot;non-dropping-particle&quot;:&quot;de&quot;},{&quot;family&quot;:&quot;Limbergen&quot;,&quot;given&quot;:&quot;J.&quot;,&quot;parse-names&quot;:false,&quot;dropping-particle&quot;:&quot;&quot;,&quot;non-dropping-particle&quot;:&quot;van&quot;},{&quot;family&quot;:&quot;Meij&quot;,&quot;given&quot;:&quot;T. G.J.&quot;,&quot;parse-names&quot;:false,&quot;dropping-particle&quot;:&quot;&quot;,&quot;non-dropping-particle&quot;:&quot;de&quot;},{&quot;family&quot;:&quot;Kaam&quot;,&quot;given&quot;:&quot;A H L C&quot;,&quot;parse-names&quot;:false,&quot;dropping-particle&quot;:&quot;van&quot;,&quot;non-dropping-particle&quot;:&quot;&quot;},{&quot;family&quot;:&quot;Boer&quot;,&quot;given&quot;:&quot;N K H&quot;,&quot;parse-names&quot;:false,&quot;dropping-particle&quot;:&quot;de&quot;,&quot;non-dropping-particle&quot;:&quot;&quot;},{&quot;family&quot;:&quot;Limbergen&quot;,&quot;given&quot;:&quot;J&quot;,&quot;parse-names&quot;:false,&quot;dropping-particle&quot;:&quot;van&quot;,&quot;non-dropping-particle&quot;:&quot;&quot;},{&quot;family&quot;:&quot;Meij&quot;,&quot;given&quot;:&quot;T G J&quot;,&quot;parse-names&quot;:false,&quot;dropping-particle&quot;:&quot;de&quot;,&quot;non-dropping-particle&quot;:&quot;&quot;}],&quot;container-title&quot;:&quot;Journal of Infection&quot;,&quot;DOI&quot;:&quot;10.1016/j.jinf.2020.05.002&quot;,&quot;ISSN&quot;:&quot;15322742&quot;,&quot;PMID&quot;:&quot;32389786&quot;,&quot;URL&quot;:&quot;https://doi.org/10.1016/j.jinf.2020.05.002&quot;,&quot;issued&quot;:{&quot;date-parts&quot;:[[2020]]},&quot;page&quot;:&quot;190-204&quot;,&quot;abstract&quot;:&quot;Objectives: The intestinal microbiota develops in early infancy and is essential for health status early and later in life. In this review we focus on the effect of prenatal and intrapartum maternally administered antibiotics on the infant intestinal microbiota. Methods: A systematic literature search was conducted in PubMed and EMBASE. All studies reporting effect on diversity or microbiota profiles were included. Results: A total of 4.030 records were encountered. A total of 24 articles were included in the final analysis. Infants from mothers exposed to antibiotics during delivery showed a decreased microbial diversity compared to non-exposed infants. The microbiota of infants exposed to antibiotics was characterised by a decreased abundance of Bacteriodetes and Bifidobacteria, with a concurrent increase of Proteobacteria. These effects were most pronounced in term vaginally born infants. Conclusion: Maternal administration of antibiotics seems to have profound effects on the infant gut microbiota colonisation. Interpretation of microbiota aberrations in specific populations, such as preterm and caesarean born infants, is complicated by multiple confounding factors and by lack of high quality studies and high heterogeneity in study design. Further research is needed to investigate the potential short- and long-term clinical consequences of these microbial alterations.&quot;,&quot;publisher&quot;:&quot;Elsevier Ltd&quot;,&quot;issue&quot;:&quot;2&quot;,&quot;volume&quot;:&quot;81&quot;,&quot;container-title-short&quot;:&quot;&quot;},&quot;isTemporary&quot;:false}]},{&quot;citationID&quot;:&quot;MENDELEY_CITATION_e9235d1c-7c7b-4a63-870d-15a93604b6aa&quot;,&quot;properties&quot;:{&quot;noteIndex&quot;:0},&quot;isEdited&quot;:false,&quot;manualOverride&quot;:{&quot;isManuallyOverridden&quot;:false,&quot;citeprocText&quot;:&quot;&lt;sup&gt;207&lt;/sup&gt;&quot;,&quot;manualOverrideText&quot;:&quot;&quot;},&quot;citationTag&quot;:&quot;MENDELEY_CITATION_v3_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&quot;,&quot;citationItems&quot;:[{&quot;id&quot;:&quot;23a84fe9-9ec5-316c-89a6-0a5751dfaa9c&quot;,&quot;itemData&quot;:{&quot;type&quot;:&quot;article-journal&quot;,&quot;id&quot;:&quot;23a84fe9-9ec5-316c-89a6-0a5751dfaa9c&quot;,&quot;title&quot;:&quot;High-throughput sequencing reveals the incomplete, short-term recovery of infant gut microbiota following parenteral antibiotic treatment with ampicillin and gentamicin&quot;,&quot;author&quot;:[{&quot;family&quot;:&quot;Fouhy&quot;,&quot;given&quot;:&quot;Fiona&quot;,&quot;parse-names&quot;:false,&quot;dropping-particle&quot;:&quot;&quot;,&quot;non-dropping-particle&quot;:&quot;&quot;},{&quot;family&quot;:&quot;Guinane&quot;,&quot;given&quot;:&quot;Caitriona M.&quot;,&quot;parse-names&quot;:false,&quot;dropping-particle&quot;:&quot;&quot;,&quot;non-dropping-particle&quot;:&quot;&quot;},{&quot;family&quot;:&quot;Hussey&quot;,&quot;given&quot;:&quot;Seamus&quot;,&quot;parse-names&quot;:false,&quot;dropping-particle&quot;:&quot;&quot;,&quot;non-dropping-particle&quot;:&quot;&quot;},{&quot;family&quot;:&quot;Wall&quot;,&quot;given&quot;:&quot;Rebecca&quot;,&quot;parse-names&quot;:false,&quot;dropping-particle&quot;:&quot;&quot;,&quot;non-dropping-particle&quot;:&quot;&quot;},{&quot;family&quot;:&quot;Ryan&quot;,&quot;given&quot;:&quot;C. Anthony&quot;,&quot;parse-names&quot;:false,&quot;dropping-particle&quot;:&quot;&quot;,&quot;non-dropping-particle&quot;:&quot;&quot;},{&quot;family&quot;:&quot;Dempsey&quot;,&quot;given&quot;:&quot;Eugene M.&quot;,&quot;parse-names&quot;:false,&quot;dropping-particle&quot;:&quot;&quot;,&quot;non-dropping-particle&quot;:&quot;&quot;},{&quot;family&quot;:&quot;Murphy&quot;,&quot;given&quot;:&quot;Brendan&quot;,&quot;parse-names&quot;:false,&quot;dropping-particle&quot;:&quot;&quot;,&quot;non-dropping-particle&quot;:&quot;&quot;},{&quot;family&quot;:&quot;Ross&quot;,&quot;given&quot;:&quot;R. Paul&quot;,&quot;parse-names&quot;:false,&quot;dropping-particle&quot;:&quot;&quot;,&quot;non-dropping-particle&quot;:&quot;&quot;},{&quot;family&quot;:&quot;Fitzgerald&quot;,&quot;given&quot;:&quot;Gerald F.&quot;,&quot;parse-names&quot;:false,&quot;dropping-particle&quot;:&quot;&quot;,&quot;non-dropping-particle&quot;:&quot;&quot;},{&quot;family&quot;:&quot;Stanton&quot;,&quot;given&quot;:&quot;Catherine&quot;,&quot;parse-names&quot;:false,&quot;dropping-particle&quot;:&quot;&quot;,&quot;non-dropping-particle&quot;:&quot;&quot;},{&quot;family&quot;:&quot;Cotter&quot;,&quot;given&quot;:&quot;Paul D.&quot;,&quot;parse-names&quot;:false,&quot;dropping-particle&quot;:&quot;&quot;,&quot;non-dropping-particle&quot;:&quot;&quot;}],&quot;container-title&quot;:&quot;Antimicrobial Agents and Chemotherapy&quot;,&quot;DOI&quot;:&quot;10.1128/AAC.00789-12&quot;,&quot;ISSN&quot;:&quot;00664804&quot;,&quot;PMID&quot;:&quot;22948872&quot;,&quot;issued&quot;:{&quot;date-parts&quot;:[[2012]]},&quot;page&quot;:&quot;5811-5820&quot;,&quot;abstract&quot;:&quot;The infant gut microbiota undergoes dramatic changes during the first 2 years of life. The acquisition and development of this population can be influenced by numerous factors, and antibiotic treatment has been suggested as one of the most significant. Despite this, however, there have been relatively few studies which have investigated the short-term recovery of the infant gut microbiota following antibiotic treatment. The aim of this study was to use high-throughput sequencing (employing both 16S rRNA and rpoB-specific primers) and quantitative PCR to compare the gut microbiota of nine infants who underwent parenteral antibiotic treatment with ampicillin and gentamicin (within 48 h of birth), 4 and 8 weeks after the conclusion of treatment, relative to that of nine matched healthy controls. The investigation revealed that the gut microbiota of the antibiotic-treated infants had significantly higher proportions of Proteobacteria (P = 0.0049) and significantly lower proportions of Actinobacteria (P = 0.00001) (and the associated genus Bifidobacterium [P = 0.0132]) as well as the genus Lactobacillus (P = 0.0182) than the untreated controls 4 weeks after the cessation of treatment. By week 8, the Proteobacteria levels remained significantly higher in the treated infants (P = 0.0049), but the Actinobacteria, Bifidobacterium, and Lactobacillus levels had recovered and were similar to those in the control samples. Despite this recovery of total Bifidobacterium numbers, rpoB-targeted pyrosequencing revealed that the number of different Bifidobacterium species present in the antibiotic-treated infants was reduced. It is thus apparent that the combined use of ampicillin and gentamicin in early life can have significant effects on the evolution of the infant gut microbiota, the long-term health implications of which remain unknown. Copyright © 2012, American Society for Microbiology. All Rights Reserved.&quot;,&quot;issue&quot;:&quot;11&quot;,&quot;volume&quot;:&quot;56&quot;,&quot;container-title-short&quot;:&quot;&quot;},&quot;isTemporary&quot;:false}]},{&quot;citationID&quot;:&quot;MENDELEY_CITATION_c919649f-38e0-4da7-a41b-eebcaa5859f7&quot;,&quot;properties&quot;:{&quot;noteIndex&quot;:0},&quot;isEdited&quot;:false,&quot;manualOverride&quot;:{&quot;isManuallyOverridden&quot;:false,&quot;citeprocText&quot;:&quot;&lt;sup&gt;208,209&lt;/sup&gt;&quot;,&quot;manualOverrideText&quot;:&quot;&quot;},&quot;citationTag&quot;:&quot;MENDELEY_CITATION_v3_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&quot;,&quot;citationItems&quot;:[{&quot;id&quot;:&quot;277c70b7-fc9d-35c3-b609-8d82be748ac4&quot;,&quot;itemData&quot;:{&quot;type&quot;:&quot;article-journal&quot;,&quot;id&quot;:&quot;277c70b7-fc9d-35c3-b609-8d82be748ac4&quot;,&quot;title&quot;:&quot;Selection and dissemination of antimicrobial resistance in Agri-food production&quot;,&quot;author&quot;:[{&quot;family&quot;:&quot;Cheng&quot;,&quot;given&quot;:&quot;Guyue&quot;,&quot;parse-names&quot;:false,&quot;dropping-particle&quot;:&quot;&quot;,&quot;non-dropping-particle&quot;:&quot;&quot;},{&quot;family&quot;:&quot;Ning&quot;,&quot;given&quot;:&quot;Jianan&quot;,&quot;parse-names&quot;:false,&quot;dropping-particle&quot;:&quot;&quot;,&quot;non-dropping-particle&quot;:&quot;&quot;},{&quot;family&quot;:&quot;Ahmed&quot;,&quot;given&quot;:&quot;Saeed&quot;,&quot;parse-names&quot;:false,&quot;dropping-particle&quot;:&quot;&quot;,&quot;non-dropping-particle&quot;:&quot;&quot;},{&quot;family&quot;:&quot;Huang&quot;,&quot;given&quot;:&quot;Junhong&quot;,&quot;parse-names&quot;:false,&quot;dropping-particle&quot;:&quot;&quot;,&quot;non-dropping-particle&quot;:&quot;&quot;},{&quot;family&quot;:&quot;Ullah&quot;,&quot;given&quot;:&quot;Rizwan&quot;,&quot;parse-names&quot;:false,&quot;dropping-particle&quot;:&quot;&quot;,&quot;non-dropping-particle&quot;:&quot;&quot;},{&quot;family&quot;:&quot;An&quot;,&quot;given&quot;:&quot;Boyu&quot;,&quot;parse-names&quot;:false,&quot;dropping-particle&quot;:&quot;&quot;,&quot;non-dropping-particle&quot;:&quot;&quot;},{&quot;family&quot;:&quot;Hao&quot;,&quot;given&quot;:&quot;Haihong&quot;,&quot;parse-names&quot;:false,&quot;dropping-particle&quot;:&quot;&quot;,&quot;non-dropping-particle&quot;:&quot;&quot;},{&quot;family&quot;:&quot;Dai&quot;,&quot;given&quot;:&quot;Menghong&quot;,&quot;parse-names&quot;:false,&quot;dropping-particle&quot;:&quot;&quot;,&quot;non-dropping-particle&quot;:&quot;&quot;},{&quot;family&quot;:&quot;Huang&quot;,&quot;given&quot;:&quot;Lingli&quot;,&quot;parse-names&quot;:false,&quot;dropping-particle&quot;:&quot;&quot;,&quot;non-dropping-particle&quot;:&quot;&quot;},{&quot;family&quot;:&quot;Wang&quot;,&quot;given&quot;:&quot;Xu&quot;,&quot;parse-names&quot;:false,&quot;dropping-particle&quot;:&quot;&quot;,&quot;non-dropping-particle&quot;:&quot;&quot;},{&quot;family&quot;:&quot;Yuan&quot;,&quot;given&quot;:&quot;Zonghui&quot;,&quot;parse-names&quot;:false,&quot;dropping-particle&quot;:&quot;&quot;,&quot;non-dropping-particle&quot;:&quot;&quot;}],&quot;issued&quot;:{&quot;date-parts&quot;:[[2019]]},&quot;page&quot;:&quot;1-13&quot;,&quot;publisher&quot;:&quot;Antimicrobial Resistance &amp; Infection Control&quot;,&quot;volume&quot;:&quot;2&quot;,&quot;container-title-short&quot;:&quot;&quot;},&quot;isTemporary&quot;:false},{&quot;id&quot;:&quot;5986d320-9c41-386b-9843-9130be271570&quot;,&quot;itemData&quot;:{&quot;type&quot;:&quot;article-journal&quot;,&quot;id&quot;:&quot;5986d320-9c41-386b-9843-9130be271570&quot;,&quot;title&quot;:&quot;Selection of resistance by antimicrobial coatings in the healthcare setting&quot;,&quot;author&quot;:[{&quot;family&quot;:&quot;Pietsch&quot;,&quot;given&quot;:&quot;F&quot;,&quot;parse-names&quot;:false,&quot;dropping-particle&quot;:&quot;&quot;,&quot;non-dropping-particle&quot;:&quot;&quot;},{&quot;family&quot;:&quot;Neill&quot;,&quot;given&quot;:&quot;A J O&quot;,&quot;parse-names&quot;:false,&quot;dropping-particle&quot;:&quot;&quot;,&quot;non-dropping-particle&quot;:&quot;&quot;},{&quot;family&quot;:&quot;Ivask&quot;,&quot;given&quot;:&quot;A&quot;,&quot;parse-names&quot;:false,&quot;dropping-particle&quot;:&quot;&quot;,&quot;non-dropping-particle&quot;:&quot;&quot;},{&quot;family&quot;:&quot;Jenssen&quot;,&quot;given&quot;:&quot;H&quot;,&quot;parse-names&quot;:false,&quot;dropping-particle&quot;:&quot;&quot;,&quot;non-dropping-particle&quot;:&quot;&quot;},{&quot;family&quot;:&quot;Inkinen&quot;,&quot;given&quot;:&quot;J&quot;,&quot;parse-names&quot;:false,&quot;dropping-particle&quot;:&quot;&quot;,&quot;non-dropping-particle&quot;:&quot;&quot;},{&quot;family&quot;:&quot;Kahru&quot;,&quot;given&quot;:&quot;A&quot;,&quot;parse-names&quot;:false,&quot;dropping-particle&quot;:&quot;&quot;,&quot;non-dropping-particle&quot;:&quot;&quot;},{&quot;family&quot;:&quot;Ahonen&quot;,&quot;given&quot;:&quot;M&quot;,&quot;parse-names&quot;:false,&quot;dropping-particle&quot;:&quot;&quot;,&quot;non-dropping-particle&quot;:&quot;&quot;},{&quot;family&quot;:&quot;Schreiber&quot;,&quot;given&quot;:&quot;F&quot;,&quot;parse-names&quot;:false,&quot;dropping-particle&quot;:&quot;&quot;,&quot;non-dropping-particle&quot;:&quot;&quot;}],&quot;container-title&quot;:&quot;Journal of Hospital Infection&quot;,&quot;DOI&quot;:&quot;10.1016/j.jhin.2020.06.006&quot;,&quot;ISSN&quot;:&quot;0195-6701&quot;,&quot;URL&quot;:&quot;https://doi.org/10.1016/j.jhin.2020.06.006&quot;,&quot;issued&quot;:{&quot;date-parts&quot;:[[2020]]},&quot;page&quot;:&quot;115-125&quot;,&quot;publisher&quot;:&quot;Elsevier Ltd&quot;,&quot;issue&quot;:&quot;1&quot;,&quot;volume&quot;:&quot;106&quot;,&quot;container-title-short&quot;:&quot;&quot;},&quot;isTemporary&quot;:false}]},{&quot;citationID&quot;:&quot;MENDELEY_CITATION_3c851b03-6513-4fe7-9749-cadccb7926f0&quot;,&quot;properties&quot;:{&quot;noteIndex&quot;:0},&quot;isEdited&quot;:false,&quot;manualOverride&quot;:{&quot;isManuallyOverridden&quot;:false,&quot;citeprocText&quot;:&quot;&lt;sup&gt;210–214&lt;/sup&gt;&quot;,&quot;manualOverrideText&quot;:&quot;&quot;},&quot;citationTag&quot;:&quot;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&quot;,&quot;citationItems&quot;:[{&quot;id&quot;:&quot;7440cb0f-92a2-37a2-8b92-4c63e23f1862&quot;,&quot;itemData&quot;:{&quot;type&quot;:&quot;article-journal&quot;,&quot;id&quot;:&quot;7440cb0f-92a2-37a2-8b92-4c63e23f1862&quot;,&quot;title&quot;:&quot;Extended-spectrum β-lactamase characterisation and heavy metal resistance of Enterobacteriaceae strains isolated from hospital environmental surfaces&quot;,&quot;author&quot;:[{&quot;family&quot;:&quot;Touati&quot;,&quot;given&quot;:&quot;A.&quot;,&quot;parse-names&quot;:false,&quot;dropping-particle&quot;:&quot;&quot;,&quot;non-dropping-particle&quot;:&quot;&quot;},{&quot;family&quot;:&quot;Zenati&quot;,&quot;given&quot;:&quot;K.&quot;,&quot;parse-names&quot;:false,&quot;dropping-particle&quot;:&quot;&quot;,&quot;non-dropping-particle&quot;:&quot;&quot;},{&quot;family&quot;:&quot;Brasme&quot;,&quot;given&quot;:&quot;L.&quot;,&quot;parse-names&quot;:false,&quot;dropping-particle&quot;:&quot;&quot;,&quot;non-dropping-particle&quot;:&quot;&quot;},{&quot;family&quot;:&quot;Benallaoua&quot;,&quot;given&quot;:&quot;S.&quot;,&quot;parse-names&quot;:false,&quot;dropping-particle&quot;:&quot;&quot;,&quot;non-dropping-particle&quot;:&quot;&quot;},{&quot;family&quot;:&quot;Champs&quot;,&quot;given&quot;:&quot;C.&quot;,&quot;parse-names&quot;:false,&quot;dropping-particle&quot;:&quot;&quot;,&quot;non-dropping-particle&quot;:&quot;de&quot;}],&quot;container-title&quot;:&quot;Journal of Hospital Infection&quot;,&quot;DOI&quot;:&quot;10.1016/j.jhin.2010.01.001&quot;,&quot;ISSN&quot;:&quot;01956701&quot;,&quot;PMID&quot;:&quot;20227789&quot;,&quot;URL&quot;:&quot;http://dx.doi.org/10.1016/j.jhin.2010.01.001&quot;,&quot;issued&quot;:{&quot;date-parts&quot;:[[2010]]},&quot;page&quot;:&quot;78-79&quot;,&quot;publisher&quot;:&quot;The Hospital Infection Society&quot;,&quot;issue&quot;:&quot;1&quot;,&quot;volume&quot;:&quot;75&quot;,&quot;container-title-short&quot;:&quot;&quot;},&quot;isTemporary&quot;:false},{&quot;id&quot;:&quot;60b99946-7e98-3569-94fc-28942e18e4fa&quot;,&quot;itemData&quot;:{&quot;type&quot;:&quot;article-journal&quot;,&quot;id&quot;:&quot;60b99946-7e98-3569-94fc-28942e18e4fa&quot;,&quot;title&quot;:&quot;Metal tolerance in emerging clinically relevant multidrug-resistant Salmonella enterica serotype 4,[5],12:i:- clones circulating in Europe&quot;,&quot;author&quot;:[{&quot;family&quot;:&quot;Mourão&quot;,&quot;given&quot;:&quot;Joana&quot;,&quot;parse-names&quot;:false,&quot;dropping-particle&quot;:&quot;&quot;,&quot;non-dropping-particle&quot;:&quot;&quot;},{&quot;family&quot;:&quot;Novais&quot;,&quot;given&quot;:&quot;Carla&quot;,&quot;parse-names&quot;:false,&quot;dropping-particle&quot;:&quot;&quot;,&quot;non-dropping-particle&quot;:&quot;&quot;},{&quot;family&quot;:&quot;Machado&quot;,&quot;given&quot;:&quot;Jorge&quot;,&quot;parse-names&quot;:false,&quot;dropping-particle&quot;:&quot;&quot;,&quot;non-dropping-particle&quot;:&quot;&quot;},{&quot;family&quot;:&quot;Peixe&quot;,&quot;given&quot;:&quot;Luísa&quot;,&quot;parse-names&quot;:false,&quot;dropping-particle&quot;:&quot;&quot;,&quot;non-dropping-particle&quot;:&quot;&quot;},{&quot;family&quot;:&quot;Antunes&quot;,&quot;given&quot;:&quot;Patrícia&quot;,&quot;parse-names&quot;:false,&quot;dropping-particle&quot;:&quot;&quot;,&quot;non-dropping-particle&quot;:&quot;&quot;}],&quot;container-title&quot;:&quot;International Journal of Antimicrobial Agents&quot;,&quot;DOI&quot;:&quot;10.1016/j.ijantimicag.2015.01.013&quot;,&quot;ISSN&quot;:&quot;18727913&quot;,&quot;PMID&quot;:&quot;25816978&quot;,&quot;URL&quot;:&quot;http://dx.doi.org/10.1016/j.ijantimicag.2015.01.013&quot;,&quot;issued&quot;:{&quot;date-parts&quot;:[[2015]]},&quot;page&quot;:&quot;610-616&quot;,&quot;abstract&quot;:&quot;The occurrence of acquired metal tolerance genes in emerging MDR Salmonella enterica serotype 4,[5],12:i:- clones was assessed and their associated platforms and tolerance phenotype were characterised. Salmonella 4,[5],12:i:- from different sources belonging to European, Spanish and Southern European clones were studied. Screening for copper (pcoA-pcoD/tcrB), silver/copper (silA-silE), mercury (merA), arsenic (arsB) and tellurite (terF) tolerance genes was performed by PCR/sequencing. CuSO4/AgNO3 MICs were determined in aerobic/anaerobic atmospheres by agar dilution. Conjugation assays, genomic location and plasmid analysis were performed by standard procedures. Most isolates from European (98%) and Spanish (74%) clones carried silA-silE, contrasting with the Southern European clone (26%). merA/62% (European and Spanish clones) and pcoA-pcoD/50% (European clone) were also detected. merA ± pco + sil were chromosomally located in the European clone, whereas in Spanish and Southern European clones sil ± merA were within plasmids, both with antibiotic resistance genes. The pcoA-pcoD/silA-silE+ isolates showed higher MICCuSO4 in anaerobiosis than those without these genes (MIC50 = 24-28 vs. 2 mM). Different MICAgNO3 of silA-silE+ (MIC50 = 0.25 mM) and silA-silE-(MIC50 = 0.16 mM) isolates were observed in both atmospheres, with an MIC increment after prior exposure to silver (&gt;3 vs. 0.08-0.125 mM) in aerobiosis. A high frequency of copper and silver tolerance, particularly among the two major Salmonella 4,[5],12:i:- MDR clones (European/Spanish) circulating in Europe and causing human infections, might facilitate adaptation/expansion of these strains in metal-contaminated environments, particularly copper in anaerobiosis. Furthermore, metal toxic concentrations in food-animal environments can contribute to persistence of genetic platforms carrying metal/antibiotic resistance genes in this foodborne zoonotic pathogen.&quot;,&quot;publisher&quot;:&quot;Elsevier B.V.&quot;,&quot;issue&quot;:&quot;6&quot;,&quot;volume&quot;:&quot;45&quot;,&quot;container-title-short&quot;:&quot;&quot;},&quot;isTemporary&quot;:false},{&quot;id&quot;:&quot;809b00e5-7335-39fc-8d1a-416fb013da97&quot;,&quot;itemData&quot;:{&quot;type&quot;:&quot;article-journal&quot;,&quot;id&quot;:&quot;809b00e5-7335-39fc-8d1a-416fb013da97&quot;,&quot;title&quot;:&quot;Novel erm(T)-carrying multiresistance plasmids from porcine and human isolates of methicillin-resistant Staphylococcus aureus ST398 that also harbor cadmium and copper resistance determinants&quot;,&quot;author&quot;:[{&quot;family&quot;:&quot;Gómez-Sanz&quot;,&quot;given&quot;:&quot;Elena&quot;,&quot;parse-names&quot;:false,&quot;dropping-particle&quot;:&quot;&quot;,&quot;non-dropping-particle&quot;:&quot;&quot;},{&quot;family&quot;:&quot;Kadlec&quot;,&quot;given&quot;:&quot;Kristina&quot;,&quot;parse-names&quot;:false,&quot;dropping-particle&quot;:&quot;&quot;,&quot;non-dropping-particle&quot;:&quot;&quot;},{&quot;family&quot;:&quot;Feßler&quot;,&quot;given&quot;:&quot;Andrea T.&quot;,&quot;parse-names&quot;:false,&quot;dropping-particle&quot;:&quot;&quot;,&quot;non-dropping-particle&quot;:&quot;&quot;},{&quot;family&quot;:&quot;Zarazaga&quot;,&quot;given&quot;:&quot;Myriam&quot;,&quot;parse-names&quot;:false,&quot;dropping-particle&quot;:&quot;&quot;,&quot;non-dropping-particle&quot;:&quot;&quot;},{&quot;family&quot;:&quot;Torres&quot;,&quot;given&quot;:&quot;Carmen&quot;,&quot;parse-names&quot;:false,&quot;dropping-particle&quot;:&quot;&quot;,&quot;non-dropping-particle&quot;:&quot;&quot;},{&quot;family&quot;:&quot;Schwarz&quot;,&quot;given&quot;:&quot;Stefan&quot;,&quot;parse-names&quot;:false,&quot;dropping-particle&quot;:&quot;&quot;,&quot;non-dropping-particle&quot;:&quot;&quot;}],&quot;container-title&quot;:&quot;Antimicrobial Agents and Chemotherapy&quot;,&quot;DOI&quot;:&quot;10.1128/AAC.00171-13&quot;,&quot;ISSN&quot;:&quot;00664804&quot;,&quot;PMID&quot;:&quot;23629701&quot;,&quot;issued&quot;:{&quot;date-parts&quot;:[[2013]]},&quot;page&quot;:&quot;3275-3282&quot;,&quot;abstract&quot;:&quot;This study describes three novel erm(T)-carrying multiresistance plasmids that also harbor cadmium and copper resistance determinants. The plasmids, designated pUR1902, pUR2940, and pUR2941, were obtained from porcine and human methicillinresistant Staphylococcus aureus (MRSA) of the clonal lineage ST398. In addition to the macrolide-lincosamide-streptogramin B (MLSB) resistance gene erm(T), all three plasmids also carry the tetracycline resistance gene tet(L). Furthermore, plasmid pUR2940 harbors the trimethoprim resistance gene dfrK and the MLSB resistance gene erm(C), while plasmids pUR1902 and pUR2941 possess the kanamycin/neomycin resistance gene aadD. Sequence analysis of approximately 18.1 kb of the erm(T)-flanking region from pUR1902, 20.0 kb from pUR2940, and 20.8 kb from pUR2941 revealed the presence of several copies of the recently described insertion sequence ISSau10, which is probably involved in the evolution of the respective plasmids. All plasmids carried a functional cadmium resistance operon with the genes cadD and cadX, in addition to the multicopper oxidase gene mco and the ATPase copper transport gene copA, which are involved in copper resistance. The comparative analysis of S. aureus RN4220 and the three S. aureus RN4220 transformants carrying plasmid pUR1902, pUR2940, or pUR2941 revealed an 8-fold increase in CdSO4 and a 2-fold increase in CuSO4 MICs. The emergence of multidrug resistance plasmids that also carry heavy metal resistance genes is alarming and requires further surveillance. The colocalization of antimicrobial resistance genes and genes that confer resistance to heavy metals may facilitate their persistence, coselection, and dissemination. Copyright © 2013, American Society for Microbiology.&quot;,&quot;issue&quot;:&quot;7&quot;,&quot;volume&quot;:&quot;57&quot;,&quot;container-title-short&quot;:&quot;&quot;},&quot;isTemporary&quot;:false},{&quot;id&quot;:&quot;72db8738-61f2-3007-ba84-8e1c6e4b35d2&quot;,&quot;itemData&quot;:{&quot;type&quot;:&quot;article-journal&quot;,&quot;id&quot;:&quot;72db8738-61f2-3007-ba84-8e1c6e4b35d2&quot;,&quot;title&quot;:&quot;Copper resistance in Enterococcus faecium, mediated by the tcrB gene, is selected by supplementation of pig feed with copper sulfate&quot;,&quot;author&quot;:[{&quot;family&quot;:&quot;Hasman&quot;,&quot;given&quot;:&quot;Henrik&quot;,&quot;parse-names&quot;:false,&quot;dropping-particle&quot;:&quot;&quot;,&quot;non-dropping-particle&quot;:&quot;&quot;},{&quot;family&quot;:&quot;Kempf&quot;,&quot;given&quot;:&quot;Isabelle&quot;,&quot;parse-names&quot;:false,&quot;dropping-particle&quot;:&quot;&quot;,&quot;non-dropping-particle&quot;:&quot;&quot;},{&quot;family&quot;:&quot;Chidaine&quot;,&quot;given&quot;:&quot;Bérangère&quot;,&quot;parse-names&quot;:false,&quot;dropping-particle&quot;:&quot;&quot;,&quot;non-dropping-particle&quot;:&quot;&quot;},{&quot;family&quot;:&quot;Cariolet&quot;,&quot;given&quot;:&quot;Roland&quot;,&quot;parse-names&quot;:false,&quot;dropping-particle&quot;:&quot;&quot;,&quot;non-dropping-particle&quot;:&quot;&quot;},{&quot;family&quot;:&quot;Ersbøll&quot;,&quot;given&quot;:&quot;Annette Kjær&quot;,&quot;parse-names&quot;:false,&quot;dropping-particle&quot;:&quot;&quot;,&quot;non-dropping-particle&quot;:&quot;&quot;},{&quot;family&quot;:&quot;Houe&quot;,&quot;given&quot;:&quot;Hans&quot;,&quot;parse-names&quot;:false,&quot;dropping-particle&quot;:&quot;&quot;,&quot;non-dropping-particle&quot;:&quot;&quot;},{&quot;family&quot;:&quot;Hansen&quot;,&quot;given&quot;:&quot;Hans Christian Bruun&quot;,&quot;parse-names&quot;:false,&quot;dropping-particle&quot;:&quot;&quot;,&quot;non-dropping-particle&quot;:&quot;&quot;},{&quot;family&quot;:&quot;Aarestrup&quot;,&quot;given&quot;:&quot;Frank Møller&quot;,&quot;parse-names&quot;:false,&quot;dropping-particle&quot;:&quot;&quot;,&quot;non-dropping-particle&quot;:&quot;&quot;}],&quot;container-title&quot;:&quot;Applied and Environmental Microbiology&quot;,&quot;DOI&quot;:&quot;10.1128/AEM.02979-05&quot;,&quot;ISSN&quot;:&quot;00992240&quot;,&quot;PMID&quot;:&quot;16957194&quot;,&quot;issued&quot;:{&quot;date-parts&quot;:[[2006]]},&quot;page&quot;:&quot;5784-5789&quot;,&quot;abstract&quot;:&quot;The tcr gene cluster mediates in vitro copper resistance in Enterococcus faecium. Here we describe the selection of tcr-mediated copper resistance in E. faecium in an animal feeding experiment with young pigs fed 175 mg copper/kg feed (ppm), which is the concentration commonly used for piglets in European pig production. tcr-mediated copper resistance was not selected for in a control group fed low levels of copper (6 ppm). We also show coselection of macrolide- and glycopeptide-resistant E. faecium in the animal group fed the high level of copper. Finally, we identify the tcr genes in the enterococcal species E. mundtii, E. casseliflavus, and E. gallinarum for the first time. Copyright © 2006, American Society for Microbiology. All Rights Reserved.&quot;,&quot;issue&quot;:&quot;9&quot;,&quot;volume&quot;:&quot;72&quot;,&quot;container-title-short&quot;:&quot;&quot;},&quot;isTemporary&quot;:false},{&quot;id&quot;:&quot;618fe539-f8ac-3b62-b8be-3aeeaf71fc61&quot;,&quot;itemData&quot;:{&quot;type&quot;:&quot;article-journal&quot;,&quot;id&quot;:&quot;618fe539-f8ac-3b62-b8be-3aeeaf71fc61&quot;,&quot;title&quot;:&quot;tcrb, a gene conferring transferable copper resistance in Enterococcus faecium: Occurrence, transferability, and linkage to macrolide and glycopeptide resistance&quot;,&quot;author&quot;:[{&quot;family&quot;:&quot;Hasman&quot;,&quot;given&quot;:&quot;Henrik&quot;,&quot;parse-names&quot;:false,&quot;dropping-particle&quot;:&quot;&quot;,&quot;non-dropping-particle&quot;:&quot;&quot;},{&quot;family&quot;:&quot;Aarestrup&quot;,&quot;given&quot;:&quot;Frank M.&quot;,&quot;parse-names&quot;:false,&quot;dropping-particle&quot;:&quot;&quot;,&quot;non-dropping-particle&quot;:&quot;&quot;}],&quot;container-title&quot;:&quot;Antimicrobial Agents and Chemotherapy&quot;,&quot;DOI&quot;:&quot;10.1128/AAC.46.5.1410-1416.2002&quot;,&quot;ISSN&quot;:&quot;00664804&quot;,&quot;PMID&quot;:&quot;11959576&quot;,&quot;issued&quot;:{&quot;date-parts&quot;:[[2002]]},&quot;page&quot;:&quot;1410-1416&quot;,&quot;abstract&quot;:&quot;A newly discovered gene, designated tcrB, which is located on a conjugative plasmid conferring acquired copper resistance in Enterococcus faecium, was identified in an isolate from a pig. The tcrB gene encodes a putative protein belonging to the CPx-type ATPase family with homology (46%) to the CopB protein from Enterococcus hirae. The tcrB gene was found in E. faecium isolated from pigs (75%), broilers (34%), calves (16%), and humans (10%) but not in isolates from sheep. Resistant isolates, containing the tcrB gene, grew on brain heart infusion agar plates containing up to 28 mM CuSO4 compared to only 4 mM for the susceptible isolates. Copper resistance, and therefore the presence of the tcrB gene, was strongly correlated to macrolide and glycopeptide resistance in isolates from pigs, and the tcrB gene was shown to be located on the same conjugative plasmid as the genes responsible for resistance to these two antimicrobial agents. The frequent occurrence of this new copper resistance gene in isolates from pigs, where copper sulfate is being used in large amounts as feed additive, suggests that the use of copper has selected for resistance.&quot;,&quot;issue&quot;:&quot;5&quot;,&quot;volume&quot;:&quot;46&quot;,&quot;container-title-short&quot;:&quot;&quot;},&quot;isTemporary&quot;:false}]},{&quot;citationID&quot;:&quot;MENDELEY_CITATION_eaf36fe1-00c6-4f51-8e53-51f4d349ba7d&quot;,&quot;properties&quot;:{&quot;noteIndex&quot;:0},&quot;isEdited&quot;:false,&quot;manualOverride&quot;:{&quot;isManuallyOverridden&quot;:false,&quot;citeprocText&quot;:&quot;&lt;sup&gt;215&lt;/sup&gt;&quot;,&quot;manualOverrideText&quot;:&quot;&quot;},&quot;citationTag&quot;:&quot;MENDELEY_CITATION_v3_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&quot;,&quot;citationItems&quot;:[{&quot;id&quot;:&quot;92b0b01e-edc7-3c94-a504-a53156fa8b2c&quot;,&quot;itemData&quot;:{&quot;type&quot;:&quot;article-journal&quot;,&quot;id&quot;:&quot;92b0b01e-edc7-3c94-a504-a53156fa8b2c&quot;,&quot;title&quot;:&quot;Heavy Metal Resistance Genes Are Associated with blaNDM-1- and blaCTX-M-15-Carrying Enterobacteriaceae&quot;,&quot;author&quot;:[{&quot;family&quot;:&quot;Yang&quot;,&quot;given&quot;:&quot;Qiu E&quot;,&quot;parse-names&quot;:false,&quot;dropping-particle&quot;:&quot;&quot;,&quot;non-dropping-particle&quot;:&quot;&quot;},{&quot;family&quot;:&quot;Agouri&quot;,&quot;given&quot;:&quot;Rajab&quot;,&quot;parse-names&quot;:false,&quot;dropping-particle&quot;:&quot;&quot;,&quot;non-dropping-particle&quot;:&quot;&quot;},{&quot;family&quot;:&quot;Tyrrell&quot;,&quot;given&quot;:&quot;Mark&quot;,&quot;parse-names&quot;:false,&quot;dropping-particle&quot;:&quot;&quot;,&quot;non-dropping-particle&quot;:&quot;&quot;},{&quot;family&quot;:&quot;Walsh&quot;,&quot;given&quot;:&quot;Rutland&quot;,&quot;parse-names&quot;:false,&quot;dropping-particle&quot;:&quot;&quot;,&quot;non-dropping-particle&quot;:&quot;&quot;}],&quot;container-title&quot;:&quot;Antimicrobial Agents and Chemotherapy&quot;,&quot;issued&quot;:{&quot;date-parts&quot;:[[2018]]},&quot;page&quot;:&quot;e02642-17&quot;,&quot;issue&quot;:&quot;5&quot;,&quot;volume&quot;:&quot;62&quot;,&quot;container-title-short&quot;:&quot;&quot;},&quot;isTemporary&quot;:false}]},{&quot;citationID&quot;:&quot;MENDELEY_CITATION_f754654c-f41e-48fd-952f-170969e4e98d&quot;,&quot;properties&quot;:{&quot;noteIndex&quot;:0},&quot;isEdited&quot;:false,&quot;manualOverride&quot;:{&quot;isManuallyOverridden&quot;:false,&quot;citeprocText&quot;:&quot;&lt;sup&gt;216,217&lt;/sup&gt;&quot;,&quot;manualOverrideText&quot;:&quot;&quot;},&quot;citationTag&quot;:&quot;MENDELEY_CITATION_v3_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&quot;,&quot;citationItems&quot;:[{&quot;id&quot;:&quot;4cf58dbb-4958-3e54-8f0b-ccbdabd6d57a&quot;,&quot;itemData&quot;:{&quot;type&quot;:&quot;article-journal&quot;,&quot;id&quot;:&quot;4cf58dbb-4958-3e54-8f0b-ccbdabd6d57a&quot;,&quot;title&quot;:&quot;Metal limitation and toxicity at the interface between host and pathogen&quot;,&quot;author&quot;:[{&quot;family&quot;:&quot;Becker&quot;,&quot;given&quot;:&quot;Kyle W.&quot;,&quot;parse-names&quot;:false,&quot;dropping-particle&quot;:&quot;&quot;,&quot;non-dropping-particle&quot;:&quot;&quot;},{&quot;family&quot;:&quot;Skaar&quot;,&quot;given&quot;:&quot;Eric P.&quot;,&quot;parse-names&quot;:false,&quot;dropping-particle&quot;:&quot;&quot;,&quot;non-dropping-particle&quot;:&quot;&quot;}],&quot;container-title&quot;:&quot;FEMS Microbiology Reviews&quot;,&quot;DOI&quot;:&quot;10.1111/1574-6976.12087&quot;,&quot;ISSN&quot;:&quot;15746976&quot;,&quot;PMID&quot;:&quot;25211180&quot;,&quot;issued&quot;:{&quot;date-parts&quot;:[[2014]]},&quot;page&quot;:&quot;1235-1249&quot;,&quot;abstract&quot;:&quot;Metals are required cofactors for numerous fundamental processes that are essential to both pathogen and host. They are coordinated in enzymes responsible for DNA replication and transcription, relief from oxidative stress, and cellular respiration. However, excess transition metals can be toxic due to their ability to cause spontaneous, redox cycling and disrupt normal metabolic processes. Vertebrates have evolved intricate mechanisms to limit the availability of some crucial metals while concurrently flooding sites of infection with antimicrobial concentrations of other metals. To compete for limited metal within the host while simultaneously preventing metal toxicity, pathogens have developed a series of metal regulatory, acquisition, and efflux systems. This review will cover the mechanisms by which pathogenic bacteria recognize and respond to host-induced metal scarcity and toxicity.&quot;,&quot;issue&quot;:&quot;6&quot;,&quot;volume&quot;:&quot;38&quot;,&quot;container-title-short&quot;:&quot;&quot;},&quot;isTemporary&quot;:false},{&quot;id&quot;:&quot;2ea875c3-b812-3bfa-9541-0bdd69d889e8&quot;,&quot;itemData&quot;:{&quot;type&quot;:&quot;article-journal&quot;,&quot;id&quot;:&quot;2ea875c3-b812-3bfa-9541-0bdd69d889e8&quot;,&quot;title&quot;:&quot;The role of copper and zinc toxicity in innate immune defense against bacterial pathogens&quot;,&quot;author&quot;:[{&quot;family&quot;:&quot;Djoko&quot;,&quot;given&quot;:&quot;Karrera Y.&quot;,&quot;parse-names&quot;:false,&quot;dropping-particle&quot;:&quot;&quot;,&quot;non-dropping-particle&quot;:&quot;&quot;},{&quot;family&quot;:&quot;Y. Ong&quot;,&quot;given&quot;:&quot;Cheryl Lynn&quot;,&quot;parse-names&quot;:false,&quot;dropping-particle&quot;:&quot;&quot;,&quot;non-dropping-particle&quot;:&quot;&quot;},{&quot;family&quot;:&quot;Walker&quot;,&quot;given&quot;:&quot;Mark J.&quot;,&quot;parse-names&quot;:false,&quot;dropping-particle&quot;:&quot;&quot;,&quot;non-dropping-particle&quot;:&quot;&quot;},{&quot;family&quot;:&quot;McEwan&quot;,&quot;given&quot;:&quot;Alastair G.&quot;,&quot;parse-names&quot;:false,&quot;dropping-particle&quot;:&quot;&quot;,&quot;non-dropping-particle&quot;:&quot;&quot;}],&quot;container-title&quot;:&quot;Journal of Biological Chemistry&quot;,&quot;DOI&quot;:&quot;10.1074/jbc.R115.647099&quot;,&quot;ISSN&quot;:&quot;1083351X&quot;,&quot;PMID&quot;:&quot;26055706&quot;,&quot;URL&quot;:&quot;http://dx.doi.org/10.1074/jbc.R115.647099&quot;,&quot;issued&quot;:{&quot;date-parts&quot;:[[2015]]},&quot;page&quot;:&quot;1854-1861&quot;,&quot;abstract&quot;:&quot;Zinc (Zn) and copper (Cu) are essential for optimal innate immune function, and nutritional deficiency in either metal leads to increased susceptibility to bacterial infection. Recently, the decreased survival of bacterial pathogens with impaired Cu and/or Zn detoxification systems in phagocytes and animal models of infection has been reported. Consequently, a model has emerged in which the host utilizes Cu and/or Zn intoxication to reduce the intracellular survival of pathogens. This review describes and assesses the potential role for Cu and Zn intoxication in innate immune function and their direct bactericidal function.&quot;,&quot;publisher&quot;:&quot;Â© 2015 ASBMB. Currently published by Elsevier Inc; originally published by American Society for Biochemistry and Molecular Biology.&quot;,&quot;issue&quot;:&quot;31&quot;,&quot;volume&quot;:&quot;290&quot;,&quot;container-title-short&quot;:&quot;&quot;},&quot;isTemporary&quot;:false}]},{&quot;citationID&quot;:&quot;MENDELEY_CITATION_0d40082c-ad96-4ce7-a639-1620e090e911&quot;,&quot;properties&quot;:{&quot;noteIndex&quot;:0},&quot;isEdited&quot;:false,&quot;manualOverride&quot;:{&quot;isManuallyOverridden&quot;:false,&quot;citeprocText&quot;:&quot;&lt;sup&gt;218,219&lt;/sup&gt;&quot;,&quot;manualOverrideText&quot;:&quot;&quot;},&quot;citationTag&quot;:&quot;MENDELEY_CITATION_v3_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&quot;,&quot;citationItems&quot;:[{&quot;id&quot;:&quot;4a1ea569-cd09-37a2-95df-cc4c8e69aa83&quot;,&quot;itemData&quot;:{&quot;type&quot;:&quot;article-journal&quot;,&quot;id&quot;:&quot;4a1ea569-cd09-37a2-95df-cc4c8e69aa83&quot;,&quot;title&quot;:&quot;Bacterial manganese sensing and homeostasis&quot;,&quot;author&quot;:[{&quot;family&quot;:&quot;Waters&quot;,&quot;given&quot;:&quot;Lauren S.&quot;,&quot;parse-names&quot;:false,&quot;dropping-particle&quot;:&quot;&quot;,&quot;non-dropping-particle&quot;:&quot;&quot;}],&quot;container-title&quot;:&quot;Current Opinion in Chemical Biology&quot;,&quot;DOI&quot;:&quot;10.1016/j.cbpa.2020.01.003&quot;,&quot;ISSN&quot;:&quot;18790402&quot;,&quot;PMID&quot;:&quot;32086169&quot;,&quot;URL&quot;:&quot;https://doi.org/10.1016/j.cbpa.2020.01.003&quot;,&quot;issued&quot;:{&quot;date-parts&quot;:[[2020]]},&quot;page&quot;:&quot;96-102&quot;,&quot;abstract&quot;:&quot;Manganese (Mn) plays a complex role in the survival of pathogenic and symbiotic bacteria in eukaryotic hosts and is also important for free-living bacteria to thrive in stressful environments. This review summarizes new aspects of regulatory strategies to control intracellular Mn levels and gives an overview of several newly identified families of bacterial Mn transporters. Recent illustrative examples of advances in quantification of intracellular Mn pools and characterization of the effects of Mn perturbations are highlighted. These discoveries help define mechanisms of Mn selectivity and toxicity and could enable new strategies to combat pathogenic bacteria and promote growth of desirable bacteria.&quot;,&quot;publisher&quot;:&quot;Elsevier Ltd&quot;,&quot;volume&quot;:&quot;55&quot;,&quot;container-title-short&quot;:&quot;&quot;},&quot;isTemporary&quot;:false},{&quot;id&quot;:&quot;acb60f0a-4c22-3b41-8326-393f744fd015&quot;,&quot;itemData&quot;:{&quot;type&quot;:&quot;article-journal&quot;,&quot;id&quot;:&quot;acb60f0a-4c22-3b41-8326-393f744fd015&quot;,&quot;title&quot;:&quot;Antimicrobial activity of metals: Mechanisms, molecular targets and applications&quot;,&quot;author&quot;:[{&quot;family&quot;:&quot;Lemire&quot;,&quot;given&quot;:&quot;Joseph A.&quot;,&quot;parse-names&quot;:false,&quot;dropping-particle&quot;:&quot;&quot;,&quot;non-dropping-particle&quot;:&quot;&quot;},{&quot;family&quot;:&quot;Harrison&quot;,&quot;given&quot;:&quot;Joe J.&quot;,&quot;parse-names&quot;:false,&quot;dropping-particle&quot;:&quot;&quot;,&quot;non-dropping-particle&quot;:&quot;&quot;},{&quot;family&quot;:&quot;Turner&quot;,&quot;given&quot;:&quot;Raymond J.&quot;,&quot;parse-names&quot;:false,&quot;dropping-particle&quot;:&quot;&quot;,&quot;non-dropping-particle&quot;:&quot;&quot;}],&quot;container-title&quot;:&quot;Nature Reviews Microbiology&quot;,&quot;DOI&quot;:&quot;10.1038/nrmicro3028&quot;,&quot;ISSN&quot;:&quot;17401526&quot;,&quot;PMID&quot;:&quot;23669886&quot;,&quot;issued&quot;:{&quot;date-parts&quot;:[[2013]]},&quot;page&quot;:&quot;371-384&quot;,&quot;abstract&quot;:&quot;Metals have been used as antimicrobial agents since antiquity, but throughout most of history their modes of action have remained unclear. Recent studies indicate that different metals cause discrete and distinct types of injuries to microbial cells as a result of oxidative stress, protein dysfunction or membrane damage. Here, we describe the chemical and toxicological principles that underlie the antimicrobial activity of metals and discuss the preferences of metal atoms for specific microbial targets. Interdisciplinary research is advancing not only our understanding of metal toxicity but also the design of metal-based compounds for use as antimicrobial agents and alternatives to antibiotics. © 2013 Macmillan Publishers Limited.&quot;,&quot;publisher&quot;:&quot;Nature Publishing Group&quot;,&quot;issue&quot;:&quot;6&quot;,&quot;volume&quot;:&quot;11&quot;,&quot;container-title-short&quot;:&quot;&quot;},&quot;isTemporary&quot;:false}]},{&quot;citationID&quot;:&quot;MENDELEY_CITATION_9d7678a8-ffcb-46f5-9f34-23d1ee59c4ad&quot;,&quot;properties&quot;:{&quot;noteIndex&quot;:0},&quot;isEdited&quot;:false,&quot;manualOverride&quot;:{&quot;isManuallyOverridden&quot;:false,&quot;citeprocText&quot;:&quot;&lt;sup&gt;150,220&lt;/sup&gt;&quot;,&quot;manualOverrideText&quot;:&quot;&quot;},&quot;citationTag&quot;:&quot;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&quot;,&quot;citationItems&quot;:[{&quot;id&quot;:&quot;b43f666e-a3fd-3f90-8c76-c491a924f67b&quot;,&quot;itemData&quot;:{&quot;type&quot;:&quot;article-journal&quot;,&quot;id&quot;:&quot;b43f666e-a3fd-3f90-8c76-c491a924f67b&quot;,&quot;title&quot;:&quot;Hospitalized premature infants are colonized by related bacterial strains with distinct proteomic profiles&quot;,&quot;author&quot;:[{&quot;family&quot;:&quot;Brown&quot;,&quot;given&quot;:&quot;Christopher T.&quot;,&quot;parse-names&quot;:false,&quot;dropping-particle&quot;:&quot;&quot;,&quot;non-dropping-particle&quot;:&quot;&quot;},{&quot;family&quot;:&quot;Xiong&quot;,&quot;given&quot;:&quot;Weili&quot;,&quot;parse-names&quot;:false,&quot;dropping-particle&quot;:&quot;&quot;,&quot;non-dropping-particle&quot;:&quot;&quot;},{&quot;family&quot;:&quot;Olm&quot;,&quot;given&quot;:&quot;Matthew R.&quot;,&quot;parse-names&quot;:false,&quot;dropping-particle&quot;:&quot;&quot;,&quot;non-dropping-particle&quot;:&quot;&quot;},{&quot;family&quot;:&quot;Thomas&quot;,&quot;given&quot;:&quot;Brian C.&quot;,&quot;parse-names&quot;:false,&quot;dropping-particle&quot;:&quot;&quot;,&quot;non-dropping-particle&quot;:&quot;&quot;},{&quot;family&quot;:&quot;Baker&quot;,&quot;given&quot;:&quot;Robyn&quot;,&quot;parse-names&quot;:false,&quot;dropping-particle&quot;:&quot;&quot;,&quot;non-dropping-particle&quot;:&quot;&quot;},{&quot;family&quot;:&quot;Firek&quot;,&quot;given&quot;:&quot;Brian&quot;,&quot;parse-names&quot;:false,&quot;dropping-particle&quot;:&quot;&quot;,&quot;non-dropping-particle&quot;:&quot;&quot;},{&quot;family&quot;:&quot;Morowitz&quot;,&quot;given&quot;:&quot;Michael J.&quot;,&quot;parse-names&quot;:false,&quot;dropping-particle&quot;:&quot;&quot;,&quot;non-dropping-particle&quot;:&quot;&quot;},{&quot;family&quot;:&quot;Hettich&quot;,&quot;given&quot;:&quot;Robert L.&quot;,&quot;parse-names&quot;:false,&quot;dropping-particle&quot;:&quot;&quot;,&quot;non-dropping-particle&quot;:&quot;&quot;},{&quot;family&quot;:&quot;Banfield&quot;,&quot;given&quot;:&quot;Jillian F.&quot;,&quot;parse-names&quot;:false,&quot;dropping-particle&quot;:&quot;&quot;,&quot;non-dropping-particle&quot;:&quot;&quot;}],&quot;container-title&quot;:&quot;mBio&quot;,&quot;DOI&quot;:&quot;10.1128/mBio.00441-18&quot;,&quot;ISSN&quot;:&quot;21507511&quot;,&quot;PMID&quot;:&quot;29636439&quot;,&quot;issued&quot;:{&quot;date-parts&quot;:[[2018]]},&quot;abstract&quot;:&quot;During the first weeks of life, microbial colonization of the gut impacts human immune system maturation and other developmental processes. In premature infants, aberrant colonization has been implicated in the onset of necrotizing enterocolitis (NEC), a life-threatening intestinal disease. To study the premature infant gut colonization process, genome-resolved metagenomics was conducted on 343 fecal samples collected during the first 3 months of life from 35 premature infants housed in a neonatal intensive care unit, 14 of whom developed NEC, and metaproteomic measurements were made on 87 samples. Microbial community composition and proteomic profiles remained relatively stable on the time scale of a week, but the proteome was more variable. Although genetically similar organisms colonized many infants, most infants were colonized by distinct strains with metabolic profiles that could be distinguished using metaproteomics. Microbiome composition correlated with infant, antibiotics administration, and NEC diagnosis. Communities were found to cluster into seven primary types, and community type switched within infants, sometimes multiple times. Interestingly, some communities sampled from the same infant at subsequent time points clustered with those of other infants. In some cases, switches preceded onset of NEC; however, no species or community type could account for NEC across the majority of infants. In addition to a correlation of protein abundances with organism replication rates, we found that organism proteomes correlated with overall community composition. Thus, this genome-resolved proteomics study demonstrated that the contributions of individual organisms to microbiome development depend on microbial community context. IMPORTANCE Humans are colonized by microbes at birth, a process that is important to health and development. However, much remains to be known about the fine-scale microbial dynamics that occur during the colonization period. We conducted a genomeresolved study of microbial community composition, replication rates, and proteomes during the first 3 months of life of both healthy and sick premature infants. Infants were found to be colonized by similar microbes, but each underwent a distinct colonization trajectory. Interestingly, related microbes colonizing different infants were found to have distinct proteomes, indicating that microbiome function is not only driven by which or-ganisms are present, but also largely depends on microbial responses to the unique set of physiological conditions in the infant gut.&quot;,&quot;issue&quot;:&quot;2&quot;,&quot;volume&quot;:&quot;9&quot;,&quot;container-title-short&quot;:&quot;mBio&quot;},&quot;isTemporary&quot;:false},{&quot;id&quot;:&quot;9bd01f2e-ccb4-366a-b12f-ad9f3576daf9&quot;,&quot;itemData&quot;:{&quot;type&quot;:&quot;article-journal&quot;,&quot;id&quot;:&quot;9bd01f2e-ccb4-366a-b12f-ad9f3576daf9&quot;,&quot;title&quot;:&quot;Genome-resolved metaproteomic characterization of preterm infant gut microbiota development reveals species-specific metabolic shifts and variabilities during early life.&quot;,&quot;author&quot;:[{&quot;family&quot;:&quot;Xiong&quot;,&quot;given&quot;:&quot;Weili&quot;,&quot;parse-names&quot;:false,&quot;dropping-particle&quot;:&quot;&quot;,&quot;non-dropping-particle&quot;:&quot;&quot;},{&quot;family&quot;:&quot;Brown&quot;,&quot;given&quot;:&quot;Christopher T&quot;,&quot;parse-names&quot;:false,&quot;dropping-particle&quot;:&quot;&quot;,&quot;non-dropping-particle&quot;:&quot;&quot;},{&quot;family&quot;:&quot;Morowitz&quot;,&quot;given&quot;:&quot;Michael J&quot;,&quot;parse-names&quot;:false,&quot;dropping-particle&quot;:&quot;&quot;,&quot;non-dropping-particle&quot;:&quot;&quot;},{&quot;family&quot;:&quot;Banfield&quot;,&quot;given&quot;:&quot;Jillian F&quot;,&quot;parse-names&quot;:false,&quot;dropping-particle&quot;:&quot;&quot;,&quot;non-dropping-particle&quot;:&quot;&quot;},{&quot;family&quot;:&quot;Hettich&quot;,&quot;given&quot;:&quot;Robert L&quot;,&quot;parse-names&quot;:false,&quot;dropping-particle&quot;:&quot;&quot;,&quot;non-dropping-particle&quot;:&quot;&quot;}],&quot;container-title&quot;:&quot;Microbiome&quot;,&quot;DOI&quot;:&quot;10.1186/s40168-017-0290-6&quot;,&quot;ISBN&quot;:&quot;4016801702&quot;,&quot;ISSN&quot;:&quot;2049-2618&quot;,&quot;PMID&quot;:&quot;28693612&quot;,&quot;URL&quot;:&quot;http://www.ncbi.nlm.nih.gov/pubmed/28693612%0Ahttp://www.pubmedcentral.nih.gov/articlerender.fcgi?artid=PMC5504695&quot;,&quot;issued&quot;:{&quot;date-parts&quot;:[[2017]]},&quot;page&quot;:&quot;72&quot;,&quot;abstract&quot;:&quot;BACKGROUND Establishment of the human gut microbiota begins at birth. This early-life microbiota development can impact host physiology during infancy and even across an entire life span. However, the functional stability and population structure of the gut microbiota during initial colonization remain poorly understood. Metaproteomics is an emerging technology for the large-scale characterization of metabolic functions in complex microbial communities (gut microbiota). RESULTS We applied a metagenome-informed metaproteomic approach to study the temporal and inter-individual differences of metabolic functions during microbial colonization of preterm human infants' gut. By analyzing 30 individual fecal samples, we identified up to 12,568 protein groups for each of four infants, including both human and microbial proteins. With genome-resolved matched metagenomics, proteins were confidently identified at the species/strain level. The maximum percentage of the proteome detected for the abundant organisms was ~45%. A time-dependent increase in the relative abundance of microbial versus human proteins suggested increasing microbial colonization during the first few weeks of early life. We observed remarkable variations and temporal shifts in the relative protein abundances of each organism in these preterm gut communities. Given the dissimilarity of the communities, only 81 microbial EggNOG orthologous groups and 57 human proteins were observed across all samples. These conserved microbial proteins were involved in carbohydrate, energy, amino acid and nucleotide metabolism while conserved human proteins were related to immune response and mucosal maturation. We identified seven proteome clusters for the communities and showed infant gut proteome profiles were unstable across time and not individual-specific. Applying a gut-specific metabolic module (GMM) analysis, we found that gut communities varied primarily in the contribution of nutrient (carbohydrates, lipids, and amino acids) utilization and short-chain fatty acid production. CONCLUSIONS Overall, this study reports species-specific proteome profiles and metabolic functions of human gut microbiota during early colonization. In particular, our work contributes to reveal microbiota-associated shifts and variations in the metabolism of three major nutrient sources and short-chain fatty acid during colonization of preterm infant gut.&quot;,&quot;publisher&quot;:&quot;Microbiome&quot;,&quot;issue&quot;:&quot;1&quot;,&quot;volume&quot;:&quot;5&quot;,&quot;container-title-short&quot;:&quot;Microbiome&quot;},&quot;isTemporary&quot;:false}]},{&quot;citationID&quot;:&quot;MENDELEY_CITATION_931b251c-fc73-4146-82e1-f6b7dcdbbffd&quot;,&quot;properties&quot;:{&quot;noteIndex&quot;:0},&quot;isEdited&quot;:false,&quot;manualOverride&quot;:{&quot;isManuallyOverridden&quot;:false,&quot;citeprocText&quot;:&quot;&lt;sup&gt;189,221–224&lt;/sup&gt;&quot;,&quot;manualOverrideText&quot;:&quot;&quot;},&quot;citationTag&quot;:&quot;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&quot;,&quot;citationItems&quot;:[{&quot;id&quot;:&quot;20fc387e-7d49-3c6b-90ab-d3c9f42a0c39&quot;,&quot;itemData&quot;:{&quot;type&quot;:&quot;article-journal&quot;,&quot;id&quot;:&quot;20fc387e-7d49-3c6b-90ab-d3c9f42a0c39&quot;,&quot;title&quot;:&quot;The immune consequences of preterm birth&quot;,&quot;author&quot;:[{&quot;family&quot;:&quot;Melville&quot;,&quot;given&quot;:&quot;Jacqueline M.&quot;,&quot;parse-names&quot;:false,&quot;dropping-particle&quot;:&quot;&quot;,&quot;non-dropping-particle&quot;:&quot;&quot;},{&quot;family&quot;:&quot;Moss&quot;,&quot;given&quot;:&quot;Timothy J.M.&quot;,&quot;parse-names&quot;:false,&quot;dropping-particle&quot;:&quot;&quot;,&quot;non-dropping-particle&quot;:&quot;&quot;}],&quot;container-title&quot;:&quot;Frontiers in Neuroscience&quot;,&quot;DOI&quot;:&quot;10.3389/fnins.2013.00079&quot;,&quot;ISSN&quot;:&quot;16624548&quot;,&quot;issued&quot;:{&quot;date-parts&quot;:[[2013]]},&quot;page&quot;:&quot;1-9&quot;,&quot;abstract&quot;:&quot;Preterm birth occurs in 11% of live births globally and accounts for 35% of all newborn deaths. Preterm newborns have immature immune systems, with reduced innate and adaptive immunity; their immune systems may be further compromised by various factors associated with preterm birth. The immune systems of preterm infants have a smaller pool of monocytes and neutrophils, impaired ability of these cells to kill pathogens, and lower production of cytokines which limits T cell activation and reduces the ability to fight bacteria and detect viruses in cells, compared to term infants. Intrauterine inflammation is a major contributor to preterm birth, and causes premature immune activation and cytokine production. This can induce immune tolerance leading to reduced newborn immune function. Intrauterine inflammation is associated with an increased risk of early-onset sepsis and likely has long-term adverse immune consequences. Requisite medical interventions further impact on immune development and function. Antenatal corticosteroid treatment to prevent newborn respiratory disease is routine but may be immunosuppressive, and has been associated with febrile responses, reductions in lymphocyte proliferation and cytokine production, and increased risk of infection. Invasive medical procedures result in an increased risk of late-onset sepsis. Respiratory support can cause chronic inflammatory lung disease associated with increased risk of long-term morbidity. Colonization of the infant by microorganisms at birth is a significant contributor to the establishment of the microbiome. Caesarean section affects infant colonization, potentially contributing to lifelong immune function and well-being. Several factors associated with preterm birth alter immune function. A better understanding of perinatal modification of the preterm immune system will allow for the refinement of care to minimize lifelong adverse immune consequences. © 2013 Melville and Moss.&quot;,&quot;issue&quot;:&quot;7 MAY&quot;,&quot;volume&quot;:&quot;7&quot;,&quot;container-title-short&quot;:&quot;&quot;},&quot;isTemporary&quot;:false},{&quot;id&quot;:&quot;842090aa-5f6d-32df-b092-1688f6578b89&quot;,&quot;itemData&quot;:{&quot;type&quot;:&quot;article-journal&quot;,&quot;id&quot;:&quot;842090aa-5f6d-32df-b092-1688f6578b89&quot;,&quot;title&quot;:&quot;Maturation of the preterm gastrointestinal tract can be defined by host and microbial markers for digestion and barrier defense&quot;,&quot;author&quot;:[{&quot;family&quot;:&quot;Henderickx&quot;,&quot;given&quot;:&quot;Jannie G E&quot;,&quot;parse-names&quot;:false,&quot;dropping-particle&quot;:&quot;&quot;,&quot;non-dropping-particle&quot;:&quot;&quot;},{&quot;family&quot;:&quot;Zwittink&quot;,&quot;given&quot;:&quot;Romy D&quot;,&quot;parse-names&quot;:false,&quot;dropping-particle&quot;:&quot;&quot;,&quot;non-dropping-particle&quot;:&quot;&quot;},{&quot;family&quot;:&quot;Renes&quot;,&quot;given&quot;:&quot;Ingrid B&quot;,&quot;parse-names&quot;:false,&quot;dropping-particle&quot;:&quot;&quot;,&quot;non-dropping-particle&quot;:&quot;&quot;},{&quot;family&quot;:&quot;Lingen&quot;,&quot;given&quot;:&quot;Richard A&quot;,&quot;parse-names&quot;:false,&quot;dropping-particle&quot;:&quot;van&quot;,&quot;non-dropping-particle&quot;:&quot;&quot;},{&quot;family&quot;:&quot;Grobben&quot;,&quot;given&quot;:&quot;Diny Van Zoeren&quot;,&quot;parse-names&quot;:false,&quot;dropping-particle&quot;:&quot;&quot;,&quot;non-dropping-particle&quot;:&quot;&quot;},{&quot;family&quot;:&quot;Jebbink&quot;,&quot;given&quot;:&quot;Liesbeth J Groot&quot;,&quot;parse-names&quot;:false,&quot;dropping-particle&quot;:&quot;&quot;,&quot;non-dropping-particle&quot;:&quot;&quot;},{&quot;family&quot;:&quot;Boeren&quot;,&quot;given&quot;:&quot;Sjef&quot;,&quot;parse-names&quot;:false,&quot;dropping-particle&quot;:&quot;&quot;,&quot;non-dropping-particle&quot;:&quot;&quot;},{&quot;family&quot;:&quot;Elburg&quot;,&quot;given&quot;:&quot;Ruurd M&quot;,&quot;parse-names&quot;:false,&quot;dropping-particle&quot;:&quot;van&quot;,&quot;non-dropping-particle&quot;:&quot;&quot;}],&quot;container-title&quot;:&quot;Scientific Reports&quot;,&quot;DOI&quot;:&quot;10.1038/s41598-021-92222-y&quot;,&quot;ISBN&quot;:&quot;4159802192&quot;,&quot;ISSN&quot;:&quot;2045-2322&quot;,&quot;URL&quot;:&quot;https://doi.org/10.1038/s41598-021-92222-y&quot;,&quot;issued&quot;:{&quot;date-parts&quot;:[[2021]]},&quot;page&quot;:&quot;1-12&quot;,&quot;publisher&quot;:&quot;Nature Publishing Group UK&quot;,&quot;container-title-short&quot;:&quot;&quot;},&quot;isTemporary&quot;:false},{&quot;id&quot;:&quot;a48da555-58b4-3604-bd79-ed3e8aed5eb4&quot;,&quot;itemData&quot;:{&quot;type&quot;:&quot;article-journal&quot;,&quot;id&quot;:&quot;a48da555-58b4-3604-bd79-ed3e8aed5eb4&quot;,&quot;title&quot;:&quot;Persistence of birth mode-dependent effects on gut microbiome composition, immune system stimulation and antimicrobial resistance during the first year of life&quot;,&quot;author&quot;:[{&quot;family&quot;:&quot;Busi&quot;,&quot;given&quot;:&quot;Susheel Bhanu&quot;,&quot;parse-names&quot;:false,&quot;dropping-particle&quot;:&quot;&quot;,&quot;non-dropping-particle&quot;:&quot;&quot;},{&quot;family&quot;:&quot;Nies&quot;,&quot;given&quot;:&quot;Laura&quot;,&quot;parse-names&quot;:false,&quot;dropping-particle&quot;:&quot;&quot;,&quot;non-dropping-particle&quot;:&quot;de&quot;},{&quot;family&quot;:&quot;Habier&quot;,&quot;given&quot;:&quot;Janine&quot;,&quot;parse-names&quot;:false,&quot;dropping-particle&quot;:&quot;&quot;,&quot;non-dropping-particle&quot;:&quot;&quot;},{&quot;family&quot;:&quot;Wampach&quot;,&quot;given&quot;:&quot;Linda&quot;,&quot;parse-names&quot;:false,&quot;dropping-particle&quot;:&quot;&quot;,&quot;non-dropping-particle&quot;:&quot;&quot;},{&quot;family&quot;:&quot;Fritz&quot;,&quot;given&quot;:&quot;Joëlle&quot;,&quot;parse-names&quot;:false,&quot;dropping-particle&quot;:&quot;v.&quot;,&quot;non-dropping-particle&quot;:&quot;&quot;},{&quot;family&quot;:&quot;Heintz-Buschart&quot;,&quot;given&quot;:&quot;Anna&quot;,&quot;parse-names&quot;:false,&quot;dropping-particle&quot;:&quot;&quot;,&quot;non-dropping-particle&quot;:&quot;&quot;},{&quot;family&quot;:&quot;May&quot;,&quot;given&quot;:&quot;Patrick&quot;,&quot;parse-names&quot;:false,&quot;dropping-particle&quot;:&quot;&quot;,&quot;non-dropping-particle&quot;:&quot;&quot;},{&quot;family&quot;:&quot;Halder&quot;,&quot;given&quot;:&quot;Rashi&quot;,&quot;parse-names&quot;:false,&quot;dropping-particle&quot;:&quot;&quot;,&quot;non-dropping-particle&quot;:&quot;&quot;},{&quot;family&quot;:&quot;Beaufort&quot;,&quot;given&quot;:&quot;Carine&quot;,&quot;parse-names&quot;:false,&quot;dropping-particle&quot;:&quot;&quot;,&quot;non-dropping-particle&quot;:&quot;de&quot;},{&quot;family&quot;:&quot;Wilmes&quot;,&quot;given&quot;:&quot;Paul&quot;,&quot;parse-names&quot;:false,&quot;dropping-particle&quot;:&quot;&quot;,&quot;non-dropping-particle&quot;:&quot;&quot;}],&quot;container-title&quot;:&quot;ISME Communications&quot;,&quot;DOI&quot;:&quot;10.1038/s43705-021-00003-5&quot;,&quot;ISSN&quot;:&quot;2730-6151&quot;,&quot;URL&quot;:&quot;http://dx.doi.org/10.1038/s43705-021-00003-5&quot;,&quot;issued&quot;:{&quot;date-parts&quot;:[[2021]]},&quot;page&quot;:&quot;1-12&quot;,&quot;abstract&quot;:&quot; Caesarean section delivery (CSD) disrupts mother-to-neonate transmission of specific microbial strains and functional repertoires as well as linked immune system priming. Here we investigate whether differences in microbiome composition and impacts on host physiology persist at 1 year of age. We perform high-resolution, quantitative metagenomic analyses of the gut microbiomes of infants born by vaginal delivery (VD) or by CSD, from immediately after birth through to 1 year of life. Several microbial populations show distinct enrichments in CSD-born infants at 1 year of age including strains of Bacteroides caccae , Bifidobacterium bifidum and Ruminococcus gnavus , whereas others are present at higher levels in the VD group including Faecalibacterium prausnitizii , Bifidobacterium breve and Bifidobacterium kashiwanohense . The stimulation of healthy donor-derived primary human immune cells with LPS isolated from neonatal stool samples results in higher levels of tumour necrosis factor alpha (TNF-α) in the case of CSD extracts over time, compared to extracts from VD infants for which no such changes were observed during the first year of life. Functional analyses of the VD metagenomes at 1 year of age demonstrate a significant increase in the biosynthesis of the natural antibiotics, carbapenem and phenazine. Concurrently, we find antimicrobial resistance (AMR) genes against several classes of antibiotics in both VD and CSD. The abundance of AMR genes against synthetic (including semi-synthetic) agents such as phenicol, pleuromutilin and diaminopyrimidine are increased in CSD children at day 5 after birth. In addition, we find that mobile genetic elements, including phages, encode AMR genes such as glycopeptide, diaminopyrimidine and multidrug resistance genes. Our results demonstrate persistent effects at 1 year of life resulting from birth mode-dependent differences in earliest gut microbiome colonisation. &quot;,&quot;publisher&quot;:&quot;Springer US&quot;,&quot;issue&quot;:&quot;1&quot;,&quot;volume&quot;:&quot;1&quot;,&quot;container-title-short&quot;:&quot;&quot;},&quot;isTemporary&quot;:false},{&quot;id&quot;:&quot;7a26bde0-426e-3dd8-bc4e-ed2b70970246&quot;,&quot;itemData&quot;:{&quot;type&quot;:&quot;article-journal&quot;,&quot;id&quot;:&quot;7a26bde0-426e-3dd8-bc4e-ed2b70970246&quot;,&quot;title&quot;:&quot;A review of the innate immune defence of the human foetus and newborn, with the emphasis on antimicrobial peptides&quot;,&quot;author&quot;:[{&quot;family&quot;:&quot;Kai-Larsen&quot;,&quot;given&quot;:&quot;Ylva&quot;,&quot;parse-names&quot;:false,&quot;dropping-particle&quot;:&quot;&quot;,&quot;non-dropping-particle&quot;:&quot;&quot;},{&quot;family&quot;:&quot;Gudmundsson&quot;,&quot;given&quot;:&quot;Gudmundur H.&quot;,&quot;parse-names&quot;:false,&quot;dropping-particle&quot;:&quot;&quot;,&quot;non-dropping-particle&quot;:&quot;&quot;},{&quot;family&quot;:&quot;Agerberth&quot;,&quot;given&quot;:&quot;Birgitta&quot;,&quot;parse-names&quot;:false,&quot;dropping-particle&quot;:&quot;&quot;,&quot;non-dropping-particle&quot;:&quot;&quot;}],&quot;container-title&quot;:&quot;Acta Paediatrica, International Journal of Paediatrics&quot;,&quot;DOI&quot;:&quot;10.1111/apa.12700&quot;,&quot;ISSN&quot;:&quot;16512227&quot;,&quot;PMID&quot;:&quot;24861898&quot;,&quot;issued&quot;:{&quot;date-parts&quot;:[[2014]]},&quot;page&quot;:&quot;1000-1008&quot;,&quot;abstract&quot;:&quot;At birth, the foetus makes the transition from the uterus to a world full of microbes. The newborn baby needs protection against potential invading pathogens and needs to establish a normal microbiota. Conclusion: Antimicrobial peptides and proteins are key effector molecules of innate immunity and are also important immunomodulators. Their presence in the cells and tissues of the uterus, foetus and the neonate indicates an important role in immunity during pregnancy and in early life.&quot;,&quot;issue&quot;:&quot;10&quot;,&quot;volume&quot;:&quot;103&quot;,&quot;container-title-short&quot;:&quot;&quot;},&quot;isTemporary&quot;:false},{&quot;id&quot;:&quot;701cbcec-8956-3c0c-98df-a1ab11b697dd&quot;,&quot;itemData&quot;:{&quot;type&quot;:&quot;article-journal&quot;,&quot;id&quot;:&quot;701cbcec-8956-3c0c-98df-a1ab11b697dd&quot;,&quot;title&quot;:&quot;Patterns of early gut colonization shape future immune responses of the host&quot;,&quot;author&quot;:[{&quot;family&quot;:&quot;Hansen&quot;,&quot;given&quot;:&quot;Camilla Hartmann Friis&quot;,&quot;parse-names&quot;:false,&quot;dropping-particle&quot;:&quot;&quot;,&quot;non-dropping-particle&quot;:&quot;&quot;},{&quot;family&quot;:&quot;Nielsen&quot;,&quot;given&quot;:&quot;Dennis Sandris&quot;,&quot;parse-names&quot;:false,&quot;dropping-particle&quot;:&quot;&quot;,&quot;non-dropping-particle&quot;:&quot;&quot;},{&quot;family&quot;:&quot;Kverka&quot;,&quot;given&quot;:&quot;Miloslav&quot;,&quot;parse-names&quot;:false,&quot;dropping-particle&quot;:&quot;&quot;,&quot;non-dropping-particle&quot;:&quot;&quot;},{&quot;family&quot;:&quot;Zakostelska&quot;,&quot;given&quot;:&quot;Zuzana&quot;,&quot;parse-names&quot;:false,&quot;dropping-particle&quot;:&quot;&quot;,&quot;non-dropping-particle&quot;:&quot;&quot;},{&quot;family&quot;:&quot;Klimesova&quot;,&quot;given&quot;:&quot;Klara&quot;,&quot;parse-names&quot;:false,&quot;dropping-particle&quot;:&quot;&quot;,&quot;non-dropping-particle&quot;:&quot;&quot;},{&quot;family&quot;:&quot;Hudcovic&quot;,&quot;given&quot;:&quot;Tomas&quot;,&quot;parse-names&quot;:false,&quot;dropping-particle&quot;:&quot;&quot;,&quot;non-dropping-particle&quot;:&quot;&quot;},{&quot;family&quot;:&quot;Tlaskalova-Hogenova&quot;,&quot;given&quot;:&quot;Helena&quot;,&quot;parse-names&quot;:false,&quot;dropping-particle&quot;:&quot;&quot;,&quot;non-dropping-particle&quot;:&quot;&quot;},{&quot;family&quot;:&quot;Hansen&quot;,&quot;given&quot;:&quot;Axel Kornerup&quot;,&quot;parse-names&quot;:false,&quot;dropping-particle&quot;:&quot;&quot;,&quot;non-dropping-particle&quot;:&quot;&quot;}],&quot;container-title&quot;:&quot;PLoS ONE&quot;,&quot;DOI&quot;:&quot;10.1371/journal.pone.0034043&quot;,&quot;ISSN&quot;:&quot;19326203&quot;,&quot;PMID&quot;:&quot;22479515&quot;,&quot;issued&quot;:{&quot;date-parts&quot;:[[2012]]},&quot;page&quot;:&quot;1-7&quot;,&quot;abstract&quot;:&quot;The most important trigger for immune system development is the exposure to microbial components immediately after birth. Moreover, targeted manipulation of the microbiota can be used to change host susceptibility to immune-mediated diseases. Our aim was to analyze how differences in early gut colonization patterns change the composition of the resident microbiota and future immune system reactivity. Germ-free (GF) mice were either inoculated by single oral gavage of caecal content or let colonized by co-housing with specific pathogen-free (SPF) mice at different time points in the postnatal period. The microbiota composition was analyzed by denaturing gradient gel electrophoresis for 16S rRNA gene followed by principal component analysis. Furthermore, immune functions and cytokine concentrations were analyzed using flow cytometry, ELISA or multiplex bead assay. We found that a single oral inoculation of GF mice at three weeks of age permanently changed the gut microbiota composition, which was not possible to achieve at one week of age. Interestingly, the ex-GF mice inoculated at three weeks of age were also the only mice with an increased pro-inflammatory immune response. In contrast, the composition of the gut microbiota of ex-GF mice that were co-housed with SPF mice at different time points was similar to the gut microbiota in the barrier maintained SPF mice. The existence of a short GF postnatal period permanently changed levels of systemic regulatory T cells, NK and NKT cells, and cytokine production. In conclusion, a time window exists that enables the artificial colonization of GF mice by a single oral dose of caecal content, which may modify the future immune phenotype of the host. Moreover, delayed microbial colonization of the gut causes permanent changes in the immune system. © 2012 Hansen et al.&quot;,&quot;issue&quot;:&quot;3&quot;,&quot;volume&quot;:&quot;7&quot;,&quot;container-title-short&quot;:&quot;&quot;},&quot;isTemporary&quot;:false}]},{&quot;citationID&quot;:&quot;MENDELEY_CITATION_ea9633a5-1472-468c-907b-ca8ade58c4e7&quot;,&quot;properties&quot;:{&quot;noteIndex&quot;:0},&quot;isEdited&quot;:false,&quot;manualOverride&quot;:{&quot;isManuallyOverridden&quot;:false,&quot;citeprocText&quot;:&quot;&lt;sup&gt;150,220&lt;/sup&gt;&quot;,&quot;manualOverrideText&quot;:&quot;&quot;},&quot;citationTag&quot;:&quot;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&quot;,&quot;citationItems&quot;:[{&quot;id&quot;:&quot;9bd01f2e-ccb4-366a-b12f-ad9f3576daf9&quot;,&quot;itemData&quot;:{&quot;type&quot;:&quot;article-journal&quot;,&quot;id&quot;:&quot;9bd01f2e-ccb4-366a-b12f-ad9f3576daf9&quot;,&quot;title&quot;:&quot;Genome-resolved metaproteomic characterization of preterm infant gut microbiota development reveals species-specific metabolic shifts and variabilities during early life.&quot;,&quot;author&quot;:[{&quot;family&quot;:&quot;Xiong&quot;,&quot;given&quot;:&quot;Weili&quot;,&quot;parse-names&quot;:false,&quot;dropping-particle&quot;:&quot;&quot;,&quot;non-dropping-particle&quot;:&quot;&quot;},{&quot;family&quot;:&quot;Brown&quot;,&quot;given&quot;:&quot;Christopher T&quot;,&quot;parse-names&quot;:false,&quot;dropping-particle&quot;:&quot;&quot;,&quot;non-dropping-particle&quot;:&quot;&quot;},{&quot;family&quot;:&quot;Morowitz&quot;,&quot;given&quot;:&quot;Michael J&quot;,&quot;parse-names&quot;:false,&quot;dropping-particle&quot;:&quot;&quot;,&quot;non-dropping-particle&quot;:&quot;&quot;},{&quot;family&quot;:&quot;Banfield&quot;,&quot;given&quot;:&quot;Jillian F&quot;,&quot;parse-names&quot;:false,&quot;dropping-particle&quot;:&quot;&quot;,&quot;non-dropping-particle&quot;:&quot;&quot;},{&quot;family&quot;:&quot;Hettich&quot;,&quot;given&quot;:&quot;Robert L&quot;,&quot;parse-names&quot;:false,&quot;dropping-particle&quot;:&quot;&quot;,&quot;non-dropping-particle&quot;:&quot;&quot;}],&quot;container-title&quot;:&quot;Microbiome&quot;,&quot;DOI&quot;:&quot;10.1186/s40168-017-0290-6&quot;,&quot;ISBN&quot;:&quot;4016801702&quot;,&quot;ISSN&quot;:&quot;2049-2618&quot;,&quot;PMID&quot;:&quot;28693612&quot;,&quot;URL&quot;:&quot;http://www.ncbi.nlm.nih.gov/pubmed/28693612%0Ahttp://www.pubmedcentral.nih.gov/articlerender.fcgi?artid=PMC5504695&quot;,&quot;issued&quot;:{&quot;date-parts&quot;:[[2017]]},&quot;page&quot;:&quot;72&quot;,&quot;abstract&quot;:&quot;BACKGROUND Establishment of the human gut microbiota begins at birth. This early-life microbiota development can impact host physiology during infancy and even across an entire life span. However, the functional stability and population structure of the gut microbiota during initial colonization remain poorly understood. Metaproteomics is an emerging technology for the large-scale characterization of metabolic functions in complex microbial communities (gut microbiota). RESULTS We applied a metagenome-informed metaproteomic approach to study the temporal and inter-individual differences of metabolic functions during microbial colonization of preterm human infants' gut. By analyzing 30 individual fecal samples, we identified up to 12,568 protein groups for each of four infants, including both human and microbial proteins. With genome-resolved matched metagenomics, proteins were confidently identified at the species/strain level. The maximum percentage of the proteome detected for the abundant organisms was ~45%. A time-dependent increase in the relative abundance of microbial versus human proteins suggested increasing microbial colonization during the first few weeks of early life. We observed remarkable variations and temporal shifts in the relative protein abundances of each organism in these preterm gut communities. Given the dissimilarity of the communities, only 81 microbial EggNOG orthologous groups and 57 human proteins were observed across all samples. These conserved microbial proteins were involved in carbohydrate, energy, amino acid and nucleotide metabolism while conserved human proteins were related to immune response and mucosal maturation. We identified seven proteome clusters for the communities and showed infant gut proteome profiles were unstable across time and not individual-specific. Applying a gut-specific metabolic module (GMM) analysis, we found that gut communities varied primarily in the contribution of nutrient (carbohydrates, lipids, and amino acids) utilization and short-chain fatty acid production. CONCLUSIONS Overall, this study reports species-specific proteome profiles and metabolic functions of human gut microbiota during early colonization. In particular, our work contributes to reveal microbiota-associated shifts and variations in the metabolism of three major nutrient sources and short-chain fatty acid during colonization of preterm infant gut.&quot;,&quot;publisher&quot;:&quot;Microbiome&quot;,&quot;issue&quot;:&quot;1&quot;,&quot;volume&quot;:&quot;5&quot;,&quot;container-title-short&quot;:&quot;Microbiome&quot;},&quot;isTemporary&quot;:false},{&quot;id&quot;:&quot;b43f666e-a3fd-3f90-8c76-c491a924f67b&quot;,&quot;itemData&quot;:{&quot;type&quot;:&quot;article-journal&quot;,&quot;id&quot;:&quot;b43f666e-a3fd-3f90-8c76-c491a924f67b&quot;,&quot;title&quot;:&quot;Hospitalized premature infants are colonized by related bacterial strains with distinct proteomic profiles&quot;,&quot;author&quot;:[{&quot;family&quot;:&quot;Brown&quot;,&quot;given&quot;:&quot;Christopher T.&quot;,&quot;parse-names&quot;:false,&quot;dropping-particle&quot;:&quot;&quot;,&quot;non-dropping-particle&quot;:&quot;&quot;},{&quot;family&quot;:&quot;Xiong&quot;,&quot;given&quot;:&quot;Weili&quot;,&quot;parse-names&quot;:false,&quot;dropping-particle&quot;:&quot;&quot;,&quot;non-dropping-particle&quot;:&quot;&quot;},{&quot;family&quot;:&quot;Olm&quot;,&quot;given&quot;:&quot;Matthew R.&quot;,&quot;parse-names&quot;:false,&quot;dropping-particle&quot;:&quot;&quot;,&quot;non-dropping-particle&quot;:&quot;&quot;},{&quot;family&quot;:&quot;Thomas&quot;,&quot;given&quot;:&quot;Brian C.&quot;,&quot;parse-names&quot;:false,&quot;dropping-particle&quot;:&quot;&quot;,&quot;non-dropping-particle&quot;:&quot;&quot;},{&quot;family&quot;:&quot;Baker&quot;,&quot;given&quot;:&quot;Robyn&quot;,&quot;parse-names&quot;:false,&quot;dropping-particle&quot;:&quot;&quot;,&quot;non-dropping-particle&quot;:&quot;&quot;},{&quot;family&quot;:&quot;Firek&quot;,&quot;given&quot;:&quot;Brian&quot;,&quot;parse-names&quot;:false,&quot;dropping-particle&quot;:&quot;&quot;,&quot;non-dropping-particle&quot;:&quot;&quot;},{&quot;family&quot;:&quot;Morowitz&quot;,&quot;given&quot;:&quot;Michael J.&quot;,&quot;parse-names&quot;:false,&quot;dropping-particle&quot;:&quot;&quot;,&quot;non-dropping-particle&quot;:&quot;&quot;},{&quot;family&quot;:&quot;Hettich&quot;,&quot;given&quot;:&quot;Robert L.&quot;,&quot;parse-names&quot;:false,&quot;dropping-particle&quot;:&quot;&quot;,&quot;non-dropping-particle&quot;:&quot;&quot;},{&quot;family&quot;:&quot;Banfield&quot;,&quot;given&quot;:&quot;Jillian F.&quot;,&quot;parse-names&quot;:false,&quot;dropping-particle&quot;:&quot;&quot;,&quot;non-dropping-particle&quot;:&quot;&quot;}],&quot;container-title&quot;:&quot;mBio&quot;,&quot;DOI&quot;:&quot;10.1128/mBio.00441-18&quot;,&quot;ISSN&quot;:&quot;21507511&quot;,&quot;PMID&quot;:&quot;29636439&quot;,&quot;issued&quot;:{&quot;date-parts&quot;:[[2018]]},&quot;abstract&quot;:&quot;During the first weeks of life, microbial colonization of the gut impacts human immune system maturation and other developmental processes. In premature infants, aberrant colonization has been implicated in the onset of necrotizing enterocolitis (NEC), a life-threatening intestinal disease. To study the premature infant gut colonization process, genome-resolved metagenomics was conducted on 343 fecal samples collected during the first 3 months of life from 35 premature infants housed in a neonatal intensive care unit, 14 of whom developed NEC, and metaproteomic measurements were made on 87 samples. Microbial community composition and proteomic profiles remained relatively stable on the time scale of a week, but the proteome was more variable. Although genetically similar organisms colonized many infants, most infants were colonized by distinct strains with metabolic profiles that could be distinguished using metaproteomics. Microbiome composition correlated with infant, antibiotics administration, and NEC diagnosis. Communities were found to cluster into seven primary types, and community type switched within infants, sometimes multiple times. Interestingly, some communities sampled from the same infant at subsequent time points clustered with those of other infants. In some cases, switches preceded onset of NEC; however, no species or community type could account for NEC across the majority of infants. In addition to a correlation of protein abundances with organism replication rates, we found that organism proteomes correlated with overall community composition. Thus, this genome-resolved proteomics study demonstrated that the contributions of individual organisms to microbiome development depend on microbial community context. IMPORTANCE Humans are colonized by microbes at birth, a process that is important to health and development. However, much remains to be known about the fine-scale microbial dynamics that occur during the colonization period. We conducted a genomeresolved study of microbial community composition, replication rates, and proteomes during the first 3 months of life of both healthy and sick premature infants. Infants were found to be colonized by similar microbes, but each underwent a distinct colonization trajectory. Interestingly, related microbes colonizing different infants were found to have distinct proteomes, indicating that microbiome function is not only driven by which or-ganisms are present, but also largely depends on microbial responses to the unique set of physiological conditions in the infant gut.&quot;,&quot;issue&quot;:&quot;2&quot;,&quot;volume&quot;:&quot;9&quot;,&quot;expandedJournalTitle&quot;:&quot;mBio&quot;,&quot;container-title-short&quot;:&quot;mBio&quot;},&quot;isTemporary&quot;:false}]},{&quot;citationID&quot;:&quot;MENDELEY_CITATION_2a849eba-61fa-4496-9def-9711141f743d&quot;,&quot;properties&quot;:{&quot;noteIndex&quot;:0},&quot;isEdited&quot;:false,&quot;manualOverride&quot;:{&quot;isManuallyOverridden&quot;:false,&quot;citeprocText&quot;:&quot;&lt;sup&gt;201,225,226&lt;/sup&gt;&quot;,&quot;manualOverrideText&quot;:&quot;&quot;},&quot;citationTag&quot;:&quot;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&quot;,&quot;citationItems&quot;:[{&quot;id&quot;:&quot;3a5346aa-cf16-36c6-87bb-73034b070673&quot;,&quot;itemData&quot;:{&quot;type&quot;:&quot;article-journal&quot;,&quot;id&quot;:&quot;3a5346aa-cf16-36c6-87bb-73034b070673&quot;,&quot;title&quot;:&quot;Impact of intrapartum antimicrobial prophylaxis upon the intestinal microbiota and the prevalence of antibiotic resistance genes in vaginally delivered full-term neonates&quot;,&quot;author&quot;:[{&quot;family&quot;:&quot;Nogacka&quot;,&quot;given&quot;:&quot;Alicja&quot;,&quot;parse-names&quot;:false,&quot;dropping-particle&quot;:&quot;&quot;,&quot;non-dropping-particle&quot;:&quot;&quot;},{&quot;family&quot;:&quot;Salazar&quot;,&quot;given&quot;:&quot;Nuria&quot;,&quot;parse-names&quot;:false,&quot;dropping-particle&quot;:&quot;&quot;,&quot;non-dropping-particle&quot;:&quot;&quot;},{&quot;family&quot;:&quot;Suárez&quot;,&quot;given&quot;:&quot;Marta&quot;,&quot;parse-names&quot;:false,&quot;dropping-particle&quot;:&quot;&quot;,&quot;non-dropping-particle&quot;:&quot;&quot;},{&quot;family&quot;:&quot;Milani&quot;,&quot;given&quot;:&quot;Christian&quot;,&quot;parse-names&quot;:false,&quot;dropping-particle&quot;:&quot;&quot;,&quot;non-dropping-particle&quot;:&quot;&quot;},{&quot;family&quot;:&quot;Arboleya&quot;,&quot;given&quot;:&quot;Silvia&quot;,&quot;parse-names&quot;:false,&quot;dropping-particle&quot;:&quot;&quot;,&quot;non-dropping-particle&quot;:&quot;&quot;},{&quot;family&quot;:&quot;Solís&quot;,&quot;given&quot;:&quot;Gonzalo&quot;,&quot;parse-names&quot;:false,&quot;dropping-particle&quot;:&quot;&quot;,&quot;non-dropping-particle&quot;:&quot;&quot;},{&quot;family&quot;:&quot;Fernández&quot;,&quot;given&quot;:&quot;Nuria&quot;,&quot;parse-names&quot;:false,&quot;dropping-particle&quot;:&quot;&quot;,&quot;non-dropping-particle&quot;:&quot;&quot;},{&quot;family&quot;:&quot;Alaez&quot;,&quot;given&quot;:&quot;Lidia&quot;,&quot;parse-names&quot;:false,&quot;dropping-particle&quot;:&quot;&quot;,&quot;non-dropping-particle&quot;:&quot;&quot;},{&quot;family&quot;:&quot;Hernández-Barranco&quot;,&quot;given&quot;:&quot;Ana M.&quot;,&quot;parse-names&quot;:false,&quot;dropping-particle&quot;:&quot;&quot;,&quot;non-dropping-particle&quot;:&quot;&quot;},{&quot;family&quot;:&quot;los Reyes-Gavilán&quot;,&quot;given&quot;:&quot;Clara G.&quot;,&quot;parse-names&quot;:false,&quot;dropping-particle&quot;:&quot;&quot;,&quot;non-dropping-particle&quot;:&quot;de&quot;},{&quot;family&quot;:&quot;Ventura&quot;,&quot;given&quot;:&quot;Marco&quot;,&quot;parse-names&quot;:false,&quot;dropping-particle&quot;:&quot;&quot;,&quot;non-dropping-particle&quot;:&quot;&quot;},{&quot;family&quot;:&quot;Gueimonde&quot;,&quot;given&quot;:&quot;Miguel&quot;,&quot;parse-names&quot;:false,&quot;dropping-particle&quot;:&quot;&quot;,&quot;non-dropping-particle&quot;:&quot;&quot;}],&quot;container-title&quot;:&quot;Microbiome&quot;,&quot;DOI&quot;:&quot;10.1186/s40168-017-0313-3&quot;,&quot;ISSN&quot;:&quot;20492618&quot;,&quot;PMID&quot;:&quot;28789705&quot;,&quot;issued&quot;:{&quot;date-parts&quot;:[[2017]]},&quot;page&quot;:&quot;1-10&quot;,&quot;abstract&quot;:&quot;Background: Disturbances in the early establishment of the intestinal microbiota may produce important implications for the infant's health and for the risk of disease later on. Different perinatal conditions may be affecting the development of the gut microbiota. Some of them, such as delivery mode or feeding habits, have been extensively assessed whereas others remain to be studied, being critical to identify their impact on the microbiota and, if any, to minimize it. Antibiotics are among the drugs most frequently used in early life, the use of intrapartum antimicrobial prophylaxis (IAP), present in over 30% of deliveries, being the most frequent source of exposure. However, our knowledge on the effects of IAP on the microbiota establishment is still limited. The aim of the present work was to evaluate the impact of IAP investigating a cohort of 40 full-term vaginally delivered infants born after an uncomplicated pregnancy, 18 of which were born from mothers receiving IAP. Results: Fecal samples were collected at 2, 10, 30, and 90 days of age. We analyzed the composition of the fecal microbiota during the first 3 months of life by 16S rRNA gene sequencing and quantified fecal short chain fatty acids by gas chromatography. The presence of genes for resistance to antibiotics was determined by PCR in the samples from 1-month-old infants. Our results showed an altered pattern of intestinal microbiota establishment in IAP infants during the first weeks of life, with lower relative proportions of Actinobacteria and Bacteroidetes and increased of Preoteobacteria and Firmicutes. A delay in the increase on the levels of acetate was observed in IAP infants. The analyses of specific antibiotic resistance genes showed a higher occurrence of some ß-lactamase coding genes in infants whose mothers received IAP. Conclusions: Our results indicate an effect of IAP on the establishing early microbiota during the first months of life, which represent a key moment for the development of the microbiota-induced host homeostasis. Understanding the impact of IAP in the gut microbiota development is essential for developing treatments to minimize it, favoring a proper gut microbiota development in IAP-exposed neonates.&quot;,&quot;publisher&quot;:&quot;Microbiome&quot;,&quot;issue&quot;:&quot;1&quot;,&quot;volume&quot;:&quot;5&quot;,&quot;container-title-short&quot;:&quot;Microbiome&quot;},&quot;isTemporary&quot;:false},{&quot;id&quot;:&quot;72734fc8-a7d0-3b36-a6ea-3a54372bd85b&quot;,&quot;itemData&quot;:{&quot;type&quot;:&quot;article-journal&quot;,&quot;id&quot;:&quot;72734fc8-a7d0-3b36-a6ea-3a54372bd85b&quot;,&quot;title&quot;:&quot;High frequencies of antibiotic resistance genes in infants' meconium and early fecal samples&quot;,&quot;author&quot;:[{&quot;family&quot;:&quot;Gosalbes&quot;,&quot;given&quot;:&quot;M. J.&quot;,&quot;parse-names&quot;:false,&quot;dropping-particle&quot;:&quot;&quot;,&quot;non-dropping-particle&quot;:&quot;&quot;},{&quot;family&quot;:&quot;Vallès&quot;,&quot;given&quot;:&quot;Y.&quot;,&quot;parse-names&quot;:false,&quot;dropping-particle&quot;:&quot;&quot;,&quot;non-dropping-particle&quot;:&quot;&quot;},{&quot;family&quot;:&quot;Jiménez-Hernández&quot;,&quot;given&quot;:&quot;N.&quot;,&quot;parse-names&quot;:false,&quot;dropping-particle&quot;:&quot;&quot;,&quot;non-dropping-particle&quot;:&quot;&quot;},{&quot;family&quot;:&quot;Balle&quot;,&quot;given&quot;:&quot;C.&quot;,&quot;parse-names&quot;:false,&quot;dropping-particle&quot;:&quot;&quot;,&quot;non-dropping-particle&quot;:&quot;&quot;},{&quot;family&quot;:&quot;Riva&quot;,&quot;given&quot;:&quot;P.&quot;,&quot;parse-names&quot;:false,&quot;dropping-particle&quot;:&quot;&quot;,&quot;non-dropping-particle&quot;:&quot;&quot;},{&quot;family&quot;:&quot;Miravet-Verde&quot;,&quot;given&quot;:&quot;S.&quot;,&quot;parse-names&quot;:false,&quot;dropping-particle&quot;:&quot;&quot;,&quot;non-dropping-particle&quot;:&quot;&quot;},{&quot;family&quot;:&quot;Vries&quot;,&quot;given&quot;:&quot;L. E.&quot;,&quot;parse-names&quot;:false,&quot;dropping-particle&quot;:&quot;&quot;,&quot;non-dropping-particle&quot;:&quot;de&quot;},{&quot;family&quot;:&quot;Llop&quot;,&quot;given&quot;:&quot;S.&quot;,&quot;parse-names&quot;:false,&quot;dropping-particle&quot;:&quot;&quot;,&quot;non-dropping-particle&quot;:&quot;&quot;},{&quot;family&quot;:&quot;Agerso&quot;,&quot;given&quot;:&quot;Y.&quot;,&quot;parse-names&quot;:false,&quot;dropping-particle&quot;:&quot;&quot;,&quot;non-dropping-particle&quot;:&quot;&quot;},{&quot;family&quot;:&quot;Sørensen&quot;,&quot;given&quot;:&quot;S. J.&quot;,&quot;parse-names&quot;:false,&quot;dropping-particle&quot;:&quot;&quot;,&quot;non-dropping-particle&quot;:&quot;&quot;},{&quot;family&quot;:&quot;Ballester&quot;,&quot;given&quot;:&quot;F.&quot;,&quot;parse-names&quot;:false,&quot;dropping-particle&quot;:&quot;&quot;,&quot;non-dropping-particle&quot;:&quot;&quot;},{&quot;family&quot;:&quot;Francino&quot;,&quot;given&quot;:&quot;M. P.&quot;,&quot;parse-names&quot;:false,&quot;dropping-particle&quot;:&quot;&quot;,&quot;non-dropping-particle&quot;:&quot;&quot;}],&quot;container-title&quot;:&quot;Journal of Developmental Origins of Health and Disease&quot;,&quot;DOI&quot;:&quot;10.1017/S2040174415001506&quot;,&quot;ISSN&quot;:&quot;20401752&quot;,&quot;PMID&quot;:&quot;26353938&quot;,&quot;issued&quot;:{&quot;date-parts&quot;:[[2016]]},&quot;page&quot;:&quot;35-44&quot;,&quot;abstract&quot;:&quot;The gastrointestinal tract (GIT) microbiota has been identified as an important reservoir of antibiotic resistance genes (ARGs) that can be horizontally transferred to pathogenic species. Maternal GIT microbes can be transmitted to the offspring, and recent work indicates that such transfer starts before birth. We have used culture-independent genetic screenings to explore whether ARGs are already present in the meconium accumulated in the GIT during fetal life and in feces of 1-week-old infants. We have analyzed resistance to β-lactam antibiotics (BLr) and tetracycline (Tcr), screening for a variety of genes conferring each. To evaluate whether ARGs could have been inherited by maternal transmission, we have screened perinatal fecal samples of the 1-week-old babies' mothers, as well as a mother-infant series including meconium, fecal samples collected through the infant's 1st year, maternal fecal samples and colostrum. Our results reveal a high prevalence of BLr and Tcr in both meconium and early fecal samples, implying that the GIT resistance reservoir starts to accumulate even before birth. We show that ARGs present in the mother may reach the meconium and colostrum and establish in the infant GIT, but also that some ARGs were likely acquired from other sources. Alarmingly, we identified in both meconium and 1-week-olds' samples a particularly elevated prevalence of mecA (&gt;45%), six-fold higher than that detected in the mothers. The mecA gene confers BLr to methicillin-resistant Staphylococcus aureus, and although its detection does not imply the presence of this pathogen, it does implicate the young infant's GIT as a noteworthy reservoir of this gene.&quot;,&quot;issue&quot;:&quot;1&quot;,&quot;volume&quot;:&quot;7&quot;,&quot;container-title-short&quot;:&quot;&quot;},&quot;isTemporary&quot;:false},{&quot;id&quot;:&quot;ae367c1d-1b42-3a30-a4ec-03de3c029704&quot;,&quot;itemData&quot;:{&quot;type&quot;:&quot;article-journal&quot;,&quot;id&quot;:&quot;ae367c1d-1b42-3a30-a4ec-03de3c029704&quot;,&quot;title&quot;:&quot;Clinical implications of preterm infant gut microbiome development&quot;,&quot;author&quot;:[{&quot;family&quot;:&quot;Healy&quot;,&quot;given&quot;:&quot;David B&quot;,&quot;parse-names&quot;:false,&quot;dropping-particle&quot;:&quot;&quot;,&quot;non-dropping-particle&quot;:&quot;&quot;},{&quot;family&quot;:&quot;Ryan&quot;,&quot;given&quot;:&quot;C Anthony&quot;,&quot;parse-names&quot;:false,&quot;dropping-particle&quot;:&quot;&quot;,&quot;non-dropping-particle&quot;:&quot;&quot;},{&quot;family&quot;:&quot;Ross&quot;,&quot;given&quot;:&quot;R Paul&quot;,&quot;parse-names&quot;:false,&quot;dropping-particle&quot;:&quot;&quot;,&quot;non-dropping-particle&quot;:&quot;&quot;},{&quot;family&quot;:&quot;Stanton&quot;,&quot;given&quot;:&quot;Catherine&quot;,&quot;parse-names&quot;:false,&quot;dropping-particle&quot;:&quot;&quot;,&quot;non-dropping-particle&quot;:&quot;&quot;},{&quot;family&quot;:&quot;Dempsey&quot;,&quot;given&quot;:&quot;Eugene M&quot;,&quot;parse-names&quot;:false,&quot;dropping-particle&quot;:&quot;&quot;,&quot;non-dropping-particle&quot;:&quot;&quot;}],&quot;DOI&quot;:&quot;10.1038/s41564-021-01025-4&quot;,&quot;publisher&quot;:&quot;Springer US&quot;,&quot;container-title-short&quot;:&quot;&quot;},&quot;isTemporary&quot;:false}]},{&quot;citationID&quot;:&quot;MENDELEY_CITATION_8f965ebf-0761-4845-bba6-a39dae61f561&quot;,&quot;properties&quot;:{&quot;noteIndex&quot;:0},&quot;isEdited&quot;:false,&quot;manualOverride&quot;:{&quot;isManuallyOverridden&quot;:false,&quot;citeprocText&quot;:&quot;&lt;sup&gt;227&lt;/sup&gt;&quot;,&quot;manualOverrideText&quot;:&quot;&quot;},&quot;citationTag&quot;:&quot;MENDELEY_CITATION_v3_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&quot;,&quot;citationItems&quot;:[{&quot;id&quot;:&quot;800c8b63-ebaa-36ef-8351-e9571367ea25&quot;,&quot;itemData&quot;:{&quot;type&quot;:&quot;article-journal&quot;,&quot;id&quot;:&quot;800c8b63-ebaa-36ef-8351-e9571367ea25&quot;,&quot;title&quot;:&quot;Iron at the host-microbe interface&quot;,&quot;author&quot;:[{&quot;family&quot;:&quot;Gerner&quot;,&quot;given&quot;:&quot;Romana R.&quot;,&quot;parse-names&quot;:false,&quot;dropping-particle&quot;:&quot;&quot;,&quot;non-dropping-particle&quot;:&quot;&quot;},{&quot;family&quot;:&quot;Nuccio&quot;,&quot;given&quot;:&quot;Sean Paul&quot;,&quot;parse-names&quot;:false,&quot;dropping-particle&quot;:&quot;&quot;,&quot;non-dropping-particle&quot;:&quot;&quot;},{&quot;family&quot;:&quot;Raffatellu&quot;,&quot;given&quot;:&quot;Manuela&quot;,&quot;parse-names&quot;:false,&quot;dropping-particle&quot;:&quot;&quot;,&quot;non-dropping-particle&quot;:&quot;&quot;}],&quot;container-title&quot;:&quot;Molecular Aspects of Medicine&quot;,&quot;DOI&quot;:&quot;10.1016/j.mam.2020.100895&quot;,&quot;ISSN&quot;:&quot;18729452&quot;,&quot;PMID&quot;:&quot;32883564&quot;,&quot;URL&quot;:&quot;https://doi.org/10.1016/j.mam.2020.100895&quot;,&quot;issued&quot;:{&quot;date-parts&quot;:[[2020]]},&quot;page&quot;:&quot;100895&quot;,&quot;abstract&quot;:&quot;Iron is an essential micronutrient for nearly all living organisms. In addition to facilitating redox reactions, iron is bound by metalloproteins that participate in a variety of biological processes. As the bioavailability of free iron in host environments is extremely low, iron lies at the center of a battle for nutrients between microbes and their host. Mucosal surfaces such as the respiratory and gastrointestinal tracts are constantly exposed to commensal and pathogenic microorganisms. Whereas a key strategy of mammalian antimicrobial defense is to deprive microbes of iron, pathogens and some commensals have evolved effective strategies to circumvent iron limitation. Here we provide an overview of mechanisms underpinning the tug-of-war for iron between microbes and their host, with a particular focus on mucosal surfaces.&quot;,&quot;publisher&quot;:&quot;Elsevier Ltd&quot;,&quot;issue&quot;:&quot;August&quot;,&quot;volume&quot;:&quot;75&quot;,&quot;container-title-short&quot;:&quot;&quot;},&quot;isTemporary&quot;:false}]},{&quot;citationID&quot;:&quot;MENDELEY_CITATION_1ad5c2cb-ea55-4c9f-bac4-4687c2cde33d&quot;,&quot;properties&quot;:{&quot;noteIndex&quot;:0},&quot;isEdited&quot;:false,&quot;manualOverride&quot;:{&quot;isManuallyOverridden&quot;:false,&quot;citeprocText&quot;:&quot;&lt;sup&gt;228&lt;/sup&gt;&quot;,&quot;manualOverrideText&quot;:&quot;&quot;},&quot;citationTag&quot;:&quot;MENDELEY_CITATION_v3_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&quot;,&quot;citationItems&quot;:[{&quot;id&quot;:&quot;4aee7dcf-d25e-3fd2-a4e6-e1e0d22120da&quot;,&quot;itemData&quot;:{&quot;type&quot;:&quot;article-journal&quot;,&quot;id&quot;:&quot;4aee7dcf-d25e-3fd2-a4e6-e1e0d22120da&quot;,&quot;title&quot;:&quot;Enteric dysbiosis and fecal calprotectin expression in premature infants&quot;,&quot;author&quot;:[{&quot;family&quot;:&quot;Ho&quot;,&quot;given&quot;:&quot;Thao T.B.&quot;,&quot;parse-names&quot;:false,&quot;dropping-particle&quot;:&quot;&quot;,&quot;non-dropping-particle&quot;:&quot;&quot;},{&quot;family&quot;:&quot;Groer&quot;,&quot;given&quot;:&quot;Maureen W.&quot;,&quot;parse-names&quot;:false,&quot;dropping-particle&quot;:&quot;&quot;,&quot;non-dropping-particle&quot;:&quot;&quot;},{&quot;family&quot;:&quot;Kane&quot;,&quot;given&quot;:&quot;Bradley&quot;,&quot;parse-names&quot;:false,&quot;dropping-particle&quot;:&quot;&quot;,&quot;non-dropping-particle&quot;:&quot;&quot;},{&quot;family&quot;:&quot;Yee&quot;,&quot;given&quot;:&quot;Alyson L.&quot;,&quot;parse-names&quot;:false,&quot;dropping-particle&quot;:&quot;&quot;,&quot;non-dropping-particle&quot;:&quot;&quot;},{&quot;family&quot;:&quot;Torres&quot;,&quot;given&quot;:&quot;Benjamin A.&quot;,&quot;parse-names&quot;:false,&quot;dropping-particle&quot;:&quot;&quot;,&quot;non-dropping-particle&quot;:&quot;&quot;},{&quot;family&quot;:&quot;Gilbert&quot;,&quot;given&quot;:&quot;Jack A.&quot;,&quot;parse-names&quot;:false,&quot;dropping-particle&quot;:&quot;&quot;,&quot;non-dropping-particle&quot;:&quot;&quot;},{&quot;family&quot;:&quot;Maheshwari&quot;,&quot;given&quot;:&quot;Akhil&quot;,&quot;parse-names&quot;:false,&quot;dropping-particle&quot;:&quot;&quot;,&quot;non-dropping-particle&quot;:&quot;&quot;}],&quot;container-title&quot;:&quot;Pediatric Research&quot;,&quot;DOI&quot;:&quot;10.1038/s41390-018-0254-y&quot;,&quot;ISSN&quot;:&quot;15300447&quot;,&quot;PMID&quot;:&quot;30631136&quot;,&quot;URL&quot;:&quot;http://dx.doi.org/10.1038/s41390-018-0254-y&quot;,&quot;issued&quot;:{&quot;date-parts&quot;:[[2019]]},&quot;page&quot;:&quot;361-368&quot;,&quot;abstract&quot;:&quot;Background: Premature infants often develop enteric dysbiosis with a preponderance of Gammaproteobacteria, which has been related to adverse clinical outcomes. We investigated the relationship between increasing fecal Gammaproteobacteria and mucosal inflammation, measured by fecal calprotectin (FC). Methods: Stool samples were collected from very-low-birth weight (VLBW) infants at ≤2, 3, and 4 weeks’ postnatal age. Fecal microbiome was surveyed using polymerase chain reaction amplification of the V4 region of 16S ribosomal RNA, and FC was measured by enzyme immunoassay. Results: We enrolled 45 VLBW infants (gestation 27.9 ± 2.2 weeks, birth weight 1126 ± 208 g) and obtained stool samples at 9.9 ± 3, 20.7 ± 4.1, and 29.4 ± 4.9 days. FC was positively correlated with the genus Klebsiella (r = 0.207, p = 0.034) and its dominant amplicon sequence variant (r = 0.290, p = 0.003), but not with the relative abundance of total Gammaproteobacteria. Klebsiella colonized the gut in two distinct patterns: some infants started with low Klebsiella abundance and gained these bacteria over time, whereas others began with very high Klebsiella abundance. Conclusion: In premature infants, FC correlated with relative abundance of a specific pathobiont, Klebsiella, and not with that of the class Gammaproteobacteria. These findings indicate a need to define dysbiosis at genera or higher levels of resolution.&quot;,&quot;publisher&quot;:&quot;Springer US&quot;,&quot;issue&quot;:&quot;3&quot;,&quot;volume&quot;:&quot;85&quot;,&quot;container-title-short&quot;:&quot;&quot;},&quot;isTemporary&quot;:false}]},{&quot;citationID&quot;:&quot;MENDELEY_CITATION_9d4e69b8-393d-4b2e-aef6-36845ed1f84b&quot;,&quot;properties&quot;:{&quot;noteIndex&quot;:0},&quot;isEdited&quot;:false,&quot;manualOverride&quot;:{&quot;isManuallyOverridden&quot;:false,&quot;citeprocText&quot;:&quot;&lt;sup&gt;229&lt;/sup&gt;&quot;,&quot;manualOverrideText&quot;:&quot;&quot;},&quot;citationTag&quot;:&quot;MENDELEY_CITATION_v3_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&quot;,&quot;citationItems&quot;:[{&quot;id&quot;:&quot;86d4b372-4dab-3afc-a608-7caced4814ab&quot;,&quot;itemData&quot;:{&quot;type&quot;:&quot;article-journal&quot;,&quot;id&quot;:&quot;86d4b372-4dab-3afc-a608-7caced4814ab&quot;,&quot;title&quot;:&quot;MntABC and MntH contribute to systemic staphylococcus aureus infection by competing with calprotectin for nutrient manganese&quot;,&quot;author&quot;:[{&quot;family&quot;:&quot;Kehl-Fie&quot;,&quot;given&quot;:&quot;Thomas E.&quot;,&quot;parse-names&quot;:false,&quot;dropping-particle&quot;:&quot;&quot;,&quot;non-dropping-particle&quot;:&quot;&quot;},{&quot;family&quot;:&quot;Zhang&quot;,&quot;given&quot;:&quot;Yaofang&quot;,&quot;parse-names&quot;:false,&quot;dropping-particle&quot;:&quot;&quot;,&quot;non-dropping-particle&quot;:&quot;&quot;},{&quot;family&quot;:&quot;Moore&quot;,&quot;given&quot;:&quot;Jessica L.&quot;,&quot;parse-names&quot;:false,&quot;dropping-particle&quot;:&quot;&quot;,&quot;non-dropping-particle&quot;:&quot;&quot;},{&quot;family&quot;:&quot;Farrand&quot;,&quot;given&quot;:&quot;Allison J.&quot;,&quot;parse-names&quot;:false,&quot;dropping-particle&quot;:&quot;&quot;,&quot;non-dropping-particle&quot;:&quot;&quot;},{&quot;family&quot;:&quot;Hood&quot;,&quot;given&quot;:&quot;M. Indriati&quot;,&quot;parse-names&quot;:false,&quot;dropping-particle&quot;:&quot;&quot;,&quot;non-dropping-particle&quot;:&quot;&quot;},{&quot;family&quot;:&quot;Rathi&quot;,&quot;given&quot;:&quot;Subodh&quot;,&quot;parse-names&quot;:false,&quot;dropping-particle&quot;:&quot;&quot;,&quot;non-dropping-particle&quot;:&quot;&quot;},{&quot;family&quot;:&quot;Chazin&quot;,&quot;given&quot;:&quot;Walter J.&quot;,&quot;parse-names&quot;:false,&quot;dropping-particle&quot;:&quot;&quot;,&quot;non-dropping-particle&quot;:&quot;&quot;},{&quot;family&quot;:&quot;Caprioli&quot;,&quot;given&quot;:&quot;Richard M.&quot;,&quot;parse-names&quot;:false,&quot;dropping-particle&quot;:&quot;&quot;,&quot;non-dropping-particle&quot;:&quot;&quot;},{&quot;family&quot;:&quot;Skaar&quot;,&quot;given&quot;:&quot;Eric P.&quot;,&quot;parse-names&quot;:false,&quot;dropping-particle&quot;:&quot;&quot;,&quot;non-dropping-particle&quot;:&quot;&quot;}],&quot;container-title&quot;:&quot;Infection and Immunity&quot;,&quot;DOI&quot;:&quot;10.1128/IAI.00420-13&quot;,&quot;ISSN&quot;:&quot;00199567&quot;,&quot;issued&quot;:{&quot;date-parts&quot;:[[2013]]},&quot;page&quot;:&quot;3395-3405&quot;,&quot;abstract&quot;:&quot;During infection, vertebrates limit access to manganese and zinc, starving invading pathogens, such as Staphylococcus aureus, of these essential metals in a process termed \&quot;nutritional immunity.\&quot; The manganese and zinc binding protein calprotectin is a key component of the nutrient-withholding response, and mice lacking this protein do not sequester manganese from S. aureus liver abscesses. One potential mechanism utilized by S. aureus to minimize host-imposed manganese and zinc starvation is the expression of the metal transporters MntABC and MntH. We performed transcriptional analyses of both mntA and mntH, which revealed increased expression of both systems in response to calprotectin treatment. MntABC and MntH compete with calprotectin for manganese, which enables S. aureus growth and retention of manganese-dependent superoxide dismutase activity. Loss of MntABC and MntH results in reduced staphylococcal burdens in the livers of wild-type but not calprotectin-deficient mice, suggesting that these systems promote manganese acquisition during infection. During the course of these studies, we observed that metal content and the importance of calprotectin varies between murine organs, and infection leads to profound changes in the anatomical distribution of manganese and zinc. In total, these studies provide insight into the mechanisms utilized by bacteria to evade host-imposed nutrient metal starvation and the critical importance of restricting manganese availability during infection. © 2013, American Society for Microbiology.&quot;,&quot;issue&quot;:&quot;9&quot;,&quot;volume&quot;:&quot;81&quot;,&quot;container-title-short&quot;:&quot;&quot;},&quot;isTemporary&quot;:false}]},{&quot;citationID&quot;:&quot;MENDELEY_CITATION_69da7d41-e300-430f-b8ee-0f5680adb0c8&quot;,&quot;properties&quot;:{&quot;noteIndex&quot;:0},&quot;isEdited&quot;:false,&quot;manualOverride&quot;:{&quot;isManuallyOverridden&quot;:false,&quot;citeprocText&quot;:&quot;&lt;sup&gt;206,230&lt;/sup&gt;&quot;,&quot;manualOverrideText&quot;:&quot;&quot;},&quot;citationTag&quot;:&quot;MENDELEY_CITATION_v3_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&quot;,&quot;citationItems&quot;:[{&quot;id&quot;:&quot;374a78ed-52df-38f0-8cf2-1f2a791c38b8&quot;,&quot;itemData&quot;:{&quot;type&quot;:&quot;article-journal&quot;,&quot;id&quot;:&quot;374a78ed-52df-38f0-8cf2-1f2a791c38b8&quot;,&quot;title&quot;:&quot;The influence of prenatal and intrapartum antibiotics on intestinal microbiota colonisation in infants: A systematic review&quot;,&quot;author&quot;:[{&quot;family&quot;:&quot;Dierikx&quot;,&quot;given&quot;:&quot;T. H.&quot;,&quot;parse-names&quot;:false,&quot;dropping-particle&quot;:&quot;&quot;,&quot;non-dropping-particle&quot;:&quot;&quot;},{&quot;family&quot;:&quot;Visser&quot;,&quot;given&quot;:&quot;D. H.&quot;,&quot;parse-names&quot;:false,&quot;dropping-particle&quot;:&quot;&quot;,&quot;non-dropping-particle&quot;:&quot;&quot;},{&quot;family&quot;:&quot;Benninga&quot;,&quot;given&quot;:&quot;M. A.&quot;,&quot;parse-names&quot;:false,&quot;dropping-particle&quot;:&quot;&quot;,&quot;non-dropping-particle&quot;:&quot;&quot;},{&quot;family&quot;:&quot;Kaam&quot;,&quot;given&quot;:&quot;A. H.L.C.&quot;,&quot;parse-names&quot;:false,&quot;dropping-particle&quot;:&quot;&quot;,&quot;non-dropping-particle&quot;:&quot;van&quot;},{&quot;family&quot;:&quot;Boer&quot;,&quot;given&quot;:&quot;N. K.H.&quot;,&quot;parse-names&quot;:false,&quot;dropping-particle&quot;:&quot;&quot;,&quot;non-dropping-particle&quot;:&quot;de&quot;},{&quot;family&quot;:&quot;Vries&quot;,&quot;given&quot;:&quot;R.&quot;,&quot;parse-names&quot;:false,&quot;dropping-particle&quot;:&quot;&quot;,&quot;non-dropping-particle&quot;:&quot;de&quot;},{&quot;family&quot;:&quot;Limbergen&quot;,&quot;given&quot;:&quot;J.&quot;,&quot;parse-names&quot;:false,&quot;dropping-particle&quot;:&quot;&quot;,&quot;non-dropping-particle&quot;:&quot;van&quot;},{&quot;family&quot;:&quot;Meij&quot;,&quot;given&quot;:&quot;T. G.J.&quot;,&quot;parse-names&quot;:false,&quot;dropping-particle&quot;:&quot;&quot;,&quot;non-dropping-particle&quot;:&quot;de&quot;},{&quot;family&quot;:&quot;Kaam&quot;,&quot;given&quot;:&quot;A H L C&quot;,&quot;parse-names&quot;:false,&quot;dropping-particle&quot;:&quot;van&quot;,&quot;non-dropping-particle&quot;:&quot;&quot;},{&quot;family&quot;:&quot;Boer&quot;,&quot;given&quot;:&quot;N K H&quot;,&quot;parse-names&quot;:false,&quot;dropping-particle&quot;:&quot;de&quot;,&quot;non-dropping-particle&quot;:&quot;&quot;},{&quot;family&quot;:&quot;Limbergen&quot;,&quot;given&quot;:&quot;J&quot;,&quot;parse-names&quot;:false,&quot;dropping-particle&quot;:&quot;van&quot;,&quot;non-dropping-particle&quot;:&quot;&quot;},{&quot;family&quot;:&quot;Meij&quot;,&quot;given&quot;:&quot;T G J&quot;,&quot;parse-names&quot;:false,&quot;dropping-particle&quot;:&quot;de&quot;,&quot;non-dropping-particle&quot;:&quot;&quot;}],&quot;container-title&quot;:&quot;Journal of Infection&quot;,&quot;DOI&quot;:&quot;10.1016/j.jinf.2020.05.002&quot;,&quot;ISSN&quot;:&quot;15322742&quot;,&quot;PMID&quot;:&quot;32389786&quot;,&quot;URL&quot;:&quot;https://doi.org/10.1016/j.jinf.2020.05.002&quot;,&quot;issued&quot;:{&quot;date-parts&quot;:[[2020]]},&quot;page&quot;:&quot;190-204&quot;,&quot;abstract&quot;:&quot;Objectives: The intestinal microbiota develops in early infancy and is essential for health status early and later in life. In this review we focus on the effect of prenatal and intrapartum maternally administered antibiotics on the infant intestinal microbiota. Methods: A systematic literature search was conducted in PubMed and EMBASE. All studies reporting effect on diversity or microbiota profiles were included. Results: A total of 4.030 records were encountered. A total of 24 articles were included in the final analysis. Infants from mothers exposed to antibiotics during delivery showed a decreased microbial diversity compared to non-exposed infants. The microbiota of infants exposed to antibiotics was characterised by a decreased abundance of Bacteriodetes and Bifidobacteria, with a concurrent increase of Proteobacteria. These effects were most pronounced in term vaginally born infants. Conclusion: Maternal administration of antibiotics seems to have profound effects on the infant gut microbiota colonisation. Interpretation of microbiota aberrations in specific populations, such as preterm and caesarean born infants, is complicated by multiple confounding factors and by lack of high quality studies and high heterogeneity in study design. Further research is needed to investigate the potential short- and long-term clinical consequences of these microbial alterations.&quot;,&quot;publisher&quot;:&quot;Elsevier Ltd&quot;,&quot;issue&quot;:&quot;2&quot;,&quot;volume&quot;:&quot;81&quot;,&quot;container-title-short&quot;:&quot;&quot;},&quot;isTemporary&quot;:false},{&quot;id&quot;:&quot;ce4d098d-c028-3f34-9707-e287171e19f7&quot;,&quot;itemData&quot;:{&quot;type&quot;:&quot;article-journal&quot;,&quot;id&quot;:&quot;ce4d098d-c028-3f34-9707-e287171e19f7&quot;,&quot;title&quot;:&quot;Intrapartum antibiotic prophylaxis for Group B Streptococcus: Has the time come to wait more than 4 hours?&quot;,&quot;author&quot;:[{&quot;family&quot;:&quot;Turrentine&quot;,&quot;given&quot;:&quot;Mark&quot;,&quot;parse-names&quot;:false,&quot;dropping-particle&quot;:&quot;&quot;,&quot;non-dropping-particle&quot;:&quot;&quot;}],&quot;container-title&quot;:&quot;American Journal of Obstetrics and Gynecology&quot;,&quot;DOI&quot;:&quot;10.1016/j.ajog.2013.12.010&quot;,&quot;ISSN&quot;:&quot;10976868&quot;,&quot;PMID&quot;:&quot;24315859&quot;,&quot;URL&quot;:&quot;http://dx.doi.org/10.1016/j.ajog.2013.12.010&quot;,&quot;issued&quot;:{&quot;date-parts&quot;:[[2014]]},&quot;page&quot;:&quot;15-17&quot;,&quot;abstract&quot;:&quot;Despite progress in preventing infant group B streptococcal disease, group B streptococcus remains the leading cause of early-onset neonatal sepsis in the United States. Fortunately, most women who are colonized with group B streptococcus receive therapy and antibiotic prophylaxis is effective. However, the only factor associated with missed chemoprophylaxis is the short duration of time between hospital admission and delivery. Although antibiotic prophylaxis given for at least 2 hours shows some pharmacological benefit, the most effective method of preventing early-onset group B streptococcus disease is 4 hours of therapy. Intrapartum management strategies might be modified to improve the efficacy of antibiotic exposure. Obstetricians should consider strengthening the beneficial effect of intrapartum antibiotic prophylaxis for infants exposed to group B streptococcus by providing at least 4 hours of treatment coverage. © 2014 Mosby, Inc. All rights reserved.&quot;,&quot;publisher&quot;:&quot;Elsevier Inc&quot;,&quot;issue&quot;:&quot;1&quot;,&quot;volume&quot;:&quot;211&quot;,&quot;container-title-short&quot;:&quot;&quot;},&quot;isTemporary&quot;:false}]},{&quot;citationID&quot;:&quot;MENDELEY_CITATION_2daa1229-2c14-41cf-b527-a1185ec080b8&quot;,&quot;properties&quot;:{&quot;noteIndex&quot;:0},&quot;isEdited&quot;:false,&quot;manualOverride&quot;:{&quot;isManuallyOverridden&quot;:false,&quot;citeprocText&quot;:&quot;&lt;sup&gt;231&lt;/sup&gt;&quot;,&quot;manualOverrideText&quot;:&quot;&quot;},&quot;citationTag&quot;:&quot;MENDELEY_CITATION_v3_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&quot;,&quot;citationItems&quot;:[{&quot;id&quot;:&quot;d8dd0a1a-a304-3e60-89bb-f9a9445ff290&quot;,&quot;itemData&quot;:{&quot;type&quot;:&quot;article-journal&quot;,&quot;id&quot;:&quot;d8dd0a1a-a304-3e60-89bb-f9a9445ff290&quot;,&quot;title&quot;:&quot;Trace metals and animal health: Interplay of the gut microbiota with iron, manganese, zinc, and copper&quot;,&quot;author&quot;:[{&quot;family&quot;:&quot;Pajarillo&quot;,&quot;given&quot;:&quot;Edward Alain B.&quot;,&quot;parse-names&quot;:false,&quot;dropping-particle&quot;:&quot;&quot;,&quot;non-dropping-particle&quot;:&quot;&quot;},{&quot;family&quot;:&quot;Lee&quot;,&quot;given&quot;:&quot;Eunsook&quot;,&quot;parse-names&quot;:false,&quot;dropping-particle&quot;:&quot;&quot;,&quot;non-dropping-particle&quot;:&quot;&quot;},{&quot;family&quot;:&quot;Kang&quot;,&quot;given&quot;:&quot;Dae-Kyung&quot;,&quot;parse-names&quot;:false,&quot;dropping-particle&quot;:&quot;&quot;,&quot;non-dropping-particle&quot;:&quot;&quot;}],&quot;container-title&quot;:&quot;Animal Nutrition&quot;,&quot;DOI&quot;:&quot;10.1016/j.aninu.2021.03.005&quot;,&quot;ISSN&quot;:&quot;24056545&quot;,&quot;URL&quot;:&quot;https://doi.org/10.1016/j.aninu.2021.03.005&quot;,&quot;issued&quot;:{&quot;date-parts&quot;:[[2021]]},&quot;page&quot;:&quot;750-761&quot;,&quot;abstract&quot;:&quot;Metals such as iron, manganese, copper, and zinc are recognized as essential trace  elements. These trace metals play critical roles in development, growth, and metabolism, participating in various metabolic processes by acting as cofactors of enzymes or providing structural support to proteins. Deficiency or toxicity of these metals can impact human and animal health, giving rise to a number of metabolic and neurological disorders. Proper breakdown, absorption, and elimination of these trace metals is a tightly regulated process that requires crosstalk between the host and these micronutrients. The gut is a complex system that serves as the interface between these components, but other factors that contribute to this delicate interaction are not well understood. The gut is home to trillions of microorganisms and microbial genes (the gut microbiome) that can regulate the metabolism and transport of micronutrients and contribute to the bioavailability of trace metals through their assimilation from food sources or by competing with the host. Furthermore, deficiency or toxicity of these metals can modulate the gut microenvironment, including microbiota, nutrient availability, stress, and immunity. Thus, understanding the role of the gut microbiota in the metabolism of manganese, iron, copper, and zinc, as well as in heavy metal deficiencies and toxicities, and vice versa, may provide insight into developing improved or alternative therapeutic strategies to address emerging health concerns. This review describes the current understanding of how the gut microbiome and trace metals interact and affect host health, particularly in pigs.&quot;,&quot;publisher&quot;:&quot;Elsevier Inc&quot;,&quot;issue&quot;:&quot;3&quot;,&quot;volume&quot;:&quot;7&quot;,&quot;container-title-short&quot;:&quot;&quot;},&quot;isTemporary&quot;:false}]},{&quot;citationID&quot;:&quot;MENDELEY_CITATION_348982f8-5a22-4483-a0fc-1e675c06a813&quot;,&quot;properties&quot;:{&quot;noteIndex&quot;:0},&quot;isEdited&quot;:false,&quot;manualOverride&quot;:{&quot;isManuallyOverridden&quot;:false,&quot;citeprocText&quot;:&quot;&lt;sup&gt;216&lt;/sup&gt;&quot;,&quot;manualOverrideText&quot;:&quot;&quot;},&quot;citationTag&quot;:&quot;MENDELEY_CITATION_v3_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&quot;,&quot;citationItems&quot;:[{&quot;id&quot;:&quot;4cf58dbb-4958-3e54-8f0b-ccbdabd6d57a&quot;,&quot;itemData&quot;:{&quot;type&quot;:&quot;article-journal&quot;,&quot;id&quot;:&quot;4cf58dbb-4958-3e54-8f0b-ccbdabd6d57a&quot;,&quot;title&quot;:&quot;Metal limitation and toxicity at the interface between host and pathogen&quot;,&quot;author&quot;:[{&quot;family&quot;:&quot;Becker&quot;,&quot;given&quot;:&quot;Kyle W.&quot;,&quot;parse-names&quot;:false,&quot;dropping-particle&quot;:&quot;&quot;,&quot;non-dropping-particle&quot;:&quot;&quot;},{&quot;family&quot;:&quot;Skaar&quot;,&quot;given&quot;:&quot;Eric P.&quot;,&quot;parse-names&quot;:false,&quot;dropping-particle&quot;:&quot;&quot;,&quot;non-dropping-particle&quot;:&quot;&quot;}],&quot;container-title&quot;:&quot;FEMS Microbiology Reviews&quot;,&quot;DOI&quot;:&quot;10.1111/1574-6976.12087&quot;,&quot;ISSN&quot;:&quot;15746976&quot;,&quot;PMID&quot;:&quot;25211180&quot;,&quot;issued&quot;:{&quot;date-parts&quot;:[[2014]]},&quot;page&quot;:&quot;1235-1249&quot;,&quot;abstract&quot;:&quot;Metals are required cofactors for numerous fundamental processes that are essential to both pathogen and host. They are coordinated in enzymes responsible for DNA replication and transcription, relief from oxidative stress, and cellular respiration. However, excess transition metals can be toxic due to their ability to cause spontaneous, redox cycling and disrupt normal metabolic processes. Vertebrates have evolved intricate mechanisms to limit the availability of some crucial metals while concurrently flooding sites of infection with antimicrobial concentrations of other metals. To compete for limited metal within the host while simultaneously preventing metal toxicity, pathogens have developed a series of metal regulatory, acquisition, and efflux systems. This review will cover the mechanisms by which pathogenic bacteria recognize and respond to host-induced metal scarcity and toxicity.&quot;,&quot;issue&quot;:&quot;6&quot;,&quot;volume&quot;:&quot;38&quot;,&quot;container-title-short&quot;:&quot;&quot;},&quot;isTemporary&quot;:false}]},{&quot;citationID&quot;:&quot;MENDELEY_CITATION_27314780-c319-44a0-8d94-b82d713a5a62&quot;,&quot;properties&quot;:{&quot;noteIndex&quot;:0},&quot;isEdited&quot;:false,&quot;manualOverride&quot;:{&quot;isManuallyOverridden&quot;:false,&quot;citeprocText&quot;:&quot;&lt;sup&gt;232&lt;/sup&gt;&quot;,&quot;manualOverrideText&quot;:&quot;&quot;},&quot;citationTag&quot;:&quot;MENDELEY_CITATION_v3_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&quot;,&quot;citationItems&quot;:[{&quot;id&quot;:&quot;6a4ed1e5-5950-3db2-89be-d08d1b5d52a7&quot;,&quot;itemData&quot;:{&quot;type&quot;:&quot;article-journal&quot;,&quot;id&quot;:&quot;6a4ed1e5-5950-3db2-89be-d08d1b5d52a7&quot;,&quot;title&quot;:&quot; A genome-wide screen reveals the involvement of enterobactin-mediated iron acquisition in Escherichia coli survival during copper stress &quot;,&quot;author&quot;:[{&quot;family&quot;:&quot;Casanova-Hampton&quot;,&quot;given&quot;:&quot;Kaitlin&quot;,&quot;parse-names&quot;:false,&quot;dropping-particle&quot;:&quot;&quot;,&quot;non-dropping-particle&quot;:&quot;&quot;},{&quot;family&quot;:&quot;Carey&quot;,&quot;given&quot;:&quot;Alexis&quot;,&quot;parse-names&quot;:false,&quot;dropping-particle&quot;:&quot;&quot;,&quot;non-dropping-particle&quot;:&quot;&quot;},{&quot;family&quot;:&quot;Kassam&quot;,&quot;given&quot;:&quot;Sarah&quot;,&quot;parse-names&quot;:false,&quot;dropping-particle&quot;:&quot;&quot;,&quot;non-dropping-particle&quot;:&quot;&quot;},{&quot;family&quot;:&quot;Garner&quot;,&quot;given&quot;:&quot;Alyssa&quot;,&quot;parse-names&quot;:false,&quot;dropping-particle&quot;:&quot;&quot;,&quot;non-dropping-particle&quot;:&quot;&quot;},{&quot;family&quot;:&quot;Donati&quot;,&quot;given&quot;:&quot;George L&quot;,&quot;parse-names&quot;:false,&quot;dropping-particle&quot;:&quot;&quot;,&quot;non-dropping-particle&quot;:&quot;&quot;},{&quot;family&quot;:&quot;Thangamani&quot;,&quot;given&quot;:&quot;Shankar&quot;,&quot;parse-names&quot;:false,&quot;dropping-particle&quot;:&quot;&quot;,&quot;non-dropping-particle&quot;:&quot;&quot;},{&quot;family&quot;:&quot;Subashchandrabose&quot;,&quot;given&quot;:&quot;Sargurunathan&quot;,&quot;parse-names&quot;:false,&quot;dropping-particle&quot;:&quot;&quot;,&quot;non-dropping-particle&quot;:&quot;&quot;}],&quot;container-title&quot;:&quot;Metallomics&quot;,&quot;DOI&quot;:&quot;10.1093/mtomcs/mfab052&quot;,&quot;ISSN&quot;:&quot;1756591X&quot;,&quot;PMID&quot;:&quot;34415046&quot;,&quot;issued&quot;:{&quot;date-parts&quot;:[[2021]]},&quot;abstract&quot;:&quot;Copper (Cu) is a key transition metal that is involved in many important biological processes in a cell. Cu is also utilized by the immune system to hamper pathogen growth during infection. However, genome-level knowledge on the mechanisms involved in adaptation to Cu stress is limited. Here, we report the results of a genome-wide reverse genetic screen for Cu-responsive phenotypes in Escherichia coli. Our screen has identified novel genes involved in adaptation to Cu stress in E. coli. We detected multiple genes involved in the biosynthesis and uptake of enterobactin, a siderophore utilized for high-affinity TonB-dependent acquisition of iron (Fe), as critical players in survival under Cu intoxication. We demonstrated the specificity of Cu-dependent killing by chelation of Cu and by genetic complementation of tonB. Notably, TonB is involved in protection from Cu in both laboratory and uropathogenic strains of E. coli. Cu stress leads to increased expression of the genes involved in Fe uptake, indicating that Fur regulon is derepressed during exposure to excess Cu. Trace element analyses revealed that Fe homeostasis is dysregulated during Cu stress. Taken together, our data supports a model in which lack of enterobactin-dependent Fe uptake leads to exacerbation of Cu toxicity, and elucidates the intricate connection between the homeostasis of Cu and Fe in a bacterial cell.&quot;,&quot;issue&quot;:&quot;9&quot;,&quot;volume&quot;:&quot;13&quot;,&quot;container-title-short&quot;:&quot;&quot;},&quot;isTemporary&quot;:false}]},{&quot;citationID&quot;:&quot;MENDELEY_CITATION_d0b4289d-905f-4781-96b6-438069a967de&quot;,&quot;properties&quot;:{&quot;noteIndex&quot;:0},&quot;isEdited&quot;:false,&quot;manualOverride&quot;:{&quot;isManuallyOverridden&quot;:false,&quot;citeprocText&quot;:&quot;&lt;sup&gt;233–235&lt;/sup&gt;&quot;,&quot;manualOverrideText&quot;:&quot;&quot;},&quot;citationTag&quot;:&quot;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&quot;,&quot;citationItems&quot;:[{&quot;id&quot;:&quot;8b8173b4-34ab-3eb7-9aa3-ba5e9f871df1&quot;,&quot;itemData&quot;:{&quot;type&quot;:&quot;article-journal&quot;,&quot;id&quot;:&quot;8b8173b4-34ab-3eb7-9aa3-ba5e9f871df1&quot;,&quot;title&quot;:&quot;The iron-sulfur clusters of dehydratases are primary intracellular targets of copper toxicity&quot;,&quot;author&quot;:[{&quot;family&quot;:&quot;Macomber&quot;,&quot;given&quot;:&quot;Lee&quot;,&quot;parse-names&quot;:false,&quot;dropping-particle&quot;:&quot;&quot;,&quot;non-dropping-particle&quot;:&quot;&quot;},{&quot;family&quot;:&quot;Imlay&quot;,&quot;given&quot;:&quot;James A.&quot;,&quot;parse-names&quot;:false,&quot;dropping-particle&quot;:&quot;&quot;,&quot;non-dropping-particle&quot;:&quot;&quot;}],&quot;container-title&quot;:&quot;Proceedings of the National Academy of Sciences of the United States of America&quot;,&quot;DOI&quot;:&quot;10.1073/pnas.0812808106&quot;,&quot;ISSN&quot;:&quot;00278424&quot;,&quot;PMID&quot;:&quot;19416816&quot;,&quot;issued&quot;:{&quot;date-parts&quot;:[[2009]]},&quot;page&quot;:&quot;8344-8349&quot;,&quot;abstract&quot;:&quot;Excess copper is poisonous to all forms of life, and copper overloading is responsible for several human pathologic processes. The primary mechanisms of toxicity are unknown. In this study, mutants of Escherichia coli that lack copper homeostatic systems (copA cueO cus) were used to identify intracellular targets and to test the hypothesis that toxicity involves the action of reactive oxygen species. Low micromolar levels of copper were sufficient to inhibit the growth of both WT and mutant strains. The addition of branched-chain amino acids restored growth, indicating that copper blocks their biosynthesis. Indeed, copper treatment rapidly inactivated isopropylmalate dehydratase, an iron-sulfur cluster enzyme in this pathway. Other enzymes in this iron-sulfur dehydratase family were similarly affected. Inactivation did not require oxygen, in vivo or with purified enzyme. Damage occurred concomitant with the displacement of iron atoms from the solventexposed cluster, suggesting that Cu(l) damages these proteins by liganding to the coordinating sulfur atoms. Copper efflux by dedicated export systems, chelation by glutathione, and cluster repair by assembly systems all enhance the resistance of cells to this metal.&quot;,&quot;issue&quot;:&quot;20&quot;,&quot;volume&quot;:&quot;106&quot;,&quot;container-title-short&quot;:&quot;Proc Natl Acad Sci U S A&quot;},&quot;isTemporary&quot;:false},{&quot;id&quot;:&quot;bb8e47e5-8ca8-3d42-8d95-763455be502c&quot;,&quot;itemData&quot;:{&quot;type&quot;:&quot;article-journal&quot;,&quot;id&quot;:&quot;bb8e47e5-8ca8-3d42-8d95-763455be502c&quot;,&quot;title&quot;:&quot;Antimicrobial action of copper is amplified via inhibition of heme biosynthesis&quot;,&quot;author&quot;:[{&quot;family&quot;:&quot;Djoko&quot;,&quot;given&quot;:&quot;Karrera Y.&quot;,&quot;parse-names&quot;:false,&quot;dropping-particle&quot;:&quot;&quot;,&quot;non-dropping-particle&quot;:&quot;&quot;},{&quot;family&quot;:&quot;McEwan&quot;,&quot;given&quot;:&quot;Alastair G.&quot;,&quot;parse-names&quot;:false,&quot;dropping-particle&quot;:&quot;&quot;,&quot;non-dropping-particle&quot;:&quot;&quot;}],&quot;container-title&quot;:&quot;ACS Chemical Biology&quot;,&quot;DOI&quot;:&quot;10.1021/cb4002443&quot;,&quot;ISSN&quot;:&quot;15548937&quot;,&quot;PMID&quot;:&quot;23895035&quot;,&quot;issued&quot;:{&quot;date-parts&quot;:[[2013]]},&quot;page&quot;:&quot;2217-2223&quot;,&quot;abstract&quot;:&quot;Copper (Cu) is a potent antimicrobial agent. Its use as a disinfectant goes back to antiquity, but this metal ion has recently emerged to have a physiological role in the host innate immune response. Recent studies have identified iron-sulfur containing proteins as key targets for inhibition by Cu. However, the way in these effects at the molecular level translate into a global effect on cell physiology is not fully understood. Here, we provide a new insight into the way in which Cu poisons bacteria. Using a copA mutant of the obligate human pathogen Neisseria gonorrhoeae that lacks a Cu efflux pump, we showed that Cu overloading led to an increased sensitivity to hydrogen peroxide. However, instead of promoting disproportionation of H2O2 via Fenton chemistry, Cu treatment led to an increased lifetime of H 2O2 in cultures as a result of a marked decrease in catalase activity. We showed that this observation correlated with a loss of intracellular heme. We further established that Cu inhibited the pathway for heme biosynthesis. We proposed that this impaired ability to produce heme during Cu stress would lead to the failure to activate hemoproteins that participate in key processes, such as the detoxification of various reactive oxygen and nitrogen species, and aerobic respiration. The impact would be a global disruption of cellular biochemistry and an amplified Cu toxicity. © 2013 American Chemical Society.&quot;,&quot;issue&quot;:&quot;10&quot;,&quot;volume&quot;:&quot;8&quot;,&quot;container-title-short&quot;:&quot;&quot;},&quot;isTemporary&quot;:false},{&quot;id&quot;:&quot;313cc7f3-5cea-34a9-80ab-7bfcb7968016&quot;,&quot;itemData&quot;:{&quot;type&quot;:&quot;article-journal&quot;,&quot;id&quot;:&quot;313cc7f3-5cea-34a9-80ab-7bfcb7968016&quot;,&quot;title&quot;:&quot;The copper regulon of the human fungal pathogen Cryptococcus neoformans H99&quot;,&quot;author&quot;:[{&quot;family&quot;:&quot;Ding&quot;,&quot;given&quot;:&quot;Chen&quot;,&quot;parse-names&quot;:false,&quot;dropping-particle&quot;:&quot;&quot;,&quot;non-dropping-particle&quot;:&quot;&quot;},{&quot;family&quot;:&quot;Yin&quot;,&quot;given&quot;:&quot;Jun&quot;,&quot;parse-names&quot;:false,&quot;dropping-particle&quot;:&quot;&quot;,&quot;non-dropping-particle&quot;:&quot;&quot;},{&quot;family&quot;:&quot;Tovar&quot;,&quot;given&quot;:&quot;Edgar Mauricio Medina&quot;,&quot;parse-names&quot;:false,&quot;dropping-particle&quot;:&quot;&quot;,&quot;non-dropping-particle&quot;:&quot;&quot;},{&quot;family&quot;:&quot;Fitzpatrick&quot;,&quot;given&quot;:&quot;David A.&quot;,&quot;parse-names&quot;:false,&quot;dropping-particle&quot;:&quot;&quot;,&quot;non-dropping-particle&quot;:&quot;&quot;},{&quot;family&quot;:&quot;Higgins&quot;,&quot;given&quot;:&quot;Desmond G.&quot;,&quot;parse-names&quot;:false,&quot;dropping-particle&quot;:&quot;&quot;,&quot;non-dropping-particle&quot;:&quot;&quot;},{&quot;family&quot;:&quot;Thiele&quot;,&quot;given&quot;:&quot;Dennis J.&quot;,&quot;parse-names&quot;:false,&quot;dropping-particle&quot;:&quot;&quot;,&quot;non-dropping-particle&quot;:&quot;&quot;}],&quot;container-title&quot;:&quot;Molecular Microbiology&quot;,&quot;DOI&quot;:&quot;10.1111/j.1365-2958.2011.07794.x&quot;,&quot;ISSN&quot;:&quot;0950382X&quot;,&quot;PMID&quot;:&quot;21819456&quot;,&quot;issued&quot;:{&quot;date-parts&quot;:[[2011]]},&quot;page&quot;:&quot;1560-1576&quot;,&quot;abstract&quot;:&quot;Cryptococcus neoformans is a human fungal pathogen that is the causative agent of cryptococcosis and fatal meningitis in immuno-compromised hosts. Recent studies suggest that copper (Cu) acquisition plays an important role in C.neoformans virulence, as mutants that lack Cuf1, which activates the Ctr4 high affinity Cu importer, are hypo-virulent in mouse models. To understand the constellation of Cu-responsive genes in C.neoformans and how their expression might contribute to virulence, we determined the transcript profile of C.neoformans in response to elevated Cu or Cu deficiency. We identified two metallothionein genes (CMT1 and CMT2), encoding cysteine-rich Cu binding and detoxifying proteins, whose expression is dramatically elevated in response to excess Cu. We identified a new C.neoformans Cu transporter, CnCtr1, that is induced by Cu deficiency and is distinct from CnCtr4 and which shows significant phylogenetic relationship to Ctr1 from other fungi. Surprisingly, in contrast to other fungi, we found that induction of both CnCTR1 and CnCTR4 expression under Cu limitation, and CMT1 and CMT2 in response to Cu excess, are dependent on the CnCuf1 Cu metalloregulatory transcription factor. These studies set the stage for the evaluation of the specific Cuf1 target genes required for virulence in C. neoformans. © 2011 Blackwell Publishing Ltd.&quot;,&quot;issue&quot;:&quot;6&quot;,&quot;volume&quot;:&quot;81&quot;,&quot;container-title-short&quot;:&quot;&quot;},&quot;isTemporary&quot;:false}]},{&quot;citationID&quot;:&quot;MENDELEY_CITATION_7bd31b94-5a6a-40fe-b6ee-544eca9fa354&quot;,&quot;properties&quot;:{&quot;noteIndex&quot;:0},&quot;isEdited&quot;:false,&quot;manualOverride&quot;:{&quot;isManuallyOverridden&quot;:false,&quot;citeprocText&quot;:&quot;&lt;sup&gt;236,237&lt;/sup&gt;&quot;,&quot;manualOverrideText&quot;:&quot;&quot;},&quot;citationTag&quot;:&quot;MENDELEY_CITATION_v3_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&quot;,&quot;citationItems&quot;:[{&quot;id&quot;:&quot;c354f07c-3b2f-370d-a260-8183d6280cfc&quot;,&quot;itemData&quot;:{&quot;type&quot;:&quot;article-journal&quot;,&quot;id&quot;:&quot;c354f07c-3b2f-370d-a260-8183d6280cfc&quot;,&quot;title&quot;:&quot;Microbial copper-binding siderophores at the host-pathogen interface&quot;,&quot;author&quot;:[{&quot;family&quot;:&quot;Koh&quot;,&quot;given&quot;:&quot;Eun Ik&quot;,&quot;parse-names&quot;:false,&quot;dropping-particle&quot;:&quot;&quot;,&quot;non-dropping-particle&quot;:&quot;&quot;},{&quot;family&quot;:&quot;Henderson&quot;,&quot;given&quot;:&quot;Jeffrey P.&quot;,&quot;parse-names&quot;:false,&quot;dropping-particle&quot;:&quot;&quot;,&quot;non-dropping-particle&quot;:&quot;&quot;}],&quot;container-title&quot;:&quot;Journal of Biological Chemistry&quot;,&quot;DOI&quot;:&quot;10.1074/jbc.R115.644328&quot;,&quot;ISSN&quot;:&quot;1083351X&quot;,&quot;PMID&quot;:&quot;26055720&quot;,&quot;URL&quot;:&quot;http://dx.doi.org/10.1074/jbc.R115.644328&quot;,&quot;issued&quot;:{&quot;date-parts&quot;:[[2015]]},&quot;page&quot;:&quot;18967-18974&quot;,&quot;abstract&quot;:&quot;Numerous pathogenic microorganisms secrete small molecule chelators called siderophores defined by their ability to bind extracellular ferric iron, making it bioavailable to microbes. Recently, a siderophore produced by uropathogenic Escherichia coli, yersiniabactin, was found to also bind copper ions during human infections. The ability of yersiniabactin to protect E. coli from copper toxicity and redox-based phagocyte defenses distinguishes it from other E. coli siderophores. Here we compare yersiniabactin to other extracellular copper-binding molecules and review how copper-binding siderophores may confer virulence-associated gains of function during infection pathogenesis.&quot;,&quot;publisher&quot;:&quot;Â© 2015 ASBMB. Currently published by Elsevier Inc; originally published by American Society for Biochemistry and Molecular Biology.&quot;,&quot;issue&quot;:&quot;31&quot;,&quot;volume&quot;:&quot;290&quot;,&quot;container-title-short&quot;:&quot;&quot;},&quot;isTemporary&quot;:false},{&quot;id&quot;:&quot;df38301e-25e1-3b12-aecf-48607668129c&quot;,&quot;itemData&quot;:{&quot;type&quot;:&quot;article-journal&quot;,&quot;id&quot;:&quot;df38301e-25e1-3b12-aecf-48607668129c&quot;,&quot;title&quot;:&quot;Copper at the Front Line of the Host-Pathogen Battle&quot;,&quot;author&quot;:[{&quot;family&quot;:&quot;Festa&quot;,&quot;given&quot;:&quot;Richard A&quot;,&quot;parse-names&quot;:false,&quot;dropping-particle&quot;:&quot;&quot;,&quot;non-dropping-particle&quot;:&quot;&quot;},{&quot;family&quot;:&quot;Thiele&quot;,&quot;given&quot;:&quot;Dennis J&quot;,&quot;parse-names&quot;:false,&quot;dropping-particle&quot;:&quot;&quot;,&quot;non-dropping-particle&quot;:&quot;&quot;}],&quot;DOI&quot;:&quot;10.1371/journal.ppat.1002887&quot;,&quot;issued&quot;:{&quot;date-parts&quot;:[[2012]]},&quot;page&quot;:&quot;9-12&quot;,&quot;issue&quot;:&quot;9&quot;,&quot;volume&quot;:&quot;8&quot;,&quot;container-title-short&quot;:&quot;&quot;},&quot;isTemporary&quot;:false}]},{&quot;citationID&quot;:&quot;MENDELEY_CITATION_35aa1ece-4281-477f-9e73-d6d8ac4cd912&quot;,&quot;properties&quot;:{&quot;noteIndex&quot;:0},&quot;isEdited&quot;:false,&quot;manualOverride&quot;:{&quot;isManuallyOverridden&quot;:false,&quot;citeprocText&quot;:&quot;&lt;sup&gt;238&lt;/sup&gt;&quot;,&quot;manualOverrideText&quot;:&quot;&quot;},&quot;citationTag&quot;:&quot;MENDELEY_CITATION_v3_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&quot;,&quot;citationItems&quot;:[{&quot;id&quot;:&quot;5c6c6958-11bd-3241-934c-5a583fc095c1&quot;,&quot;itemData&quot;:{&quot;type&quot;:&quot;article-journal&quot;,&quot;id&quot;:&quot;5c6c6958-11bd-3241-934c-5a583fc095c1&quot;,&quot;title&quot;:&quot;Copper disposition in bacteria&quot;,&quot;author&quot;:[{&quot;family&quot;:&quot;Solioz&quot;,&quot;given&quot;:&quot;Marc&quot;,&quot;parse-names&quot;:false,&quot;dropping-particle&quot;:&quot;&quot;,&quot;non-dropping-particle&quot;:&quot;&quot;}],&quot;container-title&quot;:&quot;Clinical and Translational Perspectives on WILSON DISEASE&quot;,&quot;DOI&quot;:&quot;10.1016/B978-0-12-810532-0.00011-2&quot;,&quot;ISBN&quot;:&quot;9780128105320&quot;,&quot;issued&quot;:{&quot;date-parts&quot;:[[2018]]},&quot;page&quot;:&quot;101-113&quot;,&quot;abstract&quot;:&quot;In the last two decades, there has been great advance in the understanding of bacterial copper homeostasis and toxicity mechanisms. A minimum of three proteins form the core of copper homeostasis in all bacteria: A copper-exporting ATPase that pumps copper across the cytoplasmic membrane, a copper chaperone, which sequesters and routes cytoplasmic copper, and a copper-responsive regulator that regulates the expression of these proteins. Gram-negative organisms possess additional components, such as copper export systems to traverse the outer membrane, periplasmic multicopper oxidases, and periplasmic copper chaperones. Recent work has also changed the understanding of copper toxicity. Rather than oxidative damage, copper’s main toxic effect appears to lie in its ability to displace iron from iron-sulfur cluster proteins, thereby inactivating key enzymes. However, how cuproenzymes are metallated and how copper enters the bacterial cytoplasm is still poorly understood.&quot;,&quot;issue&quot;:&quot;July&quot;,&quot;container-title-short&quot;:&quot;&quot;},&quot;isTemporary&quot;:false}]},{&quot;citationID&quot;:&quot;MENDELEY_CITATION_23fc0fba-e4f4-4814-80cc-6af9ba03a47a&quot;,&quot;properties&quot;:{&quot;noteIndex&quot;:0},&quot;isEdited&quot;:false,&quot;manualOverride&quot;:{&quot;isManuallyOverridden&quot;:false,&quot;citeprocText&quot;:&quot;&lt;sup&gt;239&lt;/sup&gt;&quot;,&quot;manualOverrideText&quot;:&quot;&quot;},&quot;citationTag&quot;:&quot;MENDELEY_CITATION_v3_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&quot;,&quot;citationItems&quot;:[{&quot;id&quot;:&quot;604c0ae8-6804-3306-87bd-5bd7e8406d17&quot;,&quot;itemData&quot;:{&quot;type&quot;:&quot;article-journal&quot;,&quot;id&quot;:&quot;604c0ae8-6804-3306-87bd-5bd7e8406d17&quot;,&quot;title&quot;:&quot;Cu homeostasis in bacteria: The ins and outs&quot;,&quot;author&quot;:[{&quot;family&quot;:&quot;Andrei&quot;,&quot;given&quot;:&quot;Andreea&quot;,&quot;parse-names&quot;:false,&quot;dropping-particle&quot;:&quot;&quot;,&quot;non-dropping-particle&quot;:&quot;&quot;},{&quot;family&quot;:&quot;Öztürk&quot;,&quot;given&quot;:&quot;Yavuz&quot;,&quot;parse-names&quot;:false,&quot;dropping-particle&quot;:&quot;&quot;,&quot;non-dropping-particle&quot;:&quot;&quot;},{&quot;family&quot;:&quot;Khalfaoui-Hassani&quot;,&quot;given&quot;:&quot;Bahia&quot;,&quot;parse-names&quot;:false,&quot;dropping-particle&quot;:&quot;&quot;,&quot;non-dropping-particle&quot;:&quot;&quot;},{&quot;family&quot;:&quot;Rauch&quot;,&quot;given&quot;:&quot;Juna&quot;,&quot;parse-names&quot;:false,&quot;dropping-particle&quot;:&quot;&quot;,&quot;non-dropping-particle&quot;:&quot;&quot;},{&quot;family&quot;:&quot;Marckmann&quot;,&quot;given&quot;:&quot;Dorian&quot;,&quot;parse-names&quot;:false,&quot;dropping-particle&quot;:&quot;&quot;,&quot;non-dropping-particle&quot;:&quot;&quot;},{&quot;family&quot;:&quot;Trasnea&quot;,&quot;given&quot;:&quot;Petru Iulian&quot;,&quot;parse-names&quot;:false,&quot;dropping-particle&quot;:&quot;&quot;,&quot;non-dropping-particle&quot;:&quot;&quot;},{&quot;family&quot;:&quot;Daldal&quot;,&quot;given&quot;:&quot;Fevzi&quot;,&quot;parse-names&quot;:false,&quot;dropping-particle&quot;:&quot;&quot;,&quot;non-dropping-particle&quot;:&quot;&quot;},{&quot;family&quot;:&quot;Koch&quot;,&quot;given&quot;:&quot;Hans Georg&quot;,&quot;parse-names&quot;:false,&quot;dropping-particle&quot;:&quot;&quot;,&quot;non-dropping-particle&quot;:&quot;&quot;}],&quot;container-title&quot;:&quot;Membranes&quot;,&quot;DOI&quot;:&quot;10.3390/membranes10090242&quot;,&quot;ISSN&quot;:&quot;20770375&quot;,&quot;issued&quot;:{&quot;date-parts&quot;:[[2020]]},&quot;page&quot;:&quot;1-45&quot;,&quot;abstract&quot;:&quot;Copper (Cu) is an essential trace element for all living organisms and used as cofactor in key enzymes of important biological processes, such as aerobic respiration or superoxide dismutation. However, due to its toxicity, cells have developed elaborate mechanisms for Cu homeostasis, which balance Cu supply for cuproprotein biogenesis with the need to remove excess Cu. This review summarizes our current knowledge on bacterial Cu homeostasis with a focus on Gram-negative bacteria and describes the multiple strategies that bacteria use for uptake, storage and export of Cu. We furthermore describe general mechanistic principles that aid the bacterial response to toxic Cu concentrations and illustrate dedicated Cu relay systems that facilitate Cu delivery for cuproenzyme biogenesis. Progress in understanding how bacteria avoid Cu poisoning while maintaining a certain Cu quota for cell proliferation is of particular importance for microbial pathogens because Cu is utilized by the host immune system for attenuating pathogen survival in host cells.&quot;,&quot;issue&quot;:&quot;9&quot;,&quot;volume&quot;:&quot;10&quot;,&quot;container-title-short&quot;:&quot;Membranes (Basel)&quot;},&quot;isTemporary&quot;:false}]},{&quot;citationID&quot;:&quot;MENDELEY_CITATION_6643ee8f-de41-471c-b43f-12efb9e47d7b&quot;,&quot;properties&quot;:{&quot;noteIndex&quot;:0},&quot;isEdited&quot;:false,&quot;manualOverride&quot;:{&quot;isManuallyOverridden&quot;:false,&quot;citeprocText&quot;:&quot;&lt;sup&gt;240&lt;/sup&gt;&quot;,&quot;manualOverrideText&quot;:&quot;&quot;},&quot;citationTag&quot;:&quot;MENDELEY_CITATION_v3_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&quot;,&quot;citationItems&quot;:[{&quot;id&quot;:&quot;15c71f14-393d-3507-8a17-51f91413b025&quot;,&quot;itemData&quot;:{&quot;type&quot;:&quot;article-journal&quot;,&quot;id&quot;:&quot;15c71f14-393d-3507-8a17-51f91413b025&quot;,&quot;title&quot;:&quot;Linkage between catecholate siderophores and the multicopper oxidase CueO in Escherichia coli&quot;,&quot;author&quot;:[{&quot;family&quot;:&quot;Grass&quot;,&quot;given&quot;:&quot;Gregor&quot;,&quot;parse-names&quot;:false,&quot;dropping-particle&quot;:&quot;&quot;,&quot;non-dropping-particle&quot;:&quot;&quot;},{&quot;family&quot;:&quot;Thakali&quot;,&quot;given&quot;:&quot;Keshari&quot;,&quot;parse-names&quot;:false,&quot;dropping-particle&quot;:&quot;&quot;,&quot;non-dropping-particle&quot;:&quot;&quot;},{&quot;family&quot;:&quot;Klebba&quot;,&quot;given&quot;:&quot;Phillip E.&quot;,&quot;parse-names&quot;:false,&quot;dropping-particle&quot;:&quot;&quot;,&quot;non-dropping-particle&quot;:&quot;&quot;},{&quot;family&quot;:&quot;Thieme&quot;,&quot;given&quot;:&quot;Daniel&quot;,&quot;parse-names&quot;:false,&quot;dropping-particle&quot;:&quot;&quot;,&quot;non-dropping-particle&quot;:&quot;&quot;},{&quot;family&quot;:&quot;Müller&quot;,&quot;given&quot;:&quot;Axel&quot;,&quot;parse-names&quot;:false,&quot;dropping-particle&quot;:&quot;&quot;,&quot;non-dropping-particle&quot;:&quot;&quot;},{&quot;family&quot;:&quot;Wildner&quot;,&quot;given&quot;:&quot;Günter F.&quot;,&quot;parse-names&quot;:false,&quot;dropping-particle&quot;:&quot;&quot;,&quot;non-dropping-particle&quot;:&quot;&quot;},{&quot;family&quot;:&quot;Rensing&quot;,&quot;given&quot;:&quot;Christopher&quot;,&quot;parse-names&quot;:false,&quot;dropping-particle&quot;:&quot;&quot;,&quot;non-dropping-particle&quot;:&quot;&quot;}],&quot;container-title&quot;:&quot;Journal of Bacteriology&quot;,&quot;DOI&quot;:&quot;10.1128/JB.186.17.5826-5833.2004&quot;,&quot;ISSN&quot;:&quot;00219193&quot;,&quot;PMID&quot;:&quot;15317788&quot;,&quot;issued&quot;:{&quot;date-parts&quot;:[[2004]]},&quot;page&quot;:&quot;5826-5833&quot;,&quot;abstract&quot;:&quot;The multicopper oxidase CueO had previously been demonstrated to exhibit phenoloxidase activity and was implicated in intrinsic copper resistance in Escherichia coli. Catecholates can potentially reduce Cu(II) to the prooxidant Cu(I). In this report we provide evidence that CueO protects E. coli cells by oxidizing enterobactin, the catechol iron siderophore of E. coli, in the presence of copper. In vitro, a mixture of enterobactin and copper was toxic for E. coli cells, but the addition of purified CueO led to their survival. Deletion of fur resulted in copper hypersensitivity that was alleviated by additional deletion of entC, preventing synthesis of enterobactin. In addition, copper added together with 2,3-dihydroxybenzoic acid or enterobactin was able to induce a Φ(cueO-lacZ) operon fusion more efficiently than copper alone. The reaction product of the 2,3-dihydroxybenzoic acid oxidation by CueO that can complex Cu(II) ions was determined by gas chromatography-mass spectroscopy and identified as 2-carboxymuconate.&quot;,&quot;issue&quot;:&quot;17&quot;,&quot;volume&quot;:&quot;186&quot;,&quot;container-title-short&quot;:&quot;&quot;},&quot;isTemporary&quot;:false}]},{&quot;citationID&quot;:&quot;MENDELEY_CITATION_39bde0b6-e103-4cbe-8dba-12c16a4667ca&quot;,&quot;properties&quot;:{&quot;noteIndex&quot;:0},&quot;isEdited&quot;:false,&quot;manualOverride&quot;:{&quot;citeprocText&quot;:&quot;&lt;sup&gt;226,232&lt;/sup&gt;&quot;,&quot;isManuallyOverridden&quot;:false,&quot;manualOverrideText&quot;:&quot;&quot;},&quot;citationTag&quot;:&quot;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&quot;,&quot;citationItems&quot;:[{&quot;id&quot;:&quot;6a4ed1e5-5950-3db2-89be-d08d1b5d52a7&quot;,&quot;itemData&quot;:{&quot;type&quot;:&quot;article-journal&quot;,&quot;id&quot;:&quot;6a4ed1e5-5950-3db2-89be-d08d1b5d52a7&quot;,&quot;title&quot;:&quot; A genome-wide screen reveals the involvement of enterobactin-mediated iron acquisition in Escherichia coli survival during copper stress &quot;,&quot;author&quot;:[{&quot;family&quot;:&quot;Casanova-Hampton&quot;,&quot;given&quot;:&quot;Kaitlin&quot;,&quot;parse-names&quot;:false,&quot;dropping-particle&quot;:&quot;&quot;,&quot;non-dropping-particle&quot;:&quot;&quot;},{&quot;family&quot;:&quot;Carey&quot;,&quot;given&quot;:&quot;Alexis&quot;,&quot;parse-names&quot;:false,&quot;dropping-particle&quot;:&quot;&quot;,&quot;non-dropping-particle&quot;:&quot;&quot;},{&quot;family&quot;:&quot;Kassam&quot;,&quot;given&quot;:&quot;Sarah&quot;,&quot;parse-names&quot;:false,&quot;dropping-particle&quot;:&quot;&quot;,&quot;non-dropping-particle&quot;:&quot;&quot;},{&quot;family&quot;:&quot;Garner&quot;,&quot;given&quot;:&quot;Alyssa&quot;,&quot;parse-names&quot;:false,&quot;dropping-particle&quot;:&quot;&quot;,&quot;non-dropping-particle&quot;:&quot;&quot;},{&quot;family&quot;:&quot;Donati&quot;,&quot;given&quot;:&quot;George L&quot;,&quot;parse-names&quot;:false,&quot;dropping-particle&quot;:&quot;&quot;,&quot;non-dropping-particle&quot;:&quot;&quot;},{&quot;family&quot;:&quot;Thangamani&quot;,&quot;given&quot;:&quot;Shankar&quot;,&quot;parse-names&quot;:false,&quot;dropping-particle&quot;:&quot;&quot;,&quot;non-dropping-particle&quot;:&quot;&quot;},{&quot;family&quot;:&quot;Subashchandrabose&quot;,&quot;given&quot;:&quot;Sargurunathan&quot;,&quot;parse-names&quot;:false,&quot;dropping-particle&quot;:&quot;&quot;,&quot;non-dropping-particle&quot;:&quot;&quot;}],&quot;container-title&quot;:&quot;Metallomics&quot;,&quot;DOI&quot;:&quot;10.1093/mtomcs/mfab052&quot;,&quot;ISSN&quot;:&quot;1756591X&quot;,&quot;PMID&quot;:&quot;34415046&quot;,&quot;issued&quot;:{&quot;date-parts&quot;:[[2021]]},&quot;abstract&quot;:&quot;Copper (Cu) is a key transition metal that is involved in many important biological processes in a cell. Cu is also utilized by the immune system to hamper pathogen growth during infection. However, genome-level knowledge on the mechanisms involved in adaptation to Cu stress is limited. Here, we report the results of a genome-wide reverse genetic screen for Cu-responsive phenotypes in Escherichia coli. Our screen has identified novel genes involved in adaptation to Cu stress in E. coli. We detected multiple genes involved in the biosynthesis and uptake of enterobactin, a siderophore utilized for high-affinity TonB-dependent acquisition of iron (Fe), as critical players in survival under Cu intoxication. We demonstrated the specificity of Cu-dependent killing by chelation of Cu and by genetic complementation of tonB. Notably, TonB is involved in protection from Cu in both laboratory and uropathogenic strains of E. coli. Cu stress leads to increased expression of the genes involved in Fe uptake, indicating that Fur regulon is derepressed during exposure to excess Cu. Trace element analyses revealed that Fe homeostasis is dysregulated during Cu stress. Taken together, our data supports a model in which lack of enterobactin-dependent Fe uptake leads to exacerbation of Cu toxicity, and elucidates the intricate connection between the homeostasis of Cu and Fe in a bacterial cell.&quot;,&quot;issue&quot;:&quot;9&quot;,&quot;volume&quot;:&quot;13&quot;,&quot;container-title-short&quot;:&quot;&quot;},&quot;uris&quot;:[&quot;http://www.mendeley.com/documents/?uuid=a5bffb8e-16c9-4569-9307-a923ebf4750b&quot;],&quot;isTemporary&quot;:false,&quot;legacyDesktopId&quot;:&quot;a5bffb8e-16c9-4569-9307-a923ebf4750b&quot;},{&quot;id&quot;:&quot;72734fc8-a7d0-3b36-a6ea-3a54372bd85b&quot;,&quot;itemData&quot;:{&quot;type&quot;:&quot;article-journal&quot;,&quot;id&quot;:&quot;72734fc8-a7d0-3b36-a6ea-3a54372bd85b&quot;,&quot;title&quot;:&quot;High frequencies of antibiotic resistance genes in infants' meconium and early fecal samples&quot;,&quot;author&quot;:[{&quot;family&quot;:&quot;Gosalbes&quot;,&quot;given&quot;:&quot;M. J.&quot;,&quot;parse-names&quot;:false,&quot;dropping-particle&quot;:&quot;&quot;,&quot;non-dropping-particle&quot;:&quot;&quot;},{&quot;family&quot;:&quot;Vallès&quot;,&quot;given&quot;:&quot;Y.&quot;,&quot;parse-names&quot;:false,&quot;dropping-particle&quot;:&quot;&quot;,&quot;non-dropping-particle&quot;:&quot;&quot;},{&quot;family&quot;:&quot;Jiménez-Hernández&quot;,&quot;given&quot;:&quot;N.&quot;,&quot;parse-names&quot;:false,&quot;dropping-particle&quot;:&quot;&quot;,&quot;non-dropping-particle&quot;:&quot;&quot;},{&quot;family&quot;:&quot;Balle&quot;,&quot;given&quot;:&quot;C.&quot;,&quot;parse-names&quot;:false,&quot;dropping-particle&quot;:&quot;&quot;,&quot;non-dropping-particle&quot;:&quot;&quot;},{&quot;family&quot;:&quot;Riva&quot;,&quot;given&quot;:&quot;P.&quot;,&quot;parse-names&quot;:false,&quot;dropping-particle&quot;:&quot;&quot;,&quot;non-dropping-particle&quot;:&quot;&quot;},{&quot;family&quot;:&quot;Miravet-Verde&quot;,&quot;given&quot;:&quot;S.&quot;,&quot;parse-names&quot;:false,&quot;dropping-particle&quot;:&quot;&quot;,&quot;non-dropping-particle&quot;:&quot;&quot;},{&quot;family&quot;:&quot;Vries&quot;,&quot;given&quot;:&quot;L. E.&quot;,&quot;parse-names&quot;:false,&quot;dropping-particle&quot;:&quot;&quot;,&quot;non-dropping-particle&quot;:&quot;de&quot;},{&quot;family&quot;:&quot;Llop&quot;,&quot;given&quot;:&quot;S.&quot;,&quot;parse-names&quot;:false,&quot;dropping-particle&quot;:&quot;&quot;,&quot;non-dropping-particle&quot;:&quot;&quot;},{&quot;family&quot;:&quot;Agerso&quot;,&quot;given&quot;:&quot;Y.&quot;,&quot;parse-names&quot;:false,&quot;dropping-particle&quot;:&quot;&quot;,&quot;non-dropping-particle&quot;:&quot;&quot;},{&quot;family&quot;:&quot;Sørensen&quot;,&quot;given&quot;:&quot;S. J.&quot;,&quot;parse-names&quot;:false,&quot;dropping-particle&quot;:&quot;&quot;,&quot;non-dropping-particle&quot;:&quot;&quot;},{&quot;family&quot;:&quot;Ballester&quot;,&quot;given&quot;:&quot;F.&quot;,&quot;parse-names&quot;:false,&quot;dropping-particle&quot;:&quot;&quot;,&quot;non-dropping-particle&quot;:&quot;&quot;},{&quot;family&quot;:&quot;Francino&quot;,&quot;given&quot;:&quot;M. P.&quot;,&quot;parse-names&quot;:false,&quot;dropping-particle&quot;:&quot;&quot;,&quot;non-dropping-particle&quot;:&quot;&quot;}],&quot;container-title&quot;:&quot;Journal of Developmental Origins of Health and Disease&quot;,&quot;DOI&quot;:&quot;10.1017/S2040174415001506&quot;,&quot;ISSN&quot;:&quot;20401752&quot;,&quot;PMID&quot;:&quot;26353938&quot;,&quot;issued&quot;:{&quot;date-parts&quot;:[[2016]]},&quot;page&quot;:&quot;35-44&quot;,&quot;abstract&quot;:&quot;The gastrointestinal tract (GIT) microbiota has been identified as an important reservoir of antibiotic resistance genes (ARGs) that can be horizontally transferred to pathogenic species. Maternal GIT microbes can be transmitted to the offspring, and recent work indicates that such transfer starts before birth. We have used culture-independent genetic screenings to explore whether ARGs are already present in the meconium accumulated in the GIT during fetal life and in feces of 1-week-old infants. We have analyzed resistance to β-lactam antibiotics (BLr) and tetracycline (Tcr), screening for a variety of genes conferring each. To evaluate whether ARGs could have been inherited by maternal transmission, we have screened perinatal fecal samples of the 1-week-old babies' mothers, as well as a mother-infant series including meconium, fecal samples collected through the infant's 1st year, maternal fecal samples and colostrum. Our results reveal a high prevalence of BLr and Tcr in both meconium and early fecal samples, implying that the GIT resistance reservoir starts to accumulate even before birth. We show that ARGs present in the mother may reach the meconium and colostrum and establish in the infant GIT, but also that some ARGs were likely acquired from other sources. Alarmingly, we identified in both meconium and 1-week-olds' samples a particularly elevated prevalence of mecA (&gt;45%), six-fold higher than that detected in the mothers. The mecA gene confers BLr to methicillin-resistant Staphylococcus aureus, and although its detection does not imply the presence of this pathogen, it does implicate the young infant's GIT as a noteworthy reservoir of this gene.&quot;,&quot;issue&quot;:&quot;1&quot;,&quot;volume&quot;:&quot;7&quot;,&quot;container-title-short&quot;:&quot;&quot;},&quot;isTemporary&quot;:false}]},{&quot;citationID&quot;:&quot;MENDELEY_CITATION_c83659c0-e707-460d-a438-3f90d0e3ee14&quot;,&quot;properties&quot;:{&quot;noteIndex&quot;:0},&quot;isEdited&quot;:false,&quot;manualOverride&quot;:{&quot;isManuallyOverridden&quot;:false,&quot;citeprocText&quot;:&quot;&lt;sup&gt;237&lt;/sup&gt;&quot;,&quot;manualOverrideText&quot;:&quot;&quot;},&quot;citationTag&quot;:&quot;MENDELEY_CITATION_v3_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&quot;,&quot;citationItems&quot;:[{&quot;id&quot;:&quot;df38301e-25e1-3b12-aecf-48607668129c&quot;,&quot;itemData&quot;:{&quot;type&quot;:&quot;article-journal&quot;,&quot;id&quot;:&quot;df38301e-25e1-3b12-aecf-48607668129c&quot;,&quot;title&quot;:&quot;Copper at the Front Line of the Host-Pathogen Battle&quot;,&quot;author&quot;:[{&quot;family&quot;:&quot;Festa&quot;,&quot;given&quot;:&quot;Richard A&quot;,&quot;parse-names&quot;:false,&quot;dropping-particle&quot;:&quot;&quot;,&quot;non-dropping-particle&quot;:&quot;&quot;},{&quot;family&quot;:&quot;Thiele&quot;,&quot;given&quot;:&quot;Dennis J&quot;,&quot;parse-names&quot;:false,&quot;dropping-particle&quot;:&quot;&quot;,&quot;non-dropping-particle&quot;:&quot;&quot;}],&quot;DOI&quot;:&quot;10.1371/journal.ppat.1002887&quot;,&quot;issued&quot;:{&quot;date-parts&quot;:[[2012]]},&quot;page&quot;:&quot;9-12&quot;,&quot;issue&quot;:&quot;9&quot;,&quot;volume&quot;:&quot;8&quot;,&quot;container-title-short&quot;:&quot;&quot;},&quot;isTemporary&quot;:false}]},{&quot;citationID&quot;:&quot;MENDELEY_CITATION_5646cc45-3749-48a2-880c-aeaafe5441d7&quot;,&quot;properties&quot;:{&quot;noteIndex&quot;:0},&quot;isEdited&quot;:false,&quot;manualOverride&quot;:{&quot;isManuallyOverridden&quot;:false,&quot;citeprocText&quot;:&quot;&lt;sup&gt;241&lt;/sup&gt;&quot;,&quot;manualOverrideText&quot;:&quot;&quot;},&quot;citationTag&quot;:&quot;MENDELEY_CITATION_v3_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&quot;,&quot;citationItems&quot;:[{&quot;id&quot;:&quot;b3703f87-ff51-3861-870d-283a69e06fd3&quot;,&quot;itemData&quot;:{&quot;type&quot;:&quot;article-journal&quot;,&quot;id&quot;:&quot;b3703f87-ff51-3861-870d-283a69e06fd3&quot;,&quot;title&quot;:&quot;Copper transport and trafficking at the host-bacterial pathogen interface&quot;,&quot;author&quot;:[{&quot;family&quot;:&quot;Fu&quot;,&quot;given&quot;:&quot;Yue&quot;,&quot;parse-names&quot;:false,&quot;dropping-particle&quot;:&quot;&quot;,&quot;non-dropping-particle&quot;:&quot;&quot;},{&quot;family&quot;:&quot;Chang&quot;,&quot;given&quot;:&quot;Feng Ming James&quot;,&quot;parse-names&quot;:false,&quot;dropping-particle&quot;:&quot;&quot;,&quot;non-dropping-particle&quot;:&quot;&quot;},{&quot;family&quot;:&quot;Giedroc&quot;,&quot;given&quot;:&quot;David P.&quot;,&quot;parse-names&quot;:false,&quot;dropping-particle&quot;:&quot;&quot;,&quot;non-dropping-particle&quot;:&quot;&quot;}],&quot;container-title&quot;:&quot;Accounts of Chemical Research&quot;,&quot;DOI&quot;:&quot;10.1021/ar500300n&quot;,&quot;ISSN&quot;:&quot;15204898&quot;,&quot;PMID&quot;:&quot;25310275&quot;,&quot;issued&quot;:{&quot;date-parts&quot;:[[2014]]},&quot;page&quot;:&quot;3605-3613&quot;,&quot;abstract&quot;:&quot;The human innate immune system has evolved the means to reduce the bioavailability of first-row late d-block transition metal ions to invading microbial pathogens in a process termed \&quot;nutritional immunity\&quot;. Transition metals from Mn(II) to Zn(II) function as metalloenzyme cofactors in all living cells, and the successful pathogen is capable of mounting an adaptive response to mitigate the effects of host control of transition metal bioavailability. Emerging evidence suggests that Mn, Fe, and Zn are withheld from the pathogen in classically defined nutritional immunity, while Cu is used to kill invading microorganisms. This Account summarizes new molecular-level insights into copper trafficking across cell membranes from studies of a number of important bacterial pathogens and model organisms, including Escherichia coli, Salmonella species, Mycobacterium tuberculosis, and Streptococcus pneumoniae, to illustrate general principles of cellular copper resistance. Recent highlights of copper chemistry at the host-microbial pathogen interface include the first high resolution structures and functional characterization of a Cu(I)-effluxing P1B-ATPase, a new class of bacterial copper chaperone, a fungal Cu-only superoxide dismutase SOD5, and the discovery of a small molecule Cu-bound SOD mimetic. Successful harnessing by the pathogen of host-derived bactericidal Cu to reduce the bacterial load of reactive oxygen species (ROS) is an emerging theme; in addition, recent studies continue to emphasize the importance of short lifetime protein-protein interactions that orchestrate the channeling of Cu(I) from donor to target without dissociation into bulk solution; this, in turn, mitigates the off-pathway effects of Cu(I) toxicity in both the periplasm in Gram negative organisms and in the bacterial cytoplasm. It is unclear as yet, outside of the photosynthetic bacteria, whether Cu(I) is tra fficked to other cellular destinations, for example, to cuproenzymes or other intracellular storage sites, or the general degree to which copper chaperones vs copper efflux transporters are essential for bacterial pathogenesis in the vertebrate host. Future studies will be directed toward the identification and structural characterization of other cellular targets of Cu(I) tra fficking and resistance, the physical and mechanistic characterization of Cu(I)-transfer intermediates, and elucidation of the mutual dependence of Cu(I) trafficking and cellular redox status on thiol chemistry in the cytoplasm. Crippling bacterial control of Cu(I) sensing, trafficking, and efflux may represent a viable strategy for the development of new antibiotics. (Figure Presented).&quot;,&quot;issue&quot;:&quot;12&quot;,&quot;volume&quot;:&quot;47&quot;,&quot;container-title-short&quot;:&quot;&quot;},&quot;isTemporary&quot;:false}]},{&quot;citationID&quot;:&quot;MENDELEY_CITATION_fd52486a-7232-4d84-ad14-bd3a1329f1a0&quot;,&quot;properties&quot;:{&quot;noteIndex&quot;:0},&quot;isEdited&quot;:false,&quot;manualOverride&quot;:{&quot;isManuallyOverridden&quot;:false,&quot;citeprocText&quot;:&quot;&lt;sup&gt;242&lt;/sup&gt;&quot;,&quot;manualOverrideText&quot;:&quot;&quot;},&quot;citationTag&quot;:&quot;MENDELEY_CITATION_v3_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&quot;,&quot;citationItems&quot;:[{&quot;id&quot;:&quot;d6ab224d-15c1-36c0-897e-d613769bba89&quot;,&quot;itemData&quot;:{&quot;type&quot;:&quot;article-journal&quot;,&quot;id&quot;:&quot;d6ab224d-15c1-36c0-897e-d613769bba89&quot;,&quot;title&quot;:&quot;A role for the ATP7A copper-transporting ATPase in macrophage bactericidal activity&quot;,&quot;author&quot;:[{&quot;family&quot;:&quot;White&quot;,&quot;given&quot;:&quot;Carine&quot;,&quot;parse-names&quot;:false,&quot;dropping-particle&quot;:&quot;&quot;,&quot;non-dropping-particle&quot;:&quot;&quot;},{&quot;family&quot;:&quot;Lee&quot;,&quot;given&quot;:&quot;Jaekwon&quot;,&quot;parse-names&quot;:false,&quot;dropping-particle&quot;:&quot;&quot;,&quot;non-dropping-particle&quot;:&quot;&quot;},{&quot;family&quot;:&quot;Kambe&quot;,&quot;given&quot;:&quot;Taiho&quot;,&quot;parse-names&quot;:false,&quot;dropping-particle&quot;:&quot;&quot;,&quot;non-dropping-particle&quot;:&quot;&quot;},{&quot;family&quot;:&quot;Fritsche&quot;,&quot;given&quot;:&quot;Kevin&quot;,&quot;parse-names&quot;:false,&quot;dropping-particle&quot;:&quot;&quot;,&quot;non-dropping-particle&quot;:&quot;&quot;},{&quot;family&quot;:&quot;Petris&quot;,&quot;given&quot;:&quot;Michael J.&quot;,&quot;parse-names&quot;:false,&quot;dropping-particle&quot;:&quot;&quot;,&quot;non-dropping-particle&quot;:&quot;&quot;}],&quot;container-title&quot;:&quot;Journal of Biological Chemistry&quot;,&quot;DOI&quot;:&quot;10.1074/jbc.M109.070201&quot;,&quot;ISBN&quot;:&quot;5738842537&quot;,&quot;ISSN&quot;:&quot;00219258&quot;,&quot;PMID&quot;:&quot;19808669&quot;,&quot;URL&quot;:&quot;http://dx.doi.org/10.1074/jbc.M109.070201&quot;,&quot;issued&quot;:{&quot;date-parts&quot;:[[2009]]},&quot;page&quot;:&quot;33949-33956&quot;,&quot;abstract&quot;:&quot;Copper is an essential micronutrient that is necessary for healthy immune function. This requirement is underscored by an increased susceptibility to bacterial infection in copper-deficient animals; however, a molecular understanding of its importance in immune defense is unknown. In this study, we investigated the effect of proinflammatory agents on copper homeostasis in RAW264.7 macrophages. Interferon-γ was found to increase expression of the high affinity copper importer, CTR1, and stimulate copper uptake. This was accompanied by copper-stimulated trafficking of the ATP7A copper exporter from the Golgi to vesicles that partially overlapped with phagosomal compartments. Silencing of ATP7A expression attenuated bacterial killing, suggesting a role for ATP7A-dependent copper transport in the bactericidal activity of macrophages. Significantly, a copper-sensitive mutant of Escherichia coli lacking the CopA copper-transporting ATPase was hypersensitive to killing by RAW264.7 macrophages, and this phenotype was dependent on ATP7A expression. Collectively, these data suggest that copper-transporting ATPases, CopA and ATP7A, in both bacteria and macrophage are unique determinants of bacteria survival and identify an unexpected role for copper at the host-pathogen interface. © 2009 by The American Society for Biochemistry and Molecular Biology, Inc.&quot;,&quot;publisher&quot;:&quot;Â© 2009 ASBMB. Currently published by Elsevier Inc; originally published by American Society for Biochemistry and Molecular Biology.&quot;,&quot;issue&quot;:&quot;49&quot;,&quot;volume&quot;:&quot;284&quot;,&quot;container-title-short&quot;:&quot;&quot;},&quot;isTemporary&quot;:false}]},{&quot;citationID&quot;:&quot;MENDELEY_CITATION_5b4c17fb-35d3-4e99-9552-e3f55817b5ac&quot;,&quot;properties&quot;:{&quot;noteIndex&quot;:0},&quot;isEdited&quot;:false,&quot;manualOverride&quot;:{&quot;isManuallyOverridden&quot;:false,&quot;citeprocText&quot;:&quot;&lt;sup&gt;243&lt;/sup&gt;&quot;,&quot;manualOverrideText&quot;:&quot;&quot;},&quot;citationTag&quot;:&quot;MENDELEY_CITATION_v3_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&quot;,&quot;citationItems&quot;:[{&quot;id&quot;:&quot;bdba4798-cd0a-3386-9b0b-0b40af3b4bc4&quot;,&quot;itemData&quot;:{&quot;type&quot;:&quot;article-journal&quot;,&quot;id&quot;:&quot;bdba4798-cd0a-3386-9b0b-0b40af3b4bc4&quot;,&quot;title&quot;:&quot;Antibiotic treatment affects the expression levels of copper transporters and the isotopic composition of copper in the colon of mice&quot;,&quot;author&quot;:[{&quot;family&quot;:&quot;Miller&quot;,&quot;given&quot;:&quot;Kerri A.&quot;,&quot;parse-names&quot;:false,&quot;dropping-particle&quot;:&quot;&quot;,&quot;non-dropping-particle&quot;:&quot;&quot;},{&quot;family&quot;:&quot;Vicentini&quot;,&quot;given&quot;:&quot;Fernando A.&quot;,&quot;parse-names&quot;:false,&quot;dropping-particle&quot;:&quot;&quot;,&quot;non-dropping-particle&quot;:&quot;&quot;},{&quot;family&quot;:&quot;Hirota&quot;,&quot;given&quot;:&quot;Simon A.&quot;,&quot;parse-names&quot;:false,&quot;dropping-particle&quot;:&quot;&quot;,&quot;non-dropping-particle&quot;:&quot;&quot;},{&quot;family&quot;:&quot;Sharkey&quot;,&quot;given&quot;:&quot;Keith A.&quot;,&quot;parse-names&quot;:false,&quot;dropping-particle&quot;:&quot;&quot;,&quot;non-dropping-particle&quot;:&quot;&quot;},{&quot;family&quot;:&quot;Wieser&quot;,&quot;given&quot;:&quot;Michael E.&quot;,&quot;parse-names&quot;:false,&quot;dropping-particle&quot;:&quot;&quot;,&quot;non-dropping-particle&quot;:&quot;&quot;}],&quot;container-title&quot;:&quot;Proceedings of the National Academy of Sciences of the United States of America&quot;,&quot;DOI&quot;:&quot;10.1073/pnas.1814047116&quot;,&quot;ISSN&quot;:&quot;10916490&quot;,&quot;PMID&quot;:&quot;30850515&quot;,&quot;issued&quot;:{&quot;date-parts&quot;:[[2019]]},&quot;page&quot;:&quot;5955-5960&quot;,&quot;abstract&quot;:&quot;Copper is a critical enzyme cofactor in the body but also a potent cellular toxin when intracellularly unbound. Thus, there is a delicate balance of intracellular copper, maintained by a series of complex interactions between the metal and specific copper transport and binding proteins. The gastrointestinal (GI) tract is the primary site of copper entry into the body and there has been considerable progress in understanding the intricacies of copper metabolism in this region. The GI tract is also host to diverse bacterial populations, and their role in copper metabolism is not well understood. In this study, we compared the isotopic fractionation of copper in the GI tract of mice with intestinal microbiota significantly depleted by antibiotic treatment to that in mice not receiving such treatment. We demonstrated variability in copper isotopic composition along the length of the gut. A significant difference, ∼1.0%, in copper isotope abundances was measured in the proximal colon of antibiotic-treated mice. The changes in copper isotopic composition in the colon are accompanied by changes in copper transporters. Both CTR1, a copper importer, and ATP7A, a copper transporter across membranes, were significantly down-regulated in the colon of antibiotic-treated mice. This study demonstrated that isotope abundance measurements of metals can be used as an indicator of changes in metabolic processes in vivo. These measurements revealed a host-microbial interaction in the GI tract involved in the regulation of copper transport.&quot;,&quot;issue&quot;:&quot;13&quot;,&quot;volume&quot;:&quot;116&quot;,&quot;container-title-short&quot;:&quot;Proc Natl Acad Sci U S A&quot;},&quot;isTemporary&quot;:false}]},{&quot;citationID&quot;:&quot;MENDELEY_CITATION_949d4b27-7e4e-486f-8ef3-0e3d24297921&quot;,&quot;properties&quot;:{&quot;noteIndex&quot;:0},&quot;isEdited&quot;:false,&quot;manualOverride&quot;:{&quot;isManuallyOverridden&quot;:false,&quot;citeprocText&quot;:&quot;&lt;sup&gt;244,245&lt;/sup&gt;&quot;,&quot;manualOverrideText&quot;:&quot;&quot;},&quot;citationTag&quot;:&quot;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&quot;,&quot;citationItems&quot;:[{&quot;id&quot;:&quot;397d5336-54fd-325f-89fc-8dc836d285c8&quot;,&quot;itemData&quot;:{&quot;type&quot;:&quot;article-journal&quot;,&quot;id&quot;:&quot;397d5336-54fd-325f-89fc-8dc836d285c8&quot;,&quot;title&quot;:&quot;PLEKHA5, PLEKHA6, and PLEKHA7 bind to PDZD11 to target the Menkes ATPase ATP7A to the cell periphery and regulate copper homeostasis&quot;,&quot;author&quot;:[{&quot;family&quot;:&quot;Sluysmans&quot;,&quot;given&quot;:&quot;Sophie&quot;,&quot;parse-names&quot;:false,&quot;dropping-particle&quot;:&quot;&quot;,&quot;non-dropping-particle&quot;:&quot;&quot;},{&quot;family&quot;:&quot;Méan&quot;,&quot;given&quot;:&quot;Isabelle&quot;,&quot;parse-names&quot;:false,&quot;dropping-particle&quot;:&quot;&quot;,&quot;non-dropping-particle&quot;:&quot;&quot;},{&quot;family&quot;:&quot;Xiao&quot;,&quot;given&quot;:&quot;Tong&quot;,&quot;parse-names&quot;:false,&quot;dropping-particle&quot;:&quot;&quot;,&quot;non-dropping-particle&quot;:&quot;&quot;},{&quot;family&quot;:&quot;Boukhatemi&quot;,&quot;given&quot;:&quot;Amina&quot;,&quot;parse-names&quot;:false,&quot;dropping-particle&quot;:&quot;&quot;,&quot;non-dropping-particle&quot;:&quot;&quot;},{&quot;family&quot;:&quot;Ferreira&quot;,&quot;given&quot;:&quot;Flavio&quot;,&quot;parse-names&quot;:false,&quot;dropping-particle&quot;:&quot;&quot;,&quot;non-dropping-particle&quot;:&quot;&quot;},{&quot;family&quot;:&quot;Jond&quot;,&quot;given&quot;:&quot;Lionel&quot;,&quot;parse-names&quot;:false,&quot;dropping-particle&quot;:&quot;&quot;,&quot;non-dropping-particle&quot;:&quot;&quot;},{&quot;family&quot;:&quot;Mutero&quot;,&quot;given&quot;:&quot;Annick&quot;,&quot;parse-names&quot;:false,&quot;dropping-particle&quot;:&quot;&quot;,&quot;non-dropping-particle&quot;:&quot;&quot;},{&quot;family&quot;:&quot;Chang&quot;,&quot;given&quot;:&quot;Christopher J.&quot;,&quot;parse-names&quot;:false,&quot;dropping-particle&quot;:&quot;&quot;,&quot;non-dropping-particle&quot;:&quot;&quot;},{&quot;family&quot;:&quot;Citi&quot;,&quot;given&quot;:&quot;Sandra&quot;,&quot;parse-names&quot;:false,&quot;dropping-particle&quot;:&quot;&quot;,&quot;non-dropping-particle&quot;:&quot;&quot;}],&quot;container-title&quot;:&quot;Molecular Biology of the Cell&quot;,&quot;DOI&quot;:&quot;10.1091/mbc.e21-07-0355&quot;,&quot;ISSN&quot;:&quot;1059-1524&quot;,&quot;PMID&quot;:&quot;34613798&quot;,&quot;issued&quot;:{&quot;date-parts&quot;:[[2021]]},&quot;page&quot;:&quot;1-20&quot;,&quot;abstract&quot;:&quot;Copper homeostasis is crucial for cellular physiology and development, and its dysregulation leads to disease. The Menkes ATPase ATP7A plays a key role in copper efflux, by trafficking from the Golgi to the plasma membrane upon cell exposure to elevated copper, but the mechanisms that target ATP7A to the cell periphery are poorly understood. PDZD11 interacts with the C-terminus of ATP7A, which contains sequences involved in ATP7A trafficking, but the role of PDZD11 in ATP7A localization is unknown. Here we identify PLEKHA5 and PLEKHA6 as new interactors of PDZD11 that bind to the PDZD11 N-terminus through their WW domains similarly to the junctional protein PLEKHA7. Using CRISPR-KO kidney epithelial cells, we show by immunofluorescence microscopy that WW-PLEKHAs (PLEKHA5, PLEKHA6, PLEKHA7) recruit PDZD11 to distinct plasma membrane localizations and that they are required for the efficient anterograde targeting of ATP7A to the cell periphery in elevated copper conditions. Pull-down experiments show that WW-PLEKHAs promote PDZD11 interaction with the C-terminus of ATP7A. However, WW-PLEKHAs and PDZD11 are not necessary for ATP7A Golgi localization in basal copper, ATP7A copper-induced exit from the Golgi, and ATP7A retrograde trafficking to the Golgi. Finally, measuring bioavailable and total cellular copper, metallothionein-1 expression, and cell viability shows that WW-PLEKHAs and PDZD11 are required for maintaining low intracellular copper levels when cells are exposed to elevated copper. These data indicate that WW-PLEKHAs-PDZD11 complexes regulate the localization and function of ATP7A to promote copper extrusion in elevated copper.&quot;,&quot;issue&quot;:&quot;21&quot;,&quot;volume&quot;:&quot;32&quot;,&quot;container-title-short&quot;:&quot;&quot;},&quot;isTemporary&quot;:false},{&quot;id&quot;:&quot;0aa916b2-f4ae-390b-9b4d-cad7a90474d9&quot;,&quot;itemData&quot;:{&quot;type&quot;:&quot;article-journal&quot;,&quot;id&quot;:&quot;0aa916b2-f4ae-390b-9b4d-cad7a90474d9&quot;,&quot;title&quot;:&quot;A single PDZ domain protein interacts with the menkes copper ATPase, ATP7A: A new protein implicated in copper homeostasis&quot;,&quot;author&quot;:[{&quot;family&quot;:&quot;Stephenson&quot;,&quot;given&quot;:&quot;Sarah E.M.&quot;,&quot;parse-names&quot;:false,&quot;dropping-particle&quot;:&quot;&quot;,&quot;non-dropping-particle&quot;:&quot;&quot;},{&quot;family&quot;:&quot;Dubach&quot;,&quot;given&quot;:&quot;Daphne&quot;,&quot;parse-names&quot;:false,&quot;dropping-particle&quot;:&quot;&quot;,&quot;non-dropping-particle&quot;:&quot;&quot;},{&quot;family&quot;:&quot;Lim&quot;,&quot;given&quot;:&quot;Chris M.&quot;,&quot;parse-names&quot;:false,&quot;dropping-particle&quot;:&quot;&quot;,&quot;non-dropping-particle&quot;:&quot;&quot;},{&quot;family&quot;:&quot;Mercer&quot;,&quot;given&quot;:&quot;Julian F.B.&quot;,&quot;parse-names&quot;:false,&quot;dropping-particle&quot;:&quot;&quot;,&quot;non-dropping-particle&quot;:&quot;&quot;},{&quot;family&quot;:&quot;Fontaine&quot;,&quot;given&quot;:&quot;Sharon&quot;,&quot;parse-names&quot;:false,&quot;dropping-particle&quot;:&quot;&quot;,&quot;non-dropping-particle&quot;:&quot;la&quot;}],&quot;container-title&quot;:&quot;Journal of Biological Chemistry&quot;,&quot;DOI&quot;:&quot;10.1074/jbc.M505889200&quot;,&quot;ISSN&quot;:&quot;00219258&quot;,&quot;PMID&quot;:&quot;16051599&quot;,&quot;URL&quot;:&quot;http://dx.doi.org/10.1074/jbc.M505889200&quot;,&quot;issued&quot;:{&quot;date-parts&quot;:[[2005]]},&quot;page&quot;:&quot;33270-33279&quot;,&quot;abstract&quot;:&quot;The homeostatic regulation of essential elements such as copper requires many proteins whose activities are often mediated and tightly coordinated through protein-protein interactions. This regulation ensures that cells receive enough copper without intracellular concentrations reaching toxic levels. To date, only a small number of proteins implicated in copper homeostasis have been identified, and little is known of the protein-protein interactions required for this process. To identify other proteins important for copper homeostasis, while also elucidating the protein-protein interactions that are integral to the process, we have utilized a known copper protein, the copper ATPase ATP7A, as a bait in a yeast two-hybrid screen of a human cDNA library to search for interacting partners. One of the ATP7A-interacting proteins identified is a novel protein with a single PDZ domain. This protein was recently identified to interact with the plasma membrane calcium ATPase b-splice variants. We propose a change in name for this protein from PISP (plasma membrane calcium ATPase-interacting single-PDZ protein) to AIPP1 (ATPase-interacting PDZ protein) and suggest that it represents the protein that interacts with the class I PDZ binding motif identified at the ATP7A C terminus. The interaction in mammalian cells was confirmed and an additional splice variant of AIPP1 was identified. This study represents an essential step forward in identifying the proteins and elucidating the network of protein-protein interactions involved in maintaining copper homeostasis and validates the use of the yeast two-hybrid approach for this purpose. © 2005 by The American Society for Biochemistry and Molecular Biology, Inc.&quot;,&quot;publisher&quot;:&quot;Â© 2005 ASBMB. Currently published by Elsevier Inc; originally published by American Society for Biochemistry and Molecular Biology.&quot;,&quot;issue&quot;:&quot;39&quot;,&quot;volume&quot;:&quot;280&quot;,&quot;container-title-short&quot;:&quot;&quot;},&quot;isTemporary&quot;:false}]},{&quot;citationID&quot;:&quot;MENDELEY_CITATION_0aeaafc1-1153-45f7-956b-7c450dc53b9d&quot;,&quot;properties&quot;:{&quot;noteIndex&quot;:0},&quot;isEdited&quot;:false,&quot;manualOverride&quot;:{&quot;isManuallyOverridden&quot;:false,&quot;citeprocText&quot;:&quot;&lt;sup&gt;246&lt;/sup&gt;&quot;,&quot;manualOverrideText&quot;:&quot;&quot;},&quot;citationTag&quot;:&quot;MENDELEY_CITATION_v3_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&quot;,&quot;citationItems&quot;:[{&quot;id&quot;:&quot;4b9d3aaa-7db7-39e2-83f5-16b4818ec253&quot;,&quot;itemData&quot;:{&quot;type&quot;:&quot;article-journal&quot;,&quot;id&quot;:&quot;4b9d3aaa-7db7-39e2-83f5-16b4818ec253&quot;,&quot;title&quot;:&quot;Parsing the functional specificity of Siderocalin/Lipocalin 2/NGAL for siderophores and related small-molecule ligands&quot;,&quot;author&quot;:[{&quot;family&quot;:&quot;Clifton&quot;,&quot;given&quot;:&quot;Matthew C.&quot;,&quot;parse-names&quot;:false,&quot;dropping-particle&quot;:&quot;&quot;,&quot;non-dropping-particle&quot;:&quot;&quot;},{&quot;family&quot;:&quot;Rupert&quot;,&quot;given&quot;:&quot;Peter B.&quot;,&quot;parse-names&quot;:false,&quot;dropping-particle&quot;:&quot;&quot;,&quot;non-dropping-particle&quot;:&quot;&quot;},{&quot;family&quot;:&quot;Hoette&quot;,&quot;given&quot;:&quot;Trisha M.&quot;,&quot;parse-names&quot;:false,&quot;dropping-particle&quot;:&quot;&quot;,&quot;non-dropping-particle&quot;:&quot;&quot;},{&quot;family&quot;:&quot;Raymond&quot;,&quot;given&quot;:&quot;Kenneth N.&quot;,&quot;parse-names&quot;:false,&quot;dropping-particle&quot;:&quot;&quot;,&quot;non-dropping-particle&quot;:&quot;&quot;},{&quot;family&quot;:&quot;Abergel&quot;,&quot;given&quot;:&quot;Rebecca J.&quot;,&quot;parse-names&quot;:false,&quot;dropping-particle&quot;:&quot;&quot;,&quot;non-dropping-particle&quot;:&quot;&quot;},{&quot;family&quot;:&quot;Strong&quot;,&quot;given&quot;:&quot;Roland K.&quot;,&quot;parse-names&quot;:false,&quot;dropping-particle&quot;:&quot;&quot;,&quot;non-dropping-particle&quot;:&quot;&quot;}],&quot;container-title&quot;:&quot;Journal of Structural Biology: X&quot;,&quot;DOI&quot;:&quot;10.1016/j.yjsbx.2019.100008&quot;,&quot;ISSN&quot;:&quot;25901524&quot;,&quot;URL&quot;:&quot;https://doi.org/10.1016/j.yjsbx.2019.100008&quot;,&quot;issued&quot;:{&quot;date-parts&quot;:[[2019]]},&quot;page&quot;:&quot;100008&quot;,&quot;abstract&quot;:&quot;Siderocalin/Lipocalin 2/Neutrophil Gelatinase Associated Lipocalin/24p3 is an innate immune system protein with bacteriostatic activity, acting by tightly binding and sequestering diverse catecholate and mixed-type ferric siderophores from enteric bacteria and mycobacteria. Bacterial virulence achieved through siderophore modifications, or utilization of alternate siderophores, can be explained by evasion of Siderocalin binding. Siderocalin has also been implicated in a wide variety of disease processes, though often in seemingly contradictory ways, and has been proposed to bind to a broader array of ligands beyond siderophores. Using structural, directed mutational, and binding studies, we have sought to rigorously test, and fully elucidate, the Siderocalin recognition mechanism. Several proposed ligands fail to meet rigorous binding criteria, including the bacterial siderophore pyochelin, the iron-chelating catecholamine hormone norepinephrine, and the bacterial second messenger cyclic diguanylate monophosphate. While possessing a remarkably rigid structure, in principle simplifying analyses of ligand recognition, understanding Scn recognition is complicated by the observed conformational and stoichiometric plasticity, and instability, of its bona fide siderophore ligands. Since the role of Siderocalin at the early host/pathogen interface is to compete for bacterial ferric siderophores, we also analyzed how bacterial siderophore binding proteins and enzymes alternately recognize siderophores that efficiently bind to, or evade, Siderocalin sequestration – including determining the crystal structure of Bacillus cereus YfiY bound to schizokinen. These studies combine to refine the potential physiological functions of Siderocalin by defining its multiplexed recognition mechanism.&quot;,&quot;publisher&quot;:&quot;Elsevier&quot;,&quot;issue&quot;:&quot;May&quot;,&quot;volume&quot;:&quot;2&quot;,&quot;container-title-short&quot;:&quot;&quot;},&quot;isTemporary&quot;:false}]},{&quot;citationID&quot;:&quot;MENDELEY_CITATION_1cfab475-4a52-49eb-8db9-a3a801fbe5ba&quot;,&quot;properties&quot;:{&quot;noteIndex&quot;:0},&quot;isEdited&quot;:false,&quot;manualOverride&quot;:{&quot;isManuallyOverridden&quot;:false,&quot;citeprocText&quot;:&quot;&lt;sup&gt;228,247,248&lt;/sup&gt;&quot;,&quot;manualOverrideText&quot;:&quot;&quot;},&quot;citationTag&quot;:&quot;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&quot;,&quot;citationItems&quot;:[{&quot;id&quot;:&quot;53750362-471d-3ca8-a255-94e3a4582c22&quot;,&quot;itemData&quot;:{&quot;type&quot;:&quot;article-journal&quot;,&quot;id&quot;:&quot;53750362-471d-3ca8-a255-94e3a4582c22&quot;,&quot;title&quot;:&quot;Salmonella Mitigates Oxidative Stress and Thrives in the Inflamed Gut by Evading Calprotectin-Mediated Manganese Sequestration&quot;,&quot;author&quot;:[{&quot;family&quot;:&quot;Diaz-Ochoa&quot;,&quot;given&quot;:&quot;Vladimir E.&quot;,&quot;parse-names&quot;:false,&quot;dropping-particle&quot;:&quot;&quot;,&quot;non-dropping-particle&quot;:&quot;&quot;},{&quot;family&quot;:&quot;Lam&quot;,&quot;given&quot;:&quot;Diana&quot;,&quot;parse-names&quot;:false,&quot;dropping-particle&quot;:&quot;&quot;,&quot;non-dropping-particle&quot;:&quot;&quot;},{&quot;family&quot;:&quot;Lee&quot;,&quot;given&quot;:&quot;Carlin S.&quot;,&quot;parse-names&quot;:false,&quot;dropping-particle&quot;:&quot;&quot;,&quot;non-dropping-particle&quot;:&quot;&quot;},{&quot;family&quot;:&quot;Klaus&quot;,&quot;given&quot;:&quot;Suzi&quot;,&quot;parse-names&quot;:false,&quot;dropping-particle&quot;:&quot;&quot;,&quot;non-dropping-particle&quot;:&quot;&quot;},{&quot;family&quot;:&quot;Behnsen&quot;,&quot;given&quot;:&quot;Judith&quot;,&quot;parse-names&quot;:false,&quot;dropping-particle&quot;:&quot;&quot;,&quot;non-dropping-particle&quot;:&quot;&quot;},{&quot;family&quot;:&quot;Liu&quot;,&quot;given&quot;:&quot;Janet Z.&quot;,&quot;parse-names&quot;:false,&quot;dropping-particle&quot;:&quot;&quot;,&quot;non-dropping-particle&quot;:&quot;&quot;},{&quot;family&quot;:&quot;Chim&quot;,&quot;given&quot;:&quot;Nicholas&quot;,&quot;parse-names&quot;:false,&quot;dropping-particle&quot;:&quot;&quot;,&quot;non-dropping-particle&quot;:&quot;&quot;},{&quot;family&quot;:&quot;Nuccio&quot;,&quot;given&quot;:&quot;Sean Paul&quot;,&quot;parse-names&quot;:false,&quot;dropping-particle&quot;:&quot;&quot;,&quot;non-dropping-particle&quot;:&quot;&quot;},{&quot;family&quot;:&quot;Rathi&quot;,&quot;given&quot;:&quot;Subodh G.&quot;,&quot;parse-names&quot;:false,&quot;dropping-particle&quot;:&quot;&quot;,&quot;non-dropping-particle&quot;:&quot;&quot;},{&quot;family&quot;:&quot;Mastroianni&quot;,&quot;given&quot;:&quot;Jennifer R.&quot;,&quot;parse-names&quot;:false,&quot;dropping-particle&quot;:&quot;&quot;,&quot;non-dropping-particle&quot;:&quot;&quot;},{&quot;family&quot;:&quot;Edwards&quot;,&quot;given&quot;:&quot;Robert A.&quot;,&quot;parse-names&quot;:false,&quot;dropping-particle&quot;:&quot;&quot;,&quot;non-dropping-particle&quot;:&quot;&quot;},{&quot;family&quot;:&quot;Jacobo&quot;,&quot;given&quot;:&quot;Christina M.&quot;,&quot;parse-names&quot;:false,&quot;dropping-particle&quot;:&quot;&quot;,&quot;non-dropping-particle&quot;:&quot;&quot;},{&quot;family&quot;:&quot;Cerasi&quot;,&quot;given&quot;:&quot;Mauro&quot;,&quot;parse-names&quot;:false,&quot;dropping-particle&quot;:&quot;&quot;,&quot;non-dropping-particle&quot;:&quot;&quot;},{&quot;family&quot;:&quot;Battistoni&quot;,&quot;given&quot;:&quot;Andrea&quot;,&quot;parse-names&quot;:false,&quot;dropping-particle&quot;:&quot;&quot;,&quot;non-dropping-particle&quot;:&quot;&quot;},{&quot;family&quot;:&quot;Ouellette&quot;,&quot;given&quot;:&quot;André J.&quot;,&quot;parse-names&quot;:false,&quot;dropping-particle&quot;:&quot;&quot;,&quot;non-dropping-particle&quot;:&quot;&quot;},{&quot;family&quot;:&quot;Goulding&quot;,&quot;given&quot;:&quot;Celia W.&quot;,&quot;parse-names&quot;:false,&quot;dropping-particle&quot;:&quot;&quot;,&quot;non-dropping-particle&quot;:&quot;&quot;},{&quot;family&quot;:&quot;Chazin&quot;,&quot;given&quot;:&quot;Walter J.&quot;,&quot;parse-names&quot;:false,&quot;dropping-particle&quot;:&quot;&quot;,&quot;non-dropping-particle&quot;:&quot;&quot;},{&quot;family&quot;:&quot;Skaar&quot;,&quot;given&quot;:&quot;Eric P.&quot;,&quot;parse-names&quot;:false,&quot;dropping-particle&quot;:&quot;&quot;,&quot;non-dropping-particle&quot;:&quot;&quot;},{&quot;family&quot;:&quot;Raffatellu&quot;,&quot;given&quot;:&quot;Manuela&quot;,&quot;parse-names&quot;:false,&quot;dropping-particle&quot;:&quot;&quot;,&quot;non-dropping-particle&quot;:&quot;&quot;}],&quot;container-title&quot;:&quot;Cell Host and Microbe&quot;,&quot;DOI&quot;:&quot;10.1016/j.chom.2016.05.005&quot;,&quot;ISSN&quot;:&quot;19346069&quot;,&quot;PMID&quot;:&quot;27281571&quot;,&quot;issued&quot;:{&quot;date-parts&quot;:[[2016]]},&quot;page&quot;:&quot;814-825&quot;,&quot;abstract&quot;:&quot;Neutrophils hinder bacterial growth by a variety of antimicrobial mechanisms, including the production of reactive oxygen species and the secretion of proteins that sequester nutrients essential to microbes. A major player in this process is calprotectin, a host protein that exerts antimicrobial activity by chelating zinc and manganese. Here we show that the intestinal pathogen Salmonella enterica serovar Typhimurium uses specialized metal transporters to evade calprotectin sequestration of manganese, allowing the bacteria to outcompete commensals and thrive in the inflamed gut. The pathogen's ability to acquire manganese in turn promotes function of SodA and KatN, enzymes that use the metal as a cofactor to detoxify reactive oxygen species. This manganese-dependent SodA activity allows the bacteria to evade neutrophil killing mediated by calprotectin and reactive oxygen species. Thus, manganese acquisition enables S. Typhimurium to overcome host antimicrobial defenses and support its competitive growth in the intestine.&quot;,&quot;issue&quot;:&quot;6&quot;,&quot;volume&quot;:&quot;19&quot;,&quot;expandedJournalTitle&quot;:&quot;Cell Host and Microbe&quot;,&quot;container-title-short&quot;:&quot;&quot;},&quot;isTemporary&quot;:false},{&quot;id&quot;:&quot;4aee7dcf-d25e-3fd2-a4e6-e1e0d22120da&quot;,&quot;itemData&quot;:{&quot;type&quot;:&quot;article-journal&quot;,&quot;id&quot;:&quot;4aee7dcf-d25e-3fd2-a4e6-e1e0d22120da&quot;,&quot;title&quot;:&quot;Enteric dysbiosis and fecal calprotectin expression in premature infants&quot;,&quot;author&quot;:[{&quot;family&quot;:&quot;Ho&quot;,&quot;given&quot;:&quot;Thao T.B.&quot;,&quot;parse-names&quot;:false,&quot;dropping-particle&quot;:&quot;&quot;,&quot;non-dropping-particle&quot;:&quot;&quot;},{&quot;family&quot;:&quot;Groer&quot;,&quot;given&quot;:&quot;Maureen W.&quot;,&quot;parse-names&quot;:false,&quot;dropping-particle&quot;:&quot;&quot;,&quot;non-dropping-particle&quot;:&quot;&quot;},{&quot;family&quot;:&quot;Kane&quot;,&quot;given&quot;:&quot;Bradley&quot;,&quot;parse-names&quot;:false,&quot;dropping-particle&quot;:&quot;&quot;,&quot;non-dropping-particle&quot;:&quot;&quot;},{&quot;family&quot;:&quot;Yee&quot;,&quot;given&quot;:&quot;Alyson L.&quot;,&quot;parse-names&quot;:false,&quot;dropping-particle&quot;:&quot;&quot;,&quot;non-dropping-particle&quot;:&quot;&quot;},{&quot;family&quot;:&quot;Torres&quot;,&quot;given&quot;:&quot;Benjamin A.&quot;,&quot;parse-names&quot;:false,&quot;dropping-particle&quot;:&quot;&quot;,&quot;non-dropping-particle&quot;:&quot;&quot;},{&quot;family&quot;:&quot;Gilbert&quot;,&quot;given&quot;:&quot;Jack A.&quot;,&quot;parse-names&quot;:false,&quot;dropping-particle&quot;:&quot;&quot;,&quot;non-dropping-particle&quot;:&quot;&quot;},{&quot;family&quot;:&quot;Maheshwari&quot;,&quot;given&quot;:&quot;Akhil&quot;,&quot;parse-names&quot;:false,&quot;dropping-particle&quot;:&quot;&quot;,&quot;non-dropping-particle&quot;:&quot;&quot;}],&quot;container-title&quot;:&quot;Pediatric Research&quot;,&quot;DOI&quot;:&quot;10.1038/s41390-018-0254-y&quot;,&quot;ISSN&quot;:&quot;15300447&quot;,&quot;PMID&quot;:&quot;30631136&quot;,&quot;URL&quot;:&quot;http://dx.doi.org/10.1038/s41390-018-0254-y&quot;,&quot;issued&quot;:{&quot;date-parts&quot;:[[2019]]},&quot;page&quot;:&quot;361-368&quot;,&quot;abstract&quot;:&quot;Background: Premature infants often develop enteric dysbiosis with a preponderance of Gammaproteobacteria, which has been related to adverse clinical outcomes. We investigated the relationship between increasing fecal Gammaproteobacteria and mucosal inflammation, measured by fecal calprotectin (FC). Methods: Stool samples were collected from very-low-birth weight (VLBW) infants at ≤2, 3, and 4 weeks’ postnatal age. Fecal microbiome was surveyed using polymerase chain reaction amplification of the V4 region of 16S ribosomal RNA, and FC was measured by enzyme immunoassay. Results: We enrolled 45 VLBW infants (gestation 27.9 ± 2.2 weeks, birth weight 1126 ± 208 g) and obtained stool samples at 9.9 ± 3, 20.7 ± 4.1, and 29.4 ± 4.9 days. FC was positively correlated with the genus Klebsiella (r = 0.207, p = 0.034) and its dominant amplicon sequence variant (r = 0.290, p = 0.003), but not with the relative abundance of total Gammaproteobacteria. Klebsiella colonized the gut in two distinct patterns: some infants started with low Klebsiella abundance and gained these bacteria over time, whereas others began with very high Klebsiella abundance. Conclusion: In premature infants, FC correlated with relative abundance of a specific pathobiont, Klebsiella, and not with that of the class Gammaproteobacteria. These findings indicate a need to define dysbiosis at genera or higher levels of resolution.&quot;,&quot;publisher&quot;:&quot;Springer US&quot;,&quot;issue&quot;:&quot;3&quot;,&quot;volume&quot;:&quot;85&quot;,&quot;container-title-short&quot;:&quot;&quot;},&quot;isTemporary&quot;:false},{&quot;id&quot;:&quot;e8f4958c-648f-3c6d-8179-2c249f11e1ed&quot;,&quot;itemData&quot;:{&quot;type&quot;:&quot;article-journal&quot;,&quot;id&quot;:&quot;e8f4958c-648f-3c6d-8179-2c249f11e1ed&quot;,&quot;title&quot;:&quot;Nutrient metal sequestration by calprotectin inhibits bacterial superoxide defense, enhancing neutrophil killing of Staphylococcus aureus&quot;,&quot;author&quot;:[{&quot;family&quot;:&quot;Kehl-Fie&quot;,&quot;given&quot;:&quot;Thomas E.&quot;,&quot;parse-names&quot;:false,&quot;dropping-particle&quot;:&quot;&quot;,&quot;non-dropping-particle&quot;:&quot;&quot;},{&quot;family&quot;:&quot;Chitayat&quot;,&quot;given&quot;:&quot;Seth&quot;,&quot;parse-names&quot;:false,&quot;dropping-particle&quot;:&quot;&quot;,&quot;non-dropping-particle&quot;:&quot;&quot;},{&quot;family&quot;:&quot;Hood&quot;,&quot;given&quot;:&quot;M. Indriati&quot;,&quot;parse-names&quot;:false,&quot;dropping-particle&quot;:&quot;&quot;,&quot;non-dropping-particle&quot;:&quot;&quot;},{&quot;family&quot;:&quot;Damo&quot;,&quot;given&quot;:&quot;Steven&quot;,&quot;parse-names&quot;:false,&quot;dropping-particle&quot;:&quot;&quot;,&quot;non-dropping-particle&quot;:&quot;&quot;},{&quot;family&quot;:&quot;Restrepo&quot;,&quot;given&quot;:&quot;Nicole&quot;,&quot;parse-names&quot;:false,&quot;dropping-particle&quot;:&quot;&quot;,&quot;non-dropping-particle&quot;:&quot;&quot;},{&quot;family&quot;:&quot;Garcia&quot;,&quot;given&quot;:&quot;Carlos&quot;,&quot;parse-names&quot;:false,&quot;dropping-particle&quot;:&quot;&quot;,&quot;non-dropping-particle&quot;:&quot;&quot;},{&quot;family&quot;:&quot;Munro&quot;,&quot;given&quot;:&quot;Kim A.&quot;,&quot;parse-names&quot;:false,&quot;dropping-particle&quot;:&quot;&quot;,&quot;non-dropping-particle&quot;:&quot;&quot;},{&quot;family&quot;:&quot;Chazin&quot;,&quot;given&quot;:&quot;Walter J.&quot;,&quot;parse-names&quot;:false,&quot;dropping-particle&quot;:&quot;&quot;,&quot;non-dropping-particle&quot;:&quot;&quot;},{&quot;family&quot;:&quot;Skaar&quot;,&quot;given&quot;:&quot;Eric P.&quot;,&quot;parse-names&quot;:false,&quot;dropping-particle&quot;:&quot;&quot;,&quot;non-dropping-particle&quot;:&quot;&quot;}],&quot;container-title&quot;:&quot;Cell Host and Microbe&quot;,&quot;DOI&quot;:&quot;10.1016/j.chom.2011.07.004&quot;,&quot;ISSN&quot;:&quot;19313128&quot;,&quot;PMID&quot;:&quot;21843872&quot;,&quot;URL&quot;:&quot;http://dx.doi.org/10.1016/j.chom.2011.07.004&quot;,&quot;issued&quot;:{&quot;date-parts&quot;:[[2011]]},&quot;page&quot;:&quot;158-164&quot;,&quot;abstract&quot;:&quot;By sequestering manganese and zinc, the neutrophil protein calprotectin plays a crucial role in host defense against bacterial and fungal pathogens. However, the essential processes disrupted by calprotectin remain unknown. We report that calprotectin enhances the sensitivity of Staphylococcus aureus to superoxide through inhibition of manganese-dependent bacterial superoxide defenses, thereby increasing superoxide levels within the bacterial cell. Superoxide dismutase activity is required for full virulence in a systemic model of S. aureus infection, and disruption of staphylococcal superoxide defenses by calprotectin augments the antimicrobial activity of neutrophils promoting in vivo clearance. Calprotectin mutated in two transition metal binding sites and therefore defective in binding manganese and zinc does not inhibit microbial growth, unequivocally linking the antimicrobial properties of calprotectin to metal chelation. These results suggest that calprotectin contributes to host defense by rendering bacterial pathogens more sensitive to host immune effectors and reducing bacterial growth. © 2011 Elsevier Inc.&quot;,&quot;publisher&quot;:&quot;Elsevier Inc.&quot;,&quot;issue&quot;:&quot;2&quot;,&quot;volume&quot;:&quot;10&quot;,&quot;container-title-short&quot;:&quot;&quot;},&quot;isTemporary&quot;:false}]},{&quot;citationID&quot;:&quot;MENDELEY_CITATION_8f41a1a3-fcdf-423e-9833-ce31f38b41e0&quot;,&quot;properties&quot;:{&quot;noteIndex&quot;:0},&quot;isEdited&quot;:false,&quot;manualOverride&quot;:{&quot;isManuallyOverridden&quot;:false,&quot;citeprocText&quot;:&quot;&lt;sup&gt;201&lt;/sup&gt;&quot;,&quot;manualOverrideText&quot;:&quot;&quot;},&quot;citationTag&quot;:&quot;MENDELEY_CITATION_v3_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&quot;,&quot;citationItems&quot;:[{&quot;id&quot;:&quot;ae367c1d-1b42-3a30-a4ec-03de3c029704&quot;,&quot;itemData&quot;:{&quot;type&quot;:&quot;article-journal&quot;,&quot;id&quot;:&quot;ae367c1d-1b42-3a30-a4ec-03de3c029704&quot;,&quot;title&quot;:&quot;Clinical implications of preterm infant gut microbiome development&quot;,&quot;author&quot;:[{&quot;family&quot;:&quot;Healy&quot;,&quot;given&quot;:&quot;David B&quot;,&quot;parse-names&quot;:false,&quot;dropping-particle&quot;:&quot;&quot;,&quot;non-dropping-particle&quot;:&quot;&quot;},{&quot;family&quot;:&quot;Ryan&quot;,&quot;given&quot;:&quot;C Anthony&quot;,&quot;parse-names&quot;:false,&quot;dropping-particle&quot;:&quot;&quot;,&quot;non-dropping-particle&quot;:&quot;&quot;},{&quot;family&quot;:&quot;Ross&quot;,&quot;given&quot;:&quot;R Paul&quot;,&quot;parse-names&quot;:false,&quot;dropping-particle&quot;:&quot;&quot;,&quot;non-dropping-particle&quot;:&quot;&quot;},{&quot;family&quot;:&quot;Stanton&quot;,&quot;given&quot;:&quot;Catherine&quot;,&quot;parse-names&quot;:false,&quot;dropping-particle&quot;:&quot;&quot;,&quot;non-dropping-particle&quot;:&quot;&quot;},{&quot;family&quot;:&quot;Dempsey&quot;,&quot;given&quot;:&quot;Eugene M&quot;,&quot;parse-names&quot;:false,&quot;dropping-particle&quot;:&quot;&quot;,&quot;non-dropping-particle&quot;:&quot;&quot;}],&quot;DOI&quot;:&quot;10.1038/s41564-021-01025-4&quot;,&quot;publisher&quot;:&quot;Springer US&quot;,&quot;container-title-short&quot;:&quot;&quot;},&quot;isTemporary&quot;:false}]},{&quot;citationID&quot;:&quot;MENDELEY_CITATION_f6102fd8-e6d8-4a57-976b-10e0c2415d6e&quot;,&quot;properties&quot;:{&quot;noteIndex&quot;:0},&quot;isEdited&quot;:false,&quot;manualOverride&quot;:{&quot;isManuallyOverridden&quot;:false,&quot;citeprocText&quot;:&quot;&lt;sup&gt;249&lt;/sup&gt;&quot;,&quot;manualOverrideText&quot;:&quot;&quot;},&quot;citationTag&quot;:&quot;MENDELEY_CITATION_v3_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&quot;,&quot;citationItems&quot;:[{&quot;id&quot;:&quot;17fd9cb0-104c-3ab9-95ff-2cc197f37c1a&quot;,&quot;itemData&quot;:{&quot;type&quot;:&quot;article-journal&quot;,&quot;id&quot;:&quot;17fd9cb0-104c-3ab9-95ff-2cc197f37c1a&quot;,&quot;title&quot;:&quot;Zinc sequestration by the neutrophil protein calprotectin enhances salmonella growth in the inflamed gut&quot;,&quot;author&quot;:[{&quot;family&quot;:&quot;Liu&quot;,&quot;given&quot;:&quot;Janet Z.&quot;,&quot;parse-names&quot;:false,&quot;dropping-particle&quot;:&quot;&quot;,&quot;non-dropping-particle&quot;:&quot;&quot;},{&quot;family&quot;:&quot;Jellbauer&quot;,&quot;given&quot;:&quot;Stefan&quot;,&quot;parse-names&quot;:false,&quot;dropping-particle&quot;:&quot;&quot;,&quot;non-dropping-particle&quot;:&quot;&quot;},{&quot;family&quot;:&quot;Poe&quot;,&quot;given&quot;:&quot;Adam J.&quot;,&quot;parse-names&quot;:false,&quot;dropping-particle&quot;:&quot;&quot;,&quot;non-dropping-particle&quot;:&quot;&quot;},{&quot;family&quot;:&quot;Ton&quot;,&quot;given&quot;:&quot;Vivian&quot;,&quot;parse-names&quot;:false,&quot;dropping-particle&quot;:&quot;&quot;,&quot;non-dropping-particle&quot;:&quot;&quot;},{&quot;family&quot;:&quot;Pesciaroli&quot;,&quot;given&quot;:&quot;Michele&quot;,&quot;parse-names&quot;:false,&quot;dropping-particle&quot;:&quot;&quot;,&quot;non-dropping-particle&quot;:&quot;&quot;},{&quot;family&quot;:&quot;Kehl-Fie&quot;,&quot;given&quot;:&quot;Thomas E.&quot;,&quot;parse-names&quot;:false,&quot;dropping-particle&quot;:&quot;&quot;,&quot;non-dropping-particle&quot;:&quot;&quot;},{&quot;family&quot;:&quot;Restrepo&quot;,&quot;given&quot;:&quot;Nicole A.&quot;,&quot;parse-names&quot;:false,&quot;dropping-particle&quot;:&quot;&quot;,&quot;non-dropping-particle&quot;:&quot;&quot;},{&quot;family&quot;:&quot;Hosking&quot;,&quot;given&quot;:&quot;Martin P.&quot;,&quot;parse-names&quot;:false,&quot;dropping-particle&quot;:&quot;&quot;,&quot;non-dropping-particle&quot;:&quot;&quot;},{&quot;family&quot;:&quot;Edwards&quot;,&quot;given&quot;:&quot;Robert A.&quot;,&quot;parse-names&quot;:false,&quot;dropping-particle&quot;:&quot;&quot;,&quot;non-dropping-particle&quot;:&quot;&quot;},{&quot;family&quot;:&quot;Battistoni&quot;,&quot;given&quot;:&quot;Andrea&quot;,&quot;parse-names&quot;:false,&quot;dropping-particle&quot;:&quot;&quot;,&quot;non-dropping-particle&quot;:&quot;&quot;},{&quot;family&quot;:&quot;Pasquali&quot;,&quot;given&quot;:&quot;Paolo&quot;,&quot;parse-names&quot;:false,&quot;dropping-particle&quot;:&quot;&quot;,&quot;non-dropping-particle&quot;:&quot;&quot;},{&quot;family&quot;:&quot;Lane&quot;,&quot;given&quot;:&quot;Thomas E.&quot;,&quot;parse-names&quot;:false,&quot;dropping-particle&quot;:&quot;&quot;,&quot;non-dropping-particle&quot;:&quot;&quot;},{&quot;family&quot;:&quot;Chazin&quot;,&quot;given&quot;:&quot;Walter J.&quot;,&quot;parse-names&quot;:false,&quot;dropping-particle&quot;:&quot;&quot;,&quot;non-dropping-particle&quot;:&quot;&quot;},{&quot;family&quot;:&quot;Vogl&quot;,&quot;given&quot;:&quot;Thomas&quot;,&quot;parse-names&quot;:false,&quot;dropping-particle&quot;:&quot;&quot;,&quot;non-dropping-particle&quot;:&quot;&quot;},{&quot;family&quot;:&quot;Roth&quot;,&quot;given&quot;:&quot;Johannes&quot;,&quot;parse-names&quot;:false,&quot;dropping-particle&quot;:&quot;&quot;,&quot;non-dropping-particle&quot;:&quot;&quot;},{&quot;family&quot;:&quot;Skaar&quot;,&quot;given&quot;:&quot;Eric P.&quot;,&quot;parse-names&quot;:false,&quot;dropping-particle&quot;:&quot;&quot;,&quot;non-dropping-particle&quot;:&quot;&quot;},{&quot;family&quot;:&quot;Raffatellu&quot;,&quot;given&quot;:&quot;Manuela&quot;,&quot;parse-names&quot;:false,&quot;dropping-particle&quot;:&quot;&quot;,&quot;non-dropping-particle&quot;:&quot;&quot;}],&quot;container-title&quot;:&quot;Cell Host and Microbe&quot;,&quot;DOI&quot;:&quot;10.1016/j.chom.2012.01.017&quot;,&quot;ISSN&quot;:&quot;19313128&quot;,&quot;PMID&quot;:&quot;22423963&quot;,&quot;URL&quot;:&quot;http://dx.doi.org/10.1016/j.chom.2012.01.017&quot;,&quot;issued&quot;:{&quot;date-parts&quot;:[[2012]]},&quot;page&quot;:&quot;227-239&quot;,&quot;abstract&quot;:&quot;Neutrophils are innate immune cells that counter pathogens by many mechanisms, including release of antimicrobial proteins such as calprotectin to inhibit bacterial growth. Calprotectin sequesters essential micronutrient metals such as zinc, thereby limiting their availability to microbes, a process termed nutritional immunity. We find that while calprotectin is induced by neutrophils during infection with the gut pathogen Salmonella Typhimurium, calprotectin-mediated metal sequestration does not inhibit S. Typhimurium proliferation. Remarkably, S. Typhimurium overcomes calprotectin-mediated zinc chelation by expressing a high affinity zinc transporter (ZnuABC). A S. Typhimurium znuA mutant impaired for growth in the inflamed gut was rescued in the absence of calprotectin. ZnuABC was also required to promote the growth of S. Typhimurium over that of competing commensal bacteria. Thus, our findings indicate that Salmonella thrives in the inflamed gut by overcoming the zinc sequestration of calprotectin and highlight the importance of zinc acquisition in bacterial intestinal colonization. © 2012 Elsevier Inc.&quot;,&quot;publisher&quot;:&quot;Elsevier Inc.&quot;,&quot;issue&quot;:&quot;3&quot;,&quot;volume&quot;:&quot;11&quot;,&quot;container-title-short&quot;:&quot;&quot;},&quot;isTemporary&quot;:false}]},{&quot;citationID&quot;:&quot;MENDELEY_CITATION_eae6f769-6ce1-43b9-a2bc-9a60208224a0&quot;,&quot;properties&quot;:{&quot;noteIndex&quot;:0},&quot;isEdited&quot;:false,&quot;manualOverride&quot;:{&quot;isManuallyOverridden&quot;:false,&quot;citeprocText&quot;:&quot;&lt;sup&gt;216&lt;/sup&gt;&quot;,&quot;manualOverrideText&quot;:&quot;&quot;},&quot;citationTag&quot;:&quot;MENDELEY_CITATION_v3_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&quot;,&quot;citationItems&quot;:[{&quot;id&quot;:&quot;4cf58dbb-4958-3e54-8f0b-ccbdabd6d57a&quot;,&quot;itemData&quot;:{&quot;type&quot;:&quot;article-journal&quot;,&quot;id&quot;:&quot;4cf58dbb-4958-3e54-8f0b-ccbdabd6d57a&quot;,&quot;title&quot;:&quot;Metal limitation and toxicity at the interface between host and pathogen&quot;,&quot;author&quot;:[{&quot;family&quot;:&quot;Becker&quot;,&quot;given&quot;:&quot;Kyle W.&quot;,&quot;parse-names&quot;:false,&quot;dropping-particle&quot;:&quot;&quot;,&quot;non-dropping-particle&quot;:&quot;&quot;},{&quot;family&quot;:&quot;Skaar&quot;,&quot;given&quot;:&quot;Eric P.&quot;,&quot;parse-names&quot;:false,&quot;dropping-particle&quot;:&quot;&quot;,&quot;non-dropping-particle&quot;:&quot;&quot;}],&quot;container-title&quot;:&quot;FEMS Microbiology Reviews&quot;,&quot;DOI&quot;:&quot;10.1111/1574-6976.12087&quot;,&quot;ISSN&quot;:&quot;15746976&quot;,&quot;PMID&quot;:&quot;25211180&quot;,&quot;issued&quot;:{&quot;date-parts&quot;:[[2014]]},&quot;page&quot;:&quot;1235-1249&quot;,&quot;abstract&quot;:&quot;Metals are required cofactors for numerous fundamental processes that are essential to both pathogen and host. They are coordinated in enzymes responsible for DNA replication and transcription, relief from oxidative stress, and cellular respiration. However, excess transition metals can be toxic due to their ability to cause spontaneous, redox cycling and disrupt normal metabolic processes. Vertebrates have evolved intricate mechanisms to limit the availability of some crucial metals while concurrently flooding sites of infection with antimicrobial concentrations of other metals. To compete for limited metal within the host while simultaneously preventing metal toxicity, pathogens have developed a series of metal regulatory, acquisition, and efflux systems. This review will cover the mechanisms by which pathogenic bacteria recognize and respond to host-induced metal scarcity and toxicity.&quot;,&quot;issue&quot;:&quot;6&quot;,&quot;volume&quot;:&quot;38&quot;,&quot;container-title-short&quot;:&quot;&quot;},&quot;isTemporary&quot;:false}]},{&quot;citationID&quot;:&quot;MENDELEY_CITATION_a9646fbb-8e72-447a-9b90-f180a7a489d8&quot;,&quot;properties&quot;:{&quot;noteIndex&quot;:0},&quot;isEdited&quot;:false,&quot;manualOverride&quot;:{&quot;isManuallyOverridden&quot;:false,&quot;citeprocText&quot;:&quot;&lt;sup&gt;248&lt;/sup&gt;&quot;,&quot;manualOverrideText&quot;:&quot;&quot;},&quot;citationTag&quot;:&quot;MENDELEY_CITATION_v3_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&quot;,&quot;citationItems&quot;:[{&quot;id&quot;:&quot;e8f4958c-648f-3c6d-8179-2c249f11e1ed&quot;,&quot;itemData&quot;:{&quot;type&quot;:&quot;article-journal&quot;,&quot;id&quot;:&quot;e8f4958c-648f-3c6d-8179-2c249f11e1ed&quot;,&quot;title&quot;:&quot;Nutrient metal sequestration by calprotectin inhibits bacterial superoxide defense, enhancing neutrophil killing of Staphylococcus aureus&quot;,&quot;author&quot;:[{&quot;family&quot;:&quot;Kehl-Fie&quot;,&quot;given&quot;:&quot;Thomas E.&quot;,&quot;parse-names&quot;:false,&quot;dropping-particle&quot;:&quot;&quot;,&quot;non-dropping-particle&quot;:&quot;&quot;},{&quot;family&quot;:&quot;Chitayat&quot;,&quot;given&quot;:&quot;Seth&quot;,&quot;parse-names&quot;:false,&quot;dropping-particle&quot;:&quot;&quot;,&quot;non-dropping-particle&quot;:&quot;&quot;},{&quot;family&quot;:&quot;Hood&quot;,&quot;given&quot;:&quot;M. Indriati&quot;,&quot;parse-names&quot;:false,&quot;dropping-particle&quot;:&quot;&quot;,&quot;non-dropping-particle&quot;:&quot;&quot;},{&quot;family&quot;:&quot;Damo&quot;,&quot;given&quot;:&quot;Steven&quot;,&quot;parse-names&quot;:false,&quot;dropping-particle&quot;:&quot;&quot;,&quot;non-dropping-particle&quot;:&quot;&quot;},{&quot;family&quot;:&quot;Restrepo&quot;,&quot;given&quot;:&quot;Nicole&quot;,&quot;parse-names&quot;:false,&quot;dropping-particle&quot;:&quot;&quot;,&quot;non-dropping-particle&quot;:&quot;&quot;},{&quot;family&quot;:&quot;Garcia&quot;,&quot;given&quot;:&quot;Carlos&quot;,&quot;parse-names&quot;:false,&quot;dropping-particle&quot;:&quot;&quot;,&quot;non-dropping-particle&quot;:&quot;&quot;},{&quot;family&quot;:&quot;Munro&quot;,&quot;given&quot;:&quot;Kim A.&quot;,&quot;parse-names&quot;:false,&quot;dropping-particle&quot;:&quot;&quot;,&quot;non-dropping-particle&quot;:&quot;&quot;},{&quot;family&quot;:&quot;Chazin&quot;,&quot;given&quot;:&quot;Walter J.&quot;,&quot;parse-names&quot;:false,&quot;dropping-particle&quot;:&quot;&quot;,&quot;non-dropping-particle&quot;:&quot;&quot;},{&quot;family&quot;:&quot;Skaar&quot;,&quot;given&quot;:&quot;Eric P.&quot;,&quot;parse-names&quot;:false,&quot;dropping-particle&quot;:&quot;&quot;,&quot;non-dropping-particle&quot;:&quot;&quot;}],&quot;container-title&quot;:&quot;Cell Host and Microbe&quot;,&quot;DOI&quot;:&quot;10.1016/j.chom.2011.07.004&quot;,&quot;ISSN&quot;:&quot;19313128&quot;,&quot;PMID&quot;:&quot;21843872&quot;,&quot;URL&quot;:&quot;http://dx.doi.org/10.1016/j.chom.2011.07.004&quot;,&quot;issued&quot;:{&quot;date-parts&quot;:[[2011]]},&quot;page&quot;:&quot;158-164&quot;,&quot;abstract&quot;:&quot;By sequestering manganese and zinc, the neutrophil protein calprotectin plays a crucial role in host defense against bacterial and fungal pathogens. However, the essential processes disrupted by calprotectin remain unknown. We report that calprotectin enhances the sensitivity of Staphylococcus aureus to superoxide through inhibition of manganese-dependent bacterial superoxide defenses, thereby increasing superoxide levels within the bacterial cell. Superoxide dismutase activity is required for full virulence in a systemic model of S. aureus infection, and disruption of staphylococcal superoxide defenses by calprotectin augments the antimicrobial activity of neutrophils promoting in vivo clearance. Calprotectin mutated in two transition metal binding sites and therefore defective in binding manganese and zinc does not inhibit microbial growth, unequivocally linking the antimicrobial properties of calprotectin to metal chelation. These results suggest that calprotectin contributes to host defense by rendering bacterial pathogens more sensitive to host immune effectors and reducing bacterial growth. © 2011 Elsevier Inc.&quot;,&quot;publisher&quot;:&quot;Elsevier Inc.&quot;,&quot;issue&quot;:&quot;2&quot;,&quot;volume&quot;:&quot;10&quot;,&quot;container-title-short&quot;:&quot;&quot;},&quot;isTemporary&quot;:false}]},{&quot;citationID&quot;:&quot;MENDELEY_CITATION_80697096-f492-4d52-baf0-7c268fda1fa3&quot;,&quot;properties&quot;:{&quot;noteIndex&quot;:0},&quot;isEdited&quot;:false,&quot;manualOverride&quot;:{&quot;isManuallyOverridden&quot;:false,&quot;citeprocText&quot;:&quot;&lt;sup&gt;250&lt;/sup&gt;&quot;,&quot;manualOverrideText&quot;:&quot;&quot;},&quot;citationTag&quot;:&quot;MENDELEY_CITATION_v3_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&quot;,&quot;citationItems&quot;:[{&quot;id&quot;:&quot;98fc26da-b4b8-3008-930d-8acf1a8c705c&quot;,&quot;itemData&quot;:{&quot;type&quot;:&quot;article-journal&quot;,&quot;id&quot;:&quot;98fc26da-b4b8-3008-930d-8acf1a8c705c&quot;,&quot;title&quot;:&quot;NDM-1, the ultimate promiscuous enzyme: Substrate recognition and catalytic mechanism&quot;,&quot;author&quot;:[{&quot;family&quot;:&quot;Kim&quot;,&quot;given&quot;:&quot;Youngchang&quot;,&quot;parse-names&quot;:false,&quot;dropping-particle&quot;:&quot;&quot;,&quot;non-dropping-particle&quot;:&quot;&quot;},{&quot;family&quot;:&quot;Cunningham&quot;,&quot;given&quot;:&quot;Mark A.&quot;,&quot;parse-names&quot;:false,&quot;dropping-particle&quot;:&quot;&quot;,&quot;non-dropping-particle&quot;:&quot;&quot;},{&quot;family&quot;:&quot;Mire&quot;,&quot;given&quot;:&quot;Joseph&quot;,&quot;parse-names&quot;:false,&quot;dropping-particle&quot;:&quot;&quot;,&quot;non-dropping-particle&quot;:&quot;&quot;},{&quot;family&quot;:&quot;Tesar&quot;,&quot;given&quot;:&quot;Christine&quot;,&quot;parse-names&quot;:false,&quot;dropping-particle&quot;:&quot;&quot;,&quot;non-dropping-particle&quot;:&quot;&quot;},{&quot;family&quot;:&quot;Sacchettini&quot;,&quot;given&quot;:&quot;James&quot;,&quot;parse-names&quot;:false,&quot;dropping-particle&quot;:&quot;&quot;,&quot;non-dropping-particle&quot;:&quot;&quot;},{&quot;family&quot;:&quot;Joachimiak&quot;,&quot;given&quot;:&quot;Andrzej&quot;,&quot;parse-names&quot;:false,&quot;dropping-particle&quot;:&quot;&quot;,&quot;non-dropping-particle&quot;:&quot;&quot;}],&quot;container-title&quot;:&quot;FASEB Journal&quot;,&quot;DOI&quot;:&quot;10.1096/fj.12-224014&quot;,&quot;ISSN&quot;:&quot;15306860&quot;,&quot;PMID&quot;:&quot;23363572&quot;,&quot;issued&quot;:{&quot;date-parts&quot;:[[2013]]},&quot;page&quot;:&quot;1917-1927&quot;,&quot;abstract&quot;:&quot;The specter of a return to an era in which infectious disease looms as a significant threat to human health is not just hyperbole; there are serious concerns about the widespread overuse and misuse of antibiotics contributing to increased antibiotic resistance in pathogens. The recent discovery of a new enzyme, first identified in Klebsiella pneumoniae from a patient from New Delhi and denoted as NDM-1, represents an example of extreme promiscuity: It hydrolyzes and inactivates nearly all known β-lactam-based antibiotics with startling efficiency. NDM-1 can utilize different metal cofactors and seems to exploit an alternative mechanism based on the reaction conditions. Here we report the results of a combined experimental and theoretical study that examines the substrate, metal binding, and catalytic mechanism of the enzyme. We utilize structures obtained through X-ray crystallography, biochemical assays, and numerical simulation to construct a model of the enzyme catalytic pathway. The NDM-1 enzyme interacts with the substrate solely through zinc, or other metals, bound in the active site, explaining the observed lack of specificity against a broad range of β-lactam antibiotic agents. The zinc ions also serve to activate a water molecule that hydrolyzes theβ-lactam ring through a proton shuttle.&quot;,&quot;issue&quot;:&quot;5&quot;,&quot;volume&quot;:&quot;27&quot;,&quot;container-title-short&quot;:&quot;&quot;},&quot;isTemporary&quot;:false}]},{&quot;citationID&quot;:&quot;MENDELEY_CITATION_562e99bf-e632-4b18-aa9d-057661b20a8e&quot;,&quot;properties&quot;:{&quot;noteIndex&quot;:0},&quot;isEdited&quot;:false,&quot;manualOverride&quot;:{&quot;isManuallyOverridden&quot;:false,&quot;citeprocText&quot;:&quot;&lt;sup&gt;150,220&lt;/sup&gt;&quot;,&quot;manualOverrideText&quot;:&quot;&quot;},&quot;citationTag&quot;:&quot;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&quot;,&quot;citationItems&quot;:[{&quot;id&quot;:&quot;9bd01f2e-ccb4-366a-b12f-ad9f3576daf9&quot;,&quot;itemData&quot;:{&quot;type&quot;:&quot;article-journal&quot;,&quot;id&quot;:&quot;9bd01f2e-ccb4-366a-b12f-ad9f3576daf9&quot;,&quot;title&quot;:&quot;Genome-resolved metaproteomic characterization of preterm infant gut microbiota development reveals species-specific metabolic shifts and variabilities during early life.&quot;,&quot;author&quot;:[{&quot;family&quot;:&quot;Xiong&quot;,&quot;given&quot;:&quot;Weili&quot;,&quot;parse-names&quot;:false,&quot;dropping-particle&quot;:&quot;&quot;,&quot;non-dropping-particle&quot;:&quot;&quot;},{&quot;family&quot;:&quot;Brown&quot;,&quot;given&quot;:&quot;Christopher T&quot;,&quot;parse-names&quot;:false,&quot;dropping-particle&quot;:&quot;&quot;,&quot;non-dropping-particle&quot;:&quot;&quot;},{&quot;family&quot;:&quot;Morowitz&quot;,&quot;given&quot;:&quot;Michael J&quot;,&quot;parse-names&quot;:false,&quot;dropping-particle&quot;:&quot;&quot;,&quot;non-dropping-particle&quot;:&quot;&quot;},{&quot;family&quot;:&quot;Banfield&quot;,&quot;given&quot;:&quot;Jillian F&quot;,&quot;parse-names&quot;:false,&quot;dropping-particle&quot;:&quot;&quot;,&quot;non-dropping-particle&quot;:&quot;&quot;},{&quot;family&quot;:&quot;Hettich&quot;,&quot;given&quot;:&quot;Robert L&quot;,&quot;parse-names&quot;:false,&quot;dropping-particle&quot;:&quot;&quot;,&quot;non-dropping-particle&quot;:&quot;&quot;}],&quot;container-title&quot;:&quot;Microbiome&quot;,&quot;DOI&quot;:&quot;10.1186/s40168-017-0290-6&quot;,&quot;ISBN&quot;:&quot;4016801702&quot;,&quot;ISSN&quot;:&quot;2049-2618&quot;,&quot;PMID&quot;:&quot;28693612&quot;,&quot;URL&quot;:&quot;http://www.ncbi.nlm.nih.gov/pubmed/28693612%0Ahttp://www.pubmedcentral.nih.gov/articlerender.fcgi?artid=PMC5504695&quot;,&quot;issued&quot;:{&quot;date-parts&quot;:[[2017]]},&quot;page&quot;:&quot;72&quot;,&quot;abstract&quot;:&quot;BACKGROUND Establishment of the human gut microbiota begins at birth. This early-life microbiota development can impact host physiology during infancy and even across an entire life span. However, the functional stability and population structure of the gut microbiota during initial colonization remain poorly understood. Metaproteomics is an emerging technology for the large-scale characterization of metabolic functions in complex microbial communities (gut microbiota). RESULTS We applied a metagenome-informed metaproteomic approach to study the temporal and inter-individual differences of metabolic functions during microbial colonization of preterm human infants' gut. By analyzing 30 individual fecal samples, we identified up to 12,568 protein groups for each of four infants, including both human and microbial proteins. With genome-resolved matched metagenomics, proteins were confidently identified at the species/strain level. The maximum percentage of the proteome detected for the abundant organisms was ~45%. A time-dependent increase in the relative abundance of microbial versus human proteins suggested increasing microbial colonization during the first few weeks of early life. We observed remarkable variations and temporal shifts in the relative protein abundances of each organism in these preterm gut communities. Given the dissimilarity of the communities, only 81 microbial EggNOG orthologous groups and 57 human proteins were observed across all samples. These conserved microbial proteins were involved in carbohydrate, energy, amino acid and nucleotide metabolism while conserved human proteins were related to immune response and mucosal maturation. We identified seven proteome clusters for the communities and showed infant gut proteome profiles were unstable across time and not individual-specific. Applying a gut-specific metabolic module (GMM) analysis, we found that gut communities varied primarily in the contribution of nutrient (carbohydrates, lipids, and amino acids) utilization and short-chain fatty acid production. CONCLUSIONS Overall, this study reports species-specific proteome profiles and metabolic functions of human gut microbiota during early colonization. In particular, our work contributes to reveal microbiota-associated shifts and variations in the metabolism of three major nutrient sources and short-chain fatty acid during colonization of preterm infant gut.&quot;,&quot;publisher&quot;:&quot;Microbiome&quot;,&quot;issue&quot;:&quot;1&quot;,&quot;volume&quot;:&quot;5&quot;,&quot;container-title-short&quot;:&quot;Microbiome&quot;},&quot;isTemporary&quot;:false},{&quot;id&quot;:&quot;b43f666e-a3fd-3f90-8c76-c491a924f67b&quot;,&quot;itemData&quot;:{&quot;type&quot;:&quot;article-journal&quot;,&quot;id&quot;:&quot;b43f666e-a3fd-3f90-8c76-c491a924f67b&quot;,&quot;title&quot;:&quot;Hospitalized premature infants are colonized by related bacterial strains with distinct proteomic profiles&quot;,&quot;author&quot;:[{&quot;family&quot;:&quot;Brown&quot;,&quot;given&quot;:&quot;Christopher T.&quot;,&quot;parse-names&quot;:false,&quot;dropping-particle&quot;:&quot;&quot;,&quot;non-dropping-particle&quot;:&quot;&quot;},{&quot;family&quot;:&quot;Xiong&quot;,&quot;given&quot;:&quot;Weili&quot;,&quot;parse-names&quot;:false,&quot;dropping-particle&quot;:&quot;&quot;,&quot;non-dropping-particle&quot;:&quot;&quot;},{&quot;family&quot;:&quot;Olm&quot;,&quot;given&quot;:&quot;Matthew R.&quot;,&quot;parse-names&quot;:false,&quot;dropping-particle&quot;:&quot;&quot;,&quot;non-dropping-particle&quot;:&quot;&quot;},{&quot;family&quot;:&quot;Thomas&quot;,&quot;given&quot;:&quot;Brian C.&quot;,&quot;parse-names&quot;:false,&quot;dropping-particle&quot;:&quot;&quot;,&quot;non-dropping-particle&quot;:&quot;&quot;},{&quot;family&quot;:&quot;Baker&quot;,&quot;given&quot;:&quot;Robyn&quot;,&quot;parse-names&quot;:false,&quot;dropping-particle&quot;:&quot;&quot;,&quot;non-dropping-particle&quot;:&quot;&quot;},{&quot;family&quot;:&quot;Firek&quot;,&quot;given&quot;:&quot;Brian&quot;,&quot;parse-names&quot;:false,&quot;dropping-particle&quot;:&quot;&quot;,&quot;non-dropping-particle&quot;:&quot;&quot;},{&quot;family&quot;:&quot;Morowitz&quot;,&quot;given&quot;:&quot;Michael J.&quot;,&quot;parse-names&quot;:false,&quot;dropping-particle&quot;:&quot;&quot;,&quot;non-dropping-particle&quot;:&quot;&quot;},{&quot;family&quot;:&quot;Hettich&quot;,&quot;given&quot;:&quot;Robert L.&quot;,&quot;parse-names&quot;:false,&quot;dropping-particle&quot;:&quot;&quot;,&quot;non-dropping-particle&quot;:&quot;&quot;},{&quot;family&quot;:&quot;Banfield&quot;,&quot;given&quot;:&quot;Jillian F.&quot;,&quot;parse-names&quot;:false,&quot;dropping-particle&quot;:&quot;&quot;,&quot;non-dropping-particle&quot;:&quot;&quot;}],&quot;container-title&quot;:&quot;mBio&quot;,&quot;DOI&quot;:&quot;10.1128/mBio.00441-18&quot;,&quot;ISSN&quot;:&quot;21507511&quot;,&quot;PMID&quot;:&quot;29636439&quot;,&quot;issued&quot;:{&quot;date-parts&quot;:[[2018]]},&quot;abstract&quot;:&quot;During the first weeks of life, microbial colonization of the gut impacts human immune system maturation and other developmental processes. In premature infants, aberrant colonization has been implicated in the onset of necrotizing enterocolitis (NEC), a life-threatening intestinal disease. To study the premature infant gut colonization process, genome-resolved metagenomics was conducted on 343 fecal samples collected during the first 3 months of life from 35 premature infants housed in a neonatal intensive care unit, 14 of whom developed NEC, and metaproteomic measurements were made on 87 samples. Microbial community composition and proteomic profiles remained relatively stable on the time scale of a week, but the proteome was more variable. Although genetically similar organisms colonized many infants, most infants were colonized by distinct strains with metabolic profiles that could be distinguished using metaproteomics. Microbiome composition correlated with infant, antibiotics administration, and NEC diagnosis. Communities were found to cluster into seven primary types, and community type switched within infants, sometimes multiple times. Interestingly, some communities sampled from the same infant at subsequent time points clustered with those of other infants. In some cases, switches preceded onset of NEC; however, no species or community type could account for NEC across the majority of infants. In addition to a correlation of protein abundances with organism replication rates, we found that organism proteomes correlated with overall community composition. Thus, this genome-resolved proteomics study demonstrated that the contributions of individual organisms to microbiome development depend on microbial community context. IMPORTANCE Humans are colonized by microbes at birth, a process that is important to health and development. However, much remains to be known about the fine-scale microbial dynamics that occur during the colonization period. We conducted a genomeresolved study of microbial community composition, replication rates, and proteomes during the first 3 months of life of both healthy and sick premature infants. Infants were found to be colonized by similar microbes, but each underwent a distinct colonization trajectory. Interestingly, related microbes colonizing different infants were found to have distinct proteomes, indicating that microbiome function is not only driven by which or-ganisms are present, but also largely depends on microbial responses to the unique set of physiological conditions in the infant gut.&quot;,&quot;issue&quot;:&quot;2&quot;,&quot;volume&quot;:&quot;9&quot;,&quot;container-title-short&quot;:&quot;mBio&quot;},&quot;isTemporary&quot;:false}]},{&quot;citationID&quot;:&quot;MENDELEY_CITATION_e6428d52-13ea-4021-98dc-90b47f935c5e&quot;,&quot;properties&quot;:{&quot;noteIndex&quot;:0},&quot;isEdited&quot;:false,&quot;manualOverride&quot;:{&quot;isManuallyOverridden&quot;:false,&quot;citeprocText&quot;:&quot;&lt;sup&gt;251&lt;/sup&gt;&quot;,&quot;manualOverrideText&quot;:&quot;&quot;},&quot;citationTag&quot;:&quot;MENDELEY_CITATION_v3_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&quot;,&quot;citationItems&quot;:[{&quot;id&quot;:&quot;63a645b2-3948-34b5-b633-7b4af7742194&quot;,&quot;itemData&quot;:{&quot;type&quot;:&quot;article-journal&quot;,&quot;id&quot;:&quot;63a645b2-3948-34b5-b633-7b4af7742194&quot;,&quot;title&quot;:&quot;Development of an enhanced metaproteomic approach for deepening the microbiome characterization of the human infant gut&quot;,&quot;author&quot;:[{&quot;family&quot;:&quot;Xiong&quot;,&quot;given&quot;:&quot;Weili&quot;,&quot;parse-names&quot;:false,&quot;dropping-particle&quot;:&quot;&quot;,&quot;non-dropping-particle&quot;:&quot;&quot;},{&quot;family&quot;:&quot;Giannone&quot;,&quot;given&quot;:&quot;Richard J.&quot;,&quot;parse-names&quot;:false,&quot;dropping-particle&quot;:&quot;&quot;,&quot;non-dropping-particle&quot;:&quot;&quot;},{&quot;family&quot;:&quot;Morowitz&quot;,&quot;given&quot;:&quot;Michael J.&quot;,&quot;parse-names&quot;:false,&quot;dropping-particle&quot;:&quot;&quot;,&quot;non-dropping-particle&quot;:&quot;&quot;},{&quot;family&quot;:&quot;Banfield&quot;,&quot;given&quot;:&quot;Jillian F.&quot;,&quot;parse-names&quot;:false,&quot;dropping-particle&quot;:&quot;&quot;,&quot;non-dropping-particle&quot;:&quot;&quot;},{&quot;family&quot;:&quot;Hettich&quot;,&quot;given&quot;:&quot;Robert L.&quot;,&quot;parse-names&quot;:false,&quot;dropping-particle&quot;:&quot;&quot;,&quot;non-dropping-particle&quot;:&quot;&quot;}],&quot;container-title&quot;:&quot;Journal of Proteome Research&quot;,&quot;DOI&quot;:&quot;10.1021/pr500936p&quot;,&quot;ISBN&quot;:&quot;1535-3907 (Electronic)\\r1535-3893 (Linking)&quot;,&quot;ISSN&quot;:&quot;15353907&quot;,&quot;PMID&quot;:&quot;25350865&quot;,&quot;issued&quot;:{&quot;date-parts&quot;:[[2015]]},&quot;page&quot;:&quot;133-141&quot;,&quot;abstract&quot;:&quot;The establishment of early life microbiota in the human infant gut is highly variable and plays a crucial role in host nutrient availability/uptake and maturation of immunity. Although high-performance mass spectrometry (MS)-based metaproteomics is a powerful method for the functional characterization of complex microbial communities, the acquisition of comprehensive metaproteomic information in human fecal samples is inhibited by the presence of abundant human proteins. To alleviate this restriction, we have designed a novel metaproteomic strategy based on double filtering (DF) the raw samples, a method that fractionates microbial from human cells to enhance microbial protein identification and characterization in complex fecal samples from healthy premature infants. This method dramatically improved the overall depth of infant gut proteome measurement, with an increase in the number of identified low-abundance proteins and a greater than 2-fold improvement in microbial protein identification and quantification. This enhancement of proteome measurement depth enabled a more extensive microbiome comparison between infants by not only increasing the confidence of identified microbial functional categories but also revealing previously undetected categories.&quot;,&quot;issue&quot;:&quot;1&quot;,&quot;volume&quot;:&quot;14&quot;,&quot;container-title-short&quot;:&quot;&quot;},&quot;isTemporary&quot;:false}]},{&quot;citationID&quot;:&quot;MENDELEY_CITATION_f0e1d0ec-26bd-4584-ae7e-130448b05a5f&quot;,&quot;properties&quot;:{&quot;noteIndex&quot;:0},&quot;isEdited&quot;:false,&quot;manualOverride&quot;:{&quot;isManuallyOverridden&quot;:false,&quot;citeprocText&quot;:&quot;&lt;sup&gt;142,146&lt;/sup&gt;&quot;,&quot;manualOverrideText&quot;:&quot;&quot;},&quot;citationTag&quot;:&quot;MENDELEY_CITATION_v3_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&quot;,&quot;citationItems&quot;:[{&quot;id&quot;:&quot;cd3baefb-e23e-31c0-be2c-610350a3bda7&quot;,&quot;itemData&quot;:{&quot;type&quot;:&quot;article-journal&quot;,&quot;id&quot;:&quot;cd3baefb-e23e-31c0-be2c-610350a3bda7&quot;,&quot;title&quot;:&quot;MS Amanda 2.0: Advancements in the standalone implementation&quot;,&quot;author&quot;:[{&quot;family&quot;:&quot;Dorfer&quot;,&quot;given&quot;:&quot;Viktoria&quot;,&quot;parse-names&quot;:false,&quot;dropping-particle&quot;:&quot;&quot;,&quot;non-dropping-particle&quot;:&quot;&quot;},{&quot;family&quot;:&quot;Strobl&quot;,&quot;given&quot;:&quot;Marina&quot;,&quot;parse-names&quot;:false,&quot;dropping-particle&quot;:&quot;&quot;,&quot;non-dropping-particle&quot;:&quot;&quot;},{&quot;family&quot;:&quot;Winkler&quot;,&quot;given&quot;:&quot;Stephan&quot;,&quot;parse-names&quot;:false,&quot;dropping-particle&quot;:&quot;&quot;,&quot;non-dropping-particle&quot;:&quot;&quot;},{&quot;family&quot;:&quot;Mechtler&quot;,&quot;given&quot;:&quot;Karl&quot;,&quot;parse-names&quot;:false,&quot;dropping-particle&quot;:&quot;&quot;,&quot;non-dropping-particle&quot;:&quot;&quot;}],&quot;container-title&quot;:&quot;Rapid Communications in Mass Spectrometry&quot;,&quot;DOI&quot;:&quot;10.1002/rcm.9088&quot;,&quot;ISSN&quot;:&quot;10970231&quot;,&quot;PMID&quot;:&quot;33759252&quot;,&quot;issued&quot;:{&quot;date-parts&quot;:[[2021]]},&quot;page&quot;:&quot;1-7&quot;,&quot;abstract&quot;:&quot;Rationale: Database search engines are the preferred method to identify peptides in mass spectrometry data. However, valuable software is in this context not only defined by a powerful algorithm to separate correct from false identifications, but also by constant maintenance and continuous improvements. Methods: In 2014, we presented our peptide identification algorithm MS Amanda, showing its suitability for identifying peptides in high-resolution tandem mass spectrometry data and its ability to outperform widely used tools to identify peptides. Since then, we have continuously worked on improvements to enhance its usability and to support new trends and developments in this fast-growing field, while keeping the original scoring algorithm to assess the quality of a peptide spectrum match unchanged. Results: We present the outcome of these efforts, MS Amanda 2.0, a faster and more flexible standalone version with the original scoring algorithm. The new implementation has led to a 3–5× speedup, is able to handle new ion types and supports standard data formats. We also show that MS Amanda 2.0 works best when using only the most common ion types in a particular search instead of all possible ion types. Conclusions: MS Amanda is available free of charge from https://ms.imp.ac.at/index.php?action=msamanda.&quot;,&quot;issue&quot;:&quot;11&quot;,&quot;volume&quot;:&quot;35&quot;,&quot;container-title-short&quot;:&quot;&quot;},&quot;isTemporary&quot;:false},{&quot;id&quot;:&quot;a1a9e9e7-babe-3071-80c2-742501ac9e2a&quot;,&quot;itemData&quot;:{&quot;type&quot;:&quot;article-journal&quot;,&quot;id&quot;:&quot;a1a9e9e7-babe-3071-80c2-742501ac9e2a&quot;,&quot;title&quot;:&quot;CharmeRT: Boosting Peptide Identifications by Chimeric Spectra Identification and Retention Time Prediction&quot;,&quot;author&quot;:[{&quot;family&quot;:&quot;Dorfer&quot;,&quot;given&quot;:&quot;Viktoria&quot;,&quot;parse-names&quot;:false,&quot;dropping-particle&quot;:&quot;&quot;,&quot;non-dropping-particle&quot;:&quot;&quot;},{&quot;family&quot;:&quot;Maltsev&quot;,&quot;given&quot;:&quot;Sergey&quot;,&quot;parse-names&quot;:false,&quot;dropping-particle&quot;:&quot;&quot;,&quot;non-dropping-particle&quot;:&quot;&quot;},{&quot;family&quot;:&quot;Winkler&quot;,&quot;given&quot;:&quot;Stephan&quot;,&quot;parse-names&quot;:false,&quot;dropping-particle&quot;:&quot;&quot;,&quot;non-dropping-particle&quot;:&quot;&quot;},{&quot;family&quot;:&quot;Mechtler&quot;,&quot;given&quot;:&quot;Karl&quot;,&quot;parse-names&quot;:false,&quot;dropping-particle&quot;:&quot;&quot;,&quot;non-dropping-particle&quot;:&quot;&quot;}],&quot;container-title&quot;:&quot;Journal of Proteome Research&quot;,&quot;DOI&quot;:&quot;10.1021/acs.jproteome.7b00836&quot;,&quot;ISSN&quot;:&quot;15353907&quot;,&quot;issued&quot;:{&quot;date-parts&quot;:[[2018]]},&quot;page&quot;:&quot;2581-2589&quot;,&quot;abstract&quot;:&quot;Coeluting peptides are still a major challenge for the identification and validation of MS/MS spectra, but carry great potential. To tackle these problems, we have developed the here presented CharmeRT workflow, combining a chimeric spectra identification strategy implemented as part of the MS Amanda algorithm with the validation system Elutator, which incorporates a highly accurate retention time prediction algorithm. For high-resolution data sets this workflow identifies 38-64% chimeric spectra, which results in up to 63% more unique peptides compared to a conventional single search strategy.&quot;,&quot;issue&quot;:&quot;8&quot;,&quot;volume&quot;:&quot;17&quot;,&quot;container-title-short&quot;:&quot;&quot;},&quot;isTemporary&quot;:false}]},{&quot;citationID&quot;:&quot;MENDELEY_CITATION_a084b4fd-b998-4f6f-9f67-6ef2a9338201&quot;,&quot;properties&quot;:{&quot;noteIndex&quot;:0},&quot;isEdited&quot;:false,&quot;manualOverride&quot;:{&quot;isManuallyOverridden&quot;:false,&quot;citeprocText&quot;:&quot;&lt;sup&gt;173&lt;/sup&gt;&quot;,&quot;manualOverrideText&quot;:&quot;&quot;},&quot;citationTag&quot;:&quot;MENDELEY_CITATION_v3_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&quot;,&quot;citationItems&quot;:[{&quot;id&quot;:&quot;8739ab41-e826-3f56-abd2-6061acaf5222&quot;,&quot;itemData&quot;:{&quot;type&quot;:&quot;article-journal&quot;,&quot;id&quot;:&quot;8739ab41-e826-3f56-abd2-6061acaf5222&quot;,&quot;title&quot;:&quot;Search and clustering orders of magnitude faster than BLAST&quot;,&quot;author&quot;:[{&quot;family&quot;:&quot;Edgar&quot;,&quot;given&quot;:&quot;Robert C.&quot;,&quot;parse-names&quot;:false,&quot;dropping-particle&quot;:&quot;&quot;,&quot;non-dropping-particle&quot;:&quot;&quot;}],&quot;container-title&quot;:&quot;Bioinformatics&quot;,&quot;DOI&quot;:&quot;10.1093/bioinformatics/btq461&quot;,&quot;ISSN&quot;:&quot;13674803&quot;,&quot;PMID&quot;:&quot;20709691&quot;,&quot;issued&quot;:{&quot;date-parts&quot;:[[2010]]},&quot;page&quot;:&quot;2460-2461&quot;,&quot;abstract&quot;:&quot;Motivation: Biological sequence data is accumulating rapidly, motivating the development of improved high-throughput methods for sequence classification. Results: UBLAST and USEARCH are new algorithms enabling sensitive local and global search of large sequence databases at exceptionally high speeds. They are often orders of magnitude faster than BLAST in practical applications, though sensitivity to distant protein relationships is lower. UCLUST is a new clustering method that exploits USEARCH to assign sequences to clusters. UCLUST offers several advantages over the widely used program CD-HIT, including higher speed, lower memory use, improved sensitivity, clustering at lower identities and classification of much larger datasets. © The Author 2010. Published by Oxford University Press. All rights reserved.&quot;,&quot;issue&quot;:&quot;19&quot;,&quot;volume&quot;:&quot;26&quot;,&quot;container-title-short&quot;:&quot;&quot;},&quot;isTemporary&quot;:false}]},{&quot;citationID&quot;:&quot;MENDELEY_CITATION_b81c3b68-ccd6-4df5-8a16-9c595d145866&quot;,&quot;properties&quot;:{&quot;noteIndex&quot;:0},&quot;isEdited&quot;:false,&quot;manualOverride&quot;:{&quot;isManuallyOverridden&quot;:false,&quot;citeprocText&quot;:&quot;&lt;sup&gt;220&lt;/sup&gt;&quot;,&quot;manualOverrideText&quot;:&quot;&quot;},&quot;citationTag&quot;:&quot;MENDELEY_CITATION_v3_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&quot;,&quot;citationItems&quot;:[{&quot;id&quot;:&quot;b43f666e-a3fd-3f90-8c76-c491a924f67b&quot;,&quot;itemData&quot;:{&quot;type&quot;:&quot;article-journal&quot;,&quot;id&quot;:&quot;b43f666e-a3fd-3f90-8c76-c491a924f67b&quot;,&quot;title&quot;:&quot;Hospitalized premature infants are colonized by related bacterial strains with distinct proteomic profiles&quot;,&quot;author&quot;:[{&quot;family&quot;:&quot;Brown&quot;,&quot;given&quot;:&quot;Christopher T.&quot;,&quot;parse-names&quot;:false,&quot;dropping-particle&quot;:&quot;&quot;,&quot;non-dropping-particle&quot;:&quot;&quot;},{&quot;family&quot;:&quot;Xiong&quot;,&quot;given&quot;:&quot;Weili&quot;,&quot;parse-names&quot;:false,&quot;dropping-particle&quot;:&quot;&quot;,&quot;non-dropping-particle&quot;:&quot;&quot;},{&quot;family&quot;:&quot;Olm&quot;,&quot;given&quot;:&quot;Matthew R.&quot;,&quot;parse-names&quot;:false,&quot;dropping-particle&quot;:&quot;&quot;,&quot;non-dropping-particle&quot;:&quot;&quot;},{&quot;family&quot;:&quot;Thomas&quot;,&quot;given&quot;:&quot;Brian C.&quot;,&quot;parse-names&quot;:false,&quot;dropping-particle&quot;:&quot;&quot;,&quot;non-dropping-particle&quot;:&quot;&quot;},{&quot;family&quot;:&quot;Baker&quot;,&quot;given&quot;:&quot;Robyn&quot;,&quot;parse-names&quot;:false,&quot;dropping-particle&quot;:&quot;&quot;,&quot;non-dropping-particle&quot;:&quot;&quot;},{&quot;family&quot;:&quot;Firek&quot;,&quot;given&quot;:&quot;Brian&quot;,&quot;parse-names&quot;:false,&quot;dropping-particle&quot;:&quot;&quot;,&quot;non-dropping-particle&quot;:&quot;&quot;},{&quot;family&quot;:&quot;Morowitz&quot;,&quot;given&quot;:&quot;Michael J.&quot;,&quot;parse-names&quot;:false,&quot;dropping-particle&quot;:&quot;&quot;,&quot;non-dropping-particle&quot;:&quot;&quot;},{&quot;family&quot;:&quot;Hettich&quot;,&quot;given&quot;:&quot;Robert L.&quot;,&quot;parse-names&quot;:false,&quot;dropping-particle&quot;:&quot;&quot;,&quot;non-dropping-particle&quot;:&quot;&quot;},{&quot;family&quot;:&quot;Banfield&quot;,&quot;given&quot;:&quot;Jillian F.&quot;,&quot;parse-names&quot;:false,&quot;dropping-particle&quot;:&quot;&quot;,&quot;non-dropping-particle&quot;:&quot;&quot;}],&quot;container-title&quot;:&quot;mBio&quot;,&quot;DOI&quot;:&quot;10.1128/mBio.00441-18&quot;,&quot;ISSN&quot;:&quot;21507511&quot;,&quot;PMID&quot;:&quot;29636439&quot;,&quot;issued&quot;:{&quot;date-parts&quot;:[[2018]]},&quot;abstract&quot;:&quot;During the first weeks of life, microbial colonization of the gut impacts human immune system maturation and other developmental processes. In premature infants, aberrant colonization has been implicated in the onset of necrotizing enterocolitis (NEC), a life-threatening intestinal disease. To study the premature infant gut colonization process, genome-resolved metagenomics was conducted on 343 fecal samples collected during the first 3 months of life from 35 premature infants housed in a neonatal intensive care unit, 14 of whom developed NEC, and metaproteomic measurements were made on 87 samples. Microbial community composition and proteomic profiles remained relatively stable on the time scale of a week, but the proteome was more variable. Although genetically similar organisms colonized many infants, most infants were colonized by distinct strains with metabolic profiles that could be distinguished using metaproteomics. Microbiome composition correlated with infant, antibiotics administration, and NEC diagnosis. Communities were found to cluster into seven primary types, and community type switched within infants, sometimes multiple times. Interestingly, some communities sampled from the same infant at subsequent time points clustered with those of other infants. In some cases, switches preceded onset of NEC; however, no species or community type could account for NEC across the majority of infants. In addition to a correlation of protein abundances with organism replication rates, we found that organism proteomes correlated with overall community composition. Thus, this genome-resolved proteomics study demonstrated that the contributions of individual organisms to microbiome development depend on microbial community context. IMPORTANCE Humans are colonized by microbes at birth, a process that is important to health and development. However, much remains to be known about the fine-scale microbial dynamics that occur during the colonization period. We conducted a genomeresolved study of microbial community composition, replication rates, and proteomes during the first 3 months of life of both healthy and sick premature infants. Infants were found to be colonized by similar microbes, but each underwent a distinct colonization trajectory. Interestingly, related microbes colonizing different infants were found to have distinct proteomes, indicating that microbiome function is not only driven by which or-ganisms are present, but also largely depends on microbial responses to the unique set of physiological conditions in the infant gut.&quot;,&quot;issue&quot;:&quot;2&quot;,&quot;volume&quot;:&quot;9&quot;,&quot;container-title-short&quot;:&quot;mBio&quot;},&quot;isTemporary&quot;:false}]},{&quot;citationID&quot;:&quot;MENDELEY_CITATION_5aa570d8-053c-4797-9284-54c62a3ee771&quot;,&quot;properties&quot;:{&quot;noteIndex&quot;:0},&quot;isEdited&quot;:false,&quot;manualOverride&quot;:{&quot;isManuallyOverridden&quot;:false,&quot;citeprocText&quot;:&quot;&lt;sup&gt;111&lt;/sup&gt;&quot;,&quot;manualOverrideText&quot;:&quot;&quot;},&quot;citationTag&quot;:&quot;MENDELEY_CITATION_v3_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&quot;,&quot;citationItems&quot;:[{&quot;id&quot;:&quot;990e4686-86d8-346e-9f82-2e6b5da6c263&quot;,&quot;itemData&quot;:{&quot;type&quot;:&quot;article-journal&quot;,&quot;id&quot;:&quot;990e4686-86d8-346e-9f82-2e6b5da6c263&quot;,&quot;title&quot;:&quot;eggNOG 5 . 0 : a hierarchical , functionally and phylogenetically annotated orthology resource based on 5090 organisms and 2502 viruses&quot;,&quot;author&quot;:[{&quot;family&quot;:&quot;Huerta-cepas&quot;,&quot;given&quot;:&quot;Jaime&quot;,&quot;parse-names&quot;:false,&quot;dropping-particle&quot;:&quot;&quot;,&quot;non-dropping-particle&quot;:&quot;&quot;},{&quot;family&quot;:&quot;Szklarczyk&quot;,&quot;given&quot;:&quot;Damian&quot;,&quot;parse-names&quot;:false,&quot;dropping-particle&quot;:&quot;&quot;,&quot;non-dropping-particle&quot;:&quot;&quot;},{&quot;family&quot;:&quot;Heller&quot;,&quot;given&quot;:&quot;Davide&quot;,&quot;parse-names&quot;:false,&quot;dropping-particle&quot;:&quot;&quot;,&quot;non-dropping-particle&quot;:&quot;&quot;},{&quot;family&quot;:&quot;Hern&quot;,&quot;given&quot;:&quot;Ana&quot;,&quot;parse-names&quot;:false,&quot;dropping-particle&quot;:&quot;&quot;,&quot;non-dropping-particle&quot;:&quot;&quot;},{&quot;family&quot;:&quot;Forslund&quot;,&quot;given&quot;:&quot;Sofia K&quot;,&quot;parse-names&quot;:false,&quot;dropping-particle&quot;:&quot;&quot;,&quot;non-dropping-particle&quot;:&quot;&quot;},{&quot;family&quot;:&quot;Cook&quot;,&quot;given&quot;:&quot;Helen&quot;,&quot;parse-names&quot;:false,&quot;dropping-particle&quot;:&quot;&quot;,&quot;non-dropping-particle&quot;:&quot;&quot;},{&quot;family&quot;:&quot;Mende&quot;,&quot;given&quot;:&quot;Daniel R&quot;,&quot;parse-names&quot;:false,&quot;dropping-particle&quot;:&quot;&quot;,&quot;non-dropping-particle&quot;:&quot;&quot;},{&quot;family&quot;:&quot;Letunic&quot;,&quot;given&quot;:&quot;Ivica&quot;,&quot;parse-names&quot;:false,&quot;dropping-particle&quot;:&quot;&quot;,&quot;non-dropping-particle&quot;:&quot;&quot;},{&quot;family&quot;:&quot;Rattei&quot;,&quot;given&quot;:&quot;Thomas&quot;,&quot;parse-names&quot;:false,&quot;dropping-particle&quot;:&quot;&quot;,&quot;non-dropping-particle&quot;:&quot;&quot;},{&quot;family&quot;:&quot;Jensen&quot;,&quot;given&quot;:&quot;Lars J&quot;,&quot;parse-names&quot;:false,&quot;dropping-particle&quot;:&quot;&quot;,&quot;non-dropping-particle&quot;:&quot;&quot;},{&quot;family&quot;:&quot;Mering&quot;,&quot;given&quot;:&quot;Christian&quot;,&quot;parse-names&quot;:false,&quot;dropping-particle&quot;:&quot;von&quot;,&quot;non-dropping-particle&quot;:&quot;&quot;},{&quot;family&quot;:&quot;Bork&quot;,&quot;given&quot;:&quot;Peer&quot;,&quot;parse-names&quot;:false,&quot;dropping-particle&quot;:&quot;&quot;,&quot;non-dropping-particle&quot;:&quot;&quot;}],&quot;DOI&quot;:&quot;10.1093/nar/gky1085&quot;,&quot;issued&quot;:{&quot;date-parts&quot;:[[2019]]},&quot;page&quot;:&quot;309-314&quot;,&quot;issue&quot;:&quot;November 2018&quot;,&quot;volume&quot;:&quot;47&quot;,&quot;container-title-short&quot;:&quot;&quot;},&quot;isTemporary&quot;:false}]},{&quot;citationID&quot;:&quot;MENDELEY_CITATION_8b8b813f-4585-4648-a503-037cd4d9efb9&quot;,&quot;properties&quot;:{&quot;noteIndex&quot;:0},&quot;isEdited&quot;:false,&quot;manualOverride&quot;:{&quot;isManuallyOverridden&quot;:false,&quot;citeprocText&quot;:&quot;&lt;sup&gt;252&lt;/sup&gt;&quot;,&quot;manualOverrideText&quot;:&quot;&quot;},&quot;citationTag&quot;:&quot;MENDELEY_CITATION_v3_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&quot;,&quot;citationItems&quot;:[{&quot;id&quot;:&quot;2785fdfd-5221-30f5-92d3-eab3bb21d5e8&quot;,&quot;itemData&quot;:{&quot;type&quot;:&quot;article-journal&quot;,&quot;id&quot;:&quot;2785fdfd-5221-30f5-92d3-eab3bb21d5e8&quot;,&quot;title&quot;:&quot;CARD 2020: Antibiotic resistome surveillance with the comprehensive antibiotic resistance database&quot;,&quot;author&quot;:[{&quot;family&quot;:&quot;Alcock&quot;,&quot;given&quot;:&quot;Brian P.&quot;,&quot;parse-names&quot;:false,&quot;dropping-particle&quot;:&quot;&quot;,&quot;non-dropping-particle&quot;:&quot;&quot;},{&quot;family&quot;:&quot;Raphenya&quot;,&quot;given&quot;:&quot;Amogelang R.&quot;,&quot;parse-names&quot;:false,&quot;dropping-particle&quot;:&quot;&quot;,&quot;non-dropping-particle&quot;:&quot;&quot;},{&quot;family&quot;:&quot;Lau&quot;,&quot;given&quot;:&quot;Tammy T.Y.&quot;,&quot;parse-names&quot;:false,&quot;dropping-particle&quot;:&quot;&quot;,&quot;non-dropping-particle&quot;:&quot;&quot;},{&quot;family&quot;:&quot;Tsang&quot;,&quot;given&quot;:&quot;Kara K.&quot;,&quot;parse-names&quot;:false,&quot;dropping-particle&quot;:&quot;&quot;,&quot;non-dropping-particle&quot;:&quot;&quot;},{&quot;family&quot;:&quot;Bouchard&quot;,&quot;given&quot;:&quot;Mégane&quot;,&quot;parse-names&quot;:false,&quot;dropping-particle&quot;:&quot;&quot;,&quot;non-dropping-particle&quot;:&quot;&quot;},{&quot;family&quot;:&quot;Edalatmand&quot;,&quot;given&quot;:&quot;Arman&quot;,&quot;parse-names&quot;:false,&quot;dropping-particle&quot;:&quot;&quot;,&quot;non-dropping-particle&quot;:&quot;&quot;},{&quot;family&quot;:&quot;Huynh&quot;,&quot;given&quot;:&quot;William&quot;,&quot;parse-names&quot;:false,&quot;dropping-particle&quot;:&quot;&quot;,&quot;non-dropping-particle&quot;:&quot;&quot;},{&quot;family&quot;:&quot;Nguyen&quot;,&quot;given&quot;:&quot;Anna Lisa&quot;,&quot;parse-names&quot;:false,&quot;dropping-particle&quot;:&quot;v.&quot;,&quot;non-dropping-particle&quot;:&quot;&quot;},{&quot;family&quot;:&quot;Cheng&quot;,&quot;given&quot;:&quot;Annie A.&quot;,&quot;parse-names&quot;:false,&quot;dropping-particle&quot;:&quot;&quot;,&quot;non-dropping-particle&quot;:&quot;&quot;},{&quot;family&quot;:&quot;Liu&quot;,&quot;given&quot;:&quot;Sihan&quot;,&quot;parse-names&quot;:false,&quot;dropping-particle&quot;:&quot;&quot;,&quot;non-dropping-particle&quot;:&quot;&quot;},{&quot;family&quot;:&quot;Min&quot;,&quot;given&quot;:&quot;Sally Y.&quot;,&quot;parse-names&quot;:false,&quot;dropping-particle&quot;:&quot;&quot;,&quot;non-dropping-particle&quot;:&quot;&quot;},{&quot;family&quot;:&quot;Miroshnichenko&quot;,&quot;given&quot;:&quot;Anatoly&quot;,&quot;parse-names&quot;:false,&quot;dropping-particle&quot;:&quot;&quot;,&quot;non-dropping-particle&quot;:&quot;&quot;},{&quot;family&quot;:&quot;Tran&quot;,&quot;given&quot;:&quot;Hiu Ki&quot;,&quot;parse-names&quot;:false,&quot;dropping-particle&quot;:&quot;&quot;,&quot;non-dropping-particle&quot;:&quot;&quot;},{&quot;family&quot;:&quot;Werfalli&quot;,&quot;given&quot;:&quot;Rafik E.&quot;,&quot;parse-names&quot;:false,&quot;dropping-particle&quot;:&quot;&quot;,&quot;non-dropping-particle&quot;:&quot;&quot;},{&quot;family&quot;:&quot;Nasir&quot;,&quot;given&quot;:&quot;Jalees A.&quot;,&quot;parse-names&quot;:false,&quot;dropping-particle&quot;:&quot;&quot;,&quot;non-dropping-particle&quot;:&quot;&quot;},{&quot;family&quot;:&quot;Oloni&quot;,&quot;given&quot;:&quot;Martins&quot;,&quot;parse-names&quot;:false,&quot;dropping-particle&quot;:&quot;&quot;,&quot;non-dropping-particle&quot;:&quot;&quot;},{&quot;family&quot;:&quot;Speicher&quot;,&quot;given&quot;:&quot;David J.&quot;,&quot;parse-names&quot;:false,&quot;dropping-particle&quot;:&quot;&quot;,&quot;non-dropping-particle&quot;:&quot;&quot;},{&quot;family&quot;:&quot;Florescu&quot;,&quot;given&quot;:&quot;Alexandra&quot;,&quot;parse-names&quot;:false,&quot;dropping-particle&quot;:&quot;&quot;,&quot;non-dropping-particle&quot;:&quot;&quot;},{&quot;family&quot;:&quot;Singh&quot;,&quot;given&quot;:&quot;Bhavya&quot;,&quot;parse-names&quot;:false,&quot;dropping-particle&quot;:&quot;&quot;,&quot;non-dropping-particle&quot;:&quot;&quot;},{&quot;family&quot;:&quot;Faltyn&quot;,&quot;given&quot;:&quot;Mateusz&quot;,&quot;parse-names&quot;:false,&quot;dropping-particle&quot;:&quot;&quot;,&quot;non-dropping-particle&quot;:&quot;&quot;},{&quot;family&quot;:&quot;Hernandez-Koutoucheva&quot;,&quot;given&quot;:&quot;Anastasia&quot;,&quot;parse-names&quot;:false,&quot;dropping-particle&quot;:&quot;&quot;,&quot;non-dropping-particle&quot;:&quot;&quot;},{&quot;family&quot;:&quot;Sharma&quot;,&quot;given&quot;:&quot;Arjun N.&quot;,&quot;parse-names&quot;:false,&quot;dropping-particle&quot;:&quot;&quot;,&quot;non-dropping-particle&quot;:&quot;&quot;},{&quot;family&quot;:&quot;Bordeleau&quot;,&quot;given&quot;:&quot;Emily&quot;,&quot;parse-names&quot;:false,&quot;dropping-particle&quot;:&quot;&quot;,&quot;non-dropping-particle&quot;:&quot;&quot;},{&quot;family&quot;:&quot;Pawlowski&quot;,&quot;given&quot;:&quot;Andrew C.&quot;,&quot;parse-names&quot;:false,&quot;dropping-particle&quot;:&quot;&quot;,&quot;non-dropping-particle&quot;:&quot;&quot;},{&quot;family&quot;:&quot;Zubyk&quot;,&quot;given&quot;:&quot;Haley L.&quot;,&quot;parse-names&quot;:false,&quot;dropping-particle&quot;:&quot;&quot;,&quot;non-dropping-particle&quot;:&quot;&quot;},{&quot;family&quot;:&quot;Dooley&quot;,&quot;given&quot;:&quot;Damion&quot;,&quot;parse-names&quot;:false,&quot;dropping-particle&quot;:&quot;&quot;,&quot;non-dropping-particle&quot;:&quot;&quot;},{&quot;family&quot;:&quot;Griffiths&quot;,&quot;given&quot;:&quot;Emma&quot;,&quot;parse-names&quot;:false,&quot;dropping-particle&quot;:&quot;&quot;,&quot;non-dropping-particle&quot;:&quot;&quot;},{&quot;family&quot;:&quot;Maguire&quot;,&quot;given&quot;:&quot;Finlay&quot;,&quot;parse-names&quot;:false,&quot;dropping-particle&quot;:&quot;&quot;,&quot;non-dropping-particle&quot;:&quot;&quot;},{&quot;family&quot;:&quot;Winsor&quot;,&quot;given&quot;:&quot;Geoff L.&quot;,&quot;parse-names&quot;:false,&quot;dropping-particle&quot;:&quot;&quot;,&quot;non-dropping-particle&quot;:&quot;&quot;},{&quot;family&quot;:&quot;Beiko&quot;,&quot;given&quot;:&quot;Robert G.&quot;,&quot;parse-names&quot;:false,&quot;dropping-particle&quot;:&quot;&quot;,&quot;non-dropping-particle&quot;:&quot;&quot;},{&quot;family&quot;:&quot;Brinkman&quot;,&quot;given&quot;:&quot;Fiona S.L.&quot;,&quot;parse-names&quot;:false,&quot;dropping-particle&quot;:&quot;&quot;,&quot;non-dropping-particle&quot;:&quot;&quot;},{&quot;family&quot;:&quot;Hsiao&quot;,&quot;given&quot;:&quot;William W.L.&quot;,&quot;parse-names&quot;:false,&quot;dropping-particle&quot;:&quot;&quot;,&quot;non-dropping-particle&quot;:&quot;&quot;},{&quot;family&quot;:&quot;Domselaar&quot;,&quot;given&quot;:&quot;Gary&quot;,&quot;parse-names&quot;:false,&quot;dropping-particle&quot;:&quot;v.&quot;,&quot;non-dropping-particle&quot;:&quot;&quot;},{&quot;family&quot;:&quot;McArthur&quot;,&quot;given&quot;:&quot;Andrew G.&quot;,&quot;parse-names&quot;:false,&quot;dropping-particle&quot;:&quot;&quot;,&quot;non-dropping-particle&quot;:&quot;&quot;}],&quot;container-title&quot;:&quot;Nucleic Acids Research&quot;,&quot;DOI&quot;:&quot;10.1093/nar/gkz935&quot;,&quot;ISSN&quot;:&quot;13624962&quot;,&quot;PMID&quot;:&quot;31665441&quot;,&quot;issued&quot;:{&quot;date-parts&quot;:[[2020]]},&quot;page&quot;:&quot;D517-D525&quot;,&quot;abstract&quot;:&quot;The Comprehensive Antibiotic Resistance Database (CARD; https://card.mcmaster.ca) is a curated resource providing reference DNA and protein sequences, detection models and bioinformatics tools on the molecular basis of bacterial antimicrobial resistance (AMR). CARD focuses on providing high-quality reference data and molecular sequences within a controlled vocabulary, the Antibiotic Resistance Ontology (ARO), designed by the CARD biocuration team to integrate with software development efforts for resistome analysis and prediction, such as CARD's Resistance Gene Identifier (RGI) software. Since 2017, CARD has expanded through extensive curation of reference sequences, revision of the ontological structure, curation of over 500 new AMR detection models, development of a new classification paradigm and expansion of analytical tools. Most notably, a new Resistomes &amp; Variants module provides analysis and statistical summary of in silico predicted resistance variants from 82 pathogens and over 100 000 genomes. By adding these resistance variants to CARD, we are able to summarize predicted resistance using the information included in CARD, identify trends in AMR mobility and determine previously undescribed and novel resistance variants. Here, we describe updates and recent expansions to CARD and its biocuration process, including new resources for community biocuration of AMR molecular reference data.&quot;,&quot;issue&quot;:&quot;D1&quot;,&quot;volume&quot;:&quot;48&quot;,&quot;container-title-short&quot;:&quot;&quot;},&quot;isTemporary&quot;:false}]},{&quot;citationID&quot;:&quot;MENDELEY_CITATION_2829de14-2d5f-43a1-82c1-3813ce3d8862&quot;,&quot;properties&quot;:{&quot;noteIndex&quot;:0},&quot;isEdited&quot;:false,&quot;manualOverride&quot;:{&quot;isManuallyOverridden&quot;:false,&quot;citeprocText&quot;:&quot;&lt;sup&gt;253,254&lt;/sup&gt;&quot;,&quot;manualOverrideText&quot;:&quot;&quot;},&quot;citationTag&quot;:&quot;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&quot;,&quot;citationItems&quot;:[{&quot;id&quot;:&quot;a0a8a92b-f0a2-3c12-b48d-dfa01b396dce&quot;,&quot;itemData&quot;:{&quot;type&quot;:&quot;article-journal&quot;,&quot;id&quot;:&quot;a0a8a92b-f0a2-3c12-b48d-dfa01b396dce&quot;,&quot;title&quot;:&quot;Reproducible protocols for metagenomic analysis of human faecal phageomes&quot;,&quot;author&quot;:[{&quot;family&quot;:&quot;Shkoporov&quot;,&quot;given&quot;:&quot;Andrey N.&quot;,&quot;parse-names&quot;:false,&quot;dropping-particle&quot;:&quot;&quot;,&quot;non-dropping-particle&quot;:&quot;&quot;},{&quot;family&quot;:&quot;Ryan&quot;,&quot;given&quot;:&quot;Feargal J.&quot;,&quot;parse-names&quot;:false,&quot;dropping-particle&quot;:&quot;&quot;,&quot;non-dropping-particle&quot;:&quot;&quot;},{&quot;family&quot;:&quot;Draper&quot;,&quot;given&quot;:&quot;Lorraine A.&quot;,&quot;parse-names&quot;:false,&quot;dropping-particle&quot;:&quot;&quot;,&quot;non-dropping-particle&quot;:&quot;&quot;},{&quot;family&quot;:&quot;Forde&quot;,&quot;given&quot;:&quot;Amanda&quot;,&quot;parse-names&quot;:false,&quot;dropping-particle&quot;:&quot;&quot;,&quot;non-dropping-particle&quot;:&quot;&quot;},{&quot;family&quot;:&quot;Stockdale&quot;,&quot;given&quot;:&quot;Stephen R.&quot;,&quot;parse-names&quot;:false,&quot;dropping-particle&quot;:&quot;&quot;,&quot;non-dropping-particle&quot;:&quot;&quot;},{&quot;family&quot;:&quot;Daly&quot;,&quot;given&quot;:&quot;Karen M.&quot;,&quot;parse-names&quot;:false,&quot;dropping-particle&quot;:&quot;&quot;,&quot;non-dropping-particle&quot;:&quot;&quot;},{&quot;family&quot;:&quot;McDonnell&quot;,&quot;given&quot;:&quot;Siobhan A.&quot;,&quot;parse-names&quot;:false,&quot;dropping-particle&quot;:&quot;&quot;,&quot;non-dropping-particle&quot;:&quot;&quot;},{&quot;family&quot;:&quot;Nolan&quot;,&quot;given&quot;:&quot;James A.&quot;,&quot;parse-names&quot;:false,&quot;dropping-particle&quot;:&quot;&quot;,&quot;non-dropping-particle&quot;:&quot;&quot;},{&quot;family&quot;:&quot;Sutton&quot;,&quot;given&quot;:&quot;Thomas D.S.&quot;,&quot;parse-names&quot;:false,&quot;dropping-particle&quot;:&quot;&quot;,&quot;non-dropping-particle&quot;:&quot;&quot;},{&quot;family&quot;:&quot;Dalmasso&quot;,&quot;given&quot;:&quot;Marion&quot;,&quot;parse-names&quot;:false,&quot;dropping-particle&quot;:&quot;&quot;,&quot;non-dropping-particle&quot;:&quot;&quot;},{&quot;family&quot;:&quot;McCann&quot;,&quot;given&quot;:&quot;Angela&quot;,&quot;parse-names&quot;:false,&quot;dropping-particle&quot;:&quot;&quot;,&quot;non-dropping-particle&quot;:&quot;&quot;},{&quot;family&quot;:&quot;Ross&quot;,&quot;given&quot;:&quot;R. Paul&quot;,&quot;parse-names&quot;:false,&quot;dropping-particle&quot;:&quot;&quot;,&quot;non-dropping-particle&quot;:&quot;&quot;},{&quot;family&quot;:&quot;Hill&quot;,&quot;given&quot;:&quot;Colin&quot;,&quot;parse-names&quot;:false,&quot;dropping-particle&quot;:&quot;&quot;,&quot;non-dropping-particle&quot;:&quot;&quot;}],&quot;container-title&quot;:&quot;Microbiome&quot;,&quot;DOI&quot;:&quot;10.1186/s40168-018-0446-z&quot;,&quot;ISSN&quot;:&quot;20492618&quot;,&quot;PMID&quot;:&quot;29631623&quot;,&quot;issued&quot;:{&quot;date-parts&quot;:[[2018]]},&quot;page&quot;:&quot;68&quot;,&quot;abstract&quot;:&quot;BACKGROUND: Recent studies have demonstrated that the human gut is populated by complex, highly individual and stable communities of viruses, the majority of which are bacteriophages. While disease-specific alterations in the gut phageome have been observed in IBD, AIDS and acute malnutrition, the human gut phageome remains poorly characterised. One important obstacle in metagenomic studies of the human gut phageome is a high level of discrepancy between results obtained by different research groups. This is often due to the use of different protocols for enriching virus-like particles, nucleic acid purification and sequencing. The goal of the present study is to develop a relatively simple, reproducible and cost-efficient protocol for the extraction of viral nucleic acids from human faecal samples, suitable for high-throughput studies. We also analyse the effect of certain potential confounding factors, such as storage conditions, repeated freeze-thaw cycles, and operator bias on the resultant phageome profile. Additionally, spiking of faecal samples with an exogenous phage standard was employed to quantitatively analyse phageomes following metagenomic sequencing. Comparative analysis of phageome profiles to bacteriome profiles was also performed following 16S rRNA amplicon sequencing. RESULTS: Faecal phageome profiles exhibit an overall greater individual specificity when compared to bacteriome profiles. The phageome and bacteriome both exhibited moderate change when stored at + 4 °C or room temperature. Phageome profiles were less impacted by multiple freeze-thaw cycles than bacteriome profiles, but there was a greater chance for operator effect in phageome processing. The successful spiking of faecal samples with exogenous bacteriophage demonstrated large variations in the total viral load between individual samples. CONCLUSIONS: The faecal phageome sequencing protocol developed in this study provides a valuable additional view of the human gut microbiota that is complementary to 16S amplicon sequencing and/or metagenomic sequencing of total faecal DNA. The protocol was optimised for several confounding factors that are encountered while processing faecal samples, to reduce discrepancies observed within and between research groups studying the human gut phageome. Rapid storage, limited freeze-thaw cycling and spiking of faecal samples with an exogenous phage standard are recommended for optimum results.&quot;,&quot;publisher&quot;:&quot;Microbiome&quot;,&quot;issue&quot;:&quot;1&quot;,&quot;volume&quot;:&quot;6&quot;,&quot;container-title-short&quot;:&quot;Microbiome&quot;},&quot;isTemporary&quot;:false},{&quot;id&quot;:&quot;8239b9e6-661d-3a19-9383-2253a1a1f3c0&quot;,&quot;itemData&quot;:{&quot;type&quot;:&quot;article-journal&quot;,&quot;id&quot;:&quot;8239b9e6-661d-3a19-9383-2253a1a1f3c0&quot;,&quot;title&quot;:&quot;Bacteriophages and their genomes&quot;,&quot;author&quot;:[{&quot;family&quot;:&quot;Hatfull&quot;,&quot;given&quot;:&quot;Graham F.&quot;,&quot;parse-names&quot;:false,&quot;dropping-particle&quot;:&quot;&quot;,&quot;non-dropping-particle&quot;:&quot;&quot;},{&quot;family&quot;:&quot;Hendrix&quot;,&quot;given&quot;:&quot;Roger W.&quot;,&quot;parse-names&quot;:false,&quot;dropping-particle&quot;:&quot;&quot;,&quot;non-dropping-particle&quot;:&quot;&quot;}],&quot;container-title&quot;:&quot;Current Opinion in Virology&quot;,&quot;DOI&quot;:&quot;10.1016/j.coviro.2011.06.009&quot;,&quot;ISSN&quot;:&quot;18796265&quot;,&quot;URL&quot;:&quot;http://dx.doi.org/10.1016/j.coviro.2011.06.009&quot;,&quot;issued&quot;:{&quot;date-parts&quot;:[[2011]]},&quot;page&quot;:&quot;298-303&quot;,&quot;abstract&quot;:&quot;Bacteriophages occupy a unique position in biology, representing an absolute majority of all organisms in the biosphere. Because their genomes are relatively small, elucidating the genetic diversity of the phage population, deciphering their origins, and identifying the evolutionary mechanisms that shape the population would seem readily feasible. And yet the pace of phage genome characterization has slowed over the past three years, reflecting partly a need to transition from sequencing known and well-characterized bacteriophages to the isolation and comparative analysis of new isolates. The current state of bacteriophage genomics shows that the genetic diversity of the population is very high, that phages have been actively evolving for billions of years with active engagement of horizontal genetic exchange, and that their genomes are consequently pervasively mosaic in their architectures. But we have barely scratched the surface and the next years of phage genome exploration promise to be especially revealing. © 2011 Elsevier B.V.&quot;,&quot;publisher&quot;:&quot;Elsevier B.V.&quot;,&quot;issue&quot;:&quot;4&quot;,&quot;volume&quot;:&quot;1&quot;,&quot;container-title-short&quot;:&quot;&quot;},&quot;isTemporary&quot;:false}]},{&quot;citationID&quot;:&quot;MENDELEY_CITATION_d929f5c0-18c7-4c0d-9593-e317300aa0ed&quot;,&quot;properties&quot;:{&quot;noteIndex&quot;:0},&quot;isEdited&quot;:false,&quot;manualOverride&quot;:{&quot;isManuallyOverridden&quot;:false,&quot;citeprocText&quot;:&quot;&lt;sup&gt;255&lt;/sup&gt;&quot;,&quot;manualOverrideText&quot;:&quot;&quot;},&quot;citationTag&quot;:&quot;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&quot;,&quot;citationItems&quot;:[{&quot;id&quot;:&quot;c1197835-1c0f-3bc3-a163-fb11789d21a1&quot;,&quot;itemData&quot;:{&quot;type&quot;:&quot;article-journal&quot;,&quot;id&quot;:&quot;c1197835-1c0f-3bc3-a163-fb11789d21a1&quot;,&quot;title&quot;:&quot;Clades of huge phages from across Earth’s ecosystems&quot;,&quot;author&quot;:[{&quot;family&quot;:&quot;Al-Shayeb&quot;,&quot;given&quot;:&quot;Basem&quot;,&quot;parse-names&quot;:false,&quot;dropping-particle&quot;:&quot;&quot;,&quot;non-dropping-particle&quot;:&quot;&quot;},{&quot;family&quot;:&quot;Sachdeva&quot;,&quot;given&quot;:&quot;Rohan&quot;,&quot;parse-names&quot;:false,&quot;dropping-particle&quot;:&quot;&quot;,&quot;non-dropping-particle&quot;:&quot;&quot;},{&quot;family&quot;:&quot;Chen&quot;,&quot;given&quot;:&quot;Lin Xing&quot;,&quot;parse-names&quot;:false,&quot;dropping-particle&quot;:&quot;&quot;,&quot;non-dropping-particle&quot;:&quot;&quot;},{&quot;family&quot;:&quot;Ward&quot;,&quot;given&quot;:&quot;Fred&quot;,&quot;parse-names&quot;:false,&quot;dropping-particle&quot;:&quot;&quot;,&quot;non-dropping-particle&quot;:&quot;&quot;},{&quot;family&quot;:&quot;Munk&quot;,&quot;given&quot;:&quot;Patrick&quot;,&quot;parse-names&quot;:false,&quot;dropping-particle&quot;:&quot;&quot;,&quot;non-dropping-particle&quot;:&quot;&quot;},{&quot;family&quot;:&quot;Devoto&quot;,&quot;given&quot;:&quot;Audra&quot;,&quot;parse-names&quot;:false,&quot;dropping-particle&quot;:&quot;&quot;,&quot;non-dropping-particle&quot;:&quot;&quot;},{&quot;family&quot;:&quot;Castelle&quot;,&quot;given&quot;:&quot;Cindy J.&quot;,&quot;parse-names&quot;:false,&quot;dropping-particle&quot;:&quot;&quot;,&quot;non-dropping-particle&quot;:&quot;&quot;},{&quot;family&quot;:&quot;Olm&quot;,&quot;given&quot;:&quot;Matthew R.&quot;,&quot;parse-names&quot;:false,&quot;dropping-particle&quot;:&quot;&quot;,&quot;non-dropping-particle&quot;:&quot;&quot;},{&quot;family&quot;:&quot;Bouma-Gregson&quot;,&quot;given&quot;:&quot;Keith&quot;,&quot;parse-names&quot;:false,&quot;dropping-particle&quot;:&quot;&quot;,&quot;non-dropping-particle&quot;:&quot;&quot;},{&quot;family&quot;:&quot;Amano&quot;,&quot;given&quot;:&quot;Yuki&quot;,&quot;parse-names&quot;:false,&quot;dropping-particle&quot;:&quot;&quot;,&quot;non-dropping-particle&quot;:&quot;&quot;},{&quot;family&quot;:&quot;He&quot;,&quot;given&quot;:&quot;Christine&quot;,&quot;parse-names&quot;:false,&quot;dropping-particle&quot;:&quot;&quot;,&quot;non-dropping-particle&quot;:&quot;&quot;},{&quot;family&quot;:&quot;Méheust&quot;,&quot;given&quot;:&quot;Raphaël&quot;,&quot;parse-names&quot;:false,&quot;dropping-particle&quot;:&quot;&quot;,&quot;non-dropping-particle&quot;:&quot;&quot;},{&quot;family&quot;:&quot;Brooks&quot;,&quot;given&quot;:&quot;Brandon&quot;,&quot;parse-names&quot;:false,&quot;dropping-particle&quot;:&quot;&quot;,&quot;non-dropping-particle&quot;:&quot;&quot;},{&quot;family&quot;:&quot;Thomas&quot;,&quot;given&quot;:&quot;Alex&quot;,&quot;parse-names&quot;:false,&quot;dropping-particle&quot;:&quot;&quot;,&quot;non-dropping-particle&quot;:&quot;&quot;},{&quot;family&quot;:&quot;Lavy&quot;,&quot;given&quot;:&quot;Adi&quot;,&quot;parse-names&quot;:false,&quot;dropping-particle&quot;:&quot;&quot;,&quot;non-dropping-particle&quot;:&quot;&quot;},{&quot;family&quot;:&quot;Matheus-Carnevali&quot;,&quot;given&quot;:&quot;Paula&quot;,&quot;parse-names&quot;:false,&quot;dropping-particle&quot;:&quot;&quot;,&quot;non-dropping-particle&quot;:&quot;&quot;},{&quot;family&quot;:&quot;Sun&quot;,&quot;given&quot;:&quot;Christine&quot;,&quot;parse-names&quot;:false,&quot;dropping-particle&quot;:&quot;&quot;,&quot;non-dropping-particle&quot;:&quot;&quot;},{&quot;family&quot;:&quot;Goltsman&quot;,&quot;given&quot;:&quot;Daniela S.A.&quot;,&quot;parse-names&quot;:false,&quot;dropping-particle&quot;:&quot;&quot;,&quot;non-dropping-particle&quot;:&quot;&quot;},{&quot;family&quot;:&quot;Borton&quot;,&quot;given&quot;:&quot;Mikayla A.&quot;,&quot;parse-names&quot;:false,&quot;dropping-particle&quot;:&quot;&quot;,&quot;non-dropping-particle&quot;:&quot;&quot;},{&quot;family&quot;:&quot;Sharrar&quot;,&quot;given&quot;:&quot;Allison&quot;,&quot;parse-names&quot;:false,&quot;dropping-particle&quot;:&quot;&quot;,&quot;non-dropping-particle&quot;:&quot;&quot;},{&quot;family&quot;:&quot;Jaffe&quot;,&quot;given&quot;:&quot;Alexander L.&quot;,&quot;parse-names&quot;:false,&quot;dropping-particle&quot;:&quot;&quot;,&quot;non-dropping-particle&quot;:&quot;&quot;},{&quot;family&quot;:&quot;Nelson&quot;,&quot;given&quot;:&quot;Tara C.&quot;,&quot;parse-names&quot;:false,&quot;dropping-particle&quot;:&quot;&quot;,&quot;non-dropping-particle&quot;:&quot;&quot;},{&quot;family&quot;:&quot;Kantor&quot;,&quot;given&quot;:&quot;Rose&quot;,&quot;parse-names&quot;:false,&quot;dropping-particle&quot;:&quot;&quot;,&quot;non-dropping-particle&quot;:&quot;&quot;},{&quot;family&quot;:&quot;Keren&quot;,&quot;given&quot;:&quot;Ray&quot;,&quot;parse-names&quot;:false,&quot;dropping-particle&quot;:&quot;&quot;,&quot;non-dropping-particle&quot;:&quot;&quot;},{&quot;family&quot;:&quot;Lane&quot;,&quot;given&quot;:&quot;Katherine R.&quot;,&quot;parse-names&quot;:false,&quot;dropping-particle&quot;:&quot;&quot;,&quot;non-dropping-particle&quot;:&quot;&quot;},{&quot;family&quot;:&quot;Farag&quot;,&quot;given&quot;:&quot;Ibrahim F.&quot;,&quot;parse-names&quot;:false,&quot;dropping-particle&quot;:&quot;&quot;,&quot;non-dropping-particle&quot;:&quot;&quot;},{&quot;family&quot;:&quot;Lei&quot;,&quot;given&quot;:&quot;Shufei&quot;,&quot;parse-names&quot;:false,&quot;dropping-particle&quot;:&quot;&quot;,&quot;non-dropping-particle&quot;:&quot;&quot;},{&quot;family&quot;:&quot;Finstad&quot;,&quot;given&quot;:&quot;Kari&quot;,&quot;parse-names&quot;:false,&quot;dropping-particle&quot;:&quot;&quot;,&quot;non-dropping-particle&quot;:&quot;&quot;},{&quot;family&quot;:&quot;Amundson&quot;,&quot;given&quot;:&quot;Ronald&quot;,&quot;parse-names&quot;:false,&quot;dropping-particle&quot;:&quot;&quot;,&quot;non-dropping-particle&quot;:&quot;&quot;},{&quot;family&quot;:&quot;Anantharaman&quot;,&quot;given&quot;:&quot;Karthik&quot;,&quot;parse-names&quot;:false,&quot;dropping-particle&quot;:&quot;&quot;,&quot;non-dropping-particle&quot;:&quot;&quot;},{&quot;family&quot;:&quot;Zhou&quot;,&quot;given&quot;:&quot;Jinglie&quot;,&quot;parse-names&quot;:false,&quot;dropping-particle&quot;:&quot;&quot;,&quot;non-dropping-particle&quot;:&quot;&quot;},{&quot;family&quot;:&quot;Probst&quot;,&quot;given&quot;:&quot;Alexander J.&quot;,&quot;parse-names&quot;:false,&quot;dropping-particle&quot;:&quot;&quot;,&quot;non-dropping-particle&quot;:&quot;&quot;},{&quot;family&quot;:&quot;Power&quot;,&quot;given&quot;:&quot;Mary E.&quot;,&quot;parse-names&quot;:false,&quot;dropping-particle&quot;:&quot;&quot;,&quot;non-dropping-particle&quot;:&quot;&quot;},{&quot;family&quot;:&quot;Tringe&quot;,&quot;given&quot;:&quot;Susannah G.&quot;,&quot;parse-names&quot;:false,&quot;dropping-particle&quot;:&quot;&quot;,&quot;non-dropping-particle&quot;:&quot;&quot;},{&quot;family&quot;:&quot;Li&quot;,&quot;given&quot;:&quot;Wen Jun&quot;,&quot;parse-names&quot;:false,&quot;dropping-particle&quot;:&quot;&quot;,&quot;non-dropping-particle&quot;:&quot;&quot;},{&quot;family&quot;:&quot;Wrighton&quot;,&quot;given&quot;:&quot;Kelly&quot;,&quot;parse-names&quot;:false,&quot;dropping-particle&quot;:&quot;&quot;,&quot;non-dropping-particle&quot;:&quot;&quot;},{&quot;family&quot;:&quot;Harrison&quot;,&quot;given&quot;:&quot;Sue&quot;,&quot;parse-names&quot;:false,&quot;dropping-particle&quot;:&quot;&quot;,&quot;non-dropping-particle&quot;:&quot;&quot;},{&quot;family&quot;:&quot;Morowitz&quot;,&quot;given&quot;:&quot;Michael&quot;,&quot;parse-names&quot;:false,&quot;dropping-particle&quot;:&quot;&quot;,&quot;non-dropping-particle&quot;:&quot;&quot;},{&quot;family&quot;:&quot;Relman&quot;,&quot;given&quot;:&quot;David A.&quot;,&quot;parse-names&quot;:false,&quot;dropping-particle&quot;:&quot;&quot;,&quot;non-dropping-particle&quot;:&quot;&quot;},{&quot;family&quot;:&quot;Doudna&quot;,&quot;given&quot;:&quot;Jennifer A.&quot;,&quot;parse-names&quot;:false,&quot;dropping-particle&quot;:&quot;&quot;,&quot;non-dropping-particle&quot;:&quot;&quot;},{&quot;family&quot;:&quot;Lehours&quot;,&quot;given&quot;:&quot;Anne Catherine&quot;,&quot;parse-names&quot;:false,&quot;dropping-particle&quot;:&quot;&quot;,&quot;non-dropping-particle&quot;:&quot;&quot;},{&quot;family&quot;:&quot;Warren&quot;,&quot;given&quot;:&quot;Lesley&quot;,&quot;parse-names&quot;:false,&quot;dropping-particle&quot;:&quot;&quot;,&quot;non-dropping-particle&quot;:&quot;&quot;},{&quot;family&quot;:&quot;Cate&quot;,&quot;given&quot;:&quot;Jamie H.D.&quot;,&quot;parse-names&quot;:false,&quot;dropping-particle&quot;:&quot;&quot;,&quot;non-dropping-particle&quot;:&quot;&quot;},{&quot;family&quot;:&quot;Santini&quot;,&quot;given&quot;:&quot;Joanne M.&quot;,&quot;parse-names&quot;:false,&quot;dropping-particle&quot;:&quot;&quot;,&quot;non-dropping-particle&quot;:&quot;&quot;},{&quot;family&quot;:&quot;Banfield&quot;,&quot;given&quot;:&quot;Jillian F.&quot;,&quot;parse-names&quot;:false,&quot;dropping-particle&quot;:&quot;&quot;,&quot;non-dropping-particle&quot;:&quot;&quot;}],&quot;container-title&quot;:&quot;Nature&quot;,&quot;DOI&quot;:&quot;10.1038/s41586-020-2007-4&quot;,&quot;ISSN&quot;:&quot;14764687&quot;,&quot;URL&quot;:&quot;http://dx.doi.org/10.1038/s41586-020-2007-4&quot;,&quot;issued&quot;:{&quot;date-parts&quot;:[[2020]]},&quot;abstract&quot;:&quot;Bacteriophages typically have small genomes1 and depend on their bacterial hosts for replication2. Here we sequenced DNA from diverse ecosystems and found hundreds of phage genomes with lengths of more than 200 kilobases (kb), including a genome of 735 kb, which is—to our knowledge—the largest phage genome to be described to date. Thirty-five genomes were manually curated to completion (circular and no gaps). Expanded genetic repertoires include diverse and previously undescribed CRISPR–Cas systems, transfer RNAs (tRNAs), tRNA synthetases, tRNA-modification enzymes, translation-initiation and elongation factors, and ribosomal proteins. The CRISPR–Cas systems of phages have the capacity to silence host transcription factors and translational genes, potentially as part of a larger interaction network that intercepts translation to redirect biosynthesis to phage-encoded functions. In addition, some phages may repurpose bacterial CRISPR–Cas systems to eliminate competing phages. We phylogenetically define the major clades of huge phages from human and other animal microbiomes, as well as from oceans, lakes, sediments, soils and the built environment. We conclude that the large gene inventories of huge phages reflect a conserved biological strategy, and that the phages are distributed across a broad bacterial host range and across Earth’s ecosystems.&quot;,&quot;publisher&quot;:&quot;Springer US&quot;,&quot;issue&quot;:&quot;February&quot;,&quot;volume&quot;:&quot;578&quot;,&quot;container-title-short&quot;:&quot;Nature&quot;},&quot;isTemporary&quot;:false}]},{&quot;citationID&quot;:&quot;MENDELEY_CITATION_9a3de992-1ee7-4f61-8a6a-9cf132e20275&quot;,&quot;properties&quot;:{&quot;noteIndex&quot;:0},&quot;isEdited&quot;:false,&quot;manualOverride&quot;:{&quot;isManuallyOverridden&quot;:false,&quot;citeprocText&quot;:&quot;&lt;sup&gt;256,257&lt;/sup&gt;&quot;,&quot;manualOverrideText&quot;:&quot;&quot;},&quot;citationTag&quot;:&quot;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&quot;,&quot;citationItems&quot;:[{&quot;id&quot;:&quot;d24e589b-5e0f-34e4-b6bf-e36edbc7e5be&quot;,&quot;itemData&quot;:{&quot;type&quot;:&quot;article-journal&quot;,&quot;id&quot;:&quot;d24e589b-5e0f-34e4-b6bf-e36edbc7e5be&quot;,&quot;title&quot;:&quot;Analysis of metagenome-assembled viral genomes from the human gut reveals diverse putative CrAss-like phages with unique genomic features&quot;,&quot;author&quot;:[{&quot;family&quot;:&quot;Yutin&quot;,&quot;given&quot;:&quot;Natalya&quot;,&quot;parse-names&quot;:false,&quot;dropping-particle&quot;:&quot;&quot;,&quot;non-dropping-particle&quot;:&quot;&quot;},{&quot;family&quot;:&quot;Benler&quot;,&quot;given&quot;:&quot;Sean&quot;,&quot;parse-names&quot;:false,&quot;dropping-particle&quot;:&quot;&quot;,&quot;non-dropping-particle&quot;:&quot;&quot;},{&quot;family&quot;:&quot;Shmakov&quot;,&quot;given&quot;:&quot;Sergei A.&quot;,&quot;parse-names&quot;:false,&quot;dropping-particle&quot;:&quot;&quot;,&quot;non-dropping-particle&quot;:&quot;&quot;},{&quot;family&quot;:&quot;Wolf&quot;,&quot;given&quot;:&quot;Yuri I.&quot;,&quot;parse-names&quot;:false,&quot;dropping-particle&quot;:&quot;&quot;,&quot;non-dropping-particle&quot;:&quot;&quot;},{&quot;family&quot;:&quot;Tolstoy&quot;,&quot;given&quot;:&quot;Igor&quot;,&quot;parse-names&quot;:false,&quot;dropping-particle&quot;:&quot;&quot;,&quot;non-dropping-particle&quot;:&quot;&quot;},{&quot;family&quot;:&quot;Rayko&quot;,&quot;given&quot;:&quot;Mike&quot;,&quot;parse-names&quot;:false,&quot;dropping-particle&quot;:&quot;&quot;,&quot;non-dropping-particle&quot;:&quot;&quot;},{&quot;family&quot;:&quot;Antipov&quot;,&quot;given&quot;:&quot;Dmitry&quot;,&quot;parse-names&quot;:false,&quot;dropping-particle&quot;:&quot;&quot;,&quot;non-dropping-particle&quot;:&quot;&quot;},{&quot;family&quot;:&quot;Pevzner&quot;,&quot;given&quot;:&quot;Pavel A.&quot;,&quot;parse-names&quot;:false,&quot;dropping-particle&quot;:&quot;&quot;,&quot;non-dropping-particle&quot;:&quot;&quot;},{&quot;family&quot;:&quot;Koonin&quot;,&quot;given&quot;:&quot;Eugene&quot;,&quot;parse-names&quot;:false,&quot;dropping-particle&quot;:&quot;v.&quot;,&quot;non-dropping-particle&quot;:&quot;&quot;}],&quot;container-title&quot;:&quot;Nature Communications&quot;,&quot;DOI&quot;:&quot;10.1038/s41467-021-21350-w&quot;,&quot;ISSN&quot;:&quot;20411723&quot;,&quot;PMID&quot;:&quot;33594055&quot;,&quot;URL&quot;:&quot;http://dx.doi.org/10.1038/s41467-021-21350-w&quot;,&quot;issued&quot;:{&quot;date-parts&quot;:[[2021]]},&quot;page&quot;:&quot;1-11&quot;,&quot;abstract&quot;:&quot;CrAssphage is the most abundant human-associated virus and the founding member of a large group of bacteriophages, discovered in animal-associated and environmental metagenomes, that infect bacteria of the phylum Bacteroidetes. We analyze 4907 Circular Metagenome Assembled Genomes (cMAGs) of putative viruses from human gut microbiomes and identify nearly 600 genomes of crAss-like phages that account for nearly 87% of the DNA reads mapped to these cMAGs. Phylogenetic analysis of conserved genes demonstrates the monophyly of crAss-like phages, a putative virus order, and of 5 branches, potential families within that order, two of which have not been identified previously. The phage genomes in one of these families are almost twofold larger than the crAssphage genome (145-192 kilobases), with high density of self-splicing introns and inteins. Many crAss-like phages encode suppressor tRNAs that enable read-through of UGA or UAG stop-codons, mostly, in late phage genes. A distinct feature of the crAss-like phages is the recurrent switch of the phage DNA polymerase type between A and B families. Thus, comparative genomic analysis of the expanded assemblage of crAss-like phages reveals aspects of genome architecture and expression as well as phage biology that were not apparent from the previous work on phage genomics.&quot;,&quot;publisher&quot;:&quot;Springer US&quot;,&quot;issue&quot;:&quot;1&quot;,&quot;volume&quot;:&quot;12&quot;,&quot;container-title-short&quot;:&quot;&quot;},&quot;isTemporary&quot;:false},{&quot;id&quot;:&quot;c25a5324-36c2-3ae6-a235-0fbb27481737&quot;,&quot;itemData&quot;:{&quot;type&quot;:&quot;article-journal&quot;,&quot;id&quot;:&quot;c25a5324-36c2-3ae6-a235-0fbb27481737&quot;,&quot;title&quot;:&quot;Megaphages infect Prevotella and variants are widespread in gut microbiomes&quot;,&quot;author&quot;:[{&quot;family&quot;:&quot;Devoto&quot;,&quot;given&quot;:&quot;Audra E.&quot;,&quot;parse-names&quot;:false,&quot;dropping-particle&quot;:&quot;&quot;,&quot;non-dropping-particle&quot;:&quot;&quot;},{&quot;family&quot;:&quot;Santini&quot;,&quot;given&quot;:&quot;Joanne M.&quot;,&quot;parse-names&quot;:false,&quot;dropping-particle&quot;:&quot;&quot;,&quot;non-dropping-particle&quot;:&quot;&quot;},{&quot;family&quot;:&quot;Olm&quot;,&quot;given&quot;:&quot;Matthew R.&quot;,&quot;parse-names&quot;:false,&quot;dropping-particle&quot;:&quot;&quot;,&quot;non-dropping-particle&quot;:&quot;&quot;},{&quot;family&quot;:&quot;Anantharaman&quot;,&quot;given&quot;:&quot;Karthik&quot;,&quot;parse-names&quot;:false,&quot;dropping-particle&quot;:&quot;&quot;,&quot;non-dropping-particle&quot;:&quot;&quot;},{&quot;family&quot;:&quot;Munk&quot;,&quot;given&quot;:&quot;Patrick&quot;,&quot;parse-names&quot;:false,&quot;dropping-particle&quot;:&quot;&quot;,&quot;non-dropping-particle&quot;:&quot;&quot;},{&quot;family&quot;:&quot;Tung&quot;,&quot;given&quot;:&quot;Jenny&quot;,&quot;parse-names&quot;:false,&quot;dropping-particle&quot;:&quot;&quot;,&quot;non-dropping-particle&quot;:&quot;&quot;},{&quot;family&quot;:&quot;Archie&quot;,&quot;given&quot;:&quot;Elizabeth A.&quot;,&quot;parse-names&quot;:false,&quot;dropping-particle&quot;:&quot;&quot;,&quot;non-dropping-particle&quot;:&quot;&quot;},{&quot;family&quot;:&quot;Turnbaugh&quot;,&quot;given&quot;:&quot;Peter J.&quot;,&quot;parse-names&quot;:false,&quot;dropping-particle&quot;:&quot;&quot;,&quot;non-dropping-particle&quot;:&quot;&quot;},{&quot;family&quot;:&quot;Seed&quot;,&quot;given&quot;:&quot;Kimberley D.&quot;,&quot;parse-names&quot;:false,&quot;dropping-particle&quot;:&quot;&quot;,&quot;non-dropping-particle&quot;:&quot;&quot;},{&quot;family&quot;:&quot;Blekhman&quot;,&quot;given&quot;:&quot;Ran&quot;,&quot;parse-names&quot;:false,&quot;dropping-particle&quot;:&quot;&quot;,&quot;non-dropping-particle&quot;:&quot;&quot;},{&quot;family&quot;:&quot;Aarestrup&quot;,&quot;given&quot;:&quot;Frank M.&quot;,&quot;parse-names&quot;:false,&quot;dropping-particle&quot;:&quot;&quot;,&quot;non-dropping-particle&quot;:&quot;&quot;},{&quot;family&quot;:&quot;Thomas&quot;,&quot;given&quot;:&quot;Brian C.&quot;,&quot;parse-names&quot;:false,&quot;dropping-particle&quot;:&quot;&quot;,&quot;non-dropping-particle&quot;:&quot;&quot;},{&quot;family&quot;:&quot;Banfield&quot;,&quot;given&quot;:&quot;Jillian F.&quot;,&quot;parse-names&quot;:false,&quot;dropping-particle&quot;:&quot;&quot;,&quot;non-dropping-particle&quot;:&quot;&quot;}],&quot;container-title&quot;:&quot;Nature Microbiology&quot;,&quot;DOI&quot;:&quot;10.1038/s41564-018-0338-9&quot;,&quot;ISSN&quot;:&quot;20585276&quot;,&quot;URL&quot;:&quot;http://dx.doi.org/10.1038/s41564-018-0338-9&quot;,&quot;issued&quot;:{&quot;date-parts&quot;:[[2019]]},&quot;page&quot;:&quot;693-700&quot;,&quot;abstract&quot;:&quot;Bacteriophages (phages) dramatically shape microbial community composition, redistribute nutrients via host lysis and drive evolution through horizontal gene transfer. Despite their importance, much remains to be learned about phages in the human microbiome. We investigated the gut microbiomes of humans from Bangladesh and Tanzania, two African baboon social groups and Danish pigs; many of these microbiomes contain phages belonging to a clade with genomes &gt;540 kilobases in length, the largest yet reported in the human microbiome and close to the maximum size ever reported for phages. We refer to these as Lak phages. CRISPR spacer targeting indicates that Lak phages infect bacteria of the genus Prevotella. We manually curated to completion 15 distinct Lak phage genomes recovered from metagenomes. The genomes display several interesting features, including use of an alternative genetic code, large intergenic regions that are highly expressed and up to 35 putative transfer RNAs, some of which contain enigmatic introns. Different individuals have distinct phage genotypes, and shifts in variant frequencies over consecutive sampling days reflect changes in the relative abundance of phage subpopulations. Recent homologous recombination has resulted in extensive genome admixture of nine baboon Lak phage populations. We infer that Lak phages are widespread in gut communities that contain the Prevotella species, and conclude that megaphages, with fascinating and underexplored biology, may be common but largely overlooked components of human and animal gut microbiomes.&quot;,&quot;publisher&quot;:&quot;Springer US&quot;,&quot;issue&quot;:&quot;4&quot;,&quot;volume&quot;:&quot;4&quot;,&quot;container-title-short&quot;:&quot;&quot;},&quot;isTemporary&quot;:false}]},{&quot;citationID&quot;:&quot;MENDELEY_CITATION_5af3004a-49cc-4cfc-bb09-b953ad8cd944&quot;,&quot;properties&quot;:{&quot;noteIndex&quot;:0},&quot;isEdited&quot;:false,&quot;manualOverride&quot;:{&quot;isManuallyOverridden&quot;:false,&quot;citeprocText&quot;:&quot;&lt;sup&gt;258&lt;/sup&gt;&quot;,&quot;manualOverrideText&quot;:&quot;&quot;},&quot;citationTag&quot;:&quot;MENDELEY_CITATION_v3_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&quot;,&quot;citationItems&quot;:[{&quot;id&quot;:&quot;62a9f6a9-cad0-3eb3-9660-a629e9b2dec0&quot;,&quot;itemData&quot;:{&quot;type&quot;:&quot;article-journal&quot;,&quot;id&quot;:&quot;62a9f6a9-cad0-3eb3-9660-a629e9b2dec0&quot;,&quot;title&quot;:&quot;Bacteriophages of the Human Gut: The “Known Unknown” of the Microbiome&quot;,&quot;author&quot;:[{&quot;family&quot;:&quot;Shkoporov&quot;,&quot;given&quot;:&quot;Andrey N.&quot;,&quot;parse-names&quot;:false,&quot;dropping-particle&quot;:&quot;&quot;,&quot;non-dropping-particle&quot;:&quot;&quot;},{&quot;family&quot;:&quot;Hill&quot;,&quot;given&quot;:&quot;Colin&quot;,&quot;parse-names&quot;:false,&quot;dropping-particle&quot;:&quot;&quot;,&quot;non-dropping-particle&quot;:&quot;&quot;}],&quot;container-title&quot;:&quot;Cell Host and Microbe&quot;,&quot;DOI&quot;:&quot;10.1016/j.chom.2019.01.017&quot;,&quot;ISSN&quot;:&quot;19346069&quot;,&quot;URL&quot;:&quot;https://doi.org/10.1016/j.chom.2019.01.017&quot;,&quot;issued&quot;:{&quot;date-parts&quot;:[[2019]]},&quot;page&quot;:&quot;195-209&quot;,&quot;abstract&quot;:&quot;Shkoporov and Hill review our current understanding of and the available methods for studying the taxonomic composition, community structure, and population dynamics of human gut-associated bacteriophage populations (phageome). They also discuss the main challenges in the field and identify avenues for future research.&quot;,&quot;publisher&quot;:&quot;Elsevier Inc.&quot;,&quot;issue&quot;:&quot;2&quot;,&quot;volume&quot;:&quot;25&quot;,&quot;container-title-short&quot;:&quot;&quot;},&quot;isTemporary&quot;:false}]},{&quot;citationID&quot;:&quot;MENDELEY_CITATION_f9a96ae3-8397-413f-879e-ada6ff665daa&quot;,&quot;properties&quot;:{&quot;noteIndex&quot;:0},&quot;isEdited&quot;:false,&quot;manualOverride&quot;:{&quot;isManuallyOverridden&quot;:false,&quot;citeprocText&quot;:&quot;&lt;sup&gt;258&lt;/sup&gt;&quot;,&quot;manualOverrideText&quot;:&quot;&quot;},&quot;citationTag&quot;:&quot;MENDELEY_CITATION_v3_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&quot;,&quot;citationItems&quot;:[{&quot;id&quot;:&quot;62a9f6a9-cad0-3eb3-9660-a629e9b2dec0&quot;,&quot;itemData&quot;:{&quot;type&quot;:&quot;article-journal&quot;,&quot;id&quot;:&quot;62a9f6a9-cad0-3eb3-9660-a629e9b2dec0&quot;,&quot;title&quot;:&quot;Bacteriophages of the Human Gut: The “Known Unknown” of the Microbiome&quot;,&quot;author&quot;:[{&quot;family&quot;:&quot;Shkoporov&quot;,&quot;given&quot;:&quot;Andrey N.&quot;,&quot;parse-names&quot;:false,&quot;dropping-particle&quot;:&quot;&quot;,&quot;non-dropping-particle&quot;:&quot;&quot;},{&quot;family&quot;:&quot;Hill&quot;,&quot;given&quot;:&quot;Colin&quot;,&quot;parse-names&quot;:false,&quot;dropping-particle&quot;:&quot;&quot;,&quot;non-dropping-particle&quot;:&quot;&quot;}],&quot;container-title&quot;:&quot;Cell Host and Microbe&quot;,&quot;DOI&quot;:&quot;10.1016/j.chom.2019.01.017&quot;,&quot;ISSN&quot;:&quot;19346069&quot;,&quot;URL&quot;:&quot;https://doi.org/10.1016/j.chom.2019.01.017&quot;,&quot;issued&quot;:{&quot;date-parts&quot;:[[2019]]},&quot;page&quot;:&quot;195-209&quot;,&quot;abstract&quot;:&quot;Shkoporov and Hill review our current understanding of and the available methods for studying the taxonomic composition, community structure, and population dynamics of human gut-associated bacteriophage populations (phageome). They also discuss the main challenges in the field and identify avenues for future research.&quot;,&quot;publisher&quot;:&quot;Elsevier Inc.&quot;,&quot;issue&quot;:&quot;2&quot;,&quot;volume&quot;:&quot;25&quot;,&quot;container-title-short&quot;:&quot;&quot;},&quot;isTemporary&quot;:false}]},{&quot;citationID&quot;:&quot;MENDELEY_CITATION_48e97dd0-bcf0-4d14-967d-eebd69e4f24a&quot;,&quot;properties&quot;:{&quot;noteIndex&quot;:0},&quot;isEdited&quot;:false,&quot;manualOverride&quot;:{&quot;isManuallyOverridden&quot;:false,&quot;citeprocText&quot;:&quot;&lt;sup&gt;255,258–262&lt;/sup&gt;&quot;,&quot;manualOverrideText&quot;:&quot;&quot;},&quot;citationTag&quot;:&quot;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&quot;,&quot;citationItems&quot;:[{&quot;id&quot;:&quot;c1197835-1c0f-3bc3-a163-fb11789d21a1&quot;,&quot;itemData&quot;:{&quot;type&quot;:&quot;article-journal&quot;,&quot;id&quot;:&quot;c1197835-1c0f-3bc3-a163-fb11789d21a1&quot;,&quot;title&quot;:&quot;Clades of huge phages from across Earth’s ecosystems&quot;,&quot;author&quot;:[{&quot;family&quot;:&quot;Al-Shayeb&quot;,&quot;given&quot;:&quot;Basem&quot;,&quot;parse-names&quot;:false,&quot;dropping-particle&quot;:&quot;&quot;,&quot;non-dropping-particle&quot;:&quot;&quot;},{&quot;family&quot;:&quot;Sachdeva&quot;,&quot;given&quot;:&quot;Rohan&quot;,&quot;parse-names&quot;:false,&quot;dropping-particle&quot;:&quot;&quot;,&quot;non-dropping-particle&quot;:&quot;&quot;},{&quot;family&quot;:&quot;Chen&quot;,&quot;given&quot;:&quot;Lin Xing&quot;,&quot;parse-names&quot;:false,&quot;dropping-particle&quot;:&quot;&quot;,&quot;non-dropping-particle&quot;:&quot;&quot;},{&quot;family&quot;:&quot;Ward&quot;,&quot;given&quot;:&quot;Fred&quot;,&quot;parse-names&quot;:false,&quot;dropping-particle&quot;:&quot;&quot;,&quot;non-dropping-particle&quot;:&quot;&quot;},{&quot;family&quot;:&quot;Munk&quot;,&quot;given&quot;:&quot;Patrick&quot;,&quot;parse-names&quot;:false,&quot;dropping-particle&quot;:&quot;&quot;,&quot;non-dropping-particle&quot;:&quot;&quot;},{&quot;family&quot;:&quot;Devoto&quot;,&quot;given&quot;:&quot;Audra&quot;,&quot;parse-names&quot;:false,&quot;dropping-particle&quot;:&quot;&quot;,&quot;non-dropping-particle&quot;:&quot;&quot;},{&quot;family&quot;:&quot;Castelle&quot;,&quot;given&quot;:&quot;Cindy J.&quot;,&quot;parse-names&quot;:false,&quot;dropping-particle&quot;:&quot;&quot;,&quot;non-dropping-particle&quot;:&quot;&quot;},{&quot;family&quot;:&quot;Olm&quot;,&quot;given&quot;:&quot;Matthew R.&quot;,&quot;parse-names&quot;:false,&quot;dropping-particle&quot;:&quot;&quot;,&quot;non-dropping-particle&quot;:&quot;&quot;},{&quot;family&quot;:&quot;Bouma-Gregson&quot;,&quot;given&quot;:&quot;Keith&quot;,&quot;parse-names&quot;:false,&quot;dropping-particle&quot;:&quot;&quot;,&quot;non-dropping-particle&quot;:&quot;&quot;},{&quot;family&quot;:&quot;Amano&quot;,&quot;given&quot;:&quot;Yuki&quot;,&quot;parse-names&quot;:false,&quot;dropping-particle&quot;:&quot;&quot;,&quot;non-dropping-particle&quot;:&quot;&quot;},{&quot;family&quot;:&quot;He&quot;,&quot;given&quot;:&quot;Christine&quot;,&quot;parse-names&quot;:false,&quot;dropping-particle&quot;:&quot;&quot;,&quot;non-dropping-particle&quot;:&quot;&quot;},{&quot;family&quot;:&quot;Méheust&quot;,&quot;given&quot;:&quot;Raphaël&quot;,&quot;parse-names&quot;:false,&quot;dropping-particle&quot;:&quot;&quot;,&quot;non-dropping-particle&quot;:&quot;&quot;},{&quot;family&quot;:&quot;Brooks&quot;,&quot;given&quot;:&quot;Brandon&quot;,&quot;parse-names&quot;:false,&quot;dropping-particle&quot;:&quot;&quot;,&quot;non-dropping-particle&quot;:&quot;&quot;},{&quot;family&quot;:&quot;Thomas&quot;,&quot;given&quot;:&quot;Alex&quot;,&quot;parse-names&quot;:false,&quot;dropping-particle&quot;:&quot;&quot;,&quot;non-dropping-particle&quot;:&quot;&quot;},{&quot;family&quot;:&quot;Lavy&quot;,&quot;given&quot;:&quot;Adi&quot;,&quot;parse-names&quot;:false,&quot;dropping-particle&quot;:&quot;&quot;,&quot;non-dropping-particle&quot;:&quot;&quot;},{&quot;family&quot;:&quot;Matheus-Carnevali&quot;,&quot;given&quot;:&quot;Paula&quot;,&quot;parse-names&quot;:false,&quot;dropping-particle&quot;:&quot;&quot;,&quot;non-dropping-particle&quot;:&quot;&quot;},{&quot;family&quot;:&quot;Sun&quot;,&quot;given&quot;:&quot;Christine&quot;,&quot;parse-names&quot;:false,&quot;dropping-particle&quot;:&quot;&quot;,&quot;non-dropping-particle&quot;:&quot;&quot;},{&quot;family&quot;:&quot;Goltsman&quot;,&quot;given&quot;:&quot;Daniela S.A.&quot;,&quot;parse-names&quot;:false,&quot;dropping-particle&quot;:&quot;&quot;,&quot;non-dropping-particle&quot;:&quot;&quot;},{&quot;family&quot;:&quot;Borton&quot;,&quot;given&quot;:&quot;Mikayla A.&quot;,&quot;parse-names&quot;:false,&quot;dropping-particle&quot;:&quot;&quot;,&quot;non-dropping-particle&quot;:&quot;&quot;},{&quot;family&quot;:&quot;Sharrar&quot;,&quot;given&quot;:&quot;Allison&quot;,&quot;parse-names&quot;:false,&quot;dropping-particle&quot;:&quot;&quot;,&quot;non-dropping-particle&quot;:&quot;&quot;},{&quot;family&quot;:&quot;Jaffe&quot;,&quot;given&quot;:&quot;Alexander L.&quot;,&quot;parse-names&quot;:false,&quot;dropping-particle&quot;:&quot;&quot;,&quot;non-dropping-particle&quot;:&quot;&quot;},{&quot;family&quot;:&quot;Nelson&quot;,&quot;given&quot;:&quot;Tara C.&quot;,&quot;parse-names&quot;:false,&quot;dropping-particle&quot;:&quot;&quot;,&quot;non-dropping-particle&quot;:&quot;&quot;},{&quot;family&quot;:&quot;Kantor&quot;,&quot;given&quot;:&quot;Rose&quot;,&quot;parse-names&quot;:false,&quot;dropping-particle&quot;:&quot;&quot;,&quot;non-dropping-particle&quot;:&quot;&quot;},{&quot;family&quot;:&quot;Keren&quot;,&quot;given&quot;:&quot;Ray&quot;,&quot;parse-names&quot;:false,&quot;dropping-particle&quot;:&quot;&quot;,&quot;non-dropping-particle&quot;:&quot;&quot;},{&quot;family&quot;:&quot;Lane&quot;,&quot;given&quot;:&quot;Katherine R.&quot;,&quot;parse-names&quot;:false,&quot;dropping-particle&quot;:&quot;&quot;,&quot;non-dropping-particle&quot;:&quot;&quot;},{&quot;family&quot;:&quot;Farag&quot;,&quot;given&quot;:&quot;Ibrahim F.&quot;,&quot;parse-names&quot;:false,&quot;dropping-particle&quot;:&quot;&quot;,&quot;non-dropping-particle&quot;:&quot;&quot;},{&quot;family&quot;:&quot;Lei&quot;,&quot;given&quot;:&quot;Shufei&quot;,&quot;parse-names&quot;:false,&quot;dropping-particle&quot;:&quot;&quot;,&quot;non-dropping-particle&quot;:&quot;&quot;},{&quot;family&quot;:&quot;Finstad&quot;,&quot;given&quot;:&quot;Kari&quot;,&quot;parse-names&quot;:false,&quot;dropping-particle&quot;:&quot;&quot;,&quot;non-dropping-particle&quot;:&quot;&quot;},{&quot;family&quot;:&quot;Amundson&quot;,&quot;given&quot;:&quot;Ronald&quot;,&quot;parse-names&quot;:false,&quot;dropping-particle&quot;:&quot;&quot;,&quot;non-dropping-particle&quot;:&quot;&quot;},{&quot;family&quot;:&quot;Anantharaman&quot;,&quot;given&quot;:&quot;Karthik&quot;,&quot;parse-names&quot;:false,&quot;dropping-particle&quot;:&quot;&quot;,&quot;non-dropping-particle&quot;:&quot;&quot;},{&quot;family&quot;:&quot;Zhou&quot;,&quot;given&quot;:&quot;Jinglie&quot;,&quot;parse-names&quot;:false,&quot;dropping-particle&quot;:&quot;&quot;,&quot;non-dropping-particle&quot;:&quot;&quot;},{&quot;family&quot;:&quot;Probst&quot;,&quot;given&quot;:&quot;Alexander J.&quot;,&quot;parse-names&quot;:false,&quot;dropping-particle&quot;:&quot;&quot;,&quot;non-dropping-particle&quot;:&quot;&quot;},{&quot;family&quot;:&quot;Power&quot;,&quot;given&quot;:&quot;Mary E.&quot;,&quot;parse-names&quot;:false,&quot;dropping-particle&quot;:&quot;&quot;,&quot;non-dropping-particle&quot;:&quot;&quot;},{&quot;family&quot;:&quot;Tringe&quot;,&quot;given&quot;:&quot;Susannah G.&quot;,&quot;parse-names&quot;:false,&quot;dropping-particle&quot;:&quot;&quot;,&quot;non-dropping-particle&quot;:&quot;&quot;},{&quot;family&quot;:&quot;Li&quot;,&quot;given&quot;:&quot;Wen Jun&quot;,&quot;parse-names&quot;:false,&quot;dropping-particle&quot;:&quot;&quot;,&quot;non-dropping-particle&quot;:&quot;&quot;},{&quot;family&quot;:&quot;Wrighton&quot;,&quot;given&quot;:&quot;Kelly&quot;,&quot;parse-names&quot;:false,&quot;dropping-particle&quot;:&quot;&quot;,&quot;non-dropping-particle&quot;:&quot;&quot;},{&quot;family&quot;:&quot;Harrison&quot;,&quot;given&quot;:&quot;Sue&quot;,&quot;parse-names&quot;:false,&quot;dropping-particle&quot;:&quot;&quot;,&quot;non-dropping-particle&quot;:&quot;&quot;},{&quot;family&quot;:&quot;Morowitz&quot;,&quot;given&quot;:&quot;Michael&quot;,&quot;parse-names&quot;:false,&quot;dropping-particle&quot;:&quot;&quot;,&quot;non-dropping-particle&quot;:&quot;&quot;},{&quot;family&quot;:&quot;Relman&quot;,&quot;given&quot;:&quot;David A.&quot;,&quot;parse-names&quot;:false,&quot;dropping-particle&quot;:&quot;&quot;,&quot;non-dropping-particle&quot;:&quot;&quot;},{&quot;family&quot;:&quot;Doudna&quot;,&quot;given&quot;:&quot;Jennifer A.&quot;,&quot;parse-names&quot;:false,&quot;dropping-particle&quot;:&quot;&quot;,&quot;non-dropping-particle&quot;:&quot;&quot;},{&quot;family&quot;:&quot;Lehours&quot;,&quot;given&quot;:&quot;Anne Catherine&quot;,&quot;parse-names&quot;:false,&quot;dropping-particle&quot;:&quot;&quot;,&quot;non-dropping-particle&quot;:&quot;&quot;},{&quot;family&quot;:&quot;Warren&quot;,&quot;given&quot;:&quot;Lesley&quot;,&quot;parse-names&quot;:false,&quot;dropping-particle&quot;:&quot;&quot;,&quot;non-dropping-particle&quot;:&quot;&quot;},{&quot;family&quot;:&quot;Cate&quot;,&quot;given&quot;:&quot;Jamie H.D.&quot;,&quot;parse-names&quot;:false,&quot;dropping-particle&quot;:&quot;&quot;,&quot;non-dropping-particle&quot;:&quot;&quot;},{&quot;family&quot;:&quot;Santini&quot;,&quot;given&quot;:&quot;Joanne M.&quot;,&quot;parse-names&quot;:false,&quot;dropping-particle&quot;:&quot;&quot;,&quot;non-dropping-particle&quot;:&quot;&quot;},{&quot;family&quot;:&quot;Banfield&quot;,&quot;given&quot;:&quot;Jillian F.&quot;,&quot;parse-names&quot;:false,&quot;dropping-particle&quot;:&quot;&quot;,&quot;non-dropping-particle&quot;:&quot;&quot;}],&quot;container-title&quot;:&quot;Nature&quot;,&quot;DOI&quot;:&quot;10.1038/s41586-020-2007-4&quot;,&quot;ISSN&quot;:&quot;14764687&quot;,&quot;URL&quot;:&quot;http://dx.doi.org/10.1038/s41586-020-2007-4&quot;,&quot;issued&quot;:{&quot;date-parts&quot;:[[2020]]},&quot;abstract&quot;:&quot;Bacteriophages typically have small genomes1 and depend on their bacterial hosts for replication2. Here we sequenced DNA from diverse ecosystems and found hundreds of phage genomes with lengths of more than 200 kilobases (kb), including a genome of 735 kb, which is—to our knowledge—the largest phage genome to be described to date. Thirty-five genomes were manually curated to completion (circular and no gaps). Expanded genetic repertoires include diverse and previously undescribed CRISPR–Cas systems, transfer RNAs (tRNAs), tRNA synthetases, tRNA-modification enzymes, translation-initiation and elongation factors, and ribosomal proteins. The CRISPR–Cas systems of phages have the capacity to silence host transcription factors and translational genes, potentially as part of a larger interaction network that intercepts translation to redirect biosynthesis to phage-encoded functions. In addition, some phages may repurpose bacterial CRISPR–Cas systems to eliminate competing phages. We phylogenetically define the major clades of huge phages from human and other animal microbiomes, as well as from oceans, lakes, sediments, soils and the built environment. We conclude that the large gene inventories of huge phages reflect a conserved biological strategy, and that the phages are distributed across a broad bacterial host range and across Earth’s ecosystems.&quot;,&quot;publisher&quot;:&quot;Springer US&quot;,&quot;issue&quot;:&quot;February&quot;,&quot;volume&quot;:&quot;578&quot;,&quot;container-title-short&quot;:&quot;Nature&quot;},&quot;isTemporary&quot;:false},{&quot;id&quot;:&quot;072dda9b-be6b-3047-8992-2e9bd142153a&quot;,&quot;itemData&quot;:{&quot;type&quot;:&quot;article-journal&quot;,&quot;id&quot;:&quot;072dda9b-be6b-3047-8992-2e9bd142153a&quot;,&quot;title&quot;:&quot;Metagenomic compendium of 189,680 DNA viruses from the human gut microbiome&quot;,&quot;author&quot;:[{&quot;family&quot;:&quot;Nayfach&quot;,&quot;given&quot;:&quot;Stephen&quot;,&quot;parse-names&quot;:false,&quot;dropping-particle&quot;:&quot;&quot;,&quot;non-dropping-particle&quot;:&quot;&quot;},{&quot;family&quot;:&quot;Páez-Espino&quot;,&quot;given&quot;:&quot;David&quot;,&quot;parse-names&quot;:false,&quot;dropping-particle&quot;:&quot;&quot;,&quot;non-dropping-particle&quot;:&quot;&quot;},{&quot;family&quot;:&quot;Call&quot;,&quot;given&quot;:&quot;Lee&quot;,&quot;parse-names&quot;:false,&quot;dropping-particle&quot;:&quot;&quot;,&quot;non-dropping-particle&quot;:&quot;&quot;},{&quot;family&quot;:&quot;Low&quot;,&quot;given&quot;:&quot;Soo Jen&quot;,&quot;parse-names&quot;:false,&quot;dropping-particle&quot;:&quot;&quot;,&quot;non-dropping-particle&quot;:&quot;&quot;},{&quot;family&quot;:&quot;Sberro&quot;,&quot;given&quot;:&quot;Hila&quot;,&quot;parse-names&quot;:false,&quot;dropping-particle&quot;:&quot;&quot;,&quot;non-dropping-particle&quot;:&quot;&quot;},{&quot;family&quot;:&quot;Ivanova&quot;,&quot;given&quot;:&quot;Natalia N.&quot;,&quot;parse-names&quot;:false,&quot;dropping-particle&quot;:&quot;&quot;,&quot;non-dropping-particle&quot;:&quot;&quot;},{&quot;family&quot;:&quot;Proal&quot;,&quot;given&quot;:&quot;Amy D.&quot;,&quot;parse-names&quot;:false,&quot;dropping-particle&quot;:&quot;&quot;,&quot;non-dropping-particle&quot;:&quot;&quot;},{&quot;family&quot;:&quot;Fischbach&quot;,&quot;given&quot;:&quot;Michael A.&quot;,&quot;parse-names&quot;:false,&quot;dropping-particle&quot;:&quot;&quot;,&quot;non-dropping-particle&quot;:&quot;&quot;},{&quot;family&quot;:&quot;Bhatt&quot;,&quot;given&quot;:&quot;Ami S.&quot;,&quot;parse-names&quot;:false,&quot;dropping-particle&quot;:&quot;&quot;,&quot;non-dropping-particle&quot;:&quot;&quot;},{&quot;family&quot;:&quot;Hugenholtz&quot;,&quot;given&quot;:&quot;Philip&quot;,&quot;parse-names&quot;:false,&quot;dropping-particle&quot;:&quot;&quot;,&quot;non-dropping-particle&quot;:&quot;&quot;},{&quot;family&quot;:&quot;Kyrpides&quot;,&quot;given&quot;:&quot;Nikos C.&quot;,&quot;parse-names&quot;:false,&quot;dropping-particle&quot;:&quot;&quot;,&quot;non-dropping-particle&quot;:&quot;&quot;}],&quot;container-title&quot;:&quot;Nature Microbiology&quot;,&quot;DOI&quot;:&quot;10.1038/s41564-021-00928-6&quot;,&quot;ISSN&quot;:&quot;20585276&quot;,&quot;PMID&quot;:&quot;34168315&quot;,&quot;URL&quot;:&quot;http://dx.doi.org/10.1038/s41564-021-00928-6&quot;,&quot;issued&quot;:{&quot;date-parts&quot;:[[2021]]},&quot;page&quot;:&quot;960-970&quot;,&quot;abstract&quot;:&quot;Bacteriophages have important roles in the ecology of the human gut microbiome but are under-represented in reference databases. To address this problem, we assembled the Metagenomic Gut Virus catalogue that comprises 189,680 viral genomes from 11,810 publicly available human stool metagenomes. Over 75% of genomes represent double-stranded DNA phages that infect members of the Bacteroidia and Clostridia classes. Based on sequence clustering we identified 54,118 candidate viral species, 92% of which were not found in existing databases. The Metagenomic Gut Virus catalogue improves detection of viruses in stool metagenomes and accounts for nearly 40% of CRISPR spacers found in human gut Bacteria and Archaea. We also produced a catalogue of 459,375 viral protein clusters to explore the functional potential of the gut virome. This revealed tens of thousands of diversity-generating retroelements, which use error-prone reverse transcription to mutate target genes and may be involved in the molecular arms race between phages and their bacterial hosts.&quot;,&quot;publisher&quot;:&quot;Springer US&quot;,&quot;issue&quot;:&quot;7&quot;,&quot;volume&quot;:&quot;6&quot;,&quot;container-title-short&quot;:&quot;&quot;},&quot;isTemporary&quot;:false},{&quot;id&quot;:&quot;62a9f6a9-cad0-3eb3-9660-a629e9b2dec0&quot;,&quot;itemData&quot;:{&quot;type&quot;:&quot;article-journal&quot;,&quot;id&quot;:&quot;62a9f6a9-cad0-3eb3-9660-a629e9b2dec0&quot;,&quot;title&quot;:&quot;Bacteriophages of the Human Gut: The “Known Unknown” of the Microbiome&quot;,&quot;author&quot;:[{&quot;family&quot;:&quot;Shkoporov&quot;,&quot;given&quot;:&quot;Andrey N.&quot;,&quot;parse-names&quot;:false,&quot;dropping-particle&quot;:&quot;&quot;,&quot;non-dropping-particle&quot;:&quot;&quot;},{&quot;family&quot;:&quot;Hill&quot;,&quot;given&quot;:&quot;Colin&quot;,&quot;parse-names&quot;:false,&quot;dropping-particle&quot;:&quot;&quot;,&quot;non-dropping-particle&quot;:&quot;&quot;}],&quot;container-title&quot;:&quot;Cell Host and Microbe&quot;,&quot;DOI&quot;:&quot;10.1016/j.chom.2019.01.017&quot;,&quot;ISSN&quot;:&quot;19346069&quot;,&quot;URL&quot;:&quot;https://doi.org/10.1016/j.chom.2019.01.017&quot;,&quot;issued&quot;:{&quot;date-parts&quot;:[[2019]]},&quot;page&quot;:&quot;195-209&quot;,&quot;abstract&quot;:&quot;Shkoporov and Hill review our current understanding of and the available methods for studying the taxonomic composition, community structure, and population dynamics of human gut-associated bacteriophage populations (phageome). They also discuss the main challenges in the field and identify avenues for future research.&quot;,&quot;publisher&quot;:&quot;Elsevier Inc.&quot;,&quot;issue&quot;:&quot;2&quot;,&quot;volume&quot;:&quot;25&quot;,&quot;container-title-short&quot;:&quot;&quot;},&quot;isTemporary&quot;:false},{&quot;id&quot;:&quot;03a0136c-c093-3c22-9c48-bfb7671b3d3a&quot;,&quot;itemData&quot;:{&quot;type&quot;:&quot;article-journal&quot;,&quot;id&quot;:&quot;03a0136c-c093-3c22-9c48-bfb7671b3d3a&quot;,&quot;title&quot;:&quot;Stop codon recoding is widespread in diverse phage lineages and has the potential to regulate translation of late stage and lytic genes&quot;,&quot;author&quot;:[{&quot;family&quot;:&quot;Adair L. Borges, Yue Clare Lou, Rohan Sachdeva, Basem Al-Shayeb, Alexander L. Jaffe, Shufei Lei, Joanne M. Santini&quot;,&quot;given&quot;:&quot;Jillian F. Banfield&quot;,&quot;parse-names&quot;:false,&quot;dropping-particle&quot;:&quot;&quot;,&quot;non-dropping-particle&quot;:&quot;&quot;}],&quot;container-title&quot;:&quot;bioRxiv&quot;,&quot;issued&quot;:{&quot;date-parts&quot;:[[2021]]},&quot;container-title-short&quot;:&quot;&quot;},&quot;isTemporary&quot;:false},{&quot;id&quot;:&quot;b0713af3-9064-31c9-bb06-568385f9f6a1&quot;,&quot;itemData&quot;:{&quot;type&quot;:&quot;article-journal&quot;,&quot;id&quot;:&quot;b0713af3-9064-31c9-bb06-568385f9f6a1&quot;,&quot;title&quot;:&quot;Stop codon reassignments in the wild&quot;,&quot;author&quot;:[{&quot;family&quot;:&quot;Ivanova&quot;,&quot;given&quot;:&quot;Natalia N.&quot;,&quot;parse-names&quot;:false,&quot;dropping-particle&quot;:&quot;&quot;,&quot;non-dropping-particle&quot;:&quot;&quot;},{&quot;family&quot;:&quot;Schwientek&quot;,&quot;given&quot;:&quot;Patrick&quot;,&quot;parse-names&quot;:false,&quot;dropping-particle&quot;:&quot;&quot;,&quot;non-dropping-particle&quot;:&quot;&quot;},{&quot;family&quot;:&quot;Tripp&quot;,&quot;given&quot;:&quot;H. James&quot;,&quot;parse-names&quot;:false,&quot;dropping-particle&quot;:&quot;&quot;,&quot;non-dropping-particle&quot;:&quot;&quot;},{&quot;family&quot;:&quot;Rinke&quot;,&quot;given&quot;:&quot;Christian&quot;,&quot;parse-names&quot;:false,&quot;dropping-particle&quot;:&quot;&quot;,&quot;non-dropping-particle&quot;:&quot;&quot;},{&quot;family&quot;:&quot;Pati&quot;,&quot;given&quot;:&quot;Amrita&quot;,&quot;parse-names&quot;:false,&quot;dropping-particle&quot;:&quot;&quot;,&quot;non-dropping-particle&quot;:&quot;&quot;},{&quot;family&quot;:&quot;Huntemann&quot;,&quot;given&quot;:&quot;Marcel&quot;,&quot;parse-names&quot;:false,&quot;dropping-particle&quot;:&quot;&quot;,&quot;non-dropping-particle&quot;:&quot;&quot;},{&quot;family&quot;:&quot;Visel&quot;,&quot;given&quot;:&quot;Axel&quot;,&quot;parse-names&quot;:false,&quot;dropping-particle&quot;:&quot;&quot;,&quot;non-dropping-particle&quot;:&quot;&quot;},{&quot;family&quot;:&quot;Woyke&quot;,&quot;given&quot;:&quot;Tanja&quot;,&quot;parse-names&quot;:false,&quot;dropping-particle&quot;:&quot;&quot;,&quot;non-dropping-particle&quot;:&quot;&quot;},{&quot;family&quot;:&quot;Kyrpides&quot;,&quot;given&quot;:&quot;Nikos C.&quot;,&quot;parse-names&quot;:false,&quot;dropping-particle&quot;:&quot;&quot;,&quot;non-dropping-particle&quot;:&quot;&quot;},{&quot;family&quot;:&quot;Rubin&quot;,&quot;given&quot;:&quot;Edward M.&quot;,&quot;parse-names&quot;:false,&quot;dropping-particle&quot;:&quot;&quot;,&quot;non-dropping-particle&quot;:&quot;&quot;}],&quot;container-title&quot;:&quot;Science&quot;,&quot;DOI&quot;:&quot;10.1126/science.1250691&quot;,&quot;ISSN&quot;:&quot;10959203&quot;,&quot;PMID&quot;:&quot;24855270&quot;,&quot;issued&quot;:{&quot;date-parts&quot;:[[2014]]},&quot;page&quot;:&quot;909-913&quot;,&quot;abstract&quot;:&quot;The canonical genetic code is assumed to be deeply conserved across all domains of life with very few exceptions. By scanning 5.6 trillion base pairs of metagenomic data for stop codon reassignment events, we detected recoding in a substantial fraction of the &gt;1700 environmental samples examined. We observed extensive opal and amber stop codon reassignments in bacteriophages and of opal in bacteria. Our data indicate that bacteriophages can infect hosts with a different genetic code and demonstrate phage-host antagonism based on code differences. The abundance and diversity of genetic codes present in environmental organisms should be considered in the design of engineered organisms with altered genetic codes in order to preclude the exchange of genetic information with naturally occurring species.&quot;,&quot;issue&quot;:&quot;6186&quot;,&quot;volume&quot;:&quot;344&quot;,&quot;container-title-short&quot;:&quot;Science (1979)&quot;},&quot;isTemporary&quot;:false},{&quot;id&quot;:&quot;5a48a657-8f4d-3c17-bbb0-8548e7edc36f&quot;,&quot;itemData&quot;:{&quot;type&quot;:&quot;article-journal&quot;,&quot;id&quot;:&quot;5a48a657-8f4d-3c17-bbb0-8548e7edc36f&quot;,&quot;title&quot;:&quot;Closely related Lak megaphages replicate in the microbiomes of diverse animals&quot;,&quot;author&quot;:[{&quot;family&quot;:&quot;Crisci&quot;,&quot;given&quot;:&quot;Marco A.&quot;,&quot;parse-names&quot;:false,&quot;dropping-particle&quot;:&quot;&quot;,&quot;non-dropping-particle&quot;:&quot;&quot;},{&quot;family&quot;:&quot;Chen&quot;,&quot;given&quot;:&quot;Lin Xing&quot;,&quot;parse-names&quot;:false,&quot;dropping-particle&quot;:&quot;&quot;,&quot;non-dropping-particle&quot;:&quot;&quot;},{&quot;family&quot;:&quot;Devoto&quot;,&quot;given&quot;:&quot;Audra E.&quot;,&quot;parse-names&quot;:false,&quot;dropping-particle&quot;:&quot;&quot;,&quot;non-dropping-particle&quot;:&quot;&quot;},{&quot;family&quot;:&quot;Borges&quot;,&quot;given&quot;:&quot;Adair L.&quot;,&quot;parse-names&quot;:false,&quot;dropping-particle&quot;:&quot;&quot;,&quot;non-dropping-particle&quot;:&quot;&quot;},{&quot;family&quot;:&quot;Bordin&quot;,&quot;given&quot;:&quot;Nicola&quot;,&quot;parse-names&quot;:false,&quot;dropping-particle&quot;:&quot;&quot;,&quot;non-dropping-particle&quot;:&quot;&quot;},{&quot;family&quot;:&quot;Sachdeva&quot;,&quot;given&quot;:&quot;Rohan&quot;,&quot;parse-names&quot;:false,&quot;dropping-particle&quot;:&quot;&quot;,&quot;non-dropping-particle&quot;:&quot;&quot;},{&quot;family&quot;:&quot;Tett&quot;,&quot;given&quot;:&quot;Adrian&quot;,&quot;parse-names&quot;:false,&quot;dropping-particle&quot;:&quot;&quot;,&quot;non-dropping-particle&quot;:&quot;&quot;},{&quot;family&quot;:&quot;Sharrar&quot;,&quot;given&quot;:&quot;Allison M.&quot;,&quot;parse-names&quot;:false,&quot;dropping-particle&quot;:&quot;&quot;,&quot;non-dropping-particle&quot;:&quot;&quot;},{&quot;family&quot;:&quot;Segata&quot;,&quot;given&quot;:&quot;Nicola&quot;,&quot;parse-names&quot;:false,&quot;dropping-particle&quot;:&quot;&quot;,&quot;non-dropping-particle&quot;:&quot;&quot;},{&quot;family&quot;:&quot;Debenedetti&quot;,&quot;given&quot;:&quot;Francesco&quot;,&quot;parse-names&quot;:false,&quot;dropping-particle&quot;:&quot;&quot;,&quot;non-dropping-particle&quot;:&quot;&quot;},{&quot;family&quot;:&quot;Bailey&quot;,&quot;given&quot;:&quot;Mick&quot;,&quot;parse-names&quot;:false,&quot;dropping-particle&quot;:&quot;&quot;,&quot;non-dropping-particle&quot;:&quot;&quot;},{&quot;family&quot;:&quot;Burt&quot;,&quot;given&quot;:&quot;Rachel&quot;,&quot;parse-names&quot;:false,&quot;dropping-particle&quot;:&quot;&quot;,&quot;non-dropping-particle&quot;:&quot;&quot;},{&quot;family&quot;:&quot;Wood&quot;,&quot;given&quot;:&quot;Rhiannon M.&quot;,&quot;parse-names&quot;:false,&quot;dropping-particle&quot;:&quot;&quot;,&quot;non-dropping-particle&quot;:&quot;&quot;},{&quot;family&quot;:&quot;Rowden&quot;,&quot;given&quot;:&quot;Lewis J.&quot;,&quot;parse-names&quot;:false,&quot;dropping-particle&quot;:&quot;&quot;,&quot;non-dropping-particle&quot;:&quot;&quot;},{&quot;family&quot;:&quot;Corsini&quot;,&quot;given&quot;:&quot;Paula M.&quot;,&quot;parse-names&quot;:false,&quot;dropping-particle&quot;:&quot;&quot;,&quot;non-dropping-particle&quot;:&quot;&quot;},{&quot;family&quot;:&quot;Winden&quot;,&quot;given&quot;:&quot;Steven&quot;,&quot;parse-names&quot;:false,&quot;dropping-particle&quot;:&quot;&quot;,&quot;non-dropping-particle&quot;:&quot;van&quot;},{&quot;family&quot;:&quot;Holmes&quot;,&quot;given&quot;:&quot;Mark A.&quot;,&quot;parse-names&quot;:false,&quot;dropping-particle&quot;:&quot;&quot;,&quot;non-dropping-particle&quot;:&quot;&quot;},{&quot;family&quot;:&quot;Lei&quot;,&quot;given&quot;:&quot;Shufei&quot;,&quot;parse-names&quot;:false,&quot;dropping-particle&quot;:&quot;&quot;,&quot;non-dropping-particle&quot;:&quot;&quot;},{&quot;family&quot;:&quot;Banfield&quot;,&quot;given&quot;:&quot;Jillian F.&quot;,&quot;parse-names&quot;:false,&quot;dropping-particle&quot;:&quot;&quot;,&quot;non-dropping-particle&quot;:&quot;&quot;},{&quot;family&quot;:&quot;Santini&quot;,&quot;given&quot;:&quot;Joanne M.&quot;,&quot;parse-names&quot;:false,&quot;dropping-particle&quot;:&quot;&quot;,&quot;non-dropping-particle&quot;:&quot;&quot;}],&quot;container-title&quot;:&quot;iScience&quot;,&quot;DOI&quot;:&quot;10.1016/j.isci.2021.102875&quot;,&quot;ISSN&quot;:&quot;25890042&quot;,&quot;URL&quot;:&quot;https://doi.org/10.1016/j.isci.2021.102875&quot;,&quot;issued&quot;:{&quot;date-parts&quot;:[[2021]]},&quot;page&quot;:&quot;102875&quot;,&quot;abstract&quot;:&quot;Lak phages with alternatively coded ∼540 kbp genomes were recently reported to replicate in Prevotella in microbiomes of humans that consume a non-Western diet, baboons, and pigs. Here, we explore Lak phage diversity and broader distribution using diagnostic polymerase chain reaction and genome-resolved metagenomics. Lak phages were detected in 13 animal types, including reptiles, and are particularly prevalent in pigs. Tracking Lak through the pig gastrointestinal tract revealed significant enrichment in the hindgut compared to the foregut. We reconstructed 34 new Lak genomes, including six curated complete genomes, all of which are alternatively coded. An anomalously large (∼660 kbp) complete genome reconstructed for the most deeply branched Lak from a horse microbiome is also alternatively coded. From the Lak genomes, we identified proteins associated with specific animal species; notably, most have no functional predictions. The presence of closely related Lak phages in diverse animals indicates facile distribution coupled to host-specific adaptation.&quot;,&quot;publisher&quot;:&quot;Elsevier Inc.&quot;,&quot;issue&quot;:&quot;8&quot;,&quot;volume&quot;:&quot;24&quot;,&quot;container-title-short&quot;:&quot;iScience&quot;},&quot;isTemporary&quot;:false}]},{&quot;citationID&quot;:&quot;MENDELEY_CITATION_45c734c5-6638-418e-98b4-5ce36a14c43b&quot;,&quot;properties&quot;:{&quot;noteIndex&quot;:0},&quot;isEdited&quot;:false,&quot;manualOverride&quot;:{&quot;isManuallyOverridden&quot;:false,&quot;citeprocText&quot;:&quot;&lt;sup&gt;258&lt;/sup&gt;&quot;,&quot;manualOverrideText&quot;:&quot;&quot;},&quot;citationTag&quot;:&quot;MENDELEY_CITATION_v3_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&quot;,&quot;citationItems&quot;:[{&quot;id&quot;:&quot;62a9f6a9-cad0-3eb3-9660-a629e9b2dec0&quot;,&quot;itemData&quot;:{&quot;type&quot;:&quot;article-journal&quot;,&quot;id&quot;:&quot;62a9f6a9-cad0-3eb3-9660-a629e9b2dec0&quot;,&quot;title&quot;:&quot;Bacteriophages of the Human Gut: The “Known Unknown” of the Microbiome&quot;,&quot;author&quot;:[{&quot;family&quot;:&quot;Shkoporov&quot;,&quot;given&quot;:&quot;Andrey N.&quot;,&quot;parse-names&quot;:false,&quot;dropping-particle&quot;:&quot;&quot;,&quot;non-dropping-particle&quot;:&quot;&quot;},{&quot;family&quot;:&quot;Hill&quot;,&quot;given&quot;:&quot;Colin&quot;,&quot;parse-names&quot;:false,&quot;dropping-particle&quot;:&quot;&quot;,&quot;non-dropping-particle&quot;:&quot;&quot;}],&quot;container-title&quot;:&quot;Cell Host and Microbe&quot;,&quot;DOI&quot;:&quot;10.1016/j.chom.2019.01.017&quot;,&quot;ISSN&quot;:&quot;19346069&quot;,&quot;URL&quot;:&quot;https://doi.org/10.1016/j.chom.2019.01.017&quot;,&quot;issued&quot;:{&quot;date-parts&quot;:[[2019]]},&quot;page&quot;:&quot;195-209&quot;,&quot;abstract&quot;:&quot;Shkoporov and Hill review our current understanding of and the available methods for studying the taxonomic composition, community structure, and population dynamics of human gut-associated bacteriophage populations (phageome). They also discuss the main challenges in the field and identify avenues for future research.&quot;,&quot;publisher&quot;:&quot;Elsevier Inc.&quot;,&quot;issue&quot;:&quot;2&quot;,&quot;volume&quot;:&quot;25&quot;,&quot;container-title-short&quot;:&quot;&quot;},&quot;isTemporary&quot;:false}]},{&quot;citationID&quot;:&quot;MENDELEY_CITATION_91e278e2-5a48-47ae-87d4-92aeb4b45c04&quot;,&quot;properties&quot;:{&quot;noteIndex&quot;:0},&quot;isEdited&quot;:false,&quot;manualOverride&quot;:{&quot;isManuallyOverridden&quot;:false,&quot;citeprocText&quot;:&quot;&lt;sup&gt;263,264&lt;/sup&gt;&quot;,&quot;manualOverrideText&quot;:&quot;&quot;},&quot;citationTag&quot;:&quot;MENDELEY_CITATION_v3_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&quot;,&quot;citationItems&quot;:[{&quot;id&quot;:&quot;99a1a0f0-50ff-3b8d-951e-d11d140494ce&quot;,&quot;itemData&quot;:{&quot;type&quot;:&quot;article-journal&quot;,&quot;id&quot;:&quot;99a1a0f0-50ff-3b8d-951e-d11d140494ce&quot;,&quot;title&quot;:&quot;Recoding of the stop codon UGA to glycine by a BD1-5/SN-2 bacterium and niche partitioning between Alpha- and Gammaproteobacteria in a tidal sediment microbial community naturally selected in a laboratory chemostat&quot;,&quot;author&quot;:[{&quot;family&quot;:&quot;Hanke&quot;,&quot;given&quot;:&quot;Anna&quot;,&quot;parse-names&quot;:false,&quot;dropping-particle&quot;:&quot;&quot;,&quot;non-dropping-particle&quot;:&quot;&quot;},{&quot;family&quot;:&quot;Hamann&quot;,&quot;given&quot;:&quot;Emmo&quot;,&quot;parse-names&quot;:false,&quot;dropping-particle&quot;:&quot;&quot;,&quot;non-dropping-particle&quot;:&quot;&quot;},{&quot;family&quot;:&quot;Sharma&quot;,&quot;given&quot;:&quot;Ritin&quot;,&quot;parse-names&quot;:false,&quot;dropping-particle&quot;:&quot;&quot;,&quot;non-dropping-particle&quot;:&quot;&quot;},{&quot;family&quot;:&quot;Geelhoed&quot;,&quot;given&quot;:&quot;Jeanine S.&quot;,&quot;parse-names&quot;:false,&quot;dropping-particle&quot;:&quot;&quot;,&quot;non-dropping-particle&quot;:&quot;&quot;},{&quot;family&quot;:&quot;Hargesheimer&quot;,&quot;given&quot;:&quot;Theresa&quot;,&quot;parse-names&quot;:false,&quot;dropping-particle&quot;:&quot;&quot;,&quot;non-dropping-particle&quot;:&quot;&quot;},{&quot;family&quot;:&quot;Kraft&quot;,&quot;given&quot;:&quot;Beate&quot;,&quot;parse-names&quot;:false,&quot;dropping-particle&quot;:&quot;&quot;,&quot;non-dropping-particle&quot;:&quot;&quot;},{&quot;family&quot;:&quot;Meyer&quot;,&quot;given&quot;:&quot;Volker&quot;,&quot;parse-names&quot;:false,&quot;dropping-particle&quot;:&quot;&quot;,&quot;non-dropping-particle&quot;:&quot;&quot;},{&quot;family&quot;:&quot;Lenk&quot;,&quot;given&quot;:&quot;Sabine&quot;,&quot;parse-names&quot;:false,&quot;dropping-particle&quot;:&quot;&quot;,&quot;non-dropping-particle&quot;:&quot;&quot;},{&quot;family&quot;:&quot;Osmers&quot;,&quot;given&quot;:&quot;Harald&quot;,&quot;parse-names&quot;:false,&quot;dropping-particle&quot;:&quot;&quot;,&quot;non-dropping-particle&quot;:&quot;&quot;},{&quot;family&quot;:&quot;Wu&quot;,&quot;given&quot;:&quot;Rong&quot;,&quot;parse-names&quot;:false,&quot;dropping-particle&quot;:&quot;&quot;,&quot;non-dropping-particle&quot;:&quot;&quot;},{&quot;family&quot;:&quot;Makinwa&quot;,&quot;given&quot;:&quot;Kofi&quot;,&quot;parse-names&quot;:false,&quot;dropping-particle&quot;:&quot;&quot;,&quot;non-dropping-particle&quot;:&quot;&quot;},{&quot;family&quot;:&quot;Hettich&quot;,&quot;given&quot;:&quot;Robert L.&quot;,&quot;parse-names&quot;:false,&quot;dropping-particle&quot;:&quot;&quot;,&quot;non-dropping-particle&quot;:&quot;&quot;},{&quot;family&quot;:&quot;Banfield&quot;,&quot;given&quot;:&quot;Jillian F.&quot;,&quot;parse-names&quot;:false,&quot;dropping-particle&quot;:&quot;&quot;,&quot;non-dropping-particle&quot;:&quot;&quot;},{&quot;family&quot;:&quot;Tegetmeyer&quot;,&quot;given&quot;:&quot;Halina E.&quot;,&quot;parse-names&quot;:false,&quot;dropping-particle&quot;:&quot;&quot;,&quot;non-dropping-particle&quot;:&quot;&quot;},{&quot;family&quot;:&quot;Strous&quot;,&quot;given&quot;:&quot;Marc&quot;,&quot;parse-names&quot;:false,&quot;dropping-particle&quot;:&quot;&quot;,&quot;non-dropping-particle&quot;:&quot;&quot;}],&quot;container-title&quot;:&quot;Frontiers in Microbiology&quot;,&quot;DOI&quot;:&quot;10.3389/fmicb.2014.00231&quot;,&quot;ISSN&quot;:&quot;1664302X&quot;,&quot;PMID&quot;:&quot;24904545&quot;,&quot;issued&quot;:{&quot;date-parts&quot;:[[2014]]},&quot;page&quot;:&quot;1-17&quot;,&quot;abstract&quot;:&quot;Sandy coastal sediments are global hotspots for microbial mineralization of organic matter and denitrification. These sediments are characterized by advective porewater flow, tidal cycling and an active and complex microbial community. Metagenomic sequencing of microbial communities sampled from such sediments showed that potential sulfur oxidizing Gammaproteobacteria and members of the enigmatic BD1-5/SN-2 candidate phylum were abundant in situ (&gt;10% and ̃2% respectively). By mimicking the dynamic oxic/anoxic environmental conditions of the sediment in a laboratory chemostat, a simplified microbial community was selected from the more complex inoculum. Metagenomics, proteomics and fluorescence in situ hybridization showed that this simplified community contained both a potential sulfur oxidizing Gammaproteobacteria (at 24 ± 2% abundance) and a member of the BD1-5/SN-2 candidate phylum (at 7 ± 6% abundance). Despite the abundant supply of organic substrates to the chemostat, proteomic analysis suggested that the selected gammaproteobacterium grew partially autotrophically and performed hydrogen/formate oxidation. The enrichment of a member of the BD1-5/SN-2 candidate phylum enabled, for the first time, direct microscopic observation by fluorescent in situ hybridization and the experimental validation of the previously predicted translation of the stop codon UGA into glycine. © 2014 Hanke, Hamann, Sharma, Geelhoed, Hargesheimer, Kraft, Meyer, Lenk, Osmers, Wu, Makinwa, Hettich, Banfield, Tegetmeyer and Strous.&quot;,&quot;issue&quot;:&quot;MAY&quot;,&quot;volume&quot;:&quot;5&quot;,&quot;container-title-short&quot;:&quot;&quot;},&quot;isTemporary&quot;:false},{&quot;id&quot;:&quot;ce2fec09-90fd-336f-bbaf-8de36a982315&quot;,&quot;itemData&quot;:{&quot;type&quot;:&quot;article-journal&quot;,&quot;id&quot;:&quot;ce2fec09-90fd-336f-bbaf-8de36a982315&quot;,&quot;title&quot;:&quot;Origin of an alternative genetic code in the extremely small and GC-rich genome of a bacterial symbiont&quot;,&quot;author&quot;:[{&quot;family&quot;:&quot;McCutcheon&quot;,&quot;given&quot;:&quot;John P.&quot;,&quot;parse-names&quot;:false,&quot;dropping-particle&quot;:&quot;&quot;,&quot;non-dropping-particle&quot;:&quot;&quot;},{&quot;family&quot;:&quot;McDonald&quot;,&quot;given&quot;:&quot;Bradon R.&quot;,&quot;parse-names&quot;:false,&quot;dropping-particle&quot;:&quot;&quot;,&quot;non-dropping-particle&quot;:&quot;&quot;},{&quot;family&quot;:&quot;Moran&quot;,&quot;given&quot;:&quot;Nancy A.&quot;,&quot;parse-names&quot;:false,&quot;dropping-particle&quot;:&quot;&quot;,&quot;non-dropping-particle&quot;:&quot;&quot;}],&quot;container-title&quot;:&quot;PLoS Genetics&quot;,&quot;DOI&quot;:&quot;10.1371/journal.pgen.1000565&quot;,&quot;ISSN&quot;:&quot;15537390&quot;,&quot;PMID&quot;:&quot;19609354&quot;,&quot;issued&quot;:{&quot;date-parts&quot;:[[2009]]},&quot;abstract&quot;:&quot;The genetic code relates nucleotide sequence to amino acid sequence and is shared across all organisms, with the rare exceptions of lineages in which one or a few codons have acquired novel assignments. Recoding of UGA from stop to tryptophan has evolved independently in certain reduced bacterial genomes, including those of the mycoplasmas and some mitochondria. Small genomes typically exhibit low guanine plus cytosine (GC) content, and this bias in base composition has been proposed to drive UGA Stop to Tryptophan (Stop→Trp) recoding. Using a combination of genome sequencing and high-throughput proteomics, we show that an α-Proteobacterial symbiont of cicadas has the unprecedented combination of an extremely small genome (144 kb), a GC-biased base composition (58.4%), and a coding reassignment of UGA Stop→Trp. Although it is not clear why this tiny genome lacks the low GC content typical of other small bacterial genomes, these observations support a role of genome reduction rather than base composition as a driver of codon reassignment. © 2009 McCutcheon et al.&quot;,&quot;issue&quot;:&quot;7&quot;,&quot;volume&quot;:&quot;5&quot;,&quot;container-title-short&quot;:&quot;&quot;},&quot;isTemporary&quot;:false}]},{&quot;citationID&quot;:&quot;MENDELEY_CITATION_1c4f6fc2-0263-4b3e-bdc1-d9b7c8b6c176&quot;,&quot;properties&quot;:{&quot;noteIndex&quot;:0},&quot;isEdited&quot;:false,&quot;manualOverride&quot;:{&quot;isManuallyOverridden&quot;:false,&quot;citeprocText&quot;:&quot;&lt;sup&gt;265–267&lt;/sup&gt;&quot;,&quot;manualOverrideText&quot;:&quot;&quot;},&quot;citationTag&quot;:&quot;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&quot;,&quot;citationItems&quot;:[{&quot;id&quot;:&quot;5db8a272-8299-328f-ba7a-f6c006036c3f&quot;,&quot;itemData&quot;:{&quot;type&quot;:&quot;article-journal&quot;,&quot;id&quot;:&quot;5db8a272-8299-328f-ba7a-f6c006036c3f&quot;,&quot;title&quot;:&quot;Programmed translational frameshifting and initiation at an AUU codon in gene expression of bacterial insertion sequence IS911&quot;,&quot;author&quot;:[{&quot;family&quot;:&quot;Polard&quot;,&quot;given&quot;:&quot;P.&quot;,&quot;parse-names&quot;:false,&quot;dropping-particle&quot;:&quot;&quot;,&quot;non-dropping-particle&quot;:&quot;&quot;},{&quot;family&quot;:&quot;Prère&quot;,&quot;given&quot;:&quot;M. F.&quot;,&quot;parse-names&quot;:false,&quot;dropping-particle&quot;:&quot;&quot;,&quot;non-dropping-particle&quot;:&quot;&quot;},{&quot;family&quot;:&quot;Chandler&quot;,&quot;given&quot;:&quot;M.&quot;,&quot;parse-names&quot;:false,&quot;dropping-particle&quot;:&quot;&quot;,&quot;non-dropping-particle&quot;:&quot;&quot;},{&quot;family&quot;:&quot;Fayet&quot;,&quot;given&quot;:&quot;O.&quot;,&quot;parse-names&quot;:false,&quot;dropping-particle&quot;:&quot;&quot;,&quot;non-dropping-particle&quot;:&quot;&quot;}],&quot;container-title&quot;:&quot;Journal of Molecular Biology&quot;,&quot;DOI&quot;:&quot;10.1016/0022-2836(91)90490-W&quot;,&quot;ISSN&quot;:&quot;00222836&quot;,&quot;issued&quot;:{&quot;date-parts&quot;:[[1991]]},&quot;abstract&quot;:&quot;The proteins expressed by insertion sequence IS911, a member of the widespread IS3 family of elements, have been analyzed. The results indicate that three major species are produced from two consecutive reading frames. A protein of Mr 11,500, ORFA, is synthesized from an upstream reading frame. A larger protein, ORFAB, uses the same initiation codon and is produced by a -1 programmed translational frameshift between orfA and a downstream frame, orfB, whose amino acid sequence shows significant homology with retroviral integrase proteins. The orfB frame is also expressed independently in two alternative forms: the first uses a rare AUU initiation codon in the orfB phase whereas the second appears to initiate in the orfA phase and is produced by a -1 frameshift mechanism similar to that used in ORFAB expression. A specific IS911 integration reaction using a minimal active junction composed of 51 base-pairs of the right inverted repeat and a flanking phage λ sequence resembling a second end in inverted orientation has been developed to analyze the functions of these proteins by transcomplementation in vivo. The orfA and orfB frames are shown to be essential and production of ORFAB is shown to stimulate integration in this system, suggesting that this fusion protein is the IS911 transposase. © 1991.&quot;,&quot;issue&quot;:&quot;3&quot;,&quot;volume&quot;:&quot;222&quot;,&quot;container-title-short&quot;:&quot;&quot;},&quot;isTemporary&quot;:false},{&quot;id&quot;:&quot;3df9cfb7-778b-3206-9cab-fbdcfc585f56&quot;,&quot;itemData&quot;:{&quot;type&quot;:&quot;article-journal&quot;,&quot;id&quot;:&quot;3df9cfb7-778b-3206-9cab-fbdcfc585f56&quot;,&quot;title&quot;:&quot;Proteomic detection of non-annotated protein-coding genes in Pseudomonas fluorescens Pf0-1&quot;,&quot;author&quot;:[{&quot;family&quot;:&quot;Kim&quot;,&quot;given&quot;:&quot;Wook&quot;,&quot;parse-names&quot;:false,&quot;dropping-particle&quot;:&quot;&quot;,&quot;non-dropping-particle&quot;:&quot;&quot;},{&quot;family&quot;:&quot;Silby&quot;,&quot;given&quot;:&quot;Mark W.&quot;,&quot;parse-names&quot;:false,&quot;dropping-particle&quot;:&quot;&quot;,&quot;non-dropping-particle&quot;:&quot;&quot;},{&quot;family&quot;:&quot;Purvine&quot;,&quot;given&quot;:&quot;Sam O.&quot;,&quot;parse-names&quot;:false,&quot;dropping-particle&quot;:&quot;&quot;,&quot;non-dropping-particle&quot;:&quot;&quot;},{&quot;family&quot;:&quot;Nicoll&quot;,&quot;given&quot;:&quot;Julie S.&quot;,&quot;parse-names&quot;:false,&quot;dropping-particle&quot;:&quot;&quot;,&quot;non-dropping-particle&quot;:&quot;&quot;},{&quot;family&quot;:&quot;Hixson&quot;,&quot;given&quot;:&quot;Kim K.&quot;,&quot;parse-names&quot;:false,&quot;dropping-particle&quot;:&quot;&quot;,&quot;non-dropping-particle&quot;:&quot;&quot;},{&quot;family&quot;:&quot;Monroe&quot;,&quot;given&quot;:&quot;Matt&quot;,&quot;parse-names&quot;:false,&quot;dropping-particle&quot;:&quot;&quot;,&quot;non-dropping-particle&quot;:&quot;&quot;},{&quot;family&quot;:&quot;Nicora&quot;,&quot;given&quot;:&quot;Carrie D.&quot;,&quot;parse-names&quot;:false,&quot;dropping-particle&quot;:&quot;&quot;,&quot;non-dropping-particle&quot;:&quot;&quot;},{&quot;family&quot;:&quot;Lipton&quot;,&quot;given&quot;:&quot;Mary S.&quot;,&quot;parse-names&quot;:false,&quot;dropping-particle&quot;:&quot;&quot;,&quot;non-dropping-particle&quot;:&quot;&quot;},{&quot;family&quot;:&quot;Levy&quot;,&quot;given&quot;:&quot;Stuart B.&quot;,&quot;parse-names&quot;:false,&quot;dropping-particle&quot;:&quot;&quot;,&quot;non-dropping-particle&quot;:&quot;&quot;}],&quot;container-title&quot;:&quot;PLoS ONE&quot;,&quot;DOI&quot;:&quot;10.1371/journal.pone.0008455&quot;,&quot;ISSN&quot;:&quot;19326203&quot;,&quot;issued&quot;:{&quot;date-parts&quot;:[[2009]]},&quot;abstract&quot;:&quot;Genome sequences are annotated by computational prediction of coding sequences, followed by similarity searches such as BLAST, which provide a layer of possible functional information. While the existence of processes such as alternative splicing complicates matters for eukaryote genomes, the view of bacterial genomes as a linear series of closely spaced genes leads to the assumption that computational annotations that predict such arrangements completely describe the coding capacity of bacterial genomes. We undertook a proteomic study to identify proteins expressed by Pseudomonas fluorescens Pf0-1 from genes that were not predicted during the genome annotation. Mapping peptides to the Pf0-1 genome sequence identified sixteen non-annotated protein-coding regions, of which nine were antisense to predicted genes, six were intergenic, and one read in the same direction as an annotated gene but in a different frame. The expression of all but one of the newly discovered genes was verified by RT-PCR. Few clues as to the function of the new genes were gleaned from informatic analyses, but potential orthologs in other Pseudomonas genomes were identified for eight of the new genes. The 16 newly identified genes improve the quality of the Pf0-1 genome annotation, and the detection of antisense protein-coding genes indicates the under-appreciated complexity of bacterial genome organization.&quot;,&quot;issue&quot;:&quot;12&quot;,&quot;volume&quot;:&quot;4&quot;,&quot;container-title-short&quot;:&quot;&quot;},&quot;isTemporary&quot;:false},{&quot;id&quot;:&quot;144f70d6-9f56-37eb-8482-8ce5c24eeab1&quot;,&quot;itemData&quot;:{&quot;type&quot;:&quot;article-journal&quot;,&quot;id&quot;:&quot;144f70d6-9f56-37eb-8482-8ce5c24eeab1&quot;,&quot;title&quot;:&quot;Proteogenomic mapping as a complementary method to perform genome annotation&quot;,&quot;author&quot;:[{&quot;family&quot;:&quot;Jaffe&quot;,&quot;given&quot;:&quot;Jacob D.&quot;,&quot;parse-names&quot;:false,&quot;dropping-particle&quot;:&quot;&quot;,&quot;non-dropping-particle&quot;:&quot;&quot;},{&quot;family&quot;:&quot;Berg&quot;,&quot;given&quot;:&quot;Howard C.&quot;,&quot;parse-names&quot;:false,&quot;dropping-particle&quot;:&quot;&quot;,&quot;non-dropping-particle&quot;:&quot;&quot;},{&quot;family&quot;:&quot;Church&quot;,&quot;given&quot;:&quot;George M.&quot;,&quot;parse-names&quot;:false,&quot;dropping-particle&quot;:&quot;&quot;,&quot;non-dropping-particle&quot;:&quot;&quot;}],&quot;container-title&quot;:&quot;Proteomics&quot;,&quot;DOI&quot;:&quot;10.1002/pmic.200300511&quot;,&quot;ISSN&quot;:&quot;16159853&quot;,&quot;issued&quot;:{&quot;date-parts&quot;:[[2004]]},&quot;abstract&quot;:&quot;The accelerated rate of genomic sequencing has led to an abundance of completely sequenced genomes. Annotation of the open reading frames (ORFs) (i.e., gene prediction) in these genomes is an important task and is most often performed computationally based on features in the nucleic acid sequence. Using recent advances in proteomics, we set out to predict the set of ORFs for an organism based principally on expressed protein-based evidence. Using a novel search strategy, we mapped peptides detected in a whole-cell lysate of Mycoplasma pneumoniae onto a genomic scaffold and extended these \&quot;hits\&quot; into ORFs bound by traditional genetic signals to generate a \&quot;proteogenomic map\&quot;. We were able to generate an ORF model for M. pneumoniae strain FH using proteomic data with a high correlation to models based on sequence features. Ultimately, we detected over 81% of the genomically predicted ORFs in M. pneumoniae strain M129 (the originally sequenced strain). We were also able to detect several new ORFs not originally predicted by genomic methods, various N-terminal extensions, and some evidence that would suggest that certain predicted ORFs are bogus. Some of these differences may be a result of the strain analyzed but demonstrate the robustness of protein analysis across closely related genomes. This technique is a cost-effective means to add value to genome annotation, and a prerequisite for proteome quantitation and in vivo interaction measures.&quot;,&quot;issue&quot;:&quot;1&quot;,&quot;volume&quot;:&quot;4&quot;,&quot;container-title-short&quot;:&quot;Proteomics&quot;},&quot;isTemporary&quot;:false}]},{&quot;citationID&quot;:&quot;MENDELEY_CITATION_8f3fd92c-a786-4bce-aaf8-af329a69ccaf&quot;,&quot;properties&quot;:{&quot;noteIndex&quot;:0},&quot;isEdited&quot;:false,&quot;manualOverride&quot;:{&quot;isManuallyOverridden&quot;:false,&quot;citeprocText&quot;:&quot;&lt;sup&gt;268&lt;/sup&gt;&quot;,&quot;manualOverrideText&quot;:&quot;&quot;},&quot;citationTag&quot;:&quot;MENDELEY_CITATION_v3_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&quot;,&quot;citationItems&quot;:[{&quot;id&quot;:&quot;85c7372f-b77f-39ba-ba06-5a1952d4feb1&quot;,&quot;itemData&quot;:{&quot;type&quot;:&quot;article-journal&quot;,&quot;id&quot;:&quot;85c7372f-b77f-39ba-ba06-5a1952d4feb1&quot;,&quot;title&quot;:&quot;Proteomics-based refinement of Deinococcus deserti genome annotation reveals an unwonted use of non-canonical translation initiation codons&quot;,&quot;author&quot;:[{&quot;family&quot;:&quot;Baudet&quot;,&quot;given&quot;:&quot;Mathieu&quot;,&quot;parse-names&quot;:false,&quot;dropping-particle&quot;:&quot;&quot;,&quot;non-dropping-particle&quot;:&quot;&quot;},{&quot;family&quot;:&quot;Ortet&quot;,&quot;given&quot;:&quot;Philippe&quot;,&quot;parse-names&quot;:false,&quot;dropping-particle&quot;:&quot;&quot;,&quot;non-dropping-particle&quot;:&quot;&quot;},{&quot;family&quot;:&quot;Gaillard&quot;,&quot;given&quot;:&quot;Jean Charles&quot;,&quot;parse-names&quot;:false,&quot;dropping-particle&quot;:&quot;&quot;,&quot;non-dropping-particle&quot;:&quot;&quot;},{&quot;family&quot;:&quot;Fernandez&quot;,&quot;given&quot;:&quot;Bernard&quot;,&quot;parse-names&quot;:false,&quot;dropping-particle&quot;:&quot;&quot;,&quot;non-dropping-particle&quot;:&quot;&quot;},{&quot;family&quot;:&quot;Guérin&quot;,&quot;given&quot;:&quot;Philippe&quot;,&quot;parse-names&quot;:false,&quot;dropping-particle&quot;:&quot;&quot;,&quot;non-dropping-particle&quot;:&quot;&quot;},{&quot;family&quot;:&quot;Enjalbal&quot;,&quot;given&quot;:&quot;Christine&quot;,&quot;parse-names&quot;:false,&quot;dropping-particle&quot;:&quot;&quot;,&quot;non-dropping-particle&quot;:&quot;&quot;},{&quot;family&quot;:&quot;Subra&quot;,&quot;given&quot;:&quot;Gilles&quot;,&quot;parse-names&quot;:false,&quot;dropping-particle&quot;:&quot;&quot;,&quot;non-dropping-particle&quot;:&quot;&quot;},{&quot;family&quot;:&quot;Groot&quot;,&quot;given&quot;:&quot;Arjan&quot;,&quot;parse-names&quot;:false,&quot;dropping-particle&quot;:&quot;&quot;,&quot;non-dropping-particle&quot;:&quot;de&quot;},{&quot;family&quot;:&quot;Barakat&quot;,&quot;given&quot;:&quot;Mohamed&quot;,&quot;parse-names&quot;:false,&quot;dropping-particle&quot;:&quot;&quot;,&quot;non-dropping-particle&quot;:&quot;&quot;},{&quot;family&quot;:&quot;Dedieu&quot;,&quot;given&quot;:&quot;Alain&quot;,&quot;parse-names&quot;:false,&quot;dropping-particle&quot;:&quot;&quot;,&quot;non-dropping-particle&quot;:&quot;&quot;},{&quot;family&quot;:&quot;Armengaud&quot;,&quot;given&quot;:&quot;Jean&quot;,&quot;parse-names&quot;:false,&quot;dropping-particle&quot;:&quot;&quot;,&quot;non-dropping-particle&quot;:&quot;&quot;}],&quot;container-title&quot;:&quot;Molecular and Cellular Proteomics&quot;,&quot;DOI&quot;:&quot;10.1074/mcp.M900359-MCP200&quot;,&quot;ISSN&quot;:&quot;15359476&quot;,&quot;issued&quot;:{&quot;date-parts&quot;:[[2010]]},&quot;abstract&quot;:&quot;Deinococcaceae are a family of extremely radiation-tolerant bacteria that are currently subjected to numerous studies aimed at understanding the molecular mechanisms for such radiotolerance. To achieve a comprehensive and accurate annotation of the Deinococcus deserti genome, we performed an N terminus-oriented characterization of its proteome. For this, we used a labeling reagent, N-tris(2,4,6-trimethoxyphenyl)phosphonium acetyl succinimide, to selectively derivatize protein N termini. The large scale identification of N-tris(2,4,6-trimethoxyphenyl) phosphonium acetyl succinimide-modified N-terminal-most peptides by shotgun liquid chromatography-tandem mass spectrometry analysis led to the validation of 278 and the correction of 73 translation initiation codons in the D. deserti genome. In addition, four new genes were detected, three located on the main chromosome and one on plasmid P3. We also analyzed signal peptide cleavages on a genome-wide scale. Based on comparative proteogenomics analysis, we propose a set of 137 corrections to improve Deinococcus radiodurans and Deinococcus geothermalis gene annotations. Some of these corrections affect important genes involved in DNA repair mechanisms such as polA, ligA, and ddrB. Surprisingly, experimental evidences were obtained indicating that DnaA (the protein involved in the DNA replication initiation process) and RpsL (the S12 ribosomal conserved protein) translation is initiated in Deinococcaceae from non-canonical codons (ATC and CTG, respectively). Such use may be the basis of specific regulation mechanisms affecting replication and translation. We also report the use of non-conventional translation initiation codons for two other genes: Deide-03051 and infC. Whether such use of non-canonical translation initiation codons is much more frequent than for other previously reported bacterial phyla or restricted to Deinococcaceae remains to be investigated. Our results demonstrate that predicting translation initiation codons is still difficult for some bacteria and that proteomics-based refinement of genome annotations may be helpful in such cases. © 2010 by The American Society for Biochemistry and Molecular Biology, Inc.&quot;,&quot;issue&quot;:&quot;2&quot;,&quot;volume&quot;:&quot;9&quot;,&quot;container-title-short&quot;:&quot;&quot;},&quot;isTemporary&quot;:false}]},{&quot;citationID&quot;:&quot;MENDELEY_CITATION_925b5bfb-aa42-4186-911f-eb3ae33e9815&quot;,&quot;properties&quot;:{&quot;noteIndex&quot;:0},&quot;isEdited&quot;:false,&quot;manualOverride&quot;:{&quot;isManuallyOverridden&quot;:false,&quot;citeprocText&quot;:&quot;&lt;sup&gt;258,259,262&lt;/sup&gt;&quot;,&quot;manualOverrideText&quot;:&quot;&quot;},&quot;citationTag&quot;:&quot;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&quot;,&quot;citationItems&quot;:[{&quot;id&quot;:&quot;072dda9b-be6b-3047-8992-2e9bd142153a&quot;,&quot;itemData&quot;:{&quot;type&quot;:&quot;article-journal&quot;,&quot;id&quot;:&quot;072dda9b-be6b-3047-8992-2e9bd142153a&quot;,&quot;title&quot;:&quot;Metagenomic compendium of 189,680 DNA viruses from the human gut microbiome&quot;,&quot;author&quot;:[{&quot;family&quot;:&quot;Nayfach&quot;,&quot;given&quot;:&quot;Stephen&quot;,&quot;parse-names&quot;:false,&quot;dropping-particle&quot;:&quot;&quot;,&quot;non-dropping-particle&quot;:&quot;&quot;},{&quot;family&quot;:&quot;Páez-Espino&quot;,&quot;given&quot;:&quot;David&quot;,&quot;parse-names&quot;:false,&quot;dropping-particle&quot;:&quot;&quot;,&quot;non-dropping-particle&quot;:&quot;&quot;},{&quot;family&quot;:&quot;Call&quot;,&quot;given&quot;:&quot;Lee&quot;,&quot;parse-names&quot;:false,&quot;dropping-particle&quot;:&quot;&quot;,&quot;non-dropping-particle&quot;:&quot;&quot;},{&quot;family&quot;:&quot;Low&quot;,&quot;given&quot;:&quot;Soo Jen&quot;,&quot;parse-names&quot;:false,&quot;dropping-particle&quot;:&quot;&quot;,&quot;non-dropping-particle&quot;:&quot;&quot;},{&quot;family&quot;:&quot;Sberro&quot;,&quot;given&quot;:&quot;Hila&quot;,&quot;parse-names&quot;:false,&quot;dropping-particle&quot;:&quot;&quot;,&quot;non-dropping-particle&quot;:&quot;&quot;},{&quot;family&quot;:&quot;Ivanova&quot;,&quot;given&quot;:&quot;Natalia N.&quot;,&quot;parse-names&quot;:false,&quot;dropping-particle&quot;:&quot;&quot;,&quot;non-dropping-particle&quot;:&quot;&quot;},{&quot;family&quot;:&quot;Proal&quot;,&quot;given&quot;:&quot;Amy D.&quot;,&quot;parse-names&quot;:false,&quot;dropping-particle&quot;:&quot;&quot;,&quot;non-dropping-particle&quot;:&quot;&quot;},{&quot;family&quot;:&quot;Fischbach&quot;,&quot;given&quot;:&quot;Michael A.&quot;,&quot;parse-names&quot;:false,&quot;dropping-particle&quot;:&quot;&quot;,&quot;non-dropping-particle&quot;:&quot;&quot;},{&quot;family&quot;:&quot;Bhatt&quot;,&quot;given&quot;:&quot;Ami S.&quot;,&quot;parse-names&quot;:false,&quot;dropping-particle&quot;:&quot;&quot;,&quot;non-dropping-particle&quot;:&quot;&quot;},{&quot;family&quot;:&quot;Hugenholtz&quot;,&quot;given&quot;:&quot;Philip&quot;,&quot;parse-names&quot;:false,&quot;dropping-particle&quot;:&quot;&quot;,&quot;non-dropping-particle&quot;:&quot;&quot;},{&quot;family&quot;:&quot;Kyrpides&quot;,&quot;given&quot;:&quot;Nikos C.&quot;,&quot;parse-names&quot;:false,&quot;dropping-particle&quot;:&quot;&quot;,&quot;non-dropping-particle&quot;:&quot;&quot;}],&quot;container-title&quot;:&quot;Nature Microbiology&quot;,&quot;DOI&quot;:&quot;10.1038/s41564-021-00928-6&quot;,&quot;ISSN&quot;:&quot;20585276&quot;,&quot;PMID&quot;:&quot;34168315&quot;,&quot;URL&quot;:&quot;http://dx.doi.org/10.1038/s41564-021-00928-6&quot;,&quot;issued&quot;:{&quot;date-parts&quot;:[[2021]]},&quot;page&quot;:&quot;960-970&quot;,&quot;abstract&quot;:&quot;Bacteriophages have important roles in the ecology of the human gut microbiome but are under-represented in reference databases. To address this problem, we assembled the Metagenomic Gut Virus catalogue that comprises 189,680 viral genomes from 11,810 publicly available human stool metagenomes. Over 75% of genomes represent double-stranded DNA phages that infect members of the Bacteroidia and Clostridia classes. Based on sequence clustering we identified 54,118 candidate viral species, 92% of which were not found in existing databases. The Metagenomic Gut Virus catalogue improves detection of viruses in stool metagenomes and accounts for nearly 40% of CRISPR spacers found in human gut Bacteria and Archaea. We also produced a catalogue of 459,375 viral protein clusters to explore the functional potential of the gut virome. This revealed tens of thousands of diversity-generating retroelements, which use error-prone reverse transcription to mutate target genes and may be involved in the molecular arms race between phages and their bacterial hosts.&quot;,&quot;publisher&quot;:&quot;Springer US&quot;,&quot;issue&quot;:&quot;7&quot;,&quot;volume&quot;:&quot;6&quot;,&quot;container-title-short&quot;:&quot;&quot;},&quot;isTemporary&quot;:false},{&quot;id&quot;:&quot;62a9f6a9-cad0-3eb3-9660-a629e9b2dec0&quot;,&quot;itemData&quot;:{&quot;type&quot;:&quot;article-journal&quot;,&quot;id&quot;:&quot;62a9f6a9-cad0-3eb3-9660-a629e9b2dec0&quot;,&quot;title&quot;:&quot;Bacteriophages of the Human Gut: The “Known Unknown” of the Microbiome&quot;,&quot;author&quot;:[{&quot;family&quot;:&quot;Shkoporov&quot;,&quot;given&quot;:&quot;Andrey N.&quot;,&quot;parse-names&quot;:false,&quot;dropping-particle&quot;:&quot;&quot;,&quot;non-dropping-particle&quot;:&quot;&quot;},{&quot;family&quot;:&quot;Hill&quot;,&quot;given&quot;:&quot;Colin&quot;,&quot;parse-names&quot;:false,&quot;dropping-particle&quot;:&quot;&quot;,&quot;non-dropping-particle&quot;:&quot;&quot;}],&quot;container-title&quot;:&quot;Cell Host and Microbe&quot;,&quot;DOI&quot;:&quot;10.1016/j.chom.2019.01.017&quot;,&quot;ISSN&quot;:&quot;19346069&quot;,&quot;URL&quot;:&quot;https://doi.org/10.1016/j.chom.2019.01.017&quot;,&quot;issued&quot;:{&quot;date-parts&quot;:[[2019]]},&quot;page&quot;:&quot;195-209&quot;,&quot;abstract&quot;:&quot;Shkoporov and Hill review our current understanding of and the available methods for studying the taxonomic composition, community structure, and population dynamics of human gut-associated bacteriophage populations (phageome). They also discuss the main challenges in the field and identify avenues for future research.&quot;,&quot;publisher&quot;:&quot;Elsevier Inc.&quot;,&quot;issue&quot;:&quot;2&quot;,&quot;volume&quot;:&quot;25&quot;,&quot;container-title-short&quot;:&quot;&quot;},&quot;isTemporary&quot;:false},{&quot;id&quot;:&quot;5a48a657-8f4d-3c17-bbb0-8548e7edc36f&quot;,&quot;itemData&quot;:{&quot;type&quot;:&quot;article-journal&quot;,&quot;id&quot;:&quot;5a48a657-8f4d-3c17-bbb0-8548e7edc36f&quot;,&quot;title&quot;:&quot;Closely related Lak megaphages replicate in the microbiomes of diverse animals&quot;,&quot;author&quot;:[{&quot;family&quot;:&quot;Crisci&quot;,&quot;given&quot;:&quot;Marco A.&quot;,&quot;parse-names&quot;:false,&quot;dropping-particle&quot;:&quot;&quot;,&quot;non-dropping-particle&quot;:&quot;&quot;},{&quot;family&quot;:&quot;Chen&quot;,&quot;given&quot;:&quot;Lin Xing&quot;,&quot;parse-names&quot;:false,&quot;dropping-particle&quot;:&quot;&quot;,&quot;non-dropping-particle&quot;:&quot;&quot;},{&quot;family&quot;:&quot;Devoto&quot;,&quot;given&quot;:&quot;Audra E.&quot;,&quot;parse-names&quot;:false,&quot;dropping-particle&quot;:&quot;&quot;,&quot;non-dropping-particle&quot;:&quot;&quot;},{&quot;family&quot;:&quot;Borges&quot;,&quot;given&quot;:&quot;Adair L.&quot;,&quot;parse-names&quot;:false,&quot;dropping-particle&quot;:&quot;&quot;,&quot;non-dropping-particle&quot;:&quot;&quot;},{&quot;family&quot;:&quot;Bordin&quot;,&quot;given&quot;:&quot;Nicola&quot;,&quot;parse-names&quot;:false,&quot;dropping-particle&quot;:&quot;&quot;,&quot;non-dropping-particle&quot;:&quot;&quot;},{&quot;family&quot;:&quot;Sachdeva&quot;,&quot;given&quot;:&quot;Rohan&quot;,&quot;parse-names&quot;:false,&quot;dropping-particle&quot;:&quot;&quot;,&quot;non-dropping-particle&quot;:&quot;&quot;},{&quot;family&quot;:&quot;Tett&quot;,&quot;given&quot;:&quot;Adrian&quot;,&quot;parse-names&quot;:false,&quot;dropping-particle&quot;:&quot;&quot;,&quot;non-dropping-particle&quot;:&quot;&quot;},{&quot;family&quot;:&quot;Sharrar&quot;,&quot;given&quot;:&quot;Allison M.&quot;,&quot;parse-names&quot;:false,&quot;dropping-particle&quot;:&quot;&quot;,&quot;non-dropping-particle&quot;:&quot;&quot;},{&quot;family&quot;:&quot;Segata&quot;,&quot;given&quot;:&quot;Nicola&quot;,&quot;parse-names&quot;:false,&quot;dropping-particle&quot;:&quot;&quot;,&quot;non-dropping-particle&quot;:&quot;&quot;},{&quot;family&quot;:&quot;Debenedetti&quot;,&quot;given&quot;:&quot;Francesco&quot;,&quot;parse-names&quot;:false,&quot;dropping-particle&quot;:&quot;&quot;,&quot;non-dropping-particle&quot;:&quot;&quot;},{&quot;family&quot;:&quot;Bailey&quot;,&quot;given&quot;:&quot;Mick&quot;,&quot;parse-names&quot;:false,&quot;dropping-particle&quot;:&quot;&quot;,&quot;non-dropping-particle&quot;:&quot;&quot;},{&quot;family&quot;:&quot;Burt&quot;,&quot;given&quot;:&quot;Rachel&quot;,&quot;parse-names&quot;:false,&quot;dropping-particle&quot;:&quot;&quot;,&quot;non-dropping-particle&quot;:&quot;&quot;},{&quot;family&quot;:&quot;Wood&quot;,&quot;given&quot;:&quot;Rhiannon M.&quot;,&quot;parse-names&quot;:false,&quot;dropping-particle&quot;:&quot;&quot;,&quot;non-dropping-particle&quot;:&quot;&quot;},{&quot;family&quot;:&quot;Rowden&quot;,&quot;given&quot;:&quot;Lewis J.&quot;,&quot;parse-names&quot;:false,&quot;dropping-particle&quot;:&quot;&quot;,&quot;non-dropping-particle&quot;:&quot;&quot;},{&quot;family&quot;:&quot;Corsini&quot;,&quot;given&quot;:&quot;Paula M.&quot;,&quot;parse-names&quot;:false,&quot;dropping-particle&quot;:&quot;&quot;,&quot;non-dropping-particle&quot;:&quot;&quot;},{&quot;family&quot;:&quot;Winden&quot;,&quot;given&quot;:&quot;Steven&quot;,&quot;parse-names&quot;:false,&quot;dropping-particle&quot;:&quot;&quot;,&quot;non-dropping-particle&quot;:&quot;van&quot;},{&quot;family&quot;:&quot;Holmes&quot;,&quot;given&quot;:&quot;Mark A.&quot;,&quot;parse-names&quot;:false,&quot;dropping-particle&quot;:&quot;&quot;,&quot;non-dropping-particle&quot;:&quot;&quot;},{&quot;family&quot;:&quot;Lei&quot;,&quot;given&quot;:&quot;Shufei&quot;,&quot;parse-names&quot;:false,&quot;dropping-particle&quot;:&quot;&quot;,&quot;non-dropping-particle&quot;:&quot;&quot;},{&quot;family&quot;:&quot;Banfield&quot;,&quot;given&quot;:&quot;Jillian F.&quot;,&quot;parse-names&quot;:false,&quot;dropping-particle&quot;:&quot;&quot;,&quot;non-dropping-particle&quot;:&quot;&quot;},{&quot;family&quot;:&quot;Santini&quot;,&quot;given&quot;:&quot;Joanne M.&quot;,&quot;parse-names&quot;:false,&quot;dropping-particle&quot;:&quot;&quot;,&quot;non-dropping-particle&quot;:&quot;&quot;}],&quot;container-title&quot;:&quot;iScience&quot;,&quot;DOI&quot;:&quot;10.1016/j.isci.2021.102875&quot;,&quot;ISSN&quot;:&quot;25890042&quot;,&quot;URL&quot;:&quot;https://doi.org/10.1016/j.isci.2021.102875&quot;,&quot;issued&quot;:{&quot;date-parts&quot;:[[2021]]},&quot;page&quot;:&quot;102875&quot;,&quot;abstract&quot;:&quot;Lak phages with alternatively coded ∼540 kbp genomes were recently reported to replicate in Prevotella in microbiomes of humans that consume a non-Western diet, baboons, and pigs. Here, we explore Lak phage diversity and broader distribution using diagnostic polymerase chain reaction and genome-resolved metagenomics. Lak phages were detected in 13 animal types, including reptiles, and are particularly prevalent in pigs. Tracking Lak through the pig gastrointestinal tract revealed significant enrichment in the hindgut compared to the foregut. We reconstructed 34 new Lak genomes, including six curated complete genomes, all of which are alternatively coded. An anomalously large (∼660 kbp) complete genome reconstructed for the most deeply branched Lak from a horse microbiome is also alternatively coded. From the Lak genomes, we identified proteins associated with specific animal species; notably, most have no functional predictions. The presence of closely related Lak phages in diverse animals indicates facile distribution coupled to host-specific adaptation.&quot;,&quot;publisher&quot;:&quot;Elsevier Inc.&quot;,&quot;issue&quot;:&quot;8&quot;,&quot;volume&quot;:&quot;24&quot;,&quot;container-title-short&quot;:&quot;iScience&quot;},&quot;isTemporary&quot;:false}]},{&quot;citationID&quot;:&quot;MENDELEY_CITATION_e71f1c78-57ba-404f-8647-1acf4daecac1&quot;,&quot;properties&quot;:{&quot;noteIndex&quot;:0},&quot;isEdited&quot;:false,&quot;manualOverride&quot;:{&quot;isManuallyOverridden&quot;:false,&quot;citeprocText&quot;:&quot;&lt;sup&gt;269&lt;/sup&gt;&quot;,&quot;manualOverrideText&quot;:&quot;&quot;},&quot;citationTag&quot;:&quot;MENDELEY_CITATION_v3_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&quot;,&quot;citationItems&quot;:[{&quot;id&quot;:&quot;a55b034d-d660-373c-8010-d99cf8891282&quot;,&quot;itemData&quot;:{&quot;type&quot;:&quot;article-journal&quot;,&quot;id&quot;:&quot;a55b034d-d660-373c-8010-d99cf8891282&quot;,&quot;title&quot;:&quot;Nuclear genetic codes with a different meaning of the UAG and the UAA codon&quot;,&quot;author&quot;:[{&quot;family&quot;:&quot;Pánek&quot;,&quot;given&quot;:&quot;Tomáš&quot;,&quot;parse-names&quot;:false,&quot;dropping-particle&quot;:&quot;&quot;,&quot;non-dropping-particle&quot;:&quot;&quot;},{&quot;family&quot;:&quot;Žihala&quot;,&quot;given&quot;:&quot;David&quot;,&quot;parse-names&quot;:false,&quot;dropping-particle&quot;:&quot;&quot;,&quot;non-dropping-particle&quot;:&quot;&quot;},{&quot;family&quot;:&quot;Sokol&quot;,&quot;given&quot;:&quot;Martin&quot;,&quot;parse-names&quot;:false,&quot;dropping-particle&quot;:&quot;&quot;,&quot;non-dropping-particle&quot;:&quot;&quot;},{&quot;family&quot;:&quot;Derelle&quot;,&quot;given&quot;:&quot;Romain&quot;,&quot;parse-names&quot;:false,&quot;dropping-particle&quot;:&quot;&quot;,&quot;non-dropping-particle&quot;:&quot;&quot;},{&quot;family&quot;:&quot;Klimeš&quot;,&quot;given&quot;:&quot;Vladimír&quot;,&quot;parse-names&quot;:false,&quot;dropping-particle&quot;:&quot;&quot;,&quot;non-dropping-particle&quot;:&quot;&quot;},{&quot;family&quot;:&quot;Hradilová&quot;,&quot;given&quot;:&quot;Miluše&quot;,&quot;parse-names&quot;:false,&quot;dropping-particle&quot;:&quot;&quot;,&quot;non-dropping-particle&quot;:&quot;&quot;},{&quot;family&quot;:&quot;Zadrobílková&quot;,&quot;given&quot;:&quot;Eliška&quot;,&quot;parse-names&quot;:false,&quot;dropping-particle&quot;:&quot;&quot;,&quot;non-dropping-particle&quot;:&quot;&quot;},{&quot;family&quot;:&quot;Susko&quot;,&quot;given&quot;:&quot;Edward&quot;,&quot;parse-names&quot;:false,&quot;dropping-particle&quot;:&quot;&quot;,&quot;non-dropping-particle&quot;:&quot;&quot;},{&quot;family&quot;:&quot;Roger&quot;,&quot;given&quot;:&quot;Andrew J.&quot;,&quot;parse-names&quot;:false,&quot;dropping-particle&quot;:&quot;&quot;,&quot;non-dropping-particle&quot;:&quot;&quot;},{&quot;family&quot;:&quot;Čepička&quot;,&quot;given&quot;:&quot;Ivan&quot;,&quot;parse-names&quot;:false,&quot;dropping-particle&quot;:&quot;&quot;,&quot;non-dropping-particle&quot;:&quot;&quot;},{&quot;family&quot;:&quot;Eliáš&quot;,&quot;given&quot;:&quot;Marek&quot;,&quot;parse-names&quot;:false,&quot;dropping-particle&quot;:&quot;&quot;,&quot;non-dropping-particle&quot;:&quot;&quot;}],&quot;container-title&quot;:&quot;BMC Biology&quot;,&quot;DOI&quot;:&quot;10.1186/s12915-017-0353-y&quot;,&quot;ISBN&quot;:&quot;1291501703&quot;,&quot;ISSN&quot;:&quot;17417007&quot;,&quot;PMID&quot;:&quot;28193262&quot;,&quot;issued&quot;:{&quot;date-parts&quot;:[[2017]]},&quot;page&quot;:&quot;1-18&quot;,&quot;abstract&quot;:&quot;Background: Departures from the standard genetic code in eukaryotic nuclear genomes are known for only a handful of lineages and only a few genetic code variants seem to exist outside the ciliates, the most creative group in this regard. Most frequent code modifications entail reassignment of the UAG and UAA codons, with evidence for at least 13 independent cases of a coordinated change in the meaning of both codons. However, no change affecting each of the two codons separately has been documented, suggesting the existence of underlying evolutionary or mechanistic constraints. Results: Here, we present the discovery of two new variants of the nuclear genetic code, in which UAG is translated as an amino acid while UAA is kept as a termination codon (along with UGA). The first variant occurs in an organism noticed in a (meta)transcriptome from the heteropteran Lygus hesperus and demonstrated to be a novel insect-dwelling member of Rhizaria (specifically Sainouroidea). This first documented case of a rhizarian with a non-canonical genetic code employs UAG to encode leucine and represents an unprecedented change among nuclear codon reassignments. The second code variant was found in the recently described anaerobic flagellate Iotanema spirale (Metamonada: Fornicata). Analyses of transcriptomic data revealed that I. spirale uses UAG to encode glutamine, similarly to the most common variant of a non-canonical code known from several unrelated eukaryotic groups, including hexamitin diplomonads (also a lineage of fornicates). However, in these organisms, UAA also encodes glutamine, whereas it is the primary termination codon in I. spirale. Along with phylogenetic evidence for distant relationship of I. spirale and hexamitins, this indicates two independent genetic code changes in fornicates. Conclusions: Our study documents, for the first time, that evolutionary changes of the meaning of UAG and UAA codons in nuclear genomes can be decoupled and that the interpretation of the two codons by the cytoplasmic translation apparatus is mechanistically separable. The latter conclusion has interesting implications for possibilities of genetic code engineering in eukaryotes. We also present a newly developed generally applicable phylogeny-informed method for inferring the meaning of reassigned codons.&quot;,&quot;issue&quot;:&quot;1&quot;,&quot;volume&quot;:&quot;15&quot;,&quot;container-title-short&quot;:&quot;&quot;},&quot;isTemporary&quot;:false}]},{&quot;citationID&quot;:&quot;MENDELEY_CITATION_2e21625c-88ec-4178-8695-bcca2d31729c&quot;,&quot;properties&quot;:{&quot;noteIndex&quot;:0},&quot;isEdited&quot;:false,&quot;manualOverride&quot;:{&quot;isManuallyOverridden&quot;:false,&quot;citeprocText&quot;:&quot;&lt;sup&gt;270&lt;/sup&gt;&quot;,&quot;manualOverrideText&quot;:&quot;&quot;},&quot;citationTag&quot;:&quot;MENDELEY_CITATION_v3_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&quot;,&quot;citationItems&quot;:[{&quot;id&quot;:&quot;289d5a13-62b9-350d-85fa-9362b8f1c6a9&quot;,&quot;itemData&quot;:{&quot;type&quot;:&quot;article-journal&quot;,&quot;id&quot;:&quot;289d5a13-62b9-350d-85fa-9362b8f1c6a9&quot;,&quot;title&quot;:&quot;Infant gut strain persistence is associated with maternal origin, phylogeny, and traits including surface adhesion and iron acquisition&quot;,&quot;author&quot;:[{&quot;family&quot;:&quot;Lou&quot;,&quot;given&quot;:&quot;Yue Clare&quot;,&quot;parse-names&quot;:false,&quot;dropping-particle&quot;:&quot;&quot;,&quot;non-dropping-particle&quot;:&quot;&quot;},{&quot;family&quot;:&quot;Olm&quot;,&quot;given&quot;:&quot;Matthew R.&quot;,&quot;parse-names&quot;:false,&quot;dropping-particle&quot;:&quot;&quot;,&quot;non-dropping-particle&quot;:&quot;&quot;},{&quot;family&quot;:&quot;Diamond&quot;,&quot;given&quot;:&quot;Spencer&quot;,&quot;parse-names&quot;:false,&quot;dropping-particle&quot;:&quot;&quot;,&quot;non-dropping-particle&quot;:&quot;&quot;},{&quot;family&quot;:&quot;Crits-Christoph&quot;,&quot;given&quot;:&quot;Alexander&quot;,&quot;parse-names&quot;:false,&quot;dropping-particle&quot;:&quot;&quot;,&quot;non-dropping-particle&quot;:&quot;&quot;},{&quot;family&quot;:&quot;Firek&quot;,&quot;given&quot;:&quot;Brian A.&quot;,&quot;parse-names&quot;:false,&quot;dropping-particle&quot;:&quot;&quot;,&quot;non-dropping-particle&quot;:&quot;&quot;},{&quot;family&quot;:&quot;Baker&quot;,&quot;given&quot;:&quot;Robyn&quot;,&quot;parse-names&quot;:false,&quot;dropping-particle&quot;:&quot;&quot;,&quot;non-dropping-particle&quot;:&quot;&quot;},{&quot;family&quot;:&quot;Morowitz&quot;,&quot;given&quot;:&quot;Michael J.&quot;,&quot;parse-names&quot;:false,&quot;dropping-particle&quot;:&quot;&quot;,&quot;non-dropping-particle&quot;:&quot;&quot;},{&quot;family&quot;:&quot;Banfield&quot;,&quot;given&quot;:&quot;Jillian F.&quot;,&quot;parse-names&quot;:false,&quot;dropping-particle&quot;:&quot;&quot;,&quot;non-dropping-particle&quot;:&quot;&quot;}],&quot;container-title&quot;:&quot;Cell Reports Medicine&quot;,&quot;DOI&quot;:&quot;10.1016/j.xcrm.2021.100393&quot;,&quot;ISSN&quot;:&quot;26663791&quot;,&quot;URL&quot;:&quot;https://doi.org/10.1016/j.xcrm.2021.100393&quot;,&quot;issued&quot;:{&quot;date-parts&quot;:[[2021]]},&quot;page&quot;:&quot;100393&quot;,&quot;abstract&quot;:&quot;Gut microbiome succession affects infant development. However, it remains unclear what factors promote persistence of initial bacterial colonizers in the developing gut. Here, we perform strain-resolved analyses to compare gut colonization of preterm and full-term infants throughout the first year of life and evaluate associations between strain persistence and strain origin as well as genetic potential. Analysis of fecal metagenomes collected from 13 full-term and 9 preterm infants reveals that infants’ initially distinct microbiomes converge by age 1 year. Approximately 11% of early colonizers, primarily Bacteroides and Bifidobacterium, persist during the first year of life, and those are more prevalent in full-term, compared with preterm infants. Examination of 17 mother-infant pairs reveals maternal gut strains are significantly more likely to persist in the infant gut than other strains. Enrichment in genes for surface adhesion, iron acquisition, and carbohydrate degradation may explain persistence of some strains through the first year of life.&quot;,&quot;publisher&quot;:&quot;ElsevierCompany.&quot;,&quot;issue&quot;:&quot;9&quot;,&quot;volume&quot;:&quot;2&quot;,&quot;container-title-short&quot;:&quot;&quot;},&quot;isTemporary&quot;:false}]},{&quot;citationID&quot;:&quot;MENDELEY_CITATION_92509fb0-9cc1-4a4e-9413-16812fe482f3&quot;,&quot;properties&quot;:{&quot;noteIndex&quot;:0},&quot;isEdited&quot;:false,&quot;manualOverride&quot;:{&quot;isManuallyOverridden&quot;:false,&quot;citeprocText&quot;:&quot;&lt;sup&gt;251&lt;/sup&gt;&quot;,&quot;manualOverrideText&quot;:&quot;&quot;},&quot;citationTag&quot;:&quot;MENDELEY_CITATION_v3_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&quot;,&quot;citationItems&quot;:[{&quot;id&quot;:&quot;63a645b2-3948-34b5-b633-7b4af7742194&quot;,&quot;itemData&quot;:{&quot;type&quot;:&quot;article-journal&quot;,&quot;id&quot;:&quot;63a645b2-3948-34b5-b633-7b4af7742194&quot;,&quot;title&quot;:&quot;Development of an enhanced metaproteomic approach for deepening the microbiome characterization of the human infant gut&quot;,&quot;author&quot;:[{&quot;family&quot;:&quot;Xiong&quot;,&quot;given&quot;:&quot;Weili&quot;,&quot;parse-names&quot;:false,&quot;dropping-particle&quot;:&quot;&quot;,&quot;non-dropping-particle&quot;:&quot;&quot;},{&quot;family&quot;:&quot;Giannone&quot;,&quot;given&quot;:&quot;Richard J.&quot;,&quot;parse-names&quot;:false,&quot;dropping-particle&quot;:&quot;&quot;,&quot;non-dropping-particle&quot;:&quot;&quot;},{&quot;family&quot;:&quot;Morowitz&quot;,&quot;given&quot;:&quot;Michael J.&quot;,&quot;parse-names&quot;:false,&quot;dropping-particle&quot;:&quot;&quot;,&quot;non-dropping-particle&quot;:&quot;&quot;},{&quot;family&quot;:&quot;Banfield&quot;,&quot;given&quot;:&quot;Jillian F.&quot;,&quot;parse-names&quot;:false,&quot;dropping-particle&quot;:&quot;&quot;,&quot;non-dropping-particle&quot;:&quot;&quot;},{&quot;family&quot;:&quot;Hettich&quot;,&quot;given&quot;:&quot;Robert L.&quot;,&quot;parse-names&quot;:false,&quot;dropping-particle&quot;:&quot;&quot;,&quot;non-dropping-particle&quot;:&quot;&quot;}],&quot;container-title&quot;:&quot;Journal of Proteome Research&quot;,&quot;DOI&quot;:&quot;10.1021/pr500936p&quot;,&quot;ISBN&quot;:&quot;1535-3907 (Electronic)\\r1535-3893 (Linking)&quot;,&quot;ISSN&quot;:&quot;15353907&quot;,&quot;PMID&quot;:&quot;25350865&quot;,&quot;issued&quot;:{&quot;date-parts&quot;:[[2015]]},&quot;page&quot;:&quot;133-141&quot;,&quot;abstract&quot;:&quot;The establishment of early life microbiota in the human infant gut is highly variable and plays a crucial role in host nutrient availability/uptake and maturation of immunity. Although high-performance mass spectrometry (MS)-based metaproteomics is a powerful method for the functional characterization of complex microbial communities, the acquisition of comprehensive metaproteomic information in human fecal samples is inhibited by the presence of abundant human proteins. To alleviate this restriction, we have designed a novel metaproteomic strategy based on double filtering (DF) the raw samples, a method that fractionates microbial from human cells to enhance microbial protein identification and characterization in complex fecal samples from healthy premature infants. This method dramatically improved the overall depth of infant gut proteome measurement, with an increase in the number of identified low-abundance proteins and a greater than 2-fold improvement in microbial protein identification and quantification. This enhancement of proteome measurement depth enabled a more extensive microbiome comparison between infants by not only increasing the confidence of identified microbial functional categories but also revealing previously undetected categories.&quot;,&quot;issue&quot;:&quot;1&quot;,&quot;volume&quot;:&quot;14&quot;,&quot;container-title-short&quot;:&quot;&quot;},&quot;isTemporary&quot;:false}]},{&quot;citationID&quot;:&quot;MENDELEY_CITATION_71ccd261-4360-41dd-94e8-a7ffd748c810&quot;,&quot;properties&quot;:{&quot;noteIndex&quot;:0},&quot;isEdited&quot;:false,&quot;manualOverride&quot;:{&quot;isManuallyOverridden&quot;:false,&quot;citeprocText&quot;:&quot;&lt;sup&gt;258&lt;/sup&gt;&quot;,&quot;manualOverrideText&quot;:&quot;&quot;},&quot;citationTag&quot;:&quot;MENDELEY_CITATION_v3_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&quot;,&quot;citationItems&quot;:[{&quot;id&quot;:&quot;62a9f6a9-cad0-3eb3-9660-a629e9b2dec0&quot;,&quot;itemData&quot;:{&quot;type&quot;:&quot;article-journal&quot;,&quot;id&quot;:&quot;62a9f6a9-cad0-3eb3-9660-a629e9b2dec0&quot;,&quot;title&quot;:&quot;Bacteriophages of the Human Gut: The “Known Unknown” of the Microbiome&quot;,&quot;author&quot;:[{&quot;family&quot;:&quot;Shkoporov&quot;,&quot;given&quot;:&quot;Andrey N.&quot;,&quot;parse-names&quot;:false,&quot;dropping-particle&quot;:&quot;&quot;,&quot;non-dropping-particle&quot;:&quot;&quot;},{&quot;family&quot;:&quot;Hill&quot;,&quot;given&quot;:&quot;Colin&quot;,&quot;parse-names&quot;:false,&quot;dropping-particle&quot;:&quot;&quot;,&quot;non-dropping-particle&quot;:&quot;&quot;}],&quot;container-title&quot;:&quot;Cell Host and Microbe&quot;,&quot;DOI&quot;:&quot;10.1016/j.chom.2019.01.017&quot;,&quot;ISSN&quot;:&quot;19346069&quot;,&quot;URL&quot;:&quot;https://doi.org/10.1016/j.chom.2019.01.017&quot;,&quot;issued&quot;:{&quot;date-parts&quot;:[[2019]]},&quot;page&quot;:&quot;195-209&quot;,&quot;abstract&quot;:&quot;Shkoporov and Hill review our current understanding of and the available methods for studying the taxonomic composition, community structure, and population dynamics of human gut-associated bacteriophage populations (phageome). They also discuss the main challenges in the field and identify avenues for future research.&quot;,&quot;publisher&quot;:&quot;Elsevier Inc.&quot;,&quot;issue&quot;:&quot;2&quot;,&quot;volume&quot;:&quot;25&quot;,&quot;container-title-short&quot;:&quot;&quot;},&quot;isTemporary&quot;:false}]},{&quot;citationID&quot;:&quot;MENDELEY_CITATION_3de97e15-8aea-4adc-885c-c036ee2877d1&quot;,&quot;properties&quot;:{&quot;noteIndex&quot;:0},&quot;isEdited&quot;:false,&quot;manualOverride&quot;:{&quot;isManuallyOverridden&quot;:false,&quot;citeprocText&quot;:&quot;&lt;sup&gt;261&lt;/sup&gt;&quot;,&quot;manualOverrideText&quot;:&quot;&quot;},&quot;citationTag&quot;:&quot;MENDELEY_CITATION_v3_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&quot;,&quot;citationItems&quot;:[{&quot;id&quot;:&quot;b0713af3-9064-31c9-bb06-568385f9f6a1&quot;,&quot;itemData&quot;:{&quot;type&quot;:&quot;article-journal&quot;,&quot;id&quot;:&quot;b0713af3-9064-31c9-bb06-568385f9f6a1&quot;,&quot;title&quot;:&quot;Stop codon reassignments in the wild&quot;,&quot;author&quot;:[{&quot;family&quot;:&quot;Ivanova&quot;,&quot;given&quot;:&quot;Natalia N.&quot;,&quot;parse-names&quot;:false,&quot;dropping-particle&quot;:&quot;&quot;,&quot;non-dropping-particle&quot;:&quot;&quot;},{&quot;family&quot;:&quot;Schwientek&quot;,&quot;given&quot;:&quot;Patrick&quot;,&quot;parse-names&quot;:false,&quot;dropping-particle&quot;:&quot;&quot;,&quot;non-dropping-particle&quot;:&quot;&quot;},{&quot;family&quot;:&quot;Tripp&quot;,&quot;given&quot;:&quot;H. James&quot;,&quot;parse-names&quot;:false,&quot;dropping-particle&quot;:&quot;&quot;,&quot;non-dropping-particle&quot;:&quot;&quot;},{&quot;family&quot;:&quot;Rinke&quot;,&quot;given&quot;:&quot;Christian&quot;,&quot;parse-names&quot;:false,&quot;dropping-particle&quot;:&quot;&quot;,&quot;non-dropping-particle&quot;:&quot;&quot;},{&quot;family&quot;:&quot;Pati&quot;,&quot;given&quot;:&quot;Amrita&quot;,&quot;parse-names&quot;:false,&quot;dropping-particle&quot;:&quot;&quot;,&quot;non-dropping-particle&quot;:&quot;&quot;},{&quot;family&quot;:&quot;Huntemann&quot;,&quot;given&quot;:&quot;Marcel&quot;,&quot;parse-names&quot;:false,&quot;dropping-particle&quot;:&quot;&quot;,&quot;non-dropping-particle&quot;:&quot;&quot;},{&quot;family&quot;:&quot;Visel&quot;,&quot;given&quot;:&quot;Axel&quot;,&quot;parse-names&quot;:false,&quot;dropping-particle&quot;:&quot;&quot;,&quot;non-dropping-particle&quot;:&quot;&quot;},{&quot;family&quot;:&quot;Woyke&quot;,&quot;given&quot;:&quot;Tanja&quot;,&quot;parse-names&quot;:false,&quot;dropping-particle&quot;:&quot;&quot;,&quot;non-dropping-particle&quot;:&quot;&quot;},{&quot;family&quot;:&quot;Kyrpides&quot;,&quot;given&quot;:&quot;Nikos C.&quot;,&quot;parse-names&quot;:false,&quot;dropping-particle&quot;:&quot;&quot;,&quot;non-dropping-particle&quot;:&quot;&quot;},{&quot;family&quot;:&quot;Rubin&quot;,&quot;given&quot;:&quot;Edward M.&quot;,&quot;parse-names&quot;:false,&quot;dropping-particle&quot;:&quot;&quot;,&quot;non-dropping-particle&quot;:&quot;&quot;}],&quot;container-title&quot;:&quot;Science&quot;,&quot;DOI&quot;:&quot;10.1126/science.1250691&quot;,&quot;ISSN&quot;:&quot;10959203&quot;,&quot;PMID&quot;:&quot;24855270&quot;,&quot;issued&quot;:{&quot;date-parts&quot;:[[2014]]},&quot;page&quot;:&quot;909-913&quot;,&quot;abstract&quot;:&quot;The canonical genetic code is assumed to be deeply conserved across all domains of life with very few exceptions. By scanning 5.6 trillion base pairs of metagenomic data for stop codon reassignment events, we detected recoding in a substantial fraction of the &gt;1700 environmental samples examined. We observed extensive opal and amber stop codon reassignments in bacteriophages and of opal in bacteria. Our data indicate that bacteriophages can infect hosts with a different genetic code and demonstrate phage-host antagonism based on code differences. The abundance and diversity of genetic codes present in environmental organisms should be considered in the design of engineered organisms with altered genetic codes in order to preclude the exchange of genetic information with naturally occurring species.&quot;,&quot;issue&quot;:&quot;6186&quot;,&quot;volume&quot;:&quot;344&quot;,&quot;container-title-short&quot;:&quot;Science (1979)&quot;},&quot;isTemporary&quot;:false}]},{&quot;citationID&quot;:&quot;MENDELEY_CITATION_72ed7191-b201-4546-8e47-ff68ec88ccc3&quot;,&quot;properties&quot;:{&quot;noteIndex&quot;:0},&quot;isEdited&quot;:false,&quot;manualOverride&quot;:{&quot;isManuallyOverridden&quot;:false,&quot;citeprocText&quot;:&quot;&lt;sup&gt;115,271,272&lt;/sup&gt;&quot;,&quot;manualOverrideText&quot;:&quot;&quot;},&quot;citationTag&quot;:&quot;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&quot;,&quot;citationItems&quot;:[{&quot;id&quot;:&quot;6218121b-3078-3bd7-bdf2-031a96b81a20&quot;,&quot;itemData&quot;:{&quot;type&quot;:&quot;article-journal&quot;,&quot;id&quot;:&quot;6218121b-3078-3bd7-bdf2-031a96b81a20&quot;,&quot;title&quot;:&quot;Interactions between Humic Substances and Microorganisms and&quot;,&quot;author&quot;:[{&quot;family&quot;:&quot;Kulikova&quot;,&quot;given&quot;:&quot;Natalia A.&quot;,&quot;parse-names&quot;:false,&quot;dropping-particle&quot;:&quot;&quot;,&quot;non-dropping-particle&quot;:&quot;&quot;}],&quot;container-title&quot;:&quot;Molecules&quot;,&quot;issued&quot;:{&quot;date-parts&quot;:[[2021]]},&quot;page&quot;:&quot;1-32&quot;,&quot;abstract&quot;:&quot;The state of the art of the reported data on interactions between microorganisms and HSs is presented herein. The properties of HSs are discussed in terms of microbial utilization, degradation, and transformation. The data on biologically active individual compounds found in HSs are summarized. Bacteria of the phylum Proteobacteria and fungi of the phyla Basidiomycota and Ascomycota were found to be the mainHS degraders, while Proteobacteria, Actinobacteria, Bacteroidetes, and Firmicutes were found to be the predominant phyla in humic-reducing microorganisms (HRMs). Some promising aspects of interactions between microorganisms and HSs are discussed as a feasible basis for nature-like biotechnologies, including the production of enzymes capable of catalyzing the oxidative binding of organic pollutants to HSs, while electron shuttling through the utilization of HSs by HRMs as electron shuttles may be used for the enhancement of organic pollutant biodegradation or lowering bioavailability of some metals. Utilization of HSs by HRMs as terminal electron acceptors may suppress electron transfer to CO2, reducing the formation of CH4 in temporarily anoxic systems. The data reported so far are mostly related to the use of HSs as redox compounds. HSs are capable of altering the composition of the microbial community, and there are environmental conditions that determine the efficiency of HSs. To facilitate the development of HS-based technologies, complex studies addressing these factors are in demand.&quot;,&quot;issue&quot;:&quot;2706&quot;,&quot;volume&quot;:&quot;26&quot;,&quot;container-title-short&quot;:&quot;&quot;},&quot;isTemporary&quot;:false},{&quot;id&quot;:&quot;d0347c87-600d-3a95-a787-320e7df86feb&quot;,&quot;itemData&quot;:{&quot;type&quot;:&quot;article-journal&quot;,&quot;id&quot;:&quot;d0347c87-600d-3a95-a787-320e7df86feb&quot;,&quot;title&quot;:&quot;The Human Gut Virome Is Highly Diverse, Stable, and Individual Specific&quot;,&quot;author&quot;:[{&quot;family&quot;:&quot;Shkoporov&quot;,&quot;given&quot;:&quot;Andrey N.&quot;,&quot;parse-names&quot;:false,&quot;dropping-particle&quot;:&quot;&quot;,&quot;non-dropping-particle&quot;:&quot;&quot;},{&quot;family&quot;:&quot;Clooney&quot;,&quot;given&quot;:&quot;Adam G.&quot;,&quot;parse-names&quot;:false,&quot;dropping-particle&quot;:&quot;&quot;,&quot;non-dropping-particle&quot;:&quot;&quot;},{&quot;family&quot;:&quot;Sutton&quot;,&quot;given&quot;:&quot;Thomas D.S.&quot;,&quot;parse-names&quot;:false,&quot;dropping-particle&quot;:&quot;&quot;,&quot;non-dropping-particle&quot;:&quot;&quot;},{&quot;family&quot;:&quot;Ryan&quot;,&quot;given&quot;:&quot;Feargal J.&quot;,&quot;parse-names&quot;:false,&quot;dropping-particle&quot;:&quot;&quot;,&quot;non-dropping-particle&quot;:&quot;&quot;},{&quot;family&quot;:&quot;Daly&quot;,&quot;given&quot;:&quot;Karen M.&quot;,&quot;parse-names&quot;:false,&quot;dropping-particle&quot;:&quot;&quot;,&quot;non-dropping-particle&quot;:&quot;&quot;},{&quot;family&quot;:&quot;Nolan&quot;,&quot;given&quot;:&quot;James A.&quot;,&quot;parse-names&quot;:false,&quot;dropping-particle&quot;:&quot;&quot;,&quot;non-dropping-particle&quot;:&quot;&quot;},{&quot;family&quot;:&quot;McDonnell&quot;,&quot;given&quot;:&quot;Siobhan A.&quot;,&quot;parse-names&quot;:false,&quot;dropping-particle&quot;:&quot;&quot;,&quot;non-dropping-particle&quot;:&quot;&quot;},{&quot;family&quot;:&quot;Khokhlova&quot;,&quot;given&quot;:&quot;Ekaterina&quot;,&quot;parse-names&quot;:false,&quot;dropping-particle&quot;:&quot;v.&quot;,&quot;non-dropping-particle&quot;:&quot;&quot;},{&quot;family&quot;:&quot;Draper&quot;,&quot;given&quot;:&quot;Lorraine A.&quot;,&quot;parse-names&quot;:false,&quot;dropping-particle&quot;:&quot;&quot;,&quot;non-dropping-particle&quot;:&quot;&quot;},{&quot;family&quot;:&quot;Forde&quot;,&quot;given&quot;:&quot;Amanda&quot;,&quot;parse-names&quot;:false,&quot;dropping-particle&quot;:&quot;&quot;,&quot;non-dropping-particle&quot;:&quot;&quot;},{&quot;family&quot;:&quot;Guerin&quot;,&quot;given&quot;:&quot;Emma&quot;,&quot;parse-names&quot;:false,&quot;dropping-particle&quot;:&quot;&quot;,&quot;non-dropping-particle&quot;:&quot;&quot;},{&quot;family&quot;:&quot;Velayudhan&quot;,&quot;given&quot;:&quot;Vimalkumar&quot;,&quot;parse-names&quot;:false,&quot;dropping-particle&quot;:&quot;&quot;,&quot;non-dropping-particle&quot;:&quot;&quot;},{&quot;family&quot;:&quot;Ross&quot;,&quot;given&quot;:&quot;R. Paul&quot;,&quot;parse-names&quot;:false,&quot;dropping-particle&quot;:&quot;&quot;,&quot;non-dropping-particle&quot;:&quot;&quot;},{&quot;family&quot;:&quot;Hill&quot;,&quot;given&quot;:&quot;Colin&quot;,&quot;parse-names&quot;:false,&quot;dropping-particle&quot;:&quot;&quot;,&quot;non-dropping-particle&quot;:&quot;&quot;}],&quot;container-title&quot;:&quot;Cell Host and Microbe&quot;,&quot;DOI&quot;:&quot;10.1016/j.chom.2019.09.009&quot;,&quot;ISSN&quot;:&quot;19346069&quot;,&quot;PMID&quot;:&quot;31600503&quot;,&quot;URL&quot;:&quot;https://doi.org/10.1016/j.chom.2019.09.009&quot;,&quot;issued&quot;:{&quot;date-parts&quot;:[[2019]]},&quot;page&quot;:&quot;527-541.e5&quot;,&quot;abstract&quot;:&quot;Shkoporov et al. demonstrate high individual specificity and temporal stability of the human gut virome. They describe a numerically prevalent and persisting fraction of the viral community, termed persistent personal virome (PPV). The PPV consists mainly of virulent bacteriophages predicted to target major taxonomic groups of gut bacteria.&quot;,&quot;publisher&quot;:&quot;Elsevier Inc.&quot;,&quot;issue&quot;:&quot;4&quot;,&quot;volume&quot;:&quot;26&quot;,&quot;container-title-short&quot;:&quot;&quot;},&quot;isTemporary&quot;:false},{&quot;id&quot;:&quot;8a2465a3-7411-39e5-8467-5d244aa0b5d2&quot;,&quot;itemData&quot;:{&quot;type&quot;:&quot;article-journal&quot;,&quot;id&quot;:&quot;8a2465a3-7411-39e5-8467-5d244aa0b5d2&quot;,&quot;title&quot;:&quot;Shared and distinct features of human milk and infant stool viromes&quot;,&quot;author&quot;:[{&quot;family&quot;:&quot;Pannaraj&quot;,&quot;given&quot;:&quot;Pia S.&quot;,&quot;parse-names&quot;:false,&quot;dropping-particle&quot;:&quot;&quot;,&quot;non-dropping-particle&quot;:&quot;&quot;},{&quot;family&quot;:&quot;Ly&quot;,&quot;given&quot;:&quot;Melissa&quot;,&quot;parse-names&quot;:false,&quot;dropping-particle&quot;:&quot;&quot;,&quot;non-dropping-particle&quot;:&quot;&quot;},{&quot;family&quot;:&quot;Cerini&quot;,&quot;given&quot;:&quot;Chiara&quot;,&quot;parse-names&quot;:false,&quot;dropping-particle&quot;:&quot;&quot;,&quot;non-dropping-particle&quot;:&quot;&quot;},{&quot;family&quot;:&quot;Saavedra&quot;,&quot;given&quot;:&quot;Monica&quot;,&quot;parse-names&quot;:false,&quot;dropping-particle&quot;:&quot;&quot;,&quot;non-dropping-particle&quot;:&quot;&quot;},{&quot;family&quot;:&quot;Aldrovandi&quot;,&quot;given&quot;:&quot;Grace M.&quot;,&quot;parse-names&quot;:false,&quot;dropping-particle&quot;:&quot;&quot;,&quot;non-dropping-particle&quot;:&quot;&quot;},{&quot;family&quot;:&quot;Saboory&quot;,&quot;given&quot;:&quot;Abdul A.&quot;,&quot;parse-names&quot;:false,&quot;dropping-particle&quot;:&quot;&quot;,&quot;non-dropping-particle&quot;:&quot;&quot;},{&quot;family&quot;:&quot;Johnson&quot;,&quot;given&quot;:&quot;Kevin M.&quot;,&quot;parse-names&quot;:false,&quot;dropping-particle&quot;:&quot;&quot;,&quot;non-dropping-particle&quot;:&quot;&quot;},{&quot;family&quot;:&quot;Pride&quot;,&quot;given&quot;:&quot;David T.&quot;,&quot;parse-names&quot;:false,&quot;dropping-particle&quot;:&quot;&quot;,&quot;non-dropping-particle&quot;:&quot;&quot;}],&quot;container-title&quot;:&quot;Frontiers in Microbiology&quot;,&quot;DOI&quot;:&quot;10.3389/fmicb.2018.01162&quot;,&quot;ISSN&quot;:&quot;1664302X&quot;,&quot;issued&quot;:{&quot;date-parts&quot;:[[2018]]},&quot;page&quot;:&quot;1-13&quot;,&quot;abstract&quot;:&quot;Infants acquire many of their microbes from their mothers during the birth process. The acquisition of these microbes is believed to be critical in the development of the infant immune system. Bacteria also are transmitted to the infant through breastfeeding, and help to form the microbiome of the infant gastrointestinal (GI) tract; it is unknown whether viruses in human milk serve to establish an infant GI virome. We examined the virome contents of milk and infant stool in a cohort of mother-infant pairs to discern whether milk viruses colonize the infant GI tract. We observed greater viral alpha diversity in milk than in infant stool, similar to the trend we found for bacterial communities from both sites. When comparing beta diversity, viral communities were mostly distinguishable between milk and infant stool, but each was quite distinct from adult stool, urine, and salivary viromes. There were significant differences in viral families in the infant stool (abundant bacteriophages from the family Siphoviridae) compared to milk (abundant bacteriophages from the family Myoviridae), which may reflect significant differences in the bacterial families identified from both sites. Despite the differences in viral taxonomy, we identified a significant number of shared viruses in the milk and stool from all mother-infant pairs. Because of the significant proportion of bacteriophages transmitted in these mother-infant pairs, we believe the transmission of milk phages to the infant GI tract may help to shape the infant GI microbiome.&quot;,&quot;issue&quot;:&quot;JUN&quot;,&quot;volume&quot;:&quot;9&quot;,&quot;container-title-short&quot;:&quot;&quot;},&quot;isTemporary&quot;:false}]},{&quot;citationID&quot;:&quot;MENDELEY_CITATION_8fe821de-1ca2-4720-b973-841684e47f60&quot;,&quot;properties&quot;:{&quot;noteIndex&quot;:0},&quot;isEdited&quot;:false,&quot;manualOverride&quot;:{&quot;isManuallyOverridden&quot;:false,&quot;citeprocText&quot;:&quot;&lt;sup&gt;257&lt;/sup&gt;&quot;,&quot;manualOverrideText&quot;:&quot;&quot;},&quot;citationTag&quot;:&quot;MENDELEY_CITATION_v3_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&quot;,&quot;citationItems&quot;:[{&quot;id&quot;:&quot;c25a5324-36c2-3ae6-a235-0fbb27481737&quot;,&quot;itemData&quot;:{&quot;type&quot;:&quot;article-journal&quot;,&quot;id&quot;:&quot;c25a5324-36c2-3ae6-a235-0fbb27481737&quot;,&quot;title&quot;:&quot;Megaphages infect Prevotella and variants are widespread in gut microbiomes&quot;,&quot;author&quot;:[{&quot;family&quot;:&quot;Devoto&quot;,&quot;given&quot;:&quot;Audra E.&quot;,&quot;parse-names&quot;:false,&quot;dropping-particle&quot;:&quot;&quot;,&quot;non-dropping-particle&quot;:&quot;&quot;},{&quot;family&quot;:&quot;Santini&quot;,&quot;given&quot;:&quot;Joanne M.&quot;,&quot;parse-names&quot;:false,&quot;dropping-particle&quot;:&quot;&quot;,&quot;non-dropping-particle&quot;:&quot;&quot;},{&quot;family&quot;:&quot;Olm&quot;,&quot;given&quot;:&quot;Matthew R.&quot;,&quot;parse-names&quot;:false,&quot;dropping-particle&quot;:&quot;&quot;,&quot;non-dropping-particle&quot;:&quot;&quot;},{&quot;family&quot;:&quot;Anantharaman&quot;,&quot;given&quot;:&quot;Karthik&quot;,&quot;parse-names&quot;:false,&quot;dropping-particle&quot;:&quot;&quot;,&quot;non-dropping-particle&quot;:&quot;&quot;},{&quot;family&quot;:&quot;Munk&quot;,&quot;given&quot;:&quot;Patrick&quot;,&quot;parse-names&quot;:false,&quot;dropping-particle&quot;:&quot;&quot;,&quot;non-dropping-particle&quot;:&quot;&quot;},{&quot;family&quot;:&quot;Tung&quot;,&quot;given&quot;:&quot;Jenny&quot;,&quot;parse-names&quot;:false,&quot;dropping-particle&quot;:&quot;&quot;,&quot;non-dropping-particle&quot;:&quot;&quot;},{&quot;family&quot;:&quot;Archie&quot;,&quot;given&quot;:&quot;Elizabeth A.&quot;,&quot;parse-names&quot;:false,&quot;dropping-particle&quot;:&quot;&quot;,&quot;non-dropping-particle&quot;:&quot;&quot;},{&quot;family&quot;:&quot;Turnbaugh&quot;,&quot;given&quot;:&quot;Peter J.&quot;,&quot;parse-names&quot;:false,&quot;dropping-particle&quot;:&quot;&quot;,&quot;non-dropping-particle&quot;:&quot;&quot;},{&quot;family&quot;:&quot;Seed&quot;,&quot;given&quot;:&quot;Kimberley D.&quot;,&quot;parse-names&quot;:false,&quot;dropping-particle&quot;:&quot;&quot;,&quot;non-dropping-particle&quot;:&quot;&quot;},{&quot;family&quot;:&quot;Blekhman&quot;,&quot;given&quot;:&quot;Ran&quot;,&quot;parse-names&quot;:false,&quot;dropping-particle&quot;:&quot;&quot;,&quot;non-dropping-particle&quot;:&quot;&quot;},{&quot;family&quot;:&quot;Aarestrup&quot;,&quot;given&quot;:&quot;Frank M.&quot;,&quot;parse-names&quot;:false,&quot;dropping-particle&quot;:&quot;&quot;,&quot;non-dropping-particle&quot;:&quot;&quot;},{&quot;family&quot;:&quot;Thomas&quot;,&quot;given&quot;:&quot;Brian C.&quot;,&quot;parse-names&quot;:false,&quot;dropping-particle&quot;:&quot;&quot;,&quot;non-dropping-particle&quot;:&quot;&quot;},{&quot;family&quot;:&quot;Banfield&quot;,&quot;given&quot;:&quot;Jillian F.&quot;,&quot;parse-names&quot;:false,&quot;dropping-particle&quot;:&quot;&quot;,&quot;non-dropping-particle&quot;:&quot;&quot;}],&quot;container-title&quot;:&quot;Nature Microbiology&quot;,&quot;DOI&quot;:&quot;10.1038/s41564-018-0338-9&quot;,&quot;ISSN&quot;:&quot;20585276&quot;,&quot;URL&quot;:&quot;http://dx.doi.org/10.1038/s41564-018-0338-9&quot;,&quot;issued&quot;:{&quot;date-parts&quot;:[[2019]]},&quot;page&quot;:&quot;693-700&quot;,&quot;abstract&quot;:&quot;Bacteriophages (phages) dramatically shape microbial community composition, redistribute nutrients via host lysis and drive evolution through horizontal gene transfer. Despite their importance, much remains to be learned about phages in the human microbiome. We investigated the gut microbiomes of humans from Bangladesh and Tanzania, two African baboon social groups and Danish pigs; many of these microbiomes contain phages belonging to a clade with genomes &gt;540 kilobases in length, the largest yet reported in the human microbiome and close to the maximum size ever reported for phages. We refer to these as Lak phages. CRISPR spacer targeting indicates that Lak phages infect bacteria of the genus Prevotella. We manually curated to completion 15 distinct Lak phage genomes recovered from metagenomes. The genomes display several interesting features, including use of an alternative genetic code, large intergenic regions that are highly expressed and up to 35 putative transfer RNAs, some of which contain enigmatic introns. Different individuals have distinct phage genotypes, and shifts in variant frequencies over consecutive sampling days reflect changes in the relative abundance of phage subpopulations. Recent homologous recombination has resulted in extensive genome admixture of nine baboon Lak phage populations. We infer that Lak phages are widespread in gut communities that contain the Prevotella species, and conclude that megaphages, with fascinating and underexplored biology, may be common but largely overlooked components of human and animal gut microbiomes.&quot;,&quot;publisher&quot;:&quot;Springer US&quot;,&quot;issue&quot;:&quot;4&quot;,&quot;volume&quot;:&quot;4&quot;,&quot;container-title-short&quot;:&quot;&quot;},&quot;isTemporary&quot;:false}]},{&quot;citationID&quot;:&quot;MENDELEY_CITATION_00de3f78-aaa0-48ec-a76d-7b4e21bbe883&quot;,&quot;properties&quot;:{&quot;noteIndex&quot;:0},&quot;isEdited&quot;:false,&quot;manualOverride&quot;:{&quot;isManuallyOverridden&quot;:false,&quot;citeprocText&quot;:&quot;&lt;sup&gt;273&lt;/sup&gt;&quot;,&quot;manualOverrideText&quot;:&quot;&quot;},&quot;citationTag&quot;:&quot;MENDELEY_CITATION_v3_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&quot;,&quot;citationItems&quot;:[{&quot;id&quot;:&quot;733fd46e-4b1c-37f4-aebd-f4f0eb03068b&quot;,&quot;itemData&quot;:{&quot;type&quot;:&quot;article-journal&quot;,&quot;id&quot;:&quot;733fd46e-4b1c-37f4-aebd-f4f0eb03068b&quot;,&quot;title&quot;:&quot;A simple and efficient method for concentration of ocean viruses by chemical flocculation&quot;,&quot;author&quot;:[{&quot;family&quot;:&quot;John&quot;,&quot;given&quot;:&quot;Seth G.&quot;,&quot;parse-names&quot;:false,&quot;dropping-particle&quot;:&quot;&quot;,&quot;non-dropping-particle&quot;:&quot;&quot;},{&quot;family&quot;:&quot;Mendez&quot;,&quot;given&quot;:&quot;Carolina B.&quot;,&quot;parse-names&quot;:false,&quot;dropping-particle&quot;:&quot;&quot;,&quot;non-dropping-particle&quot;:&quot;&quot;},{&quot;family&quot;:&quot;Deng&quot;,&quot;given&quot;:&quot;Li&quot;,&quot;parse-names&quot;:false,&quot;dropping-particle&quot;:&quot;&quot;,&quot;non-dropping-particle&quot;:&quot;&quot;},{&quot;family&quot;:&quot;Poulos&quot;,&quot;given&quot;:&quot;Bonnie&quot;,&quot;parse-names&quot;:false,&quot;dropping-particle&quot;:&quot;&quot;,&quot;non-dropping-particle&quot;:&quot;&quot;},{&quot;family&quot;:&quot;Kauffman&quot;,&quot;given&quot;:&quot;Anne Kathryn M.&quot;,&quot;parse-names&quot;:false,&quot;dropping-particle&quot;:&quot;&quot;,&quot;non-dropping-particle&quot;:&quot;&quot;},{&quot;family&quot;:&quot;Kern&quot;,&quot;given&quot;:&quot;Suzanne&quot;,&quot;parse-names&quot;:false,&quot;dropping-particle&quot;:&quot;&quot;,&quot;non-dropping-particle&quot;:&quot;&quot;},{&quot;family&quot;:&quot;Brum&quot;,&quot;given&quot;:&quot;Jennifer&quot;,&quot;parse-names&quot;:false,&quot;dropping-particle&quot;:&quot;&quot;,&quot;non-dropping-particle&quot;:&quot;&quot;},{&quot;family&quot;:&quot;Polz&quot;,&quot;given&quot;:&quot;Martin F.&quot;,&quot;parse-names&quot;:false,&quot;dropping-particle&quot;:&quot;&quot;,&quot;non-dropping-particle&quot;:&quot;&quot;},{&quot;family&quot;:&quot;Boyle&quot;,&quot;given&quot;:&quot;Edward A.&quot;,&quot;parse-names&quot;:false,&quot;dropping-particle&quot;:&quot;&quot;,&quot;non-dropping-particle&quot;:&quot;&quot;},{&quot;family&quot;:&quot;Sullivan&quot;,&quot;given&quot;:&quot;Matthew B.&quot;,&quot;parse-names&quot;:false,&quot;dropping-particle&quot;:&quot;&quot;,&quot;non-dropping-particle&quot;:&quot;&quot;}],&quot;container-title&quot;:&quot;Environmental Microbiology Reports&quot;,&quot;DOI&quot;:&quot;10.1111/j.1758-2229.2010.00208.x&quot;,&quot;ISSN&quot;:&quot;17582229&quot;,&quot;issued&quot;:{&quot;date-parts&quot;:[[2011]]},&quot;page&quot;:&quot;195-202&quot;,&quot;abstract&quot;:&quot;Ocean viruses alter ecosystems through host mortality, horizontal gene transfer and by facilitating remineralization of limiting nutrients. However, the study of wild viral populations is limited by inefficient and unreliable concentration techniques. Here, we develop a new technique to recover viruses from natural waters using iron-based flocculation and large-pore-size filtration, followed by resuspension of virus-containing precipitates in a pH 6 buffer. Recovered viruses are amenable to gene sequencing, and a variable proportion of phages, depending upon the phage, retain their infectivity when recovered. This Fe-based virus flocculation, filtration and resuspension method (FFR) is efficient (&gt;90% recovery), reliable, inexpensive and adaptable to many aspects of marine viral ecology and genomics research. © 2010 Society for Applied Microbiology and Blackwell Publishing Ltd.&quot;,&quot;issue&quot;:&quot;2&quot;,&quot;volume&quot;:&quot;3&quot;,&quot;container-title-short&quot;:&quot;&quot;},&quot;isTemporary&quot;:false}]},{&quot;citationID&quot;:&quot;MENDELEY_CITATION_ec23102c-cea4-461f-b90c-8ab94b4c03f0&quot;,&quot;properties&quot;:{&quot;noteIndex&quot;:0},&quot;isEdited&quot;:false,&quot;manualOverride&quot;:{&quot;isManuallyOverridden&quot;:false,&quot;citeprocText&quot;:&quot;&lt;sup&gt;274,275&lt;/sup&gt;&quot;,&quot;manualOverrideText&quot;:&quot;&quot;},&quot;citationTag&quot;:&quot;MENDELEY_CITATION_v3_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&quot;,&quot;citationItems&quot;:[{&quot;id&quot;:&quot;8483e9e1-37f8-3443-9cfa-dbb9007eff77&quot;,&quot;itemData&quot;:{&quot;type&quot;:&quot;article-journal&quot;,&quot;id&quot;:&quot;8483e9e1-37f8-3443-9cfa-dbb9007eff77&quot;,&quot;title&quot;:&quot;An Allometric Relationship between the Genome Length and Virion Volume of Viruses&quot;,&quot;author&quot;:[{&quot;family&quot;:&quot;Cui&quot;,&quot;given&quot;:&quot;Jie&quot;,&quot;parse-names&quot;:false,&quot;dropping-particle&quot;:&quot;&quot;,&quot;non-dropping-particle&quot;:&quot;&quot;},{&quot;family&quot;:&quot;Schlub&quot;,&quot;given&quot;:&quot;Timothy E.&quot;,&quot;parse-names&quot;:false,&quot;dropping-particle&quot;:&quot;&quot;,&quot;non-dropping-particle&quot;:&quot;&quot;},{&quot;family&quot;:&quot;Holmes&quot;,&quot;given&quot;:&quot;Edward C.&quot;,&quot;parse-names&quot;:false,&quot;dropping-particle&quot;:&quot;&quot;,&quot;non-dropping-particle&quot;:&quot;&quot;}],&quot;container-title&quot;:&quot;Journal of Virology&quot;,&quot;DOI&quot;:&quot;10.1128/jvi.00362-14&quot;,&quot;ISSN&quot;:&quot;0022-538X&quot;,&quot;PMID&quot;:&quot;24672040&quot;,&quot;issued&quot;:{&quot;date-parts&quot;:[[2014]]},&quot;page&quot;:&quot;6403-6410&quot;,&quot;abstract&quot;:&quot;Virions vary in size by at least 4 orders of magnitude, yet the evolutionary forces responsible for this enormous diversity are unknown. We document a significant allometric relationship, with an exponent of approximately 1.5, between the genome length and virion volume of viruses and find that this relationship is not due to geometric constraints. Notably, this allometric relationship holds regardless of genomic nucleic acid, genome structure, or type of virion architecture and therefore represents a powerful scaling law. In contrast, no such relationship is observed at the scale of individual genes. Similarly, after adjusting for genome length, no association is observed between virion volume and the number of proteins, ruling out protein number as the explanation for the relationship between genome and virion sizes. Such a fundamental allometric relationship not only sheds light on the constraints to virus evolution, in that increases in virion size but not necessarily structure are associated with concomitant increases in genome size, but also implies that virion sizes in nature can be broadly predicted from genome sequence data alone. IMPORTANCE Viruses vary dramatically in both genome and virion sizes, but the factors responsible for this diversity are uncertain. Through a comparative and quantitative investigation of these two fundamental biological parameters across diverse viral taxa, we show that genome length and virion volume conform to a simple allometric scaling law. Notably, this allometric relationship holds regardless of the type of virus, including those with both RNA and DNA genomes, and encompasses viruses that exhibit more than 3 logs of genome size variation. Accordingly, this study helps to reveal the basic rules of virus design. &quot;,&quot;issue&quot;:&quot;11&quot;,&quot;volume&quot;:&quot;88&quot;,&quot;container-title-short&quot;:&quot;&quot;},&quot;isTemporary&quot;:false},{&quot;id&quot;:&quot;11ebf179-0050-357c-8e38-2dfbcdb7ebfa&quot;,&quot;itemData&quot;:{&quot;type&quot;:&quot;article-journal&quot;,&quot;id&quot;:&quot;11ebf179-0050-357c-8e38-2dfbcdb7ebfa&quot;,&quot;title&quot;:&quot;Scaling relation between genome length and particle size of viruses provides insights into viral life history&quot;,&quot;author&quot;:[{&quot;family&quot;:&quot;Chaudhari&quot;,&quot;given&quot;:&quot;Harshali&quot;,&quot;parse-names&quot;:false,&quot;dropping-particle&quot;:&quot;v.&quot;,&quot;non-dropping-particle&quot;:&quot;&quot;},{&quot;family&quot;:&quot;Inamdar&quot;,&quot;given&quot;:&quot;Mandar M.&quot;,&quot;parse-names&quot;:false,&quot;dropping-particle&quot;:&quot;&quot;,&quot;non-dropping-particle&quot;:&quot;&quot;},{&quot;family&quot;:&quot;Kondabagil&quot;,&quot;given&quot;:&quot;Kiran&quot;,&quot;parse-names&quot;:false,&quot;dropping-particle&quot;:&quot;&quot;,&quot;non-dropping-particle&quot;:&quot;&quot;}],&quot;container-title&quot;:&quot;iScience&quot;,&quot;DOI&quot;:&quot;10.1016/j.isci.2021.102452&quot;,&quot;ISSN&quot;:&quot;25890042&quot;,&quot;URL&quot;:&quot;https://doi.org/10.1016/j.isci.2021.102452&quot;,&quot;issued&quot;:{&quot;date-parts&quot;:[[2021]]},&quot;page&quot;:&quot;102452&quot;,&quot;abstract&quot;:&quot;In terms of genome and particle sizes, viruses exhibit great diversity. With the discovery of several nucleocytoplasmic large DNA viruses (NCLDVs) and jumbo phages, the relationship between particle and genome sizes has emerged as an important criterion for understanding virus evolution. We use allometric scaling of capsid volume with the genome length of different groups of viruses to shed light on its relationship with virus life history. The allometric exponents for icosahedral dsDNA bacteriophages and NCDLVs were found to be 1 and 2, respectively, indicating that with increasing capsid size DNA packaging density remains the same in bacteriophages but decreases for NCLDVs. We argue that the exponents are largely shaped by their entry mechanism and capsid mechanical stability. We further show that these allometric size parameters are also intricately linked to the relative energy costs of translation and replication in viruses and can have further implications on viral life history.&quot;,&quot;publisher&quot;:&quot;Elsevier Inc.&quot;,&quot;issue&quot;:&quot;5&quot;,&quot;volume&quot;:&quot;24&quot;,&quot;container-title-short&quot;:&quot;iScience&quot;},&quot;isTemporary&quot;:false}]},{&quot;citationID&quot;:&quot;MENDELEY_CITATION_5f03c46c-d057-4869-a5fd-1ae06a529234&quot;,&quot;properties&quot;:{&quot;noteIndex&quot;:0},&quot;isEdited&quot;:false,&quot;manualOverride&quot;:{&quot;isManuallyOverridden&quot;:false,&quot;citeprocText&quot;:&quot;&lt;sup&gt;276&lt;/sup&gt;&quot;,&quot;manualOverrideText&quot;:&quot;&quot;},&quot;citationTag&quot;:&quot;MENDELEY_CITATION_v3_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&quot;,&quot;citationItems&quot;:[{&quot;id&quot;:&quot;c5576c12-7f97-3e5d-94b2-0a7ed7a34414&quot;,&quot;itemData&quot;:{&quot;type&quot;:&quot;article-journal&quot;,&quot;id&quot;:&quot;c5576c12-7f97-3e5d-94b2-0a7ed7a34414&quot;,&quot;title&quot;:&quot;A systematic investigation into the nature of tryptic HCD spectra&quot;,&quot;author&quot;:[{&quot;family&quot;:&quot;Michalski&quot;,&quot;given&quot;:&quot;Annette&quot;,&quot;parse-names&quot;:false,&quot;dropping-particle&quot;:&quot;&quot;,&quot;non-dropping-particle&quot;:&quot;&quot;},{&quot;family&quot;:&quot;Neuhauser&quot;,&quot;given&quot;:&quot;Nadin&quot;,&quot;parse-names&quot;:false,&quot;dropping-particle&quot;:&quot;&quot;,&quot;non-dropping-particle&quot;:&quot;&quot;},{&quot;family&quot;:&quot;Cox&quot;,&quot;given&quot;:&quot;Jürgen&quot;,&quot;parse-names&quot;:false,&quot;dropping-particle&quot;:&quot;&quot;,&quot;non-dropping-particle&quot;:&quot;&quot;},{&quot;family&quot;:&quot;Mann&quot;,&quot;given&quot;:&quot;Matthias&quot;,&quot;parse-names&quot;:false,&quot;dropping-particle&quot;:&quot;&quot;,&quot;non-dropping-particle&quot;:&quot;&quot;}],&quot;container-title&quot;:&quot;Journal of Proteome Research&quot;,&quot;DOI&quot;:&quot;10.1021/pr3007045&quot;,&quot;ISSN&quot;:&quot;15353893&quot;,&quot;PMID&quot;:&quot;22998608&quot;,&quot;issued&quot;:{&quot;date-parts&quot;:[[2012]]},&quot;page&quot;:&quot;5479-5491&quot;,&quot;abstract&quot;:&quot;Modern mass spectrometry-based proteomics can produce millions of peptide fragmentation spectra, which are automatically identified in databases using sequence-specific b- or y-ions. Proteomics projects have mainly been performed with low resolution collision-induced dissociation (CID) in ion traps and beam-type fragmentation on triple quadrupole and QTOF instruments. Recently, the latter has also become available with Orbitrap instrumentation as higher energy collisional dissociation (HCD), routinely providing full mass range fragmentation with high mass accuracy. To systematically study the nature of HCD spectra, we made use of a large scale data set of tryptic peptides identified with an FDR of 0.0001, from which we extract a subset of more than 16 000 that have little or no contribution from cofragmented precursors. We employed a newly developed computer-assisted \&quot;Expert System\&quot;, which distills our experience and literature knowledge about fragmentation pathways. It aims to automatically annotate the peaks in high mass accuracy fragment spectra while strictly controlling the false discovery rate. Using this Expert System we determined that sequence specific regular ions covering the entire sequence were present for almost all peptides with up to 10 amino acids (median 100%). Peptides up to 20 amino acid length contained sufficient fragmentation to cover 80% of the sequence. Internal fragments are common in HCD spectra but not in high resolution CID spectra (10% vs 1%). The low mass region contains abundant immonium ions (6% of fragment ion intensity), the characteristic a2, b2 ion pair (72% of spectra), side chain fragments and reporter ions for peptide modifications such as tyrosine phosphorylation. B- and y-ions account for only 20% of fragment ions by number but 53% by ion intensity. Overall, 84% of the fragment ion intensity was unambiguously explainable. Thus high mass accuracy HCD and CID data are near comprehensively and automatically interpretable. © 2012 American Chemical Society.&quot;,&quot;issue&quot;:&quot;11&quot;,&quot;volume&quot;:&quot;11&quot;,&quot;container-title-short&quot;:&quot;&quot;},&quot;isTemporary&quot;:false}]},{&quot;citationID&quot;:&quot;MENDELEY_CITATION_e596a483-5bbb-4ba9-ae07-9a0542c5941c&quot;,&quot;properties&quot;:{&quot;noteIndex&quot;:0},&quot;isEdited&quot;:false,&quot;manualOverride&quot;:{&quot;isManuallyOverridden&quot;:false,&quot;citeprocText&quot;:&quot;&lt;sup&gt;260&lt;/sup&gt;&quot;,&quot;manualOverrideText&quot;:&quot;&quot;},&quot;citationTag&quot;:&quot;MENDELEY_CITATION_v3_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&quot;,&quot;citationItems&quot;:[{&quot;id&quot;:&quot;03a0136c-c093-3c22-9c48-bfb7671b3d3a&quot;,&quot;itemData&quot;:{&quot;type&quot;:&quot;article-journal&quot;,&quot;id&quot;:&quot;03a0136c-c093-3c22-9c48-bfb7671b3d3a&quot;,&quot;title&quot;:&quot;Stop codon recoding is widespread in diverse phage lineages and has the potential to regulate translation of late stage and lytic genes&quot;,&quot;author&quot;:[{&quot;family&quot;:&quot;Adair L. Borges, Yue Clare Lou, Rohan Sachdeva, Basem Al-Shayeb, Alexander L. Jaffe, Shufei Lei, Joanne M. Santini&quot;,&quot;given&quot;:&quot;Jillian F. Banfield&quot;,&quot;parse-names&quot;:false,&quot;dropping-particle&quot;:&quot;&quot;,&quot;non-dropping-particle&quot;:&quot;&quot;}],&quot;container-title&quot;:&quot;bioRxiv&quot;,&quot;issued&quot;:{&quot;date-parts&quot;:[[2021]]},&quot;container-title-short&quot;:&quot;&quot;},&quot;isTemporary&quot;:false}]},{&quot;citationID&quot;:&quot;MENDELEY_CITATION_d1c9be57-f840-4494-aaaf-96f60e8906a5&quot;,&quot;properties&quot;:{&quot;noteIndex&quot;:0},&quot;isEdited&quot;:false,&quot;manualOverride&quot;:{&quot;isManuallyOverridden&quot;:false,&quot;citeprocText&quot;:&quot;&lt;sup&gt;277&lt;/sup&gt;&quot;,&quot;manualOverrideText&quot;:&quot;&quot;},&quot;citationTag&quot;:&quot;MENDELEY_CITATION_v3_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&quot;,&quot;citationItems&quot;:[{&quot;id&quot;:&quot;2b03595a-0a89-375b-9533-8a0bb35a391a&quot;,&quot;itemData&quot;:{&quot;type&quot;:&quot;article-journal&quot;,&quot;id&quot;:&quot;2b03595a-0a89-375b-9533-8a0bb35a391a&quot;,&quot;title&quot;:&quot;Non-standard amino acid incorporation into proteins using Escherichia coli cell-free protein synthesis&quot;,&quot;author&quot;:[{&quot;family&quot;:&quot;Hong&quot;,&quot;given&quot;:&quot;Seok Hoon&quot;,&quot;parse-names&quot;:false,&quot;dropping-particle&quot;:&quot;&quot;,&quot;non-dropping-particle&quot;:&quot;&quot;},{&quot;family&quot;:&quot;Kwon&quot;,&quot;given&quot;:&quot;Yong Chan&quot;,&quot;parse-names&quot;:false,&quot;dropping-particle&quot;:&quot;&quot;,&quot;non-dropping-particle&quot;:&quot;&quot;},{&quot;family&quot;:&quot;Jewett&quot;,&quot;given&quot;:&quot;Michael C.&quot;,&quot;parse-names&quot;:false,&quot;dropping-particle&quot;:&quot;&quot;,&quot;non-dropping-particle&quot;:&quot;&quot;}],&quot;container-title&quot;:&quot;Frontiers in Chemistry&quot;,&quot;DOI&quot;:&quot;10.3389/fchem.2014.00034&quot;,&quot;ISSN&quot;:&quot;22962646&quot;,&quot;issued&quot;:{&quot;date-parts&quot;:[[2014]]},&quot;page&quot;:&quot;1-7&quot;,&quot;abstract&quot;:&quot;Incorporating non-standard amino acids (NSAAs) into proteins enables new chemical properties, new structures, and new functions. In recent years, improvements in cell-free protein synthesis (CFPS) systems have opened the way to accurate and efficient incorporation of NSAAs into proteins. The driving force behind this development has been three-fold. First, a technical renaissance has enabled high-yielding (&gt; 1 g/L) and long-lasting (&gt; 10 h in batch operation) CFPS in systems derived from Escherichia coli. Second, the efficiency of orthogonal translation systems (OTSs) has improved. Third, the open nature of the CFPS platform has brought about an unprecedented level of control and freedom of design. Here, we review recent developments in CFPS platforms designed to precisely incorporate NSAAs. In the coming years, we anticipate that CFPS systems will impact efforts to elucidate structure/function relationships of proteins and to make biomaterials and sequence-defined biopolymers for medical and industrial applications.&quot;,&quot;issue&quot;:&quot;JUN&quot;,&quot;volume&quot;:&quot;2&quot;,&quot;container-title-short&quot;:&quot;&quot;},&quot;isTemporary&quot;:false}]},{&quot;citationID&quot;:&quot;MENDELEY_CITATION_0906738b-4272-4cdf-8463-0902f603d123&quot;,&quot;properties&quot;:{&quot;noteIndex&quot;:0},&quot;isEdited&quot;:false,&quot;manualOverride&quot;:{&quot;isManuallyOverridden&quot;:false,&quot;citeprocText&quot;:&quot;&lt;sup&gt;270&lt;/sup&gt;&quot;,&quot;manualOverrideText&quot;:&quot;&quot;},&quot;citationTag&quot;:&quot;MENDELEY_CITATION_v3_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&quot;,&quot;citationItems&quot;:[{&quot;id&quot;:&quot;289d5a13-62b9-350d-85fa-9362b8f1c6a9&quot;,&quot;itemData&quot;:{&quot;type&quot;:&quot;article-journal&quot;,&quot;id&quot;:&quot;289d5a13-62b9-350d-85fa-9362b8f1c6a9&quot;,&quot;title&quot;:&quot;Infant gut strain persistence is associated with maternal origin, phylogeny, and traits including surface adhesion and iron acquisition&quot;,&quot;author&quot;:[{&quot;family&quot;:&quot;Lou&quot;,&quot;given&quot;:&quot;Yue Clare&quot;,&quot;parse-names&quot;:false,&quot;dropping-particle&quot;:&quot;&quot;,&quot;non-dropping-particle&quot;:&quot;&quot;},{&quot;family&quot;:&quot;Olm&quot;,&quot;given&quot;:&quot;Matthew R.&quot;,&quot;parse-names&quot;:false,&quot;dropping-particle&quot;:&quot;&quot;,&quot;non-dropping-particle&quot;:&quot;&quot;},{&quot;family&quot;:&quot;Diamond&quot;,&quot;given&quot;:&quot;Spencer&quot;,&quot;parse-names&quot;:false,&quot;dropping-particle&quot;:&quot;&quot;,&quot;non-dropping-particle&quot;:&quot;&quot;},{&quot;family&quot;:&quot;Crits-Christoph&quot;,&quot;given&quot;:&quot;Alexander&quot;,&quot;parse-names&quot;:false,&quot;dropping-particle&quot;:&quot;&quot;,&quot;non-dropping-particle&quot;:&quot;&quot;},{&quot;family&quot;:&quot;Firek&quot;,&quot;given&quot;:&quot;Brian A.&quot;,&quot;parse-names&quot;:false,&quot;dropping-particle&quot;:&quot;&quot;,&quot;non-dropping-particle&quot;:&quot;&quot;},{&quot;family&quot;:&quot;Baker&quot;,&quot;given&quot;:&quot;Robyn&quot;,&quot;parse-names&quot;:false,&quot;dropping-particle&quot;:&quot;&quot;,&quot;non-dropping-particle&quot;:&quot;&quot;},{&quot;family&quot;:&quot;Morowitz&quot;,&quot;given&quot;:&quot;Michael J.&quot;,&quot;parse-names&quot;:false,&quot;dropping-particle&quot;:&quot;&quot;,&quot;non-dropping-particle&quot;:&quot;&quot;},{&quot;family&quot;:&quot;Banfield&quot;,&quot;given&quot;:&quot;Jillian F.&quot;,&quot;parse-names&quot;:false,&quot;dropping-particle&quot;:&quot;&quot;,&quot;non-dropping-particle&quot;:&quot;&quot;}],&quot;container-title&quot;:&quot;Cell Reports Medicine&quot;,&quot;DOI&quot;:&quot;10.1016/j.xcrm.2021.100393&quot;,&quot;ISSN&quot;:&quot;26663791&quot;,&quot;URL&quot;:&quot;https://doi.org/10.1016/j.xcrm.2021.100393&quot;,&quot;issued&quot;:{&quot;date-parts&quot;:[[2021]]},&quot;page&quot;:&quot;100393&quot;,&quot;abstract&quot;:&quot;Gut microbiome succession affects infant development. However, it remains unclear what factors promote persistence of initial bacterial colonizers in the developing gut. Here, we perform strain-resolved analyses to compare gut colonization of preterm and full-term infants throughout the first year of life and evaluate associations between strain persistence and strain origin as well as genetic potential. Analysis of fecal metagenomes collected from 13 full-term and 9 preterm infants reveals that infants’ initially distinct microbiomes converge by age 1 year. Approximately 11% of early colonizers, primarily Bacteroides and Bifidobacterium, persist during the first year of life, and those are more prevalent in full-term, compared with preterm infants. Examination of 17 mother-infant pairs reveals maternal gut strains are significantly more likely to persist in the infant gut than other strains. Enrichment in genes for surface adhesion, iron acquisition, and carbohydrate degradation may explain persistence of some strains through the first year of life.&quot;,&quot;publisher&quot;:&quot;ElsevierCompany.&quot;,&quot;issue&quot;:&quot;9&quot;,&quot;volume&quot;:&quot;2&quot;,&quot;container-title-short&quot;:&quot;&quot;},&quot;isTemporary&quot;:false}]},{&quot;citationID&quot;:&quot;MENDELEY_CITATION_157c0696-06d8-4696-a99a-fe0318c501bc&quot;,&quot;properties&quot;:{&quot;noteIndex&quot;:0},&quot;isEdited&quot;:false,&quot;manualOverride&quot;:{&quot;isManuallyOverridden&quot;:false,&quot;citeprocText&quot;:&quot;&lt;sup&gt;278&lt;/sup&gt;&quot;,&quot;manualOverrideText&quot;:&quot;&quot;},&quot;citationTag&quot;:&quot;MENDELEY_CITATION_v3_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&quot;,&quot;citationItems&quot;:[{&quot;id&quot;:&quot;fc88abb9-061b-36de-946c-5e15ff4315a8&quot;,&quot;itemData&quot;:{&quot;type&quot;:&quot;article-journal&quot;,&quot;id&quot;:&quot;fc88abb9-061b-36de-946c-5e15ff4315a8&quot;,&quot;title&quot;:&quot;Integrated nr Database in Protein Annotation System and Its Localization&quot;,&quot;author&quot;:[{&quot;family&quot;:&quot;Doug Hyatt, Gwo-Liang Chen, Philip F LoCascio, Miriam L Land, , Frank W Larimer&quot;,&quot;given&quot;:&quot;Loren J Hauser&quot;,&quot;parse-names&quot;:false,&quot;dropping-particle&quot;:&quot;&quot;,&quot;non-dropping-particle&quot;:&quot;&quot;}],&quot;container-title&quot;:&quot;Nature Communications&quot;,&quot;ISBN&quot;:&quot;1664-8021&quot;,&quot;ISSN&quot;:&quot;1751-7362&quot;,&quot;PMID&quot;:&quot;26734060&quot;,&quot;URL&quot;:&quot;http://dx.doi.org/10.1016/B978-0-12-407863-5.00023-X%5Cnhttp://www.nature.com/doifinder/10.1038/ismej.2009.79%5Cnhttp://www.nature.com/doifinder/10.1038/nature09916%5Cnhttp://dx.doi.org/10.1038/srep25982%5Cnhttp://dx.doi.org/10.1038/ismej.2010.144%5Cnhttp&quot;,&quot;issued&quot;:{&quot;date-parts&quot;:[[2010]]},&quot;page&quot;:&quot;1-8&quot;,&quot;abstract&quot;:&quot;The study of microorganisms that pervade each and every part of this planet has encountered many challenges through time such as the discovery of unknown organisms and the understanding of how they interact with their environment. The aim of this review is to take the reader along the timeline and major milestones that led us to modern metagenomics. This new and thriving area is likely to be an important contributor to solve different problems. The transition from classical microbiology to modern metagenomics studies has required the development of new branches of knowledge and specialization. Here, we will review how the availability of high-throughput sequencing technologies has transformed microbiology and bioinformatics and how to tackle the inherent computational challenges that arise from the DNA sequencing revolution. New computational methods are constantly developed to collect, process, and extract useful biological information from a variety of samples and complex datasets, but metagenomics needs the integration of several of these computational methods. Despite the level of specialization needed in bioinformatics, it is important that life-scientists have a good understanding of it for a correct experimental design, which allows them to reveal the information in a metagenome.&quot;,&quot;issue&quot;:&quot;1&quot;,&quot;volume&quot;:&quot;6&quot;,&quot;container-title-short&quot;:&quot;&quot;},&quot;isTemporary&quot;:false}]},{&quot;citationID&quot;:&quot;MENDELEY_CITATION_6921dc34-cd1a-49a4-b775-6ab87e7fa1c0&quot;,&quot;properties&quot;:{&quot;noteIndex&quot;:0},&quot;isEdited&quot;:false,&quot;manualOverride&quot;:{&quot;isManuallyOverridden&quot;:false,&quot;citeprocText&quot;:&quot;&lt;sup&gt;279&lt;/sup&gt;&quot;,&quot;manualOverrideText&quot;:&quot;&quot;},&quot;citationTag&quot;:&quot;MENDELEY_CITATION_v3_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&quot;,&quot;citationItems&quot;:[{&quot;id&quot;:&quot;33858626-d847-3746-9169-b16be350cc6f&quot;,&quot;itemData&quot;:{&quot;type&quot;:&quot;article-journal&quot;,&quot;id&quot;:&quot;33858626-d847-3746-9169-b16be350cc6f&quot;,&quot;title&quot;:&quot;Protein homology detection by HMM-HMM comparison&quot;,&quot;author&quot;:[{&quot;family&quot;:&quot;Söding&quot;,&quot;given&quot;:&quot;Johannes&quot;,&quot;parse-names&quot;:false,&quot;dropping-particle&quot;:&quot;&quot;,&quot;non-dropping-particle&quot;:&quot;&quot;}],&quot;container-title&quot;:&quot;Bioinformatics&quot;,&quot;DOI&quot;:&quot;10.1093/bioinformatics/bti125&quot;,&quot;ISSN&quot;:&quot;13674803&quot;,&quot;PMID&quot;:&quot;15531603&quot;,&quot;issued&quot;:{&quot;date-parts&quot;:[[2005]]},&quot;page&quot;:&quot;951-960&quot;,&quot;abstract&quot;:&quot;Motivation: Protein homology detection and sequence alignment are at the basis of protein structure prediction, function prediction and evolution. Results: We have generalized the alignment of protein sequences with a profile hidden Markov model (HMM) to the case of pairwise alignment of profile HMMs. We present a method for detecting distant homologous relationships between proteins based on this approach. The method (HHsearch) is benchmarked together with BLAST, PSI-BLAST, HMMER and the profile-profile comparison tools PROF_SIM and COMPASS, in an all-against-all comparison of a database of 3691 protein domains from SCOP 1.63 with pairwise sequence identities below 20%. Sensitivity: When the predicted secondary structure is included in the HMMs, HHsearch is able to detect between 2.7 and 4.2 times more homologs than PSI-BLAST or HMMER and between 1.44 and 1.9 times more than COMPASS or PROF_SIM for a rate of false positives of 10%. Approximately half of the improvement over the profile-profile comparison methods is attributable to the use of profile HMMs in place of simple profiles. Alignment quality: Higher sensitivity is mirrored by an increased alignment quality. HHsearch produced 1.2, 1.7 and 3.3 times more good alignments ('balanced' score &gt; 0.3) than the next best method (COMPASS), and 1.6, 2.9 and 9.4 times more than PSI-BLAST, at the family, superfamily and fold level, respectively. Speed: HHsearch scans a query of 200 residues against 3691 domains in 33 s on an AMD64 2GHz PC. This is 10 times faster than PROF_SIM and 17 times faster than COMPASS. © The Author 2004. Published by Oxford University Press. All rights reserved.&quot;,&quot;issue&quot;:&quot;7&quot;,&quot;volume&quot;:&quot;21&quot;,&quot;container-title-short&quot;:&quot;&quot;},&quot;isTemporary&quot;:false}]},{&quot;citationID&quot;:&quot;MENDELEY_CITATION_acb7a31e-52f7-4019-ad4a-b8b57908d463&quot;,&quot;properties&quot;:{&quot;noteIndex&quot;:0},&quot;isEdited&quot;:false,&quot;manualOverride&quot;:{&quot;isManuallyOverridden&quot;:false,&quot;citeprocText&quot;:&quot;&lt;sup&gt;280&lt;/sup&gt;&quot;,&quot;manualOverrideText&quot;:&quot;&quot;},&quot;citationTag&quot;:&quot;MENDELEY_CITATION_v3_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&quot;,&quot;citationItems&quot;:[{&quot;id&quot;:&quot;c33a5354-4e7e-3402-bc0c-896698c73dd3&quot;,&quot;itemData&quot;:{&quot;type&quot;:&quot;article-journal&quot;,&quot;id&quot;:&quot;c33a5354-4e7e-3402-bc0c-896698c73dd3&quot;,&quot;title&quot;:&quot;A Completely Reimplemented MPI Bioinformatics Toolkit with a New HHpred Server at its Core&quot;,&quot;author&quot;:[{&quot;family&quot;:&quot;Zimmermann&quot;,&quot;given&quot;:&quot;Lukas&quot;,&quot;parse-names&quot;:false,&quot;dropping-particle&quot;:&quot;&quot;,&quot;non-dropping-particle&quot;:&quot;&quot;},{&quot;family&quot;:&quot;Stephens&quot;,&quot;given&quot;:&quot;Andrew&quot;,&quot;parse-names&quot;:false,&quot;dropping-particle&quot;:&quot;&quot;,&quot;non-dropping-particle&quot;:&quot;&quot;},{&quot;family&quot;:&quot;Nam&quot;,&quot;given&quot;:&quot;Seung Zin&quot;,&quot;parse-names&quot;:false,&quot;dropping-particle&quot;:&quot;&quot;,&quot;non-dropping-particle&quot;:&quot;&quot;},{&quot;family&quot;:&quot;Rau&quot;,&quot;given&quot;:&quot;David&quot;,&quot;parse-names&quot;:false,&quot;dropping-particle&quot;:&quot;&quot;,&quot;non-dropping-particle&quot;:&quot;&quot;},{&quot;family&quot;:&quot;Kübler&quot;,&quot;given&quot;:&quot;Jonas&quot;,&quot;parse-names&quot;:false,&quot;dropping-particle&quot;:&quot;&quot;,&quot;non-dropping-particle&quot;:&quot;&quot;},{&quot;family&quot;:&quot;Lozajic&quot;,&quot;given&quot;:&quot;Marko&quot;,&quot;parse-names&quot;:false,&quot;dropping-particle&quot;:&quot;&quot;,&quot;non-dropping-particle&quot;:&quot;&quot;},{&quot;family&quot;:&quot;Gabler&quot;,&quot;given&quot;:&quot;Felix&quot;,&quot;parse-names&quot;:false,&quot;dropping-particle&quot;:&quot;&quot;,&quot;non-dropping-particle&quot;:&quot;&quot;},{&quot;family&quot;:&quot;Söding&quot;,&quot;given&quot;:&quot;Johannes&quot;,&quot;parse-names&quot;:false,&quot;dropping-particle&quot;:&quot;&quot;,&quot;non-dropping-particle&quot;:&quot;&quot;},{&quot;family&quot;:&quot;Lupas&quot;,&quot;given&quot;:&quot;Andrei N.&quot;,&quot;parse-names&quot;:false,&quot;dropping-particle&quot;:&quot;&quot;,&quot;non-dropping-particle&quot;:&quot;&quot;},{&quot;family&quot;:&quot;Alva&quot;,&quot;given&quot;:&quot;Vikram&quot;,&quot;parse-names&quot;:false,&quot;dropping-particle&quot;:&quot;&quot;,&quot;non-dropping-particle&quot;:&quot;&quot;}],&quot;container-title&quot;:&quot;Journal of Molecular Biology&quot;,&quot;DOI&quot;:&quot;10.1016/j.jmb.2017.12.007&quot;,&quot;ISSN&quot;:&quot;10898638&quot;,&quot;PMID&quot;:&quot;29258817&quot;,&quot;URL&quot;:&quot;https://doi.org/10.1016/j.jmb.2017.12.007&quot;,&quot;issued&quot;:{&quot;date-parts&quot;:[[2018]]},&quot;page&quot;:&quot;2237-2243&quot;,&quot;abstract&quot;:&quot;The MPI Bioinformatics Toolkit (https://toolkit.tuebingen.mpg.de) is a free, one-stop web service for protein bioinformatic analysis. It currently offers 34 interconnected external and in-house tools, whose functionality covers sequence similarity searching, alignment construction, detection of sequence features, structure prediction, and sequence classification. This breadth has made the Toolkit an important resource for experimental biology and for teaching bioinformatic inquiry. Recently, we replaced the first version of the Toolkit, which was released in 2005 and had served around 2.5 million queries, with an entirely new version, focusing on improved features for the comprehensive analysis of proteins, as well as on promoting teaching. For instance, our popular remote homology detection server, HHpred, now allows pairwise comparison of two sequences or alignments and offers additional profile HMMs for several model organisms and domain databases. Here, we introduce the new version of our Toolkit and its application to the analysis of proteins.&quot;,&quot;publisher&quot;:&quot;Elsevier Ltd&quot;,&quot;issue&quot;:&quot;15&quot;,&quot;volume&quot;:&quot;430&quot;,&quot;container-title-short&quot;:&quot;&quot;},&quot;isTemporary&quot;:false}]},{&quot;citationID&quot;:&quot;MENDELEY_CITATION_4d1abb3a-9928-4cf5-ba2f-f737f4a2816d&quot;,&quot;properties&quot;:{&quot;noteIndex&quot;:0},&quot;isEdited&quot;:false,&quot;manualOverride&quot;:{&quot;isManuallyOverridden&quot;:false,&quot;citeprocText&quot;:&quot;&lt;sup&gt;281&lt;/sup&gt;&quot;,&quot;manualOverrideText&quot;:&quot;&quot;},&quot;citationTag&quot;:&quot;MENDELEY_CITATION_v3_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&quot;,&quot;citationItems&quot;:[{&quot;id&quot;:&quot;eae02b6c-020c-36b1-afe8-bbe634ec6524&quot;,&quot;itemData&quot;:{&quot;type&quot;:&quot;article-journal&quot;,&quot;id&quot;:&quot;eae02b6c-020c-36b1-afe8-bbe634ec6524&quot;,&quot;title&quot;:&quot;Trabajo práctico Nº 13 . Varianzas en función de variable independiente categórica&quot;,&quot;author&quot;:[{&quot;family&quot;:&quot;Kelley&quot;,&quot;given&quot;:&quot;Lawrence A&quot;,&quot;parse-names&quot;:false,&quot;dropping-particle&quot;:&quot;&quot;,&quot;non-dropping-particle&quot;:&quot;&quot;},{&quot;family&quot;:&quot;Mezulis&quot;,&quot;given&quot;:&quot;Stefans&quot;,&quot;parse-names&quot;:false,&quot;dropping-particle&quot;:&quot;&quot;,&quot;non-dropping-particle&quot;:&quot;&quot;},{&quot;family&quot;:&quot;Yates&quot;,&quot;given&quot;:&quot;Christopher M&quot;,&quot;parse-names&quot;:false,&quot;dropping-particle&quot;:&quot;&quot;,&quot;non-dropping-particle&quot;:&quot;&quot;},{&quot;family&quot;:&quot;Wass&quot;,&quot;given&quot;:&quot;Mark N&quot;,&quot;parse-names&quot;:false,&quot;dropping-particle&quot;:&quot;&quot;,&quot;non-dropping-particle&quot;:&quot;&quot;},{&quot;family&quot;:&quot;Sternberg&quot;,&quot;given&quot;:&quot;Michael JE&quot;,&quot;parse-names&quot;:false,&quot;dropping-particle&quot;:&quot;&quot;,&quot;non-dropping-particle&quot;:&quot;&quot;}],&quot;container-title&quot;:&quot;Nature Protocols&quot;,&quot;DOI&quot;:&quot;10.1038/nprot.2015-053&quot;,&quot;ISSN&quot;:&quot;1754-2189&quot;,&quot;URL&quot;:&quot;http://dx.doi.org/10.1038/nprot.2015-053&quot;,&quot;issued&quot;:{&quot;date-parts&quot;:[[2016]]},&quot;page&quot;:&quot;845-858&quot;,&quot;abstract&quot;:&quot;Phyre2 is a suite of tools available on the web to predict and analyze protein structure, function and mutations. The focus of Phyre2 is to provide biologists with a simple and intuitive interface to state-of-the-art protein bioinformatics tools. Phyre2 replaces Phyre, the original version of the server for which we previously published a paper in Nature Protocols. In this updated protocol, we describe Phyre2, which uses advanced remote homology detection methods to build 3D models, predict ligand binding sites and analyze the effect of amino acid variants (e.g., nonsynonymous SNPs (nsSNPs)) for a user's protein sequence. Users are guided through results by a simple interface at a level of detail they determine. This protocol will guide users from submitting a protein sequence to interpreting the secondary and tertiary structure of their models, their domain composition and model quality. A range of additional available tools is described to find a protein structure in a genome, to submit large number of sequences at once and to automatically run weekly searches for proteins that are difficult to model. The server is available at http://www.sbg.bio.ic.ac.uk/phyre2. A typical structure prediction will be returned between 30 min and 2 h after submission.&quot;,&quot;publisher&quot;:&quot;Nature Publishing Group&quot;,&quot;issue&quot;:&quot;6&quot;,&quot;volume&quot;:&quot;10&quot;,&quot;container-title-short&quot;:&quot;&quot;},&quot;isTemporary&quot;:false}]},{&quot;citationID&quot;:&quot;MENDELEY_CITATION_ade12dc3-4f5b-44f3-b9ff-8841279c0446&quot;,&quot;properties&quot;:{&quot;noteIndex&quot;:0},&quot;isEdited&quot;:false,&quot;manualOverride&quot;:{&quot;isManuallyOverridden&quot;:false,&quot;citeprocText&quot;:&quot;&lt;sup&gt;282&lt;/sup&gt;&quot;,&quot;manualOverrideText&quot;:&quot;&quot;},&quot;citationTag&quot;:&quot;MENDELEY_CITATION_v3_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&quot;,&quot;citationItems&quot;:[{&quot;id&quot;:&quot;ee54f67f-8d4a-3e7f-aa88-2b0aeb209bcb&quot;,&quot;itemData&quot;:{&quot;type&quot;:&quot;article-journal&quot;,&quot;id&quot;:&quot;ee54f67f-8d4a-3e7f-aa88-2b0aeb209bcb&quot;,&quot;title&quot;:&quot;Structural and Functional Annotation of Eukaryotic Genomes with GenSAS in Gene Prediction - Methods and Protocols&quot;,&quot;author&quot;:[{&quot;family&quot;:&quot;Chan&quot;,&quot;given&quot;:&quot;Patricia P.&quot;,&quot;parse-names&quot;:false,&quot;dropping-particle&quot;:&quot;&quot;,&quot;non-dropping-particle&quot;:&quot;&quot;},{&quot;family&quot;:&quot;Lowe&quot;,&quot;given&quot;:&quot;Todd M.&quot;,&quot;parse-names&quot;:false,&quot;dropping-particle&quot;:&quot;&quot;,&quot;non-dropping-particle&quot;:&quot;&quot;}],&quot;container-title&quot;:&quot;Gene Prediction: Methods and Protocols, Methods in Molecular Biology&quot;,&quot;DOI&quot;:&quot;10.1007/978-1-4939-9173-0&quot;,&quot;ISBN&quot;:&quot;978-1-4939-9172-3&quot;,&quot;URL&quot;:&quot;http://www.springer.com/series/7651%0Ahttp://link.springer.com/10.1007/978-1-4939-9173-0&quot;,&quot;issued&quot;:{&quot;date-parts&quot;:[[2019]]},&quot;page&quot;:&quot;1-29&quot;,&quot;issue&quot;:&quot;0&quot;,&quot;volume&quot;:&quot;1962&quot;,&quot;container-title-short&quot;:&quot;&quot;},&quot;isTemporary&quot;:false}]},{&quot;citationID&quot;:&quot;MENDELEY_CITATION_c72f9add-f6e5-47d7-86ec-dcb798a99495&quot;,&quot;properties&quot;:{&quot;noteIndex&quot;:0},&quot;isEdited&quot;:false,&quot;manualOverride&quot;:{&quot;isManuallyOverridden&quot;:false,&quot;citeprocText&quot;:&quot;&lt;sup&gt;283&lt;/sup&gt;&quot;,&quot;manualOverrideText&quot;:&quot;&quot;},&quot;citationTag&quot;:&quot;MENDELEY_CITATION_v3_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&quot;,&quot;citationItems&quot;:[{&quot;id&quot;:&quot;2297f9d1-3cb9-3cbd-8b8a-f2663f9924aa&quot;,&quot;itemData&quot;:{&quot;type&quot;:&quot;article-journal&quot;,&quot;id&quot;:&quot;2297f9d1-3cb9-3cbd-8b8a-f2663f9924aa&quot;,&quot;title&quot;:&quot;Measurement of bacterial replication rates in microbial communities&quot;,&quot;author&quot;:[{&quot;family&quot;:&quot;Brown&quot;,&quot;given&quot;:&quot;Christopher T.&quot;,&quot;parse-names&quot;:false,&quot;dropping-particle&quot;:&quot;&quot;,&quot;non-dropping-particle&quot;:&quot;&quot;},{&quot;family&quot;:&quot;Olm&quot;,&quot;given&quot;:&quot;Matthew R.&quot;,&quot;parse-names&quot;:false,&quot;dropping-particle&quot;:&quot;&quot;,&quot;non-dropping-particle&quot;:&quot;&quot;},{&quot;family&quot;:&quot;Thomas&quot;,&quot;given&quot;:&quot;Brian C.&quot;,&quot;parse-names&quot;:false,&quot;dropping-particle&quot;:&quot;&quot;,&quot;non-dropping-particle&quot;:&quot;&quot;},{&quot;family&quot;:&quot;Banfield&quot;,&quot;given&quot;:&quot;Jillian F.&quot;,&quot;parse-names&quot;:false,&quot;dropping-particle&quot;:&quot;&quot;,&quot;non-dropping-particle&quot;:&quot;&quot;}],&quot;container-title&quot;:&quot;Nature Biotechnology&quot;,&quot;DOI&quot;:&quot;10.1038/nbt.3704&quot;,&quot;ISSN&quot;:&quot;15461696&quot;,&quot;PMID&quot;:&quot;27819664&quot;,&quot;issued&quot;:{&quot;date-parts&quot;:[[2016]]},&quot;page&quot;:&quot;1256-1263&quot;,&quot;abstract&quot;:&quot;Culture-independent microbiome studies have increased our understanding of the complexity and metabolic potential of microbial communities. However, to understand the contribution of individual microbiome members to community functions, it is important to determine which bacteria are actively replicating. We developed an algorithm, iRep, that uses draft-quality genome sequences and single time-point metagenome sequencing to infer microbial population replication rates. The algorithm calculates an index of replication (iRep) based on the sequencing coverage trend that results from bi-directional genome replication from a single origin of replication. We apply this method to show that microbial replication rates increase after antibiotic administration in human infants. We also show that uncultivated, groundwater-associated, Candidate Phyla Radiation bacteria only rarely replicate quickly in subsurface communities undergoing substantial changes in geochemistry. Our method can be applied to any genome-resolved microbiome study to track organism responses to varying conditions, identify actively growing populations and measure replication rates for use in modeling studies.&quot;,&quot;issue&quot;:&quot;12&quot;,&quot;volume&quot;:&quot;34&quot;,&quot;container-title-short&quot;:&quot;&quot;},&quot;isTemporary&quot;:false}]},{&quot;citationID&quot;:&quot;MENDELEY_CITATION_453d456e-8e37-4f8e-a858-8c5ed6a96a44&quot;,&quot;properties&quot;:{&quot;noteIndex&quot;:0},&quot;isEdited&quot;:false,&quot;manualOverride&quot;:{&quot;isManuallyOverridden&quot;:false,&quot;citeprocText&quot;:&quot;&lt;sup&gt;284&lt;/sup&gt;&quot;,&quot;manualOverrideText&quot;:&quot;&quot;},&quot;citationTag&quot;:&quot;MENDELEY_CITATION_v3_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&quot;,&quot;citationItems&quot;:[{&quot;id&quot;:&quot;6ab312d1-3dc9-3ae3-8e3a-07f49ad44a80&quot;,&quot;itemData&quot;:{&quot;type&quot;:&quot;article-journal&quot;,&quot;id&quot;:&quot;6ab312d1-3dc9-3ae3-8e3a-07f49ad44a80&quot;,&quot;title&quot;:&quot;Accurate and complete genomes from metagenomes&quot;,&quot;author&quot;:[{&quot;family&quot;:&quot;Chen&quot;,&quot;given&quot;:&quot;Lin Xing&quot;,&quot;parse-names&quot;:false,&quot;dropping-particle&quot;:&quot;&quot;,&quot;non-dropping-particle&quot;:&quot;&quot;},{&quot;family&quot;:&quot;Anantharaman&quot;,&quot;given&quot;:&quot;Karthik&quot;,&quot;parse-names&quot;:false,&quot;dropping-particle&quot;:&quot;&quot;,&quot;non-dropping-particle&quot;:&quot;&quot;},{&quot;family&quot;:&quot;Shaiber&quot;,&quot;given&quot;:&quot;Alon&quot;,&quot;parse-names&quot;:false,&quot;dropping-particle&quot;:&quot;&quot;,&quot;non-dropping-particle&quot;:&quot;&quot;},{&quot;family&quot;:&quot;Murat Eren&quot;,&quot;given&quot;:&quot;A.&quot;,&quot;parse-names&quot;:false,&quot;dropping-particle&quot;:&quot;&quot;,&quot;non-dropping-particle&quot;:&quot;&quot;},{&quot;family&quot;:&quot;Banfield&quot;,&quot;given&quot;:&quot;Jillian F.&quot;,&quot;parse-names&quot;:false,&quot;dropping-particle&quot;:&quot;&quot;,&quot;non-dropping-particle&quot;:&quot;&quot;}],&quot;container-title&quot;:&quot;Genome Research&quot;,&quot;DOI&quot;:&quot;10.1101/gr.258640.119&quot;,&quot;ISSN&quot;:&quot;15495469&quot;,&quot;PMID&quot;:&quot;32188701&quot;,&quot;issued&quot;:{&quot;date-parts&quot;:[[2020]]},&quot;page&quot;:&quot;315-333&quot;,&quot;abstract&quot;:&quot;Genomes are an integral component of the biological information about an organism; thus, the more complete the genome, the more informative it is. Historically, bacterial and archaeal genomes were reconstructed from pure (monoclonal) cultures, and the first reported sequences were manually curated to completion. However, the bottleneck imposed by the requirement for isolates precluded genomic insights for the vast majority of microbial life. Shotgun sequencing of microbial communities, referred to initially as community genomics and subsequently as genome-resolved metagenomics, can circumvent this limitation by obtaining metagenome-assembled genomes (MAGs); but gaps, local assembly errors, chimeras, and contamination by fragments from other genomes limit the value of these genomes. Here, we discuss genome curation to improve and, in some cases, achieve complete (circularized, no gaps) MAGs (CMAGs). To date, few CMAGs have been generated, although notably some are from very complex systems such as soil and sediment. Through analysis of about 7000 published complete bacterial isolate genomes, we verify the value of cumulative GC skew in combination with other metrics to establish bacterial genome sequence accuracy. The analysis of cumulative GC skew identified potential misassemblies in some reference genomes of isolated bacteria and the repeat sequences that likely gave rise to them. We discuss methods that could be implemented in bioinformatic approaches for curation to ensure that metabolic and evolutionary analyses can be based on very high-quality genomes.&quot;,&quot;issue&quot;:&quot;3&quot;,&quot;volume&quot;:&quot;30&quot;,&quot;container-title-short&quot;:&quot;&quot;},&quot;isTemporary&quot;:false}]},{&quot;citationID&quot;:&quot;MENDELEY_CITATION_e984014e-4b4f-4866-b137-ce4da67db367&quot;,&quot;properties&quot;:{&quot;noteIndex&quot;:0},&quot;isEdited&quot;:false,&quot;manualOverride&quot;:{&quot;isManuallyOverridden&quot;:false,&quot;citeprocText&quot;:&quot;&lt;sup&gt;59&lt;/sup&gt;&quot;,&quot;manualOverrideText&quot;:&quot;&quot;},&quot;citationTag&quot;:&quot;MENDELEY_CITATION_v3_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&quot;,&quot;citationItems&quot;:[{&quot;id&quot;:&quot;906a0878-e828-3212-a528-ac9004eaf7f0&quot;,&quot;itemData&quot;:{&quot;type&quot;:&quot;article-journal&quot;,&quot;id&quot;:&quot;906a0878-e828-3212-a528-ac9004eaf7f0&quot;,&quot;title&quot;:&quot;Protein aggregation capture on microparticles enables multipurpose proteomics sample preparation&quot;,&quot;author&quot;:[{&quot;family&quot;:&quot;Batth&quot;,&quot;given&quot;:&quot;Tanveer S.&quot;,&quot;parse-names&quot;:false,&quot;dropping-particle&quot;:&quot;&quot;,&quot;non-dropping-particle&quot;:&quot;&quot;},{&quot;family&quot;:&quot;Tollenaere&quot;,&quot;given&quot;:&quot;Maxim A.X.&quot;,&quot;parse-names&quot;:false,&quot;dropping-particle&quot;:&quot;&quot;,&quot;non-dropping-particle&quot;:&quot;&quot;},{&quot;family&quot;:&quot;Rüther&quot;,&quot;given&quot;:&quot;Patrick&quot;,&quot;parse-names&quot;:false,&quot;dropping-particle&quot;:&quot;&quot;,&quot;non-dropping-particle&quot;:&quot;&quot;},{&quot;family&quot;:&quot;Gonzalez-Franquesa&quot;,&quot;given&quot;:&quot;Alba&quot;,&quot;parse-names&quot;:false,&quot;dropping-particle&quot;:&quot;&quot;,&quot;non-dropping-particle&quot;:&quot;&quot;},{&quot;family&quot;:&quot;Prabhakar&quot;,&quot;given&quot;:&quot;Bhargav S.&quot;,&quot;parse-names&quot;:false,&quot;dropping-particle&quot;:&quot;&quot;,&quot;non-dropping-particle&quot;:&quot;&quot;},{&quot;family&quot;:&quot;Bekker-Jensen&quot;,&quot;given&quot;:&quot;Simon&quot;,&quot;parse-names&quot;:false,&quot;dropping-particle&quot;:&quot;&quot;,&quot;non-dropping-particle&quot;:&quot;&quot;},{&quot;family&quot;:&quot;Deshmukh&quot;,&quot;given&quot;:&quot;Atul S.&quot;,&quot;parse-names&quot;:false,&quot;dropping-particle&quot;:&quot;&quot;,&quot;non-dropping-particle&quot;:&quot;&quot;},{&quot;family&quot;:&quot;Olsen&quot;,&quot;given&quot;:&quot;Jesper&quot;,&quot;parse-names&quot;:false,&quot;dropping-particle&quot;:&quot;v.&quot;,&quot;non-dropping-particle&quot;:&quot;&quot;}],&quot;container-title&quot;:&quot;Molecular and Cellular Proteomics&quot;,&quot;DOI&quot;:&quot;10.1074/mcp.TIR118.001270&quot;,&quot;ISBN&quot;:&quot;4515210505&quot;,&quot;ISSN&quot;:&quot;15359484&quot;,&quot;PMID&quot;:&quot;30833379&quot;,&quot;issued&quot;:{&quot;date-parts&quot;:[[2019]]},&quot;page&quot;:&quot;1027-1035&quot;,&quot;abstract&quot;:&quot;Universal proteomics sample preparation is challenging because of the high heterogeneity of biological samples. Here we describe a novel mechanism that exploits the inherent instability of denatured proteins for nonspecific immobilization on microparticles by protein aggregation capture. To demonstrate the general applicability of this mechanism, we analyzed phosphoproteomes, tissue proteomes, and interaction proteomes as well as dilute secretomes. The findings present a practical, sensitive and cost-effective proteomics sample preparation method.&quot;,&quot;issue&quot;:&quot;5&quot;,&quot;volume&quot;:&quot;18&quot;,&quot;container-title-short&quot;:&quot;&quot;},&quot;isTemporary&quot;:false}]},{&quot;citationID&quot;:&quot;MENDELEY_CITATION_c7e1b41a-c1f6-4380-8ed2-299f38c8414f&quot;,&quot;properties&quot;:{&quot;noteIndex&quot;:0},&quot;isEdited&quot;:false,&quot;manualOverride&quot;:{&quot;isManuallyOverridden&quot;:false,&quot;citeprocText&quot;:&quot;&lt;sup&gt;99&lt;/sup&gt;&quot;,&quot;manualOverrideText&quot;:&quot;&quot;},&quot;citationTag&quot;:&quot;MENDELEY_CITATION_v3_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&quot;,&quot;citationItems&quot;:[{&quot;id&quot;:&quot;bcadaffb-b705-3bb7-9273-e0724060196d&quot;,&quot;itemData&quot;:{&quot;type&quot;:&quot;article-journal&quot;,&quot;id&quot;:&quot;bcadaffb-b705-3bb7-9273-e0724060196d&quot;,&quot;title&quot;:&quot;Deep learning enables de novo peptide sequencing from data-independent-acquisition mass spectrometry&quot;,&quot;author&quot;:[{&quot;family&quot;:&quot;Tran&quot;,&quot;given&quot;:&quot;Ngoc Hieu&quot;,&quot;parse-names&quot;:false,&quot;dropping-particle&quot;:&quot;&quot;,&quot;non-dropping-particle&quot;:&quot;&quot;},{&quot;family&quot;:&quot;Qiao&quot;,&quot;given&quot;:&quot;Rui&quot;,&quot;parse-names&quot;:false,&quot;dropping-particle&quot;:&quot;&quot;,&quot;non-dropping-particle&quot;:&quot;&quot;},{&quot;family&quot;:&quot;Xin&quot;,&quot;given&quot;:&quot;Lei&quot;,&quot;parse-names&quot;:false,&quot;dropping-particle&quot;:&quot;&quot;,&quot;non-dropping-particle&quot;:&quot;&quot;},{&quot;family&quot;:&quot;Chen&quot;,&quot;given&quot;:&quot;Xin&quot;,&quot;parse-names&quot;:false,&quot;dropping-particle&quot;:&quot;&quot;,&quot;non-dropping-particle&quot;:&quot;&quot;},{&quot;family&quot;:&quot;Liu&quot;,&quot;given&quot;:&quot;Chuyi&quot;,&quot;parse-names&quot;:false,&quot;dropping-particle&quot;:&quot;&quot;,&quot;non-dropping-particle&quot;:&quot;&quot;},{&quot;family&quot;:&quot;Zhang&quot;,&quot;given&quot;:&quot;Xianglilan&quot;,&quot;parse-names&quot;:false,&quot;dropping-particle&quot;:&quot;&quot;,&quot;non-dropping-particle&quot;:&quot;&quot;},{&quot;family&quot;:&quot;Shan&quot;,&quot;given&quot;:&quot;Baozhen&quot;,&quot;parse-names&quot;:false,&quot;dropping-particle&quot;:&quot;&quot;,&quot;non-dropping-particle&quot;:&quot;&quot;},{&quot;family&quot;:&quot;Ghodsi&quot;,&quot;given&quot;:&quot;Ali&quot;,&quot;parse-names&quot;:false,&quot;dropping-particle&quot;:&quot;&quot;,&quot;non-dropping-particle&quot;:&quot;&quot;},{&quot;family&quot;:&quot;Li&quot;,&quot;given&quot;:&quot;Ming&quot;,&quot;parse-names&quot;:false,&quot;dropping-particle&quot;:&quot;&quot;,&quot;non-dropping-particle&quot;:&quot;&quot;}],&quot;container-title&quot;:&quot;Nature Methods&quot;,&quot;DOI&quot;:&quot;10.1038/s41592-018-0260-3&quot;,&quot;ISSN&quot;:&quot;15487105&quot;,&quot;PMID&quot;:&quot;30573815&quot;,&quot;URL&quot;:&quot;http://dx.doi.org/10.1038/s41592-018-0260-3&quot;,&quot;issued&quot;:{&quot;date-parts&quot;:[[2019]]},&quot;page&quot;:&quot;63-66&quot;,&quot;abstract&quot;:&quot;We present DeepNovo-DIA, a de novo peptide-sequencing method for data-independent acquisition (DIA) mass spectrometry data. We use neural networks to capture precursor and fragment ions across m/z, retention-time, and intensity dimensions. They are then further integrated with peptide sequence patterns to address the problem of highly multiplexed spectra. DIA coupled with de novo sequencing allowed us to identify novel peptides in human antibodies and antigens.&quot;,&quot;publisher&quot;:&quot;Springer US&quot;,&quot;issue&quot;:&quot;1&quot;,&quot;volume&quot;:&quot;16&quot;,&quot;container-title-short&quot;:&quot;&quot;},&quot;isTemporary&quot;:false}]},{&quot;citationID&quot;:&quot;MENDELEY_CITATION_d78b4417-622f-4caf-8332-90b3891d539f&quot;,&quot;properties&quot;:{&quot;noteIndex&quot;:0},&quot;isEdited&quot;:false,&quot;manualOverride&quot;:{&quot;isManuallyOverridden&quot;:false,&quot;citeprocText&quot;:&quot;&lt;sup&gt;285&lt;/sup&gt;&quot;,&quot;manualOverrideText&quot;:&quot;&quot;},&quot;citationTag&quot;:&quot;MENDELEY_CITATION_v3_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&quot;,&quot;citationItems&quot;:[{&quot;id&quot;:&quot;67d3b631-4fab-3e41-b4ef-98dea481db93&quot;,&quot;itemData&quot;:{&quot;type&quot;:&quot;article-journal&quot;,&quot;id&quot;:&quot;67d3b631-4fab-3e41-b4ef-98dea481db93&quot;,&quot;title&quot;:&quot;Evaluating microbiome-directed fibre snacks in gnotobiotic mice and humans&quot;,&quot;author&quot;:[{&quot;family&quot;:&quot;Delannoy-Bruno&quot;,&quot;given&quot;:&quot;Omar&quot;,&quot;parse-names&quot;:false,&quot;dropping-particle&quot;:&quot;&quot;,&quot;non-dropping-particle&quot;:&quot;&quot;},{&quot;family&quot;:&quot;Desai&quot;,&quot;given&quot;:&quot;Chandani&quot;,&quot;parse-names&quot;:false,&quot;dropping-particle&quot;:&quot;&quot;,&quot;non-dropping-particle&quot;:&quot;&quot;},{&quot;family&quot;:&quot;Raman&quot;,&quot;given&quot;:&quot;Arjun S.&quot;,&quot;parse-names&quot;:false,&quot;dropping-particle&quot;:&quot;&quot;,&quot;non-dropping-particle&quot;:&quot;&quot;},{&quot;family&quot;:&quot;Chen&quot;,&quot;given&quot;:&quot;Robert Y.&quot;,&quot;parse-names&quot;:false,&quot;dropping-particle&quot;:&quot;&quot;,&quot;non-dropping-particle&quot;:&quot;&quot;},{&quot;family&quot;:&quot;Hibberd&quot;,&quot;given&quot;:&quot;Matthew C.&quot;,&quot;parse-names&quot;:false,&quot;dropping-particle&quot;:&quot;&quot;,&quot;non-dropping-particle&quot;:&quot;&quot;},{&quot;family&quot;:&quot;Cheng&quot;,&quot;given&quot;:&quot;Jiye&quot;,&quot;parse-names&quot;:false,&quot;dropping-particle&quot;:&quot;&quot;,&quot;non-dropping-particle&quot;:&quot;&quot;},{&quot;family&quot;:&quot;Han&quot;,&quot;given&quot;:&quot;Nathan&quot;,&quot;parse-names&quot;:false,&quot;dropping-particle&quot;:&quot;&quot;,&quot;non-dropping-particle&quot;:&quot;&quot;},{&quot;family&quot;:&quot;Castillo&quot;,&quot;given&quot;:&quot;Juan J.&quot;,&quot;parse-names&quot;:false,&quot;dropping-particle&quot;:&quot;&quot;,&quot;non-dropping-particle&quot;:&quot;&quot;},{&quot;family&quot;:&quot;Couture&quot;,&quot;given&quot;:&quot;Garret&quot;,&quot;parse-names&quot;:false,&quot;dropping-particle&quot;:&quot;&quot;,&quot;non-dropping-particle&quot;:&quot;&quot;},{&quot;family&quot;:&quot;Lebrilla&quot;,&quot;given&quot;:&quot;Carlito B.&quot;,&quot;parse-names&quot;:false,&quot;dropping-particle&quot;:&quot;&quot;,&quot;non-dropping-particle&quot;:&quot;&quot;},{&quot;family&quot;:&quot;Barve&quot;,&quot;given&quot;:&quot;Ruteja A.&quot;,&quot;parse-names&quot;:false,&quot;dropping-particle&quot;:&quot;&quot;,&quot;non-dropping-particle&quot;:&quot;&quot;},{&quot;family&quot;:&quot;Lombard&quot;,&quot;given&quot;:&quot;Vincent&quot;,&quot;parse-names&quot;:false,&quot;dropping-particle&quot;:&quot;&quot;,&quot;non-dropping-particle&quot;:&quot;&quot;},{&quot;family&quot;:&quot;Henrissat&quot;,&quot;given&quot;:&quot;Bernard&quot;,&quot;parse-names&quot;:false,&quot;dropping-particle&quot;:&quot;&quot;,&quot;non-dropping-particle&quot;:&quot;&quot;},{&quot;family&quot;:&quot;Leyn&quot;,&quot;given&quot;:&quot;Semen A.&quot;,&quot;parse-names&quot;:false,&quot;dropping-particle&quot;:&quot;&quot;,&quot;non-dropping-particle&quot;:&quot;&quot;},{&quot;family&quot;:&quot;Rodionov&quot;,&quot;given&quot;:&quot;Dmitry A.&quot;,&quot;parse-names&quot;:false,&quot;dropping-particle&quot;:&quot;&quot;,&quot;non-dropping-particle&quot;:&quot;&quot;},{&quot;family&quot;:&quot;Osterman&quot;,&quot;given&quot;:&quot;Andrei L.&quot;,&quot;parse-names&quot;:false,&quot;dropping-particle&quot;:&quot;&quot;,&quot;non-dropping-particle&quot;:&quot;&quot;},{&quot;family&quot;:&quot;Hayashi&quot;,&quot;given&quot;:&quot;David K.&quot;,&quot;parse-names&quot;:false,&quot;dropping-particle&quot;:&quot;&quot;,&quot;non-dropping-particle&quot;:&quot;&quot;},{&quot;family&quot;:&quot;Meynier&quot;,&quot;given&quot;:&quot;Alexandra&quot;,&quot;parse-names&quot;:false,&quot;dropping-particle&quot;:&quot;&quot;,&quot;non-dropping-particle&quot;:&quot;&quot;},{&quot;family&quot;:&quot;Vinoy&quot;,&quot;given&quot;:&quot;Sophie&quot;,&quot;parse-names&quot;:false,&quot;dropping-particle&quot;:&quot;&quot;,&quot;non-dropping-particle&quot;:&quot;&quot;},{&quot;family&quot;:&quot;Kirbach&quot;,&quot;given&quot;:&quot;Kyleigh&quot;,&quot;parse-names&quot;:false,&quot;dropping-particle&quot;:&quot;&quot;,&quot;non-dropping-particle&quot;:&quot;&quot;},{&quot;family&quot;:&quot;Wilmot&quot;,&quot;given&quot;:&quot;Tara&quot;,&quot;parse-names&quot;:false,&quot;dropping-particle&quot;:&quot;&quot;,&quot;non-dropping-particle&quot;:&quot;&quot;},{&quot;family&quot;:&quot;Heath&quot;,&quot;given&quot;:&quot;Andrew C.&quot;,&quot;parse-names&quot;:false,&quot;dropping-particle&quot;:&quot;&quot;,&quot;non-dropping-particle&quot;:&quot;&quot;},{&quot;family&quot;:&quot;Klein&quot;,&quot;given&quot;:&quot;Samuel&quot;,&quot;parse-names&quot;:false,&quot;dropping-particle&quot;:&quot;&quot;,&quot;non-dropping-particle&quot;:&quot;&quot;},{&quot;family&quot;:&quot;Barratt&quot;,&quot;given&quot;:&quot;Michael J.&quot;,&quot;parse-names&quot;:false,&quot;dropping-particle&quot;:&quot;&quot;,&quot;non-dropping-particle&quot;:&quot;&quot;},{&quot;family&quot;:&quot;Gordon&quot;,&quot;given&quot;:&quot;Jeffrey I.&quot;,&quot;parse-names&quot;:false,&quot;dropping-particle&quot;:&quot;&quot;,&quot;non-dropping-particle&quot;:&quot;&quot;}],&quot;container-title&quot;:&quot;Nature&quot;,&quot;container-title-short&quot;:&quot;Nature&quot;,&quot;DOI&quot;:&quot;10.1038/s41586-021-03671-4&quot;,&quot;ISSN&quot;:&quot;14764687&quot;,&quot;PMID&quot;:&quot;34163075&quot;,&quot;issued&quot;:{&quot;date-parts&quot;:[[2021]]},&quot;page&quot;:&quot;91-95&quot;,&quot;abstract&quot;:&quot;Changing food preferences brought about by westernization that have deleterious health effects1,2—combined with myriad forces that are contributing to increased food insecurity—are catalysing efforts to identify more nutritious and affordable foods3. Consumption of dietary fibre can help to prevent cardiovascular disease, type 2 diabetes and obesity4–6. A substantial number of reports have explored the effects of dietary fibre on the gut microbial community7–9. However, the microbiome is complex, dynamic and exhibits considerable intra- and interpersonal variation in its composition and functions. The large number of potential interactions between the components of the microbiome makes it challenging to define the mechanisms by which food ingredients affect community properties. Here we address the question of how foods containing different fibre preparations can be designed to alter functions associated with specific components of the microbiome. Because a marked increase in snack consumption is associated with westernization, we formulated snack prototypes using plant fibres from different sustainable sources that targeted distinct features of the gut microbiomes of individuals with obesity when transplanted into gnotobiotic mice. We used these snacks to supplement controlled diets that were consumed by adult individuals with obesity or who were overweight. Fibre-specific changes in their microbiomes were linked to changes in their plasma proteomes indicative of an altered physiological state.&quot;,&quot;issue&quot;:&quot;7865&quot;,&quot;volume&quot;:&quot;595&quot;},&quot;isTemporary&quot;:false}]},{&quot;citationID&quot;:&quot;MENDELEY_CITATION_aaf97b50-589b-4165-8f72-96b4888f2e42&quot;,&quot;properties&quot;:{&quot;noteIndex&quot;:0},&quot;isEdited&quot;:false,&quot;manualOverride&quot;:{&quot;isManuallyOverridden&quot;:false,&quot;citeprocText&quot;:&quot;&lt;sup&gt;286&lt;/sup&gt;&quot;,&quot;manualOverrideText&quot;:&quot;&quot;},&quot;citationTag&quot;:&quot;MENDELEY_CITATION_v3_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&quot;,&quot;citationItems&quot;:[{&quot;id&quot;:&quot;67f34695-62ed-3b10-8465-ac64f1f98996&quot;,&quot;itemData&quot;:{&quot;type&quot;:&quot;article-journal&quot;,&quot;id&quot;:&quot;67f34695-62ed-3b10-8465-ac64f1f98996&quot;,&quot;title&quot;:&quot;Genome-reconstruction for eukaryotes from complex natural microbial communities&quot;,&quot;author&quot;:[{&quot;family&quot;:&quot;West&quot;,&quot;given&quot;:&quot;Patrick T.&quot;,&quot;parse-names&quot;:false,&quot;dropping-particle&quot;:&quot;&quot;,&quot;non-dropping-particle&quot;:&quot;&quot;},{&quot;family&quot;:&quot;Probst&quot;,&quot;given&quot;:&quot;Alexander J.&quot;,&quot;parse-names&quot;:false,&quot;dropping-particle&quot;:&quot;&quot;,&quot;non-dropping-particle&quot;:&quot;&quot;},{&quot;family&quot;:&quot;Grigoriev&quot;,&quot;given&quot;:&quot;Igor&quot;,&quot;parse-names&quot;:false,&quot;dropping-particle&quot;:&quot;v.&quot;,&quot;non-dropping-particle&quot;:&quot;&quot;},{&quot;family&quot;:&quot;Thomas&quot;,&quot;given&quot;:&quot;Brian C.&quot;,&quot;parse-names&quot;:false,&quot;dropping-particle&quot;:&quot;&quot;,&quot;non-dropping-particle&quot;:&quot;&quot;},{&quot;family&quot;:&quot;Banfield&quot;,&quot;given&quot;:&quot;Jillian F.&quot;,&quot;parse-names&quot;:false,&quot;dropping-particle&quot;:&quot;&quot;,&quot;non-dropping-particle&quot;:&quot;&quot;}],&quot;container-title&quot;:&quot;Genome Research&quot;,&quot;DOI&quot;:&quot;10.1101/gr.228429.117&quot;,&quot;ISSN&quot;:&quot;15495469&quot;,&quot;PMID&quot;:&quot;29496730&quot;,&quot;issued&quot;:{&quot;date-parts&quot;:[[2018]]},&quot;page&quot;:&quot;569-580&quot;,&quot;abstract&quot;:&quot;Microbial eukaryotes are integral components of natural microbial communities, and their inclusion is critical for many ecosystem studies, yet the majority of published metagenome analyses ignore eukaryotes. In order to include eukaryotes in environmental studies, we propose a method to recover eukaryotic genomes from complex metagenomic samples. A key step for genome recovery is separation of eukaryotic and prokaryotic fragments. We developed a k-mer-based strategy, EukRep, for eukaryotic sequence identification and applied it to environmental samples to show that it enables genome recovery, genome completeness evaluation, and prediction of metabolic potential. We used this approach to test the effect of addition of organic carbon on a geyser-associated microbial community and detected a substantial change of the community metabolism, with selection against almost all candidate phyla bacteria and archaea and for eukaryotes. Near complete genomes were reconstructed for three fungi placed within the Eurotiomycetes and an arthropod. While carbon fixation and sulfur oxidation were important functions in the geyser community prior to carbon addition, the organic carbon-impacted community showed enrichment for secreted proteases, secreted lipases, cellulose targeting CAZymes, and methanol oxidation. We demonstrate the broader utility of EukRep by reconstructing and evaluating relatively high-quality fungal, protist, and rotifer genomes from complex environmental samples. This approach opens the way for cultivation-independent analyses of whole microbial communities.&quot;,&quot;issue&quot;:&quot;4&quot;,&quot;volume&quot;:&quot;28&quot;,&quot;container-title-short&quot;:&quot;&quot;},&quot;isTemporary&quot;:false}]}]"/>
    <we:property name="MENDELEY_CITATIONS_STYLE" value="{&quot;id&quot;:&quot;https://www.zotero.org/styles/nature&quot;,&quot;title&quot;:&quot;Nature&quot;,&quot;format&quot;:&quot;numeri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ABA2ACE5AB16A4BAB49FA0811110372" ma:contentTypeVersion="13" ma:contentTypeDescription="Create a new document." ma:contentTypeScope="" ma:versionID="2466b6db3d1e5c6f87f37ef913413756">
  <xsd:schema xmlns:xsd="http://www.w3.org/2001/XMLSchema" xmlns:xs="http://www.w3.org/2001/XMLSchema" xmlns:p="http://schemas.microsoft.com/office/2006/metadata/properties" xmlns:ns3="7ea9541f-21bc-4edb-b25d-eb42937ef411" xmlns:ns4="2209b9d7-e746-45ff-9101-691546e6f276" targetNamespace="http://schemas.microsoft.com/office/2006/metadata/properties" ma:root="true" ma:fieldsID="dcbe52d7da3ae0bb4030ff6e36571214" ns3:_="" ns4:_="">
    <xsd:import namespace="7ea9541f-21bc-4edb-b25d-eb42937ef411"/>
    <xsd:import namespace="2209b9d7-e746-45ff-9101-691546e6f27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a9541f-21bc-4edb-b25d-eb42937ef4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09b9d7-e746-45ff-9101-691546e6f27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8A1260-09C4-4042-B82B-61D05EEA1CB0}">
  <ds:schemaRefs>
    <ds:schemaRef ds:uri="http://schemas.openxmlformats.org/officeDocument/2006/bibliography"/>
  </ds:schemaRefs>
</ds:datastoreItem>
</file>

<file path=customXml/itemProps2.xml><?xml version="1.0" encoding="utf-8"?>
<ds:datastoreItem xmlns:ds="http://schemas.openxmlformats.org/officeDocument/2006/customXml" ds:itemID="{822D2759-44C1-4670-862E-1EAFCE0B90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a9541f-21bc-4edb-b25d-eb42937ef411"/>
    <ds:schemaRef ds:uri="2209b9d7-e746-45ff-9101-691546e6f2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08DE67-A10C-497D-8F9E-521EA5284CCD}">
  <ds:schemaRefs>
    <ds:schemaRef ds:uri="http://schemas.microsoft.com/sharepoint/v3/contenttype/forms"/>
  </ds:schemaRefs>
</ds:datastoreItem>
</file>

<file path=customXml/itemProps4.xml><?xml version="1.0" encoding="utf-8"?>
<ds:datastoreItem xmlns:ds="http://schemas.openxmlformats.org/officeDocument/2006/customXml" ds:itemID="{9ADF17D7-4C0A-46A9-BAED-84FE40E35FE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107</Pages>
  <Words>67310</Words>
  <Characters>395788</Characters>
  <Application>Microsoft Office Word</Application>
  <DocSecurity>0</DocSecurity>
  <Lines>6708</Lines>
  <Paragraphs>1390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461708</CharactersWithSpaces>
  <SharedDoc>false</SharedDoc>
  <HLinks>
    <vt:vector size="606" baseType="variant">
      <vt:variant>
        <vt:i4>5898260</vt:i4>
      </vt:variant>
      <vt:variant>
        <vt:i4>794</vt:i4>
      </vt:variant>
      <vt:variant>
        <vt:i4>0</vt:i4>
      </vt:variant>
      <vt:variant>
        <vt:i4>5</vt:i4>
      </vt:variant>
      <vt:variant>
        <vt:lpwstr>https://www.geneious.com/</vt:lpwstr>
      </vt:variant>
      <vt:variant>
        <vt:lpwstr/>
      </vt:variant>
      <vt:variant>
        <vt:i4>2818106</vt:i4>
      </vt:variant>
      <vt:variant>
        <vt:i4>702</vt:i4>
      </vt:variant>
      <vt:variant>
        <vt:i4>0</vt:i4>
      </vt:variant>
      <vt:variant>
        <vt:i4>5</vt:i4>
      </vt:variant>
      <vt:variant>
        <vt:lpwstr>https://doi.org/10.1038/s41467-021-27542-8</vt:lpwstr>
      </vt:variant>
      <vt:variant>
        <vt:lpwstr/>
      </vt:variant>
      <vt:variant>
        <vt:i4>2818106</vt:i4>
      </vt:variant>
      <vt:variant>
        <vt:i4>664</vt:i4>
      </vt:variant>
      <vt:variant>
        <vt:i4>0</vt:i4>
      </vt:variant>
      <vt:variant>
        <vt:i4>5</vt:i4>
      </vt:variant>
      <vt:variant>
        <vt:lpwstr>https://doi.org/10.1038/s41467-021-27542-8</vt:lpwstr>
      </vt:variant>
      <vt:variant>
        <vt:lpwstr/>
      </vt:variant>
      <vt:variant>
        <vt:i4>1441847</vt:i4>
      </vt:variant>
      <vt:variant>
        <vt:i4>587</vt:i4>
      </vt:variant>
      <vt:variant>
        <vt:i4>0</vt:i4>
      </vt:variant>
      <vt:variant>
        <vt:i4>5</vt:i4>
      </vt:variant>
      <vt:variant>
        <vt:lpwstr/>
      </vt:variant>
      <vt:variant>
        <vt:lpwstr>_Toc107587933</vt:lpwstr>
      </vt:variant>
      <vt:variant>
        <vt:i4>1441847</vt:i4>
      </vt:variant>
      <vt:variant>
        <vt:i4>581</vt:i4>
      </vt:variant>
      <vt:variant>
        <vt:i4>0</vt:i4>
      </vt:variant>
      <vt:variant>
        <vt:i4>5</vt:i4>
      </vt:variant>
      <vt:variant>
        <vt:lpwstr/>
      </vt:variant>
      <vt:variant>
        <vt:lpwstr>_Toc107587932</vt:lpwstr>
      </vt:variant>
      <vt:variant>
        <vt:i4>1441847</vt:i4>
      </vt:variant>
      <vt:variant>
        <vt:i4>575</vt:i4>
      </vt:variant>
      <vt:variant>
        <vt:i4>0</vt:i4>
      </vt:variant>
      <vt:variant>
        <vt:i4>5</vt:i4>
      </vt:variant>
      <vt:variant>
        <vt:lpwstr/>
      </vt:variant>
      <vt:variant>
        <vt:lpwstr>_Toc107587931</vt:lpwstr>
      </vt:variant>
      <vt:variant>
        <vt:i4>1441847</vt:i4>
      </vt:variant>
      <vt:variant>
        <vt:i4>569</vt:i4>
      </vt:variant>
      <vt:variant>
        <vt:i4>0</vt:i4>
      </vt:variant>
      <vt:variant>
        <vt:i4>5</vt:i4>
      </vt:variant>
      <vt:variant>
        <vt:lpwstr/>
      </vt:variant>
      <vt:variant>
        <vt:lpwstr>_Toc107587930</vt:lpwstr>
      </vt:variant>
      <vt:variant>
        <vt:i4>1507383</vt:i4>
      </vt:variant>
      <vt:variant>
        <vt:i4>563</vt:i4>
      </vt:variant>
      <vt:variant>
        <vt:i4>0</vt:i4>
      </vt:variant>
      <vt:variant>
        <vt:i4>5</vt:i4>
      </vt:variant>
      <vt:variant>
        <vt:lpwstr/>
      </vt:variant>
      <vt:variant>
        <vt:lpwstr>_Toc107587929</vt:lpwstr>
      </vt:variant>
      <vt:variant>
        <vt:i4>1507383</vt:i4>
      </vt:variant>
      <vt:variant>
        <vt:i4>557</vt:i4>
      </vt:variant>
      <vt:variant>
        <vt:i4>0</vt:i4>
      </vt:variant>
      <vt:variant>
        <vt:i4>5</vt:i4>
      </vt:variant>
      <vt:variant>
        <vt:lpwstr/>
      </vt:variant>
      <vt:variant>
        <vt:lpwstr>_Toc107587928</vt:lpwstr>
      </vt:variant>
      <vt:variant>
        <vt:i4>1507383</vt:i4>
      </vt:variant>
      <vt:variant>
        <vt:i4>551</vt:i4>
      </vt:variant>
      <vt:variant>
        <vt:i4>0</vt:i4>
      </vt:variant>
      <vt:variant>
        <vt:i4>5</vt:i4>
      </vt:variant>
      <vt:variant>
        <vt:lpwstr/>
      </vt:variant>
      <vt:variant>
        <vt:lpwstr>_Toc107587927</vt:lpwstr>
      </vt:variant>
      <vt:variant>
        <vt:i4>1507383</vt:i4>
      </vt:variant>
      <vt:variant>
        <vt:i4>545</vt:i4>
      </vt:variant>
      <vt:variant>
        <vt:i4>0</vt:i4>
      </vt:variant>
      <vt:variant>
        <vt:i4>5</vt:i4>
      </vt:variant>
      <vt:variant>
        <vt:lpwstr/>
      </vt:variant>
      <vt:variant>
        <vt:lpwstr>_Toc107587926</vt:lpwstr>
      </vt:variant>
      <vt:variant>
        <vt:i4>1507383</vt:i4>
      </vt:variant>
      <vt:variant>
        <vt:i4>539</vt:i4>
      </vt:variant>
      <vt:variant>
        <vt:i4>0</vt:i4>
      </vt:variant>
      <vt:variant>
        <vt:i4>5</vt:i4>
      </vt:variant>
      <vt:variant>
        <vt:lpwstr/>
      </vt:variant>
      <vt:variant>
        <vt:lpwstr>_Toc107587925</vt:lpwstr>
      </vt:variant>
      <vt:variant>
        <vt:i4>1507383</vt:i4>
      </vt:variant>
      <vt:variant>
        <vt:i4>533</vt:i4>
      </vt:variant>
      <vt:variant>
        <vt:i4>0</vt:i4>
      </vt:variant>
      <vt:variant>
        <vt:i4>5</vt:i4>
      </vt:variant>
      <vt:variant>
        <vt:lpwstr/>
      </vt:variant>
      <vt:variant>
        <vt:lpwstr>_Toc107587924</vt:lpwstr>
      </vt:variant>
      <vt:variant>
        <vt:i4>4849744</vt:i4>
      </vt:variant>
      <vt:variant>
        <vt:i4>527</vt:i4>
      </vt:variant>
      <vt:variant>
        <vt:i4>0</vt:i4>
      </vt:variant>
      <vt:variant>
        <vt:i4>5</vt:i4>
      </vt:variant>
      <vt:variant>
        <vt:lpwstr>\\Users\Peters\Documents\Sam Dissertation\Peters_Dissertation_Preliminary_Draft_TRACE_20220701.docx</vt:lpwstr>
      </vt:variant>
      <vt:variant>
        <vt:lpwstr>_Toc107587923</vt:lpwstr>
      </vt:variant>
      <vt:variant>
        <vt:i4>1703989</vt:i4>
      </vt:variant>
      <vt:variant>
        <vt:i4>518</vt:i4>
      </vt:variant>
      <vt:variant>
        <vt:i4>0</vt:i4>
      </vt:variant>
      <vt:variant>
        <vt:i4>5</vt:i4>
      </vt:variant>
      <vt:variant>
        <vt:lpwstr/>
      </vt:variant>
      <vt:variant>
        <vt:lpwstr>_Toc107652696</vt:lpwstr>
      </vt:variant>
      <vt:variant>
        <vt:i4>1703989</vt:i4>
      </vt:variant>
      <vt:variant>
        <vt:i4>512</vt:i4>
      </vt:variant>
      <vt:variant>
        <vt:i4>0</vt:i4>
      </vt:variant>
      <vt:variant>
        <vt:i4>5</vt:i4>
      </vt:variant>
      <vt:variant>
        <vt:lpwstr/>
      </vt:variant>
      <vt:variant>
        <vt:lpwstr>_Toc107652695</vt:lpwstr>
      </vt:variant>
      <vt:variant>
        <vt:i4>1703989</vt:i4>
      </vt:variant>
      <vt:variant>
        <vt:i4>506</vt:i4>
      </vt:variant>
      <vt:variant>
        <vt:i4>0</vt:i4>
      </vt:variant>
      <vt:variant>
        <vt:i4>5</vt:i4>
      </vt:variant>
      <vt:variant>
        <vt:lpwstr/>
      </vt:variant>
      <vt:variant>
        <vt:lpwstr>_Toc107652694</vt:lpwstr>
      </vt:variant>
      <vt:variant>
        <vt:i4>1703989</vt:i4>
      </vt:variant>
      <vt:variant>
        <vt:i4>500</vt:i4>
      </vt:variant>
      <vt:variant>
        <vt:i4>0</vt:i4>
      </vt:variant>
      <vt:variant>
        <vt:i4>5</vt:i4>
      </vt:variant>
      <vt:variant>
        <vt:lpwstr/>
      </vt:variant>
      <vt:variant>
        <vt:lpwstr>_Toc107652693</vt:lpwstr>
      </vt:variant>
      <vt:variant>
        <vt:i4>1703989</vt:i4>
      </vt:variant>
      <vt:variant>
        <vt:i4>494</vt:i4>
      </vt:variant>
      <vt:variant>
        <vt:i4>0</vt:i4>
      </vt:variant>
      <vt:variant>
        <vt:i4>5</vt:i4>
      </vt:variant>
      <vt:variant>
        <vt:lpwstr/>
      </vt:variant>
      <vt:variant>
        <vt:lpwstr>_Toc107652692</vt:lpwstr>
      </vt:variant>
      <vt:variant>
        <vt:i4>1703989</vt:i4>
      </vt:variant>
      <vt:variant>
        <vt:i4>488</vt:i4>
      </vt:variant>
      <vt:variant>
        <vt:i4>0</vt:i4>
      </vt:variant>
      <vt:variant>
        <vt:i4>5</vt:i4>
      </vt:variant>
      <vt:variant>
        <vt:lpwstr/>
      </vt:variant>
      <vt:variant>
        <vt:lpwstr>_Toc107652691</vt:lpwstr>
      </vt:variant>
      <vt:variant>
        <vt:i4>1703989</vt:i4>
      </vt:variant>
      <vt:variant>
        <vt:i4>482</vt:i4>
      </vt:variant>
      <vt:variant>
        <vt:i4>0</vt:i4>
      </vt:variant>
      <vt:variant>
        <vt:i4>5</vt:i4>
      </vt:variant>
      <vt:variant>
        <vt:lpwstr/>
      </vt:variant>
      <vt:variant>
        <vt:lpwstr>_Toc107652690</vt:lpwstr>
      </vt:variant>
      <vt:variant>
        <vt:i4>1769525</vt:i4>
      </vt:variant>
      <vt:variant>
        <vt:i4>476</vt:i4>
      </vt:variant>
      <vt:variant>
        <vt:i4>0</vt:i4>
      </vt:variant>
      <vt:variant>
        <vt:i4>5</vt:i4>
      </vt:variant>
      <vt:variant>
        <vt:lpwstr/>
      </vt:variant>
      <vt:variant>
        <vt:lpwstr>_Toc107652689</vt:lpwstr>
      </vt:variant>
      <vt:variant>
        <vt:i4>1769525</vt:i4>
      </vt:variant>
      <vt:variant>
        <vt:i4>470</vt:i4>
      </vt:variant>
      <vt:variant>
        <vt:i4>0</vt:i4>
      </vt:variant>
      <vt:variant>
        <vt:i4>5</vt:i4>
      </vt:variant>
      <vt:variant>
        <vt:lpwstr/>
      </vt:variant>
      <vt:variant>
        <vt:lpwstr>_Toc107652688</vt:lpwstr>
      </vt:variant>
      <vt:variant>
        <vt:i4>1769525</vt:i4>
      </vt:variant>
      <vt:variant>
        <vt:i4>464</vt:i4>
      </vt:variant>
      <vt:variant>
        <vt:i4>0</vt:i4>
      </vt:variant>
      <vt:variant>
        <vt:i4>5</vt:i4>
      </vt:variant>
      <vt:variant>
        <vt:lpwstr/>
      </vt:variant>
      <vt:variant>
        <vt:lpwstr>_Toc107652687</vt:lpwstr>
      </vt:variant>
      <vt:variant>
        <vt:i4>1769525</vt:i4>
      </vt:variant>
      <vt:variant>
        <vt:i4>458</vt:i4>
      </vt:variant>
      <vt:variant>
        <vt:i4>0</vt:i4>
      </vt:variant>
      <vt:variant>
        <vt:i4>5</vt:i4>
      </vt:variant>
      <vt:variant>
        <vt:lpwstr/>
      </vt:variant>
      <vt:variant>
        <vt:lpwstr>_Toc107652686</vt:lpwstr>
      </vt:variant>
      <vt:variant>
        <vt:i4>1769525</vt:i4>
      </vt:variant>
      <vt:variant>
        <vt:i4>452</vt:i4>
      </vt:variant>
      <vt:variant>
        <vt:i4>0</vt:i4>
      </vt:variant>
      <vt:variant>
        <vt:i4>5</vt:i4>
      </vt:variant>
      <vt:variant>
        <vt:lpwstr/>
      </vt:variant>
      <vt:variant>
        <vt:lpwstr>_Toc107652685</vt:lpwstr>
      </vt:variant>
      <vt:variant>
        <vt:i4>1769525</vt:i4>
      </vt:variant>
      <vt:variant>
        <vt:i4>446</vt:i4>
      </vt:variant>
      <vt:variant>
        <vt:i4>0</vt:i4>
      </vt:variant>
      <vt:variant>
        <vt:i4>5</vt:i4>
      </vt:variant>
      <vt:variant>
        <vt:lpwstr/>
      </vt:variant>
      <vt:variant>
        <vt:lpwstr>_Toc107652684</vt:lpwstr>
      </vt:variant>
      <vt:variant>
        <vt:i4>1769525</vt:i4>
      </vt:variant>
      <vt:variant>
        <vt:i4>440</vt:i4>
      </vt:variant>
      <vt:variant>
        <vt:i4>0</vt:i4>
      </vt:variant>
      <vt:variant>
        <vt:i4>5</vt:i4>
      </vt:variant>
      <vt:variant>
        <vt:lpwstr/>
      </vt:variant>
      <vt:variant>
        <vt:lpwstr>_Toc107652683</vt:lpwstr>
      </vt:variant>
      <vt:variant>
        <vt:i4>1769525</vt:i4>
      </vt:variant>
      <vt:variant>
        <vt:i4>434</vt:i4>
      </vt:variant>
      <vt:variant>
        <vt:i4>0</vt:i4>
      </vt:variant>
      <vt:variant>
        <vt:i4>5</vt:i4>
      </vt:variant>
      <vt:variant>
        <vt:lpwstr/>
      </vt:variant>
      <vt:variant>
        <vt:lpwstr>_Toc107652682</vt:lpwstr>
      </vt:variant>
      <vt:variant>
        <vt:i4>1769525</vt:i4>
      </vt:variant>
      <vt:variant>
        <vt:i4>428</vt:i4>
      </vt:variant>
      <vt:variant>
        <vt:i4>0</vt:i4>
      </vt:variant>
      <vt:variant>
        <vt:i4>5</vt:i4>
      </vt:variant>
      <vt:variant>
        <vt:lpwstr/>
      </vt:variant>
      <vt:variant>
        <vt:lpwstr>_Toc107652681</vt:lpwstr>
      </vt:variant>
      <vt:variant>
        <vt:i4>1769525</vt:i4>
      </vt:variant>
      <vt:variant>
        <vt:i4>422</vt:i4>
      </vt:variant>
      <vt:variant>
        <vt:i4>0</vt:i4>
      </vt:variant>
      <vt:variant>
        <vt:i4>5</vt:i4>
      </vt:variant>
      <vt:variant>
        <vt:lpwstr/>
      </vt:variant>
      <vt:variant>
        <vt:lpwstr>_Toc107652680</vt:lpwstr>
      </vt:variant>
      <vt:variant>
        <vt:i4>1310773</vt:i4>
      </vt:variant>
      <vt:variant>
        <vt:i4>416</vt:i4>
      </vt:variant>
      <vt:variant>
        <vt:i4>0</vt:i4>
      </vt:variant>
      <vt:variant>
        <vt:i4>5</vt:i4>
      </vt:variant>
      <vt:variant>
        <vt:lpwstr/>
      </vt:variant>
      <vt:variant>
        <vt:lpwstr>_Toc107652679</vt:lpwstr>
      </vt:variant>
      <vt:variant>
        <vt:i4>1310773</vt:i4>
      </vt:variant>
      <vt:variant>
        <vt:i4>410</vt:i4>
      </vt:variant>
      <vt:variant>
        <vt:i4>0</vt:i4>
      </vt:variant>
      <vt:variant>
        <vt:i4>5</vt:i4>
      </vt:variant>
      <vt:variant>
        <vt:lpwstr/>
      </vt:variant>
      <vt:variant>
        <vt:lpwstr>_Toc107652678</vt:lpwstr>
      </vt:variant>
      <vt:variant>
        <vt:i4>1310773</vt:i4>
      </vt:variant>
      <vt:variant>
        <vt:i4>404</vt:i4>
      </vt:variant>
      <vt:variant>
        <vt:i4>0</vt:i4>
      </vt:variant>
      <vt:variant>
        <vt:i4>5</vt:i4>
      </vt:variant>
      <vt:variant>
        <vt:lpwstr/>
      </vt:variant>
      <vt:variant>
        <vt:lpwstr>_Toc107652677</vt:lpwstr>
      </vt:variant>
      <vt:variant>
        <vt:i4>1310773</vt:i4>
      </vt:variant>
      <vt:variant>
        <vt:i4>398</vt:i4>
      </vt:variant>
      <vt:variant>
        <vt:i4>0</vt:i4>
      </vt:variant>
      <vt:variant>
        <vt:i4>5</vt:i4>
      </vt:variant>
      <vt:variant>
        <vt:lpwstr/>
      </vt:variant>
      <vt:variant>
        <vt:lpwstr>_Toc107652676</vt:lpwstr>
      </vt:variant>
      <vt:variant>
        <vt:i4>1310773</vt:i4>
      </vt:variant>
      <vt:variant>
        <vt:i4>392</vt:i4>
      </vt:variant>
      <vt:variant>
        <vt:i4>0</vt:i4>
      </vt:variant>
      <vt:variant>
        <vt:i4>5</vt:i4>
      </vt:variant>
      <vt:variant>
        <vt:lpwstr/>
      </vt:variant>
      <vt:variant>
        <vt:lpwstr>_Toc107652675</vt:lpwstr>
      </vt:variant>
      <vt:variant>
        <vt:i4>1310773</vt:i4>
      </vt:variant>
      <vt:variant>
        <vt:i4>386</vt:i4>
      </vt:variant>
      <vt:variant>
        <vt:i4>0</vt:i4>
      </vt:variant>
      <vt:variant>
        <vt:i4>5</vt:i4>
      </vt:variant>
      <vt:variant>
        <vt:lpwstr/>
      </vt:variant>
      <vt:variant>
        <vt:lpwstr>_Toc107652674</vt:lpwstr>
      </vt:variant>
      <vt:variant>
        <vt:i4>1310773</vt:i4>
      </vt:variant>
      <vt:variant>
        <vt:i4>380</vt:i4>
      </vt:variant>
      <vt:variant>
        <vt:i4>0</vt:i4>
      </vt:variant>
      <vt:variant>
        <vt:i4>5</vt:i4>
      </vt:variant>
      <vt:variant>
        <vt:lpwstr/>
      </vt:variant>
      <vt:variant>
        <vt:lpwstr>_Toc107652673</vt:lpwstr>
      </vt:variant>
      <vt:variant>
        <vt:i4>1310773</vt:i4>
      </vt:variant>
      <vt:variant>
        <vt:i4>374</vt:i4>
      </vt:variant>
      <vt:variant>
        <vt:i4>0</vt:i4>
      </vt:variant>
      <vt:variant>
        <vt:i4>5</vt:i4>
      </vt:variant>
      <vt:variant>
        <vt:lpwstr/>
      </vt:variant>
      <vt:variant>
        <vt:lpwstr>_Toc107652672</vt:lpwstr>
      </vt:variant>
      <vt:variant>
        <vt:i4>1310773</vt:i4>
      </vt:variant>
      <vt:variant>
        <vt:i4>368</vt:i4>
      </vt:variant>
      <vt:variant>
        <vt:i4>0</vt:i4>
      </vt:variant>
      <vt:variant>
        <vt:i4>5</vt:i4>
      </vt:variant>
      <vt:variant>
        <vt:lpwstr/>
      </vt:variant>
      <vt:variant>
        <vt:lpwstr>_Toc107652671</vt:lpwstr>
      </vt:variant>
      <vt:variant>
        <vt:i4>1310773</vt:i4>
      </vt:variant>
      <vt:variant>
        <vt:i4>362</vt:i4>
      </vt:variant>
      <vt:variant>
        <vt:i4>0</vt:i4>
      </vt:variant>
      <vt:variant>
        <vt:i4>5</vt:i4>
      </vt:variant>
      <vt:variant>
        <vt:lpwstr/>
      </vt:variant>
      <vt:variant>
        <vt:lpwstr>_Toc107652670</vt:lpwstr>
      </vt:variant>
      <vt:variant>
        <vt:i4>1376309</vt:i4>
      </vt:variant>
      <vt:variant>
        <vt:i4>356</vt:i4>
      </vt:variant>
      <vt:variant>
        <vt:i4>0</vt:i4>
      </vt:variant>
      <vt:variant>
        <vt:i4>5</vt:i4>
      </vt:variant>
      <vt:variant>
        <vt:lpwstr/>
      </vt:variant>
      <vt:variant>
        <vt:lpwstr>_Toc107652669</vt:lpwstr>
      </vt:variant>
      <vt:variant>
        <vt:i4>1376309</vt:i4>
      </vt:variant>
      <vt:variant>
        <vt:i4>350</vt:i4>
      </vt:variant>
      <vt:variant>
        <vt:i4>0</vt:i4>
      </vt:variant>
      <vt:variant>
        <vt:i4>5</vt:i4>
      </vt:variant>
      <vt:variant>
        <vt:lpwstr/>
      </vt:variant>
      <vt:variant>
        <vt:lpwstr>_Toc107652668</vt:lpwstr>
      </vt:variant>
      <vt:variant>
        <vt:i4>1376309</vt:i4>
      </vt:variant>
      <vt:variant>
        <vt:i4>344</vt:i4>
      </vt:variant>
      <vt:variant>
        <vt:i4>0</vt:i4>
      </vt:variant>
      <vt:variant>
        <vt:i4>5</vt:i4>
      </vt:variant>
      <vt:variant>
        <vt:lpwstr/>
      </vt:variant>
      <vt:variant>
        <vt:lpwstr>_Toc107652667</vt:lpwstr>
      </vt:variant>
      <vt:variant>
        <vt:i4>1376309</vt:i4>
      </vt:variant>
      <vt:variant>
        <vt:i4>338</vt:i4>
      </vt:variant>
      <vt:variant>
        <vt:i4>0</vt:i4>
      </vt:variant>
      <vt:variant>
        <vt:i4>5</vt:i4>
      </vt:variant>
      <vt:variant>
        <vt:lpwstr/>
      </vt:variant>
      <vt:variant>
        <vt:lpwstr>_Toc107652666</vt:lpwstr>
      </vt:variant>
      <vt:variant>
        <vt:i4>1376309</vt:i4>
      </vt:variant>
      <vt:variant>
        <vt:i4>332</vt:i4>
      </vt:variant>
      <vt:variant>
        <vt:i4>0</vt:i4>
      </vt:variant>
      <vt:variant>
        <vt:i4>5</vt:i4>
      </vt:variant>
      <vt:variant>
        <vt:lpwstr/>
      </vt:variant>
      <vt:variant>
        <vt:lpwstr>_Toc107652665</vt:lpwstr>
      </vt:variant>
      <vt:variant>
        <vt:i4>1376309</vt:i4>
      </vt:variant>
      <vt:variant>
        <vt:i4>326</vt:i4>
      </vt:variant>
      <vt:variant>
        <vt:i4>0</vt:i4>
      </vt:variant>
      <vt:variant>
        <vt:i4>5</vt:i4>
      </vt:variant>
      <vt:variant>
        <vt:lpwstr/>
      </vt:variant>
      <vt:variant>
        <vt:lpwstr>_Toc107652664</vt:lpwstr>
      </vt:variant>
      <vt:variant>
        <vt:i4>1376309</vt:i4>
      </vt:variant>
      <vt:variant>
        <vt:i4>320</vt:i4>
      </vt:variant>
      <vt:variant>
        <vt:i4>0</vt:i4>
      </vt:variant>
      <vt:variant>
        <vt:i4>5</vt:i4>
      </vt:variant>
      <vt:variant>
        <vt:lpwstr/>
      </vt:variant>
      <vt:variant>
        <vt:lpwstr>_Toc107652663</vt:lpwstr>
      </vt:variant>
      <vt:variant>
        <vt:i4>1376309</vt:i4>
      </vt:variant>
      <vt:variant>
        <vt:i4>314</vt:i4>
      </vt:variant>
      <vt:variant>
        <vt:i4>0</vt:i4>
      </vt:variant>
      <vt:variant>
        <vt:i4>5</vt:i4>
      </vt:variant>
      <vt:variant>
        <vt:lpwstr/>
      </vt:variant>
      <vt:variant>
        <vt:lpwstr>_Toc107652662</vt:lpwstr>
      </vt:variant>
      <vt:variant>
        <vt:i4>1376309</vt:i4>
      </vt:variant>
      <vt:variant>
        <vt:i4>308</vt:i4>
      </vt:variant>
      <vt:variant>
        <vt:i4>0</vt:i4>
      </vt:variant>
      <vt:variant>
        <vt:i4>5</vt:i4>
      </vt:variant>
      <vt:variant>
        <vt:lpwstr/>
      </vt:variant>
      <vt:variant>
        <vt:lpwstr>_Toc107652661</vt:lpwstr>
      </vt:variant>
      <vt:variant>
        <vt:i4>1376309</vt:i4>
      </vt:variant>
      <vt:variant>
        <vt:i4>302</vt:i4>
      </vt:variant>
      <vt:variant>
        <vt:i4>0</vt:i4>
      </vt:variant>
      <vt:variant>
        <vt:i4>5</vt:i4>
      </vt:variant>
      <vt:variant>
        <vt:lpwstr/>
      </vt:variant>
      <vt:variant>
        <vt:lpwstr>_Toc107652660</vt:lpwstr>
      </vt:variant>
      <vt:variant>
        <vt:i4>1441845</vt:i4>
      </vt:variant>
      <vt:variant>
        <vt:i4>296</vt:i4>
      </vt:variant>
      <vt:variant>
        <vt:i4>0</vt:i4>
      </vt:variant>
      <vt:variant>
        <vt:i4>5</vt:i4>
      </vt:variant>
      <vt:variant>
        <vt:lpwstr/>
      </vt:variant>
      <vt:variant>
        <vt:lpwstr>_Toc107652659</vt:lpwstr>
      </vt:variant>
      <vt:variant>
        <vt:i4>1441845</vt:i4>
      </vt:variant>
      <vt:variant>
        <vt:i4>290</vt:i4>
      </vt:variant>
      <vt:variant>
        <vt:i4>0</vt:i4>
      </vt:variant>
      <vt:variant>
        <vt:i4>5</vt:i4>
      </vt:variant>
      <vt:variant>
        <vt:lpwstr/>
      </vt:variant>
      <vt:variant>
        <vt:lpwstr>_Toc107652658</vt:lpwstr>
      </vt:variant>
      <vt:variant>
        <vt:i4>1441845</vt:i4>
      </vt:variant>
      <vt:variant>
        <vt:i4>284</vt:i4>
      </vt:variant>
      <vt:variant>
        <vt:i4>0</vt:i4>
      </vt:variant>
      <vt:variant>
        <vt:i4>5</vt:i4>
      </vt:variant>
      <vt:variant>
        <vt:lpwstr/>
      </vt:variant>
      <vt:variant>
        <vt:lpwstr>_Toc107652657</vt:lpwstr>
      </vt:variant>
      <vt:variant>
        <vt:i4>1441845</vt:i4>
      </vt:variant>
      <vt:variant>
        <vt:i4>278</vt:i4>
      </vt:variant>
      <vt:variant>
        <vt:i4>0</vt:i4>
      </vt:variant>
      <vt:variant>
        <vt:i4>5</vt:i4>
      </vt:variant>
      <vt:variant>
        <vt:lpwstr/>
      </vt:variant>
      <vt:variant>
        <vt:lpwstr>_Toc107652656</vt:lpwstr>
      </vt:variant>
      <vt:variant>
        <vt:i4>1441845</vt:i4>
      </vt:variant>
      <vt:variant>
        <vt:i4>272</vt:i4>
      </vt:variant>
      <vt:variant>
        <vt:i4>0</vt:i4>
      </vt:variant>
      <vt:variant>
        <vt:i4>5</vt:i4>
      </vt:variant>
      <vt:variant>
        <vt:lpwstr/>
      </vt:variant>
      <vt:variant>
        <vt:lpwstr>_Toc107652655</vt:lpwstr>
      </vt:variant>
      <vt:variant>
        <vt:i4>1441845</vt:i4>
      </vt:variant>
      <vt:variant>
        <vt:i4>266</vt:i4>
      </vt:variant>
      <vt:variant>
        <vt:i4>0</vt:i4>
      </vt:variant>
      <vt:variant>
        <vt:i4>5</vt:i4>
      </vt:variant>
      <vt:variant>
        <vt:lpwstr/>
      </vt:variant>
      <vt:variant>
        <vt:lpwstr>_Toc107652654</vt:lpwstr>
      </vt:variant>
      <vt:variant>
        <vt:i4>1441845</vt:i4>
      </vt:variant>
      <vt:variant>
        <vt:i4>260</vt:i4>
      </vt:variant>
      <vt:variant>
        <vt:i4>0</vt:i4>
      </vt:variant>
      <vt:variant>
        <vt:i4>5</vt:i4>
      </vt:variant>
      <vt:variant>
        <vt:lpwstr/>
      </vt:variant>
      <vt:variant>
        <vt:lpwstr>_Toc107652653</vt:lpwstr>
      </vt:variant>
      <vt:variant>
        <vt:i4>1441845</vt:i4>
      </vt:variant>
      <vt:variant>
        <vt:i4>254</vt:i4>
      </vt:variant>
      <vt:variant>
        <vt:i4>0</vt:i4>
      </vt:variant>
      <vt:variant>
        <vt:i4>5</vt:i4>
      </vt:variant>
      <vt:variant>
        <vt:lpwstr/>
      </vt:variant>
      <vt:variant>
        <vt:lpwstr>_Toc107652652</vt:lpwstr>
      </vt:variant>
      <vt:variant>
        <vt:i4>1441845</vt:i4>
      </vt:variant>
      <vt:variant>
        <vt:i4>248</vt:i4>
      </vt:variant>
      <vt:variant>
        <vt:i4>0</vt:i4>
      </vt:variant>
      <vt:variant>
        <vt:i4>5</vt:i4>
      </vt:variant>
      <vt:variant>
        <vt:lpwstr/>
      </vt:variant>
      <vt:variant>
        <vt:lpwstr>_Toc107652651</vt:lpwstr>
      </vt:variant>
      <vt:variant>
        <vt:i4>1441845</vt:i4>
      </vt:variant>
      <vt:variant>
        <vt:i4>242</vt:i4>
      </vt:variant>
      <vt:variant>
        <vt:i4>0</vt:i4>
      </vt:variant>
      <vt:variant>
        <vt:i4>5</vt:i4>
      </vt:variant>
      <vt:variant>
        <vt:lpwstr/>
      </vt:variant>
      <vt:variant>
        <vt:lpwstr>_Toc107652650</vt:lpwstr>
      </vt:variant>
      <vt:variant>
        <vt:i4>1507381</vt:i4>
      </vt:variant>
      <vt:variant>
        <vt:i4>236</vt:i4>
      </vt:variant>
      <vt:variant>
        <vt:i4>0</vt:i4>
      </vt:variant>
      <vt:variant>
        <vt:i4>5</vt:i4>
      </vt:variant>
      <vt:variant>
        <vt:lpwstr/>
      </vt:variant>
      <vt:variant>
        <vt:lpwstr>_Toc107652649</vt:lpwstr>
      </vt:variant>
      <vt:variant>
        <vt:i4>1507381</vt:i4>
      </vt:variant>
      <vt:variant>
        <vt:i4>230</vt:i4>
      </vt:variant>
      <vt:variant>
        <vt:i4>0</vt:i4>
      </vt:variant>
      <vt:variant>
        <vt:i4>5</vt:i4>
      </vt:variant>
      <vt:variant>
        <vt:lpwstr/>
      </vt:variant>
      <vt:variant>
        <vt:lpwstr>_Toc107652648</vt:lpwstr>
      </vt:variant>
      <vt:variant>
        <vt:i4>1507381</vt:i4>
      </vt:variant>
      <vt:variant>
        <vt:i4>224</vt:i4>
      </vt:variant>
      <vt:variant>
        <vt:i4>0</vt:i4>
      </vt:variant>
      <vt:variant>
        <vt:i4>5</vt:i4>
      </vt:variant>
      <vt:variant>
        <vt:lpwstr/>
      </vt:variant>
      <vt:variant>
        <vt:lpwstr>_Toc107652647</vt:lpwstr>
      </vt:variant>
      <vt:variant>
        <vt:i4>1507381</vt:i4>
      </vt:variant>
      <vt:variant>
        <vt:i4>218</vt:i4>
      </vt:variant>
      <vt:variant>
        <vt:i4>0</vt:i4>
      </vt:variant>
      <vt:variant>
        <vt:i4>5</vt:i4>
      </vt:variant>
      <vt:variant>
        <vt:lpwstr/>
      </vt:variant>
      <vt:variant>
        <vt:lpwstr>_Toc107652646</vt:lpwstr>
      </vt:variant>
      <vt:variant>
        <vt:i4>1507381</vt:i4>
      </vt:variant>
      <vt:variant>
        <vt:i4>212</vt:i4>
      </vt:variant>
      <vt:variant>
        <vt:i4>0</vt:i4>
      </vt:variant>
      <vt:variant>
        <vt:i4>5</vt:i4>
      </vt:variant>
      <vt:variant>
        <vt:lpwstr/>
      </vt:variant>
      <vt:variant>
        <vt:lpwstr>_Toc107652645</vt:lpwstr>
      </vt:variant>
      <vt:variant>
        <vt:i4>1507381</vt:i4>
      </vt:variant>
      <vt:variant>
        <vt:i4>206</vt:i4>
      </vt:variant>
      <vt:variant>
        <vt:i4>0</vt:i4>
      </vt:variant>
      <vt:variant>
        <vt:i4>5</vt:i4>
      </vt:variant>
      <vt:variant>
        <vt:lpwstr/>
      </vt:variant>
      <vt:variant>
        <vt:lpwstr>_Toc107652644</vt:lpwstr>
      </vt:variant>
      <vt:variant>
        <vt:i4>1507381</vt:i4>
      </vt:variant>
      <vt:variant>
        <vt:i4>200</vt:i4>
      </vt:variant>
      <vt:variant>
        <vt:i4>0</vt:i4>
      </vt:variant>
      <vt:variant>
        <vt:i4>5</vt:i4>
      </vt:variant>
      <vt:variant>
        <vt:lpwstr/>
      </vt:variant>
      <vt:variant>
        <vt:lpwstr>_Toc107652643</vt:lpwstr>
      </vt:variant>
      <vt:variant>
        <vt:i4>1507381</vt:i4>
      </vt:variant>
      <vt:variant>
        <vt:i4>194</vt:i4>
      </vt:variant>
      <vt:variant>
        <vt:i4>0</vt:i4>
      </vt:variant>
      <vt:variant>
        <vt:i4>5</vt:i4>
      </vt:variant>
      <vt:variant>
        <vt:lpwstr/>
      </vt:variant>
      <vt:variant>
        <vt:lpwstr>_Toc107652642</vt:lpwstr>
      </vt:variant>
      <vt:variant>
        <vt:i4>1507381</vt:i4>
      </vt:variant>
      <vt:variant>
        <vt:i4>188</vt:i4>
      </vt:variant>
      <vt:variant>
        <vt:i4>0</vt:i4>
      </vt:variant>
      <vt:variant>
        <vt:i4>5</vt:i4>
      </vt:variant>
      <vt:variant>
        <vt:lpwstr/>
      </vt:variant>
      <vt:variant>
        <vt:lpwstr>_Toc107652641</vt:lpwstr>
      </vt:variant>
      <vt:variant>
        <vt:i4>1507381</vt:i4>
      </vt:variant>
      <vt:variant>
        <vt:i4>182</vt:i4>
      </vt:variant>
      <vt:variant>
        <vt:i4>0</vt:i4>
      </vt:variant>
      <vt:variant>
        <vt:i4>5</vt:i4>
      </vt:variant>
      <vt:variant>
        <vt:lpwstr/>
      </vt:variant>
      <vt:variant>
        <vt:lpwstr>_Toc107652640</vt:lpwstr>
      </vt:variant>
      <vt:variant>
        <vt:i4>1048629</vt:i4>
      </vt:variant>
      <vt:variant>
        <vt:i4>176</vt:i4>
      </vt:variant>
      <vt:variant>
        <vt:i4>0</vt:i4>
      </vt:variant>
      <vt:variant>
        <vt:i4>5</vt:i4>
      </vt:variant>
      <vt:variant>
        <vt:lpwstr/>
      </vt:variant>
      <vt:variant>
        <vt:lpwstr>_Toc107652639</vt:lpwstr>
      </vt:variant>
      <vt:variant>
        <vt:i4>1048629</vt:i4>
      </vt:variant>
      <vt:variant>
        <vt:i4>170</vt:i4>
      </vt:variant>
      <vt:variant>
        <vt:i4>0</vt:i4>
      </vt:variant>
      <vt:variant>
        <vt:i4>5</vt:i4>
      </vt:variant>
      <vt:variant>
        <vt:lpwstr/>
      </vt:variant>
      <vt:variant>
        <vt:lpwstr>_Toc107652638</vt:lpwstr>
      </vt:variant>
      <vt:variant>
        <vt:i4>1048629</vt:i4>
      </vt:variant>
      <vt:variant>
        <vt:i4>164</vt:i4>
      </vt:variant>
      <vt:variant>
        <vt:i4>0</vt:i4>
      </vt:variant>
      <vt:variant>
        <vt:i4>5</vt:i4>
      </vt:variant>
      <vt:variant>
        <vt:lpwstr/>
      </vt:variant>
      <vt:variant>
        <vt:lpwstr>_Toc107652637</vt:lpwstr>
      </vt:variant>
      <vt:variant>
        <vt:i4>1048629</vt:i4>
      </vt:variant>
      <vt:variant>
        <vt:i4>158</vt:i4>
      </vt:variant>
      <vt:variant>
        <vt:i4>0</vt:i4>
      </vt:variant>
      <vt:variant>
        <vt:i4>5</vt:i4>
      </vt:variant>
      <vt:variant>
        <vt:lpwstr/>
      </vt:variant>
      <vt:variant>
        <vt:lpwstr>_Toc107652636</vt:lpwstr>
      </vt:variant>
      <vt:variant>
        <vt:i4>1048629</vt:i4>
      </vt:variant>
      <vt:variant>
        <vt:i4>152</vt:i4>
      </vt:variant>
      <vt:variant>
        <vt:i4>0</vt:i4>
      </vt:variant>
      <vt:variant>
        <vt:i4>5</vt:i4>
      </vt:variant>
      <vt:variant>
        <vt:lpwstr/>
      </vt:variant>
      <vt:variant>
        <vt:lpwstr>_Toc107652635</vt:lpwstr>
      </vt:variant>
      <vt:variant>
        <vt:i4>1048629</vt:i4>
      </vt:variant>
      <vt:variant>
        <vt:i4>146</vt:i4>
      </vt:variant>
      <vt:variant>
        <vt:i4>0</vt:i4>
      </vt:variant>
      <vt:variant>
        <vt:i4>5</vt:i4>
      </vt:variant>
      <vt:variant>
        <vt:lpwstr/>
      </vt:variant>
      <vt:variant>
        <vt:lpwstr>_Toc107652634</vt:lpwstr>
      </vt:variant>
      <vt:variant>
        <vt:i4>1048629</vt:i4>
      </vt:variant>
      <vt:variant>
        <vt:i4>140</vt:i4>
      </vt:variant>
      <vt:variant>
        <vt:i4>0</vt:i4>
      </vt:variant>
      <vt:variant>
        <vt:i4>5</vt:i4>
      </vt:variant>
      <vt:variant>
        <vt:lpwstr/>
      </vt:variant>
      <vt:variant>
        <vt:lpwstr>_Toc107652633</vt:lpwstr>
      </vt:variant>
      <vt:variant>
        <vt:i4>1048629</vt:i4>
      </vt:variant>
      <vt:variant>
        <vt:i4>134</vt:i4>
      </vt:variant>
      <vt:variant>
        <vt:i4>0</vt:i4>
      </vt:variant>
      <vt:variant>
        <vt:i4>5</vt:i4>
      </vt:variant>
      <vt:variant>
        <vt:lpwstr/>
      </vt:variant>
      <vt:variant>
        <vt:lpwstr>_Toc107652632</vt:lpwstr>
      </vt:variant>
      <vt:variant>
        <vt:i4>1048629</vt:i4>
      </vt:variant>
      <vt:variant>
        <vt:i4>128</vt:i4>
      </vt:variant>
      <vt:variant>
        <vt:i4>0</vt:i4>
      </vt:variant>
      <vt:variant>
        <vt:i4>5</vt:i4>
      </vt:variant>
      <vt:variant>
        <vt:lpwstr/>
      </vt:variant>
      <vt:variant>
        <vt:lpwstr>_Toc107652631</vt:lpwstr>
      </vt:variant>
      <vt:variant>
        <vt:i4>1048629</vt:i4>
      </vt:variant>
      <vt:variant>
        <vt:i4>122</vt:i4>
      </vt:variant>
      <vt:variant>
        <vt:i4>0</vt:i4>
      </vt:variant>
      <vt:variant>
        <vt:i4>5</vt:i4>
      </vt:variant>
      <vt:variant>
        <vt:lpwstr/>
      </vt:variant>
      <vt:variant>
        <vt:lpwstr>_Toc107652630</vt:lpwstr>
      </vt:variant>
      <vt:variant>
        <vt:i4>1114165</vt:i4>
      </vt:variant>
      <vt:variant>
        <vt:i4>116</vt:i4>
      </vt:variant>
      <vt:variant>
        <vt:i4>0</vt:i4>
      </vt:variant>
      <vt:variant>
        <vt:i4>5</vt:i4>
      </vt:variant>
      <vt:variant>
        <vt:lpwstr/>
      </vt:variant>
      <vt:variant>
        <vt:lpwstr>_Toc107652629</vt:lpwstr>
      </vt:variant>
      <vt:variant>
        <vt:i4>1114165</vt:i4>
      </vt:variant>
      <vt:variant>
        <vt:i4>110</vt:i4>
      </vt:variant>
      <vt:variant>
        <vt:i4>0</vt:i4>
      </vt:variant>
      <vt:variant>
        <vt:i4>5</vt:i4>
      </vt:variant>
      <vt:variant>
        <vt:lpwstr/>
      </vt:variant>
      <vt:variant>
        <vt:lpwstr>_Toc107652628</vt:lpwstr>
      </vt:variant>
      <vt:variant>
        <vt:i4>1114165</vt:i4>
      </vt:variant>
      <vt:variant>
        <vt:i4>104</vt:i4>
      </vt:variant>
      <vt:variant>
        <vt:i4>0</vt:i4>
      </vt:variant>
      <vt:variant>
        <vt:i4>5</vt:i4>
      </vt:variant>
      <vt:variant>
        <vt:lpwstr/>
      </vt:variant>
      <vt:variant>
        <vt:lpwstr>_Toc107652627</vt:lpwstr>
      </vt:variant>
      <vt:variant>
        <vt:i4>1114165</vt:i4>
      </vt:variant>
      <vt:variant>
        <vt:i4>98</vt:i4>
      </vt:variant>
      <vt:variant>
        <vt:i4>0</vt:i4>
      </vt:variant>
      <vt:variant>
        <vt:i4>5</vt:i4>
      </vt:variant>
      <vt:variant>
        <vt:lpwstr/>
      </vt:variant>
      <vt:variant>
        <vt:lpwstr>_Toc107652626</vt:lpwstr>
      </vt:variant>
      <vt:variant>
        <vt:i4>1114165</vt:i4>
      </vt:variant>
      <vt:variant>
        <vt:i4>92</vt:i4>
      </vt:variant>
      <vt:variant>
        <vt:i4>0</vt:i4>
      </vt:variant>
      <vt:variant>
        <vt:i4>5</vt:i4>
      </vt:variant>
      <vt:variant>
        <vt:lpwstr/>
      </vt:variant>
      <vt:variant>
        <vt:lpwstr>_Toc107652625</vt:lpwstr>
      </vt:variant>
      <vt:variant>
        <vt:i4>1114165</vt:i4>
      </vt:variant>
      <vt:variant>
        <vt:i4>86</vt:i4>
      </vt:variant>
      <vt:variant>
        <vt:i4>0</vt:i4>
      </vt:variant>
      <vt:variant>
        <vt:i4>5</vt:i4>
      </vt:variant>
      <vt:variant>
        <vt:lpwstr/>
      </vt:variant>
      <vt:variant>
        <vt:lpwstr>_Toc107652624</vt:lpwstr>
      </vt:variant>
      <vt:variant>
        <vt:i4>1114165</vt:i4>
      </vt:variant>
      <vt:variant>
        <vt:i4>80</vt:i4>
      </vt:variant>
      <vt:variant>
        <vt:i4>0</vt:i4>
      </vt:variant>
      <vt:variant>
        <vt:i4>5</vt:i4>
      </vt:variant>
      <vt:variant>
        <vt:lpwstr/>
      </vt:variant>
      <vt:variant>
        <vt:lpwstr>_Toc107652623</vt:lpwstr>
      </vt:variant>
      <vt:variant>
        <vt:i4>1114165</vt:i4>
      </vt:variant>
      <vt:variant>
        <vt:i4>74</vt:i4>
      </vt:variant>
      <vt:variant>
        <vt:i4>0</vt:i4>
      </vt:variant>
      <vt:variant>
        <vt:i4>5</vt:i4>
      </vt:variant>
      <vt:variant>
        <vt:lpwstr/>
      </vt:variant>
      <vt:variant>
        <vt:lpwstr>_Toc107652622</vt:lpwstr>
      </vt:variant>
      <vt:variant>
        <vt:i4>1114165</vt:i4>
      </vt:variant>
      <vt:variant>
        <vt:i4>68</vt:i4>
      </vt:variant>
      <vt:variant>
        <vt:i4>0</vt:i4>
      </vt:variant>
      <vt:variant>
        <vt:i4>5</vt:i4>
      </vt:variant>
      <vt:variant>
        <vt:lpwstr/>
      </vt:variant>
      <vt:variant>
        <vt:lpwstr>_Toc107652621</vt:lpwstr>
      </vt:variant>
      <vt:variant>
        <vt:i4>1114165</vt:i4>
      </vt:variant>
      <vt:variant>
        <vt:i4>62</vt:i4>
      </vt:variant>
      <vt:variant>
        <vt:i4>0</vt:i4>
      </vt:variant>
      <vt:variant>
        <vt:i4>5</vt:i4>
      </vt:variant>
      <vt:variant>
        <vt:lpwstr/>
      </vt:variant>
      <vt:variant>
        <vt:lpwstr>_Toc107652620</vt:lpwstr>
      </vt:variant>
      <vt:variant>
        <vt:i4>1179701</vt:i4>
      </vt:variant>
      <vt:variant>
        <vt:i4>56</vt:i4>
      </vt:variant>
      <vt:variant>
        <vt:i4>0</vt:i4>
      </vt:variant>
      <vt:variant>
        <vt:i4>5</vt:i4>
      </vt:variant>
      <vt:variant>
        <vt:lpwstr/>
      </vt:variant>
      <vt:variant>
        <vt:lpwstr>_Toc107652619</vt:lpwstr>
      </vt:variant>
      <vt:variant>
        <vt:i4>1179701</vt:i4>
      </vt:variant>
      <vt:variant>
        <vt:i4>50</vt:i4>
      </vt:variant>
      <vt:variant>
        <vt:i4>0</vt:i4>
      </vt:variant>
      <vt:variant>
        <vt:i4>5</vt:i4>
      </vt:variant>
      <vt:variant>
        <vt:lpwstr/>
      </vt:variant>
      <vt:variant>
        <vt:lpwstr>_Toc107652618</vt:lpwstr>
      </vt:variant>
      <vt:variant>
        <vt:i4>1179701</vt:i4>
      </vt:variant>
      <vt:variant>
        <vt:i4>44</vt:i4>
      </vt:variant>
      <vt:variant>
        <vt:i4>0</vt:i4>
      </vt:variant>
      <vt:variant>
        <vt:i4>5</vt:i4>
      </vt:variant>
      <vt:variant>
        <vt:lpwstr/>
      </vt:variant>
      <vt:variant>
        <vt:lpwstr>_Toc107652617</vt:lpwstr>
      </vt:variant>
      <vt:variant>
        <vt:i4>1179701</vt:i4>
      </vt:variant>
      <vt:variant>
        <vt:i4>38</vt:i4>
      </vt:variant>
      <vt:variant>
        <vt:i4>0</vt:i4>
      </vt:variant>
      <vt:variant>
        <vt:i4>5</vt:i4>
      </vt:variant>
      <vt:variant>
        <vt:lpwstr/>
      </vt:variant>
      <vt:variant>
        <vt:lpwstr>_Toc107652616</vt:lpwstr>
      </vt:variant>
      <vt:variant>
        <vt:i4>1179701</vt:i4>
      </vt:variant>
      <vt:variant>
        <vt:i4>32</vt:i4>
      </vt:variant>
      <vt:variant>
        <vt:i4>0</vt:i4>
      </vt:variant>
      <vt:variant>
        <vt:i4>5</vt:i4>
      </vt:variant>
      <vt:variant>
        <vt:lpwstr/>
      </vt:variant>
      <vt:variant>
        <vt:lpwstr>_Toc107652615</vt:lpwstr>
      </vt:variant>
      <vt:variant>
        <vt:i4>1179701</vt:i4>
      </vt:variant>
      <vt:variant>
        <vt:i4>26</vt:i4>
      </vt:variant>
      <vt:variant>
        <vt:i4>0</vt:i4>
      </vt:variant>
      <vt:variant>
        <vt:i4>5</vt:i4>
      </vt:variant>
      <vt:variant>
        <vt:lpwstr/>
      </vt:variant>
      <vt:variant>
        <vt:lpwstr>_Toc107652614</vt:lpwstr>
      </vt:variant>
      <vt:variant>
        <vt:i4>1179701</vt:i4>
      </vt:variant>
      <vt:variant>
        <vt:i4>20</vt:i4>
      </vt:variant>
      <vt:variant>
        <vt:i4>0</vt:i4>
      </vt:variant>
      <vt:variant>
        <vt:i4>5</vt:i4>
      </vt:variant>
      <vt:variant>
        <vt:lpwstr/>
      </vt:variant>
      <vt:variant>
        <vt:lpwstr>_Toc107652613</vt:lpwstr>
      </vt:variant>
      <vt:variant>
        <vt:i4>1179701</vt:i4>
      </vt:variant>
      <vt:variant>
        <vt:i4>14</vt:i4>
      </vt:variant>
      <vt:variant>
        <vt:i4>0</vt:i4>
      </vt:variant>
      <vt:variant>
        <vt:i4>5</vt:i4>
      </vt:variant>
      <vt:variant>
        <vt:lpwstr/>
      </vt:variant>
      <vt:variant>
        <vt:lpwstr>_Toc107652612</vt:lpwstr>
      </vt:variant>
      <vt:variant>
        <vt:i4>1179701</vt:i4>
      </vt:variant>
      <vt:variant>
        <vt:i4>8</vt:i4>
      </vt:variant>
      <vt:variant>
        <vt:i4>0</vt:i4>
      </vt:variant>
      <vt:variant>
        <vt:i4>5</vt:i4>
      </vt:variant>
      <vt:variant>
        <vt:lpwstr/>
      </vt:variant>
      <vt:variant>
        <vt:lpwstr>_Toc107652611</vt:lpwstr>
      </vt:variant>
      <vt:variant>
        <vt:i4>1179701</vt:i4>
      </vt:variant>
      <vt:variant>
        <vt:i4>2</vt:i4>
      </vt:variant>
      <vt:variant>
        <vt:i4>0</vt:i4>
      </vt:variant>
      <vt:variant>
        <vt:i4>5</vt:i4>
      </vt:variant>
      <vt:variant>
        <vt:lpwstr/>
      </vt:variant>
      <vt:variant>
        <vt:lpwstr>_Toc107652610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 Samantha Lynn</dc:creator>
  <cp:keywords/>
  <dc:description/>
  <cp:lastModifiedBy>Peters, Samantha</cp:lastModifiedBy>
  <cp:revision>2</cp:revision>
  <dcterms:created xsi:type="dcterms:W3CDTF">2022-08-01T20:12:00Z</dcterms:created>
  <dcterms:modified xsi:type="dcterms:W3CDTF">2022-08-01T20:12:00Z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http://www.zotero.org/styles/science</vt:lpwstr>
  </property>
  <property fmtid="{D5CDD505-2E9C-101B-9397-08002B2CF9AE}" pid="21" name="Mendeley Recent Style Name 9_1">
    <vt:lpwstr>Science</vt:lpwstr>
  </property>
  <property fmtid="{D5CDD505-2E9C-101B-9397-08002B2CF9AE}" pid="22" name="ContentTypeId">
    <vt:lpwstr>0x010100AABA2ACE5AB16A4BAB49FA0811110372</vt:lpwstr>
  </property>
</Properties>
</file>